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1D77D" w14:textId="77777777" w:rsidR="00CF280C" w:rsidRDefault="00B61A1E">
      <w:pPr>
        <w:spacing w:after="200" w:line="276" w:lineRule="auto"/>
        <w:rPr>
          <w:rFonts w:ascii="Arial" w:hAnsi="Arial" w:cs="Arial"/>
          <w:sz w:val="20"/>
          <w:szCs w:val="20"/>
        </w:rPr>
      </w:pPr>
      <w:r>
        <w:rPr>
          <w:rFonts w:ascii="Arial" w:eastAsia="Calibri" w:hAnsi="Arial" w:cs="Arial"/>
          <w:b/>
          <w:bCs/>
          <w:sz w:val="22"/>
          <w:lang w:val="es-ES"/>
        </w:rPr>
        <w:t>PRINCIPIO DE PUBLICIDAD - Naturaleza</w:t>
      </w:r>
      <w:r>
        <w:rPr>
          <w:rFonts w:ascii="Arial" w:hAnsi="Arial" w:cs="Arial"/>
          <w:sz w:val="20"/>
          <w:szCs w:val="20"/>
        </w:rPr>
        <w:t xml:space="preserve"> </w:t>
      </w:r>
    </w:p>
    <w:p w14:paraId="2B30D37E" w14:textId="79252005" w:rsidR="00CB48EA" w:rsidRDefault="00CB48EA" w:rsidP="00CB48EA">
      <w:pPr>
        <w:spacing w:after="120"/>
        <w:jc w:val="both"/>
        <w:rPr>
          <w:rFonts w:ascii="Arial" w:eastAsia="Calibri" w:hAnsi="Arial" w:cs="Arial"/>
          <w:color w:val="000000" w:themeColor="text1"/>
          <w:sz w:val="20"/>
          <w:szCs w:val="22"/>
          <w:lang w:val="es-ES_tradnl"/>
        </w:rPr>
      </w:pPr>
      <w:r w:rsidRPr="00CB48EA">
        <w:rPr>
          <w:rFonts w:ascii="Arial" w:eastAsia="Calibri" w:hAnsi="Arial" w:cs="Arial"/>
          <w:color w:val="000000" w:themeColor="text1"/>
          <w:sz w:val="20"/>
          <w:szCs w:val="22"/>
          <w:lang w:val="es-ES_tradnl"/>
        </w:rPr>
        <w:t xml:space="preserve">Uno de los postulados más importantes de un Estado social y democrático de derecho es el principio de </w:t>
      </w:r>
      <w:r w:rsidRPr="00CB48EA">
        <w:rPr>
          <w:rFonts w:ascii="Arial" w:eastAsia="Calibri" w:hAnsi="Arial" w:cs="Arial"/>
          <w:i/>
          <w:iCs/>
          <w:color w:val="000000" w:themeColor="text1"/>
          <w:sz w:val="20"/>
          <w:szCs w:val="22"/>
          <w:lang w:val="es-ES_tradnl"/>
        </w:rPr>
        <w:t>publicidad</w:t>
      </w:r>
      <w:r w:rsidRPr="00CB48EA">
        <w:rPr>
          <w:rFonts w:ascii="Arial" w:eastAsia="Calibri" w:hAnsi="Arial" w:cs="Arial"/>
          <w:color w:val="000000" w:themeColor="text1"/>
          <w:sz w:val="20"/>
          <w:szCs w:val="22"/>
          <w:lang w:val="es-ES_tradnl"/>
        </w:rPr>
        <w:t>, pues este permite que las actuaciones de las autoridades gocen de visibilidad. En tal sentido, la filosofía política explica que la democracia «[…] es idealmente el gobierno de un poder visible, es decir, el gobierno cuyos actos se realizan ante el público y bajo la supervisión de la opinión pública»</w:t>
      </w:r>
      <w:r w:rsidRPr="00CB48EA">
        <w:rPr>
          <w:rStyle w:val="Refdenotaalpie"/>
          <w:rFonts w:ascii="Arial" w:eastAsia="Calibri" w:hAnsi="Arial" w:cs="Arial"/>
          <w:color w:val="000000" w:themeColor="text1"/>
          <w:sz w:val="20"/>
          <w:szCs w:val="22"/>
          <w:lang w:val="es-ES_tradnl"/>
        </w:rPr>
        <w:footnoteReference w:id="2"/>
      </w:r>
      <w:r w:rsidRPr="00CB48EA">
        <w:rPr>
          <w:rFonts w:ascii="Arial" w:eastAsia="Calibri" w:hAnsi="Arial" w:cs="Arial"/>
          <w:color w:val="000000" w:themeColor="text1"/>
          <w:sz w:val="20"/>
          <w:szCs w:val="22"/>
          <w:lang w:val="es-ES_tradnl"/>
        </w:rPr>
        <w:t xml:space="preserve">. El secreto generalizado en el ejercicio del poder político constituye, por el contrario, una negación de la democracia, porque dificulta la supervisión de las autoridades por parte de la sociedad civil y establece una barrera para la participación ciudadana. Inspirada en esta concepción axiológica,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w:t>
      </w:r>
    </w:p>
    <w:p w14:paraId="0C5380AD" w14:textId="77777777" w:rsidR="00CB48EA" w:rsidRDefault="00CB48EA" w:rsidP="00CB48EA">
      <w:pPr>
        <w:jc w:val="both"/>
        <w:rPr>
          <w:rFonts w:ascii="Arial" w:eastAsia="Calibri" w:hAnsi="Arial" w:cs="Arial"/>
          <w:color w:val="000000" w:themeColor="text1"/>
          <w:sz w:val="20"/>
          <w:szCs w:val="22"/>
          <w:lang w:val="es-ES_tradnl"/>
        </w:rPr>
      </w:pPr>
    </w:p>
    <w:p w14:paraId="00FD0957" w14:textId="0B2E5A86" w:rsidR="00486BE0" w:rsidRPr="003253B1" w:rsidRDefault="00486BE0" w:rsidP="00CB48EA">
      <w:pPr>
        <w:jc w:val="both"/>
        <w:rPr>
          <w:rFonts w:ascii="Arial" w:eastAsia="Calibri" w:hAnsi="Arial" w:cs="Arial"/>
          <w:b/>
          <w:color w:val="000000"/>
          <w:sz w:val="22"/>
        </w:rPr>
      </w:pPr>
      <w:r w:rsidRPr="003253B1">
        <w:rPr>
          <w:rFonts w:ascii="Arial" w:eastAsia="Calibri" w:hAnsi="Arial" w:cs="Arial"/>
          <w:b/>
          <w:color w:val="000000"/>
          <w:sz w:val="22"/>
        </w:rPr>
        <w:t xml:space="preserve">ACCESO A DOCUMENTACIÓN PÚBLICA – Derecho fundamental – Transparencia – Información contractual </w:t>
      </w:r>
    </w:p>
    <w:p w14:paraId="065BEDC8" w14:textId="77777777" w:rsidR="00486BE0" w:rsidRPr="003253B1" w:rsidRDefault="00486BE0" w:rsidP="00486BE0">
      <w:pPr>
        <w:tabs>
          <w:tab w:val="left" w:pos="1816"/>
        </w:tabs>
        <w:jc w:val="both"/>
        <w:rPr>
          <w:rFonts w:ascii="Arial" w:eastAsia="Calibri" w:hAnsi="Arial" w:cs="Arial"/>
          <w:b/>
          <w:color w:val="000000"/>
          <w:sz w:val="22"/>
        </w:rPr>
      </w:pPr>
      <w:r w:rsidRPr="003253B1">
        <w:rPr>
          <w:rFonts w:ascii="Arial" w:eastAsia="Calibri" w:hAnsi="Arial" w:cs="Arial"/>
          <w:b/>
          <w:color w:val="000000"/>
          <w:sz w:val="22"/>
        </w:rPr>
        <w:t xml:space="preserve"> </w:t>
      </w:r>
      <w:r w:rsidRPr="003253B1">
        <w:rPr>
          <w:rFonts w:ascii="Arial" w:eastAsia="Calibri" w:hAnsi="Arial" w:cs="Arial"/>
          <w:b/>
          <w:color w:val="000000"/>
          <w:sz w:val="22"/>
        </w:rPr>
        <w:tab/>
      </w:r>
      <w:r w:rsidRPr="003253B1">
        <w:rPr>
          <w:rFonts w:ascii="Arial" w:eastAsia="Calibri" w:hAnsi="Arial" w:cs="Arial"/>
          <w:color w:val="000000"/>
          <w:sz w:val="20"/>
          <w:szCs w:val="20"/>
        </w:rPr>
        <w:t xml:space="preserve"> </w:t>
      </w:r>
    </w:p>
    <w:p w14:paraId="0FBDB45A" w14:textId="4AD5429E" w:rsidR="00486BE0" w:rsidRDefault="00486BE0" w:rsidP="00486BE0">
      <w:pPr>
        <w:jc w:val="both"/>
        <w:rPr>
          <w:rFonts w:ascii="Arial" w:eastAsia="Calibri" w:hAnsi="Arial" w:cs="Arial"/>
          <w:color w:val="000000"/>
          <w:sz w:val="20"/>
          <w:szCs w:val="20"/>
        </w:rPr>
      </w:pPr>
      <w:r w:rsidRPr="003253B1">
        <w:rPr>
          <w:rFonts w:ascii="Arial" w:eastAsia="Calibri" w:hAnsi="Arial" w:cs="Arial"/>
          <w:color w:val="000000"/>
          <w:sz w:val="20"/>
          <w:szCs w:val="20"/>
        </w:rPr>
        <w:t xml:space="preserve">El artículo 74 de la Constitución Política establece que «Todas las personas tienen derecho a acceder a los documentos públicos salvo los casos que establezca la ley». Esta disposición constitucional consagra el derecho fundamental de acceso a la información y a la documentación pública, salvo causal de reserva expresamente prevista en la Ley. Tal derecho se regula integralmente en la Ley 1712 de 2014 «Ley de Transparencia y del Derecho de Acceso a la Información Pública Nacional». Esta Ley establece el </w:t>
      </w:r>
      <w:r w:rsidRPr="003253B1">
        <w:rPr>
          <w:rFonts w:ascii="Arial" w:eastAsia="Calibri" w:hAnsi="Arial" w:cs="Arial"/>
          <w:i/>
          <w:iCs/>
          <w:color w:val="000000"/>
          <w:sz w:val="20"/>
          <w:szCs w:val="20"/>
        </w:rPr>
        <w:t>deber de divulgación proactiva de la información</w:t>
      </w:r>
      <w:r w:rsidRPr="003253B1">
        <w:rPr>
          <w:rFonts w:ascii="Arial" w:eastAsia="Calibri" w:hAnsi="Arial" w:cs="Arial"/>
          <w:color w:val="000000"/>
          <w:sz w:val="20"/>
          <w:szCs w:val="20"/>
        </w:rPr>
        <w:t xml:space="preserve"> e indica que las entidades estatales deben publicar su información contractual (artículos 9, literales c, e y f; 10 y 11, literal g). El Decreto 1081 de 2015, en los arts. 2.1.1.2.1.5. al 2.1.1.2.1.10., reglamenta el deber de las entidades estatales de publicar su información contractual en el SECOP, en cumplimiento del artículo 3 de la Ley 1150 de 2007.</w:t>
      </w:r>
    </w:p>
    <w:p w14:paraId="2AC1BD9D" w14:textId="77777777" w:rsidR="00334FBC" w:rsidRPr="003253B1" w:rsidRDefault="00334FBC" w:rsidP="00334FBC">
      <w:pPr>
        <w:jc w:val="both"/>
        <w:rPr>
          <w:rStyle w:val="Textoennegrita"/>
          <w:rFonts w:ascii="Arial" w:hAnsi="Arial" w:cs="Arial"/>
          <w:b w:val="0"/>
          <w:bCs w:val="0"/>
          <w:sz w:val="20"/>
          <w:szCs w:val="20"/>
          <w:lang w:val="es-ES"/>
        </w:rPr>
      </w:pPr>
    </w:p>
    <w:p w14:paraId="6593F917" w14:textId="77777777" w:rsidR="00334FBC" w:rsidRPr="003253B1" w:rsidRDefault="00334FBC" w:rsidP="00334FBC">
      <w:pPr>
        <w:jc w:val="both"/>
        <w:rPr>
          <w:rStyle w:val="Textoennegrita"/>
          <w:rFonts w:ascii="Arial" w:hAnsi="Arial" w:cs="Arial"/>
          <w:sz w:val="22"/>
          <w:lang w:val="es-ES"/>
        </w:rPr>
      </w:pPr>
      <w:r w:rsidRPr="003253B1">
        <w:rPr>
          <w:rStyle w:val="Textoennegrita"/>
          <w:rFonts w:ascii="Arial" w:hAnsi="Arial" w:cs="Arial"/>
          <w:sz w:val="22"/>
          <w:lang w:val="es-ES"/>
        </w:rPr>
        <w:t>RESERVA DE INFORMACIÓN PÚBLICA – Fundamento – Constitución – Ley – Aplicación – Procesos contractuales</w:t>
      </w:r>
    </w:p>
    <w:p w14:paraId="726974F2" w14:textId="24A12D33" w:rsidR="00B4540B" w:rsidRDefault="00B4540B" w:rsidP="00486BE0">
      <w:pPr>
        <w:jc w:val="both"/>
        <w:rPr>
          <w:rFonts w:ascii="Arial" w:eastAsia="Calibri" w:hAnsi="Arial" w:cs="Arial"/>
          <w:color w:val="000000"/>
          <w:sz w:val="20"/>
          <w:szCs w:val="20"/>
        </w:rPr>
      </w:pPr>
    </w:p>
    <w:p w14:paraId="4ECCB595" w14:textId="65580E47" w:rsidR="00910B6F" w:rsidRDefault="00910B6F" w:rsidP="00910B6F">
      <w:pPr>
        <w:widowControl w:val="0"/>
        <w:autoSpaceDE w:val="0"/>
        <w:autoSpaceDN w:val="0"/>
        <w:spacing w:before="120" w:after="120"/>
        <w:jc w:val="both"/>
        <w:rPr>
          <w:rFonts w:ascii="Arial" w:eastAsia="Arial" w:hAnsi="Arial" w:cs="Arial"/>
          <w:sz w:val="20"/>
          <w:szCs w:val="20"/>
          <w:lang w:val="es-ES"/>
        </w:rPr>
      </w:pPr>
      <w:r w:rsidRPr="00910B6F">
        <w:rPr>
          <w:rFonts w:ascii="Arial" w:hAnsi="Arial" w:cs="Arial"/>
          <w:color w:val="000000"/>
          <w:sz w:val="20"/>
          <w:szCs w:val="20"/>
          <w:shd w:val="clear" w:color="auto" w:fill="FFFFFF"/>
        </w:rPr>
        <w:t xml:space="preserve">De acuerdo con las consideraciones de este concepto </w:t>
      </w:r>
      <w:r w:rsidRPr="00910B6F">
        <w:rPr>
          <w:rFonts w:ascii="Arial" w:hAnsi="Arial" w:cs="Arial"/>
          <w:sz w:val="20"/>
          <w:szCs w:val="20"/>
        </w:rPr>
        <w:t xml:space="preserve">por regla general o principio aplica la publicación proactiva de la información pública, incluyendo la relacionada en materia contractual, mediante su publicación en el SECOP, por tal razón se deberán publicar </w:t>
      </w:r>
      <w:r w:rsidRPr="00910B6F">
        <w:rPr>
          <w:rFonts w:ascii="Arial" w:eastAsia="Arial" w:hAnsi="Arial" w:cs="Arial"/>
          <w:sz w:val="20"/>
          <w:szCs w:val="20"/>
          <w:lang w:val="es-ES"/>
        </w:rPr>
        <w:t xml:space="preserve">«[…] los Documentos del Proceso y los actos administrativos del Proceso de Contratación, dentro de los tres (3) días siguientes a su expedición […]». La expresión </w:t>
      </w:r>
      <w:r w:rsidRPr="00910B6F">
        <w:rPr>
          <w:rFonts w:ascii="Arial" w:eastAsia="Arial" w:hAnsi="Arial" w:cs="Arial"/>
          <w:i/>
          <w:iCs/>
          <w:sz w:val="20"/>
          <w:szCs w:val="20"/>
          <w:lang w:val="es-ES"/>
        </w:rPr>
        <w:t>Documentos del Proceso</w:t>
      </w:r>
      <w:r w:rsidRPr="00910B6F">
        <w:rPr>
          <w:rFonts w:ascii="Arial" w:eastAsia="Arial" w:hAnsi="Arial" w:cs="Arial"/>
          <w:sz w:val="20"/>
          <w:szCs w:val="20"/>
          <w:lang w:val="es-ES"/>
        </w:rPr>
        <w:t xml:space="preserve">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 No obstante, para identificar los documentos que deben publicarse, es necesario realizar una interpretación sistemática de las disposiciones del Decreto 1082 del 2015, ya que el anterior no es un listado taxativo, sino enunciativo, porque además de los documentos enlistados, el artículo 2.2.1.1.1.3.1 </w:t>
      </w:r>
      <w:proofErr w:type="spellStart"/>
      <w:r w:rsidRPr="00910B6F">
        <w:rPr>
          <w:rFonts w:ascii="Arial" w:eastAsia="Arial" w:hAnsi="Arial" w:cs="Arial"/>
          <w:i/>
          <w:iCs/>
          <w:sz w:val="20"/>
          <w:szCs w:val="20"/>
          <w:lang w:val="es-ES"/>
        </w:rPr>
        <w:t>Ibídem</w:t>
      </w:r>
      <w:proofErr w:type="spellEnd"/>
      <w:r w:rsidRPr="00910B6F">
        <w:rPr>
          <w:rFonts w:ascii="Arial" w:eastAsia="Arial" w:hAnsi="Arial" w:cs="Arial"/>
          <w:sz w:val="20"/>
          <w:szCs w:val="20"/>
          <w:lang w:val="es-ES"/>
        </w:rPr>
        <w:t xml:space="preserve"> recoge en la noción de </w:t>
      </w:r>
      <w:r w:rsidRPr="00910B6F">
        <w:rPr>
          <w:rFonts w:ascii="Arial" w:eastAsia="Arial" w:hAnsi="Arial" w:cs="Arial"/>
          <w:i/>
          <w:iCs/>
          <w:sz w:val="20"/>
          <w:szCs w:val="20"/>
          <w:lang w:val="es-ES"/>
        </w:rPr>
        <w:t>Documentos del Proceso</w:t>
      </w:r>
      <w:r w:rsidRPr="00910B6F">
        <w:rPr>
          <w:rFonts w:ascii="Arial" w:eastAsia="Arial" w:hAnsi="Arial" w:cs="Arial"/>
          <w:sz w:val="20"/>
          <w:szCs w:val="20"/>
          <w:lang w:val="es-ES"/>
        </w:rPr>
        <w:t xml:space="preserve"> «cualquier otro documento expedido por la Entidad Estatal durante el </w:t>
      </w:r>
      <w:r w:rsidRPr="00910B6F">
        <w:rPr>
          <w:rFonts w:ascii="Arial" w:eastAsia="Arial" w:hAnsi="Arial" w:cs="Arial"/>
          <w:i/>
          <w:iCs/>
          <w:sz w:val="20"/>
          <w:szCs w:val="20"/>
          <w:lang w:val="es-ES"/>
        </w:rPr>
        <w:t>Proceso de Contratación»</w:t>
      </w:r>
      <w:r w:rsidRPr="00910B6F">
        <w:rPr>
          <w:rFonts w:ascii="Arial" w:eastAsia="Arial" w:hAnsi="Arial" w:cs="Arial"/>
          <w:sz w:val="20"/>
          <w:szCs w:val="20"/>
          <w:lang w:val="es-ES"/>
        </w:rPr>
        <w:t xml:space="preserve">. Este mismo artículo define la expresión </w:t>
      </w:r>
      <w:r w:rsidRPr="00910B6F">
        <w:rPr>
          <w:rFonts w:ascii="Arial" w:eastAsia="Arial" w:hAnsi="Arial" w:cs="Arial"/>
          <w:i/>
          <w:iCs/>
          <w:sz w:val="20"/>
          <w:szCs w:val="20"/>
          <w:lang w:val="es-ES"/>
        </w:rPr>
        <w:t xml:space="preserve">Proceso de </w:t>
      </w:r>
      <w:r w:rsidRPr="00910B6F">
        <w:rPr>
          <w:rFonts w:ascii="Arial" w:eastAsia="Arial" w:hAnsi="Arial" w:cs="Arial"/>
          <w:i/>
          <w:iCs/>
          <w:sz w:val="20"/>
          <w:szCs w:val="20"/>
          <w:lang w:val="es-ES"/>
        </w:rPr>
        <w:lastRenderedPageBreak/>
        <w:t>Contratación</w:t>
      </w:r>
      <w:r w:rsidRPr="00910B6F">
        <w:rPr>
          <w:rFonts w:ascii="Arial" w:eastAsia="Arial" w:hAnsi="Arial" w:cs="Arial"/>
          <w:sz w:val="20"/>
          <w:szCs w:val="20"/>
          <w:lang w:val="es-ES"/>
        </w:rPr>
        <w:t xml:space="preserve">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0E7D3C24" w14:textId="77777777" w:rsidR="00A026B1" w:rsidRPr="00910B6F" w:rsidRDefault="00A026B1" w:rsidP="00910B6F">
      <w:pPr>
        <w:widowControl w:val="0"/>
        <w:autoSpaceDE w:val="0"/>
        <w:autoSpaceDN w:val="0"/>
        <w:spacing w:before="120" w:after="120"/>
        <w:jc w:val="both"/>
        <w:rPr>
          <w:rFonts w:ascii="Arial" w:eastAsia="Arial" w:hAnsi="Arial" w:cs="Arial"/>
          <w:sz w:val="20"/>
          <w:szCs w:val="20"/>
          <w:lang w:val="es-ES"/>
        </w:rPr>
      </w:pPr>
    </w:p>
    <w:p w14:paraId="564FD352" w14:textId="77777777" w:rsidR="00910B6F" w:rsidRDefault="00910B6F" w:rsidP="00486BE0">
      <w:pPr>
        <w:jc w:val="both"/>
        <w:rPr>
          <w:rFonts w:ascii="Arial" w:eastAsia="Calibri" w:hAnsi="Arial" w:cs="Arial"/>
          <w:color w:val="000000"/>
          <w:sz w:val="20"/>
          <w:szCs w:val="20"/>
        </w:rPr>
      </w:pPr>
    </w:p>
    <w:p w14:paraId="077C38DA" w14:textId="77777777" w:rsidR="00B4540B" w:rsidRPr="003253B1" w:rsidRDefault="00B4540B" w:rsidP="00486BE0">
      <w:pPr>
        <w:jc w:val="both"/>
        <w:rPr>
          <w:rFonts w:ascii="Arial" w:eastAsia="Calibri" w:hAnsi="Arial" w:cs="Arial"/>
          <w:b/>
          <w:sz w:val="22"/>
          <w:lang w:val="es-ES_tradnl"/>
        </w:rPr>
      </w:pPr>
    </w:p>
    <w:p w14:paraId="6CDB8EC9" w14:textId="09BF8233" w:rsidR="00B61A1E" w:rsidRDefault="00B61A1E">
      <w:pPr>
        <w:spacing w:after="200" w:line="276" w:lineRule="auto"/>
        <w:rPr>
          <w:rFonts w:ascii="Arial" w:hAnsi="Arial" w:cs="Arial"/>
          <w:sz w:val="20"/>
          <w:szCs w:val="20"/>
        </w:rPr>
      </w:pPr>
      <w:r>
        <w:rPr>
          <w:rFonts w:ascii="Arial" w:hAnsi="Arial" w:cs="Arial"/>
          <w:sz w:val="20"/>
          <w:szCs w:val="20"/>
        </w:rPr>
        <w:br w:type="page"/>
      </w:r>
    </w:p>
    <w:p w14:paraId="4C977318" w14:textId="13893407" w:rsidR="007B2ECA" w:rsidRDefault="001A7B56" w:rsidP="001A7B56">
      <w:pPr>
        <w:tabs>
          <w:tab w:val="left" w:pos="426"/>
        </w:tabs>
        <w:spacing w:after="120"/>
        <w:jc w:val="right"/>
        <w:rPr>
          <w:rFonts w:ascii="Arial" w:hAnsi="Arial" w:cs="Arial"/>
          <w:sz w:val="20"/>
          <w:szCs w:val="20"/>
        </w:rPr>
      </w:pPr>
      <w:r w:rsidRPr="001A7B56">
        <w:rPr>
          <w:rFonts w:ascii="Arial" w:hAnsi="Arial" w:cs="Arial"/>
          <w:noProof/>
          <w:sz w:val="20"/>
          <w:szCs w:val="20"/>
        </w:rPr>
        <w:lastRenderedPageBreak/>
        <w:drawing>
          <wp:inline distT="0" distB="0" distL="0" distR="0" wp14:anchorId="119DAD63" wp14:editId="06C4A9E5">
            <wp:extent cx="2808605" cy="736313"/>
            <wp:effectExtent l="0" t="0" r="0" b="698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830502" cy="742054"/>
                    </a:xfrm>
                    <a:prstGeom prst="rect">
                      <a:avLst/>
                    </a:prstGeom>
                  </pic:spPr>
                </pic:pic>
              </a:graphicData>
            </a:graphic>
          </wp:inline>
        </w:drawing>
      </w:r>
    </w:p>
    <w:p w14:paraId="61F385B0" w14:textId="77777777" w:rsidR="001A7B56" w:rsidRDefault="001A7B56" w:rsidP="007B2ECA">
      <w:pPr>
        <w:tabs>
          <w:tab w:val="left" w:pos="426"/>
        </w:tabs>
        <w:spacing w:after="120"/>
        <w:jc w:val="both"/>
        <w:rPr>
          <w:rFonts w:ascii="Arial" w:hAnsi="Arial" w:cs="Arial"/>
          <w:sz w:val="20"/>
          <w:szCs w:val="20"/>
        </w:rPr>
      </w:pPr>
    </w:p>
    <w:p w14:paraId="628EE5E8" w14:textId="6A63D642" w:rsidR="00AC5676" w:rsidRDefault="00AC5676" w:rsidP="007B2ECA">
      <w:pPr>
        <w:tabs>
          <w:tab w:val="left" w:pos="426"/>
        </w:tabs>
        <w:spacing w:after="120"/>
        <w:jc w:val="both"/>
        <w:rPr>
          <w:rFonts w:ascii="Arial" w:hAnsi="Arial" w:cs="Arial"/>
          <w:sz w:val="20"/>
          <w:szCs w:val="20"/>
        </w:rPr>
      </w:pPr>
      <w:r w:rsidRPr="001A7B56">
        <w:rPr>
          <w:rFonts w:ascii="Arial" w:hAnsi="Arial" w:cs="Arial"/>
          <w:sz w:val="22"/>
          <w:szCs w:val="22"/>
        </w:rPr>
        <w:t xml:space="preserve">Bogotá, </w:t>
      </w:r>
      <w:r w:rsidR="001A7B56" w:rsidRPr="001A7B56">
        <w:rPr>
          <w:rFonts w:ascii="Arial" w:hAnsi="Arial" w:cs="Arial"/>
          <w:sz w:val="22"/>
          <w:szCs w:val="22"/>
        </w:rPr>
        <w:t xml:space="preserve">09 </w:t>
      </w:r>
      <w:proofErr w:type="gramStart"/>
      <w:r w:rsidR="00B04101">
        <w:rPr>
          <w:rFonts w:ascii="Arial" w:hAnsi="Arial" w:cs="Arial"/>
          <w:sz w:val="22"/>
          <w:szCs w:val="22"/>
        </w:rPr>
        <w:t>S</w:t>
      </w:r>
      <w:r w:rsidR="001A7B56" w:rsidRPr="001A7B56">
        <w:rPr>
          <w:rFonts w:ascii="Arial" w:hAnsi="Arial" w:cs="Arial"/>
          <w:sz w:val="22"/>
          <w:szCs w:val="22"/>
        </w:rPr>
        <w:t>eptiembre</w:t>
      </w:r>
      <w:proofErr w:type="gramEnd"/>
      <w:r w:rsidR="001A7B56" w:rsidRPr="001A7B56">
        <w:rPr>
          <w:rFonts w:ascii="Arial" w:hAnsi="Arial" w:cs="Arial"/>
          <w:sz w:val="22"/>
          <w:szCs w:val="22"/>
        </w:rPr>
        <w:t xml:space="preserve"> de 2022</w:t>
      </w:r>
    </w:p>
    <w:p w14:paraId="39641B10" w14:textId="77777777" w:rsidR="00AC5676" w:rsidRPr="00193A67" w:rsidRDefault="00AC5676" w:rsidP="007B2ECA">
      <w:pPr>
        <w:tabs>
          <w:tab w:val="left" w:pos="426"/>
        </w:tabs>
        <w:spacing w:after="120"/>
        <w:jc w:val="both"/>
        <w:rPr>
          <w:rFonts w:ascii="Arial" w:hAnsi="Arial" w:cs="Arial"/>
          <w:sz w:val="20"/>
          <w:szCs w:val="20"/>
        </w:rPr>
      </w:pPr>
    </w:p>
    <w:p w14:paraId="13AABC8B" w14:textId="77777777" w:rsidR="001A7B56" w:rsidRDefault="00BE4FBF" w:rsidP="001A7B56">
      <w:pPr>
        <w:rPr>
          <w:rFonts w:ascii="Arial" w:eastAsia="Calibri" w:hAnsi="Arial" w:cs="Arial"/>
          <w:color w:val="000000" w:themeColor="text1"/>
          <w:sz w:val="22"/>
          <w:lang w:val="es-ES_tradnl"/>
        </w:rPr>
      </w:pPr>
      <w:bookmarkStart w:id="0" w:name="_Hlk113605403"/>
      <w:r w:rsidRPr="005419DA">
        <w:rPr>
          <w:rFonts w:ascii="Arial" w:eastAsia="Calibri" w:hAnsi="Arial" w:cs="Arial"/>
          <w:color w:val="000000" w:themeColor="text1"/>
          <w:sz w:val="22"/>
          <w:lang w:val="es-ES_tradnl"/>
        </w:rPr>
        <w:t>Señor</w:t>
      </w:r>
      <w:r w:rsidR="00552C59">
        <w:rPr>
          <w:rFonts w:ascii="Arial" w:eastAsia="Calibri" w:hAnsi="Arial" w:cs="Arial"/>
          <w:color w:val="000000" w:themeColor="text1"/>
          <w:sz w:val="22"/>
          <w:lang w:val="es-ES_tradnl"/>
        </w:rPr>
        <w:t>a</w:t>
      </w:r>
    </w:p>
    <w:p w14:paraId="530248E1" w14:textId="408399A9" w:rsidR="00915C0C" w:rsidRDefault="00915C0C" w:rsidP="001A7B56">
      <w:pPr>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 xml:space="preserve">Valeria </w:t>
      </w:r>
      <w:proofErr w:type="spellStart"/>
      <w:r>
        <w:rPr>
          <w:rFonts w:ascii="Arial" w:eastAsia="Calibri" w:hAnsi="Arial" w:cs="Arial"/>
          <w:b/>
          <w:color w:val="000000" w:themeColor="text1"/>
          <w:sz w:val="22"/>
          <w:lang w:val="es-ES_tradnl"/>
        </w:rPr>
        <w:t>Sangregorio</w:t>
      </w:r>
      <w:proofErr w:type="spellEnd"/>
      <w:r>
        <w:rPr>
          <w:rFonts w:ascii="Arial" w:eastAsia="Calibri" w:hAnsi="Arial" w:cs="Arial"/>
          <w:b/>
          <w:color w:val="000000" w:themeColor="text1"/>
          <w:sz w:val="22"/>
          <w:lang w:val="es-ES_tradnl"/>
        </w:rPr>
        <w:t xml:space="preserve"> Guarnizo</w:t>
      </w:r>
    </w:p>
    <w:p w14:paraId="3C0930E8" w14:textId="2D99F937" w:rsidR="00B47773" w:rsidRPr="00C5419B" w:rsidRDefault="00915C0C" w:rsidP="001A7B56">
      <w:pPr>
        <w:jc w:val="both"/>
        <w:rPr>
          <w:rFonts w:ascii="Arial" w:eastAsia="Calibri" w:hAnsi="Arial" w:cs="Arial"/>
          <w:bCs/>
          <w:color w:val="000000" w:themeColor="text1"/>
          <w:sz w:val="22"/>
          <w:lang w:val="es-ES_tradnl"/>
        </w:rPr>
      </w:pPr>
      <w:r w:rsidRPr="00C5419B">
        <w:rPr>
          <w:rFonts w:ascii="Arial" w:eastAsia="Calibri" w:hAnsi="Arial" w:cs="Arial"/>
          <w:bCs/>
          <w:color w:val="000000" w:themeColor="text1"/>
          <w:sz w:val="22"/>
          <w:lang w:val="es-ES_tradnl"/>
        </w:rPr>
        <w:t xml:space="preserve">Secretaria Distrital </w:t>
      </w:r>
      <w:r w:rsidR="00C5419B">
        <w:rPr>
          <w:rFonts w:ascii="Arial" w:eastAsia="Calibri" w:hAnsi="Arial" w:cs="Arial"/>
          <w:bCs/>
          <w:color w:val="000000" w:themeColor="text1"/>
          <w:sz w:val="22"/>
          <w:lang w:val="es-ES_tradnl"/>
        </w:rPr>
        <w:t>d</w:t>
      </w:r>
      <w:r w:rsidRPr="00C5419B">
        <w:rPr>
          <w:rFonts w:ascii="Arial" w:eastAsia="Calibri" w:hAnsi="Arial" w:cs="Arial"/>
          <w:bCs/>
          <w:color w:val="000000" w:themeColor="text1"/>
          <w:sz w:val="22"/>
          <w:lang w:val="es-ES_tradnl"/>
        </w:rPr>
        <w:t xml:space="preserve">e Desarrollo Económico </w:t>
      </w:r>
    </w:p>
    <w:p w14:paraId="09D4AEA8" w14:textId="44833631" w:rsidR="00B95C30" w:rsidRPr="005419DA" w:rsidRDefault="00915C0C" w:rsidP="001A7B56">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Ciudad</w:t>
      </w:r>
    </w:p>
    <w:p w14:paraId="3B584A57" w14:textId="4528CA3D" w:rsidR="00F53F4F" w:rsidRPr="005419DA" w:rsidRDefault="00F53F4F" w:rsidP="00B95C30">
      <w:pPr>
        <w:jc w:val="both"/>
        <w:rPr>
          <w:rFonts w:ascii="Arial" w:eastAsia="Calibri" w:hAnsi="Arial" w:cs="Arial"/>
          <w:color w:val="000000" w:themeColor="text1"/>
          <w:sz w:val="22"/>
          <w:lang w:val="es-ES_tradnl"/>
        </w:rPr>
      </w:pPr>
    </w:p>
    <w:p w14:paraId="48E36FCF" w14:textId="77777777" w:rsidR="00F53F4F" w:rsidRPr="005419DA" w:rsidRDefault="00F53F4F" w:rsidP="00B95C30">
      <w:pPr>
        <w:jc w:val="both"/>
        <w:rPr>
          <w:rFonts w:ascii="Arial" w:eastAsia="Calibri" w:hAnsi="Arial" w:cs="Arial"/>
          <w:color w:val="000000" w:themeColor="text1"/>
          <w:sz w:val="22"/>
          <w:lang w:val="es-ES_tradnl"/>
        </w:rPr>
      </w:pPr>
    </w:p>
    <w:p w14:paraId="12E66182" w14:textId="63280C3D" w:rsidR="00B95C30" w:rsidRPr="005419DA" w:rsidRDefault="00F53F4F" w:rsidP="001D6CD2">
      <w:pPr>
        <w:rPr>
          <w:rFonts w:ascii="Arial" w:eastAsia="Calibri" w:hAnsi="Arial" w:cs="Arial"/>
          <w:b/>
          <w:bCs/>
          <w:color w:val="000000" w:themeColor="text1"/>
          <w:sz w:val="22"/>
          <w:lang w:val="es-ES_tradnl"/>
        </w:rPr>
      </w:pPr>
      <w:r w:rsidRPr="005419DA">
        <w:rPr>
          <w:rFonts w:ascii="Arial" w:eastAsia="Calibri" w:hAnsi="Arial" w:cs="Arial"/>
          <w:b/>
          <w:bCs/>
          <w:color w:val="000000" w:themeColor="text1"/>
          <w:sz w:val="22"/>
          <w:lang w:val="es-ES_tradnl"/>
        </w:rPr>
        <w:t xml:space="preserve">                                            </w:t>
      </w:r>
      <w:r w:rsidR="00B95C30" w:rsidRPr="005419DA">
        <w:rPr>
          <w:rFonts w:ascii="Arial" w:eastAsia="Calibri" w:hAnsi="Arial" w:cs="Arial"/>
          <w:b/>
          <w:bCs/>
          <w:color w:val="000000" w:themeColor="text1"/>
          <w:sz w:val="22"/>
          <w:lang w:val="es-ES_tradnl"/>
        </w:rPr>
        <w:t xml:space="preserve">Concepto C ‒ </w:t>
      </w:r>
      <w:r w:rsidR="00915C0C">
        <w:rPr>
          <w:rFonts w:ascii="Arial" w:eastAsia="Calibri" w:hAnsi="Arial" w:cs="Arial"/>
          <w:b/>
          <w:bCs/>
          <w:color w:val="000000" w:themeColor="text1"/>
          <w:sz w:val="22"/>
          <w:lang w:val="es-ES_tradnl"/>
        </w:rPr>
        <w:t>649 de 2022</w:t>
      </w:r>
    </w:p>
    <w:p w14:paraId="1BD594F9" w14:textId="77777777" w:rsidR="00B95C30" w:rsidRPr="005419DA"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5419DA" w14:paraId="19DFC051" w14:textId="77777777" w:rsidTr="008F4163">
        <w:tc>
          <w:tcPr>
            <w:tcW w:w="2689" w:type="dxa"/>
          </w:tcPr>
          <w:p w14:paraId="6BC0D1AC" w14:textId="77777777" w:rsidR="00B95C30" w:rsidRPr="005419DA" w:rsidRDefault="00B95C30" w:rsidP="008F4163">
            <w:pPr>
              <w:jc w:val="both"/>
              <w:rPr>
                <w:rFonts w:ascii="Arial" w:eastAsia="Calibri" w:hAnsi="Arial" w:cs="Arial"/>
                <w:color w:val="000000" w:themeColor="text1"/>
                <w:sz w:val="22"/>
                <w:lang w:val="es-ES_tradnl"/>
              </w:rPr>
            </w:pPr>
            <w:r w:rsidRPr="005419DA">
              <w:rPr>
                <w:rFonts w:ascii="Arial" w:eastAsia="Calibri" w:hAnsi="Arial" w:cs="Arial"/>
                <w:b/>
                <w:color w:val="000000" w:themeColor="text1"/>
                <w:sz w:val="22"/>
                <w:lang w:val="es-ES_tradnl"/>
              </w:rPr>
              <w:t>Temas:</w:t>
            </w:r>
            <w:r w:rsidRPr="005419DA">
              <w:rPr>
                <w:rFonts w:ascii="Arial" w:eastAsia="Calibri" w:hAnsi="Arial" w:cs="Arial"/>
                <w:color w:val="000000" w:themeColor="text1"/>
                <w:sz w:val="22"/>
                <w:lang w:val="es-ES_tradnl"/>
              </w:rPr>
              <w:t xml:space="preserve">                                      </w:t>
            </w:r>
          </w:p>
        </w:tc>
        <w:tc>
          <w:tcPr>
            <w:tcW w:w="6237" w:type="dxa"/>
          </w:tcPr>
          <w:p w14:paraId="5F389CAF" w14:textId="6A7A7B00" w:rsidR="00B95C30" w:rsidRPr="00402B33" w:rsidRDefault="00BE60B0" w:rsidP="008F4163">
            <w:pPr>
              <w:jc w:val="both"/>
              <w:rPr>
                <w:rFonts w:ascii="Arial" w:eastAsia="Calibri" w:hAnsi="Arial" w:cs="Arial"/>
                <w:color w:val="000000" w:themeColor="text1"/>
                <w:sz w:val="22"/>
                <w:lang w:val="es-ES_tradnl"/>
              </w:rPr>
            </w:pPr>
            <w:r w:rsidRPr="00BE60B0">
              <w:rPr>
                <w:rFonts w:ascii="Arial" w:eastAsia="Calibri" w:hAnsi="Arial" w:cs="Arial"/>
                <w:color w:val="000000" w:themeColor="text1"/>
                <w:sz w:val="22"/>
                <w:lang w:val="es-ES_tradnl"/>
              </w:rPr>
              <w:t xml:space="preserve">PRINCIPIO DE PUBLICIDAD - Naturaleza </w:t>
            </w:r>
            <w:r w:rsidR="00C73605" w:rsidRPr="003253B1">
              <w:rPr>
                <w:rFonts w:ascii="Arial" w:eastAsia="Calibri" w:hAnsi="Arial" w:cs="Arial"/>
                <w:color w:val="000000" w:themeColor="text1"/>
                <w:sz w:val="22"/>
                <w:lang w:val="es-ES_tradnl"/>
              </w:rPr>
              <w:t xml:space="preserve">/ </w:t>
            </w:r>
            <w:r w:rsidRPr="00BE60B0">
              <w:rPr>
                <w:rFonts w:ascii="Arial" w:eastAsia="Calibri" w:hAnsi="Arial" w:cs="Arial"/>
                <w:color w:val="000000" w:themeColor="text1"/>
                <w:sz w:val="22"/>
                <w:lang w:val="es-ES_tradnl"/>
              </w:rPr>
              <w:t xml:space="preserve">ACCESO A DOCUMENTACIÓN PÚBLICA – Derecho fundamental – Transparencia – Información contractual </w:t>
            </w:r>
            <w:r w:rsidR="00C73605" w:rsidRPr="003253B1">
              <w:rPr>
                <w:rFonts w:ascii="Arial" w:eastAsia="Calibri" w:hAnsi="Arial" w:cs="Arial"/>
                <w:color w:val="000000" w:themeColor="text1"/>
                <w:sz w:val="22"/>
                <w:lang w:val="es-ES_tradnl"/>
              </w:rPr>
              <w:t xml:space="preserve">/ </w:t>
            </w:r>
            <w:r w:rsidRPr="00BE60B0">
              <w:rPr>
                <w:rFonts w:ascii="Arial" w:eastAsia="Calibri" w:hAnsi="Arial" w:cs="Arial"/>
                <w:color w:val="000000" w:themeColor="text1"/>
                <w:sz w:val="22"/>
                <w:lang w:val="es-ES_tradnl"/>
              </w:rPr>
              <w:t>RESERVA DE INFORMACIÓN PÚBLICA – Fundamento – Constitución – Ley – Aplicación – Procesos contractuales</w:t>
            </w:r>
            <w:r w:rsidR="00C73605" w:rsidRPr="00887828">
              <w:rPr>
                <w:rFonts w:ascii="Arial" w:eastAsia="Calibri" w:hAnsi="Arial" w:cs="Arial"/>
                <w:color w:val="000000" w:themeColor="text1"/>
                <w:lang w:val="es-ES_tradnl"/>
              </w:rPr>
              <w:t xml:space="preserve"> </w:t>
            </w:r>
          </w:p>
        </w:tc>
      </w:tr>
      <w:tr w:rsidR="00B95C30" w:rsidRPr="005419DA" w14:paraId="27CD52AB" w14:textId="77777777" w:rsidTr="008F4163">
        <w:tc>
          <w:tcPr>
            <w:tcW w:w="2689" w:type="dxa"/>
          </w:tcPr>
          <w:p w14:paraId="37E195A1" w14:textId="1BA218D5" w:rsidR="00B95C30" w:rsidRPr="005419DA" w:rsidRDefault="00B95C30" w:rsidP="008F4163">
            <w:pPr>
              <w:spacing w:before="120"/>
              <w:jc w:val="both"/>
              <w:rPr>
                <w:rFonts w:ascii="Arial" w:eastAsia="Calibri" w:hAnsi="Arial" w:cs="Arial"/>
                <w:b/>
                <w:color w:val="000000" w:themeColor="text1"/>
                <w:sz w:val="22"/>
                <w:lang w:val="es-ES_tradnl"/>
              </w:rPr>
            </w:pPr>
            <w:r w:rsidRPr="005419DA">
              <w:rPr>
                <w:rFonts w:ascii="Arial" w:eastAsia="Calibri" w:hAnsi="Arial" w:cs="Arial"/>
                <w:b/>
                <w:color w:val="000000" w:themeColor="text1"/>
                <w:sz w:val="22"/>
                <w:lang w:val="es-ES_tradnl"/>
              </w:rPr>
              <w:t>Radicación:</w:t>
            </w:r>
            <w:r w:rsidRPr="005419DA">
              <w:rPr>
                <w:rFonts w:ascii="Arial" w:eastAsia="Calibri" w:hAnsi="Arial" w:cs="Arial"/>
                <w:color w:val="000000" w:themeColor="text1"/>
                <w:sz w:val="22"/>
                <w:lang w:val="es-ES_tradnl"/>
              </w:rPr>
              <w:t xml:space="preserve">                              </w:t>
            </w:r>
          </w:p>
        </w:tc>
        <w:tc>
          <w:tcPr>
            <w:tcW w:w="6237" w:type="dxa"/>
          </w:tcPr>
          <w:p w14:paraId="09088B1B" w14:textId="06C24F99" w:rsidR="00B95C30" w:rsidRPr="005419DA" w:rsidRDefault="00B95C30" w:rsidP="008F4163">
            <w:pPr>
              <w:spacing w:before="120"/>
              <w:jc w:val="both"/>
              <w:rPr>
                <w:rFonts w:ascii="Arial" w:eastAsia="Calibri" w:hAnsi="Arial" w:cs="Arial"/>
                <w:color w:val="000000" w:themeColor="text1"/>
                <w:sz w:val="22"/>
                <w:lang w:val="es-ES_tradnl"/>
              </w:rPr>
            </w:pPr>
            <w:r w:rsidRPr="005419DA">
              <w:rPr>
                <w:rFonts w:ascii="Arial" w:eastAsia="Calibri" w:hAnsi="Arial" w:cs="Arial"/>
                <w:color w:val="000000" w:themeColor="text1"/>
                <w:sz w:val="22"/>
                <w:lang w:val="es-ES_tradnl"/>
              </w:rPr>
              <w:t>Respuesta a consult</w:t>
            </w:r>
            <w:r w:rsidR="009977B1">
              <w:rPr>
                <w:rFonts w:ascii="Arial" w:eastAsia="Calibri" w:hAnsi="Arial" w:cs="Arial"/>
                <w:color w:val="000000" w:themeColor="text1"/>
                <w:sz w:val="22"/>
                <w:lang w:val="es-ES_tradnl"/>
              </w:rPr>
              <w:t xml:space="preserve">a </w:t>
            </w:r>
            <w:r w:rsidRPr="005419DA">
              <w:rPr>
                <w:rFonts w:ascii="Arial" w:eastAsia="Calibri" w:hAnsi="Arial" w:cs="Arial"/>
                <w:color w:val="000000" w:themeColor="text1"/>
                <w:sz w:val="22"/>
                <w:lang w:val="es-ES_tradnl"/>
              </w:rPr>
              <w:t xml:space="preserve"># </w:t>
            </w:r>
            <w:r w:rsidR="00915C0C" w:rsidRPr="00915C0C">
              <w:rPr>
                <w:rFonts w:ascii="Arial" w:eastAsia="Calibri" w:hAnsi="Arial" w:cs="Arial"/>
                <w:color w:val="000000" w:themeColor="text1"/>
                <w:sz w:val="22"/>
                <w:lang w:val="es-ES_tradnl"/>
              </w:rPr>
              <w:t>P20220826008532</w:t>
            </w:r>
          </w:p>
        </w:tc>
      </w:tr>
    </w:tbl>
    <w:p w14:paraId="61B55CA4" w14:textId="77777777" w:rsidR="00716BB0" w:rsidRPr="005419DA" w:rsidRDefault="00716BB0" w:rsidP="003C3339">
      <w:pPr>
        <w:jc w:val="both"/>
        <w:rPr>
          <w:rFonts w:ascii="Arial" w:eastAsia="Calibri" w:hAnsi="Arial" w:cs="Arial"/>
          <w:color w:val="000000" w:themeColor="text1"/>
          <w:sz w:val="22"/>
          <w:lang w:val="es-ES_tradnl"/>
        </w:rPr>
      </w:pPr>
    </w:p>
    <w:p w14:paraId="4B9B5156" w14:textId="77777777" w:rsidR="00716BB0" w:rsidRPr="005419DA" w:rsidRDefault="00716BB0" w:rsidP="003C3339">
      <w:pPr>
        <w:jc w:val="both"/>
        <w:rPr>
          <w:rFonts w:ascii="Arial" w:eastAsia="Calibri" w:hAnsi="Arial" w:cs="Arial"/>
          <w:color w:val="000000" w:themeColor="text1"/>
          <w:sz w:val="22"/>
          <w:lang w:val="es-ES_tradnl"/>
        </w:rPr>
      </w:pPr>
    </w:p>
    <w:p w14:paraId="1CF4AEA0" w14:textId="365A206B" w:rsidR="003C3339" w:rsidRPr="005419DA" w:rsidRDefault="003C3339" w:rsidP="003C3339">
      <w:pPr>
        <w:jc w:val="both"/>
        <w:rPr>
          <w:rFonts w:ascii="Arial" w:eastAsia="Calibri" w:hAnsi="Arial" w:cs="Arial"/>
          <w:color w:val="000000" w:themeColor="text1"/>
          <w:sz w:val="22"/>
          <w:lang w:val="es-ES_tradnl"/>
        </w:rPr>
      </w:pPr>
      <w:r w:rsidRPr="005419DA">
        <w:rPr>
          <w:rFonts w:ascii="Arial" w:eastAsia="Calibri" w:hAnsi="Arial" w:cs="Arial"/>
          <w:color w:val="000000" w:themeColor="text1"/>
          <w:sz w:val="22"/>
          <w:lang w:val="es-ES_tradnl"/>
        </w:rPr>
        <w:t>Estimad</w:t>
      </w:r>
      <w:r w:rsidR="00552C59">
        <w:rPr>
          <w:rFonts w:ascii="Arial" w:eastAsia="Calibri" w:hAnsi="Arial" w:cs="Arial"/>
          <w:color w:val="000000" w:themeColor="text1"/>
          <w:sz w:val="22"/>
          <w:lang w:val="es-ES_tradnl"/>
        </w:rPr>
        <w:t>a</w:t>
      </w:r>
      <w:r w:rsidRPr="005419DA">
        <w:rPr>
          <w:rFonts w:ascii="Arial" w:eastAsia="Calibri" w:hAnsi="Arial" w:cs="Arial"/>
          <w:color w:val="000000" w:themeColor="text1"/>
          <w:sz w:val="22"/>
          <w:lang w:val="es-ES_tradnl"/>
        </w:rPr>
        <w:t xml:space="preserve"> </w:t>
      </w:r>
      <w:r w:rsidR="0063732C" w:rsidRPr="005419DA">
        <w:rPr>
          <w:rFonts w:ascii="Arial" w:eastAsia="Calibri" w:hAnsi="Arial" w:cs="Arial"/>
          <w:color w:val="000000" w:themeColor="text1"/>
          <w:sz w:val="22"/>
          <w:lang w:val="es-ES_tradnl"/>
        </w:rPr>
        <w:t>señor</w:t>
      </w:r>
      <w:r w:rsidR="00552C59">
        <w:rPr>
          <w:rFonts w:ascii="Arial" w:eastAsia="Calibri" w:hAnsi="Arial" w:cs="Arial"/>
          <w:color w:val="000000" w:themeColor="text1"/>
          <w:sz w:val="22"/>
          <w:lang w:val="es-ES_tradnl"/>
        </w:rPr>
        <w:t>a</w:t>
      </w:r>
      <w:r w:rsidR="00BE4FBF" w:rsidRPr="005419DA">
        <w:rPr>
          <w:rFonts w:ascii="Arial" w:eastAsia="Calibri" w:hAnsi="Arial" w:cs="Arial"/>
          <w:color w:val="000000" w:themeColor="text1"/>
          <w:sz w:val="22"/>
          <w:lang w:val="es-ES_tradnl"/>
        </w:rPr>
        <w:t xml:space="preserve"> </w:t>
      </w:r>
      <w:proofErr w:type="spellStart"/>
      <w:r w:rsidR="00A02F05" w:rsidRPr="00A02F05">
        <w:rPr>
          <w:rFonts w:ascii="Arial" w:eastAsia="Calibri" w:hAnsi="Arial" w:cs="Arial"/>
          <w:color w:val="000000" w:themeColor="text1"/>
          <w:sz w:val="22"/>
          <w:lang w:val="es-ES_tradnl"/>
        </w:rPr>
        <w:t>Sangregorio</w:t>
      </w:r>
      <w:proofErr w:type="spellEnd"/>
      <w:r w:rsidR="00A02F05" w:rsidRPr="00A02F05">
        <w:rPr>
          <w:rFonts w:ascii="Arial" w:eastAsia="Calibri" w:hAnsi="Arial" w:cs="Arial"/>
          <w:color w:val="000000" w:themeColor="text1"/>
          <w:sz w:val="22"/>
          <w:lang w:val="es-ES_tradnl"/>
        </w:rPr>
        <w:t xml:space="preserve"> Guarnizo</w:t>
      </w:r>
      <w:r w:rsidRPr="005419DA">
        <w:rPr>
          <w:rFonts w:ascii="Arial" w:eastAsia="Calibri" w:hAnsi="Arial" w:cs="Arial"/>
          <w:color w:val="000000" w:themeColor="text1"/>
          <w:sz w:val="22"/>
          <w:lang w:val="es-ES_tradnl"/>
        </w:rPr>
        <w:t>:</w:t>
      </w:r>
    </w:p>
    <w:p w14:paraId="1EAE5543" w14:textId="77777777" w:rsidR="00DD5B04" w:rsidRPr="005419DA" w:rsidRDefault="00DD5B04" w:rsidP="00DF76A2">
      <w:pPr>
        <w:jc w:val="both"/>
        <w:rPr>
          <w:rFonts w:ascii="Arial" w:eastAsia="Calibri" w:hAnsi="Arial" w:cs="Arial"/>
          <w:color w:val="000000" w:themeColor="text1"/>
          <w:sz w:val="22"/>
          <w:lang w:val="es-ES_tradnl"/>
        </w:rPr>
      </w:pPr>
    </w:p>
    <w:p w14:paraId="2109B2D3" w14:textId="0AD10E9F" w:rsidR="00DD5B04" w:rsidRPr="005419DA" w:rsidRDefault="00DD5B04" w:rsidP="00DF76A2">
      <w:pPr>
        <w:spacing w:line="276" w:lineRule="auto"/>
        <w:jc w:val="both"/>
        <w:rPr>
          <w:rFonts w:ascii="Arial" w:eastAsia="Calibri" w:hAnsi="Arial" w:cs="Arial"/>
          <w:color w:val="000000" w:themeColor="text1"/>
          <w:sz w:val="22"/>
          <w:lang w:val="es-ES_tradnl"/>
        </w:rPr>
      </w:pPr>
      <w:r w:rsidRPr="005419DA">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5419DA">
        <w:rPr>
          <w:rFonts w:ascii="Arial" w:eastAsia="Calibri" w:hAnsi="Arial" w:cs="Arial"/>
          <w:color w:val="000000" w:themeColor="text1"/>
          <w:sz w:val="22"/>
          <w:lang w:val="es-ES_tradnl"/>
        </w:rPr>
        <w:t xml:space="preserve"> </w:t>
      </w:r>
      <w:r w:rsidRPr="005419DA">
        <w:rPr>
          <w:rFonts w:ascii="Arial" w:eastAsia="Calibri" w:hAnsi="Arial" w:cs="Arial"/>
          <w:color w:val="000000" w:themeColor="text1"/>
          <w:sz w:val="22"/>
          <w:lang w:val="es-ES_tradnl"/>
        </w:rPr>
        <w:t xml:space="preserve">responde su consulta del </w:t>
      </w:r>
      <w:r w:rsidR="00915C0C">
        <w:rPr>
          <w:rFonts w:ascii="Arial" w:eastAsia="Calibri" w:hAnsi="Arial" w:cs="Arial"/>
          <w:color w:val="000000" w:themeColor="text1"/>
          <w:sz w:val="22"/>
          <w:lang w:val="es-ES_tradnl"/>
        </w:rPr>
        <w:t>26 de agosto d</w:t>
      </w:r>
      <w:r w:rsidRPr="005419DA">
        <w:rPr>
          <w:rFonts w:ascii="Arial" w:eastAsia="Calibri" w:hAnsi="Arial" w:cs="Arial"/>
          <w:color w:val="000000" w:themeColor="text1"/>
          <w:sz w:val="22"/>
          <w:lang w:val="es-ES_tradnl"/>
        </w:rPr>
        <w:t>el</w:t>
      </w:r>
      <w:r w:rsidR="007E74BF" w:rsidRPr="005419DA">
        <w:rPr>
          <w:rFonts w:ascii="Arial" w:eastAsia="Calibri" w:hAnsi="Arial" w:cs="Arial"/>
          <w:color w:val="000000" w:themeColor="text1"/>
          <w:sz w:val="22"/>
          <w:lang w:val="es-ES_tradnl"/>
        </w:rPr>
        <w:t xml:space="preserve"> </w:t>
      </w:r>
      <w:r w:rsidRPr="005419DA">
        <w:rPr>
          <w:rFonts w:ascii="Arial" w:eastAsia="Calibri" w:hAnsi="Arial" w:cs="Arial"/>
          <w:color w:val="000000" w:themeColor="text1"/>
          <w:sz w:val="22"/>
          <w:lang w:val="es-ES_tradnl"/>
        </w:rPr>
        <w:t>202</w:t>
      </w:r>
      <w:r w:rsidR="00915C0C">
        <w:rPr>
          <w:rFonts w:ascii="Arial" w:eastAsia="Calibri" w:hAnsi="Arial" w:cs="Arial"/>
          <w:color w:val="000000" w:themeColor="text1"/>
          <w:sz w:val="22"/>
          <w:lang w:val="es-ES_tradnl"/>
        </w:rPr>
        <w:t>2</w:t>
      </w:r>
      <w:r w:rsidR="008C3C57" w:rsidRPr="005419DA">
        <w:rPr>
          <w:rFonts w:ascii="Arial" w:eastAsia="Calibri" w:hAnsi="Arial" w:cs="Arial"/>
          <w:color w:val="000000" w:themeColor="text1"/>
          <w:sz w:val="22"/>
          <w:lang w:val="es-ES_tradnl"/>
        </w:rPr>
        <w:t>.</w:t>
      </w:r>
    </w:p>
    <w:p w14:paraId="0C1E0712" w14:textId="77777777" w:rsidR="00DD5B04" w:rsidRPr="005419DA"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5419DA"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5419DA">
        <w:rPr>
          <w:rFonts w:ascii="Arial" w:eastAsia="Calibri" w:hAnsi="Arial" w:cs="Arial"/>
          <w:b/>
          <w:color w:val="000000" w:themeColor="text1"/>
          <w:sz w:val="22"/>
          <w:lang w:val="es-ES_tradnl"/>
        </w:rPr>
        <w:t xml:space="preserve">Problema planteado </w:t>
      </w:r>
    </w:p>
    <w:p w14:paraId="224B43D3" w14:textId="77777777" w:rsidR="00DD5B04" w:rsidRPr="005419DA"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559EE20C" w14:textId="6585002F" w:rsidR="00443B55" w:rsidRDefault="00DD5B04" w:rsidP="00915C0C">
      <w:pPr>
        <w:spacing w:line="276" w:lineRule="auto"/>
        <w:jc w:val="both"/>
        <w:rPr>
          <w:rFonts w:ascii="Arial" w:hAnsi="Arial" w:cs="Arial"/>
          <w:color w:val="000000" w:themeColor="text1"/>
          <w:sz w:val="22"/>
          <w:lang w:val="es-ES_tradnl"/>
        </w:rPr>
      </w:pPr>
      <w:r w:rsidRPr="005419DA">
        <w:rPr>
          <w:rFonts w:ascii="Arial" w:hAnsi="Arial" w:cs="Arial"/>
          <w:color w:val="000000" w:themeColor="text1"/>
          <w:sz w:val="22"/>
          <w:lang w:val="es-ES_tradnl"/>
        </w:rPr>
        <w:t>Usted</w:t>
      </w:r>
      <w:r w:rsidR="009A1B98">
        <w:rPr>
          <w:rFonts w:ascii="Arial" w:hAnsi="Arial" w:cs="Arial"/>
          <w:color w:val="000000" w:themeColor="text1"/>
          <w:sz w:val="22"/>
          <w:lang w:val="es-ES_tradnl"/>
        </w:rPr>
        <w:t xml:space="preserve"> </w:t>
      </w:r>
      <w:r w:rsidR="00B422C0" w:rsidRPr="005419DA">
        <w:rPr>
          <w:rFonts w:ascii="Arial" w:hAnsi="Arial" w:cs="Arial"/>
          <w:color w:val="000000" w:themeColor="text1"/>
          <w:sz w:val="22"/>
          <w:lang w:val="es-ES_tradnl"/>
        </w:rPr>
        <w:t>formula</w:t>
      </w:r>
      <w:r w:rsidR="009A1B98">
        <w:rPr>
          <w:rFonts w:ascii="Arial" w:hAnsi="Arial" w:cs="Arial"/>
          <w:color w:val="000000" w:themeColor="text1"/>
          <w:sz w:val="22"/>
          <w:lang w:val="es-ES_tradnl"/>
        </w:rPr>
        <w:t xml:space="preserve"> </w:t>
      </w:r>
      <w:r w:rsidR="006D46A3" w:rsidRPr="005419DA">
        <w:rPr>
          <w:rFonts w:ascii="Arial" w:hAnsi="Arial" w:cs="Arial"/>
          <w:color w:val="000000" w:themeColor="text1"/>
          <w:sz w:val="22"/>
          <w:lang w:val="es-ES_tradnl"/>
        </w:rPr>
        <w:t>la siguiente</w:t>
      </w:r>
      <w:r w:rsidR="00C028F5" w:rsidRPr="005419DA">
        <w:rPr>
          <w:rFonts w:ascii="Arial" w:hAnsi="Arial" w:cs="Arial"/>
          <w:color w:val="000000" w:themeColor="text1"/>
          <w:sz w:val="22"/>
          <w:lang w:val="es-ES_tradnl"/>
        </w:rPr>
        <w:t xml:space="preserve"> </w:t>
      </w:r>
      <w:r w:rsidR="00637A68">
        <w:rPr>
          <w:rFonts w:ascii="Arial" w:hAnsi="Arial" w:cs="Arial"/>
          <w:color w:val="000000" w:themeColor="text1"/>
          <w:sz w:val="22"/>
          <w:lang w:val="es-ES_tradnl"/>
        </w:rPr>
        <w:t>consulta</w:t>
      </w:r>
      <w:r w:rsidR="00915C0C">
        <w:rPr>
          <w:rFonts w:ascii="Arial" w:hAnsi="Arial" w:cs="Arial"/>
          <w:color w:val="000000" w:themeColor="text1"/>
          <w:sz w:val="22"/>
          <w:lang w:val="es-ES_tradnl"/>
        </w:rPr>
        <w:t xml:space="preserve"> </w:t>
      </w:r>
      <w:r w:rsidR="00915C0C" w:rsidRPr="00915C0C">
        <w:rPr>
          <w:rFonts w:ascii="Arial" w:hAnsi="Arial" w:cs="Arial"/>
          <w:color w:val="000000" w:themeColor="text1"/>
          <w:sz w:val="22"/>
          <w:lang w:val="es-ES_tradnl"/>
        </w:rPr>
        <w:t>[…] «La Secretaría Distrital de Desarrollo Económico solicita un concepto sobre i) cuales son los actos precontractuales y contractuales y/o documentos de las distintas etapas del Contrato que finalmente deben las entidades del estado obligadas a Contratar por medio de la Plataforma SECOP II deben publicar; indistintamente de la naturaleza jurídica del Contrato o Convenio que se celebre, colocándose de presente que en ocasiones hay información que antes de ser publicada se encuentra sometida a reserva por ser información que incluye datos de tercera</w:t>
      </w:r>
      <w:r w:rsidR="00225F05">
        <w:rPr>
          <w:rFonts w:ascii="Arial" w:hAnsi="Arial" w:cs="Arial"/>
          <w:color w:val="000000" w:themeColor="text1"/>
          <w:sz w:val="22"/>
          <w:lang w:val="es-ES_tradnl"/>
        </w:rPr>
        <w:t>s (sic)</w:t>
      </w:r>
      <w:r w:rsidR="00915C0C">
        <w:rPr>
          <w:rFonts w:ascii="Arial" w:hAnsi="Arial" w:cs="Arial"/>
          <w:color w:val="000000" w:themeColor="text1"/>
          <w:sz w:val="22"/>
          <w:lang w:val="es-ES_tradnl"/>
        </w:rPr>
        <w:t xml:space="preserve"> </w:t>
      </w:r>
      <w:r w:rsidR="00915C0C" w:rsidRPr="00915C0C">
        <w:rPr>
          <w:rFonts w:ascii="Arial" w:hAnsi="Arial" w:cs="Arial"/>
          <w:color w:val="000000" w:themeColor="text1"/>
          <w:sz w:val="22"/>
          <w:lang w:val="es-ES_tradnl"/>
        </w:rPr>
        <w:t>personas.</w:t>
      </w:r>
      <w:r w:rsidR="00915C0C">
        <w:rPr>
          <w:rFonts w:ascii="Arial" w:hAnsi="Arial" w:cs="Arial"/>
          <w:color w:val="000000" w:themeColor="text1"/>
          <w:sz w:val="22"/>
          <w:lang w:val="es-ES_tradnl"/>
        </w:rPr>
        <w:t>»</w:t>
      </w:r>
    </w:p>
    <w:p w14:paraId="25CD39DE" w14:textId="77777777" w:rsidR="00B77F67" w:rsidRPr="00B77F67" w:rsidRDefault="00B77F67" w:rsidP="00B77F67">
      <w:pPr>
        <w:ind w:left="709" w:right="709"/>
        <w:jc w:val="both"/>
        <w:rPr>
          <w:rFonts w:ascii="Arial" w:hAnsi="Arial" w:cs="Arial"/>
          <w:color w:val="000000" w:themeColor="text1"/>
          <w:sz w:val="21"/>
          <w:szCs w:val="21"/>
          <w:lang w:val="es-ES_tradnl"/>
        </w:rPr>
      </w:pPr>
    </w:p>
    <w:p w14:paraId="124D2DCA" w14:textId="77777777" w:rsidR="00DD5B04" w:rsidRPr="005419DA"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5419DA">
        <w:rPr>
          <w:rFonts w:ascii="Arial" w:eastAsia="Calibri" w:hAnsi="Arial" w:cs="Arial"/>
          <w:b/>
          <w:color w:val="000000" w:themeColor="text1"/>
          <w:sz w:val="22"/>
          <w:lang w:val="es-ES_tradnl"/>
        </w:rPr>
        <w:t>Consideraciones</w:t>
      </w:r>
    </w:p>
    <w:p w14:paraId="7563E114" w14:textId="77777777" w:rsidR="00600AF5" w:rsidRDefault="00600AF5" w:rsidP="00600AF5">
      <w:pPr>
        <w:tabs>
          <w:tab w:val="left" w:pos="426"/>
        </w:tabs>
        <w:spacing w:line="276" w:lineRule="auto"/>
        <w:jc w:val="both"/>
        <w:rPr>
          <w:rFonts w:ascii="Arial" w:eastAsia="Calibri" w:hAnsi="Arial" w:cs="Arial"/>
          <w:color w:val="000000" w:themeColor="text1"/>
          <w:sz w:val="22"/>
          <w:szCs w:val="22"/>
          <w:lang w:val="es-ES_tradnl"/>
        </w:rPr>
      </w:pPr>
    </w:p>
    <w:p w14:paraId="1DB84F14" w14:textId="46EE11A2" w:rsidR="00BC1F25" w:rsidRPr="003253B1" w:rsidRDefault="00BC1F25" w:rsidP="00600AF5">
      <w:pPr>
        <w:tabs>
          <w:tab w:val="left" w:pos="426"/>
        </w:tabs>
        <w:spacing w:line="276" w:lineRule="auto"/>
        <w:jc w:val="both"/>
        <w:rPr>
          <w:rFonts w:ascii="Arial" w:eastAsia="Calibri" w:hAnsi="Arial" w:cs="Arial"/>
          <w:sz w:val="22"/>
          <w:lang w:val="es-ES"/>
        </w:rPr>
      </w:pPr>
      <w:r w:rsidRPr="003253B1">
        <w:rPr>
          <w:rFonts w:ascii="Arial" w:eastAsia="Calibri" w:hAnsi="Arial" w:cs="Arial"/>
          <w:sz w:val="22"/>
          <w:lang w:val="es-ES"/>
        </w:rPr>
        <w:t xml:space="preserve">Para abordar los interrogantes planteados se analizarán los siguientes temas: i) el deber de publicar la información contractual en el SECOP, como garantía del derecho fundamental a acceder a la documentación pública y </w:t>
      </w:r>
      <w:proofErr w:type="spellStart"/>
      <w:r w:rsidRPr="003253B1">
        <w:rPr>
          <w:rFonts w:ascii="Arial" w:eastAsia="Calibri" w:hAnsi="Arial" w:cs="Arial"/>
          <w:sz w:val="22"/>
          <w:lang w:val="es-ES"/>
        </w:rPr>
        <w:t>ii</w:t>
      </w:r>
      <w:proofErr w:type="spellEnd"/>
      <w:r w:rsidRPr="003253B1">
        <w:rPr>
          <w:rFonts w:ascii="Arial" w:eastAsia="Calibri" w:hAnsi="Arial" w:cs="Arial"/>
          <w:sz w:val="22"/>
          <w:lang w:val="es-ES"/>
        </w:rPr>
        <w:t>) la reserva de información pública como límite al deber de divulgación proactiva de la información en la contratación estatal.</w:t>
      </w:r>
      <w:r w:rsidR="00915C0C">
        <w:rPr>
          <w:rFonts w:ascii="Arial" w:eastAsia="Calibri" w:hAnsi="Arial" w:cs="Arial"/>
          <w:sz w:val="22"/>
          <w:lang w:val="es-ES"/>
        </w:rPr>
        <w:t xml:space="preserve"> </w:t>
      </w:r>
    </w:p>
    <w:p w14:paraId="42BE7028" w14:textId="3D40DB5D" w:rsidR="00BC1F25" w:rsidRDefault="00BC1F25" w:rsidP="00BC1F25">
      <w:pPr>
        <w:tabs>
          <w:tab w:val="left" w:pos="426"/>
        </w:tabs>
        <w:spacing w:before="120" w:line="276" w:lineRule="auto"/>
        <w:ind w:firstLine="709"/>
        <w:jc w:val="both"/>
        <w:rPr>
          <w:rFonts w:ascii="Arial" w:eastAsia="Calibri" w:hAnsi="Arial" w:cs="Arial"/>
          <w:sz w:val="22"/>
          <w:lang w:val="es-ES"/>
        </w:rPr>
      </w:pPr>
      <w:r w:rsidRPr="003253B1">
        <w:rPr>
          <w:rFonts w:ascii="Arial" w:eastAsia="Calibri" w:hAnsi="Arial" w:cs="Arial"/>
          <w:sz w:val="22"/>
          <w:lang w:val="es-ES"/>
        </w:rPr>
        <w:t>La Agencia Nacional de Contratación Pública – Colombia Compra Eficiente ha tenido la oportunidad de estudiar en diferentes ocasiones los temas que se abordarán en el presente concepto, relacionados con la publicación de documentación contractual en las plataformas SECOP I y SECOP II. Así lo hizo en el concepto con radicado No. 4201912000007253 del 4 de diciembre de 2019, reiterado en el concepto con radicado No. 4201912000007289 de la misma fecha, así como en el C-336 del 2 de junio de 2020, donde se estudió la publicidad de los procedimientos contractuales en el SECOP I y SECOP II, respecto de entidades regidas por el Estatuto General de Contratación de la Administración Pública. En los conceptos C-046 del 19 de febrero de 2020, C-095 del 16 de marzo de 2020, C-197 del 26 de marzo de 2020, C-170 del 6 de abril de 2020, C-172 del 6 de abril de 2020, C-176 del 6 de abril de 2020, C-009 del 27 de abril de 2020, C-009 del 27 de abril de 2020 y C-015 del 29 de abril de 2020, se analizó el SECOP I como medio de publicidad de las actuaciones contractuales, la naturaleza transaccional y obligatoriedad de SECOP II y los documentos que deben publicarse en estas plataformas. Dichas ideas se unificaron en el concepto CU-367 del 23 de julio de 2020, reiterado en el C-672 del 11 de noviembre de 2020</w:t>
      </w:r>
      <w:r w:rsidR="001D4048">
        <w:rPr>
          <w:rFonts w:ascii="Arial" w:eastAsia="Calibri" w:hAnsi="Arial" w:cs="Arial"/>
          <w:sz w:val="22"/>
          <w:lang w:val="es-ES"/>
        </w:rPr>
        <w:t>. As</w:t>
      </w:r>
      <w:r w:rsidR="00477B4D">
        <w:rPr>
          <w:rFonts w:ascii="Arial" w:eastAsia="Calibri" w:hAnsi="Arial" w:cs="Arial"/>
          <w:sz w:val="22"/>
          <w:lang w:val="es-ES"/>
        </w:rPr>
        <w:t>i</w:t>
      </w:r>
      <w:r w:rsidR="001D4048">
        <w:rPr>
          <w:rFonts w:ascii="Arial" w:eastAsia="Calibri" w:hAnsi="Arial" w:cs="Arial"/>
          <w:sz w:val="22"/>
          <w:lang w:val="es-ES"/>
        </w:rPr>
        <w:t>mismo</w:t>
      </w:r>
      <w:r w:rsidR="00477B4D">
        <w:rPr>
          <w:rFonts w:ascii="Arial" w:eastAsia="Calibri" w:hAnsi="Arial" w:cs="Arial"/>
          <w:sz w:val="22"/>
          <w:lang w:val="es-ES"/>
        </w:rPr>
        <w:t>,</w:t>
      </w:r>
      <w:r w:rsidR="001D4048">
        <w:rPr>
          <w:rFonts w:ascii="Arial" w:eastAsia="Calibri" w:hAnsi="Arial" w:cs="Arial"/>
          <w:sz w:val="22"/>
          <w:lang w:val="es-ES"/>
        </w:rPr>
        <w:t xml:space="preserve"> en concepto C-104 del </w:t>
      </w:r>
      <w:r w:rsidR="002706CE">
        <w:rPr>
          <w:rFonts w:ascii="Arial" w:eastAsia="Calibri" w:hAnsi="Arial" w:cs="Arial"/>
          <w:sz w:val="22"/>
          <w:lang w:val="es-ES"/>
        </w:rPr>
        <w:t>6 de abril de 2021 se estudió la existencia de reserva</w:t>
      </w:r>
      <w:r w:rsidR="00477B4D">
        <w:rPr>
          <w:rFonts w:ascii="Arial" w:eastAsia="Calibri" w:hAnsi="Arial" w:cs="Arial"/>
          <w:sz w:val="22"/>
          <w:lang w:val="es-ES"/>
        </w:rPr>
        <w:t>s</w:t>
      </w:r>
      <w:r w:rsidR="002706CE">
        <w:rPr>
          <w:rFonts w:ascii="Arial" w:eastAsia="Calibri" w:hAnsi="Arial" w:cs="Arial"/>
          <w:sz w:val="22"/>
          <w:lang w:val="es-ES"/>
        </w:rPr>
        <w:t xml:space="preserve"> como excepción al deber de publicar la información contractual en el SECOP.</w:t>
      </w:r>
      <w:r w:rsidR="00655652">
        <w:rPr>
          <w:rFonts w:ascii="Arial" w:eastAsia="Calibri" w:hAnsi="Arial" w:cs="Arial"/>
          <w:sz w:val="22"/>
          <w:lang w:val="es-ES"/>
        </w:rPr>
        <w:t xml:space="preserve"> </w:t>
      </w:r>
      <w:r w:rsidR="00477B4D">
        <w:rPr>
          <w:rFonts w:ascii="Arial" w:eastAsia="Calibri" w:hAnsi="Arial" w:cs="Arial"/>
          <w:sz w:val="22"/>
          <w:lang w:val="es-ES"/>
        </w:rPr>
        <w:t>Para</w:t>
      </w:r>
      <w:r w:rsidR="00655652">
        <w:rPr>
          <w:rFonts w:ascii="Arial" w:eastAsia="Calibri" w:hAnsi="Arial" w:cs="Arial"/>
          <w:sz w:val="22"/>
          <w:lang w:val="es-ES"/>
        </w:rPr>
        <w:t xml:space="preserve"> resolver la presente petición se reiterarán y complementarán, en lo pertinente, las consideraciones de dicho</w:t>
      </w:r>
      <w:r w:rsidR="00477B4D">
        <w:rPr>
          <w:rFonts w:ascii="Arial" w:eastAsia="Calibri" w:hAnsi="Arial" w:cs="Arial"/>
          <w:sz w:val="22"/>
          <w:lang w:val="es-ES"/>
        </w:rPr>
        <w:t>s</w:t>
      </w:r>
      <w:r w:rsidR="00655652">
        <w:rPr>
          <w:rFonts w:ascii="Arial" w:eastAsia="Calibri" w:hAnsi="Arial" w:cs="Arial"/>
          <w:sz w:val="22"/>
          <w:lang w:val="es-ES"/>
        </w:rPr>
        <w:t xml:space="preserve"> concepto</w:t>
      </w:r>
      <w:r w:rsidR="00477B4D">
        <w:rPr>
          <w:rFonts w:ascii="Arial" w:eastAsia="Calibri" w:hAnsi="Arial" w:cs="Arial"/>
          <w:sz w:val="22"/>
          <w:lang w:val="es-ES"/>
        </w:rPr>
        <w:t>s</w:t>
      </w:r>
      <w:r w:rsidR="00655652">
        <w:rPr>
          <w:rFonts w:ascii="Arial" w:eastAsia="Calibri" w:hAnsi="Arial" w:cs="Arial"/>
          <w:sz w:val="22"/>
          <w:lang w:val="es-ES"/>
        </w:rPr>
        <w:t>.</w:t>
      </w:r>
    </w:p>
    <w:p w14:paraId="53FA2F64" w14:textId="18AF231E" w:rsidR="00260464" w:rsidRDefault="00260464" w:rsidP="00A02F05">
      <w:pPr>
        <w:tabs>
          <w:tab w:val="left" w:pos="426"/>
        </w:tabs>
        <w:spacing w:line="276" w:lineRule="auto"/>
        <w:jc w:val="both"/>
        <w:rPr>
          <w:rFonts w:ascii="Arial" w:eastAsia="Calibri" w:hAnsi="Arial" w:cs="Arial"/>
          <w:sz w:val="22"/>
          <w:lang w:val="es-ES"/>
        </w:rPr>
      </w:pPr>
    </w:p>
    <w:p w14:paraId="4DB969E7" w14:textId="67458EDF" w:rsidR="00260464" w:rsidRDefault="00260464" w:rsidP="00260464">
      <w:pPr>
        <w:tabs>
          <w:tab w:val="left" w:pos="426"/>
        </w:tabs>
        <w:spacing w:before="120" w:line="276" w:lineRule="auto"/>
        <w:jc w:val="both"/>
        <w:rPr>
          <w:rFonts w:ascii="Arial" w:eastAsia="Calibri" w:hAnsi="Arial" w:cs="Arial"/>
          <w:sz w:val="22"/>
          <w:lang w:val="es-ES"/>
        </w:rPr>
      </w:pPr>
      <w:r>
        <w:rPr>
          <w:rFonts w:ascii="Arial" w:eastAsia="Calibri" w:hAnsi="Arial" w:cs="Arial"/>
          <w:b/>
          <w:bCs/>
          <w:sz w:val="22"/>
          <w:lang w:val="es-ES"/>
        </w:rPr>
        <w:t>2.1 Principio de Publicidad - Naturaleza</w:t>
      </w:r>
    </w:p>
    <w:p w14:paraId="1117DC91" w14:textId="77777777" w:rsidR="00477B4D" w:rsidRDefault="00477B4D" w:rsidP="00A02F05">
      <w:pPr>
        <w:tabs>
          <w:tab w:val="left" w:pos="426"/>
        </w:tabs>
        <w:spacing w:line="276" w:lineRule="auto"/>
        <w:jc w:val="both"/>
        <w:rPr>
          <w:rFonts w:ascii="Arial" w:eastAsia="Calibri" w:hAnsi="Arial" w:cs="Arial"/>
          <w:sz w:val="22"/>
          <w:lang w:val="es-ES"/>
        </w:rPr>
      </w:pPr>
    </w:p>
    <w:p w14:paraId="49DCC034" w14:textId="77777777" w:rsidR="00A02F05" w:rsidRDefault="00A02F05" w:rsidP="00A02F05">
      <w:pPr>
        <w:spacing w:after="120" w:line="276" w:lineRule="auto"/>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 xml:space="preserve">Uno de los postulados más importantes de un Estado social y democrático de derecho es el principio de </w:t>
      </w:r>
      <w:r w:rsidRPr="00C22EDD">
        <w:rPr>
          <w:rFonts w:ascii="Arial" w:eastAsia="Calibri" w:hAnsi="Arial" w:cs="Arial"/>
          <w:i/>
          <w:iCs/>
          <w:color w:val="000000" w:themeColor="text1"/>
          <w:sz w:val="22"/>
          <w:lang w:val="es-ES_tradnl"/>
        </w:rPr>
        <w:t>publicidad</w:t>
      </w:r>
      <w:r w:rsidRPr="00C22EDD">
        <w:rPr>
          <w:rFonts w:ascii="Arial" w:eastAsia="Calibri" w:hAnsi="Arial" w:cs="Arial"/>
          <w:color w:val="000000" w:themeColor="text1"/>
          <w:sz w:val="22"/>
          <w:lang w:val="es-ES_tradnl"/>
        </w:rPr>
        <w:t xml:space="preserve">, pues este permite que las actuaciones de las autoridades gocen de visibilidad. En tal sentido, la filosofía política </w:t>
      </w:r>
      <w:r>
        <w:rPr>
          <w:rFonts w:ascii="Arial" w:eastAsia="Calibri" w:hAnsi="Arial" w:cs="Arial"/>
          <w:color w:val="000000" w:themeColor="text1"/>
          <w:sz w:val="22"/>
          <w:lang w:val="es-ES_tradnl"/>
        </w:rPr>
        <w:t>explica</w:t>
      </w:r>
      <w:r w:rsidRPr="00C22EDD">
        <w:rPr>
          <w:rFonts w:ascii="Arial" w:eastAsia="Calibri" w:hAnsi="Arial" w:cs="Arial"/>
          <w:color w:val="000000" w:themeColor="text1"/>
          <w:sz w:val="22"/>
          <w:lang w:val="es-ES_tradnl"/>
        </w:rPr>
        <w:t xml:space="preserve"> que la democracia «[…] es idealmente el gobierno de un poder visible, es decir, el gobierno cuyos actos se realizan ante el público y bajo la supervisión de la opinión pública»</w:t>
      </w:r>
      <w:r w:rsidRPr="00C22EDD">
        <w:rPr>
          <w:rStyle w:val="Refdenotaalpie"/>
          <w:rFonts w:ascii="Arial" w:eastAsia="Calibri" w:hAnsi="Arial" w:cs="Arial"/>
          <w:color w:val="000000" w:themeColor="text1"/>
          <w:sz w:val="22"/>
          <w:lang w:val="es-ES_tradnl"/>
        </w:rPr>
        <w:footnoteReference w:id="3"/>
      </w:r>
      <w:r w:rsidRPr="00C22EDD">
        <w:rPr>
          <w:rFonts w:ascii="Arial" w:eastAsia="Calibri" w:hAnsi="Arial" w:cs="Arial"/>
          <w:color w:val="000000" w:themeColor="text1"/>
          <w:sz w:val="22"/>
          <w:lang w:val="es-ES_tradnl"/>
        </w:rPr>
        <w:t xml:space="preserve">. El secreto generalizado en el ejercicio del poder político constituye, por el contrario, una negación de la democracia, porque dificulta la supervisión de las autoridades por parte de la sociedad civil y establece una barrera para la participación ciudadana. </w:t>
      </w:r>
    </w:p>
    <w:p w14:paraId="34C6718B" w14:textId="77777777" w:rsidR="00A02F05" w:rsidRPr="00C22EDD" w:rsidRDefault="00A02F05" w:rsidP="00A02F05">
      <w:pPr>
        <w:spacing w:line="276" w:lineRule="auto"/>
        <w:ind w:firstLine="708"/>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 xml:space="preserve">Inspirada en esta concepción axiológica, la Constitución Política de 1991 consagra en varios artículos la publicidad como un principio rector del Estado colombiano. Entre los </w:t>
      </w:r>
      <w:r w:rsidRPr="00C22EDD">
        <w:rPr>
          <w:rFonts w:ascii="Arial" w:eastAsia="Calibri" w:hAnsi="Arial" w:cs="Arial"/>
          <w:color w:val="000000" w:themeColor="text1"/>
          <w:sz w:val="22"/>
          <w:lang w:val="es-ES_tradnl"/>
        </w:rPr>
        <w:lastRenderedPageBreak/>
        <w:t xml:space="preserve">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De este modo, </w:t>
      </w:r>
      <w:r>
        <w:rPr>
          <w:rFonts w:ascii="Arial" w:eastAsia="Calibri" w:hAnsi="Arial" w:cs="Arial"/>
          <w:color w:val="000000" w:themeColor="text1"/>
          <w:sz w:val="22"/>
          <w:lang w:val="es-ES_tradnl"/>
        </w:rPr>
        <w:t>explica</w:t>
      </w:r>
      <w:r w:rsidRPr="00C22EDD">
        <w:rPr>
          <w:rFonts w:ascii="Arial" w:eastAsia="Calibri" w:hAnsi="Arial" w:cs="Arial"/>
          <w:color w:val="000000" w:themeColor="text1"/>
          <w:sz w:val="22"/>
          <w:lang w:val="es-ES_tradnl"/>
        </w:rPr>
        <w:t>:</w:t>
      </w:r>
    </w:p>
    <w:p w14:paraId="3BFEB57E" w14:textId="77777777" w:rsidR="00A02F05" w:rsidRPr="00C22EDD" w:rsidRDefault="00A02F05" w:rsidP="00A02F05">
      <w:pPr>
        <w:ind w:firstLine="709"/>
        <w:jc w:val="both"/>
        <w:rPr>
          <w:rFonts w:ascii="Arial" w:eastAsia="Calibri" w:hAnsi="Arial" w:cs="Arial"/>
          <w:color w:val="000000" w:themeColor="text1"/>
          <w:sz w:val="22"/>
          <w:lang w:val="es-ES_tradnl"/>
        </w:rPr>
      </w:pPr>
    </w:p>
    <w:p w14:paraId="35856E01" w14:textId="77777777" w:rsidR="00A02F05" w:rsidRPr="00C22EDD" w:rsidRDefault="00A02F05" w:rsidP="00A02F05">
      <w:pPr>
        <w:tabs>
          <w:tab w:val="left" w:pos="3885"/>
        </w:tabs>
        <w:spacing w:after="120"/>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5AD9DDED" w14:textId="77777777" w:rsidR="00A02F05" w:rsidRPr="00C22EDD" w:rsidRDefault="00A02F05" w:rsidP="00A02F05">
      <w:pPr>
        <w:tabs>
          <w:tab w:val="left" w:pos="3885"/>
          <w:tab w:val="left" w:pos="8222"/>
        </w:tabs>
        <w:ind w:left="709" w:right="709"/>
        <w:jc w:val="both"/>
        <w:rPr>
          <w:rFonts w:ascii="Arial" w:hAnsi="Arial" w:cs="Arial"/>
          <w:color w:val="000000" w:themeColor="text1"/>
          <w:sz w:val="22"/>
          <w:lang w:val="es-ES_tradnl"/>
        </w:rPr>
      </w:pPr>
      <w:r w:rsidRPr="00C22EDD">
        <w:rPr>
          <w:rFonts w:ascii="Arial" w:hAnsi="Arial" w:cs="Arial"/>
          <w:color w:val="000000" w:themeColor="text1"/>
          <w:sz w:val="21"/>
          <w:szCs w:val="21"/>
          <w:lang w:val="es-ES_tradnl"/>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C22EDD">
        <w:rPr>
          <w:rFonts w:ascii="Arial" w:hAnsi="Arial" w:cs="Arial"/>
          <w:color w:val="000000" w:themeColor="text1"/>
          <w:sz w:val="21"/>
          <w:szCs w:val="21"/>
          <w:lang w:val="es-ES_tradnl"/>
        </w:rPr>
        <w:t>autoridades públicas</w:t>
      </w:r>
      <w:proofErr w:type="gramEnd"/>
      <w:r w:rsidRPr="00C22EDD">
        <w:rPr>
          <w:rFonts w:ascii="Arial" w:hAnsi="Arial" w:cs="Arial"/>
          <w:color w:val="000000" w:themeColor="text1"/>
          <w:sz w:val="21"/>
          <w:szCs w:val="21"/>
          <w:lang w:val="es-ES_tradnl"/>
        </w:rPr>
        <w:t xml:space="preserve"> y, a través de ese conocimiento, a exigir que ellas se surtan conforme a la ley</w:t>
      </w:r>
      <w:r w:rsidRPr="00C22EDD">
        <w:rPr>
          <w:rStyle w:val="Refdenotaalpie"/>
          <w:rFonts w:ascii="Arial" w:eastAsia="Calibri" w:hAnsi="Arial" w:cs="Arial"/>
          <w:color w:val="000000" w:themeColor="text1"/>
          <w:sz w:val="21"/>
          <w:szCs w:val="21"/>
          <w:lang w:val="es-ES_tradnl"/>
        </w:rPr>
        <w:footnoteReference w:id="4"/>
      </w:r>
      <w:r w:rsidRPr="00C22EDD">
        <w:rPr>
          <w:rFonts w:ascii="Arial" w:eastAsia="Calibri" w:hAnsi="Arial" w:cs="Arial"/>
          <w:color w:val="000000" w:themeColor="text1"/>
          <w:sz w:val="21"/>
          <w:szCs w:val="21"/>
          <w:lang w:val="es-ES_tradnl"/>
        </w:rPr>
        <w:t>.</w:t>
      </w:r>
    </w:p>
    <w:p w14:paraId="7323A476" w14:textId="77777777" w:rsidR="00A02F05" w:rsidRPr="00C22EDD" w:rsidRDefault="00A02F05" w:rsidP="00A02F05">
      <w:pPr>
        <w:spacing w:line="276" w:lineRule="auto"/>
        <w:ind w:right="709"/>
        <w:jc w:val="both"/>
        <w:rPr>
          <w:rFonts w:ascii="Arial" w:eastAsia="Calibri" w:hAnsi="Arial" w:cs="Arial"/>
          <w:color w:val="000000" w:themeColor="text1"/>
          <w:sz w:val="22"/>
          <w:lang w:val="es-ES_tradnl"/>
        </w:rPr>
      </w:pPr>
    </w:p>
    <w:p w14:paraId="39693B21" w14:textId="77777777" w:rsidR="00A02F05" w:rsidRPr="00C22EDD" w:rsidRDefault="00A02F05" w:rsidP="00A02F05">
      <w:pPr>
        <w:spacing w:line="276" w:lineRule="auto"/>
        <w:ind w:firstLine="709"/>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El principio de publicidad impone a las autoridades administrativas el deber de dar a conocer sus actos, contratos y decisiones, para que se divulguen y eventualmente se controlen dichas actuaciones. Es por e</w:t>
      </w:r>
      <w:r>
        <w:rPr>
          <w:rFonts w:ascii="Arial" w:eastAsia="Calibri" w:hAnsi="Arial" w:cs="Arial"/>
          <w:color w:val="000000" w:themeColor="text1"/>
          <w:sz w:val="22"/>
          <w:lang w:val="es-ES_tradnl"/>
        </w:rPr>
        <w:t>s</w:t>
      </w:r>
      <w:r w:rsidRPr="00C22EDD">
        <w:rPr>
          <w:rFonts w:ascii="Arial" w:eastAsia="Calibri" w:hAnsi="Arial" w:cs="Arial"/>
          <w:color w:val="000000" w:themeColor="text1"/>
          <w:sz w:val="22"/>
          <w:lang w:val="es-ES_tradnl"/>
        </w:rPr>
        <w:t xml:space="preserve">o </w:t>
      </w:r>
      <w:proofErr w:type="gramStart"/>
      <w:r w:rsidRPr="00C22EDD">
        <w:rPr>
          <w:rFonts w:ascii="Arial" w:eastAsia="Calibri" w:hAnsi="Arial" w:cs="Arial"/>
          <w:color w:val="000000" w:themeColor="text1"/>
          <w:sz w:val="22"/>
          <w:lang w:val="es-ES_tradnl"/>
        </w:rPr>
        <w:t>que</w:t>
      </w:r>
      <w:proofErr w:type="gramEnd"/>
      <w:r w:rsidRPr="00C22EDD">
        <w:rPr>
          <w:rFonts w:ascii="Arial" w:eastAsia="Calibri" w:hAnsi="Arial" w:cs="Arial"/>
          <w:color w:val="000000" w:themeColor="text1"/>
          <w:sz w:val="22"/>
          <w:lang w:val="es-ES_tradnl"/>
        </w:rPr>
        <w:t>, en la contratación estatal,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r w:rsidRPr="00C22EDD">
        <w:rPr>
          <w:rStyle w:val="Refdenotaalpie"/>
          <w:rFonts w:ascii="Arial" w:eastAsia="Calibri" w:hAnsi="Arial" w:cs="Arial"/>
          <w:color w:val="000000" w:themeColor="text1"/>
          <w:sz w:val="22"/>
          <w:lang w:val="es-ES_tradnl"/>
        </w:rPr>
        <w:footnoteReference w:id="5"/>
      </w:r>
      <w:r w:rsidRPr="00C22EDD">
        <w:rPr>
          <w:rFonts w:ascii="Arial" w:eastAsia="Calibri" w:hAnsi="Arial" w:cs="Arial"/>
          <w:color w:val="000000" w:themeColor="text1"/>
          <w:sz w:val="22"/>
          <w:lang w:val="es-ES_tradnl"/>
        </w:rPr>
        <w:t xml:space="preserve">. </w:t>
      </w:r>
    </w:p>
    <w:p w14:paraId="150E28FF" w14:textId="77777777" w:rsidR="00A02F05" w:rsidRPr="00C22EDD" w:rsidRDefault="00A02F05" w:rsidP="00A02F05">
      <w:pPr>
        <w:spacing w:before="120" w:line="276" w:lineRule="auto"/>
        <w:ind w:firstLine="709"/>
        <w:jc w:val="both"/>
        <w:rPr>
          <w:rFonts w:ascii="Arial" w:eastAsia="Calibri" w:hAnsi="Arial" w:cs="Arial"/>
          <w:color w:val="000000" w:themeColor="text1"/>
          <w:sz w:val="22"/>
          <w:lang w:val="es-ES_tradnl"/>
        </w:rPr>
      </w:pPr>
      <w:r w:rsidRPr="00C22EDD">
        <w:rPr>
          <w:rFonts w:ascii="Arial" w:hAnsi="Arial" w:cs="Arial"/>
          <w:color w:val="000000" w:themeColor="text1"/>
          <w:sz w:val="22"/>
          <w:lang w:val="es-ES_tradnl"/>
        </w:rPr>
        <w:t xml:space="preserve">De otra parte, la Ley 1712 de 2014 –ley estatutaria que regula la transparencia y el derecho de acceso a la información y a los documentos públicos–, identifica como principios </w:t>
      </w:r>
      <w:r w:rsidRPr="00C22EDD">
        <w:rPr>
          <w:rFonts w:ascii="Arial" w:hAnsi="Arial" w:cs="Arial"/>
          <w:color w:val="000000" w:themeColor="text1"/>
          <w:sz w:val="22"/>
          <w:lang w:val="es-ES_tradnl"/>
        </w:rPr>
        <w:lastRenderedPageBreak/>
        <w:t>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C22EDD">
        <w:rPr>
          <w:rStyle w:val="Refdenotaalpie"/>
          <w:rFonts w:ascii="Arial" w:hAnsi="Arial" w:cs="Arial"/>
          <w:color w:val="000000" w:themeColor="text1"/>
          <w:sz w:val="22"/>
          <w:lang w:val="es-ES_tradnl"/>
        </w:rPr>
        <w:footnoteReference w:id="6"/>
      </w:r>
      <w:r w:rsidRPr="00C22EDD">
        <w:rPr>
          <w:rFonts w:ascii="Arial" w:hAnsi="Arial" w:cs="Arial"/>
          <w:color w:val="000000" w:themeColor="text1"/>
          <w:sz w:val="22"/>
          <w:lang w:val="es-ES_tradnl"/>
        </w:rPr>
        <w:t xml:space="preserve">. El principio de transparencia en la información alude al deber de los sujetos de proporcionar y facilitar el acceso a la misma en los términos más amplios posibles, y a través de los medios y procedimientos legales. </w:t>
      </w:r>
      <w:r>
        <w:rPr>
          <w:rFonts w:ascii="Arial" w:eastAsiaTheme="minorHAnsi" w:hAnsi="Arial" w:cs="Arial"/>
          <w:color w:val="000000" w:themeColor="text1"/>
          <w:sz w:val="22"/>
          <w:szCs w:val="22"/>
          <w:lang w:val="es-ES_tradnl" w:eastAsia="en-US"/>
        </w:rPr>
        <w:t>E</w:t>
      </w:r>
      <w:r w:rsidRPr="00C22EDD">
        <w:rPr>
          <w:rFonts w:ascii="Arial" w:eastAsiaTheme="minorHAnsi" w:hAnsi="Arial" w:cs="Arial"/>
          <w:color w:val="000000" w:themeColor="text1"/>
          <w:sz w:val="22"/>
          <w:szCs w:val="22"/>
          <w:lang w:val="es-ES_tradnl" w:eastAsia="en-US"/>
        </w:rPr>
        <w:t>n el literal e) del artículo 9</w:t>
      </w:r>
      <w:r>
        <w:rPr>
          <w:rFonts w:ascii="Arial" w:eastAsiaTheme="minorHAnsi" w:hAnsi="Arial" w:cs="Arial"/>
          <w:color w:val="000000" w:themeColor="text1"/>
          <w:sz w:val="22"/>
          <w:szCs w:val="22"/>
          <w:lang w:val="es-ES_tradnl" w:eastAsia="en-US"/>
        </w:rPr>
        <w:t>, l</w:t>
      </w:r>
      <w:r w:rsidRPr="00C22EDD">
        <w:rPr>
          <w:rFonts w:ascii="Arial" w:eastAsiaTheme="minorHAnsi" w:hAnsi="Arial" w:cs="Arial"/>
          <w:color w:val="000000" w:themeColor="text1"/>
          <w:sz w:val="22"/>
          <w:szCs w:val="22"/>
          <w:lang w:val="es-ES_tradnl" w:eastAsia="en-US"/>
        </w:rPr>
        <w:t>a ley estatutaria citada establece</w:t>
      </w:r>
      <w:r>
        <w:rPr>
          <w:rFonts w:ascii="Arial" w:eastAsiaTheme="minorHAnsi" w:hAnsi="Arial" w:cs="Arial"/>
          <w:color w:val="000000" w:themeColor="text1"/>
          <w:sz w:val="22"/>
          <w:szCs w:val="22"/>
          <w:lang w:val="es-ES_tradnl" w:eastAsia="en-US"/>
        </w:rPr>
        <w:t xml:space="preserve"> dispone</w:t>
      </w:r>
      <w:r w:rsidRPr="00C22EDD">
        <w:rPr>
          <w:rFonts w:ascii="Arial" w:eastAsiaTheme="minorHAnsi" w:hAnsi="Arial" w:cs="Arial"/>
          <w:color w:val="000000" w:themeColor="text1"/>
          <w:sz w:val="22"/>
          <w:szCs w:val="22"/>
          <w:lang w:val="es-ES_tradnl" w:eastAsia="en-US"/>
        </w:rPr>
        <w:t xml:space="preserve"> que los sujetos obligados, que son todas las entidades públicas</w:t>
      </w:r>
      <w:r w:rsidRPr="00C22EDD">
        <w:rPr>
          <w:rStyle w:val="Refdenotaalpie"/>
          <w:rFonts w:ascii="Arial" w:eastAsiaTheme="minorHAnsi" w:hAnsi="Arial" w:cs="Arial"/>
          <w:color w:val="000000" w:themeColor="text1"/>
          <w:sz w:val="22"/>
          <w:szCs w:val="22"/>
          <w:lang w:val="es-ES_tradnl" w:eastAsia="en-US"/>
        </w:rPr>
        <w:footnoteReference w:id="7"/>
      </w:r>
      <w:r w:rsidRPr="00C22EDD">
        <w:rPr>
          <w:rFonts w:ascii="Arial" w:eastAsiaTheme="minorHAnsi" w:hAnsi="Arial" w:cs="Arial"/>
          <w:color w:val="000000" w:themeColor="text1"/>
          <w:sz w:val="22"/>
          <w:szCs w:val="22"/>
          <w:lang w:val="es-ES_tradnl" w:eastAsia="en-US"/>
        </w:rPr>
        <w:t>, deben publicar la información relativa a su contratación. Esta obligación fue desarrollada por el Decreto Único Reglamentario 1081 de 2015</w:t>
      </w:r>
      <w:r w:rsidRPr="00C22EDD">
        <w:rPr>
          <w:rStyle w:val="Refdenotaalpie"/>
          <w:rFonts w:ascii="Arial" w:eastAsiaTheme="minorHAnsi" w:hAnsi="Arial" w:cs="Arial"/>
          <w:color w:val="000000" w:themeColor="text1"/>
          <w:sz w:val="22"/>
          <w:szCs w:val="22"/>
          <w:lang w:val="es-ES_tradnl" w:eastAsia="en-US"/>
        </w:rPr>
        <w:footnoteReference w:id="8"/>
      </w:r>
      <w:r w:rsidRPr="00C22EDD">
        <w:rPr>
          <w:rFonts w:ascii="Arial" w:eastAsiaTheme="minorHAnsi" w:hAnsi="Arial" w:cs="Arial"/>
          <w:color w:val="000000" w:themeColor="text1"/>
          <w:sz w:val="22"/>
          <w:szCs w:val="22"/>
          <w:lang w:val="es-ES_tradnl" w:eastAsia="en-US"/>
        </w:rPr>
        <w:t xml:space="preserve">, el cual dispuso que la publicación de la información contractual de los sujetos obligados, que contratan con cargo a recursos públicos, debe hacerse en el Sistema Electrónico </w:t>
      </w:r>
      <w:r>
        <w:rPr>
          <w:rFonts w:ascii="Arial" w:eastAsiaTheme="minorHAnsi" w:hAnsi="Arial" w:cs="Arial"/>
          <w:color w:val="000000" w:themeColor="text1"/>
          <w:sz w:val="22"/>
          <w:szCs w:val="22"/>
          <w:lang w:val="es-ES_tradnl" w:eastAsia="en-US"/>
        </w:rPr>
        <w:t>para la</w:t>
      </w:r>
      <w:r w:rsidRPr="00C22EDD">
        <w:rPr>
          <w:rFonts w:ascii="Arial" w:eastAsiaTheme="minorHAnsi" w:hAnsi="Arial" w:cs="Arial"/>
          <w:color w:val="000000" w:themeColor="text1"/>
          <w:sz w:val="22"/>
          <w:szCs w:val="22"/>
          <w:lang w:val="es-ES_tradnl" w:eastAsia="en-US"/>
        </w:rPr>
        <w:t xml:space="preserve"> Contratación Pública ─</w:t>
      </w:r>
      <w:r w:rsidRPr="00C22EDD">
        <w:rPr>
          <w:rFonts w:ascii="Arial" w:eastAsiaTheme="minorHAnsi" w:hAnsi="Arial" w:cs="Arial"/>
          <w:color w:val="000000" w:themeColor="text1"/>
          <w:sz w:val="22"/>
          <w:szCs w:val="22"/>
          <w:lang w:val="es-ES_tradnl" w:eastAsia="en-US"/>
        </w:rPr>
        <w:softHyphen/>
        <w:t xml:space="preserve"> </w:t>
      </w:r>
      <w:r w:rsidRPr="00C22EDD">
        <w:rPr>
          <w:rFonts w:ascii="Arial" w:eastAsiaTheme="minorHAnsi" w:hAnsi="Arial" w:cs="Arial"/>
          <w:color w:val="000000" w:themeColor="text1"/>
          <w:sz w:val="22"/>
          <w:szCs w:val="22"/>
          <w:lang w:val="es-ES_tradnl" w:eastAsia="en-US"/>
        </w:rPr>
        <w:softHyphen/>
        <w:t>SECOP–.</w:t>
      </w:r>
    </w:p>
    <w:p w14:paraId="5B478777" w14:textId="77777777" w:rsidR="00A02F05" w:rsidRPr="00C22EDD" w:rsidRDefault="00A02F05" w:rsidP="00A02F05">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r w:rsidRPr="00C22EDD">
        <w:rPr>
          <w:rFonts w:ascii="Arial" w:eastAsia="Calibri" w:hAnsi="Arial" w:cs="Arial"/>
          <w:color w:val="000000" w:themeColor="text1"/>
          <w:sz w:val="22"/>
          <w:lang w:val="es-ES_tradn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C22EDD">
        <w:rPr>
          <w:rStyle w:val="Refdenotaalpie"/>
          <w:rFonts w:ascii="Arial" w:eastAsia="Calibri" w:hAnsi="Arial" w:cs="Arial"/>
          <w:color w:val="000000" w:themeColor="text1"/>
          <w:sz w:val="22"/>
          <w:lang w:val="es-ES_tradnl"/>
        </w:rPr>
        <w:footnoteReference w:id="9"/>
      </w:r>
      <w:r w:rsidRPr="00C22EDD">
        <w:rPr>
          <w:rFonts w:ascii="Arial" w:eastAsia="Calibri" w:hAnsi="Arial" w:cs="Arial"/>
          <w:color w:val="000000" w:themeColor="text1"/>
          <w:sz w:val="22"/>
          <w:lang w:val="es-ES_tradnl"/>
        </w:rPr>
        <w:t>.</w:t>
      </w:r>
    </w:p>
    <w:p w14:paraId="6224CF59" w14:textId="514D9AB9" w:rsidR="00A02F05" w:rsidRDefault="00A02F05" w:rsidP="00A02F05">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Para el año 2013, la Agencia Nacional de Contratación Pública </w:t>
      </w:r>
      <w:r>
        <w:rPr>
          <w:rFonts w:ascii="Arial" w:hAnsi="Arial" w:cs="Arial"/>
          <w:color w:val="000000" w:themeColor="text1"/>
          <w:sz w:val="22"/>
          <w:lang w:val="es-ES_tradnl"/>
        </w:rPr>
        <w:t>–</w:t>
      </w:r>
      <w:r w:rsidRPr="00C22EDD">
        <w:rPr>
          <w:rFonts w:ascii="Arial" w:hAnsi="Arial" w:cs="Arial"/>
          <w:color w:val="000000" w:themeColor="text1"/>
          <w:sz w:val="22"/>
          <w:lang w:val="es-ES_tradnl"/>
        </w:rPr>
        <w:t xml:space="preserve"> Colombia Compra Eficiente, mediante la Circular Externa No 1 del 21 de junio de 2013, recopilada en la Circular Externa Única, recordó a todas las entidades del Estado el deber de publicar </w:t>
      </w:r>
      <w:r w:rsidRPr="00C22EDD">
        <w:rPr>
          <w:rFonts w:ascii="Arial" w:hAnsi="Arial" w:cs="Arial"/>
          <w:color w:val="000000" w:themeColor="text1"/>
          <w:sz w:val="22"/>
          <w:lang w:val="es-ES_tradnl"/>
        </w:rPr>
        <w:lastRenderedPageBreak/>
        <w:t>oportunamente la información oficial de la contratación en el SECOP, sin distinción de su régimen jurídico, naturaleza jurídica o la pertenencia a una u otra rama del poder público</w:t>
      </w:r>
      <w:r w:rsidRPr="00C22EDD">
        <w:rPr>
          <w:rStyle w:val="Refdenotaalpie"/>
          <w:rFonts w:ascii="Arial" w:hAnsi="Arial" w:cs="Arial"/>
          <w:color w:val="000000" w:themeColor="text1"/>
          <w:sz w:val="22"/>
          <w:lang w:val="es-ES_tradnl"/>
        </w:rPr>
        <w:footnoteReference w:id="10"/>
      </w:r>
      <w:r w:rsidRPr="00C22EDD">
        <w:rPr>
          <w:rFonts w:ascii="Arial" w:hAnsi="Arial" w:cs="Arial"/>
          <w:color w:val="000000" w:themeColor="text1"/>
          <w:sz w:val="22"/>
          <w:lang w:val="es-ES_tradnl"/>
        </w:rPr>
        <w:t>. Este deber, como se verá más adelante, permanece vigente, incluso con el auto del 25 de febrero de 2021. Además, la Circular Externa Única, en el numeral 1.1., estableció,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29358E6A" w14:textId="77777777" w:rsidR="00A02F05" w:rsidRPr="00C22EDD" w:rsidRDefault="00A02F05" w:rsidP="00A02F05">
      <w:pPr>
        <w:spacing w:before="120" w:line="276" w:lineRule="auto"/>
        <w:ind w:firstLine="709"/>
        <w:jc w:val="both"/>
        <w:rPr>
          <w:rFonts w:ascii="Arial" w:hAnsi="Arial" w:cs="Arial"/>
          <w:color w:val="000000" w:themeColor="text1"/>
          <w:sz w:val="22"/>
          <w:lang w:val="es-ES_tradnl"/>
        </w:rPr>
      </w:pPr>
    </w:p>
    <w:p w14:paraId="4D6D33DB" w14:textId="616DA550" w:rsidR="00BC1F25" w:rsidRPr="003253B1" w:rsidRDefault="00BC1F25" w:rsidP="00BC1F25">
      <w:pPr>
        <w:tabs>
          <w:tab w:val="left" w:pos="426"/>
        </w:tabs>
        <w:spacing w:line="276" w:lineRule="auto"/>
        <w:jc w:val="both"/>
        <w:rPr>
          <w:rFonts w:ascii="Arial" w:eastAsia="Calibri" w:hAnsi="Arial" w:cs="Arial"/>
          <w:b/>
          <w:bCs/>
          <w:color w:val="000000"/>
          <w:sz w:val="22"/>
          <w:lang w:val="es-ES_tradnl" w:eastAsia="en-GB"/>
        </w:rPr>
      </w:pPr>
      <w:r w:rsidRPr="003253B1">
        <w:rPr>
          <w:rFonts w:ascii="Arial" w:eastAsia="Calibri" w:hAnsi="Arial" w:cs="Arial"/>
          <w:b/>
          <w:bCs/>
          <w:color w:val="000000"/>
          <w:sz w:val="22"/>
          <w:lang w:val="es-ES_tradnl" w:eastAsia="en-GB"/>
        </w:rPr>
        <w:t>2.</w:t>
      </w:r>
      <w:r w:rsidR="004F544B">
        <w:rPr>
          <w:rFonts w:ascii="Arial" w:eastAsia="Calibri" w:hAnsi="Arial" w:cs="Arial"/>
          <w:b/>
          <w:bCs/>
          <w:color w:val="000000"/>
          <w:sz w:val="22"/>
          <w:lang w:val="es-ES_tradnl" w:eastAsia="en-GB"/>
        </w:rPr>
        <w:t>2</w:t>
      </w:r>
      <w:r w:rsidRPr="003253B1">
        <w:rPr>
          <w:rFonts w:ascii="Arial" w:eastAsia="Calibri" w:hAnsi="Arial" w:cs="Arial"/>
          <w:b/>
          <w:bCs/>
          <w:color w:val="000000"/>
          <w:sz w:val="22"/>
          <w:lang w:val="es-ES_tradnl" w:eastAsia="en-GB"/>
        </w:rPr>
        <w:t>. Derecho de acceso a la información y a la documentación pública. Su garantía en la contratación estatal materializada en el deber de publicar la información contractual en el SECOP</w:t>
      </w:r>
    </w:p>
    <w:p w14:paraId="716B347E" w14:textId="77777777" w:rsidR="00BC1F25" w:rsidRPr="003253B1" w:rsidRDefault="00BC1F25" w:rsidP="00BC1F25">
      <w:pPr>
        <w:tabs>
          <w:tab w:val="left" w:pos="426"/>
        </w:tabs>
        <w:spacing w:line="276" w:lineRule="auto"/>
        <w:jc w:val="both"/>
        <w:rPr>
          <w:rFonts w:ascii="Arial" w:eastAsia="Calibri" w:hAnsi="Arial" w:cs="Arial"/>
          <w:color w:val="000000"/>
          <w:sz w:val="22"/>
          <w:lang w:val="es-ES_tradnl" w:eastAsia="en-GB"/>
        </w:rPr>
      </w:pPr>
    </w:p>
    <w:p w14:paraId="38C9C11B" w14:textId="77777777" w:rsidR="00BC1F25" w:rsidRPr="003253B1" w:rsidRDefault="00BC1F25" w:rsidP="00BC1F25">
      <w:pPr>
        <w:tabs>
          <w:tab w:val="left" w:pos="426"/>
        </w:tabs>
        <w:spacing w:line="276" w:lineRule="auto"/>
        <w:jc w:val="both"/>
        <w:rPr>
          <w:rFonts w:ascii="Arial" w:eastAsia="Calibri" w:hAnsi="Arial" w:cs="Arial"/>
          <w:color w:val="000000"/>
          <w:sz w:val="22"/>
          <w:lang w:val="es-ES_tradnl" w:eastAsia="en-GB"/>
        </w:rPr>
      </w:pPr>
      <w:r w:rsidRPr="003253B1">
        <w:rPr>
          <w:rFonts w:ascii="Arial" w:eastAsia="Calibri" w:hAnsi="Arial" w:cs="Arial"/>
          <w:color w:val="000000"/>
          <w:sz w:val="22"/>
          <w:lang w:val="es-ES_tradnl" w:eastAsia="en-GB"/>
        </w:rPr>
        <w:t xml:space="preserve">El artículo 74 de la Constitución Política establece que «Todas las personas tienen derecho a acceder a los documentos públicos salvo los casos que establezca la ley». Esta disposición constitucional consagra el derecho fundamental de acceso a la información y a la documentación pública, salvo causal de reserva expresamente prevista en la Ley. Tal derecho se regula integralmente en la Ley 1712 de 2014 «Ley de Transparencia y del Derecho de Acceso a la Información Pública Nacional». Esta Ley establece el </w:t>
      </w:r>
      <w:r w:rsidRPr="003253B1">
        <w:rPr>
          <w:rFonts w:ascii="Arial" w:eastAsia="Calibri" w:hAnsi="Arial" w:cs="Arial"/>
          <w:i/>
          <w:iCs/>
          <w:color w:val="000000"/>
          <w:sz w:val="22"/>
          <w:lang w:val="es-ES_tradnl" w:eastAsia="en-GB"/>
        </w:rPr>
        <w:t>deber de divulgación proactiva de la información</w:t>
      </w:r>
      <w:r w:rsidRPr="003253B1">
        <w:rPr>
          <w:rFonts w:ascii="Arial" w:eastAsia="Calibri" w:hAnsi="Arial" w:cs="Arial"/>
          <w:color w:val="000000"/>
          <w:sz w:val="22"/>
          <w:lang w:val="es-ES_tradnl" w:eastAsia="en-GB"/>
        </w:rPr>
        <w:t xml:space="preserve"> e indica que las entidades estatales deben publicar su información contractual (artículos 9, literales c, e y f; 10 y 11, literal g). El Decreto 1081 de 2015, en los arts. 2.1.1.2.1.5. al 2.1.1.2.1.10., reglamenta el deber de las entidades estatales de publicar su información contractual en el SECOP, en cumplimiento del artículo 3 de la Ley 1150 de 2007</w:t>
      </w:r>
      <w:r w:rsidRPr="003253B1">
        <w:rPr>
          <w:rFonts w:ascii="Arial" w:eastAsia="Arial" w:hAnsi="Arial" w:cs="Arial"/>
          <w:sz w:val="21"/>
          <w:szCs w:val="21"/>
          <w:vertAlign w:val="superscript"/>
          <w:lang w:val="es-ES"/>
        </w:rPr>
        <w:footnoteReference w:id="11"/>
      </w:r>
      <w:r w:rsidRPr="003253B1">
        <w:rPr>
          <w:rFonts w:ascii="Arial" w:eastAsia="Arial" w:hAnsi="Arial" w:cs="Arial"/>
          <w:sz w:val="21"/>
          <w:szCs w:val="21"/>
          <w:lang w:val="es-ES"/>
        </w:rPr>
        <w:t>.</w:t>
      </w:r>
    </w:p>
    <w:p w14:paraId="2F02020D" w14:textId="77777777" w:rsidR="00BC1F25" w:rsidRPr="003253B1" w:rsidRDefault="00BC1F25" w:rsidP="00BC1F25">
      <w:pPr>
        <w:widowControl w:val="0"/>
        <w:tabs>
          <w:tab w:val="left" w:pos="728"/>
        </w:tabs>
        <w:autoSpaceDE w:val="0"/>
        <w:autoSpaceDN w:val="0"/>
        <w:spacing w:before="120" w:after="120" w:line="276" w:lineRule="auto"/>
        <w:jc w:val="both"/>
        <w:rPr>
          <w:rFonts w:ascii="Arial" w:eastAsia="Arial" w:hAnsi="Arial" w:cs="Arial"/>
          <w:sz w:val="22"/>
          <w:lang w:val="es-ES"/>
        </w:rPr>
      </w:pPr>
      <w:r w:rsidRPr="003253B1">
        <w:rPr>
          <w:rFonts w:ascii="Arial" w:eastAsia="Arial" w:hAnsi="Arial" w:cs="Arial"/>
          <w:sz w:val="22"/>
          <w:lang w:val="es-ES"/>
        </w:rPr>
        <w:tab/>
        <w:t xml:space="preserve">El principio de publicidad impone a las autoridades administrativas el deber de dar a conocer sus actos, contratos y decisiones, para que se divulguen y eventualmente se controlen las actuaciones. 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 </w:t>
      </w:r>
    </w:p>
    <w:p w14:paraId="7B156D02" w14:textId="77777777" w:rsidR="00BC1F25" w:rsidRPr="003253B1" w:rsidRDefault="00BC1F25" w:rsidP="00BC1F25">
      <w:pPr>
        <w:widowControl w:val="0"/>
        <w:tabs>
          <w:tab w:val="left" w:pos="728"/>
        </w:tabs>
        <w:autoSpaceDE w:val="0"/>
        <w:autoSpaceDN w:val="0"/>
        <w:spacing w:after="120" w:line="276" w:lineRule="auto"/>
        <w:jc w:val="both"/>
        <w:rPr>
          <w:rFonts w:ascii="Arial" w:eastAsia="Arial" w:hAnsi="Arial" w:cs="Arial"/>
          <w:sz w:val="22"/>
          <w:lang w:val="es-ES"/>
        </w:rPr>
      </w:pPr>
      <w:r w:rsidRPr="003253B1">
        <w:rPr>
          <w:rFonts w:ascii="Arial" w:eastAsia="Arial" w:hAnsi="Arial" w:cs="Arial"/>
          <w:sz w:val="22"/>
          <w:lang w:val="es-ES"/>
        </w:rPr>
        <w:tab/>
        <w:t xml:space="preserve">De otra parte, la Ley 1712 de 2014 identifica como principios que orientan el derecho de acceso a la información pública los de máxima publicidad y transparencia en la </w:t>
      </w:r>
      <w:r w:rsidRPr="003253B1">
        <w:rPr>
          <w:rFonts w:ascii="Arial" w:eastAsia="Arial" w:hAnsi="Arial" w:cs="Arial"/>
          <w:sz w:val="22"/>
          <w:lang w:val="es-ES"/>
        </w:rPr>
        <w:lastRenderedPageBreak/>
        <w:t>información. El principio de máxima publicidad establece que «toda información en posesión, bajo control o custodia de un sujeto obligado es pública y no podrá ser reservada o limitada sino por disposición constitucional o legal»</w:t>
      </w:r>
      <w:r w:rsidRPr="003253B1">
        <w:rPr>
          <w:rFonts w:ascii="Arial" w:eastAsia="Arial" w:hAnsi="Arial" w:cs="Arial"/>
          <w:sz w:val="22"/>
          <w:vertAlign w:val="superscript"/>
          <w:lang w:val="es-ES"/>
        </w:rPr>
        <w:footnoteReference w:id="12"/>
      </w:r>
      <w:r w:rsidRPr="003253B1">
        <w:rPr>
          <w:rFonts w:ascii="Arial" w:eastAsia="Arial" w:hAnsi="Arial" w:cs="Arial"/>
          <w:sz w:val="22"/>
          <w:lang w:val="es-ES"/>
        </w:rPr>
        <w:t xml:space="preserve">. El principio de transparencia en la información alude al deber de los sujetos de proporcionar y facilitar el acceso a la misma en los términos más amplios posibles, y a través de los medios y procedimientos que establezca la ley. </w:t>
      </w:r>
    </w:p>
    <w:p w14:paraId="0003E017" w14:textId="77777777" w:rsidR="00BC1F25" w:rsidRPr="003253B1" w:rsidRDefault="00BC1F25" w:rsidP="00BC1F25">
      <w:pPr>
        <w:widowControl w:val="0"/>
        <w:tabs>
          <w:tab w:val="left" w:pos="728"/>
        </w:tabs>
        <w:autoSpaceDE w:val="0"/>
        <w:autoSpaceDN w:val="0"/>
        <w:spacing w:after="120" w:line="276" w:lineRule="auto"/>
        <w:jc w:val="both"/>
        <w:rPr>
          <w:rFonts w:ascii="Arial" w:eastAsia="Arial" w:hAnsi="Arial" w:cs="Arial"/>
          <w:sz w:val="22"/>
          <w:lang w:val="es-ES"/>
        </w:rPr>
      </w:pPr>
      <w:r w:rsidRPr="003253B1">
        <w:rPr>
          <w:rFonts w:ascii="Arial" w:eastAsia="Arial" w:hAnsi="Arial" w:cs="Arial"/>
          <w:sz w:val="22"/>
          <w:lang w:val="es-ES"/>
        </w:rPr>
        <w:tab/>
        <w:t>La ley citada establece en el literal e) del artículo 9, que los sujetos obligados, que son todas las entidades públicas</w:t>
      </w:r>
      <w:r w:rsidRPr="003253B1">
        <w:rPr>
          <w:rFonts w:ascii="Arial" w:eastAsia="Arial" w:hAnsi="Arial" w:cs="Arial"/>
          <w:sz w:val="22"/>
          <w:vertAlign w:val="superscript"/>
          <w:lang w:val="es-ES"/>
        </w:rPr>
        <w:footnoteReference w:id="13"/>
      </w:r>
      <w:r w:rsidRPr="003253B1">
        <w:rPr>
          <w:rFonts w:ascii="Arial" w:eastAsia="Arial" w:hAnsi="Arial" w:cs="Arial"/>
          <w:sz w:val="22"/>
          <w:lang w:val="es-ES"/>
        </w:rPr>
        <w:t>, deben publicar la información relativa a su contratación. Esta obligación fue en principio desarrollada por el Decreto 103 de 2015, hoy compilado en el Decreto Único Reglamentario 1081 de 2015</w:t>
      </w:r>
      <w:r w:rsidRPr="003253B1">
        <w:rPr>
          <w:rFonts w:ascii="Arial" w:eastAsia="Arial" w:hAnsi="Arial" w:cs="Arial"/>
          <w:sz w:val="22"/>
          <w:vertAlign w:val="superscript"/>
          <w:lang w:val="es-ES"/>
        </w:rPr>
        <w:footnoteReference w:id="14"/>
      </w:r>
      <w:r w:rsidRPr="003253B1">
        <w:rPr>
          <w:rFonts w:ascii="Arial" w:eastAsia="Arial" w:hAnsi="Arial" w:cs="Arial"/>
          <w:sz w:val="22"/>
          <w:lang w:val="es-ES"/>
        </w:rPr>
        <w:t>, el cual dispuso que la publicación de la información contractual de los sujetos obligados, que contratan con cargo a recursos públicos, debe hacerse en el Sistema Electrónico de Contratación Pública –SECOP–.</w:t>
      </w:r>
    </w:p>
    <w:p w14:paraId="2FB8774C" w14:textId="77777777" w:rsidR="00BC1F25" w:rsidRPr="003253B1" w:rsidRDefault="00BC1F25" w:rsidP="00BC1F25">
      <w:pPr>
        <w:widowControl w:val="0"/>
        <w:tabs>
          <w:tab w:val="left" w:pos="728"/>
        </w:tabs>
        <w:autoSpaceDE w:val="0"/>
        <w:autoSpaceDN w:val="0"/>
        <w:spacing w:after="120" w:line="276" w:lineRule="auto"/>
        <w:jc w:val="both"/>
        <w:rPr>
          <w:rFonts w:ascii="Arial" w:eastAsia="Arial" w:hAnsi="Arial" w:cs="Arial"/>
          <w:sz w:val="22"/>
          <w:lang w:val="es-ES"/>
        </w:rPr>
      </w:pPr>
      <w:r w:rsidRPr="003253B1">
        <w:rPr>
          <w:rFonts w:ascii="Arial" w:eastAsia="Arial" w:hAnsi="Arial" w:cs="Arial"/>
          <w:sz w:val="22"/>
          <w:lang w:val="es-ES"/>
        </w:rPr>
        <w:tab/>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52C56724" w14:textId="77777777" w:rsidR="00BC1F25" w:rsidRPr="003253B1" w:rsidRDefault="00BC1F25" w:rsidP="00BC1F25">
      <w:pPr>
        <w:spacing w:after="120" w:line="276" w:lineRule="auto"/>
        <w:ind w:firstLine="709"/>
        <w:jc w:val="both"/>
        <w:rPr>
          <w:rFonts w:ascii="Arial" w:hAnsi="Arial" w:cs="Arial"/>
          <w:sz w:val="22"/>
          <w:lang w:val="es-ES"/>
        </w:rPr>
      </w:pPr>
      <w:r w:rsidRPr="003253B1">
        <w:rPr>
          <w:rFonts w:ascii="Arial" w:hAnsi="Arial" w:cs="Arial"/>
          <w:sz w:val="22"/>
          <w:lang w:val="es-ES"/>
        </w:rPr>
        <w:t xml:space="preserve">Conforme a lo anterior, la Agencia Nacional de Contratación Pública – Colombia Compra Eficiente, en el concepto de 4 de diciembre de 2019 –4201912000007289–, sostuvo que la disposición del artículo 3 de la Ley 1150 de 2007 debe armonizarse con lo dispuesto por el artículo 2.2.1.1.1.7.1. del Decreto 1082 de 2015. </w:t>
      </w:r>
    </w:p>
    <w:p w14:paraId="7A12B125" w14:textId="05B62477" w:rsidR="00BC1F25" w:rsidRPr="003253B1" w:rsidRDefault="00BC1F25" w:rsidP="00BC1F25">
      <w:pPr>
        <w:spacing w:after="120" w:line="276" w:lineRule="auto"/>
        <w:ind w:firstLine="709"/>
        <w:jc w:val="both"/>
        <w:rPr>
          <w:rFonts w:ascii="Arial" w:hAnsi="Arial" w:cs="Arial"/>
          <w:sz w:val="22"/>
          <w:lang w:val="es-ES"/>
        </w:rPr>
      </w:pPr>
      <w:r w:rsidRPr="003253B1">
        <w:rPr>
          <w:rFonts w:ascii="Arial" w:hAnsi="Arial" w:cs="Arial"/>
          <w:sz w:val="22"/>
          <w:lang w:val="es-ES"/>
        </w:rPr>
        <w:lastRenderedPageBreak/>
        <w:t>En la disposición</w:t>
      </w:r>
      <w:r w:rsidR="00894A7C">
        <w:rPr>
          <w:rFonts w:ascii="Arial" w:hAnsi="Arial" w:cs="Arial"/>
          <w:sz w:val="22"/>
          <w:lang w:val="es-ES"/>
        </w:rPr>
        <w:t xml:space="preserve"> mencionada</w:t>
      </w:r>
      <w:r w:rsidRPr="003253B1">
        <w:rPr>
          <w:rFonts w:ascii="Arial" w:hAnsi="Arial" w:cs="Arial"/>
          <w:sz w:val="22"/>
          <w:lang w:val="es-ES"/>
        </w:rPr>
        <w:t xml:space="preserve"> se relacionan los documentos que se deben publicar en el SECOP, como un desarrollo de los principios de transparencia y publicidad, que busca permitir, mediante la publicación, que la ciudadanía pueda conocer la actividad contractual de las entidades. Lo anterior por cuanto tales documentos dan cuenta de las decisiones de la Administración pública en beneficio del interés general y que, por tanto, incumben a la ciudadanía.  </w:t>
      </w:r>
    </w:p>
    <w:p w14:paraId="3A22D187" w14:textId="77777777" w:rsidR="00BC1F25" w:rsidRPr="003253B1" w:rsidRDefault="00BC1F25" w:rsidP="00BC1F25">
      <w:pPr>
        <w:spacing w:line="276" w:lineRule="auto"/>
        <w:ind w:firstLine="709"/>
        <w:jc w:val="both"/>
        <w:rPr>
          <w:rFonts w:ascii="Arial" w:hAnsi="Arial" w:cs="Arial"/>
          <w:sz w:val="22"/>
          <w:lang w:val="es-ES"/>
        </w:rPr>
      </w:pPr>
      <w:r w:rsidRPr="003253B1">
        <w:rPr>
          <w:rFonts w:ascii="Arial" w:hAnsi="Arial" w:cs="Arial"/>
          <w:sz w:val="22"/>
          <w:lang w:val="es-ES"/>
        </w:rPr>
        <w:t xml:space="preserve"> Del artículo 3 de la Ley 1150 de 2007 se desprende un deber de publicar las actuaciones contractuales, el cual implica que todas las entidades estatales publiquen los documentos en los que se evidencia el desarrollo de sus procesos de contratación. Esto, comoquiera que el objetivo del deber de dar publicidad a las actuaciones contractuales es materializar el derecho a conocer e intervenir e</w:t>
      </w:r>
      <w:r>
        <w:rPr>
          <w:rFonts w:ascii="Arial" w:hAnsi="Arial" w:cs="Arial"/>
          <w:sz w:val="22"/>
          <w:lang w:val="es-ES"/>
        </w:rPr>
        <w:t>n</w:t>
      </w:r>
      <w:r w:rsidRPr="003253B1">
        <w:rPr>
          <w:rFonts w:ascii="Arial" w:hAnsi="Arial" w:cs="Arial"/>
          <w:sz w:val="22"/>
          <w:lang w:val="es-ES"/>
        </w:rPr>
        <w:t xml:space="preserve"> las decisiones de la Administración Pública.</w:t>
      </w:r>
    </w:p>
    <w:p w14:paraId="64CCEFE6" w14:textId="77777777" w:rsidR="00BC1F25" w:rsidRPr="003253B1" w:rsidRDefault="00BC1F25" w:rsidP="00BC1F25">
      <w:pPr>
        <w:widowControl w:val="0"/>
        <w:autoSpaceDE w:val="0"/>
        <w:autoSpaceDN w:val="0"/>
        <w:spacing w:before="120" w:after="120" w:line="276" w:lineRule="auto"/>
        <w:ind w:firstLine="709"/>
        <w:jc w:val="both"/>
        <w:rPr>
          <w:rFonts w:ascii="Arial" w:eastAsia="Arial" w:hAnsi="Arial" w:cs="Arial"/>
          <w:sz w:val="22"/>
          <w:lang w:val="es-ES"/>
        </w:rPr>
      </w:pPr>
      <w:r w:rsidRPr="003253B1">
        <w:rPr>
          <w:rFonts w:ascii="Arial" w:eastAsia="Arial" w:hAnsi="Arial" w:cs="Arial"/>
          <w:sz w:val="22"/>
          <w:lang w:val="es-ES"/>
        </w:rPr>
        <w:t xml:space="preserve">Ahora bien, las entidades estatales, conforme al artículo 2.2.1.1.1.7.1. del Decreto 1082 de 2015, tienen la obligación de publicar en el SECOP «[…] los Documentos del Proceso y los actos administrativos del Proceso de Contratación, dentro de los tres (3) días siguientes a su expedición […]». La expresión </w:t>
      </w:r>
      <w:r w:rsidRPr="003253B1">
        <w:rPr>
          <w:rFonts w:ascii="Arial" w:eastAsia="Arial" w:hAnsi="Arial" w:cs="Arial"/>
          <w:i/>
          <w:iCs/>
          <w:sz w:val="22"/>
          <w:lang w:val="es-ES"/>
        </w:rPr>
        <w:t>Documentos del Proceso</w:t>
      </w:r>
      <w:r w:rsidRPr="003253B1">
        <w:rPr>
          <w:rFonts w:ascii="Arial" w:eastAsia="Arial" w:hAnsi="Arial" w:cs="Arial"/>
          <w:sz w:val="22"/>
          <w:lang w:val="es-ES"/>
        </w:rPr>
        <w:t xml:space="preserve">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 </w:t>
      </w:r>
    </w:p>
    <w:p w14:paraId="251C2BD0" w14:textId="4C39768C" w:rsidR="00BC1F25" w:rsidRPr="003253B1" w:rsidRDefault="00BC1F25" w:rsidP="00BC1F25">
      <w:pPr>
        <w:widowControl w:val="0"/>
        <w:autoSpaceDE w:val="0"/>
        <w:autoSpaceDN w:val="0"/>
        <w:spacing w:after="120" w:line="276" w:lineRule="auto"/>
        <w:ind w:firstLine="709"/>
        <w:jc w:val="both"/>
        <w:rPr>
          <w:rFonts w:ascii="Arial" w:eastAsia="Arial" w:hAnsi="Arial" w:cs="Arial"/>
          <w:sz w:val="22"/>
          <w:lang w:val="es-ES"/>
        </w:rPr>
      </w:pPr>
      <w:r w:rsidRPr="003253B1">
        <w:rPr>
          <w:rFonts w:ascii="Arial" w:eastAsia="Arial" w:hAnsi="Arial" w:cs="Arial"/>
          <w:sz w:val="22"/>
          <w:lang w:val="es-ES"/>
        </w:rPr>
        <w:t xml:space="preserve">No obstante, para identificar los documentos que deben publicarse, es necesario realizar una interpretación sistemática de las disposiciones del Decreto 1082 del 2015, ya que el anterior no es un listado taxativo, sino enunciativo, porque además de los documentos enlistados, el artículo 2.2.1.1.1.3.1 </w:t>
      </w:r>
      <w:r w:rsidR="00D143B8" w:rsidRPr="003253B1">
        <w:rPr>
          <w:rFonts w:ascii="Arial" w:eastAsia="Arial" w:hAnsi="Arial" w:cs="Arial"/>
          <w:i/>
          <w:iCs/>
          <w:sz w:val="22"/>
          <w:lang w:val="es-ES"/>
        </w:rPr>
        <w:t>Ibidem</w:t>
      </w:r>
      <w:r w:rsidRPr="003253B1">
        <w:rPr>
          <w:rFonts w:ascii="Arial" w:eastAsia="Arial" w:hAnsi="Arial" w:cs="Arial"/>
          <w:sz w:val="22"/>
          <w:lang w:val="es-ES"/>
        </w:rPr>
        <w:t xml:space="preserve"> recoge en la noción de </w:t>
      </w:r>
      <w:r w:rsidRPr="003253B1">
        <w:rPr>
          <w:rFonts w:ascii="Arial" w:eastAsia="Arial" w:hAnsi="Arial" w:cs="Arial"/>
          <w:i/>
          <w:iCs/>
          <w:sz w:val="22"/>
          <w:lang w:val="es-ES"/>
        </w:rPr>
        <w:t>Documentos del Proceso</w:t>
      </w:r>
      <w:r w:rsidRPr="003253B1">
        <w:rPr>
          <w:rFonts w:ascii="Arial" w:eastAsia="Arial" w:hAnsi="Arial" w:cs="Arial"/>
          <w:sz w:val="22"/>
          <w:lang w:val="es-ES"/>
        </w:rPr>
        <w:t xml:space="preserve"> «cualquier otro documento expedido por la Entidad Estatal durante el </w:t>
      </w:r>
      <w:r w:rsidRPr="003253B1">
        <w:rPr>
          <w:rFonts w:ascii="Arial" w:eastAsia="Arial" w:hAnsi="Arial" w:cs="Arial"/>
          <w:i/>
          <w:iCs/>
          <w:sz w:val="22"/>
          <w:lang w:val="es-ES"/>
        </w:rPr>
        <w:t>Proceso de Contratación»</w:t>
      </w:r>
      <w:r w:rsidRPr="003253B1">
        <w:rPr>
          <w:rFonts w:ascii="Arial" w:eastAsia="Arial" w:hAnsi="Arial" w:cs="Arial"/>
          <w:sz w:val="22"/>
          <w:lang w:val="es-ES"/>
        </w:rPr>
        <w:t xml:space="preserve">. Este mismo artículo define la expresión </w:t>
      </w:r>
      <w:r w:rsidRPr="003253B1">
        <w:rPr>
          <w:rFonts w:ascii="Arial" w:eastAsia="Arial" w:hAnsi="Arial" w:cs="Arial"/>
          <w:i/>
          <w:iCs/>
          <w:sz w:val="22"/>
          <w:lang w:val="es-ES"/>
        </w:rPr>
        <w:t>Proceso de Contratación</w:t>
      </w:r>
      <w:r w:rsidRPr="003253B1">
        <w:rPr>
          <w:rFonts w:ascii="Arial" w:eastAsia="Arial" w:hAnsi="Arial" w:cs="Arial"/>
          <w:sz w:val="22"/>
          <w:lang w:val="es-ES"/>
        </w:rPr>
        <w:t xml:space="preserve">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44C99B8F" w14:textId="77777777" w:rsidR="00BC1F25" w:rsidRPr="003253B1" w:rsidRDefault="00BC1F25" w:rsidP="00BC1F25">
      <w:pPr>
        <w:widowControl w:val="0"/>
        <w:autoSpaceDE w:val="0"/>
        <w:autoSpaceDN w:val="0"/>
        <w:spacing w:after="120" w:line="276" w:lineRule="auto"/>
        <w:ind w:firstLine="709"/>
        <w:jc w:val="both"/>
        <w:rPr>
          <w:rFonts w:ascii="Arial" w:eastAsia="Arial" w:hAnsi="Arial" w:cs="Arial"/>
          <w:sz w:val="22"/>
          <w:lang w:val="es-ES"/>
        </w:rPr>
      </w:pPr>
      <w:r w:rsidRPr="003253B1">
        <w:rPr>
          <w:rFonts w:ascii="Arial" w:eastAsia="Arial" w:hAnsi="Arial" w:cs="Arial"/>
          <w:sz w:val="22"/>
          <w:lang w:val="es-ES"/>
        </w:rPr>
        <w:t xml:space="preserve">Nótese que la norma hace referencia a los documentos «expedidos por la entidad estatal» durante el proceso de contratación, excluyendo de la noción de </w:t>
      </w:r>
      <w:r w:rsidRPr="003253B1">
        <w:rPr>
          <w:rFonts w:ascii="Arial" w:eastAsia="Arial" w:hAnsi="Arial" w:cs="Arial"/>
          <w:i/>
          <w:iCs/>
          <w:sz w:val="22"/>
          <w:lang w:val="es-ES"/>
        </w:rPr>
        <w:t>Documentos del Proceso</w:t>
      </w:r>
      <w:r w:rsidRPr="003253B1">
        <w:rPr>
          <w:rFonts w:ascii="Arial" w:eastAsia="Arial" w:hAnsi="Arial" w:cs="Arial"/>
          <w:sz w:val="22"/>
          <w:lang w:val="es-ES"/>
        </w:rPr>
        <w:t xml:space="preserve"> los expedidos por un sujeto distinto a la entidad, salvo la oferta, la cual se incluye expresamente en el artículo 2.2.1.1.1.3.1. </w:t>
      </w:r>
    </w:p>
    <w:p w14:paraId="0561A45B" w14:textId="77777777" w:rsidR="00BC1F25" w:rsidRPr="003253B1" w:rsidRDefault="00BC1F25" w:rsidP="00BC1F25">
      <w:pPr>
        <w:widowControl w:val="0"/>
        <w:autoSpaceDE w:val="0"/>
        <w:autoSpaceDN w:val="0"/>
        <w:spacing w:after="120" w:line="276" w:lineRule="auto"/>
        <w:ind w:firstLine="708"/>
        <w:jc w:val="both"/>
        <w:rPr>
          <w:rFonts w:ascii="Arial" w:eastAsia="Arial" w:hAnsi="Arial" w:cs="Arial"/>
          <w:sz w:val="22"/>
          <w:lang w:val="es-ES"/>
        </w:rPr>
      </w:pPr>
      <w:r w:rsidRPr="003253B1">
        <w:rPr>
          <w:rFonts w:ascii="Arial" w:eastAsia="Arial" w:hAnsi="Arial" w:cs="Arial"/>
          <w:sz w:val="22"/>
          <w:lang w:val="es-ES"/>
        </w:rPr>
        <w:t xml:space="preserve">En ese sentido, la interpretación sistemática de los preceptos del Decreto 1082 de 2015, de acuerdo con el principio de publicidad, inicialmente, indica que las entidades estatales tienen la obligación de publicar todos los documentos que expidan con ocasión </w:t>
      </w:r>
      <w:r w:rsidRPr="003253B1">
        <w:rPr>
          <w:rFonts w:ascii="Arial" w:eastAsia="Arial" w:hAnsi="Arial" w:cs="Arial"/>
          <w:sz w:val="22"/>
          <w:lang w:val="es-ES"/>
        </w:rPr>
        <w:lastRenderedPageBreak/>
        <w:t xml:space="preserve">del </w:t>
      </w:r>
      <w:r w:rsidRPr="003253B1">
        <w:rPr>
          <w:rFonts w:ascii="Arial" w:eastAsia="Arial" w:hAnsi="Arial" w:cs="Arial"/>
          <w:i/>
          <w:iCs/>
          <w:sz w:val="22"/>
          <w:lang w:val="es-ES"/>
        </w:rPr>
        <w:t>Proceso de Contratación</w:t>
      </w:r>
      <w:r w:rsidRPr="003253B1">
        <w:rPr>
          <w:rFonts w:ascii="Arial" w:eastAsia="Arial" w:hAnsi="Arial" w:cs="Arial"/>
          <w:sz w:val="22"/>
          <w:lang w:val="es-ES"/>
        </w:rPr>
        <w:t xml:space="preserve">. Así, desde la fase de planeación hasta «el vencimiento de las garantías de calidad, estabilidad y mantenimiento, o las condiciones de disposición final o recuperación ambiental de las obras o bienes o el vencimiento del plazo, lo que ocurra más tarde», lo que significa que todos los documentos expedidos por la entidad durante las etapas precontractual, de ejecución y </w:t>
      </w:r>
      <w:proofErr w:type="spellStart"/>
      <w:r w:rsidRPr="003253B1">
        <w:rPr>
          <w:rFonts w:ascii="Arial" w:eastAsia="Arial" w:hAnsi="Arial" w:cs="Arial"/>
          <w:sz w:val="22"/>
          <w:lang w:val="es-ES"/>
        </w:rPr>
        <w:t>postcontractual</w:t>
      </w:r>
      <w:proofErr w:type="spellEnd"/>
      <w:r w:rsidRPr="003253B1">
        <w:rPr>
          <w:rFonts w:ascii="Arial" w:eastAsia="Arial" w:hAnsi="Arial" w:cs="Arial"/>
          <w:sz w:val="22"/>
          <w:lang w:val="es-ES"/>
        </w:rPr>
        <w:t xml:space="preserve"> deberán ser publicados en SECOP dentro de los tres (3) días siguientes a su expedición, para  cumplir el deber de publicidad regulado por el artículo 2.2.1.1.1.7.1. del Decreto 1082 de 2015.</w:t>
      </w:r>
    </w:p>
    <w:p w14:paraId="0DEADDA6" w14:textId="77777777" w:rsidR="00BC1F25" w:rsidRPr="00DC28EC" w:rsidRDefault="00BC1F25" w:rsidP="00BC1F25">
      <w:pPr>
        <w:spacing w:before="120" w:after="120" w:line="276" w:lineRule="auto"/>
        <w:ind w:firstLine="709"/>
        <w:jc w:val="both"/>
        <w:rPr>
          <w:rFonts w:ascii="Arial" w:eastAsia="Calibri" w:hAnsi="Arial" w:cs="Arial"/>
          <w:sz w:val="22"/>
          <w:lang w:val="es-ES"/>
        </w:rPr>
      </w:pPr>
      <w:r w:rsidRPr="00DC28EC">
        <w:rPr>
          <w:rFonts w:ascii="Arial" w:eastAsia="Calibri" w:hAnsi="Arial" w:cs="Arial"/>
          <w:sz w:val="22"/>
          <w:lang w:val="es-ES"/>
        </w:rPr>
        <w:t xml:space="preserve">De conformidad con lo anterior, esta interpretación de las disposiciones analizadas permite incorporar al EGCAP importantes principios desarrollados por la normativa de la transparencia y acceso a la información pública. Entre estos principios se encuentran el de </w:t>
      </w:r>
      <w:r w:rsidRPr="00DC28EC">
        <w:rPr>
          <w:rStyle w:val="nfasis"/>
          <w:rFonts w:ascii="Arial" w:hAnsi="Arial" w:cs="Arial"/>
          <w:i w:val="0"/>
          <w:iCs w:val="0"/>
          <w:sz w:val="22"/>
          <w:lang w:val="es-ES"/>
        </w:rPr>
        <w:t>máxima publicidad para un titular universal</w:t>
      </w:r>
      <w:r w:rsidRPr="00DC28EC">
        <w:rPr>
          <w:rStyle w:val="Refdenotaalpie"/>
          <w:rFonts w:ascii="Arial" w:hAnsi="Arial" w:cs="Arial"/>
          <w:sz w:val="22"/>
          <w:lang w:val="es-ES"/>
        </w:rPr>
        <w:footnoteReference w:id="15"/>
      </w:r>
      <w:r w:rsidRPr="00DC28EC">
        <w:rPr>
          <w:rStyle w:val="nfasis"/>
          <w:rFonts w:ascii="Arial" w:hAnsi="Arial" w:cs="Arial"/>
          <w:i w:val="0"/>
          <w:iCs w:val="0"/>
          <w:sz w:val="22"/>
          <w:lang w:val="es-ES"/>
        </w:rPr>
        <w:t>, transparencia, facilitación y divulgación proactiva de la información</w:t>
      </w:r>
      <w:r w:rsidRPr="00DC28EC">
        <w:rPr>
          <w:rStyle w:val="Refdenotaalpie"/>
          <w:rFonts w:ascii="Arial" w:hAnsi="Arial" w:cs="Arial"/>
          <w:sz w:val="22"/>
          <w:lang w:val="es-ES"/>
        </w:rPr>
        <w:footnoteReference w:id="16"/>
      </w:r>
      <w:r w:rsidRPr="00DC28EC">
        <w:rPr>
          <w:rStyle w:val="nfasis"/>
          <w:rFonts w:ascii="Arial" w:hAnsi="Arial" w:cs="Arial"/>
          <w:i w:val="0"/>
          <w:iCs w:val="0"/>
          <w:sz w:val="22"/>
          <w:lang w:val="es-ES"/>
        </w:rPr>
        <w:t xml:space="preserve">. Lo anterior en la medida en que, al ampliarse la actividad contractual sobre la que recae el deber de publicación, se divulga un mayor volumen de información, que de por sí es pública, mediante un mecanismo como el SECOP. Esta plataforma facilita el acceso a la misma desde cualquier dispositivo con acceso a internet. De este modo, garantiza mayor transparencia, al obligarse a las entidades estatales a publicar sus actuaciones de manera proactiva y rutinaria. Ello permite que la ciudadanía conozca con detalle y actualidad el desarrollo de la gestión contractual de la Administración, fomentándose en la contratación pública estándares altos de </w:t>
      </w:r>
      <w:r w:rsidRPr="00444A87">
        <w:rPr>
          <w:rStyle w:val="nfasis"/>
          <w:rFonts w:ascii="Arial" w:hAnsi="Arial" w:cs="Arial"/>
          <w:i w:val="0"/>
          <w:iCs w:val="0"/>
          <w:sz w:val="22"/>
          <w:lang w:val="es-ES"/>
        </w:rPr>
        <w:t>transparencia</w:t>
      </w:r>
      <w:r w:rsidRPr="00DC28EC">
        <w:rPr>
          <w:rStyle w:val="nfasis"/>
          <w:rFonts w:ascii="Arial" w:hAnsi="Arial" w:cs="Arial"/>
          <w:i w:val="0"/>
          <w:iCs w:val="0"/>
          <w:sz w:val="22"/>
          <w:lang w:val="es-ES"/>
        </w:rPr>
        <w:t>.</w:t>
      </w:r>
      <w:r w:rsidRPr="00DC28EC">
        <w:rPr>
          <w:rStyle w:val="nfasis"/>
          <w:rFonts w:ascii="Arial" w:hAnsi="Arial" w:cs="Arial"/>
          <w:sz w:val="22"/>
          <w:lang w:val="es-ES"/>
        </w:rPr>
        <w:t xml:space="preserve">   </w:t>
      </w:r>
    </w:p>
    <w:p w14:paraId="0645F1B0" w14:textId="41C46E40" w:rsidR="00BC1F25" w:rsidRPr="00DC28EC" w:rsidRDefault="00BC1F25" w:rsidP="00BC1F25">
      <w:pPr>
        <w:spacing w:after="120" w:line="276" w:lineRule="auto"/>
        <w:ind w:firstLine="709"/>
        <w:jc w:val="both"/>
        <w:rPr>
          <w:rFonts w:ascii="Arial" w:hAnsi="Arial" w:cs="Arial"/>
          <w:sz w:val="22"/>
          <w:lang w:val="es-ES"/>
        </w:rPr>
      </w:pPr>
      <w:r w:rsidRPr="00DC28EC">
        <w:rPr>
          <w:rStyle w:val="Textoennegrita"/>
          <w:rFonts w:ascii="Arial" w:hAnsi="Arial" w:cs="Arial"/>
          <w:b w:val="0"/>
          <w:bCs w:val="0"/>
          <w:sz w:val="22"/>
          <w:lang w:val="es-ES"/>
        </w:rPr>
        <w:lastRenderedPageBreak/>
        <w:t xml:space="preserve">En conclusión, con base en los fundamentos normativos y argumentos expuestos, además del Plan Anual de Adquisiciones, las entidades estatales regidas por el EGCAP deberán publicar en SECOP los documentos expedidos con ocasión del </w:t>
      </w:r>
      <w:r w:rsidRPr="00DC28EC">
        <w:rPr>
          <w:rStyle w:val="Textoennegrita"/>
          <w:rFonts w:ascii="Arial" w:hAnsi="Arial" w:cs="Arial"/>
          <w:b w:val="0"/>
          <w:bCs w:val="0"/>
          <w:i/>
          <w:iCs/>
          <w:sz w:val="22"/>
          <w:lang w:val="es-ES"/>
        </w:rPr>
        <w:t>proceso de contratación</w:t>
      </w:r>
      <w:r w:rsidRPr="00DC28EC">
        <w:rPr>
          <w:rStyle w:val="Textoennegrita"/>
          <w:rFonts w:ascii="Arial" w:hAnsi="Arial" w:cs="Arial"/>
          <w:b w:val="0"/>
          <w:bCs w:val="0"/>
          <w:sz w:val="22"/>
          <w:lang w:val="es-ES"/>
        </w:rPr>
        <w:t xml:space="preserve">. Entre estos documentos se encuentran: el estudio de oportunidad y conveniencia; </w:t>
      </w:r>
      <w:r w:rsidRPr="00DC28EC">
        <w:rPr>
          <w:rFonts w:ascii="Arial" w:hAnsi="Arial" w:cs="Arial"/>
          <w:sz w:val="22"/>
          <w:lang w:val="es-ES"/>
        </w:rPr>
        <w:t>los estudios y documentos previos –técnicos o no–</w:t>
      </w:r>
      <w:r w:rsidR="00465B54">
        <w:rPr>
          <w:rFonts w:ascii="Arial" w:hAnsi="Arial" w:cs="Arial"/>
          <w:sz w:val="22"/>
          <w:lang w:val="es-ES"/>
        </w:rPr>
        <w:t>; el acto administrativo de justificación de la contratación directa</w:t>
      </w:r>
      <w:r w:rsidRPr="00DC28EC">
        <w:rPr>
          <w:rFonts w:ascii="Arial" w:hAnsi="Arial" w:cs="Arial"/>
          <w:sz w:val="22"/>
          <w:lang w:val="es-ES"/>
        </w:rPr>
        <w:t>; el aviso de convocatoria; el proyecto de pliego de condiciones y las observaciones que le formulen; el pliego de condiciones o la invitación</w:t>
      </w:r>
      <w:r w:rsidR="00444A87">
        <w:rPr>
          <w:rFonts w:ascii="Arial" w:hAnsi="Arial" w:cs="Arial"/>
          <w:sz w:val="22"/>
          <w:lang w:val="es-ES"/>
        </w:rPr>
        <w:t>, etc</w:t>
      </w:r>
      <w:r w:rsidRPr="00DC28EC">
        <w:rPr>
          <w:rFonts w:ascii="Arial" w:hAnsi="Arial" w:cs="Arial"/>
          <w:sz w:val="22"/>
          <w:lang w:val="es-ES"/>
        </w:rPr>
        <w:t>.</w:t>
      </w:r>
    </w:p>
    <w:p w14:paraId="4455B23F" w14:textId="77777777" w:rsidR="00BC1F25" w:rsidRPr="003253B1" w:rsidRDefault="00BC1F25" w:rsidP="00BC1F25">
      <w:pPr>
        <w:spacing w:after="120" w:line="276" w:lineRule="auto"/>
        <w:ind w:firstLine="709"/>
        <w:jc w:val="both"/>
        <w:rPr>
          <w:rFonts w:ascii="Arial" w:hAnsi="Arial" w:cs="Arial"/>
          <w:sz w:val="22"/>
          <w:lang w:val="es-ES"/>
        </w:rPr>
      </w:pPr>
      <w:r w:rsidRPr="003253B1">
        <w:rPr>
          <w:rFonts w:ascii="Arial" w:hAnsi="Arial" w:cs="Arial"/>
          <w:sz w:val="22"/>
          <w:lang w:val="es-ES"/>
        </w:rPr>
        <w:t xml:space="preserve"> De igual manera, dentro de los documentos del proceso, se deben publicar en el SECOP las observaciones que se les realicen al pliego de condiciones; las actas de la audiencia de asignación de riesgos; el acta de cierre del plazo para presentar ofertas; y las adendas.</w:t>
      </w:r>
    </w:p>
    <w:p w14:paraId="26A3F567" w14:textId="77777777" w:rsidR="00BC1F25" w:rsidRPr="003253B1" w:rsidRDefault="00BC1F25" w:rsidP="00BC1F25">
      <w:pPr>
        <w:spacing w:after="120" w:line="276" w:lineRule="auto"/>
        <w:ind w:firstLine="709"/>
        <w:jc w:val="both"/>
        <w:rPr>
          <w:rFonts w:ascii="Arial" w:hAnsi="Arial" w:cs="Arial"/>
          <w:sz w:val="22"/>
          <w:lang w:val="es-ES"/>
        </w:rPr>
      </w:pPr>
      <w:r w:rsidRPr="003253B1">
        <w:rPr>
          <w:rFonts w:ascii="Arial" w:hAnsi="Arial" w:cs="Arial"/>
          <w:sz w:val="22"/>
          <w:lang w:val="es-ES"/>
        </w:rPr>
        <w:t>En procesos cuya publicación deba realizarse en SECOP I, se debe publicar la oferta del adjudicatario y las aclaraciones que se le realicen; el informe de evaluación y las observaciones que se formulen; las respuestas a las observaciones; el contrato y los otrosíes o modificaciones; el acta de inicio; las garantías y el acta de liquidación.</w:t>
      </w:r>
    </w:p>
    <w:p w14:paraId="7B0A3413" w14:textId="77777777" w:rsidR="00BC1F25" w:rsidRPr="003253B1" w:rsidRDefault="00BC1F25" w:rsidP="00BC1F25">
      <w:pPr>
        <w:spacing w:after="120" w:line="276" w:lineRule="auto"/>
        <w:ind w:firstLine="709"/>
        <w:jc w:val="both"/>
        <w:rPr>
          <w:rFonts w:ascii="Arial" w:hAnsi="Arial" w:cs="Arial"/>
          <w:sz w:val="22"/>
          <w:lang w:val="es-ES"/>
        </w:rPr>
      </w:pPr>
      <w:r w:rsidRPr="003253B1">
        <w:rPr>
          <w:rFonts w:ascii="Arial" w:hAnsi="Arial" w:cs="Arial"/>
          <w:sz w:val="22"/>
          <w:lang w:val="es-ES"/>
        </w:rPr>
        <w:t>También deben publicarse en el SECOP los actos administrativos expedidos con ocasión del procedimiento de selección o la ejecución del contrato, como las resoluciones de apertura, de adjudicación, las que se impongan multas, la cláusula penal o declaren la caducidad del contrato; así como los documentos de los procesos por incumplimiento contractual que se lleven a cabo conforme al artículo 86 de la Ley 1474 de 2011, como la citación, las pruebas que se practiquen, la resolución que resuelve la actuación y demás documentos que se produzcan.</w:t>
      </w:r>
    </w:p>
    <w:p w14:paraId="517CBDEE" w14:textId="5385BA1E" w:rsidR="00BC1F25" w:rsidRPr="003253B1" w:rsidRDefault="00BC1F25" w:rsidP="00BC1F25">
      <w:pPr>
        <w:spacing w:line="276" w:lineRule="auto"/>
        <w:ind w:firstLine="709"/>
        <w:jc w:val="both"/>
        <w:rPr>
          <w:rFonts w:ascii="Arial" w:hAnsi="Arial" w:cs="Arial"/>
          <w:sz w:val="22"/>
          <w:lang w:val="es-ES"/>
        </w:rPr>
      </w:pPr>
      <w:r w:rsidRPr="003253B1">
        <w:rPr>
          <w:rFonts w:ascii="Arial" w:hAnsi="Arial" w:cs="Arial"/>
          <w:sz w:val="22"/>
          <w:lang w:val="es-ES"/>
        </w:rPr>
        <w:t xml:space="preserve">Sin perjuicio de lo anterior, no debe perderse de vista </w:t>
      </w:r>
      <w:r w:rsidR="00344ED1" w:rsidRPr="003253B1">
        <w:rPr>
          <w:rFonts w:ascii="Arial" w:hAnsi="Arial" w:cs="Arial"/>
          <w:sz w:val="22"/>
          <w:lang w:val="es-ES"/>
        </w:rPr>
        <w:t>que,</w:t>
      </w:r>
      <w:r w:rsidRPr="003253B1">
        <w:rPr>
          <w:rFonts w:ascii="Arial" w:hAnsi="Arial" w:cs="Arial"/>
          <w:sz w:val="22"/>
          <w:lang w:val="es-ES"/>
        </w:rPr>
        <w:t xml:space="preserve"> en virtud del principio de transparencia, específicamente por cuenta de lo dispuesto en el numeral 4 del artículo 24 de la Ley 80 de 1993</w:t>
      </w:r>
      <w:r w:rsidRPr="003253B1">
        <w:rPr>
          <w:rStyle w:val="Refdenotaalpie"/>
          <w:rFonts w:ascii="Arial" w:hAnsi="Arial" w:cs="Arial"/>
          <w:sz w:val="22"/>
          <w:lang w:val="es-ES"/>
        </w:rPr>
        <w:footnoteReference w:id="17"/>
      </w:r>
      <w:r w:rsidRPr="003253B1">
        <w:rPr>
          <w:rFonts w:ascii="Arial" w:hAnsi="Arial" w:cs="Arial"/>
          <w:sz w:val="22"/>
          <w:lang w:val="es-ES"/>
        </w:rPr>
        <w:t>, así como por el principio de máxima publicidad establecido en el artículo 2 de la Ley 1712 de 2014</w:t>
      </w:r>
      <w:r w:rsidRPr="003253B1">
        <w:rPr>
          <w:rStyle w:val="Refdenotaalpie"/>
          <w:rFonts w:ascii="Arial" w:hAnsi="Arial" w:cs="Arial"/>
          <w:sz w:val="22"/>
          <w:lang w:val="es-ES"/>
        </w:rPr>
        <w:footnoteReference w:id="18"/>
      </w:r>
      <w:r w:rsidRPr="003253B1">
        <w:rPr>
          <w:rFonts w:ascii="Arial" w:hAnsi="Arial" w:cs="Arial"/>
          <w:sz w:val="22"/>
          <w:lang w:val="es-ES"/>
        </w:rPr>
        <w:t xml:space="preserve">, el contenido del expediente en el que reposa la actuación es información pública, independientemente de si se trata de documentos que deban ser publicados en SECOP. Por lo anterior, el contenido del expediente puede ser </w:t>
      </w:r>
      <w:r w:rsidRPr="003253B1">
        <w:rPr>
          <w:rFonts w:ascii="Arial" w:hAnsi="Arial" w:cs="Arial"/>
          <w:sz w:val="22"/>
          <w:lang w:val="es-ES"/>
        </w:rPr>
        <w:lastRenderedPageBreak/>
        <w:t xml:space="preserve">objeto de solicitud de copias, en ejercicio del derecho de petición, en cualquier momento del proceso de selección, en la medida en que las normas señaladas no imponen ningún condicionamiento, así que podrá solicitarlas cualquier persona, </w:t>
      </w:r>
      <w:r>
        <w:rPr>
          <w:rFonts w:ascii="Arial" w:hAnsi="Arial" w:cs="Arial"/>
          <w:sz w:val="22"/>
          <w:lang w:val="es-ES"/>
        </w:rPr>
        <w:t>en desarrollo de la</w:t>
      </w:r>
      <w:r w:rsidRPr="003253B1">
        <w:rPr>
          <w:rFonts w:ascii="Arial" w:hAnsi="Arial" w:cs="Arial"/>
          <w:sz w:val="22"/>
          <w:lang w:val="es-ES"/>
        </w:rPr>
        <w:t xml:space="preserve"> vigilancia de la contratación pública, cuestión que podría interesar a cualquier ciudadano</w:t>
      </w:r>
      <w:r w:rsidRPr="003253B1">
        <w:rPr>
          <w:rStyle w:val="Refdenotaalpie"/>
          <w:rFonts w:ascii="Arial" w:hAnsi="Arial" w:cs="Arial"/>
          <w:sz w:val="22"/>
          <w:lang w:val="es-ES"/>
        </w:rPr>
        <w:footnoteReference w:id="19"/>
      </w:r>
      <w:r w:rsidRPr="003253B1">
        <w:rPr>
          <w:rFonts w:ascii="Arial" w:hAnsi="Arial" w:cs="Arial"/>
          <w:sz w:val="22"/>
          <w:lang w:val="es-ES"/>
        </w:rPr>
        <w:t>. Esta posibilidad solo se encuentra limitada respecto de la documentación que tenga la calidad de reservada</w:t>
      </w:r>
      <w:r w:rsidRPr="003253B1">
        <w:rPr>
          <w:rFonts w:ascii="Arial" w:hAnsi="Arial" w:cs="Arial"/>
          <w:sz w:val="22"/>
          <w:vertAlign w:val="superscript"/>
          <w:lang w:val="es-ES"/>
        </w:rPr>
        <w:footnoteReference w:id="20"/>
      </w:r>
      <w:r w:rsidRPr="003253B1">
        <w:rPr>
          <w:rFonts w:ascii="Arial" w:hAnsi="Arial" w:cs="Arial"/>
          <w:sz w:val="22"/>
          <w:lang w:val="es-ES"/>
        </w:rPr>
        <w:t>, que deberá someterse al tratamiento establecido en el artículo 36 del CPACA, en lo relativo a la formación de cuadernos separados</w:t>
      </w:r>
      <w:r w:rsidRPr="003253B1">
        <w:rPr>
          <w:rFonts w:ascii="Arial" w:hAnsi="Arial" w:cs="Arial"/>
          <w:sz w:val="22"/>
          <w:vertAlign w:val="superscript"/>
          <w:lang w:val="es-ES"/>
        </w:rPr>
        <w:footnoteReference w:id="21"/>
      </w:r>
      <w:r w:rsidRPr="003253B1">
        <w:rPr>
          <w:rFonts w:ascii="Arial" w:hAnsi="Arial" w:cs="Arial"/>
          <w:sz w:val="22"/>
          <w:lang w:val="es-ES"/>
        </w:rPr>
        <w:t>.</w:t>
      </w:r>
    </w:p>
    <w:p w14:paraId="398F2535" w14:textId="77777777" w:rsidR="00BC1F25" w:rsidRPr="003253B1" w:rsidRDefault="00BC1F25" w:rsidP="00BC1F25">
      <w:pPr>
        <w:tabs>
          <w:tab w:val="left" w:pos="426"/>
        </w:tabs>
        <w:spacing w:line="276" w:lineRule="auto"/>
        <w:jc w:val="both"/>
        <w:rPr>
          <w:rFonts w:ascii="Arial" w:eastAsia="Calibri" w:hAnsi="Arial" w:cs="Arial"/>
          <w:b/>
          <w:bCs/>
          <w:color w:val="000000"/>
          <w:sz w:val="22"/>
          <w:lang w:val="es-ES_tradnl" w:eastAsia="en-GB"/>
        </w:rPr>
      </w:pPr>
    </w:p>
    <w:p w14:paraId="4393429D" w14:textId="09A494F6" w:rsidR="00BC1F25" w:rsidRPr="003253B1" w:rsidRDefault="00BC1F25" w:rsidP="00BC1F25">
      <w:pPr>
        <w:tabs>
          <w:tab w:val="left" w:pos="426"/>
        </w:tabs>
        <w:spacing w:line="276" w:lineRule="auto"/>
        <w:jc w:val="both"/>
        <w:rPr>
          <w:rFonts w:ascii="Arial" w:eastAsia="Calibri" w:hAnsi="Arial" w:cs="Arial"/>
          <w:b/>
          <w:bCs/>
          <w:color w:val="000000"/>
          <w:sz w:val="22"/>
          <w:lang w:val="es-ES_tradnl" w:eastAsia="en-GB"/>
        </w:rPr>
      </w:pPr>
      <w:r w:rsidRPr="003253B1">
        <w:rPr>
          <w:rFonts w:ascii="Arial" w:eastAsia="Calibri" w:hAnsi="Arial" w:cs="Arial"/>
          <w:b/>
          <w:bCs/>
          <w:color w:val="000000"/>
          <w:sz w:val="22"/>
          <w:lang w:val="es-ES_tradnl" w:eastAsia="en-GB"/>
        </w:rPr>
        <w:t>2.</w:t>
      </w:r>
      <w:r w:rsidR="00344ED1">
        <w:rPr>
          <w:rFonts w:ascii="Arial" w:eastAsia="Calibri" w:hAnsi="Arial" w:cs="Arial"/>
          <w:b/>
          <w:bCs/>
          <w:color w:val="000000"/>
          <w:sz w:val="22"/>
          <w:lang w:val="es-ES_tradnl" w:eastAsia="en-GB"/>
        </w:rPr>
        <w:t>3</w:t>
      </w:r>
      <w:r w:rsidRPr="003253B1">
        <w:rPr>
          <w:rFonts w:ascii="Arial" w:eastAsia="Calibri" w:hAnsi="Arial" w:cs="Arial"/>
          <w:b/>
          <w:bCs/>
          <w:color w:val="000000"/>
          <w:sz w:val="22"/>
          <w:lang w:val="es-ES_tradnl" w:eastAsia="en-GB"/>
        </w:rPr>
        <w:t>. La reserva de información pública como límite al deber de divulgación proactiva de la información en la contratación estatal</w:t>
      </w:r>
    </w:p>
    <w:p w14:paraId="036F4B25" w14:textId="77777777" w:rsidR="00BC1F25" w:rsidRPr="003253B1" w:rsidRDefault="00BC1F25" w:rsidP="00BC1F25">
      <w:pPr>
        <w:tabs>
          <w:tab w:val="left" w:pos="426"/>
        </w:tabs>
        <w:spacing w:line="276" w:lineRule="auto"/>
        <w:jc w:val="both"/>
        <w:rPr>
          <w:rFonts w:ascii="Arial" w:eastAsia="Calibri" w:hAnsi="Arial" w:cs="Arial"/>
          <w:sz w:val="22"/>
          <w:lang w:val="es-ES"/>
        </w:rPr>
      </w:pPr>
    </w:p>
    <w:p w14:paraId="5FA27034" w14:textId="020C9CAC" w:rsidR="00BC1F25" w:rsidRPr="003253B1" w:rsidRDefault="00BC1F25" w:rsidP="00BC1F25">
      <w:pPr>
        <w:tabs>
          <w:tab w:val="left" w:pos="426"/>
        </w:tabs>
        <w:spacing w:line="276" w:lineRule="auto"/>
        <w:jc w:val="both"/>
        <w:rPr>
          <w:rFonts w:ascii="Arial" w:eastAsia="Calibri" w:hAnsi="Arial" w:cs="Arial"/>
          <w:color w:val="000000"/>
          <w:sz w:val="22"/>
          <w:lang w:val="es-ES_tradnl" w:eastAsia="en-GB"/>
        </w:rPr>
      </w:pPr>
      <w:r w:rsidRPr="003253B1">
        <w:rPr>
          <w:rFonts w:ascii="Arial" w:eastAsia="Calibri" w:hAnsi="Arial" w:cs="Arial"/>
          <w:sz w:val="22"/>
          <w:lang w:val="es-ES"/>
        </w:rPr>
        <w:lastRenderedPageBreak/>
        <w:t xml:space="preserve">No </w:t>
      </w:r>
      <w:r w:rsidR="00344ED1" w:rsidRPr="003253B1">
        <w:rPr>
          <w:rFonts w:ascii="Arial" w:eastAsia="Calibri" w:hAnsi="Arial" w:cs="Arial"/>
          <w:sz w:val="22"/>
          <w:lang w:val="es-ES"/>
        </w:rPr>
        <w:t>obstante,</w:t>
      </w:r>
      <w:r w:rsidRPr="003253B1">
        <w:rPr>
          <w:rFonts w:ascii="Arial" w:eastAsia="Calibri" w:hAnsi="Arial" w:cs="Arial"/>
          <w:sz w:val="22"/>
          <w:lang w:val="es-ES"/>
        </w:rPr>
        <w:t xml:space="preserve"> lo expresado en el numeral anterior, vale la pena aclarar que el cumplimiento del deber de publicación de la documentación contractual debe armonizarse con las normas aplicables al tipo de información que estas contienen. Lo anterior significa que respecto de la información sometida a reserva o de la cual proceda un tratamiento especial que impida su publicidad, las entidades deberán proceder de conformidad con el tratamiento que impongan tales normas, absteniéndose, de ser el caso, de publicar </w:t>
      </w:r>
      <w:r w:rsidR="008B0B64">
        <w:rPr>
          <w:rFonts w:ascii="Arial" w:eastAsia="Calibri" w:hAnsi="Arial" w:cs="Arial"/>
          <w:sz w:val="22"/>
          <w:lang w:val="es-ES"/>
        </w:rPr>
        <w:t xml:space="preserve">los documentos del proceso, </w:t>
      </w:r>
      <w:r w:rsidRPr="003253B1">
        <w:rPr>
          <w:rFonts w:ascii="Arial" w:eastAsia="Calibri" w:hAnsi="Arial" w:cs="Arial"/>
          <w:sz w:val="22"/>
          <w:lang w:val="es-ES"/>
        </w:rPr>
        <w:t xml:space="preserve">algunos </w:t>
      </w:r>
      <w:r w:rsidR="008B0B64">
        <w:rPr>
          <w:rFonts w:ascii="Arial" w:eastAsia="Calibri" w:hAnsi="Arial" w:cs="Arial"/>
          <w:sz w:val="22"/>
          <w:lang w:val="es-ES"/>
        </w:rPr>
        <w:t>de ellos</w:t>
      </w:r>
      <w:r w:rsidRPr="003253B1">
        <w:rPr>
          <w:rFonts w:ascii="Arial" w:eastAsia="Calibri" w:hAnsi="Arial" w:cs="Arial"/>
          <w:sz w:val="22"/>
          <w:lang w:val="es-ES"/>
        </w:rPr>
        <w:t xml:space="preserve"> o algunos apartes de dichos documentos en los que se evidencie este tipo de información. </w:t>
      </w:r>
    </w:p>
    <w:p w14:paraId="75B769B5" w14:textId="5C72D517" w:rsidR="00BC1F25" w:rsidRPr="00F02009" w:rsidRDefault="00BC1F25" w:rsidP="00F02009">
      <w:pPr>
        <w:spacing w:before="120" w:line="276" w:lineRule="auto"/>
        <w:ind w:firstLine="709"/>
        <w:jc w:val="both"/>
        <w:rPr>
          <w:rFonts w:ascii="Arial" w:eastAsia="Calibri" w:hAnsi="Arial" w:cs="Arial"/>
          <w:color w:val="000000"/>
          <w:sz w:val="22"/>
          <w:lang w:val="es-ES_tradnl" w:eastAsia="en-GB"/>
        </w:rPr>
      </w:pPr>
      <w:r w:rsidRPr="00490BE8">
        <w:rPr>
          <w:rFonts w:ascii="Arial" w:eastAsia="Calibri" w:hAnsi="Arial" w:cs="Arial"/>
          <w:color w:val="000000"/>
          <w:sz w:val="22"/>
          <w:lang w:val="es-ES_tradnl" w:eastAsia="en-GB"/>
        </w:rPr>
        <w:t xml:space="preserve">En otras palabras, aunque el artículo 74 de la Constitución establezca que la información pública debe ser dada a conocer a la ciudadanía y así los documentos que hagan parte de la actividad contractual puedan catalogarse, </w:t>
      </w:r>
      <w:r w:rsidRPr="00490BE8">
        <w:rPr>
          <w:rFonts w:ascii="Arial" w:eastAsia="Calibri" w:hAnsi="Arial" w:cs="Arial"/>
          <w:i/>
          <w:iCs/>
          <w:color w:val="000000"/>
          <w:sz w:val="22"/>
          <w:lang w:val="es-ES_tradnl" w:eastAsia="en-GB"/>
        </w:rPr>
        <w:t>prima facie,</w:t>
      </w:r>
      <w:r w:rsidRPr="00490BE8">
        <w:rPr>
          <w:rFonts w:ascii="Arial" w:eastAsia="Calibri" w:hAnsi="Arial" w:cs="Arial"/>
          <w:color w:val="000000"/>
          <w:sz w:val="22"/>
          <w:lang w:val="es-ES_tradnl" w:eastAsia="en-GB"/>
        </w:rPr>
        <w:t xml:space="preserve"> como información pública, cuando dicha documentación contenga información sometida a alguna reserva, que establezca la Constitución o la ley, operan algunas restricciones a su publicidad. Sin embargo, esto no necesariamente convierte el documento completo en reservado, es decir, en un documento que no puede publicarse. En efecto, el principio o regla general consiste en la máxima publicidad de la información pública y lo excepcional es la reserva, razón por la cual el artículo 21 de la Ley 1712 de 2014 incluso exige la divulgación parcial de la información contenida en un documento, cuando este contenga parte de información sometida a reserva, pero también incluya información que no esté afectada por la reserva. Además</w:t>
      </w:r>
      <w:r w:rsidR="008B0B64">
        <w:rPr>
          <w:rFonts w:ascii="Arial" w:eastAsia="Calibri" w:hAnsi="Arial" w:cs="Arial"/>
          <w:color w:val="000000"/>
          <w:sz w:val="22"/>
          <w:lang w:val="es-ES_tradnl" w:eastAsia="en-GB"/>
        </w:rPr>
        <w:t>,</w:t>
      </w:r>
      <w:r w:rsidRPr="00490BE8">
        <w:rPr>
          <w:rFonts w:ascii="Arial" w:eastAsia="Calibri" w:hAnsi="Arial" w:cs="Arial"/>
          <w:color w:val="000000"/>
          <w:sz w:val="22"/>
          <w:lang w:val="es-ES_tradnl" w:eastAsia="en-GB"/>
        </w:rPr>
        <w:t xml:space="preserve"> dicha disposición establece que la reserva de acceso a la información opera respecto al contenido de un documento público, pero no respecto de su existencia</w:t>
      </w:r>
      <w:r w:rsidRPr="00490BE8">
        <w:rPr>
          <w:rStyle w:val="Refdenotaalpie"/>
          <w:rFonts w:ascii="Arial" w:eastAsia="Calibri" w:hAnsi="Arial" w:cs="Arial"/>
          <w:color w:val="000000"/>
          <w:sz w:val="22"/>
          <w:lang w:val="es-ES_tradnl" w:eastAsia="en-GB"/>
        </w:rPr>
        <w:footnoteReference w:id="22"/>
      </w:r>
      <w:r w:rsidRPr="00490BE8">
        <w:rPr>
          <w:rFonts w:ascii="Arial" w:eastAsia="Calibri" w:hAnsi="Arial" w:cs="Arial"/>
          <w:color w:val="000000"/>
          <w:sz w:val="22"/>
          <w:lang w:val="es-ES_tradnl" w:eastAsia="en-GB"/>
        </w:rPr>
        <w:t>.</w:t>
      </w:r>
      <w:r w:rsidR="00F02009" w:rsidRPr="00490BE8">
        <w:rPr>
          <w:rFonts w:ascii="Arial" w:eastAsia="Calibri" w:hAnsi="Arial" w:cs="Arial"/>
          <w:color w:val="000000"/>
          <w:sz w:val="22"/>
          <w:lang w:val="es-ES_tradnl" w:eastAsia="en-GB"/>
        </w:rPr>
        <w:t xml:space="preserve"> Sin perjuicio de lo anterior, es posible que el contenido de todo el documento </w:t>
      </w:r>
      <w:r w:rsidR="00B53CB0">
        <w:rPr>
          <w:rFonts w:ascii="Arial" w:eastAsia="Calibri" w:hAnsi="Arial" w:cs="Arial"/>
          <w:color w:val="000000"/>
          <w:sz w:val="22"/>
          <w:lang w:val="es-ES_tradnl" w:eastAsia="en-GB"/>
        </w:rPr>
        <w:t xml:space="preserve">o expediente </w:t>
      </w:r>
      <w:r w:rsidR="00F02009" w:rsidRPr="00490BE8">
        <w:rPr>
          <w:rFonts w:ascii="Arial" w:eastAsia="Calibri" w:hAnsi="Arial" w:cs="Arial"/>
          <w:color w:val="000000"/>
          <w:sz w:val="22"/>
          <w:lang w:val="es-ES_tradnl" w:eastAsia="en-GB"/>
        </w:rPr>
        <w:t>no deba ser objeto de publicidad por estar amparado de forma íntegra por la reserva, dada su conexión con las causales establecidas en la Constitución o la ley.</w:t>
      </w:r>
    </w:p>
    <w:p w14:paraId="185F3766" w14:textId="6086FD45" w:rsidR="00BC1F25" w:rsidRPr="003253B1" w:rsidRDefault="00BC1F25" w:rsidP="00BC1F25">
      <w:pPr>
        <w:tabs>
          <w:tab w:val="left" w:pos="426"/>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Por ello</w:t>
      </w:r>
      <w:r w:rsidRPr="003253B1">
        <w:rPr>
          <w:rFonts w:ascii="Arial" w:eastAsia="Calibri" w:hAnsi="Arial" w:cs="Arial"/>
          <w:color w:val="000000"/>
          <w:sz w:val="22"/>
          <w:lang w:val="es-ES_tradnl" w:eastAsia="en-GB"/>
        </w:rPr>
        <w:t xml:space="preserve">, el artículo 74 de la Constitución, en armonía con los artículos 18 y 19 de la Ley 1712 de 2014 y los artículos 24 y 25 de la Ley 1437 de 2011 –de acuerdo con la modificación realizada por la Ley 1755 de 2015–, establecen que el derecho de acceso a la información o documentación pública no es absoluto, sino que puede exceptuarse cuando se configuren causales de reserva. Así mismo, hay información que goza de protección </w:t>
      </w:r>
      <w:r w:rsidRPr="003253B1">
        <w:rPr>
          <w:rFonts w:ascii="Arial" w:eastAsia="Calibri" w:hAnsi="Arial" w:cs="Arial"/>
          <w:color w:val="000000"/>
          <w:sz w:val="22"/>
          <w:lang w:val="es-ES_tradnl" w:eastAsia="en-GB"/>
        </w:rPr>
        <w:lastRenderedPageBreak/>
        <w:t>especial y no puede divulgarse. La información pública que contiene datos semiprivados o privados, definidos en los literales g) y h) del artículo 3° de la Ley 1266 de 2008</w:t>
      </w:r>
      <w:r w:rsidR="008B0B64">
        <w:rPr>
          <w:rFonts w:ascii="Arial" w:eastAsia="Calibri" w:hAnsi="Arial" w:cs="Arial"/>
          <w:color w:val="000000"/>
          <w:sz w:val="22"/>
          <w:lang w:val="es-ES_tradnl" w:eastAsia="en-GB"/>
        </w:rPr>
        <w:t>;</w:t>
      </w:r>
      <w:r w:rsidRPr="003253B1">
        <w:rPr>
          <w:rFonts w:ascii="Arial" w:eastAsia="Calibri" w:hAnsi="Arial" w:cs="Arial"/>
          <w:color w:val="000000"/>
          <w:sz w:val="22"/>
          <w:lang w:val="es-ES_tradnl" w:eastAsia="en-GB"/>
        </w:rPr>
        <w:t xml:space="preserve"> clasificados o reservados, según los artículos 18 y 19 de la Ley 1712 de 2014</w:t>
      </w:r>
      <w:r w:rsidR="008B0B64">
        <w:rPr>
          <w:rFonts w:ascii="Arial" w:eastAsia="Calibri" w:hAnsi="Arial" w:cs="Arial"/>
          <w:color w:val="000000"/>
          <w:sz w:val="22"/>
          <w:lang w:val="es-ES_tradnl" w:eastAsia="en-GB"/>
        </w:rPr>
        <w:t>;</w:t>
      </w:r>
      <w:r w:rsidRPr="003253B1">
        <w:rPr>
          <w:rFonts w:ascii="Arial" w:eastAsia="Calibri" w:hAnsi="Arial" w:cs="Arial"/>
          <w:color w:val="000000"/>
          <w:sz w:val="22"/>
          <w:lang w:val="es-ES_tradnl" w:eastAsia="en-GB"/>
        </w:rPr>
        <w:t xml:space="preserve"> o datos personales o sensibles, según lo previsto en los artículos 3° y 5° de la Ley 1581 de 2012 y en el artículo 2.2.2.25.1.3., numeral 3 –que compiló al Decreto 1377 de 2013 (art. 3)–, solo podrá divulgarse según las reglas establecidas en dichas normas. </w:t>
      </w:r>
    </w:p>
    <w:p w14:paraId="17DCF43D" w14:textId="09928415" w:rsidR="00BC1F25" w:rsidRPr="003253B1" w:rsidRDefault="00BC1F25" w:rsidP="00EB793C">
      <w:pPr>
        <w:tabs>
          <w:tab w:val="left" w:pos="426"/>
        </w:tabs>
        <w:spacing w:before="120" w:after="120" w:line="276" w:lineRule="auto"/>
        <w:ind w:firstLine="709"/>
        <w:jc w:val="both"/>
        <w:rPr>
          <w:rFonts w:ascii="Arial" w:eastAsia="Calibri" w:hAnsi="Arial" w:cs="Arial"/>
          <w:color w:val="000000"/>
          <w:sz w:val="22"/>
          <w:lang w:val="es-ES_tradnl" w:eastAsia="en-GB"/>
        </w:rPr>
      </w:pPr>
      <w:r w:rsidRPr="00EB793C">
        <w:rPr>
          <w:rFonts w:ascii="Arial" w:eastAsia="Calibri" w:hAnsi="Arial" w:cs="Arial"/>
          <w:color w:val="000000"/>
          <w:sz w:val="22"/>
          <w:lang w:val="es-ES_tradnl" w:eastAsia="en-GB"/>
        </w:rPr>
        <w:t xml:space="preserve">Cuando el documento contractual tenga información sensible, clasificada o reservada, para proteger la </w:t>
      </w:r>
      <w:r w:rsidR="008B0B64">
        <w:rPr>
          <w:rFonts w:ascii="Arial" w:eastAsia="Calibri" w:hAnsi="Arial" w:cs="Arial"/>
          <w:color w:val="000000"/>
          <w:sz w:val="22"/>
          <w:lang w:val="es-ES_tradnl" w:eastAsia="en-GB"/>
        </w:rPr>
        <w:t xml:space="preserve">reserva de </w:t>
      </w:r>
      <w:r w:rsidRPr="00EB793C">
        <w:rPr>
          <w:rFonts w:ascii="Arial" w:eastAsia="Calibri" w:hAnsi="Arial" w:cs="Arial"/>
          <w:color w:val="000000"/>
          <w:sz w:val="22"/>
          <w:lang w:val="es-ES_tradnl" w:eastAsia="en-GB"/>
        </w:rPr>
        <w:t xml:space="preserve">información, las autoridades deben abstenerse de publicar en el SECOP la información que tiene protección especial o está sometida a reserva. Sin embargo, de acuerdo con el segundo inciso del artículo 25 de la Ley 1437 de 2011 «La restricción por reserva legal no se extenderá a otras piezas del respectivo expediente o actuación que no estén cubiertas por ella». Por ello, la entidad estatal puede dejar de publicar algún documento del proceso o aparte del mismo que contenga datos sensibles, clasificados o reservados, para no divulgarla, pero debe publicar los demás documentos o los apartados de </w:t>
      </w:r>
      <w:r w:rsidR="00AC053C" w:rsidRPr="00EB793C">
        <w:rPr>
          <w:rFonts w:ascii="Arial" w:eastAsia="Calibri" w:hAnsi="Arial" w:cs="Arial"/>
          <w:color w:val="000000"/>
          <w:sz w:val="22"/>
          <w:lang w:val="es-ES_tradnl" w:eastAsia="en-GB"/>
        </w:rPr>
        <w:t>estos</w:t>
      </w:r>
      <w:r w:rsidR="008B0B64">
        <w:rPr>
          <w:rFonts w:ascii="Arial" w:eastAsia="Calibri" w:hAnsi="Arial" w:cs="Arial"/>
          <w:color w:val="000000"/>
          <w:sz w:val="22"/>
          <w:lang w:val="es-ES_tradnl" w:eastAsia="en-GB"/>
        </w:rPr>
        <w:t>, en caso de que estos</w:t>
      </w:r>
      <w:r w:rsidRPr="00EB793C">
        <w:rPr>
          <w:rFonts w:ascii="Arial" w:eastAsia="Calibri" w:hAnsi="Arial" w:cs="Arial"/>
          <w:color w:val="000000"/>
          <w:sz w:val="22"/>
          <w:lang w:val="es-ES_tradnl" w:eastAsia="en-GB"/>
        </w:rPr>
        <w:t xml:space="preserve"> no go</w:t>
      </w:r>
      <w:r w:rsidR="008B0B64">
        <w:rPr>
          <w:rFonts w:ascii="Arial" w:eastAsia="Calibri" w:hAnsi="Arial" w:cs="Arial"/>
          <w:color w:val="000000"/>
          <w:sz w:val="22"/>
          <w:lang w:val="es-ES_tradnl" w:eastAsia="en-GB"/>
        </w:rPr>
        <w:t>ce</w:t>
      </w:r>
      <w:r w:rsidRPr="00EB793C">
        <w:rPr>
          <w:rFonts w:ascii="Arial" w:eastAsia="Calibri" w:hAnsi="Arial" w:cs="Arial"/>
          <w:color w:val="000000"/>
          <w:sz w:val="22"/>
          <w:lang w:val="es-ES_tradnl" w:eastAsia="en-GB"/>
        </w:rPr>
        <w:t>n de reserva.</w:t>
      </w:r>
      <w:r w:rsidR="005B077F" w:rsidRPr="00EB793C">
        <w:rPr>
          <w:rFonts w:ascii="Arial" w:eastAsia="Calibri" w:hAnsi="Arial" w:cs="Arial"/>
          <w:color w:val="000000"/>
          <w:sz w:val="22"/>
          <w:lang w:val="es-ES_tradnl" w:eastAsia="en-GB"/>
        </w:rPr>
        <w:t xml:space="preserve"> Lo anterior, sin perjuicio de que dependiendo de la información en específico todo el documento </w:t>
      </w:r>
      <w:r w:rsidR="00B53CB0">
        <w:rPr>
          <w:rFonts w:ascii="Arial" w:eastAsia="Calibri" w:hAnsi="Arial" w:cs="Arial"/>
          <w:color w:val="000000"/>
          <w:sz w:val="22"/>
          <w:lang w:val="es-ES_tradnl" w:eastAsia="en-GB"/>
        </w:rPr>
        <w:t xml:space="preserve">o expediente </w:t>
      </w:r>
      <w:r w:rsidR="005B077F" w:rsidRPr="00EB793C">
        <w:rPr>
          <w:rFonts w:ascii="Arial" w:eastAsia="Calibri" w:hAnsi="Arial" w:cs="Arial"/>
          <w:color w:val="000000"/>
          <w:sz w:val="22"/>
          <w:lang w:val="es-ES_tradnl" w:eastAsia="en-GB"/>
        </w:rPr>
        <w:t>deb</w:t>
      </w:r>
      <w:r w:rsidR="008B0B64">
        <w:rPr>
          <w:rFonts w:ascii="Arial" w:eastAsia="Calibri" w:hAnsi="Arial" w:cs="Arial"/>
          <w:color w:val="000000"/>
          <w:sz w:val="22"/>
          <w:lang w:val="es-ES_tradnl" w:eastAsia="en-GB"/>
        </w:rPr>
        <w:t>a</w:t>
      </w:r>
      <w:r w:rsidR="005B077F" w:rsidRPr="00EB793C">
        <w:rPr>
          <w:rFonts w:ascii="Arial" w:eastAsia="Calibri" w:hAnsi="Arial" w:cs="Arial"/>
          <w:color w:val="000000"/>
          <w:sz w:val="22"/>
          <w:lang w:val="es-ES_tradnl" w:eastAsia="en-GB"/>
        </w:rPr>
        <w:t xml:space="preserve"> dejar de publicarse, por ampararse en su integridad en alguna causal de reserva, dada la conexión de su contenido con la información que el constituyente o el legislador decidió limitar en cuanto a su publicidad.</w:t>
      </w:r>
    </w:p>
    <w:p w14:paraId="42DA8856" w14:textId="7284A82F" w:rsidR="00BC1F25" w:rsidRPr="003253B1" w:rsidRDefault="00BC1F25" w:rsidP="00A02F05">
      <w:pPr>
        <w:tabs>
          <w:tab w:val="left" w:pos="426"/>
        </w:tabs>
        <w:spacing w:line="276" w:lineRule="auto"/>
        <w:ind w:firstLine="709"/>
        <w:jc w:val="both"/>
        <w:rPr>
          <w:rFonts w:ascii="Arial" w:eastAsia="Calibri" w:hAnsi="Arial" w:cs="Arial"/>
          <w:color w:val="000000"/>
          <w:sz w:val="21"/>
          <w:szCs w:val="21"/>
          <w:lang w:val="es-ES_tradnl" w:eastAsia="en-GB"/>
        </w:rPr>
      </w:pPr>
      <w:r w:rsidRPr="003253B1">
        <w:rPr>
          <w:rFonts w:ascii="Arial" w:eastAsia="Calibri" w:hAnsi="Arial" w:cs="Arial"/>
          <w:color w:val="000000"/>
          <w:sz w:val="22"/>
          <w:lang w:val="es-ES_tradnl" w:eastAsia="en-GB"/>
        </w:rPr>
        <w:t xml:space="preserve">En efecto, de conformidad con la Constitución y la jurisprudencia de las altas cortes, la reserva de información pública solo puede crearla el constituyente o el legislador. Además, como se </w:t>
      </w:r>
      <w:r>
        <w:rPr>
          <w:rFonts w:ascii="Arial" w:eastAsia="Calibri" w:hAnsi="Arial" w:cs="Arial"/>
          <w:color w:val="000000"/>
          <w:sz w:val="22"/>
          <w:lang w:val="es-ES_tradnl" w:eastAsia="en-GB"/>
        </w:rPr>
        <w:t>viene explicando</w:t>
      </w:r>
      <w:r w:rsidRPr="003253B1">
        <w:rPr>
          <w:rFonts w:ascii="Arial" w:eastAsia="Calibri" w:hAnsi="Arial" w:cs="Arial"/>
          <w:color w:val="000000"/>
          <w:sz w:val="22"/>
          <w:lang w:val="es-ES_tradnl" w:eastAsia="en-GB"/>
        </w:rPr>
        <w:t>, para efectos de la consulta realizada a la Agencia, las Leyes estatutarias 1712 de 2014 y la 1755 de 2015 –que sustituyó los artículos 13 a 33 de la Ley 1437 de 2011– establecen reservas particulares de información pública, coincidiendo ambas en establecer la reserva relacionada con la «defensa y seguridad nacional»</w:t>
      </w:r>
      <w:r w:rsidRPr="003253B1">
        <w:rPr>
          <w:rStyle w:val="Refdenotaalpie"/>
          <w:rFonts w:ascii="Arial" w:eastAsia="Calibri" w:hAnsi="Arial" w:cs="Arial"/>
          <w:color w:val="000000"/>
          <w:sz w:val="22"/>
          <w:lang w:val="es-ES_tradnl" w:eastAsia="en-GB"/>
        </w:rPr>
        <w:footnoteReference w:id="23"/>
      </w:r>
      <w:r w:rsidRPr="003253B1">
        <w:rPr>
          <w:rFonts w:ascii="Arial" w:eastAsia="Calibri" w:hAnsi="Arial" w:cs="Arial"/>
          <w:color w:val="000000"/>
          <w:sz w:val="22"/>
          <w:lang w:val="es-ES_tradnl" w:eastAsia="en-GB"/>
        </w:rPr>
        <w:t xml:space="preserve">. En armonía con lo anterior, cabe reiterar lo que se afirmó anteriormente en el sentido de que la creación de reservas de información pública es un asunto reservado al </w:t>
      </w:r>
      <w:r w:rsidR="001B3569" w:rsidRPr="003253B1">
        <w:rPr>
          <w:rFonts w:ascii="Arial" w:eastAsia="Calibri" w:hAnsi="Arial" w:cs="Arial"/>
          <w:color w:val="000000"/>
          <w:sz w:val="22"/>
          <w:lang w:val="es-ES_tradnl" w:eastAsia="en-GB"/>
        </w:rPr>
        <w:t xml:space="preserve">constituyente </w:t>
      </w:r>
      <w:r w:rsidR="001B3569">
        <w:rPr>
          <w:rFonts w:ascii="Arial" w:eastAsia="Calibri" w:hAnsi="Arial" w:cs="Arial"/>
          <w:color w:val="000000"/>
          <w:sz w:val="22"/>
          <w:lang w:val="es-ES_tradnl" w:eastAsia="en-GB"/>
        </w:rPr>
        <w:t xml:space="preserve">o al </w:t>
      </w:r>
      <w:r w:rsidRPr="003253B1">
        <w:rPr>
          <w:rFonts w:ascii="Arial" w:eastAsia="Calibri" w:hAnsi="Arial" w:cs="Arial"/>
          <w:color w:val="000000"/>
          <w:sz w:val="22"/>
          <w:lang w:val="es-ES_tradnl" w:eastAsia="en-GB"/>
        </w:rPr>
        <w:t xml:space="preserve">legislador. </w:t>
      </w:r>
    </w:p>
    <w:p w14:paraId="45B42A1B" w14:textId="77777777" w:rsidR="00E547E4" w:rsidRPr="004C496D" w:rsidRDefault="00E547E4" w:rsidP="00271230">
      <w:pPr>
        <w:spacing w:line="276" w:lineRule="auto"/>
        <w:jc w:val="both"/>
        <w:rPr>
          <w:rFonts w:ascii="Arial" w:eastAsia="Calibri" w:hAnsi="Arial" w:cs="Arial"/>
          <w:color w:val="000000" w:themeColor="text1"/>
          <w:sz w:val="22"/>
          <w:szCs w:val="22"/>
        </w:rPr>
      </w:pPr>
    </w:p>
    <w:p w14:paraId="37CA9805" w14:textId="4C51B578" w:rsidR="00DD5B04" w:rsidRPr="005419DA" w:rsidRDefault="004177A6" w:rsidP="00510DE9">
      <w:pPr>
        <w:tabs>
          <w:tab w:val="left" w:pos="0"/>
        </w:tabs>
        <w:jc w:val="both"/>
        <w:rPr>
          <w:rFonts w:ascii="Arial" w:eastAsia="Calibri" w:hAnsi="Arial" w:cs="Arial"/>
          <w:b/>
          <w:color w:val="000000" w:themeColor="text1"/>
          <w:sz w:val="22"/>
          <w:lang w:val="es-ES_tradnl"/>
        </w:rPr>
      </w:pPr>
      <w:r w:rsidRPr="005419DA">
        <w:rPr>
          <w:rFonts w:ascii="Arial" w:eastAsia="Calibri" w:hAnsi="Arial" w:cs="Arial"/>
          <w:b/>
          <w:color w:val="000000" w:themeColor="text1"/>
          <w:sz w:val="22"/>
          <w:lang w:val="es-ES_tradnl"/>
        </w:rPr>
        <w:t>3</w:t>
      </w:r>
      <w:r w:rsidR="00B011A9" w:rsidRPr="005419DA">
        <w:rPr>
          <w:rFonts w:ascii="Arial" w:eastAsia="Calibri" w:hAnsi="Arial" w:cs="Arial"/>
          <w:b/>
          <w:color w:val="000000" w:themeColor="text1"/>
          <w:sz w:val="22"/>
          <w:lang w:val="es-ES_tradnl"/>
        </w:rPr>
        <w:t xml:space="preserve">. </w:t>
      </w:r>
      <w:r w:rsidR="00DD5B04" w:rsidRPr="005419DA">
        <w:rPr>
          <w:rFonts w:ascii="Arial" w:eastAsia="Calibri" w:hAnsi="Arial" w:cs="Arial"/>
          <w:b/>
          <w:color w:val="000000" w:themeColor="text1"/>
          <w:sz w:val="22"/>
          <w:lang w:val="es-ES_tradnl"/>
        </w:rPr>
        <w:t>Respuesta</w:t>
      </w:r>
    </w:p>
    <w:p w14:paraId="0B74D5B8" w14:textId="571E2881" w:rsidR="00C4581D" w:rsidRDefault="00C4581D" w:rsidP="00510DE9">
      <w:pPr>
        <w:tabs>
          <w:tab w:val="left" w:pos="0"/>
        </w:tabs>
        <w:jc w:val="both"/>
        <w:rPr>
          <w:rFonts w:ascii="Arial" w:eastAsia="Calibri" w:hAnsi="Arial" w:cs="Arial"/>
          <w:color w:val="000000" w:themeColor="text1"/>
          <w:sz w:val="22"/>
          <w:lang w:val="es-ES_tradnl"/>
        </w:rPr>
      </w:pPr>
    </w:p>
    <w:p w14:paraId="7812EED7" w14:textId="212F22D0" w:rsidR="00ED0D6F" w:rsidRPr="00ED0D6F" w:rsidRDefault="00ED0D6F" w:rsidP="00ED0D6F">
      <w:pPr>
        <w:spacing w:line="276" w:lineRule="auto"/>
        <w:ind w:left="708"/>
        <w:jc w:val="both"/>
        <w:rPr>
          <w:rFonts w:ascii="Arial" w:hAnsi="Arial" w:cs="Arial"/>
          <w:color w:val="000000" w:themeColor="text1"/>
          <w:sz w:val="22"/>
          <w:szCs w:val="22"/>
          <w:lang w:val="es-ES_tradnl"/>
        </w:rPr>
      </w:pPr>
      <w:r w:rsidRPr="00915C0C">
        <w:rPr>
          <w:rFonts w:ascii="Arial" w:hAnsi="Arial" w:cs="Arial"/>
          <w:color w:val="000000" w:themeColor="text1"/>
          <w:sz w:val="22"/>
          <w:lang w:val="es-ES_tradnl"/>
        </w:rPr>
        <w:lastRenderedPageBreak/>
        <w:t xml:space="preserve">[…] </w:t>
      </w:r>
      <w:r w:rsidR="00225F05" w:rsidRPr="00915C0C">
        <w:rPr>
          <w:rFonts w:ascii="Arial" w:hAnsi="Arial" w:cs="Arial"/>
          <w:color w:val="000000" w:themeColor="text1"/>
          <w:sz w:val="22"/>
          <w:lang w:val="es-ES_tradnl"/>
        </w:rPr>
        <w:t>«i</w:t>
      </w:r>
      <w:r w:rsidRPr="00915C0C">
        <w:rPr>
          <w:rFonts w:ascii="Arial" w:hAnsi="Arial" w:cs="Arial"/>
          <w:color w:val="000000" w:themeColor="text1"/>
          <w:sz w:val="22"/>
          <w:lang w:val="es-ES_tradnl"/>
        </w:rPr>
        <w:t xml:space="preserve">) cuales son los actos precontractuales y contractuales y/o documentos de las distintas etapas del Contrato que finalmente deben las entidades del estado obligadas a Contratar por medio de la Plataforma SECOP II deben publicar; indistintamente de la naturaleza jurídica del Contrato o Convenio que se celebre, colocándose de presente que en ocasiones hay información que antes de ser publicada se encuentra sometida a reserva por ser información que incluye datos de </w:t>
      </w:r>
      <w:r w:rsidR="00225F05" w:rsidRPr="00ED0D6F">
        <w:rPr>
          <w:rFonts w:ascii="Arial" w:hAnsi="Arial" w:cs="Arial"/>
          <w:color w:val="000000" w:themeColor="text1"/>
          <w:sz w:val="22"/>
          <w:szCs w:val="22"/>
          <w:lang w:val="es-ES_tradnl"/>
        </w:rPr>
        <w:t>terceras</w:t>
      </w:r>
      <w:r w:rsidR="00225F05">
        <w:rPr>
          <w:rFonts w:ascii="Arial" w:hAnsi="Arial" w:cs="Arial"/>
          <w:color w:val="000000" w:themeColor="text1"/>
          <w:sz w:val="22"/>
          <w:szCs w:val="22"/>
          <w:lang w:val="es-ES_tradnl"/>
        </w:rPr>
        <w:t xml:space="preserve"> (sic)</w:t>
      </w:r>
      <w:r w:rsidR="00225F05" w:rsidRPr="00ED0D6F">
        <w:rPr>
          <w:rFonts w:ascii="Arial" w:hAnsi="Arial" w:cs="Arial"/>
          <w:color w:val="000000" w:themeColor="text1"/>
          <w:sz w:val="22"/>
          <w:szCs w:val="22"/>
          <w:lang w:val="es-ES_tradnl"/>
        </w:rPr>
        <w:t xml:space="preserve"> personas</w:t>
      </w:r>
      <w:r w:rsidRPr="00ED0D6F">
        <w:rPr>
          <w:rFonts w:ascii="Arial" w:hAnsi="Arial" w:cs="Arial"/>
          <w:color w:val="000000" w:themeColor="text1"/>
          <w:sz w:val="22"/>
          <w:szCs w:val="22"/>
          <w:lang w:val="es-ES_tradnl"/>
        </w:rPr>
        <w:t>.»</w:t>
      </w:r>
    </w:p>
    <w:p w14:paraId="18B33146" w14:textId="1C26A8BF" w:rsidR="002306BF" w:rsidRPr="00ED0D6F" w:rsidRDefault="002306BF" w:rsidP="009E03C7">
      <w:pPr>
        <w:spacing w:line="276" w:lineRule="auto"/>
        <w:jc w:val="both"/>
        <w:rPr>
          <w:rFonts w:ascii="Arial" w:hAnsi="Arial" w:cs="Arial"/>
          <w:color w:val="000000" w:themeColor="text1"/>
          <w:sz w:val="22"/>
          <w:szCs w:val="22"/>
        </w:rPr>
      </w:pPr>
    </w:p>
    <w:p w14:paraId="68EBB552" w14:textId="6D5C8552" w:rsidR="00ED0D6F" w:rsidRPr="00ED0D6F" w:rsidRDefault="00ED0D6F" w:rsidP="00A02F05">
      <w:pPr>
        <w:widowControl w:val="0"/>
        <w:autoSpaceDE w:val="0"/>
        <w:autoSpaceDN w:val="0"/>
        <w:spacing w:after="120" w:line="276" w:lineRule="auto"/>
        <w:jc w:val="both"/>
        <w:rPr>
          <w:rFonts w:ascii="Arial" w:eastAsia="Arial" w:hAnsi="Arial" w:cs="Arial"/>
          <w:sz w:val="22"/>
          <w:szCs w:val="22"/>
          <w:lang w:val="es-ES"/>
        </w:rPr>
      </w:pPr>
      <w:r w:rsidRPr="00ED0D6F">
        <w:rPr>
          <w:rFonts w:ascii="Arial" w:hAnsi="Arial" w:cs="Arial"/>
          <w:color w:val="000000"/>
          <w:sz w:val="22"/>
          <w:szCs w:val="22"/>
          <w:shd w:val="clear" w:color="auto" w:fill="FFFFFF"/>
        </w:rPr>
        <w:t>De acuerdo con las consideraciones de este concepto</w:t>
      </w:r>
      <w:r w:rsidR="00FA2491">
        <w:rPr>
          <w:rFonts w:ascii="Arial" w:hAnsi="Arial" w:cs="Arial"/>
          <w:color w:val="000000"/>
          <w:sz w:val="22"/>
          <w:szCs w:val="22"/>
          <w:shd w:val="clear" w:color="auto" w:fill="FFFFFF"/>
        </w:rPr>
        <w:t>,</w:t>
      </w:r>
      <w:r w:rsidRPr="00ED0D6F">
        <w:rPr>
          <w:rFonts w:ascii="Arial" w:hAnsi="Arial" w:cs="Arial"/>
          <w:color w:val="000000"/>
          <w:sz w:val="22"/>
          <w:szCs w:val="22"/>
          <w:shd w:val="clear" w:color="auto" w:fill="FFFFFF"/>
        </w:rPr>
        <w:t xml:space="preserve"> </w:t>
      </w:r>
      <w:r w:rsidRPr="00ED0D6F">
        <w:rPr>
          <w:rFonts w:ascii="Arial" w:hAnsi="Arial" w:cs="Arial"/>
          <w:sz w:val="22"/>
          <w:szCs w:val="22"/>
        </w:rPr>
        <w:t>por regla general aplica la publicación proactiva de la información pública, incluyendo la relacionada en materia contractual, mediante su publicación en el SECOP</w:t>
      </w:r>
      <w:r w:rsidR="00FA2491">
        <w:rPr>
          <w:rFonts w:ascii="Arial" w:hAnsi="Arial" w:cs="Arial"/>
          <w:sz w:val="22"/>
          <w:szCs w:val="22"/>
        </w:rPr>
        <w:t>.</w:t>
      </w:r>
      <w:r w:rsidR="00225F05">
        <w:rPr>
          <w:rFonts w:ascii="Arial" w:hAnsi="Arial" w:cs="Arial"/>
          <w:sz w:val="22"/>
          <w:szCs w:val="22"/>
        </w:rPr>
        <w:t xml:space="preserve"> </w:t>
      </w:r>
      <w:r w:rsidR="00FA2491">
        <w:rPr>
          <w:rFonts w:ascii="Arial" w:hAnsi="Arial" w:cs="Arial"/>
          <w:sz w:val="22"/>
          <w:szCs w:val="22"/>
        </w:rPr>
        <w:t>P</w:t>
      </w:r>
      <w:r w:rsidR="00225F05">
        <w:rPr>
          <w:rFonts w:ascii="Arial" w:hAnsi="Arial" w:cs="Arial"/>
          <w:sz w:val="22"/>
          <w:szCs w:val="22"/>
        </w:rPr>
        <w:t>or tal razón</w:t>
      </w:r>
      <w:r w:rsidR="00FA2491">
        <w:rPr>
          <w:rFonts w:ascii="Arial" w:hAnsi="Arial" w:cs="Arial"/>
          <w:sz w:val="22"/>
          <w:szCs w:val="22"/>
        </w:rPr>
        <w:t>,</w:t>
      </w:r>
      <w:r w:rsidR="00225F05">
        <w:rPr>
          <w:rFonts w:ascii="Arial" w:hAnsi="Arial" w:cs="Arial"/>
          <w:sz w:val="22"/>
          <w:szCs w:val="22"/>
        </w:rPr>
        <w:t xml:space="preserve"> se deberán publicar</w:t>
      </w:r>
      <w:r w:rsidRPr="00ED0D6F">
        <w:rPr>
          <w:rFonts w:ascii="Arial" w:hAnsi="Arial" w:cs="Arial"/>
          <w:sz w:val="22"/>
          <w:szCs w:val="22"/>
        </w:rPr>
        <w:t xml:space="preserve"> </w:t>
      </w:r>
      <w:r w:rsidRPr="00ED0D6F">
        <w:rPr>
          <w:rFonts w:ascii="Arial" w:eastAsia="Arial" w:hAnsi="Arial" w:cs="Arial"/>
          <w:sz w:val="22"/>
          <w:szCs w:val="22"/>
          <w:lang w:val="es-ES"/>
        </w:rPr>
        <w:t xml:space="preserve">«[…] los Documentos del Proceso y los actos administrativos del Proceso de Contratación, dentro de los tres (3) días siguientes a su expedición […]». La expresión </w:t>
      </w:r>
      <w:r w:rsidRPr="00ED0D6F">
        <w:rPr>
          <w:rFonts w:ascii="Arial" w:eastAsia="Arial" w:hAnsi="Arial" w:cs="Arial"/>
          <w:i/>
          <w:iCs/>
          <w:sz w:val="22"/>
          <w:szCs w:val="22"/>
          <w:lang w:val="es-ES"/>
        </w:rPr>
        <w:t>Documentos del Proceso</w:t>
      </w:r>
      <w:r w:rsidRPr="00ED0D6F">
        <w:rPr>
          <w:rFonts w:ascii="Arial" w:eastAsia="Arial" w:hAnsi="Arial" w:cs="Arial"/>
          <w:sz w:val="22"/>
          <w:szCs w:val="22"/>
          <w:lang w:val="es-ES"/>
        </w:rPr>
        <w:t xml:space="preserve">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 </w:t>
      </w:r>
    </w:p>
    <w:p w14:paraId="3598012E" w14:textId="77777777" w:rsidR="00ED0D6F" w:rsidRPr="00ED0D6F" w:rsidRDefault="00ED0D6F" w:rsidP="00ED0D6F">
      <w:pPr>
        <w:widowControl w:val="0"/>
        <w:autoSpaceDE w:val="0"/>
        <w:autoSpaceDN w:val="0"/>
        <w:spacing w:after="120" w:line="276" w:lineRule="auto"/>
        <w:ind w:firstLine="709"/>
        <w:jc w:val="both"/>
        <w:rPr>
          <w:rFonts w:ascii="Arial" w:eastAsia="Arial" w:hAnsi="Arial" w:cs="Arial"/>
          <w:sz w:val="22"/>
          <w:szCs w:val="22"/>
          <w:lang w:val="es-ES"/>
        </w:rPr>
      </w:pPr>
      <w:r w:rsidRPr="00ED0D6F">
        <w:rPr>
          <w:rFonts w:ascii="Arial" w:eastAsia="Arial" w:hAnsi="Arial" w:cs="Arial"/>
          <w:sz w:val="22"/>
          <w:szCs w:val="22"/>
          <w:lang w:val="es-ES"/>
        </w:rPr>
        <w:t xml:space="preserve">No obstante, para identificar los documentos que deben publicarse, es necesario realizar una interpretación sistemática de las disposiciones del Decreto 1082 del 2015, ya que el anterior no es un listado taxativo, sino enunciativo, porque además de los documentos enlistados, el artículo 2.2.1.1.1.3.1 </w:t>
      </w:r>
      <w:proofErr w:type="spellStart"/>
      <w:r w:rsidRPr="00ED0D6F">
        <w:rPr>
          <w:rFonts w:ascii="Arial" w:eastAsia="Arial" w:hAnsi="Arial" w:cs="Arial"/>
          <w:i/>
          <w:iCs/>
          <w:sz w:val="22"/>
          <w:szCs w:val="22"/>
          <w:lang w:val="es-ES"/>
        </w:rPr>
        <w:t>Ibídem</w:t>
      </w:r>
      <w:proofErr w:type="spellEnd"/>
      <w:r w:rsidRPr="00ED0D6F">
        <w:rPr>
          <w:rFonts w:ascii="Arial" w:eastAsia="Arial" w:hAnsi="Arial" w:cs="Arial"/>
          <w:sz w:val="22"/>
          <w:szCs w:val="22"/>
          <w:lang w:val="es-ES"/>
        </w:rPr>
        <w:t xml:space="preserve"> recoge en la noción de </w:t>
      </w:r>
      <w:r w:rsidRPr="00ED0D6F">
        <w:rPr>
          <w:rFonts w:ascii="Arial" w:eastAsia="Arial" w:hAnsi="Arial" w:cs="Arial"/>
          <w:i/>
          <w:iCs/>
          <w:sz w:val="22"/>
          <w:szCs w:val="22"/>
          <w:lang w:val="es-ES"/>
        </w:rPr>
        <w:t>Documentos del Proceso</w:t>
      </w:r>
      <w:r w:rsidRPr="00ED0D6F">
        <w:rPr>
          <w:rFonts w:ascii="Arial" w:eastAsia="Arial" w:hAnsi="Arial" w:cs="Arial"/>
          <w:sz w:val="22"/>
          <w:szCs w:val="22"/>
          <w:lang w:val="es-ES"/>
        </w:rPr>
        <w:t xml:space="preserve"> «cualquier otro documento expedido por la Entidad Estatal durante el </w:t>
      </w:r>
      <w:r w:rsidRPr="00ED0D6F">
        <w:rPr>
          <w:rFonts w:ascii="Arial" w:eastAsia="Arial" w:hAnsi="Arial" w:cs="Arial"/>
          <w:i/>
          <w:iCs/>
          <w:sz w:val="22"/>
          <w:szCs w:val="22"/>
          <w:lang w:val="es-ES"/>
        </w:rPr>
        <w:t>Proceso de Contratación»</w:t>
      </w:r>
      <w:r w:rsidRPr="00ED0D6F">
        <w:rPr>
          <w:rFonts w:ascii="Arial" w:eastAsia="Arial" w:hAnsi="Arial" w:cs="Arial"/>
          <w:sz w:val="22"/>
          <w:szCs w:val="22"/>
          <w:lang w:val="es-ES"/>
        </w:rPr>
        <w:t xml:space="preserve">. Este mismo artículo define la expresión </w:t>
      </w:r>
      <w:r w:rsidRPr="00ED0D6F">
        <w:rPr>
          <w:rFonts w:ascii="Arial" w:eastAsia="Arial" w:hAnsi="Arial" w:cs="Arial"/>
          <w:i/>
          <w:iCs/>
          <w:sz w:val="22"/>
          <w:szCs w:val="22"/>
          <w:lang w:val="es-ES"/>
        </w:rPr>
        <w:t>Proceso de Contratación</w:t>
      </w:r>
      <w:r w:rsidRPr="00ED0D6F">
        <w:rPr>
          <w:rFonts w:ascii="Arial" w:eastAsia="Arial" w:hAnsi="Arial" w:cs="Arial"/>
          <w:sz w:val="22"/>
          <w:szCs w:val="22"/>
          <w:lang w:val="es-ES"/>
        </w:rPr>
        <w:t xml:space="preserve">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23720346" w14:textId="6B1112FC" w:rsidR="00ED0D6F" w:rsidRPr="00ED0D6F" w:rsidRDefault="00225F05" w:rsidP="00225F05">
      <w:pPr>
        <w:spacing w:line="276" w:lineRule="auto"/>
        <w:ind w:firstLine="708"/>
        <w:jc w:val="both"/>
        <w:rPr>
          <w:rFonts w:ascii="Arial" w:hAnsi="Arial" w:cs="Arial"/>
          <w:color w:val="000000"/>
          <w:sz w:val="22"/>
          <w:szCs w:val="22"/>
          <w:shd w:val="clear" w:color="auto" w:fill="FFFFFF"/>
        </w:rPr>
      </w:pPr>
      <w:r>
        <w:rPr>
          <w:rFonts w:ascii="Arial" w:hAnsi="Arial" w:cs="Arial"/>
          <w:sz w:val="22"/>
          <w:szCs w:val="22"/>
        </w:rPr>
        <w:t>De otro lado</w:t>
      </w:r>
      <w:r w:rsidR="00ED0D6F" w:rsidRPr="00ED0D6F">
        <w:rPr>
          <w:rFonts w:ascii="Arial" w:hAnsi="Arial" w:cs="Arial"/>
          <w:sz w:val="22"/>
          <w:szCs w:val="22"/>
        </w:rPr>
        <w:t xml:space="preserve">, reiterando una idea recurrente, es posible que el constituyente o el legislador establezcan </w:t>
      </w:r>
      <w:r w:rsidR="00ED0D6F" w:rsidRPr="00ED0D6F">
        <w:rPr>
          <w:rFonts w:ascii="Arial" w:hAnsi="Arial" w:cs="Arial"/>
          <w:i/>
          <w:iCs/>
          <w:sz w:val="22"/>
          <w:szCs w:val="22"/>
        </w:rPr>
        <w:t xml:space="preserve">reservas </w:t>
      </w:r>
      <w:r w:rsidR="00ED0D6F" w:rsidRPr="00ED0D6F">
        <w:rPr>
          <w:rFonts w:ascii="Arial" w:hAnsi="Arial" w:cs="Arial"/>
          <w:sz w:val="22"/>
          <w:szCs w:val="22"/>
        </w:rPr>
        <w:t>de cierta información pública. En este sentido, en desarrollo de cualquier proceso contractual, independientemente de la modalidad de selección, es posible que los documentos del proceso contengan información sometida a reserva, de acuerdo con las causales establecidas en la Constitución o en la ley, caso en el cual dicha información no debe publicarse en el SECOP, precisamente por tratarse de información reservada. En estos casos, debe procederse conforme lo establecido en la Ley 1712 de 2014, particularmente, cumpliendo las obligaciones y los deberes establecidos en el título III «Excepciones acceso a la información».</w:t>
      </w:r>
    </w:p>
    <w:p w14:paraId="122456F8" w14:textId="77777777" w:rsidR="00E5555F" w:rsidRPr="00874F0A" w:rsidRDefault="00E5555F" w:rsidP="009E03C7">
      <w:pPr>
        <w:spacing w:line="276" w:lineRule="auto"/>
        <w:jc w:val="both"/>
        <w:rPr>
          <w:rFonts w:ascii="Arial" w:hAnsi="Arial" w:cs="Arial"/>
          <w:color w:val="000000" w:themeColor="text1"/>
          <w:sz w:val="22"/>
          <w:szCs w:val="22"/>
        </w:rPr>
      </w:pPr>
    </w:p>
    <w:p w14:paraId="7B2C921D" w14:textId="0F929B38" w:rsidR="00DD5B04" w:rsidRPr="005419DA" w:rsidRDefault="00DD5B04" w:rsidP="00DF76A2">
      <w:pPr>
        <w:spacing w:line="276" w:lineRule="auto"/>
        <w:jc w:val="both"/>
        <w:rPr>
          <w:rFonts w:ascii="Arial" w:hAnsi="Arial" w:cs="Arial"/>
          <w:color w:val="000000" w:themeColor="text1"/>
          <w:sz w:val="22"/>
          <w:lang w:val="es-ES_tradnl"/>
        </w:rPr>
      </w:pPr>
      <w:r w:rsidRPr="005419DA">
        <w:rPr>
          <w:rFonts w:ascii="Arial" w:hAnsi="Arial" w:cs="Arial"/>
          <w:color w:val="000000" w:themeColor="text1"/>
          <w:sz w:val="22"/>
          <w:lang w:val="es-ES_tradnl"/>
        </w:rPr>
        <w:lastRenderedPageBreak/>
        <w:t>Este concepto tiene el alcance previsto en el artículo 28 del Código de Procedimiento Administrativo y de lo Contencioso Administrativo.</w:t>
      </w:r>
    </w:p>
    <w:p w14:paraId="77EE5912" w14:textId="77777777" w:rsidR="00DD5B04" w:rsidRPr="005419DA"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692FC307" w14:textId="0B17DC14" w:rsidR="00921304" w:rsidRPr="005419DA"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Atentamente,</w:t>
      </w:r>
    </w:p>
    <w:p w14:paraId="30AA3DC7" w14:textId="7F313C35" w:rsidR="00921304" w:rsidRPr="005419DA" w:rsidRDefault="00D9118C"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rFonts w:ascii="Arial" w:hAnsi="Arial" w:cs="Arial"/>
          <w:noProof/>
          <w:color w:val="161616" w:themeColor="background1" w:themeShade="1A"/>
        </w:rPr>
        <w:drawing>
          <wp:inline distT="0" distB="0" distL="0" distR="0" wp14:anchorId="1EDFB3CB" wp14:editId="07013403">
            <wp:extent cx="2533650" cy="981075"/>
            <wp:effectExtent l="0" t="0" r="0" b="9525"/>
            <wp:docPr id="4" name="Imagen 4"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 Cart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33650" cy="981075"/>
                    </a:xfrm>
                    <a:prstGeom prst="rect">
                      <a:avLst/>
                    </a:prstGeom>
                    <a:noFill/>
                    <a:ln>
                      <a:noFill/>
                    </a:ln>
                  </pic:spPr>
                </pic:pic>
              </a:graphicData>
            </a:graphic>
          </wp:inline>
        </w:drawing>
      </w:r>
    </w:p>
    <w:p w14:paraId="5CBAE239" w14:textId="77777777" w:rsidR="00425C43" w:rsidRPr="005419DA" w:rsidRDefault="00425C43" w:rsidP="00B37657">
      <w:pPr>
        <w:jc w:val="center"/>
        <w:rPr>
          <w:rFonts w:ascii="Arial" w:hAnsi="Arial" w:cs="Arial"/>
          <w:color w:val="000000" w:themeColor="text1"/>
          <w:sz w:val="18"/>
          <w:szCs w:val="20"/>
          <w:lang w:val="es-ES_tradnl" w:eastAsia="es-CO"/>
        </w:rPr>
      </w:pPr>
    </w:p>
    <w:p w14:paraId="49730030" w14:textId="217D35F3" w:rsidR="00DD5B04" w:rsidRPr="005419DA"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5419DA" w14:paraId="0C7DC5F7" w14:textId="77777777" w:rsidTr="008F4163">
        <w:trPr>
          <w:trHeight w:val="315"/>
        </w:trPr>
        <w:tc>
          <w:tcPr>
            <w:tcW w:w="812" w:type="dxa"/>
            <w:vAlign w:val="center"/>
            <w:hideMark/>
          </w:tcPr>
          <w:p w14:paraId="5BDB1AC9" w14:textId="77777777" w:rsidR="00DD5B04" w:rsidRPr="005419DA" w:rsidRDefault="00DD5B04" w:rsidP="00DF76A2">
            <w:pPr>
              <w:jc w:val="both"/>
              <w:rPr>
                <w:rFonts w:ascii="Arial" w:hAnsi="Arial" w:cs="Arial"/>
                <w:color w:val="000000" w:themeColor="text1"/>
                <w:sz w:val="16"/>
                <w:szCs w:val="16"/>
                <w:lang w:val="es-ES_tradnl" w:eastAsia="es-ES"/>
              </w:rPr>
            </w:pPr>
            <w:r w:rsidRPr="005419DA">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1F9999AF" w14:textId="2F714828" w:rsidR="00AB2728" w:rsidRPr="008C4836" w:rsidRDefault="00075047" w:rsidP="00AB2728">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Edwin Johan Chocontá Quintero </w:t>
            </w:r>
          </w:p>
          <w:p w14:paraId="240C71FD" w14:textId="6E7B780D" w:rsidR="00DD5B04" w:rsidRPr="005419DA" w:rsidRDefault="00075047" w:rsidP="00DF76A2">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Analista T2-02</w:t>
            </w:r>
            <w:r w:rsidR="00AB2728" w:rsidRPr="008C4836">
              <w:rPr>
                <w:rFonts w:ascii="Arial" w:hAnsi="Arial" w:cs="Arial"/>
                <w:color w:val="000000" w:themeColor="text1"/>
                <w:sz w:val="16"/>
                <w:szCs w:val="16"/>
                <w:lang w:val="es-ES_tradnl" w:eastAsia="es-ES"/>
              </w:rPr>
              <w:t xml:space="preserve"> de la Subdirección de Gestión Contractual</w:t>
            </w:r>
          </w:p>
        </w:tc>
      </w:tr>
      <w:tr w:rsidR="00DD5B04" w:rsidRPr="005419DA" w14:paraId="2F8FD650" w14:textId="77777777" w:rsidTr="008F4163">
        <w:trPr>
          <w:trHeight w:val="330"/>
        </w:trPr>
        <w:tc>
          <w:tcPr>
            <w:tcW w:w="812" w:type="dxa"/>
            <w:vAlign w:val="center"/>
            <w:hideMark/>
          </w:tcPr>
          <w:p w14:paraId="50203A0B" w14:textId="77777777" w:rsidR="00DD5B04" w:rsidRPr="005419DA" w:rsidRDefault="00DD5B04" w:rsidP="00DF76A2">
            <w:pPr>
              <w:jc w:val="both"/>
              <w:rPr>
                <w:rFonts w:ascii="Arial" w:hAnsi="Arial" w:cs="Arial"/>
                <w:color w:val="000000" w:themeColor="text1"/>
                <w:sz w:val="16"/>
                <w:szCs w:val="16"/>
                <w:lang w:val="es-ES_tradnl" w:eastAsia="es-ES"/>
              </w:rPr>
            </w:pPr>
            <w:r w:rsidRPr="005419DA">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9DD4CB5" w14:textId="11738C3C" w:rsidR="00AB2728" w:rsidRPr="005419DA" w:rsidRDefault="00075047" w:rsidP="00AB2728">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Cristian </w:t>
            </w:r>
            <w:r w:rsidR="004F084B">
              <w:rPr>
                <w:rFonts w:ascii="Arial" w:hAnsi="Arial" w:cs="Arial"/>
                <w:color w:val="000000" w:themeColor="text1"/>
                <w:sz w:val="16"/>
                <w:szCs w:val="16"/>
                <w:lang w:val="es-ES_tradnl" w:eastAsia="es-ES"/>
              </w:rPr>
              <w:t xml:space="preserve">Andrés </w:t>
            </w:r>
            <w:r>
              <w:rPr>
                <w:rFonts w:ascii="Arial" w:hAnsi="Arial" w:cs="Arial"/>
                <w:color w:val="000000" w:themeColor="text1"/>
                <w:sz w:val="16"/>
                <w:szCs w:val="16"/>
                <w:lang w:val="es-ES_tradnl" w:eastAsia="es-ES"/>
              </w:rPr>
              <w:t>D</w:t>
            </w:r>
            <w:r w:rsidR="004F084B">
              <w:rPr>
                <w:rFonts w:ascii="Arial" w:hAnsi="Arial" w:cs="Arial"/>
                <w:color w:val="000000" w:themeColor="text1"/>
                <w:sz w:val="16"/>
                <w:szCs w:val="16"/>
                <w:lang w:val="es-ES_tradnl" w:eastAsia="es-ES"/>
              </w:rPr>
              <w:t>í</w:t>
            </w:r>
            <w:r>
              <w:rPr>
                <w:rFonts w:ascii="Arial" w:hAnsi="Arial" w:cs="Arial"/>
                <w:color w:val="000000" w:themeColor="text1"/>
                <w:sz w:val="16"/>
                <w:szCs w:val="16"/>
                <w:lang w:val="es-ES_tradnl" w:eastAsia="es-ES"/>
              </w:rPr>
              <w:t>az</w:t>
            </w:r>
            <w:r w:rsidR="004F084B">
              <w:rPr>
                <w:rFonts w:ascii="Arial" w:hAnsi="Arial" w:cs="Arial"/>
                <w:color w:val="000000" w:themeColor="text1"/>
                <w:sz w:val="16"/>
                <w:szCs w:val="16"/>
                <w:lang w:val="es-ES_tradnl" w:eastAsia="es-ES"/>
              </w:rPr>
              <w:t xml:space="preserve"> Díez</w:t>
            </w:r>
          </w:p>
          <w:p w14:paraId="130B3228" w14:textId="3919F281" w:rsidR="00DD5B04" w:rsidRPr="005419DA" w:rsidRDefault="00075047" w:rsidP="00F1085C">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Contratista de </w:t>
            </w:r>
            <w:r w:rsidRPr="008C4836">
              <w:rPr>
                <w:rFonts w:ascii="Arial" w:hAnsi="Arial" w:cs="Arial"/>
                <w:color w:val="000000" w:themeColor="text1"/>
                <w:sz w:val="16"/>
                <w:szCs w:val="16"/>
                <w:lang w:val="es-ES_tradnl" w:eastAsia="es-ES"/>
              </w:rPr>
              <w:t>la Subdirección de Gestión Contractual</w:t>
            </w:r>
          </w:p>
        </w:tc>
      </w:tr>
      <w:tr w:rsidR="00075047" w:rsidRPr="005419DA" w14:paraId="0FCBCA4A" w14:textId="77777777" w:rsidTr="008F4163">
        <w:trPr>
          <w:trHeight w:val="300"/>
        </w:trPr>
        <w:tc>
          <w:tcPr>
            <w:tcW w:w="812" w:type="dxa"/>
            <w:vAlign w:val="center"/>
            <w:hideMark/>
          </w:tcPr>
          <w:p w14:paraId="3C1D943A" w14:textId="77777777" w:rsidR="00075047" w:rsidRPr="005419DA" w:rsidRDefault="00075047" w:rsidP="00075047">
            <w:pPr>
              <w:jc w:val="both"/>
              <w:rPr>
                <w:rFonts w:ascii="Arial" w:hAnsi="Arial" w:cs="Arial"/>
                <w:color w:val="000000" w:themeColor="text1"/>
                <w:sz w:val="16"/>
                <w:szCs w:val="16"/>
                <w:lang w:val="es-ES_tradnl" w:eastAsia="es-ES"/>
              </w:rPr>
            </w:pPr>
            <w:r w:rsidRPr="005419DA">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EF5EEF6" w14:textId="77777777" w:rsidR="00075047" w:rsidRDefault="00075047" w:rsidP="00075047">
            <w:pPr>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Juan David Marín López</w:t>
            </w:r>
          </w:p>
          <w:p w14:paraId="1ADC483B" w14:textId="7BDD1886" w:rsidR="00075047" w:rsidRPr="005419DA" w:rsidRDefault="00075047" w:rsidP="00075047">
            <w:pPr>
              <w:jc w:val="both"/>
              <w:rPr>
                <w:rFonts w:ascii="Arial" w:hAnsi="Arial" w:cs="Arial"/>
                <w:color w:val="000000" w:themeColor="text1"/>
                <w:sz w:val="16"/>
                <w:szCs w:val="16"/>
                <w:lang w:val="es-ES_tradnl" w:eastAsia="es-ES"/>
              </w:rPr>
            </w:pPr>
            <w:r w:rsidRPr="00C440B6">
              <w:rPr>
                <w:rFonts w:ascii="Arial" w:hAnsi="Arial" w:cs="Arial"/>
                <w:color w:val="000000" w:themeColor="text1"/>
                <w:sz w:val="16"/>
                <w:szCs w:val="16"/>
                <w:lang w:val="es-ES_tradnl" w:eastAsia="es-ES"/>
              </w:rPr>
              <w:t>Subdirector de Gestión Contractual</w:t>
            </w:r>
            <w:r>
              <w:rPr>
                <w:rFonts w:ascii="Arial" w:hAnsi="Arial" w:cs="Arial"/>
                <w:color w:val="000000" w:themeColor="text1"/>
                <w:sz w:val="16"/>
                <w:szCs w:val="16"/>
                <w:lang w:val="es-ES_tradnl" w:eastAsia="es-ES"/>
              </w:rPr>
              <w:t xml:space="preserve"> ANCP – CCE (E)</w:t>
            </w:r>
          </w:p>
        </w:tc>
      </w:tr>
      <w:bookmarkEnd w:id="0"/>
    </w:tbl>
    <w:p w14:paraId="35B56F46" w14:textId="77777777" w:rsidR="00746E08" w:rsidRPr="005419DA" w:rsidRDefault="00746E08" w:rsidP="00215B8E">
      <w:pPr>
        <w:jc w:val="both"/>
        <w:rPr>
          <w:rFonts w:ascii="Arial" w:hAnsi="Arial" w:cs="Arial"/>
          <w:lang w:val="es-ES_tradnl"/>
        </w:rPr>
      </w:pPr>
    </w:p>
    <w:sectPr w:rsidR="00746E08" w:rsidRPr="005419DA"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4E6ED" w14:textId="77777777" w:rsidR="0099070B" w:rsidRDefault="0099070B">
      <w:r>
        <w:separator/>
      </w:r>
    </w:p>
  </w:endnote>
  <w:endnote w:type="continuationSeparator" w:id="0">
    <w:p w14:paraId="146AA979" w14:textId="77777777" w:rsidR="0099070B" w:rsidRDefault="0099070B">
      <w:r>
        <w:continuationSeparator/>
      </w:r>
    </w:p>
  </w:endnote>
  <w:endnote w:type="continuationNotice" w:id="1">
    <w:p w14:paraId="64F9F6F0" w14:textId="77777777" w:rsidR="0099070B" w:rsidRDefault="009907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EE9A2" w14:textId="77777777" w:rsidR="0099070B" w:rsidRDefault="0099070B">
      <w:r>
        <w:separator/>
      </w:r>
    </w:p>
  </w:footnote>
  <w:footnote w:type="continuationSeparator" w:id="0">
    <w:p w14:paraId="198A35B5" w14:textId="77777777" w:rsidR="0099070B" w:rsidRDefault="0099070B">
      <w:r>
        <w:continuationSeparator/>
      </w:r>
    </w:p>
  </w:footnote>
  <w:footnote w:type="continuationNotice" w:id="1">
    <w:p w14:paraId="036A0E46" w14:textId="77777777" w:rsidR="0099070B" w:rsidRDefault="0099070B"/>
  </w:footnote>
  <w:footnote w:id="2">
    <w:p w14:paraId="759E922D" w14:textId="77777777" w:rsidR="00CB48EA" w:rsidRPr="002E060B" w:rsidRDefault="00CB48EA" w:rsidP="00CB48EA">
      <w:pPr>
        <w:pStyle w:val="Textonotapie"/>
        <w:ind w:firstLine="709"/>
        <w:jc w:val="both"/>
        <w:rPr>
          <w:rFonts w:ascii="Arial" w:hAnsi="Arial" w:cs="Arial"/>
          <w:sz w:val="18"/>
          <w:szCs w:val="18"/>
          <w:lang w:val="es-ES"/>
        </w:rPr>
      </w:pPr>
      <w:r w:rsidRPr="002E060B">
        <w:rPr>
          <w:rStyle w:val="Refdenotaalpie"/>
          <w:rFonts w:ascii="Arial" w:hAnsi="Arial" w:cs="Arial"/>
          <w:sz w:val="18"/>
          <w:szCs w:val="18"/>
        </w:rPr>
        <w:footnoteRef/>
      </w:r>
      <w:r w:rsidRPr="002E060B">
        <w:rPr>
          <w:rFonts w:ascii="Arial" w:hAnsi="Arial" w:cs="Arial"/>
          <w:sz w:val="18"/>
          <w:szCs w:val="18"/>
        </w:rPr>
        <w:t xml:space="preserve"> </w:t>
      </w:r>
      <w:r w:rsidRPr="002E060B">
        <w:rPr>
          <w:rFonts w:ascii="Arial" w:hAnsi="Arial" w:cs="Arial"/>
          <w:sz w:val="18"/>
          <w:szCs w:val="18"/>
          <w:lang w:val="es-ES"/>
        </w:rPr>
        <w:t>BOBBIO, Norberto. Democracia y secreto. México: Fondo de Cultura Económica, 2013. p. 27.</w:t>
      </w:r>
    </w:p>
  </w:footnote>
  <w:footnote w:id="3">
    <w:p w14:paraId="3933717C" w14:textId="77777777" w:rsidR="00A02F05" w:rsidRPr="002E060B" w:rsidRDefault="00A02F05" w:rsidP="00A02F05">
      <w:pPr>
        <w:pStyle w:val="Textonotapie"/>
        <w:ind w:firstLine="709"/>
        <w:jc w:val="both"/>
        <w:rPr>
          <w:rFonts w:ascii="Arial" w:hAnsi="Arial" w:cs="Arial"/>
          <w:sz w:val="18"/>
          <w:szCs w:val="18"/>
          <w:lang w:val="es-ES"/>
        </w:rPr>
      </w:pPr>
      <w:r w:rsidRPr="002E060B">
        <w:rPr>
          <w:rStyle w:val="Refdenotaalpie"/>
          <w:rFonts w:ascii="Arial" w:hAnsi="Arial" w:cs="Arial"/>
          <w:sz w:val="18"/>
          <w:szCs w:val="18"/>
        </w:rPr>
        <w:footnoteRef/>
      </w:r>
      <w:r w:rsidRPr="002E060B">
        <w:rPr>
          <w:rFonts w:ascii="Arial" w:hAnsi="Arial" w:cs="Arial"/>
          <w:sz w:val="18"/>
          <w:szCs w:val="18"/>
        </w:rPr>
        <w:t xml:space="preserve"> </w:t>
      </w:r>
      <w:r w:rsidRPr="002E060B">
        <w:rPr>
          <w:rFonts w:ascii="Arial" w:hAnsi="Arial" w:cs="Arial"/>
          <w:sz w:val="18"/>
          <w:szCs w:val="18"/>
          <w:lang w:val="es-ES"/>
        </w:rPr>
        <w:t>BOBBIO, Norberto. Democracia y secreto. México: Fondo de Cultura Económica, 2013. p. 27.</w:t>
      </w:r>
    </w:p>
  </w:footnote>
  <w:footnote w:id="4">
    <w:p w14:paraId="059567F5" w14:textId="77777777" w:rsidR="00A02F05" w:rsidRPr="002E060B" w:rsidRDefault="00A02F05" w:rsidP="00A02F05">
      <w:pPr>
        <w:pStyle w:val="Textonotapie"/>
        <w:ind w:firstLine="709"/>
        <w:jc w:val="both"/>
        <w:rPr>
          <w:rFonts w:ascii="Arial" w:hAnsi="Arial" w:cs="Arial"/>
          <w:color w:val="000000" w:themeColor="text1"/>
          <w:sz w:val="18"/>
          <w:szCs w:val="18"/>
        </w:rPr>
      </w:pPr>
    </w:p>
    <w:p w14:paraId="4FC1E789" w14:textId="77777777" w:rsidR="00A02F05" w:rsidRPr="002E060B" w:rsidRDefault="00A02F05" w:rsidP="00A02F05">
      <w:pPr>
        <w:pStyle w:val="Textonotapie"/>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Corte Constitucional. Sentencia C- 341 del 4 de junio de 2014. M. P. Mauricio González Cuervo.</w:t>
      </w:r>
    </w:p>
    <w:p w14:paraId="5CDC6230" w14:textId="77777777" w:rsidR="00A02F05" w:rsidRPr="002E060B" w:rsidRDefault="00A02F05" w:rsidP="00A02F05">
      <w:pPr>
        <w:pStyle w:val="Textonotapie"/>
        <w:ind w:firstLine="709"/>
        <w:jc w:val="both"/>
        <w:rPr>
          <w:rFonts w:ascii="Arial" w:hAnsi="Arial" w:cs="Arial"/>
          <w:color w:val="000000" w:themeColor="text1"/>
          <w:sz w:val="18"/>
          <w:szCs w:val="18"/>
        </w:rPr>
      </w:pPr>
    </w:p>
  </w:footnote>
  <w:footnote w:id="5">
    <w:p w14:paraId="0DAFA91A" w14:textId="77777777" w:rsidR="00A02F05" w:rsidRPr="002E060B" w:rsidRDefault="00A02F05" w:rsidP="00A02F05">
      <w:pPr>
        <w:pStyle w:val="Textonotapie"/>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26F6FFDF" w14:textId="77777777" w:rsidR="00A02F05" w:rsidRPr="002E060B" w:rsidRDefault="00A02F05" w:rsidP="00A02F05">
      <w:pPr>
        <w:pStyle w:val="Textonotapie"/>
        <w:ind w:firstLine="709"/>
        <w:jc w:val="both"/>
        <w:rPr>
          <w:rFonts w:ascii="Arial" w:hAnsi="Arial" w:cs="Arial"/>
          <w:color w:val="000000" w:themeColor="text1"/>
          <w:sz w:val="18"/>
          <w:szCs w:val="18"/>
        </w:rPr>
      </w:pPr>
      <w:proofErr w:type="gramStart"/>
      <w:r w:rsidRPr="002E060B">
        <w:rPr>
          <w:rFonts w:ascii="Arial" w:hAnsi="Arial" w:cs="Arial"/>
          <w:color w:val="000000" w:themeColor="text1"/>
          <w:sz w:val="18"/>
          <w:szCs w:val="18"/>
        </w:rPr>
        <w:t>»Lo</w:t>
      </w:r>
      <w:proofErr w:type="gramEnd"/>
      <w:r w:rsidRPr="002E060B">
        <w:rPr>
          <w:rFonts w:ascii="Arial" w:hAnsi="Arial" w:cs="Arial"/>
          <w:color w:val="000000" w:themeColor="text1"/>
          <w:sz w:val="18"/>
          <w:szCs w:val="18"/>
        </w:rPr>
        <w:t xml:space="preserve"> anterior, sin perjuicio de las publicaciones previstas en el numeral 3 del artículo 30 de la Ley 80 de 1993.</w:t>
      </w:r>
    </w:p>
    <w:p w14:paraId="6CC2D50B" w14:textId="77777777" w:rsidR="00A02F05" w:rsidRPr="002E060B" w:rsidRDefault="00A02F05" w:rsidP="00A02F05">
      <w:pPr>
        <w:pStyle w:val="Textonotapie"/>
        <w:ind w:firstLine="709"/>
        <w:jc w:val="both"/>
        <w:rPr>
          <w:rFonts w:ascii="Arial" w:hAnsi="Arial" w:cs="Arial"/>
          <w:color w:val="000000" w:themeColor="text1"/>
          <w:sz w:val="18"/>
          <w:szCs w:val="18"/>
        </w:rPr>
      </w:pPr>
      <w:proofErr w:type="gramStart"/>
      <w:r w:rsidRPr="002E060B">
        <w:rPr>
          <w:rFonts w:ascii="Arial" w:hAnsi="Arial" w:cs="Arial"/>
          <w:color w:val="000000" w:themeColor="text1"/>
          <w:sz w:val="18"/>
          <w:szCs w:val="18"/>
        </w:rPr>
        <w:t>»Con</w:t>
      </w:r>
      <w:proofErr w:type="gramEnd"/>
      <w:r w:rsidRPr="002E060B">
        <w:rPr>
          <w:rFonts w:ascii="Arial" w:hAnsi="Arial" w:cs="Arial"/>
          <w:color w:val="000000" w:themeColor="text1"/>
          <w:sz w:val="18"/>
          <w:szCs w:val="18"/>
        </w:rPr>
        <w:t xml:space="preserve"> el fin de materializar los objetivos a que se refiere el inciso anterior, el Gobierno Nacional desarrollará el Sistema Electrónico para la Contratación Pública, </w:t>
      </w:r>
      <w:proofErr w:type="spellStart"/>
      <w:r w:rsidRPr="002E060B">
        <w:rPr>
          <w:rFonts w:ascii="Arial" w:hAnsi="Arial" w:cs="Arial"/>
          <w:color w:val="000000" w:themeColor="text1"/>
          <w:sz w:val="18"/>
          <w:szCs w:val="18"/>
        </w:rPr>
        <w:t>Secop</w:t>
      </w:r>
      <w:proofErr w:type="spellEnd"/>
      <w:r w:rsidRPr="002E060B">
        <w:rPr>
          <w:rFonts w:ascii="Arial" w:hAnsi="Arial" w:cs="Arial"/>
          <w:color w:val="000000" w:themeColor="text1"/>
          <w:sz w:val="18"/>
          <w:szCs w:val="18"/>
        </w:rPr>
        <w:t xml:space="preserve">, el cual: </w:t>
      </w:r>
    </w:p>
    <w:p w14:paraId="0973E855" w14:textId="77777777" w:rsidR="00A02F05" w:rsidRPr="002E060B" w:rsidRDefault="00A02F05" w:rsidP="00A02F05">
      <w:pPr>
        <w:pStyle w:val="Textonotapie"/>
        <w:ind w:firstLine="709"/>
        <w:jc w:val="both"/>
        <w:rPr>
          <w:rFonts w:ascii="Arial" w:hAnsi="Arial" w:cs="Arial"/>
          <w:color w:val="000000" w:themeColor="text1"/>
          <w:sz w:val="18"/>
          <w:szCs w:val="18"/>
        </w:rPr>
      </w:pPr>
      <w:r w:rsidRPr="002E060B">
        <w:rPr>
          <w:rFonts w:ascii="Arial" w:hAnsi="Arial" w:cs="Arial"/>
          <w:color w:val="000000" w:themeColor="text1"/>
          <w:sz w:val="18"/>
          <w:szCs w:val="18"/>
        </w:rPr>
        <w:t>[…]</w:t>
      </w:r>
    </w:p>
    <w:p w14:paraId="3EA4B68F" w14:textId="77777777" w:rsidR="00A02F05" w:rsidRPr="002E060B" w:rsidRDefault="00A02F05" w:rsidP="00A02F05">
      <w:pPr>
        <w:pStyle w:val="Textonotapie"/>
        <w:ind w:firstLine="709"/>
        <w:jc w:val="both"/>
        <w:rPr>
          <w:rFonts w:ascii="Arial" w:hAnsi="Arial" w:cs="Arial"/>
          <w:color w:val="000000" w:themeColor="text1"/>
          <w:sz w:val="18"/>
          <w:szCs w:val="18"/>
        </w:rPr>
      </w:pPr>
      <w:r w:rsidRPr="002E060B">
        <w:rPr>
          <w:rFonts w:ascii="Arial" w:hAnsi="Arial" w:cs="Arial"/>
          <w:color w:val="000000" w:themeColor="text1"/>
          <w:sz w:val="18"/>
          <w:szCs w:val="18"/>
        </w:rPr>
        <w:t xml:space="preserve">»c) Contará con la información oficial de la contratación realizada con dineros públicos, para lo cual establecerá los patrones a que haya lugar y se encargará de su difusión a través de canales electrónico». </w:t>
      </w:r>
    </w:p>
    <w:p w14:paraId="4FFC4FD5" w14:textId="77777777" w:rsidR="00A02F05" w:rsidRPr="002E060B" w:rsidRDefault="00A02F05" w:rsidP="00A02F05">
      <w:pPr>
        <w:pStyle w:val="Textonotapie"/>
        <w:ind w:firstLine="709"/>
        <w:jc w:val="both"/>
        <w:rPr>
          <w:rFonts w:ascii="Arial" w:hAnsi="Arial" w:cs="Arial"/>
          <w:color w:val="000000" w:themeColor="text1"/>
          <w:sz w:val="18"/>
          <w:szCs w:val="18"/>
          <w:lang w:val="es-CO"/>
        </w:rPr>
      </w:pPr>
    </w:p>
  </w:footnote>
  <w:footnote w:id="6">
    <w:p w14:paraId="1D8F8DF3" w14:textId="77777777" w:rsidR="00A02F05" w:rsidRPr="002E060B" w:rsidRDefault="00A02F05" w:rsidP="00A02F05">
      <w:pPr>
        <w:pStyle w:val="Textonotapie"/>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27456883" w14:textId="77777777" w:rsidR="00A02F05" w:rsidRPr="002E060B" w:rsidRDefault="00A02F05" w:rsidP="00A02F05">
      <w:pPr>
        <w:pStyle w:val="Textonotapie"/>
        <w:ind w:firstLine="709"/>
        <w:jc w:val="both"/>
        <w:rPr>
          <w:rFonts w:ascii="Arial" w:hAnsi="Arial" w:cs="Arial"/>
          <w:color w:val="000000" w:themeColor="text1"/>
          <w:sz w:val="18"/>
          <w:szCs w:val="18"/>
          <w:lang w:val="es-CO"/>
        </w:rPr>
      </w:pPr>
    </w:p>
  </w:footnote>
  <w:footnote w:id="7">
    <w:p w14:paraId="2CC73D23" w14:textId="77777777" w:rsidR="00A02F05" w:rsidRPr="002E060B" w:rsidRDefault="00A02F05" w:rsidP="00A02F05">
      <w:pPr>
        <w:pStyle w:val="Textonotapie"/>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Ley 1712 de 2014: «Artículo 5. Ámbito de aplicación. Las disposiciones de esta ley serán aplicables a las siguientes personas en calidad de sujetos obligados: </w:t>
      </w:r>
    </w:p>
    <w:p w14:paraId="72812F7E" w14:textId="77777777" w:rsidR="00A02F05" w:rsidRPr="002E060B" w:rsidRDefault="00A02F05" w:rsidP="00A02F05">
      <w:pPr>
        <w:pStyle w:val="Textonotapie"/>
        <w:ind w:firstLine="709"/>
        <w:jc w:val="both"/>
        <w:rPr>
          <w:rFonts w:ascii="Arial" w:hAnsi="Arial" w:cs="Arial"/>
          <w:color w:val="000000" w:themeColor="text1"/>
          <w:sz w:val="18"/>
          <w:szCs w:val="18"/>
        </w:rPr>
      </w:pPr>
      <w:proofErr w:type="gramStart"/>
      <w:r w:rsidRPr="002E060B">
        <w:rPr>
          <w:rFonts w:ascii="Arial" w:hAnsi="Arial" w:cs="Arial"/>
          <w:color w:val="000000" w:themeColor="text1"/>
          <w:sz w:val="18"/>
          <w:szCs w:val="18"/>
        </w:rPr>
        <w:t>»a</w:t>
      </w:r>
      <w:proofErr w:type="gramEnd"/>
      <w:r w:rsidRPr="002E060B">
        <w:rPr>
          <w:rFonts w:ascii="Arial" w:hAnsi="Arial" w:cs="Arial"/>
          <w:color w:val="000000" w:themeColor="text1"/>
          <w:sz w:val="18"/>
          <w:szCs w:val="18"/>
        </w:rPr>
        <w:t>) Toda entidad pública, incluyendo las pertenecientes a todas las Ramas del Poder Público, en todos los niveles de la estructura estatal, central o descentralizada por servicios o territorialmente, en los órdenes nacional, departamental, municipal y distrital».</w:t>
      </w:r>
    </w:p>
    <w:p w14:paraId="6107F56C" w14:textId="77777777" w:rsidR="00A02F05" w:rsidRPr="002E060B" w:rsidRDefault="00A02F05" w:rsidP="00A02F05">
      <w:pPr>
        <w:pStyle w:val="Textonotapie"/>
        <w:ind w:firstLine="709"/>
        <w:jc w:val="both"/>
        <w:rPr>
          <w:rFonts w:ascii="Arial" w:hAnsi="Arial" w:cs="Arial"/>
          <w:color w:val="000000" w:themeColor="text1"/>
          <w:sz w:val="18"/>
          <w:szCs w:val="18"/>
          <w:lang w:val="es-CO"/>
        </w:rPr>
      </w:pPr>
    </w:p>
  </w:footnote>
  <w:footnote w:id="8">
    <w:p w14:paraId="095F2BCB" w14:textId="77777777" w:rsidR="00A02F05" w:rsidRPr="002E060B" w:rsidRDefault="00A02F05" w:rsidP="00A02F05">
      <w:pPr>
        <w:pStyle w:val="Textonotapie"/>
        <w:ind w:firstLine="709"/>
        <w:jc w:val="both"/>
        <w:rPr>
          <w:rFonts w:ascii="Arial" w:hAnsi="Arial" w:cs="Arial"/>
          <w:color w:val="000000" w:themeColor="text1"/>
          <w:sz w:val="18"/>
          <w:szCs w:val="18"/>
        </w:rPr>
      </w:pPr>
      <w:r w:rsidRPr="002E060B">
        <w:rPr>
          <w:rFonts w:ascii="Arial" w:eastAsia="Times New Roman" w:hAnsi="Arial" w:cs="Arial"/>
          <w:color w:val="000000" w:themeColor="text1"/>
          <w:sz w:val="18"/>
          <w:szCs w:val="18"/>
          <w:vertAlign w:val="superscript"/>
          <w:lang w:val="es-ES" w:eastAsia="es-ES"/>
        </w:rPr>
        <w:footnoteRef/>
      </w:r>
      <w:r w:rsidRPr="002E060B">
        <w:rPr>
          <w:rFonts w:ascii="Arial" w:eastAsia="Times New Roman" w:hAnsi="Arial" w:cs="Arial"/>
          <w:color w:val="000000" w:themeColor="text1"/>
          <w:sz w:val="18"/>
          <w:szCs w:val="18"/>
          <w:vertAlign w:val="superscript"/>
          <w:lang w:val="es-ES" w:eastAsia="es-ES"/>
        </w:rPr>
        <w:t xml:space="preserve"> </w:t>
      </w:r>
      <w:r w:rsidRPr="002E060B">
        <w:rPr>
          <w:rFonts w:ascii="Arial" w:eastAsia="Times New Roman" w:hAnsi="Arial" w:cs="Arial"/>
          <w:color w:val="000000" w:themeColor="text1"/>
          <w:sz w:val="18"/>
          <w:szCs w:val="18"/>
          <w:lang w:val="es-ES" w:eastAsia="es-ES"/>
        </w:rPr>
        <w:t>«</w:t>
      </w:r>
      <w:r w:rsidRPr="002E060B">
        <w:rPr>
          <w:rFonts w:ascii="Arial" w:hAnsi="Arial" w:cs="Arial"/>
          <w:color w:val="000000" w:themeColor="text1"/>
          <w:sz w:val="18"/>
          <w:szCs w:val="18"/>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231FD261" w14:textId="77777777" w:rsidR="00A02F05" w:rsidRPr="002E060B" w:rsidRDefault="00A02F05" w:rsidP="00A02F05">
      <w:pPr>
        <w:pStyle w:val="Textonotapie"/>
        <w:ind w:firstLine="709"/>
        <w:jc w:val="both"/>
        <w:rPr>
          <w:rFonts w:ascii="Arial" w:eastAsia="Times New Roman" w:hAnsi="Arial" w:cs="Arial"/>
          <w:color w:val="000000" w:themeColor="text1"/>
          <w:sz w:val="18"/>
          <w:szCs w:val="18"/>
          <w:lang w:val="es-ES" w:eastAsia="es-ES"/>
        </w:rPr>
      </w:pPr>
      <w:r w:rsidRPr="002E060B">
        <w:rPr>
          <w:rFonts w:ascii="Arial" w:hAnsi="Arial" w:cs="Arial"/>
          <w:color w:val="000000" w:themeColor="text1"/>
          <w:sz w:val="18"/>
          <w:szCs w:val="18"/>
        </w:rPr>
        <w:t>[…].</w:t>
      </w:r>
    </w:p>
    <w:p w14:paraId="16D69F98" w14:textId="77777777" w:rsidR="00A02F05" w:rsidRPr="002E060B" w:rsidRDefault="00A02F05" w:rsidP="00A02F05">
      <w:pPr>
        <w:pStyle w:val="Textonotapie"/>
        <w:ind w:firstLine="709"/>
        <w:jc w:val="both"/>
        <w:rPr>
          <w:rFonts w:ascii="Arial" w:eastAsia="Times New Roman" w:hAnsi="Arial" w:cs="Arial"/>
          <w:color w:val="000000" w:themeColor="text1"/>
          <w:sz w:val="18"/>
          <w:szCs w:val="18"/>
          <w:lang w:val="es-ES" w:eastAsia="es-ES"/>
        </w:rPr>
      </w:pPr>
      <w:r w:rsidRPr="002E060B">
        <w:rPr>
          <w:rFonts w:ascii="Arial" w:eastAsia="Times New Roman" w:hAnsi="Arial" w:cs="Arial"/>
          <w:color w:val="000000" w:themeColor="text1"/>
          <w:sz w:val="18"/>
          <w:szCs w:val="18"/>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42B54137" w14:textId="77777777" w:rsidR="00A02F05" w:rsidRPr="002E060B" w:rsidRDefault="00A02F05" w:rsidP="00A02F05">
      <w:pPr>
        <w:pStyle w:val="Textonotapie"/>
        <w:ind w:firstLine="709"/>
        <w:jc w:val="both"/>
        <w:rPr>
          <w:rFonts w:ascii="Arial" w:eastAsia="Times New Roman" w:hAnsi="Arial" w:cs="Arial"/>
          <w:color w:val="000000" w:themeColor="text1"/>
          <w:sz w:val="18"/>
          <w:szCs w:val="18"/>
          <w:lang w:val="es-ES" w:eastAsia="es-ES"/>
        </w:rPr>
      </w:pPr>
    </w:p>
  </w:footnote>
  <w:footnote w:id="9">
    <w:p w14:paraId="3E93C142" w14:textId="77777777" w:rsidR="00A02F05" w:rsidRPr="002E060B" w:rsidRDefault="00A02F05" w:rsidP="00A02F05">
      <w:pPr>
        <w:pStyle w:val="Textonotapie"/>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C</w:t>
      </w:r>
      <w:proofErr w:type="spellStart"/>
      <w:r w:rsidRPr="002E060B">
        <w:rPr>
          <w:rFonts w:ascii="Arial" w:eastAsia="Times New Roman" w:hAnsi="Arial" w:cs="Arial"/>
          <w:color w:val="000000" w:themeColor="text1"/>
          <w:sz w:val="18"/>
          <w:szCs w:val="18"/>
          <w:lang w:val="es-ES" w:eastAsia="es-ES"/>
        </w:rPr>
        <w:t>orte</w:t>
      </w:r>
      <w:proofErr w:type="spellEnd"/>
      <w:r w:rsidRPr="002E060B">
        <w:rPr>
          <w:rFonts w:ascii="Arial" w:eastAsia="Times New Roman" w:hAnsi="Arial" w:cs="Arial"/>
          <w:color w:val="000000" w:themeColor="text1"/>
          <w:sz w:val="18"/>
          <w:szCs w:val="18"/>
          <w:lang w:val="es-ES" w:eastAsia="es-ES"/>
        </w:rPr>
        <w:t xml:space="preserve"> Constitucional. Sentencia C‒274 de 9 de mayo de 2013. M.P. María Victoria Calle Correa. </w:t>
      </w:r>
    </w:p>
    <w:p w14:paraId="4569D87E" w14:textId="77777777" w:rsidR="00A02F05" w:rsidRPr="002E060B" w:rsidRDefault="00A02F05" w:rsidP="00A02F05">
      <w:pPr>
        <w:pStyle w:val="Textonotapie"/>
        <w:ind w:firstLine="709"/>
        <w:jc w:val="both"/>
        <w:rPr>
          <w:rFonts w:ascii="Arial" w:hAnsi="Arial" w:cs="Arial"/>
          <w:color w:val="000000" w:themeColor="text1"/>
          <w:sz w:val="18"/>
          <w:szCs w:val="18"/>
          <w:lang w:val="es-CO"/>
        </w:rPr>
      </w:pPr>
    </w:p>
  </w:footnote>
  <w:footnote w:id="10">
    <w:p w14:paraId="08A3399C" w14:textId="77777777" w:rsidR="00A02F05" w:rsidRPr="002E060B" w:rsidRDefault="00A02F05" w:rsidP="00A02F05">
      <w:pPr>
        <w:pStyle w:val="Textonotapie"/>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78E5D55C" w14:textId="77777777" w:rsidR="00A02F05" w:rsidRPr="002E060B" w:rsidRDefault="00A02F05" w:rsidP="00A02F05">
      <w:pPr>
        <w:pStyle w:val="Textonotapie"/>
        <w:ind w:firstLine="709"/>
        <w:jc w:val="both"/>
        <w:rPr>
          <w:rFonts w:ascii="Arial" w:hAnsi="Arial" w:cs="Arial"/>
          <w:color w:val="000000" w:themeColor="text1"/>
          <w:sz w:val="18"/>
          <w:szCs w:val="18"/>
          <w:lang w:val="es-CO"/>
        </w:rPr>
      </w:pPr>
    </w:p>
  </w:footnote>
  <w:footnote w:id="11">
    <w:p w14:paraId="7FC3E873" w14:textId="77777777" w:rsidR="00BC1F25" w:rsidRPr="0088099E" w:rsidRDefault="00BC1F25" w:rsidP="0088099E">
      <w:pPr>
        <w:pStyle w:val="Textonotapie"/>
        <w:ind w:right="49" w:firstLine="709"/>
        <w:jc w:val="both"/>
        <w:rPr>
          <w:rFonts w:ascii="Arial" w:hAnsi="Arial" w:cs="Arial"/>
          <w:color w:val="000000" w:themeColor="text1"/>
          <w:sz w:val="19"/>
          <w:szCs w:val="19"/>
        </w:rPr>
      </w:pPr>
      <w:r w:rsidRPr="0088099E">
        <w:rPr>
          <w:rStyle w:val="Refdenotaalpie"/>
          <w:rFonts w:ascii="Arial" w:hAnsi="Arial" w:cs="Arial"/>
          <w:color w:val="000000" w:themeColor="text1"/>
          <w:sz w:val="19"/>
          <w:szCs w:val="19"/>
        </w:rPr>
        <w:footnoteRef/>
      </w:r>
      <w:r w:rsidRPr="0088099E">
        <w:rPr>
          <w:rFonts w:ascii="Arial" w:hAnsi="Arial" w:cs="Arial"/>
          <w:color w:val="000000" w:themeColor="text1"/>
          <w:sz w:val="19"/>
          <w:szCs w:val="19"/>
        </w:rPr>
        <w:t xml:space="preserve"> Corte Constitucional. Sentencia C- 341 del 4 de junio de 2014. M. P. Mauricio González Cuervo.</w:t>
      </w:r>
    </w:p>
    <w:p w14:paraId="19B98A0D" w14:textId="77777777" w:rsidR="00BC1F25" w:rsidRPr="0088099E" w:rsidRDefault="00BC1F25" w:rsidP="0088099E">
      <w:pPr>
        <w:pStyle w:val="Textonotapie"/>
        <w:ind w:right="49" w:firstLine="709"/>
        <w:jc w:val="both"/>
        <w:rPr>
          <w:rFonts w:ascii="Arial" w:hAnsi="Arial" w:cs="Arial"/>
          <w:color w:val="000000" w:themeColor="text1"/>
          <w:sz w:val="19"/>
          <w:szCs w:val="19"/>
        </w:rPr>
      </w:pPr>
    </w:p>
  </w:footnote>
  <w:footnote w:id="12">
    <w:p w14:paraId="7DF1DB60" w14:textId="77777777" w:rsidR="00BC1F25" w:rsidRPr="0088099E" w:rsidRDefault="00BC1F25" w:rsidP="0088099E">
      <w:pPr>
        <w:pStyle w:val="Textonotapie"/>
        <w:ind w:right="49" w:firstLine="709"/>
        <w:jc w:val="both"/>
        <w:rPr>
          <w:rFonts w:ascii="Arial" w:hAnsi="Arial" w:cs="Arial"/>
          <w:color w:val="000000" w:themeColor="text1"/>
          <w:sz w:val="19"/>
          <w:szCs w:val="19"/>
        </w:rPr>
      </w:pPr>
      <w:r w:rsidRPr="0088099E">
        <w:rPr>
          <w:rStyle w:val="Refdenotaalpie"/>
          <w:rFonts w:ascii="Arial" w:hAnsi="Arial" w:cs="Arial"/>
          <w:color w:val="000000" w:themeColor="text1"/>
          <w:sz w:val="19"/>
          <w:szCs w:val="19"/>
        </w:rPr>
        <w:footnoteRef/>
      </w:r>
      <w:r w:rsidRPr="0088099E">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4279FD18" w14:textId="77777777" w:rsidR="00BC1F25" w:rsidRPr="0088099E" w:rsidRDefault="00BC1F25" w:rsidP="0088099E">
      <w:pPr>
        <w:pStyle w:val="Textonotapie"/>
        <w:ind w:right="49" w:firstLine="709"/>
        <w:jc w:val="both"/>
        <w:rPr>
          <w:rFonts w:ascii="Arial" w:hAnsi="Arial" w:cs="Arial"/>
          <w:color w:val="000000" w:themeColor="text1"/>
          <w:sz w:val="19"/>
          <w:szCs w:val="19"/>
        </w:rPr>
      </w:pPr>
    </w:p>
  </w:footnote>
  <w:footnote w:id="13">
    <w:p w14:paraId="5CEF4813" w14:textId="77777777" w:rsidR="00BC1F25" w:rsidRPr="0088099E" w:rsidRDefault="00BC1F25" w:rsidP="0088099E">
      <w:pPr>
        <w:pStyle w:val="Textonotapie"/>
        <w:ind w:right="49" w:firstLine="709"/>
        <w:jc w:val="both"/>
        <w:rPr>
          <w:rFonts w:ascii="Arial" w:hAnsi="Arial" w:cs="Arial"/>
          <w:color w:val="000000" w:themeColor="text1"/>
          <w:sz w:val="19"/>
          <w:szCs w:val="19"/>
        </w:rPr>
      </w:pPr>
      <w:r w:rsidRPr="0088099E">
        <w:rPr>
          <w:rStyle w:val="Refdenotaalpie"/>
          <w:rFonts w:ascii="Arial" w:hAnsi="Arial" w:cs="Arial"/>
          <w:color w:val="000000" w:themeColor="text1"/>
          <w:sz w:val="19"/>
          <w:szCs w:val="19"/>
        </w:rPr>
        <w:footnoteRef/>
      </w:r>
      <w:r w:rsidRPr="0088099E">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62ACF03E" w14:textId="77777777" w:rsidR="00BC1F25" w:rsidRPr="0088099E" w:rsidRDefault="00BC1F25" w:rsidP="0088099E">
      <w:pPr>
        <w:pStyle w:val="Textonotapie"/>
        <w:ind w:right="49" w:firstLine="709"/>
        <w:jc w:val="both"/>
        <w:rPr>
          <w:rFonts w:ascii="Arial" w:hAnsi="Arial" w:cs="Arial"/>
          <w:color w:val="000000" w:themeColor="text1"/>
          <w:sz w:val="19"/>
          <w:szCs w:val="19"/>
        </w:rPr>
      </w:pPr>
      <w:r w:rsidRPr="0088099E">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p w14:paraId="1F897795" w14:textId="77777777" w:rsidR="00BC1F25" w:rsidRPr="0088099E" w:rsidRDefault="00BC1F25" w:rsidP="0088099E">
      <w:pPr>
        <w:pStyle w:val="Textonotapie"/>
        <w:ind w:right="49" w:firstLine="709"/>
        <w:jc w:val="both"/>
        <w:rPr>
          <w:rFonts w:ascii="Arial" w:hAnsi="Arial" w:cs="Arial"/>
          <w:color w:val="000000" w:themeColor="text1"/>
          <w:sz w:val="19"/>
          <w:szCs w:val="19"/>
        </w:rPr>
      </w:pPr>
    </w:p>
  </w:footnote>
  <w:footnote w:id="14">
    <w:p w14:paraId="77BD48AC" w14:textId="77777777" w:rsidR="00BC1F25" w:rsidRPr="0088099E" w:rsidRDefault="00BC1F25" w:rsidP="0088099E">
      <w:pPr>
        <w:pStyle w:val="Textonotapie"/>
        <w:ind w:right="49" w:firstLine="709"/>
        <w:jc w:val="both"/>
        <w:rPr>
          <w:rFonts w:ascii="Arial" w:hAnsi="Arial" w:cs="Arial"/>
          <w:color w:val="000000" w:themeColor="text1"/>
          <w:sz w:val="19"/>
          <w:szCs w:val="19"/>
        </w:rPr>
      </w:pPr>
      <w:r w:rsidRPr="0088099E">
        <w:rPr>
          <w:rFonts w:ascii="Arial" w:hAnsi="Arial" w:cs="Arial"/>
          <w:color w:val="000000" w:themeColor="text1"/>
          <w:sz w:val="19"/>
          <w:szCs w:val="19"/>
          <w:vertAlign w:val="superscript"/>
          <w:lang w:val="es-ES" w:eastAsia="es-ES"/>
        </w:rPr>
        <w:footnoteRef/>
      </w:r>
      <w:r w:rsidRPr="0088099E">
        <w:rPr>
          <w:rFonts w:ascii="Arial" w:hAnsi="Arial" w:cs="Arial"/>
          <w:color w:val="000000" w:themeColor="text1"/>
          <w:sz w:val="19"/>
          <w:szCs w:val="19"/>
          <w:vertAlign w:val="superscript"/>
          <w:lang w:val="es-ES" w:eastAsia="es-ES"/>
        </w:rPr>
        <w:t xml:space="preserve"> </w:t>
      </w:r>
      <w:r w:rsidRPr="0088099E">
        <w:rPr>
          <w:rFonts w:ascii="Arial" w:hAnsi="Arial" w:cs="Arial"/>
          <w:color w:val="000000" w:themeColor="text1"/>
          <w:sz w:val="19"/>
          <w:szCs w:val="19"/>
          <w:lang w:val="es-ES" w:eastAsia="es-ES"/>
        </w:rPr>
        <w:t>«</w:t>
      </w:r>
      <w:r w:rsidRPr="0088099E">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3399DB82" w14:textId="77777777" w:rsidR="00BC1F25" w:rsidRPr="0088099E" w:rsidRDefault="00BC1F25" w:rsidP="0088099E">
      <w:pPr>
        <w:pStyle w:val="Textonotapie"/>
        <w:ind w:right="49" w:firstLine="709"/>
        <w:jc w:val="both"/>
        <w:rPr>
          <w:rFonts w:ascii="Arial" w:hAnsi="Arial" w:cs="Arial"/>
          <w:color w:val="000000" w:themeColor="text1"/>
          <w:sz w:val="19"/>
          <w:szCs w:val="19"/>
          <w:lang w:val="es-ES" w:eastAsia="es-ES"/>
        </w:rPr>
      </w:pPr>
      <w:r w:rsidRPr="0088099E">
        <w:rPr>
          <w:rFonts w:ascii="Arial" w:hAnsi="Arial" w:cs="Arial"/>
          <w:color w:val="000000" w:themeColor="text1"/>
          <w:sz w:val="19"/>
          <w:szCs w:val="19"/>
        </w:rPr>
        <w:t>[…].</w:t>
      </w:r>
    </w:p>
    <w:p w14:paraId="3086C8CB" w14:textId="77777777" w:rsidR="00BC1F25" w:rsidRPr="0088099E" w:rsidRDefault="00BC1F25" w:rsidP="0088099E">
      <w:pPr>
        <w:pStyle w:val="Textonotapie"/>
        <w:ind w:right="49" w:firstLine="709"/>
        <w:jc w:val="both"/>
        <w:rPr>
          <w:rFonts w:ascii="Arial" w:hAnsi="Arial" w:cs="Arial"/>
          <w:color w:val="000000" w:themeColor="text1"/>
          <w:sz w:val="19"/>
          <w:szCs w:val="19"/>
          <w:lang w:val="es-ES" w:eastAsia="es-ES"/>
        </w:rPr>
      </w:pPr>
      <w:proofErr w:type="gramStart"/>
      <w:r w:rsidRPr="0088099E">
        <w:rPr>
          <w:rFonts w:ascii="Arial" w:hAnsi="Arial" w:cs="Arial"/>
          <w:color w:val="000000" w:themeColor="text1"/>
          <w:sz w:val="19"/>
          <w:szCs w:val="19"/>
          <w:lang w:val="es-ES" w:eastAsia="es-ES"/>
        </w:rPr>
        <w:t>»Los</w:t>
      </w:r>
      <w:proofErr w:type="gramEnd"/>
      <w:r w:rsidRPr="0088099E">
        <w:rPr>
          <w:rFonts w:ascii="Arial" w:hAnsi="Arial" w:cs="Arial"/>
          <w:color w:val="000000" w:themeColor="text1"/>
          <w:sz w:val="19"/>
          <w:szCs w:val="19"/>
          <w:lang w:val="es-ES" w:eastAsia="es-ES"/>
        </w:rPr>
        <w:t xml:space="preserve"> sujetos obligados que contratan con recursos públicos y recursos privados, deben publicar la información de su gestión contractual con cargo a recursos públicos en el Sistema Electrónico para la Contratación Pública [SECOP]».</w:t>
      </w:r>
    </w:p>
    <w:p w14:paraId="3DD1E0EC" w14:textId="77777777" w:rsidR="00BC1F25" w:rsidRPr="0088099E" w:rsidRDefault="00BC1F25" w:rsidP="0088099E">
      <w:pPr>
        <w:pStyle w:val="Textonotapie"/>
        <w:ind w:right="49" w:firstLine="709"/>
        <w:jc w:val="both"/>
        <w:rPr>
          <w:rFonts w:ascii="Arial" w:hAnsi="Arial" w:cs="Arial"/>
          <w:color w:val="000000" w:themeColor="text1"/>
          <w:sz w:val="19"/>
          <w:szCs w:val="19"/>
          <w:lang w:val="es-ES" w:eastAsia="es-ES"/>
        </w:rPr>
      </w:pPr>
    </w:p>
  </w:footnote>
  <w:footnote w:id="15">
    <w:p w14:paraId="37AE9B05" w14:textId="77777777" w:rsidR="00BC1F25" w:rsidRPr="0088099E" w:rsidRDefault="00BC1F25" w:rsidP="0088099E">
      <w:pPr>
        <w:pStyle w:val="Textonotapie"/>
        <w:ind w:firstLine="708"/>
        <w:jc w:val="both"/>
        <w:rPr>
          <w:rFonts w:ascii="Arial" w:hAnsi="Arial" w:cs="Arial"/>
          <w:sz w:val="19"/>
          <w:szCs w:val="19"/>
          <w:lang w:val="es-CO"/>
        </w:rPr>
      </w:pPr>
      <w:r w:rsidRPr="0088099E">
        <w:rPr>
          <w:rStyle w:val="Refdenotaalpie"/>
          <w:rFonts w:ascii="Arial" w:hAnsi="Arial" w:cs="Arial"/>
          <w:sz w:val="19"/>
          <w:szCs w:val="19"/>
        </w:rPr>
        <w:footnoteRef/>
      </w:r>
      <w:r w:rsidRPr="0088099E">
        <w:rPr>
          <w:rFonts w:ascii="Arial" w:hAnsi="Arial" w:cs="Arial"/>
          <w:sz w:val="19"/>
          <w:szCs w:val="19"/>
        </w:rPr>
        <w:t xml:space="preserve">  Ley 1712 de 2014 «Artículo 2°.Principio de máxima publicidad para titular universal. Toda información en posesión, bajo control o custodia de un sujeto obligado es pública y no podrá ser reservada o limitada sino por disposición constitucional o legal, de conformidad con la presente ley».</w:t>
      </w:r>
    </w:p>
  </w:footnote>
  <w:footnote w:id="16">
    <w:p w14:paraId="407DEE20" w14:textId="77777777" w:rsidR="00BC1F25" w:rsidRPr="0088099E" w:rsidRDefault="00BC1F25" w:rsidP="0088099E">
      <w:pPr>
        <w:pStyle w:val="Textonotapie"/>
        <w:jc w:val="both"/>
        <w:rPr>
          <w:rFonts w:ascii="Arial" w:hAnsi="Arial" w:cs="Arial"/>
          <w:sz w:val="19"/>
          <w:szCs w:val="19"/>
        </w:rPr>
      </w:pPr>
    </w:p>
    <w:p w14:paraId="3A251D43" w14:textId="77777777" w:rsidR="00BC1F25" w:rsidRPr="0088099E" w:rsidRDefault="00BC1F25" w:rsidP="0088099E">
      <w:pPr>
        <w:pStyle w:val="NormalWeb"/>
        <w:spacing w:before="0" w:beforeAutospacing="0" w:after="0" w:afterAutospacing="0"/>
        <w:ind w:firstLine="708"/>
        <w:jc w:val="both"/>
        <w:rPr>
          <w:rFonts w:ascii="Arial" w:hAnsi="Arial" w:cs="Arial"/>
          <w:color w:val="000000"/>
          <w:sz w:val="19"/>
          <w:szCs w:val="19"/>
        </w:rPr>
      </w:pPr>
      <w:r w:rsidRPr="0088099E">
        <w:rPr>
          <w:rStyle w:val="Refdenotaalpie"/>
          <w:rFonts w:ascii="Arial" w:hAnsi="Arial" w:cs="Arial"/>
          <w:sz w:val="19"/>
          <w:szCs w:val="19"/>
        </w:rPr>
        <w:footnoteRef/>
      </w:r>
      <w:r w:rsidRPr="0088099E">
        <w:rPr>
          <w:rFonts w:ascii="Arial" w:hAnsi="Arial" w:cs="Arial"/>
          <w:sz w:val="19"/>
          <w:szCs w:val="19"/>
        </w:rPr>
        <w:t xml:space="preserve">  Ley 1712 de 2014 «</w:t>
      </w:r>
      <w:r w:rsidRPr="0088099E">
        <w:rPr>
          <w:rStyle w:val="PiedepginaCar"/>
          <w:rFonts w:ascii="Arial" w:hAnsi="Arial" w:cs="Arial"/>
          <w:color w:val="000000"/>
          <w:sz w:val="19"/>
          <w:szCs w:val="19"/>
        </w:rPr>
        <w:t xml:space="preserve"> </w:t>
      </w:r>
      <w:r w:rsidRPr="0088099E">
        <w:rPr>
          <w:rFonts w:ascii="Arial" w:hAnsi="Arial" w:cs="Arial"/>
          <w:color w:val="000000"/>
          <w:sz w:val="19"/>
          <w:szCs w:val="19"/>
        </w:rPr>
        <w:t>Artículo 3°.Otros principios de la transparencia y acceso a la información pública. En la interpretación del derecho de acceso a la información se deberá adoptar un criterio de razonabilidad y proporcionalidad, así como aplicar los siguientes principios: </w:t>
      </w:r>
    </w:p>
    <w:p w14:paraId="3CE072CD" w14:textId="77777777" w:rsidR="00BC1F25" w:rsidRPr="0088099E" w:rsidRDefault="00BC1F25" w:rsidP="0088099E">
      <w:pPr>
        <w:jc w:val="both"/>
        <w:rPr>
          <w:rFonts w:ascii="Arial" w:hAnsi="Arial" w:cs="Arial"/>
          <w:color w:val="000000"/>
          <w:sz w:val="19"/>
          <w:szCs w:val="19"/>
          <w:lang w:eastAsia="es-CO"/>
        </w:rPr>
      </w:pPr>
      <w:r w:rsidRPr="0088099E">
        <w:rPr>
          <w:rFonts w:ascii="Arial" w:hAnsi="Arial" w:cs="Arial"/>
          <w:color w:val="000000"/>
          <w:sz w:val="19"/>
          <w:szCs w:val="19"/>
          <w:lang w:eastAsia="es-CO"/>
        </w:rPr>
        <w:t> </w:t>
      </w:r>
      <w:r w:rsidRPr="0088099E">
        <w:rPr>
          <w:rFonts w:ascii="Arial" w:hAnsi="Arial" w:cs="Arial"/>
          <w:color w:val="000000"/>
          <w:sz w:val="19"/>
          <w:szCs w:val="19"/>
          <w:lang w:eastAsia="es-CO"/>
        </w:rPr>
        <w:tab/>
        <w:t>»Principio de transparencia. Principio conforme al cual toda la información en poder de los sujetos obligados definidos en esta ley se presume pública, en consecuencia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 </w:t>
      </w:r>
    </w:p>
    <w:p w14:paraId="09A0E5B0" w14:textId="77777777" w:rsidR="00BC1F25" w:rsidRPr="0088099E" w:rsidRDefault="00BC1F25" w:rsidP="0088099E">
      <w:pPr>
        <w:jc w:val="both"/>
        <w:rPr>
          <w:rFonts w:ascii="Arial" w:hAnsi="Arial" w:cs="Arial"/>
          <w:color w:val="000000"/>
          <w:sz w:val="19"/>
          <w:szCs w:val="19"/>
          <w:lang w:eastAsia="es-CO"/>
        </w:rPr>
      </w:pPr>
      <w:r w:rsidRPr="0088099E">
        <w:rPr>
          <w:rFonts w:ascii="Arial" w:hAnsi="Arial" w:cs="Arial"/>
          <w:color w:val="000000"/>
          <w:sz w:val="19"/>
          <w:szCs w:val="19"/>
          <w:lang w:eastAsia="es-CO"/>
        </w:rPr>
        <w:t>  </w:t>
      </w:r>
      <w:r w:rsidRPr="0088099E">
        <w:rPr>
          <w:rFonts w:ascii="Arial" w:hAnsi="Arial" w:cs="Arial"/>
          <w:color w:val="000000"/>
          <w:sz w:val="19"/>
          <w:szCs w:val="19"/>
          <w:lang w:eastAsia="es-CO"/>
        </w:rPr>
        <w:tab/>
        <w:t>[…] </w:t>
      </w:r>
    </w:p>
    <w:p w14:paraId="7C9841CA" w14:textId="77777777" w:rsidR="00BC1F25" w:rsidRPr="0088099E" w:rsidRDefault="00BC1F25" w:rsidP="0088099E">
      <w:pPr>
        <w:jc w:val="both"/>
        <w:rPr>
          <w:rFonts w:ascii="Arial" w:hAnsi="Arial" w:cs="Arial"/>
          <w:color w:val="000000"/>
          <w:sz w:val="19"/>
          <w:szCs w:val="19"/>
          <w:lang w:eastAsia="es-CO"/>
        </w:rPr>
      </w:pPr>
      <w:r w:rsidRPr="0088099E">
        <w:rPr>
          <w:rFonts w:ascii="Arial" w:hAnsi="Arial" w:cs="Arial"/>
          <w:color w:val="000000"/>
          <w:sz w:val="19"/>
          <w:szCs w:val="19"/>
          <w:lang w:eastAsia="es-CO"/>
        </w:rPr>
        <w:t>  </w:t>
      </w:r>
      <w:r w:rsidRPr="0088099E">
        <w:rPr>
          <w:rFonts w:ascii="Arial" w:hAnsi="Arial" w:cs="Arial"/>
          <w:color w:val="000000"/>
          <w:sz w:val="19"/>
          <w:szCs w:val="19"/>
          <w:lang w:eastAsia="es-CO"/>
        </w:rPr>
        <w:tab/>
        <w:t>»Principio de facilitación. En virtud de este principio los sujetos obligados deberán facilitar el ejercicio del derecho de acceso a la información pública, excluyendo exigencias o requisitos que puedan obstruirlo o impedirlo. </w:t>
      </w:r>
    </w:p>
    <w:p w14:paraId="7820CCB4" w14:textId="77777777" w:rsidR="00BC1F25" w:rsidRPr="0088099E" w:rsidRDefault="00BC1F25" w:rsidP="0088099E">
      <w:pPr>
        <w:jc w:val="both"/>
        <w:rPr>
          <w:rFonts w:ascii="Arial" w:hAnsi="Arial" w:cs="Arial"/>
          <w:color w:val="000000"/>
          <w:sz w:val="19"/>
          <w:szCs w:val="19"/>
          <w:lang w:eastAsia="es-CO"/>
        </w:rPr>
      </w:pPr>
      <w:r w:rsidRPr="0088099E">
        <w:rPr>
          <w:rFonts w:ascii="Arial" w:hAnsi="Arial" w:cs="Arial"/>
          <w:color w:val="000000"/>
          <w:sz w:val="19"/>
          <w:szCs w:val="19"/>
          <w:lang w:eastAsia="es-CO"/>
        </w:rPr>
        <w:t>  </w:t>
      </w:r>
      <w:r w:rsidRPr="0088099E">
        <w:rPr>
          <w:rFonts w:ascii="Arial" w:hAnsi="Arial" w:cs="Arial"/>
          <w:color w:val="000000"/>
          <w:sz w:val="19"/>
          <w:szCs w:val="19"/>
          <w:lang w:eastAsia="es-CO"/>
        </w:rPr>
        <w:tab/>
        <w:t>[…]</w:t>
      </w:r>
    </w:p>
    <w:p w14:paraId="1D5A0C01" w14:textId="77777777" w:rsidR="00BC1F25" w:rsidRPr="0088099E" w:rsidRDefault="00BC1F25" w:rsidP="0088099E">
      <w:pPr>
        <w:jc w:val="both"/>
        <w:rPr>
          <w:rFonts w:ascii="Arial" w:hAnsi="Arial" w:cs="Arial"/>
          <w:sz w:val="19"/>
          <w:szCs w:val="19"/>
        </w:rPr>
      </w:pPr>
      <w:r w:rsidRPr="0088099E">
        <w:rPr>
          <w:rFonts w:ascii="Arial" w:hAnsi="Arial" w:cs="Arial"/>
          <w:color w:val="000000"/>
          <w:sz w:val="19"/>
          <w:szCs w:val="19"/>
          <w:lang w:eastAsia="es-CO"/>
        </w:rPr>
        <w:t>  </w:t>
      </w:r>
      <w:r w:rsidRPr="0088099E">
        <w:rPr>
          <w:rFonts w:ascii="Arial" w:hAnsi="Arial" w:cs="Arial"/>
          <w:color w:val="000000"/>
          <w:sz w:val="19"/>
          <w:szCs w:val="19"/>
          <w:lang w:eastAsia="es-CO"/>
        </w:rPr>
        <w:tab/>
        <w:t>» Principio de la divulgación proactiva de la información. El derecho de acceso a la información no radica únicamente en la obligación de dar respuesta a las peticiones de la sociedad, sino también en el deber de los sujetos obligados de promover y generar una cultura de transparencia, lo que conlleva la obligación de publicar y divulgar documentos y archivos que plasman la actividad estatal y de interés público, de forma rutinaria y proactiva, actualizada, accesible y comprensible, atendiendo a límites razonables del talento humano y recursos físicos y financieros […]».</w:t>
      </w:r>
    </w:p>
  </w:footnote>
  <w:footnote w:id="17">
    <w:p w14:paraId="228B4A85" w14:textId="77777777" w:rsidR="00BC1F25" w:rsidRPr="0088099E" w:rsidRDefault="00BC1F25" w:rsidP="0088099E">
      <w:pPr>
        <w:pStyle w:val="Textonotapie"/>
        <w:ind w:firstLine="708"/>
        <w:jc w:val="both"/>
        <w:rPr>
          <w:rFonts w:ascii="Arial" w:hAnsi="Arial" w:cs="Arial"/>
          <w:sz w:val="19"/>
          <w:szCs w:val="19"/>
        </w:rPr>
      </w:pPr>
    </w:p>
    <w:p w14:paraId="54B6A715" w14:textId="77777777" w:rsidR="00BC1F25" w:rsidRPr="0088099E" w:rsidRDefault="00BC1F25" w:rsidP="0088099E">
      <w:pPr>
        <w:pStyle w:val="Textonotapie"/>
        <w:ind w:firstLine="708"/>
        <w:jc w:val="both"/>
        <w:rPr>
          <w:rFonts w:ascii="Arial" w:hAnsi="Arial" w:cs="Arial"/>
          <w:sz w:val="19"/>
          <w:szCs w:val="19"/>
        </w:rPr>
      </w:pPr>
      <w:r w:rsidRPr="0088099E">
        <w:rPr>
          <w:rStyle w:val="Refdenotaalpie"/>
          <w:rFonts w:ascii="Arial" w:hAnsi="Arial" w:cs="Arial"/>
          <w:sz w:val="19"/>
          <w:szCs w:val="19"/>
        </w:rPr>
        <w:footnoteRef/>
      </w:r>
      <w:r w:rsidRPr="0088099E">
        <w:rPr>
          <w:rFonts w:ascii="Arial" w:hAnsi="Arial" w:cs="Arial"/>
          <w:sz w:val="19"/>
          <w:szCs w:val="19"/>
        </w:rPr>
        <w:t xml:space="preserve"> Ley 80 de 1993 «Artículo 24. Del principio de transparencia. En virtud de este principio: </w:t>
      </w:r>
    </w:p>
    <w:p w14:paraId="7E34B781" w14:textId="77777777" w:rsidR="00BC1F25" w:rsidRPr="0088099E" w:rsidRDefault="00BC1F25" w:rsidP="0088099E">
      <w:pPr>
        <w:pStyle w:val="Textonotapie"/>
        <w:ind w:firstLine="708"/>
        <w:jc w:val="both"/>
        <w:rPr>
          <w:rFonts w:ascii="Arial" w:hAnsi="Arial" w:cs="Arial"/>
          <w:sz w:val="19"/>
          <w:szCs w:val="19"/>
        </w:rPr>
      </w:pPr>
      <w:r w:rsidRPr="0088099E">
        <w:rPr>
          <w:rFonts w:ascii="Arial" w:hAnsi="Arial" w:cs="Arial"/>
          <w:sz w:val="19"/>
          <w:szCs w:val="19"/>
        </w:rPr>
        <w:t>[…]</w:t>
      </w:r>
    </w:p>
    <w:p w14:paraId="4770B8C3" w14:textId="77777777" w:rsidR="00BC1F25" w:rsidRPr="0088099E" w:rsidRDefault="00BC1F25" w:rsidP="0088099E">
      <w:pPr>
        <w:pStyle w:val="Textonotapie"/>
        <w:ind w:firstLine="708"/>
        <w:jc w:val="both"/>
        <w:rPr>
          <w:rFonts w:ascii="Arial" w:hAnsi="Arial" w:cs="Arial"/>
          <w:sz w:val="19"/>
          <w:szCs w:val="19"/>
          <w:lang w:val="es-CO"/>
        </w:rPr>
      </w:pPr>
      <w:r w:rsidRPr="0088099E">
        <w:rPr>
          <w:rFonts w:ascii="Arial" w:hAnsi="Arial" w:cs="Arial"/>
          <w:sz w:val="19"/>
          <w:szCs w:val="19"/>
        </w:rPr>
        <w:t>»4o. Las autoridades expedirán a costa de aquellas personas que demuestren interés legítimo, copias de las actuaciones y propuestas recibidas, respetando la reserva de que gocen legalmente las patentes, procedimientos y privilegios».</w:t>
      </w:r>
    </w:p>
    <w:p w14:paraId="4A6CF611" w14:textId="77777777" w:rsidR="00BC1F25" w:rsidRPr="0088099E" w:rsidRDefault="00BC1F25" w:rsidP="0088099E">
      <w:pPr>
        <w:pStyle w:val="Textonotapie"/>
        <w:ind w:firstLine="708"/>
        <w:jc w:val="both"/>
        <w:rPr>
          <w:rFonts w:ascii="Arial" w:hAnsi="Arial" w:cs="Arial"/>
          <w:sz w:val="19"/>
          <w:szCs w:val="19"/>
          <w:lang w:val="es-CO"/>
        </w:rPr>
      </w:pPr>
      <w:r w:rsidRPr="0088099E">
        <w:rPr>
          <w:rFonts w:ascii="Arial" w:hAnsi="Arial" w:cs="Arial"/>
          <w:sz w:val="19"/>
          <w:szCs w:val="19"/>
        </w:rPr>
        <w:t xml:space="preserve"> </w:t>
      </w:r>
    </w:p>
  </w:footnote>
  <w:footnote w:id="18">
    <w:p w14:paraId="5128D339" w14:textId="77777777" w:rsidR="00BC1F25" w:rsidRPr="0088099E" w:rsidRDefault="00BC1F25" w:rsidP="0088099E">
      <w:pPr>
        <w:pStyle w:val="Textonotapie"/>
        <w:ind w:firstLine="708"/>
        <w:jc w:val="both"/>
        <w:rPr>
          <w:rFonts w:ascii="Arial" w:hAnsi="Arial" w:cs="Arial"/>
          <w:sz w:val="19"/>
          <w:szCs w:val="19"/>
        </w:rPr>
      </w:pPr>
      <w:r w:rsidRPr="0088099E">
        <w:rPr>
          <w:rStyle w:val="Refdenotaalpie"/>
          <w:rFonts w:ascii="Arial" w:hAnsi="Arial" w:cs="Arial"/>
          <w:sz w:val="19"/>
          <w:szCs w:val="19"/>
        </w:rPr>
        <w:footnoteRef/>
      </w:r>
      <w:r w:rsidRPr="0088099E">
        <w:rPr>
          <w:rFonts w:ascii="Arial" w:hAnsi="Arial" w:cs="Arial"/>
          <w:sz w:val="19"/>
          <w:szCs w:val="19"/>
        </w:rPr>
        <w:t xml:space="preserve">  Ley 1712 de 2014«Artículo 2°.Principio de máxima publicidad para titular universal. Toda información en posesión, bajo control o custodia de un sujeto obligado es pública y no podrá ser reservada o limitada sino por disposición constitucional o legal, de conformidad con la presente ley».</w:t>
      </w:r>
    </w:p>
    <w:p w14:paraId="263C24E0" w14:textId="77777777" w:rsidR="00BC1F25" w:rsidRPr="0088099E" w:rsidRDefault="00BC1F25" w:rsidP="0088099E">
      <w:pPr>
        <w:pStyle w:val="Textonotapie"/>
        <w:jc w:val="both"/>
        <w:rPr>
          <w:rFonts w:ascii="Arial" w:hAnsi="Arial" w:cs="Arial"/>
          <w:sz w:val="19"/>
          <w:szCs w:val="19"/>
          <w:lang w:val="es-CO"/>
        </w:rPr>
      </w:pPr>
    </w:p>
  </w:footnote>
  <w:footnote w:id="19">
    <w:p w14:paraId="6C5F5FD1" w14:textId="77777777" w:rsidR="00BC1F25" w:rsidRPr="0088099E" w:rsidRDefault="00BC1F25" w:rsidP="0088099E">
      <w:pPr>
        <w:pStyle w:val="Textonotapie"/>
        <w:ind w:firstLine="708"/>
        <w:jc w:val="both"/>
        <w:rPr>
          <w:rFonts w:ascii="Arial" w:hAnsi="Arial" w:cs="Arial"/>
          <w:sz w:val="19"/>
          <w:szCs w:val="19"/>
        </w:rPr>
      </w:pPr>
      <w:r w:rsidRPr="0088099E">
        <w:rPr>
          <w:rStyle w:val="Refdenotaalpie"/>
          <w:rFonts w:ascii="Arial" w:hAnsi="Arial" w:cs="Arial"/>
          <w:sz w:val="19"/>
          <w:szCs w:val="19"/>
        </w:rPr>
        <w:footnoteRef/>
      </w:r>
      <w:r w:rsidRPr="0088099E">
        <w:rPr>
          <w:rFonts w:ascii="Arial" w:hAnsi="Arial" w:cs="Arial"/>
          <w:sz w:val="19"/>
          <w:szCs w:val="19"/>
        </w:rPr>
        <w:t xml:space="preserve"> MATALLANA CAMACHO Ernesto. Manual de Contratación de la Administración Pública. Reforma a la Ley 80 de 1993. Universidad Externado de Colombia, Cuarta edición, 2015, pp 139.</w:t>
      </w:r>
    </w:p>
    <w:p w14:paraId="21EBC8D8" w14:textId="77777777" w:rsidR="00BC1F25" w:rsidRPr="0088099E" w:rsidRDefault="00BC1F25" w:rsidP="0088099E">
      <w:pPr>
        <w:pStyle w:val="Textonotapie"/>
        <w:ind w:firstLine="708"/>
        <w:jc w:val="both"/>
        <w:rPr>
          <w:rFonts w:ascii="Arial" w:hAnsi="Arial" w:cs="Arial"/>
          <w:sz w:val="19"/>
          <w:szCs w:val="19"/>
          <w:lang w:val="es-CO"/>
        </w:rPr>
      </w:pPr>
      <w:r w:rsidRPr="0088099E">
        <w:rPr>
          <w:rFonts w:ascii="Arial" w:hAnsi="Arial" w:cs="Arial"/>
          <w:sz w:val="19"/>
          <w:szCs w:val="19"/>
        </w:rPr>
        <w:t xml:space="preserve">  </w:t>
      </w:r>
    </w:p>
  </w:footnote>
  <w:footnote w:id="20">
    <w:p w14:paraId="6D84B9F1" w14:textId="77777777" w:rsidR="00BC1F25" w:rsidRPr="0088099E" w:rsidRDefault="00BC1F25" w:rsidP="0088099E">
      <w:pPr>
        <w:pStyle w:val="Textonotapie"/>
        <w:ind w:firstLine="708"/>
        <w:jc w:val="both"/>
        <w:rPr>
          <w:rFonts w:ascii="Arial" w:hAnsi="Arial" w:cs="Arial"/>
          <w:sz w:val="19"/>
          <w:szCs w:val="19"/>
        </w:rPr>
      </w:pPr>
      <w:r w:rsidRPr="0088099E">
        <w:rPr>
          <w:rStyle w:val="Refdenotaalpie"/>
          <w:rFonts w:ascii="Arial" w:hAnsi="Arial" w:cs="Arial"/>
          <w:sz w:val="19"/>
          <w:szCs w:val="19"/>
        </w:rPr>
        <w:footnoteRef/>
      </w:r>
      <w:r w:rsidRPr="0088099E">
        <w:rPr>
          <w:rFonts w:ascii="Arial" w:hAnsi="Arial" w:cs="Arial"/>
          <w:sz w:val="19"/>
          <w:szCs w:val="19"/>
        </w:rPr>
        <w:t xml:space="preserve"> Ley 1437 de 2011 «Artículo 24. Informaciones y documentos reservados. Solo tendrán carácter reservado las informaciones y documentos expresamente sometidos a reserva por la Constitución Política o la ley, y en especial:  </w:t>
      </w:r>
    </w:p>
    <w:p w14:paraId="17DE4A97" w14:textId="77777777" w:rsidR="00BC1F25" w:rsidRPr="0088099E" w:rsidRDefault="00BC1F25" w:rsidP="0088099E">
      <w:pPr>
        <w:pStyle w:val="Textonotapie"/>
        <w:ind w:firstLine="708"/>
        <w:jc w:val="both"/>
        <w:rPr>
          <w:rFonts w:ascii="Arial" w:hAnsi="Arial" w:cs="Arial"/>
          <w:sz w:val="19"/>
          <w:szCs w:val="19"/>
        </w:rPr>
      </w:pPr>
      <w:r w:rsidRPr="0088099E">
        <w:rPr>
          <w:rFonts w:ascii="Arial" w:hAnsi="Arial" w:cs="Arial"/>
          <w:sz w:val="19"/>
          <w:szCs w:val="19"/>
        </w:rPr>
        <w:t xml:space="preserve">»1. Los relacionados con la defensa o seguridad nacionales.  </w:t>
      </w:r>
    </w:p>
    <w:p w14:paraId="45E03608" w14:textId="77777777" w:rsidR="00BC1F25" w:rsidRPr="0088099E" w:rsidRDefault="00BC1F25" w:rsidP="0088099E">
      <w:pPr>
        <w:pStyle w:val="Textonotapie"/>
        <w:ind w:firstLine="708"/>
        <w:jc w:val="both"/>
        <w:rPr>
          <w:rFonts w:ascii="Arial" w:hAnsi="Arial" w:cs="Arial"/>
          <w:sz w:val="19"/>
          <w:szCs w:val="19"/>
        </w:rPr>
      </w:pPr>
      <w:r w:rsidRPr="0088099E">
        <w:rPr>
          <w:rFonts w:ascii="Arial" w:hAnsi="Arial" w:cs="Arial"/>
          <w:sz w:val="19"/>
          <w:szCs w:val="19"/>
        </w:rPr>
        <w:t xml:space="preserve">»2. Las instrucciones en materia diplomática o sobre negociaciones reservadas.  </w:t>
      </w:r>
    </w:p>
    <w:p w14:paraId="4585AD11" w14:textId="77777777" w:rsidR="00BC1F25" w:rsidRPr="0088099E" w:rsidRDefault="00BC1F25" w:rsidP="0088099E">
      <w:pPr>
        <w:pStyle w:val="Textonotapie"/>
        <w:ind w:firstLine="708"/>
        <w:jc w:val="both"/>
        <w:rPr>
          <w:rFonts w:ascii="Arial" w:hAnsi="Arial" w:cs="Arial"/>
          <w:sz w:val="19"/>
          <w:szCs w:val="19"/>
        </w:rPr>
      </w:pPr>
      <w:r w:rsidRPr="0088099E">
        <w:rPr>
          <w:rFonts w:ascii="Arial" w:hAnsi="Arial" w:cs="Arial"/>
          <w:sz w:val="19"/>
          <w:szCs w:val="19"/>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344D4F0D" w14:textId="77777777" w:rsidR="00BC1F25" w:rsidRPr="0088099E" w:rsidRDefault="00BC1F25" w:rsidP="0088099E">
      <w:pPr>
        <w:pStyle w:val="Textonotapie"/>
        <w:ind w:firstLine="708"/>
        <w:jc w:val="both"/>
        <w:rPr>
          <w:rFonts w:ascii="Arial" w:hAnsi="Arial" w:cs="Arial"/>
          <w:sz w:val="19"/>
          <w:szCs w:val="19"/>
        </w:rPr>
      </w:pPr>
      <w:r w:rsidRPr="0088099E">
        <w:rPr>
          <w:rFonts w:ascii="Arial" w:hAnsi="Arial" w:cs="Arial"/>
          <w:sz w:val="19"/>
          <w:szCs w:val="19"/>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14DE7274" w14:textId="77777777" w:rsidR="00BC1F25" w:rsidRPr="0088099E" w:rsidRDefault="00BC1F25" w:rsidP="0088099E">
      <w:pPr>
        <w:pStyle w:val="Textonotapie"/>
        <w:ind w:firstLine="708"/>
        <w:jc w:val="both"/>
        <w:rPr>
          <w:rFonts w:ascii="Arial" w:hAnsi="Arial" w:cs="Arial"/>
          <w:sz w:val="19"/>
          <w:szCs w:val="19"/>
        </w:rPr>
      </w:pPr>
      <w:r w:rsidRPr="0088099E">
        <w:rPr>
          <w:rFonts w:ascii="Arial" w:hAnsi="Arial" w:cs="Arial"/>
          <w:sz w:val="19"/>
          <w:szCs w:val="19"/>
        </w:rPr>
        <w:t xml:space="preserve">»5. Los datos referentes a la información financiera y comercial, en los términos de la Ley Estatutaria 1266 de 2008.  </w:t>
      </w:r>
    </w:p>
    <w:p w14:paraId="34D97F9E" w14:textId="77777777" w:rsidR="00BC1F25" w:rsidRPr="0088099E" w:rsidRDefault="00BC1F25" w:rsidP="0088099E">
      <w:pPr>
        <w:pStyle w:val="Textonotapie"/>
        <w:ind w:firstLine="708"/>
        <w:jc w:val="both"/>
        <w:rPr>
          <w:rFonts w:ascii="Arial" w:hAnsi="Arial" w:cs="Arial"/>
          <w:sz w:val="19"/>
          <w:szCs w:val="19"/>
        </w:rPr>
      </w:pPr>
      <w:r w:rsidRPr="0088099E">
        <w:rPr>
          <w:rFonts w:ascii="Arial" w:hAnsi="Arial" w:cs="Arial"/>
          <w:sz w:val="19"/>
          <w:szCs w:val="19"/>
        </w:rPr>
        <w:t xml:space="preserve">»6. Los protegidos por el secreto comercial o industrial, así como los planes estratégicos de las empresas públicas de servicios públicos.  </w:t>
      </w:r>
    </w:p>
    <w:p w14:paraId="1701A213" w14:textId="77777777" w:rsidR="00BC1F25" w:rsidRPr="0088099E" w:rsidRDefault="00BC1F25" w:rsidP="0088099E">
      <w:pPr>
        <w:pStyle w:val="Textonotapie"/>
        <w:ind w:firstLine="708"/>
        <w:jc w:val="both"/>
        <w:rPr>
          <w:rFonts w:ascii="Arial" w:hAnsi="Arial" w:cs="Arial"/>
          <w:sz w:val="19"/>
          <w:szCs w:val="19"/>
        </w:rPr>
      </w:pPr>
      <w:r w:rsidRPr="0088099E">
        <w:rPr>
          <w:rFonts w:ascii="Arial" w:hAnsi="Arial" w:cs="Arial"/>
          <w:sz w:val="19"/>
          <w:szCs w:val="19"/>
        </w:rPr>
        <w:t xml:space="preserve">»7. Los amparados por el secreto profesional.  </w:t>
      </w:r>
    </w:p>
    <w:p w14:paraId="34B365EE" w14:textId="77777777" w:rsidR="00BC1F25" w:rsidRPr="0088099E" w:rsidRDefault="00BC1F25" w:rsidP="0088099E">
      <w:pPr>
        <w:pStyle w:val="Textonotapie"/>
        <w:ind w:firstLine="708"/>
        <w:jc w:val="both"/>
        <w:rPr>
          <w:rFonts w:ascii="Arial" w:hAnsi="Arial" w:cs="Arial"/>
          <w:sz w:val="19"/>
          <w:szCs w:val="19"/>
        </w:rPr>
      </w:pPr>
      <w:r w:rsidRPr="0088099E">
        <w:rPr>
          <w:rFonts w:ascii="Arial" w:hAnsi="Arial" w:cs="Arial"/>
          <w:sz w:val="19"/>
          <w:szCs w:val="19"/>
        </w:rPr>
        <w:t xml:space="preserve">»8. Los datos genéticos humanos.  </w:t>
      </w:r>
    </w:p>
    <w:p w14:paraId="615A29AF" w14:textId="77777777" w:rsidR="00BC1F25" w:rsidRPr="0088099E" w:rsidRDefault="00BC1F25" w:rsidP="0088099E">
      <w:pPr>
        <w:pStyle w:val="Textonotapie"/>
        <w:ind w:firstLine="708"/>
        <w:jc w:val="both"/>
        <w:rPr>
          <w:rFonts w:ascii="Arial" w:hAnsi="Arial" w:cs="Arial"/>
          <w:sz w:val="19"/>
          <w:szCs w:val="19"/>
        </w:rPr>
      </w:pPr>
      <w:r w:rsidRPr="0088099E">
        <w:rPr>
          <w:rFonts w:ascii="Arial" w:hAnsi="Arial" w:cs="Arial"/>
          <w:sz w:val="19"/>
          <w:szCs w:val="19"/>
        </w:rPr>
        <w:t xml:space="preserve">»Parágrafo. Para efecto de la solicitud de información de carácter reservado, enunciada en los numerales 3, 5, 6 y 7 solo podrá ser solicitada por el titular de la información, por sus apoderados o por personas autorizadas con facultad expresa para acceder a esa información».  </w:t>
      </w:r>
    </w:p>
    <w:p w14:paraId="5AFE10B0" w14:textId="77777777" w:rsidR="00BC1F25" w:rsidRPr="0088099E" w:rsidRDefault="00BC1F25" w:rsidP="0088099E">
      <w:pPr>
        <w:pStyle w:val="Textonotapie"/>
        <w:ind w:firstLine="708"/>
        <w:jc w:val="both"/>
        <w:rPr>
          <w:rFonts w:ascii="Arial" w:hAnsi="Arial" w:cs="Arial"/>
          <w:sz w:val="19"/>
          <w:szCs w:val="19"/>
        </w:rPr>
      </w:pPr>
    </w:p>
  </w:footnote>
  <w:footnote w:id="21">
    <w:p w14:paraId="5FD32247" w14:textId="77777777" w:rsidR="00BC1F25" w:rsidRPr="0088099E" w:rsidRDefault="00BC1F25" w:rsidP="0088099E">
      <w:pPr>
        <w:pStyle w:val="Textonotapie"/>
        <w:ind w:firstLine="708"/>
        <w:jc w:val="both"/>
        <w:rPr>
          <w:rFonts w:ascii="Arial" w:eastAsia="Calibri" w:hAnsi="Arial" w:cs="Arial"/>
          <w:sz w:val="19"/>
          <w:szCs w:val="19"/>
        </w:rPr>
      </w:pPr>
      <w:r w:rsidRPr="0088099E">
        <w:rPr>
          <w:rStyle w:val="Refdenotaalpie"/>
          <w:rFonts w:ascii="Arial" w:hAnsi="Arial" w:cs="Arial"/>
          <w:sz w:val="19"/>
          <w:szCs w:val="19"/>
        </w:rPr>
        <w:footnoteRef/>
      </w:r>
      <w:r w:rsidRPr="0088099E">
        <w:rPr>
          <w:rFonts w:ascii="Arial" w:hAnsi="Arial" w:cs="Arial"/>
          <w:sz w:val="19"/>
          <w:szCs w:val="19"/>
        </w:rPr>
        <w:t xml:space="preserve"> Resultan relevantes las consideraciones expuestas en el concepto C- 322 del 16 de junio de 2020 –radicado No. 2202013000005088–, sobre la aplicación del artículo 36 del CPACA en torno al manejo de información reservada en cuadernos separados: «</w:t>
      </w:r>
      <w:r w:rsidRPr="0088099E">
        <w:rPr>
          <w:rFonts w:ascii="Arial" w:eastAsia="Calibri" w:hAnsi="Arial" w:cs="Arial"/>
          <w:sz w:val="19"/>
          <w:szCs w:val="19"/>
        </w:rPr>
        <w:t>tratándose de información sometida a reserva, considera esta Agencia que el tratamiento que corresponde a esta información es el procedente a partir de lo dispuesto en el artículo 36 del CPACA sobre la formación y examen de expedientes, en el que se establece que los documentos sometidos a reserva deberán insertarse en un cuaderno separado del expediente principal, el cual no podrá ser consultado por la ciudadanía o interesados en general. El manejo de estos documentos conforme lo indica esta norma, permite guardar la reserva a la que están sometidos dichos documentos en el marco de procesos de contratación, sin que se vean lesionados los intereses de los titulares de la información o contrariadas las normas del régimen de protección de datos personales».</w:t>
      </w:r>
    </w:p>
    <w:p w14:paraId="41D6DEAD" w14:textId="77777777" w:rsidR="00BC1F25" w:rsidRPr="0088099E" w:rsidRDefault="00BC1F25" w:rsidP="0088099E">
      <w:pPr>
        <w:pStyle w:val="Textonotapie"/>
        <w:ind w:firstLine="708"/>
        <w:jc w:val="both"/>
        <w:rPr>
          <w:rFonts w:ascii="Arial" w:hAnsi="Arial" w:cs="Arial"/>
          <w:sz w:val="19"/>
          <w:szCs w:val="19"/>
        </w:rPr>
      </w:pPr>
    </w:p>
  </w:footnote>
  <w:footnote w:id="22">
    <w:p w14:paraId="6B29675D" w14:textId="77777777" w:rsidR="00BC1F25" w:rsidRPr="0088099E" w:rsidRDefault="00BC1F25" w:rsidP="0088099E">
      <w:pPr>
        <w:pStyle w:val="Textonotapie"/>
        <w:ind w:firstLine="708"/>
        <w:jc w:val="both"/>
        <w:rPr>
          <w:rFonts w:ascii="Arial" w:hAnsi="Arial" w:cs="Arial"/>
          <w:sz w:val="19"/>
          <w:szCs w:val="19"/>
        </w:rPr>
      </w:pPr>
      <w:r w:rsidRPr="0088099E">
        <w:rPr>
          <w:rStyle w:val="Refdenotaalpie"/>
          <w:rFonts w:ascii="Arial" w:hAnsi="Arial" w:cs="Arial"/>
          <w:sz w:val="19"/>
          <w:szCs w:val="19"/>
        </w:rPr>
        <w:footnoteRef/>
      </w:r>
      <w:r w:rsidRPr="0088099E">
        <w:rPr>
          <w:rFonts w:ascii="Arial" w:hAnsi="Arial" w:cs="Arial"/>
          <w:sz w:val="19"/>
          <w:szCs w:val="19"/>
        </w:rPr>
        <w:t xml:space="preserve"> «Artículo 21. DIVULGACIÓN PARCIAL Y OTRAS REGLAS. En aquellas circunstancias en que la totalidad de la información contenida en un documento no esté protegida por una excepción contenida en la presente ley, debe hacerse una versión pública que mantenga la reserva únicamente de la parte indispensable. La información pública que no cae en ningún supuesto de excepción deberá ser entregada a la parte solicitante, así como ser de conocimiento público. La reserva de acceso a la información opera respecto del contenido de un documento público pero no de su existencia.</w:t>
      </w:r>
    </w:p>
    <w:p w14:paraId="2E6F56CB" w14:textId="77777777" w:rsidR="00BC1F25" w:rsidRPr="0088099E" w:rsidRDefault="00BC1F25" w:rsidP="0088099E">
      <w:pPr>
        <w:pStyle w:val="Textonotapie"/>
        <w:ind w:firstLine="708"/>
        <w:jc w:val="both"/>
        <w:rPr>
          <w:rFonts w:ascii="Arial" w:hAnsi="Arial" w:cs="Arial"/>
          <w:sz w:val="19"/>
          <w:szCs w:val="19"/>
        </w:rPr>
      </w:pPr>
      <w:r w:rsidRPr="0088099E">
        <w:rPr>
          <w:rFonts w:ascii="Arial" w:hAnsi="Arial" w:cs="Arial"/>
          <w:sz w:val="19"/>
          <w:szCs w:val="19"/>
        </w:rPr>
        <w:t>»Ninguna autoridad pública puede negarse a indicar si un documento obra o no en su poder o negar la divulgación de un documento, salvo que el daño causado al interés protegido sea mayor al interés público de obtener acceso a la información.</w:t>
      </w:r>
    </w:p>
    <w:p w14:paraId="006174E7" w14:textId="77777777" w:rsidR="00BC1F25" w:rsidRPr="0088099E" w:rsidRDefault="00BC1F25" w:rsidP="0088099E">
      <w:pPr>
        <w:pStyle w:val="Textonotapie"/>
        <w:ind w:firstLine="708"/>
        <w:jc w:val="both"/>
        <w:rPr>
          <w:rFonts w:ascii="Arial" w:hAnsi="Arial" w:cs="Arial"/>
          <w:sz w:val="19"/>
          <w:szCs w:val="19"/>
          <w:lang w:val="es-CO"/>
        </w:rPr>
      </w:pPr>
      <w:r w:rsidRPr="0088099E">
        <w:rPr>
          <w:rFonts w:ascii="Arial" w:hAnsi="Arial" w:cs="Arial"/>
          <w:sz w:val="19"/>
          <w:szCs w:val="19"/>
        </w:rPr>
        <w:t>»Las excepciones de acceso a la información contenidas en la presente ley no aplican en casos de violación de derechos humanos o delitos de lesa humanidad, y en todo caso deberán protegerse los derechos de las víctimas de dichas violaciones».</w:t>
      </w:r>
    </w:p>
  </w:footnote>
  <w:footnote w:id="23">
    <w:p w14:paraId="35CE7C83" w14:textId="77777777" w:rsidR="00BC1F25" w:rsidRPr="0088099E" w:rsidRDefault="00BC1F25" w:rsidP="0088099E">
      <w:pPr>
        <w:pStyle w:val="Textonotapie"/>
        <w:ind w:firstLine="708"/>
        <w:jc w:val="both"/>
        <w:rPr>
          <w:rFonts w:ascii="Arial" w:hAnsi="Arial" w:cs="Arial"/>
          <w:sz w:val="19"/>
          <w:szCs w:val="19"/>
        </w:rPr>
      </w:pPr>
      <w:r w:rsidRPr="0088099E">
        <w:rPr>
          <w:rStyle w:val="Refdenotaalpie"/>
          <w:rFonts w:ascii="Arial" w:hAnsi="Arial" w:cs="Arial"/>
          <w:sz w:val="19"/>
          <w:szCs w:val="19"/>
        </w:rPr>
        <w:footnoteRef/>
      </w:r>
      <w:r w:rsidRPr="0088099E">
        <w:rPr>
          <w:rFonts w:ascii="Arial" w:hAnsi="Arial" w:cs="Arial"/>
          <w:sz w:val="19"/>
          <w:szCs w:val="19"/>
        </w:rPr>
        <w:t xml:space="preserve"> Ley 1712 de 2014. «Art. 19 Información exceptuada por daño a los intereses públicos. Es toda aquella información pública reservada, cuyo acceso podrá ser rechazado o denegado de manera motivada y por escrito en las siguientes circunstancias, siempre que dicho acceso estuviere expresamente prohibido por una norma legal o constitucional:</w:t>
      </w:r>
    </w:p>
    <w:p w14:paraId="4D8B8914" w14:textId="77777777" w:rsidR="00BC1F25" w:rsidRPr="0088099E" w:rsidRDefault="00BC1F25" w:rsidP="0088099E">
      <w:pPr>
        <w:pStyle w:val="Textonotapie"/>
        <w:ind w:firstLine="708"/>
        <w:jc w:val="both"/>
        <w:rPr>
          <w:rFonts w:ascii="Arial" w:hAnsi="Arial" w:cs="Arial"/>
          <w:sz w:val="19"/>
          <w:szCs w:val="19"/>
        </w:rPr>
      </w:pPr>
      <w:r w:rsidRPr="0088099E">
        <w:rPr>
          <w:rFonts w:ascii="Arial" w:hAnsi="Arial" w:cs="Arial"/>
          <w:sz w:val="19"/>
          <w:szCs w:val="19"/>
        </w:rPr>
        <w:t>«a) La defensa y seguridad nacional;».</w:t>
      </w:r>
    </w:p>
    <w:p w14:paraId="7D16A42C" w14:textId="77777777" w:rsidR="00BC1F25" w:rsidRPr="0088099E" w:rsidRDefault="00BC1F25" w:rsidP="0088099E">
      <w:pPr>
        <w:pStyle w:val="Textonotapie"/>
        <w:ind w:firstLine="708"/>
        <w:jc w:val="both"/>
        <w:rPr>
          <w:rFonts w:ascii="Arial" w:hAnsi="Arial" w:cs="Arial"/>
          <w:sz w:val="19"/>
          <w:szCs w:val="19"/>
        </w:rPr>
      </w:pPr>
      <w:r w:rsidRPr="0088099E">
        <w:rPr>
          <w:rFonts w:ascii="Arial" w:hAnsi="Arial" w:cs="Arial"/>
          <w:sz w:val="19"/>
          <w:szCs w:val="19"/>
        </w:rPr>
        <w:t>De otro lado, el artículo 24 de la Ley 1437 de 2011, sustituido por la Ley 1755 de 2015 establece: «Artículo 24. Informaciones y documentos reservados. Solo tendrán carácter reservado las informaciones y documentos expresamente sometidos a reserva por la Constitución Política o la ley, y en especial:</w:t>
      </w:r>
    </w:p>
    <w:p w14:paraId="68A51901" w14:textId="77777777" w:rsidR="00BC1F25" w:rsidRPr="0088099E" w:rsidRDefault="00BC1F25" w:rsidP="0088099E">
      <w:pPr>
        <w:pStyle w:val="Textonotapie"/>
        <w:ind w:firstLine="708"/>
        <w:jc w:val="both"/>
        <w:rPr>
          <w:rFonts w:ascii="Arial" w:hAnsi="Arial" w:cs="Arial"/>
          <w:sz w:val="19"/>
          <w:szCs w:val="19"/>
        </w:rPr>
      </w:pPr>
      <w:r w:rsidRPr="0088099E">
        <w:rPr>
          <w:rFonts w:ascii="Arial" w:hAnsi="Arial" w:cs="Arial"/>
          <w:sz w:val="19"/>
          <w:szCs w:val="19"/>
        </w:rPr>
        <w:t>»1. Los relacionados con la defensa o seguridad nacionales».</w:t>
      </w:r>
    </w:p>
    <w:p w14:paraId="20BD204B" w14:textId="77777777" w:rsidR="00BC1F25" w:rsidRPr="0088099E" w:rsidRDefault="00BC1F25" w:rsidP="0088099E">
      <w:pPr>
        <w:pStyle w:val="Textonotapie"/>
        <w:ind w:firstLine="708"/>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A56EEF"/>
    <w:multiLevelType w:val="multilevel"/>
    <w:tmpl w:val="2314036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68106202">
    <w:abstractNumId w:val="9"/>
  </w:num>
  <w:num w:numId="2" w16cid:durableId="824972786">
    <w:abstractNumId w:val="7"/>
  </w:num>
  <w:num w:numId="3" w16cid:durableId="977608666">
    <w:abstractNumId w:val="12"/>
  </w:num>
  <w:num w:numId="4" w16cid:durableId="948466466">
    <w:abstractNumId w:val="15"/>
  </w:num>
  <w:num w:numId="5" w16cid:durableId="1240403066">
    <w:abstractNumId w:val="20"/>
  </w:num>
  <w:num w:numId="6" w16cid:durableId="10600094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9865703">
    <w:abstractNumId w:val="17"/>
  </w:num>
  <w:num w:numId="8" w16cid:durableId="325549963">
    <w:abstractNumId w:val="0"/>
  </w:num>
  <w:num w:numId="9" w16cid:durableId="1698965315">
    <w:abstractNumId w:val="3"/>
  </w:num>
  <w:num w:numId="10" w16cid:durableId="16722936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225685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64321209">
    <w:abstractNumId w:val="8"/>
  </w:num>
  <w:num w:numId="13" w16cid:durableId="666520404">
    <w:abstractNumId w:val="11"/>
  </w:num>
  <w:num w:numId="14" w16cid:durableId="1527519174">
    <w:abstractNumId w:val="6"/>
  </w:num>
  <w:num w:numId="15" w16cid:durableId="1102527138">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36498247">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2096335">
    <w:abstractNumId w:val="22"/>
  </w:num>
  <w:num w:numId="18" w16cid:durableId="536553037">
    <w:abstractNumId w:val="13"/>
  </w:num>
  <w:num w:numId="19" w16cid:durableId="1426729910">
    <w:abstractNumId w:val="2"/>
  </w:num>
  <w:num w:numId="20" w16cid:durableId="536940585">
    <w:abstractNumId w:val="23"/>
  </w:num>
  <w:num w:numId="21" w16cid:durableId="140462023">
    <w:abstractNumId w:val="14"/>
  </w:num>
  <w:num w:numId="22" w16cid:durableId="1462531478">
    <w:abstractNumId w:val="5"/>
  </w:num>
  <w:num w:numId="23" w16cid:durableId="1863202647">
    <w:abstractNumId w:val="4"/>
  </w:num>
  <w:num w:numId="24" w16cid:durableId="1150950611">
    <w:abstractNumId w:val="21"/>
  </w:num>
  <w:num w:numId="25" w16cid:durableId="1038697494">
    <w:abstractNumId w:val="16"/>
  </w:num>
  <w:num w:numId="26" w16cid:durableId="185896058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661"/>
    <w:rsid w:val="00003C5C"/>
    <w:rsid w:val="00003D39"/>
    <w:rsid w:val="000040D7"/>
    <w:rsid w:val="0000433A"/>
    <w:rsid w:val="00004556"/>
    <w:rsid w:val="000051AF"/>
    <w:rsid w:val="000059D3"/>
    <w:rsid w:val="00005B6D"/>
    <w:rsid w:val="0000600A"/>
    <w:rsid w:val="00006081"/>
    <w:rsid w:val="00007750"/>
    <w:rsid w:val="000077FD"/>
    <w:rsid w:val="00007E37"/>
    <w:rsid w:val="00010C40"/>
    <w:rsid w:val="000112B4"/>
    <w:rsid w:val="00011DCC"/>
    <w:rsid w:val="00012532"/>
    <w:rsid w:val="00012B9E"/>
    <w:rsid w:val="00012F37"/>
    <w:rsid w:val="00012FBA"/>
    <w:rsid w:val="00013875"/>
    <w:rsid w:val="00013C6B"/>
    <w:rsid w:val="0001406B"/>
    <w:rsid w:val="000143F8"/>
    <w:rsid w:val="00014624"/>
    <w:rsid w:val="00015B44"/>
    <w:rsid w:val="00016081"/>
    <w:rsid w:val="000165AC"/>
    <w:rsid w:val="00016651"/>
    <w:rsid w:val="000171A2"/>
    <w:rsid w:val="00017B65"/>
    <w:rsid w:val="00020158"/>
    <w:rsid w:val="000207E0"/>
    <w:rsid w:val="000209E2"/>
    <w:rsid w:val="00020B09"/>
    <w:rsid w:val="00020F8F"/>
    <w:rsid w:val="00021A95"/>
    <w:rsid w:val="00021C8A"/>
    <w:rsid w:val="0002256F"/>
    <w:rsid w:val="00022FD5"/>
    <w:rsid w:val="00023D89"/>
    <w:rsid w:val="00023DAE"/>
    <w:rsid w:val="00023FC9"/>
    <w:rsid w:val="00024896"/>
    <w:rsid w:val="000255FA"/>
    <w:rsid w:val="00025D0A"/>
    <w:rsid w:val="000263F0"/>
    <w:rsid w:val="00026407"/>
    <w:rsid w:val="00026608"/>
    <w:rsid w:val="0002702E"/>
    <w:rsid w:val="00027787"/>
    <w:rsid w:val="000278D2"/>
    <w:rsid w:val="00030DFB"/>
    <w:rsid w:val="00031364"/>
    <w:rsid w:val="000315E1"/>
    <w:rsid w:val="0003236E"/>
    <w:rsid w:val="0003339A"/>
    <w:rsid w:val="000341F2"/>
    <w:rsid w:val="0003440E"/>
    <w:rsid w:val="00035046"/>
    <w:rsid w:val="000351F2"/>
    <w:rsid w:val="00035768"/>
    <w:rsid w:val="00035A1B"/>
    <w:rsid w:val="00036E03"/>
    <w:rsid w:val="000406DB"/>
    <w:rsid w:val="0004094D"/>
    <w:rsid w:val="00041029"/>
    <w:rsid w:val="00041357"/>
    <w:rsid w:val="0004149B"/>
    <w:rsid w:val="00041FC6"/>
    <w:rsid w:val="000422EA"/>
    <w:rsid w:val="00042961"/>
    <w:rsid w:val="00042C25"/>
    <w:rsid w:val="00042D03"/>
    <w:rsid w:val="00043086"/>
    <w:rsid w:val="000430A0"/>
    <w:rsid w:val="00043D3B"/>
    <w:rsid w:val="0004418C"/>
    <w:rsid w:val="00044204"/>
    <w:rsid w:val="0004477A"/>
    <w:rsid w:val="000449D4"/>
    <w:rsid w:val="000450D0"/>
    <w:rsid w:val="00045D1A"/>
    <w:rsid w:val="0004600D"/>
    <w:rsid w:val="000463B5"/>
    <w:rsid w:val="00046717"/>
    <w:rsid w:val="00046A63"/>
    <w:rsid w:val="00046C09"/>
    <w:rsid w:val="00046C0A"/>
    <w:rsid w:val="0004716A"/>
    <w:rsid w:val="00047385"/>
    <w:rsid w:val="000473E8"/>
    <w:rsid w:val="000504DE"/>
    <w:rsid w:val="00050A89"/>
    <w:rsid w:val="00050D61"/>
    <w:rsid w:val="00051074"/>
    <w:rsid w:val="000526F0"/>
    <w:rsid w:val="0005273D"/>
    <w:rsid w:val="00052B79"/>
    <w:rsid w:val="00052E4B"/>
    <w:rsid w:val="00052EA0"/>
    <w:rsid w:val="000536A7"/>
    <w:rsid w:val="000536E3"/>
    <w:rsid w:val="00053896"/>
    <w:rsid w:val="00053A00"/>
    <w:rsid w:val="0005474D"/>
    <w:rsid w:val="00055CB9"/>
    <w:rsid w:val="00056F66"/>
    <w:rsid w:val="0005702F"/>
    <w:rsid w:val="0006088D"/>
    <w:rsid w:val="00061010"/>
    <w:rsid w:val="00061D06"/>
    <w:rsid w:val="00062CDD"/>
    <w:rsid w:val="00062DB3"/>
    <w:rsid w:val="00063472"/>
    <w:rsid w:val="000640AF"/>
    <w:rsid w:val="00064940"/>
    <w:rsid w:val="00064CAE"/>
    <w:rsid w:val="00064DB7"/>
    <w:rsid w:val="00064FA7"/>
    <w:rsid w:val="00065195"/>
    <w:rsid w:val="0006536C"/>
    <w:rsid w:val="0006626E"/>
    <w:rsid w:val="00066D6D"/>
    <w:rsid w:val="00067064"/>
    <w:rsid w:val="00067AA8"/>
    <w:rsid w:val="00070AF1"/>
    <w:rsid w:val="000714DE"/>
    <w:rsid w:val="0007254F"/>
    <w:rsid w:val="0007357C"/>
    <w:rsid w:val="00073C30"/>
    <w:rsid w:val="00074305"/>
    <w:rsid w:val="000744D0"/>
    <w:rsid w:val="00074B2A"/>
    <w:rsid w:val="00074EEE"/>
    <w:rsid w:val="00075047"/>
    <w:rsid w:val="000753D5"/>
    <w:rsid w:val="00075B3E"/>
    <w:rsid w:val="00076456"/>
    <w:rsid w:val="00076817"/>
    <w:rsid w:val="00076BD9"/>
    <w:rsid w:val="0007779B"/>
    <w:rsid w:val="000777E7"/>
    <w:rsid w:val="0007790A"/>
    <w:rsid w:val="000779F2"/>
    <w:rsid w:val="0008017B"/>
    <w:rsid w:val="00080ACD"/>
    <w:rsid w:val="00080D30"/>
    <w:rsid w:val="000811ED"/>
    <w:rsid w:val="00081D62"/>
    <w:rsid w:val="00082B74"/>
    <w:rsid w:val="00083099"/>
    <w:rsid w:val="00083259"/>
    <w:rsid w:val="00083546"/>
    <w:rsid w:val="00083EDC"/>
    <w:rsid w:val="00084B97"/>
    <w:rsid w:val="0008510E"/>
    <w:rsid w:val="000852DC"/>
    <w:rsid w:val="000856DE"/>
    <w:rsid w:val="00085F17"/>
    <w:rsid w:val="00085FB0"/>
    <w:rsid w:val="00085FB3"/>
    <w:rsid w:val="0008686B"/>
    <w:rsid w:val="00086B2A"/>
    <w:rsid w:val="00086ED2"/>
    <w:rsid w:val="00087A64"/>
    <w:rsid w:val="0009082C"/>
    <w:rsid w:val="00090C39"/>
    <w:rsid w:val="000914D6"/>
    <w:rsid w:val="00091569"/>
    <w:rsid w:val="00092CDB"/>
    <w:rsid w:val="00092DCA"/>
    <w:rsid w:val="00093851"/>
    <w:rsid w:val="000942EB"/>
    <w:rsid w:val="00095B70"/>
    <w:rsid w:val="0009617E"/>
    <w:rsid w:val="0009628D"/>
    <w:rsid w:val="0009670F"/>
    <w:rsid w:val="000970E4"/>
    <w:rsid w:val="000979CF"/>
    <w:rsid w:val="000A03C8"/>
    <w:rsid w:val="000A05F2"/>
    <w:rsid w:val="000A06C4"/>
    <w:rsid w:val="000A0861"/>
    <w:rsid w:val="000A0B6F"/>
    <w:rsid w:val="000A0EC4"/>
    <w:rsid w:val="000A0ED1"/>
    <w:rsid w:val="000A12DB"/>
    <w:rsid w:val="000A137E"/>
    <w:rsid w:val="000A17C8"/>
    <w:rsid w:val="000A1B74"/>
    <w:rsid w:val="000A20D7"/>
    <w:rsid w:val="000A2128"/>
    <w:rsid w:val="000A362F"/>
    <w:rsid w:val="000A3B49"/>
    <w:rsid w:val="000A4629"/>
    <w:rsid w:val="000A46FE"/>
    <w:rsid w:val="000A47E6"/>
    <w:rsid w:val="000A52C0"/>
    <w:rsid w:val="000A5AAF"/>
    <w:rsid w:val="000A5ACE"/>
    <w:rsid w:val="000A5F97"/>
    <w:rsid w:val="000A622F"/>
    <w:rsid w:val="000A648E"/>
    <w:rsid w:val="000A7268"/>
    <w:rsid w:val="000A73BB"/>
    <w:rsid w:val="000A73E8"/>
    <w:rsid w:val="000A7EF4"/>
    <w:rsid w:val="000B0A15"/>
    <w:rsid w:val="000B103F"/>
    <w:rsid w:val="000B1437"/>
    <w:rsid w:val="000B1470"/>
    <w:rsid w:val="000B244D"/>
    <w:rsid w:val="000B2A1A"/>
    <w:rsid w:val="000B2B86"/>
    <w:rsid w:val="000B2CFF"/>
    <w:rsid w:val="000B3051"/>
    <w:rsid w:val="000B419B"/>
    <w:rsid w:val="000B4861"/>
    <w:rsid w:val="000B5781"/>
    <w:rsid w:val="000B5CB1"/>
    <w:rsid w:val="000B5EE5"/>
    <w:rsid w:val="000B75F4"/>
    <w:rsid w:val="000C0185"/>
    <w:rsid w:val="000C0933"/>
    <w:rsid w:val="000C0F81"/>
    <w:rsid w:val="000C128D"/>
    <w:rsid w:val="000C17A3"/>
    <w:rsid w:val="000C1D4B"/>
    <w:rsid w:val="000C1FA3"/>
    <w:rsid w:val="000C2A5D"/>
    <w:rsid w:val="000C2DC4"/>
    <w:rsid w:val="000C3239"/>
    <w:rsid w:val="000C3260"/>
    <w:rsid w:val="000C3B77"/>
    <w:rsid w:val="000C3F6D"/>
    <w:rsid w:val="000C4E01"/>
    <w:rsid w:val="000C4F49"/>
    <w:rsid w:val="000C5861"/>
    <w:rsid w:val="000C5BDE"/>
    <w:rsid w:val="000C639D"/>
    <w:rsid w:val="000C6C31"/>
    <w:rsid w:val="000C6DBC"/>
    <w:rsid w:val="000C6F79"/>
    <w:rsid w:val="000C7476"/>
    <w:rsid w:val="000C7480"/>
    <w:rsid w:val="000C7711"/>
    <w:rsid w:val="000C7AA2"/>
    <w:rsid w:val="000D0092"/>
    <w:rsid w:val="000D00D1"/>
    <w:rsid w:val="000D0462"/>
    <w:rsid w:val="000D053D"/>
    <w:rsid w:val="000D0ED2"/>
    <w:rsid w:val="000D107D"/>
    <w:rsid w:val="000D1101"/>
    <w:rsid w:val="000D13FD"/>
    <w:rsid w:val="000D1546"/>
    <w:rsid w:val="000D1CEB"/>
    <w:rsid w:val="000D2322"/>
    <w:rsid w:val="000D2563"/>
    <w:rsid w:val="000D25BF"/>
    <w:rsid w:val="000D2FE4"/>
    <w:rsid w:val="000D3FDC"/>
    <w:rsid w:val="000D490B"/>
    <w:rsid w:val="000D4E38"/>
    <w:rsid w:val="000D50DB"/>
    <w:rsid w:val="000D5C7D"/>
    <w:rsid w:val="000D60A1"/>
    <w:rsid w:val="000D6288"/>
    <w:rsid w:val="000D728B"/>
    <w:rsid w:val="000D7541"/>
    <w:rsid w:val="000D75E1"/>
    <w:rsid w:val="000E0D86"/>
    <w:rsid w:val="000E1CA9"/>
    <w:rsid w:val="000E22CF"/>
    <w:rsid w:val="000E2977"/>
    <w:rsid w:val="000E2CC0"/>
    <w:rsid w:val="000E30AC"/>
    <w:rsid w:val="000E3B46"/>
    <w:rsid w:val="000E3E11"/>
    <w:rsid w:val="000E40E4"/>
    <w:rsid w:val="000E4596"/>
    <w:rsid w:val="000E4927"/>
    <w:rsid w:val="000E4A4B"/>
    <w:rsid w:val="000E4B16"/>
    <w:rsid w:val="000E4B94"/>
    <w:rsid w:val="000E4D50"/>
    <w:rsid w:val="000E5768"/>
    <w:rsid w:val="000E5843"/>
    <w:rsid w:val="000E6139"/>
    <w:rsid w:val="000E63B7"/>
    <w:rsid w:val="000E653C"/>
    <w:rsid w:val="000E6BE1"/>
    <w:rsid w:val="000E7E0B"/>
    <w:rsid w:val="000F0136"/>
    <w:rsid w:val="000F078A"/>
    <w:rsid w:val="000F122D"/>
    <w:rsid w:val="000F1450"/>
    <w:rsid w:val="000F14E8"/>
    <w:rsid w:val="000F1BBD"/>
    <w:rsid w:val="000F290F"/>
    <w:rsid w:val="000F3E4C"/>
    <w:rsid w:val="000F4403"/>
    <w:rsid w:val="000F480B"/>
    <w:rsid w:val="000F4E17"/>
    <w:rsid w:val="000F5615"/>
    <w:rsid w:val="000F6084"/>
    <w:rsid w:val="000F6578"/>
    <w:rsid w:val="000F6693"/>
    <w:rsid w:val="000F6F92"/>
    <w:rsid w:val="000F725D"/>
    <w:rsid w:val="000F7E8F"/>
    <w:rsid w:val="000F7FBB"/>
    <w:rsid w:val="001000FB"/>
    <w:rsid w:val="00100A9E"/>
    <w:rsid w:val="00100F6A"/>
    <w:rsid w:val="001010E9"/>
    <w:rsid w:val="00101638"/>
    <w:rsid w:val="00101EE8"/>
    <w:rsid w:val="00102605"/>
    <w:rsid w:val="00102686"/>
    <w:rsid w:val="00102745"/>
    <w:rsid w:val="001036B4"/>
    <w:rsid w:val="00103795"/>
    <w:rsid w:val="00103915"/>
    <w:rsid w:val="001039AA"/>
    <w:rsid w:val="00103EA0"/>
    <w:rsid w:val="00104149"/>
    <w:rsid w:val="00104F1C"/>
    <w:rsid w:val="00105096"/>
    <w:rsid w:val="001051E5"/>
    <w:rsid w:val="00105A74"/>
    <w:rsid w:val="00105ACB"/>
    <w:rsid w:val="00105AEF"/>
    <w:rsid w:val="00106259"/>
    <w:rsid w:val="001068EB"/>
    <w:rsid w:val="001073F0"/>
    <w:rsid w:val="001078CE"/>
    <w:rsid w:val="00110F61"/>
    <w:rsid w:val="001111BD"/>
    <w:rsid w:val="001113DF"/>
    <w:rsid w:val="0011165A"/>
    <w:rsid w:val="00111B2B"/>
    <w:rsid w:val="00112774"/>
    <w:rsid w:val="00112B2E"/>
    <w:rsid w:val="00113003"/>
    <w:rsid w:val="00113062"/>
    <w:rsid w:val="0011359A"/>
    <w:rsid w:val="00113705"/>
    <w:rsid w:val="00113975"/>
    <w:rsid w:val="00113B64"/>
    <w:rsid w:val="00113CFC"/>
    <w:rsid w:val="00113E22"/>
    <w:rsid w:val="00113ED9"/>
    <w:rsid w:val="00113FEA"/>
    <w:rsid w:val="00114A22"/>
    <w:rsid w:val="00114E9D"/>
    <w:rsid w:val="0011507B"/>
    <w:rsid w:val="001156A7"/>
    <w:rsid w:val="00115C37"/>
    <w:rsid w:val="00116328"/>
    <w:rsid w:val="001163CF"/>
    <w:rsid w:val="00116EC5"/>
    <w:rsid w:val="001174C9"/>
    <w:rsid w:val="001177FE"/>
    <w:rsid w:val="00117E69"/>
    <w:rsid w:val="00120884"/>
    <w:rsid w:val="00121103"/>
    <w:rsid w:val="00121B78"/>
    <w:rsid w:val="00121BAB"/>
    <w:rsid w:val="00121E3C"/>
    <w:rsid w:val="00122B23"/>
    <w:rsid w:val="00122B7E"/>
    <w:rsid w:val="00123082"/>
    <w:rsid w:val="00123E27"/>
    <w:rsid w:val="00123FB5"/>
    <w:rsid w:val="0012400F"/>
    <w:rsid w:val="001249DC"/>
    <w:rsid w:val="0012572D"/>
    <w:rsid w:val="00125A2E"/>
    <w:rsid w:val="00125BED"/>
    <w:rsid w:val="00125C59"/>
    <w:rsid w:val="00125D4F"/>
    <w:rsid w:val="00127004"/>
    <w:rsid w:val="0012770B"/>
    <w:rsid w:val="00127AF2"/>
    <w:rsid w:val="00127EDC"/>
    <w:rsid w:val="00127F42"/>
    <w:rsid w:val="00127F6D"/>
    <w:rsid w:val="00130355"/>
    <w:rsid w:val="00130365"/>
    <w:rsid w:val="001304E5"/>
    <w:rsid w:val="00131B5A"/>
    <w:rsid w:val="001329BC"/>
    <w:rsid w:val="00132C30"/>
    <w:rsid w:val="00132EFD"/>
    <w:rsid w:val="00133AED"/>
    <w:rsid w:val="0013490B"/>
    <w:rsid w:val="00134BCD"/>
    <w:rsid w:val="00134E09"/>
    <w:rsid w:val="001350AB"/>
    <w:rsid w:val="00135DB9"/>
    <w:rsid w:val="00135E5D"/>
    <w:rsid w:val="0013695C"/>
    <w:rsid w:val="00136BF7"/>
    <w:rsid w:val="00136C78"/>
    <w:rsid w:val="0013756B"/>
    <w:rsid w:val="001378B9"/>
    <w:rsid w:val="00137FFA"/>
    <w:rsid w:val="00140109"/>
    <w:rsid w:val="0014029B"/>
    <w:rsid w:val="00140464"/>
    <w:rsid w:val="00140A4F"/>
    <w:rsid w:val="001413AB"/>
    <w:rsid w:val="00141DBF"/>
    <w:rsid w:val="00142EFD"/>
    <w:rsid w:val="00144335"/>
    <w:rsid w:val="0014502F"/>
    <w:rsid w:val="00145282"/>
    <w:rsid w:val="001453B0"/>
    <w:rsid w:val="001454D9"/>
    <w:rsid w:val="00145D8E"/>
    <w:rsid w:val="00146083"/>
    <w:rsid w:val="001462F7"/>
    <w:rsid w:val="001471AB"/>
    <w:rsid w:val="00147F35"/>
    <w:rsid w:val="00150005"/>
    <w:rsid w:val="0015117F"/>
    <w:rsid w:val="00151AEB"/>
    <w:rsid w:val="00151B99"/>
    <w:rsid w:val="00151E79"/>
    <w:rsid w:val="001521B2"/>
    <w:rsid w:val="00152EDD"/>
    <w:rsid w:val="00153491"/>
    <w:rsid w:val="0015361C"/>
    <w:rsid w:val="0015372F"/>
    <w:rsid w:val="00153BFB"/>
    <w:rsid w:val="0015407E"/>
    <w:rsid w:val="001541AD"/>
    <w:rsid w:val="0015448E"/>
    <w:rsid w:val="00154A6F"/>
    <w:rsid w:val="00154B68"/>
    <w:rsid w:val="00155BED"/>
    <w:rsid w:val="00155D08"/>
    <w:rsid w:val="0015623B"/>
    <w:rsid w:val="00156BE5"/>
    <w:rsid w:val="00157232"/>
    <w:rsid w:val="00157B92"/>
    <w:rsid w:val="00160401"/>
    <w:rsid w:val="00160C01"/>
    <w:rsid w:val="00160D4E"/>
    <w:rsid w:val="00161DDA"/>
    <w:rsid w:val="00161E62"/>
    <w:rsid w:val="00161F1C"/>
    <w:rsid w:val="0016200B"/>
    <w:rsid w:val="0016204B"/>
    <w:rsid w:val="001620B3"/>
    <w:rsid w:val="00163D7A"/>
    <w:rsid w:val="00163E11"/>
    <w:rsid w:val="00164281"/>
    <w:rsid w:val="00165703"/>
    <w:rsid w:val="00165E5C"/>
    <w:rsid w:val="00166204"/>
    <w:rsid w:val="00166797"/>
    <w:rsid w:val="0016685F"/>
    <w:rsid w:val="0016712F"/>
    <w:rsid w:val="001671BA"/>
    <w:rsid w:val="00167503"/>
    <w:rsid w:val="001676A9"/>
    <w:rsid w:val="00167A15"/>
    <w:rsid w:val="00167A50"/>
    <w:rsid w:val="00167D1A"/>
    <w:rsid w:val="00167DF5"/>
    <w:rsid w:val="00167FD3"/>
    <w:rsid w:val="00170001"/>
    <w:rsid w:val="00172198"/>
    <w:rsid w:val="00172612"/>
    <w:rsid w:val="00172817"/>
    <w:rsid w:val="001734E3"/>
    <w:rsid w:val="001742BF"/>
    <w:rsid w:val="001742E1"/>
    <w:rsid w:val="00175E49"/>
    <w:rsid w:val="00176188"/>
    <w:rsid w:val="0017649F"/>
    <w:rsid w:val="0017655B"/>
    <w:rsid w:val="00177EAA"/>
    <w:rsid w:val="001805C1"/>
    <w:rsid w:val="00180A2E"/>
    <w:rsid w:val="001813AF"/>
    <w:rsid w:val="001826C9"/>
    <w:rsid w:val="001829CD"/>
    <w:rsid w:val="00182F01"/>
    <w:rsid w:val="00184219"/>
    <w:rsid w:val="00184F27"/>
    <w:rsid w:val="0018519B"/>
    <w:rsid w:val="00185966"/>
    <w:rsid w:val="00185A2D"/>
    <w:rsid w:val="00185AFE"/>
    <w:rsid w:val="00185E78"/>
    <w:rsid w:val="0018706D"/>
    <w:rsid w:val="00187177"/>
    <w:rsid w:val="00187ABD"/>
    <w:rsid w:val="00190089"/>
    <w:rsid w:val="001904E3"/>
    <w:rsid w:val="0019087A"/>
    <w:rsid w:val="00190B04"/>
    <w:rsid w:val="00191C5A"/>
    <w:rsid w:val="00191CEB"/>
    <w:rsid w:val="00191D7D"/>
    <w:rsid w:val="00191E63"/>
    <w:rsid w:val="00192AF3"/>
    <w:rsid w:val="00192D68"/>
    <w:rsid w:val="001935FF"/>
    <w:rsid w:val="0019388B"/>
    <w:rsid w:val="00193ADE"/>
    <w:rsid w:val="00193B9A"/>
    <w:rsid w:val="001940ED"/>
    <w:rsid w:val="001946AE"/>
    <w:rsid w:val="001946D5"/>
    <w:rsid w:val="001949C4"/>
    <w:rsid w:val="00194E7B"/>
    <w:rsid w:val="00194E8C"/>
    <w:rsid w:val="001962EC"/>
    <w:rsid w:val="001963DD"/>
    <w:rsid w:val="001965DB"/>
    <w:rsid w:val="00196D01"/>
    <w:rsid w:val="00196DC9"/>
    <w:rsid w:val="00196E95"/>
    <w:rsid w:val="00196FDB"/>
    <w:rsid w:val="00197758"/>
    <w:rsid w:val="001A0236"/>
    <w:rsid w:val="001A04E2"/>
    <w:rsid w:val="001A0915"/>
    <w:rsid w:val="001A0AF8"/>
    <w:rsid w:val="001A0E1B"/>
    <w:rsid w:val="001A1490"/>
    <w:rsid w:val="001A18D5"/>
    <w:rsid w:val="001A1A38"/>
    <w:rsid w:val="001A1BE0"/>
    <w:rsid w:val="001A1D4A"/>
    <w:rsid w:val="001A3011"/>
    <w:rsid w:val="001A3078"/>
    <w:rsid w:val="001A4A9B"/>
    <w:rsid w:val="001A4B32"/>
    <w:rsid w:val="001A4DAF"/>
    <w:rsid w:val="001A54CD"/>
    <w:rsid w:val="001A66DF"/>
    <w:rsid w:val="001A67D0"/>
    <w:rsid w:val="001A6863"/>
    <w:rsid w:val="001A7591"/>
    <w:rsid w:val="001A75B1"/>
    <w:rsid w:val="001A7B06"/>
    <w:rsid w:val="001A7B56"/>
    <w:rsid w:val="001B0366"/>
    <w:rsid w:val="001B0444"/>
    <w:rsid w:val="001B096B"/>
    <w:rsid w:val="001B0F9F"/>
    <w:rsid w:val="001B123C"/>
    <w:rsid w:val="001B1A0D"/>
    <w:rsid w:val="001B1BF1"/>
    <w:rsid w:val="001B20A6"/>
    <w:rsid w:val="001B21AC"/>
    <w:rsid w:val="001B2456"/>
    <w:rsid w:val="001B3569"/>
    <w:rsid w:val="001B449C"/>
    <w:rsid w:val="001B4AA2"/>
    <w:rsid w:val="001B4ADE"/>
    <w:rsid w:val="001B5530"/>
    <w:rsid w:val="001B5DAE"/>
    <w:rsid w:val="001B5EF8"/>
    <w:rsid w:val="001B6BD0"/>
    <w:rsid w:val="001B71E8"/>
    <w:rsid w:val="001C033E"/>
    <w:rsid w:val="001C07C6"/>
    <w:rsid w:val="001C0C86"/>
    <w:rsid w:val="001C120D"/>
    <w:rsid w:val="001C16DA"/>
    <w:rsid w:val="001C19CD"/>
    <w:rsid w:val="001C1E2B"/>
    <w:rsid w:val="001C22D5"/>
    <w:rsid w:val="001C2515"/>
    <w:rsid w:val="001C26FB"/>
    <w:rsid w:val="001C2BA4"/>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16BE"/>
    <w:rsid w:val="001D2EEE"/>
    <w:rsid w:val="001D30F3"/>
    <w:rsid w:val="001D31A0"/>
    <w:rsid w:val="001D338E"/>
    <w:rsid w:val="001D34C3"/>
    <w:rsid w:val="001D4048"/>
    <w:rsid w:val="001D4562"/>
    <w:rsid w:val="001D46A9"/>
    <w:rsid w:val="001D4874"/>
    <w:rsid w:val="001D56E9"/>
    <w:rsid w:val="001D59D9"/>
    <w:rsid w:val="001D6944"/>
    <w:rsid w:val="001D6CD2"/>
    <w:rsid w:val="001D796A"/>
    <w:rsid w:val="001D7A84"/>
    <w:rsid w:val="001D7C79"/>
    <w:rsid w:val="001E003B"/>
    <w:rsid w:val="001E1CC4"/>
    <w:rsid w:val="001E1D38"/>
    <w:rsid w:val="001E28A0"/>
    <w:rsid w:val="001E302E"/>
    <w:rsid w:val="001E3FFE"/>
    <w:rsid w:val="001E4258"/>
    <w:rsid w:val="001E436C"/>
    <w:rsid w:val="001E5140"/>
    <w:rsid w:val="001E55E6"/>
    <w:rsid w:val="001E5AB2"/>
    <w:rsid w:val="001E5D6A"/>
    <w:rsid w:val="001E6A94"/>
    <w:rsid w:val="001E6F83"/>
    <w:rsid w:val="001E70FB"/>
    <w:rsid w:val="001E780A"/>
    <w:rsid w:val="001F0806"/>
    <w:rsid w:val="001F0D15"/>
    <w:rsid w:val="001F0FA0"/>
    <w:rsid w:val="001F1349"/>
    <w:rsid w:val="001F14C3"/>
    <w:rsid w:val="001F1863"/>
    <w:rsid w:val="001F2356"/>
    <w:rsid w:val="001F2A68"/>
    <w:rsid w:val="001F2C47"/>
    <w:rsid w:val="001F3221"/>
    <w:rsid w:val="001F4773"/>
    <w:rsid w:val="001F4F91"/>
    <w:rsid w:val="001F5008"/>
    <w:rsid w:val="001F56AA"/>
    <w:rsid w:val="001F57EB"/>
    <w:rsid w:val="001F58AA"/>
    <w:rsid w:val="001F5A4E"/>
    <w:rsid w:val="001F5EF6"/>
    <w:rsid w:val="001F657F"/>
    <w:rsid w:val="001F68FA"/>
    <w:rsid w:val="001F6FB6"/>
    <w:rsid w:val="001F72BB"/>
    <w:rsid w:val="001F7978"/>
    <w:rsid w:val="001F7A0E"/>
    <w:rsid w:val="001F7A4B"/>
    <w:rsid w:val="0020022E"/>
    <w:rsid w:val="0020054E"/>
    <w:rsid w:val="00201508"/>
    <w:rsid w:val="00201AC4"/>
    <w:rsid w:val="00201F1E"/>
    <w:rsid w:val="0020247D"/>
    <w:rsid w:val="00202761"/>
    <w:rsid w:val="0020299B"/>
    <w:rsid w:val="00202B2A"/>
    <w:rsid w:val="00202E44"/>
    <w:rsid w:val="002037AA"/>
    <w:rsid w:val="00203FE3"/>
    <w:rsid w:val="002041DD"/>
    <w:rsid w:val="002042D8"/>
    <w:rsid w:val="00204515"/>
    <w:rsid w:val="00204BF5"/>
    <w:rsid w:val="00204E6B"/>
    <w:rsid w:val="002053EF"/>
    <w:rsid w:val="002058D4"/>
    <w:rsid w:val="002060D6"/>
    <w:rsid w:val="0020632A"/>
    <w:rsid w:val="0020697F"/>
    <w:rsid w:val="0020726E"/>
    <w:rsid w:val="00207389"/>
    <w:rsid w:val="002074C2"/>
    <w:rsid w:val="002110EB"/>
    <w:rsid w:val="00211338"/>
    <w:rsid w:val="00211388"/>
    <w:rsid w:val="0021148C"/>
    <w:rsid w:val="00211694"/>
    <w:rsid w:val="0021201A"/>
    <w:rsid w:val="00212545"/>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9DE"/>
    <w:rsid w:val="00217B99"/>
    <w:rsid w:val="00217DB8"/>
    <w:rsid w:val="0022016B"/>
    <w:rsid w:val="002202CE"/>
    <w:rsid w:val="0022032A"/>
    <w:rsid w:val="0022194E"/>
    <w:rsid w:val="002220B1"/>
    <w:rsid w:val="002221CE"/>
    <w:rsid w:val="00222B1D"/>
    <w:rsid w:val="00222BE8"/>
    <w:rsid w:val="00222DF6"/>
    <w:rsid w:val="00223102"/>
    <w:rsid w:val="002232CB"/>
    <w:rsid w:val="00224022"/>
    <w:rsid w:val="00225F05"/>
    <w:rsid w:val="00226055"/>
    <w:rsid w:val="0022609C"/>
    <w:rsid w:val="0022613F"/>
    <w:rsid w:val="0022614F"/>
    <w:rsid w:val="00226236"/>
    <w:rsid w:val="002266AF"/>
    <w:rsid w:val="002270C9"/>
    <w:rsid w:val="00227A8B"/>
    <w:rsid w:val="002306BF"/>
    <w:rsid w:val="002311F0"/>
    <w:rsid w:val="0023146B"/>
    <w:rsid w:val="002315A0"/>
    <w:rsid w:val="00231748"/>
    <w:rsid w:val="00231CBD"/>
    <w:rsid w:val="00231DCC"/>
    <w:rsid w:val="00231EC7"/>
    <w:rsid w:val="00232AF1"/>
    <w:rsid w:val="00232E15"/>
    <w:rsid w:val="00233079"/>
    <w:rsid w:val="0023382C"/>
    <w:rsid w:val="00233977"/>
    <w:rsid w:val="00233C58"/>
    <w:rsid w:val="00233C71"/>
    <w:rsid w:val="002345B6"/>
    <w:rsid w:val="002347A6"/>
    <w:rsid w:val="00234B84"/>
    <w:rsid w:val="0023548D"/>
    <w:rsid w:val="00236016"/>
    <w:rsid w:val="00237065"/>
    <w:rsid w:val="00237589"/>
    <w:rsid w:val="0023758D"/>
    <w:rsid w:val="002375A7"/>
    <w:rsid w:val="0023777A"/>
    <w:rsid w:val="00237D1D"/>
    <w:rsid w:val="0024019A"/>
    <w:rsid w:val="00240A1F"/>
    <w:rsid w:val="00240EC1"/>
    <w:rsid w:val="0024120F"/>
    <w:rsid w:val="0024131D"/>
    <w:rsid w:val="002415B8"/>
    <w:rsid w:val="00241B82"/>
    <w:rsid w:val="0024296E"/>
    <w:rsid w:val="00242D5F"/>
    <w:rsid w:val="00242D62"/>
    <w:rsid w:val="002430D0"/>
    <w:rsid w:val="002431D7"/>
    <w:rsid w:val="00244058"/>
    <w:rsid w:val="0024561A"/>
    <w:rsid w:val="00245718"/>
    <w:rsid w:val="002457E9"/>
    <w:rsid w:val="00245E07"/>
    <w:rsid w:val="0024665E"/>
    <w:rsid w:val="00247712"/>
    <w:rsid w:val="00250A9E"/>
    <w:rsid w:val="00250EC6"/>
    <w:rsid w:val="002515C7"/>
    <w:rsid w:val="00251866"/>
    <w:rsid w:val="00251A9F"/>
    <w:rsid w:val="00251E66"/>
    <w:rsid w:val="00252492"/>
    <w:rsid w:val="00252B35"/>
    <w:rsid w:val="00253070"/>
    <w:rsid w:val="002530A0"/>
    <w:rsid w:val="0025316D"/>
    <w:rsid w:val="00253A02"/>
    <w:rsid w:val="00253B81"/>
    <w:rsid w:val="00254AE9"/>
    <w:rsid w:val="002554DE"/>
    <w:rsid w:val="00255575"/>
    <w:rsid w:val="00255E11"/>
    <w:rsid w:val="002564B7"/>
    <w:rsid w:val="00256835"/>
    <w:rsid w:val="002569F0"/>
    <w:rsid w:val="00256C01"/>
    <w:rsid w:val="00256E1A"/>
    <w:rsid w:val="00256ECF"/>
    <w:rsid w:val="00257730"/>
    <w:rsid w:val="00257999"/>
    <w:rsid w:val="00260464"/>
    <w:rsid w:val="002604AA"/>
    <w:rsid w:val="00260724"/>
    <w:rsid w:val="0026129B"/>
    <w:rsid w:val="00261560"/>
    <w:rsid w:val="00261715"/>
    <w:rsid w:val="00261CF9"/>
    <w:rsid w:val="00261EC0"/>
    <w:rsid w:val="0026231B"/>
    <w:rsid w:val="00263101"/>
    <w:rsid w:val="002631D1"/>
    <w:rsid w:val="00263201"/>
    <w:rsid w:val="00263A37"/>
    <w:rsid w:val="00263EC5"/>
    <w:rsid w:val="00264266"/>
    <w:rsid w:val="002646A3"/>
    <w:rsid w:val="0026471F"/>
    <w:rsid w:val="0026480D"/>
    <w:rsid w:val="00265162"/>
    <w:rsid w:val="002653A6"/>
    <w:rsid w:val="002655EF"/>
    <w:rsid w:val="002661F1"/>
    <w:rsid w:val="00266316"/>
    <w:rsid w:val="00266DB6"/>
    <w:rsid w:val="002706CE"/>
    <w:rsid w:val="002711A4"/>
    <w:rsid w:val="00271230"/>
    <w:rsid w:val="00271F13"/>
    <w:rsid w:val="00272945"/>
    <w:rsid w:val="00272AFB"/>
    <w:rsid w:val="00272E89"/>
    <w:rsid w:val="00273A94"/>
    <w:rsid w:val="002742D0"/>
    <w:rsid w:val="0027482E"/>
    <w:rsid w:val="002748F1"/>
    <w:rsid w:val="00274DB5"/>
    <w:rsid w:val="00275AD0"/>
    <w:rsid w:val="00275BB1"/>
    <w:rsid w:val="00275CBF"/>
    <w:rsid w:val="002766F9"/>
    <w:rsid w:val="00276EF7"/>
    <w:rsid w:val="0027770B"/>
    <w:rsid w:val="00277933"/>
    <w:rsid w:val="00277EC1"/>
    <w:rsid w:val="00277F8D"/>
    <w:rsid w:val="00277FA7"/>
    <w:rsid w:val="00280046"/>
    <w:rsid w:val="00280806"/>
    <w:rsid w:val="00280B4F"/>
    <w:rsid w:val="00280F3D"/>
    <w:rsid w:val="0028106A"/>
    <w:rsid w:val="00281EB4"/>
    <w:rsid w:val="002820DA"/>
    <w:rsid w:val="00282E03"/>
    <w:rsid w:val="0028308E"/>
    <w:rsid w:val="002834E9"/>
    <w:rsid w:val="002837BA"/>
    <w:rsid w:val="00283A52"/>
    <w:rsid w:val="00283C5E"/>
    <w:rsid w:val="00283E26"/>
    <w:rsid w:val="0028428F"/>
    <w:rsid w:val="00284CFC"/>
    <w:rsid w:val="0028552A"/>
    <w:rsid w:val="00285832"/>
    <w:rsid w:val="00285943"/>
    <w:rsid w:val="00285969"/>
    <w:rsid w:val="0028599C"/>
    <w:rsid w:val="00285DE7"/>
    <w:rsid w:val="0028663B"/>
    <w:rsid w:val="00286CEC"/>
    <w:rsid w:val="002870F9"/>
    <w:rsid w:val="002871A9"/>
    <w:rsid w:val="00287505"/>
    <w:rsid w:val="00287BDB"/>
    <w:rsid w:val="00290781"/>
    <w:rsid w:val="00291784"/>
    <w:rsid w:val="002920DF"/>
    <w:rsid w:val="00292139"/>
    <w:rsid w:val="002928A3"/>
    <w:rsid w:val="002928C8"/>
    <w:rsid w:val="002929BB"/>
    <w:rsid w:val="0029371B"/>
    <w:rsid w:val="00294368"/>
    <w:rsid w:val="00294B78"/>
    <w:rsid w:val="00295416"/>
    <w:rsid w:val="00295949"/>
    <w:rsid w:val="00295D7C"/>
    <w:rsid w:val="0029624A"/>
    <w:rsid w:val="00296922"/>
    <w:rsid w:val="0029702B"/>
    <w:rsid w:val="00297098"/>
    <w:rsid w:val="0029745A"/>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8C8"/>
    <w:rsid w:val="002A3D94"/>
    <w:rsid w:val="002A4736"/>
    <w:rsid w:val="002A4B1C"/>
    <w:rsid w:val="002A55FE"/>
    <w:rsid w:val="002A625C"/>
    <w:rsid w:val="002A632B"/>
    <w:rsid w:val="002A6AFB"/>
    <w:rsid w:val="002A6CB8"/>
    <w:rsid w:val="002A733D"/>
    <w:rsid w:val="002A7559"/>
    <w:rsid w:val="002A774A"/>
    <w:rsid w:val="002A7840"/>
    <w:rsid w:val="002A78F3"/>
    <w:rsid w:val="002A7D84"/>
    <w:rsid w:val="002A7E5C"/>
    <w:rsid w:val="002A7F6D"/>
    <w:rsid w:val="002B0D83"/>
    <w:rsid w:val="002B1342"/>
    <w:rsid w:val="002B1F83"/>
    <w:rsid w:val="002B27C8"/>
    <w:rsid w:val="002B2A7F"/>
    <w:rsid w:val="002B330B"/>
    <w:rsid w:val="002B39BE"/>
    <w:rsid w:val="002B3A3B"/>
    <w:rsid w:val="002B3D38"/>
    <w:rsid w:val="002B438C"/>
    <w:rsid w:val="002B48DB"/>
    <w:rsid w:val="002B4B34"/>
    <w:rsid w:val="002B541A"/>
    <w:rsid w:val="002B5DA7"/>
    <w:rsid w:val="002B5EAB"/>
    <w:rsid w:val="002B5F2E"/>
    <w:rsid w:val="002B6407"/>
    <w:rsid w:val="002B6416"/>
    <w:rsid w:val="002B6459"/>
    <w:rsid w:val="002B6F22"/>
    <w:rsid w:val="002B7014"/>
    <w:rsid w:val="002B73B0"/>
    <w:rsid w:val="002C15BF"/>
    <w:rsid w:val="002C24B4"/>
    <w:rsid w:val="002C2B3A"/>
    <w:rsid w:val="002C2B87"/>
    <w:rsid w:val="002C3CF4"/>
    <w:rsid w:val="002C3DC9"/>
    <w:rsid w:val="002C441A"/>
    <w:rsid w:val="002C4A73"/>
    <w:rsid w:val="002C4B84"/>
    <w:rsid w:val="002C4C0C"/>
    <w:rsid w:val="002C5016"/>
    <w:rsid w:val="002C5C2F"/>
    <w:rsid w:val="002C5D0F"/>
    <w:rsid w:val="002C60B9"/>
    <w:rsid w:val="002C6BAA"/>
    <w:rsid w:val="002C6F77"/>
    <w:rsid w:val="002C704D"/>
    <w:rsid w:val="002C7DCC"/>
    <w:rsid w:val="002D0845"/>
    <w:rsid w:val="002D0933"/>
    <w:rsid w:val="002D1555"/>
    <w:rsid w:val="002D15B6"/>
    <w:rsid w:val="002D19BB"/>
    <w:rsid w:val="002D1A9B"/>
    <w:rsid w:val="002D1E04"/>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04"/>
    <w:rsid w:val="002D6558"/>
    <w:rsid w:val="002D65BC"/>
    <w:rsid w:val="002E055C"/>
    <w:rsid w:val="002E1050"/>
    <w:rsid w:val="002E107E"/>
    <w:rsid w:val="002E18E5"/>
    <w:rsid w:val="002E1953"/>
    <w:rsid w:val="002E2C3F"/>
    <w:rsid w:val="002E2CB5"/>
    <w:rsid w:val="002E2D7D"/>
    <w:rsid w:val="002E32D0"/>
    <w:rsid w:val="002E3D05"/>
    <w:rsid w:val="002E3D76"/>
    <w:rsid w:val="002E40A1"/>
    <w:rsid w:val="002E48EC"/>
    <w:rsid w:val="002E4B44"/>
    <w:rsid w:val="002E4ECB"/>
    <w:rsid w:val="002E4F23"/>
    <w:rsid w:val="002E61AE"/>
    <w:rsid w:val="002E635A"/>
    <w:rsid w:val="002E6D68"/>
    <w:rsid w:val="002E7847"/>
    <w:rsid w:val="002F0073"/>
    <w:rsid w:val="002F0AC0"/>
    <w:rsid w:val="002F1B27"/>
    <w:rsid w:val="002F1C67"/>
    <w:rsid w:val="002F240B"/>
    <w:rsid w:val="002F24DA"/>
    <w:rsid w:val="002F2F50"/>
    <w:rsid w:val="002F33EC"/>
    <w:rsid w:val="002F34E3"/>
    <w:rsid w:val="002F3601"/>
    <w:rsid w:val="002F40E2"/>
    <w:rsid w:val="002F45F6"/>
    <w:rsid w:val="002F5A6F"/>
    <w:rsid w:val="002F692F"/>
    <w:rsid w:val="002F7031"/>
    <w:rsid w:val="002F7961"/>
    <w:rsid w:val="002F7B66"/>
    <w:rsid w:val="00300CB4"/>
    <w:rsid w:val="00300E24"/>
    <w:rsid w:val="0030257B"/>
    <w:rsid w:val="003033BA"/>
    <w:rsid w:val="00303866"/>
    <w:rsid w:val="00303C19"/>
    <w:rsid w:val="003043A3"/>
    <w:rsid w:val="0030462D"/>
    <w:rsid w:val="00304BD4"/>
    <w:rsid w:val="00304F54"/>
    <w:rsid w:val="0030500A"/>
    <w:rsid w:val="003052EB"/>
    <w:rsid w:val="00305FCB"/>
    <w:rsid w:val="003063C3"/>
    <w:rsid w:val="003069DC"/>
    <w:rsid w:val="00306A13"/>
    <w:rsid w:val="00306B44"/>
    <w:rsid w:val="00306F2B"/>
    <w:rsid w:val="00307C44"/>
    <w:rsid w:val="0031040A"/>
    <w:rsid w:val="0031088E"/>
    <w:rsid w:val="00310D01"/>
    <w:rsid w:val="00311376"/>
    <w:rsid w:val="00311A1F"/>
    <w:rsid w:val="00311B47"/>
    <w:rsid w:val="00311D52"/>
    <w:rsid w:val="00312190"/>
    <w:rsid w:val="003125E0"/>
    <w:rsid w:val="0031271D"/>
    <w:rsid w:val="00313222"/>
    <w:rsid w:val="003132BB"/>
    <w:rsid w:val="00313337"/>
    <w:rsid w:val="00313447"/>
    <w:rsid w:val="003135CC"/>
    <w:rsid w:val="00313748"/>
    <w:rsid w:val="00313EA3"/>
    <w:rsid w:val="003151FE"/>
    <w:rsid w:val="00315365"/>
    <w:rsid w:val="00315457"/>
    <w:rsid w:val="00315E25"/>
    <w:rsid w:val="003161A4"/>
    <w:rsid w:val="00316955"/>
    <w:rsid w:val="0031713F"/>
    <w:rsid w:val="0031720A"/>
    <w:rsid w:val="0031749B"/>
    <w:rsid w:val="003174E5"/>
    <w:rsid w:val="00317C9D"/>
    <w:rsid w:val="00317CD2"/>
    <w:rsid w:val="00317D99"/>
    <w:rsid w:val="003203BF"/>
    <w:rsid w:val="0032078D"/>
    <w:rsid w:val="00320ADF"/>
    <w:rsid w:val="0032137B"/>
    <w:rsid w:val="00321A70"/>
    <w:rsid w:val="00321BD6"/>
    <w:rsid w:val="00321FA3"/>
    <w:rsid w:val="003227D3"/>
    <w:rsid w:val="00322805"/>
    <w:rsid w:val="00322937"/>
    <w:rsid w:val="00323881"/>
    <w:rsid w:val="00324885"/>
    <w:rsid w:val="003251A8"/>
    <w:rsid w:val="003254B1"/>
    <w:rsid w:val="00325AD9"/>
    <w:rsid w:val="00325D98"/>
    <w:rsid w:val="0032682A"/>
    <w:rsid w:val="00327A5C"/>
    <w:rsid w:val="003305BD"/>
    <w:rsid w:val="0033092C"/>
    <w:rsid w:val="0033122A"/>
    <w:rsid w:val="003315AC"/>
    <w:rsid w:val="00331932"/>
    <w:rsid w:val="00331F74"/>
    <w:rsid w:val="00332382"/>
    <w:rsid w:val="00332386"/>
    <w:rsid w:val="00332453"/>
    <w:rsid w:val="0033251B"/>
    <w:rsid w:val="00333A88"/>
    <w:rsid w:val="00334FBC"/>
    <w:rsid w:val="00335B15"/>
    <w:rsid w:val="00335B21"/>
    <w:rsid w:val="00335D3F"/>
    <w:rsid w:val="00336104"/>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08B"/>
    <w:rsid w:val="00344760"/>
    <w:rsid w:val="00344A9D"/>
    <w:rsid w:val="00344ED1"/>
    <w:rsid w:val="003454E8"/>
    <w:rsid w:val="00345574"/>
    <w:rsid w:val="00345965"/>
    <w:rsid w:val="0034680A"/>
    <w:rsid w:val="00346C62"/>
    <w:rsid w:val="00347202"/>
    <w:rsid w:val="0034778E"/>
    <w:rsid w:val="00347A5A"/>
    <w:rsid w:val="003501E2"/>
    <w:rsid w:val="00351E10"/>
    <w:rsid w:val="0035252F"/>
    <w:rsid w:val="003533F4"/>
    <w:rsid w:val="003536F6"/>
    <w:rsid w:val="00353DD5"/>
    <w:rsid w:val="00353F36"/>
    <w:rsid w:val="00355131"/>
    <w:rsid w:val="00355F74"/>
    <w:rsid w:val="003560DB"/>
    <w:rsid w:val="003564BA"/>
    <w:rsid w:val="003564DB"/>
    <w:rsid w:val="00356F87"/>
    <w:rsid w:val="00357C44"/>
    <w:rsid w:val="00357E83"/>
    <w:rsid w:val="0036086B"/>
    <w:rsid w:val="00360CF3"/>
    <w:rsid w:val="00361A59"/>
    <w:rsid w:val="00363348"/>
    <w:rsid w:val="003634D4"/>
    <w:rsid w:val="00363857"/>
    <w:rsid w:val="00363D59"/>
    <w:rsid w:val="00363F08"/>
    <w:rsid w:val="003640F7"/>
    <w:rsid w:val="003658F2"/>
    <w:rsid w:val="0036594A"/>
    <w:rsid w:val="00365D3A"/>
    <w:rsid w:val="003664FF"/>
    <w:rsid w:val="00366BD2"/>
    <w:rsid w:val="003670B8"/>
    <w:rsid w:val="003704A3"/>
    <w:rsid w:val="003706F2"/>
    <w:rsid w:val="003709E8"/>
    <w:rsid w:val="0037124F"/>
    <w:rsid w:val="00373827"/>
    <w:rsid w:val="00373B6E"/>
    <w:rsid w:val="0037401C"/>
    <w:rsid w:val="0037507B"/>
    <w:rsid w:val="00375C7C"/>
    <w:rsid w:val="00377027"/>
    <w:rsid w:val="00377135"/>
    <w:rsid w:val="00377EAC"/>
    <w:rsid w:val="00380272"/>
    <w:rsid w:val="003805DB"/>
    <w:rsid w:val="00380B96"/>
    <w:rsid w:val="00380C7F"/>
    <w:rsid w:val="0038152A"/>
    <w:rsid w:val="0038245D"/>
    <w:rsid w:val="00382BAD"/>
    <w:rsid w:val="003835FD"/>
    <w:rsid w:val="00383EDF"/>
    <w:rsid w:val="00384C5E"/>
    <w:rsid w:val="00384DF1"/>
    <w:rsid w:val="00384FF3"/>
    <w:rsid w:val="00386456"/>
    <w:rsid w:val="003865A9"/>
    <w:rsid w:val="003872D3"/>
    <w:rsid w:val="0039092B"/>
    <w:rsid w:val="00390BD9"/>
    <w:rsid w:val="00390C0B"/>
    <w:rsid w:val="00390F32"/>
    <w:rsid w:val="0039135E"/>
    <w:rsid w:val="0039285D"/>
    <w:rsid w:val="0039319C"/>
    <w:rsid w:val="00393577"/>
    <w:rsid w:val="00393CAE"/>
    <w:rsid w:val="00393FEC"/>
    <w:rsid w:val="003945F4"/>
    <w:rsid w:val="00394EB5"/>
    <w:rsid w:val="003953B4"/>
    <w:rsid w:val="0039615F"/>
    <w:rsid w:val="003966A0"/>
    <w:rsid w:val="00396A29"/>
    <w:rsid w:val="00397FF0"/>
    <w:rsid w:val="003A0878"/>
    <w:rsid w:val="003A1561"/>
    <w:rsid w:val="003A1D25"/>
    <w:rsid w:val="003A22A2"/>
    <w:rsid w:val="003A2447"/>
    <w:rsid w:val="003A2AA1"/>
    <w:rsid w:val="003A31A5"/>
    <w:rsid w:val="003A329A"/>
    <w:rsid w:val="003A3603"/>
    <w:rsid w:val="003A36AC"/>
    <w:rsid w:val="003A3851"/>
    <w:rsid w:val="003A3902"/>
    <w:rsid w:val="003A39DD"/>
    <w:rsid w:val="003A40DB"/>
    <w:rsid w:val="003A4199"/>
    <w:rsid w:val="003A41C5"/>
    <w:rsid w:val="003A4A8E"/>
    <w:rsid w:val="003A563C"/>
    <w:rsid w:val="003A581E"/>
    <w:rsid w:val="003A5E7E"/>
    <w:rsid w:val="003A6160"/>
    <w:rsid w:val="003A6219"/>
    <w:rsid w:val="003A65A5"/>
    <w:rsid w:val="003A65AC"/>
    <w:rsid w:val="003A6764"/>
    <w:rsid w:val="003A72F5"/>
    <w:rsid w:val="003A78E5"/>
    <w:rsid w:val="003B0341"/>
    <w:rsid w:val="003B15F3"/>
    <w:rsid w:val="003B1961"/>
    <w:rsid w:val="003B1E57"/>
    <w:rsid w:val="003B1E5C"/>
    <w:rsid w:val="003B242E"/>
    <w:rsid w:val="003B2EF3"/>
    <w:rsid w:val="003B48C4"/>
    <w:rsid w:val="003B4ADC"/>
    <w:rsid w:val="003B534F"/>
    <w:rsid w:val="003B5391"/>
    <w:rsid w:val="003B58CE"/>
    <w:rsid w:val="003B6273"/>
    <w:rsid w:val="003B65D7"/>
    <w:rsid w:val="003B65E0"/>
    <w:rsid w:val="003B6BD4"/>
    <w:rsid w:val="003B6F4D"/>
    <w:rsid w:val="003B6FE7"/>
    <w:rsid w:val="003B74E8"/>
    <w:rsid w:val="003C0491"/>
    <w:rsid w:val="003C0C0F"/>
    <w:rsid w:val="003C0D1F"/>
    <w:rsid w:val="003C116A"/>
    <w:rsid w:val="003C1AF4"/>
    <w:rsid w:val="003C1CB8"/>
    <w:rsid w:val="003C22DA"/>
    <w:rsid w:val="003C2550"/>
    <w:rsid w:val="003C287F"/>
    <w:rsid w:val="003C2B2B"/>
    <w:rsid w:val="003C3339"/>
    <w:rsid w:val="003C375A"/>
    <w:rsid w:val="003C4317"/>
    <w:rsid w:val="003C4D9F"/>
    <w:rsid w:val="003C5247"/>
    <w:rsid w:val="003C5B02"/>
    <w:rsid w:val="003C5D7C"/>
    <w:rsid w:val="003C5E8A"/>
    <w:rsid w:val="003C622C"/>
    <w:rsid w:val="003C6505"/>
    <w:rsid w:val="003C73C7"/>
    <w:rsid w:val="003C7CFB"/>
    <w:rsid w:val="003D050B"/>
    <w:rsid w:val="003D0B98"/>
    <w:rsid w:val="003D0C3C"/>
    <w:rsid w:val="003D0DE5"/>
    <w:rsid w:val="003D1351"/>
    <w:rsid w:val="003D15B3"/>
    <w:rsid w:val="003D21C1"/>
    <w:rsid w:val="003D266D"/>
    <w:rsid w:val="003D370F"/>
    <w:rsid w:val="003D3B15"/>
    <w:rsid w:val="003D3B2E"/>
    <w:rsid w:val="003D3F28"/>
    <w:rsid w:val="003D4101"/>
    <w:rsid w:val="003D484D"/>
    <w:rsid w:val="003D49CB"/>
    <w:rsid w:val="003D5F10"/>
    <w:rsid w:val="003D6B8F"/>
    <w:rsid w:val="003D7566"/>
    <w:rsid w:val="003E0224"/>
    <w:rsid w:val="003E09BB"/>
    <w:rsid w:val="003E13D2"/>
    <w:rsid w:val="003E159D"/>
    <w:rsid w:val="003E1E64"/>
    <w:rsid w:val="003E20EA"/>
    <w:rsid w:val="003E210C"/>
    <w:rsid w:val="003E2294"/>
    <w:rsid w:val="003E2F55"/>
    <w:rsid w:val="003E324A"/>
    <w:rsid w:val="003E34DB"/>
    <w:rsid w:val="003E3833"/>
    <w:rsid w:val="003E3AF9"/>
    <w:rsid w:val="003E4A70"/>
    <w:rsid w:val="003E4C48"/>
    <w:rsid w:val="003E4CD9"/>
    <w:rsid w:val="003E52C2"/>
    <w:rsid w:val="003E54B3"/>
    <w:rsid w:val="003E56AC"/>
    <w:rsid w:val="003E5780"/>
    <w:rsid w:val="003E5B9F"/>
    <w:rsid w:val="003E6072"/>
    <w:rsid w:val="003E60D6"/>
    <w:rsid w:val="003E6AB6"/>
    <w:rsid w:val="003E6E0B"/>
    <w:rsid w:val="003E71CD"/>
    <w:rsid w:val="003E78DA"/>
    <w:rsid w:val="003E7A8B"/>
    <w:rsid w:val="003F060E"/>
    <w:rsid w:val="003F0F7F"/>
    <w:rsid w:val="003F115C"/>
    <w:rsid w:val="003F153A"/>
    <w:rsid w:val="003F300D"/>
    <w:rsid w:val="003F391F"/>
    <w:rsid w:val="003F4599"/>
    <w:rsid w:val="003F45E1"/>
    <w:rsid w:val="003F4F6C"/>
    <w:rsid w:val="003F559E"/>
    <w:rsid w:val="003F6181"/>
    <w:rsid w:val="003F6BFC"/>
    <w:rsid w:val="003F7343"/>
    <w:rsid w:val="00400002"/>
    <w:rsid w:val="00400054"/>
    <w:rsid w:val="0040088A"/>
    <w:rsid w:val="00400DC1"/>
    <w:rsid w:val="004016A3"/>
    <w:rsid w:val="00401B31"/>
    <w:rsid w:val="0040202B"/>
    <w:rsid w:val="0040219D"/>
    <w:rsid w:val="00402B33"/>
    <w:rsid w:val="00402DE1"/>
    <w:rsid w:val="00402E14"/>
    <w:rsid w:val="00402EEB"/>
    <w:rsid w:val="004037C2"/>
    <w:rsid w:val="00403FDE"/>
    <w:rsid w:val="00404041"/>
    <w:rsid w:val="004040D4"/>
    <w:rsid w:val="00404B43"/>
    <w:rsid w:val="00404C61"/>
    <w:rsid w:val="00405487"/>
    <w:rsid w:val="00405B8A"/>
    <w:rsid w:val="0040602B"/>
    <w:rsid w:val="0040606C"/>
    <w:rsid w:val="004060DC"/>
    <w:rsid w:val="004068CD"/>
    <w:rsid w:val="00406DF5"/>
    <w:rsid w:val="00406F35"/>
    <w:rsid w:val="004077D0"/>
    <w:rsid w:val="00407A7A"/>
    <w:rsid w:val="00407ABC"/>
    <w:rsid w:val="00407F1E"/>
    <w:rsid w:val="004103B3"/>
    <w:rsid w:val="00410A88"/>
    <w:rsid w:val="00410CC8"/>
    <w:rsid w:val="00411317"/>
    <w:rsid w:val="00411692"/>
    <w:rsid w:val="00411A9E"/>
    <w:rsid w:val="0041259F"/>
    <w:rsid w:val="00412B1B"/>
    <w:rsid w:val="00412B4D"/>
    <w:rsid w:val="00412C51"/>
    <w:rsid w:val="00413262"/>
    <w:rsid w:val="0041329C"/>
    <w:rsid w:val="004132AF"/>
    <w:rsid w:val="004139F4"/>
    <w:rsid w:val="00413FFA"/>
    <w:rsid w:val="00414246"/>
    <w:rsid w:val="0041463D"/>
    <w:rsid w:val="00414D9A"/>
    <w:rsid w:val="00415194"/>
    <w:rsid w:val="00415816"/>
    <w:rsid w:val="00415B88"/>
    <w:rsid w:val="00415D32"/>
    <w:rsid w:val="00415E6A"/>
    <w:rsid w:val="004160A2"/>
    <w:rsid w:val="004166E9"/>
    <w:rsid w:val="0041674B"/>
    <w:rsid w:val="004170D7"/>
    <w:rsid w:val="004177A6"/>
    <w:rsid w:val="00417C00"/>
    <w:rsid w:val="00417C23"/>
    <w:rsid w:val="00417EFD"/>
    <w:rsid w:val="004200EE"/>
    <w:rsid w:val="00420786"/>
    <w:rsid w:val="004209D2"/>
    <w:rsid w:val="00420BBA"/>
    <w:rsid w:val="00420D6E"/>
    <w:rsid w:val="00420F50"/>
    <w:rsid w:val="0042158C"/>
    <w:rsid w:val="00421617"/>
    <w:rsid w:val="004217A7"/>
    <w:rsid w:val="00421BD2"/>
    <w:rsid w:val="00421E00"/>
    <w:rsid w:val="00421FCB"/>
    <w:rsid w:val="004220E2"/>
    <w:rsid w:val="00422DCA"/>
    <w:rsid w:val="00423D04"/>
    <w:rsid w:val="00423F9F"/>
    <w:rsid w:val="00424C5B"/>
    <w:rsid w:val="00425C43"/>
    <w:rsid w:val="004273FA"/>
    <w:rsid w:val="004275A7"/>
    <w:rsid w:val="00427BDA"/>
    <w:rsid w:val="00430186"/>
    <w:rsid w:val="00430F17"/>
    <w:rsid w:val="00431497"/>
    <w:rsid w:val="00431CC7"/>
    <w:rsid w:val="0043260C"/>
    <w:rsid w:val="0043269A"/>
    <w:rsid w:val="00432E92"/>
    <w:rsid w:val="004333C2"/>
    <w:rsid w:val="00434787"/>
    <w:rsid w:val="00434C13"/>
    <w:rsid w:val="00434C56"/>
    <w:rsid w:val="00434D8B"/>
    <w:rsid w:val="00435294"/>
    <w:rsid w:val="00435530"/>
    <w:rsid w:val="004356CF"/>
    <w:rsid w:val="00435703"/>
    <w:rsid w:val="00435BD5"/>
    <w:rsid w:val="00435C7F"/>
    <w:rsid w:val="00436323"/>
    <w:rsid w:val="0043683F"/>
    <w:rsid w:val="00436C94"/>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61F"/>
    <w:rsid w:val="0044374D"/>
    <w:rsid w:val="00443B55"/>
    <w:rsid w:val="00443D27"/>
    <w:rsid w:val="00444A87"/>
    <w:rsid w:val="00444ED8"/>
    <w:rsid w:val="0044500B"/>
    <w:rsid w:val="004451C5"/>
    <w:rsid w:val="00446037"/>
    <w:rsid w:val="00446270"/>
    <w:rsid w:val="0044642F"/>
    <w:rsid w:val="0044772C"/>
    <w:rsid w:val="00450846"/>
    <w:rsid w:val="00451A52"/>
    <w:rsid w:val="0045271D"/>
    <w:rsid w:val="00452755"/>
    <w:rsid w:val="00452803"/>
    <w:rsid w:val="004529C6"/>
    <w:rsid w:val="00452EAD"/>
    <w:rsid w:val="004533D1"/>
    <w:rsid w:val="004534D1"/>
    <w:rsid w:val="004540B8"/>
    <w:rsid w:val="00454548"/>
    <w:rsid w:val="00454717"/>
    <w:rsid w:val="00454C0F"/>
    <w:rsid w:val="00454DF8"/>
    <w:rsid w:val="00455004"/>
    <w:rsid w:val="00455047"/>
    <w:rsid w:val="00455354"/>
    <w:rsid w:val="0045558D"/>
    <w:rsid w:val="00455BD3"/>
    <w:rsid w:val="004560FE"/>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320A"/>
    <w:rsid w:val="00463347"/>
    <w:rsid w:val="004636CC"/>
    <w:rsid w:val="004638E2"/>
    <w:rsid w:val="00464030"/>
    <w:rsid w:val="004647F8"/>
    <w:rsid w:val="004647FB"/>
    <w:rsid w:val="00465347"/>
    <w:rsid w:val="00465677"/>
    <w:rsid w:val="00465B54"/>
    <w:rsid w:val="00466616"/>
    <w:rsid w:val="00466A0C"/>
    <w:rsid w:val="00466A53"/>
    <w:rsid w:val="00467EE3"/>
    <w:rsid w:val="0047088F"/>
    <w:rsid w:val="00470A6A"/>
    <w:rsid w:val="00470C12"/>
    <w:rsid w:val="00470D73"/>
    <w:rsid w:val="00470D92"/>
    <w:rsid w:val="00471DF7"/>
    <w:rsid w:val="00471E7D"/>
    <w:rsid w:val="004734CF"/>
    <w:rsid w:val="00473A5B"/>
    <w:rsid w:val="00473F33"/>
    <w:rsid w:val="0047586C"/>
    <w:rsid w:val="00475A31"/>
    <w:rsid w:val="00475C5A"/>
    <w:rsid w:val="00475C9C"/>
    <w:rsid w:val="0047676B"/>
    <w:rsid w:val="0047773C"/>
    <w:rsid w:val="00477B4D"/>
    <w:rsid w:val="00477C5F"/>
    <w:rsid w:val="00480050"/>
    <w:rsid w:val="0048011C"/>
    <w:rsid w:val="004808DE"/>
    <w:rsid w:val="00480F9A"/>
    <w:rsid w:val="0048155D"/>
    <w:rsid w:val="00481912"/>
    <w:rsid w:val="00481AC4"/>
    <w:rsid w:val="00481DC1"/>
    <w:rsid w:val="00482194"/>
    <w:rsid w:val="00482507"/>
    <w:rsid w:val="0048268A"/>
    <w:rsid w:val="004826AE"/>
    <w:rsid w:val="00482A64"/>
    <w:rsid w:val="004835CA"/>
    <w:rsid w:val="004836D7"/>
    <w:rsid w:val="004836F8"/>
    <w:rsid w:val="004836FE"/>
    <w:rsid w:val="00484A39"/>
    <w:rsid w:val="00484F0F"/>
    <w:rsid w:val="00484F40"/>
    <w:rsid w:val="0048540C"/>
    <w:rsid w:val="004861B4"/>
    <w:rsid w:val="00486226"/>
    <w:rsid w:val="00486BD0"/>
    <w:rsid w:val="00486BE0"/>
    <w:rsid w:val="00486D00"/>
    <w:rsid w:val="00486FF7"/>
    <w:rsid w:val="00487263"/>
    <w:rsid w:val="0048734F"/>
    <w:rsid w:val="0048757F"/>
    <w:rsid w:val="0049029D"/>
    <w:rsid w:val="0049030C"/>
    <w:rsid w:val="004903C0"/>
    <w:rsid w:val="00490654"/>
    <w:rsid w:val="00490BE8"/>
    <w:rsid w:val="0049114B"/>
    <w:rsid w:val="004912A8"/>
    <w:rsid w:val="00491577"/>
    <w:rsid w:val="004918E1"/>
    <w:rsid w:val="0049196A"/>
    <w:rsid w:val="0049196E"/>
    <w:rsid w:val="004923DB"/>
    <w:rsid w:val="0049241A"/>
    <w:rsid w:val="00492844"/>
    <w:rsid w:val="00492C1F"/>
    <w:rsid w:val="00492E4C"/>
    <w:rsid w:val="00493664"/>
    <w:rsid w:val="004938FD"/>
    <w:rsid w:val="00493E04"/>
    <w:rsid w:val="004940E3"/>
    <w:rsid w:val="0049530F"/>
    <w:rsid w:val="004958F6"/>
    <w:rsid w:val="00496664"/>
    <w:rsid w:val="00496786"/>
    <w:rsid w:val="0049695B"/>
    <w:rsid w:val="00496D8F"/>
    <w:rsid w:val="00497463"/>
    <w:rsid w:val="004A054C"/>
    <w:rsid w:val="004A08D1"/>
    <w:rsid w:val="004A0F88"/>
    <w:rsid w:val="004A16C1"/>
    <w:rsid w:val="004A1CE2"/>
    <w:rsid w:val="004A34D2"/>
    <w:rsid w:val="004A3EEA"/>
    <w:rsid w:val="004A4301"/>
    <w:rsid w:val="004A4D93"/>
    <w:rsid w:val="004A5094"/>
    <w:rsid w:val="004A546E"/>
    <w:rsid w:val="004A58EE"/>
    <w:rsid w:val="004A59B7"/>
    <w:rsid w:val="004A6051"/>
    <w:rsid w:val="004A623B"/>
    <w:rsid w:val="004A6A04"/>
    <w:rsid w:val="004A6A52"/>
    <w:rsid w:val="004B09B0"/>
    <w:rsid w:val="004B0A44"/>
    <w:rsid w:val="004B0F0B"/>
    <w:rsid w:val="004B205A"/>
    <w:rsid w:val="004B2197"/>
    <w:rsid w:val="004B298A"/>
    <w:rsid w:val="004B2BB8"/>
    <w:rsid w:val="004B448D"/>
    <w:rsid w:val="004B50CB"/>
    <w:rsid w:val="004B578D"/>
    <w:rsid w:val="004B5BE7"/>
    <w:rsid w:val="004B5E2D"/>
    <w:rsid w:val="004B6C07"/>
    <w:rsid w:val="004B74D3"/>
    <w:rsid w:val="004B755E"/>
    <w:rsid w:val="004B788E"/>
    <w:rsid w:val="004B7E5D"/>
    <w:rsid w:val="004C117D"/>
    <w:rsid w:val="004C1198"/>
    <w:rsid w:val="004C22F7"/>
    <w:rsid w:val="004C278C"/>
    <w:rsid w:val="004C2B27"/>
    <w:rsid w:val="004C3929"/>
    <w:rsid w:val="004C4160"/>
    <w:rsid w:val="004C4772"/>
    <w:rsid w:val="004C496D"/>
    <w:rsid w:val="004C5160"/>
    <w:rsid w:val="004C5212"/>
    <w:rsid w:val="004C5EF0"/>
    <w:rsid w:val="004C64C9"/>
    <w:rsid w:val="004C7226"/>
    <w:rsid w:val="004C74C9"/>
    <w:rsid w:val="004C7915"/>
    <w:rsid w:val="004C7D70"/>
    <w:rsid w:val="004D02F9"/>
    <w:rsid w:val="004D03FE"/>
    <w:rsid w:val="004D0446"/>
    <w:rsid w:val="004D06A3"/>
    <w:rsid w:val="004D0F95"/>
    <w:rsid w:val="004D106A"/>
    <w:rsid w:val="004D1162"/>
    <w:rsid w:val="004D1C7E"/>
    <w:rsid w:val="004D245A"/>
    <w:rsid w:val="004D31EE"/>
    <w:rsid w:val="004D36AF"/>
    <w:rsid w:val="004D3BD1"/>
    <w:rsid w:val="004D4BA1"/>
    <w:rsid w:val="004D584D"/>
    <w:rsid w:val="004D5A7E"/>
    <w:rsid w:val="004D6120"/>
    <w:rsid w:val="004D6826"/>
    <w:rsid w:val="004D7497"/>
    <w:rsid w:val="004E023F"/>
    <w:rsid w:val="004E03E8"/>
    <w:rsid w:val="004E0546"/>
    <w:rsid w:val="004E0556"/>
    <w:rsid w:val="004E0742"/>
    <w:rsid w:val="004E0C64"/>
    <w:rsid w:val="004E0F6B"/>
    <w:rsid w:val="004E1545"/>
    <w:rsid w:val="004E1F1C"/>
    <w:rsid w:val="004E2A35"/>
    <w:rsid w:val="004E2C09"/>
    <w:rsid w:val="004E2CCF"/>
    <w:rsid w:val="004E3B71"/>
    <w:rsid w:val="004E40CE"/>
    <w:rsid w:val="004E4BDE"/>
    <w:rsid w:val="004E5736"/>
    <w:rsid w:val="004E5A3C"/>
    <w:rsid w:val="004E5B36"/>
    <w:rsid w:val="004E5D5D"/>
    <w:rsid w:val="004E6045"/>
    <w:rsid w:val="004E67D0"/>
    <w:rsid w:val="004E6F43"/>
    <w:rsid w:val="004E7200"/>
    <w:rsid w:val="004E787E"/>
    <w:rsid w:val="004E7AA1"/>
    <w:rsid w:val="004F0805"/>
    <w:rsid w:val="004F084B"/>
    <w:rsid w:val="004F0960"/>
    <w:rsid w:val="004F0A5C"/>
    <w:rsid w:val="004F1596"/>
    <w:rsid w:val="004F163F"/>
    <w:rsid w:val="004F18A0"/>
    <w:rsid w:val="004F1A08"/>
    <w:rsid w:val="004F2480"/>
    <w:rsid w:val="004F2B64"/>
    <w:rsid w:val="004F31B8"/>
    <w:rsid w:val="004F33FA"/>
    <w:rsid w:val="004F375E"/>
    <w:rsid w:val="004F3764"/>
    <w:rsid w:val="004F3EEF"/>
    <w:rsid w:val="004F5129"/>
    <w:rsid w:val="004F5180"/>
    <w:rsid w:val="004F544B"/>
    <w:rsid w:val="004F57C9"/>
    <w:rsid w:val="004F5930"/>
    <w:rsid w:val="004F5970"/>
    <w:rsid w:val="004F5F0C"/>
    <w:rsid w:val="004F6121"/>
    <w:rsid w:val="004F6161"/>
    <w:rsid w:val="004F66BC"/>
    <w:rsid w:val="004F6C26"/>
    <w:rsid w:val="004F6F6D"/>
    <w:rsid w:val="004F7AC9"/>
    <w:rsid w:val="0050062F"/>
    <w:rsid w:val="00500E74"/>
    <w:rsid w:val="005013EB"/>
    <w:rsid w:val="00501525"/>
    <w:rsid w:val="0050160F"/>
    <w:rsid w:val="0050284E"/>
    <w:rsid w:val="0050306F"/>
    <w:rsid w:val="0050309C"/>
    <w:rsid w:val="00503A17"/>
    <w:rsid w:val="00505892"/>
    <w:rsid w:val="00505DCB"/>
    <w:rsid w:val="0050674C"/>
    <w:rsid w:val="00507066"/>
    <w:rsid w:val="005075CA"/>
    <w:rsid w:val="00507B06"/>
    <w:rsid w:val="00507BF1"/>
    <w:rsid w:val="0051074C"/>
    <w:rsid w:val="00510DE9"/>
    <w:rsid w:val="00510DF4"/>
    <w:rsid w:val="005111E2"/>
    <w:rsid w:val="00511231"/>
    <w:rsid w:val="005113B1"/>
    <w:rsid w:val="00511741"/>
    <w:rsid w:val="0051255B"/>
    <w:rsid w:val="00512C4F"/>
    <w:rsid w:val="00513042"/>
    <w:rsid w:val="0051334F"/>
    <w:rsid w:val="00513399"/>
    <w:rsid w:val="00513AF2"/>
    <w:rsid w:val="00514247"/>
    <w:rsid w:val="00514575"/>
    <w:rsid w:val="00514C03"/>
    <w:rsid w:val="00514D67"/>
    <w:rsid w:val="0051522A"/>
    <w:rsid w:val="00515515"/>
    <w:rsid w:val="005155E3"/>
    <w:rsid w:val="00515625"/>
    <w:rsid w:val="00515D66"/>
    <w:rsid w:val="0051635C"/>
    <w:rsid w:val="00516C5B"/>
    <w:rsid w:val="00516DB7"/>
    <w:rsid w:val="005172DA"/>
    <w:rsid w:val="00517612"/>
    <w:rsid w:val="005178FD"/>
    <w:rsid w:val="00517CFB"/>
    <w:rsid w:val="00517F85"/>
    <w:rsid w:val="0052002F"/>
    <w:rsid w:val="00520235"/>
    <w:rsid w:val="005203F6"/>
    <w:rsid w:val="00520899"/>
    <w:rsid w:val="00520922"/>
    <w:rsid w:val="005209FC"/>
    <w:rsid w:val="00520C09"/>
    <w:rsid w:val="00521A30"/>
    <w:rsid w:val="00521A91"/>
    <w:rsid w:val="00521D7C"/>
    <w:rsid w:val="00521EA7"/>
    <w:rsid w:val="005224E5"/>
    <w:rsid w:val="00522E0D"/>
    <w:rsid w:val="0052311A"/>
    <w:rsid w:val="0052370B"/>
    <w:rsid w:val="00523903"/>
    <w:rsid w:val="005239B6"/>
    <w:rsid w:val="00523C45"/>
    <w:rsid w:val="00523F41"/>
    <w:rsid w:val="00524165"/>
    <w:rsid w:val="005244FC"/>
    <w:rsid w:val="005246E7"/>
    <w:rsid w:val="00524B08"/>
    <w:rsid w:val="00524C38"/>
    <w:rsid w:val="00524FD2"/>
    <w:rsid w:val="00525621"/>
    <w:rsid w:val="00526181"/>
    <w:rsid w:val="00526431"/>
    <w:rsid w:val="00527532"/>
    <w:rsid w:val="00527DEB"/>
    <w:rsid w:val="00527E57"/>
    <w:rsid w:val="00527F2C"/>
    <w:rsid w:val="00530405"/>
    <w:rsid w:val="00530458"/>
    <w:rsid w:val="00530522"/>
    <w:rsid w:val="005305E5"/>
    <w:rsid w:val="0053086F"/>
    <w:rsid w:val="00530CBA"/>
    <w:rsid w:val="00530F38"/>
    <w:rsid w:val="00531C1B"/>
    <w:rsid w:val="00531F26"/>
    <w:rsid w:val="00532501"/>
    <w:rsid w:val="0053277C"/>
    <w:rsid w:val="005327C0"/>
    <w:rsid w:val="00532AB8"/>
    <w:rsid w:val="00533101"/>
    <w:rsid w:val="00533CA9"/>
    <w:rsid w:val="005346AD"/>
    <w:rsid w:val="00534EFB"/>
    <w:rsid w:val="00534F60"/>
    <w:rsid w:val="005357F1"/>
    <w:rsid w:val="005359BF"/>
    <w:rsid w:val="00535B2F"/>
    <w:rsid w:val="00535C73"/>
    <w:rsid w:val="00535D15"/>
    <w:rsid w:val="00535FC3"/>
    <w:rsid w:val="00536053"/>
    <w:rsid w:val="005363C6"/>
    <w:rsid w:val="005369E6"/>
    <w:rsid w:val="005371AC"/>
    <w:rsid w:val="00537672"/>
    <w:rsid w:val="005376B5"/>
    <w:rsid w:val="0053772F"/>
    <w:rsid w:val="00537A70"/>
    <w:rsid w:val="00537B64"/>
    <w:rsid w:val="00537B77"/>
    <w:rsid w:val="00540C4C"/>
    <w:rsid w:val="00540DC5"/>
    <w:rsid w:val="00541469"/>
    <w:rsid w:val="00541571"/>
    <w:rsid w:val="005419DA"/>
    <w:rsid w:val="00541B1F"/>
    <w:rsid w:val="005426C3"/>
    <w:rsid w:val="0054275A"/>
    <w:rsid w:val="005428B8"/>
    <w:rsid w:val="005428BE"/>
    <w:rsid w:val="00542BD7"/>
    <w:rsid w:val="00542D08"/>
    <w:rsid w:val="00543084"/>
    <w:rsid w:val="00543584"/>
    <w:rsid w:val="00543A9E"/>
    <w:rsid w:val="00543CAF"/>
    <w:rsid w:val="0054413A"/>
    <w:rsid w:val="00544288"/>
    <w:rsid w:val="00544420"/>
    <w:rsid w:val="005446BB"/>
    <w:rsid w:val="00544DA5"/>
    <w:rsid w:val="00544F43"/>
    <w:rsid w:val="00545997"/>
    <w:rsid w:val="00545E30"/>
    <w:rsid w:val="00545EA3"/>
    <w:rsid w:val="00546C9B"/>
    <w:rsid w:val="00546F81"/>
    <w:rsid w:val="00547378"/>
    <w:rsid w:val="00547BF6"/>
    <w:rsid w:val="00547FB3"/>
    <w:rsid w:val="00551098"/>
    <w:rsid w:val="00551598"/>
    <w:rsid w:val="0055162B"/>
    <w:rsid w:val="00551A56"/>
    <w:rsid w:val="00551BFF"/>
    <w:rsid w:val="00551D68"/>
    <w:rsid w:val="00551DFF"/>
    <w:rsid w:val="005525C9"/>
    <w:rsid w:val="00552B3E"/>
    <w:rsid w:val="00552C59"/>
    <w:rsid w:val="00553A23"/>
    <w:rsid w:val="00554578"/>
    <w:rsid w:val="00554D57"/>
    <w:rsid w:val="0055518C"/>
    <w:rsid w:val="005551AA"/>
    <w:rsid w:val="00555BCE"/>
    <w:rsid w:val="005564CA"/>
    <w:rsid w:val="005568BD"/>
    <w:rsid w:val="005568EA"/>
    <w:rsid w:val="00557140"/>
    <w:rsid w:val="0055715A"/>
    <w:rsid w:val="0055729E"/>
    <w:rsid w:val="00557984"/>
    <w:rsid w:val="00557A3F"/>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0E4C"/>
    <w:rsid w:val="00571872"/>
    <w:rsid w:val="0057221F"/>
    <w:rsid w:val="00572421"/>
    <w:rsid w:val="00572539"/>
    <w:rsid w:val="00573355"/>
    <w:rsid w:val="0057337D"/>
    <w:rsid w:val="00573504"/>
    <w:rsid w:val="0057355F"/>
    <w:rsid w:val="00573BA3"/>
    <w:rsid w:val="00574708"/>
    <w:rsid w:val="00574D81"/>
    <w:rsid w:val="005756AA"/>
    <w:rsid w:val="00576814"/>
    <w:rsid w:val="0057696F"/>
    <w:rsid w:val="00577276"/>
    <w:rsid w:val="005774FE"/>
    <w:rsid w:val="0058040C"/>
    <w:rsid w:val="00580D6D"/>
    <w:rsid w:val="00580FD8"/>
    <w:rsid w:val="005813DE"/>
    <w:rsid w:val="00581796"/>
    <w:rsid w:val="0058195C"/>
    <w:rsid w:val="00581B45"/>
    <w:rsid w:val="00582480"/>
    <w:rsid w:val="005827C4"/>
    <w:rsid w:val="00582805"/>
    <w:rsid w:val="0058290E"/>
    <w:rsid w:val="00582CAB"/>
    <w:rsid w:val="00582E51"/>
    <w:rsid w:val="00582FA6"/>
    <w:rsid w:val="005836D5"/>
    <w:rsid w:val="0058375E"/>
    <w:rsid w:val="005838D5"/>
    <w:rsid w:val="00584233"/>
    <w:rsid w:val="0058425C"/>
    <w:rsid w:val="005842D0"/>
    <w:rsid w:val="005845FB"/>
    <w:rsid w:val="005855AE"/>
    <w:rsid w:val="00585829"/>
    <w:rsid w:val="00585CA8"/>
    <w:rsid w:val="00585F87"/>
    <w:rsid w:val="00586412"/>
    <w:rsid w:val="005864B9"/>
    <w:rsid w:val="00586564"/>
    <w:rsid w:val="005866C4"/>
    <w:rsid w:val="005872A0"/>
    <w:rsid w:val="00590F1A"/>
    <w:rsid w:val="00591C03"/>
    <w:rsid w:val="00591E2A"/>
    <w:rsid w:val="005923C4"/>
    <w:rsid w:val="0059397D"/>
    <w:rsid w:val="00593EA2"/>
    <w:rsid w:val="00593F75"/>
    <w:rsid w:val="005940A0"/>
    <w:rsid w:val="0059429A"/>
    <w:rsid w:val="00594CBE"/>
    <w:rsid w:val="00596AF7"/>
    <w:rsid w:val="00596CCE"/>
    <w:rsid w:val="005A0AE0"/>
    <w:rsid w:val="005A1976"/>
    <w:rsid w:val="005A200E"/>
    <w:rsid w:val="005A2120"/>
    <w:rsid w:val="005A2501"/>
    <w:rsid w:val="005A2C80"/>
    <w:rsid w:val="005A3066"/>
    <w:rsid w:val="005A33BF"/>
    <w:rsid w:val="005A3B35"/>
    <w:rsid w:val="005A3C4B"/>
    <w:rsid w:val="005A3E5A"/>
    <w:rsid w:val="005A43F3"/>
    <w:rsid w:val="005A496F"/>
    <w:rsid w:val="005A4A56"/>
    <w:rsid w:val="005A4F3C"/>
    <w:rsid w:val="005A5259"/>
    <w:rsid w:val="005A5608"/>
    <w:rsid w:val="005A5A3D"/>
    <w:rsid w:val="005A6035"/>
    <w:rsid w:val="005A6B75"/>
    <w:rsid w:val="005A6E00"/>
    <w:rsid w:val="005A718A"/>
    <w:rsid w:val="005A72DD"/>
    <w:rsid w:val="005A7885"/>
    <w:rsid w:val="005B0293"/>
    <w:rsid w:val="005B077F"/>
    <w:rsid w:val="005B12B2"/>
    <w:rsid w:val="005B143B"/>
    <w:rsid w:val="005B19BD"/>
    <w:rsid w:val="005B1E45"/>
    <w:rsid w:val="005B21C4"/>
    <w:rsid w:val="005B2A28"/>
    <w:rsid w:val="005B35AB"/>
    <w:rsid w:val="005B3621"/>
    <w:rsid w:val="005B3C39"/>
    <w:rsid w:val="005B3EBE"/>
    <w:rsid w:val="005B4948"/>
    <w:rsid w:val="005B501D"/>
    <w:rsid w:val="005B54CC"/>
    <w:rsid w:val="005B6F69"/>
    <w:rsid w:val="005B71BB"/>
    <w:rsid w:val="005B74AD"/>
    <w:rsid w:val="005B7E96"/>
    <w:rsid w:val="005C0429"/>
    <w:rsid w:val="005C06A5"/>
    <w:rsid w:val="005C084F"/>
    <w:rsid w:val="005C0EE9"/>
    <w:rsid w:val="005C169F"/>
    <w:rsid w:val="005C16A8"/>
    <w:rsid w:val="005C1716"/>
    <w:rsid w:val="005C1954"/>
    <w:rsid w:val="005C1C0B"/>
    <w:rsid w:val="005C1D8B"/>
    <w:rsid w:val="005C2011"/>
    <w:rsid w:val="005C279F"/>
    <w:rsid w:val="005C3EA3"/>
    <w:rsid w:val="005C44DE"/>
    <w:rsid w:val="005C4D13"/>
    <w:rsid w:val="005C5011"/>
    <w:rsid w:val="005C5241"/>
    <w:rsid w:val="005C529E"/>
    <w:rsid w:val="005C57BA"/>
    <w:rsid w:val="005C5C52"/>
    <w:rsid w:val="005C5D3D"/>
    <w:rsid w:val="005C5DB6"/>
    <w:rsid w:val="005C5F05"/>
    <w:rsid w:val="005C6186"/>
    <w:rsid w:val="005C6CF7"/>
    <w:rsid w:val="005C6D19"/>
    <w:rsid w:val="005C7E45"/>
    <w:rsid w:val="005C7F3E"/>
    <w:rsid w:val="005D06D3"/>
    <w:rsid w:val="005D0C3B"/>
    <w:rsid w:val="005D103E"/>
    <w:rsid w:val="005D1051"/>
    <w:rsid w:val="005D1606"/>
    <w:rsid w:val="005D1D10"/>
    <w:rsid w:val="005D2044"/>
    <w:rsid w:val="005D209E"/>
    <w:rsid w:val="005D2917"/>
    <w:rsid w:val="005D2EB2"/>
    <w:rsid w:val="005D2F48"/>
    <w:rsid w:val="005D3902"/>
    <w:rsid w:val="005D3B32"/>
    <w:rsid w:val="005D464B"/>
    <w:rsid w:val="005D466F"/>
    <w:rsid w:val="005D49F0"/>
    <w:rsid w:val="005D51F7"/>
    <w:rsid w:val="005D51FA"/>
    <w:rsid w:val="005D53E8"/>
    <w:rsid w:val="005D5A9D"/>
    <w:rsid w:val="005D5D15"/>
    <w:rsid w:val="005D6573"/>
    <w:rsid w:val="005D6651"/>
    <w:rsid w:val="005D691D"/>
    <w:rsid w:val="005D6A72"/>
    <w:rsid w:val="005D6F38"/>
    <w:rsid w:val="005D791B"/>
    <w:rsid w:val="005D7CF2"/>
    <w:rsid w:val="005D7F92"/>
    <w:rsid w:val="005E062C"/>
    <w:rsid w:val="005E0D7B"/>
    <w:rsid w:val="005E1595"/>
    <w:rsid w:val="005E1F1D"/>
    <w:rsid w:val="005E273D"/>
    <w:rsid w:val="005E3278"/>
    <w:rsid w:val="005E363B"/>
    <w:rsid w:val="005E3736"/>
    <w:rsid w:val="005E3D4B"/>
    <w:rsid w:val="005E4B72"/>
    <w:rsid w:val="005E5022"/>
    <w:rsid w:val="005E52C9"/>
    <w:rsid w:val="005E781C"/>
    <w:rsid w:val="005F2856"/>
    <w:rsid w:val="005F2D8B"/>
    <w:rsid w:val="005F2E42"/>
    <w:rsid w:val="005F305B"/>
    <w:rsid w:val="005F3361"/>
    <w:rsid w:val="005F34DD"/>
    <w:rsid w:val="005F361A"/>
    <w:rsid w:val="005F3B47"/>
    <w:rsid w:val="005F4481"/>
    <w:rsid w:val="005F4596"/>
    <w:rsid w:val="005F47AC"/>
    <w:rsid w:val="005F49AF"/>
    <w:rsid w:val="005F4A58"/>
    <w:rsid w:val="005F54D1"/>
    <w:rsid w:val="005F54DF"/>
    <w:rsid w:val="005F5888"/>
    <w:rsid w:val="005F5984"/>
    <w:rsid w:val="005F5A9D"/>
    <w:rsid w:val="005F5EAB"/>
    <w:rsid w:val="005F6CE2"/>
    <w:rsid w:val="005F6EC8"/>
    <w:rsid w:val="005F6F24"/>
    <w:rsid w:val="005F72E9"/>
    <w:rsid w:val="005F780B"/>
    <w:rsid w:val="0060009C"/>
    <w:rsid w:val="00600473"/>
    <w:rsid w:val="00600AF5"/>
    <w:rsid w:val="0060139A"/>
    <w:rsid w:val="006013C9"/>
    <w:rsid w:val="00602931"/>
    <w:rsid w:val="00602B45"/>
    <w:rsid w:val="00603499"/>
    <w:rsid w:val="006035F5"/>
    <w:rsid w:val="00603CC2"/>
    <w:rsid w:val="006047D1"/>
    <w:rsid w:val="006048A4"/>
    <w:rsid w:val="00604A55"/>
    <w:rsid w:val="00604D4E"/>
    <w:rsid w:val="00604E3E"/>
    <w:rsid w:val="00605AC3"/>
    <w:rsid w:val="00606634"/>
    <w:rsid w:val="00606908"/>
    <w:rsid w:val="00607460"/>
    <w:rsid w:val="0060776B"/>
    <w:rsid w:val="00607996"/>
    <w:rsid w:val="00607A37"/>
    <w:rsid w:val="00607E9F"/>
    <w:rsid w:val="006102D8"/>
    <w:rsid w:val="00610407"/>
    <w:rsid w:val="0061085E"/>
    <w:rsid w:val="006112A7"/>
    <w:rsid w:val="00611398"/>
    <w:rsid w:val="006113B4"/>
    <w:rsid w:val="006115F7"/>
    <w:rsid w:val="0061163C"/>
    <w:rsid w:val="0061186D"/>
    <w:rsid w:val="00612322"/>
    <w:rsid w:val="006123C0"/>
    <w:rsid w:val="006129AB"/>
    <w:rsid w:val="00613191"/>
    <w:rsid w:val="006133F9"/>
    <w:rsid w:val="006134B3"/>
    <w:rsid w:val="00613746"/>
    <w:rsid w:val="00613DE1"/>
    <w:rsid w:val="0061401F"/>
    <w:rsid w:val="00614166"/>
    <w:rsid w:val="00614817"/>
    <w:rsid w:val="006149CC"/>
    <w:rsid w:val="006157A9"/>
    <w:rsid w:val="0061591D"/>
    <w:rsid w:val="00615ED0"/>
    <w:rsid w:val="0061604C"/>
    <w:rsid w:val="00616C2B"/>
    <w:rsid w:val="00616D7F"/>
    <w:rsid w:val="006178D1"/>
    <w:rsid w:val="00617D72"/>
    <w:rsid w:val="0062008E"/>
    <w:rsid w:val="00620719"/>
    <w:rsid w:val="006212C9"/>
    <w:rsid w:val="0062131B"/>
    <w:rsid w:val="00621D0C"/>
    <w:rsid w:val="00622185"/>
    <w:rsid w:val="00622229"/>
    <w:rsid w:val="00622470"/>
    <w:rsid w:val="00622725"/>
    <w:rsid w:val="00622785"/>
    <w:rsid w:val="00622B63"/>
    <w:rsid w:val="006231AA"/>
    <w:rsid w:val="00623482"/>
    <w:rsid w:val="00623AC2"/>
    <w:rsid w:val="00623EBC"/>
    <w:rsid w:val="0062475D"/>
    <w:rsid w:val="00625642"/>
    <w:rsid w:val="00625DF2"/>
    <w:rsid w:val="006266D7"/>
    <w:rsid w:val="00626A11"/>
    <w:rsid w:val="00626D42"/>
    <w:rsid w:val="00626EE3"/>
    <w:rsid w:val="006274AD"/>
    <w:rsid w:val="00627519"/>
    <w:rsid w:val="00627532"/>
    <w:rsid w:val="006302AA"/>
    <w:rsid w:val="00630C0F"/>
    <w:rsid w:val="006310C3"/>
    <w:rsid w:val="0063161E"/>
    <w:rsid w:val="00631BB5"/>
    <w:rsid w:val="00631DD0"/>
    <w:rsid w:val="00632A06"/>
    <w:rsid w:val="00633D6C"/>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A68"/>
    <w:rsid w:val="00637C26"/>
    <w:rsid w:val="00637F44"/>
    <w:rsid w:val="00641078"/>
    <w:rsid w:val="00641242"/>
    <w:rsid w:val="00641761"/>
    <w:rsid w:val="00642126"/>
    <w:rsid w:val="00642A32"/>
    <w:rsid w:val="00642B8E"/>
    <w:rsid w:val="00642F7C"/>
    <w:rsid w:val="006433D5"/>
    <w:rsid w:val="00643412"/>
    <w:rsid w:val="00645844"/>
    <w:rsid w:val="00645CEB"/>
    <w:rsid w:val="00645E63"/>
    <w:rsid w:val="006466F2"/>
    <w:rsid w:val="00646B20"/>
    <w:rsid w:val="00646D0F"/>
    <w:rsid w:val="00647A36"/>
    <w:rsid w:val="00647DCC"/>
    <w:rsid w:val="00647E8E"/>
    <w:rsid w:val="00647EFA"/>
    <w:rsid w:val="00647F14"/>
    <w:rsid w:val="00647FB1"/>
    <w:rsid w:val="00650027"/>
    <w:rsid w:val="0065040E"/>
    <w:rsid w:val="0065072D"/>
    <w:rsid w:val="00650E89"/>
    <w:rsid w:val="006516E6"/>
    <w:rsid w:val="00651B9C"/>
    <w:rsid w:val="00651C47"/>
    <w:rsid w:val="006525BD"/>
    <w:rsid w:val="00652E70"/>
    <w:rsid w:val="00652EFF"/>
    <w:rsid w:val="00652F4D"/>
    <w:rsid w:val="0065339A"/>
    <w:rsid w:val="00653469"/>
    <w:rsid w:val="0065443A"/>
    <w:rsid w:val="00654A38"/>
    <w:rsid w:val="00655301"/>
    <w:rsid w:val="00655371"/>
    <w:rsid w:val="00655507"/>
    <w:rsid w:val="00655652"/>
    <w:rsid w:val="006564A5"/>
    <w:rsid w:val="00656C4B"/>
    <w:rsid w:val="00656FA2"/>
    <w:rsid w:val="006572A7"/>
    <w:rsid w:val="006572DA"/>
    <w:rsid w:val="006573EA"/>
    <w:rsid w:val="006577C9"/>
    <w:rsid w:val="006606A4"/>
    <w:rsid w:val="00661029"/>
    <w:rsid w:val="006610C3"/>
    <w:rsid w:val="0066135A"/>
    <w:rsid w:val="00661A38"/>
    <w:rsid w:val="00661B46"/>
    <w:rsid w:val="0066272D"/>
    <w:rsid w:val="00662E58"/>
    <w:rsid w:val="00662F39"/>
    <w:rsid w:val="0066352A"/>
    <w:rsid w:val="006635A0"/>
    <w:rsid w:val="00663D26"/>
    <w:rsid w:val="00664351"/>
    <w:rsid w:val="00665968"/>
    <w:rsid w:val="00665BF7"/>
    <w:rsid w:val="00665E65"/>
    <w:rsid w:val="006660F0"/>
    <w:rsid w:val="00666178"/>
    <w:rsid w:val="0066639E"/>
    <w:rsid w:val="00666473"/>
    <w:rsid w:val="006664D1"/>
    <w:rsid w:val="006665B0"/>
    <w:rsid w:val="00666B49"/>
    <w:rsid w:val="00666C72"/>
    <w:rsid w:val="00666E6C"/>
    <w:rsid w:val="0066707F"/>
    <w:rsid w:val="00667ED8"/>
    <w:rsid w:val="0067064C"/>
    <w:rsid w:val="00670B20"/>
    <w:rsid w:val="00670E12"/>
    <w:rsid w:val="00670F27"/>
    <w:rsid w:val="00672345"/>
    <w:rsid w:val="00672E80"/>
    <w:rsid w:val="0067333F"/>
    <w:rsid w:val="006739E4"/>
    <w:rsid w:val="00673ECF"/>
    <w:rsid w:val="0067426B"/>
    <w:rsid w:val="00674A1B"/>
    <w:rsid w:val="00674D08"/>
    <w:rsid w:val="00674F1C"/>
    <w:rsid w:val="006754F8"/>
    <w:rsid w:val="00676127"/>
    <w:rsid w:val="00676AED"/>
    <w:rsid w:val="00677212"/>
    <w:rsid w:val="006776D3"/>
    <w:rsid w:val="00677F26"/>
    <w:rsid w:val="006800EE"/>
    <w:rsid w:val="006802A7"/>
    <w:rsid w:val="00680A86"/>
    <w:rsid w:val="00680FEA"/>
    <w:rsid w:val="006811C9"/>
    <w:rsid w:val="006812CE"/>
    <w:rsid w:val="006817D5"/>
    <w:rsid w:val="0068180C"/>
    <w:rsid w:val="006823DA"/>
    <w:rsid w:val="006826C1"/>
    <w:rsid w:val="00682C89"/>
    <w:rsid w:val="006832B8"/>
    <w:rsid w:val="00683329"/>
    <w:rsid w:val="006837B2"/>
    <w:rsid w:val="00683800"/>
    <w:rsid w:val="00684462"/>
    <w:rsid w:val="00684C0D"/>
    <w:rsid w:val="00684C8A"/>
    <w:rsid w:val="00684CF5"/>
    <w:rsid w:val="0068553E"/>
    <w:rsid w:val="00685D37"/>
    <w:rsid w:val="00685E7B"/>
    <w:rsid w:val="00686551"/>
    <w:rsid w:val="00686BB9"/>
    <w:rsid w:val="00686CAB"/>
    <w:rsid w:val="00686E5A"/>
    <w:rsid w:val="0068717F"/>
    <w:rsid w:val="0068730C"/>
    <w:rsid w:val="00687504"/>
    <w:rsid w:val="00687A14"/>
    <w:rsid w:val="00687A8C"/>
    <w:rsid w:val="00690839"/>
    <w:rsid w:val="006908DB"/>
    <w:rsid w:val="00690DE9"/>
    <w:rsid w:val="00691563"/>
    <w:rsid w:val="00691A1A"/>
    <w:rsid w:val="00691DE9"/>
    <w:rsid w:val="00691EAA"/>
    <w:rsid w:val="00692245"/>
    <w:rsid w:val="00692641"/>
    <w:rsid w:val="00692745"/>
    <w:rsid w:val="00692FFA"/>
    <w:rsid w:val="00693772"/>
    <w:rsid w:val="00693984"/>
    <w:rsid w:val="00693B77"/>
    <w:rsid w:val="00694160"/>
    <w:rsid w:val="00694E8B"/>
    <w:rsid w:val="006959A5"/>
    <w:rsid w:val="00695C0C"/>
    <w:rsid w:val="00696736"/>
    <w:rsid w:val="00696A05"/>
    <w:rsid w:val="00696A55"/>
    <w:rsid w:val="00697010"/>
    <w:rsid w:val="00697665"/>
    <w:rsid w:val="00697C25"/>
    <w:rsid w:val="00697C9A"/>
    <w:rsid w:val="00697E68"/>
    <w:rsid w:val="00697FC1"/>
    <w:rsid w:val="006A0274"/>
    <w:rsid w:val="006A27BC"/>
    <w:rsid w:val="006A2A43"/>
    <w:rsid w:val="006A2BF1"/>
    <w:rsid w:val="006A2F9A"/>
    <w:rsid w:val="006A34E4"/>
    <w:rsid w:val="006A35AC"/>
    <w:rsid w:val="006A3A5A"/>
    <w:rsid w:val="006A44CF"/>
    <w:rsid w:val="006A457D"/>
    <w:rsid w:val="006A4B5A"/>
    <w:rsid w:val="006A4C06"/>
    <w:rsid w:val="006A55EE"/>
    <w:rsid w:val="006A575B"/>
    <w:rsid w:val="006A59DE"/>
    <w:rsid w:val="006A64C6"/>
    <w:rsid w:val="006A6655"/>
    <w:rsid w:val="006A6BF9"/>
    <w:rsid w:val="006A7AB8"/>
    <w:rsid w:val="006A7CB5"/>
    <w:rsid w:val="006A7FD0"/>
    <w:rsid w:val="006B025C"/>
    <w:rsid w:val="006B04DB"/>
    <w:rsid w:val="006B08ED"/>
    <w:rsid w:val="006B2170"/>
    <w:rsid w:val="006B2534"/>
    <w:rsid w:val="006B2CB2"/>
    <w:rsid w:val="006B347D"/>
    <w:rsid w:val="006B3E19"/>
    <w:rsid w:val="006B4488"/>
    <w:rsid w:val="006B4D5D"/>
    <w:rsid w:val="006B50C4"/>
    <w:rsid w:val="006B53AE"/>
    <w:rsid w:val="006B58B4"/>
    <w:rsid w:val="006B5D71"/>
    <w:rsid w:val="006B67AC"/>
    <w:rsid w:val="006B6F2B"/>
    <w:rsid w:val="006B786A"/>
    <w:rsid w:val="006B7E4E"/>
    <w:rsid w:val="006C003A"/>
    <w:rsid w:val="006C107C"/>
    <w:rsid w:val="006C189C"/>
    <w:rsid w:val="006C2454"/>
    <w:rsid w:val="006C2551"/>
    <w:rsid w:val="006C27B9"/>
    <w:rsid w:val="006C37CA"/>
    <w:rsid w:val="006C39AE"/>
    <w:rsid w:val="006C40D2"/>
    <w:rsid w:val="006C441D"/>
    <w:rsid w:val="006C4B85"/>
    <w:rsid w:val="006C4BBD"/>
    <w:rsid w:val="006C551E"/>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3097"/>
    <w:rsid w:val="006D32C6"/>
    <w:rsid w:val="006D360E"/>
    <w:rsid w:val="006D3697"/>
    <w:rsid w:val="006D39D2"/>
    <w:rsid w:val="006D3A94"/>
    <w:rsid w:val="006D3F2A"/>
    <w:rsid w:val="006D4370"/>
    <w:rsid w:val="006D46A3"/>
    <w:rsid w:val="006D4A81"/>
    <w:rsid w:val="006D5DCB"/>
    <w:rsid w:val="006D62E0"/>
    <w:rsid w:val="006D6575"/>
    <w:rsid w:val="006D658F"/>
    <w:rsid w:val="006D66B2"/>
    <w:rsid w:val="006D6A12"/>
    <w:rsid w:val="006D712D"/>
    <w:rsid w:val="006D7687"/>
    <w:rsid w:val="006D7D1F"/>
    <w:rsid w:val="006D7D8A"/>
    <w:rsid w:val="006E046C"/>
    <w:rsid w:val="006E0572"/>
    <w:rsid w:val="006E05D8"/>
    <w:rsid w:val="006E08EE"/>
    <w:rsid w:val="006E0F32"/>
    <w:rsid w:val="006E155A"/>
    <w:rsid w:val="006E2892"/>
    <w:rsid w:val="006E2C34"/>
    <w:rsid w:val="006E359B"/>
    <w:rsid w:val="006E3687"/>
    <w:rsid w:val="006E39D1"/>
    <w:rsid w:val="006E3B05"/>
    <w:rsid w:val="006E437F"/>
    <w:rsid w:val="006E4D5B"/>
    <w:rsid w:val="006E602F"/>
    <w:rsid w:val="006E6720"/>
    <w:rsid w:val="006E7275"/>
    <w:rsid w:val="006E77B8"/>
    <w:rsid w:val="006E7AAF"/>
    <w:rsid w:val="006F0838"/>
    <w:rsid w:val="006F0F74"/>
    <w:rsid w:val="006F13BA"/>
    <w:rsid w:val="006F15CC"/>
    <w:rsid w:val="006F15F6"/>
    <w:rsid w:val="006F1716"/>
    <w:rsid w:val="006F36EA"/>
    <w:rsid w:val="006F4147"/>
    <w:rsid w:val="006F4315"/>
    <w:rsid w:val="006F4CB0"/>
    <w:rsid w:val="006F4F78"/>
    <w:rsid w:val="006F547E"/>
    <w:rsid w:val="006F5CCF"/>
    <w:rsid w:val="006F6F04"/>
    <w:rsid w:val="006F71F5"/>
    <w:rsid w:val="006F72A8"/>
    <w:rsid w:val="006F79BB"/>
    <w:rsid w:val="007000A6"/>
    <w:rsid w:val="00700610"/>
    <w:rsid w:val="00700AD7"/>
    <w:rsid w:val="0070138A"/>
    <w:rsid w:val="0070157E"/>
    <w:rsid w:val="007030D4"/>
    <w:rsid w:val="00703279"/>
    <w:rsid w:val="00703B61"/>
    <w:rsid w:val="00703E11"/>
    <w:rsid w:val="00704102"/>
    <w:rsid w:val="0070437C"/>
    <w:rsid w:val="0070461C"/>
    <w:rsid w:val="00704F37"/>
    <w:rsid w:val="00705631"/>
    <w:rsid w:val="00705818"/>
    <w:rsid w:val="00705F62"/>
    <w:rsid w:val="00706321"/>
    <w:rsid w:val="00706813"/>
    <w:rsid w:val="0070773F"/>
    <w:rsid w:val="00707A2E"/>
    <w:rsid w:val="00707ED3"/>
    <w:rsid w:val="007101B7"/>
    <w:rsid w:val="00710668"/>
    <w:rsid w:val="00711019"/>
    <w:rsid w:val="007110F4"/>
    <w:rsid w:val="007112B1"/>
    <w:rsid w:val="0071130F"/>
    <w:rsid w:val="007118D2"/>
    <w:rsid w:val="00712714"/>
    <w:rsid w:val="007129AB"/>
    <w:rsid w:val="00712B63"/>
    <w:rsid w:val="00712E5F"/>
    <w:rsid w:val="00713526"/>
    <w:rsid w:val="00713FC5"/>
    <w:rsid w:val="00714DCA"/>
    <w:rsid w:val="007150F3"/>
    <w:rsid w:val="00715BBF"/>
    <w:rsid w:val="00715C29"/>
    <w:rsid w:val="00715CBD"/>
    <w:rsid w:val="00715EAA"/>
    <w:rsid w:val="00716119"/>
    <w:rsid w:val="00716630"/>
    <w:rsid w:val="00716BB0"/>
    <w:rsid w:val="00716CAD"/>
    <w:rsid w:val="00716CD3"/>
    <w:rsid w:val="00716F18"/>
    <w:rsid w:val="00717363"/>
    <w:rsid w:val="0071765C"/>
    <w:rsid w:val="00717786"/>
    <w:rsid w:val="00717ACB"/>
    <w:rsid w:val="0072138B"/>
    <w:rsid w:val="00721BFF"/>
    <w:rsid w:val="007227B6"/>
    <w:rsid w:val="007232EE"/>
    <w:rsid w:val="00723475"/>
    <w:rsid w:val="0072359F"/>
    <w:rsid w:val="007236C4"/>
    <w:rsid w:val="00724635"/>
    <w:rsid w:val="00724F21"/>
    <w:rsid w:val="00725134"/>
    <w:rsid w:val="0072554B"/>
    <w:rsid w:val="0072571F"/>
    <w:rsid w:val="00725AFD"/>
    <w:rsid w:val="00726603"/>
    <w:rsid w:val="007266AC"/>
    <w:rsid w:val="00727799"/>
    <w:rsid w:val="00727B1D"/>
    <w:rsid w:val="00727DDC"/>
    <w:rsid w:val="00730CD6"/>
    <w:rsid w:val="00730F74"/>
    <w:rsid w:val="0073114B"/>
    <w:rsid w:val="00731CAA"/>
    <w:rsid w:val="00732151"/>
    <w:rsid w:val="00732EBC"/>
    <w:rsid w:val="00734952"/>
    <w:rsid w:val="00734987"/>
    <w:rsid w:val="00734990"/>
    <w:rsid w:val="00734FF5"/>
    <w:rsid w:val="00735883"/>
    <w:rsid w:val="00735B78"/>
    <w:rsid w:val="00735DA7"/>
    <w:rsid w:val="00736700"/>
    <w:rsid w:val="007368B4"/>
    <w:rsid w:val="007378E0"/>
    <w:rsid w:val="00737A4D"/>
    <w:rsid w:val="0074040E"/>
    <w:rsid w:val="00740529"/>
    <w:rsid w:val="00740876"/>
    <w:rsid w:val="00741358"/>
    <w:rsid w:val="007414B3"/>
    <w:rsid w:val="00741562"/>
    <w:rsid w:val="00741626"/>
    <w:rsid w:val="00742332"/>
    <w:rsid w:val="00742886"/>
    <w:rsid w:val="00742A3A"/>
    <w:rsid w:val="00742DD2"/>
    <w:rsid w:val="007437C6"/>
    <w:rsid w:val="007441A2"/>
    <w:rsid w:val="00744E80"/>
    <w:rsid w:val="00745035"/>
    <w:rsid w:val="0074531C"/>
    <w:rsid w:val="00745547"/>
    <w:rsid w:val="007459D0"/>
    <w:rsid w:val="0074623A"/>
    <w:rsid w:val="00746420"/>
    <w:rsid w:val="00746499"/>
    <w:rsid w:val="007465DD"/>
    <w:rsid w:val="00746618"/>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6DB"/>
    <w:rsid w:val="007529DB"/>
    <w:rsid w:val="007534AD"/>
    <w:rsid w:val="00753BAC"/>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28"/>
    <w:rsid w:val="007616DB"/>
    <w:rsid w:val="00761AB7"/>
    <w:rsid w:val="00761CE6"/>
    <w:rsid w:val="0076228A"/>
    <w:rsid w:val="00762440"/>
    <w:rsid w:val="00762499"/>
    <w:rsid w:val="0076275B"/>
    <w:rsid w:val="007629B7"/>
    <w:rsid w:val="00762E60"/>
    <w:rsid w:val="00762F54"/>
    <w:rsid w:val="007634AD"/>
    <w:rsid w:val="0076445F"/>
    <w:rsid w:val="00764EC5"/>
    <w:rsid w:val="007651EF"/>
    <w:rsid w:val="007668B9"/>
    <w:rsid w:val="00766D49"/>
    <w:rsid w:val="00766ECC"/>
    <w:rsid w:val="007672F3"/>
    <w:rsid w:val="007677B5"/>
    <w:rsid w:val="007678B1"/>
    <w:rsid w:val="007708A8"/>
    <w:rsid w:val="007711A1"/>
    <w:rsid w:val="00772100"/>
    <w:rsid w:val="00772275"/>
    <w:rsid w:val="0077279E"/>
    <w:rsid w:val="00772C9A"/>
    <w:rsid w:val="007734E4"/>
    <w:rsid w:val="0077380D"/>
    <w:rsid w:val="00773BC8"/>
    <w:rsid w:val="007742CB"/>
    <w:rsid w:val="00774549"/>
    <w:rsid w:val="007745F6"/>
    <w:rsid w:val="0077466F"/>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D19"/>
    <w:rsid w:val="00780F32"/>
    <w:rsid w:val="00781049"/>
    <w:rsid w:val="0078122E"/>
    <w:rsid w:val="00781939"/>
    <w:rsid w:val="00781D29"/>
    <w:rsid w:val="007825EF"/>
    <w:rsid w:val="0078286B"/>
    <w:rsid w:val="00782D2C"/>
    <w:rsid w:val="00782FC2"/>
    <w:rsid w:val="0078347A"/>
    <w:rsid w:val="0078410A"/>
    <w:rsid w:val="007843B3"/>
    <w:rsid w:val="00784938"/>
    <w:rsid w:val="00784FC4"/>
    <w:rsid w:val="00785815"/>
    <w:rsid w:val="00785BBB"/>
    <w:rsid w:val="00786489"/>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D0"/>
    <w:rsid w:val="00792765"/>
    <w:rsid w:val="007930D3"/>
    <w:rsid w:val="0079381F"/>
    <w:rsid w:val="00793A57"/>
    <w:rsid w:val="00793B2E"/>
    <w:rsid w:val="007948F5"/>
    <w:rsid w:val="00795647"/>
    <w:rsid w:val="007963F6"/>
    <w:rsid w:val="00796DC8"/>
    <w:rsid w:val="00796E80"/>
    <w:rsid w:val="0079744F"/>
    <w:rsid w:val="0079776F"/>
    <w:rsid w:val="007978B8"/>
    <w:rsid w:val="007979AD"/>
    <w:rsid w:val="00797A9C"/>
    <w:rsid w:val="007A0502"/>
    <w:rsid w:val="007A0EAB"/>
    <w:rsid w:val="007A2341"/>
    <w:rsid w:val="007A2754"/>
    <w:rsid w:val="007A293F"/>
    <w:rsid w:val="007A38A1"/>
    <w:rsid w:val="007A3BBE"/>
    <w:rsid w:val="007A4766"/>
    <w:rsid w:val="007A5947"/>
    <w:rsid w:val="007A603C"/>
    <w:rsid w:val="007A717B"/>
    <w:rsid w:val="007A7714"/>
    <w:rsid w:val="007B0302"/>
    <w:rsid w:val="007B0313"/>
    <w:rsid w:val="007B0854"/>
    <w:rsid w:val="007B0E48"/>
    <w:rsid w:val="007B19DE"/>
    <w:rsid w:val="007B1D1B"/>
    <w:rsid w:val="007B1DCD"/>
    <w:rsid w:val="007B1F16"/>
    <w:rsid w:val="007B209C"/>
    <w:rsid w:val="007B21AA"/>
    <w:rsid w:val="007B2504"/>
    <w:rsid w:val="007B2549"/>
    <w:rsid w:val="007B2C2E"/>
    <w:rsid w:val="007B2ECA"/>
    <w:rsid w:val="007B303E"/>
    <w:rsid w:val="007B32C0"/>
    <w:rsid w:val="007B32F7"/>
    <w:rsid w:val="007B3659"/>
    <w:rsid w:val="007B38B5"/>
    <w:rsid w:val="007B3B3B"/>
    <w:rsid w:val="007B3BF3"/>
    <w:rsid w:val="007B431B"/>
    <w:rsid w:val="007B4558"/>
    <w:rsid w:val="007B4632"/>
    <w:rsid w:val="007B46A2"/>
    <w:rsid w:val="007B4828"/>
    <w:rsid w:val="007B4B2D"/>
    <w:rsid w:val="007B4D4A"/>
    <w:rsid w:val="007B5428"/>
    <w:rsid w:val="007B5462"/>
    <w:rsid w:val="007B59B7"/>
    <w:rsid w:val="007B6C64"/>
    <w:rsid w:val="007B6D4A"/>
    <w:rsid w:val="007B6EC8"/>
    <w:rsid w:val="007B6F81"/>
    <w:rsid w:val="007B7EA2"/>
    <w:rsid w:val="007C097D"/>
    <w:rsid w:val="007C0AF2"/>
    <w:rsid w:val="007C1672"/>
    <w:rsid w:val="007C17AE"/>
    <w:rsid w:val="007C1C8E"/>
    <w:rsid w:val="007C1CFF"/>
    <w:rsid w:val="007C24EE"/>
    <w:rsid w:val="007C312A"/>
    <w:rsid w:val="007C3538"/>
    <w:rsid w:val="007C3570"/>
    <w:rsid w:val="007C3F3B"/>
    <w:rsid w:val="007C4097"/>
    <w:rsid w:val="007C4241"/>
    <w:rsid w:val="007C425E"/>
    <w:rsid w:val="007C55FF"/>
    <w:rsid w:val="007C6339"/>
    <w:rsid w:val="007C67F4"/>
    <w:rsid w:val="007C753F"/>
    <w:rsid w:val="007C796C"/>
    <w:rsid w:val="007C7C43"/>
    <w:rsid w:val="007C7E15"/>
    <w:rsid w:val="007C7F0D"/>
    <w:rsid w:val="007D06E3"/>
    <w:rsid w:val="007D09E4"/>
    <w:rsid w:val="007D1134"/>
    <w:rsid w:val="007D231B"/>
    <w:rsid w:val="007D23F7"/>
    <w:rsid w:val="007D248B"/>
    <w:rsid w:val="007D2566"/>
    <w:rsid w:val="007D2A8A"/>
    <w:rsid w:val="007D2C18"/>
    <w:rsid w:val="007D2D74"/>
    <w:rsid w:val="007D3693"/>
    <w:rsid w:val="007D3C6D"/>
    <w:rsid w:val="007D481A"/>
    <w:rsid w:val="007D4B96"/>
    <w:rsid w:val="007D4ED0"/>
    <w:rsid w:val="007D5648"/>
    <w:rsid w:val="007D58C5"/>
    <w:rsid w:val="007D5DE8"/>
    <w:rsid w:val="007D7CFC"/>
    <w:rsid w:val="007E0812"/>
    <w:rsid w:val="007E0825"/>
    <w:rsid w:val="007E18DF"/>
    <w:rsid w:val="007E1AE5"/>
    <w:rsid w:val="007E214A"/>
    <w:rsid w:val="007E238D"/>
    <w:rsid w:val="007E2C36"/>
    <w:rsid w:val="007E350D"/>
    <w:rsid w:val="007E3ACA"/>
    <w:rsid w:val="007E3F27"/>
    <w:rsid w:val="007E3F4A"/>
    <w:rsid w:val="007E4F0D"/>
    <w:rsid w:val="007E564D"/>
    <w:rsid w:val="007E5C4A"/>
    <w:rsid w:val="007E6135"/>
    <w:rsid w:val="007E64D4"/>
    <w:rsid w:val="007E66E9"/>
    <w:rsid w:val="007E69F2"/>
    <w:rsid w:val="007E73FB"/>
    <w:rsid w:val="007E7432"/>
    <w:rsid w:val="007E74BF"/>
    <w:rsid w:val="007E7657"/>
    <w:rsid w:val="007E7D2E"/>
    <w:rsid w:val="007F14D3"/>
    <w:rsid w:val="007F172C"/>
    <w:rsid w:val="007F1814"/>
    <w:rsid w:val="007F1D9D"/>
    <w:rsid w:val="007F1E28"/>
    <w:rsid w:val="007F1F63"/>
    <w:rsid w:val="007F22A0"/>
    <w:rsid w:val="007F2902"/>
    <w:rsid w:val="007F2903"/>
    <w:rsid w:val="007F2BEC"/>
    <w:rsid w:val="007F2F90"/>
    <w:rsid w:val="007F3056"/>
    <w:rsid w:val="007F3320"/>
    <w:rsid w:val="007F3AC1"/>
    <w:rsid w:val="007F4976"/>
    <w:rsid w:val="007F4B40"/>
    <w:rsid w:val="007F4C94"/>
    <w:rsid w:val="007F5A56"/>
    <w:rsid w:val="007F5D42"/>
    <w:rsid w:val="007F616E"/>
    <w:rsid w:val="007F6B46"/>
    <w:rsid w:val="007F72CB"/>
    <w:rsid w:val="007F736A"/>
    <w:rsid w:val="007F7635"/>
    <w:rsid w:val="007F785F"/>
    <w:rsid w:val="007F7961"/>
    <w:rsid w:val="007F7AF6"/>
    <w:rsid w:val="007F7E36"/>
    <w:rsid w:val="00800E6D"/>
    <w:rsid w:val="008014D9"/>
    <w:rsid w:val="0080150F"/>
    <w:rsid w:val="0080153A"/>
    <w:rsid w:val="00801577"/>
    <w:rsid w:val="00801A2A"/>
    <w:rsid w:val="00802041"/>
    <w:rsid w:val="008022C9"/>
    <w:rsid w:val="00802605"/>
    <w:rsid w:val="00802F9E"/>
    <w:rsid w:val="00803700"/>
    <w:rsid w:val="00803A7B"/>
    <w:rsid w:val="00803D9D"/>
    <w:rsid w:val="0080548A"/>
    <w:rsid w:val="008059C6"/>
    <w:rsid w:val="00805AD7"/>
    <w:rsid w:val="00805BD6"/>
    <w:rsid w:val="00805C3B"/>
    <w:rsid w:val="00805DE3"/>
    <w:rsid w:val="00807C35"/>
    <w:rsid w:val="00807F35"/>
    <w:rsid w:val="00807F69"/>
    <w:rsid w:val="008100F7"/>
    <w:rsid w:val="00810206"/>
    <w:rsid w:val="0081022B"/>
    <w:rsid w:val="00810A15"/>
    <w:rsid w:val="0081154C"/>
    <w:rsid w:val="00811898"/>
    <w:rsid w:val="00811CDC"/>
    <w:rsid w:val="008124D8"/>
    <w:rsid w:val="0081338F"/>
    <w:rsid w:val="00813A7B"/>
    <w:rsid w:val="00813F04"/>
    <w:rsid w:val="00814AC5"/>
    <w:rsid w:val="0081513E"/>
    <w:rsid w:val="00815DA5"/>
    <w:rsid w:val="00816221"/>
    <w:rsid w:val="00816515"/>
    <w:rsid w:val="008174F3"/>
    <w:rsid w:val="0081766B"/>
    <w:rsid w:val="008201DE"/>
    <w:rsid w:val="008205AC"/>
    <w:rsid w:val="00820705"/>
    <w:rsid w:val="00820710"/>
    <w:rsid w:val="00820CBF"/>
    <w:rsid w:val="00820FA8"/>
    <w:rsid w:val="008212FD"/>
    <w:rsid w:val="00821489"/>
    <w:rsid w:val="0082168D"/>
    <w:rsid w:val="008217B7"/>
    <w:rsid w:val="0082239B"/>
    <w:rsid w:val="0082240B"/>
    <w:rsid w:val="0082292E"/>
    <w:rsid w:val="00822D06"/>
    <w:rsid w:val="00822EC4"/>
    <w:rsid w:val="0082348D"/>
    <w:rsid w:val="008236BE"/>
    <w:rsid w:val="00824183"/>
    <w:rsid w:val="008241CE"/>
    <w:rsid w:val="00825240"/>
    <w:rsid w:val="00825B43"/>
    <w:rsid w:val="00826870"/>
    <w:rsid w:val="00826F71"/>
    <w:rsid w:val="00827CC0"/>
    <w:rsid w:val="008306AB"/>
    <w:rsid w:val="00831026"/>
    <w:rsid w:val="0083119B"/>
    <w:rsid w:val="00831BAE"/>
    <w:rsid w:val="00832216"/>
    <w:rsid w:val="00832513"/>
    <w:rsid w:val="00832CD0"/>
    <w:rsid w:val="00833430"/>
    <w:rsid w:val="00833ADA"/>
    <w:rsid w:val="00834128"/>
    <w:rsid w:val="0083417F"/>
    <w:rsid w:val="00835143"/>
    <w:rsid w:val="0083569B"/>
    <w:rsid w:val="00835741"/>
    <w:rsid w:val="008369E8"/>
    <w:rsid w:val="00836A50"/>
    <w:rsid w:val="00836E74"/>
    <w:rsid w:val="00836EAB"/>
    <w:rsid w:val="00837210"/>
    <w:rsid w:val="00837673"/>
    <w:rsid w:val="00837937"/>
    <w:rsid w:val="00837D82"/>
    <w:rsid w:val="00840893"/>
    <w:rsid w:val="00840E88"/>
    <w:rsid w:val="00840ECC"/>
    <w:rsid w:val="008410B1"/>
    <w:rsid w:val="008423EC"/>
    <w:rsid w:val="008429A6"/>
    <w:rsid w:val="00843615"/>
    <w:rsid w:val="00843698"/>
    <w:rsid w:val="00843A4B"/>
    <w:rsid w:val="00843B57"/>
    <w:rsid w:val="00843B60"/>
    <w:rsid w:val="00843D33"/>
    <w:rsid w:val="008444F0"/>
    <w:rsid w:val="00844D4F"/>
    <w:rsid w:val="00844F38"/>
    <w:rsid w:val="00845523"/>
    <w:rsid w:val="00845AE3"/>
    <w:rsid w:val="008466A0"/>
    <w:rsid w:val="00847535"/>
    <w:rsid w:val="00847B6D"/>
    <w:rsid w:val="0085092D"/>
    <w:rsid w:val="008509A5"/>
    <w:rsid w:val="00850B75"/>
    <w:rsid w:val="00850C79"/>
    <w:rsid w:val="00850D82"/>
    <w:rsid w:val="00850F79"/>
    <w:rsid w:val="0085100B"/>
    <w:rsid w:val="008510A1"/>
    <w:rsid w:val="00851636"/>
    <w:rsid w:val="0085192D"/>
    <w:rsid w:val="0085304C"/>
    <w:rsid w:val="008536BB"/>
    <w:rsid w:val="00853A3C"/>
    <w:rsid w:val="008548CA"/>
    <w:rsid w:val="008563B0"/>
    <w:rsid w:val="00856C06"/>
    <w:rsid w:val="0085747B"/>
    <w:rsid w:val="0085790B"/>
    <w:rsid w:val="008579B9"/>
    <w:rsid w:val="00857C95"/>
    <w:rsid w:val="00857E78"/>
    <w:rsid w:val="00860AEF"/>
    <w:rsid w:val="00860B18"/>
    <w:rsid w:val="00860D5E"/>
    <w:rsid w:val="0086122C"/>
    <w:rsid w:val="00861310"/>
    <w:rsid w:val="00861530"/>
    <w:rsid w:val="00861C4D"/>
    <w:rsid w:val="00861F53"/>
    <w:rsid w:val="008625EC"/>
    <w:rsid w:val="0086289E"/>
    <w:rsid w:val="008629CB"/>
    <w:rsid w:val="0086328E"/>
    <w:rsid w:val="0086394E"/>
    <w:rsid w:val="00863F8A"/>
    <w:rsid w:val="00863FE3"/>
    <w:rsid w:val="008640C4"/>
    <w:rsid w:val="00864241"/>
    <w:rsid w:val="008645AA"/>
    <w:rsid w:val="0086468A"/>
    <w:rsid w:val="00865059"/>
    <w:rsid w:val="008650BE"/>
    <w:rsid w:val="00865AF2"/>
    <w:rsid w:val="00865EAF"/>
    <w:rsid w:val="0086633B"/>
    <w:rsid w:val="00866495"/>
    <w:rsid w:val="00866881"/>
    <w:rsid w:val="00866931"/>
    <w:rsid w:val="00866DAE"/>
    <w:rsid w:val="00867512"/>
    <w:rsid w:val="008678A3"/>
    <w:rsid w:val="00867C13"/>
    <w:rsid w:val="00867C1D"/>
    <w:rsid w:val="0087033C"/>
    <w:rsid w:val="008715ED"/>
    <w:rsid w:val="008717D8"/>
    <w:rsid w:val="00871E3C"/>
    <w:rsid w:val="00872F97"/>
    <w:rsid w:val="00874607"/>
    <w:rsid w:val="008747E9"/>
    <w:rsid w:val="00874915"/>
    <w:rsid w:val="00874B89"/>
    <w:rsid w:val="00874B90"/>
    <w:rsid w:val="00874F0A"/>
    <w:rsid w:val="00875403"/>
    <w:rsid w:val="00875434"/>
    <w:rsid w:val="00875C1F"/>
    <w:rsid w:val="00876215"/>
    <w:rsid w:val="0087646C"/>
    <w:rsid w:val="00876815"/>
    <w:rsid w:val="00877932"/>
    <w:rsid w:val="00877E66"/>
    <w:rsid w:val="008808C7"/>
    <w:rsid w:val="0088099E"/>
    <w:rsid w:val="0088106B"/>
    <w:rsid w:val="0088107D"/>
    <w:rsid w:val="0088187A"/>
    <w:rsid w:val="00881E64"/>
    <w:rsid w:val="00882E39"/>
    <w:rsid w:val="00883559"/>
    <w:rsid w:val="008850EB"/>
    <w:rsid w:val="00885228"/>
    <w:rsid w:val="008857E3"/>
    <w:rsid w:val="00885AEB"/>
    <w:rsid w:val="008861E3"/>
    <w:rsid w:val="00886DF2"/>
    <w:rsid w:val="00886FB9"/>
    <w:rsid w:val="00887057"/>
    <w:rsid w:val="00887080"/>
    <w:rsid w:val="00887C79"/>
    <w:rsid w:val="008908DC"/>
    <w:rsid w:val="0089107B"/>
    <w:rsid w:val="008913CC"/>
    <w:rsid w:val="008914AE"/>
    <w:rsid w:val="008919CF"/>
    <w:rsid w:val="00891F84"/>
    <w:rsid w:val="00891FC3"/>
    <w:rsid w:val="008928EC"/>
    <w:rsid w:val="00892A15"/>
    <w:rsid w:val="00892E5D"/>
    <w:rsid w:val="008935CF"/>
    <w:rsid w:val="0089436B"/>
    <w:rsid w:val="00894436"/>
    <w:rsid w:val="00894A7C"/>
    <w:rsid w:val="00894AE1"/>
    <w:rsid w:val="00894BB1"/>
    <w:rsid w:val="008951D0"/>
    <w:rsid w:val="00895442"/>
    <w:rsid w:val="0089582D"/>
    <w:rsid w:val="008959C6"/>
    <w:rsid w:val="00895E48"/>
    <w:rsid w:val="0089606D"/>
    <w:rsid w:val="00896129"/>
    <w:rsid w:val="00896316"/>
    <w:rsid w:val="0089713C"/>
    <w:rsid w:val="0089774F"/>
    <w:rsid w:val="00897875"/>
    <w:rsid w:val="00897B8F"/>
    <w:rsid w:val="00897F59"/>
    <w:rsid w:val="008A00D9"/>
    <w:rsid w:val="008A07D5"/>
    <w:rsid w:val="008A1C96"/>
    <w:rsid w:val="008A1FB7"/>
    <w:rsid w:val="008A21E8"/>
    <w:rsid w:val="008A229A"/>
    <w:rsid w:val="008A2A23"/>
    <w:rsid w:val="008A2AF5"/>
    <w:rsid w:val="008A2B5A"/>
    <w:rsid w:val="008A38DE"/>
    <w:rsid w:val="008A3A70"/>
    <w:rsid w:val="008A3F9D"/>
    <w:rsid w:val="008A41F8"/>
    <w:rsid w:val="008A5474"/>
    <w:rsid w:val="008A58BB"/>
    <w:rsid w:val="008A5C9A"/>
    <w:rsid w:val="008A6005"/>
    <w:rsid w:val="008A614F"/>
    <w:rsid w:val="008A65AE"/>
    <w:rsid w:val="008A6A55"/>
    <w:rsid w:val="008A6DF0"/>
    <w:rsid w:val="008A6F6E"/>
    <w:rsid w:val="008A7888"/>
    <w:rsid w:val="008A796E"/>
    <w:rsid w:val="008B0862"/>
    <w:rsid w:val="008B088C"/>
    <w:rsid w:val="008B0B64"/>
    <w:rsid w:val="008B1BF5"/>
    <w:rsid w:val="008B263F"/>
    <w:rsid w:val="008B3045"/>
    <w:rsid w:val="008B3E9E"/>
    <w:rsid w:val="008B47A6"/>
    <w:rsid w:val="008B5C7C"/>
    <w:rsid w:val="008B5E27"/>
    <w:rsid w:val="008B63FE"/>
    <w:rsid w:val="008B672C"/>
    <w:rsid w:val="008B7108"/>
    <w:rsid w:val="008B7AA6"/>
    <w:rsid w:val="008C065F"/>
    <w:rsid w:val="008C0743"/>
    <w:rsid w:val="008C0B4C"/>
    <w:rsid w:val="008C11D9"/>
    <w:rsid w:val="008C11F0"/>
    <w:rsid w:val="008C1918"/>
    <w:rsid w:val="008C1DBA"/>
    <w:rsid w:val="008C24E7"/>
    <w:rsid w:val="008C2500"/>
    <w:rsid w:val="008C2CAC"/>
    <w:rsid w:val="008C3C57"/>
    <w:rsid w:val="008C3E2A"/>
    <w:rsid w:val="008C45BD"/>
    <w:rsid w:val="008C4B19"/>
    <w:rsid w:val="008C5D1A"/>
    <w:rsid w:val="008C62D4"/>
    <w:rsid w:val="008C67A2"/>
    <w:rsid w:val="008C6B89"/>
    <w:rsid w:val="008C6B97"/>
    <w:rsid w:val="008C7EF7"/>
    <w:rsid w:val="008D094D"/>
    <w:rsid w:val="008D18AA"/>
    <w:rsid w:val="008D1A2A"/>
    <w:rsid w:val="008D1ADE"/>
    <w:rsid w:val="008D3199"/>
    <w:rsid w:val="008D3330"/>
    <w:rsid w:val="008D35D9"/>
    <w:rsid w:val="008D3B36"/>
    <w:rsid w:val="008D3B85"/>
    <w:rsid w:val="008D3BF8"/>
    <w:rsid w:val="008D462D"/>
    <w:rsid w:val="008D58B7"/>
    <w:rsid w:val="008D6084"/>
    <w:rsid w:val="008D64AC"/>
    <w:rsid w:val="008D656F"/>
    <w:rsid w:val="008D66CA"/>
    <w:rsid w:val="008D69B1"/>
    <w:rsid w:val="008D7338"/>
    <w:rsid w:val="008D785E"/>
    <w:rsid w:val="008D7D66"/>
    <w:rsid w:val="008E0012"/>
    <w:rsid w:val="008E0A71"/>
    <w:rsid w:val="008E0DF7"/>
    <w:rsid w:val="008E0FAD"/>
    <w:rsid w:val="008E11E4"/>
    <w:rsid w:val="008E1252"/>
    <w:rsid w:val="008E1347"/>
    <w:rsid w:val="008E16E0"/>
    <w:rsid w:val="008E1C15"/>
    <w:rsid w:val="008E1C9A"/>
    <w:rsid w:val="008E1D7A"/>
    <w:rsid w:val="008E28BD"/>
    <w:rsid w:val="008E2BE6"/>
    <w:rsid w:val="008E30C4"/>
    <w:rsid w:val="008E38B4"/>
    <w:rsid w:val="008E3BA4"/>
    <w:rsid w:val="008E3F17"/>
    <w:rsid w:val="008E44AB"/>
    <w:rsid w:val="008E4CAE"/>
    <w:rsid w:val="008E5179"/>
    <w:rsid w:val="008E51C2"/>
    <w:rsid w:val="008E57FE"/>
    <w:rsid w:val="008E6598"/>
    <w:rsid w:val="008E710F"/>
    <w:rsid w:val="008E7214"/>
    <w:rsid w:val="008E7471"/>
    <w:rsid w:val="008E7497"/>
    <w:rsid w:val="008E7884"/>
    <w:rsid w:val="008E7D6E"/>
    <w:rsid w:val="008F1056"/>
    <w:rsid w:val="008F2E8D"/>
    <w:rsid w:val="008F361D"/>
    <w:rsid w:val="008F387B"/>
    <w:rsid w:val="008F3DD9"/>
    <w:rsid w:val="008F4163"/>
    <w:rsid w:val="008F462B"/>
    <w:rsid w:val="008F4814"/>
    <w:rsid w:val="008F4B18"/>
    <w:rsid w:val="008F4DA6"/>
    <w:rsid w:val="008F538E"/>
    <w:rsid w:val="008F5A20"/>
    <w:rsid w:val="008F5ABA"/>
    <w:rsid w:val="008F6157"/>
    <w:rsid w:val="008F682A"/>
    <w:rsid w:val="008F698E"/>
    <w:rsid w:val="008F71AB"/>
    <w:rsid w:val="008F7905"/>
    <w:rsid w:val="008F7989"/>
    <w:rsid w:val="00900912"/>
    <w:rsid w:val="00900FC5"/>
    <w:rsid w:val="00901F1D"/>
    <w:rsid w:val="009028E8"/>
    <w:rsid w:val="00902E5C"/>
    <w:rsid w:val="0090363E"/>
    <w:rsid w:val="00903788"/>
    <w:rsid w:val="009046E5"/>
    <w:rsid w:val="009047C5"/>
    <w:rsid w:val="00910683"/>
    <w:rsid w:val="00910B6F"/>
    <w:rsid w:val="00910E00"/>
    <w:rsid w:val="00910E04"/>
    <w:rsid w:val="009116CE"/>
    <w:rsid w:val="00911714"/>
    <w:rsid w:val="00911D04"/>
    <w:rsid w:val="00911EFF"/>
    <w:rsid w:val="0091251B"/>
    <w:rsid w:val="0091310F"/>
    <w:rsid w:val="009136D4"/>
    <w:rsid w:val="00914B9A"/>
    <w:rsid w:val="00914C3F"/>
    <w:rsid w:val="00914F33"/>
    <w:rsid w:val="00915C0C"/>
    <w:rsid w:val="00915EFE"/>
    <w:rsid w:val="00915FCE"/>
    <w:rsid w:val="00916AFE"/>
    <w:rsid w:val="00916FC8"/>
    <w:rsid w:val="009170D3"/>
    <w:rsid w:val="0091759C"/>
    <w:rsid w:val="00920026"/>
    <w:rsid w:val="009203E2"/>
    <w:rsid w:val="00920BF5"/>
    <w:rsid w:val="00920F61"/>
    <w:rsid w:val="00921304"/>
    <w:rsid w:val="00921395"/>
    <w:rsid w:val="00921805"/>
    <w:rsid w:val="00921E63"/>
    <w:rsid w:val="00923396"/>
    <w:rsid w:val="00923F56"/>
    <w:rsid w:val="009242A6"/>
    <w:rsid w:val="00924770"/>
    <w:rsid w:val="00925346"/>
    <w:rsid w:val="00925743"/>
    <w:rsid w:val="0092579F"/>
    <w:rsid w:val="00927128"/>
    <w:rsid w:val="00927E8D"/>
    <w:rsid w:val="00927F23"/>
    <w:rsid w:val="009307CD"/>
    <w:rsid w:val="00930823"/>
    <w:rsid w:val="00931028"/>
    <w:rsid w:val="00931165"/>
    <w:rsid w:val="00931364"/>
    <w:rsid w:val="00931365"/>
    <w:rsid w:val="0093140E"/>
    <w:rsid w:val="00931451"/>
    <w:rsid w:val="00931491"/>
    <w:rsid w:val="009314FA"/>
    <w:rsid w:val="0093194F"/>
    <w:rsid w:val="00931BF3"/>
    <w:rsid w:val="00931C55"/>
    <w:rsid w:val="0093228F"/>
    <w:rsid w:val="00933333"/>
    <w:rsid w:val="0093349A"/>
    <w:rsid w:val="0093360C"/>
    <w:rsid w:val="009338BA"/>
    <w:rsid w:val="00933FCB"/>
    <w:rsid w:val="009346C8"/>
    <w:rsid w:val="00934CEC"/>
    <w:rsid w:val="00934E69"/>
    <w:rsid w:val="00935745"/>
    <w:rsid w:val="00935E70"/>
    <w:rsid w:val="0093609A"/>
    <w:rsid w:val="00936517"/>
    <w:rsid w:val="00937401"/>
    <w:rsid w:val="009376FB"/>
    <w:rsid w:val="00937D6B"/>
    <w:rsid w:val="00940477"/>
    <w:rsid w:val="00940876"/>
    <w:rsid w:val="00940A53"/>
    <w:rsid w:val="00940F3C"/>
    <w:rsid w:val="009410E0"/>
    <w:rsid w:val="00941FA9"/>
    <w:rsid w:val="00942641"/>
    <w:rsid w:val="009439B6"/>
    <w:rsid w:val="009444B4"/>
    <w:rsid w:val="00944644"/>
    <w:rsid w:val="00946A24"/>
    <w:rsid w:val="009470D4"/>
    <w:rsid w:val="00947337"/>
    <w:rsid w:val="00947A87"/>
    <w:rsid w:val="00947B97"/>
    <w:rsid w:val="00947E6E"/>
    <w:rsid w:val="009512FA"/>
    <w:rsid w:val="009516A9"/>
    <w:rsid w:val="00951E57"/>
    <w:rsid w:val="00952350"/>
    <w:rsid w:val="00952505"/>
    <w:rsid w:val="00953018"/>
    <w:rsid w:val="009533E2"/>
    <w:rsid w:val="00953554"/>
    <w:rsid w:val="0095385A"/>
    <w:rsid w:val="00954F3A"/>
    <w:rsid w:val="0095562A"/>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3550"/>
    <w:rsid w:val="00964138"/>
    <w:rsid w:val="009648D6"/>
    <w:rsid w:val="00964B3F"/>
    <w:rsid w:val="00964C98"/>
    <w:rsid w:val="00967507"/>
    <w:rsid w:val="00971441"/>
    <w:rsid w:val="00971555"/>
    <w:rsid w:val="009715D4"/>
    <w:rsid w:val="0097179A"/>
    <w:rsid w:val="00971B0A"/>
    <w:rsid w:val="009731F4"/>
    <w:rsid w:val="009732A4"/>
    <w:rsid w:val="00973AB3"/>
    <w:rsid w:val="00973C05"/>
    <w:rsid w:val="0097494E"/>
    <w:rsid w:val="00974999"/>
    <w:rsid w:val="009749BB"/>
    <w:rsid w:val="00974B58"/>
    <w:rsid w:val="00974CBD"/>
    <w:rsid w:val="00975445"/>
    <w:rsid w:val="009761ED"/>
    <w:rsid w:val="00976256"/>
    <w:rsid w:val="0097737D"/>
    <w:rsid w:val="00980209"/>
    <w:rsid w:val="0098022F"/>
    <w:rsid w:val="009810DE"/>
    <w:rsid w:val="00981B91"/>
    <w:rsid w:val="009822D7"/>
    <w:rsid w:val="009827E6"/>
    <w:rsid w:val="00982F84"/>
    <w:rsid w:val="009831C3"/>
    <w:rsid w:val="009837E1"/>
    <w:rsid w:val="0098427D"/>
    <w:rsid w:val="00984567"/>
    <w:rsid w:val="00985102"/>
    <w:rsid w:val="009854BC"/>
    <w:rsid w:val="00985A66"/>
    <w:rsid w:val="0098606C"/>
    <w:rsid w:val="009865D5"/>
    <w:rsid w:val="009876F2"/>
    <w:rsid w:val="00987C77"/>
    <w:rsid w:val="00987FED"/>
    <w:rsid w:val="00990345"/>
    <w:rsid w:val="00990701"/>
    <w:rsid w:val="0099070B"/>
    <w:rsid w:val="0099119C"/>
    <w:rsid w:val="00991361"/>
    <w:rsid w:val="0099137A"/>
    <w:rsid w:val="0099211C"/>
    <w:rsid w:val="00992321"/>
    <w:rsid w:val="00993013"/>
    <w:rsid w:val="009930AB"/>
    <w:rsid w:val="00993B78"/>
    <w:rsid w:val="00994F3F"/>
    <w:rsid w:val="00995119"/>
    <w:rsid w:val="0099531F"/>
    <w:rsid w:val="009953AD"/>
    <w:rsid w:val="009957D7"/>
    <w:rsid w:val="0099583D"/>
    <w:rsid w:val="00996020"/>
    <w:rsid w:val="0099629E"/>
    <w:rsid w:val="009968CF"/>
    <w:rsid w:val="00996992"/>
    <w:rsid w:val="00996E1E"/>
    <w:rsid w:val="00997148"/>
    <w:rsid w:val="00997392"/>
    <w:rsid w:val="0099747C"/>
    <w:rsid w:val="0099771C"/>
    <w:rsid w:val="009977B1"/>
    <w:rsid w:val="00997A88"/>
    <w:rsid w:val="009A01E4"/>
    <w:rsid w:val="009A0917"/>
    <w:rsid w:val="009A0A33"/>
    <w:rsid w:val="009A0CC0"/>
    <w:rsid w:val="009A10B2"/>
    <w:rsid w:val="009A1351"/>
    <w:rsid w:val="009A1AAB"/>
    <w:rsid w:val="009A1B98"/>
    <w:rsid w:val="009A2041"/>
    <w:rsid w:val="009A2435"/>
    <w:rsid w:val="009A35DC"/>
    <w:rsid w:val="009A38AB"/>
    <w:rsid w:val="009A39EE"/>
    <w:rsid w:val="009A3A33"/>
    <w:rsid w:val="009A3D47"/>
    <w:rsid w:val="009A4D63"/>
    <w:rsid w:val="009A5356"/>
    <w:rsid w:val="009A5468"/>
    <w:rsid w:val="009A55D8"/>
    <w:rsid w:val="009A5D99"/>
    <w:rsid w:val="009A608C"/>
    <w:rsid w:val="009A66D6"/>
    <w:rsid w:val="009A6FDF"/>
    <w:rsid w:val="009A715F"/>
    <w:rsid w:val="009A76D6"/>
    <w:rsid w:val="009B03F1"/>
    <w:rsid w:val="009B15C4"/>
    <w:rsid w:val="009B2374"/>
    <w:rsid w:val="009B28D6"/>
    <w:rsid w:val="009B2E29"/>
    <w:rsid w:val="009B3163"/>
    <w:rsid w:val="009B422F"/>
    <w:rsid w:val="009B46BC"/>
    <w:rsid w:val="009B4D1A"/>
    <w:rsid w:val="009B519D"/>
    <w:rsid w:val="009B558B"/>
    <w:rsid w:val="009B60FE"/>
    <w:rsid w:val="009B663F"/>
    <w:rsid w:val="009B6863"/>
    <w:rsid w:val="009B6D21"/>
    <w:rsid w:val="009B7460"/>
    <w:rsid w:val="009B78ED"/>
    <w:rsid w:val="009B7FFD"/>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A1D"/>
    <w:rsid w:val="009C6BFC"/>
    <w:rsid w:val="009C70F8"/>
    <w:rsid w:val="009C78A3"/>
    <w:rsid w:val="009C7E68"/>
    <w:rsid w:val="009D00D7"/>
    <w:rsid w:val="009D0156"/>
    <w:rsid w:val="009D03B4"/>
    <w:rsid w:val="009D05DA"/>
    <w:rsid w:val="009D0815"/>
    <w:rsid w:val="009D09BA"/>
    <w:rsid w:val="009D11F6"/>
    <w:rsid w:val="009D163B"/>
    <w:rsid w:val="009D1A14"/>
    <w:rsid w:val="009D1E2A"/>
    <w:rsid w:val="009D1FA0"/>
    <w:rsid w:val="009D2BDF"/>
    <w:rsid w:val="009D3736"/>
    <w:rsid w:val="009D4529"/>
    <w:rsid w:val="009D460F"/>
    <w:rsid w:val="009D4E02"/>
    <w:rsid w:val="009D604F"/>
    <w:rsid w:val="009D61BB"/>
    <w:rsid w:val="009D6410"/>
    <w:rsid w:val="009D68BB"/>
    <w:rsid w:val="009D6909"/>
    <w:rsid w:val="009D6B46"/>
    <w:rsid w:val="009D700F"/>
    <w:rsid w:val="009D70C2"/>
    <w:rsid w:val="009D7244"/>
    <w:rsid w:val="009D77B9"/>
    <w:rsid w:val="009D7ADB"/>
    <w:rsid w:val="009D7B33"/>
    <w:rsid w:val="009E03C7"/>
    <w:rsid w:val="009E0490"/>
    <w:rsid w:val="009E06C3"/>
    <w:rsid w:val="009E0703"/>
    <w:rsid w:val="009E1035"/>
    <w:rsid w:val="009E16DA"/>
    <w:rsid w:val="009E1CD4"/>
    <w:rsid w:val="009E2391"/>
    <w:rsid w:val="009E2845"/>
    <w:rsid w:val="009E28B6"/>
    <w:rsid w:val="009E2A11"/>
    <w:rsid w:val="009E476A"/>
    <w:rsid w:val="009E4A16"/>
    <w:rsid w:val="009E4E05"/>
    <w:rsid w:val="009E56FF"/>
    <w:rsid w:val="009E5CB1"/>
    <w:rsid w:val="009E5E56"/>
    <w:rsid w:val="009E61EA"/>
    <w:rsid w:val="009E6990"/>
    <w:rsid w:val="009E6FEE"/>
    <w:rsid w:val="009F00B9"/>
    <w:rsid w:val="009F060F"/>
    <w:rsid w:val="009F0781"/>
    <w:rsid w:val="009F0850"/>
    <w:rsid w:val="009F15A8"/>
    <w:rsid w:val="009F1950"/>
    <w:rsid w:val="009F1BDF"/>
    <w:rsid w:val="009F1EAE"/>
    <w:rsid w:val="009F210A"/>
    <w:rsid w:val="009F2137"/>
    <w:rsid w:val="009F2732"/>
    <w:rsid w:val="009F2848"/>
    <w:rsid w:val="009F369D"/>
    <w:rsid w:val="009F36FE"/>
    <w:rsid w:val="009F3971"/>
    <w:rsid w:val="009F3A42"/>
    <w:rsid w:val="009F4990"/>
    <w:rsid w:val="009F4F25"/>
    <w:rsid w:val="009F59C2"/>
    <w:rsid w:val="009F60AF"/>
    <w:rsid w:val="009F7263"/>
    <w:rsid w:val="009F73B6"/>
    <w:rsid w:val="009F76EA"/>
    <w:rsid w:val="009F78EB"/>
    <w:rsid w:val="009F7DB2"/>
    <w:rsid w:val="009F7EB8"/>
    <w:rsid w:val="009F7ED3"/>
    <w:rsid w:val="009F7F32"/>
    <w:rsid w:val="009F7FEB"/>
    <w:rsid w:val="00A003D5"/>
    <w:rsid w:val="00A0056C"/>
    <w:rsid w:val="00A00F5E"/>
    <w:rsid w:val="00A0120D"/>
    <w:rsid w:val="00A01852"/>
    <w:rsid w:val="00A0188B"/>
    <w:rsid w:val="00A01C35"/>
    <w:rsid w:val="00A01E73"/>
    <w:rsid w:val="00A023E7"/>
    <w:rsid w:val="00A026B1"/>
    <w:rsid w:val="00A02B88"/>
    <w:rsid w:val="00A02F05"/>
    <w:rsid w:val="00A03160"/>
    <w:rsid w:val="00A036AC"/>
    <w:rsid w:val="00A03C54"/>
    <w:rsid w:val="00A03DE5"/>
    <w:rsid w:val="00A041BC"/>
    <w:rsid w:val="00A0447F"/>
    <w:rsid w:val="00A046D2"/>
    <w:rsid w:val="00A04712"/>
    <w:rsid w:val="00A04A54"/>
    <w:rsid w:val="00A057C6"/>
    <w:rsid w:val="00A058B8"/>
    <w:rsid w:val="00A05B4B"/>
    <w:rsid w:val="00A066C3"/>
    <w:rsid w:val="00A06754"/>
    <w:rsid w:val="00A069E0"/>
    <w:rsid w:val="00A06E4A"/>
    <w:rsid w:val="00A070E9"/>
    <w:rsid w:val="00A078FB"/>
    <w:rsid w:val="00A10209"/>
    <w:rsid w:val="00A1036D"/>
    <w:rsid w:val="00A1069F"/>
    <w:rsid w:val="00A10ACA"/>
    <w:rsid w:val="00A10D08"/>
    <w:rsid w:val="00A1181E"/>
    <w:rsid w:val="00A11E78"/>
    <w:rsid w:val="00A12355"/>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6864"/>
    <w:rsid w:val="00A169E2"/>
    <w:rsid w:val="00A16F53"/>
    <w:rsid w:val="00A17584"/>
    <w:rsid w:val="00A17769"/>
    <w:rsid w:val="00A17EA2"/>
    <w:rsid w:val="00A17F59"/>
    <w:rsid w:val="00A201DB"/>
    <w:rsid w:val="00A20264"/>
    <w:rsid w:val="00A20997"/>
    <w:rsid w:val="00A210D4"/>
    <w:rsid w:val="00A212E6"/>
    <w:rsid w:val="00A213DD"/>
    <w:rsid w:val="00A21454"/>
    <w:rsid w:val="00A216CE"/>
    <w:rsid w:val="00A216F9"/>
    <w:rsid w:val="00A22025"/>
    <w:rsid w:val="00A22498"/>
    <w:rsid w:val="00A22571"/>
    <w:rsid w:val="00A2298D"/>
    <w:rsid w:val="00A235E1"/>
    <w:rsid w:val="00A23C69"/>
    <w:rsid w:val="00A24560"/>
    <w:rsid w:val="00A25B0F"/>
    <w:rsid w:val="00A25BBB"/>
    <w:rsid w:val="00A27FB6"/>
    <w:rsid w:val="00A30121"/>
    <w:rsid w:val="00A30368"/>
    <w:rsid w:val="00A3043A"/>
    <w:rsid w:val="00A30E02"/>
    <w:rsid w:val="00A30F6A"/>
    <w:rsid w:val="00A31060"/>
    <w:rsid w:val="00A31C3E"/>
    <w:rsid w:val="00A33CD0"/>
    <w:rsid w:val="00A34538"/>
    <w:rsid w:val="00A34677"/>
    <w:rsid w:val="00A3540F"/>
    <w:rsid w:val="00A35630"/>
    <w:rsid w:val="00A35914"/>
    <w:rsid w:val="00A36189"/>
    <w:rsid w:val="00A3677A"/>
    <w:rsid w:val="00A37E73"/>
    <w:rsid w:val="00A37FB6"/>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F9B"/>
    <w:rsid w:val="00A46574"/>
    <w:rsid w:val="00A475B4"/>
    <w:rsid w:val="00A47701"/>
    <w:rsid w:val="00A47849"/>
    <w:rsid w:val="00A500B1"/>
    <w:rsid w:val="00A5140D"/>
    <w:rsid w:val="00A51906"/>
    <w:rsid w:val="00A52A53"/>
    <w:rsid w:val="00A52EE5"/>
    <w:rsid w:val="00A53037"/>
    <w:rsid w:val="00A532B9"/>
    <w:rsid w:val="00A5351D"/>
    <w:rsid w:val="00A53E79"/>
    <w:rsid w:val="00A53EAB"/>
    <w:rsid w:val="00A54031"/>
    <w:rsid w:val="00A5426D"/>
    <w:rsid w:val="00A54FC2"/>
    <w:rsid w:val="00A55122"/>
    <w:rsid w:val="00A55806"/>
    <w:rsid w:val="00A55CEA"/>
    <w:rsid w:val="00A56DE7"/>
    <w:rsid w:val="00A57EB2"/>
    <w:rsid w:val="00A6009E"/>
    <w:rsid w:val="00A60265"/>
    <w:rsid w:val="00A60500"/>
    <w:rsid w:val="00A60540"/>
    <w:rsid w:val="00A60B1F"/>
    <w:rsid w:val="00A6144B"/>
    <w:rsid w:val="00A61C60"/>
    <w:rsid w:val="00A62589"/>
    <w:rsid w:val="00A62AD0"/>
    <w:rsid w:val="00A62C3A"/>
    <w:rsid w:val="00A6319C"/>
    <w:rsid w:val="00A63812"/>
    <w:rsid w:val="00A63DF7"/>
    <w:rsid w:val="00A6454D"/>
    <w:rsid w:val="00A64767"/>
    <w:rsid w:val="00A64F2F"/>
    <w:rsid w:val="00A6611E"/>
    <w:rsid w:val="00A668BA"/>
    <w:rsid w:val="00A66FA7"/>
    <w:rsid w:val="00A67170"/>
    <w:rsid w:val="00A67E16"/>
    <w:rsid w:val="00A67EB1"/>
    <w:rsid w:val="00A67F1C"/>
    <w:rsid w:val="00A703CC"/>
    <w:rsid w:val="00A70C5C"/>
    <w:rsid w:val="00A710A2"/>
    <w:rsid w:val="00A71EA7"/>
    <w:rsid w:val="00A730AD"/>
    <w:rsid w:val="00A73855"/>
    <w:rsid w:val="00A73D64"/>
    <w:rsid w:val="00A74216"/>
    <w:rsid w:val="00A74360"/>
    <w:rsid w:val="00A744B4"/>
    <w:rsid w:val="00A74B91"/>
    <w:rsid w:val="00A751E3"/>
    <w:rsid w:val="00A7536B"/>
    <w:rsid w:val="00A753B9"/>
    <w:rsid w:val="00A7549A"/>
    <w:rsid w:val="00A75504"/>
    <w:rsid w:val="00A75FD7"/>
    <w:rsid w:val="00A77168"/>
    <w:rsid w:val="00A7723B"/>
    <w:rsid w:val="00A773C3"/>
    <w:rsid w:val="00A774E6"/>
    <w:rsid w:val="00A778FA"/>
    <w:rsid w:val="00A7793C"/>
    <w:rsid w:val="00A77D21"/>
    <w:rsid w:val="00A80085"/>
    <w:rsid w:val="00A80276"/>
    <w:rsid w:val="00A8043B"/>
    <w:rsid w:val="00A807DA"/>
    <w:rsid w:val="00A80DA0"/>
    <w:rsid w:val="00A81323"/>
    <w:rsid w:val="00A814B9"/>
    <w:rsid w:val="00A820CB"/>
    <w:rsid w:val="00A82342"/>
    <w:rsid w:val="00A8236F"/>
    <w:rsid w:val="00A82D06"/>
    <w:rsid w:val="00A83BEF"/>
    <w:rsid w:val="00A84443"/>
    <w:rsid w:val="00A8487F"/>
    <w:rsid w:val="00A849A3"/>
    <w:rsid w:val="00A84A0E"/>
    <w:rsid w:val="00A852A3"/>
    <w:rsid w:val="00A8575D"/>
    <w:rsid w:val="00A861F4"/>
    <w:rsid w:val="00A86E0B"/>
    <w:rsid w:val="00A87199"/>
    <w:rsid w:val="00A90F12"/>
    <w:rsid w:val="00A91DAA"/>
    <w:rsid w:val="00A93101"/>
    <w:rsid w:val="00A93239"/>
    <w:rsid w:val="00A9413E"/>
    <w:rsid w:val="00A94293"/>
    <w:rsid w:val="00A9496E"/>
    <w:rsid w:val="00A949F0"/>
    <w:rsid w:val="00A94BDE"/>
    <w:rsid w:val="00A94FCA"/>
    <w:rsid w:val="00A95BDE"/>
    <w:rsid w:val="00A95E4C"/>
    <w:rsid w:val="00A96C60"/>
    <w:rsid w:val="00A9740B"/>
    <w:rsid w:val="00A9766C"/>
    <w:rsid w:val="00A977F8"/>
    <w:rsid w:val="00A979DB"/>
    <w:rsid w:val="00A97C93"/>
    <w:rsid w:val="00AA06C6"/>
    <w:rsid w:val="00AA08E7"/>
    <w:rsid w:val="00AA0A06"/>
    <w:rsid w:val="00AA0A87"/>
    <w:rsid w:val="00AA1351"/>
    <w:rsid w:val="00AA184C"/>
    <w:rsid w:val="00AA1AF4"/>
    <w:rsid w:val="00AA1C84"/>
    <w:rsid w:val="00AA1E3E"/>
    <w:rsid w:val="00AA3D7B"/>
    <w:rsid w:val="00AA3F9F"/>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2728"/>
    <w:rsid w:val="00AB2797"/>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53C"/>
    <w:rsid w:val="00AC0A84"/>
    <w:rsid w:val="00AC0F74"/>
    <w:rsid w:val="00AC1508"/>
    <w:rsid w:val="00AC2A0B"/>
    <w:rsid w:val="00AC2BEE"/>
    <w:rsid w:val="00AC2E53"/>
    <w:rsid w:val="00AC3208"/>
    <w:rsid w:val="00AC4259"/>
    <w:rsid w:val="00AC484F"/>
    <w:rsid w:val="00AC4AD2"/>
    <w:rsid w:val="00AC4B20"/>
    <w:rsid w:val="00AC5395"/>
    <w:rsid w:val="00AC55C7"/>
    <w:rsid w:val="00AC5676"/>
    <w:rsid w:val="00AC56F2"/>
    <w:rsid w:val="00AC5D9D"/>
    <w:rsid w:val="00AC71C3"/>
    <w:rsid w:val="00AC7F29"/>
    <w:rsid w:val="00AD09F7"/>
    <w:rsid w:val="00AD1EFA"/>
    <w:rsid w:val="00AD2072"/>
    <w:rsid w:val="00AD21B5"/>
    <w:rsid w:val="00AD2DBD"/>
    <w:rsid w:val="00AD2FBF"/>
    <w:rsid w:val="00AD33A1"/>
    <w:rsid w:val="00AD340E"/>
    <w:rsid w:val="00AD455D"/>
    <w:rsid w:val="00AD463C"/>
    <w:rsid w:val="00AD47C9"/>
    <w:rsid w:val="00AD4F60"/>
    <w:rsid w:val="00AD5044"/>
    <w:rsid w:val="00AD5114"/>
    <w:rsid w:val="00AD6236"/>
    <w:rsid w:val="00AD69D5"/>
    <w:rsid w:val="00AD6D07"/>
    <w:rsid w:val="00AD7619"/>
    <w:rsid w:val="00AD7770"/>
    <w:rsid w:val="00AD7773"/>
    <w:rsid w:val="00AE1772"/>
    <w:rsid w:val="00AE1990"/>
    <w:rsid w:val="00AE25E8"/>
    <w:rsid w:val="00AE2AD4"/>
    <w:rsid w:val="00AE2CA7"/>
    <w:rsid w:val="00AE2F1D"/>
    <w:rsid w:val="00AE4A7D"/>
    <w:rsid w:val="00AE4C81"/>
    <w:rsid w:val="00AE4E63"/>
    <w:rsid w:val="00AE586F"/>
    <w:rsid w:val="00AE5888"/>
    <w:rsid w:val="00AE5964"/>
    <w:rsid w:val="00AE62FE"/>
    <w:rsid w:val="00AE6582"/>
    <w:rsid w:val="00AE6DC5"/>
    <w:rsid w:val="00AE7686"/>
    <w:rsid w:val="00AE799A"/>
    <w:rsid w:val="00AF0340"/>
    <w:rsid w:val="00AF0E81"/>
    <w:rsid w:val="00AF117A"/>
    <w:rsid w:val="00AF134E"/>
    <w:rsid w:val="00AF16CA"/>
    <w:rsid w:val="00AF186E"/>
    <w:rsid w:val="00AF19DF"/>
    <w:rsid w:val="00AF1C77"/>
    <w:rsid w:val="00AF1D41"/>
    <w:rsid w:val="00AF26CF"/>
    <w:rsid w:val="00AF3124"/>
    <w:rsid w:val="00AF344D"/>
    <w:rsid w:val="00AF39B3"/>
    <w:rsid w:val="00AF3C1F"/>
    <w:rsid w:val="00AF3FED"/>
    <w:rsid w:val="00AF4402"/>
    <w:rsid w:val="00AF4639"/>
    <w:rsid w:val="00AF49CE"/>
    <w:rsid w:val="00AF4E92"/>
    <w:rsid w:val="00AF554B"/>
    <w:rsid w:val="00AF5C9B"/>
    <w:rsid w:val="00AF5D53"/>
    <w:rsid w:val="00AF5E2D"/>
    <w:rsid w:val="00AF644B"/>
    <w:rsid w:val="00AF69EB"/>
    <w:rsid w:val="00AF6CA6"/>
    <w:rsid w:val="00AF6DEC"/>
    <w:rsid w:val="00AF6EB6"/>
    <w:rsid w:val="00AF776A"/>
    <w:rsid w:val="00AF7796"/>
    <w:rsid w:val="00B003DB"/>
    <w:rsid w:val="00B011A9"/>
    <w:rsid w:val="00B01BAF"/>
    <w:rsid w:val="00B0224B"/>
    <w:rsid w:val="00B024ED"/>
    <w:rsid w:val="00B026B8"/>
    <w:rsid w:val="00B02EB3"/>
    <w:rsid w:val="00B02F7C"/>
    <w:rsid w:val="00B02FCB"/>
    <w:rsid w:val="00B033AF"/>
    <w:rsid w:val="00B033F8"/>
    <w:rsid w:val="00B03C1E"/>
    <w:rsid w:val="00B03FE4"/>
    <w:rsid w:val="00B04101"/>
    <w:rsid w:val="00B04400"/>
    <w:rsid w:val="00B04493"/>
    <w:rsid w:val="00B04835"/>
    <w:rsid w:val="00B05A55"/>
    <w:rsid w:val="00B05DE1"/>
    <w:rsid w:val="00B06595"/>
    <w:rsid w:val="00B06645"/>
    <w:rsid w:val="00B06862"/>
    <w:rsid w:val="00B10109"/>
    <w:rsid w:val="00B10351"/>
    <w:rsid w:val="00B1085E"/>
    <w:rsid w:val="00B10FD1"/>
    <w:rsid w:val="00B112D5"/>
    <w:rsid w:val="00B11378"/>
    <w:rsid w:val="00B1219D"/>
    <w:rsid w:val="00B12735"/>
    <w:rsid w:val="00B12F44"/>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88D"/>
    <w:rsid w:val="00B208BB"/>
    <w:rsid w:val="00B208FF"/>
    <w:rsid w:val="00B21271"/>
    <w:rsid w:val="00B22E22"/>
    <w:rsid w:val="00B22F5F"/>
    <w:rsid w:val="00B23353"/>
    <w:rsid w:val="00B237E6"/>
    <w:rsid w:val="00B23813"/>
    <w:rsid w:val="00B23DA0"/>
    <w:rsid w:val="00B23FD9"/>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46C"/>
    <w:rsid w:val="00B335E4"/>
    <w:rsid w:val="00B33C23"/>
    <w:rsid w:val="00B345B4"/>
    <w:rsid w:val="00B348B1"/>
    <w:rsid w:val="00B34A28"/>
    <w:rsid w:val="00B35046"/>
    <w:rsid w:val="00B357F4"/>
    <w:rsid w:val="00B35B6A"/>
    <w:rsid w:val="00B3664E"/>
    <w:rsid w:val="00B36D2B"/>
    <w:rsid w:val="00B37657"/>
    <w:rsid w:val="00B37AFD"/>
    <w:rsid w:val="00B37B07"/>
    <w:rsid w:val="00B4046F"/>
    <w:rsid w:val="00B406B3"/>
    <w:rsid w:val="00B40A36"/>
    <w:rsid w:val="00B41BCA"/>
    <w:rsid w:val="00B41D39"/>
    <w:rsid w:val="00B422C0"/>
    <w:rsid w:val="00B426CA"/>
    <w:rsid w:val="00B426E1"/>
    <w:rsid w:val="00B4387A"/>
    <w:rsid w:val="00B44155"/>
    <w:rsid w:val="00B44746"/>
    <w:rsid w:val="00B44854"/>
    <w:rsid w:val="00B44BA5"/>
    <w:rsid w:val="00B4540B"/>
    <w:rsid w:val="00B458D0"/>
    <w:rsid w:val="00B47773"/>
    <w:rsid w:val="00B4792C"/>
    <w:rsid w:val="00B50CAE"/>
    <w:rsid w:val="00B512AD"/>
    <w:rsid w:val="00B5196C"/>
    <w:rsid w:val="00B52553"/>
    <w:rsid w:val="00B525CB"/>
    <w:rsid w:val="00B52697"/>
    <w:rsid w:val="00B538F0"/>
    <w:rsid w:val="00B53CAA"/>
    <w:rsid w:val="00B53CB0"/>
    <w:rsid w:val="00B53D1A"/>
    <w:rsid w:val="00B54215"/>
    <w:rsid w:val="00B54D8F"/>
    <w:rsid w:val="00B55857"/>
    <w:rsid w:val="00B55C69"/>
    <w:rsid w:val="00B5644C"/>
    <w:rsid w:val="00B56851"/>
    <w:rsid w:val="00B56D6E"/>
    <w:rsid w:val="00B572F7"/>
    <w:rsid w:val="00B57B9D"/>
    <w:rsid w:val="00B57DAF"/>
    <w:rsid w:val="00B60094"/>
    <w:rsid w:val="00B6022C"/>
    <w:rsid w:val="00B6040C"/>
    <w:rsid w:val="00B614F8"/>
    <w:rsid w:val="00B61994"/>
    <w:rsid w:val="00B61A1E"/>
    <w:rsid w:val="00B61B18"/>
    <w:rsid w:val="00B61FD4"/>
    <w:rsid w:val="00B6235B"/>
    <w:rsid w:val="00B62880"/>
    <w:rsid w:val="00B63872"/>
    <w:rsid w:val="00B63CB2"/>
    <w:rsid w:val="00B64246"/>
    <w:rsid w:val="00B64EDB"/>
    <w:rsid w:val="00B65938"/>
    <w:rsid w:val="00B65C8A"/>
    <w:rsid w:val="00B65CE2"/>
    <w:rsid w:val="00B660AD"/>
    <w:rsid w:val="00B66109"/>
    <w:rsid w:val="00B66349"/>
    <w:rsid w:val="00B669B3"/>
    <w:rsid w:val="00B67FBF"/>
    <w:rsid w:val="00B70832"/>
    <w:rsid w:val="00B71376"/>
    <w:rsid w:val="00B716D7"/>
    <w:rsid w:val="00B71B20"/>
    <w:rsid w:val="00B72110"/>
    <w:rsid w:val="00B72B91"/>
    <w:rsid w:val="00B73019"/>
    <w:rsid w:val="00B7315F"/>
    <w:rsid w:val="00B7323A"/>
    <w:rsid w:val="00B7353B"/>
    <w:rsid w:val="00B737FB"/>
    <w:rsid w:val="00B73E5D"/>
    <w:rsid w:val="00B73EF3"/>
    <w:rsid w:val="00B7423D"/>
    <w:rsid w:val="00B74D05"/>
    <w:rsid w:val="00B74EF8"/>
    <w:rsid w:val="00B75893"/>
    <w:rsid w:val="00B75D76"/>
    <w:rsid w:val="00B7640D"/>
    <w:rsid w:val="00B771F4"/>
    <w:rsid w:val="00B7762A"/>
    <w:rsid w:val="00B777FA"/>
    <w:rsid w:val="00B77850"/>
    <w:rsid w:val="00B7796B"/>
    <w:rsid w:val="00B77F67"/>
    <w:rsid w:val="00B80C72"/>
    <w:rsid w:val="00B8101E"/>
    <w:rsid w:val="00B81736"/>
    <w:rsid w:val="00B817DF"/>
    <w:rsid w:val="00B81964"/>
    <w:rsid w:val="00B81E6F"/>
    <w:rsid w:val="00B82123"/>
    <w:rsid w:val="00B8225B"/>
    <w:rsid w:val="00B82BB5"/>
    <w:rsid w:val="00B83182"/>
    <w:rsid w:val="00B839F0"/>
    <w:rsid w:val="00B851E4"/>
    <w:rsid w:val="00B854CE"/>
    <w:rsid w:val="00B85681"/>
    <w:rsid w:val="00B857EB"/>
    <w:rsid w:val="00B858AD"/>
    <w:rsid w:val="00B86162"/>
    <w:rsid w:val="00B86877"/>
    <w:rsid w:val="00B86930"/>
    <w:rsid w:val="00B8695D"/>
    <w:rsid w:val="00B86E66"/>
    <w:rsid w:val="00B873BA"/>
    <w:rsid w:val="00B8746F"/>
    <w:rsid w:val="00B8760D"/>
    <w:rsid w:val="00B87706"/>
    <w:rsid w:val="00B90A49"/>
    <w:rsid w:val="00B90A73"/>
    <w:rsid w:val="00B91B8E"/>
    <w:rsid w:val="00B92531"/>
    <w:rsid w:val="00B92618"/>
    <w:rsid w:val="00B92751"/>
    <w:rsid w:val="00B92871"/>
    <w:rsid w:val="00B92B69"/>
    <w:rsid w:val="00B92CC6"/>
    <w:rsid w:val="00B935C9"/>
    <w:rsid w:val="00B93E3D"/>
    <w:rsid w:val="00B94C95"/>
    <w:rsid w:val="00B95464"/>
    <w:rsid w:val="00B95C30"/>
    <w:rsid w:val="00B95E3D"/>
    <w:rsid w:val="00B9691F"/>
    <w:rsid w:val="00B96EEC"/>
    <w:rsid w:val="00B97392"/>
    <w:rsid w:val="00B976C7"/>
    <w:rsid w:val="00B97A73"/>
    <w:rsid w:val="00BA0C54"/>
    <w:rsid w:val="00BA1382"/>
    <w:rsid w:val="00BA15E3"/>
    <w:rsid w:val="00BA1A8C"/>
    <w:rsid w:val="00BA20B6"/>
    <w:rsid w:val="00BA20D8"/>
    <w:rsid w:val="00BA22FC"/>
    <w:rsid w:val="00BA27B6"/>
    <w:rsid w:val="00BA2C2A"/>
    <w:rsid w:val="00BA2F30"/>
    <w:rsid w:val="00BA35D9"/>
    <w:rsid w:val="00BA3982"/>
    <w:rsid w:val="00BA3FD4"/>
    <w:rsid w:val="00BA405F"/>
    <w:rsid w:val="00BA4771"/>
    <w:rsid w:val="00BA47B9"/>
    <w:rsid w:val="00BA482B"/>
    <w:rsid w:val="00BA5027"/>
    <w:rsid w:val="00BA58FC"/>
    <w:rsid w:val="00BA5D92"/>
    <w:rsid w:val="00BA665B"/>
    <w:rsid w:val="00BA6FE8"/>
    <w:rsid w:val="00BA732D"/>
    <w:rsid w:val="00BA7370"/>
    <w:rsid w:val="00BA7771"/>
    <w:rsid w:val="00BA778B"/>
    <w:rsid w:val="00BB0888"/>
    <w:rsid w:val="00BB0DF1"/>
    <w:rsid w:val="00BB0E49"/>
    <w:rsid w:val="00BB0E9B"/>
    <w:rsid w:val="00BB15EE"/>
    <w:rsid w:val="00BB2061"/>
    <w:rsid w:val="00BB26A6"/>
    <w:rsid w:val="00BB2841"/>
    <w:rsid w:val="00BB300F"/>
    <w:rsid w:val="00BB32C9"/>
    <w:rsid w:val="00BB35C5"/>
    <w:rsid w:val="00BB4048"/>
    <w:rsid w:val="00BB4C8E"/>
    <w:rsid w:val="00BB5324"/>
    <w:rsid w:val="00BB57ED"/>
    <w:rsid w:val="00BB5A2D"/>
    <w:rsid w:val="00BB606C"/>
    <w:rsid w:val="00BB65C3"/>
    <w:rsid w:val="00BB662E"/>
    <w:rsid w:val="00BB67A9"/>
    <w:rsid w:val="00BB6C01"/>
    <w:rsid w:val="00BB7942"/>
    <w:rsid w:val="00BB7CD1"/>
    <w:rsid w:val="00BC0F33"/>
    <w:rsid w:val="00BC14A7"/>
    <w:rsid w:val="00BC17CC"/>
    <w:rsid w:val="00BC1F25"/>
    <w:rsid w:val="00BC209F"/>
    <w:rsid w:val="00BC24AD"/>
    <w:rsid w:val="00BC2898"/>
    <w:rsid w:val="00BC2928"/>
    <w:rsid w:val="00BC29BD"/>
    <w:rsid w:val="00BC2BB1"/>
    <w:rsid w:val="00BC34A3"/>
    <w:rsid w:val="00BC3FF9"/>
    <w:rsid w:val="00BC4834"/>
    <w:rsid w:val="00BC4A97"/>
    <w:rsid w:val="00BC566B"/>
    <w:rsid w:val="00BC5A25"/>
    <w:rsid w:val="00BC5FDD"/>
    <w:rsid w:val="00BC68B4"/>
    <w:rsid w:val="00BC7277"/>
    <w:rsid w:val="00BD0140"/>
    <w:rsid w:val="00BD02CC"/>
    <w:rsid w:val="00BD088E"/>
    <w:rsid w:val="00BD0F18"/>
    <w:rsid w:val="00BD182E"/>
    <w:rsid w:val="00BD2063"/>
    <w:rsid w:val="00BD28C4"/>
    <w:rsid w:val="00BD2950"/>
    <w:rsid w:val="00BD337A"/>
    <w:rsid w:val="00BD33D9"/>
    <w:rsid w:val="00BD38C5"/>
    <w:rsid w:val="00BD3A6D"/>
    <w:rsid w:val="00BD3AF1"/>
    <w:rsid w:val="00BD3DEA"/>
    <w:rsid w:val="00BD3E97"/>
    <w:rsid w:val="00BD40E4"/>
    <w:rsid w:val="00BD52FE"/>
    <w:rsid w:val="00BD59B6"/>
    <w:rsid w:val="00BD6265"/>
    <w:rsid w:val="00BD62CF"/>
    <w:rsid w:val="00BD67B2"/>
    <w:rsid w:val="00BD68E2"/>
    <w:rsid w:val="00BD6D41"/>
    <w:rsid w:val="00BD7522"/>
    <w:rsid w:val="00BD76E5"/>
    <w:rsid w:val="00BD78FE"/>
    <w:rsid w:val="00BD7FA3"/>
    <w:rsid w:val="00BE0149"/>
    <w:rsid w:val="00BE0767"/>
    <w:rsid w:val="00BE07A6"/>
    <w:rsid w:val="00BE0CDF"/>
    <w:rsid w:val="00BE0F24"/>
    <w:rsid w:val="00BE12D7"/>
    <w:rsid w:val="00BE1372"/>
    <w:rsid w:val="00BE1775"/>
    <w:rsid w:val="00BE18DA"/>
    <w:rsid w:val="00BE1A14"/>
    <w:rsid w:val="00BE26C0"/>
    <w:rsid w:val="00BE3442"/>
    <w:rsid w:val="00BE37CD"/>
    <w:rsid w:val="00BE47B2"/>
    <w:rsid w:val="00BE4881"/>
    <w:rsid w:val="00BE48C7"/>
    <w:rsid w:val="00BE4F66"/>
    <w:rsid w:val="00BE4FBF"/>
    <w:rsid w:val="00BE5238"/>
    <w:rsid w:val="00BE5742"/>
    <w:rsid w:val="00BE6074"/>
    <w:rsid w:val="00BE60B0"/>
    <w:rsid w:val="00BE6D73"/>
    <w:rsid w:val="00BE7257"/>
    <w:rsid w:val="00BE792A"/>
    <w:rsid w:val="00BF020D"/>
    <w:rsid w:val="00BF0532"/>
    <w:rsid w:val="00BF0609"/>
    <w:rsid w:val="00BF0EE8"/>
    <w:rsid w:val="00BF0F20"/>
    <w:rsid w:val="00BF10ED"/>
    <w:rsid w:val="00BF15F2"/>
    <w:rsid w:val="00BF1DD2"/>
    <w:rsid w:val="00BF23A3"/>
    <w:rsid w:val="00BF2A7E"/>
    <w:rsid w:val="00BF2CD0"/>
    <w:rsid w:val="00BF3331"/>
    <w:rsid w:val="00BF3A45"/>
    <w:rsid w:val="00BF436F"/>
    <w:rsid w:val="00BF5C05"/>
    <w:rsid w:val="00BF5E78"/>
    <w:rsid w:val="00BF6A12"/>
    <w:rsid w:val="00BF6FC6"/>
    <w:rsid w:val="00BF7B1E"/>
    <w:rsid w:val="00BF7C52"/>
    <w:rsid w:val="00BF7F99"/>
    <w:rsid w:val="00C00713"/>
    <w:rsid w:val="00C009A0"/>
    <w:rsid w:val="00C0167E"/>
    <w:rsid w:val="00C01F74"/>
    <w:rsid w:val="00C020C1"/>
    <w:rsid w:val="00C02558"/>
    <w:rsid w:val="00C025FE"/>
    <w:rsid w:val="00C0285F"/>
    <w:rsid w:val="00C028F5"/>
    <w:rsid w:val="00C02CBF"/>
    <w:rsid w:val="00C02F35"/>
    <w:rsid w:val="00C03305"/>
    <w:rsid w:val="00C033EC"/>
    <w:rsid w:val="00C03515"/>
    <w:rsid w:val="00C03738"/>
    <w:rsid w:val="00C037A6"/>
    <w:rsid w:val="00C04221"/>
    <w:rsid w:val="00C043F5"/>
    <w:rsid w:val="00C044E3"/>
    <w:rsid w:val="00C04607"/>
    <w:rsid w:val="00C04BDB"/>
    <w:rsid w:val="00C052C6"/>
    <w:rsid w:val="00C056DF"/>
    <w:rsid w:val="00C05A61"/>
    <w:rsid w:val="00C05FBA"/>
    <w:rsid w:val="00C05FEE"/>
    <w:rsid w:val="00C066B4"/>
    <w:rsid w:val="00C06CCF"/>
    <w:rsid w:val="00C0794D"/>
    <w:rsid w:val="00C07BCA"/>
    <w:rsid w:val="00C1066C"/>
    <w:rsid w:val="00C10BB9"/>
    <w:rsid w:val="00C10E78"/>
    <w:rsid w:val="00C1159D"/>
    <w:rsid w:val="00C1233E"/>
    <w:rsid w:val="00C1276C"/>
    <w:rsid w:val="00C12FB3"/>
    <w:rsid w:val="00C138BC"/>
    <w:rsid w:val="00C13D85"/>
    <w:rsid w:val="00C14575"/>
    <w:rsid w:val="00C14639"/>
    <w:rsid w:val="00C14E82"/>
    <w:rsid w:val="00C14FF6"/>
    <w:rsid w:val="00C157F1"/>
    <w:rsid w:val="00C15A85"/>
    <w:rsid w:val="00C1637C"/>
    <w:rsid w:val="00C1641B"/>
    <w:rsid w:val="00C1641F"/>
    <w:rsid w:val="00C165FC"/>
    <w:rsid w:val="00C16DCE"/>
    <w:rsid w:val="00C176D5"/>
    <w:rsid w:val="00C17918"/>
    <w:rsid w:val="00C17D24"/>
    <w:rsid w:val="00C2082C"/>
    <w:rsid w:val="00C20EB0"/>
    <w:rsid w:val="00C21004"/>
    <w:rsid w:val="00C21005"/>
    <w:rsid w:val="00C218DF"/>
    <w:rsid w:val="00C220B6"/>
    <w:rsid w:val="00C2296B"/>
    <w:rsid w:val="00C22D7C"/>
    <w:rsid w:val="00C22D8D"/>
    <w:rsid w:val="00C22DDE"/>
    <w:rsid w:val="00C2338B"/>
    <w:rsid w:val="00C233CE"/>
    <w:rsid w:val="00C237DD"/>
    <w:rsid w:val="00C238F4"/>
    <w:rsid w:val="00C2393A"/>
    <w:rsid w:val="00C23A99"/>
    <w:rsid w:val="00C23AB5"/>
    <w:rsid w:val="00C23B8A"/>
    <w:rsid w:val="00C245EE"/>
    <w:rsid w:val="00C24AE1"/>
    <w:rsid w:val="00C24B8D"/>
    <w:rsid w:val="00C24BD7"/>
    <w:rsid w:val="00C24F7A"/>
    <w:rsid w:val="00C25813"/>
    <w:rsid w:val="00C26C71"/>
    <w:rsid w:val="00C27143"/>
    <w:rsid w:val="00C2725D"/>
    <w:rsid w:val="00C27490"/>
    <w:rsid w:val="00C27556"/>
    <w:rsid w:val="00C27D37"/>
    <w:rsid w:val="00C309E8"/>
    <w:rsid w:val="00C31583"/>
    <w:rsid w:val="00C316C7"/>
    <w:rsid w:val="00C32017"/>
    <w:rsid w:val="00C32571"/>
    <w:rsid w:val="00C325CD"/>
    <w:rsid w:val="00C3322E"/>
    <w:rsid w:val="00C337F5"/>
    <w:rsid w:val="00C3383E"/>
    <w:rsid w:val="00C33B90"/>
    <w:rsid w:val="00C34161"/>
    <w:rsid w:val="00C344F6"/>
    <w:rsid w:val="00C34B5F"/>
    <w:rsid w:val="00C358D4"/>
    <w:rsid w:val="00C365C6"/>
    <w:rsid w:val="00C366F4"/>
    <w:rsid w:val="00C36785"/>
    <w:rsid w:val="00C36FEA"/>
    <w:rsid w:val="00C3711C"/>
    <w:rsid w:val="00C37256"/>
    <w:rsid w:val="00C37A7B"/>
    <w:rsid w:val="00C37DC1"/>
    <w:rsid w:val="00C37FA6"/>
    <w:rsid w:val="00C37FFE"/>
    <w:rsid w:val="00C40791"/>
    <w:rsid w:val="00C40B50"/>
    <w:rsid w:val="00C419E3"/>
    <w:rsid w:val="00C419F4"/>
    <w:rsid w:val="00C41E6A"/>
    <w:rsid w:val="00C42150"/>
    <w:rsid w:val="00C42247"/>
    <w:rsid w:val="00C428E7"/>
    <w:rsid w:val="00C438A2"/>
    <w:rsid w:val="00C439BE"/>
    <w:rsid w:val="00C43A17"/>
    <w:rsid w:val="00C44F26"/>
    <w:rsid w:val="00C451B2"/>
    <w:rsid w:val="00C4539B"/>
    <w:rsid w:val="00C45466"/>
    <w:rsid w:val="00C455C1"/>
    <w:rsid w:val="00C4581D"/>
    <w:rsid w:val="00C46CA4"/>
    <w:rsid w:val="00C4709B"/>
    <w:rsid w:val="00C47472"/>
    <w:rsid w:val="00C500F0"/>
    <w:rsid w:val="00C504A7"/>
    <w:rsid w:val="00C506C9"/>
    <w:rsid w:val="00C50A16"/>
    <w:rsid w:val="00C518CF"/>
    <w:rsid w:val="00C51C9A"/>
    <w:rsid w:val="00C52C68"/>
    <w:rsid w:val="00C52D98"/>
    <w:rsid w:val="00C52DA1"/>
    <w:rsid w:val="00C53D24"/>
    <w:rsid w:val="00C5419B"/>
    <w:rsid w:val="00C54640"/>
    <w:rsid w:val="00C547A6"/>
    <w:rsid w:val="00C54A3A"/>
    <w:rsid w:val="00C54A5A"/>
    <w:rsid w:val="00C55C32"/>
    <w:rsid w:val="00C5602D"/>
    <w:rsid w:val="00C56A67"/>
    <w:rsid w:val="00C56CC2"/>
    <w:rsid w:val="00C56D8D"/>
    <w:rsid w:val="00C57498"/>
    <w:rsid w:val="00C5763C"/>
    <w:rsid w:val="00C5780C"/>
    <w:rsid w:val="00C5796B"/>
    <w:rsid w:val="00C57C64"/>
    <w:rsid w:val="00C612C4"/>
    <w:rsid w:val="00C619A1"/>
    <w:rsid w:val="00C62370"/>
    <w:rsid w:val="00C62BBB"/>
    <w:rsid w:val="00C6305F"/>
    <w:rsid w:val="00C6325B"/>
    <w:rsid w:val="00C63888"/>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0539"/>
    <w:rsid w:val="00C707DD"/>
    <w:rsid w:val="00C71767"/>
    <w:rsid w:val="00C71E2A"/>
    <w:rsid w:val="00C733BA"/>
    <w:rsid w:val="00C73605"/>
    <w:rsid w:val="00C742F6"/>
    <w:rsid w:val="00C760DC"/>
    <w:rsid w:val="00C77777"/>
    <w:rsid w:val="00C8082B"/>
    <w:rsid w:val="00C80C6B"/>
    <w:rsid w:val="00C81A88"/>
    <w:rsid w:val="00C81D46"/>
    <w:rsid w:val="00C82298"/>
    <w:rsid w:val="00C82DC7"/>
    <w:rsid w:val="00C8331F"/>
    <w:rsid w:val="00C833B4"/>
    <w:rsid w:val="00C84284"/>
    <w:rsid w:val="00C84E33"/>
    <w:rsid w:val="00C85FFC"/>
    <w:rsid w:val="00C861FC"/>
    <w:rsid w:val="00C86C87"/>
    <w:rsid w:val="00C9005E"/>
    <w:rsid w:val="00C90111"/>
    <w:rsid w:val="00C9038E"/>
    <w:rsid w:val="00C9077B"/>
    <w:rsid w:val="00C90B39"/>
    <w:rsid w:val="00C90CA9"/>
    <w:rsid w:val="00C90F88"/>
    <w:rsid w:val="00C915F2"/>
    <w:rsid w:val="00C917B1"/>
    <w:rsid w:val="00C9193C"/>
    <w:rsid w:val="00C91B77"/>
    <w:rsid w:val="00C920E2"/>
    <w:rsid w:val="00C925F1"/>
    <w:rsid w:val="00C933D6"/>
    <w:rsid w:val="00C9370F"/>
    <w:rsid w:val="00C93765"/>
    <w:rsid w:val="00C93877"/>
    <w:rsid w:val="00C939D1"/>
    <w:rsid w:val="00C93D8C"/>
    <w:rsid w:val="00C93E07"/>
    <w:rsid w:val="00C940D9"/>
    <w:rsid w:val="00C946CC"/>
    <w:rsid w:val="00C959BD"/>
    <w:rsid w:val="00C95DFE"/>
    <w:rsid w:val="00C95F44"/>
    <w:rsid w:val="00C96331"/>
    <w:rsid w:val="00C96D1B"/>
    <w:rsid w:val="00C97106"/>
    <w:rsid w:val="00C978D4"/>
    <w:rsid w:val="00CA0031"/>
    <w:rsid w:val="00CA0413"/>
    <w:rsid w:val="00CA043A"/>
    <w:rsid w:val="00CA0E51"/>
    <w:rsid w:val="00CA1691"/>
    <w:rsid w:val="00CA36F3"/>
    <w:rsid w:val="00CA41E7"/>
    <w:rsid w:val="00CA44ED"/>
    <w:rsid w:val="00CA4A99"/>
    <w:rsid w:val="00CA4CCC"/>
    <w:rsid w:val="00CA5173"/>
    <w:rsid w:val="00CA5520"/>
    <w:rsid w:val="00CA5812"/>
    <w:rsid w:val="00CA5984"/>
    <w:rsid w:val="00CA5BD4"/>
    <w:rsid w:val="00CA5C14"/>
    <w:rsid w:val="00CA6B2F"/>
    <w:rsid w:val="00CA7019"/>
    <w:rsid w:val="00CA76FC"/>
    <w:rsid w:val="00CA7E7B"/>
    <w:rsid w:val="00CB0236"/>
    <w:rsid w:val="00CB0C97"/>
    <w:rsid w:val="00CB0CB1"/>
    <w:rsid w:val="00CB137C"/>
    <w:rsid w:val="00CB1881"/>
    <w:rsid w:val="00CB1969"/>
    <w:rsid w:val="00CB19E3"/>
    <w:rsid w:val="00CB2C3A"/>
    <w:rsid w:val="00CB2D38"/>
    <w:rsid w:val="00CB2F5E"/>
    <w:rsid w:val="00CB4137"/>
    <w:rsid w:val="00CB48EA"/>
    <w:rsid w:val="00CB50D0"/>
    <w:rsid w:val="00CB52D0"/>
    <w:rsid w:val="00CB5578"/>
    <w:rsid w:val="00CB5671"/>
    <w:rsid w:val="00CB591C"/>
    <w:rsid w:val="00CB5943"/>
    <w:rsid w:val="00CB61B3"/>
    <w:rsid w:val="00CB61F2"/>
    <w:rsid w:val="00CB6801"/>
    <w:rsid w:val="00CB6F83"/>
    <w:rsid w:val="00CB72AE"/>
    <w:rsid w:val="00CC00CD"/>
    <w:rsid w:val="00CC0579"/>
    <w:rsid w:val="00CC090E"/>
    <w:rsid w:val="00CC0AF3"/>
    <w:rsid w:val="00CC0BC6"/>
    <w:rsid w:val="00CC0E68"/>
    <w:rsid w:val="00CC1780"/>
    <w:rsid w:val="00CC194E"/>
    <w:rsid w:val="00CC1C03"/>
    <w:rsid w:val="00CC21AC"/>
    <w:rsid w:val="00CC232E"/>
    <w:rsid w:val="00CC2514"/>
    <w:rsid w:val="00CC2D34"/>
    <w:rsid w:val="00CC2F69"/>
    <w:rsid w:val="00CC315F"/>
    <w:rsid w:val="00CC3D38"/>
    <w:rsid w:val="00CC3F2F"/>
    <w:rsid w:val="00CC40C3"/>
    <w:rsid w:val="00CC4CB4"/>
    <w:rsid w:val="00CC4E5D"/>
    <w:rsid w:val="00CC4EF4"/>
    <w:rsid w:val="00CC4F22"/>
    <w:rsid w:val="00CC50AE"/>
    <w:rsid w:val="00CC5FFE"/>
    <w:rsid w:val="00CC61B7"/>
    <w:rsid w:val="00CC61CA"/>
    <w:rsid w:val="00CC69EC"/>
    <w:rsid w:val="00CC71D3"/>
    <w:rsid w:val="00CC743D"/>
    <w:rsid w:val="00CD02ED"/>
    <w:rsid w:val="00CD050A"/>
    <w:rsid w:val="00CD1017"/>
    <w:rsid w:val="00CD109C"/>
    <w:rsid w:val="00CD205D"/>
    <w:rsid w:val="00CD2A22"/>
    <w:rsid w:val="00CD2B50"/>
    <w:rsid w:val="00CD3172"/>
    <w:rsid w:val="00CD405A"/>
    <w:rsid w:val="00CD4506"/>
    <w:rsid w:val="00CD520B"/>
    <w:rsid w:val="00CD576C"/>
    <w:rsid w:val="00CD592E"/>
    <w:rsid w:val="00CD5982"/>
    <w:rsid w:val="00CD5A1A"/>
    <w:rsid w:val="00CD5BF5"/>
    <w:rsid w:val="00CD5C26"/>
    <w:rsid w:val="00CD6126"/>
    <w:rsid w:val="00CD6CAB"/>
    <w:rsid w:val="00CD6FFF"/>
    <w:rsid w:val="00CD7EFA"/>
    <w:rsid w:val="00CE020E"/>
    <w:rsid w:val="00CE026B"/>
    <w:rsid w:val="00CE0566"/>
    <w:rsid w:val="00CE06EF"/>
    <w:rsid w:val="00CE1CD4"/>
    <w:rsid w:val="00CE24D3"/>
    <w:rsid w:val="00CE2761"/>
    <w:rsid w:val="00CE28FC"/>
    <w:rsid w:val="00CE314E"/>
    <w:rsid w:val="00CE3A85"/>
    <w:rsid w:val="00CE3D5C"/>
    <w:rsid w:val="00CE3E09"/>
    <w:rsid w:val="00CE3E14"/>
    <w:rsid w:val="00CE44C7"/>
    <w:rsid w:val="00CE53CC"/>
    <w:rsid w:val="00CE5F60"/>
    <w:rsid w:val="00CE65A7"/>
    <w:rsid w:val="00CE68EF"/>
    <w:rsid w:val="00CE68FE"/>
    <w:rsid w:val="00CE69CC"/>
    <w:rsid w:val="00CE6EC4"/>
    <w:rsid w:val="00CE7F26"/>
    <w:rsid w:val="00CF021C"/>
    <w:rsid w:val="00CF1226"/>
    <w:rsid w:val="00CF1ABB"/>
    <w:rsid w:val="00CF1E1D"/>
    <w:rsid w:val="00CF1EB8"/>
    <w:rsid w:val="00CF24FE"/>
    <w:rsid w:val="00CF280C"/>
    <w:rsid w:val="00CF287F"/>
    <w:rsid w:val="00CF305E"/>
    <w:rsid w:val="00CF35D0"/>
    <w:rsid w:val="00CF3B57"/>
    <w:rsid w:val="00CF3D61"/>
    <w:rsid w:val="00CF3DD5"/>
    <w:rsid w:val="00CF43E7"/>
    <w:rsid w:val="00CF4AF7"/>
    <w:rsid w:val="00CF4D20"/>
    <w:rsid w:val="00CF5EC0"/>
    <w:rsid w:val="00CF73F8"/>
    <w:rsid w:val="00CF7675"/>
    <w:rsid w:val="00CF7928"/>
    <w:rsid w:val="00CF7CA2"/>
    <w:rsid w:val="00D00911"/>
    <w:rsid w:val="00D00A8E"/>
    <w:rsid w:val="00D00DE0"/>
    <w:rsid w:val="00D00F79"/>
    <w:rsid w:val="00D012BF"/>
    <w:rsid w:val="00D01760"/>
    <w:rsid w:val="00D01838"/>
    <w:rsid w:val="00D028B5"/>
    <w:rsid w:val="00D0368E"/>
    <w:rsid w:val="00D03AC3"/>
    <w:rsid w:val="00D03D2D"/>
    <w:rsid w:val="00D03E7B"/>
    <w:rsid w:val="00D0401A"/>
    <w:rsid w:val="00D047E0"/>
    <w:rsid w:val="00D04B9F"/>
    <w:rsid w:val="00D04D43"/>
    <w:rsid w:val="00D04F94"/>
    <w:rsid w:val="00D04FFB"/>
    <w:rsid w:val="00D055FE"/>
    <w:rsid w:val="00D058E9"/>
    <w:rsid w:val="00D0612A"/>
    <w:rsid w:val="00D06693"/>
    <w:rsid w:val="00D1060D"/>
    <w:rsid w:val="00D10D14"/>
    <w:rsid w:val="00D10E7C"/>
    <w:rsid w:val="00D11182"/>
    <w:rsid w:val="00D1137B"/>
    <w:rsid w:val="00D11508"/>
    <w:rsid w:val="00D11807"/>
    <w:rsid w:val="00D11881"/>
    <w:rsid w:val="00D11DB3"/>
    <w:rsid w:val="00D12D82"/>
    <w:rsid w:val="00D12F77"/>
    <w:rsid w:val="00D1306E"/>
    <w:rsid w:val="00D130B7"/>
    <w:rsid w:val="00D134CD"/>
    <w:rsid w:val="00D13FE4"/>
    <w:rsid w:val="00D1401E"/>
    <w:rsid w:val="00D143B8"/>
    <w:rsid w:val="00D14B5F"/>
    <w:rsid w:val="00D14E13"/>
    <w:rsid w:val="00D14F23"/>
    <w:rsid w:val="00D160F6"/>
    <w:rsid w:val="00D16740"/>
    <w:rsid w:val="00D16A8B"/>
    <w:rsid w:val="00D16E39"/>
    <w:rsid w:val="00D171DE"/>
    <w:rsid w:val="00D172A4"/>
    <w:rsid w:val="00D17951"/>
    <w:rsid w:val="00D17AD8"/>
    <w:rsid w:val="00D201E8"/>
    <w:rsid w:val="00D205C7"/>
    <w:rsid w:val="00D2104A"/>
    <w:rsid w:val="00D21A58"/>
    <w:rsid w:val="00D21BB5"/>
    <w:rsid w:val="00D21FFC"/>
    <w:rsid w:val="00D223B6"/>
    <w:rsid w:val="00D223E8"/>
    <w:rsid w:val="00D224E1"/>
    <w:rsid w:val="00D22DC8"/>
    <w:rsid w:val="00D23094"/>
    <w:rsid w:val="00D23732"/>
    <w:rsid w:val="00D2374F"/>
    <w:rsid w:val="00D2477B"/>
    <w:rsid w:val="00D24F93"/>
    <w:rsid w:val="00D25027"/>
    <w:rsid w:val="00D2522A"/>
    <w:rsid w:val="00D2531C"/>
    <w:rsid w:val="00D25428"/>
    <w:rsid w:val="00D2553E"/>
    <w:rsid w:val="00D2587F"/>
    <w:rsid w:val="00D2742F"/>
    <w:rsid w:val="00D2754F"/>
    <w:rsid w:val="00D277C5"/>
    <w:rsid w:val="00D279D9"/>
    <w:rsid w:val="00D27FFA"/>
    <w:rsid w:val="00D309A0"/>
    <w:rsid w:val="00D312DC"/>
    <w:rsid w:val="00D31B84"/>
    <w:rsid w:val="00D31C6A"/>
    <w:rsid w:val="00D31EDF"/>
    <w:rsid w:val="00D31FF9"/>
    <w:rsid w:val="00D32149"/>
    <w:rsid w:val="00D32256"/>
    <w:rsid w:val="00D32784"/>
    <w:rsid w:val="00D32A27"/>
    <w:rsid w:val="00D32ABC"/>
    <w:rsid w:val="00D33D9B"/>
    <w:rsid w:val="00D33EE9"/>
    <w:rsid w:val="00D33FA4"/>
    <w:rsid w:val="00D34B25"/>
    <w:rsid w:val="00D34C7F"/>
    <w:rsid w:val="00D34F4E"/>
    <w:rsid w:val="00D357F3"/>
    <w:rsid w:val="00D35C0E"/>
    <w:rsid w:val="00D36FBF"/>
    <w:rsid w:val="00D373A8"/>
    <w:rsid w:val="00D379A5"/>
    <w:rsid w:val="00D37BB3"/>
    <w:rsid w:val="00D37C5D"/>
    <w:rsid w:val="00D401BE"/>
    <w:rsid w:val="00D4043A"/>
    <w:rsid w:val="00D40DB0"/>
    <w:rsid w:val="00D41093"/>
    <w:rsid w:val="00D41858"/>
    <w:rsid w:val="00D41EEB"/>
    <w:rsid w:val="00D41F88"/>
    <w:rsid w:val="00D422DB"/>
    <w:rsid w:val="00D42AC2"/>
    <w:rsid w:val="00D4498E"/>
    <w:rsid w:val="00D4515F"/>
    <w:rsid w:val="00D451E8"/>
    <w:rsid w:val="00D45EE8"/>
    <w:rsid w:val="00D466C9"/>
    <w:rsid w:val="00D46B43"/>
    <w:rsid w:val="00D47275"/>
    <w:rsid w:val="00D517F6"/>
    <w:rsid w:val="00D51AB7"/>
    <w:rsid w:val="00D51E15"/>
    <w:rsid w:val="00D52B7E"/>
    <w:rsid w:val="00D52E2F"/>
    <w:rsid w:val="00D52F59"/>
    <w:rsid w:val="00D53445"/>
    <w:rsid w:val="00D536E0"/>
    <w:rsid w:val="00D53C61"/>
    <w:rsid w:val="00D53E3E"/>
    <w:rsid w:val="00D54620"/>
    <w:rsid w:val="00D55904"/>
    <w:rsid w:val="00D55DFF"/>
    <w:rsid w:val="00D5614E"/>
    <w:rsid w:val="00D5616F"/>
    <w:rsid w:val="00D57940"/>
    <w:rsid w:val="00D60327"/>
    <w:rsid w:val="00D605BB"/>
    <w:rsid w:val="00D61384"/>
    <w:rsid w:val="00D61526"/>
    <w:rsid w:val="00D61C39"/>
    <w:rsid w:val="00D61C74"/>
    <w:rsid w:val="00D61F81"/>
    <w:rsid w:val="00D62088"/>
    <w:rsid w:val="00D620A6"/>
    <w:rsid w:val="00D623C0"/>
    <w:rsid w:val="00D62631"/>
    <w:rsid w:val="00D62BE6"/>
    <w:rsid w:val="00D62F00"/>
    <w:rsid w:val="00D63359"/>
    <w:rsid w:val="00D63706"/>
    <w:rsid w:val="00D63766"/>
    <w:rsid w:val="00D63912"/>
    <w:rsid w:val="00D63923"/>
    <w:rsid w:val="00D6451B"/>
    <w:rsid w:val="00D64B57"/>
    <w:rsid w:val="00D650F4"/>
    <w:rsid w:val="00D651A1"/>
    <w:rsid w:val="00D65B2B"/>
    <w:rsid w:val="00D65C15"/>
    <w:rsid w:val="00D65DEA"/>
    <w:rsid w:val="00D6650F"/>
    <w:rsid w:val="00D66579"/>
    <w:rsid w:val="00D66CF2"/>
    <w:rsid w:val="00D676D3"/>
    <w:rsid w:val="00D67B06"/>
    <w:rsid w:val="00D67BC7"/>
    <w:rsid w:val="00D67C3B"/>
    <w:rsid w:val="00D701F1"/>
    <w:rsid w:val="00D705D3"/>
    <w:rsid w:val="00D70E00"/>
    <w:rsid w:val="00D70F7C"/>
    <w:rsid w:val="00D715AC"/>
    <w:rsid w:val="00D71851"/>
    <w:rsid w:val="00D718CF"/>
    <w:rsid w:val="00D728F5"/>
    <w:rsid w:val="00D72BC3"/>
    <w:rsid w:val="00D72E9D"/>
    <w:rsid w:val="00D73249"/>
    <w:rsid w:val="00D732AC"/>
    <w:rsid w:val="00D73419"/>
    <w:rsid w:val="00D73437"/>
    <w:rsid w:val="00D73881"/>
    <w:rsid w:val="00D73CA9"/>
    <w:rsid w:val="00D751B7"/>
    <w:rsid w:val="00D75232"/>
    <w:rsid w:val="00D7524B"/>
    <w:rsid w:val="00D75396"/>
    <w:rsid w:val="00D753E7"/>
    <w:rsid w:val="00D759C0"/>
    <w:rsid w:val="00D75E99"/>
    <w:rsid w:val="00D765CE"/>
    <w:rsid w:val="00D766C7"/>
    <w:rsid w:val="00D7692B"/>
    <w:rsid w:val="00D7734F"/>
    <w:rsid w:val="00D7762A"/>
    <w:rsid w:val="00D7791D"/>
    <w:rsid w:val="00D77CF4"/>
    <w:rsid w:val="00D77D89"/>
    <w:rsid w:val="00D8039E"/>
    <w:rsid w:val="00D8044C"/>
    <w:rsid w:val="00D805D6"/>
    <w:rsid w:val="00D8075E"/>
    <w:rsid w:val="00D80860"/>
    <w:rsid w:val="00D80D4C"/>
    <w:rsid w:val="00D8184D"/>
    <w:rsid w:val="00D81A7B"/>
    <w:rsid w:val="00D8223C"/>
    <w:rsid w:val="00D82A7D"/>
    <w:rsid w:val="00D82B57"/>
    <w:rsid w:val="00D82CE5"/>
    <w:rsid w:val="00D82DFA"/>
    <w:rsid w:val="00D831E3"/>
    <w:rsid w:val="00D8342C"/>
    <w:rsid w:val="00D84983"/>
    <w:rsid w:val="00D84C00"/>
    <w:rsid w:val="00D85494"/>
    <w:rsid w:val="00D8582C"/>
    <w:rsid w:val="00D85D61"/>
    <w:rsid w:val="00D8616D"/>
    <w:rsid w:val="00D8711B"/>
    <w:rsid w:val="00D87384"/>
    <w:rsid w:val="00D87882"/>
    <w:rsid w:val="00D9015D"/>
    <w:rsid w:val="00D90683"/>
    <w:rsid w:val="00D90B2A"/>
    <w:rsid w:val="00D9118C"/>
    <w:rsid w:val="00D91483"/>
    <w:rsid w:val="00D915C8"/>
    <w:rsid w:val="00D917FF"/>
    <w:rsid w:val="00D92653"/>
    <w:rsid w:val="00D93049"/>
    <w:rsid w:val="00D9310B"/>
    <w:rsid w:val="00D931F3"/>
    <w:rsid w:val="00D93726"/>
    <w:rsid w:val="00D93F3E"/>
    <w:rsid w:val="00D9405B"/>
    <w:rsid w:val="00D94942"/>
    <w:rsid w:val="00D9502A"/>
    <w:rsid w:val="00D95145"/>
    <w:rsid w:val="00D954BB"/>
    <w:rsid w:val="00D96594"/>
    <w:rsid w:val="00D96678"/>
    <w:rsid w:val="00D967CB"/>
    <w:rsid w:val="00D968D4"/>
    <w:rsid w:val="00D96EE0"/>
    <w:rsid w:val="00D96F14"/>
    <w:rsid w:val="00D97BD1"/>
    <w:rsid w:val="00D97EF0"/>
    <w:rsid w:val="00DA00C3"/>
    <w:rsid w:val="00DA01E9"/>
    <w:rsid w:val="00DA06B8"/>
    <w:rsid w:val="00DA14A9"/>
    <w:rsid w:val="00DA1863"/>
    <w:rsid w:val="00DA1CE7"/>
    <w:rsid w:val="00DA286D"/>
    <w:rsid w:val="00DA2969"/>
    <w:rsid w:val="00DA29B7"/>
    <w:rsid w:val="00DA2E5F"/>
    <w:rsid w:val="00DA337C"/>
    <w:rsid w:val="00DA422F"/>
    <w:rsid w:val="00DA4842"/>
    <w:rsid w:val="00DA4C97"/>
    <w:rsid w:val="00DA4F35"/>
    <w:rsid w:val="00DA5989"/>
    <w:rsid w:val="00DA5AB1"/>
    <w:rsid w:val="00DA5F9D"/>
    <w:rsid w:val="00DA6719"/>
    <w:rsid w:val="00DA69B2"/>
    <w:rsid w:val="00DA7462"/>
    <w:rsid w:val="00DA7AD0"/>
    <w:rsid w:val="00DB02D7"/>
    <w:rsid w:val="00DB03CC"/>
    <w:rsid w:val="00DB12D4"/>
    <w:rsid w:val="00DB14F0"/>
    <w:rsid w:val="00DB1745"/>
    <w:rsid w:val="00DB177C"/>
    <w:rsid w:val="00DB19BB"/>
    <w:rsid w:val="00DB1A00"/>
    <w:rsid w:val="00DB1AFF"/>
    <w:rsid w:val="00DB219A"/>
    <w:rsid w:val="00DB244B"/>
    <w:rsid w:val="00DB3165"/>
    <w:rsid w:val="00DB4292"/>
    <w:rsid w:val="00DB5023"/>
    <w:rsid w:val="00DB52D2"/>
    <w:rsid w:val="00DB6E46"/>
    <w:rsid w:val="00DB7117"/>
    <w:rsid w:val="00DB7760"/>
    <w:rsid w:val="00DB7DD4"/>
    <w:rsid w:val="00DC00B4"/>
    <w:rsid w:val="00DC0954"/>
    <w:rsid w:val="00DC0DF8"/>
    <w:rsid w:val="00DC15BA"/>
    <w:rsid w:val="00DC18CD"/>
    <w:rsid w:val="00DC1A68"/>
    <w:rsid w:val="00DC2072"/>
    <w:rsid w:val="00DC28EC"/>
    <w:rsid w:val="00DC30B8"/>
    <w:rsid w:val="00DC478F"/>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47D3"/>
    <w:rsid w:val="00DD5808"/>
    <w:rsid w:val="00DD5946"/>
    <w:rsid w:val="00DD5B04"/>
    <w:rsid w:val="00DD5DAE"/>
    <w:rsid w:val="00DD5EC6"/>
    <w:rsid w:val="00DD605F"/>
    <w:rsid w:val="00DD6A79"/>
    <w:rsid w:val="00DD72A0"/>
    <w:rsid w:val="00DD735D"/>
    <w:rsid w:val="00DD7F7D"/>
    <w:rsid w:val="00DE0159"/>
    <w:rsid w:val="00DE064A"/>
    <w:rsid w:val="00DE082D"/>
    <w:rsid w:val="00DE1410"/>
    <w:rsid w:val="00DE1B18"/>
    <w:rsid w:val="00DE20C6"/>
    <w:rsid w:val="00DE2C0C"/>
    <w:rsid w:val="00DE2E9B"/>
    <w:rsid w:val="00DE3119"/>
    <w:rsid w:val="00DE3789"/>
    <w:rsid w:val="00DE3C24"/>
    <w:rsid w:val="00DE3FF0"/>
    <w:rsid w:val="00DE4105"/>
    <w:rsid w:val="00DE4BEA"/>
    <w:rsid w:val="00DE5189"/>
    <w:rsid w:val="00DE67D2"/>
    <w:rsid w:val="00DE7108"/>
    <w:rsid w:val="00DE78D1"/>
    <w:rsid w:val="00DE78FF"/>
    <w:rsid w:val="00DE7B11"/>
    <w:rsid w:val="00DF0263"/>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0F4"/>
    <w:rsid w:val="00E00B25"/>
    <w:rsid w:val="00E00B7A"/>
    <w:rsid w:val="00E01677"/>
    <w:rsid w:val="00E02144"/>
    <w:rsid w:val="00E02186"/>
    <w:rsid w:val="00E025C0"/>
    <w:rsid w:val="00E025C2"/>
    <w:rsid w:val="00E026BB"/>
    <w:rsid w:val="00E027C5"/>
    <w:rsid w:val="00E03124"/>
    <w:rsid w:val="00E031C3"/>
    <w:rsid w:val="00E03951"/>
    <w:rsid w:val="00E03DB8"/>
    <w:rsid w:val="00E03F17"/>
    <w:rsid w:val="00E0420C"/>
    <w:rsid w:val="00E04EDD"/>
    <w:rsid w:val="00E057B6"/>
    <w:rsid w:val="00E05E70"/>
    <w:rsid w:val="00E064BC"/>
    <w:rsid w:val="00E068BB"/>
    <w:rsid w:val="00E070C1"/>
    <w:rsid w:val="00E07225"/>
    <w:rsid w:val="00E073FC"/>
    <w:rsid w:val="00E076B4"/>
    <w:rsid w:val="00E07B55"/>
    <w:rsid w:val="00E10579"/>
    <w:rsid w:val="00E109DD"/>
    <w:rsid w:val="00E1119F"/>
    <w:rsid w:val="00E11229"/>
    <w:rsid w:val="00E114CA"/>
    <w:rsid w:val="00E11C7B"/>
    <w:rsid w:val="00E127D1"/>
    <w:rsid w:val="00E13234"/>
    <w:rsid w:val="00E13867"/>
    <w:rsid w:val="00E1397F"/>
    <w:rsid w:val="00E13AB8"/>
    <w:rsid w:val="00E1482E"/>
    <w:rsid w:val="00E1592E"/>
    <w:rsid w:val="00E160A1"/>
    <w:rsid w:val="00E16382"/>
    <w:rsid w:val="00E1699C"/>
    <w:rsid w:val="00E16E75"/>
    <w:rsid w:val="00E1746D"/>
    <w:rsid w:val="00E17AD2"/>
    <w:rsid w:val="00E2012A"/>
    <w:rsid w:val="00E20209"/>
    <w:rsid w:val="00E205A2"/>
    <w:rsid w:val="00E20BA4"/>
    <w:rsid w:val="00E210D0"/>
    <w:rsid w:val="00E21887"/>
    <w:rsid w:val="00E21CC0"/>
    <w:rsid w:val="00E226EF"/>
    <w:rsid w:val="00E23137"/>
    <w:rsid w:val="00E23980"/>
    <w:rsid w:val="00E23AB0"/>
    <w:rsid w:val="00E241E9"/>
    <w:rsid w:val="00E243D8"/>
    <w:rsid w:val="00E24670"/>
    <w:rsid w:val="00E2490F"/>
    <w:rsid w:val="00E257C3"/>
    <w:rsid w:val="00E25CB3"/>
    <w:rsid w:val="00E25DA4"/>
    <w:rsid w:val="00E26237"/>
    <w:rsid w:val="00E26551"/>
    <w:rsid w:val="00E26CB8"/>
    <w:rsid w:val="00E26D16"/>
    <w:rsid w:val="00E26FCF"/>
    <w:rsid w:val="00E27165"/>
    <w:rsid w:val="00E275D9"/>
    <w:rsid w:val="00E3044A"/>
    <w:rsid w:val="00E30E49"/>
    <w:rsid w:val="00E312B1"/>
    <w:rsid w:val="00E31A4A"/>
    <w:rsid w:val="00E3344A"/>
    <w:rsid w:val="00E337CC"/>
    <w:rsid w:val="00E33B29"/>
    <w:rsid w:val="00E33B62"/>
    <w:rsid w:val="00E3403D"/>
    <w:rsid w:val="00E34376"/>
    <w:rsid w:val="00E344BD"/>
    <w:rsid w:val="00E34548"/>
    <w:rsid w:val="00E3476F"/>
    <w:rsid w:val="00E34E6C"/>
    <w:rsid w:val="00E352B9"/>
    <w:rsid w:val="00E353E2"/>
    <w:rsid w:val="00E36345"/>
    <w:rsid w:val="00E36C86"/>
    <w:rsid w:val="00E36CEB"/>
    <w:rsid w:val="00E37A28"/>
    <w:rsid w:val="00E400C7"/>
    <w:rsid w:val="00E40430"/>
    <w:rsid w:val="00E40690"/>
    <w:rsid w:val="00E40AEB"/>
    <w:rsid w:val="00E40E82"/>
    <w:rsid w:val="00E41141"/>
    <w:rsid w:val="00E4143A"/>
    <w:rsid w:val="00E41E97"/>
    <w:rsid w:val="00E41FFC"/>
    <w:rsid w:val="00E424C8"/>
    <w:rsid w:val="00E4251D"/>
    <w:rsid w:val="00E427EF"/>
    <w:rsid w:val="00E43D00"/>
    <w:rsid w:val="00E43FCB"/>
    <w:rsid w:val="00E443B4"/>
    <w:rsid w:val="00E445E4"/>
    <w:rsid w:val="00E457CB"/>
    <w:rsid w:val="00E45D47"/>
    <w:rsid w:val="00E45DE4"/>
    <w:rsid w:val="00E45E63"/>
    <w:rsid w:val="00E45F35"/>
    <w:rsid w:val="00E47027"/>
    <w:rsid w:val="00E4759C"/>
    <w:rsid w:val="00E47DA0"/>
    <w:rsid w:val="00E50A7B"/>
    <w:rsid w:val="00E50B0B"/>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7E4"/>
    <w:rsid w:val="00E548C3"/>
    <w:rsid w:val="00E549D4"/>
    <w:rsid w:val="00E54C6E"/>
    <w:rsid w:val="00E54F27"/>
    <w:rsid w:val="00E5555F"/>
    <w:rsid w:val="00E55FF1"/>
    <w:rsid w:val="00E56090"/>
    <w:rsid w:val="00E56408"/>
    <w:rsid w:val="00E565B9"/>
    <w:rsid w:val="00E56E7B"/>
    <w:rsid w:val="00E5733B"/>
    <w:rsid w:val="00E5756C"/>
    <w:rsid w:val="00E5768D"/>
    <w:rsid w:val="00E57811"/>
    <w:rsid w:val="00E57CC5"/>
    <w:rsid w:val="00E57D8F"/>
    <w:rsid w:val="00E57FB0"/>
    <w:rsid w:val="00E601BE"/>
    <w:rsid w:val="00E60A44"/>
    <w:rsid w:val="00E60B5F"/>
    <w:rsid w:val="00E613AE"/>
    <w:rsid w:val="00E61429"/>
    <w:rsid w:val="00E61ABB"/>
    <w:rsid w:val="00E61FD7"/>
    <w:rsid w:val="00E623E6"/>
    <w:rsid w:val="00E62BBF"/>
    <w:rsid w:val="00E62C76"/>
    <w:rsid w:val="00E630A2"/>
    <w:rsid w:val="00E630C0"/>
    <w:rsid w:val="00E63107"/>
    <w:rsid w:val="00E6312C"/>
    <w:rsid w:val="00E634E6"/>
    <w:rsid w:val="00E63DCE"/>
    <w:rsid w:val="00E640D2"/>
    <w:rsid w:val="00E642EF"/>
    <w:rsid w:val="00E643A3"/>
    <w:rsid w:val="00E64700"/>
    <w:rsid w:val="00E65074"/>
    <w:rsid w:val="00E65857"/>
    <w:rsid w:val="00E65E70"/>
    <w:rsid w:val="00E66087"/>
    <w:rsid w:val="00E669E5"/>
    <w:rsid w:val="00E66D79"/>
    <w:rsid w:val="00E66FF9"/>
    <w:rsid w:val="00E6706F"/>
    <w:rsid w:val="00E673A2"/>
    <w:rsid w:val="00E67856"/>
    <w:rsid w:val="00E679C8"/>
    <w:rsid w:val="00E70314"/>
    <w:rsid w:val="00E70412"/>
    <w:rsid w:val="00E72080"/>
    <w:rsid w:val="00E724E7"/>
    <w:rsid w:val="00E72791"/>
    <w:rsid w:val="00E72B41"/>
    <w:rsid w:val="00E7347B"/>
    <w:rsid w:val="00E73792"/>
    <w:rsid w:val="00E73D03"/>
    <w:rsid w:val="00E7471C"/>
    <w:rsid w:val="00E7498A"/>
    <w:rsid w:val="00E7514E"/>
    <w:rsid w:val="00E76537"/>
    <w:rsid w:val="00E77784"/>
    <w:rsid w:val="00E77AF5"/>
    <w:rsid w:val="00E8035B"/>
    <w:rsid w:val="00E806D9"/>
    <w:rsid w:val="00E80ADE"/>
    <w:rsid w:val="00E820F4"/>
    <w:rsid w:val="00E82263"/>
    <w:rsid w:val="00E823F9"/>
    <w:rsid w:val="00E82C1F"/>
    <w:rsid w:val="00E83671"/>
    <w:rsid w:val="00E836AD"/>
    <w:rsid w:val="00E83D1E"/>
    <w:rsid w:val="00E840EE"/>
    <w:rsid w:val="00E84314"/>
    <w:rsid w:val="00E849CA"/>
    <w:rsid w:val="00E84A71"/>
    <w:rsid w:val="00E8556F"/>
    <w:rsid w:val="00E85E79"/>
    <w:rsid w:val="00E86556"/>
    <w:rsid w:val="00E86D35"/>
    <w:rsid w:val="00E86DC2"/>
    <w:rsid w:val="00E86E32"/>
    <w:rsid w:val="00E86F2E"/>
    <w:rsid w:val="00E8732E"/>
    <w:rsid w:val="00E87EAA"/>
    <w:rsid w:val="00E9011F"/>
    <w:rsid w:val="00E906EB"/>
    <w:rsid w:val="00E9170E"/>
    <w:rsid w:val="00E919FB"/>
    <w:rsid w:val="00E91DE4"/>
    <w:rsid w:val="00E9241E"/>
    <w:rsid w:val="00E92460"/>
    <w:rsid w:val="00E92E62"/>
    <w:rsid w:val="00E93804"/>
    <w:rsid w:val="00E93D0B"/>
    <w:rsid w:val="00E9429D"/>
    <w:rsid w:val="00E95434"/>
    <w:rsid w:val="00E96467"/>
    <w:rsid w:val="00E966DA"/>
    <w:rsid w:val="00E96948"/>
    <w:rsid w:val="00E9737B"/>
    <w:rsid w:val="00E97A3F"/>
    <w:rsid w:val="00E97F0A"/>
    <w:rsid w:val="00EA0100"/>
    <w:rsid w:val="00EA0455"/>
    <w:rsid w:val="00EA0BCE"/>
    <w:rsid w:val="00EA10E4"/>
    <w:rsid w:val="00EA17BC"/>
    <w:rsid w:val="00EA2744"/>
    <w:rsid w:val="00EA37B9"/>
    <w:rsid w:val="00EA39F7"/>
    <w:rsid w:val="00EA3DC2"/>
    <w:rsid w:val="00EA434E"/>
    <w:rsid w:val="00EA4757"/>
    <w:rsid w:val="00EA560B"/>
    <w:rsid w:val="00EA5669"/>
    <w:rsid w:val="00EA5A56"/>
    <w:rsid w:val="00EA5CC6"/>
    <w:rsid w:val="00EA63EF"/>
    <w:rsid w:val="00EA7026"/>
    <w:rsid w:val="00EA7CBF"/>
    <w:rsid w:val="00EA7EA0"/>
    <w:rsid w:val="00EB0A89"/>
    <w:rsid w:val="00EB0BD8"/>
    <w:rsid w:val="00EB1573"/>
    <w:rsid w:val="00EB1910"/>
    <w:rsid w:val="00EB2564"/>
    <w:rsid w:val="00EB294A"/>
    <w:rsid w:val="00EB2D83"/>
    <w:rsid w:val="00EB2E97"/>
    <w:rsid w:val="00EB3416"/>
    <w:rsid w:val="00EB497D"/>
    <w:rsid w:val="00EB4AE1"/>
    <w:rsid w:val="00EB52F4"/>
    <w:rsid w:val="00EB5694"/>
    <w:rsid w:val="00EB5779"/>
    <w:rsid w:val="00EB5D2F"/>
    <w:rsid w:val="00EB67F1"/>
    <w:rsid w:val="00EB6ADA"/>
    <w:rsid w:val="00EB7132"/>
    <w:rsid w:val="00EB72CD"/>
    <w:rsid w:val="00EB749A"/>
    <w:rsid w:val="00EB76B6"/>
    <w:rsid w:val="00EB793C"/>
    <w:rsid w:val="00EB7D8A"/>
    <w:rsid w:val="00EC04F7"/>
    <w:rsid w:val="00EC05E2"/>
    <w:rsid w:val="00EC0B39"/>
    <w:rsid w:val="00EC0E84"/>
    <w:rsid w:val="00EC1490"/>
    <w:rsid w:val="00EC16E2"/>
    <w:rsid w:val="00EC1CE7"/>
    <w:rsid w:val="00EC1DAE"/>
    <w:rsid w:val="00EC26F1"/>
    <w:rsid w:val="00EC2E9D"/>
    <w:rsid w:val="00EC3BA2"/>
    <w:rsid w:val="00EC3C94"/>
    <w:rsid w:val="00EC44DF"/>
    <w:rsid w:val="00EC4FB9"/>
    <w:rsid w:val="00EC5393"/>
    <w:rsid w:val="00EC5741"/>
    <w:rsid w:val="00EC5DA3"/>
    <w:rsid w:val="00EC6014"/>
    <w:rsid w:val="00EC6565"/>
    <w:rsid w:val="00EC6B3E"/>
    <w:rsid w:val="00EC73DE"/>
    <w:rsid w:val="00EC7637"/>
    <w:rsid w:val="00EC7C07"/>
    <w:rsid w:val="00EC7CF2"/>
    <w:rsid w:val="00ED046C"/>
    <w:rsid w:val="00ED053A"/>
    <w:rsid w:val="00ED0D6F"/>
    <w:rsid w:val="00ED163A"/>
    <w:rsid w:val="00ED1F03"/>
    <w:rsid w:val="00ED249D"/>
    <w:rsid w:val="00ED2D27"/>
    <w:rsid w:val="00ED2E91"/>
    <w:rsid w:val="00ED3347"/>
    <w:rsid w:val="00ED3441"/>
    <w:rsid w:val="00ED3860"/>
    <w:rsid w:val="00ED3954"/>
    <w:rsid w:val="00ED39AC"/>
    <w:rsid w:val="00ED43A2"/>
    <w:rsid w:val="00ED4967"/>
    <w:rsid w:val="00ED5140"/>
    <w:rsid w:val="00ED538C"/>
    <w:rsid w:val="00ED5771"/>
    <w:rsid w:val="00ED587F"/>
    <w:rsid w:val="00ED5964"/>
    <w:rsid w:val="00ED623F"/>
    <w:rsid w:val="00ED63A5"/>
    <w:rsid w:val="00ED69BA"/>
    <w:rsid w:val="00ED6D1A"/>
    <w:rsid w:val="00ED72E9"/>
    <w:rsid w:val="00ED732E"/>
    <w:rsid w:val="00ED74B3"/>
    <w:rsid w:val="00ED7609"/>
    <w:rsid w:val="00ED77F0"/>
    <w:rsid w:val="00ED7825"/>
    <w:rsid w:val="00ED7FBC"/>
    <w:rsid w:val="00EE0253"/>
    <w:rsid w:val="00EE0297"/>
    <w:rsid w:val="00EE1258"/>
    <w:rsid w:val="00EE13DA"/>
    <w:rsid w:val="00EE1668"/>
    <w:rsid w:val="00EE1EDB"/>
    <w:rsid w:val="00EE24E2"/>
    <w:rsid w:val="00EE2A20"/>
    <w:rsid w:val="00EE365D"/>
    <w:rsid w:val="00EE366D"/>
    <w:rsid w:val="00EE40A4"/>
    <w:rsid w:val="00EE5454"/>
    <w:rsid w:val="00EE59B5"/>
    <w:rsid w:val="00EE5FB7"/>
    <w:rsid w:val="00EE6783"/>
    <w:rsid w:val="00EE678B"/>
    <w:rsid w:val="00EE77D4"/>
    <w:rsid w:val="00EE7B54"/>
    <w:rsid w:val="00EE7C47"/>
    <w:rsid w:val="00EE7C88"/>
    <w:rsid w:val="00EE7C8B"/>
    <w:rsid w:val="00EF0209"/>
    <w:rsid w:val="00EF0B6B"/>
    <w:rsid w:val="00EF0EA4"/>
    <w:rsid w:val="00EF13A6"/>
    <w:rsid w:val="00EF1E97"/>
    <w:rsid w:val="00EF2436"/>
    <w:rsid w:val="00EF2547"/>
    <w:rsid w:val="00EF28D8"/>
    <w:rsid w:val="00EF2B2B"/>
    <w:rsid w:val="00EF2E1C"/>
    <w:rsid w:val="00EF2FD6"/>
    <w:rsid w:val="00EF326A"/>
    <w:rsid w:val="00EF397D"/>
    <w:rsid w:val="00EF41E8"/>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EF7F76"/>
    <w:rsid w:val="00F0030F"/>
    <w:rsid w:val="00F00674"/>
    <w:rsid w:val="00F00EDC"/>
    <w:rsid w:val="00F01657"/>
    <w:rsid w:val="00F01E67"/>
    <w:rsid w:val="00F02009"/>
    <w:rsid w:val="00F02744"/>
    <w:rsid w:val="00F02BFD"/>
    <w:rsid w:val="00F02D25"/>
    <w:rsid w:val="00F02FF4"/>
    <w:rsid w:val="00F03A9C"/>
    <w:rsid w:val="00F03C3D"/>
    <w:rsid w:val="00F0435D"/>
    <w:rsid w:val="00F04580"/>
    <w:rsid w:val="00F04ECA"/>
    <w:rsid w:val="00F04F8B"/>
    <w:rsid w:val="00F06E19"/>
    <w:rsid w:val="00F06F84"/>
    <w:rsid w:val="00F076E7"/>
    <w:rsid w:val="00F07A86"/>
    <w:rsid w:val="00F07AA1"/>
    <w:rsid w:val="00F102E0"/>
    <w:rsid w:val="00F105AE"/>
    <w:rsid w:val="00F10618"/>
    <w:rsid w:val="00F1085C"/>
    <w:rsid w:val="00F10E7D"/>
    <w:rsid w:val="00F1108B"/>
    <w:rsid w:val="00F114FA"/>
    <w:rsid w:val="00F11768"/>
    <w:rsid w:val="00F11951"/>
    <w:rsid w:val="00F12262"/>
    <w:rsid w:val="00F12564"/>
    <w:rsid w:val="00F12AF8"/>
    <w:rsid w:val="00F12C52"/>
    <w:rsid w:val="00F13381"/>
    <w:rsid w:val="00F13828"/>
    <w:rsid w:val="00F13E62"/>
    <w:rsid w:val="00F13F51"/>
    <w:rsid w:val="00F148B7"/>
    <w:rsid w:val="00F14EA9"/>
    <w:rsid w:val="00F15505"/>
    <w:rsid w:val="00F15BFF"/>
    <w:rsid w:val="00F1634B"/>
    <w:rsid w:val="00F16E4F"/>
    <w:rsid w:val="00F171B2"/>
    <w:rsid w:val="00F17244"/>
    <w:rsid w:val="00F20931"/>
    <w:rsid w:val="00F20ECE"/>
    <w:rsid w:val="00F213A0"/>
    <w:rsid w:val="00F21D54"/>
    <w:rsid w:val="00F21EF4"/>
    <w:rsid w:val="00F221A2"/>
    <w:rsid w:val="00F22697"/>
    <w:rsid w:val="00F23069"/>
    <w:rsid w:val="00F23113"/>
    <w:rsid w:val="00F23145"/>
    <w:rsid w:val="00F23255"/>
    <w:rsid w:val="00F23393"/>
    <w:rsid w:val="00F23759"/>
    <w:rsid w:val="00F24644"/>
    <w:rsid w:val="00F24BB1"/>
    <w:rsid w:val="00F25947"/>
    <w:rsid w:val="00F262D6"/>
    <w:rsid w:val="00F26F33"/>
    <w:rsid w:val="00F273D5"/>
    <w:rsid w:val="00F2748A"/>
    <w:rsid w:val="00F2786C"/>
    <w:rsid w:val="00F300A8"/>
    <w:rsid w:val="00F302C6"/>
    <w:rsid w:val="00F30400"/>
    <w:rsid w:val="00F3079E"/>
    <w:rsid w:val="00F31289"/>
    <w:rsid w:val="00F3232D"/>
    <w:rsid w:val="00F32960"/>
    <w:rsid w:val="00F329D6"/>
    <w:rsid w:val="00F3399B"/>
    <w:rsid w:val="00F33F4B"/>
    <w:rsid w:val="00F346ED"/>
    <w:rsid w:val="00F34945"/>
    <w:rsid w:val="00F34E1E"/>
    <w:rsid w:val="00F3570C"/>
    <w:rsid w:val="00F35F49"/>
    <w:rsid w:val="00F363A4"/>
    <w:rsid w:val="00F36765"/>
    <w:rsid w:val="00F368FF"/>
    <w:rsid w:val="00F37068"/>
    <w:rsid w:val="00F37E5F"/>
    <w:rsid w:val="00F37F3F"/>
    <w:rsid w:val="00F40992"/>
    <w:rsid w:val="00F40F72"/>
    <w:rsid w:val="00F41596"/>
    <w:rsid w:val="00F41D8B"/>
    <w:rsid w:val="00F42121"/>
    <w:rsid w:val="00F424B3"/>
    <w:rsid w:val="00F428B1"/>
    <w:rsid w:val="00F428B4"/>
    <w:rsid w:val="00F4345D"/>
    <w:rsid w:val="00F4387B"/>
    <w:rsid w:val="00F45756"/>
    <w:rsid w:val="00F45921"/>
    <w:rsid w:val="00F45B91"/>
    <w:rsid w:val="00F46639"/>
    <w:rsid w:val="00F476FD"/>
    <w:rsid w:val="00F50183"/>
    <w:rsid w:val="00F50D92"/>
    <w:rsid w:val="00F51765"/>
    <w:rsid w:val="00F51A51"/>
    <w:rsid w:val="00F51BC6"/>
    <w:rsid w:val="00F51CB4"/>
    <w:rsid w:val="00F51DE0"/>
    <w:rsid w:val="00F52200"/>
    <w:rsid w:val="00F52324"/>
    <w:rsid w:val="00F52950"/>
    <w:rsid w:val="00F52C9D"/>
    <w:rsid w:val="00F533F1"/>
    <w:rsid w:val="00F53F4F"/>
    <w:rsid w:val="00F55185"/>
    <w:rsid w:val="00F55679"/>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30AC"/>
    <w:rsid w:val="00F65559"/>
    <w:rsid w:val="00F659BB"/>
    <w:rsid w:val="00F65A3C"/>
    <w:rsid w:val="00F66009"/>
    <w:rsid w:val="00F66282"/>
    <w:rsid w:val="00F6639E"/>
    <w:rsid w:val="00F663DD"/>
    <w:rsid w:val="00F670E9"/>
    <w:rsid w:val="00F6749F"/>
    <w:rsid w:val="00F67AF1"/>
    <w:rsid w:val="00F67D8B"/>
    <w:rsid w:val="00F700CD"/>
    <w:rsid w:val="00F701C5"/>
    <w:rsid w:val="00F705A2"/>
    <w:rsid w:val="00F70961"/>
    <w:rsid w:val="00F70A8F"/>
    <w:rsid w:val="00F70F72"/>
    <w:rsid w:val="00F71397"/>
    <w:rsid w:val="00F72389"/>
    <w:rsid w:val="00F72516"/>
    <w:rsid w:val="00F72DD9"/>
    <w:rsid w:val="00F72FB4"/>
    <w:rsid w:val="00F732CF"/>
    <w:rsid w:val="00F735E5"/>
    <w:rsid w:val="00F73B82"/>
    <w:rsid w:val="00F73E80"/>
    <w:rsid w:val="00F7469C"/>
    <w:rsid w:val="00F7492E"/>
    <w:rsid w:val="00F74945"/>
    <w:rsid w:val="00F749A3"/>
    <w:rsid w:val="00F74AE8"/>
    <w:rsid w:val="00F76C11"/>
    <w:rsid w:val="00F77021"/>
    <w:rsid w:val="00F770AB"/>
    <w:rsid w:val="00F77E61"/>
    <w:rsid w:val="00F80221"/>
    <w:rsid w:val="00F80A0A"/>
    <w:rsid w:val="00F80C81"/>
    <w:rsid w:val="00F81100"/>
    <w:rsid w:val="00F815AC"/>
    <w:rsid w:val="00F83B33"/>
    <w:rsid w:val="00F83CAE"/>
    <w:rsid w:val="00F840BF"/>
    <w:rsid w:val="00F8427A"/>
    <w:rsid w:val="00F843DF"/>
    <w:rsid w:val="00F84646"/>
    <w:rsid w:val="00F8476E"/>
    <w:rsid w:val="00F84899"/>
    <w:rsid w:val="00F85585"/>
    <w:rsid w:val="00F859F0"/>
    <w:rsid w:val="00F85CC1"/>
    <w:rsid w:val="00F86787"/>
    <w:rsid w:val="00F86B5D"/>
    <w:rsid w:val="00F87634"/>
    <w:rsid w:val="00F87C13"/>
    <w:rsid w:val="00F87C5A"/>
    <w:rsid w:val="00F87E29"/>
    <w:rsid w:val="00F87F18"/>
    <w:rsid w:val="00F87F68"/>
    <w:rsid w:val="00F905BE"/>
    <w:rsid w:val="00F9075B"/>
    <w:rsid w:val="00F90C4D"/>
    <w:rsid w:val="00F91098"/>
    <w:rsid w:val="00F9167D"/>
    <w:rsid w:val="00F91CB2"/>
    <w:rsid w:val="00F927E8"/>
    <w:rsid w:val="00F9289C"/>
    <w:rsid w:val="00F92FC1"/>
    <w:rsid w:val="00F932D1"/>
    <w:rsid w:val="00F93DBC"/>
    <w:rsid w:val="00F93E41"/>
    <w:rsid w:val="00F94644"/>
    <w:rsid w:val="00F952E4"/>
    <w:rsid w:val="00F9537B"/>
    <w:rsid w:val="00F96079"/>
    <w:rsid w:val="00F963FC"/>
    <w:rsid w:val="00F97459"/>
    <w:rsid w:val="00F97CF1"/>
    <w:rsid w:val="00FA015F"/>
    <w:rsid w:val="00FA0FAC"/>
    <w:rsid w:val="00FA10F7"/>
    <w:rsid w:val="00FA1AB4"/>
    <w:rsid w:val="00FA1C4A"/>
    <w:rsid w:val="00FA1DA2"/>
    <w:rsid w:val="00FA2491"/>
    <w:rsid w:val="00FA313F"/>
    <w:rsid w:val="00FA3414"/>
    <w:rsid w:val="00FA347A"/>
    <w:rsid w:val="00FA3CDE"/>
    <w:rsid w:val="00FA4034"/>
    <w:rsid w:val="00FA49B7"/>
    <w:rsid w:val="00FA5043"/>
    <w:rsid w:val="00FA5A74"/>
    <w:rsid w:val="00FA60C1"/>
    <w:rsid w:val="00FA65A3"/>
    <w:rsid w:val="00FA6BCA"/>
    <w:rsid w:val="00FA6D46"/>
    <w:rsid w:val="00FA6F8B"/>
    <w:rsid w:val="00FA727C"/>
    <w:rsid w:val="00FA7A30"/>
    <w:rsid w:val="00FB033F"/>
    <w:rsid w:val="00FB0880"/>
    <w:rsid w:val="00FB12E3"/>
    <w:rsid w:val="00FB1570"/>
    <w:rsid w:val="00FB193B"/>
    <w:rsid w:val="00FB1FBC"/>
    <w:rsid w:val="00FB27B7"/>
    <w:rsid w:val="00FB35E3"/>
    <w:rsid w:val="00FB4050"/>
    <w:rsid w:val="00FB40BA"/>
    <w:rsid w:val="00FB4C98"/>
    <w:rsid w:val="00FB4CE3"/>
    <w:rsid w:val="00FB583C"/>
    <w:rsid w:val="00FB630E"/>
    <w:rsid w:val="00FB6738"/>
    <w:rsid w:val="00FB691B"/>
    <w:rsid w:val="00FB6BE6"/>
    <w:rsid w:val="00FB731C"/>
    <w:rsid w:val="00FB7628"/>
    <w:rsid w:val="00FC0363"/>
    <w:rsid w:val="00FC05A0"/>
    <w:rsid w:val="00FC0811"/>
    <w:rsid w:val="00FC09B3"/>
    <w:rsid w:val="00FC1196"/>
    <w:rsid w:val="00FC15EB"/>
    <w:rsid w:val="00FC162C"/>
    <w:rsid w:val="00FC18DC"/>
    <w:rsid w:val="00FC2477"/>
    <w:rsid w:val="00FC2AC4"/>
    <w:rsid w:val="00FC2F73"/>
    <w:rsid w:val="00FC35BA"/>
    <w:rsid w:val="00FC3A9B"/>
    <w:rsid w:val="00FC3AE1"/>
    <w:rsid w:val="00FC3DFC"/>
    <w:rsid w:val="00FC3EF4"/>
    <w:rsid w:val="00FC431B"/>
    <w:rsid w:val="00FC434C"/>
    <w:rsid w:val="00FC472C"/>
    <w:rsid w:val="00FC4FDF"/>
    <w:rsid w:val="00FC5CF4"/>
    <w:rsid w:val="00FC5D64"/>
    <w:rsid w:val="00FC61D6"/>
    <w:rsid w:val="00FC6A39"/>
    <w:rsid w:val="00FC6DB9"/>
    <w:rsid w:val="00FC7221"/>
    <w:rsid w:val="00FC76A9"/>
    <w:rsid w:val="00FC79AB"/>
    <w:rsid w:val="00FC7BE7"/>
    <w:rsid w:val="00FC7DAC"/>
    <w:rsid w:val="00FD005D"/>
    <w:rsid w:val="00FD0216"/>
    <w:rsid w:val="00FD04AE"/>
    <w:rsid w:val="00FD0DFA"/>
    <w:rsid w:val="00FD16ED"/>
    <w:rsid w:val="00FD1890"/>
    <w:rsid w:val="00FD1994"/>
    <w:rsid w:val="00FD3508"/>
    <w:rsid w:val="00FD393C"/>
    <w:rsid w:val="00FD3AFF"/>
    <w:rsid w:val="00FD43BB"/>
    <w:rsid w:val="00FD4AF3"/>
    <w:rsid w:val="00FD5443"/>
    <w:rsid w:val="00FD5B73"/>
    <w:rsid w:val="00FD6675"/>
    <w:rsid w:val="00FD6DC5"/>
    <w:rsid w:val="00FD72B1"/>
    <w:rsid w:val="00FD798D"/>
    <w:rsid w:val="00FE141E"/>
    <w:rsid w:val="00FE144E"/>
    <w:rsid w:val="00FE1768"/>
    <w:rsid w:val="00FE1DD5"/>
    <w:rsid w:val="00FE1FCD"/>
    <w:rsid w:val="00FE24ED"/>
    <w:rsid w:val="00FE24F4"/>
    <w:rsid w:val="00FE2560"/>
    <w:rsid w:val="00FE35D0"/>
    <w:rsid w:val="00FE42ED"/>
    <w:rsid w:val="00FE4E06"/>
    <w:rsid w:val="00FE55A7"/>
    <w:rsid w:val="00FE5C5A"/>
    <w:rsid w:val="00FE601E"/>
    <w:rsid w:val="00FE6432"/>
    <w:rsid w:val="00FE72A0"/>
    <w:rsid w:val="00FE7A8F"/>
    <w:rsid w:val="00FF0050"/>
    <w:rsid w:val="00FF045F"/>
    <w:rsid w:val="00FF05D7"/>
    <w:rsid w:val="00FF0816"/>
    <w:rsid w:val="00FF0EC4"/>
    <w:rsid w:val="00FF13D4"/>
    <w:rsid w:val="00FF2053"/>
    <w:rsid w:val="00FF22E8"/>
    <w:rsid w:val="00FF25D7"/>
    <w:rsid w:val="00FF26FB"/>
    <w:rsid w:val="00FF28E9"/>
    <w:rsid w:val="00FF3B37"/>
    <w:rsid w:val="00FF3CC7"/>
    <w:rsid w:val="00FF3D6F"/>
    <w:rsid w:val="00FF3D98"/>
    <w:rsid w:val="00FF441A"/>
    <w:rsid w:val="00FF4BD8"/>
    <w:rsid w:val="00FF4D11"/>
    <w:rsid w:val="00FF5214"/>
    <w:rsid w:val="00FF54D2"/>
    <w:rsid w:val="00FF596E"/>
    <w:rsid w:val="00FF5B59"/>
    <w:rsid w:val="00FF5BFD"/>
    <w:rsid w:val="00FF6095"/>
    <w:rsid w:val="00FF62FE"/>
    <w:rsid w:val="00FF6553"/>
    <w:rsid w:val="00FF70BD"/>
    <w:rsid w:val="00FF7124"/>
    <w:rsid w:val="00FF77F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tabchar">
    <w:name w:val="tabchar"/>
    <w:basedOn w:val="Fuentedeprrafopredeter"/>
    <w:rsid w:val="00C2725D"/>
  </w:style>
  <w:style w:type="paragraph" w:styleId="Revisin">
    <w:name w:val="Revision"/>
    <w:hidden/>
    <w:uiPriority w:val="99"/>
    <w:semiHidden/>
    <w:rsid w:val="00477B4D"/>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1722">
      <w:bodyDiv w:val="1"/>
      <w:marLeft w:val="0"/>
      <w:marRight w:val="0"/>
      <w:marTop w:val="0"/>
      <w:marBottom w:val="0"/>
      <w:divBdr>
        <w:top w:val="none" w:sz="0" w:space="0" w:color="auto"/>
        <w:left w:val="none" w:sz="0" w:space="0" w:color="auto"/>
        <w:bottom w:val="none" w:sz="0" w:space="0" w:color="auto"/>
        <w:right w:val="none" w:sz="0" w:space="0" w:color="auto"/>
      </w:divBdr>
      <w:divsChild>
        <w:div w:id="2023972410">
          <w:marLeft w:val="0"/>
          <w:marRight w:val="0"/>
          <w:marTop w:val="0"/>
          <w:marBottom w:val="0"/>
          <w:divBdr>
            <w:top w:val="none" w:sz="0" w:space="0" w:color="auto"/>
            <w:left w:val="none" w:sz="0" w:space="0" w:color="auto"/>
            <w:bottom w:val="none" w:sz="0" w:space="0" w:color="auto"/>
            <w:right w:val="none" w:sz="0" w:space="0" w:color="auto"/>
          </w:divBdr>
          <w:divsChild>
            <w:div w:id="1518273839">
              <w:marLeft w:val="0"/>
              <w:marRight w:val="0"/>
              <w:marTop w:val="0"/>
              <w:marBottom w:val="0"/>
              <w:divBdr>
                <w:top w:val="none" w:sz="0" w:space="0" w:color="auto"/>
                <w:left w:val="none" w:sz="0" w:space="0" w:color="auto"/>
                <w:bottom w:val="none" w:sz="0" w:space="0" w:color="auto"/>
                <w:right w:val="none" w:sz="0" w:space="0" w:color="auto"/>
              </w:divBdr>
              <w:divsChild>
                <w:div w:id="136428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0334">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5715773">
      <w:bodyDiv w:val="1"/>
      <w:marLeft w:val="0"/>
      <w:marRight w:val="0"/>
      <w:marTop w:val="0"/>
      <w:marBottom w:val="0"/>
      <w:divBdr>
        <w:top w:val="none" w:sz="0" w:space="0" w:color="auto"/>
        <w:left w:val="none" w:sz="0" w:space="0" w:color="auto"/>
        <w:bottom w:val="none" w:sz="0" w:space="0" w:color="auto"/>
        <w:right w:val="none" w:sz="0" w:space="0" w:color="auto"/>
      </w:divBdr>
      <w:divsChild>
        <w:div w:id="180780418">
          <w:marLeft w:val="0"/>
          <w:marRight w:val="0"/>
          <w:marTop w:val="0"/>
          <w:marBottom w:val="0"/>
          <w:divBdr>
            <w:top w:val="none" w:sz="0" w:space="0" w:color="auto"/>
            <w:left w:val="none" w:sz="0" w:space="0" w:color="auto"/>
            <w:bottom w:val="none" w:sz="0" w:space="0" w:color="auto"/>
            <w:right w:val="none" w:sz="0" w:space="0" w:color="auto"/>
          </w:divBdr>
          <w:divsChild>
            <w:div w:id="135420010">
              <w:marLeft w:val="0"/>
              <w:marRight w:val="0"/>
              <w:marTop w:val="0"/>
              <w:marBottom w:val="0"/>
              <w:divBdr>
                <w:top w:val="none" w:sz="0" w:space="0" w:color="auto"/>
                <w:left w:val="none" w:sz="0" w:space="0" w:color="auto"/>
                <w:bottom w:val="none" w:sz="0" w:space="0" w:color="auto"/>
                <w:right w:val="none" w:sz="0" w:space="0" w:color="auto"/>
              </w:divBdr>
              <w:divsChild>
                <w:div w:id="185580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05607">
      <w:bodyDiv w:val="1"/>
      <w:marLeft w:val="0"/>
      <w:marRight w:val="0"/>
      <w:marTop w:val="0"/>
      <w:marBottom w:val="0"/>
      <w:divBdr>
        <w:top w:val="none" w:sz="0" w:space="0" w:color="auto"/>
        <w:left w:val="none" w:sz="0" w:space="0" w:color="auto"/>
        <w:bottom w:val="none" w:sz="0" w:space="0" w:color="auto"/>
        <w:right w:val="none" w:sz="0" w:space="0" w:color="auto"/>
      </w:divBdr>
    </w:div>
    <w:div w:id="56364927">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653461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0048198">
      <w:bodyDiv w:val="1"/>
      <w:marLeft w:val="0"/>
      <w:marRight w:val="0"/>
      <w:marTop w:val="0"/>
      <w:marBottom w:val="0"/>
      <w:divBdr>
        <w:top w:val="none" w:sz="0" w:space="0" w:color="auto"/>
        <w:left w:val="none" w:sz="0" w:space="0" w:color="auto"/>
        <w:bottom w:val="none" w:sz="0" w:space="0" w:color="auto"/>
        <w:right w:val="none" w:sz="0" w:space="0" w:color="auto"/>
      </w:divBdr>
    </w:div>
    <w:div w:id="16050937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6891374">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3010207">
      <w:bodyDiv w:val="1"/>
      <w:marLeft w:val="0"/>
      <w:marRight w:val="0"/>
      <w:marTop w:val="0"/>
      <w:marBottom w:val="0"/>
      <w:divBdr>
        <w:top w:val="none" w:sz="0" w:space="0" w:color="auto"/>
        <w:left w:val="none" w:sz="0" w:space="0" w:color="auto"/>
        <w:bottom w:val="none" w:sz="0" w:space="0" w:color="auto"/>
        <w:right w:val="none" w:sz="0" w:space="0" w:color="auto"/>
      </w:divBdr>
      <w:divsChild>
        <w:div w:id="2048749202">
          <w:marLeft w:val="0"/>
          <w:marRight w:val="0"/>
          <w:marTop w:val="0"/>
          <w:marBottom w:val="0"/>
          <w:divBdr>
            <w:top w:val="none" w:sz="0" w:space="0" w:color="auto"/>
            <w:left w:val="none" w:sz="0" w:space="0" w:color="auto"/>
            <w:bottom w:val="none" w:sz="0" w:space="0" w:color="auto"/>
            <w:right w:val="none" w:sz="0" w:space="0" w:color="auto"/>
          </w:divBdr>
          <w:divsChild>
            <w:div w:id="394548460">
              <w:marLeft w:val="0"/>
              <w:marRight w:val="0"/>
              <w:marTop w:val="0"/>
              <w:marBottom w:val="0"/>
              <w:divBdr>
                <w:top w:val="none" w:sz="0" w:space="0" w:color="auto"/>
                <w:left w:val="none" w:sz="0" w:space="0" w:color="auto"/>
                <w:bottom w:val="none" w:sz="0" w:space="0" w:color="auto"/>
                <w:right w:val="none" w:sz="0" w:space="0" w:color="auto"/>
              </w:divBdr>
              <w:divsChild>
                <w:div w:id="70479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0868074">
      <w:bodyDiv w:val="1"/>
      <w:marLeft w:val="0"/>
      <w:marRight w:val="0"/>
      <w:marTop w:val="0"/>
      <w:marBottom w:val="0"/>
      <w:divBdr>
        <w:top w:val="none" w:sz="0" w:space="0" w:color="auto"/>
        <w:left w:val="none" w:sz="0" w:space="0" w:color="auto"/>
        <w:bottom w:val="none" w:sz="0" w:space="0" w:color="auto"/>
        <w:right w:val="none" w:sz="0" w:space="0" w:color="auto"/>
      </w:divBdr>
      <w:divsChild>
        <w:div w:id="640811742">
          <w:marLeft w:val="0"/>
          <w:marRight w:val="0"/>
          <w:marTop w:val="0"/>
          <w:marBottom w:val="0"/>
          <w:divBdr>
            <w:top w:val="none" w:sz="0" w:space="0" w:color="auto"/>
            <w:left w:val="none" w:sz="0" w:space="0" w:color="auto"/>
            <w:bottom w:val="none" w:sz="0" w:space="0" w:color="auto"/>
            <w:right w:val="none" w:sz="0" w:space="0" w:color="auto"/>
          </w:divBdr>
          <w:divsChild>
            <w:div w:id="1667393878">
              <w:marLeft w:val="0"/>
              <w:marRight w:val="0"/>
              <w:marTop w:val="0"/>
              <w:marBottom w:val="0"/>
              <w:divBdr>
                <w:top w:val="none" w:sz="0" w:space="0" w:color="auto"/>
                <w:left w:val="none" w:sz="0" w:space="0" w:color="auto"/>
                <w:bottom w:val="none" w:sz="0" w:space="0" w:color="auto"/>
                <w:right w:val="none" w:sz="0" w:space="0" w:color="auto"/>
              </w:divBdr>
              <w:divsChild>
                <w:div w:id="205365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8900729">
      <w:bodyDiv w:val="1"/>
      <w:marLeft w:val="0"/>
      <w:marRight w:val="0"/>
      <w:marTop w:val="0"/>
      <w:marBottom w:val="0"/>
      <w:divBdr>
        <w:top w:val="none" w:sz="0" w:space="0" w:color="auto"/>
        <w:left w:val="none" w:sz="0" w:space="0" w:color="auto"/>
        <w:bottom w:val="none" w:sz="0" w:space="0" w:color="auto"/>
        <w:right w:val="none" w:sz="0" w:space="0" w:color="auto"/>
      </w:divBdr>
    </w:div>
    <w:div w:id="282688623">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06937139">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266046">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55149140">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61969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38317977">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363971">
      <w:bodyDiv w:val="1"/>
      <w:marLeft w:val="0"/>
      <w:marRight w:val="0"/>
      <w:marTop w:val="0"/>
      <w:marBottom w:val="0"/>
      <w:divBdr>
        <w:top w:val="none" w:sz="0" w:space="0" w:color="auto"/>
        <w:left w:val="none" w:sz="0" w:space="0" w:color="auto"/>
        <w:bottom w:val="none" w:sz="0" w:space="0" w:color="auto"/>
        <w:right w:val="none" w:sz="0" w:space="0" w:color="auto"/>
      </w:divBdr>
      <w:divsChild>
        <w:div w:id="569851322">
          <w:marLeft w:val="0"/>
          <w:marRight w:val="0"/>
          <w:marTop w:val="0"/>
          <w:marBottom w:val="0"/>
          <w:divBdr>
            <w:top w:val="none" w:sz="0" w:space="0" w:color="auto"/>
            <w:left w:val="none" w:sz="0" w:space="0" w:color="auto"/>
            <w:bottom w:val="none" w:sz="0" w:space="0" w:color="auto"/>
            <w:right w:val="none" w:sz="0" w:space="0" w:color="auto"/>
          </w:divBdr>
          <w:divsChild>
            <w:div w:id="468135633">
              <w:marLeft w:val="0"/>
              <w:marRight w:val="0"/>
              <w:marTop w:val="0"/>
              <w:marBottom w:val="0"/>
              <w:divBdr>
                <w:top w:val="none" w:sz="0" w:space="0" w:color="auto"/>
                <w:left w:val="none" w:sz="0" w:space="0" w:color="auto"/>
                <w:bottom w:val="none" w:sz="0" w:space="0" w:color="auto"/>
                <w:right w:val="none" w:sz="0" w:space="0" w:color="auto"/>
              </w:divBdr>
              <w:divsChild>
                <w:div w:id="169699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9269798">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5260056">
      <w:bodyDiv w:val="1"/>
      <w:marLeft w:val="0"/>
      <w:marRight w:val="0"/>
      <w:marTop w:val="0"/>
      <w:marBottom w:val="0"/>
      <w:divBdr>
        <w:top w:val="none" w:sz="0" w:space="0" w:color="auto"/>
        <w:left w:val="none" w:sz="0" w:space="0" w:color="auto"/>
        <w:bottom w:val="none" w:sz="0" w:space="0" w:color="auto"/>
        <w:right w:val="none" w:sz="0" w:space="0" w:color="auto"/>
      </w:divBdr>
      <w:divsChild>
        <w:div w:id="196893523">
          <w:marLeft w:val="0"/>
          <w:marRight w:val="0"/>
          <w:marTop w:val="0"/>
          <w:marBottom w:val="0"/>
          <w:divBdr>
            <w:top w:val="none" w:sz="0" w:space="0" w:color="auto"/>
            <w:left w:val="none" w:sz="0" w:space="0" w:color="auto"/>
            <w:bottom w:val="none" w:sz="0" w:space="0" w:color="auto"/>
            <w:right w:val="none" w:sz="0" w:space="0" w:color="auto"/>
          </w:divBdr>
          <w:divsChild>
            <w:div w:id="1154762447">
              <w:marLeft w:val="0"/>
              <w:marRight w:val="0"/>
              <w:marTop w:val="0"/>
              <w:marBottom w:val="0"/>
              <w:divBdr>
                <w:top w:val="none" w:sz="0" w:space="0" w:color="auto"/>
                <w:left w:val="none" w:sz="0" w:space="0" w:color="auto"/>
                <w:bottom w:val="none" w:sz="0" w:space="0" w:color="auto"/>
                <w:right w:val="none" w:sz="0" w:space="0" w:color="auto"/>
              </w:divBdr>
              <w:divsChild>
                <w:div w:id="47946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9605319">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85861657">
      <w:bodyDiv w:val="1"/>
      <w:marLeft w:val="0"/>
      <w:marRight w:val="0"/>
      <w:marTop w:val="0"/>
      <w:marBottom w:val="0"/>
      <w:divBdr>
        <w:top w:val="none" w:sz="0" w:space="0" w:color="auto"/>
        <w:left w:val="none" w:sz="0" w:space="0" w:color="auto"/>
        <w:bottom w:val="none" w:sz="0" w:space="0" w:color="auto"/>
        <w:right w:val="none" w:sz="0" w:space="0" w:color="auto"/>
      </w:divBdr>
    </w:div>
    <w:div w:id="688533712">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7239180">
      <w:bodyDiv w:val="1"/>
      <w:marLeft w:val="0"/>
      <w:marRight w:val="0"/>
      <w:marTop w:val="0"/>
      <w:marBottom w:val="0"/>
      <w:divBdr>
        <w:top w:val="none" w:sz="0" w:space="0" w:color="auto"/>
        <w:left w:val="none" w:sz="0" w:space="0" w:color="auto"/>
        <w:bottom w:val="none" w:sz="0" w:space="0" w:color="auto"/>
        <w:right w:val="none" w:sz="0" w:space="0" w:color="auto"/>
      </w:divBdr>
      <w:divsChild>
        <w:div w:id="1031154432">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484139">
      <w:bodyDiv w:val="1"/>
      <w:marLeft w:val="0"/>
      <w:marRight w:val="0"/>
      <w:marTop w:val="0"/>
      <w:marBottom w:val="0"/>
      <w:divBdr>
        <w:top w:val="none" w:sz="0" w:space="0" w:color="auto"/>
        <w:left w:val="none" w:sz="0" w:space="0" w:color="auto"/>
        <w:bottom w:val="none" w:sz="0" w:space="0" w:color="auto"/>
        <w:right w:val="none" w:sz="0" w:space="0" w:color="auto"/>
      </w:divBdr>
    </w:div>
    <w:div w:id="74542292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773052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187581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291622">
      <w:bodyDiv w:val="1"/>
      <w:marLeft w:val="0"/>
      <w:marRight w:val="0"/>
      <w:marTop w:val="0"/>
      <w:marBottom w:val="0"/>
      <w:divBdr>
        <w:top w:val="none" w:sz="0" w:space="0" w:color="auto"/>
        <w:left w:val="none" w:sz="0" w:space="0" w:color="auto"/>
        <w:bottom w:val="none" w:sz="0" w:space="0" w:color="auto"/>
        <w:right w:val="none" w:sz="0" w:space="0" w:color="auto"/>
      </w:divBdr>
      <w:divsChild>
        <w:div w:id="790710805">
          <w:marLeft w:val="0"/>
          <w:marRight w:val="0"/>
          <w:marTop w:val="0"/>
          <w:marBottom w:val="0"/>
          <w:divBdr>
            <w:top w:val="none" w:sz="0" w:space="0" w:color="auto"/>
            <w:left w:val="none" w:sz="0" w:space="0" w:color="auto"/>
            <w:bottom w:val="none" w:sz="0" w:space="0" w:color="auto"/>
            <w:right w:val="none" w:sz="0" w:space="0" w:color="auto"/>
          </w:divBdr>
          <w:divsChild>
            <w:div w:id="986281473">
              <w:marLeft w:val="0"/>
              <w:marRight w:val="0"/>
              <w:marTop w:val="0"/>
              <w:marBottom w:val="0"/>
              <w:divBdr>
                <w:top w:val="none" w:sz="0" w:space="0" w:color="auto"/>
                <w:left w:val="none" w:sz="0" w:space="0" w:color="auto"/>
                <w:bottom w:val="none" w:sz="0" w:space="0" w:color="auto"/>
                <w:right w:val="none" w:sz="0" w:space="0" w:color="auto"/>
              </w:divBdr>
              <w:divsChild>
                <w:div w:id="1367755429">
                  <w:marLeft w:val="0"/>
                  <w:marRight w:val="0"/>
                  <w:marTop w:val="0"/>
                  <w:marBottom w:val="0"/>
                  <w:divBdr>
                    <w:top w:val="none" w:sz="0" w:space="0" w:color="auto"/>
                    <w:left w:val="none" w:sz="0" w:space="0" w:color="auto"/>
                    <w:bottom w:val="none" w:sz="0" w:space="0" w:color="auto"/>
                    <w:right w:val="none" w:sz="0" w:space="0" w:color="auto"/>
                  </w:divBdr>
                  <w:divsChild>
                    <w:div w:id="151607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177788">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0378688">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68828521">
      <w:bodyDiv w:val="1"/>
      <w:marLeft w:val="0"/>
      <w:marRight w:val="0"/>
      <w:marTop w:val="0"/>
      <w:marBottom w:val="0"/>
      <w:divBdr>
        <w:top w:val="none" w:sz="0" w:space="0" w:color="auto"/>
        <w:left w:val="none" w:sz="0" w:space="0" w:color="auto"/>
        <w:bottom w:val="none" w:sz="0" w:space="0" w:color="auto"/>
        <w:right w:val="none" w:sz="0" w:space="0" w:color="auto"/>
      </w:divBdr>
    </w:div>
    <w:div w:id="970675878">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6565552">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646553">
      <w:bodyDiv w:val="1"/>
      <w:marLeft w:val="0"/>
      <w:marRight w:val="0"/>
      <w:marTop w:val="0"/>
      <w:marBottom w:val="0"/>
      <w:divBdr>
        <w:top w:val="none" w:sz="0" w:space="0" w:color="auto"/>
        <w:left w:val="none" w:sz="0" w:space="0" w:color="auto"/>
        <w:bottom w:val="none" w:sz="0" w:space="0" w:color="auto"/>
        <w:right w:val="none" w:sz="0" w:space="0" w:color="auto"/>
      </w:divBdr>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338786">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26049085">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55221749">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2355599">
      <w:bodyDiv w:val="1"/>
      <w:marLeft w:val="0"/>
      <w:marRight w:val="0"/>
      <w:marTop w:val="0"/>
      <w:marBottom w:val="0"/>
      <w:divBdr>
        <w:top w:val="none" w:sz="0" w:space="0" w:color="auto"/>
        <w:left w:val="none" w:sz="0" w:space="0" w:color="auto"/>
        <w:bottom w:val="none" w:sz="0" w:space="0" w:color="auto"/>
        <w:right w:val="none" w:sz="0" w:space="0" w:color="auto"/>
      </w:divBdr>
      <w:divsChild>
        <w:div w:id="994988833">
          <w:marLeft w:val="0"/>
          <w:marRight w:val="0"/>
          <w:marTop w:val="0"/>
          <w:marBottom w:val="0"/>
          <w:divBdr>
            <w:top w:val="none" w:sz="0" w:space="0" w:color="auto"/>
            <w:left w:val="none" w:sz="0" w:space="0" w:color="auto"/>
            <w:bottom w:val="none" w:sz="0" w:space="0" w:color="auto"/>
            <w:right w:val="none" w:sz="0" w:space="0" w:color="auto"/>
          </w:divBdr>
          <w:divsChild>
            <w:div w:id="167017869">
              <w:marLeft w:val="0"/>
              <w:marRight w:val="0"/>
              <w:marTop w:val="0"/>
              <w:marBottom w:val="0"/>
              <w:divBdr>
                <w:top w:val="none" w:sz="0" w:space="0" w:color="auto"/>
                <w:left w:val="none" w:sz="0" w:space="0" w:color="auto"/>
                <w:bottom w:val="none" w:sz="0" w:space="0" w:color="auto"/>
                <w:right w:val="none" w:sz="0" w:space="0" w:color="auto"/>
              </w:divBdr>
              <w:divsChild>
                <w:div w:id="190136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29728175">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67736845">
      <w:bodyDiv w:val="1"/>
      <w:marLeft w:val="0"/>
      <w:marRight w:val="0"/>
      <w:marTop w:val="0"/>
      <w:marBottom w:val="0"/>
      <w:divBdr>
        <w:top w:val="none" w:sz="0" w:space="0" w:color="auto"/>
        <w:left w:val="none" w:sz="0" w:space="0" w:color="auto"/>
        <w:bottom w:val="none" w:sz="0" w:space="0" w:color="auto"/>
        <w:right w:val="none" w:sz="0" w:space="0" w:color="auto"/>
      </w:divBdr>
      <w:divsChild>
        <w:div w:id="1452167976">
          <w:marLeft w:val="0"/>
          <w:marRight w:val="0"/>
          <w:marTop w:val="0"/>
          <w:marBottom w:val="0"/>
          <w:divBdr>
            <w:top w:val="none" w:sz="0" w:space="0" w:color="auto"/>
            <w:left w:val="none" w:sz="0" w:space="0" w:color="auto"/>
            <w:bottom w:val="none" w:sz="0" w:space="0" w:color="auto"/>
            <w:right w:val="none" w:sz="0" w:space="0" w:color="auto"/>
          </w:divBdr>
          <w:divsChild>
            <w:div w:id="2031253661">
              <w:marLeft w:val="0"/>
              <w:marRight w:val="0"/>
              <w:marTop w:val="0"/>
              <w:marBottom w:val="0"/>
              <w:divBdr>
                <w:top w:val="none" w:sz="0" w:space="0" w:color="auto"/>
                <w:left w:val="none" w:sz="0" w:space="0" w:color="auto"/>
                <w:bottom w:val="none" w:sz="0" w:space="0" w:color="auto"/>
                <w:right w:val="none" w:sz="0" w:space="0" w:color="auto"/>
              </w:divBdr>
              <w:divsChild>
                <w:div w:id="1322352162">
                  <w:marLeft w:val="0"/>
                  <w:marRight w:val="0"/>
                  <w:marTop w:val="0"/>
                  <w:marBottom w:val="0"/>
                  <w:divBdr>
                    <w:top w:val="none" w:sz="0" w:space="0" w:color="auto"/>
                    <w:left w:val="none" w:sz="0" w:space="0" w:color="auto"/>
                    <w:bottom w:val="none" w:sz="0" w:space="0" w:color="auto"/>
                    <w:right w:val="none" w:sz="0" w:space="0" w:color="auto"/>
                  </w:divBdr>
                  <w:divsChild>
                    <w:div w:id="1548450850">
                      <w:marLeft w:val="0"/>
                      <w:marRight w:val="0"/>
                      <w:marTop w:val="0"/>
                      <w:marBottom w:val="0"/>
                      <w:divBdr>
                        <w:top w:val="none" w:sz="0" w:space="0" w:color="auto"/>
                        <w:left w:val="none" w:sz="0" w:space="0" w:color="auto"/>
                        <w:bottom w:val="none" w:sz="0" w:space="0" w:color="auto"/>
                        <w:right w:val="none" w:sz="0" w:space="0" w:color="auto"/>
                      </w:divBdr>
                    </w:div>
                  </w:divsChild>
                </w:div>
                <w:div w:id="972716266">
                  <w:marLeft w:val="0"/>
                  <w:marRight w:val="0"/>
                  <w:marTop w:val="0"/>
                  <w:marBottom w:val="0"/>
                  <w:divBdr>
                    <w:top w:val="none" w:sz="0" w:space="0" w:color="auto"/>
                    <w:left w:val="none" w:sz="0" w:space="0" w:color="auto"/>
                    <w:bottom w:val="none" w:sz="0" w:space="0" w:color="auto"/>
                    <w:right w:val="none" w:sz="0" w:space="0" w:color="auto"/>
                  </w:divBdr>
                  <w:divsChild>
                    <w:div w:id="403794229">
                      <w:marLeft w:val="0"/>
                      <w:marRight w:val="0"/>
                      <w:marTop w:val="0"/>
                      <w:marBottom w:val="0"/>
                      <w:divBdr>
                        <w:top w:val="none" w:sz="0" w:space="0" w:color="auto"/>
                        <w:left w:val="none" w:sz="0" w:space="0" w:color="auto"/>
                        <w:bottom w:val="none" w:sz="0" w:space="0" w:color="auto"/>
                        <w:right w:val="none" w:sz="0" w:space="0" w:color="auto"/>
                      </w:divBdr>
                    </w:div>
                  </w:divsChild>
                </w:div>
                <w:div w:id="653948564">
                  <w:marLeft w:val="0"/>
                  <w:marRight w:val="0"/>
                  <w:marTop w:val="0"/>
                  <w:marBottom w:val="0"/>
                  <w:divBdr>
                    <w:top w:val="none" w:sz="0" w:space="0" w:color="auto"/>
                    <w:left w:val="none" w:sz="0" w:space="0" w:color="auto"/>
                    <w:bottom w:val="none" w:sz="0" w:space="0" w:color="auto"/>
                    <w:right w:val="none" w:sz="0" w:space="0" w:color="auto"/>
                  </w:divBdr>
                  <w:divsChild>
                    <w:div w:id="1319920641">
                      <w:marLeft w:val="0"/>
                      <w:marRight w:val="0"/>
                      <w:marTop w:val="0"/>
                      <w:marBottom w:val="0"/>
                      <w:divBdr>
                        <w:top w:val="none" w:sz="0" w:space="0" w:color="auto"/>
                        <w:left w:val="none" w:sz="0" w:space="0" w:color="auto"/>
                        <w:bottom w:val="none" w:sz="0" w:space="0" w:color="auto"/>
                        <w:right w:val="none" w:sz="0" w:space="0" w:color="auto"/>
                      </w:divBdr>
                    </w:div>
                  </w:divsChild>
                </w:div>
                <w:div w:id="150560135">
                  <w:marLeft w:val="0"/>
                  <w:marRight w:val="0"/>
                  <w:marTop w:val="0"/>
                  <w:marBottom w:val="0"/>
                  <w:divBdr>
                    <w:top w:val="none" w:sz="0" w:space="0" w:color="auto"/>
                    <w:left w:val="none" w:sz="0" w:space="0" w:color="auto"/>
                    <w:bottom w:val="none" w:sz="0" w:space="0" w:color="auto"/>
                    <w:right w:val="none" w:sz="0" w:space="0" w:color="auto"/>
                  </w:divBdr>
                  <w:divsChild>
                    <w:div w:id="1063941499">
                      <w:marLeft w:val="0"/>
                      <w:marRight w:val="0"/>
                      <w:marTop w:val="0"/>
                      <w:marBottom w:val="0"/>
                      <w:divBdr>
                        <w:top w:val="none" w:sz="0" w:space="0" w:color="auto"/>
                        <w:left w:val="none" w:sz="0" w:space="0" w:color="auto"/>
                        <w:bottom w:val="none" w:sz="0" w:space="0" w:color="auto"/>
                        <w:right w:val="none" w:sz="0" w:space="0" w:color="auto"/>
                      </w:divBdr>
                    </w:div>
                  </w:divsChild>
                </w:div>
                <w:div w:id="1060667264">
                  <w:marLeft w:val="0"/>
                  <w:marRight w:val="0"/>
                  <w:marTop w:val="0"/>
                  <w:marBottom w:val="0"/>
                  <w:divBdr>
                    <w:top w:val="none" w:sz="0" w:space="0" w:color="auto"/>
                    <w:left w:val="none" w:sz="0" w:space="0" w:color="auto"/>
                    <w:bottom w:val="none" w:sz="0" w:space="0" w:color="auto"/>
                    <w:right w:val="none" w:sz="0" w:space="0" w:color="auto"/>
                  </w:divBdr>
                  <w:divsChild>
                    <w:div w:id="1510219111">
                      <w:marLeft w:val="0"/>
                      <w:marRight w:val="0"/>
                      <w:marTop w:val="0"/>
                      <w:marBottom w:val="0"/>
                      <w:divBdr>
                        <w:top w:val="none" w:sz="0" w:space="0" w:color="auto"/>
                        <w:left w:val="none" w:sz="0" w:space="0" w:color="auto"/>
                        <w:bottom w:val="none" w:sz="0" w:space="0" w:color="auto"/>
                        <w:right w:val="none" w:sz="0" w:space="0" w:color="auto"/>
                      </w:divBdr>
                      <w:divsChild>
                        <w:div w:id="657804586">
                          <w:marLeft w:val="0"/>
                          <w:marRight w:val="0"/>
                          <w:marTop w:val="0"/>
                          <w:marBottom w:val="0"/>
                          <w:divBdr>
                            <w:top w:val="none" w:sz="0" w:space="0" w:color="auto"/>
                            <w:left w:val="none" w:sz="0" w:space="0" w:color="auto"/>
                            <w:bottom w:val="none" w:sz="0" w:space="0" w:color="auto"/>
                            <w:right w:val="none" w:sz="0" w:space="0" w:color="auto"/>
                          </w:divBdr>
                        </w:div>
                      </w:divsChild>
                    </w:div>
                    <w:div w:id="374543059">
                      <w:marLeft w:val="0"/>
                      <w:marRight w:val="0"/>
                      <w:marTop w:val="0"/>
                      <w:marBottom w:val="0"/>
                      <w:divBdr>
                        <w:top w:val="none" w:sz="0" w:space="0" w:color="auto"/>
                        <w:left w:val="none" w:sz="0" w:space="0" w:color="auto"/>
                        <w:bottom w:val="none" w:sz="0" w:space="0" w:color="auto"/>
                        <w:right w:val="none" w:sz="0" w:space="0" w:color="auto"/>
                      </w:divBdr>
                      <w:divsChild>
                        <w:div w:id="160320244">
                          <w:marLeft w:val="0"/>
                          <w:marRight w:val="0"/>
                          <w:marTop w:val="0"/>
                          <w:marBottom w:val="0"/>
                          <w:divBdr>
                            <w:top w:val="none" w:sz="0" w:space="0" w:color="auto"/>
                            <w:left w:val="none" w:sz="0" w:space="0" w:color="auto"/>
                            <w:bottom w:val="none" w:sz="0" w:space="0" w:color="auto"/>
                            <w:right w:val="none" w:sz="0" w:space="0" w:color="auto"/>
                          </w:divBdr>
                        </w:div>
                      </w:divsChild>
                    </w:div>
                    <w:div w:id="351343690">
                      <w:marLeft w:val="0"/>
                      <w:marRight w:val="0"/>
                      <w:marTop w:val="0"/>
                      <w:marBottom w:val="0"/>
                      <w:divBdr>
                        <w:top w:val="none" w:sz="0" w:space="0" w:color="auto"/>
                        <w:left w:val="none" w:sz="0" w:space="0" w:color="auto"/>
                        <w:bottom w:val="none" w:sz="0" w:space="0" w:color="auto"/>
                        <w:right w:val="none" w:sz="0" w:space="0" w:color="auto"/>
                      </w:divBdr>
                      <w:divsChild>
                        <w:div w:id="1203666416">
                          <w:marLeft w:val="0"/>
                          <w:marRight w:val="0"/>
                          <w:marTop w:val="0"/>
                          <w:marBottom w:val="0"/>
                          <w:divBdr>
                            <w:top w:val="none" w:sz="0" w:space="0" w:color="auto"/>
                            <w:left w:val="none" w:sz="0" w:space="0" w:color="auto"/>
                            <w:bottom w:val="none" w:sz="0" w:space="0" w:color="auto"/>
                            <w:right w:val="none" w:sz="0" w:space="0" w:color="auto"/>
                          </w:divBdr>
                        </w:div>
                      </w:divsChild>
                    </w:div>
                    <w:div w:id="312952423">
                      <w:marLeft w:val="0"/>
                      <w:marRight w:val="0"/>
                      <w:marTop w:val="0"/>
                      <w:marBottom w:val="0"/>
                      <w:divBdr>
                        <w:top w:val="none" w:sz="0" w:space="0" w:color="auto"/>
                        <w:left w:val="none" w:sz="0" w:space="0" w:color="auto"/>
                        <w:bottom w:val="none" w:sz="0" w:space="0" w:color="auto"/>
                        <w:right w:val="none" w:sz="0" w:space="0" w:color="auto"/>
                      </w:divBdr>
                      <w:divsChild>
                        <w:div w:id="1575046170">
                          <w:marLeft w:val="0"/>
                          <w:marRight w:val="0"/>
                          <w:marTop w:val="0"/>
                          <w:marBottom w:val="0"/>
                          <w:divBdr>
                            <w:top w:val="none" w:sz="0" w:space="0" w:color="auto"/>
                            <w:left w:val="none" w:sz="0" w:space="0" w:color="auto"/>
                            <w:bottom w:val="none" w:sz="0" w:space="0" w:color="auto"/>
                            <w:right w:val="none" w:sz="0" w:space="0" w:color="auto"/>
                          </w:divBdr>
                        </w:div>
                      </w:divsChild>
                    </w:div>
                    <w:div w:id="1598558344">
                      <w:marLeft w:val="0"/>
                      <w:marRight w:val="0"/>
                      <w:marTop w:val="0"/>
                      <w:marBottom w:val="0"/>
                      <w:divBdr>
                        <w:top w:val="none" w:sz="0" w:space="0" w:color="auto"/>
                        <w:left w:val="none" w:sz="0" w:space="0" w:color="auto"/>
                        <w:bottom w:val="none" w:sz="0" w:space="0" w:color="auto"/>
                        <w:right w:val="none" w:sz="0" w:space="0" w:color="auto"/>
                      </w:divBdr>
                      <w:divsChild>
                        <w:div w:id="6383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41602">
      <w:bodyDiv w:val="1"/>
      <w:marLeft w:val="0"/>
      <w:marRight w:val="0"/>
      <w:marTop w:val="0"/>
      <w:marBottom w:val="0"/>
      <w:divBdr>
        <w:top w:val="none" w:sz="0" w:space="0" w:color="auto"/>
        <w:left w:val="none" w:sz="0" w:space="0" w:color="auto"/>
        <w:bottom w:val="none" w:sz="0" w:space="0" w:color="auto"/>
        <w:right w:val="none" w:sz="0" w:space="0" w:color="auto"/>
      </w:divBdr>
      <w:divsChild>
        <w:div w:id="1004476359">
          <w:marLeft w:val="0"/>
          <w:marRight w:val="0"/>
          <w:marTop w:val="0"/>
          <w:marBottom w:val="0"/>
          <w:divBdr>
            <w:top w:val="none" w:sz="0" w:space="0" w:color="auto"/>
            <w:left w:val="none" w:sz="0" w:space="0" w:color="auto"/>
            <w:bottom w:val="none" w:sz="0" w:space="0" w:color="auto"/>
            <w:right w:val="none" w:sz="0" w:space="0" w:color="auto"/>
          </w:divBdr>
          <w:divsChild>
            <w:div w:id="1039665925">
              <w:marLeft w:val="0"/>
              <w:marRight w:val="0"/>
              <w:marTop w:val="0"/>
              <w:marBottom w:val="0"/>
              <w:divBdr>
                <w:top w:val="none" w:sz="0" w:space="0" w:color="auto"/>
                <w:left w:val="none" w:sz="0" w:space="0" w:color="auto"/>
                <w:bottom w:val="none" w:sz="0" w:space="0" w:color="auto"/>
                <w:right w:val="none" w:sz="0" w:space="0" w:color="auto"/>
              </w:divBdr>
              <w:divsChild>
                <w:div w:id="110495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448462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25120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4014264">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979490">
      <w:bodyDiv w:val="1"/>
      <w:marLeft w:val="0"/>
      <w:marRight w:val="0"/>
      <w:marTop w:val="0"/>
      <w:marBottom w:val="0"/>
      <w:divBdr>
        <w:top w:val="none" w:sz="0" w:space="0" w:color="auto"/>
        <w:left w:val="none" w:sz="0" w:space="0" w:color="auto"/>
        <w:bottom w:val="none" w:sz="0" w:space="0" w:color="auto"/>
        <w:right w:val="none" w:sz="0" w:space="0" w:color="auto"/>
      </w:divBdr>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0199100">
      <w:bodyDiv w:val="1"/>
      <w:marLeft w:val="0"/>
      <w:marRight w:val="0"/>
      <w:marTop w:val="0"/>
      <w:marBottom w:val="0"/>
      <w:divBdr>
        <w:top w:val="none" w:sz="0" w:space="0" w:color="auto"/>
        <w:left w:val="none" w:sz="0" w:space="0" w:color="auto"/>
        <w:bottom w:val="none" w:sz="0" w:space="0" w:color="auto"/>
        <w:right w:val="none" w:sz="0" w:space="0" w:color="auto"/>
      </w:divBdr>
      <w:divsChild>
        <w:div w:id="1101296270">
          <w:marLeft w:val="0"/>
          <w:marRight w:val="0"/>
          <w:marTop w:val="0"/>
          <w:marBottom w:val="0"/>
          <w:divBdr>
            <w:top w:val="none" w:sz="0" w:space="0" w:color="auto"/>
            <w:left w:val="none" w:sz="0" w:space="0" w:color="auto"/>
            <w:bottom w:val="none" w:sz="0" w:space="0" w:color="auto"/>
            <w:right w:val="none" w:sz="0" w:space="0" w:color="auto"/>
          </w:divBdr>
          <w:divsChild>
            <w:div w:id="2140220424">
              <w:marLeft w:val="0"/>
              <w:marRight w:val="0"/>
              <w:marTop w:val="0"/>
              <w:marBottom w:val="0"/>
              <w:divBdr>
                <w:top w:val="none" w:sz="0" w:space="0" w:color="auto"/>
                <w:left w:val="none" w:sz="0" w:space="0" w:color="auto"/>
                <w:bottom w:val="none" w:sz="0" w:space="0" w:color="auto"/>
                <w:right w:val="none" w:sz="0" w:space="0" w:color="auto"/>
              </w:divBdr>
              <w:divsChild>
                <w:div w:id="159358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6794065">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1125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238503">
      <w:bodyDiv w:val="1"/>
      <w:marLeft w:val="0"/>
      <w:marRight w:val="0"/>
      <w:marTop w:val="0"/>
      <w:marBottom w:val="0"/>
      <w:divBdr>
        <w:top w:val="none" w:sz="0" w:space="0" w:color="auto"/>
        <w:left w:val="none" w:sz="0" w:space="0" w:color="auto"/>
        <w:bottom w:val="none" w:sz="0" w:space="0" w:color="auto"/>
        <w:right w:val="none" w:sz="0" w:space="0" w:color="auto"/>
      </w:divBdr>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1472566">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418497">
      <w:bodyDiv w:val="1"/>
      <w:marLeft w:val="0"/>
      <w:marRight w:val="0"/>
      <w:marTop w:val="0"/>
      <w:marBottom w:val="0"/>
      <w:divBdr>
        <w:top w:val="none" w:sz="0" w:space="0" w:color="auto"/>
        <w:left w:val="none" w:sz="0" w:space="0" w:color="auto"/>
        <w:bottom w:val="none" w:sz="0" w:space="0" w:color="auto"/>
        <w:right w:val="none" w:sz="0" w:space="0" w:color="auto"/>
      </w:divBdr>
      <w:divsChild>
        <w:div w:id="1985574549">
          <w:marLeft w:val="0"/>
          <w:marRight w:val="0"/>
          <w:marTop w:val="0"/>
          <w:marBottom w:val="0"/>
          <w:divBdr>
            <w:top w:val="none" w:sz="0" w:space="0" w:color="auto"/>
            <w:left w:val="none" w:sz="0" w:space="0" w:color="auto"/>
            <w:bottom w:val="none" w:sz="0" w:space="0" w:color="auto"/>
            <w:right w:val="none" w:sz="0" w:space="0" w:color="auto"/>
          </w:divBdr>
          <w:divsChild>
            <w:div w:id="632835754">
              <w:marLeft w:val="0"/>
              <w:marRight w:val="0"/>
              <w:marTop w:val="0"/>
              <w:marBottom w:val="0"/>
              <w:divBdr>
                <w:top w:val="none" w:sz="0" w:space="0" w:color="auto"/>
                <w:left w:val="none" w:sz="0" w:space="0" w:color="auto"/>
                <w:bottom w:val="none" w:sz="0" w:space="0" w:color="auto"/>
                <w:right w:val="none" w:sz="0" w:space="0" w:color="auto"/>
              </w:divBdr>
              <w:divsChild>
                <w:div w:id="841696715">
                  <w:marLeft w:val="0"/>
                  <w:marRight w:val="0"/>
                  <w:marTop w:val="0"/>
                  <w:marBottom w:val="0"/>
                  <w:divBdr>
                    <w:top w:val="none" w:sz="0" w:space="0" w:color="auto"/>
                    <w:left w:val="none" w:sz="0" w:space="0" w:color="auto"/>
                    <w:bottom w:val="none" w:sz="0" w:space="0" w:color="auto"/>
                    <w:right w:val="none" w:sz="0" w:space="0" w:color="auto"/>
                  </w:divBdr>
                  <w:divsChild>
                    <w:div w:id="1419786072">
                      <w:marLeft w:val="0"/>
                      <w:marRight w:val="0"/>
                      <w:marTop w:val="0"/>
                      <w:marBottom w:val="0"/>
                      <w:divBdr>
                        <w:top w:val="none" w:sz="0" w:space="0" w:color="auto"/>
                        <w:left w:val="none" w:sz="0" w:space="0" w:color="auto"/>
                        <w:bottom w:val="none" w:sz="0" w:space="0" w:color="auto"/>
                        <w:right w:val="none" w:sz="0" w:space="0" w:color="auto"/>
                      </w:divBdr>
                    </w:div>
                  </w:divsChild>
                </w:div>
                <w:div w:id="192773848">
                  <w:marLeft w:val="0"/>
                  <w:marRight w:val="0"/>
                  <w:marTop w:val="0"/>
                  <w:marBottom w:val="0"/>
                  <w:divBdr>
                    <w:top w:val="none" w:sz="0" w:space="0" w:color="auto"/>
                    <w:left w:val="none" w:sz="0" w:space="0" w:color="auto"/>
                    <w:bottom w:val="none" w:sz="0" w:space="0" w:color="auto"/>
                    <w:right w:val="none" w:sz="0" w:space="0" w:color="auto"/>
                  </w:divBdr>
                  <w:divsChild>
                    <w:div w:id="280655086">
                      <w:marLeft w:val="0"/>
                      <w:marRight w:val="0"/>
                      <w:marTop w:val="0"/>
                      <w:marBottom w:val="0"/>
                      <w:divBdr>
                        <w:top w:val="none" w:sz="0" w:space="0" w:color="auto"/>
                        <w:left w:val="none" w:sz="0" w:space="0" w:color="auto"/>
                        <w:bottom w:val="none" w:sz="0" w:space="0" w:color="auto"/>
                        <w:right w:val="none" w:sz="0" w:space="0" w:color="auto"/>
                      </w:divBdr>
                    </w:div>
                  </w:divsChild>
                </w:div>
                <w:div w:id="195237933">
                  <w:marLeft w:val="0"/>
                  <w:marRight w:val="0"/>
                  <w:marTop w:val="0"/>
                  <w:marBottom w:val="0"/>
                  <w:divBdr>
                    <w:top w:val="none" w:sz="0" w:space="0" w:color="auto"/>
                    <w:left w:val="none" w:sz="0" w:space="0" w:color="auto"/>
                    <w:bottom w:val="none" w:sz="0" w:space="0" w:color="auto"/>
                    <w:right w:val="none" w:sz="0" w:space="0" w:color="auto"/>
                  </w:divBdr>
                  <w:divsChild>
                    <w:div w:id="1656907643">
                      <w:marLeft w:val="0"/>
                      <w:marRight w:val="0"/>
                      <w:marTop w:val="0"/>
                      <w:marBottom w:val="0"/>
                      <w:divBdr>
                        <w:top w:val="none" w:sz="0" w:space="0" w:color="auto"/>
                        <w:left w:val="none" w:sz="0" w:space="0" w:color="auto"/>
                        <w:bottom w:val="none" w:sz="0" w:space="0" w:color="auto"/>
                        <w:right w:val="none" w:sz="0" w:space="0" w:color="auto"/>
                      </w:divBdr>
                    </w:div>
                  </w:divsChild>
                </w:div>
                <w:div w:id="716704166">
                  <w:marLeft w:val="0"/>
                  <w:marRight w:val="0"/>
                  <w:marTop w:val="0"/>
                  <w:marBottom w:val="0"/>
                  <w:divBdr>
                    <w:top w:val="none" w:sz="0" w:space="0" w:color="auto"/>
                    <w:left w:val="none" w:sz="0" w:space="0" w:color="auto"/>
                    <w:bottom w:val="none" w:sz="0" w:space="0" w:color="auto"/>
                    <w:right w:val="none" w:sz="0" w:space="0" w:color="auto"/>
                  </w:divBdr>
                  <w:divsChild>
                    <w:div w:id="2095979600">
                      <w:marLeft w:val="0"/>
                      <w:marRight w:val="0"/>
                      <w:marTop w:val="0"/>
                      <w:marBottom w:val="0"/>
                      <w:divBdr>
                        <w:top w:val="none" w:sz="0" w:space="0" w:color="auto"/>
                        <w:left w:val="none" w:sz="0" w:space="0" w:color="auto"/>
                        <w:bottom w:val="none" w:sz="0" w:space="0" w:color="auto"/>
                        <w:right w:val="none" w:sz="0" w:space="0" w:color="auto"/>
                      </w:divBdr>
                    </w:div>
                  </w:divsChild>
                </w:div>
                <w:div w:id="1268347137">
                  <w:marLeft w:val="0"/>
                  <w:marRight w:val="0"/>
                  <w:marTop w:val="0"/>
                  <w:marBottom w:val="0"/>
                  <w:divBdr>
                    <w:top w:val="none" w:sz="0" w:space="0" w:color="auto"/>
                    <w:left w:val="none" w:sz="0" w:space="0" w:color="auto"/>
                    <w:bottom w:val="none" w:sz="0" w:space="0" w:color="auto"/>
                    <w:right w:val="none" w:sz="0" w:space="0" w:color="auto"/>
                  </w:divBdr>
                  <w:divsChild>
                    <w:div w:id="1949847721">
                      <w:marLeft w:val="0"/>
                      <w:marRight w:val="0"/>
                      <w:marTop w:val="0"/>
                      <w:marBottom w:val="0"/>
                      <w:divBdr>
                        <w:top w:val="none" w:sz="0" w:space="0" w:color="auto"/>
                        <w:left w:val="none" w:sz="0" w:space="0" w:color="auto"/>
                        <w:bottom w:val="none" w:sz="0" w:space="0" w:color="auto"/>
                        <w:right w:val="none" w:sz="0" w:space="0" w:color="auto"/>
                      </w:divBdr>
                      <w:divsChild>
                        <w:div w:id="854269243">
                          <w:marLeft w:val="0"/>
                          <w:marRight w:val="0"/>
                          <w:marTop w:val="0"/>
                          <w:marBottom w:val="0"/>
                          <w:divBdr>
                            <w:top w:val="none" w:sz="0" w:space="0" w:color="auto"/>
                            <w:left w:val="none" w:sz="0" w:space="0" w:color="auto"/>
                            <w:bottom w:val="none" w:sz="0" w:space="0" w:color="auto"/>
                            <w:right w:val="none" w:sz="0" w:space="0" w:color="auto"/>
                          </w:divBdr>
                        </w:div>
                      </w:divsChild>
                    </w:div>
                    <w:div w:id="722950558">
                      <w:marLeft w:val="0"/>
                      <w:marRight w:val="0"/>
                      <w:marTop w:val="0"/>
                      <w:marBottom w:val="0"/>
                      <w:divBdr>
                        <w:top w:val="none" w:sz="0" w:space="0" w:color="auto"/>
                        <w:left w:val="none" w:sz="0" w:space="0" w:color="auto"/>
                        <w:bottom w:val="none" w:sz="0" w:space="0" w:color="auto"/>
                        <w:right w:val="none" w:sz="0" w:space="0" w:color="auto"/>
                      </w:divBdr>
                      <w:divsChild>
                        <w:div w:id="2074771069">
                          <w:marLeft w:val="0"/>
                          <w:marRight w:val="0"/>
                          <w:marTop w:val="0"/>
                          <w:marBottom w:val="0"/>
                          <w:divBdr>
                            <w:top w:val="none" w:sz="0" w:space="0" w:color="auto"/>
                            <w:left w:val="none" w:sz="0" w:space="0" w:color="auto"/>
                            <w:bottom w:val="none" w:sz="0" w:space="0" w:color="auto"/>
                            <w:right w:val="none" w:sz="0" w:space="0" w:color="auto"/>
                          </w:divBdr>
                        </w:div>
                      </w:divsChild>
                    </w:div>
                    <w:div w:id="1059399072">
                      <w:marLeft w:val="0"/>
                      <w:marRight w:val="0"/>
                      <w:marTop w:val="0"/>
                      <w:marBottom w:val="0"/>
                      <w:divBdr>
                        <w:top w:val="none" w:sz="0" w:space="0" w:color="auto"/>
                        <w:left w:val="none" w:sz="0" w:space="0" w:color="auto"/>
                        <w:bottom w:val="none" w:sz="0" w:space="0" w:color="auto"/>
                        <w:right w:val="none" w:sz="0" w:space="0" w:color="auto"/>
                      </w:divBdr>
                      <w:divsChild>
                        <w:div w:id="318121348">
                          <w:marLeft w:val="0"/>
                          <w:marRight w:val="0"/>
                          <w:marTop w:val="0"/>
                          <w:marBottom w:val="0"/>
                          <w:divBdr>
                            <w:top w:val="none" w:sz="0" w:space="0" w:color="auto"/>
                            <w:left w:val="none" w:sz="0" w:space="0" w:color="auto"/>
                            <w:bottom w:val="none" w:sz="0" w:space="0" w:color="auto"/>
                            <w:right w:val="none" w:sz="0" w:space="0" w:color="auto"/>
                          </w:divBdr>
                        </w:div>
                      </w:divsChild>
                    </w:div>
                    <w:div w:id="985545809">
                      <w:marLeft w:val="0"/>
                      <w:marRight w:val="0"/>
                      <w:marTop w:val="0"/>
                      <w:marBottom w:val="0"/>
                      <w:divBdr>
                        <w:top w:val="none" w:sz="0" w:space="0" w:color="auto"/>
                        <w:left w:val="none" w:sz="0" w:space="0" w:color="auto"/>
                        <w:bottom w:val="none" w:sz="0" w:space="0" w:color="auto"/>
                        <w:right w:val="none" w:sz="0" w:space="0" w:color="auto"/>
                      </w:divBdr>
                      <w:divsChild>
                        <w:div w:id="127481684">
                          <w:marLeft w:val="0"/>
                          <w:marRight w:val="0"/>
                          <w:marTop w:val="0"/>
                          <w:marBottom w:val="0"/>
                          <w:divBdr>
                            <w:top w:val="none" w:sz="0" w:space="0" w:color="auto"/>
                            <w:left w:val="none" w:sz="0" w:space="0" w:color="auto"/>
                            <w:bottom w:val="none" w:sz="0" w:space="0" w:color="auto"/>
                            <w:right w:val="none" w:sz="0" w:space="0" w:color="auto"/>
                          </w:divBdr>
                        </w:div>
                      </w:divsChild>
                    </w:div>
                    <w:div w:id="970745688">
                      <w:marLeft w:val="0"/>
                      <w:marRight w:val="0"/>
                      <w:marTop w:val="0"/>
                      <w:marBottom w:val="0"/>
                      <w:divBdr>
                        <w:top w:val="none" w:sz="0" w:space="0" w:color="auto"/>
                        <w:left w:val="none" w:sz="0" w:space="0" w:color="auto"/>
                        <w:bottom w:val="none" w:sz="0" w:space="0" w:color="auto"/>
                        <w:right w:val="none" w:sz="0" w:space="0" w:color="auto"/>
                      </w:divBdr>
                      <w:divsChild>
                        <w:div w:id="401102041">
                          <w:marLeft w:val="0"/>
                          <w:marRight w:val="0"/>
                          <w:marTop w:val="0"/>
                          <w:marBottom w:val="0"/>
                          <w:divBdr>
                            <w:top w:val="none" w:sz="0" w:space="0" w:color="auto"/>
                            <w:left w:val="none" w:sz="0" w:space="0" w:color="auto"/>
                            <w:bottom w:val="none" w:sz="0" w:space="0" w:color="auto"/>
                            <w:right w:val="none" w:sz="0" w:space="0" w:color="auto"/>
                          </w:divBdr>
                        </w:div>
                      </w:divsChild>
                    </w:div>
                    <w:div w:id="1597516611">
                      <w:marLeft w:val="0"/>
                      <w:marRight w:val="0"/>
                      <w:marTop w:val="0"/>
                      <w:marBottom w:val="0"/>
                      <w:divBdr>
                        <w:top w:val="none" w:sz="0" w:space="0" w:color="auto"/>
                        <w:left w:val="none" w:sz="0" w:space="0" w:color="auto"/>
                        <w:bottom w:val="none" w:sz="0" w:space="0" w:color="auto"/>
                        <w:right w:val="none" w:sz="0" w:space="0" w:color="auto"/>
                      </w:divBdr>
                      <w:divsChild>
                        <w:div w:id="1309628741">
                          <w:marLeft w:val="0"/>
                          <w:marRight w:val="0"/>
                          <w:marTop w:val="0"/>
                          <w:marBottom w:val="0"/>
                          <w:divBdr>
                            <w:top w:val="none" w:sz="0" w:space="0" w:color="auto"/>
                            <w:left w:val="none" w:sz="0" w:space="0" w:color="auto"/>
                            <w:bottom w:val="none" w:sz="0" w:space="0" w:color="auto"/>
                            <w:right w:val="none" w:sz="0" w:space="0" w:color="auto"/>
                          </w:divBdr>
                        </w:div>
                      </w:divsChild>
                    </w:div>
                    <w:div w:id="1517386018">
                      <w:marLeft w:val="0"/>
                      <w:marRight w:val="0"/>
                      <w:marTop w:val="0"/>
                      <w:marBottom w:val="0"/>
                      <w:divBdr>
                        <w:top w:val="none" w:sz="0" w:space="0" w:color="auto"/>
                        <w:left w:val="none" w:sz="0" w:space="0" w:color="auto"/>
                        <w:bottom w:val="none" w:sz="0" w:space="0" w:color="auto"/>
                        <w:right w:val="none" w:sz="0" w:space="0" w:color="auto"/>
                      </w:divBdr>
                      <w:divsChild>
                        <w:div w:id="99171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997603">
                  <w:marLeft w:val="0"/>
                  <w:marRight w:val="0"/>
                  <w:marTop w:val="0"/>
                  <w:marBottom w:val="0"/>
                  <w:divBdr>
                    <w:top w:val="none" w:sz="0" w:space="0" w:color="auto"/>
                    <w:left w:val="none" w:sz="0" w:space="0" w:color="auto"/>
                    <w:bottom w:val="none" w:sz="0" w:space="0" w:color="auto"/>
                    <w:right w:val="none" w:sz="0" w:space="0" w:color="auto"/>
                  </w:divBdr>
                  <w:divsChild>
                    <w:div w:id="1418089279">
                      <w:marLeft w:val="0"/>
                      <w:marRight w:val="0"/>
                      <w:marTop w:val="0"/>
                      <w:marBottom w:val="0"/>
                      <w:divBdr>
                        <w:top w:val="none" w:sz="0" w:space="0" w:color="auto"/>
                        <w:left w:val="none" w:sz="0" w:space="0" w:color="auto"/>
                        <w:bottom w:val="none" w:sz="0" w:space="0" w:color="auto"/>
                        <w:right w:val="none" w:sz="0" w:space="0" w:color="auto"/>
                      </w:divBdr>
                    </w:div>
                  </w:divsChild>
                </w:div>
                <w:div w:id="82410784">
                  <w:marLeft w:val="0"/>
                  <w:marRight w:val="0"/>
                  <w:marTop w:val="0"/>
                  <w:marBottom w:val="0"/>
                  <w:divBdr>
                    <w:top w:val="none" w:sz="0" w:space="0" w:color="auto"/>
                    <w:left w:val="none" w:sz="0" w:space="0" w:color="auto"/>
                    <w:bottom w:val="none" w:sz="0" w:space="0" w:color="auto"/>
                    <w:right w:val="none" w:sz="0" w:space="0" w:color="auto"/>
                  </w:divBdr>
                  <w:divsChild>
                    <w:div w:id="635183734">
                      <w:marLeft w:val="0"/>
                      <w:marRight w:val="0"/>
                      <w:marTop w:val="0"/>
                      <w:marBottom w:val="0"/>
                      <w:divBdr>
                        <w:top w:val="none" w:sz="0" w:space="0" w:color="auto"/>
                        <w:left w:val="none" w:sz="0" w:space="0" w:color="auto"/>
                        <w:bottom w:val="none" w:sz="0" w:space="0" w:color="auto"/>
                        <w:right w:val="none" w:sz="0" w:space="0" w:color="auto"/>
                      </w:divBdr>
                      <w:divsChild>
                        <w:div w:id="352734594">
                          <w:marLeft w:val="0"/>
                          <w:marRight w:val="0"/>
                          <w:marTop w:val="0"/>
                          <w:marBottom w:val="0"/>
                          <w:divBdr>
                            <w:top w:val="none" w:sz="0" w:space="0" w:color="auto"/>
                            <w:left w:val="none" w:sz="0" w:space="0" w:color="auto"/>
                            <w:bottom w:val="none" w:sz="0" w:space="0" w:color="auto"/>
                            <w:right w:val="none" w:sz="0" w:space="0" w:color="auto"/>
                          </w:divBdr>
                        </w:div>
                      </w:divsChild>
                    </w:div>
                    <w:div w:id="897395353">
                      <w:marLeft w:val="0"/>
                      <w:marRight w:val="0"/>
                      <w:marTop w:val="0"/>
                      <w:marBottom w:val="0"/>
                      <w:divBdr>
                        <w:top w:val="none" w:sz="0" w:space="0" w:color="auto"/>
                        <w:left w:val="none" w:sz="0" w:space="0" w:color="auto"/>
                        <w:bottom w:val="none" w:sz="0" w:space="0" w:color="auto"/>
                        <w:right w:val="none" w:sz="0" w:space="0" w:color="auto"/>
                      </w:divBdr>
                      <w:divsChild>
                        <w:div w:id="208301509">
                          <w:marLeft w:val="0"/>
                          <w:marRight w:val="0"/>
                          <w:marTop w:val="0"/>
                          <w:marBottom w:val="0"/>
                          <w:divBdr>
                            <w:top w:val="none" w:sz="0" w:space="0" w:color="auto"/>
                            <w:left w:val="none" w:sz="0" w:space="0" w:color="auto"/>
                            <w:bottom w:val="none" w:sz="0" w:space="0" w:color="auto"/>
                            <w:right w:val="none" w:sz="0" w:space="0" w:color="auto"/>
                          </w:divBdr>
                        </w:div>
                      </w:divsChild>
                    </w:div>
                    <w:div w:id="1125780052">
                      <w:marLeft w:val="0"/>
                      <w:marRight w:val="0"/>
                      <w:marTop w:val="0"/>
                      <w:marBottom w:val="0"/>
                      <w:divBdr>
                        <w:top w:val="none" w:sz="0" w:space="0" w:color="auto"/>
                        <w:left w:val="none" w:sz="0" w:space="0" w:color="auto"/>
                        <w:bottom w:val="none" w:sz="0" w:space="0" w:color="auto"/>
                        <w:right w:val="none" w:sz="0" w:space="0" w:color="auto"/>
                      </w:divBdr>
                      <w:divsChild>
                        <w:div w:id="1094129664">
                          <w:marLeft w:val="0"/>
                          <w:marRight w:val="0"/>
                          <w:marTop w:val="0"/>
                          <w:marBottom w:val="0"/>
                          <w:divBdr>
                            <w:top w:val="none" w:sz="0" w:space="0" w:color="auto"/>
                            <w:left w:val="none" w:sz="0" w:space="0" w:color="auto"/>
                            <w:bottom w:val="none" w:sz="0" w:space="0" w:color="auto"/>
                            <w:right w:val="none" w:sz="0" w:space="0" w:color="auto"/>
                          </w:divBdr>
                        </w:div>
                      </w:divsChild>
                    </w:div>
                    <w:div w:id="94250647">
                      <w:marLeft w:val="0"/>
                      <w:marRight w:val="0"/>
                      <w:marTop w:val="0"/>
                      <w:marBottom w:val="0"/>
                      <w:divBdr>
                        <w:top w:val="none" w:sz="0" w:space="0" w:color="auto"/>
                        <w:left w:val="none" w:sz="0" w:space="0" w:color="auto"/>
                        <w:bottom w:val="none" w:sz="0" w:space="0" w:color="auto"/>
                        <w:right w:val="none" w:sz="0" w:space="0" w:color="auto"/>
                      </w:divBdr>
                      <w:divsChild>
                        <w:div w:id="104144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777734">
                  <w:marLeft w:val="0"/>
                  <w:marRight w:val="0"/>
                  <w:marTop w:val="0"/>
                  <w:marBottom w:val="0"/>
                  <w:divBdr>
                    <w:top w:val="none" w:sz="0" w:space="0" w:color="auto"/>
                    <w:left w:val="none" w:sz="0" w:space="0" w:color="auto"/>
                    <w:bottom w:val="none" w:sz="0" w:space="0" w:color="auto"/>
                    <w:right w:val="none" w:sz="0" w:space="0" w:color="auto"/>
                  </w:divBdr>
                  <w:divsChild>
                    <w:div w:id="1421369443">
                      <w:marLeft w:val="0"/>
                      <w:marRight w:val="0"/>
                      <w:marTop w:val="0"/>
                      <w:marBottom w:val="0"/>
                      <w:divBdr>
                        <w:top w:val="none" w:sz="0" w:space="0" w:color="auto"/>
                        <w:left w:val="none" w:sz="0" w:space="0" w:color="auto"/>
                        <w:bottom w:val="none" w:sz="0" w:space="0" w:color="auto"/>
                        <w:right w:val="none" w:sz="0" w:space="0" w:color="auto"/>
                      </w:divBdr>
                    </w:div>
                  </w:divsChild>
                </w:div>
                <w:div w:id="440150556">
                  <w:marLeft w:val="0"/>
                  <w:marRight w:val="0"/>
                  <w:marTop w:val="0"/>
                  <w:marBottom w:val="0"/>
                  <w:divBdr>
                    <w:top w:val="none" w:sz="0" w:space="0" w:color="auto"/>
                    <w:left w:val="none" w:sz="0" w:space="0" w:color="auto"/>
                    <w:bottom w:val="none" w:sz="0" w:space="0" w:color="auto"/>
                    <w:right w:val="none" w:sz="0" w:space="0" w:color="auto"/>
                  </w:divBdr>
                  <w:divsChild>
                    <w:div w:id="109975684">
                      <w:marLeft w:val="0"/>
                      <w:marRight w:val="0"/>
                      <w:marTop w:val="0"/>
                      <w:marBottom w:val="0"/>
                      <w:divBdr>
                        <w:top w:val="none" w:sz="0" w:space="0" w:color="auto"/>
                        <w:left w:val="none" w:sz="0" w:space="0" w:color="auto"/>
                        <w:bottom w:val="none" w:sz="0" w:space="0" w:color="auto"/>
                        <w:right w:val="none" w:sz="0" w:space="0" w:color="auto"/>
                      </w:divBdr>
                    </w:div>
                  </w:divsChild>
                </w:div>
                <w:div w:id="542720054">
                  <w:marLeft w:val="0"/>
                  <w:marRight w:val="0"/>
                  <w:marTop w:val="0"/>
                  <w:marBottom w:val="0"/>
                  <w:divBdr>
                    <w:top w:val="none" w:sz="0" w:space="0" w:color="auto"/>
                    <w:left w:val="none" w:sz="0" w:space="0" w:color="auto"/>
                    <w:bottom w:val="none" w:sz="0" w:space="0" w:color="auto"/>
                    <w:right w:val="none" w:sz="0" w:space="0" w:color="auto"/>
                  </w:divBdr>
                  <w:divsChild>
                    <w:div w:id="1986087135">
                      <w:marLeft w:val="0"/>
                      <w:marRight w:val="0"/>
                      <w:marTop w:val="0"/>
                      <w:marBottom w:val="0"/>
                      <w:divBdr>
                        <w:top w:val="none" w:sz="0" w:space="0" w:color="auto"/>
                        <w:left w:val="none" w:sz="0" w:space="0" w:color="auto"/>
                        <w:bottom w:val="none" w:sz="0" w:space="0" w:color="auto"/>
                        <w:right w:val="none" w:sz="0" w:space="0" w:color="auto"/>
                      </w:divBdr>
                    </w:div>
                  </w:divsChild>
                </w:div>
                <w:div w:id="1797020092">
                  <w:marLeft w:val="0"/>
                  <w:marRight w:val="0"/>
                  <w:marTop w:val="0"/>
                  <w:marBottom w:val="0"/>
                  <w:divBdr>
                    <w:top w:val="none" w:sz="0" w:space="0" w:color="auto"/>
                    <w:left w:val="none" w:sz="0" w:space="0" w:color="auto"/>
                    <w:bottom w:val="none" w:sz="0" w:space="0" w:color="auto"/>
                    <w:right w:val="none" w:sz="0" w:space="0" w:color="auto"/>
                  </w:divBdr>
                  <w:divsChild>
                    <w:div w:id="190803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9769040">
      <w:bodyDiv w:val="1"/>
      <w:marLeft w:val="0"/>
      <w:marRight w:val="0"/>
      <w:marTop w:val="0"/>
      <w:marBottom w:val="0"/>
      <w:divBdr>
        <w:top w:val="none" w:sz="0" w:space="0" w:color="auto"/>
        <w:left w:val="none" w:sz="0" w:space="0" w:color="auto"/>
        <w:bottom w:val="none" w:sz="0" w:space="0" w:color="auto"/>
        <w:right w:val="none" w:sz="0" w:space="0" w:color="auto"/>
      </w:divBdr>
      <w:divsChild>
        <w:div w:id="1846508715">
          <w:marLeft w:val="0"/>
          <w:marRight w:val="0"/>
          <w:marTop w:val="0"/>
          <w:marBottom w:val="0"/>
          <w:divBdr>
            <w:top w:val="none" w:sz="0" w:space="0" w:color="auto"/>
            <w:left w:val="none" w:sz="0" w:space="0" w:color="auto"/>
            <w:bottom w:val="none" w:sz="0" w:space="0" w:color="auto"/>
            <w:right w:val="none" w:sz="0" w:space="0" w:color="auto"/>
          </w:divBdr>
          <w:divsChild>
            <w:div w:id="600843179">
              <w:marLeft w:val="0"/>
              <w:marRight w:val="0"/>
              <w:marTop w:val="0"/>
              <w:marBottom w:val="0"/>
              <w:divBdr>
                <w:top w:val="none" w:sz="0" w:space="0" w:color="auto"/>
                <w:left w:val="none" w:sz="0" w:space="0" w:color="auto"/>
                <w:bottom w:val="none" w:sz="0" w:space="0" w:color="auto"/>
                <w:right w:val="none" w:sz="0" w:space="0" w:color="auto"/>
              </w:divBdr>
              <w:divsChild>
                <w:div w:id="163283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2419156">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7269821">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065223">
      <w:bodyDiv w:val="1"/>
      <w:marLeft w:val="0"/>
      <w:marRight w:val="0"/>
      <w:marTop w:val="0"/>
      <w:marBottom w:val="0"/>
      <w:divBdr>
        <w:top w:val="none" w:sz="0" w:space="0" w:color="auto"/>
        <w:left w:val="none" w:sz="0" w:space="0" w:color="auto"/>
        <w:bottom w:val="none" w:sz="0" w:space="0" w:color="auto"/>
        <w:right w:val="none" w:sz="0" w:space="0" w:color="auto"/>
      </w:divBdr>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840300">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6732616">
      <w:bodyDiv w:val="1"/>
      <w:marLeft w:val="0"/>
      <w:marRight w:val="0"/>
      <w:marTop w:val="0"/>
      <w:marBottom w:val="0"/>
      <w:divBdr>
        <w:top w:val="none" w:sz="0" w:space="0" w:color="auto"/>
        <w:left w:val="none" w:sz="0" w:space="0" w:color="auto"/>
        <w:bottom w:val="none" w:sz="0" w:space="0" w:color="auto"/>
        <w:right w:val="none" w:sz="0" w:space="0" w:color="auto"/>
      </w:divBdr>
      <w:divsChild>
        <w:div w:id="590891673">
          <w:marLeft w:val="0"/>
          <w:marRight w:val="0"/>
          <w:marTop w:val="0"/>
          <w:marBottom w:val="0"/>
          <w:divBdr>
            <w:top w:val="none" w:sz="0" w:space="0" w:color="auto"/>
            <w:left w:val="none" w:sz="0" w:space="0" w:color="auto"/>
            <w:bottom w:val="none" w:sz="0" w:space="0" w:color="auto"/>
            <w:right w:val="none" w:sz="0" w:space="0" w:color="auto"/>
          </w:divBdr>
          <w:divsChild>
            <w:div w:id="1439565445">
              <w:marLeft w:val="0"/>
              <w:marRight w:val="0"/>
              <w:marTop w:val="0"/>
              <w:marBottom w:val="0"/>
              <w:divBdr>
                <w:top w:val="none" w:sz="0" w:space="0" w:color="auto"/>
                <w:left w:val="none" w:sz="0" w:space="0" w:color="auto"/>
                <w:bottom w:val="none" w:sz="0" w:space="0" w:color="auto"/>
                <w:right w:val="none" w:sz="0" w:space="0" w:color="auto"/>
              </w:divBdr>
              <w:divsChild>
                <w:div w:id="118116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3262592">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4473260">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3115059">
      <w:bodyDiv w:val="1"/>
      <w:marLeft w:val="0"/>
      <w:marRight w:val="0"/>
      <w:marTop w:val="0"/>
      <w:marBottom w:val="0"/>
      <w:divBdr>
        <w:top w:val="none" w:sz="0" w:space="0" w:color="auto"/>
        <w:left w:val="none" w:sz="0" w:space="0" w:color="auto"/>
        <w:bottom w:val="none" w:sz="0" w:space="0" w:color="auto"/>
        <w:right w:val="none" w:sz="0" w:space="0" w:color="auto"/>
      </w:divBdr>
      <w:divsChild>
        <w:div w:id="798455519">
          <w:marLeft w:val="0"/>
          <w:marRight w:val="0"/>
          <w:marTop w:val="0"/>
          <w:marBottom w:val="0"/>
          <w:divBdr>
            <w:top w:val="none" w:sz="0" w:space="0" w:color="auto"/>
            <w:left w:val="none" w:sz="0" w:space="0" w:color="auto"/>
            <w:bottom w:val="none" w:sz="0" w:space="0" w:color="auto"/>
            <w:right w:val="none" w:sz="0" w:space="0" w:color="auto"/>
          </w:divBdr>
          <w:divsChild>
            <w:div w:id="752972302">
              <w:marLeft w:val="0"/>
              <w:marRight w:val="0"/>
              <w:marTop w:val="0"/>
              <w:marBottom w:val="0"/>
              <w:divBdr>
                <w:top w:val="none" w:sz="0" w:space="0" w:color="auto"/>
                <w:left w:val="none" w:sz="0" w:space="0" w:color="auto"/>
                <w:bottom w:val="none" w:sz="0" w:space="0" w:color="auto"/>
                <w:right w:val="none" w:sz="0" w:space="0" w:color="auto"/>
              </w:divBdr>
              <w:divsChild>
                <w:div w:id="162978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4808483">
      <w:bodyDiv w:val="1"/>
      <w:marLeft w:val="0"/>
      <w:marRight w:val="0"/>
      <w:marTop w:val="0"/>
      <w:marBottom w:val="0"/>
      <w:divBdr>
        <w:top w:val="none" w:sz="0" w:space="0" w:color="auto"/>
        <w:left w:val="none" w:sz="0" w:space="0" w:color="auto"/>
        <w:bottom w:val="none" w:sz="0" w:space="0" w:color="auto"/>
        <w:right w:val="none" w:sz="0" w:space="0" w:color="auto"/>
      </w:divBdr>
    </w:div>
    <w:div w:id="1831403781">
      <w:bodyDiv w:val="1"/>
      <w:marLeft w:val="0"/>
      <w:marRight w:val="0"/>
      <w:marTop w:val="0"/>
      <w:marBottom w:val="0"/>
      <w:divBdr>
        <w:top w:val="none" w:sz="0" w:space="0" w:color="auto"/>
        <w:left w:val="none" w:sz="0" w:space="0" w:color="auto"/>
        <w:bottom w:val="none" w:sz="0" w:space="0" w:color="auto"/>
        <w:right w:val="none" w:sz="0" w:space="0" w:color="auto"/>
      </w:divBdr>
      <w:divsChild>
        <w:div w:id="191847310">
          <w:marLeft w:val="0"/>
          <w:marRight w:val="0"/>
          <w:marTop w:val="0"/>
          <w:marBottom w:val="0"/>
          <w:divBdr>
            <w:top w:val="none" w:sz="0" w:space="0" w:color="auto"/>
            <w:left w:val="none" w:sz="0" w:space="0" w:color="auto"/>
            <w:bottom w:val="none" w:sz="0" w:space="0" w:color="auto"/>
            <w:right w:val="none" w:sz="0" w:space="0" w:color="auto"/>
          </w:divBdr>
          <w:divsChild>
            <w:div w:id="1736853169">
              <w:marLeft w:val="0"/>
              <w:marRight w:val="0"/>
              <w:marTop w:val="0"/>
              <w:marBottom w:val="0"/>
              <w:divBdr>
                <w:top w:val="none" w:sz="0" w:space="0" w:color="auto"/>
                <w:left w:val="none" w:sz="0" w:space="0" w:color="auto"/>
                <w:bottom w:val="none" w:sz="0" w:space="0" w:color="auto"/>
                <w:right w:val="none" w:sz="0" w:space="0" w:color="auto"/>
              </w:divBdr>
              <w:divsChild>
                <w:div w:id="774059411">
                  <w:marLeft w:val="0"/>
                  <w:marRight w:val="0"/>
                  <w:marTop w:val="0"/>
                  <w:marBottom w:val="0"/>
                  <w:divBdr>
                    <w:top w:val="none" w:sz="0" w:space="0" w:color="auto"/>
                    <w:left w:val="none" w:sz="0" w:space="0" w:color="auto"/>
                    <w:bottom w:val="none" w:sz="0" w:space="0" w:color="auto"/>
                    <w:right w:val="none" w:sz="0" w:space="0" w:color="auto"/>
                  </w:divBdr>
                  <w:divsChild>
                    <w:div w:id="190868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3786389">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08612517">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0672078">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7619228">
      <w:bodyDiv w:val="1"/>
      <w:marLeft w:val="0"/>
      <w:marRight w:val="0"/>
      <w:marTop w:val="0"/>
      <w:marBottom w:val="0"/>
      <w:divBdr>
        <w:top w:val="none" w:sz="0" w:space="0" w:color="auto"/>
        <w:left w:val="none" w:sz="0" w:space="0" w:color="auto"/>
        <w:bottom w:val="none" w:sz="0" w:space="0" w:color="auto"/>
        <w:right w:val="none" w:sz="0" w:space="0" w:color="auto"/>
      </w:divBdr>
      <w:divsChild>
        <w:div w:id="1073091653">
          <w:marLeft w:val="0"/>
          <w:marRight w:val="0"/>
          <w:marTop w:val="0"/>
          <w:marBottom w:val="0"/>
          <w:divBdr>
            <w:top w:val="none" w:sz="0" w:space="0" w:color="auto"/>
            <w:left w:val="none" w:sz="0" w:space="0" w:color="auto"/>
            <w:bottom w:val="none" w:sz="0" w:space="0" w:color="auto"/>
            <w:right w:val="none" w:sz="0" w:space="0" w:color="auto"/>
          </w:divBdr>
        </w:div>
        <w:div w:id="989165463">
          <w:marLeft w:val="0"/>
          <w:marRight w:val="0"/>
          <w:marTop w:val="0"/>
          <w:marBottom w:val="0"/>
          <w:divBdr>
            <w:top w:val="none" w:sz="0" w:space="0" w:color="auto"/>
            <w:left w:val="none" w:sz="0" w:space="0" w:color="auto"/>
            <w:bottom w:val="none" w:sz="0" w:space="0" w:color="auto"/>
            <w:right w:val="none" w:sz="0" w:space="0" w:color="auto"/>
          </w:divBdr>
        </w:div>
        <w:div w:id="2059669214">
          <w:marLeft w:val="0"/>
          <w:marRight w:val="0"/>
          <w:marTop w:val="0"/>
          <w:marBottom w:val="0"/>
          <w:divBdr>
            <w:top w:val="none" w:sz="0" w:space="0" w:color="auto"/>
            <w:left w:val="none" w:sz="0" w:space="0" w:color="auto"/>
            <w:bottom w:val="none" w:sz="0" w:space="0" w:color="auto"/>
            <w:right w:val="none" w:sz="0" w:space="0" w:color="auto"/>
          </w:divBdr>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2047850">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952717">
      <w:bodyDiv w:val="1"/>
      <w:marLeft w:val="0"/>
      <w:marRight w:val="0"/>
      <w:marTop w:val="0"/>
      <w:marBottom w:val="0"/>
      <w:divBdr>
        <w:top w:val="none" w:sz="0" w:space="0" w:color="auto"/>
        <w:left w:val="none" w:sz="0" w:space="0" w:color="auto"/>
        <w:bottom w:val="none" w:sz="0" w:space="0" w:color="auto"/>
        <w:right w:val="none" w:sz="0" w:space="0" w:color="auto"/>
      </w:divBdr>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57392023">
      <w:bodyDiv w:val="1"/>
      <w:marLeft w:val="0"/>
      <w:marRight w:val="0"/>
      <w:marTop w:val="0"/>
      <w:marBottom w:val="0"/>
      <w:divBdr>
        <w:top w:val="none" w:sz="0" w:space="0" w:color="auto"/>
        <w:left w:val="none" w:sz="0" w:space="0" w:color="auto"/>
        <w:bottom w:val="none" w:sz="0" w:space="0" w:color="auto"/>
        <w:right w:val="none" w:sz="0" w:space="0" w:color="auto"/>
      </w:divBdr>
    </w:div>
    <w:div w:id="2065136020">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30899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455004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C6C0B97D-F5E9-4441-BADB-3C5FDAC357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3</TotalTime>
  <Pages>16</Pages>
  <Words>5002</Words>
  <Characters>27512</Characters>
  <Application>Microsoft Office Word</Application>
  <DocSecurity>0</DocSecurity>
  <Lines>229</Lines>
  <Paragraphs>64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Jorge Eliecer Moran Buitrón</cp:lastModifiedBy>
  <cp:revision>3</cp:revision>
  <cp:lastPrinted>2020-01-30T15:05:00Z</cp:lastPrinted>
  <dcterms:created xsi:type="dcterms:W3CDTF">2022-09-14T20:23:00Z</dcterms:created>
  <dcterms:modified xsi:type="dcterms:W3CDTF">2022-10-12T15:42:00Z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