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B7ADB" w14:textId="77777777" w:rsidR="00E27BDF" w:rsidRDefault="006C0DA8">
      <w:pPr>
        <w:jc w:val="right"/>
        <w:rPr>
          <w:rFonts w:ascii="Arial" w:eastAsia="Arial" w:hAnsi="Arial" w:cs="Arial"/>
          <w:b/>
          <w:color w:val="000000"/>
          <w:sz w:val="16"/>
          <w:szCs w:val="16"/>
        </w:rPr>
      </w:pPr>
      <w:bookmarkStart w:id="0" w:name="_gjdgxs" w:colFirst="0" w:colLast="0"/>
      <w:bookmarkEnd w:id="0"/>
      <w:r>
        <w:rPr>
          <w:rFonts w:ascii="Arial" w:eastAsia="Arial" w:hAnsi="Arial" w:cs="Arial"/>
          <w:b/>
          <w:color w:val="000000"/>
          <w:sz w:val="16"/>
          <w:szCs w:val="16"/>
        </w:rPr>
        <w:t xml:space="preserve"> </w:t>
      </w:r>
    </w:p>
    <w:p w14:paraId="72B4F0CF" w14:textId="77777777" w:rsidR="00E27BDF" w:rsidRPr="00342184" w:rsidRDefault="006C0DA8">
      <w:pPr>
        <w:jc w:val="right"/>
        <w:rPr>
          <w:rFonts w:ascii="Arial" w:eastAsia="Arial" w:hAnsi="Arial" w:cs="Arial"/>
          <w:b/>
          <w:color w:val="000000"/>
          <w:sz w:val="16"/>
          <w:szCs w:val="16"/>
        </w:rPr>
      </w:pPr>
      <w:r>
        <w:rPr>
          <w:rFonts w:ascii="Arial" w:eastAsia="Arial" w:hAnsi="Arial" w:cs="Arial"/>
          <w:b/>
          <w:color w:val="000000"/>
          <w:sz w:val="16"/>
          <w:szCs w:val="16"/>
        </w:rPr>
        <w:tab/>
      </w:r>
      <w:r w:rsidRPr="00342184">
        <w:rPr>
          <w:rFonts w:ascii="Arial" w:eastAsia="Arial" w:hAnsi="Arial" w:cs="Arial"/>
          <w:b/>
          <w:color w:val="000000"/>
          <w:sz w:val="16"/>
          <w:szCs w:val="16"/>
        </w:rPr>
        <w:t>CCE-DES-FM-17</w:t>
      </w:r>
    </w:p>
    <w:p w14:paraId="22871975" w14:textId="206E10E8" w:rsidR="00E27BDF" w:rsidRPr="00342184" w:rsidRDefault="00E27BDF">
      <w:pPr>
        <w:jc w:val="right"/>
        <w:rPr>
          <w:rFonts w:ascii="Arial" w:eastAsia="Arial" w:hAnsi="Arial" w:cs="Arial"/>
          <w:b/>
          <w:color w:val="000000"/>
          <w:sz w:val="16"/>
          <w:szCs w:val="16"/>
        </w:rPr>
      </w:pPr>
    </w:p>
    <w:p w14:paraId="15E4DDA7" w14:textId="2C3E41EA" w:rsidR="00CC2C3C" w:rsidRPr="003C786B" w:rsidRDefault="00964FBB" w:rsidP="00CC2C3C">
      <w:pPr>
        <w:jc w:val="both"/>
        <w:rPr>
          <w:rFonts w:ascii="Arial" w:hAnsi="Arial" w:cs="Arial"/>
          <w:b/>
          <w:bCs/>
          <w:sz w:val="22"/>
          <w:lang w:val="es-ES_tradnl"/>
        </w:rPr>
      </w:pPr>
      <w:r>
        <w:rPr>
          <w:rFonts w:ascii="Arial" w:eastAsia="Arial" w:hAnsi="Arial" w:cs="Arial"/>
          <w:b/>
          <w:color w:val="000000"/>
          <w:sz w:val="22"/>
          <w:szCs w:val="22"/>
        </w:rPr>
        <w:t>INHABILIDADES</w:t>
      </w:r>
      <w:r w:rsidR="006C0DA8" w:rsidRPr="00342184">
        <w:rPr>
          <w:rFonts w:ascii="Arial" w:eastAsia="Arial" w:hAnsi="Arial" w:cs="Arial"/>
          <w:b/>
          <w:color w:val="000000"/>
          <w:sz w:val="22"/>
          <w:szCs w:val="22"/>
        </w:rPr>
        <w:t xml:space="preserve"> – </w:t>
      </w:r>
      <w:r w:rsidR="00DF5EFE">
        <w:rPr>
          <w:rFonts w:ascii="Arial" w:eastAsia="Arial" w:hAnsi="Arial" w:cs="Arial"/>
          <w:b/>
          <w:color w:val="000000"/>
          <w:sz w:val="22"/>
          <w:szCs w:val="22"/>
        </w:rPr>
        <w:t>Interpretación restrictiva – Limitaciones a la capacidad</w:t>
      </w:r>
    </w:p>
    <w:p w14:paraId="33E8527B" w14:textId="0817FA0B" w:rsidR="00E27BDF" w:rsidRPr="00342184" w:rsidRDefault="00E27BDF">
      <w:pPr>
        <w:jc w:val="both"/>
        <w:rPr>
          <w:rFonts w:ascii="Arial" w:eastAsia="Arial" w:hAnsi="Arial" w:cs="Arial"/>
          <w:b/>
          <w:color w:val="000000"/>
          <w:sz w:val="22"/>
          <w:szCs w:val="22"/>
        </w:rPr>
      </w:pPr>
    </w:p>
    <w:p w14:paraId="1831668F" w14:textId="34774B32" w:rsidR="00DF5EFE" w:rsidRPr="00AC058F" w:rsidRDefault="00DF5EFE" w:rsidP="00AC058F">
      <w:pPr>
        <w:jc w:val="both"/>
        <w:rPr>
          <w:rFonts w:ascii="Arial" w:eastAsia="Arial" w:hAnsi="Arial" w:cs="Arial"/>
          <w:color w:val="000000"/>
          <w:sz w:val="20"/>
          <w:szCs w:val="21"/>
          <w:lang w:val="es-ES"/>
        </w:rPr>
      </w:pPr>
      <w:r w:rsidRPr="00AC058F">
        <w:rPr>
          <w:rFonts w:ascii="Arial" w:eastAsia="Arial" w:hAnsi="Arial" w:cs="Arial"/>
          <w:color w:val="000000"/>
          <w:sz w:val="20"/>
          <w:szCs w:val="21"/>
          <w:lang w:val="es-ES"/>
        </w:rPr>
        <w:t xml:space="preserve">[…] </w:t>
      </w:r>
      <w:r w:rsidR="00EC61AB">
        <w:rPr>
          <w:rFonts w:ascii="Arial" w:eastAsia="Arial" w:hAnsi="Arial" w:cs="Arial"/>
          <w:color w:val="000000"/>
          <w:sz w:val="20"/>
          <w:szCs w:val="21"/>
          <w:lang w:val="es-ES"/>
        </w:rPr>
        <w:t>L</w:t>
      </w:r>
      <w:r w:rsidRPr="00AC058F">
        <w:rPr>
          <w:rFonts w:ascii="Arial" w:eastAsia="Arial" w:hAnsi="Arial" w:cs="Arial"/>
          <w:color w:val="000000"/>
          <w:sz w:val="20"/>
          <w:szCs w:val="21"/>
          <w:lang w:val="es-ES"/>
        </w:rPr>
        <w:t xml:space="preserve">as inhabilidades e incompatibilidades […] al ser restricciones o límites especiales a la capacidad para presentar ofertas y celebrar contratos estatales, solo pueden tipificarse en la ley –o sea, deben satisfacer el principio de legalidad– y su interpretación debe ser restrictiva,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3400D5DA" w14:textId="77777777" w:rsidR="00246E9A" w:rsidRPr="00342184" w:rsidRDefault="00246E9A">
      <w:pPr>
        <w:jc w:val="both"/>
        <w:rPr>
          <w:rFonts w:ascii="Arial" w:eastAsia="Arial" w:hAnsi="Arial" w:cs="Arial"/>
          <w:b/>
          <w:color w:val="000000"/>
          <w:sz w:val="21"/>
          <w:szCs w:val="21"/>
        </w:rPr>
      </w:pPr>
    </w:p>
    <w:p w14:paraId="62C4E565" w14:textId="3BD062D4" w:rsidR="00E27BDF" w:rsidRPr="00342184" w:rsidRDefault="00964FBB">
      <w:pPr>
        <w:jc w:val="both"/>
        <w:rPr>
          <w:rFonts w:ascii="Arial" w:eastAsia="Arial" w:hAnsi="Arial" w:cs="Arial"/>
          <w:b/>
          <w:color w:val="000000"/>
          <w:sz w:val="22"/>
          <w:szCs w:val="22"/>
        </w:rPr>
      </w:pPr>
      <w:r>
        <w:rPr>
          <w:rFonts w:ascii="Arial" w:eastAsia="Arial" w:hAnsi="Arial" w:cs="Arial"/>
          <w:b/>
          <w:color w:val="000000"/>
          <w:sz w:val="22"/>
          <w:szCs w:val="22"/>
        </w:rPr>
        <w:t>INHABILI</w:t>
      </w:r>
      <w:r w:rsidR="00986502">
        <w:rPr>
          <w:rFonts w:ascii="Arial" w:eastAsia="Arial" w:hAnsi="Arial" w:cs="Arial"/>
          <w:b/>
          <w:color w:val="000000"/>
          <w:sz w:val="22"/>
          <w:szCs w:val="22"/>
        </w:rPr>
        <w:t>DA</w:t>
      </w:r>
      <w:r>
        <w:rPr>
          <w:rFonts w:ascii="Arial" w:eastAsia="Arial" w:hAnsi="Arial" w:cs="Arial"/>
          <w:b/>
          <w:color w:val="000000"/>
          <w:sz w:val="22"/>
          <w:szCs w:val="22"/>
        </w:rPr>
        <w:t xml:space="preserve">DES </w:t>
      </w:r>
      <w:r w:rsidR="008D0001">
        <w:rPr>
          <w:rFonts w:ascii="Arial" w:eastAsia="Arial" w:hAnsi="Arial" w:cs="Arial"/>
          <w:b/>
          <w:color w:val="000000"/>
          <w:sz w:val="22"/>
          <w:szCs w:val="22"/>
        </w:rPr>
        <w:t xml:space="preserve">– </w:t>
      </w:r>
      <w:r w:rsidR="00EC61AB">
        <w:rPr>
          <w:rFonts w:ascii="Arial" w:eastAsia="Arial" w:hAnsi="Arial" w:cs="Arial"/>
          <w:b/>
          <w:color w:val="000000"/>
          <w:sz w:val="22"/>
          <w:szCs w:val="22"/>
        </w:rPr>
        <w:t>Causales – Reserva de ley</w:t>
      </w:r>
    </w:p>
    <w:p w14:paraId="36A1340D" w14:textId="77777777" w:rsidR="00E27BDF" w:rsidRPr="00342184" w:rsidRDefault="00E27BDF">
      <w:pPr>
        <w:jc w:val="both"/>
        <w:rPr>
          <w:rFonts w:ascii="Arial" w:eastAsia="Arial" w:hAnsi="Arial" w:cs="Arial"/>
          <w:b/>
          <w:color w:val="000000"/>
          <w:sz w:val="22"/>
          <w:szCs w:val="22"/>
        </w:rPr>
      </w:pPr>
    </w:p>
    <w:p w14:paraId="510C7A10" w14:textId="6E2A0829" w:rsidR="00EC61AB" w:rsidRDefault="00EC61AB" w:rsidP="00AC058F">
      <w:pPr>
        <w:jc w:val="both"/>
        <w:rPr>
          <w:rFonts w:ascii="Arial" w:eastAsia="Arial" w:hAnsi="Arial" w:cs="Arial"/>
          <w:color w:val="000000"/>
          <w:sz w:val="20"/>
          <w:szCs w:val="21"/>
          <w:lang w:val="es-ES"/>
        </w:rPr>
      </w:pPr>
      <w:r>
        <w:rPr>
          <w:rFonts w:ascii="Arial" w:eastAsia="Arial" w:hAnsi="Arial" w:cs="Arial"/>
          <w:color w:val="000000"/>
          <w:sz w:val="20"/>
          <w:szCs w:val="21"/>
          <w:lang w:val="es-ES"/>
        </w:rPr>
        <w:t>[…] F</w:t>
      </w:r>
      <w:r w:rsidRPr="00AC058F">
        <w:rPr>
          <w:rFonts w:ascii="Arial" w:eastAsia="Arial" w:hAnsi="Arial" w:cs="Arial"/>
          <w:color w:val="000000"/>
          <w:sz w:val="20"/>
          <w:szCs w:val="21"/>
          <w:lang w:val="es-ES"/>
        </w:rPr>
        <w:t>rente a la determinación de las causales de inhabilidad e incompatibilidad, la Corte Constitucional ha resaltado que la competencia para determinar qué hechos o situaciones generan inhabilidad para contratar con el Estado la tiene el legislador, pues este régimen es un aspecto propio del Estatuto General de la Contratación Pública, cuya expedición compete al Congreso de la República, conforme al artículo 150 de la Constitución Política, y que en esta materia rige el principio de legalidad</w:t>
      </w:r>
      <w:r>
        <w:rPr>
          <w:rFonts w:ascii="Arial" w:eastAsia="Arial" w:hAnsi="Arial" w:cs="Arial"/>
          <w:color w:val="000000"/>
          <w:sz w:val="20"/>
          <w:szCs w:val="21"/>
          <w:lang w:val="es-ES"/>
        </w:rPr>
        <w:t>.</w:t>
      </w:r>
    </w:p>
    <w:p w14:paraId="1545DE8C" w14:textId="5CE592D9" w:rsidR="00EC61AB" w:rsidRDefault="00EC61AB">
      <w:pPr>
        <w:spacing w:after="120"/>
        <w:jc w:val="both"/>
        <w:rPr>
          <w:rFonts w:ascii="Arial" w:eastAsia="Arial" w:hAnsi="Arial" w:cs="Arial"/>
          <w:color w:val="000000"/>
          <w:sz w:val="20"/>
          <w:szCs w:val="21"/>
          <w:lang w:val="es-ES"/>
        </w:rPr>
      </w:pPr>
    </w:p>
    <w:p w14:paraId="6E3F7914" w14:textId="241A0212" w:rsidR="00253F1C" w:rsidRPr="00AC058F" w:rsidRDefault="00253F1C" w:rsidP="00AC058F">
      <w:pPr>
        <w:jc w:val="both"/>
        <w:rPr>
          <w:rFonts w:ascii="Arial" w:eastAsia="Arial" w:hAnsi="Arial" w:cs="Arial"/>
          <w:b/>
          <w:color w:val="000000"/>
          <w:sz w:val="22"/>
          <w:szCs w:val="22"/>
        </w:rPr>
      </w:pPr>
      <w:r w:rsidRPr="00253F1C">
        <w:rPr>
          <w:rFonts w:ascii="Arial" w:eastAsia="Arial" w:hAnsi="Arial" w:cs="Arial"/>
          <w:b/>
          <w:color w:val="000000"/>
          <w:sz w:val="22"/>
          <w:szCs w:val="22"/>
        </w:rPr>
        <w:t>LEY 842 DE 2003</w:t>
      </w:r>
      <w:r w:rsidRPr="00AC058F">
        <w:rPr>
          <w:rFonts w:ascii="Arial" w:eastAsia="Arial" w:hAnsi="Arial" w:cs="Arial"/>
          <w:b/>
          <w:color w:val="000000"/>
          <w:sz w:val="22"/>
          <w:szCs w:val="22"/>
        </w:rPr>
        <w:t xml:space="preserve"> – Artículo 17 – Consecuencias</w:t>
      </w:r>
      <w:r>
        <w:rPr>
          <w:rFonts w:ascii="Arial" w:eastAsia="Arial" w:hAnsi="Arial" w:cs="Arial"/>
          <w:b/>
          <w:color w:val="000000"/>
          <w:sz w:val="22"/>
          <w:szCs w:val="22"/>
        </w:rPr>
        <w:t xml:space="preserve"> – Procedimiento de selección</w:t>
      </w:r>
    </w:p>
    <w:p w14:paraId="3B9CAF57" w14:textId="04FF6165" w:rsidR="00253F1C" w:rsidRDefault="00253F1C" w:rsidP="00AC058F">
      <w:pPr>
        <w:jc w:val="both"/>
        <w:rPr>
          <w:rFonts w:ascii="Arial" w:eastAsia="Arial" w:hAnsi="Arial" w:cs="Arial"/>
          <w:color w:val="000000"/>
          <w:sz w:val="20"/>
          <w:szCs w:val="21"/>
          <w:lang w:val="es-ES"/>
        </w:rPr>
      </w:pPr>
    </w:p>
    <w:p w14:paraId="5448096D" w14:textId="27377940" w:rsidR="00253F1C" w:rsidRDefault="00253F1C">
      <w:pPr>
        <w:jc w:val="both"/>
        <w:rPr>
          <w:rFonts w:ascii="Arial" w:eastAsia="Arial" w:hAnsi="Arial" w:cs="Arial"/>
          <w:color w:val="000000"/>
          <w:sz w:val="20"/>
          <w:szCs w:val="21"/>
          <w:lang w:val="es-ES"/>
        </w:rPr>
      </w:pPr>
      <w:r w:rsidRPr="00AC058F">
        <w:rPr>
          <w:rFonts w:ascii="Arial" w:eastAsia="Arial" w:hAnsi="Arial" w:cs="Arial"/>
          <w:color w:val="000000"/>
          <w:sz w:val="20"/>
          <w:szCs w:val="21"/>
          <w:lang w:val="es-ES"/>
        </w:rPr>
        <w:t>[…] pese al deber establecido en el artículo 17 de la Ley 842 de 2003, dicha norma no establece una consecuencia particular frente a su incidencia en los procedimientos de selección adelantados por las entidades estatales, como sería la imposibilidad de participar en ellos, ante la inobservancia del cumplimiento de dicha exigencia, o el deber de presentar algún documento para acreditar el cumplimiento de dicha obligación en el desarrollo de tales procesos contractuales. En tal sentido, la consecuencia aparejada al incumplimiento del deber establecido en el artículo 17 se encuentra en el parágrafo de la misma disposición y se dirige directamente a sancionar al representante legal de la sociedad, sin que se establezca alguna consecuencia frente a la capacidad de la sociedad para participar en procedimientos de selección de contratistas. Por la razón anterior, no es posible deducir de dicha disposición la existencia de una inhabilidad, incompatibilidad o restricción para participar en los procedimientos de selección.</w:t>
      </w:r>
    </w:p>
    <w:p w14:paraId="7CE92E9E" w14:textId="77777777" w:rsidR="00A8444D" w:rsidRPr="00342184" w:rsidRDefault="00A8444D">
      <w:pPr>
        <w:jc w:val="both"/>
        <w:rPr>
          <w:rFonts w:ascii="Arial" w:eastAsia="Arial" w:hAnsi="Arial" w:cs="Arial"/>
          <w:color w:val="000000"/>
          <w:sz w:val="21"/>
          <w:szCs w:val="21"/>
        </w:rPr>
      </w:pPr>
    </w:p>
    <w:p w14:paraId="2C88B3E4" w14:textId="77777777" w:rsidR="00772049" w:rsidRDefault="00772049">
      <w:pPr>
        <w:rPr>
          <w:rFonts w:ascii="Arial" w:eastAsia="Arial" w:hAnsi="Arial" w:cs="Arial"/>
          <w:b/>
          <w:color w:val="000000"/>
          <w:sz w:val="22"/>
          <w:szCs w:val="22"/>
        </w:rPr>
      </w:pPr>
      <w:r>
        <w:rPr>
          <w:rFonts w:ascii="Arial" w:eastAsia="Arial" w:hAnsi="Arial" w:cs="Arial"/>
          <w:b/>
          <w:color w:val="000000"/>
          <w:sz w:val="22"/>
          <w:szCs w:val="22"/>
        </w:rPr>
        <w:br w:type="page"/>
      </w:r>
    </w:p>
    <w:p w14:paraId="032A0FC9" w14:textId="4FBE1B22" w:rsidR="00E27BDF" w:rsidRDefault="006C0DA8" w:rsidP="0036269D">
      <w:pPr>
        <w:rPr>
          <w:rFonts w:ascii="Arial" w:eastAsia="Arial" w:hAnsi="Arial" w:cs="Arial"/>
          <w:sz w:val="22"/>
          <w:szCs w:val="22"/>
        </w:rPr>
      </w:pPr>
      <w:r w:rsidRPr="00342184">
        <w:rPr>
          <w:rFonts w:ascii="Arial" w:eastAsia="Arial" w:hAnsi="Arial" w:cs="Arial"/>
          <w:sz w:val="22"/>
          <w:szCs w:val="22"/>
        </w:rPr>
        <w:lastRenderedPageBreak/>
        <w:t xml:space="preserve">Bogotá D.C., </w:t>
      </w:r>
      <w:r w:rsidR="00155D1D">
        <w:rPr>
          <w:rFonts w:ascii="Arial" w:eastAsia="Arial" w:hAnsi="Arial" w:cs="Arial"/>
          <w:b/>
          <w:sz w:val="22"/>
          <w:szCs w:val="22"/>
          <w:lang w:val="es-MX"/>
        </w:rPr>
        <w:t>10</w:t>
      </w:r>
      <w:r w:rsidR="00155D1D" w:rsidRPr="00155D1D">
        <w:rPr>
          <w:rFonts w:ascii="Arial" w:eastAsia="Arial" w:hAnsi="Arial" w:cs="Arial"/>
          <w:b/>
          <w:sz w:val="22"/>
          <w:szCs w:val="22"/>
          <w:lang w:val="es-MX"/>
        </w:rPr>
        <w:t>/11/2020 1</w:t>
      </w:r>
      <w:r w:rsidR="00155D1D">
        <w:rPr>
          <w:rFonts w:ascii="Arial" w:eastAsia="Arial" w:hAnsi="Arial" w:cs="Arial"/>
          <w:b/>
          <w:sz w:val="22"/>
          <w:szCs w:val="22"/>
          <w:lang w:val="es-MX"/>
        </w:rPr>
        <w:t>9</w:t>
      </w:r>
      <w:r w:rsidR="00155D1D" w:rsidRPr="00155D1D">
        <w:rPr>
          <w:rFonts w:ascii="Arial" w:eastAsia="Arial" w:hAnsi="Arial" w:cs="Arial"/>
          <w:b/>
          <w:sz w:val="22"/>
          <w:szCs w:val="22"/>
          <w:lang w:val="es-MX"/>
        </w:rPr>
        <w:t>:</w:t>
      </w:r>
      <w:r w:rsidR="00155D1D">
        <w:rPr>
          <w:rFonts w:ascii="Arial" w:eastAsia="Arial" w:hAnsi="Arial" w:cs="Arial"/>
          <w:b/>
          <w:sz w:val="22"/>
          <w:szCs w:val="22"/>
          <w:lang w:val="es-MX"/>
        </w:rPr>
        <w:t>11</w:t>
      </w:r>
      <w:r w:rsidR="00155D1D" w:rsidRPr="00155D1D">
        <w:rPr>
          <w:rFonts w:ascii="Arial" w:eastAsia="Arial" w:hAnsi="Arial" w:cs="Arial"/>
          <w:b/>
          <w:sz w:val="22"/>
          <w:szCs w:val="22"/>
          <w:lang w:val="es-MX"/>
        </w:rPr>
        <w:t>:</w:t>
      </w:r>
      <w:r w:rsidR="00155D1D">
        <w:rPr>
          <w:rFonts w:ascii="Arial" w:eastAsia="Arial" w:hAnsi="Arial" w:cs="Arial"/>
          <w:b/>
          <w:sz w:val="22"/>
          <w:szCs w:val="22"/>
          <w:lang w:val="es-MX"/>
        </w:rPr>
        <w:t>35</w:t>
      </w:r>
      <w:r w:rsidR="00155D1D" w:rsidRPr="00155D1D">
        <w:rPr>
          <w:rFonts w:ascii="Arial" w:eastAsia="Arial" w:hAnsi="Arial" w:cs="Arial"/>
          <w:b/>
          <w:sz w:val="22"/>
          <w:szCs w:val="22"/>
          <w:lang w:val="es-MX"/>
        </w:rPr>
        <w:t>s</w:t>
      </w:r>
      <w:r w:rsidR="00155D1D" w:rsidRPr="00155D1D" w:rsidDel="009D1B61">
        <w:rPr>
          <w:rFonts w:ascii="Arial" w:eastAsia="Arial" w:hAnsi="Arial" w:cs="Arial"/>
          <w:b/>
          <w:sz w:val="22"/>
          <w:szCs w:val="22"/>
          <w:lang w:val="es-MX"/>
        </w:rPr>
        <w:t xml:space="preserve"> </w:t>
      </w:r>
    </w:p>
    <w:p w14:paraId="222118A1" w14:textId="77777777" w:rsidR="003D5501" w:rsidRPr="00342184" w:rsidRDefault="003D5501" w:rsidP="0036269D">
      <w:pPr>
        <w:rPr>
          <w:rFonts w:ascii="Arial" w:eastAsia="Arial" w:hAnsi="Arial" w:cs="Arial"/>
          <w:b/>
          <w:sz w:val="22"/>
          <w:szCs w:val="22"/>
        </w:rPr>
      </w:pPr>
    </w:p>
    <w:p w14:paraId="7FAC49B0" w14:textId="67DA13DC" w:rsidR="00E27BDF" w:rsidRPr="00505A66" w:rsidRDefault="006C0DA8" w:rsidP="00505A66">
      <w:pPr>
        <w:jc w:val="right"/>
        <w:rPr>
          <w:rFonts w:ascii="Arial" w:eastAsia="Arial" w:hAnsi="Arial" w:cs="Arial"/>
          <w:b/>
          <w:sz w:val="22"/>
          <w:szCs w:val="22"/>
        </w:rPr>
      </w:pPr>
      <w:proofErr w:type="spellStart"/>
      <w:r w:rsidRPr="00342184">
        <w:rPr>
          <w:rFonts w:ascii="Arial" w:eastAsia="Arial" w:hAnsi="Arial" w:cs="Arial"/>
          <w:b/>
          <w:sz w:val="22"/>
          <w:szCs w:val="22"/>
        </w:rPr>
        <w:t>N°</w:t>
      </w:r>
      <w:proofErr w:type="spellEnd"/>
      <w:r w:rsidRPr="00342184">
        <w:rPr>
          <w:rFonts w:ascii="Arial" w:eastAsia="Arial" w:hAnsi="Arial" w:cs="Arial"/>
          <w:b/>
          <w:sz w:val="22"/>
          <w:szCs w:val="22"/>
        </w:rPr>
        <w:t xml:space="preserve"> Radicado: </w:t>
      </w:r>
      <w:r w:rsidR="00155D1D">
        <w:rPr>
          <w:rFonts w:ascii="Arial" w:eastAsia="Arial" w:hAnsi="Arial" w:cs="Arial"/>
          <w:b/>
          <w:sz w:val="22"/>
          <w:szCs w:val="22"/>
        </w:rPr>
        <w:t>2202013000011183</w:t>
      </w:r>
    </w:p>
    <w:p w14:paraId="0F93E392" w14:textId="77777777" w:rsidR="00E27BDF" w:rsidRPr="00342184" w:rsidRDefault="00E27BDF">
      <w:pPr>
        <w:rPr>
          <w:rFonts w:ascii="Arial" w:eastAsia="Arial" w:hAnsi="Arial" w:cs="Arial"/>
          <w:color w:val="000000"/>
          <w:sz w:val="22"/>
          <w:szCs w:val="22"/>
        </w:rPr>
      </w:pPr>
    </w:p>
    <w:p w14:paraId="378E218B" w14:textId="165AF8D3" w:rsidR="00E27BDF" w:rsidRPr="00342184" w:rsidRDefault="006C0DA8">
      <w:pPr>
        <w:rPr>
          <w:rFonts w:ascii="Arial" w:eastAsia="Arial" w:hAnsi="Arial" w:cs="Arial"/>
          <w:color w:val="000000"/>
          <w:sz w:val="22"/>
          <w:szCs w:val="22"/>
        </w:rPr>
      </w:pPr>
      <w:r w:rsidRPr="00342184">
        <w:rPr>
          <w:rFonts w:ascii="Arial" w:eastAsia="Arial" w:hAnsi="Arial" w:cs="Arial"/>
          <w:color w:val="000000"/>
          <w:sz w:val="22"/>
          <w:szCs w:val="22"/>
        </w:rPr>
        <w:t>Señor</w:t>
      </w:r>
    </w:p>
    <w:p w14:paraId="14D1F3D3" w14:textId="22606B02" w:rsidR="00B57AE8" w:rsidRDefault="007C6C9E">
      <w:pPr>
        <w:rPr>
          <w:rFonts w:ascii="Arial" w:eastAsia="Arial" w:hAnsi="Arial" w:cs="Arial"/>
          <w:b/>
          <w:color w:val="000000"/>
          <w:sz w:val="22"/>
          <w:szCs w:val="22"/>
        </w:rPr>
      </w:pPr>
      <w:r>
        <w:rPr>
          <w:rFonts w:ascii="Arial" w:eastAsia="Arial" w:hAnsi="Arial" w:cs="Arial"/>
          <w:b/>
          <w:color w:val="000000"/>
          <w:sz w:val="22"/>
          <w:szCs w:val="22"/>
        </w:rPr>
        <w:t xml:space="preserve">Edwin Jovan </w:t>
      </w:r>
      <w:proofErr w:type="spellStart"/>
      <w:r>
        <w:rPr>
          <w:rFonts w:ascii="Arial" w:eastAsia="Arial" w:hAnsi="Arial" w:cs="Arial"/>
          <w:b/>
          <w:color w:val="000000"/>
          <w:sz w:val="22"/>
          <w:szCs w:val="22"/>
        </w:rPr>
        <w:t>Rios</w:t>
      </w:r>
      <w:proofErr w:type="spellEnd"/>
      <w:r>
        <w:rPr>
          <w:rFonts w:ascii="Arial" w:eastAsia="Arial" w:hAnsi="Arial" w:cs="Arial"/>
          <w:b/>
          <w:color w:val="000000"/>
          <w:sz w:val="22"/>
          <w:szCs w:val="22"/>
        </w:rPr>
        <w:t xml:space="preserve"> Robayo</w:t>
      </w:r>
    </w:p>
    <w:p w14:paraId="67F5F9E0" w14:textId="28B43A2F" w:rsidR="007C6C9E" w:rsidRDefault="007C6C9E">
      <w:pPr>
        <w:rPr>
          <w:rFonts w:ascii="Arial" w:eastAsia="Arial" w:hAnsi="Arial" w:cs="Arial"/>
          <w:b/>
          <w:color w:val="000000"/>
          <w:sz w:val="22"/>
          <w:szCs w:val="22"/>
        </w:rPr>
      </w:pPr>
      <w:proofErr w:type="spellStart"/>
      <w:r>
        <w:rPr>
          <w:rFonts w:ascii="Arial" w:eastAsia="Arial" w:hAnsi="Arial" w:cs="Arial"/>
          <w:b/>
          <w:color w:val="000000"/>
          <w:sz w:val="22"/>
          <w:szCs w:val="22"/>
        </w:rPr>
        <w:t>Magnificat</w:t>
      </w:r>
      <w:proofErr w:type="spellEnd"/>
      <w:r>
        <w:rPr>
          <w:rFonts w:ascii="Arial" w:eastAsia="Arial" w:hAnsi="Arial" w:cs="Arial"/>
          <w:b/>
          <w:color w:val="000000"/>
          <w:sz w:val="22"/>
          <w:szCs w:val="22"/>
        </w:rPr>
        <w:t xml:space="preserve"> ingeniería </w:t>
      </w:r>
      <w:proofErr w:type="spellStart"/>
      <w:r>
        <w:rPr>
          <w:rFonts w:ascii="Arial" w:eastAsia="Arial" w:hAnsi="Arial" w:cs="Arial"/>
          <w:b/>
          <w:color w:val="000000"/>
          <w:sz w:val="22"/>
          <w:szCs w:val="22"/>
        </w:rPr>
        <w:t>sas</w:t>
      </w:r>
      <w:proofErr w:type="spellEnd"/>
    </w:p>
    <w:p w14:paraId="2335A75F" w14:textId="77939E24" w:rsidR="00E27BDF" w:rsidRPr="00B57AE8" w:rsidRDefault="007C6C9E">
      <w:pPr>
        <w:rPr>
          <w:rFonts w:ascii="Arial" w:eastAsia="Arial" w:hAnsi="Arial" w:cs="Arial"/>
          <w:b/>
          <w:color w:val="000000"/>
          <w:sz w:val="22"/>
          <w:szCs w:val="22"/>
        </w:rPr>
      </w:pPr>
      <w:r>
        <w:rPr>
          <w:rFonts w:ascii="Arial" w:eastAsia="Arial" w:hAnsi="Arial" w:cs="Arial"/>
          <w:color w:val="000000"/>
          <w:sz w:val="22"/>
          <w:szCs w:val="22"/>
        </w:rPr>
        <w:t>Restrepo</w:t>
      </w:r>
    </w:p>
    <w:p w14:paraId="5C62B0CA" w14:textId="77777777" w:rsidR="00E27BDF" w:rsidRPr="00342184" w:rsidRDefault="00E27BDF">
      <w:pPr>
        <w:rPr>
          <w:rFonts w:ascii="Arial" w:eastAsia="Arial" w:hAnsi="Arial" w:cs="Arial"/>
          <w:color w:val="000000"/>
          <w:sz w:val="22"/>
          <w:szCs w:val="22"/>
        </w:rPr>
      </w:pPr>
      <w:bookmarkStart w:id="1" w:name="_GoBack"/>
      <w:bookmarkEnd w:id="1"/>
    </w:p>
    <w:p w14:paraId="512527F3" w14:textId="77777777" w:rsidR="00E27BDF" w:rsidRPr="00342184" w:rsidRDefault="00E27BDF">
      <w:pPr>
        <w:rPr>
          <w:rFonts w:ascii="Arial" w:eastAsia="Arial" w:hAnsi="Arial" w:cs="Arial"/>
          <w:color w:val="000000"/>
          <w:sz w:val="22"/>
          <w:szCs w:val="22"/>
        </w:rPr>
      </w:pPr>
    </w:p>
    <w:p w14:paraId="197A64B4" w14:textId="16F32302" w:rsidR="00E27BDF" w:rsidRPr="00342184" w:rsidRDefault="006C0DA8">
      <w:pPr>
        <w:ind w:firstLine="2694"/>
        <w:rPr>
          <w:rFonts w:ascii="Arial" w:eastAsia="Arial" w:hAnsi="Arial" w:cs="Arial"/>
          <w:b/>
          <w:color w:val="000000"/>
          <w:sz w:val="22"/>
          <w:szCs w:val="22"/>
        </w:rPr>
      </w:pPr>
      <w:r w:rsidRPr="00342184">
        <w:rPr>
          <w:rFonts w:ascii="Arial" w:eastAsia="Arial" w:hAnsi="Arial" w:cs="Arial"/>
          <w:b/>
          <w:color w:val="000000"/>
          <w:sz w:val="22"/>
          <w:szCs w:val="22"/>
        </w:rPr>
        <w:t xml:space="preserve">Concepto C – </w:t>
      </w:r>
      <w:r w:rsidR="00505A66">
        <w:rPr>
          <w:rFonts w:ascii="Arial" w:eastAsia="Arial" w:hAnsi="Arial" w:cs="Arial"/>
          <w:b/>
          <w:color w:val="000000"/>
          <w:sz w:val="22"/>
          <w:szCs w:val="22"/>
        </w:rPr>
        <w:t>650</w:t>
      </w:r>
      <w:r w:rsidR="001E3DE8">
        <w:rPr>
          <w:rFonts w:ascii="Arial" w:eastAsia="Arial" w:hAnsi="Arial" w:cs="Arial"/>
          <w:b/>
          <w:color w:val="000000"/>
          <w:sz w:val="22"/>
          <w:szCs w:val="22"/>
        </w:rPr>
        <w:t xml:space="preserve"> </w:t>
      </w:r>
      <w:r w:rsidRPr="00342184">
        <w:rPr>
          <w:rFonts w:ascii="Arial" w:eastAsia="Arial" w:hAnsi="Arial" w:cs="Arial"/>
          <w:b/>
          <w:color w:val="000000"/>
          <w:sz w:val="22"/>
          <w:szCs w:val="22"/>
        </w:rPr>
        <w:t>de 2020</w:t>
      </w:r>
    </w:p>
    <w:p w14:paraId="0776158D" w14:textId="77777777" w:rsidR="00E27BDF" w:rsidRPr="00342184" w:rsidRDefault="00E27BDF">
      <w:pPr>
        <w:rPr>
          <w:rFonts w:ascii="Arial" w:eastAsia="Arial" w:hAnsi="Arial" w:cs="Arial"/>
          <w:color w:val="000000"/>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E27BDF" w:rsidRPr="00342184" w14:paraId="322C87C9" w14:textId="77777777">
        <w:tc>
          <w:tcPr>
            <w:tcW w:w="2689" w:type="dxa"/>
          </w:tcPr>
          <w:p w14:paraId="582572A0" w14:textId="77777777" w:rsidR="00E27BDF" w:rsidRPr="00342184" w:rsidRDefault="006C0DA8">
            <w:pPr>
              <w:rPr>
                <w:rFonts w:ascii="Arial" w:eastAsia="Arial" w:hAnsi="Arial" w:cs="Arial"/>
                <w:color w:val="000000"/>
                <w:sz w:val="22"/>
                <w:szCs w:val="22"/>
              </w:rPr>
            </w:pPr>
            <w:r w:rsidRPr="00342184">
              <w:rPr>
                <w:rFonts w:ascii="Arial" w:eastAsia="Arial" w:hAnsi="Arial" w:cs="Arial"/>
                <w:b/>
                <w:color w:val="000000"/>
                <w:sz w:val="22"/>
                <w:szCs w:val="22"/>
              </w:rPr>
              <w:t>Temas:</w:t>
            </w:r>
            <w:r w:rsidRPr="00342184">
              <w:rPr>
                <w:rFonts w:ascii="Arial" w:eastAsia="Arial" w:hAnsi="Arial" w:cs="Arial"/>
                <w:color w:val="000000"/>
                <w:sz w:val="22"/>
                <w:szCs w:val="22"/>
              </w:rPr>
              <w:t xml:space="preserve">           </w:t>
            </w:r>
          </w:p>
          <w:p w14:paraId="2FAB4B01" w14:textId="77777777" w:rsidR="00E27BDF" w:rsidRPr="00342184" w:rsidRDefault="006C0DA8">
            <w:pPr>
              <w:rPr>
                <w:rFonts w:ascii="Arial" w:eastAsia="Arial" w:hAnsi="Arial" w:cs="Arial"/>
                <w:color w:val="000000"/>
                <w:sz w:val="22"/>
                <w:szCs w:val="22"/>
              </w:rPr>
            </w:pPr>
            <w:r w:rsidRPr="00342184">
              <w:rPr>
                <w:rFonts w:ascii="Arial" w:eastAsia="Arial" w:hAnsi="Arial" w:cs="Arial"/>
                <w:color w:val="000000"/>
                <w:sz w:val="22"/>
                <w:szCs w:val="22"/>
              </w:rPr>
              <w:t xml:space="preserve">                           </w:t>
            </w:r>
          </w:p>
        </w:tc>
        <w:tc>
          <w:tcPr>
            <w:tcW w:w="6237" w:type="dxa"/>
          </w:tcPr>
          <w:p w14:paraId="596927E6" w14:textId="3329A721" w:rsidR="00E27BDF" w:rsidRPr="008311E5" w:rsidRDefault="0078604F" w:rsidP="00AC058F">
            <w:pPr>
              <w:spacing w:before="60"/>
              <w:rPr>
                <w:rFonts w:ascii="Arial" w:eastAsia="Arial" w:hAnsi="Arial" w:cs="Arial"/>
                <w:b/>
                <w:color w:val="000000"/>
                <w:sz w:val="22"/>
                <w:szCs w:val="22"/>
              </w:rPr>
            </w:pPr>
            <w:r w:rsidRPr="00AC058F">
              <w:rPr>
                <w:rFonts w:ascii="Arial" w:eastAsia="Arial" w:hAnsi="Arial" w:cs="Arial"/>
                <w:color w:val="000000"/>
                <w:sz w:val="22"/>
                <w:szCs w:val="22"/>
              </w:rPr>
              <w:t>INHABILIDADES – Interpretación restrictiva – Limitaciones a la capacidad / INHABILIDADES – Causales – Reserva de ley / LEY 842 DE 2003 – Artículo 17 – Consecuencias – Procedimiento de selección</w:t>
            </w:r>
            <w:r w:rsidRPr="00E210EE" w:rsidDel="0078604F">
              <w:rPr>
                <w:rFonts w:ascii="Arial" w:eastAsia="Arial" w:hAnsi="Arial" w:cs="Arial"/>
                <w:color w:val="000000"/>
                <w:sz w:val="22"/>
                <w:szCs w:val="22"/>
              </w:rPr>
              <w:t xml:space="preserve"> </w:t>
            </w:r>
          </w:p>
        </w:tc>
      </w:tr>
      <w:tr w:rsidR="00E27BDF" w:rsidRPr="00342184" w14:paraId="2355401D" w14:textId="77777777">
        <w:tc>
          <w:tcPr>
            <w:tcW w:w="2689" w:type="dxa"/>
          </w:tcPr>
          <w:p w14:paraId="7161ECB4" w14:textId="77777777" w:rsidR="00E27BDF" w:rsidRPr="00342184" w:rsidRDefault="006C0DA8">
            <w:pPr>
              <w:spacing w:before="60"/>
              <w:rPr>
                <w:rFonts w:ascii="Arial" w:eastAsia="Arial" w:hAnsi="Arial" w:cs="Arial"/>
                <w:b/>
                <w:color w:val="000000"/>
                <w:sz w:val="22"/>
                <w:szCs w:val="22"/>
              </w:rPr>
            </w:pPr>
            <w:r w:rsidRPr="00342184">
              <w:rPr>
                <w:rFonts w:ascii="Arial" w:eastAsia="Arial" w:hAnsi="Arial" w:cs="Arial"/>
                <w:b/>
                <w:color w:val="000000"/>
                <w:sz w:val="22"/>
                <w:szCs w:val="22"/>
              </w:rPr>
              <w:t>Radicación:</w:t>
            </w:r>
            <w:r w:rsidRPr="00342184">
              <w:rPr>
                <w:rFonts w:ascii="Arial" w:eastAsia="Arial" w:hAnsi="Arial" w:cs="Arial"/>
                <w:color w:val="000000"/>
                <w:sz w:val="22"/>
                <w:szCs w:val="22"/>
              </w:rPr>
              <w:t xml:space="preserve">                              </w:t>
            </w:r>
          </w:p>
        </w:tc>
        <w:tc>
          <w:tcPr>
            <w:tcW w:w="6237" w:type="dxa"/>
          </w:tcPr>
          <w:p w14:paraId="54C2A88E" w14:textId="2EDA44F9" w:rsidR="00E27BDF" w:rsidRPr="00342184" w:rsidRDefault="006C0DA8" w:rsidP="003D5501">
            <w:pPr>
              <w:spacing w:before="60"/>
              <w:rPr>
                <w:rFonts w:ascii="Arial" w:eastAsia="Arial" w:hAnsi="Arial" w:cs="Arial"/>
                <w:color w:val="000000"/>
                <w:sz w:val="22"/>
                <w:szCs w:val="22"/>
              </w:rPr>
            </w:pPr>
            <w:r w:rsidRPr="00342184">
              <w:rPr>
                <w:rFonts w:ascii="Arial" w:eastAsia="Arial" w:hAnsi="Arial" w:cs="Arial"/>
                <w:color w:val="000000"/>
                <w:sz w:val="22"/>
                <w:szCs w:val="22"/>
              </w:rPr>
              <w:t xml:space="preserve">Respuesta a consulta # </w:t>
            </w:r>
            <w:r w:rsidR="00664A07" w:rsidRPr="00664A07">
              <w:rPr>
                <w:rFonts w:ascii="Arial" w:eastAsia="Arial" w:hAnsi="Arial" w:cs="Arial"/>
                <w:color w:val="000000"/>
                <w:sz w:val="22"/>
                <w:szCs w:val="22"/>
              </w:rPr>
              <w:t>4202013000008535</w:t>
            </w:r>
          </w:p>
          <w:p w14:paraId="4AC93078" w14:textId="77777777" w:rsidR="00E27BDF" w:rsidRPr="00342184" w:rsidRDefault="00E27BDF">
            <w:pPr>
              <w:spacing w:before="60"/>
              <w:jc w:val="both"/>
              <w:rPr>
                <w:rFonts w:ascii="Arial" w:eastAsia="Arial" w:hAnsi="Arial" w:cs="Arial"/>
                <w:color w:val="000000"/>
                <w:sz w:val="22"/>
                <w:szCs w:val="22"/>
              </w:rPr>
            </w:pPr>
          </w:p>
        </w:tc>
      </w:tr>
    </w:tbl>
    <w:p w14:paraId="18896E2E" w14:textId="77777777" w:rsidR="00E27BDF" w:rsidRPr="00342184" w:rsidRDefault="00E27BDF">
      <w:pPr>
        <w:jc w:val="both"/>
        <w:rPr>
          <w:rFonts w:ascii="Arial" w:eastAsia="Arial" w:hAnsi="Arial" w:cs="Arial"/>
          <w:color w:val="000000"/>
          <w:sz w:val="22"/>
          <w:szCs w:val="22"/>
        </w:rPr>
      </w:pPr>
    </w:p>
    <w:p w14:paraId="6B54A5C9" w14:textId="765881B3" w:rsidR="00E27BDF" w:rsidRPr="00342184" w:rsidRDefault="006C0DA8">
      <w:pPr>
        <w:rPr>
          <w:rFonts w:ascii="Arial" w:eastAsia="Arial" w:hAnsi="Arial" w:cs="Arial"/>
          <w:color w:val="000000"/>
          <w:sz w:val="22"/>
          <w:szCs w:val="22"/>
        </w:rPr>
      </w:pPr>
      <w:r w:rsidRPr="00342184">
        <w:rPr>
          <w:rFonts w:ascii="Arial" w:eastAsia="Arial" w:hAnsi="Arial" w:cs="Arial"/>
          <w:color w:val="000000"/>
          <w:sz w:val="22"/>
          <w:szCs w:val="22"/>
        </w:rPr>
        <w:t>Estimad</w:t>
      </w:r>
      <w:r w:rsidR="00BC2B94" w:rsidRPr="00342184">
        <w:rPr>
          <w:rFonts w:ascii="Arial" w:eastAsia="Arial" w:hAnsi="Arial" w:cs="Arial"/>
          <w:color w:val="000000"/>
          <w:sz w:val="22"/>
          <w:szCs w:val="22"/>
        </w:rPr>
        <w:t>o</w:t>
      </w:r>
      <w:r w:rsidR="00F07331">
        <w:rPr>
          <w:rFonts w:ascii="Arial" w:eastAsia="Arial" w:hAnsi="Arial" w:cs="Arial"/>
          <w:color w:val="000000"/>
          <w:sz w:val="22"/>
          <w:szCs w:val="22"/>
        </w:rPr>
        <w:t xml:space="preserve"> señor </w:t>
      </w:r>
      <w:r w:rsidR="00EE2091">
        <w:rPr>
          <w:rFonts w:ascii="Arial" w:eastAsia="Arial" w:hAnsi="Arial" w:cs="Arial"/>
          <w:color w:val="000000"/>
          <w:sz w:val="22"/>
          <w:szCs w:val="22"/>
        </w:rPr>
        <w:t>Ríos</w:t>
      </w:r>
      <w:r w:rsidRPr="00342184">
        <w:rPr>
          <w:rFonts w:ascii="Arial" w:eastAsia="Arial" w:hAnsi="Arial" w:cs="Arial"/>
          <w:color w:val="000000"/>
          <w:sz w:val="22"/>
          <w:szCs w:val="22"/>
        </w:rPr>
        <w:t>:</w:t>
      </w:r>
    </w:p>
    <w:p w14:paraId="29691060" w14:textId="77777777" w:rsidR="00E27BDF" w:rsidRPr="00342184" w:rsidRDefault="00E27BDF">
      <w:pPr>
        <w:rPr>
          <w:rFonts w:ascii="Arial" w:eastAsia="Arial" w:hAnsi="Arial" w:cs="Arial"/>
          <w:color w:val="000000"/>
          <w:sz w:val="22"/>
          <w:szCs w:val="22"/>
        </w:rPr>
      </w:pPr>
    </w:p>
    <w:p w14:paraId="3EA5EC32" w14:textId="1A02EB1D" w:rsidR="00E27BDF" w:rsidRPr="00342184" w:rsidRDefault="006C0DA8">
      <w:pPr>
        <w:spacing w:line="276" w:lineRule="auto"/>
        <w:jc w:val="both"/>
        <w:rPr>
          <w:rFonts w:ascii="Arial" w:eastAsia="Arial" w:hAnsi="Arial" w:cs="Arial"/>
          <w:color w:val="000000"/>
          <w:sz w:val="22"/>
          <w:szCs w:val="22"/>
        </w:rPr>
      </w:pPr>
      <w:r w:rsidRPr="00342184">
        <w:rPr>
          <w:rFonts w:ascii="Arial" w:eastAsia="Arial" w:hAnsi="Arial" w:cs="Arial"/>
          <w:color w:val="000000"/>
          <w:sz w:val="22"/>
          <w:szCs w:val="22"/>
        </w:rPr>
        <w:t>En ejercicio de la competencia otorgada por los artículos 11, numeral 8º, y 3º, numeral 5º, del Decreto Ley 4170 de 2011, la Agencia Nacional de Contratación Pública</w:t>
      </w:r>
      <w:r w:rsidR="008D0001">
        <w:rPr>
          <w:rFonts w:ascii="Arial" w:eastAsia="Arial" w:hAnsi="Arial" w:cs="Arial"/>
          <w:color w:val="000000"/>
          <w:sz w:val="22"/>
          <w:szCs w:val="22"/>
        </w:rPr>
        <w:t xml:space="preserve"> – </w:t>
      </w:r>
      <w:r w:rsidRPr="00342184">
        <w:rPr>
          <w:rFonts w:ascii="Arial" w:eastAsia="Arial" w:hAnsi="Arial" w:cs="Arial"/>
          <w:color w:val="000000"/>
          <w:sz w:val="22"/>
          <w:szCs w:val="22"/>
        </w:rPr>
        <w:t xml:space="preserve">Colombia Compra Eficiente responde su consulta del </w:t>
      </w:r>
      <w:r w:rsidR="00222410">
        <w:rPr>
          <w:rFonts w:ascii="Arial" w:eastAsia="Arial" w:hAnsi="Arial" w:cs="Arial"/>
          <w:color w:val="000000"/>
          <w:sz w:val="22"/>
          <w:szCs w:val="22"/>
        </w:rPr>
        <w:t>28</w:t>
      </w:r>
      <w:r w:rsidR="00BC2B94" w:rsidRPr="00342184">
        <w:rPr>
          <w:rFonts w:ascii="Arial" w:eastAsia="Arial" w:hAnsi="Arial" w:cs="Arial"/>
          <w:color w:val="000000"/>
          <w:sz w:val="22"/>
          <w:szCs w:val="22"/>
        </w:rPr>
        <w:t xml:space="preserve"> de </w:t>
      </w:r>
      <w:r w:rsidR="00C47C86">
        <w:rPr>
          <w:rFonts w:ascii="Arial" w:eastAsia="Arial" w:hAnsi="Arial" w:cs="Arial"/>
          <w:color w:val="000000"/>
          <w:sz w:val="22"/>
          <w:szCs w:val="22"/>
        </w:rPr>
        <w:t>septiembre</w:t>
      </w:r>
      <w:r w:rsidRPr="00342184">
        <w:rPr>
          <w:rFonts w:ascii="Arial" w:eastAsia="Arial" w:hAnsi="Arial" w:cs="Arial"/>
          <w:color w:val="000000"/>
          <w:sz w:val="22"/>
          <w:szCs w:val="22"/>
        </w:rPr>
        <w:t xml:space="preserve"> de 2020. </w:t>
      </w:r>
    </w:p>
    <w:p w14:paraId="7E631247" w14:textId="77777777" w:rsidR="00E27BDF" w:rsidRPr="00342184" w:rsidRDefault="00E27BDF">
      <w:pPr>
        <w:spacing w:line="276" w:lineRule="auto"/>
        <w:jc w:val="both"/>
        <w:rPr>
          <w:rFonts w:ascii="Arial" w:eastAsia="Arial" w:hAnsi="Arial" w:cs="Arial"/>
          <w:color w:val="000000"/>
          <w:sz w:val="22"/>
          <w:szCs w:val="22"/>
        </w:rPr>
      </w:pPr>
    </w:p>
    <w:p w14:paraId="39C11F03" w14:textId="58AA83CD" w:rsidR="00E27BDF" w:rsidRPr="00342184" w:rsidRDefault="006C0DA8">
      <w:pPr>
        <w:numPr>
          <w:ilvl w:val="0"/>
          <w:numId w:val="1"/>
        </w:numPr>
        <w:pBdr>
          <w:top w:val="nil"/>
          <w:left w:val="nil"/>
          <w:bottom w:val="nil"/>
          <w:right w:val="nil"/>
          <w:between w:val="nil"/>
        </w:pBdr>
        <w:tabs>
          <w:tab w:val="left" w:pos="284"/>
        </w:tabs>
        <w:spacing w:line="276" w:lineRule="auto"/>
        <w:ind w:left="0" w:firstLine="0"/>
        <w:jc w:val="both"/>
        <w:rPr>
          <w:rFonts w:ascii="Arial" w:eastAsia="Arial" w:hAnsi="Arial" w:cs="Arial"/>
          <w:sz w:val="22"/>
          <w:szCs w:val="22"/>
        </w:rPr>
      </w:pPr>
      <w:r w:rsidRPr="00342184">
        <w:rPr>
          <w:rFonts w:ascii="Arial" w:eastAsia="Arial" w:hAnsi="Arial" w:cs="Arial"/>
          <w:b/>
          <w:color w:val="000000"/>
          <w:sz w:val="22"/>
          <w:szCs w:val="22"/>
        </w:rPr>
        <w:t>Problema planteado</w:t>
      </w:r>
    </w:p>
    <w:p w14:paraId="40CF7B40" w14:textId="77777777" w:rsidR="00E27BDF" w:rsidRPr="00342184" w:rsidRDefault="00E27BDF">
      <w:pPr>
        <w:tabs>
          <w:tab w:val="left" w:pos="426"/>
        </w:tabs>
        <w:spacing w:line="276" w:lineRule="auto"/>
        <w:jc w:val="both"/>
        <w:rPr>
          <w:rFonts w:ascii="Arial" w:eastAsia="Arial" w:hAnsi="Arial" w:cs="Arial"/>
          <w:b/>
          <w:color w:val="000000"/>
          <w:sz w:val="22"/>
          <w:szCs w:val="22"/>
        </w:rPr>
      </w:pPr>
    </w:p>
    <w:p w14:paraId="72B812D3" w14:textId="5001F710" w:rsidR="00E27BDF" w:rsidRPr="00342184" w:rsidRDefault="006C0DA8" w:rsidP="006A279A">
      <w:pPr>
        <w:spacing w:line="276" w:lineRule="auto"/>
        <w:jc w:val="both"/>
        <w:rPr>
          <w:rFonts w:ascii="Arial" w:eastAsia="Arial" w:hAnsi="Arial" w:cs="Arial"/>
          <w:color w:val="000000"/>
          <w:sz w:val="22"/>
          <w:szCs w:val="22"/>
        </w:rPr>
      </w:pPr>
      <w:r w:rsidRPr="00342184">
        <w:rPr>
          <w:rFonts w:ascii="Arial" w:eastAsia="Arial" w:hAnsi="Arial" w:cs="Arial"/>
          <w:color w:val="000000"/>
          <w:sz w:val="22"/>
          <w:szCs w:val="22"/>
        </w:rPr>
        <w:t xml:space="preserve">Usted realiza la siguiente pregunta frente a lo consagrado en el artículo </w:t>
      </w:r>
      <w:r w:rsidR="00F07331">
        <w:rPr>
          <w:rFonts w:ascii="Arial" w:eastAsia="Arial" w:hAnsi="Arial" w:cs="Arial"/>
          <w:color w:val="000000"/>
          <w:sz w:val="22"/>
          <w:szCs w:val="22"/>
        </w:rPr>
        <w:t>17 de la ley 842 de 2003</w:t>
      </w:r>
      <w:r w:rsidRPr="00342184">
        <w:rPr>
          <w:rFonts w:ascii="Arial" w:eastAsia="Arial" w:hAnsi="Arial" w:cs="Arial"/>
          <w:color w:val="000000"/>
          <w:sz w:val="22"/>
          <w:szCs w:val="22"/>
        </w:rPr>
        <w:t xml:space="preserve">: </w:t>
      </w:r>
      <w:r w:rsidR="00E54CD2" w:rsidRPr="00342184">
        <w:rPr>
          <w:rFonts w:ascii="Arial" w:eastAsia="Arial" w:hAnsi="Arial" w:cs="Arial"/>
          <w:color w:val="000000"/>
          <w:sz w:val="22"/>
          <w:szCs w:val="22"/>
        </w:rPr>
        <w:t>«</w:t>
      </w:r>
      <w:r w:rsidR="006A279A">
        <w:rPr>
          <w:rFonts w:ascii="Arial" w:eastAsia="Arial" w:hAnsi="Arial" w:cs="Arial"/>
          <w:color w:val="000000"/>
          <w:sz w:val="22"/>
          <w:szCs w:val="22"/>
        </w:rPr>
        <w:t xml:space="preserve">i) </w:t>
      </w:r>
      <w:r w:rsidR="00F07331">
        <w:rPr>
          <w:rFonts w:ascii="Arial" w:eastAsia="Arial" w:hAnsi="Arial" w:cs="Arial"/>
          <w:color w:val="000000"/>
          <w:sz w:val="22"/>
          <w:szCs w:val="22"/>
        </w:rPr>
        <w:t>S</w:t>
      </w:r>
      <w:r w:rsidR="00F07331" w:rsidRPr="00F07331">
        <w:rPr>
          <w:rFonts w:ascii="Arial" w:eastAsia="Arial" w:hAnsi="Arial" w:cs="Arial"/>
          <w:color w:val="000000"/>
          <w:sz w:val="22"/>
          <w:szCs w:val="22"/>
        </w:rPr>
        <w:t>e debe rechazar un oferente que se le demuestre que no cumpla con lo r</w:t>
      </w:r>
      <w:r w:rsidR="00F07331">
        <w:rPr>
          <w:rFonts w:ascii="Arial" w:eastAsia="Arial" w:hAnsi="Arial" w:cs="Arial"/>
          <w:color w:val="000000"/>
          <w:sz w:val="22"/>
          <w:szCs w:val="22"/>
        </w:rPr>
        <w:t xml:space="preserve">egulado en el artículo 17 de la </w:t>
      </w:r>
      <w:r w:rsidR="00F07331" w:rsidRPr="00F07331">
        <w:rPr>
          <w:rFonts w:ascii="Arial" w:eastAsia="Arial" w:hAnsi="Arial" w:cs="Arial"/>
          <w:color w:val="000000"/>
          <w:sz w:val="22"/>
          <w:szCs w:val="22"/>
        </w:rPr>
        <w:t>ley 842 de 2003, lo cual no le permite ejercer legalmente el ejerció de l</w:t>
      </w:r>
      <w:r w:rsidR="00F07331">
        <w:rPr>
          <w:rFonts w:ascii="Arial" w:eastAsia="Arial" w:hAnsi="Arial" w:cs="Arial"/>
          <w:color w:val="000000"/>
          <w:sz w:val="22"/>
          <w:szCs w:val="22"/>
        </w:rPr>
        <w:t xml:space="preserve">a ingeniería, hecho que está en </w:t>
      </w:r>
      <w:r w:rsidR="00F07331" w:rsidRPr="00F07331">
        <w:rPr>
          <w:rFonts w:ascii="Arial" w:eastAsia="Arial" w:hAnsi="Arial" w:cs="Arial"/>
          <w:color w:val="000000"/>
          <w:sz w:val="22"/>
          <w:szCs w:val="22"/>
        </w:rPr>
        <w:t>contra de la ley es decir que este oferente está inhabilita</w:t>
      </w:r>
      <w:r w:rsidR="006A279A">
        <w:rPr>
          <w:rFonts w:ascii="Arial" w:eastAsia="Arial" w:hAnsi="Arial" w:cs="Arial"/>
          <w:color w:val="000000"/>
          <w:sz w:val="22"/>
          <w:szCs w:val="22"/>
        </w:rPr>
        <w:t>do para continuar en el proceso</w:t>
      </w:r>
      <w:r w:rsidRPr="00342184">
        <w:rPr>
          <w:rFonts w:ascii="Arial" w:eastAsia="Arial" w:hAnsi="Arial" w:cs="Arial"/>
          <w:color w:val="000000"/>
          <w:sz w:val="22"/>
          <w:szCs w:val="22"/>
        </w:rPr>
        <w:t>»</w:t>
      </w:r>
      <w:r w:rsidR="0052351E">
        <w:rPr>
          <w:rFonts w:ascii="Arial" w:eastAsia="Arial" w:hAnsi="Arial" w:cs="Arial"/>
          <w:color w:val="000000"/>
          <w:sz w:val="22"/>
          <w:szCs w:val="22"/>
        </w:rPr>
        <w:t>.</w:t>
      </w:r>
    </w:p>
    <w:p w14:paraId="1AB71AEC" w14:textId="77777777" w:rsidR="00E27BDF" w:rsidRPr="00342184" w:rsidRDefault="00E27BDF">
      <w:pPr>
        <w:jc w:val="both"/>
        <w:rPr>
          <w:rFonts w:ascii="Arial" w:eastAsia="Arial" w:hAnsi="Arial" w:cs="Arial"/>
          <w:color w:val="000000"/>
          <w:sz w:val="22"/>
          <w:szCs w:val="22"/>
        </w:rPr>
      </w:pPr>
    </w:p>
    <w:p w14:paraId="7D90835B" w14:textId="77777777" w:rsidR="00E27BDF" w:rsidRPr="00342184" w:rsidRDefault="006C0DA8">
      <w:pPr>
        <w:numPr>
          <w:ilvl w:val="0"/>
          <w:numId w:val="1"/>
        </w:numPr>
        <w:pBdr>
          <w:top w:val="nil"/>
          <w:left w:val="nil"/>
          <w:bottom w:val="nil"/>
          <w:right w:val="nil"/>
          <w:between w:val="nil"/>
        </w:pBdr>
        <w:tabs>
          <w:tab w:val="left" w:pos="426"/>
        </w:tabs>
        <w:spacing w:line="276" w:lineRule="auto"/>
        <w:ind w:left="284" w:hanging="284"/>
        <w:jc w:val="both"/>
        <w:rPr>
          <w:rFonts w:ascii="Arial" w:eastAsia="Arial" w:hAnsi="Arial" w:cs="Arial"/>
          <w:sz w:val="22"/>
          <w:szCs w:val="22"/>
        </w:rPr>
      </w:pPr>
      <w:r w:rsidRPr="00342184">
        <w:rPr>
          <w:rFonts w:ascii="Arial" w:eastAsia="Arial" w:hAnsi="Arial" w:cs="Arial"/>
          <w:b/>
          <w:color w:val="000000"/>
          <w:sz w:val="22"/>
          <w:szCs w:val="22"/>
        </w:rPr>
        <w:t>Consideraciones</w:t>
      </w:r>
    </w:p>
    <w:p w14:paraId="2C0C4008" w14:textId="77777777" w:rsidR="00E27BDF" w:rsidRPr="00342184" w:rsidRDefault="00E27BDF">
      <w:pPr>
        <w:spacing w:line="276" w:lineRule="auto"/>
        <w:jc w:val="both"/>
        <w:rPr>
          <w:rFonts w:ascii="Arial" w:eastAsia="Arial" w:hAnsi="Arial" w:cs="Arial"/>
          <w:color w:val="000000"/>
          <w:sz w:val="22"/>
          <w:szCs w:val="22"/>
        </w:rPr>
      </w:pPr>
    </w:p>
    <w:p w14:paraId="6D01440D" w14:textId="3D5F9F62" w:rsidR="00E27BDF" w:rsidRDefault="006C0DA8">
      <w:pPr>
        <w:spacing w:line="276" w:lineRule="auto"/>
        <w:jc w:val="both"/>
        <w:rPr>
          <w:rFonts w:ascii="Arial" w:eastAsia="Arial" w:hAnsi="Arial" w:cs="Arial"/>
          <w:color w:val="000000"/>
          <w:sz w:val="22"/>
          <w:szCs w:val="22"/>
        </w:rPr>
      </w:pPr>
      <w:r w:rsidRPr="00342184">
        <w:rPr>
          <w:rFonts w:ascii="Arial" w:eastAsia="Arial" w:hAnsi="Arial" w:cs="Arial"/>
          <w:color w:val="000000"/>
          <w:sz w:val="22"/>
          <w:szCs w:val="22"/>
        </w:rPr>
        <w:t>La Agencia Nacional de Contratación Pública</w:t>
      </w:r>
      <w:r w:rsidR="00C202E9">
        <w:rPr>
          <w:rFonts w:ascii="Arial" w:eastAsia="Arial" w:hAnsi="Arial" w:cs="Arial"/>
          <w:color w:val="000000"/>
          <w:sz w:val="22"/>
          <w:szCs w:val="22"/>
        </w:rPr>
        <w:t xml:space="preserve"> </w:t>
      </w:r>
      <w:r w:rsidRPr="00342184">
        <w:rPr>
          <w:rFonts w:ascii="Arial" w:eastAsia="Arial" w:hAnsi="Arial" w:cs="Arial"/>
          <w:color w:val="000000"/>
          <w:sz w:val="22"/>
          <w:szCs w:val="22"/>
        </w:rPr>
        <w:t>–</w:t>
      </w:r>
      <w:r w:rsidR="00C202E9">
        <w:rPr>
          <w:rFonts w:ascii="Arial" w:eastAsia="Arial" w:hAnsi="Arial" w:cs="Arial"/>
          <w:color w:val="000000"/>
          <w:sz w:val="22"/>
          <w:szCs w:val="22"/>
        </w:rPr>
        <w:t xml:space="preserve"> </w:t>
      </w:r>
      <w:r w:rsidRPr="00342184">
        <w:rPr>
          <w:rFonts w:ascii="Arial" w:eastAsia="Arial" w:hAnsi="Arial" w:cs="Arial"/>
          <w:color w:val="000000"/>
          <w:sz w:val="22"/>
          <w:szCs w:val="22"/>
        </w:rPr>
        <w:t>Colombia Co</w:t>
      </w:r>
      <w:r w:rsidR="006A279A">
        <w:rPr>
          <w:rFonts w:ascii="Arial" w:eastAsia="Arial" w:hAnsi="Arial" w:cs="Arial"/>
          <w:color w:val="000000"/>
          <w:sz w:val="22"/>
          <w:szCs w:val="22"/>
        </w:rPr>
        <w:t xml:space="preserve">mpra Eficiente </w:t>
      </w:r>
      <w:r w:rsidR="00DF5EFE">
        <w:rPr>
          <w:rFonts w:ascii="Arial" w:eastAsia="Arial" w:hAnsi="Arial" w:cs="Arial"/>
          <w:color w:val="000000"/>
          <w:sz w:val="22"/>
          <w:szCs w:val="22"/>
        </w:rPr>
        <w:t>se pronunció frente a interrogantes similares al</w:t>
      </w:r>
      <w:r w:rsidR="006A279A">
        <w:rPr>
          <w:rFonts w:ascii="Arial" w:eastAsia="Arial" w:hAnsi="Arial" w:cs="Arial"/>
          <w:color w:val="000000"/>
          <w:sz w:val="22"/>
          <w:szCs w:val="22"/>
        </w:rPr>
        <w:t xml:space="preserve"> de la presente consulta,</w:t>
      </w:r>
      <w:r w:rsidR="00DF5EFE">
        <w:rPr>
          <w:rFonts w:ascii="Arial" w:eastAsia="Arial" w:hAnsi="Arial" w:cs="Arial"/>
          <w:color w:val="000000"/>
          <w:sz w:val="22"/>
          <w:szCs w:val="22"/>
        </w:rPr>
        <w:t xml:space="preserve"> en el </w:t>
      </w:r>
      <w:r w:rsidR="006A279A">
        <w:rPr>
          <w:rFonts w:ascii="Arial" w:eastAsia="Arial" w:hAnsi="Arial" w:cs="Arial"/>
          <w:color w:val="000000"/>
          <w:sz w:val="22"/>
          <w:szCs w:val="22"/>
        </w:rPr>
        <w:t>concepto</w:t>
      </w:r>
      <w:r w:rsidR="003B141B">
        <w:rPr>
          <w:rFonts w:ascii="Arial" w:eastAsia="Arial" w:hAnsi="Arial" w:cs="Arial"/>
          <w:color w:val="000000"/>
          <w:sz w:val="22"/>
          <w:szCs w:val="22"/>
        </w:rPr>
        <w:t xml:space="preserve"> radicado número</w:t>
      </w:r>
      <w:r w:rsidR="006A279A">
        <w:rPr>
          <w:rFonts w:ascii="Arial" w:eastAsia="Arial" w:hAnsi="Arial" w:cs="Arial"/>
          <w:color w:val="000000"/>
          <w:sz w:val="22"/>
          <w:szCs w:val="22"/>
        </w:rPr>
        <w:t xml:space="preserve"> </w:t>
      </w:r>
      <w:r w:rsidR="006A279A" w:rsidRPr="006A279A">
        <w:rPr>
          <w:rFonts w:ascii="Arial" w:eastAsia="Arial" w:hAnsi="Arial" w:cs="Arial"/>
          <w:color w:val="000000"/>
          <w:sz w:val="22"/>
          <w:szCs w:val="22"/>
        </w:rPr>
        <w:t>4201814000000768</w:t>
      </w:r>
      <w:r w:rsidR="003B141B">
        <w:rPr>
          <w:rFonts w:ascii="Arial" w:eastAsia="Arial" w:hAnsi="Arial" w:cs="Arial"/>
          <w:color w:val="000000"/>
          <w:sz w:val="22"/>
          <w:szCs w:val="22"/>
        </w:rPr>
        <w:t xml:space="preserve"> de julio de 2018</w:t>
      </w:r>
      <w:r w:rsidR="00505A66">
        <w:rPr>
          <w:rFonts w:ascii="Arial" w:eastAsia="Arial" w:hAnsi="Arial" w:cs="Arial"/>
          <w:color w:val="000000"/>
          <w:sz w:val="22"/>
          <w:szCs w:val="22"/>
        </w:rPr>
        <w:t>, además recientemente profirió el concepto C-716 de 30 de octubre de 2020</w:t>
      </w:r>
      <w:r w:rsidRPr="00342184">
        <w:rPr>
          <w:rFonts w:ascii="Arial" w:eastAsia="Arial" w:hAnsi="Arial" w:cs="Arial"/>
          <w:color w:val="000000"/>
          <w:sz w:val="22"/>
          <w:szCs w:val="22"/>
        </w:rPr>
        <w:t xml:space="preserve">. Las tesis propuestas se </w:t>
      </w:r>
      <w:r w:rsidR="00815C6C">
        <w:rPr>
          <w:rFonts w:ascii="Arial" w:eastAsia="Arial" w:hAnsi="Arial" w:cs="Arial"/>
          <w:color w:val="000000"/>
          <w:sz w:val="22"/>
          <w:szCs w:val="22"/>
        </w:rPr>
        <w:t>desarrollan en lo pertinente a continuación.</w:t>
      </w:r>
    </w:p>
    <w:p w14:paraId="62FA61FD" w14:textId="000ECBE8" w:rsidR="003B141B" w:rsidRDefault="003B141B">
      <w:pPr>
        <w:spacing w:line="276" w:lineRule="auto"/>
        <w:jc w:val="both"/>
        <w:rPr>
          <w:rFonts w:ascii="Arial" w:eastAsia="Arial" w:hAnsi="Arial" w:cs="Arial"/>
          <w:color w:val="000000"/>
          <w:sz w:val="22"/>
          <w:szCs w:val="22"/>
        </w:rPr>
      </w:pPr>
    </w:p>
    <w:p w14:paraId="352A33B2" w14:textId="251DC0D6" w:rsidR="00B65CC6" w:rsidRPr="00B65CC6" w:rsidRDefault="00B65CC6" w:rsidP="00B65CC6">
      <w:pPr>
        <w:spacing w:line="276" w:lineRule="auto"/>
        <w:jc w:val="both"/>
        <w:rPr>
          <w:rFonts w:ascii="Arial" w:eastAsia="Arial" w:hAnsi="Arial" w:cs="Arial"/>
          <w:b/>
          <w:color w:val="000000"/>
          <w:sz w:val="22"/>
          <w:szCs w:val="22"/>
          <w:lang w:val="es-ES_tradnl"/>
        </w:rPr>
      </w:pPr>
      <w:r w:rsidRPr="00B65CC6">
        <w:rPr>
          <w:rFonts w:ascii="Arial" w:eastAsia="Arial" w:hAnsi="Arial" w:cs="Arial"/>
          <w:b/>
          <w:color w:val="000000"/>
          <w:sz w:val="22"/>
          <w:szCs w:val="22"/>
          <w:lang w:val="es-ES_tradnl"/>
        </w:rPr>
        <w:lastRenderedPageBreak/>
        <w:t xml:space="preserve">2.1. Régimen de inhabilidades e incompatibilidades en la contratación estatal: un límite a la capacidad contractual. La interpretación restrictiva como criterio hermenéutico de los enunciados normativos gravosos </w:t>
      </w:r>
      <w:r w:rsidR="00DD6D5C">
        <w:rPr>
          <w:rFonts w:ascii="Arial" w:eastAsia="Arial" w:hAnsi="Arial" w:cs="Arial"/>
          <w:b/>
          <w:color w:val="000000"/>
          <w:sz w:val="22"/>
          <w:szCs w:val="22"/>
          <w:lang w:val="es-ES_tradnl"/>
        </w:rPr>
        <w:t>y la reserva de ley</w:t>
      </w:r>
    </w:p>
    <w:p w14:paraId="2F0DFCCC" w14:textId="77777777" w:rsidR="00B65CC6" w:rsidRPr="00B65CC6" w:rsidRDefault="00B65CC6" w:rsidP="00B65CC6">
      <w:pPr>
        <w:spacing w:line="276" w:lineRule="auto"/>
        <w:jc w:val="both"/>
        <w:rPr>
          <w:rFonts w:ascii="Arial" w:eastAsia="Arial" w:hAnsi="Arial" w:cs="Arial"/>
          <w:color w:val="000000"/>
          <w:sz w:val="22"/>
          <w:szCs w:val="22"/>
          <w:lang w:val="es-ES_tradnl"/>
        </w:rPr>
      </w:pPr>
    </w:p>
    <w:p w14:paraId="46A7DC60" w14:textId="0DED9C0F" w:rsidR="00B65CC6" w:rsidRPr="00B65CC6" w:rsidRDefault="00B65CC6" w:rsidP="00AC058F">
      <w:pPr>
        <w:spacing w:after="120" w:line="276" w:lineRule="auto"/>
        <w:jc w:val="both"/>
        <w:rPr>
          <w:rFonts w:ascii="Arial" w:eastAsia="Arial" w:hAnsi="Arial" w:cs="Arial"/>
          <w:color w:val="000000"/>
          <w:sz w:val="22"/>
          <w:szCs w:val="22"/>
          <w:lang w:val="es-ES_tradnl"/>
        </w:rPr>
      </w:pPr>
      <w:r w:rsidRPr="00B65CC6">
        <w:rPr>
          <w:rFonts w:ascii="Arial" w:eastAsia="Arial" w:hAnsi="Arial" w:cs="Arial"/>
          <w:color w:val="000000"/>
          <w:sz w:val="22"/>
          <w:szCs w:val="22"/>
          <w:lang w:val="es-ES_tradnl"/>
        </w:rPr>
        <w:t xml:space="preserve">En la contratación estatal, la </w:t>
      </w:r>
      <w:r w:rsidRPr="00B65CC6">
        <w:rPr>
          <w:rFonts w:ascii="Arial" w:eastAsia="Arial" w:hAnsi="Arial" w:cs="Arial"/>
          <w:i/>
          <w:iCs/>
          <w:color w:val="000000"/>
          <w:sz w:val="22"/>
          <w:szCs w:val="22"/>
          <w:lang w:val="es-ES_tradnl"/>
        </w:rPr>
        <w:t>capacidad</w:t>
      </w:r>
      <w:r w:rsidRPr="00B65CC6">
        <w:rPr>
          <w:rFonts w:ascii="Arial" w:eastAsia="Arial" w:hAnsi="Arial" w:cs="Arial"/>
          <w:color w:val="000000"/>
          <w:sz w:val="22"/>
          <w:szCs w:val="22"/>
          <w:lang w:val="es-ES_tradnl"/>
        </w:rPr>
        <w:t xml:space="preserve"> </w:t>
      </w:r>
      <w:r w:rsidR="00E210EE" w:rsidRPr="00AC058F">
        <w:rPr>
          <w:rFonts w:ascii="Arial" w:eastAsia="Arial" w:hAnsi="Arial" w:cs="Arial"/>
          <w:i/>
          <w:iCs/>
          <w:color w:val="000000"/>
          <w:sz w:val="22"/>
          <w:szCs w:val="22"/>
          <w:lang w:val="es-ES_tradnl"/>
        </w:rPr>
        <w:t>jurídica</w:t>
      </w:r>
      <w:r w:rsidR="00E210EE">
        <w:rPr>
          <w:rFonts w:ascii="Arial" w:eastAsia="Arial" w:hAnsi="Arial" w:cs="Arial"/>
          <w:color w:val="000000"/>
          <w:sz w:val="22"/>
          <w:szCs w:val="22"/>
          <w:lang w:val="es-ES_tradnl"/>
        </w:rPr>
        <w:t xml:space="preserve"> </w:t>
      </w:r>
      <w:r w:rsidRPr="00B65CC6">
        <w:rPr>
          <w:rFonts w:ascii="Arial" w:eastAsia="Arial" w:hAnsi="Arial" w:cs="Arial"/>
          <w:color w:val="000000"/>
          <w:sz w:val="22"/>
          <w:szCs w:val="22"/>
          <w:lang w:val="es-ES_tradnl"/>
        </w:rPr>
        <w:t>también es un requisito de validez de los contratos, tanto en el régimen de las entidades sujetas al Estatuto General de Contratación de la Administración Pública</w:t>
      </w:r>
      <w:r w:rsidRPr="00B65CC6">
        <w:rPr>
          <w:rFonts w:ascii="Arial" w:eastAsia="Arial" w:hAnsi="Arial" w:cs="Arial"/>
          <w:color w:val="000000"/>
          <w:sz w:val="22"/>
          <w:szCs w:val="22"/>
          <w:vertAlign w:val="superscript"/>
          <w:lang w:val="es-ES_tradnl"/>
        </w:rPr>
        <w:footnoteReference w:id="1"/>
      </w:r>
      <w:r w:rsidR="00E210EE">
        <w:rPr>
          <w:rFonts w:ascii="Arial" w:eastAsia="Arial" w:hAnsi="Arial" w:cs="Arial"/>
          <w:color w:val="000000"/>
          <w:sz w:val="22"/>
          <w:szCs w:val="22"/>
          <w:lang w:val="es-ES_tradnl"/>
        </w:rPr>
        <w:t>,</w:t>
      </w:r>
      <w:r w:rsidRPr="00B65CC6">
        <w:rPr>
          <w:rFonts w:ascii="Arial" w:eastAsia="Arial" w:hAnsi="Arial" w:cs="Arial"/>
          <w:color w:val="000000"/>
          <w:sz w:val="22"/>
          <w:szCs w:val="22"/>
          <w:lang w:val="es-ES_tradnl"/>
        </w:rPr>
        <w:t xml:space="preserve"> como en el de las entidades exceptuadas de aquel</w:t>
      </w:r>
      <w:r w:rsidRPr="00B65CC6">
        <w:rPr>
          <w:rFonts w:ascii="Arial" w:eastAsia="Arial" w:hAnsi="Arial" w:cs="Arial"/>
          <w:color w:val="000000"/>
          <w:sz w:val="22"/>
          <w:szCs w:val="22"/>
          <w:vertAlign w:val="superscript"/>
          <w:lang w:val="es-ES_tradnl"/>
        </w:rPr>
        <w:footnoteReference w:id="2"/>
      </w:r>
      <w:r w:rsidRPr="00B65CC6">
        <w:rPr>
          <w:rFonts w:ascii="Arial" w:eastAsia="Arial" w:hAnsi="Arial" w:cs="Arial"/>
          <w:color w:val="000000"/>
          <w:sz w:val="22"/>
          <w:szCs w:val="22"/>
          <w:lang w:val="es-ES_tradnl"/>
        </w:rPr>
        <w:t>. Si bien la regulación de la capacidad se integra por varias disposiciones y exigencias especiales –como el requisito de inscribirse, por regla general, en el Registro Único de Proponentes (RUP)–, se destaca el régimen de inhabilidades e incompatibilidades como un conjunto de enunciados normativos que imponen restricciones para los sujetos</w:t>
      </w:r>
      <w:r>
        <w:rPr>
          <w:rFonts w:ascii="Arial" w:eastAsia="Arial" w:hAnsi="Arial" w:cs="Arial"/>
          <w:color w:val="000000"/>
          <w:sz w:val="22"/>
          <w:szCs w:val="22"/>
          <w:lang w:val="es-ES_tradnl"/>
        </w:rPr>
        <w:t xml:space="preserve"> </w:t>
      </w:r>
      <w:r w:rsidRPr="00B65CC6">
        <w:rPr>
          <w:rFonts w:ascii="Arial" w:eastAsia="Arial" w:hAnsi="Arial" w:cs="Arial"/>
          <w:color w:val="000000"/>
          <w:sz w:val="22"/>
          <w:szCs w:val="22"/>
          <w:lang w:val="es-ES_tradnl"/>
        </w:rPr>
        <w:t>que, eventualmente, pretendan participar en los procedimientos de selección o celebrar contratos con las entidades estatales</w:t>
      </w:r>
      <w:r w:rsidRPr="00B65CC6">
        <w:rPr>
          <w:rFonts w:ascii="Arial" w:eastAsia="Arial" w:hAnsi="Arial" w:cs="Arial"/>
          <w:color w:val="000000"/>
          <w:sz w:val="22"/>
          <w:szCs w:val="22"/>
          <w:vertAlign w:val="superscript"/>
          <w:lang w:val="es-ES_tradnl"/>
        </w:rPr>
        <w:footnoteReference w:id="3"/>
      </w:r>
      <w:r w:rsidRPr="00B65CC6">
        <w:rPr>
          <w:rFonts w:ascii="Arial" w:eastAsia="Arial" w:hAnsi="Arial" w:cs="Arial"/>
          <w:color w:val="000000"/>
          <w:sz w:val="22"/>
          <w:szCs w:val="22"/>
          <w:lang w:val="es-ES_tradnl"/>
        </w:rPr>
        <w:t>.</w:t>
      </w:r>
    </w:p>
    <w:p w14:paraId="30BE268B" w14:textId="395316C1" w:rsidR="00B65CC6" w:rsidRDefault="00B65CC6" w:rsidP="00AC058F">
      <w:pPr>
        <w:spacing w:after="120" w:line="276" w:lineRule="auto"/>
        <w:ind w:firstLine="720"/>
        <w:jc w:val="both"/>
        <w:rPr>
          <w:rFonts w:ascii="Arial" w:eastAsia="Arial" w:hAnsi="Arial" w:cs="Arial"/>
          <w:color w:val="000000"/>
          <w:sz w:val="22"/>
          <w:szCs w:val="22"/>
          <w:lang w:val="es-ES_tradnl"/>
        </w:rPr>
      </w:pPr>
      <w:r w:rsidRPr="00B65CC6">
        <w:rPr>
          <w:rFonts w:ascii="Arial" w:eastAsia="Arial" w:hAnsi="Arial" w:cs="Arial"/>
          <w:color w:val="000000"/>
          <w:sz w:val="22"/>
          <w:szCs w:val="22"/>
          <w:lang w:val="es-ES_tradnl"/>
        </w:rPr>
        <w:t xml:space="preserve">Las inhabilidades son prohibiciones para concurrir a los procedimientos de selección y para contratar con el Estado, que se derivan i) de la existencia de comportamientos reprochables de sanciones anteriormente impuestas, </w:t>
      </w:r>
      <w:proofErr w:type="spellStart"/>
      <w:r w:rsidRPr="00B65CC6">
        <w:rPr>
          <w:rFonts w:ascii="Arial" w:eastAsia="Arial" w:hAnsi="Arial" w:cs="Arial"/>
          <w:color w:val="000000"/>
          <w:sz w:val="22"/>
          <w:szCs w:val="22"/>
          <w:lang w:val="es-ES_tradnl"/>
        </w:rPr>
        <w:t>ii</w:t>
      </w:r>
      <w:proofErr w:type="spellEnd"/>
      <w:r w:rsidRPr="00B65CC6">
        <w:rPr>
          <w:rFonts w:ascii="Arial" w:eastAsia="Arial" w:hAnsi="Arial" w:cs="Arial"/>
          <w:color w:val="000000"/>
          <w:sz w:val="22"/>
          <w:szCs w:val="22"/>
          <w:lang w:val="es-ES_tradnl"/>
        </w:rPr>
        <w:t>) de vínculos personales relativos al parentesco al estado civil</w:t>
      </w:r>
      <w:r w:rsidR="002F74E0">
        <w:rPr>
          <w:rFonts w:ascii="Arial" w:eastAsia="Arial" w:hAnsi="Arial" w:cs="Arial"/>
          <w:color w:val="000000"/>
          <w:sz w:val="22"/>
          <w:szCs w:val="22"/>
          <w:vertAlign w:val="superscript"/>
          <w:lang w:val="es-ES_tradnl"/>
        </w:rPr>
        <w:t xml:space="preserve"> </w:t>
      </w:r>
      <w:r w:rsidRPr="00B65CC6">
        <w:rPr>
          <w:rFonts w:ascii="Arial" w:eastAsia="Arial" w:hAnsi="Arial" w:cs="Arial"/>
          <w:color w:val="000000"/>
          <w:sz w:val="22"/>
          <w:szCs w:val="22"/>
          <w:lang w:val="es-ES_tradnl"/>
        </w:rPr>
        <w:t xml:space="preserve">o </w:t>
      </w:r>
      <w:proofErr w:type="spellStart"/>
      <w:r w:rsidRPr="00B65CC6">
        <w:rPr>
          <w:rFonts w:ascii="Arial" w:eastAsia="Arial" w:hAnsi="Arial" w:cs="Arial"/>
          <w:color w:val="000000"/>
          <w:sz w:val="22"/>
          <w:szCs w:val="22"/>
          <w:lang w:val="es-ES_tradnl"/>
        </w:rPr>
        <w:t>iii</w:t>
      </w:r>
      <w:proofErr w:type="spellEnd"/>
      <w:r w:rsidRPr="00B65CC6">
        <w:rPr>
          <w:rFonts w:ascii="Arial" w:eastAsia="Arial" w:hAnsi="Arial" w:cs="Arial"/>
          <w:color w:val="000000"/>
          <w:sz w:val="22"/>
          <w:szCs w:val="22"/>
          <w:lang w:val="es-ES_tradnl"/>
        </w:rPr>
        <w:t>) de una actividad u oficio que se desempeñó en el pasado</w:t>
      </w:r>
      <w:r w:rsidR="00AB619B">
        <w:rPr>
          <w:rFonts w:ascii="Arial" w:eastAsia="Arial" w:hAnsi="Arial" w:cs="Arial"/>
          <w:color w:val="000000"/>
          <w:sz w:val="22"/>
          <w:szCs w:val="22"/>
          <w:lang w:val="es-ES_tradnl"/>
        </w:rPr>
        <w:t>.</w:t>
      </w:r>
    </w:p>
    <w:p w14:paraId="09D969E8" w14:textId="3EF36013" w:rsidR="00B65CC6" w:rsidRDefault="00B65CC6" w:rsidP="00AC058F">
      <w:pPr>
        <w:spacing w:after="120" w:line="276" w:lineRule="auto"/>
        <w:ind w:firstLine="720"/>
        <w:jc w:val="both"/>
        <w:rPr>
          <w:rFonts w:ascii="Arial" w:eastAsia="Arial" w:hAnsi="Arial" w:cs="Arial"/>
          <w:color w:val="000000"/>
          <w:sz w:val="22"/>
          <w:szCs w:val="22"/>
          <w:lang w:val="es-ES_tradnl"/>
        </w:rPr>
      </w:pPr>
      <w:r w:rsidRPr="00B65CC6">
        <w:rPr>
          <w:rFonts w:ascii="Arial" w:eastAsia="Arial" w:hAnsi="Arial" w:cs="Arial"/>
          <w:color w:val="000000"/>
          <w:sz w:val="22"/>
          <w:szCs w:val="22"/>
          <w:lang w:val="es-ES_tradnl"/>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w:t>
      </w:r>
      <w:r w:rsidRPr="00B65CC6">
        <w:rPr>
          <w:rFonts w:ascii="Arial" w:eastAsia="Arial" w:hAnsi="Arial" w:cs="Arial"/>
          <w:color w:val="000000"/>
          <w:sz w:val="22"/>
          <w:szCs w:val="22"/>
          <w:lang w:val="es-ES_tradnl"/>
        </w:rPr>
        <w:lastRenderedPageBreak/>
        <w:t xml:space="preserve">Es por ello </w:t>
      </w:r>
      <w:proofErr w:type="gramStart"/>
      <w:r w:rsidRPr="00B65CC6">
        <w:rPr>
          <w:rFonts w:ascii="Arial" w:eastAsia="Arial" w:hAnsi="Arial" w:cs="Arial"/>
          <w:color w:val="000000"/>
          <w:sz w:val="22"/>
          <w:szCs w:val="22"/>
          <w:lang w:val="es-ES_tradnl"/>
        </w:rPr>
        <w:t>que</w:t>
      </w:r>
      <w:proofErr w:type="gramEnd"/>
      <w:r w:rsidRPr="00B65CC6">
        <w:rPr>
          <w:rFonts w:ascii="Arial" w:eastAsia="Arial" w:hAnsi="Arial" w:cs="Arial"/>
          <w:color w:val="000000"/>
          <w:sz w:val="22"/>
          <w:szCs w:val="22"/>
          <w:lang w:val="es-ES_tradnl"/>
        </w:rPr>
        <w:t>, como lo ha destacado la doctrina, las inhabilidades e incompatibilidades se han convertido en herramientas en la lucha contra la corrupción, adoptando paulatinamente un cariz sancionatorio o «</w:t>
      </w:r>
      <w:proofErr w:type="spellStart"/>
      <w:r w:rsidRPr="00B65CC6">
        <w:rPr>
          <w:rFonts w:ascii="Arial" w:eastAsia="Arial" w:hAnsi="Arial" w:cs="Arial"/>
          <w:color w:val="000000"/>
          <w:sz w:val="22"/>
          <w:szCs w:val="22"/>
          <w:lang w:val="es-ES_tradnl"/>
        </w:rPr>
        <w:t>neopunitivo</w:t>
      </w:r>
      <w:proofErr w:type="spellEnd"/>
      <w:r w:rsidRPr="00B65CC6">
        <w:rPr>
          <w:rFonts w:ascii="Arial" w:eastAsia="Arial" w:hAnsi="Arial" w:cs="Arial"/>
          <w:color w:val="000000"/>
          <w:sz w:val="22"/>
          <w:szCs w:val="22"/>
          <w:lang w:val="es-ES_tradnl"/>
        </w:rPr>
        <w:t>»</w:t>
      </w:r>
      <w:r w:rsidRPr="00B65CC6">
        <w:rPr>
          <w:rFonts w:ascii="Arial" w:eastAsia="Arial" w:hAnsi="Arial" w:cs="Arial"/>
          <w:color w:val="000000"/>
          <w:sz w:val="22"/>
          <w:szCs w:val="22"/>
          <w:vertAlign w:val="superscript"/>
          <w:lang w:val="es-ES_tradnl"/>
        </w:rPr>
        <w:footnoteReference w:id="4"/>
      </w:r>
      <w:r w:rsidRPr="00B65CC6">
        <w:rPr>
          <w:rFonts w:ascii="Arial" w:eastAsia="Arial" w:hAnsi="Arial" w:cs="Arial"/>
          <w:color w:val="000000"/>
          <w:sz w:val="22"/>
          <w:szCs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74C0A0BA" w14:textId="1982C4B3" w:rsidR="00B65CC6" w:rsidRPr="00B65CC6" w:rsidRDefault="00B65CC6" w:rsidP="00AC058F">
      <w:pPr>
        <w:spacing w:after="120" w:line="276" w:lineRule="auto"/>
        <w:ind w:firstLine="720"/>
        <w:jc w:val="both"/>
        <w:rPr>
          <w:rFonts w:ascii="Arial" w:eastAsia="Arial" w:hAnsi="Arial" w:cs="Arial"/>
          <w:color w:val="000000"/>
          <w:sz w:val="22"/>
          <w:szCs w:val="22"/>
          <w:lang w:val="es-ES_tradnl"/>
        </w:rPr>
      </w:pPr>
      <w:r w:rsidRPr="00B65CC6">
        <w:rPr>
          <w:rFonts w:ascii="Arial" w:eastAsia="Arial" w:hAnsi="Arial" w:cs="Arial"/>
          <w:color w:val="000000"/>
          <w:sz w:val="22"/>
          <w:szCs w:val="22"/>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B65CC6">
        <w:rPr>
          <w:rFonts w:ascii="Arial" w:eastAsia="Arial" w:hAnsi="Arial" w:cs="Arial"/>
          <w:i/>
          <w:iCs/>
          <w:color w:val="000000"/>
          <w:sz w:val="22"/>
          <w:szCs w:val="22"/>
          <w:lang w:val="es-ES_tradnl"/>
        </w:rPr>
        <w:t>restrictiva</w:t>
      </w:r>
      <w:r w:rsidRPr="00B65CC6">
        <w:rPr>
          <w:rFonts w:ascii="Arial" w:eastAsia="Arial" w:hAnsi="Arial" w:cs="Arial"/>
          <w:color w:val="000000"/>
          <w:sz w:val="22"/>
          <w:szCs w:val="22"/>
          <w:vertAlign w:val="superscript"/>
          <w:lang w:val="es-ES_tradnl"/>
        </w:rPr>
        <w:footnoteReference w:id="5"/>
      </w:r>
      <w:r w:rsidR="00982517">
        <w:rPr>
          <w:rFonts w:ascii="Arial" w:eastAsia="Arial" w:hAnsi="Arial" w:cs="Arial"/>
          <w:color w:val="000000"/>
          <w:sz w:val="22"/>
          <w:szCs w:val="22"/>
          <w:lang w:val="es-ES_tradnl"/>
        </w:rPr>
        <w:t>.</w:t>
      </w:r>
      <w:r w:rsidRPr="00B65CC6">
        <w:rPr>
          <w:rFonts w:ascii="Arial" w:eastAsia="Arial" w:hAnsi="Arial" w:cs="Arial"/>
          <w:color w:val="000000"/>
          <w:sz w:val="22"/>
          <w:szCs w:val="22"/>
          <w:lang w:val="es-ES_tradnl"/>
        </w:rPr>
        <w:t xml:space="preserve"> </w:t>
      </w:r>
      <w:r w:rsidR="00CA58C0">
        <w:rPr>
          <w:rFonts w:ascii="Arial" w:eastAsia="Arial" w:hAnsi="Arial" w:cs="Arial"/>
          <w:color w:val="000000"/>
          <w:sz w:val="22"/>
          <w:szCs w:val="22"/>
          <w:lang w:val="es-ES_tradnl"/>
        </w:rPr>
        <w:t xml:space="preserve">De </w:t>
      </w:r>
      <w:r w:rsidRPr="00B65CC6">
        <w:rPr>
          <w:rFonts w:ascii="Arial" w:eastAsia="Arial" w:hAnsi="Arial" w:cs="Arial"/>
          <w:color w:val="000000"/>
          <w:sz w:val="22"/>
          <w:szCs w:val="22"/>
          <w:lang w:val="es-ES_tradnl"/>
        </w:rPr>
        <w:t>admiti</w:t>
      </w:r>
      <w:r w:rsidR="00CA58C0">
        <w:rPr>
          <w:rFonts w:ascii="Arial" w:eastAsia="Arial" w:hAnsi="Arial" w:cs="Arial"/>
          <w:color w:val="000000"/>
          <w:sz w:val="22"/>
          <w:szCs w:val="22"/>
          <w:lang w:val="es-ES_tradnl"/>
        </w:rPr>
        <w:t>rse</w:t>
      </w:r>
      <w:r w:rsidRPr="00B65CC6">
        <w:rPr>
          <w:rFonts w:ascii="Arial" w:eastAsia="Arial" w:hAnsi="Arial" w:cs="Arial"/>
          <w:color w:val="000000"/>
          <w:sz w:val="22"/>
          <w:szCs w:val="22"/>
          <w:lang w:val="es-ES_tradnl"/>
        </w:rPr>
        <w:t xml:space="preserve"> una interpretación </w:t>
      </w:r>
      <w:r w:rsidR="00CA58C0">
        <w:rPr>
          <w:rFonts w:ascii="Arial" w:eastAsia="Arial" w:hAnsi="Arial" w:cs="Arial"/>
          <w:color w:val="000000"/>
          <w:sz w:val="22"/>
          <w:szCs w:val="22"/>
          <w:lang w:val="es-ES_tradnl"/>
        </w:rPr>
        <w:t xml:space="preserve">más </w:t>
      </w:r>
      <w:r w:rsidRPr="00B65CC6">
        <w:rPr>
          <w:rFonts w:ascii="Arial" w:eastAsia="Arial" w:hAnsi="Arial" w:cs="Arial"/>
          <w:color w:val="000000"/>
          <w:sz w:val="22"/>
          <w:szCs w:val="22"/>
          <w:lang w:val="es-ES_tradnl"/>
        </w:rPr>
        <w:t xml:space="preserve">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1CE2E94C" w14:textId="59B44121" w:rsidR="00B65CC6" w:rsidRPr="00B65CC6" w:rsidRDefault="00B65CC6" w:rsidP="00950F16">
      <w:pPr>
        <w:spacing w:line="276" w:lineRule="auto"/>
        <w:ind w:firstLine="720"/>
        <w:jc w:val="both"/>
        <w:rPr>
          <w:rFonts w:ascii="Arial" w:eastAsia="Arial" w:hAnsi="Arial" w:cs="Arial"/>
          <w:color w:val="000000"/>
          <w:sz w:val="22"/>
          <w:szCs w:val="22"/>
          <w:lang w:val="es-ES_tradnl"/>
        </w:rPr>
      </w:pPr>
      <w:r w:rsidRPr="00B65CC6">
        <w:rPr>
          <w:rFonts w:ascii="Arial" w:eastAsia="Arial" w:hAnsi="Arial" w:cs="Arial"/>
          <w:color w:val="000000"/>
          <w:sz w:val="22"/>
          <w:szCs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B65CC6">
        <w:rPr>
          <w:rFonts w:ascii="Arial" w:eastAsia="Arial" w:hAnsi="Arial" w:cs="Arial"/>
          <w:color w:val="000000"/>
          <w:sz w:val="22"/>
          <w:szCs w:val="22"/>
          <w:vertAlign w:val="superscript"/>
          <w:lang w:val="es-ES_tradnl"/>
        </w:rPr>
        <w:footnoteReference w:id="6"/>
      </w:r>
      <w:r w:rsidRPr="00B65CC6">
        <w:rPr>
          <w:rFonts w:ascii="Arial" w:eastAsia="Arial" w:hAnsi="Arial" w:cs="Arial"/>
          <w:color w:val="000000"/>
          <w:sz w:val="22"/>
          <w:szCs w:val="22"/>
          <w:lang w:val="es-ES_tradnl"/>
        </w:rPr>
        <w:t xml:space="preserve">. Por su parte, el Consejo de Estado </w:t>
      </w:r>
      <w:r w:rsidR="00AB619B" w:rsidRPr="00B65CC6">
        <w:rPr>
          <w:rFonts w:ascii="Arial" w:eastAsia="Arial" w:hAnsi="Arial" w:cs="Arial"/>
          <w:color w:val="000000"/>
          <w:sz w:val="22"/>
          <w:szCs w:val="22"/>
          <w:lang w:val="es-ES_tradnl"/>
        </w:rPr>
        <w:t xml:space="preserve">también </w:t>
      </w:r>
      <w:r w:rsidRPr="00B65CC6">
        <w:rPr>
          <w:rFonts w:ascii="Arial" w:eastAsia="Arial" w:hAnsi="Arial" w:cs="Arial"/>
          <w:color w:val="000000"/>
          <w:sz w:val="22"/>
          <w:szCs w:val="22"/>
          <w:lang w:val="es-ES_tradnl"/>
        </w:rPr>
        <w:t xml:space="preserve">ha acogido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w:t>
      </w:r>
      <w:r w:rsidRPr="00B65CC6">
        <w:rPr>
          <w:rFonts w:ascii="Arial" w:eastAsia="Arial" w:hAnsi="Arial" w:cs="Arial"/>
          <w:color w:val="000000"/>
          <w:sz w:val="22"/>
          <w:szCs w:val="22"/>
          <w:lang w:val="es-ES_tradnl"/>
        </w:rPr>
        <w:lastRenderedPageBreak/>
        <w:t>las leyes” lo que se traduce en que pueden hacer todo aquello que no les esté expresamente prohibido»</w:t>
      </w:r>
      <w:r w:rsidRPr="00B65CC6">
        <w:rPr>
          <w:rFonts w:ascii="Arial" w:eastAsia="Arial" w:hAnsi="Arial" w:cs="Arial"/>
          <w:color w:val="000000"/>
          <w:sz w:val="22"/>
          <w:szCs w:val="22"/>
          <w:vertAlign w:val="superscript"/>
          <w:lang w:val="es-ES_tradnl"/>
        </w:rPr>
        <w:footnoteReference w:id="7"/>
      </w:r>
      <w:r w:rsidRPr="00B65CC6">
        <w:rPr>
          <w:rFonts w:ascii="Arial" w:eastAsia="Arial" w:hAnsi="Arial" w:cs="Arial"/>
          <w:color w:val="000000"/>
          <w:sz w:val="22"/>
          <w:szCs w:val="22"/>
          <w:lang w:val="es-ES_tradnl"/>
        </w:rPr>
        <w:t>. En tal sentido, la Sección Tercera ha señalado que:</w:t>
      </w:r>
    </w:p>
    <w:p w14:paraId="481CC779" w14:textId="77777777" w:rsidR="00B65CC6" w:rsidRPr="00B65CC6" w:rsidRDefault="00B65CC6" w:rsidP="007F2779">
      <w:pPr>
        <w:spacing w:line="276" w:lineRule="auto"/>
        <w:ind w:firstLine="720"/>
        <w:jc w:val="both"/>
        <w:rPr>
          <w:rFonts w:ascii="Arial" w:eastAsia="Arial" w:hAnsi="Arial" w:cs="Arial"/>
          <w:color w:val="000000"/>
          <w:sz w:val="22"/>
          <w:szCs w:val="22"/>
          <w:lang w:val="es-ES_tradnl"/>
        </w:rPr>
      </w:pPr>
    </w:p>
    <w:p w14:paraId="131D5602" w14:textId="339526D8" w:rsidR="00B65CC6" w:rsidRDefault="00B65CC6" w:rsidP="00AB619B">
      <w:pPr>
        <w:ind w:left="709" w:right="709"/>
        <w:jc w:val="both"/>
        <w:rPr>
          <w:rFonts w:ascii="Arial" w:eastAsia="Arial" w:hAnsi="Arial" w:cs="Arial"/>
          <w:color w:val="000000"/>
          <w:sz w:val="21"/>
          <w:szCs w:val="21"/>
          <w:lang w:val="es-ES_tradnl"/>
        </w:rPr>
      </w:pPr>
      <w:r w:rsidRPr="00AC058F">
        <w:rPr>
          <w:rFonts w:ascii="Arial" w:eastAsia="Arial" w:hAnsi="Arial" w:cs="Arial"/>
          <w:color w:val="000000"/>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AC058F">
        <w:rPr>
          <w:rFonts w:ascii="Arial" w:eastAsia="Arial" w:hAnsi="Arial" w:cs="Arial"/>
          <w:color w:val="000000"/>
          <w:sz w:val="21"/>
          <w:szCs w:val="21"/>
          <w:vertAlign w:val="superscript"/>
          <w:lang w:val="es-ES_tradnl"/>
        </w:rPr>
        <w:footnoteReference w:id="8"/>
      </w:r>
      <w:r w:rsidRPr="00AC058F">
        <w:rPr>
          <w:rFonts w:ascii="Arial" w:eastAsia="Arial" w:hAnsi="Arial" w:cs="Arial"/>
          <w:color w:val="000000"/>
          <w:sz w:val="21"/>
          <w:szCs w:val="21"/>
          <w:lang w:val="es-ES_tradnl"/>
        </w:rPr>
        <w:t>.</w:t>
      </w:r>
    </w:p>
    <w:p w14:paraId="7C0006D4" w14:textId="77777777" w:rsidR="00AB619B" w:rsidRPr="00AC058F" w:rsidRDefault="00AB619B" w:rsidP="00AC058F">
      <w:pPr>
        <w:ind w:left="709" w:right="709"/>
        <w:jc w:val="both"/>
        <w:rPr>
          <w:rFonts w:ascii="Arial" w:eastAsia="Arial" w:hAnsi="Arial" w:cs="Arial"/>
          <w:color w:val="000000"/>
          <w:sz w:val="21"/>
          <w:szCs w:val="21"/>
          <w:lang w:val="es-ES_tradnl"/>
        </w:rPr>
      </w:pPr>
    </w:p>
    <w:p w14:paraId="351FB6DA" w14:textId="04CDF4B1" w:rsidR="00B65CC6" w:rsidRDefault="00B65CC6" w:rsidP="00AC058F">
      <w:pPr>
        <w:spacing w:line="276" w:lineRule="auto"/>
        <w:ind w:firstLine="720"/>
        <w:jc w:val="both"/>
        <w:rPr>
          <w:rFonts w:ascii="Arial" w:eastAsia="Arial" w:hAnsi="Arial" w:cs="Arial"/>
          <w:color w:val="000000"/>
          <w:sz w:val="22"/>
          <w:szCs w:val="22"/>
          <w:lang w:val="es-ES_tradnl"/>
        </w:rPr>
      </w:pPr>
      <w:r w:rsidRPr="00B65CC6">
        <w:rPr>
          <w:rFonts w:ascii="Arial" w:eastAsia="Arial" w:hAnsi="Arial" w:cs="Arial"/>
          <w:color w:val="000000"/>
          <w:sz w:val="22"/>
          <w:szCs w:val="22"/>
          <w:lang w:val="es-ES_tradnl"/>
        </w:rPr>
        <w:t>También ha dicho que:</w:t>
      </w:r>
    </w:p>
    <w:p w14:paraId="6C30EE69" w14:textId="77777777" w:rsidR="00AB619B" w:rsidRPr="00B65CC6" w:rsidRDefault="00AB619B" w:rsidP="00772049">
      <w:pPr>
        <w:spacing w:line="276" w:lineRule="auto"/>
        <w:ind w:firstLine="720"/>
        <w:jc w:val="both"/>
        <w:rPr>
          <w:rFonts w:ascii="Arial" w:eastAsia="Arial" w:hAnsi="Arial" w:cs="Arial"/>
          <w:color w:val="000000"/>
          <w:sz w:val="22"/>
          <w:szCs w:val="22"/>
          <w:lang w:val="es-ES_tradnl"/>
        </w:rPr>
      </w:pPr>
    </w:p>
    <w:p w14:paraId="23C1F727" w14:textId="4551246F" w:rsidR="00B65CC6" w:rsidRDefault="00B65CC6" w:rsidP="00AB619B">
      <w:pPr>
        <w:ind w:left="709" w:right="709"/>
        <w:jc w:val="both"/>
        <w:rPr>
          <w:rFonts w:ascii="Arial" w:eastAsia="Arial" w:hAnsi="Arial" w:cs="Arial"/>
          <w:color w:val="000000"/>
          <w:sz w:val="21"/>
          <w:szCs w:val="21"/>
          <w:lang w:val="es-ES_tradnl"/>
        </w:rPr>
      </w:pPr>
      <w:r w:rsidRPr="00AC058F">
        <w:rPr>
          <w:rFonts w:ascii="Arial" w:eastAsia="Arial" w:hAnsi="Arial" w:cs="Arial"/>
          <w:color w:val="000000"/>
          <w:sz w:val="21"/>
          <w:szCs w:val="21"/>
          <w:lang w:val="es-ES_tradnl"/>
        </w:rPr>
        <w:t xml:space="preserve">[…] la aplicación de estos preceptos exige una interpretación restrictiva, dado que según el principio hermenéutico pro </w:t>
      </w:r>
      <w:proofErr w:type="spellStart"/>
      <w:r w:rsidRPr="00AC058F">
        <w:rPr>
          <w:rFonts w:ascii="Arial" w:eastAsia="Arial" w:hAnsi="Arial" w:cs="Arial"/>
          <w:color w:val="000000"/>
          <w:sz w:val="21"/>
          <w:szCs w:val="21"/>
          <w:lang w:val="es-ES_tradnl"/>
        </w:rPr>
        <w:t>libertate</w:t>
      </w:r>
      <w:proofErr w:type="spellEnd"/>
      <w:r w:rsidRPr="00AC058F">
        <w:rPr>
          <w:rFonts w:ascii="Arial" w:eastAsia="Arial" w:hAnsi="Arial" w:cs="Arial"/>
          <w:color w:val="000000"/>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AC058F">
        <w:rPr>
          <w:rFonts w:ascii="Arial" w:eastAsia="Arial" w:hAnsi="Arial" w:cs="Arial"/>
          <w:color w:val="000000"/>
          <w:sz w:val="21"/>
          <w:szCs w:val="21"/>
          <w:vertAlign w:val="superscript"/>
          <w:lang w:val="es-ES_tradnl"/>
        </w:rPr>
        <w:footnoteReference w:id="9"/>
      </w:r>
      <w:r w:rsidRPr="00AC058F">
        <w:rPr>
          <w:rFonts w:ascii="Arial" w:eastAsia="Arial" w:hAnsi="Arial" w:cs="Arial"/>
          <w:color w:val="000000"/>
          <w:sz w:val="21"/>
          <w:szCs w:val="21"/>
          <w:lang w:val="es-ES_tradnl"/>
        </w:rPr>
        <w:t>.</w:t>
      </w:r>
    </w:p>
    <w:p w14:paraId="54EF8BAB" w14:textId="77777777" w:rsidR="00AB619B" w:rsidRPr="00AC058F" w:rsidRDefault="00AB619B" w:rsidP="00AC058F">
      <w:pPr>
        <w:ind w:left="709" w:right="709"/>
        <w:jc w:val="both"/>
        <w:rPr>
          <w:rFonts w:ascii="Arial" w:eastAsia="Arial" w:hAnsi="Arial" w:cs="Arial"/>
          <w:color w:val="000000"/>
          <w:sz w:val="21"/>
          <w:szCs w:val="21"/>
          <w:lang w:val="es-ES_tradnl"/>
        </w:rPr>
      </w:pPr>
    </w:p>
    <w:p w14:paraId="44A51186" w14:textId="017BA272" w:rsidR="00B65CC6" w:rsidRDefault="00B65CC6" w:rsidP="00AC058F">
      <w:pPr>
        <w:spacing w:after="120" w:line="276" w:lineRule="auto"/>
        <w:ind w:firstLine="720"/>
        <w:jc w:val="both"/>
        <w:rPr>
          <w:rFonts w:ascii="Arial" w:eastAsia="Arial" w:hAnsi="Arial" w:cs="Arial"/>
          <w:color w:val="000000"/>
          <w:sz w:val="22"/>
          <w:szCs w:val="22"/>
          <w:lang w:val="es-ES_tradnl"/>
        </w:rPr>
      </w:pPr>
      <w:r w:rsidRPr="00B65CC6">
        <w:rPr>
          <w:rFonts w:ascii="Arial" w:eastAsia="Arial" w:hAnsi="Arial" w:cs="Arial"/>
          <w:color w:val="000000"/>
          <w:sz w:val="22"/>
          <w:szCs w:val="22"/>
          <w:lang w:val="es-ES_tradnl"/>
        </w:rPr>
        <w:t xml:space="preserve">Como se aprecia, el principio </w:t>
      </w:r>
      <w:r w:rsidRPr="00B65CC6">
        <w:rPr>
          <w:rFonts w:ascii="Arial" w:eastAsia="Arial" w:hAnsi="Arial" w:cs="Arial"/>
          <w:i/>
          <w:iCs/>
          <w:color w:val="000000"/>
          <w:sz w:val="22"/>
          <w:szCs w:val="22"/>
          <w:lang w:val="es-ES_tradnl"/>
        </w:rPr>
        <w:t xml:space="preserve">pro </w:t>
      </w:r>
      <w:proofErr w:type="spellStart"/>
      <w:r w:rsidRPr="00B65CC6">
        <w:rPr>
          <w:rFonts w:ascii="Arial" w:eastAsia="Arial" w:hAnsi="Arial" w:cs="Arial"/>
          <w:i/>
          <w:iCs/>
          <w:color w:val="000000"/>
          <w:sz w:val="22"/>
          <w:szCs w:val="22"/>
          <w:lang w:val="es-ES_tradnl"/>
        </w:rPr>
        <w:t>libertate</w:t>
      </w:r>
      <w:proofErr w:type="spellEnd"/>
      <w:r w:rsidRPr="00B65CC6">
        <w:rPr>
          <w:rFonts w:ascii="Arial" w:eastAsia="Arial" w:hAnsi="Arial" w:cs="Arial"/>
          <w:color w:val="000000"/>
          <w:sz w:val="22"/>
          <w:szCs w:val="22"/>
          <w:lang w:val="es-ES_tradnl"/>
        </w:rPr>
        <w:t xml:space="preserve"> es el que debe dirigir la interpretación de las disposiciones normativas que consagran restricciones de derechos, como sucede con las causales de inhabilidad e incompatibilidad en la contratación estatal.</w:t>
      </w:r>
    </w:p>
    <w:p w14:paraId="3779C5A5" w14:textId="006C62AD" w:rsidR="00DD6D5C" w:rsidRPr="009C3A2B" w:rsidRDefault="00DD6D5C" w:rsidP="00DD6D5C">
      <w:pPr>
        <w:spacing w:line="276" w:lineRule="auto"/>
        <w:ind w:firstLine="708"/>
        <w:jc w:val="both"/>
        <w:rPr>
          <w:rFonts w:ascii="Arial" w:hAnsi="Arial" w:cs="Arial"/>
          <w:color w:val="000000" w:themeColor="text1"/>
          <w:sz w:val="22"/>
          <w:lang w:val="es-ES"/>
        </w:rPr>
      </w:pPr>
      <w:r>
        <w:rPr>
          <w:rFonts w:ascii="Arial" w:eastAsia="Arial" w:hAnsi="Arial" w:cs="Arial"/>
          <w:color w:val="000000"/>
          <w:sz w:val="22"/>
          <w:szCs w:val="22"/>
          <w:lang w:val="es-ES_tradnl"/>
        </w:rPr>
        <w:t xml:space="preserve">Además, </w:t>
      </w:r>
      <w:r w:rsidR="00C6012C">
        <w:rPr>
          <w:rFonts w:ascii="Arial" w:eastAsia="Arial" w:hAnsi="Arial" w:cs="Arial"/>
          <w:color w:val="000000"/>
          <w:sz w:val="22"/>
          <w:szCs w:val="22"/>
          <w:lang w:val="es-ES_tradnl"/>
        </w:rPr>
        <w:t>en relación con</w:t>
      </w:r>
      <w:r>
        <w:rPr>
          <w:rFonts w:ascii="Arial" w:eastAsia="Arial" w:hAnsi="Arial" w:cs="Arial"/>
          <w:color w:val="000000"/>
          <w:sz w:val="22"/>
          <w:szCs w:val="22"/>
          <w:lang w:val="es-ES_tradnl"/>
        </w:rPr>
        <w:t xml:space="preserve"> la determinación de las causales de inhabilidad e incompatibilidad, la</w:t>
      </w:r>
      <w:r w:rsidRPr="009C3A2B">
        <w:rPr>
          <w:rFonts w:ascii="Arial" w:hAnsi="Arial" w:cs="Arial"/>
          <w:color w:val="000000" w:themeColor="text1"/>
          <w:sz w:val="22"/>
        </w:rPr>
        <w:t xml:space="preserve"> Corte Constitucional ha resaltado que la competencia para determinar qué hechos o situaciones generan inhabilidad para contratar con el Estado la tiene el legislador, pues este régimen es un aspecto propio del Estatuto General de la Contratación Pública, cuya expedición compete al Congreso de la República, conforme al artículo 150 de la Constitución Política, y que en esta materia rige el principio de legalidad:</w:t>
      </w:r>
    </w:p>
    <w:p w14:paraId="55A02B13" w14:textId="77777777" w:rsidR="00DD6D5C" w:rsidRPr="009C3A2B" w:rsidRDefault="00DD6D5C" w:rsidP="00DD6D5C">
      <w:pPr>
        <w:pStyle w:val="Sinespaciado"/>
        <w:tabs>
          <w:tab w:val="left" w:pos="1532"/>
        </w:tabs>
        <w:spacing w:line="276" w:lineRule="auto"/>
        <w:jc w:val="both"/>
        <w:rPr>
          <w:rFonts w:ascii="Arial" w:hAnsi="Arial" w:cs="Arial"/>
          <w:color w:val="000000" w:themeColor="text1"/>
          <w:sz w:val="22"/>
        </w:rPr>
      </w:pPr>
      <w:r w:rsidRPr="009C3A2B">
        <w:rPr>
          <w:rFonts w:ascii="Arial" w:hAnsi="Arial" w:cs="Arial"/>
          <w:color w:val="000000" w:themeColor="text1"/>
        </w:rPr>
        <w:tab/>
      </w:r>
    </w:p>
    <w:p w14:paraId="7CA15376" w14:textId="77777777" w:rsidR="00DD6D5C" w:rsidRPr="009C3A2B" w:rsidRDefault="00DD6D5C" w:rsidP="00DD6D5C">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w:t>
      </w:r>
      <w:r w:rsidRPr="009C3A2B">
        <w:rPr>
          <w:rFonts w:ascii="Arial" w:hAnsi="Arial" w:cs="Arial"/>
          <w:color w:val="000000" w:themeColor="text1"/>
          <w:sz w:val="21"/>
          <w:szCs w:val="21"/>
        </w:rPr>
        <w:lastRenderedPageBreak/>
        <w:t xml:space="preserve">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9C3A2B">
        <w:rPr>
          <w:rFonts w:ascii="Arial" w:hAnsi="Arial" w:cs="Arial"/>
          <w:color w:val="000000" w:themeColor="text1"/>
          <w:sz w:val="21"/>
          <w:szCs w:val="21"/>
        </w:rPr>
        <w:t>libertate</w:t>
      </w:r>
      <w:proofErr w:type="spellEnd"/>
      <w:r w:rsidRPr="009C3A2B">
        <w:rPr>
          <w:rFonts w:ascii="Arial" w:hAnsi="Arial" w:cs="Arial"/>
          <w:color w:val="000000" w:themeColor="text1"/>
          <w:sz w:val="21"/>
          <w:szCs w:val="21"/>
        </w:rPr>
        <w:t xml:space="preserve">, sino el de legalidad, el que ordena que la función pública debe someterse estrictamente a lo que disponga la Constitución y la ley (CP art. 6). </w:t>
      </w:r>
    </w:p>
    <w:p w14:paraId="540BD4B8" w14:textId="059C03C9" w:rsidR="00DD6D5C" w:rsidRPr="009C3A2B" w:rsidRDefault="00DD6D5C" w:rsidP="00AC058F">
      <w:pPr>
        <w:spacing w:after="120"/>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w:t>
      </w:r>
    </w:p>
    <w:p w14:paraId="60A858D8" w14:textId="77777777" w:rsidR="00DD6D5C" w:rsidRPr="009C3A2B" w:rsidRDefault="00DD6D5C" w:rsidP="00DD6D5C">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 xml:space="preserve">Se comprende con facilidad que el régimen de inhabilidades e </w:t>
      </w:r>
      <w:proofErr w:type="gramStart"/>
      <w:r w:rsidRPr="009C3A2B">
        <w:rPr>
          <w:rFonts w:ascii="Arial" w:hAnsi="Arial" w:cs="Arial"/>
          <w:color w:val="000000" w:themeColor="text1"/>
          <w:sz w:val="21"/>
          <w:szCs w:val="21"/>
        </w:rPr>
        <w:t>incompatibilidades,</w:t>
      </w:r>
      <w:proofErr w:type="gramEnd"/>
      <w:r w:rsidRPr="009C3A2B">
        <w:rPr>
          <w:rFonts w:ascii="Arial" w:hAnsi="Arial" w:cs="Arial"/>
          <w:color w:val="000000" w:themeColor="text1"/>
          <w:sz w:val="21"/>
          <w:szCs w:val="21"/>
        </w:rPr>
        <w:t xml:space="preserve"> corresponde a una materia de normal y obligada inclusión en un estatuto contractual. El legislador, a quien se ha confiado expedir el indicado estatuto, tiene, pues, competencia para establecerlo (CP art. 150)</w:t>
      </w:r>
      <w:r w:rsidRPr="009C3A2B">
        <w:rPr>
          <w:rStyle w:val="Refdenotaalpie"/>
          <w:rFonts w:ascii="Arial" w:hAnsi="Arial" w:cs="Arial"/>
          <w:color w:val="000000" w:themeColor="text1"/>
          <w:sz w:val="21"/>
          <w:szCs w:val="21"/>
        </w:rPr>
        <w:footnoteReference w:id="10"/>
      </w:r>
      <w:r w:rsidRPr="009C3A2B">
        <w:rPr>
          <w:rFonts w:ascii="Arial" w:hAnsi="Arial" w:cs="Arial"/>
          <w:color w:val="000000" w:themeColor="text1"/>
          <w:sz w:val="21"/>
          <w:szCs w:val="21"/>
        </w:rPr>
        <w:t>.</w:t>
      </w:r>
    </w:p>
    <w:p w14:paraId="35654032" w14:textId="77777777" w:rsidR="00DD6D5C" w:rsidRPr="009C3A2B" w:rsidRDefault="00DD6D5C" w:rsidP="00DD6D5C">
      <w:pPr>
        <w:pStyle w:val="Sinespaciado"/>
        <w:spacing w:line="276" w:lineRule="auto"/>
        <w:jc w:val="both"/>
        <w:rPr>
          <w:rFonts w:ascii="Arial" w:hAnsi="Arial" w:cs="Arial"/>
          <w:color w:val="000000" w:themeColor="text1"/>
          <w:sz w:val="22"/>
          <w:lang w:val="es-ES"/>
        </w:rPr>
      </w:pPr>
    </w:p>
    <w:p w14:paraId="085C7CF5" w14:textId="77777777" w:rsidR="00DD6D5C" w:rsidRPr="009C3A2B" w:rsidRDefault="00DD6D5C" w:rsidP="00AC058F">
      <w:pPr>
        <w:spacing w:after="120" w:line="276" w:lineRule="auto"/>
        <w:ind w:firstLine="709"/>
        <w:jc w:val="both"/>
        <w:rPr>
          <w:rFonts w:ascii="Arial" w:hAnsi="Arial" w:cs="Arial"/>
          <w:color w:val="000000" w:themeColor="text1"/>
          <w:sz w:val="22"/>
        </w:rPr>
      </w:pPr>
      <w:r w:rsidRPr="009C3A2B">
        <w:rPr>
          <w:rFonts w:ascii="Arial" w:hAnsi="Arial" w:cs="Arial"/>
          <w:color w:val="000000" w:themeColor="text1"/>
          <w:sz w:val="22"/>
        </w:rPr>
        <w:t xml:space="preserve">También conviene acudir a la distinción que se ha trazado en torno a la fuente de las inhabilidades, las cuales han sido clasificadas en dos grupos: i) inhabilidades-sanción y </w:t>
      </w:r>
      <w:proofErr w:type="spellStart"/>
      <w:r w:rsidRPr="009C3A2B">
        <w:rPr>
          <w:rFonts w:ascii="Arial" w:hAnsi="Arial" w:cs="Arial"/>
          <w:color w:val="000000" w:themeColor="text1"/>
          <w:sz w:val="22"/>
        </w:rPr>
        <w:t>ii</w:t>
      </w:r>
      <w:proofErr w:type="spellEnd"/>
      <w:r w:rsidRPr="009C3A2B">
        <w:rPr>
          <w:rFonts w:ascii="Arial" w:hAnsi="Arial" w:cs="Arial"/>
          <w:color w:val="000000" w:themeColor="text1"/>
          <w:sz w:val="22"/>
        </w:rPr>
        <w:t>) inhabilidades-requisito. En el primer grupo se encuentran las inhabilidades que surgen como consecuencia de un proceso sancionatorio, en los ámbitos penal, disciplinario, contravencional o de punición por indignidad política –pérdida de investidura–. En el segundo grupo están aquellas que no devienen de un proceso sancionatorio sino de condiciones propias de la persona y buscan garantizar la moralidad, la imparcialidad, la eficacia y la transparencia</w:t>
      </w:r>
      <w:r w:rsidRPr="009C3A2B">
        <w:rPr>
          <w:rStyle w:val="Refdenotaalpie"/>
          <w:rFonts w:ascii="Arial" w:hAnsi="Arial" w:cs="Arial"/>
          <w:color w:val="000000" w:themeColor="text1"/>
          <w:sz w:val="22"/>
        </w:rPr>
        <w:footnoteReference w:id="11"/>
      </w:r>
      <w:r w:rsidRPr="009C3A2B">
        <w:rPr>
          <w:rFonts w:ascii="Arial" w:hAnsi="Arial" w:cs="Arial"/>
          <w:color w:val="000000" w:themeColor="text1"/>
          <w:sz w:val="22"/>
        </w:rPr>
        <w:t xml:space="preserve">. </w:t>
      </w:r>
    </w:p>
    <w:p w14:paraId="5F327EB8" w14:textId="0C561B83" w:rsidR="00DD6D5C" w:rsidRPr="009C3A2B" w:rsidRDefault="00DD6D5C" w:rsidP="00AC058F">
      <w:pPr>
        <w:spacing w:after="120" w:line="276" w:lineRule="auto"/>
        <w:ind w:firstLine="709"/>
        <w:jc w:val="both"/>
        <w:rPr>
          <w:rFonts w:ascii="Arial" w:hAnsi="Arial" w:cs="Arial"/>
          <w:color w:val="000000" w:themeColor="text1"/>
          <w:sz w:val="22"/>
          <w:lang w:val="es-ES"/>
        </w:rPr>
      </w:pPr>
      <w:r w:rsidRPr="009C3A2B">
        <w:rPr>
          <w:rFonts w:ascii="Arial" w:hAnsi="Arial" w:cs="Arial"/>
          <w:color w:val="000000" w:themeColor="text1"/>
          <w:sz w:val="22"/>
          <w:lang w:val="es-ES"/>
        </w:rPr>
        <w:t xml:space="preserve">A manera de ejemplo, en materia contractual, los literales c), d) y j) del numeral 1 del artículo 8 de la Ley 80 de </w:t>
      </w:r>
      <w:proofErr w:type="gramStart"/>
      <w:r w:rsidRPr="009C3A2B">
        <w:rPr>
          <w:rFonts w:ascii="Arial" w:hAnsi="Arial" w:cs="Arial"/>
          <w:color w:val="000000" w:themeColor="text1"/>
          <w:sz w:val="22"/>
          <w:lang w:val="es-ES"/>
        </w:rPr>
        <w:t>1993  establecen</w:t>
      </w:r>
      <w:proofErr w:type="gramEnd"/>
      <w:r w:rsidRPr="009C3A2B">
        <w:rPr>
          <w:rFonts w:ascii="Arial" w:hAnsi="Arial" w:cs="Arial"/>
          <w:color w:val="000000" w:themeColor="text1"/>
          <w:sz w:val="22"/>
          <w:lang w:val="es-ES"/>
        </w:rPr>
        <w:t xml:space="preserve"> inhabilidades-sanción, porque la prohibición para contratar con el Estado en esos eventos es una consecuencia de una declaratoria de responsabilidad que surge luego de un proceso sancionatorio –administrativo, disciplinario o penal–</w:t>
      </w:r>
      <w:r w:rsidR="007820C9">
        <w:rPr>
          <w:rFonts w:ascii="Arial" w:hAnsi="Arial" w:cs="Arial"/>
          <w:color w:val="000000" w:themeColor="text1"/>
          <w:sz w:val="22"/>
          <w:lang w:val="es-ES"/>
        </w:rPr>
        <w:t>. A su turno,</w:t>
      </w:r>
      <w:r w:rsidRPr="009C3A2B">
        <w:rPr>
          <w:rFonts w:ascii="Arial" w:hAnsi="Arial" w:cs="Arial"/>
          <w:color w:val="000000" w:themeColor="text1"/>
          <w:sz w:val="22"/>
          <w:lang w:val="es-ES"/>
        </w:rPr>
        <w:t xml:space="preserv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En ambos eventos, la inhabilidad tiene como fuente una situación o un hecho propio del proponente –una conducta o una condición– y no de su oferta. La inhabilidad surge, entre otros, por su grado de parentesco o afinidad, por su condición de servidor público o porque sobre él existe una declaratoria de responsabilidad en firme –penal, disciplinaria o sancionatoria contractual–.</w:t>
      </w:r>
    </w:p>
    <w:p w14:paraId="7F139493" w14:textId="5DFC8A65" w:rsidR="00DD6D5C" w:rsidRDefault="00DD6D5C" w:rsidP="00AC058F">
      <w:pPr>
        <w:spacing w:after="120" w:line="276" w:lineRule="auto"/>
        <w:ind w:firstLine="720"/>
        <w:jc w:val="both"/>
        <w:rPr>
          <w:rFonts w:ascii="Arial" w:hAnsi="Arial" w:cs="Arial"/>
          <w:color w:val="000000" w:themeColor="text1"/>
          <w:sz w:val="22"/>
          <w:lang w:val="es-ES_tradnl"/>
        </w:rPr>
      </w:pPr>
      <w:r w:rsidRPr="009C3A2B">
        <w:rPr>
          <w:rFonts w:ascii="Arial" w:hAnsi="Arial" w:cs="Arial"/>
          <w:color w:val="000000" w:themeColor="text1"/>
          <w:sz w:val="22"/>
          <w:lang w:val="es-ES_tradnl"/>
        </w:rPr>
        <w:t>Al margen de la clasificación mencionada, el carácter reconocidamente taxativo y restrictivo de</w:t>
      </w:r>
      <w:r w:rsidR="00D62CFF">
        <w:rPr>
          <w:rFonts w:ascii="Arial" w:hAnsi="Arial" w:cs="Arial"/>
          <w:color w:val="000000" w:themeColor="text1"/>
          <w:sz w:val="22"/>
          <w:lang w:val="es-ES_tradnl"/>
        </w:rPr>
        <w:t>l</w:t>
      </w:r>
      <w:r w:rsidRPr="009C3A2B">
        <w:rPr>
          <w:rFonts w:ascii="Arial" w:hAnsi="Arial" w:cs="Arial"/>
          <w:color w:val="000000" w:themeColor="text1"/>
          <w:sz w:val="22"/>
          <w:lang w:val="es-ES_tradnl"/>
        </w:rPr>
        <w:t xml:space="preserve"> régimen de inhabilidades obedece a la necesidad de salvaguardar el interés general inherente en la contratación pública, de forma que implique el menor sacrificio </w:t>
      </w:r>
      <w:r w:rsidRPr="009C3A2B">
        <w:rPr>
          <w:rFonts w:ascii="Arial" w:hAnsi="Arial" w:cs="Arial"/>
          <w:color w:val="000000" w:themeColor="text1"/>
          <w:sz w:val="22"/>
          <w:lang w:val="es-ES_tradnl"/>
        </w:rPr>
        <w:lastRenderedPageBreak/>
        <w:t xml:space="preserve">posible al derecho de igualdad y de reconocimiento de la personalidad jurídica de quienes aspiran a contratar con el Estado. </w:t>
      </w:r>
    </w:p>
    <w:p w14:paraId="57E08EF7" w14:textId="07975FED" w:rsidR="00C202E9" w:rsidRPr="00B65CC6" w:rsidRDefault="00C202E9" w:rsidP="00DD6D5C">
      <w:pPr>
        <w:spacing w:line="276" w:lineRule="auto"/>
        <w:ind w:firstLine="720"/>
        <w:jc w:val="both"/>
        <w:rPr>
          <w:rFonts w:ascii="Arial" w:eastAsia="Arial" w:hAnsi="Arial" w:cs="Arial"/>
          <w:color w:val="000000"/>
          <w:sz w:val="22"/>
          <w:szCs w:val="22"/>
          <w:lang w:val="es-ES_tradnl"/>
        </w:rPr>
      </w:pPr>
      <w:r>
        <w:rPr>
          <w:rFonts w:ascii="Arial" w:eastAsia="Arial" w:hAnsi="Arial" w:cs="Arial"/>
          <w:color w:val="000000"/>
          <w:sz w:val="22"/>
          <w:szCs w:val="22"/>
          <w:lang w:val="es-ES_tradnl"/>
        </w:rPr>
        <w:t xml:space="preserve">En </w:t>
      </w:r>
      <w:r w:rsidR="00012A01">
        <w:rPr>
          <w:rFonts w:ascii="Arial" w:eastAsia="Arial" w:hAnsi="Arial" w:cs="Arial"/>
          <w:color w:val="000000"/>
          <w:sz w:val="22"/>
          <w:szCs w:val="22"/>
          <w:lang w:val="es-ES_tradnl"/>
        </w:rPr>
        <w:t>igual sentido</w:t>
      </w:r>
      <w:r>
        <w:rPr>
          <w:rFonts w:ascii="Arial" w:eastAsia="Arial" w:hAnsi="Arial" w:cs="Arial"/>
          <w:color w:val="000000"/>
          <w:sz w:val="22"/>
          <w:szCs w:val="22"/>
          <w:lang w:val="es-ES_tradnl"/>
        </w:rPr>
        <w:t>, como se desarrollará a profundidad en el siguiente acápite, el legislador no contempló como causal de inhabilidad o incompatibilidad</w:t>
      </w:r>
      <w:r w:rsidR="00E7512E">
        <w:rPr>
          <w:rFonts w:ascii="Arial" w:eastAsia="Arial" w:hAnsi="Arial" w:cs="Arial"/>
          <w:color w:val="000000"/>
          <w:sz w:val="22"/>
          <w:szCs w:val="22"/>
          <w:lang w:val="es-ES_tradnl"/>
        </w:rPr>
        <w:t xml:space="preserve">, ni estableció una limitación a la capacidad jurídica frente a las personas jurídicas que no cumplieran con el deber establecido en el artículo 17 de la Ley 842 de 2003, como sí sucede con otras disposiciones similares </w:t>
      </w:r>
      <w:r w:rsidR="00EC61AB">
        <w:rPr>
          <w:rFonts w:ascii="Arial" w:eastAsia="Arial" w:hAnsi="Arial" w:cs="Arial"/>
          <w:color w:val="000000"/>
          <w:sz w:val="22"/>
          <w:szCs w:val="22"/>
          <w:lang w:val="es-ES_tradnl"/>
        </w:rPr>
        <w:t>establecidas en</w:t>
      </w:r>
      <w:r w:rsidR="00E7512E">
        <w:rPr>
          <w:rFonts w:ascii="Arial" w:eastAsia="Arial" w:hAnsi="Arial" w:cs="Arial"/>
          <w:color w:val="000000"/>
          <w:sz w:val="22"/>
          <w:szCs w:val="22"/>
          <w:lang w:val="es-ES_tradnl"/>
        </w:rPr>
        <w:t xml:space="preserve"> dicha ley.</w:t>
      </w:r>
    </w:p>
    <w:p w14:paraId="43B7A0E4" w14:textId="6EE11758" w:rsidR="00B65CC6" w:rsidRDefault="00B65CC6" w:rsidP="00EE2091">
      <w:pPr>
        <w:spacing w:line="276" w:lineRule="auto"/>
        <w:jc w:val="both"/>
        <w:rPr>
          <w:rFonts w:ascii="Arial" w:eastAsia="Arial" w:hAnsi="Arial" w:cs="Arial"/>
          <w:color w:val="000000"/>
          <w:sz w:val="22"/>
          <w:szCs w:val="22"/>
          <w:lang w:val="es-ES_tradnl"/>
        </w:rPr>
      </w:pPr>
    </w:p>
    <w:p w14:paraId="52416773" w14:textId="20355FC3" w:rsidR="000341A6" w:rsidRPr="000341A6" w:rsidRDefault="000341A6" w:rsidP="000341A6">
      <w:pPr>
        <w:spacing w:line="276" w:lineRule="auto"/>
        <w:jc w:val="both"/>
        <w:rPr>
          <w:rFonts w:ascii="Arial" w:eastAsia="Arial" w:hAnsi="Arial" w:cs="Arial"/>
          <w:b/>
          <w:color w:val="000000"/>
          <w:sz w:val="22"/>
          <w:szCs w:val="22"/>
        </w:rPr>
      </w:pPr>
      <w:r>
        <w:rPr>
          <w:rFonts w:ascii="Arial" w:eastAsia="Arial" w:hAnsi="Arial" w:cs="Arial"/>
          <w:b/>
          <w:color w:val="000000"/>
          <w:sz w:val="22"/>
          <w:szCs w:val="22"/>
        </w:rPr>
        <w:t>2.</w:t>
      </w:r>
      <w:r w:rsidR="00E7512E">
        <w:rPr>
          <w:rFonts w:ascii="Arial" w:eastAsia="Arial" w:hAnsi="Arial" w:cs="Arial"/>
          <w:b/>
          <w:color w:val="000000"/>
          <w:sz w:val="22"/>
          <w:szCs w:val="22"/>
        </w:rPr>
        <w:t>2</w:t>
      </w:r>
      <w:r>
        <w:rPr>
          <w:rFonts w:ascii="Arial" w:eastAsia="Arial" w:hAnsi="Arial" w:cs="Arial"/>
          <w:b/>
          <w:color w:val="000000"/>
          <w:sz w:val="22"/>
          <w:szCs w:val="22"/>
        </w:rPr>
        <w:t xml:space="preserve"> </w:t>
      </w:r>
      <w:r w:rsidR="00E7512E">
        <w:rPr>
          <w:rFonts w:ascii="Arial" w:eastAsia="Arial" w:hAnsi="Arial" w:cs="Arial"/>
          <w:b/>
          <w:color w:val="000000"/>
          <w:sz w:val="22"/>
          <w:szCs w:val="22"/>
        </w:rPr>
        <w:t>El deber contemplado en el artículo 17 de la Ley 842 de 2003</w:t>
      </w:r>
    </w:p>
    <w:p w14:paraId="322A78AD" w14:textId="21703876" w:rsidR="000341A6" w:rsidRDefault="000341A6" w:rsidP="000341A6">
      <w:pPr>
        <w:spacing w:line="276" w:lineRule="auto"/>
        <w:jc w:val="both"/>
        <w:rPr>
          <w:rFonts w:ascii="Arial" w:eastAsia="Arial" w:hAnsi="Arial" w:cs="Arial"/>
          <w:b/>
          <w:color w:val="000000"/>
          <w:sz w:val="22"/>
          <w:szCs w:val="22"/>
        </w:rPr>
      </w:pPr>
    </w:p>
    <w:p w14:paraId="6932D038" w14:textId="15AAC999" w:rsidR="00E7512E" w:rsidRDefault="00E7512E" w:rsidP="00AC058F">
      <w:pPr>
        <w:spacing w:after="120" w:line="276" w:lineRule="auto"/>
        <w:jc w:val="both"/>
        <w:rPr>
          <w:rFonts w:ascii="Arial" w:eastAsia="Arial" w:hAnsi="Arial" w:cs="Arial"/>
          <w:bCs/>
          <w:color w:val="000000"/>
          <w:sz w:val="22"/>
          <w:szCs w:val="22"/>
        </w:rPr>
      </w:pPr>
      <w:r>
        <w:rPr>
          <w:rFonts w:ascii="Arial" w:eastAsia="Arial" w:hAnsi="Arial" w:cs="Arial"/>
          <w:bCs/>
          <w:color w:val="000000"/>
          <w:sz w:val="22"/>
          <w:szCs w:val="22"/>
        </w:rPr>
        <w:t xml:space="preserve">La Agencia Nacional de Contratación Pública – Colombia Compra Eficiente se pronunció en el concepto C–716 del 30 de octubre de 2020, sobre el artículo 17 de la Ley 842 de 2003, por lo que en esta ocasión se reiteran algunas de las consideraciones realizadas en dicho concepto. </w:t>
      </w:r>
    </w:p>
    <w:p w14:paraId="61CFF70E" w14:textId="607F30DB" w:rsidR="00E7512E" w:rsidRDefault="00E7512E" w:rsidP="00AC058F">
      <w:pPr>
        <w:spacing w:line="276" w:lineRule="auto"/>
        <w:jc w:val="both"/>
        <w:rPr>
          <w:rFonts w:ascii="Arial" w:eastAsia="Arial" w:hAnsi="Arial" w:cs="Arial"/>
          <w:bCs/>
          <w:color w:val="000000"/>
          <w:sz w:val="22"/>
          <w:szCs w:val="22"/>
        </w:rPr>
      </w:pPr>
      <w:r>
        <w:rPr>
          <w:rFonts w:ascii="Arial" w:eastAsia="Arial" w:hAnsi="Arial" w:cs="Arial"/>
          <w:bCs/>
          <w:color w:val="000000"/>
          <w:sz w:val="22"/>
          <w:szCs w:val="22"/>
        </w:rPr>
        <w:tab/>
        <w:t>Dicha disposición, en su inciso primero, establece una obligación frente a ciertas personas jurídicas y en el parágrafo prescribe la consecuencia jurídica de incumplir dicho deber. Literalmente la norma prescribe:</w:t>
      </w:r>
    </w:p>
    <w:p w14:paraId="0A823674" w14:textId="406FA681" w:rsidR="00E7512E" w:rsidRDefault="00E7512E" w:rsidP="00AC058F">
      <w:pPr>
        <w:spacing w:line="276" w:lineRule="auto"/>
        <w:jc w:val="both"/>
        <w:rPr>
          <w:rFonts w:ascii="Arial" w:eastAsia="Arial" w:hAnsi="Arial" w:cs="Arial"/>
          <w:bCs/>
          <w:color w:val="000000"/>
          <w:sz w:val="22"/>
          <w:szCs w:val="22"/>
        </w:rPr>
      </w:pPr>
    </w:p>
    <w:p w14:paraId="1BE3D711" w14:textId="77777777" w:rsidR="00E7512E" w:rsidRDefault="00E7512E" w:rsidP="00E7512E">
      <w:pPr>
        <w:ind w:left="709" w:right="709"/>
        <w:jc w:val="both"/>
        <w:rPr>
          <w:rFonts w:ascii="Arial" w:hAnsi="Arial" w:cs="Arial"/>
          <w:color w:val="000000" w:themeColor="text1"/>
          <w:sz w:val="21"/>
          <w:szCs w:val="21"/>
        </w:rPr>
      </w:pPr>
      <w:r w:rsidRPr="00D37721">
        <w:rPr>
          <w:rFonts w:ascii="Arial" w:hAnsi="Arial" w:cs="Arial"/>
          <w:color w:val="000000" w:themeColor="text1"/>
          <w:sz w:val="21"/>
          <w:szCs w:val="21"/>
        </w:rPr>
        <w:t>A</w:t>
      </w:r>
      <w:r>
        <w:rPr>
          <w:rFonts w:ascii="Arial" w:hAnsi="Arial" w:cs="Arial"/>
          <w:color w:val="000000" w:themeColor="text1"/>
          <w:sz w:val="21"/>
          <w:szCs w:val="21"/>
        </w:rPr>
        <w:t>rtículo</w:t>
      </w:r>
      <w:r w:rsidRPr="00D37721">
        <w:rPr>
          <w:rFonts w:ascii="Arial" w:hAnsi="Arial" w:cs="Arial"/>
          <w:color w:val="000000" w:themeColor="text1"/>
          <w:sz w:val="21"/>
          <w:szCs w:val="21"/>
        </w:rPr>
        <w:t xml:space="preserve"> 17. </w:t>
      </w:r>
      <w:r>
        <w:rPr>
          <w:rFonts w:ascii="Arial" w:hAnsi="Arial" w:cs="Arial"/>
          <w:color w:val="000000" w:themeColor="text1"/>
          <w:sz w:val="21"/>
          <w:szCs w:val="21"/>
        </w:rPr>
        <w:t>R</w:t>
      </w:r>
      <w:r w:rsidRPr="00D37721">
        <w:rPr>
          <w:rFonts w:ascii="Arial" w:hAnsi="Arial" w:cs="Arial"/>
          <w:color w:val="000000" w:themeColor="text1"/>
          <w:sz w:val="21"/>
          <w:szCs w:val="21"/>
        </w:rPr>
        <w:t>esponsabilidad de las personas jurídicas y de sus representantes. La sociedad, firma, empresa u organización profesional, cuyas actividades comprendan, en forma exclusiva o parcial, alguna o algunas de aquellas que correspondan al ejercicio de la ingeniería, de sus profesiones afines o de sus profesiones auxiliares, está obligada a incluir en su nómina permanente, como mínimo, a un profesional matriculado en la carrera correspondiente al objeto social de la respectiva persona jurídica.</w:t>
      </w:r>
    </w:p>
    <w:p w14:paraId="0EBE5A35" w14:textId="77777777" w:rsidR="00E7512E" w:rsidRPr="00D37721" w:rsidRDefault="00E7512E" w:rsidP="00E7512E">
      <w:pPr>
        <w:ind w:left="709" w:right="709"/>
        <w:jc w:val="both"/>
        <w:rPr>
          <w:rFonts w:ascii="Arial" w:hAnsi="Arial" w:cs="Arial"/>
          <w:color w:val="000000" w:themeColor="text1"/>
          <w:sz w:val="21"/>
          <w:szCs w:val="21"/>
        </w:rPr>
      </w:pPr>
    </w:p>
    <w:p w14:paraId="37974B1E" w14:textId="77777777" w:rsidR="00E7512E" w:rsidRDefault="00E7512E" w:rsidP="00E7512E">
      <w:pPr>
        <w:ind w:left="709" w:right="709"/>
        <w:jc w:val="both"/>
        <w:rPr>
          <w:rFonts w:ascii="Arial" w:hAnsi="Arial" w:cs="Arial"/>
          <w:color w:val="000000" w:themeColor="text1"/>
          <w:sz w:val="21"/>
          <w:szCs w:val="21"/>
        </w:rPr>
      </w:pPr>
      <w:r>
        <w:rPr>
          <w:rFonts w:ascii="Arial" w:hAnsi="Arial" w:cs="Arial"/>
          <w:color w:val="000000" w:themeColor="text1"/>
          <w:sz w:val="21"/>
          <w:szCs w:val="21"/>
        </w:rPr>
        <w:t>Parágrafo</w:t>
      </w:r>
      <w:r w:rsidRPr="00D37721">
        <w:rPr>
          <w:rFonts w:ascii="Arial" w:hAnsi="Arial" w:cs="Arial"/>
          <w:color w:val="000000" w:themeColor="text1"/>
          <w:sz w:val="21"/>
          <w:szCs w:val="21"/>
        </w:rPr>
        <w:t>. Al representante legal de la persona jurídica que omita el cumplimiento de lo dispuesto en el presente artículo se le aplicarán las sanciones previstas para el ejercicio ilegal de profesión y oficio reglamentado, mediante la aplicación del procedimiento establecido para las contravenciones especiales de policía o aquel que lo sustituya.</w:t>
      </w:r>
    </w:p>
    <w:p w14:paraId="422989A7" w14:textId="77777777" w:rsidR="00E7512E" w:rsidRDefault="00E7512E" w:rsidP="00E7512E">
      <w:pPr>
        <w:ind w:right="709"/>
        <w:jc w:val="both"/>
        <w:rPr>
          <w:rFonts w:ascii="Arial" w:hAnsi="Arial" w:cs="Arial"/>
          <w:color w:val="000000" w:themeColor="text1"/>
          <w:sz w:val="21"/>
          <w:szCs w:val="21"/>
        </w:rPr>
      </w:pPr>
    </w:p>
    <w:p w14:paraId="4E9297A5" w14:textId="744DD3D6" w:rsidR="00E7512E" w:rsidRDefault="00E7512E" w:rsidP="00E7512E">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r>
      <w:r w:rsidR="00950F16">
        <w:rPr>
          <w:rFonts w:ascii="Arial" w:hAnsi="Arial" w:cs="Arial"/>
          <w:sz w:val="22"/>
          <w:szCs w:val="20"/>
        </w:rPr>
        <w:t xml:space="preserve">Como se </w:t>
      </w:r>
      <w:r w:rsidR="00950F16" w:rsidRPr="00EA3418">
        <w:rPr>
          <w:rFonts w:ascii="Arial" w:hAnsi="Arial" w:cs="Arial"/>
          <w:sz w:val="22"/>
          <w:szCs w:val="20"/>
        </w:rPr>
        <w:t>indicó, el inciso primero de la norma establece</w:t>
      </w:r>
      <w:r w:rsidRPr="00EA3418">
        <w:rPr>
          <w:rFonts w:ascii="Arial" w:hAnsi="Arial" w:cs="Arial"/>
          <w:sz w:val="22"/>
          <w:szCs w:val="20"/>
        </w:rPr>
        <w:t xml:space="preserve"> el deber para las personas jurídicas, cuyas actividades correspondan al ejercicio de la ingeniería, de incluir en su «nómina permanente» al menos a un profesional matriculado en la carrera correspondiente al objeto social de la persona jurídica. Sin embargo, pese a la existencia de dicho deber, no establece una consecuencia particular frente a su incidencia en los procedimientos de selección adelantados por las entidades estatales, como sería la imposibilidad de participar en </w:t>
      </w:r>
      <w:r w:rsidR="004B2FF2" w:rsidRPr="00EA3418">
        <w:rPr>
          <w:rFonts w:ascii="Arial" w:hAnsi="Arial" w:cs="Arial"/>
          <w:sz w:val="22"/>
          <w:szCs w:val="20"/>
        </w:rPr>
        <w:t>ellos,</w:t>
      </w:r>
      <w:r w:rsidRPr="00EA3418">
        <w:rPr>
          <w:rFonts w:ascii="Arial" w:hAnsi="Arial" w:cs="Arial"/>
          <w:sz w:val="22"/>
          <w:szCs w:val="20"/>
        </w:rPr>
        <w:t xml:space="preserve"> ante la inobservancia del cumplimiento de dicha exigencia</w:t>
      </w:r>
      <w:r w:rsidR="004B2FF2" w:rsidRPr="00EA3418">
        <w:rPr>
          <w:rFonts w:ascii="Arial" w:hAnsi="Arial" w:cs="Arial"/>
          <w:sz w:val="22"/>
          <w:szCs w:val="20"/>
        </w:rPr>
        <w:t>,</w:t>
      </w:r>
      <w:r w:rsidRPr="00EA3418">
        <w:rPr>
          <w:rFonts w:ascii="Arial" w:hAnsi="Arial" w:cs="Arial"/>
          <w:sz w:val="22"/>
          <w:szCs w:val="20"/>
        </w:rPr>
        <w:t xml:space="preserve"> o el deber de presentar algún documento para acreditar el cumplimiento de dicha obligación en el desarrollo de tales procesos contractuales.</w:t>
      </w:r>
    </w:p>
    <w:p w14:paraId="3D2AED13" w14:textId="77777777" w:rsidR="002A5CF6" w:rsidRDefault="00E7512E" w:rsidP="00E7512E">
      <w:pPr>
        <w:tabs>
          <w:tab w:val="left" w:pos="709"/>
          <w:tab w:val="left" w:pos="851"/>
        </w:tabs>
        <w:spacing w:after="120" w:line="276" w:lineRule="auto"/>
        <w:jc w:val="both"/>
        <w:rPr>
          <w:rFonts w:ascii="Arial" w:hAnsi="Arial" w:cs="Arial"/>
          <w:sz w:val="22"/>
          <w:szCs w:val="20"/>
        </w:rPr>
      </w:pPr>
      <w:r>
        <w:rPr>
          <w:rFonts w:ascii="Arial" w:hAnsi="Arial" w:cs="Arial"/>
          <w:sz w:val="22"/>
          <w:szCs w:val="20"/>
        </w:rPr>
        <w:lastRenderedPageBreak/>
        <w:tab/>
        <w:t xml:space="preserve">A diferencia de la norma citada, y a modo de ejemplo, el artículo 20 de la misma ley sí tiene una exigencia y relación directa con las propuestas presentadas en los procesos de licitación pública, al exigir que aquellas presentadas en procesos </w:t>
      </w:r>
      <w:r w:rsidRPr="00DA5120">
        <w:rPr>
          <w:rFonts w:ascii="Arial" w:hAnsi="Arial" w:cs="Arial"/>
          <w:sz w:val="22"/>
          <w:szCs w:val="20"/>
        </w:rPr>
        <w:t>cuyo objeto implique el desarrollo de las actividades catalogadas como ejercicio de la ingeniería</w:t>
      </w:r>
      <w:r>
        <w:rPr>
          <w:rFonts w:ascii="Arial" w:hAnsi="Arial" w:cs="Arial"/>
          <w:sz w:val="22"/>
          <w:szCs w:val="20"/>
        </w:rPr>
        <w:t>, deben estar avaladas ‒o abonadas‒ por un ingeniero i</w:t>
      </w:r>
      <w:r w:rsidRPr="00DA5120">
        <w:rPr>
          <w:rFonts w:ascii="Arial" w:hAnsi="Arial" w:cs="Arial"/>
          <w:sz w:val="22"/>
          <w:szCs w:val="20"/>
        </w:rPr>
        <w:t>nscrito y con tarjeta de matrícula profesional en la respectiva rama de la ingeniería</w:t>
      </w:r>
      <w:r>
        <w:rPr>
          <w:rFonts w:ascii="Arial" w:hAnsi="Arial" w:cs="Arial"/>
          <w:sz w:val="22"/>
          <w:szCs w:val="20"/>
        </w:rPr>
        <w:t>. Así, dicha obligación se refiere al cumplimiento de un requisito impuesto por el legislador que deben cumplir los proponentes con la presentación de sus ofertas</w:t>
      </w:r>
      <w:r>
        <w:rPr>
          <w:rStyle w:val="Refdenotaalpie"/>
          <w:rFonts w:ascii="Arial" w:hAnsi="Arial" w:cs="Arial"/>
          <w:sz w:val="22"/>
          <w:szCs w:val="20"/>
        </w:rPr>
        <w:footnoteReference w:id="12"/>
      </w:r>
      <w:r>
        <w:rPr>
          <w:rFonts w:ascii="Arial" w:hAnsi="Arial" w:cs="Arial"/>
          <w:sz w:val="22"/>
          <w:szCs w:val="20"/>
        </w:rPr>
        <w:t xml:space="preserve">. </w:t>
      </w:r>
    </w:p>
    <w:p w14:paraId="68D075D2" w14:textId="0427C683" w:rsidR="00E7512E" w:rsidRDefault="00D068A5" w:rsidP="00E7512E">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r>
      <w:r w:rsidR="00E7512E">
        <w:rPr>
          <w:rFonts w:ascii="Arial" w:hAnsi="Arial" w:cs="Arial"/>
          <w:sz w:val="22"/>
          <w:szCs w:val="20"/>
        </w:rPr>
        <w:t>Por el contrario, retomando el artículo 17 analizado, debe tenerse en cuenta que el parágrafo de la disposición citada establece la consecuencia concreta frente al incumplimiento del deber legal establecido en dicho artículo. Nótese que la consecuencia no se relaciona con la imposibilidad de participar en los procedimientos de selección o la exigencia de acreditar su cumplimiento en dichos procedimientos</w:t>
      </w:r>
      <w:r w:rsidR="00770191">
        <w:rPr>
          <w:rFonts w:ascii="Arial" w:hAnsi="Arial" w:cs="Arial"/>
          <w:sz w:val="22"/>
          <w:szCs w:val="20"/>
        </w:rPr>
        <w:t>,</w:t>
      </w:r>
      <w:r w:rsidR="00E7512E">
        <w:rPr>
          <w:rFonts w:ascii="Arial" w:hAnsi="Arial" w:cs="Arial"/>
          <w:sz w:val="22"/>
          <w:szCs w:val="20"/>
        </w:rPr>
        <w:t xml:space="preserve"> sino que prescribe una sanción concreta para el representante legal de la sociedad que incumpla el deber establecido en la disposición, al señalarse que «se aplicarán las sanciones previstas para el ejercicio ilegal de la profesión y oficio reglamentado».</w:t>
      </w:r>
    </w:p>
    <w:p w14:paraId="2044F42C" w14:textId="77777777" w:rsidR="00E7512E" w:rsidRDefault="00E7512E" w:rsidP="00E7512E">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t>En tal sentido, la consecuencia aparejada al incumplimiento del deber establecido en el artículo 17 se dirige directamente a sancionar al representante legal de la sociedad, sin que se establezca alguna consecuencia frente a la capacidad de la sociedad para participar en procedimientos de selección de contratistas.</w:t>
      </w:r>
    </w:p>
    <w:p w14:paraId="18164B53" w14:textId="6B462E95" w:rsidR="00950F16" w:rsidRDefault="00AC058F" w:rsidP="00E7512E">
      <w:pPr>
        <w:tabs>
          <w:tab w:val="left" w:pos="709"/>
          <w:tab w:val="left" w:pos="851"/>
        </w:tabs>
        <w:spacing w:after="120" w:line="276" w:lineRule="auto"/>
        <w:jc w:val="both"/>
        <w:rPr>
          <w:rFonts w:ascii="Arial" w:hAnsi="Arial" w:cs="Arial"/>
          <w:sz w:val="22"/>
          <w:szCs w:val="20"/>
        </w:rPr>
      </w:pPr>
      <w:r>
        <w:rPr>
          <w:rFonts w:ascii="Arial" w:hAnsi="Arial" w:cs="Arial"/>
          <w:sz w:val="22"/>
          <w:szCs w:val="20"/>
        </w:rPr>
        <w:t>E</w:t>
      </w:r>
      <w:r w:rsidR="00950F16">
        <w:rPr>
          <w:rFonts w:ascii="Arial" w:hAnsi="Arial" w:cs="Arial"/>
          <w:sz w:val="22"/>
          <w:szCs w:val="20"/>
        </w:rPr>
        <w:t xml:space="preserve">n este sentido, salvo que el pliego de condiciones </w:t>
      </w:r>
      <w:r w:rsidR="00A07783">
        <w:rPr>
          <w:rFonts w:ascii="Arial" w:hAnsi="Arial" w:cs="Arial"/>
          <w:sz w:val="22"/>
          <w:szCs w:val="20"/>
        </w:rPr>
        <w:t xml:space="preserve">del proceso respectivo </w:t>
      </w:r>
      <w:r w:rsidR="00950F16">
        <w:rPr>
          <w:rFonts w:ascii="Arial" w:hAnsi="Arial" w:cs="Arial"/>
          <w:sz w:val="22"/>
          <w:szCs w:val="20"/>
        </w:rPr>
        <w:t xml:space="preserve">establezca algún </w:t>
      </w:r>
      <w:r w:rsidR="00A07783">
        <w:rPr>
          <w:rFonts w:ascii="Arial" w:hAnsi="Arial" w:cs="Arial"/>
          <w:sz w:val="22"/>
          <w:szCs w:val="20"/>
        </w:rPr>
        <w:t>requisito</w:t>
      </w:r>
      <w:r w:rsidR="00950F16">
        <w:rPr>
          <w:rFonts w:ascii="Arial" w:hAnsi="Arial" w:cs="Arial"/>
          <w:sz w:val="22"/>
          <w:szCs w:val="20"/>
        </w:rPr>
        <w:t xml:space="preserve"> que </w:t>
      </w:r>
      <w:r w:rsidR="00A07783">
        <w:rPr>
          <w:rFonts w:ascii="Arial" w:hAnsi="Arial" w:cs="Arial"/>
          <w:sz w:val="22"/>
          <w:szCs w:val="20"/>
        </w:rPr>
        <w:t xml:space="preserve">los proponentes </w:t>
      </w:r>
      <w:r w:rsidR="00950F16">
        <w:rPr>
          <w:rFonts w:ascii="Arial" w:hAnsi="Arial" w:cs="Arial"/>
          <w:sz w:val="22"/>
          <w:szCs w:val="20"/>
        </w:rPr>
        <w:t xml:space="preserve">deban cumplir en relación con dicha obligación, no es posible que de la norma se interprete que los proponentes que incumplan </w:t>
      </w:r>
      <w:r w:rsidR="00A07783">
        <w:rPr>
          <w:rFonts w:ascii="Arial" w:hAnsi="Arial" w:cs="Arial"/>
          <w:sz w:val="22"/>
          <w:szCs w:val="20"/>
        </w:rPr>
        <w:t>dicho deber puedan ser excluidos del procedimiento de selección</w:t>
      </w:r>
      <w:r w:rsidR="00E210EE">
        <w:rPr>
          <w:rFonts w:ascii="Arial" w:hAnsi="Arial" w:cs="Arial"/>
          <w:sz w:val="22"/>
          <w:szCs w:val="20"/>
        </w:rPr>
        <w:t>.</w:t>
      </w:r>
      <w:r w:rsidR="00A07783">
        <w:rPr>
          <w:rFonts w:ascii="Arial" w:hAnsi="Arial" w:cs="Arial"/>
          <w:sz w:val="22"/>
          <w:szCs w:val="20"/>
        </w:rPr>
        <w:t xml:space="preserve"> </w:t>
      </w:r>
      <w:r w:rsidR="00E210EE">
        <w:rPr>
          <w:rFonts w:ascii="Arial" w:hAnsi="Arial" w:cs="Arial"/>
          <w:sz w:val="22"/>
          <w:szCs w:val="20"/>
        </w:rPr>
        <w:t>En efecto</w:t>
      </w:r>
      <w:r w:rsidR="00A07783">
        <w:rPr>
          <w:rFonts w:ascii="Arial" w:hAnsi="Arial" w:cs="Arial"/>
          <w:sz w:val="22"/>
          <w:szCs w:val="20"/>
        </w:rPr>
        <w:t xml:space="preserve">, como se indicó, las causales de inhabilidad e incompatibilidad, además de tener reserva de ley, deben interpretarse restrictivamente y, como se analizó, del contenido normativo del artículo 17 de la Ley 842 </w:t>
      </w:r>
      <w:r w:rsidR="00A07783">
        <w:rPr>
          <w:rFonts w:ascii="Arial" w:hAnsi="Arial" w:cs="Arial"/>
          <w:sz w:val="22"/>
          <w:szCs w:val="20"/>
        </w:rPr>
        <w:lastRenderedPageBreak/>
        <w:t>de 2003 no se desprende una limitación a la capacidad jurídica de los proponentes para participar en procedimientos de selección.</w:t>
      </w:r>
    </w:p>
    <w:p w14:paraId="105811A1" w14:textId="5DC2C33C" w:rsidR="00E7512E" w:rsidRDefault="00A07783" w:rsidP="00E7512E">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t xml:space="preserve">Lo afirmado </w:t>
      </w:r>
      <w:r w:rsidR="00E7512E">
        <w:rPr>
          <w:rFonts w:ascii="Arial" w:hAnsi="Arial" w:cs="Arial"/>
          <w:sz w:val="22"/>
          <w:szCs w:val="20"/>
        </w:rPr>
        <w:t xml:space="preserve">no quiere decir que esta obligación desaparezca o no se deba cumplir, pues esta aplica por ministerio de la ley, solo que no se vincula su contenido a alguna consecuencia jurídica frente a los procedimientos de selección, sin perjuicio de las eventuales sanciones </w:t>
      </w:r>
      <w:r w:rsidR="00184684">
        <w:rPr>
          <w:rFonts w:ascii="Arial" w:hAnsi="Arial" w:cs="Arial"/>
          <w:sz w:val="22"/>
          <w:szCs w:val="20"/>
        </w:rPr>
        <w:t>en relación con</w:t>
      </w:r>
      <w:r w:rsidR="00E7512E">
        <w:rPr>
          <w:rFonts w:ascii="Arial" w:hAnsi="Arial" w:cs="Arial"/>
          <w:sz w:val="22"/>
          <w:szCs w:val="20"/>
        </w:rPr>
        <w:t xml:space="preserve"> </w:t>
      </w:r>
      <w:r w:rsidR="00184684">
        <w:rPr>
          <w:rFonts w:ascii="Arial" w:hAnsi="Arial" w:cs="Arial"/>
          <w:sz w:val="22"/>
          <w:szCs w:val="20"/>
        </w:rPr>
        <w:t>e</w:t>
      </w:r>
      <w:r w:rsidR="00E7512E">
        <w:rPr>
          <w:rFonts w:ascii="Arial" w:hAnsi="Arial" w:cs="Arial"/>
          <w:sz w:val="22"/>
          <w:szCs w:val="20"/>
        </w:rPr>
        <w:t>l representante legal de la sociedad que no acate su contenido</w:t>
      </w:r>
      <w:r>
        <w:rPr>
          <w:rFonts w:ascii="Arial" w:hAnsi="Arial" w:cs="Arial"/>
          <w:sz w:val="22"/>
          <w:szCs w:val="20"/>
        </w:rPr>
        <w:t>, tal como lo establece el parágrafo de la disposición analizada.</w:t>
      </w:r>
    </w:p>
    <w:p w14:paraId="619A81EA" w14:textId="5B0BB913" w:rsidR="00974379" w:rsidRDefault="00E7512E" w:rsidP="00A07783">
      <w:pPr>
        <w:spacing w:after="120" w:line="276" w:lineRule="auto"/>
        <w:jc w:val="both"/>
        <w:rPr>
          <w:rFonts w:ascii="Arial" w:hAnsi="Arial" w:cs="Arial"/>
          <w:sz w:val="22"/>
          <w:szCs w:val="20"/>
        </w:rPr>
      </w:pPr>
      <w:r>
        <w:rPr>
          <w:rFonts w:ascii="Arial" w:hAnsi="Arial" w:cs="Arial"/>
          <w:sz w:val="22"/>
          <w:szCs w:val="20"/>
        </w:rPr>
        <w:tab/>
      </w:r>
      <w:r w:rsidR="00A07783">
        <w:rPr>
          <w:rFonts w:ascii="Arial" w:hAnsi="Arial" w:cs="Arial"/>
          <w:sz w:val="22"/>
          <w:szCs w:val="20"/>
        </w:rPr>
        <w:t xml:space="preserve">En este sentido, salvo que </w:t>
      </w:r>
      <w:r w:rsidR="00974379">
        <w:rPr>
          <w:rFonts w:ascii="Arial" w:hAnsi="Arial" w:cs="Arial"/>
          <w:sz w:val="22"/>
          <w:szCs w:val="20"/>
        </w:rPr>
        <w:t>un</w:t>
      </w:r>
      <w:r w:rsidR="00A07783">
        <w:rPr>
          <w:rFonts w:ascii="Arial" w:hAnsi="Arial" w:cs="Arial"/>
          <w:sz w:val="22"/>
          <w:szCs w:val="20"/>
        </w:rPr>
        <w:t xml:space="preserve"> pliego de condiciones establezca algún requisito que </w:t>
      </w:r>
      <w:r w:rsidR="00974379">
        <w:rPr>
          <w:rFonts w:ascii="Arial" w:hAnsi="Arial" w:cs="Arial"/>
          <w:sz w:val="22"/>
          <w:szCs w:val="20"/>
        </w:rPr>
        <w:t>los proponentes deban cumplir en el procedimiento de selección y a ello se le apareje alguna consecuencia, no es posible que</w:t>
      </w:r>
      <w:r w:rsidR="00EC61AB">
        <w:rPr>
          <w:rFonts w:ascii="Arial" w:hAnsi="Arial" w:cs="Arial"/>
          <w:sz w:val="22"/>
          <w:szCs w:val="20"/>
        </w:rPr>
        <w:t>,</w:t>
      </w:r>
      <w:r w:rsidR="00974379">
        <w:rPr>
          <w:rFonts w:ascii="Arial" w:hAnsi="Arial" w:cs="Arial"/>
          <w:sz w:val="22"/>
          <w:szCs w:val="20"/>
        </w:rPr>
        <w:t xml:space="preserve"> aisladamente</w:t>
      </w:r>
      <w:r w:rsidR="00EC61AB">
        <w:rPr>
          <w:rFonts w:ascii="Arial" w:hAnsi="Arial" w:cs="Arial"/>
          <w:sz w:val="22"/>
          <w:szCs w:val="20"/>
        </w:rPr>
        <w:t>, a partir</w:t>
      </w:r>
      <w:r w:rsidR="00974379">
        <w:rPr>
          <w:rFonts w:ascii="Arial" w:hAnsi="Arial" w:cs="Arial"/>
          <w:sz w:val="22"/>
          <w:szCs w:val="20"/>
        </w:rPr>
        <w:t xml:space="preserve"> del artículo 17 de la Ley 842 de 2003 se interprete alguna restricción para la participación de los proponentes en los procedimientos de selección, como sería el rechazo de las ofertas. En tal sentido, si el pliego de condiciones estableciera alguna consecuencia de tal naturaleza, el fundamento para la </w:t>
      </w:r>
      <w:r w:rsidR="00265227">
        <w:rPr>
          <w:rFonts w:ascii="Arial" w:hAnsi="Arial" w:cs="Arial"/>
          <w:sz w:val="22"/>
          <w:szCs w:val="20"/>
        </w:rPr>
        <w:t>incidencia</w:t>
      </w:r>
      <w:r w:rsidR="00974379">
        <w:rPr>
          <w:rFonts w:ascii="Arial" w:hAnsi="Arial" w:cs="Arial"/>
          <w:sz w:val="22"/>
          <w:szCs w:val="20"/>
        </w:rPr>
        <w:t xml:space="preserve"> que tuviera en el procedimiento de selección se derivaría del pliego de condiciones </w:t>
      </w:r>
      <w:r w:rsidR="00265227">
        <w:rPr>
          <w:rFonts w:ascii="Arial" w:hAnsi="Arial" w:cs="Arial"/>
          <w:sz w:val="22"/>
          <w:szCs w:val="20"/>
        </w:rPr>
        <w:t>mismo</w:t>
      </w:r>
      <w:r w:rsidR="00253F1C">
        <w:rPr>
          <w:rFonts w:ascii="Arial" w:hAnsi="Arial" w:cs="Arial"/>
          <w:sz w:val="22"/>
          <w:szCs w:val="20"/>
        </w:rPr>
        <w:t>,</w:t>
      </w:r>
      <w:r w:rsidR="00265227">
        <w:rPr>
          <w:rFonts w:ascii="Arial" w:hAnsi="Arial" w:cs="Arial"/>
          <w:sz w:val="22"/>
          <w:szCs w:val="20"/>
        </w:rPr>
        <w:t xml:space="preserve"> </w:t>
      </w:r>
      <w:r w:rsidR="00974379">
        <w:rPr>
          <w:rFonts w:ascii="Arial" w:hAnsi="Arial" w:cs="Arial"/>
          <w:sz w:val="22"/>
          <w:szCs w:val="20"/>
        </w:rPr>
        <w:t>como acto administrativo de carácter general</w:t>
      </w:r>
      <w:r w:rsidR="00265227">
        <w:rPr>
          <w:rFonts w:ascii="Arial" w:hAnsi="Arial" w:cs="Arial"/>
          <w:sz w:val="22"/>
          <w:szCs w:val="20"/>
        </w:rPr>
        <w:t xml:space="preserve"> y, por tanto, revestido de fuerza ejecutoria.</w:t>
      </w:r>
    </w:p>
    <w:p w14:paraId="0B451CDA" w14:textId="7A642A38" w:rsidR="00974379" w:rsidRDefault="00974379" w:rsidP="00AC058F">
      <w:pPr>
        <w:spacing w:line="276" w:lineRule="auto"/>
        <w:jc w:val="both"/>
        <w:rPr>
          <w:rFonts w:ascii="Arial" w:hAnsi="Arial" w:cs="Arial"/>
          <w:sz w:val="22"/>
          <w:szCs w:val="20"/>
        </w:rPr>
      </w:pPr>
      <w:r>
        <w:rPr>
          <w:rFonts w:ascii="Arial" w:hAnsi="Arial" w:cs="Arial"/>
          <w:sz w:val="22"/>
          <w:szCs w:val="20"/>
        </w:rPr>
        <w:tab/>
        <w:t>Con fundamento en la argumentación anterior, esta Subdirección en el concepto C–716 abordó una pregunta similar a la planteada por la peticionaria, pero tratándose de procedimientos de selección sometidos al Documento Tipo de licitación de obra pública de infraestructura de transporte, donde se concluyó lo siguiente</w:t>
      </w:r>
      <w:r>
        <w:rPr>
          <w:rStyle w:val="Refdenotaalpie"/>
          <w:rFonts w:ascii="Arial" w:hAnsi="Arial" w:cs="Arial"/>
          <w:sz w:val="22"/>
          <w:szCs w:val="20"/>
        </w:rPr>
        <w:footnoteReference w:id="13"/>
      </w:r>
      <w:r>
        <w:rPr>
          <w:rFonts w:ascii="Arial" w:hAnsi="Arial" w:cs="Arial"/>
          <w:sz w:val="22"/>
          <w:szCs w:val="20"/>
        </w:rPr>
        <w:t>:</w:t>
      </w:r>
    </w:p>
    <w:p w14:paraId="423D7139" w14:textId="4A2D72E5" w:rsidR="00974379" w:rsidRDefault="00974379" w:rsidP="00AC058F">
      <w:pPr>
        <w:spacing w:line="276" w:lineRule="auto"/>
        <w:jc w:val="both"/>
        <w:rPr>
          <w:rFonts w:ascii="Arial" w:hAnsi="Arial" w:cs="Arial"/>
          <w:sz w:val="22"/>
          <w:szCs w:val="20"/>
        </w:rPr>
      </w:pPr>
    </w:p>
    <w:p w14:paraId="4C9D9734" w14:textId="44C407BA" w:rsidR="00974379" w:rsidRPr="00AC058F" w:rsidRDefault="00974379" w:rsidP="00AC058F">
      <w:pPr>
        <w:ind w:left="709" w:right="709"/>
        <w:jc w:val="both"/>
        <w:rPr>
          <w:rFonts w:ascii="Arial" w:eastAsia="Arial" w:hAnsi="Arial" w:cs="Arial"/>
          <w:bCs/>
          <w:color w:val="000000"/>
          <w:sz w:val="22"/>
          <w:szCs w:val="22"/>
        </w:rPr>
      </w:pPr>
      <w:r>
        <w:rPr>
          <w:rFonts w:ascii="Arial" w:hAnsi="Arial" w:cs="Arial"/>
          <w:bCs/>
          <w:color w:val="000000" w:themeColor="text1"/>
          <w:sz w:val="22"/>
          <w:lang w:val="es-ES_tradnl"/>
        </w:rPr>
        <w:t xml:space="preserve">De conformidad con las consideraciones de este concepto, se concluye que </w:t>
      </w:r>
      <w:r>
        <w:rPr>
          <w:rFonts w:ascii="Arial" w:hAnsi="Arial" w:cs="Arial"/>
          <w:sz w:val="22"/>
          <w:szCs w:val="20"/>
        </w:rPr>
        <w:t>el documento tipo no estableció la exigencia de la acreditación, durante el procedimiento de selección, del cumplimiento de la obligación legal establecida en el artículo 17 de la Ley 842 de 2003. Además, dicho evento no se encuentra establecido como causal de rechazo de las ofertas y las entidades no pueden incluir nuevas causales distintas a las establecidas en los documentos tipo.</w:t>
      </w:r>
    </w:p>
    <w:p w14:paraId="121DF932" w14:textId="11353625" w:rsidR="000341A6" w:rsidRDefault="000341A6" w:rsidP="007F2779">
      <w:pPr>
        <w:spacing w:line="276" w:lineRule="auto"/>
        <w:jc w:val="both"/>
        <w:rPr>
          <w:rFonts w:ascii="Arial" w:eastAsia="Arial" w:hAnsi="Arial" w:cs="Arial"/>
          <w:color w:val="000000"/>
          <w:sz w:val="22"/>
          <w:szCs w:val="22"/>
        </w:rPr>
      </w:pPr>
    </w:p>
    <w:p w14:paraId="720CA2C4" w14:textId="0893DC0F" w:rsidR="00265227" w:rsidRDefault="00974379" w:rsidP="00AC058F">
      <w:pPr>
        <w:spacing w:line="276" w:lineRule="auto"/>
        <w:jc w:val="both"/>
        <w:rPr>
          <w:rFonts w:ascii="Arial" w:eastAsia="Arial" w:hAnsi="Arial" w:cs="Arial"/>
          <w:color w:val="000000"/>
          <w:sz w:val="22"/>
          <w:szCs w:val="22"/>
          <w:lang w:val="es-MX"/>
        </w:rPr>
      </w:pPr>
      <w:r>
        <w:rPr>
          <w:rFonts w:ascii="Arial" w:eastAsia="Arial" w:hAnsi="Arial" w:cs="Arial"/>
          <w:color w:val="000000"/>
          <w:sz w:val="22"/>
          <w:szCs w:val="22"/>
          <w:lang w:val="es-MX"/>
        </w:rPr>
        <w:t xml:space="preserve">En conclusión, </w:t>
      </w:r>
      <w:r w:rsidR="00265227">
        <w:rPr>
          <w:rFonts w:ascii="Arial" w:eastAsia="Arial" w:hAnsi="Arial" w:cs="Arial"/>
          <w:color w:val="000000"/>
          <w:sz w:val="22"/>
          <w:szCs w:val="22"/>
          <w:lang w:val="es-MX"/>
        </w:rPr>
        <w:t xml:space="preserve">salvo que el pliego de condiciones establezca la obligación de cumplir algún requisito relacionado con el artículo 17 de la Ley 842 de 2003, </w:t>
      </w:r>
      <w:r w:rsidR="00253F1C">
        <w:rPr>
          <w:rFonts w:ascii="Arial" w:eastAsia="Arial" w:hAnsi="Arial" w:cs="Arial"/>
          <w:color w:val="000000"/>
          <w:sz w:val="22"/>
          <w:szCs w:val="22"/>
          <w:lang w:val="es-MX"/>
        </w:rPr>
        <w:t xml:space="preserve">directamente </w:t>
      </w:r>
      <w:r w:rsidR="00265227">
        <w:rPr>
          <w:rFonts w:ascii="Arial" w:eastAsia="Arial" w:hAnsi="Arial" w:cs="Arial"/>
          <w:color w:val="000000"/>
          <w:sz w:val="22"/>
          <w:szCs w:val="22"/>
          <w:lang w:val="es-MX"/>
        </w:rPr>
        <w:t xml:space="preserve">de dicha norma no se deriva una consecuencia </w:t>
      </w:r>
      <w:r w:rsidR="00BB0CD8">
        <w:rPr>
          <w:rFonts w:ascii="Arial" w:eastAsia="Arial" w:hAnsi="Arial" w:cs="Arial"/>
          <w:color w:val="000000"/>
          <w:sz w:val="22"/>
          <w:szCs w:val="22"/>
          <w:lang w:val="es-MX"/>
        </w:rPr>
        <w:t>para</w:t>
      </w:r>
      <w:r w:rsidR="00265227">
        <w:rPr>
          <w:rFonts w:ascii="Arial" w:eastAsia="Arial" w:hAnsi="Arial" w:cs="Arial"/>
          <w:color w:val="000000"/>
          <w:sz w:val="22"/>
          <w:szCs w:val="22"/>
          <w:lang w:val="es-MX"/>
        </w:rPr>
        <w:t xml:space="preserve"> las propuestas presentadas en procedimientos de selección, por lo que no sería procedente rechazar </w:t>
      </w:r>
      <w:r w:rsidR="00253F1C">
        <w:rPr>
          <w:rFonts w:ascii="Arial" w:eastAsia="Arial" w:hAnsi="Arial" w:cs="Arial"/>
          <w:color w:val="000000"/>
          <w:sz w:val="22"/>
          <w:szCs w:val="22"/>
          <w:lang w:val="es-MX"/>
        </w:rPr>
        <w:t>propuestas</w:t>
      </w:r>
      <w:r w:rsidR="00265227">
        <w:rPr>
          <w:rFonts w:ascii="Arial" w:eastAsia="Arial" w:hAnsi="Arial" w:cs="Arial"/>
          <w:color w:val="000000"/>
          <w:sz w:val="22"/>
          <w:szCs w:val="22"/>
          <w:lang w:val="es-MX"/>
        </w:rPr>
        <w:t xml:space="preserve"> o impedir la participación de proponentes por circunstancias asociadas a dicha disposición. En tal sentido, una </w:t>
      </w:r>
      <w:r w:rsidR="00265227">
        <w:rPr>
          <w:rFonts w:ascii="Arial" w:eastAsia="Arial" w:hAnsi="Arial" w:cs="Arial"/>
          <w:color w:val="000000"/>
          <w:sz w:val="22"/>
          <w:szCs w:val="22"/>
          <w:lang w:val="es-MX"/>
        </w:rPr>
        <w:lastRenderedPageBreak/>
        <w:t>obligación de dicha naturaleza tendría que contemplarse en el pliego de condiciones para exigirse su cumplimiento, derivándose la obligatoriedad del propio pliego de condiciones, el cual tiene carácter ejecutorio por tratarse de un acto administrativo –carácter general–</w:t>
      </w:r>
      <w:r w:rsidR="00265227">
        <w:rPr>
          <w:rStyle w:val="Refdenotaalpie"/>
          <w:rFonts w:ascii="Arial" w:eastAsia="Arial" w:hAnsi="Arial" w:cs="Arial"/>
          <w:color w:val="000000"/>
          <w:sz w:val="22"/>
          <w:szCs w:val="22"/>
          <w:lang w:val="es-MX"/>
        </w:rPr>
        <w:footnoteReference w:id="14"/>
      </w:r>
      <w:r w:rsidR="00265227">
        <w:rPr>
          <w:rFonts w:ascii="Arial" w:eastAsia="Arial" w:hAnsi="Arial" w:cs="Arial"/>
          <w:color w:val="000000"/>
          <w:sz w:val="22"/>
          <w:szCs w:val="22"/>
          <w:lang w:val="es-MX"/>
        </w:rPr>
        <w:t xml:space="preserve">. </w:t>
      </w:r>
    </w:p>
    <w:p w14:paraId="188E9F8D" w14:textId="46D27360" w:rsidR="00265227" w:rsidRDefault="00265227" w:rsidP="00AC058F">
      <w:pPr>
        <w:spacing w:before="120" w:line="276" w:lineRule="auto"/>
        <w:jc w:val="both"/>
        <w:rPr>
          <w:rFonts w:ascii="Arial" w:eastAsia="Arial" w:hAnsi="Arial" w:cs="Arial"/>
          <w:color w:val="000000"/>
          <w:sz w:val="22"/>
          <w:szCs w:val="22"/>
          <w:lang w:val="es-MX"/>
        </w:rPr>
      </w:pPr>
      <w:r>
        <w:rPr>
          <w:rFonts w:ascii="Arial" w:eastAsia="Arial" w:hAnsi="Arial" w:cs="Arial"/>
          <w:color w:val="000000"/>
          <w:sz w:val="22"/>
          <w:szCs w:val="22"/>
          <w:lang w:val="es-MX"/>
        </w:rPr>
        <w:tab/>
        <w:t>Lo anterior, sin perjuicio del control de legalidad que ejerce la Jurisdicción de lo Contencioso Administrativo sobre el contenido de los actos administrativos y las decisiones tomadas por las autoridades administrativas con fundamento en ellos.</w:t>
      </w:r>
    </w:p>
    <w:p w14:paraId="11B5548E" w14:textId="0363E0E3" w:rsidR="00E27BDF" w:rsidRPr="00342184" w:rsidRDefault="006C0DA8">
      <w:pPr>
        <w:spacing w:before="120" w:line="276" w:lineRule="auto"/>
        <w:ind w:firstLine="709"/>
        <w:jc w:val="both"/>
        <w:rPr>
          <w:rFonts w:ascii="Arial" w:eastAsia="Arial" w:hAnsi="Arial" w:cs="Arial"/>
          <w:sz w:val="22"/>
          <w:szCs w:val="22"/>
        </w:rPr>
      </w:pPr>
      <w:r w:rsidRPr="00342184">
        <w:rPr>
          <w:rFonts w:ascii="Arial" w:eastAsia="Arial" w:hAnsi="Arial" w:cs="Arial"/>
          <w:sz w:val="22"/>
          <w:szCs w:val="22"/>
        </w:rPr>
        <w:t>Con fundamento en las consideraciones anteriores, se contestará</w:t>
      </w:r>
      <w:r w:rsidR="005E2988">
        <w:rPr>
          <w:rFonts w:ascii="Arial" w:eastAsia="Arial" w:hAnsi="Arial" w:cs="Arial"/>
          <w:sz w:val="22"/>
          <w:szCs w:val="22"/>
        </w:rPr>
        <w:t xml:space="preserve"> la</w:t>
      </w:r>
      <w:r w:rsidR="000341A6">
        <w:rPr>
          <w:rFonts w:ascii="Arial" w:eastAsia="Arial" w:hAnsi="Arial" w:cs="Arial"/>
          <w:sz w:val="22"/>
          <w:szCs w:val="22"/>
        </w:rPr>
        <w:t xml:space="preserve">s inquietudes </w:t>
      </w:r>
      <w:r w:rsidR="005E2988">
        <w:rPr>
          <w:rFonts w:ascii="Arial" w:eastAsia="Arial" w:hAnsi="Arial" w:cs="Arial"/>
          <w:sz w:val="22"/>
          <w:szCs w:val="22"/>
        </w:rPr>
        <w:t>elevada</w:t>
      </w:r>
      <w:r w:rsidR="000341A6">
        <w:rPr>
          <w:rFonts w:ascii="Arial" w:eastAsia="Arial" w:hAnsi="Arial" w:cs="Arial"/>
          <w:sz w:val="22"/>
          <w:szCs w:val="22"/>
        </w:rPr>
        <w:t>s.</w:t>
      </w:r>
    </w:p>
    <w:p w14:paraId="747993BD" w14:textId="77777777" w:rsidR="00E27BDF" w:rsidRPr="00342184" w:rsidRDefault="00E27BDF">
      <w:pPr>
        <w:spacing w:line="276" w:lineRule="auto"/>
        <w:ind w:right="709"/>
        <w:jc w:val="both"/>
        <w:rPr>
          <w:rFonts w:ascii="Arial" w:eastAsia="Arial" w:hAnsi="Arial" w:cs="Arial"/>
          <w:color w:val="000000"/>
          <w:sz w:val="21"/>
          <w:szCs w:val="21"/>
        </w:rPr>
      </w:pPr>
    </w:p>
    <w:p w14:paraId="7725B6CA" w14:textId="77777777" w:rsidR="00E27BDF" w:rsidRPr="00342184" w:rsidRDefault="006C0DA8">
      <w:pPr>
        <w:numPr>
          <w:ilvl w:val="0"/>
          <w:numId w:val="1"/>
        </w:numPr>
        <w:pBdr>
          <w:top w:val="nil"/>
          <w:left w:val="nil"/>
          <w:bottom w:val="nil"/>
          <w:right w:val="nil"/>
          <w:between w:val="nil"/>
        </w:pBdr>
        <w:tabs>
          <w:tab w:val="left" w:pos="284"/>
        </w:tabs>
        <w:spacing w:line="276" w:lineRule="auto"/>
        <w:ind w:left="0" w:firstLine="0"/>
        <w:rPr>
          <w:rFonts w:ascii="Arial" w:eastAsia="Arial" w:hAnsi="Arial" w:cs="Arial"/>
          <w:sz w:val="22"/>
          <w:szCs w:val="22"/>
        </w:rPr>
      </w:pPr>
      <w:r w:rsidRPr="00342184">
        <w:rPr>
          <w:rFonts w:ascii="Arial" w:eastAsia="Arial" w:hAnsi="Arial" w:cs="Arial"/>
          <w:b/>
          <w:color w:val="000000"/>
          <w:sz w:val="22"/>
          <w:szCs w:val="22"/>
        </w:rPr>
        <w:t xml:space="preserve">Respuesta </w:t>
      </w:r>
    </w:p>
    <w:p w14:paraId="7CE24A68" w14:textId="77777777" w:rsidR="00E27BDF" w:rsidRPr="00342184" w:rsidRDefault="00E27BDF">
      <w:pPr>
        <w:tabs>
          <w:tab w:val="left" w:pos="284"/>
        </w:tabs>
        <w:spacing w:line="276" w:lineRule="auto"/>
        <w:rPr>
          <w:rFonts w:ascii="Arial" w:eastAsia="Arial" w:hAnsi="Arial" w:cs="Arial"/>
          <w:b/>
          <w:color w:val="000000"/>
          <w:sz w:val="22"/>
          <w:szCs w:val="22"/>
        </w:rPr>
      </w:pPr>
    </w:p>
    <w:p w14:paraId="1387285B" w14:textId="3CC9E7FD" w:rsidR="007A5A69" w:rsidRPr="007A5A69" w:rsidRDefault="007A5A69" w:rsidP="009C0C05">
      <w:pPr>
        <w:ind w:left="709" w:right="758"/>
        <w:jc w:val="both"/>
        <w:rPr>
          <w:rFonts w:ascii="Arial" w:eastAsia="Arial" w:hAnsi="Arial" w:cs="Arial"/>
          <w:color w:val="000000"/>
          <w:sz w:val="21"/>
          <w:szCs w:val="21"/>
        </w:rPr>
      </w:pPr>
      <w:r w:rsidRPr="007A5A69">
        <w:rPr>
          <w:rFonts w:ascii="Arial" w:eastAsia="Arial" w:hAnsi="Arial" w:cs="Arial"/>
          <w:color w:val="000000"/>
          <w:sz w:val="21"/>
          <w:szCs w:val="21"/>
        </w:rPr>
        <w:t xml:space="preserve">«i) Se debe rechazar un oferente que se le demuestre que no cumpla con lo regulado en el artículo 17 de la ley 842 de 2003, lo cual no le permite ejercer legalmente el ejerció </w:t>
      </w:r>
      <w:r w:rsidR="0028219F">
        <w:rPr>
          <w:rFonts w:ascii="Arial" w:eastAsia="Arial" w:hAnsi="Arial" w:cs="Arial"/>
          <w:color w:val="000000"/>
          <w:sz w:val="21"/>
          <w:szCs w:val="21"/>
        </w:rPr>
        <w:t xml:space="preserve">(sic) </w:t>
      </w:r>
      <w:r w:rsidRPr="007A5A69">
        <w:rPr>
          <w:rFonts w:ascii="Arial" w:eastAsia="Arial" w:hAnsi="Arial" w:cs="Arial"/>
          <w:color w:val="000000"/>
          <w:sz w:val="21"/>
          <w:szCs w:val="21"/>
        </w:rPr>
        <w:t>de la ingeniería, hecho que está en contra de la ley es decir que este oferente está inhabilitado para continuar en el proceso».</w:t>
      </w:r>
    </w:p>
    <w:p w14:paraId="2CBA0195" w14:textId="77777777" w:rsidR="00D616D1" w:rsidRPr="00342AEE" w:rsidRDefault="00D616D1" w:rsidP="00D616D1">
      <w:pPr>
        <w:ind w:left="709" w:right="758"/>
        <w:jc w:val="both"/>
        <w:rPr>
          <w:rFonts w:ascii="Arial" w:eastAsia="Arial" w:hAnsi="Arial" w:cs="Arial"/>
          <w:color w:val="000000"/>
          <w:sz w:val="22"/>
          <w:szCs w:val="22"/>
        </w:rPr>
      </w:pPr>
    </w:p>
    <w:p w14:paraId="6E73D865" w14:textId="0AB83ADA" w:rsidR="007F2779" w:rsidRDefault="007F2779" w:rsidP="007F2779">
      <w:pPr>
        <w:spacing w:after="120"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De forma preliminar, es necesario señalar que</w:t>
      </w:r>
      <w:r w:rsidR="00253F1C">
        <w:rPr>
          <w:rFonts w:ascii="Arial" w:hAnsi="Arial" w:cs="Arial"/>
          <w:color w:val="000000" w:themeColor="text1"/>
          <w:sz w:val="22"/>
          <w:lang w:val="es-ES_tradnl"/>
        </w:rPr>
        <w:t>,</w:t>
      </w:r>
      <w:r>
        <w:rPr>
          <w:rFonts w:ascii="Arial" w:hAnsi="Arial" w:cs="Arial"/>
          <w:color w:val="000000" w:themeColor="text1"/>
          <w:sz w:val="22"/>
          <w:lang w:val="es-ES_tradnl"/>
        </w:rPr>
        <w:t xml:space="preserve"> d</w:t>
      </w:r>
      <w:r w:rsidRPr="002036B3">
        <w:rPr>
          <w:rFonts w:ascii="Arial" w:hAnsi="Arial" w:cs="Arial"/>
          <w:color w:val="000000" w:themeColor="text1"/>
          <w:sz w:val="22"/>
          <w:lang w:val="es-ES_tradnl"/>
        </w:rPr>
        <w:t xml:space="preserve">e conformidad con la competencia otorgada por los artículos 11, numeral 8º, y 3º, numeral 5º, del Decreto Ley 4170 de 2011, la Agencia de Contratación Pública </w:t>
      </w:r>
      <w:r>
        <w:rPr>
          <w:rFonts w:ascii="Arial" w:hAnsi="Arial" w:cs="Arial"/>
          <w:color w:val="000000" w:themeColor="text1"/>
          <w:sz w:val="22"/>
          <w:lang w:val="es-ES_tradnl"/>
        </w:rPr>
        <w:t>–</w:t>
      </w:r>
      <w:r w:rsidRPr="002036B3">
        <w:rPr>
          <w:rFonts w:ascii="Arial" w:hAnsi="Arial" w:cs="Arial"/>
          <w:color w:val="000000" w:themeColor="text1"/>
          <w:sz w:val="22"/>
          <w:lang w:val="es-ES_tradnl"/>
        </w:rPr>
        <w:t xml:space="preserve"> Colombia Compra Eficiente es competente para absolver consultas sobre la aplicación de normas de carácter general. En tal sentido, su competencia se encuentra limitada por los criterios y requisitos establecidos en las disposiciones que le asignan dicha potestad, de manera que su ejercicio debe someterse a la norma habilitante, observando estrictamente el principio de legalidad.</w:t>
      </w:r>
      <w:r>
        <w:rPr>
          <w:rFonts w:ascii="Arial" w:hAnsi="Arial" w:cs="Arial"/>
          <w:color w:val="000000" w:themeColor="text1"/>
          <w:sz w:val="22"/>
          <w:lang w:val="es-ES_tradnl"/>
        </w:rPr>
        <w:t xml:space="preserve"> </w:t>
      </w:r>
      <w:r w:rsidRPr="002036B3">
        <w:rPr>
          <w:rFonts w:ascii="Arial" w:hAnsi="Arial" w:cs="Arial"/>
          <w:color w:val="000000" w:themeColor="text1"/>
          <w:sz w:val="22"/>
          <w:lang w:val="es-ES_tradnl"/>
        </w:rPr>
        <w:t>En tal sentido, esta Agencia no tiene competencia para pronunciarse sobre casos particulares o juzgar la legalidad de las actuaciones concretas realizadas por las entidades estatales.</w:t>
      </w:r>
    </w:p>
    <w:p w14:paraId="16E8EBD9" w14:textId="462C972E" w:rsidR="001731B1" w:rsidRDefault="007F2779">
      <w:pPr>
        <w:spacing w:after="120" w:line="276" w:lineRule="auto"/>
        <w:jc w:val="both"/>
        <w:rPr>
          <w:rFonts w:ascii="Arial" w:hAnsi="Arial" w:cs="Arial"/>
          <w:sz w:val="22"/>
          <w:szCs w:val="20"/>
        </w:rPr>
      </w:pPr>
      <w:r>
        <w:rPr>
          <w:rFonts w:ascii="Arial" w:hAnsi="Arial" w:cs="Arial"/>
          <w:color w:val="000000" w:themeColor="text1"/>
          <w:sz w:val="22"/>
          <w:lang w:val="es-ES_tradnl"/>
        </w:rPr>
        <w:tab/>
        <w:t xml:space="preserve">Sin perjuicio de lo anterior, </w:t>
      </w:r>
      <w:r w:rsidR="00E210EE">
        <w:rPr>
          <w:rFonts w:ascii="Arial" w:hAnsi="Arial" w:cs="Arial"/>
          <w:color w:val="000000" w:themeColor="text1"/>
          <w:sz w:val="22"/>
          <w:lang w:val="es-ES_tradnl"/>
        </w:rPr>
        <w:t>se enfocará</w:t>
      </w:r>
      <w:r>
        <w:rPr>
          <w:rFonts w:ascii="Arial" w:hAnsi="Arial" w:cs="Arial"/>
          <w:color w:val="000000" w:themeColor="text1"/>
          <w:sz w:val="22"/>
          <w:lang w:val="es-ES_tradnl"/>
        </w:rPr>
        <w:t xml:space="preserve"> la pregunta de la peticionaria a las facultades de la Agencia</w:t>
      </w:r>
      <w:r w:rsidR="00E210EE">
        <w:rPr>
          <w:rFonts w:ascii="Arial" w:hAnsi="Arial" w:cs="Arial"/>
          <w:color w:val="000000" w:themeColor="text1"/>
          <w:sz w:val="22"/>
          <w:lang w:val="es-ES_tradnl"/>
        </w:rPr>
        <w:t>,</w:t>
      </w:r>
      <w:r>
        <w:rPr>
          <w:rFonts w:ascii="Arial" w:hAnsi="Arial" w:cs="Arial"/>
          <w:color w:val="000000" w:themeColor="text1"/>
          <w:sz w:val="22"/>
          <w:lang w:val="es-ES_tradnl"/>
        </w:rPr>
        <w:t xml:space="preserve"> en aras de garantizar al máximo el derecho fundamental de petición</w:t>
      </w:r>
      <w:r w:rsidR="00E210EE">
        <w:rPr>
          <w:rFonts w:ascii="Arial" w:hAnsi="Arial" w:cs="Arial"/>
          <w:color w:val="000000" w:themeColor="text1"/>
          <w:sz w:val="22"/>
          <w:lang w:val="es-ES_tradnl"/>
        </w:rPr>
        <w:t>. En este sentido,</w:t>
      </w:r>
      <w:r>
        <w:rPr>
          <w:rFonts w:ascii="Arial" w:hAnsi="Arial" w:cs="Arial"/>
          <w:color w:val="000000" w:themeColor="text1"/>
          <w:sz w:val="22"/>
          <w:lang w:val="es-ES_tradnl"/>
        </w:rPr>
        <w:t xml:space="preserve"> debe tenerse en cuenta</w:t>
      </w:r>
      <w:r w:rsidR="004B2FF2">
        <w:rPr>
          <w:rFonts w:ascii="Arial" w:hAnsi="Arial" w:cs="Arial"/>
          <w:color w:val="000000" w:themeColor="text1"/>
          <w:sz w:val="22"/>
          <w:lang w:val="es-ES_tradnl"/>
        </w:rPr>
        <w:t xml:space="preserve"> que, tal como se señaló en las consideraciones, pese al deber establecido en el artículo 17 de la Ley 842 de 2003, dicha norma </w:t>
      </w:r>
      <w:r w:rsidR="0028219F">
        <w:rPr>
          <w:rFonts w:ascii="Arial" w:hAnsi="Arial" w:cs="Arial"/>
          <w:sz w:val="22"/>
          <w:szCs w:val="20"/>
        </w:rPr>
        <w:t xml:space="preserve">no establece una consecuencia particular frente a su incidencia en los procedimientos de selección adelantados por las entidades estatales, como sería la imposibilidad de participar en ellos, ante la inobservancia del cumplimiento de dicha exigencia, o el deber de presentar algún </w:t>
      </w:r>
      <w:r w:rsidR="0028219F">
        <w:rPr>
          <w:rFonts w:ascii="Arial" w:hAnsi="Arial" w:cs="Arial"/>
          <w:sz w:val="22"/>
          <w:szCs w:val="20"/>
        </w:rPr>
        <w:lastRenderedPageBreak/>
        <w:t>documento para acreditar el cumplimiento de dicha obligación en el desarrollo de tales procesos contractuales.</w:t>
      </w:r>
      <w:r w:rsidR="004B2FF2">
        <w:rPr>
          <w:rFonts w:ascii="Arial" w:hAnsi="Arial" w:cs="Arial"/>
          <w:sz w:val="22"/>
          <w:szCs w:val="20"/>
        </w:rPr>
        <w:t xml:space="preserve"> </w:t>
      </w:r>
    </w:p>
    <w:p w14:paraId="079863AF" w14:textId="15E17DAA" w:rsidR="007F2779" w:rsidRDefault="004B2FF2" w:rsidP="00AC058F">
      <w:pPr>
        <w:spacing w:after="120" w:line="276" w:lineRule="auto"/>
        <w:ind w:firstLine="720"/>
        <w:jc w:val="both"/>
        <w:rPr>
          <w:rFonts w:ascii="Arial" w:hAnsi="Arial" w:cs="Arial"/>
          <w:sz w:val="22"/>
          <w:szCs w:val="20"/>
        </w:rPr>
      </w:pPr>
      <w:r>
        <w:rPr>
          <w:rFonts w:ascii="Arial" w:hAnsi="Arial" w:cs="Arial"/>
          <w:sz w:val="22"/>
          <w:szCs w:val="20"/>
        </w:rPr>
        <w:t>En tal sentido, la consecuencia aparejada al incumplimiento del deber establecido en el artículo 17 se encuentra en el parágrafo de la misma disposición y se dirige directamente a sancionar al representante legal de la sociedad, sin que se establezca alguna consecuencia frente a la capacidad de la sociedad para participar en procedimientos de selección de contratistas.</w:t>
      </w:r>
      <w:r w:rsidR="0028219F">
        <w:rPr>
          <w:rFonts w:ascii="Arial" w:hAnsi="Arial" w:cs="Arial"/>
          <w:sz w:val="22"/>
          <w:szCs w:val="20"/>
        </w:rPr>
        <w:t xml:space="preserve"> Por la razón anterior, no es posible deducir de dicha disposición la existencia de una inhabilidad, incompatibilidad o restricción para participar en los procedimientos de selección.</w:t>
      </w:r>
      <w:r w:rsidR="00E24A38">
        <w:rPr>
          <w:rFonts w:ascii="Arial" w:hAnsi="Arial" w:cs="Arial"/>
          <w:sz w:val="22"/>
          <w:szCs w:val="20"/>
        </w:rPr>
        <w:t xml:space="preserve">  </w:t>
      </w:r>
    </w:p>
    <w:p w14:paraId="0FE1FCA1" w14:textId="786C862E" w:rsidR="004B2FF2" w:rsidRDefault="004B2FF2" w:rsidP="00AC058F">
      <w:pPr>
        <w:spacing w:after="120" w:line="276" w:lineRule="auto"/>
        <w:jc w:val="both"/>
        <w:rPr>
          <w:rFonts w:ascii="Arial" w:eastAsia="Arial" w:hAnsi="Arial" w:cs="Arial"/>
          <w:color w:val="000000"/>
          <w:sz w:val="22"/>
          <w:szCs w:val="22"/>
          <w:lang w:val="es-MX"/>
        </w:rPr>
      </w:pPr>
      <w:r>
        <w:rPr>
          <w:rFonts w:ascii="Arial" w:hAnsi="Arial" w:cs="Arial"/>
          <w:sz w:val="22"/>
          <w:szCs w:val="20"/>
        </w:rPr>
        <w:tab/>
      </w:r>
      <w:r>
        <w:rPr>
          <w:rFonts w:ascii="Arial" w:eastAsia="Arial" w:hAnsi="Arial" w:cs="Arial"/>
          <w:color w:val="000000"/>
          <w:sz w:val="22"/>
          <w:szCs w:val="22"/>
          <w:lang w:val="es-MX"/>
        </w:rPr>
        <w:t xml:space="preserve">En tal sentido, salvo que el pliego de condiciones establezca la obligación de cumplir algún requisito relacionado con el artículo 17 de la Ley 842 de 2003, de dicha norma no se deriva una consecuencia directa frente a las propuestas presentadas en </w:t>
      </w:r>
      <w:r w:rsidR="00253F1C">
        <w:rPr>
          <w:rFonts w:ascii="Arial" w:eastAsia="Arial" w:hAnsi="Arial" w:cs="Arial"/>
          <w:color w:val="000000"/>
          <w:sz w:val="22"/>
          <w:szCs w:val="22"/>
          <w:lang w:val="es-MX"/>
        </w:rPr>
        <w:t xml:space="preserve">los </w:t>
      </w:r>
      <w:r>
        <w:rPr>
          <w:rFonts w:ascii="Arial" w:eastAsia="Arial" w:hAnsi="Arial" w:cs="Arial"/>
          <w:color w:val="000000"/>
          <w:sz w:val="22"/>
          <w:szCs w:val="22"/>
          <w:lang w:val="es-MX"/>
        </w:rPr>
        <w:t>procedimientos de selección, por lo que no sería procedente rechazar ofertas o impedir la participación de proponentes por circunstancias asociadas a dicha disposición. En tal sentido, una obligación de dicha naturaleza tendría que contemplarse en el pliego de condiciones para exigirse su cumplimiento, derivándose la obligatoriedad del propio pliego de condiciones, el cual tiene carácter ejecutorio por tratarse de un acto administrativo –carácter general–</w:t>
      </w:r>
      <w:r>
        <w:rPr>
          <w:rStyle w:val="Refdenotaalpie"/>
          <w:rFonts w:ascii="Arial" w:eastAsia="Arial" w:hAnsi="Arial" w:cs="Arial"/>
          <w:color w:val="000000"/>
          <w:sz w:val="22"/>
          <w:szCs w:val="22"/>
          <w:lang w:val="es-MX"/>
        </w:rPr>
        <w:footnoteReference w:id="15"/>
      </w:r>
      <w:r>
        <w:rPr>
          <w:rFonts w:ascii="Arial" w:eastAsia="Arial" w:hAnsi="Arial" w:cs="Arial"/>
          <w:color w:val="000000"/>
          <w:sz w:val="22"/>
          <w:szCs w:val="22"/>
          <w:lang w:val="es-MX"/>
        </w:rPr>
        <w:t xml:space="preserve">. </w:t>
      </w:r>
    </w:p>
    <w:p w14:paraId="3607E23C" w14:textId="6BA56834" w:rsidR="004B2FF2" w:rsidRDefault="004B2FF2" w:rsidP="00AC058F">
      <w:pPr>
        <w:spacing w:after="120" w:line="276" w:lineRule="auto"/>
        <w:jc w:val="both"/>
        <w:rPr>
          <w:rFonts w:ascii="Arial" w:eastAsia="Arial" w:hAnsi="Arial" w:cs="Arial"/>
          <w:color w:val="000000"/>
          <w:sz w:val="22"/>
          <w:szCs w:val="22"/>
          <w:lang w:val="es-ES"/>
        </w:rPr>
      </w:pPr>
      <w:r>
        <w:rPr>
          <w:rFonts w:ascii="Arial" w:eastAsia="Arial" w:hAnsi="Arial" w:cs="Arial"/>
          <w:color w:val="000000"/>
          <w:sz w:val="22"/>
          <w:szCs w:val="22"/>
          <w:lang w:val="es-MX"/>
        </w:rPr>
        <w:tab/>
        <w:t>Lo anterior, sin perjuicio del control de legalidad que ejerce la Jurisdicción de lo Contencioso Administrativo sobre el contenido de los actos administrativos y las decisiones tomadas por las autoridades administrativas con fundamento en ellos.</w:t>
      </w:r>
    </w:p>
    <w:p w14:paraId="3404AEEB" w14:textId="77777777" w:rsidR="00C13D8D" w:rsidRDefault="00C13D8D" w:rsidP="00AC058F">
      <w:pPr>
        <w:spacing w:line="276" w:lineRule="auto"/>
        <w:ind w:firstLine="720"/>
        <w:jc w:val="both"/>
        <w:rPr>
          <w:rFonts w:ascii="Arial" w:eastAsia="Arial" w:hAnsi="Arial" w:cs="Arial"/>
          <w:color w:val="000000"/>
          <w:sz w:val="22"/>
          <w:szCs w:val="22"/>
          <w:lang w:val="es-ES"/>
        </w:rPr>
      </w:pPr>
    </w:p>
    <w:p w14:paraId="1DEA64EA" w14:textId="77777777" w:rsidR="00E27BDF" w:rsidRPr="00342184" w:rsidRDefault="006C0DA8">
      <w:pPr>
        <w:spacing w:before="120" w:line="276" w:lineRule="auto"/>
        <w:jc w:val="both"/>
        <w:rPr>
          <w:rFonts w:ascii="Arial" w:eastAsia="Arial" w:hAnsi="Arial" w:cs="Arial"/>
          <w:color w:val="000000"/>
          <w:sz w:val="22"/>
          <w:szCs w:val="22"/>
        </w:rPr>
      </w:pPr>
      <w:r w:rsidRPr="00342AEE">
        <w:rPr>
          <w:rFonts w:ascii="Arial" w:eastAsia="Arial" w:hAnsi="Arial" w:cs="Arial"/>
          <w:color w:val="000000"/>
          <w:sz w:val="22"/>
          <w:szCs w:val="22"/>
        </w:rPr>
        <w:t>Este concepto tiene el alcance previsto en</w:t>
      </w:r>
      <w:r w:rsidRPr="00342184">
        <w:rPr>
          <w:rFonts w:ascii="Arial" w:eastAsia="Arial" w:hAnsi="Arial" w:cs="Arial"/>
          <w:color w:val="000000"/>
          <w:sz w:val="22"/>
          <w:szCs w:val="22"/>
        </w:rPr>
        <w:t xml:space="preserve"> el artículo 28 del Código de Procedimiento Administrativo y de lo Contencioso Administrativo.</w:t>
      </w:r>
    </w:p>
    <w:p w14:paraId="442E1470" w14:textId="77777777" w:rsidR="00E27BDF" w:rsidRPr="00342184" w:rsidRDefault="00E27BDF">
      <w:pPr>
        <w:ind w:firstLine="709"/>
        <w:jc w:val="both"/>
        <w:rPr>
          <w:rFonts w:ascii="Arial" w:eastAsia="Arial" w:hAnsi="Arial" w:cs="Arial"/>
          <w:color w:val="000000"/>
          <w:sz w:val="22"/>
          <w:szCs w:val="22"/>
        </w:rPr>
      </w:pPr>
    </w:p>
    <w:p w14:paraId="17B24C02" w14:textId="77777777" w:rsidR="00D616D1" w:rsidRPr="00007A77" w:rsidRDefault="00D616D1" w:rsidP="00D616D1">
      <w:pPr>
        <w:spacing w:line="276" w:lineRule="auto"/>
        <w:rPr>
          <w:rFonts w:ascii="Arial" w:hAnsi="Arial" w:cs="Arial"/>
          <w:color w:val="000000" w:themeColor="text1"/>
          <w:sz w:val="22"/>
          <w:lang w:val="es-ES_tradnl" w:eastAsia="es-CO"/>
        </w:rPr>
      </w:pPr>
      <w:r w:rsidRPr="00007A77">
        <w:rPr>
          <w:rFonts w:ascii="Arial" w:hAnsi="Arial" w:cs="Arial"/>
          <w:color w:val="000000" w:themeColor="text1"/>
          <w:sz w:val="22"/>
          <w:lang w:val="es-ES_tradnl" w:eastAsia="es-CO"/>
        </w:rPr>
        <w:t>Atentamente,</w:t>
      </w:r>
    </w:p>
    <w:p w14:paraId="2E1AAD23" w14:textId="77777777" w:rsidR="00D616D1" w:rsidRPr="00007A77" w:rsidRDefault="00D616D1" w:rsidP="00D616D1">
      <w:pPr>
        <w:spacing w:line="276" w:lineRule="auto"/>
        <w:rPr>
          <w:rFonts w:ascii="Arial" w:hAnsi="Arial" w:cs="Arial"/>
          <w:color w:val="000000" w:themeColor="text1"/>
          <w:sz w:val="18"/>
          <w:szCs w:val="20"/>
          <w:lang w:val="es-ES_tradnl" w:eastAsia="es-CO"/>
        </w:rPr>
      </w:pPr>
    </w:p>
    <w:p w14:paraId="7FA02DAD" w14:textId="215F9556" w:rsidR="004F2FF6" w:rsidRPr="004F2FF6" w:rsidRDefault="00155D1D" w:rsidP="004F2FF6">
      <w:pPr>
        <w:jc w:val="center"/>
        <w:rPr>
          <w:color w:val="000000"/>
          <w:lang w:val="es-ES_tradnl"/>
        </w:rPr>
      </w:pPr>
      <w:r>
        <w:rPr>
          <w:noProof/>
          <w:lang w:eastAsia="es-CO"/>
        </w:rPr>
        <w:drawing>
          <wp:inline distT="0" distB="0" distL="0" distR="0" wp14:anchorId="58268AF6" wp14:editId="64E46C38">
            <wp:extent cx="2381250" cy="1000125"/>
            <wp:effectExtent l="0" t="0" r="0" b="9525"/>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1000125"/>
                    </a:xfrm>
                    <a:prstGeom prst="rect">
                      <a:avLst/>
                    </a:prstGeom>
                    <a:noFill/>
                    <a:ln>
                      <a:noFill/>
                    </a:ln>
                  </pic:spPr>
                </pic:pic>
              </a:graphicData>
            </a:graphic>
          </wp:inline>
        </w:drawing>
      </w:r>
    </w:p>
    <w:p w14:paraId="3F05412E" w14:textId="77777777" w:rsidR="004F2FF6" w:rsidRPr="004F2FF6" w:rsidRDefault="004F2FF6" w:rsidP="004F2FF6">
      <w:pPr>
        <w:jc w:val="both"/>
        <w:rPr>
          <w:color w:val="000000"/>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F2FF6" w:rsidRPr="004F2FF6" w14:paraId="0AB3ABBC" w14:textId="77777777" w:rsidTr="00FE6C63">
        <w:trPr>
          <w:trHeight w:val="315"/>
        </w:trPr>
        <w:tc>
          <w:tcPr>
            <w:tcW w:w="812" w:type="dxa"/>
            <w:vAlign w:val="center"/>
            <w:hideMark/>
          </w:tcPr>
          <w:p w14:paraId="47A25AF3" w14:textId="77777777" w:rsidR="004F2FF6" w:rsidRPr="004F2FF6" w:rsidRDefault="004F2FF6" w:rsidP="004F2FF6">
            <w:pPr>
              <w:jc w:val="both"/>
              <w:rPr>
                <w:rFonts w:ascii="Arial" w:eastAsia="Calibri" w:hAnsi="Arial" w:cs="Arial"/>
                <w:color w:val="000000"/>
                <w:sz w:val="16"/>
                <w:szCs w:val="16"/>
                <w:lang w:val="es-ES_tradnl" w:eastAsia="es-ES_tradnl"/>
              </w:rPr>
            </w:pPr>
            <w:r w:rsidRPr="004F2FF6">
              <w:rPr>
                <w:rFonts w:ascii="Arial" w:eastAsia="Calibri" w:hAnsi="Arial" w:cs="Arial"/>
                <w:color w:val="000000"/>
                <w:sz w:val="16"/>
                <w:szCs w:val="16"/>
                <w:lang w:val="es-ES_tradnl" w:eastAsia="es-ES_tradnl"/>
              </w:rPr>
              <w:lastRenderedPageBreak/>
              <w:t>Elaboró:</w:t>
            </w:r>
          </w:p>
        </w:tc>
        <w:tc>
          <w:tcPr>
            <w:tcW w:w="4413" w:type="dxa"/>
            <w:tcBorders>
              <w:top w:val="nil"/>
              <w:left w:val="nil"/>
              <w:bottom w:val="dotted" w:sz="4" w:space="0" w:color="7F7F7F" w:themeColor="text1" w:themeTint="80"/>
              <w:right w:val="nil"/>
            </w:tcBorders>
            <w:vAlign w:val="center"/>
            <w:hideMark/>
          </w:tcPr>
          <w:p w14:paraId="3A8802EE" w14:textId="77777777" w:rsidR="004F2FF6" w:rsidRPr="004F2FF6" w:rsidRDefault="004F2FF6" w:rsidP="004F2FF6">
            <w:pPr>
              <w:jc w:val="both"/>
              <w:rPr>
                <w:rFonts w:ascii="Arial" w:eastAsia="Calibri" w:hAnsi="Arial" w:cs="Arial"/>
                <w:color w:val="000000"/>
                <w:sz w:val="16"/>
                <w:szCs w:val="16"/>
                <w:lang w:val="es-ES_tradnl" w:eastAsia="es-ES_tradnl"/>
              </w:rPr>
            </w:pPr>
            <w:r w:rsidRPr="004F2FF6">
              <w:rPr>
                <w:rFonts w:ascii="Arial" w:eastAsia="Calibri" w:hAnsi="Arial" w:cs="Arial"/>
                <w:color w:val="000000"/>
                <w:sz w:val="16"/>
                <w:szCs w:val="16"/>
                <w:lang w:val="es-ES_tradnl" w:eastAsia="es-ES_tradnl"/>
              </w:rPr>
              <w:t xml:space="preserve">Deisy Joanna Forero </w:t>
            </w:r>
            <w:proofErr w:type="spellStart"/>
            <w:r w:rsidRPr="004F2FF6">
              <w:rPr>
                <w:rFonts w:ascii="Arial" w:eastAsia="Calibri" w:hAnsi="Arial" w:cs="Arial"/>
                <w:color w:val="000000"/>
                <w:sz w:val="16"/>
                <w:szCs w:val="16"/>
                <w:lang w:val="es-ES_tradnl" w:eastAsia="es-ES_tradnl"/>
              </w:rPr>
              <w:t>Forero</w:t>
            </w:r>
            <w:proofErr w:type="spellEnd"/>
          </w:p>
          <w:p w14:paraId="0EE53875" w14:textId="77777777" w:rsidR="004F2FF6" w:rsidRPr="004F2FF6" w:rsidRDefault="004F2FF6" w:rsidP="004F2FF6">
            <w:pPr>
              <w:jc w:val="both"/>
              <w:rPr>
                <w:rFonts w:ascii="Arial" w:eastAsia="Calibri" w:hAnsi="Arial" w:cs="Arial"/>
                <w:color w:val="000000"/>
                <w:sz w:val="16"/>
                <w:szCs w:val="16"/>
                <w:lang w:val="es-ES_tradnl" w:eastAsia="es-ES_tradnl"/>
              </w:rPr>
            </w:pPr>
            <w:r w:rsidRPr="004F2FF6">
              <w:rPr>
                <w:rFonts w:ascii="Arial" w:eastAsia="Calibri" w:hAnsi="Arial" w:cs="Arial"/>
                <w:color w:val="000000"/>
                <w:sz w:val="16"/>
                <w:szCs w:val="16"/>
                <w:lang w:val="es-ES_tradnl" w:eastAsia="es-ES_tradnl"/>
              </w:rPr>
              <w:t>Contratista de la Subdirección de Gestión Contractual</w:t>
            </w:r>
          </w:p>
        </w:tc>
      </w:tr>
      <w:tr w:rsidR="004F2FF6" w:rsidRPr="004F2FF6" w14:paraId="5784CB96" w14:textId="77777777" w:rsidTr="00FE6C63">
        <w:trPr>
          <w:trHeight w:val="330"/>
        </w:trPr>
        <w:tc>
          <w:tcPr>
            <w:tcW w:w="812" w:type="dxa"/>
            <w:vAlign w:val="center"/>
            <w:hideMark/>
          </w:tcPr>
          <w:p w14:paraId="29D00CDC" w14:textId="77777777" w:rsidR="004F2FF6" w:rsidRPr="004F2FF6" w:rsidRDefault="004F2FF6" w:rsidP="004F2FF6">
            <w:pPr>
              <w:jc w:val="both"/>
              <w:rPr>
                <w:rFonts w:ascii="Arial" w:eastAsia="Calibri" w:hAnsi="Arial" w:cs="Arial"/>
                <w:color w:val="000000"/>
                <w:sz w:val="16"/>
                <w:szCs w:val="16"/>
                <w:lang w:val="es-ES_tradnl" w:eastAsia="es-ES_tradnl"/>
              </w:rPr>
            </w:pPr>
            <w:r w:rsidRPr="004F2FF6">
              <w:rPr>
                <w:rFonts w:ascii="Arial" w:eastAsia="Calibri" w:hAnsi="Arial" w:cs="Arial"/>
                <w:color w:val="000000"/>
                <w:sz w:val="16"/>
                <w:szCs w:val="16"/>
                <w:lang w:val="es-ES_tradnl" w:eastAsia="es-ES_tradnl"/>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D8A2B4A" w14:textId="77777777" w:rsidR="004F2FF6" w:rsidRPr="004F2FF6" w:rsidRDefault="004F2FF6" w:rsidP="004F2FF6">
            <w:pPr>
              <w:jc w:val="both"/>
              <w:rPr>
                <w:rFonts w:ascii="Arial" w:eastAsia="Calibri" w:hAnsi="Arial" w:cs="Arial"/>
                <w:color w:val="000000"/>
                <w:sz w:val="16"/>
                <w:szCs w:val="16"/>
                <w:lang w:val="es-ES_tradnl" w:eastAsia="es-ES_tradnl"/>
              </w:rPr>
            </w:pPr>
            <w:r w:rsidRPr="004F2FF6">
              <w:rPr>
                <w:rFonts w:ascii="Arial" w:eastAsia="Calibri" w:hAnsi="Arial" w:cs="Arial"/>
                <w:color w:val="000000"/>
                <w:sz w:val="16"/>
                <w:szCs w:val="16"/>
                <w:lang w:val="es-ES_tradnl" w:eastAsia="es-ES_tradnl"/>
              </w:rPr>
              <w:t>Sebastián Ramírez Grisales</w:t>
            </w:r>
          </w:p>
          <w:p w14:paraId="28AB87C8" w14:textId="77777777" w:rsidR="004F2FF6" w:rsidRPr="004F2FF6" w:rsidRDefault="004F2FF6" w:rsidP="004F2FF6">
            <w:pPr>
              <w:jc w:val="both"/>
              <w:rPr>
                <w:rFonts w:ascii="Arial" w:eastAsia="Calibri" w:hAnsi="Arial" w:cs="Arial"/>
                <w:color w:val="000000"/>
                <w:sz w:val="16"/>
                <w:szCs w:val="16"/>
                <w:lang w:val="es-ES_tradnl" w:eastAsia="es-ES_tradnl"/>
              </w:rPr>
            </w:pPr>
            <w:r w:rsidRPr="004F2FF6">
              <w:rPr>
                <w:rFonts w:ascii="Arial" w:eastAsia="Calibri" w:hAnsi="Arial" w:cs="Arial"/>
                <w:color w:val="000000"/>
                <w:sz w:val="16"/>
                <w:szCs w:val="16"/>
                <w:lang w:val="es-ES_tradnl" w:eastAsia="es-ES_tradnl"/>
              </w:rPr>
              <w:t>Gestor T1 – Grado 15 Subdirección de Gestión Contractual</w:t>
            </w:r>
          </w:p>
        </w:tc>
      </w:tr>
      <w:tr w:rsidR="004F2FF6" w:rsidRPr="004F2FF6" w14:paraId="30222B45" w14:textId="77777777" w:rsidTr="00FE6C63">
        <w:trPr>
          <w:trHeight w:val="300"/>
        </w:trPr>
        <w:tc>
          <w:tcPr>
            <w:tcW w:w="812" w:type="dxa"/>
            <w:vAlign w:val="center"/>
            <w:hideMark/>
          </w:tcPr>
          <w:p w14:paraId="1C8321B8" w14:textId="77777777" w:rsidR="004F2FF6" w:rsidRPr="004F2FF6" w:rsidRDefault="004F2FF6" w:rsidP="004F2FF6">
            <w:pPr>
              <w:jc w:val="both"/>
              <w:rPr>
                <w:rFonts w:ascii="Arial" w:eastAsia="Calibri" w:hAnsi="Arial" w:cs="Arial"/>
                <w:color w:val="000000"/>
                <w:sz w:val="16"/>
                <w:szCs w:val="16"/>
                <w:lang w:val="es-ES_tradnl" w:eastAsia="es-ES_tradnl"/>
              </w:rPr>
            </w:pPr>
            <w:r w:rsidRPr="004F2FF6">
              <w:rPr>
                <w:rFonts w:ascii="Arial" w:eastAsia="Calibri" w:hAnsi="Arial" w:cs="Arial"/>
                <w:color w:val="000000"/>
                <w:sz w:val="16"/>
                <w:szCs w:val="16"/>
                <w:lang w:val="es-ES_tradnl" w:eastAsia="es-ES_tradnl"/>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B15CB8" w14:textId="77777777" w:rsidR="004F2FF6" w:rsidRPr="004F2FF6" w:rsidRDefault="004F2FF6" w:rsidP="004F2FF6">
            <w:pPr>
              <w:jc w:val="both"/>
              <w:rPr>
                <w:rFonts w:ascii="Arial" w:eastAsia="Calibri" w:hAnsi="Arial" w:cs="Arial"/>
                <w:color w:val="000000"/>
                <w:sz w:val="16"/>
                <w:szCs w:val="16"/>
                <w:lang w:val="es-ES_tradnl" w:eastAsia="es-ES_tradnl"/>
              </w:rPr>
            </w:pPr>
            <w:r w:rsidRPr="004F2FF6">
              <w:rPr>
                <w:rFonts w:ascii="Arial" w:eastAsia="Calibri" w:hAnsi="Arial" w:cs="Arial"/>
                <w:color w:val="000000"/>
                <w:sz w:val="16"/>
                <w:szCs w:val="16"/>
                <w:lang w:val="es-ES_tradnl" w:eastAsia="es-ES_tradnl"/>
              </w:rPr>
              <w:t>Jorge Augusto Tirado Navarro</w:t>
            </w:r>
          </w:p>
          <w:p w14:paraId="483EE69F" w14:textId="77777777" w:rsidR="004F2FF6" w:rsidRPr="004F2FF6" w:rsidRDefault="004F2FF6" w:rsidP="004F2FF6">
            <w:pPr>
              <w:jc w:val="both"/>
              <w:rPr>
                <w:rFonts w:ascii="Arial" w:eastAsia="Calibri" w:hAnsi="Arial" w:cs="Arial"/>
                <w:color w:val="000000"/>
                <w:sz w:val="16"/>
                <w:szCs w:val="16"/>
                <w:lang w:val="es-ES_tradnl" w:eastAsia="es-ES_tradnl"/>
              </w:rPr>
            </w:pPr>
            <w:r w:rsidRPr="004F2FF6">
              <w:rPr>
                <w:rFonts w:ascii="Arial" w:eastAsia="Calibri" w:hAnsi="Arial" w:cs="Arial"/>
                <w:color w:val="000000"/>
                <w:sz w:val="16"/>
                <w:szCs w:val="16"/>
                <w:lang w:val="es-ES_tradnl" w:eastAsia="es-ES_tradnl"/>
              </w:rPr>
              <w:t>Subdirector Gestión Contractual ANCP – CCE</w:t>
            </w:r>
          </w:p>
        </w:tc>
      </w:tr>
    </w:tbl>
    <w:p w14:paraId="12946462" w14:textId="77777777" w:rsidR="00E27BDF" w:rsidRDefault="00E27BDF">
      <w:pPr>
        <w:jc w:val="both"/>
        <w:rPr>
          <w:color w:val="000000"/>
        </w:rPr>
      </w:pPr>
    </w:p>
    <w:sectPr w:rsidR="00E27BDF">
      <w:headerReference w:type="default" r:id="rId12"/>
      <w:footerReference w:type="default" r:id="rId13"/>
      <w:pgSz w:w="12240" w:h="15840"/>
      <w:pgMar w:top="2041" w:right="1701" w:bottom="1418" w:left="1701" w:header="340" w:footer="227"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3A2DE" w16cex:dateUtc="2020-11-09T16:13:00Z"/>
  <w16cex:commentExtensible w16cex:durableId="2353A605" w16cex:dateUtc="2020-11-09T16:27:00Z"/>
  <w16cex:commentExtensible w16cex:durableId="2353B6A8" w16cex:dateUtc="2020-11-09T17:38:00Z"/>
  <w16cex:commentExtensible w16cex:durableId="2354277F" w16cex:dateUtc="2020-11-10T01:39:00Z"/>
  <w16cex:commentExtensible w16cex:durableId="23544626" w16cex:dateUtc="2020-11-10T03:50:00Z"/>
  <w16cex:commentExtensible w16cex:durableId="2353B5E0" w16cex:dateUtc="2020-11-09T17:34:00Z"/>
  <w16cex:commentExtensible w16cex:durableId="23542C4C" w16cex:dateUtc="2020-11-10T01:59:00Z"/>
  <w16cex:commentExtensible w16cex:durableId="23544747" w16cex:dateUtc="2020-11-10T03:55:00Z"/>
  <w16cex:commentExtensible w16cex:durableId="2353B4FA" w16cex:dateUtc="2020-11-09T17:30:00Z"/>
  <w16cex:commentExtensible w16cex:durableId="2353B541" w16cex:dateUtc="2020-11-09T17:32:00Z"/>
  <w16cex:commentExtensible w16cex:durableId="23542ED4" w16cex:dateUtc="2020-11-10T02:10:00Z"/>
  <w16cex:commentExtensible w16cex:durableId="23544865" w16cex:dateUtc="2020-11-10T03:5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78B93" w14:textId="77777777" w:rsidR="00EF097C" w:rsidRDefault="00EF097C">
      <w:r>
        <w:separator/>
      </w:r>
    </w:p>
  </w:endnote>
  <w:endnote w:type="continuationSeparator" w:id="0">
    <w:p w14:paraId="1CDB8B68" w14:textId="77777777" w:rsidR="00EF097C" w:rsidRDefault="00EF0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1E0B4" w14:textId="41751187" w:rsidR="004938A8" w:rsidRDefault="004938A8">
    <w:pPr>
      <w:pBdr>
        <w:top w:val="nil"/>
        <w:left w:val="nil"/>
        <w:bottom w:val="nil"/>
        <w:right w:val="nil"/>
        <w:between w:val="nil"/>
      </w:pBdr>
      <w:jc w:val="right"/>
      <w:rPr>
        <w:rFonts w:ascii="Arial" w:eastAsia="Arial" w:hAnsi="Arial" w:cs="Arial"/>
        <w:color w:val="000000"/>
        <w:sz w:val="18"/>
        <w:szCs w:val="18"/>
      </w:rPr>
    </w:pPr>
  </w:p>
  <w:p w14:paraId="432E397D" w14:textId="77777777" w:rsidR="004938A8" w:rsidRDefault="004938A8">
    <w:pPr>
      <w:pBdr>
        <w:top w:val="nil"/>
        <w:left w:val="nil"/>
        <w:bottom w:val="nil"/>
        <w:right w:val="nil"/>
        <w:between w:val="nil"/>
      </w:pBdr>
      <w:jc w:val="right"/>
      <w:rPr>
        <w:rFonts w:ascii="Arial" w:eastAsia="Arial" w:hAnsi="Arial" w:cs="Arial"/>
        <w:color w:val="000000"/>
        <w:sz w:val="18"/>
        <w:szCs w:val="18"/>
      </w:rPr>
    </w:pPr>
  </w:p>
  <w:p w14:paraId="1E263B40" w14:textId="75FA2E88" w:rsidR="004938A8" w:rsidRDefault="004938A8" w:rsidP="002034E6">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7654F8">
      <w:rPr>
        <w:rFonts w:ascii="Arial" w:eastAsia="Arial" w:hAnsi="Arial" w:cs="Arial"/>
        <w:b/>
        <w:noProof/>
        <w:color w:val="7F7F7F"/>
        <w:sz w:val="16"/>
        <w:szCs w:val="16"/>
      </w:rPr>
      <w:t>10</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7654F8">
      <w:rPr>
        <w:rFonts w:ascii="Arial" w:eastAsia="Arial" w:hAnsi="Arial" w:cs="Arial"/>
        <w:b/>
        <w:noProof/>
        <w:color w:val="7F7F7F"/>
        <w:sz w:val="16"/>
        <w:szCs w:val="16"/>
      </w:rPr>
      <w:t>12</w:t>
    </w:r>
    <w:r>
      <w:rPr>
        <w:rFonts w:ascii="Arial" w:eastAsia="Arial" w:hAnsi="Arial" w:cs="Arial"/>
        <w:b/>
        <w:color w:val="7F7F7F"/>
        <w:sz w:val="16"/>
        <w:szCs w:val="16"/>
      </w:rPr>
      <w:fldChar w:fldCharType="end"/>
    </w:r>
  </w:p>
  <w:p w14:paraId="3BBBC245" w14:textId="5F605B42" w:rsidR="004938A8" w:rsidRDefault="004938A8">
    <w:pPr>
      <w:pBdr>
        <w:top w:val="nil"/>
        <w:left w:val="nil"/>
        <w:bottom w:val="nil"/>
        <w:right w:val="nil"/>
        <w:between w:val="nil"/>
      </w:pBdr>
      <w:tabs>
        <w:tab w:val="center" w:pos="4419"/>
        <w:tab w:val="right" w:pos="8838"/>
      </w:tabs>
      <w:jc w:val="center"/>
      <w:rPr>
        <w:color w:val="000000"/>
      </w:rPr>
    </w:pPr>
    <w:r>
      <w:rPr>
        <w:noProof/>
        <w:color w:val="000000"/>
        <w:lang w:eastAsia="es-CO"/>
      </w:rPr>
      <w:drawing>
        <wp:inline distT="0" distB="0" distL="0" distR="0" wp14:anchorId="30E83ACA" wp14:editId="5824278E">
          <wp:extent cx="3700130" cy="519139"/>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700130" cy="519139"/>
                  </a:xfrm>
                  <a:prstGeom prst="rect">
                    <a:avLst/>
                  </a:prstGeom>
                  <a:ln/>
                </pic:spPr>
              </pic:pic>
            </a:graphicData>
          </a:graphic>
        </wp:inline>
      </w:drawing>
    </w:r>
  </w:p>
  <w:p w14:paraId="0E99CD91" w14:textId="77777777" w:rsidR="004938A8" w:rsidRDefault="004938A8">
    <w:pPr>
      <w:pBdr>
        <w:top w:val="nil"/>
        <w:left w:val="nil"/>
        <w:bottom w:val="nil"/>
        <w:right w:val="nil"/>
        <w:between w:val="nil"/>
      </w:pBdr>
      <w:tabs>
        <w:tab w:val="center" w:pos="4419"/>
        <w:tab w:val="right" w:pos="8838"/>
      </w:tabs>
      <w:jc w:val="center"/>
      <w:rPr>
        <w:color w:val="000000"/>
      </w:rPr>
    </w:pPr>
  </w:p>
  <w:p w14:paraId="2378D973" w14:textId="77777777" w:rsidR="004938A8" w:rsidRDefault="004938A8" w:rsidP="00E737A2">
    <w:pPr>
      <w:pBdr>
        <w:top w:val="nil"/>
        <w:left w:val="nil"/>
        <w:bottom w:val="nil"/>
        <w:right w:val="nil"/>
        <w:between w:val="nil"/>
      </w:pBdr>
      <w:tabs>
        <w:tab w:val="center" w:pos="4419"/>
        <w:tab w:val="right" w:pos="8838"/>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D7A20C" w14:textId="77777777" w:rsidR="00EF097C" w:rsidRDefault="00EF097C">
      <w:r>
        <w:separator/>
      </w:r>
    </w:p>
  </w:footnote>
  <w:footnote w:type="continuationSeparator" w:id="0">
    <w:p w14:paraId="12FD70B3" w14:textId="77777777" w:rsidR="00EF097C" w:rsidRDefault="00EF097C">
      <w:r>
        <w:continuationSeparator/>
      </w:r>
    </w:p>
  </w:footnote>
  <w:footnote w:id="1">
    <w:p w14:paraId="0B9E0F89" w14:textId="77777777" w:rsidR="00B65CC6" w:rsidRPr="00974379" w:rsidRDefault="00B65CC6" w:rsidP="00974379">
      <w:pPr>
        <w:pStyle w:val="Textonotapie"/>
        <w:ind w:firstLine="709"/>
        <w:jc w:val="both"/>
        <w:rPr>
          <w:rFonts w:ascii="Arial" w:eastAsiaTheme="minorHAnsi" w:hAnsi="Arial" w:cs="Arial"/>
          <w:sz w:val="19"/>
          <w:szCs w:val="19"/>
          <w:lang w:val="es-MX"/>
        </w:rPr>
      </w:pPr>
      <w:r w:rsidRPr="00974379">
        <w:rPr>
          <w:rStyle w:val="Refdenotaalpie"/>
          <w:rFonts w:ascii="Arial" w:hAnsi="Arial" w:cs="Arial"/>
          <w:sz w:val="19"/>
          <w:szCs w:val="19"/>
        </w:rPr>
        <w:footnoteRef/>
      </w:r>
      <w:r w:rsidRPr="00974379">
        <w:rPr>
          <w:rFonts w:ascii="Arial" w:hAnsi="Arial" w:cs="Arial"/>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49C6A3AE" w14:textId="77777777" w:rsidR="00B65CC6" w:rsidRPr="00974379" w:rsidRDefault="00B65CC6" w:rsidP="00974379">
      <w:pPr>
        <w:pStyle w:val="Textonotapie"/>
        <w:ind w:firstLine="709"/>
        <w:jc w:val="both"/>
        <w:rPr>
          <w:rFonts w:ascii="Arial" w:hAnsi="Arial" w:cs="Arial"/>
          <w:sz w:val="19"/>
          <w:szCs w:val="19"/>
        </w:rPr>
      </w:pPr>
      <w:proofErr w:type="gramStart"/>
      <w:r w:rsidRPr="00974379">
        <w:rPr>
          <w:rFonts w:ascii="Arial" w:hAnsi="Arial" w:cs="Arial"/>
          <w:sz w:val="19"/>
          <w:szCs w:val="19"/>
        </w:rPr>
        <w:t>»Las</w:t>
      </w:r>
      <w:proofErr w:type="gramEnd"/>
      <w:r w:rsidRPr="00974379">
        <w:rPr>
          <w:rFonts w:ascii="Arial" w:hAnsi="Arial" w:cs="Arial"/>
          <w:sz w:val="19"/>
          <w:szCs w:val="19"/>
        </w:rPr>
        <w:t xml:space="preserve"> personas jurídicas nacionales y extranjeras deberán acreditar que su duración no será inferior a la del plazo del contrato y un año más».</w:t>
      </w:r>
    </w:p>
    <w:p w14:paraId="64822ACB" w14:textId="77777777" w:rsidR="00B65CC6" w:rsidRPr="00974379" w:rsidRDefault="00B65CC6" w:rsidP="00974379">
      <w:pPr>
        <w:pStyle w:val="Textonotapie"/>
        <w:ind w:firstLine="709"/>
        <w:jc w:val="both"/>
        <w:rPr>
          <w:rFonts w:ascii="Arial" w:hAnsi="Arial" w:cs="Arial"/>
          <w:sz w:val="19"/>
          <w:szCs w:val="19"/>
        </w:rPr>
      </w:pPr>
    </w:p>
  </w:footnote>
  <w:footnote w:id="2">
    <w:p w14:paraId="70B08CC1" w14:textId="77777777" w:rsidR="00B65CC6" w:rsidRPr="00974379" w:rsidRDefault="00B65CC6" w:rsidP="00974379">
      <w:pPr>
        <w:pStyle w:val="Textonotapie"/>
        <w:ind w:firstLine="709"/>
        <w:jc w:val="both"/>
        <w:rPr>
          <w:rFonts w:ascii="Arial" w:hAnsi="Arial" w:cs="Arial"/>
          <w:sz w:val="19"/>
          <w:szCs w:val="19"/>
        </w:rPr>
      </w:pPr>
      <w:r w:rsidRPr="00974379">
        <w:rPr>
          <w:rStyle w:val="Refdenotaalpie"/>
          <w:rFonts w:ascii="Arial" w:hAnsi="Arial" w:cs="Arial"/>
          <w:sz w:val="19"/>
          <w:szCs w:val="19"/>
        </w:rPr>
        <w:footnoteRef/>
      </w:r>
      <w:r w:rsidRPr="00974379">
        <w:rPr>
          <w:rFonts w:ascii="Arial" w:hAnsi="Arial" w:cs="Arial"/>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4014AE3E" w14:textId="77777777" w:rsidR="00B65CC6" w:rsidRPr="00974379" w:rsidRDefault="00B65CC6" w:rsidP="00974379">
      <w:pPr>
        <w:pStyle w:val="Textonotapie"/>
        <w:ind w:firstLine="709"/>
        <w:jc w:val="both"/>
        <w:rPr>
          <w:rFonts w:ascii="Arial" w:hAnsi="Arial" w:cs="Arial"/>
          <w:sz w:val="19"/>
          <w:szCs w:val="19"/>
        </w:rPr>
      </w:pPr>
      <w:proofErr w:type="gramStart"/>
      <w:r w:rsidRPr="00974379">
        <w:rPr>
          <w:rFonts w:ascii="Arial" w:hAnsi="Arial" w:cs="Arial"/>
          <w:sz w:val="19"/>
          <w:szCs w:val="19"/>
        </w:rPr>
        <w:t>»1o.</w:t>
      </w:r>
      <w:proofErr w:type="gramEnd"/>
      <w:r w:rsidRPr="00974379">
        <w:rPr>
          <w:rFonts w:ascii="Arial" w:hAnsi="Arial" w:cs="Arial"/>
          <w:sz w:val="19"/>
          <w:szCs w:val="19"/>
        </w:rPr>
        <w:t>) que sea legalmente capaz.</w:t>
      </w:r>
    </w:p>
    <w:p w14:paraId="746D4A2D" w14:textId="77777777" w:rsidR="00B65CC6" w:rsidRPr="00974379" w:rsidRDefault="00B65CC6" w:rsidP="00974379">
      <w:pPr>
        <w:pStyle w:val="Textonotapie"/>
        <w:ind w:firstLine="709"/>
        <w:jc w:val="both"/>
        <w:rPr>
          <w:rFonts w:ascii="Arial" w:hAnsi="Arial" w:cs="Arial"/>
          <w:sz w:val="19"/>
          <w:szCs w:val="19"/>
        </w:rPr>
      </w:pPr>
      <w:r w:rsidRPr="00974379">
        <w:rPr>
          <w:rFonts w:ascii="Arial" w:hAnsi="Arial" w:cs="Arial"/>
          <w:sz w:val="19"/>
          <w:szCs w:val="19"/>
        </w:rPr>
        <w:t>[…]</w:t>
      </w:r>
    </w:p>
    <w:p w14:paraId="1FC38F65" w14:textId="77777777" w:rsidR="00B65CC6" w:rsidRPr="00974379" w:rsidRDefault="00B65CC6" w:rsidP="00974379">
      <w:pPr>
        <w:pStyle w:val="Textonotapie"/>
        <w:ind w:firstLine="709"/>
        <w:jc w:val="both"/>
        <w:rPr>
          <w:rFonts w:ascii="Arial" w:hAnsi="Arial" w:cs="Arial"/>
          <w:sz w:val="19"/>
          <w:szCs w:val="19"/>
        </w:rPr>
      </w:pPr>
      <w:proofErr w:type="gramStart"/>
      <w:r w:rsidRPr="00974379">
        <w:rPr>
          <w:rFonts w:ascii="Arial" w:hAnsi="Arial" w:cs="Arial"/>
          <w:sz w:val="19"/>
          <w:szCs w:val="19"/>
        </w:rPr>
        <w:t>»La</w:t>
      </w:r>
      <w:proofErr w:type="gramEnd"/>
      <w:r w:rsidRPr="00974379">
        <w:rPr>
          <w:rFonts w:ascii="Arial" w:hAnsi="Arial" w:cs="Arial"/>
          <w:sz w:val="19"/>
          <w:szCs w:val="19"/>
        </w:rPr>
        <w:t xml:space="preserve"> capacidad legal de una persona consiste en poderse obligar por sí misma, sin el ministerio o la autorización de otra».</w:t>
      </w:r>
    </w:p>
    <w:p w14:paraId="2C60D0A9" w14:textId="77777777" w:rsidR="00B65CC6" w:rsidRPr="00974379" w:rsidRDefault="00B65CC6" w:rsidP="00974379">
      <w:pPr>
        <w:pStyle w:val="Textonotapie"/>
        <w:ind w:firstLine="709"/>
        <w:jc w:val="both"/>
        <w:rPr>
          <w:rFonts w:ascii="Arial" w:hAnsi="Arial" w:cs="Arial"/>
          <w:sz w:val="19"/>
          <w:szCs w:val="19"/>
        </w:rPr>
      </w:pPr>
    </w:p>
  </w:footnote>
  <w:footnote w:id="3">
    <w:p w14:paraId="25FCF8B4" w14:textId="77777777" w:rsidR="00B65CC6" w:rsidRPr="00974379" w:rsidRDefault="00B65CC6" w:rsidP="00974379">
      <w:pPr>
        <w:pStyle w:val="Textonotapie"/>
        <w:ind w:firstLine="709"/>
        <w:jc w:val="both"/>
        <w:rPr>
          <w:rFonts w:ascii="Arial" w:hAnsi="Arial" w:cs="Arial"/>
          <w:sz w:val="19"/>
          <w:szCs w:val="19"/>
          <w:lang w:val="es-ES"/>
        </w:rPr>
      </w:pPr>
      <w:r w:rsidRPr="00974379">
        <w:rPr>
          <w:rStyle w:val="Refdenotaalpie"/>
          <w:rFonts w:ascii="Arial" w:hAnsi="Arial" w:cs="Arial"/>
          <w:sz w:val="19"/>
          <w:szCs w:val="19"/>
        </w:rPr>
        <w:footnoteRef/>
      </w:r>
      <w:r w:rsidRPr="00974379">
        <w:rPr>
          <w:rFonts w:ascii="Arial" w:hAnsi="Arial" w:cs="Arial"/>
          <w:sz w:val="19"/>
          <w:szCs w:val="19"/>
        </w:rPr>
        <w:t xml:space="preserve"> </w:t>
      </w:r>
      <w:r w:rsidRPr="00974379">
        <w:rPr>
          <w:rFonts w:ascii="Arial" w:hAnsi="Arial" w:cs="Arial"/>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974379">
        <w:rPr>
          <w:rFonts w:ascii="Arial" w:hAnsi="Arial" w:cs="Arial"/>
          <w:i/>
          <w:iCs/>
          <w:sz w:val="19"/>
          <w:szCs w:val="19"/>
          <w:lang w:val="es-ES"/>
        </w:rPr>
        <w:t>el régimen de inhabilidades e incompatibilidades</w:t>
      </w:r>
      <w:r w:rsidRPr="00974379">
        <w:rPr>
          <w:rFonts w:ascii="Arial" w:hAnsi="Arial" w:cs="Arial"/>
          <w:sz w:val="19"/>
          <w:szCs w:val="19"/>
          <w:lang w:val="es-ES"/>
        </w:rPr>
        <w:t xml:space="preserve"> (1) y la obligación de ciertos proponentes de inscribirse en el </w:t>
      </w:r>
      <w:r w:rsidRPr="00974379">
        <w:rPr>
          <w:rFonts w:ascii="Arial" w:hAnsi="Arial" w:cs="Arial"/>
          <w:i/>
          <w:iCs/>
          <w:sz w:val="19"/>
          <w:szCs w:val="19"/>
          <w:lang w:val="es-ES"/>
        </w:rPr>
        <w:t>registro único</w:t>
      </w:r>
      <w:r w:rsidRPr="00974379">
        <w:rPr>
          <w:rFonts w:ascii="Arial" w:hAnsi="Arial" w:cs="Arial"/>
          <w:sz w:val="19"/>
          <w:szCs w:val="19"/>
          <w:lang w:val="es-ES"/>
        </w:rPr>
        <w:t xml:space="preserve"> (2)» (BENAVIDES, José Luis. El contrato estatal. Entre el Derecho público y el Derecho privado. 2ª ed. Bogotá: Universidad Externado de Colombia, 2004. p. 278). </w:t>
      </w:r>
    </w:p>
    <w:p w14:paraId="74DDE888" w14:textId="77777777" w:rsidR="00B65CC6" w:rsidRPr="00974379" w:rsidRDefault="00B65CC6" w:rsidP="00974379">
      <w:pPr>
        <w:pStyle w:val="Textonotapie"/>
        <w:ind w:firstLine="709"/>
        <w:jc w:val="both"/>
        <w:rPr>
          <w:rFonts w:ascii="Arial" w:hAnsi="Arial" w:cs="Arial"/>
          <w:sz w:val="19"/>
          <w:szCs w:val="19"/>
          <w:lang w:val="es-ES"/>
        </w:rPr>
      </w:pPr>
    </w:p>
  </w:footnote>
  <w:footnote w:id="4">
    <w:p w14:paraId="74688450" w14:textId="13236362" w:rsidR="00B65CC6" w:rsidRPr="00974379" w:rsidRDefault="00B65CC6" w:rsidP="00974379">
      <w:pPr>
        <w:pStyle w:val="Textonotapie"/>
        <w:ind w:firstLine="709"/>
        <w:jc w:val="both"/>
        <w:rPr>
          <w:rFonts w:ascii="Arial" w:hAnsi="Arial" w:cs="Arial"/>
          <w:sz w:val="19"/>
          <w:szCs w:val="19"/>
          <w:lang w:val="es-ES"/>
        </w:rPr>
      </w:pPr>
      <w:r w:rsidRPr="007F2779">
        <w:rPr>
          <w:rStyle w:val="Refdenotaalpie"/>
          <w:rFonts w:ascii="Arial" w:hAnsi="Arial" w:cs="Arial"/>
          <w:sz w:val="19"/>
          <w:szCs w:val="19"/>
        </w:rPr>
        <w:footnoteRef/>
      </w:r>
      <w:r w:rsidRPr="007F2779">
        <w:rPr>
          <w:rFonts w:ascii="Arial" w:hAnsi="Arial" w:cs="Arial"/>
          <w:sz w:val="19"/>
          <w:szCs w:val="19"/>
        </w:rPr>
        <w:t xml:space="preserve"> </w:t>
      </w:r>
      <w:r w:rsidR="007B16A8" w:rsidRPr="007F2779">
        <w:rPr>
          <w:rFonts w:ascii="Arial" w:hAnsi="Arial" w:cs="Arial"/>
          <w:sz w:val="19"/>
          <w:szCs w:val="19"/>
          <w:lang w:val="es-ES"/>
        </w:rPr>
        <w:t>BARRETO MORENO</w:t>
      </w:r>
      <w:r w:rsidRPr="007F2779">
        <w:rPr>
          <w:rFonts w:ascii="Arial" w:hAnsi="Arial" w:cs="Arial"/>
          <w:sz w:val="19"/>
          <w:szCs w:val="19"/>
          <w:lang w:val="es-ES"/>
        </w:rPr>
        <w:t xml:space="preserve">, Antonio Alejandro. Inhabilidades de la contratación estatal, efectos y </w:t>
      </w:r>
      <w:proofErr w:type="spellStart"/>
      <w:r w:rsidRPr="007F2779">
        <w:rPr>
          <w:rFonts w:ascii="Arial" w:hAnsi="Arial" w:cs="Arial"/>
          <w:sz w:val="19"/>
          <w:szCs w:val="19"/>
          <w:lang w:val="es-ES"/>
        </w:rPr>
        <w:t>neopunitivismo</w:t>
      </w:r>
      <w:proofErr w:type="spellEnd"/>
      <w:r w:rsidRPr="007F2779">
        <w:rPr>
          <w:rFonts w:ascii="Arial" w:hAnsi="Arial" w:cs="Arial"/>
          <w:sz w:val="19"/>
          <w:szCs w:val="19"/>
          <w:lang w:val="es-ES"/>
        </w:rPr>
        <w:t xml:space="preserve"> en el Estatuto Anticorrupción. En: ALVIAR GARCÍA, Helena (Coordinadora). </w:t>
      </w:r>
      <w:r w:rsidRPr="00974379">
        <w:rPr>
          <w:rFonts w:ascii="Arial" w:hAnsi="Arial" w:cs="Arial"/>
          <w:sz w:val="19"/>
          <w:szCs w:val="19"/>
          <w:lang w:val="es-ES"/>
        </w:rPr>
        <w:t>Nuevas tendencias del Derecho administrativo. Bogotá: Universidad de los Andes; Temis, 2016. pp. 63-99.</w:t>
      </w:r>
    </w:p>
    <w:p w14:paraId="68A8D697" w14:textId="77777777" w:rsidR="00B65CC6" w:rsidRPr="00974379" w:rsidRDefault="00B65CC6" w:rsidP="007F2779">
      <w:pPr>
        <w:pStyle w:val="Textonotapie"/>
        <w:ind w:firstLine="709"/>
        <w:jc w:val="both"/>
        <w:rPr>
          <w:rFonts w:ascii="Arial" w:hAnsi="Arial" w:cs="Arial"/>
          <w:sz w:val="19"/>
          <w:szCs w:val="19"/>
          <w:lang w:val="es-ES"/>
        </w:rPr>
      </w:pPr>
    </w:p>
  </w:footnote>
  <w:footnote w:id="5">
    <w:p w14:paraId="303D3D7E" w14:textId="77777777" w:rsidR="00B65CC6" w:rsidRPr="007F2779" w:rsidRDefault="00B65CC6" w:rsidP="007F2779">
      <w:pPr>
        <w:pStyle w:val="Textonotapie"/>
        <w:ind w:firstLine="709"/>
        <w:jc w:val="both"/>
        <w:rPr>
          <w:rFonts w:ascii="Arial" w:hAnsi="Arial" w:cs="Arial"/>
          <w:sz w:val="19"/>
          <w:szCs w:val="19"/>
          <w:lang w:val="es-ES"/>
        </w:rPr>
      </w:pPr>
      <w:r w:rsidRPr="007F2779">
        <w:rPr>
          <w:rStyle w:val="Refdenotaalpie"/>
          <w:rFonts w:ascii="Arial" w:hAnsi="Arial" w:cs="Arial"/>
          <w:sz w:val="19"/>
          <w:szCs w:val="19"/>
        </w:rPr>
        <w:footnoteRef/>
      </w:r>
      <w:r w:rsidRPr="007F2779">
        <w:rPr>
          <w:rFonts w:ascii="Arial" w:hAnsi="Arial" w:cs="Arial"/>
          <w:sz w:val="19"/>
          <w:szCs w:val="19"/>
        </w:rPr>
        <w:t xml:space="preserve"> </w:t>
      </w:r>
      <w:proofErr w:type="spellStart"/>
      <w:r w:rsidRPr="007F2779">
        <w:rPr>
          <w:rFonts w:ascii="Arial" w:hAnsi="Arial" w:cs="Arial"/>
          <w:sz w:val="19"/>
          <w:szCs w:val="19"/>
          <w:lang w:val="es-ES"/>
        </w:rPr>
        <w:t>Ibíd</w:t>
      </w:r>
      <w:proofErr w:type="spellEnd"/>
      <w:r w:rsidRPr="007F2779">
        <w:rPr>
          <w:rFonts w:ascii="Arial" w:hAnsi="Arial" w:cs="Arial"/>
          <w:sz w:val="19"/>
          <w:szCs w:val="19"/>
          <w:lang w:val="es-ES"/>
        </w:rPr>
        <w:t>., p. 69.</w:t>
      </w:r>
    </w:p>
    <w:p w14:paraId="386CCE0F" w14:textId="77777777" w:rsidR="00B65CC6" w:rsidRPr="00974379" w:rsidRDefault="00B65CC6">
      <w:pPr>
        <w:pStyle w:val="Textonotapie"/>
        <w:ind w:firstLine="709"/>
        <w:jc w:val="both"/>
        <w:rPr>
          <w:rFonts w:ascii="Arial" w:hAnsi="Arial" w:cs="Arial"/>
          <w:sz w:val="19"/>
          <w:szCs w:val="19"/>
          <w:lang w:val="es-ES"/>
        </w:rPr>
      </w:pPr>
    </w:p>
  </w:footnote>
  <w:footnote w:id="6">
    <w:p w14:paraId="0174740F" w14:textId="20F69CAA" w:rsidR="00B65CC6" w:rsidRPr="00974379" w:rsidRDefault="00B65CC6">
      <w:pPr>
        <w:pStyle w:val="Textonotapie"/>
        <w:ind w:firstLine="709"/>
        <w:jc w:val="both"/>
        <w:rPr>
          <w:rFonts w:ascii="Arial" w:hAnsi="Arial" w:cs="Arial"/>
          <w:sz w:val="19"/>
          <w:szCs w:val="19"/>
          <w:lang w:val="es-ES"/>
        </w:rPr>
      </w:pPr>
      <w:r w:rsidRPr="007F2779">
        <w:rPr>
          <w:rStyle w:val="Refdenotaalpie"/>
          <w:rFonts w:ascii="Arial" w:hAnsi="Arial" w:cs="Arial"/>
          <w:sz w:val="19"/>
          <w:szCs w:val="19"/>
        </w:rPr>
        <w:footnoteRef/>
      </w:r>
      <w:r w:rsidRPr="007F2779">
        <w:rPr>
          <w:rFonts w:ascii="Arial" w:hAnsi="Arial" w:cs="Arial"/>
          <w:sz w:val="19"/>
          <w:szCs w:val="19"/>
        </w:rPr>
        <w:t xml:space="preserve"> </w:t>
      </w:r>
      <w:r w:rsidRPr="007F2779">
        <w:rPr>
          <w:rFonts w:ascii="Arial" w:hAnsi="Arial" w:cs="Arial"/>
          <w:sz w:val="19"/>
          <w:szCs w:val="19"/>
          <w:lang w:val="es-ES"/>
        </w:rPr>
        <w:t>Corte Constitucional. Sentencia T-1039 de 2006. Magistrado Ponente: Humberto Sierra Porto. La Corte ha mantenido este criterio en la</w:t>
      </w:r>
      <w:r w:rsidRPr="00974379">
        <w:rPr>
          <w:rFonts w:ascii="Arial" w:hAnsi="Arial" w:cs="Arial"/>
          <w:sz w:val="19"/>
          <w:szCs w:val="19"/>
          <w:lang w:val="es-ES"/>
        </w:rPr>
        <w:t>s sentencias: C-903 de 2008. Magistrado Ponente: Jaime Araujo Rentería; C-101 de 2018. Magistrada Ponente Gloria Stella Ortiz Delgado; entre otras.</w:t>
      </w:r>
    </w:p>
  </w:footnote>
  <w:footnote w:id="7">
    <w:p w14:paraId="6B950DA2" w14:textId="77777777" w:rsidR="00B65CC6" w:rsidRPr="00974379" w:rsidRDefault="00B65CC6">
      <w:pPr>
        <w:pStyle w:val="Textonotapie"/>
        <w:ind w:firstLine="709"/>
        <w:jc w:val="both"/>
        <w:rPr>
          <w:rFonts w:ascii="Arial" w:hAnsi="Arial" w:cs="Arial"/>
          <w:sz w:val="19"/>
          <w:szCs w:val="19"/>
          <w:lang w:val="es-ES"/>
        </w:rPr>
      </w:pPr>
      <w:r w:rsidRPr="007F2779">
        <w:rPr>
          <w:rStyle w:val="Refdenotaalpie"/>
          <w:rFonts w:ascii="Arial" w:hAnsi="Arial" w:cs="Arial"/>
          <w:sz w:val="19"/>
          <w:szCs w:val="19"/>
        </w:rPr>
        <w:footnoteRef/>
      </w:r>
      <w:r w:rsidRPr="007F2779">
        <w:rPr>
          <w:rFonts w:ascii="Arial" w:hAnsi="Arial" w:cs="Arial"/>
          <w:sz w:val="19"/>
          <w:szCs w:val="19"/>
        </w:rPr>
        <w:t xml:space="preserve"> </w:t>
      </w:r>
      <w:r w:rsidRPr="007F2779">
        <w:rPr>
          <w:rFonts w:ascii="Arial" w:hAnsi="Arial" w:cs="Arial"/>
          <w:sz w:val="19"/>
          <w:szCs w:val="19"/>
          <w:lang w:val="es-ES"/>
        </w:rPr>
        <w:t>Consejo de Estado. Sala de Consulta y Servicio Civil. Concepto del 30 de abril de 2015. Expediente: 2251</w:t>
      </w:r>
      <w:r w:rsidRPr="00974379">
        <w:rPr>
          <w:rFonts w:ascii="Arial" w:hAnsi="Arial" w:cs="Arial"/>
          <w:sz w:val="19"/>
          <w:szCs w:val="19"/>
          <w:lang w:val="es-ES"/>
        </w:rPr>
        <w:t xml:space="preserve">. Consejero Ponente: Álvaro </w:t>
      </w:r>
      <w:proofErr w:type="spellStart"/>
      <w:r w:rsidRPr="00974379">
        <w:rPr>
          <w:rFonts w:ascii="Arial" w:hAnsi="Arial" w:cs="Arial"/>
          <w:sz w:val="19"/>
          <w:szCs w:val="19"/>
          <w:lang w:val="es-ES"/>
        </w:rPr>
        <w:t>Namén</w:t>
      </w:r>
      <w:proofErr w:type="spellEnd"/>
      <w:r w:rsidRPr="00974379">
        <w:rPr>
          <w:rFonts w:ascii="Arial" w:hAnsi="Arial" w:cs="Arial"/>
          <w:sz w:val="19"/>
          <w:szCs w:val="19"/>
          <w:lang w:val="es-ES"/>
        </w:rPr>
        <w:t xml:space="preserve"> Vargas.</w:t>
      </w:r>
    </w:p>
    <w:p w14:paraId="5038E3CE" w14:textId="77777777" w:rsidR="00B65CC6" w:rsidRPr="00974379" w:rsidRDefault="00B65CC6">
      <w:pPr>
        <w:pStyle w:val="Textonotapie"/>
        <w:ind w:firstLine="709"/>
        <w:jc w:val="both"/>
        <w:rPr>
          <w:rFonts w:ascii="Arial" w:hAnsi="Arial" w:cs="Arial"/>
          <w:sz w:val="19"/>
          <w:szCs w:val="19"/>
          <w:lang w:val="es-ES"/>
        </w:rPr>
      </w:pPr>
    </w:p>
  </w:footnote>
  <w:footnote w:id="8">
    <w:p w14:paraId="3188470E" w14:textId="77777777" w:rsidR="00B65CC6" w:rsidRPr="007F2779" w:rsidRDefault="00B65CC6">
      <w:pPr>
        <w:pStyle w:val="Textonotapie"/>
        <w:ind w:firstLine="709"/>
        <w:jc w:val="both"/>
        <w:rPr>
          <w:rFonts w:ascii="Arial" w:hAnsi="Arial" w:cs="Arial"/>
          <w:sz w:val="19"/>
          <w:szCs w:val="19"/>
          <w:lang w:val="es-MX"/>
        </w:rPr>
      </w:pPr>
      <w:r w:rsidRPr="007F2779">
        <w:rPr>
          <w:rStyle w:val="Refdenotaalpie"/>
          <w:rFonts w:ascii="Arial" w:hAnsi="Arial" w:cs="Arial"/>
          <w:sz w:val="19"/>
          <w:szCs w:val="19"/>
        </w:rPr>
        <w:footnoteRef/>
      </w:r>
      <w:r w:rsidRPr="007F2779">
        <w:rPr>
          <w:rFonts w:ascii="Arial" w:hAnsi="Arial" w:cs="Arial"/>
          <w:sz w:val="19"/>
          <w:szCs w:val="19"/>
        </w:rPr>
        <w:t xml:space="preserve"> Consejo de Estado. Sección Tercera. Subsección A. Sentencia del 24 de junio de 2015. </w:t>
      </w:r>
      <w:proofErr w:type="spellStart"/>
      <w:r w:rsidRPr="007F2779">
        <w:rPr>
          <w:rFonts w:ascii="Arial" w:hAnsi="Arial" w:cs="Arial"/>
          <w:sz w:val="19"/>
          <w:szCs w:val="19"/>
        </w:rPr>
        <w:t>Exp</w:t>
      </w:r>
      <w:proofErr w:type="spellEnd"/>
      <w:r w:rsidRPr="007F2779">
        <w:rPr>
          <w:rFonts w:ascii="Arial" w:hAnsi="Arial" w:cs="Arial"/>
          <w:sz w:val="19"/>
          <w:szCs w:val="19"/>
        </w:rPr>
        <w:t>. 40.635. Consejero Ponente: Hernán Andrade Rincón (E).</w:t>
      </w:r>
    </w:p>
    <w:p w14:paraId="541AA92B" w14:textId="77777777" w:rsidR="00B65CC6" w:rsidRPr="00974379" w:rsidRDefault="00B65CC6">
      <w:pPr>
        <w:pStyle w:val="Textonotapie"/>
        <w:ind w:firstLine="709"/>
        <w:jc w:val="both"/>
        <w:rPr>
          <w:rFonts w:ascii="Arial" w:hAnsi="Arial" w:cs="Arial"/>
          <w:sz w:val="19"/>
          <w:szCs w:val="19"/>
          <w:lang w:val="es-ES"/>
        </w:rPr>
      </w:pPr>
    </w:p>
  </w:footnote>
  <w:footnote w:id="9">
    <w:p w14:paraId="1FAE113F" w14:textId="2D317CEC" w:rsidR="00B65CC6" w:rsidRPr="00974379" w:rsidRDefault="00B65CC6">
      <w:pPr>
        <w:pStyle w:val="Textonotapie"/>
        <w:ind w:firstLine="709"/>
        <w:jc w:val="both"/>
        <w:rPr>
          <w:rFonts w:ascii="Arial" w:hAnsi="Arial" w:cs="Arial"/>
          <w:sz w:val="19"/>
          <w:szCs w:val="19"/>
          <w:lang w:val="es-ES"/>
        </w:rPr>
      </w:pPr>
      <w:r w:rsidRPr="007F2779">
        <w:rPr>
          <w:rStyle w:val="Refdenotaalpie"/>
          <w:rFonts w:ascii="Arial" w:hAnsi="Arial" w:cs="Arial"/>
          <w:sz w:val="19"/>
          <w:szCs w:val="19"/>
        </w:rPr>
        <w:footnoteRef/>
      </w:r>
      <w:r w:rsidRPr="007F2779">
        <w:rPr>
          <w:rFonts w:ascii="Arial" w:hAnsi="Arial" w:cs="Arial"/>
          <w:sz w:val="19"/>
          <w:szCs w:val="19"/>
        </w:rPr>
        <w:t xml:space="preserve"> Consejo de Estado. Sección Tercera. Subsección C. Sentencia del 22 de mayo de 2013. </w:t>
      </w:r>
      <w:proofErr w:type="spellStart"/>
      <w:r w:rsidRPr="007F2779">
        <w:rPr>
          <w:rFonts w:ascii="Arial" w:hAnsi="Arial" w:cs="Arial"/>
          <w:sz w:val="19"/>
          <w:szCs w:val="19"/>
        </w:rPr>
        <w:t>Exp</w:t>
      </w:r>
      <w:proofErr w:type="spellEnd"/>
      <w:r w:rsidRPr="007F2779">
        <w:rPr>
          <w:rFonts w:ascii="Arial" w:hAnsi="Arial" w:cs="Arial"/>
          <w:sz w:val="19"/>
          <w:szCs w:val="19"/>
        </w:rPr>
        <w:t xml:space="preserve">. 24.057. Consejera Ponente: Olga </w:t>
      </w:r>
      <w:proofErr w:type="spellStart"/>
      <w:r w:rsidRPr="007F2779">
        <w:rPr>
          <w:rFonts w:ascii="Arial" w:hAnsi="Arial" w:cs="Arial"/>
          <w:sz w:val="19"/>
          <w:szCs w:val="19"/>
        </w:rPr>
        <w:t>Melida</w:t>
      </w:r>
      <w:proofErr w:type="spellEnd"/>
      <w:r w:rsidRPr="007F2779">
        <w:rPr>
          <w:rFonts w:ascii="Arial" w:hAnsi="Arial" w:cs="Arial"/>
          <w:sz w:val="19"/>
          <w:szCs w:val="19"/>
        </w:rPr>
        <w:t xml:space="preserve"> Valle De </w:t>
      </w:r>
      <w:proofErr w:type="spellStart"/>
      <w:r w:rsidRPr="007F2779">
        <w:rPr>
          <w:rFonts w:ascii="Arial" w:hAnsi="Arial" w:cs="Arial"/>
          <w:sz w:val="19"/>
          <w:szCs w:val="19"/>
        </w:rPr>
        <w:t>De</w:t>
      </w:r>
      <w:proofErr w:type="spellEnd"/>
      <w:r w:rsidRPr="007F2779">
        <w:rPr>
          <w:rFonts w:ascii="Arial" w:hAnsi="Arial" w:cs="Arial"/>
          <w:sz w:val="19"/>
          <w:szCs w:val="19"/>
        </w:rPr>
        <w:t xml:space="preserve"> La Hoz.</w:t>
      </w:r>
    </w:p>
  </w:footnote>
  <w:footnote w:id="10">
    <w:p w14:paraId="04F2E26D" w14:textId="217CF5F9" w:rsidR="00DD6D5C" w:rsidRDefault="00DD6D5C">
      <w:pPr>
        <w:pStyle w:val="Textonotapie"/>
        <w:ind w:firstLine="708"/>
        <w:jc w:val="both"/>
        <w:rPr>
          <w:rFonts w:ascii="Arial" w:hAnsi="Arial" w:cs="Arial"/>
          <w:color w:val="000000" w:themeColor="text1"/>
          <w:sz w:val="19"/>
          <w:szCs w:val="19"/>
        </w:rPr>
      </w:pPr>
      <w:r w:rsidRPr="007F2779">
        <w:rPr>
          <w:rStyle w:val="Refdenotaalpie"/>
          <w:rFonts w:ascii="Arial" w:hAnsi="Arial" w:cs="Arial"/>
          <w:color w:val="000000" w:themeColor="text1"/>
          <w:sz w:val="19"/>
          <w:szCs w:val="19"/>
        </w:rPr>
        <w:footnoteRef/>
      </w:r>
      <w:r w:rsidRPr="007F2779">
        <w:rPr>
          <w:rFonts w:ascii="Arial" w:hAnsi="Arial" w:cs="Arial"/>
          <w:color w:val="000000" w:themeColor="text1"/>
          <w:sz w:val="19"/>
          <w:szCs w:val="19"/>
        </w:rPr>
        <w:t xml:space="preserve"> </w:t>
      </w:r>
      <w:r w:rsidRPr="007F2779">
        <w:rPr>
          <w:rFonts w:ascii="Arial" w:hAnsi="Arial" w:cs="Arial"/>
          <w:i/>
          <w:iCs/>
          <w:color w:val="000000" w:themeColor="text1"/>
          <w:sz w:val="19"/>
          <w:szCs w:val="19"/>
        </w:rPr>
        <w:t>Ibid</w:t>
      </w:r>
      <w:r w:rsidRPr="007F2779">
        <w:rPr>
          <w:rFonts w:ascii="Arial" w:hAnsi="Arial" w:cs="Arial"/>
          <w:color w:val="000000" w:themeColor="text1"/>
          <w:sz w:val="19"/>
          <w:szCs w:val="19"/>
        </w:rPr>
        <w:t xml:space="preserve">. </w:t>
      </w:r>
    </w:p>
    <w:p w14:paraId="51F506F4" w14:textId="77777777" w:rsidR="008900C6" w:rsidRPr="007F2779" w:rsidRDefault="008900C6">
      <w:pPr>
        <w:pStyle w:val="Textonotapie"/>
        <w:ind w:firstLine="708"/>
        <w:jc w:val="both"/>
        <w:rPr>
          <w:rFonts w:ascii="Arial" w:hAnsi="Arial" w:cs="Arial"/>
          <w:color w:val="000000" w:themeColor="text1"/>
          <w:sz w:val="19"/>
          <w:szCs w:val="19"/>
        </w:rPr>
      </w:pPr>
    </w:p>
  </w:footnote>
  <w:footnote w:id="11">
    <w:p w14:paraId="142F10B5" w14:textId="4018B301" w:rsidR="00DD6D5C" w:rsidRPr="00974379" w:rsidRDefault="00DD6D5C">
      <w:pPr>
        <w:pStyle w:val="Textonotapie"/>
        <w:ind w:firstLine="708"/>
        <w:jc w:val="both"/>
        <w:rPr>
          <w:rFonts w:ascii="Arial" w:hAnsi="Arial" w:cs="Arial"/>
          <w:color w:val="000000" w:themeColor="text1"/>
          <w:sz w:val="19"/>
          <w:szCs w:val="19"/>
        </w:rPr>
      </w:pPr>
      <w:r w:rsidRPr="007F2779">
        <w:rPr>
          <w:rStyle w:val="Refdenotaalpie"/>
          <w:rFonts w:ascii="Arial" w:hAnsi="Arial" w:cs="Arial"/>
          <w:color w:val="000000" w:themeColor="text1"/>
          <w:sz w:val="19"/>
          <w:szCs w:val="19"/>
        </w:rPr>
        <w:footnoteRef/>
      </w:r>
      <w:r w:rsidRPr="007F2779">
        <w:rPr>
          <w:rFonts w:ascii="Arial" w:hAnsi="Arial" w:cs="Arial"/>
          <w:color w:val="000000" w:themeColor="text1"/>
          <w:sz w:val="19"/>
          <w:szCs w:val="19"/>
        </w:rPr>
        <w:t xml:space="preserve">  Cfr. CORTE CONSTITUCIONAL. Sentencia C-780 de 2001. M.P. Jaime Córdoba Triviño. </w:t>
      </w:r>
    </w:p>
  </w:footnote>
  <w:footnote w:id="12">
    <w:p w14:paraId="2129F55E" w14:textId="77777777" w:rsidR="00E7512E" w:rsidRPr="00974379" w:rsidRDefault="00E7512E">
      <w:pPr>
        <w:pStyle w:val="Textonotapie"/>
        <w:ind w:firstLine="709"/>
        <w:jc w:val="both"/>
        <w:rPr>
          <w:rFonts w:ascii="Arial" w:hAnsi="Arial" w:cs="Arial"/>
          <w:sz w:val="19"/>
          <w:szCs w:val="19"/>
        </w:rPr>
      </w:pPr>
      <w:r w:rsidRPr="007F2779">
        <w:rPr>
          <w:rStyle w:val="Refdenotaalpie"/>
          <w:rFonts w:ascii="Arial" w:hAnsi="Arial" w:cs="Arial"/>
          <w:sz w:val="19"/>
          <w:szCs w:val="19"/>
        </w:rPr>
        <w:footnoteRef/>
      </w:r>
      <w:r w:rsidRPr="007F2779">
        <w:rPr>
          <w:rFonts w:ascii="Arial" w:hAnsi="Arial" w:cs="Arial"/>
          <w:sz w:val="19"/>
          <w:szCs w:val="19"/>
        </w:rPr>
        <w:t xml:space="preserve"> El artículo 20 de la Ley 842 de 2003 establece: «Artículo 20. P</w:t>
      </w:r>
      <w:r w:rsidRPr="00974379">
        <w:rPr>
          <w:rFonts w:ascii="Arial" w:hAnsi="Arial" w:cs="Arial"/>
          <w:sz w:val="19"/>
          <w:szCs w:val="19"/>
        </w:rPr>
        <w:t>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61B6E84B" w14:textId="77777777" w:rsidR="00E7512E" w:rsidRPr="00974379" w:rsidRDefault="00E7512E">
      <w:pPr>
        <w:pStyle w:val="Textonotapie"/>
        <w:ind w:firstLine="709"/>
        <w:jc w:val="both"/>
        <w:rPr>
          <w:rFonts w:ascii="Arial" w:hAnsi="Arial" w:cs="Arial"/>
          <w:sz w:val="19"/>
          <w:szCs w:val="19"/>
        </w:rPr>
      </w:pPr>
      <w:r w:rsidRPr="00974379">
        <w:rPr>
          <w:rFonts w:ascii="Arial" w:hAnsi="Arial" w:cs="Arial"/>
          <w:sz w:val="19"/>
          <w:szCs w:val="19"/>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w:t>
      </w:r>
    </w:p>
    <w:p w14:paraId="40FA7A96" w14:textId="77777777" w:rsidR="00E7512E" w:rsidRPr="00974379" w:rsidRDefault="00E7512E">
      <w:pPr>
        <w:pStyle w:val="Textonotapie"/>
        <w:ind w:firstLine="709"/>
        <w:jc w:val="both"/>
        <w:rPr>
          <w:rFonts w:ascii="Arial" w:hAnsi="Arial" w:cs="Arial"/>
          <w:sz w:val="19"/>
          <w:szCs w:val="19"/>
        </w:rPr>
      </w:pPr>
      <w:r w:rsidRPr="00974379">
        <w:rPr>
          <w:rFonts w:ascii="Arial" w:hAnsi="Arial" w:cs="Arial"/>
          <w:sz w:val="19"/>
          <w:szCs w:val="19"/>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footnote>
  <w:footnote w:id="13">
    <w:p w14:paraId="45D09413" w14:textId="79DA81BD" w:rsidR="00265227" w:rsidRPr="00AC058F" w:rsidRDefault="00974379" w:rsidP="00AC058F">
      <w:pPr>
        <w:pStyle w:val="Textonotapie"/>
        <w:ind w:firstLine="709"/>
        <w:jc w:val="both"/>
        <w:rPr>
          <w:rFonts w:ascii="Arial" w:hAnsi="Arial" w:cs="Arial"/>
          <w:sz w:val="19"/>
          <w:szCs w:val="19"/>
        </w:rPr>
      </w:pPr>
      <w:r w:rsidRPr="00AC058F">
        <w:rPr>
          <w:rStyle w:val="Refdenotaalpie"/>
          <w:rFonts w:ascii="Arial" w:hAnsi="Arial" w:cs="Arial"/>
          <w:sz w:val="19"/>
          <w:szCs w:val="19"/>
        </w:rPr>
        <w:footnoteRef/>
      </w:r>
      <w:r w:rsidRPr="00AC058F">
        <w:rPr>
          <w:rFonts w:ascii="Arial" w:hAnsi="Arial" w:cs="Arial"/>
          <w:sz w:val="19"/>
          <w:szCs w:val="19"/>
        </w:rPr>
        <w:t xml:space="preserve"> La pregunta planteada en dicho concepto fue la siguiente: </w:t>
      </w:r>
      <w:r w:rsidRPr="00AC058F">
        <w:rPr>
          <w:rFonts w:ascii="Arial" w:hAnsi="Arial" w:cs="Arial"/>
          <w:bCs/>
          <w:color w:val="000000" w:themeColor="text1"/>
          <w:sz w:val="19"/>
          <w:szCs w:val="19"/>
          <w:lang w:val="es-ES_tradnl"/>
        </w:rPr>
        <w:t>«El pliego tipo establece el cumplimiento del ejercicio legal de la profesión (ingeniería) para personas naturales, sin embargo, en el mismo no se hace referencia expresa del ejercicio legal de la profesión para las personas jurídicas contenidas en el artículo 17 de la ley 842 de 2003, la pregunta es, es válido que como entidad y atendiendo a que es un mandato legal, exija a los proponentes el cumplimiento de dicho requisito, de ser así la Entidad estaría en la facultad de exigir la documentación necesaria que así lo acredite?»</w:t>
      </w:r>
      <w:r w:rsidR="008900C6">
        <w:rPr>
          <w:rFonts w:ascii="Arial" w:hAnsi="Arial" w:cs="Arial"/>
          <w:bCs/>
          <w:color w:val="000000" w:themeColor="text1"/>
          <w:sz w:val="19"/>
          <w:szCs w:val="19"/>
          <w:lang w:val="es-ES_tradnl"/>
        </w:rPr>
        <w:t>.</w:t>
      </w:r>
    </w:p>
  </w:footnote>
  <w:footnote w:id="14">
    <w:p w14:paraId="0F3DE5D3" w14:textId="64659F32" w:rsidR="00265227" w:rsidRDefault="00265227" w:rsidP="00AC058F">
      <w:pPr>
        <w:pStyle w:val="Textonotapie"/>
        <w:ind w:firstLine="709"/>
        <w:jc w:val="both"/>
      </w:pPr>
      <w:r>
        <w:rPr>
          <w:rStyle w:val="Refdenotaalpie"/>
        </w:rPr>
        <w:footnoteRef/>
      </w:r>
      <w:r>
        <w:t xml:space="preserve"> </w:t>
      </w:r>
      <w:r w:rsidRPr="00AC058F">
        <w:rPr>
          <w:rFonts w:ascii="Arial" w:hAnsi="Arial" w:cs="Arial"/>
          <w:bCs/>
          <w:color w:val="000000" w:themeColor="text1"/>
          <w:sz w:val="19"/>
          <w:szCs w:val="19"/>
          <w:lang w:val="es-ES_tradnl"/>
        </w:rPr>
        <w:t>El carácter ejecutorio de los actos administrativos está consagrado en el artículo 89 de la Ley 1437 de 2011: «</w:t>
      </w:r>
      <w:bookmarkStart w:id="2" w:name="89"/>
      <w:r>
        <w:rPr>
          <w:rFonts w:ascii="Arial" w:hAnsi="Arial" w:cs="Arial"/>
          <w:bCs/>
          <w:color w:val="000000" w:themeColor="text1"/>
          <w:sz w:val="19"/>
          <w:szCs w:val="19"/>
          <w:lang w:val="es-ES_tradnl"/>
        </w:rPr>
        <w:t>Artículo</w:t>
      </w:r>
      <w:r w:rsidRPr="00AC058F">
        <w:rPr>
          <w:rFonts w:ascii="Arial" w:hAnsi="Arial" w:cs="Arial"/>
          <w:bCs/>
          <w:color w:val="000000" w:themeColor="text1"/>
          <w:sz w:val="19"/>
          <w:szCs w:val="19"/>
          <w:lang w:val="es-ES_tradnl"/>
        </w:rPr>
        <w:t xml:space="preserve"> 89. </w:t>
      </w:r>
      <w:r>
        <w:rPr>
          <w:rFonts w:ascii="Arial" w:hAnsi="Arial" w:cs="Arial"/>
          <w:bCs/>
          <w:color w:val="000000" w:themeColor="text1"/>
          <w:sz w:val="19"/>
          <w:szCs w:val="19"/>
          <w:lang w:val="es-ES_tradnl"/>
        </w:rPr>
        <w:t>C</w:t>
      </w:r>
      <w:r w:rsidRPr="007F2779">
        <w:rPr>
          <w:rFonts w:ascii="Arial" w:hAnsi="Arial" w:cs="Arial"/>
          <w:bCs/>
          <w:color w:val="000000" w:themeColor="text1"/>
          <w:sz w:val="19"/>
          <w:szCs w:val="19"/>
          <w:lang w:val="es-ES_tradnl"/>
        </w:rPr>
        <w:t>arácter ejecutorio de los actos expedidos por las autoridades</w:t>
      </w:r>
      <w:r w:rsidRPr="00AC058F">
        <w:rPr>
          <w:rFonts w:ascii="Arial" w:hAnsi="Arial" w:cs="Arial"/>
          <w:bCs/>
          <w:color w:val="000000" w:themeColor="text1"/>
          <w:sz w:val="19"/>
          <w:szCs w:val="19"/>
          <w:lang w:val="es-ES_tradnl"/>
        </w:rPr>
        <w:t>.</w:t>
      </w:r>
      <w:bookmarkEnd w:id="2"/>
      <w:r w:rsidRPr="00AC058F">
        <w:rPr>
          <w:rFonts w:ascii="Arial" w:hAnsi="Arial" w:cs="Arial"/>
          <w:bCs/>
          <w:color w:val="000000" w:themeColor="text1"/>
          <w:sz w:val="19"/>
          <w:szCs w:val="19"/>
          <w:lang w:val="es-ES_tradnl"/>
        </w:rPr>
        <w:t> Salvo disposición legal en contrario, los actos en firme serán suficientes para que las autoridades, por sí mismas, puedan ejecutarlos de inmediato. En consecuencia, su ejecución material procederá sin mediación de otra autoridad. Para tal efecto podrá requerirse, si fuere necesario, el apoyo o la colaboración de la Policía Nacional</w:t>
      </w:r>
      <w:r>
        <w:rPr>
          <w:rFonts w:ascii="Arial" w:hAnsi="Arial" w:cs="Arial"/>
          <w:bCs/>
          <w:color w:val="000000" w:themeColor="text1"/>
          <w:sz w:val="19"/>
          <w:szCs w:val="19"/>
          <w:lang w:val="es-ES_tradnl"/>
        </w:rPr>
        <w:t>»</w:t>
      </w:r>
      <w:r w:rsidRPr="00AC058F">
        <w:rPr>
          <w:rFonts w:ascii="Arial" w:hAnsi="Arial" w:cs="Arial"/>
          <w:bCs/>
          <w:color w:val="000000" w:themeColor="text1"/>
          <w:sz w:val="19"/>
          <w:szCs w:val="19"/>
          <w:lang w:val="es-ES_tradnl"/>
        </w:rPr>
        <w:t>.</w:t>
      </w:r>
    </w:p>
  </w:footnote>
  <w:footnote w:id="15">
    <w:p w14:paraId="439B8A2D" w14:textId="77777777" w:rsidR="004B2FF2" w:rsidRDefault="004B2FF2" w:rsidP="004B2FF2">
      <w:pPr>
        <w:pStyle w:val="Textonotapie"/>
        <w:ind w:firstLine="709"/>
        <w:jc w:val="both"/>
      </w:pPr>
      <w:r>
        <w:rPr>
          <w:rStyle w:val="Refdenotaalpie"/>
        </w:rPr>
        <w:footnoteRef/>
      </w:r>
      <w:r>
        <w:t xml:space="preserve"> </w:t>
      </w:r>
      <w:r w:rsidRPr="00A2383A">
        <w:rPr>
          <w:rFonts w:ascii="Arial" w:hAnsi="Arial" w:cs="Arial"/>
          <w:bCs/>
          <w:color w:val="000000" w:themeColor="text1"/>
          <w:sz w:val="19"/>
          <w:szCs w:val="19"/>
          <w:lang w:val="es-ES_tradnl"/>
        </w:rPr>
        <w:t>El carácter ejecutorio de los actos administrativos está consagrado en el artículo 89 de la Ley 1437 de 2011: «</w:t>
      </w:r>
      <w:r>
        <w:rPr>
          <w:rFonts w:ascii="Arial" w:hAnsi="Arial" w:cs="Arial"/>
          <w:bCs/>
          <w:color w:val="000000" w:themeColor="text1"/>
          <w:sz w:val="19"/>
          <w:szCs w:val="19"/>
          <w:lang w:val="es-ES_tradnl"/>
        </w:rPr>
        <w:t>Artículo</w:t>
      </w:r>
      <w:r w:rsidRPr="00A2383A">
        <w:rPr>
          <w:rFonts w:ascii="Arial" w:hAnsi="Arial" w:cs="Arial"/>
          <w:bCs/>
          <w:color w:val="000000" w:themeColor="text1"/>
          <w:sz w:val="19"/>
          <w:szCs w:val="19"/>
          <w:lang w:val="es-ES_tradnl"/>
        </w:rPr>
        <w:t xml:space="preserve"> 89. </w:t>
      </w:r>
      <w:r>
        <w:rPr>
          <w:rFonts w:ascii="Arial" w:hAnsi="Arial" w:cs="Arial"/>
          <w:bCs/>
          <w:color w:val="000000" w:themeColor="text1"/>
          <w:sz w:val="19"/>
          <w:szCs w:val="19"/>
          <w:lang w:val="es-ES_tradnl"/>
        </w:rPr>
        <w:t>C</w:t>
      </w:r>
      <w:r w:rsidRPr="007F2779">
        <w:rPr>
          <w:rFonts w:ascii="Arial" w:hAnsi="Arial" w:cs="Arial"/>
          <w:bCs/>
          <w:color w:val="000000" w:themeColor="text1"/>
          <w:sz w:val="19"/>
          <w:szCs w:val="19"/>
          <w:lang w:val="es-ES_tradnl"/>
        </w:rPr>
        <w:t>arácter ejecutorio de los actos expedidos por las autoridades</w:t>
      </w:r>
      <w:r w:rsidRPr="00A2383A">
        <w:rPr>
          <w:rFonts w:ascii="Arial" w:hAnsi="Arial" w:cs="Arial"/>
          <w:bCs/>
          <w:color w:val="000000" w:themeColor="text1"/>
          <w:sz w:val="19"/>
          <w:szCs w:val="19"/>
          <w:lang w:val="es-ES_tradnl"/>
        </w:rPr>
        <w:t>. Salvo disposición legal en contrario, los actos en firme serán suficientes para que las autoridades, por sí mismas, puedan ejecutarlos de inmediato. En consecuencia, su ejecución material procederá sin mediación de otra autoridad. Para tal efecto podrá requerirse, si fuere necesario, el apoyo o la colaboración de la Policía Nacional</w:t>
      </w:r>
      <w:r>
        <w:rPr>
          <w:rFonts w:ascii="Arial" w:hAnsi="Arial" w:cs="Arial"/>
          <w:bCs/>
          <w:color w:val="000000" w:themeColor="text1"/>
          <w:sz w:val="19"/>
          <w:szCs w:val="19"/>
          <w:lang w:val="es-ES_tradnl"/>
        </w:rPr>
        <w:t>»</w:t>
      </w:r>
      <w:r w:rsidRPr="00A2383A">
        <w:rPr>
          <w:rFonts w:ascii="Arial" w:hAnsi="Arial" w:cs="Arial"/>
          <w:bCs/>
          <w:color w:val="000000" w:themeColor="text1"/>
          <w:sz w:val="19"/>
          <w:szCs w:val="19"/>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ED637" w14:textId="77777777" w:rsidR="004938A8" w:rsidRDefault="004938A8">
    <w:pPr>
      <w:pBdr>
        <w:top w:val="nil"/>
        <w:left w:val="nil"/>
        <w:bottom w:val="nil"/>
        <w:right w:val="nil"/>
        <w:between w:val="nil"/>
      </w:pBdr>
      <w:tabs>
        <w:tab w:val="center" w:pos="4252"/>
        <w:tab w:val="right" w:pos="8504"/>
      </w:tabs>
      <w:rPr>
        <w:color w:val="000000"/>
      </w:rPr>
    </w:pPr>
    <w:r>
      <w:rPr>
        <w:noProof/>
        <w:lang w:eastAsia="es-CO"/>
      </w:rPr>
      <w:drawing>
        <wp:anchor distT="0" distB="0" distL="114300" distR="114300" simplePos="0" relativeHeight="251658240" behindDoc="0" locked="0" layoutInCell="1" hidden="0" allowOverlap="1" wp14:anchorId="3A81499C" wp14:editId="0CF1BCE4">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011DDC"/>
    <w:multiLevelType w:val="multilevel"/>
    <w:tmpl w:val="6DDE7706"/>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BDF"/>
    <w:rsid w:val="00010490"/>
    <w:rsid w:val="00012A01"/>
    <w:rsid w:val="00023405"/>
    <w:rsid w:val="000341A6"/>
    <w:rsid w:val="00036728"/>
    <w:rsid w:val="00096B16"/>
    <w:rsid w:val="000973C9"/>
    <w:rsid w:val="000C5143"/>
    <w:rsid w:val="000D686F"/>
    <w:rsid w:val="000E2719"/>
    <w:rsid w:val="00115D57"/>
    <w:rsid w:val="001377BF"/>
    <w:rsid w:val="0014116C"/>
    <w:rsid w:val="00143364"/>
    <w:rsid w:val="00155D1D"/>
    <w:rsid w:val="00156DC9"/>
    <w:rsid w:val="0016722F"/>
    <w:rsid w:val="001731B1"/>
    <w:rsid w:val="00184684"/>
    <w:rsid w:val="001851BE"/>
    <w:rsid w:val="001A0F38"/>
    <w:rsid w:val="001B218A"/>
    <w:rsid w:val="001B53BC"/>
    <w:rsid w:val="001C58A5"/>
    <w:rsid w:val="001D1507"/>
    <w:rsid w:val="001E2D51"/>
    <w:rsid w:val="001E3DE8"/>
    <w:rsid w:val="001F3B28"/>
    <w:rsid w:val="002034E6"/>
    <w:rsid w:val="0020643E"/>
    <w:rsid w:val="00222410"/>
    <w:rsid w:val="00224A59"/>
    <w:rsid w:val="00234CD2"/>
    <w:rsid w:val="00246E9A"/>
    <w:rsid w:val="00253F1C"/>
    <w:rsid w:val="00257803"/>
    <w:rsid w:val="00265227"/>
    <w:rsid w:val="00265428"/>
    <w:rsid w:val="00270EDB"/>
    <w:rsid w:val="002717B5"/>
    <w:rsid w:val="0028219F"/>
    <w:rsid w:val="00283D9B"/>
    <w:rsid w:val="00295480"/>
    <w:rsid w:val="002A5CF6"/>
    <w:rsid w:val="002B3AEF"/>
    <w:rsid w:val="002B7261"/>
    <w:rsid w:val="002D241D"/>
    <w:rsid w:val="002F74E0"/>
    <w:rsid w:val="00301E58"/>
    <w:rsid w:val="003241F3"/>
    <w:rsid w:val="00340E1E"/>
    <w:rsid w:val="00342184"/>
    <w:rsid w:val="00342AEE"/>
    <w:rsid w:val="00344A58"/>
    <w:rsid w:val="00345C31"/>
    <w:rsid w:val="0036269D"/>
    <w:rsid w:val="00380953"/>
    <w:rsid w:val="00381FBA"/>
    <w:rsid w:val="00392E58"/>
    <w:rsid w:val="00392F65"/>
    <w:rsid w:val="003A3319"/>
    <w:rsid w:val="003B141B"/>
    <w:rsid w:val="003B3252"/>
    <w:rsid w:val="003D371F"/>
    <w:rsid w:val="003D5501"/>
    <w:rsid w:val="003D6EAA"/>
    <w:rsid w:val="003E308C"/>
    <w:rsid w:val="003F3B45"/>
    <w:rsid w:val="00400462"/>
    <w:rsid w:val="00410227"/>
    <w:rsid w:val="00415F68"/>
    <w:rsid w:val="00444BF9"/>
    <w:rsid w:val="0045387F"/>
    <w:rsid w:val="00465328"/>
    <w:rsid w:val="00471720"/>
    <w:rsid w:val="0047757C"/>
    <w:rsid w:val="00484DE4"/>
    <w:rsid w:val="00487C57"/>
    <w:rsid w:val="004938A8"/>
    <w:rsid w:val="004A44CD"/>
    <w:rsid w:val="004B224F"/>
    <w:rsid w:val="004B2FF2"/>
    <w:rsid w:val="004F0B25"/>
    <w:rsid w:val="004F2FF6"/>
    <w:rsid w:val="004F4779"/>
    <w:rsid w:val="00505A66"/>
    <w:rsid w:val="00523511"/>
    <w:rsid w:val="0052351E"/>
    <w:rsid w:val="005322A2"/>
    <w:rsid w:val="00554147"/>
    <w:rsid w:val="00574D6F"/>
    <w:rsid w:val="00577C31"/>
    <w:rsid w:val="0059190D"/>
    <w:rsid w:val="005B1D18"/>
    <w:rsid w:val="005E2988"/>
    <w:rsid w:val="005E5574"/>
    <w:rsid w:val="00613FB0"/>
    <w:rsid w:val="00664A07"/>
    <w:rsid w:val="00667293"/>
    <w:rsid w:val="006A1655"/>
    <w:rsid w:val="006A279A"/>
    <w:rsid w:val="006B1BA1"/>
    <w:rsid w:val="006C0DA8"/>
    <w:rsid w:val="006C374D"/>
    <w:rsid w:val="006C6CE8"/>
    <w:rsid w:val="007041E6"/>
    <w:rsid w:val="0070426A"/>
    <w:rsid w:val="00704F20"/>
    <w:rsid w:val="00724E50"/>
    <w:rsid w:val="00752C35"/>
    <w:rsid w:val="00762213"/>
    <w:rsid w:val="007654F8"/>
    <w:rsid w:val="00770191"/>
    <w:rsid w:val="00772049"/>
    <w:rsid w:val="00775F95"/>
    <w:rsid w:val="007820C9"/>
    <w:rsid w:val="0078604F"/>
    <w:rsid w:val="007A4140"/>
    <w:rsid w:val="007A5A69"/>
    <w:rsid w:val="007B16A8"/>
    <w:rsid w:val="007C6C9E"/>
    <w:rsid w:val="007E2F69"/>
    <w:rsid w:val="007F2779"/>
    <w:rsid w:val="007F3BF8"/>
    <w:rsid w:val="007F5838"/>
    <w:rsid w:val="00813E74"/>
    <w:rsid w:val="00815C6C"/>
    <w:rsid w:val="008311E5"/>
    <w:rsid w:val="00835144"/>
    <w:rsid w:val="00843C86"/>
    <w:rsid w:val="0087003C"/>
    <w:rsid w:val="00874E85"/>
    <w:rsid w:val="008900C6"/>
    <w:rsid w:val="0089292B"/>
    <w:rsid w:val="00896A4B"/>
    <w:rsid w:val="008A1FA9"/>
    <w:rsid w:val="008A6009"/>
    <w:rsid w:val="008A6348"/>
    <w:rsid w:val="008B50CA"/>
    <w:rsid w:val="008D0001"/>
    <w:rsid w:val="008D39B7"/>
    <w:rsid w:val="008E0DB2"/>
    <w:rsid w:val="008E4343"/>
    <w:rsid w:val="0091566F"/>
    <w:rsid w:val="00941FE1"/>
    <w:rsid w:val="00950F16"/>
    <w:rsid w:val="00964FBB"/>
    <w:rsid w:val="009660DB"/>
    <w:rsid w:val="00974379"/>
    <w:rsid w:val="00974544"/>
    <w:rsid w:val="00982517"/>
    <w:rsid w:val="00986502"/>
    <w:rsid w:val="009B701A"/>
    <w:rsid w:val="009C0C05"/>
    <w:rsid w:val="009E7A1D"/>
    <w:rsid w:val="009F117A"/>
    <w:rsid w:val="009F6A2E"/>
    <w:rsid w:val="00A043F5"/>
    <w:rsid w:val="00A07783"/>
    <w:rsid w:val="00A10194"/>
    <w:rsid w:val="00A161BA"/>
    <w:rsid w:val="00A30582"/>
    <w:rsid w:val="00A327F9"/>
    <w:rsid w:val="00A35A1A"/>
    <w:rsid w:val="00A40085"/>
    <w:rsid w:val="00A54A41"/>
    <w:rsid w:val="00A567C0"/>
    <w:rsid w:val="00A617B3"/>
    <w:rsid w:val="00A67F5F"/>
    <w:rsid w:val="00A8444D"/>
    <w:rsid w:val="00AA1772"/>
    <w:rsid w:val="00AB186F"/>
    <w:rsid w:val="00AB36DA"/>
    <w:rsid w:val="00AB619B"/>
    <w:rsid w:val="00AB780C"/>
    <w:rsid w:val="00AC058F"/>
    <w:rsid w:val="00AC3EE9"/>
    <w:rsid w:val="00AC5716"/>
    <w:rsid w:val="00B076A4"/>
    <w:rsid w:val="00B10C9C"/>
    <w:rsid w:val="00B1576F"/>
    <w:rsid w:val="00B413A4"/>
    <w:rsid w:val="00B45CA9"/>
    <w:rsid w:val="00B46C78"/>
    <w:rsid w:val="00B47BC7"/>
    <w:rsid w:val="00B57AE8"/>
    <w:rsid w:val="00B65CC6"/>
    <w:rsid w:val="00BB0CD8"/>
    <w:rsid w:val="00BB77BF"/>
    <w:rsid w:val="00BC2B94"/>
    <w:rsid w:val="00BC45E7"/>
    <w:rsid w:val="00BE7EBA"/>
    <w:rsid w:val="00C13D8D"/>
    <w:rsid w:val="00C202E9"/>
    <w:rsid w:val="00C35978"/>
    <w:rsid w:val="00C422FF"/>
    <w:rsid w:val="00C47C86"/>
    <w:rsid w:val="00C5309F"/>
    <w:rsid w:val="00C6012C"/>
    <w:rsid w:val="00C723A4"/>
    <w:rsid w:val="00C84475"/>
    <w:rsid w:val="00CA0309"/>
    <w:rsid w:val="00CA58C0"/>
    <w:rsid w:val="00CC2C3C"/>
    <w:rsid w:val="00CD0B4A"/>
    <w:rsid w:val="00CF3113"/>
    <w:rsid w:val="00D00AC2"/>
    <w:rsid w:val="00D068A5"/>
    <w:rsid w:val="00D07C46"/>
    <w:rsid w:val="00D137B3"/>
    <w:rsid w:val="00D35515"/>
    <w:rsid w:val="00D41651"/>
    <w:rsid w:val="00D616D1"/>
    <w:rsid w:val="00D62C2A"/>
    <w:rsid w:val="00D62CFF"/>
    <w:rsid w:val="00D65FA5"/>
    <w:rsid w:val="00D849B4"/>
    <w:rsid w:val="00DB3E6A"/>
    <w:rsid w:val="00DC63BB"/>
    <w:rsid w:val="00DD4145"/>
    <w:rsid w:val="00DD6D5C"/>
    <w:rsid w:val="00DE2A65"/>
    <w:rsid w:val="00DF2561"/>
    <w:rsid w:val="00DF5EFE"/>
    <w:rsid w:val="00E210EE"/>
    <w:rsid w:val="00E24A38"/>
    <w:rsid w:val="00E27BDF"/>
    <w:rsid w:val="00E27C77"/>
    <w:rsid w:val="00E4260B"/>
    <w:rsid w:val="00E54CD2"/>
    <w:rsid w:val="00E65FCF"/>
    <w:rsid w:val="00E737A2"/>
    <w:rsid w:val="00E7512E"/>
    <w:rsid w:val="00E920DC"/>
    <w:rsid w:val="00EA2D8B"/>
    <w:rsid w:val="00EA3418"/>
    <w:rsid w:val="00EA3DE6"/>
    <w:rsid w:val="00EB04D0"/>
    <w:rsid w:val="00EC61AB"/>
    <w:rsid w:val="00ED2AEB"/>
    <w:rsid w:val="00ED3D3F"/>
    <w:rsid w:val="00EE2091"/>
    <w:rsid w:val="00EF097C"/>
    <w:rsid w:val="00F07331"/>
    <w:rsid w:val="00F22099"/>
    <w:rsid w:val="00F42311"/>
    <w:rsid w:val="00F82631"/>
    <w:rsid w:val="00F83994"/>
    <w:rsid w:val="00F878C8"/>
    <w:rsid w:val="00F95C56"/>
    <w:rsid w:val="00FA0370"/>
    <w:rsid w:val="00FB180B"/>
    <w:rsid w:val="00FB4B32"/>
    <w:rsid w:val="00FD49F0"/>
    <w:rsid w:val="00FF0DA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BB1D8"/>
  <w15:docId w15:val="{17415381-3A80-9F4C-A81C-951A17DE5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0973C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0973C9"/>
    <w:rPr>
      <w:rFonts w:ascii="Times New Roman" w:hAnsi="Times New Roman" w:cs="Times New Roman"/>
      <w:sz w:val="18"/>
      <w:szCs w:val="18"/>
    </w:rPr>
  </w:style>
  <w:style w:type="paragraph" w:styleId="Asuntodelcomentario">
    <w:name w:val="annotation subject"/>
    <w:basedOn w:val="Textocomentario"/>
    <w:next w:val="Textocomentario"/>
    <w:link w:val="AsuntodelcomentarioCar"/>
    <w:uiPriority w:val="99"/>
    <w:semiHidden/>
    <w:unhideWhenUsed/>
    <w:rsid w:val="00400462"/>
    <w:rPr>
      <w:b/>
      <w:bCs/>
    </w:rPr>
  </w:style>
  <w:style w:type="character" w:customStyle="1" w:styleId="AsuntodelcomentarioCar">
    <w:name w:val="Asunto del comentario Car"/>
    <w:basedOn w:val="TextocomentarioCar"/>
    <w:link w:val="Asuntodelcomentario"/>
    <w:uiPriority w:val="99"/>
    <w:semiHidden/>
    <w:rsid w:val="00400462"/>
    <w:rPr>
      <w:b/>
      <w:bCs/>
      <w:sz w:val="20"/>
      <w:szCs w:val="20"/>
    </w:rPr>
  </w:style>
  <w:style w:type="paragraph" w:styleId="Encabezado">
    <w:name w:val="header"/>
    <w:basedOn w:val="Normal"/>
    <w:link w:val="EncabezadoCar"/>
    <w:uiPriority w:val="99"/>
    <w:unhideWhenUsed/>
    <w:rsid w:val="00E737A2"/>
    <w:pPr>
      <w:tabs>
        <w:tab w:val="center" w:pos="4419"/>
        <w:tab w:val="right" w:pos="8838"/>
      </w:tabs>
    </w:pPr>
  </w:style>
  <w:style w:type="character" w:customStyle="1" w:styleId="EncabezadoCar">
    <w:name w:val="Encabezado Car"/>
    <w:basedOn w:val="Fuentedeprrafopredeter"/>
    <w:link w:val="Encabezado"/>
    <w:uiPriority w:val="99"/>
    <w:rsid w:val="00E737A2"/>
  </w:style>
  <w:style w:type="paragraph" w:styleId="Piedepgina">
    <w:name w:val="footer"/>
    <w:basedOn w:val="Normal"/>
    <w:link w:val="PiedepginaCar"/>
    <w:uiPriority w:val="99"/>
    <w:unhideWhenUsed/>
    <w:rsid w:val="00E737A2"/>
    <w:pPr>
      <w:tabs>
        <w:tab w:val="center" w:pos="4419"/>
        <w:tab w:val="right" w:pos="8838"/>
      </w:tabs>
    </w:pPr>
  </w:style>
  <w:style w:type="character" w:customStyle="1" w:styleId="PiedepginaCar">
    <w:name w:val="Pie de página Car"/>
    <w:basedOn w:val="Fuentedeprrafopredeter"/>
    <w:link w:val="Piedepgina"/>
    <w:uiPriority w:val="99"/>
    <w:rsid w:val="00E737A2"/>
  </w:style>
  <w:style w:type="table" w:styleId="Tablaconcuadrcula">
    <w:name w:val="Table Grid"/>
    <w:basedOn w:val="Tablanormal"/>
    <w:uiPriority w:val="39"/>
    <w:rsid w:val="00D616D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D5501"/>
    <w:rPr>
      <w:rFonts w:ascii="Times New Roman" w:hAnsi="Times New Roman" w:cs="Times New Roman"/>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B65CC6"/>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rsid w:val="00B65CC6"/>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uiPriority w:val="99"/>
    <w:unhideWhenUsed/>
    <w:qFormat/>
    <w:rsid w:val="00B65CC6"/>
    <w:rPr>
      <w:vertAlign w:val="superscript"/>
    </w:rPr>
  </w:style>
  <w:style w:type="paragraph" w:styleId="Sinespaciado">
    <w:name w:val="No Spacing"/>
    <w:aliases w:val="No Indent"/>
    <w:uiPriority w:val="3"/>
    <w:qFormat/>
    <w:rsid w:val="00DD6D5C"/>
    <w:rPr>
      <w:rFonts w:asciiTheme="minorHAnsi" w:eastAsiaTheme="minorHAnsi" w:hAnsiTheme="minorHAnsi" w:cstheme="minorBidi"/>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8355">
      <w:bodyDiv w:val="1"/>
      <w:marLeft w:val="0"/>
      <w:marRight w:val="0"/>
      <w:marTop w:val="0"/>
      <w:marBottom w:val="0"/>
      <w:divBdr>
        <w:top w:val="none" w:sz="0" w:space="0" w:color="auto"/>
        <w:left w:val="none" w:sz="0" w:space="0" w:color="auto"/>
        <w:bottom w:val="none" w:sz="0" w:space="0" w:color="auto"/>
        <w:right w:val="none" w:sz="0" w:space="0" w:color="auto"/>
      </w:divBdr>
      <w:divsChild>
        <w:div w:id="1551696032">
          <w:marLeft w:val="0"/>
          <w:marRight w:val="0"/>
          <w:marTop w:val="0"/>
          <w:marBottom w:val="0"/>
          <w:divBdr>
            <w:top w:val="none" w:sz="0" w:space="0" w:color="auto"/>
            <w:left w:val="none" w:sz="0" w:space="0" w:color="auto"/>
            <w:bottom w:val="none" w:sz="0" w:space="0" w:color="auto"/>
            <w:right w:val="none" w:sz="0" w:space="0" w:color="auto"/>
          </w:divBdr>
          <w:divsChild>
            <w:div w:id="279841929">
              <w:marLeft w:val="0"/>
              <w:marRight w:val="0"/>
              <w:marTop w:val="0"/>
              <w:marBottom w:val="0"/>
              <w:divBdr>
                <w:top w:val="none" w:sz="0" w:space="0" w:color="auto"/>
                <w:left w:val="none" w:sz="0" w:space="0" w:color="auto"/>
                <w:bottom w:val="none" w:sz="0" w:space="0" w:color="auto"/>
                <w:right w:val="none" w:sz="0" w:space="0" w:color="auto"/>
              </w:divBdr>
              <w:divsChild>
                <w:div w:id="12406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914">
      <w:bodyDiv w:val="1"/>
      <w:marLeft w:val="0"/>
      <w:marRight w:val="0"/>
      <w:marTop w:val="0"/>
      <w:marBottom w:val="0"/>
      <w:divBdr>
        <w:top w:val="none" w:sz="0" w:space="0" w:color="auto"/>
        <w:left w:val="none" w:sz="0" w:space="0" w:color="auto"/>
        <w:bottom w:val="none" w:sz="0" w:space="0" w:color="auto"/>
        <w:right w:val="none" w:sz="0" w:space="0" w:color="auto"/>
      </w:divBdr>
    </w:div>
    <w:div w:id="290282217">
      <w:bodyDiv w:val="1"/>
      <w:marLeft w:val="0"/>
      <w:marRight w:val="0"/>
      <w:marTop w:val="0"/>
      <w:marBottom w:val="0"/>
      <w:divBdr>
        <w:top w:val="none" w:sz="0" w:space="0" w:color="auto"/>
        <w:left w:val="none" w:sz="0" w:space="0" w:color="auto"/>
        <w:bottom w:val="none" w:sz="0" w:space="0" w:color="auto"/>
        <w:right w:val="none" w:sz="0" w:space="0" w:color="auto"/>
      </w:divBdr>
    </w:div>
    <w:div w:id="337536051">
      <w:bodyDiv w:val="1"/>
      <w:marLeft w:val="0"/>
      <w:marRight w:val="0"/>
      <w:marTop w:val="0"/>
      <w:marBottom w:val="0"/>
      <w:divBdr>
        <w:top w:val="none" w:sz="0" w:space="0" w:color="auto"/>
        <w:left w:val="none" w:sz="0" w:space="0" w:color="auto"/>
        <w:bottom w:val="none" w:sz="0" w:space="0" w:color="auto"/>
        <w:right w:val="none" w:sz="0" w:space="0" w:color="auto"/>
      </w:divBdr>
      <w:divsChild>
        <w:div w:id="1229417840">
          <w:marLeft w:val="0"/>
          <w:marRight w:val="0"/>
          <w:marTop w:val="0"/>
          <w:marBottom w:val="0"/>
          <w:divBdr>
            <w:top w:val="none" w:sz="0" w:space="0" w:color="auto"/>
            <w:left w:val="none" w:sz="0" w:space="0" w:color="auto"/>
            <w:bottom w:val="none" w:sz="0" w:space="0" w:color="auto"/>
            <w:right w:val="none" w:sz="0" w:space="0" w:color="auto"/>
          </w:divBdr>
          <w:divsChild>
            <w:div w:id="618335925">
              <w:marLeft w:val="0"/>
              <w:marRight w:val="0"/>
              <w:marTop w:val="0"/>
              <w:marBottom w:val="0"/>
              <w:divBdr>
                <w:top w:val="none" w:sz="0" w:space="0" w:color="auto"/>
                <w:left w:val="none" w:sz="0" w:space="0" w:color="auto"/>
                <w:bottom w:val="none" w:sz="0" w:space="0" w:color="auto"/>
                <w:right w:val="none" w:sz="0" w:space="0" w:color="auto"/>
              </w:divBdr>
              <w:divsChild>
                <w:div w:id="165683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696871">
      <w:bodyDiv w:val="1"/>
      <w:marLeft w:val="0"/>
      <w:marRight w:val="0"/>
      <w:marTop w:val="0"/>
      <w:marBottom w:val="0"/>
      <w:divBdr>
        <w:top w:val="none" w:sz="0" w:space="0" w:color="auto"/>
        <w:left w:val="none" w:sz="0" w:space="0" w:color="auto"/>
        <w:bottom w:val="none" w:sz="0" w:space="0" w:color="auto"/>
        <w:right w:val="none" w:sz="0" w:space="0" w:color="auto"/>
      </w:divBdr>
      <w:divsChild>
        <w:div w:id="828060976">
          <w:marLeft w:val="0"/>
          <w:marRight w:val="0"/>
          <w:marTop w:val="0"/>
          <w:marBottom w:val="0"/>
          <w:divBdr>
            <w:top w:val="none" w:sz="0" w:space="0" w:color="auto"/>
            <w:left w:val="none" w:sz="0" w:space="0" w:color="auto"/>
            <w:bottom w:val="none" w:sz="0" w:space="0" w:color="auto"/>
            <w:right w:val="none" w:sz="0" w:space="0" w:color="auto"/>
          </w:divBdr>
          <w:divsChild>
            <w:div w:id="1271665293">
              <w:marLeft w:val="0"/>
              <w:marRight w:val="0"/>
              <w:marTop w:val="0"/>
              <w:marBottom w:val="0"/>
              <w:divBdr>
                <w:top w:val="none" w:sz="0" w:space="0" w:color="auto"/>
                <w:left w:val="none" w:sz="0" w:space="0" w:color="auto"/>
                <w:bottom w:val="none" w:sz="0" w:space="0" w:color="auto"/>
                <w:right w:val="none" w:sz="0" w:space="0" w:color="auto"/>
              </w:divBdr>
              <w:divsChild>
                <w:div w:id="81075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217383">
      <w:bodyDiv w:val="1"/>
      <w:marLeft w:val="0"/>
      <w:marRight w:val="0"/>
      <w:marTop w:val="0"/>
      <w:marBottom w:val="0"/>
      <w:divBdr>
        <w:top w:val="none" w:sz="0" w:space="0" w:color="auto"/>
        <w:left w:val="none" w:sz="0" w:space="0" w:color="auto"/>
        <w:bottom w:val="none" w:sz="0" w:space="0" w:color="auto"/>
        <w:right w:val="none" w:sz="0" w:space="0" w:color="auto"/>
      </w:divBdr>
    </w:div>
    <w:div w:id="415713623">
      <w:bodyDiv w:val="1"/>
      <w:marLeft w:val="0"/>
      <w:marRight w:val="0"/>
      <w:marTop w:val="0"/>
      <w:marBottom w:val="0"/>
      <w:divBdr>
        <w:top w:val="none" w:sz="0" w:space="0" w:color="auto"/>
        <w:left w:val="none" w:sz="0" w:space="0" w:color="auto"/>
        <w:bottom w:val="none" w:sz="0" w:space="0" w:color="auto"/>
        <w:right w:val="none" w:sz="0" w:space="0" w:color="auto"/>
      </w:divBdr>
    </w:div>
    <w:div w:id="471100613">
      <w:bodyDiv w:val="1"/>
      <w:marLeft w:val="0"/>
      <w:marRight w:val="0"/>
      <w:marTop w:val="0"/>
      <w:marBottom w:val="0"/>
      <w:divBdr>
        <w:top w:val="none" w:sz="0" w:space="0" w:color="auto"/>
        <w:left w:val="none" w:sz="0" w:space="0" w:color="auto"/>
        <w:bottom w:val="none" w:sz="0" w:space="0" w:color="auto"/>
        <w:right w:val="none" w:sz="0" w:space="0" w:color="auto"/>
      </w:divBdr>
    </w:div>
    <w:div w:id="605043729">
      <w:bodyDiv w:val="1"/>
      <w:marLeft w:val="0"/>
      <w:marRight w:val="0"/>
      <w:marTop w:val="0"/>
      <w:marBottom w:val="0"/>
      <w:divBdr>
        <w:top w:val="none" w:sz="0" w:space="0" w:color="auto"/>
        <w:left w:val="none" w:sz="0" w:space="0" w:color="auto"/>
        <w:bottom w:val="none" w:sz="0" w:space="0" w:color="auto"/>
        <w:right w:val="none" w:sz="0" w:space="0" w:color="auto"/>
      </w:divBdr>
    </w:div>
    <w:div w:id="617296866">
      <w:bodyDiv w:val="1"/>
      <w:marLeft w:val="0"/>
      <w:marRight w:val="0"/>
      <w:marTop w:val="0"/>
      <w:marBottom w:val="0"/>
      <w:divBdr>
        <w:top w:val="none" w:sz="0" w:space="0" w:color="auto"/>
        <w:left w:val="none" w:sz="0" w:space="0" w:color="auto"/>
        <w:bottom w:val="none" w:sz="0" w:space="0" w:color="auto"/>
        <w:right w:val="none" w:sz="0" w:space="0" w:color="auto"/>
      </w:divBdr>
    </w:div>
    <w:div w:id="684944772">
      <w:bodyDiv w:val="1"/>
      <w:marLeft w:val="0"/>
      <w:marRight w:val="0"/>
      <w:marTop w:val="0"/>
      <w:marBottom w:val="0"/>
      <w:divBdr>
        <w:top w:val="none" w:sz="0" w:space="0" w:color="auto"/>
        <w:left w:val="none" w:sz="0" w:space="0" w:color="auto"/>
        <w:bottom w:val="none" w:sz="0" w:space="0" w:color="auto"/>
        <w:right w:val="none" w:sz="0" w:space="0" w:color="auto"/>
      </w:divBdr>
    </w:div>
    <w:div w:id="697270173">
      <w:bodyDiv w:val="1"/>
      <w:marLeft w:val="0"/>
      <w:marRight w:val="0"/>
      <w:marTop w:val="0"/>
      <w:marBottom w:val="0"/>
      <w:divBdr>
        <w:top w:val="none" w:sz="0" w:space="0" w:color="auto"/>
        <w:left w:val="none" w:sz="0" w:space="0" w:color="auto"/>
        <w:bottom w:val="none" w:sz="0" w:space="0" w:color="auto"/>
        <w:right w:val="none" w:sz="0" w:space="0" w:color="auto"/>
      </w:divBdr>
    </w:div>
    <w:div w:id="1030882860">
      <w:bodyDiv w:val="1"/>
      <w:marLeft w:val="0"/>
      <w:marRight w:val="0"/>
      <w:marTop w:val="0"/>
      <w:marBottom w:val="0"/>
      <w:divBdr>
        <w:top w:val="none" w:sz="0" w:space="0" w:color="auto"/>
        <w:left w:val="none" w:sz="0" w:space="0" w:color="auto"/>
        <w:bottom w:val="none" w:sz="0" w:space="0" w:color="auto"/>
        <w:right w:val="none" w:sz="0" w:space="0" w:color="auto"/>
      </w:divBdr>
    </w:div>
    <w:div w:id="1092625424">
      <w:bodyDiv w:val="1"/>
      <w:marLeft w:val="0"/>
      <w:marRight w:val="0"/>
      <w:marTop w:val="0"/>
      <w:marBottom w:val="0"/>
      <w:divBdr>
        <w:top w:val="none" w:sz="0" w:space="0" w:color="auto"/>
        <w:left w:val="none" w:sz="0" w:space="0" w:color="auto"/>
        <w:bottom w:val="none" w:sz="0" w:space="0" w:color="auto"/>
        <w:right w:val="none" w:sz="0" w:space="0" w:color="auto"/>
      </w:divBdr>
    </w:div>
    <w:div w:id="1101491220">
      <w:bodyDiv w:val="1"/>
      <w:marLeft w:val="0"/>
      <w:marRight w:val="0"/>
      <w:marTop w:val="0"/>
      <w:marBottom w:val="0"/>
      <w:divBdr>
        <w:top w:val="none" w:sz="0" w:space="0" w:color="auto"/>
        <w:left w:val="none" w:sz="0" w:space="0" w:color="auto"/>
        <w:bottom w:val="none" w:sz="0" w:space="0" w:color="auto"/>
        <w:right w:val="none" w:sz="0" w:space="0" w:color="auto"/>
      </w:divBdr>
    </w:div>
    <w:div w:id="1106191924">
      <w:bodyDiv w:val="1"/>
      <w:marLeft w:val="0"/>
      <w:marRight w:val="0"/>
      <w:marTop w:val="0"/>
      <w:marBottom w:val="0"/>
      <w:divBdr>
        <w:top w:val="none" w:sz="0" w:space="0" w:color="auto"/>
        <w:left w:val="none" w:sz="0" w:space="0" w:color="auto"/>
        <w:bottom w:val="none" w:sz="0" w:space="0" w:color="auto"/>
        <w:right w:val="none" w:sz="0" w:space="0" w:color="auto"/>
      </w:divBdr>
    </w:div>
    <w:div w:id="1151825085">
      <w:bodyDiv w:val="1"/>
      <w:marLeft w:val="0"/>
      <w:marRight w:val="0"/>
      <w:marTop w:val="0"/>
      <w:marBottom w:val="0"/>
      <w:divBdr>
        <w:top w:val="none" w:sz="0" w:space="0" w:color="auto"/>
        <w:left w:val="none" w:sz="0" w:space="0" w:color="auto"/>
        <w:bottom w:val="none" w:sz="0" w:space="0" w:color="auto"/>
        <w:right w:val="none" w:sz="0" w:space="0" w:color="auto"/>
      </w:divBdr>
    </w:div>
    <w:div w:id="1181698861">
      <w:bodyDiv w:val="1"/>
      <w:marLeft w:val="0"/>
      <w:marRight w:val="0"/>
      <w:marTop w:val="0"/>
      <w:marBottom w:val="0"/>
      <w:divBdr>
        <w:top w:val="none" w:sz="0" w:space="0" w:color="auto"/>
        <w:left w:val="none" w:sz="0" w:space="0" w:color="auto"/>
        <w:bottom w:val="none" w:sz="0" w:space="0" w:color="auto"/>
        <w:right w:val="none" w:sz="0" w:space="0" w:color="auto"/>
      </w:divBdr>
    </w:div>
    <w:div w:id="1290819625">
      <w:bodyDiv w:val="1"/>
      <w:marLeft w:val="0"/>
      <w:marRight w:val="0"/>
      <w:marTop w:val="0"/>
      <w:marBottom w:val="0"/>
      <w:divBdr>
        <w:top w:val="none" w:sz="0" w:space="0" w:color="auto"/>
        <w:left w:val="none" w:sz="0" w:space="0" w:color="auto"/>
        <w:bottom w:val="none" w:sz="0" w:space="0" w:color="auto"/>
        <w:right w:val="none" w:sz="0" w:space="0" w:color="auto"/>
      </w:divBdr>
    </w:div>
    <w:div w:id="1353458076">
      <w:bodyDiv w:val="1"/>
      <w:marLeft w:val="0"/>
      <w:marRight w:val="0"/>
      <w:marTop w:val="0"/>
      <w:marBottom w:val="0"/>
      <w:divBdr>
        <w:top w:val="none" w:sz="0" w:space="0" w:color="auto"/>
        <w:left w:val="none" w:sz="0" w:space="0" w:color="auto"/>
        <w:bottom w:val="none" w:sz="0" w:space="0" w:color="auto"/>
        <w:right w:val="none" w:sz="0" w:space="0" w:color="auto"/>
      </w:divBdr>
    </w:div>
    <w:div w:id="1487235615">
      <w:bodyDiv w:val="1"/>
      <w:marLeft w:val="0"/>
      <w:marRight w:val="0"/>
      <w:marTop w:val="0"/>
      <w:marBottom w:val="0"/>
      <w:divBdr>
        <w:top w:val="none" w:sz="0" w:space="0" w:color="auto"/>
        <w:left w:val="none" w:sz="0" w:space="0" w:color="auto"/>
        <w:bottom w:val="none" w:sz="0" w:space="0" w:color="auto"/>
        <w:right w:val="none" w:sz="0" w:space="0" w:color="auto"/>
      </w:divBdr>
    </w:div>
    <w:div w:id="1575893545">
      <w:bodyDiv w:val="1"/>
      <w:marLeft w:val="0"/>
      <w:marRight w:val="0"/>
      <w:marTop w:val="0"/>
      <w:marBottom w:val="0"/>
      <w:divBdr>
        <w:top w:val="none" w:sz="0" w:space="0" w:color="auto"/>
        <w:left w:val="none" w:sz="0" w:space="0" w:color="auto"/>
        <w:bottom w:val="none" w:sz="0" w:space="0" w:color="auto"/>
        <w:right w:val="none" w:sz="0" w:space="0" w:color="auto"/>
      </w:divBdr>
    </w:div>
    <w:div w:id="1668971330">
      <w:bodyDiv w:val="1"/>
      <w:marLeft w:val="0"/>
      <w:marRight w:val="0"/>
      <w:marTop w:val="0"/>
      <w:marBottom w:val="0"/>
      <w:divBdr>
        <w:top w:val="none" w:sz="0" w:space="0" w:color="auto"/>
        <w:left w:val="none" w:sz="0" w:space="0" w:color="auto"/>
        <w:bottom w:val="none" w:sz="0" w:space="0" w:color="auto"/>
        <w:right w:val="none" w:sz="0" w:space="0" w:color="auto"/>
      </w:divBdr>
      <w:divsChild>
        <w:div w:id="1688866603">
          <w:marLeft w:val="0"/>
          <w:marRight w:val="0"/>
          <w:marTop w:val="0"/>
          <w:marBottom w:val="0"/>
          <w:divBdr>
            <w:top w:val="none" w:sz="0" w:space="0" w:color="auto"/>
            <w:left w:val="none" w:sz="0" w:space="0" w:color="auto"/>
            <w:bottom w:val="none" w:sz="0" w:space="0" w:color="auto"/>
            <w:right w:val="none" w:sz="0" w:space="0" w:color="auto"/>
          </w:divBdr>
          <w:divsChild>
            <w:div w:id="1611862924">
              <w:marLeft w:val="0"/>
              <w:marRight w:val="0"/>
              <w:marTop w:val="0"/>
              <w:marBottom w:val="0"/>
              <w:divBdr>
                <w:top w:val="none" w:sz="0" w:space="0" w:color="auto"/>
                <w:left w:val="none" w:sz="0" w:space="0" w:color="auto"/>
                <w:bottom w:val="none" w:sz="0" w:space="0" w:color="auto"/>
                <w:right w:val="none" w:sz="0" w:space="0" w:color="auto"/>
              </w:divBdr>
              <w:divsChild>
                <w:div w:id="41382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57924">
      <w:bodyDiv w:val="1"/>
      <w:marLeft w:val="0"/>
      <w:marRight w:val="0"/>
      <w:marTop w:val="0"/>
      <w:marBottom w:val="0"/>
      <w:divBdr>
        <w:top w:val="none" w:sz="0" w:space="0" w:color="auto"/>
        <w:left w:val="none" w:sz="0" w:space="0" w:color="auto"/>
        <w:bottom w:val="none" w:sz="0" w:space="0" w:color="auto"/>
        <w:right w:val="none" w:sz="0" w:space="0" w:color="auto"/>
      </w:divBdr>
    </w:div>
    <w:div w:id="1762683321">
      <w:bodyDiv w:val="1"/>
      <w:marLeft w:val="0"/>
      <w:marRight w:val="0"/>
      <w:marTop w:val="0"/>
      <w:marBottom w:val="0"/>
      <w:divBdr>
        <w:top w:val="none" w:sz="0" w:space="0" w:color="auto"/>
        <w:left w:val="none" w:sz="0" w:space="0" w:color="auto"/>
        <w:bottom w:val="none" w:sz="0" w:space="0" w:color="auto"/>
        <w:right w:val="none" w:sz="0" w:space="0" w:color="auto"/>
      </w:divBdr>
    </w:div>
    <w:div w:id="1763598047">
      <w:bodyDiv w:val="1"/>
      <w:marLeft w:val="0"/>
      <w:marRight w:val="0"/>
      <w:marTop w:val="0"/>
      <w:marBottom w:val="0"/>
      <w:divBdr>
        <w:top w:val="none" w:sz="0" w:space="0" w:color="auto"/>
        <w:left w:val="none" w:sz="0" w:space="0" w:color="auto"/>
        <w:bottom w:val="none" w:sz="0" w:space="0" w:color="auto"/>
        <w:right w:val="none" w:sz="0" w:space="0" w:color="auto"/>
      </w:divBdr>
    </w:div>
    <w:div w:id="1778872142">
      <w:bodyDiv w:val="1"/>
      <w:marLeft w:val="0"/>
      <w:marRight w:val="0"/>
      <w:marTop w:val="0"/>
      <w:marBottom w:val="0"/>
      <w:divBdr>
        <w:top w:val="none" w:sz="0" w:space="0" w:color="auto"/>
        <w:left w:val="none" w:sz="0" w:space="0" w:color="auto"/>
        <w:bottom w:val="none" w:sz="0" w:space="0" w:color="auto"/>
        <w:right w:val="none" w:sz="0" w:space="0" w:color="auto"/>
      </w:divBdr>
    </w:div>
    <w:div w:id="1867013328">
      <w:bodyDiv w:val="1"/>
      <w:marLeft w:val="0"/>
      <w:marRight w:val="0"/>
      <w:marTop w:val="0"/>
      <w:marBottom w:val="0"/>
      <w:divBdr>
        <w:top w:val="none" w:sz="0" w:space="0" w:color="auto"/>
        <w:left w:val="none" w:sz="0" w:space="0" w:color="auto"/>
        <w:bottom w:val="none" w:sz="0" w:space="0" w:color="auto"/>
        <w:right w:val="none" w:sz="0" w:space="0" w:color="auto"/>
      </w:divBdr>
    </w:div>
    <w:div w:id="2022731253">
      <w:bodyDiv w:val="1"/>
      <w:marLeft w:val="0"/>
      <w:marRight w:val="0"/>
      <w:marTop w:val="0"/>
      <w:marBottom w:val="0"/>
      <w:divBdr>
        <w:top w:val="none" w:sz="0" w:space="0" w:color="auto"/>
        <w:left w:val="none" w:sz="0" w:space="0" w:color="auto"/>
        <w:bottom w:val="none" w:sz="0" w:space="0" w:color="auto"/>
        <w:right w:val="none" w:sz="0" w:space="0" w:color="auto"/>
      </w:divBdr>
    </w:div>
    <w:div w:id="2044401572">
      <w:bodyDiv w:val="1"/>
      <w:marLeft w:val="0"/>
      <w:marRight w:val="0"/>
      <w:marTop w:val="0"/>
      <w:marBottom w:val="0"/>
      <w:divBdr>
        <w:top w:val="none" w:sz="0" w:space="0" w:color="auto"/>
        <w:left w:val="none" w:sz="0" w:space="0" w:color="auto"/>
        <w:bottom w:val="none" w:sz="0" w:space="0" w:color="auto"/>
        <w:right w:val="none" w:sz="0" w:space="0" w:color="auto"/>
      </w:divBdr>
    </w:div>
    <w:div w:id="2110538210">
      <w:bodyDiv w:val="1"/>
      <w:marLeft w:val="0"/>
      <w:marRight w:val="0"/>
      <w:marTop w:val="0"/>
      <w:marBottom w:val="0"/>
      <w:divBdr>
        <w:top w:val="none" w:sz="0" w:space="0" w:color="auto"/>
        <w:left w:val="none" w:sz="0" w:space="0" w:color="auto"/>
        <w:bottom w:val="none" w:sz="0" w:space="0" w:color="auto"/>
        <w:right w:val="none" w:sz="0" w:space="0" w:color="auto"/>
      </w:divBdr>
      <w:divsChild>
        <w:div w:id="975376308">
          <w:marLeft w:val="0"/>
          <w:marRight w:val="0"/>
          <w:marTop w:val="0"/>
          <w:marBottom w:val="0"/>
          <w:divBdr>
            <w:top w:val="none" w:sz="0" w:space="0" w:color="auto"/>
            <w:left w:val="none" w:sz="0" w:space="0" w:color="auto"/>
            <w:bottom w:val="none" w:sz="0" w:space="0" w:color="auto"/>
            <w:right w:val="none" w:sz="0" w:space="0" w:color="auto"/>
          </w:divBdr>
          <w:divsChild>
            <w:div w:id="151871156">
              <w:marLeft w:val="0"/>
              <w:marRight w:val="0"/>
              <w:marTop w:val="0"/>
              <w:marBottom w:val="0"/>
              <w:divBdr>
                <w:top w:val="none" w:sz="0" w:space="0" w:color="auto"/>
                <w:left w:val="none" w:sz="0" w:space="0" w:color="auto"/>
                <w:bottom w:val="none" w:sz="0" w:space="0" w:color="auto"/>
                <w:right w:val="none" w:sz="0" w:space="0" w:color="auto"/>
              </w:divBdr>
              <w:divsChild>
                <w:div w:id="7762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22728-7626-4372-B140-6B167425CE29}">
  <ds:schemaRefs>
    <ds:schemaRef ds:uri="http://schemas.microsoft.com/sharepoint/v3/contenttype/forms"/>
  </ds:schemaRefs>
</ds:datastoreItem>
</file>

<file path=customXml/itemProps2.xml><?xml version="1.0" encoding="utf-8"?>
<ds:datastoreItem xmlns:ds="http://schemas.openxmlformats.org/officeDocument/2006/customXml" ds:itemID="{33645B5A-C581-4D11-8027-A3D3C8B27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0413F4-9A6B-4B0B-BAC7-717D233065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D1857C75-09ED-4384-A705-6F0B9948E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3849</Words>
  <Characters>21173</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Equipo</dc:creator>
  <cp:lastModifiedBy>Deisy Joanna Forero Forero</cp:lastModifiedBy>
  <cp:revision>2</cp:revision>
  <dcterms:created xsi:type="dcterms:W3CDTF">2020-12-01T22:40:00Z</dcterms:created>
  <dcterms:modified xsi:type="dcterms:W3CDTF">2020-12-01T22:40:00Z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