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04F70" w14:textId="77777777" w:rsidR="00D8463A" w:rsidRPr="00D8463A" w:rsidRDefault="00D8463A" w:rsidP="00D8463A">
      <w:pPr>
        <w:spacing w:after="0"/>
        <w:rPr>
          <w:rFonts w:ascii="Verdana" w:eastAsia="Aptos" w:hAnsi="Verdana" w:cs="Times New Roman"/>
        </w:rPr>
      </w:pPr>
      <w:bookmarkStart w:id="0" w:name="_Hlk143780582"/>
      <w:r w:rsidRPr="00D8463A">
        <w:rPr>
          <w:rFonts w:ascii="Verdana" w:eastAsia="Aptos" w:hAnsi="Verdana" w:cs="Times New Roman"/>
          <w:b/>
          <w:bCs/>
          <w:color w:val="000000"/>
        </w:rPr>
        <w:t xml:space="preserve">DOCUMENTOS TIPO – Fundamento normativo – Obligatoriedad </w:t>
      </w:r>
    </w:p>
    <w:p w14:paraId="585448DD" w14:textId="77777777" w:rsidR="00D8463A" w:rsidRPr="00D8463A" w:rsidRDefault="00D8463A" w:rsidP="00D8463A">
      <w:pPr>
        <w:spacing w:after="0" w:line="276" w:lineRule="auto"/>
        <w:jc w:val="both"/>
        <w:rPr>
          <w:rFonts w:ascii="Verdana" w:eastAsia="Calibri" w:hAnsi="Verdana" w:cs="Arial"/>
          <w:b/>
          <w:bCs/>
          <w:sz w:val="20"/>
          <w:szCs w:val="20"/>
          <w:lang w:val="es-ES_tradnl"/>
        </w:rPr>
      </w:pPr>
    </w:p>
    <w:p w14:paraId="347C2392" w14:textId="77777777" w:rsidR="00D8463A" w:rsidRPr="00D8463A" w:rsidRDefault="00D8463A" w:rsidP="00D8463A">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D8463A">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D8463A">
        <w:rPr>
          <w:rFonts w:ascii="Verdana" w:eastAsia="Times New Roman" w:hAnsi="Verdana" w:cs="Arial"/>
          <w:sz w:val="20"/>
          <w:szCs w:val="20"/>
          <w:shd w:val="clear" w:color="auto" w:fill="FFFFFF"/>
          <w:lang w:val="es-ES_tradnl" w:eastAsia="es-ES_tradnl"/>
        </w:rPr>
        <w:sym w:font="Symbol" w:char="F02D"/>
      </w:r>
      <w:r w:rsidRPr="00D8463A">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96D775A" w14:textId="77777777" w:rsidR="00D8463A" w:rsidRPr="00D8463A" w:rsidRDefault="00D8463A" w:rsidP="00D8463A">
      <w:pPr>
        <w:spacing w:after="0" w:line="276" w:lineRule="auto"/>
        <w:jc w:val="both"/>
        <w:rPr>
          <w:rFonts w:ascii="Verdana" w:eastAsia="Geomanist Light" w:hAnsi="Verdana" w:cs="Arial"/>
          <w:highlight w:val="yellow"/>
          <w:lang w:val="es-ES_tradnl"/>
        </w:rPr>
      </w:pPr>
    </w:p>
    <w:p w14:paraId="17886CF9" w14:textId="77777777" w:rsidR="00D8463A" w:rsidRPr="00D8463A" w:rsidRDefault="00D8463A" w:rsidP="00F90175">
      <w:pPr>
        <w:spacing w:after="0"/>
        <w:jc w:val="both"/>
        <w:rPr>
          <w:rFonts w:ascii="Verdana" w:eastAsia="Aptos" w:hAnsi="Verdana" w:cs="Times New Roman"/>
          <w:b/>
          <w:bCs/>
          <w:color w:val="000000"/>
        </w:rPr>
      </w:pPr>
      <w:r w:rsidRPr="00D8463A">
        <w:rPr>
          <w:rFonts w:ascii="Verdana" w:eastAsia="Aptos" w:hAnsi="Verdana" w:cs="Times New Roman"/>
          <w:b/>
          <w:bCs/>
          <w:color w:val="000000"/>
        </w:rPr>
        <w:t>EXPERIENCIA – Acreditación − documentos tipo − Licitación de obra pública de infraestructura de transporte – Versión 4</w:t>
      </w:r>
    </w:p>
    <w:p w14:paraId="67C9458D" w14:textId="77777777" w:rsidR="00D8463A" w:rsidRPr="00D8463A" w:rsidRDefault="00D8463A" w:rsidP="00D8463A">
      <w:pPr>
        <w:tabs>
          <w:tab w:val="left" w:pos="0"/>
        </w:tabs>
        <w:spacing w:after="0" w:line="240" w:lineRule="auto"/>
        <w:ind w:left="11"/>
        <w:jc w:val="both"/>
        <w:rPr>
          <w:rFonts w:ascii="Arial" w:eastAsia="Aptos" w:hAnsi="Arial" w:cs="Arial"/>
          <w:b/>
          <w:bCs/>
          <w:color w:val="000000"/>
          <w:kern w:val="2"/>
          <w:sz w:val="24"/>
          <w:szCs w:val="24"/>
          <w14:ligatures w14:val="standardContextual"/>
        </w:rPr>
      </w:pPr>
    </w:p>
    <w:p w14:paraId="2F7E1BCC" w14:textId="77777777" w:rsidR="00D8463A" w:rsidRPr="00D8463A" w:rsidRDefault="00D8463A" w:rsidP="00D8463A">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D8463A">
        <w:rPr>
          <w:rFonts w:ascii="Verdana" w:eastAsia="Times New Roman" w:hAnsi="Verdana" w:cs="Arial"/>
          <w:sz w:val="20"/>
          <w:szCs w:val="20"/>
          <w:shd w:val="clear" w:color="auto" w:fill="FFFFFF"/>
          <w:lang w:val="es-ES_tradnl" w:eastAsia="es-ES_tradnl"/>
        </w:rPr>
        <w:t>La parte introductoria del pliego de condiciones de los documentos tipo analizados dispone que estos se aplican a los procedimientos de selección de licitación de obra pública de infraestructura de transporte (versión 4), que correspondan a las actividades definidas en la “Matriz 1 – Experiencia”. En consecuencia, las actividades de infraestructura de transporte no contempladas en la Matriz 1 – Experiencia no tienen que aplicar los documentos tipo; sin perjuicio de lo previsto en el artículo 4 de la Resolución 465 de 2024, relacionado con la posibilidad de exigir experiencia adicional en determinados supuestos.</w:t>
      </w:r>
    </w:p>
    <w:p w14:paraId="13FD3854" w14:textId="77777777" w:rsidR="00D8463A" w:rsidRPr="00D8463A" w:rsidRDefault="00D8463A" w:rsidP="00D8463A">
      <w:pPr>
        <w:snapToGrid w:val="0"/>
        <w:spacing w:after="0" w:line="240" w:lineRule="auto"/>
        <w:jc w:val="both"/>
        <w:rPr>
          <w:rFonts w:ascii="Verdana" w:eastAsia="Times New Roman" w:hAnsi="Verdana" w:cs="Arial"/>
          <w:sz w:val="20"/>
          <w:szCs w:val="20"/>
          <w:shd w:val="clear" w:color="auto" w:fill="FFFFFF"/>
          <w:lang w:val="es-ES_tradnl" w:eastAsia="es-ES_tradnl"/>
        </w:rPr>
      </w:pPr>
    </w:p>
    <w:p w14:paraId="7466B279" w14:textId="77777777" w:rsidR="00D8463A" w:rsidRPr="00D8463A" w:rsidRDefault="00D8463A" w:rsidP="00D8463A">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D8463A">
        <w:rPr>
          <w:rFonts w:ascii="Verdana" w:eastAsia="Times New Roman" w:hAnsi="Verdana" w:cs="Arial"/>
          <w:sz w:val="20"/>
          <w:szCs w:val="20"/>
          <w:shd w:val="clear" w:color="auto" w:fill="FFFFFF"/>
          <w:lang w:val="es-ES_tradnl" w:eastAsia="es-ES_tradnl"/>
        </w:rPr>
        <w:t xml:space="preserve">De acuerdo con las condiciones fijadas en el “Documento Base” de la Resolución No. 465 del 10 de septiembre de 2024,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22D9C27F" w14:textId="77777777" w:rsidR="00D8463A" w:rsidRPr="00D8463A" w:rsidRDefault="00D8463A" w:rsidP="00D8463A">
      <w:pPr>
        <w:snapToGrid w:val="0"/>
        <w:spacing w:after="0" w:line="240" w:lineRule="auto"/>
        <w:jc w:val="both"/>
        <w:rPr>
          <w:rFonts w:ascii="Verdana" w:eastAsia="Times New Roman" w:hAnsi="Verdana" w:cs="Arial"/>
          <w:sz w:val="20"/>
          <w:szCs w:val="20"/>
          <w:shd w:val="clear" w:color="auto" w:fill="FFFFFF"/>
          <w:lang w:val="es-ES_tradnl" w:eastAsia="es-ES_tradnl"/>
        </w:rPr>
      </w:pPr>
    </w:p>
    <w:p w14:paraId="17074367" w14:textId="77777777" w:rsidR="00D8463A" w:rsidRPr="00D8463A" w:rsidRDefault="00D8463A" w:rsidP="00F90175">
      <w:pPr>
        <w:spacing w:after="0"/>
        <w:jc w:val="both"/>
        <w:rPr>
          <w:rFonts w:ascii="Verdana" w:eastAsia="Aptos" w:hAnsi="Verdana" w:cs="Times New Roman"/>
          <w:b/>
          <w:bCs/>
          <w:color w:val="000000"/>
        </w:rPr>
      </w:pPr>
      <w:r w:rsidRPr="00D8463A">
        <w:rPr>
          <w:rFonts w:ascii="Verdana" w:eastAsia="Aptos" w:hAnsi="Verdana" w:cs="Times New Roman"/>
          <w:b/>
          <w:bCs/>
          <w:color w:val="000000"/>
        </w:rPr>
        <w:t>DOCUMENTOS TIPO − Licitación de obra pública de infraestructura de transporte – Versión 4 – Obras, bienes o servicios adicionales</w:t>
      </w:r>
    </w:p>
    <w:p w14:paraId="0CB181EA" w14:textId="77777777" w:rsidR="00D8463A" w:rsidRPr="00D8463A" w:rsidRDefault="00D8463A" w:rsidP="00D8463A">
      <w:pPr>
        <w:snapToGrid w:val="0"/>
        <w:spacing w:after="0" w:line="240" w:lineRule="auto"/>
        <w:jc w:val="both"/>
        <w:rPr>
          <w:rFonts w:ascii="Verdana" w:eastAsia="Times New Roman" w:hAnsi="Verdana" w:cs="Arial"/>
          <w:sz w:val="20"/>
          <w:szCs w:val="20"/>
          <w:shd w:val="clear" w:color="auto" w:fill="FFFFFF"/>
          <w:lang w:val="es-ES_tradnl" w:eastAsia="es-ES_tradnl"/>
        </w:rPr>
      </w:pPr>
    </w:p>
    <w:p w14:paraId="10D1AA07" w14:textId="77777777" w:rsidR="00D8463A" w:rsidRPr="00D8463A" w:rsidRDefault="00D8463A" w:rsidP="00D8463A">
      <w:pPr>
        <w:snapToGrid w:val="0"/>
        <w:spacing w:after="0" w:line="240" w:lineRule="auto"/>
        <w:jc w:val="both"/>
        <w:rPr>
          <w:rFonts w:ascii="Verdana" w:eastAsia="Calibri" w:hAnsi="Verdana" w:cs="Arial"/>
          <w:kern w:val="2"/>
          <w:sz w:val="20"/>
          <w:szCs w:val="20"/>
          <w14:ligatures w14:val="standardContextual"/>
        </w:rPr>
      </w:pPr>
      <w:r w:rsidRPr="00D8463A">
        <w:rPr>
          <w:rFonts w:ascii="Verdana" w:eastAsia="Calibri" w:hAnsi="Verdana" w:cs="Arial"/>
          <w:kern w:val="2"/>
          <w:sz w:val="20"/>
          <w:szCs w:val="20"/>
          <w14:ligatures w14:val="standardContextual"/>
        </w:rPr>
        <w:t xml:space="preserve">Cuando la entidad requiere bienes y servicios que no se encuentran incluidos como obra de infraestructura de transporte en la “Matriz 1 – Experiencia” y considera necesario exigir experiencia adicional, se debe aplicar el artículo 4 de la Resolución No. 465 del 10 de septiembre de 2024. Esta norma dispone los eventos en los que el objeto contractual incluye bienes o servicios adicionales a la obra pública de infraestructura de transporte. En este caso, la entidad puede incluir experiencia adicional para evaluar la idoneidad </w:t>
      </w:r>
      <w:r w:rsidRPr="00D8463A">
        <w:rPr>
          <w:rFonts w:ascii="Verdana" w:eastAsia="Calibri" w:hAnsi="Verdana" w:cs="Arial"/>
          <w:kern w:val="2"/>
          <w:sz w:val="20"/>
          <w:szCs w:val="20"/>
          <w14:ligatures w14:val="standardContextual"/>
        </w:rPr>
        <w:lastRenderedPageBreak/>
        <w:t>respecto de los bienes o servicios ajenos a la obra pública de infraestructura de transporte.</w:t>
      </w:r>
    </w:p>
    <w:p w14:paraId="567494F9" w14:textId="77777777" w:rsidR="00D8463A" w:rsidRPr="00D8463A" w:rsidRDefault="00D8463A" w:rsidP="00D8463A">
      <w:pPr>
        <w:snapToGrid w:val="0"/>
        <w:spacing w:after="0" w:line="240" w:lineRule="auto"/>
        <w:jc w:val="both"/>
        <w:rPr>
          <w:rFonts w:ascii="Verdana" w:eastAsia="Calibri" w:hAnsi="Verdana" w:cs="Arial"/>
          <w:kern w:val="2"/>
          <w:sz w:val="20"/>
          <w:szCs w:val="20"/>
          <w14:ligatures w14:val="standardContextual"/>
        </w:rPr>
      </w:pPr>
    </w:p>
    <w:p w14:paraId="51840AC5" w14:textId="77777777" w:rsidR="00D8463A" w:rsidRPr="00D8463A" w:rsidRDefault="00D8463A" w:rsidP="00D8463A">
      <w:pPr>
        <w:snapToGrid w:val="0"/>
        <w:spacing w:after="0" w:line="240" w:lineRule="auto"/>
        <w:jc w:val="both"/>
        <w:rPr>
          <w:rFonts w:ascii="Verdana" w:eastAsia="Calibri" w:hAnsi="Verdana" w:cs="Arial"/>
          <w:kern w:val="2"/>
          <w:sz w:val="20"/>
          <w:szCs w:val="20"/>
          <w14:ligatures w14:val="standardContextual"/>
        </w:rPr>
      </w:pPr>
      <w:r w:rsidRPr="00D8463A">
        <w:rPr>
          <w:rFonts w:ascii="Verdana" w:eastAsia="Calibri" w:hAnsi="Verdana" w:cs="Arial"/>
          <w:kern w:val="2"/>
          <w:sz w:val="20"/>
          <w:szCs w:val="20"/>
          <w14:ligatures w14:val="standardContextual"/>
        </w:rPr>
        <w:t xml:space="preserve">Para ello, se deben seguir los siguientes parámetros: i) demostrar en los estudios previos que ha verificado las condiciones de mercado para la contratación de las obras, bienes o servicios adicionales al componente de obra pública, de tal forma que la experiencia adicional que se exija para tales bienes o servicios procure la pluralidad de oferentes y no limite la concurrencia al proceso de contratación, </w:t>
      </w:r>
      <w:proofErr w:type="spellStart"/>
      <w:r w:rsidRPr="00D8463A">
        <w:rPr>
          <w:rFonts w:ascii="Verdana" w:eastAsia="Calibri" w:hAnsi="Verdana" w:cs="Arial"/>
          <w:kern w:val="2"/>
          <w:sz w:val="20"/>
          <w:szCs w:val="20"/>
          <w14:ligatures w14:val="standardContextual"/>
        </w:rPr>
        <w:t>ii</w:t>
      </w:r>
      <w:proofErr w:type="spellEnd"/>
      <w:r w:rsidRPr="00D8463A">
        <w:rPr>
          <w:rFonts w:ascii="Verdana" w:eastAsia="Calibri" w:hAnsi="Verdana" w:cs="Arial"/>
          <w:kern w:val="2"/>
          <w:sz w:val="20"/>
          <w:szCs w:val="20"/>
          <w14:ligatures w14:val="standardContextual"/>
        </w:rPr>
        <w:t xml:space="preserve">) conservar los requisitos exigidos en los documentos tipo, </w:t>
      </w:r>
      <w:proofErr w:type="spellStart"/>
      <w:r w:rsidRPr="00D8463A">
        <w:rPr>
          <w:rFonts w:ascii="Verdana" w:eastAsia="Calibri" w:hAnsi="Verdana" w:cs="Arial"/>
          <w:kern w:val="2"/>
          <w:sz w:val="20"/>
          <w:szCs w:val="20"/>
          <w14:ligatures w14:val="standardContextual"/>
        </w:rPr>
        <w:t>iii</w:t>
      </w:r>
      <w:proofErr w:type="spellEnd"/>
      <w:r w:rsidRPr="00D8463A">
        <w:rPr>
          <w:rFonts w:ascii="Verdana" w:eastAsia="Calibri" w:hAnsi="Verdana" w:cs="Arial"/>
          <w:kern w:val="2"/>
          <w:sz w:val="20"/>
          <w:szCs w:val="20"/>
          <w14:ligatures w14:val="standardContextual"/>
        </w:rPr>
        <w:t xml:space="preserve">) abstenerse de pedir experiencia exclusiva con entidades estatales, experiencia previa en un territorio específico, limitada en el tiempo o que incluya volúmenes o cantidades de obra específica, </w:t>
      </w:r>
      <w:proofErr w:type="spellStart"/>
      <w:r w:rsidRPr="00D8463A">
        <w:rPr>
          <w:rFonts w:ascii="Verdana" w:eastAsia="Calibri" w:hAnsi="Verdana" w:cs="Arial"/>
          <w:kern w:val="2"/>
          <w:sz w:val="20"/>
          <w:szCs w:val="20"/>
          <w14:ligatures w14:val="standardContextual"/>
        </w:rPr>
        <w:t>iv</w:t>
      </w:r>
      <w:proofErr w:type="spellEnd"/>
      <w:r w:rsidRPr="00D8463A">
        <w:rPr>
          <w:rFonts w:ascii="Verdana" w:eastAsia="Calibri" w:hAnsi="Verdana" w:cs="Arial"/>
          <w:kern w:val="2"/>
          <w:sz w:val="20"/>
          <w:szCs w:val="20"/>
          <w14:ligatures w14:val="standardContextual"/>
        </w:rPr>
        <w:t>) clasificar la experiencia requerida solo hasta el tercer nivel del clasificador de bienes y servicios e incluir exclusivamente los códigos que estén relacionados directamente con el objeto a contratar.</w:t>
      </w:r>
    </w:p>
    <w:p w14:paraId="519DFA23"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3491F100" w14:textId="77777777" w:rsidR="00D8463A" w:rsidRPr="00D8463A" w:rsidRDefault="00D8463A" w:rsidP="00D8463A">
      <w:pPr>
        <w:spacing w:after="0"/>
        <w:jc w:val="both"/>
        <w:rPr>
          <w:rFonts w:ascii="Verdana" w:eastAsia="Aptos" w:hAnsi="Verdana" w:cs="Times New Roman"/>
          <w:b/>
          <w:bCs/>
          <w:color w:val="000000"/>
        </w:rPr>
      </w:pPr>
      <w:r w:rsidRPr="00D8463A">
        <w:rPr>
          <w:rFonts w:ascii="Verdana" w:eastAsia="Aptos" w:hAnsi="Verdana" w:cs="Times New Roman"/>
          <w:b/>
          <w:bCs/>
          <w:color w:val="000000"/>
        </w:rPr>
        <w:t>DOCUMENTOS TIPO − Licitación de obra pública de infraestructura de transporte – Versión 4 – Obras, bienes o servicios adicionales – Documento base</w:t>
      </w:r>
    </w:p>
    <w:p w14:paraId="5DD75022"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282A1EF7" w14:textId="77777777" w:rsidR="00D8463A" w:rsidRPr="00D8463A" w:rsidRDefault="00D8463A" w:rsidP="00D8463A">
      <w:pPr>
        <w:snapToGrid w:val="0"/>
        <w:spacing w:after="0" w:line="240" w:lineRule="auto"/>
        <w:jc w:val="both"/>
        <w:rPr>
          <w:rFonts w:ascii="Verdana" w:eastAsia="Calibri" w:hAnsi="Verdana" w:cs="Arial"/>
          <w:kern w:val="2"/>
          <w:sz w:val="20"/>
          <w:szCs w:val="20"/>
          <w14:ligatures w14:val="standardContextual"/>
        </w:rPr>
      </w:pPr>
      <w:r w:rsidRPr="00D8463A">
        <w:rPr>
          <w:rFonts w:ascii="Verdana" w:eastAsia="Calibri" w:hAnsi="Verdana" w:cs="Arial"/>
          <w:kern w:val="2"/>
          <w:sz w:val="20"/>
          <w:szCs w:val="20"/>
          <w14:ligatures w14:val="standardContextual"/>
        </w:rPr>
        <w:t>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Por consiguiente, para solicitar experiencia frente a obras, bienes o servicios adicionales que no se encuentren contemplados en la “Matriz 1 – Experiencia”, el literal H del numeral 3.5.2 “CARACTERÍSTICAS DE LOS CONTRATOS PRESENTADOS PARA ACREDITAR EXPERIENCIA”</w:t>
      </w:r>
      <w:r w:rsidRPr="00D8463A">
        <w:rPr>
          <w:rFonts w:ascii="Verdana" w:eastAsia="Calibri" w:hAnsi="Verdana" w:cs="Arial"/>
          <w:kern w:val="2"/>
          <w:sz w:val="20"/>
          <w:szCs w:val="20"/>
          <w:vertAlign w:val="superscript"/>
          <w14:ligatures w14:val="standardContextual"/>
        </w:rPr>
        <w:footnoteReference w:id="1"/>
      </w:r>
      <w:r w:rsidRPr="00D8463A">
        <w:rPr>
          <w:rFonts w:ascii="Verdana" w:eastAsia="Calibri" w:hAnsi="Verdana" w:cs="Arial"/>
          <w:kern w:val="2"/>
          <w:sz w:val="20"/>
          <w:szCs w:val="20"/>
          <w14:ligatures w14:val="standardContextual"/>
        </w:rPr>
        <w:t>, del Documento Base actualmente dispone lo siguiente: (…)</w:t>
      </w:r>
    </w:p>
    <w:p w14:paraId="72F2B1CF" w14:textId="77777777" w:rsidR="00D8463A" w:rsidRPr="00D8463A" w:rsidRDefault="00D8463A" w:rsidP="00D8463A">
      <w:pPr>
        <w:snapToGrid w:val="0"/>
        <w:spacing w:after="0" w:line="240" w:lineRule="auto"/>
        <w:ind w:left="720"/>
        <w:jc w:val="both"/>
        <w:rPr>
          <w:rFonts w:ascii="Verdana" w:eastAsia="Calibri" w:hAnsi="Verdana" w:cs="Arial"/>
          <w:kern w:val="2"/>
          <w:sz w:val="20"/>
          <w:szCs w:val="20"/>
          <w14:ligatures w14:val="standardContextual"/>
        </w:rPr>
      </w:pPr>
    </w:p>
    <w:p w14:paraId="639C485C" w14:textId="77777777" w:rsidR="00D8463A" w:rsidRPr="00D8463A" w:rsidRDefault="00D8463A" w:rsidP="00D8463A">
      <w:pPr>
        <w:snapToGrid w:val="0"/>
        <w:spacing w:after="0" w:line="240" w:lineRule="auto"/>
        <w:jc w:val="both"/>
        <w:rPr>
          <w:rFonts w:ascii="Verdana" w:eastAsia="Calibri" w:hAnsi="Verdana" w:cs="Arial"/>
          <w:kern w:val="2"/>
          <w:sz w:val="20"/>
          <w:szCs w:val="20"/>
          <w14:ligatures w14:val="standardContextual"/>
        </w:rPr>
      </w:pPr>
      <w:r w:rsidRPr="00D8463A">
        <w:rPr>
          <w:rFonts w:ascii="Verdana" w:eastAsia="Calibri" w:hAnsi="Verdana" w:cs="Arial"/>
          <w:kern w:val="2"/>
          <w:sz w:val="20"/>
          <w:szCs w:val="20"/>
          <w14:ligatures w14:val="standardContextual"/>
        </w:rPr>
        <w:t>De esta manera, la regla general frente a la aplicación del documento base es 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 4 de la Resolución No. 465 de 2024. Por tanto, si el objeto contractual incluye obras, bienes o servicios ajenos a la obra pública de infraestructura de transporte, de allí solo se deriva que podrá incluirse la experiencia adicional que se considere conveniente, atendiendo a las reglas explicadas con anterioridad.</w:t>
      </w:r>
    </w:p>
    <w:p w14:paraId="7D90DC7E" w14:textId="77777777" w:rsidR="00D8463A" w:rsidRPr="00D8463A" w:rsidRDefault="00D8463A" w:rsidP="00D8463A">
      <w:pPr>
        <w:autoSpaceDE w:val="0"/>
        <w:autoSpaceDN w:val="0"/>
        <w:adjustRightInd w:val="0"/>
        <w:spacing w:after="0" w:line="278" w:lineRule="auto"/>
        <w:jc w:val="both"/>
        <w:rPr>
          <w:rFonts w:ascii="Verdana" w:eastAsia="Times New Roman" w:hAnsi="Verdana" w:cs="Arial"/>
          <w:sz w:val="20"/>
          <w:szCs w:val="20"/>
          <w:shd w:val="clear" w:color="auto" w:fill="FFFFFF"/>
          <w:lang w:val="es-ES_tradnl" w:eastAsia="es-ES_tradnl"/>
        </w:rPr>
      </w:pPr>
    </w:p>
    <w:p w14:paraId="3967BD44" w14:textId="77777777" w:rsidR="00D8463A" w:rsidRDefault="00D8463A" w:rsidP="00D8463A">
      <w:pPr>
        <w:autoSpaceDE w:val="0"/>
        <w:autoSpaceDN w:val="0"/>
        <w:adjustRightInd w:val="0"/>
        <w:spacing w:after="0" w:line="278" w:lineRule="auto"/>
        <w:jc w:val="both"/>
        <w:rPr>
          <w:rFonts w:ascii="Verdana" w:eastAsia="Times New Roman" w:hAnsi="Verdana" w:cs="Arial"/>
          <w:sz w:val="20"/>
          <w:szCs w:val="20"/>
          <w:shd w:val="clear" w:color="auto" w:fill="FFFFFF"/>
          <w:lang w:val="es-ES_tradnl" w:eastAsia="es-ES_tradnl"/>
        </w:rPr>
      </w:pPr>
    </w:p>
    <w:p w14:paraId="325AC137" w14:textId="77777777" w:rsidR="00742D7F" w:rsidRDefault="00742D7F" w:rsidP="00D8463A">
      <w:pPr>
        <w:autoSpaceDE w:val="0"/>
        <w:autoSpaceDN w:val="0"/>
        <w:adjustRightInd w:val="0"/>
        <w:spacing w:after="0" w:line="278" w:lineRule="auto"/>
        <w:jc w:val="both"/>
        <w:rPr>
          <w:rFonts w:ascii="Verdana" w:eastAsia="Times New Roman" w:hAnsi="Verdana" w:cs="Arial"/>
          <w:sz w:val="20"/>
          <w:szCs w:val="20"/>
          <w:shd w:val="clear" w:color="auto" w:fill="FFFFFF"/>
          <w:lang w:val="es-ES_tradnl" w:eastAsia="es-ES_tradnl"/>
        </w:rPr>
      </w:pPr>
    </w:p>
    <w:p w14:paraId="1A8B5EA6" w14:textId="77777777" w:rsidR="00742D7F" w:rsidRPr="00D8463A" w:rsidRDefault="00742D7F" w:rsidP="00D8463A">
      <w:pPr>
        <w:autoSpaceDE w:val="0"/>
        <w:autoSpaceDN w:val="0"/>
        <w:adjustRightInd w:val="0"/>
        <w:spacing w:after="0" w:line="278" w:lineRule="auto"/>
        <w:jc w:val="both"/>
        <w:rPr>
          <w:rFonts w:ascii="Verdana" w:eastAsia="Times New Roman" w:hAnsi="Verdana" w:cs="Arial"/>
          <w:sz w:val="20"/>
          <w:szCs w:val="20"/>
          <w:shd w:val="clear" w:color="auto" w:fill="FFFFFF"/>
          <w:lang w:val="es-ES_tradnl" w:eastAsia="es-ES_tradnl"/>
        </w:rPr>
      </w:pPr>
    </w:p>
    <w:p w14:paraId="5BD4BE55" w14:textId="77777777" w:rsidR="00D8463A" w:rsidRPr="00D8463A" w:rsidRDefault="00D8463A" w:rsidP="00D8463A">
      <w:pPr>
        <w:autoSpaceDE w:val="0"/>
        <w:autoSpaceDN w:val="0"/>
        <w:adjustRightInd w:val="0"/>
        <w:spacing w:after="0" w:line="278" w:lineRule="auto"/>
        <w:jc w:val="both"/>
        <w:rPr>
          <w:rFonts w:ascii="Verdana" w:eastAsia="Times New Roman" w:hAnsi="Verdana" w:cs="Arial"/>
          <w:sz w:val="20"/>
          <w:szCs w:val="20"/>
          <w:shd w:val="clear" w:color="auto" w:fill="FFFFFF"/>
          <w:lang w:val="es-ES_tradnl" w:eastAsia="es-ES_tradnl"/>
        </w:rPr>
      </w:pPr>
    </w:p>
    <w:p w14:paraId="0B969A8C" w14:textId="308953FE" w:rsidR="00D8463A" w:rsidRDefault="00D8463A" w:rsidP="00D8463A">
      <w:pPr>
        <w:spacing w:after="0" w:line="240" w:lineRule="auto"/>
        <w:rPr>
          <w:rFonts w:ascii="Verdana" w:eastAsia="Aptos" w:hAnsi="Verdana" w:cs="Times New Roman"/>
          <w:kern w:val="2"/>
          <w:sz w:val="24"/>
          <w:szCs w:val="24"/>
          <w14:ligatures w14:val="standardContextual"/>
        </w:rPr>
      </w:pPr>
      <w:r w:rsidRPr="00D8463A">
        <w:rPr>
          <w:rFonts w:ascii="Verdana" w:eastAsia="Aptos" w:hAnsi="Verdana" w:cs="Times New Roman"/>
          <w:kern w:val="2"/>
          <w:sz w:val="24"/>
          <w:szCs w:val="24"/>
          <w14:ligatures w14:val="standardContextual"/>
        </w:rPr>
        <w:lastRenderedPageBreak/>
        <w:t xml:space="preserve">Bogotá D.C., </w:t>
      </w:r>
      <w:r w:rsidR="00742D7F">
        <w:rPr>
          <w:rFonts w:ascii="Verdana" w:eastAsia="Aptos" w:hAnsi="Verdana" w:cs="Times New Roman"/>
          <w:kern w:val="2"/>
          <w:sz w:val="24"/>
          <w:szCs w:val="24"/>
          <w14:ligatures w14:val="standardContextual"/>
        </w:rPr>
        <w:t>3 de julio de 2025</w:t>
      </w:r>
    </w:p>
    <w:p w14:paraId="72B681A0" w14:textId="77777777" w:rsidR="00742D7F" w:rsidRDefault="00742D7F" w:rsidP="00D8463A">
      <w:pPr>
        <w:spacing w:after="0" w:line="240" w:lineRule="auto"/>
        <w:rPr>
          <w:rFonts w:ascii="Verdana" w:eastAsia="Aptos" w:hAnsi="Verdana" w:cs="Times New Roman"/>
          <w:kern w:val="2"/>
          <w:sz w:val="24"/>
          <w:szCs w:val="24"/>
          <w14:ligatures w14:val="standardContextual"/>
        </w:rPr>
      </w:pPr>
    </w:p>
    <w:p w14:paraId="0681D685" w14:textId="1463DDEA" w:rsidR="00556DFA" w:rsidRPr="00D8463A" w:rsidRDefault="00236313" w:rsidP="00D8463A">
      <w:pPr>
        <w:spacing w:after="0" w:line="240" w:lineRule="auto"/>
        <w:rPr>
          <w:rFonts w:ascii="Verdana" w:eastAsia="Aptos" w:hAnsi="Verdana" w:cs="Times New Roman"/>
          <w:kern w:val="2"/>
          <w:sz w:val="24"/>
          <w:szCs w:val="24"/>
          <w14:ligatures w14:val="standardContextual"/>
        </w:rPr>
      </w:pPr>
      <w:r w:rsidRPr="00742D7F">
        <w:rPr>
          <w:rFonts w:ascii="Verdana" w:eastAsia="Calibri" w:hAnsi="Verdana" w:cs="Arial"/>
          <w:noProof/>
          <w:lang w:val="es-MX" w:eastAsia="es-ES"/>
        </w:rPr>
        <w:drawing>
          <wp:anchor distT="0" distB="0" distL="114300" distR="114300" simplePos="0" relativeHeight="251657216" behindDoc="0" locked="0" layoutInCell="1" allowOverlap="1" wp14:anchorId="2E2608CB" wp14:editId="343BA72C">
            <wp:simplePos x="0" y="0"/>
            <wp:positionH relativeFrom="column">
              <wp:posOffset>2600960</wp:posOffset>
            </wp:positionH>
            <wp:positionV relativeFrom="paragraph">
              <wp:posOffset>184785</wp:posOffset>
            </wp:positionV>
            <wp:extent cx="3007360" cy="824230"/>
            <wp:effectExtent l="0" t="0" r="2540" b="0"/>
            <wp:wrapSquare wrapText="bothSides"/>
            <wp:docPr id="7408274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2742"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007360" cy="824230"/>
                    </a:xfrm>
                    <a:prstGeom prst="rect">
                      <a:avLst/>
                    </a:prstGeom>
                  </pic:spPr>
                </pic:pic>
              </a:graphicData>
            </a:graphic>
            <wp14:sizeRelH relativeFrom="margin">
              <wp14:pctWidth>0</wp14:pctWidth>
            </wp14:sizeRelH>
            <wp14:sizeRelV relativeFrom="margin">
              <wp14:pctHeight>0</wp14:pctHeight>
            </wp14:sizeRelV>
          </wp:anchor>
        </w:drawing>
      </w:r>
    </w:p>
    <w:p w14:paraId="2BB3B445" w14:textId="4CF2A9AB" w:rsidR="00D8463A" w:rsidRPr="00D8463A" w:rsidRDefault="00D8463A" w:rsidP="00742D7F">
      <w:pPr>
        <w:spacing w:after="0" w:line="240" w:lineRule="auto"/>
        <w:jc w:val="right"/>
        <w:rPr>
          <w:rFonts w:ascii="Verdana" w:eastAsia="Calibri" w:hAnsi="Verdana" w:cs="Arial"/>
          <w:lang w:val="es-MX" w:eastAsia="es-ES"/>
        </w:rPr>
      </w:pPr>
    </w:p>
    <w:p w14:paraId="41FC40AD" w14:textId="77777777" w:rsidR="00556DFA" w:rsidRDefault="00556DFA" w:rsidP="00D8463A">
      <w:pPr>
        <w:spacing w:after="0" w:line="240" w:lineRule="auto"/>
        <w:rPr>
          <w:rFonts w:ascii="Verdana" w:eastAsia="Calibri" w:hAnsi="Verdana" w:cs="Arial"/>
          <w:lang w:val="es-ES" w:eastAsia="es-ES"/>
        </w:rPr>
      </w:pPr>
    </w:p>
    <w:p w14:paraId="28177284" w14:textId="70E5FBDD" w:rsidR="00D8463A" w:rsidRPr="00D8463A" w:rsidRDefault="00D8463A" w:rsidP="00D8463A">
      <w:pPr>
        <w:spacing w:after="0" w:line="240" w:lineRule="auto"/>
        <w:rPr>
          <w:rFonts w:ascii="Verdana" w:eastAsia="Aptos" w:hAnsi="Verdana" w:cs="Times New Roman"/>
        </w:rPr>
      </w:pPr>
      <w:r w:rsidRPr="00D8463A">
        <w:rPr>
          <w:rFonts w:ascii="Verdana" w:eastAsia="Calibri" w:hAnsi="Verdana" w:cs="Arial"/>
          <w:lang w:val="es-ES" w:eastAsia="es-ES"/>
        </w:rPr>
        <w:t>Señor</w:t>
      </w:r>
    </w:p>
    <w:p w14:paraId="2690F551" w14:textId="77777777" w:rsidR="00D8463A" w:rsidRPr="00D8463A" w:rsidRDefault="00D8463A" w:rsidP="00D8463A">
      <w:pPr>
        <w:spacing w:after="0" w:line="240" w:lineRule="auto"/>
        <w:rPr>
          <w:rFonts w:ascii="Verdana" w:eastAsia="Calibri" w:hAnsi="Verdana" w:cs="Arial"/>
          <w:b/>
          <w:bCs/>
          <w:lang w:eastAsia="es-ES_tradnl"/>
        </w:rPr>
      </w:pPr>
      <w:r w:rsidRPr="00D8463A">
        <w:rPr>
          <w:rFonts w:ascii="Verdana" w:eastAsia="Calibri" w:hAnsi="Verdana" w:cs="Arial"/>
          <w:b/>
          <w:bCs/>
          <w:lang w:eastAsia="es-ES_tradnl"/>
        </w:rPr>
        <w:t>Ricardo Latorre Rico</w:t>
      </w:r>
    </w:p>
    <w:p w14:paraId="221FE338" w14:textId="77777777" w:rsidR="00D8463A" w:rsidRPr="00D8463A" w:rsidRDefault="00D8463A" w:rsidP="00D8463A">
      <w:pPr>
        <w:spacing w:after="0" w:line="240" w:lineRule="auto"/>
        <w:rPr>
          <w:rFonts w:ascii="Verdana" w:eastAsia="Calibri" w:hAnsi="Verdana" w:cs="Arial"/>
          <w:lang w:eastAsia="es-ES_tradnl"/>
        </w:rPr>
      </w:pPr>
      <w:r w:rsidRPr="00D8463A">
        <w:rPr>
          <w:rFonts w:ascii="Verdana" w:eastAsia="Calibri" w:hAnsi="Verdana" w:cs="Arial"/>
          <w:lang w:eastAsia="es-ES_tradnl"/>
        </w:rPr>
        <w:t xml:space="preserve">Armenia, Quindío </w:t>
      </w:r>
    </w:p>
    <w:p w14:paraId="3C5C9710" w14:textId="77777777" w:rsidR="00D8463A" w:rsidRPr="00D8463A" w:rsidRDefault="00D8463A" w:rsidP="00D8463A">
      <w:pPr>
        <w:spacing w:after="0" w:line="240" w:lineRule="auto"/>
        <w:rPr>
          <w:rFonts w:ascii="Verdana" w:eastAsia="Calibri" w:hAnsi="Verdana" w:cs="Arial"/>
          <w:lang w:val="es-ES_tradnl" w:eastAsia="es-ES_tradnl"/>
        </w:rPr>
      </w:pPr>
    </w:p>
    <w:p w14:paraId="471C11BC" w14:textId="77777777" w:rsidR="00D8463A" w:rsidRPr="00D8463A" w:rsidRDefault="00D8463A" w:rsidP="00D8463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D8463A" w:rsidRPr="00D8463A" w14:paraId="389B2521" w14:textId="77777777" w:rsidTr="00014EA4">
        <w:trPr>
          <w:trHeight w:val="229"/>
        </w:trPr>
        <w:tc>
          <w:tcPr>
            <w:tcW w:w="2410" w:type="dxa"/>
          </w:tcPr>
          <w:p w14:paraId="1AE139BB" w14:textId="77777777" w:rsidR="00D8463A" w:rsidRPr="00D8463A" w:rsidRDefault="00D8463A" w:rsidP="00D8463A">
            <w:pPr>
              <w:jc w:val="both"/>
              <w:rPr>
                <w:rFonts w:ascii="Verdana" w:eastAsia="Calibri" w:hAnsi="Verdana" w:cs="Arial"/>
                <w:b/>
                <w:bCs/>
                <w:lang w:val="es-ES_tradnl" w:eastAsia="es-ES_tradnl"/>
              </w:rPr>
            </w:pPr>
          </w:p>
        </w:tc>
        <w:tc>
          <w:tcPr>
            <w:tcW w:w="6379" w:type="dxa"/>
          </w:tcPr>
          <w:p w14:paraId="4D708C01" w14:textId="77777777" w:rsidR="00D8463A" w:rsidRPr="00D8463A" w:rsidRDefault="00D8463A" w:rsidP="00D8463A">
            <w:pPr>
              <w:jc w:val="both"/>
              <w:rPr>
                <w:rFonts w:ascii="Verdana" w:eastAsia="Calibri" w:hAnsi="Verdana" w:cs="Arial"/>
                <w:b/>
                <w:bCs/>
                <w:lang w:val="es-ES" w:eastAsia="es-ES"/>
              </w:rPr>
            </w:pPr>
            <w:r w:rsidRPr="00D8463A">
              <w:rPr>
                <w:rFonts w:ascii="Verdana" w:eastAsia="Calibri" w:hAnsi="Verdana" w:cs="Arial"/>
                <w:b/>
                <w:bCs/>
                <w:lang w:val="es-ES" w:eastAsia="es-ES"/>
              </w:rPr>
              <w:t>Concepto C-650 de 2025</w:t>
            </w:r>
          </w:p>
          <w:p w14:paraId="5ED6A806" w14:textId="77777777" w:rsidR="00D8463A" w:rsidRDefault="00D8463A" w:rsidP="00D8463A">
            <w:pPr>
              <w:jc w:val="both"/>
              <w:rPr>
                <w:rFonts w:ascii="Verdana" w:eastAsia="Calibri" w:hAnsi="Verdana" w:cs="Arial"/>
                <w:b/>
                <w:bCs/>
                <w:lang w:val="es-ES" w:eastAsia="es-ES"/>
              </w:rPr>
            </w:pPr>
          </w:p>
          <w:p w14:paraId="442C41D2" w14:textId="77777777" w:rsidR="00556DFA" w:rsidRDefault="00556DFA" w:rsidP="00D8463A">
            <w:pPr>
              <w:jc w:val="both"/>
              <w:rPr>
                <w:rFonts w:ascii="Verdana" w:eastAsia="Calibri" w:hAnsi="Verdana" w:cs="Arial"/>
                <w:b/>
                <w:bCs/>
                <w:lang w:val="es-ES" w:eastAsia="es-ES"/>
              </w:rPr>
            </w:pPr>
          </w:p>
          <w:p w14:paraId="71B7F0BB" w14:textId="77777777" w:rsidR="00556DFA" w:rsidRPr="00D8463A" w:rsidRDefault="00556DFA" w:rsidP="00D8463A">
            <w:pPr>
              <w:jc w:val="both"/>
              <w:rPr>
                <w:rFonts w:ascii="Verdana" w:eastAsia="Calibri" w:hAnsi="Verdana" w:cs="Arial"/>
                <w:b/>
                <w:bCs/>
                <w:lang w:val="es-ES" w:eastAsia="es-ES"/>
              </w:rPr>
            </w:pPr>
          </w:p>
        </w:tc>
      </w:tr>
      <w:tr w:rsidR="00D8463A" w:rsidRPr="00D8463A" w14:paraId="07149D84" w14:textId="77777777" w:rsidTr="00014EA4">
        <w:trPr>
          <w:trHeight w:val="884"/>
        </w:trPr>
        <w:tc>
          <w:tcPr>
            <w:tcW w:w="2410" w:type="dxa"/>
          </w:tcPr>
          <w:p w14:paraId="32EC2BBF" w14:textId="77777777" w:rsidR="00D8463A" w:rsidRPr="00D8463A" w:rsidRDefault="00D8463A" w:rsidP="00D8463A">
            <w:pPr>
              <w:jc w:val="both"/>
              <w:rPr>
                <w:rFonts w:ascii="Verdana" w:eastAsia="Calibri" w:hAnsi="Verdana" w:cs="Arial"/>
                <w:lang w:val="es-ES_tradnl" w:eastAsia="es-ES_tradnl"/>
              </w:rPr>
            </w:pPr>
            <w:r w:rsidRPr="00D8463A">
              <w:rPr>
                <w:rFonts w:ascii="Verdana" w:eastAsia="Calibri" w:hAnsi="Verdana" w:cs="Arial"/>
                <w:b/>
                <w:lang w:val="es-ES_tradnl" w:eastAsia="es-ES_tradnl"/>
              </w:rPr>
              <w:t>Temas:</w:t>
            </w:r>
            <w:r w:rsidRPr="00D8463A">
              <w:rPr>
                <w:rFonts w:ascii="Verdana" w:eastAsia="Calibri" w:hAnsi="Verdana" w:cs="Arial"/>
                <w:lang w:val="es-ES_tradnl" w:eastAsia="es-ES_tradnl"/>
              </w:rPr>
              <w:t xml:space="preserve">                   </w:t>
            </w:r>
          </w:p>
        </w:tc>
        <w:tc>
          <w:tcPr>
            <w:tcW w:w="6379" w:type="dxa"/>
          </w:tcPr>
          <w:p w14:paraId="2957002D" w14:textId="77777777" w:rsidR="00D8463A" w:rsidRPr="00D8463A" w:rsidRDefault="00D8463A" w:rsidP="00D8463A">
            <w:pPr>
              <w:jc w:val="both"/>
              <w:rPr>
                <w:rFonts w:ascii="Verdana" w:eastAsia="Aptos" w:hAnsi="Verdana" w:cs="Times New Roman"/>
                <w:color w:val="000000"/>
              </w:rPr>
            </w:pPr>
            <w:r w:rsidRPr="00D8463A">
              <w:rPr>
                <w:rFonts w:ascii="Verdana" w:eastAsia="Aptos" w:hAnsi="Verdana" w:cs="Times New Roman"/>
                <w:color w:val="000000"/>
              </w:rPr>
              <w:t xml:space="preserve">DOCUMENTOS TIPO – Fundamento normativo – Obligatoriedad </w:t>
            </w:r>
            <w:r w:rsidRPr="00D8463A">
              <w:rPr>
                <w:rFonts w:ascii="Verdana" w:eastAsia="Aptos" w:hAnsi="Verdana" w:cs="Times New Roman"/>
              </w:rPr>
              <w:t xml:space="preserve">/ </w:t>
            </w:r>
            <w:r w:rsidRPr="00D8463A">
              <w:rPr>
                <w:rFonts w:ascii="Verdana" w:eastAsia="Aptos" w:hAnsi="Verdana" w:cs="Times New Roman"/>
                <w:color w:val="000000"/>
              </w:rPr>
              <w:t>EXPERIENCIA – Acreditación − documentos tipo − Licitación de obra pública de infraestructura de transporte – Versión 4 / DOCUMENTOS TIPO − Licitación de obra pública de infraestructura de transporte – Versión 4 – Obras, bienes o servicios adicionales – Documento base</w:t>
            </w:r>
          </w:p>
          <w:p w14:paraId="09AE8442" w14:textId="77777777" w:rsidR="00D8463A" w:rsidRPr="00D8463A" w:rsidRDefault="00D8463A" w:rsidP="00D8463A">
            <w:pPr>
              <w:autoSpaceDE w:val="0"/>
              <w:autoSpaceDN w:val="0"/>
              <w:adjustRightInd w:val="0"/>
              <w:jc w:val="both"/>
              <w:rPr>
                <w:rFonts w:ascii="Verdana" w:eastAsia="Calibri" w:hAnsi="Verdana" w:cs="Arial"/>
                <w:lang w:val="es-ES" w:eastAsia="es-ES"/>
              </w:rPr>
            </w:pPr>
          </w:p>
        </w:tc>
      </w:tr>
      <w:tr w:rsidR="00D8463A" w:rsidRPr="00D8463A" w14:paraId="01FA15BD" w14:textId="77777777" w:rsidTr="00014EA4">
        <w:tc>
          <w:tcPr>
            <w:tcW w:w="2410" w:type="dxa"/>
          </w:tcPr>
          <w:p w14:paraId="3CEB73A5" w14:textId="77777777" w:rsidR="00D8463A" w:rsidRPr="00D8463A" w:rsidRDefault="00D8463A" w:rsidP="00D8463A">
            <w:pPr>
              <w:jc w:val="both"/>
              <w:rPr>
                <w:rFonts w:ascii="Verdana" w:eastAsia="Calibri" w:hAnsi="Verdana" w:cs="Arial"/>
                <w:b/>
                <w:lang w:val="es-ES_tradnl" w:eastAsia="es-ES_tradnl"/>
              </w:rPr>
            </w:pPr>
            <w:r w:rsidRPr="00D8463A">
              <w:rPr>
                <w:rFonts w:ascii="Verdana" w:eastAsia="Calibri" w:hAnsi="Verdana" w:cs="Arial"/>
                <w:b/>
                <w:lang w:val="es-ES_tradnl" w:eastAsia="es-ES_tradnl"/>
              </w:rPr>
              <w:t>Radicación:</w:t>
            </w:r>
            <w:r w:rsidRPr="00D8463A">
              <w:rPr>
                <w:rFonts w:ascii="Verdana" w:eastAsia="Calibri" w:hAnsi="Verdana" w:cs="Arial"/>
                <w:lang w:val="es-ES_tradnl" w:eastAsia="es-ES_tradnl"/>
              </w:rPr>
              <w:t xml:space="preserve">               </w:t>
            </w:r>
          </w:p>
        </w:tc>
        <w:tc>
          <w:tcPr>
            <w:tcW w:w="6379" w:type="dxa"/>
          </w:tcPr>
          <w:p w14:paraId="2FC05E9A" w14:textId="77777777" w:rsidR="00D8463A" w:rsidRPr="00D8463A" w:rsidRDefault="00D8463A" w:rsidP="00D8463A">
            <w:pPr>
              <w:ind w:left="708" w:hanging="708"/>
              <w:jc w:val="both"/>
              <w:rPr>
                <w:rFonts w:ascii="Verdana" w:eastAsia="Calibri" w:hAnsi="Verdana" w:cs="Arial"/>
                <w:lang w:val="es-ES_tradnl" w:eastAsia="es-ES_tradnl"/>
              </w:rPr>
            </w:pPr>
            <w:r w:rsidRPr="00D8463A">
              <w:rPr>
                <w:rFonts w:ascii="Verdana" w:eastAsia="Calibri" w:hAnsi="Verdana" w:cs="Arial"/>
                <w:lang w:val="es-ES_tradnl" w:eastAsia="es-ES_tradnl"/>
              </w:rPr>
              <w:t>Respuesta a consulta con radicado No. P20250523005001</w:t>
            </w:r>
          </w:p>
        </w:tc>
      </w:tr>
    </w:tbl>
    <w:p w14:paraId="72209453" w14:textId="77777777" w:rsidR="00D8463A" w:rsidRPr="00D8463A" w:rsidRDefault="00D8463A" w:rsidP="00D8463A">
      <w:pPr>
        <w:spacing w:after="0" w:line="240" w:lineRule="auto"/>
        <w:jc w:val="both"/>
        <w:rPr>
          <w:rFonts w:ascii="Verdana" w:eastAsia="Calibri" w:hAnsi="Verdana" w:cs="Arial"/>
          <w:lang w:val="es-ES_tradnl" w:eastAsia="es-ES_tradnl"/>
        </w:rPr>
      </w:pPr>
    </w:p>
    <w:p w14:paraId="66E73BD9" w14:textId="77777777" w:rsidR="00D8463A" w:rsidRPr="00D8463A" w:rsidRDefault="00D8463A" w:rsidP="00D8463A">
      <w:pPr>
        <w:spacing w:after="0" w:line="276" w:lineRule="auto"/>
        <w:jc w:val="both"/>
        <w:rPr>
          <w:rFonts w:ascii="Verdana" w:eastAsia="Calibri" w:hAnsi="Verdana" w:cs="Arial"/>
          <w:lang w:val="es-ES" w:eastAsia="es-ES"/>
        </w:rPr>
      </w:pPr>
      <w:r w:rsidRPr="00D8463A">
        <w:rPr>
          <w:rFonts w:ascii="Verdana" w:eastAsia="Calibri" w:hAnsi="Verdana" w:cs="Arial"/>
          <w:lang w:val="es-ES" w:eastAsia="es-ES"/>
        </w:rPr>
        <w:t xml:space="preserve">Estimada señora Latorre Rico: </w:t>
      </w:r>
    </w:p>
    <w:p w14:paraId="4FEFE2CD" w14:textId="77777777" w:rsidR="00D8463A" w:rsidRPr="00D8463A" w:rsidRDefault="00D8463A" w:rsidP="00D8463A">
      <w:pPr>
        <w:tabs>
          <w:tab w:val="left" w:pos="3768"/>
        </w:tabs>
        <w:spacing w:after="0" w:line="276" w:lineRule="auto"/>
        <w:jc w:val="both"/>
        <w:rPr>
          <w:rFonts w:ascii="Verdana" w:eastAsia="Calibri" w:hAnsi="Verdana" w:cs="Arial"/>
          <w:lang w:val="es-ES" w:eastAsia="es-ES"/>
        </w:rPr>
      </w:pPr>
      <w:r w:rsidRPr="00D8463A">
        <w:rPr>
          <w:rFonts w:ascii="Verdana" w:eastAsia="Calibri" w:hAnsi="Verdana" w:cs="Arial"/>
          <w:lang w:val="es-ES" w:eastAsia="es-ES"/>
        </w:rPr>
        <w:tab/>
      </w:r>
    </w:p>
    <w:p w14:paraId="40DCACB0" w14:textId="77777777" w:rsidR="00D8463A" w:rsidRPr="00D8463A" w:rsidRDefault="00D8463A" w:rsidP="00D8463A">
      <w:pPr>
        <w:spacing w:after="0" w:line="276" w:lineRule="auto"/>
        <w:jc w:val="both"/>
        <w:rPr>
          <w:rFonts w:ascii="Verdana" w:eastAsia="Calibri" w:hAnsi="Verdana" w:cs="Arial"/>
          <w:lang w:val="es-ES" w:eastAsia="es-ES"/>
        </w:rPr>
      </w:pPr>
      <w:r w:rsidRPr="00D8463A">
        <w:rPr>
          <w:rFonts w:ascii="Verdana" w:eastAsia="Calibri" w:hAnsi="Verdana" w:cs="Arial"/>
          <w:lang w:val="es-ES" w:eastAsia="es-ES"/>
        </w:rPr>
        <w:t>En ejercicio de la competencia otorgada por los artículos 3, numeral 5º, y 11, numeral 8º, del Decreto Ley 4170 de 2011,</w:t>
      </w:r>
      <w:r w:rsidRPr="00D8463A">
        <w:rPr>
          <w:rFonts w:ascii="Verdana" w:eastAsia="Arial MT" w:hAnsi="Verdana" w:cs="Arial MT"/>
          <w:lang w:val="es-ES" w:eastAsia="es-ES"/>
        </w:rPr>
        <w:t xml:space="preserve"> </w:t>
      </w:r>
      <w:r w:rsidRPr="00D8463A">
        <w:rPr>
          <w:rFonts w:ascii="Verdana" w:eastAsia="Aptos" w:hAnsi="Verdana" w:cs="Arial"/>
        </w:rPr>
        <w:t xml:space="preserve">así como lo establecido en el artículo 4 de la Resolución 1707 de 2018 expedida por esta Entidad, </w:t>
      </w:r>
      <w:r w:rsidRPr="00D8463A">
        <w:rPr>
          <w:rFonts w:ascii="Verdana" w:eastAsia="Calibri" w:hAnsi="Verdana" w:cs="Arial"/>
          <w:lang w:val="es-ES" w:eastAsia="es-ES"/>
        </w:rPr>
        <w:t xml:space="preserve">la Agencia Nacional de Contratación Pública – Colombia Compra Eficiente– responde su solicitud de consulta del 23 de mayo de 2025, en la cual manifiesta lo siguiente: </w:t>
      </w:r>
    </w:p>
    <w:p w14:paraId="6CD9AA16" w14:textId="77777777" w:rsidR="00D8463A" w:rsidRPr="00D8463A" w:rsidRDefault="00D8463A" w:rsidP="00D8463A">
      <w:pPr>
        <w:tabs>
          <w:tab w:val="left" w:pos="142"/>
          <w:tab w:val="left" w:pos="284"/>
        </w:tabs>
        <w:spacing w:after="120" w:line="240" w:lineRule="auto"/>
        <w:ind w:left="709" w:right="709"/>
        <w:jc w:val="both"/>
        <w:rPr>
          <w:rFonts w:ascii="Arial" w:eastAsia="Century Gothic" w:hAnsi="Arial" w:cs="Arial"/>
          <w:b/>
          <w:bCs/>
          <w:sz w:val="21"/>
          <w:szCs w:val="21"/>
        </w:rPr>
      </w:pPr>
    </w:p>
    <w:p w14:paraId="755EF923" w14:textId="77777777" w:rsidR="00D8463A" w:rsidRPr="00D8463A" w:rsidRDefault="00D8463A" w:rsidP="00D8463A">
      <w:pPr>
        <w:spacing w:after="120" w:line="240" w:lineRule="auto"/>
        <w:ind w:left="709" w:right="709"/>
        <w:jc w:val="both"/>
        <w:rPr>
          <w:rFonts w:ascii="Arial" w:eastAsia="Aptos" w:hAnsi="Arial" w:cs="Arial"/>
          <w:sz w:val="21"/>
          <w:szCs w:val="21"/>
          <w:lang w:eastAsia="es-CO"/>
        </w:rPr>
      </w:pPr>
      <w:r w:rsidRPr="00D8463A">
        <w:rPr>
          <w:rFonts w:ascii="Arial" w:eastAsia="Century Gothic" w:hAnsi="Arial" w:cs="Arial"/>
          <w:sz w:val="21"/>
          <w:szCs w:val="21"/>
          <w:lang w:val="es-ES"/>
        </w:rPr>
        <w:t>“</w:t>
      </w:r>
      <w:r w:rsidRPr="00D8463A">
        <w:rPr>
          <w:rFonts w:ascii="Arial" w:eastAsia="Century Gothic" w:hAnsi="Arial" w:cs="Arial"/>
          <w:sz w:val="21"/>
          <w:szCs w:val="21"/>
        </w:rPr>
        <w:t>.</w:t>
      </w:r>
      <w:r w:rsidRPr="00D8463A">
        <w:rPr>
          <w:rFonts w:ascii="Arial" w:eastAsia="Aptos" w:hAnsi="Arial" w:cs="Arial"/>
          <w:sz w:val="21"/>
          <w:szCs w:val="21"/>
          <w:lang w:val="es-ES_tradnl" w:eastAsia="es-CO"/>
        </w:rPr>
        <w:t xml:space="preserve">En ejercicio del derecho de petición consagrado en el artículo 23 de la Constitución Política y como ciudadano interesado en la transparencia y legalidad de los procesos de contratación estatal, solicito a esa Agencia orientación jurídica clara y específica sobre la ruta normativa que deben seguir las entidades estatales para incluir en los pliegos de condiciones de los Documentos Tipo —en licitaciones de obra pública nacional, selecciones abreviadas y menores cuantías— requisitos de experiencia relacionados con la utilización de tecnologías expresamente reguladas en la </w:t>
      </w:r>
      <w:r w:rsidRPr="00D8463A">
        <w:rPr>
          <w:rFonts w:ascii="Arial" w:eastAsia="Aptos" w:hAnsi="Arial" w:cs="Arial"/>
          <w:b/>
          <w:bCs/>
          <w:sz w:val="21"/>
          <w:szCs w:val="21"/>
          <w:lang w:val="es-ES_tradnl" w:eastAsia="es-CO"/>
        </w:rPr>
        <w:t>Resolución 2451 de 2022 del Instituto Nacional de Vías (INVÍAS)</w:t>
      </w:r>
      <w:r w:rsidRPr="00D8463A">
        <w:rPr>
          <w:rFonts w:ascii="Arial" w:eastAsia="Aptos" w:hAnsi="Arial" w:cs="Arial"/>
          <w:sz w:val="21"/>
          <w:szCs w:val="21"/>
          <w:lang w:val="es-ES_tradnl" w:eastAsia="es-CO"/>
        </w:rPr>
        <w:t xml:space="preserve">, aun cuando dichas actividades </w:t>
      </w:r>
      <w:r w:rsidRPr="00D8463A">
        <w:rPr>
          <w:rFonts w:ascii="Arial" w:eastAsia="Aptos" w:hAnsi="Arial" w:cs="Arial"/>
          <w:sz w:val="21"/>
          <w:szCs w:val="21"/>
          <w:lang w:val="es-ES_tradnl" w:eastAsia="es-CO"/>
        </w:rPr>
        <w:lastRenderedPageBreak/>
        <w:t>o tecnologías no se encuentren expresamente previstas en la Matriz de Experiencia de los Documentos Tipo.</w:t>
      </w:r>
    </w:p>
    <w:p w14:paraId="5788AA53" w14:textId="77777777" w:rsidR="00D8463A" w:rsidRPr="00D8463A" w:rsidRDefault="00D8463A" w:rsidP="00D8463A">
      <w:pPr>
        <w:spacing w:after="120" w:line="240" w:lineRule="auto"/>
        <w:ind w:left="709" w:right="709"/>
        <w:jc w:val="both"/>
        <w:rPr>
          <w:rFonts w:ascii="Arial" w:eastAsia="Aptos" w:hAnsi="Arial" w:cs="Arial"/>
          <w:sz w:val="21"/>
          <w:szCs w:val="21"/>
          <w:lang w:eastAsia="es-CO"/>
        </w:rPr>
      </w:pPr>
      <w:r w:rsidRPr="00D8463A">
        <w:rPr>
          <w:rFonts w:ascii="Arial" w:eastAsia="Aptos" w:hAnsi="Arial" w:cs="Arial"/>
          <w:sz w:val="21"/>
          <w:szCs w:val="21"/>
          <w:lang w:val="es-ES_tradnl" w:eastAsia="es-CO"/>
        </w:rPr>
        <w:t xml:space="preserve">La Resolución 2451 de 2022, expedida por el INVÍAS, adoptó las especificaciones generales de construcción para la Red Vial Nacional, estableciendo el marco normativo técnico obligatorio para la formulación, ejecución y supervisión de proyectos de infraestructura vial en Colombia. Esta resolución habilita la utilización de </w:t>
      </w:r>
      <w:r w:rsidRPr="00D8463A">
        <w:rPr>
          <w:rFonts w:ascii="Arial" w:eastAsia="Aptos" w:hAnsi="Arial" w:cs="Arial"/>
          <w:b/>
          <w:bCs/>
          <w:i/>
          <w:iCs/>
          <w:sz w:val="21"/>
          <w:szCs w:val="21"/>
          <w:u w:val="single"/>
          <w:lang w:val="es-ES_tradnl" w:eastAsia="es-CO"/>
        </w:rPr>
        <w:t>tecnologías innovadoras y específicas</w:t>
      </w:r>
      <w:r w:rsidRPr="00D8463A">
        <w:rPr>
          <w:rFonts w:ascii="Arial" w:eastAsia="Aptos" w:hAnsi="Arial" w:cs="Arial"/>
          <w:sz w:val="21"/>
          <w:szCs w:val="21"/>
          <w:lang w:val="es-ES_tradnl" w:eastAsia="es-CO"/>
        </w:rPr>
        <w:t xml:space="preserve"> —como las previstas en sus artículos particulares, por ejemplo, la estabilización de suelos con productos químicos no tradicionales (artículo 237-22), obras de ingeniería verde, geo bioingeniería, entre otras— y define los parámetros técnicos, metodológicos y de desempeño que deben cumplir dichas soluciones para ser implementadas en obra pública.</w:t>
      </w:r>
    </w:p>
    <w:p w14:paraId="30FB20AC" w14:textId="77777777" w:rsidR="00D8463A" w:rsidRPr="00D8463A" w:rsidRDefault="00D8463A" w:rsidP="00D8463A">
      <w:pPr>
        <w:spacing w:after="120" w:line="240" w:lineRule="auto"/>
        <w:ind w:left="709" w:right="709"/>
        <w:jc w:val="both"/>
        <w:rPr>
          <w:rFonts w:ascii="Arial" w:eastAsia="Aptos" w:hAnsi="Arial" w:cs="Arial"/>
          <w:sz w:val="21"/>
          <w:szCs w:val="21"/>
          <w:lang w:eastAsia="es-CO"/>
        </w:rPr>
      </w:pPr>
      <w:r w:rsidRPr="00D8463A">
        <w:rPr>
          <w:rFonts w:ascii="Arial" w:eastAsia="Aptos" w:hAnsi="Arial" w:cs="Arial"/>
          <w:sz w:val="21"/>
          <w:szCs w:val="21"/>
          <w:lang w:val="es-ES_tradnl" w:eastAsia="es-CO"/>
        </w:rPr>
        <w:t xml:space="preserve">Adicionalmente, solicito que se tenga en cuenta el </w:t>
      </w:r>
      <w:r w:rsidRPr="00D8463A">
        <w:rPr>
          <w:rFonts w:ascii="Arial" w:eastAsia="Aptos" w:hAnsi="Arial" w:cs="Arial"/>
          <w:b/>
          <w:bCs/>
          <w:sz w:val="21"/>
          <w:szCs w:val="21"/>
          <w:lang w:val="es-ES_tradnl" w:eastAsia="es-CO"/>
        </w:rPr>
        <w:t>artículo 8 de la Ley 1682 de 2013</w:t>
      </w:r>
      <w:r w:rsidRPr="00D8463A">
        <w:rPr>
          <w:rFonts w:ascii="Arial" w:eastAsia="Aptos" w:hAnsi="Arial" w:cs="Arial"/>
          <w:sz w:val="21"/>
          <w:szCs w:val="21"/>
          <w:lang w:val="es-ES_tradnl" w:eastAsia="es-CO"/>
        </w:rPr>
        <w:t xml:space="preserve">, que establece los principios rectores para la planeación y desarrollo de la infraestructura de transporte en Colombia, tales como la accesibilidad, la adaptación y mitigación al cambio climático, la intermodalidad, </w:t>
      </w:r>
      <w:r w:rsidRPr="00D8463A">
        <w:rPr>
          <w:rFonts w:ascii="Arial" w:eastAsia="Aptos" w:hAnsi="Arial" w:cs="Arial"/>
          <w:b/>
          <w:bCs/>
          <w:sz w:val="21"/>
          <w:szCs w:val="21"/>
          <w:lang w:val="es-ES_tradnl" w:eastAsia="es-CO"/>
        </w:rPr>
        <w:t>la innovación</w:t>
      </w:r>
      <w:r w:rsidRPr="00D8463A">
        <w:rPr>
          <w:rFonts w:ascii="Arial" w:eastAsia="Aptos" w:hAnsi="Arial" w:cs="Arial"/>
          <w:sz w:val="21"/>
          <w:szCs w:val="21"/>
          <w:lang w:val="es-ES_tradnl" w:eastAsia="es-CO"/>
        </w:rPr>
        <w:t>, la sostenibilidad ambiental y la función pública e interés general. Estos principios son de obligatorio cumplimiento y orientan la incorporación de tecnologías que contribuyan a la eficiencia, sostenibilidad y adaptabilidad de los proyectos de infraestructura de transporte.</w:t>
      </w:r>
    </w:p>
    <w:p w14:paraId="2D213D41" w14:textId="77777777" w:rsidR="00D8463A" w:rsidRPr="00D8463A" w:rsidRDefault="00D8463A" w:rsidP="00D8463A">
      <w:pPr>
        <w:spacing w:after="120" w:line="240" w:lineRule="auto"/>
        <w:ind w:left="709" w:right="709"/>
        <w:jc w:val="both"/>
        <w:rPr>
          <w:rFonts w:ascii="Arial" w:eastAsia="Aptos" w:hAnsi="Arial" w:cs="Arial"/>
          <w:sz w:val="21"/>
          <w:szCs w:val="21"/>
          <w:lang w:eastAsia="es-CO"/>
        </w:rPr>
      </w:pPr>
      <w:r w:rsidRPr="00D8463A">
        <w:rPr>
          <w:rFonts w:ascii="Arial" w:eastAsia="Aptos" w:hAnsi="Arial" w:cs="Arial"/>
          <w:sz w:val="21"/>
          <w:szCs w:val="21"/>
          <w:lang w:val="es-ES_tradnl" w:eastAsia="es-CO"/>
        </w:rPr>
        <w:t>En este contexto, respetuosamente solicito a la Agencia:</w:t>
      </w:r>
    </w:p>
    <w:p w14:paraId="6F37A720" w14:textId="77777777" w:rsidR="00D8463A" w:rsidRPr="00D8463A" w:rsidRDefault="00D8463A" w:rsidP="00D8463A">
      <w:pPr>
        <w:spacing w:after="120" w:line="240" w:lineRule="auto"/>
        <w:ind w:left="709" w:right="709"/>
        <w:jc w:val="both"/>
        <w:rPr>
          <w:rFonts w:ascii="Arial" w:eastAsia="Aptos" w:hAnsi="Arial" w:cs="Arial"/>
          <w:sz w:val="21"/>
          <w:szCs w:val="21"/>
          <w:lang w:eastAsia="es-CO"/>
        </w:rPr>
      </w:pPr>
      <w:r w:rsidRPr="00D8463A">
        <w:rPr>
          <w:rFonts w:ascii="Arial" w:eastAsia="Aptos" w:hAnsi="Arial" w:cs="Arial"/>
          <w:sz w:val="21"/>
          <w:szCs w:val="21"/>
          <w:lang w:val="es-ES_tradnl" w:eastAsia="es-CO"/>
        </w:rPr>
        <w:t xml:space="preserve">1. </w:t>
      </w:r>
      <w:r w:rsidRPr="00D8463A">
        <w:rPr>
          <w:rFonts w:ascii="Arial" w:eastAsia="Aptos" w:hAnsi="Arial" w:cs="Arial"/>
          <w:b/>
          <w:bCs/>
          <w:sz w:val="21"/>
          <w:szCs w:val="21"/>
          <w:lang w:val="es-ES_tradnl" w:eastAsia="es-CO"/>
        </w:rPr>
        <w:t>Indicar si, conforme al marco normativo vigente (Ley 1150 de 2007, Decreto 1082 de 2015, Resolución 240 de 2020, Resolución 463 de 2024 y demás normas aplicables), existe la posibilidad de incluir en los pliegos de condiciones experiencia adicional o diferencial respecto de actividades o tecnologías que, aunque no estén expresamente previstas en la Matriz de Experiencia de los Documentos Tipo, sí cuentan con regulación técnica oficial y obligatoria en la Resolución 2451 de 2022 de INVÍAS, en armonía con los principios del artículo 8 de la Ley 1682 de 2013</w:t>
      </w:r>
      <w:r w:rsidRPr="00D8463A">
        <w:rPr>
          <w:rFonts w:ascii="Arial" w:eastAsia="Aptos" w:hAnsi="Arial" w:cs="Arial"/>
          <w:sz w:val="21"/>
          <w:szCs w:val="21"/>
          <w:lang w:val="es-ES_tradnl" w:eastAsia="es-CO"/>
        </w:rPr>
        <w:t>.</w:t>
      </w:r>
    </w:p>
    <w:p w14:paraId="45135F86" w14:textId="77777777" w:rsidR="00D8463A" w:rsidRPr="00D8463A" w:rsidRDefault="00D8463A" w:rsidP="00D8463A">
      <w:pPr>
        <w:spacing w:after="120" w:line="240" w:lineRule="auto"/>
        <w:ind w:left="709" w:right="709"/>
        <w:jc w:val="both"/>
        <w:rPr>
          <w:rFonts w:ascii="Arial" w:eastAsia="Aptos" w:hAnsi="Arial" w:cs="Arial"/>
          <w:sz w:val="21"/>
          <w:szCs w:val="21"/>
          <w:lang w:eastAsia="es-CO"/>
        </w:rPr>
      </w:pPr>
      <w:r w:rsidRPr="00D8463A">
        <w:rPr>
          <w:rFonts w:ascii="Arial" w:eastAsia="Aptos" w:hAnsi="Arial" w:cs="Arial"/>
          <w:b/>
          <w:bCs/>
          <w:sz w:val="21"/>
          <w:szCs w:val="21"/>
          <w:lang w:val="es-ES_tradnl" w:eastAsia="es-CO"/>
        </w:rPr>
        <w:t>2</w:t>
      </w:r>
      <w:r w:rsidRPr="00D8463A">
        <w:rPr>
          <w:rFonts w:ascii="Arial" w:eastAsia="Aptos" w:hAnsi="Arial" w:cs="Arial"/>
          <w:sz w:val="21"/>
          <w:szCs w:val="21"/>
          <w:lang w:val="es-ES_tradnl" w:eastAsia="es-CO"/>
        </w:rPr>
        <w:t xml:space="preserve">. </w:t>
      </w:r>
      <w:r w:rsidRPr="00D8463A">
        <w:rPr>
          <w:rFonts w:ascii="Arial" w:eastAsia="Aptos" w:hAnsi="Arial" w:cs="Arial"/>
          <w:b/>
          <w:bCs/>
          <w:sz w:val="21"/>
          <w:szCs w:val="21"/>
          <w:lang w:val="es-ES_tradnl" w:eastAsia="es-CO"/>
        </w:rPr>
        <w:t>Precisar los pasos, requisitos o mecanismos jurídicos que debe cumplir la entidad estatal para justificar la inclusión de dicha experiencia, en especial cuando la tecnología a utilizar está expresamente contemplada y regulada en los artículos particulares de la Resolución 2451 de 2022, y su implementación responde a los principios de innovación, sostenibilidad y funcionalidad estructural definidos en el artículo 8 de la Ley 1682 de 2013.</w:t>
      </w:r>
    </w:p>
    <w:p w14:paraId="13447CE9" w14:textId="77777777" w:rsidR="00D8463A" w:rsidRPr="00D8463A" w:rsidRDefault="00D8463A" w:rsidP="00D8463A">
      <w:pPr>
        <w:spacing w:after="120" w:line="240" w:lineRule="auto"/>
        <w:ind w:left="709" w:right="709"/>
        <w:jc w:val="both"/>
        <w:rPr>
          <w:rFonts w:ascii="Arial" w:eastAsia="Aptos" w:hAnsi="Arial" w:cs="Arial"/>
          <w:sz w:val="21"/>
          <w:szCs w:val="21"/>
          <w:lang w:eastAsia="es-CO"/>
        </w:rPr>
      </w:pPr>
      <w:r w:rsidRPr="00D8463A">
        <w:rPr>
          <w:rFonts w:ascii="Arial" w:eastAsia="Aptos" w:hAnsi="Arial" w:cs="Arial"/>
          <w:b/>
          <w:bCs/>
          <w:sz w:val="21"/>
          <w:szCs w:val="21"/>
          <w:lang w:val="es-ES_tradnl" w:eastAsia="es-CO"/>
        </w:rPr>
        <w:t>3.</w:t>
      </w:r>
      <w:r w:rsidRPr="00D8463A">
        <w:rPr>
          <w:rFonts w:ascii="Arial" w:eastAsia="Aptos" w:hAnsi="Arial" w:cs="Arial"/>
          <w:sz w:val="21"/>
          <w:szCs w:val="21"/>
          <w:lang w:val="es-ES_tradnl" w:eastAsia="es-CO"/>
        </w:rPr>
        <w:t xml:space="preserve"> </w:t>
      </w:r>
      <w:r w:rsidRPr="00D8463A">
        <w:rPr>
          <w:rFonts w:ascii="Arial" w:eastAsia="Aptos" w:hAnsi="Arial" w:cs="Arial"/>
          <w:b/>
          <w:bCs/>
          <w:sz w:val="21"/>
          <w:szCs w:val="21"/>
          <w:lang w:val="es-ES_tradnl" w:eastAsia="es-CO"/>
        </w:rPr>
        <w:t xml:space="preserve">Señalar si el artículo </w:t>
      </w:r>
      <w:bookmarkStart w:id="1" w:name="m_-1381281822870382543_OLE_LINK1"/>
      <w:r w:rsidRPr="00D8463A">
        <w:rPr>
          <w:rFonts w:ascii="Arial" w:eastAsia="Aptos" w:hAnsi="Arial" w:cs="Arial"/>
          <w:b/>
          <w:bCs/>
          <w:sz w:val="21"/>
          <w:szCs w:val="21"/>
          <w:lang w:val="es-ES_tradnl" w:eastAsia="es-CO"/>
        </w:rPr>
        <w:t>4 de la Resolución 240 de 2020</w:t>
      </w:r>
      <w:bookmarkEnd w:id="1"/>
      <w:r w:rsidRPr="00D8463A">
        <w:rPr>
          <w:rFonts w:ascii="Arial" w:eastAsia="Aptos" w:hAnsi="Arial" w:cs="Arial"/>
          <w:b/>
          <w:bCs/>
          <w:sz w:val="21"/>
          <w:szCs w:val="21"/>
          <w:lang w:val="es-ES_tradnl" w:eastAsia="es-CO"/>
        </w:rPr>
        <w:t>, la Resolución 463 de 2024, u otra disposición vigente, permite a la entidad exigir experiencia adicional para tecnologías o actividades reguladas por la Resolución 2451 de 2022, y cuáles son los criterios y límites para ello, especialmente cuando se trata de dar cumplimiento a los principios rectores de la infraestructura de transporte</w:t>
      </w:r>
      <w:r w:rsidRPr="00D8463A">
        <w:rPr>
          <w:rFonts w:ascii="Arial" w:eastAsia="Aptos" w:hAnsi="Arial" w:cs="Arial"/>
          <w:sz w:val="21"/>
          <w:szCs w:val="21"/>
          <w:lang w:val="es-ES_tradnl" w:eastAsia="es-CO"/>
        </w:rPr>
        <w:t>.</w:t>
      </w:r>
    </w:p>
    <w:p w14:paraId="4578B955" w14:textId="77777777" w:rsidR="00D8463A" w:rsidRPr="00D8463A" w:rsidRDefault="00D8463A" w:rsidP="00D8463A">
      <w:pPr>
        <w:spacing w:after="120" w:line="240" w:lineRule="auto"/>
        <w:ind w:left="709" w:right="709"/>
        <w:jc w:val="both"/>
        <w:rPr>
          <w:rFonts w:ascii="Arial" w:eastAsia="Aptos" w:hAnsi="Arial" w:cs="Arial"/>
          <w:sz w:val="21"/>
          <w:szCs w:val="21"/>
          <w:lang w:eastAsia="es-CO"/>
        </w:rPr>
      </w:pPr>
      <w:r w:rsidRPr="00D8463A">
        <w:rPr>
          <w:rFonts w:ascii="Arial" w:eastAsia="Aptos" w:hAnsi="Arial" w:cs="Arial"/>
          <w:b/>
          <w:bCs/>
          <w:sz w:val="21"/>
          <w:szCs w:val="21"/>
          <w:lang w:val="es-ES_tradnl" w:eastAsia="es-CO"/>
        </w:rPr>
        <w:t>4.</w:t>
      </w:r>
      <w:r w:rsidRPr="00D8463A">
        <w:rPr>
          <w:rFonts w:ascii="Arial" w:eastAsia="Aptos" w:hAnsi="Arial" w:cs="Arial"/>
          <w:sz w:val="21"/>
          <w:szCs w:val="21"/>
          <w:lang w:val="es-ES_tradnl" w:eastAsia="es-CO"/>
        </w:rPr>
        <w:t xml:space="preserve"> </w:t>
      </w:r>
      <w:r w:rsidRPr="00D8463A">
        <w:rPr>
          <w:rFonts w:ascii="Arial" w:eastAsia="Aptos" w:hAnsi="Arial" w:cs="Arial"/>
          <w:b/>
          <w:bCs/>
          <w:sz w:val="21"/>
          <w:szCs w:val="21"/>
          <w:lang w:val="es-ES_tradnl" w:eastAsia="es-CO"/>
        </w:rPr>
        <w:t xml:space="preserve">Indicar si existen otras rutas jurídicas, distintas a las anteriores, que permitan la inclusión de experiencia particular en procesos sujetos a Documentos Tipo, en atención a la naturaleza del objeto contractual, la </w:t>
      </w:r>
      <w:r w:rsidRPr="00D8463A">
        <w:rPr>
          <w:rFonts w:ascii="Arial" w:eastAsia="Aptos" w:hAnsi="Arial" w:cs="Arial"/>
          <w:b/>
          <w:bCs/>
          <w:sz w:val="21"/>
          <w:szCs w:val="21"/>
          <w:lang w:val="es-ES_tradnl" w:eastAsia="es-CO"/>
        </w:rPr>
        <w:lastRenderedPageBreak/>
        <w:t>innovación tecnológica o la necesidad de atender condiciones específicas del proyecto, cuando la tecnología a emplear está respaldada por regulación técnica oficial y vigente y su utilización contribuye a la materialización de los principios del artículo 8 de la Ley 1682 de 2013.</w:t>
      </w:r>
    </w:p>
    <w:p w14:paraId="436ABEAE" w14:textId="77777777" w:rsidR="00D8463A" w:rsidRPr="00D8463A" w:rsidRDefault="00D8463A" w:rsidP="00D8463A">
      <w:pPr>
        <w:spacing w:after="120" w:line="240" w:lineRule="auto"/>
        <w:ind w:left="709" w:right="709"/>
        <w:jc w:val="both"/>
        <w:rPr>
          <w:rFonts w:ascii="Arial" w:eastAsia="Aptos" w:hAnsi="Arial" w:cs="Arial"/>
          <w:sz w:val="21"/>
          <w:szCs w:val="21"/>
          <w:lang w:eastAsia="es-CO"/>
        </w:rPr>
      </w:pPr>
      <w:r w:rsidRPr="00D8463A">
        <w:rPr>
          <w:rFonts w:ascii="Arial" w:eastAsia="Aptos" w:hAnsi="Arial" w:cs="Arial"/>
          <w:sz w:val="21"/>
          <w:szCs w:val="21"/>
          <w:lang w:val="es-ES_tradnl" w:eastAsia="es-CO"/>
        </w:rPr>
        <w:t xml:space="preserve">Aclaro que esta solicitud no pretende que la Agencia evalúe la experiencia técnica de una tecnología específica, sino que oriente —desde el ámbito jurídico y procedimental— cuál es el camino legal para que las entidades estatales puedan incorporar, de manera válida y transparente, requisitos de experiencia relacionados con tecnologías expresamente reguladas por la </w:t>
      </w:r>
      <w:r w:rsidRPr="00D8463A">
        <w:rPr>
          <w:rFonts w:ascii="Arial" w:eastAsia="Aptos" w:hAnsi="Arial" w:cs="Arial"/>
          <w:b/>
          <w:bCs/>
          <w:sz w:val="21"/>
          <w:szCs w:val="21"/>
          <w:lang w:val="es-ES_tradnl" w:eastAsia="es-CO"/>
        </w:rPr>
        <w:t>Resolución 2451 de 2022 de INVÍAS</w:t>
      </w:r>
      <w:r w:rsidRPr="00D8463A">
        <w:rPr>
          <w:rFonts w:ascii="Arial" w:eastAsia="Aptos" w:hAnsi="Arial" w:cs="Arial"/>
          <w:sz w:val="21"/>
          <w:szCs w:val="21"/>
          <w:lang w:val="es-ES_tradnl" w:eastAsia="es-CO"/>
        </w:rPr>
        <w:t xml:space="preserve"> y en cumplimiento de los principios rectores definidos en el artículo </w:t>
      </w:r>
      <w:r w:rsidRPr="00D8463A">
        <w:rPr>
          <w:rFonts w:ascii="Arial" w:eastAsia="Aptos" w:hAnsi="Arial" w:cs="Arial"/>
          <w:b/>
          <w:bCs/>
          <w:sz w:val="21"/>
          <w:szCs w:val="21"/>
          <w:lang w:val="es-ES_tradnl" w:eastAsia="es-CO"/>
        </w:rPr>
        <w:t>8 de la Ley 1682 de 2013</w:t>
      </w:r>
      <w:r w:rsidRPr="00D8463A">
        <w:rPr>
          <w:rFonts w:ascii="Arial" w:eastAsia="Aptos" w:hAnsi="Arial" w:cs="Arial"/>
          <w:sz w:val="21"/>
          <w:szCs w:val="21"/>
          <w:lang w:val="es-ES_tradnl" w:eastAsia="es-CO"/>
        </w:rPr>
        <w:t>, aunque no estén listadas en la matriz de los Documentos Tipo, siempre que los estudios y diseños previos lo justifiquen y se respeten los principios de planeación, selección objetiva, innovación y libre concurrencia.</w:t>
      </w:r>
    </w:p>
    <w:p w14:paraId="7121FA04" w14:textId="77777777" w:rsidR="00D8463A" w:rsidRPr="00D8463A" w:rsidRDefault="00D8463A" w:rsidP="00D8463A">
      <w:pPr>
        <w:spacing w:after="0" w:line="240" w:lineRule="auto"/>
        <w:ind w:left="709" w:right="709"/>
        <w:jc w:val="both"/>
        <w:rPr>
          <w:rFonts w:ascii="Arial" w:eastAsia="Aptos" w:hAnsi="Arial" w:cs="Arial"/>
          <w:sz w:val="21"/>
          <w:szCs w:val="21"/>
        </w:rPr>
      </w:pPr>
      <w:r w:rsidRPr="00D8463A">
        <w:rPr>
          <w:rFonts w:ascii="Arial" w:eastAsia="Aptos" w:hAnsi="Arial" w:cs="Arial"/>
          <w:sz w:val="21"/>
          <w:szCs w:val="21"/>
        </w:rPr>
        <w:t>(…)”.</w:t>
      </w:r>
    </w:p>
    <w:p w14:paraId="3F815F5E" w14:textId="77777777" w:rsidR="00D8463A" w:rsidRPr="00D8463A" w:rsidRDefault="00D8463A" w:rsidP="00D8463A">
      <w:pPr>
        <w:spacing w:after="0" w:line="240" w:lineRule="auto"/>
        <w:ind w:left="709" w:right="709"/>
        <w:jc w:val="both"/>
        <w:rPr>
          <w:rFonts w:ascii="Arial" w:eastAsia="Aptos" w:hAnsi="Arial" w:cs="Arial"/>
          <w:sz w:val="21"/>
          <w:szCs w:val="21"/>
        </w:rPr>
      </w:pPr>
    </w:p>
    <w:p w14:paraId="613472FC" w14:textId="77777777" w:rsidR="00D8463A" w:rsidRPr="00D8463A" w:rsidRDefault="00D8463A" w:rsidP="00D8463A">
      <w:pPr>
        <w:spacing w:after="120" w:line="276" w:lineRule="auto"/>
        <w:ind w:firstLine="709"/>
        <w:jc w:val="both"/>
        <w:rPr>
          <w:rFonts w:ascii="Verdana" w:eastAsia="Calibri" w:hAnsi="Verdana" w:cs="Arial"/>
          <w:szCs w:val="24"/>
          <w:lang w:val="es-ES_tradnl" w:eastAsia="es-ES_tradnl"/>
        </w:rPr>
      </w:pPr>
      <w:r w:rsidRPr="00D8463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8463A">
        <w:rPr>
          <w:rFonts w:ascii="Verdana" w:eastAsia="Calibri" w:hAnsi="Verdana" w:cs="Arial"/>
          <w:szCs w:val="24"/>
          <w:lang w:val="es-ES_tradnl" w:eastAsia="es-ES_tradnl"/>
        </w:rPr>
        <w:tab/>
      </w:r>
    </w:p>
    <w:p w14:paraId="342C2595" w14:textId="77777777" w:rsidR="00D8463A" w:rsidRPr="00D8463A" w:rsidRDefault="00D8463A" w:rsidP="00D8463A">
      <w:pPr>
        <w:spacing w:after="0" w:line="276" w:lineRule="auto"/>
        <w:ind w:firstLine="708"/>
        <w:jc w:val="both"/>
        <w:rPr>
          <w:rFonts w:ascii="Verdana" w:eastAsia="Calibri" w:hAnsi="Verdana" w:cs="Arial"/>
          <w:lang w:val="es-ES" w:eastAsia="es-ES"/>
        </w:rPr>
      </w:pPr>
      <w:r w:rsidRPr="00D8463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CAA9E85" w14:textId="77777777" w:rsidR="00D8463A" w:rsidRPr="00D8463A" w:rsidRDefault="00D8463A" w:rsidP="00D8463A">
      <w:pPr>
        <w:spacing w:after="0" w:line="276" w:lineRule="auto"/>
        <w:jc w:val="both"/>
        <w:rPr>
          <w:rFonts w:ascii="Verdana" w:eastAsia="Calibri" w:hAnsi="Verdana" w:cs="Arial"/>
          <w:lang w:val="es-ES" w:eastAsia="es-ES"/>
        </w:rPr>
      </w:pPr>
    </w:p>
    <w:p w14:paraId="5890228A" w14:textId="77777777" w:rsidR="00D8463A" w:rsidRPr="00D8463A" w:rsidRDefault="00D8463A" w:rsidP="00D8463A">
      <w:pPr>
        <w:numPr>
          <w:ilvl w:val="0"/>
          <w:numId w:val="19"/>
        </w:numPr>
        <w:tabs>
          <w:tab w:val="left" w:pos="142"/>
          <w:tab w:val="left" w:pos="284"/>
        </w:tabs>
        <w:spacing w:after="0" w:line="276" w:lineRule="auto"/>
        <w:jc w:val="both"/>
        <w:rPr>
          <w:rFonts w:ascii="Verdana" w:eastAsia="Century Gothic" w:hAnsi="Verdana" w:cs="Century Gothic"/>
          <w:b/>
          <w:bCs/>
        </w:rPr>
      </w:pPr>
      <w:r w:rsidRPr="00D8463A">
        <w:rPr>
          <w:rFonts w:ascii="Verdana" w:eastAsia="Century Gothic" w:hAnsi="Verdana" w:cs="Century Gothic"/>
          <w:b/>
          <w:bCs/>
        </w:rPr>
        <w:t>Problema planteado:</w:t>
      </w:r>
    </w:p>
    <w:p w14:paraId="2C89FA40" w14:textId="77777777" w:rsidR="00D8463A" w:rsidRPr="00D8463A" w:rsidRDefault="00D8463A" w:rsidP="00D8463A">
      <w:pPr>
        <w:tabs>
          <w:tab w:val="left" w:pos="426"/>
        </w:tabs>
        <w:spacing w:after="0" w:line="276" w:lineRule="auto"/>
        <w:jc w:val="both"/>
        <w:rPr>
          <w:rFonts w:ascii="Verdana" w:eastAsia="Century Gothic" w:hAnsi="Verdana" w:cs="Century Gothic"/>
          <w:lang w:val="es-ES"/>
        </w:rPr>
      </w:pPr>
    </w:p>
    <w:p w14:paraId="4452353A" w14:textId="77777777" w:rsidR="00D8463A" w:rsidRPr="00D8463A" w:rsidRDefault="00D8463A" w:rsidP="00D8463A">
      <w:pPr>
        <w:spacing w:after="0" w:line="276" w:lineRule="auto"/>
        <w:jc w:val="both"/>
        <w:rPr>
          <w:rFonts w:ascii="Verdana" w:eastAsia="Calibri" w:hAnsi="Verdana" w:cs="Arial"/>
          <w:bCs/>
          <w:lang w:val="es-ES_tradnl" w:eastAsia="es-ES_tradnl"/>
        </w:rPr>
      </w:pPr>
      <w:r w:rsidRPr="00D8463A">
        <w:rPr>
          <w:rFonts w:ascii="Verdana" w:eastAsia="Century Gothic" w:hAnsi="Verdana" w:cs="Century Gothic"/>
        </w:rPr>
        <w:t>De acuerdo con el contenido de su solicitud, esta Agencia resolverá el siguiente problema jurídico:</w:t>
      </w:r>
      <w:r w:rsidRPr="00D8463A">
        <w:rPr>
          <w:rFonts w:ascii="Verdana" w:eastAsia="Calibri" w:hAnsi="Verdana" w:cs="Arial"/>
          <w:bCs/>
          <w:lang w:val="es-ES_tradnl" w:eastAsia="es-ES_tradnl"/>
        </w:rPr>
        <w:t xml:space="preserve"> En los documentos tipo de licitación de obra pública de infraestructura de transporte – versión 4, ¿Cuál es el procedimiento que debe </w:t>
      </w:r>
      <w:r w:rsidRPr="00D8463A">
        <w:rPr>
          <w:rFonts w:ascii="Verdana" w:eastAsia="Calibri" w:hAnsi="Verdana" w:cs="Arial"/>
          <w:bCs/>
          <w:lang w:val="es-ES_tradnl" w:eastAsia="es-ES_tradnl"/>
        </w:rPr>
        <w:lastRenderedPageBreak/>
        <w:t xml:space="preserve">observar una Entidad para solicitar experiencia adicional respecto de obras, bienes o servicios a la obra pública de infraestructura de transporte? </w:t>
      </w:r>
    </w:p>
    <w:p w14:paraId="20D0D2F4" w14:textId="77777777" w:rsidR="00D8463A" w:rsidRPr="00D8463A" w:rsidRDefault="00D8463A" w:rsidP="00D8463A">
      <w:pPr>
        <w:spacing w:after="0" w:line="276" w:lineRule="auto"/>
        <w:jc w:val="both"/>
        <w:rPr>
          <w:rFonts w:ascii="Verdana" w:eastAsia="Century Gothic" w:hAnsi="Verdana" w:cs="Century Gothic"/>
        </w:rPr>
      </w:pPr>
    </w:p>
    <w:p w14:paraId="0639AF2A" w14:textId="77777777" w:rsidR="00D8463A" w:rsidRPr="00D8463A" w:rsidRDefault="00D8463A" w:rsidP="00D8463A">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D8463A">
        <w:rPr>
          <w:rFonts w:ascii="Verdana" w:eastAsia="Century Gothic" w:hAnsi="Verdana" w:cs="Century Gothic"/>
          <w:b/>
          <w:bCs/>
          <w:lang w:val="es-ES"/>
        </w:rPr>
        <w:t>Respuestas:</w:t>
      </w:r>
    </w:p>
    <w:p w14:paraId="6E018D89" w14:textId="77777777" w:rsidR="00D8463A" w:rsidRPr="00D8463A" w:rsidRDefault="00D8463A" w:rsidP="00D8463A">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8463A" w:rsidRPr="00D8463A" w14:paraId="370A2CC8" w14:textId="77777777" w:rsidTr="00014EA4">
        <w:trPr>
          <w:trHeight w:val="40"/>
        </w:trPr>
        <w:tc>
          <w:tcPr>
            <w:tcW w:w="8828" w:type="dxa"/>
            <w:tcBorders>
              <w:top w:val="dotted" w:sz="4" w:space="0" w:color="auto"/>
              <w:left w:val="dotted" w:sz="4" w:space="0" w:color="auto"/>
              <w:bottom w:val="dotted" w:sz="4" w:space="0" w:color="auto"/>
              <w:right w:val="dotted" w:sz="4" w:space="0" w:color="auto"/>
            </w:tcBorders>
          </w:tcPr>
          <w:p w14:paraId="4C9FB236" w14:textId="1268C224" w:rsidR="00D8463A" w:rsidRPr="00D8463A" w:rsidRDefault="00D8463A" w:rsidP="00D8463A">
            <w:pPr>
              <w:snapToGrid w:val="0"/>
              <w:spacing w:line="276" w:lineRule="auto"/>
              <w:jc w:val="both"/>
              <w:rPr>
                <w:rFonts w:ascii="Verdana" w:eastAsia="Aptos" w:hAnsi="Verdana" w:cs="Arial"/>
                <w:lang w:val="es-ES"/>
              </w:rPr>
            </w:pPr>
            <w:r w:rsidRPr="00D8463A">
              <w:rPr>
                <w:rFonts w:ascii="Verdana" w:eastAsia="Aptos" w:hAnsi="Verdana" w:cs="Arial"/>
                <w:lang w:val="es-ES"/>
              </w:rPr>
              <w:t>La parte introductoria del pliego de condiciones de los documentos tipo de licitación de obra pública de infraestructura de transporte – versión 4, dispone que estos se aplican a los procedimientos de selección de licitación de obra pública de infraestructura de transporte (versión 4), que correspondan a las actividades definidas en la “Matriz 1 – Experiencia”. En consecuencia, las actividades de infraestructura de transporte no contempladas en la Matriz 1 – Experiencia no tienen que aplicar los documentos tipo; sin perjuicio de lo previsto en el artículo 2.2.1.1.1.2.1 del Decreto 1082 de 2015 o la norma que la modifique, sustituya o complemente, además, de lo contenido en el artículo 4 de la Resolución 465 de 2024, relacionados con la posibilidad de exigir experiencia adicional en determinados supuestos.</w:t>
            </w:r>
          </w:p>
          <w:p w14:paraId="25849BC2" w14:textId="77777777" w:rsidR="00D8463A" w:rsidRPr="00D8463A" w:rsidRDefault="00D8463A" w:rsidP="00D8463A">
            <w:pPr>
              <w:snapToGrid w:val="0"/>
              <w:spacing w:line="276" w:lineRule="auto"/>
              <w:jc w:val="both"/>
              <w:rPr>
                <w:rFonts w:ascii="Verdana" w:eastAsia="Calibri" w:hAnsi="Verdana" w:cs="Arial"/>
              </w:rPr>
            </w:pPr>
          </w:p>
          <w:p w14:paraId="6B5828A8" w14:textId="77777777" w:rsidR="00D8463A" w:rsidRPr="00D8463A" w:rsidRDefault="00D8463A" w:rsidP="00D8463A">
            <w:pPr>
              <w:snapToGrid w:val="0"/>
              <w:spacing w:line="276" w:lineRule="auto"/>
              <w:jc w:val="both"/>
              <w:rPr>
                <w:rFonts w:ascii="Verdana" w:eastAsia="Calibri" w:hAnsi="Verdana" w:cs="Arial"/>
              </w:rPr>
            </w:pPr>
            <w:r w:rsidRPr="00D8463A">
              <w:rPr>
                <w:rFonts w:ascii="Verdana" w:eastAsia="Calibri" w:hAnsi="Verdana" w:cs="Arial"/>
              </w:rPr>
              <w:t>La Matriz 1 está constituida por nueve (9)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dado que comprenden todas aquellas actividades que constituyen obra pública de infraestructura de transporte y que han sido objeto de estandarización mediante la Resolución No. 465 del 10 de septiembre de 2024 para los procesos de licitación pública.</w:t>
            </w:r>
          </w:p>
          <w:p w14:paraId="301CA44D" w14:textId="77777777" w:rsidR="00D8463A" w:rsidRPr="00D8463A" w:rsidRDefault="00D8463A" w:rsidP="00D8463A">
            <w:pPr>
              <w:snapToGrid w:val="0"/>
              <w:spacing w:line="276" w:lineRule="auto"/>
              <w:jc w:val="both"/>
              <w:rPr>
                <w:rFonts w:ascii="Verdana" w:eastAsia="Calibri" w:hAnsi="Verdana" w:cs="Arial"/>
              </w:rPr>
            </w:pPr>
          </w:p>
          <w:p w14:paraId="55D7EDC5" w14:textId="77777777" w:rsidR="00D8463A" w:rsidRPr="00D8463A" w:rsidRDefault="00D8463A" w:rsidP="00D8463A">
            <w:pPr>
              <w:snapToGrid w:val="0"/>
              <w:spacing w:line="276" w:lineRule="auto"/>
              <w:jc w:val="both"/>
              <w:rPr>
                <w:rFonts w:ascii="Verdana" w:eastAsia="Calibri" w:hAnsi="Verdana" w:cs="Arial"/>
              </w:rPr>
            </w:pPr>
            <w:r w:rsidRPr="00D8463A">
              <w:rPr>
                <w:rFonts w:ascii="Verdana" w:eastAsia="Calibri" w:hAnsi="Verdana" w:cs="Arial"/>
              </w:rPr>
              <w:t xml:space="preserve">Ahora bien, el artículo 4 de la Resolución No. 465 del 10 de septiembre de 2024, dispone que la entidad puede solicitar experiencia adicional para evaluar la idoneidad del contratista en procesos de contratación de licitación de obra pública de infraestructura de transporte, que incluyen obras, bienes o servicios adicionales a la obra pública de infraestructura de transporte. Estos corresponden a necesidades no incluidas en el alcance de la obra pública de infraestructura de transporte, cuya ejecución se contempla en el mismo </w:t>
            </w:r>
            <w:r w:rsidRPr="00D8463A">
              <w:rPr>
                <w:rFonts w:ascii="Verdana" w:eastAsia="Calibri" w:hAnsi="Verdana" w:cs="Arial"/>
              </w:rPr>
              <w:lastRenderedPageBreak/>
              <w:t>procedimiento contractual. Por ello, con fundamento en esta disposición, las entidades pueden requerir experiencia añadida cuando el bien o servicio adicional a la obra de infraestructura de transporte es de tal relevancia que se considere que no es posible valorar la idoneidad del contratista únicamente a partir de la experiencia establecida en la “Matriz 1 – Experiencia”.</w:t>
            </w:r>
          </w:p>
          <w:p w14:paraId="57C98990" w14:textId="77777777" w:rsidR="00D8463A" w:rsidRPr="00D8463A" w:rsidRDefault="00D8463A" w:rsidP="00D8463A">
            <w:pPr>
              <w:snapToGrid w:val="0"/>
              <w:spacing w:line="276" w:lineRule="auto"/>
              <w:ind w:left="720"/>
              <w:jc w:val="both"/>
              <w:rPr>
                <w:rFonts w:ascii="Verdana" w:eastAsia="Calibri" w:hAnsi="Verdana" w:cs="Arial"/>
              </w:rPr>
            </w:pPr>
          </w:p>
          <w:p w14:paraId="69AF41D6" w14:textId="77777777" w:rsidR="00D8463A" w:rsidRPr="00D8463A" w:rsidRDefault="00D8463A" w:rsidP="00D8463A">
            <w:pPr>
              <w:snapToGrid w:val="0"/>
              <w:spacing w:line="276" w:lineRule="auto"/>
              <w:jc w:val="both"/>
              <w:rPr>
                <w:rFonts w:ascii="Verdana" w:eastAsia="Calibri" w:hAnsi="Verdana" w:cs="Arial"/>
              </w:rPr>
            </w:pPr>
            <w:r w:rsidRPr="00D8463A">
              <w:rPr>
                <w:rFonts w:ascii="Verdana" w:eastAsia="Calibri" w:hAnsi="Verdana" w:cs="Arial"/>
              </w:rPr>
              <w:t>Cuando la entidad requiere bienes y servicios que no se encuentran incluidos como obra de infraestructura de transporte en la “Matriz 1 – Experiencia” y considera necesario exigir experiencia adicional, se debe aplicar el artículo 4 de la Resolución No. 465 del 10 de septiembre de 2024. Esta norma dispone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de infraestructura de transporte.</w:t>
            </w:r>
          </w:p>
          <w:p w14:paraId="037D977F" w14:textId="77777777" w:rsidR="00D8463A" w:rsidRPr="00D8463A" w:rsidRDefault="00D8463A" w:rsidP="00D8463A">
            <w:pPr>
              <w:snapToGrid w:val="0"/>
              <w:spacing w:line="276" w:lineRule="auto"/>
              <w:jc w:val="both"/>
              <w:rPr>
                <w:rFonts w:ascii="Verdana" w:eastAsia="Calibri" w:hAnsi="Verdana" w:cs="Arial"/>
              </w:rPr>
            </w:pPr>
          </w:p>
          <w:p w14:paraId="04299412" w14:textId="77777777" w:rsidR="00D8463A" w:rsidRPr="00D8463A" w:rsidRDefault="00D8463A" w:rsidP="00D8463A">
            <w:pPr>
              <w:snapToGrid w:val="0"/>
              <w:spacing w:line="276" w:lineRule="auto"/>
              <w:jc w:val="both"/>
              <w:rPr>
                <w:rFonts w:ascii="Verdana" w:eastAsia="Calibri" w:hAnsi="Verdana" w:cs="Arial"/>
              </w:rPr>
            </w:pPr>
            <w:r w:rsidRPr="00D8463A">
              <w:rPr>
                <w:rFonts w:ascii="Verdana" w:eastAsia="Calibri" w:hAnsi="Verdana" w:cs="Arial"/>
              </w:rPr>
              <w:t xml:space="preserve">Para ello, se deben seguir los siguientes parámetros: i) demostrar en los estudios previos que ha verificado las condiciones de mercado para la contratación de las obras, bienes o servicios adicionales al componente de obra pública, de tal forma que la experiencia adicional que se exija para tales bienes o servicios procure la pluralidad de oferentes y no limite la concurrencia al proceso de contratación, </w:t>
            </w:r>
            <w:proofErr w:type="spellStart"/>
            <w:r w:rsidRPr="00D8463A">
              <w:rPr>
                <w:rFonts w:ascii="Verdana" w:eastAsia="Calibri" w:hAnsi="Verdana" w:cs="Arial"/>
              </w:rPr>
              <w:t>ii</w:t>
            </w:r>
            <w:proofErr w:type="spellEnd"/>
            <w:r w:rsidRPr="00D8463A">
              <w:rPr>
                <w:rFonts w:ascii="Verdana" w:eastAsia="Calibri" w:hAnsi="Verdana" w:cs="Arial"/>
              </w:rPr>
              <w:t xml:space="preserve">) conservar los requisitos exigidos en los documentos tipo, </w:t>
            </w:r>
            <w:proofErr w:type="spellStart"/>
            <w:r w:rsidRPr="00D8463A">
              <w:rPr>
                <w:rFonts w:ascii="Verdana" w:eastAsia="Calibri" w:hAnsi="Verdana" w:cs="Arial"/>
              </w:rPr>
              <w:t>iii</w:t>
            </w:r>
            <w:proofErr w:type="spellEnd"/>
            <w:r w:rsidRPr="00D8463A">
              <w:rPr>
                <w:rFonts w:ascii="Verdana" w:eastAsia="Calibri" w:hAnsi="Verdana" w:cs="Arial"/>
              </w:rPr>
              <w:t xml:space="preserve">) abstenerse de pedir experiencia exclusiva con entidades estatales, experiencia previa en un territorio específico, limitada en el tiempo o que incluya volúmenes o cantidades de obra específica, </w:t>
            </w:r>
            <w:proofErr w:type="spellStart"/>
            <w:r w:rsidRPr="00D8463A">
              <w:rPr>
                <w:rFonts w:ascii="Verdana" w:eastAsia="Calibri" w:hAnsi="Verdana" w:cs="Arial"/>
              </w:rPr>
              <w:t>iv</w:t>
            </w:r>
            <w:proofErr w:type="spellEnd"/>
            <w:r w:rsidRPr="00D8463A">
              <w:rPr>
                <w:rFonts w:ascii="Verdana" w:eastAsia="Calibri" w:hAnsi="Verdana" w:cs="Arial"/>
              </w:rPr>
              <w:t>) clasificar la experiencia requerida solo hasta el tercer nivel del clasificador de bienes y servicios e incluir exclusivamente los códigos que estén relacionados directamente con el objeto a contratar.</w:t>
            </w:r>
          </w:p>
          <w:p w14:paraId="4A221B1B" w14:textId="77777777" w:rsidR="00D8463A" w:rsidRPr="00D8463A" w:rsidRDefault="00D8463A" w:rsidP="00D8463A">
            <w:pPr>
              <w:ind w:left="720"/>
              <w:rPr>
                <w:rFonts w:ascii="Verdana" w:eastAsia="Calibri" w:hAnsi="Verdana" w:cs="Arial"/>
              </w:rPr>
            </w:pPr>
          </w:p>
          <w:p w14:paraId="1976A6DD" w14:textId="77777777" w:rsidR="00D8463A" w:rsidRPr="00D8463A" w:rsidRDefault="00D8463A" w:rsidP="00D8463A">
            <w:pPr>
              <w:snapToGrid w:val="0"/>
              <w:spacing w:line="276" w:lineRule="auto"/>
              <w:jc w:val="both"/>
              <w:rPr>
                <w:rFonts w:ascii="Verdana" w:eastAsia="Calibri" w:hAnsi="Verdana" w:cs="Arial"/>
              </w:rPr>
            </w:pPr>
            <w:r w:rsidRPr="00D8463A">
              <w:rPr>
                <w:rFonts w:ascii="Verdana" w:eastAsia="Calibri" w:hAnsi="Verdana" w:cs="Arial"/>
              </w:rPr>
              <w:t xml:space="preserve">Debe indicarse que, de acuerdo con el parágrafo 2 de la Resolución 465 de 2024, se entiende por "obras, bienes o servicios adicionales" aquellas actividades que no están incluidas en la matriz de experiencia de los documentos tipo de infraestructura de transporte aplicable, pero que están relacionadas con el contrato a ejecutar. Por ejemplo, en caso de que el proyecto de obra pública a ejecutar esté relacionado con infraestructura de transporte, pero, además, con proyectos de agua potable y saneamiento básico o con proyectos de infraestructura social, el servicio adicional serán las </w:t>
            </w:r>
            <w:r w:rsidRPr="00D8463A">
              <w:rPr>
                <w:rFonts w:ascii="Verdana" w:eastAsia="Calibri" w:hAnsi="Verdana" w:cs="Arial"/>
              </w:rPr>
              <w:lastRenderedPageBreak/>
              <w:t>actividades de obra pública en infraestructura de agua potable y saneamiento básico o las actividades de obra pública de infraestructura social.</w:t>
            </w:r>
          </w:p>
          <w:p w14:paraId="77EC2DC5" w14:textId="77777777" w:rsidR="00D8463A" w:rsidRPr="00D8463A" w:rsidRDefault="00D8463A" w:rsidP="00D8463A">
            <w:pPr>
              <w:snapToGrid w:val="0"/>
              <w:spacing w:line="276" w:lineRule="auto"/>
              <w:jc w:val="both"/>
              <w:rPr>
                <w:rFonts w:ascii="Verdana" w:eastAsia="Calibri" w:hAnsi="Verdana" w:cs="Arial"/>
              </w:rPr>
            </w:pPr>
          </w:p>
          <w:p w14:paraId="3AA4D554" w14:textId="77777777" w:rsidR="00D8463A" w:rsidRPr="00D8463A" w:rsidRDefault="00D8463A" w:rsidP="00D8463A">
            <w:pPr>
              <w:snapToGrid w:val="0"/>
              <w:spacing w:line="276" w:lineRule="auto"/>
              <w:jc w:val="both"/>
              <w:rPr>
                <w:rFonts w:ascii="Verdana" w:eastAsia="Calibri" w:hAnsi="Verdana" w:cs="Arial"/>
              </w:rPr>
            </w:pPr>
            <w:r w:rsidRPr="00D8463A">
              <w:rPr>
                <w:rFonts w:ascii="Verdana" w:eastAsia="Calibri" w:hAnsi="Verdana" w:cs="Arial"/>
              </w:rPr>
              <w:t xml:space="preserve">Adicionalmente, debe tenerse presente la regla de la inalterabilidad de los Documentos Tipo, que se fundamenta en los artículos 2 y 3 de la Resolución No. 465 del 10 de septiembre de 2024, que disponen que las entidades contratantes no podrán incluir o modificar dentro de los documentos del proceso las condiciones habilitantes, los factores técnicos y económicos de escogencia y los sistemas de ponderación señalados en los documentos tipo. </w:t>
            </w:r>
          </w:p>
          <w:p w14:paraId="6098CD9B" w14:textId="77777777" w:rsidR="00D8463A" w:rsidRPr="00D8463A" w:rsidRDefault="00D8463A" w:rsidP="00D8463A">
            <w:pPr>
              <w:snapToGrid w:val="0"/>
              <w:spacing w:line="276" w:lineRule="auto"/>
              <w:jc w:val="both"/>
              <w:rPr>
                <w:rFonts w:ascii="Verdana" w:eastAsia="Calibri" w:hAnsi="Verdana" w:cs="Arial"/>
              </w:rPr>
            </w:pPr>
          </w:p>
          <w:p w14:paraId="6114A832" w14:textId="77777777" w:rsidR="00D8463A" w:rsidRPr="00D8463A" w:rsidRDefault="00D8463A" w:rsidP="00D8463A">
            <w:pPr>
              <w:snapToGrid w:val="0"/>
              <w:spacing w:line="276" w:lineRule="auto"/>
              <w:jc w:val="both"/>
              <w:rPr>
                <w:rFonts w:ascii="Verdana" w:eastAsia="Calibri" w:hAnsi="Verdana" w:cs="Arial"/>
              </w:rPr>
            </w:pPr>
            <w:r w:rsidRPr="00D8463A">
              <w:rPr>
                <w:rFonts w:ascii="Verdana" w:eastAsia="Calibri" w:hAnsi="Verdana" w:cs="Arial"/>
              </w:rPr>
              <w:t>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Por consiguiente, para solicitar experiencia frente a obras, bienes o servicios adicionales que no se encuentren contemplados en la “Matriz 1 – Experiencia”, el literal H del numeral 3.5.2 “CARACTERÍSTICAS DE LOS CONTRATOS PRESENTADOS PARA ACREDITAR EXPERIENCIA”</w:t>
            </w:r>
            <w:r w:rsidRPr="00D8463A">
              <w:rPr>
                <w:rFonts w:ascii="Verdana" w:eastAsia="Calibri" w:hAnsi="Verdana" w:cs="Arial"/>
                <w:vertAlign w:val="superscript"/>
              </w:rPr>
              <w:footnoteReference w:id="2"/>
            </w:r>
            <w:r w:rsidRPr="00D8463A">
              <w:rPr>
                <w:rFonts w:ascii="Verdana" w:eastAsia="Calibri" w:hAnsi="Verdana" w:cs="Arial"/>
              </w:rPr>
              <w:t>, del Documento Base actualmente dispone lo siguiente:</w:t>
            </w:r>
          </w:p>
          <w:p w14:paraId="70856DCA" w14:textId="77777777" w:rsidR="00D8463A" w:rsidRPr="00D8463A" w:rsidRDefault="00D8463A" w:rsidP="00D8463A">
            <w:pPr>
              <w:snapToGrid w:val="0"/>
              <w:spacing w:line="276" w:lineRule="auto"/>
              <w:ind w:left="720"/>
              <w:jc w:val="both"/>
              <w:rPr>
                <w:rFonts w:ascii="Verdana" w:eastAsia="Calibri" w:hAnsi="Verdana" w:cs="Arial"/>
              </w:rPr>
            </w:pPr>
          </w:p>
          <w:p w14:paraId="49D1C03D" w14:textId="77777777" w:rsidR="00D8463A" w:rsidRPr="00D8463A" w:rsidRDefault="00D8463A" w:rsidP="00D8463A">
            <w:pPr>
              <w:spacing w:after="120"/>
              <w:ind w:left="709" w:right="709"/>
              <w:jc w:val="both"/>
              <w:rPr>
                <w:rFonts w:ascii="Arial" w:eastAsia="Calibri" w:hAnsi="Arial" w:cs="Arial"/>
                <w:color w:val="000000"/>
                <w:sz w:val="21"/>
                <w:szCs w:val="21"/>
                <w:lang w:eastAsia="es-ES"/>
              </w:rPr>
            </w:pPr>
            <w:r w:rsidRPr="00D8463A">
              <w:rPr>
                <w:rFonts w:ascii="Arial" w:eastAsia="Calibri" w:hAnsi="Arial" w:cs="Arial"/>
                <w:color w:val="000000"/>
                <w:sz w:val="21"/>
                <w:szCs w:val="21"/>
                <w:highlight w:val="lightGray"/>
                <w:lang w:val="es-MX"/>
              </w:rPr>
              <w:t>“[</w:t>
            </w:r>
            <w:r w:rsidRPr="00D8463A">
              <w:rPr>
                <w:rFonts w:ascii="Arial" w:eastAsia="Times New Roman" w:hAnsi="Arial" w:cs="Arial"/>
                <w:color w:val="000000"/>
                <w:sz w:val="21"/>
                <w:szCs w:val="21"/>
                <w:highlight w:val="lightGray"/>
                <w:lang w:val="es-MX" w:eastAsia="es-ES"/>
              </w:rPr>
              <w:t xml:space="preserve">Cuando el objeto contractual incluya bienes o servicios ajenos a la obra pública de infraestructura de transporte y de manera excepcional se requiere incluir experiencia adicional para evaluar la idoneidad respecto de dichos bienes o servicios, la Entidad </w:t>
            </w:r>
            <w:r w:rsidRPr="00D8463A">
              <w:rPr>
                <w:rFonts w:ascii="Arial" w:eastAsia="Times New Roman" w:hAnsi="Arial" w:cs="Arial"/>
                <w:color w:val="000000"/>
                <w:sz w:val="21"/>
                <w:szCs w:val="21"/>
                <w:highlight w:val="lightGray"/>
                <w:lang w:eastAsia="es-ES"/>
              </w:rPr>
              <w:t>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w:t>
            </w:r>
            <w:r w:rsidRPr="00D8463A">
              <w:rPr>
                <w:rFonts w:ascii="Arial" w:eastAsia="Times New Roman" w:hAnsi="Arial" w:cs="Arial"/>
                <w:color w:val="000000"/>
                <w:sz w:val="21"/>
                <w:szCs w:val="21"/>
                <w:highlight w:val="lightGray"/>
                <w:lang w:val="es-MX" w:eastAsia="es-ES"/>
              </w:rPr>
              <w:t xml:space="preserve"> En todo caso, si el objeto contractual contempla bienes o servicios ajenos que no están </w:t>
            </w:r>
            <w:r w:rsidRPr="00D8463A">
              <w:rPr>
                <w:rFonts w:ascii="Arial" w:eastAsia="Times New Roman" w:hAnsi="Arial" w:cs="Arial"/>
                <w:color w:val="000000"/>
                <w:sz w:val="21"/>
                <w:szCs w:val="21"/>
                <w:lang w:val="es-MX" w:eastAsia="es-ES"/>
              </w:rPr>
              <w:t>regulados en los Documentos Tipo, la Entidad Estatal aplicará los parámetros del artículo 4 de la Resolución 465 de 2024.</w:t>
            </w:r>
            <w:r w:rsidRPr="00D8463A">
              <w:rPr>
                <w:rFonts w:ascii="Arial" w:eastAsia="Times New Roman" w:hAnsi="Arial" w:cs="Arial"/>
                <w:color w:val="000000"/>
                <w:sz w:val="21"/>
                <w:szCs w:val="21"/>
                <w:lang w:eastAsia="es-ES"/>
              </w:rPr>
              <w:t xml:space="preserve"> </w:t>
            </w:r>
          </w:p>
          <w:p w14:paraId="0EC8C6B2" w14:textId="77777777" w:rsidR="00D8463A" w:rsidRPr="00D8463A" w:rsidRDefault="00D8463A" w:rsidP="00D8463A">
            <w:pPr>
              <w:spacing w:after="120"/>
              <w:ind w:left="709" w:right="709"/>
              <w:jc w:val="both"/>
              <w:rPr>
                <w:rFonts w:ascii="Arial" w:eastAsia="Times New Roman" w:hAnsi="Arial" w:cs="Arial"/>
                <w:color w:val="000000"/>
                <w:sz w:val="21"/>
                <w:szCs w:val="21"/>
                <w:highlight w:val="lightGray"/>
                <w:lang w:val="es-MX" w:eastAsia="es-ES"/>
              </w:rPr>
            </w:pPr>
            <w:r w:rsidRPr="00D8463A">
              <w:rPr>
                <w:rFonts w:ascii="Arial" w:eastAsia="Times New Roman" w:hAnsi="Arial" w:cs="Arial"/>
                <w:color w:val="000000"/>
                <w:sz w:val="21"/>
                <w:szCs w:val="21"/>
                <w:highlight w:val="lightGray"/>
                <w:lang w:val="es-MX" w:eastAsia="es-ES"/>
              </w:rPr>
              <w:t>Conforme con esta disposición, la Entidad no puede requerir experiencia adicional que incluya volúmenes o cantidades de obra específica expresada en SMMLV.</w:t>
            </w:r>
          </w:p>
          <w:p w14:paraId="477B48AB" w14:textId="77777777" w:rsidR="00D8463A" w:rsidRPr="00D8463A" w:rsidRDefault="00D8463A" w:rsidP="00D8463A">
            <w:pPr>
              <w:spacing w:after="120"/>
              <w:ind w:left="709" w:right="709"/>
              <w:jc w:val="both"/>
              <w:rPr>
                <w:rFonts w:ascii="Arial" w:eastAsia="Calibri" w:hAnsi="Arial" w:cs="Arial"/>
                <w:color w:val="000000"/>
                <w:sz w:val="21"/>
                <w:szCs w:val="21"/>
                <w:lang w:val="es-MX"/>
              </w:rPr>
            </w:pPr>
            <w:r w:rsidRPr="00D8463A">
              <w:rPr>
                <w:rFonts w:ascii="Arial" w:eastAsia="Times New Roman" w:hAnsi="Arial" w:cs="Arial"/>
                <w:color w:val="000000"/>
                <w:sz w:val="21"/>
                <w:szCs w:val="21"/>
                <w:highlight w:val="lightGray"/>
                <w:lang w:val="es-MX" w:eastAsia="es-ES"/>
              </w:rPr>
              <w:lastRenderedPageBreak/>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5F9FB630" w14:textId="77777777" w:rsidR="00D8463A" w:rsidRPr="00D8463A" w:rsidRDefault="00D8463A" w:rsidP="00D8463A">
            <w:pPr>
              <w:spacing w:after="120"/>
              <w:ind w:left="709" w:right="709"/>
              <w:jc w:val="both"/>
              <w:rPr>
                <w:rFonts w:ascii="Arial" w:eastAsia="Times New Roman" w:hAnsi="Arial" w:cs="Arial"/>
                <w:color w:val="000000"/>
                <w:sz w:val="21"/>
                <w:szCs w:val="21"/>
                <w:highlight w:val="lightGray"/>
                <w:lang w:val="es-MX" w:eastAsia="es-ES"/>
              </w:rPr>
            </w:pPr>
            <w:r w:rsidRPr="00D8463A">
              <w:rPr>
                <w:rFonts w:ascii="Arial" w:eastAsia="Times New Roman" w:hAnsi="Arial" w:cs="Arial"/>
                <w:color w:val="000000"/>
                <w:sz w:val="21"/>
                <w:szCs w:val="21"/>
                <w:highlight w:val="lightGray"/>
                <w:lang w:val="es-MX" w:eastAsia="es-ES"/>
              </w:rPr>
              <w:t xml:space="preserve">Nota: Lo anterior sin perjuicio de la obligación que tienen las entidades de cumplir con unos requisitos mínimos frente a las “obras ajenas a la infraestructura de transporte”, los cuales deben ser claramente consignados en los estudios previos, en caso que se considere su pertinencia y con fundamento en aspectos de conveniencia técnicos y económicos suficientes que determinen que la experiencia incluida en documentos tipo existentes es insuficiente de cara a la complejidad o grado de especialidad que comporta el objeto a contratar. </w:t>
            </w:r>
          </w:p>
          <w:p w14:paraId="0D1D4920" w14:textId="77777777" w:rsidR="00D8463A" w:rsidRPr="00D8463A" w:rsidRDefault="00D8463A" w:rsidP="00D8463A">
            <w:pPr>
              <w:ind w:left="709" w:right="709"/>
              <w:jc w:val="both"/>
              <w:rPr>
                <w:rFonts w:ascii="Arial" w:eastAsia="Times New Roman" w:hAnsi="Arial" w:cs="Arial"/>
                <w:color w:val="000000"/>
                <w:sz w:val="21"/>
                <w:szCs w:val="21"/>
                <w:highlight w:val="lightGray"/>
                <w:lang w:val="es-MX" w:eastAsia="es-ES"/>
              </w:rPr>
            </w:pPr>
            <w:r w:rsidRPr="00D8463A">
              <w:rPr>
                <w:rFonts w:ascii="Arial" w:eastAsia="Times New Roman" w:hAnsi="Arial" w:cs="Arial"/>
                <w:color w:val="000000"/>
                <w:sz w:val="21"/>
                <w:szCs w:val="21"/>
                <w:highlight w:val="lightGray"/>
                <w:lang w:val="es-MX" w:eastAsia="es-ES"/>
              </w:rPr>
              <w:t>La entidad debe demostrar que la experiencia adicional, “obra ajena a la infraestructura de Transporte”, no se encuentra incluida en las matrices de los sectores adoptados por la Agencia y adicionalmente, que esta experiencia requerida responde a las condiciones de mercado, específicamente a las características del proceso de selección a contratar, las cuales deberían estar consignadas en el respectivo estudio de mercado y con la consideración de usar los Documentos Tipo”.</w:t>
            </w:r>
          </w:p>
          <w:p w14:paraId="378B0381" w14:textId="77777777" w:rsidR="00D8463A" w:rsidRPr="00D8463A" w:rsidRDefault="00D8463A" w:rsidP="00D8463A">
            <w:pPr>
              <w:snapToGrid w:val="0"/>
              <w:spacing w:line="276" w:lineRule="auto"/>
              <w:ind w:left="720"/>
              <w:jc w:val="both"/>
              <w:rPr>
                <w:rFonts w:ascii="Verdana" w:eastAsia="Calibri" w:hAnsi="Verdana" w:cs="Arial"/>
              </w:rPr>
            </w:pPr>
          </w:p>
          <w:p w14:paraId="6B122C26" w14:textId="77777777" w:rsidR="00D8463A" w:rsidRPr="00D8463A" w:rsidRDefault="00D8463A" w:rsidP="00D8463A">
            <w:pPr>
              <w:snapToGrid w:val="0"/>
              <w:spacing w:line="276" w:lineRule="auto"/>
              <w:jc w:val="both"/>
              <w:rPr>
                <w:rFonts w:ascii="Verdana" w:eastAsia="Calibri" w:hAnsi="Verdana" w:cs="Arial"/>
              </w:rPr>
            </w:pPr>
            <w:r w:rsidRPr="00D8463A">
              <w:rPr>
                <w:rFonts w:ascii="Verdana" w:eastAsia="Calibri" w:hAnsi="Verdana" w:cs="Arial"/>
              </w:rPr>
              <w:t>De esta manera, la regla general frente a la aplicación del documento base es 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 4 de la Resolución No. 465 de 2024. Por tanto, si el objeto contractual incluye obras, bienes o servicios ajenos a la obra pública de infraestructura de transporte, de allí solo se deriva que podrá incluirse la experiencia adicional que se considere conveniente, atendiendo a las reglas explicadas con anterioridad.</w:t>
            </w:r>
          </w:p>
          <w:p w14:paraId="3334A82A" w14:textId="77777777" w:rsidR="00D8463A" w:rsidRPr="00D8463A" w:rsidRDefault="00D8463A" w:rsidP="00D8463A">
            <w:pPr>
              <w:snapToGrid w:val="0"/>
              <w:spacing w:line="276" w:lineRule="auto"/>
              <w:ind w:left="720"/>
              <w:jc w:val="both"/>
              <w:rPr>
                <w:rFonts w:ascii="Verdana" w:eastAsia="Calibri" w:hAnsi="Verdana" w:cs="Arial"/>
              </w:rPr>
            </w:pPr>
          </w:p>
          <w:p w14:paraId="06241E91" w14:textId="77777777" w:rsidR="00D8463A" w:rsidRPr="00D8463A" w:rsidRDefault="00D8463A" w:rsidP="00D8463A">
            <w:pPr>
              <w:snapToGrid w:val="0"/>
              <w:spacing w:line="276" w:lineRule="auto"/>
              <w:jc w:val="both"/>
              <w:rPr>
                <w:rFonts w:ascii="Verdana" w:eastAsia="Calibri" w:hAnsi="Verdana" w:cs="Arial"/>
              </w:rPr>
            </w:pPr>
            <w:r w:rsidRPr="00D8463A">
              <w:rPr>
                <w:rFonts w:ascii="Verdana" w:eastAsia="Calibri" w:hAnsi="Verdana" w:cs="Arial"/>
              </w:rPr>
              <w:t>Cuando se pretenda ejecutar una de las actividades establecidas en la “Matriz 1 – Experiencia” y adicionalmente se requiera contratar otro tipo de obras, bienes y servicios adicionales a la obra pública de infraestructura de transporte, los documentos tipo adoptados mediante la Resolución 465 de 2024 son obligatorios.</w:t>
            </w:r>
          </w:p>
          <w:p w14:paraId="32B542D8" w14:textId="77777777" w:rsidR="00D8463A" w:rsidRPr="00D8463A" w:rsidRDefault="00D8463A" w:rsidP="00D8463A">
            <w:pPr>
              <w:snapToGrid w:val="0"/>
              <w:spacing w:line="276" w:lineRule="auto"/>
              <w:jc w:val="both"/>
              <w:rPr>
                <w:rFonts w:ascii="Verdana" w:eastAsia="Calibri" w:hAnsi="Verdana" w:cs="Arial"/>
              </w:rPr>
            </w:pPr>
          </w:p>
          <w:p w14:paraId="6ED22BB6" w14:textId="77777777" w:rsidR="00D8463A" w:rsidRPr="00D8463A" w:rsidRDefault="00D8463A" w:rsidP="00D8463A">
            <w:pPr>
              <w:snapToGrid w:val="0"/>
              <w:spacing w:line="276" w:lineRule="auto"/>
              <w:jc w:val="both"/>
              <w:rPr>
                <w:rFonts w:ascii="Verdana" w:eastAsia="Calibri" w:hAnsi="Verdana" w:cs="Arial"/>
              </w:rPr>
            </w:pPr>
            <w:r w:rsidRPr="00D8463A">
              <w:rPr>
                <w:rFonts w:ascii="Verdana" w:eastAsia="Calibri" w:hAnsi="Verdana" w:cs="Arial"/>
              </w:rPr>
              <w:t xml:space="preserve">Teniendo en cuenta lo anterior, la eventual exigencia de experiencia adicional, frente a obras, bienes y servicios adicionales a la obra de infraestructura de transporte, solo se podrá realizar conforme a los parámetros del artículo 4 de </w:t>
            </w:r>
            <w:r w:rsidRPr="00D8463A">
              <w:rPr>
                <w:rFonts w:ascii="Verdana" w:eastAsia="Calibri" w:hAnsi="Verdana" w:cs="Arial"/>
              </w:rPr>
              <w:lastRenderedPageBreak/>
              <w:t xml:space="preserve">la Resolución No. 465 de 2024 -en relación con los documentos tipo de licitación- y artículo 4 de la Resolución No. 463 de 2024 -respecto de los documentos tipo de selección abreviada de menor cuantía-, de acuerdo con lo explicado. En todo caso, se reitera, tal requisito de experiencia establecido por la entidad solo podrá aplicarse para la experiencia respecto de las obras, bienes y servicios adicionales a la obra pública de infraestructura de transporte. </w:t>
            </w:r>
          </w:p>
          <w:p w14:paraId="0FE3DDC1" w14:textId="77777777" w:rsidR="00D8463A" w:rsidRPr="00D8463A" w:rsidRDefault="00D8463A" w:rsidP="00D8463A">
            <w:pPr>
              <w:snapToGrid w:val="0"/>
              <w:spacing w:line="276" w:lineRule="auto"/>
              <w:jc w:val="both"/>
              <w:rPr>
                <w:rFonts w:ascii="Verdana" w:eastAsia="Calibri" w:hAnsi="Verdana" w:cs="Arial"/>
              </w:rPr>
            </w:pPr>
          </w:p>
          <w:p w14:paraId="33BEF9AC" w14:textId="77777777" w:rsidR="00D8463A" w:rsidRPr="00D8463A" w:rsidRDefault="00D8463A" w:rsidP="00D8463A">
            <w:pPr>
              <w:snapToGrid w:val="0"/>
              <w:spacing w:line="276" w:lineRule="auto"/>
              <w:jc w:val="both"/>
              <w:rPr>
                <w:rFonts w:ascii="Verdana" w:eastAsia="Calibri" w:hAnsi="Verdana" w:cs="Arial"/>
              </w:rPr>
            </w:pPr>
            <w:r w:rsidRPr="00D8463A">
              <w:rPr>
                <w:rFonts w:ascii="Verdana" w:eastAsia="Calibri" w:hAnsi="Verdana" w:cs="Arial"/>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07D1D0B" w14:textId="77777777" w:rsidR="00D8463A" w:rsidRPr="00D8463A" w:rsidRDefault="00D8463A" w:rsidP="00D8463A">
            <w:pPr>
              <w:snapToGrid w:val="0"/>
              <w:spacing w:line="276" w:lineRule="auto"/>
              <w:ind w:left="720"/>
              <w:jc w:val="both"/>
              <w:rPr>
                <w:rFonts w:ascii="Verdana" w:eastAsia="Calibri" w:hAnsi="Verdana" w:cs="Arial"/>
              </w:rPr>
            </w:pPr>
          </w:p>
          <w:p w14:paraId="1ACFF582" w14:textId="77777777" w:rsidR="00D8463A" w:rsidRPr="00D8463A" w:rsidRDefault="00D8463A" w:rsidP="00D8463A">
            <w:pPr>
              <w:snapToGrid w:val="0"/>
              <w:spacing w:line="276" w:lineRule="auto"/>
              <w:jc w:val="both"/>
              <w:rPr>
                <w:rFonts w:ascii="Verdana" w:eastAsia="Aptos" w:hAnsi="Verdana" w:cs="Arial"/>
                <w:bCs/>
                <w:lang w:val="es-MX"/>
              </w:rPr>
            </w:pPr>
            <w:r w:rsidRPr="00D8463A">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1C64C31C" w14:textId="77777777" w:rsidR="00D8463A" w:rsidRPr="00D8463A" w:rsidRDefault="00D8463A" w:rsidP="00D8463A">
      <w:pPr>
        <w:tabs>
          <w:tab w:val="left" w:pos="142"/>
          <w:tab w:val="left" w:pos="284"/>
        </w:tabs>
        <w:spacing w:after="0" w:line="276" w:lineRule="auto"/>
        <w:jc w:val="both"/>
        <w:rPr>
          <w:rFonts w:ascii="Verdana" w:eastAsia="Century Gothic" w:hAnsi="Verdana" w:cs="Century Gothic"/>
          <w:b/>
          <w:bCs/>
          <w:lang w:val="es-ES"/>
        </w:rPr>
      </w:pPr>
    </w:p>
    <w:p w14:paraId="609DC377" w14:textId="77777777" w:rsidR="00D8463A" w:rsidRPr="00D8463A" w:rsidRDefault="00D8463A" w:rsidP="00D8463A">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D8463A">
        <w:rPr>
          <w:rFonts w:ascii="Verdana" w:eastAsia="Century Gothic" w:hAnsi="Verdana" w:cs="Century Gothic"/>
          <w:b/>
          <w:bCs/>
          <w:lang w:val="es-ES"/>
        </w:rPr>
        <w:t>Razones de la respuesta:</w:t>
      </w:r>
    </w:p>
    <w:p w14:paraId="1F609236" w14:textId="77777777" w:rsidR="00D8463A" w:rsidRPr="00D8463A" w:rsidRDefault="00D8463A" w:rsidP="00D8463A">
      <w:pPr>
        <w:spacing w:after="0" w:line="276" w:lineRule="auto"/>
        <w:jc w:val="both"/>
        <w:rPr>
          <w:rFonts w:ascii="Verdana" w:eastAsia="Calibri" w:hAnsi="Verdana" w:cs="Arial"/>
          <w:lang w:val="es-ES"/>
        </w:rPr>
      </w:pPr>
    </w:p>
    <w:p w14:paraId="56D5DD42" w14:textId="77777777" w:rsidR="00D8463A" w:rsidRPr="00D8463A" w:rsidRDefault="00D8463A" w:rsidP="00D8463A">
      <w:pPr>
        <w:spacing w:after="0" w:line="276" w:lineRule="auto"/>
        <w:jc w:val="both"/>
        <w:rPr>
          <w:rFonts w:ascii="Verdana" w:eastAsia="Calibri" w:hAnsi="Verdana" w:cs="Arial"/>
          <w:lang w:val="es-ES"/>
        </w:rPr>
      </w:pPr>
      <w:r w:rsidRPr="00D8463A">
        <w:rPr>
          <w:rFonts w:ascii="Verdana" w:eastAsia="Calibri" w:hAnsi="Verdana" w:cs="Arial"/>
          <w:lang w:val="es-ES"/>
        </w:rPr>
        <w:t xml:space="preserve">Lo anterior se sustenta en las siguientes consideraciones: </w:t>
      </w:r>
    </w:p>
    <w:p w14:paraId="65961D4B" w14:textId="77777777" w:rsidR="00D8463A" w:rsidRPr="00D8463A" w:rsidRDefault="00D8463A" w:rsidP="00D8463A">
      <w:pPr>
        <w:spacing w:after="0" w:line="276" w:lineRule="auto"/>
        <w:jc w:val="both"/>
        <w:rPr>
          <w:rFonts w:ascii="Verdana" w:eastAsia="Calibri" w:hAnsi="Verdana" w:cs="Arial"/>
          <w:lang w:val="es-ES"/>
        </w:rPr>
      </w:pPr>
    </w:p>
    <w:p w14:paraId="4AEEAACD" w14:textId="77777777" w:rsidR="00D8463A" w:rsidRPr="00D8463A" w:rsidRDefault="00D8463A" w:rsidP="00D8463A">
      <w:pPr>
        <w:numPr>
          <w:ilvl w:val="0"/>
          <w:numId w:val="17"/>
        </w:numPr>
        <w:spacing w:after="0" w:line="276" w:lineRule="auto"/>
        <w:jc w:val="both"/>
        <w:rPr>
          <w:rFonts w:ascii="Verdana" w:eastAsia="Calibri" w:hAnsi="Verdana" w:cs="Arial"/>
          <w:lang w:val="es-ES_tradnl" w:eastAsia="es-ES"/>
        </w:rPr>
      </w:pPr>
      <w:bookmarkStart w:id="2" w:name="_Hlk113022941"/>
      <w:r w:rsidRPr="00D8463A">
        <w:rPr>
          <w:rFonts w:ascii="Verdana" w:eastAsia="Calibri" w:hAnsi="Verdana" w:cs="Arial"/>
          <w:lang w:val="es-ES_tradnl" w:eastAsia="es-ES"/>
        </w:rPr>
        <w:t xml:space="preserve">La </w:t>
      </w:r>
      <w:bookmarkStart w:id="3" w:name="_Hlk176876754"/>
      <w:r w:rsidRPr="00D8463A">
        <w:rPr>
          <w:rFonts w:ascii="Verdana" w:eastAsia="Calibri" w:hAnsi="Verdana" w:cs="Arial"/>
          <w:lang w:val="es-ES_tradnl" w:eastAsia="es-ES"/>
        </w:rPr>
        <w:t xml:space="preserve">Ley 2022 de 2020, modificó el contenido del parágrafo 7 del artículo 2 de la Ley 1150 de 2007, que había sido adicionado por la Ley 1882 de </w:t>
      </w:r>
      <w:r w:rsidRPr="00D8463A">
        <w:rPr>
          <w:rFonts w:ascii="Verdana" w:eastAsia="Calibri" w:hAnsi="Verdana" w:cs="Arial"/>
          <w:lang w:val="es-ES_tradnl" w:eastAsia="es-ES"/>
        </w:rPr>
        <w:lastRenderedPageBreak/>
        <w:t>2018</w:t>
      </w:r>
      <w:bookmarkEnd w:id="3"/>
      <w:r w:rsidRPr="00D8463A">
        <w:rPr>
          <w:rFonts w:ascii="Verdana" w:eastAsia="Aptos" w:hAnsi="Verdana" w:cs="Times New Roman"/>
          <w:vertAlign w:val="superscript"/>
          <w:lang w:val="es-ES_tradnl" w:eastAsia="es-ES"/>
        </w:rPr>
        <w:footnoteReference w:id="3"/>
      </w:r>
      <w:r w:rsidRPr="00D8463A">
        <w:rPr>
          <w:rFonts w:ascii="Verdana" w:eastAsia="Calibri" w:hAnsi="Verdana" w:cs="Arial"/>
          <w:lang w:val="es-ES_tradnl" w:eastAsia="es-ES"/>
        </w:rPr>
        <w:t xml:space="preserve">. Con esta modificación, si bien se mantuvo el mandato de aplicación obligatoria de los Documentos Tipo por parte de las entidades sometidas al </w:t>
      </w:r>
      <w:r w:rsidRPr="00D8463A">
        <w:rPr>
          <w:rFonts w:ascii="Verdana" w:eastAsia="Calibri" w:hAnsi="Verdana" w:cs="Arial"/>
          <w:bCs/>
          <w:lang w:val="es-ES_tradnl" w:eastAsia="es-ES_tradnl"/>
        </w:rPr>
        <w:t>EGCAP</w:t>
      </w:r>
      <w:r w:rsidRPr="00D8463A">
        <w:rPr>
          <w:rFonts w:ascii="Verdana" w:eastAsia="Calibri" w:hAnsi="Verdana" w:cs="Arial"/>
          <w:lang w:val="es-ES_tradnl" w:eastAsia="es-ES"/>
        </w:rPr>
        <w:t xml:space="preserve">, se atribuyó a la </w:t>
      </w:r>
      <w:r w:rsidRPr="00D8463A">
        <w:rPr>
          <w:rFonts w:ascii="Verdana" w:eastAsia="Calibri" w:hAnsi="Verdana" w:cs="Arial"/>
          <w:lang w:val="es-ES_tradnl" w:eastAsia="es-ES_tradnl"/>
        </w:rPr>
        <w:t xml:space="preserve">Agencia Nacional de Contratación Pública – Colombia Compra Eficiente la competencia para su expedición. </w:t>
      </w:r>
    </w:p>
    <w:p w14:paraId="411B4B2C" w14:textId="77777777" w:rsidR="00D8463A" w:rsidRPr="00D8463A" w:rsidRDefault="00D8463A" w:rsidP="00D8463A">
      <w:pPr>
        <w:spacing w:before="120" w:after="120" w:line="276" w:lineRule="auto"/>
        <w:ind w:left="720"/>
        <w:contextualSpacing/>
        <w:jc w:val="both"/>
        <w:rPr>
          <w:rFonts w:ascii="Verdana" w:eastAsia="Calibri" w:hAnsi="Verdana" w:cs="Arial"/>
          <w:lang w:val="es-ES_tradnl" w:eastAsia="es-ES"/>
        </w:rPr>
      </w:pPr>
    </w:p>
    <w:p w14:paraId="4F1FA283" w14:textId="77777777" w:rsidR="00D8463A" w:rsidRPr="00D8463A" w:rsidRDefault="00D8463A" w:rsidP="00D8463A">
      <w:pPr>
        <w:numPr>
          <w:ilvl w:val="0"/>
          <w:numId w:val="17"/>
        </w:numPr>
        <w:spacing w:after="0" w:line="240" w:lineRule="auto"/>
        <w:ind w:left="714" w:hanging="357"/>
        <w:jc w:val="both"/>
        <w:rPr>
          <w:rFonts w:ascii="Verdana" w:eastAsia="Aptos" w:hAnsi="Verdana" w:cs="Arial"/>
          <w:lang w:val="es-ES"/>
        </w:rPr>
      </w:pPr>
      <w:r w:rsidRPr="00D8463A">
        <w:rPr>
          <w:rFonts w:ascii="Verdana" w:eastAsia="Aptos" w:hAnsi="Verdana" w:cs="Arial"/>
          <w:lang w:val="es-ES"/>
        </w:rPr>
        <w:t xml:space="preserve">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w:t>
      </w:r>
      <w:r w:rsidRPr="00D8463A">
        <w:rPr>
          <w:rFonts w:ascii="Verdana" w:eastAsia="Aptos" w:hAnsi="Verdana" w:cs="Arial"/>
          <w:lang w:val="es-ES"/>
        </w:rPr>
        <w:lastRenderedPageBreak/>
        <w:t>licitación pública, selección abreviada de menor cuantía, mínima cuantía, concurso de méritos y contratación directa.</w:t>
      </w:r>
    </w:p>
    <w:p w14:paraId="0BAA5907"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2126286D"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En ejercicio de su competencia, esta agencia estableció un procedimiento para recibir y revisar los comentarios de todos los partícipes del sistema de la compra pública en el primero y parte del segundo semestre del año 2024. Como consecuencia de ello, se expidieron los diferentes actos administrativos por medio de los cuales se adoptaron los documentos tipo del sector de infraestructura de transporte y en simultaneo se publicaron las respuestas a todas las observaciones y/o comentarios realizados a los proyectos de documentos tipo.</w:t>
      </w:r>
    </w:p>
    <w:p w14:paraId="4FE9B0FE"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5337E07B"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Aptos" w:hAnsi="Verdana" w:cs="Arial"/>
          <w:lang w:val="es-ES"/>
        </w:rPr>
        <w:t xml:space="preserve">Los Documentos tipo para la contratación de obra pública de infraestructura de transporte fueron modificados después de surtir el procedimiento interno establecido por esta agencia. En relación con los documentos tipo de licitación de obra pública de infraestructura de transporte, mediante la Resolución 465 del 10 de septiembre de 2024, se adoptó la </w:t>
      </w:r>
      <w:r w:rsidRPr="00D8463A">
        <w:rPr>
          <w:rFonts w:ascii="Verdana" w:eastAsia="Calibri" w:hAnsi="Verdana" w:cs="Arial"/>
          <w:kern w:val="2"/>
          <w14:ligatures w14:val="standardContextual"/>
        </w:rPr>
        <w:t>versión 4 de estos documentos y se derogó la Resolución 240 de 2020. Por su parte, por medio de la Resolución 463 del 10 de septiembre de 2024, se acogió la versión 3 de los documentos tipo para los procesos de selección abreviada de menor cuantía de infraestructura de transporte y se derogó la Resolución 241 de 2020.</w:t>
      </w:r>
    </w:p>
    <w:p w14:paraId="21ABB137" w14:textId="77777777" w:rsidR="00D8463A" w:rsidRPr="00D8463A" w:rsidRDefault="00D8463A" w:rsidP="00D8463A">
      <w:pPr>
        <w:snapToGrid w:val="0"/>
        <w:spacing w:after="0" w:line="240" w:lineRule="auto"/>
        <w:jc w:val="both"/>
        <w:rPr>
          <w:rFonts w:ascii="Verdana" w:eastAsia="Calibri" w:hAnsi="Verdana" w:cs="Arial"/>
          <w:kern w:val="2"/>
          <w14:ligatures w14:val="standardContextual"/>
        </w:rPr>
      </w:pPr>
    </w:p>
    <w:p w14:paraId="52BA5F59" w14:textId="10E400E5" w:rsidR="00D8463A" w:rsidRPr="00D8463A" w:rsidRDefault="00D8463A" w:rsidP="00D8463A">
      <w:pPr>
        <w:numPr>
          <w:ilvl w:val="0"/>
          <w:numId w:val="17"/>
        </w:numPr>
        <w:snapToGrid w:val="0"/>
        <w:spacing w:after="0" w:line="276" w:lineRule="auto"/>
        <w:jc w:val="both"/>
        <w:rPr>
          <w:rFonts w:ascii="Verdana" w:eastAsia="Aptos" w:hAnsi="Verdana" w:cs="Arial"/>
          <w:lang w:val="es-ES"/>
        </w:rPr>
      </w:pPr>
      <w:r w:rsidRPr="00D8463A">
        <w:rPr>
          <w:rFonts w:ascii="Verdana" w:eastAsia="Aptos" w:hAnsi="Verdana" w:cs="Arial"/>
          <w:lang w:val="es-ES"/>
        </w:rPr>
        <w:t>La parte introductoria del pliego de condiciones de los documentos tipo analizados dispone que estos se aplican a los procedimientos de selección de licitación de obra pública de infraestructura de transporte (versión 4), que correspondan a las actividades definidas en la “Matriz 1 – Experiencia”. En consecuencia, las actividades de infraestructura de transporte no contempladas en la Matriz 1 – Experiencia no tienen que aplicar los documentos tipo; sin perjuicio de lo previsto en el artículo 2.2.1.1.1.2.1 del Decreto 1082 de 2015 o la norma que la modifique, sustituya o complemente, además, de lo contenido en el artículo 4 de la Resolución 465 de 2024, relacionados con la posibilidad de exigir experiencia adicional en determinados supuestos</w:t>
      </w:r>
      <w:r w:rsidRPr="00D8463A">
        <w:rPr>
          <w:rFonts w:ascii="Verdana" w:eastAsia="Aptos" w:hAnsi="Verdana" w:cs="Times New Roman"/>
          <w:sz w:val="24"/>
          <w:szCs w:val="24"/>
          <w:vertAlign w:val="superscript"/>
          <w:lang w:val="es-ES"/>
        </w:rPr>
        <w:footnoteReference w:id="4"/>
      </w:r>
      <w:r w:rsidRPr="00D8463A">
        <w:rPr>
          <w:rFonts w:ascii="Verdana" w:eastAsia="Aptos" w:hAnsi="Verdana" w:cs="Arial"/>
          <w:lang w:val="es-ES"/>
        </w:rPr>
        <w:t>.</w:t>
      </w:r>
    </w:p>
    <w:p w14:paraId="52E8C767" w14:textId="77777777" w:rsidR="00D8463A" w:rsidRPr="00D8463A" w:rsidRDefault="00D8463A" w:rsidP="00D8463A">
      <w:pPr>
        <w:snapToGrid w:val="0"/>
        <w:spacing w:after="0" w:line="276" w:lineRule="auto"/>
        <w:jc w:val="both"/>
        <w:rPr>
          <w:rFonts w:ascii="Verdana" w:eastAsia="Aptos" w:hAnsi="Verdana" w:cs="Arial"/>
          <w:lang w:val="es-ES"/>
        </w:rPr>
      </w:pPr>
    </w:p>
    <w:p w14:paraId="47368DBD"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De acuerdo con las condiciones fijadas en el “Documento Base” de la Resolución No. 465 del 10 de septiembre de 2024,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w:t>
      </w:r>
    </w:p>
    <w:p w14:paraId="12E864E7"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7873B234"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D8463A">
        <w:rPr>
          <w:rFonts w:ascii="Verdana" w:eastAsia="Calibri" w:hAnsi="Verdana" w:cs="Arial"/>
          <w:kern w:val="2"/>
          <w14:ligatures w14:val="standardContextual"/>
        </w:rPr>
        <w:t>ii</w:t>
      </w:r>
      <w:proofErr w:type="spellEnd"/>
      <w:r w:rsidRPr="00D8463A">
        <w:rPr>
          <w:rFonts w:ascii="Verdana" w:eastAsia="Calibri" w:hAnsi="Verdana" w:cs="Arial"/>
          <w:kern w:val="2"/>
          <w14:ligatures w14:val="standardContextual"/>
        </w:rPr>
        <w:t xml:space="preserve">) la actividad a contratar, y </w:t>
      </w:r>
      <w:proofErr w:type="spellStart"/>
      <w:r w:rsidRPr="00D8463A">
        <w:rPr>
          <w:rFonts w:ascii="Verdana" w:eastAsia="Calibri" w:hAnsi="Verdana" w:cs="Arial"/>
          <w:kern w:val="2"/>
          <w14:ligatures w14:val="standardContextual"/>
        </w:rPr>
        <w:t>iii</w:t>
      </w:r>
      <w:proofErr w:type="spellEnd"/>
      <w:r w:rsidRPr="00D8463A">
        <w:rPr>
          <w:rFonts w:ascii="Verdana" w:eastAsia="Calibri" w:hAnsi="Verdana" w:cs="Arial"/>
          <w:kern w:val="2"/>
          <w14:ligatures w14:val="standardContextual"/>
        </w:rPr>
        <w:t>) la cuantía del Proceso de Contratación.</w:t>
      </w:r>
    </w:p>
    <w:p w14:paraId="09886F41"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5220B58D"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En relación con el primer aspecto, la Matriz 1 está constituida por nueve (9)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dado que comprenden todas aquellas actividades que constituyen obra pública de infraestructura de transporte y que han sido objeto de estandarización mediante la Resolución No. 465 del 10 de septiembre de 2024 para los procesos de licitación pública.</w:t>
      </w:r>
    </w:p>
    <w:p w14:paraId="4BE1D11E"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31203F25"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Con respecto a la actividad a contratar, la Matriz 1 establece cuáles son las que corresponden a cada uno de los tipos de infraestructura mencionados, con el fin de que la entidad identifique aquellas en las cuales </w:t>
      </w:r>
      <w:r w:rsidRPr="00D8463A">
        <w:rPr>
          <w:rFonts w:ascii="Verdana" w:eastAsia="Calibri" w:hAnsi="Verdana" w:cs="Arial"/>
          <w:kern w:val="2"/>
          <w14:ligatures w14:val="standardContextual"/>
        </w:rPr>
        <w:lastRenderedPageBreak/>
        <w:t>puede encuadrarse, de mejor forma, el objeto que pretende ejecutar y determinar los requisitos de experiencia exigibles. Por ejemplo, para el tipo de infraestructura “6. OBRAS DE INFRAESTRUCTURA VIAL URBANA”, la entidad podrá verificar la experiencia requerida en su proceso, de acuerdo con las 27 actividades identificadas en la matriz 1.</w:t>
      </w:r>
    </w:p>
    <w:p w14:paraId="3D2340B7"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0C7670E5"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De otra parte,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14:paraId="36D5AE73"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3E924087"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465 del 10 de septiembre de 2024 y, por tanto, la regla general es que no pueden ser alterados, modificados o adicionados en su contenido. </w:t>
      </w:r>
    </w:p>
    <w:p w14:paraId="0BC25137"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38B25A1C"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Ahora bien, en el documento base o pliego tipo adoptado por la Resolución No. 465 del 10 de septiembre de 2024, se desarrolla el numeral 3.5.1 “Determinación de los requisitos mínimos de experiencia según la Matriz 1 – Experiencia”, en el que la entidad debe justificar, expresa y suficientemente la complejidad del proyecto, determinando si es de baja–media o alta complejidad, y en función de ello implementar alguna de las variantes de la “Matriz 1 – Experiencia”, ya sea la de proyectos de baja–media o la elaborada para proyectos de alta complejidad técnica. En otras palabras, se crean dos matrices de experiencia: i) una para proyectos de complejidad técnica baja o media y </w:t>
      </w:r>
      <w:proofErr w:type="spellStart"/>
      <w:r w:rsidRPr="00D8463A">
        <w:rPr>
          <w:rFonts w:ascii="Verdana" w:eastAsia="Calibri" w:hAnsi="Verdana" w:cs="Arial"/>
          <w:kern w:val="2"/>
          <w14:ligatures w14:val="standardContextual"/>
        </w:rPr>
        <w:t>ii</w:t>
      </w:r>
      <w:proofErr w:type="spellEnd"/>
      <w:r w:rsidRPr="00D8463A">
        <w:rPr>
          <w:rFonts w:ascii="Verdana" w:eastAsia="Calibri" w:hAnsi="Verdana" w:cs="Arial"/>
          <w:kern w:val="2"/>
          <w14:ligatures w14:val="standardContextual"/>
        </w:rPr>
        <w:t xml:space="preserve">) otra para proyectos de complejidad técnica alta. Es decir, corresponde a la entidad determinar la complejidad técnica del proceso, a partir de diversas condiciones o circunstancias </w:t>
      </w:r>
      <w:r w:rsidRPr="00D8463A">
        <w:rPr>
          <w:rFonts w:ascii="Verdana" w:eastAsia="Calibri" w:hAnsi="Verdana" w:cs="Arial"/>
          <w:kern w:val="2"/>
          <w14:ligatures w14:val="standardContextual"/>
        </w:rPr>
        <w:lastRenderedPageBreak/>
        <w:t xml:space="preserve">geográficas, geológicas, hidrológicas, climáticas, así como el alcance físico del proyecto de infraestructura de transporte, entre otros, como lo dispone el numeral 3.5.1. del Documento Base, dejando constancia de su análisis realizado para establecer la complejidad técnica del proyecto sin limitarse exclusivamente a la cuantía del proceso. </w:t>
      </w:r>
    </w:p>
    <w:p w14:paraId="2D37C7AE" w14:textId="77777777" w:rsidR="00D8463A" w:rsidRPr="00D8463A" w:rsidRDefault="00D8463A" w:rsidP="00D8463A">
      <w:pPr>
        <w:snapToGrid w:val="0"/>
        <w:spacing w:after="0" w:line="276" w:lineRule="auto"/>
        <w:ind w:left="720"/>
        <w:jc w:val="both"/>
        <w:rPr>
          <w:rFonts w:ascii="Verdana" w:eastAsia="Calibri" w:hAnsi="Verdana" w:cs="Arial"/>
          <w:kern w:val="2"/>
          <w14:ligatures w14:val="standardContextual"/>
        </w:rPr>
      </w:pPr>
    </w:p>
    <w:p w14:paraId="4FF41A14"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Asimismo, en el referido numeral se indica que la entidad indicará el número y nombre de la actividad a contratar, para lo cual transcribirá textualmente lo indicado en la “Matriz 1-Experiencia”. Además, se señala que, en caso de requerir combinar experiencia se procederá según lo establecido en el literal A) del numeral 3.5.2, al cual se hará referencia más adelante. </w:t>
      </w:r>
    </w:p>
    <w:p w14:paraId="62995020"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2EA3B3D1"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De esta manera, la entidad estatal que adelanta un proceso de contratación de obra pública de infraestructura de transporte debe definir la experiencia exigible teniendo en cuenta las condiciones fijadas en la “Matriz 1 – Experiencia”, de acuerdo con los siguientes pasos:</w:t>
      </w:r>
    </w:p>
    <w:p w14:paraId="59362ABF" w14:textId="77777777" w:rsidR="00D8463A" w:rsidRPr="00D8463A" w:rsidRDefault="00D8463A" w:rsidP="00D8463A">
      <w:pPr>
        <w:snapToGrid w:val="0"/>
        <w:spacing w:after="0" w:line="276" w:lineRule="auto"/>
        <w:ind w:left="709"/>
        <w:jc w:val="both"/>
        <w:rPr>
          <w:rFonts w:ascii="Verdana" w:eastAsia="Calibri" w:hAnsi="Verdana" w:cs="Arial"/>
          <w:kern w:val="2"/>
          <w14:ligatures w14:val="standardContextual"/>
        </w:rPr>
      </w:pPr>
    </w:p>
    <w:p w14:paraId="0E12C8B7" w14:textId="77777777" w:rsidR="00D8463A" w:rsidRPr="00D8463A" w:rsidRDefault="00D8463A" w:rsidP="00D8463A">
      <w:pPr>
        <w:snapToGrid w:val="0"/>
        <w:spacing w:after="120" w:line="240" w:lineRule="auto"/>
        <w:ind w:left="709" w:right="709"/>
        <w:jc w:val="both"/>
        <w:rPr>
          <w:rFonts w:ascii="Verdana" w:eastAsia="Calibri" w:hAnsi="Verdana" w:cs="Arial"/>
          <w:kern w:val="2"/>
          <w:sz w:val="21"/>
          <w:szCs w:val="21"/>
          <w14:ligatures w14:val="standardContextual"/>
        </w:rPr>
      </w:pPr>
      <w:r w:rsidRPr="00D8463A">
        <w:rPr>
          <w:rFonts w:ascii="Verdana" w:eastAsia="Calibri" w:hAnsi="Verdana" w:cs="Arial"/>
          <w:kern w:val="2"/>
          <w:sz w:val="21"/>
          <w:szCs w:val="21"/>
          <w14:ligatures w14:val="standardContextual"/>
        </w:rPr>
        <w:t>a) Establecer si se trata de un proyecto de complejidad baja-media o alta, y en función de ello establecer la Matriz 1 aplicable.</w:t>
      </w:r>
    </w:p>
    <w:p w14:paraId="01AADA78" w14:textId="77777777" w:rsidR="00D8463A" w:rsidRPr="00D8463A" w:rsidRDefault="00D8463A" w:rsidP="00D8463A">
      <w:pPr>
        <w:snapToGrid w:val="0"/>
        <w:spacing w:after="120" w:line="240" w:lineRule="auto"/>
        <w:ind w:left="709" w:right="709"/>
        <w:jc w:val="both"/>
        <w:rPr>
          <w:rFonts w:ascii="Verdana" w:eastAsia="Calibri" w:hAnsi="Verdana" w:cs="Arial"/>
          <w:kern w:val="2"/>
          <w:sz w:val="21"/>
          <w:szCs w:val="21"/>
          <w14:ligatures w14:val="standardContextual"/>
        </w:rPr>
      </w:pPr>
      <w:r w:rsidRPr="00D8463A">
        <w:rPr>
          <w:rFonts w:ascii="Verdana" w:eastAsia="Calibri" w:hAnsi="Verdana" w:cs="Arial"/>
          <w:kern w:val="2"/>
          <w:sz w:val="21"/>
          <w:szCs w:val="21"/>
          <w14:ligatures w14:val="standardContextual"/>
        </w:rPr>
        <w:t>b) Identificada la respectiva Matriz 1, la entidad deberá determinar el tipo de infraestructura sobre el cual recae la obra a ejecutar. Al respecto, esta matriz contiene nueve (9) secciones que corresponden a los tipos de infraestructura estandarizados.</w:t>
      </w:r>
    </w:p>
    <w:p w14:paraId="128BD3BC" w14:textId="77777777" w:rsidR="00D8463A" w:rsidRPr="00D8463A" w:rsidRDefault="00D8463A" w:rsidP="00D8463A">
      <w:pPr>
        <w:snapToGrid w:val="0"/>
        <w:spacing w:after="120" w:line="240" w:lineRule="auto"/>
        <w:ind w:left="709" w:right="709"/>
        <w:jc w:val="both"/>
        <w:rPr>
          <w:rFonts w:ascii="Verdana" w:eastAsia="Calibri" w:hAnsi="Verdana" w:cs="Arial"/>
          <w:kern w:val="2"/>
          <w:sz w:val="21"/>
          <w:szCs w:val="21"/>
          <w14:ligatures w14:val="standardContextual"/>
        </w:rPr>
      </w:pPr>
      <w:r w:rsidRPr="00D8463A">
        <w:rPr>
          <w:rFonts w:ascii="Verdana" w:eastAsia="Calibri" w:hAnsi="Verdana" w:cs="Arial"/>
          <w:kern w:val="2"/>
          <w:sz w:val="21"/>
          <w:szCs w:val="21"/>
          <w14:ligatures w14:val="standardContextual"/>
        </w:rPr>
        <w:t xml:space="preserve">c) Definido el tipo de infraestructura, identificar la “ACTIVIDAD A CONTRATAR” acorde con la Matriz 1. </w:t>
      </w:r>
    </w:p>
    <w:p w14:paraId="1946983C" w14:textId="77777777" w:rsidR="00D8463A" w:rsidRPr="00D8463A" w:rsidRDefault="00D8463A" w:rsidP="00D8463A">
      <w:pPr>
        <w:snapToGrid w:val="0"/>
        <w:spacing w:after="120" w:line="240" w:lineRule="auto"/>
        <w:ind w:left="709" w:right="709"/>
        <w:jc w:val="both"/>
        <w:rPr>
          <w:rFonts w:ascii="Verdana" w:eastAsia="Calibri" w:hAnsi="Verdana" w:cs="Arial"/>
          <w:kern w:val="2"/>
          <w:sz w:val="21"/>
          <w:szCs w:val="21"/>
          <w14:ligatures w14:val="standardContextual"/>
        </w:rPr>
      </w:pPr>
      <w:r w:rsidRPr="00D8463A">
        <w:rPr>
          <w:rFonts w:ascii="Verdana" w:eastAsia="Calibri" w:hAnsi="Verdana" w:cs="Arial"/>
          <w:kern w:val="2"/>
          <w:sz w:val="21"/>
          <w:szCs w:val="21"/>
          <w14:ligatures w14:val="standardContextual"/>
        </w:rPr>
        <w:t xml:space="preserve">d)  Identificar el rango en el cual se encuentra el proceso de contratación de acuerdo con el presupuesto oficial. </w:t>
      </w:r>
    </w:p>
    <w:p w14:paraId="444B0479" w14:textId="77777777" w:rsidR="00D8463A" w:rsidRPr="00D8463A" w:rsidRDefault="00D8463A" w:rsidP="00D8463A">
      <w:pPr>
        <w:snapToGrid w:val="0"/>
        <w:spacing w:after="120" w:line="240" w:lineRule="auto"/>
        <w:ind w:left="709" w:right="709"/>
        <w:jc w:val="both"/>
        <w:rPr>
          <w:rFonts w:ascii="Verdana" w:eastAsia="Calibri" w:hAnsi="Verdana" w:cs="Arial"/>
          <w:kern w:val="2"/>
          <w:sz w:val="21"/>
          <w:szCs w:val="21"/>
          <w14:ligatures w14:val="standardContextual"/>
        </w:rPr>
      </w:pPr>
      <w:r w:rsidRPr="00D8463A">
        <w:rPr>
          <w:rFonts w:ascii="Verdana" w:eastAsia="Calibri" w:hAnsi="Verdana" w:cs="Arial"/>
          <w:kern w:val="2"/>
          <w:sz w:val="21"/>
          <w:szCs w:val="21"/>
          <w14:ligatures w14:val="standardContextual"/>
        </w:rPr>
        <w:t xml:space="preserve">e) Identificar la “experiencia general” exigible acorde con la Matriz 1, teniendo en cuenta la actividad a contratar y el rango de la cuantía del Proceso de Contratación. </w:t>
      </w:r>
    </w:p>
    <w:p w14:paraId="0CF76529" w14:textId="77777777" w:rsidR="00D8463A" w:rsidRPr="00D8463A" w:rsidRDefault="00D8463A" w:rsidP="00D8463A">
      <w:pPr>
        <w:snapToGrid w:val="0"/>
        <w:spacing w:after="120" w:line="240" w:lineRule="auto"/>
        <w:ind w:left="709" w:right="709"/>
        <w:jc w:val="both"/>
        <w:rPr>
          <w:rFonts w:ascii="Verdana" w:eastAsia="Calibri" w:hAnsi="Verdana" w:cs="Arial"/>
          <w:kern w:val="2"/>
          <w:sz w:val="21"/>
          <w:szCs w:val="21"/>
          <w14:ligatures w14:val="standardContextual"/>
        </w:rPr>
      </w:pPr>
      <w:r w:rsidRPr="00D8463A">
        <w:rPr>
          <w:rFonts w:ascii="Verdana" w:eastAsia="Calibri" w:hAnsi="Verdana" w:cs="Arial"/>
          <w:kern w:val="2"/>
          <w:sz w:val="21"/>
          <w:szCs w:val="21"/>
          <w14:ligatures w14:val="standardContextual"/>
        </w:rPr>
        <w:t>f) Identificar la “experiencia específica” exigible y el porcentaje de dimensionamiento que se puede solicitar acorde con la longitud a ejecutar, de acuerdo con la cuantía del proceso de contratación. Cuando en la “experiencia específica” se indiquen las siglas N.A, significa que la entidad estatal no puede exigir a los proponentes experiencia específica en los procesos de contratación.</w:t>
      </w:r>
    </w:p>
    <w:p w14:paraId="09F08926" w14:textId="77777777" w:rsidR="00D8463A" w:rsidRPr="00D8463A" w:rsidRDefault="00D8463A" w:rsidP="00D8463A">
      <w:pPr>
        <w:snapToGrid w:val="0"/>
        <w:spacing w:after="0" w:line="240" w:lineRule="auto"/>
        <w:ind w:left="709" w:right="709"/>
        <w:jc w:val="both"/>
        <w:rPr>
          <w:rFonts w:ascii="Verdana" w:eastAsia="Calibri" w:hAnsi="Verdana" w:cs="Arial"/>
          <w:kern w:val="2"/>
          <w:sz w:val="21"/>
          <w:szCs w:val="21"/>
          <w14:ligatures w14:val="standardContextual"/>
        </w:rPr>
      </w:pPr>
      <w:r w:rsidRPr="00D8463A">
        <w:rPr>
          <w:rFonts w:ascii="Verdana" w:eastAsia="Calibri" w:hAnsi="Verdana" w:cs="Arial"/>
          <w:kern w:val="2"/>
          <w:sz w:val="21"/>
          <w:szCs w:val="21"/>
          <w14:ligatures w14:val="standardContextual"/>
        </w:rPr>
        <w:lastRenderedPageBreak/>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p>
    <w:p w14:paraId="6BCA3392" w14:textId="77777777" w:rsidR="00D8463A" w:rsidRPr="00D8463A" w:rsidRDefault="00D8463A" w:rsidP="00D8463A">
      <w:pPr>
        <w:snapToGrid w:val="0"/>
        <w:spacing w:after="0" w:line="276" w:lineRule="auto"/>
        <w:ind w:left="720"/>
        <w:jc w:val="both"/>
        <w:rPr>
          <w:rFonts w:ascii="Verdana" w:eastAsia="Calibri" w:hAnsi="Verdana" w:cs="Arial"/>
          <w:kern w:val="2"/>
          <w14:ligatures w14:val="standardContextual"/>
        </w:rPr>
      </w:pPr>
    </w:p>
    <w:p w14:paraId="47294DCB"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Una regla especial en relación con lo anterior se desarrolla en el artículo 4 de la Resolución No. 465 del 10 de septiembre de 2024, el cual dispone que la entidad puede solicitar experiencia adicional para evaluar la idoneidad del contratista en procesos de contratación de licitación de obra pública de infraestructura de transporte, que incluyen obras, bienes o servicios adicionales a la obra pública de infraestructura de transporte. Estos corresponden a necesidades no incluidas en el alcance de la obra pública de infraestructura de transporte, cuya ejecución se contempla en el mismo procedimiento contractual. Por ello, con fundamento en esta disposición, las entidades pueden requerir experiencia añadida cuando el bien o servicio adicional a la obra de infraestructura de transporte es de tal relevancia que se considere que no es posible valorar la idoneidad del contratista únicamente a partir de la experiencia establecida en la “Matriz 1 – Experiencia”.</w:t>
      </w:r>
    </w:p>
    <w:p w14:paraId="169A3200" w14:textId="77777777" w:rsidR="00D8463A" w:rsidRPr="00D8463A" w:rsidRDefault="00D8463A" w:rsidP="00D8463A">
      <w:pPr>
        <w:snapToGrid w:val="0"/>
        <w:spacing w:after="0" w:line="276" w:lineRule="auto"/>
        <w:ind w:left="720"/>
        <w:jc w:val="both"/>
        <w:rPr>
          <w:rFonts w:ascii="Verdana" w:eastAsia="Calibri" w:hAnsi="Verdana" w:cs="Arial"/>
          <w:kern w:val="2"/>
          <w14:ligatures w14:val="standardContextual"/>
        </w:rPr>
      </w:pPr>
    </w:p>
    <w:p w14:paraId="347CE7E4"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Cuando la entidad requiere bienes y servicios que no se encuentran incluidos como obra de infraestructura de transporte en la “Matriz 1 – Experiencia” y considera necesario exigir experiencia adicional, se debe aplicar el artículo 4 de la Resolución No. 465 del 10 de septiembre de 2024. Esta norma dispone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de infraestructura de transporte.</w:t>
      </w:r>
    </w:p>
    <w:p w14:paraId="36D8F104"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3BA30277"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Para ello, se deben seguir los siguientes parámetros: i) demostrar en los estudios previos que ha verificado las condiciones de mercado para la contratación de las obras, bienes o servicios adicionales al componente de obra pública, de tal forma que la experiencia adicional que se exija para tales bienes o servicios procure la pluralidad de oferentes y no limite la concurrencia al proceso de contratación, </w:t>
      </w:r>
      <w:proofErr w:type="spellStart"/>
      <w:r w:rsidRPr="00D8463A">
        <w:rPr>
          <w:rFonts w:ascii="Verdana" w:eastAsia="Calibri" w:hAnsi="Verdana" w:cs="Arial"/>
          <w:kern w:val="2"/>
          <w14:ligatures w14:val="standardContextual"/>
        </w:rPr>
        <w:t>ii</w:t>
      </w:r>
      <w:proofErr w:type="spellEnd"/>
      <w:r w:rsidRPr="00D8463A">
        <w:rPr>
          <w:rFonts w:ascii="Verdana" w:eastAsia="Calibri" w:hAnsi="Verdana" w:cs="Arial"/>
          <w:kern w:val="2"/>
          <w14:ligatures w14:val="standardContextual"/>
        </w:rPr>
        <w:t xml:space="preserve">) conservar los requisitos exigidos en los documentos tipo, </w:t>
      </w:r>
      <w:proofErr w:type="spellStart"/>
      <w:r w:rsidRPr="00D8463A">
        <w:rPr>
          <w:rFonts w:ascii="Verdana" w:eastAsia="Calibri" w:hAnsi="Verdana" w:cs="Arial"/>
          <w:kern w:val="2"/>
          <w14:ligatures w14:val="standardContextual"/>
        </w:rPr>
        <w:t>iii</w:t>
      </w:r>
      <w:proofErr w:type="spellEnd"/>
      <w:r w:rsidRPr="00D8463A">
        <w:rPr>
          <w:rFonts w:ascii="Verdana" w:eastAsia="Calibri" w:hAnsi="Verdana" w:cs="Arial"/>
          <w:kern w:val="2"/>
          <w14:ligatures w14:val="standardContextual"/>
        </w:rPr>
        <w:t xml:space="preserve">) abstenerse de pedir experiencia </w:t>
      </w:r>
      <w:r w:rsidRPr="00D8463A">
        <w:rPr>
          <w:rFonts w:ascii="Verdana" w:eastAsia="Calibri" w:hAnsi="Verdana" w:cs="Arial"/>
          <w:kern w:val="2"/>
          <w14:ligatures w14:val="standardContextual"/>
        </w:rPr>
        <w:lastRenderedPageBreak/>
        <w:t xml:space="preserve">exclusiva con entidades estatales, experiencia previa en un territorio específico, limitada en el tiempo o que incluya volúmenes o cantidades de obra específica, </w:t>
      </w:r>
      <w:proofErr w:type="spellStart"/>
      <w:r w:rsidRPr="00D8463A">
        <w:rPr>
          <w:rFonts w:ascii="Verdana" w:eastAsia="Calibri" w:hAnsi="Verdana" w:cs="Arial"/>
          <w:kern w:val="2"/>
          <w14:ligatures w14:val="standardContextual"/>
        </w:rPr>
        <w:t>iv</w:t>
      </w:r>
      <w:proofErr w:type="spellEnd"/>
      <w:r w:rsidRPr="00D8463A">
        <w:rPr>
          <w:rFonts w:ascii="Verdana" w:eastAsia="Calibri" w:hAnsi="Verdana" w:cs="Arial"/>
          <w:kern w:val="2"/>
          <w14:ligatures w14:val="standardContextual"/>
        </w:rPr>
        <w:t>) clasificar la experiencia requerida solo hasta el tercer nivel del clasificador de bienes y servicios e incluir exclusivamente los códigos que estén relacionados directamente con el objeto a contratar.</w:t>
      </w:r>
    </w:p>
    <w:p w14:paraId="77A26B2A"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2CF62597"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La entidad que opte por solicitar experiencia adicional en desarrollo de esta norma debe evidenciar en los documentos del proceso que agotó estos parámetros. Para ello, debe justificar en los estudios y documentos previos, como parte del deber de análisis y planeación, que ha verificado que la experiencia adicional relacionada con las obras, bienes o servicios no afecta significativamente la pluralidad de oferentes. Es decir, la entidad debe revisar que al solicitar esta experiencia existen suficientes potenciales proponentes que puedan acreditar estas condiciones.</w:t>
      </w:r>
    </w:p>
    <w:p w14:paraId="7A0CEB18"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5CA3DE5E"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En segundo lugar, la solicitud de esta experiencia no permite que la entidad modifique los requisitos habilitantes y de ponderación de la propuesta, por lo cual se deben mantener los establecidos en los documentos tipo.</w:t>
      </w:r>
    </w:p>
    <w:p w14:paraId="1596B6A9"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51EA2432"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En tercer lugar, la experiencia adicional solicitada debe relacionarse con las obras, bienes y servicios sobre los cuales la entidad requiere que se demuestre idoneidad por parte de los proponentes. Esta experiencia no puede estar limitada o referida a que se haya adquirido en un territorio o con alguna entidad 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 de imposible cumplimiento.</w:t>
      </w:r>
    </w:p>
    <w:p w14:paraId="1E7B71DA"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00CB69F4"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Por último, la experiencia requerida debe clasificarse hasta el tercer nivel del clasificador de bienes y servicios. Por lo tanto, la entidad no puede requerir que se acredite el “producto” de este clasificador.</w:t>
      </w:r>
    </w:p>
    <w:p w14:paraId="16AC5A22" w14:textId="77777777" w:rsidR="00D8463A" w:rsidRPr="00D8463A" w:rsidRDefault="00D8463A" w:rsidP="00D8463A">
      <w:pPr>
        <w:spacing w:after="0" w:line="278" w:lineRule="auto"/>
        <w:ind w:left="720"/>
        <w:rPr>
          <w:rFonts w:ascii="Verdana" w:eastAsia="Calibri" w:hAnsi="Verdana" w:cs="Arial"/>
          <w:kern w:val="2"/>
          <w14:ligatures w14:val="standardContextual"/>
        </w:rPr>
      </w:pPr>
    </w:p>
    <w:p w14:paraId="6D0A8F6F"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Debe indicarse que, de acuerdo con el parágrafo 2 de la Resolución 465 de 2024, se entiende por "obras, bienes o servicios adicionales" aquellas </w:t>
      </w:r>
      <w:r w:rsidRPr="00D8463A">
        <w:rPr>
          <w:rFonts w:ascii="Verdana" w:eastAsia="Calibri" w:hAnsi="Verdana" w:cs="Arial"/>
          <w:kern w:val="2"/>
          <w14:ligatures w14:val="standardContextual"/>
        </w:rPr>
        <w:lastRenderedPageBreak/>
        <w:t>actividades que no están incluidas en la matriz de experiencia de los documentos tipo de infraestructura de transporte aplicable, pero que están relacionadas con el contrato a ejecutar. Por ejemplo, en caso de que el proyecto de obra pública a ejecutar esté relacionado con infraestructura de transporte, pero, además, con proyectos de agua potable y saneamiento básico o con proyectos de infraestructura social, el servicio adicional serán las actividades de obra pública en infraestructura de agua potable y saneamiento básico o las actividades de obra pública de infraestructura social.</w:t>
      </w:r>
    </w:p>
    <w:p w14:paraId="492D8CCC"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737F4CE4"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Adicionalmente, debe tenerse presente la regla de la inalterabilidad de los Documentos Tipo, que se fundamenta en los artículos 2 y 3 de la Resolución No. 465 del 10 de septiembre de 2024, que disponen que las entidades contratantes no podrán incluir o modificar dentro de los documentos del proceso las condiciones habilitantes, los factores técnicos y económicos de escogencia y los sistemas de ponderación señalados en los documentos tipo. </w:t>
      </w:r>
    </w:p>
    <w:p w14:paraId="75B5BE69"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5856BE73"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Por consiguiente, para solicitar experiencia frente a obras, bienes o servicios adicionales que no se encuentren contemplados en la “Matriz 1 – Experiencia”, el literal H del numeral 3.5.2 “CARACTERÍSTICAS DE LOS CONTRATOS PRESENTADOS PARA ACREDITAR EXPERIENCIA”</w:t>
      </w:r>
      <w:r w:rsidRPr="00D8463A">
        <w:rPr>
          <w:rFonts w:ascii="Verdana" w:eastAsia="Calibri" w:hAnsi="Verdana" w:cs="Arial"/>
          <w:kern w:val="2"/>
          <w:vertAlign w:val="superscript"/>
          <w14:ligatures w14:val="standardContextual"/>
        </w:rPr>
        <w:footnoteReference w:id="5"/>
      </w:r>
      <w:r w:rsidRPr="00D8463A">
        <w:rPr>
          <w:rFonts w:ascii="Verdana" w:eastAsia="Calibri" w:hAnsi="Verdana" w:cs="Arial"/>
          <w:kern w:val="2"/>
          <w14:ligatures w14:val="standardContextual"/>
        </w:rPr>
        <w:t>, del Documento Base actualmente dispone lo siguiente:</w:t>
      </w:r>
    </w:p>
    <w:p w14:paraId="12D528CF" w14:textId="77777777" w:rsidR="00D8463A" w:rsidRPr="00D8463A" w:rsidRDefault="00D8463A" w:rsidP="00D8463A">
      <w:pPr>
        <w:snapToGrid w:val="0"/>
        <w:spacing w:after="0" w:line="276" w:lineRule="auto"/>
        <w:ind w:left="720"/>
        <w:jc w:val="both"/>
        <w:rPr>
          <w:rFonts w:ascii="Verdana" w:eastAsia="Calibri" w:hAnsi="Verdana" w:cs="Arial"/>
          <w:kern w:val="2"/>
          <w14:ligatures w14:val="standardContextual"/>
        </w:rPr>
      </w:pPr>
    </w:p>
    <w:p w14:paraId="168B3750" w14:textId="77777777" w:rsidR="00D8463A" w:rsidRPr="00D8463A" w:rsidRDefault="00D8463A" w:rsidP="00D8463A">
      <w:pPr>
        <w:spacing w:after="120" w:line="240" w:lineRule="auto"/>
        <w:ind w:left="709" w:right="709"/>
        <w:jc w:val="both"/>
        <w:rPr>
          <w:rFonts w:ascii="Arial" w:eastAsia="Calibri" w:hAnsi="Arial" w:cs="Arial"/>
          <w:color w:val="000000"/>
          <w:sz w:val="21"/>
          <w:szCs w:val="21"/>
          <w:lang w:eastAsia="es-ES"/>
        </w:rPr>
      </w:pPr>
      <w:r w:rsidRPr="00D8463A">
        <w:rPr>
          <w:rFonts w:ascii="Arial" w:eastAsia="Calibri" w:hAnsi="Arial" w:cs="Arial"/>
          <w:color w:val="000000"/>
          <w:sz w:val="21"/>
          <w:szCs w:val="21"/>
          <w:highlight w:val="lightGray"/>
          <w:lang w:val="es-MX"/>
        </w:rPr>
        <w:t>“[</w:t>
      </w:r>
      <w:r w:rsidRPr="00D8463A">
        <w:rPr>
          <w:rFonts w:ascii="Arial" w:eastAsia="Times New Roman" w:hAnsi="Arial" w:cs="Arial"/>
          <w:color w:val="000000"/>
          <w:sz w:val="21"/>
          <w:szCs w:val="21"/>
          <w:highlight w:val="lightGray"/>
          <w:lang w:val="es-MX" w:eastAsia="es-ES"/>
        </w:rPr>
        <w:t xml:space="preserve">Cuando el objeto contractual incluya bienes o servicios ajenos a la obra pública de infraestructura de transporte y de manera excepcional se requiere incluir experiencia adicional para evaluar la idoneidad respecto de dichos bienes o servicios, la Entidad </w:t>
      </w:r>
      <w:r w:rsidRPr="00D8463A">
        <w:rPr>
          <w:rFonts w:ascii="Arial" w:eastAsia="Times New Roman" w:hAnsi="Arial" w:cs="Arial"/>
          <w:color w:val="000000"/>
          <w:sz w:val="21"/>
          <w:szCs w:val="21"/>
          <w:highlight w:val="lightGray"/>
          <w:lang w:eastAsia="es-ES"/>
        </w:rPr>
        <w:t xml:space="preserve">verificará si estos están incorporados en otros Documentos Tipo. En este caso, la Entidad observará las reglas de combinación de </w:t>
      </w:r>
      <w:r w:rsidRPr="00D8463A">
        <w:rPr>
          <w:rFonts w:ascii="Arial" w:eastAsia="Times New Roman" w:hAnsi="Arial" w:cs="Arial"/>
          <w:color w:val="000000"/>
          <w:sz w:val="21"/>
          <w:szCs w:val="21"/>
          <w:highlight w:val="lightGray"/>
          <w:lang w:eastAsia="es-ES"/>
        </w:rPr>
        <w:lastRenderedPageBreak/>
        <w:t>experiencia definidas en el literal A) de este numeral y, por tanto, la Entidad no podrá definir requisitos de experiencia distintos a los determinados por esta Agencia.</w:t>
      </w:r>
      <w:r w:rsidRPr="00D8463A">
        <w:rPr>
          <w:rFonts w:ascii="Arial" w:eastAsia="Times New Roman" w:hAnsi="Arial" w:cs="Arial"/>
          <w:color w:val="000000"/>
          <w:sz w:val="21"/>
          <w:szCs w:val="21"/>
          <w:highlight w:val="lightGray"/>
          <w:lang w:val="es-MX" w:eastAsia="es-ES"/>
        </w:rPr>
        <w:t xml:space="preserve"> En todo caso, si el objeto contractual contempla bienes o servicios ajenos que no están </w:t>
      </w:r>
      <w:r w:rsidRPr="00D8463A">
        <w:rPr>
          <w:rFonts w:ascii="Arial" w:eastAsia="Times New Roman" w:hAnsi="Arial" w:cs="Arial"/>
          <w:color w:val="000000"/>
          <w:sz w:val="21"/>
          <w:szCs w:val="21"/>
          <w:lang w:val="es-MX" w:eastAsia="es-ES"/>
        </w:rPr>
        <w:t>regulados en los Documentos Tipo, la Entidad Estatal aplicará los parámetros del artículo 4 de la Resolución 465 de 2024.</w:t>
      </w:r>
      <w:r w:rsidRPr="00D8463A">
        <w:rPr>
          <w:rFonts w:ascii="Arial" w:eastAsia="Times New Roman" w:hAnsi="Arial" w:cs="Arial"/>
          <w:color w:val="000000"/>
          <w:sz w:val="21"/>
          <w:szCs w:val="21"/>
          <w:lang w:eastAsia="es-ES"/>
        </w:rPr>
        <w:t xml:space="preserve"> </w:t>
      </w:r>
    </w:p>
    <w:p w14:paraId="75D5AEAF" w14:textId="77777777" w:rsidR="00D8463A" w:rsidRPr="00D8463A" w:rsidRDefault="00D8463A" w:rsidP="00D8463A">
      <w:pPr>
        <w:spacing w:after="120" w:line="240" w:lineRule="auto"/>
        <w:ind w:left="709" w:right="709"/>
        <w:jc w:val="both"/>
        <w:rPr>
          <w:rFonts w:ascii="Arial" w:eastAsia="Times New Roman" w:hAnsi="Arial" w:cs="Arial"/>
          <w:color w:val="000000"/>
          <w:sz w:val="21"/>
          <w:szCs w:val="21"/>
          <w:highlight w:val="lightGray"/>
          <w:lang w:val="es-MX" w:eastAsia="es-ES"/>
        </w:rPr>
      </w:pPr>
      <w:r w:rsidRPr="00D8463A">
        <w:rPr>
          <w:rFonts w:ascii="Arial" w:eastAsia="Times New Roman" w:hAnsi="Arial" w:cs="Arial"/>
          <w:color w:val="000000"/>
          <w:sz w:val="21"/>
          <w:szCs w:val="21"/>
          <w:highlight w:val="lightGray"/>
          <w:lang w:val="es-MX" w:eastAsia="es-ES"/>
        </w:rPr>
        <w:t>Conforme con esta disposición, la Entidad no puede requerir experiencia adicional que incluya volúmenes o cantidades de obra específica expresada en SMMLV.</w:t>
      </w:r>
    </w:p>
    <w:p w14:paraId="219B5960" w14:textId="77777777" w:rsidR="00D8463A" w:rsidRPr="00D8463A" w:rsidRDefault="00D8463A" w:rsidP="00D8463A">
      <w:pPr>
        <w:spacing w:after="120" w:line="240" w:lineRule="auto"/>
        <w:ind w:left="709" w:right="709"/>
        <w:jc w:val="both"/>
        <w:rPr>
          <w:rFonts w:ascii="Arial" w:eastAsia="Calibri" w:hAnsi="Arial" w:cs="Arial"/>
          <w:color w:val="000000"/>
          <w:sz w:val="21"/>
          <w:szCs w:val="21"/>
          <w:lang w:val="es-MX"/>
        </w:rPr>
      </w:pPr>
      <w:r w:rsidRPr="00D8463A">
        <w:rPr>
          <w:rFonts w:ascii="Arial" w:eastAsia="Times New Roman" w:hAnsi="Arial" w:cs="Arial"/>
          <w:color w:val="000000"/>
          <w:sz w:val="21"/>
          <w:szCs w:val="21"/>
          <w:highlight w:val="lightGray"/>
          <w:lang w:val="es-MX" w:eastAsia="es-ES"/>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5FC07DA2" w14:textId="77777777" w:rsidR="00D8463A" w:rsidRPr="00D8463A" w:rsidRDefault="00D8463A" w:rsidP="00D8463A">
      <w:pPr>
        <w:spacing w:after="120" w:line="240" w:lineRule="auto"/>
        <w:ind w:left="709" w:right="709"/>
        <w:jc w:val="both"/>
        <w:rPr>
          <w:rFonts w:ascii="Arial" w:eastAsia="Times New Roman" w:hAnsi="Arial" w:cs="Arial"/>
          <w:color w:val="000000"/>
          <w:sz w:val="21"/>
          <w:szCs w:val="21"/>
          <w:highlight w:val="lightGray"/>
          <w:lang w:val="es-MX" w:eastAsia="es-ES"/>
        </w:rPr>
      </w:pPr>
      <w:r w:rsidRPr="00D8463A">
        <w:rPr>
          <w:rFonts w:ascii="Arial" w:eastAsia="Times New Roman" w:hAnsi="Arial" w:cs="Arial"/>
          <w:color w:val="000000"/>
          <w:sz w:val="21"/>
          <w:szCs w:val="21"/>
          <w:highlight w:val="lightGray"/>
          <w:lang w:val="es-MX" w:eastAsia="es-ES"/>
        </w:rPr>
        <w:t xml:space="preserve">Nota: Lo anterior sin perjuicio de la obligación que tienen las entidades de cumplir con unos requisitos mínimos frente a las “obras ajenas a la infraestructura de transporte”, los cuales deben ser claramente consignados en los estudios previos, en caso que se considere su pertinencia y con fundamento en aspectos de conveniencia técnicos y económicos suficientes que determinen que la experiencia incluida en documentos tipo existentes es insuficiente de cara a la complejidad o grado de especialidad que comporta el objeto a contratar. </w:t>
      </w:r>
    </w:p>
    <w:p w14:paraId="76A08DCF" w14:textId="77777777" w:rsidR="00D8463A" w:rsidRPr="00D8463A" w:rsidRDefault="00D8463A" w:rsidP="00D8463A">
      <w:pPr>
        <w:spacing w:after="0" w:line="240" w:lineRule="auto"/>
        <w:ind w:left="709" w:right="709"/>
        <w:jc w:val="both"/>
        <w:rPr>
          <w:rFonts w:ascii="Arial" w:eastAsia="Times New Roman" w:hAnsi="Arial" w:cs="Arial"/>
          <w:color w:val="000000"/>
          <w:sz w:val="21"/>
          <w:szCs w:val="21"/>
          <w:highlight w:val="lightGray"/>
          <w:lang w:val="es-MX" w:eastAsia="es-ES"/>
        </w:rPr>
      </w:pPr>
      <w:r w:rsidRPr="00D8463A">
        <w:rPr>
          <w:rFonts w:ascii="Arial" w:eastAsia="Times New Roman" w:hAnsi="Arial" w:cs="Arial"/>
          <w:color w:val="000000"/>
          <w:sz w:val="21"/>
          <w:szCs w:val="21"/>
          <w:highlight w:val="lightGray"/>
          <w:lang w:val="es-MX" w:eastAsia="es-ES"/>
        </w:rPr>
        <w:t>La entidad debe demostrar que la experiencia adicional, “obra ajena a la infraestructura de Transporte”, no se encuentra incluida en las matrices de los sectores adoptados por la Agencia y adicionalmente, que esta experiencia requerida responde a las condiciones de mercado, específicamente a las características del proceso de selección a contratar, las cuales deberían estar consignadas en el respectivo estudio de mercado y con la consideración de usar los Documentos Tipo”.</w:t>
      </w:r>
    </w:p>
    <w:p w14:paraId="086D35DD" w14:textId="77777777" w:rsidR="00D8463A" w:rsidRPr="00D8463A" w:rsidRDefault="00D8463A" w:rsidP="00D8463A">
      <w:pPr>
        <w:snapToGrid w:val="0"/>
        <w:spacing w:after="0" w:line="276" w:lineRule="auto"/>
        <w:ind w:left="720"/>
        <w:jc w:val="both"/>
        <w:rPr>
          <w:rFonts w:ascii="Verdana" w:eastAsia="Calibri" w:hAnsi="Verdana" w:cs="Arial"/>
          <w:kern w:val="2"/>
          <w14:ligatures w14:val="standardContextual"/>
        </w:rPr>
      </w:pPr>
    </w:p>
    <w:p w14:paraId="60B815E8"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De esta manera, la regla general frente a la aplicación del documento base es 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 4 de la Resolución No. 465 de 2024. Por tanto, si el objeto contractual incluye obras, bienes o servicios ajenos a la obra pública de infraestructura de transporte, de allí solo se deriva que podrá incluirse la experiencia adicional que se considere conveniente, atendiendo a las reglas explicadas con anterioridad.</w:t>
      </w:r>
    </w:p>
    <w:p w14:paraId="112D4F15" w14:textId="77777777" w:rsidR="00D8463A" w:rsidRPr="00D8463A" w:rsidRDefault="00D8463A" w:rsidP="00D8463A">
      <w:pPr>
        <w:snapToGrid w:val="0"/>
        <w:spacing w:after="0" w:line="276" w:lineRule="auto"/>
        <w:ind w:left="720"/>
        <w:jc w:val="both"/>
        <w:rPr>
          <w:rFonts w:ascii="Verdana" w:eastAsia="Calibri" w:hAnsi="Verdana" w:cs="Arial"/>
          <w:kern w:val="2"/>
          <w14:ligatures w14:val="standardContextual"/>
        </w:rPr>
      </w:pPr>
    </w:p>
    <w:p w14:paraId="123F9E64"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Cuando se pretenda ejecutar una de las actividades establecidas en la “Matriz 1 – Experiencia” y adicionalmente se requiera contratar otro tipo </w:t>
      </w:r>
      <w:r w:rsidRPr="00D8463A">
        <w:rPr>
          <w:rFonts w:ascii="Verdana" w:eastAsia="Calibri" w:hAnsi="Verdana" w:cs="Arial"/>
          <w:kern w:val="2"/>
          <w14:ligatures w14:val="standardContextual"/>
        </w:rPr>
        <w:lastRenderedPageBreak/>
        <w:t>de obras, bienes y servicios adicionales a la obra pública de infraestructura de transporte, los documentos tipo adoptados mediante la Resolución 465 de 2024 son obligatorios.</w:t>
      </w:r>
    </w:p>
    <w:p w14:paraId="2DAC19ED"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3E6B6A65"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Por otra parte, es pertinente mencionar el numeral 3.5.2. del Documento Base o pliego tipo consagra las características que deben cumplir los contratos a través de los cuales se acredita la experiencia exigida conforme a los lineamientos antes descritos. </w:t>
      </w:r>
    </w:p>
    <w:p w14:paraId="39DD819A"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01C1D3C8"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Teniendo en cuenta lo anterior, la eventual exigencia de experiencia adicional, frente a obras, bienes y servicios adicionales a la obra de infraestructura de transporte, solo se podrá realizar conforme a los parámetros del artículo 4 de la Resolución No. 465 de 2024 -en relación con los documentos tipo de licitación- y artículo 4 de la Resolución No. 463 de 2024 -respecto de los documentos tipo de selección abreviada de menor cuantía-, de acuerdo con lo explicado. En todo caso, se reitera, tal requisito de experiencia establecido por la entidad solo podrá aplicarse para la experiencia respecto de las obras, bienes y servicios adicionales a la obra pública de infraestructura de transporte. </w:t>
      </w:r>
    </w:p>
    <w:p w14:paraId="03E6432D" w14:textId="77777777" w:rsidR="00D8463A" w:rsidRPr="00D8463A" w:rsidRDefault="00D8463A" w:rsidP="00D8463A">
      <w:pPr>
        <w:snapToGrid w:val="0"/>
        <w:spacing w:after="0" w:line="276" w:lineRule="auto"/>
        <w:jc w:val="both"/>
        <w:rPr>
          <w:rFonts w:ascii="Verdana" w:eastAsia="Calibri" w:hAnsi="Verdana" w:cs="Arial"/>
          <w:kern w:val="2"/>
          <w14:ligatures w14:val="standardContextual"/>
        </w:rPr>
      </w:pPr>
    </w:p>
    <w:p w14:paraId="33ABCC93"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0D3E8DA" w14:textId="77777777" w:rsidR="00D8463A" w:rsidRPr="00D8463A" w:rsidRDefault="00D8463A" w:rsidP="00D8463A">
      <w:pPr>
        <w:snapToGrid w:val="0"/>
        <w:spacing w:after="0" w:line="276" w:lineRule="auto"/>
        <w:ind w:left="720"/>
        <w:jc w:val="both"/>
        <w:rPr>
          <w:rFonts w:ascii="Verdana" w:eastAsia="Calibri" w:hAnsi="Verdana" w:cs="Arial"/>
          <w:kern w:val="2"/>
          <w14:ligatures w14:val="standardContextual"/>
        </w:rPr>
      </w:pPr>
    </w:p>
    <w:p w14:paraId="3C98CC66" w14:textId="77777777" w:rsidR="00D8463A" w:rsidRPr="00D8463A" w:rsidRDefault="00D8463A" w:rsidP="00D8463A">
      <w:pPr>
        <w:numPr>
          <w:ilvl w:val="0"/>
          <w:numId w:val="17"/>
        </w:numPr>
        <w:snapToGrid w:val="0"/>
        <w:spacing w:after="0" w:line="276" w:lineRule="auto"/>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sidRPr="00D8463A">
        <w:rPr>
          <w:rFonts w:ascii="Verdana" w:eastAsia="Calibri" w:hAnsi="Verdana" w:cs="Arial"/>
          <w:kern w:val="2"/>
          <w14:ligatures w14:val="standardContextual"/>
        </w:rPr>
        <w:lastRenderedPageBreak/>
        <w:t>Así, cada entidad definirá la forma de adelantar su gestión contractual, sin que sea atribución de Colombia Compra Eficiente validar sus actuaciones.</w:t>
      </w:r>
    </w:p>
    <w:bookmarkEnd w:id="2"/>
    <w:p w14:paraId="4CE63514" w14:textId="77777777" w:rsidR="00D8463A" w:rsidRPr="00D8463A" w:rsidRDefault="00D8463A" w:rsidP="00D8463A">
      <w:pPr>
        <w:spacing w:after="0" w:line="276" w:lineRule="auto"/>
        <w:jc w:val="both"/>
        <w:rPr>
          <w:rFonts w:ascii="Verdana" w:eastAsia="Calibri" w:hAnsi="Verdana" w:cs="Arial"/>
          <w:lang w:val="es-ES_tradnl"/>
        </w:rPr>
      </w:pPr>
    </w:p>
    <w:p w14:paraId="368F19CE" w14:textId="77777777" w:rsidR="00D8463A" w:rsidRPr="00D8463A" w:rsidRDefault="00D8463A" w:rsidP="00D8463A">
      <w:pPr>
        <w:numPr>
          <w:ilvl w:val="0"/>
          <w:numId w:val="19"/>
        </w:numPr>
        <w:tabs>
          <w:tab w:val="left" w:pos="142"/>
          <w:tab w:val="left" w:pos="284"/>
        </w:tabs>
        <w:spacing w:after="0" w:line="276" w:lineRule="auto"/>
        <w:ind w:left="357" w:hanging="357"/>
        <w:jc w:val="both"/>
        <w:rPr>
          <w:rFonts w:ascii="Verdana" w:eastAsia="Century Gothic" w:hAnsi="Verdana" w:cs="Century Gothic"/>
          <w:b/>
          <w:bCs/>
          <w:lang w:val="es-ES_tradnl"/>
        </w:rPr>
      </w:pPr>
      <w:r w:rsidRPr="00D8463A">
        <w:rPr>
          <w:rFonts w:ascii="Verdana" w:eastAsia="Century Gothic" w:hAnsi="Verdana" w:cs="Century Gothic"/>
          <w:b/>
          <w:bCs/>
          <w:lang w:val="es-ES_tradnl"/>
        </w:rPr>
        <w:t>Referencias normativas, jurisprudenciales y otras fuentes:</w:t>
      </w:r>
    </w:p>
    <w:p w14:paraId="2ADDD000" w14:textId="77777777" w:rsidR="00D8463A" w:rsidRPr="00D8463A" w:rsidRDefault="00D8463A" w:rsidP="00D8463A">
      <w:pPr>
        <w:spacing w:after="0"/>
        <w:ind w:left="-15840"/>
        <w:jc w:val="both"/>
        <w:rPr>
          <w:rFonts w:ascii="Verdana" w:eastAsia="Calibri" w:hAnsi="Verdana" w:cs="Arial"/>
          <w:b/>
          <w:bCs/>
        </w:rPr>
      </w:pPr>
      <w:r w:rsidRPr="00D8463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8463A" w:rsidRPr="00D8463A" w14:paraId="6CB96435" w14:textId="77777777" w:rsidTr="00014EA4">
        <w:trPr>
          <w:trHeight w:val="870"/>
        </w:trPr>
        <w:tc>
          <w:tcPr>
            <w:tcW w:w="8647" w:type="dxa"/>
            <w:tcBorders>
              <w:top w:val="dotted" w:sz="4" w:space="0" w:color="auto"/>
              <w:left w:val="dotted" w:sz="4" w:space="0" w:color="auto"/>
              <w:bottom w:val="dotted" w:sz="4" w:space="0" w:color="auto"/>
              <w:right w:val="dotted" w:sz="4" w:space="0" w:color="auto"/>
            </w:tcBorders>
          </w:tcPr>
          <w:p w14:paraId="1A815383" w14:textId="77777777" w:rsidR="00D8463A" w:rsidRPr="00D8463A" w:rsidRDefault="00D8463A" w:rsidP="00D8463A">
            <w:pPr>
              <w:ind w:left="720"/>
              <w:contextualSpacing/>
              <w:jc w:val="both"/>
              <w:rPr>
                <w:rFonts w:ascii="Verdana" w:eastAsia="Calibri" w:hAnsi="Verdana" w:cs="Arial"/>
                <w:bCs/>
              </w:rPr>
            </w:pPr>
          </w:p>
          <w:p w14:paraId="6E6D9550" w14:textId="77777777" w:rsidR="00D8463A" w:rsidRPr="00D8463A" w:rsidRDefault="00D8463A" w:rsidP="00D8463A">
            <w:pPr>
              <w:widowControl w:val="0"/>
              <w:numPr>
                <w:ilvl w:val="0"/>
                <w:numId w:val="18"/>
              </w:numPr>
              <w:autoSpaceDE w:val="0"/>
              <w:autoSpaceDN w:val="0"/>
              <w:spacing w:line="276" w:lineRule="auto"/>
              <w:ind w:left="714" w:hanging="357"/>
              <w:jc w:val="both"/>
              <w:rPr>
                <w:rFonts w:ascii="Verdana" w:eastAsia="Calibri" w:hAnsi="Verdana" w:cs="Arial"/>
                <w:lang w:val="es-ES_tradnl"/>
              </w:rPr>
            </w:pPr>
            <w:r w:rsidRPr="00D8463A">
              <w:rPr>
                <w:rFonts w:ascii="Verdana" w:eastAsia="Calibri" w:hAnsi="Verdana" w:cs="Arial"/>
                <w:lang w:val="es-ES_tradnl"/>
              </w:rPr>
              <w:t xml:space="preserve">Ley 2022 de 2020, artículo 1. </w:t>
            </w:r>
          </w:p>
          <w:p w14:paraId="7D061E43" w14:textId="77777777" w:rsidR="00D8463A" w:rsidRPr="00D8463A" w:rsidRDefault="00D8463A" w:rsidP="00D8463A">
            <w:pPr>
              <w:widowControl w:val="0"/>
              <w:numPr>
                <w:ilvl w:val="0"/>
                <w:numId w:val="18"/>
              </w:numPr>
              <w:autoSpaceDE w:val="0"/>
              <w:autoSpaceDN w:val="0"/>
              <w:spacing w:line="276" w:lineRule="auto"/>
              <w:jc w:val="both"/>
              <w:rPr>
                <w:rFonts w:ascii="Verdana" w:eastAsia="Calibri" w:hAnsi="Verdana" w:cs="Arial"/>
              </w:rPr>
            </w:pPr>
            <w:r w:rsidRPr="00D8463A">
              <w:rPr>
                <w:rFonts w:ascii="Verdana" w:eastAsia="Calibri" w:hAnsi="Verdana" w:cs="Arial"/>
              </w:rPr>
              <w:t>Ley 1150 de 2007, artículo 2.</w:t>
            </w:r>
          </w:p>
          <w:p w14:paraId="6EC3E873" w14:textId="77777777" w:rsidR="00D8463A" w:rsidRPr="00D8463A" w:rsidRDefault="00D8463A" w:rsidP="00D8463A">
            <w:pPr>
              <w:widowControl w:val="0"/>
              <w:numPr>
                <w:ilvl w:val="0"/>
                <w:numId w:val="18"/>
              </w:numPr>
              <w:autoSpaceDE w:val="0"/>
              <w:autoSpaceDN w:val="0"/>
              <w:spacing w:line="276" w:lineRule="auto"/>
              <w:contextualSpacing/>
              <w:jc w:val="both"/>
              <w:rPr>
                <w:rFonts w:ascii="Verdana" w:eastAsia="Aptos" w:hAnsi="Verdana" w:cs="Arial"/>
              </w:rPr>
            </w:pPr>
            <w:r w:rsidRPr="00D8463A">
              <w:rPr>
                <w:rFonts w:ascii="Verdana" w:eastAsia="Calibri" w:hAnsi="Verdana" w:cs="Arial"/>
                <w:lang w:val="es-ES_tradnl"/>
              </w:rPr>
              <w:t xml:space="preserve">Documentos Tipo. Disponibles en: </w:t>
            </w:r>
            <w:hyperlink r:id="rId11" w:history="1">
              <w:r w:rsidRPr="00D8463A">
                <w:rPr>
                  <w:rFonts w:ascii="Verdana" w:eastAsia="Calibri" w:hAnsi="Verdana" w:cs="Arial"/>
                  <w:color w:val="0000FF"/>
                  <w:u w:val="single"/>
                  <w:lang w:val="es-ES_tradnl"/>
                </w:rPr>
                <w:t>https://www.colombiacompra.gov.co/documentos-tipo/documentos-tipo</w:t>
              </w:r>
            </w:hyperlink>
            <w:r w:rsidRPr="00D8463A">
              <w:rPr>
                <w:rFonts w:ascii="Verdana" w:eastAsia="Calibri" w:hAnsi="Verdana" w:cs="Arial"/>
                <w:lang w:val="es-ES_tradnl"/>
              </w:rPr>
              <w:t>.</w:t>
            </w:r>
          </w:p>
        </w:tc>
      </w:tr>
    </w:tbl>
    <w:p w14:paraId="1F463CC4" w14:textId="77777777" w:rsidR="00D8463A" w:rsidRPr="00D8463A" w:rsidRDefault="00D8463A" w:rsidP="00D8463A">
      <w:pPr>
        <w:tabs>
          <w:tab w:val="left" w:pos="142"/>
          <w:tab w:val="left" w:pos="284"/>
        </w:tabs>
        <w:spacing w:after="0" w:line="276" w:lineRule="auto"/>
        <w:jc w:val="both"/>
        <w:rPr>
          <w:rFonts w:ascii="Verdana" w:eastAsia="Calibri" w:hAnsi="Verdana" w:cs="Arial"/>
        </w:rPr>
      </w:pPr>
    </w:p>
    <w:p w14:paraId="6495FA40" w14:textId="77777777" w:rsidR="00D8463A" w:rsidRPr="00D8463A" w:rsidRDefault="00D8463A" w:rsidP="00D8463A">
      <w:pPr>
        <w:tabs>
          <w:tab w:val="left" w:pos="142"/>
          <w:tab w:val="left" w:pos="284"/>
        </w:tabs>
        <w:spacing w:after="0" w:line="276" w:lineRule="auto"/>
        <w:jc w:val="both"/>
        <w:rPr>
          <w:rFonts w:ascii="Verdana" w:eastAsia="Century Gothic" w:hAnsi="Verdana" w:cs="Century Gothic"/>
          <w:b/>
          <w:bCs/>
          <w:lang w:val="es-ES"/>
        </w:rPr>
      </w:pPr>
      <w:r w:rsidRPr="00D8463A">
        <w:rPr>
          <w:rFonts w:ascii="Verdana" w:eastAsia="Calibri" w:hAnsi="Verdana" w:cs="Arial"/>
          <w:b/>
          <w:bCs/>
        </w:rPr>
        <w:t>5</w:t>
      </w:r>
      <w:r w:rsidRPr="00D8463A">
        <w:rPr>
          <w:rFonts w:ascii="Verdana" w:eastAsia="Calibri" w:hAnsi="Verdana" w:cs="Arial"/>
        </w:rPr>
        <w:t>.</w:t>
      </w:r>
      <w:r w:rsidRPr="00D8463A">
        <w:rPr>
          <w:rFonts w:ascii="Verdana" w:eastAsia="Century Gothic" w:hAnsi="Verdana" w:cs="Century Gothic"/>
          <w:b/>
          <w:bCs/>
          <w:lang w:val="es-ES"/>
        </w:rPr>
        <w:t>Doctrina de la Agencia Nacional de Contratación Pública:</w:t>
      </w:r>
    </w:p>
    <w:p w14:paraId="68AE5B4A" w14:textId="77777777" w:rsidR="00D8463A" w:rsidRPr="00D8463A" w:rsidRDefault="00D8463A" w:rsidP="00D8463A">
      <w:pPr>
        <w:tabs>
          <w:tab w:val="left" w:pos="142"/>
          <w:tab w:val="left" w:pos="284"/>
        </w:tabs>
        <w:spacing w:after="0" w:line="276" w:lineRule="auto"/>
        <w:jc w:val="both"/>
        <w:rPr>
          <w:rFonts w:ascii="Verdana" w:eastAsia="Century Gothic" w:hAnsi="Verdana" w:cs="Century Gothic"/>
          <w:b/>
          <w:bCs/>
          <w:lang w:val="es-ES"/>
        </w:rPr>
      </w:pPr>
    </w:p>
    <w:p w14:paraId="03F11142" w14:textId="77777777" w:rsidR="00D8463A" w:rsidRPr="00D8463A" w:rsidRDefault="00D8463A" w:rsidP="00D8463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D8463A">
        <w:rPr>
          <w:rFonts w:ascii="Verdana" w:eastAsia="Calibri" w:hAnsi="Verdana" w:cs="Arial"/>
          <w:kern w:val="2"/>
          <w:shd w:val="clear" w:color="auto" w:fill="FFFFFF"/>
          <w:lang w:val="es-ES_tradnl"/>
          <w14:ligatures w14:val="standardContextual"/>
        </w:rPr>
        <w:t>la Agencia Nacional de Contratación Pública – Colombia Compra Eficiente se</w:t>
      </w:r>
      <w:r w:rsidRPr="00D8463A">
        <w:rPr>
          <w:rFonts w:ascii="Verdana" w:eastAsia="Aptos" w:hAnsi="Verdana" w:cs="Times New Roman"/>
          <w:kern w:val="2"/>
          <w14:ligatures w14:val="standardContextual"/>
        </w:rPr>
        <w:t xml:space="preserve"> </w:t>
      </w:r>
      <w:r w:rsidRPr="00D8463A">
        <w:rPr>
          <w:rFonts w:ascii="Verdana" w:eastAsia="Calibri" w:hAnsi="Verdana" w:cs="Arial"/>
          <w:kern w:val="2"/>
          <w:shd w:val="clear" w:color="auto" w:fill="FFFFFF"/>
          <w:lang w:val="es-ES_tradnl"/>
          <w14:ligatures w14:val="standardContextual"/>
        </w:rPr>
        <w:t>pronunció</w:t>
      </w:r>
      <w:r w:rsidRPr="00D8463A">
        <w:rPr>
          <w:rFonts w:ascii="Verdana" w:eastAsia="Aptos" w:hAnsi="Verdana" w:cs="Times New Roman"/>
          <w:kern w:val="2"/>
          <w:lang w:val="es-ES_tradnl"/>
          <w14:ligatures w14:val="standardContextual"/>
        </w:rPr>
        <w:t xml:space="preserve"> </w:t>
      </w:r>
      <w:r w:rsidRPr="00D8463A">
        <w:rPr>
          <w:rFonts w:ascii="Verdana" w:eastAsia="Calibri" w:hAnsi="Verdana" w:cs="Arial"/>
          <w:kern w:val="2"/>
          <w:shd w:val="clear" w:color="auto" w:fill="FFFFFF"/>
          <w:lang w:val="es-ES"/>
          <w14:ligatures w14:val="standardContextual"/>
        </w:rPr>
        <w:t>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C-195 del 1 de agosto de 2024, C-790 del 12 de diciembre de 2024, C-971 del 21 de enero de 2025, C-064 del 27 de marzo de 2025, C-337 del 25 de abril de 2025 y C-567 del 6 de junio de 2025, entre otros</w:t>
      </w:r>
      <w:r w:rsidRPr="00D8463A">
        <w:rPr>
          <w:rFonts w:ascii="Verdana" w:eastAsia="Calibri" w:hAnsi="Verdana" w:cs="Arial"/>
          <w:kern w:val="2"/>
          <w:shd w:val="clear" w:color="auto" w:fill="FFFFFF"/>
          <w:lang w:val="es-ES_tradnl"/>
          <w14:ligatures w14:val="standardContextual"/>
        </w:rPr>
        <w:t xml:space="preserve">. </w:t>
      </w:r>
      <w:r w:rsidRPr="00D8463A">
        <w:rPr>
          <w:rFonts w:ascii="Verdana" w:eastAsia="Aptos" w:hAnsi="Verdana" w:cs="Times New Roman"/>
          <w:kern w:val="2"/>
          <w:lang w:val="es-ES_tradnl"/>
          <w14:ligatures w14:val="standardContextual"/>
        </w:rPr>
        <w:t xml:space="preserve"> </w:t>
      </w:r>
    </w:p>
    <w:p w14:paraId="522FCF9E" w14:textId="77777777" w:rsidR="00D8463A" w:rsidRPr="00D8463A" w:rsidRDefault="00D8463A" w:rsidP="00D8463A">
      <w:pPr>
        <w:widowControl w:val="0"/>
        <w:autoSpaceDE w:val="0"/>
        <w:autoSpaceDN w:val="0"/>
        <w:spacing w:after="0" w:line="276" w:lineRule="auto"/>
        <w:jc w:val="both"/>
        <w:rPr>
          <w:rFonts w:ascii="Verdana" w:eastAsia="Times New Roman" w:hAnsi="Verdana" w:cs="Arial"/>
          <w:shd w:val="clear" w:color="auto" w:fill="FFFFFF"/>
          <w:lang w:val="es-ES"/>
        </w:rPr>
      </w:pPr>
    </w:p>
    <w:p w14:paraId="0F3CB48C" w14:textId="77777777" w:rsidR="00D8463A" w:rsidRPr="00D8463A" w:rsidRDefault="00D8463A" w:rsidP="00D8463A">
      <w:pPr>
        <w:widowControl w:val="0"/>
        <w:autoSpaceDE w:val="0"/>
        <w:autoSpaceDN w:val="0"/>
        <w:spacing w:after="0" w:line="276" w:lineRule="auto"/>
        <w:jc w:val="both"/>
        <w:rPr>
          <w:rFonts w:ascii="Verdana" w:eastAsia="Times New Roman" w:hAnsi="Verdana" w:cs="Arial"/>
          <w:shd w:val="clear" w:color="auto" w:fill="FFFFFF"/>
          <w:lang w:val="es-ES"/>
        </w:rPr>
      </w:pPr>
      <w:r w:rsidRPr="00D8463A">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D8463A">
          <w:rPr>
            <w:rFonts w:ascii="Verdana" w:eastAsia="Aptos" w:hAnsi="Verdana" w:cs="Times New Roman"/>
            <w:color w:val="0000FF"/>
            <w:kern w:val="2"/>
            <w:u w:val="single"/>
            <w14:ligatures w14:val="standardContextual"/>
          </w:rPr>
          <w:t>https://relatoria.colombiacompra.gov.co/</w:t>
        </w:r>
      </w:hyperlink>
      <w:r w:rsidRPr="00D8463A">
        <w:rPr>
          <w:rFonts w:ascii="Verdana" w:eastAsia="Aptos" w:hAnsi="Verdana" w:cs="Times New Roman"/>
          <w:color w:val="0000FF"/>
          <w:kern w:val="2"/>
          <w:u w:val="single"/>
          <w14:ligatures w14:val="standardContextual"/>
        </w:rPr>
        <w:t> .</w:t>
      </w:r>
    </w:p>
    <w:p w14:paraId="26E711AA" w14:textId="77777777" w:rsidR="00D8463A" w:rsidRPr="00D8463A" w:rsidRDefault="00D8463A" w:rsidP="00D8463A">
      <w:pPr>
        <w:spacing w:after="0" w:line="240" w:lineRule="auto"/>
        <w:jc w:val="both"/>
        <w:rPr>
          <w:rFonts w:ascii="Verdana" w:eastAsia="Calibri" w:hAnsi="Verdana" w:cs="Arial"/>
          <w:color w:val="000000"/>
          <w:shd w:val="clear" w:color="auto" w:fill="FFFFFF"/>
        </w:rPr>
      </w:pPr>
    </w:p>
    <w:p w14:paraId="099D6015" w14:textId="77777777" w:rsidR="00D8463A" w:rsidRPr="00D8463A" w:rsidRDefault="00D8463A" w:rsidP="00D8463A">
      <w:pPr>
        <w:spacing w:after="0" w:line="240" w:lineRule="auto"/>
        <w:jc w:val="both"/>
        <w:rPr>
          <w:rFonts w:ascii="Verdana" w:eastAsia="Aptos" w:hAnsi="Verdana" w:cs="Times New Roman"/>
          <w:color w:val="0000FF"/>
          <w:kern w:val="2"/>
          <w:u w:val="single"/>
          <w14:ligatures w14:val="standardContextual"/>
        </w:rPr>
      </w:pPr>
      <w:r w:rsidRPr="00D8463A">
        <w:rPr>
          <w:rFonts w:ascii="Verdana" w:eastAsia="Calibri" w:hAnsi="Verdana" w:cs="Arial"/>
          <w:color w:val="000000"/>
          <w:kern w:val="2"/>
          <w:shd w:val="clear" w:color="auto" w:fill="FFFFFF"/>
          <w14:ligatures w14:val="standardContextual"/>
        </w:rPr>
        <w:t xml:space="preserve">La Agencia Nacional de Contratación Pública – Colombia Compra Eficiente invita a las Entidades Estatales, a los actores del Sistema de Compra Pública y a la ciudadanía en general a conocer y participar en la actualización de la Guía para la Elaboración de Estudios del Sector.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 </w:t>
      </w:r>
      <w:r w:rsidRPr="00D8463A">
        <w:rPr>
          <w:rFonts w:ascii="Verdana" w:eastAsia="Aptos" w:hAnsi="Verdana" w:cs="Times New Roman"/>
          <w:color w:val="0000FF"/>
          <w:kern w:val="2"/>
          <w:u w:val="single"/>
          <w14:ligatures w14:val="standardContextual"/>
        </w:rPr>
        <w:t>https://www.colombiacompra.gov.co/archivos/convocatoria/participacio n-ciudadana-proyecto-de-la-</w:t>
      </w:r>
      <w:proofErr w:type="spellStart"/>
      <w:r w:rsidRPr="00D8463A">
        <w:rPr>
          <w:rFonts w:ascii="Verdana" w:eastAsia="Aptos" w:hAnsi="Verdana" w:cs="Times New Roman"/>
          <w:color w:val="0000FF"/>
          <w:kern w:val="2"/>
          <w:u w:val="single"/>
          <w14:ligatures w14:val="standardContextual"/>
        </w:rPr>
        <w:t>guia</w:t>
      </w:r>
      <w:proofErr w:type="spellEnd"/>
      <w:r w:rsidRPr="00D8463A">
        <w:rPr>
          <w:rFonts w:ascii="Verdana" w:eastAsia="Aptos" w:hAnsi="Verdana" w:cs="Times New Roman"/>
          <w:color w:val="0000FF"/>
          <w:kern w:val="2"/>
          <w:u w:val="single"/>
          <w14:ligatures w14:val="standardContextual"/>
        </w:rPr>
        <w:t>-</w:t>
      </w:r>
      <w:proofErr w:type="spellStart"/>
      <w:r w:rsidRPr="00D8463A">
        <w:rPr>
          <w:rFonts w:ascii="Verdana" w:eastAsia="Aptos" w:hAnsi="Verdana" w:cs="Times New Roman"/>
          <w:color w:val="0000FF"/>
          <w:kern w:val="2"/>
          <w:u w:val="single"/>
          <w14:ligatures w14:val="standardContextual"/>
        </w:rPr>
        <w:t>para-la</w:t>
      </w:r>
      <w:proofErr w:type="spellEnd"/>
    </w:p>
    <w:p w14:paraId="757BB761" w14:textId="77777777" w:rsidR="00D8463A" w:rsidRPr="00D8463A" w:rsidRDefault="00D8463A" w:rsidP="00D8463A">
      <w:pPr>
        <w:spacing w:after="0" w:line="240" w:lineRule="auto"/>
        <w:jc w:val="both"/>
        <w:rPr>
          <w:rFonts w:ascii="Verdana" w:eastAsia="Calibri" w:hAnsi="Verdana" w:cs="Arial"/>
          <w:color w:val="000000"/>
          <w:kern w:val="2"/>
          <w:shd w:val="clear" w:color="auto" w:fill="FFFFFF"/>
          <w14:ligatures w14:val="standardContextual"/>
        </w:rPr>
      </w:pPr>
    </w:p>
    <w:p w14:paraId="2636F575" w14:textId="77777777" w:rsidR="00D8463A" w:rsidRPr="00D8463A" w:rsidRDefault="00D8463A" w:rsidP="00D8463A">
      <w:pPr>
        <w:spacing w:after="0" w:line="240" w:lineRule="auto"/>
        <w:jc w:val="both"/>
        <w:rPr>
          <w:rFonts w:ascii="Verdana" w:eastAsia="Calibri" w:hAnsi="Verdana" w:cs="Arial"/>
          <w:color w:val="000000"/>
          <w:kern w:val="2"/>
          <w:shd w:val="clear" w:color="auto" w:fill="FFFFFF"/>
          <w14:ligatures w14:val="standardContextual"/>
        </w:rPr>
      </w:pPr>
      <w:r w:rsidRPr="00D8463A">
        <w:rPr>
          <w:rFonts w:ascii="Verdana" w:eastAsia="Calibri" w:hAnsi="Verdana" w:cs="Arial"/>
          <w:color w:val="000000"/>
          <w:kern w:val="2"/>
          <w:shd w:val="clear" w:color="auto" w:fill="FFFFFF"/>
          <w14:ligatures w14:val="standardContextual"/>
        </w:rPr>
        <w:t xml:space="preserve">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r w:rsidRPr="00D8463A">
        <w:rPr>
          <w:rFonts w:ascii="Verdana" w:eastAsia="Aptos" w:hAnsi="Verdana" w:cs="Times New Roman"/>
          <w:color w:val="0000FF"/>
          <w:kern w:val="2"/>
          <w:u w:val="single"/>
          <w14:ligatures w14:val="standardContextual"/>
        </w:rPr>
        <w:t>Documentos Tipo – ANCP Colombia Compra Eficiente</w:t>
      </w:r>
      <w:r w:rsidRPr="00D8463A">
        <w:rPr>
          <w:rFonts w:ascii="Verdana" w:eastAsia="Calibri" w:hAnsi="Verdana" w:cs="Arial"/>
          <w:color w:val="000000"/>
          <w:kern w:val="2"/>
          <w:shd w:val="clear" w:color="auto" w:fill="FFFFFF"/>
          <w14:ligatures w14:val="standardContextual"/>
        </w:rPr>
        <w:t xml:space="preserve"> </w:t>
      </w:r>
    </w:p>
    <w:p w14:paraId="25734EAA" w14:textId="77777777" w:rsidR="00D8463A" w:rsidRPr="00D8463A" w:rsidRDefault="00D8463A" w:rsidP="00D8463A">
      <w:pPr>
        <w:spacing w:after="0" w:line="240" w:lineRule="auto"/>
        <w:jc w:val="both"/>
        <w:rPr>
          <w:rFonts w:ascii="Verdana" w:eastAsia="Calibri" w:hAnsi="Verdana" w:cs="Arial"/>
          <w:color w:val="000000"/>
          <w:kern w:val="2"/>
          <w:shd w:val="clear" w:color="auto" w:fill="FFFFFF"/>
          <w14:ligatures w14:val="standardContextual"/>
        </w:rPr>
      </w:pPr>
    </w:p>
    <w:p w14:paraId="539D9C55" w14:textId="77777777" w:rsidR="00D8463A" w:rsidRPr="00D8463A" w:rsidRDefault="00D8463A" w:rsidP="00D8463A">
      <w:pPr>
        <w:spacing w:after="0" w:line="240" w:lineRule="auto"/>
        <w:jc w:val="both"/>
        <w:rPr>
          <w:rFonts w:ascii="Verdana" w:eastAsia="Calibri" w:hAnsi="Verdana" w:cs="Arial"/>
          <w:color w:val="000000"/>
          <w:kern w:val="2"/>
          <w:shd w:val="clear" w:color="auto" w:fill="FFFFFF"/>
          <w14:ligatures w14:val="standardContextual"/>
        </w:rPr>
      </w:pPr>
      <w:r w:rsidRPr="00D8463A">
        <w:rPr>
          <w:rFonts w:ascii="Verdana" w:eastAsia="Calibri" w:hAnsi="Verdana" w:cs="Arial"/>
          <w:color w:val="000000"/>
          <w:kern w:val="2"/>
          <w:shd w:val="clear" w:color="auto" w:fill="FFFFFF"/>
          <w14:ligatures w14:val="standardContextual"/>
        </w:rPr>
        <w:t xml:space="preserve">También le contamos que ya se encuentra disponible la Guía de lineamientos de transparencia y selección objetiva para el departamento de La Guajira – Objetivo sexto constitucional de la Sentencia T-302 del 2017. 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8463A">
        <w:rPr>
          <w:rFonts w:ascii="Verdana" w:eastAsia="Calibri" w:hAnsi="Verdana" w:cs="Arial"/>
          <w:color w:val="000000"/>
          <w:kern w:val="2"/>
          <w:shd w:val="clear" w:color="auto" w:fill="FFFFFF"/>
          <w14:ligatures w14:val="standardContextual"/>
        </w:rPr>
        <w:t>Wayúu</w:t>
      </w:r>
      <w:proofErr w:type="spellEnd"/>
      <w:r w:rsidRPr="00D8463A">
        <w:rPr>
          <w:rFonts w:ascii="Verdana" w:eastAsia="Calibri" w:hAnsi="Verdana" w:cs="Arial"/>
          <w:color w:val="000000"/>
          <w:kern w:val="2"/>
          <w:shd w:val="clear" w:color="auto" w:fill="FFFFFF"/>
          <w14:ligatures w14:val="standardContextual"/>
        </w:rPr>
        <w:t xml:space="preserve">. Puede consultar la guía en el siguiente enlace: </w:t>
      </w:r>
      <w:hyperlink r:id="rId13" w:history="1">
        <w:r w:rsidRPr="00D8463A">
          <w:rPr>
            <w:rFonts w:ascii="Verdana" w:eastAsia="Calibri" w:hAnsi="Verdana" w:cs="Arial"/>
            <w:color w:val="0000FF"/>
            <w:kern w:val="2"/>
            <w:u w:val="single"/>
            <w:shd w:val="clear" w:color="auto" w:fill="FFFFFF"/>
            <w14:ligatures w14:val="standardContextual"/>
          </w:rPr>
          <w:t>https://www.colombiacompra.gov.co/wp-content/uploads/2025/05/GUIA-DE-LINEAMIENTOS-DE-TRANSPARENCIA-Y-SELECCION-OBJETIVA-1.0.pdf</w:t>
        </w:r>
      </w:hyperlink>
    </w:p>
    <w:p w14:paraId="60835B25" w14:textId="77777777" w:rsidR="00D8463A" w:rsidRPr="00D8463A" w:rsidRDefault="00D8463A" w:rsidP="00D8463A">
      <w:pPr>
        <w:spacing w:after="0"/>
        <w:jc w:val="both"/>
        <w:rPr>
          <w:rFonts w:ascii="Verdana" w:eastAsia="Aptos" w:hAnsi="Verdana" w:cs="Times New Roman"/>
          <w:color w:val="212121"/>
        </w:rPr>
      </w:pPr>
    </w:p>
    <w:p w14:paraId="2A4C745B" w14:textId="77777777" w:rsidR="00D8463A" w:rsidRPr="00D8463A" w:rsidRDefault="00D8463A" w:rsidP="00D8463A">
      <w:pPr>
        <w:spacing w:after="0" w:line="240" w:lineRule="auto"/>
        <w:jc w:val="both"/>
        <w:rPr>
          <w:rFonts w:ascii="Verdana" w:eastAsia="Calibri" w:hAnsi="Verdana" w:cs="Times New Roman"/>
        </w:rPr>
      </w:pPr>
      <w:r w:rsidRPr="00D8463A">
        <w:rPr>
          <w:rFonts w:ascii="Verdana" w:eastAsia="Aptos" w:hAnsi="Verdana" w:cs="Times New Roman"/>
        </w:rPr>
        <w:t xml:space="preserve">Por último, lo invitamos a seguirnos en las redes sociales en las cuales se difunde información institucional: </w:t>
      </w:r>
    </w:p>
    <w:p w14:paraId="52189FB3" w14:textId="77777777" w:rsidR="00D8463A" w:rsidRPr="00D8463A" w:rsidRDefault="00D8463A" w:rsidP="00D8463A">
      <w:pPr>
        <w:spacing w:after="0" w:line="240" w:lineRule="auto"/>
        <w:jc w:val="both"/>
        <w:rPr>
          <w:rFonts w:ascii="Verdana" w:eastAsia="Aptos" w:hAnsi="Verdana" w:cs="Times New Roman"/>
        </w:rPr>
      </w:pPr>
    </w:p>
    <w:p w14:paraId="15B36B4C" w14:textId="77777777" w:rsidR="00D8463A" w:rsidRPr="00D8463A" w:rsidRDefault="00D8463A" w:rsidP="00D8463A">
      <w:pPr>
        <w:spacing w:after="0" w:line="240" w:lineRule="auto"/>
        <w:jc w:val="both"/>
        <w:rPr>
          <w:rFonts w:ascii="Verdana" w:eastAsia="Aptos" w:hAnsi="Verdana" w:cs="Times New Roman"/>
        </w:rPr>
      </w:pPr>
      <w:r w:rsidRPr="00D8463A">
        <w:rPr>
          <w:rFonts w:ascii="Verdana" w:eastAsia="Aptos" w:hAnsi="Verdana" w:cs="Times New Roman"/>
        </w:rPr>
        <w:t xml:space="preserve">Twitter: </w:t>
      </w:r>
      <w:r w:rsidRPr="00D8463A">
        <w:rPr>
          <w:rFonts w:ascii="Verdana" w:eastAsia="Calibri" w:hAnsi="Verdana" w:cs="Times New Roman"/>
          <w:color w:val="156082"/>
          <w:u w:val="single"/>
        </w:rPr>
        <w:t>@colombiacompra</w:t>
      </w:r>
      <w:r w:rsidRPr="00D8463A">
        <w:rPr>
          <w:rFonts w:ascii="Verdana" w:eastAsia="Calibri" w:hAnsi="Verdana" w:cs="Times New Roman"/>
          <w:color w:val="156082"/>
        </w:rPr>
        <w:t xml:space="preserve"> </w:t>
      </w:r>
    </w:p>
    <w:p w14:paraId="1F281136" w14:textId="77777777" w:rsidR="00D8463A" w:rsidRPr="00D8463A" w:rsidRDefault="00D8463A" w:rsidP="00D8463A">
      <w:pPr>
        <w:spacing w:after="0" w:line="240" w:lineRule="auto"/>
        <w:jc w:val="both"/>
        <w:rPr>
          <w:rFonts w:ascii="Verdana" w:eastAsia="Aptos" w:hAnsi="Verdana" w:cs="Times New Roman"/>
        </w:rPr>
      </w:pPr>
      <w:r w:rsidRPr="00D8463A">
        <w:rPr>
          <w:rFonts w:ascii="Verdana" w:eastAsia="Aptos" w:hAnsi="Verdana" w:cs="Times New Roman"/>
        </w:rPr>
        <w:lastRenderedPageBreak/>
        <w:t xml:space="preserve">Facebook: </w:t>
      </w:r>
      <w:proofErr w:type="spellStart"/>
      <w:r w:rsidRPr="00D8463A">
        <w:rPr>
          <w:rFonts w:ascii="Verdana" w:eastAsia="Calibri" w:hAnsi="Verdana" w:cs="Times New Roman"/>
          <w:color w:val="156082"/>
          <w:u w:val="single"/>
        </w:rPr>
        <w:t>ColombiaCompraEficiente</w:t>
      </w:r>
      <w:proofErr w:type="spellEnd"/>
    </w:p>
    <w:p w14:paraId="5F290CD9" w14:textId="77777777" w:rsidR="00D8463A" w:rsidRPr="00D8463A" w:rsidRDefault="00D8463A" w:rsidP="00D8463A">
      <w:pPr>
        <w:spacing w:after="0" w:line="240" w:lineRule="auto"/>
        <w:jc w:val="both"/>
        <w:rPr>
          <w:rFonts w:ascii="Verdana" w:eastAsia="Aptos" w:hAnsi="Verdana" w:cs="Times New Roman"/>
        </w:rPr>
      </w:pPr>
      <w:r w:rsidRPr="00D8463A">
        <w:rPr>
          <w:rFonts w:ascii="Verdana" w:eastAsia="Aptos" w:hAnsi="Verdana" w:cs="Times New Roman"/>
        </w:rPr>
        <w:t xml:space="preserve">LinkedIn: </w:t>
      </w:r>
      <w:r w:rsidRPr="00D8463A">
        <w:rPr>
          <w:rFonts w:ascii="Verdana" w:eastAsia="Calibri" w:hAnsi="Verdana" w:cs="Times New Roman"/>
          <w:color w:val="156082"/>
          <w:u w:val="single"/>
        </w:rPr>
        <w:t>Agencia Nacional de Contratación Pública - Colombia Compra Eficiente</w:t>
      </w:r>
      <w:r w:rsidRPr="00D8463A">
        <w:rPr>
          <w:rFonts w:ascii="Verdana" w:eastAsia="Calibri" w:hAnsi="Verdana" w:cs="Times New Roman"/>
          <w:color w:val="156082"/>
        </w:rPr>
        <w:t xml:space="preserve"> </w:t>
      </w:r>
      <w:r w:rsidRPr="00D8463A">
        <w:rPr>
          <w:rFonts w:ascii="Verdana" w:eastAsia="Aptos" w:hAnsi="Verdana" w:cs="Times New Roman"/>
        </w:rPr>
        <w:t xml:space="preserve">Instagram: </w:t>
      </w:r>
      <w:r w:rsidRPr="00D8463A">
        <w:rPr>
          <w:rFonts w:ascii="Verdana" w:eastAsia="Calibri" w:hAnsi="Verdana" w:cs="Times New Roman"/>
          <w:color w:val="156082"/>
          <w:u w:val="single"/>
        </w:rPr>
        <w:t>@colombiacompraeficiente_cce</w:t>
      </w:r>
    </w:p>
    <w:p w14:paraId="44DEBE91" w14:textId="77777777" w:rsidR="00D8463A" w:rsidRPr="00D8463A" w:rsidRDefault="00D8463A" w:rsidP="00D8463A">
      <w:pPr>
        <w:widowControl w:val="0"/>
        <w:autoSpaceDE w:val="0"/>
        <w:autoSpaceDN w:val="0"/>
        <w:spacing w:after="0" w:line="276" w:lineRule="auto"/>
        <w:jc w:val="both"/>
        <w:rPr>
          <w:rFonts w:ascii="Verdana" w:eastAsia="Aptos" w:hAnsi="Verdana" w:cs="Times New Roman"/>
        </w:rPr>
      </w:pPr>
    </w:p>
    <w:p w14:paraId="3041A36F" w14:textId="77777777" w:rsidR="00D8463A" w:rsidRPr="00D8463A" w:rsidRDefault="00D8463A" w:rsidP="00D8463A">
      <w:pPr>
        <w:widowControl w:val="0"/>
        <w:autoSpaceDE w:val="0"/>
        <w:autoSpaceDN w:val="0"/>
        <w:spacing w:after="0" w:line="276" w:lineRule="auto"/>
        <w:jc w:val="both"/>
        <w:rPr>
          <w:rFonts w:ascii="Verdana" w:eastAsia="Calibri" w:hAnsi="Verdana" w:cs="Arial"/>
          <w:lang w:val="es-ES_tradnl"/>
        </w:rPr>
      </w:pPr>
      <w:r w:rsidRPr="00D8463A">
        <w:rPr>
          <w:rFonts w:ascii="Verdana" w:eastAsia="Calibri" w:hAnsi="Verdana" w:cs="Arial"/>
        </w:rPr>
        <w:t>Este concepto tiene el alcance previsto en el artículo 28 del Código de Procedimiento Administrativo y de lo Contencioso Administrativo.</w:t>
      </w:r>
    </w:p>
    <w:p w14:paraId="61279C3C" w14:textId="77777777" w:rsidR="00D8463A" w:rsidRPr="00D8463A" w:rsidRDefault="00D8463A" w:rsidP="00D8463A">
      <w:pPr>
        <w:widowControl w:val="0"/>
        <w:autoSpaceDE w:val="0"/>
        <w:autoSpaceDN w:val="0"/>
        <w:spacing w:after="0" w:line="276" w:lineRule="auto"/>
        <w:jc w:val="both"/>
        <w:rPr>
          <w:rFonts w:ascii="Verdana" w:eastAsia="Calibri" w:hAnsi="Verdana" w:cs="Arial"/>
        </w:rPr>
      </w:pPr>
    </w:p>
    <w:p w14:paraId="47A18B81" w14:textId="77777777" w:rsidR="00D8463A" w:rsidRPr="00D8463A" w:rsidRDefault="00D8463A" w:rsidP="00D8463A">
      <w:pPr>
        <w:spacing w:after="0" w:line="240" w:lineRule="auto"/>
        <w:rPr>
          <w:rFonts w:ascii="Verdana" w:eastAsia="Calibri" w:hAnsi="Verdana" w:cs="Arial"/>
          <w:lang w:eastAsia="es-CO"/>
        </w:rPr>
      </w:pPr>
      <w:r w:rsidRPr="00D8463A">
        <w:rPr>
          <w:rFonts w:ascii="Verdana" w:eastAsia="Times New Roman" w:hAnsi="Verdana" w:cs="Arial"/>
          <w:lang w:eastAsia="es-CO"/>
        </w:rPr>
        <w:t>Atentamente,</w:t>
      </w:r>
      <w:r w:rsidRPr="00D8463A">
        <w:rPr>
          <w:rFonts w:ascii="Verdana" w:eastAsia="Calibri" w:hAnsi="Verdana" w:cs="Arial"/>
          <w:lang w:eastAsia="es-CO"/>
        </w:rPr>
        <w:t xml:space="preserve"> </w:t>
      </w:r>
    </w:p>
    <w:p w14:paraId="1B71A84F" w14:textId="78C647CF" w:rsidR="00D8463A" w:rsidRPr="00D8463A" w:rsidRDefault="00310371" w:rsidP="00D8463A">
      <w:pPr>
        <w:tabs>
          <w:tab w:val="left" w:pos="1320"/>
        </w:tabs>
        <w:rPr>
          <w:rFonts w:ascii="Verdana" w:eastAsia="Aptos" w:hAnsi="Verdana" w:cs="Times New Roman"/>
        </w:rPr>
      </w:pPr>
      <w:r>
        <w:rPr>
          <w:noProof/>
        </w:rPr>
        <w:drawing>
          <wp:anchor distT="0" distB="0" distL="114300" distR="114300" simplePos="0" relativeHeight="251658240" behindDoc="0" locked="0" layoutInCell="1" allowOverlap="1" wp14:anchorId="759C4C22" wp14:editId="69BDD7F8">
            <wp:simplePos x="0" y="0"/>
            <wp:positionH relativeFrom="margin">
              <wp:align>center</wp:align>
            </wp:positionH>
            <wp:positionV relativeFrom="paragraph">
              <wp:posOffset>152483</wp:posOffset>
            </wp:positionV>
            <wp:extent cx="3771429" cy="1400000"/>
            <wp:effectExtent l="0" t="0" r="635" b="0"/>
            <wp:wrapSquare wrapText="bothSides"/>
            <wp:docPr id="149794285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42853" name="Imagen 1" descr="Texto&#10;&#10;El contenido generado por IA puede ser incorrecto."/>
                    <pic:cNvPicPr/>
                  </pic:nvPicPr>
                  <pic:blipFill>
                    <a:blip r:embed="rId14">
                      <a:extLst>
                        <a:ext uri="{28A0092B-C50C-407E-A947-70E740481C1C}">
                          <a14:useLocalDpi xmlns:a14="http://schemas.microsoft.com/office/drawing/2010/main" val="0"/>
                        </a:ext>
                      </a:extLst>
                    </a:blip>
                    <a:stretch>
                      <a:fillRect/>
                    </a:stretch>
                  </pic:blipFill>
                  <pic:spPr>
                    <a:xfrm>
                      <a:off x="0" y="0"/>
                      <a:ext cx="3771429" cy="1400000"/>
                    </a:xfrm>
                    <a:prstGeom prst="rect">
                      <a:avLst/>
                    </a:prstGeom>
                  </pic:spPr>
                </pic:pic>
              </a:graphicData>
            </a:graphic>
          </wp:anchor>
        </w:drawing>
      </w:r>
    </w:p>
    <w:p w14:paraId="7252AD5F" w14:textId="01A6D858" w:rsidR="00D8463A" w:rsidRPr="00D8463A" w:rsidRDefault="00D8463A" w:rsidP="00D8463A">
      <w:pPr>
        <w:tabs>
          <w:tab w:val="left" w:pos="1320"/>
        </w:tabs>
        <w:jc w:val="center"/>
        <w:rPr>
          <w:rFonts w:ascii="Verdana" w:eastAsia="Aptos"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8463A" w:rsidRPr="00D8463A" w14:paraId="4B0983E8" w14:textId="77777777" w:rsidTr="00014EA4">
        <w:trPr>
          <w:trHeight w:val="315"/>
        </w:trPr>
        <w:tc>
          <w:tcPr>
            <w:tcW w:w="893" w:type="dxa"/>
            <w:vAlign w:val="center"/>
            <w:hideMark/>
          </w:tcPr>
          <w:p w14:paraId="68D20B12" w14:textId="77777777" w:rsidR="00D8463A" w:rsidRPr="00D8463A" w:rsidRDefault="00D8463A" w:rsidP="00D8463A">
            <w:pPr>
              <w:rPr>
                <w:rFonts w:ascii="Verdana" w:eastAsia="Calibri" w:hAnsi="Verdana" w:cs="Arial"/>
                <w:sz w:val="16"/>
                <w:szCs w:val="16"/>
                <w:lang w:val="es-ES_tradnl" w:eastAsia="es-ES"/>
              </w:rPr>
            </w:pPr>
            <w:r w:rsidRPr="00D8463A">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5CFFB197" w14:textId="77777777" w:rsidR="00D8463A" w:rsidRPr="00D8463A" w:rsidRDefault="00D8463A" w:rsidP="00D8463A">
            <w:pPr>
              <w:rPr>
                <w:rFonts w:ascii="Verdana" w:eastAsia="Arial" w:hAnsi="Verdana" w:cs="Arial"/>
                <w:sz w:val="16"/>
                <w:szCs w:val="16"/>
                <w:lang w:val="es-ES"/>
              </w:rPr>
            </w:pPr>
            <w:r w:rsidRPr="00D8463A">
              <w:rPr>
                <w:rFonts w:ascii="Verdana" w:eastAsia="Arial" w:hAnsi="Verdana" w:cs="Arial"/>
                <w:sz w:val="16"/>
                <w:szCs w:val="16"/>
                <w:lang w:val="es-ES"/>
              </w:rPr>
              <w:t xml:space="preserve">Carlos Mario </w:t>
            </w:r>
            <w:proofErr w:type="spellStart"/>
            <w:r w:rsidRPr="00D8463A">
              <w:rPr>
                <w:rFonts w:ascii="Verdana" w:eastAsia="Arial" w:hAnsi="Verdana" w:cs="Arial"/>
                <w:sz w:val="16"/>
                <w:szCs w:val="16"/>
                <w:lang w:val="es-ES"/>
              </w:rPr>
              <w:t>Castrillon</w:t>
            </w:r>
            <w:proofErr w:type="spellEnd"/>
            <w:r w:rsidRPr="00D8463A">
              <w:rPr>
                <w:rFonts w:ascii="Verdana" w:eastAsia="Arial" w:hAnsi="Verdana" w:cs="Arial"/>
                <w:sz w:val="16"/>
                <w:szCs w:val="16"/>
                <w:lang w:val="es-ES"/>
              </w:rPr>
              <w:t xml:space="preserve"> Endo </w:t>
            </w:r>
          </w:p>
          <w:p w14:paraId="584CD7F4" w14:textId="77777777" w:rsidR="00D8463A" w:rsidRPr="00D8463A" w:rsidRDefault="00D8463A" w:rsidP="00D8463A">
            <w:pPr>
              <w:rPr>
                <w:rFonts w:ascii="Verdana" w:eastAsia="Arial" w:hAnsi="Verdana" w:cs="Arial"/>
                <w:sz w:val="16"/>
                <w:szCs w:val="16"/>
                <w:lang w:val="es-ES_tradnl"/>
              </w:rPr>
            </w:pPr>
            <w:r w:rsidRPr="00D8463A">
              <w:rPr>
                <w:rFonts w:ascii="Verdana" w:eastAsia="Arial" w:hAnsi="Verdana" w:cs="Arial"/>
                <w:sz w:val="16"/>
                <w:szCs w:val="16"/>
                <w:lang w:val="es-ES_tradnl"/>
              </w:rPr>
              <w:t>Contratista de la Subdirección de Gestión Contractual</w:t>
            </w:r>
          </w:p>
          <w:p w14:paraId="17058D46" w14:textId="77777777" w:rsidR="00D8463A" w:rsidRPr="00D8463A" w:rsidRDefault="00D8463A" w:rsidP="00D8463A">
            <w:pPr>
              <w:rPr>
                <w:rFonts w:ascii="Verdana" w:eastAsia="Arial" w:hAnsi="Verdana" w:cs="Arial"/>
                <w:sz w:val="16"/>
                <w:szCs w:val="16"/>
                <w:lang w:val="es-ES_tradnl"/>
              </w:rPr>
            </w:pPr>
          </w:p>
        </w:tc>
      </w:tr>
      <w:tr w:rsidR="00D8463A" w:rsidRPr="00D8463A" w14:paraId="43A3D9C1" w14:textId="77777777" w:rsidTr="00014EA4">
        <w:trPr>
          <w:trHeight w:val="330"/>
        </w:trPr>
        <w:tc>
          <w:tcPr>
            <w:tcW w:w="893" w:type="dxa"/>
            <w:vAlign w:val="center"/>
            <w:hideMark/>
          </w:tcPr>
          <w:p w14:paraId="47162E14" w14:textId="77777777" w:rsidR="00D8463A" w:rsidRPr="00D8463A" w:rsidRDefault="00D8463A" w:rsidP="00D8463A">
            <w:pPr>
              <w:rPr>
                <w:rFonts w:ascii="Verdana" w:eastAsia="Calibri" w:hAnsi="Verdana" w:cs="Arial"/>
                <w:sz w:val="16"/>
                <w:szCs w:val="16"/>
                <w:lang w:val="es-ES_tradnl" w:eastAsia="es-ES"/>
              </w:rPr>
            </w:pPr>
            <w:r w:rsidRPr="00D8463A">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38F28417" w14:textId="77777777" w:rsidR="00D8463A" w:rsidRPr="00D8463A" w:rsidRDefault="00D8463A" w:rsidP="00D8463A">
            <w:pPr>
              <w:contextualSpacing/>
              <w:textAlignment w:val="baseline"/>
              <w:rPr>
                <w:rFonts w:ascii="Verdana" w:eastAsia="Arial" w:hAnsi="Verdana" w:cs="Arial"/>
                <w:sz w:val="16"/>
                <w:szCs w:val="16"/>
              </w:rPr>
            </w:pPr>
            <w:r w:rsidRPr="00D8463A">
              <w:rPr>
                <w:rFonts w:ascii="Verdana" w:eastAsia="Arial" w:hAnsi="Verdana" w:cs="Arial"/>
                <w:sz w:val="16"/>
                <w:szCs w:val="16"/>
              </w:rPr>
              <w:t xml:space="preserve">Lida Milena </w:t>
            </w:r>
            <w:proofErr w:type="spellStart"/>
            <w:r w:rsidRPr="00D8463A">
              <w:rPr>
                <w:rFonts w:ascii="Verdana" w:eastAsia="Arial" w:hAnsi="Verdana" w:cs="Arial"/>
                <w:sz w:val="16"/>
                <w:szCs w:val="16"/>
              </w:rPr>
              <w:t>Guanumen</w:t>
            </w:r>
            <w:proofErr w:type="spellEnd"/>
            <w:r w:rsidRPr="00D8463A">
              <w:rPr>
                <w:rFonts w:ascii="Verdana" w:eastAsia="Arial" w:hAnsi="Verdana" w:cs="Arial"/>
                <w:sz w:val="16"/>
                <w:szCs w:val="16"/>
              </w:rPr>
              <w:t xml:space="preserve"> </w:t>
            </w:r>
            <w:proofErr w:type="spellStart"/>
            <w:r w:rsidRPr="00D8463A">
              <w:rPr>
                <w:rFonts w:ascii="Verdana" w:eastAsia="Arial" w:hAnsi="Verdana" w:cs="Arial"/>
                <w:sz w:val="16"/>
                <w:szCs w:val="16"/>
              </w:rPr>
              <w:t>Pachecho</w:t>
            </w:r>
            <w:proofErr w:type="spellEnd"/>
            <w:r w:rsidRPr="00D8463A">
              <w:rPr>
                <w:rFonts w:ascii="Verdana" w:eastAsia="Arial" w:hAnsi="Verdana" w:cs="Arial"/>
                <w:sz w:val="16"/>
                <w:szCs w:val="16"/>
              </w:rPr>
              <w:t xml:space="preserve"> </w:t>
            </w:r>
          </w:p>
          <w:p w14:paraId="4AC2437E" w14:textId="77777777" w:rsidR="00D8463A" w:rsidRPr="00D8463A" w:rsidRDefault="00D8463A" w:rsidP="00D8463A">
            <w:pPr>
              <w:contextualSpacing/>
              <w:textAlignment w:val="baseline"/>
              <w:rPr>
                <w:rFonts w:ascii="Verdana" w:eastAsia="Arial" w:hAnsi="Verdana" w:cs="Arial"/>
                <w:sz w:val="16"/>
                <w:szCs w:val="16"/>
              </w:rPr>
            </w:pPr>
            <w:r w:rsidRPr="00D8463A">
              <w:rPr>
                <w:rFonts w:ascii="Verdana" w:eastAsia="Arial" w:hAnsi="Verdana" w:cs="Arial"/>
                <w:sz w:val="16"/>
                <w:szCs w:val="16"/>
              </w:rPr>
              <w:t>Contratista de la Subdirección de Gestión Contractual</w:t>
            </w:r>
          </w:p>
          <w:p w14:paraId="19A40A26" w14:textId="77777777" w:rsidR="00D8463A" w:rsidRPr="00D8463A" w:rsidRDefault="00D8463A" w:rsidP="00D8463A">
            <w:pPr>
              <w:contextualSpacing/>
              <w:textAlignment w:val="baseline"/>
              <w:rPr>
                <w:rFonts w:ascii="Verdana" w:eastAsia="Times New Roman" w:hAnsi="Verdana" w:cs="Segoe UI"/>
                <w:sz w:val="16"/>
                <w:szCs w:val="16"/>
                <w:lang w:eastAsia="es-ES_tradnl"/>
              </w:rPr>
            </w:pPr>
            <w:r w:rsidRPr="00D8463A">
              <w:rPr>
                <w:rFonts w:ascii="Verdana" w:eastAsia="Times New Roman" w:hAnsi="Verdana" w:cs="Segoe UI"/>
                <w:sz w:val="16"/>
                <w:szCs w:val="16"/>
                <w:lang w:eastAsia="es-ES_tradnl"/>
              </w:rPr>
              <w:t xml:space="preserve">Adriana </w:t>
            </w:r>
            <w:proofErr w:type="spellStart"/>
            <w:r w:rsidRPr="00D8463A">
              <w:rPr>
                <w:rFonts w:ascii="Verdana" w:eastAsia="Times New Roman" w:hAnsi="Verdana" w:cs="Segoe UI"/>
                <w:sz w:val="16"/>
                <w:szCs w:val="16"/>
                <w:lang w:eastAsia="es-ES_tradnl"/>
              </w:rPr>
              <w:t>Katerine</w:t>
            </w:r>
            <w:proofErr w:type="spellEnd"/>
            <w:r w:rsidRPr="00D8463A">
              <w:rPr>
                <w:rFonts w:ascii="Verdana" w:eastAsia="Times New Roman" w:hAnsi="Verdana" w:cs="Segoe UI"/>
                <w:sz w:val="16"/>
                <w:szCs w:val="16"/>
                <w:lang w:eastAsia="es-ES_tradnl"/>
              </w:rPr>
              <w:t xml:space="preserve"> López Rodríguez </w:t>
            </w:r>
          </w:p>
          <w:p w14:paraId="45261152" w14:textId="77777777" w:rsidR="00D8463A" w:rsidRPr="00D8463A" w:rsidRDefault="00D8463A" w:rsidP="00D8463A">
            <w:pPr>
              <w:contextualSpacing/>
              <w:textAlignment w:val="baseline"/>
              <w:rPr>
                <w:rFonts w:ascii="Verdana" w:eastAsia="Arial" w:hAnsi="Verdana" w:cs="Arial"/>
                <w:sz w:val="16"/>
                <w:szCs w:val="16"/>
              </w:rPr>
            </w:pPr>
            <w:r w:rsidRPr="00D8463A">
              <w:rPr>
                <w:rFonts w:ascii="Verdana" w:eastAsia="Arial" w:hAnsi="Verdana" w:cs="Arial"/>
                <w:sz w:val="16"/>
                <w:szCs w:val="16"/>
              </w:rPr>
              <w:t>Contratista de la Subdirección de Gestión Contractual</w:t>
            </w:r>
          </w:p>
          <w:p w14:paraId="6073557F" w14:textId="77777777" w:rsidR="00D8463A" w:rsidRPr="00D8463A" w:rsidRDefault="00D8463A" w:rsidP="00D8463A">
            <w:pPr>
              <w:textAlignment w:val="baseline"/>
              <w:rPr>
                <w:rFonts w:ascii="Verdana" w:eastAsia="Times New Roman" w:hAnsi="Verdana" w:cs="Segoe UI"/>
                <w:sz w:val="16"/>
                <w:szCs w:val="16"/>
                <w:lang w:val="es-ES_tradnl" w:eastAsia="es-ES_tradnl"/>
              </w:rPr>
            </w:pPr>
          </w:p>
        </w:tc>
      </w:tr>
      <w:tr w:rsidR="00D8463A" w:rsidRPr="00D8463A" w14:paraId="67BBB2D8" w14:textId="77777777" w:rsidTr="00014EA4">
        <w:trPr>
          <w:trHeight w:val="300"/>
        </w:trPr>
        <w:tc>
          <w:tcPr>
            <w:tcW w:w="893" w:type="dxa"/>
            <w:vAlign w:val="center"/>
          </w:tcPr>
          <w:p w14:paraId="7FE59B2C" w14:textId="77777777" w:rsidR="00D8463A" w:rsidRPr="00D8463A" w:rsidRDefault="00D8463A" w:rsidP="00D8463A">
            <w:pPr>
              <w:rPr>
                <w:rFonts w:ascii="Verdana" w:eastAsia="Calibri" w:hAnsi="Verdana" w:cs="Arial"/>
                <w:sz w:val="16"/>
                <w:szCs w:val="16"/>
                <w:lang w:val="es-ES_tradnl" w:eastAsia="es-ES"/>
              </w:rPr>
            </w:pPr>
            <w:r w:rsidRPr="00D8463A">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267EF3ED" w14:textId="77777777" w:rsidR="00D8463A" w:rsidRPr="00D8463A" w:rsidRDefault="00D8463A" w:rsidP="00D8463A">
            <w:pPr>
              <w:rPr>
                <w:rFonts w:ascii="Verdana" w:eastAsia="Calibri" w:hAnsi="Verdana" w:cs="Arial"/>
                <w:sz w:val="16"/>
                <w:szCs w:val="16"/>
                <w:lang w:val="es-ES" w:eastAsia="es-ES"/>
              </w:rPr>
            </w:pPr>
            <w:r w:rsidRPr="00D8463A">
              <w:rPr>
                <w:rFonts w:ascii="Verdana" w:eastAsia="Calibri" w:hAnsi="Verdana" w:cs="Arial"/>
                <w:sz w:val="16"/>
                <w:szCs w:val="16"/>
                <w:lang w:val="es-ES" w:eastAsia="es-ES"/>
              </w:rPr>
              <w:t xml:space="preserve">Carolina Quintero </w:t>
            </w:r>
            <w:proofErr w:type="spellStart"/>
            <w:r w:rsidRPr="00D8463A">
              <w:rPr>
                <w:rFonts w:ascii="Verdana" w:eastAsia="Calibri" w:hAnsi="Verdana" w:cs="Arial"/>
                <w:sz w:val="16"/>
                <w:szCs w:val="16"/>
                <w:lang w:val="es-ES" w:eastAsia="es-ES"/>
              </w:rPr>
              <w:t>Gacharná</w:t>
            </w:r>
            <w:proofErr w:type="spellEnd"/>
          </w:p>
          <w:p w14:paraId="6F609832" w14:textId="77777777" w:rsidR="00D8463A" w:rsidRPr="00D8463A" w:rsidRDefault="00D8463A" w:rsidP="00D8463A">
            <w:pPr>
              <w:rPr>
                <w:rFonts w:ascii="Verdana" w:eastAsia="Calibri" w:hAnsi="Verdana" w:cs="Arial"/>
                <w:sz w:val="16"/>
                <w:szCs w:val="16"/>
                <w:lang w:val="es-ES_tradnl" w:eastAsia="es-ES"/>
              </w:rPr>
            </w:pPr>
            <w:r w:rsidRPr="00D8463A">
              <w:rPr>
                <w:rFonts w:ascii="Verdana" w:eastAsia="Calibri" w:hAnsi="Verdana" w:cs="Arial"/>
                <w:sz w:val="16"/>
                <w:szCs w:val="16"/>
                <w:lang w:val="es-ES_tradnl" w:eastAsia="es-ES"/>
              </w:rPr>
              <w:t>Subdirectora de Gestión Contractual ANCP – CCE</w:t>
            </w:r>
          </w:p>
        </w:tc>
      </w:tr>
      <w:bookmarkEnd w:id="0"/>
    </w:tbl>
    <w:p w14:paraId="26C8EBE7" w14:textId="77777777" w:rsidR="00D8463A" w:rsidRPr="00D8463A" w:rsidRDefault="00D8463A" w:rsidP="00D8463A">
      <w:pPr>
        <w:tabs>
          <w:tab w:val="left" w:pos="1320"/>
        </w:tabs>
        <w:rPr>
          <w:rFonts w:ascii="Verdana" w:eastAsia="Aptos" w:hAnsi="Verdana" w:cs="Times New Roman"/>
        </w:rPr>
      </w:pPr>
    </w:p>
    <w:p w14:paraId="050EB1D2" w14:textId="77777777" w:rsidR="00D8463A" w:rsidRPr="00D8463A" w:rsidRDefault="00D8463A" w:rsidP="00D8463A">
      <w:pPr>
        <w:rPr>
          <w:rFonts w:ascii="Verdana" w:eastAsia="Aptos" w:hAnsi="Verdana" w:cs="Times New Roman"/>
        </w:rPr>
      </w:pPr>
    </w:p>
    <w:p w14:paraId="1FC881E9" w14:textId="77777777" w:rsidR="00D8463A" w:rsidRPr="00D8463A" w:rsidRDefault="00D8463A" w:rsidP="00D8463A">
      <w:pPr>
        <w:spacing w:line="278" w:lineRule="auto"/>
        <w:rPr>
          <w:rFonts w:ascii="Verdana" w:eastAsia="Aptos" w:hAnsi="Verdana" w:cs="Times New Roman"/>
          <w:kern w:val="2"/>
          <w:sz w:val="24"/>
          <w:szCs w:val="24"/>
          <w14:ligatures w14:val="standardContextual"/>
        </w:rPr>
      </w:pPr>
    </w:p>
    <w:p w14:paraId="6A2C7918" w14:textId="77777777" w:rsidR="00D8463A" w:rsidRPr="00D8463A" w:rsidRDefault="00D8463A" w:rsidP="00D8463A">
      <w:pPr>
        <w:rPr>
          <w:rFonts w:ascii="Calibri" w:eastAsia="Calibri" w:hAnsi="Calibri" w:cs="Times New Roman"/>
        </w:rPr>
      </w:pPr>
    </w:p>
    <w:p w14:paraId="472E896D" w14:textId="77777777" w:rsidR="00D8463A" w:rsidRPr="00D8463A" w:rsidRDefault="00D8463A" w:rsidP="00D8463A">
      <w:pPr>
        <w:spacing w:line="278" w:lineRule="auto"/>
        <w:rPr>
          <w:rFonts w:ascii="Aptos" w:eastAsia="Aptos" w:hAnsi="Aptos" w:cs="Times New Roman"/>
          <w:kern w:val="2"/>
          <w:sz w:val="24"/>
          <w:szCs w:val="24"/>
          <w14:ligatures w14:val="standardContextual"/>
        </w:rPr>
      </w:pPr>
    </w:p>
    <w:p w14:paraId="3900974D" w14:textId="77777777" w:rsidR="003D5B0D" w:rsidRPr="004E279C" w:rsidRDefault="003D5B0D" w:rsidP="004E279C"/>
    <w:sectPr w:rsidR="003D5B0D" w:rsidRPr="004E279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00206" w14:textId="77777777" w:rsidR="00E6595D" w:rsidRDefault="00E6595D" w:rsidP="004A1847">
      <w:pPr>
        <w:spacing w:after="0" w:line="240" w:lineRule="auto"/>
      </w:pPr>
      <w:r>
        <w:separator/>
      </w:r>
    </w:p>
  </w:endnote>
  <w:endnote w:type="continuationSeparator" w:id="0">
    <w:p w14:paraId="5F0B504A" w14:textId="77777777" w:rsidR="00E6595D" w:rsidRDefault="00E6595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D8463A">
      <w:rPr>
        <w:rFonts w:ascii="Verdana" w:eastAsia="Times New Roman" w:hAnsi="Verdana" w:cs="Times New Roman"/>
        <w:b/>
        <w:bCs/>
        <w:sz w:val="16"/>
        <w:szCs w:val="16"/>
        <w:lang w:val="es-ES"/>
      </w:rPr>
      <w:t xml:space="preserve">pág. </w:t>
    </w:r>
    <w:r w:rsidRPr="00D8463A">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D8463A">
      <w:rPr>
        <w:rFonts w:ascii="Verdana" w:eastAsia="Times New Roman" w:hAnsi="Verdana"/>
        <w:b/>
        <w:bCs/>
        <w:sz w:val="16"/>
        <w:szCs w:val="16"/>
      </w:rPr>
      <w:fldChar w:fldCharType="separate"/>
    </w:r>
    <w:r w:rsidRPr="00D8463A">
      <w:rPr>
        <w:rFonts w:ascii="Verdana" w:eastAsia="Times New Roman" w:hAnsi="Verdana"/>
        <w:b/>
        <w:bCs/>
        <w:sz w:val="16"/>
        <w:szCs w:val="16"/>
      </w:rPr>
      <w:t>1</w:t>
    </w:r>
    <w:r w:rsidRPr="00D8463A">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103A5" w14:textId="77777777" w:rsidR="00E6595D" w:rsidRDefault="00E6595D" w:rsidP="004A1847">
      <w:pPr>
        <w:spacing w:after="0" w:line="240" w:lineRule="auto"/>
      </w:pPr>
      <w:r>
        <w:separator/>
      </w:r>
    </w:p>
  </w:footnote>
  <w:footnote w:type="continuationSeparator" w:id="0">
    <w:p w14:paraId="7E2267E3" w14:textId="77777777" w:rsidR="00E6595D" w:rsidRDefault="00E6595D" w:rsidP="004A1847">
      <w:pPr>
        <w:spacing w:after="0" w:line="240" w:lineRule="auto"/>
      </w:pPr>
      <w:r>
        <w:continuationSeparator/>
      </w:r>
    </w:p>
  </w:footnote>
  <w:footnote w:id="1">
    <w:p w14:paraId="5C97950B" w14:textId="77777777" w:rsidR="00D8463A" w:rsidRDefault="00D8463A" w:rsidP="00D8463A">
      <w:pPr>
        <w:pStyle w:val="Textonotapie"/>
        <w:ind w:firstLine="708"/>
        <w:jc w:val="both"/>
      </w:pPr>
      <w:r>
        <w:rPr>
          <w:rStyle w:val="Refdenotaalpie"/>
        </w:rPr>
        <w:footnoteRef/>
      </w:r>
      <w:r>
        <w:t xml:space="preserve"> En el mismo sentido, puede revisarse el literal H) del numeral 3.5.2 características de los contratos presentados para acreditar la experiencia exigida, de los documentos tipo de selección abreviada de menor cuantía de obra pública de infraestructura de transporte, adoptados por medio de la Resolución 463 de 2024. </w:t>
      </w:r>
    </w:p>
  </w:footnote>
  <w:footnote w:id="2">
    <w:p w14:paraId="3E3DA63B" w14:textId="77777777" w:rsidR="00D8463A" w:rsidRDefault="00D8463A" w:rsidP="00D8463A">
      <w:pPr>
        <w:pStyle w:val="Textonotapie"/>
        <w:ind w:firstLine="708"/>
        <w:jc w:val="both"/>
      </w:pPr>
      <w:r>
        <w:rPr>
          <w:rStyle w:val="Refdenotaalpie"/>
        </w:rPr>
        <w:footnoteRef/>
      </w:r>
      <w:r>
        <w:t xml:space="preserve"> En el mismo sentido, puede revisarse el literal H) del numeral 3.5.2 características de los contratos presentados para acreditar la experiencia exigida, de los documentos tipo de selección abreviada de menor cuantía de obra pública de infraestructura de transporte, adoptados por medio de la Resolución 463 de 2024. </w:t>
      </w:r>
    </w:p>
  </w:footnote>
  <w:footnote w:id="3">
    <w:p w14:paraId="5E1EFA1A" w14:textId="77777777" w:rsidR="00D8463A" w:rsidRPr="002B5CC2" w:rsidRDefault="00D8463A" w:rsidP="00D8463A">
      <w:pPr>
        <w:pStyle w:val="NormalWeb"/>
        <w:spacing w:after="120"/>
        <w:ind w:firstLine="708"/>
        <w:jc w:val="both"/>
        <w:rPr>
          <w:rFonts w:ascii="Arial" w:hAnsi="Arial" w:cs="Arial"/>
          <w:color w:val="000000"/>
          <w:sz w:val="18"/>
          <w:szCs w:val="18"/>
        </w:rPr>
      </w:pPr>
      <w:r w:rsidRPr="002B5CC2">
        <w:rPr>
          <w:rStyle w:val="Refdenotaalpie"/>
          <w:rFonts w:ascii="Arial" w:hAnsi="Arial" w:cs="Arial"/>
          <w:color w:val="000000"/>
          <w:sz w:val="18"/>
          <w:szCs w:val="18"/>
        </w:rPr>
        <w:footnoteRef/>
      </w:r>
      <w:r w:rsidRPr="002B5CC2">
        <w:rPr>
          <w:rFonts w:ascii="Arial" w:hAnsi="Arial" w:cs="Arial"/>
          <w:color w:val="000000"/>
          <w:sz w:val="18"/>
          <w:szCs w:val="18"/>
        </w:rPr>
        <w:t xml:space="preserve"> Ley 2022 de 2020: “</w:t>
      </w:r>
      <w:r w:rsidRPr="002B5CC2">
        <w:rPr>
          <w:rStyle w:val="Textoennegrita"/>
          <w:rFonts w:ascii="Arial" w:hAnsi="Arial" w:cs="Arial"/>
          <w:color w:val="000000"/>
          <w:sz w:val="18"/>
          <w:szCs w:val="18"/>
        </w:rPr>
        <w:t xml:space="preserve">Artículo 1º. </w:t>
      </w:r>
      <w:r w:rsidRPr="002B5CC2">
        <w:rPr>
          <w:rFonts w:ascii="Arial" w:hAnsi="Arial" w:cs="Arial"/>
          <w:color w:val="000000"/>
          <w:sz w:val="18"/>
          <w:szCs w:val="18"/>
        </w:rPr>
        <w:t>Modifíquese el artículo 4º de la Ley 1882 de 2018, el cual quedará así:</w:t>
      </w:r>
    </w:p>
    <w:p w14:paraId="656D9B06" w14:textId="77777777" w:rsidR="00D8463A" w:rsidRPr="002B5CC2" w:rsidRDefault="00D8463A" w:rsidP="00D8463A">
      <w:pPr>
        <w:pStyle w:val="NormalWeb"/>
        <w:spacing w:after="120"/>
        <w:ind w:firstLine="708"/>
        <w:jc w:val="both"/>
        <w:rPr>
          <w:rFonts w:ascii="Arial" w:hAnsi="Arial" w:cs="Arial"/>
          <w:color w:val="000000"/>
          <w:sz w:val="18"/>
          <w:szCs w:val="18"/>
        </w:rPr>
      </w:pPr>
      <w:r w:rsidRPr="002B5CC2">
        <w:rPr>
          <w:rStyle w:val="Textoennegrita"/>
          <w:rFonts w:ascii="Arial" w:hAnsi="Arial" w:cs="Arial"/>
          <w:color w:val="000000"/>
          <w:sz w:val="18"/>
          <w:szCs w:val="18"/>
        </w:rPr>
        <w:t xml:space="preserve">“Artículo 4º. </w:t>
      </w:r>
      <w:r w:rsidRPr="002B5CC2">
        <w:rPr>
          <w:rFonts w:ascii="Arial" w:hAnsi="Arial" w:cs="Arial"/>
          <w:color w:val="000000"/>
          <w:sz w:val="18"/>
          <w:szCs w:val="18"/>
        </w:rPr>
        <w:t>Adiciónese el siguiente parágrafo al artículo 2º de la Ley 1150 de 2007.</w:t>
      </w:r>
    </w:p>
    <w:p w14:paraId="38E11E61" w14:textId="77777777" w:rsidR="00D8463A" w:rsidRPr="002B5CC2" w:rsidRDefault="00D8463A" w:rsidP="00D8463A">
      <w:pPr>
        <w:pStyle w:val="NormalWeb"/>
        <w:spacing w:after="120"/>
        <w:ind w:firstLine="708"/>
        <w:jc w:val="both"/>
        <w:rPr>
          <w:rFonts w:ascii="Arial" w:hAnsi="Arial" w:cs="Arial"/>
          <w:color w:val="000000"/>
          <w:sz w:val="18"/>
          <w:szCs w:val="18"/>
        </w:rPr>
      </w:pPr>
      <w:r w:rsidRPr="002B5CC2">
        <w:rPr>
          <w:rStyle w:val="Textoennegrita"/>
          <w:rFonts w:ascii="Arial" w:hAnsi="Arial" w:cs="Arial"/>
          <w:color w:val="000000"/>
          <w:sz w:val="18"/>
          <w:szCs w:val="18"/>
        </w:rPr>
        <w:t xml:space="preserve">Parágrafo 7º. </w:t>
      </w:r>
      <w:r w:rsidRPr="002B5CC2">
        <w:rPr>
          <w:rFonts w:ascii="Arial" w:hAnsi="Arial" w:cs="Arial"/>
          <w:color w:val="000000"/>
          <w:sz w:val="18"/>
          <w:szCs w:val="18"/>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F5749FA" w14:textId="77777777" w:rsidR="00D8463A" w:rsidRPr="002B5CC2" w:rsidRDefault="00D8463A" w:rsidP="00D8463A">
      <w:pPr>
        <w:pStyle w:val="NormalWeb"/>
        <w:spacing w:after="120"/>
        <w:ind w:firstLine="708"/>
        <w:jc w:val="both"/>
        <w:rPr>
          <w:rFonts w:ascii="Arial" w:hAnsi="Arial" w:cs="Arial"/>
          <w:color w:val="000000"/>
          <w:sz w:val="18"/>
          <w:szCs w:val="18"/>
        </w:rPr>
      </w:pPr>
      <w:r w:rsidRPr="002B5CC2">
        <w:rPr>
          <w:rFonts w:ascii="Arial" w:hAnsi="Arial" w:cs="Arial"/>
          <w:color w:val="000000"/>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2BDD463" w14:textId="77777777" w:rsidR="00D8463A" w:rsidRPr="002B5CC2" w:rsidRDefault="00D8463A" w:rsidP="00D8463A">
      <w:pPr>
        <w:pStyle w:val="NormalWeb"/>
        <w:spacing w:after="120"/>
        <w:ind w:firstLine="708"/>
        <w:jc w:val="both"/>
        <w:rPr>
          <w:rFonts w:ascii="Arial" w:hAnsi="Arial" w:cs="Arial"/>
          <w:color w:val="000000"/>
          <w:sz w:val="18"/>
          <w:szCs w:val="18"/>
        </w:rPr>
      </w:pPr>
      <w:r w:rsidRPr="002B5CC2">
        <w:rPr>
          <w:rFonts w:ascii="Arial" w:hAnsi="Arial" w:cs="Arial"/>
          <w:color w:val="000000"/>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789A845" w14:textId="77777777" w:rsidR="00D8463A" w:rsidRPr="002B5CC2" w:rsidRDefault="00D8463A" w:rsidP="00D8463A">
      <w:pPr>
        <w:pStyle w:val="NormalWeb"/>
        <w:spacing w:after="120"/>
        <w:ind w:firstLine="708"/>
        <w:jc w:val="both"/>
        <w:rPr>
          <w:rFonts w:ascii="Arial" w:hAnsi="Arial" w:cs="Arial"/>
          <w:color w:val="000000"/>
          <w:sz w:val="18"/>
          <w:szCs w:val="18"/>
        </w:rPr>
      </w:pPr>
      <w:r w:rsidRPr="002B5CC2">
        <w:rPr>
          <w:rFonts w:ascii="Arial" w:hAnsi="Arial" w:cs="Arial"/>
          <w:color w:val="000000"/>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7090B6D" w14:textId="77777777" w:rsidR="00D8463A" w:rsidRPr="002B5CC2" w:rsidRDefault="00D8463A" w:rsidP="00D8463A">
      <w:pPr>
        <w:pStyle w:val="NormalWeb"/>
        <w:spacing w:after="120"/>
        <w:ind w:firstLine="708"/>
        <w:jc w:val="both"/>
        <w:rPr>
          <w:rFonts w:ascii="Arial" w:hAnsi="Arial" w:cs="Arial"/>
          <w:color w:val="000000"/>
          <w:sz w:val="18"/>
          <w:szCs w:val="18"/>
        </w:rPr>
      </w:pPr>
      <w:r w:rsidRPr="002B5CC2">
        <w:rPr>
          <w:rFonts w:ascii="Arial" w:hAnsi="Arial" w:cs="Arial"/>
          <w:color w:val="000000"/>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4">
    <w:p w14:paraId="41081C74" w14:textId="77777777" w:rsidR="00D8463A" w:rsidRPr="002B5CC2" w:rsidRDefault="00D8463A" w:rsidP="00D8463A">
      <w:pPr>
        <w:pStyle w:val="Textonotapie"/>
        <w:ind w:firstLine="708"/>
        <w:jc w:val="both"/>
        <w:rPr>
          <w:rFonts w:ascii="Arial" w:hAnsi="Arial" w:cs="Arial"/>
          <w:sz w:val="18"/>
          <w:szCs w:val="18"/>
        </w:rPr>
      </w:pPr>
      <w:r w:rsidRPr="002B5CC2">
        <w:rPr>
          <w:rStyle w:val="Refdenotaalpie"/>
          <w:rFonts w:ascii="Arial" w:hAnsi="Arial" w:cs="Arial"/>
          <w:sz w:val="18"/>
          <w:szCs w:val="18"/>
        </w:rPr>
        <w:footnoteRef/>
      </w:r>
      <w:r w:rsidRPr="002B5CC2">
        <w:rPr>
          <w:rFonts w:ascii="Arial" w:hAnsi="Arial" w:cs="Arial"/>
          <w:sz w:val="18"/>
          <w:szCs w:val="18"/>
        </w:rPr>
        <w:t xml:space="preserve"> En relación con los documentos tipo para los procesos de selección abreviada de menor cuantía de obra pública de infraestructura de transporte, esta posibilidad se encuentra establecida en el artículo 4 de la Resolución 463 de 2024. </w:t>
      </w:r>
    </w:p>
  </w:footnote>
  <w:footnote w:id="5">
    <w:p w14:paraId="6F386F65" w14:textId="77777777" w:rsidR="00D8463A" w:rsidRDefault="00D8463A" w:rsidP="00D8463A">
      <w:pPr>
        <w:pStyle w:val="Textonotapie"/>
        <w:ind w:firstLine="708"/>
        <w:jc w:val="both"/>
      </w:pPr>
      <w:r>
        <w:rPr>
          <w:rStyle w:val="Refdenotaalpie"/>
        </w:rPr>
        <w:footnoteRef/>
      </w:r>
      <w:r>
        <w:t xml:space="preserve"> En el mismo sentido, puede revisarse el literal H) del numeral 3.5.2 características de los contratos presentados para acreditar la experiencia exigida, de los documentos tipo de selección abreviada de menor cuantía de obra pública de infraestructura de transporte, adoptados por medio de la Resolución 463 de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39193793" o:spid="_x0000_i1026"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1"/>
  </w:num>
  <w:num w:numId="18" w16cid:durableId="827985604">
    <w:abstractNumId w:val="9"/>
  </w:num>
  <w:num w:numId="19"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04994"/>
    <w:rsid w:val="00236313"/>
    <w:rsid w:val="002421BB"/>
    <w:rsid w:val="0025796E"/>
    <w:rsid w:val="002707A2"/>
    <w:rsid w:val="002951A0"/>
    <w:rsid w:val="002962BC"/>
    <w:rsid w:val="002A093D"/>
    <w:rsid w:val="002A0DD0"/>
    <w:rsid w:val="002A49AC"/>
    <w:rsid w:val="002A64FD"/>
    <w:rsid w:val="002C7A84"/>
    <w:rsid w:val="002E4FD9"/>
    <w:rsid w:val="00310371"/>
    <w:rsid w:val="00322A85"/>
    <w:rsid w:val="00324168"/>
    <w:rsid w:val="003448F4"/>
    <w:rsid w:val="00374F5E"/>
    <w:rsid w:val="00377E3E"/>
    <w:rsid w:val="003A779E"/>
    <w:rsid w:val="003D0F4D"/>
    <w:rsid w:val="003D5B0D"/>
    <w:rsid w:val="003E0499"/>
    <w:rsid w:val="003F3941"/>
    <w:rsid w:val="00406575"/>
    <w:rsid w:val="00414C74"/>
    <w:rsid w:val="00416904"/>
    <w:rsid w:val="0042722E"/>
    <w:rsid w:val="0044528D"/>
    <w:rsid w:val="004A1847"/>
    <w:rsid w:val="004A305D"/>
    <w:rsid w:val="004E279C"/>
    <w:rsid w:val="004F21C4"/>
    <w:rsid w:val="004F685F"/>
    <w:rsid w:val="005566E8"/>
    <w:rsid w:val="00556DFA"/>
    <w:rsid w:val="00574867"/>
    <w:rsid w:val="00591460"/>
    <w:rsid w:val="005B3816"/>
    <w:rsid w:val="005C3777"/>
    <w:rsid w:val="005C5CDC"/>
    <w:rsid w:val="005D476C"/>
    <w:rsid w:val="005E7E30"/>
    <w:rsid w:val="006219F8"/>
    <w:rsid w:val="00665D70"/>
    <w:rsid w:val="006900D9"/>
    <w:rsid w:val="00706C16"/>
    <w:rsid w:val="00742D7F"/>
    <w:rsid w:val="00751FFE"/>
    <w:rsid w:val="00755683"/>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0FD8"/>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87BF7"/>
    <w:rsid w:val="00BC3D36"/>
    <w:rsid w:val="00BD7F72"/>
    <w:rsid w:val="00C04FB3"/>
    <w:rsid w:val="00C330EB"/>
    <w:rsid w:val="00C41061"/>
    <w:rsid w:val="00C754BE"/>
    <w:rsid w:val="00C76B1C"/>
    <w:rsid w:val="00CB6357"/>
    <w:rsid w:val="00CC1B26"/>
    <w:rsid w:val="00D423A2"/>
    <w:rsid w:val="00D520D8"/>
    <w:rsid w:val="00D63AC2"/>
    <w:rsid w:val="00D7383B"/>
    <w:rsid w:val="00D8463A"/>
    <w:rsid w:val="00DA231B"/>
    <w:rsid w:val="00DC39FC"/>
    <w:rsid w:val="00DF5254"/>
    <w:rsid w:val="00E02888"/>
    <w:rsid w:val="00E16408"/>
    <w:rsid w:val="00E20894"/>
    <w:rsid w:val="00E245AB"/>
    <w:rsid w:val="00E2764C"/>
    <w:rsid w:val="00E27F2E"/>
    <w:rsid w:val="00E41B31"/>
    <w:rsid w:val="00E50AFE"/>
    <w:rsid w:val="00E6595D"/>
    <w:rsid w:val="00E75C92"/>
    <w:rsid w:val="00E771DC"/>
    <w:rsid w:val="00E8772A"/>
    <w:rsid w:val="00E90F6B"/>
    <w:rsid w:val="00E92C27"/>
    <w:rsid w:val="00EA0E3D"/>
    <w:rsid w:val="00EC38A7"/>
    <w:rsid w:val="00ED7384"/>
    <w:rsid w:val="00EE1AA8"/>
    <w:rsid w:val="00F131F9"/>
    <w:rsid w:val="00F31EDC"/>
    <w:rsid w:val="00F462B3"/>
    <w:rsid w:val="00F5664F"/>
    <w:rsid w:val="00F666C4"/>
    <w:rsid w:val="00F76AFC"/>
    <w:rsid w:val="00F90175"/>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8463A"/>
    <w:pPr>
      <w:spacing w:line="240" w:lineRule="exact"/>
    </w:pPr>
    <w:rPr>
      <w:vertAlign w:val="superscript"/>
    </w:rPr>
  </w:style>
  <w:style w:type="table" w:customStyle="1" w:styleId="Tablaconcuadrcula1">
    <w:name w:val="Tabla con cuadrícula1"/>
    <w:basedOn w:val="Tablanormal"/>
    <w:next w:val="Tablaconcuadrcula"/>
    <w:uiPriority w:val="39"/>
    <w:qFormat/>
    <w:rsid w:val="00D84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D846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wp-content/uploads/2025/05/GUIA-DE-LINEAMIENTOS-DE-TRANSPARENCIA-Y-SELECCION-OBJETIVA-1.0.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626C6D-CC17-4143-93FB-B39899734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http://schemas.openxmlformats.org/package/2006/metadata/core-propertie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8004</Words>
  <Characters>44028</Characters>
  <Application>Microsoft Office Word</Application>
  <DocSecurity>0</DocSecurity>
  <Lines>366</Lines>
  <Paragraphs>103</Paragraphs>
  <ScaleCrop>false</ScaleCrop>
  <Company/>
  <LinksUpToDate>false</LinksUpToDate>
  <CharactersWithSpaces>51929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2025-07-03T22:52:00Z</dcterms:created>
  <dcterms:modified xsi:type="dcterms:W3CDTF">2025-07-03T22:52:00Z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