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28210E" w14:textId="77777777" w:rsidR="0093694E" w:rsidRPr="009143F1" w:rsidRDefault="0093694E" w:rsidP="0093694E">
      <w:pPr>
        <w:jc w:val="both"/>
        <w:rPr>
          <w:rFonts w:ascii="Verdana" w:hAnsi="Verdana" w:cs="Arial"/>
          <w:b/>
          <w:bCs/>
          <w:color w:val="000000" w:themeColor="text1"/>
          <w:lang w:val="es-ES_tradnl"/>
        </w:rPr>
      </w:pPr>
      <w:r w:rsidRPr="009143F1">
        <w:rPr>
          <w:rFonts w:ascii="Verdana" w:hAnsi="Verdana" w:cs="Arial"/>
          <w:b/>
          <w:bCs/>
          <w:color w:val="000000" w:themeColor="text1"/>
          <w:lang w:val="es-ES_tradnl"/>
        </w:rPr>
        <w:t xml:space="preserve">CONTRATO DE PRESTACIÓN DE SERVICIOS </w:t>
      </w:r>
      <w:bookmarkStart w:id="0" w:name="_Hlk39666823"/>
      <w:r w:rsidRPr="009143F1">
        <w:rPr>
          <w:rFonts w:ascii="Verdana" w:eastAsia="Calibri" w:hAnsi="Verdana" w:cs="Arial"/>
          <w:b/>
          <w:color w:val="000000" w:themeColor="text1"/>
        </w:rPr>
        <w:t>–</w:t>
      </w:r>
      <w:bookmarkEnd w:id="0"/>
      <w:r w:rsidRPr="009143F1">
        <w:rPr>
          <w:rFonts w:ascii="Verdana" w:hAnsi="Verdana" w:cs="Arial"/>
          <w:b/>
          <w:bCs/>
          <w:color w:val="000000" w:themeColor="text1"/>
          <w:lang w:val="es-ES_tradnl"/>
        </w:rPr>
        <w:t xml:space="preserve"> Concepto − Características generales</w:t>
      </w:r>
    </w:p>
    <w:p w14:paraId="7488F1A5" w14:textId="36332095" w:rsidR="0093694E" w:rsidRPr="00EB30BA" w:rsidRDefault="0093694E" w:rsidP="0093694E">
      <w:pPr>
        <w:spacing w:after="0" w:line="240" w:lineRule="auto"/>
        <w:jc w:val="both"/>
        <w:rPr>
          <w:rFonts w:ascii="Verdana" w:hAnsi="Verdana" w:cs="Arial"/>
          <w:color w:val="000000" w:themeColor="text1"/>
          <w:sz w:val="20"/>
          <w:szCs w:val="20"/>
          <w:lang w:val="es-ES"/>
        </w:rPr>
      </w:pPr>
      <w:r w:rsidRPr="00EB30BA">
        <w:rPr>
          <w:rFonts w:ascii="Verdana" w:hAnsi="Verdana" w:cs="Arial"/>
          <w:color w:val="000000" w:themeColor="text1"/>
          <w:sz w:val="20"/>
          <w:szCs w:val="20"/>
          <w:lang w:val="es-ES"/>
        </w:rPr>
        <w:t xml:space="preserve">El contrato de prestación de servicios es un contrato estatal típico regulado en numeral 3 del artículo 32 de la Ley 80 de 1993. Es definido como aquel que </w:t>
      </w:r>
      <w:r w:rsidR="0052405D">
        <w:rPr>
          <w:rFonts w:ascii="Verdana" w:hAnsi="Verdana" w:cs="Arial"/>
          <w:color w:val="000000" w:themeColor="text1"/>
          <w:sz w:val="20"/>
          <w:szCs w:val="20"/>
          <w:lang w:val="es-ES"/>
        </w:rPr>
        <w:t>“</w:t>
      </w:r>
      <w:r w:rsidRPr="00EB30BA">
        <w:rPr>
          <w:rFonts w:ascii="Verdana" w:hAnsi="Verdana" w:cs="Arial"/>
          <w:color w:val="000000" w:themeColor="text1"/>
          <w:sz w:val="20"/>
          <w:szCs w:val="20"/>
          <w:lang w:val="es-ES"/>
        </w:rPr>
        <w:t xml:space="preserve">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 es posible señalar las siguientes características del contrato de prestación de servicios: i) Solo puede celebrarse para realizar </w:t>
      </w:r>
      <w:r w:rsidR="0052405D">
        <w:rPr>
          <w:rFonts w:ascii="Verdana" w:hAnsi="Verdana" w:cs="Arial"/>
          <w:color w:val="000000" w:themeColor="text1"/>
          <w:sz w:val="20"/>
          <w:szCs w:val="20"/>
          <w:lang w:val="es-ES"/>
        </w:rPr>
        <w:t>“</w:t>
      </w:r>
      <w:r w:rsidRPr="00EB30BA">
        <w:rPr>
          <w:rFonts w:ascii="Verdana" w:hAnsi="Verdana" w:cs="Arial"/>
          <w:color w:val="000000" w:themeColor="text1"/>
          <w:sz w:val="20"/>
          <w:szCs w:val="20"/>
          <w:lang w:val="es-ES"/>
        </w:rPr>
        <w:t>actividades relacionadas con la administración o funcionamiento de la entidad</w:t>
      </w:r>
      <w:r w:rsidR="0052405D">
        <w:rPr>
          <w:rFonts w:ascii="Verdana" w:hAnsi="Verdana" w:cs="Arial"/>
          <w:color w:val="000000" w:themeColor="text1"/>
          <w:sz w:val="20"/>
          <w:szCs w:val="20"/>
          <w:lang w:val="es-ES"/>
        </w:rPr>
        <w:t>”</w:t>
      </w:r>
      <w:r w:rsidRPr="00EB30BA">
        <w:rPr>
          <w:rFonts w:ascii="Verdana" w:hAnsi="Verdana" w:cs="Arial"/>
          <w:color w:val="000000" w:themeColor="text1"/>
          <w:sz w:val="20"/>
          <w:szCs w:val="20"/>
          <w:lang w:val="es-ES"/>
        </w:rPr>
        <w:t xml:space="preserve">, es decir, que hagan parte de su giro ordinario o quehacer cotidiano. </w:t>
      </w:r>
      <w:proofErr w:type="spellStart"/>
      <w:r w:rsidRPr="00EB30BA">
        <w:rPr>
          <w:rFonts w:ascii="Verdana" w:hAnsi="Verdana" w:cs="Arial"/>
          <w:color w:val="000000" w:themeColor="text1"/>
          <w:sz w:val="20"/>
          <w:szCs w:val="20"/>
          <w:lang w:val="es-ES"/>
        </w:rPr>
        <w:t>ii</w:t>
      </w:r>
      <w:proofErr w:type="spellEnd"/>
      <w:r w:rsidRPr="00EB30BA">
        <w:rPr>
          <w:rFonts w:ascii="Verdana" w:hAnsi="Verdana" w:cs="Arial"/>
          <w:color w:val="000000" w:themeColor="text1"/>
          <w:sz w:val="20"/>
          <w:szCs w:val="20"/>
          <w:lang w:val="es-ES"/>
        </w:rPr>
        <w:t xml:space="preserve">) Respecto del tipo de personas que pueden ser contratadas, admite que se suscriba con personas naturales o jurídicas. […] </w:t>
      </w:r>
      <w:proofErr w:type="spellStart"/>
      <w:r w:rsidRPr="00EB30BA">
        <w:rPr>
          <w:rFonts w:ascii="Verdana" w:hAnsi="Verdana" w:cs="Arial"/>
          <w:color w:val="000000" w:themeColor="text1"/>
          <w:sz w:val="20"/>
          <w:szCs w:val="20"/>
          <w:lang w:val="es-ES"/>
        </w:rPr>
        <w:t>iii</w:t>
      </w:r>
      <w:proofErr w:type="spellEnd"/>
      <w:r w:rsidRPr="00EB30BA">
        <w:rPr>
          <w:rFonts w:ascii="Verdana" w:hAnsi="Verdana" w:cs="Arial"/>
          <w:color w:val="000000" w:themeColor="text1"/>
          <w:sz w:val="20"/>
          <w:szCs w:val="20"/>
          <w:lang w:val="es-ES"/>
        </w:rPr>
        <w:t xml:space="preserve">)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subordinación ni dependencia, que es uno de los elementos constitutivos del vínculo laboral […] </w:t>
      </w:r>
      <w:proofErr w:type="spellStart"/>
      <w:r w:rsidRPr="00EB30BA">
        <w:rPr>
          <w:rFonts w:ascii="Verdana" w:hAnsi="Verdana" w:cs="Arial"/>
          <w:color w:val="000000" w:themeColor="text1"/>
          <w:sz w:val="20"/>
          <w:szCs w:val="20"/>
          <w:lang w:val="es-ES"/>
        </w:rPr>
        <w:t>iv</w:t>
      </w:r>
      <w:proofErr w:type="spellEnd"/>
      <w:r w:rsidRPr="00EB30BA">
        <w:rPr>
          <w:rFonts w:ascii="Verdana" w:hAnsi="Verdana" w:cs="Arial"/>
          <w:color w:val="000000" w:themeColor="text1"/>
          <w:sz w:val="20"/>
          <w:szCs w:val="20"/>
          <w:lang w:val="es-ES"/>
        </w:rPr>
        <w:t xml:space="preserve">) Deben ser temporales. […] v) Se celebran a través de la modalidad de contratación directa, independientemente de la cuantía y del tipo de servicio profesional, siempre que su objeto no sea la consultoría. […]. vi) Para su celebración no se requiere expedir un acto administrativo de justificación de la contratación directa. </w:t>
      </w:r>
      <w:proofErr w:type="spellStart"/>
      <w:r w:rsidRPr="00EB30BA">
        <w:rPr>
          <w:rFonts w:ascii="Verdana" w:hAnsi="Verdana" w:cs="Arial"/>
          <w:color w:val="000000" w:themeColor="text1"/>
          <w:sz w:val="20"/>
          <w:szCs w:val="20"/>
          <w:lang w:val="es-ES"/>
        </w:rPr>
        <w:t>vii</w:t>
      </w:r>
      <w:proofErr w:type="spellEnd"/>
      <w:r w:rsidRPr="00EB30BA">
        <w:rPr>
          <w:rFonts w:ascii="Verdana" w:hAnsi="Verdana" w:cs="Arial"/>
          <w:color w:val="000000" w:themeColor="text1"/>
          <w:sz w:val="20"/>
          <w:szCs w:val="20"/>
          <w:lang w:val="es-ES"/>
        </w:rPr>
        <w:t xml:space="preserve">) El contrato admite la inclusión de cláusulas excepcionales. </w:t>
      </w:r>
      <w:proofErr w:type="spellStart"/>
      <w:r w:rsidRPr="00EB30BA">
        <w:rPr>
          <w:rFonts w:ascii="Verdana" w:hAnsi="Verdana" w:cs="Arial"/>
          <w:color w:val="000000" w:themeColor="text1"/>
          <w:sz w:val="20"/>
          <w:szCs w:val="20"/>
          <w:lang w:val="es-ES"/>
        </w:rPr>
        <w:t>viii</w:t>
      </w:r>
      <w:proofErr w:type="spellEnd"/>
      <w:r w:rsidRPr="00EB30BA">
        <w:rPr>
          <w:rFonts w:ascii="Verdana" w:hAnsi="Verdana" w:cs="Arial"/>
          <w:color w:val="000000" w:themeColor="text1"/>
          <w:sz w:val="20"/>
          <w:szCs w:val="20"/>
          <w:lang w:val="es-ES"/>
        </w:rPr>
        <w:t xml:space="preserve">) No es obligatorio liquidar estos contratos […]. </w:t>
      </w:r>
      <w:proofErr w:type="spellStart"/>
      <w:r w:rsidRPr="00EB30BA">
        <w:rPr>
          <w:rFonts w:ascii="Verdana" w:hAnsi="Verdana" w:cs="Arial"/>
          <w:color w:val="000000" w:themeColor="text1"/>
          <w:sz w:val="20"/>
          <w:szCs w:val="20"/>
          <w:lang w:val="es-ES"/>
        </w:rPr>
        <w:t>ix</w:t>
      </w:r>
      <w:proofErr w:type="spellEnd"/>
      <w:r w:rsidRPr="00EB30BA">
        <w:rPr>
          <w:rFonts w:ascii="Verdana" w:hAnsi="Verdana" w:cs="Arial"/>
          <w:color w:val="000000" w:themeColor="text1"/>
          <w:sz w:val="20"/>
          <w:szCs w:val="20"/>
          <w:lang w:val="es-ES"/>
        </w:rPr>
        <w:t xml:space="preserve">) Para su celebración el contratista no requiere estar inscrito en el Registro Único de Proponentes –RUP– […]. x) No es obligatoria la exigencia de garantías; xi) Como los demás contratos estatales, se trata de un contrato solemne que debe constar por escrito y debe ser publicado en el SECOP; </w:t>
      </w:r>
      <w:proofErr w:type="spellStart"/>
      <w:r w:rsidRPr="00EB30BA">
        <w:rPr>
          <w:rFonts w:ascii="Verdana" w:hAnsi="Verdana" w:cs="Arial"/>
          <w:color w:val="000000" w:themeColor="text1"/>
          <w:sz w:val="20"/>
          <w:szCs w:val="20"/>
          <w:lang w:val="es-ES"/>
        </w:rPr>
        <w:t>xii</w:t>
      </w:r>
      <w:proofErr w:type="spellEnd"/>
      <w:r w:rsidRPr="00EB30BA">
        <w:rPr>
          <w:rFonts w:ascii="Verdana" w:hAnsi="Verdana" w:cs="Arial"/>
          <w:color w:val="000000" w:themeColor="text1"/>
          <w:sz w:val="20"/>
          <w:szCs w:val="20"/>
          <w:lang w:val="es-ES"/>
        </w:rPr>
        <w:t>)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w:t>
      </w:r>
    </w:p>
    <w:p w14:paraId="2F8686ED" w14:textId="77777777" w:rsidR="00557077" w:rsidRDefault="00557077" w:rsidP="00557077">
      <w:pPr>
        <w:spacing w:after="0" w:line="240" w:lineRule="auto"/>
        <w:jc w:val="both"/>
        <w:rPr>
          <w:rFonts w:ascii="Verdana" w:eastAsia="Times New Roman" w:hAnsi="Verdana" w:cs="Arial"/>
          <w:noProof/>
          <w:lang w:val="es-ES" w:eastAsia="es-ES_tradnl"/>
        </w:rPr>
      </w:pPr>
    </w:p>
    <w:p w14:paraId="11AA3458" w14:textId="24FB11E2" w:rsidR="0093694E" w:rsidRPr="009143F1" w:rsidRDefault="0093694E" w:rsidP="0093694E">
      <w:pPr>
        <w:jc w:val="both"/>
        <w:rPr>
          <w:rFonts w:ascii="Verdana" w:hAnsi="Verdana" w:cs="Arial"/>
          <w:b/>
          <w:bCs/>
          <w:color w:val="000000" w:themeColor="text1"/>
          <w:lang w:val="es-ES_tradnl"/>
        </w:rPr>
      </w:pPr>
      <w:r w:rsidRPr="009143F1">
        <w:rPr>
          <w:rFonts w:ascii="Verdana" w:hAnsi="Verdana" w:cs="Arial"/>
          <w:b/>
          <w:bCs/>
          <w:color w:val="000000" w:themeColor="text1"/>
          <w:lang w:val="es-ES_tradnl"/>
        </w:rPr>
        <w:t xml:space="preserve">CONTRATO DE PRESTACIÓN DE SERVICIOS PROFESIONALES </w:t>
      </w:r>
      <w:r w:rsidRPr="009143F1">
        <w:rPr>
          <w:rFonts w:ascii="Verdana" w:eastAsia="Calibri" w:hAnsi="Verdana" w:cs="Arial"/>
          <w:b/>
          <w:color w:val="000000" w:themeColor="text1"/>
        </w:rPr>
        <w:t>–</w:t>
      </w:r>
      <w:r>
        <w:rPr>
          <w:rFonts w:ascii="Verdana" w:eastAsia="Calibri" w:hAnsi="Verdana" w:cs="Arial"/>
          <w:b/>
          <w:color w:val="000000" w:themeColor="text1"/>
        </w:rPr>
        <w:t xml:space="preserve"> Temporalidad </w:t>
      </w:r>
      <w:r w:rsidRPr="009143F1">
        <w:rPr>
          <w:rFonts w:ascii="Verdana" w:eastAsia="Calibri" w:hAnsi="Verdana" w:cs="Arial"/>
          <w:b/>
          <w:color w:val="000000" w:themeColor="text1"/>
        </w:rPr>
        <w:t>–</w:t>
      </w:r>
      <w:r>
        <w:rPr>
          <w:rFonts w:ascii="Verdana" w:eastAsia="Calibri" w:hAnsi="Verdana" w:cs="Arial"/>
          <w:b/>
          <w:color w:val="000000" w:themeColor="text1"/>
        </w:rPr>
        <w:t xml:space="preserve"> </w:t>
      </w:r>
      <w:r w:rsidRPr="0093694E">
        <w:rPr>
          <w:rFonts w:ascii="Verdana" w:hAnsi="Verdana" w:cs="Arial"/>
          <w:b/>
          <w:bCs/>
          <w:color w:val="000000" w:themeColor="text1"/>
          <w:lang w:val="es-ES_tradnl"/>
        </w:rPr>
        <w:t xml:space="preserve">Circular Conjunta 100-005-2022 </w:t>
      </w:r>
      <w:r w:rsidRPr="00B63B09">
        <w:rPr>
          <w:rFonts w:ascii="Verdana" w:hAnsi="Verdana" w:cs="Arial"/>
          <w:b/>
          <w:bCs/>
          <w:color w:val="000000" w:themeColor="text1"/>
          <w:lang w:val="es-ES_tradnl"/>
        </w:rPr>
        <w:t>–</w:t>
      </w:r>
      <w:r w:rsidRPr="009143F1">
        <w:rPr>
          <w:rFonts w:ascii="Verdana" w:hAnsi="Verdana" w:cs="Arial"/>
          <w:b/>
          <w:bCs/>
          <w:color w:val="000000" w:themeColor="text1"/>
          <w:lang w:val="es-ES_tradnl"/>
        </w:rPr>
        <w:t xml:space="preserve"> </w:t>
      </w:r>
      <w:r w:rsidRPr="00B63B09">
        <w:rPr>
          <w:rFonts w:ascii="Verdana" w:hAnsi="Verdana" w:cs="Arial"/>
          <w:b/>
          <w:bCs/>
          <w:color w:val="000000" w:themeColor="text1"/>
          <w:lang w:val="es-ES_tradnl"/>
        </w:rPr>
        <w:t>Sentencia de</w:t>
      </w:r>
      <w:r w:rsidRPr="009143F1">
        <w:rPr>
          <w:rFonts w:ascii="Verdana" w:eastAsia="Calibri" w:hAnsi="Verdana" w:cs="Arial"/>
          <w:b/>
          <w:bCs/>
          <w:color w:val="000000" w:themeColor="text1"/>
        </w:rPr>
        <w:t xml:space="preserve"> Unificación SUJ-025-CE-S2-2021 </w:t>
      </w:r>
    </w:p>
    <w:p w14:paraId="713BBFC4" w14:textId="77777777" w:rsidR="008B161E" w:rsidRDefault="008B161E" w:rsidP="008B161E">
      <w:pPr>
        <w:spacing w:after="0" w:line="240" w:lineRule="auto"/>
        <w:jc w:val="both"/>
        <w:rPr>
          <w:rFonts w:ascii="Verdana" w:hAnsi="Verdana" w:cs="Arial"/>
          <w:bCs/>
          <w:color w:val="000000" w:themeColor="text1"/>
          <w:sz w:val="20"/>
          <w:szCs w:val="20"/>
        </w:rPr>
      </w:pPr>
      <w:r w:rsidRPr="008B161E">
        <w:rPr>
          <w:rFonts w:ascii="Verdana" w:hAnsi="Verdana" w:cs="Arial"/>
          <w:bCs/>
          <w:color w:val="000000" w:themeColor="text1"/>
          <w:sz w:val="20"/>
          <w:szCs w:val="20"/>
        </w:rPr>
        <w:t>Además, considerando que el contrato de prestación de servicios es una tipología contractual regulada por el numeral 3 del artículo 32 de la Ley 80 de 1993, norma que habilita su suscripción por el término estrictamente indispensable para cumplir su objeto, el numeral 3 de la Circular Conjunta 100-005-2022 no puede ser interpretado como una disposición que establece un plazo máximo de duración para los contratos de prestación de servicios, sino como una directriz administrativa orientadora tendiente a acompasar el proceso de creación de plantas temporales con la celebración de contratos de prestación de servicios durante el año 2023.</w:t>
      </w:r>
    </w:p>
    <w:p w14:paraId="1C38B96B" w14:textId="2781B1D7" w:rsidR="008B161E" w:rsidRDefault="008B161E" w:rsidP="008B161E">
      <w:pPr>
        <w:spacing w:after="0" w:line="240" w:lineRule="auto"/>
        <w:jc w:val="both"/>
        <w:rPr>
          <w:rFonts w:ascii="Verdana" w:hAnsi="Verdana" w:cs="Arial"/>
          <w:bCs/>
          <w:color w:val="000000" w:themeColor="text1"/>
          <w:sz w:val="20"/>
          <w:szCs w:val="20"/>
        </w:rPr>
      </w:pPr>
      <w:r>
        <w:rPr>
          <w:rFonts w:ascii="Verdana" w:hAnsi="Verdana" w:cs="Arial"/>
          <w:bCs/>
          <w:color w:val="000000" w:themeColor="text1"/>
          <w:sz w:val="20"/>
          <w:szCs w:val="20"/>
        </w:rPr>
        <w:t>(…)</w:t>
      </w:r>
    </w:p>
    <w:p w14:paraId="7BA3474F" w14:textId="472DF10C" w:rsidR="0093694E" w:rsidRPr="0093694E" w:rsidRDefault="008B161E" w:rsidP="008B161E">
      <w:pPr>
        <w:spacing w:after="0" w:line="240" w:lineRule="auto"/>
        <w:jc w:val="both"/>
        <w:rPr>
          <w:rFonts w:ascii="Verdana" w:eastAsia="Times New Roman" w:hAnsi="Verdana" w:cs="Arial"/>
          <w:noProof/>
          <w:lang w:eastAsia="es-ES_tradnl"/>
        </w:rPr>
      </w:pPr>
      <w:r w:rsidRPr="008B161E">
        <w:rPr>
          <w:rFonts w:ascii="Verdana" w:hAnsi="Verdana" w:cs="Arial"/>
          <w:bCs/>
          <w:color w:val="000000" w:themeColor="text1"/>
          <w:sz w:val="20"/>
          <w:szCs w:val="20"/>
        </w:rPr>
        <w:t xml:space="preserve">Finalmente, se debe tener en cuenta que el Consejo de Estado mediante providencias con radicados 11001-03-24-000-2023-00010-00 (69.700) y 11001-03-24-000-2023-00008-00 (69539) decretó la medida cautelar de suspensión provisional de los efectos </w:t>
      </w:r>
      <w:r w:rsidRPr="008B161E">
        <w:rPr>
          <w:rFonts w:ascii="Verdana" w:hAnsi="Verdana" w:cs="Arial"/>
          <w:bCs/>
          <w:color w:val="000000" w:themeColor="text1"/>
          <w:sz w:val="20"/>
          <w:szCs w:val="20"/>
        </w:rPr>
        <w:lastRenderedPageBreak/>
        <w:t xml:space="preserve">jurídicos del numeral 3 de la Circular Conjunta 100-005-2022, por lo que actualmente no es aplicable, y lo que rige sobre la temporalidad de los contratos de prestación de servicios es lo establecido por la Ley 80 de 1993 y la Sentencia de Unificación Jurisprudencial SUJ-025-CE-S2-2021 de la Sección Segunda del Consejo de Estado, esto es que el plazo de los contratos de prestación de servicios deberá sujetarse al “término estrictamente indispensable”, el cual según lo manifestado en dicha sentencia es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 . En ese entendido, la temporalidad del contrato de prestación de servicios está determinada por el tiempo requerido para desarrollar el objeto para el que se celebra de acuerdo con lo establecido en los correspondientes estudios previos, en cumplimiento del principio de planeación, </w:t>
      </w:r>
      <w:proofErr w:type="gramStart"/>
      <w:r w:rsidRPr="008B161E">
        <w:rPr>
          <w:rFonts w:ascii="Verdana" w:hAnsi="Verdana" w:cs="Arial"/>
          <w:bCs/>
          <w:color w:val="000000" w:themeColor="text1"/>
          <w:sz w:val="20"/>
          <w:szCs w:val="20"/>
        </w:rPr>
        <w:t>conjuntamente con</w:t>
      </w:r>
      <w:proofErr w:type="gramEnd"/>
      <w:r w:rsidRPr="008B161E">
        <w:rPr>
          <w:rFonts w:ascii="Verdana" w:hAnsi="Verdana" w:cs="Arial"/>
          <w:bCs/>
          <w:color w:val="000000" w:themeColor="text1"/>
          <w:sz w:val="20"/>
          <w:szCs w:val="20"/>
        </w:rPr>
        <w:t xml:space="preserve"> la autonomía y voluntad de las partes.</w:t>
      </w:r>
    </w:p>
    <w:p w14:paraId="56F3086A"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4E815123"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2ABD1438"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26F6A7C3"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0057C1AD"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3DF4F0FA"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7F1B4192"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0F0F1C53"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0E51F608"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4CAE3978"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64335CFA"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3415BCD2"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40D884D2"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4B304FAA"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4C1EB334"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7CDA7B42"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70C16706"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29E04663"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3BBA7EE2"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00F73607"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09752CA1"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32E586E1"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485626D6"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62F77298"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36AE9E34"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3B031929"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09CC17C8"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56817E74" w14:textId="77777777" w:rsidR="00AE147B" w:rsidRDefault="00AE147B" w:rsidP="00557077">
      <w:pPr>
        <w:spacing w:after="0" w:line="240" w:lineRule="auto"/>
        <w:jc w:val="both"/>
        <w:rPr>
          <w:rFonts w:ascii="Verdana" w:eastAsia="Times New Roman" w:hAnsi="Verdana" w:cs="Arial"/>
          <w:noProof/>
          <w:lang w:val="es-ES_tradnl" w:eastAsia="es-ES_tradnl"/>
        </w:rPr>
      </w:pPr>
    </w:p>
    <w:p w14:paraId="4496ADF0" w14:textId="77777777" w:rsidR="00557077" w:rsidRDefault="00557077" w:rsidP="00557077">
      <w:pPr>
        <w:spacing w:after="0" w:line="240" w:lineRule="auto"/>
        <w:jc w:val="both"/>
        <w:rPr>
          <w:rFonts w:ascii="Verdana" w:eastAsia="Times New Roman" w:hAnsi="Verdana" w:cs="Arial"/>
          <w:noProof/>
          <w:lang w:val="es-ES_tradnl" w:eastAsia="es-ES_tradnl"/>
        </w:rPr>
      </w:pPr>
    </w:p>
    <w:p w14:paraId="1580D0B9" w14:textId="21B85AF0" w:rsidR="00557077" w:rsidRDefault="00557077" w:rsidP="00557077">
      <w:pPr>
        <w:spacing w:after="0" w:line="240" w:lineRule="auto"/>
        <w:jc w:val="both"/>
        <w:rPr>
          <w:rFonts w:ascii="Verdana" w:eastAsia="Times New Roman" w:hAnsi="Verdana" w:cs="Arial"/>
          <w:noProof/>
          <w:lang w:val="es-ES_tradnl" w:eastAsia="es-ES_tradnl"/>
        </w:rPr>
      </w:pPr>
      <w:r w:rsidRPr="00CC5C68">
        <w:rPr>
          <w:rFonts w:ascii="Verdana" w:eastAsia="Times New Roman" w:hAnsi="Verdana" w:cs="Arial"/>
          <w:noProof/>
          <w:lang w:val="es-ES_tradnl" w:eastAsia="es-ES_tradnl"/>
        </w:rPr>
        <w:lastRenderedPageBreak/>
        <w:t xml:space="preserve">Bogotá D.C., </w:t>
      </w:r>
      <w:r w:rsidR="00401F51">
        <w:rPr>
          <w:rFonts w:ascii="Verdana" w:eastAsia="Times New Roman" w:hAnsi="Verdana" w:cs="Arial"/>
          <w:noProof/>
          <w:lang w:val="es-ES_tradnl" w:eastAsia="es-ES_tradnl"/>
        </w:rPr>
        <w:t>4 de julio de 2025</w:t>
      </w:r>
    </w:p>
    <w:p w14:paraId="70C1E619" w14:textId="70769646" w:rsidR="00401F51" w:rsidRDefault="00401F51" w:rsidP="00557077">
      <w:pPr>
        <w:spacing w:after="0" w:line="240" w:lineRule="auto"/>
        <w:jc w:val="both"/>
        <w:rPr>
          <w:rFonts w:ascii="Verdana" w:eastAsia="Times New Roman" w:hAnsi="Verdana" w:cs="Arial"/>
          <w:noProof/>
          <w:lang w:val="es-ES_tradnl" w:eastAsia="es-ES_tradnl"/>
        </w:rPr>
      </w:pPr>
    </w:p>
    <w:p w14:paraId="333CD62B" w14:textId="106FDDAA" w:rsidR="00401F51" w:rsidRPr="00CC5C68" w:rsidRDefault="000175C1" w:rsidP="00401F51">
      <w:pPr>
        <w:spacing w:after="0" w:line="240" w:lineRule="auto"/>
        <w:jc w:val="right"/>
        <w:rPr>
          <w:rFonts w:ascii="Verdana" w:eastAsia="Times New Roman" w:hAnsi="Verdana" w:cs="Arial"/>
          <w:noProof/>
          <w:lang w:val="es-ES_tradnl" w:eastAsia="es-ES_tradnl"/>
        </w:rPr>
      </w:pPr>
      <w:r w:rsidRPr="00401F51">
        <w:rPr>
          <w:rFonts w:ascii="Verdana" w:eastAsia="Times New Roman" w:hAnsi="Verdana" w:cs="Arial"/>
          <w:noProof/>
          <w:lang w:val="es-ES_tradnl" w:eastAsia="es-ES_tradnl"/>
        </w:rPr>
        <w:drawing>
          <wp:anchor distT="0" distB="0" distL="114300" distR="114300" simplePos="0" relativeHeight="251659264" behindDoc="0" locked="0" layoutInCell="1" allowOverlap="1" wp14:anchorId="6647C40C" wp14:editId="2E977B54">
            <wp:simplePos x="0" y="0"/>
            <wp:positionH relativeFrom="margin">
              <wp:align>right</wp:align>
            </wp:positionH>
            <wp:positionV relativeFrom="paragraph">
              <wp:posOffset>144393</wp:posOffset>
            </wp:positionV>
            <wp:extent cx="3076575" cy="842645"/>
            <wp:effectExtent l="0" t="0" r="9525" b="0"/>
            <wp:wrapSquare wrapText="bothSides"/>
            <wp:docPr id="1535926220"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926220" name="Imagen 1" descr="Texto&#10;&#10;El contenido generado por IA puede ser incorrecto."/>
                    <pic:cNvPicPr/>
                  </pic:nvPicPr>
                  <pic:blipFill>
                    <a:blip r:embed="rId11">
                      <a:extLst>
                        <a:ext uri="{28A0092B-C50C-407E-A947-70E740481C1C}">
                          <a14:useLocalDpi xmlns:a14="http://schemas.microsoft.com/office/drawing/2010/main" val="0"/>
                        </a:ext>
                      </a:extLst>
                    </a:blip>
                    <a:stretch>
                      <a:fillRect/>
                    </a:stretch>
                  </pic:blipFill>
                  <pic:spPr>
                    <a:xfrm>
                      <a:off x="0" y="0"/>
                      <a:ext cx="3076575" cy="842645"/>
                    </a:xfrm>
                    <a:prstGeom prst="rect">
                      <a:avLst/>
                    </a:prstGeom>
                  </pic:spPr>
                </pic:pic>
              </a:graphicData>
            </a:graphic>
            <wp14:sizeRelH relativeFrom="margin">
              <wp14:pctWidth>0</wp14:pctWidth>
            </wp14:sizeRelH>
            <wp14:sizeRelV relativeFrom="margin">
              <wp14:pctHeight>0</wp14:pctHeight>
            </wp14:sizeRelV>
          </wp:anchor>
        </w:drawing>
      </w:r>
    </w:p>
    <w:p w14:paraId="09D3F917" w14:textId="77777777" w:rsidR="00557077" w:rsidRPr="00CC5C68" w:rsidRDefault="00557077" w:rsidP="00557077">
      <w:pPr>
        <w:spacing w:after="0" w:line="240" w:lineRule="auto"/>
        <w:jc w:val="both"/>
        <w:rPr>
          <w:rFonts w:ascii="Verdana" w:eastAsia="Times New Roman" w:hAnsi="Verdana" w:cs="Arial"/>
          <w:noProof/>
          <w:lang w:val="es-ES_tradnl" w:eastAsia="es-ES_tradnl"/>
        </w:rPr>
      </w:pPr>
    </w:p>
    <w:p w14:paraId="24079D75" w14:textId="77777777" w:rsidR="00557077" w:rsidRPr="00CC5C68" w:rsidRDefault="00557077" w:rsidP="00557077">
      <w:pPr>
        <w:spacing w:after="0" w:line="240" w:lineRule="auto"/>
        <w:jc w:val="right"/>
        <w:rPr>
          <w:rFonts w:ascii="Verdana" w:eastAsia="Times New Roman" w:hAnsi="Verdana" w:cs="Arial"/>
          <w:noProof/>
          <w:lang w:val="es-ES_tradnl" w:eastAsia="es-ES_tradnl"/>
        </w:rPr>
      </w:pPr>
    </w:p>
    <w:p w14:paraId="53304A86" w14:textId="2C202BC2" w:rsidR="00557077" w:rsidRPr="00CC5C68" w:rsidRDefault="00557077" w:rsidP="00557077">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p>
    <w:p w14:paraId="7EA7D948" w14:textId="0A6FA3B7" w:rsidR="00557077" w:rsidRPr="00CC5C68" w:rsidRDefault="008D48CA" w:rsidP="00557077">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Nelson García Vera</w:t>
      </w:r>
    </w:p>
    <w:p w14:paraId="0847A0DC" w14:textId="5E74DDD0" w:rsidR="00557077" w:rsidRPr="00CC5C68" w:rsidRDefault="00466982" w:rsidP="00557077">
      <w:pPr>
        <w:spacing w:after="0" w:line="240" w:lineRule="auto"/>
        <w:rPr>
          <w:rFonts w:ascii="Verdana" w:eastAsia="Calibri" w:hAnsi="Verdana" w:cs="Arial"/>
          <w:lang w:val="es-ES_tradnl" w:eastAsia="es-ES_tradnl"/>
        </w:rPr>
      </w:pPr>
      <w:r>
        <w:rPr>
          <w:rFonts w:ascii="Verdana" w:eastAsia="Calibri" w:hAnsi="Verdana" w:cs="Arial"/>
          <w:bCs/>
          <w:lang w:val="es-ES_tradnl" w:eastAsia="es-ES_tradnl"/>
        </w:rPr>
        <w:t>Ciudad</w:t>
      </w:r>
    </w:p>
    <w:p w14:paraId="3EF2DB95" w14:textId="77777777" w:rsidR="00557077" w:rsidRPr="00CC5C68" w:rsidRDefault="00557077" w:rsidP="00557077">
      <w:pPr>
        <w:spacing w:after="0" w:line="240" w:lineRule="auto"/>
        <w:rPr>
          <w:rFonts w:ascii="Verdana" w:eastAsia="Calibri" w:hAnsi="Verdana" w:cs="Arial"/>
          <w:lang w:val="es-ES_tradnl" w:eastAsia="es-ES_tradnl"/>
        </w:rPr>
      </w:pPr>
    </w:p>
    <w:p w14:paraId="05DEBDCC" w14:textId="77777777" w:rsidR="00557077" w:rsidRPr="00CC5C68" w:rsidRDefault="00557077" w:rsidP="00557077">
      <w:pPr>
        <w:spacing w:after="0" w:line="240" w:lineRule="auto"/>
        <w:rPr>
          <w:rFonts w:ascii="Verdana" w:eastAsia="Calibri" w:hAnsi="Verdana" w:cs="Arial"/>
          <w:lang w:val="es-ES_tradnl" w:eastAsia="es-ES_tradnl"/>
        </w:rPr>
      </w:pPr>
    </w:p>
    <w:p w14:paraId="4D23E658" w14:textId="7DCC9294" w:rsidR="00557077" w:rsidRPr="00CC5C68" w:rsidRDefault="00557077" w:rsidP="00557077">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sidR="008D48CA">
        <w:rPr>
          <w:rFonts w:ascii="Verdana" w:eastAsia="Calibri" w:hAnsi="Verdana" w:cs="Arial"/>
          <w:b/>
          <w:bCs/>
          <w:lang w:val="es-ES" w:eastAsia="es-ES_tradnl"/>
        </w:rPr>
        <w:t>652</w:t>
      </w:r>
      <w:r w:rsidRPr="00CC5C68">
        <w:rPr>
          <w:rFonts w:ascii="Verdana" w:eastAsia="Calibri" w:hAnsi="Verdana" w:cs="Arial"/>
          <w:b/>
          <w:bCs/>
          <w:lang w:val="es-ES" w:eastAsia="es-ES_tradnl"/>
        </w:rPr>
        <w:t xml:space="preserve"> de 202</w:t>
      </w:r>
      <w:r>
        <w:rPr>
          <w:rFonts w:ascii="Verdana" w:eastAsia="Calibri" w:hAnsi="Verdana" w:cs="Arial"/>
          <w:b/>
          <w:bCs/>
          <w:lang w:val="es-ES" w:eastAsia="es-ES_tradnl"/>
        </w:rPr>
        <w:t>5</w:t>
      </w:r>
    </w:p>
    <w:p w14:paraId="75489063" w14:textId="77777777" w:rsidR="00557077" w:rsidRPr="00CC5C68" w:rsidRDefault="00557077" w:rsidP="00557077">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557077" w:rsidRPr="00CC5C68" w14:paraId="5B341D6E" w14:textId="77777777" w:rsidTr="00B20116">
        <w:trPr>
          <w:jc w:val="right"/>
        </w:trPr>
        <w:tc>
          <w:tcPr>
            <w:tcW w:w="1838" w:type="dxa"/>
          </w:tcPr>
          <w:p w14:paraId="0C7572DE" w14:textId="77777777" w:rsidR="00557077" w:rsidRPr="00CC5C68" w:rsidRDefault="00557077" w:rsidP="00B20116">
            <w:pPr>
              <w:jc w:val="cente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237" w:type="dxa"/>
          </w:tcPr>
          <w:p w14:paraId="10C4711D" w14:textId="7D61E0A8" w:rsidR="00557077" w:rsidRPr="00CC5C68" w:rsidRDefault="00B63B09" w:rsidP="00B20116">
            <w:pPr>
              <w:jc w:val="both"/>
              <w:textAlignment w:val="baseline"/>
              <w:rPr>
                <w:rFonts w:ascii="Verdana" w:eastAsia="Times New Roman" w:hAnsi="Verdana" w:cs="Arial"/>
                <w:lang w:val="es-ES_tradnl" w:eastAsia="es-ES_tradnl"/>
              </w:rPr>
            </w:pPr>
            <w:r w:rsidRPr="00B63B09">
              <w:rPr>
                <w:rFonts w:ascii="Verdana" w:eastAsia="Times New Roman" w:hAnsi="Verdana" w:cs="Arial"/>
                <w:lang w:eastAsia="es-ES_tradnl"/>
              </w:rPr>
              <w:t xml:space="preserve">CONTRATO DE PRESTACIÓN DE SERVICIOS – Concepto − Características </w:t>
            </w:r>
            <w:r w:rsidRPr="00AE147B">
              <w:rPr>
                <w:rFonts w:ascii="Verdana" w:eastAsia="Times New Roman" w:hAnsi="Verdana" w:cs="Arial"/>
                <w:lang w:eastAsia="es-ES_tradnl"/>
              </w:rPr>
              <w:t xml:space="preserve">generales </w:t>
            </w:r>
            <w:r w:rsidR="00557077" w:rsidRPr="00AE147B">
              <w:rPr>
                <w:rFonts w:ascii="Verdana" w:eastAsia="Times New Roman" w:hAnsi="Verdana" w:cs="Arial"/>
                <w:lang w:eastAsia="es-ES_tradnl"/>
              </w:rPr>
              <w:t>/</w:t>
            </w:r>
            <w:r w:rsidR="00AE147B" w:rsidRPr="00AE147B">
              <w:rPr>
                <w:rFonts w:ascii="Verdana" w:eastAsia="Times New Roman" w:hAnsi="Verdana" w:cs="Arial"/>
                <w:lang w:eastAsia="es-ES_tradnl"/>
              </w:rPr>
              <w:t xml:space="preserve"> CONTRATO DE PRESTACIÓN DE SERVICIOS PROFESIONALES – Temporalidad – Circular Conjunta 100-005-2022 – Sentencia de Unificación SUJ-025-CE-S2-2021</w:t>
            </w:r>
          </w:p>
        </w:tc>
      </w:tr>
      <w:tr w:rsidR="00557077" w:rsidRPr="00CC5C68" w14:paraId="55CB8C9F" w14:textId="77777777" w:rsidTr="00B20116">
        <w:trPr>
          <w:jc w:val="right"/>
        </w:trPr>
        <w:tc>
          <w:tcPr>
            <w:tcW w:w="1838" w:type="dxa"/>
          </w:tcPr>
          <w:p w14:paraId="7959F221" w14:textId="77777777" w:rsidR="00557077" w:rsidRPr="00CC5C68" w:rsidRDefault="00557077" w:rsidP="00B20116">
            <w:pPr>
              <w:jc w:val="cente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237" w:type="dxa"/>
          </w:tcPr>
          <w:p w14:paraId="0AAACEC8" w14:textId="77C17B21" w:rsidR="00557077" w:rsidRPr="00CC5C68" w:rsidRDefault="00557077" w:rsidP="00B20116">
            <w:pPr>
              <w:jc w:val="both"/>
              <w:rPr>
                <w:rFonts w:ascii="Verdana" w:eastAsia="Calibri" w:hAnsi="Verdana" w:cs="Arial"/>
                <w:lang w:val="es-ES" w:eastAsia="es-ES_tradnl"/>
              </w:rPr>
            </w:pPr>
            <w:r w:rsidRPr="00CC5C68">
              <w:rPr>
                <w:rFonts w:ascii="Verdana" w:eastAsia="Calibri" w:hAnsi="Verdana" w:cs="Arial"/>
                <w:lang w:val="es-ES" w:eastAsia="es-ES_tradnl"/>
              </w:rPr>
              <w:t>Respuesta a consulta</w:t>
            </w:r>
            <w:r w:rsidR="008D48CA">
              <w:rPr>
                <w:rFonts w:ascii="Verdana" w:eastAsia="Calibri" w:hAnsi="Verdana" w:cs="Arial"/>
                <w:lang w:val="es-ES" w:eastAsia="es-ES_tradnl"/>
              </w:rPr>
              <w:t xml:space="preserve"> </w:t>
            </w:r>
            <w:r w:rsidRPr="00CC5C68">
              <w:rPr>
                <w:rFonts w:ascii="Verdana" w:eastAsia="Calibri" w:hAnsi="Verdana" w:cs="Arial"/>
                <w:lang w:val="es-ES" w:eastAsia="es-ES_tradnl"/>
              </w:rPr>
              <w:t xml:space="preserve">No. </w:t>
            </w:r>
            <w:r w:rsidR="008D48CA" w:rsidRPr="008D48CA">
              <w:rPr>
                <w:rFonts w:ascii="Verdana" w:eastAsia="Times New Roman" w:hAnsi="Verdana" w:cs="Arial"/>
                <w:lang w:eastAsia="es-ES_tradnl"/>
              </w:rPr>
              <w:t>P20250523005005</w:t>
            </w:r>
          </w:p>
        </w:tc>
      </w:tr>
    </w:tbl>
    <w:p w14:paraId="3634BD47" w14:textId="77777777" w:rsidR="00557077" w:rsidRPr="00CC5C68" w:rsidRDefault="00557077" w:rsidP="00557077">
      <w:pPr>
        <w:spacing w:after="0" w:line="240" w:lineRule="auto"/>
        <w:jc w:val="both"/>
        <w:rPr>
          <w:rFonts w:ascii="Verdana" w:eastAsia="Calibri" w:hAnsi="Verdana" w:cs="Arial"/>
          <w:lang w:val="es-ES_tradnl" w:eastAsia="es-ES_tradnl"/>
        </w:rPr>
      </w:pPr>
    </w:p>
    <w:p w14:paraId="204E0AB0" w14:textId="77777777" w:rsidR="00557077" w:rsidRPr="00CC5C68" w:rsidRDefault="00557077" w:rsidP="00557077">
      <w:pPr>
        <w:spacing w:after="0" w:line="240" w:lineRule="auto"/>
        <w:jc w:val="both"/>
        <w:rPr>
          <w:rFonts w:ascii="Verdana" w:eastAsia="Calibri" w:hAnsi="Verdana" w:cs="Arial"/>
          <w:lang w:val="es-ES_tradnl" w:eastAsia="es-ES_tradnl"/>
        </w:rPr>
      </w:pPr>
    </w:p>
    <w:p w14:paraId="6CFCB6C2" w14:textId="1C6B8CA2" w:rsidR="00557077" w:rsidRPr="00CC5C68" w:rsidRDefault="00557077" w:rsidP="00557077">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Estimad</w:t>
      </w:r>
      <w:r w:rsidR="008D48CA">
        <w:rPr>
          <w:rFonts w:ascii="Verdana" w:eastAsia="Calibri" w:hAnsi="Verdana" w:cs="Arial"/>
          <w:lang w:val="es-ES_tradnl" w:eastAsia="es-ES_tradnl"/>
        </w:rPr>
        <w:t>o</w:t>
      </w:r>
      <w:r w:rsidRPr="00CC5C68">
        <w:rPr>
          <w:rFonts w:ascii="Verdana" w:eastAsia="Calibri" w:hAnsi="Verdana" w:cs="Arial"/>
          <w:lang w:val="es-ES_tradnl" w:eastAsia="es-ES_tradnl"/>
        </w:rPr>
        <w:t xml:space="preserve"> seño</w:t>
      </w:r>
      <w:r>
        <w:rPr>
          <w:rFonts w:ascii="Verdana" w:eastAsia="Calibri" w:hAnsi="Verdana" w:cs="Arial"/>
          <w:lang w:val="es-ES_tradnl" w:eastAsia="es-ES_tradnl"/>
        </w:rPr>
        <w:t>r</w:t>
      </w:r>
      <w:r w:rsidR="008D48CA">
        <w:rPr>
          <w:rFonts w:ascii="Verdana" w:eastAsia="Calibri" w:hAnsi="Verdana" w:cs="Arial"/>
          <w:lang w:val="es-ES_tradnl" w:eastAsia="es-ES_tradnl"/>
        </w:rPr>
        <w:t xml:space="preserve"> García</w:t>
      </w:r>
      <w:r w:rsidRPr="00CC5C68">
        <w:rPr>
          <w:rFonts w:ascii="Verdana" w:eastAsia="Calibri" w:hAnsi="Verdana" w:cs="Arial"/>
          <w:bCs/>
          <w:lang w:val="es-ES_tradnl" w:eastAsia="es-ES_tradnl"/>
        </w:rPr>
        <w:t>:</w:t>
      </w:r>
    </w:p>
    <w:p w14:paraId="35FC32DA" w14:textId="77777777" w:rsidR="00557077" w:rsidRPr="00CC5C68" w:rsidRDefault="00557077" w:rsidP="00557077">
      <w:pPr>
        <w:spacing w:after="0" w:line="276" w:lineRule="auto"/>
        <w:contextualSpacing/>
        <w:jc w:val="both"/>
        <w:rPr>
          <w:rFonts w:ascii="Verdana" w:eastAsia="Calibri" w:hAnsi="Verdana" w:cs="Arial"/>
          <w:lang w:val="es-ES_tradnl" w:eastAsia="es-ES_tradnl"/>
        </w:rPr>
      </w:pPr>
    </w:p>
    <w:p w14:paraId="2737B122" w14:textId="2007A73B" w:rsidR="00557077" w:rsidRPr="00CC5C68" w:rsidRDefault="00557077" w:rsidP="00557077">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w:t>
      </w:r>
      <w:r w:rsidR="00A67F7D">
        <w:rPr>
          <w:rFonts w:ascii="Verdana" w:eastAsia="Calibri" w:hAnsi="Verdana" w:cs="Arial"/>
          <w:lang w:val="es-ES" w:eastAsia="es-ES_tradnl"/>
        </w:rPr>
        <w:t xml:space="preserve"> </w:t>
      </w:r>
      <w:r w:rsidR="00426345">
        <w:rPr>
          <w:rFonts w:ascii="Verdana" w:eastAsia="Calibri" w:hAnsi="Verdana" w:cs="Arial"/>
          <w:lang w:val="es-ES" w:eastAsia="es-ES_tradnl"/>
        </w:rPr>
        <w:t>23</w:t>
      </w:r>
      <w:r w:rsidRPr="00CC5C68">
        <w:rPr>
          <w:rFonts w:ascii="Verdana" w:eastAsia="Calibri" w:hAnsi="Verdana" w:cs="Arial"/>
          <w:lang w:val="es-ES" w:eastAsia="es-ES_tradnl"/>
        </w:rPr>
        <w:t xml:space="preserve"> de </w:t>
      </w:r>
      <w:r>
        <w:rPr>
          <w:rFonts w:ascii="Verdana" w:eastAsia="Calibri" w:hAnsi="Verdana" w:cs="Arial"/>
          <w:lang w:val="es-ES" w:eastAsia="es-ES_tradnl"/>
        </w:rPr>
        <w:t>mayo</w:t>
      </w:r>
      <w:r w:rsidRPr="00CC5C68">
        <w:rPr>
          <w:rFonts w:ascii="Verdana" w:eastAsia="Calibri" w:hAnsi="Verdana" w:cs="Arial"/>
          <w:lang w:val="es-ES" w:eastAsia="es-ES_tradnl"/>
        </w:rPr>
        <w:t xml:space="preserve"> de 202</w:t>
      </w:r>
      <w:r>
        <w:rPr>
          <w:rFonts w:ascii="Verdana" w:eastAsia="Calibri" w:hAnsi="Verdana" w:cs="Arial"/>
          <w:lang w:val="es-ES" w:eastAsia="es-ES_tradnl"/>
        </w:rPr>
        <w:t>5</w:t>
      </w:r>
      <w:r w:rsidRPr="00CC5C68">
        <w:rPr>
          <w:rFonts w:ascii="Verdana" w:eastAsia="Calibri" w:hAnsi="Verdana" w:cs="Arial"/>
          <w:lang w:val="es-ES" w:eastAsia="es-ES_tradnl"/>
        </w:rPr>
        <w:t>,</w:t>
      </w:r>
      <w:r>
        <w:rPr>
          <w:rFonts w:ascii="Verdana" w:eastAsia="Calibri" w:hAnsi="Verdana" w:cs="Arial"/>
          <w:lang w:val="es-ES" w:eastAsia="es-ES_tradnl"/>
        </w:rPr>
        <w:t xml:space="preserve"> remitida por el Departamento Administrativo de la Función Pública con oficio remisorio No. </w:t>
      </w:r>
      <w:r w:rsidR="00D1105E" w:rsidRPr="00D1105E">
        <w:rPr>
          <w:rFonts w:ascii="Verdana" w:eastAsia="Calibri" w:hAnsi="Verdana" w:cs="Arial"/>
          <w:lang w:val="es-ES" w:eastAsia="es-ES_tradnl"/>
        </w:rPr>
        <w:t>20252040252591</w:t>
      </w:r>
      <w:r w:rsidR="00D1105E">
        <w:rPr>
          <w:rFonts w:ascii="Verdana" w:eastAsia="Calibri" w:hAnsi="Verdana" w:cs="Arial"/>
          <w:lang w:val="es-ES" w:eastAsia="es-ES_tradnl"/>
        </w:rPr>
        <w:t xml:space="preserve"> </w:t>
      </w:r>
      <w:r w:rsidRPr="00CC5C68">
        <w:rPr>
          <w:rFonts w:ascii="Verdana" w:eastAsia="Calibri" w:hAnsi="Verdana" w:cs="Arial"/>
          <w:lang w:val="es-ES" w:eastAsia="es-ES_tradnl"/>
        </w:rPr>
        <w:t>en la cual manifiesta lo siguiente:</w:t>
      </w:r>
    </w:p>
    <w:p w14:paraId="1E933A53" w14:textId="77777777" w:rsidR="00557077" w:rsidRPr="00CC5C68" w:rsidRDefault="00557077" w:rsidP="00557077">
      <w:pPr>
        <w:spacing w:after="0" w:line="276" w:lineRule="auto"/>
        <w:contextualSpacing/>
        <w:jc w:val="both"/>
        <w:rPr>
          <w:rFonts w:ascii="Verdana" w:eastAsia="Calibri" w:hAnsi="Verdana" w:cs="Arial"/>
          <w:b/>
          <w:szCs w:val="24"/>
          <w:lang w:val="es-ES_tradnl" w:eastAsia="es-ES_tradnl"/>
        </w:rPr>
      </w:pPr>
    </w:p>
    <w:p w14:paraId="7A427C05" w14:textId="1585FB32" w:rsidR="00602181" w:rsidRPr="00602181" w:rsidRDefault="00557077" w:rsidP="00602181">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00602181" w:rsidRPr="00602181">
        <w:rPr>
          <w:rFonts w:ascii="Verdana" w:eastAsia="Times New Roman" w:hAnsi="Verdana" w:cs="Arial"/>
          <w:sz w:val="21"/>
          <w:szCs w:val="21"/>
          <w:lang w:eastAsia="es-ES_tradnl"/>
        </w:rPr>
        <w:t>En una entidad pública determinada como sociedad descentralizada indirecta de la nación, con el carácter de sociedad entre entidades públicas, catalogada como una empresa industrial y comercial del Estado</w:t>
      </w:r>
    </w:p>
    <w:p w14:paraId="639CCB6B" w14:textId="77777777" w:rsidR="00602181" w:rsidRPr="00602181" w:rsidRDefault="00602181" w:rsidP="00602181">
      <w:pPr>
        <w:spacing w:after="0" w:line="240" w:lineRule="auto"/>
        <w:ind w:left="709" w:right="709"/>
        <w:contextualSpacing/>
        <w:jc w:val="both"/>
        <w:rPr>
          <w:rFonts w:ascii="Verdana" w:eastAsia="Times New Roman" w:hAnsi="Verdana" w:cs="Arial"/>
          <w:sz w:val="21"/>
          <w:szCs w:val="21"/>
          <w:lang w:eastAsia="es-ES_tradnl"/>
        </w:rPr>
      </w:pPr>
      <w:r w:rsidRPr="00602181">
        <w:rPr>
          <w:rFonts w:ascii="Verdana" w:eastAsia="Times New Roman" w:hAnsi="Verdana" w:cs="Arial"/>
          <w:sz w:val="21"/>
          <w:szCs w:val="21"/>
          <w:lang w:eastAsia="es-ES_tradnl"/>
        </w:rPr>
        <w:t>1. Se puede realizar contratación de prestación de servicios por más de cuatro meses cuando las necesidades del servicio así lo requieren para cumplir la misión y el objetivo de la entidad.</w:t>
      </w:r>
    </w:p>
    <w:p w14:paraId="7FA407F6" w14:textId="77777777" w:rsidR="00602181" w:rsidRDefault="00602181" w:rsidP="00602181">
      <w:pPr>
        <w:spacing w:after="0" w:line="240" w:lineRule="auto"/>
        <w:ind w:left="709" w:right="709"/>
        <w:contextualSpacing/>
        <w:jc w:val="both"/>
        <w:rPr>
          <w:rFonts w:ascii="Verdana" w:eastAsia="Times New Roman" w:hAnsi="Verdana" w:cs="Arial"/>
          <w:sz w:val="21"/>
          <w:szCs w:val="21"/>
          <w:lang w:eastAsia="es-ES_tradnl"/>
        </w:rPr>
      </w:pPr>
      <w:r w:rsidRPr="00602181">
        <w:rPr>
          <w:rFonts w:ascii="Verdana" w:eastAsia="Times New Roman" w:hAnsi="Verdana" w:cs="Arial"/>
          <w:sz w:val="21"/>
          <w:szCs w:val="21"/>
          <w:lang w:eastAsia="es-ES_tradnl"/>
        </w:rPr>
        <w:t xml:space="preserve">2. </w:t>
      </w:r>
      <w:proofErr w:type="spellStart"/>
      <w:r w:rsidRPr="00602181">
        <w:rPr>
          <w:rFonts w:ascii="Verdana" w:eastAsia="Times New Roman" w:hAnsi="Verdana" w:cs="Arial"/>
          <w:sz w:val="21"/>
          <w:szCs w:val="21"/>
          <w:lang w:eastAsia="es-ES_tradnl"/>
        </w:rPr>
        <w:t>cual</w:t>
      </w:r>
      <w:proofErr w:type="spellEnd"/>
      <w:r w:rsidRPr="00602181">
        <w:rPr>
          <w:rFonts w:ascii="Verdana" w:eastAsia="Times New Roman" w:hAnsi="Verdana" w:cs="Arial"/>
          <w:sz w:val="21"/>
          <w:szCs w:val="21"/>
          <w:lang w:eastAsia="es-ES_tradnl"/>
        </w:rPr>
        <w:t xml:space="preserve"> sería el límite de la contratación por prestación de servicios si se contrató por tres meses.</w:t>
      </w:r>
    </w:p>
    <w:p w14:paraId="27C67475" w14:textId="7CE30C3A" w:rsidR="00557077" w:rsidRPr="00CC5C68" w:rsidRDefault="00602181" w:rsidP="00602181">
      <w:pPr>
        <w:spacing w:after="0" w:line="240" w:lineRule="auto"/>
        <w:ind w:left="709" w:right="709"/>
        <w:contextualSpacing/>
        <w:jc w:val="both"/>
        <w:rPr>
          <w:rFonts w:ascii="Verdana" w:eastAsia="Times New Roman" w:hAnsi="Verdana" w:cs="Arial"/>
          <w:sz w:val="21"/>
          <w:szCs w:val="21"/>
          <w:lang w:eastAsia="es-ES_tradnl"/>
        </w:rPr>
      </w:pPr>
      <w:r w:rsidRPr="00602181">
        <w:rPr>
          <w:rFonts w:ascii="Verdana" w:eastAsia="Times New Roman" w:hAnsi="Verdana" w:cs="Arial"/>
          <w:sz w:val="21"/>
          <w:szCs w:val="21"/>
          <w:lang w:eastAsia="es-ES_tradnl"/>
        </w:rPr>
        <w:t xml:space="preserve">3. Si se pueden adicionar los contratos de prestación de servicios, siempre y cuando se respeten los límites establecidos por la ley; es decir que la adición puede ser en valor y/o en tiempo, que no debe </w:t>
      </w:r>
      <w:r w:rsidRPr="00602181">
        <w:rPr>
          <w:rFonts w:ascii="Verdana" w:eastAsia="Times New Roman" w:hAnsi="Verdana" w:cs="Arial"/>
          <w:sz w:val="21"/>
          <w:szCs w:val="21"/>
          <w:lang w:eastAsia="es-ES_tradnl"/>
        </w:rPr>
        <w:lastRenderedPageBreak/>
        <w:t>exceder el 50% del valor inicial del contrato. Así las cosas, se podría omitir esta limitante según el consejo de estado.</w:t>
      </w:r>
      <w:r w:rsidR="00557077" w:rsidRPr="00CC5C68">
        <w:rPr>
          <w:rFonts w:ascii="Verdana" w:eastAsia="Times New Roman" w:hAnsi="Verdana" w:cs="Arial"/>
          <w:sz w:val="21"/>
          <w:szCs w:val="21"/>
          <w:lang w:eastAsia="es-ES_tradnl"/>
        </w:rPr>
        <w:t>”.</w:t>
      </w:r>
    </w:p>
    <w:p w14:paraId="036E6262" w14:textId="77777777" w:rsidR="00557077" w:rsidRPr="00CC5C68" w:rsidRDefault="00557077" w:rsidP="00557077">
      <w:pPr>
        <w:spacing w:after="0" w:line="240" w:lineRule="auto"/>
        <w:ind w:left="709" w:right="709"/>
        <w:contextualSpacing/>
        <w:jc w:val="both"/>
        <w:rPr>
          <w:rFonts w:ascii="Verdana" w:eastAsia="Times New Roman" w:hAnsi="Verdana" w:cs="Arial"/>
          <w:sz w:val="21"/>
          <w:szCs w:val="21"/>
          <w:lang w:eastAsia="es-ES_tradnl"/>
        </w:rPr>
      </w:pPr>
    </w:p>
    <w:p w14:paraId="3CC0EDB8" w14:textId="77777777" w:rsidR="00557077" w:rsidRPr="00CC5C68" w:rsidRDefault="00557077" w:rsidP="00557077">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506C7473" w14:textId="30C4D411" w:rsidR="00557077" w:rsidRPr="00CC5C68" w:rsidRDefault="00557077" w:rsidP="00557077">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sidR="00CE5A4F">
        <w:rPr>
          <w:rFonts w:ascii="Verdana" w:eastAsia="Calibri" w:hAnsi="Verdana" w:cs="Arial"/>
          <w:lang w:val="es-ES" w:eastAsia="es-ES"/>
        </w:rPr>
        <w:t>el(</w:t>
      </w:r>
      <w:r w:rsidRPr="00CC5C68">
        <w:rPr>
          <w:rFonts w:ascii="Verdana" w:eastAsia="Calibri" w:hAnsi="Verdana" w:cs="Arial"/>
          <w:lang w:val="es-ES" w:eastAsia="es-ES"/>
        </w:rPr>
        <w:t>los</w:t>
      </w:r>
      <w:r w:rsidR="00CE5A4F">
        <w:rPr>
          <w:rFonts w:ascii="Verdana" w:eastAsia="Calibri" w:hAnsi="Verdana" w:cs="Arial"/>
          <w:lang w:val="es-ES" w:eastAsia="es-ES"/>
        </w:rPr>
        <w:t>)</w:t>
      </w:r>
      <w:r w:rsidRPr="00CC5C68">
        <w:rPr>
          <w:rFonts w:ascii="Verdana" w:eastAsia="Calibri" w:hAnsi="Verdana" w:cs="Arial"/>
          <w:lang w:val="es-ES" w:eastAsia="es-ES"/>
        </w:rPr>
        <w:t xml:space="preserve"> problema</w:t>
      </w:r>
      <w:r w:rsidR="00CE5A4F">
        <w:rPr>
          <w:rFonts w:ascii="Verdana" w:eastAsia="Calibri" w:hAnsi="Verdana" w:cs="Arial"/>
          <w:lang w:val="es-ES" w:eastAsia="es-ES"/>
        </w:rPr>
        <w:t>(</w:t>
      </w:r>
      <w:r w:rsidRPr="00CC5C68">
        <w:rPr>
          <w:rFonts w:ascii="Verdana" w:eastAsia="Calibri" w:hAnsi="Verdana" w:cs="Arial"/>
          <w:lang w:val="es-ES" w:eastAsia="es-ES"/>
        </w:rPr>
        <w:t>s</w:t>
      </w:r>
      <w:r w:rsidR="00CE5A4F">
        <w:rPr>
          <w:rFonts w:ascii="Verdana" w:eastAsia="Calibri" w:hAnsi="Verdana" w:cs="Arial"/>
          <w:lang w:val="es-ES" w:eastAsia="es-ES"/>
        </w:rPr>
        <w:t>)</w:t>
      </w:r>
      <w:r w:rsidRPr="00CC5C68">
        <w:rPr>
          <w:rFonts w:ascii="Verdana" w:eastAsia="Calibri" w:hAnsi="Verdana" w:cs="Arial"/>
          <w:lang w:val="es-ES" w:eastAsia="es-ES"/>
        </w:rPr>
        <w:t xml:space="preserve"> jurídico</w:t>
      </w:r>
      <w:r w:rsidR="00CE5A4F">
        <w:rPr>
          <w:rFonts w:ascii="Verdana" w:eastAsia="Calibri" w:hAnsi="Verdana" w:cs="Arial"/>
          <w:lang w:val="es-ES" w:eastAsia="es-ES"/>
        </w:rPr>
        <w:t>(</w:t>
      </w:r>
      <w:r w:rsidRPr="00CC5C68">
        <w:rPr>
          <w:rFonts w:ascii="Verdana" w:eastAsia="Calibri" w:hAnsi="Verdana" w:cs="Arial"/>
          <w:lang w:val="es-ES" w:eastAsia="es-ES"/>
        </w:rPr>
        <w:t>s</w:t>
      </w:r>
      <w:r w:rsidR="00CE5A4F">
        <w:rPr>
          <w:rFonts w:ascii="Verdana" w:eastAsia="Calibri" w:hAnsi="Verdana" w:cs="Arial"/>
          <w:lang w:val="es-ES" w:eastAsia="es-ES"/>
        </w:rPr>
        <w:t>)</w:t>
      </w:r>
      <w:r w:rsidRPr="00CC5C68">
        <w:rPr>
          <w:rFonts w:ascii="Verdana" w:eastAsia="Calibri" w:hAnsi="Verdana" w:cs="Arial"/>
          <w:lang w:val="es-ES" w:eastAsia="es-ES"/>
        </w:rPr>
        <w:t xml:space="preserve"> de su consulta. </w:t>
      </w:r>
    </w:p>
    <w:p w14:paraId="6BBC39FD" w14:textId="77777777" w:rsidR="00557077" w:rsidRPr="00CC5C68" w:rsidRDefault="00557077" w:rsidP="00557077">
      <w:pPr>
        <w:spacing w:after="0" w:line="276" w:lineRule="auto"/>
        <w:contextualSpacing/>
        <w:jc w:val="both"/>
        <w:rPr>
          <w:rFonts w:ascii="Verdana" w:eastAsia="Times New Roman" w:hAnsi="Verdana" w:cs="Arial"/>
          <w:szCs w:val="24"/>
          <w:lang w:val="es-ES_tradnl" w:eastAsia="es-ES_tradnl"/>
        </w:rPr>
      </w:pPr>
    </w:p>
    <w:p w14:paraId="2F09936D" w14:textId="77777777" w:rsidR="00557077" w:rsidRPr="00CC5C68" w:rsidRDefault="00557077" w:rsidP="00557077">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1D698176" w14:textId="77777777" w:rsidR="00557077" w:rsidRPr="00CC5C68" w:rsidRDefault="00557077" w:rsidP="00557077">
      <w:pPr>
        <w:tabs>
          <w:tab w:val="left" w:pos="0"/>
          <w:tab w:val="left" w:pos="284"/>
        </w:tabs>
        <w:spacing w:after="0" w:line="276" w:lineRule="auto"/>
        <w:contextualSpacing/>
        <w:jc w:val="both"/>
        <w:rPr>
          <w:rFonts w:ascii="Verdana" w:eastAsia="Calibri" w:hAnsi="Verdana" w:cs="Arial"/>
          <w:b/>
          <w:lang w:val="es-ES_tradnl"/>
        </w:rPr>
      </w:pPr>
    </w:p>
    <w:p w14:paraId="73983C91" w14:textId="58737CA7" w:rsidR="00557077" w:rsidRPr="00CC5C68" w:rsidRDefault="00557077" w:rsidP="00557077">
      <w:pPr>
        <w:spacing w:after="0" w:line="276" w:lineRule="auto"/>
        <w:jc w:val="both"/>
        <w:rPr>
          <w:rFonts w:ascii="Verdana" w:eastAsia="Century Gothic" w:hAnsi="Verdana" w:cs="Century Gothic"/>
        </w:rPr>
      </w:pPr>
      <w:r w:rsidRPr="00CC5C68">
        <w:rPr>
          <w:rFonts w:ascii="Verdana" w:eastAsia="Century Gothic" w:hAnsi="Verdana" w:cs="Century Gothic"/>
        </w:rPr>
        <w:t>De acuerdo con el contenido de su solicitud, esta Agencia resolverá el siguiente problema jurídico: ¿</w:t>
      </w:r>
      <w:r w:rsidR="00DD29BC">
        <w:rPr>
          <w:rFonts w:ascii="Verdana" w:eastAsia="Century Gothic" w:hAnsi="Verdana" w:cs="Century Gothic"/>
        </w:rPr>
        <w:t>Una entidad catalogada como Empresa Industrial y Comercial del Estado puede celebrar contratos de prestación de servicios con una duración superior a 4 meses?, y según la sentencia del Consejo de Estado que</w:t>
      </w:r>
      <w:r w:rsidR="00DD29BC" w:rsidRPr="00DD29BC">
        <w:rPr>
          <w:rFonts w:ascii="Verdana" w:eastAsia="Century Gothic" w:hAnsi="Verdana" w:cs="Century Gothic"/>
        </w:rPr>
        <w:t xml:space="preserve"> revocó la circular 100-005-2022 emitida por </w:t>
      </w:r>
      <w:r w:rsidR="00DD29BC">
        <w:rPr>
          <w:rFonts w:ascii="Verdana" w:eastAsia="Century Gothic" w:hAnsi="Verdana" w:cs="Century Gothic"/>
        </w:rPr>
        <w:t xml:space="preserve">el Departamento Administrativo de la </w:t>
      </w:r>
      <w:r w:rsidR="00DD29BC" w:rsidRPr="00DD29BC">
        <w:rPr>
          <w:rFonts w:ascii="Verdana" w:eastAsia="Century Gothic" w:hAnsi="Verdana" w:cs="Century Gothic"/>
        </w:rPr>
        <w:t>Función Pública</w:t>
      </w:r>
      <w:r w:rsidR="00DD29BC">
        <w:rPr>
          <w:rFonts w:ascii="Verdana" w:eastAsia="Century Gothic" w:hAnsi="Verdana" w:cs="Century Gothic"/>
        </w:rPr>
        <w:t>, para los contratos de prestación de servicios ¿Es posible omitir el límite de</w:t>
      </w:r>
      <w:r w:rsidR="009171B1">
        <w:rPr>
          <w:rFonts w:ascii="Verdana" w:eastAsia="Century Gothic" w:hAnsi="Verdana" w:cs="Century Gothic"/>
        </w:rPr>
        <w:t>l 50% de</w:t>
      </w:r>
      <w:r w:rsidR="00DD29BC">
        <w:rPr>
          <w:rFonts w:ascii="Verdana" w:eastAsia="Century Gothic" w:hAnsi="Verdana" w:cs="Century Gothic"/>
        </w:rPr>
        <w:t xml:space="preserve"> las adiciones que indica la ley</w:t>
      </w:r>
      <w:r w:rsidRPr="00CC5C68">
        <w:rPr>
          <w:rFonts w:ascii="Verdana" w:eastAsia="Century Gothic" w:hAnsi="Verdana" w:cs="Century Gothic"/>
        </w:rPr>
        <w:t xml:space="preserve">? </w:t>
      </w:r>
    </w:p>
    <w:p w14:paraId="3258896D" w14:textId="77777777" w:rsidR="00557077" w:rsidRPr="00CC5C68" w:rsidRDefault="00557077" w:rsidP="00557077">
      <w:pPr>
        <w:spacing w:after="0" w:line="276" w:lineRule="auto"/>
        <w:ind w:firstLine="709"/>
        <w:jc w:val="both"/>
        <w:rPr>
          <w:rFonts w:ascii="Verdana" w:eastAsia="Calibri" w:hAnsi="Verdana" w:cs="Arial"/>
          <w:lang w:val="es-ES" w:eastAsia="es-ES_tradnl"/>
        </w:rPr>
      </w:pPr>
    </w:p>
    <w:p w14:paraId="099CF317" w14:textId="77777777" w:rsidR="00557077" w:rsidRPr="00CC5C68" w:rsidRDefault="00557077" w:rsidP="00557077">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652680AF" w14:textId="77777777" w:rsidR="00557077" w:rsidRPr="00CC5C68" w:rsidRDefault="00557077" w:rsidP="0055707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57077" w:rsidRPr="00CC5C68" w14:paraId="503FCEE1" w14:textId="77777777" w:rsidTr="00B20116">
        <w:tc>
          <w:tcPr>
            <w:tcW w:w="8828" w:type="dxa"/>
            <w:shd w:val="clear" w:color="auto" w:fill="auto"/>
          </w:tcPr>
          <w:p w14:paraId="308FA631" w14:textId="69B9D630" w:rsidR="00580292" w:rsidRDefault="00E83ECE" w:rsidP="00B20116">
            <w:pPr>
              <w:spacing w:after="120" w:line="276" w:lineRule="auto"/>
              <w:jc w:val="both"/>
              <w:rPr>
                <w:rFonts w:ascii="Verdana" w:eastAsia="Times New Roman" w:hAnsi="Verdana" w:cs="Arial"/>
                <w:lang w:eastAsia="es-ES_tradnl"/>
              </w:rPr>
            </w:pPr>
            <w:r>
              <w:rPr>
                <w:rFonts w:ascii="Verdana" w:eastAsia="Times New Roman" w:hAnsi="Verdana" w:cs="Arial"/>
                <w:lang w:eastAsia="es-ES_tradnl"/>
              </w:rPr>
              <w:t xml:space="preserve">Las </w:t>
            </w:r>
            <w:r>
              <w:rPr>
                <w:rFonts w:ascii="Verdana" w:eastAsia="Century Gothic" w:hAnsi="Verdana" w:cs="Century Gothic"/>
              </w:rPr>
              <w:t>Empresas Industriales y Comerciales del Estado sí pueden celebrar contratos de prestación de servicios con una duración superior a 4 meses.</w:t>
            </w:r>
            <w:r w:rsidR="00580292">
              <w:rPr>
                <w:rFonts w:ascii="Verdana" w:eastAsia="Times New Roman" w:hAnsi="Verdana" w:cs="Arial"/>
                <w:lang w:eastAsia="es-ES_tradnl"/>
              </w:rPr>
              <w:t xml:space="preserve"> En primer lugar, la </w:t>
            </w:r>
            <w:r w:rsidR="00580292" w:rsidRPr="00580292">
              <w:rPr>
                <w:rFonts w:ascii="Verdana" w:eastAsia="Times New Roman" w:hAnsi="Verdana" w:cs="Arial"/>
                <w:lang w:eastAsia="es-ES_tradnl"/>
              </w:rPr>
              <w:t>Circular Conjunta 100-005-2022</w:t>
            </w:r>
            <w:r w:rsidR="00580292">
              <w:rPr>
                <w:rFonts w:ascii="Verdana" w:eastAsia="Times New Roman" w:hAnsi="Verdana" w:cs="Arial"/>
                <w:lang w:eastAsia="es-ES_tradnl"/>
              </w:rPr>
              <w:t xml:space="preserve"> expedida por el </w:t>
            </w:r>
            <w:r w:rsidR="00580292">
              <w:rPr>
                <w:rFonts w:ascii="Verdana" w:eastAsia="Times New Roman" w:hAnsi="Verdana" w:cs="Arial"/>
                <w:lang w:eastAsia="es-ES_tradnl"/>
              </w:rPr>
              <w:lastRenderedPageBreak/>
              <w:t>Departamento Administrativo de la Función Pública y la Escuela Superior de Administración Pública se dirige a los “</w:t>
            </w:r>
            <w:r w:rsidR="00580292" w:rsidRPr="00580292">
              <w:rPr>
                <w:rFonts w:ascii="Verdana" w:eastAsia="Times New Roman" w:hAnsi="Verdana" w:cs="Arial"/>
                <w:lang w:eastAsia="es-ES_tradnl"/>
              </w:rPr>
              <w:t>órganos, organismos y entidades del sector central y descentralizado de la rama ejecutiva del orden nacional y territorial</w:t>
            </w:r>
            <w:r w:rsidR="00580292">
              <w:rPr>
                <w:rFonts w:ascii="Verdana" w:eastAsia="Times New Roman" w:hAnsi="Verdana" w:cs="Arial"/>
                <w:lang w:eastAsia="es-ES_tradnl"/>
              </w:rPr>
              <w:t>”; no obstante, de acuerdo con el literal b) del numeral 2 del artículo 38 de Ley 489 de 1998, las empresas industriales y comerciales del Estado pertenecen al sector descentralizado por servicios, por lo cual la circular mencionada no las incluye</w:t>
            </w:r>
            <w:r w:rsidR="00AC35F7">
              <w:rPr>
                <w:rFonts w:ascii="Verdana" w:eastAsia="Times New Roman" w:hAnsi="Verdana" w:cs="Arial"/>
                <w:lang w:eastAsia="es-ES_tradnl"/>
              </w:rPr>
              <w:t xml:space="preserve"> y no les es aplicable</w:t>
            </w:r>
            <w:r w:rsidR="00580292">
              <w:rPr>
                <w:rFonts w:ascii="Verdana" w:eastAsia="Times New Roman" w:hAnsi="Verdana" w:cs="Arial"/>
                <w:lang w:eastAsia="es-ES_tradnl"/>
              </w:rPr>
              <w:t>.</w:t>
            </w:r>
          </w:p>
          <w:p w14:paraId="24E89FB5" w14:textId="7BA8B3A6" w:rsidR="00580292" w:rsidRDefault="00580292" w:rsidP="00B20116">
            <w:pPr>
              <w:spacing w:after="120" w:line="276" w:lineRule="auto"/>
              <w:jc w:val="both"/>
              <w:rPr>
                <w:rFonts w:ascii="Verdana" w:eastAsia="Times New Roman" w:hAnsi="Verdana" w:cs="Arial"/>
                <w:lang w:eastAsia="es-ES_tradnl"/>
              </w:rPr>
            </w:pPr>
            <w:r>
              <w:rPr>
                <w:rFonts w:ascii="Verdana" w:eastAsia="Times New Roman" w:hAnsi="Verdana" w:cs="Arial"/>
                <w:lang w:eastAsia="es-ES_tradnl"/>
              </w:rPr>
              <w:t>Además, c</w:t>
            </w:r>
            <w:r w:rsidRPr="00580292">
              <w:rPr>
                <w:rFonts w:ascii="Verdana" w:eastAsia="Times New Roman" w:hAnsi="Verdana" w:cs="Arial"/>
                <w:lang w:eastAsia="es-ES_tradnl"/>
              </w:rPr>
              <w:t xml:space="preserve">onsiderando que el contrato de prestación de servicios es una tipología contractual regulada por el numeral 3 del artículo 32 de la Ley 80 de 1993, norma que habilita su suscripción por el término estrictamente indispensable para cumplir su objeto, el numeral 3 de la Circular Conjunta 100-005-2022 no puede ser interpretado como una disposición que establece un plazo máximo de duración para los contratos de prestación de servicios, sino como una directriz administrativa orientadora tendiente a acompasar el proceso de creación de plantas temporales con la celebración de contratos de prestación de servicios durante </w:t>
            </w:r>
            <w:r>
              <w:rPr>
                <w:rFonts w:ascii="Verdana" w:eastAsia="Times New Roman" w:hAnsi="Verdana" w:cs="Arial"/>
                <w:lang w:eastAsia="es-ES_tradnl"/>
              </w:rPr>
              <w:t>el año 2023</w:t>
            </w:r>
            <w:r w:rsidRPr="00580292">
              <w:rPr>
                <w:rFonts w:ascii="Verdana" w:eastAsia="Times New Roman" w:hAnsi="Verdana" w:cs="Arial"/>
                <w:lang w:eastAsia="es-ES_tradnl"/>
              </w:rPr>
              <w:t>.</w:t>
            </w:r>
          </w:p>
          <w:p w14:paraId="16CF4AEF" w14:textId="1F147044" w:rsidR="00E83ECE" w:rsidRDefault="00E83ECE" w:rsidP="00B20116">
            <w:pPr>
              <w:spacing w:after="120" w:line="276" w:lineRule="auto"/>
              <w:jc w:val="both"/>
              <w:rPr>
                <w:rFonts w:ascii="Verdana" w:eastAsia="Times New Roman" w:hAnsi="Verdana" w:cs="Arial"/>
                <w:lang w:eastAsia="es-ES_tradnl"/>
              </w:rPr>
            </w:pPr>
            <w:r>
              <w:rPr>
                <w:rFonts w:ascii="Verdana" w:eastAsia="Times New Roman" w:hAnsi="Verdana" w:cs="Arial"/>
                <w:lang w:eastAsia="es-ES_tradnl"/>
              </w:rPr>
              <w:t xml:space="preserve">Por otra parte, sobre su pregunta respecto de la adición de los contratos de prestación de servicios, se aclara que la </w:t>
            </w:r>
            <w:r w:rsidRPr="00580292">
              <w:rPr>
                <w:rFonts w:ascii="Verdana" w:eastAsia="Times New Roman" w:hAnsi="Verdana" w:cs="Arial"/>
                <w:lang w:eastAsia="es-ES_tradnl"/>
              </w:rPr>
              <w:t>Circular Conjunta 100-005-2022</w:t>
            </w:r>
            <w:r>
              <w:rPr>
                <w:rFonts w:ascii="Verdana" w:eastAsia="Times New Roman" w:hAnsi="Verdana" w:cs="Arial"/>
                <w:lang w:eastAsia="es-ES_tradnl"/>
              </w:rPr>
              <w:t xml:space="preserve"> no contiene disposiciones relacionadas con este tema, por lo que las providencias del Consejo de Estado que se mencionan a continuación no se refieren a este</w:t>
            </w:r>
            <w:r w:rsidR="000B1142">
              <w:rPr>
                <w:rFonts w:ascii="Verdana" w:eastAsia="Times New Roman" w:hAnsi="Verdana" w:cs="Arial"/>
                <w:lang w:eastAsia="es-ES_tradnl"/>
              </w:rPr>
              <w:t>, y no modificaron la normativa sobre adición de los contratos estatales que en todo caso es aplicable actualmente</w:t>
            </w:r>
            <w:r w:rsidR="00B01A58">
              <w:rPr>
                <w:rFonts w:ascii="Verdana" w:eastAsia="Times New Roman" w:hAnsi="Verdana" w:cs="Arial"/>
                <w:lang w:eastAsia="es-ES_tradnl"/>
              </w:rPr>
              <w:t xml:space="preserve"> por lo que no es posible omitir el límite del parágrafo del artículo 40 de la Ley 80 de 1993</w:t>
            </w:r>
            <w:r>
              <w:rPr>
                <w:rFonts w:ascii="Verdana" w:eastAsia="Times New Roman" w:hAnsi="Verdana" w:cs="Arial"/>
                <w:lang w:eastAsia="es-ES_tradnl"/>
              </w:rPr>
              <w:t>.</w:t>
            </w:r>
          </w:p>
          <w:p w14:paraId="72FE9489" w14:textId="4385929D" w:rsidR="00E83ECE" w:rsidRPr="004676D1" w:rsidRDefault="00580292" w:rsidP="00FB4070">
            <w:pPr>
              <w:autoSpaceDE w:val="0"/>
              <w:autoSpaceDN w:val="0"/>
              <w:adjustRightInd w:val="0"/>
              <w:spacing w:after="120" w:line="276" w:lineRule="auto"/>
              <w:jc w:val="both"/>
              <w:rPr>
                <w:rFonts w:ascii="Verdana" w:hAnsi="Verdana" w:cs="Arial"/>
              </w:rPr>
            </w:pPr>
            <w:r>
              <w:rPr>
                <w:rFonts w:ascii="Verdana" w:eastAsia="Times New Roman" w:hAnsi="Verdana" w:cs="Arial"/>
                <w:lang w:eastAsia="es-ES_tradnl"/>
              </w:rPr>
              <w:t xml:space="preserve">Finalmente, se debe tener en cuenta que el Consejo de Estado mediante providencias con radicados </w:t>
            </w:r>
            <w:r w:rsidRPr="00580292">
              <w:rPr>
                <w:rFonts w:ascii="Verdana" w:eastAsia="Times New Roman" w:hAnsi="Verdana" w:cs="Arial"/>
                <w:lang w:eastAsia="es-ES_tradnl"/>
              </w:rPr>
              <w:t>11001-03-24-000-2023-00010-00 (69.700)</w:t>
            </w:r>
            <w:r>
              <w:rPr>
                <w:rFonts w:ascii="Verdana" w:eastAsia="Times New Roman" w:hAnsi="Verdana" w:cs="Arial"/>
                <w:lang w:eastAsia="es-ES_tradnl"/>
              </w:rPr>
              <w:t xml:space="preserve"> y </w:t>
            </w:r>
            <w:r w:rsidRPr="00580292">
              <w:rPr>
                <w:rFonts w:ascii="Verdana" w:eastAsia="Times New Roman" w:hAnsi="Verdana" w:cs="Arial"/>
                <w:lang w:eastAsia="es-ES_tradnl"/>
              </w:rPr>
              <w:t>11001-03-24-000-2023-00008-00 (69539)</w:t>
            </w:r>
            <w:r>
              <w:rPr>
                <w:rFonts w:ascii="Verdana" w:eastAsia="Times New Roman" w:hAnsi="Verdana" w:cs="Arial"/>
                <w:lang w:eastAsia="es-ES_tradnl"/>
              </w:rPr>
              <w:t xml:space="preserve"> decretó la medida cautelar de suspensión provisional de los efectos jurídicos del </w:t>
            </w:r>
            <w:r w:rsidR="003D2E45" w:rsidRPr="00580292">
              <w:rPr>
                <w:rFonts w:ascii="Verdana" w:eastAsia="Times New Roman" w:hAnsi="Verdana" w:cs="Arial"/>
                <w:lang w:eastAsia="es-ES_tradnl"/>
              </w:rPr>
              <w:t>numeral 3</w:t>
            </w:r>
            <w:r w:rsidRPr="00580292">
              <w:rPr>
                <w:rFonts w:ascii="Verdana" w:eastAsia="Times New Roman" w:hAnsi="Verdana" w:cs="Arial"/>
                <w:lang w:eastAsia="es-ES_tradnl"/>
              </w:rPr>
              <w:t xml:space="preserve"> de la Circular Conjunta 100-005-2022</w:t>
            </w:r>
            <w:r w:rsidR="00E83ECE">
              <w:rPr>
                <w:rFonts w:ascii="Verdana" w:eastAsia="Times New Roman" w:hAnsi="Verdana" w:cs="Arial"/>
                <w:lang w:eastAsia="es-ES_tradnl"/>
              </w:rPr>
              <w:t xml:space="preserve">, por lo que actualmente no es aplicable, y lo que rige sobre la temporalidad de los contratos de prestación de servicios es lo establecido por la Ley 80 de 1993 y la </w:t>
            </w:r>
            <w:r w:rsidR="00E83ECE" w:rsidRPr="00E83ECE">
              <w:rPr>
                <w:rFonts w:ascii="Verdana" w:eastAsia="Times New Roman" w:hAnsi="Verdana" w:cs="Arial"/>
                <w:lang w:eastAsia="es-ES_tradnl"/>
              </w:rPr>
              <w:t>Sentencia de Unificación Jurisprudencial SUJ-025-CE-S2-2021 de la Sección Segunda del Consejo de Estado</w:t>
            </w:r>
            <w:r w:rsidR="00E83ECE">
              <w:rPr>
                <w:rFonts w:ascii="Verdana" w:eastAsia="Times New Roman" w:hAnsi="Verdana" w:cs="Arial"/>
                <w:lang w:eastAsia="es-ES_tradnl"/>
              </w:rPr>
              <w:t xml:space="preserve">, esto es que el plazo de los contratos de prestación de servicios </w:t>
            </w:r>
            <w:r w:rsidR="00FB4070">
              <w:rPr>
                <w:rFonts w:ascii="Verdana" w:eastAsia="Times New Roman" w:hAnsi="Verdana" w:cs="Arial"/>
                <w:lang w:eastAsia="es-ES_tradnl"/>
              </w:rPr>
              <w:t xml:space="preserve">deberá </w:t>
            </w:r>
            <w:r w:rsidR="00E83ECE" w:rsidRPr="004676D1">
              <w:rPr>
                <w:rFonts w:ascii="Verdana" w:hAnsi="Verdana" w:cs="Arial"/>
              </w:rPr>
              <w:t xml:space="preserve">sujetarse al </w:t>
            </w:r>
            <w:r w:rsidR="00E83ECE" w:rsidRPr="004676D1">
              <w:rPr>
                <w:rFonts w:ascii="Verdana" w:hAnsi="Verdana" w:cs="Arial"/>
                <w:i/>
                <w:iCs/>
              </w:rPr>
              <w:t xml:space="preserve">“término estrictamente indispensable”, </w:t>
            </w:r>
            <w:r w:rsidR="00E83ECE" w:rsidRPr="004676D1">
              <w:rPr>
                <w:rFonts w:ascii="Verdana" w:hAnsi="Verdana" w:cs="Arial"/>
              </w:rPr>
              <w:t xml:space="preserve">el cual según lo manifestado en </w:t>
            </w:r>
            <w:r w:rsidR="00FB4070">
              <w:rPr>
                <w:rFonts w:ascii="Verdana" w:hAnsi="Verdana" w:cs="Arial"/>
              </w:rPr>
              <w:t>dicha sentencia</w:t>
            </w:r>
            <w:r w:rsidR="00E83ECE" w:rsidRPr="004676D1">
              <w:rPr>
                <w:rFonts w:ascii="Verdana" w:hAnsi="Verdana" w:cs="Arial"/>
              </w:rPr>
              <w:t xml:space="preserve"> es aquel que aparece expresamente estipulado en la minuta del contrato de prestación de servicios, que de acuerdo con los razonamientos contenidos en los estudios previos “representa el lapso durante el cual se </w:t>
            </w:r>
            <w:r w:rsidR="00E83ECE" w:rsidRPr="004676D1">
              <w:rPr>
                <w:rFonts w:ascii="Verdana" w:hAnsi="Verdana" w:cs="Arial"/>
              </w:rPr>
              <w:lastRenderedPageBreak/>
              <w:t>espera que el contratista cumpla a cabalidad el objeto del contrato y las obligaciones que de él se derivan, sin perjuicio de las prórrogas excepcionales que puedan acordarse para garantizar su cumplimiento”</w:t>
            </w:r>
            <w:r w:rsidR="00E83ECE" w:rsidRPr="004676D1">
              <w:rPr>
                <w:rStyle w:val="Refdenotaalpie"/>
                <w:rFonts w:ascii="Verdana" w:hAnsi="Verdana" w:cs="Arial"/>
              </w:rPr>
              <w:footnoteReference w:id="1"/>
            </w:r>
            <w:r w:rsidR="00E83ECE" w:rsidRPr="004676D1">
              <w:rPr>
                <w:rFonts w:ascii="Verdana" w:hAnsi="Verdana" w:cs="Arial"/>
              </w:rPr>
              <w:t xml:space="preserve">. En ese entendido, la temporalidad del contrato de prestación de servicios está determinada por el tiempo requerido para desarrollar el objeto para el que se celebra de acuerdo con lo establecido en los correspondientes estudios previos, en cumplimiento del principio de planeación, </w:t>
            </w:r>
            <w:proofErr w:type="gramStart"/>
            <w:r w:rsidR="00FB4070">
              <w:rPr>
                <w:rFonts w:ascii="Verdana" w:hAnsi="Verdana" w:cs="Arial"/>
              </w:rPr>
              <w:t>con</w:t>
            </w:r>
            <w:r w:rsidR="00FB4070" w:rsidRPr="004676D1">
              <w:rPr>
                <w:rFonts w:ascii="Verdana" w:hAnsi="Verdana" w:cs="Arial"/>
              </w:rPr>
              <w:t>juntamente con</w:t>
            </w:r>
            <w:proofErr w:type="gramEnd"/>
            <w:r w:rsidR="00E83ECE" w:rsidRPr="004676D1">
              <w:rPr>
                <w:rFonts w:ascii="Verdana" w:hAnsi="Verdana" w:cs="Arial"/>
              </w:rPr>
              <w:t xml:space="preserve"> la autonomía y voluntad de las partes.</w:t>
            </w:r>
          </w:p>
          <w:p w14:paraId="3C66D680" w14:textId="45B1D899" w:rsidR="00557077" w:rsidRPr="00CC5C68" w:rsidRDefault="00557077" w:rsidP="00E83ECE">
            <w:pPr>
              <w:spacing w:after="120" w:line="276" w:lineRule="auto"/>
              <w:jc w:val="both"/>
              <w:rPr>
                <w:rFonts w:ascii="Verdana" w:eastAsia="Calibri" w:hAnsi="Verdana" w:cs="Arial"/>
                <w:color w:val="7030A0"/>
              </w:rPr>
            </w:pPr>
            <w:r w:rsidRPr="00CC5C68">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Pr>
                <w:rFonts w:ascii="Verdana" w:eastAsia="Times New Roman" w:hAnsi="Verdana" w:cs="Arial"/>
                <w:lang w:eastAsia="es-ES_tradnl"/>
              </w:rPr>
              <w:t xml:space="preserve">a </w:t>
            </w:r>
            <w:r w:rsidR="003D2E45">
              <w:rPr>
                <w:rFonts w:ascii="Verdana" w:eastAsia="Times New Roman" w:hAnsi="Verdana" w:cs="Arial"/>
                <w:lang w:eastAsia="es-ES_tradnl"/>
              </w:rPr>
              <w:t>los contratos de prestación de servicios</w:t>
            </w:r>
            <w:r w:rsidRPr="00CC5C68">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tc>
      </w:tr>
    </w:tbl>
    <w:p w14:paraId="3AF07A89" w14:textId="77777777" w:rsidR="00557077" w:rsidRPr="00CC5C68" w:rsidRDefault="00557077" w:rsidP="00557077">
      <w:pPr>
        <w:spacing w:after="0" w:line="276" w:lineRule="auto"/>
        <w:contextualSpacing/>
        <w:jc w:val="both"/>
        <w:rPr>
          <w:rFonts w:ascii="Verdana" w:eastAsia="Times New Roman" w:hAnsi="Verdana" w:cs="Arial"/>
          <w:lang w:eastAsia="es-ES_tradnl"/>
        </w:rPr>
      </w:pPr>
    </w:p>
    <w:p w14:paraId="3699A9B8" w14:textId="77777777" w:rsidR="00557077" w:rsidRPr="00CC5C68" w:rsidRDefault="00557077" w:rsidP="0055707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4010CA6A" w14:textId="77777777" w:rsidR="00557077" w:rsidRPr="00CC5C68" w:rsidRDefault="00557077" w:rsidP="00557077">
      <w:pPr>
        <w:spacing w:after="0" w:line="276" w:lineRule="auto"/>
        <w:jc w:val="both"/>
        <w:rPr>
          <w:rFonts w:ascii="Verdana" w:eastAsia="Calibri" w:hAnsi="Verdana" w:cs="Arial"/>
          <w:color w:val="7030A0"/>
          <w:lang w:val="es-ES"/>
        </w:rPr>
      </w:pPr>
    </w:p>
    <w:p w14:paraId="5F3224CA" w14:textId="77777777" w:rsidR="00557077" w:rsidRPr="00CC5C68" w:rsidRDefault="00557077" w:rsidP="00557077">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21BA42E2" w14:textId="77777777" w:rsidR="00557077" w:rsidRPr="00CC5C68" w:rsidRDefault="00557077" w:rsidP="00557077">
      <w:pPr>
        <w:spacing w:after="0" w:line="276" w:lineRule="auto"/>
        <w:jc w:val="both"/>
        <w:rPr>
          <w:rFonts w:ascii="Verdana" w:eastAsia="Calibri" w:hAnsi="Verdana" w:cs="Arial"/>
          <w:lang w:val="es-ES"/>
        </w:rPr>
      </w:pPr>
    </w:p>
    <w:p w14:paraId="2C020C42" w14:textId="608EC6DE" w:rsidR="009D2624" w:rsidRPr="00376CD8" w:rsidRDefault="00415EEF" w:rsidP="009D2624">
      <w:pPr>
        <w:tabs>
          <w:tab w:val="left" w:pos="0"/>
        </w:tabs>
        <w:spacing w:line="276" w:lineRule="auto"/>
        <w:jc w:val="both"/>
        <w:rPr>
          <w:rFonts w:ascii="Verdana" w:eastAsia="Calibri" w:hAnsi="Verdana" w:cs="Arial"/>
          <w:color w:val="000000" w:themeColor="text1"/>
          <w:lang w:val="es-ES_tradnl"/>
        </w:rPr>
      </w:pPr>
      <w:r>
        <w:rPr>
          <w:rFonts w:ascii="Verdana" w:hAnsi="Verdana" w:cs="Arial"/>
          <w:color w:val="000000" w:themeColor="text1"/>
        </w:rPr>
        <w:t>E</w:t>
      </w:r>
      <w:r w:rsidR="009D2624" w:rsidRPr="00376CD8">
        <w:rPr>
          <w:rFonts w:ascii="Verdana" w:hAnsi="Verdana" w:cs="Arial"/>
          <w:color w:val="000000" w:themeColor="text1"/>
        </w:rPr>
        <w:t xml:space="preserve">l contrato de prestación de servicios es un contrato estatal típico, regulado en el numeral 3 del artículo 32 de la Ley 80 de 1993. Es definido como aquel que </w:t>
      </w:r>
      <w:r w:rsidR="009D2624">
        <w:rPr>
          <w:rFonts w:ascii="Verdana" w:hAnsi="Verdana" w:cs="Arial"/>
          <w:color w:val="000000" w:themeColor="text1"/>
        </w:rPr>
        <w:t>“</w:t>
      </w:r>
      <w:r w:rsidR="009D2624" w:rsidRPr="00376CD8">
        <w:rPr>
          <w:rFonts w:ascii="Verdana" w:hAnsi="Verdana" w:cs="Arial"/>
          <w:color w:val="000000" w:themeColor="text1"/>
        </w:rPr>
        <w:t>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r w:rsidR="00EE46AC">
        <w:rPr>
          <w:rFonts w:ascii="Verdana" w:hAnsi="Verdana" w:cs="Arial"/>
          <w:color w:val="000000" w:themeColor="text1"/>
        </w:rPr>
        <w:t>”</w:t>
      </w:r>
      <w:r w:rsidR="009D2624" w:rsidRPr="00376CD8">
        <w:rPr>
          <w:rFonts w:ascii="Verdana" w:hAnsi="Verdana" w:cs="Arial"/>
          <w:color w:val="000000" w:themeColor="text1"/>
        </w:rPr>
        <w:t>.</w:t>
      </w:r>
      <w:r w:rsidR="009D2624" w:rsidRPr="00376CD8">
        <w:rPr>
          <w:rFonts w:ascii="Verdana" w:eastAsia="Calibri" w:hAnsi="Verdana" w:cs="Arial"/>
          <w:color w:val="000000" w:themeColor="text1"/>
          <w:lang w:val="es-ES_tradnl"/>
        </w:rPr>
        <w:t xml:space="preserve"> La celebración de dicho contrato debe efectuarse a través de la modalidad de contratación directa. Así lo dispone el artículo 2, numeral 4º, literal h), de la Ley 1150 de 2007:</w:t>
      </w:r>
    </w:p>
    <w:p w14:paraId="659D11A5" w14:textId="77777777" w:rsidR="009D2624" w:rsidRPr="00EB30BA" w:rsidRDefault="009D2624" w:rsidP="009D2624">
      <w:pPr>
        <w:spacing w:after="0" w:line="240" w:lineRule="auto"/>
        <w:ind w:left="709" w:right="758"/>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“La escogencia del contratista se efectuará con arreglo a las modalidades de selección de licitación pública, selección abreviada, concurso de méritos y contratación directa, con base en las siguientes reglas:</w:t>
      </w:r>
    </w:p>
    <w:p w14:paraId="55BAE6B1" w14:textId="77777777" w:rsidR="009D2624" w:rsidRPr="00EB30BA" w:rsidRDefault="009D2624" w:rsidP="009D2624">
      <w:pPr>
        <w:spacing w:after="0" w:line="240" w:lineRule="auto"/>
        <w:ind w:left="709" w:right="760"/>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w:t>
      </w:r>
    </w:p>
    <w:p w14:paraId="7E3108E3" w14:textId="77777777" w:rsidR="009D2624" w:rsidRPr="00EB30BA" w:rsidRDefault="009D2624" w:rsidP="009D2624">
      <w:pPr>
        <w:spacing w:after="0" w:line="240" w:lineRule="auto"/>
        <w:ind w:left="709" w:right="758"/>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lastRenderedPageBreak/>
        <w:t xml:space="preserve">4. Contratación directa. La modalidad de selección de contratación </w:t>
      </w:r>
      <w:proofErr w:type="gramStart"/>
      <w:r w:rsidRPr="00EB30BA">
        <w:rPr>
          <w:rFonts w:ascii="Verdana" w:eastAsia="Calibri" w:hAnsi="Verdana" w:cs="Arial"/>
          <w:color w:val="000000" w:themeColor="text1"/>
          <w:sz w:val="20"/>
          <w:szCs w:val="20"/>
        </w:rPr>
        <w:t>directa,</w:t>
      </w:r>
      <w:proofErr w:type="gramEnd"/>
      <w:r w:rsidRPr="00EB30BA">
        <w:rPr>
          <w:rFonts w:ascii="Verdana" w:eastAsia="Calibri" w:hAnsi="Verdana" w:cs="Arial"/>
          <w:color w:val="000000" w:themeColor="text1"/>
          <w:sz w:val="20"/>
          <w:szCs w:val="20"/>
        </w:rPr>
        <w:t xml:space="preserve"> solamente procederá en los siguientes casos:</w:t>
      </w:r>
    </w:p>
    <w:p w14:paraId="3A2EDE95" w14:textId="77777777" w:rsidR="009D2624" w:rsidRPr="00EB30BA" w:rsidRDefault="009D2624" w:rsidP="009D2624">
      <w:pPr>
        <w:spacing w:after="0" w:line="240" w:lineRule="auto"/>
        <w:ind w:left="709" w:right="760"/>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w:t>
      </w:r>
    </w:p>
    <w:p w14:paraId="331DC62F" w14:textId="77777777" w:rsidR="009D2624" w:rsidRPr="00EB30BA" w:rsidRDefault="009D2624" w:rsidP="009D2624">
      <w:pPr>
        <w:spacing w:after="0" w:line="240" w:lineRule="auto"/>
        <w:ind w:left="709" w:right="758"/>
        <w:jc w:val="both"/>
        <w:rPr>
          <w:rFonts w:ascii="Verdana" w:eastAsia="Calibri" w:hAnsi="Verdana" w:cs="Arial"/>
          <w:color w:val="000000" w:themeColor="text1"/>
          <w:sz w:val="20"/>
          <w:szCs w:val="20"/>
        </w:rPr>
      </w:pPr>
      <w:r w:rsidRPr="00EB30BA">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1848BA90" w14:textId="77777777" w:rsidR="009D2624" w:rsidRDefault="009D2624" w:rsidP="009D2624">
      <w:pPr>
        <w:tabs>
          <w:tab w:val="left" w:pos="0"/>
        </w:tabs>
        <w:spacing w:after="0" w:line="276" w:lineRule="auto"/>
        <w:jc w:val="both"/>
        <w:rPr>
          <w:rFonts w:ascii="Verdana" w:hAnsi="Verdana" w:cs="Arial"/>
          <w:noProof/>
          <w:lang w:val="es-ES_tradnl"/>
        </w:rPr>
      </w:pPr>
      <w:r w:rsidRPr="00376CD8">
        <w:rPr>
          <w:rFonts w:ascii="Verdana" w:hAnsi="Verdana" w:cs="Arial"/>
          <w:noProof/>
          <w:lang w:val="es-ES_tradnl"/>
        </w:rPr>
        <w:tab/>
      </w:r>
    </w:p>
    <w:p w14:paraId="3929F6B6" w14:textId="254AA6A6" w:rsidR="009D2624" w:rsidRPr="008677DE" w:rsidRDefault="009D2624" w:rsidP="009D2624">
      <w:pPr>
        <w:tabs>
          <w:tab w:val="left" w:pos="0"/>
        </w:tabs>
        <w:spacing w:line="276" w:lineRule="auto"/>
        <w:ind w:firstLine="709"/>
        <w:jc w:val="both"/>
        <w:rPr>
          <w:rFonts w:ascii="Verdana" w:hAnsi="Verdana" w:cs="Arial"/>
          <w:noProof/>
          <w:lang w:val="es-ES_tradnl"/>
        </w:rPr>
      </w:pPr>
      <w:r w:rsidRPr="008677DE">
        <w:rPr>
          <w:rFonts w:ascii="Verdana" w:hAnsi="Verdana" w:cs="Arial"/>
          <w:noProof/>
          <w:lang w:val="es-ES_tradnl"/>
        </w:rPr>
        <w:t xml:space="preserve">En tal sentido, el Decreto 1082 de 2015 en el </w:t>
      </w:r>
      <w:r w:rsidR="008004D3">
        <w:rPr>
          <w:rFonts w:ascii="Verdana" w:hAnsi="Verdana" w:cs="Arial"/>
          <w:noProof/>
          <w:lang w:val="es-ES_tradnl"/>
        </w:rPr>
        <w:t>a</w:t>
      </w:r>
      <w:r w:rsidRPr="008677DE">
        <w:rPr>
          <w:rFonts w:ascii="Verdana" w:hAnsi="Verdana" w:cs="Arial"/>
          <w:noProof/>
          <w:lang w:val="es-ES_tradnl"/>
        </w:rPr>
        <w:t>rtículo 2.2.1.2.1.4.9. reglamenta la contratación directa para los contratos de servicios profesionales y de apoyo a la gestión, o para la ejecución de trabajos artísticos que solo puedan encomendarse a determinadas personas naturales, en los siguientes términos:</w:t>
      </w:r>
    </w:p>
    <w:p w14:paraId="19EA7A23" w14:textId="77777777" w:rsidR="009D2624" w:rsidRPr="00EB30BA" w:rsidRDefault="009D2624" w:rsidP="009D2624">
      <w:pPr>
        <w:spacing w:line="240" w:lineRule="auto"/>
        <w:ind w:left="709" w:right="758"/>
        <w:jc w:val="both"/>
        <w:rPr>
          <w:rFonts w:ascii="Verdana" w:hAnsi="Verdana" w:cs="Arial"/>
          <w:sz w:val="20"/>
          <w:szCs w:val="20"/>
        </w:rPr>
      </w:pPr>
      <w:r w:rsidRPr="00EB30BA">
        <w:rPr>
          <w:rFonts w:ascii="Verdana" w:hAnsi="Verdana" w:cs="Arial"/>
          <w:sz w:val="20"/>
          <w:szCs w:val="20"/>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535C5845" w14:textId="77777777" w:rsidR="009D2624" w:rsidRPr="00EB30BA" w:rsidRDefault="009D2624" w:rsidP="009D2624">
      <w:pPr>
        <w:spacing w:line="240" w:lineRule="auto"/>
        <w:ind w:left="709" w:right="758"/>
        <w:jc w:val="both"/>
        <w:rPr>
          <w:rFonts w:ascii="Verdana" w:hAnsi="Verdana" w:cs="Arial"/>
          <w:sz w:val="20"/>
          <w:szCs w:val="20"/>
        </w:rPr>
      </w:pPr>
      <w:r w:rsidRPr="00EB30BA">
        <w:rPr>
          <w:rFonts w:ascii="Verdana" w:hAnsi="Verdana" w:cs="Arial"/>
          <w:sz w:val="20"/>
          <w:szCs w:val="20"/>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8B33AD1" w14:textId="77777777" w:rsidR="009D2624" w:rsidRPr="00EB30BA" w:rsidRDefault="009D2624" w:rsidP="009D2624">
      <w:pPr>
        <w:spacing w:line="240" w:lineRule="auto"/>
        <w:ind w:left="709" w:right="758"/>
        <w:jc w:val="both"/>
        <w:rPr>
          <w:rFonts w:ascii="Verdana" w:hAnsi="Verdana" w:cs="Arial"/>
          <w:sz w:val="20"/>
          <w:szCs w:val="20"/>
        </w:rPr>
      </w:pPr>
      <w:r w:rsidRPr="00EB30BA">
        <w:rPr>
          <w:rFonts w:ascii="Verdana" w:hAnsi="Verdana" w:cs="Arial"/>
          <w:sz w:val="20"/>
          <w:szCs w:val="20"/>
        </w:rPr>
        <w:t>La Entidad Estatal, para la contratación de trabajos artísticos que solamente puedan en</w:t>
      </w:r>
      <w:r w:rsidRPr="00EB30BA">
        <w:rPr>
          <w:rFonts w:ascii="Verdana" w:hAnsi="Verdana" w:cs="Arial"/>
          <w:sz w:val="20"/>
          <w:szCs w:val="20"/>
        </w:rPr>
        <w:softHyphen/>
        <w:t>comendarse a determinadas personas naturales, debe justificar esta situación en los estudios y documentos previos”.</w:t>
      </w:r>
    </w:p>
    <w:p w14:paraId="2EE41F0C" w14:textId="77777777" w:rsidR="009D2624" w:rsidRPr="008677DE" w:rsidRDefault="009D2624" w:rsidP="009D2624">
      <w:pPr>
        <w:tabs>
          <w:tab w:val="left" w:pos="0"/>
        </w:tabs>
        <w:spacing w:line="276" w:lineRule="auto"/>
        <w:jc w:val="both"/>
        <w:rPr>
          <w:rFonts w:ascii="Verdana" w:hAnsi="Verdana" w:cs="Arial"/>
          <w:color w:val="000000" w:themeColor="text1"/>
          <w:lang w:val="es-ES_tradnl"/>
        </w:rPr>
      </w:pPr>
      <w:r w:rsidRPr="008677DE">
        <w:rPr>
          <w:rFonts w:ascii="Verdana" w:hAnsi="Verdana" w:cs="Arial"/>
          <w:color w:val="000000" w:themeColor="text1"/>
          <w:lang w:val="es-ES_tradnl"/>
        </w:rPr>
        <w:tab/>
        <w:t>A partir de las disposiciones citadas, así como de la Sentencia de Unificación de Jurisprudencial del 9 de septiembre de 2021, proferida por el Consejo de Estado</w:t>
      </w:r>
      <w:r w:rsidRPr="008677DE">
        <w:rPr>
          <w:rStyle w:val="Refdenotaalpie"/>
          <w:rFonts w:ascii="Verdana" w:hAnsi="Verdana" w:cs="Arial"/>
          <w:bCs/>
          <w:lang w:val="es-ES"/>
        </w:rPr>
        <w:footnoteReference w:id="2"/>
      </w:r>
      <w:r w:rsidRPr="008677DE">
        <w:rPr>
          <w:rFonts w:ascii="Verdana" w:hAnsi="Verdana" w:cs="Arial"/>
          <w:color w:val="000000" w:themeColor="text1"/>
          <w:lang w:val="es-ES_tradnl"/>
        </w:rPr>
        <w:t>, es posible señalar las siguientes características del contrato de prestación de servicios</w:t>
      </w:r>
      <w:r w:rsidRPr="008677DE">
        <w:rPr>
          <w:rFonts w:ascii="Verdana" w:hAnsi="Verdana" w:cs="Arial"/>
          <w:noProof/>
          <w:lang w:val="es-ES_tradnl"/>
        </w:rPr>
        <w:t>:</w:t>
      </w:r>
    </w:p>
    <w:p w14:paraId="0087CEE7" w14:textId="4127B4A0" w:rsidR="009D2624" w:rsidRPr="008677DE" w:rsidRDefault="009D2624" w:rsidP="009D2624">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 xml:space="preserve">i) Solo puede celebrarse para realizar </w:t>
      </w:r>
      <w:r w:rsidR="0052405D">
        <w:rPr>
          <w:rFonts w:ascii="Verdana" w:hAnsi="Verdana" w:cs="Arial"/>
          <w:noProof/>
          <w:lang w:val="es-ES_tradnl"/>
        </w:rPr>
        <w:t>“</w:t>
      </w:r>
      <w:r w:rsidRPr="008677DE">
        <w:rPr>
          <w:rFonts w:ascii="Verdana" w:hAnsi="Verdana" w:cs="Arial"/>
          <w:noProof/>
          <w:lang w:val="es-ES_tradnl"/>
        </w:rPr>
        <w:t>actividades relacionadas con la administración o funcionamiento de la entidad</w:t>
      </w:r>
      <w:r w:rsidR="0052405D">
        <w:rPr>
          <w:rFonts w:ascii="Verdana" w:hAnsi="Verdana" w:cs="Arial"/>
          <w:noProof/>
          <w:lang w:val="es-ES_tradnl"/>
        </w:rPr>
        <w:t>”</w:t>
      </w:r>
      <w:r w:rsidRPr="008677DE">
        <w:rPr>
          <w:rFonts w:ascii="Verdana" w:hAnsi="Verdana" w:cs="Arial"/>
          <w:noProof/>
          <w:lang w:val="es-ES_tradnl"/>
        </w:rPr>
        <w:t>, es decir, que hagan parte de su giro ordinario o quehacer cotidiano</w:t>
      </w:r>
      <w:r w:rsidRPr="008677DE">
        <w:rPr>
          <w:rStyle w:val="Refdenotaalpie"/>
          <w:rFonts w:ascii="Verdana" w:hAnsi="Verdana" w:cs="Arial"/>
          <w:noProof/>
          <w:lang w:val="es-ES_tradnl"/>
        </w:rPr>
        <w:footnoteReference w:id="3"/>
      </w:r>
      <w:r w:rsidRPr="008677DE">
        <w:rPr>
          <w:rFonts w:ascii="Verdana" w:hAnsi="Verdana" w:cs="Arial"/>
          <w:noProof/>
          <w:lang w:val="es-ES_tradnl"/>
        </w:rPr>
        <w:t>.</w:t>
      </w:r>
    </w:p>
    <w:p w14:paraId="75192897" w14:textId="4A362AC8" w:rsidR="009D2624" w:rsidRPr="008677DE" w:rsidRDefault="009D2624" w:rsidP="009D2624">
      <w:pPr>
        <w:spacing w:before="120" w:line="276" w:lineRule="auto"/>
        <w:ind w:firstLine="709"/>
        <w:jc w:val="both"/>
        <w:rPr>
          <w:rFonts w:ascii="Verdana" w:hAnsi="Verdana" w:cs="Arial"/>
          <w:noProof/>
          <w:lang w:val="es-ES_tradnl"/>
        </w:rPr>
      </w:pPr>
      <w:r w:rsidRPr="008677DE">
        <w:rPr>
          <w:rFonts w:ascii="Verdana" w:hAnsi="Verdana" w:cs="Arial"/>
          <w:noProof/>
          <w:lang w:val="es-ES_tradnl"/>
        </w:rPr>
        <w:lastRenderedPageBreak/>
        <w:t xml:space="preserve">ii) Respecto del tipo de personas que pueden ser contratadas, admite que se suscriba con personas naturales o jurídicas. Sin embargo, cuando se celebre con aquellas, la entidad estatal debe justificar, en los estudios previos, que las actividades </w:t>
      </w:r>
      <w:r w:rsidR="0052405D">
        <w:rPr>
          <w:rFonts w:ascii="Verdana" w:hAnsi="Verdana" w:cs="Arial"/>
          <w:noProof/>
          <w:lang w:val="es-ES_tradnl"/>
        </w:rPr>
        <w:t>“</w:t>
      </w:r>
      <w:r w:rsidRPr="008677DE">
        <w:rPr>
          <w:rFonts w:ascii="Verdana" w:hAnsi="Verdana" w:cs="Arial"/>
          <w:noProof/>
          <w:lang w:val="es-ES_tradnl"/>
        </w:rPr>
        <w:t>no puedan realizarse con personal de planta o requieran conocimientos especializados</w:t>
      </w:r>
      <w:r w:rsidR="0052405D">
        <w:rPr>
          <w:rFonts w:ascii="Verdana" w:hAnsi="Verdana" w:cs="Arial"/>
          <w:noProof/>
          <w:lang w:val="es-ES_tradnl"/>
        </w:rPr>
        <w:t>”</w:t>
      </w:r>
      <w:r w:rsidRPr="008677DE">
        <w:rPr>
          <w:rFonts w:ascii="Verdana" w:hAnsi="Verdana" w:cs="Arial"/>
          <w:noProof/>
          <w:lang w:val="es-ES_tradnl"/>
        </w:rPr>
        <w:t>. Esto sucede en varios eventos, por ejemplo, cuando no exista personal de planta para ejecutar las labores; o existiendo, está sobrecargado de trabajo, necesitando apoyo externo; o habiendo personal de planta, carece de la experticia o conocimiento especializado, razón por la cual es necesario contratar los servicios de una persona natural que tenga el conocimiento y la experiencia en el tema.</w:t>
      </w:r>
    </w:p>
    <w:p w14:paraId="61371D4B" w14:textId="4B985160" w:rsidR="009D2624" w:rsidRPr="008677DE" w:rsidRDefault="009D2624" w:rsidP="009D2624">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 xml:space="preserve">iii) Si bien se celebran para obtener la prestación personal de un servicio, se diferencian del contrato de trabajo en que quien celebra el contrato de prestación de servicios debe mantener autonomía e independencia en la ejecución de la labor, lo que significa que no debe existir </w:t>
      </w:r>
      <w:r w:rsidRPr="008677DE">
        <w:rPr>
          <w:rFonts w:ascii="Verdana" w:hAnsi="Verdana" w:cs="Arial"/>
          <w:i/>
          <w:noProof/>
          <w:lang w:val="es-ES_tradnl"/>
        </w:rPr>
        <w:t xml:space="preserve">subordinación </w:t>
      </w:r>
      <w:r w:rsidRPr="008677DE">
        <w:rPr>
          <w:rFonts w:ascii="Verdana" w:hAnsi="Verdana" w:cs="Arial"/>
          <w:iCs/>
          <w:noProof/>
          <w:lang w:val="es-ES_tradnl"/>
        </w:rPr>
        <w:t>ni</w:t>
      </w:r>
      <w:r w:rsidRPr="008677DE">
        <w:rPr>
          <w:rFonts w:ascii="Verdana" w:hAnsi="Verdana" w:cs="Arial"/>
          <w:i/>
          <w:noProof/>
          <w:lang w:val="es-ES_tradnl"/>
        </w:rPr>
        <w:t xml:space="preserve"> dependencia</w:t>
      </w:r>
      <w:r w:rsidRPr="008677DE">
        <w:rPr>
          <w:rFonts w:ascii="Verdana" w:hAnsi="Verdana" w:cs="Arial"/>
          <w:iCs/>
          <w:noProof/>
          <w:lang w:val="es-ES_tradnl"/>
        </w:rPr>
        <w:t>,</w:t>
      </w:r>
      <w:r w:rsidRPr="008677DE">
        <w:rPr>
          <w:rFonts w:ascii="Verdana" w:hAnsi="Verdana" w:cs="Arial"/>
          <w:noProof/>
          <w:lang w:val="es-ES_tradnl"/>
        </w:rPr>
        <w:t xml:space="preserve"> que es uno de los elementos constitutivos del vínculo laboral</w:t>
      </w:r>
      <w:r w:rsidRPr="008677DE">
        <w:rPr>
          <w:rStyle w:val="Refdenotaalpie"/>
          <w:rFonts w:ascii="Verdana" w:hAnsi="Verdana" w:cs="Arial"/>
          <w:noProof/>
          <w:lang w:val="es-ES_tradnl"/>
        </w:rPr>
        <w:footnoteReference w:id="4"/>
      </w:r>
      <w:r w:rsidRPr="008677DE">
        <w:rPr>
          <w:rFonts w:ascii="Verdana" w:hAnsi="Verdana" w:cs="Arial"/>
          <w:noProof/>
          <w:lang w:val="es-ES_tradnl"/>
        </w:rPr>
        <w:t xml:space="preserve">. Por eso, el artículo 32, numeral 3º, de la Ley 80 de 1993 establece que </w:t>
      </w:r>
      <w:r w:rsidR="0052405D">
        <w:rPr>
          <w:rFonts w:ascii="Verdana" w:hAnsi="Verdana" w:cs="Arial"/>
          <w:noProof/>
          <w:lang w:val="es-ES_tradnl"/>
        </w:rPr>
        <w:t>“</w:t>
      </w:r>
      <w:r w:rsidRPr="008677DE">
        <w:rPr>
          <w:rFonts w:ascii="Verdana" w:hAnsi="Verdana" w:cs="Arial"/>
          <w:noProof/>
          <w:lang w:val="es-ES_tradnl"/>
        </w:rPr>
        <w:t>En ningún caso estos contratos generan relación laboral ni prestaciones sociales</w:t>
      </w:r>
      <w:r w:rsidR="0052405D">
        <w:rPr>
          <w:rFonts w:ascii="Verdana" w:hAnsi="Verdana" w:cs="Arial"/>
          <w:noProof/>
          <w:lang w:val="es-ES_tradnl"/>
        </w:rPr>
        <w:t>”</w:t>
      </w:r>
      <w:r w:rsidRPr="008677DE">
        <w:rPr>
          <w:rFonts w:ascii="Verdana" w:hAnsi="Verdana" w:cs="Arial"/>
          <w:noProof/>
          <w:lang w:val="es-ES_tradnl"/>
        </w:rPr>
        <w:t xml:space="preserve">. Este inciso, más que un enunciado que aluda al </w:t>
      </w:r>
      <w:r w:rsidR="0052405D">
        <w:rPr>
          <w:rFonts w:ascii="Verdana" w:hAnsi="Verdana" w:cs="Arial"/>
          <w:noProof/>
          <w:lang w:val="es-ES_tradnl"/>
        </w:rPr>
        <w:t>“</w:t>
      </w:r>
      <w:r w:rsidRPr="008677DE">
        <w:rPr>
          <w:rFonts w:ascii="Verdana" w:hAnsi="Verdana" w:cs="Arial"/>
          <w:noProof/>
          <w:lang w:val="es-ES_tradnl"/>
        </w:rPr>
        <w:t>ser</w:t>
      </w:r>
      <w:r w:rsidR="0052405D">
        <w:rPr>
          <w:rFonts w:ascii="Verdana" w:hAnsi="Verdana" w:cs="Arial"/>
          <w:noProof/>
          <w:lang w:val="es-ES_tradnl"/>
        </w:rPr>
        <w:t>”</w:t>
      </w:r>
      <w:r w:rsidRPr="008677DE">
        <w:rPr>
          <w:rFonts w:ascii="Verdana" w:hAnsi="Verdana" w:cs="Arial"/>
          <w:noProof/>
          <w:lang w:val="es-ES_tradnl"/>
        </w:rPr>
        <w:t xml:space="preserve">, se refiere al </w:t>
      </w:r>
      <w:r w:rsidR="0052405D">
        <w:rPr>
          <w:rFonts w:ascii="Verdana" w:hAnsi="Verdana" w:cs="Arial"/>
          <w:noProof/>
          <w:lang w:val="es-ES_tradnl"/>
        </w:rPr>
        <w:t>“</w:t>
      </w:r>
      <w:r w:rsidRPr="008677DE">
        <w:rPr>
          <w:rFonts w:ascii="Verdana" w:hAnsi="Verdana" w:cs="Arial"/>
          <w:noProof/>
          <w:lang w:val="es-ES_tradnl"/>
        </w:rPr>
        <w:t>deber ser</w:t>
      </w:r>
      <w:r w:rsidR="0052405D">
        <w:rPr>
          <w:rFonts w:ascii="Verdana" w:hAnsi="Verdana" w:cs="Arial"/>
          <w:noProof/>
          <w:lang w:val="es-ES_tradnl"/>
        </w:rPr>
        <w:t>”</w:t>
      </w:r>
      <w:r w:rsidRPr="008677DE">
        <w:rPr>
          <w:rFonts w:ascii="Verdana" w:hAnsi="Verdana" w:cs="Arial"/>
          <w:noProof/>
          <w:lang w:val="es-ES_tradnl"/>
        </w:rPr>
        <w:t xml:space="preserve">, pues debe interpretarse en el sentido de que los contratos de prestación de servicios profesionales </w:t>
      </w:r>
      <w:r w:rsidRPr="008677DE">
        <w:rPr>
          <w:rFonts w:ascii="Verdana" w:hAnsi="Verdana" w:cs="Arial"/>
          <w:i/>
          <w:noProof/>
          <w:lang w:val="es-ES_tradnl"/>
        </w:rPr>
        <w:t>no pueden</w:t>
      </w:r>
      <w:r w:rsidRPr="008677DE">
        <w:rPr>
          <w:rFonts w:ascii="Verdana" w:hAnsi="Verdana" w:cs="Arial"/>
          <w:noProof/>
          <w:lang w:val="es-ES_tradnl"/>
        </w:rPr>
        <w:t xml:space="preserve"> generar relación laboral, ni dar lugar a que las entidades estatales paguen por su cuenta los aportes al Sistema de Seguridad Social Integral del contratista. Tal como se indicó, no puede existir subordinación y dependencia; entonces, la relación laboral está proscrita y el contratista es quien, como </w:t>
      </w:r>
      <w:r w:rsidR="0052405D">
        <w:rPr>
          <w:rFonts w:ascii="Verdana" w:hAnsi="Verdana" w:cs="Arial"/>
          <w:noProof/>
          <w:lang w:val="es-ES_tradnl"/>
        </w:rPr>
        <w:t>“</w:t>
      </w:r>
      <w:r w:rsidRPr="008677DE">
        <w:rPr>
          <w:rFonts w:ascii="Verdana" w:hAnsi="Verdana" w:cs="Arial"/>
          <w:noProof/>
          <w:lang w:val="es-ES_tradnl"/>
        </w:rPr>
        <w:t>trabajador independiente</w:t>
      </w:r>
      <w:r w:rsidR="0052405D">
        <w:rPr>
          <w:rFonts w:ascii="Verdana" w:hAnsi="Verdana" w:cs="Arial"/>
          <w:noProof/>
          <w:lang w:val="es-ES_tradnl"/>
        </w:rPr>
        <w:t>”</w:t>
      </w:r>
      <w:r w:rsidRPr="008677DE">
        <w:rPr>
          <w:rFonts w:ascii="Verdana" w:hAnsi="Verdana" w:cs="Arial"/>
          <w:noProof/>
          <w:lang w:val="es-ES_tradnl"/>
        </w:rPr>
        <w:t xml:space="preserve"> –como lo califican las normas de la seguridad social– debe cotizar por su cuenta y riesgo al Sistema de Seguridad Social Integral</w:t>
      </w:r>
      <w:r w:rsidRPr="008677DE">
        <w:rPr>
          <w:rStyle w:val="Refdenotaalpie"/>
          <w:rFonts w:ascii="Verdana" w:hAnsi="Verdana" w:cs="Arial"/>
          <w:noProof/>
          <w:lang w:val="es-ES_tradnl"/>
        </w:rPr>
        <w:footnoteReference w:id="5"/>
      </w:r>
      <w:r w:rsidRPr="008677DE">
        <w:rPr>
          <w:rFonts w:ascii="Verdana" w:hAnsi="Verdana" w:cs="Arial"/>
          <w:noProof/>
          <w:lang w:val="es-ES_tradnl"/>
        </w:rPr>
        <w:t xml:space="preserve">. </w:t>
      </w:r>
    </w:p>
    <w:p w14:paraId="1A6BB5F7" w14:textId="77777777" w:rsidR="009D2624" w:rsidRDefault="009D2624" w:rsidP="009D2624">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 xml:space="preserve">A pesar de este mandato deontológico, es posible que en la práctica se configure una relación laboral, pues el contrato de trabajo es </w:t>
      </w:r>
      <w:r w:rsidRPr="008677DE">
        <w:rPr>
          <w:rFonts w:ascii="Verdana" w:hAnsi="Verdana" w:cs="Arial"/>
          <w:i/>
          <w:iCs/>
          <w:noProof/>
          <w:lang w:val="es-ES_tradnl"/>
        </w:rPr>
        <w:t xml:space="preserve">de </w:t>
      </w:r>
      <w:r w:rsidRPr="008677DE">
        <w:rPr>
          <w:rFonts w:ascii="Verdana" w:hAnsi="Verdana" w:cs="Arial"/>
          <w:i/>
          <w:noProof/>
          <w:lang w:val="es-ES_tradnl"/>
        </w:rPr>
        <w:t>realidad</w:t>
      </w:r>
      <w:r w:rsidRPr="008677DE">
        <w:rPr>
          <w:rFonts w:ascii="Verdana" w:hAnsi="Verdana" w:cs="Arial"/>
          <w:noProof/>
          <w:lang w:val="es-ES_tradnl"/>
        </w:rPr>
        <w:t xml:space="preserve">, y para perfeccionarlo rige el principio de prevalencia de la realidad sobre las formalidades. En el sentido anterior, la Corte Constitucional declaró la </w:t>
      </w:r>
      <w:r w:rsidRPr="008677DE">
        <w:rPr>
          <w:rFonts w:ascii="Verdana" w:hAnsi="Verdana" w:cs="Arial"/>
          <w:noProof/>
          <w:lang w:val="es-ES_tradnl"/>
        </w:rPr>
        <w:lastRenderedPageBreak/>
        <w:t xml:space="preserve">exequibilidad condicionada del segundo inciso del numeral 3º del artículo 32, indicando que </w:t>
      </w:r>
      <w:r>
        <w:rPr>
          <w:rFonts w:ascii="Verdana" w:hAnsi="Verdana" w:cs="Arial"/>
          <w:noProof/>
          <w:lang w:val="es-ES_tradnl"/>
        </w:rPr>
        <w:t>“</w:t>
      </w:r>
      <w:r w:rsidRPr="008677DE">
        <w:rPr>
          <w:rFonts w:ascii="Verdana" w:hAnsi="Verdana" w:cs="Arial"/>
          <w:noProof/>
          <w:lang w:val="es-ES_tradnl"/>
        </w:rPr>
        <w:t>las expresiones acusadas del numeral 3º del artículo 32 de la Ley 80 de 1993, no vulneran los preceptos constitucionales, razón por la cual deberán ser declaradas exequibles, salvo que se acredite por parte del contratista la existencia de una relación laboral subordinada</w:t>
      </w:r>
      <w:r>
        <w:rPr>
          <w:rFonts w:ascii="Verdana" w:hAnsi="Verdana" w:cs="Arial"/>
          <w:noProof/>
          <w:lang w:val="es-ES_tradnl"/>
        </w:rPr>
        <w:t>”</w:t>
      </w:r>
      <w:r w:rsidRPr="008677DE">
        <w:rPr>
          <w:rStyle w:val="Refdenotaalpie"/>
          <w:rFonts w:ascii="Verdana" w:hAnsi="Verdana" w:cs="Arial"/>
          <w:noProof/>
          <w:lang w:val="es-ES_tradnl"/>
        </w:rPr>
        <w:footnoteReference w:id="6"/>
      </w:r>
      <w:r w:rsidRPr="008677DE">
        <w:rPr>
          <w:rFonts w:ascii="Verdana" w:hAnsi="Verdana" w:cs="Arial"/>
          <w:noProof/>
          <w:lang w:val="es-ES_tradnl"/>
        </w:rPr>
        <w:t xml:space="preserve">. </w:t>
      </w:r>
    </w:p>
    <w:p w14:paraId="313097E7" w14:textId="77777777" w:rsidR="009D2624" w:rsidRPr="008677DE" w:rsidRDefault="009D2624" w:rsidP="009D2624">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 xml:space="preserve">Por su parte, el Consejo de Estado en sentencia de unificación jurisprudencial del 9 de septiembre de 2021 se pronunció respecto de los criterios para identificar la existencia de una relación laboral encubierta o subyacente por contratos de </w:t>
      </w:r>
      <w:r>
        <w:rPr>
          <w:rFonts w:ascii="Verdana" w:hAnsi="Verdana" w:cs="Arial"/>
          <w:noProof/>
          <w:lang w:val="es-ES_tradnl"/>
        </w:rPr>
        <w:t>p</w:t>
      </w:r>
      <w:r w:rsidRPr="008677DE">
        <w:rPr>
          <w:rFonts w:ascii="Verdana" w:hAnsi="Verdana" w:cs="Arial"/>
          <w:noProof/>
          <w:lang w:val="es-ES_tradnl"/>
        </w:rPr>
        <w:t>restación de servicios y definó tres reglas para el</w:t>
      </w:r>
      <w:r>
        <w:rPr>
          <w:rFonts w:ascii="Verdana" w:hAnsi="Verdana" w:cs="Arial"/>
          <w:noProof/>
          <w:lang w:val="es-ES_tradnl"/>
        </w:rPr>
        <w:t xml:space="preserve"> </w:t>
      </w:r>
      <w:r w:rsidRPr="008677DE">
        <w:rPr>
          <w:rFonts w:ascii="Verdana" w:hAnsi="Verdana" w:cs="Arial"/>
          <w:noProof/>
          <w:lang w:val="es-ES_tradnl"/>
        </w:rPr>
        <w:t>efecto</w:t>
      </w:r>
      <w:r w:rsidRPr="008677DE">
        <w:rPr>
          <w:rFonts w:ascii="Verdana" w:hAnsi="Verdana"/>
          <w:vertAlign w:val="superscript"/>
          <w:lang w:val="es-ES_tradnl"/>
        </w:rPr>
        <w:footnoteReference w:id="7"/>
      </w:r>
      <w:r w:rsidRPr="008677DE">
        <w:rPr>
          <w:rFonts w:ascii="Verdana" w:hAnsi="Verdana" w:cs="Arial"/>
          <w:noProof/>
          <w:lang w:val="es-ES_tradnl"/>
        </w:rPr>
        <w:t>, aspectos que fueron aclarados posteriormente por Auto del 11 de noviembre de 2021</w:t>
      </w:r>
      <w:r w:rsidRPr="008677DE">
        <w:rPr>
          <w:rStyle w:val="Refdenotaalpie"/>
          <w:rFonts w:ascii="Verdana" w:hAnsi="Verdana" w:cs="Arial"/>
          <w:noProof/>
          <w:lang w:val="es-ES_tradnl"/>
        </w:rPr>
        <w:footnoteReference w:id="8"/>
      </w:r>
      <w:r w:rsidRPr="008677DE">
        <w:rPr>
          <w:rFonts w:ascii="Verdana" w:hAnsi="Verdana" w:cs="Arial"/>
          <w:noProof/>
          <w:lang w:val="es-ES_tradnl"/>
        </w:rPr>
        <w:t>.</w:t>
      </w:r>
    </w:p>
    <w:p w14:paraId="30404439" w14:textId="3ECF26D5" w:rsidR="009D2624" w:rsidRPr="00AB49CF" w:rsidRDefault="009D2624" w:rsidP="009D2624">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 xml:space="preserve">iv) Deben ser temporales. La sentencia de unificacion jurisprudencial del Consejo de Estado mencionada, frente a la duración del contrato de prestación de servicios señaló que solo puede celebrarse por un </w:t>
      </w:r>
      <w:r>
        <w:rPr>
          <w:rFonts w:ascii="Verdana" w:hAnsi="Verdana" w:cs="Arial"/>
          <w:noProof/>
          <w:lang w:val="es-ES_tradnl"/>
        </w:rPr>
        <w:t>“</w:t>
      </w:r>
      <w:r w:rsidRPr="008677DE">
        <w:rPr>
          <w:rFonts w:ascii="Verdana" w:hAnsi="Verdana" w:cs="Arial"/>
          <w:noProof/>
          <w:lang w:val="es-ES_tradnl"/>
        </w:rPr>
        <w:t>término estrictamente indispensable</w:t>
      </w:r>
      <w:r>
        <w:rPr>
          <w:rFonts w:ascii="Verdana" w:hAnsi="Verdana" w:cs="Arial"/>
          <w:noProof/>
          <w:lang w:val="es-ES_tradnl"/>
        </w:rPr>
        <w:t>”</w:t>
      </w:r>
      <w:r w:rsidRPr="008677DE">
        <w:rPr>
          <w:rFonts w:ascii="Verdana" w:hAnsi="Verdana" w:cs="Arial"/>
          <w:noProof/>
          <w:lang w:val="es-ES_tradnl"/>
        </w:rPr>
        <w:t xml:space="preserve">. En ese entendido, unificó el sentido y alcance del término estrictamente indispensable como </w:t>
      </w:r>
      <w:r w:rsidR="0052405D">
        <w:rPr>
          <w:rFonts w:ascii="Verdana" w:hAnsi="Verdana" w:cs="Arial"/>
          <w:noProof/>
          <w:lang w:val="es-ES_tradnl"/>
        </w:rPr>
        <w:t>“</w:t>
      </w:r>
      <w:r w:rsidRPr="008677DE">
        <w:rPr>
          <w:rFonts w:ascii="Verdana" w:hAnsi="Verdana" w:cs="Arial"/>
          <w:noProof/>
          <w:lang w:val="es-ES_tradnl"/>
        </w:rPr>
        <w:t>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0052405D">
        <w:rPr>
          <w:rFonts w:ascii="Verdana" w:hAnsi="Verdana" w:cs="Arial"/>
          <w:noProof/>
          <w:lang w:val="es-ES_tradnl"/>
        </w:rPr>
        <w:t>”</w:t>
      </w:r>
      <w:r w:rsidRPr="008677DE">
        <w:rPr>
          <w:rFonts w:ascii="Verdana" w:hAnsi="Verdana" w:cs="Arial"/>
          <w:noProof/>
          <w:lang w:val="es-ES_tradnl"/>
        </w:rPr>
        <w:t>.</w:t>
      </w:r>
      <w:r w:rsidRPr="008677DE">
        <w:rPr>
          <w:rFonts w:ascii="Verdana" w:hAnsi="Verdana" w:cs="Arial"/>
        </w:rPr>
        <w:t xml:space="preserve"> De igual manera, señaló que </w:t>
      </w:r>
      <w:r>
        <w:rPr>
          <w:rFonts w:ascii="Verdana" w:hAnsi="Verdana" w:cs="Arial"/>
        </w:rPr>
        <w:t>“</w:t>
      </w:r>
      <w:r w:rsidRPr="008677DE">
        <w:rPr>
          <w:rFonts w:ascii="Verdana" w:hAnsi="Verdana" w:cs="Arial"/>
        </w:rPr>
        <w:t>no cabe su empleo para la cobertura indefinida de necesidades permanentes o recurrentes</w:t>
      </w:r>
      <w:r>
        <w:rPr>
          <w:rFonts w:ascii="Verdana" w:hAnsi="Verdana" w:cs="Arial"/>
        </w:rPr>
        <w:t>”</w:t>
      </w:r>
      <w:r w:rsidRPr="008677DE">
        <w:rPr>
          <w:rFonts w:ascii="Verdana" w:hAnsi="Verdana" w:cs="Arial"/>
        </w:rPr>
        <w:t xml:space="preserve">. </w:t>
      </w:r>
      <w:r w:rsidRPr="008677DE">
        <w:rPr>
          <w:rFonts w:ascii="Verdana" w:hAnsi="Verdana" w:cs="Arial"/>
          <w:noProof/>
          <w:lang w:val="es-ES_tradnl"/>
        </w:rPr>
        <w:t xml:space="preserve">En sentido similar se manifestó la Corte </w:t>
      </w:r>
      <w:r w:rsidRPr="00AB49CF">
        <w:rPr>
          <w:rFonts w:ascii="Verdana" w:hAnsi="Verdana" w:cs="Arial"/>
          <w:noProof/>
          <w:lang w:val="es-ES_tradnl"/>
        </w:rPr>
        <w:t>Constitucional en la Sentencia C-154 de 1997, expresando que:</w:t>
      </w:r>
    </w:p>
    <w:p w14:paraId="2C86073D" w14:textId="77777777" w:rsidR="009D2624" w:rsidRPr="00EB30BA" w:rsidRDefault="009D2624" w:rsidP="009D2624">
      <w:pPr>
        <w:ind w:left="709" w:right="709"/>
        <w:jc w:val="both"/>
        <w:rPr>
          <w:rFonts w:ascii="Verdana" w:hAnsi="Verdana" w:cs="Arial"/>
          <w:noProof/>
          <w:sz w:val="20"/>
          <w:szCs w:val="20"/>
          <w:lang w:val="es-ES_tradnl"/>
        </w:rPr>
      </w:pPr>
      <w:r w:rsidRPr="00EB30BA">
        <w:rPr>
          <w:rFonts w:ascii="Verdana" w:hAnsi="Verdana" w:cs="Arial"/>
          <w:noProof/>
          <w:sz w:val="20"/>
          <w:szCs w:val="20"/>
          <w:lang w:val="es-ES_tradnl"/>
        </w:rPr>
        <w:t xml:space="preserve">“La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w:t>
      </w:r>
      <w:r w:rsidRPr="00EB30BA">
        <w:rPr>
          <w:rFonts w:ascii="Verdana" w:hAnsi="Verdana" w:cs="Arial"/>
          <w:noProof/>
          <w:sz w:val="20"/>
          <w:szCs w:val="20"/>
          <w:lang w:val="es-ES_tradnl"/>
        </w:rPr>
        <w:lastRenderedPageBreak/>
        <w:t>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EB30BA">
        <w:rPr>
          <w:rStyle w:val="Refdenotaalpie"/>
          <w:rFonts w:ascii="Verdana" w:hAnsi="Verdana" w:cs="Arial"/>
          <w:noProof/>
          <w:sz w:val="20"/>
          <w:szCs w:val="20"/>
          <w:lang w:val="es-ES_tradnl"/>
        </w:rPr>
        <w:footnoteReference w:id="9"/>
      </w:r>
      <w:r w:rsidRPr="00EB30BA">
        <w:rPr>
          <w:rFonts w:ascii="Verdana" w:hAnsi="Verdana" w:cs="Arial"/>
          <w:noProof/>
          <w:sz w:val="20"/>
          <w:szCs w:val="20"/>
          <w:lang w:val="es-ES_tradnl"/>
        </w:rPr>
        <w:t>.</w:t>
      </w:r>
    </w:p>
    <w:p w14:paraId="2CD08268" w14:textId="77777777" w:rsidR="009D2624" w:rsidRPr="008677DE" w:rsidRDefault="009D2624" w:rsidP="009D2624">
      <w:pPr>
        <w:spacing w:after="120" w:line="276" w:lineRule="auto"/>
        <w:ind w:firstLine="709"/>
        <w:jc w:val="both"/>
        <w:rPr>
          <w:rFonts w:ascii="Verdana" w:hAnsi="Verdana" w:cs="Arial"/>
          <w:noProof/>
          <w:lang w:val="es-ES_tradnl"/>
        </w:rPr>
      </w:pPr>
      <w:r w:rsidRPr="008677DE">
        <w:rPr>
          <w:rFonts w:ascii="Verdana" w:hAnsi="Verdana" w:cs="Arial"/>
          <w:noProof/>
          <w:lang w:val="es-ES_tradnl"/>
        </w:rPr>
        <w:t>v) Se celebran a través de la modalidad de contratación directa, independientemente de la cuantía y del tipo de servicio profesional, siempre que su objeto no sea la consultoría. Esto por cuanto, como lo indicó el Consejo de Estado en otra sentencia de unificación jurisprudencial del año 2013, si bien en ambos existe un componente intelectual y profesional, el objeto del contrato de consultoría es especial y debe celebrarse, por regla general, mediante un concurso de méritos</w:t>
      </w:r>
      <w:r w:rsidRPr="008677DE">
        <w:rPr>
          <w:rStyle w:val="Refdenotaalpie"/>
          <w:rFonts w:ascii="Verdana" w:hAnsi="Verdana" w:cs="Arial"/>
          <w:noProof/>
          <w:lang w:val="es-ES_tradnl"/>
        </w:rPr>
        <w:footnoteReference w:id="10"/>
      </w:r>
      <w:r w:rsidRPr="008677DE">
        <w:rPr>
          <w:rFonts w:ascii="Verdana" w:hAnsi="Verdana" w:cs="Arial"/>
          <w:noProof/>
          <w:lang w:val="es-ES_tradnl"/>
        </w:rPr>
        <w:t>. Esto también se deriva d</w:t>
      </w:r>
      <w:r w:rsidRPr="008677DE">
        <w:rPr>
          <w:rFonts w:ascii="Verdana" w:eastAsia="Calibri" w:hAnsi="Verdana" w:cs="Arial"/>
          <w:color w:val="000000" w:themeColor="text1"/>
          <w:lang w:val="es-ES_tradnl"/>
        </w:rPr>
        <w:t xml:space="preserve">el artículo 2, numeral 4º, literal h) de la Ley 1150 de 2007, al señalar que procede la contratación directa para la prestación de servicios profesionales y de apoyo a la gestión, o para la ejecución de trabajos artísticos que solo pueden encomendarse a determinadas personas. </w:t>
      </w:r>
      <w:r w:rsidRPr="008677DE">
        <w:rPr>
          <w:rFonts w:ascii="Verdana" w:hAnsi="Verdana" w:cs="Arial"/>
          <w:noProof/>
          <w:lang w:val="es-ES_tradnl"/>
        </w:rPr>
        <w:t>Debe aclararse que no debe suscribirse un contrato de prestación de servicios profesionales para ejecutar actividades que se enmarcan en los otros contratos tipificados en el artículo 32 de la Ley 80 de 1993, como, por ejemplo, la construcción de una obra.</w:t>
      </w:r>
    </w:p>
    <w:p w14:paraId="5627A20D" w14:textId="77777777" w:rsidR="009D2624" w:rsidRPr="008677DE" w:rsidRDefault="009D2624" w:rsidP="009D2624">
      <w:pPr>
        <w:spacing w:after="120" w:line="276" w:lineRule="auto"/>
        <w:ind w:firstLine="709"/>
        <w:jc w:val="both"/>
        <w:rPr>
          <w:rFonts w:ascii="Verdana" w:hAnsi="Verdana" w:cs="Arial"/>
          <w:noProof/>
          <w:lang w:val="es-ES_tradnl"/>
        </w:rPr>
      </w:pPr>
      <w:r w:rsidRPr="008677DE">
        <w:rPr>
          <w:rFonts w:ascii="Verdana" w:hAnsi="Verdana" w:cs="Arial"/>
          <w:noProof/>
          <w:lang w:val="es-ES_tradnl"/>
        </w:rPr>
        <w:t>vi) Para su celebración no se requiere expedir un acto administrativo de justificación de la contratación directa</w:t>
      </w:r>
      <w:r w:rsidRPr="008677DE">
        <w:rPr>
          <w:rStyle w:val="Refdenotaalpie"/>
          <w:rFonts w:ascii="Verdana" w:hAnsi="Verdana" w:cs="Arial"/>
          <w:noProof/>
          <w:lang w:val="es-ES_tradnl"/>
        </w:rPr>
        <w:footnoteReference w:id="11"/>
      </w:r>
      <w:r w:rsidRPr="008677DE">
        <w:rPr>
          <w:rFonts w:ascii="Verdana" w:hAnsi="Verdana" w:cs="Arial"/>
          <w:noProof/>
          <w:lang w:val="es-ES_tradnl"/>
        </w:rPr>
        <w:t>.</w:t>
      </w:r>
    </w:p>
    <w:p w14:paraId="4980B77F" w14:textId="77777777" w:rsidR="009D2624" w:rsidRPr="008677DE" w:rsidRDefault="009D2624" w:rsidP="009D2624">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vii) El contrato admite la inclusión de cláusulas excepcionales. En los contratos de prestación de servicios se puede pactar la caducidad, la modificación, interpretación o terminación unilateral, como acuerdos o elementos accidentales, así que para ejercer estas exorbitancias deben incluirse expresamente, porque no se entienden pactadas como cláusula de la naturaleza. Así se infiere del artículo 14, numeral 2º, de la Ley 80 de 1993</w:t>
      </w:r>
      <w:r w:rsidRPr="008677DE">
        <w:rPr>
          <w:rStyle w:val="Refdenotaalpie"/>
          <w:rFonts w:ascii="Verdana" w:hAnsi="Verdana" w:cs="Arial"/>
          <w:noProof/>
          <w:lang w:val="es-ES_tradnl"/>
        </w:rPr>
        <w:footnoteReference w:id="12"/>
      </w:r>
      <w:r w:rsidRPr="008677DE">
        <w:rPr>
          <w:rFonts w:ascii="Verdana" w:hAnsi="Verdana" w:cs="Arial"/>
          <w:noProof/>
          <w:lang w:val="es-ES_tradnl"/>
        </w:rPr>
        <w:t>.</w:t>
      </w:r>
    </w:p>
    <w:p w14:paraId="6A0C56C1" w14:textId="77777777" w:rsidR="009D2624" w:rsidRPr="008677DE" w:rsidRDefault="009D2624" w:rsidP="009D2624">
      <w:pPr>
        <w:spacing w:before="120" w:line="276" w:lineRule="auto"/>
        <w:ind w:firstLine="709"/>
        <w:jc w:val="both"/>
        <w:rPr>
          <w:rFonts w:ascii="Verdana" w:hAnsi="Verdana" w:cs="Arial"/>
          <w:noProof/>
          <w:lang w:val="es-ES_tradnl"/>
        </w:rPr>
      </w:pPr>
      <w:r w:rsidRPr="008677DE">
        <w:rPr>
          <w:rFonts w:ascii="Verdana" w:hAnsi="Verdana" w:cs="Arial"/>
          <w:noProof/>
          <w:lang w:val="es-ES_tradnl"/>
        </w:rPr>
        <w:lastRenderedPageBreak/>
        <w:t>viii) No es obligatoria la liquidación de estos contratos, como lo establece el artículo 217 del Decreto 019 de 2012, que modificó el artículo 60 de la Ley 80 de 1993</w:t>
      </w:r>
      <w:r w:rsidRPr="008677DE">
        <w:rPr>
          <w:rStyle w:val="Refdenotaalpie"/>
          <w:rFonts w:ascii="Verdana" w:hAnsi="Verdana" w:cs="Arial"/>
          <w:noProof/>
          <w:lang w:val="es-ES_tradnl"/>
        </w:rPr>
        <w:footnoteReference w:id="13"/>
      </w:r>
      <w:r w:rsidRPr="008677DE">
        <w:rPr>
          <w:rFonts w:ascii="Verdana" w:hAnsi="Verdana" w:cs="Arial"/>
          <w:noProof/>
          <w:lang w:val="es-ES_tradnl"/>
        </w:rPr>
        <w:t>.</w:t>
      </w:r>
    </w:p>
    <w:p w14:paraId="76691F39" w14:textId="77777777" w:rsidR="009D2624" w:rsidRPr="008677DE" w:rsidRDefault="009D2624" w:rsidP="009D2624">
      <w:pPr>
        <w:spacing w:before="120" w:line="276" w:lineRule="auto"/>
        <w:ind w:firstLine="709"/>
        <w:jc w:val="both"/>
        <w:rPr>
          <w:rFonts w:ascii="Verdana" w:hAnsi="Verdana" w:cs="Arial"/>
          <w:noProof/>
          <w:lang w:val="es-ES_tradnl"/>
        </w:rPr>
      </w:pPr>
      <w:r w:rsidRPr="008677DE">
        <w:rPr>
          <w:rFonts w:ascii="Verdana" w:hAnsi="Verdana" w:cs="Arial"/>
          <w:noProof/>
          <w:lang w:val="es-ES_tradnl"/>
        </w:rPr>
        <w:t>ix) Para su celebración el contratista no requiere estar inscrito en el Registro Único de Proponentes –RUP–, como lo señala el artículo 6 de la Ley 1150 de 2007</w:t>
      </w:r>
      <w:r w:rsidRPr="008677DE">
        <w:rPr>
          <w:rStyle w:val="Refdenotaalpie"/>
          <w:rFonts w:ascii="Verdana" w:hAnsi="Verdana" w:cs="Arial"/>
          <w:noProof/>
          <w:lang w:val="es-ES_tradnl"/>
        </w:rPr>
        <w:footnoteReference w:id="14"/>
      </w:r>
      <w:r w:rsidRPr="008677DE">
        <w:rPr>
          <w:rFonts w:ascii="Verdana" w:hAnsi="Verdana" w:cs="Arial"/>
          <w:noProof/>
          <w:lang w:val="es-ES_tradnl"/>
        </w:rPr>
        <w:t>.</w:t>
      </w:r>
    </w:p>
    <w:p w14:paraId="39DFCA3D" w14:textId="77777777" w:rsidR="009D2624" w:rsidRPr="008677DE" w:rsidRDefault="009D2624" w:rsidP="009D2624">
      <w:pPr>
        <w:spacing w:before="120" w:line="276" w:lineRule="auto"/>
        <w:ind w:firstLine="708"/>
        <w:jc w:val="both"/>
        <w:rPr>
          <w:rFonts w:ascii="Verdana" w:hAnsi="Verdana" w:cs="Arial"/>
          <w:noProof/>
          <w:lang w:val="es-ES_tradnl"/>
        </w:rPr>
      </w:pPr>
      <w:r w:rsidRPr="008677DE">
        <w:rPr>
          <w:rFonts w:ascii="Verdana" w:hAnsi="Verdana" w:cs="Arial"/>
          <w:noProof/>
          <w:lang w:val="es-ES_tradnl"/>
        </w:rPr>
        <w:t>x) No es obligatoria la exigencia de garantías</w:t>
      </w:r>
      <w:r w:rsidRPr="008677DE">
        <w:rPr>
          <w:rStyle w:val="Refdenotaalpie"/>
          <w:rFonts w:ascii="Verdana" w:hAnsi="Verdana" w:cs="Arial"/>
          <w:noProof/>
          <w:lang w:val="es-ES_tradnl"/>
        </w:rPr>
        <w:footnoteReference w:id="15"/>
      </w:r>
      <w:r w:rsidRPr="008677DE">
        <w:rPr>
          <w:rFonts w:ascii="Verdana" w:hAnsi="Verdana" w:cs="Arial"/>
          <w:noProof/>
          <w:lang w:val="es-ES_tradnl"/>
        </w:rPr>
        <w:t>.</w:t>
      </w:r>
    </w:p>
    <w:p w14:paraId="595E5BCD" w14:textId="77777777" w:rsidR="009D2624" w:rsidRPr="008677DE" w:rsidRDefault="009D2624" w:rsidP="009D2624">
      <w:pPr>
        <w:spacing w:before="120" w:line="276" w:lineRule="auto"/>
        <w:ind w:firstLine="708"/>
        <w:jc w:val="both"/>
        <w:rPr>
          <w:rFonts w:ascii="Verdana" w:hAnsi="Verdana" w:cs="Arial"/>
          <w:noProof/>
          <w:lang w:val="es-ES"/>
        </w:rPr>
      </w:pPr>
      <w:r w:rsidRPr="008677DE">
        <w:rPr>
          <w:rFonts w:ascii="Verdana" w:hAnsi="Verdana" w:cs="Arial"/>
          <w:noProof/>
          <w:lang w:val="es-ES_tradnl"/>
        </w:rPr>
        <w:t>xi) Como los demás contratos estatales, se trata de un contrato solemne que debe constar por escrito y debe ser publicado en el SECOP.</w:t>
      </w:r>
    </w:p>
    <w:p w14:paraId="13F4B8EB" w14:textId="77777777" w:rsidR="009D2624" w:rsidRPr="008677DE" w:rsidRDefault="009D2624" w:rsidP="009D2624">
      <w:pPr>
        <w:tabs>
          <w:tab w:val="left" w:pos="0"/>
        </w:tabs>
        <w:spacing w:before="120" w:line="276" w:lineRule="auto"/>
        <w:ind w:firstLine="709"/>
        <w:jc w:val="both"/>
        <w:rPr>
          <w:rFonts w:ascii="Verdana" w:hAnsi="Verdana" w:cs="Arial"/>
          <w:color w:val="000000" w:themeColor="text1"/>
        </w:rPr>
      </w:pPr>
      <w:proofErr w:type="spellStart"/>
      <w:r w:rsidRPr="008677DE">
        <w:rPr>
          <w:rFonts w:ascii="Verdana" w:hAnsi="Verdana" w:cs="Arial"/>
          <w:color w:val="000000" w:themeColor="text1"/>
          <w:lang w:val="es-ES"/>
        </w:rPr>
        <w:t>xii</w:t>
      </w:r>
      <w:proofErr w:type="spellEnd"/>
      <w:r w:rsidRPr="008677DE">
        <w:rPr>
          <w:rFonts w:ascii="Verdana" w:hAnsi="Verdana" w:cs="Arial"/>
          <w:color w:val="000000" w:themeColor="text1"/>
          <w:lang w:val="es-ES"/>
        </w:rPr>
        <w:t>) C</w:t>
      </w:r>
      <w:proofErr w:type="spellStart"/>
      <w:r w:rsidRPr="008677DE">
        <w:rPr>
          <w:rFonts w:ascii="Verdana" w:hAnsi="Verdana" w:cs="Arial"/>
          <w:color w:val="000000" w:themeColor="text1"/>
        </w:rPr>
        <w:t>omo</w:t>
      </w:r>
      <w:proofErr w:type="spellEnd"/>
      <w:r w:rsidRPr="008677DE">
        <w:rPr>
          <w:rFonts w:ascii="Verdana" w:hAnsi="Verdana" w:cs="Arial"/>
          <w:color w:val="000000" w:themeColor="text1"/>
        </w:rPr>
        <w:t xml:space="preserve"> especies del género </w:t>
      </w:r>
      <w:r w:rsidRPr="008677DE">
        <w:rPr>
          <w:rFonts w:ascii="Verdana" w:hAnsi="Verdana" w:cs="Arial"/>
          <w:i/>
          <w:color w:val="000000" w:themeColor="text1"/>
        </w:rPr>
        <w:t>prestación de servicios,</w:t>
      </w:r>
      <w:r w:rsidRPr="008677DE">
        <w:rPr>
          <w:rFonts w:ascii="Verdana" w:hAnsi="Verdana" w:cs="Arial"/>
          <w:color w:val="000000" w:themeColor="text1"/>
        </w:rPr>
        <w:t xml:space="preserve"> se incluyen </w:t>
      </w:r>
      <w:r w:rsidRPr="008677DE">
        <w:rPr>
          <w:rFonts w:ascii="Verdana" w:hAnsi="Verdana" w:cs="Arial"/>
          <w:color w:val="000000" w:themeColor="text1"/>
          <w:lang w:val="es-ES_tradnl"/>
        </w:rPr>
        <w:t xml:space="preserve">los </w:t>
      </w:r>
      <w:r w:rsidRPr="008677DE">
        <w:rPr>
          <w:rFonts w:ascii="Verdana" w:hAnsi="Verdana" w:cs="Arial"/>
          <w:i/>
          <w:iCs/>
          <w:color w:val="000000" w:themeColor="text1"/>
          <w:lang w:val="es-ES_tradnl"/>
        </w:rPr>
        <w:t>contratos de prestación de servicios profesionales, los contratos de prestación de servicios de apoyo a la gestión</w:t>
      </w:r>
      <w:r w:rsidRPr="008677DE">
        <w:rPr>
          <w:rFonts w:ascii="Verdana" w:hAnsi="Verdana" w:cs="Arial"/>
          <w:color w:val="000000" w:themeColor="text1"/>
          <w:lang w:val="es-ES_tradnl"/>
        </w:rPr>
        <w:t xml:space="preserve"> y los </w:t>
      </w:r>
      <w:r w:rsidRPr="008677DE">
        <w:rPr>
          <w:rFonts w:ascii="Verdana" w:hAnsi="Verdana" w:cs="Arial"/>
          <w:i/>
          <w:iCs/>
          <w:color w:val="000000" w:themeColor="text1"/>
          <w:lang w:val="es-ES_tradnl"/>
        </w:rPr>
        <w:t>contratos de prestación de servicios artísticos que solo pueden encomendarse a determinadas personas naturales</w:t>
      </w:r>
      <w:r w:rsidRPr="008677DE">
        <w:rPr>
          <w:rFonts w:ascii="Verdana" w:hAnsi="Verdana" w:cs="Arial"/>
          <w:color w:val="000000" w:themeColor="text1"/>
          <w:vertAlign w:val="superscript"/>
          <w:lang w:val="es-ES_tradnl"/>
        </w:rPr>
        <w:footnoteReference w:id="16"/>
      </w:r>
      <w:r w:rsidRPr="008677DE">
        <w:rPr>
          <w:rFonts w:ascii="Verdana" w:hAnsi="Verdana" w:cs="Arial"/>
          <w:color w:val="000000" w:themeColor="text1"/>
        </w:rPr>
        <w:t xml:space="preserve">. </w:t>
      </w:r>
      <w:r w:rsidRPr="008677DE">
        <w:rPr>
          <w:rFonts w:ascii="Verdana" w:hAnsi="Verdana" w:cs="Arial"/>
          <w:color w:val="000000" w:themeColor="text1"/>
          <w:lang w:val="es-ES_tradnl"/>
        </w:rPr>
        <w:t xml:space="preserve">La diferencia entre el contrato de prestación de servicios </w:t>
      </w:r>
      <w:r w:rsidRPr="008677DE">
        <w:rPr>
          <w:rFonts w:ascii="Verdana" w:hAnsi="Verdana" w:cs="Arial"/>
          <w:i/>
          <w:color w:val="000000" w:themeColor="text1"/>
          <w:lang w:val="es-ES_tradnl"/>
        </w:rPr>
        <w:t>profesionales</w:t>
      </w:r>
      <w:r w:rsidRPr="008677DE">
        <w:rPr>
          <w:rFonts w:ascii="Verdana" w:hAnsi="Verdana" w:cs="Arial"/>
          <w:color w:val="000000" w:themeColor="text1"/>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explicar que:</w:t>
      </w:r>
    </w:p>
    <w:p w14:paraId="2E66C300" w14:textId="77777777" w:rsidR="009D2624" w:rsidRPr="00EB30BA" w:rsidRDefault="009D2624" w:rsidP="009D2624">
      <w:pPr>
        <w:spacing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 xml:space="preserve">“Su objeto está determinado por el desarrollo de actividades identificables e intangibles que impliquen el desempeño de un esfuerzo o actividad, tendiente a satisfacer necesidades de las entidades estatales en lo </w:t>
      </w:r>
      <w:r w:rsidRPr="00EB30BA">
        <w:rPr>
          <w:rFonts w:ascii="Verdana" w:hAnsi="Verdana" w:cs="Arial"/>
          <w:color w:val="000000" w:themeColor="text1"/>
          <w:sz w:val="20"/>
          <w:szCs w:val="20"/>
          <w:lang w:val="es-ES_tradnl"/>
        </w:rPr>
        <w:lastRenderedPageBreak/>
        <w:t>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EB30BA">
        <w:rPr>
          <w:rStyle w:val="Refdenotaalpie"/>
          <w:rFonts w:ascii="Verdana" w:hAnsi="Verdana" w:cs="Arial"/>
          <w:color w:val="000000" w:themeColor="text1"/>
          <w:sz w:val="20"/>
          <w:szCs w:val="20"/>
          <w:lang w:val="es-ES_tradnl"/>
        </w:rPr>
        <w:footnoteReference w:id="17"/>
      </w:r>
      <w:r w:rsidRPr="00EB30BA">
        <w:rPr>
          <w:rFonts w:ascii="Verdana" w:hAnsi="Verdana" w:cs="Arial"/>
          <w:color w:val="000000" w:themeColor="text1"/>
          <w:sz w:val="20"/>
          <w:szCs w:val="20"/>
          <w:lang w:val="es-ES_tradnl"/>
        </w:rPr>
        <w:t>.</w:t>
      </w:r>
    </w:p>
    <w:p w14:paraId="3753903F" w14:textId="77777777" w:rsidR="009D2624" w:rsidRPr="008677DE" w:rsidRDefault="009D2624" w:rsidP="009D2624">
      <w:pPr>
        <w:spacing w:line="276" w:lineRule="auto"/>
        <w:ind w:firstLine="709"/>
        <w:jc w:val="both"/>
        <w:rPr>
          <w:rFonts w:ascii="Verdana" w:hAnsi="Verdana" w:cs="Arial"/>
          <w:color w:val="000000" w:themeColor="text1"/>
          <w:lang w:val="es-ES_tradnl"/>
        </w:rPr>
      </w:pPr>
      <w:r w:rsidRPr="008677DE">
        <w:rPr>
          <w:rFonts w:ascii="Verdana" w:hAnsi="Verdana" w:cs="Arial"/>
          <w:color w:val="000000" w:themeColor="text1"/>
          <w:lang w:val="es-ES_tradnl"/>
        </w:rPr>
        <w:t xml:space="preserve">Lo expuesto, según la jurisprudencia citada, se diferencia del objeto del </w:t>
      </w:r>
      <w:r w:rsidRPr="008677DE">
        <w:rPr>
          <w:rFonts w:ascii="Verdana" w:hAnsi="Verdana" w:cs="Arial"/>
          <w:i/>
          <w:iCs/>
          <w:color w:val="000000" w:themeColor="text1"/>
          <w:lang w:val="es-ES_tradnl"/>
        </w:rPr>
        <w:t>contrato de prestación de servicios de apoyo a la gestión</w:t>
      </w:r>
      <w:r w:rsidRPr="008677DE">
        <w:rPr>
          <w:rFonts w:ascii="Verdana" w:hAnsi="Verdana" w:cs="Arial"/>
          <w:color w:val="000000" w:themeColor="text1"/>
          <w:lang w:val="es-ES_tradnl"/>
        </w:rPr>
        <w:t>, en los siguientes aspectos:</w:t>
      </w:r>
    </w:p>
    <w:p w14:paraId="1BD19209" w14:textId="77777777" w:rsidR="009D2624" w:rsidRPr="00EB30BA" w:rsidRDefault="009D2624" w:rsidP="009D2624">
      <w:pPr>
        <w:spacing w:after="120"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1DC323E" w14:textId="77777777" w:rsidR="009D2624" w:rsidRPr="00EB30BA" w:rsidRDefault="009D2624" w:rsidP="009D2624">
      <w:pPr>
        <w:spacing w:after="120" w:line="240" w:lineRule="auto"/>
        <w:ind w:left="709" w:right="709"/>
        <w:jc w:val="both"/>
        <w:rPr>
          <w:rFonts w:ascii="Verdana" w:hAnsi="Verdana" w:cs="Arial"/>
          <w:color w:val="000000" w:themeColor="text1"/>
          <w:sz w:val="20"/>
          <w:szCs w:val="20"/>
          <w:lang w:val="es-ES"/>
        </w:rPr>
      </w:pPr>
      <w:r w:rsidRPr="00EB30BA">
        <w:rPr>
          <w:rFonts w:ascii="Verdana" w:hAnsi="Verdana" w:cs="Arial"/>
          <w:color w:val="000000" w:themeColor="text1"/>
          <w:sz w:val="20"/>
          <w:szCs w:val="20"/>
          <w:lang w:val="es-ES"/>
        </w:rPr>
        <w:t xml:space="preserve">Aunque también se caracteriza por el desempeño de actividad intelectiva, ésta </w:t>
      </w:r>
      <w:proofErr w:type="gramStart"/>
      <w:r w:rsidRPr="00EB30BA">
        <w:rPr>
          <w:rFonts w:ascii="Verdana" w:hAnsi="Verdana" w:cs="Arial"/>
          <w:color w:val="000000" w:themeColor="text1"/>
          <w:sz w:val="20"/>
          <w:szCs w:val="20"/>
          <w:lang w:val="es-ES"/>
        </w:rPr>
        <w:t>se enmarca dentro de</w:t>
      </w:r>
      <w:proofErr w:type="gramEnd"/>
      <w:r w:rsidRPr="00EB30BA">
        <w:rPr>
          <w:rFonts w:ascii="Verdana" w:hAnsi="Verdana" w:cs="Arial"/>
          <w:color w:val="000000" w:themeColor="text1"/>
          <w:sz w:val="20"/>
          <w:szCs w:val="20"/>
          <w:lang w:val="es-ES"/>
        </w:rPr>
        <w:t xml:space="preserve"> un saber propiamente técnico; igualmente involucra actividades en donde prima el esfuerzo físico o mecánico, en donde no se requiere de personal profesional.</w:t>
      </w:r>
    </w:p>
    <w:p w14:paraId="07805F9A" w14:textId="77777777" w:rsidR="009D2624" w:rsidRPr="00EB30BA" w:rsidRDefault="009D2624" w:rsidP="009D2624">
      <w:pPr>
        <w:spacing w:line="240" w:lineRule="auto"/>
        <w:ind w:left="709" w:right="709"/>
        <w:jc w:val="both"/>
        <w:rPr>
          <w:rFonts w:ascii="Verdana" w:hAnsi="Verdana" w:cs="Arial"/>
          <w:color w:val="000000" w:themeColor="text1"/>
          <w:sz w:val="20"/>
          <w:szCs w:val="20"/>
          <w:lang w:val="es-ES_tradnl"/>
        </w:rPr>
      </w:pPr>
      <w:r w:rsidRPr="00EB30BA">
        <w:rPr>
          <w:rFonts w:ascii="Verdana" w:hAnsi="Verdana" w:cs="Arial"/>
          <w:color w:val="000000" w:themeColor="text1"/>
          <w:sz w:val="20"/>
          <w:szCs w:val="20"/>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EB30BA">
        <w:rPr>
          <w:rStyle w:val="Refdenotaalpie"/>
          <w:rFonts w:ascii="Verdana" w:hAnsi="Verdana" w:cs="Arial"/>
          <w:color w:val="000000" w:themeColor="text1"/>
          <w:sz w:val="20"/>
          <w:szCs w:val="20"/>
          <w:lang w:val="es-ES_tradnl"/>
        </w:rPr>
        <w:footnoteReference w:id="18"/>
      </w:r>
      <w:r w:rsidRPr="00EB30BA">
        <w:rPr>
          <w:rFonts w:ascii="Verdana" w:hAnsi="Verdana" w:cs="Arial"/>
          <w:color w:val="000000" w:themeColor="text1"/>
          <w:sz w:val="20"/>
          <w:szCs w:val="20"/>
          <w:lang w:val="es-ES_tradnl"/>
        </w:rPr>
        <w:t>.</w:t>
      </w:r>
    </w:p>
    <w:p w14:paraId="62E039B6" w14:textId="77777777" w:rsidR="009D2624" w:rsidRPr="008677DE" w:rsidRDefault="009D2624" w:rsidP="009D2624">
      <w:pPr>
        <w:spacing w:line="276" w:lineRule="auto"/>
        <w:ind w:firstLine="709"/>
        <w:jc w:val="both"/>
        <w:rPr>
          <w:rFonts w:ascii="Verdana" w:hAnsi="Verdana" w:cs="Arial"/>
          <w:color w:val="000000" w:themeColor="text1"/>
          <w:lang w:val="es-ES_tradnl"/>
        </w:rPr>
      </w:pPr>
      <w:r w:rsidRPr="008677DE">
        <w:rPr>
          <w:rFonts w:ascii="Verdana" w:hAnsi="Verdana" w:cs="Arial"/>
          <w:color w:val="000000" w:themeColor="text1"/>
          <w:lang w:val="es-ES_tradnl"/>
        </w:rPr>
        <w:t xml:space="preserve">En relación con el </w:t>
      </w:r>
      <w:r w:rsidRPr="008677DE">
        <w:rPr>
          <w:rFonts w:ascii="Verdana" w:hAnsi="Verdana" w:cs="Arial"/>
          <w:i/>
          <w:iCs/>
          <w:color w:val="000000" w:themeColor="text1"/>
          <w:lang w:val="es-ES_tradnl"/>
        </w:rPr>
        <w:t>contrato de prestación de servicios artísticos que solo pueden encomendarse a determinadas personas naturales</w:t>
      </w:r>
      <w:r w:rsidRPr="008677DE">
        <w:rPr>
          <w:rFonts w:ascii="Verdana" w:hAnsi="Verdana" w:cs="Arial"/>
          <w:color w:val="000000" w:themeColor="text1"/>
          <w:lang w:val="es-ES_tradnl"/>
        </w:rPr>
        <w:t>, señala la mencionada decisión judicial lo siguiente:</w:t>
      </w:r>
    </w:p>
    <w:p w14:paraId="4F12DFBF" w14:textId="77777777" w:rsidR="009D2624" w:rsidRPr="00EB30BA" w:rsidRDefault="009D2624" w:rsidP="009D2624">
      <w:pPr>
        <w:spacing w:line="240" w:lineRule="auto"/>
        <w:ind w:left="709" w:right="709"/>
        <w:jc w:val="both"/>
        <w:rPr>
          <w:rFonts w:ascii="Verdana" w:hAnsi="Verdana" w:cs="Arial"/>
          <w:color w:val="000000" w:themeColor="text1"/>
          <w:sz w:val="20"/>
          <w:szCs w:val="20"/>
          <w:lang w:val="es-ES_tradnl"/>
        </w:rPr>
      </w:pPr>
      <w:r>
        <w:rPr>
          <w:rFonts w:ascii="Verdana" w:hAnsi="Verdana" w:cs="Arial"/>
          <w:color w:val="000000" w:themeColor="text1"/>
          <w:sz w:val="20"/>
          <w:szCs w:val="20"/>
          <w:lang w:val="es-ES_tradnl"/>
        </w:rPr>
        <w:t>“</w:t>
      </w:r>
      <w:r w:rsidRPr="00EB30BA">
        <w:rPr>
          <w:rFonts w:ascii="Verdana" w:hAnsi="Verdana" w:cs="Arial"/>
          <w:color w:val="000000" w:themeColor="text1"/>
          <w:sz w:val="20"/>
          <w:szCs w:val="20"/>
          <w:lang w:val="es-ES_tradnl"/>
        </w:rPr>
        <w:t>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persona reconocida como realizador o productor de arte o trabajos artísticos</w:t>
      </w:r>
      <w:r>
        <w:rPr>
          <w:rFonts w:ascii="Verdana" w:hAnsi="Verdana" w:cs="Arial"/>
          <w:color w:val="000000" w:themeColor="text1"/>
          <w:sz w:val="20"/>
          <w:szCs w:val="20"/>
          <w:lang w:val="es-ES_tradnl"/>
        </w:rPr>
        <w:t>”</w:t>
      </w:r>
      <w:r w:rsidRPr="00EB30BA">
        <w:rPr>
          <w:rStyle w:val="Refdenotaalpie"/>
          <w:rFonts w:ascii="Verdana" w:hAnsi="Verdana" w:cs="Arial"/>
          <w:color w:val="000000" w:themeColor="text1"/>
          <w:sz w:val="20"/>
          <w:szCs w:val="20"/>
          <w:lang w:val="es-ES_tradnl"/>
        </w:rPr>
        <w:footnoteReference w:id="19"/>
      </w:r>
      <w:r w:rsidRPr="00EB30BA">
        <w:rPr>
          <w:rFonts w:ascii="Verdana" w:hAnsi="Verdana" w:cs="Arial"/>
          <w:color w:val="000000" w:themeColor="text1"/>
          <w:sz w:val="20"/>
          <w:szCs w:val="20"/>
          <w:lang w:val="es-ES_tradnl"/>
        </w:rPr>
        <w:t>.</w:t>
      </w:r>
    </w:p>
    <w:p w14:paraId="221E7A0E" w14:textId="77777777" w:rsidR="009D2624" w:rsidRPr="008677DE" w:rsidRDefault="009D2624" w:rsidP="009D2624">
      <w:pPr>
        <w:spacing w:line="276" w:lineRule="auto"/>
        <w:ind w:firstLine="709"/>
        <w:jc w:val="both"/>
        <w:rPr>
          <w:rFonts w:ascii="Verdana" w:hAnsi="Verdana" w:cs="Arial"/>
          <w:color w:val="000000" w:themeColor="text1"/>
        </w:rPr>
      </w:pPr>
      <w:r w:rsidRPr="008677DE">
        <w:rPr>
          <w:rFonts w:ascii="Verdana" w:hAnsi="Verdana" w:cs="Arial"/>
          <w:color w:val="000000" w:themeColor="text1"/>
          <w:lang w:val="es-ES_tradnl"/>
        </w:rPr>
        <w:t xml:space="preserve">En este sentido, el contrato de prestación de servicios </w:t>
      </w:r>
      <w:r w:rsidRPr="008677DE">
        <w:rPr>
          <w:rFonts w:ascii="Verdana" w:hAnsi="Verdana" w:cs="Arial"/>
          <w:i/>
          <w:iCs/>
          <w:color w:val="000000" w:themeColor="text1"/>
          <w:lang w:val="es-ES_tradnl"/>
        </w:rPr>
        <w:t>profesionales</w:t>
      </w:r>
      <w:r w:rsidRPr="008677DE">
        <w:rPr>
          <w:rFonts w:ascii="Verdana" w:hAnsi="Verdana" w:cs="Arial"/>
          <w:color w:val="000000" w:themeColor="text1"/>
          <w:lang w:val="es-ES_tradnl"/>
        </w:rPr>
        <w:t xml:space="preserve"> se caracteriza porque su objeto guarda relación con el desarrollo de actividades que demandan competencias y habilidades profesionales o especializadas de la persona natural o jurídica a contratar, de manera que se trata de un </w:t>
      </w:r>
      <w:r w:rsidRPr="008677DE">
        <w:rPr>
          <w:rFonts w:ascii="Verdana" w:hAnsi="Verdana" w:cs="Arial"/>
          <w:i/>
          <w:iCs/>
          <w:color w:val="000000" w:themeColor="text1"/>
          <w:lang w:val="es-ES_tradnl"/>
        </w:rPr>
        <w:t>saber intelectivo cualificado.</w:t>
      </w:r>
      <w:r w:rsidRPr="008677DE">
        <w:rPr>
          <w:rFonts w:ascii="Verdana" w:hAnsi="Verdana" w:cs="Arial"/>
          <w:color w:val="000000" w:themeColor="text1"/>
          <w:lang w:val="es-ES_tradnl"/>
        </w:rPr>
        <w:t xml:space="preserve"> En cambio, los contratos de prestación de servicios de </w:t>
      </w:r>
      <w:r w:rsidRPr="008677DE">
        <w:rPr>
          <w:rFonts w:ascii="Verdana" w:hAnsi="Verdana" w:cs="Arial"/>
          <w:i/>
          <w:iCs/>
          <w:color w:val="000000" w:themeColor="text1"/>
          <w:lang w:val="es-ES_tradnl"/>
        </w:rPr>
        <w:lastRenderedPageBreak/>
        <w:t>apoyo a la gestión</w:t>
      </w:r>
      <w:r w:rsidRPr="008677DE">
        <w:rPr>
          <w:rFonts w:ascii="Verdana" w:hAnsi="Verdana" w:cs="Arial"/>
          <w:color w:val="000000" w:themeColor="text1"/>
          <w:lang w:val="es-ES_tradnl"/>
        </w:rPr>
        <w:t xml:space="preserve"> y de </w:t>
      </w:r>
      <w:r w:rsidRPr="008677DE">
        <w:rPr>
          <w:rFonts w:ascii="Verdana" w:hAnsi="Verdana" w:cs="Arial"/>
          <w:i/>
          <w:iCs/>
          <w:color w:val="000000" w:themeColor="text1"/>
          <w:lang w:val="es-ES_tradnl"/>
        </w:rPr>
        <w:t>servicios artísticos</w:t>
      </w:r>
      <w:r w:rsidRPr="008677DE">
        <w:rPr>
          <w:rFonts w:ascii="Verdana" w:hAnsi="Verdana" w:cs="Arial"/>
          <w:color w:val="000000" w:themeColor="text1"/>
          <w:lang w:val="es-ES_tradnl"/>
        </w:rPr>
        <w:t xml:space="preserve"> no involucran ese conocimiento profesional </w:t>
      </w:r>
      <w:r w:rsidRPr="008677DE">
        <w:rPr>
          <w:rFonts w:ascii="Verdana" w:hAnsi="Verdana" w:cs="Arial"/>
          <w:color w:val="000000" w:themeColor="text1"/>
        </w:rPr>
        <w:t xml:space="preserve">o especializados para su ejecución. En los contratos de apoyo a la gestión </w:t>
      </w:r>
      <w:r w:rsidRPr="008677DE">
        <w:rPr>
          <w:rFonts w:ascii="Verdana" w:hAnsi="Verdana" w:cs="Arial"/>
          <w:color w:val="000000" w:themeColor="text1"/>
          <w:lang w:val="es-ES_tradnl"/>
        </w:rPr>
        <w:t xml:space="preserve">el contratista desempeña un esfuerzo o actividad de apoyo, acompañamiento, o soporte, </w:t>
      </w:r>
      <w:r w:rsidRPr="008677DE">
        <w:rPr>
          <w:rFonts w:ascii="Verdana" w:hAnsi="Verdana" w:cs="Arial"/>
          <w:color w:val="000000" w:themeColor="text1"/>
        </w:rPr>
        <w:t xml:space="preserve">donde </w:t>
      </w:r>
      <w:r>
        <w:rPr>
          <w:rFonts w:ascii="Verdana" w:hAnsi="Verdana" w:cs="Arial"/>
          <w:color w:val="000000" w:themeColor="text1"/>
          <w:lang w:val="es-ES_tradnl"/>
        </w:rPr>
        <w:t>“</w:t>
      </w:r>
      <w:r w:rsidRPr="008677DE">
        <w:rPr>
          <w:rFonts w:ascii="Verdana" w:hAnsi="Verdana" w:cs="Arial"/>
          <w:color w:val="000000" w:themeColor="text1"/>
          <w:lang w:val="es-ES_tradnl"/>
        </w:rPr>
        <w:t xml:space="preserve">lo predominante es el actuar como ejecutor, con el propósito y finalidad de satisfacer necesidades de las entidades estatales en lo relacionado con la gestión administrativa o funcionamiento de </w:t>
      </w:r>
      <w:proofErr w:type="gramStart"/>
      <w:r w:rsidRPr="008677DE">
        <w:rPr>
          <w:rFonts w:ascii="Verdana" w:hAnsi="Verdana" w:cs="Arial"/>
          <w:color w:val="000000" w:themeColor="text1"/>
          <w:lang w:val="es-ES_tradnl"/>
        </w:rPr>
        <w:t>la misma</w:t>
      </w:r>
      <w:proofErr w:type="gramEnd"/>
      <w:r w:rsidRPr="008677DE">
        <w:rPr>
          <w:rFonts w:ascii="Verdana" w:hAnsi="Verdana" w:cs="Arial"/>
          <w:color w:val="000000" w:themeColor="text1"/>
          <w:lang w:val="es-ES_tradnl"/>
        </w:rPr>
        <w:t>, por personas no profesionales y que no implican el ejercicio de funciones públicas administrativas</w:t>
      </w:r>
      <w:r>
        <w:rPr>
          <w:rFonts w:ascii="Verdana" w:hAnsi="Verdana" w:cs="Arial"/>
          <w:color w:val="000000" w:themeColor="text1"/>
          <w:lang w:val="es-ES_tradnl"/>
        </w:rPr>
        <w:t>”</w:t>
      </w:r>
      <w:r w:rsidRPr="008677DE">
        <w:rPr>
          <w:rFonts w:ascii="Verdana" w:hAnsi="Verdana" w:cs="Arial"/>
          <w:color w:val="000000" w:themeColor="text1"/>
          <w:lang w:val="es-ES_tradnl"/>
        </w:rPr>
        <w:t xml:space="preserve">. Igualmente, en el contrato de prestación de servicios artísticos lo prevalente es que la persona que lo ejecute se trate de un artista, es decir, </w:t>
      </w:r>
      <w:r>
        <w:rPr>
          <w:rFonts w:ascii="Verdana" w:hAnsi="Verdana" w:cs="Arial"/>
          <w:color w:val="000000" w:themeColor="text1"/>
          <w:lang w:val="es-ES_tradnl"/>
        </w:rPr>
        <w:t>“</w:t>
      </w:r>
      <w:r w:rsidRPr="008677DE">
        <w:rPr>
          <w:rFonts w:ascii="Verdana" w:hAnsi="Verdana" w:cs="Arial"/>
          <w:color w:val="000000" w:themeColor="text1"/>
          <w:lang w:val="es-ES_tradnl"/>
        </w:rPr>
        <w:t>una persona reconocida como realizador o productor de arte, de obras de arte, ejecutor de trabajos artísticos</w:t>
      </w:r>
      <w:r>
        <w:rPr>
          <w:rFonts w:ascii="Verdana" w:hAnsi="Verdana" w:cs="Arial"/>
          <w:color w:val="000000" w:themeColor="text1"/>
          <w:lang w:val="es-ES_tradnl"/>
        </w:rPr>
        <w:t>”</w:t>
      </w:r>
      <w:r w:rsidRPr="008677DE">
        <w:rPr>
          <w:rFonts w:ascii="Verdana" w:hAnsi="Verdana" w:cs="Arial"/>
          <w:color w:val="000000" w:themeColor="text1"/>
          <w:lang w:val="es-ES_tradnl"/>
        </w:rPr>
        <w:t>, para lo cual es indiferente el carácter de profesional.</w:t>
      </w:r>
    </w:p>
    <w:p w14:paraId="75D1C27C" w14:textId="77777777" w:rsidR="00AB49CF" w:rsidRPr="004676D1" w:rsidRDefault="00AB49CF" w:rsidP="00AB49CF">
      <w:pPr>
        <w:autoSpaceDE w:val="0"/>
        <w:autoSpaceDN w:val="0"/>
        <w:adjustRightInd w:val="0"/>
        <w:spacing w:after="120" w:line="276" w:lineRule="auto"/>
        <w:ind w:firstLine="709"/>
        <w:jc w:val="both"/>
        <w:rPr>
          <w:rFonts w:ascii="Verdana" w:hAnsi="Verdana" w:cs="Arial"/>
          <w:i/>
          <w:iCs/>
        </w:rPr>
      </w:pPr>
      <w:r w:rsidRPr="004676D1">
        <w:rPr>
          <w:rFonts w:ascii="Verdana" w:hAnsi="Verdana" w:cs="Arial"/>
        </w:rPr>
        <w:t xml:space="preserve">En lo relativo al plazo de los contratos de prestación de servicios debe destacarse lo señalado en el inciso segundo del numeral 3 del artículo 32 de la Ley 80 de 1993, el cual dispone que: “Estos contratos sólo podrán celebrarse con personas naturales cuando dichas actividades no puedan realizarse con personal de planta o requieran conocimientos especializados. </w:t>
      </w:r>
      <w:r w:rsidRPr="004676D1">
        <w:rPr>
          <w:rFonts w:ascii="Verdana" w:hAnsi="Verdana" w:cs="Arial"/>
          <w:i/>
          <w:iCs/>
        </w:rPr>
        <w:t xml:space="preserve">En ningún caso estos contratos generan relación laboral ni prestaciones sociales y se celebrarán por el término estrictamente indispensable” </w:t>
      </w:r>
      <w:r w:rsidRPr="004676D1">
        <w:rPr>
          <w:rFonts w:ascii="Verdana" w:hAnsi="Verdana" w:cs="Arial"/>
        </w:rPr>
        <w:t>[Énfasis fuera de texto]</w:t>
      </w:r>
      <w:r w:rsidRPr="004676D1">
        <w:rPr>
          <w:rFonts w:ascii="Verdana" w:hAnsi="Verdana" w:cs="Arial"/>
          <w:i/>
          <w:iCs/>
        </w:rPr>
        <w:t xml:space="preserve">. </w:t>
      </w:r>
    </w:p>
    <w:p w14:paraId="0B1F001E" w14:textId="77777777" w:rsidR="00AB49CF" w:rsidRPr="004676D1" w:rsidRDefault="00AB49CF" w:rsidP="00AB49CF">
      <w:pPr>
        <w:autoSpaceDE w:val="0"/>
        <w:autoSpaceDN w:val="0"/>
        <w:adjustRightInd w:val="0"/>
        <w:spacing w:after="120" w:line="276" w:lineRule="auto"/>
        <w:ind w:firstLine="709"/>
        <w:jc w:val="both"/>
        <w:rPr>
          <w:rFonts w:ascii="Verdana" w:hAnsi="Verdana" w:cs="Arial"/>
        </w:rPr>
      </w:pPr>
      <w:r w:rsidRPr="004676D1">
        <w:rPr>
          <w:rFonts w:ascii="Verdana" w:hAnsi="Verdana" w:cs="Arial"/>
        </w:rPr>
        <w:t xml:space="preserve">En atención a lo establecido en esta norma, es claro que la temporalidad es una de las características fundamentales de los contratos de prestación de servicios, comoquiera que el plazo de los mismos deberá sujetarse al </w:t>
      </w:r>
      <w:r w:rsidRPr="004676D1">
        <w:rPr>
          <w:rFonts w:ascii="Verdana" w:hAnsi="Verdana" w:cs="Arial"/>
          <w:i/>
          <w:iCs/>
        </w:rPr>
        <w:t xml:space="preserve">“término estrictamente indispensable”, </w:t>
      </w:r>
      <w:r w:rsidRPr="004676D1">
        <w:rPr>
          <w:rFonts w:ascii="Verdana" w:hAnsi="Verdana" w:cs="Arial"/>
        </w:rPr>
        <w:t>el cual según lo manifestado en la Sentencia de Unificación Jurisprudencial SUJ-025-CE-S2-2021 de la Sección Segunda del Consejo de Estado es aquel que aparece expresamente estipulado en la minuta del contrato de prestación de servicios, que de acuerdo con los razonamientos contenidos en los estudios previos “representa el lapso durante el cual se espera que el contratista cumpla a cabalidad el objeto del contrato y las obligaciones que de él se derivan, sin perjuicio de las prórrogas excepcionales que puedan acordarse para garantizar su cumplimiento”</w:t>
      </w:r>
      <w:r w:rsidRPr="004676D1">
        <w:rPr>
          <w:rStyle w:val="Refdenotaalpie"/>
          <w:rFonts w:ascii="Verdana" w:hAnsi="Verdana" w:cs="Arial"/>
        </w:rPr>
        <w:footnoteReference w:id="20"/>
      </w:r>
      <w:r w:rsidRPr="004676D1">
        <w:rPr>
          <w:rFonts w:ascii="Verdana" w:hAnsi="Verdana" w:cs="Arial"/>
        </w:rPr>
        <w:t xml:space="preserve">. En ese entendido, la temporalidad del contrato de prestación de servicios está determinada por el tiempo requerido para desarrollar el objeto para el que se celebra de acuerdo con lo establecido </w:t>
      </w:r>
      <w:r w:rsidRPr="004676D1">
        <w:rPr>
          <w:rFonts w:ascii="Verdana" w:hAnsi="Verdana" w:cs="Arial"/>
        </w:rPr>
        <w:lastRenderedPageBreak/>
        <w:t xml:space="preserve">en los correspondientes estudios previos, en cumplimiento del principio de planeación, </w:t>
      </w:r>
      <w:proofErr w:type="gramStart"/>
      <w:r w:rsidRPr="004676D1">
        <w:rPr>
          <w:rFonts w:ascii="Verdana" w:hAnsi="Verdana" w:cs="Arial"/>
        </w:rPr>
        <w:t>conjuntamente con</w:t>
      </w:r>
      <w:proofErr w:type="gramEnd"/>
      <w:r w:rsidRPr="004676D1">
        <w:rPr>
          <w:rFonts w:ascii="Verdana" w:hAnsi="Verdana" w:cs="Arial"/>
        </w:rPr>
        <w:t xml:space="preserve"> la autonomía y voluntad de las partes.</w:t>
      </w:r>
    </w:p>
    <w:p w14:paraId="40B0271B" w14:textId="63E1B0A5" w:rsidR="00AB49CF" w:rsidRDefault="00AB49CF" w:rsidP="00AB49CF">
      <w:pPr>
        <w:spacing w:after="120" w:line="276" w:lineRule="auto"/>
        <w:ind w:firstLine="708"/>
        <w:jc w:val="both"/>
        <w:rPr>
          <w:rFonts w:ascii="Verdana" w:hAnsi="Verdana" w:cs="Arial"/>
        </w:rPr>
      </w:pPr>
      <w:r w:rsidRPr="004676D1">
        <w:rPr>
          <w:rFonts w:ascii="Verdana" w:hAnsi="Verdana" w:cs="Arial"/>
        </w:rPr>
        <w:t xml:space="preserve">Por otra parte, debe advertirse que </w:t>
      </w:r>
      <w:r>
        <w:rPr>
          <w:rFonts w:ascii="Verdana" w:hAnsi="Verdana" w:cs="Arial"/>
        </w:rPr>
        <w:t xml:space="preserve">en virtud de </w:t>
      </w:r>
      <w:r w:rsidRPr="004676D1">
        <w:rPr>
          <w:rFonts w:ascii="Verdana" w:hAnsi="Verdana" w:cs="Arial"/>
        </w:rPr>
        <w:t>la autonomía con la que cuentan las entidades territoriales, en virtud del artículo 287 superior, para planear, programar y ejercer mediante la  actividad contractual el cumplimiento de sus funciones y la prestación de servicios públicos, quedan facultadas para suscribir contratos prestación de servicios profesionales y de apoyo a la gestión con personas naturales por plazos de ejecución superiores a los cuatro meses (4) señalados en el numeral 3 de la Circular Conjunta 100-005-2022, pues los lineamientos incorporados tiene como fin principal el invitar a las entidades para planear la contratación de estos servicios durante un “término estrictamente indispensable” que procure no ser superior a los cuatro meses (04), tiempo en el cual se espera que el contratista cumpla a cabalidad el objeto del contrato y las obligaciones que de él se derivan, a la par de las acciones necesarias que deberán desarrollar las Entidades Estatales para determinar, crear y proveer la planta de personal temporal necesaria y suficiente para suplir las necesidades misionales y administrativas que han sido provistas a través de contratos de prestación</w:t>
      </w:r>
      <w:r>
        <w:rPr>
          <w:rFonts w:ascii="Verdana" w:hAnsi="Verdana" w:cs="Arial"/>
        </w:rPr>
        <w:t xml:space="preserve"> </w:t>
      </w:r>
      <w:r w:rsidRPr="004676D1">
        <w:rPr>
          <w:rFonts w:ascii="Verdana" w:hAnsi="Verdana" w:cs="Arial"/>
        </w:rPr>
        <w:t>de servicios profesionales y de apoyo a la gestión con personas naturales.</w:t>
      </w:r>
    </w:p>
    <w:p w14:paraId="24D9DDFE" w14:textId="77777777" w:rsidR="00AB49CF" w:rsidRPr="004676D1" w:rsidRDefault="00AB49CF" w:rsidP="00AB49CF">
      <w:pPr>
        <w:spacing w:after="120" w:line="276" w:lineRule="auto"/>
        <w:ind w:firstLine="708"/>
        <w:jc w:val="both"/>
        <w:rPr>
          <w:rFonts w:ascii="Verdana" w:hAnsi="Verdana" w:cs="Arial"/>
        </w:rPr>
      </w:pPr>
      <w:r w:rsidRPr="004676D1">
        <w:rPr>
          <w:rFonts w:ascii="Verdana" w:eastAsia="Arial" w:hAnsi="Verdana" w:cs="Arial"/>
          <w:lang w:val="es-ES"/>
        </w:rPr>
        <w:t>Sobre el alcance de las circulares,</w:t>
      </w:r>
      <w:r w:rsidRPr="004676D1">
        <w:rPr>
          <w:rFonts w:ascii="Verdana" w:hAnsi="Verdana" w:cs="Arial"/>
        </w:rPr>
        <w:t xml:space="preserve"> el Consejo de Estado, en sentencia del 19 de junio de 2008, precisó que estas deben entenderse de la siguiere forma: </w:t>
      </w:r>
      <w:r w:rsidRPr="004676D1">
        <w:rPr>
          <w:rFonts w:ascii="Verdana" w:eastAsia="Arial" w:hAnsi="Verdana" w:cs="Arial"/>
          <w:lang w:val="es-ES"/>
        </w:rPr>
        <w:t xml:space="preserve">“[…] </w:t>
      </w:r>
      <w:r w:rsidRPr="004676D1">
        <w:rPr>
          <w:rFonts w:ascii="Verdana" w:hAnsi="Verdana" w:cs="Arial"/>
        </w:rPr>
        <w:t>la Administración utiliza el vocablo “circular” en dos de sus acepciones: como orden que una autoridad superior dirige a todos o gran parte de sus subalternos, que también puede cobijar a los particulares, cuando desarrollan actividades sujetas a la inspección y vigilancia del Estado, que es la que corresponde a circular de servicio. Y como cada una de las cartas o avisos iguales dirigidos a un determinado sector o grupo de personas públicas o privadas interesadas en el asunto informado, que es la que se denomina circular informativa</w:t>
      </w:r>
      <w:r w:rsidRPr="004676D1">
        <w:rPr>
          <w:rFonts w:ascii="Verdana" w:eastAsia="Arial" w:hAnsi="Verdana" w:cs="Arial"/>
          <w:lang w:val="es-ES"/>
        </w:rPr>
        <w:t xml:space="preserve"> […]”</w:t>
      </w:r>
      <w:r w:rsidRPr="004676D1">
        <w:rPr>
          <w:rStyle w:val="Refdenotaalpie"/>
          <w:rFonts w:ascii="Verdana" w:eastAsia="Arial" w:hAnsi="Verdana" w:cs="Arial"/>
          <w:lang w:val="es-ES"/>
        </w:rPr>
        <w:footnoteReference w:id="21"/>
      </w:r>
      <w:r w:rsidRPr="004676D1">
        <w:rPr>
          <w:rFonts w:ascii="Verdana" w:eastAsia="Arial" w:hAnsi="Verdana" w:cs="Arial"/>
          <w:lang w:val="es-ES"/>
        </w:rPr>
        <w:t>.</w:t>
      </w:r>
    </w:p>
    <w:p w14:paraId="1063638E" w14:textId="7D4EA0F0" w:rsidR="00AB49CF" w:rsidRPr="004676D1" w:rsidRDefault="00AB49CF" w:rsidP="007E2C5F">
      <w:pPr>
        <w:widowControl w:val="0"/>
        <w:autoSpaceDE w:val="0"/>
        <w:autoSpaceDN w:val="0"/>
        <w:spacing w:line="276" w:lineRule="auto"/>
        <w:ind w:firstLine="709"/>
        <w:jc w:val="both"/>
        <w:rPr>
          <w:rFonts w:ascii="Verdana" w:eastAsia="Arial" w:hAnsi="Verdana" w:cs="Arial"/>
          <w:lang w:val="es-ES"/>
        </w:rPr>
      </w:pPr>
      <w:r w:rsidRPr="004676D1">
        <w:rPr>
          <w:rFonts w:ascii="Verdana" w:eastAsia="Arial" w:hAnsi="Verdana" w:cs="Arial"/>
          <w:lang w:val="es-ES"/>
        </w:rPr>
        <w:t>De esta forma, el numeral</w:t>
      </w:r>
      <w:r>
        <w:rPr>
          <w:rFonts w:ascii="Verdana" w:eastAsia="Arial" w:hAnsi="Verdana" w:cs="Arial"/>
          <w:lang w:val="es-ES"/>
        </w:rPr>
        <w:t xml:space="preserve"> 3</w:t>
      </w:r>
      <w:r w:rsidRPr="004676D1">
        <w:rPr>
          <w:rFonts w:ascii="Verdana" w:eastAsia="Arial" w:hAnsi="Verdana" w:cs="Arial"/>
          <w:lang w:val="es-ES"/>
        </w:rPr>
        <w:t xml:space="preserve"> de la Circular Conjunta </w:t>
      </w:r>
      <w:r w:rsidR="007E2C5F" w:rsidRPr="007E2C5F">
        <w:rPr>
          <w:rFonts w:ascii="Verdana" w:eastAsia="Arial" w:hAnsi="Verdana" w:cs="Arial"/>
          <w:lang w:val="es-ES"/>
        </w:rPr>
        <w:t>100-005 - 2022</w:t>
      </w:r>
      <w:r w:rsidRPr="004676D1">
        <w:rPr>
          <w:rFonts w:ascii="Verdana" w:eastAsia="Arial" w:hAnsi="Verdana" w:cs="Arial"/>
          <w:lang w:val="es-ES"/>
        </w:rPr>
        <w:t xml:space="preserve"> dispone lo siguiente:</w:t>
      </w:r>
    </w:p>
    <w:p w14:paraId="4FEEE5C6" w14:textId="77777777" w:rsidR="00AB49CF" w:rsidRPr="004676D1" w:rsidRDefault="00AB49CF" w:rsidP="00AB49CF">
      <w:pPr>
        <w:widowControl w:val="0"/>
        <w:autoSpaceDE w:val="0"/>
        <w:autoSpaceDN w:val="0"/>
        <w:spacing w:line="276" w:lineRule="auto"/>
        <w:ind w:firstLine="709"/>
        <w:jc w:val="both"/>
        <w:rPr>
          <w:rFonts w:ascii="Verdana" w:eastAsia="Arial" w:hAnsi="Verdana" w:cs="Arial"/>
          <w:lang w:val="es-ES"/>
        </w:rPr>
      </w:pPr>
    </w:p>
    <w:p w14:paraId="1AF1B6B2" w14:textId="507CEEE5" w:rsidR="00AB49CF" w:rsidRPr="004676D1" w:rsidRDefault="00AB49CF" w:rsidP="00AB49CF">
      <w:pPr>
        <w:widowControl w:val="0"/>
        <w:autoSpaceDE w:val="0"/>
        <w:autoSpaceDN w:val="0"/>
        <w:spacing w:line="240" w:lineRule="auto"/>
        <w:ind w:left="709" w:right="709"/>
        <w:jc w:val="both"/>
        <w:rPr>
          <w:rFonts w:ascii="Verdana" w:eastAsia="Arial" w:hAnsi="Verdana" w:cs="Arial"/>
          <w:sz w:val="21"/>
          <w:szCs w:val="21"/>
          <w:shd w:val="clear" w:color="auto" w:fill="FFFFFF"/>
          <w:lang w:val="es-ES"/>
        </w:rPr>
      </w:pPr>
      <w:r w:rsidRPr="004676D1">
        <w:rPr>
          <w:rFonts w:ascii="Verdana" w:eastAsia="Arial" w:hAnsi="Verdana" w:cs="Arial"/>
          <w:sz w:val="21"/>
          <w:szCs w:val="21"/>
          <w:shd w:val="clear" w:color="auto" w:fill="FFFFFF"/>
          <w:lang w:val="es-ES"/>
        </w:rPr>
        <w:t>“</w:t>
      </w:r>
      <w:r w:rsidR="007E2C5F" w:rsidRPr="007E2C5F">
        <w:rPr>
          <w:rFonts w:ascii="Verdana" w:eastAsia="Arial" w:hAnsi="Verdana" w:cs="Arial"/>
          <w:sz w:val="21"/>
          <w:szCs w:val="21"/>
          <w:shd w:val="clear" w:color="auto" w:fill="FFFFFF"/>
          <w:lang w:val="es-ES"/>
        </w:rPr>
        <w:t xml:space="preserve">La contratación directa a través del contrato de prestación de servicios </w:t>
      </w:r>
      <w:r w:rsidR="007E2C5F" w:rsidRPr="007E2C5F">
        <w:rPr>
          <w:rFonts w:ascii="Verdana" w:eastAsia="Arial" w:hAnsi="Verdana" w:cs="Arial"/>
          <w:sz w:val="21"/>
          <w:szCs w:val="21"/>
          <w:shd w:val="clear" w:color="auto" w:fill="FFFFFF"/>
          <w:lang w:val="es-ES"/>
        </w:rPr>
        <w:lastRenderedPageBreak/>
        <w:t>y de apoyo a la gestión deberá tener un término de duración de cuatro (04) meses, plazo este durante el cual los órganos, organismos y entidades de la rama ejecutiva del orden nacional y territorial deberán elaborar los estudios técnicos requeridos y establecer la planta temporal de personal necesaria y suficiente que supla las necesidades misionales y administrativas que se requieran.</w:t>
      </w:r>
      <w:r w:rsidRPr="004676D1">
        <w:rPr>
          <w:rFonts w:ascii="Verdana" w:eastAsia="Arial" w:hAnsi="Verdana" w:cs="Arial"/>
          <w:sz w:val="21"/>
          <w:szCs w:val="21"/>
          <w:shd w:val="clear" w:color="auto" w:fill="FFFFFF"/>
          <w:lang w:val="es-ES"/>
        </w:rPr>
        <w:t>”</w:t>
      </w:r>
    </w:p>
    <w:p w14:paraId="45FA955E" w14:textId="77777777" w:rsidR="00AB49CF" w:rsidRPr="004676D1" w:rsidRDefault="00AB49CF" w:rsidP="00AB49CF">
      <w:pPr>
        <w:widowControl w:val="0"/>
        <w:autoSpaceDE w:val="0"/>
        <w:autoSpaceDN w:val="0"/>
        <w:spacing w:line="276" w:lineRule="auto"/>
        <w:ind w:firstLine="708"/>
        <w:jc w:val="both"/>
        <w:rPr>
          <w:rFonts w:ascii="Verdana" w:eastAsia="Arial" w:hAnsi="Verdana" w:cs="Arial"/>
          <w:lang w:val="es-ES"/>
        </w:rPr>
      </w:pPr>
    </w:p>
    <w:p w14:paraId="394114A9" w14:textId="0FB959DB" w:rsidR="00AB49CF" w:rsidRPr="004676D1" w:rsidRDefault="00AB49CF" w:rsidP="00AB49CF">
      <w:pPr>
        <w:widowControl w:val="0"/>
        <w:autoSpaceDE w:val="0"/>
        <w:autoSpaceDN w:val="0"/>
        <w:spacing w:after="120" w:line="276" w:lineRule="auto"/>
        <w:jc w:val="both"/>
        <w:rPr>
          <w:rFonts w:ascii="Verdana" w:eastAsia="Arial" w:hAnsi="Verdana" w:cs="Arial"/>
          <w:lang w:val="es-ES"/>
        </w:rPr>
      </w:pPr>
      <w:r w:rsidRPr="004676D1">
        <w:rPr>
          <w:rFonts w:ascii="Verdana" w:eastAsia="Arial" w:hAnsi="Verdana" w:cs="Arial"/>
          <w:lang w:val="es-ES"/>
        </w:rPr>
        <w:tab/>
        <w:t>No obstante, la expresión destacada en el párrafo anterior fue objeto de medida cautelar de suspensión provisiona</w:t>
      </w:r>
      <w:r w:rsidR="007E2C5F">
        <w:rPr>
          <w:rFonts w:ascii="Verdana" w:eastAsia="Arial" w:hAnsi="Verdana" w:cs="Arial"/>
          <w:lang w:val="es-ES"/>
        </w:rPr>
        <w:t>l</w:t>
      </w:r>
      <w:r w:rsidRPr="004676D1">
        <w:rPr>
          <w:rFonts w:ascii="Verdana" w:eastAsia="Arial" w:hAnsi="Verdana" w:cs="Arial"/>
          <w:lang w:val="es-ES"/>
        </w:rPr>
        <w:t xml:space="preserve"> decretada en </w:t>
      </w:r>
      <w:r w:rsidR="007E2C5F">
        <w:rPr>
          <w:rFonts w:ascii="Verdana" w:eastAsia="Arial" w:hAnsi="Verdana" w:cs="Arial"/>
          <w:lang w:val="es-ES"/>
        </w:rPr>
        <w:t>providencias</w:t>
      </w:r>
      <w:r w:rsidRPr="004676D1">
        <w:rPr>
          <w:rFonts w:ascii="Verdana" w:eastAsia="Arial" w:hAnsi="Verdana" w:cs="Arial"/>
          <w:lang w:val="es-ES"/>
        </w:rPr>
        <w:t xml:space="preserve"> del </w:t>
      </w:r>
      <w:r w:rsidR="001A3A83" w:rsidRPr="001A3A83">
        <w:rPr>
          <w:rFonts w:ascii="Verdana" w:eastAsia="Arial" w:hAnsi="Verdana" w:cs="Arial"/>
          <w:lang w:val="es-ES"/>
        </w:rPr>
        <w:t>23 de noviembre de 2023</w:t>
      </w:r>
      <w:r w:rsidR="001A3A83">
        <w:rPr>
          <w:rFonts w:ascii="Verdana" w:eastAsia="Arial" w:hAnsi="Verdana" w:cs="Arial"/>
          <w:lang w:val="es-ES"/>
        </w:rPr>
        <w:t xml:space="preserve"> y </w:t>
      </w:r>
      <w:r w:rsidR="001A3A83" w:rsidRPr="001A3A83">
        <w:rPr>
          <w:rFonts w:ascii="Verdana" w:eastAsia="Arial" w:hAnsi="Verdana" w:cs="Arial"/>
          <w:lang w:val="es-ES"/>
        </w:rPr>
        <w:t>16 de septiembre de 2024</w:t>
      </w:r>
      <w:r w:rsidRPr="004676D1">
        <w:rPr>
          <w:rFonts w:ascii="Verdana" w:eastAsia="Arial" w:hAnsi="Verdana" w:cs="Arial"/>
          <w:lang w:val="es-ES"/>
        </w:rPr>
        <w:t xml:space="preserve"> por la Subsección </w:t>
      </w:r>
      <w:r w:rsidR="001A3A83">
        <w:rPr>
          <w:rFonts w:ascii="Verdana" w:eastAsia="Arial" w:hAnsi="Verdana" w:cs="Arial"/>
          <w:lang w:val="es-ES"/>
        </w:rPr>
        <w:t>B</w:t>
      </w:r>
      <w:r w:rsidRPr="004676D1">
        <w:rPr>
          <w:rFonts w:ascii="Verdana" w:eastAsia="Arial" w:hAnsi="Verdana" w:cs="Arial"/>
          <w:lang w:val="es-ES"/>
        </w:rPr>
        <w:t xml:space="preserve"> de la Sección Tercera del Consejo de Estado. En la </w:t>
      </w:r>
      <w:r w:rsidR="00C03DFC">
        <w:rPr>
          <w:rFonts w:ascii="Verdana" w:eastAsia="Arial" w:hAnsi="Verdana" w:cs="Arial"/>
          <w:lang w:val="es-ES"/>
        </w:rPr>
        <w:t xml:space="preserve">última providencia, en la </w:t>
      </w:r>
      <w:r w:rsidRPr="004676D1">
        <w:rPr>
          <w:rFonts w:ascii="Verdana" w:eastAsia="Arial" w:hAnsi="Verdana" w:cs="Arial"/>
          <w:lang w:val="es-ES"/>
        </w:rPr>
        <w:t xml:space="preserve">motivación se alude a un vicio en la competencia comoquiera que: </w:t>
      </w:r>
    </w:p>
    <w:p w14:paraId="10C26540" w14:textId="6DF6836F" w:rsidR="00AB49CF" w:rsidRPr="004676D1" w:rsidRDefault="00AB49CF" w:rsidP="00AB49CF">
      <w:pPr>
        <w:widowControl w:val="0"/>
        <w:autoSpaceDE w:val="0"/>
        <w:autoSpaceDN w:val="0"/>
        <w:spacing w:line="240" w:lineRule="auto"/>
        <w:ind w:left="709" w:right="709"/>
        <w:jc w:val="both"/>
        <w:rPr>
          <w:rFonts w:ascii="Verdana" w:hAnsi="Verdana" w:cs="Arial"/>
          <w:color w:val="333333"/>
          <w:sz w:val="21"/>
          <w:szCs w:val="21"/>
          <w:shd w:val="clear" w:color="auto" w:fill="FFFFFF"/>
        </w:rPr>
      </w:pPr>
      <w:r w:rsidRPr="004676D1">
        <w:rPr>
          <w:rFonts w:ascii="Verdana" w:eastAsia="Arial" w:hAnsi="Verdana" w:cs="Arial"/>
          <w:sz w:val="21"/>
          <w:szCs w:val="21"/>
        </w:rPr>
        <w:t>“</w:t>
      </w:r>
      <w:r w:rsidRPr="004676D1">
        <w:rPr>
          <w:rFonts w:ascii="Verdana" w:hAnsi="Verdana" w:cs="Arial"/>
          <w:color w:val="333333"/>
          <w:sz w:val="21"/>
          <w:szCs w:val="21"/>
          <w:shd w:val="clear" w:color="auto" w:fill="FFFFFF"/>
        </w:rPr>
        <w:t xml:space="preserve">[…] </w:t>
      </w:r>
      <w:r w:rsidR="00043866" w:rsidRPr="00043866">
        <w:rPr>
          <w:rFonts w:ascii="Verdana" w:hAnsi="Verdana" w:cs="Arial"/>
          <w:color w:val="333333"/>
          <w:sz w:val="21"/>
          <w:szCs w:val="21"/>
          <w:shd w:val="clear" w:color="auto" w:fill="FFFFFF"/>
        </w:rPr>
        <w:t>Se hace necesario precisar si el Departamento Administrativo de la Función Pública y la Escuela Superior de Administración Pública transgredieron la competencia de legislador al establecer un término máximo de duración del contrato de prestación de servicios. En ese sentido, y conforme con el inciso final del artículo 150 de la Constitución Política, es competencia del Congreso de la República expedir el Estatuto General de Contratación de la “Administración Pública y en especial de la administración nacional”. Por su parte, la Ley 80 de 1993 que desarrolló ese mandato Constitucional, en su artículo 32 estableció “los contratos de prestación de servicios se deben celebrar por el término estrictamente indispensable para que el contratista cumpla a cabalidad el objeto del contrato y las obligaciones que de él se derivan, sin perjuicio de las prórrogas excepcionales que puedan acordarse para garantizar su cumplimiento, sin prescribir un periodo específico de duración máxima”</w:t>
      </w:r>
      <w:r w:rsidR="00043866">
        <w:rPr>
          <w:rFonts w:ascii="Verdana" w:hAnsi="Verdana" w:cs="Arial"/>
          <w:color w:val="333333"/>
          <w:sz w:val="21"/>
          <w:szCs w:val="21"/>
          <w:shd w:val="clear" w:color="auto" w:fill="FFFFFF"/>
        </w:rPr>
        <w:t>.</w:t>
      </w:r>
      <w:r w:rsidR="00043866" w:rsidRPr="00043866">
        <w:rPr>
          <w:rFonts w:ascii="Verdana" w:hAnsi="Verdana" w:cs="Arial"/>
          <w:color w:val="333333"/>
          <w:sz w:val="21"/>
          <w:szCs w:val="21"/>
          <w:shd w:val="clear" w:color="auto" w:fill="FFFFFF"/>
        </w:rPr>
        <w:t xml:space="preserve"> Adicionalmente, el Consejo de Estado ha analizado diferentes aspectos de la ley 80 de 1993. Específicamente en lo atinente a la temporalidad del contrato de prestación de servicio ha indicado que este debe ser el que se estipule en cada contrato según las características </w:t>
      </w:r>
      <w:proofErr w:type="gramStart"/>
      <w:r w:rsidR="00043866" w:rsidRPr="00043866">
        <w:rPr>
          <w:rFonts w:ascii="Verdana" w:hAnsi="Verdana" w:cs="Arial"/>
          <w:color w:val="333333"/>
          <w:sz w:val="21"/>
          <w:szCs w:val="21"/>
          <w:shd w:val="clear" w:color="auto" w:fill="FFFFFF"/>
        </w:rPr>
        <w:t>del mismo</w:t>
      </w:r>
      <w:proofErr w:type="gramEnd"/>
      <w:r w:rsidR="00043866" w:rsidRPr="00043866">
        <w:rPr>
          <w:rFonts w:ascii="Verdana" w:hAnsi="Verdana" w:cs="Arial"/>
          <w:color w:val="333333"/>
          <w:sz w:val="21"/>
          <w:szCs w:val="21"/>
          <w:shd w:val="clear" w:color="auto" w:fill="FFFFFF"/>
        </w:rPr>
        <w:t>. Por lo anterior, se observa que, mediante la Circular 100-005-2022, el Departamento Administrativo de la Función Pública y la Escuela Superior de Administración Pública pudieron obrar en desconocimiento de lo dispuesto</w:t>
      </w:r>
      <w:r w:rsidR="00043866">
        <w:rPr>
          <w:rFonts w:ascii="Verdana" w:hAnsi="Verdana" w:cs="Arial"/>
          <w:color w:val="333333"/>
          <w:sz w:val="21"/>
          <w:szCs w:val="21"/>
          <w:shd w:val="clear" w:color="auto" w:fill="FFFFFF"/>
        </w:rPr>
        <w:t xml:space="preserve"> </w:t>
      </w:r>
      <w:r w:rsidR="00043866" w:rsidRPr="00043866">
        <w:rPr>
          <w:rFonts w:ascii="Verdana" w:hAnsi="Verdana" w:cs="Arial"/>
          <w:color w:val="333333"/>
          <w:sz w:val="21"/>
          <w:szCs w:val="21"/>
          <w:shd w:val="clear" w:color="auto" w:fill="FFFFFF"/>
        </w:rPr>
        <w:t xml:space="preserve">en el inciso final del artículo 150 de la Constitución Política y de la Ley 80 de 1993. Lo anterior, porque por una vía que no es legal se ordenó cumplir con una limitación en el término de duración de los contratos de prestación de servicios, otorgándoles a estos 4 meses para la ejecución de la finalidad del contrato, término que, en principio, no está en la ley. Para el despacho, con la expedición de esta circular, las entidades demandadas podrían desconocer la realidad contractual comoquiera que deben adecuar siempre, sin importar las </w:t>
      </w:r>
      <w:r w:rsidR="00043866" w:rsidRPr="00043866">
        <w:rPr>
          <w:rFonts w:ascii="Verdana" w:hAnsi="Verdana" w:cs="Arial"/>
          <w:color w:val="333333"/>
          <w:sz w:val="21"/>
          <w:szCs w:val="21"/>
          <w:shd w:val="clear" w:color="auto" w:fill="FFFFFF"/>
        </w:rPr>
        <w:lastRenderedPageBreak/>
        <w:t>circunstancias, los contratos al término definido en la circular. Finalmente, se debe destacar que, aunque de forma preliminar, al pronunciarse sobre la medida cautelar, las entidades reconocieron que no les competía limitar el término de duración de los contratos de prestación de servicios y de apoyo a la gestión, en realidad ese es el efecto que produce la circular.</w:t>
      </w:r>
      <w:r w:rsidRPr="004676D1">
        <w:rPr>
          <w:rFonts w:ascii="Verdana" w:hAnsi="Verdana" w:cs="Arial"/>
          <w:color w:val="333333"/>
          <w:sz w:val="21"/>
          <w:szCs w:val="21"/>
          <w:shd w:val="clear" w:color="auto" w:fill="FFFFFF"/>
        </w:rPr>
        <w:t>”</w:t>
      </w:r>
      <w:r w:rsidRPr="004676D1">
        <w:rPr>
          <w:rStyle w:val="Refdenotaalpie"/>
          <w:rFonts w:ascii="Verdana" w:hAnsi="Verdana" w:cs="Arial"/>
          <w:color w:val="333333"/>
          <w:sz w:val="21"/>
          <w:szCs w:val="21"/>
          <w:shd w:val="clear" w:color="auto" w:fill="FFFFFF"/>
        </w:rPr>
        <w:footnoteReference w:id="22"/>
      </w:r>
    </w:p>
    <w:p w14:paraId="0CB2F12A" w14:textId="77777777" w:rsidR="00AB49CF" w:rsidRPr="004676D1" w:rsidRDefault="00AB49CF" w:rsidP="00AB49CF">
      <w:pPr>
        <w:widowControl w:val="0"/>
        <w:autoSpaceDE w:val="0"/>
        <w:autoSpaceDN w:val="0"/>
        <w:spacing w:line="240" w:lineRule="auto"/>
        <w:ind w:left="709" w:right="709"/>
        <w:jc w:val="both"/>
        <w:rPr>
          <w:rFonts w:ascii="Verdana" w:eastAsia="Arial" w:hAnsi="Verdana" w:cs="Arial"/>
          <w:sz w:val="21"/>
          <w:szCs w:val="21"/>
        </w:rPr>
      </w:pPr>
    </w:p>
    <w:p w14:paraId="27323155" w14:textId="4EFBB621" w:rsidR="00AB49CF" w:rsidRPr="004676D1" w:rsidRDefault="00AB49CF" w:rsidP="00AB49CF">
      <w:pPr>
        <w:widowControl w:val="0"/>
        <w:autoSpaceDE w:val="0"/>
        <w:autoSpaceDN w:val="0"/>
        <w:spacing w:after="120" w:line="276" w:lineRule="auto"/>
        <w:jc w:val="both"/>
        <w:rPr>
          <w:rFonts w:ascii="Verdana" w:eastAsia="Arial" w:hAnsi="Verdana" w:cs="Arial"/>
          <w:lang w:val="es-ES"/>
        </w:rPr>
      </w:pPr>
      <w:r w:rsidRPr="004676D1">
        <w:rPr>
          <w:rFonts w:ascii="Verdana" w:eastAsia="Arial" w:hAnsi="Verdana" w:cs="Arial"/>
          <w:lang w:val="es-ES"/>
        </w:rPr>
        <w:tab/>
      </w:r>
      <w:r w:rsidRPr="004676D1">
        <w:rPr>
          <w:rFonts w:ascii="Verdana" w:eastAsia="Calibri" w:hAnsi="Verdana" w:cs="Arial"/>
        </w:rPr>
        <w:t xml:space="preserve">En atención a lo anterior, resulta claro que </w:t>
      </w:r>
      <w:r w:rsidR="000416C9">
        <w:rPr>
          <w:rFonts w:ascii="Verdana" w:eastAsia="Calibri" w:hAnsi="Verdana" w:cs="Arial"/>
        </w:rPr>
        <w:t>lo dispuesto</w:t>
      </w:r>
      <w:r w:rsidRPr="004676D1">
        <w:rPr>
          <w:rFonts w:ascii="Verdana" w:eastAsia="Calibri" w:hAnsi="Verdana" w:cs="Arial"/>
        </w:rPr>
        <w:t xml:space="preserve"> en el </w:t>
      </w:r>
      <w:r w:rsidR="000416C9" w:rsidRPr="000416C9">
        <w:rPr>
          <w:rFonts w:ascii="Verdana" w:eastAsia="Calibri" w:hAnsi="Verdana" w:cs="Arial"/>
        </w:rPr>
        <w:t xml:space="preserve">numeral 3 de la Circular Conjunta 100-005 - 2022 </w:t>
      </w:r>
      <w:r w:rsidRPr="004676D1">
        <w:rPr>
          <w:rFonts w:ascii="Verdana" w:eastAsia="Calibri" w:hAnsi="Verdana" w:cs="Arial"/>
        </w:rPr>
        <w:t>no se encuentra hoy vigente, al haber sido en principio suspendid</w:t>
      </w:r>
      <w:r w:rsidR="000416C9">
        <w:rPr>
          <w:rFonts w:ascii="Verdana" w:eastAsia="Calibri" w:hAnsi="Verdana" w:cs="Arial"/>
        </w:rPr>
        <w:t>o</w:t>
      </w:r>
      <w:r w:rsidRPr="004676D1">
        <w:rPr>
          <w:rFonts w:ascii="Verdana" w:eastAsia="Calibri" w:hAnsi="Verdana" w:cs="Arial"/>
        </w:rPr>
        <w:t xml:space="preserve"> su vigencia en sede judicial. Esto necesariamente supone una pérdida de fuerza ejecutoria de lo dispuesto en el numeral </w:t>
      </w:r>
      <w:r w:rsidR="000416C9">
        <w:rPr>
          <w:rFonts w:ascii="Verdana" w:eastAsia="Calibri" w:hAnsi="Verdana" w:cs="Arial"/>
        </w:rPr>
        <w:t>3</w:t>
      </w:r>
      <w:r w:rsidRPr="004676D1">
        <w:rPr>
          <w:rFonts w:ascii="Verdana" w:eastAsia="Calibri" w:hAnsi="Verdana" w:cs="Arial"/>
        </w:rPr>
        <w:t xml:space="preserve"> de la Circular Conjunta </w:t>
      </w:r>
      <w:r w:rsidR="000416C9">
        <w:rPr>
          <w:rFonts w:ascii="Verdana" w:eastAsia="Calibri" w:hAnsi="Verdana" w:cs="Arial"/>
        </w:rPr>
        <w:t>citada</w:t>
      </w:r>
      <w:r w:rsidRPr="004676D1">
        <w:rPr>
          <w:rFonts w:ascii="Verdana" w:eastAsia="Calibri" w:hAnsi="Verdana" w:cs="Arial"/>
        </w:rPr>
        <w:t>, de acuerdo con lo dispuesto en los numeral 1 y 2 del artículo 91 del Código de Procedimiento Administrativo y de lo Contencioso Administrativo</w:t>
      </w:r>
      <w:r w:rsidRPr="004676D1">
        <w:rPr>
          <w:rStyle w:val="Refdenotaalpie"/>
          <w:rFonts w:ascii="Verdana" w:eastAsia="Calibri" w:hAnsi="Verdana" w:cs="Arial"/>
        </w:rPr>
        <w:footnoteReference w:id="23"/>
      </w:r>
      <w:r w:rsidRPr="004676D1">
        <w:rPr>
          <w:rFonts w:ascii="Verdana" w:eastAsia="Calibri" w:hAnsi="Verdana" w:cs="Arial"/>
        </w:rPr>
        <w:t xml:space="preserve">. </w:t>
      </w:r>
    </w:p>
    <w:p w14:paraId="1E4E1CB4" w14:textId="77777777" w:rsidR="00557077" w:rsidRPr="009D2624" w:rsidRDefault="00557077" w:rsidP="00557077">
      <w:pPr>
        <w:pStyle w:val="Prrafodelista"/>
        <w:spacing w:after="0" w:line="276" w:lineRule="auto"/>
        <w:jc w:val="both"/>
        <w:rPr>
          <w:rFonts w:ascii="Verdana" w:eastAsia="Calibri" w:hAnsi="Verdana" w:cs="Arial"/>
          <w:szCs w:val="24"/>
          <w:lang w:val="es-CO" w:eastAsia="es-ES_tradnl"/>
        </w:rPr>
      </w:pPr>
    </w:p>
    <w:p w14:paraId="35AFF843" w14:textId="77777777" w:rsidR="00557077" w:rsidRPr="00CC5C68" w:rsidRDefault="00557077" w:rsidP="00557077">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3AD3F822" w14:textId="77777777" w:rsidR="00557077" w:rsidRPr="00CC5C68" w:rsidRDefault="00557077" w:rsidP="0055707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57077" w:rsidRPr="00CC5C68" w14:paraId="69D9B5D2" w14:textId="77777777" w:rsidTr="00B20116">
        <w:trPr>
          <w:trHeight w:val="870"/>
        </w:trPr>
        <w:tc>
          <w:tcPr>
            <w:tcW w:w="8647" w:type="dxa"/>
          </w:tcPr>
          <w:p w14:paraId="0CE99AA4" w14:textId="77777777" w:rsidR="00557077" w:rsidRDefault="008C6D04" w:rsidP="00557077">
            <w:pPr>
              <w:pStyle w:val="Prrafodelista"/>
              <w:widowControl w:val="0"/>
              <w:numPr>
                <w:ilvl w:val="0"/>
                <w:numId w:val="16"/>
              </w:numPr>
              <w:autoSpaceDE w:val="0"/>
              <w:autoSpaceDN w:val="0"/>
              <w:spacing w:after="120" w:line="276" w:lineRule="auto"/>
              <w:jc w:val="both"/>
              <w:rPr>
                <w:rFonts w:ascii="Verdana" w:hAnsi="Verdana" w:cs="Arial"/>
              </w:rPr>
            </w:pPr>
            <w:r>
              <w:rPr>
                <w:rFonts w:ascii="Verdana" w:hAnsi="Verdana" w:cs="Arial"/>
              </w:rPr>
              <w:t>Ley 80 de 1993, artículo 32 y 40.</w:t>
            </w:r>
          </w:p>
          <w:p w14:paraId="00CAD758" w14:textId="77777777" w:rsidR="008C6D04" w:rsidRDefault="008C6D04" w:rsidP="00557077">
            <w:pPr>
              <w:pStyle w:val="Prrafodelista"/>
              <w:widowControl w:val="0"/>
              <w:numPr>
                <w:ilvl w:val="0"/>
                <w:numId w:val="16"/>
              </w:numPr>
              <w:autoSpaceDE w:val="0"/>
              <w:autoSpaceDN w:val="0"/>
              <w:spacing w:after="120" w:line="276" w:lineRule="auto"/>
              <w:jc w:val="both"/>
              <w:rPr>
                <w:rFonts w:ascii="Verdana" w:hAnsi="Verdana" w:cs="Arial"/>
              </w:rPr>
            </w:pPr>
            <w:r>
              <w:rPr>
                <w:rFonts w:ascii="Verdana" w:hAnsi="Verdana" w:cs="Arial"/>
              </w:rPr>
              <w:t>Ley 1150 de 2007, artículo 2, numeral 4.</w:t>
            </w:r>
          </w:p>
          <w:p w14:paraId="49D9008C" w14:textId="77777777" w:rsidR="008C6D04" w:rsidRDefault="008C6D04" w:rsidP="00557077">
            <w:pPr>
              <w:pStyle w:val="Prrafodelista"/>
              <w:widowControl w:val="0"/>
              <w:numPr>
                <w:ilvl w:val="0"/>
                <w:numId w:val="16"/>
              </w:numPr>
              <w:autoSpaceDE w:val="0"/>
              <w:autoSpaceDN w:val="0"/>
              <w:spacing w:after="120" w:line="276" w:lineRule="auto"/>
              <w:jc w:val="both"/>
              <w:rPr>
                <w:rFonts w:ascii="Verdana" w:hAnsi="Verdana" w:cs="Arial"/>
              </w:rPr>
            </w:pPr>
            <w:r w:rsidRPr="008C6D04">
              <w:rPr>
                <w:rFonts w:ascii="Verdana" w:hAnsi="Verdana" w:cs="Arial"/>
              </w:rPr>
              <w:t>Consejo de Estado. Sección Segunda. Sentencia de Unificación Jurisprudencial SUJ-025-CE-S2-2021. Radicado (1317-2016)</w:t>
            </w:r>
          </w:p>
          <w:p w14:paraId="63E12CC8" w14:textId="77777777" w:rsidR="008C6D04" w:rsidRDefault="008C6D04" w:rsidP="00557077">
            <w:pPr>
              <w:pStyle w:val="Prrafodelista"/>
              <w:widowControl w:val="0"/>
              <w:numPr>
                <w:ilvl w:val="0"/>
                <w:numId w:val="16"/>
              </w:numPr>
              <w:autoSpaceDE w:val="0"/>
              <w:autoSpaceDN w:val="0"/>
              <w:spacing w:after="120" w:line="276" w:lineRule="auto"/>
              <w:jc w:val="both"/>
              <w:rPr>
                <w:rFonts w:ascii="Verdana" w:hAnsi="Verdana" w:cs="Arial"/>
              </w:rPr>
            </w:pPr>
            <w:r w:rsidRPr="008C6D04">
              <w:rPr>
                <w:rFonts w:ascii="Verdana" w:hAnsi="Verdana" w:cs="Arial"/>
              </w:rPr>
              <w:t xml:space="preserve">Consejo de Estado. Sección </w:t>
            </w:r>
            <w:r>
              <w:rPr>
                <w:rFonts w:ascii="Verdana" w:hAnsi="Verdana" w:cs="Arial"/>
              </w:rPr>
              <w:t>Tercera</w:t>
            </w:r>
            <w:r w:rsidRPr="008C6D04">
              <w:rPr>
                <w:rFonts w:ascii="Verdana" w:hAnsi="Verdana" w:cs="Arial"/>
              </w:rPr>
              <w:t>. Subsección B</w:t>
            </w:r>
            <w:r>
              <w:rPr>
                <w:rFonts w:ascii="Verdana" w:hAnsi="Verdana" w:cs="Arial"/>
              </w:rPr>
              <w:t xml:space="preserve">. Sentencia del </w:t>
            </w:r>
            <w:r w:rsidRPr="008C6D04">
              <w:rPr>
                <w:rFonts w:ascii="Verdana" w:hAnsi="Verdana" w:cs="Arial"/>
              </w:rPr>
              <w:t>16 de septiembre de 2024</w:t>
            </w:r>
            <w:r>
              <w:rPr>
                <w:rFonts w:ascii="Verdana" w:hAnsi="Verdana" w:cs="Arial"/>
              </w:rPr>
              <w:t xml:space="preserve">. </w:t>
            </w:r>
            <w:r w:rsidRPr="008C6D04">
              <w:rPr>
                <w:rFonts w:ascii="Verdana" w:hAnsi="Verdana" w:cs="Arial"/>
              </w:rPr>
              <w:t>Radicación: 11001-03-24-000-2023-00010-00 (69.700)</w:t>
            </w:r>
            <w:r>
              <w:rPr>
                <w:rFonts w:ascii="Verdana" w:hAnsi="Verdana" w:cs="Arial"/>
              </w:rPr>
              <w:t xml:space="preserve">. </w:t>
            </w:r>
            <w:r w:rsidRPr="008C6D04">
              <w:rPr>
                <w:rFonts w:ascii="Verdana" w:hAnsi="Verdana" w:cs="Arial"/>
              </w:rPr>
              <w:t>Magistrado Ponente: Alberto Montaña Plata</w:t>
            </w:r>
            <w:r>
              <w:rPr>
                <w:rFonts w:ascii="Verdana" w:hAnsi="Verdana" w:cs="Arial"/>
              </w:rPr>
              <w:t>.</w:t>
            </w:r>
            <w:r w:rsidRPr="008C6D04">
              <w:rPr>
                <w:rFonts w:ascii="Verdana" w:hAnsi="Verdana" w:cs="Arial"/>
              </w:rPr>
              <w:t xml:space="preserve"> </w:t>
            </w:r>
          </w:p>
          <w:p w14:paraId="1D97A3BC" w14:textId="77777777" w:rsidR="008C6D04" w:rsidRDefault="008C6D04" w:rsidP="00557077">
            <w:pPr>
              <w:pStyle w:val="Prrafodelista"/>
              <w:widowControl w:val="0"/>
              <w:numPr>
                <w:ilvl w:val="0"/>
                <w:numId w:val="16"/>
              </w:numPr>
              <w:autoSpaceDE w:val="0"/>
              <w:autoSpaceDN w:val="0"/>
              <w:spacing w:after="120" w:line="276" w:lineRule="auto"/>
              <w:jc w:val="both"/>
              <w:rPr>
                <w:rFonts w:ascii="Verdana" w:hAnsi="Verdana" w:cs="Arial"/>
              </w:rPr>
            </w:pPr>
            <w:r w:rsidRPr="008C6D04">
              <w:rPr>
                <w:rFonts w:ascii="Verdana" w:hAnsi="Verdana" w:cs="Arial"/>
              </w:rPr>
              <w:t xml:space="preserve">Consejo de Estado. Sección </w:t>
            </w:r>
            <w:r>
              <w:rPr>
                <w:rFonts w:ascii="Verdana" w:hAnsi="Verdana" w:cs="Arial"/>
              </w:rPr>
              <w:t>Tercera</w:t>
            </w:r>
            <w:r w:rsidRPr="008C6D04">
              <w:rPr>
                <w:rFonts w:ascii="Verdana" w:hAnsi="Verdana" w:cs="Arial"/>
              </w:rPr>
              <w:t>. Subsección B</w:t>
            </w:r>
            <w:r>
              <w:rPr>
                <w:rFonts w:ascii="Verdana" w:hAnsi="Verdana" w:cs="Arial"/>
              </w:rPr>
              <w:t>. Sentencia del 23</w:t>
            </w:r>
            <w:r w:rsidRPr="008C6D04">
              <w:rPr>
                <w:rFonts w:ascii="Verdana" w:hAnsi="Verdana" w:cs="Arial"/>
              </w:rPr>
              <w:t xml:space="preserve"> de </w:t>
            </w:r>
            <w:r>
              <w:rPr>
                <w:rFonts w:ascii="Verdana" w:hAnsi="Verdana" w:cs="Arial"/>
              </w:rPr>
              <w:t>noviembre</w:t>
            </w:r>
            <w:r w:rsidRPr="008C6D04">
              <w:rPr>
                <w:rFonts w:ascii="Verdana" w:hAnsi="Verdana" w:cs="Arial"/>
              </w:rPr>
              <w:t xml:space="preserve"> de 202</w:t>
            </w:r>
            <w:r>
              <w:rPr>
                <w:rFonts w:ascii="Verdana" w:hAnsi="Verdana" w:cs="Arial"/>
              </w:rPr>
              <w:t xml:space="preserve">3. </w:t>
            </w:r>
            <w:r w:rsidRPr="008C6D04">
              <w:rPr>
                <w:rFonts w:ascii="Verdana" w:hAnsi="Verdana" w:cs="Arial"/>
              </w:rPr>
              <w:t>Radicación: 11001-03-24-000-2023-00008-00 (69539)</w:t>
            </w:r>
            <w:r>
              <w:rPr>
                <w:rFonts w:ascii="Verdana" w:hAnsi="Verdana" w:cs="Arial"/>
              </w:rPr>
              <w:t xml:space="preserve">. </w:t>
            </w:r>
            <w:r w:rsidRPr="008C6D04">
              <w:rPr>
                <w:rFonts w:ascii="Verdana" w:hAnsi="Verdana" w:cs="Arial"/>
              </w:rPr>
              <w:t>Magistrado Ponente: Jaime Enrique Rodríguez Navas</w:t>
            </w:r>
            <w:r>
              <w:rPr>
                <w:rFonts w:ascii="Verdana" w:hAnsi="Verdana" w:cs="Arial"/>
              </w:rPr>
              <w:t>.</w:t>
            </w:r>
          </w:p>
          <w:p w14:paraId="1B356112" w14:textId="691F9CF8" w:rsidR="00FE67D9" w:rsidRPr="00F118AE" w:rsidRDefault="00FE67D9" w:rsidP="00557077">
            <w:pPr>
              <w:pStyle w:val="Prrafodelista"/>
              <w:widowControl w:val="0"/>
              <w:numPr>
                <w:ilvl w:val="0"/>
                <w:numId w:val="16"/>
              </w:numPr>
              <w:autoSpaceDE w:val="0"/>
              <w:autoSpaceDN w:val="0"/>
              <w:spacing w:after="120" w:line="276" w:lineRule="auto"/>
              <w:jc w:val="both"/>
              <w:rPr>
                <w:rFonts w:ascii="Verdana" w:hAnsi="Verdana" w:cs="Arial"/>
              </w:rPr>
            </w:pPr>
            <w:r w:rsidRPr="00580292">
              <w:rPr>
                <w:rFonts w:ascii="Verdana" w:eastAsia="Times New Roman" w:hAnsi="Verdana" w:cs="Arial"/>
                <w:lang w:eastAsia="es-ES_tradnl"/>
              </w:rPr>
              <w:t>Circular Conjunta 100-005-2022</w:t>
            </w:r>
            <w:r>
              <w:rPr>
                <w:rFonts w:ascii="Verdana" w:eastAsia="Times New Roman" w:hAnsi="Verdana" w:cs="Arial"/>
                <w:lang w:eastAsia="es-ES_tradnl"/>
              </w:rPr>
              <w:t xml:space="preserve"> expedida por el Departamento Administrativo de la Función Pública y la Escuela Superior de Administración Pública disponible en: </w:t>
            </w:r>
            <w:hyperlink r:id="rId12" w:history="1">
              <w:r w:rsidRPr="00D8430D">
                <w:rPr>
                  <w:rStyle w:val="Hipervnculo"/>
                  <w:rFonts w:ascii="Verdana" w:eastAsia="Times New Roman" w:hAnsi="Verdana" w:cs="Arial"/>
                  <w:lang w:eastAsia="es-ES_tradnl"/>
                </w:rPr>
                <w:t>https://www.funcionpublica.gov.co/eva/gestornormativo/norma.php?i=200223</w:t>
              </w:r>
            </w:hyperlink>
            <w:r>
              <w:rPr>
                <w:rFonts w:ascii="Verdana" w:eastAsia="Times New Roman" w:hAnsi="Verdana" w:cs="Arial"/>
                <w:lang w:eastAsia="es-ES_tradnl"/>
              </w:rPr>
              <w:t xml:space="preserve"> </w:t>
            </w:r>
          </w:p>
        </w:tc>
      </w:tr>
    </w:tbl>
    <w:p w14:paraId="602121AA" w14:textId="77777777" w:rsidR="00557077" w:rsidRPr="00CC5C68" w:rsidRDefault="00557077" w:rsidP="00557077">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72155191" w14:textId="77777777" w:rsidR="00557077" w:rsidRPr="00CC5C68" w:rsidRDefault="00557077" w:rsidP="0055707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lang w:val="es-CO"/>
        </w:rPr>
        <w:lastRenderedPageBreak/>
        <w:t xml:space="preserve">5. </w:t>
      </w:r>
      <w:r w:rsidRPr="00CC5C68">
        <w:rPr>
          <w:rFonts w:ascii="Verdana" w:eastAsia="Century Gothic" w:hAnsi="Verdana" w:cs="Century Gothic"/>
          <w:b/>
          <w:bCs/>
        </w:rPr>
        <w:t>Doctrina de la Agencia Nacional de Contratación Pública:</w:t>
      </w:r>
    </w:p>
    <w:p w14:paraId="36E72D93" w14:textId="77777777" w:rsidR="00557077" w:rsidRPr="00CC5C68" w:rsidRDefault="00557077" w:rsidP="00557077">
      <w:pPr>
        <w:spacing w:after="0" w:line="276" w:lineRule="auto"/>
        <w:ind w:firstLine="709"/>
        <w:jc w:val="both"/>
        <w:rPr>
          <w:rFonts w:ascii="Verdana" w:eastAsia="Times New Roman" w:hAnsi="Verdana" w:cs="Arial"/>
          <w:szCs w:val="24"/>
          <w:lang w:val="es-ES" w:eastAsia="es-ES_tradnl"/>
        </w:rPr>
      </w:pPr>
    </w:p>
    <w:p w14:paraId="5DCC2AA8" w14:textId="0FF6E918" w:rsidR="00557077" w:rsidRPr="00CC5C68" w:rsidRDefault="00557077" w:rsidP="0055707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w:t>
      </w:r>
      <w:r w:rsidR="00E93B76" w:rsidRPr="00E52602">
        <w:rPr>
          <w:rFonts w:ascii="Verdana" w:hAnsi="Verdana" w:cs="Arial"/>
          <w:shd w:val="clear" w:color="auto" w:fill="FFFFFF"/>
        </w:rPr>
        <w:t>el concepto y límites del contrato de prestación de servicios profesionales y de apoyo a la gestión</w:t>
      </w:r>
      <w:r w:rsidRPr="00CC5C68">
        <w:rPr>
          <w:rFonts w:ascii="Verdana" w:eastAsia="Calibri" w:hAnsi="Verdana" w:cs="Arial"/>
          <w:lang w:val="es-ES_tradnl" w:eastAsia="es-ES_tradnl"/>
        </w:rPr>
        <w:t>, se pronunció esta Subdirección en los conceptos</w:t>
      </w:r>
      <w:r>
        <w:rPr>
          <w:rFonts w:ascii="Verdana" w:eastAsia="Calibri" w:hAnsi="Verdana" w:cs="Arial"/>
          <w:lang w:val="es-ES_tradnl" w:eastAsia="es-ES_tradnl"/>
        </w:rPr>
        <w:t xml:space="preserve"> </w:t>
      </w:r>
      <w:r w:rsidR="00E93B76" w:rsidRPr="00E93B76">
        <w:rPr>
          <w:rFonts w:ascii="Verdana" w:eastAsia="Calibri" w:hAnsi="Verdana" w:cs="Arial"/>
          <w:lang w:val="es-ES_tradnl" w:eastAsia="es-ES_tradnl"/>
        </w:rPr>
        <w:t>C-090 del 24 de febrero de 2020, C-105 del 12 de marzo 03 de 2020, C-156 del 3 de abril de 2020, C-188 del 13 de abril de 2020, C-208 del 24 de abril de 2020; C-138, C-005, C-006 y C-018 del 11 de mayo de 2020; C-175, C-320, C-053, C-255, C-282 y C-293 del 12 de mayo de 2020, C-288 del 27 de mayo de 2020, C-345 del 13 de mayo de 2020, C-414 del 30 de junio de 2020, C-484 del 6 de agosto de 2020, C-608 del 1 de octubre de 2020, C-739 del 16 de diciembre de 2020, C-106 de 07 de abril de 2021, C-145 de 8 de abril de 2021, C-491 del 14 de septiembre de 2021 y C- 517 del 30 de septiembre de 2021, C-707 de 17 de enero de 2022, C-019 de 21 de febrero de 2022</w:t>
      </w:r>
      <w:r w:rsidR="00E93B76">
        <w:rPr>
          <w:rFonts w:ascii="Verdana" w:eastAsia="Calibri" w:hAnsi="Verdana" w:cs="Arial"/>
          <w:lang w:val="es-ES_tradnl" w:eastAsia="es-ES_tradnl"/>
        </w:rPr>
        <w:t>,</w:t>
      </w:r>
      <w:r w:rsidR="00E93B76" w:rsidRPr="00E93B76">
        <w:rPr>
          <w:rFonts w:ascii="Verdana" w:eastAsia="Calibri" w:hAnsi="Verdana" w:cs="Arial"/>
          <w:lang w:val="es-ES_tradnl" w:eastAsia="es-ES_tradnl"/>
        </w:rPr>
        <w:t xml:space="preserve"> C-376 de 14 de junio de 2022</w:t>
      </w:r>
      <w:r w:rsidR="00E93B76">
        <w:rPr>
          <w:rFonts w:ascii="Verdana" w:eastAsia="Calibri" w:hAnsi="Verdana" w:cs="Arial"/>
          <w:lang w:val="es-ES_tradnl" w:eastAsia="es-ES_tradnl"/>
        </w:rPr>
        <w:t>, C-091 del 5 de junio de 2023 y C-984 del 2 de enero de 2025</w:t>
      </w:r>
      <w:r w:rsidRPr="00CC5C68">
        <w:rPr>
          <w:rFonts w:ascii="Verdana" w:eastAsia="Calibri" w:hAnsi="Verdana" w:cs="Arial"/>
          <w:lang w:val="es-ES" w:eastAsia="es-ES_tradnl"/>
        </w:rPr>
        <w:t>. 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3" w:history="1">
        <w:r w:rsidRPr="00CC5C68">
          <w:rPr>
            <w:rStyle w:val="Hipervnculo"/>
            <w:rFonts w:ascii="Verdana" w:hAnsi="Verdana" w:cs="Arial"/>
            <w:shd w:val="clear" w:color="auto" w:fill="FFFFFF"/>
            <w:lang w:val="es-ES"/>
          </w:rPr>
          <w:t>https://relatoria.colombiacompra.gov.co/busqueda/conceptos</w:t>
        </w:r>
      </w:hyperlink>
    </w:p>
    <w:p w14:paraId="7C8D4917" w14:textId="77777777" w:rsidR="00557077" w:rsidRPr="00CC5C68" w:rsidRDefault="00557077" w:rsidP="0055707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533A044B" w14:textId="77777777" w:rsidR="00557077" w:rsidRPr="00DE5CCE" w:rsidRDefault="00557077" w:rsidP="00557077">
      <w:pPr>
        <w:spacing w:after="0" w:line="240" w:lineRule="auto"/>
        <w:jc w:val="both"/>
        <w:rPr>
          <w:rFonts w:ascii="Verdana" w:hAnsi="Verdana"/>
        </w:rPr>
      </w:pPr>
      <w:r w:rsidRPr="00DE5CCE">
        <w:rPr>
          <w:rFonts w:ascii="Verdana" w:hAnsi="Verdana"/>
        </w:rPr>
        <w:t>La Agencia Nacional de Contratación Pública – Colombia Compra Eficiente invita a las Entidades Estatales, a los actores del Sistema de Compra Pública y a la ciudadanía en general a conocer y participar en la actualización de la </w:t>
      </w:r>
      <w:r w:rsidRPr="00DE5CCE">
        <w:rPr>
          <w:rFonts w:ascii="Verdana" w:hAnsi="Verdana"/>
          <w:b/>
          <w:bCs/>
          <w:i/>
          <w:iCs/>
        </w:rPr>
        <w:t>Guía para la Elaboración de Estudios del Sector</w:t>
      </w:r>
      <w:r w:rsidRPr="00DE5CCE">
        <w:rPr>
          <w:rFonts w:ascii="Verdana" w:hAnsi="Verdana"/>
        </w:rPr>
        <w:t>. Esta herramienta orientadora facilita el análisis del mercado del bien, obra o servicio a contratar, y tiene como propósito promover procesos de contratación más eficientes, competitivos, sostenibles e inclusivos. La guía se encuentra disponible para consulta y comentarios hasta el 22 de mayo de 2025, a través del siguiente enlace: </w:t>
      </w:r>
      <w:hyperlink r:id="rId14" w:tgtFrame="_blank" w:tooltip="Dirección URL original: https://www.colombiacompra.gov.co/archivos/convocatoria/participacion-ciudadana-proyecto-de-la-guia-para-la-elaboracion-de-estudios-del-sector. Haga clic o pulse si confía en este vínculo." w:history="1">
        <w:r w:rsidRPr="00DE5CCE">
          <w:rPr>
            <w:rStyle w:val="Hipervnculo"/>
            <w:rFonts w:ascii="Verdana" w:hAnsi="Verdana"/>
          </w:rPr>
          <w:t>https://www.colombiacompra.gov.co/archivos/convocatoria/participacion-ciudadana-proyecto-de-la-guia-para-la-</w:t>
        </w:r>
      </w:hyperlink>
    </w:p>
    <w:p w14:paraId="73C3A4B5" w14:textId="77777777" w:rsidR="00557077" w:rsidRPr="00DE5CCE" w:rsidRDefault="00557077" w:rsidP="00557077">
      <w:pPr>
        <w:spacing w:after="0" w:line="240" w:lineRule="auto"/>
        <w:jc w:val="both"/>
        <w:rPr>
          <w:rFonts w:ascii="Verdana" w:hAnsi="Verdana"/>
        </w:rPr>
      </w:pPr>
    </w:p>
    <w:p w14:paraId="3392B070" w14:textId="77777777" w:rsidR="00557077" w:rsidRPr="00DE5CCE" w:rsidRDefault="00557077" w:rsidP="00557077">
      <w:pPr>
        <w:spacing w:after="0" w:line="240" w:lineRule="auto"/>
        <w:jc w:val="both"/>
        <w:rPr>
          <w:rFonts w:ascii="Verdana" w:hAnsi="Verdana"/>
        </w:rPr>
      </w:pPr>
      <w:r w:rsidRPr="00DE5CCE">
        <w:rPr>
          <w:rFonts w:ascii="Verdana" w:hAnsi="Verdana"/>
        </w:rPr>
        <w:t>De otra parte, te informamos que ya se encuentran disponibles los borradores de las nuevas versiones de documentos tipo del sector infraestructura social (Subsectores: institucional, vivienda, salud, educación, cultura y deporte) en las modalidades de licitación pública, selección abreviada de menor cuantía y mínima cuantía para comentarios. Dichos documentos estarán publicados hasta el próximo 23 de mayo de 2025.  Puede consultar la información en el siguiente enlace: </w:t>
      </w:r>
      <w:hyperlink r:id="rId15" w:tgtFrame="_blank" w:tooltip="Dirección URL original: https://www.colombiacompra.gov.co/normativa-y-relatoria/documentos-tipo. Haga clic o pulse si confía en este vínculo." w:history="1">
        <w:r w:rsidRPr="00DE5CCE">
          <w:rPr>
            <w:rStyle w:val="Hipervnculo"/>
            <w:rFonts w:ascii="Verdana" w:hAnsi="Verdana"/>
          </w:rPr>
          <w:t>Documentos Tipo – ANCP Colombia Compra Eficiente</w:t>
        </w:r>
      </w:hyperlink>
      <w:r w:rsidRPr="00DE5CCE">
        <w:rPr>
          <w:rFonts w:ascii="Verdana" w:hAnsi="Verdana"/>
          <w:u w:val="single"/>
        </w:rPr>
        <w:t> </w:t>
      </w:r>
    </w:p>
    <w:p w14:paraId="1D8775C2" w14:textId="77777777" w:rsidR="00557077" w:rsidRDefault="00557077" w:rsidP="00557077">
      <w:pPr>
        <w:spacing w:after="0" w:line="240" w:lineRule="auto"/>
        <w:jc w:val="both"/>
        <w:rPr>
          <w:rFonts w:ascii="Verdana" w:hAnsi="Verdana"/>
        </w:rPr>
      </w:pPr>
    </w:p>
    <w:p w14:paraId="70BD4860" w14:textId="77777777" w:rsidR="00557077" w:rsidRPr="00DE5CCE" w:rsidRDefault="00557077" w:rsidP="00557077">
      <w:pPr>
        <w:spacing w:after="0" w:line="240" w:lineRule="auto"/>
        <w:jc w:val="both"/>
        <w:rPr>
          <w:rFonts w:ascii="Verdana" w:hAnsi="Verdana"/>
        </w:rPr>
      </w:pPr>
      <w:r w:rsidRPr="00DE5CCE">
        <w:rPr>
          <w:rFonts w:ascii="Verdana" w:hAnsi="Verdana"/>
        </w:rPr>
        <w:t>También le contamos que ya se encuentra disponible la </w:t>
      </w:r>
      <w:r w:rsidRPr="00DE5CCE">
        <w:rPr>
          <w:rFonts w:ascii="Verdana" w:hAnsi="Verdana"/>
          <w:b/>
          <w:bCs/>
        </w:rPr>
        <w:t xml:space="preserve">Guía de lineamientos de transparencia y selección objetiva para el departamento de La Guajira – Objetivo sexto constitucional de la Sentencia T-302 del </w:t>
      </w:r>
      <w:r w:rsidRPr="00DE5CCE">
        <w:rPr>
          <w:rFonts w:ascii="Verdana" w:hAnsi="Verdana"/>
          <w:b/>
          <w:bCs/>
        </w:rPr>
        <w:lastRenderedPageBreak/>
        <w:t>2017. </w:t>
      </w:r>
      <w:r w:rsidRPr="00DE5CCE">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E5CCE">
        <w:rPr>
          <w:rFonts w:ascii="Verdana" w:hAnsi="Verdana"/>
        </w:rPr>
        <w:t>Wayúu</w:t>
      </w:r>
      <w:proofErr w:type="spellEnd"/>
      <w:r w:rsidRPr="00DE5CCE">
        <w:rPr>
          <w:rFonts w:ascii="Verdana" w:hAnsi="Verdana"/>
        </w:rPr>
        <w:t>. Puede consultar la guía en el siguiente enlace: </w:t>
      </w:r>
      <w:hyperlink r:id="rId16" w:tgtFrame="_blank" w:tooltip="Dirección URL original: https://www.colombiacompra.gov.co/wp-content/uploads/2025/05/GUIA-DE-LINEAMIENTOS-DE-TRANSPARENCIA-Y-SELECCION-OBJETIVA-1.0.pdf. Haga clic o pulse si confía en este vínculo." w:history="1">
        <w:r w:rsidRPr="00DE5CCE">
          <w:rPr>
            <w:rStyle w:val="Hipervnculo"/>
            <w:rFonts w:ascii="Verdana" w:hAnsi="Verdana"/>
          </w:rPr>
          <w:t>Guía de lineamientos de transparencia y selección objetiva para el departamento de La Guajira – Objetivo sexto constitucional de la Sentencia T-302 del 2017</w:t>
        </w:r>
      </w:hyperlink>
      <w:r w:rsidRPr="00DE5CCE">
        <w:rPr>
          <w:rFonts w:ascii="Verdana" w:hAnsi="Verdana"/>
          <w:u w:val="single"/>
        </w:rPr>
        <w:t>"</w:t>
      </w:r>
    </w:p>
    <w:p w14:paraId="288E6DDB" w14:textId="77777777" w:rsidR="00557077" w:rsidRPr="00CC5C68" w:rsidRDefault="00557077" w:rsidP="00557077">
      <w:pPr>
        <w:spacing w:after="0" w:line="240" w:lineRule="auto"/>
        <w:jc w:val="both"/>
        <w:rPr>
          <w:rFonts w:ascii="Verdana" w:hAnsi="Verdana"/>
        </w:rPr>
      </w:pPr>
    </w:p>
    <w:p w14:paraId="7B194272" w14:textId="77777777" w:rsidR="00557077" w:rsidRPr="00CC5C68" w:rsidRDefault="00557077" w:rsidP="00557077">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13171218" w14:textId="77777777" w:rsidR="00557077" w:rsidRPr="00CC5C68" w:rsidRDefault="00557077" w:rsidP="00557077">
      <w:pPr>
        <w:spacing w:after="0" w:line="240" w:lineRule="auto"/>
        <w:jc w:val="both"/>
        <w:rPr>
          <w:rFonts w:ascii="Verdana" w:hAnsi="Verdana"/>
        </w:rPr>
      </w:pPr>
    </w:p>
    <w:p w14:paraId="771DCDCD" w14:textId="77777777" w:rsidR="00557077" w:rsidRPr="00CC5C68" w:rsidRDefault="00557077" w:rsidP="00557077">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4D6D1C52" w14:textId="77777777" w:rsidR="00557077" w:rsidRPr="00CC5C68" w:rsidRDefault="00557077" w:rsidP="00557077">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6DE45086" w14:textId="77777777" w:rsidR="00557077" w:rsidRPr="00CC5C68" w:rsidRDefault="00557077" w:rsidP="00557077">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6AF2239B" w14:textId="77777777" w:rsidR="00557077" w:rsidRPr="00CC5C68" w:rsidRDefault="00557077" w:rsidP="00557077">
      <w:pPr>
        <w:widowControl w:val="0"/>
        <w:autoSpaceDE w:val="0"/>
        <w:autoSpaceDN w:val="0"/>
        <w:spacing w:after="0" w:line="276" w:lineRule="auto"/>
        <w:jc w:val="both"/>
        <w:rPr>
          <w:rFonts w:ascii="Verdana" w:hAnsi="Verdana" w:cs="Arial"/>
        </w:rPr>
      </w:pPr>
    </w:p>
    <w:p w14:paraId="664CE61F" w14:textId="77777777" w:rsidR="00557077" w:rsidRPr="00CC5C68" w:rsidRDefault="00557077" w:rsidP="00557077">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2F2513FF" w14:textId="77777777" w:rsidR="00557077" w:rsidRPr="00CC5C68" w:rsidRDefault="00557077" w:rsidP="00557077">
      <w:pPr>
        <w:spacing w:after="0" w:line="276" w:lineRule="auto"/>
        <w:ind w:firstLine="709"/>
        <w:jc w:val="both"/>
        <w:rPr>
          <w:rFonts w:ascii="Verdana" w:eastAsia="Times New Roman" w:hAnsi="Verdana" w:cs="Arial"/>
          <w:szCs w:val="24"/>
          <w:lang w:val="es-ES_tradnl" w:eastAsia="es-ES_tradnl"/>
        </w:rPr>
      </w:pPr>
    </w:p>
    <w:p w14:paraId="3C7CE438" w14:textId="77777777" w:rsidR="00557077" w:rsidRPr="00CC5C68" w:rsidRDefault="00557077" w:rsidP="00557077">
      <w:pPr>
        <w:spacing w:after="0" w:line="276" w:lineRule="auto"/>
        <w:jc w:val="both"/>
        <w:rPr>
          <w:rFonts w:ascii="Verdana" w:eastAsia="Times New Roman" w:hAnsi="Verdana" w:cs="Arial"/>
          <w:lang w:val="es-ES_tradnl" w:eastAsia="es-CO"/>
        </w:rPr>
      </w:pPr>
      <w:bookmarkStart w:id="1" w:name="_Hlk117695077"/>
      <w:r w:rsidRPr="00CC5C68">
        <w:rPr>
          <w:rFonts w:ascii="Verdana" w:eastAsia="Times New Roman" w:hAnsi="Verdana" w:cs="Arial"/>
          <w:lang w:val="es-ES_tradnl" w:eastAsia="es-CO"/>
        </w:rPr>
        <w:t>Atentamente,</w:t>
      </w:r>
    </w:p>
    <w:bookmarkEnd w:id="1"/>
    <w:p w14:paraId="1E4C163B" w14:textId="07210DB6" w:rsidR="00557077" w:rsidRPr="00CC5C68" w:rsidRDefault="00401F51" w:rsidP="00557077">
      <w:pPr>
        <w:spacing w:after="18" w:line="240" w:lineRule="auto"/>
        <w:jc w:val="center"/>
        <w:rPr>
          <w:rFonts w:ascii="Verdana" w:eastAsia="Times New Roman" w:hAnsi="Verdana" w:cs="Arial"/>
          <w:sz w:val="24"/>
          <w:szCs w:val="24"/>
          <w:lang w:eastAsia="es-CO"/>
        </w:rPr>
      </w:pPr>
      <w:r>
        <w:rPr>
          <w:noProof/>
        </w:rPr>
        <w:drawing>
          <wp:inline distT="0" distB="0" distL="0" distR="0" wp14:anchorId="1A17B3DF" wp14:editId="1A5C20B2">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p w14:paraId="67FD9FC3" w14:textId="77777777" w:rsidR="00557077" w:rsidRPr="00CC5C68" w:rsidRDefault="00557077" w:rsidP="00557077">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217"/>
      </w:tblGrid>
      <w:tr w:rsidR="00557077" w:rsidRPr="00CC5C68" w14:paraId="57A76B77" w14:textId="77777777" w:rsidTr="00B20116">
        <w:trPr>
          <w:trHeight w:val="286"/>
        </w:trPr>
        <w:tc>
          <w:tcPr>
            <w:tcW w:w="886" w:type="dxa"/>
            <w:vAlign w:val="center"/>
            <w:hideMark/>
          </w:tcPr>
          <w:p w14:paraId="07E6DCE0" w14:textId="77777777" w:rsidR="00557077" w:rsidRPr="00CC5C68" w:rsidRDefault="00557077" w:rsidP="00B2011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217" w:type="dxa"/>
            <w:tcBorders>
              <w:top w:val="nil"/>
              <w:left w:val="nil"/>
              <w:bottom w:val="dotted" w:sz="4" w:space="0" w:color="7F7F7F"/>
              <w:right w:val="nil"/>
            </w:tcBorders>
            <w:vAlign w:val="center"/>
            <w:hideMark/>
          </w:tcPr>
          <w:p w14:paraId="3EB43978" w14:textId="77777777" w:rsidR="00557077" w:rsidRDefault="00557077" w:rsidP="00B20116">
            <w:pPr>
              <w:rPr>
                <w:rFonts w:ascii="Verdana" w:eastAsia="Times New Roman" w:hAnsi="Verdana" w:cs="Arial"/>
                <w:sz w:val="16"/>
                <w:szCs w:val="16"/>
                <w:lang w:val="es-ES_tradnl" w:eastAsia="es-ES"/>
              </w:rPr>
            </w:pPr>
            <w:r w:rsidRPr="009C4D9A">
              <w:rPr>
                <w:rFonts w:ascii="Verdana" w:eastAsia="Times New Roman" w:hAnsi="Verdana" w:cs="Arial"/>
                <w:sz w:val="16"/>
                <w:szCs w:val="16"/>
                <w:lang w:val="es-ES_tradnl" w:eastAsia="es-ES"/>
              </w:rPr>
              <w:t>Ximena Ríos López</w:t>
            </w:r>
          </w:p>
          <w:p w14:paraId="230D7DFF" w14:textId="77777777" w:rsidR="00557077" w:rsidRPr="00CC5C68" w:rsidRDefault="00557077" w:rsidP="00B20116">
            <w:pPr>
              <w:rPr>
                <w:rFonts w:ascii="Verdana" w:eastAsia="Times New Roman" w:hAnsi="Verdana" w:cs="Arial"/>
                <w:sz w:val="14"/>
                <w:szCs w:val="14"/>
                <w:lang w:eastAsia="es-ES"/>
              </w:rPr>
            </w:pPr>
            <w:r>
              <w:rPr>
                <w:rFonts w:ascii="Verdana" w:eastAsia="Times New Roman" w:hAnsi="Verdana" w:cs="Arial"/>
                <w:sz w:val="16"/>
                <w:szCs w:val="16"/>
                <w:lang w:val="es-ES_tradnl" w:eastAsia="es-ES"/>
              </w:rPr>
              <w:t>Gestor T1-11</w:t>
            </w:r>
            <w:r w:rsidRPr="00CC5C68">
              <w:rPr>
                <w:rFonts w:ascii="Verdana" w:eastAsia="Times New Roman" w:hAnsi="Verdana" w:cs="Arial"/>
                <w:sz w:val="16"/>
                <w:szCs w:val="16"/>
                <w:lang w:eastAsia="es-ES"/>
              </w:rPr>
              <w:t xml:space="preserve"> de la Subdirección de Gestión Contractual</w:t>
            </w:r>
          </w:p>
        </w:tc>
      </w:tr>
      <w:tr w:rsidR="00557077" w:rsidRPr="00CC5C68" w14:paraId="16B13F4D" w14:textId="77777777" w:rsidTr="00B20116">
        <w:trPr>
          <w:trHeight w:val="299"/>
        </w:trPr>
        <w:tc>
          <w:tcPr>
            <w:tcW w:w="886" w:type="dxa"/>
            <w:vAlign w:val="center"/>
            <w:hideMark/>
          </w:tcPr>
          <w:p w14:paraId="4CD2872D" w14:textId="77777777" w:rsidR="00557077" w:rsidRPr="00CC5C68" w:rsidRDefault="00557077" w:rsidP="00B2011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217" w:type="dxa"/>
            <w:tcBorders>
              <w:top w:val="dotted" w:sz="4" w:space="0" w:color="7F7F7F"/>
              <w:left w:val="nil"/>
              <w:bottom w:val="dotted" w:sz="4" w:space="0" w:color="7F7F7F"/>
              <w:right w:val="nil"/>
            </w:tcBorders>
            <w:vAlign w:val="center"/>
            <w:hideMark/>
          </w:tcPr>
          <w:p w14:paraId="4398A61C" w14:textId="77777777" w:rsidR="00557077" w:rsidRPr="00CC5C68" w:rsidRDefault="00557077" w:rsidP="00B20116">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Juan Carlos González</w:t>
            </w:r>
          </w:p>
          <w:p w14:paraId="52295511" w14:textId="77777777" w:rsidR="00557077" w:rsidRPr="00CC5C68" w:rsidRDefault="00557077" w:rsidP="00B20116">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557077" w:rsidRPr="00CC5C68" w14:paraId="126B3DF6" w14:textId="77777777" w:rsidTr="00B20116">
        <w:trPr>
          <w:trHeight w:val="272"/>
        </w:trPr>
        <w:tc>
          <w:tcPr>
            <w:tcW w:w="886" w:type="dxa"/>
            <w:vAlign w:val="center"/>
            <w:hideMark/>
          </w:tcPr>
          <w:p w14:paraId="28D62373" w14:textId="77777777" w:rsidR="00557077" w:rsidRPr="00CC5C68" w:rsidRDefault="00557077" w:rsidP="00B2011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217" w:type="dxa"/>
            <w:tcBorders>
              <w:top w:val="dotted" w:sz="4" w:space="0" w:color="7F7F7F"/>
              <w:left w:val="nil"/>
              <w:bottom w:val="dotted" w:sz="4" w:space="0" w:color="7F7F7F"/>
              <w:right w:val="nil"/>
            </w:tcBorders>
            <w:vAlign w:val="center"/>
            <w:hideMark/>
          </w:tcPr>
          <w:p w14:paraId="3A1AA847" w14:textId="77777777" w:rsidR="00557077" w:rsidRPr="00CC5C68" w:rsidRDefault="00557077" w:rsidP="00B20116">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 xml:space="preserve">Carolina Quintero </w:t>
            </w:r>
            <w:proofErr w:type="spellStart"/>
            <w:r w:rsidRPr="00CC5C68">
              <w:rPr>
                <w:rFonts w:ascii="Verdana" w:eastAsia="Times New Roman" w:hAnsi="Verdana" w:cs="Arial"/>
                <w:sz w:val="16"/>
                <w:szCs w:val="16"/>
                <w:lang w:eastAsia="es-ES"/>
              </w:rPr>
              <w:t>Gacharná</w:t>
            </w:r>
            <w:proofErr w:type="spellEnd"/>
          </w:p>
          <w:p w14:paraId="2BB679CB" w14:textId="77777777" w:rsidR="00557077" w:rsidRPr="00CC5C68" w:rsidRDefault="00557077" w:rsidP="00B20116">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3734B858" w14:textId="77777777" w:rsidR="00557077" w:rsidRPr="00CC5C68" w:rsidRDefault="00557077" w:rsidP="00557077">
      <w:pPr>
        <w:spacing w:after="0" w:line="276" w:lineRule="auto"/>
        <w:jc w:val="both"/>
        <w:rPr>
          <w:rFonts w:ascii="Verdana" w:eastAsia="Times New Roman" w:hAnsi="Verdana" w:cs="Arial"/>
          <w:lang w:val="es-ES_tradnl"/>
        </w:rPr>
      </w:pPr>
    </w:p>
    <w:p w14:paraId="7C90E7B9" w14:textId="77777777" w:rsidR="00557077" w:rsidRPr="00CC5C68" w:rsidRDefault="00557077" w:rsidP="00557077">
      <w:pPr>
        <w:spacing w:after="0" w:line="240" w:lineRule="auto"/>
        <w:rPr>
          <w:rFonts w:ascii="Verdana" w:eastAsia="Times New Roman" w:hAnsi="Verdana" w:cs="Arial"/>
          <w:sz w:val="24"/>
          <w:szCs w:val="24"/>
          <w:lang w:eastAsia="es-ES_tradnl"/>
        </w:rPr>
      </w:pPr>
    </w:p>
    <w:p w14:paraId="5E16A9A7" w14:textId="77777777" w:rsidR="00557077" w:rsidRPr="00CC5C68" w:rsidRDefault="00557077" w:rsidP="00557077">
      <w:pPr>
        <w:rPr>
          <w:rFonts w:ascii="Verdana" w:hAnsi="Verdana"/>
        </w:rPr>
      </w:pPr>
    </w:p>
    <w:p w14:paraId="267758D7" w14:textId="77777777" w:rsidR="003D5B0D" w:rsidRPr="00557077" w:rsidRDefault="003D5B0D" w:rsidP="00557077"/>
    <w:sectPr w:rsidR="003D5B0D" w:rsidRPr="00557077"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8FA555" w14:textId="77777777" w:rsidR="00BE37C0" w:rsidRDefault="00BE37C0" w:rsidP="004A1847">
      <w:pPr>
        <w:spacing w:after="0" w:line="240" w:lineRule="auto"/>
      </w:pPr>
      <w:r>
        <w:separator/>
      </w:r>
    </w:p>
  </w:endnote>
  <w:endnote w:type="continuationSeparator" w:id="0">
    <w:p w14:paraId="04E259A0" w14:textId="77777777" w:rsidR="00BE37C0" w:rsidRDefault="00BE37C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61964" w14:textId="77777777" w:rsidR="004A1847" w:rsidRDefault="004A1847">
    <w:pPr>
      <w:pStyle w:val="Piedepgina"/>
    </w:pPr>
  </w:p>
  <w:p w14:paraId="6698D031"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F77D0DB"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2940800"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0403A273"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BC628B" w14:textId="77777777" w:rsidR="00BE37C0" w:rsidRDefault="00BE37C0" w:rsidP="004A1847">
      <w:pPr>
        <w:spacing w:after="0" w:line="240" w:lineRule="auto"/>
      </w:pPr>
      <w:r>
        <w:separator/>
      </w:r>
    </w:p>
  </w:footnote>
  <w:footnote w:type="continuationSeparator" w:id="0">
    <w:p w14:paraId="0C4F703F" w14:textId="77777777" w:rsidR="00BE37C0" w:rsidRDefault="00BE37C0" w:rsidP="004A1847">
      <w:pPr>
        <w:spacing w:after="0" w:line="240" w:lineRule="auto"/>
      </w:pPr>
      <w:r>
        <w:continuationSeparator/>
      </w:r>
    </w:p>
  </w:footnote>
  <w:footnote w:id="1">
    <w:p w14:paraId="15DBCBE2" w14:textId="77777777" w:rsidR="00E83ECE" w:rsidRPr="005114F2" w:rsidRDefault="00E83ECE" w:rsidP="00EE46AC">
      <w:pPr>
        <w:autoSpaceDE w:val="0"/>
        <w:autoSpaceDN w:val="0"/>
        <w:adjustRightInd w:val="0"/>
        <w:spacing w:after="0" w:line="240" w:lineRule="auto"/>
        <w:ind w:firstLine="708"/>
        <w:jc w:val="both"/>
        <w:rPr>
          <w:rFonts w:ascii="Verdana" w:hAnsi="Verdana" w:cs="Arial"/>
          <w:sz w:val="10"/>
          <w:szCs w:val="10"/>
        </w:rPr>
      </w:pPr>
      <w:r w:rsidRPr="005114F2">
        <w:rPr>
          <w:rStyle w:val="Refdenotaalpie"/>
          <w:rFonts w:ascii="Verdana" w:hAnsi="Verdana" w:cs="Arial"/>
          <w:sz w:val="10"/>
          <w:szCs w:val="10"/>
        </w:rPr>
        <w:footnoteRef/>
      </w:r>
      <w:r w:rsidRPr="005114F2">
        <w:rPr>
          <w:rFonts w:ascii="Verdana" w:hAnsi="Verdana" w:cs="Arial"/>
          <w:sz w:val="10"/>
          <w:szCs w:val="10"/>
        </w:rPr>
        <w:t xml:space="preserve"> CONSEJO DE ESTADO, Sección Segunda. Sentencia de Unificación Jurisprudencial SUJ-025-CE-S2-2021. Radicado (1317-2016). En el mismo sentido, la Corte Constitucional expresa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 (Cfr. Corte Constitucional. Sentencia C-154 de 1997. Magistrado Ponente: Hernando Herrera Vergara).</w:t>
      </w:r>
    </w:p>
  </w:footnote>
  <w:footnote w:id="2">
    <w:p w14:paraId="0DFBE2DB" w14:textId="77777777" w:rsidR="009D2624" w:rsidRPr="005114F2" w:rsidRDefault="009D2624" w:rsidP="00EE46AC">
      <w:pPr>
        <w:pStyle w:val="Textonotapie"/>
        <w:ind w:firstLine="709"/>
        <w:jc w:val="both"/>
        <w:rPr>
          <w:rFonts w:ascii="Verdana" w:hAnsi="Verdana" w:cs="Arial"/>
          <w:sz w:val="10"/>
          <w:szCs w:val="10"/>
        </w:rPr>
      </w:pPr>
      <w:r w:rsidRPr="005114F2">
        <w:rPr>
          <w:rStyle w:val="Refdenotaalpie"/>
          <w:rFonts w:ascii="Verdana" w:hAnsi="Verdana" w:cs="Arial"/>
          <w:sz w:val="10"/>
          <w:szCs w:val="10"/>
        </w:rPr>
        <w:footnoteRef/>
      </w:r>
      <w:r w:rsidRPr="005114F2">
        <w:rPr>
          <w:rFonts w:ascii="Verdana" w:hAnsi="Verdana" w:cs="Arial"/>
          <w:sz w:val="10"/>
          <w:szCs w:val="10"/>
        </w:rPr>
        <w:t xml:space="preserve"> Consejo de Estado. Sección Segunda. Sentencia del 9 de septiembre de 2021. Expediente No. 05001-23-33-000-2013-01143-01(1317-16). M.P. Dra. Sandra Lisset Ibarra Vélez.</w:t>
      </w:r>
    </w:p>
    <w:p w14:paraId="057E5B7A" w14:textId="77777777" w:rsidR="0052405D" w:rsidRPr="005114F2" w:rsidRDefault="0052405D" w:rsidP="00EE46AC">
      <w:pPr>
        <w:pStyle w:val="Textonotapie"/>
        <w:ind w:firstLine="709"/>
        <w:jc w:val="both"/>
        <w:rPr>
          <w:rFonts w:ascii="Verdana" w:hAnsi="Verdana" w:cs="Arial"/>
          <w:sz w:val="10"/>
          <w:szCs w:val="10"/>
        </w:rPr>
      </w:pPr>
    </w:p>
  </w:footnote>
  <w:footnote w:id="3">
    <w:p w14:paraId="133AAA6D" w14:textId="65382079" w:rsidR="009D2624" w:rsidRPr="005114F2" w:rsidRDefault="009D2624" w:rsidP="00EE46AC">
      <w:pPr>
        <w:pStyle w:val="Textonotapie"/>
        <w:ind w:firstLine="709"/>
        <w:jc w:val="both"/>
        <w:rPr>
          <w:rFonts w:ascii="Verdana" w:hAnsi="Verdana" w:cs="Arial"/>
          <w:sz w:val="10"/>
          <w:szCs w:val="10"/>
          <w:lang w:val="es-ES_tradnl"/>
        </w:rPr>
      </w:pPr>
      <w:r w:rsidRPr="005114F2">
        <w:rPr>
          <w:rStyle w:val="Refdenotaalpie"/>
          <w:rFonts w:ascii="Verdana" w:hAnsi="Verdana" w:cs="Arial"/>
          <w:sz w:val="10"/>
          <w:szCs w:val="10"/>
        </w:rPr>
        <w:footnoteRef/>
      </w:r>
      <w:r w:rsidRPr="005114F2">
        <w:rPr>
          <w:rFonts w:ascii="Verdana" w:hAnsi="Verdana" w:cs="Arial"/>
          <w:sz w:val="10"/>
          <w:szCs w:val="10"/>
        </w:rPr>
        <w:t xml:space="preserve"> Así lo señaló el Consejo de Estado en la sentencia de unificación en mención, al indicar que </w:t>
      </w:r>
      <w:r w:rsidR="0052405D" w:rsidRPr="005114F2">
        <w:rPr>
          <w:rFonts w:ascii="Verdana" w:hAnsi="Verdana" w:cs="Arial"/>
          <w:sz w:val="10"/>
          <w:szCs w:val="10"/>
        </w:rPr>
        <w:t>“</w:t>
      </w:r>
      <w:r w:rsidRPr="005114F2">
        <w:rPr>
          <w:rFonts w:ascii="Verdana" w:hAnsi="Verdana" w:cs="Arial"/>
          <w:sz w:val="10"/>
          <w:szCs w:val="10"/>
        </w:rPr>
        <w:t>cualquier contrato de prestación de servicios tiene por objeto genérico “desarrollar actividades relacionadas con la administración o funcionamiento de la entidad”.</w:t>
      </w:r>
    </w:p>
  </w:footnote>
  <w:footnote w:id="4">
    <w:p w14:paraId="4CA8DA49" w14:textId="59B6B3EF" w:rsidR="009D2624" w:rsidRPr="005114F2" w:rsidRDefault="009D2624" w:rsidP="00EE46AC">
      <w:pPr>
        <w:pStyle w:val="Textonotapie"/>
        <w:ind w:firstLine="709"/>
        <w:jc w:val="both"/>
        <w:rPr>
          <w:rFonts w:ascii="Verdana" w:hAnsi="Verdana" w:cs="Arial"/>
          <w:sz w:val="10"/>
          <w:szCs w:val="10"/>
          <w:lang w:val="es-ES"/>
        </w:rPr>
      </w:pPr>
      <w:r w:rsidRPr="005114F2">
        <w:rPr>
          <w:rStyle w:val="Refdenotaalpie"/>
          <w:rFonts w:ascii="Verdana" w:hAnsi="Verdana" w:cs="Arial"/>
          <w:sz w:val="10"/>
          <w:szCs w:val="10"/>
        </w:rPr>
        <w:footnoteRef/>
      </w:r>
      <w:r w:rsidRPr="005114F2">
        <w:rPr>
          <w:rFonts w:ascii="Verdana" w:hAnsi="Verdana" w:cs="Arial"/>
          <w:sz w:val="10"/>
          <w:szCs w:val="10"/>
        </w:rPr>
        <w:t xml:space="preserve"> </w:t>
      </w:r>
      <w:r w:rsidRPr="005114F2">
        <w:rPr>
          <w:rFonts w:ascii="Verdana" w:hAnsi="Verdana" w:cs="Arial"/>
          <w:sz w:val="10"/>
          <w:szCs w:val="10"/>
          <w:lang w:val="es-ES"/>
        </w:rPr>
        <w:t xml:space="preserve">El artículo 22 del Código Sustantivo del Trabajo establece: </w:t>
      </w:r>
      <w:r w:rsidR="0052405D" w:rsidRPr="005114F2">
        <w:rPr>
          <w:rFonts w:ascii="Verdana" w:hAnsi="Verdana" w:cs="Arial"/>
          <w:sz w:val="10"/>
          <w:szCs w:val="10"/>
          <w:lang w:val="es-ES"/>
        </w:rPr>
        <w:t>“</w:t>
      </w:r>
      <w:r w:rsidRPr="005114F2">
        <w:rPr>
          <w:rFonts w:ascii="Verdana" w:hAnsi="Verdana" w:cs="Arial"/>
          <w:sz w:val="10"/>
          <w:szCs w:val="10"/>
          <w:lang w:val="es-ES"/>
        </w:rPr>
        <w:t>1. Contrato de trabajo es aquel por el cual una persona natural se obliga a prestar un servicio personal a otra persona, natural o jurídica, bajo la continuada dependencia o subordinación de la segunda y mediante remuneración. 2. Quien presta el servicio se denomina trabajador, quien lo recibe y remunera, empleador, y la remuneración, cualquiera que sea su forma, salario</w:t>
      </w:r>
      <w:r w:rsidR="0052405D" w:rsidRPr="005114F2">
        <w:rPr>
          <w:rFonts w:ascii="Verdana" w:hAnsi="Verdana" w:cs="Arial"/>
          <w:sz w:val="10"/>
          <w:szCs w:val="10"/>
          <w:lang w:val="es-ES"/>
        </w:rPr>
        <w:t>”</w:t>
      </w:r>
      <w:r w:rsidRPr="005114F2">
        <w:rPr>
          <w:rFonts w:ascii="Verdana" w:hAnsi="Verdana" w:cs="Arial"/>
          <w:sz w:val="10"/>
          <w:szCs w:val="10"/>
          <w:lang w:val="es-ES"/>
        </w:rPr>
        <w:t>.</w:t>
      </w:r>
    </w:p>
    <w:p w14:paraId="2C083345" w14:textId="77777777" w:rsidR="00AB49CF" w:rsidRPr="005114F2" w:rsidRDefault="00AB49CF" w:rsidP="00EE46AC">
      <w:pPr>
        <w:pStyle w:val="Textonotapie"/>
        <w:ind w:firstLine="709"/>
        <w:jc w:val="both"/>
        <w:rPr>
          <w:rFonts w:ascii="Verdana" w:hAnsi="Verdana" w:cs="Arial"/>
          <w:sz w:val="10"/>
          <w:szCs w:val="10"/>
          <w:lang w:val="es-ES"/>
        </w:rPr>
      </w:pPr>
    </w:p>
  </w:footnote>
  <w:footnote w:id="5">
    <w:p w14:paraId="04CAEF53" w14:textId="23E0422A" w:rsidR="009D2624" w:rsidRPr="005114F2" w:rsidRDefault="009D2624" w:rsidP="00EE46AC">
      <w:pPr>
        <w:pStyle w:val="Textonotapie"/>
        <w:ind w:firstLine="709"/>
        <w:jc w:val="both"/>
        <w:rPr>
          <w:rFonts w:ascii="Verdana" w:hAnsi="Verdana" w:cs="Arial"/>
          <w:sz w:val="10"/>
          <w:szCs w:val="10"/>
          <w:lang w:val="es-ES"/>
        </w:rPr>
      </w:pPr>
      <w:r w:rsidRPr="005114F2">
        <w:rPr>
          <w:rStyle w:val="Refdenotaalpie"/>
          <w:rFonts w:ascii="Verdana" w:hAnsi="Verdana" w:cs="Arial"/>
          <w:sz w:val="10"/>
          <w:szCs w:val="10"/>
        </w:rPr>
        <w:footnoteRef/>
      </w:r>
      <w:r w:rsidRPr="005114F2">
        <w:rPr>
          <w:rFonts w:ascii="Verdana" w:hAnsi="Verdana" w:cs="Arial"/>
          <w:sz w:val="10"/>
          <w:szCs w:val="10"/>
        </w:rPr>
        <w:t xml:space="preserve"> </w:t>
      </w:r>
      <w:r w:rsidRPr="005114F2">
        <w:rPr>
          <w:rFonts w:ascii="Verdana" w:hAnsi="Verdana" w:cs="Arial"/>
          <w:sz w:val="10"/>
          <w:szCs w:val="10"/>
          <w:lang w:val="es-ES"/>
        </w:rPr>
        <w:t xml:space="preserve">En efecto, el artículo 244 de la Ley 1955 de 2015 dispone, en lo pertinente: </w:t>
      </w:r>
      <w:r w:rsidR="0052405D" w:rsidRPr="005114F2">
        <w:rPr>
          <w:rFonts w:ascii="Verdana" w:hAnsi="Verdana" w:cs="Arial"/>
          <w:sz w:val="10"/>
          <w:szCs w:val="10"/>
          <w:lang w:val="es-ES"/>
        </w:rPr>
        <w:t>“</w:t>
      </w:r>
      <w:r w:rsidRPr="005114F2">
        <w:rPr>
          <w:rFonts w:ascii="Verdana" w:hAnsi="Verdana" w:cs="Arial"/>
          <w:sz w:val="10"/>
          <w:szCs w:val="10"/>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784BFD98" w14:textId="77777777" w:rsidR="009D2624" w:rsidRPr="005114F2" w:rsidRDefault="009D2624"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164CA423" w14:textId="77777777" w:rsidR="009D2624" w:rsidRPr="005114F2" w:rsidRDefault="009D2624"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El Gobierno nacional reglamentará el mecanismo para realizar la mensualización de que trata el presente artículo.</w:t>
      </w:r>
    </w:p>
    <w:p w14:paraId="15418632" w14:textId="13F48095" w:rsidR="009D2624" w:rsidRPr="005114F2" w:rsidRDefault="009D2624" w:rsidP="00EE46AC">
      <w:pPr>
        <w:pStyle w:val="Textonotapie"/>
        <w:ind w:firstLine="709"/>
        <w:jc w:val="both"/>
        <w:rPr>
          <w:rFonts w:ascii="Verdana" w:hAnsi="Verdana" w:cs="Arial"/>
          <w:sz w:val="10"/>
          <w:szCs w:val="10"/>
          <w:lang w:val="pt-BR"/>
        </w:rPr>
      </w:pPr>
      <w:r w:rsidRPr="005114F2">
        <w:rPr>
          <w:rFonts w:ascii="Verdana" w:hAnsi="Verdana" w:cs="Arial"/>
          <w:sz w:val="10"/>
          <w:szCs w:val="10"/>
          <w:lang w:val="pt-BR"/>
        </w:rPr>
        <w:t>[…]</w:t>
      </w:r>
      <w:r w:rsidR="0052405D" w:rsidRPr="005114F2">
        <w:rPr>
          <w:rFonts w:ascii="Verdana" w:hAnsi="Verdana" w:cs="Arial"/>
          <w:sz w:val="10"/>
          <w:szCs w:val="10"/>
          <w:lang w:val="pt-BR"/>
        </w:rPr>
        <w:t>”</w:t>
      </w:r>
      <w:r w:rsidRPr="005114F2">
        <w:rPr>
          <w:rFonts w:ascii="Verdana" w:hAnsi="Verdana" w:cs="Arial"/>
          <w:sz w:val="10"/>
          <w:szCs w:val="10"/>
          <w:lang w:val="pt-BR"/>
        </w:rPr>
        <w:t>.</w:t>
      </w:r>
    </w:p>
  </w:footnote>
  <w:footnote w:id="6">
    <w:p w14:paraId="0DC5D77A" w14:textId="77777777" w:rsidR="009D2624" w:rsidRPr="005114F2" w:rsidRDefault="009D2624" w:rsidP="00EE46AC">
      <w:pPr>
        <w:pStyle w:val="Textonotapie"/>
        <w:ind w:firstLine="709"/>
        <w:jc w:val="both"/>
        <w:rPr>
          <w:rFonts w:ascii="Verdana" w:hAnsi="Verdana" w:cs="Arial"/>
          <w:sz w:val="10"/>
          <w:szCs w:val="10"/>
          <w:lang w:val="es-ES"/>
        </w:rPr>
      </w:pPr>
      <w:r w:rsidRPr="005114F2">
        <w:rPr>
          <w:rStyle w:val="Refdenotaalpie"/>
          <w:rFonts w:ascii="Verdana" w:hAnsi="Verdana" w:cs="Arial"/>
          <w:sz w:val="10"/>
          <w:szCs w:val="10"/>
        </w:rPr>
        <w:footnoteRef/>
      </w:r>
      <w:r w:rsidRPr="005114F2">
        <w:rPr>
          <w:rFonts w:ascii="Verdana" w:hAnsi="Verdana" w:cs="Arial"/>
          <w:sz w:val="10"/>
          <w:szCs w:val="10"/>
          <w:lang w:val="pt-BR"/>
        </w:rPr>
        <w:t xml:space="preserve"> Corte Constitucional. Sentencia C-154 de 1997. </w:t>
      </w:r>
      <w:r w:rsidRPr="005114F2">
        <w:rPr>
          <w:rFonts w:ascii="Verdana" w:hAnsi="Verdana" w:cs="Arial"/>
          <w:sz w:val="10"/>
          <w:szCs w:val="10"/>
          <w:lang w:val="es-ES"/>
        </w:rPr>
        <w:t>MP: Hernando Herrera Vergara.</w:t>
      </w:r>
    </w:p>
    <w:p w14:paraId="79E81658" w14:textId="77777777" w:rsidR="009D2624" w:rsidRPr="005114F2" w:rsidRDefault="009D2624" w:rsidP="00EE46AC">
      <w:pPr>
        <w:pStyle w:val="Textonotapie"/>
        <w:ind w:firstLine="709"/>
        <w:jc w:val="both"/>
        <w:rPr>
          <w:rFonts w:ascii="Verdana" w:hAnsi="Verdana" w:cs="Arial"/>
          <w:sz w:val="10"/>
          <w:szCs w:val="10"/>
          <w:lang w:val="es-ES"/>
        </w:rPr>
      </w:pPr>
    </w:p>
  </w:footnote>
  <w:footnote w:id="7">
    <w:p w14:paraId="57AE228E" w14:textId="3D6B8C24" w:rsidR="009D2624" w:rsidRPr="005114F2" w:rsidRDefault="009D2624" w:rsidP="00EE46AC">
      <w:pPr>
        <w:pStyle w:val="Textonotapie"/>
        <w:ind w:firstLine="709"/>
        <w:jc w:val="both"/>
        <w:rPr>
          <w:rFonts w:ascii="Verdana" w:hAnsi="Verdana" w:cs="Arial"/>
          <w:color w:val="000000" w:themeColor="text1"/>
          <w:sz w:val="10"/>
          <w:szCs w:val="10"/>
          <w:lang w:val="es-CO"/>
        </w:rPr>
      </w:pPr>
      <w:r w:rsidRPr="005114F2">
        <w:rPr>
          <w:rStyle w:val="Refdenotaalpie"/>
          <w:rFonts w:ascii="Verdana" w:hAnsi="Verdana"/>
          <w:sz w:val="10"/>
          <w:szCs w:val="10"/>
        </w:rPr>
        <w:footnoteRef/>
      </w:r>
      <w:r w:rsidRPr="005114F2">
        <w:rPr>
          <w:rFonts w:ascii="Verdana" w:hAnsi="Verdana"/>
          <w:sz w:val="10"/>
          <w:szCs w:val="10"/>
        </w:rPr>
        <w:t xml:space="preserve"> </w:t>
      </w:r>
      <w:r w:rsidRPr="005114F2">
        <w:rPr>
          <w:rFonts w:ascii="Verdana" w:hAnsi="Verdana" w:cs="Arial"/>
          <w:color w:val="000000" w:themeColor="text1"/>
          <w:sz w:val="10"/>
          <w:szCs w:val="10"/>
          <w:lang w:val="es-ES"/>
        </w:rPr>
        <w:t xml:space="preserve">Consejo de Estado. Sección Segunda. Sentencia de Unificación Jurisprudencial </w:t>
      </w:r>
      <w:r w:rsidRPr="005114F2">
        <w:rPr>
          <w:rFonts w:ascii="Verdana" w:hAnsi="Verdana" w:cs="Arial"/>
          <w:color w:val="000000" w:themeColor="text1"/>
          <w:sz w:val="10"/>
          <w:szCs w:val="10"/>
          <w:lang w:val="es-CO"/>
        </w:rPr>
        <w:t>SUJ-025-CE-S2-2021.</w:t>
      </w:r>
      <w:r w:rsidRPr="005114F2">
        <w:rPr>
          <w:rFonts w:ascii="Verdana" w:hAnsi="Verdana" w:cs="Arial"/>
          <w:color w:val="000000" w:themeColor="text1"/>
          <w:sz w:val="10"/>
          <w:szCs w:val="10"/>
          <w:lang w:val="es-ES"/>
        </w:rPr>
        <w:t xml:space="preserve"> Radicado (1317-2016). El numeral primero de la parte resolutiva de la sentencia señala lo siguiente:</w:t>
      </w:r>
      <w:r w:rsidRPr="005114F2">
        <w:rPr>
          <w:rFonts w:ascii="Verdana" w:eastAsia="Times New Roman" w:hAnsi="Verdana" w:cs="Times New Roman"/>
          <w:sz w:val="10"/>
          <w:szCs w:val="10"/>
          <w:lang w:val="es-CO" w:eastAsia="es-ES_tradnl"/>
        </w:rPr>
        <w:t xml:space="preserve"> </w:t>
      </w:r>
      <w:r w:rsidR="0052405D" w:rsidRPr="005114F2">
        <w:rPr>
          <w:rFonts w:ascii="Verdana" w:hAnsi="Verdana" w:cs="Arial"/>
          <w:noProof/>
          <w:sz w:val="10"/>
          <w:szCs w:val="10"/>
          <w:lang w:val="es-ES_tradnl"/>
        </w:rPr>
        <w:t>“</w:t>
      </w:r>
      <w:r w:rsidRPr="005114F2">
        <w:rPr>
          <w:rFonts w:ascii="Verdana" w:hAnsi="Verdana" w:cs="Arial"/>
          <w:color w:val="000000" w:themeColor="text1"/>
          <w:sz w:val="10"/>
          <w:szCs w:val="10"/>
          <w:lang w:val="es-CO"/>
        </w:rPr>
        <w:t xml:space="preserve">Unificar la jurisprudencia de la Sección Segunda del Consejo de Estado, en el sentido de precisar las siguientes reglas en las relaciones laborales encubiertas o subyacentes: </w:t>
      </w:r>
    </w:p>
    <w:p w14:paraId="4E7093B3" w14:textId="5267D048" w:rsidR="009D2624" w:rsidRPr="005114F2" w:rsidRDefault="009D2624" w:rsidP="00EE46AC">
      <w:pPr>
        <w:pStyle w:val="Textonotapie"/>
        <w:ind w:firstLine="709"/>
        <w:jc w:val="both"/>
        <w:rPr>
          <w:rFonts w:ascii="Verdana" w:hAnsi="Verdana" w:cs="Arial"/>
          <w:color w:val="000000" w:themeColor="text1"/>
          <w:sz w:val="10"/>
          <w:szCs w:val="10"/>
          <w:lang w:val="es-CO"/>
        </w:rPr>
      </w:pPr>
      <w:r w:rsidRPr="005114F2">
        <w:rPr>
          <w:rFonts w:ascii="Verdana" w:hAnsi="Verdana" w:cs="Arial"/>
          <w:color w:val="000000" w:themeColor="text1"/>
          <w:sz w:val="10"/>
          <w:szCs w:val="10"/>
          <w:lang w:val="es-ES"/>
        </w:rPr>
        <w:t xml:space="preserve"> </w:t>
      </w:r>
      <w:r w:rsidR="0052405D" w:rsidRPr="005114F2">
        <w:rPr>
          <w:rFonts w:ascii="Verdana" w:hAnsi="Verdana" w:cs="Arial"/>
          <w:sz w:val="10"/>
          <w:szCs w:val="10"/>
          <w:lang w:val="pt-BR"/>
        </w:rPr>
        <w:t>“</w:t>
      </w:r>
      <w:r w:rsidRPr="005114F2">
        <w:rPr>
          <w:rFonts w:ascii="Verdana" w:hAnsi="Verdana" w:cs="Arial"/>
          <w:color w:val="000000" w:themeColor="text1"/>
          <w:sz w:val="10"/>
          <w:szCs w:val="10"/>
          <w:lang w:val="es-CO"/>
        </w:rPr>
        <w:t xml:space="preserve">(i) La primera regla define que el concepto de </w:t>
      </w:r>
      <w:r w:rsidR="0052405D" w:rsidRPr="005114F2">
        <w:rPr>
          <w:rFonts w:ascii="Verdana" w:hAnsi="Verdana" w:cs="Arial"/>
          <w:color w:val="000000" w:themeColor="text1"/>
          <w:sz w:val="10"/>
          <w:szCs w:val="10"/>
          <w:lang w:val="es-CO"/>
        </w:rPr>
        <w:t>“</w:t>
      </w:r>
      <w:r w:rsidRPr="005114F2">
        <w:rPr>
          <w:rFonts w:ascii="Verdana" w:hAnsi="Verdana" w:cs="Arial"/>
          <w:color w:val="000000" w:themeColor="text1"/>
          <w:sz w:val="10"/>
          <w:szCs w:val="10"/>
          <w:lang w:val="es-CO"/>
        </w:rPr>
        <w:t>término estrictamente indispensable</w:t>
      </w:r>
      <w:r w:rsidR="0052405D" w:rsidRPr="005114F2">
        <w:rPr>
          <w:rFonts w:ascii="Verdana" w:hAnsi="Verdana" w:cs="Arial"/>
          <w:color w:val="000000" w:themeColor="text1"/>
          <w:sz w:val="10"/>
          <w:szCs w:val="10"/>
          <w:lang w:val="es-CO"/>
        </w:rPr>
        <w:t>”</w:t>
      </w:r>
      <w:r w:rsidRPr="005114F2">
        <w:rPr>
          <w:rFonts w:ascii="Verdana" w:hAnsi="Verdana" w:cs="Arial"/>
          <w:color w:val="000000" w:themeColor="text1"/>
          <w:sz w:val="10"/>
          <w:szCs w:val="10"/>
          <w:lang w:val="es-CO"/>
        </w:rPr>
        <w:t xml:space="preserve">, al que alude el numeral 3.º del artículo 32 de la Ley 80 de 1993, es el señalado en los estudios previos y en el objeto del contrato, el cual, de acuerdo con el principio de planeación, tiene que estar justificado en la necesidad de la prestación del servicio a favor de la Administración, de forma esencialmente temporal y, de ninguna manera, con ánimo de permanencia. </w:t>
      </w:r>
    </w:p>
    <w:p w14:paraId="4FDF2C5E" w14:textId="7DABA831" w:rsidR="009D2624" w:rsidRPr="005114F2" w:rsidRDefault="0052405D" w:rsidP="00EE46AC">
      <w:pPr>
        <w:pStyle w:val="Textonotapie"/>
        <w:ind w:firstLine="709"/>
        <w:jc w:val="both"/>
        <w:rPr>
          <w:rFonts w:ascii="Verdana" w:hAnsi="Verdana" w:cs="Arial"/>
          <w:color w:val="000000" w:themeColor="text1"/>
          <w:sz w:val="10"/>
          <w:szCs w:val="10"/>
          <w:lang w:val="es-CO"/>
        </w:rPr>
      </w:pPr>
      <w:r w:rsidRPr="005114F2">
        <w:rPr>
          <w:rFonts w:ascii="Verdana" w:hAnsi="Verdana" w:cs="Arial"/>
          <w:sz w:val="10"/>
          <w:szCs w:val="10"/>
          <w:lang w:val="pt-BR"/>
        </w:rPr>
        <w:t>“</w:t>
      </w:r>
      <w:r w:rsidR="009D2624" w:rsidRPr="005114F2">
        <w:rPr>
          <w:rFonts w:ascii="Verdana" w:hAnsi="Verdana" w:cs="Arial"/>
          <w:color w:val="000000" w:themeColor="text1"/>
          <w:sz w:val="10"/>
          <w:szCs w:val="10"/>
          <w:lang w:val="es-CO"/>
        </w:rPr>
        <w:t xml:space="preserve">(ii) La segunda regla establece un periodo de treinta (30) días hábiles, entre la finalización de un contrato y la ejecución del siguiente, como término de la no solución de continuidad, el cual, en los casos que se exceda, podrá flexibilizarse en atención a las especiales circunstancias que el juez encuentre probadas dentro del expediente. </w:t>
      </w:r>
    </w:p>
    <w:p w14:paraId="3FB5F308" w14:textId="79AE7606" w:rsidR="009D2624" w:rsidRPr="005114F2" w:rsidRDefault="0052405D" w:rsidP="00EE46AC">
      <w:pPr>
        <w:pStyle w:val="Textonotapie"/>
        <w:ind w:firstLine="709"/>
        <w:jc w:val="both"/>
        <w:rPr>
          <w:rFonts w:ascii="Verdana" w:hAnsi="Verdana"/>
          <w:sz w:val="10"/>
          <w:szCs w:val="10"/>
          <w:lang w:val="es-CO"/>
        </w:rPr>
      </w:pPr>
      <w:r w:rsidRPr="005114F2">
        <w:rPr>
          <w:rFonts w:ascii="Verdana" w:hAnsi="Verdana" w:cs="Arial"/>
          <w:sz w:val="10"/>
          <w:szCs w:val="10"/>
          <w:lang w:val="pt-BR"/>
        </w:rPr>
        <w:t>“</w:t>
      </w:r>
      <w:r w:rsidR="009D2624" w:rsidRPr="005114F2">
        <w:rPr>
          <w:rFonts w:ascii="Verdana" w:hAnsi="Verdana" w:cs="Arial"/>
          <w:color w:val="000000" w:themeColor="text1"/>
          <w:sz w:val="10"/>
          <w:szCs w:val="10"/>
          <w:lang w:val="es-CO"/>
        </w:rPr>
        <w:t>(iii) La tercera regla determina que frente a la no afiliación al sistema de la Seguridad Social en salud, por parte de la Administración, es improcedente la devolución de los valores que el contratista hubiese asumido de más, en tanto se recaudaron como recursos de naturaleza parafiscal</w:t>
      </w:r>
      <w:r w:rsidRPr="005114F2">
        <w:rPr>
          <w:rFonts w:ascii="Verdana" w:hAnsi="Verdana" w:cs="Arial"/>
          <w:sz w:val="10"/>
          <w:szCs w:val="10"/>
          <w:lang w:val="pt-BR"/>
        </w:rPr>
        <w:t>”</w:t>
      </w:r>
      <w:r w:rsidR="009D2624" w:rsidRPr="005114F2">
        <w:rPr>
          <w:rFonts w:ascii="Verdana" w:hAnsi="Verdana" w:cs="Arial"/>
          <w:sz w:val="10"/>
          <w:szCs w:val="10"/>
          <w:lang w:val="pt-BR"/>
        </w:rPr>
        <w:t>.</w:t>
      </w:r>
    </w:p>
  </w:footnote>
  <w:footnote w:id="8">
    <w:p w14:paraId="42394E6D" w14:textId="5F2B6385" w:rsidR="009D2624" w:rsidRPr="005114F2" w:rsidRDefault="009D2624" w:rsidP="00EE46AC">
      <w:pPr>
        <w:pStyle w:val="Textonotapie"/>
        <w:ind w:firstLine="709"/>
        <w:jc w:val="both"/>
        <w:rPr>
          <w:rFonts w:ascii="Verdana" w:hAnsi="Verdana" w:cs="Arial"/>
          <w:sz w:val="10"/>
          <w:szCs w:val="10"/>
        </w:rPr>
      </w:pPr>
      <w:r w:rsidRPr="005114F2">
        <w:rPr>
          <w:rStyle w:val="Refdenotaalpie"/>
          <w:rFonts w:ascii="Verdana" w:hAnsi="Verdana" w:cs="Arial"/>
          <w:sz w:val="10"/>
          <w:szCs w:val="10"/>
        </w:rPr>
        <w:footnoteRef/>
      </w:r>
      <w:r w:rsidRPr="005114F2">
        <w:rPr>
          <w:rFonts w:ascii="Verdana" w:hAnsi="Verdana" w:cs="Arial"/>
          <w:sz w:val="10"/>
          <w:szCs w:val="10"/>
        </w:rPr>
        <w:t xml:space="preserve"> Particularmente, sobre la regla de unificación número 2, el Consejo de Estado explica que </w:t>
      </w:r>
      <w:r w:rsidR="0052405D" w:rsidRPr="005114F2">
        <w:rPr>
          <w:rFonts w:ascii="Verdana" w:hAnsi="Verdana" w:cs="Arial"/>
          <w:sz w:val="10"/>
          <w:szCs w:val="10"/>
        </w:rPr>
        <w:t>“</w:t>
      </w:r>
      <w:r w:rsidRPr="005114F2">
        <w:rPr>
          <w:rFonts w:ascii="Verdana" w:hAnsi="Verdana" w:cs="Arial"/>
          <w:sz w:val="10"/>
          <w:szCs w:val="10"/>
        </w:rPr>
        <w:t xml:space="preserve">[…] si no están dados los presupuestos establecidos en el artículo 23 del Código Sustantivo del Trabajo, no puede hablarse de una relación laboral encubierta. Por lo tanto, el término de treinta (30) días hábiles, a que alude la segunda regla de unificación, tal como se dijo en la sentencia del 9 de septiembre de 2021, debe entenderse como un indicador temporal para inferir que no hay solución de continuidad entre un contrato y otro sucedáneo, y </w:t>
      </w:r>
      <w:r w:rsidRPr="005114F2">
        <w:rPr>
          <w:rFonts w:ascii="Verdana" w:hAnsi="Verdana" w:cs="Arial"/>
          <w:b/>
          <w:bCs/>
          <w:sz w:val="10"/>
          <w:szCs w:val="10"/>
        </w:rPr>
        <w:t>solo para efectos de la prescripción de derechos laborales</w:t>
      </w:r>
      <w:r w:rsidR="0052405D" w:rsidRPr="005114F2">
        <w:rPr>
          <w:rFonts w:ascii="Verdana" w:hAnsi="Verdana" w:cs="Arial"/>
          <w:sz w:val="10"/>
          <w:szCs w:val="10"/>
        </w:rPr>
        <w:t>”</w:t>
      </w:r>
      <w:r w:rsidRPr="005114F2">
        <w:rPr>
          <w:rFonts w:ascii="Verdana" w:hAnsi="Verdana" w:cs="Arial"/>
          <w:sz w:val="10"/>
          <w:szCs w:val="10"/>
        </w:rPr>
        <w:t xml:space="preserve"> (Énfasis dentro del texto).</w:t>
      </w:r>
    </w:p>
    <w:p w14:paraId="2B82813E" w14:textId="77777777" w:rsidR="009D2624" w:rsidRPr="005114F2" w:rsidRDefault="009D2624" w:rsidP="00EE46AC">
      <w:pPr>
        <w:pStyle w:val="Textonotapie"/>
        <w:ind w:firstLine="709"/>
        <w:jc w:val="both"/>
        <w:rPr>
          <w:rFonts w:ascii="Verdana" w:hAnsi="Verdana"/>
          <w:sz w:val="10"/>
          <w:szCs w:val="10"/>
        </w:rPr>
      </w:pPr>
    </w:p>
  </w:footnote>
  <w:footnote w:id="9">
    <w:p w14:paraId="48A4F29A" w14:textId="77777777" w:rsidR="009D2624" w:rsidRPr="005114F2" w:rsidRDefault="009D2624" w:rsidP="00EE46AC">
      <w:pPr>
        <w:pStyle w:val="Textonotapie"/>
        <w:ind w:firstLine="709"/>
        <w:jc w:val="both"/>
        <w:rPr>
          <w:rFonts w:ascii="Verdana" w:hAnsi="Verdana" w:cs="Arial"/>
          <w:sz w:val="10"/>
          <w:szCs w:val="10"/>
          <w:lang w:val="es-ES"/>
        </w:rPr>
      </w:pPr>
      <w:r w:rsidRPr="005114F2">
        <w:rPr>
          <w:rStyle w:val="Refdenotaalpie"/>
          <w:rFonts w:ascii="Verdana" w:hAnsi="Verdana" w:cs="Arial"/>
          <w:sz w:val="10"/>
          <w:szCs w:val="10"/>
        </w:rPr>
        <w:footnoteRef/>
      </w:r>
      <w:r w:rsidRPr="005114F2">
        <w:rPr>
          <w:rFonts w:ascii="Verdana" w:hAnsi="Verdana" w:cs="Arial"/>
          <w:sz w:val="10"/>
          <w:szCs w:val="10"/>
        </w:rPr>
        <w:t xml:space="preserve"> </w:t>
      </w:r>
      <w:r w:rsidRPr="005114F2">
        <w:rPr>
          <w:rFonts w:ascii="Verdana" w:hAnsi="Verdana" w:cs="Arial"/>
          <w:sz w:val="10"/>
          <w:szCs w:val="10"/>
          <w:lang w:val="es-ES"/>
        </w:rPr>
        <w:t>Ibíd.</w:t>
      </w:r>
    </w:p>
  </w:footnote>
  <w:footnote w:id="10">
    <w:p w14:paraId="7AFBD7EE" w14:textId="77777777" w:rsidR="009D2624" w:rsidRPr="005114F2" w:rsidRDefault="009D2624" w:rsidP="00EE46AC">
      <w:pPr>
        <w:pStyle w:val="Textonotapie"/>
        <w:ind w:firstLine="709"/>
        <w:jc w:val="both"/>
        <w:rPr>
          <w:rFonts w:ascii="Verdana" w:hAnsi="Verdana" w:cs="Arial"/>
          <w:sz w:val="10"/>
          <w:szCs w:val="10"/>
        </w:rPr>
      </w:pPr>
      <w:r w:rsidRPr="005114F2">
        <w:rPr>
          <w:rStyle w:val="Refdenotaalpie"/>
          <w:rFonts w:ascii="Verdana" w:hAnsi="Verdana" w:cs="Arial"/>
          <w:sz w:val="10"/>
          <w:szCs w:val="10"/>
        </w:rPr>
        <w:footnoteRef/>
      </w:r>
      <w:r w:rsidRPr="005114F2">
        <w:rPr>
          <w:rFonts w:ascii="Verdana" w:hAnsi="Verdana" w:cs="Arial"/>
          <w:sz w:val="10"/>
          <w:szCs w:val="10"/>
        </w:rPr>
        <w:t xml:space="preserve"> </w:t>
      </w:r>
      <w:r w:rsidRPr="005114F2">
        <w:rPr>
          <w:rFonts w:ascii="Verdana" w:hAnsi="Verdana" w:cs="Arial"/>
          <w:color w:val="000000" w:themeColor="text1"/>
          <w:sz w:val="10"/>
          <w:szCs w:val="10"/>
          <w:lang w:val="es-ES"/>
        </w:rPr>
        <w:t>CONSEJO DE ESTADO. Sección Tercera. Subsección C. Sentencia de Unificación del 2 de diciembre de 2013. Exp. 41.719. C.P. Jaime Orlando Santofimio Gamboa.</w:t>
      </w:r>
      <w:r w:rsidRPr="005114F2">
        <w:rPr>
          <w:rFonts w:ascii="Verdana" w:hAnsi="Verdana" w:cs="Arial"/>
          <w:sz w:val="10"/>
          <w:szCs w:val="10"/>
        </w:rPr>
        <w:t xml:space="preserve"> </w:t>
      </w:r>
    </w:p>
    <w:p w14:paraId="2A97CB6F" w14:textId="7C4874CB" w:rsidR="009D2624" w:rsidRPr="005114F2" w:rsidRDefault="009D2624"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 xml:space="preserve">Además, el numeral 2º del artículo 32 de la Ley 80 de 1993 define el contrato de consultoría así: </w:t>
      </w:r>
      <w:r w:rsidR="0052405D" w:rsidRPr="005114F2">
        <w:rPr>
          <w:rFonts w:ascii="Verdana" w:hAnsi="Verdana" w:cs="Arial"/>
          <w:sz w:val="10"/>
          <w:szCs w:val="10"/>
          <w:lang w:val="es-ES"/>
        </w:rPr>
        <w:t>“</w:t>
      </w:r>
      <w:r w:rsidRPr="005114F2">
        <w:rPr>
          <w:rFonts w:ascii="Verdana" w:hAnsi="Verdana" w:cs="Arial"/>
          <w:sz w:val="10"/>
          <w:szCs w:val="10"/>
          <w:lang w:val="es-ES"/>
        </w:rPr>
        <w:t>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1C643279" w14:textId="722C4F31" w:rsidR="009D2624" w:rsidRPr="005114F2" w:rsidRDefault="0052405D"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w:t>
      </w:r>
      <w:r w:rsidR="009D2624" w:rsidRPr="005114F2">
        <w:rPr>
          <w:rFonts w:ascii="Verdana" w:hAnsi="Verdana" w:cs="Arial"/>
          <w:sz w:val="10"/>
          <w:szCs w:val="10"/>
          <w:lang w:val="es-ES"/>
        </w:rPr>
        <w:t>Son también contratos de consultoría los que tienen por objeto la interventoría, asesoría, gerencia de obra o de proyectos, dirección, programación y la ejecución de diseños, planos, anteproyectos y proyectos.</w:t>
      </w:r>
    </w:p>
    <w:p w14:paraId="4AF11AEE" w14:textId="7FF16722" w:rsidR="009D2624" w:rsidRPr="005114F2" w:rsidRDefault="0052405D"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w:t>
      </w:r>
      <w:r w:rsidR="009D2624" w:rsidRPr="005114F2">
        <w:rPr>
          <w:rFonts w:ascii="Verdana" w:hAnsi="Verdana" w:cs="Arial"/>
          <w:sz w:val="10"/>
          <w:szCs w:val="10"/>
          <w:lang w:val="es-ES"/>
        </w:rPr>
        <w:t>Ninguna orden del interventor de una obra podrá darse verbalmente. Es obligatorio para el interventor entregar por escrito sus órdenes o sugerencias y ellas deben enmarcarse dentro de los términos del respectivo contrato</w:t>
      </w:r>
      <w:r w:rsidRPr="005114F2">
        <w:rPr>
          <w:rFonts w:ascii="Verdana" w:hAnsi="Verdana" w:cs="Arial"/>
          <w:sz w:val="10"/>
          <w:szCs w:val="10"/>
          <w:lang w:val="es-ES"/>
        </w:rPr>
        <w:t>”</w:t>
      </w:r>
      <w:r w:rsidR="009D2624" w:rsidRPr="005114F2">
        <w:rPr>
          <w:rFonts w:ascii="Verdana" w:hAnsi="Verdana" w:cs="Arial"/>
          <w:sz w:val="10"/>
          <w:szCs w:val="10"/>
          <w:lang w:val="es-ES"/>
        </w:rPr>
        <w:t>.</w:t>
      </w:r>
    </w:p>
  </w:footnote>
  <w:footnote w:id="11">
    <w:p w14:paraId="1EA30789" w14:textId="09B97687" w:rsidR="009D2624" w:rsidRPr="005114F2" w:rsidRDefault="009D2624" w:rsidP="00EE46AC">
      <w:pPr>
        <w:pStyle w:val="Textonotapie"/>
        <w:ind w:firstLine="709"/>
        <w:jc w:val="both"/>
        <w:rPr>
          <w:rFonts w:ascii="Verdana" w:hAnsi="Verdana" w:cs="Arial"/>
          <w:sz w:val="10"/>
          <w:szCs w:val="10"/>
          <w:lang w:val="es-ES"/>
        </w:rPr>
      </w:pPr>
      <w:r w:rsidRPr="005114F2">
        <w:rPr>
          <w:rStyle w:val="Refdenotaalpie"/>
          <w:rFonts w:ascii="Verdana" w:hAnsi="Verdana" w:cs="Arial"/>
          <w:sz w:val="10"/>
          <w:szCs w:val="10"/>
        </w:rPr>
        <w:footnoteRef/>
      </w:r>
      <w:r w:rsidRPr="005114F2">
        <w:rPr>
          <w:rFonts w:ascii="Verdana" w:hAnsi="Verdana" w:cs="Arial"/>
          <w:sz w:val="10"/>
          <w:szCs w:val="10"/>
        </w:rPr>
        <w:t xml:space="preserve"> </w:t>
      </w:r>
      <w:r w:rsidRPr="005114F2">
        <w:rPr>
          <w:rFonts w:ascii="Verdana" w:hAnsi="Verdana" w:cs="Arial"/>
          <w:sz w:val="10"/>
          <w:szCs w:val="10"/>
          <w:lang w:val="es-ES"/>
        </w:rPr>
        <w:t xml:space="preserve">Así lo dispone el artículo 2.2.1.2.1.4.1. del Decreto 1082 de 2015: </w:t>
      </w:r>
      <w:r w:rsidR="0052405D" w:rsidRPr="005114F2">
        <w:rPr>
          <w:rFonts w:ascii="Verdana" w:hAnsi="Verdana" w:cs="Arial"/>
          <w:sz w:val="10"/>
          <w:szCs w:val="10"/>
          <w:lang w:val="es-ES"/>
        </w:rPr>
        <w:t>“</w:t>
      </w:r>
      <w:r w:rsidRPr="005114F2">
        <w:rPr>
          <w:rFonts w:ascii="Verdana" w:hAnsi="Verdana" w:cs="Arial"/>
          <w:sz w:val="10"/>
          <w:szCs w:val="10"/>
          <w:lang w:val="es-ES"/>
        </w:rPr>
        <w:t>La Entidad Estatal debe señalar en un acto administrativo la justificación para contratar bajo la modalidad de contratación directa, el cual debe contener:</w:t>
      </w:r>
    </w:p>
    <w:p w14:paraId="6F64DBE6" w14:textId="251C244E" w:rsidR="009D2624" w:rsidRPr="005114F2" w:rsidRDefault="0052405D"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w:t>
      </w:r>
      <w:r w:rsidR="009D2624" w:rsidRPr="005114F2">
        <w:rPr>
          <w:rFonts w:ascii="Verdana" w:hAnsi="Verdana" w:cs="Arial"/>
          <w:sz w:val="10"/>
          <w:szCs w:val="10"/>
          <w:lang w:val="es-ES"/>
        </w:rPr>
        <w:t>1. La causal que invoca para contratar directamente.</w:t>
      </w:r>
    </w:p>
    <w:p w14:paraId="0B54EB30" w14:textId="5B150DD0" w:rsidR="009D2624" w:rsidRPr="005114F2" w:rsidRDefault="0052405D"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w:t>
      </w:r>
      <w:r w:rsidR="009D2624" w:rsidRPr="005114F2">
        <w:rPr>
          <w:rFonts w:ascii="Verdana" w:hAnsi="Verdana" w:cs="Arial"/>
          <w:sz w:val="10"/>
          <w:szCs w:val="10"/>
          <w:lang w:val="es-ES"/>
        </w:rPr>
        <w:t>2. El objeto del contrato.</w:t>
      </w:r>
    </w:p>
    <w:p w14:paraId="53CF41D0" w14:textId="484DD52B" w:rsidR="009D2624" w:rsidRPr="005114F2" w:rsidRDefault="0052405D"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w:t>
      </w:r>
      <w:r w:rsidR="009D2624" w:rsidRPr="005114F2">
        <w:rPr>
          <w:rFonts w:ascii="Verdana" w:hAnsi="Verdana" w:cs="Arial"/>
          <w:sz w:val="10"/>
          <w:szCs w:val="10"/>
          <w:lang w:val="es-ES"/>
        </w:rPr>
        <w:t>3. El presupuesto para la contratación y las condiciones que exigirá al contratista.</w:t>
      </w:r>
    </w:p>
    <w:p w14:paraId="511CBD4D" w14:textId="77A259E0" w:rsidR="009D2624" w:rsidRPr="005114F2" w:rsidRDefault="0052405D"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w:t>
      </w:r>
      <w:r w:rsidR="009D2624" w:rsidRPr="005114F2">
        <w:rPr>
          <w:rFonts w:ascii="Verdana" w:hAnsi="Verdana" w:cs="Arial"/>
          <w:sz w:val="10"/>
          <w:szCs w:val="10"/>
          <w:lang w:val="es-ES"/>
        </w:rPr>
        <w:t>4. El lugar en el cual los interesados pueden consultar los estudios y documentos previos.</w:t>
      </w:r>
    </w:p>
    <w:p w14:paraId="56970CA9" w14:textId="0F6E5B79" w:rsidR="009D2624" w:rsidRPr="005114F2" w:rsidRDefault="0052405D"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w:t>
      </w:r>
      <w:r w:rsidR="009D2624" w:rsidRPr="005114F2">
        <w:rPr>
          <w:rFonts w:ascii="Verdana" w:hAnsi="Verdana" w:cs="Arial"/>
          <w:sz w:val="10"/>
          <w:szCs w:val="10"/>
          <w:lang w:val="es-ES"/>
        </w:rPr>
        <w:t>Este acto administrativo no es necesario cuando el contrato a celebrar es de prestación de servicios profesionales y de apoyo a la gestión, y para los contratos de que tratan los literales (a) y (b) del artículo 2.2.1.2.1.4.3 del presente decreto</w:t>
      </w:r>
      <w:r w:rsidRPr="005114F2">
        <w:rPr>
          <w:rFonts w:ascii="Verdana" w:hAnsi="Verdana" w:cs="Arial"/>
          <w:sz w:val="10"/>
          <w:szCs w:val="10"/>
          <w:lang w:val="es-ES"/>
        </w:rPr>
        <w:t>”</w:t>
      </w:r>
      <w:r w:rsidR="009D2624" w:rsidRPr="005114F2">
        <w:rPr>
          <w:rFonts w:ascii="Verdana" w:hAnsi="Verdana" w:cs="Arial"/>
          <w:sz w:val="10"/>
          <w:szCs w:val="10"/>
          <w:lang w:val="es-ES"/>
        </w:rPr>
        <w:t>.</w:t>
      </w:r>
    </w:p>
  </w:footnote>
  <w:footnote w:id="12">
    <w:p w14:paraId="7BCD997D" w14:textId="77777777" w:rsidR="009D2624" w:rsidRPr="005114F2" w:rsidRDefault="009D2624" w:rsidP="00EE46AC">
      <w:pPr>
        <w:pStyle w:val="Textonotapie"/>
        <w:ind w:firstLine="709"/>
        <w:jc w:val="both"/>
        <w:rPr>
          <w:rFonts w:ascii="Verdana" w:hAnsi="Verdana" w:cs="Arial"/>
          <w:sz w:val="10"/>
          <w:szCs w:val="10"/>
        </w:rPr>
      </w:pPr>
    </w:p>
    <w:p w14:paraId="19865868" w14:textId="74743878" w:rsidR="009D2624" w:rsidRPr="005114F2" w:rsidRDefault="009D2624" w:rsidP="00EE46AC">
      <w:pPr>
        <w:pStyle w:val="Textonotapie"/>
        <w:ind w:firstLine="709"/>
        <w:jc w:val="both"/>
        <w:rPr>
          <w:rFonts w:ascii="Verdana" w:hAnsi="Verdana" w:cs="Arial"/>
          <w:sz w:val="10"/>
          <w:szCs w:val="10"/>
          <w:lang w:val="es-ES"/>
        </w:rPr>
      </w:pPr>
      <w:r w:rsidRPr="005114F2">
        <w:rPr>
          <w:rStyle w:val="Refdenotaalpie"/>
          <w:rFonts w:ascii="Verdana" w:hAnsi="Verdana" w:cs="Arial"/>
          <w:sz w:val="10"/>
          <w:szCs w:val="10"/>
        </w:rPr>
        <w:footnoteRef/>
      </w:r>
      <w:r w:rsidRPr="005114F2">
        <w:rPr>
          <w:rFonts w:ascii="Verdana" w:hAnsi="Verdana" w:cs="Arial"/>
          <w:sz w:val="10"/>
          <w:szCs w:val="10"/>
        </w:rPr>
        <w:t xml:space="preserve"> </w:t>
      </w:r>
      <w:r w:rsidRPr="005114F2">
        <w:rPr>
          <w:rFonts w:ascii="Verdana" w:hAnsi="Verdana" w:cs="Arial"/>
          <w:sz w:val="10"/>
          <w:szCs w:val="10"/>
          <w:lang w:val="es-ES"/>
        </w:rPr>
        <w:t xml:space="preserve">La norma expresa: </w:t>
      </w:r>
      <w:r w:rsidR="0052405D" w:rsidRPr="005114F2">
        <w:rPr>
          <w:rFonts w:ascii="Verdana" w:hAnsi="Verdana" w:cs="Arial"/>
          <w:sz w:val="10"/>
          <w:szCs w:val="10"/>
          <w:lang w:val="es-ES"/>
        </w:rPr>
        <w:t>“</w:t>
      </w:r>
      <w:r w:rsidRPr="005114F2">
        <w:rPr>
          <w:rFonts w:ascii="Verdana" w:hAnsi="Verdana" w:cs="Arial"/>
          <w:sz w:val="10"/>
          <w:szCs w:val="10"/>
          <w:lang w:val="es-ES"/>
        </w:rPr>
        <w:t xml:space="preserve">Art. 14. </w:t>
      </w:r>
      <w:r w:rsidRPr="005114F2">
        <w:rPr>
          <w:rFonts w:ascii="Verdana" w:hAnsi="Verdana" w:cs="Arial"/>
          <w:sz w:val="10"/>
          <w:szCs w:val="10"/>
        </w:rPr>
        <w:t>P</w:t>
      </w:r>
      <w:r w:rsidRPr="005114F2">
        <w:rPr>
          <w:rFonts w:ascii="Verdana" w:hAnsi="Verdana" w:cs="Arial"/>
          <w:sz w:val="10"/>
          <w:szCs w:val="10"/>
          <w:lang w:val="es-ES"/>
        </w:rPr>
        <w:t>ara el cumplimiento de los fines de la contratación, las entidades estatales al celebrar un contrato:</w:t>
      </w:r>
    </w:p>
    <w:p w14:paraId="51FA5B55" w14:textId="77777777" w:rsidR="009D2624" w:rsidRPr="005114F2" w:rsidRDefault="009D2624"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w:t>
      </w:r>
    </w:p>
    <w:p w14:paraId="0C8EA5A5" w14:textId="77777777" w:rsidR="009D2624" w:rsidRPr="005114F2" w:rsidRDefault="009D2624"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los contratos relacionados con el programa de alimentación escolar o la explotación y concesión de bienes del Estado, así como en los contratos de obra. En los contratos de explotación y concesión de bienes del Estado se incluirá la cláusula de reversión.</w:t>
      </w:r>
    </w:p>
    <w:p w14:paraId="577575A5" w14:textId="77777777" w:rsidR="009D2624" w:rsidRPr="005114F2" w:rsidRDefault="009D2624"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Las entidades estatales podrán pactar estas cláusulas en los contratos de suministro y de prestación de servicios.</w:t>
      </w:r>
    </w:p>
    <w:p w14:paraId="502F1874" w14:textId="055021AA" w:rsidR="009D2624" w:rsidRPr="005114F2" w:rsidRDefault="009D2624" w:rsidP="00EE46AC">
      <w:pPr>
        <w:pStyle w:val="Textonotapie"/>
        <w:ind w:firstLine="709"/>
        <w:jc w:val="both"/>
        <w:rPr>
          <w:rFonts w:ascii="Verdana" w:hAnsi="Verdana" w:cs="Arial"/>
          <w:sz w:val="10"/>
          <w:szCs w:val="10"/>
          <w:lang w:val="es-ES"/>
        </w:rPr>
      </w:pPr>
      <w:r w:rsidRPr="005114F2">
        <w:rPr>
          <w:rFonts w:ascii="Verdana" w:hAnsi="Verdana" w:cs="Arial"/>
          <w:sz w:val="10"/>
          <w:szCs w:val="10"/>
          <w:lang w:val="es-ES"/>
        </w:rPr>
        <w:t>[…]</w:t>
      </w:r>
      <w:r w:rsidR="0052405D" w:rsidRPr="005114F2">
        <w:rPr>
          <w:rFonts w:ascii="Verdana" w:hAnsi="Verdana" w:cs="Arial"/>
          <w:sz w:val="10"/>
          <w:szCs w:val="10"/>
          <w:lang w:val="es-ES"/>
        </w:rPr>
        <w:t>”</w:t>
      </w:r>
      <w:r w:rsidRPr="005114F2">
        <w:rPr>
          <w:rFonts w:ascii="Verdana" w:hAnsi="Verdana" w:cs="Arial"/>
          <w:sz w:val="10"/>
          <w:szCs w:val="10"/>
          <w:lang w:val="es-ES"/>
        </w:rPr>
        <w:t>.</w:t>
      </w:r>
    </w:p>
  </w:footnote>
  <w:footnote w:id="13">
    <w:p w14:paraId="39C9E7FE" w14:textId="1453C3B5" w:rsidR="009D2624" w:rsidRPr="005114F2" w:rsidRDefault="009D2624" w:rsidP="00EE46AC">
      <w:pPr>
        <w:pStyle w:val="Textonotapie"/>
        <w:ind w:firstLine="709"/>
        <w:jc w:val="both"/>
        <w:rPr>
          <w:rFonts w:ascii="Verdana" w:hAnsi="Verdana" w:cs="Arial"/>
          <w:sz w:val="10"/>
          <w:szCs w:val="10"/>
          <w:lang w:val="es-ES"/>
        </w:rPr>
      </w:pPr>
      <w:r w:rsidRPr="005114F2">
        <w:rPr>
          <w:rStyle w:val="Refdenotaalpie"/>
          <w:rFonts w:ascii="Verdana" w:hAnsi="Verdana" w:cs="Arial"/>
          <w:sz w:val="10"/>
          <w:szCs w:val="10"/>
        </w:rPr>
        <w:footnoteRef/>
      </w:r>
      <w:r w:rsidRPr="005114F2">
        <w:rPr>
          <w:rFonts w:ascii="Verdana" w:hAnsi="Verdana" w:cs="Arial"/>
          <w:sz w:val="10"/>
          <w:szCs w:val="10"/>
        </w:rPr>
        <w:t xml:space="preserve"> </w:t>
      </w:r>
      <w:r w:rsidRPr="005114F2">
        <w:rPr>
          <w:rFonts w:ascii="Verdana" w:hAnsi="Verdana" w:cs="Arial"/>
          <w:sz w:val="10"/>
          <w:szCs w:val="10"/>
          <w:lang w:val="es-ES"/>
        </w:rPr>
        <w:t xml:space="preserve">La norma dispone: </w:t>
      </w:r>
      <w:r w:rsidR="0052405D" w:rsidRPr="005114F2">
        <w:rPr>
          <w:rFonts w:ascii="Verdana" w:hAnsi="Verdana" w:cs="Arial"/>
          <w:sz w:val="10"/>
          <w:szCs w:val="10"/>
          <w:lang w:val="es-ES"/>
        </w:rPr>
        <w:t>“</w:t>
      </w:r>
      <w:r w:rsidRPr="005114F2">
        <w:rPr>
          <w:rFonts w:ascii="Verdana" w:hAnsi="Verdana" w:cs="Arial"/>
          <w:sz w:val="10"/>
          <w:szCs w:val="10"/>
          <w:lang w:val="es-ES"/>
        </w:rPr>
        <w:t>La liquidación a que se refiere el presente artículo no será obligatoria en los contratos de prestación de servicios profesionales y de apoyo a la gestión</w:t>
      </w:r>
      <w:r w:rsidR="0052405D" w:rsidRPr="005114F2">
        <w:rPr>
          <w:rFonts w:ascii="Verdana" w:hAnsi="Verdana" w:cs="Arial"/>
          <w:sz w:val="10"/>
          <w:szCs w:val="10"/>
          <w:lang w:val="es-ES"/>
        </w:rPr>
        <w:t>”</w:t>
      </w:r>
      <w:r w:rsidRPr="005114F2">
        <w:rPr>
          <w:rFonts w:ascii="Verdana" w:hAnsi="Verdana" w:cs="Arial"/>
          <w:sz w:val="10"/>
          <w:szCs w:val="10"/>
          <w:lang w:val="es-ES"/>
        </w:rPr>
        <w:t>.</w:t>
      </w:r>
    </w:p>
  </w:footnote>
  <w:footnote w:id="14">
    <w:p w14:paraId="11D5CA8D" w14:textId="11E3764A" w:rsidR="009D2624" w:rsidRPr="005114F2" w:rsidRDefault="009D2624" w:rsidP="00EE46AC">
      <w:pPr>
        <w:pStyle w:val="Textonotapie"/>
        <w:ind w:firstLine="709"/>
        <w:jc w:val="both"/>
        <w:rPr>
          <w:rFonts w:ascii="Verdana" w:hAnsi="Verdana" w:cs="Arial"/>
          <w:sz w:val="10"/>
          <w:szCs w:val="10"/>
        </w:rPr>
      </w:pPr>
      <w:r w:rsidRPr="005114F2">
        <w:rPr>
          <w:rStyle w:val="Refdenotaalpie"/>
          <w:rFonts w:ascii="Verdana" w:hAnsi="Verdana" w:cs="Arial"/>
          <w:sz w:val="10"/>
          <w:szCs w:val="10"/>
        </w:rPr>
        <w:footnoteRef/>
      </w:r>
      <w:r w:rsidRPr="005114F2">
        <w:rPr>
          <w:rFonts w:ascii="Verdana" w:hAnsi="Verdana" w:cs="Arial"/>
          <w:sz w:val="10"/>
          <w:szCs w:val="10"/>
        </w:rPr>
        <w:t xml:space="preserve"> Según dicho artículo: </w:t>
      </w:r>
      <w:r w:rsidR="0052405D" w:rsidRPr="005114F2">
        <w:rPr>
          <w:rFonts w:ascii="Verdana" w:hAnsi="Verdana" w:cs="Arial"/>
          <w:sz w:val="10"/>
          <w:szCs w:val="10"/>
        </w:rPr>
        <w:t>“</w:t>
      </w:r>
      <w:r w:rsidRPr="005114F2">
        <w:rPr>
          <w:rFonts w:ascii="Verdana" w:hAnsi="Verdana" w:cs="Arial"/>
          <w:sz w:val="10"/>
          <w:szCs w:val="10"/>
        </w:rPr>
        <w:t>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51C83D71" w14:textId="77777777" w:rsidR="009D2624" w:rsidRPr="005114F2" w:rsidRDefault="009D2624" w:rsidP="00EE46AC">
      <w:pPr>
        <w:pStyle w:val="Textonotapie"/>
        <w:ind w:firstLine="709"/>
        <w:jc w:val="both"/>
        <w:rPr>
          <w:rFonts w:ascii="Verdana" w:hAnsi="Verdana" w:cs="Arial"/>
          <w:sz w:val="10"/>
          <w:szCs w:val="10"/>
        </w:rPr>
      </w:pPr>
      <w:r w:rsidRPr="005114F2">
        <w:rPr>
          <w:rFonts w:ascii="Verdana" w:hAnsi="Verdana" w:cs="Arial"/>
          <w:sz w:val="10"/>
          <w:szCs w:val="10"/>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09E9F710" w14:textId="2C63A20E" w:rsidR="009D2624" w:rsidRPr="005114F2" w:rsidRDefault="009D2624" w:rsidP="00EE46AC">
      <w:pPr>
        <w:pStyle w:val="Textonotapie"/>
        <w:ind w:firstLine="709"/>
        <w:jc w:val="both"/>
        <w:rPr>
          <w:rFonts w:ascii="Verdana" w:hAnsi="Verdana" w:cs="Arial"/>
          <w:sz w:val="10"/>
          <w:szCs w:val="10"/>
          <w:lang w:val="es-ES"/>
        </w:rPr>
      </w:pPr>
      <w:r w:rsidRPr="005114F2">
        <w:rPr>
          <w:rFonts w:ascii="Verdana" w:hAnsi="Verdana" w:cs="Arial"/>
          <w:sz w:val="10"/>
          <w:szCs w:val="10"/>
        </w:rPr>
        <w:t>[…]</w:t>
      </w:r>
      <w:r w:rsidR="0052405D" w:rsidRPr="005114F2">
        <w:rPr>
          <w:rFonts w:ascii="Verdana" w:hAnsi="Verdana" w:cs="Arial"/>
          <w:sz w:val="10"/>
          <w:szCs w:val="10"/>
        </w:rPr>
        <w:t>”</w:t>
      </w:r>
      <w:r w:rsidRPr="005114F2">
        <w:rPr>
          <w:rFonts w:ascii="Verdana" w:hAnsi="Verdana" w:cs="Arial"/>
          <w:sz w:val="10"/>
          <w:szCs w:val="10"/>
        </w:rPr>
        <w:t>.</w:t>
      </w:r>
    </w:p>
  </w:footnote>
  <w:footnote w:id="15">
    <w:p w14:paraId="6FB7E093" w14:textId="6B5094F2" w:rsidR="009D2624" w:rsidRPr="005114F2" w:rsidRDefault="009D2624" w:rsidP="00EE46AC">
      <w:pPr>
        <w:pStyle w:val="Textonotapie"/>
        <w:ind w:firstLine="709"/>
        <w:jc w:val="both"/>
        <w:rPr>
          <w:rFonts w:ascii="Verdana" w:hAnsi="Verdana" w:cs="Arial"/>
          <w:sz w:val="10"/>
          <w:szCs w:val="10"/>
          <w:lang w:val="es-ES"/>
        </w:rPr>
      </w:pPr>
      <w:r w:rsidRPr="005114F2">
        <w:rPr>
          <w:rStyle w:val="Refdenotaalpie"/>
          <w:rFonts w:ascii="Verdana" w:hAnsi="Verdana" w:cs="Arial"/>
          <w:sz w:val="10"/>
          <w:szCs w:val="10"/>
        </w:rPr>
        <w:footnoteRef/>
      </w:r>
      <w:r w:rsidRPr="005114F2">
        <w:rPr>
          <w:rFonts w:ascii="Verdana" w:hAnsi="Verdana" w:cs="Arial"/>
          <w:sz w:val="10"/>
          <w:szCs w:val="10"/>
        </w:rPr>
        <w:t xml:space="preserve"> </w:t>
      </w:r>
      <w:r w:rsidRPr="005114F2">
        <w:rPr>
          <w:rFonts w:ascii="Verdana" w:hAnsi="Verdana" w:cs="Arial"/>
          <w:sz w:val="10"/>
          <w:szCs w:val="10"/>
          <w:lang w:val="es-ES"/>
        </w:rPr>
        <w:t xml:space="preserve">Así lo establece el Decreto 1082 de 2015: </w:t>
      </w:r>
      <w:r w:rsidR="0052405D" w:rsidRPr="005114F2">
        <w:rPr>
          <w:rFonts w:ascii="Verdana" w:hAnsi="Verdana" w:cs="Arial"/>
          <w:sz w:val="10"/>
          <w:szCs w:val="10"/>
          <w:lang w:val="es-ES"/>
        </w:rPr>
        <w:t>“</w:t>
      </w:r>
      <w:r w:rsidRPr="005114F2">
        <w:rPr>
          <w:rFonts w:ascii="Verdana" w:hAnsi="Verdana" w:cs="Arial"/>
          <w:sz w:val="10"/>
          <w:szCs w:val="10"/>
          <w:lang w:val="es-ES"/>
        </w:rPr>
        <w:t>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r w:rsidR="0052405D" w:rsidRPr="005114F2">
        <w:rPr>
          <w:rFonts w:ascii="Verdana" w:hAnsi="Verdana" w:cs="Arial"/>
          <w:sz w:val="10"/>
          <w:szCs w:val="10"/>
          <w:lang w:val="es-ES"/>
        </w:rPr>
        <w:t>”</w:t>
      </w:r>
      <w:r w:rsidRPr="005114F2">
        <w:rPr>
          <w:rFonts w:ascii="Verdana" w:hAnsi="Verdana" w:cs="Arial"/>
          <w:sz w:val="10"/>
          <w:szCs w:val="10"/>
          <w:lang w:val="es-ES"/>
        </w:rPr>
        <w:t>.</w:t>
      </w:r>
    </w:p>
    <w:p w14:paraId="7C2F5758" w14:textId="77777777" w:rsidR="009D2624" w:rsidRPr="005114F2" w:rsidRDefault="009D2624" w:rsidP="00EE46AC">
      <w:pPr>
        <w:pStyle w:val="Textonotapie"/>
        <w:ind w:firstLine="709"/>
        <w:jc w:val="both"/>
        <w:rPr>
          <w:rFonts w:ascii="Verdana" w:hAnsi="Verdana" w:cs="Arial"/>
          <w:sz w:val="10"/>
          <w:szCs w:val="10"/>
          <w:lang w:val="es-ES"/>
        </w:rPr>
      </w:pPr>
    </w:p>
  </w:footnote>
  <w:footnote w:id="16">
    <w:p w14:paraId="3F36B332" w14:textId="58F38441" w:rsidR="009D2624" w:rsidRPr="005114F2" w:rsidRDefault="009D2624" w:rsidP="00EE46AC">
      <w:pPr>
        <w:pStyle w:val="Textonotapie"/>
        <w:ind w:firstLine="709"/>
        <w:jc w:val="both"/>
        <w:rPr>
          <w:rFonts w:ascii="Verdana" w:hAnsi="Verdana" w:cs="Arial"/>
          <w:color w:val="000000" w:themeColor="text1"/>
          <w:sz w:val="10"/>
          <w:szCs w:val="10"/>
          <w:lang w:val="es-ES"/>
        </w:rPr>
      </w:pPr>
      <w:r w:rsidRPr="005114F2">
        <w:rPr>
          <w:rStyle w:val="Refdenotaalpie"/>
          <w:rFonts w:ascii="Verdana" w:hAnsi="Verdana" w:cs="Arial"/>
          <w:color w:val="000000" w:themeColor="text1"/>
          <w:sz w:val="10"/>
          <w:szCs w:val="10"/>
        </w:rPr>
        <w:footnoteRef/>
      </w:r>
      <w:r w:rsidRPr="005114F2">
        <w:rPr>
          <w:rFonts w:ascii="Verdana" w:hAnsi="Verdana" w:cs="Arial"/>
          <w:color w:val="000000" w:themeColor="text1"/>
          <w:sz w:val="10"/>
          <w:szCs w:val="10"/>
        </w:rPr>
        <w:t xml:space="preserve"> </w:t>
      </w:r>
      <w:r w:rsidRPr="005114F2">
        <w:rPr>
          <w:rFonts w:ascii="Verdana" w:hAnsi="Verdana" w:cs="Arial"/>
          <w:color w:val="000000" w:themeColor="text1"/>
          <w:sz w:val="10"/>
          <w:szCs w:val="10"/>
          <w:lang w:val="es-ES"/>
        </w:rPr>
        <w:t xml:space="preserve">El Decreto 1082 de 2015 lo establece de la siguiente manera: </w:t>
      </w:r>
      <w:r w:rsidR="0052405D" w:rsidRPr="005114F2">
        <w:rPr>
          <w:rFonts w:ascii="Verdana" w:hAnsi="Verdana" w:cs="Arial"/>
          <w:color w:val="000000" w:themeColor="text1"/>
          <w:sz w:val="10"/>
          <w:szCs w:val="10"/>
          <w:lang w:val="es-ES"/>
        </w:rPr>
        <w:t>“</w:t>
      </w:r>
      <w:r w:rsidRPr="005114F2">
        <w:rPr>
          <w:rFonts w:ascii="Verdana" w:hAnsi="Verdana" w:cs="Arial"/>
          <w:color w:val="000000" w:themeColor="text1"/>
          <w:sz w:val="10"/>
          <w:szCs w:val="10"/>
          <w:lang w:val="es-ES"/>
        </w:rPr>
        <w:t>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3085521E" w14:textId="73082D26" w:rsidR="009D2624" w:rsidRPr="005114F2" w:rsidRDefault="0052405D" w:rsidP="00EE46AC">
      <w:pPr>
        <w:pStyle w:val="Textonotapie"/>
        <w:ind w:firstLine="709"/>
        <w:jc w:val="both"/>
        <w:rPr>
          <w:rFonts w:ascii="Verdana" w:hAnsi="Verdana" w:cs="Arial"/>
          <w:color w:val="000000" w:themeColor="text1"/>
          <w:sz w:val="10"/>
          <w:szCs w:val="10"/>
          <w:lang w:val="es-ES"/>
        </w:rPr>
      </w:pPr>
      <w:r w:rsidRPr="005114F2">
        <w:rPr>
          <w:rFonts w:ascii="Verdana" w:hAnsi="Verdana" w:cs="Arial"/>
          <w:color w:val="000000" w:themeColor="text1"/>
          <w:sz w:val="10"/>
          <w:szCs w:val="10"/>
          <w:lang w:val="es-ES"/>
        </w:rPr>
        <w:t>“</w:t>
      </w:r>
      <w:r w:rsidR="009D2624" w:rsidRPr="005114F2">
        <w:rPr>
          <w:rFonts w:ascii="Verdana" w:hAnsi="Verdana" w:cs="Arial"/>
          <w:color w:val="000000" w:themeColor="text1"/>
          <w:sz w:val="10"/>
          <w:szCs w:val="10"/>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05AC1148" w14:textId="2DF33C22" w:rsidR="009D2624" w:rsidRPr="005114F2" w:rsidRDefault="0052405D" w:rsidP="00EE46AC">
      <w:pPr>
        <w:pStyle w:val="Textonotapie"/>
        <w:ind w:firstLine="709"/>
        <w:jc w:val="both"/>
        <w:rPr>
          <w:rFonts w:ascii="Verdana" w:hAnsi="Verdana" w:cs="Arial"/>
          <w:color w:val="000000" w:themeColor="text1"/>
          <w:sz w:val="10"/>
          <w:szCs w:val="10"/>
          <w:lang w:val="es-ES"/>
        </w:rPr>
      </w:pPr>
      <w:r w:rsidRPr="005114F2">
        <w:rPr>
          <w:rFonts w:ascii="Verdana" w:hAnsi="Verdana" w:cs="Arial"/>
          <w:color w:val="000000" w:themeColor="text1"/>
          <w:sz w:val="10"/>
          <w:szCs w:val="10"/>
          <w:lang w:val="es-ES"/>
        </w:rPr>
        <w:t>“</w:t>
      </w:r>
      <w:r w:rsidR="009D2624" w:rsidRPr="005114F2">
        <w:rPr>
          <w:rFonts w:ascii="Verdana" w:hAnsi="Verdana" w:cs="Arial"/>
          <w:color w:val="000000" w:themeColor="text1"/>
          <w:sz w:val="10"/>
          <w:szCs w:val="10"/>
          <w:lang w:val="es-ES"/>
        </w:rPr>
        <w:t>La Entidad Estatal, para la contratación de trabajos artísticos que solamente puedan en</w:t>
      </w:r>
      <w:r w:rsidR="009D2624" w:rsidRPr="005114F2">
        <w:rPr>
          <w:rFonts w:ascii="Verdana" w:hAnsi="Verdana" w:cs="Arial"/>
          <w:color w:val="000000" w:themeColor="text1"/>
          <w:sz w:val="10"/>
          <w:szCs w:val="10"/>
          <w:lang w:val="es-ES"/>
        </w:rPr>
        <w:softHyphen/>
        <w:t>comendarse a determinadas personas naturales, debe justificar esta situación en los estudios y documentos previos</w:t>
      </w:r>
      <w:r w:rsidRPr="005114F2">
        <w:rPr>
          <w:rFonts w:ascii="Verdana" w:hAnsi="Verdana" w:cs="Arial"/>
          <w:color w:val="000000" w:themeColor="text1"/>
          <w:sz w:val="10"/>
          <w:szCs w:val="10"/>
          <w:lang w:val="es-ES"/>
        </w:rPr>
        <w:t>”</w:t>
      </w:r>
      <w:r w:rsidR="009D2624" w:rsidRPr="005114F2">
        <w:rPr>
          <w:rFonts w:ascii="Verdana" w:hAnsi="Verdana" w:cs="Arial"/>
          <w:color w:val="000000" w:themeColor="text1"/>
          <w:sz w:val="10"/>
          <w:szCs w:val="10"/>
          <w:lang w:val="es-ES"/>
        </w:rPr>
        <w:t>.</w:t>
      </w:r>
    </w:p>
    <w:p w14:paraId="351FBC77" w14:textId="77777777" w:rsidR="009D2624" w:rsidRPr="005114F2" w:rsidRDefault="009D2624" w:rsidP="00EE46AC">
      <w:pPr>
        <w:pStyle w:val="Textonotapie"/>
        <w:ind w:firstLine="709"/>
        <w:jc w:val="both"/>
        <w:rPr>
          <w:rFonts w:ascii="Verdana" w:hAnsi="Verdana" w:cs="Arial"/>
          <w:color w:val="000000" w:themeColor="text1"/>
          <w:sz w:val="10"/>
          <w:szCs w:val="10"/>
          <w:lang w:val="es-ES"/>
        </w:rPr>
      </w:pPr>
    </w:p>
  </w:footnote>
  <w:footnote w:id="17">
    <w:p w14:paraId="1D8DFBBF" w14:textId="77777777" w:rsidR="009D2624" w:rsidRPr="005114F2" w:rsidRDefault="009D2624" w:rsidP="00EE46AC">
      <w:pPr>
        <w:pStyle w:val="Textonotapie"/>
        <w:ind w:firstLine="709"/>
        <w:jc w:val="both"/>
        <w:rPr>
          <w:rFonts w:ascii="Verdana" w:hAnsi="Verdana" w:cs="Arial"/>
          <w:color w:val="000000" w:themeColor="text1"/>
          <w:sz w:val="10"/>
          <w:szCs w:val="10"/>
          <w:lang w:val="es-ES"/>
        </w:rPr>
      </w:pPr>
      <w:r w:rsidRPr="005114F2">
        <w:rPr>
          <w:rStyle w:val="Refdenotaalpie"/>
          <w:rFonts w:ascii="Verdana" w:hAnsi="Verdana" w:cs="Arial"/>
          <w:color w:val="000000" w:themeColor="text1"/>
          <w:sz w:val="10"/>
          <w:szCs w:val="10"/>
        </w:rPr>
        <w:footnoteRef/>
      </w:r>
      <w:r w:rsidRPr="005114F2">
        <w:rPr>
          <w:rFonts w:ascii="Verdana" w:hAnsi="Verdana" w:cs="Arial"/>
          <w:color w:val="000000" w:themeColor="text1"/>
          <w:sz w:val="10"/>
          <w:szCs w:val="10"/>
        </w:rPr>
        <w:t xml:space="preserve"> </w:t>
      </w:r>
      <w:r w:rsidRPr="005114F2">
        <w:rPr>
          <w:rFonts w:ascii="Verdana" w:hAnsi="Verdana" w:cs="Arial"/>
          <w:color w:val="000000" w:themeColor="text1"/>
          <w:sz w:val="10"/>
          <w:szCs w:val="10"/>
          <w:lang w:val="es-ES"/>
        </w:rPr>
        <w:t>CONSEJO DE ESTADO. Sección Tercera. Subsección C. Sentencia de Unificación del 2 de diciembre de 2013. Exp. 41.719. C.P. Jaime Orlando Santofimio Gamboa.</w:t>
      </w:r>
    </w:p>
  </w:footnote>
  <w:footnote w:id="18">
    <w:p w14:paraId="6AFF920B" w14:textId="77777777" w:rsidR="009D2624" w:rsidRPr="005114F2" w:rsidRDefault="009D2624" w:rsidP="00EE46AC">
      <w:pPr>
        <w:pStyle w:val="Textonotapie"/>
        <w:ind w:firstLine="709"/>
        <w:contextualSpacing/>
        <w:jc w:val="both"/>
        <w:rPr>
          <w:rFonts w:ascii="Verdana" w:hAnsi="Verdana" w:cs="Arial"/>
          <w:color w:val="000000" w:themeColor="text1"/>
          <w:sz w:val="10"/>
          <w:szCs w:val="10"/>
          <w:lang w:val="es-ES"/>
        </w:rPr>
      </w:pPr>
      <w:r w:rsidRPr="005114F2">
        <w:rPr>
          <w:rStyle w:val="Refdenotaalpie"/>
          <w:rFonts w:ascii="Verdana" w:hAnsi="Verdana" w:cs="Arial"/>
          <w:color w:val="000000" w:themeColor="text1"/>
          <w:sz w:val="10"/>
          <w:szCs w:val="10"/>
        </w:rPr>
        <w:footnoteRef/>
      </w:r>
      <w:r w:rsidRPr="005114F2">
        <w:rPr>
          <w:rFonts w:ascii="Verdana" w:hAnsi="Verdana" w:cs="Arial"/>
          <w:color w:val="000000" w:themeColor="text1"/>
          <w:sz w:val="10"/>
          <w:szCs w:val="10"/>
        </w:rPr>
        <w:t xml:space="preserve"> </w:t>
      </w:r>
      <w:r w:rsidRPr="005114F2">
        <w:rPr>
          <w:rFonts w:ascii="Verdana" w:hAnsi="Verdana" w:cs="Arial"/>
          <w:i/>
          <w:iCs/>
          <w:color w:val="000000" w:themeColor="text1"/>
          <w:sz w:val="10"/>
          <w:szCs w:val="10"/>
          <w:lang w:val="es-ES"/>
        </w:rPr>
        <w:t>Ibíd</w:t>
      </w:r>
      <w:r w:rsidRPr="005114F2">
        <w:rPr>
          <w:rFonts w:ascii="Verdana" w:hAnsi="Verdana" w:cs="Arial"/>
          <w:color w:val="000000" w:themeColor="text1"/>
          <w:sz w:val="10"/>
          <w:szCs w:val="10"/>
          <w:lang w:val="es-ES"/>
        </w:rPr>
        <w:t>.</w:t>
      </w:r>
    </w:p>
  </w:footnote>
  <w:footnote w:id="19">
    <w:p w14:paraId="6992B105" w14:textId="77777777" w:rsidR="009D2624" w:rsidRPr="005114F2" w:rsidRDefault="009D2624" w:rsidP="00EE46AC">
      <w:pPr>
        <w:pStyle w:val="Textonotapie"/>
        <w:ind w:firstLine="709"/>
        <w:contextualSpacing/>
        <w:jc w:val="both"/>
        <w:rPr>
          <w:rFonts w:ascii="Verdana" w:hAnsi="Verdana" w:cs="Arial"/>
          <w:color w:val="000000" w:themeColor="text1"/>
          <w:sz w:val="10"/>
          <w:szCs w:val="10"/>
          <w:lang w:val="es-ES"/>
        </w:rPr>
      </w:pPr>
      <w:r w:rsidRPr="005114F2">
        <w:rPr>
          <w:rStyle w:val="Refdenotaalpie"/>
          <w:rFonts w:ascii="Verdana" w:hAnsi="Verdana" w:cs="Arial"/>
          <w:color w:val="000000" w:themeColor="text1"/>
          <w:sz w:val="10"/>
          <w:szCs w:val="10"/>
        </w:rPr>
        <w:footnoteRef/>
      </w:r>
      <w:r w:rsidRPr="005114F2">
        <w:rPr>
          <w:rFonts w:ascii="Verdana" w:hAnsi="Verdana" w:cs="Arial"/>
          <w:color w:val="000000" w:themeColor="text1"/>
          <w:sz w:val="10"/>
          <w:szCs w:val="10"/>
        </w:rPr>
        <w:t xml:space="preserve"> </w:t>
      </w:r>
      <w:r w:rsidRPr="005114F2">
        <w:rPr>
          <w:rFonts w:ascii="Verdana" w:hAnsi="Verdana" w:cs="Arial"/>
          <w:i/>
          <w:iCs/>
          <w:color w:val="000000" w:themeColor="text1"/>
          <w:sz w:val="10"/>
          <w:szCs w:val="10"/>
          <w:lang w:val="es-ES"/>
        </w:rPr>
        <w:t>Ibíd</w:t>
      </w:r>
      <w:r w:rsidRPr="005114F2">
        <w:rPr>
          <w:rFonts w:ascii="Verdana" w:hAnsi="Verdana" w:cs="Arial"/>
          <w:color w:val="000000" w:themeColor="text1"/>
          <w:sz w:val="10"/>
          <w:szCs w:val="10"/>
          <w:lang w:val="es-ES"/>
        </w:rPr>
        <w:t>.</w:t>
      </w:r>
    </w:p>
    <w:p w14:paraId="3B9E04ED" w14:textId="77777777" w:rsidR="009D2624" w:rsidRPr="005114F2" w:rsidRDefault="009D2624" w:rsidP="00EE46AC">
      <w:pPr>
        <w:pStyle w:val="Textonotapie"/>
        <w:ind w:firstLine="709"/>
        <w:jc w:val="both"/>
        <w:rPr>
          <w:rFonts w:ascii="Verdana" w:hAnsi="Verdana" w:cs="Arial"/>
          <w:color w:val="000000" w:themeColor="text1"/>
          <w:sz w:val="10"/>
          <w:szCs w:val="10"/>
          <w:lang w:val="es-ES"/>
        </w:rPr>
      </w:pPr>
    </w:p>
  </w:footnote>
  <w:footnote w:id="20">
    <w:p w14:paraId="3F54361F" w14:textId="77777777" w:rsidR="00AB49CF" w:rsidRPr="005114F2" w:rsidRDefault="00AB49CF" w:rsidP="00AB49CF">
      <w:pPr>
        <w:autoSpaceDE w:val="0"/>
        <w:autoSpaceDN w:val="0"/>
        <w:adjustRightInd w:val="0"/>
        <w:spacing w:line="240" w:lineRule="auto"/>
        <w:ind w:firstLine="708"/>
        <w:jc w:val="both"/>
        <w:rPr>
          <w:rFonts w:ascii="Verdana" w:hAnsi="Verdana" w:cs="Arial"/>
          <w:sz w:val="10"/>
          <w:szCs w:val="10"/>
        </w:rPr>
      </w:pPr>
      <w:r w:rsidRPr="005114F2">
        <w:rPr>
          <w:rStyle w:val="Refdenotaalpie"/>
          <w:rFonts w:ascii="Verdana" w:hAnsi="Verdana" w:cs="Arial"/>
          <w:sz w:val="10"/>
          <w:szCs w:val="10"/>
        </w:rPr>
        <w:footnoteRef/>
      </w:r>
      <w:r w:rsidRPr="005114F2">
        <w:rPr>
          <w:rFonts w:ascii="Verdana" w:hAnsi="Verdana" w:cs="Arial"/>
          <w:sz w:val="10"/>
          <w:szCs w:val="10"/>
        </w:rPr>
        <w:t xml:space="preserve"> CONSEJO DE ESTADO, Sección Segunda. Sentencia de Unificación Jurisprudencial SUJ-025-CE-S2-2021. Radicado (1317-2016). En el mismo sentido, la Corte Constitucional expresa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 (Cfr. Corte Constitucional. Sentencia C-154 de 1997. Magistrado Ponente: Hernando Herrera Vergara).</w:t>
      </w:r>
    </w:p>
  </w:footnote>
  <w:footnote w:id="21">
    <w:p w14:paraId="55261DE8" w14:textId="77777777" w:rsidR="00AB49CF" w:rsidRPr="005114F2" w:rsidRDefault="00AB49CF" w:rsidP="00AB49CF">
      <w:pPr>
        <w:pStyle w:val="Textonotapie"/>
        <w:ind w:firstLine="708"/>
        <w:jc w:val="both"/>
        <w:rPr>
          <w:rFonts w:ascii="Verdana" w:hAnsi="Verdana" w:cs="Arial"/>
          <w:sz w:val="10"/>
          <w:szCs w:val="10"/>
          <w:lang w:val="es-CO"/>
        </w:rPr>
      </w:pPr>
      <w:r w:rsidRPr="005114F2">
        <w:rPr>
          <w:rStyle w:val="Refdenotaalpie"/>
          <w:rFonts w:ascii="Verdana" w:hAnsi="Verdana" w:cs="Arial"/>
          <w:sz w:val="10"/>
          <w:szCs w:val="10"/>
        </w:rPr>
        <w:footnoteRef/>
      </w:r>
      <w:r w:rsidRPr="005114F2">
        <w:rPr>
          <w:rFonts w:ascii="Verdana" w:hAnsi="Verdana" w:cs="Arial"/>
          <w:sz w:val="10"/>
          <w:szCs w:val="10"/>
          <w:lang w:val="es-CO"/>
        </w:rPr>
        <w:t xml:space="preserve"> CONSEJO DE ESTADO, Sección Segunda, sentencia del 19 de junio 19 de 2008. Consejero Ponente: Gustavo Eduardo Gómez Aranguren Rad. 1502-03. Ver también sentencias de 7 de septiembre de 2000. Sección Primera. Expediente 6152. Consejero Ponente: Juan Alberto Polo Figueroa y de 10 de marzo de 2005. Sección Quinta. Expediente ACU 750. Consejera Ponente: María Nohemí Hernández Pinzón.</w:t>
      </w:r>
    </w:p>
  </w:footnote>
  <w:footnote w:id="22">
    <w:p w14:paraId="4B9B49A4" w14:textId="77777777" w:rsidR="00AB49CF" w:rsidRDefault="00AB49CF" w:rsidP="00AB49CF">
      <w:pPr>
        <w:pStyle w:val="Textonotapie"/>
        <w:ind w:firstLine="708"/>
        <w:jc w:val="both"/>
        <w:rPr>
          <w:rFonts w:ascii="Verdana" w:hAnsi="Verdana" w:cs="Arial"/>
          <w:sz w:val="10"/>
          <w:szCs w:val="10"/>
          <w:lang w:val="es-CO"/>
        </w:rPr>
      </w:pPr>
      <w:r w:rsidRPr="005114F2">
        <w:rPr>
          <w:rStyle w:val="Refdenotaalpie"/>
          <w:rFonts w:ascii="Verdana" w:hAnsi="Verdana"/>
          <w:sz w:val="10"/>
          <w:szCs w:val="10"/>
        </w:rPr>
        <w:footnoteRef/>
      </w:r>
      <w:r w:rsidRPr="005114F2">
        <w:rPr>
          <w:rFonts w:ascii="Verdana" w:hAnsi="Verdana"/>
          <w:sz w:val="10"/>
          <w:szCs w:val="10"/>
          <w:lang w:val="es-CO"/>
        </w:rPr>
        <w:t xml:space="preserve"> </w:t>
      </w:r>
      <w:r w:rsidRPr="005114F2">
        <w:rPr>
          <w:rFonts w:ascii="Verdana" w:hAnsi="Verdana" w:cs="Arial"/>
          <w:sz w:val="10"/>
          <w:szCs w:val="10"/>
          <w:lang w:val="es-CO"/>
        </w:rPr>
        <w:t>CONSEJO DE ESTADO, Sección Tercera, Subsección A, auto del 22 de febrero de 2023. Exp. No. 69.23, C.P. José Roberto Sáchica Méndez.</w:t>
      </w:r>
    </w:p>
    <w:p w14:paraId="5EE9F4D4" w14:textId="77777777" w:rsidR="005114F2" w:rsidRPr="005114F2" w:rsidRDefault="005114F2" w:rsidP="00AB49CF">
      <w:pPr>
        <w:pStyle w:val="Textonotapie"/>
        <w:ind w:firstLine="708"/>
        <w:jc w:val="both"/>
        <w:rPr>
          <w:rFonts w:ascii="Verdana" w:hAnsi="Verdana"/>
          <w:sz w:val="10"/>
          <w:szCs w:val="10"/>
        </w:rPr>
      </w:pPr>
    </w:p>
  </w:footnote>
  <w:footnote w:id="23">
    <w:p w14:paraId="1F650886" w14:textId="202D41E3" w:rsidR="00AB49CF" w:rsidRPr="005114F2" w:rsidRDefault="00AB49CF" w:rsidP="00AB49CF">
      <w:pPr>
        <w:pStyle w:val="Textonotapie"/>
        <w:ind w:firstLine="708"/>
        <w:jc w:val="both"/>
        <w:rPr>
          <w:rFonts w:ascii="Verdana" w:hAnsi="Verdana" w:cs="Arial"/>
          <w:sz w:val="10"/>
          <w:szCs w:val="10"/>
          <w:lang w:val="es-CO"/>
        </w:rPr>
      </w:pPr>
      <w:r w:rsidRPr="005114F2">
        <w:rPr>
          <w:rStyle w:val="Refdenotaalpie"/>
          <w:rFonts w:ascii="Verdana" w:hAnsi="Verdana" w:cs="Arial"/>
          <w:sz w:val="10"/>
          <w:szCs w:val="10"/>
        </w:rPr>
        <w:footnoteRef/>
      </w:r>
      <w:r w:rsidRPr="005114F2">
        <w:rPr>
          <w:rFonts w:ascii="Verdana" w:hAnsi="Verdana" w:cs="Arial"/>
          <w:sz w:val="10"/>
          <w:szCs w:val="10"/>
          <w:lang w:val="es-CO"/>
        </w:rPr>
        <w:t xml:space="preserve"> Ley 1437 de 2011: “Artículo </w:t>
      </w:r>
      <w:r w:rsidR="005114F2" w:rsidRPr="005114F2">
        <w:rPr>
          <w:rFonts w:ascii="Verdana" w:hAnsi="Verdana" w:cs="Arial"/>
          <w:sz w:val="10"/>
          <w:szCs w:val="10"/>
          <w:lang w:val="es-CO"/>
        </w:rPr>
        <w:t>91. Pérdida</w:t>
      </w:r>
      <w:r w:rsidRPr="005114F2">
        <w:rPr>
          <w:rFonts w:ascii="Verdana" w:hAnsi="Verdana" w:cs="Arial"/>
          <w:sz w:val="10"/>
          <w:szCs w:val="10"/>
          <w:lang w:val="es-CO"/>
        </w:rPr>
        <w:t xml:space="preserve"> de ejecutoriedad del acto administrativo. Salvo norma expresa en contrario, los actos administrativos en firme serán obligatorios mientras no hayan sido anulados por la Jurisdicción de lo Contencioso Administrativo. Perderán obligatoriedad y, por lo tanto, no podrán ser ejecutados en los siguientes casos: </w:t>
      </w:r>
    </w:p>
    <w:p w14:paraId="0204BE65" w14:textId="77777777" w:rsidR="00AB49CF" w:rsidRPr="005114F2" w:rsidRDefault="00AB49CF" w:rsidP="00AB49CF">
      <w:pPr>
        <w:pStyle w:val="Textonotapie"/>
        <w:ind w:firstLine="708"/>
        <w:jc w:val="both"/>
        <w:rPr>
          <w:rFonts w:ascii="Verdana" w:hAnsi="Verdana" w:cs="Arial"/>
          <w:sz w:val="10"/>
          <w:szCs w:val="10"/>
          <w:lang w:val="es-CO"/>
        </w:rPr>
      </w:pPr>
      <w:r w:rsidRPr="005114F2">
        <w:rPr>
          <w:rFonts w:ascii="Verdana" w:hAnsi="Verdana" w:cs="Arial"/>
          <w:sz w:val="10"/>
          <w:szCs w:val="10"/>
          <w:lang w:val="es-CO"/>
        </w:rPr>
        <w:t xml:space="preserve">1. Cuando sean suspendidos provisionalmente sus efectos por la Jurisdicción de lo Contencioso Administrativo. </w:t>
      </w:r>
    </w:p>
    <w:p w14:paraId="0B08E7A2" w14:textId="77777777" w:rsidR="00AB49CF" w:rsidRPr="005114F2" w:rsidRDefault="00AB49CF" w:rsidP="00AB49CF">
      <w:pPr>
        <w:pStyle w:val="Textonotapie"/>
        <w:ind w:firstLine="708"/>
        <w:jc w:val="both"/>
        <w:rPr>
          <w:rFonts w:ascii="Verdana" w:hAnsi="Verdana"/>
          <w:sz w:val="10"/>
          <w:szCs w:val="10"/>
        </w:rPr>
      </w:pPr>
      <w:r w:rsidRPr="005114F2">
        <w:rPr>
          <w:rFonts w:ascii="Verdana" w:hAnsi="Verdana" w:cs="Arial"/>
          <w:sz w:val="10"/>
          <w:szCs w:val="10"/>
          <w:lang w:val="es-CO"/>
        </w:rPr>
        <w:t>2. Cuando desaparezcan sus fundamentos de hecho o de derecho”.</w:t>
      </w:r>
      <w:r w:rsidRPr="005114F2">
        <w:rPr>
          <w:rFonts w:ascii="Verdana" w:hAnsi="Verdana"/>
          <w:sz w:val="10"/>
          <w:szCs w:val="10"/>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F9A27"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6B9B9CF" w14:textId="77777777" w:rsidR="00756841" w:rsidRDefault="00756841">
    <w:pPr>
      <w:pStyle w:val="Encabezado"/>
    </w:pPr>
  </w:p>
  <w:p w14:paraId="2E1A2CC4" w14:textId="77777777" w:rsidR="00DC39FC" w:rsidRDefault="00DC39FC" w:rsidP="004A305D">
    <w:pPr>
      <w:spacing w:after="0"/>
      <w:rPr>
        <w:rFonts w:ascii="Verdana" w:hAnsi="Verdana"/>
        <w:b/>
        <w:bCs/>
      </w:rPr>
    </w:pPr>
  </w:p>
  <w:p w14:paraId="3D342AA1" w14:textId="77777777" w:rsidR="004A305D" w:rsidRPr="00DC39FC" w:rsidRDefault="004A305D" w:rsidP="004A305D">
    <w:pPr>
      <w:spacing w:after="0"/>
      <w:rPr>
        <w:rFonts w:ascii="Verdana" w:hAnsi="Verdana"/>
        <w:b/>
        <w:bCs/>
      </w:rPr>
    </w:pPr>
    <w:r w:rsidRPr="00DC39FC">
      <w:rPr>
        <w:rFonts w:ascii="Verdana" w:hAnsi="Verdana"/>
        <w:b/>
        <w:bCs/>
      </w:rPr>
      <w:t>FORMATO PQRSD</w:t>
    </w:r>
  </w:p>
  <w:p w14:paraId="15542AA6" w14:textId="77777777" w:rsidR="004A305D" w:rsidRPr="004A305D" w:rsidRDefault="004A305D" w:rsidP="00B01B1A">
    <w:pPr>
      <w:spacing w:after="0" w:line="120" w:lineRule="auto"/>
      <w:rPr>
        <w:rFonts w:ascii="Century Gothic" w:eastAsia="Geo" w:hAnsi="Century Gothic" w:cs="Geo"/>
        <w:sz w:val="16"/>
        <w:szCs w:val="16"/>
        <w:lang w:eastAsia="es-CO"/>
      </w:rPr>
    </w:pPr>
  </w:p>
  <w:p w14:paraId="58F4D2B5"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visibility:visible;mso-wrap-style:square" o:bullet="t">
        <v:imagedata r:id="rId1" o:title=""/>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965121"/>
    <w:multiLevelType w:val="hybridMultilevel"/>
    <w:tmpl w:val="792AC0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BED0255"/>
    <w:multiLevelType w:val="hybridMultilevel"/>
    <w:tmpl w:val="5DC279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95F64C4"/>
    <w:multiLevelType w:val="hybridMultilevel"/>
    <w:tmpl w:val="04C080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E7D25FD"/>
    <w:multiLevelType w:val="hybridMultilevel"/>
    <w:tmpl w:val="334680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DB6C13"/>
    <w:multiLevelType w:val="hybridMultilevel"/>
    <w:tmpl w:val="C2A002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1"/>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8"/>
  </w:num>
  <w:num w:numId="7" w16cid:durableId="1946422806">
    <w:abstractNumId w:val="6"/>
  </w:num>
  <w:num w:numId="8" w16cid:durableId="152644682">
    <w:abstractNumId w:val="17"/>
  </w:num>
  <w:num w:numId="9" w16cid:durableId="1317221377">
    <w:abstractNumId w:val="8"/>
  </w:num>
  <w:num w:numId="10" w16cid:durableId="1471245386">
    <w:abstractNumId w:val="16"/>
  </w:num>
  <w:num w:numId="11" w16cid:durableId="289172385">
    <w:abstractNumId w:val="9"/>
  </w:num>
  <w:num w:numId="12" w16cid:durableId="1470781324">
    <w:abstractNumId w:val="0"/>
  </w:num>
  <w:num w:numId="13" w16cid:durableId="1512908409">
    <w:abstractNumId w:val="4"/>
  </w:num>
  <w:num w:numId="14" w16cid:durableId="895897244">
    <w:abstractNumId w:val="19"/>
  </w:num>
  <w:num w:numId="15" w16cid:durableId="390349800">
    <w:abstractNumId w:val="14"/>
  </w:num>
  <w:num w:numId="16" w16cid:durableId="679089576">
    <w:abstractNumId w:val="10"/>
  </w:num>
  <w:num w:numId="17" w16cid:durableId="1954170709">
    <w:abstractNumId w:val="2"/>
  </w:num>
  <w:num w:numId="18" w16cid:durableId="748356573">
    <w:abstractNumId w:val="13"/>
  </w:num>
  <w:num w:numId="19" w16cid:durableId="1245648106">
    <w:abstractNumId w:val="3"/>
  </w:num>
  <w:num w:numId="20" w16cid:durableId="2104378787">
    <w:abstractNumId w:val="11"/>
  </w:num>
  <w:num w:numId="21" w16cid:durableId="942690995">
    <w:abstractNumId w:val="12"/>
  </w:num>
  <w:num w:numId="22" w16cid:durableId="9624213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175C1"/>
    <w:rsid w:val="000416C9"/>
    <w:rsid w:val="00043866"/>
    <w:rsid w:val="00046945"/>
    <w:rsid w:val="00061B2A"/>
    <w:rsid w:val="00082362"/>
    <w:rsid w:val="000A58AD"/>
    <w:rsid w:val="000A683E"/>
    <w:rsid w:val="000B08CA"/>
    <w:rsid w:val="000B1142"/>
    <w:rsid w:val="000B19B9"/>
    <w:rsid w:val="000D0334"/>
    <w:rsid w:val="000F1821"/>
    <w:rsid w:val="000F6486"/>
    <w:rsid w:val="00125105"/>
    <w:rsid w:val="00127233"/>
    <w:rsid w:val="001511A0"/>
    <w:rsid w:val="00166F07"/>
    <w:rsid w:val="00175170"/>
    <w:rsid w:val="001A3A83"/>
    <w:rsid w:val="001E4177"/>
    <w:rsid w:val="001F7DC6"/>
    <w:rsid w:val="002421BB"/>
    <w:rsid w:val="0025140C"/>
    <w:rsid w:val="0025796E"/>
    <w:rsid w:val="002707A2"/>
    <w:rsid w:val="002951A0"/>
    <w:rsid w:val="002962BC"/>
    <w:rsid w:val="002A093D"/>
    <w:rsid w:val="002A0DD0"/>
    <w:rsid w:val="002A49AC"/>
    <w:rsid w:val="002A64FD"/>
    <w:rsid w:val="002C7A84"/>
    <w:rsid w:val="002E4FD9"/>
    <w:rsid w:val="002F46A4"/>
    <w:rsid w:val="00322A85"/>
    <w:rsid w:val="00324168"/>
    <w:rsid w:val="003448F4"/>
    <w:rsid w:val="00374F5E"/>
    <w:rsid w:val="00377E3E"/>
    <w:rsid w:val="003A779E"/>
    <w:rsid w:val="003D0F4D"/>
    <w:rsid w:val="003D2E45"/>
    <w:rsid w:val="003D5B0D"/>
    <w:rsid w:val="003E0499"/>
    <w:rsid w:val="003F3941"/>
    <w:rsid w:val="00401F51"/>
    <w:rsid w:val="00406575"/>
    <w:rsid w:val="00414C74"/>
    <w:rsid w:val="00415EEF"/>
    <w:rsid w:val="00424FD4"/>
    <w:rsid w:val="00426345"/>
    <w:rsid w:val="0042722E"/>
    <w:rsid w:val="0044528D"/>
    <w:rsid w:val="00466982"/>
    <w:rsid w:val="004A1847"/>
    <w:rsid w:val="004A305D"/>
    <w:rsid w:val="004F21C4"/>
    <w:rsid w:val="004F685F"/>
    <w:rsid w:val="005114F2"/>
    <w:rsid w:val="0052405D"/>
    <w:rsid w:val="005566E8"/>
    <w:rsid w:val="00557077"/>
    <w:rsid w:val="00574867"/>
    <w:rsid w:val="00580292"/>
    <w:rsid w:val="00591460"/>
    <w:rsid w:val="00592DC5"/>
    <w:rsid w:val="005B3816"/>
    <w:rsid w:val="005C3777"/>
    <w:rsid w:val="005C5CDC"/>
    <w:rsid w:val="005D476C"/>
    <w:rsid w:val="005F5494"/>
    <w:rsid w:val="00602181"/>
    <w:rsid w:val="006219F8"/>
    <w:rsid w:val="0064623C"/>
    <w:rsid w:val="00650C3A"/>
    <w:rsid w:val="00657CEA"/>
    <w:rsid w:val="00665D70"/>
    <w:rsid w:val="006777B0"/>
    <w:rsid w:val="006900D9"/>
    <w:rsid w:val="006B1B51"/>
    <w:rsid w:val="00701005"/>
    <w:rsid w:val="00706C16"/>
    <w:rsid w:val="00710CDB"/>
    <w:rsid w:val="00756841"/>
    <w:rsid w:val="007649AB"/>
    <w:rsid w:val="00771D0C"/>
    <w:rsid w:val="007833AC"/>
    <w:rsid w:val="007862F5"/>
    <w:rsid w:val="007B268C"/>
    <w:rsid w:val="007B7171"/>
    <w:rsid w:val="007C0C0F"/>
    <w:rsid w:val="007C3DC2"/>
    <w:rsid w:val="007E2C5F"/>
    <w:rsid w:val="007E5497"/>
    <w:rsid w:val="008004D3"/>
    <w:rsid w:val="00806F5F"/>
    <w:rsid w:val="00820278"/>
    <w:rsid w:val="00867F95"/>
    <w:rsid w:val="008843B6"/>
    <w:rsid w:val="00891928"/>
    <w:rsid w:val="008A446D"/>
    <w:rsid w:val="008B161E"/>
    <w:rsid w:val="008C6D04"/>
    <w:rsid w:val="008D180B"/>
    <w:rsid w:val="008D48CA"/>
    <w:rsid w:val="008F0EA7"/>
    <w:rsid w:val="00915234"/>
    <w:rsid w:val="009171B1"/>
    <w:rsid w:val="009173C7"/>
    <w:rsid w:val="00923EEF"/>
    <w:rsid w:val="0093694E"/>
    <w:rsid w:val="00936BE0"/>
    <w:rsid w:val="009419F9"/>
    <w:rsid w:val="00946EAE"/>
    <w:rsid w:val="0095685E"/>
    <w:rsid w:val="00961B09"/>
    <w:rsid w:val="00965334"/>
    <w:rsid w:val="0097093E"/>
    <w:rsid w:val="00986AC5"/>
    <w:rsid w:val="009A0DFA"/>
    <w:rsid w:val="009A12F7"/>
    <w:rsid w:val="009B2D26"/>
    <w:rsid w:val="009C71FA"/>
    <w:rsid w:val="009C72E7"/>
    <w:rsid w:val="009D2624"/>
    <w:rsid w:val="009D3058"/>
    <w:rsid w:val="009F3A13"/>
    <w:rsid w:val="00A122D3"/>
    <w:rsid w:val="00A17F13"/>
    <w:rsid w:val="00A20739"/>
    <w:rsid w:val="00A26AF4"/>
    <w:rsid w:val="00A33C78"/>
    <w:rsid w:val="00A645DF"/>
    <w:rsid w:val="00A67F7D"/>
    <w:rsid w:val="00AA52EE"/>
    <w:rsid w:val="00AB0ADB"/>
    <w:rsid w:val="00AB49CF"/>
    <w:rsid w:val="00AC35F7"/>
    <w:rsid w:val="00AE147B"/>
    <w:rsid w:val="00B01A58"/>
    <w:rsid w:val="00B01B1A"/>
    <w:rsid w:val="00B63B09"/>
    <w:rsid w:val="00B66319"/>
    <w:rsid w:val="00B72CD3"/>
    <w:rsid w:val="00B72FFF"/>
    <w:rsid w:val="00BB1EEE"/>
    <w:rsid w:val="00BC3D36"/>
    <w:rsid w:val="00BD2B42"/>
    <w:rsid w:val="00BD7F72"/>
    <w:rsid w:val="00BE37C0"/>
    <w:rsid w:val="00C03DFC"/>
    <w:rsid w:val="00C04FB3"/>
    <w:rsid w:val="00C330EB"/>
    <w:rsid w:val="00C41061"/>
    <w:rsid w:val="00C5107F"/>
    <w:rsid w:val="00C754BE"/>
    <w:rsid w:val="00C76B1C"/>
    <w:rsid w:val="00CA2958"/>
    <w:rsid w:val="00CB6357"/>
    <w:rsid w:val="00CC1B26"/>
    <w:rsid w:val="00CE5A4F"/>
    <w:rsid w:val="00D1105E"/>
    <w:rsid w:val="00D353EA"/>
    <w:rsid w:val="00D423A2"/>
    <w:rsid w:val="00D520D8"/>
    <w:rsid w:val="00D63AC2"/>
    <w:rsid w:val="00D7383B"/>
    <w:rsid w:val="00DA231B"/>
    <w:rsid w:val="00DC39FC"/>
    <w:rsid w:val="00DD29BC"/>
    <w:rsid w:val="00DF5254"/>
    <w:rsid w:val="00E16408"/>
    <w:rsid w:val="00E20894"/>
    <w:rsid w:val="00E245AB"/>
    <w:rsid w:val="00E2764C"/>
    <w:rsid w:val="00E27F2E"/>
    <w:rsid w:val="00E50AFE"/>
    <w:rsid w:val="00E52C85"/>
    <w:rsid w:val="00E75C92"/>
    <w:rsid w:val="00E771DC"/>
    <w:rsid w:val="00E83ECE"/>
    <w:rsid w:val="00E8772A"/>
    <w:rsid w:val="00E90F6B"/>
    <w:rsid w:val="00E92C27"/>
    <w:rsid w:val="00E93B76"/>
    <w:rsid w:val="00EA0E3D"/>
    <w:rsid w:val="00EC38A7"/>
    <w:rsid w:val="00ED7384"/>
    <w:rsid w:val="00EE1AA8"/>
    <w:rsid w:val="00EE46AC"/>
    <w:rsid w:val="00F31EDC"/>
    <w:rsid w:val="00F462B3"/>
    <w:rsid w:val="00F5664F"/>
    <w:rsid w:val="00F666C4"/>
    <w:rsid w:val="00F76AFC"/>
    <w:rsid w:val="00FA47C0"/>
    <w:rsid w:val="00FB4070"/>
    <w:rsid w:val="00FB5DD1"/>
    <w:rsid w:val="00FC2B5D"/>
    <w:rsid w:val="00FE67D9"/>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semiHidden/>
    <w:unhideWhenUsed/>
    <w:rsid w:val="00557077"/>
    <w:pPr>
      <w:spacing w:after="120"/>
    </w:pPr>
  </w:style>
  <w:style w:type="character" w:customStyle="1" w:styleId="TextoindependienteCar">
    <w:name w:val="Texto independiente Car"/>
    <w:basedOn w:val="Fuentedeprrafopredeter"/>
    <w:link w:val="Textoindependiente"/>
    <w:uiPriority w:val="99"/>
    <w:semiHidden/>
    <w:rsid w:val="00557077"/>
  </w:style>
  <w:style w:type="table" w:customStyle="1" w:styleId="Tablaconcuadrcula1">
    <w:name w:val="Tabla con cuadrícula1"/>
    <w:basedOn w:val="Tablanormal"/>
    <w:next w:val="Tablaconcuadrcula"/>
    <w:uiPriority w:val="59"/>
    <w:rsid w:val="0055707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5707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57077"/>
    <w:rPr>
      <w:rFonts w:ascii="Geomanist Light" w:hAnsi="Geomanist Light"/>
      <w:lang w:val="es-ES"/>
    </w:rPr>
  </w:style>
  <w:style w:type="character" w:styleId="Textoennegrita">
    <w:name w:val="Strong"/>
    <w:basedOn w:val="Fuentedeprrafopredeter"/>
    <w:uiPriority w:val="22"/>
    <w:qFormat/>
    <w:rsid w:val="00557077"/>
    <w:rPr>
      <w:b/>
      <w:bCs/>
    </w:rPr>
  </w:style>
  <w:style w:type="character" w:customStyle="1" w:styleId="NormalWebCar">
    <w:name w:val="Normal (Web) Car"/>
    <w:link w:val="NormalWeb"/>
    <w:uiPriority w:val="99"/>
    <w:rsid w:val="00557077"/>
    <w:rPr>
      <w:rFonts w:ascii="Times New Roman" w:eastAsia="Times New Roman" w:hAnsi="Times New Roman" w:cs="Times New Roman"/>
      <w:sz w:val="24"/>
      <w:szCs w:val="24"/>
      <w:lang w:eastAsia="es-CO"/>
    </w:rPr>
  </w:style>
  <w:style w:type="paragraph" w:styleId="Sinespaciado">
    <w:name w:val="No Spacing"/>
    <w:uiPriority w:val="1"/>
    <w:qFormat/>
    <w:rsid w:val="00557077"/>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557077"/>
    <w:pPr>
      <w:spacing w:after="200" w:line="240" w:lineRule="auto"/>
    </w:pPr>
    <w:rPr>
      <w:rFonts w:ascii="Times New Roman" w:eastAsia="Times New Roman" w:hAnsi="Times New Roman" w:cs="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funcionpublica.gov.co/eva/gestornormativo/norma.php?i=200223"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purl.org/dc/terms/"/>
    <ds:schemaRef ds:uri="http://purl.org/dc/dcmitype/"/>
    <ds:schemaRef ds:uri="9d85dbaf-23eb-4e57-a637-93dcacc8b1a1"/>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a6cb9e4b-f1d1-4245-83ec-6cad768d538a"/>
    <ds:schemaRef ds:uri="http://www.w3.org/XML/1998/namespace"/>
  </ds:schemaRefs>
</ds:datastoreItem>
</file>

<file path=customXml/itemProps2.xml><?xml version="1.0" encoding="utf-8"?>
<ds:datastoreItem xmlns:ds="http://schemas.openxmlformats.org/officeDocument/2006/customXml" ds:itemID="{DF1DB573-AE04-4D6E-9991-6887E774B5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4C8A308-3487-4307-99EF-F9D5CD2765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6305</Words>
  <Characters>34679</Characters>
  <Application>Microsoft Office Word</Application>
  <DocSecurity>0</DocSecurity>
  <Lines>288</Lines>
  <Paragraphs>81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40903</CharactersWithSpaces>
  <SharedDoc>false</SharedDoc>
  <HLinks>
    <vt:vector size="36" baseType="variant">
      <vt:variant>
        <vt:i4>3276900</vt:i4>
      </vt:variant>
      <vt:variant>
        <vt:i4>15</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3014696</vt:i4>
      </vt:variant>
      <vt:variant>
        <vt:i4>12</vt:i4>
      </vt:variant>
      <vt:variant>
        <vt:i4>0</vt:i4>
      </vt:variant>
      <vt:variant>
        <vt:i4>5</vt:i4>
      </vt:variant>
      <vt:variant>
        <vt:lpwstr>https://nam02.safelinks.protection.outlook.com/?url=https%3A%2F%2Fwww.colombiacompra.gov.co%2Fnormativa-y-relatoria%2Fdocumentos-tipo&amp;data=05%7C02%7Cximena.rios%40colombiacompra.gov.co%7C7cfff6dece924643582c08dd97bfed90%7C7b09041e245149d08cb179d5e3d8c1be%7C0%7C0%7C638833572792139172%7CUnknown%7CTWFpbGZsb3d8eyJFbXB0eU1hcGkiOnRydWUsIlYiOiIwLjAuMDAwMCIsIlAiOiJXaW4zMiIsIkFOIjoiTWFpbCIsIldUIjoyfQ%3D%3D%7C0%7C%7C%7C&amp;sdata=CQCNL%2FWMosZXj6omE9vjPO1mxyYEnVE2DOUQ9Zx1cq0%3D&amp;reserved=0</vt:lpwstr>
      </vt:variant>
      <vt:variant>
        <vt:lpwstr/>
      </vt:variant>
      <vt:variant>
        <vt:i4>4063266</vt:i4>
      </vt:variant>
      <vt:variant>
        <vt:i4>9</vt:i4>
      </vt:variant>
      <vt:variant>
        <vt:i4>0</vt:i4>
      </vt:variant>
      <vt:variant>
        <vt:i4>5</vt:i4>
      </vt:variant>
      <vt:variant>
        <vt:lpwstr>https://nam02.safelinks.protection.outlook.com/?url=https%3A%2F%2Fwww.colombiacompra.gov.co%2Farchivos%2Fconvocatoria%2Fparticipacion-ciudadana-proyecto-de-la-guia-para-la-elaboracion-de-estudios-del-sector&amp;data=05%7C02%7Cximena.rios%40colombiacompra.gov.co%7C7cfff6dece924643582c08dd97bfed90%7C7b09041e245149d08cb179d5e3d8c1be%7C0%7C0%7C638833572792096371%7CUnknown%7CTWFpbGZsb3d8eyJFbXB0eU1hcGkiOnRydWUsIlYiOiIwLjAuMDAwMCIsIlAiOiJXaW4zMiIsIkFOIjoiTWFpbCIsIldUIjoyfQ%3D%3D%7C0%7C%7C%7C&amp;sdata=UYgKmSkRyxwQ2g%2FUiv6PgLM66fzh1FmO7VrSbeE%2FGhg%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2490405</vt:i4>
      </vt:variant>
      <vt:variant>
        <vt:i4>3</vt:i4>
      </vt:variant>
      <vt:variant>
        <vt:i4>0</vt:i4>
      </vt:variant>
      <vt:variant>
        <vt:i4>5</vt:i4>
      </vt:variant>
      <vt:variant>
        <vt:lpwstr>https://www.funcionpublica.gov.co/eva/gestornormativo/norma.php?i=25678</vt:lpwstr>
      </vt:variant>
      <vt:variant>
        <vt:lpwstr>1150</vt:lpwstr>
      </vt:variant>
      <vt:variant>
        <vt:i4>2424878</vt:i4>
      </vt:variant>
      <vt:variant>
        <vt:i4>0</vt:i4>
      </vt:variant>
      <vt:variant>
        <vt:i4>0</vt:i4>
      </vt:variant>
      <vt:variant>
        <vt:i4>5</vt:i4>
      </vt:variant>
      <vt:variant>
        <vt:lpwstr>https://www.funcionpublica.gov.co/eva/gestornormativo/norma.php?i=304</vt:lpwstr>
      </vt:variant>
      <vt:variant>
        <vt:lpwstr>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2025-07-08T00:28:00Z</dcterms:created>
  <dcterms:modified xsi:type="dcterms:W3CDTF">2025-07-08T00:28:00Z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