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B85D" w14:textId="77777777" w:rsidR="00066311" w:rsidRPr="00EA32CB" w:rsidRDefault="00066311" w:rsidP="00066311">
      <w:pPr>
        <w:autoSpaceDE w:val="0"/>
        <w:autoSpaceDN w:val="0"/>
        <w:adjustRightInd w:val="0"/>
        <w:spacing w:after="0"/>
        <w:jc w:val="both"/>
        <w:rPr>
          <w:rFonts w:ascii="Verdana" w:eastAsia="Calibri" w:hAnsi="Verdana" w:cs="Arial"/>
          <w:b/>
          <w:bCs/>
        </w:rPr>
      </w:pPr>
      <w:bookmarkStart w:id="0" w:name="_Hlk143780582"/>
      <w:r w:rsidRPr="00EA32CB">
        <w:rPr>
          <w:rFonts w:ascii="Verdana" w:eastAsia="Calibri" w:hAnsi="Verdana" w:cs="Arial"/>
          <w:b/>
          <w:bCs/>
        </w:rPr>
        <w:t xml:space="preserve">CAPACIDAD RESIDUAL – Decreto 1082 de 2015 </w:t>
      </w:r>
    </w:p>
    <w:p w14:paraId="3FA97C16" w14:textId="77777777" w:rsidR="00066311" w:rsidRPr="00EA32CB" w:rsidRDefault="00066311" w:rsidP="00066311">
      <w:pPr>
        <w:autoSpaceDE w:val="0"/>
        <w:autoSpaceDN w:val="0"/>
        <w:adjustRightInd w:val="0"/>
        <w:spacing w:after="0"/>
        <w:jc w:val="both"/>
        <w:rPr>
          <w:rFonts w:ascii="Verdana" w:eastAsia="Calibri" w:hAnsi="Verdana" w:cs="Arial"/>
          <w:bCs/>
          <w:color w:val="000000" w:themeColor="text1"/>
          <w:sz w:val="20"/>
          <w:szCs w:val="20"/>
        </w:rPr>
      </w:pPr>
    </w:p>
    <w:p w14:paraId="640A2996" w14:textId="77777777" w:rsidR="00066311" w:rsidRPr="00EA32CB" w:rsidRDefault="00066311" w:rsidP="00066311">
      <w:pPr>
        <w:spacing w:after="0" w:line="240" w:lineRule="auto"/>
        <w:jc w:val="both"/>
        <w:rPr>
          <w:rFonts w:ascii="Verdana" w:eastAsia="Calibri" w:hAnsi="Verdana" w:cs="Arial"/>
          <w:color w:val="000000" w:themeColor="text1"/>
          <w:sz w:val="20"/>
          <w:szCs w:val="20"/>
          <w:lang w:val="es-MX"/>
        </w:rPr>
      </w:pPr>
      <w:r w:rsidRPr="00EA32CB">
        <w:rPr>
          <w:rFonts w:ascii="Verdana" w:eastAsia="Calibri" w:hAnsi="Verdana" w:cs="Arial"/>
          <w:color w:val="000000" w:themeColor="text1"/>
          <w:sz w:val="20"/>
          <w:szCs w:val="20"/>
          <w:lang w:val="es-MX"/>
        </w:rPr>
        <w:t xml:space="preserv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EA32CB">
        <w:rPr>
          <w:rFonts w:ascii="Verdana" w:eastAsia="Calibri" w:hAnsi="Verdana" w:cs="Arial"/>
          <w:color w:val="000000" w:themeColor="text1"/>
          <w:sz w:val="20"/>
          <w:szCs w:val="20"/>
          <w:lang w:val="es-MX"/>
        </w:rPr>
        <w:t>ii</w:t>
      </w:r>
      <w:proofErr w:type="spellEnd"/>
      <w:r w:rsidRPr="00EA32CB">
        <w:rPr>
          <w:rFonts w:ascii="Verdana" w:eastAsia="Calibri" w:hAnsi="Verdana" w:cs="Arial"/>
          <w:color w:val="000000" w:themeColor="text1"/>
          <w:sz w:val="20"/>
          <w:szCs w:val="20"/>
          <w:lang w:val="es-MX"/>
        </w:rPr>
        <w:t xml:space="preserve">) Capacidad Financiera –CF–, </w:t>
      </w:r>
      <w:proofErr w:type="spellStart"/>
      <w:r w:rsidRPr="00EA32CB">
        <w:rPr>
          <w:rFonts w:ascii="Verdana" w:eastAsia="Calibri" w:hAnsi="Verdana" w:cs="Arial"/>
          <w:color w:val="000000" w:themeColor="text1"/>
          <w:sz w:val="20"/>
          <w:szCs w:val="20"/>
          <w:lang w:val="es-MX"/>
        </w:rPr>
        <w:t>iii</w:t>
      </w:r>
      <w:proofErr w:type="spellEnd"/>
      <w:r w:rsidRPr="00EA32CB">
        <w:rPr>
          <w:rFonts w:ascii="Verdana" w:eastAsia="Calibri" w:hAnsi="Verdana" w:cs="Arial"/>
          <w:color w:val="000000" w:themeColor="text1"/>
          <w:sz w:val="20"/>
          <w:szCs w:val="20"/>
          <w:lang w:val="es-MX"/>
        </w:rPr>
        <w:t xml:space="preserve">) Capacidad Técnica –CT–, </w:t>
      </w:r>
      <w:proofErr w:type="spellStart"/>
      <w:r w:rsidRPr="00EA32CB">
        <w:rPr>
          <w:rFonts w:ascii="Verdana" w:eastAsia="Calibri" w:hAnsi="Verdana" w:cs="Arial"/>
          <w:color w:val="000000" w:themeColor="text1"/>
          <w:sz w:val="20"/>
          <w:szCs w:val="20"/>
          <w:lang w:val="es-MX"/>
        </w:rPr>
        <w:t>iv</w:t>
      </w:r>
      <w:proofErr w:type="spellEnd"/>
      <w:r w:rsidRPr="00EA32CB">
        <w:rPr>
          <w:rFonts w:ascii="Verdana" w:eastAsia="Calibri" w:hAnsi="Verdana" w:cs="Arial"/>
          <w:color w:val="000000" w:themeColor="text1"/>
          <w:sz w:val="20"/>
          <w:szCs w:val="20"/>
          <w:lang w:val="es-MX"/>
        </w:rPr>
        <w:t xml:space="preserve">) Capacidad de Organización y v) los Saldos de los Contratos en Ejecución –SCE–. </w:t>
      </w:r>
    </w:p>
    <w:p w14:paraId="74EA5846" w14:textId="77777777" w:rsidR="00066311" w:rsidRPr="00EA32CB" w:rsidRDefault="00066311" w:rsidP="00066311">
      <w:pPr>
        <w:spacing w:after="0" w:line="240" w:lineRule="auto"/>
        <w:jc w:val="both"/>
        <w:rPr>
          <w:rFonts w:ascii="Verdana" w:hAnsi="Verdana" w:cs="Arial"/>
          <w:sz w:val="20"/>
          <w:szCs w:val="20"/>
          <w:lang w:val="es-MX"/>
        </w:rPr>
      </w:pPr>
      <w:r w:rsidRPr="00EA32CB">
        <w:rPr>
          <w:rFonts w:ascii="Verdana" w:eastAsia="Calibri" w:hAnsi="Verdana" w:cs="Arial"/>
          <w:color w:val="000000" w:themeColor="text1"/>
          <w:sz w:val="20"/>
          <w:szCs w:val="20"/>
          <w:lang w:val="es-MX"/>
        </w:rPr>
        <w:t xml:space="preserve">De igual manera, </w:t>
      </w:r>
      <w:r w:rsidRPr="00EA32CB">
        <w:rPr>
          <w:rFonts w:ascii="Verdana" w:hAnsi="Verdana" w:cs="Arial"/>
          <w:sz w:val="20"/>
          <w:szCs w:val="20"/>
          <w:lang w:val="es-MX"/>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EA32CB">
        <w:rPr>
          <w:rFonts w:ascii="Verdana" w:hAnsi="Verdana" w:cs="Arial"/>
          <w:sz w:val="20"/>
          <w:szCs w:val="20"/>
          <w:lang w:val="es-MX"/>
        </w:rPr>
        <w:t>ii</w:t>
      </w:r>
      <w:proofErr w:type="spellEnd"/>
      <w:r w:rsidRPr="00EA32CB">
        <w:rPr>
          <w:rFonts w:ascii="Verdana" w:hAnsi="Verdana" w:cs="Arial"/>
          <w:sz w:val="20"/>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EA32CB">
        <w:rPr>
          <w:rFonts w:ascii="Verdana" w:hAnsi="Verdana" w:cs="Arial"/>
          <w:sz w:val="20"/>
          <w:szCs w:val="20"/>
          <w:lang w:val="es-MX"/>
        </w:rPr>
        <w:t>iii</w:t>
      </w:r>
      <w:proofErr w:type="spellEnd"/>
      <w:r w:rsidRPr="00EA32CB">
        <w:rPr>
          <w:rFonts w:ascii="Verdana" w:hAnsi="Verdana" w:cs="Arial"/>
          <w:sz w:val="20"/>
          <w:szCs w:val="20"/>
          <w:lang w:val="es-MX"/>
        </w:rPr>
        <w:t>) el balance general auditado del año inmediatamente anterior y estado de resultados auditado del año en que haya obtenido el mayor ingreso operacional en los últimos cinco (5) años.</w:t>
      </w:r>
    </w:p>
    <w:p w14:paraId="5D496E23" w14:textId="77777777" w:rsidR="00066311" w:rsidRPr="00EA32CB" w:rsidRDefault="00066311" w:rsidP="00066311">
      <w:pPr>
        <w:spacing w:after="0"/>
        <w:jc w:val="both"/>
        <w:rPr>
          <w:rFonts w:ascii="Verdana" w:eastAsia="Calibri" w:hAnsi="Verdana" w:cs="Arial"/>
          <w:b/>
          <w:lang w:val="es-MX"/>
        </w:rPr>
      </w:pPr>
    </w:p>
    <w:p w14:paraId="65132687" w14:textId="77777777" w:rsidR="00066311" w:rsidRPr="00EA32CB" w:rsidRDefault="00066311" w:rsidP="00066311">
      <w:pPr>
        <w:autoSpaceDE w:val="0"/>
        <w:autoSpaceDN w:val="0"/>
        <w:adjustRightInd w:val="0"/>
        <w:spacing w:after="0"/>
        <w:jc w:val="both"/>
        <w:rPr>
          <w:rFonts w:ascii="Verdana" w:eastAsia="Calibri" w:hAnsi="Verdana" w:cs="Arial"/>
          <w:b/>
        </w:rPr>
      </w:pPr>
      <w:r w:rsidRPr="00EA32CB">
        <w:rPr>
          <w:rFonts w:ascii="Verdana" w:eastAsia="Calibri" w:hAnsi="Verdana" w:cs="Arial"/>
          <w:b/>
          <w:bCs/>
        </w:rPr>
        <w:t xml:space="preserve">CAPACIDAD RESIDUAL – Saldos de Contratos en Ejecución </w:t>
      </w:r>
      <w:r>
        <w:rPr>
          <w:rFonts w:ascii="Verdana" w:eastAsia="Calibri" w:hAnsi="Verdana" w:cs="Arial"/>
          <w:b/>
          <w:color w:val="000000" w:themeColor="text1"/>
        </w:rPr>
        <w:t>“</w:t>
      </w:r>
      <w:r w:rsidRPr="00EA32CB">
        <w:rPr>
          <w:rFonts w:ascii="Verdana" w:eastAsia="Calibri" w:hAnsi="Verdana" w:cs="Arial"/>
          <w:b/>
          <w:color w:val="000000" w:themeColor="text1"/>
        </w:rPr>
        <w:t>SCE</w:t>
      </w:r>
      <w:r>
        <w:rPr>
          <w:rFonts w:ascii="Verdana" w:eastAsia="Calibri" w:hAnsi="Verdana" w:cs="Arial"/>
          <w:b/>
          <w:color w:val="000000" w:themeColor="text1"/>
        </w:rPr>
        <w:t>”</w:t>
      </w:r>
      <w:r w:rsidRPr="00EA32CB">
        <w:rPr>
          <w:rFonts w:ascii="Verdana" w:eastAsia="Calibri" w:hAnsi="Verdana" w:cs="Arial"/>
          <w:b/>
          <w:color w:val="000000" w:themeColor="text1"/>
        </w:rPr>
        <w:t xml:space="preserve"> </w:t>
      </w:r>
    </w:p>
    <w:p w14:paraId="2ABA05E0" w14:textId="77777777" w:rsidR="00066311" w:rsidRPr="00EA32CB" w:rsidRDefault="00066311" w:rsidP="00066311">
      <w:pPr>
        <w:spacing w:after="0"/>
        <w:jc w:val="both"/>
        <w:rPr>
          <w:rFonts w:ascii="Verdana" w:eastAsia="Calibri" w:hAnsi="Verdana" w:cs="Arial"/>
          <w:sz w:val="20"/>
          <w:szCs w:val="20"/>
        </w:rPr>
      </w:pPr>
    </w:p>
    <w:p w14:paraId="3D802D61" w14:textId="77777777" w:rsidR="00066311" w:rsidRPr="00EA32CB" w:rsidRDefault="00066311" w:rsidP="00066311">
      <w:pPr>
        <w:spacing w:after="0"/>
        <w:jc w:val="both"/>
        <w:rPr>
          <w:rFonts w:ascii="Verdana" w:eastAsia="Calibri" w:hAnsi="Verdana" w:cs="Arial"/>
          <w:bCs/>
          <w:color w:val="000000" w:themeColor="text1"/>
          <w:sz w:val="20"/>
          <w:szCs w:val="20"/>
        </w:rPr>
      </w:pPr>
      <w:r w:rsidRPr="00EA32CB">
        <w:rPr>
          <w:rFonts w:ascii="Verdana" w:eastAsia="Calibri" w:hAnsi="Verdana" w:cs="Arial"/>
          <w:bCs/>
          <w:color w:val="000000" w:themeColor="text1"/>
          <w:sz w:val="20"/>
          <w:szCs w:val="20"/>
          <w:lang w:val="es-MX"/>
        </w:rPr>
        <w:t xml:space="preserve">Respecto del factor de saldos de los contratos en ejecución </w:t>
      </w:r>
      <w:r>
        <w:rPr>
          <w:rFonts w:ascii="Verdana" w:eastAsia="Calibri" w:hAnsi="Verdana" w:cs="Arial"/>
          <w:bCs/>
          <w:color w:val="000000" w:themeColor="text1"/>
          <w:sz w:val="20"/>
          <w:szCs w:val="20"/>
        </w:rPr>
        <w:t>“</w:t>
      </w:r>
      <w:r w:rsidRPr="00EA32CB">
        <w:rPr>
          <w:rFonts w:ascii="Verdana" w:eastAsia="Calibri" w:hAnsi="Verdana" w:cs="Arial"/>
          <w:bCs/>
          <w:color w:val="000000" w:themeColor="text1"/>
          <w:sz w:val="20"/>
          <w:szCs w:val="20"/>
        </w:rPr>
        <w:t>SCE</w:t>
      </w:r>
      <w:r>
        <w:rPr>
          <w:rFonts w:ascii="Verdana" w:eastAsia="Calibri" w:hAnsi="Verdana" w:cs="Arial"/>
          <w:bCs/>
          <w:color w:val="000000" w:themeColor="text1"/>
          <w:sz w:val="20"/>
          <w:szCs w:val="20"/>
        </w:rPr>
        <w:t>”</w:t>
      </w:r>
      <w:r w:rsidRPr="00EA32CB">
        <w:rPr>
          <w:rFonts w:ascii="Verdana" w:eastAsia="Calibri" w:hAnsi="Verdana" w:cs="Arial"/>
          <w:bCs/>
          <w:color w:val="000000" w:themeColor="text1"/>
          <w:sz w:val="20"/>
          <w:szCs w:val="20"/>
        </w:rPr>
        <w:t>, es necesario tener en cuenta que la Guía para Determinar y Verificar la Capacidad Residual del Proponente en los Procesos de Contratación de Obra Pública</w:t>
      </w:r>
      <w:r w:rsidRPr="00EA32CB">
        <w:rPr>
          <w:rFonts w:ascii="Verdana" w:eastAsia="Calibri" w:hAnsi="Verdana" w:cs="Arial"/>
          <w:bCs/>
          <w:i/>
          <w:iCs/>
          <w:color w:val="000000" w:themeColor="text1"/>
          <w:sz w:val="20"/>
          <w:szCs w:val="20"/>
        </w:rPr>
        <w:t xml:space="preserve">, </w:t>
      </w:r>
      <w:r w:rsidRPr="00EA32CB">
        <w:rPr>
          <w:rFonts w:ascii="Verdana" w:eastAsia="Calibri" w:hAnsi="Verdana" w:cs="Arial"/>
          <w:bCs/>
          <w:color w:val="000000" w:themeColor="text1"/>
          <w:sz w:val="20"/>
          <w:szCs w:val="20"/>
        </w:rPr>
        <w:t xml:space="preserve">define a este factor como </w:t>
      </w:r>
      <w:r>
        <w:rPr>
          <w:rFonts w:ascii="Verdana" w:eastAsia="Calibri" w:hAnsi="Verdana" w:cs="Arial"/>
          <w:bCs/>
          <w:color w:val="000000" w:themeColor="text1"/>
          <w:sz w:val="20"/>
          <w:szCs w:val="20"/>
        </w:rPr>
        <w:t>“</w:t>
      </w:r>
      <w:r w:rsidRPr="00EA32CB">
        <w:rPr>
          <w:rFonts w:ascii="Verdana" w:eastAsia="Calibri" w:hAnsi="Verdana" w:cs="Arial"/>
          <w:bCs/>
          <w:color w:val="000000" w:themeColor="text1"/>
          <w:sz w:val="20"/>
          <w:szCs w:val="20"/>
        </w:rPr>
        <w:t>la suma de los montos por ejecutar de los contratos en ejecución durante los 12 meses siguientes</w:t>
      </w:r>
      <w:r>
        <w:rPr>
          <w:rFonts w:ascii="Verdana" w:eastAsia="Calibri" w:hAnsi="Verdana" w:cs="Arial"/>
          <w:bCs/>
          <w:color w:val="000000" w:themeColor="text1"/>
          <w:sz w:val="20"/>
          <w:szCs w:val="20"/>
        </w:rPr>
        <w:t>”</w:t>
      </w:r>
      <w:r w:rsidRPr="00EA32CB">
        <w:rPr>
          <w:rFonts w:ascii="Verdana" w:eastAsia="Calibri" w:hAnsi="Verdana" w:cs="Arial"/>
          <w:bCs/>
          <w:color w:val="000000" w:themeColor="text1"/>
          <w:sz w:val="20"/>
          <w:szCs w:val="20"/>
        </w:rPr>
        <w:t xml:space="preserve">. […],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los saldos pendientes por ejecutar de los contratos afectados por una suspensión constituyen, también, información relevante para calcular la capacidad residual del proponente </w:t>
      </w:r>
      <w:r>
        <w:rPr>
          <w:rFonts w:ascii="Verdana" w:eastAsia="Calibri" w:hAnsi="Verdana" w:cs="Arial"/>
          <w:b/>
          <w:bCs/>
          <w:color w:val="000000" w:themeColor="text1"/>
          <w:sz w:val="20"/>
          <w:szCs w:val="20"/>
        </w:rPr>
        <w:t>“</w:t>
      </w:r>
      <w:r w:rsidRPr="00EA32CB">
        <w:rPr>
          <w:rFonts w:ascii="Verdana" w:eastAsia="Calibri" w:hAnsi="Verdana" w:cs="Arial"/>
          <w:bCs/>
          <w:color w:val="000000" w:themeColor="text1"/>
          <w:sz w:val="20"/>
          <w:szCs w:val="20"/>
        </w:rPr>
        <w:t>CRP</w:t>
      </w:r>
      <w:r>
        <w:rPr>
          <w:rFonts w:ascii="Verdana" w:eastAsia="Calibri" w:hAnsi="Verdana" w:cs="Arial"/>
          <w:b/>
          <w:bCs/>
          <w:color w:val="000000" w:themeColor="text1"/>
          <w:sz w:val="20"/>
          <w:szCs w:val="20"/>
        </w:rPr>
        <w:t>”</w:t>
      </w:r>
      <w:r w:rsidRPr="00EA32CB">
        <w:rPr>
          <w:rFonts w:ascii="Verdana" w:eastAsia="Calibri" w:hAnsi="Verdana" w:cs="Arial"/>
          <w:bCs/>
          <w:color w:val="000000" w:themeColor="text1"/>
          <w:sz w:val="20"/>
          <w:szCs w:val="20"/>
        </w:rPr>
        <w:t xml:space="preserve">. </w:t>
      </w:r>
    </w:p>
    <w:p w14:paraId="7959B541" w14:textId="77777777" w:rsidR="00066311" w:rsidRPr="00EA32CB" w:rsidRDefault="00066311" w:rsidP="00066311">
      <w:pPr>
        <w:spacing w:after="0"/>
        <w:jc w:val="both"/>
        <w:rPr>
          <w:rFonts w:ascii="Verdana" w:eastAsia="Calibri" w:hAnsi="Verdana" w:cs="Arial"/>
          <w:b/>
          <w:lang w:val="es-MX"/>
        </w:rPr>
      </w:pPr>
    </w:p>
    <w:p w14:paraId="018B88B6" w14:textId="77777777" w:rsidR="00066311" w:rsidRPr="00EA32CB" w:rsidRDefault="00066311" w:rsidP="00066311">
      <w:pPr>
        <w:spacing w:after="0"/>
        <w:jc w:val="both"/>
        <w:rPr>
          <w:rFonts w:ascii="Verdana" w:eastAsia="Calibri" w:hAnsi="Verdana" w:cs="Arial"/>
          <w:b/>
          <w:lang w:val="es-MX"/>
        </w:rPr>
      </w:pPr>
      <w:r w:rsidRPr="00EA32CB">
        <w:rPr>
          <w:rFonts w:ascii="Verdana" w:eastAsia="Calibri" w:hAnsi="Verdana" w:cs="Arial"/>
          <w:b/>
          <w:lang w:val="es-MX"/>
        </w:rPr>
        <w:t xml:space="preserve">DOCUMENTOS TIPO – Infraestructura de transporte – Versión </w:t>
      </w:r>
      <w:r>
        <w:rPr>
          <w:rFonts w:ascii="Verdana" w:eastAsia="Calibri" w:hAnsi="Verdana" w:cs="Arial"/>
          <w:b/>
          <w:lang w:val="es-MX"/>
        </w:rPr>
        <w:t>4</w:t>
      </w:r>
      <w:r w:rsidRPr="00EA32CB">
        <w:rPr>
          <w:rFonts w:ascii="Verdana" w:eastAsia="Calibri" w:hAnsi="Verdana" w:cs="Arial"/>
          <w:b/>
          <w:lang w:val="es-MX"/>
        </w:rPr>
        <w:t xml:space="preserve"> – Capacidad residual – </w:t>
      </w:r>
      <w:r>
        <w:rPr>
          <w:rFonts w:ascii="Verdana" w:eastAsia="Calibri" w:hAnsi="Verdana" w:cs="Arial"/>
          <w:b/>
          <w:color w:val="000000" w:themeColor="text1"/>
        </w:rPr>
        <w:t>“</w:t>
      </w:r>
      <w:r w:rsidRPr="00EA32CB">
        <w:rPr>
          <w:rFonts w:ascii="Verdana" w:eastAsia="Calibri" w:hAnsi="Verdana" w:cs="Arial"/>
          <w:b/>
          <w:color w:val="000000" w:themeColor="text1"/>
        </w:rPr>
        <w:t>SCE</w:t>
      </w:r>
      <w:r>
        <w:rPr>
          <w:rFonts w:ascii="Verdana" w:eastAsia="Calibri" w:hAnsi="Verdana" w:cs="Arial"/>
          <w:b/>
          <w:color w:val="000000" w:themeColor="text1"/>
        </w:rPr>
        <w:t>”</w:t>
      </w:r>
    </w:p>
    <w:p w14:paraId="6108589A" w14:textId="77777777" w:rsidR="00066311" w:rsidRPr="00EA32CB" w:rsidRDefault="00066311" w:rsidP="00066311">
      <w:pPr>
        <w:spacing w:after="0"/>
        <w:rPr>
          <w:rFonts w:ascii="Verdana" w:hAnsi="Verdana" w:cs="Arial"/>
          <w:sz w:val="20"/>
          <w:szCs w:val="20"/>
          <w:lang w:val="es-MX"/>
        </w:rPr>
      </w:pPr>
    </w:p>
    <w:p w14:paraId="183BE56A" w14:textId="77777777" w:rsidR="00066311" w:rsidRPr="00EA32CB" w:rsidRDefault="00066311" w:rsidP="00066311">
      <w:pPr>
        <w:tabs>
          <w:tab w:val="left" w:pos="426"/>
        </w:tabs>
        <w:spacing w:after="0"/>
        <w:jc w:val="both"/>
        <w:rPr>
          <w:rFonts w:ascii="Verdana" w:eastAsia="Calibri" w:hAnsi="Verdana" w:cs="Arial"/>
          <w:sz w:val="20"/>
          <w:szCs w:val="20"/>
        </w:rPr>
      </w:pPr>
      <w:r w:rsidRPr="00EA32CB">
        <w:rPr>
          <w:rFonts w:ascii="Verdana" w:eastAsia="Calibri" w:hAnsi="Verdana" w:cs="Arial"/>
          <w:sz w:val="20"/>
          <w:szCs w:val="20"/>
        </w:rPr>
        <w:t xml:space="preserve">Sobre la acreditación del factor </w:t>
      </w:r>
      <w:r>
        <w:rPr>
          <w:rFonts w:ascii="Verdana" w:eastAsia="Calibri" w:hAnsi="Verdana" w:cs="Arial"/>
          <w:bCs/>
          <w:sz w:val="20"/>
          <w:szCs w:val="20"/>
        </w:rPr>
        <w:t>“</w:t>
      </w:r>
      <w:r w:rsidRPr="00EA32CB">
        <w:rPr>
          <w:rFonts w:ascii="Verdana" w:eastAsia="Calibri" w:hAnsi="Verdana" w:cs="Arial"/>
          <w:bCs/>
          <w:sz w:val="20"/>
          <w:szCs w:val="20"/>
        </w:rPr>
        <w:t>SCE</w:t>
      </w:r>
      <w:r>
        <w:rPr>
          <w:rFonts w:ascii="Verdana" w:eastAsia="Calibri" w:hAnsi="Verdana" w:cs="Arial"/>
          <w:bCs/>
          <w:sz w:val="20"/>
          <w:szCs w:val="20"/>
        </w:rPr>
        <w:t>”</w:t>
      </w:r>
      <w:r w:rsidRPr="00EA32CB">
        <w:rPr>
          <w:rFonts w:ascii="Verdana" w:eastAsia="Calibri" w:hAnsi="Verdana" w:cs="Arial"/>
          <w:bCs/>
          <w:sz w:val="20"/>
          <w:szCs w:val="20"/>
        </w:rPr>
        <w:t xml:space="preserve"> </w:t>
      </w:r>
      <w:r w:rsidRPr="00EA32CB">
        <w:rPr>
          <w:rFonts w:ascii="Verdana" w:eastAsia="Calibri" w:hAnsi="Verdana" w:cs="Arial"/>
          <w:sz w:val="20"/>
          <w:szCs w:val="20"/>
        </w:rPr>
        <w:t>en los documentos tipo de licitación de obra pública para infraestructura de transporte – versión 3, el literal E del numeral 3.1</w:t>
      </w:r>
      <w:r>
        <w:rPr>
          <w:rFonts w:ascii="Verdana" w:eastAsia="Calibri" w:hAnsi="Verdana" w:cs="Arial"/>
          <w:sz w:val="20"/>
          <w:szCs w:val="20"/>
        </w:rPr>
        <w:t>1</w:t>
      </w:r>
      <w:r w:rsidRPr="00EA32CB">
        <w:rPr>
          <w:rFonts w:ascii="Verdana" w:eastAsia="Calibri" w:hAnsi="Verdana" w:cs="Arial"/>
          <w:sz w:val="20"/>
          <w:szCs w:val="20"/>
        </w:rPr>
        <w:t xml:space="preserve">.2 del documento base señala lo siguiente: Para acreditar el factor (SCE) el Proponente tendrá en cuenta lo siguiente: […] </w:t>
      </w:r>
      <w:r w:rsidRPr="00EA32CB">
        <w:rPr>
          <w:rFonts w:ascii="Verdana" w:eastAsia="Calibri" w:hAnsi="Verdana" w:cs="Arial"/>
          <w:sz w:val="20"/>
          <w:szCs w:val="20"/>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III</w:t>
      </w:r>
      <w:r w:rsidRPr="00EA32CB">
        <w:rPr>
          <w:rFonts w:ascii="Verdana" w:eastAsia="Calibri" w:hAnsi="Verdana" w:cs="Arial"/>
          <w:i/>
          <w:iCs/>
          <w:sz w:val="20"/>
          <w:szCs w:val="20"/>
          <w:lang w:val="es-MX"/>
        </w:rPr>
        <w:t xml:space="preserve">.  Se tendrán en cuenta los contratos de obras civiles en ejecución suscritos por el proponente </w:t>
      </w:r>
      <w:r w:rsidRPr="00EA32CB">
        <w:rPr>
          <w:rFonts w:ascii="Verdana" w:eastAsia="Calibri" w:hAnsi="Verdana" w:cs="Arial"/>
          <w:i/>
          <w:iCs/>
          <w:sz w:val="20"/>
          <w:szCs w:val="20"/>
          <w:lang w:val="es-MX"/>
        </w:rPr>
        <w:lastRenderedPageBreak/>
        <w:t>o por sociedades, consorcios o uniones temporales en los cuales el proponente tenga participación</w:t>
      </w:r>
      <w:r w:rsidRPr="00EA32CB">
        <w:rPr>
          <w:rFonts w:ascii="Verdana" w:eastAsia="Calibri" w:hAnsi="Verdana" w:cs="Arial"/>
          <w:sz w:val="20"/>
          <w:szCs w:val="20"/>
        </w:rPr>
        <w:t>. […]  [Énfasis por fuera de texto].</w:t>
      </w:r>
    </w:p>
    <w:p w14:paraId="4CDCCDCD" w14:textId="77777777" w:rsidR="00066311" w:rsidRPr="00EA32CB" w:rsidRDefault="00066311" w:rsidP="00066311">
      <w:pPr>
        <w:spacing w:line="276" w:lineRule="auto"/>
        <w:jc w:val="both"/>
        <w:rPr>
          <w:rFonts w:ascii="Verdana" w:eastAsia="Calibri" w:hAnsi="Verdana" w:cs="Arial"/>
          <w:sz w:val="20"/>
          <w:szCs w:val="20"/>
          <w:lang w:val="es-MX"/>
        </w:rPr>
      </w:pPr>
    </w:p>
    <w:p w14:paraId="4DD01773" w14:textId="77777777" w:rsidR="00066311" w:rsidRDefault="00066311" w:rsidP="00066311">
      <w:pPr>
        <w:spacing w:line="276" w:lineRule="auto"/>
        <w:jc w:val="both"/>
        <w:rPr>
          <w:rFonts w:ascii="Verdana" w:hAnsi="Verdana" w:cs="Arial"/>
          <w:noProof/>
          <w:color w:val="000000" w:themeColor="text1"/>
          <w:lang w:val="pt-BR"/>
        </w:rPr>
      </w:pPr>
    </w:p>
    <w:p w14:paraId="432078C9" w14:textId="77777777" w:rsidR="00066311" w:rsidRDefault="00066311" w:rsidP="00066311">
      <w:pPr>
        <w:spacing w:line="276" w:lineRule="auto"/>
        <w:jc w:val="both"/>
        <w:rPr>
          <w:rFonts w:ascii="Verdana" w:hAnsi="Verdana" w:cs="Arial"/>
          <w:noProof/>
          <w:color w:val="000000" w:themeColor="text1"/>
          <w:lang w:val="pt-BR"/>
        </w:rPr>
      </w:pPr>
    </w:p>
    <w:p w14:paraId="4FC680F9" w14:textId="77777777" w:rsidR="00066311" w:rsidRDefault="00066311" w:rsidP="00066311">
      <w:pPr>
        <w:spacing w:line="276" w:lineRule="auto"/>
        <w:jc w:val="both"/>
        <w:rPr>
          <w:rFonts w:ascii="Verdana" w:hAnsi="Verdana" w:cs="Arial"/>
          <w:noProof/>
          <w:color w:val="000000" w:themeColor="text1"/>
          <w:lang w:val="pt-BR"/>
        </w:rPr>
      </w:pPr>
    </w:p>
    <w:p w14:paraId="0D4EB504" w14:textId="77777777" w:rsidR="00066311" w:rsidRDefault="00066311" w:rsidP="00066311">
      <w:pPr>
        <w:spacing w:line="276" w:lineRule="auto"/>
        <w:jc w:val="both"/>
        <w:rPr>
          <w:rFonts w:ascii="Verdana" w:hAnsi="Verdana" w:cs="Arial"/>
          <w:noProof/>
          <w:color w:val="000000" w:themeColor="text1"/>
          <w:lang w:val="pt-BR"/>
        </w:rPr>
      </w:pPr>
    </w:p>
    <w:p w14:paraId="1F8304CA" w14:textId="77777777" w:rsidR="00066311" w:rsidRDefault="00066311" w:rsidP="00066311">
      <w:pPr>
        <w:spacing w:line="276" w:lineRule="auto"/>
        <w:jc w:val="both"/>
        <w:rPr>
          <w:rFonts w:ascii="Verdana" w:hAnsi="Verdana" w:cs="Arial"/>
          <w:noProof/>
          <w:color w:val="000000" w:themeColor="text1"/>
          <w:lang w:val="pt-BR"/>
        </w:rPr>
      </w:pPr>
    </w:p>
    <w:p w14:paraId="005B84EA" w14:textId="77777777" w:rsidR="00066311" w:rsidRDefault="00066311" w:rsidP="00066311">
      <w:pPr>
        <w:spacing w:line="276" w:lineRule="auto"/>
        <w:jc w:val="both"/>
        <w:rPr>
          <w:rFonts w:ascii="Verdana" w:hAnsi="Verdana" w:cs="Arial"/>
          <w:noProof/>
          <w:color w:val="000000" w:themeColor="text1"/>
          <w:lang w:val="pt-BR"/>
        </w:rPr>
      </w:pPr>
    </w:p>
    <w:p w14:paraId="5206BC14" w14:textId="77777777" w:rsidR="00066311" w:rsidRDefault="00066311" w:rsidP="00066311">
      <w:pPr>
        <w:spacing w:line="276" w:lineRule="auto"/>
        <w:jc w:val="both"/>
        <w:rPr>
          <w:rFonts w:ascii="Verdana" w:hAnsi="Verdana" w:cs="Arial"/>
          <w:noProof/>
          <w:color w:val="000000" w:themeColor="text1"/>
          <w:lang w:val="pt-BR"/>
        </w:rPr>
      </w:pPr>
    </w:p>
    <w:p w14:paraId="676A3883" w14:textId="77777777" w:rsidR="00066311" w:rsidRDefault="00066311" w:rsidP="00066311">
      <w:pPr>
        <w:spacing w:line="276" w:lineRule="auto"/>
        <w:jc w:val="both"/>
        <w:rPr>
          <w:rFonts w:ascii="Verdana" w:hAnsi="Verdana" w:cs="Arial"/>
          <w:noProof/>
          <w:color w:val="000000" w:themeColor="text1"/>
          <w:lang w:val="pt-BR"/>
        </w:rPr>
      </w:pPr>
    </w:p>
    <w:p w14:paraId="7106DB5E" w14:textId="77777777" w:rsidR="00066311" w:rsidRDefault="00066311" w:rsidP="00066311">
      <w:pPr>
        <w:spacing w:line="276" w:lineRule="auto"/>
        <w:jc w:val="both"/>
        <w:rPr>
          <w:rFonts w:ascii="Verdana" w:hAnsi="Verdana" w:cs="Arial"/>
          <w:noProof/>
          <w:color w:val="000000" w:themeColor="text1"/>
          <w:lang w:val="pt-BR"/>
        </w:rPr>
      </w:pPr>
    </w:p>
    <w:p w14:paraId="2F1AA6ED" w14:textId="77777777" w:rsidR="00066311" w:rsidRDefault="00066311" w:rsidP="00066311">
      <w:pPr>
        <w:spacing w:line="276" w:lineRule="auto"/>
        <w:jc w:val="both"/>
        <w:rPr>
          <w:rFonts w:ascii="Verdana" w:hAnsi="Verdana" w:cs="Arial"/>
          <w:noProof/>
          <w:color w:val="000000" w:themeColor="text1"/>
          <w:lang w:val="pt-BR"/>
        </w:rPr>
      </w:pPr>
    </w:p>
    <w:p w14:paraId="2C829CA7" w14:textId="77777777" w:rsidR="00066311" w:rsidRDefault="00066311" w:rsidP="00066311">
      <w:pPr>
        <w:spacing w:line="276" w:lineRule="auto"/>
        <w:jc w:val="both"/>
        <w:rPr>
          <w:rFonts w:ascii="Verdana" w:hAnsi="Verdana" w:cs="Arial"/>
          <w:noProof/>
          <w:color w:val="000000" w:themeColor="text1"/>
          <w:lang w:val="pt-BR"/>
        </w:rPr>
      </w:pPr>
    </w:p>
    <w:p w14:paraId="29C0823E" w14:textId="77777777" w:rsidR="00066311" w:rsidRDefault="00066311" w:rsidP="00066311">
      <w:pPr>
        <w:spacing w:line="276" w:lineRule="auto"/>
        <w:jc w:val="both"/>
        <w:rPr>
          <w:rFonts w:ascii="Verdana" w:hAnsi="Verdana" w:cs="Arial"/>
          <w:noProof/>
          <w:color w:val="000000" w:themeColor="text1"/>
          <w:lang w:val="pt-BR"/>
        </w:rPr>
      </w:pPr>
    </w:p>
    <w:p w14:paraId="59515A9D" w14:textId="77777777" w:rsidR="00066311" w:rsidRDefault="00066311" w:rsidP="00066311">
      <w:pPr>
        <w:spacing w:line="276" w:lineRule="auto"/>
        <w:jc w:val="both"/>
        <w:rPr>
          <w:rFonts w:ascii="Verdana" w:hAnsi="Verdana" w:cs="Arial"/>
          <w:noProof/>
          <w:color w:val="000000" w:themeColor="text1"/>
          <w:lang w:val="pt-BR"/>
        </w:rPr>
      </w:pPr>
    </w:p>
    <w:p w14:paraId="210E2DED" w14:textId="77777777" w:rsidR="00066311" w:rsidRDefault="00066311" w:rsidP="00066311">
      <w:pPr>
        <w:spacing w:line="276" w:lineRule="auto"/>
        <w:jc w:val="both"/>
        <w:rPr>
          <w:rFonts w:ascii="Verdana" w:hAnsi="Verdana" w:cs="Arial"/>
          <w:noProof/>
          <w:color w:val="000000" w:themeColor="text1"/>
          <w:lang w:val="pt-BR"/>
        </w:rPr>
      </w:pPr>
    </w:p>
    <w:p w14:paraId="38049E5C" w14:textId="77777777" w:rsidR="00066311" w:rsidRPr="00EA32CB" w:rsidRDefault="00066311" w:rsidP="00066311">
      <w:pPr>
        <w:spacing w:line="276" w:lineRule="auto"/>
        <w:jc w:val="both"/>
        <w:rPr>
          <w:rFonts w:ascii="Verdana" w:hAnsi="Verdana" w:cs="Arial"/>
          <w:noProof/>
          <w:color w:val="000000" w:themeColor="text1"/>
          <w:lang w:val="pt-BR"/>
        </w:rPr>
      </w:pPr>
    </w:p>
    <w:p w14:paraId="243C1148" w14:textId="77777777" w:rsidR="00066311" w:rsidRPr="00EA32CB" w:rsidRDefault="00066311" w:rsidP="00066311">
      <w:pPr>
        <w:spacing w:line="276" w:lineRule="auto"/>
        <w:jc w:val="both"/>
        <w:rPr>
          <w:rFonts w:ascii="Verdana" w:hAnsi="Verdana" w:cs="Arial"/>
          <w:noProof/>
          <w:color w:val="000000" w:themeColor="text1"/>
          <w:lang w:val="pt-BR"/>
        </w:rPr>
      </w:pPr>
    </w:p>
    <w:p w14:paraId="2F6FB32D" w14:textId="77777777" w:rsidR="00066311" w:rsidRPr="00EA32CB" w:rsidRDefault="00066311" w:rsidP="00066311">
      <w:pPr>
        <w:spacing w:after="0" w:line="240" w:lineRule="auto"/>
        <w:jc w:val="both"/>
        <w:rPr>
          <w:rFonts w:ascii="Verdana" w:eastAsia="Calibri" w:hAnsi="Verdana" w:cs="Arial"/>
          <w:color w:val="000000"/>
          <w:sz w:val="20"/>
          <w:szCs w:val="20"/>
          <w:lang w:val="es-ES"/>
        </w:rPr>
      </w:pPr>
    </w:p>
    <w:p w14:paraId="6B398BC7" w14:textId="77777777" w:rsidR="00066311" w:rsidRPr="00E2182C" w:rsidRDefault="00066311" w:rsidP="00066311">
      <w:pPr>
        <w:spacing w:after="0" w:line="240" w:lineRule="auto"/>
        <w:jc w:val="both"/>
        <w:rPr>
          <w:rFonts w:ascii="Verdana" w:eastAsia="Calibri" w:hAnsi="Verdana" w:cs="Arial"/>
          <w:color w:val="000000"/>
          <w:sz w:val="20"/>
          <w:szCs w:val="20"/>
          <w:lang w:val="es-ES"/>
        </w:rPr>
      </w:pPr>
    </w:p>
    <w:p w14:paraId="19B4479B" w14:textId="77777777" w:rsidR="00066311" w:rsidRPr="00E2182C" w:rsidRDefault="00066311" w:rsidP="00066311">
      <w:pPr>
        <w:spacing w:after="0" w:line="240" w:lineRule="auto"/>
        <w:jc w:val="both"/>
        <w:rPr>
          <w:rFonts w:ascii="Verdana" w:eastAsia="Calibri" w:hAnsi="Verdana" w:cs="Arial"/>
          <w:color w:val="000000"/>
          <w:sz w:val="20"/>
          <w:szCs w:val="20"/>
          <w:lang w:val="es-ES"/>
        </w:rPr>
      </w:pPr>
    </w:p>
    <w:p w14:paraId="342BD7F5" w14:textId="77777777" w:rsidR="00066311" w:rsidRPr="00E2182C" w:rsidRDefault="00066311" w:rsidP="00066311">
      <w:pPr>
        <w:spacing w:after="0" w:line="240" w:lineRule="auto"/>
        <w:jc w:val="both"/>
        <w:rPr>
          <w:rFonts w:ascii="Verdana" w:eastAsia="Calibri" w:hAnsi="Verdana" w:cs="Arial"/>
          <w:color w:val="000000"/>
          <w:sz w:val="20"/>
          <w:szCs w:val="20"/>
          <w:lang w:val="es-ES"/>
        </w:rPr>
      </w:pPr>
    </w:p>
    <w:p w14:paraId="110892E5" w14:textId="77777777" w:rsidR="00066311" w:rsidRPr="00E2182C" w:rsidRDefault="00066311" w:rsidP="00066311">
      <w:pPr>
        <w:spacing w:after="0" w:line="240" w:lineRule="auto"/>
        <w:jc w:val="both"/>
        <w:rPr>
          <w:rFonts w:ascii="Verdana" w:eastAsia="Calibri" w:hAnsi="Verdana" w:cs="Arial"/>
          <w:color w:val="000000"/>
          <w:sz w:val="20"/>
          <w:szCs w:val="20"/>
          <w:lang w:val="es-ES"/>
        </w:rPr>
      </w:pPr>
    </w:p>
    <w:p w14:paraId="10F81A36" w14:textId="77777777" w:rsidR="00066311" w:rsidRDefault="00066311" w:rsidP="00066311">
      <w:pPr>
        <w:spacing w:after="0" w:line="240" w:lineRule="auto"/>
        <w:jc w:val="both"/>
        <w:rPr>
          <w:rFonts w:ascii="Verdana" w:eastAsia="Calibri" w:hAnsi="Verdana" w:cs="Arial"/>
          <w:color w:val="000000"/>
          <w:sz w:val="20"/>
          <w:szCs w:val="20"/>
          <w:lang w:val="es-ES"/>
        </w:rPr>
      </w:pPr>
    </w:p>
    <w:p w14:paraId="203B213E" w14:textId="77777777" w:rsidR="00C12ECE" w:rsidRDefault="00C12ECE" w:rsidP="00066311">
      <w:pPr>
        <w:spacing w:after="0" w:line="240" w:lineRule="auto"/>
        <w:jc w:val="both"/>
        <w:rPr>
          <w:rFonts w:ascii="Verdana" w:eastAsia="Calibri" w:hAnsi="Verdana" w:cs="Arial"/>
          <w:color w:val="000000"/>
          <w:sz w:val="20"/>
          <w:szCs w:val="20"/>
          <w:lang w:val="es-ES"/>
        </w:rPr>
      </w:pPr>
    </w:p>
    <w:p w14:paraId="4B489802" w14:textId="77777777" w:rsidR="00C12ECE" w:rsidRDefault="00C12ECE" w:rsidP="00066311">
      <w:pPr>
        <w:spacing w:after="0" w:line="240" w:lineRule="auto"/>
        <w:jc w:val="both"/>
        <w:rPr>
          <w:rFonts w:ascii="Verdana" w:eastAsia="Calibri" w:hAnsi="Verdana" w:cs="Arial"/>
          <w:color w:val="000000"/>
          <w:sz w:val="20"/>
          <w:szCs w:val="20"/>
          <w:lang w:val="es-ES"/>
        </w:rPr>
      </w:pPr>
    </w:p>
    <w:p w14:paraId="7D91202F" w14:textId="77777777" w:rsidR="00C12ECE" w:rsidRDefault="00C12ECE" w:rsidP="00066311">
      <w:pPr>
        <w:spacing w:after="0" w:line="240" w:lineRule="auto"/>
        <w:jc w:val="both"/>
        <w:rPr>
          <w:rFonts w:ascii="Verdana" w:eastAsia="Calibri" w:hAnsi="Verdana" w:cs="Arial"/>
          <w:color w:val="000000"/>
          <w:sz w:val="20"/>
          <w:szCs w:val="20"/>
          <w:lang w:val="es-ES"/>
        </w:rPr>
      </w:pPr>
    </w:p>
    <w:p w14:paraId="0399D6E4" w14:textId="77777777" w:rsidR="00C12ECE" w:rsidRDefault="00C12ECE" w:rsidP="00066311">
      <w:pPr>
        <w:spacing w:after="0" w:line="240" w:lineRule="auto"/>
        <w:jc w:val="both"/>
        <w:rPr>
          <w:rFonts w:ascii="Verdana" w:eastAsia="Calibri" w:hAnsi="Verdana" w:cs="Arial"/>
          <w:color w:val="000000"/>
          <w:sz w:val="20"/>
          <w:szCs w:val="20"/>
          <w:lang w:val="es-ES"/>
        </w:rPr>
      </w:pPr>
    </w:p>
    <w:p w14:paraId="191233E1" w14:textId="77777777" w:rsidR="00066311" w:rsidRDefault="00066311" w:rsidP="00066311">
      <w:pPr>
        <w:spacing w:after="0" w:line="240" w:lineRule="auto"/>
        <w:jc w:val="both"/>
        <w:rPr>
          <w:rFonts w:ascii="Verdana" w:eastAsia="Calibri" w:hAnsi="Verdana" w:cs="Arial"/>
          <w:color w:val="000000"/>
          <w:sz w:val="20"/>
          <w:szCs w:val="20"/>
          <w:lang w:val="es-ES"/>
        </w:rPr>
      </w:pPr>
    </w:p>
    <w:p w14:paraId="6A5D034C" w14:textId="77777777" w:rsidR="00066311" w:rsidRPr="00E2182C" w:rsidRDefault="00066311" w:rsidP="00066311">
      <w:pPr>
        <w:spacing w:after="0" w:line="240" w:lineRule="auto"/>
        <w:jc w:val="both"/>
        <w:rPr>
          <w:rFonts w:ascii="Verdana" w:eastAsia="Calibri" w:hAnsi="Verdana" w:cs="Arial"/>
          <w:color w:val="000000"/>
          <w:sz w:val="20"/>
          <w:szCs w:val="20"/>
          <w:lang w:val="es-ES"/>
        </w:rPr>
      </w:pPr>
    </w:p>
    <w:p w14:paraId="0D545C2B" w14:textId="6C1E2F80" w:rsidR="00066311" w:rsidRDefault="00066311" w:rsidP="00066311">
      <w:pPr>
        <w:spacing w:after="0" w:line="240" w:lineRule="auto"/>
        <w:jc w:val="both"/>
        <w:rPr>
          <w:rFonts w:ascii="Verdana" w:eastAsia="Calibri" w:hAnsi="Verdana" w:cs="Times New Roman"/>
        </w:rPr>
      </w:pPr>
      <w:r w:rsidRPr="00E2182C">
        <w:rPr>
          <w:rFonts w:ascii="Verdana" w:eastAsia="Calibri" w:hAnsi="Verdana" w:cs="Times New Roman"/>
        </w:rPr>
        <w:lastRenderedPageBreak/>
        <w:t xml:space="preserve">Bogotá D.C., </w:t>
      </w:r>
      <w:r w:rsidR="00A55900">
        <w:rPr>
          <w:rFonts w:ascii="Verdana" w:eastAsia="Calibri" w:hAnsi="Verdana" w:cs="Times New Roman"/>
        </w:rPr>
        <w:t>20 de junio de 2025</w:t>
      </w:r>
    </w:p>
    <w:p w14:paraId="75977BA9" w14:textId="77777777" w:rsidR="00A55900" w:rsidRDefault="00A55900" w:rsidP="00066311">
      <w:pPr>
        <w:spacing w:after="0" w:line="240" w:lineRule="auto"/>
        <w:jc w:val="both"/>
        <w:rPr>
          <w:rFonts w:ascii="Verdana" w:eastAsia="Calibri" w:hAnsi="Verdana" w:cs="Times New Roman"/>
        </w:rPr>
      </w:pPr>
    </w:p>
    <w:p w14:paraId="1643235D" w14:textId="6BA632EB" w:rsidR="00A55900" w:rsidRPr="00E2182C" w:rsidRDefault="00542659" w:rsidP="00A55900">
      <w:pPr>
        <w:spacing w:after="0" w:line="240" w:lineRule="auto"/>
        <w:jc w:val="right"/>
        <w:rPr>
          <w:rFonts w:ascii="Verdana" w:eastAsia="Calibri" w:hAnsi="Verdana" w:cs="Times New Roman"/>
        </w:rPr>
      </w:pPr>
      <w:r>
        <w:rPr>
          <w:noProof/>
        </w:rPr>
        <w:drawing>
          <wp:anchor distT="0" distB="0" distL="114300" distR="114300" simplePos="0" relativeHeight="251658240" behindDoc="0" locked="0" layoutInCell="1" allowOverlap="1" wp14:anchorId="61FC4A6B" wp14:editId="137086ED">
            <wp:simplePos x="0" y="0"/>
            <wp:positionH relativeFrom="margin">
              <wp:posOffset>2513330</wp:posOffset>
            </wp:positionH>
            <wp:positionV relativeFrom="paragraph">
              <wp:posOffset>8890</wp:posOffset>
            </wp:positionV>
            <wp:extent cx="3101340" cy="857250"/>
            <wp:effectExtent l="0" t="0" r="3810" b="0"/>
            <wp:wrapSquare wrapText="bothSides"/>
            <wp:docPr id="122242890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28900"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101340" cy="857250"/>
                    </a:xfrm>
                    <a:prstGeom prst="rect">
                      <a:avLst/>
                    </a:prstGeom>
                  </pic:spPr>
                </pic:pic>
              </a:graphicData>
            </a:graphic>
            <wp14:sizeRelH relativeFrom="margin">
              <wp14:pctWidth>0</wp14:pctWidth>
            </wp14:sizeRelH>
            <wp14:sizeRelV relativeFrom="margin">
              <wp14:pctHeight>0</wp14:pctHeight>
            </wp14:sizeRelV>
          </wp:anchor>
        </w:drawing>
      </w:r>
    </w:p>
    <w:p w14:paraId="7860A420" w14:textId="77777777" w:rsidR="00066311" w:rsidRPr="00E2182C" w:rsidRDefault="00066311" w:rsidP="00066311">
      <w:pPr>
        <w:spacing w:after="0" w:line="240" w:lineRule="auto"/>
        <w:jc w:val="both"/>
        <w:rPr>
          <w:rFonts w:ascii="Verdana" w:eastAsia="Calibri" w:hAnsi="Verdana" w:cs="Arial"/>
          <w:lang w:val="es-ES" w:eastAsia="es-ES"/>
        </w:rPr>
      </w:pPr>
    </w:p>
    <w:p w14:paraId="2E855CE8" w14:textId="77777777" w:rsidR="00066311" w:rsidRPr="00E2182C" w:rsidRDefault="00066311" w:rsidP="00066311">
      <w:pPr>
        <w:spacing w:after="0" w:line="240" w:lineRule="auto"/>
        <w:jc w:val="both"/>
        <w:rPr>
          <w:rFonts w:ascii="Verdana" w:eastAsia="Calibri" w:hAnsi="Verdana" w:cs="Arial"/>
          <w:lang w:val="es-ES" w:eastAsia="es-ES"/>
        </w:rPr>
      </w:pPr>
      <w:r w:rsidRPr="00E2182C">
        <w:rPr>
          <w:rFonts w:ascii="Verdana" w:eastAsia="Calibri" w:hAnsi="Verdana" w:cs="Arial"/>
          <w:lang w:val="es-ES" w:eastAsia="es-ES"/>
        </w:rPr>
        <w:t>Señor</w:t>
      </w:r>
    </w:p>
    <w:p w14:paraId="4D49FEBB" w14:textId="77777777" w:rsidR="00066311" w:rsidRPr="00E2182C" w:rsidRDefault="00066311" w:rsidP="00066311">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José Miguel Ruiz Diaz </w:t>
      </w:r>
    </w:p>
    <w:p w14:paraId="2ABE2C98" w14:textId="77777777" w:rsidR="00066311" w:rsidRDefault="00066311" w:rsidP="00066311">
      <w:pPr>
        <w:spacing w:after="0" w:line="240" w:lineRule="auto"/>
        <w:rPr>
          <w:rFonts w:ascii="Verdana" w:eastAsia="Calibri" w:hAnsi="Verdana" w:cs="Arial"/>
          <w:lang w:val="es-ES" w:eastAsia="es-ES"/>
        </w:rPr>
      </w:pPr>
      <w:r>
        <w:rPr>
          <w:rFonts w:ascii="Verdana" w:eastAsia="Calibri" w:hAnsi="Verdana" w:cs="Arial"/>
          <w:lang w:val="es-ES" w:eastAsia="es-ES"/>
        </w:rPr>
        <w:t xml:space="preserve">Ciudad </w:t>
      </w:r>
    </w:p>
    <w:p w14:paraId="5CC182D5" w14:textId="77777777" w:rsidR="00066311" w:rsidRPr="00E2182C" w:rsidRDefault="00066311" w:rsidP="00066311">
      <w:pPr>
        <w:spacing w:after="0" w:line="240" w:lineRule="auto"/>
        <w:rPr>
          <w:rFonts w:ascii="Verdana" w:eastAsia="Calibri" w:hAnsi="Verdana" w:cs="Arial"/>
          <w:b/>
          <w:bCs/>
          <w:lang w:val="es-ES" w:eastAsia="es-ES"/>
        </w:rPr>
      </w:pPr>
    </w:p>
    <w:p w14:paraId="06C50764" w14:textId="77777777" w:rsidR="00066311" w:rsidRPr="00E2182C" w:rsidRDefault="00066311" w:rsidP="0006631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66311" w:rsidRPr="00E2182C" w14:paraId="42101DCC" w14:textId="77777777" w:rsidTr="009F6C81">
        <w:trPr>
          <w:trHeight w:val="884"/>
        </w:trPr>
        <w:tc>
          <w:tcPr>
            <w:tcW w:w="2689" w:type="dxa"/>
          </w:tcPr>
          <w:p w14:paraId="4FB92AEB" w14:textId="77777777" w:rsidR="00066311" w:rsidRPr="00E2182C" w:rsidRDefault="00066311" w:rsidP="009F6C81">
            <w:pPr>
              <w:jc w:val="both"/>
              <w:rPr>
                <w:rFonts w:ascii="Verdana" w:eastAsia="Calibri" w:hAnsi="Verdana" w:cs="Arial"/>
                <w:b/>
                <w:bCs/>
                <w:lang w:val="es-ES_tradnl" w:eastAsia="es-ES_tradnl"/>
              </w:rPr>
            </w:pPr>
          </w:p>
        </w:tc>
        <w:tc>
          <w:tcPr>
            <w:tcW w:w="6100" w:type="dxa"/>
          </w:tcPr>
          <w:p w14:paraId="0DB05DEE" w14:textId="77777777" w:rsidR="00066311" w:rsidRPr="00E2182C" w:rsidRDefault="00066311" w:rsidP="009F6C81">
            <w:pPr>
              <w:jc w:val="both"/>
              <w:rPr>
                <w:rFonts w:ascii="Verdana" w:eastAsia="Calibri" w:hAnsi="Verdana" w:cs="Arial"/>
                <w:b/>
                <w:bCs/>
                <w:lang w:val="es-ES" w:eastAsia="es-ES"/>
              </w:rPr>
            </w:pPr>
            <w:r w:rsidRPr="00E2182C">
              <w:rPr>
                <w:rFonts w:ascii="Verdana" w:eastAsia="Calibri" w:hAnsi="Verdana" w:cs="Arial"/>
                <w:b/>
                <w:bCs/>
                <w:lang w:val="es-ES" w:eastAsia="es-ES"/>
              </w:rPr>
              <w:t xml:space="preserve">Concepto C – </w:t>
            </w:r>
            <w:r>
              <w:rPr>
                <w:rFonts w:ascii="Verdana" w:eastAsia="Calibri" w:hAnsi="Verdana" w:cs="Arial"/>
                <w:b/>
                <w:bCs/>
                <w:lang w:val="es-ES" w:eastAsia="es-ES"/>
              </w:rPr>
              <w:t>653</w:t>
            </w:r>
            <w:r w:rsidRPr="00E2182C">
              <w:rPr>
                <w:rFonts w:ascii="Verdana" w:eastAsia="Calibri" w:hAnsi="Verdana" w:cs="Arial"/>
                <w:b/>
                <w:bCs/>
                <w:lang w:val="es-ES" w:eastAsia="es-ES"/>
              </w:rPr>
              <w:t xml:space="preserve"> de 2025</w:t>
            </w:r>
          </w:p>
        </w:tc>
      </w:tr>
      <w:tr w:rsidR="00066311" w:rsidRPr="00E2182C" w14:paraId="3C8AE57D" w14:textId="77777777" w:rsidTr="009F6C81">
        <w:trPr>
          <w:trHeight w:val="884"/>
        </w:trPr>
        <w:tc>
          <w:tcPr>
            <w:tcW w:w="2689" w:type="dxa"/>
          </w:tcPr>
          <w:p w14:paraId="7F53E6A2" w14:textId="77777777" w:rsidR="00066311" w:rsidRPr="00E2182C" w:rsidRDefault="00066311" w:rsidP="009F6C81">
            <w:pPr>
              <w:jc w:val="both"/>
              <w:rPr>
                <w:rFonts w:ascii="Verdana" w:eastAsia="Calibri" w:hAnsi="Verdana" w:cs="Arial"/>
                <w:lang w:val="es-ES_tradnl" w:eastAsia="es-ES_tradnl"/>
              </w:rPr>
            </w:pPr>
            <w:r w:rsidRPr="00E2182C">
              <w:rPr>
                <w:rFonts w:ascii="Verdana" w:eastAsia="Calibri" w:hAnsi="Verdana" w:cs="Arial"/>
                <w:b/>
                <w:lang w:val="es-ES_tradnl" w:eastAsia="es-ES_tradnl"/>
              </w:rPr>
              <w:t>Temas:</w:t>
            </w:r>
            <w:r w:rsidRPr="00E2182C">
              <w:rPr>
                <w:rFonts w:ascii="Verdana" w:eastAsia="Calibri" w:hAnsi="Verdana" w:cs="Arial"/>
                <w:lang w:val="es-ES_tradnl" w:eastAsia="es-ES_tradnl"/>
              </w:rPr>
              <w:t xml:space="preserve">                   </w:t>
            </w:r>
          </w:p>
        </w:tc>
        <w:tc>
          <w:tcPr>
            <w:tcW w:w="6100" w:type="dxa"/>
          </w:tcPr>
          <w:p w14:paraId="50C3D8A6" w14:textId="77777777" w:rsidR="00066311" w:rsidRPr="0098556B" w:rsidRDefault="00066311" w:rsidP="009F6C81">
            <w:pPr>
              <w:jc w:val="both"/>
              <w:rPr>
                <w:rFonts w:ascii="Verdana" w:eastAsia="Calibri" w:hAnsi="Verdana" w:cs="Arial"/>
                <w:lang w:val="es-MX"/>
              </w:rPr>
            </w:pPr>
            <w:r w:rsidRPr="0098556B">
              <w:rPr>
                <w:rFonts w:ascii="Verdana" w:eastAsia="Calibri" w:hAnsi="Verdana" w:cs="Arial"/>
              </w:rPr>
              <w:t xml:space="preserve">CAPACIDAD RESIDUAL – Decreto 1082 de 2015 / CAPACIDAD RESIDUAL – Saldos de Contratos en Ejecución </w:t>
            </w:r>
            <w:r w:rsidRPr="0098556B">
              <w:rPr>
                <w:rFonts w:ascii="Verdana" w:eastAsia="Calibri" w:hAnsi="Verdana" w:cs="Arial"/>
                <w:color w:val="000000" w:themeColor="text1"/>
              </w:rPr>
              <w:t xml:space="preserve">“SCE” / </w:t>
            </w:r>
            <w:r w:rsidRPr="0098556B">
              <w:rPr>
                <w:rFonts w:ascii="Verdana" w:eastAsia="Calibri" w:hAnsi="Verdana" w:cs="Arial"/>
                <w:lang w:val="es-MX"/>
              </w:rPr>
              <w:t xml:space="preserve">DOCUMENTOS TIPO – Infraestructura de transporte – Versión 4 – Capacidad residual – </w:t>
            </w:r>
            <w:r w:rsidRPr="0098556B">
              <w:rPr>
                <w:rFonts w:ascii="Verdana" w:eastAsia="Calibri" w:hAnsi="Verdana" w:cs="Arial"/>
                <w:color w:val="000000" w:themeColor="text1"/>
              </w:rPr>
              <w:t>“SCE”</w:t>
            </w:r>
          </w:p>
          <w:p w14:paraId="045B45A1" w14:textId="77777777" w:rsidR="00066311" w:rsidRPr="00E2182C" w:rsidRDefault="00066311" w:rsidP="009F6C81">
            <w:pPr>
              <w:shd w:val="clear" w:color="auto" w:fill="FFFFFF"/>
              <w:spacing w:line="276" w:lineRule="auto"/>
              <w:contextualSpacing/>
              <w:jc w:val="both"/>
              <w:rPr>
                <w:rFonts w:ascii="Verdana" w:eastAsia="Calibri" w:hAnsi="Verdana" w:cs="Arial"/>
                <w:highlight w:val="yellow"/>
                <w:lang w:val="es-ES" w:eastAsia="es-ES"/>
              </w:rPr>
            </w:pPr>
            <w:r>
              <w:rPr>
                <w:rFonts w:ascii="Verdana" w:eastAsia="Calibri" w:hAnsi="Verdana" w:cs="Arial"/>
                <w:b/>
                <w:bCs/>
              </w:rPr>
              <w:t xml:space="preserve"> </w:t>
            </w:r>
          </w:p>
        </w:tc>
      </w:tr>
      <w:tr w:rsidR="00066311" w:rsidRPr="00E2182C" w14:paraId="6A6FDDD7" w14:textId="77777777" w:rsidTr="009F6C81">
        <w:tc>
          <w:tcPr>
            <w:tcW w:w="2689" w:type="dxa"/>
          </w:tcPr>
          <w:p w14:paraId="3792C87F" w14:textId="77777777" w:rsidR="00066311" w:rsidRPr="00E2182C" w:rsidRDefault="00066311" w:rsidP="009F6C81">
            <w:pPr>
              <w:jc w:val="both"/>
              <w:rPr>
                <w:rFonts w:ascii="Verdana" w:eastAsia="Calibri" w:hAnsi="Verdana" w:cs="Arial"/>
                <w:b/>
                <w:lang w:val="es-ES_tradnl" w:eastAsia="es-ES_tradnl"/>
              </w:rPr>
            </w:pPr>
            <w:r w:rsidRPr="00E2182C">
              <w:rPr>
                <w:rFonts w:ascii="Verdana" w:eastAsia="Calibri" w:hAnsi="Verdana" w:cs="Arial"/>
                <w:b/>
                <w:lang w:val="es-ES_tradnl" w:eastAsia="es-ES_tradnl"/>
              </w:rPr>
              <w:t>Radicación:</w:t>
            </w:r>
            <w:r w:rsidRPr="00E2182C">
              <w:rPr>
                <w:rFonts w:ascii="Verdana" w:eastAsia="Calibri" w:hAnsi="Verdana" w:cs="Arial"/>
                <w:lang w:val="es-ES_tradnl" w:eastAsia="es-ES_tradnl"/>
              </w:rPr>
              <w:t xml:space="preserve">               </w:t>
            </w:r>
          </w:p>
        </w:tc>
        <w:tc>
          <w:tcPr>
            <w:tcW w:w="6100" w:type="dxa"/>
          </w:tcPr>
          <w:p w14:paraId="1522930C" w14:textId="77777777" w:rsidR="00066311" w:rsidRPr="00E2182C" w:rsidRDefault="00066311" w:rsidP="009F6C81">
            <w:pPr>
              <w:jc w:val="both"/>
              <w:rPr>
                <w:rFonts w:ascii="Verdana" w:eastAsia="Calibri" w:hAnsi="Verdana" w:cs="Arial"/>
                <w:lang w:val="es-ES_tradnl" w:eastAsia="es-ES_tradnl"/>
              </w:rPr>
            </w:pPr>
            <w:r w:rsidRPr="00E2182C">
              <w:rPr>
                <w:rFonts w:ascii="Verdana" w:eastAsia="Calibri" w:hAnsi="Verdana" w:cs="Arial"/>
                <w:lang w:val="es-ES_tradnl" w:eastAsia="es-ES_tradnl"/>
              </w:rPr>
              <w:t>Respuesta a consulta con radicado No. P20250523005014</w:t>
            </w:r>
          </w:p>
        </w:tc>
      </w:tr>
    </w:tbl>
    <w:p w14:paraId="609E80EE" w14:textId="77777777" w:rsidR="00066311" w:rsidRPr="00E2182C" w:rsidRDefault="00066311" w:rsidP="00066311">
      <w:pPr>
        <w:spacing w:after="0" w:line="240" w:lineRule="auto"/>
        <w:jc w:val="both"/>
        <w:rPr>
          <w:rFonts w:ascii="Verdana" w:eastAsia="Calibri" w:hAnsi="Verdana" w:cs="Arial"/>
          <w:lang w:val="es-ES_tradnl" w:eastAsia="es-ES_tradnl"/>
        </w:rPr>
      </w:pPr>
    </w:p>
    <w:p w14:paraId="3BC52605" w14:textId="77777777" w:rsidR="00066311" w:rsidRPr="00E2182C" w:rsidRDefault="00066311" w:rsidP="00066311">
      <w:pPr>
        <w:spacing w:after="0" w:line="240" w:lineRule="auto"/>
        <w:jc w:val="both"/>
        <w:rPr>
          <w:rFonts w:ascii="Verdana" w:eastAsia="Calibri" w:hAnsi="Verdana" w:cs="Arial"/>
          <w:lang w:val="es-ES_tradnl" w:eastAsia="es-ES_tradnl"/>
        </w:rPr>
      </w:pPr>
    </w:p>
    <w:p w14:paraId="15505573" w14:textId="77777777" w:rsidR="00066311" w:rsidRPr="00E2182C" w:rsidRDefault="00066311" w:rsidP="00066311">
      <w:pPr>
        <w:spacing w:after="0" w:line="276" w:lineRule="auto"/>
        <w:jc w:val="both"/>
        <w:rPr>
          <w:rFonts w:ascii="Verdana" w:eastAsia="Calibri" w:hAnsi="Verdana" w:cs="Arial"/>
          <w:lang w:val="es-ES" w:eastAsia="es-ES"/>
        </w:rPr>
      </w:pPr>
      <w:r w:rsidRPr="00E2182C">
        <w:rPr>
          <w:rFonts w:ascii="Verdana" w:eastAsia="Calibri" w:hAnsi="Verdana" w:cs="Arial"/>
          <w:lang w:val="es-ES" w:eastAsia="es-ES"/>
        </w:rPr>
        <w:t xml:space="preserve">Estimado señor </w:t>
      </w:r>
      <w:r>
        <w:rPr>
          <w:rFonts w:ascii="Verdana" w:eastAsia="Calibri" w:hAnsi="Verdana" w:cs="Arial"/>
          <w:lang w:val="es-ES" w:eastAsia="es-ES"/>
        </w:rPr>
        <w:t>Ruiz Diaz</w:t>
      </w:r>
      <w:r w:rsidRPr="00E2182C">
        <w:rPr>
          <w:rFonts w:ascii="Verdana" w:eastAsia="Calibri" w:hAnsi="Verdana" w:cs="Arial"/>
          <w:lang w:val="es-ES" w:eastAsia="es-ES"/>
        </w:rPr>
        <w:t xml:space="preserve">: </w:t>
      </w:r>
    </w:p>
    <w:p w14:paraId="45EAE921" w14:textId="77777777" w:rsidR="00066311" w:rsidRPr="00E2182C" w:rsidRDefault="00066311" w:rsidP="00066311">
      <w:pPr>
        <w:tabs>
          <w:tab w:val="left" w:pos="3768"/>
        </w:tabs>
        <w:spacing w:after="0" w:line="276" w:lineRule="auto"/>
        <w:jc w:val="both"/>
        <w:rPr>
          <w:rFonts w:ascii="Verdana" w:eastAsia="Calibri" w:hAnsi="Verdana" w:cs="Arial"/>
          <w:lang w:val="es-ES" w:eastAsia="es-ES"/>
        </w:rPr>
      </w:pPr>
      <w:r w:rsidRPr="00E2182C">
        <w:rPr>
          <w:rFonts w:ascii="Verdana" w:eastAsia="Calibri" w:hAnsi="Verdana" w:cs="Arial"/>
          <w:lang w:val="es-ES" w:eastAsia="es-ES"/>
        </w:rPr>
        <w:tab/>
      </w:r>
    </w:p>
    <w:p w14:paraId="5FFE7459" w14:textId="77777777" w:rsidR="00066311" w:rsidRPr="00E2182C" w:rsidRDefault="00066311" w:rsidP="00066311">
      <w:pPr>
        <w:spacing w:after="0" w:line="276" w:lineRule="auto"/>
        <w:jc w:val="both"/>
        <w:rPr>
          <w:rFonts w:ascii="Verdana" w:eastAsia="Calibri" w:hAnsi="Verdana" w:cs="Arial"/>
          <w:lang w:val="es-ES" w:eastAsia="es-ES"/>
        </w:rPr>
      </w:pPr>
      <w:r w:rsidRPr="00E2182C">
        <w:rPr>
          <w:rFonts w:ascii="Verdana" w:eastAsia="Calibri" w:hAnsi="Verdana" w:cs="Arial"/>
          <w:lang w:val="es-ES" w:eastAsia="es-ES"/>
        </w:rPr>
        <w:t>En ejercicio de la competencia otorgada por los artículos 3, numeral 5º, y 11, numeral 8º, del Decreto Ley 4170 de 2011,</w:t>
      </w:r>
      <w:r w:rsidRPr="00E2182C">
        <w:rPr>
          <w:rFonts w:ascii="Verdana" w:eastAsia="Arial MT" w:hAnsi="Verdana" w:cs="Arial MT"/>
          <w:lang w:val="es-ES" w:eastAsia="es-ES"/>
        </w:rPr>
        <w:t xml:space="preserve"> </w:t>
      </w:r>
      <w:r w:rsidRPr="00E2182C">
        <w:rPr>
          <w:rFonts w:ascii="Verdana" w:eastAsia="Calibri" w:hAnsi="Verdana" w:cs="Arial"/>
        </w:rPr>
        <w:t xml:space="preserve">así como lo establecido en el artículo 4 de la Resolución 1707 de 2018 expedida por esta Entidad, </w:t>
      </w:r>
      <w:r w:rsidRPr="00E2182C">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23</w:t>
      </w:r>
      <w:r w:rsidRPr="00E2182C">
        <w:rPr>
          <w:rFonts w:ascii="Verdana" w:eastAsia="Calibri" w:hAnsi="Verdana" w:cs="Arial"/>
          <w:lang w:val="es-ES" w:eastAsia="es-ES"/>
        </w:rPr>
        <w:t xml:space="preserve"> de </w:t>
      </w:r>
      <w:r>
        <w:rPr>
          <w:rFonts w:ascii="Verdana" w:eastAsia="Calibri" w:hAnsi="Verdana" w:cs="Arial"/>
          <w:lang w:val="es-ES" w:eastAsia="es-ES"/>
        </w:rPr>
        <w:t>mayo</w:t>
      </w:r>
      <w:r w:rsidRPr="00E2182C">
        <w:rPr>
          <w:rFonts w:ascii="Verdana" w:eastAsia="Calibri" w:hAnsi="Verdana" w:cs="Arial"/>
          <w:lang w:val="es-ES" w:eastAsia="es-ES"/>
        </w:rPr>
        <w:t xml:space="preserve"> de 2025</w:t>
      </w:r>
      <w:r>
        <w:rPr>
          <w:rFonts w:ascii="Verdana" w:eastAsia="Calibri" w:hAnsi="Verdana" w:cs="Arial"/>
          <w:lang w:val="es-ES" w:eastAsia="es-ES"/>
        </w:rPr>
        <w:t xml:space="preserve">, </w:t>
      </w:r>
      <w:r w:rsidRPr="00E2182C">
        <w:rPr>
          <w:rFonts w:ascii="Verdana" w:eastAsia="Calibri" w:hAnsi="Verdana" w:cs="Arial"/>
          <w:lang w:val="es-ES" w:eastAsia="es-ES"/>
        </w:rPr>
        <w:t>en la cual manifiesta lo siguiente</w:t>
      </w:r>
      <w:r>
        <w:rPr>
          <w:rFonts w:ascii="Verdana" w:eastAsia="Calibri" w:hAnsi="Verdana" w:cs="Arial"/>
          <w:lang w:val="es-ES" w:eastAsia="es-ES"/>
        </w:rPr>
        <w:t>:</w:t>
      </w:r>
    </w:p>
    <w:p w14:paraId="3FC2609C" w14:textId="77777777" w:rsidR="00066311" w:rsidRPr="00E2182C" w:rsidRDefault="00066311" w:rsidP="00066311">
      <w:pPr>
        <w:spacing w:after="0" w:line="276" w:lineRule="auto"/>
        <w:jc w:val="both"/>
        <w:rPr>
          <w:rFonts w:ascii="Verdana" w:eastAsia="Calibri" w:hAnsi="Verdana" w:cs="Arial"/>
          <w:lang w:val="es-ES" w:eastAsia="es-ES"/>
        </w:rPr>
      </w:pPr>
    </w:p>
    <w:p w14:paraId="1F011831" w14:textId="77777777" w:rsidR="00066311" w:rsidRDefault="00066311" w:rsidP="00066311">
      <w:pPr>
        <w:spacing w:after="120" w:line="240" w:lineRule="auto"/>
        <w:ind w:left="709" w:right="709"/>
        <w:jc w:val="both"/>
        <w:rPr>
          <w:rFonts w:ascii="Verdana" w:eastAsia="Calibri" w:hAnsi="Verdana" w:cs="Arial"/>
          <w:sz w:val="21"/>
          <w:szCs w:val="21"/>
          <w:lang w:eastAsia="es-ES"/>
        </w:rPr>
      </w:pPr>
      <w:r w:rsidRPr="00E2182C">
        <w:rPr>
          <w:rFonts w:ascii="Verdana" w:eastAsia="Calibri" w:hAnsi="Verdana" w:cs="Arial"/>
          <w:sz w:val="21"/>
          <w:szCs w:val="21"/>
          <w:lang w:val="es-ES" w:eastAsia="es-ES"/>
        </w:rPr>
        <w:t>"</w:t>
      </w:r>
      <w:r w:rsidRPr="00E2182C">
        <w:rPr>
          <w:rFonts w:ascii="Verdana" w:eastAsia="Calibri" w:hAnsi="Verdana" w:cs="Arial"/>
          <w:sz w:val="21"/>
          <w:szCs w:val="21"/>
          <w:lang w:eastAsia="es-ES"/>
        </w:rPr>
        <w:t xml:space="preserve">Cordial Saludo, Por medio de la presente me permito presentar solicitud de concepto con relación a los aspectos mencionados en los pliegos tipo de infraestructura de transporte: </w:t>
      </w:r>
    </w:p>
    <w:p w14:paraId="0809C946" w14:textId="77777777" w:rsidR="00066311" w:rsidRDefault="00066311" w:rsidP="00066311">
      <w:pPr>
        <w:spacing w:after="120" w:line="240" w:lineRule="auto"/>
        <w:ind w:left="709" w:right="709"/>
        <w:jc w:val="both"/>
        <w:rPr>
          <w:rFonts w:ascii="Verdana" w:eastAsia="Calibri" w:hAnsi="Verdana" w:cs="Arial"/>
          <w:sz w:val="21"/>
          <w:szCs w:val="21"/>
          <w:lang w:eastAsia="es-ES"/>
        </w:rPr>
      </w:pPr>
      <w:r w:rsidRPr="00E2182C">
        <w:rPr>
          <w:rFonts w:ascii="Verdana" w:eastAsia="Calibri" w:hAnsi="Verdana" w:cs="Arial"/>
          <w:sz w:val="21"/>
          <w:szCs w:val="21"/>
          <w:lang w:eastAsia="es-ES"/>
        </w:rPr>
        <w:t xml:space="preserve">1. Sobre la Capacidad Residual: Para el cálculo de la capacidad residual, entre otra información requerida se debe presentar la siguiente: "La lista de los Contratos en Ejecución, suscritos por sociedades, consorcios o uniones temporales, en los cuales el proponente tenga participación, así como el valor y plazo de tales contratos". </w:t>
      </w:r>
    </w:p>
    <w:p w14:paraId="7A7B421E" w14:textId="77777777" w:rsidR="00066311" w:rsidRDefault="00066311" w:rsidP="00066311">
      <w:pPr>
        <w:spacing w:after="120" w:line="240" w:lineRule="auto"/>
        <w:ind w:left="709" w:right="709"/>
        <w:jc w:val="both"/>
        <w:rPr>
          <w:rFonts w:ascii="Verdana" w:eastAsia="Calibri" w:hAnsi="Verdana" w:cs="Arial"/>
          <w:sz w:val="21"/>
          <w:szCs w:val="21"/>
          <w:lang w:eastAsia="es-ES"/>
        </w:rPr>
      </w:pPr>
      <w:r w:rsidRPr="00E2182C">
        <w:rPr>
          <w:rFonts w:ascii="Verdana" w:eastAsia="Calibri" w:hAnsi="Verdana" w:cs="Arial"/>
          <w:sz w:val="21"/>
          <w:szCs w:val="21"/>
          <w:lang w:eastAsia="es-ES"/>
        </w:rPr>
        <w:t xml:space="preserve">Teniendo en cuenta lo anterior, en el caso del reporte de contratos en ejecución en las que un proponente tenga participación dentro de una sociedad (persona jurídica): ¿estos contratos se deben reportar </w:t>
      </w:r>
      <w:r w:rsidRPr="00E2182C">
        <w:rPr>
          <w:rFonts w:ascii="Verdana" w:eastAsia="Calibri" w:hAnsi="Verdana" w:cs="Arial"/>
          <w:sz w:val="21"/>
          <w:szCs w:val="21"/>
          <w:lang w:eastAsia="es-ES"/>
        </w:rPr>
        <w:lastRenderedPageBreak/>
        <w:t>afectando el porcentaje de participación de la sociedad en función del porcentaje de participación del proponente dentro de la sociedad (persona jurídica</w:t>
      </w:r>
      <w:proofErr w:type="gramStart"/>
      <w:r w:rsidRPr="00E2182C">
        <w:rPr>
          <w:rFonts w:ascii="Verdana" w:eastAsia="Calibri" w:hAnsi="Verdana" w:cs="Arial"/>
          <w:sz w:val="21"/>
          <w:szCs w:val="21"/>
          <w:lang w:eastAsia="es-ES"/>
        </w:rPr>
        <w:t>)?.</w:t>
      </w:r>
      <w:proofErr w:type="gramEnd"/>
      <w:r w:rsidRPr="00E2182C">
        <w:rPr>
          <w:rFonts w:ascii="Verdana" w:eastAsia="Calibri" w:hAnsi="Verdana" w:cs="Arial"/>
          <w:sz w:val="21"/>
          <w:szCs w:val="21"/>
          <w:lang w:eastAsia="es-ES"/>
        </w:rPr>
        <w:t xml:space="preserve"> </w:t>
      </w:r>
    </w:p>
    <w:p w14:paraId="65A461DF" w14:textId="77777777" w:rsidR="00066311" w:rsidRPr="00E2182C" w:rsidRDefault="00066311" w:rsidP="00066311">
      <w:pPr>
        <w:spacing w:after="0" w:line="240" w:lineRule="auto"/>
        <w:ind w:left="709" w:right="709"/>
        <w:jc w:val="both"/>
        <w:rPr>
          <w:rFonts w:ascii="Verdana" w:eastAsia="Calibri" w:hAnsi="Verdana" w:cs="Arial"/>
          <w:sz w:val="21"/>
          <w:szCs w:val="21"/>
          <w:lang w:eastAsia="es-ES"/>
        </w:rPr>
      </w:pPr>
      <w:r w:rsidRPr="00E2182C">
        <w:rPr>
          <w:rFonts w:ascii="Verdana" w:eastAsia="Calibri" w:hAnsi="Verdana" w:cs="Arial"/>
          <w:sz w:val="21"/>
          <w:szCs w:val="21"/>
          <w:lang w:eastAsia="es-ES"/>
        </w:rPr>
        <w:t>Ejemplo: Es decir si un proponente hace parte de una sociedad (persona jurídica) en un porcentaje de acciones del 5% y esa sociedad (persona jurídica) tiene un contrato en ejecución donde tiene una participación del 30% como miembro de un conso</w:t>
      </w:r>
      <w:r>
        <w:rPr>
          <w:rFonts w:ascii="Verdana" w:eastAsia="Calibri" w:hAnsi="Verdana" w:cs="Arial"/>
          <w:sz w:val="21"/>
          <w:szCs w:val="21"/>
          <w:lang w:eastAsia="es-ES"/>
        </w:rPr>
        <w:t xml:space="preserve">rcio, dentro del listado de contrato en ejecución del proponente se debe reportar el contrato sociedad (persona jurídica) con un % 6% que sería la afectación final que correspondería a su participación accionaria”. </w:t>
      </w:r>
    </w:p>
    <w:p w14:paraId="6E4B9448" w14:textId="77777777" w:rsidR="00066311" w:rsidRPr="00E2182C" w:rsidRDefault="00066311" w:rsidP="00066311">
      <w:pPr>
        <w:spacing w:after="0" w:line="240" w:lineRule="auto"/>
        <w:ind w:left="709" w:right="709"/>
        <w:jc w:val="both"/>
        <w:rPr>
          <w:rFonts w:ascii="Verdana" w:eastAsia="Calibri" w:hAnsi="Verdana" w:cs="Arial"/>
          <w:sz w:val="21"/>
          <w:szCs w:val="21"/>
          <w:lang w:val="es-ES" w:eastAsia="es-ES"/>
        </w:rPr>
      </w:pPr>
    </w:p>
    <w:p w14:paraId="64847A0D" w14:textId="77777777" w:rsidR="00066311" w:rsidRPr="00E2182C" w:rsidRDefault="00066311" w:rsidP="00066311">
      <w:pPr>
        <w:spacing w:after="120" w:line="276" w:lineRule="auto"/>
        <w:ind w:firstLine="709"/>
        <w:jc w:val="both"/>
        <w:rPr>
          <w:rFonts w:ascii="Verdana" w:eastAsia="Calibri" w:hAnsi="Verdana" w:cs="Arial"/>
          <w:lang w:val="es-ES_tradnl" w:eastAsia="es-ES_tradnl"/>
        </w:rPr>
      </w:pPr>
      <w:r w:rsidRPr="00E2182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2182C">
        <w:rPr>
          <w:rFonts w:ascii="Verdana" w:eastAsia="Calibri" w:hAnsi="Verdana" w:cs="Arial"/>
          <w:lang w:val="es-ES_tradnl" w:eastAsia="es-ES_tradnl"/>
        </w:rPr>
        <w:tab/>
      </w:r>
    </w:p>
    <w:p w14:paraId="494B3424" w14:textId="77777777" w:rsidR="00066311" w:rsidRPr="00E2182C" w:rsidRDefault="00066311" w:rsidP="00066311">
      <w:pPr>
        <w:spacing w:after="0" w:line="276" w:lineRule="auto"/>
        <w:ind w:firstLine="709"/>
        <w:jc w:val="both"/>
        <w:rPr>
          <w:rFonts w:ascii="Verdana" w:eastAsia="Calibri" w:hAnsi="Verdana" w:cs="Arial"/>
          <w:lang w:val="es-ES" w:eastAsia="es-ES"/>
        </w:rPr>
      </w:pPr>
      <w:r w:rsidRPr="00E2182C">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E2182C">
        <w:rPr>
          <w:rFonts w:ascii="Verdana" w:eastAsia="Calibri" w:hAnsi="Verdana" w:cs="Arial"/>
          <w:lang w:val="es-ES" w:eastAsia="es-ES"/>
        </w:rPr>
        <w:tab/>
      </w:r>
    </w:p>
    <w:p w14:paraId="651C26BD" w14:textId="77777777" w:rsidR="00066311" w:rsidRPr="00E2182C" w:rsidRDefault="00066311" w:rsidP="0006631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2182C">
        <w:rPr>
          <w:rFonts w:ascii="Verdana" w:eastAsia="Century Gothic" w:hAnsi="Verdana" w:cs="Century Gothic"/>
          <w:b/>
          <w:bCs/>
          <w:lang w:val="es-ES"/>
        </w:rPr>
        <w:t>Problema planteado:</w:t>
      </w:r>
    </w:p>
    <w:p w14:paraId="0406FC74" w14:textId="77777777" w:rsidR="00066311" w:rsidRPr="00E2182C" w:rsidRDefault="00066311" w:rsidP="00066311">
      <w:pPr>
        <w:tabs>
          <w:tab w:val="left" w:pos="426"/>
        </w:tabs>
        <w:spacing w:after="0" w:line="276" w:lineRule="auto"/>
        <w:jc w:val="both"/>
        <w:rPr>
          <w:rFonts w:ascii="Verdana" w:eastAsia="Century Gothic" w:hAnsi="Verdana" w:cs="Century Gothic"/>
          <w:lang w:val="es-ES"/>
        </w:rPr>
      </w:pPr>
    </w:p>
    <w:p w14:paraId="1B0F8ED0" w14:textId="77777777" w:rsidR="00066311" w:rsidRPr="00E2182C" w:rsidRDefault="00066311" w:rsidP="00066311">
      <w:pPr>
        <w:snapToGrid w:val="0"/>
        <w:spacing w:after="0" w:line="276" w:lineRule="auto"/>
        <w:jc w:val="both"/>
        <w:rPr>
          <w:rFonts w:ascii="Verdana" w:eastAsia="Century Gothic" w:hAnsi="Verdana" w:cs="Century Gothic"/>
        </w:rPr>
      </w:pPr>
      <w:r w:rsidRPr="00E2182C">
        <w:rPr>
          <w:rFonts w:ascii="Verdana" w:eastAsia="Century Gothic" w:hAnsi="Verdana" w:cs="Century Gothic"/>
        </w:rPr>
        <w:t xml:space="preserve">De acuerdo con el contenido de su solicitud, esta Agencia resolverá el siguiente problema jurídico: tratándose de </w:t>
      </w:r>
      <w:r w:rsidRPr="00E2182C">
        <w:rPr>
          <w:rFonts w:ascii="Verdana" w:eastAsia="Calibri" w:hAnsi="Verdana" w:cs="Arial"/>
          <w:lang w:val="es-ES" w:eastAsia="es-ES"/>
        </w:rPr>
        <w:t xml:space="preserve">los documentos tipo de </w:t>
      </w:r>
      <w:r>
        <w:rPr>
          <w:rFonts w:ascii="Verdana" w:eastAsia="Calibri" w:hAnsi="Verdana" w:cs="Arial"/>
          <w:lang w:val="es-ES" w:eastAsia="es-ES"/>
        </w:rPr>
        <w:t xml:space="preserve">licitación de obra pública de </w:t>
      </w:r>
      <w:r w:rsidRPr="00E2182C">
        <w:rPr>
          <w:rFonts w:ascii="Verdana" w:eastAsia="Calibri" w:hAnsi="Verdana" w:cs="Arial"/>
          <w:lang w:val="es-ES" w:eastAsia="es-ES"/>
        </w:rPr>
        <w:t>infraestructura de transporte</w:t>
      </w:r>
      <w:r>
        <w:rPr>
          <w:rFonts w:ascii="Verdana" w:eastAsia="Calibri" w:hAnsi="Verdana" w:cs="Arial"/>
          <w:lang w:val="es-ES" w:eastAsia="es-ES"/>
        </w:rPr>
        <w:t xml:space="preserve"> – </w:t>
      </w:r>
      <w:r w:rsidRPr="00080A1E">
        <w:rPr>
          <w:rFonts w:ascii="Verdana" w:eastAsia="Calibri" w:hAnsi="Verdana" w:cs="Arial"/>
          <w:lang w:val="es-ES" w:eastAsia="es-ES"/>
        </w:rPr>
        <w:t>versión 4, ¿cuál es el alcance de tener en cuenta, para el cálculo de los saldos de contratos en ejecución (SCE), los contratos de obras civiles en ejecución suscritos por sociedades en los cuales el proponente tenga participación?</w:t>
      </w:r>
    </w:p>
    <w:p w14:paraId="3EE67C88" w14:textId="77777777" w:rsidR="00066311" w:rsidRPr="00E2182C" w:rsidRDefault="00066311" w:rsidP="00066311">
      <w:pPr>
        <w:snapToGrid w:val="0"/>
        <w:spacing w:after="0" w:line="276" w:lineRule="auto"/>
        <w:jc w:val="both"/>
        <w:rPr>
          <w:rFonts w:ascii="Verdana" w:eastAsia="Calibri" w:hAnsi="Verdana" w:cs="Arial"/>
          <w:lang w:val="es-ES"/>
        </w:rPr>
      </w:pPr>
    </w:p>
    <w:p w14:paraId="2B444560" w14:textId="77777777" w:rsidR="00066311" w:rsidRPr="00E2182C" w:rsidRDefault="00066311" w:rsidP="0006631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2182C">
        <w:rPr>
          <w:rFonts w:ascii="Verdana" w:eastAsia="Century Gothic" w:hAnsi="Verdana" w:cs="Century Gothic"/>
          <w:b/>
          <w:bCs/>
          <w:lang w:val="es-ES"/>
        </w:rPr>
        <w:lastRenderedPageBreak/>
        <w:t>Respuesta:</w:t>
      </w:r>
    </w:p>
    <w:p w14:paraId="752630CA" w14:textId="77777777" w:rsidR="00066311" w:rsidRPr="00E2182C" w:rsidRDefault="00066311" w:rsidP="00066311">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66311" w:rsidRPr="00E2182C" w14:paraId="39B6555F" w14:textId="77777777" w:rsidTr="009F6C81">
        <w:tc>
          <w:tcPr>
            <w:tcW w:w="8828" w:type="dxa"/>
            <w:shd w:val="clear" w:color="auto" w:fill="auto"/>
          </w:tcPr>
          <w:p w14:paraId="552AA912" w14:textId="77777777" w:rsidR="00066311" w:rsidRDefault="00066311" w:rsidP="009F6C81">
            <w:pPr>
              <w:spacing w:line="276" w:lineRule="auto"/>
              <w:jc w:val="both"/>
              <w:rPr>
                <w:rFonts w:ascii="Verdana" w:eastAsia="Calibri" w:hAnsi="Verdana" w:cs="Arial"/>
                <w:color w:val="000000" w:themeColor="text1"/>
              </w:rPr>
            </w:pPr>
            <w:r>
              <w:rPr>
                <w:rFonts w:ascii="Verdana" w:hAnsi="Verdana" w:cs="Arial"/>
                <w:szCs w:val="20"/>
                <w:lang w:val="es-MX"/>
              </w:rPr>
              <w:t>E</w:t>
            </w:r>
            <w:r w:rsidRPr="00230D9C">
              <w:rPr>
                <w:rFonts w:ascii="Verdana" w:hAnsi="Verdana" w:cs="Arial"/>
                <w:szCs w:val="20"/>
                <w:lang w:val="es-MX"/>
              </w:rPr>
              <w:t xml:space="preserve">l </w:t>
            </w:r>
            <w:r w:rsidRPr="00230D9C">
              <w:rPr>
                <w:rFonts w:ascii="Verdana" w:eastAsia="Calibri" w:hAnsi="Verdana" w:cs="Arial"/>
                <w:color w:val="000000" w:themeColor="text1"/>
                <w:lang w:val="es-MX"/>
              </w:rPr>
              <w:t>artículo 2.2.1.1.1.6.4 del Decreto 1082 de 2015 establece los documentos que debe aportar el proponente para la acreditación de la capacidad residual, dentro de los cuales expresamente exige l</w:t>
            </w:r>
            <w:r w:rsidRPr="00230D9C">
              <w:rPr>
                <w:rFonts w:ascii="Verdana" w:hAnsi="Verdana" w:cs="Arial"/>
                <w:szCs w:val="20"/>
                <w:lang w:val="es-MX"/>
              </w:rPr>
              <w:t xml:space="preserve">a lista de contratos de obras civiles en ejecución, suscritos por sociedades, consorcios o uniones temporales, en los cuales el proponente tenga participación, con entidades estatales y con entidades privadas. De allí que este requisito sea obligatorio en todos los procesos de selección para </w:t>
            </w:r>
            <w:r w:rsidRPr="00230D9C">
              <w:rPr>
                <w:rFonts w:ascii="Verdana" w:eastAsia="Calibri" w:hAnsi="Verdana" w:cs="Arial"/>
                <w:color w:val="000000" w:themeColor="text1"/>
              </w:rPr>
              <w:t>obra pública.</w:t>
            </w:r>
          </w:p>
          <w:p w14:paraId="60A502C3" w14:textId="77777777" w:rsidR="00066311" w:rsidRDefault="00066311" w:rsidP="009F6C81">
            <w:pPr>
              <w:spacing w:line="276" w:lineRule="auto"/>
              <w:jc w:val="both"/>
              <w:rPr>
                <w:rFonts w:ascii="Verdana" w:eastAsia="Calibri" w:hAnsi="Verdana" w:cs="Arial"/>
                <w:color w:val="000000" w:themeColor="text1"/>
              </w:rPr>
            </w:pPr>
          </w:p>
          <w:p w14:paraId="3567C9E8" w14:textId="77777777" w:rsidR="00066311" w:rsidRPr="00080A1E" w:rsidRDefault="00066311" w:rsidP="009F6C81">
            <w:pPr>
              <w:spacing w:line="276" w:lineRule="auto"/>
              <w:jc w:val="both"/>
              <w:rPr>
                <w:rFonts w:ascii="Verdana" w:hAnsi="Verdana" w:cs="Arial"/>
              </w:rPr>
            </w:pPr>
            <w:r w:rsidRPr="00080A1E">
              <w:rPr>
                <w:rFonts w:ascii="Verdana" w:hAnsi="Verdana" w:cs="Arial"/>
              </w:rPr>
              <w:t xml:space="preserve">Sobre la acreditación del factor </w:t>
            </w:r>
            <w:r w:rsidRPr="00080A1E">
              <w:rPr>
                <w:rFonts w:ascii="Verdana" w:hAnsi="Verdana" w:cs="Arial"/>
                <w:bCs/>
              </w:rPr>
              <w:t xml:space="preserve">“SCE” </w:t>
            </w:r>
            <w:r w:rsidRPr="00080A1E">
              <w:rPr>
                <w:rFonts w:ascii="Verdana" w:hAnsi="Verdana" w:cs="Arial"/>
              </w:rPr>
              <w:t xml:space="preserve">en los documentos tipo de licitación de obra pública para infraestructura de transporte – versión 4, el literal E del numeral 3.11.2 del documento base –en armonía con el numeral 2 del </w:t>
            </w:r>
            <w:r w:rsidRPr="00080A1E">
              <w:rPr>
                <w:rFonts w:ascii="Verdana" w:eastAsia="Calibri" w:hAnsi="Verdana" w:cs="Arial"/>
                <w:color w:val="000000" w:themeColor="text1"/>
                <w:lang w:val="es-MX"/>
              </w:rPr>
              <w:t>artículo 2.2.1.1.1.6.4 del Decreto 1082 de 2015–</w:t>
            </w:r>
            <w:r w:rsidRPr="00080A1E">
              <w:rPr>
                <w:rFonts w:ascii="Verdana" w:hAnsi="Verdana" w:cs="Arial"/>
              </w:rPr>
              <w:t xml:space="preserve"> señala lo siguiente:</w:t>
            </w:r>
          </w:p>
          <w:p w14:paraId="69B9A5AA" w14:textId="77777777" w:rsidR="00066311" w:rsidRPr="00080A1E" w:rsidRDefault="00066311" w:rsidP="009F6C81">
            <w:pPr>
              <w:spacing w:line="276" w:lineRule="auto"/>
              <w:ind w:firstLine="709"/>
              <w:jc w:val="both"/>
              <w:rPr>
                <w:rFonts w:ascii="Verdana" w:hAnsi="Verdana" w:cs="Arial"/>
              </w:rPr>
            </w:pPr>
          </w:p>
          <w:p w14:paraId="1215698A" w14:textId="77777777" w:rsidR="00066311" w:rsidRPr="00080A1E" w:rsidRDefault="00066311" w:rsidP="009F6C81">
            <w:pPr>
              <w:spacing w:after="120"/>
              <w:ind w:left="709" w:right="709"/>
              <w:jc w:val="both"/>
              <w:rPr>
                <w:rFonts w:ascii="Verdana" w:eastAsia="Arial," w:hAnsi="Verdana" w:cs="Arial"/>
              </w:rPr>
            </w:pPr>
            <w:r w:rsidRPr="00080A1E">
              <w:rPr>
                <w:rFonts w:ascii="Verdana" w:hAnsi="Verdana" w:cs="Arial"/>
              </w:rPr>
              <w:t>Para</w:t>
            </w:r>
            <w:r w:rsidRPr="00080A1E">
              <w:rPr>
                <w:rFonts w:ascii="Verdana" w:eastAsia="Arial," w:hAnsi="Verdana" w:cs="Arial"/>
              </w:rPr>
              <w:t xml:space="preserve"> </w:t>
            </w:r>
            <w:r w:rsidRPr="00080A1E">
              <w:rPr>
                <w:rFonts w:ascii="Verdana" w:hAnsi="Verdana" w:cs="Arial"/>
              </w:rPr>
              <w:t>acreditar</w:t>
            </w:r>
            <w:r w:rsidRPr="00080A1E">
              <w:rPr>
                <w:rFonts w:ascii="Verdana" w:eastAsia="Arial," w:hAnsi="Verdana" w:cs="Arial"/>
              </w:rPr>
              <w:t xml:space="preserve"> </w:t>
            </w:r>
            <w:r w:rsidRPr="00080A1E">
              <w:rPr>
                <w:rFonts w:ascii="Verdana" w:hAnsi="Verdana" w:cs="Arial"/>
              </w:rPr>
              <w:t>el</w:t>
            </w:r>
            <w:r w:rsidRPr="00080A1E">
              <w:rPr>
                <w:rFonts w:ascii="Verdana" w:eastAsia="Arial," w:hAnsi="Verdana" w:cs="Arial"/>
              </w:rPr>
              <w:t xml:space="preserve"> </w:t>
            </w:r>
            <w:r w:rsidRPr="00080A1E">
              <w:rPr>
                <w:rFonts w:ascii="Verdana" w:hAnsi="Verdana" w:cs="Arial"/>
              </w:rPr>
              <w:t>factor</w:t>
            </w:r>
            <w:r w:rsidRPr="00080A1E">
              <w:rPr>
                <w:rFonts w:ascii="Verdana" w:eastAsia="Arial," w:hAnsi="Verdana" w:cs="Arial"/>
              </w:rPr>
              <w:t xml:space="preserve"> </w:t>
            </w:r>
            <w:r w:rsidRPr="00080A1E">
              <w:rPr>
                <w:rFonts w:ascii="Verdana" w:hAnsi="Verdana" w:cs="Arial"/>
              </w:rPr>
              <w:t>(SCE)</w:t>
            </w:r>
            <w:r w:rsidRPr="00080A1E">
              <w:rPr>
                <w:rFonts w:ascii="Verdana" w:eastAsia="Arial," w:hAnsi="Verdana" w:cs="Arial"/>
              </w:rPr>
              <w:t xml:space="preserve"> </w:t>
            </w:r>
            <w:r w:rsidRPr="00080A1E">
              <w:rPr>
                <w:rFonts w:ascii="Verdana" w:hAnsi="Verdana" w:cs="Arial"/>
              </w:rPr>
              <w:t>el</w:t>
            </w:r>
            <w:r w:rsidRPr="00080A1E">
              <w:rPr>
                <w:rFonts w:ascii="Verdana" w:eastAsia="Arial," w:hAnsi="Verdana" w:cs="Arial"/>
              </w:rPr>
              <w:t xml:space="preserve"> </w:t>
            </w:r>
            <w:r w:rsidRPr="00080A1E">
              <w:rPr>
                <w:rFonts w:ascii="Verdana" w:hAnsi="Verdana" w:cs="Arial"/>
              </w:rPr>
              <w:t>Proponente</w:t>
            </w:r>
            <w:r w:rsidRPr="00080A1E">
              <w:rPr>
                <w:rFonts w:ascii="Verdana" w:eastAsia="Arial," w:hAnsi="Verdana" w:cs="Arial"/>
              </w:rPr>
              <w:t xml:space="preserve"> </w:t>
            </w:r>
            <w:r w:rsidRPr="00080A1E">
              <w:rPr>
                <w:rFonts w:ascii="Verdana" w:hAnsi="Verdana" w:cs="Arial"/>
              </w:rPr>
              <w:t>tendrá</w:t>
            </w:r>
            <w:r w:rsidRPr="00080A1E">
              <w:rPr>
                <w:rFonts w:ascii="Verdana" w:eastAsia="Arial," w:hAnsi="Verdana" w:cs="Arial"/>
              </w:rPr>
              <w:t xml:space="preserve"> </w:t>
            </w:r>
            <w:r w:rsidRPr="00080A1E">
              <w:rPr>
                <w:rFonts w:ascii="Verdana" w:hAnsi="Verdana" w:cs="Arial"/>
              </w:rPr>
              <w:t>en</w:t>
            </w:r>
            <w:r w:rsidRPr="00080A1E">
              <w:rPr>
                <w:rFonts w:ascii="Verdana" w:eastAsia="Arial," w:hAnsi="Verdana" w:cs="Arial"/>
              </w:rPr>
              <w:t xml:space="preserve"> </w:t>
            </w:r>
            <w:r w:rsidRPr="00080A1E">
              <w:rPr>
                <w:rFonts w:ascii="Verdana" w:hAnsi="Verdana" w:cs="Arial"/>
              </w:rPr>
              <w:t>cuenta</w:t>
            </w:r>
            <w:r w:rsidRPr="00080A1E">
              <w:rPr>
                <w:rFonts w:ascii="Verdana" w:eastAsia="Arial," w:hAnsi="Verdana" w:cs="Arial"/>
              </w:rPr>
              <w:t xml:space="preserve"> </w:t>
            </w:r>
            <w:r w:rsidRPr="00080A1E">
              <w:rPr>
                <w:rFonts w:ascii="Verdana" w:hAnsi="Verdana" w:cs="Arial"/>
              </w:rPr>
              <w:t>lo</w:t>
            </w:r>
            <w:r w:rsidRPr="00080A1E">
              <w:rPr>
                <w:rFonts w:ascii="Verdana" w:eastAsia="Arial," w:hAnsi="Verdana" w:cs="Arial"/>
              </w:rPr>
              <w:t xml:space="preserve"> </w:t>
            </w:r>
            <w:r w:rsidRPr="00080A1E">
              <w:rPr>
                <w:rFonts w:ascii="Verdana" w:hAnsi="Verdana" w:cs="Arial"/>
              </w:rPr>
              <w:t>siguiente:</w:t>
            </w:r>
            <w:r w:rsidRPr="00080A1E">
              <w:rPr>
                <w:rFonts w:ascii="Verdana" w:eastAsia="Arial," w:hAnsi="Verdana" w:cs="Arial"/>
              </w:rPr>
              <w:t xml:space="preserve"> </w:t>
            </w:r>
          </w:p>
          <w:p w14:paraId="5A7E937F" w14:textId="77777777" w:rsidR="00066311" w:rsidRPr="00080A1E" w:rsidRDefault="00066311" w:rsidP="009F6C81">
            <w:pPr>
              <w:spacing w:after="120"/>
              <w:ind w:right="709" w:firstLine="709"/>
              <w:jc w:val="both"/>
              <w:rPr>
                <w:rFonts w:ascii="Verdana" w:eastAsia="Arial," w:hAnsi="Verdana" w:cs="Arial"/>
              </w:rPr>
            </w:pPr>
            <w:r w:rsidRPr="00080A1E">
              <w:rPr>
                <w:rFonts w:ascii="Verdana" w:eastAsia="Arial," w:hAnsi="Verdana" w:cs="Arial"/>
              </w:rPr>
              <w:t>[…]</w:t>
            </w:r>
          </w:p>
          <w:p w14:paraId="44ED4A1A" w14:textId="77777777" w:rsidR="00066311" w:rsidRPr="00080A1E" w:rsidRDefault="00066311" w:rsidP="009F6C81">
            <w:pPr>
              <w:spacing w:after="120"/>
              <w:ind w:left="709" w:right="709"/>
              <w:jc w:val="both"/>
              <w:rPr>
                <w:rFonts w:ascii="Verdana" w:eastAsia="Arial," w:hAnsi="Verdana" w:cs="Arial"/>
                <w:lang w:eastAsia="en-GB"/>
              </w:rPr>
            </w:pPr>
            <w:r w:rsidRPr="00080A1E">
              <w:rPr>
                <w:rFonts w:ascii="Verdana" w:eastAsia="Calibri" w:hAnsi="Verdana" w:cs="Arial"/>
                <w:lang w:eastAsia="en-GB"/>
              </w:rPr>
              <w:t>“Para</w:t>
            </w:r>
            <w:r w:rsidRPr="00080A1E">
              <w:rPr>
                <w:rFonts w:ascii="Verdana" w:eastAsia="Arial," w:hAnsi="Verdana" w:cs="Arial"/>
                <w:lang w:eastAsia="en-GB"/>
              </w:rPr>
              <w:t xml:space="preserve"> </w:t>
            </w:r>
            <w:r w:rsidRPr="00080A1E">
              <w:rPr>
                <w:rFonts w:ascii="Verdana" w:eastAsia="Calibri" w:hAnsi="Verdana" w:cs="Arial"/>
                <w:lang w:eastAsia="en-GB"/>
              </w:rPr>
              <w:t>acreditar</w:t>
            </w:r>
            <w:r w:rsidRPr="00080A1E">
              <w:rPr>
                <w:rFonts w:ascii="Verdana" w:eastAsia="Arial," w:hAnsi="Verdana" w:cs="Arial"/>
                <w:lang w:eastAsia="en-GB"/>
              </w:rPr>
              <w:t xml:space="preserve"> </w:t>
            </w:r>
            <w:r w:rsidRPr="00080A1E">
              <w:rPr>
                <w:rFonts w:ascii="Verdana" w:eastAsia="Calibri" w:hAnsi="Verdana" w:cs="Arial"/>
                <w:lang w:eastAsia="en-GB"/>
              </w:rPr>
              <w:t>el</w:t>
            </w:r>
            <w:r w:rsidRPr="00080A1E">
              <w:rPr>
                <w:rFonts w:ascii="Verdana" w:eastAsia="Arial," w:hAnsi="Verdana" w:cs="Arial"/>
                <w:lang w:eastAsia="en-GB"/>
              </w:rPr>
              <w:t xml:space="preserve"> </w:t>
            </w:r>
            <w:r w:rsidRPr="00080A1E">
              <w:rPr>
                <w:rFonts w:ascii="Verdana" w:eastAsia="Calibri" w:hAnsi="Verdana" w:cs="Arial"/>
                <w:lang w:eastAsia="en-GB"/>
              </w:rPr>
              <w:t>factor</w:t>
            </w:r>
            <w:r w:rsidRPr="00080A1E">
              <w:rPr>
                <w:rFonts w:ascii="Verdana" w:eastAsia="Arial," w:hAnsi="Verdana" w:cs="Arial"/>
                <w:lang w:eastAsia="en-GB"/>
              </w:rPr>
              <w:t xml:space="preserve"> </w:t>
            </w:r>
            <w:r w:rsidRPr="00080A1E">
              <w:rPr>
                <w:rFonts w:ascii="Verdana" w:eastAsia="Calibri" w:hAnsi="Verdana" w:cs="Arial"/>
                <w:lang w:eastAsia="en-GB"/>
              </w:rPr>
              <w:t>(SCE)</w:t>
            </w:r>
            <w:r w:rsidRPr="00080A1E">
              <w:rPr>
                <w:rFonts w:ascii="Verdana" w:eastAsia="Arial," w:hAnsi="Verdana" w:cs="Arial"/>
                <w:lang w:eastAsia="en-GB"/>
              </w:rPr>
              <w:t xml:space="preserve"> </w:t>
            </w:r>
            <w:r w:rsidRPr="00080A1E">
              <w:rPr>
                <w:rFonts w:ascii="Verdana" w:eastAsia="Calibri" w:hAnsi="Verdana" w:cs="Arial"/>
                <w:lang w:eastAsia="en-GB"/>
              </w:rPr>
              <w:t>el</w:t>
            </w:r>
            <w:r w:rsidRPr="00080A1E">
              <w:rPr>
                <w:rFonts w:ascii="Verdana" w:eastAsia="Arial," w:hAnsi="Verdana" w:cs="Arial"/>
                <w:lang w:eastAsia="en-GB"/>
              </w:rPr>
              <w:t xml:space="preserve"> </w:t>
            </w:r>
            <w:r w:rsidRPr="00080A1E">
              <w:rPr>
                <w:rFonts w:ascii="Verdana" w:eastAsia="Calibri" w:hAnsi="Verdana" w:cs="Arial"/>
                <w:lang w:eastAsia="en-GB"/>
              </w:rPr>
              <w:t>proponente</w:t>
            </w:r>
            <w:r w:rsidRPr="00080A1E">
              <w:rPr>
                <w:rFonts w:ascii="Verdana" w:eastAsia="Arial," w:hAnsi="Verdana" w:cs="Arial"/>
                <w:lang w:eastAsia="en-GB"/>
              </w:rPr>
              <w:t xml:space="preserve"> </w:t>
            </w:r>
            <w:r w:rsidRPr="00080A1E">
              <w:rPr>
                <w:rFonts w:ascii="Verdana" w:eastAsia="Calibri" w:hAnsi="Verdana" w:cs="Arial"/>
                <w:lang w:eastAsia="en-GB"/>
              </w:rPr>
              <w:t>tendrá</w:t>
            </w:r>
            <w:r w:rsidRPr="00080A1E">
              <w:rPr>
                <w:rFonts w:ascii="Verdana" w:eastAsia="Arial," w:hAnsi="Verdana" w:cs="Arial"/>
                <w:lang w:eastAsia="en-GB"/>
              </w:rPr>
              <w:t xml:space="preserve"> </w:t>
            </w:r>
            <w:r w:rsidRPr="00080A1E">
              <w:rPr>
                <w:rFonts w:ascii="Verdana" w:eastAsia="Calibri" w:hAnsi="Verdana" w:cs="Arial"/>
                <w:lang w:eastAsia="en-GB"/>
              </w:rPr>
              <w:t>en</w:t>
            </w:r>
            <w:r w:rsidRPr="00080A1E">
              <w:rPr>
                <w:rFonts w:ascii="Verdana" w:eastAsia="Arial," w:hAnsi="Verdana" w:cs="Arial"/>
                <w:lang w:eastAsia="en-GB"/>
              </w:rPr>
              <w:t xml:space="preserve"> </w:t>
            </w:r>
            <w:r w:rsidRPr="00080A1E">
              <w:rPr>
                <w:rFonts w:ascii="Verdana" w:eastAsia="Calibri" w:hAnsi="Verdana" w:cs="Arial"/>
                <w:lang w:eastAsia="en-GB"/>
              </w:rPr>
              <w:t>cuenta</w:t>
            </w:r>
            <w:r w:rsidRPr="00080A1E">
              <w:rPr>
                <w:rFonts w:ascii="Verdana" w:eastAsia="Arial," w:hAnsi="Verdana" w:cs="Arial"/>
                <w:lang w:eastAsia="en-GB"/>
              </w:rPr>
              <w:t xml:space="preserve"> </w:t>
            </w:r>
            <w:r w:rsidRPr="00080A1E">
              <w:rPr>
                <w:rFonts w:ascii="Verdana" w:eastAsia="Calibri" w:hAnsi="Verdana" w:cs="Arial"/>
                <w:lang w:eastAsia="en-GB"/>
              </w:rPr>
              <w:t>lo</w:t>
            </w:r>
            <w:r w:rsidRPr="00080A1E">
              <w:rPr>
                <w:rFonts w:ascii="Verdana" w:eastAsia="Arial," w:hAnsi="Verdana" w:cs="Arial"/>
                <w:lang w:eastAsia="en-GB"/>
              </w:rPr>
              <w:t xml:space="preserve"> </w:t>
            </w:r>
            <w:r w:rsidRPr="00080A1E">
              <w:rPr>
                <w:rFonts w:ascii="Verdana" w:eastAsia="Calibri" w:hAnsi="Verdana" w:cs="Arial"/>
                <w:lang w:eastAsia="en-GB"/>
              </w:rPr>
              <w:t>siguiente:</w:t>
            </w:r>
          </w:p>
          <w:p w14:paraId="5E408E8D" w14:textId="77777777" w:rsidR="00066311" w:rsidRPr="00080A1E" w:rsidRDefault="00066311" w:rsidP="009F6C81">
            <w:pPr>
              <w:spacing w:after="120"/>
              <w:ind w:left="709" w:right="709"/>
              <w:jc w:val="both"/>
              <w:rPr>
                <w:rFonts w:ascii="Verdana" w:eastAsia="Arial," w:hAnsi="Verdana" w:cs="Arial"/>
                <w:lang w:eastAsia="en-GB"/>
              </w:rPr>
            </w:pPr>
            <w:r w:rsidRPr="00080A1E">
              <w:rPr>
                <w:rFonts w:ascii="Verdana" w:eastAsia="Arial," w:hAnsi="Verdana" w:cs="Arial"/>
                <w:lang w:eastAsia="en-GB"/>
              </w:rPr>
              <w:t>[…]</w:t>
            </w:r>
          </w:p>
          <w:p w14:paraId="6DA99F85" w14:textId="77777777" w:rsidR="00066311" w:rsidRPr="00080A1E" w:rsidRDefault="00066311" w:rsidP="009F6C81">
            <w:pPr>
              <w:spacing w:after="120"/>
              <w:ind w:left="1134" w:right="709" w:hanging="425"/>
              <w:jc w:val="both"/>
              <w:rPr>
                <w:rFonts w:ascii="Verdana" w:eastAsia="Arial" w:hAnsi="Verdana" w:cs="Arial"/>
                <w:lang w:val="es-MX" w:eastAsia="en-GB"/>
              </w:rPr>
            </w:pPr>
            <w:r w:rsidRPr="00080A1E">
              <w:rPr>
                <w:rFonts w:ascii="Verdana" w:eastAsia="Arial" w:hAnsi="Verdana" w:cs="Arial"/>
                <w:lang w:val="es-MX" w:eastAsia="en-GB"/>
              </w:rPr>
              <w:t>II.</w:t>
            </w:r>
            <w:r w:rsidRPr="00080A1E">
              <w:rPr>
                <w:rFonts w:ascii="Verdana" w:eastAsia="Arial" w:hAnsi="Verdana" w:cs="Arial"/>
                <w:lang w:val="es-MX" w:eastAsia="en-GB"/>
              </w:rPr>
              <w:tab/>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1F59AB87" w14:textId="77777777" w:rsidR="00066311" w:rsidRPr="00080A1E" w:rsidRDefault="00066311" w:rsidP="009F6C81">
            <w:pPr>
              <w:spacing w:after="120"/>
              <w:ind w:left="1134" w:right="709" w:hanging="425"/>
              <w:jc w:val="both"/>
              <w:rPr>
                <w:rFonts w:ascii="Verdana" w:eastAsia="Arial" w:hAnsi="Verdana" w:cs="Arial"/>
                <w:i/>
                <w:iCs/>
                <w:lang w:val="es-MX" w:eastAsia="en-GB"/>
              </w:rPr>
            </w:pPr>
            <w:r w:rsidRPr="00080A1E">
              <w:rPr>
                <w:rFonts w:ascii="Verdana" w:eastAsia="Arial" w:hAnsi="Verdana" w:cs="Arial"/>
                <w:lang w:val="es-MX" w:eastAsia="en-GB"/>
              </w:rPr>
              <w:t>III.</w:t>
            </w:r>
            <w:r w:rsidRPr="00080A1E">
              <w:rPr>
                <w:rFonts w:ascii="Verdana" w:eastAsia="Arial" w:hAnsi="Verdana" w:cs="Arial"/>
                <w:lang w:val="es-MX" w:eastAsia="en-GB"/>
              </w:rPr>
              <w:tab/>
            </w:r>
            <w:r w:rsidRPr="00C71978">
              <w:rPr>
                <w:rFonts w:ascii="Verdana" w:eastAsia="Arial" w:hAnsi="Verdana" w:cs="Arial"/>
                <w:b/>
                <w:bCs/>
                <w:i/>
                <w:iCs/>
                <w:lang w:val="es-MX" w:eastAsia="en-GB"/>
              </w:rPr>
              <w:t>Se tendrán en cuenta los contratos de obras civiles en ejecución suscritos por el proponente o por sociedades, consorcios o uniones temporales en los cuales el proponente tenga participación.</w:t>
            </w:r>
            <w:r w:rsidRPr="00080A1E">
              <w:rPr>
                <w:rFonts w:ascii="Verdana" w:eastAsia="Arial" w:hAnsi="Verdana" w:cs="Arial"/>
                <w:i/>
                <w:iCs/>
                <w:lang w:val="es-MX" w:eastAsia="en-GB"/>
              </w:rPr>
              <w:t xml:space="preserve"> </w:t>
            </w:r>
          </w:p>
          <w:p w14:paraId="4E161769" w14:textId="77777777" w:rsidR="00066311" w:rsidRPr="00080A1E" w:rsidRDefault="00066311" w:rsidP="009F6C81">
            <w:pPr>
              <w:spacing w:after="120"/>
              <w:ind w:left="1134" w:right="709" w:hanging="425"/>
              <w:jc w:val="both"/>
              <w:rPr>
                <w:rFonts w:ascii="Verdana" w:eastAsia="Arial" w:hAnsi="Verdana" w:cs="Arial"/>
                <w:lang w:val="es-MX" w:eastAsia="en-GB"/>
              </w:rPr>
            </w:pPr>
            <w:r w:rsidRPr="00080A1E">
              <w:rPr>
                <w:rFonts w:ascii="Verdana" w:eastAsia="Arial" w:hAnsi="Verdana" w:cs="Arial"/>
                <w:lang w:val="es-MX" w:eastAsia="en-GB"/>
              </w:rPr>
              <w:t>IV.</w:t>
            </w:r>
            <w:r w:rsidRPr="00080A1E">
              <w:rPr>
                <w:rFonts w:ascii="Verdana" w:eastAsia="Arial" w:hAnsi="Verdana" w:cs="Arial"/>
                <w:lang w:val="es-MX" w:eastAsia="en-GB"/>
              </w:rPr>
              <w:tab/>
              <w:t xml:space="preserve">Si un contrato se encuentra suspendido, el cálculo del (SCE) de dicho contrato debe efectuarse asumiendo que lo que falta por ejecutar iniciara en la fecha de presentación de la oferta </w:t>
            </w:r>
            <w:r w:rsidRPr="00080A1E">
              <w:rPr>
                <w:rFonts w:ascii="Verdana" w:eastAsia="Arial" w:hAnsi="Verdana" w:cs="Arial"/>
                <w:lang w:val="es-MX" w:eastAsia="en-GB"/>
              </w:rPr>
              <w:lastRenderedPageBreak/>
              <w:t>del Proceso de Contratación. Si el contrato está suspendido el proponente debe informar el saldo pendiente por ejecutar.</w:t>
            </w:r>
          </w:p>
          <w:p w14:paraId="408CE7EB" w14:textId="77777777" w:rsidR="00066311" w:rsidRDefault="00066311" w:rsidP="009F6C81">
            <w:pPr>
              <w:spacing w:after="120"/>
              <w:ind w:left="1134" w:right="709" w:hanging="425"/>
              <w:jc w:val="both"/>
              <w:rPr>
                <w:rFonts w:ascii="Verdana" w:hAnsi="Verdana" w:cs="Arial"/>
              </w:rPr>
            </w:pPr>
            <w:r w:rsidRPr="00080A1E">
              <w:rPr>
                <w:rFonts w:ascii="Verdana" w:eastAsia="Arial" w:hAnsi="Verdana" w:cs="Arial"/>
                <w:lang w:val="es-MX" w:eastAsia="en-GB"/>
              </w:rPr>
              <w:t>V.</w:t>
            </w:r>
            <w:r w:rsidRPr="00080A1E">
              <w:rPr>
                <w:rFonts w:ascii="Verdana" w:eastAsia="Arial" w:hAnsi="Verdana" w:cs="Arial"/>
                <w:lang w:val="es-MX" w:eastAsia="en-GB"/>
              </w:rPr>
              <w:tab/>
              <w:t>El cálculo del factor (SCE)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la respectiva estructura.”</w:t>
            </w:r>
            <w:r w:rsidRPr="00C71978">
              <w:rPr>
                <w:rFonts w:ascii="Verdana" w:hAnsi="Verdana" w:cs="Arial"/>
              </w:rPr>
              <w:t xml:space="preserve"> [Énfasis por fuera de texto].</w:t>
            </w:r>
          </w:p>
          <w:p w14:paraId="78A9F4DD" w14:textId="77777777" w:rsidR="00066311" w:rsidRPr="00C71978" w:rsidRDefault="00066311" w:rsidP="009F6C81">
            <w:pPr>
              <w:ind w:left="1134" w:right="709" w:hanging="425"/>
              <w:jc w:val="both"/>
              <w:rPr>
                <w:rFonts w:ascii="Verdana" w:eastAsia="Arial" w:hAnsi="Verdana" w:cs="Arial"/>
                <w:lang w:val="es-MX" w:eastAsia="en-GB"/>
              </w:rPr>
            </w:pPr>
          </w:p>
          <w:p w14:paraId="2B23C1F7" w14:textId="77777777" w:rsidR="00066311" w:rsidRPr="00080A1E" w:rsidRDefault="00066311" w:rsidP="009F6C81">
            <w:pPr>
              <w:spacing w:line="276" w:lineRule="auto"/>
              <w:ind w:firstLine="709"/>
              <w:jc w:val="both"/>
              <w:rPr>
                <w:rFonts w:ascii="Verdana" w:eastAsia="Arial" w:hAnsi="Verdana" w:cs="Arial"/>
              </w:rPr>
            </w:pPr>
            <w:r w:rsidRPr="00080A1E">
              <w:rPr>
                <w:rFonts w:ascii="Verdana" w:eastAsia="Arial," w:hAnsi="Verdana" w:cs="Arial"/>
              </w:rPr>
              <w:t xml:space="preserve">Como se aprecia, los apartados transcritos del documento base están en armonía con lo dispuesto en el artículo </w:t>
            </w:r>
            <w:r w:rsidRPr="00080A1E">
              <w:rPr>
                <w:rFonts w:ascii="Verdana" w:eastAsia="Calibri" w:hAnsi="Verdana" w:cs="Arial"/>
                <w:color w:val="000000" w:themeColor="text1"/>
                <w:lang w:val="es-MX"/>
              </w:rPr>
              <w:t xml:space="preserve">2.2.1.1.1.6.4 del Decreto 1082 de 2015 y en la </w:t>
            </w:r>
            <w:r w:rsidRPr="00080A1E">
              <w:rPr>
                <w:rFonts w:ascii="Verdana" w:hAnsi="Verdana" w:cs="Arial"/>
              </w:rPr>
              <w:t xml:space="preserve">Guía para Determinar y Verificar la Capacidad Residual del Proponente en los Procesos de Contratación de Obra Pública, y se refieren a </w:t>
            </w:r>
            <w:r w:rsidRPr="00080A1E">
              <w:rPr>
                <w:rFonts w:ascii="Verdana" w:eastAsia="Arial" w:hAnsi="Verdana" w:cs="Arial"/>
              </w:rPr>
              <w:t xml:space="preserve">los contratos de obras civiles en ejecución suscritos por el proponente o por sociedades, consorcios o uniones temporales en los cuales el proponente tenga participación. </w:t>
            </w:r>
          </w:p>
          <w:p w14:paraId="15D4E7FD" w14:textId="77777777" w:rsidR="00066311" w:rsidRPr="00080A1E" w:rsidRDefault="00066311" w:rsidP="009F6C81">
            <w:pPr>
              <w:spacing w:before="120" w:line="276" w:lineRule="auto"/>
              <w:ind w:firstLine="709"/>
              <w:jc w:val="both"/>
              <w:rPr>
                <w:rFonts w:ascii="Verdana" w:hAnsi="Verdana" w:cs="Arial"/>
                <w:lang w:val="es-MX"/>
              </w:rPr>
            </w:pPr>
            <w:r w:rsidRPr="00080A1E">
              <w:rPr>
                <w:rFonts w:ascii="Verdana" w:hAnsi="Verdana" w:cs="Arial"/>
                <w:lang w:val="es-MX"/>
              </w:rPr>
              <w:t xml:space="preserve">Conforme a lo anterior, en los procesos de selección para contratos de obras pública, así como los que se rigen por los documentos tipos de obra pública, los proponentes deberán informar los contratos de obra civil en ejecución de la sociedad, consorcio o unión temporal en los que tenga participación para efectos del cálculo de la capacidad residual. Este requisito es una exigencia del </w:t>
            </w:r>
            <w:r w:rsidRPr="00080A1E">
              <w:rPr>
                <w:rFonts w:ascii="Verdana" w:eastAsia="Arial," w:hAnsi="Verdana" w:cs="Arial"/>
              </w:rPr>
              <w:t xml:space="preserve">artículo </w:t>
            </w:r>
            <w:r w:rsidRPr="00080A1E">
              <w:rPr>
                <w:rFonts w:ascii="Verdana" w:eastAsia="Calibri" w:hAnsi="Verdana" w:cs="Arial"/>
                <w:color w:val="000000" w:themeColor="text1"/>
                <w:lang w:val="es-MX"/>
              </w:rPr>
              <w:t xml:space="preserve">2.2.1.1.1.6.4 del Decreto 1082 de 2015 </w:t>
            </w:r>
            <w:r w:rsidRPr="00080A1E">
              <w:rPr>
                <w:rFonts w:ascii="Verdana" w:hAnsi="Verdana" w:cs="Arial"/>
                <w:lang w:val="es-MX"/>
              </w:rPr>
              <w:t xml:space="preserve">y se fundamenta en que su participación en estas sociedades </w:t>
            </w:r>
            <w:r w:rsidRPr="00080A1E">
              <w:rPr>
                <w:rFonts w:ascii="Verdana" w:hAnsi="Verdana" w:cs="Arial"/>
              </w:rPr>
              <w:t>puede, eventualmente, afectar la aptitud del oferente para cumplir con el contrato ofertado debido a que estos obligan al proponente, razón por la cual es necesario evaluar los saldos pendientes por ejecutar de tales contratos para determinar si este cumple con la capacidad residual requerida.</w:t>
            </w:r>
            <w:r w:rsidRPr="00080A1E">
              <w:rPr>
                <w:rFonts w:ascii="Verdana" w:hAnsi="Verdana" w:cs="Arial"/>
                <w:lang w:val="es-MX"/>
              </w:rPr>
              <w:t xml:space="preserve"> </w:t>
            </w:r>
          </w:p>
          <w:p w14:paraId="23D4A4C9" w14:textId="77777777" w:rsidR="00066311" w:rsidRPr="00080A1E" w:rsidRDefault="00066311" w:rsidP="009F6C81">
            <w:pPr>
              <w:spacing w:before="120" w:line="276" w:lineRule="auto"/>
              <w:ind w:firstLine="709"/>
              <w:jc w:val="both"/>
              <w:rPr>
                <w:rFonts w:ascii="Verdana" w:hAnsi="Verdana" w:cs="Arial"/>
                <w:lang w:val="es-MX"/>
              </w:rPr>
            </w:pPr>
            <w:r w:rsidRPr="00080A1E">
              <w:rPr>
                <w:rFonts w:ascii="Verdana" w:hAnsi="Verdana" w:cs="Arial"/>
                <w:lang w:val="es-MX"/>
              </w:rPr>
              <w:t xml:space="preserve">De esta manera, debe precisarse que solo en la medida en que el proponente tenga participación en la sociedad deberá informar sobre dichos contratos en el proceso de obra pública en los que se presente siempre que tenga participación en ella. Para tales efectos, conforme al artículo 98 del Código de Comercio, entiéndase por sociedad el contrato en el que </w:t>
            </w:r>
            <w:r w:rsidRPr="00080A1E">
              <w:rPr>
                <w:rFonts w:ascii="Verdana" w:hAnsi="Verdana" w:cs="Arial"/>
                <w:lang w:val="es-ES_tradnl"/>
              </w:rPr>
              <w:t>“</w:t>
            </w:r>
            <w:r w:rsidRPr="00080A1E">
              <w:rPr>
                <w:rFonts w:ascii="Verdana" w:hAnsi="Verdana" w:cs="Arial"/>
                <w:lang w:val="es-MX"/>
              </w:rPr>
              <w:t xml:space="preserve">dos o más personas se obligan a hacer un aporte en dinero, en trabajo o en otros bienes apreciables en dinero, con el fin de repartirse entre sí las utilidades obtenidas en la empresa o actividad social. La sociedad, una vez constituida legalmente, </w:t>
            </w:r>
            <w:r w:rsidRPr="00080A1E">
              <w:rPr>
                <w:rFonts w:ascii="Verdana" w:hAnsi="Verdana" w:cs="Arial"/>
                <w:lang w:val="es-MX"/>
              </w:rPr>
              <w:lastRenderedPageBreak/>
              <w:t>forma una persona jurídica distinta de los socios individualmente considerados</w:t>
            </w:r>
            <w:r w:rsidRPr="00080A1E">
              <w:rPr>
                <w:rFonts w:ascii="Verdana" w:hAnsi="Verdana" w:cs="Arial"/>
                <w:lang w:val="es-ES"/>
              </w:rPr>
              <w:t>”</w:t>
            </w:r>
            <w:r w:rsidRPr="00080A1E">
              <w:rPr>
                <w:rStyle w:val="Refdenotaalpie"/>
                <w:rFonts w:ascii="Verdana" w:hAnsi="Verdana" w:cs="Arial"/>
                <w:lang w:val="es-ES"/>
              </w:rPr>
              <w:footnoteReference w:id="1"/>
            </w:r>
            <w:r w:rsidRPr="00080A1E">
              <w:rPr>
                <w:rFonts w:ascii="Verdana" w:hAnsi="Verdana" w:cs="Arial"/>
                <w:lang w:val="es-MX"/>
              </w:rPr>
              <w:t xml:space="preserve">. </w:t>
            </w:r>
          </w:p>
          <w:p w14:paraId="2FC27EA0" w14:textId="77777777" w:rsidR="00066311" w:rsidRDefault="00066311" w:rsidP="009F6C81">
            <w:pPr>
              <w:spacing w:before="120" w:after="120" w:line="276" w:lineRule="auto"/>
              <w:ind w:firstLine="709"/>
              <w:jc w:val="both"/>
              <w:rPr>
                <w:rFonts w:ascii="Verdana" w:hAnsi="Verdana" w:cs="Arial"/>
                <w:lang w:val="es-MX"/>
              </w:rPr>
            </w:pPr>
            <w:r w:rsidRPr="00080A1E">
              <w:rPr>
                <w:rFonts w:ascii="Verdana" w:hAnsi="Verdana" w:cs="Arial"/>
                <w:lang w:val="es-MX"/>
              </w:rPr>
              <w:t xml:space="preserve">En este contexto, debido a que los contratos de obra civil en ejecución suscritos por la sociedad en la que el proponente tiene </w:t>
            </w:r>
            <w:proofErr w:type="gramStart"/>
            <w:r w:rsidRPr="00080A1E">
              <w:rPr>
                <w:rFonts w:ascii="Verdana" w:hAnsi="Verdana" w:cs="Arial"/>
                <w:lang w:val="es-MX"/>
              </w:rPr>
              <w:t>participación,</w:t>
            </w:r>
            <w:proofErr w:type="gramEnd"/>
            <w:r w:rsidRPr="00080A1E">
              <w:rPr>
                <w:rFonts w:ascii="Verdana" w:hAnsi="Verdana" w:cs="Arial"/>
                <w:lang w:val="es-MX"/>
              </w:rPr>
              <w:t xml:space="preserve"> podrían afectar la capacidad residual del proponente para cumplir con otros contratos de obra, resulta necesario que el proponente que tenga participación en dicha sociedad aporte la lista de estos.</w:t>
            </w:r>
            <w:r>
              <w:rPr>
                <w:rFonts w:ascii="Verdana" w:hAnsi="Verdana" w:cs="Arial"/>
                <w:lang w:val="es-MX"/>
              </w:rPr>
              <w:t xml:space="preserve"> </w:t>
            </w:r>
            <w:r w:rsidRPr="00C12ECE">
              <w:rPr>
                <w:rFonts w:ascii="Verdana" w:hAnsi="Verdana" w:cs="Arial"/>
              </w:rPr>
              <w:t xml:space="preserve">Es pertinente señalar que ni la </w:t>
            </w:r>
            <w:r w:rsidRPr="00C12ECE">
              <w:rPr>
                <w:rFonts w:ascii="Verdana" w:hAnsi="Verdana" w:cs="Arial"/>
                <w:i/>
                <w:iCs/>
              </w:rPr>
              <w:t>Guía para determinar y verificar la capacidad residual del proponente en los procesos de contratación de obra pública</w:t>
            </w:r>
            <w:r w:rsidRPr="00C12ECE">
              <w:rPr>
                <w:rFonts w:ascii="Verdana" w:hAnsi="Verdana" w:cs="Arial"/>
              </w:rPr>
              <w:t xml:space="preserve">, ni el artículo 2.2.1.1.1.6.4, precisan si el proponente debe reportar, en los saldos de contratos, únicamente la proporción correspondiente a su participación en los contratos de obra civil en ejecución celebrados por la sociedad, o si, por el contrario, debe reportarlos en su totalidad. A diferencia de esto, el documento tipo sí establece una directriz clara respecto a los consorcios y uniones temporales, indicando en el literal E del numeral 3.11.2 que, en relación con los contratos en ejecución, “si la obra la ejecuta un consorcio o unión temporal, se debe indicar el porcentaje de participación del integrante que presenta el certificado”. </w:t>
            </w:r>
          </w:p>
          <w:p w14:paraId="53807E2A" w14:textId="77777777" w:rsidR="00066311" w:rsidRPr="00080A1E" w:rsidRDefault="00066311" w:rsidP="009F6C81">
            <w:pPr>
              <w:spacing w:before="120" w:after="120" w:line="276" w:lineRule="auto"/>
              <w:ind w:firstLine="709"/>
              <w:jc w:val="both"/>
              <w:rPr>
                <w:rFonts w:ascii="Verdana" w:hAnsi="Verdana" w:cs="Arial"/>
                <w:lang w:val="es-MX"/>
              </w:rPr>
            </w:pPr>
            <w:r w:rsidRPr="00080A1E">
              <w:rPr>
                <w:rFonts w:ascii="Verdana" w:hAnsi="Verdana" w:cs="Arial"/>
                <w:lang w:val="es-MX"/>
              </w:rPr>
              <w:t>Al respecto debe tenerse en cuenta que los contratos de obra civil en ejecución incluyen aquellos</w:t>
            </w:r>
            <w:r w:rsidRPr="00080A1E">
              <w:rPr>
                <w:rFonts w:ascii="Verdana" w:eastAsia="Calibri" w:hAnsi="Verdana" w:cs="Arial"/>
              </w:rPr>
              <w:t xml:space="preserve"> no solo que hayan sido adjudicados al proponente, sino que se requiere que los mismos estuviesen en ejecución al momento del cierre, incluyendo los contratos suspendidos y aquellos que no tengan acta de inicio. En efecto, como se expuso anteriormente, la Guía para Determinar y Verificar la Capacidad Residual del Proponente en los Procesos de Contratación de Obra Pública</w:t>
            </w:r>
            <w:r w:rsidRPr="00080A1E">
              <w:rPr>
                <w:rFonts w:ascii="Verdana" w:eastAsia="Calibri" w:hAnsi="Verdana" w:cs="Arial"/>
                <w:i/>
                <w:iCs/>
              </w:rPr>
              <w:t xml:space="preserve"> </w:t>
            </w:r>
            <w:r w:rsidRPr="00080A1E">
              <w:rPr>
                <w:rFonts w:ascii="Verdana" w:eastAsia="Calibri" w:hAnsi="Verdana" w:cs="Arial"/>
              </w:rPr>
              <w:t>incluye en la definición de contratos en ejecución aquellos que se encuentren suspendidos y que no tengan acta de inicio. Esta misma se recogió en el numeral 3.1</w:t>
            </w:r>
            <w:r>
              <w:rPr>
                <w:rFonts w:ascii="Verdana" w:eastAsia="Calibri" w:hAnsi="Verdana" w:cs="Arial"/>
              </w:rPr>
              <w:t>1</w:t>
            </w:r>
            <w:r w:rsidRPr="00080A1E">
              <w:rPr>
                <w:rFonts w:ascii="Verdana" w:eastAsia="Calibri" w:hAnsi="Verdana" w:cs="Arial"/>
              </w:rPr>
              <w:t>.2, literal E, del documento base, el cual señaló que para acreditar el factor “SCE</w:t>
            </w:r>
            <w:r w:rsidRPr="00080A1E">
              <w:rPr>
                <w:rFonts w:ascii="Verdana" w:hAnsi="Verdana" w:cs="Arial"/>
                <w:lang w:eastAsia="es-CO"/>
              </w:rPr>
              <w:t>”</w:t>
            </w:r>
            <w:r w:rsidRPr="00080A1E">
              <w:rPr>
                <w:rFonts w:ascii="Verdana" w:eastAsia="Calibri" w:hAnsi="Verdana" w:cs="Arial"/>
              </w:rPr>
              <w:t xml:space="preserve"> el proponente tendrá en cuenta “los contratos suspendidos y aquellos que no tengan acta de inicio</w:t>
            </w:r>
            <w:r w:rsidRPr="00080A1E">
              <w:rPr>
                <w:rFonts w:ascii="Verdana" w:hAnsi="Verdana" w:cs="Arial"/>
                <w:lang w:eastAsia="es-CO"/>
              </w:rPr>
              <w:t>”.</w:t>
            </w:r>
            <w:r w:rsidRPr="00080A1E">
              <w:rPr>
                <w:rFonts w:ascii="Verdana" w:hAnsi="Verdana" w:cs="Arial"/>
                <w:lang w:val="es-MX"/>
              </w:rPr>
              <w:t xml:space="preserve"> </w:t>
            </w:r>
          </w:p>
          <w:p w14:paraId="0374FA63" w14:textId="77777777" w:rsidR="00066311" w:rsidRPr="00E2182C" w:rsidRDefault="00066311" w:rsidP="009F6C81">
            <w:pPr>
              <w:spacing w:line="276" w:lineRule="auto"/>
              <w:jc w:val="both"/>
              <w:rPr>
                <w:rFonts w:ascii="Verdana" w:eastAsia="Calibri" w:hAnsi="Verdana" w:cs="Arial"/>
              </w:rPr>
            </w:pPr>
            <w:r w:rsidRPr="00080A1E">
              <w:rPr>
                <w:rFonts w:ascii="Verdana" w:hAnsi="Verdana" w:cs="Arial"/>
                <w:color w:val="000000" w:themeColor="text1"/>
              </w:rPr>
              <w:tab/>
            </w:r>
            <w:r>
              <w:rPr>
                <w:rFonts w:ascii="Verdana" w:eastAsia="Calibri" w:hAnsi="Verdana" w:cs="Arial"/>
              </w:rPr>
              <w:t>D</w:t>
            </w:r>
            <w:r w:rsidRPr="00080A1E">
              <w:rPr>
                <w:rFonts w:ascii="Verdana" w:eastAsia="Calibri" w:hAnsi="Verdana" w:cs="Arial"/>
              </w:rPr>
              <w:t xml:space="preserve">e lo anterior, se encuentra la obligación para el proponente que participe en un proceso en el cual se requiera verificar la capacidad residual, para el caso particular en procesos de licitación pública de obra de infraestructura de transporte-documentos tipo, de informar y relacionar los contratos de obra propios, o en los cuales tenga alguna participación de sociedades o consorcios o uniones temporales, de tal suerte que se sustraen </w:t>
            </w:r>
            <w:r w:rsidRPr="00080A1E">
              <w:rPr>
                <w:rFonts w:ascii="Verdana" w:eastAsia="Calibri" w:hAnsi="Verdana" w:cs="Arial"/>
              </w:rPr>
              <w:lastRenderedPageBreak/>
              <w:t>los contratos de obra que se encuentren en ejecución por parte de los socios que conformen la composición accionaria del proponente</w:t>
            </w:r>
            <w:r w:rsidRPr="00080A1E">
              <w:rPr>
                <w:rStyle w:val="Refdenotaalpie"/>
                <w:rFonts w:ascii="Verdana" w:eastAsia="Calibri" w:hAnsi="Verdana" w:cs="Arial"/>
              </w:rPr>
              <w:footnoteReference w:id="2"/>
            </w:r>
            <w:r w:rsidRPr="00080A1E">
              <w:rPr>
                <w:rFonts w:ascii="Verdana" w:eastAsia="Calibri" w:hAnsi="Verdana" w:cs="Arial"/>
              </w:rPr>
              <w:t>.</w:t>
            </w:r>
          </w:p>
        </w:tc>
      </w:tr>
    </w:tbl>
    <w:p w14:paraId="22F5FA33" w14:textId="77777777" w:rsidR="00066311" w:rsidRPr="00E2182C" w:rsidRDefault="00066311" w:rsidP="00066311">
      <w:pPr>
        <w:tabs>
          <w:tab w:val="left" w:pos="142"/>
          <w:tab w:val="left" w:pos="284"/>
        </w:tabs>
        <w:snapToGrid w:val="0"/>
        <w:spacing w:after="0" w:line="276" w:lineRule="auto"/>
        <w:jc w:val="both"/>
        <w:rPr>
          <w:rFonts w:ascii="Verdana" w:eastAsia="Century Gothic" w:hAnsi="Verdana" w:cs="Century Gothic"/>
          <w:b/>
          <w:bCs/>
          <w:lang w:val="es-ES"/>
        </w:rPr>
      </w:pPr>
    </w:p>
    <w:p w14:paraId="518C4474" w14:textId="77777777" w:rsidR="00066311" w:rsidRPr="00E2182C" w:rsidRDefault="00066311" w:rsidP="0006631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2182C">
        <w:rPr>
          <w:rFonts w:ascii="Verdana" w:eastAsia="Century Gothic" w:hAnsi="Verdana" w:cs="Century Gothic"/>
          <w:b/>
          <w:bCs/>
          <w:lang w:val="es-ES"/>
        </w:rPr>
        <w:t>Razones de la respuesta:</w:t>
      </w:r>
    </w:p>
    <w:p w14:paraId="0D2AEC63" w14:textId="77777777" w:rsidR="00066311" w:rsidRPr="00E2182C" w:rsidRDefault="00066311" w:rsidP="00066311">
      <w:pPr>
        <w:tabs>
          <w:tab w:val="left" w:pos="142"/>
          <w:tab w:val="left" w:pos="284"/>
        </w:tabs>
        <w:snapToGrid w:val="0"/>
        <w:spacing w:after="0" w:line="276" w:lineRule="auto"/>
        <w:ind w:left="357"/>
        <w:jc w:val="both"/>
        <w:rPr>
          <w:rFonts w:ascii="Verdana" w:eastAsia="Century Gothic" w:hAnsi="Verdana" w:cs="Century Gothic"/>
          <w:b/>
          <w:bCs/>
          <w:lang w:val="es-ES"/>
        </w:rPr>
      </w:pPr>
    </w:p>
    <w:p w14:paraId="42BB4810" w14:textId="77777777" w:rsidR="00066311" w:rsidRDefault="00066311" w:rsidP="00066311">
      <w:pPr>
        <w:snapToGrid w:val="0"/>
        <w:spacing w:after="0" w:line="276" w:lineRule="auto"/>
        <w:jc w:val="both"/>
        <w:rPr>
          <w:rFonts w:ascii="Verdana" w:eastAsia="Calibri" w:hAnsi="Verdana" w:cs="Arial"/>
          <w:lang w:val="es-ES"/>
        </w:rPr>
      </w:pPr>
      <w:r w:rsidRPr="00E2182C">
        <w:rPr>
          <w:rFonts w:ascii="Verdana" w:eastAsia="Calibri" w:hAnsi="Verdana" w:cs="Arial"/>
          <w:lang w:val="es-ES"/>
        </w:rPr>
        <w:t xml:space="preserve">Lo anterior se sustenta en las siguientes consideraciones: </w:t>
      </w:r>
    </w:p>
    <w:p w14:paraId="25C86D33" w14:textId="77777777" w:rsidR="00066311" w:rsidRPr="00230D9C" w:rsidRDefault="00066311" w:rsidP="00066311">
      <w:pPr>
        <w:snapToGrid w:val="0"/>
        <w:spacing w:after="0" w:line="276" w:lineRule="auto"/>
        <w:jc w:val="both"/>
        <w:rPr>
          <w:rFonts w:ascii="Verdana" w:eastAsia="Calibri" w:hAnsi="Verdana" w:cs="Arial"/>
          <w:lang w:val="es-ES"/>
        </w:rPr>
      </w:pPr>
    </w:p>
    <w:p w14:paraId="1511F9C6" w14:textId="77777777" w:rsidR="00066311" w:rsidRPr="00230D9C" w:rsidRDefault="00066311" w:rsidP="00066311">
      <w:pPr>
        <w:spacing w:after="120" w:line="276" w:lineRule="auto"/>
        <w:jc w:val="both"/>
        <w:rPr>
          <w:rFonts w:ascii="Verdana" w:hAnsi="Verdana" w:cs="Arial"/>
          <w:color w:val="000000" w:themeColor="text1"/>
          <w:lang w:val="es-MX"/>
        </w:rPr>
      </w:pPr>
      <w:r w:rsidRPr="00230D9C">
        <w:rPr>
          <w:rFonts w:ascii="Verdana" w:hAnsi="Verdana" w:cs="Arial"/>
          <w:color w:val="000000" w:themeColor="text1"/>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230D9C">
        <w:rPr>
          <w:rFonts w:ascii="Verdana" w:hAnsi="Verdana" w:cs="Arial"/>
          <w:color w:val="000000" w:themeColor="text1"/>
          <w:szCs w:val="20"/>
          <w:vertAlign w:val="superscript"/>
          <w:lang w:val="es-MX"/>
        </w:rPr>
        <w:footnoteReference w:id="3"/>
      </w:r>
      <w:r w:rsidRPr="00230D9C">
        <w:rPr>
          <w:rFonts w:ascii="Verdana" w:hAnsi="Verdana" w:cs="Arial"/>
          <w:color w:val="000000" w:themeColor="text1"/>
          <w:lang w:val="es-MX"/>
        </w:rPr>
        <w:t xml:space="preserve">. Por su parte, el Consejo de Estado ha definido la capacidad residual como </w:t>
      </w:r>
      <w:r>
        <w:rPr>
          <w:rFonts w:ascii="Verdana" w:hAnsi="Verdana" w:cs="Arial"/>
          <w:color w:val="000000" w:themeColor="text1"/>
          <w:lang w:val="es-MX"/>
        </w:rPr>
        <w:t>“l</w:t>
      </w:r>
      <w:r w:rsidRPr="00230D9C">
        <w:rPr>
          <w:rFonts w:ascii="Verdana" w:hAnsi="Verdana" w:cs="Arial"/>
          <w:color w:val="000000" w:themeColor="text1"/>
          <w:lang w:val="es-MX"/>
        </w:rPr>
        <w:t>a diferencia que existe entre el potencial de contratación que se tiene y los compromisos que haya adquirido y que se encuentren en ejecución, para la fecha de presentación de la oferta</w:t>
      </w:r>
      <w:r>
        <w:rPr>
          <w:rFonts w:ascii="Verdana" w:hAnsi="Verdana" w:cs="Arial"/>
          <w:color w:val="000000" w:themeColor="text1"/>
          <w:lang w:val="es-MX"/>
        </w:rPr>
        <w:t>”</w:t>
      </w:r>
      <w:r w:rsidRPr="00230D9C">
        <w:rPr>
          <w:rFonts w:ascii="Verdana" w:eastAsia="Calibri" w:hAnsi="Verdana" w:cs="Arial"/>
          <w:color w:val="000000" w:themeColor="text1"/>
          <w:vertAlign w:val="superscript"/>
          <w:lang w:val="es-MX"/>
        </w:rPr>
        <w:footnoteReference w:id="4"/>
      </w:r>
      <w:r w:rsidRPr="00230D9C">
        <w:rPr>
          <w:rFonts w:ascii="Verdana" w:hAnsi="Verdana" w:cs="Arial"/>
          <w:color w:val="000000" w:themeColor="text1"/>
          <w:lang w:val="es-MX"/>
        </w:rPr>
        <w:t>.</w:t>
      </w:r>
    </w:p>
    <w:p w14:paraId="6DA7D5E7" w14:textId="77777777" w:rsidR="00066311" w:rsidRDefault="00066311" w:rsidP="00066311">
      <w:pPr>
        <w:spacing w:after="120" w:line="276" w:lineRule="auto"/>
        <w:ind w:firstLine="708"/>
        <w:jc w:val="both"/>
        <w:rPr>
          <w:rFonts w:ascii="Verdana" w:hAnsi="Verdana" w:cs="Arial"/>
          <w:color w:val="000000" w:themeColor="text1"/>
          <w:lang w:val="es-MX"/>
        </w:rPr>
      </w:pPr>
      <w:r w:rsidRPr="00230D9C">
        <w:rPr>
          <w:rFonts w:ascii="Verdana" w:hAnsi="Verdana"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En efecto,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5AC5E8DE" w14:textId="77777777" w:rsidR="00066311" w:rsidRPr="00E80162" w:rsidRDefault="00066311" w:rsidP="00066311">
      <w:pPr>
        <w:spacing w:after="0" w:line="276" w:lineRule="auto"/>
        <w:ind w:firstLine="708"/>
        <w:jc w:val="both"/>
        <w:rPr>
          <w:rFonts w:ascii="Verdana" w:hAnsi="Verdana" w:cs="Arial"/>
          <w:color w:val="000000" w:themeColor="text1"/>
          <w:lang w:val="es-MX"/>
        </w:rPr>
      </w:pPr>
    </w:p>
    <w:p w14:paraId="7583607E" w14:textId="77777777" w:rsidR="00066311" w:rsidRPr="00230D9C" w:rsidRDefault="00066311" w:rsidP="00066311">
      <w:pPr>
        <w:spacing w:after="0"/>
        <w:ind w:left="709" w:right="709"/>
        <w:jc w:val="both"/>
        <w:rPr>
          <w:rFonts w:ascii="Verdana" w:eastAsia="Calibri" w:hAnsi="Verdana" w:cs="Arial"/>
          <w:color w:val="000000" w:themeColor="text1"/>
          <w:sz w:val="21"/>
          <w:szCs w:val="21"/>
          <w:lang w:val="es-MX"/>
        </w:rPr>
      </w:pPr>
      <w:r w:rsidRPr="00230D9C">
        <w:rPr>
          <w:rFonts w:ascii="Verdana" w:eastAsia="Calibri" w:hAnsi="Verdana" w:cs="Arial"/>
          <w:color w:val="000000" w:themeColor="text1"/>
          <w:sz w:val="21"/>
          <w:szCs w:val="21"/>
          <w:lang w:val="es-MX"/>
        </w:rPr>
        <w:t xml:space="preserve">Parágrafo 1°. Para poder participar en los procesos de selección de los contratos de obra y demás que señale el reglamento, la capacidad residual del proponente o K de contratación deberá ser igual o superior </w:t>
      </w:r>
      <w:r w:rsidRPr="00230D9C">
        <w:rPr>
          <w:rFonts w:ascii="Verdana" w:eastAsia="Calibri" w:hAnsi="Verdana" w:cs="Arial"/>
          <w:color w:val="000000" w:themeColor="text1"/>
          <w:sz w:val="21"/>
          <w:szCs w:val="21"/>
          <w:lang w:val="es-MX"/>
        </w:rPr>
        <w:lastRenderedPageBreak/>
        <w:t>al que la entidad haya establecido para el efecto en los pliegos de condiciones.</w:t>
      </w:r>
    </w:p>
    <w:p w14:paraId="4C19A56D" w14:textId="77777777" w:rsidR="00066311" w:rsidRDefault="00066311" w:rsidP="00066311">
      <w:pPr>
        <w:spacing w:after="0"/>
        <w:ind w:left="708" w:right="709"/>
        <w:jc w:val="both"/>
        <w:rPr>
          <w:rFonts w:ascii="Verdana" w:eastAsia="Calibri" w:hAnsi="Verdana" w:cs="Arial"/>
          <w:color w:val="000000" w:themeColor="text1"/>
          <w:sz w:val="21"/>
          <w:szCs w:val="21"/>
          <w:lang w:val="es-MX"/>
        </w:rPr>
      </w:pPr>
      <w:r w:rsidRPr="00230D9C">
        <w:rPr>
          <w:rFonts w:ascii="Verdana" w:eastAsia="Calibri" w:hAnsi="Verdana"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EEC36EB" w14:textId="77777777" w:rsidR="00066311" w:rsidRPr="00E80162" w:rsidRDefault="00066311" w:rsidP="00066311">
      <w:pPr>
        <w:spacing w:after="0"/>
        <w:ind w:left="708" w:right="709"/>
        <w:jc w:val="both"/>
        <w:rPr>
          <w:rFonts w:ascii="Verdana" w:eastAsia="Calibri" w:hAnsi="Verdana" w:cs="Arial"/>
          <w:color w:val="000000" w:themeColor="text1"/>
          <w:sz w:val="21"/>
          <w:szCs w:val="21"/>
          <w:lang w:val="es-MX"/>
        </w:rPr>
      </w:pPr>
    </w:p>
    <w:p w14:paraId="17039390" w14:textId="77777777" w:rsidR="00066311" w:rsidRPr="00230D9C" w:rsidRDefault="00066311" w:rsidP="00066311">
      <w:pPr>
        <w:spacing w:after="0" w:line="276" w:lineRule="auto"/>
        <w:ind w:firstLine="709"/>
        <w:jc w:val="both"/>
        <w:rPr>
          <w:rFonts w:ascii="Verdana" w:eastAsia="Calibri" w:hAnsi="Verdana" w:cs="Arial"/>
          <w:color w:val="000000" w:themeColor="text1"/>
        </w:rPr>
      </w:pPr>
      <w:r w:rsidRPr="00230D9C">
        <w:rPr>
          <w:rFonts w:ascii="Verdana" w:eastAsia="Calibri" w:hAnsi="Verdana" w:cs="Arial"/>
          <w:color w:val="000000" w:themeColor="text1"/>
          <w:lang w:val="es-MX"/>
        </w:rPr>
        <w:t xml:space="preserve">De acuerdo con </w:t>
      </w:r>
      <w:r w:rsidRPr="00230D9C">
        <w:rPr>
          <w:rFonts w:ascii="Verdana" w:eastAsia="Calibri" w:hAnsi="Verdana" w:cs="Arial"/>
          <w:color w:val="000000" w:themeColor="text1"/>
        </w:rPr>
        <w:t xml:space="preserve">el artículo 72 de la Ley 1682 de 2013, la </w:t>
      </w:r>
      <w:r>
        <w:rPr>
          <w:rFonts w:ascii="Verdana" w:eastAsia="Calibri" w:hAnsi="Verdana" w:cs="Arial"/>
          <w:color w:val="000000" w:themeColor="text1"/>
        </w:rPr>
        <w:t>“</w:t>
      </w:r>
      <w:r w:rsidRPr="00230D9C">
        <w:rPr>
          <w:rFonts w:ascii="Verdana" w:eastAsia="Calibri" w:hAnsi="Verdana" w:cs="Arial"/>
          <w:color w:val="000000" w:themeColor="text1"/>
        </w:rPr>
        <w:t>capacidad residual de contratación cuando se realicen contratos de obra pública se obtendrá de sustraer de la capacidad de contratación, el saldo del valor de los contratos en ejecución</w:t>
      </w:r>
      <w:r>
        <w:rPr>
          <w:rFonts w:ascii="Verdana" w:eastAsia="Calibri" w:hAnsi="Verdana" w:cs="Arial"/>
          <w:color w:val="000000" w:themeColor="text1"/>
        </w:rPr>
        <w:t>”</w:t>
      </w:r>
      <w:r w:rsidRPr="00230D9C">
        <w:rPr>
          <w:rFonts w:ascii="Verdana" w:eastAsia="Calibri" w:hAnsi="Verdana" w:cs="Arial"/>
          <w:color w:val="000000" w:themeColor="text1"/>
        </w:rPr>
        <w:t xml:space="preserve">. La </w:t>
      </w:r>
      <w:r>
        <w:rPr>
          <w:rFonts w:ascii="Verdana" w:eastAsia="Calibri" w:hAnsi="Verdana" w:cs="Arial"/>
          <w:color w:val="000000" w:themeColor="text1"/>
        </w:rPr>
        <w:t>“</w:t>
      </w:r>
      <w:r w:rsidRPr="00230D9C">
        <w:rPr>
          <w:rFonts w:ascii="Verdana" w:eastAsia="Calibri" w:hAnsi="Verdana" w:cs="Arial"/>
          <w:color w:val="000000" w:themeColor="text1"/>
        </w:rPr>
        <w:t>capacidad de contratación</w:t>
      </w:r>
      <w:r>
        <w:rPr>
          <w:rFonts w:ascii="Verdana" w:eastAsia="Calibri" w:hAnsi="Verdana" w:cs="Arial"/>
          <w:color w:val="000000" w:themeColor="text1"/>
        </w:rPr>
        <w:t>”</w:t>
      </w:r>
      <w:r w:rsidRPr="00230D9C">
        <w:rPr>
          <w:rFonts w:ascii="Verdana" w:eastAsia="Calibri" w:hAnsi="Verdana" w:cs="Arial"/>
          <w:color w:val="000000" w:themeColor="text1"/>
        </w:rPr>
        <w:t xml:space="preserve">, según se desprende de la misma disposición, </w:t>
      </w:r>
      <w:r>
        <w:rPr>
          <w:rFonts w:ascii="Verdana" w:eastAsia="Calibri" w:hAnsi="Verdana" w:cs="Arial"/>
          <w:color w:val="000000" w:themeColor="text1"/>
        </w:rPr>
        <w:t>“</w:t>
      </w:r>
      <w:r w:rsidRPr="00230D9C">
        <w:rPr>
          <w:rFonts w:ascii="Verdana" w:eastAsia="Calibri" w:hAnsi="Verdana" w:cs="Arial"/>
          <w:color w:val="000000" w:themeColor="text1"/>
        </w:rPr>
        <w:t>[…] se deberá calcular mediante la evaluación de los siguientes factores: Experiencia (E), Capacidad Financiera (CF), Capacidad Técnica (CT), y Capacidad de Organización (CO)</w:t>
      </w:r>
      <w:r>
        <w:rPr>
          <w:rFonts w:ascii="Verdana" w:eastAsia="Calibri" w:hAnsi="Verdana" w:cs="Arial"/>
          <w:color w:val="000000" w:themeColor="text1"/>
        </w:rPr>
        <w:t>”</w:t>
      </w:r>
      <w:r w:rsidRPr="00230D9C">
        <w:rPr>
          <w:rFonts w:ascii="Verdana" w:eastAsia="Calibri" w:hAnsi="Verdana" w:cs="Arial"/>
          <w:color w:val="000000" w:themeColor="text1"/>
        </w:rPr>
        <w:t>.</w:t>
      </w:r>
    </w:p>
    <w:p w14:paraId="7F40CC02" w14:textId="77777777" w:rsidR="00066311" w:rsidRPr="00230D9C" w:rsidRDefault="00066311" w:rsidP="00066311">
      <w:pPr>
        <w:spacing w:before="120" w:line="276" w:lineRule="auto"/>
        <w:ind w:firstLine="709"/>
        <w:jc w:val="both"/>
        <w:rPr>
          <w:rFonts w:ascii="Verdana" w:eastAsia="Calibri" w:hAnsi="Verdana" w:cs="Arial"/>
          <w:color w:val="000000" w:themeColor="text1"/>
          <w:lang w:val="es-MX"/>
        </w:rPr>
      </w:pPr>
      <w:r w:rsidRPr="00230D9C">
        <w:rPr>
          <w:rFonts w:ascii="Verdana" w:eastAsia="Calibri" w:hAnsi="Verdana" w:cs="Arial"/>
          <w:color w:val="000000" w:themeColor="text1"/>
          <w:lang w:val="es-MX"/>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230D9C">
        <w:rPr>
          <w:rFonts w:ascii="Verdana" w:eastAsia="Calibri" w:hAnsi="Verdana" w:cs="Arial"/>
          <w:color w:val="000000" w:themeColor="text1"/>
          <w:lang w:val="es-MX"/>
        </w:rPr>
        <w:t>ii</w:t>
      </w:r>
      <w:proofErr w:type="spellEnd"/>
      <w:r w:rsidRPr="00230D9C">
        <w:rPr>
          <w:rFonts w:ascii="Verdana" w:eastAsia="Calibri" w:hAnsi="Verdana" w:cs="Arial"/>
          <w:color w:val="000000" w:themeColor="text1"/>
          <w:lang w:val="es-MX"/>
        </w:rPr>
        <w:t xml:space="preserve">) Capacidad Financiera –CF–, </w:t>
      </w:r>
      <w:proofErr w:type="spellStart"/>
      <w:r w:rsidRPr="00230D9C">
        <w:rPr>
          <w:rFonts w:ascii="Verdana" w:eastAsia="Calibri" w:hAnsi="Verdana" w:cs="Arial"/>
          <w:color w:val="000000" w:themeColor="text1"/>
          <w:lang w:val="es-MX"/>
        </w:rPr>
        <w:t>iii</w:t>
      </w:r>
      <w:proofErr w:type="spellEnd"/>
      <w:r w:rsidRPr="00230D9C">
        <w:rPr>
          <w:rFonts w:ascii="Verdana" w:eastAsia="Calibri" w:hAnsi="Verdana" w:cs="Arial"/>
          <w:color w:val="000000" w:themeColor="text1"/>
          <w:lang w:val="es-MX"/>
        </w:rPr>
        <w:t xml:space="preserve">) Capacidad Técnica –CT–, </w:t>
      </w:r>
      <w:proofErr w:type="spellStart"/>
      <w:r w:rsidRPr="00230D9C">
        <w:rPr>
          <w:rFonts w:ascii="Verdana" w:eastAsia="Calibri" w:hAnsi="Verdana" w:cs="Arial"/>
          <w:color w:val="000000" w:themeColor="text1"/>
          <w:lang w:val="es-MX"/>
        </w:rPr>
        <w:t>iv</w:t>
      </w:r>
      <w:proofErr w:type="spellEnd"/>
      <w:r w:rsidRPr="00230D9C">
        <w:rPr>
          <w:rFonts w:ascii="Verdana" w:eastAsia="Calibri" w:hAnsi="Verdana" w:cs="Arial"/>
          <w:color w:val="000000" w:themeColor="text1"/>
          <w:lang w:val="es-MX"/>
        </w:rPr>
        <w:t xml:space="preserve">) Capacidad de Organización y v) los Saldos de los Contratos en Ejecución –SCE–. </w:t>
      </w:r>
    </w:p>
    <w:p w14:paraId="73DF5A9D" w14:textId="77777777" w:rsidR="00066311" w:rsidRPr="00230D9C" w:rsidRDefault="00066311" w:rsidP="00066311">
      <w:pPr>
        <w:spacing w:before="120" w:line="276" w:lineRule="auto"/>
        <w:ind w:firstLine="709"/>
        <w:jc w:val="both"/>
        <w:rPr>
          <w:rFonts w:ascii="Verdana" w:hAnsi="Verdana" w:cs="Arial"/>
          <w:szCs w:val="20"/>
          <w:lang w:val="es-MX"/>
        </w:rPr>
      </w:pPr>
      <w:r w:rsidRPr="00230D9C">
        <w:rPr>
          <w:rFonts w:ascii="Verdana" w:eastAsia="Calibri" w:hAnsi="Verdana" w:cs="Arial"/>
          <w:color w:val="000000" w:themeColor="text1"/>
          <w:lang w:val="es-MX"/>
        </w:rPr>
        <w:t xml:space="preserve">De igual manera, </w:t>
      </w:r>
      <w:r w:rsidRPr="00230D9C">
        <w:rPr>
          <w:rFonts w:ascii="Verdana" w:hAnsi="Verdana" w:cs="Arial"/>
          <w:szCs w:val="20"/>
          <w:lang w:val="es-MX"/>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230D9C">
        <w:rPr>
          <w:rFonts w:ascii="Verdana" w:hAnsi="Verdana" w:cs="Arial"/>
          <w:szCs w:val="20"/>
          <w:lang w:val="es-MX"/>
        </w:rPr>
        <w:t>ii</w:t>
      </w:r>
      <w:proofErr w:type="spellEnd"/>
      <w:r w:rsidRPr="00230D9C">
        <w:rPr>
          <w:rFonts w:ascii="Verdana" w:hAnsi="Verdana" w:cs="Arial"/>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230D9C">
        <w:rPr>
          <w:rFonts w:ascii="Verdana" w:hAnsi="Verdana" w:cs="Arial"/>
          <w:szCs w:val="20"/>
          <w:lang w:val="es-MX"/>
        </w:rPr>
        <w:t>iii</w:t>
      </w:r>
      <w:proofErr w:type="spellEnd"/>
      <w:r w:rsidRPr="00230D9C">
        <w:rPr>
          <w:rFonts w:ascii="Verdana" w:hAnsi="Verdana" w:cs="Arial"/>
          <w:szCs w:val="20"/>
          <w:lang w:val="es-MX"/>
        </w:rPr>
        <w:t>) el balance general auditado del año inmediatamente anterior y estado de resultados auditado del año en que haya obtenido el mayor ingreso operacional en los últimos cinco (5) años</w:t>
      </w:r>
      <w:r w:rsidRPr="00230D9C">
        <w:rPr>
          <w:rFonts w:ascii="Verdana" w:hAnsi="Verdana" w:cs="Arial"/>
          <w:szCs w:val="20"/>
          <w:vertAlign w:val="superscript"/>
          <w:lang w:val="es-MX"/>
        </w:rPr>
        <w:footnoteReference w:id="5"/>
      </w:r>
      <w:r w:rsidRPr="00230D9C">
        <w:rPr>
          <w:rFonts w:ascii="Verdana" w:hAnsi="Verdana" w:cs="Arial"/>
          <w:szCs w:val="20"/>
          <w:lang w:val="es-MX"/>
        </w:rPr>
        <w:t xml:space="preserve">. </w:t>
      </w:r>
    </w:p>
    <w:p w14:paraId="5AA43CD5" w14:textId="77777777" w:rsidR="00066311" w:rsidRPr="00230D9C" w:rsidRDefault="00066311" w:rsidP="00066311">
      <w:pPr>
        <w:spacing w:before="120" w:line="276" w:lineRule="auto"/>
        <w:ind w:firstLine="709"/>
        <w:jc w:val="both"/>
        <w:rPr>
          <w:rFonts w:ascii="Verdana" w:hAnsi="Verdana" w:cs="Arial"/>
          <w:szCs w:val="20"/>
          <w:lang w:val="es-MX"/>
        </w:rPr>
      </w:pPr>
      <w:r w:rsidRPr="00230D9C">
        <w:rPr>
          <w:rFonts w:ascii="Verdana" w:hAnsi="Verdana" w:cs="Arial"/>
          <w:szCs w:val="20"/>
          <w:lang w:val="es-MX"/>
        </w:rPr>
        <w:lastRenderedPageBreak/>
        <w:t xml:space="preserve">Como se evidencia, el </w:t>
      </w:r>
      <w:r w:rsidRPr="00230D9C">
        <w:rPr>
          <w:rFonts w:ascii="Verdana" w:eastAsia="Calibri" w:hAnsi="Verdana" w:cs="Arial"/>
          <w:color w:val="000000" w:themeColor="text1"/>
          <w:lang w:val="es-MX"/>
        </w:rPr>
        <w:t>artículo 2.2.1.1.1.6.4 del Decreto 1082 de 2015 establece los documentos que debe aportar el proponente para la acreditación de la capacidad residual, dentro de los cuales expresamente exige l</w:t>
      </w:r>
      <w:r w:rsidRPr="00230D9C">
        <w:rPr>
          <w:rFonts w:ascii="Verdana" w:hAnsi="Verdana" w:cs="Arial"/>
          <w:szCs w:val="20"/>
          <w:lang w:val="es-MX"/>
        </w:rPr>
        <w:t xml:space="preserve">a lista de contratos de obras civiles en ejecución, suscritos por sociedades, consorcios o uniones temporales, en los cuales el proponente tenga participación, con entidades estatales y con entidades privadas. De allí que este requisito sea obligatorio en todos los procesos de selección para </w:t>
      </w:r>
      <w:r w:rsidRPr="00230D9C">
        <w:rPr>
          <w:rFonts w:ascii="Verdana" w:eastAsia="Calibri" w:hAnsi="Verdana" w:cs="Arial"/>
          <w:color w:val="000000" w:themeColor="text1"/>
        </w:rPr>
        <w:t>obra pública.</w:t>
      </w:r>
    </w:p>
    <w:p w14:paraId="69BEA4B2" w14:textId="77777777" w:rsidR="00066311" w:rsidRPr="00080A1E" w:rsidRDefault="00066311" w:rsidP="00066311">
      <w:pPr>
        <w:spacing w:after="120" w:line="276" w:lineRule="auto"/>
        <w:ind w:firstLine="709"/>
        <w:jc w:val="both"/>
        <w:rPr>
          <w:rFonts w:ascii="Verdana" w:eastAsia="Calibri" w:hAnsi="Verdana" w:cs="Arial"/>
          <w:bCs/>
          <w:color w:val="000000"/>
          <w:lang w:eastAsia="en-GB"/>
        </w:rPr>
      </w:pPr>
      <w:r w:rsidRPr="00080A1E">
        <w:rPr>
          <w:rFonts w:ascii="Verdana" w:eastAsia="Calibri" w:hAnsi="Verdana" w:cs="Arial"/>
          <w:color w:val="000000"/>
          <w:lang w:val="es-MX" w:eastAsia="en-GB"/>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51C14164" w14:textId="77777777" w:rsidR="00066311" w:rsidRPr="00080A1E" w:rsidRDefault="00066311" w:rsidP="00066311">
      <w:pPr>
        <w:spacing w:after="120" w:line="276" w:lineRule="auto"/>
        <w:ind w:firstLine="709"/>
        <w:jc w:val="both"/>
        <w:rPr>
          <w:rFonts w:ascii="Verdana" w:eastAsia="Calibri" w:hAnsi="Verdana" w:cs="Arial"/>
          <w:bCs/>
          <w:color w:val="000000"/>
          <w:lang w:eastAsia="en-GB"/>
        </w:rPr>
      </w:pPr>
      <w:r w:rsidRPr="00080A1E">
        <w:rPr>
          <w:rFonts w:ascii="Verdana" w:eastAsia="Calibri" w:hAnsi="Verdana" w:cs="Arial"/>
          <w:bCs/>
          <w:color w:val="000000"/>
          <w:lang w:eastAsia="en-GB"/>
        </w:rPr>
        <w:t>En relación con el primer aspecto, sobre la determinación de la Capacidad Residual del Proceso de Contratación “CRPC”, debe determinarse si el plazo del contrato es superior a doce (12) meses. Si no lo es, la CRPC equivale al presupuesto oficial estimado del Proceso de Contratación menos el anticipo o pago anticipado cuando haya lugar. Si lo es, equivale a la proporción lineal de doce (12) meses del presupuesto oficial estimado menos el anticipo o pago anticipado.</w:t>
      </w:r>
    </w:p>
    <w:p w14:paraId="7DF67569" w14:textId="77777777" w:rsidR="00066311" w:rsidRPr="00080A1E" w:rsidRDefault="00066311" w:rsidP="00066311">
      <w:pPr>
        <w:spacing w:after="0" w:line="276" w:lineRule="auto"/>
        <w:ind w:firstLine="709"/>
        <w:jc w:val="both"/>
        <w:rPr>
          <w:rFonts w:ascii="Verdana" w:eastAsia="Calibri" w:hAnsi="Verdana" w:cs="Arial"/>
          <w:bCs/>
          <w:color w:val="000000"/>
          <w:lang w:eastAsia="en-GB"/>
        </w:rPr>
      </w:pPr>
      <w:r w:rsidRPr="00080A1E">
        <w:rPr>
          <w:rFonts w:ascii="Verdana" w:eastAsia="Calibri" w:hAnsi="Verdana" w:cs="Arial"/>
          <w:bCs/>
          <w:color w:val="000000"/>
          <w:lang w:eastAsia="en-GB"/>
        </w:rPr>
        <w:lastRenderedPageBreak/>
        <w:t xml:space="preserve">En cuanto al segundo aspecto, sobre la validación de </w:t>
      </w:r>
      <w:bookmarkStart w:id="1" w:name="_Hlk68683272"/>
      <w:r w:rsidRPr="00080A1E">
        <w:rPr>
          <w:rFonts w:ascii="Verdana" w:eastAsia="Calibri" w:hAnsi="Verdana" w:cs="Arial"/>
          <w:bCs/>
          <w:color w:val="000000"/>
          <w:lang w:eastAsia="en-GB"/>
        </w:rPr>
        <w:t>que cada proponente cumpla con la CRPC</w:t>
      </w:r>
      <w:bookmarkEnd w:id="1"/>
      <w:r w:rsidRPr="00080A1E">
        <w:rPr>
          <w:rFonts w:ascii="Verdana" w:eastAsia="Calibri" w:hAnsi="Verdana" w:cs="Arial"/>
          <w:bCs/>
          <w:color w:val="000000"/>
          <w:lang w:eastAsia="en-GB"/>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080A1E">
        <w:rPr>
          <w:rFonts w:ascii="Verdana" w:eastAsia="Calibri" w:hAnsi="Verdana" w:cs="Arial"/>
          <w:bCs/>
          <w:color w:val="000000"/>
          <w:lang w:eastAsia="en-GB"/>
        </w:rPr>
        <w:t>ii</w:t>
      </w:r>
      <w:proofErr w:type="spellEnd"/>
      <w:r w:rsidRPr="00080A1E">
        <w:rPr>
          <w:rFonts w:ascii="Verdana" w:eastAsia="Calibri" w:hAnsi="Verdana" w:cs="Arial"/>
          <w:bCs/>
          <w:color w:val="000000"/>
          <w:lang w:eastAsia="en-GB"/>
        </w:rPr>
        <w:t xml:space="preserve">) capacidad financiera “CF”; </w:t>
      </w:r>
      <w:proofErr w:type="spellStart"/>
      <w:r w:rsidRPr="00080A1E">
        <w:rPr>
          <w:rFonts w:ascii="Verdana" w:eastAsia="Calibri" w:hAnsi="Verdana" w:cs="Arial"/>
          <w:bCs/>
          <w:color w:val="000000"/>
          <w:lang w:eastAsia="en-GB"/>
        </w:rPr>
        <w:t>iii</w:t>
      </w:r>
      <w:proofErr w:type="spellEnd"/>
      <w:r w:rsidRPr="00080A1E">
        <w:rPr>
          <w:rFonts w:ascii="Verdana" w:eastAsia="Calibri" w:hAnsi="Verdana" w:cs="Arial"/>
          <w:bCs/>
          <w:color w:val="000000"/>
          <w:lang w:eastAsia="en-GB"/>
        </w:rPr>
        <w:t xml:space="preserve">) capacidad técnica “CT”; </w:t>
      </w:r>
      <w:proofErr w:type="spellStart"/>
      <w:r w:rsidRPr="00080A1E">
        <w:rPr>
          <w:rFonts w:ascii="Verdana" w:eastAsia="Calibri" w:hAnsi="Verdana" w:cs="Arial"/>
          <w:bCs/>
          <w:color w:val="000000"/>
          <w:lang w:eastAsia="en-GB"/>
        </w:rPr>
        <w:t>iv</w:t>
      </w:r>
      <w:proofErr w:type="spellEnd"/>
      <w:r w:rsidRPr="00080A1E">
        <w:rPr>
          <w:rFonts w:ascii="Verdana" w:eastAsia="Calibri" w:hAnsi="Verdana" w:cs="Arial"/>
          <w:bCs/>
          <w:color w:val="000000"/>
          <w:lang w:eastAsia="en-GB"/>
        </w:rPr>
        <w:t>) capacidad de organización “CO”, y v) los saldos de los contratos en ejecución “SCE”, según la siguiente formula:</w:t>
      </w:r>
    </w:p>
    <w:p w14:paraId="73034669" w14:textId="77777777" w:rsidR="00066311" w:rsidRPr="00080A1E" w:rsidRDefault="00066311" w:rsidP="00066311">
      <w:pPr>
        <w:spacing w:after="0" w:line="276" w:lineRule="auto"/>
        <w:ind w:firstLine="709"/>
        <w:jc w:val="both"/>
        <w:rPr>
          <w:rFonts w:ascii="Verdana" w:eastAsia="Calibri" w:hAnsi="Verdana" w:cs="Arial"/>
          <w:bCs/>
          <w:color w:val="000000"/>
          <w:lang w:eastAsia="en-GB"/>
        </w:rPr>
      </w:pPr>
    </w:p>
    <w:p w14:paraId="5FB1215B" w14:textId="77777777" w:rsidR="00066311" w:rsidRPr="00080A1E" w:rsidRDefault="00066311" w:rsidP="00066311">
      <w:pPr>
        <w:spacing w:after="0" w:line="276" w:lineRule="auto"/>
        <w:ind w:firstLine="709"/>
        <w:rPr>
          <w:rFonts w:ascii="Verdana" w:eastAsia="Calibri" w:hAnsi="Verdana" w:cs="Arial"/>
          <w:bCs/>
          <w:color w:val="000000"/>
          <w:lang w:eastAsia="en-GB"/>
        </w:rPr>
      </w:pPr>
      <w:r w:rsidRPr="00080A1E">
        <w:rPr>
          <w:rFonts w:ascii="Verdana" w:eastAsia="Calibri" w:hAnsi="Verdana" w:cs="Arial"/>
          <w:bCs/>
          <w:noProof/>
          <w:color w:val="000000"/>
          <w:lang w:eastAsia="en-GB"/>
        </w:rPr>
        <w:drawing>
          <wp:inline distT="0" distB="0" distL="0" distR="0" wp14:anchorId="0F96962A" wp14:editId="1F0B7432">
            <wp:extent cx="4095115" cy="460989"/>
            <wp:effectExtent l="0" t="0" r="635" b="0"/>
            <wp:docPr id="6159233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23349" name=""/>
                    <pic:cNvPicPr/>
                  </pic:nvPicPr>
                  <pic:blipFill>
                    <a:blip r:embed="rId11"/>
                    <a:stretch>
                      <a:fillRect/>
                    </a:stretch>
                  </pic:blipFill>
                  <pic:spPr>
                    <a:xfrm>
                      <a:off x="0" y="0"/>
                      <a:ext cx="4208786" cy="473785"/>
                    </a:xfrm>
                    <a:prstGeom prst="rect">
                      <a:avLst/>
                    </a:prstGeom>
                  </pic:spPr>
                </pic:pic>
              </a:graphicData>
            </a:graphic>
          </wp:inline>
        </w:drawing>
      </w:r>
    </w:p>
    <w:p w14:paraId="2959799A" w14:textId="77777777" w:rsidR="00066311" w:rsidRPr="00080A1E" w:rsidRDefault="00066311" w:rsidP="00066311">
      <w:pPr>
        <w:spacing w:after="0" w:line="276" w:lineRule="auto"/>
        <w:contextualSpacing/>
        <w:jc w:val="both"/>
        <w:rPr>
          <w:rFonts w:ascii="Verdana" w:eastAsia="Calibri" w:hAnsi="Verdana" w:cs="Arial"/>
          <w:bCs/>
          <w:color w:val="000000"/>
          <w:lang w:val="es-MX" w:eastAsia="en-GB"/>
        </w:rPr>
      </w:pPr>
    </w:p>
    <w:p w14:paraId="689ABEBE" w14:textId="77777777" w:rsidR="00066311" w:rsidRPr="00080A1E" w:rsidRDefault="00066311" w:rsidP="00066311">
      <w:pPr>
        <w:spacing w:after="120" w:line="276" w:lineRule="auto"/>
        <w:ind w:firstLine="709"/>
        <w:jc w:val="both"/>
        <w:rPr>
          <w:rFonts w:ascii="Verdana" w:eastAsia="Times New Roman" w:hAnsi="Verdana" w:cs="Arial"/>
          <w:lang w:eastAsia="es-MX"/>
        </w:rPr>
      </w:pPr>
      <w:bookmarkStart w:id="2" w:name="_Hlk128390666"/>
      <w:r w:rsidRPr="00080A1E">
        <w:rPr>
          <w:rFonts w:ascii="Verdana" w:eastAsia="Times New Roman" w:hAnsi="Verdana" w:cs="Arial"/>
          <w:lang w:eastAsia="es-MX"/>
        </w:rPr>
        <w:t>Por otra parte, esta Agencia ha manifestado en anteriores oportunidades que los contratos en ejecución son aquellos que, a la fecha de presentación de la oferta, obligan al proponente con Entidades Estatales y con entidades privadas para ejecutar obras públicas, incluyendo la ejecución de obras civiles en los contratos de concesión y los contratos de obra suscritos con concesionarios, incluyendo los contratos suspendidos y aquellos que no tengan acta de inicio. Es decir, los saldos pendientes se derivan de las obligaciones que se encuentran en ejecución al momento de la presentación de la oferta. A este respecto, no se entenderán como contratos en ejecución los que se encuentren en liquidación o liquidados. 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w:t>
      </w:r>
      <w:r w:rsidRPr="00080A1E">
        <w:rPr>
          <w:rFonts w:ascii="Verdana" w:eastAsia="Times New Roman" w:hAnsi="Verdana" w:cs="Arial"/>
          <w:vertAlign w:val="superscript"/>
          <w:lang w:eastAsia="es-MX"/>
        </w:rPr>
        <w:footnoteReference w:id="6"/>
      </w:r>
      <w:r w:rsidRPr="00080A1E">
        <w:rPr>
          <w:rFonts w:ascii="Verdana" w:eastAsia="Times New Roman" w:hAnsi="Verdana" w:cs="Arial"/>
          <w:lang w:eastAsia="es-MX"/>
        </w:rPr>
        <w:t xml:space="preserve">.  </w:t>
      </w:r>
      <w:bookmarkEnd w:id="2"/>
    </w:p>
    <w:p w14:paraId="139468E6" w14:textId="77777777" w:rsidR="00066311" w:rsidRPr="00080A1E" w:rsidRDefault="00066311" w:rsidP="00066311">
      <w:pPr>
        <w:spacing w:after="0" w:line="276" w:lineRule="auto"/>
        <w:ind w:firstLine="709"/>
        <w:jc w:val="both"/>
        <w:rPr>
          <w:rFonts w:ascii="Verdana" w:eastAsia="Calibri" w:hAnsi="Verdana" w:cs="Arial"/>
          <w:i/>
          <w:iCs/>
          <w:lang w:eastAsia="en-GB"/>
        </w:rPr>
      </w:pPr>
      <w:r w:rsidRPr="00080A1E">
        <w:rPr>
          <w:rFonts w:ascii="Verdana" w:eastAsia="Calibri" w:hAnsi="Verdana" w:cs="Arial"/>
          <w:bCs/>
          <w:color w:val="000000"/>
          <w:lang w:val="es-MX" w:eastAsia="en-GB"/>
        </w:rPr>
        <w:t xml:space="preserve">Particularmente, </w:t>
      </w:r>
      <w:bookmarkStart w:id="3" w:name="_Hlk100139879"/>
      <w:r w:rsidRPr="00080A1E">
        <w:rPr>
          <w:rFonts w:ascii="Verdana" w:eastAsia="Calibri" w:hAnsi="Verdana" w:cs="Arial"/>
          <w:bCs/>
          <w:color w:val="000000"/>
          <w:lang w:val="es-MX" w:eastAsia="en-GB"/>
        </w:rPr>
        <w:t xml:space="preserve">respecto del factor de saldos de los contratos en ejecución </w:t>
      </w:r>
      <w:r w:rsidRPr="00080A1E">
        <w:rPr>
          <w:rFonts w:ascii="Verdana" w:eastAsia="Calibri" w:hAnsi="Verdana" w:cs="Arial"/>
          <w:bCs/>
          <w:color w:val="000000"/>
          <w:lang w:eastAsia="en-GB"/>
        </w:rPr>
        <w:t>“SCE”,</w:t>
      </w:r>
      <w:r w:rsidRPr="00080A1E">
        <w:rPr>
          <w:rFonts w:ascii="Verdana" w:eastAsia="Calibri" w:hAnsi="Verdana" w:cs="Arial"/>
          <w:lang w:eastAsia="en-GB"/>
        </w:rPr>
        <w:t xml:space="preserve"> es necesario tener en cuenta que la “Guía para Determinar y Verificar la Capacidad Residual del Proponente en los Procesos de Contratación de Obra Pública”</w:t>
      </w:r>
      <w:r w:rsidRPr="00080A1E">
        <w:rPr>
          <w:rFonts w:ascii="Verdana" w:eastAsia="Calibri" w:hAnsi="Verdana" w:cs="Arial"/>
          <w:i/>
          <w:iCs/>
          <w:lang w:eastAsia="en-GB"/>
        </w:rPr>
        <w:t xml:space="preserve">, </w:t>
      </w:r>
      <w:r w:rsidRPr="00080A1E">
        <w:rPr>
          <w:rFonts w:ascii="Verdana" w:eastAsia="Calibri" w:hAnsi="Verdana" w:cs="Arial"/>
          <w:lang w:eastAsia="en-GB"/>
        </w:rPr>
        <w:t xml:space="preserve">define a este factor </w:t>
      </w:r>
      <w:r w:rsidRPr="00080A1E">
        <w:rPr>
          <w:rFonts w:ascii="Verdana" w:eastAsia="Calibri" w:hAnsi="Verdana" w:cs="Arial"/>
          <w:bCs/>
          <w:color w:val="000000"/>
          <w:lang w:eastAsia="en-GB"/>
        </w:rPr>
        <w:t>como “la suma de los montos por ejecutar de los contratos en ejecución durante los 12 meses siguientes</w:t>
      </w:r>
      <w:bookmarkEnd w:id="3"/>
      <w:r w:rsidRPr="00080A1E">
        <w:rPr>
          <w:rFonts w:ascii="Verdana" w:eastAsia="Calibri" w:hAnsi="Verdana" w:cs="Arial"/>
          <w:bCs/>
          <w:color w:val="000000"/>
          <w:lang w:eastAsia="en-GB"/>
        </w:rPr>
        <w:t>”. Así mismo, define los</w:t>
      </w:r>
      <w:r w:rsidRPr="00080A1E">
        <w:rPr>
          <w:rFonts w:ascii="Verdana" w:eastAsia="Calibri" w:hAnsi="Verdana" w:cs="Arial"/>
          <w:lang w:eastAsia="en-GB"/>
        </w:rPr>
        <w:t xml:space="preserve"> </w:t>
      </w:r>
      <w:bookmarkStart w:id="4" w:name="_Hlk78819022"/>
      <w:r w:rsidRPr="00080A1E">
        <w:rPr>
          <w:rFonts w:ascii="Verdana" w:eastAsia="Calibri" w:hAnsi="Verdana" w:cs="Arial"/>
          <w:i/>
          <w:iCs/>
          <w:lang w:eastAsia="en-GB"/>
        </w:rPr>
        <w:t>Contratos en Ejecución</w:t>
      </w:r>
      <w:r w:rsidRPr="00080A1E">
        <w:rPr>
          <w:rFonts w:ascii="Verdana" w:eastAsia="Calibri" w:hAnsi="Verdana" w:cs="Arial"/>
          <w:lang w:eastAsia="en-GB"/>
        </w:rPr>
        <w:t xml:space="preserve"> </w:t>
      </w:r>
      <w:bookmarkEnd w:id="4"/>
      <w:r w:rsidRPr="00080A1E">
        <w:rPr>
          <w:rFonts w:ascii="Verdana" w:eastAsia="Calibri" w:hAnsi="Verdana" w:cs="Arial"/>
          <w:lang w:eastAsia="en-GB"/>
        </w:rPr>
        <w:t xml:space="preserve">de la siguiente manera: </w:t>
      </w:r>
      <w:r w:rsidRPr="00080A1E">
        <w:rPr>
          <w:rFonts w:ascii="Verdana" w:eastAsia="Calibri" w:hAnsi="Verdana" w:cs="Arial"/>
          <w:i/>
          <w:iCs/>
          <w:lang w:eastAsia="en-GB"/>
        </w:rPr>
        <w:t xml:space="preserve"> </w:t>
      </w:r>
    </w:p>
    <w:p w14:paraId="3F890C48" w14:textId="77777777" w:rsidR="00066311" w:rsidRPr="00080A1E" w:rsidRDefault="00066311" w:rsidP="00066311">
      <w:pPr>
        <w:spacing w:after="0" w:line="276" w:lineRule="auto"/>
        <w:ind w:firstLine="709"/>
        <w:contextualSpacing/>
        <w:jc w:val="both"/>
        <w:rPr>
          <w:rFonts w:ascii="Verdana" w:eastAsia="Calibri" w:hAnsi="Verdana" w:cs="Arial"/>
          <w:lang w:eastAsia="en-GB"/>
        </w:rPr>
      </w:pPr>
    </w:p>
    <w:p w14:paraId="07A90000" w14:textId="77777777" w:rsidR="00066311" w:rsidRPr="00080A1E" w:rsidRDefault="00066311" w:rsidP="00066311">
      <w:pPr>
        <w:spacing w:after="0" w:line="240" w:lineRule="auto"/>
        <w:ind w:left="709" w:right="709"/>
        <w:jc w:val="both"/>
        <w:rPr>
          <w:rFonts w:ascii="Verdana" w:eastAsia="Calibri" w:hAnsi="Verdana" w:cs="Arial"/>
          <w:lang w:eastAsia="en-GB"/>
        </w:rPr>
      </w:pPr>
      <w:r w:rsidRPr="00080A1E">
        <w:rPr>
          <w:rFonts w:ascii="Verdana" w:eastAsia="Calibri" w:hAnsi="Verdana" w:cs="Arial"/>
          <w:lang w:eastAsia="en-GB"/>
        </w:rPr>
        <w:lastRenderedPageBreak/>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que se encuentren suspendidos y aquellos que no tengan acta de inicio.   </w:t>
      </w:r>
    </w:p>
    <w:p w14:paraId="7971AB4E" w14:textId="77777777" w:rsidR="00066311" w:rsidRPr="00080A1E" w:rsidRDefault="00066311" w:rsidP="00066311">
      <w:pPr>
        <w:spacing w:after="0" w:line="240" w:lineRule="auto"/>
        <w:ind w:left="709" w:right="709"/>
        <w:jc w:val="both"/>
        <w:rPr>
          <w:rFonts w:ascii="Verdana" w:eastAsia="Calibri" w:hAnsi="Verdana" w:cs="Arial"/>
          <w:lang w:eastAsia="en-GB"/>
        </w:rPr>
      </w:pPr>
    </w:p>
    <w:p w14:paraId="18C5CF17" w14:textId="77777777" w:rsidR="00066311" w:rsidRPr="00080A1E" w:rsidRDefault="00066311" w:rsidP="00066311">
      <w:pPr>
        <w:spacing w:after="0" w:line="240" w:lineRule="auto"/>
        <w:ind w:left="709" w:right="709"/>
        <w:jc w:val="both"/>
        <w:rPr>
          <w:rFonts w:ascii="Verdana" w:eastAsia="Calibri" w:hAnsi="Verdana" w:cs="Arial"/>
          <w:lang w:eastAsia="en-GB"/>
        </w:rPr>
      </w:pPr>
      <w:r w:rsidRPr="00080A1E">
        <w:rPr>
          <w:rFonts w:ascii="Verdana" w:eastAsia="Calibri" w:hAnsi="Verdana" w:cs="Arial"/>
          <w:lang w:eastAsia="en-GB"/>
        </w:rPr>
        <w:t>No se entenderá como Contratos en Ejecución los que se encuentren en etapa de liquidación o ya fueron liquidados.”</w:t>
      </w:r>
    </w:p>
    <w:p w14:paraId="77A673A7" w14:textId="77777777" w:rsidR="00066311" w:rsidRPr="00080A1E" w:rsidRDefault="00066311" w:rsidP="00066311">
      <w:pPr>
        <w:spacing w:after="0" w:line="240" w:lineRule="auto"/>
        <w:ind w:left="709" w:right="709"/>
        <w:jc w:val="both"/>
        <w:rPr>
          <w:rFonts w:ascii="Verdana" w:eastAsia="Calibri" w:hAnsi="Verdana" w:cs="Arial"/>
          <w:lang w:eastAsia="en-GB"/>
        </w:rPr>
      </w:pPr>
    </w:p>
    <w:p w14:paraId="47AFC6C0" w14:textId="77777777" w:rsidR="00066311" w:rsidRPr="00080A1E" w:rsidRDefault="00066311" w:rsidP="00066311">
      <w:pPr>
        <w:spacing w:before="120" w:line="276" w:lineRule="auto"/>
        <w:ind w:firstLine="709"/>
        <w:jc w:val="both"/>
        <w:rPr>
          <w:rFonts w:ascii="Verdana" w:eastAsia="Calibri" w:hAnsi="Verdana" w:cs="Arial"/>
          <w:lang w:eastAsia="en-GB"/>
        </w:rPr>
      </w:pPr>
      <w:bookmarkStart w:id="5" w:name="_Hlk100139912"/>
      <w:bookmarkStart w:id="6" w:name="_Hlk103609030"/>
      <w:r w:rsidRPr="00080A1E">
        <w:rPr>
          <w:rFonts w:ascii="Verdana" w:eastAsia="Calibri" w:hAnsi="Verdana" w:cs="Arial"/>
          <w:lang w:eastAsia="en-GB"/>
        </w:rPr>
        <w:t>En este sentido, los saldos pendientes se derivan de las obligaciones que se encuentran en ejecución al momento de la presentación de la oferta y se refieren a contratos cuyo objeto sea la ejecución de obras civiles</w:t>
      </w:r>
      <w:bookmarkEnd w:id="5"/>
      <w:r w:rsidRPr="00080A1E">
        <w:rPr>
          <w:rFonts w:ascii="Verdana" w:eastAsia="Calibri" w:hAnsi="Verdana" w:cs="Arial"/>
          <w:lang w:eastAsia="en-GB"/>
        </w:rPr>
        <w:t xml:space="preserve">. </w:t>
      </w:r>
      <w:bookmarkStart w:id="7" w:name="_Hlk100139986"/>
      <w:r w:rsidRPr="00080A1E">
        <w:rPr>
          <w:rFonts w:ascii="Verdana" w:eastAsia="Calibri" w:hAnsi="Verdana" w:cs="Arial"/>
          <w:lang w:eastAsia="en-GB"/>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080A1E">
        <w:rPr>
          <w:rFonts w:ascii="Verdana" w:eastAsia="Calibri" w:hAnsi="Verdana" w:cs="Arial"/>
          <w:bCs/>
          <w:color w:val="000000"/>
          <w:lang w:eastAsia="en-GB"/>
        </w:rPr>
        <w:t>“CRP”</w:t>
      </w:r>
      <w:r w:rsidRPr="00080A1E">
        <w:rPr>
          <w:rFonts w:ascii="Verdana" w:eastAsia="Calibri" w:hAnsi="Verdana" w:cs="Arial"/>
          <w:lang w:eastAsia="en-GB"/>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6"/>
      <w:bookmarkEnd w:id="7"/>
      <w:r w:rsidRPr="00080A1E">
        <w:rPr>
          <w:rFonts w:ascii="Verdana" w:eastAsia="Calibri" w:hAnsi="Verdana" w:cs="Arial"/>
          <w:lang w:eastAsia="en-GB"/>
        </w:rPr>
        <w:t xml:space="preserve">. </w:t>
      </w:r>
    </w:p>
    <w:p w14:paraId="3D68A1F8" w14:textId="77777777" w:rsidR="00066311" w:rsidRPr="00080A1E" w:rsidRDefault="00066311" w:rsidP="00066311">
      <w:pPr>
        <w:spacing w:after="120" w:line="276" w:lineRule="auto"/>
        <w:ind w:firstLine="709"/>
        <w:jc w:val="both"/>
        <w:rPr>
          <w:rFonts w:ascii="Verdana" w:eastAsia="Calibri" w:hAnsi="Verdana" w:cs="Arial"/>
          <w:lang w:eastAsia="en-GB"/>
        </w:rPr>
      </w:pPr>
      <w:r w:rsidRPr="00080A1E">
        <w:rPr>
          <w:rFonts w:ascii="Verdana" w:eastAsia="Calibri" w:hAnsi="Verdana" w:cs="Arial"/>
          <w:lang w:eastAsia="en-GB"/>
        </w:rPr>
        <w:t xml:space="preserve">De este modo, para acreditar el factor </w:t>
      </w:r>
      <w:r w:rsidRPr="00080A1E">
        <w:rPr>
          <w:rFonts w:ascii="Verdana" w:eastAsia="Calibri" w:hAnsi="Verdana" w:cs="Arial"/>
          <w:bCs/>
          <w:color w:val="000000"/>
          <w:lang w:val="es-MX" w:eastAsia="en-GB"/>
        </w:rPr>
        <w:t xml:space="preserve">saldos de los contratos en ejecución </w:t>
      </w:r>
      <w:r w:rsidRPr="00080A1E">
        <w:rPr>
          <w:rFonts w:ascii="Verdana" w:eastAsia="Calibri" w:hAnsi="Verdana" w:cs="Arial"/>
          <w:bCs/>
          <w:color w:val="000000"/>
          <w:lang w:eastAsia="en-GB"/>
        </w:rPr>
        <w:t>“SCE”,</w:t>
      </w:r>
      <w:r w:rsidRPr="00080A1E">
        <w:rPr>
          <w:rFonts w:ascii="Verdana" w:eastAsia="Calibri" w:hAnsi="Verdana" w:cs="Arial"/>
          <w:lang w:eastAsia="en-GB"/>
        </w:rPr>
        <w:t xml:space="preserve"> como lo establece la Guía, el proponente debe presentar la lista de contratos de obras civiles en ejecución, tanto a nivel nacional como internacional, señalando: i) el valor del contrato; </w:t>
      </w:r>
      <w:proofErr w:type="spellStart"/>
      <w:r w:rsidRPr="00080A1E">
        <w:rPr>
          <w:rFonts w:ascii="Verdana" w:eastAsia="Calibri" w:hAnsi="Verdana" w:cs="Arial"/>
          <w:lang w:eastAsia="en-GB"/>
        </w:rPr>
        <w:t>ii</w:t>
      </w:r>
      <w:proofErr w:type="spellEnd"/>
      <w:r w:rsidRPr="00080A1E">
        <w:rPr>
          <w:rFonts w:ascii="Verdana" w:eastAsia="Calibri" w:hAnsi="Verdana" w:cs="Arial"/>
          <w:lang w:eastAsia="en-GB"/>
        </w:rPr>
        <w:t xml:space="preserve">) el plazo de ejecución del contrato en meses; </w:t>
      </w:r>
      <w:proofErr w:type="spellStart"/>
      <w:r w:rsidRPr="00080A1E">
        <w:rPr>
          <w:rFonts w:ascii="Verdana" w:eastAsia="Calibri" w:hAnsi="Verdana" w:cs="Arial"/>
          <w:lang w:eastAsia="en-GB"/>
        </w:rPr>
        <w:t>iii</w:t>
      </w:r>
      <w:proofErr w:type="spellEnd"/>
      <w:r w:rsidRPr="00080A1E">
        <w:rPr>
          <w:rFonts w:ascii="Verdana" w:eastAsia="Calibri" w:hAnsi="Verdana" w:cs="Arial"/>
          <w:lang w:eastAsia="en-GB"/>
        </w:rPr>
        <w:t xml:space="preserve">) la fecha de inicio de las obras objeto del contrato (día, mes, año); </w:t>
      </w:r>
      <w:proofErr w:type="spellStart"/>
      <w:r w:rsidRPr="00080A1E">
        <w:rPr>
          <w:rFonts w:ascii="Verdana" w:eastAsia="Calibri" w:hAnsi="Verdana" w:cs="Arial"/>
          <w:lang w:eastAsia="en-GB"/>
        </w:rPr>
        <w:t>iv</w:t>
      </w:r>
      <w:proofErr w:type="spellEnd"/>
      <w:r w:rsidRPr="00080A1E">
        <w:rPr>
          <w:rFonts w:ascii="Verdana" w:eastAsia="Calibri" w:hAnsi="Verdana" w:cs="Arial"/>
          <w:lang w:eastAsia="en-GB"/>
        </w:rPr>
        <w:t xml:space="preserve">) si la obra la ejecuta un consorcio o unión temporal, junto con el porcentaje de participación del oferente que presenta el certificado; v) si el contrato se encuentra suspendido, y si es así, la fecha de suspensión, además del saldo pendiente por ejecutar. Si el proponente no tiene contratos en ejecución, en el certificado debe constar expresamente esa circunstancia. </w:t>
      </w:r>
    </w:p>
    <w:p w14:paraId="721A8859" w14:textId="77777777" w:rsidR="00066311" w:rsidRPr="00080A1E" w:rsidRDefault="00066311" w:rsidP="00066311">
      <w:pPr>
        <w:spacing w:after="0" w:line="276" w:lineRule="auto"/>
        <w:ind w:firstLine="709"/>
        <w:jc w:val="both"/>
        <w:rPr>
          <w:rFonts w:ascii="Verdana" w:hAnsi="Verdana" w:cs="Arial"/>
        </w:rPr>
      </w:pPr>
      <w:r w:rsidRPr="00080A1E">
        <w:rPr>
          <w:rFonts w:ascii="Verdana" w:hAnsi="Verdana" w:cs="Arial"/>
        </w:rPr>
        <w:t xml:space="preserve">Sobre la acreditación del factor </w:t>
      </w:r>
      <w:r w:rsidRPr="00080A1E">
        <w:rPr>
          <w:rFonts w:ascii="Verdana" w:hAnsi="Verdana" w:cs="Arial"/>
          <w:bCs/>
        </w:rPr>
        <w:t xml:space="preserve">“SCE” </w:t>
      </w:r>
      <w:r w:rsidRPr="00080A1E">
        <w:rPr>
          <w:rFonts w:ascii="Verdana" w:hAnsi="Verdana" w:cs="Arial"/>
        </w:rPr>
        <w:t xml:space="preserve">en los documentos tipo de licitación de obra pública para infraestructura de transporte – versión 4, el literal E del </w:t>
      </w:r>
      <w:r w:rsidRPr="00080A1E">
        <w:rPr>
          <w:rFonts w:ascii="Verdana" w:hAnsi="Verdana" w:cs="Arial"/>
        </w:rPr>
        <w:lastRenderedPageBreak/>
        <w:t xml:space="preserve">numeral 3.11.2 del documento base –en armonía con el numeral 2 del </w:t>
      </w:r>
      <w:r w:rsidRPr="00080A1E">
        <w:rPr>
          <w:rFonts w:ascii="Verdana" w:eastAsia="Calibri" w:hAnsi="Verdana" w:cs="Arial"/>
          <w:color w:val="000000" w:themeColor="text1"/>
          <w:lang w:val="es-MX"/>
        </w:rPr>
        <w:t>artículo 2.2.1.1.1.6.4 del Decreto 1082 de 2015–</w:t>
      </w:r>
      <w:r w:rsidRPr="00080A1E">
        <w:rPr>
          <w:rFonts w:ascii="Verdana" w:hAnsi="Verdana" w:cs="Arial"/>
        </w:rPr>
        <w:t xml:space="preserve"> señala lo siguiente:</w:t>
      </w:r>
    </w:p>
    <w:p w14:paraId="7EEDB5B0" w14:textId="77777777" w:rsidR="00066311" w:rsidRPr="00080A1E" w:rsidRDefault="00066311" w:rsidP="00066311">
      <w:pPr>
        <w:spacing w:after="0" w:line="276" w:lineRule="auto"/>
        <w:ind w:firstLine="709"/>
        <w:jc w:val="both"/>
        <w:rPr>
          <w:rFonts w:ascii="Verdana" w:hAnsi="Verdana" w:cs="Arial"/>
        </w:rPr>
      </w:pPr>
    </w:p>
    <w:p w14:paraId="00602EC8" w14:textId="77777777" w:rsidR="00066311" w:rsidRPr="00080A1E" w:rsidRDefault="00066311" w:rsidP="00066311">
      <w:pPr>
        <w:spacing w:after="120"/>
        <w:ind w:left="709" w:right="709"/>
        <w:jc w:val="both"/>
        <w:rPr>
          <w:rFonts w:ascii="Verdana" w:eastAsia="Arial," w:hAnsi="Verdana" w:cs="Arial"/>
        </w:rPr>
      </w:pPr>
      <w:r w:rsidRPr="00080A1E">
        <w:rPr>
          <w:rFonts w:ascii="Verdana" w:hAnsi="Verdana" w:cs="Arial"/>
        </w:rPr>
        <w:t>Para</w:t>
      </w:r>
      <w:r w:rsidRPr="00080A1E">
        <w:rPr>
          <w:rFonts w:ascii="Verdana" w:eastAsia="Arial," w:hAnsi="Verdana" w:cs="Arial"/>
        </w:rPr>
        <w:t xml:space="preserve"> </w:t>
      </w:r>
      <w:r w:rsidRPr="00080A1E">
        <w:rPr>
          <w:rFonts w:ascii="Verdana" w:hAnsi="Verdana" w:cs="Arial"/>
        </w:rPr>
        <w:t>acreditar</w:t>
      </w:r>
      <w:r w:rsidRPr="00080A1E">
        <w:rPr>
          <w:rFonts w:ascii="Verdana" w:eastAsia="Arial," w:hAnsi="Verdana" w:cs="Arial"/>
        </w:rPr>
        <w:t xml:space="preserve"> </w:t>
      </w:r>
      <w:r w:rsidRPr="00080A1E">
        <w:rPr>
          <w:rFonts w:ascii="Verdana" w:hAnsi="Verdana" w:cs="Arial"/>
        </w:rPr>
        <w:t>el</w:t>
      </w:r>
      <w:r w:rsidRPr="00080A1E">
        <w:rPr>
          <w:rFonts w:ascii="Verdana" w:eastAsia="Arial," w:hAnsi="Verdana" w:cs="Arial"/>
        </w:rPr>
        <w:t xml:space="preserve"> </w:t>
      </w:r>
      <w:r w:rsidRPr="00080A1E">
        <w:rPr>
          <w:rFonts w:ascii="Verdana" w:hAnsi="Verdana" w:cs="Arial"/>
        </w:rPr>
        <w:t>factor</w:t>
      </w:r>
      <w:r w:rsidRPr="00080A1E">
        <w:rPr>
          <w:rFonts w:ascii="Verdana" w:eastAsia="Arial," w:hAnsi="Verdana" w:cs="Arial"/>
        </w:rPr>
        <w:t xml:space="preserve"> </w:t>
      </w:r>
      <w:r w:rsidRPr="00080A1E">
        <w:rPr>
          <w:rFonts w:ascii="Verdana" w:hAnsi="Verdana" w:cs="Arial"/>
        </w:rPr>
        <w:t>(SCE)</w:t>
      </w:r>
      <w:r w:rsidRPr="00080A1E">
        <w:rPr>
          <w:rFonts w:ascii="Verdana" w:eastAsia="Arial," w:hAnsi="Verdana" w:cs="Arial"/>
        </w:rPr>
        <w:t xml:space="preserve"> </w:t>
      </w:r>
      <w:r w:rsidRPr="00080A1E">
        <w:rPr>
          <w:rFonts w:ascii="Verdana" w:hAnsi="Verdana" w:cs="Arial"/>
        </w:rPr>
        <w:t>el</w:t>
      </w:r>
      <w:r w:rsidRPr="00080A1E">
        <w:rPr>
          <w:rFonts w:ascii="Verdana" w:eastAsia="Arial," w:hAnsi="Verdana" w:cs="Arial"/>
        </w:rPr>
        <w:t xml:space="preserve"> </w:t>
      </w:r>
      <w:r w:rsidRPr="00080A1E">
        <w:rPr>
          <w:rFonts w:ascii="Verdana" w:hAnsi="Verdana" w:cs="Arial"/>
        </w:rPr>
        <w:t>Proponente</w:t>
      </w:r>
      <w:r w:rsidRPr="00080A1E">
        <w:rPr>
          <w:rFonts w:ascii="Verdana" w:eastAsia="Arial," w:hAnsi="Verdana" w:cs="Arial"/>
        </w:rPr>
        <w:t xml:space="preserve"> </w:t>
      </w:r>
      <w:r w:rsidRPr="00080A1E">
        <w:rPr>
          <w:rFonts w:ascii="Verdana" w:hAnsi="Verdana" w:cs="Arial"/>
        </w:rPr>
        <w:t>tendrá</w:t>
      </w:r>
      <w:r w:rsidRPr="00080A1E">
        <w:rPr>
          <w:rFonts w:ascii="Verdana" w:eastAsia="Arial," w:hAnsi="Verdana" w:cs="Arial"/>
        </w:rPr>
        <w:t xml:space="preserve"> </w:t>
      </w:r>
      <w:r w:rsidRPr="00080A1E">
        <w:rPr>
          <w:rFonts w:ascii="Verdana" w:hAnsi="Verdana" w:cs="Arial"/>
        </w:rPr>
        <w:t>en</w:t>
      </w:r>
      <w:r w:rsidRPr="00080A1E">
        <w:rPr>
          <w:rFonts w:ascii="Verdana" w:eastAsia="Arial," w:hAnsi="Verdana" w:cs="Arial"/>
        </w:rPr>
        <w:t xml:space="preserve"> </w:t>
      </w:r>
      <w:r w:rsidRPr="00080A1E">
        <w:rPr>
          <w:rFonts w:ascii="Verdana" w:hAnsi="Verdana" w:cs="Arial"/>
        </w:rPr>
        <w:t>cuenta</w:t>
      </w:r>
      <w:r w:rsidRPr="00080A1E">
        <w:rPr>
          <w:rFonts w:ascii="Verdana" w:eastAsia="Arial," w:hAnsi="Verdana" w:cs="Arial"/>
        </w:rPr>
        <w:t xml:space="preserve"> </w:t>
      </w:r>
      <w:r w:rsidRPr="00080A1E">
        <w:rPr>
          <w:rFonts w:ascii="Verdana" w:hAnsi="Verdana" w:cs="Arial"/>
        </w:rPr>
        <w:t>lo</w:t>
      </w:r>
      <w:r w:rsidRPr="00080A1E">
        <w:rPr>
          <w:rFonts w:ascii="Verdana" w:eastAsia="Arial," w:hAnsi="Verdana" w:cs="Arial"/>
        </w:rPr>
        <w:t xml:space="preserve"> </w:t>
      </w:r>
      <w:r w:rsidRPr="00080A1E">
        <w:rPr>
          <w:rFonts w:ascii="Verdana" w:hAnsi="Verdana" w:cs="Arial"/>
        </w:rPr>
        <w:t>siguiente:</w:t>
      </w:r>
      <w:r w:rsidRPr="00080A1E">
        <w:rPr>
          <w:rFonts w:ascii="Verdana" w:eastAsia="Arial," w:hAnsi="Verdana" w:cs="Arial"/>
        </w:rPr>
        <w:t xml:space="preserve"> </w:t>
      </w:r>
    </w:p>
    <w:p w14:paraId="04EF5C4B" w14:textId="77777777" w:rsidR="00066311" w:rsidRPr="00080A1E" w:rsidRDefault="00066311" w:rsidP="00066311">
      <w:pPr>
        <w:spacing w:after="120"/>
        <w:ind w:right="709" w:firstLine="709"/>
        <w:jc w:val="both"/>
        <w:rPr>
          <w:rFonts w:ascii="Verdana" w:eastAsia="Arial," w:hAnsi="Verdana" w:cs="Arial"/>
        </w:rPr>
      </w:pPr>
      <w:r w:rsidRPr="00080A1E">
        <w:rPr>
          <w:rFonts w:ascii="Verdana" w:eastAsia="Arial," w:hAnsi="Verdana" w:cs="Arial"/>
        </w:rPr>
        <w:t>[…]</w:t>
      </w:r>
    </w:p>
    <w:p w14:paraId="6DB44E1C" w14:textId="77777777" w:rsidR="00066311" w:rsidRPr="00080A1E" w:rsidRDefault="00066311" w:rsidP="00066311">
      <w:pPr>
        <w:spacing w:after="120" w:line="240" w:lineRule="auto"/>
        <w:ind w:left="709" w:right="709"/>
        <w:jc w:val="both"/>
        <w:rPr>
          <w:rFonts w:ascii="Verdana" w:eastAsia="Arial," w:hAnsi="Verdana" w:cs="Arial"/>
          <w:lang w:eastAsia="en-GB"/>
        </w:rPr>
      </w:pPr>
      <w:r w:rsidRPr="00080A1E">
        <w:rPr>
          <w:rFonts w:ascii="Verdana" w:eastAsia="Calibri" w:hAnsi="Verdana" w:cs="Arial"/>
          <w:lang w:eastAsia="en-GB"/>
        </w:rPr>
        <w:t>“Para</w:t>
      </w:r>
      <w:r w:rsidRPr="00080A1E">
        <w:rPr>
          <w:rFonts w:ascii="Verdana" w:eastAsia="Arial," w:hAnsi="Verdana" w:cs="Arial"/>
          <w:lang w:eastAsia="en-GB"/>
        </w:rPr>
        <w:t xml:space="preserve"> </w:t>
      </w:r>
      <w:r w:rsidRPr="00080A1E">
        <w:rPr>
          <w:rFonts w:ascii="Verdana" w:eastAsia="Calibri" w:hAnsi="Verdana" w:cs="Arial"/>
          <w:lang w:eastAsia="en-GB"/>
        </w:rPr>
        <w:t>acreditar</w:t>
      </w:r>
      <w:r w:rsidRPr="00080A1E">
        <w:rPr>
          <w:rFonts w:ascii="Verdana" w:eastAsia="Arial," w:hAnsi="Verdana" w:cs="Arial"/>
          <w:lang w:eastAsia="en-GB"/>
        </w:rPr>
        <w:t xml:space="preserve"> </w:t>
      </w:r>
      <w:r w:rsidRPr="00080A1E">
        <w:rPr>
          <w:rFonts w:ascii="Verdana" w:eastAsia="Calibri" w:hAnsi="Verdana" w:cs="Arial"/>
          <w:lang w:eastAsia="en-GB"/>
        </w:rPr>
        <w:t>el</w:t>
      </w:r>
      <w:r w:rsidRPr="00080A1E">
        <w:rPr>
          <w:rFonts w:ascii="Verdana" w:eastAsia="Arial," w:hAnsi="Verdana" w:cs="Arial"/>
          <w:lang w:eastAsia="en-GB"/>
        </w:rPr>
        <w:t xml:space="preserve"> </w:t>
      </w:r>
      <w:r w:rsidRPr="00080A1E">
        <w:rPr>
          <w:rFonts w:ascii="Verdana" w:eastAsia="Calibri" w:hAnsi="Verdana" w:cs="Arial"/>
          <w:lang w:eastAsia="en-GB"/>
        </w:rPr>
        <w:t>factor</w:t>
      </w:r>
      <w:r w:rsidRPr="00080A1E">
        <w:rPr>
          <w:rFonts w:ascii="Verdana" w:eastAsia="Arial," w:hAnsi="Verdana" w:cs="Arial"/>
          <w:lang w:eastAsia="en-GB"/>
        </w:rPr>
        <w:t xml:space="preserve"> </w:t>
      </w:r>
      <w:r w:rsidRPr="00080A1E">
        <w:rPr>
          <w:rFonts w:ascii="Verdana" w:eastAsia="Calibri" w:hAnsi="Verdana" w:cs="Arial"/>
          <w:lang w:eastAsia="en-GB"/>
        </w:rPr>
        <w:t>(SCE)</w:t>
      </w:r>
      <w:r w:rsidRPr="00080A1E">
        <w:rPr>
          <w:rFonts w:ascii="Verdana" w:eastAsia="Arial," w:hAnsi="Verdana" w:cs="Arial"/>
          <w:lang w:eastAsia="en-GB"/>
        </w:rPr>
        <w:t xml:space="preserve"> </w:t>
      </w:r>
      <w:r w:rsidRPr="00080A1E">
        <w:rPr>
          <w:rFonts w:ascii="Verdana" w:eastAsia="Calibri" w:hAnsi="Verdana" w:cs="Arial"/>
          <w:lang w:eastAsia="en-GB"/>
        </w:rPr>
        <w:t>el</w:t>
      </w:r>
      <w:r w:rsidRPr="00080A1E">
        <w:rPr>
          <w:rFonts w:ascii="Verdana" w:eastAsia="Arial," w:hAnsi="Verdana" w:cs="Arial"/>
          <w:lang w:eastAsia="en-GB"/>
        </w:rPr>
        <w:t xml:space="preserve"> </w:t>
      </w:r>
      <w:r w:rsidRPr="00080A1E">
        <w:rPr>
          <w:rFonts w:ascii="Verdana" w:eastAsia="Calibri" w:hAnsi="Verdana" w:cs="Arial"/>
          <w:lang w:eastAsia="en-GB"/>
        </w:rPr>
        <w:t>proponente</w:t>
      </w:r>
      <w:r w:rsidRPr="00080A1E">
        <w:rPr>
          <w:rFonts w:ascii="Verdana" w:eastAsia="Arial," w:hAnsi="Verdana" w:cs="Arial"/>
          <w:lang w:eastAsia="en-GB"/>
        </w:rPr>
        <w:t xml:space="preserve"> </w:t>
      </w:r>
      <w:r w:rsidRPr="00080A1E">
        <w:rPr>
          <w:rFonts w:ascii="Verdana" w:eastAsia="Calibri" w:hAnsi="Verdana" w:cs="Arial"/>
          <w:lang w:eastAsia="en-GB"/>
        </w:rPr>
        <w:t>tendrá</w:t>
      </w:r>
      <w:r w:rsidRPr="00080A1E">
        <w:rPr>
          <w:rFonts w:ascii="Verdana" w:eastAsia="Arial," w:hAnsi="Verdana" w:cs="Arial"/>
          <w:lang w:eastAsia="en-GB"/>
        </w:rPr>
        <w:t xml:space="preserve"> </w:t>
      </w:r>
      <w:r w:rsidRPr="00080A1E">
        <w:rPr>
          <w:rFonts w:ascii="Verdana" w:eastAsia="Calibri" w:hAnsi="Verdana" w:cs="Arial"/>
          <w:lang w:eastAsia="en-GB"/>
        </w:rPr>
        <w:t>en</w:t>
      </w:r>
      <w:r w:rsidRPr="00080A1E">
        <w:rPr>
          <w:rFonts w:ascii="Verdana" w:eastAsia="Arial," w:hAnsi="Verdana" w:cs="Arial"/>
          <w:lang w:eastAsia="en-GB"/>
        </w:rPr>
        <w:t xml:space="preserve"> </w:t>
      </w:r>
      <w:r w:rsidRPr="00080A1E">
        <w:rPr>
          <w:rFonts w:ascii="Verdana" w:eastAsia="Calibri" w:hAnsi="Verdana" w:cs="Arial"/>
          <w:lang w:eastAsia="en-GB"/>
        </w:rPr>
        <w:t>cuenta</w:t>
      </w:r>
      <w:r w:rsidRPr="00080A1E">
        <w:rPr>
          <w:rFonts w:ascii="Verdana" w:eastAsia="Arial," w:hAnsi="Verdana" w:cs="Arial"/>
          <w:lang w:eastAsia="en-GB"/>
        </w:rPr>
        <w:t xml:space="preserve"> </w:t>
      </w:r>
      <w:r w:rsidRPr="00080A1E">
        <w:rPr>
          <w:rFonts w:ascii="Verdana" w:eastAsia="Calibri" w:hAnsi="Verdana" w:cs="Arial"/>
          <w:lang w:eastAsia="en-GB"/>
        </w:rPr>
        <w:t>lo</w:t>
      </w:r>
      <w:r w:rsidRPr="00080A1E">
        <w:rPr>
          <w:rFonts w:ascii="Verdana" w:eastAsia="Arial," w:hAnsi="Verdana" w:cs="Arial"/>
          <w:lang w:eastAsia="en-GB"/>
        </w:rPr>
        <w:t xml:space="preserve"> </w:t>
      </w:r>
      <w:r w:rsidRPr="00080A1E">
        <w:rPr>
          <w:rFonts w:ascii="Verdana" w:eastAsia="Calibri" w:hAnsi="Verdana" w:cs="Arial"/>
          <w:lang w:eastAsia="en-GB"/>
        </w:rPr>
        <w:t>siguiente:</w:t>
      </w:r>
    </w:p>
    <w:p w14:paraId="39257E78" w14:textId="77777777" w:rsidR="00066311" w:rsidRPr="00080A1E" w:rsidRDefault="00066311" w:rsidP="00066311">
      <w:pPr>
        <w:spacing w:after="120" w:line="240" w:lineRule="auto"/>
        <w:ind w:left="709" w:right="709"/>
        <w:jc w:val="both"/>
        <w:rPr>
          <w:rFonts w:ascii="Verdana" w:eastAsia="Arial," w:hAnsi="Verdana" w:cs="Arial"/>
          <w:lang w:eastAsia="en-GB"/>
        </w:rPr>
      </w:pPr>
      <w:r w:rsidRPr="00080A1E">
        <w:rPr>
          <w:rFonts w:ascii="Verdana" w:eastAsia="Arial," w:hAnsi="Verdana" w:cs="Arial"/>
          <w:lang w:eastAsia="en-GB"/>
        </w:rPr>
        <w:t>[…]</w:t>
      </w:r>
    </w:p>
    <w:p w14:paraId="6E71A3AC" w14:textId="77777777" w:rsidR="00066311" w:rsidRPr="00080A1E" w:rsidRDefault="00066311" w:rsidP="00066311">
      <w:pPr>
        <w:spacing w:after="120" w:line="240" w:lineRule="auto"/>
        <w:ind w:left="1134" w:right="709" w:hanging="425"/>
        <w:jc w:val="both"/>
        <w:rPr>
          <w:rFonts w:ascii="Verdana" w:eastAsia="Arial" w:hAnsi="Verdana" w:cs="Arial"/>
          <w:lang w:val="es-MX" w:eastAsia="en-GB"/>
        </w:rPr>
      </w:pPr>
      <w:r w:rsidRPr="00080A1E">
        <w:rPr>
          <w:rFonts w:ascii="Verdana" w:eastAsia="Arial" w:hAnsi="Verdana" w:cs="Arial"/>
          <w:lang w:val="es-MX" w:eastAsia="en-GB"/>
        </w:rPr>
        <w:t>II.</w:t>
      </w:r>
      <w:r w:rsidRPr="00080A1E">
        <w:rPr>
          <w:rFonts w:ascii="Verdana" w:eastAsia="Arial" w:hAnsi="Verdana" w:cs="Arial"/>
          <w:lang w:val="es-MX" w:eastAsia="en-GB"/>
        </w:rPr>
        <w:tab/>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18A0F4C6" w14:textId="77777777" w:rsidR="00066311" w:rsidRPr="00080A1E" w:rsidRDefault="00066311" w:rsidP="00066311">
      <w:pPr>
        <w:spacing w:after="120" w:line="240" w:lineRule="auto"/>
        <w:ind w:left="1134" w:right="709" w:hanging="425"/>
        <w:jc w:val="both"/>
        <w:rPr>
          <w:rFonts w:ascii="Verdana" w:eastAsia="Arial" w:hAnsi="Verdana" w:cs="Arial"/>
          <w:i/>
          <w:iCs/>
          <w:lang w:val="es-MX" w:eastAsia="en-GB"/>
        </w:rPr>
      </w:pPr>
      <w:r w:rsidRPr="00080A1E">
        <w:rPr>
          <w:rFonts w:ascii="Verdana" w:eastAsia="Arial" w:hAnsi="Verdana" w:cs="Arial"/>
          <w:lang w:val="es-MX" w:eastAsia="en-GB"/>
        </w:rPr>
        <w:t>III.</w:t>
      </w:r>
      <w:r w:rsidRPr="00080A1E">
        <w:rPr>
          <w:rFonts w:ascii="Verdana" w:eastAsia="Arial" w:hAnsi="Verdana" w:cs="Arial"/>
          <w:lang w:val="es-MX" w:eastAsia="en-GB"/>
        </w:rPr>
        <w:tab/>
      </w:r>
      <w:r w:rsidRPr="00C71978">
        <w:rPr>
          <w:rFonts w:ascii="Verdana" w:eastAsia="Arial" w:hAnsi="Verdana" w:cs="Arial"/>
          <w:b/>
          <w:bCs/>
          <w:i/>
          <w:iCs/>
          <w:lang w:val="es-MX" w:eastAsia="en-GB"/>
        </w:rPr>
        <w:t xml:space="preserve">Se tendrán en cuenta los </w:t>
      </w:r>
      <w:bookmarkStart w:id="8" w:name="_Hlk199239771"/>
      <w:r w:rsidRPr="00C71978">
        <w:rPr>
          <w:rFonts w:ascii="Verdana" w:eastAsia="Arial" w:hAnsi="Verdana" w:cs="Arial"/>
          <w:b/>
          <w:bCs/>
          <w:i/>
          <w:iCs/>
          <w:lang w:val="es-MX" w:eastAsia="en-GB"/>
        </w:rPr>
        <w:t xml:space="preserve">contratos de obras civiles en ejecución </w:t>
      </w:r>
      <w:bookmarkEnd w:id="8"/>
      <w:r w:rsidRPr="00C71978">
        <w:rPr>
          <w:rFonts w:ascii="Verdana" w:eastAsia="Arial" w:hAnsi="Verdana" w:cs="Arial"/>
          <w:b/>
          <w:bCs/>
          <w:i/>
          <w:iCs/>
          <w:lang w:val="es-MX" w:eastAsia="en-GB"/>
        </w:rPr>
        <w:t>suscritos por el proponente o por sociedades, consorcios o uniones temporales en los cuales el proponente tenga participación.</w:t>
      </w:r>
      <w:r w:rsidRPr="00080A1E">
        <w:rPr>
          <w:rFonts w:ascii="Verdana" w:eastAsia="Arial" w:hAnsi="Verdana" w:cs="Arial"/>
          <w:i/>
          <w:iCs/>
          <w:lang w:val="es-MX" w:eastAsia="en-GB"/>
        </w:rPr>
        <w:t xml:space="preserve"> </w:t>
      </w:r>
    </w:p>
    <w:p w14:paraId="71DB09FF" w14:textId="77777777" w:rsidR="00066311" w:rsidRPr="00080A1E" w:rsidRDefault="00066311" w:rsidP="00066311">
      <w:pPr>
        <w:spacing w:after="120" w:line="240" w:lineRule="auto"/>
        <w:ind w:left="1134" w:right="709" w:hanging="425"/>
        <w:jc w:val="both"/>
        <w:rPr>
          <w:rFonts w:ascii="Verdana" w:eastAsia="Arial" w:hAnsi="Verdana" w:cs="Arial"/>
          <w:lang w:val="es-MX" w:eastAsia="en-GB"/>
        </w:rPr>
      </w:pPr>
      <w:r w:rsidRPr="00080A1E">
        <w:rPr>
          <w:rFonts w:ascii="Verdana" w:eastAsia="Arial" w:hAnsi="Verdana" w:cs="Arial"/>
          <w:lang w:val="es-MX" w:eastAsia="en-GB"/>
        </w:rPr>
        <w:t>IV.</w:t>
      </w:r>
      <w:r w:rsidRPr="00080A1E">
        <w:rPr>
          <w:rFonts w:ascii="Verdana" w:eastAsia="Arial" w:hAnsi="Verdana" w:cs="Arial"/>
          <w:lang w:val="es-MX" w:eastAsia="en-GB"/>
        </w:rPr>
        <w:tab/>
        <w:t>Si un contrato se encuentra suspendido, el cálculo del (SCE) de dicho contrato debe efectuarse asumiendo que lo que falta por ejecutar iniciara en la fecha de presentación de la oferta del Proceso de Contratación. Si el contrato está suspendido el proponente debe informar el saldo pendiente por ejecutar.</w:t>
      </w:r>
    </w:p>
    <w:p w14:paraId="7B1B7312" w14:textId="77777777" w:rsidR="00066311" w:rsidRDefault="00066311" w:rsidP="00066311">
      <w:pPr>
        <w:spacing w:after="120" w:line="240" w:lineRule="auto"/>
        <w:ind w:left="1134" w:right="709" w:hanging="425"/>
        <w:jc w:val="both"/>
        <w:rPr>
          <w:rFonts w:ascii="Verdana" w:hAnsi="Verdana" w:cs="Arial"/>
        </w:rPr>
      </w:pPr>
      <w:r w:rsidRPr="00080A1E">
        <w:rPr>
          <w:rFonts w:ascii="Verdana" w:eastAsia="Arial" w:hAnsi="Verdana" w:cs="Arial"/>
          <w:lang w:val="es-MX" w:eastAsia="en-GB"/>
        </w:rPr>
        <w:t>V.</w:t>
      </w:r>
      <w:r w:rsidRPr="00080A1E">
        <w:rPr>
          <w:rFonts w:ascii="Verdana" w:eastAsia="Arial" w:hAnsi="Verdana" w:cs="Arial"/>
          <w:lang w:val="es-MX" w:eastAsia="en-GB"/>
        </w:rPr>
        <w:tab/>
        <w:t>El cálculo del factor (SCE)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la respectiva estructura.”</w:t>
      </w:r>
      <w:r w:rsidRPr="00C71978">
        <w:rPr>
          <w:rFonts w:ascii="Verdana" w:hAnsi="Verdana" w:cs="Arial"/>
        </w:rPr>
        <w:t xml:space="preserve"> [Énfasis por fuera de texto].</w:t>
      </w:r>
    </w:p>
    <w:p w14:paraId="671A680E" w14:textId="77777777" w:rsidR="00066311" w:rsidRPr="00C71978" w:rsidRDefault="00066311" w:rsidP="00066311">
      <w:pPr>
        <w:spacing w:after="0" w:line="240" w:lineRule="auto"/>
        <w:ind w:left="1134" w:right="709" w:hanging="425"/>
        <w:jc w:val="both"/>
        <w:rPr>
          <w:rFonts w:ascii="Verdana" w:eastAsia="Arial" w:hAnsi="Verdana" w:cs="Arial"/>
          <w:lang w:val="es-MX" w:eastAsia="en-GB"/>
        </w:rPr>
      </w:pPr>
    </w:p>
    <w:p w14:paraId="7B16DE4A" w14:textId="77777777" w:rsidR="00066311" w:rsidRPr="00080A1E" w:rsidRDefault="00066311" w:rsidP="00066311">
      <w:pPr>
        <w:spacing w:line="276" w:lineRule="auto"/>
        <w:ind w:firstLine="709"/>
        <w:jc w:val="both"/>
        <w:rPr>
          <w:rFonts w:ascii="Verdana" w:eastAsia="Arial" w:hAnsi="Verdana" w:cs="Arial"/>
        </w:rPr>
      </w:pPr>
      <w:r w:rsidRPr="00080A1E">
        <w:rPr>
          <w:rFonts w:ascii="Verdana" w:eastAsia="Arial," w:hAnsi="Verdana" w:cs="Arial"/>
        </w:rPr>
        <w:t xml:space="preserve">Como se aprecia, los apartados transcritos del documento base están en armonía con lo dispuesto en el artículo </w:t>
      </w:r>
      <w:r w:rsidRPr="00080A1E">
        <w:rPr>
          <w:rFonts w:ascii="Verdana" w:eastAsia="Calibri" w:hAnsi="Verdana" w:cs="Arial"/>
          <w:color w:val="000000" w:themeColor="text1"/>
          <w:lang w:val="es-MX"/>
        </w:rPr>
        <w:t xml:space="preserve">2.2.1.1.1.6.4 del Decreto 1082 de 2015 y en la </w:t>
      </w:r>
      <w:r w:rsidRPr="00080A1E">
        <w:rPr>
          <w:rFonts w:ascii="Verdana" w:hAnsi="Verdana" w:cs="Arial"/>
        </w:rPr>
        <w:t xml:space="preserve">Guía para Determinar y Verificar la Capacidad Residual del Proponente en los Procesos de Contratación de Obra Pública, y se refieren a </w:t>
      </w:r>
      <w:r w:rsidRPr="00080A1E">
        <w:rPr>
          <w:rFonts w:ascii="Verdana" w:eastAsia="Arial" w:hAnsi="Verdana" w:cs="Arial"/>
        </w:rPr>
        <w:t xml:space="preserve">los contratos de </w:t>
      </w:r>
      <w:r w:rsidRPr="00080A1E">
        <w:rPr>
          <w:rFonts w:ascii="Verdana" w:eastAsia="Arial" w:hAnsi="Verdana" w:cs="Arial"/>
        </w:rPr>
        <w:lastRenderedPageBreak/>
        <w:t xml:space="preserve">obras civiles en ejecución suscritos por el proponente o por sociedades, consorcios o uniones temporales en los cuales el proponente tenga participación. </w:t>
      </w:r>
    </w:p>
    <w:p w14:paraId="375AAABB" w14:textId="77777777" w:rsidR="00066311" w:rsidRPr="00080A1E" w:rsidRDefault="00066311" w:rsidP="00066311">
      <w:pPr>
        <w:spacing w:before="120" w:line="276" w:lineRule="auto"/>
        <w:ind w:firstLine="709"/>
        <w:jc w:val="both"/>
        <w:rPr>
          <w:rFonts w:ascii="Verdana" w:hAnsi="Verdana" w:cs="Arial"/>
          <w:lang w:val="es-MX"/>
        </w:rPr>
      </w:pPr>
      <w:r w:rsidRPr="00080A1E">
        <w:rPr>
          <w:rFonts w:ascii="Verdana" w:hAnsi="Verdana" w:cs="Arial"/>
          <w:lang w:val="es-MX"/>
        </w:rPr>
        <w:t xml:space="preserve">Conforme a lo anterior, en los procesos de selección para contratos de obras pública, así como los que se rigen por los documentos tipos de obra pública, los proponentes deberán informar los contratos de obra civil en ejecución de la sociedad, consorcio o unión temporal en los que tenga participación para efectos del cálculo de la capacidad residual. Este requisito es una exigencia del </w:t>
      </w:r>
      <w:r w:rsidRPr="00080A1E">
        <w:rPr>
          <w:rFonts w:ascii="Verdana" w:eastAsia="Arial," w:hAnsi="Verdana" w:cs="Arial"/>
        </w:rPr>
        <w:t xml:space="preserve">artículo </w:t>
      </w:r>
      <w:r w:rsidRPr="00080A1E">
        <w:rPr>
          <w:rFonts w:ascii="Verdana" w:eastAsia="Calibri" w:hAnsi="Verdana" w:cs="Arial"/>
          <w:color w:val="000000" w:themeColor="text1"/>
          <w:lang w:val="es-MX"/>
        </w:rPr>
        <w:t xml:space="preserve">2.2.1.1.1.6.4 del Decreto 1082 de 2015 </w:t>
      </w:r>
      <w:r w:rsidRPr="00080A1E">
        <w:rPr>
          <w:rFonts w:ascii="Verdana" w:hAnsi="Verdana" w:cs="Arial"/>
          <w:lang w:val="es-MX"/>
        </w:rPr>
        <w:t xml:space="preserve">y se fundamenta en que su participación en estas sociedades </w:t>
      </w:r>
      <w:r w:rsidRPr="00080A1E">
        <w:rPr>
          <w:rFonts w:ascii="Verdana" w:hAnsi="Verdana" w:cs="Arial"/>
        </w:rPr>
        <w:t>puede, eventualmente, afectar la aptitud del oferente para cumplir con el contrato ofertado debido a que estos obligan al proponente, razón por la cual es necesario evaluar los saldos pendientes por ejecutar de tales contratos para determinar si este cumple con la capacidad residual requerida.</w:t>
      </w:r>
      <w:r w:rsidRPr="00080A1E">
        <w:rPr>
          <w:rFonts w:ascii="Verdana" w:hAnsi="Verdana" w:cs="Arial"/>
          <w:lang w:val="es-MX"/>
        </w:rPr>
        <w:t xml:space="preserve"> </w:t>
      </w:r>
    </w:p>
    <w:p w14:paraId="2C548680" w14:textId="77777777" w:rsidR="00066311" w:rsidRPr="00080A1E" w:rsidRDefault="00066311" w:rsidP="00066311">
      <w:pPr>
        <w:spacing w:before="120" w:line="276" w:lineRule="auto"/>
        <w:ind w:firstLine="709"/>
        <w:jc w:val="both"/>
        <w:rPr>
          <w:rFonts w:ascii="Verdana" w:hAnsi="Verdana" w:cs="Arial"/>
          <w:lang w:val="es-MX"/>
        </w:rPr>
      </w:pPr>
      <w:r w:rsidRPr="00080A1E">
        <w:rPr>
          <w:rFonts w:ascii="Verdana" w:hAnsi="Verdana" w:cs="Arial"/>
          <w:lang w:val="es-MX"/>
        </w:rPr>
        <w:t xml:space="preserve">De esta manera, debe precisarse que solo en la medida en que el proponente tenga participación en la sociedad deberá informar sobre dichos contratos en el proceso de obra pública en los que se presente siempre que tenga participación en ella. Para tales efectos, conforme al artículo 98 del Código de Comercio, entiéndase por sociedad el contrato en el que </w:t>
      </w:r>
      <w:r w:rsidRPr="00080A1E">
        <w:rPr>
          <w:rFonts w:ascii="Verdana" w:hAnsi="Verdana" w:cs="Arial"/>
          <w:lang w:val="es-ES_tradnl"/>
        </w:rPr>
        <w:t>“</w:t>
      </w:r>
      <w:r w:rsidRPr="00080A1E">
        <w:rPr>
          <w:rFonts w:ascii="Verdana" w:hAnsi="Verdana" w:cs="Arial"/>
          <w:lang w:val="es-MX"/>
        </w:rPr>
        <w:t>dos o más personas se obligan a hacer un aporte en dinero, en trabajo o en otros bienes apreciables en dinero, con el fin de repartirse entre sí las utilidades obtenidas en la empresa o actividad social. La sociedad, una vez constituida legalmente, forma una persona jurídica distinta de los socios individualmente considerados</w:t>
      </w:r>
      <w:r w:rsidRPr="00080A1E">
        <w:rPr>
          <w:rFonts w:ascii="Verdana" w:hAnsi="Verdana" w:cs="Arial"/>
          <w:lang w:val="es-ES"/>
        </w:rPr>
        <w:t>”</w:t>
      </w:r>
      <w:r w:rsidRPr="00080A1E">
        <w:rPr>
          <w:rStyle w:val="Refdenotaalpie"/>
          <w:rFonts w:ascii="Verdana" w:hAnsi="Verdana" w:cs="Arial"/>
          <w:lang w:val="es-ES"/>
        </w:rPr>
        <w:footnoteReference w:id="7"/>
      </w:r>
      <w:r w:rsidRPr="00080A1E">
        <w:rPr>
          <w:rFonts w:ascii="Verdana" w:hAnsi="Verdana" w:cs="Arial"/>
          <w:lang w:val="es-MX"/>
        </w:rPr>
        <w:t xml:space="preserve">. </w:t>
      </w:r>
    </w:p>
    <w:p w14:paraId="41B8A9AD" w14:textId="77777777" w:rsidR="00066311" w:rsidRDefault="00066311" w:rsidP="00066311">
      <w:pPr>
        <w:spacing w:before="120" w:after="120" w:line="276" w:lineRule="auto"/>
        <w:ind w:firstLine="709"/>
        <w:jc w:val="both"/>
        <w:rPr>
          <w:rFonts w:ascii="Verdana" w:hAnsi="Verdana" w:cs="Arial"/>
          <w:lang w:val="es-MX"/>
        </w:rPr>
      </w:pPr>
      <w:r w:rsidRPr="00080A1E">
        <w:rPr>
          <w:rFonts w:ascii="Verdana" w:hAnsi="Verdana" w:cs="Arial"/>
          <w:lang w:val="es-MX"/>
        </w:rPr>
        <w:t xml:space="preserve">En este contexto, debido a que los contratos de obra civil en ejecución suscritos por la sociedad en la que el proponente tiene </w:t>
      </w:r>
      <w:proofErr w:type="gramStart"/>
      <w:r w:rsidRPr="00080A1E">
        <w:rPr>
          <w:rFonts w:ascii="Verdana" w:hAnsi="Verdana" w:cs="Arial"/>
          <w:lang w:val="es-MX"/>
        </w:rPr>
        <w:t>participación,</w:t>
      </w:r>
      <w:proofErr w:type="gramEnd"/>
      <w:r w:rsidRPr="00080A1E">
        <w:rPr>
          <w:rFonts w:ascii="Verdana" w:hAnsi="Verdana" w:cs="Arial"/>
          <w:lang w:val="es-MX"/>
        </w:rPr>
        <w:t xml:space="preserve"> podrían afectar la capacidad residual del proponente para cumplir con otros contratos de obra, resulta necesario que el proponente que tenga participación en dicha sociedad aporte la lista de estos.</w:t>
      </w:r>
      <w:r>
        <w:rPr>
          <w:rFonts w:ascii="Verdana" w:hAnsi="Verdana" w:cs="Arial"/>
          <w:lang w:val="es-MX"/>
        </w:rPr>
        <w:t xml:space="preserve"> </w:t>
      </w:r>
      <w:r w:rsidRPr="00F60F7F">
        <w:rPr>
          <w:rFonts w:ascii="Verdana" w:hAnsi="Verdana" w:cs="Arial"/>
        </w:rPr>
        <w:t xml:space="preserve">Es pertinente señalar que ni la </w:t>
      </w:r>
      <w:r w:rsidRPr="00F60F7F">
        <w:rPr>
          <w:rFonts w:ascii="Verdana" w:hAnsi="Verdana" w:cs="Arial"/>
          <w:i/>
          <w:iCs/>
        </w:rPr>
        <w:t>Guía para determinar y verificar la capacidad residual del proponente en los procesos de contratación de obra pública</w:t>
      </w:r>
      <w:r w:rsidRPr="00F60F7F">
        <w:rPr>
          <w:rFonts w:ascii="Verdana" w:hAnsi="Verdana" w:cs="Arial"/>
        </w:rPr>
        <w:t xml:space="preserve">, ni el artículo 2.2.1.1.1.6.4, precisan si el proponente debe reportar, en los saldos de contratos, únicamente la proporción correspondiente a su participación en los contratos de obra civil en ejecución celebrados por la sociedad, o si, por el contrario, debe reportarlos en su totalidad. A diferencia de esto, el documento tipo sí establece una directriz clara </w:t>
      </w:r>
      <w:r w:rsidRPr="00F60F7F">
        <w:rPr>
          <w:rFonts w:ascii="Verdana" w:hAnsi="Verdana" w:cs="Arial"/>
        </w:rPr>
        <w:lastRenderedPageBreak/>
        <w:t xml:space="preserve">respecto a los consorcios y uniones temporales, indicando en el literal E del numeral 3.11.2 que, en relación con los contratos en ejecución, “si la obra la ejecuta un consorcio o unión temporal, se debe indicar el porcentaje de participación del integrante que presenta el certificado”. </w:t>
      </w:r>
    </w:p>
    <w:p w14:paraId="64522F22" w14:textId="77777777" w:rsidR="00066311" w:rsidRPr="00080A1E" w:rsidRDefault="00066311" w:rsidP="00066311">
      <w:pPr>
        <w:spacing w:before="120" w:after="120" w:line="276" w:lineRule="auto"/>
        <w:ind w:firstLine="709"/>
        <w:jc w:val="both"/>
        <w:rPr>
          <w:rFonts w:ascii="Verdana" w:hAnsi="Verdana" w:cs="Arial"/>
          <w:lang w:val="es-MX"/>
        </w:rPr>
      </w:pPr>
      <w:r w:rsidRPr="00080A1E">
        <w:rPr>
          <w:rFonts w:ascii="Verdana" w:hAnsi="Verdana" w:cs="Arial"/>
          <w:lang w:val="es-MX"/>
        </w:rPr>
        <w:t>Al respecto debe tenerse en cuenta que los contratos de obra civil en ejecución incluyen aquellos</w:t>
      </w:r>
      <w:r w:rsidRPr="00080A1E">
        <w:rPr>
          <w:rFonts w:ascii="Verdana" w:eastAsia="Calibri" w:hAnsi="Verdana" w:cs="Arial"/>
        </w:rPr>
        <w:t xml:space="preserve"> no solo que hayan sido adjudicados al proponente, sino que se requiere que los mismos estuviesen en ejecución al momento del cierre, incluyendo los contratos suspendidos y aquellos que no tengan acta de inicio. En efecto, como se expuso anteriormente, la Guía para Determinar y Verificar la Capacidad Residual del Proponente en los Procesos de Contratación de Obra Pública</w:t>
      </w:r>
      <w:r w:rsidRPr="00080A1E">
        <w:rPr>
          <w:rFonts w:ascii="Verdana" w:eastAsia="Calibri" w:hAnsi="Verdana" w:cs="Arial"/>
          <w:i/>
          <w:iCs/>
        </w:rPr>
        <w:t xml:space="preserve"> </w:t>
      </w:r>
      <w:r w:rsidRPr="00080A1E">
        <w:rPr>
          <w:rFonts w:ascii="Verdana" w:eastAsia="Calibri" w:hAnsi="Verdana" w:cs="Arial"/>
        </w:rPr>
        <w:t>incluye en la definición de contratos en ejecución aquellos que se encuentren suspendidos y que no tengan acta de inicio. Esta misma se recogió en el numeral 3.1</w:t>
      </w:r>
      <w:r>
        <w:rPr>
          <w:rFonts w:ascii="Verdana" w:eastAsia="Calibri" w:hAnsi="Verdana" w:cs="Arial"/>
        </w:rPr>
        <w:t>1</w:t>
      </w:r>
      <w:r w:rsidRPr="00080A1E">
        <w:rPr>
          <w:rFonts w:ascii="Verdana" w:eastAsia="Calibri" w:hAnsi="Verdana" w:cs="Arial"/>
        </w:rPr>
        <w:t>.2, literal E, del documento base, el cual señaló que para acreditar el factor “SCE</w:t>
      </w:r>
      <w:r w:rsidRPr="00080A1E">
        <w:rPr>
          <w:rFonts w:ascii="Verdana" w:hAnsi="Verdana" w:cs="Arial"/>
          <w:lang w:eastAsia="es-CO"/>
        </w:rPr>
        <w:t>”</w:t>
      </w:r>
      <w:r w:rsidRPr="00080A1E">
        <w:rPr>
          <w:rFonts w:ascii="Verdana" w:eastAsia="Calibri" w:hAnsi="Verdana" w:cs="Arial"/>
        </w:rPr>
        <w:t xml:space="preserve"> el proponente tendrá en cuenta “los contratos suspendidos y aquellos que no tengan acta de inicio</w:t>
      </w:r>
      <w:r w:rsidRPr="00080A1E">
        <w:rPr>
          <w:rFonts w:ascii="Verdana" w:hAnsi="Verdana" w:cs="Arial"/>
          <w:lang w:eastAsia="es-CO"/>
        </w:rPr>
        <w:t>”.</w:t>
      </w:r>
      <w:r w:rsidRPr="00080A1E">
        <w:rPr>
          <w:rFonts w:ascii="Verdana" w:hAnsi="Verdana" w:cs="Arial"/>
          <w:lang w:val="es-MX"/>
        </w:rPr>
        <w:t xml:space="preserve"> </w:t>
      </w:r>
    </w:p>
    <w:p w14:paraId="3FE70AA9" w14:textId="77777777" w:rsidR="00066311" w:rsidRDefault="00066311" w:rsidP="00066311">
      <w:pPr>
        <w:spacing w:after="0" w:line="276" w:lineRule="auto"/>
        <w:jc w:val="both"/>
        <w:rPr>
          <w:rFonts w:ascii="Verdana" w:eastAsia="Calibri" w:hAnsi="Verdana" w:cs="Arial"/>
        </w:rPr>
      </w:pPr>
      <w:r w:rsidRPr="00080A1E">
        <w:rPr>
          <w:rFonts w:ascii="Verdana" w:hAnsi="Verdana" w:cs="Arial"/>
          <w:color w:val="000000" w:themeColor="text1"/>
        </w:rPr>
        <w:tab/>
      </w:r>
      <w:r>
        <w:rPr>
          <w:rFonts w:ascii="Verdana" w:eastAsia="Calibri" w:hAnsi="Verdana" w:cs="Arial"/>
        </w:rPr>
        <w:t>D</w:t>
      </w:r>
      <w:r w:rsidRPr="00080A1E">
        <w:rPr>
          <w:rFonts w:ascii="Verdana" w:eastAsia="Calibri" w:hAnsi="Verdana" w:cs="Arial"/>
        </w:rPr>
        <w:t>e lo anterior, se encuentra la obligación para el proponente que participe en un proceso en el cual se requiera verificar la capacidad residual, para el caso particular en procesos de licitación pública de obra de infraestructura de transporte-documentos tipo, de informar y relacionar los contratos de obra propios, o en los cuales tenga alguna participación de sociedades o consorcios o uniones temporales, de tal suerte que se sustraen los contratos de obra que se encuentren en ejecución por parte de los socios que conformen la composición accionaria del proponente</w:t>
      </w:r>
      <w:r w:rsidRPr="00080A1E">
        <w:rPr>
          <w:rStyle w:val="Refdenotaalpie"/>
          <w:rFonts w:ascii="Verdana" w:eastAsia="Calibri" w:hAnsi="Verdana" w:cs="Arial"/>
        </w:rPr>
        <w:footnoteReference w:id="8"/>
      </w:r>
      <w:r w:rsidRPr="00080A1E">
        <w:rPr>
          <w:rFonts w:ascii="Verdana" w:eastAsia="Calibri" w:hAnsi="Verdana" w:cs="Arial"/>
        </w:rPr>
        <w:t>.</w:t>
      </w:r>
    </w:p>
    <w:p w14:paraId="1D90D109" w14:textId="77777777" w:rsidR="00066311" w:rsidRPr="00E2182C" w:rsidRDefault="00066311" w:rsidP="00066311">
      <w:pPr>
        <w:spacing w:after="0" w:line="276" w:lineRule="auto"/>
        <w:jc w:val="both"/>
        <w:rPr>
          <w:rFonts w:ascii="Verdana" w:eastAsia="Calibri" w:hAnsi="Verdana" w:cs="Arial"/>
        </w:rPr>
      </w:pPr>
      <w:r>
        <w:rPr>
          <w:rFonts w:ascii="Verdana" w:eastAsia="Calibri" w:hAnsi="Verdana" w:cs="Arial"/>
        </w:rPr>
        <w:tab/>
      </w:r>
    </w:p>
    <w:p w14:paraId="57AFFF5D" w14:textId="77777777" w:rsidR="00066311" w:rsidRPr="00E2182C" w:rsidRDefault="00066311" w:rsidP="0006631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2182C">
        <w:rPr>
          <w:rFonts w:ascii="Verdana" w:eastAsia="Century Gothic" w:hAnsi="Verdana" w:cs="Century Gothic"/>
          <w:b/>
          <w:bCs/>
          <w:lang w:val="es-ES"/>
        </w:rPr>
        <w:t>Referencias normativas, jurisprudenciales y otras fuentes:</w:t>
      </w:r>
    </w:p>
    <w:p w14:paraId="15E47C5D" w14:textId="77777777" w:rsidR="00066311" w:rsidRPr="00E2182C" w:rsidRDefault="00066311" w:rsidP="00066311">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66311" w:rsidRPr="00E2182C" w14:paraId="50DB5440" w14:textId="77777777" w:rsidTr="009F6C81">
        <w:trPr>
          <w:trHeight w:val="870"/>
        </w:trPr>
        <w:tc>
          <w:tcPr>
            <w:tcW w:w="8647" w:type="dxa"/>
          </w:tcPr>
          <w:p w14:paraId="7983ACA3" w14:textId="77777777" w:rsidR="00066311" w:rsidRPr="00E2182C" w:rsidRDefault="00066311" w:rsidP="00066311">
            <w:pPr>
              <w:widowControl w:val="0"/>
              <w:numPr>
                <w:ilvl w:val="0"/>
                <w:numId w:val="17"/>
              </w:numPr>
              <w:autoSpaceDE w:val="0"/>
              <w:autoSpaceDN w:val="0"/>
              <w:spacing w:line="276" w:lineRule="auto"/>
              <w:jc w:val="both"/>
              <w:rPr>
                <w:rFonts w:ascii="Verdana" w:eastAsia="Calibri" w:hAnsi="Verdana" w:cs="Arial"/>
              </w:rPr>
            </w:pPr>
            <w:r w:rsidRPr="00E2182C">
              <w:rPr>
                <w:rFonts w:ascii="Verdana" w:eastAsia="Calibri" w:hAnsi="Verdana" w:cs="Arial"/>
              </w:rPr>
              <w:t>Ley 2022 de 2020, artículo 1.</w:t>
            </w:r>
          </w:p>
          <w:p w14:paraId="4B82D38A" w14:textId="77777777" w:rsidR="00066311" w:rsidRPr="00E2182C" w:rsidRDefault="00066311" w:rsidP="00066311">
            <w:pPr>
              <w:widowControl w:val="0"/>
              <w:numPr>
                <w:ilvl w:val="0"/>
                <w:numId w:val="17"/>
              </w:numPr>
              <w:autoSpaceDE w:val="0"/>
              <w:autoSpaceDN w:val="0"/>
              <w:spacing w:line="276" w:lineRule="auto"/>
              <w:jc w:val="both"/>
              <w:rPr>
                <w:rFonts w:ascii="Verdana" w:eastAsia="Calibri" w:hAnsi="Verdana" w:cs="Arial"/>
              </w:rPr>
            </w:pPr>
            <w:r w:rsidRPr="00E2182C">
              <w:rPr>
                <w:rFonts w:ascii="Verdana" w:eastAsia="Calibri" w:hAnsi="Verdana" w:cs="Arial"/>
              </w:rPr>
              <w:t>Ley 1682 de 2013, artículo 72.</w:t>
            </w:r>
          </w:p>
          <w:p w14:paraId="74FA2561" w14:textId="77777777" w:rsidR="00066311" w:rsidRPr="00E2182C" w:rsidRDefault="00066311" w:rsidP="00066311">
            <w:pPr>
              <w:widowControl w:val="0"/>
              <w:numPr>
                <w:ilvl w:val="0"/>
                <w:numId w:val="17"/>
              </w:numPr>
              <w:autoSpaceDE w:val="0"/>
              <w:autoSpaceDN w:val="0"/>
              <w:spacing w:line="276" w:lineRule="auto"/>
              <w:jc w:val="both"/>
              <w:rPr>
                <w:rFonts w:ascii="Verdana" w:eastAsia="Calibri" w:hAnsi="Verdana" w:cs="Arial"/>
              </w:rPr>
            </w:pPr>
            <w:r w:rsidRPr="00E2182C">
              <w:rPr>
                <w:rFonts w:ascii="Verdana" w:eastAsia="Calibri" w:hAnsi="Verdana" w:cs="Arial"/>
              </w:rPr>
              <w:t>Decreto 1082 de 2015, artículos 2.2.1.1.1.3.1 y 2.2.1.1.1.6.4.</w:t>
            </w:r>
          </w:p>
          <w:p w14:paraId="3B78E8AF" w14:textId="77777777" w:rsidR="00066311" w:rsidRPr="00E2182C" w:rsidRDefault="00066311" w:rsidP="00066311">
            <w:pPr>
              <w:widowControl w:val="0"/>
              <w:numPr>
                <w:ilvl w:val="0"/>
                <w:numId w:val="17"/>
              </w:numPr>
              <w:autoSpaceDE w:val="0"/>
              <w:autoSpaceDN w:val="0"/>
              <w:spacing w:line="276" w:lineRule="auto"/>
              <w:jc w:val="both"/>
              <w:rPr>
                <w:rFonts w:ascii="Verdana" w:eastAsia="Calibri" w:hAnsi="Verdana" w:cs="Arial"/>
              </w:rPr>
            </w:pPr>
            <w:r w:rsidRPr="00E2182C">
              <w:rPr>
                <w:rFonts w:ascii="Verdana" w:eastAsia="Calibri" w:hAnsi="Verdana" w:cs="Arial"/>
              </w:rPr>
              <w:t>Consejo de Estado. Sección Tercera. Sentencia del 26 de junio de 2003. Rad. 13.354. C.P. María Elena Giraldo Gómez.</w:t>
            </w:r>
          </w:p>
          <w:p w14:paraId="28835186" w14:textId="77777777" w:rsidR="00066311" w:rsidRPr="00E2182C" w:rsidRDefault="00066311" w:rsidP="00066311">
            <w:pPr>
              <w:widowControl w:val="0"/>
              <w:numPr>
                <w:ilvl w:val="0"/>
                <w:numId w:val="17"/>
              </w:numPr>
              <w:autoSpaceDE w:val="0"/>
              <w:autoSpaceDN w:val="0"/>
              <w:spacing w:line="276" w:lineRule="auto"/>
              <w:jc w:val="both"/>
              <w:rPr>
                <w:rFonts w:ascii="Verdana" w:eastAsia="Calibri" w:hAnsi="Verdana" w:cs="Arial"/>
              </w:rPr>
            </w:pPr>
            <w:r w:rsidRPr="00E2182C">
              <w:rPr>
                <w:rFonts w:ascii="Verdana" w:eastAsia="Calibri" w:hAnsi="Verdana" w:cs="Arial"/>
              </w:rPr>
              <w:t xml:space="preserve">Documentos tipo de licitación de obra pública de infraestructura de transporte. Disponibles en: </w:t>
            </w:r>
            <w:hyperlink r:id="rId12" w:history="1">
              <w:r w:rsidRPr="00E2182C">
                <w:rPr>
                  <w:rFonts w:ascii="Verdana" w:eastAsia="Calibri" w:hAnsi="Verdana" w:cs="Arial"/>
                  <w:color w:val="467886"/>
                  <w:u w:val="single"/>
                </w:rPr>
                <w:t>https://www.colombiacompra.gov.co/normativa-y-</w:t>
              </w:r>
              <w:r w:rsidRPr="00E2182C">
                <w:rPr>
                  <w:rFonts w:ascii="Verdana" w:eastAsia="Calibri" w:hAnsi="Verdana" w:cs="Arial"/>
                  <w:color w:val="467886"/>
                  <w:u w:val="single"/>
                </w:rPr>
                <w:lastRenderedPageBreak/>
                <w:t>relatoria/documentos-tipo</w:t>
              </w:r>
            </w:hyperlink>
            <w:r w:rsidRPr="00E2182C">
              <w:rPr>
                <w:rFonts w:ascii="Verdana" w:eastAsia="Calibri" w:hAnsi="Verdana" w:cs="Arial"/>
              </w:rPr>
              <w:t xml:space="preserve">. </w:t>
            </w:r>
          </w:p>
        </w:tc>
      </w:tr>
    </w:tbl>
    <w:p w14:paraId="093BFB89" w14:textId="77777777" w:rsidR="00066311" w:rsidRPr="00E2182C" w:rsidRDefault="00066311" w:rsidP="00066311">
      <w:pPr>
        <w:tabs>
          <w:tab w:val="left" w:pos="142"/>
          <w:tab w:val="left" w:pos="284"/>
        </w:tabs>
        <w:spacing w:after="0" w:line="276" w:lineRule="auto"/>
        <w:jc w:val="both"/>
        <w:rPr>
          <w:rFonts w:ascii="Verdana" w:eastAsia="Calibri" w:hAnsi="Verdana" w:cs="Arial"/>
        </w:rPr>
      </w:pPr>
    </w:p>
    <w:p w14:paraId="5D2D79E7" w14:textId="77777777" w:rsidR="00066311" w:rsidRPr="00E2182C" w:rsidRDefault="00066311" w:rsidP="0006631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2182C">
        <w:rPr>
          <w:rFonts w:ascii="Verdana" w:eastAsia="Century Gothic" w:hAnsi="Verdana" w:cs="Century Gothic"/>
          <w:b/>
          <w:bCs/>
          <w:lang w:val="es-ES"/>
        </w:rPr>
        <w:t>Doctrina de la Agencia Nacional de Contratación Pública:</w:t>
      </w:r>
    </w:p>
    <w:p w14:paraId="34AA8988" w14:textId="77777777" w:rsidR="00066311" w:rsidRPr="00E2182C" w:rsidRDefault="00066311" w:rsidP="00066311">
      <w:pPr>
        <w:widowControl w:val="0"/>
        <w:autoSpaceDE w:val="0"/>
        <w:autoSpaceDN w:val="0"/>
        <w:spacing w:after="0" w:line="276" w:lineRule="auto"/>
        <w:jc w:val="both"/>
        <w:rPr>
          <w:rFonts w:ascii="Verdana" w:eastAsia="Calibri" w:hAnsi="Verdana" w:cs="Arial"/>
        </w:rPr>
      </w:pPr>
    </w:p>
    <w:p w14:paraId="0D6AEE7E" w14:textId="77777777" w:rsidR="00066311" w:rsidRPr="00E2182C" w:rsidRDefault="00066311" w:rsidP="00066311">
      <w:pPr>
        <w:widowControl w:val="0"/>
        <w:autoSpaceDE w:val="0"/>
        <w:autoSpaceDN w:val="0"/>
        <w:spacing w:after="0" w:line="276" w:lineRule="auto"/>
        <w:jc w:val="both"/>
        <w:rPr>
          <w:rFonts w:ascii="Verdana" w:eastAsia="Calibri" w:hAnsi="Verdana" w:cs="Arial"/>
          <w:shd w:val="clear" w:color="auto" w:fill="FFFFFF"/>
          <w:lang w:val="es-ES"/>
        </w:rPr>
      </w:pPr>
      <w:r w:rsidRPr="00E2182C">
        <w:rPr>
          <w:rFonts w:ascii="Verdana" w:eastAsia="Calibri" w:hAnsi="Verdana" w:cs="Arial"/>
          <w:shd w:val="clear" w:color="auto" w:fill="FFFFFF"/>
          <w:lang w:val="es-ES"/>
        </w:rPr>
        <w:t>La Agencia Nacional de Contratación Pública – Colombia Compra Eficiente se pronunció</w:t>
      </w:r>
      <w:r w:rsidRPr="00E2182C">
        <w:rPr>
          <w:rFonts w:ascii="Aptos" w:eastAsia="Aptos" w:hAnsi="Aptos" w:cs="Times New Roman"/>
        </w:rPr>
        <w:t xml:space="preserve"> </w:t>
      </w:r>
      <w:r w:rsidRPr="00E2182C">
        <w:rPr>
          <w:rFonts w:ascii="Verdana" w:eastAsia="Calibri" w:hAnsi="Verdana" w:cs="Arial"/>
          <w:shd w:val="clear" w:color="auto" w:fill="FFFFFF"/>
          <w:lang w:val="es-ES"/>
        </w:rPr>
        <w:t>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C-351 del 23 de mayo de 2022, C-392 del 16 de junio de 2022, C-411 del 4 de diciembre de 2023</w:t>
      </w:r>
      <w:r>
        <w:rPr>
          <w:rFonts w:ascii="Verdana" w:eastAsia="Calibri" w:hAnsi="Verdana" w:cs="Arial"/>
          <w:shd w:val="clear" w:color="auto" w:fill="FFFFFF"/>
          <w:lang w:val="es-ES"/>
        </w:rPr>
        <w:t xml:space="preserve"> y C-486 del 29 de mayo de 2025</w:t>
      </w:r>
      <w:r w:rsidRPr="00E2182C">
        <w:rPr>
          <w:rFonts w:ascii="Verdana" w:eastAsia="Calibri" w:hAnsi="Verdana" w:cs="Arial"/>
          <w:shd w:val="clear" w:color="auto" w:fill="FFFFFF"/>
          <w:lang w:val="es-ES"/>
        </w:rPr>
        <w:t xml:space="preserve"> entre otros.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5A4C0135" w14:textId="77777777" w:rsidR="00066311" w:rsidRPr="00E2182C" w:rsidRDefault="00066311" w:rsidP="00066311">
      <w:pPr>
        <w:widowControl w:val="0"/>
        <w:autoSpaceDE w:val="0"/>
        <w:autoSpaceDN w:val="0"/>
        <w:spacing w:after="0" w:line="276" w:lineRule="auto"/>
        <w:jc w:val="both"/>
        <w:rPr>
          <w:rFonts w:ascii="Verdana" w:eastAsia="Calibri" w:hAnsi="Verdana" w:cs="Arial"/>
          <w:shd w:val="clear" w:color="auto" w:fill="FFFFFF"/>
          <w:lang w:val="es-ES"/>
        </w:rPr>
      </w:pPr>
    </w:p>
    <w:p w14:paraId="4DFE59CB" w14:textId="3035A433" w:rsidR="00066311" w:rsidRPr="00E86EA2" w:rsidRDefault="00066311" w:rsidP="009A4E15">
      <w:pPr>
        <w:shd w:val="clear" w:color="auto" w:fill="FFFFFF"/>
        <w:spacing w:after="0" w:line="240" w:lineRule="auto"/>
        <w:jc w:val="both"/>
        <w:textAlignment w:val="baseline"/>
        <w:rPr>
          <w:rFonts w:ascii="Verdana" w:eastAsia="Calibri" w:hAnsi="Verdana" w:cs="Arial"/>
          <w:kern w:val="2"/>
          <w:shd w:val="clear" w:color="auto" w:fill="FFFFFF"/>
          <w:lang w:val="es-ES"/>
          <w14:ligatures w14:val="standardContextual"/>
        </w:rPr>
      </w:pPr>
      <w:r w:rsidRPr="00E86EA2">
        <w:rPr>
          <w:rFonts w:ascii="Verdana" w:eastAsia="Calibri" w:hAnsi="Verdana" w:cs="Arial"/>
          <w:kern w:val="2"/>
          <w:shd w:val="clear" w:color="auto" w:fill="FFFFFF"/>
          <w:lang w:val="es-ES"/>
          <w14:ligatures w14:val="standardContextual"/>
        </w:rPr>
        <w:t xml:space="preserve">La Agencia Nacional de Contratación Pública – Colombia Compra Eficiente </w:t>
      </w:r>
      <w:r w:rsidR="009A4E15">
        <w:rPr>
          <w:rFonts w:ascii="Verdana" w:eastAsia="Calibri" w:hAnsi="Verdana" w:cs="Arial"/>
          <w:kern w:val="2"/>
          <w:shd w:val="clear" w:color="auto" w:fill="FFFFFF"/>
          <w:lang w:val="es-ES"/>
          <w14:ligatures w14:val="standardContextual"/>
        </w:rPr>
        <w:t xml:space="preserve">le informa </w:t>
      </w:r>
      <w:r w:rsidRPr="00E86EA2">
        <w:rPr>
          <w:rFonts w:ascii="Verdana" w:eastAsia="Calibri" w:hAnsi="Verdana" w:cs="Arial"/>
          <w:kern w:val="2"/>
          <w:shd w:val="clear" w:color="auto" w:fill="FFFFFF"/>
          <w:lang w:val="es-ES"/>
          <w14:ligatures w14:val="standardContextual"/>
        </w:rPr>
        <w:t xml:space="preserve">que ya se encuentra disponible la Guía de lineamientos de transparencia y selección objetiva para el departamento de La Guajira – Objetivo 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86EA2">
        <w:rPr>
          <w:rFonts w:ascii="Verdana" w:eastAsia="Calibri" w:hAnsi="Verdana" w:cs="Arial"/>
          <w:kern w:val="2"/>
          <w:shd w:val="clear" w:color="auto" w:fill="FFFFFF"/>
          <w:lang w:val="es-ES"/>
          <w14:ligatures w14:val="standardContextual"/>
        </w:rPr>
        <w:t>Wayúu</w:t>
      </w:r>
      <w:proofErr w:type="spellEnd"/>
      <w:r w:rsidRPr="00E86EA2">
        <w:rPr>
          <w:rFonts w:ascii="Verdana" w:eastAsia="Calibri" w:hAnsi="Verdana" w:cs="Arial"/>
          <w:kern w:val="2"/>
          <w:shd w:val="clear" w:color="auto" w:fill="FFFFFF"/>
          <w:lang w:val="es-ES"/>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E86EA2">
          <w:rPr>
            <w:rFonts w:ascii="Verdana" w:eastAsia="Calibri" w:hAnsi="Verdana" w:cs="Arial"/>
            <w:color w:val="0070C0"/>
            <w:kern w:val="2"/>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E86EA2">
        <w:rPr>
          <w:rFonts w:ascii="Verdana" w:eastAsia="Calibri" w:hAnsi="Verdana" w:cs="Arial"/>
          <w:color w:val="0070C0"/>
          <w:kern w:val="2"/>
          <w:shd w:val="clear" w:color="auto" w:fill="FFFFFF"/>
          <w:lang w:val="es-ES"/>
          <w14:ligatures w14:val="standardContextual"/>
        </w:rPr>
        <w:t>"</w:t>
      </w:r>
    </w:p>
    <w:p w14:paraId="31C78CCD" w14:textId="77777777" w:rsidR="00066311" w:rsidRPr="00E2182C" w:rsidRDefault="00066311" w:rsidP="00066311">
      <w:pPr>
        <w:widowControl w:val="0"/>
        <w:autoSpaceDE w:val="0"/>
        <w:autoSpaceDN w:val="0"/>
        <w:spacing w:after="0" w:line="276" w:lineRule="auto"/>
        <w:jc w:val="both"/>
        <w:rPr>
          <w:rFonts w:ascii="Verdana" w:eastAsia="Calibri" w:hAnsi="Verdana" w:cs="Arial"/>
          <w:shd w:val="clear" w:color="auto" w:fill="FFFFFF"/>
          <w:lang w:val="es-ES_tradnl"/>
        </w:rPr>
      </w:pPr>
    </w:p>
    <w:p w14:paraId="4F71616C" w14:textId="77777777" w:rsidR="00066311" w:rsidRPr="00E2182C" w:rsidRDefault="00066311" w:rsidP="00066311">
      <w:pPr>
        <w:spacing w:after="0" w:line="276" w:lineRule="auto"/>
        <w:jc w:val="both"/>
        <w:rPr>
          <w:rFonts w:ascii="Verdana" w:eastAsia="Calibri" w:hAnsi="Verdana" w:cs="Times New Roman"/>
          <w:lang w:val="es-ES_tradnl"/>
        </w:rPr>
      </w:pPr>
      <w:r w:rsidRPr="00E2182C">
        <w:rPr>
          <w:rFonts w:ascii="Verdana" w:eastAsia="Calibri" w:hAnsi="Verdana" w:cs="Times New Roman"/>
          <w:lang w:val="es-ES_tradnl"/>
        </w:rPr>
        <w:t xml:space="preserve">Por último, los invitamos a seguirnos en las redes sociales, en las cuales se difunde información institucional: </w:t>
      </w:r>
    </w:p>
    <w:p w14:paraId="4BB35AFA" w14:textId="77777777" w:rsidR="00066311" w:rsidRPr="00E2182C" w:rsidRDefault="00066311" w:rsidP="00066311">
      <w:pPr>
        <w:spacing w:after="0" w:line="240" w:lineRule="auto"/>
        <w:jc w:val="both"/>
        <w:rPr>
          <w:rFonts w:ascii="Verdana" w:eastAsia="Calibri" w:hAnsi="Verdana" w:cs="Times New Roman"/>
          <w:lang w:val="es-ES_tradnl"/>
        </w:rPr>
      </w:pPr>
    </w:p>
    <w:p w14:paraId="3AB6147E" w14:textId="77777777" w:rsidR="00066311" w:rsidRPr="00E2182C" w:rsidRDefault="00066311" w:rsidP="00066311">
      <w:pPr>
        <w:spacing w:after="0" w:line="240" w:lineRule="auto"/>
        <w:jc w:val="both"/>
        <w:rPr>
          <w:rFonts w:ascii="Verdana" w:eastAsia="Calibri" w:hAnsi="Verdana" w:cs="Times New Roman"/>
          <w:lang w:val="es-ES_tradnl"/>
        </w:rPr>
      </w:pPr>
      <w:r w:rsidRPr="00E2182C">
        <w:rPr>
          <w:rFonts w:ascii="Verdana" w:eastAsia="Calibri" w:hAnsi="Verdana" w:cs="Times New Roman"/>
          <w:lang w:val="es-ES_tradnl"/>
        </w:rPr>
        <w:t xml:space="preserve">Twitter: </w:t>
      </w:r>
      <w:r w:rsidRPr="00E2182C">
        <w:rPr>
          <w:rFonts w:ascii="Verdana" w:eastAsia="Calibri" w:hAnsi="Verdana" w:cs="Times New Roman"/>
          <w:u w:val="single"/>
          <w:lang w:val="es-ES_tradnl"/>
        </w:rPr>
        <w:t>@colombiacompra</w:t>
      </w:r>
      <w:r w:rsidRPr="00E2182C">
        <w:rPr>
          <w:rFonts w:ascii="Verdana" w:eastAsia="Calibri" w:hAnsi="Verdana" w:cs="Times New Roman"/>
          <w:lang w:val="es-ES_tradnl"/>
        </w:rPr>
        <w:t xml:space="preserve"> </w:t>
      </w:r>
    </w:p>
    <w:p w14:paraId="763D0049" w14:textId="77777777" w:rsidR="00066311" w:rsidRPr="00E2182C" w:rsidRDefault="00066311" w:rsidP="00066311">
      <w:pPr>
        <w:spacing w:after="0" w:line="240" w:lineRule="auto"/>
        <w:jc w:val="both"/>
        <w:rPr>
          <w:rFonts w:ascii="Verdana" w:eastAsia="Calibri" w:hAnsi="Verdana" w:cs="Times New Roman"/>
          <w:lang w:val="es-ES"/>
        </w:rPr>
      </w:pPr>
      <w:r w:rsidRPr="00E2182C">
        <w:rPr>
          <w:rFonts w:ascii="Verdana" w:eastAsia="Calibri" w:hAnsi="Verdana" w:cs="Times New Roman"/>
          <w:lang w:val="es-ES"/>
        </w:rPr>
        <w:t xml:space="preserve">Facebook: </w:t>
      </w:r>
      <w:proofErr w:type="spellStart"/>
      <w:r w:rsidRPr="00E2182C">
        <w:rPr>
          <w:rFonts w:ascii="Verdana" w:eastAsia="Calibri" w:hAnsi="Verdana" w:cs="Times New Roman"/>
          <w:u w:val="single"/>
          <w:lang w:val="es-ES"/>
        </w:rPr>
        <w:t>ColombiaCompraEficiente</w:t>
      </w:r>
      <w:proofErr w:type="spellEnd"/>
    </w:p>
    <w:p w14:paraId="1D40DA8C" w14:textId="77777777" w:rsidR="00066311" w:rsidRPr="00E2182C" w:rsidRDefault="00066311" w:rsidP="00066311">
      <w:pPr>
        <w:spacing w:after="0" w:line="240" w:lineRule="auto"/>
        <w:jc w:val="both"/>
        <w:rPr>
          <w:rFonts w:ascii="Verdana" w:eastAsia="Calibri" w:hAnsi="Verdana" w:cs="Times New Roman"/>
          <w:lang w:val="es-ES_tradnl"/>
        </w:rPr>
      </w:pPr>
      <w:r w:rsidRPr="00E2182C">
        <w:rPr>
          <w:rFonts w:ascii="Verdana" w:eastAsia="Calibri" w:hAnsi="Verdana" w:cs="Times New Roman"/>
          <w:lang w:val="es-ES_tradnl"/>
        </w:rPr>
        <w:t xml:space="preserve">LinkedIn: </w:t>
      </w:r>
      <w:r w:rsidRPr="00E2182C">
        <w:rPr>
          <w:rFonts w:ascii="Verdana" w:eastAsia="Calibri" w:hAnsi="Verdana" w:cs="Times New Roman"/>
          <w:u w:val="single"/>
          <w:lang w:val="es-ES_tradnl"/>
        </w:rPr>
        <w:t>Agencia Nacional de Contratación Pública - Colombia Compra Eficiente</w:t>
      </w:r>
      <w:r w:rsidRPr="00E2182C">
        <w:rPr>
          <w:rFonts w:ascii="Verdana" w:eastAsia="Calibri" w:hAnsi="Verdana" w:cs="Times New Roman"/>
          <w:lang w:val="es-ES_tradnl"/>
        </w:rPr>
        <w:t xml:space="preserve"> Instagram: </w:t>
      </w:r>
      <w:r w:rsidRPr="00E2182C">
        <w:rPr>
          <w:rFonts w:ascii="Verdana" w:eastAsia="Calibri" w:hAnsi="Verdana" w:cs="Times New Roman"/>
          <w:u w:val="single"/>
          <w:lang w:val="es-ES_tradnl"/>
        </w:rPr>
        <w:t>@colombiacompraeficiente_cce</w:t>
      </w:r>
    </w:p>
    <w:p w14:paraId="5C0CE13C" w14:textId="77777777" w:rsidR="00066311" w:rsidRPr="00E2182C" w:rsidRDefault="00066311" w:rsidP="00066311">
      <w:pPr>
        <w:widowControl w:val="0"/>
        <w:autoSpaceDE w:val="0"/>
        <w:autoSpaceDN w:val="0"/>
        <w:spacing w:after="0" w:line="276" w:lineRule="auto"/>
        <w:jc w:val="both"/>
        <w:rPr>
          <w:rFonts w:ascii="Verdana" w:eastAsia="Calibri" w:hAnsi="Verdana" w:cs="Arial"/>
          <w:lang w:val="es-ES_tradnl"/>
        </w:rPr>
      </w:pPr>
    </w:p>
    <w:p w14:paraId="7529935C" w14:textId="77777777" w:rsidR="00066311" w:rsidRPr="00E2182C" w:rsidRDefault="00066311" w:rsidP="00066311">
      <w:pPr>
        <w:widowControl w:val="0"/>
        <w:autoSpaceDE w:val="0"/>
        <w:autoSpaceDN w:val="0"/>
        <w:spacing w:after="0" w:line="276" w:lineRule="auto"/>
        <w:jc w:val="both"/>
        <w:rPr>
          <w:rFonts w:ascii="Verdana" w:eastAsia="Calibri" w:hAnsi="Verdana" w:cs="Arial"/>
          <w:lang w:val="es-ES_tradnl"/>
        </w:rPr>
      </w:pPr>
      <w:r w:rsidRPr="00E2182C">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7072516" w14:textId="77777777" w:rsidR="00066311" w:rsidRPr="00E2182C" w:rsidRDefault="00066311" w:rsidP="00066311">
      <w:pPr>
        <w:widowControl w:val="0"/>
        <w:autoSpaceDE w:val="0"/>
        <w:autoSpaceDN w:val="0"/>
        <w:spacing w:after="0" w:line="276" w:lineRule="auto"/>
        <w:jc w:val="both"/>
        <w:rPr>
          <w:rFonts w:ascii="Verdana" w:eastAsia="Calibri" w:hAnsi="Verdana" w:cs="Arial"/>
        </w:rPr>
      </w:pPr>
    </w:p>
    <w:p w14:paraId="48268FCA" w14:textId="77777777" w:rsidR="00066311" w:rsidRPr="00E2182C" w:rsidRDefault="00066311" w:rsidP="00066311">
      <w:pPr>
        <w:spacing w:after="0" w:line="240" w:lineRule="auto"/>
        <w:rPr>
          <w:rFonts w:ascii="Verdana" w:eastAsia="Calibri" w:hAnsi="Verdana" w:cs="Arial"/>
          <w:lang w:eastAsia="es-CO"/>
        </w:rPr>
      </w:pPr>
      <w:r w:rsidRPr="00E2182C">
        <w:rPr>
          <w:rFonts w:ascii="Verdana" w:eastAsia="Times New Roman" w:hAnsi="Verdana" w:cs="Arial"/>
          <w:lang w:eastAsia="es-CO"/>
        </w:rPr>
        <w:t>Atentamente,</w:t>
      </w:r>
      <w:r w:rsidRPr="00E2182C">
        <w:rPr>
          <w:rFonts w:ascii="Verdana" w:eastAsia="Calibri" w:hAnsi="Verdana" w:cs="Arial"/>
          <w:lang w:eastAsia="es-CO"/>
        </w:rPr>
        <w:t xml:space="preserve"> </w:t>
      </w:r>
    </w:p>
    <w:p w14:paraId="0A670736" w14:textId="20DF1F22" w:rsidR="00066311" w:rsidRPr="00E2182C" w:rsidRDefault="002D32F2" w:rsidP="00066311">
      <w:pPr>
        <w:spacing w:line="276" w:lineRule="auto"/>
        <w:jc w:val="center"/>
        <w:rPr>
          <w:rFonts w:ascii="Verdana" w:eastAsia="Calibri" w:hAnsi="Verdana" w:cs="Arial"/>
          <w:lang w:val="es-ES_tradnl" w:eastAsia="es-CO"/>
        </w:rPr>
      </w:pPr>
      <w:r w:rsidRPr="004D5C25">
        <w:rPr>
          <w:rFonts w:ascii="Century Gothic" w:hAnsi="Century Gothic"/>
          <w:noProof/>
        </w:rPr>
        <w:drawing>
          <wp:inline distT="0" distB="0" distL="0" distR="0" wp14:anchorId="2ABA169F" wp14:editId="2158283F">
            <wp:extent cx="2672484" cy="1147313"/>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681162" cy="11510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66311" w:rsidRPr="00E2182C" w14:paraId="04137312" w14:textId="77777777" w:rsidTr="009F6C81">
        <w:trPr>
          <w:trHeight w:val="315"/>
        </w:trPr>
        <w:tc>
          <w:tcPr>
            <w:tcW w:w="893" w:type="dxa"/>
            <w:vAlign w:val="center"/>
            <w:hideMark/>
          </w:tcPr>
          <w:p w14:paraId="2D8C5964" w14:textId="77777777" w:rsidR="00066311" w:rsidRPr="00E2182C" w:rsidRDefault="00066311" w:rsidP="009F6C81">
            <w:pPr>
              <w:rPr>
                <w:rFonts w:ascii="Verdana" w:eastAsia="Calibri" w:hAnsi="Verdana" w:cs="Arial"/>
                <w:sz w:val="16"/>
                <w:szCs w:val="16"/>
                <w:lang w:val="es-ES" w:eastAsia="es-ES"/>
              </w:rPr>
            </w:pPr>
            <w:r w:rsidRPr="00E2182C">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C4E22B2" w14:textId="77777777" w:rsidR="00066311" w:rsidRPr="00E2182C" w:rsidRDefault="00066311" w:rsidP="009F6C81">
            <w:pPr>
              <w:rPr>
                <w:rFonts w:ascii="Verdana" w:eastAsia="Arial" w:hAnsi="Verdana" w:cs="Arial"/>
                <w:sz w:val="16"/>
                <w:szCs w:val="16"/>
              </w:rPr>
            </w:pPr>
            <w:r>
              <w:rPr>
                <w:rFonts w:ascii="Verdana" w:eastAsia="Arial" w:hAnsi="Verdana" w:cs="Arial"/>
                <w:sz w:val="16"/>
                <w:szCs w:val="16"/>
              </w:rPr>
              <w:t xml:space="preserve">Carlos Mario </w:t>
            </w:r>
            <w:proofErr w:type="spellStart"/>
            <w:r>
              <w:rPr>
                <w:rFonts w:ascii="Verdana" w:eastAsia="Arial" w:hAnsi="Verdana" w:cs="Arial"/>
                <w:sz w:val="16"/>
                <w:szCs w:val="16"/>
              </w:rPr>
              <w:t>Castrillon</w:t>
            </w:r>
            <w:proofErr w:type="spellEnd"/>
            <w:r>
              <w:rPr>
                <w:rFonts w:ascii="Verdana" w:eastAsia="Arial" w:hAnsi="Verdana" w:cs="Arial"/>
                <w:sz w:val="16"/>
                <w:szCs w:val="16"/>
              </w:rPr>
              <w:t xml:space="preserve"> Endo</w:t>
            </w:r>
          </w:p>
          <w:p w14:paraId="5C9610E8" w14:textId="77777777" w:rsidR="00066311" w:rsidRPr="00E2182C" w:rsidRDefault="00066311" w:rsidP="009F6C81">
            <w:pPr>
              <w:rPr>
                <w:rFonts w:ascii="Verdana" w:eastAsia="Arial" w:hAnsi="Verdana" w:cs="Arial"/>
                <w:sz w:val="16"/>
                <w:szCs w:val="16"/>
              </w:rPr>
            </w:pPr>
            <w:r w:rsidRPr="00E2182C">
              <w:rPr>
                <w:rFonts w:ascii="Verdana" w:eastAsia="Arial" w:hAnsi="Verdana" w:cs="Arial"/>
                <w:sz w:val="16"/>
                <w:szCs w:val="16"/>
              </w:rPr>
              <w:t>Contratista de la Subdirección de Gestión Contractual</w:t>
            </w:r>
          </w:p>
        </w:tc>
      </w:tr>
      <w:tr w:rsidR="00066311" w:rsidRPr="00E2182C" w14:paraId="03F2D3AD" w14:textId="77777777" w:rsidTr="009F6C81">
        <w:trPr>
          <w:trHeight w:val="330"/>
        </w:trPr>
        <w:tc>
          <w:tcPr>
            <w:tcW w:w="893" w:type="dxa"/>
            <w:vAlign w:val="center"/>
            <w:hideMark/>
          </w:tcPr>
          <w:p w14:paraId="79322465" w14:textId="77777777" w:rsidR="00066311" w:rsidRPr="00E2182C" w:rsidRDefault="00066311" w:rsidP="009F6C81">
            <w:pPr>
              <w:rPr>
                <w:rFonts w:ascii="Verdana" w:eastAsia="Calibri" w:hAnsi="Verdana" w:cs="Arial"/>
                <w:sz w:val="16"/>
                <w:szCs w:val="16"/>
                <w:lang w:val="es-ES" w:eastAsia="es-ES"/>
              </w:rPr>
            </w:pPr>
            <w:r w:rsidRPr="00E2182C">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3AB3300" w14:textId="77777777" w:rsidR="00066311" w:rsidRPr="00963E27" w:rsidRDefault="00066311" w:rsidP="009F6C81">
            <w:pPr>
              <w:textAlignment w:val="baseline"/>
              <w:rPr>
                <w:rFonts w:ascii="Verdana" w:eastAsia="Arial" w:hAnsi="Verdana" w:cs="Arial"/>
                <w:sz w:val="16"/>
                <w:szCs w:val="16"/>
              </w:rPr>
            </w:pPr>
            <w:r w:rsidRPr="00963E27">
              <w:rPr>
                <w:rFonts w:ascii="Verdana" w:eastAsia="Arial" w:hAnsi="Verdana" w:cs="Arial"/>
                <w:sz w:val="16"/>
                <w:szCs w:val="16"/>
              </w:rPr>
              <w:t>Alejandro Gamboa Cárdenas</w:t>
            </w:r>
          </w:p>
          <w:p w14:paraId="29D047AA" w14:textId="77777777" w:rsidR="00066311" w:rsidRDefault="00066311" w:rsidP="009F6C81">
            <w:pPr>
              <w:textAlignment w:val="baseline"/>
              <w:rPr>
                <w:rFonts w:ascii="Verdana" w:eastAsia="Times New Roman" w:hAnsi="Verdana" w:cs="Segoe UI"/>
                <w:sz w:val="16"/>
                <w:szCs w:val="16"/>
                <w:lang w:eastAsia="es-ES_tradnl"/>
              </w:rPr>
            </w:pPr>
            <w:r w:rsidRPr="00E2182C">
              <w:rPr>
                <w:rFonts w:ascii="Verdana" w:eastAsia="Arial" w:hAnsi="Verdana" w:cs="Arial"/>
                <w:sz w:val="16"/>
                <w:szCs w:val="16"/>
              </w:rPr>
              <w:t>Contratista de la Subdirección de Gestión Contractual</w:t>
            </w:r>
          </w:p>
          <w:p w14:paraId="365A153B" w14:textId="77777777" w:rsidR="00066311" w:rsidRPr="00E2182C" w:rsidRDefault="00066311" w:rsidP="009F6C81">
            <w:pPr>
              <w:textAlignment w:val="baseline"/>
              <w:rPr>
                <w:rFonts w:ascii="Verdana" w:eastAsia="Times New Roman" w:hAnsi="Verdana" w:cs="Segoe UI"/>
                <w:sz w:val="16"/>
                <w:szCs w:val="16"/>
                <w:lang w:eastAsia="es-ES_tradnl"/>
              </w:rPr>
            </w:pPr>
            <w:r w:rsidRPr="00E2182C">
              <w:rPr>
                <w:rFonts w:ascii="Verdana" w:eastAsia="Times New Roman" w:hAnsi="Verdana" w:cs="Segoe UI"/>
                <w:sz w:val="16"/>
                <w:szCs w:val="16"/>
                <w:lang w:eastAsia="es-ES_tradnl"/>
              </w:rPr>
              <w:t>Juan David Cárdenas Cabeza</w:t>
            </w:r>
          </w:p>
          <w:p w14:paraId="38ED556C" w14:textId="77777777" w:rsidR="00066311" w:rsidRPr="00E2182C" w:rsidRDefault="00066311" w:rsidP="009F6C81">
            <w:pPr>
              <w:textAlignment w:val="baseline"/>
              <w:rPr>
                <w:rFonts w:ascii="Verdana" w:eastAsia="Times New Roman" w:hAnsi="Verdana" w:cs="Segoe UI"/>
                <w:sz w:val="16"/>
                <w:szCs w:val="16"/>
                <w:lang w:eastAsia="es-ES_tradnl"/>
              </w:rPr>
            </w:pPr>
            <w:r w:rsidRPr="00E2182C">
              <w:rPr>
                <w:rFonts w:ascii="Verdana" w:eastAsia="Times New Roman" w:hAnsi="Verdana" w:cs="Arial"/>
                <w:sz w:val="16"/>
                <w:szCs w:val="16"/>
                <w:lang w:val="es-ES" w:eastAsia="es-ES_tradnl"/>
              </w:rPr>
              <w:t>Contratista de la Subdirección de Gestión Contractual</w:t>
            </w:r>
            <w:r w:rsidRPr="00E2182C">
              <w:rPr>
                <w:rFonts w:ascii="Verdana" w:eastAsia="Times New Roman" w:hAnsi="Verdana" w:cs="Arial"/>
                <w:sz w:val="16"/>
                <w:szCs w:val="16"/>
                <w:lang w:eastAsia="es-ES_tradnl"/>
              </w:rPr>
              <w:t> </w:t>
            </w:r>
          </w:p>
        </w:tc>
      </w:tr>
      <w:tr w:rsidR="00066311" w:rsidRPr="00E2182C" w14:paraId="6BD781F4" w14:textId="77777777" w:rsidTr="009F6C81">
        <w:trPr>
          <w:trHeight w:val="300"/>
        </w:trPr>
        <w:tc>
          <w:tcPr>
            <w:tcW w:w="893" w:type="dxa"/>
            <w:vAlign w:val="center"/>
          </w:tcPr>
          <w:p w14:paraId="15AF333F" w14:textId="77777777" w:rsidR="00066311" w:rsidRPr="00E2182C" w:rsidRDefault="00066311" w:rsidP="009F6C81">
            <w:pPr>
              <w:rPr>
                <w:rFonts w:ascii="Verdana" w:eastAsia="Calibri" w:hAnsi="Verdana" w:cs="Arial"/>
                <w:sz w:val="16"/>
                <w:szCs w:val="16"/>
                <w:lang w:val="es-ES" w:eastAsia="es-ES"/>
              </w:rPr>
            </w:pPr>
            <w:r w:rsidRPr="00E2182C">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D4DAF7B" w14:textId="77777777" w:rsidR="00066311" w:rsidRPr="00E2182C" w:rsidRDefault="00066311" w:rsidP="009F6C81">
            <w:pPr>
              <w:rPr>
                <w:rFonts w:ascii="Verdana" w:eastAsia="Calibri" w:hAnsi="Verdana" w:cs="Arial"/>
                <w:sz w:val="16"/>
                <w:szCs w:val="16"/>
                <w:lang w:val="pt-BR" w:eastAsia="es-ES"/>
              </w:rPr>
            </w:pPr>
            <w:r w:rsidRPr="00E2182C">
              <w:rPr>
                <w:rFonts w:ascii="Verdana" w:eastAsia="Calibri" w:hAnsi="Verdana" w:cs="Arial"/>
                <w:sz w:val="16"/>
                <w:szCs w:val="16"/>
                <w:lang w:val="pt-BR" w:eastAsia="es-ES"/>
              </w:rPr>
              <w:t xml:space="preserve">Carolina Quintero </w:t>
            </w:r>
            <w:proofErr w:type="spellStart"/>
            <w:r w:rsidRPr="00E2182C">
              <w:rPr>
                <w:rFonts w:ascii="Verdana" w:eastAsia="Calibri" w:hAnsi="Verdana" w:cs="Arial"/>
                <w:sz w:val="16"/>
                <w:szCs w:val="16"/>
                <w:lang w:val="pt-BR" w:eastAsia="es-ES"/>
              </w:rPr>
              <w:t>Gacharná</w:t>
            </w:r>
            <w:proofErr w:type="spellEnd"/>
          </w:p>
          <w:p w14:paraId="2851F959" w14:textId="77777777" w:rsidR="00066311" w:rsidRPr="00E2182C" w:rsidRDefault="00066311" w:rsidP="009F6C81">
            <w:pPr>
              <w:rPr>
                <w:rFonts w:ascii="Verdana" w:eastAsia="Calibri" w:hAnsi="Verdana" w:cs="Arial"/>
                <w:sz w:val="16"/>
                <w:szCs w:val="16"/>
                <w:lang w:val="pt-BR" w:eastAsia="es-ES"/>
              </w:rPr>
            </w:pPr>
            <w:r w:rsidRPr="00E2182C">
              <w:rPr>
                <w:rFonts w:ascii="Verdana" w:eastAsia="Calibri" w:hAnsi="Verdana" w:cs="Arial"/>
                <w:sz w:val="16"/>
                <w:szCs w:val="16"/>
                <w:lang w:eastAsia="es-ES"/>
              </w:rPr>
              <w:t>Subdirectora</w:t>
            </w:r>
            <w:r w:rsidRPr="00E2182C">
              <w:rPr>
                <w:rFonts w:ascii="Verdana" w:eastAsia="Calibri" w:hAnsi="Verdana" w:cs="Arial"/>
                <w:sz w:val="16"/>
                <w:szCs w:val="16"/>
                <w:lang w:val="pt-BR" w:eastAsia="es-ES"/>
              </w:rPr>
              <w:t xml:space="preserve"> de Gestión </w:t>
            </w:r>
            <w:proofErr w:type="spellStart"/>
            <w:r w:rsidRPr="00E2182C">
              <w:rPr>
                <w:rFonts w:ascii="Verdana" w:eastAsia="Calibri" w:hAnsi="Verdana" w:cs="Arial"/>
                <w:sz w:val="16"/>
                <w:szCs w:val="16"/>
                <w:lang w:val="pt-BR" w:eastAsia="es-ES"/>
              </w:rPr>
              <w:t>Contractual</w:t>
            </w:r>
            <w:proofErr w:type="spellEnd"/>
            <w:r w:rsidRPr="00E2182C">
              <w:rPr>
                <w:rFonts w:ascii="Verdana" w:eastAsia="Calibri" w:hAnsi="Verdana" w:cs="Arial"/>
                <w:sz w:val="16"/>
                <w:szCs w:val="16"/>
                <w:lang w:val="pt-BR" w:eastAsia="es-ES"/>
              </w:rPr>
              <w:t xml:space="preserve"> ANCP – CCE</w:t>
            </w:r>
          </w:p>
        </w:tc>
      </w:tr>
    </w:tbl>
    <w:p w14:paraId="45A15770" w14:textId="77777777" w:rsidR="00066311" w:rsidRPr="00E2182C" w:rsidRDefault="00066311" w:rsidP="00066311">
      <w:pPr>
        <w:spacing w:after="0"/>
        <w:rPr>
          <w:rFonts w:ascii="Verdana" w:eastAsia="Calibri" w:hAnsi="Verdana" w:cs="Times New Roman"/>
        </w:rPr>
      </w:pPr>
    </w:p>
    <w:bookmarkEnd w:id="0"/>
    <w:p w14:paraId="59A44FCF" w14:textId="77777777" w:rsidR="00066311" w:rsidRDefault="00066311" w:rsidP="00066311"/>
    <w:p w14:paraId="3900974D" w14:textId="77777777" w:rsidR="003D5B0D" w:rsidRPr="00D70FD4" w:rsidRDefault="003D5B0D" w:rsidP="00D70FD4"/>
    <w:sectPr w:rsidR="003D5B0D" w:rsidRPr="00D70FD4"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39902" w14:textId="77777777" w:rsidR="000C436E" w:rsidRDefault="000C436E" w:rsidP="004A1847">
      <w:pPr>
        <w:spacing w:after="0" w:line="240" w:lineRule="auto"/>
      </w:pPr>
      <w:r>
        <w:separator/>
      </w:r>
    </w:p>
  </w:endnote>
  <w:endnote w:type="continuationSeparator" w:id="0">
    <w:p w14:paraId="6630F4AD" w14:textId="77777777" w:rsidR="000C436E" w:rsidRDefault="000C436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w:altName w:val="Arial"/>
    <w:charset w:val="00"/>
    <w:family w:val="auto"/>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25AE0" w14:textId="77777777" w:rsidR="000C436E" w:rsidRDefault="000C436E" w:rsidP="004A1847">
      <w:pPr>
        <w:spacing w:after="0" w:line="240" w:lineRule="auto"/>
      </w:pPr>
      <w:r>
        <w:separator/>
      </w:r>
    </w:p>
  </w:footnote>
  <w:footnote w:type="continuationSeparator" w:id="0">
    <w:p w14:paraId="1FECF3C2" w14:textId="77777777" w:rsidR="000C436E" w:rsidRDefault="000C436E" w:rsidP="004A1847">
      <w:pPr>
        <w:spacing w:after="0" w:line="240" w:lineRule="auto"/>
      </w:pPr>
      <w:r>
        <w:continuationSeparator/>
      </w:r>
    </w:p>
  </w:footnote>
  <w:footnote w:id="1">
    <w:p w14:paraId="50D6B3B7" w14:textId="77777777" w:rsidR="00066311" w:rsidRPr="00080A1E" w:rsidRDefault="00066311" w:rsidP="00066311">
      <w:pPr>
        <w:pStyle w:val="Textonotapie"/>
        <w:ind w:firstLine="708"/>
        <w:rPr>
          <w:rFonts w:ascii="Verdana" w:hAnsi="Verdana"/>
          <w:sz w:val="18"/>
          <w:szCs w:val="18"/>
          <w:lang w:val="es-ES_tradnl"/>
        </w:rPr>
      </w:pPr>
      <w:r w:rsidRPr="00080A1E">
        <w:rPr>
          <w:rStyle w:val="Refdenotaalpie"/>
          <w:rFonts w:ascii="Verdana" w:hAnsi="Verdana"/>
          <w:sz w:val="18"/>
          <w:szCs w:val="18"/>
        </w:rPr>
        <w:footnoteRef/>
      </w:r>
      <w:r w:rsidRPr="00080A1E">
        <w:rPr>
          <w:rFonts w:ascii="Verdana" w:hAnsi="Verdana"/>
          <w:sz w:val="18"/>
          <w:szCs w:val="18"/>
        </w:rPr>
        <w:t xml:space="preserve"> </w:t>
      </w:r>
      <w:r w:rsidRPr="00080A1E">
        <w:rPr>
          <w:rFonts w:ascii="Verdana" w:hAnsi="Verdana"/>
          <w:sz w:val="18"/>
          <w:szCs w:val="18"/>
          <w:lang w:val="es-ES_tradnl"/>
        </w:rPr>
        <w:t xml:space="preserve">Esta tesis se expuso por la Agencia Nacional de Contratación Pública – Colombia Compra Eficiente en el concepto C-013 del 17 de febrero de 2022. </w:t>
      </w:r>
    </w:p>
  </w:footnote>
  <w:footnote w:id="2">
    <w:p w14:paraId="57B964FF" w14:textId="77777777" w:rsidR="00066311" w:rsidRPr="00080A1E" w:rsidRDefault="00066311" w:rsidP="00066311">
      <w:pPr>
        <w:pStyle w:val="Textonotapie"/>
        <w:ind w:firstLine="708"/>
        <w:jc w:val="both"/>
        <w:rPr>
          <w:rFonts w:ascii="Verdana" w:hAnsi="Verdana"/>
          <w:sz w:val="18"/>
          <w:szCs w:val="18"/>
          <w:lang w:val="es-ES_tradnl"/>
        </w:rPr>
      </w:pPr>
      <w:r w:rsidRPr="00080A1E">
        <w:rPr>
          <w:rStyle w:val="Refdenotaalpie"/>
          <w:rFonts w:ascii="Verdana" w:hAnsi="Verdana"/>
          <w:sz w:val="18"/>
          <w:szCs w:val="18"/>
        </w:rPr>
        <w:footnoteRef/>
      </w:r>
      <w:r w:rsidRPr="00080A1E">
        <w:rPr>
          <w:rFonts w:ascii="Verdana" w:hAnsi="Verdana"/>
          <w:sz w:val="18"/>
          <w:szCs w:val="18"/>
        </w:rPr>
        <w:t xml:space="preserve"> </w:t>
      </w:r>
      <w:r w:rsidRPr="00080A1E">
        <w:rPr>
          <w:rFonts w:ascii="Verdana" w:hAnsi="Verdana"/>
          <w:sz w:val="18"/>
          <w:szCs w:val="18"/>
          <w:lang w:val="es-ES_tradnl"/>
        </w:rPr>
        <w:t xml:space="preserve">Radicado de entrada No. </w:t>
      </w:r>
      <w:r w:rsidRPr="00080A1E">
        <w:rPr>
          <w:rFonts w:ascii="Verdana" w:hAnsi="Verdana" w:cs="Arial"/>
          <w:sz w:val="18"/>
          <w:szCs w:val="18"/>
        </w:rPr>
        <w:t xml:space="preserve">P20240509004892 del 9 de mayo de 2024, contestado mediante el radicado de salida No. RS2024062009041. </w:t>
      </w:r>
    </w:p>
  </w:footnote>
  <w:footnote w:id="3">
    <w:p w14:paraId="7E646B97" w14:textId="77777777" w:rsidR="00066311" w:rsidRPr="00080A1E" w:rsidRDefault="00066311" w:rsidP="00066311">
      <w:pPr>
        <w:pStyle w:val="Textonotapie"/>
        <w:ind w:firstLine="708"/>
        <w:jc w:val="both"/>
        <w:rPr>
          <w:rFonts w:ascii="Verdana" w:eastAsia="Calibri" w:hAnsi="Verdana" w:cs="Arial"/>
          <w:color w:val="000000" w:themeColor="text1"/>
          <w:sz w:val="18"/>
          <w:szCs w:val="18"/>
        </w:rPr>
      </w:pPr>
      <w:r w:rsidRPr="00080A1E">
        <w:rPr>
          <w:rStyle w:val="Refdenotaalpie"/>
          <w:rFonts w:ascii="Verdana" w:hAnsi="Verdana" w:cs="Arial"/>
          <w:color w:val="000000" w:themeColor="text1"/>
          <w:sz w:val="18"/>
          <w:szCs w:val="18"/>
        </w:rPr>
        <w:footnoteRef/>
      </w:r>
      <w:r w:rsidRPr="00080A1E">
        <w:rPr>
          <w:rFonts w:ascii="Verdana" w:hAnsi="Verdana" w:cs="Arial"/>
          <w:color w:val="000000" w:themeColor="text1"/>
          <w:sz w:val="18"/>
          <w:szCs w:val="18"/>
        </w:rPr>
        <w:t xml:space="preserve"> </w:t>
      </w:r>
      <w:r w:rsidRPr="00080A1E">
        <w:rPr>
          <w:rFonts w:ascii="Verdana" w:eastAsia="Calibri" w:hAnsi="Verdana"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6D8081B4" w14:textId="77777777" w:rsidR="00066311" w:rsidRPr="00080A1E" w:rsidRDefault="00066311" w:rsidP="00066311">
      <w:pPr>
        <w:pStyle w:val="Textonotapie"/>
        <w:ind w:firstLine="708"/>
        <w:jc w:val="both"/>
        <w:rPr>
          <w:rFonts w:ascii="Verdana" w:eastAsia="Calibri" w:hAnsi="Verdana" w:cs="Arial"/>
          <w:color w:val="000000" w:themeColor="text1"/>
          <w:sz w:val="18"/>
          <w:szCs w:val="18"/>
        </w:rPr>
      </w:pPr>
      <w:r w:rsidRPr="00080A1E">
        <w:rPr>
          <w:rFonts w:ascii="Verdana" w:eastAsia="Calibri" w:hAnsi="Verdana" w:cs="Arial"/>
          <w:color w:val="000000" w:themeColor="text1"/>
          <w:sz w:val="18"/>
          <w:szCs w:val="18"/>
        </w:rPr>
        <w:t>[…]</w:t>
      </w:r>
    </w:p>
    <w:p w14:paraId="75FCCE59" w14:textId="77777777" w:rsidR="00066311" w:rsidRPr="00080A1E" w:rsidRDefault="00066311" w:rsidP="00066311">
      <w:pPr>
        <w:pStyle w:val="Textonotapie"/>
        <w:ind w:firstLine="708"/>
        <w:jc w:val="both"/>
        <w:rPr>
          <w:rFonts w:ascii="Verdana" w:hAnsi="Verdana" w:cs="Arial"/>
          <w:color w:val="000000" w:themeColor="text1"/>
          <w:sz w:val="18"/>
          <w:szCs w:val="18"/>
          <w:lang w:val="es-CO"/>
        </w:rPr>
      </w:pPr>
      <w:r w:rsidRPr="00080A1E">
        <w:rPr>
          <w:rFonts w:ascii="Verdana" w:eastAsia="Calibri" w:hAnsi="Verdana" w:cs="Arial"/>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080A1E">
        <w:rPr>
          <w:rFonts w:ascii="Verdana" w:hAnsi="Verdana" w:cs="Arial"/>
          <w:color w:val="000000" w:themeColor="text1"/>
          <w:sz w:val="18"/>
          <w:szCs w:val="18"/>
          <w:lang w:val="es-CO"/>
        </w:rPr>
        <w:t xml:space="preserve"> </w:t>
      </w:r>
    </w:p>
  </w:footnote>
  <w:footnote w:id="4">
    <w:p w14:paraId="7E852530" w14:textId="77777777" w:rsidR="00066311" w:rsidRPr="00080A1E" w:rsidRDefault="00066311" w:rsidP="00066311">
      <w:pPr>
        <w:pStyle w:val="Textonotapie"/>
        <w:ind w:firstLine="708"/>
        <w:jc w:val="both"/>
        <w:rPr>
          <w:rFonts w:ascii="Verdana" w:hAnsi="Verdana" w:cs="Arial"/>
          <w:color w:val="000000" w:themeColor="text1"/>
          <w:sz w:val="18"/>
          <w:szCs w:val="18"/>
          <w:lang w:val="es-CO"/>
        </w:rPr>
      </w:pPr>
      <w:r w:rsidRPr="00080A1E">
        <w:rPr>
          <w:rFonts w:ascii="Verdana" w:eastAsia="Calibri" w:hAnsi="Verdana" w:cs="Arial"/>
          <w:color w:val="000000" w:themeColor="text1"/>
          <w:sz w:val="18"/>
          <w:szCs w:val="18"/>
          <w:vertAlign w:val="superscript"/>
        </w:rPr>
        <w:footnoteRef/>
      </w:r>
      <w:r w:rsidRPr="00080A1E">
        <w:rPr>
          <w:rFonts w:ascii="Verdana" w:eastAsia="Calibri" w:hAnsi="Verdana" w:cs="Arial"/>
          <w:color w:val="000000" w:themeColor="text1"/>
          <w:sz w:val="18"/>
          <w:szCs w:val="18"/>
          <w:vertAlign w:val="superscript"/>
        </w:rPr>
        <w:t xml:space="preserve"> </w:t>
      </w:r>
      <w:r w:rsidRPr="00080A1E">
        <w:rPr>
          <w:rFonts w:ascii="Verdana" w:eastAsia="Calibri" w:hAnsi="Verdana" w:cs="Arial"/>
          <w:color w:val="000000" w:themeColor="text1"/>
          <w:sz w:val="18"/>
          <w:szCs w:val="18"/>
        </w:rPr>
        <w:t xml:space="preserve">Consejo de Estado. Sección Tercera. Sentencia del 26 de junio de 2003. Rad. 13.354. C.P: María Elena Giraldo Gómez. </w:t>
      </w:r>
    </w:p>
  </w:footnote>
  <w:footnote w:id="5">
    <w:p w14:paraId="54F0A230" w14:textId="77777777" w:rsidR="00066311" w:rsidRPr="00080A1E" w:rsidRDefault="00066311" w:rsidP="00066311">
      <w:pPr>
        <w:pStyle w:val="NormalWeb"/>
        <w:shd w:val="clear" w:color="auto" w:fill="FFFFFF"/>
        <w:spacing w:after="0"/>
        <w:ind w:firstLine="708"/>
        <w:jc w:val="both"/>
        <w:rPr>
          <w:rFonts w:ascii="Verdana" w:hAnsi="Verdana" w:cs="Arial"/>
          <w:sz w:val="18"/>
          <w:szCs w:val="18"/>
        </w:rPr>
      </w:pPr>
      <w:r w:rsidRPr="00080A1E">
        <w:rPr>
          <w:rStyle w:val="Refdenotaalpie"/>
          <w:rFonts w:ascii="Verdana" w:hAnsi="Verdana" w:cs="Arial"/>
          <w:sz w:val="18"/>
          <w:szCs w:val="18"/>
          <w:lang w:val="es-MX"/>
        </w:rPr>
        <w:footnoteRef/>
      </w:r>
      <w:r w:rsidRPr="00080A1E">
        <w:rPr>
          <w:rStyle w:val="Refdenotaalpie"/>
          <w:rFonts w:ascii="Verdana" w:hAnsi="Verdana" w:cs="Arial"/>
          <w:sz w:val="18"/>
          <w:szCs w:val="18"/>
          <w:lang w:val="es-MX"/>
        </w:rPr>
        <w:t xml:space="preserve"> </w:t>
      </w:r>
      <w:r w:rsidRPr="00080A1E">
        <w:rPr>
          <w:rFonts w:ascii="Verdana" w:hAnsi="Verdana" w:cs="Arial"/>
          <w:sz w:val="18"/>
          <w:szCs w:val="18"/>
        </w:rPr>
        <w:t>“Artículo 2.2.1.1.1.6.4. Capacidad Residual: El interesado en celebrar contratos de obra pública con Entidades Estatales debe acreditar su Capacidad Residual o K de Contratación con los siguientes documentos:</w:t>
      </w:r>
    </w:p>
    <w:p w14:paraId="2E8B001A" w14:textId="77777777" w:rsidR="00066311" w:rsidRPr="00080A1E" w:rsidRDefault="00066311" w:rsidP="00066311">
      <w:pPr>
        <w:shd w:val="clear" w:color="auto" w:fill="FFFFFF"/>
        <w:ind w:firstLine="708"/>
        <w:jc w:val="both"/>
        <w:rPr>
          <w:rFonts w:ascii="Verdana" w:hAnsi="Verdana" w:cs="Arial"/>
          <w:sz w:val="18"/>
          <w:szCs w:val="18"/>
        </w:rPr>
      </w:pPr>
      <w:r w:rsidRPr="00080A1E">
        <w:rPr>
          <w:rFonts w:ascii="Verdana" w:hAnsi="Verdana"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258FB82B" w14:textId="77777777" w:rsidR="00066311" w:rsidRPr="00080A1E" w:rsidRDefault="00066311" w:rsidP="00066311">
      <w:pPr>
        <w:shd w:val="clear" w:color="auto" w:fill="FFFFFF"/>
        <w:ind w:firstLine="708"/>
        <w:jc w:val="both"/>
        <w:rPr>
          <w:rFonts w:ascii="Verdana" w:hAnsi="Verdana" w:cs="Arial"/>
          <w:sz w:val="18"/>
          <w:szCs w:val="18"/>
        </w:rPr>
      </w:pPr>
      <w:r w:rsidRPr="00080A1E">
        <w:rPr>
          <w:rFonts w:ascii="Verdana" w:hAnsi="Verdana" w:cs="Arial"/>
          <w:sz w:val="18"/>
          <w:szCs w:val="18"/>
        </w:rPr>
        <w:t>2. </w:t>
      </w:r>
      <w:r w:rsidRPr="00080A1E">
        <w:rPr>
          <w:rFonts w:ascii="Verdana" w:hAnsi="Verdana" w:cs="Arial"/>
          <w:i/>
          <w:iCs/>
          <w:sz w:val="18"/>
          <w:szCs w:val="18"/>
        </w:rPr>
        <w:t>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r w:rsidRPr="00080A1E">
        <w:rPr>
          <w:rFonts w:ascii="Verdana" w:hAnsi="Verdana" w:cs="Arial"/>
          <w:sz w:val="18"/>
          <w:szCs w:val="18"/>
        </w:rPr>
        <w:t>.</w:t>
      </w:r>
    </w:p>
    <w:p w14:paraId="1599117B" w14:textId="77777777" w:rsidR="00066311" w:rsidRPr="00080A1E" w:rsidRDefault="00066311" w:rsidP="00066311">
      <w:pPr>
        <w:shd w:val="clear" w:color="auto" w:fill="FFFFFF"/>
        <w:ind w:firstLine="708"/>
        <w:jc w:val="both"/>
        <w:rPr>
          <w:rFonts w:ascii="Verdana" w:hAnsi="Verdana" w:cs="Arial"/>
          <w:sz w:val="18"/>
          <w:szCs w:val="18"/>
        </w:rPr>
      </w:pPr>
      <w:r w:rsidRPr="00080A1E">
        <w:rPr>
          <w:rFonts w:ascii="Verdana" w:hAnsi="Verdana"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 (Énfasis fuera de texto).</w:t>
      </w:r>
    </w:p>
  </w:footnote>
  <w:footnote w:id="6">
    <w:p w14:paraId="2C405694" w14:textId="77777777" w:rsidR="00066311" w:rsidRPr="00080A1E" w:rsidRDefault="00066311" w:rsidP="00066311">
      <w:pPr>
        <w:pStyle w:val="NormalWeb"/>
        <w:shd w:val="clear" w:color="auto" w:fill="FFFFFF"/>
        <w:ind w:firstLine="708"/>
        <w:jc w:val="both"/>
        <w:rPr>
          <w:rFonts w:ascii="Verdana" w:hAnsi="Verdana" w:cs="Arial"/>
          <w:sz w:val="18"/>
          <w:szCs w:val="18"/>
        </w:rPr>
      </w:pPr>
      <w:r w:rsidRPr="00080A1E">
        <w:rPr>
          <w:rStyle w:val="Refdenotaalpie"/>
          <w:rFonts w:ascii="Verdana" w:hAnsi="Verdana" w:cs="Arial"/>
          <w:sz w:val="18"/>
          <w:szCs w:val="18"/>
        </w:rPr>
        <w:footnoteRef/>
      </w:r>
      <w:r w:rsidRPr="00080A1E">
        <w:rPr>
          <w:rFonts w:ascii="Verdana" w:hAnsi="Verdana" w:cs="Arial"/>
          <w:sz w:val="18"/>
          <w:szCs w:val="18"/>
        </w:rPr>
        <w:t xml:space="preserve"> Agencia Nacional de Contratación Pública – Colombia Compra Eficiente. </w:t>
      </w:r>
      <w:r w:rsidRPr="00080A1E">
        <w:rPr>
          <w:rFonts w:ascii="Verdana" w:hAnsi="Verdana" w:cs="Arial"/>
          <w:sz w:val="18"/>
          <w:szCs w:val="18"/>
          <w:lang w:val="es-ES"/>
        </w:rPr>
        <w:t>Concepto C-017 de 2023.</w:t>
      </w:r>
    </w:p>
  </w:footnote>
  <w:footnote w:id="7">
    <w:p w14:paraId="3B463CC4" w14:textId="77777777" w:rsidR="00066311" w:rsidRPr="00080A1E" w:rsidRDefault="00066311" w:rsidP="00066311">
      <w:pPr>
        <w:pStyle w:val="Textonotapie"/>
        <w:ind w:firstLine="708"/>
        <w:rPr>
          <w:rFonts w:ascii="Verdana" w:hAnsi="Verdana"/>
          <w:sz w:val="18"/>
          <w:szCs w:val="18"/>
          <w:lang w:val="es-ES_tradnl"/>
        </w:rPr>
      </w:pPr>
      <w:r w:rsidRPr="00080A1E">
        <w:rPr>
          <w:rStyle w:val="Refdenotaalpie"/>
          <w:rFonts w:ascii="Verdana" w:hAnsi="Verdana"/>
          <w:sz w:val="18"/>
          <w:szCs w:val="18"/>
        </w:rPr>
        <w:footnoteRef/>
      </w:r>
      <w:r w:rsidRPr="00080A1E">
        <w:rPr>
          <w:rFonts w:ascii="Verdana" w:hAnsi="Verdana"/>
          <w:sz w:val="18"/>
          <w:szCs w:val="18"/>
        </w:rPr>
        <w:t xml:space="preserve"> </w:t>
      </w:r>
      <w:r w:rsidRPr="00080A1E">
        <w:rPr>
          <w:rFonts w:ascii="Verdana" w:hAnsi="Verdana"/>
          <w:sz w:val="18"/>
          <w:szCs w:val="18"/>
          <w:lang w:val="es-ES_tradnl"/>
        </w:rPr>
        <w:t xml:space="preserve">Esta tesis se expuso por la Agencia Nacional de Contratación Pública – Colombia Compra Eficiente en el concepto C-013 del 17 de febrero de 2022. </w:t>
      </w:r>
    </w:p>
  </w:footnote>
  <w:footnote w:id="8">
    <w:p w14:paraId="1095EC3E" w14:textId="77777777" w:rsidR="00066311" w:rsidRPr="00080A1E" w:rsidRDefault="00066311" w:rsidP="00066311">
      <w:pPr>
        <w:pStyle w:val="Textonotapie"/>
        <w:ind w:firstLine="708"/>
        <w:jc w:val="both"/>
        <w:rPr>
          <w:rFonts w:ascii="Verdana" w:hAnsi="Verdana"/>
          <w:sz w:val="18"/>
          <w:szCs w:val="18"/>
          <w:lang w:val="es-ES_tradnl"/>
        </w:rPr>
      </w:pPr>
      <w:r w:rsidRPr="00080A1E">
        <w:rPr>
          <w:rStyle w:val="Refdenotaalpie"/>
          <w:rFonts w:ascii="Verdana" w:hAnsi="Verdana"/>
          <w:sz w:val="18"/>
          <w:szCs w:val="18"/>
        </w:rPr>
        <w:footnoteRef/>
      </w:r>
      <w:r w:rsidRPr="00080A1E">
        <w:rPr>
          <w:rFonts w:ascii="Verdana" w:hAnsi="Verdana"/>
          <w:sz w:val="18"/>
          <w:szCs w:val="18"/>
        </w:rPr>
        <w:t xml:space="preserve"> </w:t>
      </w:r>
      <w:r w:rsidRPr="00080A1E">
        <w:rPr>
          <w:rFonts w:ascii="Verdana" w:hAnsi="Verdana"/>
          <w:sz w:val="18"/>
          <w:szCs w:val="18"/>
          <w:lang w:val="es-ES_tradnl"/>
        </w:rPr>
        <w:t xml:space="preserve">Radicado de entrada No. </w:t>
      </w:r>
      <w:r w:rsidRPr="00080A1E">
        <w:rPr>
          <w:rFonts w:ascii="Verdana" w:hAnsi="Verdana" w:cs="Arial"/>
          <w:sz w:val="18"/>
          <w:szCs w:val="18"/>
        </w:rPr>
        <w:t xml:space="preserve">P20240509004892 del 9 de mayo de 2024, contestado mediante el radicado de salida No. RS2024062009041.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62F44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77466434" o:spid="_x0000_i1025" type="#_x0000_t75" style="width:11.35pt;height:11.35pt;visibility:visible;mso-wrap-style:square">
            <v:imagedata r:id="rId1" o:title=""/>
          </v:shape>
        </w:pict>
      </mc:Choice>
      <mc:Fallback>
        <w:drawing>
          <wp:inline distT="0" distB="0" distL="0" distR="0" wp14:anchorId="1DBAE203" wp14:editId="1DBAE204">
            <wp:extent cx="144145" cy="144145"/>
            <wp:effectExtent l="0" t="0" r="0" b="0"/>
            <wp:docPr id="1877466434" name="Imagen 187746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311"/>
    <w:rsid w:val="00082362"/>
    <w:rsid w:val="000A683E"/>
    <w:rsid w:val="000B19B9"/>
    <w:rsid w:val="000C436E"/>
    <w:rsid w:val="000D0334"/>
    <w:rsid w:val="000F6486"/>
    <w:rsid w:val="00125105"/>
    <w:rsid w:val="00127233"/>
    <w:rsid w:val="001511A0"/>
    <w:rsid w:val="00170376"/>
    <w:rsid w:val="001E4177"/>
    <w:rsid w:val="001F7DC6"/>
    <w:rsid w:val="002421BB"/>
    <w:rsid w:val="0025796E"/>
    <w:rsid w:val="002707A2"/>
    <w:rsid w:val="002951A0"/>
    <w:rsid w:val="002962BC"/>
    <w:rsid w:val="002A093D"/>
    <w:rsid w:val="002A0DD0"/>
    <w:rsid w:val="002A49AC"/>
    <w:rsid w:val="002A64FD"/>
    <w:rsid w:val="002C5C7B"/>
    <w:rsid w:val="002C7A84"/>
    <w:rsid w:val="002D32F2"/>
    <w:rsid w:val="002E4FD9"/>
    <w:rsid w:val="00302594"/>
    <w:rsid w:val="00322A85"/>
    <w:rsid w:val="00324168"/>
    <w:rsid w:val="003374E5"/>
    <w:rsid w:val="003448F4"/>
    <w:rsid w:val="00356697"/>
    <w:rsid w:val="00374F5E"/>
    <w:rsid w:val="00377E3E"/>
    <w:rsid w:val="003A779E"/>
    <w:rsid w:val="003D0F4D"/>
    <w:rsid w:val="003D5B0D"/>
    <w:rsid w:val="003E0499"/>
    <w:rsid w:val="003E55DC"/>
    <w:rsid w:val="003F3941"/>
    <w:rsid w:val="00406575"/>
    <w:rsid w:val="00414C74"/>
    <w:rsid w:val="0042722E"/>
    <w:rsid w:val="0044528D"/>
    <w:rsid w:val="004A1847"/>
    <w:rsid w:val="004A305D"/>
    <w:rsid w:val="004F21C4"/>
    <w:rsid w:val="004F685F"/>
    <w:rsid w:val="005127A6"/>
    <w:rsid w:val="00542659"/>
    <w:rsid w:val="005566E8"/>
    <w:rsid w:val="00574867"/>
    <w:rsid w:val="00591460"/>
    <w:rsid w:val="005B3816"/>
    <w:rsid w:val="005C3777"/>
    <w:rsid w:val="005C5CDC"/>
    <w:rsid w:val="005D476C"/>
    <w:rsid w:val="006219F8"/>
    <w:rsid w:val="00623E16"/>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4E15"/>
    <w:rsid w:val="009B2D26"/>
    <w:rsid w:val="009C71FA"/>
    <w:rsid w:val="009C72E7"/>
    <w:rsid w:val="009D3058"/>
    <w:rsid w:val="009E6081"/>
    <w:rsid w:val="009F3A13"/>
    <w:rsid w:val="00A122D3"/>
    <w:rsid w:val="00A17F13"/>
    <w:rsid w:val="00A20739"/>
    <w:rsid w:val="00A33C78"/>
    <w:rsid w:val="00A55900"/>
    <w:rsid w:val="00AB0ADB"/>
    <w:rsid w:val="00B01B1A"/>
    <w:rsid w:val="00B66319"/>
    <w:rsid w:val="00B72CD3"/>
    <w:rsid w:val="00B72FFF"/>
    <w:rsid w:val="00BA7667"/>
    <w:rsid w:val="00BC3D36"/>
    <w:rsid w:val="00BD7F72"/>
    <w:rsid w:val="00C04FB3"/>
    <w:rsid w:val="00C12ECE"/>
    <w:rsid w:val="00C330EB"/>
    <w:rsid w:val="00C41061"/>
    <w:rsid w:val="00C754BE"/>
    <w:rsid w:val="00C76B1C"/>
    <w:rsid w:val="00CB6357"/>
    <w:rsid w:val="00CC1B26"/>
    <w:rsid w:val="00D36D55"/>
    <w:rsid w:val="00D423A2"/>
    <w:rsid w:val="00D520D8"/>
    <w:rsid w:val="00D63AC2"/>
    <w:rsid w:val="00D70FD4"/>
    <w:rsid w:val="00D7383B"/>
    <w:rsid w:val="00DA231B"/>
    <w:rsid w:val="00DC39FC"/>
    <w:rsid w:val="00DE0AAF"/>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0F7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66311"/>
    <w:pPr>
      <w:spacing w:line="240" w:lineRule="exact"/>
    </w:pPr>
    <w:rPr>
      <w:vertAlign w:val="superscript"/>
    </w:rPr>
  </w:style>
  <w:style w:type="character" w:customStyle="1" w:styleId="NormalWebCar">
    <w:name w:val="Normal (Web) Car"/>
    <w:link w:val="NormalWeb"/>
    <w:uiPriority w:val="99"/>
    <w:rsid w:val="0006631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066311"/>
    <w:rPr>
      <w:sz w:val="16"/>
      <w:szCs w:val="16"/>
    </w:rPr>
  </w:style>
  <w:style w:type="paragraph" w:styleId="Textocomentario">
    <w:name w:val="annotation text"/>
    <w:basedOn w:val="Normal"/>
    <w:link w:val="TextocomentarioCar"/>
    <w:uiPriority w:val="99"/>
    <w:unhideWhenUsed/>
    <w:rsid w:val="00066311"/>
    <w:pPr>
      <w:spacing w:line="240" w:lineRule="auto"/>
    </w:pPr>
    <w:rPr>
      <w:kern w:val="2"/>
      <w:sz w:val="20"/>
      <w:szCs w:val="20"/>
      <w14:ligatures w14:val="standardContextual"/>
    </w:rPr>
  </w:style>
  <w:style w:type="character" w:customStyle="1" w:styleId="TextocomentarioCar">
    <w:name w:val="Texto comentario Car"/>
    <w:basedOn w:val="Fuentedeprrafopredeter"/>
    <w:link w:val="Textocomentario"/>
    <w:uiPriority w:val="99"/>
    <w:rsid w:val="00066311"/>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1B79DA9-9878-430F-AD69-CFCA3341A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5352</Words>
  <Characters>29440</Characters>
  <Application>Microsoft Office Word</Application>
  <DocSecurity>0</DocSecurity>
  <Lines>245</Lines>
  <Paragraphs>69</Paragraphs>
  <ScaleCrop>false</ScaleCrop>
  <Company/>
  <LinksUpToDate>false</LinksUpToDate>
  <CharactersWithSpaces>34723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2025-06-24T15:02:00Z</dcterms:created>
  <dcterms:modified xsi:type="dcterms:W3CDTF">2025-06-24T15:02:00Z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