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DDC6" w14:textId="77777777" w:rsidR="008A3D05" w:rsidRPr="00D96387" w:rsidRDefault="008A3D05" w:rsidP="008A3D05">
      <w:pPr>
        <w:spacing w:after="0" w:line="240" w:lineRule="auto"/>
        <w:jc w:val="both"/>
        <w:rPr>
          <w:rFonts w:ascii="Verdana" w:eastAsia="Calibri" w:hAnsi="Verdana" w:cs="Arial"/>
          <w:b/>
          <w:color w:val="000000" w:themeColor="text1"/>
          <w:lang w:eastAsia="es-ES_tradnl"/>
        </w:rPr>
      </w:pPr>
      <w:bookmarkStart w:id="0" w:name="_Hlk186494164"/>
      <w:r w:rsidRPr="00D96387">
        <w:rPr>
          <w:rFonts w:ascii="Verdana" w:eastAsia="Calibri" w:hAnsi="Verdana" w:cs="Arial"/>
          <w:b/>
          <w:color w:val="000000" w:themeColor="text1"/>
          <w:lang w:eastAsia="es-ES_tradnl"/>
        </w:rPr>
        <w:t xml:space="preserve">ADENDAS – Modificación al cronograma </w:t>
      </w:r>
    </w:p>
    <w:p w14:paraId="35EDE972" w14:textId="77777777" w:rsidR="008A3D05" w:rsidRPr="00D96387" w:rsidRDefault="008A3D05" w:rsidP="008A3D05">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D96387">
        <w:rPr>
          <w:rFonts w:ascii="Verdana" w:eastAsia="Times New Roman" w:hAnsi="Verdana" w:cs="Arial"/>
          <w:color w:val="000000"/>
          <w:sz w:val="20"/>
          <w:szCs w:val="20"/>
          <w:bdr w:val="none" w:sz="0" w:space="0" w:color="auto" w:frame="1"/>
          <w:lang w:eastAsia="es-CO"/>
        </w:rPr>
        <w:t>[…] el artículo 2.2.1.1.2.2.1 de Decreto 1082 de 2015 dispone que la entidad estatal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03217F34" w14:textId="77777777" w:rsidR="008A3D05" w:rsidRPr="00D96387" w:rsidRDefault="008A3D05" w:rsidP="008A3D05">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D96387">
        <w:rPr>
          <w:rFonts w:ascii="Verdana" w:eastAsia="Times New Roman" w:hAnsi="Verdana" w:cs="Arial"/>
          <w:color w:val="000000"/>
          <w:sz w:val="20"/>
          <w:szCs w:val="20"/>
          <w:bdr w:val="none" w:sz="0" w:space="0" w:color="auto" w:frame="1"/>
          <w:lang w:eastAsia="es-CO"/>
        </w:rPr>
        <w:t xml:space="preserve">De lo anterior,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D96387">
        <w:rPr>
          <w:rFonts w:ascii="Verdana" w:eastAsia="Times New Roman" w:hAnsi="Verdana" w:cs="Arial"/>
          <w:color w:val="000000"/>
          <w:sz w:val="20"/>
          <w:szCs w:val="20"/>
          <w:bdr w:val="none" w:sz="0" w:space="0" w:color="auto" w:frame="1"/>
          <w:lang w:eastAsia="es-CO"/>
        </w:rPr>
        <w:t>ii</w:t>
      </w:r>
      <w:proofErr w:type="spellEnd"/>
      <w:r w:rsidRPr="00D96387">
        <w:rPr>
          <w:rFonts w:ascii="Verdana" w:eastAsia="Times New Roman" w:hAnsi="Verdana" w:cs="Arial"/>
          <w:color w:val="000000"/>
          <w:sz w:val="20"/>
          <w:szCs w:val="20"/>
          <w:bdr w:val="none" w:sz="0" w:space="0" w:color="auto" w:frame="1"/>
          <w:lang w:eastAsia="es-CO"/>
        </w:rPr>
        <w:t xml:space="preserve">) una vez vencido el término para la presentación de ofertas y antes de la adjudicación del contrato. Al respecto, resulta del caso precisar que cada modalidad de selección tiene establecido un procedimiento propio que rige su estructuración y, en este sentido, las etapas y el acto final del proceso de selección dependerá de cada modalidad de selección. </w:t>
      </w:r>
    </w:p>
    <w:p w14:paraId="371997A0" w14:textId="77777777" w:rsidR="008A3D05" w:rsidRPr="00D96387" w:rsidRDefault="008A3D05" w:rsidP="008A3D05">
      <w:pPr>
        <w:spacing w:after="0" w:line="240" w:lineRule="auto"/>
        <w:jc w:val="both"/>
        <w:rPr>
          <w:rFonts w:ascii="Verdana" w:eastAsia="Calibri" w:hAnsi="Verdana" w:cs="Arial"/>
          <w:b/>
          <w:color w:val="000000" w:themeColor="text1"/>
          <w:lang w:eastAsia="es-ES_tradnl"/>
        </w:rPr>
      </w:pPr>
      <w:r w:rsidRPr="00D96387">
        <w:rPr>
          <w:rFonts w:ascii="Verdana" w:eastAsia="Calibri" w:hAnsi="Verdana" w:cs="Arial"/>
          <w:b/>
          <w:color w:val="000000" w:themeColor="text1"/>
          <w:lang w:eastAsia="es-ES_tradnl"/>
        </w:rPr>
        <w:t xml:space="preserve">ADENDAS – Límites – Principio de economía </w:t>
      </w:r>
    </w:p>
    <w:p w14:paraId="6BDAB5A2" w14:textId="77777777" w:rsidR="008A3D05" w:rsidRPr="00D96387" w:rsidRDefault="008A3D05" w:rsidP="008A3D05">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D96387">
        <w:rPr>
          <w:rFonts w:ascii="Verdana" w:eastAsia="Times New Roman" w:hAnsi="Verdana" w:cs="Arial"/>
          <w:color w:val="000000"/>
          <w:sz w:val="20"/>
          <w:szCs w:val="20"/>
          <w:bdr w:val="none" w:sz="0" w:space="0" w:color="auto" w:frame="1"/>
          <w:lang w:eastAsia="es-CO"/>
        </w:rPr>
        <w:t xml:space="preserve">Si bien el artículo 2.2.1.1.2.2.1 de Decreto 1082 de 2015 no determina unas reglas concretas en relación con el plazo para la expedición de adendas al cronograma después del cierre del proceso y antes de la adjudicación del contrato, lo cierto es que estas únicamente podrán modificar los plazos de las etapas establecidas antes de su vencimiento y no después de este. Ello debido a que al culminar el plazo señalado en el cronograma se inicia la etapa subsiguiente y la entidad estatal no podría volver sobre la fase agotada. </w:t>
      </w:r>
    </w:p>
    <w:p w14:paraId="4076F6E5" w14:textId="77777777" w:rsidR="008A3D05" w:rsidRDefault="008A3D05" w:rsidP="008A3D05">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D96387">
        <w:rPr>
          <w:rFonts w:ascii="Verdana" w:eastAsia="Times New Roman" w:hAnsi="Verdana" w:cs="Arial"/>
          <w:color w:val="000000"/>
          <w:sz w:val="20"/>
          <w:szCs w:val="20"/>
          <w:bdr w:val="none" w:sz="0" w:space="0" w:color="auto" w:frame="1"/>
          <w:lang w:eastAsia="es-CO"/>
        </w:rPr>
        <w:t>Lo anterior encuentra sustento en el principio de economía señalado en el artículo 25 de la Ley 80 de 1993, cuyo numeral primero indica que se cumplirán y establecerán los procedimientos y etapas estrictamente necesarios para asegurar la selección objetiva de la propuesta más favorable, por lo que se señalarán términos preclusivos y perentorios para las diferentes etapas de la selección. En virtud de este principio, las partes del proceso de contratación, así como los funcionarios públicos, se encuentran obligados a respetar y acatar tales etapas y términos, sin que puedan desconocerlos o pasarlos por alto</w:t>
      </w:r>
      <w:r>
        <w:rPr>
          <w:rFonts w:ascii="Verdana" w:eastAsia="Times New Roman" w:hAnsi="Verdana" w:cs="Arial"/>
          <w:color w:val="000000"/>
          <w:sz w:val="20"/>
          <w:szCs w:val="20"/>
          <w:bdr w:val="none" w:sz="0" w:space="0" w:color="auto" w:frame="1"/>
          <w:lang w:eastAsia="es-CO"/>
        </w:rPr>
        <w:t>.</w:t>
      </w:r>
    </w:p>
    <w:p w14:paraId="2EEA9086" w14:textId="77777777" w:rsidR="008A3D05" w:rsidRPr="00327BF3" w:rsidRDefault="008A3D05" w:rsidP="008A3D05">
      <w:pPr>
        <w:spacing w:after="0" w:line="240" w:lineRule="auto"/>
        <w:contextualSpacing/>
        <w:jc w:val="both"/>
        <w:rPr>
          <w:rFonts w:ascii="Verdana" w:eastAsia="Calibri" w:hAnsi="Verdana" w:cs="Arial"/>
          <w:b/>
          <w:lang w:val="es-MX"/>
        </w:rPr>
      </w:pPr>
      <w:r w:rsidRPr="00327BF3">
        <w:rPr>
          <w:rFonts w:ascii="Verdana" w:eastAsia="Calibri" w:hAnsi="Verdana" w:cs="Arial"/>
          <w:b/>
          <w:color w:val="000000" w:themeColor="text1"/>
          <w:lang w:val="es-ES_tradnl"/>
        </w:rPr>
        <w:t xml:space="preserve">SUBSANABILIDAD DE LAS OFERTAS </w:t>
      </w:r>
      <w:r w:rsidRPr="00327BF3">
        <w:rPr>
          <w:rFonts w:ascii="Verdana" w:eastAsia="Calibri" w:hAnsi="Verdana" w:cs="Arial"/>
          <w:b/>
          <w:lang w:val="es-MX"/>
        </w:rPr>
        <w:t>– Alcance de la regla – Ley 1882 de 2018 – Ámbito temporal – Criterio material</w:t>
      </w:r>
    </w:p>
    <w:p w14:paraId="77B73CA4" w14:textId="77777777" w:rsidR="008A3D05" w:rsidRPr="00327BF3" w:rsidRDefault="008A3D05" w:rsidP="008A3D05">
      <w:pPr>
        <w:spacing w:after="0" w:line="240" w:lineRule="auto"/>
        <w:contextualSpacing/>
        <w:jc w:val="both"/>
        <w:rPr>
          <w:rFonts w:ascii="Verdana" w:eastAsia="Calibri" w:hAnsi="Verdana" w:cs="Arial"/>
          <w:b/>
          <w:sz w:val="20"/>
          <w:szCs w:val="20"/>
          <w:lang w:val="es-MX"/>
        </w:rPr>
      </w:pPr>
    </w:p>
    <w:p w14:paraId="4B9E6939" w14:textId="77777777" w:rsidR="008A3D05" w:rsidRPr="00960543" w:rsidRDefault="008A3D05" w:rsidP="008A3D05">
      <w:pPr>
        <w:spacing w:after="0" w:line="240" w:lineRule="auto"/>
        <w:contextualSpacing/>
        <w:jc w:val="both"/>
        <w:rPr>
          <w:rFonts w:ascii="Verdana" w:hAnsi="Verdana" w:cs="Arial"/>
          <w:sz w:val="20"/>
          <w:szCs w:val="20"/>
        </w:rPr>
      </w:pPr>
      <w:r w:rsidRPr="00960543">
        <w:rPr>
          <w:rFonts w:ascii="Verdana" w:hAnsi="Verdana" w:cs="Arial"/>
          <w:sz w:val="20"/>
          <w:szCs w:val="20"/>
          <w:lang w:val="es-ES_tradnl"/>
          <w14:ligatures w14:val="standardContextual"/>
        </w:rPr>
        <w:t xml:space="preserve">Como puede observarse, esta norma: i) mantiene el criterio de la Ley 80 de 1993, relativo a que todo lo que no sea necesario para la comparación de propuestas no es título suficiente para su rechazo; </w:t>
      </w:r>
      <w:proofErr w:type="spellStart"/>
      <w:r w:rsidRPr="00960543">
        <w:rPr>
          <w:rFonts w:ascii="Verdana" w:hAnsi="Verdana" w:cs="Arial"/>
          <w:sz w:val="20"/>
          <w:szCs w:val="20"/>
          <w:lang w:val="es-ES_tradnl"/>
          <w14:ligatures w14:val="standardContextual"/>
        </w:rPr>
        <w:t>ii</w:t>
      </w:r>
      <w:proofErr w:type="spellEnd"/>
      <w:r w:rsidRPr="00960543">
        <w:rPr>
          <w:rFonts w:ascii="Verdana" w:hAnsi="Verdana" w:cs="Arial"/>
          <w:sz w:val="20"/>
          <w:szCs w:val="20"/>
          <w:lang w:val="es-ES_tradnl"/>
          <w14:ligatures w14:val="standardContextual"/>
        </w:rPr>
        <w:t xml:space="preserve">) mantiene el criterio aclaratorio de la Ley 1150 de 2007, según el cual todo lo que no afecte la asignación de puntaje puede subsanarse e </w:t>
      </w:r>
      <w:proofErr w:type="spellStart"/>
      <w:r w:rsidRPr="00960543">
        <w:rPr>
          <w:rFonts w:ascii="Verdana" w:hAnsi="Verdana" w:cs="Arial"/>
          <w:sz w:val="20"/>
          <w:szCs w:val="20"/>
          <w:lang w:val="es-ES_tradnl"/>
          <w14:ligatures w14:val="standardContextual"/>
        </w:rPr>
        <w:t>iii</w:t>
      </w:r>
      <w:proofErr w:type="spellEnd"/>
      <w:r w:rsidRPr="00960543">
        <w:rPr>
          <w:rFonts w:ascii="Verdana" w:hAnsi="Verdana" w:cs="Arial"/>
          <w:sz w:val="20"/>
          <w:szCs w:val="20"/>
          <w:lang w:val="es-ES_tradnl"/>
          <w14:ligatures w14:val="standardContextual"/>
        </w:rPr>
        <w:t>) introduce modificaciones en relación con algunos aspectos que se analizarán a continuación.</w:t>
      </w:r>
    </w:p>
    <w:p w14:paraId="17377D1C" w14:textId="77777777" w:rsidR="008A3D05" w:rsidRPr="00327BF3" w:rsidRDefault="008A3D05" w:rsidP="008A3D05">
      <w:pPr>
        <w:spacing w:after="0" w:line="240" w:lineRule="auto"/>
        <w:contextualSpacing/>
        <w:jc w:val="both"/>
        <w:rPr>
          <w:rFonts w:ascii="Verdana" w:eastAsia="Calibri" w:hAnsi="Verdana" w:cs="Arial"/>
          <w:sz w:val="20"/>
          <w:szCs w:val="20"/>
          <w:lang w:val="es-ES_tradnl"/>
        </w:rPr>
      </w:pPr>
      <w:r w:rsidRPr="00327BF3">
        <w:rPr>
          <w:rFonts w:ascii="Verdana" w:hAnsi="Verdana" w:cs="Arial"/>
          <w:i/>
          <w:iCs/>
          <w:sz w:val="20"/>
          <w:szCs w:val="20"/>
          <w:lang w:val="es-ES_tradnl"/>
          <w14:ligatures w14:val="standardContextual"/>
        </w:rPr>
        <w:lastRenderedPageBreak/>
        <w:t>El primero</w:t>
      </w:r>
      <w:r w:rsidRPr="00327BF3">
        <w:rPr>
          <w:rFonts w:ascii="Verdana" w:hAnsi="Verdana" w:cs="Arial"/>
          <w:sz w:val="20"/>
          <w:szCs w:val="20"/>
          <w:lang w:val="es-ES_tradnl"/>
          <w14:ligatures w14:val="standardContextua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327BF3">
        <w:rPr>
          <w:rFonts w:ascii="Verdana" w:eastAsia="Calibri" w:hAnsi="Verdana" w:cs="Arial"/>
          <w:sz w:val="20"/>
          <w:szCs w:val="20"/>
          <w:lang w:val="es-ES_tradnl"/>
          <w14:ligatures w14:val="standardContextual"/>
        </w:rPr>
        <w:t>de selección a través del sistema de subasta, este último al cual hace referencia en su consulta, y en el que los documentos o requisitos subsanables pueden y deben solicitarse por parte de las entidades estatales, como límite, hasta el momento previo a la celebración de la audiencia</w:t>
      </w:r>
      <w:r w:rsidRPr="00327BF3">
        <w:rPr>
          <w:rFonts w:ascii="Verdana" w:eastAsia="Calibri" w:hAnsi="Verdana" w:cs="Arial"/>
          <w:sz w:val="20"/>
          <w:szCs w:val="20"/>
          <w:lang w:val="es-ES_tradnl"/>
        </w:rPr>
        <w:t xml:space="preserve"> […]</w:t>
      </w:r>
    </w:p>
    <w:p w14:paraId="46C76700" w14:textId="77777777" w:rsidR="008A3D05" w:rsidRPr="00327BF3" w:rsidRDefault="008A3D05" w:rsidP="008A3D05">
      <w:pPr>
        <w:spacing w:after="0" w:line="240" w:lineRule="auto"/>
        <w:contextualSpacing/>
        <w:jc w:val="both"/>
        <w:rPr>
          <w:rFonts w:ascii="Verdana" w:eastAsia="Calibri" w:hAnsi="Verdana" w:cs="Arial"/>
          <w:sz w:val="20"/>
          <w:szCs w:val="20"/>
          <w:lang w:val="es-ES_tradnl"/>
        </w:rPr>
      </w:pPr>
    </w:p>
    <w:p w14:paraId="6AC73DF1" w14:textId="77777777" w:rsidR="008A3D05" w:rsidRPr="00327BF3" w:rsidRDefault="008A3D05" w:rsidP="008A3D05">
      <w:pPr>
        <w:spacing w:line="240" w:lineRule="auto"/>
        <w:contextualSpacing/>
        <w:jc w:val="both"/>
        <w:rPr>
          <w:rFonts w:ascii="Verdana" w:hAnsi="Verdana" w:cs="Arial"/>
          <w:sz w:val="20"/>
          <w:szCs w:val="20"/>
          <w:lang w:val="es-ES_tradnl"/>
        </w:rPr>
      </w:pPr>
      <w:r w:rsidRPr="00327BF3">
        <w:rPr>
          <w:rFonts w:ascii="Verdana" w:eastAsia="Calibri" w:hAnsi="Verdana" w:cs="Arial"/>
          <w:sz w:val="20"/>
          <w:szCs w:val="20"/>
          <w:lang w:val="es-ES_tradnl"/>
          <w14:ligatures w14:val="standardContextual"/>
        </w:rPr>
        <w:t xml:space="preserve">De otro lado, </w:t>
      </w:r>
      <w:r w:rsidRPr="00327BF3">
        <w:rPr>
          <w:rFonts w:ascii="Verdana" w:eastAsia="Calibri" w:hAnsi="Verdana" w:cs="Arial"/>
          <w:i/>
          <w:iCs/>
          <w:sz w:val="20"/>
          <w:szCs w:val="20"/>
          <w:lang w:val="es-ES_tradnl"/>
          <w14:ligatures w14:val="standardContextual"/>
        </w:rPr>
        <w:t>el segundo</w:t>
      </w:r>
      <w:r w:rsidRPr="00327BF3">
        <w:rPr>
          <w:rFonts w:ascii="Verdana" w:eastAsia="Calibri" w:hAnsi="Verdana" w:cs="Arial"/>
          <w:sz w:val="20"/>
          <w:szCs w:val="20"/>
          <w:lang w:val="es-ES_tradnl"/>
          <w14:ligatures w14:val="standardContextual"/>
        </w:rPr>
        <w:t xml:space="preserve"> cambio importante de la Ley 1882 de 2018 fue la introducción de un criterio material, directamente relacionado con los aspectos subsanables: “</w:t>
      </w:r>
      <w:r w:rsidRPr="00327BF3">
        <w:rPr>
          <w:rFonts w:ascii="Verdana" w:hAnsi="Verdana" w:cs="Arial"/>
          <w:sz w:val="20"/>
          <w:szCs w:val="20"/>
          <w:lang w:val="es-ES_tradnl"/>
          <w14:ligatures w14:val="standardContextual"/>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78A049AC" w14:textId="77777777" w:rsidR="008A3D05" w:rsidRPr="00327BF3" w:rsidRDefault="008A3D05" w:rsidP="008A3D05">
      <w:pPr>
        <w:spacing w:after="0" w:line="240" w:lineRule="auto"/>
        <w:contextualSpacing/>
        <w:jc w:val="both"/>
        <w:rPr>
          <w:rFonts w:ascii="Verdana" w:hAnsi="Verdana" w:cs="Arial"/>
          <w:sz w:val="20"/>
          <w:szCs w:val="20"/>
          <w:lang w:val="es-ES_tradnl"/>
          <w14:ligatures w14:val="standardContextual"/>
        </w:rPr>
      </w:pPr>
    </w:p>
    <w:p w14:paraId="383746E4" w14:textId="77777777" w:rsidR="008A3D05" w:rsidRPr="00327BF3" w:rsidRDefault="008A3D05" w:rsidP="008A3D05">
      <w:pPr>
        <w:spacing w:after="0" w:line="240" w:lineRule="auto"/>
        <w:contextualSpacing/>
        <w:jc w:val="both"/>
        <w:rPr>
          <w:rFonts w:ascii="Verdana" w:hAnsi="Verdana" w:cs="Arial"/>
          <w:sz w:val="20"/>
          <w:szCs w:val="20"/>
          <w:lang w:val="es-ES_tradnl"/>
        </w:rPr>
      </w:pPr>
      <w:r w:rsidRPr="00327BF3">
        <w:rPr>
          <w:rFonts w:ascii="Verdana" w:hAnsi="Verdana" w:cs="Arial"/>
          <w:sz w:val="20"/>
          <w:szCs w:val="20"/>
          <w:lang w:val="es-ES_tradnl"/>
        </w:rPr>
        <w:t xml:space="preserve">[…] </w:t>
      </w:r>
    </w:p>
    <w:p w14:paraId="3BA778F6" w14:textId="77777777" w:rsidR="008A3D05" w:rsidRPr="00327BF3" w:rsidRDefault="008A3D05" w:rsidP="008A3D05">
      <w:pPr>
        <w:spacing w:after="0" w:line="240" w:lineRule="auto"/>
        <w:contextualSpacing/>
        <w:jc w:val="both"/>
        <w:rPr>
          <w:rFonts w:ascii="Verdana" w:hAnsi="Verdana" w:cs="Arial"/>
          <w:sz w:val="20"/>
          <w:szCs w:val="20"/>
          <w:lang w:val="es-ES_tradnl"/>
        </w:rPr>
      </w:pPr>
    </w:p>
    <w:p w14:paraId="22D850EF" w14:textId="77777777" w:rsidR="008A3D05" w:rsidRDefault="008A3D05" w:rsidP="008A3D05">
      <w:pPr>
        <w:spacing w:after="0" w:line="240" w:lineRule="auto"/>
        <w:contextualSpacing/>
        <w:jc w:val="both"/>
        <w:rPr>
          <w:rFonts w:ascii="Verdana" w:eastAsia="Calibri" w:hAnsi="Verdana" w:cs="Arial"/>
          <w:sz w:val="20"/>
          <w:szCs w:val="20"/>
          <w:lang w:val="es-ES_tradnl"/>
          <w14:ligatures w14:val="standardContextual"/>
        </w:rPr>
      </w:pPr>
      <w:r w:rsidRPr="00B76EB2">
        <w:rPr>
          <w:rFonts w:ascii="Verdana" w:eastAsia="Calibri" w:hAnsi="Verdana" w:cs="Arial"/>
          <w:sz w:val="20"/>
          <w:szCs w:val="20"/>
          <w:lang w:val="es-ES_tradnl"/>
          <w14:ligatures w14:val="standardContextual"/>
        </w:rPr>
        <w:t>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5FA592F3" w14:textId="77777777" w:rsidR="008A3D05" w:rsidRPr="00B76EB2" w:rsidRDefault="008A3D05" w:rsidP="008A3D05">
      <w:pPr>
        <w:spacing w:after="0" w:line="240" w:lineRule="auto"/>
        <w:contextualSpacing/>
        <w:jc w:val="both"/>
        <w:rPr>
          <w:rFonts w:ascii="Verdana" w:eastAsia="Calibri" w:hAnsi="Verdana" w:cs="Arial"/>
          <w:sz w:val="20"/>
          <w:szCs w:val="20"/>
        </w:rPr>
      </w:pPr>
    </w:p>
    <w:p w14:paraId="6E0361F8" w14:textId="77777777" w:rsidR="008A3D05" w:rsidRPr="00327BF3" w:rsidRDefault="008A3D05" w:rsidP="008A3D05">
      <w:pPr>
        <w:spacing w:after="0" w:line="240" w:lineRule="auto"/>
        <w:contextualSpacing/>
        <w:jc w:val="both"/>
        <w:rPr>
          <w:rFonts w:ascii="Verdana" w:eastAsia="Calibri" w:hAnsi="Verdana" w:cs="Arial"/>
          <w:b/>
          <w:bCs/>
          <w:lang w:val="es-ES_tradnl"/>
        </w:rPr>
      </w:pPr>
      <w:r w:rsidRPr="00327BF3">
        <w:rPr>
          <w:rFonts w:ascii="Verdana" w:eastAsia="Calibri" w:hAnsi="Verdana" w:cs="Arial"/>
          <w:b/>
          <w:bCs/>
          <w:lang w:val="es-ES_tradnl"/>
        </w:rPr>
        <w:t xml:space="preserve">SUBASTA INVERSA </w:t>
      </w:r>
      <w:r w:rsidRPr="00327BF3">
        <w:rPr>
          <w:rFonts w:ascii="Verdana" w:eastAsia="Calibri" w:hAnsi="Verdana" w:cs="Arial"/>
          <w:b/>
        </w:rPr>
        <w:t>–</w:t>
      </w:r>
      <w:r w:rsidRPr="00327BF3">
        <w:rPr>
          <w:rFonts w:ascii="Verdana" w:eastAsia="Calibri" w:hAnsi="Verdana" w:cs="Arial"/>
          <w:b/>
          <w:bCs/>
          <w:lang w:val="es-ES_tradnl"/>
        </w:rPr>
        <w:t xml:space="preserve"> Regla de </w:t>
      </w:r>
      <w:proofErr w:type="spellStart"/>
      <w:r w:rsidRPr="00327BF3">
        <w:rPr>
          <w:rFonts w:ascii="Verdana" w:eastAsia="Calibri" w:hAnsi="Verdana" w:cs="Arial"/>
          <w:b/>
          <w:bCs/>
          <w:lang w:val="es-ES_tradnl"/>
        </w:rPr>
        <w:t>subsanabilidad</w:t>
      </w:r>
      <w:proofErr w:type="spellEnd"/>
      <w:r w:rsidRPr="00327BF3">
        <w:rPr>
          <w:rFonts w:ascii="Verdana" w:eastAsia="Calibri" w:hAnsi="Verdana" w:cs="Arial"/>
          <w:b/>
          <w:bCs/>
          <w:lang w:val="es-ES_tradnl"/>
        </w:rPr>
        <w:t xml:space="preserve"> </w:t>
      </w:r>
    </w:p>
    <w:p w14:paraId="12D2644D" w14:textId="77777777" w:rsidR="008A3D05" w:rsidRPr="00327BF3" w:rsidRDefault="008A3D05" w:rsidP="008A3D05">
      <w:pPr>
        <w:spacing w:after="0" w:line="240" w:lineRule="auto"/>
        <w:contextualSpacing/>
        <w:jc w:val="both"/>
        <w:rPr>
          <w:rFonts w:ascii="Verdana" w:hAnsi="Verdana" w:cs="Arial"/>
          <w:b/>
          <w:bCs/>
          <w:sz w:val="20"/>
          <w:szCs w:val="20"/>
          <w:lang w:val="es-ES_tradnl"/>
        </w:rPr>
      </w:pPr>
    </w:p>
    <w:p w14:paraId="2C5EA588" w14:textId="77777777" w:rsidR="008A3D05" w:rsidRPr="00327BF3" w:rsidRDefault="008A3D05" w:rsidP="008A3D05">
      <w:pPr>
        <w:spacing w:line="240" w:lineRule="auto"/>
        <w:contextualSpacing/>
        <w:jc w:val="both"/>
        <w:rPr>
          <w:rFonts w:ascii="Verdana" w:hAnsi="Verdana" w:cs="Arial"/>
          <w:sz w:val="20"/>
          <w:szCs w:val="20"/>
        </w:rPr>
      </w:pPr>
      <w:r w:rsidRPr="00327BF3">
        <w:rPr>
          <w:rFonts w:ascii="Verdana" w:hAnsi="Verdana" w:cs="Arial"/>
          <w:sz w:val="20"/>
          <w:szCs w:val="20"/>
        </w:rPr>
        <w:t xml:space="preserve">[…] </w:t>
      </w:r>
      <w:r w:rsidRPr="00327BF3">
        <w:rPr>
          <w:rFonts w:ascii="Verdana" w:eastAsia="Times New Roman" w:hAnsi="Verdana" w:cs="Arial"/>
          <w:sz w:val="20"/>
          <w:szCs w:val="20"/>
          <w:lang w:val="es-ES_tradnl" w:eastAsia="es-ES_tradnl"/>
          <w14:ligatures w14:val="standardContextual"/>
        </w:rPr>
        <w:t>la regla general respecto a la oportunidad para subsanar tiene como excepción, entre otras cosas, el término especial establecido en los procesos de selección en los que se utilice el mecanismo de subasta inversa, para lo cual el artículo 5 de la Ley 1882 de 2018, adicionó el parágrafo 4 al artículo 5 de la Ley 1150 de 2007</w:t>
      </w:r>
      <w:r w:rsidRPr="00327BF3">
        <w:rPr>
          <w:rFonts w:ascii="Verdana" w:hAnsi="Verdana" w:cs="Arial"/>
          <w:sz w:val="20"/>
          <w:szCs w:val="20"/>
          <w:lang w:val="es-ES_tradnl"/>
        </w:rPr>
        <w:t xml:space="preserve"> </w:t>
      </w:r>
      <w:r w:rsidRPr="00327BF3">
        <w:rPr>
          <w:rFonts w:ascii="Verdana" w:hAnsi="Verdana" w:cs="Arial"/>
          <w:sz w:val="20"/>
          <w:szCs w:val="20"/>
        </w:rPr>
        <w:t>[…]</w:t>
      </w:r>
    </w:p>
    <w:p w14:paraId="460117CA" w14:textId="77777777" w:rsidR="008A3D05" w:rsidRPr="00327BF3" w:rsidRDefault="008A3D05" w:rsidP="008A3D05">
      <w:pPr>
        <w:spacing w:line="240" w:lineRule="auto"/>
        <w:contextualSpacing/>
        <w:jc w:val="both"/>
        <w:rPr>
          <w:rFonts w:ascii="Verdana" w:hAnsi="Verdana" w:cs="Arial"/>
          <w:sz w:val="20"/>
          <w:szCs w:val="20"/>
        </w:rPr>
      </w:pPr>
    </w:p>
    <w:p w14:paraId="32FA81DE" w14:textId="77777777" w:rsidR="008A3D05" w:rsidRPr="00327BF3" w:rsidRDefault="008A3D05" w:rsidP="008A3D05">
      <w:pPr>
        <w:spacing w:line="240" w:lineRule="auto"/>
        <w:contextualSpacing/>
        <w:jc w:val="both"/>
        <w:rPr>
          <w:rFonts w:ascii="Verdana" w:hAnsi="Verdana" w:cs="Arial"/>
          <w:color w:val="000000"/>
          <w:sz w:val="20"/>
          <w:szCs w:val="20"/>
        </w:rPr>
      </w:pPr>
      <w:r w:rsidRPr="00327BF3">
        <w:rPr>
          <w:rFonts w:ascii="Verdana" w:eastAsia="Times New Roman" w:hAnsi="Verdana" w:cs="Arial"/>
          <w:color w:val="000000"/>
          <w:sz w:val="20"/>
          <w:szCs w:val="20"/>
          <w:lang w:eastAsia="es-ES_tradnl"/>
          <w14:ligatures w14:val="standardContextual"/>
        </w:rPr>
        <w:t>Tal como se expresó en los conceptos C-267 y C-283 del 5 de mayo de 2020, si se analiza la norma transcrita, no es difícil llegar a la conclusión relativa a que esta contiene una regla muy parecida respecto a la oportunidad para subsanar en los procesos de subasta, a la contenida en la parte final del inciso primero del artículo 5 de la Ley 1150 de 2007, antes de ser modificada por la Ley 1882 de 2018, siendo en esencia la misma, con la precisión adicional respecto de los documentos susceptibles de subsanación. Esta regla cosiste en la fijación del momento previo al inicio de la audiencia de subasta, como el tiempo límite para que se solicite la subsanación de los documentos faltantes hasta entonces no presentados por los proponentes o, en general, susceptibles de subsanarse.</w:t>
      </w:r>
    </w:p>
    <w:p w14:paraId="4F54E130" w14:textId="77777777" w:rsidR="008A3D05" w:rsidRPr="00327BF3" w:rsidRDefault="008A3D05" w:rsidP="008A3D05">
      <w:pPr>
        <w:spacing w:after="0" w:line="240" w:lineRule="auto"/>
        <w:contextualSpacing/>
        <w:jc w:val="both"/>
        <w:rPr>
          <w:rFonts w:ascii="Verdana" w:hAnsi="Verdana" w:cs="Arial"/>
          <w:sz w:val="20"/>
          <w:szCs w:val="20"/>
          <w:lang w:val="es-ES_tradnl"/>
        </w:rPr>
      </w:pPr>
    </w:p>
    <w:p w14:paraId="064FC97B" w14:textId="77777777" w:rsidR="008A3D05" w:rsidRPr="00327BF3" w:rsidRDefault="008A3D05" w:rsidP="008A3D05">
      <w:pPr>
        <w:spacing w:after="0" w:line="240" w:lineRule="auto"/>
        <w:contextualSpacing/>
        <w:jc w:val="both"/>
        <w:rPr>
          <w:rFonts w:ascii="Verdana" w:eastAsia="Calibri" w:hAnsi="Verdana" w:cs="Arial"/>
          <w:b/>
          <w:bCs/>
          <w:lang w:val="es-ES_tradnl"/>
        </w:rPr>
      </w:pPr>
      <w:r w:rsidRPr="00327BF3">
        <w:rPr>
          <w:rFonts w:ascii="Verdana" w:eastAsia="Calibri" w:hAnsi="Verdana" w:cs="Arial"/>
          <w:b/>
          <w:bCs/>
          <w:lang w:val="es-ES_tradnl"/>
        </w:rPr>
        <w:t xml:space="preserve">SUBASTA INVERSA </w:t>
      </w:r>
      <w:r w:rsidRPr="00327BF3">
        <w:rPr>
          <w:rFonts w:ascii="Verdana" w:eastAsia="Calibri" w:hAnsi="Verdana" w:cs="Arial"/>
          <w:b/>
        </w:rPr>
        <w:t>–</w:t>
      </w:r>
      <w:r w:rsidRPr="00327BF3">
        <w:rPr>
          <w:rFonts w:ascii="Verdana" w:eastAsia="Calibri" w:hAnsi="Verdana" w:cs="Arial"/>
          <w:b/>
          <w:bCs/>
          <w:lang w:val="es-ES_tradnl"/>
        </w:rPr>
        <w:t xml:space="preserve"> Regla de </w:t>
      </w:r>
      <w:proofErr w:type="spellStart"/>
      <w:r w:rsidRPr="00327BF3">
        <w:rPr>
          <w:rFonts w:ascii="Verdana" w:eastAsia="Calibri" w:hAnsi="Verdana" w:cs="Arial"/>
          <w:b/>
          <w:bCs/>
          <w:lang w:val="es-ES_tradnl"/>
        </w:rPr>
        <w:t>subsanabilidad</w:t>
      </w:r>
      <w:proofErr w:type="spellEnd"/>
      <w:r w:rsidRPr="00327BF3">
        <w:rPr>
          <w:rFonts w:ascii="Verdana" w:eastAsia="Calibri" w:hAnsi="Verdana" w:cs="Arial"/>
          <w:b/>
          <w:bCs/>
          <w:lang w:val="es-ES_tradnl"/>
        </w:rPr>
        <w:t xml:space="preserve"> – Tiempo límite – Alcance normativo</w:t>
      </w:r>
    </w:p>
    <w:p w14:paraId="3DF11B65" w14:textId="77777777" w:rsidR="008A3D05" w:rsidRPr="00327BF3" w:rsidRDefault="008A3D05" w:rsidP="008A3D05">
      <w:pPr>
        <w:autoSpaceDE w:val="0"/>
        <w:autoSpaceDN w:val="0"/>
        <w:adjustRightInd w:val="0"/>
        <w:spacing w:after="0" w:line="240" w:lineRule="auto"/>
        <w:contextualSpacing/>
        <w:jc w:val="both"/>
        <w:rPr>
          <w:rFonts w:ascii="Verdana" w:hAnsi="Verdana" w:cs="Arial"/>
          <w:color w:val="000000"/>
          <w:sz w:val="20"/>
          <w:szCs w:val="20"/>
        </w:rPr>
      </w:pPr>
    </w:p>
    <w:p w14:paraId="65B4D5DE" w14:textId="77777777" w:rsidR="008A3D05" w:rsidRPr="00327BF3" w:rsidRDefault="008A3D05" w:rsidP="008A3D05">
      <w:pPr>
        <w:spacing w:after="0" w:line="240" w:lineRule="auto"/>
        <w:ind w:right="49"/>
        <w:contextualSpacing/>
        <w:jc w:val="both"/>
        <w:rPr>
          <w:rFonts w:ascii="Verdana" w:eastAsia="Times New Roman" w:hAnsi="Verdana" w:cs="Arial"/>
          <w:color w:val="000000"/>
          <w:sz w:val="20"/>
          <w:szCs w:val="20"/>
          <w:lang w:eastAsia="es-ES_tradnl"/>
          <w14:ligatures w14:val="standardContextual"/>
        </w:rPr>
      </w:pPr>
      <w:r w:rsidRPr="00327BF3">
        <w:rPr>
          <w:rFonts w:ascii="Verdana" w:eastAsia="Times New Roman" w:hAnsi="Verdana" w:cs="Arial"/>
          <w:color w:val="000000"/>
          <w:sz w:val="20"/>
          <w:szCs w:val="20"/>
          <w:lang w:eastAsia="es-ES_tradnl"/>
          <w14:ligatures w14:val="standardContextual"/>
        </w:rPr>
        <w:lastRenderedPageBreak/>
        <w:t xml:space="preserve">En ese orden de ideas, extendiendo las anteriores consideraciones a la regla de </w:t>
      </w:r>
      <w:proofErr w:type="spellStart"/>
      <w:r w:rsidRPr="00327BF3">
        <w:rPr>
          <w:rFonts w:ascii="Verdana" w:eastAsia="Times New Roman" w:hAnsi="Verdana" w:cs="Arial"/>
          <w:color w:val="000000"/>
          <w:sz w:val="20"/>
          <w:szCs w:val="20"/>
          <w:lang w:eastAsia="es-ES_tradnl"/>
          <w14:ligatures w14:val="standardContextual"/>
        </w:rPr>
        <w:t>subsanabilidad</w:t>
      </w:r>
      <w:proofErr w:type="spellEnd"/>
      <w:r w:rsidRPr="00327BF3">
        <w:rPr>
          <w:rFonts w:ascii="Verdana" w:eastAsia="Times New Roman" w:hAnsi="Verdana" w:cs="Arial"/>
          <w:color w:val="000000"/>
          <w:sz w:val="20"/>
          <w:szCs w:val="20"/>
          <w:lang w:eastAsia="es-ES_tradnl"/>
          <w14:ligatures w14:val="standardContextual"/>
        </w:rPr>
        <w:t xml:space="preserve">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w:t>
      </w:r>
      <w:r w:rsidRPr="00327BF3">
        <w:rPr>
          <w:rFonts w:ascii="Verdana" w:eastAsia="Times New Roman" w:hAnsi="Verdana" w:cs="Arial"/>
          <w:i/>
          <w:iCs/>
          <w:color w:val="000000"/>
          <w:sz w:val="20"/>
          <w:szCs w:val="20"/>
          <w:lang w:eastAsia="es-ES_tradnl"/>
          <w14:ligatures w14:val="standardContextual"/>
        </w:rPr>
        <w:t xml:space="preserve">ex ante </w:t>
      </w:r>
      <w:r w:rsidRPr="00327BF3">
        <w:rPr>
          <w:rFonts w:ascii="Verdana" w:eastAsia="Times New Roman" w:hAnsi="Verdana" w:cs="Arial"/>
          <w:color w:val="000000"/>
          <w:sz w:val="20"/>
          <w:szCs w:val="20"/>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varias veces un determinado aspecto de la propuesta dependerá de lo establecido en el pliego de condiciones, pues la normativa no restringe el número de veces que un proponente podrá subsanar un determinado aspecto. </w:t>
      </w:r>
    </w:p>
    <w:p w14:paraId="657DA03B" w14:textId="77777777" w:rsidR="008A3D05" w:rsidRPr="00327BF3" w:rsidRDefault="008A3D05" w:rsidP="008A3D05">
      <w:pPr>
        <w:contextualSpacing/>
        <w:jc w:val="both"/>
        <w:rPr>
          <w:rFonts w:ascii="Verdana" w:eastAsia="Calibri" w:hAnsi="Verdana" w:cs="Arial"/>
          <w:sz w:val="20"/>
          <w:szCs w:val="20"/>
          <w:lang w:val="es-ES_tradnl"/>
        </w:rPr>
      </w:pPr>
    </w:p>
    <w:p w14:paraId="1F78D792" w14:textId="77777777" w:rsidR="008A3D05" w:rsidRDefault="008A3D05" w:rsidP="008A3D05">
      <w:pPr>
        <w:spacing w:line="240" w:lineRule="auto"/>
        <w:contextualSpacing/>
        <w:jc w:val="both"/>
        <w:rPr>
          <w:rFonts w:ascii="Verdana" w:eastAsia="Calibri" w:hAnsi="Verdana" w:cs="Arial"/>
          <w:sz w:val="20"/>
          <w:szCs w:val="20"/>
          <w:lang w:eastAsia="es-ES_tradnl"/>
          <w14:ligatures w14:val="standardContextual"/>
        </w:rPr>
      </w:pPr>
      <w:r w:rsidRPr="00327BF3">
        <w:rPr>
          <w:rFonts w:ascii="Verdana" w:eastAsia="Calibri" w:hAnsi="Verdana" w:cs="Arial"/>
          <w:sz w:val="20"/>
          <w:szCs w:val="20"/>
          <w:lang w:val="es-ES_tradnl" w:eastAsia="es-ES_tradnl"/>
          <w14:ligatures w14:val="standardContextual"/>
        </w:rPr>
        <w:t>De esta manera, el parágrafo analizado</w:t>
      </w:r>
      <w:r w:rsidRPr="00327BF3">
        <w:rPr>
          <w:rFonts w:ascii="Verdana" w:eastAsia="Calibri" w:hAnsi="Verdana" w:cs="Arial"/>
          <w:sz w:val="20"/>
          <w:szCs w:val="20"/>
          <w:lang w:eastAsia="es-ES_tradnl"/>
          <w14:ligatures w14:val="standardContextual"/>
        </w:rPr>
        <w:t xml:space="preserve"> permite a las entidades </w:t>
      </w:r>
      <w:r w:rsidRPr="00327BF3">
        <w:rPr>
          <w:rFonts w:ascii="Verdana" w:eastAsia="Calibri" w:hAnsi="Verdana" w:cs="Arial"/>
          <w:i/>
          <w:iCs/>
          <w:sz w:val="20"/>
          <w:szCs w:val="20"/>
          <w:lang w:eastAsia="es-ES_tradnl"/>
          <w14:ligatures w14:val="standardContextual"/>
        </w:rPr>
        <w:t>solicitar</w:t>
      </w:r>
      <w:r w:rsidRPr="00327BF3">
        <w:rPr>
          <w:rFonts w:ascii="Verdana" w:eastAsia="Calibri" w:hAnsi="Verdana" w:cs="Arial"/>
          <w:sz w:val="20"/>
          <w:szCs w:val="20"/>
          <w:lang w:eastAsia="es-ES_tradnl"/>
          <w14:ligatures w14:val="standardContextual"/>
        </w:rPr>
        <w:t xml:space="preserve"> a los oferentes que subsanen los documentos referentes a la futura contratación no necesarios para la comparación de las propuestas, hasta el momento previo a la realización a la subasta a la que hace referencia el artículo </w:t>
      </w:r>
      <w:r w:rsidRPr="00327BF3">
        <w:rPr>
          <w:rFonts w:ascii="Verdana" w:eastAsia="Calibri" w:hAnsi="Verdana" w:cs="Arial"/>
          <w:sz w:val="20"/>
          <w:szCs w:val="20"/>
          <w:lang w:val="es-ES_tradnl" w:eastAsia="es-ES_tradnl"/>
          <w14:ligatures w14:val="standardContextual"/>
        </w:rPr>
        <w:t xml:space="preserve">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w:t>
      </w:r>
      <w:r w:rsidRPr="00327BF3">
        <w:rPr>
          <w:rFonts w:ascii="Verdana" w:eastAsia="Calibri" w:hAnsi="Verdana" w:cs="Arial"/>
          <w:sz w:val="20"/>
          <w:szCs w:val="20"/>
          <w:lang w:eastAsia="es-ES_tradnl"/>
          <w14:ligatures w14:val="standardContextual"/>
        </w:rPr>
        <w:t>requerir por separado o conjuntamente a cada proponente para que subsanen los respectivos documentos, fijándoles un término razonable, el cual en todo caso no podrá exceder el momento previo al inicio de la audiencia de subasta, por lo que será anterior a ella.</w:t>
      </w:r>
    </w:p>
    <w:p w14:paraId="79F2B13C" w14:textId="77777777" w:rsidR="008A3D05" w:rsidRDefault="008A3D05" w:rsidP="008A3D05">
      <w:pPr>
        <w:spacing w:line="240" w:lineRule="auto"/>
        <w:contextualSpacing/>
        <w:jc w:val="both"/>
        <w:rPr>
          <w:rFonts w:ascii="Verdana" w:eastAsia="Calibri" w:hAnsi="Verdana" w:cs="Arial"/>
          <w:sz w:val="20"/>
          <w:szCs w:val="20"/>
          <w:lang w:eastAsia="es-ES_tradnl"/>
          <w14:ligatures w14:val="standardContextual"/>
        </w:rPr>
      </w:pPr>
    </w:p>
    <w:p w14:paraId="6E8649A6" w14:textId="77777777" w:rsidR="008A3D05" w:rsidRDefault="008A3D05" w:rsidP="008A3D05">
      <w:pPr>
        <w:spacing w:line="240" w:lineRule="auto"/>
        <w:contextualSpacing/>
        <w:jc w:val="both"/>
        <w:rPr>
          <w:rFonts w:ascii="Verdana" w:eastAsia="Geomanist Light" w:hAnsi="Verdana" w:cs="Arial"/>
          <w:color w:val="000000" w:themeColor="text1"/>
        </w:rPr>
      </w:pPr>
    </w:p>
    <w:p w14:paraId="30C45313" w14:textId="77777777" w:rsidR="008A3D05" w:rsidRDefault="008A3D05" w:rsidP="008A3D05">
      <w:pPr>
        <w:spacing w:after="0" w:line="240" w:lineRule="auto"/>
        <w:rPr>
          <w:rFonts w:ascii="Verdana" w:eastAsia="Geomanist Light" w:hAnsi="Verdana" w:cs="Arial"/>
          <w:color w:val="000000" w:themeColor="text1"/>
        </w:rPr>
      </w:pPr>
    </w:p>
    <w:p w14:paraId="76B3DDC9" w14:textId="77777777" w:rsidR="008A3D05" w:rsidRDefault="008A3D05" w:rsidP="008A3D05">
      <w:pPr>
        <w:spacing w:after="0" w:line="240" w:lineRule="auto"/>
        <w:rPr>
          <w:rFonts w:ascii="Verdana" w:eastAsia="Geomanist Light" w:hAnsi="Verdana" w:cs="Arial"/>
          <w:color w:val="000000" w:themeColor="text1"/>
        </w:rPr>
      </w:pPr>
    </w:p>
    <w:p w14:paraId="6D5058B6" w14:textId="77777777" w:rsidR="008A3D05" w:rsidRDefault="008A3D05" w:rsidP="008A3D05">
      <w:pPr>
        <w:spacing w:after="0" w:line="240" w:lineRule="auto"/>
        <w:rPr>
          <w:rFonts w:ascii="Verdana" w:eastAsia="Geomanist Light" w:hAnsi="Verdana" w:cs="Arial"/>
          <w:color w:val="000000" w:themeColor="text1"/>
        </w:rPr>
      </w:pPr>
    </w:p>
    <w:p w14:paraId="3E681F26" w14:textId="77777777" w:rsidR="008A3D05" w:rsidRDefault="008A3D05" w:rsidP="008A3D05">
      <w:pPr>
        <w:spacing w:after="0" w:line="240" w:lineRule="auto"/>
        <w:rPr>
          <w:rFonts w:ascii="Verdana" w:eastAsia="Geomanist Light" w:hAnsi="Verdana" w:cs="Arial"/>
          <w:color w:val="000000" w:themeColor="text1"/>
        </w:rPr>
      </w:pPr>
    </w:p>
    <w:p w14:paraId="3B7FD756" w14:textId="77777777" w:rsidR="008A3D05" w:rsidRDefault="008A3D05" w:rsidP="008A3D05">
      <w:pPr>
        <w:spacing w:after="0" w:line="240" w:lineRule="auto"/>
        <w:rPr>
          <w:rFonts w:ascii="Verdana" w:eastAsia="Geomanist Light" w:hAnsi="Verdana" w:cs="Arial"/>
          <w:color w:val="000000" w:themeColor="text1"/>
        </w:rPr>
      </w:pPr>
    </w:p>
    <w:p w14:paraId="3274D29D" w14:textId="77777777" w:rsidR="008A3D05" w:rsidRDefault="008A3D05" w:rsidP="008A3D05">
      <w:pPr>
        <w:spacing w:after="0" w:line="240" w:lineRule="auto"/>
        <w:rPr>
          <w:rFonts w:ascii="Verdana" w:eastAsia="Geomanist Light" w:hAnsi="Verdana" w:cs="Arial"/>
          <w:color w:val="000000" w:themeColor="text1"/>
        </w:rPr>
      </w:pPr>
    </w:p>
    <w:p w14:paraId="46C098BE" w14:textId="77777777" w:rsidR="008A3D05" w:rsidRDefault="008A3D05" w:rsidP="008A3D05">
      <w:pPr>
        <w:spacing w:after="0" w:line="240" w:lineRule="auto"/>
        <w:rPr>
          <w:rFonts w:ascii="Verdana" w:eastAsia="Geomanist Light" w:hAnsi="Verdana" w:cs="Arial"/>
          <w:color w:val="000000" w:themeColor="text1"/>
        </w:rPr>
      </w:pPr>
    </w:p>
    <w:p w14:paraId="65B08457" w14:textId="77777777" w:rsidR="008A3D05" w:rsidRDefault="008A3D05" w:rsidP="008A3D05">
      <w:pPr>
        <w:spacing w:after="0" w:line="240" w:lineRule="auto"/>
        <w:rPr>
          <w:rFonts w:ascii="Verdana" w:eastAsia="Geomanist Light" w:hAnsi="Verdana" w:cs="Arial"/>
          <w:color w:val="000000" w:themeColor="text1"/>
        </w:rPr>
      </w:pPr>
    </w:p>
    <w:p w14:paraId="3FD1FD35" w14:textId="77777777" w:rsidR="008A3D05" w:rsidRDefault="008A3D05" w:rsidP="008A3D05">
      <w:pPr>
        <w:spacing w:after="0" w:line="240" w:lineRule="auto"/>
        <w:rPr>
          <w:rFonts w:ascii="Verdana" w:eastAsia="Geomanist Light" w:hAnsi="Verdana" w:cs="Arial"/>
          <w:color w:val="000000" w:themeColor="text1"/>
        </w:rPr>
      </w:pPr>
    </w:p>
    <w:p w14:paraId="75EBC0E7" w14:textId="77777777" w:rsidR="008A3D05" w:rsidRDefault="008A3D05" w:rsidP="008A3D05">
      <w:pPr>
        <w:spacing w:after="0" w:line="240" w:lineRule="auto"/>
        <w:rPr>
          <w:rFonts w:ascii="Verdana" w:eastAsia="Geomanist Light" w:hAnsi="Verdana" w:cs="Arial"/>
          <w:color w:val="000000" w:themeColor="text1"/>
        </w:rPr>
      </w:pPr>
    </w:p>
    <w:p w14:paraId="70545846" w14:textId="77777777" w:rsidR="008A3D05" w:rsidRDefault="008A3D05" w:rsidP="008A3D05">
      <w:pPr>
        <w:spacing w:after="0" w:line="240" w:lineRule="auto"/>
        <w:rPr>
          <w:rFonts w:ascii="Verdana" w:eastAsia="Geomanist Light" w:hAnsi="Verdana" w:cs="Arial"/>
          <w:color w:val="000000" w:themeColor="text1"/>
        </w:rPr>
      </w:pPr>
    </w:p>
    <w:p w14:paraId="6ECB6718" w14:textId="77777777" w:rsidR="008A3D05" w:rsidRDefault="008A3D05" w:rsidP="008A3D05">
      <w:pPr>
        <w:spacing w:after="0" w:line="240" w:lineRule="auto"/>
        <w:rPr>
          <w:rFonts w:ascii="Verdana" w:eastAsia="Geomanist Light" w:hAnsi="Verdana" w:cs="Arial"/>
          <w:color w:val="000000" w:themeColor="text1"/>
        </w:rPr>
      </w:pPr>
    </w:p>
    <w:p w14:paraId="0C3EF2B1" w14:textId="77777777" w:rsidR="008A3D05" w:rsidRDefault="008A3D05" w:rsidP="008A3D05">
      <w:pPr>
        <w:spacing w:after="0" w:line="240" w:lineRule="auto"/>
        <w:rPr>
          <w:rFonts w:ascii="Verdana" w:eastAsia="Geomanist Light" w:hAnsi="Verdana" w:cs="Arial"/>
          <w:color w:val="000000" w:themeColor="text1"/>
        </w:rPr>
      </w:pPr>
    </w:p>
    <w:p w14:paraId="65F12439" w14:textId="77777777" w:rsidR="008A3D05" w:rsidRDefault="008A3D05" w:rsidP="008A3D05">
      <w:pPr>
        <w:spacing w:after="0" w:line="240" w:lineRule="auto"/>
        <w:rPr>
          <w:rFonts w:ascii="Verdana" w:eastAsia="Geomanist Light" w:hAnsi="Verdana" w:cs="Arial"/>
          <w:color w:val="000000" w:themeColor="text1"/>
        </w:rPr>
      </w:pPr>
    </w:p>
    <w:p w14:paraId="6F079A30" w14:textId="77777777" w:rsidR="008A3D05" w:rsidRDefault="008A3D05" w:rsidP="008A3D05">
      <w:pPr>
        <w:spacing w:after="0" w:line="240" w:lineRule="auto"/>
        <w:rPr>
          <w:rFonts w:ascii="Verdana" w:eastAsia="Geomanist Light" w:hAnsi="Verdana" w:cs="Arial"/>
          <w:color w:val="000000" w:themeColor="text1"/>
        </w:rPr>
      </w:pPr>
    </w:p>
    <w:p w14:paraId="11B30A78" w14:textId="77777777" w:rsidR="008A3D05" w:rsidRDefault="008A3D05" w:rsidP="008A3D05">
      <w:pPr>
        <w:spacing w:after="0" w:line="240" w:lineRule="auto"/>
        <w:rPr>
          <w:rFonts w:ascii="Verdana" w:eastAsia="Geomanist Light" w:hAnsi="Verdana" w:cs="Arial"/>
          <w:color w:val="201F1E"/>
        </w:rPr>
      </w:pPr>
      <w:r w:rsidRPr="00D41CA6">
        <w:rPr>
          <w:rFonts w:ascii="Verdana" w:eastAsia="Geomanist Light" w:hAnsi="Verdana" w:cs="Arial"/>
          <w:color w:val="000000" w:themeColor="text1"/>
        </w:rPr>
        <w:lastRenderedPageBreak/>
        <w:t>Bogotá D.C., </w:t>
      </w:r>
      <w:r w:rsidRPr="00D41CA6">
        <w:rPr>
          <w:rFonts w:ascii="Verdana" w:eastAsia="Geomanist Light" w:hAnsi="Verdana" w:cs="Arial"/>
          <w:color w:val="201F1E"/>
        </w:rPr>
        <w:t>[Día] de [</w:t>
      </w:r>
      <w:proofErr w:type="spellStart"/>
      <w:r w:rsidRPr="00D41CA6">
        <w:rPr>
          <w:rFonts w:ascii="Verdana" w:eastAsia="Geomanist Light" w:hAnsi="Verdana" w:cs="Arial"/>
          <w:color w:val="201F1E"/>
        </w:rPr>
        <w:t>Mes.NombreCapitalizado</w:t>
      </w:r>
      <w:proofErr w:type="spellEnd"/>
      <w:r w:rsidRPr="00D41CA6">
        <w:rPr>
          <w:rFonts w:ascii="Verdana" w:eastAsia="Geomanist Light" w:hAnsi="Verdana" w:cs="Arial"/>
          <w:color w:val="201F1E"/>
        </w:rPr>
        <w:t>] de [Año]</w:t>
      </w:r>
    </w:p>
    <w:p w14:paraId="5F33F3C9" w14:textId="77777777" w:rsidR="003B0BC7" w:rsidRPr="00D41CA6" w:rsidRDefault="003B0BC7" w:rsidP="008A3D05">
      <w:pPr>
        <w:spacing w:after="0" w:line="240" w:lineRule="auto"/>
        <w:rPr>
          <w:rFonts w:ascii="Verdana" w:eastAsia="Calibri" w:hAnsi="Verdana" w:cs="Arial"/>
          <w:color w:val="000000"/>
        </w:rPr>
      </w:pPr>
    </w:p>
    <w:p w14:paraId="1CA547C8" w14:textId="4E56D963" w:rsidR="008A3D05" w:rsidRPr="00D41CA6" w:rsidRDefault="003B0BC7" w:rsidP="008A3D05">
      <w:pPr>
        <w:spacing w:after="0" w:line="240" w:lineRule="auto"/>
        <w:jc w:val="right"/>
        <w:rPr>
          <w:rFonts w:ascii="Verdana" w:eastAsia="Calibri" w:hAnsi="Verdana" w:cs="Arial"/>
          <w:color w:val="000000"/>
        </w:rPr>
      </w:pPr>
      <w:r w:rsidRPr="003B0BC7">
        <w:rPr>
          <w:rFonts w:ascii="Verdana" w:eastAsia="Calibri" w:hAnsi="Verdana" w:cs="Arial"/>
          <w:noProof/>
          <w:color w:val="000000"/>
        </w:rPr>
        <w:drawing>
          <wp:inline distT="0" distB="0" distL="0" distR="0" wp14:anchorId="74DE92D0" wp14:editId="3B109200">
            <wp:extent cx="3318202" cy="910084"/>
            <wp:effectExtent l="0" t="0" r="0" b="4445"/>
            <wp:docPr id="102760024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00245" name="Imagen 1" descr="Texto&#10;&#10;El contenido generado por IA puede ser incorrecto."/>
                    <pic:cNvPicPr/>
                  </pic:nvPicPr>
                  <pic:blipFill>
                    <a:blip r:embed="rId10"/>
                    <a:stretch>
                      <a:fillRect/>
                    </a:stretch>
                  </pic:blipFill>
                  <pic:spPr>
                    <a:xfrm>
                      <a:off x="0" y="0"/>
                      <a:ext cx="3337401" cy="915350"/>
                    </a:xfrm>
                    <a:prstGeom prst="rect">
                      <a:avLst/>
                    </a:prstGeom>
                  </pic:spPr>
                </pic:pic>
              </a:graphicData>
            </a:graphic>
          </wp:inline>
        </w:drawing>
      </w:r>
    </w:p>
    <w:p w14:paraId="0BBF8140" w14:textId="77777777" w:rsidR="008A3D05" w:rsidRPr="00D41CA6" w:rsidRDefault="008A3D05" w:rsidP="008A3D05">
      <w:pPr>
        <w:spacing w:after="0" w:line="240" w:lineRule="auto"/>
        <w:jc w:val="both"/>
        <w:rPr>
          <w:rFonts w:ascii="Verdana" w:eastAsia="Calibri" w:hAnsi="Verdana" w:cs="Arial"/>
          <w:lang w:eastAsia="es-ES"/>
        </w:rPr>
      </w:pPr>
    </w:p>
    <w:p w14:paraId="4CCE3390" w14:textId="1DDF6A04" w:rsidR="008A3D05" w:rsidRPr="00D41CA6" w:rsidRDefault="008A3D05" w:rsidP="008A3D05">
      <w:pPr>
        <w:spacing w:after="0" w:line="240" w:lineRule="auto"/>
        <w:jc w:val="both"/>
        <w:rPr>
          <w:rFonts w:ascii="Verdana" w:eastAsia="Calibri" w:hAnsi="Verdana" w:cs="Arial"/>
          <w:lang w:eastAsia="es-ES"/>
        </w:rPr>
      </w:pPr>
      <w:r w:rsidRPr="00D41CA6">
        <w:rPr>
          <w:rFonts w:ascii="Verdana" w:eastAsia="Calibri" w:hAnsi="Verdana" w:cs="Arial"/>
          <w:lang w:eastAsia="es-ES"/>
        </w:rPr>
        <w:t>Señor</w:t>
      </w:r>
      <w:r w:rsidR="0095298F">
        <w:rPr>
          <w:rFonts w:ascii="Verdana" w:eastAsia="Calibri" w:hAnsi="Verdana" w:cs="Arial"/>
          <w:lang w:eastAsia="es-ES"/>
        </w:rPr>
        <w:t xml:space="preserve"> </w:t>
      </w:r>
    </w:p>
    <w:p w14:paraId="1D9D07D0" w14:textId="77777777" w:rsidR="008A3D05" w:rsidRPr="00550991" w:rsidRDefault="008A3D05" w:rsidP="008A3D05">
      <w:pPr>
        <w:spacing w:after="0" w:line="240" w:lineRule="auto"/>
        <w:rPr>
          <w:rFonts w:ascii="Verdana" w:eastAsia="Calibri" w:hAnsi="Verdana" w:cs="Arial"/>
          <w:b/>
          <w:lang w:eastAsia="es-ES"/>
        </w:rPr>
      </w:pPr>
      <w:proofErr w:type="spellStart"/>
      <w:r w:rsidRPr="00550991">
        <w:rPr>
          <w:rFonts w:ascii="Verdana" w:eastAsia="Calibri" w:hAnsi="Verdana" w:cs="Arial"/>
          <w:b/>
          <w:lang w:eastAsia="es-ES"/>
        </w:rPr>
        <w:t>Dayver</w:t>
      </w:r>
      <w:proofErr w:type="spellEnd"/>
      <w:r w:rsidRPr="00550991">
        <w:rPr>
          <w:rFonts w:ascii="Verdana" w:eastAsia="Calibri" w:hAnsi="Verdana" w:cs="Arial"/>
          <w:b/>
          <w:lang w:eastAsia="es-ES"/>
        </w:rPr>
        <w:t xml:space="preserve"> </w:t>
      </w:r>
      <w:proofErr w:type="spellStart"/>
      <w:r w:rsidRPr="00550991">
        <w:rPr>
          <w:rFonts w:ascii="Verdana" w:eastAsia="Calibri" w:hAnsi="Verdana" w:cs="Arial"/>
          <w:b/>
          <w:lang w:eastAsia="es-ES"/>
        </w:rPr>
        <w:t>Eskey</w:t>
      </w:r>
      <w:proofErr w:type="spellEnd"/>
      <w:r w:rsidRPr="00550991">
        <w:rPr>
          <w:rFonts w:ascii="Verdana" w:eastAsia="Calibri" w:hAnsi="Verdana" w:cs="Arial"/>
          <w:b/>
          <w:lang w:eastAsia="es-ES"/>
        </w:rPr>
        <w:t xml:space="preserve"> Mosquera Moreno</w:t>
      </w:r>
    </w:p>
    <w:p w14:paraId="2C416AA4" w14:textId="77777777" w:rsidR="008A3D05" w:rsidRPr="00550991" w:rsidRDefault="008A3D05" w:rsidP="008A3D05">
      <w:pPr>
        <w:spacing w:after="0" w:line="240" w:lineRule="auto"/>
        <w:rPr>
          <w:rFonts w:ascii="Verdana" w:hAnsi="Verdana"/>
        </w:rPr>
      </w:pPr>
      <w:hyperlink r:id="rId11" w:history="1">
        <w:r w:rsidRPr="00550991">
          <w:rPr>
            <w:rStyle w:val="Hipervnculo"/>
            <w:rFonts w:ascii="Verdana" w:hAnsi="Verdana"/>
          </w:rPr>
          <w:t>dayver.mosquera@dsts.com.co</w:t>
        </w:r>
      </w:hyperlink>
      <w:r w:rsidRPr="00550991">
        <w:rPr>
          <w:rFonts w:ascii="Verdana" w:hAnsi="Verdana"/>
        </w:rPr>
        <w:t xml:space="preserve">    </w:t>
      </w:r>
    </w:p>
    <w:p w14:paraId="64A4D245" w14:textId="77777777" w:rsidR="008A3D05" w:rsidRPr="00D41CA6" w:rsidRDefault="008A3D05" w:rsidP="008A3D05">
      <w:pPr>
        <w:spacing w:after="0" w:line="240" w:lineRule="auto"/>
        <w:rPr>
          <w:rFonts w:ascii="Verdana" w:eastAsia="Calibri" w:hAnsi="Verdana" w:cs="Arial"/>
          <w:lang w:eastAsia="es-ES"/>
        </w:rPr>
      </w:pPr>
      <w:r>
        <w:rPr>
          <w:rFonts w:ascii="Verdana" w:hAnsi="Verdana"/>
        </w:rPr>
        <w:t>Medellín, Antioquía</w:t>
      </w:r>
    </w:p>
    <w:p w14:paraId="22237FDA" w14:textId="77777777" w:rsidR="008A3D05" w:rsidRPr="00D41CA6" w:rsidRDefault="008A3D05" w:rsidP="008A3D05">
      <w:pPr>
        <w:spacing w:after="0" w:line="240" w:lineRule="auto"/>
        <w:rPr>
          <w:rFonts w:ascii="Verdana" w:eastAsia="Calibri" w:hAnsi="Verdana" w:cs="Arial"/>
          <w:b/>
          <w:bCs/>
          <w:color w:val="000000"/>
          <w:lang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A3D05" w:rsidRPr="00D41CA6" w14:paraId="0C36849C" w14:textId="77777777" w:rsidTr="00A97520">
        <w:trPr>
          <w:trHeight w:val="218"/>
        </w:trPr>
        <w:tc>
          <w:tcPr>
            <w:tcW w:w="2689" w:type="dxa"/>
          </w:tcPr>
          <w:p w14:paraId="46EC9F6B" w14:textId="77777777" w:rsidR="008A3D05" w:rsidRPr="00D41CA6" w:rsidRDefault="008A3D05" w:rsidP="00DB0313">
            <w:pPr>
              <w:jc w:val="both"/>
              <w:rPr>
                <w:rFonts w:ascii="Verdana" w:eastAsia="Calibri" w:hAnsi="Verdana" w:cs="Arial"/>
                <w:b/>
                <w:bCs/>
                <w:color w:val="7030A0"/>
                <w:lang w:eastAsia="es-ES_tradnl"/>
              </w:rPr>
            </w:pPr>
          </w:p>
        </w:tc>
        <w:tc>
          <w:tcPr>
            <w:tcW w:w="6242" w:type="dxa"/>
          </w:tcPr>
          <w:p w14:paraId="7EACA1CF" w14:textId="77777777" w:rsidR="008A3D05" w:rsidRDefault="008A3D05" w:rsidP="00DB0313">
            <w:pPr>
              <w:jc w:val="both"/>
              <w:rPr>
                <w:rFonts w:ascii="Verdana" w:eastAsia="Calibri" w:hAnsi="Verdana" w:cs="Arial"/>
                <w:b/>
                <w:bCs/>
                <w:lang w:eastAsia="es-ES"/>
              </w:rPr>
            </w:pPr>
            <w:r w:rsidRPr="00D41CA6">
              <w:rPr>
                <w:rFonts w:ascii="Verdana" w:eastAsia="Calibri" w:hAnsi="Verdana" w:cs="Arial"/>
                <w:b/>
                <w:bCs/>
                <w:lang w:eastAsia="es-ES"/>
              </w:rPr>
              <w:t>Concepto C – 6</w:t>
            </w:r>
            <w:r>
              <w:rPr>
                <w:rFonts w:ascii="Verdana" w:eastAsia="Calibri" w:hAnsi="Verdana" w:cs="Arial"/>
                <w:b/>
                <w:bCs/>
                <w:lang w:eastAsia="es-ES"/>
              </w:rPr>
              <w:t>54</w:t>
            </w:r>
            <w:r w:rsidRPr="00D41CA6">
              <w:rPr>
                <w:rFonts w:ascii="Verdana" w:eastAsia="Calibri" w:hAnsi="Verdana" w:cs="Arial"/>
                <w:b/>
                <w:bCs/>
                <w:lang w:eastAsia="es-ES"/>
              </w:rPr>
              <w:t xml:space="preserve"> de 2025</w:t>
            </w:r>
          </w:p>
          <w:p w14:paraId="3FC88F84" w14:textId="77777777" w:rsidR="008A3D05" w:rsidRPr="00D41CA6" w:rsidRDefault="008A3D05" w:rsidP="00DB0313">
            <w:pPr>
              <w:jc w:val="both"/>
              <w:rPr>
                <w:rFonts w:ascii="Verdana" w:eastAsia="Calibri" w:hAnsi="Verdana" w:cs="Arial"/>
                <w:b/>
                <w:bCs/>
                <w:lang w:eastAsia="es-ES"/>
              </w:rPr>
            </w:pPr>
          </w:p>
        </w:tc>
      </w:tr>
      <w:tr w:rsidR="008A3D05" w:rsidRPr="00D41CA6" w14:paraId="7DEBBDB9" w14:textId="77777777" w:rsidTr="00DB0313">
        <w:trPr>
          <w:trHeight w:val="1432"/>
        </w:trPr>
        <w:tc>
          <w:tcPr>
            <w:tcW w:w="2689" w:type="dxa"/>
          </w:tcPr>
          <w:p w14:paraId="228A1D5B" w14:textId="77777777" w:rsidR="008A3D05" w:rsidRPr="00D41CA6" w:rsidRDefault="008A3D05" w:rsidP="00DB0313">
            <w:pPr>
              <w:jc w:val="both"/>
              <w:rPr>
                <w:rFonts w:ascii="Verdana" w:eastAsia="Calibri" w:hAnsi="Verdana" w:cs="Arial"/>
                <w:color w:val="000000"/>
                <w:lang w:eastAsia="es-ES_tradnl"/>
              </w:rPr>
            </w:pPr>
            <w:r w:rsidRPr="00D41CA6">
              <w:rPr>
                <w:rFonts w:ascii="Verdana" w:eastAsia="Calibri" w:hAnsi="Verdana" w:cs="Arial"/>
                <w:b/>
                <w:color w:val="000000"/>
                <w:lang w:eastAsia="es-ES_tradnl"/>
              </w:rPr>
              <w:t>Temas:</w:t>
            </w:r>
            <w:r w:rsidRPr="00D41CA6">
              <w:rPr>
                <w:rFonts w:ascii="Verdana" w:eastAsia="Calibri" w:hAnsi="Verdana" w:cs="Arial"/>
                <w:color w:val="000000"/>
                <w:lang w:eastAsia="es-ES_tradnl"/>
              </w:rPr>
              <w:t xml:space="preserve">                   </w:t>
            </w:r>
          </w:p>
        </w:tc>
        <w:tc>
          <w:tcPr>
            <w:tcW w:w="6242" w:type="dxa"/>
          </w:tcPr>
          <w:p w14:paraId="2794E6E1" w14:textId="77777777" w:rsidR="008A3D05" w:rsidRDefault="008A3D05" w:rsidP="00DB0313">
            <w:pPr>
              <w:jc w:val="both"/>
              <w:rPr>
                <w:rFonts w:ascii="Verdana" w:eastAsia="Calibri" w:hAnsi="Verdana" w:cs="Arial"/>
                <w:lang w:val="es-ES" w:eastAsia="es-ES"/>
              </w:rPr>
            </w:pPr>
            <w:r>
              <w:rPr>
                <w:rFonts w:ascii="Verdana" w:eastAsia="Calibri" w:hAnsi="Verdana" w:cs="Arial"/>
                <w:lang w:val="es-ES" w:eastAsia="es-ES"/>
              </w:rPr>
              <w:t xml:space="preserve">ADENDAS – Modificación al cronograma – ADENDAS </w:t>
            </w:r>
            <w:r w:rsidRPr="00AE78ED">
              <w:rPr>
                <w:rFonts w:ascii="Verdana" w:eastAsia="Calibri" w:hAnsi="Verdana" w:cs="Arial"/>
                <w:lang w:val="es-ES" w:eastAsia="es-ES"/>
              </w:rPr>
              <w:t xml:space="preserve">– </w:t>
            </w:r>
            <w:r>
              <w:rPr>
                <w:rFonts w:ascii="Verdana" w:eastAsia="Calibri" w:hAnsi="Verdana" w:cs="Arial"/>
                <w:lang w:val="es-ES" w:eastAsia="es-ES"/>
              </w:rPr>
              <w:t xml:space="preserve">límites - Principio de economía / </w:t>
            </w:r>
            <w:r w:rsidRPr="002C6077">
              <w:rPr>
                <w:rFonts w:ascii="Verdana" w:eastAsia="Calibri" w:hAnsi="Verdana" w:cs="Arial"/>
                <w:lang w:val="es-ES" w:eastAsia="es-ES"/>
              </w:rPr>
              <w:t xml:space="preserve">SUBSANABILIDAD DE LAS OFERTAS – Alcance de la regla – Ley 1882 de 2018– Ámbito temporal – Criterio material / SUBASTA INVERSA— Regla de </w:t>
            </w:r>
            <w:proofErr w:type="spellStart"/>
            <w:r w:rsidRPr="002C6077">
              <w:rPr>
                <w:rFonts w:ascii="Verdana" w:eastAsia="Calibri" w:hAnsi="Verdana" w:cs="Arial"/>
                <w:lang w:val="es-ES" w:eastAsia="es-ES"/>
              </w:rPr>
              <w:t>Subsanabilidad</w:t>
            </w:r>
            <w:proofErr w:type="spellEnd"/>
            <w:r w:rsidRPr="002C6077">
              <w:rPr>
                <w:rFonts w:ascii="Verdana" w:eastAsia="Calibri" w:hAnsi="Verdana" w:cs="Arial"/>
                <w:lang w:val="es-ES" w:eastAsia="es-ES"/>
              </w:rPr>
              <w:t xml:space="preserve"> / SUBASTA INVERSA – Regla de </w:t>
            </w:r>
            <w:proofErr w:type="spellStart"/>
            <w:r w:rsidRPr="002C6077">
              <w:rPr>
                <w:rFonts w:ascii="Verdana" w:eastAsia="Calibri" w:hAnsi="Verdana" w:cs="Arial"/>
                <w:lang w:val="es-ES" w:eastAsia="es-ES"/>
              </w:rPr>
              <w:t>subsanabilidad</w:t>
            </w:r>
            <w:proofErr w:type="spellEnd"/>
            <w:r w:rsidRPr="002C6077">
              <w:rPr>
                <w:rFonts w:ascii="Verdana" w:eastAsia="Calibri" w:hAnsi="Verdana" w:cs="Arial"/>
                <w:lang w:val="es-ES" w:eastAsia="es-ES"/>
              </w:rPr>
              <w:t xml:space="preserve"> – Tiempo límite – Alcance normativo / SUBASTA INVERSA – Regla de </w:t>
            </w:r>
            <w:proofErr w:type="spellStart"/>
            <w:r w:rsidRPr="002C6077">
              <w:rPr>
                <w:rFonts w:ascii="Verdana" w:eastAsia="Calibri" w:hAnsi="Verdana" w:cs="Arial"/>
                <w:lang w:val="es-ES" w:eastAsia="es-ES"/>
              </w:rPr>
              <w:t>subsanabilidad</w:t>
            </w:r>
            <w:proofErr w:type="spellEnd"/>
            <w:r w:rsidRPr="002C6077">
              <w:rPr>
                <w:rFonts w:ascii="Verdana" w:eastAsia="Calibri" w:hAnsi="Verdana" w:cs="Arial"/>
                <w:lang w:val="es-ES" w:eastAsia="es-ES"/>
              </w:rPr>
              <w:t xml:space="preserve"> – Limite de veces</w:t>
            </w:r>
          </w:p>
          <w:p w14:paraId="166A0FC5" w14:textId="77777777" w:rsidR="008A3D05" w:rsidRPr="007A744F" w:rsidRDefault="008A3D05" w:rsidP="00DB0313">
            <w:pPr>
              <w:jc w:val="both"/>
              <w:rPr>
                <w:rFonts w:ascii="Verdana" w:eastAsia="Calibri" w:hAnsi="Verdana" w:cs="Arial"/>
                <w:lang w:val="es-ES" w:eastAsia="es-ES"/>
              </w:rPr>
            </w:pPr>
          </w:p>
        </w:tc>
      </w:tr>
      <w:tr w:rsidR="008A3D05" w:rsidRPr="00D41CA6" w14:paraId="45A0DF69" w14:textId="77777777" w:rsidTr="00DB0313">
        <w:tc>
          <w:tcPr>
            <w:tcW w:w="2689" w:type="dxa"/>
          </w:tcPr>
          <w:p w14:paraId="57DA5525" w14:textId="77777777" w:rsidR="008A3D05" w:rsidRPr="00D41CA6" w:rsidRDefault="008A3D05" w:rsidP="00DB0313">
            <w:pPr>
              <w:jc w:val="both"/>
              <w:rPr>
                <w:rFonts w:ascii="Verdana" w:eastAsia="Calibri" w:hAnsi="Verdana" w:cs="Arial"/>
                <w:b/>
                <w:lang w:eastAsia="es-ES_tradnl"/>
              </w:rPr>
            </w:pPr>
            <w:r w:rsidRPr="00D41CA6">
              <w:rPr>
                <w:rFonts w:ascii="Verdana" w:eastAsia="Calibri" w:hAnsi="Verdana" w:cs="Arial"/>
                <w:b/>
                <w:lang w:eastAsia="es-ES_tradnl"/>
              </w:rPr>
              <w:t>Radicación:</w:t>
            </w:r>
            <w:r w:rsidRPr="00D41CA6">
              <w:rPr>
                <w:rFonts w:ascii="Verdana" w:eastAsia="Calibri" w:hAnsi="Verdana" w:cs="Arial"/>
                <w:lang w:eastAsia="es-ES_tradnl"/>
              </w:rPr>
              <w:t xml:space="preserve">               </w:t>
            </w:r>
          </w:p>
        </w:tc>
        <w:tc>
          <w:tcPr>
            <w:tcW w:w="6242" w:type="dxa"/>
          </w:tcPr>
          <w:p w14:paraId="6E015EDB" w14:textId="77777777" w:rsidR="008A3D05" w:rsidRPr="00D41CA6" w:rsidRDefault="008A3D05" w:rsidP="00DB0313">
            <w:pPr>
              <w:jc w:val="both"/>
              <w:rPr>
                <w:rFonts w:ascii="Verdana" w:eastAsia="Calibri" w:hAnsi="Verdana" w:cs="Arial"/>
                <w:lang w:eastAsia="es-ES_tradnl"/>
              </w:rPr>
            </w:pPr>
            <w:r w:rsidRPr="00D41CA6">
              <w:rPr>
                <w:rFonts w:ascii="Verdana" w:eastAsia="Calibri" w:hAnsi="Verdana" w:cs="Arial"/>
                <w:lang w:eastAsia="es-ES_tradnl"/>
              </w:rPr>
              <w:t xml:space="preserve">Respuesta a la consulta con radicado No.  </w:t>
            </w:r>
            <w:r w:rsidRPr="007C5E49">
              <w:rPr>
                <w:rFonts w:ascii="Verdana" w:eastAsia="Calibri" w:hAnsi="Verdana" w:cs="Arial"/>
                <w:lang w:eastAsia="es-ES_tradnl"/>
              </w:rPr>
              <w:t>P20250523005023</w:t>
            </w:r>
          </w:p>
        </w:tc>
      </w:tr>
    </w:tbl>
    <w:p w14:paraId="47A78FB1" w14:textId="77777777" w:rsidR="008A3D05" w:rsidRPr="00D41CA6" w:rsidRDefault="008A3D05" w:rsidP="008A3D05">
      <w:pPr>
        <w:spacing w:after="0" w:line="240" w:lineRule="auto"/>
        <w:jc w:val="both"/>
        <w:rPr>
          <w:rFonts w:ascii="Verdana" w:eastAsia="Calibri" w:hAnsi="Verdana" w:cs="Arial"/>
          <w:color w:val="000000"/>
          <w:lang w:eastAsia="es-ES_tradnl"/>
        </w:rPr>
      </w:pPr>
    </w:p>
    <w:p w14:paraId="02405D42" w14:textId="77777777" w:rsidR="008A3D05" w:rsidRPr="00D41CA6" w:rsidRDefault="008A3D05" w:rsidP="008A3D05">
      <w:pPr>
        <w:spacing w:after="0" w:line="240" w:lineRule="auto"/>
        <w:jc w:val="both"/>
        <w:rPr>
          <w:rFonts w:ascii="Verdana" w:eastAsia="Calibri" w:hAnsi="Verdana" w:cs="Arial"/>
          <w:color w:val="000000"/>
          <w:lang w:eastAsia="es-ES_tradnl"/>
        </w:rPr>
      </w:pPr>
    </w:p>
    <w:p w14:paraId="7A466C4A" w14:textId="77777777" w:rsidR="008A3D05" w:rsidRPr="00D41CA6" w:rsidRDefault="008A3D05" w:rsidP="008A3D05">
      <w:pPr>
        <w:spacing w:after="0" w:line="276" w:lineRule="auto"/>
        <w:jc w:val="both"/>
        <w:rPr>
          <w:rFonts w:ascii="Verdana" w:eastAsia="Calibri" w:hAnsi="Verdana" w:cs="Arial"/>
          <w:lang w:eastAsia="es-ES"/>
        </w:rPr>
      </w:pPr>
      <w:r w:rsidRPr="00D41CA6">
        <w:rPr>
          <w:rFonts w:ascii="Verdana" w:eastAsia="Calibri" w:hAnsi="Verdana" w:cs="Arial"/>
          <w:lang w:eastAsia="es-ES"/>
        </w:rPr>
        <w:t xml:space="preserve">Estimado señor </w:t>
      </w:r>
      <w:r>
        <w:rPr>
          <w:rFonts w:ascii="Verdana" w:eastAsia="Calibri" w:hAnsi="Verdana" w:cs="Arial"/>
          <w:lang w:eastAsia="es-ES"/>
        </w:rPr>
        <w:t>Mosquera Moreno</w:t>
      </w:r>
      <w:r w:rsidRPr="00D41CA6">
        <w:rPr>
          <w:rFonts w:ascii="Verdana" w:eastAsia="Calibri" w:hAnsi="Verdana" w:cs="Arial"/>
          <w:lang w:eastAsia="es-ES"/>
        </w:rPr>
        <w:t xml:space="preserve">: </w:t>
      </w:r>
    </w:p>
    <w:p w14:paraId="7AB53F61" w14:textId="77777777" w:rsidR="008A3D05" w:rsidRPr="00D41CA6" w:rsidRDefault="008A3D05" w:rsidP="008A3D05">
      <w:pPr>
        <w:tabs>
          <w:tab w:val="left" w:pos="3768"/>
        </w:tabs>
        <w:spacing w:after="0" w:line="276" w:lineRule="auto"/>
        <w:jc w:val="both"/>
        <w:rPr>
          <w:rFonts w:ascii="Verdana" w:eastAsia="Calibri" w:hAnsi="Verdana" w:cs="Arial"/>
          <w:color w:val="000000" w:themeColor="text1"/>
          <w:lang w:eastAsia="es-ES"/>
        </w:rPr>
      </w:pPr>
      <w:r w:rsidRPr="00D41CA6">
        <w:rPr>
          <w:rFonts w:ascii="Verdana" w:eastAsia="Calibri" w:hAnsi="Verdana" w:cs="Arial"/>
          <w:color w:val="000000" w:themeColor="text1"/>
          <w:lang w:eastAsia="es-ES"/>
        </w:rPr>
        <w:tab/>
      </w:r>
    </w:p>
    <w:p w14:paraId="164D5DC2" w14:textId="77777777" w:rsidR="008A3D05" w:rsidRPr="00D41CA6" w:rsidRDefault="008A3D05" w:rsidP="008A3D05">
      <w:pPr>
        <w:spacing w:after="0" w:line="276" w:lineRule="auto"/>
        <w:jc w:val="both"/>
        <w:rPr>
          <w:rFonts w:ascii="Verdana" w:eastAsia="Calibri" w:hAnsi="Verdana" w:cs="Arial"/>
          <w:i/>
          <w:iCs/>
          <w:lang w:eastAsia="es-ES"/>
        </w:rPr>
      </w:pPr>
      <w:r w:rsidRPr="00D41CA6">
        <w:rPr>
          <w:rFonts w:ascii="Verdana" w:eastAsia="Calibri" w:hAnsi="Verdana" w:cs="Arial"/>
          <w:color w:val="000000" w:themeColor="text1"/>
          <w:lang w:eastAsia="es-ES"/>
        </w:rPr>
        <w:t>En ejercicio de la competencia otorgada por los artículos 3, numeral 5º, y 11, numeral 8º, del Decreto Ley 4170 de 2011,</w:t>
      </w:r>
      <w:r w:rsidRPr="00D41CA6">
        <w:rPr>
          <w:rFonts w:ascii="Verdana" w:eastAsia="Arial MT" w:hAnsi="Verdana" w:cs="Arial MT"/>
          <w:lang w:eastAsia="es-ES"/>
        </w:rPr>
        <w:t xml:space="preserve"> </w:t>
      </w:r>
      <w:r w:rsidRPr="00D41CA6">
        <w:rPr>
          <w:rFonts w:ascii="Verdana" w:hAnsi="Verdana" w:cs="Arial"/>
        </w:rPr>
        <w:t xml:space="preserve">así como lo establecido en el artículo 4 de la Resolución 1707 de 2018 expedida por esta Entidad, </w:t>
      </w:r>
      <w:r w:rsidRPr="00D41CA6">
        <w:rPr>
          <w:rFonts w:ascii="Verdana" w:eastAsia="Calibri" w:hAnsi="Verdana" w:cs="Arial"/>
          <w:color w:val="000000" w:themeColor="text1"/>
          <w:lang w:eastAsia="es-ES"/>
        </w:rPr>
        <w:t>la Agencia Nacional de Contratación Pública – Colombia Compra Eficiente responde su consulta del 2</w:t>
      </w:r>
      <w:r>
        <w:rPr>
          <w:rFonts w:ascii="Verdana" w:eastAsia="Calibri" w:hAnsi="Verdana" w:cs="Arial"/>
          <w:color w:val="000000" w:themeColor="text1"/>
          <w:lang w:eastAsia="es-ES"/>
        </w:rPr>
        <w:t>3</w:t>
      </w:r>
      <w:r w:rsidRPr="00D41CA6">
        <w:rPr>
          <w:rFonts w:ascii="Verdana" w:eastAsia="Calibri" w:hAnsi="Verdana" w:cs="Arial"/>
          <w:lang w:eastAsia="es-ES"/>
        </w:rPr>
        <w:t xml:space="preserve"> de mayo de 2025, en la cual solicita lo siguiente:</w:t>
      </w:r>
      <w:r w:rsidRPr="00D41CA6">
        <w:rPr>
          <w:rFonts w:ascii="Verdana" w:eastAsia="Calibri" w:hAnsi="Verdana" w:cs="Arial"/>
          <w:i/>
          <w:iCs/>
          <w:lang w:eastAsia="es-ES"/>
        </w:rPr>
        <w:t xml:space="preserve"> </w:t>
      </w:r>
      <w:bookmarkStart w:id="1" w:name="_Hlk95313578"/>
    </w:p>
    <w:p w14:paraId="31129626" w14:textId="77777777" w:rsidR="008A3D05" w:rsidRPr="00D41CA6" w:rsidRDefault="008A3D05" w:rsidP="008A3D05">
      <w:pPr>
        <w:spacing w:after="0" w:line="276" w:lineRule="auto"/>
        <w:jc w:val="both"/>
        <w:rPr>
          <w:rFonts w:ascii="Verdana" w:eastAsia="Calibri" w:hAnsi="Verdana" w:cs="Arial"/>
          <w:i/>
          <w:iCs/>
          <w:lang w:eastAsia="es-ES"/>
        </w:rPr>
      </w:pPr>
    </w:p>
    <w:bookmarkEnd w:id="1"/>
    <w:p w14:paraId="3116EBE6" w14:textId="77777777" w:rsidR="008A3D05" w:rsidRPr="0008145C" w:rsidRDefault="008A3D05" w:rsidP="008A3D05">
      <w:pPr>
        <w:spacing w:after="0" w:line="240" w:lineRule="auto"/>
        <w:ind w:left="709" w:right="709"/>
        <w:jc w:val="both"/>
        <w:rPr>
          <w:rFonts w:ascii="Verdana" w:eastAsia="Arial" w:hAnsi="Verdana" w:cs="Arial"/>
          <w:color w:val="000000"/>
          <w:sz w:val="20"/>
          <w:szCs w:val="20"/>
        </w:rPr>
      </w:pPr>
      <w:r w:rsidRPr="0008145C">
        <w:rPr>
          <w:rFonts w:ascii="Verdana" w:eastAsia="Arial" w:hAnsi="Verdana" w:cs="Arial"/>
          <w:color w:val="000000"/>
          <w:sz w:val="20"/>
          <w:szCs w:val="20"/>
        </w:rPr>
        <w:t>“[…]</w:t>
      </w:r>
    </w:p>
    <w:p w14:paraId="5764A3F4" w14:textId="77777777" w:rsidR="008A3D05" w:rsidRPr="0008145C" w:rsidRDefault="008A3D05" w:rsidP="008A3D05">
      <w:pPr>
        <w:spacing w:after="0" w:line="240" w:lineRule="auto"/>
        <w:ind w:left="709" w:right="709"/>
        <w:jc w:val="both"/>
        <w:rPr>
          <w:rFonts w:ascii="Verdana" w:eastAsia="Arial" w:hAnsi="Verdana" w:cs="Arial"/>
          <w:color w:val="000000"/>
          <w:sz w:val="20"/>
          <w:szCs w:val="20"/>
        </w:rPr>
      </w:pPr>
    </w:p>
    <w:p w14:paraId="4AF2B9D5" w14:textId="77777777" w:rsidR="008A3D05" w:rsidRPr="0008145C" w:rsidRDefault="008A3D05" w:rsidP="008A3D05">
      <w:pPr>
        <w:spacing w:after="0" w:line="240" w:lineRule="auto"/>
        <w:ind w:left="709" w:right="709"/>
        <w:jc w:val="both"/>
        <w:rPr>
          <w:rFonts w:ascii="Verdana" w:eastAsia="Arial" w:hAnsi="Verdana" w:cs="Arial"/>
          <w:color w:val="000000"/>
          <w:sz w:val="20"/>
          <w:szCs w:val="20"/>
        </w:rPr>
      </w:pPr>
      <w:r w:rsidRPr="0008145C">
        <w:rPr>
          <w:rFonts w:ascii="Verdana" w:eastAsia="Arial" w:hAnsi="Verdana" w:cs="Arial"/>
          <w:color w:val="000000"/>
          <w:sz w:val="20"/>
          <w:szCs w:val="20"/>
        </w:rPr>
        <w:t>Puede una entidad realizar actuaciones diferentes a las plasmadas en el cronograma del pliego de condiciones; o realizar modificaciones sin justificación alguna en pro de favorecer a un oferente en específico; o en su efecto no realizar las actividades plasmadas en el pliego de condiciones en la hora y fecha estipulada sin que ante exista una adenda modificatoria</w:t>
      </w:r>
    </w:p>
    <w:p w14:paraId="5CCFF353" w14:textId="77777777" w:rsidR="008A3D05" w:rsidRPr="0008145C" w:rsidRDefault="008A3D05" w:rsidP="008A3D05">
      <w:pPr>
        <w:spacing w:after="0" w:line="240" w:lineRule="auto"/>
        <w:ind w:left="709" w:right="709"/>
        <w:jc w:val="both"/>
        <w:rPr>
          <w:rFonts w:ascii="Verdana" w:eastAsia="Arial" w:hAnsi="Verdana" w:cs="Arial"/>
          <w:color w:val="000000"/>
          <w:sz w:val="20"/>
          <w:szCs w:val="20"/>
        </w:rPr>
      </w:pPr>
    </w:p>
    <w:p w14:paraId="30B693EA" w14:textId="77777777" w:rsidR="008A3D05" w:rsidRPr="0008145C" w:rsidRDefault="008A3D05" w:rsidP="008A3D05">
      <w:pPr>
        <w:spacing w:after="0" w:line="240" w:lineRule="auto"/>
        <w:ind w:left="709" w:right="709"/>
        <w:jc w:val="both"/>
        <w:rPr>
          <w:rFonts w:ascii="Verdana" w:eastAsia="Arial" w:hAnsi="Verdana" w:cs="Arial"/>
          <w:color w:val="000000"/>
          <w:sz w:val="20"/>
          <w:szCs w:val="20"/>
        </w:rPr>
      </w:pPr>
      <w:r w:rsidRPr="0008145C">
        <w:rPr>
          <w:rFonts w:ascii="Verdana" w:eastAsia="Arial" w:hAnsi="Verdana" w:cs="Arial"/>
          <w:color w:val="000000"/>
          <w:sz w:val="20"/>
          <w:szCs w:val="20"/>
        </w:rPr>
        <w:t>[…]</w:t>
      </w:r>
    </w:p>
    <w:p w14:paraId="67554CE6" w14:textId="77777777" w:rsidR="008A3D05" w:rsidRPr="0008145C" w:rsidRDefault="008A3D05" w:rsidP="008A3D05">
      <w:pPr>
        <w:spacing w:after="0" w:line="240" w:lineRule="auto"/>
        <w:ind w:left="709" w:right="709"/>
        <w:jc w:val="both"/>
        <w:rPr>
          <w:rFonts w:ascii="Verdana" w:eastAsia="Arial" w:hAnsi="Verdana" w:cs="Arial"/>
          <w:color w:val="000000"/>
          <w:sz w:val="20"/>
          <w:szCs w:val="20"/>
        </w:rPr>
      </w:pPr>
    </w:p>
    <w:p w14:paraId="4E740C0A" w14:textId="77777777" w:rsidR="008A3D05" w:rsidRPr="00D41CA6" w:rsidRDefault="008A3D05" w:rsidP="008A3D05">
      <w:pPr>
        <w:spacing w:after="0" w:line="240" w:lineRule="auto"/>
        <w:ind w:left="709" w:right="709"/>
        <w:jc w:val="both"/>
        <w:rPr>
          <w:rFonts w:ascii="Verdana" w:hAnsi="Verdana"/>
          <w:sz w:val="20"/>
          <w:szCs w:val="20"/>
        </w:rPr>
      </w:pPr>
      <w:r w:rsidRPr="0008145C">
        <w:rPr>
          <w:rFonts w:ascii="Verdana" w:eastAsia="Arial" w:hAnsi="Verdana" w:cs="Arial"/>
          <w:color w:val="000000"/>
          <w:sz w:val="20"/>
          <w:szCs w:val="20"/>
        </w:rPr>
        <w:t xml:space="preserve">Por lo </w:t>
      </w:r>
      <w:proofErr w:type="gramStart"/>
      <w:r w:rsidRPr="0008145C">
        <w:rPr>
          <w:rFonts w:ascii="Verdana" w:eastAsia="Arial" w:hAnsi="Verdana" w:cs="Arial"/>
          <w:color w:val="000000"/>
          <w:sz w:val="20"/>
          <w:szCs w:val="20"/>
        </w:rPr>
        <w:t>tanto</w:t>
      </w:r>
      <w:proofErr w:type="gramEnd"/>
      <w:r w:rsidRPr="0008145C">
        <w:rPr>
          <w:rFonts w:ascii="Verdana" w:eastAsia="Arial" w:hAnsi="Verdana" w:cs="Arial"/>
          <w:color w:val="000000"/>
          <w:sz w:val="20"/>
          <w:szCs w:val="20"/>
        </w:rPr>
        <w:t xml:space="preserve"> realizo la consulta ante la entidad y pregunto si este procedimiento es legal y se debía y podía </w:t>
      </w:r>
      <w:r w:rsidRPr="00B22EE8">
        <w:rPr>
          <w:rFonts w:ascii="Verdana" w:hAnsi="Verdana"/>
          <w:sz w:val="20"/>
          <w:szCs w:val="20"/>
        </w:rPr>
        <w:t>hacer de esta manera</w:t>
      </w:r>
      <w:r>
        <w:rPr>
          <w:rFonts w:ascii="Verdana" w:hAnsi="Verdana"/>
          <w:sz w:val="20"/>
          <w:szCs w:val="20"/>
        </w:rPr>
        <w:t xml:space="preserve"> </w:t>
      </w:r>
      <w:r w:rsidRPr="00D41CA6">
        <w:rPr>
          <w:rFonts w:ascii="Verdana" w:hAnsi="Verdana"/>
          <w:sz w:val="20"/>
          <w:szCs w:val="20"/>
        </w:rPr>
        <w:t>[…]”</w:t>
      </w:r>
    </w:p>
    <w:p w14:paraId="54FEB878" w14:textId="77777777" w:rsidR="008A3D05" w:rsidRPr="00D41CA6" w:rsidRDefault="008A3D05" w:rsidP="008A3D05">
      <w:pPr>
        <w:spacing w:after="0" w:line="276" w:lineRule="auto"/>
        <w:ind w:left="709" w:right="618"/>
        <w:jc w:val="both"/>
        <w:rPr>
          <w:rFonts w:ascii="Verdana" w:hAnsi="Verdana"/>
          <w:sz w:val="20"/>
          <w:szCs w:val="20"/>
        </w:rPr>
      </w:pPr>
    </w:p>
    <w:p w14:paraId="4AF7AF75" w14:textId="77777777" w:rsidR="008A3D05" w:rsidRPr="00D41CA6" w:rsidRDefault="008A3D05" w:rsidP="008A3D05">
      <w:pPr>
        <w:spacing w:after="120" w:line="276" w:lineRule="auto"/>
        <w:ind w:firstLine="709"/>
        <w:jc w:val="both"/>
        <w:rPr>
          <w:rFonts w:ascii="Verdana" w:eastAsia="Calibri" w:hAnsi="Verdana" w:cs="Arial"/>
          <w:color w:val="000000"/>
          <w:lang w:eastAsia="es-ES"/>
        </w:rPr>
      </w:pPr>
      <w:r w:rsidRPr="00D41CA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41CA6">
        <w:rPr>
          <w:rFonts w:ascii="Verdana" w:eastAsia="Calibri" w:hAnsi="Verdana" w:cs="Arial"/>
          <w:color w:val="000000"/>
          <w:szCs w:val="24"/>
          <w:lang w:eastAsia="es-ES_tradnl"/>
        </w:rPr>
        <w:tab/>
      </w:r>
    </w:p>
    <w:p w14:paraId="1B12E982" w14:textId="77777777" w:rsidR="008A3D05" w:rsidRPr="00D41CA6" w:rsidRDefault="008A3D05" w:rsidP="008A3D05">
      <w:pPr>
        <w:spacing w:after="0" w:line="276" w:lineRule="auto"/>
        <w:ind w:firstLine="709"/>
        <w:jc w:val="both"/>
        <w:rPr>
          <w:rFonts w:ascii="Verdana" w:eastAsia="Calibri" w:hAnsi="Verdana" w:cs="Arial"/>
          <w:lang w:eastAsia="es-ES"/>
        </w:rPr>
      </w:pPr>
      <w:r w:rsidRPr="00D41CA6">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w:t>
      </w:r>
      <w:r w:rsidRPr="00D41CA6">
        <w:rPr>
          <w:rFonts w:ascii="Verdana" w:eastAsia="Calibri" w:hAnsi="Verdana" w:cs="Arial"/>
          <w:lang w:eastAsia="es-ES"/>
        </w:rPr>
        <w:t xml:space="preserve">esto es, haciendo abstracción de las circunstancias particulares y concretas mencionadas en su petición, pero exponiendo algunas consideraciones sobre las normas generales relacionadas con el problema jurídico propuesto. </w:t>
      </w:r>
    </w:p>
    <w:p w14:paraId="3F94D713" w14:textId="77777777" w:rsidR="008A3D05" w:rsidRPr="00D41CA6" w:rsidRDefault="008A3D05" w:rsidP="008A3D05">
      <w:pPr>
        <w:spacing w:after="0" w:line="276" w:lineRule="auto"/>
        <w:ind w:firstLine="709"/>
        <w:jc w:val="both"/>
        <w:rPr>
          <w:rFonts w:ascii="Verdana" w:eastAsia="Calibri" w:hAnsi="Verdana" w:cs="Arial"/>
          <w:color w:val="000000"/>
          <w:lang w:eastAsia="es-ES"/>
        </w:rPr>
      </w:pPr>
    </w:p>
    <w:p w14:paraId="4C0BCC3E" w14:textId="77777777" w:rsidR="008A3D05" w:rsidRPr="00D41CA6" w:rsidRDefault="008A3D05" w:rsidP="008A3D05">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Problemas planteados:</w:t>
      </w:r>
    </w:p>
    <w:p w14:paraId="7BA74647" w14:textId="77777777" w:rsidR="008A3D05" w:rsidRPr="00D41CA6" w:rsidRDefault="008A3D05" w:rsidP="008A3D05">
      <w:pPr>
        <w:tabs>
          <w:tab w:val="left" w:pos="426"/>
        </w:tabs>
        <w:spacing w:after="0" w:line="276" w:lineRule="auto"/>
        <w:jc w:val="both"/>
        <w:rPr>
          <w:rFonts w:ascii="Verdana" w:eastAsia="Century Gothic" w:hAnsi="Verdana" w:cs="Century Gothic"/>
        </w:rPr>
      </w:pPr>
    </w:p>
    <w:p w14:paraId="5B40173D" w14:textId="77777777" w:rsidR="008A3D05" w:rsidRDefault="008A3D05" w:rsidP="008A3D05">
      <w:pPr>
        <w:spacing w:after="0" w:line="276" w:lineRule="auto"/>
        <w:jc w:val="both"/>
        <w:rPr>
          <w:rFonts w:ascii="Verdana" w:eastAsia="Century Gothic" w:hAnsi="Verdana" w:cs="Century Gothic"/>
        </w:rPr>
      </w:pPr>
      <w:r w:rsidRPr="00D41CA6">
        <w:rPr>
          <w:rFonts w:ascii="Verdana" w:eastAsia="Century Gothic" w:hAnsi="Verdana" w:cs="Century Gothic"/>
        </w:rPr>
        <w:t xml:space="preserve">De acuerdo con el contenido de su solicitud, esta Agencia </w:t>
      </w:r>
      <w:r>
        <w:rPr>
          <w:rFonts w:ascii="Verdana" w:eastAsia="Century Gothic" w:hAnsi="Verdana" w:cs="Century Gothic"/>
        </w:rPr>
        <w:t xml:space="preserve">resolverá los siguientes problemas jurídicos: </w:t>
      </w:r>
    </w:p>
    <w:p w14:paraId="44C86C55" w14:textId="77777777" w:rsidR="008A3D05" w:rsidRDefault="008A3D05" w:rsidP="008A3D05">
      <w:pPr>
        <w:spacing w:after="0" w:line="276" w:lineRule="auto"/>
        <w:jc w:val="both"/>
        <w:rPr>
          <w:rFonts w:ascii="Verdana" w:eastAsia="Century Gothic" w:hAnsi="Verdana" w:cs="Century Gothic"/>
        </w:rPr>
      </w:pPr>
    </w:p>
    <w:p w14:paraId="57F0C54E" w14:textId="77777777" w:rsidR="008A3D05" w:rsidRDefault="008A3D05" w:rsidP="008A3D05">
      <w:pPr>
        <w:spacing w:after="0" w:line="276" w:lineRule="auto"/>
        <w:jc w:val="both"/>
        <w:rPr>
          <w:rFonts w:ascii="Verdana" w:eastAsia="Century Gothic" w:hAnsi="Verdana" w:cs="Century Gothic"/>
        </w:rPr>
      </w:pPr>
      <w:r>
        <w:rPr>
          <w:rFonts w:ascii="Verdana" w:eastAsia="Century Gothic" w:hAnsi="Verdana" w:cs="Century Gothic"/>
        </w:rPr>
        <w:t>i) ¿Es posible modificar mediante adenda el plazo de una etapa que venció en desarrollo del proceso de contratación y; existe un límite cuantitativo y cualitativo para expedir adendas al cronograma del proceso de contratación?</w:t>
      </w:r>
    </w:p>
    <w:p w14:paraId="4ACE25AA" w14:textId="77777777" w:rsidR="008A3D05" w:rsidRDefault="008A3D05" w:rsidP="008A3D05">
      <w:pPr>
        <w:spacing w:after="0" w:line="276" w:lineRule="auto"/>
        <w:jc w:val="both"/>
        <w:rPr>
          <w:rFonts w:ascii="Verdana" w:eastAsia="Century Gothic" w:hAnsi="Verdana" w:cs="Century Gothic"/>
        </w:rPr>
      </w:pPr>
    </w:p>
    <w:p w14:paraId="6187CCEA" w14:textId="77777777" w:rsidR="008A3D05" w:rsidRPr="00F75031" w:rsidRDefault="008A3D05" w:rsidP="008A3D05">
      <w:pPr>
        <w:spacing w:after="0" w:line="276" w:lineRule="auto"/>
        <w:jc w:val="both"/>
        <w:rPr>
          <w:rFonts w:ascii="Verdana" w:eastAsia="Century Gothic" w:hAnsi="Verdana" w:cs="Century Gothic"/>
          <w:lang w:val="es-ES_tradnl"/>
        </w:rPr>
      </w:pP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F75031">
        <w:rPr>
          <w:rFonts w:ascii="Verdana" w:eastAsia="Century Gothic" w:hAnsi="Verdana" w:cs="Century Gothic"/>
        </w:rPr>
        <w:t>¿</w:t>
      </w:r>
      <w:bookmarkStart w:id="2" w:name="_Hlk202456932"/>
      <w:r>
        <w:rPr>
          <w:rFonts w:ascii="Verdana" w:eastAsia="Century Gothic" w:hAnsi="Verdana" w:cs="Century Gothic"/>
        </w:rPr>
        <w:t>Cómo opera</w:t>
      </w:r>
      <w:r w:rsidRPr="00EF45CD">
        <w:rPr>
          <w:rFonts w:ascii="Verdana" w:eastAsia="Century Gothic" w:hAnsi="Verdana" w:cs="Century Gothic"/>
        </w:rPr>
        <w:t xml:space="preserve"> la regla de </w:t>
      </w:r>
      <w:proofErr w:type="spellStart"/>
      <w:r w:rsidRPr="00EF45CD">
        <w:rPr>
          <w:rFonts w:ascii="Verdana" w:eastAsia="Century Gothic" w:hAnsi="Verdana" w:cs="Century Gothic"/>
        </w:rPr>
        <w:t>subsanabilidad</w:t>
      </w:r>
      <w:proofErr w:type="spellEnd"/>
      <w:r w:rsidRPr="00EF45CD">
        <w:rPr>
          <w:rFonts w:ascii="Verdana" w:eastAsia="Century Gothic" w:hAnsi="Verdana" w:cs="Century Gothic"/>
        </w:rPr>
        <w:t xml:space="preserve"> en procedimientos en que se utilice el mecanismo de subasta</w:t>
      </w:r>
      <w:bookmarkEnd w:id="2"/>
      <w:r>
        <w:rPr>
          <w:rFonts w:ascii="Verdana" w:eastAsia="Century Gothic" w:hAnsi="Verdana" w:cs="Century Gothic"/>
        </w:rPr>
        <w:t>, especialmente en lo que respecto a la oportunidad para llevarla a cabo?</w:t>
      </w:r>
    </w:p>
    <w:p w14:paraId="31CD04E6" w14:textId="77777777" w:rsidR="008A3D05" w:rsidRPr="00D41CA6" w:rsidRDefault="008A3D05" w:rsidP="008A3D05">
      <w:pPr>
        <w:spacing w:after="0" w:line="276" w:lineRule="auto"/>
        <w:jc w:val="both"/>
        <w:rPr>
          <w:rFonts w:ascii="Verdana" w:eastAsia="Century Gothic" w:hAnsi="Verdana" w:cs="Century Gothic"/>
        </w:rPr>
      </w:pPr>
    </w:p>
    <w:p w14:paraId="2141C7DE" w14:textId="77777777" w:rsidR="008A3D05" w:rsidRPr="00D41CA6" w:rsidRDefault="008A3D05" w:rsidP="008A3D05">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Respuestas:</w:t>
      </w:r>
    </w:p>
    <w:p w14:paraId="739D6118" w14:textId="77777777" w:rsidR="008A3D05" w:rsidRPr="00D41CA6" w:rsidRDefault="008A3D05" w:rsidP="008A3D0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3D05" w:rsidRPr="00D41CA6" w14:paraId="4F4AD857" w14:textId="77777777" w:rsidTr="00DB0313">
        <w:trPr>
          <w:jc w:val="center"/>
        </w:trPr>
        <w:tc>
          <w:tcPr>
            <w:tcW w:w="8828" w:type="dxa"/>
          </w:tcPr>
          <w:p w14:paraId="77A2C090" w14:textId="77777777" w:rsidR="008A3D05" w:rsidRPr="002658FB" w:rsidRDefault="008A3D05" w:rsidP="00DB0313">
            <w:pPr>
              <w:spacing w:after="120" w:line="276" w:lineRule="auto"/>
              <w:ind w:right="79"/>
              <w:jc w:val="both"/>
              <w:rPr>
                <w:rFonts w:ascii="Verdana" w:eastAsia="Calibri" w:hAnsi="Verdana" w:cs="Arial"/>
                <w:color w:val="000000" w:themeColor="text1"/>
              </w:rPr>
            </w:pPr>
            <w:bookmarkStart w:id="3" w:name="_Hlk171694685"/>
            <w:r w:rsidRPr="002658FB">
              <w:rPr>
                <w:rFonts w:ascii="Verdana" w:eastAsia="Century Gothic" w:hAnsi="Verdana" w:cs="Century Gothic"/>
                <w:b/>
                <w:bCs/>
              </w:rPr>
              <w:lastRenderedPageBreak/>
              <w:t>i</w:t>
            </w:r>
            <w:r>
              <w:rPr>
                <w:rFonts w:ascii="Verdana" w:eastAsia="Century Gothic" w:hAnsi="Verdana" w:cs="Century Gothic"/>
                <w:b/>
                <w:bCs/>
              </w:rPr>
              <w:t>)</w:t>
            </w:r>
            <w:r w:rsidRPr="002658FB">
              <w:rPr>
                <w:rFonts w:ascii="Verdana" w:eastAsia="Century Gothic" w:hAnsi="Verdana" w:cs="Century Gothic"/>
              </w:rPr>
              <w:t xml:space="preserve"> </w:t>
            </w:r>
            <w:r w:rsidRPr="002658FB">
              <w:rPr>
                <w:rFonts w:ascii="Verdana" w:eastAsia="Calibri" w:hAnsi="Verdana" w:cs="Arial"/>
                <w:color w:val="000000" w:themeColor="text1"/>
              </w:rPr>
              <w:t xml:space="preserve">Del artículo 2.2.1.1.2.2.1 de Decreto 1082 de 2015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2658FB">
              <w:rPr>
                <w:rFonts w:ascii="Verdana" w:eastAsia="Calibri" w:hAnsi="Verdana" w:cs="Arial"/>
                <w:color w:val="000000" w:themeColor="text1"/>
              </w:rPr>
              <w:t>ii</w:t>
            </w:r>
            <w:proofErr w:type="spellEnd"/>
            <w:r w:rsidRPr="002658FB">
              <w:rPr>
                <w:rFonts w:ascii="Verdana" w:eastAsia="Calibri" w:hAnsi="Verdana" w:cs="Arial"/>
                <w:color w:val="000000" w:themeColor="text1"/>
              </w:rPr>
              <w:t xml:space="preserve">) una vez vencido el término para la presentación de ofertas y antes de la adjudicación del contrato. </w:t>
            </w:r>
          </w:p>
          <w:p w14:paraId="39C2556A" w14:textId="77777777" w:rsidR="008A3D05" w:rsidRPr="002658FB" w:rsidRDefault="008A3D05" w:rsidP="00DB0313">
            <w:pPr>
              <w:spacing w:after="120" w:line="276" w:lineRule="auto"/>
              <w:ind w:right="79" w:firstLine="709"/>
              <w:jc w:val="both"/>
              <w:rPr>
                <w:rFonts w:ascii="Verdana" w:eastAsia="Calibri" w:hAnsi="Verdana" w:cs="Arial"/>
                <w:color w:val="000000" w:themeColor="text1"/>
              </w:rPr>
            </w:pPr>
            <w:r w:rsidRPr="002658FB">
              <w:rPr>
                <w:rFonts w:ascii="Verdana" w:eastAsia="Calibri" w:hAnsi="Verdana" w:cs="Arial"/>
                <w:color w:val="000000" w:themeColor="text1"/>
              </w:rPr>
              <w:t xml:space="preserve">Si bien el artículo 2.2.1.1.2.2.1 de Decreto 1082 de 2015 no determina unas reglas concretas en relación con el plazo para la expedición de adendas al cronograma después del cierre del proceso y antes de la adjudicación del contrato, lo cierto es que estas únicamente podrán modificar los plazos de las etapas establecidas antes de su vencimiento y no después de este. Lo anterior, con fundamento en el principio de economía y teniendo en cuenta que los plazos en los procesos de contratación son perentorios y preclusivos. </w:t>
            </w:r>
          </w:p>
          <w:p w14:paraId="6F539C25" w14:textId="77777777" w:rsidR="008A3D05" w:rsidRPr="002658FB" w:rsidRDefault="008A3D05" w:rsidP="00DB0313">
            <w:pPr>
              <w:pStyle w:val="NormalWeb"/>
              <w:spacing w:before="0" w:beforeAutospacing="0" w:after="0" w:afterAutospacing="0" w:line="276" w:lineRule="auto"/>
              <w:ind w:firstLine="709"/>
              <w:jc w:val="both"/>
              <w:rPr>
                <w:rFonts w:ascii="Verdana" w:eastAsia="Calibri" w:hAnsi="Verdana" w:cs="Arial"/>
                <w:color w:val="000000" w:themeColor="text1"/>
                <w:sz w:val="22"/>
                <w:szCs w:val="22"/>
              </w:rPr>
            </w:pPr>
            <w:r w:rsidRPr="002658FB">
              <w:rPr>
                <w:rFonts w:ascii="Verdana" w:eastAsia="Calibri" w:hAnsi="Verdana" w:cs="Arial"/>
                <w:color w:val="000000" w:themeColor="text1"/>
                <w:sz w:val="22"/>
                <w:szCs w:val="22"/>
              </w:rPr>
              <w:t>Además, la facultad de modificación del cronograma no puede ser empleada de forma desproporcionada e injustificada por la entidad, de tal manera que se extiendan las etapas del proceso de contratación arbitrariamente. De esta manera, aunque la entidad tiene la facultad para expedir adendas modificando los plazos de cada etapa, esta no podrá ejercerse de forma ilimitada y deberán atender unos parámetros mínimos de adecuación y proporcionalidad, so pena de vulnerar los principios de economía, transparencia y planeación de la contratación pública.</w:t>
            </w:r>
          </w:p>
          <w:p w14:paraId="759A3312" w14:textId="77777777" w:rsidR="008A3D05" w:rsidRPr="002658FB" w:rsidRDefault="008A3D05" w:rsidP="00DB0313">
            <w:pPr>
              <w:pStyle w:val="NormalWeb"/>
              <w:spacing w:line="276" w:lineRule="auto"/>
              <w:ind w:firstLine="709"/>
              <w:jc w:val="both"/>
              <w:rPr>
                <w:rFonts w:ascii="Verdana" w:eastAsia="Calibri" w:hAnsi="Verdana" w:cs="Arial"/>
                <w:color w:val="000000" w:themeColor="text1"/>
                <w:sz w:val="22"/>
                <w:szCs w:val="22"/>
              </w:rPr>
            </w:pPr>
          </w:p>
          <w:p w14:paraId="37A62EA7" w14:textId="77777777" w:rsidR="008A3D05" w:rsidRPr="002658FB" w:rsidRDefault="008A3D05" w:rsidP="00DB0313">
            <w:pPr>
              <w:spacing w:after="120" w:line="276" w:lineRule="auto"/>
              <w:jc w:val="both"/>
              <w:rPr>
                <w:rFonts w:ascii="Verdana" w:eastAsia="Calibri" w:hAnsi="Verdana" w:cs="Arial"/>
                <w:color w:val="000000" w:themeColor="text1"/>
                <w:lang w:eastAsia="es-CO"/>
              </w:rPr>
            </w:pPr>
            <w:proofErr w:type="spellStart"/>
            <w:r w:rsidRPr="002658FB">
              <w:rPr>
                <w:rFonts w:ascii="Verdana" w:eastAsia="Calibri" w:hAnsi="Verdana" w:cs="Arial"/>
                <w:b/>
                <w:bCs/>
                <w:color w:val="000000" w:themeColor="text1"/>
                <w:lang w:eastAsia="es-CO"/>
              </w:rPr>
              <w:t>ii</w:t>
            </w:r>
            <w:proofErr w:type="spellEnd"/>
            <w:r w:rsidRPr="002658FB">
              <w:rPr>
                <w:rFonts w:ascii="Verdana" w:eastAsia="Calibri" w:hAnsi="Verdana" w:cs="Arial"/>
                <w:b/>
                <w:bCs/>
                <w:color w:val="000000" w:themeColor="text1"/>
                <w:lang w:eastAsia="es-CO"/>
              </w:rPr>
              <w:t>)</w:t>
            </w:r>
            <w:r>
              <w:rPr>
                <w:rFonts w:ascii="Verdana" w:eastAsia="Calibri" w:hAnsi="Verdana" w:cs="Arial"/>
                <w:color w:val="000000" w:themeColor="text1"/>
                <w:lang w:eastAsia="es-CO"/>
              </w:rPr>
              <w:t xml:space="preserve"> </w:t>
            </w:r>
            <w:r w:rsidRPr="002658FB">
              <w:rPr>
                <w:rFonts w:ascii="Verdana" w:eastAsia="Calibri" w:hAnsi="Verdana" w:cs="Arial"/>
                <w:color w:val="000000" w:themeColor="text1"/>
                <w:lang w:eastAsia="es-CO"/>
              </w:rPr>
              <w:t>La posibilidad de subsanar las ofertas busca garantizar una prevalencia de lo sustancial sobre lo formal. Resulta propicia para garantizar una mayor concurrencia real en los procedimientos de selección. En armonía con lo anterior, esta actuación establecida por el legislador permite una mayor posibilidad de que las entidades estatales se beneficien de seleccionar entre un abanico más amplio la oferta que le resulte materialmente más favorable a sus intereses, por lo que favorece y robustece el principio de selección objetiva.</w:t>
            </w:r>
          </w:p>
          <w:p w14:paraId="7D5892E8" w14:textId="77777777" w:rsidR="008A3D05" w:rsidRPr="002658FB" w:rsidRDefault="008A3D05" w:rsidP="00DB0313">
            <w:pPr>
              <w:spacing w:after="120" w:line="276" w:lineRule="auto"/>
              <w:ind w:firstLine="709"/>
              <w:jc w:val="both"/>
              <w:rPr>
                <w:rFonts w:ascii="Verdana" w:eastAsia="Calibri" w:hAnsi="Verdana" w:cs="Arial"/>
                <w:color w:val="000000" w:themeColor="text1"/>
                <w:lang w:eastAsia="es-CO"/>
              </w:rPr>
            </w:pPr>
            <w:r w:rsidRPr="002658FB">
              <w:rPr>
                <w:rFonts w:ascii="Verdana" w:eastAsia="Calibri" w:hAnsi="Verdana" w:cs="Arial"/>
                <w:color w:val="000000" w:themeColor="text1"/>
                <w:lang w:eastAsia="es-CO"/>
              </w:rPr>
              <w:t>En este orden de ideas</w:t>
            </w:r>
            <w:r>
              <w:rPr>
                <w:rFonts w:ascii="Verdana" w:eastAsia="Calibri" w:hAnsi="Verdana" w:cs="Arial"/>
                <w:color w:val="000000" w:themeColor="text1"/>
                <w:lang w:eastAsia="es-CO"/>
              </w:rPr>
              <w:t xml:space="preserve">, </w:t>
            </w:r>
            <w:r w:rsidRPr="002658FB">
              <w:rPr>
                <w:rFonts w:ascii="Verdana" w:eastAsia="Calibri" w:hAnsi="Verdana" w:cs="Arial"/>
                <w:color w:val="000000" w:themeColor="text1"/>
                <w:lang w:eastAsia="es-CO"/>
              </w:rPr>
              <w:t xml:space="preserve">la regla de </w:t>
            </w:r>
            <w:proofErr w:type="spellStart"/>
            <w:r w:rsidRPr="002658FB">
              <w:rPr>
                <w:rFonts w:ascii="Verdana" w:eastAsia="Calibri" w:hAnsi="Verdana" w:cs="Arial"/>
                <w:color w:val="000000" w:themeColor="text1"/>
                <w:lang w:eastAsia="es-CO"/>
              </w:rPr>
              <w:t>subsanabilidad</w:t>
            </w:r>
            <w:proofErr w:type="spellEnd"/>
            <w:r w:rsidRPr="002658FB">
              <w:rPr>
                <w:rFonts w:ascii="Verdana" w:eastAsia="Calibri" w:hAnsi="Verdana" w:cs="Arial"/>
                <w:color w:val="000000" w:themeColor="text1"/>
                <w:lang w:eastAsia="es-CO"/>
              </w:rPr>
              <w:t xml:space="preserve">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w:t>
            </w:r>
            <w:r w:rsidRPr="002658FB">
              <w:rPr>
                <w:rFonts w:ascii="Verdana" w:eastAsia="Calibri" w:hAnsi="Verdana" w:cs="Arial"/>
                <w:color w:val="000000" w:themeColor="text1"/>
                <w:lang w:eastAsia="es-CO"/>
              </w:rPr>
              <w:lastRenderedPageBreak/>
              <w:t xml:space="preserve">con la facultad para requerir la subsanación de los documentos referentes a la futura contratación o a los proponentes, no necesarios para la comparación de las propuestas. </w:t>
            </w:r>
          </w:p>
          <w:p w14:paraId="4A08D11B" w14:textId="77777777" w:rsidR="008A3D05" w:rsidRPr="00A048A1" w:rsidRDefault="008A3D05" w:rsidP="00DB0313">
            <w:pPr>
              <w:spacing w:after="120" w:line="276" w:lineRule="auto"/>
              <w:ind w:firstLine="709"/>
              <w:jc w:val="both"/>
              <w:rPr>
                <w:rFonts w:ascii="Verdana" w:eastAsia="Century Gothic" w:hAnsi="Verdana" w:cs="Century Gothic"/>
              </w:rPr>
            </w:pPr>
            <w:r w:rsidRPr="002658FB">
              <w:rPr>
                <w:rFonts w:ascii="Verdana" w:eastAsia="Calibri" w:hAnsi="Verdana" w:cs="Arial"/>
                <w:color w:val="000000" w:themeColor="text1"/>
                <w:lang w:eastAsia="es-CO"/>
              </w:rPr>
              <w:t>Así las cosas, para el ejercicio de tal facultad, las entidades de manera ex ante 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un determinado aspecto de la propuesta dependerá de lo establecido en el pliego de condiciones.</w:t>
            </w:r>
          </w:p>
        </w:tc>
      </w:tr>
    </w:tbl>
    <w:p w14:paraId="055A7227" w14:textId="77777777" w:rsidR="008A3D05" w:rsidRPr="00D41CA6" w:rsidRDefault="008A3D05" w:rsidP="008A3D05">
      <w:pPr>
        <w:tabs>
          <w:tab w:val="left" w:pos="142"/>
          <w:tab w:val="left" w:pos="284"/>
        </w:tabs>
        <w:spacing w:after="0" w:line="276" w:lineRule="auto"/>
        <w:jc w:val="both"/>
        <w:rPr>
          <w:rFonts w:ascii="Verdana" w:eastAsia="Century Gothic" w:hAnsi="Verdana" w:cs="Century Gothic"/>
          <w:b/>
          <w:bCs/>
        </w:rPr>
      </w:pPr>
    </w:p>
    <w:bookmarkEnd w:id="3"/>
    <w:p w14:paraId="79D9EEE6" w14:textId="77777777" w:rsidR="008A3D05" w:rsidRPr="00D41CA6" w:rsidRDefault="008A3D05" w:rsidP="008A3D05">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Razones de las respuestas:</w:t>
      </w:r>
    </w:p>
    <w:p w14:paraId="38AED841" w14:textId="77777777" w:rsidR="008A3D05" w:rsidRPr="00D41CA6" w:rsidRDefault="008A3D05" w:rsidP="008A3D05">
      <w:pPr>
        <w:spacing w:after="0" w:line="276" w:lineRule="auto"/>
        <w:jc w:val="both"/>
        <w:rPr>
          <w:rFonts w:ascii="Verdana" w:eastAsia="Calibri" w:hAnsi="Verdana" w:cs="Arial"/>
          <w:color w:val="7030A0"/>
        </w:rPr>
      </w:pPr>
    </w:p>
    <w:p w14:paraId="26AB0244" w14:textId="77777777" w:rsidR="008A3D05" w:rsidRPr="00D41CA6" w:rsidRDefault="008A3D05" w:rsidP="008A3D05">
      <w:pPr>
        <w:spacing w:after="0" w:line="276" w:lineRule="auto"/>
        <w:jc w:val="both"/>
        <w:rPr>
          <w:rFonts w:ascii="Verdana" w:eastAsia="Calibri" w:hAnsi="Verdana" w:cs="Arial"/>
        </w:rPr>
      </w:pPr>
      <w:r w:rsidRPr="00D41CA6">
        <w:rPr>
          <w:rFonts w:ascii="Verdana" w:eastAsia="Calibri" w:hAnsi="Verdana" w:cs="Arial"/>
        </w:rPr>
        <w:t>Lo anterior se sustenta en las siguientes consideraciones:</w:t>
      </w:r>
    </w:p>
    <w:p w14:paraId="0982BD94" w14:textId="77777777" w:rsidR="008A3D05" w:rsidRPr="00D41CA6" w:rsidRDefault="008A3D05" w:rsidP="008A3D05">
      <w:pPr>
        <w:widowControl w:val="0"/>
        <w:autoSpaceDE w:val="0"/>
        <w:autoSpaceDN w:val="0"/>
        <w:spacing w:after="0" w:line="276" w:lineRule="auto"/>
        <w:jc w:val="both"/>
        <w:rPr>
          <w:rFonts w:ascii="Verdana" w:eastAsia="Calibri" w:hAnsi="Verdana" w:cs="Arial"/>
        </w:rPr>
      </w:pPr>
    </w:p>
    <w:p w14:paraId="77AF8631" w14:textId="77777777" w:rsidR="008A3D05" w:rsidRPr="00807959" w:rsidRDefault="008A3D05" w:rsidP="008A3D05">
      <w:pPr>
        <w:spacing w:after="120" w:line="276" w:lineRule="auto"/>
        <w:jc w:val="both"/>
        <w:rPr>
          <w:rFonts w:ascii="Verdana" w:eastAsia="Calibri" w:hAnsi="Verdana" w:cs="Arial"/>
          <w:color w:val="000000" w:themeColor="text1"/>
        </w:rPr>
      </w:pPr>
      <w:r w:rsidRPr="00807959">
        <w:rPr>
          <w:rFonts w:ascii="Verdana" w:eastAsia="Calibri" w:hAnsi="Verdana" w:cs="Arial"/>
          <w:color w:val="000000" w:themeColor="text1"/>
        </w:rPr>
        <w:t>Las entidades estatales, una vez publicados los pliegos de condiciones definitivos o la invitación pública, pueden realizar modificaciones a los documentos del procedimiento de contratación como consecuencia de las observaciones recibidas por parte de los interesados o por iniciativa unilateral de la entidad, al evidenciar la necesidad de modificar, ajustar o aclarar algún aspecto o condición.</w:t>
      </w:r>
    </w:p>
    <w:p w14:paraId="23BC052E" w14:textId="77777777" w:rsidR="008A3D05" w:rsidRPr="00807959" w:rsidRDefault="008A3D05" w:rsidP="008A3D05">
      <w:pPr>
        <w:spacing w:after="120" w:line="276" w:lineRule="auto"/>
        <w:ind w:firstLine="708"/>
        <w:jc w:val="both"/>
        <w:rPr>
          <w:rFonts w:ascii="Verdana" w:eastAsia="Calibri" w:hAnsi="Verdana" w:cs="Arial"/>
          <w:color w:val="000000" w:themeColor="text1"/>
        </w:rPr>
      </w:pPr>
      <w:r w:rsidRPr="00807959">
        <w:rPr>
          <w:rFonts w:ascii="Verdana" w:eastAsia="Calibri" w:hAnsi="Verdana" w:cs="Arial"/>
          <w:color w:val="000000" w:themeColor="text1"/>
        </w:rPr>
        <w:t>Estas modificaciones deben realizarse a través de adendas o como lo ha reconocido la jurisprudencia del Consejo de Estado, por medio de cualquier otro documento que contenga la manifestación de voluntad de la entidad de aclarar, añadir, adicionar, reemplazar o cambiar un aspecto o condición incluida en los documentos del procedimiento de contratación</w:t>
      </w:r>
      <w:r w:rsidRPr="00807959">
        <w:rPr>
          <w:rFonts w:ascii="Verdana" w:eastAsia="Calibri" w:hAnsi="Verdana" w:cs="Arial"/>
          <w:color w:val="000000" w:themeColor="text1"/>
          <w:vertAlign w:val="superscript"/>
        </w:rPr>
        <w:footnoteReference w:id="1"/>
      </w:r>
      <w:r w:rsidRPr="00807959">
        <w:rPr>
          <w:rFonts w:ascii="Verdana" w:eastAsia="Calibri" w:hAnsi="Verdana" w:cs="Arial"/>
          <w:color w:val="000000" w:themeColor="text1"/>
        </w:rPr>
        <w:t>.</w:t>
      </w:r>
    </w:p>
    <w:p w14:paraId="7F1F8774" w14:textId="77777777" w:rsidR="008A3D05" w:rsidRPr="00807959" w:rsidRDefault="008A3D05" w:rsidP="008A3D05">
      <w:pPr>
        <w:spacing w:after="120" w:line="276" w:lineRule="auto"/>
        <w:ind w:firstLine="708"/>
        <w:jc w:val="both"/>
        <w:rPr>
          <w:rFonts w:ascii="Verdana" w:eastAsia="Calibri" w:hAnsi="Verdana" w:cs="Arial"/>
          <w:color w:val="000000" w:themeColor="text1"/>
        </w:rPr>
      </w:pPr>
      <w:r w:rsidRPr="00807959">
        <w:rPr>
          <w:rFonts w:ascii="Verdana" w:eastAsia="Calibri" w:hAnsi="Verdana" w:cs="Arial"/>
          <w:color w:val="000000" w:themeColor="text1"/>
        </w:rPr>
        <w:lastRenderedPageBreak/>
        <w:t>La adenda o modificación, al contener la voluntad de la Administración de variar, ajustar o aclarar algún aspecto o condición de los pliegos de condiciones o la invitación pública para procesos de mínima cuantía, tiene la naturaleza de acto administrativo de contenido general, que, al ser incorporado al contenido de los pliegos de condiciones o a la invitación pública tiene, al igual que estos, la posibilidad de transformarse en parte del texto del negocio jurídico</w:t>
      </w:r>
      <w:r w:rsidRPr="00135A2E">
        <w:rPr>
          <w:rFonts w:ascii="Verdana" w:eastAsia="Calibri" w:hAnsi="Verdana" w:cs="Arial"/>
          <w:color w:val="000000" w:themeColor="text1"/>
          <w:vertAlign w:val="superscript"/>
        </w:rPr>
        <w:footnoteReference w:id="2"/>
      </w:r>
      <w:r w:rsidRPr="00807959">
        <w:rPr>
          <w:rFonts w:ascii="Verdana" w:eastAsia="Calibri" w:hAnsi="Verdana" w:cs="Arial"/>
          <w:color w:val="000000" w:themeColor="text1"/>
        </w:rPr>
        <w:t>. Por lo tanto, las adendas, al ser actos administrativos de contenido general, deben ser publicadas para que sean obligatorias, esto es para que sus efectos sean vinculantes a los interesados en el procedimiento de contratación.</w:t>
      </w:r>
    </w:p>
    <w:p w14:paraId="779C73DC" w14:textId="77777777" w:rsidR="008A3D05" w:rsidRPr="00807959" w:rsidRDefault="008A3D05" w:rsidP="008A3D05">
      <w:pPr>
        <w:spacing w:after="0" w:line="276" w:lineRule="auto"/>
        <w:ind w:firstLine="708"/>
        <w:jc w:val="both"/>
        <w:rPr>
          <w:rFonts w:ascii="Verdana" w:eastAsia="Calibri" w:hAnsi="Verdana" w:cs="Arial"/>
          <w:color w:val="000000" w:themeColor="text1"/>
        </w:rPr>
      </w:pPr>
      <w:r w:rsidRPr="00807959">
        <w:rPr>
          <w:rFonts w:ascii="Verdana" w:eastAsia="Calibri" w:hAnsi="Verdana" w:cs="Arial"/>
          <w:color w:val="000000" w:themeColor="text1"/>
        </w:rPr>
        <w:t>El artículo 2.2.1.1.2.2.1 del Decreto 1082 de 2015, reglamenta la posibilidad que tienen las entidades de modificar los pliegos de condiciones a través de adendas y señala que deben expedirse a más tarde un día hábil anterior a la fecha fijada para la presentación de ofertas, salvo para el caso de licitación que debe hacerse con tres (3) días de anticipación. Al respecto señala la norma:</w:t>
      </w:r>
    </w:p>
    <w:p w14:paraId="4815AF8A" w14:textId="77777777" w:rsidR="008A3D05" w:rsidRDefault="008A3D05" w:rsidP="008A3D05">
      <w:pPr>
        <w:widowControl w:val="0"/>
        <w:autoSpaceDE w:val="0"/>
        <w:autoSpaceDN w:val="0"/>
        <w:spacing w:after="0" w:line="276" w:lineRule="auto"/>
        <w:ind w:firstLine="709"/>
        <w:jc w:val="both"/>
        <w:rPr>
          <w:rFonts w:ascii="Arial" w:eastAsia="Times New Roman" w:hAnsi="Arial" w:cs="Arial"/>
          <w:lang w:val="es-ES" w:eastAsia="es-ES_tradnl"/>
        </w:rPr>
      </w:pPr>
    </w:p>
    <w:p w14:paraId="02FC1B47" w14:textId="77777777" w:rsidR="008A3D05" w:rsidRPr="00807959" w:rsidRDefault="008A3D05" w:rsidP="008A3D05">
      <w:pPr>
        <w:spacing w:after="0" w:line="240" w:lineRule="auto"/>
        <w:ind w:left="709" w:right="900"/>
        <w:jc w:val="both"/>
        <w:rPr>
          <w:rFonts w:ascii="Verdana" w:eastAsia="Times New Roman" w:hAnsi="Verdana" w:cs="Arial"/>
          <w:sz w:val="21"/>
          <w:szCs w:val="21"/>
          <w:lang w:eastAsia="es-ES_tradnl"/>
        </w:rPr>
      </w:pPr>
      <w:r>
        <w:rPr>
          <w:rFonts w:ascii="Verdana" w:eastAsia="Times New Roman" w:hAnsi="Verdana" w:cs="Arial"/>
          <w:sz w:val="21"/>
          <w:szCs w:val="21"/>
          <w:lang w:eastAsia="es-ES_tradnl"/>
        </w:rPr>
        <w:t>“</w:t>
      </w:r>
      <w:r w:rsidRPr="00807959">
        <w:rPr>
          <w:rFonts w:ascii="Verdana" w:eastAsia="Times New Roman" w:hAnsi="Verdana" w:cs="Arial"/>
          <w:sz w:val="21"/>
          <w:szCs w:val="21"/>
          <w:lang w:eastAsia="es-ES_tradnl"/>
        </w:rPr>
        <w:t>Artículo 2.2.1.1.2.2.1. Modificación de los pliegos de condiciones. La Entidad Estatal puede modificar los pliegos de condiciones a través de Adendas expedidas antes del vencimiento del plazo para presentar ofertas.</w:t>
      </w:r>
    </w:p>
    <w:p w14:paraId="1CAF139D" w14:textId="77777777" w:rsidR="008A3D05" w:rsidRPr="00807959" w:rsidRDefault="008A3D05" w:rsidP="008A3D05">
      <w:pPr>
        <w:spacing w:after="0" w:line="240" w:lineRule="auto"/>
        <w:ind w:left="709" w:right="900"/>
        <w:jc w:val="both"/>
        <w:rPr>
          <w:rFonts w:ascii="Verdana" w:eastAsia="Times New Roman" w:hAnsi="Verdana" w:cs="Arial"/>
          <w:sz w:val="21"/>
          <w:szCs w:val="21"/>
          <w:lang w:eastAsia="es-ES_tradnl"/>
        </w:rPr>
      </w:pPr>
    </w:p>
    <w:p w14:paraId="039036F2" w14:textId="77777777" w:rsidR="008A3D05" w:rsidRPr="00807959" w:rsidRDefault="008A3D05" w:rsidP="008A3D05">
      <w:pPr>
        <w:spacing w:after="0" w:line="240" w:lineRule="auto"/>
        <w:ind w:left="709" w:right="900"/>
        <w:jc w:val="both"/>
        <w:rPr>
          <w:rFonts w:ascii="Verdana" w:eastAsia="Times New Roman" w:hAnsi="Verdana" w:cs="Arial"/>
          <w:sz w:val="21"/>
          <w:szCs w:val="21"/>
          <w:lang w:eastAsia="es-ES_tradnl"/>
        </w:rPr>
      </w:pPr>
      <w:r w:rsidRPr="00807959">
        <w:rPr>
          <w:rFonts w:ascii="Verdana" w:eastAsia="Times New Roman" w:hAnsi="Verdana" w:cs="Arial"/>
          <w:sz w:val="21"/>
          <w:szCs w:val="21"/>
          <w:lang w:eastAsia="es-ES_tradnl"/>
        </w:rPr>
        <w:t>La Entidad Estatal puede expedir Adendas para modificar el Cronograma una vez vencido el término para la presentación de las ofertas y antes de la adjudicación del contrato.</w:t>
      </w:r>
    </w:p>
    <w:p w14:paraId="4E98A247" w14:textId="77777777" w:rsidR="008A3D05" w:rsidRPr="00807959" w:rsidRDefault="008A3D05" w:rsidP="008A3D05">
      <w:pPr>
        <w:widowControl w:val="0"/>
        <w:autoSpaceDE w:val="0"/>
        <w:autoSpaceDN w:val="0"/>
        <w:spacing w:after="0" w:line="240" w:lineRule="auto"/>
        <w:ind w:left="709" w:right="900"/>
        <w:jc w:val="both"/>
        <w:rPr>
          <w:rFonts w:ascii="Verdana" w:eastAsia="Times New Roman" w:hAnsi="Verdana" w:cs="Arial"/>
          <w:sz w:val="21"/>
          <w:szCs w:val="21"/>
          <w:lang w:val="es-ES" w:eastAsia="es-ES_tradnl"/>
        </w:rPr>
      </w:pPr>
    </w:p>
    <w:p w14:paraId="509658C1" w14:textId="77777777" w:rsidR="008A3D05" w:rsidRPr="00807959" w:rsidRDefault="008A3D05" w:rsidP="008A3D05">
      <w:pPr>
        <w:widowControl w:val="0"/>
        <w:autoSpaceDE w:val="0"/>
        <w:autoSpaceDN w:val="0"/>
        <w:spacing w:after="0" w:line="240" w:lineRule="auto"/>
        <w:ind w:left="709" w:right="900"/>
        <w:jc w:val="both"/>
        <w:rPr>
          <w:rFonts w:ascii="Verdana" w:eastAsia="Times New Roman" w:hAnsi="Verdana" w:cs="Arial"/>
          <w:sz w:val="21"/>
          <w:szCs w:val="21"/>
          <w:lang w:val="es-ES" w:eastAsia="es-ES_tradnl"/>
        </w:rPr>
      </w:pPr>
      <w:r w:rsidRPr="00807959">
        <w:rPr>
          <w:rFonts w:ascii="Verdana" w:eastAsia="Times New Roman" w:hAnsi="Verdana" w:cs="Arial"/>
          <w:sz w:val="21"/>
          <w:szCs w:val="21"/>
          <w:lang w:val="es-ES" w:eastAsia="es-ES_tradnl"/>
        </w:rPr>
        <w:t xml:space="preserve">La Entidad Estatal debe publicar las Adendas en los días hábiles, entre las 7:00 a.m. y las 7:00 p. m., a más tardar el día hábil anterior </w:t>
      </w:r>
      <w:r w:rsidRPr="00807959">
        <w:rPr>
          <w:rFonts w:ascii="Verdana" w:eastAsia="Times New Roman" w:hAnsi="Verdana" w:cs="Arial"/>
          <w:sz w:val="21"/>
          <w:szCs w:val="21"/>
          <w:lang w:val="es-ES" w:eastAsia="es-ES_tradnl"/>
        </w:rPr>
        <w:lastRenderedPageBreak/>
        <w:t>al vencimiento del plazo para presentar ofertas a la hora fijada para tal presentación, salvo en la licitación pública pues de conformidad con la ley la publicación debe hacerse con tres (3) días de anticipación</w:t>
      </w:r>
      <w:r>
        <w:rPr>
          <w:rFonts w:ascii="Verdana" w:eastAsia="Times New Roman" w:hAnsi="Verdana" w:cs="Arial"/>
          <w:sz w:val="21"/>
          <w:szCs w:val="21"/>
          <w:lang w:val="es-ES" w:eastAsia="es-ES_tradnl"/>
        </w:rPr>
        <w:t>”</w:t>
      </w:r>
      <w:r w:rsidRPr="00807959">
        <w:rPr>
          <w:rFonts w:ascii="Verdana" w:eastAsia="Times New Roman" w:hAnsi="Verdana" w:cs="Arial"/>
          <w:sz w:val="21"/>
          <w:szCs w:val="21"/>
          <w:lang w:val="es-ES" w:eastAsia="es-ES_tradnl"/>
        </w:rPr>
        <w:t>.</w:t>
      </w:r>
    </w:p>
    <w:p w14:paraId="32D7D196" w14:textId="77777777" w:rsidR="008A3D05" w:rsidRPr="00807959" w:rsidRDefault="008A3D05" w:rsidP="008A3D05">
      <w:pPr>
        <w:spacing w:after="0" w:line="276" w:lineRule="auto"/>
        <w:ind w:firstLine="709"/>
        <w:jc w:val="both"/>
        <w:rPr>
          <w:rFonts w:ascii="Verdana" w:eastAsia="Calibri" w:hAnsi="Verdana" w:cs="Arial"/>
          <w:color w:val="000000" w:themeColor="text1"/>
        </w:rPr>
      </w:pPr>
    </w:p>
    <w:p w14:paraId="1C90296E" w14:textId="77777777" w:rsidR="008A3D05" w:rsidRPr="00807959" w:rsidRDefault="008A3D05" w:rsidP="008A3D05">
      <w:pPr>
        <w:spacing w:after="120" w:line="276" w:lineRule="auto"/>
        <w:ind w:firstLine="708"/>
        <w:jc w:val="both"/>
        <w:rPr>
          <w:rFonts w:ascii="Verdana" w:eastAsia="Calibri" w:hAnsi="Verdana" w:cs="Arial"/>
          <w:color w:val="000000" w:themeColor="text1"/>
        </w:rPr>
      </w:pPr>
      <w:r w:rsidRPr="00807959">
        <w:rPr>
          <w:rFonts w:ascii="Verdana" w:eastAsia="Calibri" w:hAnsi="Verdana" w:cs="Arial"/>
          <w:color w:val="000000" w:themeColor="text1"/>
        </w:rPr>
        <w:t>De lo anterior se observa que el artículo 2.2.1.1.2.2.1 de Decreto 1082 de 2015 dispone que la entidad estatal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619234CE" w14:textId="77777777" w:rsidR="008A3D05" w:rsidRDefault="008A3D05" w:rsidP="008A3D05">
      <w:pPr>
        <w:spacing w:after="120" w:line="276" w:lineRule="auto"/>
        <w:ind w:firstLine="708"/>
        <w:jc w:val="both"/>
        <w:rPr>
          <w:rFonts w:ascii="Verdana" w:eastAsia="Calibri" w:hAnsi="Verdana" w:cs="Arial"/>
          <w:color w:val="000000" w:themeColor="text1"/>
        </w:rPr>
      </w:pPr>
      <w:r w:rsidRPr="00807959">
        <w:rPr>
          <w:rFonts w:ascii="Verdana" w:eastAsia="Calibri" w:hAnsi="Verdana" w:cs="Arial"/>
          <w:color w:val="000000" w:themeColor="text1"/>
        </w:rPr>
        <w:t xml:space="preserve">Así las cosas,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807959">
        <w:rPr>
          <w:rFonts w:ascii="Verdana" w:eastAsia="Calibri" w:hAnsi="Verdana" w:cs="Arial"/>
          <w:color w:val="000000" w:themeColor="text1"/>
        </w:rPr>
        <w:t>ii</w:t>
      </w:r>
      <w:proofErr w:type="spellEnd"/>
      <w:r w:rsidRPr="00807959">
        <w:rPr>
          <w:rFonts w:ascii="Verdana" w:eastAsia="Calibri" w:hAnsi="Verdana" w:cs="Arial"/>
          <w:color w:val="000000" w:themeColor="text1"/>
        </w:rPr>
        <w:t xml:space="preserve">) una vez vencido el término para la presentación de ofertas y antes de la adjudicación del contrato. Al respecto, resulta del caso precisar que cada modalidad de selección tiene establecido un procedimiento propio que rige su estructuración y, en este sentido, las etapas y el acto final del proceso de selección dependerá de cada modalidad de selección. </w:t>
      </w:r>
    </w:p>
    <w:p w14:paraId="4100A67E" w14:textId="77777777" w:rsidR="008A3D05" w:rsidRPr="00D3617A" w:rsidRDefault="008A3D05" w:rsidP="008A3D05">
      <w:pPr>
        <w:spacing w:after="120" w:line="276" w:lineRule="auto"/>
        <w:ind w:firstLine="708"/>
        <w:jc w:val="both"/>
        <w:rPr>
          <w:rFonts w:ascii="Verdana" w:eastAsia="Calibri" w:hAnsi="Verdana" w:cs="Arial"/>
          <w:color w:val="000000" w:themeColor="text1"/>
        </w:rPr>
      </w:pPr>
      <w:r w:rsidRPr="00D3617A">
        <w:rPr>
          <w:rFonts w:ascii="Verdana" w:eastAsia="Calibri" w:hAnsi="Verdana" w:cs="Arial"/>
          <w:color w:val="000000" w:themeColor="text1"/>
        </w:rPr>
        <w:t xml:space="preserve">Otros límites temporales para la expedición y publicación de las adendas son los siguientes: i) es necesario que las mismas se publiquen entre las 7:00 am y las 7:00 pm de un día hábil; </w:t>
      </w:r>
      <w:proofErr w:type="spellStart"/>
      <w:r w:rsidRPr="00D3617A">
        <w:rPr>
          <w:rFonts w:ascii="Verdana" w:eastAsia="Calibri" w:hAnsi="Verdana" w:cs="Arial"/>
          <w:color w:val="000000" w:themeColor="text1"/>
        </w:rPr>
        <w:t>ii</w:t>
      </w:r>
      <w:proofErr w:type="spellEnd"/>
      <w:r w:rsidRPr="00D3617A">
        <w:rPr>
          <w:rFonts w:ascii="Verdana" w:eastAsia="Calibri" w:hAnsi="Verdana" w:cs="Arial"/>
          <w:color w:val="000000" w:themeColor="text1"/>
        </w:rPr>
        <w:t xml:space="preserve">) esta publicación debe realizarse a más tardar el día hábil anterior al vencimiento del plazo para presentar ofertas </w:t>
      </w:r>
      <w:r>
        <w:rPr>
          <w:rFonts w:ascii="Verdana" w:eastAsia="Calibri" w:hAnsi="Verdana" w:cs="Arial"/>
          <w:color w:val="000000" w:themeColor="text1"/>
        </w:rPr>
        <w:t>“</w:t>
      </w:r>
      <w:r w:rsidRPr="00D3617A">
        <w:rPr>
          <w:rFonts w:ascii="Verdana" w:eastAsia="Calibri" w:hAnsi="Verdana" w:cs="Arial"/>
          <w:color w:val="000000" w:themeColor="text1"/>
        </w:rPr>
        <w:t>a la hora fijada para tal presentación</w:t>
      </w:r>
      <w:r>
        <w:rPr>
          <w:rFonts w:ascii="Verdana" w:eastAsia="Calibri" w:hAnsi="Verdana" w:cs="Arial"/>
          <w:color w:val="000000" w:themeColor="text1"/>
        </w:rPr>
        <w:t>”</w:t>
      </w:r>
      <w:r w:rsidRPr="00D3617A">
        <w:rPr>
          <w:rFonts w:ascii="Verdana" w:eastAsia="Calibri" w:hAnsi="Verdana" w:cs="Arial"/>
          <w:color w:val="000000" w:themeColor="text1"/>
        </w:rPr>
        <w:t>; (</w:t>
      </w:r>
      <w:proofErr w:type="spellStart"/>
      <w:r w:rsidRPr="00D3617A">
        <w:rPr>
          <w:rFonts w:ascii="Verdana" w:eastAsia="Calibri" w:hAnsi="Verdana" w:cs="Arial"/>
          <w:color w:val="000000" w:themeColor="text1"/>
        </w:rPr>
        <w:t>iii</w:t>
      </w:r>
      <w:proofErr w:type="spellEnd"/>
      <w:r w:rsidRPr="00D3617A">
        <w:rPr>
          <w:rFonts w:ascii="Verdana" w:eastAsia="Calibri" w:hAnsi="Verdana" w:cs="Arial"/>
          <w:color w:val="000000" w:themeColor="text1"/>
        </w:rPr>
        <w:t>) cuando se trate de licitación pública, según el artículo 30-5 de la Ley 80 de 1993 las adendas no podrán expedirse dentro de los tres (3) días hábiles anteriores en que se tiene previsto el cierre del proceso de selección, sino que deberán expedirse antes de dicho momento.</w:t>
      </w:r>
    </w:p>
    <w:p w14:paraId="50FFF994" w14:textId="77777777" w:rsidR="008A3D05" w:rsidRDefault="008A3D05" w:rsidP="008A3D05">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Si bien </w:t>
      </w:r>
      <w:r w:rsidRPr="00807959">
        <w:rPr>
          <w:rFonts w:ascii="Verdana" w:eastAsia="Calibri" w:hAnsi="Verdana" w:cs="Arial"/>
          <w:color w:val="000000" w:themeColor="text1"/>
        </w:rPr>
        <w:t>el artículo 2.2.1.1.2.2.1 de Decreto 1082 de 2015</w:t>
      </w:r>
      <w:r>
        <w:rPr>
          <w:rFonts w:ascii="Verdana" w:eastAsia="Calibri" w:hAnsi="Verdana" w:cs="Arial"/>
          <w:color w:val="000000" w:themeColor="text1"/>
        </w:rPr>
        <w:t xml:space="preserve"> no determina unas reglas concretas en relación con el plazo para la expedición de adendas al cronograma después del cierre del proceso y antes de la adjudicación del contrato, lo cierto es que estas únicamente podrán modificar los plazos de las etapas establecidas antes de su vencimiento y no después de este. Ello debido a que al culminar el plazo señalado en el cronograma se inicia la etapa subsiguiente y </w:t>
      </w:r>
      <w:r w:rsidRPr="00053F8D">
        <w:rPr>
          <w:rFonts w:ascii="Verdana" w:eastAsia="Calibri" w:hAnsi="Verdana" w:cs="Arial"/>
          <w:color w:val="000000" w:themeColor="text1"/>
        </w:rPr>
        <w:t>la entidad estatal no p</w:t>
      </w:r>
      <w:r>
        <w:rPr>
          <w:rFonts w:ascii="Verdana" w:eastAsia="Calibri" w:hAnsi="Verdana" w:cs="Arial"/>
          <w:color w:val="000000" w:themeColor="text1"/>
        </w:rPr>
        <w:t>odría</w:t>
      </w:r>
      <w:r w:rsidRPr="00053F8D">
        <w:rPr>
          <w:rFonts w:ascii="Verdana" w:eastAsia="Calibri" w:hAnsi="Verdana" w:cs="Arial"/>
          <w:color w:val="000000" w:themeColor="text1"/>
        </w:rPr>
        <w:t xml:space="preserve"> volver sobre </w:t>
      </w:r>
      <w:r>
        <w:rPr>
          <w:rFonts w:ascii="Verdana" w:eastAsia="Calibri" w:hAnsi="Verdana" w:cs="Arial"/>
          <w:color w:val="000000" w:themeColor="text1"/>
        </w:rPr>
        <w:t>la fase agotada.</w:t>
      </w:r>
      <w:r w:rsidRPr="00053F8D">
        <w:rPr>
          <w:rFonts w:ascii="Verdana" w:eastAsia="Calibri" w:hAnsi="Verdana" w:cs="Arial"/>
          <w:color w:val="000000" w:themeColor="text1"/>
        </w:rPr>
        <w:t xml:space="preserve"> </w:t>
      </w:r>
    </w:p>
    <w:p w14:paraId="07167963" w14:textId="77777777" w:rsidR="008A3D05" w:rsidRDefault="008A3D05" w:rsidP="008A3D05">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lastRenderedPageBreak/>
        <w:t>Lo anterior encuentra sustento en el principio de economía señalado en el artículo 25 de la Ley 80 de 1993, cuyo numeral primero indica</w:t>
      </w:r>
      <w:r w:rsidRPr="00A3035C">
        <w:rPr>
          <w:rFonts w:ascii="Verdana" w:eastAsia="Calibri" w:hAnsi="Verdana" w:cs="Arial"/>
          <w:color w:val="000000" w:themeColor="text1"/>
        </w:rPr>
        <w:t xml:space="preserve"> </w:t>
      </w:r>
      <w:r>
        <w:rPr>
          <w:rFonts w:ascii="Verdana" w:eastAsia="Calibri" w:hAnsi="Verdana" w:cs="Arial"/>
          <w:color w:val="000000" w:themeColor="text1"/>
        </w:rPr>
        <w:t xml:space="preserve">que </w:t>
      </w:r>
      <w:r w:rsidRPr="00A3035C">
        <w:rPr>
          <w:rFonts w:ascii="Verdana" w:eastAsia="Calibri" w:hAnsi="Verdana" w:cs="Arial"/>
          <w:color w:val="000000" w:themeColor="text1"/>
        </w:rPr>
        <w:t>se cumplirán y establecerán los procedimientos y etapas estrictamente necesarios para asegurar la selección objetiva de la propuesta más favorable</w:t>
      </w:r>
      <w:r>
        <w:rPr>
          <w:rFonts w:ascii="Verdana" w:eastAsia="Calibri" w:hAnsi="Verdana" w:cs="Arial"/>
          <w:color w:val="000000" w:themeColor="text1"/>
        </w:rPr>
        <w:t xml:space="preserve">, por lo que </w:t>
      </w:r>
      <w:r w:rsidRPr="00A3035C">
        <w:rPr>
          <w:rFonts w:ascii="Verdana" w:eastAsia="Calibri" w:hAnsi="Verdana" w:cs="Arial"/>
          <w:color w:val="000000" w:themeColor="text1"/>
        </w:rPr>
        <w:t>se señalarán términos preclusivos y perentorios para las diferentes etapas de la selección</w:t>
      </w:r>
      <w:r>
        <w:rPr>
          <w:rFonts w:ascii="Verdana" w:eastAsia="Calibri" w:hAnsi="Verdana" w:cs="Arial"/>
          <w:color w:val="000000" w:themeColor="text1"/>
        </w:rPr>
        <w:t xml:space="preserve">. En virtud de este principio, </w:t>
      </w:r>
      <w:r w:rsidRPr="0034249E">
        <w:rPr>
          <w:rFonts w:ascii="Verdana" w:eastAsia="Calibri" w:hAnsi="Verdana" w:cs="Arial"/>
          <w:color w:val="000000" w:themeColor="text1"/>
        </w:rPr>
        <w:t>las partes del proceso de contratación, así como los funcionarios públicos, se encuentran obligados a respetar y acatar tales etapas y términos, sin que puedan desconocerlos o pasarlos por alto</w:t>
      </w:r>
      <w:r>
        <w:rPr>
          <w:rFonts w:ascii="Verdana" w:eastAsia="Calibri" w:hAnsi="Verdana" w:cs="Arial"/>
          <w:color w:val="000000" w:themeColor="text1"/>
        </w:rPr>
        <w:t xml:space="preserve">. </w:t>
      </w:r>
    </w:p>
    <w:p w14:paraId="043B7D8C" w14:textId="77777777" w:rsidR="008A3D05" w:rsidRPr="007830F7" w:rsidRDefault="008A3D05" w:rsidP="008A3D05">
      <w:pPr>
        <w:spacing w:after="120" w:line="276" w:lineRule="auto"/>
        <w:ind w:firstLine="708"/>
        <w:jc w:val="both"/>
        <w:rPr>
          <w:rFonts w:ascii="Verdana" w:hAnsi="Verdana" w:cs="Arial"/>
          <w:color w:val="000000" w:themeColor="text1"/>
        </w:rPr>
      </w:pPr>
      <w:r>
        <w:rPr>
          <w:rFonts w:ascii="Verdana" w:eastAsia="Calibri" w:hAnsi="Verdana" w:cs="Arial"/>
          <w:color w:val="000000" w:themeColor="text1"/>
        </w:rPr>
        <w:t xml:space="preserve">Adicionalmente, hay normas específicas del EGCAP que establecen la facultad de prorrogar plazos de algunas etapas del proceso, pero en todo caso estos deben efectuarse antes de su vencimiento. Por ejemplo, </w:t>
      </w:r>
      <w:r>
        <w:rPr>
          <w:rFonts w:ascii="Verdana" w:hAnsi="Verdana" w:cs="Arial"/>
          <w:color w:val="000000" w:themeColor="text1"/>
        </w:rPr>
        <w:t>e</w:t>
      </w:r>
      <w:r w:rsidRPr="000631C9">
        <w:rPr>
          <w:rFonts w:ascii="Verdana" w:hAnsi="Verdana" w:cs="Arial"/>
          <w:color w:val="000000" w:themeColor="text1"/>
        </w:rPr>
        <w:t xml:space="preserve">l numeral </w:t>
      </w:r>
      <w:r>
        <w:rPr>
          <w:rFonts w:ascii="Verdana" w:hAnsi="Verdana" w:cs="Arial"/>
          <w:color w:val="000000" w:themeColor="text1"/>
        </w:rPr>
        <w:t xml:space="preserve">5 de </w:t>
      </w:r>
      <w:r w:rsidRPr="000631C9">
        <w:rPr>
          <w:rFonts w:ascii="Verdana" w:hAnsi="Verdana" w:cs="Arial"/>
          <w:color w:val="000000" w:themeColor="text1"/>
        </w:rPr>
        <w:t xml:space="preserve">artículo 30 de la Ley 80 de 1993 </w:t>
      </w:r>
      <w:r>
        <w:rPr>
          <w:rFonts w:ascii="Verdana" w:hAnsi="Verdana" w:cs="Arial"/>
          <w:color w:val="000000" w:themeColor="text1"/>
        </w:rPr>
        <w:t xml:space="preserve">señala que </w:t>
      </w:r>
      <w:r w:rsidRPr="00D1060E">
        <w:rPr>
          <w:rFonts w:ascii="Verdana" w:hAnsi="Verdana" w:cs="Arial"/>
          <w:color w:val="000000" w:themeColor="text1"/>
        </w:rPr>
        <w:t>la entidad, de oficio o a solicitud de un número plural de posibles oferentes,</w:t>
      </w:r>
      <w:r>
        <w:rPr>
          <w:rFonts w:ascii="Verdana" w:hAnsi="Verdana" w:cs="Arial"/>
          <w:color w:val="000000" w:themeColor="text1"/>
        </w:rPr>
        <w:t xml:space="preserve"> </w:t>
      </w:r>
      <w:r w:rsidRPr="00D1060E">
        <w:rPr>
          <w:rFonts w:ascii="Verdana" w:hAnsi="Verdana" w:cs="Arial"/>
          <w:color w:val="000000" w:themeColor="text1"/>
        </w:rPr>
        <w:t>podrá prorrogar</w:t>
      </w:r>
      <w:r>
        <w:rPr>
          <w:rFonts w:ascii="Verdana" w:hAnsi="Verdana" w:cs="Arial"/>
          <w:color w:val="000000" w:themeColor="text1"/>
        </w:rPr>
        <w:t xml:space="preserve"> el plazo para el cierre del proceso </w:t>
      </w:r>
      <w:r w:rsidRPr="00D1060E">
        <w:rPr>
          <w:rFonts w:ascii="Verdana" w:hAnsi="Verdana" w:cs="Arial"/>
          <w:color w:val="000000" w:themeColor="text1"/>
        </w:rPr>
        <w:t>antes de su vencimiento, por un término no superior a la mitad del inicialmente fijado</w:t>
      </w:r>
      <w:r>
        <w:rPr>
          <w:rFonts w:ascii="Verdana" w:hAnsi="Verdana" w:cs="Arial"/>
          <w:color w:val="000000" w:themeColor="text1"/>
        </w:rPr>
        <w:t xml:space="preserve">. De igual manera, el numeral </w:t>
      </w:r>
      <w:r w:rsidRPr="000631C9">
        <w:rPr>
          <w:rFonts w:ascii="Verdana" w:hAnsi="Verdana" w:cs="Arial"/>
          <w:color w:val="000000" w:themeColor="text1"/>
        </w:rPr>
        <w:t xml:space="preserve">9 </w:t>
      </w:r>
      <w:r w:rsidRPr="00B74B61">
        <w:rPr>
          <w:rFonts w:ascii="Verdana" w:hAnsi="Verdana" w:cs="Arial"/>
          <w:i/>
          <w:iCs/>
          <w:color w:val="000000" w:themeColor="text1"/>
        </w:rPr>
        <w:t>ibidem</w:t>
      </w:r>
      <w:r>
        <w:rPr>
          <w:rFonts w:ascii="Verdana" w:hAnsi="Verdana" w:cs="Arial"/>
          <w:color w:val="000000" w:themeColor="text1"/>
        </w:rPr>
        <w:t xml:space="preserve"> </w:t>
      </w:r>
      <w:r w:rsidRPr="000631C9">
        <w:rPr>
          <w:rFonts w:ascii="Verdana" w:hAnsi="Verdana" w:cs="Arial"/>
          <w:color w:val="000000" w:themeColor="text1"/>
        </w:rPr>
        <w:t xml:space="preserve">permite al jefe de la entidad prorrogar el plazo para efectuar la adjudicación, y para la firma del contrato, pero dentro de una oportunidad específica, y fijó un tope máximo de tiempo: i) </w:t>
      </w:r>
      <w:r w:rsidRPr="009D3954">
        <w:rPr>
          <w:rFonts w:ascii="Verdana" w:hAnsi="Verdana" w:cs="Arial"/>
          <w:color w:val="000000" w:themeColor="text1"/>
        </w:rPr>
        <w:t>antes del vencimiento de dichos plazos</w:t>
      </w:r>
      <w:r w:rsidRPr="000631C9">
        <w:rPr>
          <w:rFonts w:ascii="Verdana" w:hAnsi="Verdana" w:cs="Arial"/>
          <w:color w:val="000000" w:themeColor="text1"/>
        </w:rPr>
        <w:t xml:space="preserve"> y por </w:t>
      </w:r>
      <w:r w:rsidRPr="005B2A9A">
        <w:rPr>
          <w:rFonts w:ascii="Verdana" w:hAnsi="Verdana" w:cs="Arial"/>
          <w:color w:val="000000" w:themeColor="text1"/>
        </w:rPr>
        <w:t>un término no mayor a la mitad del inicialmente fijado,</w:t>
      </w:r>
      <w:r w:rsidRPr="000631C9">
        <w:rPr>
          <w:rFonts w:ascii="Verdana" w:hAnsi="Verdana" w:cs="Arial"/>
          <w:color w:val="000000" w:themeColor="text1"/>
        </w:rPr>
        <w:t xml:space="preserve"> cuando las necesidades de la Administración lo requieran</w:t>
      </w:r>
      <w:r w:rsidRPr="0007375E">
        <w:rPr>
          <w:rFonts w:ascii="Verdana" w:hAnsi="Verdana" w:cs="Arial"/>
          <w:i/>
          <w:iCs/>
          <w:color w:val="000000" w:themeColor="text1"/>
        </w:rPr>
        <w:t xml:space="preserve">. </w:t>
      </w:r>
    </w:p>
    <w:p w14:paraId="794C0845" w14:textId="77777777" w:rsidR="008A3D05" w:rsidRDefault="008A3D05" w:rsidP="008A3D05">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De esta manera, </w:t>
      </w:r>
      <w:r w:rsidRPr="000C2B25">
        <w:rPr>
          <w:rFonts w:ascii="Verdana" w:hAnsi="Verdana" w:cs="Arial"/>
          <w:color w:val="000000" w:themeColor="text1"/>
          <w:lang w:val="es-ES"/>
        </w:rPr>
        <w:t>el proceso de contratación estatal debe adelantarse dentro de unas etapas determinadas y respetando los términos procesales establecidos por la ley o el reglamento o los que determine la entidad contratante</w:t>
      </w:r>
      <w:r>
        <w:rPr>
          <w:rFonts w:ascii="Verdana" w:hAnsi="Verdana" w:cs="Arial"/>
          <w:color w:val="000000" w:themeColor="text1"/>
          <w:lang w:val="es-ES"/>
        </w:rPr>
        <w:t xml:space="preserve">, </w:t>
      </w:r>
      <w:r>
        <w:rPr>
          <w:rFonts w:ascii="Verdana" w:eastAsia="Calibri" w:hAnsi="Verdana" w:cs="Arial"/>
          <w:color w:val="000000" w:themeColor="text1"/>
        </w:rPr>
        <w:t xml:space="preserve">sin perjuicio de la facultad de modificarlos o prorrogarlos mediante adenda antes del vencimiento del plazo señalado. No obstante, es pertinente indicar que esta facultad de modificación del cronograma no puede ser empleada de forma desproporcionada e injustificada por la entidad, de tal manera que se extiendan las etapas del proceso de contratación arbitrariamente en contravía de los principios de economía, de transparencia y de planeación.  </w:t>
      </w:r>
    </w:p>
    <w:p w14:paraId="74E649E8" w14:textId="77777777" w:rsidR="008A3D05" w:rsidRDefault="008A3D05" w:rsidP="008A3D05">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Conforme a los principios señalados, en los procesos de contratación se deben adelantar l</w:t>
      </w:r>
      <w:r w:rsidRPr="002A0E68">
        <w:rPr>
          <w:rFonts w:ascii="Verdana" w:eastAsia="Calibri" w:hAnsi="Verdana" w:cs="Arial"/>
          <w:color w:val="000000" w:themeColor="text1"/>
        </w:rPr>
        <w:t>os trámites con austeridad de tiempo, medios y gastos</w:t>
      </w:r>
      <w:r>
        <w:rPr>
          <w:rFonts w:ascii="Verdana" w:eastAsia="Calibri" w:hAnsi="Verdana" w:cs="Arial"/>
          <w:color w:val="000000" w:themeColor="text1"/>
        </w:rPr>
        <w:t xml:space="preserve">, se deberá asegurar la selección objetiva de los proponentes mediante la determinación de reglas objetivas y claras y se deberá establecer los tiempos de las etapas del proceso de contratación en atención a las necesidades que pretende satisfacer la entidad. De este modo, no resulta coherente con los principios de contratación pública que se extiendan los plazos de una etapa del </w:t>
      </w:r>
      <w:r>
        <w:rPr>
          <w:rFonts w:ascii="Verdana" w:eastAsia="Calibri" w:hAnsi="Verdana" w:cs="Arial"/>
          <w:color w:val="000000" w:themeColor="text1"/>
        </w:rPr>
        <w:lastRenderedPageBreak/>
        <w:t xml:space="preserve">proceso de contratación de forma ilimitada sin atender unos parámetros mínimos de adecuación y proporcionalidad con base en los principios mencionados. </w:t>
      </w:r>
    </w:p>
    <w:p w14:paraId="41AE3973" w14:textId="77777777" w:rsidR="008A3D05" w:rsidRDefault="008A3D05" w:rsidP="008A3D05">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En conclusión, para la expedición de adendas al cronograma después del cierre del proceso y antes de la adjudicación del contrato, la entidad deberá tener en cuenta que únicamente se podrán modificar dichos plazos antes de su vencimiento y que se deberán atender a parámetros de proporcionalidad y adecuación, de tal manera que no podrán prorrogar de manera ilimitada e injustificada una etapa de contratación. </w:t>
      </w:r>
    </w:p>
    <w:p w14:paraId="53DEC778" w14:textId="77777777" w:rsidR="008A3D05" w:rsidRDefault="008A3D05" w:rsidP="008A3D05">
      <w:pPr>
        <w:spacing w:after="120" w:line="276" w:lineRule="auto"/>
        <w:ind w:firstLine="708"/>
        <w:jc w:val="both"/>
        <w:rPr>
          <w:rFonts w:ascii="Verdana" w:eastAsia="Century Gothic" w:hAnsi="Verdana" w:cs="Century Gothic"/>
        </w:rPr>
      </w:pPr>
      <w:r>
        <w:rPr>
          <w:rFonts w:ascii="Verdana" w:eastAsia="Calibri" w:hAnsi="Verdana" w:cs="Arial"/>
          <w:color w:val="000000" w:themeColor="text1"/>
        </w:rPr>
        <w:t xml:space="preserve">De otro lado, teniendo en cuenta que la consulta planteada redunda en torno </w:t>
      </w:r>
      <w:r w:rsidRPr="00EF45CD">
        <w:rPr>
          <w:rFonts w:ascii="Verdana" w:eastAsia="Century Gothic" w:hAnsi="Verdana" w:cs="Century Gothic"/>
        </w:rPr>
        <w:t xml:space="preserve">la regla de </w:t>
      </w:r>
      <w:proofErr w:type="spellStart"/>
      <w:r w:rsidRPr="00EF45CD">
        <w:rPr>
          <w:rFonts w:ascii="Verdana" w:eastAsia="Century Gothic" w:hAnsi="Verdana" w:cs="Century Gothic"/>
        </w:rPr>
        <w:t>subsanabilidad</w:t>
      </w:r>
      <w:proofErr w:type="spellEnd"/>
      <w:r w:rsidRPr="00EF45CD">
        <w:rPr>
          <w:rFonts w:ascii="Verdana" w:eastAsia="Century Gothic" w:hAnsi="Verdana" w:cs="Century Gothic"/>
        </w:rPr>
        <w:t xml:space="preserve"> en procedimientos en que se utilice el mecanismo de subasta</w:t>
      </w:r>
      <w:r>
        <w:rPr>
          <w:rFonts w:ascii="Verdana" w:eastAsia="Century Gothic" w:hAnsi="Verdana" w:cs="Century Gothic"/>
        </w:rPr>
        <w:t xml:space="preserve">, vale la pena abordar el alcance de la regla de </w:t>
      </w:r>
      <w:proofErr w:type="spellStart"/>
      <w:r>
        <w:rPr>
          <w:rFonts w:ascii="Verdana" w:eastAsia="Century Gothic" w:hAnsi="Verdana" w:cs="Century Gothic"/>
        </w:rPr>
        <w:t>subsanabilidad</w:t>
      </w:r>
      <w:proofErr w:type="spellEnd"/>
      <w:r>
        <w:rPr>
          <w:rFonts w:ascii="Verdana" w:eastAsia="Century Gothic" w:hAnsi="Verdana" w:cs="Century Gothic"/>
        </w:rPr>
        <w:t xml:space="preserve"> de las ofertas:</w:t>
      </w:r>
    </w:p>
    <w:p w14:paraId="24972681" w14:textId="77777777" w:rsidR="008A3D05" w:rsidRPr="00C64261" w:rsidRDefault="008A3D05" w:rsidP="008A3D05">
      <w:pPr>
        <w:spacing w:after="120" w:line="276" w:lineRule="auto"/>
        <w:ind w:firstLine="708"/>
        <w:jc w:val="both"/>
        <w:rPr>
          <w:rFonts w:ascii="Verdana" w:eastAsia="Quattrocento Sans" w:hAnsi="Verdana" w:cs="Quattrocento Sans"/>
          <w:color w:val="000000"/>
        </w:rPr>
      </w:pPr>
      <w:r w:rsidRPr="00C64261">
        <w:rPr>
          <w:rFonts w:ascii="Verdana" w:eastAsia="Arial" w:hAnsi="Verdana" w:cs="Arial"/>
          <w:color w:val="000000"/>
        </w:rPr>
        <w:t xml:space="preserve">Esta Subdirección se ha pronunciado en diversas oportunidades acerca del alcance de la regla de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contenida actualmente en el artículo 5 de la Ley 1150 de 2007. Al respecto, la postura que se reitera en el presente concepto es la siguiente: por regla general, son subsanables i) la falta de entrega 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xml:space="preserve">) los defectos de los requisitos habilitantes. La excepción se encuentra en los casos, previstos en la ley, que limitan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es decir, en la prohibición de permitir la entrega de la garantía de seriedad de la oferta que no fue aportada con la propuesta y de valer la acreditación de circunstancias ocurridas con posterioridad al cierre del proceso.  </w:t>
      </w:r>
    </w:p>
    <w:p w14:paraId="55ACE985" w14:textId="77777777" w:rsidR="008A3D05" w:rsidRPr="00C64261" w:rsidRDefault="008A3D05" w:rsidP="008A3D05">
      <w:pPr>
        <w:spacing w:after="120" w:line="276" w:lineRule="auto"/>
        <w:ind w:firstLine="709"/>
        <w:jc w:val="both"/>
        <w:rPr>
          <w:rFonts w:ascii="Verdana" w:hAnsi="Verdana" w:cs="Arial"/>
          <w:lang w:val="es-ES_tradnl"/>
        </w:rPr>
      </w:pPr>
      <w:r w:rsidRPr="00C64261">
        <w:rPr>
          <w:rFonts w:ascii="Verdana" w:hAnsi="Verdana" w:cs="Arial"/>
          <w:lang w:val="es-ES_tradnl"/>
        </w:rPr>
        <w:t>Sobre este aspecto, debe resaltarse que la posibilidad de enmendar, corregir o subsanar los errores en los que se incurre en los documentos contentivos de la oferta es un tema que ha tenido diferentes momentos o etapas en el ordenamiento jurídico colombiano</w:t>
      </w:r>
      <w:r w:rsidRPr="00C64261">
        <w:rPr>
          <w:rFonts w:ascii="Verdana" w:eastAsia="Arial" w:hAnsi="Verdana" w:cs="Arial"/>
          <w:color w:val="000000"/>
        </w:rPr>
        <w:t xml:space="preserve">. En un </w:t>
      </w:r>
      <w:r w:rsidRPr="00C64261">
        <w:rPr>
          <w:rFonts w:ascii="Verdana" w:eastAsia="Arial" w:hAnsi="Verdana" w:cs="Arial"/>
          <w:i/>
          <w:color w:val="000000"/>
        </w:rPr>
        <w:t>primer momento</w:t>
      </w:r>
      <w:r w:rsidRPr="00C64261">
        <w:rPr>
          <w:rFonts w:ascii="Verdana" w:eastAsia="Arial" w:hAnsi="Verdana" w:cs="Arial"/>
          <w:color w:val="000000"/>
        </w:rPr>
        <w:t xml:space="preserve">, antes de expedirse la Constitución Política de 1991, el régimen jurídico de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6587782B" w14:textId="77777777" w:rsidR="008A3D05" w:rsidRPr="00C64261" w:rsidRDefault="008A3D05" w:rsidP="008A3D05">
      <w:pPr>
        <w:spacing w:after="0" w:line="276" w:lineRule="auto"/>
        <w:ind w:firstLine="709"/>
        <w:jc w:val="both"/>
        <w:rPr>
          <w:rFonts w:ascii="Verdana" w:hAnsi="Verdana"/>
        </w:rPr>
      </w:pPr>
      <w:r w:rsidRPr="00C64261">
        <w:rPr>
          <w:rFonts w:ascii="Verdana" w:eastAsia="Arial" w:hAnsi="Verdana" w:cs="Arial"/>
          <w:color w:val="000000"/>
        </w:rPr>
        <w:t xml:space="preserve">En un </w:t>
      </w:r>
      <w:r w:rsidRPr="00C64261">
        <w:rPr>
          <w:rFonts w:ascii="Verdana" w:eastAsia="Arial" w:hAnsi="Verdana" w:cs="Arial"/>
          <w:i/>
          <w:color w:val="000000"/>
        </w:rPr>
        <w:t>segundo momento</w:t>
      </w:r>
      <w:r w:rsidRPr="00C64261">
        <w:rPr>
          <w:rFonts w:ascii="Verdana" w:eastAsia="Arial" w:hAnsi="Verdana"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w:t>
      </w:r>
      <w:r w:rsidRPr="00C64261">
        <w:rPr>
          <w:rFonts w:ascii="Verdana" w:eastAsia="Arial" w:hAnsi="Verdana" w:cs="Arial"/>
          <w:color w:val="000000"/>
        </w:rPr>
        <w:lastRenderedPageBreak/>
        <w:t xml:space="preserve">principio de supremacía o prevalencia del derecho sustancial sobre el procedimental. En este nuevo escenario constitucional, el numeral 15 del artículo 25 de la Ley 80 de 1993 dispuso lo siguiente: </w:t>
      </w:r>
    </w:p>
    <w:p w14:paraId="1919F632" w14:textId="77777777" w:rsidR="008A3D05" w:rsidRPr="00C64261" w:rsidRDefault="008A3D05" w:rsidP="008A3D05">
      <w:pPr>
        <w:spacing w:after="0" w:line="276" w:lineRule="auto"/>
        <w:jc w:val="both"/>
        <w:rPr>
          <w:rFonts w:ascii="Verdana" w:eastAsia="Arial" w:hAnsi="Verdana" w:cs="Arial"/>
          <w:color w:val="000000"/>
        </w:rPr>
      </w:pPr>
    </w:p>
    <w:p w14:paraId="14069736" w14:textId="77777777" w:rsidR="008A3D05" w:rsidRPr="00075E11" w:rsidRDefault="008A3D05" w:rsidP="008A3D05">
      <w:pPr>
        <w:spacing w:after="0" w:line="240" w:lineRule="auto"/>
        <w:ind w:left="709" w:right="709"/>
        <w:jc w:val="both"/>
        <w:rPr>
          <w:rFonts w:ascii="Verdana" w:eastAsia="Arial" w:hAnsi="Verdana" w:cs="Arial"/>
          <w:color w:val="000000"/>
          <w:sz w:val="21"/>
          <w:szCs w:val="21"/>
        </w:rPr>
      </w:pPr>
      <w:r w:rsidRPr="00075E11">
        <w:rPr>
          <w:rFonts w:ascii="Verdana" w:eastAsia="Arial" w:hAnsi="Verdana" w:cs="Arial"/>
          <w:color w:val="000000"/>
          <w:sz w:val="21"/>
          <w:szCs w:val="21"/>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BE3AB30" w14:textId="77777777" w:rsidR="008A3D05" w:rsidRPr="00075E11" w:rsidRDefault="008A3D05" w:rsidP="008A3D05">
      <w:pPr>
        <w:spacing w:after="0" w:line="240" w:lineRule="auto"/>
        <w:ind w:left="709" w:right="709"/>
        <w:jc w:val="both"/>
        <w:rPr>
          <w:rFonts w:ascii="Verdana" w:eastAsia="Arial" w:hAnsi="Verdana" w:cs="Arial"/>
          <w:color w:val="000000"/>
          <w:sz w:val="21"/>
          <w:szCs w:val="21"/>
        </w:rPr>
      </w:pPr>
      <w:r w:rsidRPr="00075E11">
        <w:rPr>
          <w:rFonts w:ascii="Verdana" w:eastAsia="Arial" w:hAnsi="Verdana" w:cs="Arial"/>
          <w:color w:val="000000"/>
          <w:sz w:val="21"/>
          <w:szCs w:val="21"/>
        </w:rPr>
        <w:t xml:space="preserve">La ausencia de requisitos o la falta de documentos referentes a la futura contratación o al proponente, no necesarios para la comparación de propuestas, no servirá de título suficiente para el rechazo de los ofrecimientos hechos”. </w:t>
      </w:r>
    </w:p>
    <w:p w14:paraId="482B2F99" w14:textId="77777777" w:rsidR="008A3D05" w:rsidRPr="00C64261" w:rsidRDefault="008A3D05" w:rsidP="008A3D05">
      <w:pPr>
        <w:spacing w:after="0" w:line="276" w:lineRule="auto"/>
        <w:jc w:val="both"/>
        <w:rPr>
          <w:rFonts w:ascii="Verdana" w:eastAsia="Arial" w:hAnsi="Verdana" w:cs="Arial"/>
          <w:b/>
          <w:color w:val="000000"/>
        </w:rPr>
      </w:pPr>
    </w:p>
    <w:p w14:paraId="3BCDCE49"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Bajo el amparo de esta norma, el régimen jurídico de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sufre un cambio fundamental, pues ya no era posible rechazar las ofertas por falta de requisitos o documentos que no fueran “</w:t>
      </w:r>
      <w:r w:rsidRPr="00C64261">
        <w:rPr>
          <w:rFonts w:ascii="Verdana" w:eastAsia="Arial" w:hAnsi="Verdana" w:cs="Arial"/>
          <w:i/>
          <w:color w:val="000000"/>
        </w:rPr>
        <w:t>necesarios para la comparación de propuestas</w:t>
      </w:r>
      <w:r w:rsidRPr="00C64261">
        <w:rPr>
          <w:rFonts w:ascii="Verdana" w:eastAsia="Arial" w:hAnsi="Verdana" w:cs="Arial"/>
          <w:color w:val="000000"/>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616F87DB"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El artículo 25.15 debía leerse en conjunto con otras de la Ley 80 de 1993, particularmente con el artículo 30.7</w:t>
      </w:r>
      <w:r w:rsidRPr="00C64261">
        <w:rPr>
          <w:rFonts w:ascii="Verdana" w:eastAsia="Arial" w:hAnsi="Verdana" w:cs="Arial"/>
          <w:color w:val="000000"/>
          <w:vertAlign w:val="superscript"/>
        </w:rPr>
        <w:footnoteReference w:id="3"/>
      </w:r>
      <w:r w:rsidRPr="00C64261">
        <w:rPr>
          <w:rFonts w:ascii="Verdana" w:eastAsia="Arial" w:hAnsi="Verdana" w:cs="Arial"/>
          <w:color w:val="000000"/>
        </w:rPr>
        <w:t>, que ordena a la entidad señalar un plazo razonable para evaluar las propuestas y pedir a los proponentes, de ser necesario, que aclaren o expliquen aspectos que ofrezcan dudas y resulten indispensables para hacer la evaluación; y con el artículo 30.8</w:t>
      </w:r>
      <w:r w:rsidRPr="00C64261">
        <w:rPr>
          <w:rFonts w:ascii="Verdana" w:eastAsia="Arial" w:hAnsi="Verdana" w:cs="Arial"/>
          <w:color w:val="000000"/>
          <w:vertAlign w:val="superscript"/>
        </w:rPr>
        <w:footnoteReference w:id="4"/>
      </w:r>
      <w:r w:rsidRPr="00C64261">
        <w:rPr>
          <w:rFonts w:ascii="Verdana" w:eastAsia="Arial" w:hAnsi="Verdana" w:cs="Arial"/>
          <w:color w:val="000000"/>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w:t>
      </w:r>
      <w:proofErr w:type="gramStart"/>
      <w:r w:rsidRPr="00C64261">
        <w:rPr>
          <w:rFonts w:ascii="Verdana" w:eastAsia="Arial" w:hAnsi="Verdana" w:cs="Arial"/>
          <w:color w:val="000000"/>
        </w:rPr>
        <w:t>la misma</w:t>
      </w:r>
      <w:proofErr w:type="gramEnd"/>
      <w:r w:rsidRPr="00C64261">
        <w:rPr>
          <w:rFonts w:ascii="Verdana" w:eastAsia="Arial" w:hAnsi="Verdana" w:cs="Arial"/>
          <w:color w:val="000000"/>
        </w:rPr>
        <w:t xml:space="preserve"> no podía llevar </w:t>
      </w:r>
      <w:r w:rsidRPr="00C64261">
        <w:rPr>
          <w:rFonts w:ascii="Verdana" w:eastAsia="Arial" w:hAnsi="Verdana" w:cs="Arial"/>
          <w:color w:val="000000"/>
        </w:rPr>
        <w:lastRenderedPageBreak/>
        <w:t xml:space="preserve">a su rechazo, sin antes verificar que lo omitido fuera un aspecto necesario para la comparación. </w:t>
      </w:r>
    </w:p>
    <w:p w14:paraId="0EBBC563"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tercer momento</w:t>
      </w:r>
      <w:r w:rsidRPr="00C64261">
        <w:rPr>
          <w:rFonts w:ascii="Verdana" w:eastAsia="Arial" w:hAnsi="Verdana"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C64261">
        <w:rPr>
          <w:rFonts w:ascii="Verdana" w:eastAsia="Arial" w:hAnsi="Verdana" w:cs="Arial"/>
          <w:b/>
          <w:color w:val="000000"/>
        </w:rPr>
        <w:t xml:space="preserve">, </w:t>
      </w:r>
      <w:r w:rsidRPr="00C64261">
        <w:rPr>
          <w:rFonts w:ascii="Verdana" w:eastAsia="Arial" w:hAnsi="Verdana" w:cs="Arial"/>
          <w:color w:val="000000"/>
        </w:rPr>
        <w:t xml:space="preserve">todos aquellos requisitos de la propuesta que no afecten la asignación de </w:t>
      </w:r>
      <w:proofErr w:type="gramStart"/>
      <w:r w:rsidRPr="00C64261">
        <w:rPr>
          <w:rFonts w:ascii="Verdana" w:eastAsia="Arial" w:hAnsi="Verdana" w:cs="Arial"/>
          <w:color w:val="000000"/>
        </w:rPr>
        <w:t>puntaje,</w:t>
      </w:r>
      <w:proofErr w:type="gramEnd"/>
      <w:r w:rsidRPr="00C64261">
        <w:rPr>
          <w:rFonts w:ascii="Verdana" w:eastAsia="Arial" w:hAnsi="Verdana" w:cs="Arial"/>
          <w:color w:val="000000"/>
        </w:rPr>
        <w:t xml:space="preserve"> podrán ser solicitados por las entidades en cualquier momento, hasta la adjudicación. No </w:t>
      </w:r>
      <w:proofErr w:type="gramStart"/>
      <w:r w:rsidRPr="00C64261">
        <w:rPr>
          <w:rFonts w:ascii="Verdana" w:eastAsia="Arial" w:hAnsi="Verdana" w:cs="Arial"/>
          <w:color w:val="000000"/>
        </w:rPr>
        <w:t>obstante</w:t>
      </w:r>
      <w:proofErr w:type="gramEnd"/>
      <w:r w:rsidRPr="00C64261">
        <w:rPr>
          <w:rFonts w:ascii="Verdana" w:eastAsia="Arial" w:hAnsi="Verdana" w:cs="Arial"/>
          <w:color w:val="000000"/>
        </w:rPr>
        <w:t xml:space="preserve"> lo anterior, en aquellos procesos de selección en los que se utilice el mecanismo de subasta, deberán ser solicitados hasta el momento previo a su realización”. </w:t>
      </w:r>
    </w:p>
    <w:p w14:paraId="54901EDC" w14:textId="77777777" w:rsidR="008A3D05" w:rsidRPr="00C64261" w:rsidRDefault="008A3D05" w:rsidP="008A3D05">
      <w:pPr>
        <w:spacing w:after="120" w:line="276" w:lineRule="auto"/>
        <w:ind w:firstLine="709"/>
        <w:jc w:val="both"/>
        <w:rPr>
          <w:rFonts w:ascii="Verdana" w:hAnsi="Verdana"/>
        </w:rPr>
      </w:pPr>
      <w:r w:rsidRPr="00C64261">
        <w:rPr>
          <w:rFonts w:ascii="Verdana" w:eastAsia="Arial" w:hAnsi="Verdana"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37FCCB18" w14:textId="77777777" w:rsidR="008A3D05" w:rsidRPr="00C64261" w:rsidRDefault="008A3D05" w:rsidP="008A3D05">
      <w:pPr>
        <w:spacing w:after="0" w:line="276" w:lineRule="auto"/>
        <w:ind w:firstLine="709"/>
        <w:jc w:val="both"/>
        <w:rPr>
          <w:rFonts w:ascii="Verdana" w:eastAsia="Arial" w:hAnsi="Verdana" w:cs="Arial"/>
          <w:color w:val="000000"/>
        </w:rPr>
      </w:pPr>
      <w:r w:rsidRPr="00C64261">
        <w:rPr>
          <w:rFonts w:ascii="Verdana" w:eastAsia="Arial" w:hAnsi="Verdana" w:cs="Arial"/>
          <w:color w:val="000000"/>
        </w:rPr>
        <w:t>El artículo 5 de la Ley 1150 de 2007, además de consagrar un criterio más claro, y, de paso, reducir la discrecionalidad de la Administración, fijó un ámbito temporal para la subsanación de las ofertas: “</w:t>
      </w:r>
      <w:r w:rsidRPr="00C64261">
        <w:rPr>
          <w:rFonts w:ascii="Verdana" w:eastAsia="Arial" w:hAnsi="Verdana" w:cs="Arial"/>
          <w:i/>
          <w:color w:val="000000"/>
        </w:rPr>
        <w:t>en cualquier momento, hasta la adjudicación</w:t>
      </w:r>
      <w:r w:rsidRPr="00C64261">
        <w:rPr>
          <w:rFonts w:ascii="Verdana" w:eastAsia="Arial" w:hAnsi="Verdana"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78082424" w14:textId="77777777" w:rsidR="008A3D05" w:rsidRPr="00C64261" w:rsidRDefault="008A3D05" w:rsidP="008A3D05">
      <w:pPr>
        <w:spacing w:after="0" w:line="276" w:lineRule="auto"/>
        <w:jc w:val="both"/>
        <w:rPr>
          <w:rFonts w:ascii="Verdana" w:eastAsia="Arial" w:hAnsi="Verdana" w:cs="Arial"/>
          <w:color w:val="000000"/>
        </w:rPr>
      </w:pPr>
    </w:p>
    <w:p w14:paraId="6B5F83C5" w14:textId="77777777" w:rsidR="008A3D05" w:rsidRPr="00C64261" w:rsidRDefault="008A3D05" w:rsidP="008A3D05">
      <w:pPr>
        <w:spacing w:after="0" w:line="240" w:lineRule="auto"/>
        <w:ind w:left="709" w:right="709"/>
        <w:jc w:val="both"/>
        <w:rPr>
          <w:rFonts w:ascii="Verdana" w:eastAsia="Arial" w:hAnsi="Verdana" w:cs="Arial"/>
          <w:color w:val="000000"/>
          <w:sz w:val="21"/>
          <w:szCs w:val="21"/>
        </w:rPr>
      </w:pPr>
      <w:r>
        <w:rPr>
          <w:rFonts w:ascii="Verdana" w:eastAsia="Arial" w:hAnsi="Verdana" w:cs="Arial"/>
          <w:color w:val="000000"/>
          <w:sz w:val="21"/>
          <w:szCs w:val="21"/>
        </w:rPr>
        <w:t>“</w:t>
      </w:r>
      <w:r w:rsidRPr="00C64261">
        <w:rPr>
          <w:rFonts w:ascii="Verdana" w:eastAsia="Arial" w:hAnsi="Verdana" w:cs="Arial"/>
          <w:color w:val="000000"/>
          <w:sz w:val="21"/>
          <w:szCs w:val="21"/>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w:t>
      </w:r>
      <w:r w:rsidRPr="00C64261">
        <w:rPr>
          <w:rFonts w:ascii="Verdana" w:eastAsia="Arial" w:hAnsi="Verdana" w:cs="Arial"/>
          <w:color w:val="000000"/>
          <w:sz w:val="21"/>
          <w:szCs w:val="21"/>
        </w:rPr>
        <w:lastRenderedPageBreak/>
        <w:t>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Pr>
          <w:rFonts w:ascii="Verdana" w:eastAsia="Arial" w:hAnsi="Verdana" w:cs="Arial"/>
          <w:color w:val="000000"/>
          <w:sz w:val="21"/>
          <w:szCs w:val="21"/>
        </w:rPr>
        <w:t>”</w:t>
      </w:r>
      <w:r w:rsidRPr="00C64261">
        <w:rPr>
          <w:rFonts w:ascii="Verdana" w:eastAsia="Arial" w:hAnsi="Verdana" w:cs="Arial"/>
          <w:color w:val="000000"/>
          <w:sz w:val="21"/>
          <w:szCs w:val="21"/>
          <w:vertAlign w:val="superscript"/>
        </w:rPr>
        <w:footnoteReference w:id="5"/>
      </w:r>
      <w:r w:rsidRPr="00C64261">
        <w:rPr>
          <w:rFonts w:ascii="Verdana" w:eastAsia="Arial" w:hAnsi="Verdana" w:cs="Arial"/>
          <w:color w:val="000000"/>
          <w:sz w:val="21"/>
          <w:szCs w:val="21"/>
        </w:rPr>
        <w:t>.</w:t>
      </w:r>
    </w:p>
    <w:p w14:paraId="4A4EFECC" w14:textId="77777777" w:rsidR="008A3D05" w:rsidRPr="00C64261" w:rsidRDefault="008A3D05" w:rsidP="008A3D05">
      <w:pPr>
        <w:spacing w:after="0" w:line="276" w:lineRule="auto"/>
        <w:jc w:val="both"/>
        <w:rPr>
          <w:rFonts w:ascii="Verdana" w:eastAsia="Arial" w:hAnsi="Verdana" w:cs="Arial"/>
          <w:b/>
          <w:color w:val="000000"/>
        </w:rPr>
      </w:pPr>
    </w:p>
    <w:p w14:paraId="5391B70B" w14:textId="77777777" w:rsidR="008A3D05" w:rsidRPr="00C64261" w:rsidRDefault="008A3D05" w:rsidP="008A3D05">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Esa interpretación fue compartida por la Agencia Nacional de Contratación Pública – Colombia Compra Eficiente, pues en la Circular Externa Única se había precisado </w:t>
      </w:r>
      <w:proofErr w:type="gramStart"/>
      <w:r w:rsidRPr="00C64261">
        <w:rPr>
          <w:rFonts w:ascii="Verdana" w:eastAsia="Arial" w:hAnsi="Verdana" w:cs="Arial"/>
          <w:color w:val="000000"/>
        </w:rPr>
        <w:t>que</w:t>
      </w:r>
      <w:proofErr w:type="gramEnd"/>
      <w:r w:rsidRPr="00C64261">
        <w:rPr>
          <w:rFonts w:ascii="Verdana" w:eastAsia="Arial" w:hAnsi="Verdana" w:cs="Arial"/>
          <w:color w:val="000000"/>
        </w:rPr>
        <w:t xml:space="preserve"> si durante un proceso de contratación hay proponentes que no acreditaron en sus ofertas requisitos que no afectan la asignación de puntaje o la comparación de </w:t>
      </w:r>
      <w:proofErr w:type="gramStart"/>
      <w:r w:rsidRPr="00C64261">
        <w:rPr>
          <w:rFonts w:ascii="Verdana" w:eastAsia="Arial" w:hAnsi="Verdana" w:cs="Arial"/>
          <w:color w:val="000000"/>
        </w:rPr>
        <w:t>las mismas</w:t>
      </w:r>
      <w:proofErr w:type="gramEnd"/>
      <w:r w:rsidRPr="00C64261">
        <w:rPr>
          <w:rFonts w:ascii="Verdana" w:eastAsia="Arial" w:hAnsi="Verdana" w:cs="Arial"/>
          <w:color w:val="000000"/>
        </w:rPr>
        <w:t>, la entidad estatal deberá indicarlo en el informe de evaluación y advertir que la correspondiente oferta no será evaluada hasta que se subsane.</w:t>
      </w:r>
    </w:p>
    <w:p w14:paraId="18280028" w14:textId="77777777" w:rsidR="008A3D05" w:rsidRPr="00C64261" w:rsidRDefault="008A3D05" w:rsidP="008A3D05">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cuarto momento</w:t>
      </w:r>
      <w:r w:rsidRPr="00C64261">
        <w:rPr>
          <w:rFonts w:ascii="Verdana" w:eastAsia="Arial" w:hAnsi="Verdana" w:cs="Arial"/>
          <w:color w:val="00000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C64261">
        <w:rPr>
          <w:rFonts w:ascii="Verdana" w:eastAsia="Arial" w:hAnsi="Verdana" w:cs="Arial"/>
          <w:color w:val="000000"/>
        </w:rPr>
        <w:t>puntaje,</w:t>
      </w:r>
      <w:proofErr w:type="gramEnd"/>
      <w:r w:rsidRPr="00C64261">
        <w:rPr>
          <w:rFonts w:ascii="Verdana" w:eastAsia="Arial" w:hAnsi="Verdana" w:cs="Arial"/>
          <w:color w:val="000000"/>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19ACC3B"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Como puede observarse, esta norma: i) mantiene el criterio de la Ley 80 de 1993, relativo a que todo lo que no sea necesario para la comparación de propuestas no es título suficiente para su rechazo;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xml:space="preserve">) mantiene el criterio aclaratorio de la Ley 1150 de 2007, según el cual todo lo que no afecte la </w:t>
      </w:r>
      <w:r w:rsidRPr="00C64261">
        <w:rPr>
          <w:rFonts w:ascii="Verdana" w:eastAsia="Arial" w:hAnsi="Verdana" w:cs="Arial"/>
          <w:color w:val="000000"/>
        </w:rPr>
        <w:lastRenderedPageBreak/>
        <w:t xml:space="preserve">asignación de puntaje puede subsanarse 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xml:space="preserve">) introduce modificaciones en relación con algunos aspectos que se analizarán a continuación. </w:t>
      </w:r>
    </w:p>
    <w:p w14:paraId="3A99DB23"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C64261">
        <w:rPr>
          <w:rFonts w:ascii="Verdana" w:eastAsia="Arial" w:hAnsi="Verdana" w:cs="Arial"/>
          <w:color w:val="000000"/>
          <w:vertAlign w:val="superscript"/>
        </w:rPr>
        <w:footnoteReference w:id="6"/>
      </w:r>
      <w:r w:rsidRPr="00C64261">
        <w:rPr>
          <w:rFonts w:ascii="Verdana" w:eastAsia="Arial" w:hAnsi="Verdana" w:cs="Arial"/>
          <w:color w:val="000000"/>
        </w:rPr>
        <w:t xml:space="preserve">; en el último los documentos o requisitos subsanables pueden y deben solicitarse hasta el momento previo a su realización.  </w:t>
      </w:r>
    </w:p>
    <w:p w14:paraId="3B78902D"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1B3FEC9C"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No obstante, de la lectura de este aparte podrían, en la práctica, darse dos interpretaciones que dan lugar a dos formas de proceder en los procesos de selección, en lo que se refiere a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w:t>
      </w:r>
      <w:r w:rsidRPr="00C64261">
        <w:rPr>
          <w:rFonts w:ascii="Verdana" w:eastAsia="Arial" w:hAnsi="Verdana" w:cs="Arial"/>
          <w:i/>
          <w:color w:val="000000"/>
        </w:rPr>
        <w:t>Primera</w:t>
      </w:r>
      <w:r w:rsidRPr="00C64261">
        <w:rPr>
          <w:rFonts w:ascii="Verdana" w:eastAsia="Arial" w:hAnsi="Verdana"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C64261">
        <w:rPr>
          <w:rFonts w:ascii="Verdana" w:eastAsia="Arial" w:hAnsi="Verdana" w:cs="Arial"/>
          <w:i/>
          <w:color w:val="000000"/>
        </w:rPr>
        <w:t>segunda</w:t>
      </w:r>
      <w:r w:rsidRPr="00C64261">
        <w:rPr>
          <w:rFonts w:ascii="Verdana" w:eastAsia="Arial" w:hAnsi="Verdana" w:cs="Arial"/>
          <w:color w:val="000000"/>
        </w:rPr>
        <w:t xml:space="preserve">, que el término del traslado del informe de evaluación es el límite para la subsanación de ofertas, pero no el único momento para hacerlo. </w:t>
      </w:r>
    </w:p>
    <w:p w14:paraId="7E64E37A"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w:t>
      </w:r>
      <w:r w:rsidRPr="00C64261">
        <w:rPr>
          <w:rFonts w:ascii="Verdana" w:eastAsia="Arial" w:hAnsi="Verdana" w:cs="Arial"/>
          <w:color w:val="000000"/>
        </w:rPr>
        <w:lastRenderedPageBreak/>
        <w:t>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7F77B21B"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2DF8C081"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3AFDD0BB"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C64261">
        <w:rPr>
          <w:rFonts w:ascii="Verdana" w:eastAsia="Arial" w:hAnsi="Verdana" w:cs="Arial"/>
          <w:b/>
          <w:i/>
          <w:color w:val="000000"/>
        </w:rPr>
        <w:t>.</w:t>
      </w:r>
      <w:r w:rsidRPr="00C64261">
        <w:rPr>
          <w:rFonts w:ascii="Verdana" w:eastAsia="Arial" w:hAnsi="Verdana" w:cs="Arial"/>
          <w:b/>
          <w:color w:val="000000"/>
        </w:rPr>
        <w:t xml:space="preserve"> </w:t>
      </w:r>
      <w:r w:rsidRPr="00C64261">
        <w:rPr>
          <w:rFonts w:ascii="Verdana" w:eastAsia="Arial" w:hAnsi="Verdana" w:cs="Arial"/>
          <w:color w:val="000000"/>
        </w:rPr>
        <w:t xml:space="preserve">Lo anterior ofrece dos aspectos que merecen clarificación: </w:t>
      </w:r>
      <w:r w:rsidRPr="00C64261">
        <w:rPr>
          <w:rFonts w:ascii="Verdana" w:eastAsia="Arial" w:hAnsi="Verdana" w:cs="Arial"/>
          <w:i/>
          <w:color w:val="000000"/>
        </w:rPr>
        <w:t>primero</w:t>
      </w:r>
      <w:r w:rsidRPr="00C64261">
        <w:rPr>
          <w:rFonts w:ascii="Verdana" w:eastAsia="Arial" w:hAnsi="Verdana" w:cs="Arial"/>
          <w:color w:val="000000"/>
        </w:rPr>
        <w:t xml:space="preserve">, qué debe entenderse por circunstancias ocurridas con posterioridad; y </w:t>
      </w:r>
      <w:r w:rsidRPr="00C64261">
        <w:rPr>
          <w:rFonts w:ascii="Verdana" w:eastAsia="Arial" w:hAnsi="Verdana" w:cs="Arial"/>
          <w:i/>
          <w:color w:val="000000"/>
        </w:rPr>
        <w:t>segundo</w:t>
      </w:r>
      <w:r w:rsidRPr="00C64261">
        <w:rPr>
          <w:rFonts w:ascii="Verdana" w:eastAsia="Arial" w:hAnsi="Verdana" w:cs="Arial"/>
          <w:color w:val="000000"/>
        </w:rPr>
        <w:t>, qué es el cierre del proceso.</w:t>
      </w:r>
    </w:p>
    <w:p w14:paraId="363D74CB" w14:textId="77777777" w:rsidR="008A3D05" w:rsidRPr="00C64261" w:rsidRDefault="008A3D05" w:rsidP="008A3D05">
      <w:pPr>
        <w:spacing w:after="0" w:line="276" w:lineRule="auto"/>
        <w:ind w:firstLine="709"/>
        <w:jc w:val="both"/>
        <w:rPr>
          <w:rFonts w:ascii="Verdana" w:eastAsia="Arial" w:hAnsi="Verdana" w:cs="Arial"/>
          <w:color w:val="000000"/>
        </w:rPr>
      </w:pPr>
      <w:r w:rsidRPr="00C64261">
        <w:rPr>
          <w:rFonts w:ascii="Verdana" w:eastAsia="Arial" w:hAnsi="Verdana" w:cs="Arial"/>
          <w:color w:val="000000"/>
        </w:rPr>
        <w:t>La Sala de Consulta y Servicio Civil del Consejo de Estado ya había tenido la oportunidad de precisar estas expresiones, a propósito de un concepto en el que se refirió al artículo 10 del derogado Decreto 2474 de 2008</w:t>
      </w:r>
      <w:r w:rsidRPr="00C64261">
        <w:rPr>
          <w:rFonts w:ascii="Verdana" w:eastAsia="Arial" w:hAnsi="Verdana" w:cs="Arial"/>
          <w:color w:val="000000"/>
          <w:vertAlign w:val="superscript"/>
        </w:rPr>
        <w:footnoteReference w:id="7"/>
      </w:r>
      <w:r w:rsidRPr="00C64261">
        <w:rPr>
          <w:rFonts w:ascii="Verdana" w:eastAsia="Arial" w:hAnsi="Verdana" w:cs="Arial"/>
          <w:color w:val="000000"/>
        </w:rPr>
        <w:t xml:space="preserve">, que había </w:t>
      </w:r>
      <w:r w:rsidRPr="00C64261">
        <w:rPr>
          <w:rFonts w:ascii="Verdana" w:eastAsia="Arial" w:hAnsi="Verdana" w:cs="Arial"/>
          <w:color w:val="000000"/>
        </w:rPr>
        <w:lastRenderedPageBreak/>
        <w:t xml:space="preserve">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6EB667EF" w14:textId="77777777" w:rsidR="008A3D05" w:rsidRPr="00C64261" w:rsidRDefault="008A3D05" w:rsidP="008A3D05">
      <w:pPr>
        <w:spacing w:after="0"/>
        <w:ind w:left="709" w:right="709"/>
        <w:jc w:val="both"/>
        <w:rPr>
          <w:rFonts w:ascii="Verdana" w:eastAsia="Arial" w:hAnsi="Verdana" w:cs="Arial"/>
          <w:color w:val="000000"/>
        </w:rPr>
      </w:pPr>
    </w:p>
    <w:p w14:paraId="66BE3402" w14:textId="77777777" w:rsidR="008A3D05" w:rsidRPr="00C64261" w:rsidRDefault="008A3D05" w:rsidP="008A3D05">
      <w:pPr>
        <w:spacing w:after="120" w:line="240" w:lineRule="auto"/>
        <w:ind w:left="709" w:right="709"/>
        <w:jc w:val="both"/>
        <w:rPr>
          <w:rFonts w:ascii="Verdana" w:eastAsia="Arial" w:hAnsi="Verdana" w:cs="Arial"/>
          <w:color w:val="000000"/>
          <w:sz w:val="21"/>
          <w:szCs w:val="21"/>
        </w:rPr>
      </w:pPr>
      <w:r>
        <w:rPr>
          <w:rFonts w:ascii="Verdana" w:eastAsia="Arial" w:hAnsi="Verdana" w:cs="Arial"/>
          <w:color w:val="000000"/>
          <w:sz w:val="21"/>
          <w:szCs w:val="21"/>
        </w:rPr>
        <w:t>“</w:t>
      </w:r>
      <w:r w:rsidRPr="00C64261">
        <w:rPr>
          <w:rFonts w:ascii="Verdana" w:eastAsia="Arial" w:hAnsi="Verdana" w:cs="Arial"/>
          <w:color w:val="000000"/>
          <w:sz w:val="21"/>
          <w:szCs w:val="21"/>
        </w:rPr>
        <w:t xml:space="preserve">Sin embargo, debe tenerse en cuenta que la última norma en cita -Decreto 2474 de 2008, aparte subrayado-, establece un límite a la </w:t>
      </w:r>
      <w:proofErr w:type="spellStart"/>
      <w:r w:rsidRPr="00C64261">
        <w:rPr>
          <w:rFonts w:ascii="Verdana" w:eastAsia="Arial" w:hAnsi="Verdana" w:cs="Arial"/>
          <w:color w:val="000000"/>
          <w:sz w:val="21"/>
          <w:szCs w:val="21"/>
        </w:rPr>
        <w:t>subsanabilidad</w:t>
      </w:r>
      <w:proofErr w:type="spellEnd"/>
      <w:r w:rsidRPr="00C64261">
        <w:rPr>
          <w:rFonts w:ascii="Verdana" w:eastAsia="Arial" w:hAnsi="Verdana" w:cs="Arial"/>
          <w:color w:val="000000"/>
          <w:sz w:val="21"/>
          <w:szCs w:val="21"/>
        </w:rPr>
        <w:t>, puesto que en cualquier caso debe referirse o recaer sobre circunstancias ocurridas antes del cierre del respectivo proceso, esto es, del vencimiento del plazo para presentar ofertas.</w:t>
      </w:r>
    </w:p>
    <w:p w14:paraId="29DE180E" w14:textId="77777777" w:rsidR="008A3D05" w:rsidRPr="00C64261" w:rsidRDefault="008A3D05" w:rsidP="008A3D05">
      <w:pPr>
        <w:spacing w:after="0" w:line="240" w:lineRule="auto"/>
        <w:ind w:left="709" w:right="709"/>
        <w:jc w:val="both"/>
        <w:rPr>
          <w:rFonts w:ascii="Verdana" w:eastAsia="Arial" w:hAnsi="Verdana" w:cs="Arial"/>
          <w:color w:val="000000"/>
          <w:sz w:val="21"/>
          <w:szCs w:val="21"/>
        </w:rPr>
      </w:pPr>
      <w:r w:rsidRPr="00C64261">
        <w:rPr>
          <w:rFonts w:ascii="Verdana" w:eastAsia="Arial" w:hAnsi="Verdana" w:cs="Arial"/>
          <w:color w:val="000000"/>
          <w:sz w:val="21"/>
          <w:szCs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C64261">
        <w:rPr>
          <w:rFonts w:ascii="Verdana" w:eastAsia="Arial" w:hAnsi="Verdana" w:cs="Arial"/>
          <w:color w:val="000000"/>
          <w:sz w:val="21"/>
          <w:szCs w:val="21"/>
        </w:rPr>
        <w:t>la misma</w:t>
      </w:r>
      <w:proofErr w:type="gramEnd"/>
      <w:r w:rsidRPr="00C64261">
        <w:rPr>
          <w:rFonts w:ascii="Verdana" w:eastAsia="Arial" w:hAnsi="Verdana" w:cs="Arial"/>
          <w:color w:val="000000"/>
          <w:sz w:val="21"/>
          <w:szCs w:val="21"/>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C64261">
        <w:rPr>
          <w:rFonts w:ascii="Verdana" w:eastAsia="Arial" w:hAnsi="Verdana" w:cs="Arial"/>
          <w:color w:val="000000"/>
          <w:sz w:val="21"/>
          <w:szCs w:val="21"/>
        </w:rPr>
        <w:t>del mismo</w:t>
      </w:r>
      <w:proofErr w:type="gramEnd"/>
      <w:r w:rsidRPr="00C64261">
        <w:rPr>
          <w:rFonts w:ascii="Verdana" w:eastAsia="Arial" w:hAnsi="Verdana" w:cs="Arial"/>
          <w:color w:val="000000"/>
          <w:sz w:val="21"/>
          <w:szCs w:val="21"/>
        </w:rPr>
        <w:t xml:space="preserve"> o lo actualice, pero no para que se constituya la sociedad con posterioridad al cierre del proceso, pues si ello no se había hecho, significa simplemente que el oferente no tenía la condición para participar</w:t>
      </w:r>
      <w:r>
        <w:rPr>
          <w:rFonts w:ascii="Verdana" w:eastAsia="Arial" w:hAnsi="Verdana" w:cs="Arial"/>
          <w:color w:val="000000"/>
          <w:sz w:val="21"/>
          <w:szCs w:val="21"/>
        </w:rPr>
        <w:t>”</w:t>
      </w:r>
      <w:r w:rsidRPr="00C64261">
        <w:rPr>
          <w:rFonts w:ascii="Verdana" w:eastAsia="Arial" w:hAnsi="Verdana" w:cs="Arial"/>
          <w:color w:val="000000"/>
          <w:sz w:val="21"/>
          <w:szCs w:val="21"/>
          <w:vertAlign w:val="superscript"/>
        </w:rPr>
        <w:footnoteReference w:id="8"/>
      </w:r>
      <w:r w:rsidRPr="00C64261">
        <w:rPr>
          <w:rFonts w:ascii="Verdana" w:eastAsia="Arial" w:hAnsi="Verdana" w:cs="Arial"/>
          <w:color w:val="000000"/>
          <w:sz w:val="21"/>
          <w:szCs w:val="21"/>
        </w:rPr>
        <w:t>.</w:t>
      </w:r>
    </w:p>
    <w:p w14:paraId="484D9712" w14:textId="77777777" w:rsidR="008A3D05" w:rsidRPr="00C64261" w:rsidRDefault="008A3D05" w:rsidP="008A3D05">
      <w:pPr>
        <w:spacing w:after="0" w:line="276" w:lineRule="auto"/>
        <w:jc w:val="both"/>
        <w:rPr>
          <w:rFonts w:ascii="Verdana" w:eastAsia="Arial" w:hAnsi="Verdana" w:cs="Arial"/>
          <w:color w:val="000000"/>
        </w:rPr>
      </w:pPr>
    </w:p>
    <w:p w14:paraId="63A95A0A"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2F01CED"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0092B480"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64261">
        <w:rPr>
          <w:rFonts w:ascii="Verdana" w:eastAsia="Arial" w:hAnsi="Verdana" w:cs="Arial"/>
          <w:color w:val="000000"/>
          <w:vertAlign w:val="superscript"/>
        </w:rPr>
        <w:footnoteReference w:id="9"/>
      </w:r>
      <w:r w:rsidRPr="00C64261">
        <w:rPr>
          <w:rFonts w:ascii="Verdana" w:eastAsia="Arial" w:hAnsi="Verdana" w:cs="Arial"/>
          <w:color w:val="000000"/>
        </w:rPr>
        <w:t xml:space="preserv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si un oferente no anexó el certificado de existencia y representación legal, el documento aportado con posterioridad debe dar cuenta de que la sociedad existe desde antes del cierre del proceso</w:t>
      </w:r>
      <w:r w:rsidRPr="00C64261">
        <w:rPr>
          <w:rFonts w:ascii="Verdana" w:eastAsia="Arial" w:hAnsi="Verdana" w:cs="Arial"/>
          <w:color w:val="000000"/>
          <w:vertAlign w:val="superscript"/>
        </w:rPr>
        <w:footnoteReference w:id="10"/>
      </w:r>
      <w:r w:rsidRPr="00C64261">
        <w:rPr>
          <w:rFonts w:ascii="Verdana" w:eastAsia="Arial" w:hAnsi="Verdana" w:cs="Arial"/>
          <w:color w:val="000000"/>
        </w:rPr>
        <w:t xml:space="preserve">; </w:t>
      </w:r>
      <w:proofErr w:type="spellStart"/>
      <w:r w:rsidRPr="00C64261">
        <w:rPr>
          <w:rFonts w:ascii="Verdana" w:eastAsia="Arial" w:hAnsi="Verdana" w:cs="Arial"/>
          <w:color w:val="000000"/>
        </w:rPr>
        <w:t>iv</w:t>
      </w:r>
      <w:proofErr w:type="spellEnd"/>
      <w:r w:rsidRPr="00C64261">
        <w:rPr>
          <w:rFonts w:ascii="Verdana" w:eastAsia="Arial" w:hAnsi="Verdana" w:cs="Arial"/>
          <w:color w:val="000000"/>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w:t>
      </w:r>
      <w:r w:rsidRPr="00C64261">
        <w:rPr>
          <w:rFonts w:ascii="Verdana" w:eastAsia="Arial" w:hAnsi="Verdana" w:cs="Arial"/>
          <w:color w:val="000000"/>
        </w:rPr>
        <w:lastRenderedPageBreak/>
        <w:t xml:space="preserve">oferente olvidó firmar la propuesta o presentar una copia de ella, puede subsanar sin que se entienda que acreditó una circunstancia ocurrida con posterioridad al cierre del proceso. </w:t>
      </w:r>
    </w:p>
    <w:p w14:paraId="1723447B"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C64261">
        <w:rPr>
          <w:rFonts w:ascii="Verdana" w:eastAsia="Arial" w:hAnsi="Verdana" w:cs="Arial"/>
          <w:color w:val="000000"/>
        </w:rPr>
        <w:t>que</w:t>
      </w:r>
      <w:proofErr w:type="gramEnd"/>
      <w:r w:rsidRPr="00C64261">
        <w:rPr>
          <w:rFonts w:ascii="Verdana" w:eastAsia="Arial" w:hAnsi="Verdana" w:cs="Arial"/>
          <w:color w:val="000000"/>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64261">
        <w:rPr>
          <w:rFonts w:ascii="Verdana" w:eastAsia="Arial" w:hAnsi="Verdana" w:cs="Arial"/>
          <w:color w:val="000000"/>
          <w:vertAlign w:val="superscript"/>
        </w:rPr>
        <w:footnoteReference w:id="11"/>
      </w:r>
      <w:r w:rsidRPr="00C64261">
        <w:rPr>
          <w:rFonts w:ascii="Verdana" w:eastAsia="Arial" w:hAnsi="Verdana" w:cs="Arial"/>
          <w:color w:val="000000"/>
        </w:rPr>
        <w:t xml:space="preserve">. </w:t>
      </w:r>
    </w:p>
    <w:p w14:paraId="3F06DC15"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0535D5DB"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7D59E19C"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lastRenderedPageBreak/>
        <w:t xml:space="preserve">Una reiteración de la postura de esta Subdirección, según la cual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7C312091" w14:textId="77777777" w:rsidR="008A3D05" w:rsidRPr="00C64261"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03BB6778" w14:textId="77777777" w:rsidR="008A3D05" w:rsidRDefault="008A3D05" w:rsidP="008A3D05">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C64261">
        <w:rPr>
          <w:rFonts w:ascii="Verdana" w:eastAsia="Arial" w:hAnsi="Verdana" w:cs="Arial"/>
          <w:color w:val="000000"/>
        </w:rPr>
        <w:t>la misma</w:t>
      </w:r>
      <w:proofErr w:type="gramEnd"/>
      <w:r w:rsidRPr="00C64261">
        <w:rPr>
          <w:rFonts w:ascii="Verdana" w:eastAsia="Arial" w:hAnsi="Verdana" w:cs="Arial"/>
          <w:color w:val="000000"/>
        </w:rPr>
        <w:t>”, dejando claro que se trata de un documento de obligatoria presentación junto con la propuesta y que materializa los principios de seriedad e irrevocabilidad de la oferta.</w:t>
      </w:r>
    </w:p>
    <w:p w14:paraId="477D25C2" w14:textId="77777777" w:rsidR="008A3D05" w:rsidRDefault="008A3D05" w:rsidP="008A3D05">
      <w:pPr>
        <w:spacing w:after="120" w:line="276" w:lineRule="auto"/>
        <w:ind w:firstLine="709"/>
        <w:jc w:val="both"/>
        <w:rPr>
          <w:rFonts w:ascii="Verdana" w:eastAsia="Arial" w:hAnsi="Verdana" w:cs="Arial"/>
          <w:color w:val="000000"/>
        </w:rPr>
      </w:pPr>
      <w:r>
        <w:rPr>
          <w:rFonts w:ascii="Verdana" w:eastAsia="Arial" w:hAnsi="Verdana" w:cs="Arial"/>
          <w:color w:val="000000"/>
        </w:rPr>
        <w:lastRenderedPageBreak/>
        <w:t xml:space="preserve">Pero ¿cómo opera esta regla de </w:t>
      </w:r>
      <w:proofErr w:type="spellStart"/>
      <w:r>
        <w:rPr>
          <w:rFonts w:ascii="Verdana" w:eastAsia="Arial" w:hAnsi="Verdana" w:cs="Arial"/>
          <w:color w:val="000000"/>
        </w:rPr>
        <w:t>subsanabilidad</w:t>
      </w:r>
      <w:proofErr w:type="spellEnd"/>
      <w:r>
        <w:rPr>
          <w:rFonts w:ascii="Verdana" w:eastAsia="Arial" w:hAnsi="Verdana" w:cs="Arial"/>
          <w:color w:val="000000"/>
        </w:rPr>
        <w:t xml:space="preserve"> en los procedimientos en que se utilice el mecanismo de subasta? </w:t>
      </w:r>
    </w:p>
    <w:p w14:paraId="271E620A" w14:textId="77777777" w:rsidR="008A3D05" w:rsidRPr="008B36D4" w:rsidRDefault="008A3D05" w:rsidP="008A3D05">
      <w:pPr>
        <w:autoSpaceDE w:val="0"/>
        <w:autoSpaceDN w:val="0"/>
        <w:adjustRightInd w:val="0"/>
        <w:spacing w:after="120" w:line="276" w:lineRule="auto"/>
        <w:ind w:firstLine="708"/>
        <w:jc w:val="both"/>
        <w:rPr>
          <w:rFonts w:ascii="Verdana" w:hAnsi="Verdana" w:cs="Arial"/>
          <w:lang w:val="es-MX"/>
          <w14:ligatures w14:val="standardContextual"/>
        </w:rPr>
      </w:pPr>
      <w:r w:rsidRPr="008B36D4">
        <w:rPr>
          <w:rFonts w:ascii="Verdana" w:eastAsia="Arial" w:hAnsi="Verdana" w:cs="Arial"/>
          <w:color w:val="000000"/>
        </w:rPr>
        <w:t xml:space="preserve">En primer lugar, </w:t>
      </w:r>
      <w:r>
        <w:rPr>
          <w:rFonts w:ascii="Verdana" w:hAnsi="Verdana" w:cs="Arial"/>
          <w:lang w:val="es-MX"/>
          <w14:ligatures w14:val="standardContextual"/>
        </w:rPr>
        <w:t>l</w:t>
      </w:r>
      <w:r w:rsidRPr="008B36D4">
        <w:rPr>
          <w:rFonts w:ascii="Verdana" w:hAnsi="Verdana" w:cs="Arial"/>
          <w:lang w:val="es-MX"/>
          <w14:ligatures w14:val="standardContextual"/>
        </w:rPr>
        <w:t>a subasta inversa es un mecanismo que se concibió con la finalidad de introducir una metodología alternativa para el proceso de negociación y perfeccionamiento del contrato estatal. Su regulación se encuentra en el artículo 2 de la Ley 1150 de 2007, en donde se indica que la figura tiene como finalidad confrontar, de manera dinámica, las distintas ofertas que pueden presentarse para los procesos de licitación pública, para los procesos de selección abreviada que tienen por finalidad la adquisición de bienes y servicios de características técnicas uniformes y de común utilización, y en los procesos de enajenación de bienes del Estado</w:t>
      </w:r>
      <w:r w:rsidRPr="008B36D4">
        <w:rPr>
          <w:rFonts w:ascii="Verdana" w:hAnsi="Verdana" w:cs="Arial"/>
          <w:vertAlign w:val="superscript"/>
          <w:lang w:val="es-MX"/>
          <w14:ligatures w14:val="standardContextual"/>
        </w:rPr>
        <w:footnoteReference w:id="12"/>
      </w:r>
      <w:r w:rsidRPr="008B36D4">
        <w:rPr>
          <w:rFonts w:ascii="Verdana" w:hAnsi="Verdana" w:cs="Arial"/>
          <w:lang w:val="es-MX"/>
          <w14:ligatures w14:val="standardContextual"/>
        </w:rPr>
        <w:t>.  </w:t>
      </w:r>
    </w:p>
    <w:p w14:paraId="53A3D5F3" w14:textId="77777777" w:rsidR="008A3D05" w:rsidRPr="008B36D4" w:rsidRDefault="008A3D05" w:rsidP="008A3D05">
      <w:pPr>
        <w:autoSpaceDE w:val="0"/>
        <w:autoSpaceDN w:val="0"/>
        <w:adjustRightInd w:val="0"/>
        <w:spacing w:after="120" w:line="276" w:lineRule="auto"/>
        <w:ind w:firstLine="709"/>
        <w:jc w:val="both"/>
        <w:rPr>
          <w:rFonts w:ascii="Verdana" w:hAnsi="Verdana" w:cs="Arial"/>
          <w:lang w:val="es-MX"/>
          <w14:ligatures w14:val="standardContextual"/>
        </w:rPr>
      </w:pPr>
      <w:r w:rsidRPr="008B36D4">
        <w:rPr>
          <w:rFonts w:ascii="Verdana" w:hAnsi="Verdana" w:cs="Arial"/>
          <w:lang w:val="es-MX"/>
          <w14:ligatures w14:val="standardContextual"/>
        </w:rPr>
        <w:lastRenderedPageBreak/>
        <w:t>En este contexto, la doctrina ha señalado que “se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Pr="008B36D4">
        <w:rPr>
          <w:rFonts w:ascii="Verdana" w:hAnsi="Verdana" w:cs="Arial"/>
          <w:vertAlign w:val="superscript"/>
          <w:lang w:val="es-MX"/>
          <w14:ligatures w14:val="standardContextual"/>
        </w:rPr>
        <w:footnoteReference w:id="13"/>
      </w:r>
      <w:r w:rsidRPr="008B36D4">
        <w:rPr>
          <w:rFonts w:ascii="Verdana" w:hAnsi="Verdana" w:cs="Arial"/>
          <w:lang w:val="es-MX"/>
          <w14:ligatures w14:val="standardContextual"/>
        </w:rPr>
        <w:t>. En igual sentido, la doctrina especializada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Pr="008B36D4">
        <w:rPr>
          <w:rFonts w:ascii="Verdana" w:hAnsi="Verdana" w:cs="Arial"/>
          <w:vertAlign w:val="superscript"/>
          <w:lang w:val="es-MX"/>
          <w14:ligatures w14:val="standardContextual"/>
        </w:rPr>
        <w:footnoteReference w:id="14"/>
      </w:r>
      <w:r w:rsidRPr="008B36D4">
        <w:rPr>
          <w:rFonts w:ascii="Verdana" w:hAnsi="Verdana" w:cs="Arial"/>
          <w:lang w:val="es-MX"/>
          <w14:ligatures w14:val="standardContextual"/>
        </w:rPr>
        <w:t>.  </w:t>
      </w:r>
    </w:p>
    <w:p w14:paraId="4F53AD95" w14:textId="77777777" w:rsidR="008A3D05" w:rsidRPr="008B36D4" w:rsidRDefault="008A3D05" w:rsidP="008A3D05">
      <w:pPr>
        <w:spacing w:before="120" w:after="0" w:line="276" w:lineRule="auto"/>
        <w:ind w:firstLine="709"/>
        <w:jc w:val="both"/>
        <w:rPr>
          <w:rFonts w:ascii="Verdana" w:eastAsia="Times New Roman" w:hAnsi="Verdana" w:cs="Arial"/>
          <w:szCs w:val="24"/>
          <w:lang w:val="es-ES_tradnl" w:eastAsia="es-ES_tradnl"/>
          <w14:ligatures w14:val="standardContextual"/>
        </w:rPr>
      </w:pPr>
      <w:bookmarkStart w:id="4" w:name="_Hlk41921892"/>
      <w:r w:rsidRPr="008B36D4">
        <w:rPr>
          <w:rFonts w:ascii="Verdana" w:eastAsia="Times New Roman" w:hAnsi="Verdana" w:cs="Arial"/>
          <w:szCs w:val="24"/>
          <w:lang w:val="es-ES_tradnl" w:eastAsia="es-ES_tradnl"/>
          <w14:ligatures w14:val="standardContextual"/>
        </w:rPr>
        <w:t xml:space="preserve">Ahora bien, como se indicó </w:t>
      </w:r>
      <w:r>
        <w:rPr>
          <w:rFonts w:ascii="Verdana" w:eastAsia="Times New Roman" w:hAnsi="Verdana" w:cs="Arial"/>
          <w:szCs w:val="24"/>
          <w:lang w:val="es-ES_tradnl" w:eastAsia="es-ES_tradnl"/>
          <w14:ligatures w14:val="standardContextual"/>
        </w:rPr>
        <w:t>en párrafos anteriores</w:t>
      </w:r>
      <w:r w:rsidRPr="008B36D4">
        <w:rPr>
          <w:rFonts w:ascii="Verdana" w:eastAsia="Times New Roman" w:hAnsi="Verdana" w:cs="Arial"/>
          <w:szCs w:val="24"/>
          <w:lang w:val="es-ES_tradnl" w:eastAsia="es-ES_tradnl"/>
          <w14:ligatures w14:val="standardContextual"/>
        </w:rPr>
        <w:t xml:space="preserve">, la regla general respecto a la oportunidad para subsanar tiene como excepción, entre otras cosas, el término especial establecido en los procesos de selección en los que se utilice el mecanismo de subasta inversa, para lo cual el artículo 5 de la Ley 1882 de 2018, adicionó el parágrafo 4 al artículo 5 de la Ley 1150 de 2007, en donde se precisa esta regla en los siguientes términos:  </w:t>
      </w:r>
    </w:p>
    <w:p w14:paraId="583712F5" w14:textId="77777777" w:rsidR="008A3D05" w:rsidRPr="008B36D4" w:rsidRDefault="008A3D05" w:rsidP="008A3D05">
      <w:pPr>
        <w:spacing w:after="0" w:line="276" w:lineRule="auto"/>
        <w:ind w:left="709" w:right="709"/>
        <w:jc w:val="both"/>
        <w:rPr>
          <w:rFonts w:ascii="Verdana" w:eastAsia="Times New Roman" w:hAnsi="Verdana" w:cs="Arial"/>
          <w:b/>
          <w:bCs/>
          <w:color w:val="000000"/>
          <w:sz w:val="21"/>
          <w:szCs w:val="21"/>
          <w:lang w:eastAsia="es-ES_tradnl"/>
          <w14:ligatures w14:val="standardContextual"/>
        </w:rPr>
      </w:pPr>
    </w:p>
    <w:p w14:paraId="53DF1513" w14:textId="77777777" w:rsidR="008A3D05" w:rsidRPr="008B36D4" w:rsidRDefault="008A3D05" w:rsidP="008A3D05">
      <w:pPr>
        <w:spacing w:after="0" w:line="240" w:lineRule="auto"/>
        <w:ind w:left="709" w:right="709"/>
        <w:jc w:val="both"/>
        <w:rPr>
          <w:rFonts w:ascii="Verdana" w:eastAsia="Times New Roman" w:hAnsi="Verdana" w:cs="Arial"/>
          <w:color w:val="000000"/>
          <w:sz w:val="21"/>
          <w:szCs w:val="21"/>
          <w:lang w:eastAsia="es-ES_tradnl"/>
          <w14:ligatures w14:val="standardContextual"/>
        </w:rPr>
      </w:pPr>
      <w:r w:rsidRPr="008B36D4">
        <w:rPr>
          <w:rFonts w:ascii="Verdana" w:eastAsia="Times New Roman" w:hAnsi="Verdana" w:cs="Arial"/>
          <w:b/>
          <w:bCs/>
          <w:color w:val="000000"/>
          <w:sz w:val="21"/>
          <w:szCs w:val="21"/>
          <w:lang w:eastAsia="es-ES_tradnl"/>
          <w14:ligatures w14:val="standardContextual"/>
        </w:rPr>
        <w:t>“Parágrafo 4°. </w:t>
      </w:r>
      <w:r w:rsidRPr="008B36D4">
        <w:rPr>
          <w:rFonts w:ascii="Verdana" w:eastAsia="Times New Roman" w:hAnsi="Verdana" w:cs="Arial"/>
          <w:color w:val="000000"/>
          <w:sz w:val="21"/>
          <w:szCs w:val="21"/>
          <w:lang w:eastAsia="es-ES_tradnl"/>
          <w14:ligatures w14:val="standardContextual"/>
        </w:rPr>
        <w:t xml:space="preserve">En aquellos procesos de selección en los que se utilice el mecanismo de subasta, los documentos referentes a la futura contratación o al proponente, no necesarios para la comparación de las propuestas, </w:t>
      </w:r>
      <w:r w:rsidRPr="008B36D4">
        <w:rPr>
          <w:rFonts w:ascii="Verdana" w:eastAsia="Times New Roman" w:hAnsi="Verdana" w:cs="Arial"/>
          <w:i/>
          <w:iCs/>
          <w:color w:val="000000"/>
          <w:sz w:val="21"/>
          <w:szCs w:val="21"/>
          <w:lang w:eastAsia="es-ES_tradnl"/>
          <w14:ligatures w14:val="standardContextual"/>
        </w:rPr>
        <w:t>deberán ser solicitados</w:t>
      </w:r>
      <w:r w:rsidRPr="008B36D4">
        <w:rPr>
          <w:rFonts w:ascii="Verdana" w:eastAsia="Times New Roman" w:hAnsi="Verdana" w:cs="Arial"/>
          <w:color w:val="000000"/>
          <w:sz w:val="21"/>
          <w:szCs w:val="21"/>
          <w:lang w:eastAsia="es-ES_tradnl"/>
          <w14:ligatures w14:val="standardContextual"/>
        </w:rPr>
        <w:t xml:space="preserve"> hasta el momento previo a su realización (Cursiva fuera de texto)”. </w:t>
      </w:r>
    </w:p>
    <w:p w14:paraId="30384C1A" w14:textId="77777777" w:rsidR="008A3D05" w:rsidRPr="008B36D4" w:rsidRDefault="008A3D05" w:rsidP="008A3D05">
      <w:pPr>
        <w:spacing w:after="0" w:line="276" w:lineRule="auto"/>
        <w:ind w:left="709" w:right="709"/>
        <w:jc w:val="both"/>
        <w:rPr>
          <w:rFonts w:ascii="Verdana" w:eastAsia="Times New Roman" w:hAnsi="Verdana" w:cs="Arial"/>
          <w:color w:val="000000"/>
          <w:lang w:eastAsia="es-ES_tradnl"/>
          <w14:ligatures w14:val="standardContextual"/>
        </w:rPr>
      </w:pPr>
    </w:p>
    <w:p w14:paraId="7ACC3EE2" w14:textId="77777777" w:rsidR="008A3D05" w:rsidRPr="008B36D4" w:rsidRDefault="008A3D05" w:rsidP="008A3D05">
      <w:pPr>
        <w:spacing w:after="120" w:line="276" w:lineRule="auto"/>
        <w:ind w:right="51"/>
        <w:jc w:val="both"/>
        <w:rPr>
          <w:rFonts w:ascii="Verdana" w:eastAsia="Times New Roman" w:hAnsi="Verdana" w:cs="Arial"/>
          <w:color w:val="000000"/>
          <w:szCs w:val="24"/>
          <w:lang w:eastAsia="es-ES_tradnl"/>
          <w14:ligatures w14:val="standardContextual"/>
        </w:rPr>
      </w:pPr>
      <w:r w:rsidRPr="008B36D4">
        <w:rPr>
          <w:rFonts w:ascii="Verdana" w:eastAsia="Times New Roman" w:hAnsi="Verdana" w:cs="Arial"/>
          <w:color w:val="000000"/>
          <w:szCs w:val="24"/>
          <w:lang w:eastAsia="es-ES_tradnl"/>
          <w14:ligatures w14:val="standardContextual"/>
        </w:rPr>
        <w:tab/>
        <w:t xml:space="preserve">Tal como se expresó en los conceptos C-267 y C-283 del 5 de mayo de 2020, si se analiza la norma transcrita, no es difícil llegar a la conclusión relativa a que esta contiene una regla muy parecida respecto a la oportunidad para subsanar en los procesos de subasta, a la contenida en la parte final del inciso primero del artículo 5 de la Ley 1150 de 2007, antes de ser modificada por la Ley 1882 de 2018, siendo en esencia la misma, con la precisión adicional respecto de los documentos susceptibles de subsanación. Esta regla cosiste en la fijación del momento previo al inicio de la audiencia de subasta, como el tiempo límite para que se solicite la subsanación de los documentos faltantes </w:t>
      </w:r>
      <w:r w:rsidRPr="008B36D4">
        <w:rPr>
          <w:rFonts w:ascii="Verdana" w:eastAsia="Times New Roman" w:hAnsi="Verdana" w:cs="Arial"/>
          <w:color w:val="000000"/>
          <w:szCs w:val="24"/>
          <w:lang w:eastAsia="es-ES_tradnl"/>
          <w14:ligatures w14:val="standardContextual"/>
        </w:rPr>
        <w:lastRenderedPageBreak/>
        <w:t>hasta entonces no presentados por los proponentes o, en general, susceptibles de subsanarse.</w:t>
      </w:r>
    </w:p>
    <w:p w14:paraId="08956236" w14:textId="77777777" w:rsidR="008A3D05" w:rsidRPr="008B36D4" w:rsidRDefault="008A3D05" w:rsidP="008A3D05">
      <w:pPr>
        <w:spacing w:after="0" w:line="276" w:lineRule="auto"/>
        <w:ind w:right="51"/>
        <w:jc w:val="both"/>
        <w:rPr>
          <w:rFonts w:ascii="Verdana" w:eastAsia="Times New Roman" w:hAnsi="Verdana" w:cs="Arial"/>
          <w:color w:val="000000"/>
          <w:szCs w:val="24"/>
          <w:lang w:eastAsia="es-ES_tradnl"/>
          <w14:ligatures w14:val="standardContextual"/>
        </w:rPr>
      </w:pPr>
      <w:r w:rsidRPr="008B36D4">
        <w:rPr>
          <w:rFonts w:ascii="Verdana" w:eastAsia="Times New Roman" w:hAnsi="Verdana" w:cs="Arial"/>
          <w:color w:val="000000"/>
          <w:szCs w:val="24"/>
          <w:lang w:eastAsia="es-ES_tradnl"/>
          <w14:ligatures w14:val="standardContextual"/>
        </w:rPr>
        <w:tab/>
        <w:t xml:space="preserve">De esta manera, a juicio de esta Subdirección,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ya que lo que hace el parágrafo 4° </w:t>
      </w:r>
      <w:proofErr w:type="spellStart"/>
      <w:r w:rsidRPr="008B36D4">
        <w:rPr>
          <w:rFonts w:ascii="Verdana" w:eastAsia="Times New Roman" w:hAnsi="Verdana" w:cs="Arial"/>
          <w:i/>
          <w:iCs/>
          <w:color w:val="000000"/>
          <w:szCs w:val="24"/>
          <w:lang w:eastAsia="es-ES_tradnl"/>
          <w14:ligatures w14:val="standardContextual"/>
        </w:rPr>
        <w:t>Ibídem</w:t>
      </w:r>
      <w:proofErr w:type="spellEnd"/>
      <w:r w:rsidRPr="008B36D4">
        <w:rPr>
          <w:rFonts w:ascii="Verdana" w:eastAsia="Times New Roman" w:hAnsi="Verdana" w:cs="Arial"/>
          <w:i/>
          <w:iCs/>
          <w:color w:val="000000"/>
          <w:szCs w:val="24"/>
          <w:lang w:eastAsia="es-ES_tradnl"/>
          <w14:ligatures w14:val="standardContextual"/>
        </w:rPr>
        <w:t xml:space="preserve"> </w:t>
      </w:r>
      <w:r w:rsidRPr="008B36D4">
        <w:rPr>
          <w:rFonts w:ascii="Verdana" w:eastAsia="Times New Roman" w:hAnsi="Verdana" w:cs="Arial"/>
          <w:color w:val="000000"/>
          <w:szCs w:val="24"/>
          <w:lang w:eastAsia="es-ES_tradnl"/>
          <w14:ligatures w14:val="standardContextual"/>
        </w:rPr>
        <w:t xml:space="preserve">es fijar el momento hasta el cual las respectivas entidades pueden requerir a los proponentes la subsanación de los documentos faltantes. Lo anterior, fue aclarado por la Sección Tercera del Consejo de Estado en vigencia del texto original del parágrafo 1 de la Ley 1150 de 2007, respecto de la regla general de </w:t>
      </w:r>
      <w:proofErr w:type="spellStart"/>
      <w:r w:rsidRPr="008B36D4">
        <w:rPr>
          <w:rFonts w:ascii="Verdana" w:eastAsia="Times New Roman" w:hAnsi="Verdana" w:cs="Arial"/>
          <w:color w:val="000000"/>
          <w:szCs w:val="24"/>
          <w:lang w:eastAsia="es-ES_tradnl"/>
          <w14:ligatures w14:val="standardContextual"/>
        </w:rPr>
        <w:t>subsanabilidad</w:t>
      </w:r>
      <w:proofErr w:type="spellEnd"/>
      <w:r w:rsidRPr="008B36D4">
        <w:rPr>
          <w:rFonts w:ascii="Verdana" w:eastAsia="Times New Roman" w:hAnsi="Verdana" w:cs="Arial"/>
          <w:color w:val="000000"/>
          <w:szCs w:val="24"/>
          <w:lang w:eastAsia="es-ES_tradnl"/>
          <w14:ligatures w14:val="standardContextual"/>
        </w:rPr>
        <w:t>, que fijaba la adjudicación como momento límite para subsanar, mediante consideraciones que se extienden a la regla de subasta, en los siguientes términos:</w:t>
      </w:r>
    </w:p>
    <w:p w14:paraId="65E559B4" w14:textId="77777777" w:rsidR="008A3D05" w:rsidRPr="008B36D4" w:rsidRDefault="008A3D05" w:rsidP="008A3D05">
      <w:pPr>
        <w:spacing w:after="0" w:line="276" w:lineRule="auto"/>
        <w:ind w:right="51"/>
        <w:jc w:val="both"/>
        <w:rPr>
          <w:rFonts w:ascii="Verdana" w:eastAsia="Times New Roman" w:hAnsi="Verdana" w:cs="Arial"/>
          <w:color w:val="000000"/>
          <w:szCs w:val="24"/>
          <w:lang w:eastAsia="es-ES_tradnl"/>
          <w14:ligatures w14:val="standardContextual"/>
        </w:rPr>
      </w:pPr>
    </w:p>
    <w:p w14:paraId="2AAF2F0D" w14:textId="77777777" w:rsidR="008A3D05" w:rsidRPr="008B36D4" w:rsidRDefault="008A3D05" w:rsidP="008A3D05">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Verdana" w:eastAsia="Times New Roman" w:hAnsi="Verdana" w:cs="Arial"/>
          <w:sz w:val="21"/>
          <w:szCs w:val="21"/>
          <w:lang w:val="es-ES" w:eastAsia="es-ES_tradnl"/>
          <w14:ligatures w14:val="standardContextual"/>
        </w:rPr>
      </w:pPr>
      <w:r w:rsidRPr="008B36D4">
        <w:rPr>
          <w:rFonts w:ascii="Verdana" w:eastAsia="Times New Roman" w:hAnsi="Verdana" w:cs="Arial"/>
          <w:sz w:val="21"/>
          <w:szCs w:val="21"/>
          <w:lang w:eastAsia="es-ES_tradnl"/>
          <w14:ligatures w14:val="standardContextual"/>
        </w:rPr>
        <w:t>“[S]i bien es obligación de la entidad permitir que se aclaren, expliquen o subsanen los defectos de las ofertas susceptibles de esa oportunidad, y por ende es un derecho de los participantes que se lo soliciten, se trata de una oportunidad temporalmente limitada, cuyo término define la administración, y es preclusivo para subsanar o aclarar; y si el proponente no corrige o explica dentro del estricto plazo conferido […]</w:t>
      </w:r>
    </w:p>
    <w:p w14:paraId="1DACC557" w14:textId="77777777" w:rsidR="008A3D05" w:rsidRPr="008B36D4" w:rsidRDefault="008A3D05" w:rsidP="008A3D05">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Verdana" w:eastAsia="Times New Roman" w:hAnsi="Verdana" w:cs="Arial"/>
          <w:sz w:val="21"/>
          <w:szCs w:val="21"/>
          <w:lang w:eastAsia="es-ES_tradnl"/>
          <w14:ligatures w14:val="standardContextual"/>
        </w:rPr>
      </w:pPr>
    </w:p>
    <w:p w14:paraId="081B5641" w14:textId="77777777" w:rsidR="008A3D05" w:rsidRPr="008B36D4" w:rsidRDefault="008A3D05" w:rsidP="008A3D05">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Verdana" w:eastAsia="Times New Roman" w:hAnsi="Verdana" w:cs="Arial"/>
          <w:sz w:val="21"/>
          <w:szCs w:val="21"/>
          <w:lang w:eastAsia="es-ES_tradnl"/>
          <w14:ligatures w14:val="standardContextual"/>
        </w:rPr>
      </w:pPr>
      <w:r w:rsidRPr="008B36D4">
        <w:rPr>
          <w:rFonts w:ascii="Verdana" w:eastAsia="Times New Roman" w:hAnsi="Verdana" w:cs="Arial"/>
          <w:sz w:val="21"/>
          <w:szCs w:val="21"/>
          <w:lang w:eastAsia="es-ES_tradnl"/>
          <w14:ligatures w14:val="standardContextual"/>
        </w:rPr>
        <w:t xml:space="preserve">De la anterior manera se ponderan adecuadamente el </w:t>
      </w:r>
      <w:r w:rsidRPr="008B36D4">
        <w:rPr>
          <w:rFonts w:ascii="Verdana" w:eastAsia="Times New Roman" w:hAnsi="Verdana" w:cs="Arial"/>
          <w:i/>
          <w:sz w:val="21"/>
          <w:szCs w:val="21"/>
          <w:lang w:eastAsia="es-ES_tradnl"/>
          <w14:ligatures w14:val="standardContextual"/>
        </w:rPr>
        <w:t>derecho</w:t>
      </w:r>
      <w:r w:rsidRPr="008B36D4">
        <w:rPr>
          <w:rFonts w:ascii="Verdana" w:eastAsia="Times New Roman" w:hAnsi="Verdana" w:cs="Arial"/>
          <w:sz w:val="21"/>
          <w:szCs w:val="21"/>
          <w:lang w:eastAsia="es-ES_tradnl"/>
          <w14:ligatures w14:val="standardContextual"/>
        </w:rPr>
        <w:t xml:space="preserve"> del proponente a subsanar, corregir y aclarar; con el </w:t>
      </w:r>
      <w:r w:rsidRPr="008B36D4">
        <w:rPr>
          <w:rFonts w:ascii="Verdana" w:eastAsia="Times New Roman" w:hAnsi="Verdana" w:cs="Arial"/>
          <w:i/>
          <w:sz w:val="21"/>
          <w:szCs w:val="21"/>
          <w:lang w:eastAsia="es-ES_tradnl"/>
          <w14:ligatures w14:val="standardContextual"/>
        </w:rPr>
        <w:t>derecho-deber</w:t>
      </w:r>
      <w:r w:rsidRPr="008B36D4">
        <w:rPr>
          <w:rFonts w:ascii="Verdana" w:eastAsia="Times New Roman" w:hAnsi="Verdana" w:cs="Arial"/>
          <w:sz w:val="21"/>
          <w:szCs w:val="21"/>
          <w:lang w:eastAsia="es-ES_tradnl"/>
          <w14:ligatures w14:val="standardContextual"/>
        </w:rPr>
        <w:t xml:space="preserve"> que tiene la administración de avanzar y concluir el procedimiento de selección –principios de eficiencia, economía y celeridad de la actuación administrativa-, que no se puede estancar ni quedar en vilo de las respuestas extemporáneas que entregue el oferente. </w:t>
      </w:r>
    </w:p>
    <w:p w14:paraId="1BC89F35" w14:textId="77777777" w:rsidR="008A3D05" w:rsidRPr="008B36D4" w:rsidRDefault="008A3D05" w:rsidP="008A3D05">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Verdana" w:eastAsia="Times New Roman" w:hAnsi="Verdana" w:cs="Arial"/>
          <w:sz w:val="21"/>
          <w:szCs w:val="21"/>
          <w:lang w:eastAsia="es-ES_tradnl"/>
          <w14:ligatures w14:val="standardContextual"/>
        </w:rPr>
      </w:pPr>
    </w:p>
    <w:p w14:paraId="7A907271" w14:textId="77777777" w:rsidR="008A3D05" w:rsidRPr="008B36D4" w:rsidRDefault="008A3D05" w:rsidP="008A3D05">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Verdana" w:eastAsia="Times New Roman" w:hAnsi="Verdana" w:cs="Arial"/>
          <w:sz w:val="21"/>
          <w:szCs w:val="21"/>
          <w:lang w:eastAsia="es-ES_tradnl"/>
          <w14:ligatures w14:val="standardContextual"/>
        </w:rPr>
      </w:pPr>
      <w:r w:rsidRPr="008B36D4">
        <w:rPr>
          <w:rFonts w:ascii="Verdana" w:eastAsia="Times New Roman" w:hAnsi="Verdana" w:cs="Arial"/>
          <w:sz w:val="21"/>
          <w:szCs w:val="21"/>
          <w:lang w:eastAsia="es-ES_tradnl"/>
          <w14:ligatures w14:val="standardContextual"/>
        </w:rPr>
        <w:t xml:space="preserve">En consecuencia, el proponente debe acogerse al tiempo que le otorga la administración para subsanar o aclarar la oferta, lapso que la entidad no puede extender más allá de la adjudicación. No se trata, entonces, de que el oferente tenga la posibilidad de entregar la información solicitada </w:t>
      </w:r>
      <w:r w:rsidRPr="008B36D4">
        <w:rPr>
          <w:rFonts w:ascii="Verdana" w:eastAsia="Times New Roman" w:hAnsi="Verdana" w:cs="Arial"/>
          <w:i/>
          <w:sz w:val="21"/>
          <w:szCs w:val="21"/>
          <w:lang w:eastAsia="es-ES_tradnl"/>
          <w14:ligatures w14:val="standardContextual"/>
        </w:rPr>
        <w:t>a más tardar hasta la adjudicación</w:t>
      </w:r>
      <w:r w:rsidRPr="008B36D4">
        <w:rPr>
          <w:rFonts w:ascii="Verdana" w:eastAsia="Times New Roman" w:hAnsi="Verdana" w:cs="Arial"/>
          <w:sz w:val="21"/>
          <w:szCs w:val="21"/>
          <w:lang w:eastAsia="es-ES_tradnl"/>
          <w14:ligatures w14:val="standardContextual"/>
        </w:rPr>
        <w:t xml:space="preserve">; es la entidad quien tiene, </w:t>
      </w:r>
      <w:r w:rsidRPr="008B36D4">
        <w:rPr>
          <w:rFonts w:ascii="Verdana" w:eastAsia="Times New Roman" w:hAnsi="Verdana" w:cs="Arial"/>
          <w:i/>
          <w:sz w:val="21"/>
          <w:szCs w:val="21"/>
          <w:lang w:eastAsia="es-ES_tradnl"/>
          <w14:ligatures w14:val="standardContextual"/>
        </w:rPr>
        <w:t>a más tardar hasta la adjudicación,</w:t>
      </w:r>
      <w:r w:rsidRPr="008B36D4">
        <w:rPr>
          <w:rFonts w:ascii="Verdana" w:eastAsia="Times New Roman" w:hAnsi="Verdana" w:cs="Arial"/>
          <w:sz w:val="21"/>
          <w:szCs w:val="21"/>
          <w:lang w:eastAsia="es-ES_tradnl"/>
          <w14:ligatures w14:val="standardContextual"/>
        </w:rPr>
        <w:t xml:space="preserve"> la posibilidad de </w:t>
      </w:r>
      <w:r w:rsidRPr="008B36D4">
        <w:rPr>
          <w:rFonts w:ascii="Verdana" w:eastAsia="Times New Roman" w:hAnsi="Verdana" w:cs="Arial"/>
          <w:i/>
          <w:sz w:val="21"/>
          <w:szCs w:val="21"/>
          <w:lang w:eastAsia="es-ES_tradnl"/>
          <w14:ligatures w14:val="standardContextual"/>
        </w:rPr>
        <w:t>pedir</w:t>
      </w:r>
      <w:r w:rsidRPr="008B36D4">
        <w:rPr>
          <w:rFonts w:ascii="Verdana" w:eastAsia="Times New Roman" w:hAnsi="Verdana" w:cs="Arial"/>
          <w:sz w:val="21"/>
          <w:szCs w:val="21"/>
          <w:lang w:eastAsia="es-ES_tradnl"/>
          <w14:ligatures w14:val="standardContextual"/>
        </w:rPr>
        <w:t xml:space="preserve"> a los oferentes que aclaren o subsanen</w:t>
      </w:r>
      <w:r w:rsidRPr="008B36D4">
        <w:rPr>
          <w:rFonts w:ascii="Verdana" w:eastAsia="Times New Roman" w:hAnsi="Verdana" w:cs="Arial"/>
          <w:i/>
          <w:sz w:val="21"/>
          <w:szCs w:val="21"/>
          <w:lang w:eastAsia="es-ES_tradnl"/>
          <w14:ligatures w14:val="standardContextual"/>
        </w:rPr>
        <w:t>.</w:t>
      </w:r>
      <w:r w:rsidRPr="008B36D4">
        <w:rPr>
          <w:rFonts w:ascii="Verdana" w:eastAsia="Times New Roman" w:hAnsi="Verdana" w:cs="Arial"/>
          <w:sz w:val="21"/>
          <w:szCs w:val="21"/>
          <w:lang w:eastAsia="es-ES_tradnl"/>
          <w14:ligatures w14:val="standardContextual"/>
        </w:rPr>
        <w:t xml:space="preserve"> De esta manera, el oferente requerido no puede controlar y menos manipular el proceso de selección reteniendo maliciosamente la información solicitada –por ejemplo, la póliza, la acreditación de experiencia adicional, la autorización para contratar, etc.- hasta cuando decida caprichosamente entregarla –sin exceder el día de la adjudicación-. Por </w:t>
      </w:r>
      <w:r w:rsidRPr="008B36D4">
        <w:rPr>
          <w:rFonts w:ascii="Verdana" w:eastAsia="Times New Roman" w:hAnsi="Verdana" w:cs="Arial"/>
          <w:sz w:val="21"/>
          <w:szCs w:val="21"/>
          <w:lang w:eastAsia="es-ES_tradnl"/>
          <w14:ligatures w14:val="standardContextual"/>
        </w:rPr>
        <w:lastRenderedPageBreak/>
        <w:t>el contrario, la entidad es quien pone el término para aportar la aclaración o para subsanar, perdiendo definitivamente el oferente la oportunidad de hacerlo si no se ajusta al plazo preciso que se le concede […]</w:t>
      </w:r>
    </w:p>
    <w:p w14:paraId="1283501D" w14:textId="77777777" w:rsidR="008A3D05" w:rsidRPr="008B36D4" w:rsidRDefault="008A3D05" w:rsidP="008A3D05">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Verdana" w:eastAsia="Times New Roman" w:hAnsi="Verdana" w:cs="Arial"/>
          <w:sz w:val="21"/>
          <w:szCs w:val="21"/>
          <w:lang w:eastAsia="es-ES_tradnl"/>
          <w14:ligatures w14:val="standardContextual"/>
        </w:rPr>
      </w:pPr>
    </w:p>
    <w:p w14:paraId="52A53423" w14:textId="77777777" w:rsidR="008A3D05" w:rsidRPr="008B36D4" w:rsidRDefault="008A3D05" w:rsidP="008A3D05">
      <w:pPr>
        <w:tabs>
          <w:tab w:val="left" w:pos="426"/>
          <w:tab w:val="left" w:pos="709"/>
          <w:tab w:val="left" w:pos="1368"/>
          <w:tab w:val="left" w:pos="1416"/>
          <w:tab w:val="left" w:pos="2832"/>
          <w:tab w:val="left" w:pos="3540"/>
          <w:tab w:val="left" w:pos="4956"/>
          <w:tab w:val="left" w:pos="5664"/>
          <w:tab w:val="left" w:pos="6372"/>
          <w:tab w:val="left" w:pos="7080"/>
          <w:tab w:val="left" w:pos="8379"/>
          <w:tab w:val="left" w:pos="8760"/>
        </w:tabs>
        <w:suppressAutoHyphens/>
        <w:overflowPunct w:val="0"/>
        <w:autoSpaceDE w:val="0"/>
        <w:autoSpaceDN w:val="0"/>
        <w:adjustRightInd w:val="0"/>
        <w:spacing w:after="0" w:line="240" w:lineRule="auto"/>
        <w:ind w:left="709" w:right="709"/>
        <w:jc w:val="both"/>
        <w:rPr>
          <w:rFonts w:ascii="Verdana" w:eastAsia="Times New Roman" w:hAnsi="Verdana" w:cs="Arial"/>
          <w:sz w:val="21"/>
          <w:szCs w:val="21"/>
          <w:lang w:eastAsia="es-ES_tradnl"/>
          <w14:ligatures w14:val="standardContextual"/>
        </w:rPr>
      </w:pPr>
      <w:r w:rsidRPr="008B36D4">
        <w:rPr>
          <w:rFonts w:ascii="Verdana" w:eastAsia="Times New Roman" w:hAnsi="Verdana" w:cs="Arial"/>
          <w:sz w:val="21"/>
          <w:szCs w:val="21"/>
          <w:lang w:eastAsia="es-ES_tradnl"/>
          <w14:ligatures w14:val="standardContextual"/>
        </w:rPr>
        <w:t xml:space="preserve">En todo caso, el término para hacer las correcciones debe ser razonable, para que el proponente adecúe o explique su propuesta, </w:t>
      </w:r>
      <w:proofErr w:type="gramStart"/>
      <w:r w:rsidRPr="008B36D4">
        <w:rPr>
          <w:rFonts w:ascii="Verdana" w:eastAsia="Times New Roman" w:hAnsi="Verdana" w:cs="Arial"/>
          <w:sz w:val="21"/>
          <w:szCs w:val="21"/>
          <w:lang w:eastAsia="es-ES_tradnl"/>
          <w14:ligatures w14:val="standardContextual"/>
        </w:rPr>
        <w:t>pues</w:t>
      </w:r>
      <w:proofErr w:type="gramEnd"/>
      <w:r w:rsidRPr="008B36D4">
        <w:rPr>
          <w:rFonts w:ascii="Verdana" w:eastAsia="Times New Roman" w:hAnsi="Verdana" w:cs="Arial"/>
          <w:sz w:val="21"/>
          <w:szCs w:val="21"/>
          <w:lang w:eastAsia="es-ES_tradnl"/>
          <w14:ligatures w14:val="standardContextual"/>
        </w:rPr>
        <w:t xml:space="preserve"> aunque la entidad cuenta con un margen alto de discrecionalidad para fijarlo, la administración no puede hacerlo irrazonablemente”</w:t>
      </w:r>
      <w:r w:rsidRPr="008B36D4">
        <w:rPr>
          <w:rFonts w:ascii="Verdana" w:eastAsia="Times New Roman" w:hAnsi="Verdana" w:cs="Arial"/>
          <w:sz w:val="21"/>
          <w:szCs w:val="21"/>
          <w:vertAlign w:val="superscript"/>
          <w:lang w:eastAsia="es-ES_tradnl"/>
          <w14:ligatures w14:val="standardContextual"/>
        </w:rPr>
        <w:footnoteReference w:id="15"/>
      </w:r>
      <w:r w:rsidRPr="008B36D4">
        <w:rPr>
          <w:rFonts w:ascii="Verdana" w:eastAsia="Times New Roman" w:hAnsi="Verdana" w:cs="Arial"/>
          <w:sz w:val="21"/>
          <w:szCs w:val="21"/>
          <w:lang w:eastAsia="es-ES_tradnl"/>
          <w14:ligatures w14:val="standardContextual"/>
        </w:rPr>
        <w:t xml:space="preserve">. </w:t>
      </w:r>
    </w:p>
    <w:p w14:paraId="26CE071F" w14:textId="77777777" w:rsidR="008A3D05" w:rsidRPr="008B36D4" w:rsidRDefault="008A3D05" w:rsidP="008A3D05">
      <w:pPr>
        <w:spacing w:after="0" w:line="276" w:lineRule="auto"/>
        <w:ind w:right="51"/>
        <w:jc w:val="both"/>
        <w:rPr>
          <w:rFonts w:ascii="Verdana" w:eastAsia="Times New Roman" w:hAnsi="Verdana" w:cs="Arial"/>
          <w:color w:val="000000"/>
          <w:szCs w:val="24"/>
          <w:lang w:eastAsia="es-ES_tradnl"/>
          <w14:ligatures w14:val="standardContextual"/>
        </w:rPr>
      </w:pPr>
    </w:p>
    <w:p w14:paraId="48F3F306" w14:textId="77777777" w:rsidR="008A3D05" w:rsidRPr="008B36D4" w:rsidRDefault="008A3D05" w:rsidP="008A3D05">
      <w:pPr>
        <w:spacing w:after="0" w:line="276" w:lineRule="auto"/>
        <w:ind w:right="49"/>
        <w:jc w:val="both"/>
        <w:rPr>
          <w:rFonts w:ascii="Verdana" w:eastAsia="Times New Roman" w:hAnsi="Verdana" w:cs="Arial"/>
          <w:color w:val="000000"/>
          <w:szCs w:val="24"/>
          <w:lang w:eastAsia="es-ES_tradnl"/>
          <w14:ligatures w14:val="standardContextual"/>
        </w:rPr>
      </w:pPr>
      <w:r w:rsidRPr="008B36D4">
        <w:rPr>
          <w:rFonts w:ascii="Verdana" w:eastAsia="Times New Roman" w:hAnsi="Verdana" w:cs="Arial"/>
          <w:color w:val="000000"/>
          <w:szCs w:val="24"/>
          <w:lang w:eastAsia="es-ES_tradnl"/>
          <w14:ligatures w14:val="standardContextual"/>
        </w:rPr>
        <w:tab/>
        <w:t xml:space="preserve">En ese orden de ideas, extendiendo las anteriores consideraciones a la regla de </w:t>
      </w:r>
      <w:proofErr w:type="spellStart"/>
      <w:r w:rsidRPr="008B36D4">
        <w:rPr>
          <w:rFonts w:ascii="Verdana" w:eastAsia="Times New Roman" w:hAnsi="Verdana" w:cs="Arial"/>
          <w:color w:val="000000"/>
          <w:szCs w:val="24"/>
          <w:lang w:eastAsia="es-ES_tradnl"/>
          <w14:ligatures w14:val="standardContextual"/>
        </w:rPr>
        <w:t>subsanabilidad</w:t>
      </w:r>
      <w:proofErr w:type="spellEnd"/>
      <w:r w:rsidRPr="008B36D4">
        <w:rPr>
          <w:rFonts w:ascii="Verdana" w:eastAsia="Times New Roman" w:hAnsi="Verdana" w:cs="Arial"/>
          <w:color w:val="000000"/>
          <w:szCs w:val="24"/>
          <w:lang w:eastAsia="es-ES_tradnl"/>
          <w14:ligatures w14:val="standardContextual"/>
        </w:rPr>
        <w:t xml:space="preserve">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w:t>
      </w:r>
      <w:r w:rsidRPr="008B36D4">
        <w:rPr>
          <w:rFonts w:ascii="Verdana" w:eastAsia="Times New Roman" w:hAnsi="Verdana" w:cs="Arial"/>
          <w:i/>
          <w:iCs/>
          <w:color w:val="000000"/>
          <w:szCs w:val="24"/>
          <w:lang w:eastAsia="es-ES_tradnl"/>
          <w14:ligatures w14:val="standardContextual"/>
        </w:rPr>
        <w:t xml:space="preserve">ex ante </w:t>
      </w:r>
      <w:r w:rsidRPr="008B36D4">
        <w:rPr>
          <w:rFonts w:ascii="Verdana" w:eastAsia="Times New Roman" w:hAnsi="Verdana" w:cs="Arial"/>
          <w:color w:val="000000"/>
          <w:szCs w:val="24"/>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varias veces un determinado aspecto de la propuesta dependerá de lo establecido en el pliego de condiciones, pues la normativa no restringe el número de veces que un proponente podrá subsanar un determinado aspecto. </w:t>
      </w:r>
    </w:p>
    <w:p w14:paraId="51BF00F3" w14:textId="77777777" w:rsidR="008A3D05" w:rsidRPr="008B36D4" w:rsidRDefault="008A3D05" w:rsidP="008A3D05">
      <w:pPr>
        <w:spacing w:before="120" w:after="0" w:line="276" w:lineRule="auto"/>
        <w:ind w:firstLine="709"/>
        <w:jc w:val="both"/>
        <w:rPr>
          <w:rFonts w:ascii="Verdana" w:eastAsia="Calibri" w:hAnsi="Verdana" w:cs="Arial"/>
          <w:szCs w:val="24"/>
          <w:lang w:val="es-ES_tradnl" w:eastAsia="es-ES_tradnl"/>
          <w14:ligatures w14:val="standardContextual"/>
        </w:rPr>
      </w:pPr>
      <w:r w:rsidRPr="008B36D4">
        <w:rPr>
          <w:rFonts w:ascii="Verdana" w:eastAsia="Calibri" w:hAnsi="Verdana" w:cs="Arial"/>
          <w:szCs w:val="24"/>
          <w:lang w:val="es-ES_tradnl" w:eastAsia="es-ES_tradnl"/>
          <w14:ligatures w14:val="standardContextual"/>
        </w:rPr>
        <w:t>De esta manera, el parágrafo analizado</w:t>
      </w:r>
      <w:r w:rsidRPr="008B36D4">
        <w:rPr>
          <w:rFonts w:ascii="Verdana" w:eastAsia="Calibri" w:hAnsi="Verdana" w:cs="Arial"/>
          <w:szCs w:val="24"/>
          <w:lang w:eastAsia="es-ES_tradnl"/>
          <w14:ligatures w14:val="standardContextual"/>
        </w:rPr>
        <w:t xml:space="preserve"> permite a las entidades </w:t>
      </w:r>
      <w:r w:rsidRPr="008B36D4">
        <w:rPr>
          <w:rFonts w:ascii="Verdana" w:eastAsia="Calibri" w:hAnsi="Verdana" w:cs="Arial"/>
          <w:i/>
          <w:iCs/>
          <w:szCs w:val="24"/>
          <w:lang w:eastAsia="es-ES_tradnl"/>
          <w14:ligatures w14:val="standardContextual"/>
        </w:rPr>
        <w:t>solicitar</w:t>
      </w:r>
      <w:r w:rsidRPr="008B36D4">
        <w:rPr>
          <w:rFonts w:ascii="Verdana" w:eastAsia="Calibri" w:hAnsi="Verdana" w:cs="Arial"/>
          <w:szCs w:val="24"/>
          <w:lang w:eastAsia="es-ES_tradnl"/>
          <w14:ligatures w14:val="standardContextual"/>
        </w:rPr>
        <w:t xml:space="preserve"> a los oferentes que subsanen los documentos referentes a la futura contratación no necesarios para la comparación de las propuestas, hasta el momento previo a la realización a la subasta a la que hace referencia el artículo </w:t>
      </w:r>
      <w:r w:rsidRPr="008B36D4">
        <w:rPr>
          <w:rFonts w:ascii="Verdana" w:eastAsia="Calibri" w:hAnsi="Verdana" w:cs="Arial"/>
          <w:szCs w:val="24"/>
          <w:lang w:val="es-ES_tradnl" w:eastAsia="es-ES_tradnl"/>
          <w14:ligatures w14:val="standardContextual"/>
        </w:rPr>
        <w:t xml:space="preserve">2.2.1.2.1.2.2 del Decreto 1082 de 2015, momento que, además, deberá estar señalado en el pliego de condiciones, independientemente de que la entidad opte para </w:t>
      </w:r>
      <w:r w:rsidRPr="008B36D4">
        <w:rPr>
          <w:rFonts w:ascii="Verdana" w:eastAsia="Calibri" w:hAnsi="Verdana" w:cs="Arial"/>
          <w:szCs w:val="24"/>
          <w:lang w:val="es-ES_tradnl" w:eastAsia="es-ES_tradnl"/>
          <w14:ligatures w14:val="standardContextual"/>
        </w:rPr>
        <w:lastRenderedPageBreak/>
        <w:t xml:space="preserve">desarrollar la audiencia de manera presencial o través del algún mecanismo electrónico. En defecto de lo anterior, las entidades también podrán </w:t>
      </w:r>
      <w:r w:rsidRPr="008B36D4">
        <w:rPr>
          <w:rFonts w:ascii="Verdana" w:eastAsia="Calibri" w:hAnsi="Verdana" w:cs="Arial"/>
          <w:szCs w:val="24"/>
          <w:lang w:eastAsia="es-ES_tradnl"/>
          <w14:ligatures w14:val="standardContextual"/>
        </w:rPr>
        <w:t xml:space="preserve">requerir por separado o conjuntamente a cada proponente para que subsanen los respectivos documentos, fijándoles un término razonable, el cual en todo caso no podrá exceder el momento previo al inicio de la audiencia de subasta, por lo que será anterior a ella.   </w:t>
      </w:r>
      <w:r w:rsidRPr="008B36D4">
        <w:rPr>
          <w:rFonts w:ascii="Verdana" w:eastAsia="Calibri" w:hAnsi="Verdana" w:cs="Arial"/>
          <w:szCs w:val="24"/>
          <w:lang w:val="es-ES_tradnl" w:eastAsia="es-ES_tradnl"/>
          <w14:ligatures w14:val="standardContextual"/>
        </w:rPr>
        <w:t xml:space="preserve"> </w:t>
      </w:r>
    </w:p>
    <w:p w14:paraId="279446F7" w14:textId="77777777" w:rsidR="008A3D05" w:rsidRPr="008B36D4" w:rsidRDefault="008A3D05" w:rsidP="008A3D05">
      <w:pPr>
        <w:spacing w:before="120" w:after="0" w:line="276" w:lineRule="auto"/>
        <w:ind w:firstLine="709"/>
        <w:jc w:val="both"/>
        <w:rPr>
          <w:rFonts w:ascii="Verdana" w:eastAsia="Calibri" w:hAnsi="Verdana" w:cs="Arial"/>
          <w:szCs w:val="24"/>
          <w:lang w:val="es-ES_tradnl" w:eastAsia="es-ES_tradnl"/>
          <w14:ligatures w14:val="standardContextual"/>
        </w:rPr>
      </w:pPr>
      <w:r w:rsidRPr="008B36D4">
        <w:rPr>
          <w:rFonts w:ascii="Verdana" w:eastAsia="Calibri" w:hAnsi="Verdana" w:cs="Arial"/>
          <w:szCs w:val="24"/>
          <w:lang w:val="es-ES_tradnl" w:eastAsia="es-ES_tradnl"/>
          <w14:ligatures w14:val="standardContextual"/>
        </w:rPr>
        <w:t xml:space="preserve">Ahora, no debe perderse de vista que para este tipo de procedimientos también serán aplicables los criterios desarrollados en el numeral anterior de este concepto, para determinar si los documentos faltantes son susceptibles o no de subsanación, en el entendido de si inciden o no en la asignación de puntaje y si se relacionan con el cumplimiento de un requisito que constituye una circunstancia ocurrida con anterioridad o con posterioridad al cierre del proceso. </w:t>
      </w:r>
    </w:p>
    <w:p w14:paraId="7E733FA7" w14:textId="77777777" w:rsidR="008A3D05" w:rsidRDefault="008A3D05" w:rsidP="008A3D05">
      <w:pPr>
        <w:spacing w:before="120" w:after="0" w:line="276" w:lineRule="auto"/>
        <w:ind w:firstLine="709"/>
        <w:jc w:val="both"/>
        <w:rPr>
          <w:rFonts w:ascii="Verdana" w:eastAsia="Calibri" w:hAnsi="Verdana" w:cs="Arial"/>
          <w:szCs w:val="24"/>
          <w:lang w:val="es-ES_tradnl" w:eastAsia="es-ES_tradnl"/>
          <w14:ligatures w14:val="standardContextual"/>
        </w:rPr>
      </w:pPr>
      <w:r w:rsidRPr="008B36D4">
        <w:rPr>
          <w:rFonts w:ascii="Verdana" w:eastAsia="Calibri" w:hAnsi="Verdana" w:cs="Arial"/>
          <w:szCs w:val="24"/>
          <w:lang w:val="es-ES_tradnl" w:eastAsia="es-ES_tradnl"/>
          <w14:ligatures w14:val="standardContextual"/>
        </w:rPr>
        <w:t xml:space="preserve">Conforme a lo anterior, en criterio de esta Subdirección, a pesar de que no existe un término legal preciso para que los proponentes subsanen los documentos mediante los cuales deben acreditar el cumplimiento de los requisitos exigidos para participar en procedimientos en que se haga uso del mecanismo de subasta, el parágrafo 4° del artículo 5 de la Ley 1150 de 2007 establece una regla que permite a las entidades </w:t>
      </w:r>
      <w:r w:rsidRPr="008B36D4">
        <w:rPr>
          <w:rFonts w:ascii="Verdana" w:eastAsia="Calibri" w:hAnsi="Verdana" w:cs="Arial"/>
          <w:i/>
          <w:iCs/>
          <w:szCs w:val="24"/>
          <w:lang w:val="es-ES_tradnl" w:eastAsia="es-ES_tradnl"/>
          <w14:ligatures w14:val="standardContextual"/>
        </w:rPr>
        <w:t>solicitar</w:t>
      </w:r>
      <w:r w:rsidRPr="008B36D4">
        <w:rPr>
          <w:rFonts w:ascii="Verdana" w:eastAsia="Calibri" w:hAnsi="Verdana" w:cs="Arial"/>
          <w:szCs w:val="24"/>
          <w:lang w:val="es-ES_tradnl" w:eastAsia="es-ES_tradnl"/>
          <w14:ligatures w14:val="standardContextual"/>
        </w:rPr>
        <w:t xml:space="preserve"> las correspondientes subsanaciones, dotándolas de cierto margen de discrecionalidad para determinar el término o momento específico dentro del que deberá tener lugar la subsanación, oportunidad que deberá establecer la entidad sin que exceda al momento previo al inicio de la audiencia de subasta.  Finalmente, se reitera que no debe perderse de vista que para este tipo de procedimientos también serán aplicables los criterios arriba desarrollados para determinar si los documentos faltantes son susceptibles de subsanación, dependiendo de si se trata de un requisito de la oferta que no afecte la asignación de puntaje, y si tiene que ver con el cumplimiento de un requisito que constituye una circunstancia ocurrida con anterioridad o con posterioridad al cierre del proceso.</w:t>
      </w:r>
      <w:bookmarkEnd w:id="4"/>
      <w:r w:rsidRPr="008B36D4">
        <w:rPr>
          <w:rFonts w:ascii="Verdana" w:eastAsia="Calibri" w:hAnsi="Verdana" w:cs="Arial"/>
          <w:szCs w:val="24"/>
          <w:lang w:val="es-ES_tradnl" w:eastAsia="es-ES_tradnl"/>
          <w14:ligatures w14:val="standardContextual"/>
        </w:rPr>
        <w:t xml:space="preserve"> </w:t>
      </w:r>
    </w:p>
    <w:p w14:paraId="265DE647" w14:textId="77777777" w:rsidR="008A3D05" w:rsidRDefault="008A3D05" w:rsidP="008A3D05">
      <w:pPr>
        <w:spacing w:before="120" w:after="0" w:line="276" w:lineRule="auto"/>
        <w:ind w:firstLine="709"/>
        <w:jc w:val="both"/>
        <w:rPr>
          <w:rFonts w:ascii="Verdana" w:eastAsia="Calibri" w:hAnsi="Verdana" w:cs="Arial"/>
          <w:color w:val="000000" w:themeColor="text1"/>
        </w:rPr>
      </w:pPr>
      <w:r w:rsidRPr="008B36D4">
        <w:rPr>
          <w:rFonts w:ascii="Verdana" w:eastAsia="Calibri" w:hAnsi="Verdana" w:cs="Arial"/>
          <w:szCs w:val="24"/>
          <w:lang w:val="es-ES_tradnl" w:eastAsia="es-ES_tradnl"/>
          <w14:ligatures w14:val="standardContextual"/>
        </w:rPr>
        <w:t>En tal sentido, de acuerdo con la regulación establecida en cada pliego de condiciones y las circunstancias de cada caso en particular, deberán aplicarse los criterios establecidos en la ley, explicados en este concepto, para definir la procedencia de subsanar algún requisito de las propuestas y las veces en que puede ejercerse esta posibilidad.</w:t>
      </w:r>
    </w:p>
    <w:p w14:paraId="7B57E7F6" w14:textId="77777777" w:rsidR="008A3D05" w:rsidRPr="00D41CA6" w:rsidRDefault="008A3D05" w:rsidP="008A3D05">
      <w:pPr>
        <w:spacing w:after="0" w:line="276" w:lineRule="auto"/>
        <w:ind w:firstLine="709"/>
        <w:jc w:val="both"/>
        <w:rPr>
          <w:rFonts w:ascii="Verdana" w:eastAsia="Calibri" w:hAnsi="Verdana" w:cs="Arial"/>
          <w:color w:val="000000" w:themeColor="text1"/>
          <w:lang w:eastAsia="es-ES_tradnl"/>
        </w:rPr>
      </w:pPr>
    </w:p>
    <w:p w14:paraId="766AD514" w14:textId="77777777" w:rsidR="008A3D05" w:rsidRPr="00D41CA6" w:rsidRDefault="008A3D05" w:rsidP="008A3D05">
      <w:pPr>
        <w:widowControl w:val="0"/>
        <w:autoSpaceDE w:val="0"/>
        <w:autoSpaceDN w:val="0"/>
        <w:spacing w:after="0" w:line="276" w:lineRule="auto"/>
        <w:jc w:val="both"/>
        <w:rPr>
          <w:rFonts w:ascii="Verdana" w:hAnsi="Verdana" w:cs="Arial"/>
          <w:color w:val="000000" w:themeColor="text1"/>
        </w:rPr>
      </w:pPr>
      <w:r w:rsidRPr="00D41CA6">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w:t>
      </w:r>
      <w:r w:rsidRPr="00D41CA6">
        <w:rPr>
          <w:rFonts w:ascii="Verdana" w:hAnsi="Verdana" w:cs="Arial"/>
        </w:rPr>
        <w:lastRenderedPageBreak/>
        <w:t>significado que les otorga el artículo 2.2.1.1.1.3.1. del Decreto 1082 de 2015.</w:t>
      </w:r>
    </w:p>
    <w:p w14:paraId="7B7D6543" w14:textId="77777777" w:rsidR="008A3D05" w:rsidRPr="00D41CA6" w:rsidRDefault="008A3D05" w:rsidP="008A3D05">
      <w:pPr>
        <w:spacing w:after="0" w:line="276" w:lineRule="auto"/>
        <w:ind w:firstLine="708"/>
        <w:jc w:val="both"/>
        <w:rPr>
          <w:rFonts w:ascii="Verdana" w:eastAsia="Calibri" w:hAnsi="Verdana" w:cs="Arial"/>
          <w:bCs/>
          <w:lang w:eastAsia="es-ES_tradnl"/>
        </w:rPr>
      </w:pPr>
    </w:p>
    <w:p w14:paraId="14A2A511" w14:textId="77777777" w:rsidR="008A3D05" w:rsidRPr="00D41CA6" w:rsidRDefault="008A3D05" w:rsidP="008A3D05">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Referencias normativas y jurisprudenciales:</w:t>
      </w:r>
    </w:p>
    <w:p w14:paraId="3EA33C0B" w14:textId="77777777" w:rsidR="008A3D05" w:rsidRPr="00D41CA6" w:rsidRDefault="008A3D05" w:rsidP="008A3D0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3D05" w:rsidRPr="00D41CA6" w14:paraId="27645D77" w14:textId="77777777" w:rsidTr="00DB0313">
        <w:trPr>
          <w:trHeight w:val="856"/>
          <w:jc w:val="center"/>
        </w:trPr>
        <w:tc>
          <w:tcPr>
            <w:tcW w:w="8647" w:type="dxa"/>
          </w:tcPr>
          <w:p w14:paraId="174334AF" w14:textId="77777777" w:rsidR="008A3D05" w:rsidRDefault="008A3D05" w:rsidP="008A3D05">
            <w:pPr>
              <w:pStyle w:val="Prrafodelista"/>
              <w:widowControl w:val="0"/>
              <w:numPr>
                <w:ilvl w:val="0"/>
                <w:numId w:val="2"/>
              </w:numPr>
              <w:autoSpaceDE w:val="0"/>
              <w:autoSpaceDN w:val="0"/>
              <w:jc w:val="both"/>
              <w:rPr>
                <w:rFonts w:ascii="Verdana" w:hAnsi="Verdana" w:cs="Arial"/>
              </w:rPr>
            </w:pPr>
            <w:r w:rsidRPr="005B6551">
              <w:rPr>
                <w:rFonts w:ascii="Verdana" w:hAnsi="Verdana" w:cs="Arial"/>
              </w:rPr>
              <w:t>Ley 80 de 1993: artículo</w:t>
            </w:r>
            <w:r>
              <w:rPr>
                <w:rFonts w:ascii="Verdana" w:hAnsi="Verdana" w:cs="Arial"/>
              </w:rPr>
              <w:t>s</w:t>
            </w:r>
            <w:r w:rsidRPr="005B6551">
              <w:rPr>
                <w:rFonts w:ascii="Verdana" w:hAnsi="Verdana" w:cs="Arial"/>
              </w:rPr>
              <w:t xml:space="preserve"> </w:t>
            </w:r>
            <w:r>
              <w:rPr>
                <w:rFonts w:ascii="Verdana" w:hAnsi="Verdana" w:cs="Arial"/>
              </w:rPr>
              <w:t>21, 24, 25, 30, 38 y 76 numerales 5 y 9.</w:t>
            </w:r>
          </w:p>
          <w:p w14:paraId="0848EA61" w14:textId="77777777" w:rsidR="008A3D05" w:rsidRDefault="008A3D05" w:rsidP="008A3D05">
            <w:pPr>
              <w:pStyle w:val="Prrafodelista"/>
              <w:widowControl w:val="0"/>
              <w:numPr>
                <w:ilvl w:val="0"/>
                <w:numId w:val="2"/>
              </w:numPr>
              <w:autoSpaceDE w:val="0"/>
              <w:autoSpaceDN w:val="0"/>
              <w:ind w:left="714" w:hanging="357"/>
              <w:contextualSpacing w:val="0"/>
              <w:jc w:val="both"/>
              <w:rPr>
                <w:rFonts w:ascii="Verdana" w:hAnsi="Verdana" w:cs="Arial"/>
              </w:rPr>
            </w:pPr>
            <w:r>
              <w:rPr>
                <w:rFonts w:ascii="Verdana" w:hAnsi="Verdana" w:cs="Arial"/>
              </w:rPr>
              <w:t>Ley 1150 de 2007, artículos 2 y 5.</w:t>
            </w:r>
          </w:p>
          <w:p w14:paraId="705445AE" w14:textId="77777777" w:rsidR="008A3D05" w:rsidRPr="004244E6" w:rsidRDefault="008A3D05" w:rsidP="008A3D05">
            <w:pPr>
              <w:pStyle w:val="Prrafodelista"/>
              <w:widowControl w:val="0"/>
              <w:numPr>
                <w:ilvl w:val="0"/>
                <w:numId w:val="2"/>
              </w:numPr>
              <w:autoSpaceDE w:val="0"/>
              <w:autoSpaceDN w:val="0"/>
              <w:ind w:left="714" w:hanging="357"/>
              <w:contextualSpacing w:val="0"/>
              <w:jc w:val="both"/>
              <w:rPr>
                <w:rFonts w:ascii="Verdana" w:hAnsi="Verdana" w:cs="Arial"/>
              </w:rPr>
            </w:pPr>
            <w:r w:rsidRPr="00563ADE">
              <w:rPr>
                <w:rFonts w:ascii="Verdana" w:eastAsia="Calibri" w:hAnsi="Verdana" w:cs="Arial"/>
                <w:color w:val="000000" w:themeColor="text1"/>
              </w:rPr>
              <w:t xml:space="preserve">Decreto 1082 de 2015: artículo 2.2.1.1.2.2.1 </w:t>
            </w:r>
            <w:r>
              <w:rPr>
                <w:rFonts w:ascii="Verdana" w:eastAsia="Calibri" w:hAnsi="Verdana" w:cs="Arial"/>
                <w:color w:val="000000" w:themeColor="text1"/>
              </w:rPr>
              <w:t xml:space="preserve">y </w:t>
            </w:r>
            <w:r w:rsidRPr="00B13ED7">
              <w:rPr>
                <w:rFonts w:ascii="Verdana" w:eastAsia="Arial" w:hAnsi="Verdana" w:cs="Arial"/>
                <w:color w:val="000000"/>
              </w:rPr>
              <w:t>2.2.1.1.2.1.3</w:t>
            </w:r>
            <w:r>
              <w:rPr>
                <w:rFonts w:ascii="Verdana" w:eastAsia="Arial" w:hAnsi="Verdana" w:cs="Arial"/>
                <w:color w:val="000000"/>
              </w:rPr>
              <w:t xml:space="preserve">, </w:t>
            </w:r>
            <w:r w:rsidRPr="00B13ED7">
              <w:rPr>
                <w:rFonts w:ascii="Verdana" w:eastAsia="Arial" w:hAnsi="Verdana" w:cs="Arial"/>
                <w:color w:val="000000"/>
              </w:rPr>
              <w:t>2.2.1.1.2.2.2</w:t>
            </w:r>
            <w:r>
              <w:rPr>
                <w:rFonts w:ascii="Verdana" w:eastAsia="Arial" w:hAnsi="Verdana" w:cs="Arial"/>
                <w:color w:val="000000"/>
              </w:rPr>
              <w:t xml:space="preserve">, y </w:t>
            </w:r>
            <w:r w:rsidRPr="00B13ED7">
              <w:rPr>
                <w:rFonts w:ascii="Verdana" w:eastAsia="Arial" w:hAnsi="Verdana" w:cs="Arial"/>
                <w:color w:val="000000"/>
              </w:rPr>
              <w:t>2.2.1.2.1.3.13</w:t>
            </w:r>
            <w:r>
              <w:rPr>
                <w:rFonts w:ascii="Verdana" w:hAnsi="Verdana" w:cs="Arial"/>
              </w:rPr>
              <w:t>.</w:t>
            </w:r>
          </w:p>
          <w:p w14:paraId="6C02181F" w14:textId="77777777" w:rsidR="008A3D05" w:rsidRPr="004244E6" w:rsidRDefault="008A3D05" w:rsidP="008A3D05">
            <w:pPr>
              <w:pStyle w:val="Prrafodelista"/>
              <w:widowControl w:val="0"/>
              <w:numPr>
                <w:ilvl w:val="0"/>
                <w:numId w:val="2"/>
              </w:numPr>
              <w:autoSpaceDE w:val="0"/>
              <w:autoSpaceDN w:val="0"/>
              <w:contextualSpacing w:val="0"/>
              <w:jc w:val="both"/>
              <w:rPr>
                <w:rFonts w:ascii="Verdana" w:hAnsi="Verdana" w:cs="Arial"/>
              </w:rPr>
            </w:pPr>
            <w:r>
              <w:rPr>
                <w:rFonts w:ascii="Verdana" w:hAnsi="Verdana" w:cs="Arial"/>
              </w:rPr>
              <w:t xml:space="preserve">Jurisprudencia del Consejo de Estado. Disponible en: </w:t>
            </w:r>
            <w:hyperlink r:id="rId12" w:history="1">
              <w:r w:rsidRPr="00273090">
                <w:rPr>
                  <w:rStyle w:val="Hipervnculo"/>
                  <w:rFonts w:ascii="Verdana" w:hAnsi="Verdana" w:cs="Arial"/>
                </w:rPr>
                <w:t>https://relatoria.colombiacompra.gov.co/providencias-consejo-de-estado/</w:t>
              </w:r>
            </w:hyperlink>
          </w:p>
        </w:tc>
      </w:tr>
    </w:tbl>
    <w:p w14:paraId="50626FFA" w14:textId="77777777" w:rsidR="008A3D05" w:rsidRPr="00D41CA6" w:rsidRDefault="008A3D05" w:rsidP="008A3D05">
      <w:pPr>
        <w:widowControl w:val="0"/>
        <w:autoSpaceDE w:val="0"/>
        <w:autoSpaceDN w:val="0"/>
        <w:spacing w:after="0" w:line="276" w:lineRule="auto"/>
        <w:jc w:val="both"/>
        <w:rPr>
          <w:rFonts w:ascii="Verdana" w:hAnsi="Verdana" w:cs="Arial"/>
        </w:rPr>
      </w:pPr>
    </w:p>
    <w:p w14:paraId="6B6EAA2D" w14:textId="77777777" w:rsidR="008A3D05" w:rsidRPr="00D41CA6" w:rsidRDefault="008A3D05" w:rsidP="008A3D05">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Doctrina de la Agencia Nacional de Contratación Pública:</w:t>
      </w:r>
    </w:p>
    <w:p w14:paraId="0F8370D1" w14:textId="77777777" w:rsidR="008A3D05" w:rsidRPr="00D41CA6" w:rsidRDefault="008A3D05" w:rsidP="008A3D05">
      <w:pPr>
        <w:widowControl w:val="0"/>
        <w:autoSpaceDE w:val="0"/>
        <w:autoSpaceDN w:val="0"/>
        <w:spacing w:after="0" w:line="276" w:lineRule="auto"/>
        <w:jc w:val="both"/>
        <w:rPr>
          <w:rFonts w:ascii="Verdana" w:hAnsi="Verdana" w:cs="Arial"/>
        </w:rPr>
      </w:pPr>
    </w:p>
    <w:p w14:paraId="408BCE21" w14:textId="77777777" w:rsidR="008A3D05" w:rsidRPr="00D41CA6" w:rsidRDefault="008A3D05" w:rsidP="008A3D05">
      <w:pPr>
        <w:widowControl w:val="0"/>
        <w:autoSpaceDE w:val="0"/>
        <w:autoSpaceDN w:val="0"/>
        <w:spacing w:after="0" w:line="240" w:lineRule="auto"/>
        <w:jc w:val="both"/>
        <w:rPr>
          <w:rFonts w:ascii="Verdana" w:hAnsi="Verdana"/>
        </w:rPr>
      </w:pPr>
      <w:r w:rsidRPr="00D41CA6">
        <w:rPr>
          <w:rStyle w:val="normaltextrun"/>
          <w:rFonts w:ascii="Verdana" w:hAnsi="Verdana" w:cs="Arial"/>
          <w:shd w:val="clear" w:color="auto" w:fill="FFFFFF"/>
        </w:rPr>
        <w:t xml:space="preserve">Esta Subdirección se ha pronunciado sobre </w:t>
      </w:r>
      <w:r>
        <w:rPr>
          <w:rStyle w:val="normaltextrun"/>
          <w:rFonts w:ascii="Verdana" w:hAnsi="Verdana" w:cs="Arial"/>
          <w:shd w:val="clear" w:color="auto" w:fill="FFFFFF"/>
        </w:rPr>
        <w:t xml:space="preserve">la obligatoriedad de ampliación de las pólizas de garantías en los conceptos: C-769 del 16 de noviembre de 2022 y C-598 del 24 de octubre de 2025. </w:t>
      </w:r>
      <w:r w:rsidRPr="00D41CA6">
        <w:rPr>
          <w:rFonts w:ascii="Verdana" w:hAnsi="Verdana" w:cs="Arial"/>
          <w:shd w:val="clear" w:color="auto" w:fill="FFFFFF"/>
        </w:rPr>
        <w:t>Es</w:t>
      </w:r>
      <w:r w:rsidRPr="00D41CA6">
        <w:rPr>
          <w:rFonts w:ascii="Verdana" w:hAnsi="Verdana"/>
        </w:rPr>
        <w:t>tos y otros conceptos se encuentran disponibles para consulta en el Sistema de relatoría de la Agencia, al cual se puede acceder a través del siguiente enlace:</w:t>
      </w:r>
    </w:p>
    <w:p w14:paraId="4E6F9769" w14:textId="77777777" w:rsidR="008A3D05" w:rsidRPr="00D41CA6" w:rsidRDefault="008A3D05" w:rsidP="008A3D05">
      <w:pPr>
        <w:widowControl w:val="0"/>
        <w:autoSpaceDE w:val="0"/>
        <w:autoSpaceDN w:val="0"/>
        <w:spacing w:after="0" w:line="240" w:lineRule="auto"/>
        <w:jc w:val="both"/>
        <w:rPr>
          <w:rFonts w:ascii="Verdana" w:hAnsi="Verdana"/>
        </w:rPr>
      </w:pPr>
    </w:p>
    <w:p w14:paraId="2A1085AA" w14:textId="77777777" w:rsidR="008A3D05" w:rsidRPr="00D41CA6" w:rsidRDefault="008A3D05" w:rsidP="008A3D05">
      <w:pPr>
        <w:widowControl w:val="0"/>
        <w:autoSpaceDE w:val="0"/>
        <w:autoSpaceDN w:val="0"/>
        <w:spacing w:after="0" w:line="240" w:lineRule="auto"/>
        <w:jc w:val="both"/>
        <w:rPr>
          <w:rStyle w:val="Hipervnculo"/>
          <w:rFonts w:ascii="Verdana" w:eastAsia="Times New Roman" w:hAnsi="Verdana" w:cs="Times New Roman"/>
          <w:bdr w:val="none" w:sz="0" w:space="0" w:color="auto" w:frame="1"/>
          <w:lang w:eastAsia="es-CO"/>
        </w:rPr>
      </w:pPr>
      <w:hyperlink r:id="rId13" w:history="1">
        <w:r w:rsidRPr="00D41CA6">
          <w:rPr>
            <w:rStyle w:val="Hipervnculo"/>
            <w:rFonts w:ascii="Verdana" w:eastAsia="Times New Roman" w:hAnsi="Verdana" w:cs="Times New Roman"/>
            <w:bdr w:val="none" w:sz="0" w:space="0" w:color="auto" w:frame="1"/>
            <w:lang w:eastAsia="es-CO"/>
          </w:rPr>
          <w:t>https://relatoria.colombiacompra.gov.co/busqueda/conceptos</w:t>
        </w:r>
      </w:hyperlink>
      <w:r w:rsidRPr="00D41CA6">
        <w:rPr>
          <w:rStyle w:val="Hipervnculo"/>
          <w:rFonts w:ascii="Verdana" w:eastAsia="Times New Roman" w:hAnsi="Verdana" w:cs="Times New Roman"/>
          <w:bdr w:val="none" w:sz="0" w:space="0" w:color="auto" w:frame="1"/>
          <w:lang w:eastAsia="es-CO"/>
        </w:rPr>
        <w:t xml:space="preserve"> </w:t>
      </w:r>
    </w:p>
    <w:p w14:paraId="56E4A186" w14:textId="77777777" w:rsidR="008A3D05" w:rsidRPr="00D41CA6" w:rsidRDefault="008A3D05" w:rsidP="008A3D05">
      <w:pPr>
        <w:widowControl w:val="0"/>
        <w:autoSpaceDE w:val="0"/>
        <w:autoSpaceDN w:val="0"/>
        <w:spacing w:after="0" w:line="240" w:lineRule="auto"/>
        <w:ind w:firstLine="708"/>
        <w:jc w:val="both"/>
        <w:rPr>
          <w:rFonts w:ascii="Verdana" w:eastAsia="Times New Roman" w:hAnsi="Verdana" w:cs="Times New Roman"/>
          <w:color w:val="000000"/>
          <w:bdr w:val="none" w:sz="0" w:space="0" w:color="auto" w:frame="1"/>
          <w:lang w:eastAsia="es-CO"/>
        </w:rPr>
      </w:pPr>
    </w:p>
    <w:p w14:paraId="1C15788F" w14:textId="77777777" w:rsidR="008A3D05" w:rsidRPr="00D41CA6" w:rsidRDefault="008A3D05" w:rsidP="008A3D05">
      <w:pPr>
        <w:widowControl w:val="0"/>
        <w:autoSpaceDE w:val="0"/>
        <w:autoSpaceDN w:val="0"/>
        <w:spacing w:after="0" w:line="240" w:lineRule="auto"/>
        <w:jc w:val="both"/>
        <w:rPr>
          <w:rFonts w:ascii="Verdana" w:eastAsia="Times New Roman" w:hAnsi="Verdana" w:cs="Times New Roman"/>
          <w:color w:val="000000"/>
          <w:bdr w:val="none" w:sz="0" w:space="0" w:color="auto" w:frame="1"/>
          <w:lang w:eastAsia="es-CO"/>
        </w:rPr>
      </w:pPr>
      <w:r w:rsidRPr="00D41CA6">
        <w:rPr>
          <w:rFonts w:ascii="Verdana" w:eastAsia="Times New Roman" w:hAnsi="Verdana" w:cs="Times New Roman"/>
          <w:color w:val="000000"/>
          <w:bdr w:val="none" w:sz="0" w:space="0" w:color="auto" w:frame="1"/>
          <w:lang w:eastAsia="es-CO"/>
        </w:rPr>
        <w:t xml:space="preserve">También le contamos que ya se encuentra disponible la </w:t>
      </w:r>
      <w:r w:rsidRPr="00D41CA6">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D41CA6">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41CA6">
        <w:rPr>
          <w:rFonts w:ascii="Verdana" w:eastAsia="Times New Roman" w:hAnsi="Verdana" w:cs="Times New Roman"/>
          <w:color w:val="000000"/>
          <w:bdr w:val="none" w:sz="0" w:space="0" w:color="auto" w:frame="1"/>
          <w:lang w:eastAsia="es-CO"/>
        </w:rPr>
        <w:t>Wayúu</w:t>
      </w:r>
      <w:proofErr w:type="spellEnd"/>
      <w:r w:rsidRPr="00D41CA6">
        <w:rPr>
          <w:rFonts w:ascii="Verdana" w:eastAsia="Times New Roman" w:hAnsi="Verdana" w:cs="Times New Roman"/>
          <w:color w:val="000000"/>
          <w:bdr w:val="none" w:sz="0" w:space="0" w:color="auto" w:frame="1"/>
          <w:lang w:eastAsia="es-CO"/>
        </w:rPr>
        <w:t xml:space="preserve">.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41CA6">
          <w:rPr>
            <w:rStyle w:val="Hipervnculo"/>
            <w:rFonts w:ascii="Verdana" w:eastAsia="Times New Roman" w:hAnsi="Verdana" w:cs="Times New Roman"/>
            <w:bdr w:val="none" w:sz="0" w:space="0" w:color="auto" w:frame="1"/>
            <w:lang w:eastAsia="es-CO"/>
          </w:rPr>
          <w:t>Guía de lineamientos de transparencia y selección objetiva para el departamento de La Guajira – Objetivo sexto constitucional de la Sentencia T-302 del 2017</w:t>
        </w:r>
      </w:hyperlink>
    </w:p>
    <w:p w14:paraId="7EBEC87B" w14:textId="77777777" w:rsidR="008A3D05" w:rsidRPr="00D41CA6" w:rsidRDefault="008A3D05" w:rsidP="008A3D05">
      <w:pPr>
        <w:widowControl w:val="0"/>
        <w:autoSpaceDE w:val="0"/>
        <w:autoSpaceDN w:val="0"/>
        <w:spacing w:after="0" w:line="276" w:lineRule="auto"/>
        <w:jc w:val="both"/>
        <w:rPr>
          <w:rFonts w:ascii="Verdana" w:hAnsi="Verdana" w:cs="Arial"/>
        </w:rPr>
      </w:pPr>
    </w:p>
    <w:p w14:paraId="781E2246" w14:textId="77777777" w:rsidR="008A3D05" w:rsidRPr="00D41CA6" w:rsidRDefault="008A3D05" w:rsidP="008A3D05">
      <w:pPr>
        <w:spacing w:after="0" w:line="240" w:lineRule="auto"/>
        <w:rPr>
          <w:rFonts w:ascii="Verdana" w:hAnsi="Verdana" w:cs="Arial"/>
          <w:lang w:eastAsia="es-CO"/>
        </w:rPr>
      </w:pPr>
      <w:r w:rsidRPr="00D41CA6">
        <w:rPr>
          <w:rFonts w:ascii="Verdana" w:eastAsia="Times New Roman" w:hAnsi="Verdana" w:cs="Arial"/>
          <w:lang w:eastAsia="es-CO"/>
        </w:rPr>
        <w:t>Atentamente,</w:t>
      </w:r>
      <w:r w:rsidRPr="00D41CA6">
        <w:rPr>
          <w:rFonts w:ascii="Verdana" w:hAnsi="Verdana" w:cs="Arial"/>
          <w:lang w:eastAsia="es-CO"/>
        </w:rPr>
        <w:t xml:space="preserve"> </w:t>
      </w:r>
    </w:p>
    <w:p w14:paraId="3715C08E" w14:textId="757C1DC2" w:rsidR="008A3D05" w:rsidRPr="00D41CA6" w:rsidRDefault="0008424F" w:rsidP="008A3D05">
      <w:pPr>
        <w:spacing w:line="276" w:lineRule="auto"/>
        <w:jc w:val="center"/>
        <w:rPr>
          <w:rFonts w:ascii="Verdana" w:hAnsi="Verdana" w:cs="Arial"/>
          <w:color w:val="000000"/>
          <w:lang w:eastAsia="es-CO"/>
        </w:rPr>
      </w:pPr>
      <w:r w:rsidRPr="004D5C25">
        <w:rPr>
          <w:rFonts w:ascii="Century Gothic" w:hAnsi="Century Gothic"/>
          <w:noProof/>
        </w:rPr>
        <w:lastRenderedPageBreak/>
        <w:drawing>
          <wp:inline distT="0" distB="0" distL="0" distR="0" wp14:anchorId="358E9097" wp14:editId="394DC71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3D05" w:rsidRPr="00D41CA6" w14:paraId="61F4BA82" w14:textId="77777777" w:rsidTr="00DB0313">
        <w:trPr>
          <w:trHeight w:val="315"/>
        </w:trPr>
        <w:tc>
          <w:tcPr>
            <w:tcW w:w="893" w:type="dxa"/>
            <w:vAlign w:val="center"/>
            <w:hideMark/>
          </w:tcPr>
          <w:p w14:paraId="5888DB6E" w14:textId="77777777" w:rsidR="008A3D05" w:rsidRPr="00D41CA6" w:rsidRDefault="008A3D05" w:rsidP="00DB0313">
            <w:pPr>
              <w:contextualSpacing/>
              <w:rPr>
                <w:rFonts w:ascii="Verdana" w:hAnsi="Verdana" w:cs="Arial"/>
                <w:sz w:val="16"/>
                <w:szCs w:val="16"/>
                <w:lang w:eastAsia="es-ES"/>
              </w:rPr>
            </w:pPr>
            <w:r w:rsidRPr="00D41CA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556EE9E" w14:textId="77777777" w:rsidR="008A3D05" w:rsidRPr="00D41CA6" w:rsidRDefault="008A3D05" w:rsidP="00DB0313">
            <w:pPr>
              <w:contextualSpacing/>
              <w:rPr>
                <w:rFonts w:ascii="Verdana" w:hAnsi="Verdana"/>
                <w:sz w:val="16"/>
                <w:szCs w:val="16"/>
              </w:rPr>
            </w:pPr>
            <w:r w:rsidRPr="00D41CA6">
              <w:rPr>
                <w:rFonts w:ascii="Verdana" w:hAnsi="Verdana"/>
                <w:sz w:val="16"/>
                <w:szCs w:val="16"/>
              </w:rPr>
              <w:t>Sergio Enrique Caballero Lesmes</w:t>
            </w:r>
          </w:p>
          <w:p w14:paraId="430CED34" w14:textId="77777777" w:rsidR="008A3D05" w:rsidRPr="00D41CA6" w:rsidRDefault="008A3D05" w:rsidP="00DB0313">
            <w:pPr>
              <w:contextualSpacing/>
              <w:rPr>
                <w:rFonts w:ascii="Verdana" w:eastAsia="Arial" w:hAnsi="Verdana" w:cs="Arial"/>
                <w:sz w:val="16"/>
                <w:szCs w:val="16"/>
              </w:rPr>
            </w:pPr>
            <w:r w:rsidRPr="00D41CA6">
              <w:rPr>
                <w:rFonts w:ascii="Verdana" w:hAnsi="Verdana"/>
                <w:sz w:val="16"/>
                <w:szCs w:val="16"/>
              </w:rPr>
              <w:t>Analista T2-02 de la Subdirección de Gestión Contractual</w:t>
            </w:r>
          </w:p>
        </w:tc>
      </w:tr>
      <w:tr w:rsidR="008A3D05" w:rsidRPr="00D41CA6" w14:paraId="11554481" w14:textId="77777777" w:rsidTr="00DB0313">
        <w:trPr>
          <w:trHeight w:val="330"/>
        </w:trPr>
        <w:tc>
          <w:tcPr>
            <w:tcW w:w="893" w:type="dxa"/>
            <w:vAlign w:val="center"/>
            <w:hideMark/>
          </w:tcPr>
          <w:p w14:paraId="04A3E62C" w14:textId="77777777" w:rsidR="008A3D05" w:rsidRPr="00D41CA6" w:rsidRDefault="008A3D05" w:rsidP="00DB0313">
            <w:pPr>
              <w:contextualSpacing/>
              <w:rPr>
                <w:rFonts w:ascii="Verdana" w:hAnsi="Verdana" w:cs="Arial"/>
                <w:sz w:val="16"/>
                <w:szCs w:val="16"/>
                <w:lang w:eastAsia="es-ES"/>
              </w:rPr>
            </w:pPr>
            <w:r w:rsidRPr="00D41CA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C1CA67" w14:textId="77777777" w:rsidR="008A3D05" w:rsidRPr="00D41CA6" w:rsidRDefault="008A3D05" w:rsidP="00DB0313">
            <w:pPr>
              <w:contextualSpacing/>
              <w:rPr>
                <w:rFonts w:ascii="Verdana" w:hAnsi="Verdana"/>
                <w:sz w:val="16"/>
                <w:szCs w:val="16"/>
              </w:rPr>
            </w:pPr>
            <w:r>
              <w:rPr>
                <w:rFonts w:ascii="Verdana" w:hAnsi="Verdana"/>
                <w:sz w:val="16"/>
                <w:szCs w:val="16"/>
              </w:rPr>
              <w:t>Diana Lucía Saavedra Castañeda</w:t>
            </w:r>
          </w:p>
          <w:p w14:paraId="0B7E8F89" w14:textId="77777777" w:rsidR="008A3D05" w:rsidRPr="00D41CA6" w:rsidRDefault="008A3D05" w:rsidP="00DB0313">
            <w:pPr>
              <w:contextualSpacing/>
              <w:textAlignment w:val="baseline"/>
              <w:rPr>
                <w:rFonts w:ascii="Verdana" w:hAnsi="Verdana"/>
                <w:sz w:val="16"/>
                <w:szCs w:val="16"/>
              </w:rPr>
            </w:pPr>
            <w:r w:rsidRPr="00D41CA6">
              <w:rPr>
                <w:rFonts w:ascii="Verdana" w:hAnsi="Verdana"/>
                <w:sz w:val="16"/>
                <w:szCs w:val="16"/>
              </w:rPr>
              <w:t>Contratista de la Subdirección de Gestión Contractual</w:t>
            </w:r>
          </w:p>
        </w:tc>
      </w:tr>
      <w:tr w:rsidR="008A3D05" w:rsidRPr="00D41CA6" w14:paraId="0C7445BA" w14:textId="77777777" w:rsidTr="00DB0313">
        <w:trPr>
          <w:trHeight w:val="300"/>
        </w:trPr>
        <w:tc>
          <w:tcPr>
            <w:tcW w:w="893" w:type="dxa"/>
            <w:vAlign w:val="center"/>
          </w:tcPr>
          <w:p w14:paraId="0F31B227" w14:textId="77777777" w:rsidR="008A3D05" w:rsidRPr="00D41CA6" w:rsidRDefault="008A3D05" w:rsidP="00DB0313">
            <w:pPr>
              <w:contextualSpacing/>
              <w:rPr>
                <w:rFonts w:ascii="Verdana" w:hAnsi="Verdana" w:cs="Arial"/>
                <w:sz w:val="16"/>
                <w:szCs w:val="16"/>
                <w:lang w:eastAsia="es-ES"/>
              </w:rPr>
            </w:pPr>
            <w:r w:rsidRPr="00D41CA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08C38DF" w14:textId="77777777" w:rsidR="008A3D05" w:rsidRPr="00D41CA6" w:rsidRDefault="008A3D05" w:rsidP="00DB0313">
            <w:pPr>
              <w:contextualSpacing/>
              <w:rPr>
                <w:rFonts w:ascii="Verdana" w:eastAsia="Calibri" w:hAnsi="Verdana" w:cs="Arial"/>
                <w:sz w:val="16"/>
                <w:szCs w:val="16"/>
                <w:lang w:eastAsia="es-ES"/>
              </w:rPr>
            </w:pPr>
            <w:r w:rsidRPr="00D41CA6">
              <w:rPr>
                <w:rFonts w:ascii="Verdana" w:eastAsia="Calibri" w:hAnsi="Verdana" w:cs="Arial"/>
                <w:sz w:val="16"/>
                <w:szCs w:val="16"/>
                <w:lang w:eastAsia="es-ES"/>
              </w:rPr>
              <w:t xml:space="preserve">Carolina Quintero </w:t>
            </w:r>
            <w:proofErr w:type="spellStart"/>
            <w:r w:rsidRPr="00D41CA6">
              <w:rPr>
                <w:rFonts w:ascii="Verdana" w:eastAsia="Calibri" w:hAnsi="Verdana" w:cs="Arial"/>
                <w:sz w:val="16"/>
                <w:szCs w:val="16"/>
                <w:lang w:eastAsia="es-ES"/>
              </w:rPr>
              <w:t>Gacharná</w:t>
            </w:r>
            <w:proofErr w:type="spellEnd"/>
          </w:p>
          <w:p w14:paraId="1E6E670E" w14:textId="77777777" w:rsidR="008A3D05" w:rsidRPr="00D41CA6" w:rsidRDefault="008A3D05" w:rsidP="00DB0313">
            <w:pPr>
              <w:contextualSpacing/>
              <w:rPr>
                <w:rFonts w:ascii="Verdana" w:eastAsia="Calibri" w:hAnsi="Verdana" w:cs="Arial"/>
                <w:sz w:val="16"/>
                <w:szCs w:val="16"/>
                <w:lang w:eastAsia="es-ES"/>
              </w:rPr>
            </w:pPr>
            <w:r w:rsidRPr="00D41CA6">
              <w:rPr>
                <w:rFonts w:ascii="Verdana" w:eastAsia="Calibri" w:hAnsi="Verdana" w:cs="Arial"/>
                <w:sz w:val="16"/>
                <w:szCs w:val="16"/>
                <w:lang w:eastAsia="es-ES"/>
              </w:rPr>
              <w:t>Subdirectora de Gestión Contractual ANCP – CCE</w:t>
            </w:r>
          </w:p>
        </w:tc>
      </w:tr>
      <w:bookmarkEnd w:id="0"/>
    </w:tbl>
    <w:p w14:paraId="63A3B40B" w14:textId="77777777" w:rsidR="008A3D05" w:rsidRPr="00D41CA6" w:rsidRDefault="008A3D05" w:rsidP="008A3D05"/>
    <w:p w14:paraId="1A3EE66C" w14:textId="77777777" w:rsidR="008A3D05" w:rsidRPr="00D41CA6" w:rsidRDefault="008A3D05" w:rsidP="008A3D05"/>
    <w:p w14:paraId="7A1A85E9" w14:textId="77777777" w:rsidR="008A3D05" w:rsidRPr="00D41CA6" w:rsidRDefault="008A3D05" w:rsidP="008A3D05"/>
    <w:p w14:paraId="66904330" w14:textId="77777777" w:rsidR="008A3D05" w:rsidRPr="00D41CA6" w:rsidRDefault="008A3D05" w:rsidP="008A3D05">
      <w:pPr>
        <w:spacing w:after="0"/>
        <w:rPr>
          <w:rFonts w:ascii="Verdana" w:eastAsia="Times New Roman" w:hAnsi="Verdana" w:cs="Segoe UI"/>
          <w:b/>
          <w:bCs/>
          <w:color w:val="46589C"/>
          <w:lang w:eastAsia="es-CO"/>
        </w:rPr>
      </w:pPr>
    </w:p>
    <w:p w14:paraId="476E78E8" w14:textId="77777777" w:rsidR="008A3D05" w:rsidRPr="00D41CA6" w:rsidRDefault="008A3D05" w:rsidP="008A3D05"/>
    <w:p w14:paraId="74212868" w14:textId="77777777" w:rsidR="008A3D05" w:rsidRPr="00D41CA6" w:rsidRDefault="008A3D05" w:rsidP="008A3D05"/>
    <w:p w14:paraId="37180C9A" w14:textId="77777777" w:rsidR="008A3D05" w:rsidRPr="00D41CA6" w:rsidRDefault="008A3D05" w:rsidP="008A3D05"/>
    <w:p w14:paraId="30A83C4C" w14:textId="77777777" w:rsidR="008A3D05" w:rsidRDefault="008A3D05" w:rsidP="008A3D05"/>
    <w:p w14:paraId="411E0CF8" w14:textId="77777777" w:rsidR="008A3D05" w:rsidRPr="00DB4458" w:rsidRDefault="008A3D05" w:rsidP="008A3D05"/>
    <w:p w14:paraId="2ED07EE4" w14:textId="77777777" w:rsidR="00C24FFE" w:rsidRDefault="00C24FFE"/>
    <w:sectPr w:rsidR="00C24FFE" w:rsidSect="008A3D05">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129D0" w14:textId="77777777" w:rsidR="00E21D92" w:rsidRDefault="00E21D92" w:rsidP="008A3D05">
      <w:pPr>
        <w:spacing w:after="0" w:line="240" w:lineRule="auto"/>
      </w:pPr>
      <w:r>
        <w:separator/>
      </w:r>
    </w:p>
  </w:endnote>
  <w:endnote w:type="continuationSeparator" w:id="0">
    <w:p w14:paraId="3752304C" w14:textId="77777777" w:rsidR="00E21D92" w:rsidRDefault="00E21D92" w:rsidP="008A3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CEC3" w14:textId="77777777" w:rsidR="008A3D05" w:rsidRDefault="008A3D05">
    <w:pPr>
      <w:pStyle w:val="Piedepgina"/>
    </w:pPr>
  </w:p>
  <w:p w14:paraId="366ED666" w14:textId="77777777" w:rsidR="008A3D05" w:rsidRPr="00174B77" w:rsidRDefault="008A3D0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523CC70" w14:textId="77777777" w:rsidR="008A3D05" w:rsidRDefault="008A3D0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966C62B" w14:textId="77777777" w:rsidR="008A3D05" w:rsidRPr="00E41027" w:rsidRDefault="008A3D05" w:rsidP="00D520D8">
    <w:pPr>
      <w:spacing w:after="0"/>
      <w:jc w:val="both"/>
      <w:rPr>
        <w:rFonts w:ascii="Verdana" w:hAnsi="Verdana"/>
        <w:sz w:val="18"/>
        <w:szCs w:val="18"/>
      </w:rPr>
    </w:pPr>
    <w:r w:rsidRPr="00E41027">
      <w:rPr>
        <w:rFonts w:ascii="Verdana" w:hAnsi="Verdana"/>
        <w:sz w:val="18"/>
        <w:szCs w:val="18"/>
      </w:rPr>
      <w:t>Mesa de servicio: (+57) 601 7456788</w:t>
    </w:r>
  </w:p>
  <w:p w14:paraId="56CD4586" w14:textId="77777777" w:rsidR="008A3D05" w:rsidRDefault="008A3D0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07238" w14:textId="77777777" w:rsidR="00E21D92" w:rsidRDefault="00E21D92" w:rsidP="008A3D05">
      <w:pPr>
        <w:spacing w:after="0" w:line="240" w:lineRule="auto"/>
      </w:pPr>
      <w:r>
        <w:separator/>
      </w:r>
    </w:p>
  </w:footnote>
  <w:footnote w:type="continuationSeparator" w:id="0">
    <w:p w14:paraId="3C412F4B" w14:textId="77777777" w:rsidR="00E21D92" w:rsidRDefault="00E21D92" w:rsidP="008A3D05">
      <w:pPr>
        <w:spacing w:after="0" w:line="240" w:lineRule="auto"/>
      </w:pPr>
      <w:r>
        <w:continuationSeparator/>
      </w:r>
    </w:p>
  </w:footnote>
  <w:footnote w:id="1">
    <w:p w14:paraId="5BF0FC60" w14:textId="77777777" w:rsidR="008A3D05" w:rsidRPr="008B36D4" w:rsidRDefault="008A3D05" w:rsidP="008A3D05">
      <w:pPr>
        <w:spacing w:after="0" w:line="240" w:lineRule="auto"/>
        <w:ind w:right="306" w:firstLine="707"/>
        <w:jc w:val="both"/>
        <w:rPr>
          <w:rFonts w:ascii="Verdana" w:hAnsi="Verdana" w:cs="Arial"/>
          <w:sz w:val="16"/>
          <w:szCs w:val="16"/>
        </w:rPr>
      </w:pPr>
      <w:r w:rsidRPr="008B36D4">
        <w:rPr>
          <w:rStyle w:val="Refdenotaalpie"/>
          <w:rFonts w:ascii="Verdana" w:hAnsi="Verdana" w:cs="Arial"/>
          <w:sz w:val="16"/>
          <w:szCs w:val="16"/>
        </w:rPr>
        <w:footnoteRef/>
      </w:r>
      <w:r w:rsidRPr="008B36D4">
        <w:rPr>
          <w:rFonts w:ascii="Verdana" w:hAnsi="Verdana" w:cs="Arial"/>
          <w:sz w:val="16"/>
          <w:szCs w:val="16"/>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470ED4ED" w14:textId="77777777" w:rsidR="008A3D05" w:rsidRPr="008B36D4" w:rsidRDefault="008A3D05" w:rsidP="008A3D05">
      <w:pPr>
        <w:spacing w:after="0" w:line="240" w:lineRule="auto"/>
        <w:ind w:left="300" w:right="306"/>
        <w:jc w:val="both"/>
        <w:rPr>
          <w:rFonts w:ascii="Verdana" w:hAnsi="Verdana" w:cs="Arial"/>
          <w:sz w:val="16"/>
          <w:szCs w:val="16"/>
        </w:rPr>
      </w:pPr>
      <w:r w:rsidRPr="008B36D4">
        <w:rPr>
          <w:rFonts w:ascii="Verdana" w:hAnsi="Verdana" w:cs="Arial"/>
          <w:sz w:val="16"/>
          <w:szCs w:val="16"/>
          <w:u w:val="single" w:color="4E4D4D"/>
        </w:rPr>
        <w:t xml:space="preserve"> “5.2. De la fuerza vinculante de las respuestas a las solicitudes de aclaraciones en relación con los términos de</w:t>
      </w:r>
      <w:r w:rsidRPr="008B36D4">
        <w:rPr>
          <w:rFonts w:ascii="Verdana" w:hAnsi="Verdana" w:cs="Arial"/>
          <w:sz w:val="16"/>
          <w:szCs w:val="16"/>
        </w:rPr>
        <w:t xml:space="preserve"> </w:t>
      </w:r>
      <w:r w:rsidRPr="008B36D4">
        <w:rPr>
          <w:rFonts w:ascii="Verdana" w:hAnsi="Verdana" w:cs="Arial"/>
          <w:sz w:val="16"/>
          <w:szCs w:val="16"/>
          <w:u w:val="single" w:color="4E4D4D"/>
        </w:rPr>
        <w:t>referencia.</w:t>
      </w:r>
    </w:p>
    <w:p w14:paraId="1F0B7113" w14:textId="77777777" w:rsidR="008A3D05" w:rsidRPr="008B36D4" w:rsidRDefault="008A3D05" w:rsidP="008A3D05">
      <w:pPr>
        <w:spacing w:after="0" w:line="240" w:lineRule="auto"/>
        <w:ind w:left="300" w:right="306"/>
        <w:jc w:val="both"/>
        <w:rPr>
          <w:rFonts w:ascii="Verdana" w:hAnsi="Verdana" w:cs="Arial"/>
          <w:sz w:val="16"/>
          <w:szCs w:val="16"/>
        </w:rPr>
      </w:pPr>
      <w:r w:rsidRPr="008B36D4">
        <w:rPr>
          <w:rFonts w:ascii="Verdana" w:hAnsi="Verdana" w:cs="Arial"/>
          <w:sz w:val="16"/>
          <w:szCs w:val="16"/>
        </w:rPr>
        <w:t>(…).</w:t>
      </w:r>
    </w:p>
    <w:p w14:paraId="14FDABBD" w14:textId="77777777" w:rsidR="008A3D05" w:rsidRPr="008B36D4" w:rsidRDefault="008A3D05" w:rsidP="008A3D05">
      <w:pPr>
        <w:spacing w:after="0" w:line="240" w:lineRule="auto"/>
        <w:ind w:left="300" w:right="306"/>
        <w:jc w:val="both"/>
        <w:rPr>
          <w:rFonts w:ascii="Verdana" w:hAnsi="Verdana" w:cs="Arial"/>
          <w:sz w:val="16"/>
          <w:szCs w:val="16"/>
        </w:rPr>
      </w:pPr>
      <w:r w:rsidRPr="008B36D4">
        <w:rPr>
          <w:rFonts w:ascii="Verdana" w:hAnsi="Verdana" w:cs="Arial"/>
          <w:sz w:val="16"/>
          <w:szCs w:val="16"/>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8B36D4">
        <w:rPr>
          <w:rFonts w:ascii="Verdana" w:hAnsi="Verdana" w:cs="Arial"/>
          <w:spacing w:val="-11"/>
          <w:sz w:val="16"/>
          <w:szCs w:val="16"/>
        </w:rPr>
        <w:t xml:space="preserve"> </w:t>
      </w:r>
      <w:r w:rsidRPr="008B36D4">
        <w:rPr>
          <w:rFonts w:ascii="Verdana" w:hAnsi="Verdana" w:cs="Arial"/>
          <w:sz w:val="16"/>
          <w:szCs w:val="16"/>
        </w:rPr>
        <w:t>oferentes.</w:t>
      </w:r>
    </w:p>
    <w:p w14:paraId="62B23039" w14:textId="77777777" w:rsidR="008A3D05" w:rsidRPr="008B36D4" w:rsidRDefault="008A3D05" w:rsidP="008A3D05">
      <w:pPr>
        <w:spacing w:after="0" w:line="240" w:lineRule="auto"/>
        <w:ind w:left="300" w:right="306"/>
        <w:jc w:val="both"/>
        <w:rPr>
          <w:rFonts w:ascii="Verdana" w:hAnsi="Verdana" w:cs="Arial"/>
          <w:sz w:val="16"/>
          <w:szCs w:val="16"/>
        </w:rPr>
      </w:pPr>
      <w:r w:rsidRPr="008B36D4">
        <w:rPr>
          <w:rFonts w:ascii="Verdana" w:hAnsi="Verdana" w:cs="Arial"/>
          <w:sz w:val="16"/>
          <w:szCs w:val="16"/>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8B36D4">
        <w:rPr>
          <w:rFonts w:ascii="Verdana" w:hAnsi="Verdana" w:cs="Arial"/>
          <w:spacing w:val="-19"/>
          <w:sz w:val="16"/>
          <w:szCs w:val="16"/>
        </w:rPr>
        <w:t xml:space="preserve"> </w:t>
      </w:r>
      <w:r w:rsidRPr="008B36D4">
        <w:rPr>
          <w:rFonts w:ascii="Verdana" w:hAnsi="Verdana" w:cs="Arial"/>
          <w:sz w:val="16"/>
          <w:szCs w:val="16"/>
        </w:rPr>
        <w:t>condiciones”.</w:t>
      </w:r>
    </w:p>
    <w:p w14:paraId="68F0EE3F" w14:textId="77777777" w:rsidR="008A3D05" w:rsidRPr="008B36D4" w:rsidRDefault="008A3D05" w:rsidP="008A3D05">
      <w:pPr>
        <w:spacing w:after="0" w:line="240" w:lineRule="auto"/>
        <w:ind w:left="300" w:right="306"/>
        <w:jc w:val="both"/>
        <w:rPr>
          <w:rFonts w:ascii="Verdana" w:hAnsi="Verdana" w:cs="Arial"/>
          <w:sz w:val="16"/>
          <w:szCs w:val="16"/>
        </w:rPr>
      </w:pPr>
    </w:p>
  </w:footnote>
  <w:footnote w:id="2">
    <w:p w14:paraId="7DF0C42B" w14:textId="77777777" w:rsidR="008A3D05" w:rsidRPr="008B36D4" w:rsidRDefault="008A3D05" w:rsidP="008A3D05">
      <w:pPr>
        <w:spacing w:after="0" w:line="240" w:lineRule="auto"/>
        <w:ind w:left="300" w:right="306" w:firstLine="707"/>
        <w:jc w:val="both"/>
        <w:rPr>
          <w:rFonts w:ascii="Verdana" w:hAnsi="Verdana" w:cs="Arial"/>
          <w:sz w:val="16"/>
          <w:szCs w:val="16"/>
        </w:rPr>
      </w:pPr>
      <w:r w:rsidRPr="008B36D4">
        <w:rPr>
          <w:rStyle w:val="Refdenotaalpie"/>
          <w:rFonts w:ascii="Verdana" w:hAnsi="Verdana" w:cs="Arial"/>
          <w:sz w:val="16"/>
          <w:szCs w:val="16"/>
        </w:rPr>
        <w:footnoteRef/>
      </w:r>
      <w:r w:rsidRPr="008B36D4">
        <w:rPr>
          <w:rFonts w:ascii="Verdana" w:hAnsi="Verdana" w:cs="Arial"/>
          <w:sz w:val="16"/>
          <w:szCs w:val="16"/>
        </w:rPr>
        <w:t xml:space="preserve"> En la sentencia de la Sección Tercera, Subsección C, del 24 de julio de 2013, expediente No. 25.642, C.P. Enrique Gil Botero, el Consejo de Estado se refirió a la naturaleza jurídica de los pliegos de condiciones: “los pliegos de condiciones han sido definidos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w:t>
      </w:r>
      <w:r w:rsidRPr="008B36D4">
        <w:rPr>
          <w:rFonts w:ascii="Verdana" w:hAnsi="Verdana" w:cs="Arial"/>
          <w:spacing w:val="-3"/>
          <w:sz w:val="16"/>
          <w:szCs w:val="16"/>
        </w:rPr>
        <w:t xml:space="preserve"> </w:t>
      </w:r>
      <w:r w:rsidRPr="008B36D4">
        <w:rPr>
          <w:rFonts w:ascii="Verdana" w:hAnsi="Verdana" w:cs="Arial"/>
          <w:sz w:val="16"/>
          <w:szCs w:val="16"/>
        </w:rPr>
        <w:t>mismo”.</w:t>
      </w:r>
    </w:p>
  </w:footnote>
  <w:footnote w:id="3">
    <w:p w14:paraId="18A2AB4C"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39237E2"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p>
  </w:footnote>
  <w:footnote w:id="4">
    <w:p w14:paraId="0B76B890"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5">
    <w:p w14:paraId="64932F85"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Consejo de Estado. Sección Tercera, Subsección C. Sentencia del 26 de febrero de 2014. C.P. Enrique Gil Botero, Rad. 1999-00113-01 (25.804). </w:t>
      </w:r>
    </w:p>
  </w:footnote>
  <w:footnote w:id="6">
    <w:p w14:paraId="7D92FEE5"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vertAlign w:val="superscript"/>
        </w:rPr>
        <w:t xml:space="preserve"> </w:t>
      </w:r>
      <w:r w:rsidRPr="008B36D4">
        <w:rPr>
          <w:rFonts w:ascii="Verdana" w:eastAsia="Arial"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7">
    <w:p w14:paraId="0B498185" w14:textId="77777777" w:rsidR="008A3D05" w:rsidRPr="008B36D4" w:rsidRDefault="008A3D05" w:rsidP="008A3D05">
      <w:pP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8B36D4">
          <w:rPr>
            <w:rFonts w:ascii="Verdana" w:eastAsia="Arial" w:hAnsi="Verdana" w:cs="Arial"/>
            <w:color w:val="000000"/>
            <w:sz w:val="16"/>
            <w:szCs w:val="16"/>
          </w:rPr>
          <w:t>Ley 1150 de 2007</w:t>
        </w:r>
      </w:hyperlink>
      <w:r w:rsidRPr="008B36D4">
        <w:rPr>
          <w:rFonts w:ascii="Verdana" w:eastAsia="Arial" w:hAnsi="Verdana" w:cs="Arial"/>
          <w:color w:val="000000"/>
          <w:sz w:val="16"/>
          <w:szCs w:val="16"/>
        </w:rPr>
        <w:t> y en el presente decreto.</w:t>
      </w:r>
    </w:p>
    <w:p w14:paraId="1DFA7534" w14:textId="77777777" w:rsidR="008A3D05" w:rsidRPr="008B36D4" w:rsidRDefault="008A3D05" w:rsidP="008A3D05">
      <w:pPr>
        <w:spacing w:after="0"/>
        <w:ind w:firstLine="709"/>
        <w:jc w:val="both"/>
        <w:rPr>
          <w:rFonts w:ascii="Verdana" w:eastAsia="Arial" w:hAnsi="Verdana" w:cs="Arial"/>
          <w:color w:val="000000"/>
          <w:sz w:val="16"/>
          <w:szCs w:val="16"/>
        </w:rPr>
      </w:pPr>
      <w:r w:rsidRPr="008B36D4">
        <w:rPr>
          <w:rFonts w:ascii="Verdana" w:eastAsia="Arial" w:hAnsi="Verdana"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C6F13F9" w14:textId="77777777" w:rsidR="008A3D05" w:rsidRPr="008B36D4" w:rsidRDefault="008A3D05" w:rsidP="008A3D05">
      <w:pPr>
        <w:spacing w:after="0"/>
        <w:ind w:firstLine="709"/>
        <w:jc w:val="both"/>
        <w:rPr>
          <w:rFonts w:ascii="Verdana" w:eastAsia="Arial" w:hAnsi="Verdana" w:cs="Arial"/>
          <w:color w:val="000000"/>
          <w:sz w:val="16"/>
          <w:szCs w:val="16"/>
        </w:rPr>
      </w:pPr>
      <w:r w:rsidRPr="008B36D4">
        <w:rPr>
          <w:rFonts w:ascii="Verdana" w:eastAsia="Arial" w:hAnsi="Verdana" w:cs="Arial"/>
          <w:color w:val="000000"/>
          <w:sz w:val="16"/>
          <w:szCs w:val="16"/>
        </w:rPr>
        <w:t>Será rechazada la oferta del proponente que dentro del término previsto en el pliego o en la solicitud, no responda al requerimiento que le haga la entidad para subsanarla.</w:t>
      </w:r>
    </w:p>
    <w:p w14:paraId="3C5E0742" w14:textId="77777777" w:rsidR="008A3D05" w:rsidRPr="008B36D4" w:rsidRDefault="008A3D05" w:rsidP="008A3D05">
      <w:pPr>
        <w:spacing w:after="0"/>
        <w:ind w:firstLine="709"/>
        <w:jc w:val="both"/>
        <w:rPr>
          <w:rFonts w:ascii="Verdana" w:eastAsia="Arial" w:hAnsi="Verdana" w:cs="Arial"/>
          <w:color w:val="000000"/>
          <w:sz w:val="16"/>
          <w:szCs w:val="16"/>
        </w:rPr>
      </w:pPr>
      <w:r w:rsidRPr="008B36D4">
        <w:rPr>
          <w:rFonts w:ascii="Verdana" w:eastAsia="Arial" w:hAnsi="Verdana" w:cs="Arial"/>
          <w:color w:val="000000"/>
          <w:sz w:val="16"/>
          <w:szCs w:val="16"/>
        </w:rPr>
        <w:t>Cuando se utilice el mecanismo de subasta esta posibilidad deberá ejercerse hasta el momento previo a su realización, de conformidad con el artículo 22 del presente decreto.</w:t>
      </w:r>
    </w:p>
    <w:p w14:paraId="7E49339B" w14:textId="77777777" w:rsidR="008A3D05" w:rsidRPr="008B36D4" w:rsidRDefault="008A3D05" w:rsidP="008A3D05">
      <w:pPr>
        <w:spacing w:after="0"/>
        <w:ind w:firstLine="709"/>
        <w:jc w:val="both"/>
        <w:rPr>
          <w:rFonts w:ascii="Verdana" w:eastAsia="Arial" w:hAnsi="Verdana" w:cs="Arial"/>
          <w:color w:val="000000"/>
          <w:sz w:val="16"/>
          <w:szCs w:val="16"/>
        </w:rPr>
      </w:pPr>
      <w:r w:rsidRPr="008B36D4">
        <w:rPr>
          <w:rFonts w:ascii="Verdana" w:eastAsia="Arial" w:hAnsi="Verdana" w:cs="Arial"/>
          <w:color w:val="000000"/>
          <w:sz w:val="16"/>
          <w:szCs w:val="16"/>
        </w:rPr>
        <w:t xml:space="preserve">En ningún caso la entidad podrá señalar taxativamente los requisitos o documentos subsanables o no subsanables en el pliego de condiciones, </w:t>
      </w:r>
      <w:r w:rsidRPr="008B36D4">
        <w:rPr>
          <w:rFonts w:ascii="Verdana" w:eastAsia="Arial" w:hAnsi="Verdana" w:cs="Arial"/>
          <w:i/>
          <w:color w:val="000000"/>
          <w:sz w:val="16"/>
          <w:szCs w:val="16"/>
        </w:rPr>
        <w:t>ni permitir que se subsane la falta de capacidad para presentar la oferta, ni que se acrediten circunstancias ocurridas con posterioridad al cierre del proceso</w:t>
      </w:r>
      <w:r w:rsidRPr="008B36D4">
        <w:rPr>
          <w:rFonts w:ascii="Verdana" w:eastAsia="Arial" w:hAnsi="Verdana" w:cs="Arial"/>
          <w:color w:val="000000"/>
          <w:sz w:val="16"/>
          <w:szCs w:val="16"/>
        </w:rPr>
        <w:t xml:space="preserve">”. (Cursivas fuera de texto). </w:t>
      </w:r>
    </w:p>
  </w:footnote>
  <w:footnote w:id="8">
    <w:p w14:paraId="594DD032"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Consejo de Estado, Sala de Consulta y Servicio Civil, concepto del 6 de noviembre de 2008. C.P. William Zambrano Cetina. Rad. 2008-00079-00(1927).</w:t>
      </w:r>
    </w:p>
  </w:footnote>
  <w:footnote w:id="9">
    <w:p w14:paraId="1938F6FE"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Ver Consejo de Estado, Sección Tercera, Subsección C. Sentencia del 26 de febrero de 2011. C.P. Jaime Orlando Santofimio. Rad. 36.408.  </w:t>
      </w:r>
    </w:p>
  </w:footnote>
  <w:footnote w:id="10">
    <w:p w14:paraId="3968262C"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Ver Consejo de Estado, Sección Tercera, Subsección C. Sentencia del 26 de febrero de 2014. C.P. Enrique Gil Botero. Rad. 25.804.  </w:t>
      </w:r>
    </w:p>
  </w:footnote>
  <w:footnote w:id="11">
    <w:p w14:paraId="6B8D2CCA"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r w:rsidRPr="008B36D4">
        <w:rPr>
          <w:rFonts w:ascii="Verdana" w:hAnsi="Verdana" w:cs="Arial"/>
          <w:sz w:val="16"/>
          <w:szCs w:val="16"/>
          <w:vertAlign w:val="superscript"/>
        </w:rPr>
        <w:footnoteRef/>
      </w:r>
      <w:r w:rsidRPr="008B36D4">
        <w:rPr>
          <w:rFonts w:ascii="Verdana" w:eastAsia="Arial" w:hAnsi="Verdana" w:cs="Arial"/>
          <w:color w:val="000000"/>
          <w:sz w:val="16"/>
          <w:szCs w:val="16"/>
        </w:rPr>
        <w:t xml:space="preserve"> Consejo de Estado, Sala de Consulta y Servicio Civil, concepto del 20 de mayo de 2010. C.P. Enrique José Arboleda Perdomo. Rad. 2010-00034-00(1992).</w:t>
      </w:r>
    </w:p>
    <w:p w14:paraId="21FC342D" w14:textId="77777777" w:rsidR="008A3D05" w:rsidRPr="008B36D4" w:rsidRDefault="008A3D05" w:rsidP="008A3D05">
      <w:pPr>
        <w:pBdr>
          <w:top w:val="nil"/>
          <w:left w:val="nil"/>
          <w:bottom w:val="nil"/>
          <w:right w:val="nil"/>
          <w:between w:val="nil"/>
        </w:pBdr>
        <w:spacing w:after="0"/>
        <w:ind w:firstLine="709"/>
        <w:jc w:val="both"/>
        <w:rPr>
          <w:rFonts w:ascii="Verdana" w:eastAsia="Arial" w:hAnsi="Verdana" w:cs="Arial"/>
          <w:color w:val="000000"/>
          <w:sz w:val="16"/>
          <w:szCs w:val="16"/>
        </w:rPr>
      </w:pPr>
    </w:p>
  </w:footnote>
  <w:footnote w:id="12">
    <w:p w14:paraId="636A6050"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Style w:val="Refdenotaalpie"/>
          <w:rFonts w:ascii="Verdana" w:hAnsi="Verdana" w:cs="Arial"/>
          <w:color w:val="000000" w:themeColor="text1"/>
          <w:sz w:val="16"/>
          <w:szCs w:val="16"/>
        </w:rPr>
        <w:footnoteRef/>
      </w:r>
      <w:r w:rsidRPr="008B36D4">
        <w:rPr>
          <w:rFonts w:ascii="Verdana" w:hAnsi="Verdana" w:cs="Arial"/>
          <w:color w:val="000000" w:themeColor="text1"/>
          <w:sz w:val="16"/>
          <w:szCs w:val="16"/>
        </w:rPr>
        <w:t xml:space="preserve"> Ley 1150 de 2007 </w:t>
      </w:r>
      <w:r w:rsidRPr="008B36D4">
        <w:rPr>
          <w:rFonts w:ascii="Verdana" w:hAnsi="Verdana" w:cs="Arial"/>
          <w:color w:val="000000" w:themeColor="text1"/>
          <w:sz w:val="16"/>
          <w:szCs w:val="16"/>
          <w:lang w:val="es-CO"/>
        </w:rPr>
        <w:t>“Artículo 2o. De las modalidades de selección. La escogencia del contratista se efectuará con arreglo a las modalidades de selección de licitación pública, selección abreviada, concurso de méritos y contratación directa, con base en las siguientes reglas:</w:t>
      </w:r>
    </w:p>
    <w:p w14:paraId="02FDBF39"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1. Licitación pública. La escogencia del contratista se efectuará por regla general a través de licitación pública, con las excepciones que se señalan en los numerales 2, 3 y 4 del presente artículo.</w:t>
      </w:r>
    </w:p>
    <w:p w14:paraId="5B9D9F3C"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i/>
          <w:iCs/>
          <w:color w:val="000000" w:themeColor="text1"/>
          <w:sz w:val="16"/>
          <w:szCs w:val="16"/>
          <w:lang w:val="es-CO"/>
        </w:rPr>
        <w:t>Cuando la entidad estatal así lo determine, la oferta en un proceso de la licitación pública podrá ser presentada total o parcialmente de manera dinámica mediante subasta inversa, en las condiciones que fije el reglamento</w:t>
      </w:r>
      <w:r w:rsidRPr="008B36D4">
        <w:rPr>
          <w:rFonts w:ascii="Verdana" w:hAnsi="Verdana" w:cs="Arial"/>
          <w:color w:val="000000" w:themeColor="text1"/>
          <w:sz w:val="16"/>
          <w:szCs w:val="16"/>
          <w:lang w:val="es-CO"/>
        </w:rPr>
        <w:t>.</w:t>
      </w:r>
    </w:p>
    <w:p w14:paraId="48F29D1C"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1E8223A0"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El Gobierno Nacional reglamentará la materia.</w:t>
      </w:r>
    </w:p>
    <w:p w14:paraId="019D6C8C"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Serán causales de selección abreviada las siguientes:</w:t>
      </w:r>
    </w:p>
    <w:p w14:paraId="0F59EBE9"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07BC1434" w14:textId="77777777" w:rsidR="008A3D05" w:rsidRPr="008B36D4" w:rsidRDefault="008A3D05" w:rsidP="008A3D05">
      <w:pPr>
        <w:pStyle w:val="Textonotapie"/>
        <w:ind w:firstLine="705"/>
        <w:contextualSpacing/>
        <w:jc w:val="both"/>
        <w:rPr>
          <w:rFonts w:ascii="Verdana" w:hAnsi="Verdana" w:cs="Arial"/>
          <w:color w:val="000000" w:themeColor="text1"/>
          <w:sz w:val="16"/>
          <w:szCs w:val="16"/>
          <w:lang w:val="es-CO"/>
        </w:rPr>
      </w:pPr>
      <w:r w:rsidRPr="008B36D4">
        <w:rPr>
          <w:rFonts w:ascii="Verdana" w:hAnsi="Verdana" w:cs="Arial"/>
          <w:i/>
          <w:iCs/>
          <w:color w:val="000000" w:themeColor="text1"/>
          <w:sz w:val="16"/>
          <w:szCs w:val="16"/>
          <w:lang w:val="es-CO"/>
        </w:rPr>
        <w:t>Para la adquisición de estos bienes y servicios las entidades deberán, siempre que el reglamento así lo señale, hacer uso de procedimientos de subasta inversa</w:t>
      </w:r>
      <w:r w:rsidRPr="008B36D4">
        <w:rPr>
          <w:rFonts w:ascii="Verdana" w:hAnsi="Verdana" w:cs="Arial"/>
          <w:color w:val="000000" w:themeColor="text1"/>
          <w:sz w:val="16"/>
          <w:szCs w:val="16"/>
          <w:lang w:val="es-CO"/>
        </w:rPr>
        <w:t xml:space="preserve"> o de instrumentos de compra por catálogo derivados de la celebración de acuerdos marco de precios o de procedimientos de adquisición en bolsas de productos; </w:t>
      </w:r>
    </w:p>
    <w:p w14:paraId="555FC39A" w14:textId="77777777" w:rsidR="008A3D05" w:rsidRPr="008B36D4" w:rsidRDefault="008A3D05" w:rsidP="008A3D05">
      <w:pPr>
        <w:pStyle w:val="Textonotapie"/>
        <w:ind w:left="705"/>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w:t>
      </w:r>
    </w:p>
    <w:p w14:paraId="55DFCFAF"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e) La enajenación de bienes del Estado, con excepción de aquellos a que se refiere la Ley 226 de 1995.</w:t>
      </w:r>
    </w:p>
    <w:p w14:paraId="062F61EA"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i/>
          <w:iCs/>
          <w:color w:val="000000" w:themeColor="text1"/>
          <w:sz w:val="16"/>
          <w:szCs w:val="16"/>
          <w:lang w:val="es-CO"/>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r w:rsidRPr="008B36D4">
        <w:rPr>
          <w:rFonts w:ascii="Verdana" w:hAnsi="Verdana" w:cs="Arial"/>
          <w:color w:val="000000" w:themeColor="text1"/>
          <w:sz w:val="16"/>
          <w:szCs w:val="16"/>
          <w:lang w:val="es-CO"/>
        </w:rPr>
        <w:t>.</w:t>
      </w:r>
    </w:p>
    <w:p w14:paraId="62CC12B7"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w:t>
      </w:r>
    </w:p>
    <w:p w14:paraId="49F6E5F9"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Las reglas y procedimientos que deberán atender la administración y los promotores y la publicidad del proceso deberán garantizar la libre concurrencia y oportunidad de quienes participen en el mismo.</w:t>
      </w:r>
    </w:p>
    <w:p w14:paraId="1FE16617"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i/>
          <w:iCs/>
          <w:color w:val="000000" w:themeColor="text1"/>
          <w:sz w:val="16"/>
          <w:szCs w:val="16"/>
          <w:lang w:val="es-CO"/>
        </w:rPr>
        <w:t>Los bienes serán enajenados a través de venta directa en sobre cerrado o en pública subasta</w:t>
      </w:r>
      <w:r w:rsidRPr="008B36D4">
        <w:rPr>
          <w:rFonts w:ascii="Verdana" w:hAnsi="Verdana" w:cs="Arial"/>
          <w:color w:val="000000" w:themeColor="text1"/>
          <w:sz w:val="16"/>
          <w:szCs w:val="16"/>
          <w:lang w:val="es-CO"/>
        </w:rPr>
        <w:t xml:space="preserve">. La adjudicación para la venta directa deberá hacerse en audiencia pública, en donde se conozcan las ofertas iniciales y se efectúe un segundo ofrecimiento, frente al cual se adjudicará el bien a quien oferte el mejor precio. </w:t>
      </w:r>
      <w:r w:rsidRPr="008B36D4">
        <w:rPr>
          <w:rFonts w:ascii="Verdana" w:hAnsi="Verdana" w:cs="Arial"/>
          <w:i/>
          <w:iCs/>
          <w:color w:val="000000" w:themeColor="text1"/>
          <w:sz w:val="16"/>
          <w:szCs w:val="16"/>
          <w:lang w:val="es-CO"/>
        </w:rPr>
        <w:t>En la subasta pública, de acuerdo con el reglamento definido para su realización, el bien será adjudicado al mejor postor</w:t>
      </w:r>
      <w:r w:rsidRPr="008B36D4">
        <w:rPr>
          <w:rFonts w:ascii="Verdana" w:hAnsi="Verdana" w:cs="Arial"/>
          <w:color w:val="000000" w:themeColor="text1"/>
          <w:sz w:val="16"/>
          <w:szCs w:val="16"/>
          <w:lang w:val="es-CO"/>
        </w:rPr>
        <w:t>.</w:t>
      </w:r>
    </w:p>
    <w:p w14:paraId="251631A9"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Fonts w:ascii="Verdana" w:hAnsi="Verdana" w:cs="Arial"/>
          <w:color w:val="000000" w:themeColor="text1"/>
          <w:sz w:val="16"/>
          <w:szCs w:val="16"/>
          <w:lang w:val="es-CO"/>
        </w:rPr>
        <w:t>La venta implica la publicación previa de los bienes en un diario de amplia circulación nacional, con la determinación del precio base. El interesado en adquirir bienes deberá consignar al menos el 20% del valor base de venta para participar en la oferta […]”. (Cursivas fuera del original).</w:t>
      </w:r>
    </w:p>
    <w:p w14:paraId="5F7BE7CD" w14:textId="77777777" w:rsidR="008A3D05" w:rsidRPr="008B36D4" w:rsidRDefault="008A3D05" w:rsidP="008A3D05">
      <w:pPr>
        <w:pStyle w:val="Textonotapie"/>
        <w:contextualSpacing/>
        <w:jc w:val="both"/>
        <w:rPr>
          <w:rFonts w:ascii="Verdana" w:hAnsi="Verdana" w:cs="Arial"/>
          <w:sz w:val="18"/>
          <w:szCs w:val="18"/>
          <w:lang w:val="es-ES"/>
        </w:rPr>
      </w:pPr>
    </w:p>
  </w:footnote>
  <w:footnote w:id="13">
    <w:p w14:paraId="2F788149" w14:textId="77777777" w:rsidR="008A3D05" w:rsidRPr="008B36D4" w:rsidRDefault="008A3D05" w:rsidP="008A3D05">
      <w:pPr>
        <w:pStyle w:val="Textonotapie"/>
        <w:ind w:firstLine="708"/>
        <w:contextualSpacing/>
        <w:jc w:val="both"/>
        <w:rPr>
          <w:rFonts w:ascii="Verdana" w:hAnsi="Verdana" w:cs="Arial"/>
          <w:color w:val="000000" w:themeColor="text1"/>
          <w:sz w:val="16"/>
          <w:szCs w:val="16"/>
          <w:lang w:val="es-CO"/>
        </w:rPr>
      </w:pPr>
      <w:r w:rsidRPr="008B36D4">
        <w:rPr>
          <w:rStyle w:val="Refdenotaalpie"/>
          <w:rFonts w:ascii="Verdana" w:hAnsi="Verdana" w:cs="Arial"/>
          <w:sz w:val="16"/>
          <w:szCs w:val="16"/>
        </w:rPr>
        <w:footnoteRef/>
      </w:r>
      <w:r w:rsidRPr="008B36D4">
        <w:rPr>
          <w:rFonts w:ascii="Verdana" w:hAnsi="Verdana" w:cs="Arial"/>
          <w:sz w:val="16"/>
          <w:szCs w:val="16"/>
        </w:rPr>
        <w:t xml:space="preserve"> </w:t>
      </w:r>
      <w:r w:rsidRPr="008B36D4">
        <w:rPr>
          <w:rFonts w:ascii="Verdana" w:hAnsi="Verdana" w:cs="Arial"/>
          <w:color w:val="000000" w:themeColor="text1"/>
          <w:sz w:val="16"/>
          <w:szCs w:val="16"/>
        </w:rPr>
        <w:t>MATALLANA CAMACHO, Ernesto. Manual de Contratación de la Administración Pública. 3a ed. Bogotá D. C. Editorial Universidad externado de Colombia, 2013. p. 579.</w:t>
      </w:r>
    </w:p>
    <w:p w14:paraId="3D0490E1" w14:textId="77777777" w:rsidR="008A3D05" w:rsidRPr="008B36D4" w:rsidRDefault="008A3D05" w:rsidP="008A3D05">
      <w:pPr>
        <w:pStyle w:val="Textonotapie"/>
        <w:contextualSpacing/>
        <w:jc w:val="both"/>
        <w:rPr>
          <w:rFonts w:ascii="Verdana" w:hAnsi="Verdana" w:cs="Arial"/>
          <w:sz w:val="16"/>
          <w:szCs w:val="16"/>
          <w:lang w:val="es-ES"/>
        </w:rPr>
      </w:pPr>
    </w:p>
  </w:footnote>
  <w:footnote w:id="14">
    <w:p w14:paraId="7336ECE4" w14:textId="77777777" w:rsidR="008A3D05" w:rsidRPr="008B36D4" w:rsidRDefault="008A3D05" w:rsidP="008A3D05">
      <w:pPr>
        <w:pStyle w:val="Textonotapie"/>
        <w:ind w:firstLine="708"/>
        <w:contextualSpacing/>
        <w:jc w:val="both"/>
        <w:rPr>
          <w:rFonts w:ascii="Verdana" w:hAnsi="Verdana" w:cs="Arial"/>
          <w:color w:val="000000" w:themeColor="text1"/>
          <w:sz w:val="16"/>
          <w:szCs w:val="16"/>
        </w:rPr>
      </w:pPr>
      <w:r w:rsidRPr="008B36D4">
        <w:rPr>
          <w:rStyle w:val="Refdenotaalpie"/>
          <w:rFonts w:ascii="Verdana" w:hAnsi="Verdana" w:cs="Arial"/>
          <w:sz w:val="16"/>
          <w:szCs w:val="16"/>
        </w:rPr>
        <w:footnoteRef/>
      </w:r>
      <w:r w:rsidRPr="008B36D4">
        <w:rPr>
          <w:rFonts w:ascii="Verdana" w:hAnsi="Verdana" w:cs="Arial"/>
          <w:sz w:val="16"/>
          <w:szCs w:val="16"/>
        </w:rPr>
        <w:t xml:space="preserve"> </w:t>
      </w:r>
      <w:r w:rsidRPr="008B36D4">
        <w:rPr>
          <w:rFonts w:ascii="Verdana" w:hAnsi="Verdana" w:cs="Arial"/>
          <w:color w:val="000000" w:themeColor="text1"/>
          <w:sz w:val="16"/>
          <w:szCs w:val="16"/>
        </w:rPr>
        <w:t>SOLANO SIERRA, Jairo E. Contratación Administrativa, Modalidades de selección del Contratista. 4a. ed. Bogotá D.C.: Editorial Doctrina y Ley Ltda., 2010. p. 283.</w:t>
      </w:r>
    </w:p>
    <w:p w14:paraId="1D2AC8E9" w14:textId="77777777" w:rsidR="008A3D05" w:rsidRPr="008B36D4" w:rsidRDefault="008A3D05" w:rsidP="008A3D05">
      <w:pPr>
        <w:pStyle w:val="Textonotapie"/>
        <w:contextualSpacing/>
        <w:jc w:val="both"/>
        <w:rPr>
          <w:rFonts w:ascii="Verdana" w:hAnsi="Verdana" w:cs="Arial"/>
          <w:sz w:val="18"/>
          <w:szCs w:val="18"/>
          <w:lang w:val="es-ES"/>
        </w:rPr>
      </w:pPr>
    </w:p>
  </w:footnote>
  <w:footnote w:id="15">
    <w:p w14:paraId="0D6A63A5" w14:textId="77777777" w:rsidR="008A3D05" w:rsidRPr="008B36D4" w:rsidRDefault="008A3D05" w:rsidP="008A3D05">
      <w:pPr>
        <w:pStyle w:val="Textonotapie"/>
        <w:ind w:firstLine="708"/>
        <w:contextualSpacing/>
        <w:jc w:val="both"/>
        <w:rPr>
          <w:rFonts w:ascii="Verdana" w:hAnsi="Verdana" w:cs="Arial"/>
          <w:sz w:val="16"/>
          <w:szCs w:val="16"/>
        </w:rPr>
      </w:pPr>
      <w:r w:rsidRPr="008B36D4">
        <w:rPr>
          <w:rStyle w:val="Refdenotaalpie"/>
          <w:rFonts w:ascii="Verdana" w:hAnsi="Verdana" w:cs="Arial"/>
          <w:sz w:val="16"/>
          <w:szCs w:val="16"/>
        </w:rPr>
        <w:footnoteRef/>
      </w:r>
      <w:r w:rsidRPr="008B36D4">
        <w:rPr>
          <w:rFonts w:ascii="Verdana" w:hAnsi="Verdana" w:cs="Arial"/>
          <w:sz w:val="16"/>
          <w:szCs w:val="16"/>
        </w:rPr>
        <w:t xml:space="preserve"> Consejo de Estado. Sección Tercera. Sentencia de 12 de noviembre de 2014. C.P. Enrique Gil Botero. Exp. 27.986. </w:t>
      </w:r>
    </w:p>
    <w:p w14:paraId="457D71FB" w14:textId="77777777" w:rsidR="008A3D05" w:rsidRPr="008B36D4" w:rsidRDefault="008A3D05" w:rsidP="008A3D05">
      <w:pPr>
        <w:pStyle w:val="Textonotapie"/>
        <w:ind w:left="708" w:firstLine="1"/>
        <w:contextualSpacing/>
        <w:jc w:val="both"/>
        <w:rPr>
          <w:rFonts w:ascii="Verdana" w:hAnsi="Verdana"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A7722" w14:textId="77777777" w:rsidR="008A3D05" w:rsidRDefault="008A3D0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A59B135" wp14:editId="1DF00A4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CC83A30" wp14:editId="486D13D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3094218" w14:textId="77777777" w:rsidR="008A3D05" w:rsidRDefault="008A3D05">
    <w:pPr>
      <w:pStyle w:val="Encabezado"/>
    </w:pPr>
  </w:p>
  <w:p w14:paraId="45397E8A" w14:textId="77777777" w:rsidR="008A3D05" w:rsidRDefault="008A3D05" w:rsidP="004A305D">
    <w:pPr>
      <w:spacing w:after="0"/>
      <w:rPr>
        <w:rFonts w:ascii="Verdana" w:hAnsi="Verdana"/>
        <w:b/>
        <w:bCs/>
      </w:rPr>
    </w:pPr>
  </w:p>
  <w:p w14:paraId="49B85CA8" w14:textId="77777777" w:rsidR="008A3D05" w:rsidRPr="004A305D" w:rsidRDefault="008A3D05" w:rsidP="00B01B1A">
    <w:pPr>
      <w:spacing w:after="0" w:line="120" w:lineRule="auto"/>
      <w:rPr>
        <w:rFonts w:ascii="Century Gothic" w:eastAsia="Geo" w:hAnsi="Century Gothic" w:cs="Geo"/>
        <w:sz w:val="16"/>
        <w:szCs w:val="16"/>
        <w:lang w:eastAsia="es-CO"/>
      </w:rPr>
    </w:pPr>
  </w:p>
  <w:p w14:paraId="40C781C8" w14:textId="77777777" w:rsidR="008A3D05" w:rsidRDefault="008A3D0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D05"/>
    <w:rsid w:val="0008424F"/>
    <w:rsid w:val="000C56C7"/>
    <w:rsid w:val="003B0BC7"/>
    <w:rsid w:val="00474DF4"/>
    <w:rsid w:val="00485D25"/>
    <w:rsid w:val="004F471F"/>
    <w:rsid w:val="008A3D05"/>
    <w:rsid w:val="0095298F"/>
    <w:rsid w:val="00A97520"/>
    <w:rsid w:val="00BE3854"/>
    <w:rsid w:val="00C24FFE"/>
    <w:rsid w:val="00E21D92"/>
    <w:rsid w:val="00FF1A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E7B9"/>
  <w15:chartTrackingRefBased/>
  <w15:docId w15:val="{B7043276-C57E-4434-9EDC-58F13E633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D05"/>
    <w:rPr>
      <w:kern w:val="0"/>
      <w14:ligatures w14:val="none"/>
    </w:rPr>
  </w:style>
  <w:style w:type="paragraph" w:styleId="Ttulo1">
    <w:name w:val="heading 1"/>
    <w:basedOn w:val="Normal"/>
    <w:next w:val="Normal"/>
    <w:link w:val="Ttulo1Car"/>
    <w:uiPriority w:val="9"/>
    <w:qFormat/>
    <w:rsid w:val="008A3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A3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A3D0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A3D0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A3D0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A3D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A3D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A3D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A3D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3D0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A3D0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A3D0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A3D0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A3D0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A3D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A3D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A3D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A3D05"/>
    <w:rPr>
      <w:rFonts w:eastAsiaTheme="majorEastAsia" w:cstheme="majorBidi"/>
      <w:color w:val="272727" w:themeColor="text1" w:themeTint="D8"/>
    </w:rPr>
  </w:style>
  <w:style w:type="paragraph" w:styleId="Ttulo">
    <w:name w:val="Title"/>
    <w:basedOn w:val="Normal"/>
    <w:next w:val="Normal"/>
    <w:link w:val="TtuloCar"/>
    <w:uiPriority w:val="10"/>
    <w:qFormat/>
    <w:rsid w:val="008A3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A3D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3D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3D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A3D05"/>
    <w:pPr>
      <w:spacing w:before="160"/>
      <w:jc w:val="center"/>
    </w:pPr>
    <w:rPr>
      <w:i/>
      <w:iCs/>
      <w:color w:val="404040" w:themeColor="text1" w:themeTint="BF"/>
    </w:rPr>
  </w:style>
  <w:style w:type="character" w:customStyle="1" w:styleId="CitaCar">
    <w:name w:val="Cita Car"/>
    <w:basedOn w:val="Fuentedeprrafopredeter"/>
    <w:link w:val="Cita"/>
    <w:uiPriority w:val="29"/>
    <w:rsid w:val="008A3D0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A3D05"/>
    <w:pPr>
      <w:ind w:left="720"/>
      <w:contextualSpacing/>
    </w:pPr>
  </w:style>
  <w:style w:type="character" w:styleId="nfasisintenso">
    <w:name w:val="Intense Emphasis"/>
    <w:basedOn w:val="Fuentedeprrafopredeter"/>
    <w:uiPriority w:val="21"/>
    <w:qFormat/>
    <w:rsid w:val="008A3D05"/>
    <w:rPr>
      <w:i/>
      <w:iCs/>
      <w:color w:val="2F5496" w:themeColor="accent1" w:themeShade="BF"/>
    </w:rPr>
  </w:style>
  <w:style w:type="paragraph" w:styleId="Citadestacada">
    <w:name w:val="Intense Quote"/>
    <w:basedOn w:val="Normal"/>
    <w:next w:val="Normal"/>
    <w:link w:val="CitadestacadaCar"/>
    <w:uiPriority w:val="30"/>
    <w:qFormat/>
    <w:rsid w:val="008A3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A3D05"/>
    <w:rPr>
      <w:i/>
      <w:iCs/>
      <w:color w:val="2F5496" w:themeColor="accent1" w:themeShade="BF"/>
    </w:rPr>
  </w:style>
  <w:style w:type="character" w:styleId="Referenciaintensa">
    <w:name w:val="Intense Reference"/>
    <w:basedOn w:val="Fuentedeprrafopredeter"/>
    <w:uiPriority w:val="32"/>
    <w:qFormat/>
    <w:rsid w:val="008A3D05"/>
    <w:rPr>
      <w:b/>
      <w:bCs/>
      <w:smallCaps/>
      <w:color w:val="2F5496" w:themeColor="accent1" w:themeShade="BF"/>
      <w:spacing w:val="5"/>
    </w:rPr>
  </w:style>
  <w:style w:type="paragraph" w:styleId="Encabezado">
    <w:name w:val="header"/>
    <w:basedOn w:val="Normal"/>
    <w:link w:val="EncabezadoCar"/>
    <w:uiPriority w:val="99"/>
    <w:unhideWhenUsed/>
    <w:rsid w:val="008A3D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A3D05"/>
    <w:rPr>
      <w:kern w:val="0"/>
      <w14:ligatures w14:val="none"/>
    </w:rPr>
  </w:style>
  <w:style w:type="paragraph" w:styleId="Piedepgina">
    <w:name w:val="footer"/>
    <w:basedOn w:val="Normal"/>
    <w:link w:val="PiedepginaCar"/>
    <w:uiPriority w:val="99"/>
    <w:unhideWhenUsed/>
    <w:rsid w:val="008A3D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A3D0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A3D0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A3D0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A3D0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A3D05"/>
    <w:rPr>
      <w:vertAlign w:val="superscript"/>
    </w:rPr>
  </w:style>
  <w:style w:type="character" w:customStyle="1" w:styleId="normaltextrun">
    <w:name w:val="normaltextrun"/>
    <w:basedOn w:val="Fuentedeprrafopredeter"/>
    <w:rsid w:val="008A3D05"/>
  </w:style>
  <w:style w:type="table" w:styleId="Tablaconcuadrcula">
    <w:name w:val="Table Grid"/>
    <w:basedOn w:val="Tablanormal"/>
    <w:uiPriority w:val="39"/>
    <w:qFormat/>
    <w:rsid w:val="008A3D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A3D05"/>
    <w:rPr>
      <w:color w:val="0000FF"/>
      <w:u w:val="single"/>
    </w:rPr>
  </w:style>
  <w:style w:type="paragraph" w:styleId="NormalWeb">
    <w:name w:val="Normal (Web)"/>
    <w:basedOn w:val="Normal"/>
    <w:uiPriority w:val="99"/>
    <w:unhideWhenUsed/>
    <w:rsid w:val="008A3D0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3D05"/>
  </w:style>
  <w:style w:type="paragraph" w:customStyle="1" w:styleId="Appelnotedebasde">
    <w:name w:val="Appel note de bas de..."/>
    <w:basedOn w:val="Normal"/>
    <w:link w:val="Refdenotaalpie"/>
    <w:uiPriority w:val="99"/>
    <w:rsid w:val="008A3D05"/>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yver.mosquera@dsts.com.co"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A09D29-CC3C-4711-A47B-567E18382A2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841A6586-913E-455C-91F4-C496E6CF31BA}">
  <ds:schemaRefs>
    <ds:schemaRef ds:uri="http://schemas.microsoft.com/sharepoint/v3/contenttype/forms"/>
  </ds:schemaRefs>
</ds:datastoreItem>
</file>

<file path=customXml/itemProps3.xml><?xml version="1.0" encoding="utf-8"?>
<ds:datastoreItem xmlns:ds="http://schemas.openxmlformats.org/officeDocument/2006/customXml" ds:itemID="{B7A6B42D-DFC5-4D27-ADEC-B672CA96D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27</Pages>
  <Words>9408</Words>
  <Characters>51746</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4</cp:revision>
  <dcterms:created xsi:type="dcterms:W3CDTF">2025-07-04T23:23:00Z</dcterms:created>
  <dcterms:modified xsi:type="dcterms:W3CDTF">2025-07-07T22:17:00Z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