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876D3"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167361F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381BDA8" w14:textId="77777777" w:rsidR="004C63A3" w:rsidRDefault="004C63A3" w:rsidP="004C63A3">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0355C514" w14:textId="77777777" w:rsidR="004C63A3" w:rsidRPr="007B5AD4" w:rsidRDefault="004C63A3" w:rsidP="004C63A3">
      <w:pPr>
        <w:spacing w:after="0" w:line="240" w:lineRule="auto"/>
        <w:contextualSpacing/>
        <w:jc w:val="both"/>
        <w:rPr>
          <w:rFonts w:ascii="Verdana" w:eastAsia="Calibri" w:hAnsi="Verdana" w:cs="Arial"/>
          <w:sz w:val="20"/>
          <w:szCs w:val="20"/>
          <w:lang w:eastAsia="es-ES"/>
        </w:rPr>
      </w:pPr>
    </w:p>
    <w:p w14:paraId="0C764B16"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312B5506"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66698C56"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A39B22E"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127580FB"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40E1D0CF"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321474CF"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sidRPr="00FA1AEB">
        <w:rPr>
          <w:rFonts w:ascii="Verdana" w:eastAsia="Calibri" w:hAnsi="Verdana" w:cs="Arial"/>
          <w:sz w:val="20"/>
          <w:szCs w:val="20"/>
          <w:lang w:eastAsia="es-ES"/>
        </w:rPr>
        <w:t>Estos sujetos no tienen en cuenta el género, es decir si son PcD hombres o mujeres, por lo que la definición es aplicable independientemente del género de la PcD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55D1FA58"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37DF74E" w14:textId="554818B1" w:rsidR="004C63A3" w:rsidRPr="00751F42" w:rsidRDefault="004C63A3" w:rsidP="004C63A3">
      <w:pPr>
        <w:spacing w:after="0" w:line="240" w:lineRule="auto"/>
        <w:contextualSpacing/>
        <w:jc w:val="both"/>
        <w:rPr>
          <w:rFonts w:ascii="Verdana" w:eastAsia="Calibri" w:hAnsi="Verdana" w:cs="Arial"/>
          <w:b/>
          <w:bCs/>
          <w:lang w:eastAsia="es-ES"/>
        </w:rPr>
      </w:pPr>
      <w:r w:rsidRPr="00751F42">
        <w:rPr>
          <w:rFonts w:ascii="Verdana" w:eastAsia="Calibri" w:hAnsi="Verdana" w:cs="Arial"/>
          <w:b/>
          <w:bCs/>
          <w:lang w:eastAsia="es-ES"/>
        </w:rPr>
        <w:t xml:space="preserve">DECRETO 0287 DE 2026 ‒ Puntaje adicional del 2% ‒ Vinculación de personas con discapacidad ‒ </w:t>
      </w:r>
      <w:r w:rsidR="00442687" w:rsidRPr="00751F42">
        <w:rPr>
          <w:rFonts w:ascii="Verdana" w:eastAsia="Calibri" w:hAnsi="Verdana" w:cs="Arial"/>
          <w:b/>
          <w:bCs/>
          <w:lang w:eastAsia="es-ES"/>
        </w:rPr>
        <w:t>Certificaciones</w:t>
      </w:r>
    </w:p>
    <w:p w14:paraId="42855669" w14:textId="77777777" w:rsidR="004C63A3" w:rsidRPr="00751F42" w:rsidRDefault="004C63A3" w:rsidP="004C63A3">
      <w:pPr>
        <w:spacing w:after="0" w:line="240" w:lineRule="auto"/>
        <w:contextualSpacing/>
        <w:jc w:val="both"/>
        <w:rPr>
          <w:rFonts w:ascii="Verdana" w:eastAsia="Calibri" w:hAnsi="Verdana" w:cs="Arial"/>
          <w:sz w:val="20"/>
          <w:szCs w:val="20"/>
          <w:lang w:eastAsia="es-ES"/>
        </w:rPr>
      </w:pPr>
    </w:p>
    <w:p w14:paraId="503F7849" w14:textId="77777777" w:rsidR="00CB0DB3" w:rsidRPr="00751F42" w:rsidRDefault="00CB0DB3" w:rsidP="00CB0DB3">
      <w:pPr>
        <w:spacing w:after="0" w:line="240" w:lineRule="auto"/>
        <w:contextualSpacing/>
        <w:jc w:val="both"/>
        <w:rPr>
          <w:rFonts w:ascii="Verdana" w:eastAsia="Calibri" w:hAnsi="Verdana" w:cs="Arial"/>
          <w:sz w:val="20"/>
          <w:szCs w:val="20"/>
          <w:lang w:eastAsia="es-ES"/>
        </w:rPr>
      </w:pPr>
      <w:r w:rsidRPr="00751F42">
        <w:rPr>
          <w:rFonts w:ascii="Verdana" w:eastAsia="Calibri" w:hAnsi="Verdana" w:cs="Arial"/>
          <w:sz w:val="20"/>
          <w:szCs w:val="20"/>
          <w:lang w:eastAsia="es-ES"/>
        </w:rPr>
        <w:t>Respecto de las medidas del sistema, una de estas es el puntaje adicional del dos por ciento (2%), el cual es único, total y no acumulable. El artículo 2.2.1.2.4.2.7.4. del Decreto 0287 de 2026 es explícito al disponer que, aunque el proponente acredite simultáneamente ser emprendimiento o empresa de PcD y ser empleador de PcD, el puntaje máximo a otorgar por este criterio es siempre el 2% del total de los puntos del pliego, sin que las condiciones acreditadas sean sumables para efectos de la evaluación de la oferta, y tampoco es posible disminuir ese porcentaje de puntos ya que siempre será el 2% como lo establece el decreto. Este puntaje aplica únicamente en entidades regidas por el Estatuto General de Contratación Pública, en las modalidades de licitación pública y concurso de méritos; no aplica en régimen especial, ni en selección abreviada, mínima cuantía ni contratación directa.</w:t>
      </w:r>
    </w:p>
    <w:p w14:paraId="64B5AD1A" w14:textId="77777777" w:rsidR="00CB0DB3" w:rsidRPr="00751F42" w:rsidRDefault="00CB0DB3" w:rsidP="00CB0DB3">
      <w:pPr>
        <w:spacing w:after="0" w:line="240" w:lineRule="auto"/>
        <w:contextualSpacing/>
        <w:jc w:val="both"/>
        <w:rPr>
          <w:rFonts w:ascii="Verdana" w:eastAsia="Calibri" w:hAnsi="Verdana" w:cs="Arial"/>
          <w:sz w:val="20"/>
          <w:szCs w:val="20"/>
          <w:lang w:eastAsia="es-ES"/>
        </w:rPr>
      </w:pPr>
    </w:p>
    <w:p w14:paraId="2DF65BFE" w14:textId="77777777" w:rsidR="00CB0DB3" w:rsidRPr="00751F42" w:rsidRDefault="00CB0DB3" w:rsidP="00CB0DB3">
      <w:pPr>
        <w:spacing w:after="0" w:line="240" w:lineRule="auto"/>
        <w:contextualSpacing/>
        <w:jc w:val="both"/>
        <w:rPr>
          <w:rFonts w:ascii="Verdana" w:eastAsia="Calibri" w:hAnsi="Verdana" w:cs="Arial"/>
          <w:sz w:val="20"/>
          <w:szCs w:val="20"/>
          <w:lang w:eastAsia="es-ES"/>
        </w:rPr>
      </w:pPr>
      <w:r w:rsidRPr="00751F42">
        <w:rPr>
          <w:rFonts w:ascii="Verdana" w:eastAsia="Calibri" w:hAnsi="Verdana" w:cs="Arial"/>
          <w:sz w:val="20"/>
          <w:szCs w:val="20"/>
          <w:lang w:eastAsia="es-ES"/>
        </w:rPr>
        <w:t>Ahora bien, la documentación para la acreditación de las condiciones bajo las cuales se otorga el puntaje depende del sujeto de que se trate, y teniendo en cuenta su consulta, en la condición de empleador de PcD, los documentos están dispuestos en el artículo 2.2.1.2.4.2.7.4 el cual exige:</w:t>
      </w:r>
    </w:p>
    <w:p w14:paraId="3690EFE7" w14:textId="77777777" w:rsidR="00CB0DB3" w:rsidRPr="00751F42" w:rsidRDefault="00CB0DB3" w:rsidP="00CB0DB3">
      <w:pPr>
        <w:spacing w:after="0" w:line="240" w:lineRule="auto"/>
        <w:contextualSpacing/>
        <w:jc w:val="both"/>
        <w:rPr>
          <w:rFonts w:ascii="Verdana" w:eastAsia="Calibri" w:hAnsi="Verdana" w:cs="Arial"/>
          <w:sz w:val="20"/>
          <w:szCs w:val="20"/>
          <w:lang w:eastAsia="es-ES"/>
        </w:rPr>
      </w:pPr>
    </w:p>
    <w:p w14:paraId="5F33E016" w14:textId="77777777" w:rsidR="00CB0DB3" w:rsidRPr="00751F42" w:rsidRDefault="00CB0DB3" w:rsidP="00CB0DB3">
      <w:pPr>
        <w:spacing w:after="0" w:line="240" w:lineRule="auto"/>
        <w:contextualSpacing/>
        <w:jc w:val="both"/>
        <w:rPr>
          <w:rFonts w:ascii="Verdana" w:eastAsia="Calibri" w:hAnsi="Verdana" w:cs="Arial"/>
          <w:sz w:val="20"/>
          <w:szCs w:val="20"/>
          <w:lang w:eastAsia="es-ES"/>
        </w:rPr>
      </w:pPr>
      <w:r w:rsidRPr="00751F42">
        <w:rPr>
          <w:rFonts w:ascii="Verdana" w:eastAsia="Calibri" w:hAnsi="Verdana" w:cs="Arial"/>
          <w:sz w:val="20"/>
          <w:szCs w:val="20"/>
          <w:lang w:eastAsia="es-ES"/>
        </w:rPr>
        <w:t xml:space="preserve">- Certificación expedida con una antelación no mayor a treinta (30) días calendario respecto a la fecha de presentación de la oferta, suscrita por el representante legal del proponente y el revisor fiscal, cuando exista de acuerdo con los requerimientos de ley, o el contador, en la que conste el número de personas con discapacidad que conforman su planta de personal. La certificación deberá relacionar el nombre completo y el número de documento de identidad de cada una de las personas con discapacidad. Como soporte, se anexará copia de los respectivos documentos de identidad, copia de los contratos de trabajo o certificación laboral con las funciones, sin que se puedan relacionar contratos de prestación de servicios, así como el certificado de aportes a seguridad social de los últimas tres (3) meses en el que se demuestren los pagos </w:t>
      </w:r>
      <w:r w:rsidRPr="00751F42">
        <w:rPr>
          <w:rFonts w:ascii="Verdana" w:eastAsia="Calibri" w:hAnsi="Verdana" w:cs="Arial"/>
          <w:sz w:val="20"/>
          <w:szCs w:val="20"/>
          <w:lang w:eastAsia="es-ES"/>
        </w:rPr>
        <w:lastRenderedPageBreak/>
        <w:t>realizados por el empleador, y el certificado de discapacidad expedido conforme a la normativa vigente del Ministerio de Salud y Protección Social.</w:t>
      </w:r>
    </w:p>
    <w:p w14:paraId="64288A66" w14:textId="77777777" w:rsidR="00CB0DB3" w:rsidRPr="00751F42" w:rsidRDefault="00CB0DB3" w:rsidP="00CB0DB3">
      <w:pPr>
        <w:spacing w:after="0" w:line="240" w:lineRule="auto"/>
        <w:contextualSpacing/>
        <w:jc w:val="both"/>
        <w:rPr>
          <w:rFonts w:ascii="Verdana" w:eastAsia="Calibri" w:hAnsi="Verdana" w:cs="Arial"/>
          <w:sz w:val="20"/>
          <w:szCs w:val="20"/>
          <w:lang w:eastAsia="es-ES"/>
        </w:rPr>
      </w:pPr>
      <w:r w:rsidRPr="00751F42">
        <w:rPr>
          <w:rFonts w:ascii="Verdana" w:eastAsia="Calibri" w:hAnsi="Verdana" w:cs="Arial"/>
          <w:sz w:val="20"/>
          <w:szCs w:val="20"/>
          <w:lang w:eastAsia="es-ES"/>
        </w:rPr>
        <w:t>- También, esta verificación se hará con el certificado que para el efecto expide el Ministerio de Trabajo y la entidad estatal contratante verificará la vigencia de dicha certificación, de conformidad con la normativa aplicable.</w:t>
      </w:r>
    </w:p>
    <w:p w14:paraId="2F84AF55" w14:textId="5A1C5431" w:rsidR="00CB0DB3" w:rsidRPr="00751F42" w:rsidRDefault="00751F42" w:rsidP="00CB0DB3">
      <w:pPr>
        <w:spacing w:after="0" w:line="240" w:lineRule="auto"/>
        <w:contextualSpacing/>
        <w:jc w:val="both"/>
        <w:rPr>
          <w:rFonts w:ascii="Verdana" w:eastAsia="Calibri" w:hAnsi="Verdana" w:cs="Arial"/>
          <w:sz w:val="20"/>
          <w:szCs w:val="20"/>
          <w:lang w:eastAsia="es-ES"/>
        </w:rPr>
      </w:pPr>
      <w:r w:rsidRPr="00751F42">
        <w:rPr>
          <w:rFonts w:ascii="Verdana" w:eastAsia="Calibri" w:hAnsi="Verdana" w:cs="Arial"/>
          <w:sz w:val="20"/>
          <w:szCs w:val="20"/>
          <w:lang w:eastAsia="es-ES"/>
        </w:rPr>
        <w:t xml:space="preserve">En la condición de empleador de personas con discapacidad, el artículo 2.2.1.2.4.2.7.4 exige, entre otros documentos, los certificados de aportes a seguridad social de los tres (3) meses anteriores a la presentación de la oferta respecto de cada PcD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PcD cuyas planillas no alcancen ese período, pudiendo el proponente acreditar el puntaje con base en las PcD que sí cumplen el requisito temporal y participar en el proceso sin el puntaje en caso de no alcanzar ninguna. El término de tres (3) </w:t>
      </w:r>
      <w:proofErr w:type="gramStart"/>
      <w:r w:rsidRPr="00751F42">
        <w:rPr>
          <w:rFonts w:ascii="Verdana" w:eastAsia="Calibri" w:hAnsi="Verdana" w:cs="Arial"/>
          <w:sz w:val="20"/>
          <w:szCs w:val="20"/>
          <w:lang w:eastAsia="es-ES"/>
        </w:rPr>
        <w:t>meses aquí mencionado</w:t>
      </w:r>
      <w:proofErr w:type="gramEnd"/>
      <w:r w:rsidRPr="00751F42">
        <w:rPr>
          <w:rFonts w:ascii="Verdana" w:eastAsia="Calibri" w:hAnsi="Verdana" w:cs="Arial"/>
          <w:sz w:val="20"/>
          <w:szCs w:val="20"/>
          <w:lang w:eastAsia="es-ES"/>
        </w:rPr>
        <w:t xml:space="preserve"> es diferente al término de un (1) año mencionado en el artículo 2.2.1.2.4.2.6 respecto de los emprendimientos y empresas de PcD.</w:t>
      </w:r>
    </w:p>
    <w:p w14:paraId="59576E06" w14:textId="77777777" w:rsidR="00D83BD2" w:rsidRDefault="00D83BD2" w:rsidP="004C63A3">
      <w:pPr>
        <w:spacing w:after="0" w:line="240" w:lineRule="auto"/>
        <w:contextualSpacing/>
        <w:jc w:val="both"/>
        <w:rPr>
          <w:rFonts w:ascii="Verdana" w:eastAsia="Calibri" w:hAnsi="Verdana" w:cs="Arial"/>
          <w:sz w:val="20"/>
          <w:szCs w:val="20"/>
          <w:lang w:eastAsia="es-ES"/>
        </w:rPr>
      </w:pPr>
    </w:p>
    <w:p w14:paraId="2E0D9C31"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08DEF6CA"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77BA026B"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14B715D4"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2CED6D3B"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0CEB9390"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4AD16B1D"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2F5D2897"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058C099D"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4C01FBD3"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7AB29870"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76B80F61"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55366AEE"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5D8CF8A1"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05003FF5"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6D9A63D4"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041F5687"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6355928C" w14:textId="77777777" w:rsidR="00955679" w:rsidRDefault="00955679" w:rsidP="004C63A3">
      <w:pPr>
        <w:spacing w:after="0" w:line="240" w:lineRule="auto"/>
        <w:contextualSpacing/>
        <w:jc w:val="both"/>
        <w:rPr>
          <w:rFonts w:ascii="Verdana" w:eastAsia="Calibri" w:hAnsi="Verdana" w:cs="Arial"/>
          <w:sz w:val="20"/>
          <w:szCs w:val="20"/>
          <w:lang w:eastAsia="es-ES"/>
        </w:rPr>
      </w:pPr>
    </w:p>
    <w:p w14:paraId="3C7ED9F7" w14:textId="77777777" w:rsidR="00D83BD2" w:rsidRDefault="00D83BD2" w:rsidP="004C63A3">
      <w:pPr>
        <w:spacing w:after="0" w:line="240" w:lineRule="auto"/>
        <w:contextualSpacing/>
        <w:jc w:val="both"/>
        <w:rPr>
          <w:rFonts w:ascii="Verdana" w:eastAsia="Calibri" w:hAnsi="Verdana" w:cs="Arial"/>
          <w:sz w:val="20"/>
          <w:szCs w:val="20"/>
          <w:lang w:eastAsia="es-ES"/>
        </w:rPr>
      </w:pPr>
    </w:p>
    <w:p w14:paraId="26EDDFB5" w14:textId="77777777" w:rsidR="00077905" w:rsidRDefault="00077905" w:rsidP="004C63A3">
      <w:pPr>
        <w:spacing w:after="0" w:line="240" w:lineRule="auto"/>
        <w:contextualSpacing/>
        <w:jc w:val="both"/>
        <w:rPr>
          <w:rFonts w:ascii="Verdana" w:eastAsia="Calibri" w:hAnsi="Verdana" w:cs="Arial"/>
          <w:sz w:val="20"/>
          <w:szCs w:val="20"/>
          <w:lang w:eastAsia="es-ES"/>
        </w:rPr>
      </w:pPr>
    </w:p>
    <w:p w14:paraId="730C92AB" w14:textId="77777777" w:rsidR="00077905" w:rsidRDefault="00077905" w:rsidP="004C63A3">
      <w:pPr>
        <w:spacing w:after="0" w:line="240" w:lineRule="auto"/>
        <w:contextualSpacing/>
        <w:jc w:val="both"/>
        <w:rPr>
          <w:rFonts w:ascii="Verdana" w:eastAsia="Calibri" w:hAnsi="Verdana" w:cs="Arial"/>
          <w:sz w:val="20"/>
          <w:szCs w:val="20"/>
          <w:lang w:eastAsia="es-ES"/>
        </w:rPr>
      </w:pPr>
    </w:p>
    <w:p w14:paraId="3EA102DD" w14:textId="77777777" w:rsidR="00077905" w:rsidRDefault="00077905" w:rsidP="004C63A3">
      <w:pPr>
        <w:spacing w:after="0" w:line="240" w:lineRule="auto"/>
        <w:contextualSpacing/>
        <w:jc w:val="both"/>
        <w:rPr>
          <w:rFonts w:ascii="Verdana" w:eastAsia="Calibri" w:hAnsi="Verdana" w:cs="Arial"/>
          <w:sz w:val="20"/>
          <w:szCs w:val="20"/>
          <w:lang w:eastAsia="es-ES"/>
        </w:rPr>
      </w:pPr>
    </w:p>
    <w:p w14:paraId="584252BC" w14:textId="77777777" w:rsidR="00077905" w:rsidRDefault="00077905" w:rsidP="004C63A3">
      <w:pPr>
        <w:spacing w:after="0" w:line="240" w:lineRule="auto"/>
        <w:contextualSpacing/>
        <w:jc w:val="both"/>
        <w:rPr>
          <w:rFonts w:ascii="Verdana" w:eastAsia="Calibri" w:hAnsi="Verdana" w:cs="Arial"/>
          <w:sz w:val="20"/>
          <w:szCs w:val="20"/>
          <w:lang w:eastAsia="es-ES"/>
        </w:rPr>
      </w:pPr>
    </w:p>
    <w:p w14:paraId="7FF28676" w14:textId="77777777" w:rsidR="00077905" w:rsidRDefault="00077905" w:rsidP="004C63A3">
      <w:pPr>
        <w:spacing w:after="0" w:line="240" w:lineRule="auto"/>
        <w:contextualSpacing/>
        <w:jc w:val="both"/>
        <w:rPr>
          <w:rFonts w:ascii="Verdana" w:eastAsia="Calibri" w:hAnsi="Verdana" w:cs="Arial"/>
          <w:sz w:val="20"/>
          <w:szCs w:val="20"/>
          <w:lang w:eastAsia="es-ES"/>
        </w:rPr>
      </w:pPr>
    </w:p>
    <w:p w14:paraId="7FBEEAE6" w14:textId="77777777" w:rsidR="00077905" w:rsidRDefault="00077905" w:rsidP="004C63A3">
      <w:pPr>
        <w:spacing w:after="0" w:line="240" w:lineRule="auto"/>
        <w:contextualSpacing/>
        <w:jc w:val="both"/>
        <w:rPr>
          <w:rFonts w:ascii="Verdana" w:eastAsia="Calibri" w:hAnsi="Verdana" w:cs="Arial"/>
          <w:sz w:val="20"/>
          <w:szCs w:val="20"/>
          <w:lang w:eastAsia="es-ES"/>
        </w:rPr>
      </w:pPr>
    </w:p>
    <w:p w14:paraId="5E82E4BC" w14:textId="77777777" w:rsidR="00077905" w:rsidRDefault="00077905" w:rsidP="004C63A3">
      <w:pPr>
        <w:spacing w:after="0" w:line="240" w:lineRule="auto"/>
        <w:contextualSpacing/>
        <w:jc w:val="both"/>
        <w:rPr>
          <w:rFonts w:ascii="Verdana" w:eastAsia="Calibri" w:hAnsi="Verdana" w:cs="Arial"/>
          <w:sz w:val="20"/>
          <w:szCs w:val="20"/>
          <w:lang w:eastAsia="es-ES"/>
        </w:rPr>
      </w:pPr>
    </w:p>
    <w:p w14:paraId="0485D06A" w14:textId="77777777" w:rsidR="00077905" w:rsidRDefault="00077905" w:rsidP="004C63A3">
      <w:pPr>
        <w:spacing w:after="0" w:line="240" w:lineRule="auto"/>
        <w:contextualSpacing/>
        <w:jc w:val="both"/>
        <w:rPr>
          <w:rFonts w:ascii="Verdana" w:eastAsia="Calibri" w:hAnsi="Verdana" w:cs="Arial"/>
          <w:sz w:val="20"/>
          <w:szCs w:val="20"/>
          <w:lang w:eastAsia="es-ES"/>
        </w:rPr>
      </w:pPr>
    </w:p>
    <w:p w14:paraId="6E125145" w14:textId="77777777" w:rsidR="00D83BD2" w:rsidRDefault="00D83BD2" w:rsidP="004C63A3">
      <w:pPr>
        <w:spacing w:after="0" w:line="240" w:lineRule="auto"/>
        <w:contextualSpacing/>
        <w:jc w:val="both"/>
        <w:rPr>
          <w:rFonts w:ascii="Verdana" w:eastAsia="Calibri" w:hAnsi="Verdana" w:cs="Arial"/>
          <w:sz w:val="20"/>
          <w:szCs w:val="20"/>
          <w:lang w:eastAsia="es-ES"/>
        </w:rPr>
      </w:pPr>
    </w:p>
    <w:p w14:paraId="6897E887" w14:textId="277C3D96" w:rsidR="00954D32" w:rsidRDefault="00701BF5" w:rsidP="00701BF5">
      <w:pPr>
        <w:spacing w:after="0"/>
        <w:rPr>
          <w:rFonts w:ascii="Verdana" w:hAnsi="Verdana"/>
          <w:lang w:val="es-ES"/>
        </w:rPr>
      </w:pPr>
      <w:r w:rsidRPr="00701BF5">
        <w:rPr>
          <w:rFonts w:ascii="Verdana" w:hAnsi="Verdana"/>
          <w:lang w:val="es-ES"/>
        </w:rPr>
        <w:lastRenderedPageBreak/>
        <w:t xml:space="preserve">Bogotá D.C., </w:t>
      </w:r>
      <w:r w:rsidR="00954D32">
        <w:rPr>
          <w:rFonts w:ascii="Verdana" w:hAnsi="Verdana"/>
          <w:lang w:val="es-ES"/>
        </w:rPr>
        <w:t>1 de junio de 2026</w:t>
      </w:r>
    </w:p>
    <w:p w14:paraId="42161DF5" w14:textId="77777777" w:rsidR="00954D32" w:rsidRDefault="00954D32" w:rsidP="00701BF5">
      <w:pPr>
        <w:spacing w:after="0"/>
        <w:rPr>
          <w:rFonts w:ascii="Verdana" w:hAnsi="Verdana"/>
          <w:lang w:val="es-ES"/>
        </w:rPr>
      </w:pPr>
    </w:p>
    <w:p w14:paraId="521B95BD" w14:textId="416AF1EB" w:rsidR="00B418FD" w:rsidRPr="00777292" w:rsidRDefault="00954D32" w:rsidP="00954D32">
      <w:pPr>
        <w:spacing w:after="0"/>
        <w:jc w:val="right"/>
        <w:rPr>
          <w:rFonts w:ascii="Verdana" w:hAnsi="Verdana"/>
          <w:lang w:val="es-ES"/>
        </w:rPr>
      </w:pPr>
      <w:r w:rsidRPr="00954D32">
        <w:rPr>
          <w:rFonts w:ascii="Verdana" w:hAnsi="Verdana"/>
          <w:lang w:val="es-ES"/>
        </w:rPr>
        <w:drawing>
          <wp:inline distT="0" distB="0" distL="0" distR="0" wp14:anchorId="3ECFAA46" wp14:editId="3FC41A78">
            <wp:extent cx="3686689" cy="1076475"/>
            <wp:effectExtent l="0" t="0" r="9525" b="9525"/>
            <wp:docPr id="8737504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50416" name=""/>
                    <pic:cNvPicPr/>
                  </pic:nvPicPr>
                  <pic:blipFill>
                    <a:blip r:embed="rId10"/>
                    <a:stretch>
                      <a:fillRect/>
                    </a:stretch>
                  </pic:blipFill>
                  <pic:spPr>
                    <a:xfrm>
                      <a:off x="0" y="0"/>
                      <a:ext cx="3686689" cy="1076475"/>
                    </a:xfrm>
                    <a:prstGeom prst="rect">
                      <a:avLst/>
                    </a:prstGeom>
                  </pic:spPr>
                </pic:pic>
              </a:graphicData>
            </a:graphic>
          </wp:inline>
        </w:drawing>
      </w:r>
      <w:r w:rsidR="00701BF5" w:rsidRPr="00701BF5">
        <w:rPr>
          <w:rFonts w:ascii="Verdana" w:hAnsi="Verdana"/>
          <w:lang w:val="es-ES"/>
        </w:rPr>
        <w:tab/>
      </w:r>
    </w:p>
    <w:p w14:paraId="14261663" w14:textId="77777777" w:rsidR="004C63A3" w:rsidRPr="00777292" w:rsidRDefault="004C63A3" w:rsidP="004C63A3">
      <w:pPr>
        <w:spacing w:after="0"/>
        <w:rPr>
          <w:rFonts w:ascii="Verdana" w:hAnsi="Verdana"/>
          <w:lang w:val="es-ES_tradnl"/>
        </w:rPr>
      </w:pPr>
    </w:p>
    <w:p w14:paraId="143585DF" w14:textId="0436E3E2" w:rsidR="004C63A3" w:rsidRPr="006A7B59" w:rsidRDefault="004C63A3" w:rsidP="004C63A3">
      <w:pPr>
        <w:spacing w:after="0" w:line="240" w:lineRule="auto"/>
        <w:rPr>
          <w:rFonts w:ascii="Verdana" w:hAnsi="Verdana"/>
          <w:lang w:val="es-ES"/>
        </w:rPr>
      </w:pPr>
      <w:bookmarkStart w:id="0" w:name="_Hlk143780582"/>
      <w:r w:rsidRPr="006A7B59">
        <w:rPr>
          <w:rFonts w:ascii="Verdana" w:eastAsia="Calibri" w:hAnsi="Verdana" w:cs="Arial"/>
          <w:lang w:val="es-ES" w:eastAsia="es-ES"/>
        </w:rPr>
        <w:t>Señor</w:t>
      </w:r>
    </w:p>
    <w:p w14:paraId="645D6E70" w14:textId="67C7E997" w:rsidR="004C63A3" w:rsidRDefault="003A3FC7" w:rsidP="004C63A3">
      <w:pPr>
        <w:spacing w:after="0"/>
        <w:rPr>
          <w:rFonts w:ascii="Verdana" w:eastAsia="Calibri" w:hAnsi="Verdana" w:cs="Arial"/>
          <w:b/>
          <w:bCs/>
          <w:lang w:val="es-ES" w:eastAsia="es-ES"/>
        </w:rPr>
      </w:pPr>
      <w:r>
        <w:rPr>
          <w:rFonts w:ascii="Verdana" w:eastAsia="Calibri" w:hAnsi="Verdana" w:cs="Arial"/>
          <w:b/>
          <w:bCs/>
          <w:lang w:val="es-ES" w:eastAsia="es-ES"/>
        </w:rPr>
        <w:t>Germán Alfredo Bazzani</w:t>
      </w:r>
      <w:r w:rsidR="00637A69">
        <w:rPr>
          <w:rFonts w:ascii="Verdana" w:eastAsia="Calibri" w:hAnsi="Verdana" w:cs="Arial"/>
          <w:b/>
          <w:bCs/>
          <w:lang w:val="es-ES" w:eastAsia="es-ES"/>
        </w:rPr>
        <w:t xml:space="preserve"> Pradere</w:t>
      </w:r>
    </w:p>
    <w:p w14:paraId="5CF997C2" w14:textId="6420D570" w:rsidR="00AC6F99" w:rsidRPr="00AC6F99" w:rsidRDefault="00AC6F99" w:rsidP="004C63A3">
      <w:pPr>
        <w:spacing w:after="0"/>
        <w:rPr>
          <w:rFonts w:ascii="Verdana" w:eastAsia="Calibri" w:hAnsi="Verdana" w:cs="Arial"/>
          <w:lang w:val="es-ES" w:eastAsia="es-ES"/>
        </w:rPr>
      </w:pPr>
      <w:r w:rsidRPr="00AC6F99">
        <w:rPr>
          <w:rFonts w:ascii="Verdana" w:eastAsia="Calibri" w:hAnsi="Verdana" w:cs="Arial"/>
          <w:lang w:val="es-ES" w:eastAsia="es-ES"/>
        </w:rPr>
        <w:t>bazzani.licitaciones20@gmail.com</w:t>
      </w:r>
    </w:p>
    <w:p w14:paraId="35E9948D" w14:textId="77777777" w:rsidR="004C63A3" w:rsidRPr="00777292" w:rsidRDefault="004C63A3" w:rsidP="004C63A3">
      <w:pPr>
        <w:spacing w:after="0"/>
        <w:rPr>
          <w:rFonts w:ascii="Verdana" w:eastAsia="Calibri" w:hAnsi="Verdana" w:cs="Arial"/>
          <w:lang w:eastAsia="es-ES"/>
        </w:rPr>
      </w:pPr>
      <w:r w:rsidRPr="006A7B59">
        <w:rPr>
          <w:rFonts w:ascii="Verdana" w:eastAsia="Calibri" w:hAnsi="Verdana" w:cs="Arial"/>
          <w:lang w:eastAsia="es-ES"/>
        </w:rPr>
        <w:t>Ciudad</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63A3" w:rsidRPr="00777292" w14:paraId="33A3497E" w14:textId="77777777" w:rsidTr="000A6384">
        <w:trPr>
          <w:trHeight w:val="190"/>
        </w:trPr>
        <w:tc>
          <w:tcPr>
            <w:tcW w:w="2689" w:type="dxa"/>
          </w:tcPr>
          <w:p w14:paraId="5CF4AE47" w14:textId="77777777" w:rsidR="004C63A3" w:rsidRPr="00777292" w:rsidRDefault="004C63A3" w:rsidP="000A6384">
            <w:pPr>
              <w:jc w:val="both"/>
              <w:rPr>
                <w:rFonts w:ascii="Verdana" w:eastAsia="Calibri" w:hAnsi="Verdana" w:cs="Arial"/>
                <w:b/>
                <w:bCs/>
                <w:lang w:eastAsia="es-ES_tradnl"/>
              </w:rPr>
            </w:pPr>
          </w:p>
        </w:tc>
        <w:tc>
          <w:tcPr>
            <w:tcW w:w="6100" w:type="dxa"/>
          </w:tcPr>
          <w:p w14:paraId="31CEB774" w14:textId="50D05A56" w:rsidR="004C63A3" w:rsidRPr="00777292" w:rsidRDefault="004C63A3" w:rsidP="000A6384">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sidR="00EC08F2">
              <w:rPr>
                <w:rFonts w:ascii="Verdana" w:eastAsia="Calibri" w:hAnsi="Verdana" w:cs="Arial"/>
                <w:b/>
                <w:bCs/>
                <w:lang w:eastAsia="es-ES"/>
              </w:rPr>
              <w:t>6</w:t>
            </w:r>
            <w:r w:rsidR="00955679">
              <w:rPr>
                <w:rFonts w:ascii="Verdana" w:eastAsia="Calibri" w:hAnsi="Verdana" w:cs="Arial"/>
                <w:b/>
                <w:bCs/>
                <w:lang w:eastAsia="es-ES"/>
              </w:rPr>
              <w:t>5</w:t>
            </w:r>
            <w:r w:rsidR="00EC08F2">
              <w:rPr>
                <w:rFonts w:ascii="Verdana" w:eastAsia="Calibri" w:hAnsi="Verdana" w:cs="Arial"/>
                <w:b/>
                <w:bCs/>
                <w:lang w:eastAsia="es-ES"/>
              </w:rPr>
              <w:t>4</w:t>
            </w:r>
            <w:r w:rsidRPr="00777292">
              <w:rPr>
                <w:rFonts w:ascii="Verdana" w:eastAsia="Calibri" w:hAnsi="Verdana" w:cs="Arial"/>
                <w:b/>
                <w:bCs/>
                <w:lang w:eastAsia="es-ES"/>
              </w:rPr>
              <w:t xml:space="preserve"> de 2026</w:t>
            </w:r>
          </w:p>
          <w:p w14:paraId="6260B8ED" w14:textId="77777777" w:rsidR="004C63A3" w:rsidRPr="00777292" w:rsidRDefault="004C63A3" w:rsidP="000A6384">
            <w:pPr>
              <w:jc w:val="both"/>
              <w:rPr>
                <w:rFonts w:ascii="Verdana" w:eastAsia="Calibri" w:hAnsi="Verdana" w:cs="Arial"/>
                <w:b/>
                <w:bCs/>
                <w:lang w:eastAsia="es-ES"/>
              </w:rPr>
            </w:pPr>
          </w:p>
        </w:tc>
      </w:tr>
      <w:tr w:rsidR="004C63A3" w:rsidRPr="00777292" w14:paraId="6C1E8E35" w14:textId="77777777" w:rsidTr="000A6384">
        <w:trPr>
          <w:trHeight w:val="884"/>
        </w:trPr>
        <w:tc>
          <w:tcPr>
            <w:tcW w:w="2689" w:type="dxa"/>
          </w:tcPr>
          <w:p w14:paraId="1A47481C" w14:textId="77777777" w:rsidR="004C63A3" w:rsidRPr="00777292" w:rsidRDefault="004C63A3" w:rsidP="000A6384">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3BA60BC6" w14:textId="4C558EED" w:rsidR="004C63A3" w:rsidRPr="00777292" w:rsidRDefault="004C63A3" w:rsidP="000A6384">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2902D0">
              <w:rPr>
                <w:rFonts w:ascii="Verdana" w:eastAsia="Calibri" w:hAnsi="Verdana" w:cs="Arial"/>
                <w:lang w:eastAsia="es-ES"/>
              </w:rPr>
              <w:t xml:space="preserve">DECRETO 0287 DE 2026 ‒ Puntaje adicional del 2% ‒ Vinculación de personas con discapacidad ‒ </w:t>
            </w:r>
            <w:r w:rsidR="00442687">
              <w:rPr>
                <w:rFonts w:ascii="Verdana" w:eastAsia="Calibri" w:hAnsi="Verdana" w:cs="Arial"/>
                <w:lang w:eastAsia="es-ES"/>
              </w:rPr>
              <w:t>Certificaciones</w:t>
            </w:r>
          </w:p>
        </w:tc>
      </w:tr>
      <w:tr w:rsidR="004C63A3" w:rsidRPr="00777292" w14:paraId="146E3513" w14:textId="77777777" w:rsidTr="000A6384">
        <w:tc>
          <w:tcPr>
            <w:tcW w:w="2689" w:type="dxa"/>
          </w:tcPr>
          <w:p w14:paraId="6B427AF1" w14:textId="77777777" w:rsidR="004C63A3" w:rsidRPr="00777292" w:rsidRDefault="004C63A3" w:rsidP="000A6384">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70735AC5" w14:textId="62FC4BA9" w:rsidR="004C63A3" w:rsidRPr="00777292" w:rsidRDefault="004C63A3" w:rsidP="000A6384">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00A33BFF" w:rsidRPr="00A33BFF">
              <w:rPr>
                <w:rFonts w:ascii="Verdana" w:hAnsi="Verdana" w:cs="Segoe UI"/>
                <w:color w:val="2B2B2B"/>
                <w:shd w:val="clear" w:color="auto" w:fill="FFFFFF"/>
              </w:rPr>
              <w:t>1_2026_04_21_005381</w:t>
            </w:r>
          </w:p>
        </w:tc>
      </w:tr>
    </w:tbl>
    <w:p w14:paraId="62F6D6F8" w14:textId="77777777" w:rsidR="004C63A3" w:rsidRPr="00206556" w:rsidRDefault="004C63A3" w:rsidP="004C63A3">
      <w:pPr>
        <w:tabs>
          <w:tab w:val="left" w:pos="1520"/>
        </w:tabs>
        <w:spacing w:after="0" w:line="276" w:lineRule="auto"/>
        <w:jc w:val="both"/>
        <w:rPr>
          <w:rFonts w:ascii="Verdana" w:eastAsia="Calibri" w:hAnsi="Verdana" w:cs="Arial"/>
          <w:color w:val="ED7D31" w:themeColor="accent2"/>
          <w:sz w:val="20"/>
          <w:szCs w:val="20"/>
          <w:lang w:val="es-ES" w:eastAsia="es-ES"/>
        </w:rPr>
      </w:pPr>
    </w:p>
    <w:p w14:paraId="32A1C35C" w14:textId="77777777" w:rsidR="004C63A3" w:rsidRPr="00206556" w:rsidRDefault="004C63A3" w:rsidP="004C63A3">
      <w:pPr>
        <w:spacing w:after="0" w:line="276" w:lineRule="auto"/>
        <w:jc w:val="both"/>
        <w:rPr>
          <w:rFonts w:ascii="Verdana" w:eastAsia="Calibri" w:hAnsi="Verdana" w:cs="Arial"/>
          <w:color w:val="ED7D31" w:themeColor="accent2"/>
          <w:lang w:val="es-ES" w:eastAsia="es-ES"/>
        </w:rPr>
      </w:pPr>
    </w:p>
    <w:p w14:paraId="02D05D0B" w14:textId="0DB7D925" w:rsidR="004C63A3" w:rsidRPr="00206556" w:rsidRDefault="004C63A3" w:rsidP="004C63A3">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sidR="00637A69">
        <w:rPr>
          <w:rFonts w:ascii="Verdana" w:eastAsia="Calibri" w:hAnsi="Verdana" w:cs="Arial"/>
          <w:lang w:val="es-ES" w:eastAsia="es-ES"/>
        </w:rPr>
        <w:t>o</w:t>
      </w:r>
      <w:r w:rsidRPr="006A7B59">
        <w:rPr>
          <w:rFonts w:ascii="Verdana" w:eastAsia="Calibri" w:hAnsi="Verdana" w:cs="Arial"/>
          <w:lang w:val="es-ES" w:eastAsia="es-ES"/>
        </w:rPr>
        <w:t xml:space="preserve"> Señor</w:t>
      </w:r>
      <w:r w:rsidR="00637A69">
        <w:rPr>
          <w:rFonts w:ascii="Verdana" w:eastAsia="Calibri" w:hAnsi="Verdana" w:cs="Arial"/>
          <w:lang w:val="es-ES" w:eastAsia="es-ES"/>
        </w:rPr>
        <w:t xml:space="preserve"> </w:t>
      </w:r>
      <w:r w:rsidR="00637A69" w:rsidRPr="00637A69">
        <w:rPr>
          <w:rFonts w:ascii="Verdana" w:eastAsia="Calibri" w:hAnsi="Verdana" w:cs="Arial"/>
          <w:lang w:val="es-ES" w:eastAsia="es-ES"/>
        </w:rPr>
        <w:t>Bazzani</w:t>
      </w:r>
      <w:r w:rsidRPr="006A7B59">
        <w:rPr>
          <w:rFonts w:ascii="Verdana" w:eastAsia="Calibri" w:hAnsi="Verdana" w:cs="Arial"/>
          <w:lang w:val="es-ES" w:eastAsia="es-ES"/>
        </w:rPr>
        <w:t>,</w:t>
      </w:r>
    </w:p>
    <w:p w14:paraId="0E8E2074" w14:textId="77777777" w:rsidR="004C63A3" w:rsidRPr="00206556" w:rsidRDefault="004C63A3" w:rsidP="004C63A3">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7D7FB11F" w14:textId="29A2FAC9" w:rsidR="004C63A3" w:rsidRPr="00206556" w:rsidRDefault="004C63A3" w:rsidP="004C63A3">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 xml:space="preserve">consulta de fecha </w:t>
      </w:r>
      <w:r w:rsidR="00797896">
        <w:rPr>
          <w:rFonts w:ascii="Verdana" w:eastAsia="Calibri" w:hAnsi="Verdana" w:cs="Arial"/>
          <w:lang w:val="es-ES" w:eastAsia="es-ES"/>
        </w:rPr>
        <w:t>21</w:t>
      </w:r>
      <w:r w:rsidRPr="00FB46F9">
        <w:rPr>
          <w:rFonts w:ascii="Verdana" w:eastAsia="Calibri" w:hAnsi="Verdana" w:cs="Arial"/>
          <w:lang w:val="es-ES" w:eastAsia="es-ES"/>
        </w:rPr>
        <w:t xml:space="preserve"> de </w:t>
      </w:r>
      <w:r w:rsidR="00CB08B2">
        <w:rPr>
          <w:rFonts w:ascii="Verdana" w:eastAsia="Calibri" w:hAnsi="Verdana" w:cs="Arial"/>
          <w:lang w:val="es-ES" w:eastAsia="es-ES"/>
        </w:rPr>
        <w:t>abril</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26BADED6" w14:textId="77777777" w:rsidR="004C63A3" w:rsidRDefault="004C63A3" w:rsidP="004C63A3">
      <w:pPr>
        <w:spacing w:before="120" w:after="120" w:line="240" w:lineRule="auto"/>
        <w:ind w:right="709"/>
        <w:contextualSpacing/>
        <w:jc w:val="both"/>
        <w:rPr>
          <w:rFonts w:ascii="Verdana" w:eastAsia="Century Gothic" w:hAnsi="Verdana" w:cs="Century Gothic"/>
          <w:i/>
          <w:iCs/>
          <w:sz w:val="20"/>
          <w:szCs w:val="20"/>
          <w:lang w:val="es-ES"/>
        </w:rPr>
      </w:pPr>
    </w:p>
    <w:p w14:paraId="26277C51" w14:textId="77777777" w:rsidR="006A2ABF" w:rsidRPr="006A2ABF" w:rsidRDefault="006A2ABF" w:rsidP="006A2ABF">
      <w:pPr>
        <w:spacing w:before="120" w:after="120" w:line="240" w:lineRule="auto"/>
        <w:ind w:left="709" w:right="709"/>
        <w:contextualSpacing/>
        <w:jc w:val="both"/>
        <w:rPr>
          <w:rFonts w:ascii="Verdana" w:eastAsia="Century Gothic" w:hAnsi="Verdana" w:cs="Century Gothic"/>
          <w:i/>
          <w:sz w:val="20"/>
          <w:szCs w:val="20"/>
          <w:lang w:val="es-ES"/>
        </w:rPr>
      </w:pPr>
      <w:r w:rsidRPr="006A2ABF">
        <w:rPr>
          <w:rFonts w:ascii="Verdana" w:eastAsia="Century Gothic" w:hAnsi="Verdana" w:cs="Century Gothic"/>
          <w:i/>
          <w:sz w:val="20"/>
          <w:szCs w:val="20"/>
          <w:lang w:val="es-ES"/>
        </w:rPr>
        <w:t>Respecto al Decreto 0287 de 2026, solicito aclarar las siguientes inquietudes:</w:t>
      </w:r>
    </w:p>
    <w:p w14:paraId="53D8EA05" w14:textId="77777777" w:rsidR="006A2ABF" w:rsidRPr="006A2ABF" w:rsidRDefault="006A2ABF" w:rsidP="006A2ABF">
      <w:pPr>
        <w:spacing w:before="120" w:after="120" w:line="240" w:lineRule="auto"/>
        <w:ind w:left="709" w:right="709"/>
        <w:contextualSpacing/>
        <w:jc w:val="both"/>
        <w:rPr>
          <w:rFonts w:ascii="Verdana" w:eastAsia="Century Gothic" w:hAnsi="Verdana" w:cs="Century Gothic"/>
          <w:i/>
          <w:sz w:val="20"/>
          <w:szCs w:val="20"/>
          <w:lang w:val="es-ES"/>
        </w:rPr>
      </w:pPr>
    </w:p>
    <w:p w14:paraId="43969D4E" w14:textId="77777777" w:rsidR="006A2ABF" w:rsidRPr="006A2ABF" w:rsidRDefault="006A2ABF" w:rsidP="006A2ABF">
      <w:pPr>
        <w:spacing w:before="120" w:after="120" w:line="240" w:lineRule="auto"/>
        <w:ind w:left="709" w:right="709"/>
        <w:contextualSpacing/>
        <w:jc w:val="both"/>
        <w:rPr>
          <w:rFonts w:ascii="Verdana" w:eastAsia="Century Gothic" w:hAnsi="Verdana" w:cs="Century Gothic"/>
          <w:i/>
          <w:sz w:val="20"/>
          <w:szCs w:val="20"/>
          <w:lang w:val="es-ES"/>
        </w:rPr>
      </w:pPr>
      <w:r w:rsidRPr="006A2ABF">
        <w:rPr>
          <w:rFonts w:ascii="Verdana" w:eastAsia="Century Gothic" w:hAnsi="Verdana" w:cs="Century Gothic"/>
          <w:i/>
          <w:sz w:val="20"/>
          <w:szCs w:val="20"/>
          <w:lang w:val="es-ES"/>
        </w:rPr>
        <w:t>1. ¿Cuál debe ser la antigüedad de las personas en condición de discapacidad vinculadas a las empresas?</w:t>
      </w:r>
    </w:p>
    <w:p w14:paraId="041D8ADD" w14:textId="77777777" w:rsidR="006A2ABF" w:rsidRPr="006A2ABF" w:rsidRDefault="006A2ABF" w:rsidP="006A2ABF">
      <w:pPr>
        <w:spacing w:before="120" w:after="120" w:line="240" w:lineRule="auto"/>
        <w:ind w:left="709" w:right="709"/>
        <w:contextualSpacing/>
        <w:jc w:val="both"/>
        <w:rPr>
          <w:rFonts w:ascii="Verdana" w:eastAsia="Century Gothic" w:hAnsi="Verdana" w:cs="Century Gothic"/>
          <w:i/>
          <w:sz w:val="20"/>
          <w:szCs w:val="20"/>
          <w:lang w:val="es-ES"/>
        </w:rPr>
      </w:pPr>
    </w:p>
    <w:p w14:paraId="40692C00" w14:textId="45C06A58" w:rsidR="001A002B" w:rsidRDefault="006A2ABF" w:rsidP="006A2ABF">
      <w:pPr>
        <w:spacing w:before="120" w:after="120" w:line="240" w:lineRule="auto"/>
        <w:ind w:left="709" w:right="709"/>
        <w:contextualSpacing/>
        <w:jc w:val="both"/>
        <w:rPr>
          <w:rFonts w:ascii="Verdana" w:eastAsia="Century Gothic" w:hAnsi="Verdana" w:cs="Century Gothic"/>
          <w:i/>
          <w:sz w:val="20"/>
          <w:szCs w:val="20"/>
          <w:lang w:val="es-ES"/>
        </w:rPr>
      </w:pPr>
      <w:r w:rsidRPr="006A2ABF">
        <w:rPr>
          <w:rFonts w:ascii="Verdana" w:eastAsia="Century Gothic" w:hAnsi="Verdana" w:cs="Century Gothic"/>
          <w:i/>
          <w:sz w:val="20"/>
          <w:szCs w:val="20"/>
          <w:lang w:val="es-ES"/>
        </w:rPr>
        <w:t>2. ¿Cómo se aplica el Decreto 0287 de 2026 para empresas recién constituidas?</w:t>
      </w:r>
    </w:p>
    <w:p w14:paraId="0887D9AA" w14:textId="77777777" w:rsidR="006125FC" w:rsidRPr="00206556" w:rsidRDefault="006125FC" w:rsidP="006125FC">
      <w:pPr>
        <w:spacing w:before="120" w:after="120" w:line="240" w:lineRule="auto"/>
        <w:ind w:left="709" w:right="709"/>
        <w:contextualSpacing/>
        <w:jc w:val="both"/>
        <w:rPr>
          <w:rFonts w:ascii="Verdana" w:eastAsia="Century Gothic" w:hAnsi="Verdana" w:cs="Century Gothic"/>
          <w:i/>
          <w:iCs/>
          <w:sz w:val="20"/>
          <w:szCs w:val="20"/>
          <w:lang w:val="es-ES"/>
        </w:rPr>
      </w:pPr>
    </w:p>
    <w:p w14:paraId="168D273C" w14:textId="6BA2920E" w:rsidR="004C63A3" w:rsidRPr="00206556" w:rsidRDefault="004C63A3" w:rsidP="004C63A3">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CD661D">
        <w:rPr>
          <w:rFonts w:ascii="Verdana" w:eastAsia="Calibri" w:hAnsi="Verdana" w:cs="Arial"/>
          <w:lang w:val="es-ES" w:eastAsia="es-ES"/>
        </w:rPr>
        <w:t xml:space="preserve">la Agencia Nacional de Contratación Pública - </w:t>
      </w:r>
      <w:r w:rsidRPr="00206556">
        <w:rPr>
          <w:rFonts w:ascii="Verdana" w:eastAsia="Calibri" w:hAnsi="Verdana" w:cs="Arial"/>
          <w:lang w:val="es-ES" w:eastAsia="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4026E1E4" w14:textId="77777777" w:rsidR="004C63A3" w:rsidRPr="00206556" w:rsidRDefault="004C63A3" w:rsidP="004C63A3">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 xml:space="preserve">los </w:t>
      </w:r>
      <w:r w:rsidRPr="00206556">
        <w:rPr>
          <w:rFonts w:ascii="Verdana" w:eastAsia="Calibri" w:hAnsi="Verdana" w:cs="Arial"/>
          <w:lang w:val="es-ES" w:eastAsia="es-ES"/>
        </w:rPr>
        <w:t>problema</w:t>
      </w:r>
      <w:r>
        <w:rPr>
          <w:rFonts w:ascii="Verdana" w:eastAsia="Calibri" w:hAnsi="Verdana" w:cs="Arial"/>
          <w:lang w:val="es-ES" w:eastAsia="es-ES"/>
        </w:rPr>
        <w:t>s</w:t>
      </w:r>
      <w:r w:rsidRPr="00206556">
        <w:rPr>
          <w:rFonts w:ascii="Verdana" w:eastAsia="Calibri" w:hAnsi="Verdana" w:cs="Arial"/>
          <w:lang w:val="es-ES" w:eastAsia="es-ES"/>
        </w:rPr>
        <w:t xml:space="preserve"> jurídico</w:t>
      </w:r>
      <w:r>
        <w:rPr>
          <w:rFonts w:ascii="Verdana" w:eastAsia="Calibri" w:hAnsi="Verdana" w:cs="Arial"/>
          <w:lang w:val="es-ES" w:eastAsia="es-ES"/>
        </w:rPr>
        <w:t>s</w:t>
      </w:r>
      <w:r w:rsidRPr="00206556">
        <w:rPr>
          <w:rFonts w:ascii="Verdana" w:eastAsia="Calibri" w:hAnsi="Verdana" w:cs="Arial"/>
          <w:lang w:val="es-ES" w:eastAsia="es-ES"/>
        </w:rPr>
        <w:t xml:space="preserve"> de su consulta. </w:t>
      </w:r>
    </w:p>
    <w:p w14:paraId="2EB4D167" w14:textId="77777777" w:rsidR="004C63A3" w:rsidRPr="00206556" w:rsidRDefault="004C63A3" w:rsidP="004C63A3">
      <w:pPr>
        <w:spacing w:after="0" w:line="276" w:lineRule="auto"/>
        <w:ind w:firstLine="709"/>
        <w:jc w:val="both"/>
        <w:rPr>
          <w:rFonts w:ascii="Verdana" w:eastAsia="Calibri" w:hAnsi="Verdana" w:cs="Arial"/>
          <w:lang w:val="es-ES" w:eastAsia="es-ES"/>
        </w:rPr>
      </w:pPr>
    </w:p>
    <w:p w14:paraId="69D233A2" w14:textId="77777777" w:rsidR="004C63A3" w:rsidRPr="00206556" w:rsidRDefault="004C63A3" w:rsidP="004C63A3">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w:t>
      </w:r>
      <w:r>
        <w:rPr>
          <w:rFonts w:ascii="Verdana" w:eastAsia="Century Gothic" w:hAnsi="Verdana" w:cs="Century Gothic"/>
          <w:b/>
          <w:lang w:val="es-ES"/>
        </w:rPr>
        <w:t>s</w:t>
      </w:r>
      <w:r w:rsidRPr="00206556">
        <w:rPr>
          <w:rFonts w:ascii="Verdana" w:eastAsia="Century Gothic" w:hAnsi="Verdana" w:cs="Century Gothic"/>
          <w:b/>
          <w:lang w:val="es-ES"/>
        </w:rPr>
        <w:t xml:space="preserve"> planteado</w:t>
      </w:r>
      <w:r>
        <w:rPr>
          <w:rFonts w:ascii="Verdana" w:eastAsia="Century Gothic" w:hAnsi="Verdana" w:cs="Century Gothic"/>
          <w:b/>
          <w:lang w:val="es-ES"/>
        </w:rPr>
        <w:t>s</w:t>
      </w:r>
      <w:r w:rsidRPr="00206556">
        <w:rPr>
          <w:rFonts w:ascii="Verdana" w:eastAsia="Century Gothic" w:hAnsi="Verdana" w:cs="Century Gothic"/>
          <w:b/>
          <w:lang w:val="es-ES"/>
        </w:rPr>
        <w:t>:</w:t>
      </w:r>
    </w:p>
    <w:p w14:paraId="4013B82D" w14:textId="77777777" w:rsidR="004C63A3" w:rsidRPr="00206556" w:rsidRDefault="004C63A3" w:rsidP="004C63A3">
      <w:pPr>
        <w:tabs>
          <w:tab w:val="left" w:pos="426"/>
        </w:tabs>
        <w:spacing w:after="0" w:line="276" w:lineRule="auto"/>
        <w:jc w:val="both"/>
        <w:rPr>
          <w:rFonts w:ascii="Verdana" w:eastAsia="Century Gothic" w:hAnsi="Verdana" w:cs="Century Gothic"/>
          <w:color w:val="ED7D31" w:themeColor="accent2"/>
          <w:lang w:val="es-ES"/>
        </w:rPr>
      </w:pPr>
    </w:p>
    <w:p w14:paraId="4F8D6685" w14:textId="06EA1F09" w:rsidR="004C63A3" w:rsidRDefault="004C63A3" w:rsidP="004C63A3">
      <w:pPr>
        <w:spacing w:after="0" w:line="276" w:lineRule="auto"/>
        <w:jc w:val="both"/>
        <w:rPr>
          <w:rFonts w:ascii="Verdana" w:eastAsia="Century Gothic" w:hAnsi="Verdana" w:cs="Century Gothic"/>
        </w:rPr>
      </w:pPr>
      <w:r w:rsidRPr="00206556">
        <w:rPr>
          <w:rFonts w:ascii="Verdana" w:eastAsia="Century Gothic" w:hAnsi="Verdana" w:cs="Century Gothic"/>
          <w:lang w:val="es-ES"/>
        </w:rPr>
        <w:t>De acuerdo con el contenido de su solicitud, esta Agencia resolverá l</w:t>
      </w:r>
      <w:r w:rsidR="00FC6937">
        <w:rPr>
          <w:rFonts w:ascii="Verdana" w:eastAsia="Century Gothic" w:hAnsi="Verdana" w:cs="Century Gothic"/>
          <w:lang w:val="es-ES"/>
        </w:rPr>
        <w:t>os</w:t>
      </w:r>
      <w:r w:rsidRPr="00206556">
        <w:rPr>
          <w:rFonts w:ascii="Verdana" w:eastAsia="Century Gothic" w:hAnsi="Verdana" w:cs="Century Gothic"/>
          <w:lang w:val="es-ES"/>
        </w:rPr>
        <w:t xml:space="preserve"> siguiente</w:t>
      </w:r>
      <w:r w:rsidR="00FC6937">
        <w:rPr>
          <w:rFonts w:ascii="Verdana" w:eastAsia="Century Gothic" w:hAnsi="Verdana" w:cs="Century Gothic"/>
          <w:lang w:val="es-ES"/>
        </w:rPr>
        <w:t>s</w:t>
      </w:r>
      <w:r w:rsidRPr="00206556">
        <w:rPr>
          <w:rFonts w:ascii="Verdana" w:eastAsia="Century Gothic" w:hAnsi="Verdana" w:cs="Century Gothic"/>
          <w:lang w:val="es-ES"/>
        </w:rPr>
        <w:t xml:space="preserve"> problema</w:t>
      </w:r>
      <w:r w:rsidR="00FC6937">
        <w:rPr>
          <w:rFonts w:ascii="Verdana" w:eastAsia="Century Gothic" w:hAnsi="Verdana" w:cs="Century Gothic"/>
          <w:lang w:val="es-ES"/>
        </w:rPr>
        <w:t>s</w:t>
      </w:r>
      <w:r w:rsidRPr="00206556">
        <w:rPr>
          <w:rFonts w:ascii="Verdana" w:eastAsia="Century Gothic" w:hAnsi="Verdana" w:cs="Century Gothic"/>
          <w:lang w:val="es-ES"/>
        </w:rPr>
        <w:t xml:space="preserve"> jurídico</w:t>
      </w:r>
      <w:r w:rsidR="00FC6937">
        <w:rPr>
          <w:rFonts w:ascii="Verdana" w:eastAsia="Century Gothic" w:hAnsi="Verdana" w:cs="Century Gothic"/>
          <w:lang w:val="es-ES"/>
        </w:rPr>
        <w:t>s</w:t>
      </w:r>
      <w:r w:rsidRPr="00206556">
        <w:rPr>
          <w:rFonts w:ascii="Verdana" w:eastAsia="Century Gothic" w:hAnsi="Verdana" w:cs="Century Gothic"/>
          <w:lang w:val="es-ES"/>
        </w:rPr>
        <w:t xml:space="preserve">: </w:t>
      </w:r>
      <w:r>
        <w:rPr>
          <w:rFonts w:ascii="Verdana" w:eastAsia="Century Gothic" w:hAnsi="Verdana" w:cs="Century Gothic"/>
          <w:lang w:val="es-ES"/>
        </w:rPr>
        <w:t xml:space="preserve">i) </w:t>
      </w:r>
      <w:r w:rsidRPr="00206556">
        <w:rPr>
          <w:rFonts w:ascii="Verdana" w:eastAsia="Century Gothic" w:hAnsi="Verdana" w:cs="Century Gothic"/>
        </w:rPr>
        <w:t>¿</w:t>
      </w:r>
      <w:r w:rsidR="00DA5B3B">
        <w:rPr>
          <w:rFonts w:ascii="Verdana" w:eastAsia="Century Gothic" w:hAnsi="Verdana" w:cs="Century Gothic"/>
        </w:rPr>
        <w:t>Qué</w:t>
      </w:r>
      <w:r w:rsidR="004A4215">
        <w:rPr>
          <w:rFonts w:ascii="Verdana" w:eastAsia="Century Gothic" w:hAnsi="Verdana" w:cs="Century Gothic"/>
        </w:rPr>
        <w:t xml:space="preserve"> certificados </w:t>
      </w:r>
      <w:r w:rsidR="00DA5B3B">
        <w:rPr>
          <w:rFonts w:ascii="Verdana" w:eastAsia="Century Gothic" w:hAnsi="Verdana" w:cs="Century Gothic"/>
        </w:rPr>
        <w:t xml:space="preserve">se requieren </w:t>
      </w:r>
      <w:r w:rsidR="004A4215">
        <w:rPr>
          <w:rFonts w:ascii="Verdana" w:eastAsia="Century Gothic" w:hAnsi="Verdana" w:cs="Century Gothic"/>
        </w:rPr>
        <w:t>para la aplicación</w:t>
      </w:r>
      <w:r>
        <w:rPr>
          <w:rFonts w:ascii="Verdana" w:eastAsia="Century Gothic" w:hAnsi="Verdana" w:cs="Century Gothic"/>
        </w:rPr>
        <w:t xml:space="preserve"> </w:t>
      </w:r>
      <w:r w:rsidR="004A4215">
        <w:rPr>
          <w:rFonts w:ascii="Verdana" w:eastAsia="Century Gothic" w:hAnsi="Verdana" w:cs="Century Gothic"/>
        </w:rPr>
        <w:t>d</w:t>
      </w:r>
      <w:r>
        <w:rPr>
          <w:rFonts w:ascii="Verdana" w:eastAsia="Century Gothic" w:hAnsi="Verdana" w:cs="Century Gothic"/>
        </w:rPr>
        <w:t>el puntaje para empleadores de personas con discapacidad</w:t>
      </w:r>
      <w:r w:rsidRPr="00206556">
        <w:rPr>
          <w:rFonts w:ascii="Verdana" w:eastAsia="Century Gothic" w:hAnsi="Verdana" w:cs="Century Gothic"/>
        </w:rPr>
        <w:t>?</w:t>
      </w:r>
      <w:r w:rsidR="00E34816">
        <w:rPr>
          <w:rFonts w:ascii="Verdana" w:eastAsia="Century Gothic" w:hAnsi="Verdana" w:cs="Century Gothic"/>
        </w:rPr>
        <w:t>,</w:t>
      </w:r>
      <w:r w:rsidR="009E00D1">
        <w:rPr>
          <w:rFonts w:ascii="Verdana" w:eastAsia="Century Gothic" w:hAnsi="Verdana" w:cs="Century Gothic"/>
        </w:rPr>
        <w:t xml:space="preserve"> y</w:t>
      </w:r>
      <w:r w:rsidR="00E34816">
        <w:rPr>
          <w:rFonts w:ascii="Verdana" w:eastAsia="Century Gothic" w:hAnsi="Verdana" w:cs="Century Gothic"/>
        </w:rPr>
        <w:t xml:space="preserve"> </w:t>
      </w:r>
      <w:proofErr w:type="spellStart"/>
      <w:r w:rsidR="00E34816">
        <w:rPr>
          <w:rFonts w:ascii="Verdana" w:eastAsia="Century Gothic" w:hAnsi="Verdana" w:cs="Century Gothic"/>
        </w:rPr>
        <w:t>i</w:t>
      </w:r>
      <w:r w:rsidR="00312A08">
        <w:rPr>
          <w:rFonts w:ascii="Verdana" w:eastAsia="Century Gothic" w:hAnsi="Verdana" w:cs="Century Gothic"/>
        </w:rPr>
        <w:t>i</w:t>
      </w:r>
      <w:proofErr w:type="spellEnd"/>
      <w:r w:rsidR="00312A08">
        <w:rPr>
          <w:rFonts w:ascii="Verdana" w:eastAsia="Century Gothic" w:hAnsi="Verdana" w:cs="Century Gothic"/>
        </w:rPr>
        <w:t xml:space="preserve">) ¿Cómo </w:t>
      </w:r>
      <w:r w:rsidR="009E00D1">
        <w:rPr>
          <w:rFonts w:ascii="Verdana" w:eastAsia="Century Gothic" w:hAnsi="Verdana" w:cs="Century Gothic"/>
        </w:rPr>
        <w:t xml:space="preserve">se aplica el </w:t>
      </w:r>
      <w:r w:rsidR="00312A08">
        <w:rPr>
          <w:rFonts w:ascii="Verdana" w:eastAsia="Century Gothic" w:hAnsi="Verdana" w:cs="Century Gothic"/>
        </w:rPr>
        <w:t>Decreto 287 de 2026</w:t>
      </w:r>
      <w:r w:rsidR="009E00D1">
        <w:rPr>
          <w:rFonts w:ascii="Verdana" w:eastAsia="Century Gothic" w:hAnsi="Verdana" w:cs="Century Gothic"/>
        </w:rPr>
        <w:t xml:space="preserve"> a empresas nuevas</w:t>
      </w:r>
      <w:r w:rsidR="00312A08">
        <w:rPr>
          <w:rFonts w:ascii="Verdana" w:eastAsia="Century Gothic" w:hAnsi="Verdana" w:cs="Century Gothic"/>
        </w:rPr>
        <w:t>?</w:t>
      </w:r>
    </w:p>
    <w:p w14:paraId="7EA2E3CA" w14:textId="77777777" w:rsidR="004C63A3" w:rsidRPr="00206556" w:rsidRDefault="004C63A3" w:rsidP="004C63A3">
      <w:pPr>
        <w:spacing w:after="0" w:line="276" w:lineRule="auto"/>
        <w:jc w:val="both"/>
        <w:rPr>
          <w:rFonts w:ascii="Verdana" w:eastAsia="Century Gothic" w:hAnsi="Verdana" w:cs="Century Gothic"/>
          <w:color w:val="ED7D31" w:themeColor="accent2"/>
        </w:rPr>
      </w:pPr>
    </w:p>
    <w:p w14:paraId="4A09B6AA"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r>
        <w:rPr>
          <w:rFonts w:ascii="Verdana" w:eastAsia="Century Gothic" w:hAnsi="Verdana" w:cs="Century Gothic"/>
          <w:b/>
          <w:lang w:val="es-ES"/>
        </w:rPr>
        <w:t>s</w:t>
      </w:r>
      <w:r w:rsidRPr="00206556">
        <w:rPr>
          <w:rFonts w:ascii="Verdana" w:eastAsia="Century Gothic" w:hAnsi="Verdana" w:cs="Century Gothic"/>
          <w:b/>
          <w:lang w:val="es-ES"/>
        </w:rPr>
        <w:t>:</w:t>
      </w:r>
    </w:p>
    <w:p w14:paraId="71B18261"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63A3" w:rsidRPr="00206556" w14:paraId="466A1F71" w14:textId="77777777" w:rsidTr="000A6384">
        <w:tc>
          <w:tcPr>
            <w:tcW w:w="8828" w:type="dxa"/>
          </w:tcPr>
          <w:p w14:paraId="321BAB19" w14:textId="03115B00" w:rsidR="00E16E74" w:rsidRDefault="004C63A3" w:rsidP="00E16E74">
            <w:pPr>
              <w:spacing w:after="120" w:line="276" w:lineRule="auto"/>
              <w:jc w:val="both"/>
              <w:rPr>
                <w:rFonts w:ascii="Verdana" w:eastAsia="Calibri" w:hAnsi="Verdana" w:cs="Arial"/>
              </w:rPr>
            </w:pPr>
            <w:r>
              <w:rPr>
                <w:rFonts w:ascii="Verdana" w:eastAsia="Calibri" w:hAnsi="Verdana" w:cs="Arial"/>
              </w:rPr>
              <w:lastRenderedPageBreak/>
              <w:t>i) En atención al problema jurídico planteado</w:t>
            </w:r>
            <w:r w:rsidR="00221F73">
              <w:rPr>
                <w:rFonts w:ascii="Verdana" w:eastAsia="Calibri" w:hAnsi="Verdana" w:cs="Arial"/>
              </w:rPr>
              <w:t xml:space="preserve">, </w:t>
            </w:r>
            <w:r>
              <w:rPr>
                <w:rFonts w:ascii="Verdana" w:eastAsia="Calibri" w:hAnsi="Verdana" w:cs="Arial"/>
              </w:rPr>
              <w:t>es necesario indicar que e</w:t>
            </w:r>
            <w:r w:rsidR="00221F73">
              <w:rPr>
                <w:rFonts w:ascii="Verdana" w:eastAsia="Calibri" w:hAnsi="Verdana" w:cs="Arial"/>
              </w:rPr>
              <w:t>l Decreto 287 de 2026</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1618 de 2013, acción que fue ordenada por el Consejo de Estado, Sección Quinta de la Sala de lo Contencioso Administrativo, 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w:t>
            </w:r>
          </w:p>
          <w:p w14:paraId="41E3AF49" w14:textId="48E00D56" w:rsidR="004C63A3" w:rsidRDefault="004C63A3" w:rsidP="005A72BA">
            <w:pPr>
              <w:spacing w:after="120" w:line="276" w:lineRule="auto"/>
              <w:ind w:firstLine="709"/>
              <w:jc w:val="both"/>
              <w:rPr>
                <w:rFonts w:ascii="Verdana" w:eastAsia="Calibri" w:hAnsi="Verdana" w:cs="Arial"/>
              </w:rPr>
            </w:pPr>
            <w:r w:rsidRPr="00073658">
              <w:rPr>
                <w:rFonts w:ascii="Verdana" w:eastAsia="Calibri" w:hAnsi="Verdana" w:cs="Arial"/>
              </w:rPr>
              <w:t xml:space="preserve">Este sistema está compuesto por cinco medidas: herramientas de planeación para procesos inclusivos, criterios habilitantes diferenciales, puntaje adicional del </w:t>
            </w:r>
            <w:r w:rsidR="002B5A42">
              <w:rPr>
                <w:rFonts w:ascii="Verdana" w:eastAsia="Calibri" w:hAnsi="Verdana" w:cs="Arial"/>
              </w:rPr>
              <w:t>dos por ciento (</w:t>
            </w:r>
            <w:r w:rsidRPr="00073658">
              <w:rPr>
                <w:rFonts w:ascii="Verdana" w:eastAsia="Calibri" w:hAnsi="Verdana" w:cs="Arial"/>
              </w:rPr>
              <w:t>2%</w:t>
            </w:r>
            <w:r w:rsidR="002B5A42">
              <w:rPr>
                <w:rFonts w:ascii="Verdana" w:eastAsia="Calibri" w:hAnsi="Verdana" w:cs="Arial"/>
              </w:rPr>
              <w:t>)</w:t>
            </w:r>
            <w:r w:rsidRPr="00073658">
              <w:rPr>
                <w:rFonts w:ascii="Verdana" w:eastAsia="Calibri" w:hAnsi="Verdana" w:cs="Arial"/>
              </w:rPr>
              <w:t>,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56C85AA9" w14:textId="77777777" w:rsidR="004C63A3" w:rsidRDefault="004C63A3" w:rsidP="000A6384">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Pr>
                <w:rFonts w:ascii="Verdana" w:eastAsia="Calibri" w:hAnsi="Verdana" w:cs="Arial"/>
              </w:rPr>
              <w:t xml:space="preserve">Estos sujetos no tienen en cuenta el género, es decir si son PcD </w:t>
            </w:r>
            <w:r>
              <w:rPr>
                <w:rFonts w:ascii="Verdana" w:eastAsia="Calibri" w:hAnsi="Verdana" w:cs="Arial"/>
              </w:rPr>
              <w:lastRenderedPageBreak/>
              <w:t>hombres o mujeres, por lo que la definición es aplicable independientemente del género de la PcD y no afecta las medidas afirmativas a aplicar. Por otra parte, c</w:t>
            </w:r>
            <w:r w:rsidRPr="00073658">
              <w:rPr>
                <w:rFonts w:ascii="Verdana" w:eastAsia="Calibri" w:hAnsi="Verdana" w:cs="Arial"/>
              </w:rPr>
              <w:t>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7B908A8B" w14:textId="1332B0D7" w:rsidR="004C63A3" w:rsidRDefault="004C63A3" w:rsidP="008020FA">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El artículo 2.2.1.2.4.2.7.4. del Decreto 0287 de 2026 es explícito al disponer que, aunque el proponente acredite simultáneamente ser emprendimiento o empresa de PcD y ser empleador de PcD, el puntaje máximo a otorgar por este criterio es siempre el 2% del total de los puntos del pliego, sin que las condiciones acreditadas sean sumables para efectos de la evaluación de la 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65C72557" w14:textId="787A355D" w:rsidR="00B36E66" w:rsidRDefault="004C63A3" w:rsidP="000A6384">
            <w:pPr>
              <w:spacing w:before="120" w:after="120" w:line="276" w:lineRule="auto"/>
              <w:ind w:firstLine="709"/>
              <w:jc w:val="both"/>
              <w:rPr>
                <w:rFonts w:ascii="Verdana" w:eastAsia="Calibri" w:hAnsi="Verdana" w:cs="Arial"/>
              </w:rPr>
            </w:pPr>
            <w:r>
              <w:rPr>
                <w:rFonts w:ascii="Verdana" w:eastAsia="Calibri" w:hAnsi="Verdana" w:cs="Arial"/>
              </w:rPr>
              <w:t xml:space="preserve">Ahora bien, la documentación para la acreditación de las condiciones bajo las cuales se otorga </w:t>
            </w:r>
            <w:r w:rsidRPr="00073658">
              <w:rPr>
                <w:rFonts w:ascii="Verdana" w:eastAsia="Calibri" w:hAnsi="Verdana" w:cs="Arial"/>
              </w:rPr>
              <w:t>el puntaje</w:t>
            </w:r>
            <w:r>
              <w:rPr>
                <w:rFonts w:ascii="Verdana" w:eastAsia="Calibri" w:hAnsi="Verdana" w:cs="Arial"/>
              </w:rPr>
              <w:t xml:space="preserve"> depende del sujeto de que se trate,</w:t>
            </w:r>
            <w:r w:rsidR="00C85047">
              <w:rPr>
                <w:rFonts w:ascii="Verdana" w:eastAsia="Calibri" w:hAnsi="Verdana" w:cs="Arial"/>
              </w:rPr>
              <w:t xml:space="preserve"> y</w:t>
            </w:r>
            <w:r w:rsidR="007327C3">
              <w:rPr>
                <w:rFonts w:ascii="Verdana" w:eastAsia="Calibri" w:hAnsi="Verdana" w:cs="Arial"/>
              </w:rPr>
              <w:t xml:space="preserve"> teniendo en cuenta su consulta,</w:t>
            </w:r>
            <w:r w:rsidRPr="00073658">
              <w:rPr>
                <w:rFonts w:ascii="Verdana" w:eastAsia="Calibri" w:hAnsi="Verdana" w:cs="Arial"/>
              </w:rPr>
              <w:t xml:space="preserve"> en la condición de empleador de PcD</w:t>
            </w:r>
            <w:r>
              <w:rPr>
                <w:rFonts w:ascii="Verdana" w:eastAsia="Calibri" w:hAnsi="Verdana" w:cs="Arial"/>
              </w:rPr>
              <w:t>, los documentos están dispuestos en el artículo 2.2.1.2.4.2.7.4 el cual</w:t>
            </w:r>
            <w:r w:rsidRPr="00073658">
              <w:rPr>
                <w:rFonts w:ascii="Verdana" w:eastAsia="Calibri" w:hAnsi="Verdana" w:cs="Arial"/>
              </w:rPr>
              <w:t xml:space="preserve"> exige</w:t>
            </w:r>
            <w:r w:rsidR="00B36E66">
              <w:rPr>
                <w:rFonts w:ascii="Verdana" w:eastAsia="Calibri" w:hAnsi="Verdana" w:cs="Arial"/>
              </w:rPr>
              <w:t>:</w:t>
            </w:r>
          </w:p>
          <w:p w14:paraId="788CA8F4" w14:textId="77777777" w:rsidR="00415D53" w:rsidRPr="00AB7BF7" w:rsidRDefault="00415D53" w:rsidP="008B41F3">
            <w:pPr>
              <w:spacing w:before="100" w:after="180"/>
              <w:ind w:left="709" w:right="709"/>
              <w:jc w:val="both"/>
              <w:rPr>
                <w:rFonts w:ascii="Verdana" w:eastAsia="Times New Roman" w:hAnsi="Verdana" w:cs="Times New Roman"/>
                <w:i/>
                <w:iCs/>
                <w:sz w:val="21"/>
                <w:szCs w:val="21"/>
              </w:rPr>
            </w:pPr>
            <w:r w:rsidRPr="00AB7BF7">
              <w:rPr>
                <w:rFonts w:ascii="Verdana" w:eastAsia="Times New Roman" w:hAnsi="Verdana" w:cs="Times New Roman"/>
                <w:i/>
                <w:iCs/>
                <w:sz w:val="21"/>
                <w:szCs w:val="21"/>
              </w:rPr>
              <w:t xml:space="preserve">- Certificación expedida con una antelación no mayor a treinta (30) días calendario respecto a la fecha de presentación de la oferta, suscrita por el representante legal del proponente y el revisor fiscal, cuando exista de acuerdo con los requerimientos de ley, o el contador, en la que conste el número de personas con discapacidad que conforman su planta de personal. La certificación deberá relacionar el nombre completo y el número de documento de identidad de cada una de las personas con discapacidad. Como soporte, se anexará copia de los respectivos documentos de identidad, copia de los contratos de trabajo o certificación laboral con las funciones, sin que se puedan relacionar contratos de prestación de servicios, así como el certificado de aportes a seguridad social de los últimas tres (3) meses en el que se demuestren los pagos realizados por el empleador, y el certificado </w:t>
            </w:r>
            <w:r w:rsidRPr="00AB7BF7">
              <w:rPr>
                <w:rFonts w:ascii="Verdana" w:eastAsia="Times New Roman" w:hAnsi="Verdana" w:cs="Times New Roman"/>
                <w:i/>
                <w:iCs/>
                <w:sz w:val="21"/>
                <w:szCs w:val="21"/>
              </w:rPr>
              <w:lastRenderedPageBreak/>
              <w:t>de discapacidad expedido conforme a la normativa vigente del Ministerio de Salud y Protección Social.</w:t>
            </w:r>
          </w:p>
          <w:p w14:paraId="2C5CFB5B" w14:textId="2CEBF9FD" w:rsidR="00415D53" w:rsidRPr="00AB7BF7" w:rsidRDefault="00415D53" w:rsidP="008B41F3">
            <w:pPr>
              <w:spacing w:before="100" w:after="180"/>
              <w:ind w:left="709" w:right="709"/>
              <w:jc w:val="both"/>
              <w:rPr>
                <w:rFonts w:ascii="Verdana" w:eastAsia="Times New Roman" w:hAnsi="Verdana" w:cs="Times New Roman"/>
                <w:i/>
                <w:iCs/>
                <w:sz w:val="21"/>
                <w:szCs w:val="21"/>
              </w:rPr>
            </w:pPr>
            <w:r w:rsidRPr="00AB7BF7">
              <w:rPr>
                <w:rFonts w:ascii="Verdana" w:eastAsia="Times New Roman" w:hAnsi="Verdana" w:cs="Times New Roman"/>
                <w:i/>
                <w:iCs/>
                <w:sz w:val="21"/>
                <w:szCs w:val="21"/>
              </w:rPr>
              <w:t>- También, esta verificación se hará con el certificado que para el efecto expide el Ministerio de Trabajo y la entidad estatal contratante verificará la vigencia de dicha certificación, de conformidad con la normativa aplicable.</w:t>
            </w:r>
          </w:p>
          <w:p w14:paraId="0C425BC2" w14:textId="0D94C78F" w:rsidR="003D12E9" w:rsidRDefault="000D7A78" w:rsidP="001E7F1A">
            <w:pPr>
              <w:spacing w:before="120" w:after="120" w:line="276" w:lineRule="auto"/>
              <w:ind w:firstLine="709"/>
              <w:jc w:val="both"/>
              <w:rPr>
                <w:rFonts w:ascii="Verdana" w:eastAsia="Calibri" w:hAnsi="Verdana" w:cs="Arial"/>
              </w:rPr>
            </w:pPr>
            <w:r>
              <w:rPr>
                <w:rFonts w:ascii="Verdana" w:eastAsia="Calibri" w:hAnsi="Verdana" w:cs="Arial"/>
              </w:rPr>
              <w:t>E</w:t>
            </w:r>
            <w:r w:rsidR="003A4AA0" w:rsidRPr="00073658">
              <w:rPr>
                <w:rFonts w:ascii="Verdana" w:eastAsia="Calibri" w:hAnsi="Verdana" w:cs="Arial"/>
              </w:rPr>
              <w:t xml:space="preserve">n la condición de empleador de </w:t>
            </w:r>
            <w:r>
              <w:rPr>
                <w:rFonts w:ascii="Verdana" w:eastAsia="Calibri" w:hAnsi="Verdana" w:cs="Arial"/>
              </w:rPr>
              <w:t>personas con discapacidad</w:t>
            </w:r>
            <w:r w:rsidR="003A4AA0">
              <w:rPr>
                <w:rFonts w:ascii="Verdana" w:eastAsia="Calibri" w:hAnsi="Verdana" w:cs="Arial"/>
              </w:rPr>
              <w:t>, el artículo 2.2.1.2.4.2.7.4</w:t>
            </w:r>
            <w:r>
              <w:rPr>
                <w:rFonts w:ascii="Verdana" w:eastAsia="Calibri" w:hAnsi="Verdana" w:cs="Arial"/>
              </w:rPr>
              <w:t xml:space="preserve"> </w:t>
            </w:r>
            <w:r w:rsidR="003A4AA0" w:rsidRPr="00073658">
              <w:rPr>
                <w:rFonts w:ascii="Verdana" w:eastAsia="Calibri" w:hAnsi="Verdana" w:cs="Arial"/>
              </w:rPr>
              <w:t>exige, entre otros documentos, los certificados de aportes a seguridad social de los tres (3) meses anteriores a la presentación de la oferta respecto de cada PcD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PcD cuyas planillas no alcancen ese período, pudiendo el proponente acreditar el puntaje con base en las PcD que sí cumplen el requisito temporal y participar en el proceso sin el puntaje en caso de no alcanzar ninguna.</w:t>
            </w:r>
            <w:r w:rsidR="003A4AA0">
              <w:rPr>
                <w:rFonts w:ascii="Verdana" w:eastAsia="Calibri" w:hAnsi="Verdana" w:cs="Arial"/>
              </w:rPr>
              <w:t xml:space="preserve"> El término de tres (3) </w:t>
            </w:r>
            <w:proofErr w:type="gramStart"/>
            <w:r w:rsidR="003A4AA0">
              <w:rPr>
                <w:rFonts w:ascii="Verdana" w:eastAsia="Calibri" w:hAnsi="Verdana" w:cs="Arial"/>
              </w:rPr>
              <w:t>meses aquí mencionado</w:t>
            </w:r>
            <w:proofErr w:type="gramEnd"/>
            <w:r w:rsidR="00821910">
              <w:rPr>
                <w:rFonts w:ascii="Verdana" w:eastAsia="Calibri" w:hAnsi="Verdana" w:cs="Arial"/>
              </w:rPr>
              <w:t>, durante el cual deben estar previamente vinculadas las personas con discapacidad,</w:t>
            </w:r>
            <w:r w:rsidR="003A4AA0">
              <w:rPr>
                <w:rFonts w:ascii="Verdana" w:eastAsia="Calibri" w:hAnsi="Verdana" w:cs="Arial"/>
              </w:rPr>
              <w:t xml:space="preserve"> es diferente al término de un (1) año mencionado en el artículo 2.2.1.2.4.2.6 respecto de los emprendimientos y empresas de PcD.</w:t>
            </w:r>
          </w:p>
          <w:p w14:paraId="0518B122" w14:textId="77777777" w:rsidR="00F80676" w:rsidRDefault="00C137DA" w:rsidP="001E7F1A">
            <w:pPr>
              <w:spacing w:before="120" w:after="120" w:line="276" w:lineRule="auto"/>
              <w:ind w:firstLine="709"/>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E</w:t>
            </w:r>
            <w:r w:rsidR="00F80676">
              <w:rPr>
                <w:rFonts w:ascii="Verdana" w:eastAsia="Calibri" w:hAnsi="Verdana" w:cs="Arial"/>
              </w:rPr>
              <w:t xml:space="preserve">s importante precisar que </w:t>
            </w:r>
            <w:r w:rsidR="00AD5671">
              <w:rPr>
                <w:rFonts w:ascii="Verdana" w:eastAsia="Calibri" w:hAnsi="Verdana" w:cs="Arial"/>
              </w:rPr>
              <w:t>las medidas del Decreto 287 de 2026 buscan</w:t>
            </w:r>
            <w:r w:rsidR="00B54ACA">
              <w:rPr>
                <w:rFonts w:ascii="Verdana" w:eastAsia="Calibri" w:hAnsi="Verdana" w:cs="Arial"/>
              </w:rPr>
              <w:t xml:space="preserve"> evitar la mercantilización de las personas con discapacidad y/o que sean utilizadas para la obtención de beneficios, en ese sentido, el decreto es compatible con</w:t>
            </w:r>
            <w:r w:rsidR="00673FDE">
              <w:rPr>
                <w:rFonts w:ascii="Verdana" w:eastAsia="Calibri" w:hAnsi="Verdana" w:cs="Arial"/>
              </w:rPr>
              <w:t xml:space="preserve"> el derecho de estas personas a una inclusión real que no busque la obtención de un puntaje, sino el beneficio de contar con sus capacidades en el desarrollo de las actividades de una empresa.</w:t>
            </w:r>
            <w:r w:rsidR="00090870">
              <w:rPr>
                <w:rFonts w:ascii="Verdana" w:eastAsia="Calibri" w:hAnsi="Verdana" w:cs="Arial"/>
              </w:rPr>
              <w:t xml:space="preserve"> Por tanto, la inclusión que busca el Decreto 287 de 2026, es respecto de las personas con discapacidad y no de las empresas que las contratan, cambiando el paradigma de que las personas con discapacidad deben actuar a través de intermediarios, por lo que ahora los beneficios son directos, sin que en ningún caso se establezcan barreras para los proponentes.</w:t>
            </w:r>
            <w:r w:rsidR="00673FDE">
              <w:rPr>
                <w:rFonts w:ascii="Verdana" w:eastAsia="Calibri" w:hAnsi="Verdana" w:cs="Arial"/>
              </w:rPr>
              <w:t xml:space="preserve"> </w:t>
            </w:r>
            <w:r w:rsidR="00090870">
              <w:rPr>
                <w:rFonts w:ascii="Verdana" w:eastAsia="Calibri" w:hAnsi="Verdana" w:cs="Arial"/>
              </w:rPr>
              <w:t>Esto</w:t>
            </w:r>
            <w:r w:rsidR="00673FDE">
              <w:rPr>
                <w:rFonts w:ascii="Verdana" w:eastAsia="Calibri" w:hAnsi="Verdana" w:cs="Arial"/>
              </w:rPr>
              <w:t>, de acuerdo con lo establecido en el concepto de abogacía de la competencia de la Superintendencia de Industria y Comercio</w:t>
            </w:r>
            <w:r w:rsidR="00697C55">
              <w:rPr>
                <w:rFonts w:ascii="Verdana" w:eastAsia="Calibri" w:hAnsi="Verdana" w:cs="Arial"/>
              </w:rPr>
              <w:t xml:space="preserve"> </w:t>
            </w:r>
            <w:r w:rsidR="00532662">
              <w:rPr>
                <w:rFonts w:ascii="Verdana" w:eastAsia="Calibri" w:hAnsi="Verdana" w:cs="Arial"/>
              </w:rPr>
              <w:t>que,</w:t>
            </w:r>
            <w:r w:rsidR="00673FDE">
              <w:rPr>
                <w:rFonts w:ascii="Verdana" w:eastAsia="Calibri" w:hAnsi="Verdana" w:cs="Arial"/>
              </w:rPr>
              <w:t xml:space="preserve"> para que el decreto fuera compatible con los principios de selección objetiva y libre competencia y concurrencia, solicitó que la memoria justificativa fuera clara en que </w:t>
            </w:r>
            <w:r w:rsidR="00651584">
              <w:rPr>
                <w:rFonts w:ascii="Verdana" w:eastAsia="Calibri" w:hAnsi="Verdana" w:cs="Arial"/>
              </w:rPr>
              <w:t xml:space="preserve">el puntaje no es de obligatoria </w:t>
            </w:r>
            <w:r w:rsidR="00651584">
              <w:rPr>
                <w:rFonts w:ascii="Verdana" w:eastAsia="Calibri" w:hAnsi="Verdana" w:cs="Arial"/>
              </w:rPr>
              <w:lastRenderedPageBreak/>
              <w:t>obtención, por lo que los proponentes pueden participar sin el puntaje</w:t>
            </w:r>
            <w:r w:rsidR="00353D6F">
              <w:rPr>
                <w:rFonts w:ascii="Verdana" w:eastAsia="Calibri" w:hAnsi="Verdana" w:cs="Arial"/>
              </w:rPr>
              <w:t xml:space="preserve"> en caso de que no cuenten con la vinculación de personas con discapacidad.</w:t>
            </w:r>
          </w:p>
          <w:p w14:paraId="14BB00D5" w14:textId="5C71359D" w:rsidR="00E774E5" w:rsidRDefault="00E774E5" w:rsidP="001E7F1A">
            <w:pPr>
              <w:spacing w:before="120" w:after="120" w:line="276" w:lineRule="auto"/>
              <w:ind w:firstLine="709"/>
              <w:jc w:val="both"/>
              <w:rPr>
                <w:rFonts w:ascii="Verdana" w:eastAsia="Calibri" w:hAnsi="Verdana" w:cs="Arial"/>
              </w:rPr>
            </w:pPr>
            <w:r>
              <w:rPr>
                <w:rFonts w:ascii="Verdana" w:eastAsia="Calibri" w:hAnsi="Verdana" w:cs="Arial"/>
              </w:rPr>
              <w:t>En ese sentido, sobre su pregunta respecto de la aplicación del decreto para las nuevas empresas</w:t>
            </w:r>
            <w:r w:rsidR="000D6851">
              <w:rPr>
                <w:rFonts w:ascii="Verdana" w:eastAsia="Calibri" w:hAnsi="Verdana" w:cs="Arial"/>
              </w:rPr>
              <w:t>,</w:t>
            </w:r>
            <w:r>
              <w:rPr>
                <w:rFonts w:ascii="Verdana" w:eastAsia="Calibri" w:hAnsi="Verdana" w:cs="Arial"/>
              </w:rPr>
              <w:t xml:space="preserve"> se debe tener en cuenta que como se mencionó el sistema de preferencias tiene cinco (5) medidas</w:t>
            </w:r>
            <w:r w:rsidR="00821DB9">
              <w:rPr>
                <w:rFonts w:ascii="Verdana" w:eastAsia="Calibri" w:hAnsi="Verdana" w:cs="Arial"/>
              </w:rPr>
              <w:t xml:space="preserve">, y </w:t>
            </w:r>
            <w:r w:rsidR="008D4076">
              <w:rPr>
                <w:rFonts w:ascii="Verdana" w:eastAsia="Calibri" w:hAnsi="Verdana" w:cs="Arial"/>
              </w:rPr>
              <w:t xml:space="preserve">depende de cada una el tiempo mínimo que se debe cumplir para acceder al incentivo. Por ejemplo, cuando se definen los emprendimientos y empresas de personas con discapacidad, se </w:t>
            </w:r>
            <w:r w:rsidR="000D6851">
              <w:rPr>
                <w:rFonts w:ascii="Verdana" w:eastAsia="Calibri" w:hAnsi="Verdana" w:cs="Arial"/>
              </w:rPr>
              <w:t xml:space="preserve">solicita un tiempo mínimo </w:t>
            </w:r>
            <w:r w:rsidR="00643B1D">
              <w:rPr>
                <w:rFonts w:ascii="Verdana" w:eastAsia="Calibri" w:hAnsi="Verdana" w:cs="Arial"/>
              </w:rPr>
              <w:t xml:space="preserve">cuando es una persona jurídica respecto de la tenencia de los derechos de propiedad o cuando la persona con discapacidad ostenta un cargo del nivel directivo, el cual es un (1) año anterior </w:t>
            </w:r>
            <w:r w:rsidR="004D3F6D">
              <w:rPr>
                <w:rFonts w:ascii="Verdana" w:eastAsia="Calibri" w:hAnsi="Verdana" w:cs="Arial"/>
              </w:rPr>
              <w:t>a la fecha de cierre del proceso. En consecuencia, las nuevas empresas deberán esperar a cumplir con este requisito para acceder al incentivo</w:t>
            </w:r>
            <w:r w:rsidR="00F26334">
              <w:rPr>
                <w:rFonts w:ascii="Verdana" w:eastAsia="Calibri" w:hAnsi="Verdana" w:cs="Arial"/>
              </w:rPr>
              <w:t>.</w:t>
            </w:r>
            <w:r w:rsidR="00384A8F">
              <w:rPr>
                <w:rFonts w:ascii="Verdana" w:eastAsia="Calibri" w:hAnsi="Verdana" w:cs="Arial"/>
              </w:rPr>
              <w:t xml:space="preserve"> Lo mismo ocurre con el incentivo de puntaje</w:t>
            </w:r>
            <w:r w:rsidR="004B72AB">
              <w:rPr>
                <w:rFonts w:ascii="Verdana" w:eastAsia="Calibri" w:hAnsi="Verdana" w:cs="Arial"/>
              </w:rPr>
              <w:t>,</w:t>
            </w:r>
            <w:r w:rsidR="00384A8F">
              <w:rPr>
                <w:rFonts w:ascii="Verdana" w:eastAsia="Calibri" w:hAnsi="Verdana" w:cs="Arial"/>
              </w:rPr>
              <w:t xml:space="preserve"> </w:t>
            </w:r>
            <w:r w:rsidR="005458C3">
              <w:rPr>
                <w:rFonts w:ascii="Verdana" w:eastAsia="Calibri" w:hAnsi="Verdana" w:cs="Arial"/>
              </w:rPr>
              <w:t xml:space="preserve">ya que se debe contar con la calidad de emprendimiento y empresa de personas con discapacidad cumpliendo el tiempo mínimo mencionado, o tener personas con discapacidad vinculadas en las plantas de personal </w:t>
            </w:r>
            <w:r w:rsidR="00AD3850">
              <w:rPr>
                <w:rFonts w:ascii="Verdana" w:eastAsia="Calibri" w:hAnsi="Verdana" w:cs="Arial"/>
              </w:rPr>
              <w:t>los últimos</w:t>
            </w:r>
            <w:r w:rsidR="005458C3">
              <w:rPr>
                <w:rFonts w:ascii="Verdana" w:eastAsia="Calibri" w:hAnsi="Verdana" w:cs="Arial"/>
              </w:rPr>
              <w:t xml:space="preserve"> tres (3) meses </w:t>
            </w:r>
            <w:r w:rsidR="00821FED">
              <w:rPr>
                <w:rFonts w:ascii="Verdana" w:eastAsia="Calibri" w:hAnsi="Verdana" w:cs="Arial"/>
              </w:rPr>
              <w:t xml:space="preserve">antes del </w:t>
            </w:r>
            <w:r w:rsidR="00AD3850">
              <w:rPr>
                <w:rFonts w:ascii="Verdana" w:eastAsia="Calibri" w:hAnsi="Verdana" w:cs="Arial"/>
              </w:rPr>
              <w:t>proceso de contratación.</w:t>
            </w:r>
          </w:p>
          <w:p w14:paraId="6CB7133E" w14:textId="14E027FE" w:rsidR="00272199" w:rsidRPr="00670CFB" w:rsidRDefault="00272199" w:rsidP="001E7F1A">
            <w:pPr>
              <w:spacing w:before="120" w:after="120" w:line="276" w:lineRule="auto"/>
              <w:ind w:firstLine="709"/>
              <w:jc w:val="both"/>
              <w:rPr>
                <w:rFonts w:ascii="Verdana" w:eastAsia="Calibri" w:hAnsi="Verdana" w:cs="Arial"/>
              </w:rPr>
            </w:pPr>
            <w:r>
              <w:rPr>
                <w:rFonts w:ascii="Verdana" w:eastAsia="Calibri" w:hAnsi="Verdana" w:cs="Arial"/>
              </w:rPr>
              <w:t>Por tanto,</w:t>
            </w:r>
            <w:r w:rsidR="008714D6">
              <w:rPr>
                <w:rFonts w:ascii="Verdana" w:eastAsia="Calibri" w:hAnsi="Verdana" w:cs="Arial"/>
              </w:rPr>
              <w:t xml:space="preserve"> la aplicación del Decreto 287 de 2026 a las nuevas empresas depende de la medida afirmativa de que se trate y </w:t>
            </w:r>
            <w:r w:rsidR="00D84901">
              <w:rPr>
                <w:rFonts w:ascii="Verdana" w:eastAsia="Calibri" w:hAnsi="Verdana" w:cs="Arial"/>
              </w:rPr>
              <w:t>del cumplimiento de los tiempos mínimos establecidos por la norma, sin que esto sea una barrera para los proponentes sino una protección a una población vulnerable como lo son las personas con discapacidad, evitando que sean utilizadas para obtener beneficios y buscando su inclusión real y efectiva en el ejercicio de su derecho constitucional y legal al trabajo.</w:t>
            </w:r>
          </w:p>
        </w:tc>
      </w:tr>
    </w:tbl>
    <w:p w14:paraId="70451DDF"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2697DC77"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w:t>
      </w:r>
      <w:r>
        <w:rPr>
          <w:rFonts w:ascii="Verdana" w:eastAsia="Century Gothic" w:hAnsi="Verdana" w:cs="Century Gothic"/>
          <w:b/>
          <w:lang w:val="es-ES"/>
        </w:rPr>
        <w:t>s</w:t>
      </w:r>
      <w:r w:rsidRPr="00206556">
        <w:rPr>
          <w:rFonts w:ascii="Verdana" w:eastAsia="Century Gothic" w:hAnsi="Verdana" w:cs="Century Gothic"/>
          <w:b/>
          <w:lang w:val="es-ES"/>
        </w:rPr>
        <w:t xml:space="preserve"> respuesta</w:t>
      </w:r>
      <w:r>
        <w:rPr>
          <w:rFonts w:ascii="Verdana" w:eastAsia="Century Gothic" w:hAnsi="Verdana" w:cs="Century Gothic"/>
          <w:b/>
          <w:lang w:val="es-ES"/>
        </w:rPr>
        <w:t>s</w:t>
      </w:r>
      <w:r w:rsidRPr="00206556">
        <w:rPr>
          <w:rFonts w:ascii="Verdana" w:eastAsia="Century Gothic" w:hAnsi="Verdana" w:cs="Century Gothic"/>
          <w:b/>
          <w:lang w:val="es-ES"/>
        </w:rPr>
        <w:t>:</w:t>
      </w:r>
    </w:p>
    <w:p w14:paraId="2AF17CCD"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color w:val="ED7D31" w:themeColor="accent2"/>
          <w:lang w:val="es-ES"/>
        </w:rPr>
      </w:pPr>
    </w:p>
    <w:p w14:paraId="0D4D8776" w14:textId="77777777" w:rsidR="004C63A3" w:rsidRPr="00206556" w:rsidRDefault="004C63A3" w:rsidP="004C63A3">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72527C2D" w14:textId="77777777" w:rsidR="004C63A3" w:rsidRPr="00206556" w:rsidRDefault="004C63A3" w:rsidP="004C63A3">
      <w:pPr>
        <w:spacing w:after="0" w:line="276" w:lineRule="auto"/>
        <w:jc w:val="both"/>
        <w:rPr>
          <w:rFonts w:ascii="Verdana" w:eastAsia="Calibri" w:hAnsi="Verdana" w:cs="Arial"/>
          <w:lang w:val="es-ES"/>
        </w:rPr>
      </w:pPr>
    </w:p>
    <w:p w14:paraId="6172C108" w14:textId="77777777" w:rsidR="004C63A3" w:rsidRPr="00206556" w:rsidRDefault="004C63A3" w:rsidP="004C63A3">
      <w:pPr>
        <w:spacing w:after="120" w:line="276" w:lineRule="auto"/>
        <w:jc w:val="both"/>
        <w:rPr>
          <w:rFonts w:ascii="Verdana" w:hAnsi="Verdana"/>
        </w:rPr>
      </w:pPr>
      <w:r w:rsidRPr="00206556">
        <w:rPr>
          <w:rFonts w:ascii="Verdana" w:eastAsia="Calibri" w:hAnsi="Verdana" w:cs="Arial"/>
          <w:lang w:val="es-ES"/>
        </w:rPr>
        <w:t xml:space="preserve">(i) </w:t>
      </w:r>
      <w:r w:rsidRPr="00206556">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sidRPr="00206556">
        <w:rPr>
          <w:rFonts w:ascii="Verdana" w:eastAsia="Times New Roman" w:hAnsi="Verdana" w:cs="Times New Roman"/>
        </w:rPr>
        <w:t xml:space="preserve">El fundamento del Sistema de </w:t>
      </w:r>
      <w:r w:rsidRPr="00206556">
        <w:rPr>
          <w:rFonts w:ascii="Verdana" w:eastAsia="Times New Roman" w:hAnsi="Verdana" w:cs="Times New Roman"/>
        </w:rPr>
        <w:lastRenderedPageBreak/>
        <w:t>Preferencias para PcD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sidRPr="00206556">
        <w:rPr>
          <w:rStyle w:val="Refdenotaalpie"/>
          <w:rFonts w:ascii="Verdana" w:eastAsia="Times New Roman" w:hAnsi="Verdana" w:cs="Times New Roman"/>
        </w:rPr>
        <w:footnoteReference w:id="2"/>
      </w:r>
      <w:r>
        <w:rPr>
          <w:rFonts w:ascii="Verdana" w:eastAsia="Times New Roman" w:hAnsi="Verdana" w:cs="Times New Roman"/>
        </w:rPr>
        <w:t>.</w:t>
      </w:r>
    </w:p>
    <w:p w14:paraId="0A644553" w14:textId="77777777" w:rsidR="004C63A3" w:rsidRPr="00206556" w:rsidRDefault="004C63A3" w:rsidP="004C63A3">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PcD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progresivamente la discriminación en la prestación de servicios, incluido el 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PcD en materia de empleo.</w:t>
      </w:r>
    </w:p>
    <w:p w14:paraId="43C42677" w14:textId="77777777" w:rsidR="004C63A3" w:rsidRPr="00206556" w:rsidRDefault="004C63A3" w:rsidP="004C63A3">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361 de 1997 estableció los primeros mecanismos de integración social de las PcD. Su artículo 24 introdujo una preferencia en igualdad de condiciones en licitaciones y adjudicaciones de contratos para los empleadores </w:t>
      </w:r>
      <w:r w:rsidRPr="00206556">
        <w:rPr>
          <w:rFonts w:ascii="Verdana" w:eastAsia="Times New Roman" w:hAnsi="Verdana" w:cs="Times New Roman"/>
        </w:rPr>
        <w:lastRenderedPageBreak/>
        <w:t>que tuvieran al menos el 10% de su nómina compuesta por PcD</w:t>
      </w:r>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PcD, pero su alcance era limitado: una preferencia residual aplicable solo en caso de empate, que beneficiaba únicamente a los empleadores de PcD sin considerar a las propias PcD como proponentes directos.</w:t>
      </w:r>
    </w:p>
    <w:p w14:paraId="57048E9A" w14:textId="77777777" w:rsidR="004C63A3" w:rsidRPr="00206556" w:rsidRDefault="004C63A3" w:rsidP="004C63A3">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Estatutaria 1618 de 2013 representó un salto cualitativo en el marco jurídico de protección de las PcD, al definir a estas como </w:t>
      </w:r>
      <w:r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64DF8EF2" w14:textId="77777777" w:rsidR="004C63A3" w:rsidRPr="00E727F0" w:rsidRDefault="004C63A3" w:rsidP="004C63A3">
      <w:pPr>
        <w:spacing w:after="120" w:line="276" w:lineRule="auto"/>
        <w:ind w:firstLine="709"/>
        <w:jc w:val="both"/>
        <w:rPr>
          <w:rFonts w:ascii="Verdana" w:hAnsi="Verdana"/>
        </w:rPr>
      </w:pPr>
      <w:r w:rsidRPr="00E727F0">
        <w:rPr>
          <w:rFonts w:ascii="Verdana" w:hAnsi="Verdana"/>
        </w:rPr>
        <w:t>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 xml:space="preserve">En consecuencia, desde el punto de vista </w:t>
      </w:r>
      <w:r w:rsidRPr="00A420A9">
        <w:rPr>
          <w:rFonts w:ascii="Verdana" w:hAnsi="Verdana"/>
        </w:rPr>
        <w:lastRenderedPageBreak/>
        <w:t>sustantivo, el Decreto 392 de 2018 reglamentó el numeral 1 de manera parcial y el numeral 7, dejando sin reglamentación material el numeral 8, que era precisamente el que ordenaba el sistema de preferencias en favor de las propias PcD como contratistas.</w:t>
      </w:r>
    </w:p>
    <w:p w14:paraId="6F7BD46B" w14:textId="77777777" w:rsidR="004C63A3" w:rsidRPr="00A420A9" w:rsidRDefault="004C63A3" w:rsidP="004C63A3">
      <w:pPr>
        <w:spacing w:after="120" w:line="276" w:lineRule="auto"/>
        <w:ind w:firstLine="709"/>
        <w:jc w:val="both"/>
        <w:rPr>
          <w:rFonts w:ascii="Verdana" w:hAnsi="Verdana"/>
        </w:rPr>
      </w:pPr>
      <w:r w:rsidRPr="00A420A9">
        <w:rPr>
          <w:rFonts w:ascii="Verdana" w:hAnsi="Verdana"/>
        </w:rPr>
        <w:t xml:space="preserve">La insuficiencia del Decreto 392 de 2018 fue constatada judicialmente. La Sección Quinta del Consejo de Estado, mediante sentencia de acción de cumplimiento del 12 de diciembre de 2024, radicación </w:t>
      </w:r>
      <w:proofErr w:type="spellStart"/>
      <w:r w:rsidRPr="00A420A9">
        <w:rPr>
          <w:rFonts w:ascii="Verdana" w:hAnsi="Verdana"/>
        </w:rPr>
        <w:t>n.°</w:t>
      </w:r>
      <w:proofErr w:type="spellEnd"/>
      <w:r w:rsidRPr="00A420A9">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C910C65" w14:textId="77777777" w:rsidR="004C63A3" w:rsidRDefault="004C63A3" w:rsidP="004C63A3">
      <w:pPr>
        <w:spacing w:after="120" w:line="276" w:lineRule="auto"/>
        <w:ind w:firstLine="709"/>
        <w:jc w:val="both"/>
        <w:rPr>
          <w:rFonts w:ascii="Verdana" w:hAnsi="Verdana"/>
        </w:rPr>
      </w:pPr>
      <w:r w:rsidRPr="00E727F0">
        <w:rPr>
          <w:rFonts w:ascii="Verdana" w:hAnsi="Verdana"/>
        </w:rPr>
        <w:t>En cumplimiento de esa decisión fue expedido el Decreto 0287 de 2026, el cual, como se indicó en la respuesta, 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PcD y los empleadores de PcD. A continuación, se desarrolla el alcance de cada aspecto del sistema planteado en los problemas jurídicos. </w:t>
      </w:r>
    </w:p>
    <w:p w14:paraId="639584E3" w14:textId="77777777" w:rsidR="004C63A3" w:rsidRPr="00E727F0" w:rsidRDefault="004C63A3" w:rsidP="004C63A3">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PcD, conforme a las categorías del artículo 2.2.1.2.4.2.6., o ser empleador de PcD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7A17DE97" w14:textId="77777777" w:rsidR="004C63A3" w:rsidRPr="00E727F0" w:rsidRDefault="004C63A3" w:rsidP="004C63A3">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t xml:space="preserve">"El proponente podrá acreditar alguna de las situaciones mencionadas, y en todo caso el puntaje adicional total y único a otorgar por este criterio </w:t>
      </w:r>
      <w:r w:rsidRPr="00E727F0">
        <w:rPr>
          <w:rFonts w:ascii="Verdana" w:eastAsia="Times New Roman" w:hAnsi="Verdana" w:cs="Times New Roman"/>
          <w:i/>
          <w:iCs/>
          <w:sz w:val="20"/>
          <w:szCs w:val="20"/>
        </w:rPr>
        <w:lastRenderedPageBreak/>
        <w:t>será del dos por ciento (2%), sin que sean acumulables a efecto de la evaluación de la oferta."</w:t>
      </w:r>
    </w:p>
    <w:p w14:paraId="00C336CD" w14:textId="77777777" w:rsidR="004C63A3" w:rsidRPr="00206556" w:rsidRDefault="004C63A3" w:rsidP="004C63A3">
      <w:pPr>
        <w:spacing w:after="120" w:line="276" w:lineRule="auto"/>
        <w:ind w:firstLine="709"/>
        <w:jc w:val="both"/>
        <w:rPr>
          <w:rFonts w:ascii="Verdana" w:hAnsi="Verdana"/>
        </w:rPr>
      </w:pPr>
      <w:r w:rsidRPr="00E727F0">
        <w:rPr>
          <w:rFonts w:ascii="Verdana" w:eastAsia="Times New Roman" w:hAnsi="Verdana" w:cs="Times New Roman"/>
        </w:rPr>
        <w:t>Esta decisión normativa responde a una razón de diseño del sistema: el 2% ya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5C1A1855" w14:textId="77777777" w:rsidR="004C63A3" w:rsidRPr="00D22B7C" w:rsidRDefault="004C63A3" w:rsidP="004C63A3">
      <w:pPr>
        <w:spacing w:after="12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En cuanto a la exigencia del número mínimo de PcD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PcD,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7024681E" w14:textId="77777777" w:rsidR="004C63A3" w:rsidRPr="00D22B7C" w:rsidRDefault="004C63A3" w:rsidP="004C63A3">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4C63A3" w:rsidRPr="00D22B7C" w14:paraId="2C33C2F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FBB3A23" w14:textId="77777777" w:rsidR="004C63A3" w:rsidRPr="00D22B7C" w:rsidRDefault="004C63A3" w:rsidP="000A6384">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CB238A5" w14:textId="77777777" w:rsidR="004C63A3" w:rsidRPr="00D22B7C" w:rsidRDefault="004C63A3" w:rsidP="000A6384">
            <w:pPr>
              <w:jc w:val="center"/>
              <w:rPr>
                <w:rFonts w:ascii="Verdana" w:hAnsi="Verdana"/>
              </w:rPr>
            </w:pPr>
            <w:r w:rsidRPr="00D22B7C">
              <w:rPr>
                <w:rFonts w:ascii="Verdana" w:eastAsia="Times New Roman" w:hAnsi="Verdana" w:cs="Times New Roman"/>
                <w:b/>
                <w:bCs/>
              </w:rPr>
              <w:t>Número mínimo de trabajadores con discapacidad requerido</w:t>
            </w:r>
          </w:p>
        </w:tc>
      </w:tr>
      <w:tr w:rsidR="004C63A3" w:rsidRPr="00D22B7C" w14:paraId="73C657FF"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8CA8FCF" w14:textId="77777777" w:rsidR="004C63A3" w:rsidRPr="00D22B7C" w:rsidRDefault="004C63A3" w:rsidP="000A6384">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DFBE67E" w14:textId="77777777" w:rsidR="004C63A3" w:rsidRPr="00D22B7C" w:rsidRDefault="004C63A3" w:rsidP="000A6384">
            <w:pPr>
              <w:jc w:val="center"/>
              <w:rPr>
                <w:rFonts w:ascii="Verdana" w:hAnsi="Verdana"/>
              </w:rPr>
            </w:pPr>
            <w:r w:rsidRPr="00D22B7C">
              <w:rPr>
                <w:rFonts w:ascii="Verdana" w:eastAsia="Times New Roman" w:hAnsi="Verdana" w:cs="Times New Roman"/>
              </w:rPr>
              <w:t>2</w:t>
            </w:r>
          </w:p>
        </w:tc>
      </w:tr>
      <w:tr w:rsidR="004C63A3" w:rsidRPr="00D22B7C" w14:paraId="727BC45B"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2AC4F4" w14:textId="77777777" w:rsidR="004C63A3" w:rsidRPr="00D22B7C" w:rsidRDefault="004C63A3" w:rsidP="000A6384">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D28D18" w14:textId="77777777" w:rsidR="004C63A3" w:rsidRPr="00D22B7C" w:rsidRDefault="004C63A3" w:rsidP="000A6384">
            <w:pPr>
              <w:jc w:val="center"/>
              <w:rPr>
                <w:rFonts w:ascii="Verdana" w:hAnsi="Verdana"/>
              </w:rPr>
            </w:pPr>
            <w:r w:rsidRPr="00D22B7C">
              <w:rPr>
                <w:rFonts w:ascii="Verdana" w:eastAsia="Times New Roman" w:hAnsi="Verdana" w:cs="Times New Roman"/>
              </w:rPr>
              <w:t>3</w:t>
            </w:r>
          </w:p>
        </w:tc>
      </w:tr>
      <w:tr w:rsidR="004C63A3" w:rsidRPr="00D22B7C" w14:paraId="0F2AE06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128D3D1" w14:textId="77777777" w:rsidR="004C63A3" w:rsidRPr="00D22B7C" w:rsidRDefault="004C63A3" w:rsidP="000A6384">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652BD09" w14:textId="77777777" w:rsidR="004C63A3" w:rsidRPr="00D22B7C" w:rsidRDefault="004C63A3" w:rsidP="000A6384">
            <w:pPr>
              <w:jc w:val="center"/>
              <w:rPr>
                <w:rFonts w:ascii="Verdana" w:hAnsi="Verdana"/>
              </w:rPr>
            </w:pPr>
            <w:r w:rsidRPr="00D22B7C">
              <w:rPr>
                <w:rFonts w:ascii="Verdana" w:eastAsia="Times New Roman" w:hAnsi="Verdana" w:cs="Times New Roman"/>
              </w:rPr>
              <w:t>4</w:t>
            </w:r>
          </w:p>
        </w:tc>
      </w:tr>
      <w:tr w:rsidR="004C63A3" w:rsidRPr="00D22B7C" w14:paraId="150B43DC"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AEEC878" w14:textId="77777777" w:rsidR="004C63A3" w:rsidRPr="00D22B7C" w:rsidRDefault="004C63A3" w:rsidP="000A6384">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58D9EA1" w14:textId="77777777" w:rsidR="004C63A3" w:rsidRPr="00D22B7C" w:rsidRDefault="004C63A3" w:rsidP="000A6384">
            <w:pPr>
              <w:jc w:val="center"/>
              <w:rPr>
                <w:rFonts w:ascii="Verdana" w:hAnsi="Verdana"/>
              </w:rPr>
            </w:pPr>
            <w:r w:rsidRPr="00D22B7C">
              <w:rPr>
                <w:rFonts w:ascii="Verdana" w:eastAsia="Times New Roman" w:hAnsi="Verdana" w:cs="Times New Roman"/>
              </w:rPr>
              <w:t>5</w:t>
            </w:r>
          </w:p>
        </w:tc>
      </w:tr>
      <w:tr w:rsidR="004C63A3" w:rsidRPr="00D22B7C" w14:paraId="129CB04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C36F954" w14:textId="77777777" w:rsidR="004C63A3" w:rsidRPr="00D22B7C" w:rsidRDefault="004C63A3" w:rsidP="000A6384">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4080461" w14:textId="77777777" w:rsidR="004C63A3" w:rsidRPr="00D22B7C" w:rsidRDefault="004C63A3" w:rsidP="000A6384">
            <w:pPr>
              <w:jc w:val="center"/>
              <w:rPr>
                <w:rFonts w:ascii="Verdana" w:hAnsi="Verdana"/>
              </w:rPr>
            </w:pPr>
            <w:r w:rsidRPr="00D22B7C">
              <w:rPr>
                <w:rFonts w:ascii="Verdana" w:eastAsia="Times New Roman" w:hAnsi="Verdana" w:cs="Times New Roman"/>
              </w:rPr>
              <w:t>7</w:t>
            </w:r>
          </w:p>
        </w:tc>
      </w:tr>
      <w:tr w:rsidR="004C63A3" w:rsidRPr="00D22B7C" w14:paraId="4456C5F5"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022EEEE" w14:textId="77777777" w:rsidR="004C63A3" w:rsidRPr="00D22B7C" w:rsidRDefault="004C63A3" w:rsidP="000A6384">
            <w:pPr>
              <w:jc w:val="center"/>
              <w:rPr>
                <w:rFonts w:ascii="Verdana" w:hAnsi="Verdana"/>
              </w:rPr>
            </w:pPr>
            <w:r w:rsidRPr="00D22B7C">
              <w:rPr>
                <w:rFonts w:ascii="Verdana" w:eastAsia="Times New Roman" w:hAnsi="Verdana" w:cs="Times New Roman"/>
              </w:rPr>
              <w:lastRenderedPageBreak/>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734EC36" w14:textId="77777777" w:rsidR="004C63A3" w:rsidRPr="00D22B7C" w:rsidRDefault="004C63A3" w:rsidP="000A6384">
            <w:pPr>
              <w:jc w:val="center"/>
              <w:rPr>
                <w:rFonts w:ascii="Verdana" w:hAnsi="Verdana"/>
              </w:rPr>
            </w:pPr>
            <w:r w:rsidRPr="00D22B7C">
              <w:rPr>
                <w:rFonts w:ascii="Verdana" w:eastAsia="Times New Roman" w:hAnsi="Verdana" w:cs="Times New Roman"/>
              </w:rPr>
              <w:t>10</w:t>
            </w:r>
          </w:p>
        </w:tc>
      </w:tr>
      <w:tr w:rsidR="004C63A3" w:rsidRPr="00D22B7C" w14:paraId="69D84CF8"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FF52909" w14:textId="77777777" w:rsidR="004C63A3" w:rsidRPr="00D22B7C" w:rsidRDefault="004C63A3" w:rsidP="000A6384">
            <w:pPr>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B3420BB" w14:textId="77777777" w:rsidR="004C63A3" w:rsidRPr="00D22B7C" w:rsidRDefault="004C63A3" w:rsidP="000A6384">
            <w:pPr>
              <w:jc w:val="center"/>
              <w:rPr>
                <w:rFonts w:ascii="Verdana" w:hAnsi="Verdana"/>
              </w:rPr>
            </w:pPr>
            <w:r w:rsidRPr="00D22B7C">
              <w:rPr>
                <w:rFonts w:ascii="Verdana" w:eastAsia="Times New Roman" w:hAnsi="Verdana" w:cs="Times New Roman"/>
              </w:rPr>
              <w:t>12</w:t>
            </w:r>
          </w:p>
        </w:tc>
      </w:tr>
      <w:tr w:rsidR="004C63A3" w:rsidRPr="00D22B7C" w14:paraId="675000FD"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A0DB849" w14:textId="77777777" w:rsidR="004C63A3" w:rsidRPr="00D22B7C" w:rsidRDefault="004C63A3" w:rsidP="000A6384">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B639B76" w14:textId="77777777" w:rsidR="004C63A3" w:rsidRPr="00D22B7C" w:rsidRDefault="004C63A3" w:rsidP="000A6384">
            <w:pPr>
              <w:jc w:val="center"/>
              <w:rPr>
                <w:rFonts w:ascii="Verdana" w:hAnsi="Verdana"/>
              </w:rPr>
            </w:pPr>
            <w:r w:rsidRPr="00D22B7C">
              <w:rPr>
                <w:rFonts w:ascii="Verdana" w:eastAsia="Times New Roman" w:hAnsi="Verdana" w:cs="Times New Roman"/>
              </w:rPr>
              <w:t>14</w:t>
            </w:r>
          </w:p>
        </w:tc>
      </w:tr>
      <w:tr w:rsidR="004C63A3" w:rsidRPr="00D22B7C" w14:paraId="773E4DA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342E552" w14:textId="77777777" w:rsidR="004C63A3" w:rsidRPr="00D22B7C" w:rsidRDefault="004C63A3" w:rsidP="000A6384">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64347C" w14:textId="77777777" w:rsidR="004C63A3" w:rsidRPr="00D22B7C" w:rsidRDefault="004C63A3" w:rsidP="000A6384">
            <w:pPr>
              <w:jc w:val="center"/>
              <w:rPr>
                <w:rFonts w:ascii="Verdana" w:hAnsi="Verdana"/>
              </w:rPr>
            </w:pPr>
            <w:r w:rsidRPr="00D22B7C">
              <w:rPr>
                <w:rFonts w:ascii="Verdana" w:eastAsia="Times New Roman" w:hAnsi="Verdana" w:cs="Times New Roman"/>
              </w:rPr>
              <w:t>16</w:t>
            </w:r>
          </w:p>
        </w:tc>
      </w:tr>
      <w:tr w:rsidR="004C63A3" w:rsidRPr="00D22B7C" w14:paraId="27D52025"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C358032" w14:textId="77777777" w:rsidR="004C63A3" w:rsidRPr="00D22B7C" w:rsidRDefault="004C63A3" w:rsidP="000A6384">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83BC22" w14:textId="77777777" w:rsidR="004C63A3" w:rsidRPr="00D22B7C" w:rsidRDefault="004C63A3" w:rsidP="000A6384">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363F0355" w14:textId="77777777" w:rsidR="004C63A3" w:rsidRPr="00D22B7C" w:rsidRDefault="004C63A3" w:rsidP="004C63A3">
      <w:pPr>
        <w:spacing w:after="0" w:line="276" w:lineRule="auto"/>
        <w:rPr>
          <w:rFonts w:ascii="Verdana" w:hAnsi="Verdana"/>
        </w:rPr>
      </w:pPr>
    </w:p>
    <w:p w14:paraId="2A6FB031" w14:textId="77777777" w:rsidR="004C63A3" w:rsidRPr="00D22B7C" w:rsidRDefault="004C63A3" w:rsidP="004C63A3">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19C71940" w14:textId="77777777" w:rsidR="004C63A3" w:rsidRPr="00D22B7C" w:rsidRDefault="004C63A3" w:rsidP="004C63A3">
      <w:pPr>
        <w:spacing w:after="120" w:line="276" w:lineRule="auto"/>
        <w:ind w:firstLine="709"/>
        <w:jc w:val="both"/>
        <w:rPr>
          <w:rFonts w:ascii="Verdana" w:hAnsi="Verdana"/>
        </w:rPr>
      </w:pPr>
      <w:r w:rsidRPr="00D22B7C">
        <w:rPr>
          <w:rFonts w:ascii="Verdana" w:eastAsia="Times New Roman" w:hAnsi="Verdana" w:cs="Times New Roman"/>
        </w:rPr>
        <w:t>Acreditada esa vinculación, el decreto exige adicionalmente los certificados de aportes a seguridad social de los tres (3) meses anteriores a la presentación de la oferta respecto de cada PcD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062070BD" w14:textId="77777777" w:rsidR="004C63A3" w:rsidRPr="003C3B8B" w:rsidRDefault="004C63A3" w:rsidP="004C63A3">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"no se exige vinculación de las PcD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2591B6E3" w14:textId="77777777" w:rsidR="004C63A3" w:rsidRDefault="004C63A3" w:rsidP="004C63A3">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lastRenderedPageBreak/>
        <w:t>El período de tres meses es el umbral mínimo de estabilidad laboral que diferencia un compromiso genuino con la inclusión de una vinculación oportunista. La norma aplica este requisito para cada PcD incluida en la acreditación, independientemente de si es una vinculación original o una nueva incorporación. Si una empresa ha incrementado recientemente su planta de PcD y alguna de estas vinculaciones no alcanza el período requerido, el proponente puede participar en el proceso utilizando únicamente las PcD que sí cumplan el requisito temporal. La consecuencia de no alcanzar el período no es la exclusión del proceso sino la imposibilidad de obtener el puntaje adicional respecto de esas PcD específicas, lo que es coherente con los principios de participación y pluralidad de oferentes.</w:t>
      </w:r>
    </w:p>
    <w:p w14:paraId="6221ED17" w14:textId="04895058" w:rsidR="004C63A3" w:rsidRDefault="004C63A3" w:rsidP="004C63A3">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 xml:space="preserve">Es importante precisar que la vinculación de PcD a las plantas de personal debe realizarse mediante contrato laboral con dedicación exclusiva, </w:t>
      </w:r>
      <w:r w:rsidR="000E3E5A">
        <w:rPr>
          <w:rFonts w:ascii="Verdana" w:eastAsia="Times New Roman" w:hAnsi="Verdana" w:cs="Times New Roman"/>
        </w:rPr>
        <w:t xml:space="preserve">lo cual corresponde a </w:t>
      </w:r>
      <w:r w:rsidR="00AE7741">
        <w:rPr>
          <w:rFonts w:ascii="Verdana" w:eastAsia="Times New Roman" w:hAnsi="Verdana" w:cs="Times New Roman"/>
        </w:rPr>
        <w:t xml:space="preserve">una </w:t>
      </w:r>
      <w:r w:rsidR="00AE7741" w:rsidRPr="00AE7741">
        <w:rPr>
          <w:rFonts w:ascii="Verdana" w:eastAsia="Times New Roman" w:hAnsi="Verdana" w:cs="Times New Roman"/>
        </w:rPr>
        <w:t>relación laboral con un único empleador, lo cual se acreditará en el contrato o la certificación laboral correspondiente</w:t>
      </w:r>
      <w:r w:rsidRPr="007B01BA">
        <w:rPr>
          <w:rFonts w:ascii="Verdana" w:eastAsia="Times New Roman" w:hAnsi="Verdana" w:cs="Times New Roman"/>
        </w:rPr>
        <w:t>. Adicionalmente, debe destacarse la diferencia entre los documentos exigidos según el sujeto que acredita el puntaje: cuando se trata de un empleador de PcD,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PcD, los documentos requeridos son los establecidos en el artículo 2.2.1.2.4.2.6., que varían según la categoría que se acredite. En ningún caso los documentos del artículo 2.2.1.2.4.2.7.4. son exigibles a los emprendimientos y empresas de PcD,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PcD, por lo que no deben confundirse.</w:t>
      </w:r>
    </w:p>
    <w:p w14:paraId="4A918843" w14:textId="77777777" w:rsidR="004C63A3" w:rsidRPr="00D22B7C" w:rsidRDefault="004C63A3" w:rsidP="004C63A3">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w:t>
      </w:r>
      <w:r w:rsidRPr="00206556">
        <w:rPr>
          <w:rFonts w:ascii="Verdana" w:hAnsi="Verdana"/>
        </w:rPr>
        <w:lastRenderedPageBreak/>
        <w:t xml:space="preserve">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y la contratación directa tiene su propia medida afirmativa a través de los contratos de prestación de servicios con PcD.</w:t>
      </w:r>
    </w:p>
    <w:p w14:paraId="0E08C336" w14:textId="2F50B9AB" w:rsidR="004C63A3" w:rsidRPr="00670CFB" w:rsidRDefault="004C63A3" w:rsidP="00FF213B">
      <w:pPr>
        <w:spacing w:after="120" w:line="276" w:lineRule="auto"/>
        <w:ind w:firstLine="708"/>
        <w:jc w:val="both"/>
        <w:rPr>
          <w:rFonts w:ascii="Verdana" w:hAnsi="Verdana"/>
        </w:rPr>
      </w:pPr>
      <w:r w:rsidRPr="00206556">
        <w:rPr>
          <w:rFonts w:ascii="Verdana" w:hAnsi="Verdana"/>
        </w:rPr>
        <w:t>(</w:t>
      </w:r>
      <w:r>
        <w:rPr>
          <w:rFonts w:ascii="Verdana" w:hAnsi="Verdana"/>
        </w:rPr>
        <w:t>v</w:t>
      </w:r>
      <w:r w:rsidRPr="00206556">
        <w:rPr>
          <w:rFonts w:ascii="Verdana" w:hAnsi="Verdana"/>
        </w:rPr>
        <w:t xml:space="preserve">) </w:t>
      </w:r>
      <w:r w:rsidRPr="00670CFB">
        <w:rPr>
          <w:rFonts w:ascii="Verdana" w:hAnsi="Verdana"/>
        </w:rPr>
        <w:t>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0135AC83"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 xml:space="preserve">en licitación pública, concurso de méritos, mínima cuantía y selección abreviada, pero no en contratación directa, que tiene su propia medida afirmativa. Su omisión </w:t>
      </w:r>
      <w:r w:rsidRPr="00670CFB">
        <w:rPr>
          <w:rFonts w:ascii="Verdana" w:hAnsi="Verdana"/>
        </w:rPr>
        <w:lastRenderedPageBreak/>
        <w:t>injustificada en los estudios previos puede comprometer la legalidad de la planeación contractual al desconocer una obligación legal expresa.</w:t>
      </w:r>
    </w:p>
    <w:p w14:paraId="0327D26B" w14:textId="3886C232"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w:t>
      </w:r>
      <w:r w:rsidR="00121FA5">
        <w:rPr>
          <w:rFonts w:ascii="Verdana" w:hAnsi="Verdana"/>
        </w:rPr>
        <w:t>uno</w:t>
      </w:r>
      <w:r w:rsidRPr="00670CFB">
        <w:rPr>
          <w:rFonts w:ascii="Verdana" w:hAnsi="Verdana"/>
        </w:rPr>
        <w:t xml:space="preserve"> de estos requisitos de acuerdo con lo que resulte justificado en sus estudios previos, garantizando en todo caso que </w:t>
      </w:r>
      <w:r w:rsidR="00C4675B">
        <w:rPr>
          <w:rFonts w:ascii="Verdana" w:hAnsi="Verdana"/>
        </w:rPr>
        <w:t>el</w:t>
      </w:r>
      <w:r w:rsidRPr="00670CFB">
        <w:rPr>
          <w:rFonts w:ascii="Verdana" w:hAnsi="Verdana"/>
        </w:rPr>
        <w:t xml:space="preserve"> requisito ajustado sea suficiente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29C00886"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xml:space="preserve">, en licitación pública y concurso de méritos. La acreditación exige, entre otros documentos, los certificados de aportes a seguridad social de los tres (3) meses anteriores a la presentación de la oferta para cada PcD incluida en el cómputo, </w:t>
      </w:r>
      <w:r w:rsidRPr="00670CFB">
        <w:rPr>
          <w:rFonts w:ascii="Verdana" w:hAnsi="Verdana"/>
        </w:rPr>
        <w:lastRenderedPageBreak/>
        <w:t>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se demuestre fuerza mayor o caso fortuito, y en todo caso respetando el derecho a la estabilidad laboral reforzada de las PcD.</w:t>
      </w:r>
    </w:p>
    <w:p w14:paraId="4713BDC1"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5B6361BA"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w:t>
      </w:r>
      <w:r w:rsidRPr="00670CFB">
        <w:rPr>
          <w:rFonts w:ascii="Verdana" w:hAnsi="Verdana"/>
        </w:rPr>
        <w:lastRenderedPageBreak/>
        <w:t>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0EA8FF2E"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04523CB0"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61EEEF85" w14:textId="77777777" w:rsidR="004C63A3" w:rsidRPr="00206556" w:rsidRDefault="004C63A3" w:rsidP="004C63A3">
      <w:pPr>
        <w:spacing w:after="0" w:line="276" w:lineRule="auto"/>
        <w:jc w:val="both"/>
        <w:rPr>
          <w:rFonts w:ascii="Verdana" w:eastAsia="Calibri" w:hAnsi="Verdana" w:cs="Arial"/>
          <w:lang w:val="es-ES"/>
        </w:rPr>
      </w:pPr>
    </w:p>
    <w:p w14:paraId="2667BB60" w14:textId="77777777" w:rsidR="004C63A3" w:rsidRPr="00206556" w:rsidRDefault="004C63A3" w:rsidP="004C63A3">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lastRenderedPageBreak/>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63A3" w:rsidRPr="00206556" w14:paraId="6DD4B878" w14:textId="77777777" w:rsidTr="000A6384">
        <w:trPr>
          <w:trHeight w:val="297"/>
        </w:trPr>
        <w:tc>
          <w:tcPr>
            <w:tcW w:w="8647" w:type="dxa"/>
          </w:tcPr>
          <w:p w14:paraId="748C2797" w14:textId="77777777" w:rsidR="004C63A3" w:rsidRPr="00670CFB"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3FD7C444"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53913AA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0583B2E6"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2872C4B3"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55F0C1C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10468BFE"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7D75588D"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19D30BCA"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507813E2"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299F943A"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6A0647B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0DFA1EB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4F79D150"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0F5FBAB0"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6689B67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4C2B07B1"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29D2FE2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1E6DB4E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71C1D05D"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Agencia Nacional de Contratación Pública – Colombia Compra Eficiente. Circular Externa sobre orientaciones para la aplicación del Decreto 287 de 2026. Bogotá, 2026.</w:t>
            </w:r>
          </w:p>
          <w:p w14:paraId="336386C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0C3772F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4642374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7550B9C6"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34F3C63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0708B57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7425EBD1" w14:textId="77777777" w:rsidR="004C63A3" w:rsidRPr="00206556" w:rsidRDefault="004C63A3" w:rsidP="000A6384">
            <w:pPr>
              <w:widowControl w:val="0"/>
              <w:autoSpaceDE w:val="0"/>
              <w:autoSpaceDN w:val="0"/>
              <w:spacing w:line="276" w:lineRule="auto"/>
              <w:jc w:val="both"/>
              <w:rPr>
                <w:rFonts w:ascii="Verdana" w:eastAsia="Arial MT" w:hAnsi="Verdana" w:cs="Arial"/>
                <w:lang w:val="es-ES" w:eastAsia="es-ES" w:bidi="es-ES"/>
              </w:rPr>
            </w:pPr>
          </w:p>
        </w:tc>
      </w:tr>
    </w:tbl>
    <w:p w14:paraId="14B5C410" w14:textId="77777777" w:rsidR="004C63A3" w:rsidRPr="00206556" w:rsidRDefault="004C63A3" w:rsidP="004C63A3">
      <w:pPr>
        <w:widowControl w:val="0"/>
        <w:autoSpaceDE w:val="0"/>
        <w:autoSpaceDN w:val="0"/>
        <w:spacing w:after="0" w:line="276" w:lineRule="auto"/>
        <w:jc w:val="both"/>
        <w:rPr>
          <w:rFonts w:ascii="Verdana" w:hAnsi="Verdana" w:cs="Arial"/>
          <w:color w:val="ED7D31" w:themeColor="accent2"/>
          <w:lang w:val="es-ES"/>
        </w:rPr>
      </w:pPr>
    </w:p>
    <w:p w14:paraId="1C2F6604" w14:textId="77777777" w:rsidR="004C63A3"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616976E0" w14:textId="77777777" w:rsidR="004C63A3" w:rsidRPr="00670CFB" w:rsidRDefault="004C63A3" w:rsidP="004C63A3">
      <w:pPr>
        <w:tabs>
          <w:tab w:val="left" w:pos="142"/>
          <w:tab w:val="left" w:pos="284"/>
        </w:tabs>
        <w:spacing w:after="0" w:line="276" w:lineRule="auto"/>
        <w:jc w:val="both"/>
        <w:rPr>
          <w:rFonts w:ascii="Verdana" w:eastAsia="Century Gothic" w:hAnsi="Verdana" w:cs="Century Gothic"/>
          <w:b/>
          <w:lang w:val="es-ES"/>
        </w:rPr>
      </w:pPr>
    </w:p>
    <w:p w14:paraId="26025DE5" w14:textId="3D9E6D1D" w:rsidR="004C63A3" w:rsidRPr="00206556" w:rsidRDefault="004C63A3" w:rsidP="004C63A3">
      <w:pPr>
        <w:spacing w:after="0" w:line="276" w:lineRule="auto"/>
        <w:jc w:val="both"/>
        <w:rPr>
          <w:rFonts w:ascii="Verdana" w:hAnsi="Verdana"/>
          <w:color w:val="ED7D31"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 xml:space="preserve">sobre el alcance del Decreto 0287 de 2026 en </w:t>
      </w:r>
      <w:r w:rsidR="001445D7">
        <w:rPr>
          <w:rFonts w:ascii="Verdana" w:hAnsi="Verdana" w:cs="Arial"/>
          <w:shd w:val="clear" w:color="auto" w:fill="FFFFFF"/>
          <w:lang w:val="es-ES"/>
        </w:rPr>
        <w:t>los conceptos C-</w:t>
      </w:r>
      <w:r w:rsidR="00701C3C">
        <w:rPr>
          <w:rFonts w:ascii="Verdana" w:hAnsi="Verdana" w:cs="Arial"/>
          <w:shd w:val="clear" w:color="auto" w:fill="FFFFFF"/>
          <w:lang w:val="es-ES"/>
        </w:rPr>
        <w:t>473 del 7 de mayo de 2026</w:t>
      </w:r>
      <w:r w:rsidR="00B86811">
        <w:rPr>
          <w:rFonts w:ascii="Verdana" w:hAnsi="Verdana" w:cs="Arial"/>
          <w:shd w:val="clear" w:color="auto" w:fill="FFFFFF"/>
          <w:lang w:val="es-ES"/>
        </w:rPr>
        <w:t>,</w:t>
      </w:r>
      <w:r w:rsidR="001445D7">
        <w:rPr>
          <w:rFonts w:ascii="Verdana" w:hAnsi="Verdana" w:cs="Arial"/>
          <w:shd w:val="clear" w:color="auto" w:fill="FFFFFF"/>
          <w:lang w:val="es-ES"/>
        </w:rPr>
        <w:t xml:space="preserve"> C-</w:t>
      </w:r>
      <w:r w:rsidR="001445D7" w:rsidRPr="001445D7">
        <w:rPr>
          <w:rFonts w:ascii="Verdana" w:hAnsi="Verdana" w:cs="Arial"/>
          <w:shd w:val="clear" w:color="auto" w:fill="FFFFFF"/>
          <w:lang w:val="es-ES"/>
        </w:rPr>
        <w:t>498 de</w:t>
      </w:r>
      <w:r w:rsidR="001445D7">
        <w:rPr>
          <w:rFonts w:ascii="Verdana" w:hAnsi="Verdana" w:cs="Arial"/>
          <w:shd w:val="clear" w:color="auto" w:fill="FFFFFF"/>
          <w:lang w:val="es-ES"/>
        </w:rPr>
        <w:t>l 8 de mayo de</w:t>
      </w:r>
      <w:r w:rsidR="001445D7" w:rsidRPr="001445D7">
        <w:rPr>
          <w:rFonts w:ascii="Verdana" w:hAnsi="Verdana" w:cs="Arial"/>
          <w:shd w:val="clear" w:color="auto" w:fill="FFFFFF"/>
          <w:lang w:val="es-ES"/>
        </w:rPr>
        <w:t xml:space="preserve"> 2026</w:t>
      </w:r>
      <w:r w:rsidR="00B86811">
        <w:rPr>
          <w:rFonts w:ascii="Verdana" w:hAnsi="Verdana" w:cs="Arial"/>
          <w:shd w:val="clear" w:color="auto" w:fill="FFFFFF"/>
          <w:lang w:val="es-ES"/>
        </w:rPr>
        <w:t xml:space="preserve"> y C-576 del 19 de mayo de 2026</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sidR="001445D7">
        <w:rPr>
          <w:rFonts w:ascii="Verdana" w:hAnsi="Verdana" w:cs="Arial"/>
          <w:shd w:val="clear" w:color="auto" w:fill="FFFFFF"/>
          <w:lang w:val="es-ES"/>
        </w:rPr>
        <w:t>os</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1" w:history="1">
        <w:r w:rsidRPr="00206556">
          <w:rPr>
            <w:rStyle w:val="Hipervnculo"/>
            <w:rFonts w:ascii="Verdana" w:hAnsi="Verdana" w:cs="Arial"/>
            <w:shd w:val="clear" w:color="auto" w:fill="FFFFFF"/>
            <w:lang w:val="es-ES"/>
          </w:rPr>
          <w:t>https://relatoria.colombiacompra.gov.co/busqueda/conceptos</w:t>
        </w:r>
      </w:hyperlink>
    </w:p>
    <w:p w14:paraId="43D8F0F5" w14:textId="77777777" w:rsidR="004C63A3" w:rsidRPr="00206556" w:rsidRDefault="004C63A3" w:rsidP="004C63A3">
      <w:pPr>
        <w:spacing w:after="0" w:line="276" w:lineRule="auto"/>
        <w:jc w:val="both"/>
        <w:rPr>
          <w:rFonts w:ascii="Verdana" w:hAnsi="Verdana" w:cs="Arial"/>
          <w:color w:val="ED7D31" w:themeColor="accent2"/>
          <w:shd w:val="clear" w:color="auto" w:fill="FFFFFF"/>
          <w:lang w:val="es-ES"/>
        </w:rPr>
      </w:pPr>
    </w:p>
    <w:p w14:paraId="74A0CDE1"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2"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580719A3" w14:textId="77777777" w:rsidR="004C63A3" w:rsidRPr="00206556" w:rsidRDefault="004C63A3" w:rsidP="004C63A3">
      <w:pPr>
        <w:spacing w:after="0" w:line="276" w:lineRule="auto"/>
        <w:jc w:val="both"/>
        <w:rPr>
          <w:rFonts w:ascii="Verdana" w:hAnsi="Verdana" w:cs="Arial"/>
          <w:shd w:val="clear" w:color="auto" w:fill="FFFFFF"/>
        </w:rPr>
      </w:pPr>
    </w:p>
    <w:p w14:paraId="236F6772"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3" w:history="1">
        <w:r w:rsidRPr="00206556">
          <w:rPr>
            <w:rStyle w:val="Hipervnculo"/>
            <w:rFonts w:ascii="Verdana" w:hAnsi="Verdana" w:cs="Arial"/>
            <w:shd w:val="clear" w:color="auto" w:fill="FFFFFF"/>
          </w:rPr>
          <w:t>https://www.colombiacompra.gov.co/normativa-y-relatoria/documentos-tipo</w:t>
        </w:r>
      </w:hyperlink>
    </w:p>
    <w:p w14:paraId="03E0431B" w14:textId="77777777" w:rsidR="004C63A3" w:rsidRPr="00206556" w:rsidRDefault="004C63A3" w:rsidP="004C63A3">
      <w:pPr>
        <w:spacing w:after="0" w:line="276" w:lineRule="auto"/>
        <w:jc w:val="both"/>
        <w:rPr>
          <w:rFonts w:ascii="Verdana" w:hAnsi="Verdana" w:cs="Arial"/>
          <w:shd w:val="clear" w:color="auto" w:fill="FFFFFF"/>
        </w:rPr>
      </w:pPr>
    </w:p>
    <w:p w14:paraId="4D7B093F"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041E96B3" w14:textId="77777777" w:rsidR="004C63A3" w:rsidRPr="00206556" w:rsidRDefault="004C63A3" w:rsidP="004C63A3">
      <w:pPr>
        <w:spacing w:after="0" w:line="276" w:lineRule="auto"/>
        <w:jc w:val="both"/>
        <w:rPr>
          <w:rFonts w:ascii="Verdana" w:hAnsi="Verdana" w:cs="Arial"/>
          <w:color w:val="ED7D31" w:themeColor="accent2"/>
          <w:shd w:val="clear" w:color="auto" w:fill="FFFFFF"/>
        </w:rPr>
      </w:pPr>
    </w:p>
    <w:p w14:paraId="2487F838"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0F4A2FBF" w14:textId="77777777" w:rsidR="004C63A3" w:rsidRPr="00206556" w:rsidRDefault="004C63A3" w:rsidP="004C63A3">
      <w:pPr>
        <w:spacing w:after="0"/>
        <w:jc w:val="both"/>
        <w:rPr>
          <w:rFonts w:ascii="Verdana" w:hAnsi="Verdana" w:cs="Arial"/>
          <w:shd w:val="clear" w:color="auto" w:fill="FFFFFF"/>
        </w:rPr>
      </w:pPr>
    </w:p>
    <w:p w14:paraId="2C167D17"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75C9B8DD"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56C5EA7F"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01C1FFDA"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A810F63" w14:textId="77777777" w:rsidR="004C63A3" w:rsidRPr="00206556" w:rsidRDefault="004C63A3" w:rsidP="004C63A3">
      <w:pPr>
        <w:widowControl w:val="0"/>
        <w:autoSpaceDE w:val="0"/>
        <w:autoSpaceDN w:val="0"/>
        <w:spacing w:after="0" w:line="276" w:lineRule="auto"/>
        <w:jc w:val="both"/>
        <w:rPr>
          <w:rFonts w:ascii="Verdana" w:hAnsi="Verdana" w:cs="Arial"/>
          <w:color w:val="ED7D31" w:themeColor="accent2"/>
          <w:lang w:val="es-ES"/>
        </w:rPr>
      </w:pPr>
    </w:p>
    <w:p w14:paraId="1437FD7F" w14:textId="77777777" w:rsidR="004C63A3" w:rsidRPr="00206556" w:rsidRDefault="004C63A3" w:rsidP="004C63A3">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 xml:space="preserve">Este concepto tiene el alcance previsto en el artículo 28 del Código de Procedimiento Administrativo y de lo Contencioso Administrativo y las expresiones aquí utilizadas con mayúscula inicial deben ser entendidas con el </w:t>
      </w:r>
      <w:r w:rsidRPr="00206556">
        <w:rPr>
          <w:rFonts w:ascii="Verdana" w:hAnsi="Verdana" w:cs="Arial"/>
          <w:lang w:val="es-ES"/>
        </w:rPr>
        <w:lastRenderedPageBreak/>
        <w:t>significado que les otorga el artículo 2.2.1.1.1.3.1. del Decreto 1082 de 2015.</w:t>
      </w:r>
    </w:p>
    <w:p w14:paraId="4304A1E8" w14:textId="77777777" w:rsidR="004C63A3" w:rsidRPr="00206556" w:rsidRDefault="004C63A3" w:rsidP="004C63A3">
      <w:pPr>
        <w:widowControl w:val="0"/>
        <w:autoSpaceDE w:val="0"/>
        <w:autoSpaceDN w:val="0"/>
        <w:spacing w:after="0" w:line="276" w:lineRule="auto"/>
        <w:jc w:val="both"/>
        <w:rPr>
          <w:rFonts w:ascii="Verdana" w:hAnsi="Verdana" w:cs="Arial"/>
          <w:lang w:val="es-ES"/>
        </w:rPr>
      </w:pPr>
    </w:p>
    <w:p w14:paraId="23C41564" w14:textId="77777777" w:rsidR="004C63A3" w:rsidRPr="00206556" w:rsidRDefault="004C63A3" w:rsidP="004C63A3">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34755FDE" w14:textId="77777777" w:rsidR="004C63A3" w:rsidRPr="00206556" w:rsidRDefault="004C63A3" w:rsidP="004C63A3">
      <w:pPr>
        <w:autoSpaceDE w:val="0"/>
        <w:autoSpaceDN w:val="0"/>
        <w:adjustRightInd w:val="0"/>
        <w:spacing w:after="0" w:line="276" w:lineRule="auto"/>
        <w:rPr>
          <w:rFonts w:ascii="Verdana" w:eastAsia="Calibri" w:hAnsi="Verdana" w:cs="Arial"/>
          <w:noProof/>
          <w:sz w:val="20"/>
          <w:szCs w:val="20"/>
        </w:rPr>
      </w:pPr>
    </w:p>
    <w:p w14:paraId="15EB8684" w14:textId="1C1F747B" w:rsidR="004C63A3" w:rsidRPr="00206556" w:rsidRDefault="008B4FB2" w:rsidP="004C63A3">
      <w:pPr>
        <w:spacing w:after="0" w:line="256"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7DC45D9C" wp14:editId="71481C1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p w14:paraId="079438A5" w14:textId="77777777" w:rsidR="004C63A3" w:rsidRPr="00206556" w:rsidRDefault="004C63A3" w:rsidP="004C63A3">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4C63A3" w:rsidRPr="00206556" w14:paraId="63402B68" w14:textId="77777777" w:rsidTr="000A6384">
        <w:trPr>
          <w:trHeight w:val="322"/>
        </w:trPr>
        <w:tc>
          <w:tcPr>
            <w:tcW w:w="733" w:type="dxa"/>
            <w:tcBorders>
              <w:top w:val="nil"/>
              <w:left w:val="nil"/>
              <w:bottom w:val="nil"/>
              <w:right w:val="nil"/>
            </w:tcBorders>
            <w:vAlign w:val="center"/>
            <w:hideMark/>
          </w:tcPr>
          <w:p w14:paraId="5C4DB861"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CA7420C" w14:textId="77777777" w:rsidR="004C63A3" w:rsidRPr="00206556" w:rsidRDefault="004C63A3" w:rsidP="000A6384">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279D93E9" w14:textId="77777777" w:rsidR="004C63A3" w:rsidRPr="00A5703A" w:rsidRDefault="004C63A3" w:rsidP="000A6384">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tc>
      </w:tr>
      <w:tr w:rsidR="004C63A3" w:rsidRPr="00206556" w14:paraId="4015DB90" w14:textId="77777777" w:rsidTr="000A6384">
        <w:trPr>
          <w:trHeight w:val="322"/>
        </w:trPr>
        <w:tc>
          <w:tcPr>
            <w:tcW w:w="733" w:type="dxa"/>
            <w:tcBorders>
              <w:top w:val="nil"/>
              <w:left w:val="nil"/>
              <w:bottom w:val="nil"/>
              <w:right w:val="nil"/>
            </w:tcBorders>
            <w:vAlign w:val="center"/>
            <w:hideMark/>
          </w:tcPr>
          <w:p w14:paraId="2FCE25D9"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28ED358" w14:textId="77777777" w:rsidR="004C63A3" w:rsidRPr="00206556" w:rsidRDefault="004C63A3" w:rsidP="000A6384">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Saavedra</w:t>
            </w:r>
          </w:p>
          <w:p w14:paraId="0C4EA4D3" w14:textId="77777777" w:rsidR="004C63A3" w:rsidRPr="00A5703A" w:rsidRDefault="004C63A3" w:rsidP="000A6384">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4C63A3" w:rsidRPr="00206556" w14:paraId="07D5D7B1" w14:textId="77777777" w:rsidTr="000A6384">
        <w:trPr>
          <w:trHeight w:val="307"/>
        </w:trPr>
        <w:tc>
          <w:tcPr>
            <w:tcW w:w="733" w:type="dxa"/>
            <w:tcBorders>
              <w:top w:val="nil"/>
              <w:left w:val="nil"/>
              <w:bottom w:val="nil"/>
              <w:right w:val="nil"/>
            </w:tcBorders>
            <w:vAlign w:val="center"/>
            <w:hideMark/>
          </w:tcPr>
          <w:p w14:paraId="219503E6"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CC34733" w14:textId="77777777" w:rsidR="004C63A3" w:rsidRPr="00206556" w:rsidRDefault="004C63A3" w:rsidP="000A6384">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1A8F55A8" w14:textId="77777777" w:rsidR="004C63A3" w:rsidRPr="00206556" w:rsidRDefault="004C63A3" w:rsidP="000A6384">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31C0439E" w14:textId="77777777" w:rsidR="004C63A3" w:rsidRDefault="004C63A3" w:rsidP="004C63A3">
      <w:pPr>
        <w:autoSpaceDE w:val="0"/>
        <w:autoSpaceDN w:val="0"/>
        <w:adjustRightInd w:val="0"/>
        <w:spacing w:after="0" w:line="276" w:lineRule="auto"/>
        <w:jc w:val="center"/>
        <w:rPr>
          <w:rFonts w:ascii="Verdana" w:eastAsia="Calibri" w:hAnsi="Verdana" w:cs="Arial"/>
        </w:rPr>
      </w:pPr>
    </w:p>
    <w:p w14:paraId="0F293BF4" w14:textId="64536B0C" w:rsidR="00127233" w:rsidRPr="004C63A3" w:rsidRDefault="00127233" w:rsidP="004C63A3"/>
    <w:sectPr w:rsidR="00127233" w:rsidRPr="004C63A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F308D" w14:textId="77777777" w:rsidR="00095749" w:rsidRDefault="00095749" w:rsidP="004A1847">
      <w:pPr>
        <w:spacing w:after="0" w:line="240" w:lineRule="auto"/>
      </w:pPr>
      <w:r>
        <w:separator/>
      </w:r>
    </w:p>
  </w:endnote>
  <w:endnote w:type="continuationSeparator" w:id="0">
    <w:p w14:paraId="61414519" w14:textId="77777777" w:rsidR="00095749" w:rsidRDefault="0009574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DE3F3" w14:textId="77777777" w:rsidR="00095749" w:rsidRDefault="00095749" w:rsidP="004A1847">
      <w:pPr>
        <w:spacing w:after="0" w:line="240" w:lineRule="auto"/>
      </w:pPr>
      <w:r>
        <w:separator/>
      </w:r>
    </w:p>
  </w:footnote>
  <w:footnote w:type="continuationSeparator" w:id="0">
    <w:p w14:paraId="7EC71E67" w14:textId="77777777" w:rsidR="00095749" w:rsidRDefault="00095749" w:rsidP="004A1847">
      <w:pPr>
        <w:spacing w:after="0" w:line="240" w:lineRule="auto"/>
      </w:pPr>
      <w:r>
        <w:continuationSeparator/>
      </w:r>
    </w:p>
  </w:footnote>
  <w:footnote w:id="1">
    <w:p w14:paraId="51EB9D0D" w14:textId="77777777" w:rsidR="004C63A3" w:rsidRPr="00206556" w:rsidRDefault="004C63A3" w:rsidP="004C63A3">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56F4EEA9" w14:textId="77777777" w:rsidR="004C63A3" w:rsidRPr="00206556" w:rsidRDefault="004C63A3" w:rsidP="004C63A3">
      <w:pPr>
        <w:spacing w:after="80" w:line="240" w:lineRule="auto"/>
        <w:ind w:firstLine="708"/>
        <w:jc w:val="both"/>
        <w:rPr>
          <w:rFonts w:ascii="Verdana" w:hAnsi="Verdana"/>
          <w:sz w:val="16"/>
          <w:szCs w:val="16"/>
        </w:rPr>
      </w:pPr>
    </w:p>
  </w:footnote>
  <w:footnote w:id="2">
    <w:p w14:paraId="0D74BBAA" w14:textId="77777777" w:rsidR="004C63A3" w:rsidRPr="00206556" w:rsidRDefault="004C63A3" w:rsidP="004C63A3">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52501C4F" w14:textId="77777777" w:rsidR="004C63A3" w:rsidRPr="00206556" w:rsidRDefault="004C63A3" w:rsidP="004C63A3">
      <w:pPr>
        <w:pStyle w:val="Textonotapie"/>
        <w:ind w:firstLine="708"/>
        <w:jc w:val="both"/>
        <w:rPr>
          <w:rFonts w:ascii="Verdana" w:hAnsi="Verdana"/>
          <w:sz w:val="16"/>
          <w:szCs w:val="16"/>
          <w:lang w:val="es-ES"/>
        </w:rPr>
      </w:pPr>
    </w:p>
  </w:footnote>
  <w:footnote w:id="3">
    <w:p w14:paraId="665ADB56" w14:textId="77777777" w:rsidR="004C63A3" w:rsidRPr="00206556" w:rsidRDefault="004C63A3" w:rsidP="004C63A3">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469D6DE0" w14:textId="77777777" w:rsidR="004C63A3" w:rsidRPr="00206556" w:rsidRDefault="004C63A3" w:rsidP="004C63A3">
      <w:pPr>
        <w:spacing w:after="80" w:line="240" w:lineRule="auto"/>
        <w:ind w:firstLine="708"/>
        <w:jc w:val="both"/>
        <w:rPr>
          <w:rFonts w:ascii="Verdana" w:hAnsi="Verdana"/>
          <w:sz w:val="16"/>
          <w:szCs w:val="16"/>
        </w:rPr>
      </w:pPr>
    </w:p>
  </w:footnote>
  <w:footnote w:id="4">
    <w:p w14:paraId="208CF8FA" w14:textId="77777777" w:rsidR="004C63A3" w:rsidRPr="00206556" w:rsidRDefault="004C63A3" w:rsidP="004C63A3">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5B38570D" w14:textId="77777777" w:rsidR="004C63A3" w:rsidRPr="00206556" w:rsidRDefault="004C63A3" w:rsidP="004C63A3">
      <w:pPr>
        <w:pStyle w:val="Textonotapie"/>
        <w:ind w:firstLine="708"/>
        <w:jc w:val="both"/>
        <w:rPr>
          <w:rFonts w:ascii="Verdana" w:hAnsi="Verdana"/>
          <w:sz w:val="16"/>
          <w:szCs w:val="16"/>
          <w:lang w:val="es-ES"/>
        </w:rPr>
      </w:pPr>
    </w:p>
  </w:footnote>
  <w:footnote w:id="5">
    <w:p w14:paraId="1B706B76" w14:textId="77777777" w:rsidR="004C63A3" w:rsidRPr="00206556" w:rsidRDefault="004C63A3" w:rsidP="004C63A3">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42D74A42" w14:textId="77777777" w:rsidR="004C63A3" w:rsidRPr="00206556" w:rsidRDefault="004C63A3" w:rsidP="004C63A3">
      <w:pPr>
        <w:pStyle w:val="Textonotapie"/>
        <w:ind w:firstLine="708"/>
        <w:jc w:val="both"/>
        <w:rPr>
          <w:rFonts w:ascii="Verdana" w:hAnsi="Verdana"/>
          <w:sz w:val="16"/>
          <w:szCs w:val="16"/>
          <w:lang w:val="es-ES"/>
        </w:rPr>
      </w:pPr>
    </w:p>
  </w:footnote>
  <w:footnote w:id="6">
    <w:p w14:paraId="5848AF40" w14:textId="77777777" w:rsidR="004C63A3" w:rsidRPr="00206556" w:rsidRDefault="004C63A3" w:rsidP="004C63A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77780BF4" w14:textId="77777777" w:rsidR="004C63A3" w:rsidRPr="00206556" w:rsidRDefault="004C63A3" w:rsidP="004C63A3">
      <w:pPr>
        <w:pStyle w:val="Textonotapie"/>
        <w:ind w:firstLine="708"/>
        <w:rPr>
          <w:rFonts w:ascii="Verdana" w:hAnsi="Verdana"/>
          <w:sz w:val="16"/>
          <w:szCs w:val="16"/>
          <w:lang w:val="es-ES"/>
        </w:rPr>
      </w:pPr>
    </w:p>
  </w:footnote>
  <w:footnote w:id="7">
    <w:p w14:paraId="536F8A72" w14:textId="77777777" w:rsidR="004C63A3" w:rsidRPr="00206556" w:rsidRDefault="004C63A3" w:rsidP="004C63A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791F2C86" w14:textId="77777777" w:rsidR="004C63A3" w:rsidRPr="00206556" w:rsidRDefault="004C63A3" w:rsidP="004C63A3">
      <w:pPr>
        <w:pStyle w:val="Textonotapie"/>
        <w:ind w:firstLine="708"/>
        <w:rPr>
          <w:rFonts w:ascii="Verdana" w:hAnsi="Verdana"/>
          <w:sz w:val="16"/>
          <w:szCs w:val="16"/>
          <w:lang w:val="es-ES"/>
        </w:rPr>
      </w:pPr>
    </w:p>
  </w:footnote>
  <w:footnote w:id="8">
    <w:p w14:paraId="3BFC0D36" w14:textId="77777777" w:rsidR="004C63A3" w:rsidRPr="00206556" w:rsidRDefault="004C63A3" w:rsidP="004C63A3">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54F"/>
    <w:rsid w:val="0001101B"/>
    <w:rsid w:val="00016F78"/>
    <w:rsid w:val="00046945"/>
    <w:rsid w:val="00056E19"/>
    <w:rsid w:val="00061B2A"/>
    <w:rsid w:val="000632F6"/>
    <w:rsid w:val="00065997"/>
    <w:rsid w:val="00077905"/>
    <w:rsid w:val="00082362"/>
    <w:rsid w:val="00090870"/>
    <w:rsid w:val="000918AD"/>
    <w:rsid w:val="00095749"/>
    <w:rsid w:val="000A683E"/>
    <w:rsid w:val="000B19B9"/>
    <w:rsid w:val="000D0334"/>
    <w:rsid w:val="000D566D"/>
    <w:rsid w:val="000D5DA7"/>
    <w:rsid w:val="000D6851"/>
    <w:rsid w:val="000D7A78"/>
    <w:rsid w:val="000E3E5A"/>
    <w:rsid w:val="000F6486"/>
    <w:rsid w:val="00116940"/>
    <w:rsid w:val="00121FA5"/>
    <w:rsid w:val="00125105"/>
    <w:rsid w:val="00127233"/>
    <w:rsid w:val="0013150D"/>
    <w:rsid w:val="00140425"/>
    <w:rsid w:val="001445D7"/>
    <w:rsid w:val="0015037E"/>
    <w:rsid w:val="0015699B"/>
    <w:rsid w:val="00162B86"/>
    <w:rsid w:val="001A002B"/>
    <w:rsid w:val="001A33BF"/>
    <w:rsid w:val="001E4177"/>
    <w:rsid w:val="001E7DB6"/>
    <w:rsid w:val="001E7F1A"/>
    <w:rsid w:val="001F0B24"/>
    <w:rsid w:val="001F22AB"/>
    <w:rsid w:val="001F7DC6"/>
    <w:rsid w:val="00221F73"/>
    <w:rsid w:val="0022400B"/>
    <w:rsid w:val="002421BB"/>
    <w:rsid w:val="0025796E"/>
    <w:rsid w:val="002707A2"/>
    <w:rsid w:val="00272199"/>
    <w:rsid w:val="002951A0"/>
    <w:rsid w:val="002962BC"/>
    <w:rsid w:val="002A093D"/>
    <w:rsid w:val="002A0DD0"/>
    <w:rsid w:val="002A49AC"/>
    <w:rsid w:val="002A64FD"/>
    <w:rsid w:val="002B118B"/>
    <w:rsid w:val="002B5A42"/>
    <w:rsid w:val="002B5D3A"/>
    <w:rsid w:val="002C7A84"/>
    <w:rsid w:val="002D34FB"/>
    <w:rsid w:val="002E208D"/>
    <w:rsid w:val="002E2BF8"/>
    <w:rsid w:val="002E4FD9"/>
    <w:rsid w:val="0030657A"/>
    <w:rsid w:val="00312A08"/>
    <w:rsid w:val="00322A85"/>
    <w:rsid w:val="00324168"/>
    <w:rsid w:val="00325DB4"/>
    <w:rsid w:val="00330834"/>
    <w:rsid w:val="00330DC0"/>
    <w:rsid w:val="00343662"/>
    <w:rsid w:val="003448F4"/>
    <w:rsid w:val="003514DA"/>
    <w:rsid w:val="00353D6F"/>
    <w:rsid w:val="00355933"/>
    <w:rsid w:val="00374F5E"/>
    <w:rsid w:val="00377E3E"/>
    <w:rsid w:val="00384A8F"/>
    <w:rsid w:val="00394428"/>
    <w:rsid w:val="003A3FC7"/>
    <w:rsid w:val="003A49F6"/>
    <w:rsid w:val="003A4AA0"/>
    <w:rsid w:val="003A779E"/>
    <w:rsid w:val="003D0F4D"/>
    <w:rsid w:val="003D12E9"/>
    <w:rsid w:val="003D5B0D"/>
    <w:rsid w:val="003E0499"/>
    <w:rsid w:val="003E4224"/>
    <w:rsid w:val="003E4F80"/>
    <w:rsid w:val="003E6439"/>
    <w:rsid w:val="003F3941"/>
    <w:rsid w:val="003F67F8"/>
    <w:rsid w:val="0040408D"/>
    <w:rsid w:val="00406575"/>
    <w:rsid w:val="00414C74"/>
    <w:rsid w:val="00415D53"/>
    <w:rsid w:val="0042186B"/>
    <w:rsid w:val="004250D7"/>
    <w:rsid w:val="0042722E"/>
    <w:rsid w:val="00442687"/>
    <w:rsid w:val="0044528D"/>
    <w:rsid w:val="00466E39"/>
    <w:rsid w:val="004933DA"/>
    <w:rsid w:val="00496DFE"/>
    <w:rsid w:val="004A1847"/>
    <w:rsid w:val="004A305D"/>
    <w:rsid w:val="004A4215"/>
    <w:rsid w:val="004B0785"/>
    <w:rsid w:val="004B7084"/>
    <w:rsid w:val="004B72AB"/>
    <w:rsid w:val="004C63A3"/>
    <w:rsid w:val="004D0174"/>
    <w:rsid w:val="004D3F6D"/>
    <w:rsid w:val="004D73B1"/>
    <w:rsid w:val="004F056A"/>
    <w:rsid w:val="004F21C4"/>
    <w:rsid w:val="004F50AB"/>
    <w:rsid w:val="004F52EC"/>
    <w:rsid w:val="004F685F"/>
    <w:rsid w:val="004F7B00"/>
    <w:rsid w:val="00505EB3"/>
    <w:rsid w:val="00522D9E"/>
    <w:rsid w:val="00522E94"/>
    <w:rsid w:val="005321F3"/>
    <w:rsid w:val="00532662"/>
    <w:rsid w:val="00542856"/>
    <w:rsid w:val="00543658"/>
    <w:rsid w:val="005458C3"/>
    <w:rsid w:val="00551A3D"/>
    <w:rsid w:val="00553936"/>
    <w:rsid w:val="00555454"/>
    <w:rsid w:val="005566E8"/>
    <w:rsid w:val="005640D7"/>
    <w:rsid w:val="00574867"/>
    <w:rsid w:val="00585D2C"/>
    <w:rsid w:val="00590106"/>
    <w:rsid w:val="00591460"/>
    <w:rsid w:val="005A0A1D"/>
    <w:rsid w:val="005A65E0"/>
    <w:rsid w:val="005A72BA"/>
    <w:rsid w:val="005C3777"/>
    <w:rsid w:val="005C5CDC"/>
    <w:rsid w:val="005D476C"/>
    <w:rsid w:val="005E3211"/>
    <w:rsid w:val="005E4217"/>
    <w:rsid w:val="006125FC"/>
    <w:rsid w:val="006200BF"/>
    <w:rsid w:val="006219F8"/>
    <w:rsid w:val="006302F7"/>
    <w:rsid w:val="00637A69"/>
    <w:rsid w:val="00643B1D"/>
    <w:rsid w:val="00646B9F"/>
    <w:rsid w:val="00651584"/>
    <w:rsid w:val="00665D70"/>
    <w:rsid w:val="00673FDE"/>
    <w:rsid w:val="006900D9"/>
    <w:rsid w:val="0069615C"/>
    <w:rsid w:val="00696F75"/>
    <w:rsid w:val="00697C55"/>
    <w:rsid w:val="006A2ABF"/>
    <w:rsid w:val="006A3522"/>
    <w:rsid w:val="006C4CCF"/>
    <w:rsid w:val="00701BF5"/>
    <w:rsid w:val="00701C3C"/>
    <w:rsid w:val="00706C16"/>
    <w:rsid w:val="007327C3"/>
    <w:rsid w:val="007340C3"/>
    <w:rsid w:val="00742180"/>
    <w:rsid w:val="007449A0"/>
    <w:rsid w:val="00751F42"/>
    <w:rsid w:val="0075235A"/>
    <w:rsid w:val="00756841"/>
    <w:rsid w:val="007649AB"/>
    <w:rsid w:val="007661E2"/>
    <w:rsid w:val="00771D0C"/>
    <w:rsid w:val="007833AC"/>
    <w:rsid w:val="007937F6"/>
    <w:rsid w:val="00797896"/>
    <w:rsid w:val="007B268C"/>
    <w:rsid w:val="007B7171"/>
    <w:rsid w:val="007C0C0F"/>
    <w:rsid w:val="007C3DC2"/>
    <w:rsid w:val="007C40AC"/>
    <w:rsid w:val="007E5497"/>
    <w:rsid w:val="007F5048"/>
    <w:rsid w:val="007F53CB"/>
    <w:rsid w:val="008020FA"/>
    <w:rsid w:val="00806F5F"/>
    <w:rsid w:val="00811DAF"/>
    <w:rsid w:val="00820278"/>
    <w:rsid w:val="00821910"/>
    <w:rsid w:val="00821DB9"/>
    <w:rsid w:val="00821FED"/>
    <w:rsid w:val="008258C9"/>
    <w:rsid w:val="00842801"/>
    <w:rsid w:val="00844AE9"/>
    <w:rsid w:val="00851BE0"/>
    <w:rsid w:val="00867F95"/>
    <w:rsid w:val="008714D6"/>
    <w:rsid w:val="008843B6"/>
    <w:rsid w:val="00891928"/>
    <w:rsid w:val="008A446D"/>
    <w:rsid w:val="008B1FF1"/>
    <w:rsid w:val="008B25F1"/>
    <w:rsid w:val="008B41F3"/>
    <w:rsid w:val="008B4FB2"/>
    <w:rsid w:val="008D180B"/>
    <w:rsid w:val="008D4076"/>
    <w:rsid w:val="008E4FD7"/>
    <w:rsid w:val="008F0EA7"/>
    <w:rsid w:val="00901C09"/>
    <w:rsid w:val="00923EEF"/>
    <w:rsid w:val="009419F9"/>
    <w:rsid w:val="00954D32"/>
    <w:rsid w:val="00955679"/>
    <w:rsid w:val="0095685E"/>
    <w:rsid w:val="00961B09"/>
    <w:rsid w:val="009635C0"/>
    <w:rsid w:val="00965334"/>
    <w:rsid w:val="00966696"/>
    <w:rsid w:val="0097093E"/>
    <w:rsid w:val="009A0DFA"/>
    <w:rsid w:val="009A1AAD"/>
    <w:rsid w:val="009A1C6F"/>
    <w:rsid w:val="009A56AC"/>
    <w:rsid w:val="009B2D26"/>
    <w:rsid w:val="009B5C83"/>
    <w:rsid w:val="009B66E5"/>
    <w:rsid w:val="009C71FA"/>
    <w:rsid w:val="009C72E7"/>
    <w:rsid w:val="009C7F7E"/>
    <w:rsid w:val="009D3058"/>
    <w:rsid w:val="009E00D1"/>
    <w:rsid w:val="009F3A13"/>
    <w:rsid w:val="00A122D3"/>
    <w:rsid w:val="00A13D80"/>
    <w:rsid w:val="00A14468"/>
    <w:rsid w:val="00A16D82"/>
    <w:rsid w:val="00A17F13"/>
    <w:rsid w:val="00A20739"/>
    <w:rsid w:val="00A23AF9"/>
    <w:rsid w:val="00A33BFF"/>
    <w:rsid w:val="00A33C78"/>
    <w:rsid w:val="00A47F55"/>
    <w:rsid w:val="00A67F0C"/>
    <w:rsid w:val="00A804C5"/>
    <w:rsid w:val="00A9551C"/>
    <w:rsid w:val="00AB0ADB"/>
    <w:rsid w:val="00AB7BF7"/>
    <w:rsid w:val="00AC6F99"/>
    <w:rsid w:val="00AD3850"/>
    <w:rsid w:val="00AD5671"/>
    <w:rsid w:val="00AD5923"/>
    <w:rsid w:val="00AD6E7A"/>
    <w:rsid w:val="00AD700F"/>
    <w:rsid w:val="00AE5B64"/>
    <w:rsid w:val="00AE7741"/>
    <w:rsid w:val="00AF7009"/>
    <w:rsid w:val="00B00C0E"/>
    <w:rsid w:val="00B01B1A"/>
    <w:rsid w:val="00B0381D"/>
    <w:rsid w:val="00B10088"/>
    <w:rsid w:val="00B36E66"/>
    <w:rsid w:val="00B418FD"/>
    <w:rsid w:val="00B44A47"/>
    <w:rsid w:val="00B54ACA"/>
    <w:rsid w:val="00B70A56"/>
    <w:rsid w:val="00B72CD3"/>
    <w:rsid w:val="00B72FFF"/>
    <w:rsid w:val="00B746E9"/>
    <w:rsid w:val="00B74F0F"/>
    <w:rsid w:val="00B764A4"/>
    <w:rsid w:val="00B86811"/>
    <w:rsid w:val="00BB1DC5"/>
    <w:rsid w:val="00BC3D36"/>
    <w:rsid w:val="00BD33DE"/>
    <w:rsid w:val="00BD54A6"/>
    <w:rsid w:val="00BD7F72"/>
    <w:rsid w:val="00BE77BD"/>
    <w:rsid w:val="00BF7425"/>
    <w:rsid w:val="00C04FB3"/>
    <w:rsid w:val="00C05733"/>
    <w:rsid w:val="00C11D8B"/>
    <w:rsid w:val="00C137DA"/>
    <w:rsid w:val="00C15139"/>
    <w:rsid w:val="00C267E7"/>
    <w:rsid w:val="00C330EB"/>
    <w:rsid w:val="00C378CB"/>
    <w:rsid w:val="00C4675B"/>
    <w:rsid w:val="00C50D69"/>
    <w:rsid w:val="00C5365C"/>
    <w:rsid w:val="00C64A64"/>
    <w:rsid w:val="00C7259A"/>
    <w:rsid w:val="00C754BE"/>
    <w:rsid w:val="00C76B1C"/>
    <w:rsid w:val="00C826E3"/>
    <w:rsid w:val="00C85047"/>
    <w:rsid w:val="00C925AC"/>
    <w:rsid w:val="00C966E0"/>
    <w:rsid w:val="00CA1CD2"/>
    <w:rsid w:val="00CB08B2"/>
    <w:rsid w:val="00CB0DB3"/>
    <w:rsid w:val="00CB6357"/>
    <w:rsid w:val="00CC1B26"/>
    <w:rsid w:val="00CC26C0"/>
    <w:rsid w:val="00CC297F"/>
    <w:rsid w:val="00CD661D"/>
    <w:rsid w:val="00CE57BF"/>
    <w:rsid w:val="00D361FD"/>
    <w:rsid w:val="00D423A2"/>
    <w:rsid w:val="00D44E26"/>
    <w:rsid w:val="00D45069"/>
    <w:rsid w:val="00D4753E"/>
    <w:rsid w:val="00D520D8"/>
    <w:rsid w:val="00D63AC2"/>
    <w:rsid w:val="00D7383B"/>
    <w:rsid w:val="00D7788A"/>
    <w:rsid w:val="00D83BD2"/>
    <w:rsid w:val="00D84901"/>
    <w:rsid w:val="00DA231B"/>
    <w:rsid w:val="00DA5B3B"/>
    <w:rsid w:val="00DB1A42"/>
    <w:rsid w:val="00DC0222"/>
    <w:rsid w:val="00DC39FC"/>
    <w:rsid w:val="00DC7E78"/>
    <w:rsid w:val="00DD728B"/>
    <w:rsid w:val="00DF5254"/>
    <w:rsid w:val="00DF709C"/>
    <w:rsid w:val="00E02524"/>
    <w:rsid w:val="00E16408"/>
    <w:rsid w:val="00E16E74"/>
    <w:rsid w:val="00E20894"/>
    <w:rsid w:val="00E22EFB"/>
    <w:rsid w:val="00E245AB"/>
    <w:rsid w:val="00E26377"/>
    <w:rsid w:val="00E2764C"/>
    <w:rsid w:val="00E27F2E"/>
    <w:rsid w:val="00E34816"/>
    <w:rsid w:val="00E45FF1"/>
    <w:rsid w:val="00E47DFF"/>
    <w:rsid w:val="00E50AFE"/>
    <w:rsid w:val="00E75C92"/>
    <w:rsid w:val="00E771DC"/>
    <w:rsid w:val="00E774E5"/>
    <w:rsid w:val="00E82856"/>
    <w:rsid w:val="00E8772A"/>
    <w:rsid w:val="00E90F6B"/>
    <w:rsid w:val="00E92002"/>
    <w:rsid w:val="00E92C27"/>
    <w:rsid w:val="00E97A59"/>
    <w:rsid w:val="00EA0E3D"/>
    <w:rsid w:val="00EA596B"/>
    <w:rsid w:val="00EC08F2"/>
    <w:rsid w:val="00EC38A7"/>
    <w:rsid w:val="00ED7B6B"/>
    <w:rsid w:val="00EE1AA8"/>
    <w:rsid w:val="00EF1EC3"/>
    <w:rsid w:val="00EF7B51"/>
    <w:rsid w:val="00F13A0A"/>
    <w:rsid w:val="00F23FEA"/>
    <w:rsid w:val="00F26334"/>
    <w:rsid w:val="00F31EDC"/>
    <w:rsid w:val="00F45E32"/>
    <w:rsid w:val="00F462B3"/>
    <w:rsid w:val="00F5664F"/>
    <w:rsid w:val="00F666C4"/>
    <w:rsid w:val="00F67064"/>
    <w:rsid w:val="00F76AFC"/>
    <w:rsid w:val="00F80676"/>
    <w:rsid w:val="00FA47C0"/>
    <w:rsid w:val="00FB5DD1"/>
    <w:rsid w:val="00FC2B5D"/>
    <w:rsid w:val="00FC349E"/>
    <w:rsid w:val="00FC6937"/>
    <w:rsid w:val="00FE5955"/>
    <w:rsid w:val="00FF1449"/>
    <w:rsid w:val="00FF213B"/>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1EE397B"/>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C63A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A68D33-4B11-4238-A9CA-58E81E8D7BF0}"/>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113</TotalTime>
  <Pages>23</Pages>
  <Words>7685</Words>
  <Characters>42273</Characters>
  <Application>Microsoft Office Word</Application>
  <DocSecurity>0</DocSecurity>
  <Lines>352</Lines>
  <Paragraphs>99</Paragraphs>
  <ScaleCrop>false</ScaleCrop>
  <Company/>
  <LinksUpToDate>false</LinksUpToDate>
  <CharactersWithSpaces>49859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56</cp:revision>
  <cp:lastPrinted>2023-01-10T21:18:00Z</cp:lastPrinted>
  <dcterms:created xsi:type="dcterms:W3CDTF">2026-05-21T21:23:00Z</dcterms:created>
  <dcterms:modified xsi:type="dcterms:W3CDTF">2026-06-01T20:53:00Z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