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C83906" w14:textId="77777777" w:rsidR="00DE6178" w:rsidRPr="00EE7E31" w:rsidRDefault="00DE6178" w:rsidP="00DE6178">
      <w:pPr>
        <w:jc w:val="right"/>
        <w:rPr>
          <w:rFonts w:ascii="Arial" w:eastAsia="Calibri" w:hAnsi="Arial" w:cs="Arial"/>
          <w:b/>
          <w:color w:val="000000" w:themeColor="text1"/>
          <w:sz w:val="20"/>
          <w:szCs w:val="20"/>
          <w:lang w:val="es-ES_tradnl"/>
        </w:rPr>
      </w:pPr>
      <w:bookmarkStart w:id="0" w:name="_Hlk28946138"/>
      <w:bookmarkStart w:id="1" w:name="_Hlk29548183"/>
      <w:r w:rsidRPr="00EE7E31">
        <w:rPr>
          <w:rFonts w:ascii="Arial" w:hAnsi="Arial" w:cs="Arial"/>
          <w:bCs/>
          <w:color w:val="000000" w:themeColor="text1"/>
          <w:sz w:val="16"/>
          <w:szCs w:val="16"/>
          <w:lang w:val="es-ES_tradnl" w:eastAsia="es-ES"/>
        </w:rPr>
        <w:t>CCE-DES-FM-17</w:t>
      </w:r>
      <w:bookmarkEnd w:id="0"/>
      <w:bookmarkEnd w:id="1"/>
    </w:p>
    <w:p w14:paraId="214079D1" w14:textId="77777777" w:rsidR="00DE6178" w:rsidRPr="00EE7E31" w:rsidRDefault="00DE6178" w:rsidP="00DE6178">
      <w:pPr>
        <w:jc w:val="both"/>
        <w:rPr>
          <w:rFonts w:ascii="Arial" w:hAnsi="Arial" w:cs="Arial"/>
          <w:color w:val="000000" w:themeColor="text1"/>
          <w:sz w:val="22"/>
          <w:lang w:val="es-ES_tradnl"/>
        </w:rPr>
      </w:pPr>
    </w:p>
    <w:p w14:paraId="418E0A36" w14:textId="77777777" w:rsidR="00DE6178" w:rsidRPr="00EE7E31" w:rsidRDefault="00DE6178" w:rsidP="00DE6178">
      <w:pPr>
        <w:jc w:val="both"/>
        <w:rPr>
          <w:rFonts w:ascii="Arial" w:eastAsia="Calibri" w:hAnsi="Arial" w:cs="Arial"/>
          <w:b/>
          <w:sz w:val="22"/>
          <w:lang w:val="es-ES_tradnl"/>
        </w:rPr>
      </w:pPr>
    </w:p>
    <w:p w14:paraId="012A97CE" w14:textId="77777777" w:rsidR="00DE6178" w:rsidRPr="00EE7E31" w:rsidRDefault="00DE6178" w:rsidP="00DE6178">
      <w:pPr>
        <w:jc w:val="both"/>
        <w:rPr>
          <w:rFonts w:ascii="Arial" w:eastAsia="Calibri" w:hAnsi="Arial" w:cs="Arial"/>
          <w:b/>
          <w:sz w:val="22"/>
          <w:lang w:val="es-ES_tradnl"/>
        </w:rPr>
      </w:pPr>
      <w:r w:rsidRPr="00EE7E31">
        <w:rPr>
          <w:rFonts w:ascii="Arial" w:eastAsia="Calibri" w:hAnsi="Arial" w:cs="Arial"/>
          <w:b/>
          <w:sz w:val="22"/>
          <w:lang w:val="es-ES_tradnl"/>
        </w:rPr>
        <w:t xml:space="preserve">DOCUMENTOS TIPO </w:t>
      </w:r>
      <w:r w:rsidRPr="00EE7E31">
        <w:rPr>
          <w:rFonts w:ascii="Arial" w:eastAsia="Calibri" w:hAnsi="Arial" w:cs="Arial"/>
          <w:b/>
          <w:color w:val="000000" w:themeColor="text1"/>
          <w:sz w:val="22"/>
          <w:lang w:val="es-ES_tradnl"/>
        </w:rPr>
        <w:t>–</w:t>
      </w:r>
      <w:r w:rsidRPr="00EE7E31">
        <w:rPr>
          <w:rFonts w:ascii="Arial" w:eastAsia="Calibri" w:hAnsi="Arial" w:cs="Arial"/>
          <w:b/>
          <w:sz w:val="22"/>
          <w:lang w:val="es-ES_tradnl"/>
        </w:rPr>
        <w:t xml:space="preserve"> Fundamento normativo </w:t>
      </w:r>
      <w:r w:rsidRPr="00EE7E31">
        <w:rPr>
          <w:rFonts w:ascii="Arial" w:eastAsia="Calibri" w:hAnsi="Arial" w:cs="Arial"/>
          <w:b/>
          <w:color w:val="000000" w:themeColor="text1"/>
          <w:sz w:val="22"/>
          <w:lang w:val="es-ES_tradnl"/>
        </w:rPr>
        <w:t xml:space="preserve">– </w:t>
      </w:r>
      <w:r w:rsidRPr="00EE7E31">
        <w:rPr>
          <w:rFonts w:ascii="Arial" w:eastAsia="Calibri" w:hAnsi="Arial" w:cs="Arial"/>
          <w:b/>
          <w:sz w:val="22"/>
          <w:lang w:val="es-ES_tradnl"/>
        </w:rPr>
        <w:t>Ley 2022 de 2020 – Artículo 1</w:t>
      </w:r>
    </w:p>
    <w:p w14:paraId="5A0E79AC" w14:textId="77777777" w:rsidR="00DE6178" w:rsidRPr="00EE7E31" w:rsidRDefault="00DE6178" w:rsidP="00DE6178">
      <w:pPr>
        <w:jc w:val="both"/>
        <w:rPr>
          <w:rFonts w:ascii="Arial" w:eastAsia="Calibri" w:hAnsi="Arial" w:cs="Arial"/>
          <w:b/>
          <w:sz w:val="22"/>
          <w:lang w:val="es-ES_tradnl"/>
        </w:rPr>
      </w:pPr>
    </w:p>
    <w:p w14:paraId="785EB265" w14:textId="77777777" w:rsidR="00DE6178" w:rsidRPr="00EE7E31" w:rsidRDefault="00DE6178" w:rsidP="00DE6178">
      <w:pPr>
        <w:jc w:val="both"/>
        <w:rPr>
          <w:rFonts w:ascii="Arial" w:eastAsia="Calibri" w:hAnsi="Arial" w:cs="Arial"/>
          <w:sz w:val="20"/>
          <w:szCs w:val="20"/>
          <w:lang w:val="es-ES_tradnl"/>
        </w:rPr>
      </w:pPr>
      <w:r w:rsidRPr="00EE7E31">
        <w:rPr>
          <w:rFonts w:ascii="Arial" w:eastAsia="Calibri" w:hAnsi="Arial" w:cs="Arial"/>
          <w:sz w:val="20"/>
          <w:szCs w:val="20"/>
          <w:lang w:val="es-ES_tradnl"/>
        </w:rPr>
        <w:t>[…]</w:t>
      </w:r>
      <w:r>
        <w:rPr>
          <w:rFonts w:ascii="Arial" w:eastAsia="Calibri" w:hAnsi="Arial" w:cs="Arial"/>
          <w:sz w:val="20"/>
          <w:szCs w:val="20"/>
          <w:lang w:val="es-ES_tradnl"/>
        </w:rPr>
        <w:t xml:space="preserve"> </w:t>
      </w:r>
      <w:r w:rsidRPr="00EC3BE3">
        <w:rPr>
          <w:rFonts w:ascii="Arial" w:eastAsia="Calibri" w:hAnsi="Arial" w:cs="Arial"/>
          <w:sz w:val="20"/>
          <w:szCs w:val="20"/>
          <w:lang w:val="es-ES_tradnl"/>
        </w:rPr>
        <w:t xml:space="preserve">debe tenerse en cuenta que la Ley 2022 de 2020 fue sancionada por el Presidente de la República el 22 de julio del año pasado, y en su artículo 1 modificó el artículo 4 de la Ley 1882 de 2018 y, por tanto, modificó el parágrafo 7 del artículo 2 de la Ley 1150 de 2007, asignando directamente a la Agencia Nacional de Contratación Pública – Colombia Compra Eficiente la facultad para adoptar los documentos tipo. En este sentido, 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w:t>
      </w:r>
      <w:r>
        <w:rPr>
          <w:rFonts w:ascii="Arial" w:eastAsia="Calibri" w:hAnsi="Arial" w:cs="Arial"/>
          <w:sz w:val="20"/>
          <w:szCs w:val="20"/>
          <w:lang w:val="es-ES_tradnl"/>
        </w:rPr>
        <w:t>[…]</w:t>
      </w:r>
    </w:p>
    <w:p w14:paraId="63EEBC1C" w14:textId="77777777" w:rsidR="00DE6178" w:rsidRPr="00EE7E31" w:rsidRDefault="00DE6178" w:rsidP="00DE6178">
      <w:pPr>
        <w:jc w:val="both"/>
        <w:rPr>
          <w:rFonts w:ascii="Arial" w:eastAsia="Calibri" w:hAnsi="Arial" w:cs="Arial"/>
          <w:sz w:val="20"/>
          <w:szCs w:val="20"/>
          <w:lang w:val="es-ES_tradnl"/>
        </w:rPr>
      </w:pPr>
    </w:p>
    <w:p w14:paraId="58B35BE8" w14:textId="77777777" w:rsidR="00DE6178" w:rsidRPr="00EE7E31" w:rsidRDefault="00DE6178" w:rsidP="00DE6178">
      <w:pPr>
        <w:jc w:val="both"/>
        <w:rPr>
          <w:rFonts w:ascii="Arial" w:eastAsia="Calibri" w:hAnsi="Arial" w:cs="Arial"/>
          <w:b/>
          <w:sz w:val="22"/>
          <w:lang w:val="es-ES_tradnl"/>
        </w:rPr>
      </w:pPr>
      <w:r w:rsidRPr="00EE7E31">
        <w:rPr>
          <w:rFonts w:ascii="Arial" w:eastAsia="Calibri" w:hAnsi="Arial" w:cs="Arial"/>
          <w:b/>
          <w:sz w:val="22"/>
          <w:lang w:val="es-ES_tradnl"/>
        </w:rPr>
        <w:t xml:space="preserve">INALTERABILIDAD </w:t>
      </w:r>
      <w:r w:rsidRPr="00EE7E31">
        <w:rPr>
          <w:rFonts w:ascii="Arial" w:eastAsia="Calibri" w:hAnsi="Arial" w:cs="Arial"/>
          <w:b/>
          <w:color w:val="000000" w:themeColor="text1"/>
          <w:sz w:val="22"/>
          <w:lang w:val="es-ES_tradnl"/>
        </w:rPr>
        <w:t>–</w:t>
      </w:r>
      <w:r w:rsidRPr="00EE7E31">
        <w:rPr>
          <w:rFonts w:ascii="Arial" w:eastAsia="Calibri" w:hAnsi="Arial" w:cs="Arial"/>
          <w:b/>
          <w:sz w:val="22"/>
          <w:lang w:val="es-ES_tradnl"/>
        </w:rPr>
        <w:t xml:space="preserve"> Documentos tipo </w:t>
      </w:r>
      <w:r w:rsidRPr="00EE7E31">
        <w:rPr>
          <w:rFonts w:ascii="Arial" w:eastAsia="Calibri" w:hAnsi="Arial" w:cs="Arial"/>
          <w:b/>
          <w:color w:val="000000" w:themeColor="text1"/>
          <w:sz w:val="22"/>
          <w:lang w:val="es-ES_tradnl"/>
        </w:rPr>
        <w:t xml:space="preserve">– </w:t>
      </w:r>
      <w:r w:rsidRPr="00EE7E31">
        <w:rPr>
          <w:rFonts w:ascii="Arial" w:eastAsia="Calibri" w:hAnsi="Arial" w:cs="Arial"/>
          <w:b/>
          <w:sz w:val="22"/>
          <w:lang w:val="es-ES_tradnl"/>
        </w:rPr>
        <w:t>Regla vigente – Alcance</w:t>
      </w:r>
    </w:p>
    <w:p w14:paraId="73D9B609" w14:textId="77777777" w:rsidR="00DE6178" w:rsidRPr="00EE7E31" w:rsidRDefault="00DE6178" w:rsidP="00DE6178">
      <w:pPr>
        <w:jc w:val="both"/>
        <w:rPr>
          <w:rFonts w:ascii="Arial" w:eastAsia="Calibri" w:hAnsi="Arial" w:cs="Arial"/>
          <w:b/>
          <w:sz w:val="22"/>
          <w:lang w:val="es-ES_tradnl"/>
        </w:rPr>
      </w:pPr>
    </w:p>
    <w:p w14:paraId="0229608C" w14:textId="77777777" w:rsidR="00DE6178" w:rsidRDefault="00DE6178" w:rsidP="00DE6178">
      <w:pPr>
        <w:jc w:val="both"/>
        <w:rPr>
          <w:rFonts w:ascii="Arial" w:eastAsia="Calibri" w:hAnsi="Arial" w:cs="Arial"/>
          <w:bCs/>
          <w:sz w:val="20"/>
          <w:szCs w:val="20"/>
          <w:lang w:val="es-ES_tradnl"/>
        </w:rPr>
      </w:pPr>
      <w:r w:rsidRPr="00F54310">
        <w:rPr>
          <w:rFonts w:ascii="Arial" w:eastAsia="Calibri" w:hAnsi="Arial" w:cs="Arial"/>
          <w:bCs/>
          <w:sz w:val="20"/>
          <w:szCs w:val="20"/>
          <w:lang w:val="es-ES_tradnl"/>
        </w:rPr>
        <w:t>Todas las resoluciones expedidas por la Agencia Nacional de Contratación Pública – Colombia Compra Eficiente, mediante las cuales se han adoptado los documentos tipo, consagran la regla de la inalterabilidad. Esta prohibición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establecidas en dichos documentos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08699648" w14:textId="77777777" w:rsidR="00DE6178" w:rsidRDefault="00DE6178" w:rsidP="00DE6178">
      <w:pPr>
        <w:jc w:val="both"/>
        <w:rPr>
          <w:rFonts w:ascii="Arial" w:eastAsia="Calibri" w:hAnsi="Arial" w:cs="Arial"/>
          <w:bCs/>
          <w:sz w:val="20"/>
          <w:szCs w:val="20"/>
          <w:lang w:val="es-ES_tradnl"/>
        </w:rPr>
      </w:pPr>
    </w:p>
    <w:p w14:paraId="55B6FD35" w14:textId="77777777" w:rsidR="00DE6178" w:rsidRPr="00112428" w:rsidRDefault="00DE6178" w:rsidP="00DE6178">
      <w:pPr>
        <w:jc w:val="both"/>
        <w:rPr>
          <w:rFonts w:ascii="Arial" w:eastAsia="Calibri" w:hAnsi="Arial" w:cs="Arial"/>
          <w:b/>
          <w:sz w:val="22"/>
          <w:szCs w:val="22"/>
          <w:lang w:val="es-ES_tradnl"/>
        </w:rPr>
      </w:pPr>
      <w:r>
        <w:rPr>
          <w:rFonts w:ascii="Arial" w:eastAsia="Calibri" w:hAnsi="Arial" w:cs="Arial"/>
          <w:b/>
          <w:sz w:val="22"/>
          <w:szCs w:val="22"/>
          <w:lang w:val="es-ES_tradnl"/>
        </w:rPr>
        <w:t>DOCUMENTOS TIPO – Interventoría – Obra pública de infraestructura de transporte – «Matriz 1 – Experiencia»</w:t>
      </w:r>
    </w:p>
    <w:p w14:paraId="681CBBCD" w14:textId="77777777" w:rsidR="00DE6178" w:rsidRDefault="00DE6178" w:rsidP="00DE6178">
      <w:pPr>
        <w:jc w:val="both"/>
        <w:rPr>
          <w:rFonts w:ascii="Arial" w:eastAsia="Calibri" w:hAnsi="Arial" w:cs="Arial"/>
          <w:bCs/>
          <w:sz w:val="20"/>
          <w:szCs w:val="20"/>
          <w:lang w:val="es-ES_tradnl"/>
        </w:rPr>
      </w:pPr>
    </w:p>
    <w:p w14:paraId="315D850F" w14:textId="77777777" w:rsidR="00DE6178" w:rsidRDefault="00DE6178" w:rsidP="00DE6178">
      <w:pPr>
        <w:jc w:val="both"/>
        <w:rPr>
          <w:rFonts w:ascii="Arial" w:eastAsia="Calibri" w:hAnsi="Arial" w:cs="Arial"/>
          <w:bCs/>
          <w:sz w:val="20"/>
          <w:szCs w:val="20"/>
          <w:lang w:val="es-ES_tradnl"/>
        </w:rPr>
      </w:pPr>
      <w:r w:rsidRPr="00F54310">
        <w:rPr>
          <w:rFonts w:ascii="Arial" w:eastAsia="Calibri" w:hAnsi="Arial" w:cs="Arial"/>
          <w:bCs/>
          <w:sz w:val="20"/>
          <w:szCs w:val="20"/>
          <w:lang w:val="es-ES_tradnl"/>
        </w:rPr>
        <w:t>La Resolución 256 del 11 de diciembre de 2020, «Por la cual se adoptan los documentos tipo para los procesos de selección de concursos de méritos, para contratar la interventoría de obras públicas de infraestructura de transporte» se adoptó en vigencia de la Ley 2022 de 2020. En tal sentido, este documento tipo resulta obligatorio para todas las entidades sometidas al Estatuto General de Contratación de la Administración Pública, que adelanten procesos de concursos de méritos para contratar la interventoría de cualquiera de los proyectos señalados en la «Matriz 1 – Experiencia».</w:t>
      </w:r>
      <w:r>
        <w:rPr>
          <w:rFonts w:ascii="Arial" w:eastAsia="Calibri" w:hAnsi="Arial" w:cs="Arial"/>
          <w:bCs/>
          <w:sz w:val="20"/>
          <w:szCs w:val="20"/>
          <w:lang w:val="es-ES_tradnl"/>
        </w:rPr>
        <w:t xml:space="preserve"> […]</w:t>
      </w:r>
    </w:p>
    <w:p w14:paraId="6BC66544" w14:textId="77777777" w:rsidR="00DE6178" w:rsidRDefault="00DE6178" w:rsidP="00DE6178">
      <w:pPr>
        <w:jc w:val="both"/>
        <w:rPr>
          <w:rFonts w:ascii="Arial" w:eastAsia="Calibri" w:hAnsi="Arial" w:cs="Arial"/>
          <w:bCs/>
          <w:sz w:val="20"/>
          <w:szCs w:val="20"/>
          <w:lang w:val="es-ES_tradnl"/>
        </w:rPr>
      </w:pPr>
      <w:r w:rsidRPr="00F54310">
        <w:rPr>
          <w:rFonts w:ascii="Arial" w:eastAsia="Calibri" w:hAnsi="Arial" w:cs="Arial"/>
          <w:bCs/>
          <w:sz w:val="20"/>
          <w:szCs w:val="20"/>
          <w:lang w:val="es-ES_tradnl"/>
        </w:rPr>
        <w:t>De esta manera, siempre que se vaya a contratar la interventoría de alguno de los proyectos señalados en la «Matriz 1 – Experiencia» y la modalidad de selección aplicable sea el concurso de méritos, las entidades estatales deben aplicar este documento tipo, acatando su contenido, el cual es obligatorio. En consecuencia, la «Matriz 1 – Experiencia», entre otras finalidades, sirve como criterio para establecer el ámbito de aplicación de los documentos tipo, en los términos explicados con anterioridad.</w:t>
      </w:r>
    </w:p>
    <w:p w14:paraId="3527D338" w14:textId="77777777" w:rsidR="00DE6178" w:rsidRPr="00EE7E31" w:rsidRDefault="00DE6178" w:rsidP="00DE6178">
      <w:pPr>
        <w:jc w:val="both"/>
        <w:rPr>
          <w:rFonts w:ascii="Arial" w:eastAsia="Calibri" w:hAnsi="Arial" w:cs="Arial"/>
          <w:bCs/>
          <w:sz w:val="20"/>
          <w:szCs w:val="20"/>
          <w:lang w:val="es-ES_tradnl"/>
        </w:rPr>
      </w:pPr>
    </w:p>
    <w:p w14:paraId="53DEEC60" w14:textId="77777777" w:rsidR="00DE6178" w:rsidRPr="00EE7E31" w:rsidRDefault="00DE6178" w:rsidP="00DE6178">
      <w:pPr>
        <w:spacing w:line="276" w:lineRule="auto"/>
        <w:jc w:val="both"/>
        <w:rPr>
          <w:rFonts w:ascii="Arial" w:hAnsi="Arial" w:cs="Arial"/>
          <w:b/>
          <w:color w:val="000000" w:themeColor="text1"/>
          <w:sz w:val="22"/>
          <w:lang w:val="es-ES_tradnl"/>
        </w:rPr>
      </w:pPr>
    </w:p>
    <w:p w14:paraId="2A1F0155" w14:textId="77777777" w:rsidR="00DE6178" w:rsidRPr="00EE7E31" w:rsidRDefault="00DE6178" w:rsidP="00DE6178">
      <w:pPr>
        <w:spacing w:line="276" w:lineRule="auto"/>
        <w:jc w:val="both"/>
        <w:rPr>
          <w:rFonts w:ascii="Arial" w:hAnsi="Arial" w:cs="Arial"/>
          <w:b/>
          <w:color w:val="000000" w:themeColor="text1"/>
          <w:sz w:val="22"/>
          <w:lang w:val="es-ES_tradnl"/>
        </w:rPr>
      </w:pPr>
    </w:p>
    <w:p w14:paraId="0282E749" w14:textId="77777777" w:rsidR="00DE6178" w:rsidRPr="00EE7E31" w:rsidRDefault="00DE6178" w:rsidP="00DE6178">
      <w:pPr>
        <w:spacing w:line="276" w:lineRule="auto"/>
        <w:jc w:val="both"/>
        <w:rPr>
          <w:rFonts w:ascii="Arial" w:hAnsi="Arial" w:cs="Arial"/>
          <w:b/>
          <w:color w:val="000000" w:themeColor="text1"/>
          <w:sz w:val="22"/>
          <w:lang w:val="es-ES_tradnl"/>
        </w:rPr>
      </w:pPr>
    </w:p>
    <w:p w14:paraId="72EF80FB" w14:textId="77777777" w:rsidR="00DE6178" w:rsidRPr="00EE7E31" w:rsidRDefault="00DE6178" w:rsidP="00DE6178">
      <w:pPr>
        <w:spacing w:line="276" w:lineRule="auto"/>
        <w:jc w:val="both"/>
        <w:rPr>
          <w:rFonts w:ascii="Arial" w:hAnsi="Arial" w:cs="Arial"/>
          <w:b/>
          <w:color w:val="000000" w:themeColor="text1"/>
          <w:sz w:val="22"/>
          <w:lang w:val="es-ES_tradnl"/>
        </w:rPr>
      </w:pPr>
    </w:p>
    <w:p w14:paraId="6934167E" w14:textId="77777777" w:rsidR="00DE6178" w:rsidRPr="00EE7E31" w:rsidRDefault="00DE6178" w:rsidP="00DE6178">
      <w:pPr>
        <w:spacing w:line="276" w:lineRule="auto"/>
        <w:jc w:val="both"/>
        <w:rPr>
          <w:rFonts w:ascii="Arial" w:hAnsi="Arial" w:cs="Arial"/>
          <w:b/>
          <w:color w:val="000000" w:themeColor="text1"/>
          <w:sz w:val="22"/>
          <w:lang w:val="es-ES_tradnl"/>
        </w:rPr>
      </w:pPr>
    </w:p>
    <w:p w14:paraId="0E4FD38A" w14:textId="77777777" w:rsidR="00DE6178" w:rsidRPr="00EE7E31" w:rsidRDefault="00DE6178" w:rsidP="00DE6178">
      <w:pPr>
        <w:tabs>
          <w:tab w:val="left" w:pos="709"/>
        </w:tabs>
        <w:jc w:val="right"/>
        <w:rPr>
          <w:rFonts w:ascii="Arial" w:hAnsi="Arial" w:cs="Arial"/>
          <w:sz w:val="16"/>
          <w:szCs w:val="16"/>
          <w:lang w:val="es-ES_tradnl"/>
        </w:rPr>
      </w:pPr>
      <w:r w:rsidRPr="00EE7E31">
        <w:rPr>
          <w:rFonts w:ascii="Arial" w:hAnsi="Arial" w:cs="Arial"/>
          <w:b/>
          <w:bCs/>
          <w:sz w:val="16"/>
          <w:szCs w:val="16"/>
          <w:lang w:val="es-ES_tradnl"/>
        </w:rPr>
        <w:t>CCE-DES-FM-17</w:t>
      </w:r>
    </w:p>
    <w:p w14:paraId="277320F6" w14:textId="77777777" w:rsidR="00DE6178" w:rsidRPr="00EE7E31" w:rsidRDefault="00DE6178" w:rsidP="00DE6178">
      <w:pPr>
        <w:rPr>
          <w:rFonts w:ascii="Arial" w:hAnsi="Arial" w:cs="Arial"/>
          <w:sz w:val="22"/>
          <w:szCs w:val="22"/>
          <w:lang w:val="es-ES_tradnl"/>
        </w:rPr>
      </w:pPr>
    </w:p>
    <w:p w14:paraId="06C45051" w14:textId="77777777" w:rsidR="00DE6178" w:rsidRPr="00EE7E31" w:rsidRDefault="00DE6178" w:rsidP="00DE6178">
      <w:pPr>
        <w:jc w:val="right"/>
        <w:rPr>
          <w:rFonts w:ascii="Arial" w:hAnsi="Arial" w:cs="Arial"/>
          <w:bCs/>
          <w:color w:val="000000" w:themeColor="text1"/>
          <w:sz w:val="22"/>
          <w:lang w:val="es-ES_tradnl"/>
        </w:rPr>
      </w:pPr>
    </w:p>
    <w:p w14:paraId="3449E9D3" w14:textId="77777777" w:rsidR="00DE6178" w:rsidRPr="00EE7E31" w:rsidRDefault="00DE6178" w:rsidP="00DE6178">
      <w:pPr>
        <w:jc w:val="both"/>
        <w:rPr>
          <w:rFonts w:ascii="Arial" w:hAnsi="Arial" w:cs="Arial"/>
          <w:bCs/>
          <w:color w:val="000000" w:themeColor="text1"/>
          <w:sz w:val="22"/>
          <w:lang w:val="es-ES_tradnl"/>
        </w:rPr>
      </w:pPr>
    </w:p>
    <w:p w14:paraId="75B42628" w14:textId="6591988D" w:rsidR="003B38BD" w:rsidRDefault="003B38BD" w:rsidP="003B38BD">
      <w:pPr>
        <w:jc w:val="right"/>
        <w:rPr>
          <w:rFonts w:ascii="Arial" w:eastAsia="Calibri" w:hAnsi="Arial" w:cs="Arial"/>
          <w:color w:val="000000" w:themeColor="text1"/>
          <w:sz w:val="22"/>
          <w:lang w:val="es-ES_tradnl"/>
        </w:rPr>
      </w:pPr>
      <w:r>
        <w:rPr>
          <w:rFonts w:ascii="Arial" w:eastAsia="Calibri" w:hAnsi="Arial" w:cs="Arial"/>
          <w:noProof/>
          <w:color w:val="000000" w:themeColor="text1"/>
          <w:sz w:val="22"/>
          <w:lang w:val="es-ES_tradnl"/>
        </w:rPr>
        <w:drawing>
          <wp:inline distT="0" distB="0" distL="0" distR="0" wp14:anchorId="1D965349" wp14:editId="35DB2399">
            <wp:extent cx="2762250" cy="763681"/>
            <wp:effectExtent l="0" t="0" r="0" b="0"/>
            <wp:docPr id="5" name="Imagen 5"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Texto&#10;&#10;Descripción generada automáticamente"/>
                    <pic:cNvPicPr/>
                  </pic:nvPicPr>
                  <pic:blipFill>
                    <a:blip r:embed="rId7">
                      <a:extLst>
                        <a:ext uri="{28A0092B-C50C-407E-A947-70E740481C1C}">
                          <a14:useLocalDpi xmlns:a14="http://schemas.microsoft.com/office/drawing/2010/main" val="0"/>
                        </a:ext>
                      </a:extLst>
                    </a:blip>
                    <a:stretch>
                      <a:fillRect/>
                    </a:stretch>
                  </pic:blipFill>
                  <pic:spPr>
                    <a:xfrm>
                      <a:off x="0" y="0"/>
                      <a:ext cx="2779860" cy="768550"/>
                    </a:xfrm>
                    <a:prstGeom prst="rect">
                      <a:avLst/>
                    </a:prstGeom>
                  </pic:spPr>
                </pic:pic>
              </a:graphicData>
            </a:graphic>
          </wp:inline>
        </w:drawing>
      </w:r>
    </w:p>
    <w:p w14:paraId="04CAB680" w14:textId="77777777" w:rsidR="003B38BD" w:rsidRDefault="003B38BD" w:rsidP="00DE6178">
      <w:pPr>
        <w:jc w:val="both"/>
        <w:rPr>
          <w:rFonts w:ascii="Arial" w:eastAsia="Calibri" w:hAnsi="Arial" w:cs="Arial"/>
          <w:color w:val="000000" w:themeColor="text1"/>
          <w:sz w:val="22"/>
          <w:lang w:val="es-ES_tradnl"/>
        </w:rPr>
      </w:pPr>
    </w:p>
    <w:p w14:paraId="129C188D" w14:textId="1B28BC40" w:rsidR="00DE6178" w:rsidRPr="00EE7E31" w:rsidRDefault="00DE6178" w:rsidP="00DE6178">
      <w:pPr>
        <w:jc w:val="both"/>
        <w:rPr>
          <w:rFonts w:ascii="Arial" w:eastAsia="Calibri" w:hAnsi="Arial" w:cs="Arial"/>
          <w:color w:val="000000" w:themeColor="text1"/>
          <w:sz w:val="22"/>
          <w:lang w:val="es-ES_tradnl"/>
        </w:rPr>
      </w:pPr>
      <w:r w:rsidRPr="00EE7E31">
        <w:rPr>
          <w:rFonts w:ascii="Arial" w:eastAsia="Calibri" w:hAnsi="Arial" w:cs="Arial"/>
          <w:color w:val="000000" w:themeColor="text1"/>
          <w:sz w:val="22"/>
          <w:lang w:val="es-ES_tradnl"/>
        </w:rPr>
        <w:t>Señora</w:t>
      </w:r>
    </w:p>
    <w:p w14:paraId="096684FC" w14:textId="77777777" w:rsidR="00DE6178" w:rsidRPr="00EE7E31" w:rsidRDefault="00DE6178" w:rsidP="00DE6178">
      <w:pPr>
        <w:jc w:val="both"/>
        <w:rPr>
          <w:rFonts w:ascii="Arial" w:eastAsia="Calibri" w:hAnsi="Arial" w:cs="Arial"/>
          <w:b/>
          <w:color w:val="000000" w:themeColor="text1"/>
          <w:sz w:val="22"/>
          <w:lang w:val="es-ES_tradnl"/>
        </w:rPr>
      </w:pPr>
      <w:r w:rsidRPr="00EE7E31">
        <w:rPr>
          <w:rFonts w:ascii="Arial" w:eastAsia="Calibri" w:hAnsi="Arial" w:cs="Arial"/>
          <w:b/>
          <w:color w:val="000000" w:themeColor="text1"/>
          <w:sz w:val="22"/>
          <w:lang w:val="es-ES_tradnl"/>
        </w:rPr>
        <w:t>Andrea Paola González Bernal</w:t>
      </w:r>
    </w:p>
    <w:p w14:paraId="3D086E05" w14:textId="77777777" w:rsidR="00DE6178" w:rsidRPr="00EE7E31" w:rsidRDefault="00DE6178" w:rsidP="00DE6178">
      <w:pPr>
        <w:jc w:val="both"/>
        <w:rPr>
          <w:rFonts w:ascii="Arial" w:eastAsia="Calibri" w:hAnsi="Arial" w:cs="Arial"/>
          <w:color w:val="000000" w:themeColor="text1"/>
          <w:sz w:val="22"/>
          <w:lang w:val="es-ES_tradnl"/>
        </w:rPr>
      </w:pPr>
      <w:r w:rsidRPr="00EE7E31">
        <w:rPr>
          <w:rFonts w:ascii="Arial" w:eastAsia="Calibri" w:hAnsi="Arial" w:cs="Arial"/>
          <w:color w:val="000000" w:themeColor="text1"/>
          <w:sz w:val="22"/>
          <w:lang w:val="es-ES_tradnl"/>
        </w:rPr>
        <w:t>Villavicencio, Meta</w:t>
      </w:r>
    </w:p>
    <w:p w14:paraId="077191AF" w14:textId="77777777" w:rsidR="00DE6178" w:rsidRPr="00EE7E31" w:rsidRDefault="00DE6178" w:rsidP="00DE6178">
      <w:pPr>
        <w:jc w:val="both"/>
        <w:rPr>
          <w:rFonts w:ascii="Arial" w:eastAsia="Calibri" w:hAnsi="Arial" w:cs="Arial"/>
          <w:color w:val="000000" w:themeColor="text1"/>
          <w:sz w:val="22"/>
          <w:lang w:val="es-ES_tradnl"/>
        </w:rPr>
      </w:pPr>
    </w:p>
    <w:p w14:paraId="2AEE8E37" w14:textId="77777777" w:rsidR="00DE6178" w:rsidRPr="00EE7E31" w:rsidRDefault="00DE6178" w:rsidP="00DE6178">
      <w:pPr>
        <w:rPr>
          <w:rFonts w:ascii="Arial" w:eastAsia="Calibri" w:hAnsi="Arial" w:cs="Arial"/>
          <w:b/>
          <w:bCs/>
          <w:color w:val="000000" w:themeColor="text1"/>
          <w:sz w:val="22"/>
          <w:lang w:val="es-ES_tradnl"/>
        </w:rPr>
      </w:pPr>
      <w:r w:rsidRPr="00EE7E31">
        <w:rPr>
          <w:rFonts w:ascii="Arial" w:eastAsia="Calibri" w:hAnsi="Arial" w:cs="Arial"/>
          <w:b/>
          <w:bCs/>
          <w:color w:val="000000" w:themeColor="text1"/>
          <w:sz w:val="22"/>
          <w:lang w:val="es-ES_tradnl"/>
        </w:rPr>
        <w:t xml:space="preserve">                                            Concepto C ‒ 655 de 2021</w:t>
      </w:r>
    </w:p>
    <w:p w14:paraId="1CD28AD5" w14:textId="77777777" w:rsidR="00DE6178" w:rsidRPr="00EE7E31" w:rsidRDefault="00DE6178" w:rsidP="00DE6178">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DE6178" w:rsidRPr="00EE7E31" w14:paraId="15F66203" w14:textId="77777777" w:rsidTr="00FB1DD3">
        <w:tc>
          <w:tcPr>
            <w:tcW w:w="2689" w:type="dxa"/>
          </w:tcPr>
          <w:p w14:paraId="5424BF5B" w14:textId="77777777" w:rsidR="00DE6178" w:rsidRPr="00EE7E31" w:rsidRDefault="00DE6178" w:rsidP="00FB1DD3">
            <w:pPr>
              <w:jc w:val="both"/>
              <w:rPr>
                <w:rFonts w:ascii="Arial" w:eastAsia="Calibri" w:hAnsi="Arial" w:cs="Arial"/>
                <w:color w:val="000000" w:themeColor="text1"/>
                <w:lang w:val="es-ES_tradnl"/>
              </w:rPr>
            </w:pPr>
            <w:r w:rsidRPr="00EE7E31">
              <w:rPr>
                <w:rFonts w:ascii="Arial" w:eastAsia="Calibri" w:hAnsi="Arial" w:cs="Arial"/>
                <w:b/>
                <w:color w:val="000000" w:themeColor="text1"/>
                <w:lang w:val="es-ES_tradnl"/>
              </w:rPr>
              <w:t>Temas:</w:t>
            </w:r>
            <w:r w:rsidRPr="00EE7E31">
              <w:rPr>
                <w:rFonts w:ascii="Arial" w:eastAsia="Calibri" w:hAnsi="Arial" w:cs="Arial"/>
                <w:color w:val="000000" w:themeColor="text1"/>
                <w:lang w:val="es-ES_tradnl"/>
              </w:rPr>
              <w:t xml:space="preserve">                                      </w:t>
            </w:r>
          </w:p>
        </w:tc>
        <w:tc>
          <w:tcPr>
            <w:tcW w:w="6237" w:type="dxa"/>
          </w:tcPr>
          <w:p w14:paraId="20CDE5D2" w14:textId="77777777" w:rsidR="00DE6178" w:rsidRPr="00363169" w:rsidRDefault="00DE6178" w:rsidP="00FB1DD3">
            <w:pPr>
              <w:jc w:val="both"/>
              <w:rPr>
                <w:rFonts w:ascii="Arial" w:eastAsia="Calibri" w:hAnsi="Arial" w:cs="Arial"/>
                <w:bCs/>
                <w:highlight w:val="yellow"/>
                <w:lang w:val="es-ES_tradnl"/>
              </w:rPr>
            </w:pPr>
            <w:r w:rsidRPr="001D157E">
              <w:rPr>
                <w:rFonts w:ascii="Arial" w:eastAsia="Calibri" w:hAnsi="Arial" w:cs="Arial"/>
                <w:bCs/>
                <w:lang w:val="es-ES_tradnl"/>
              </w:rPr>
              <w:t>DOCUMENTOS TIPO – Fundamento normativo – Ley 2022 de 2020 – Artículo 1 / INALTERABILIDAD – Documentos tipo – Regla vigente – Alcance / DOCUMENTOS TIPO – Interventoría – Obra pública de infraestructura de transporte – «Matriz 1 – Experiencia»</w:t>
            </w:r>
          </w:p>
        </w:tc>
      </w:tr>
      <w:tr w:rsidR="00DE6178" w:rsidRPr="00EE7E31" w14:paraId="48E0199F" w14:textId="77777777" w:rsidTr="00FB1DD3">
        <w:tc>
          <w:tcPr>
            <w:tcW w:w="2689" w:type="dxa"/>
          </w:tcPr>
          <w:p w14:paraId="281AD3D3" w14:textId="77777777" w:rsidR="00DE6178" w:rsidRPr="00EE7E31" w:rsidRDefault="00DE6178" w:rsidP="00FB1DD3">
            <w:pPr>
              <w:spacing w:before="120"/>
              <w:jc w:val="both"/>
              <w:rPr>
                <w:rFonts w:ascii="Arial" w:eastAsia="Calibri" w:hAnsi="Arial" w:cs="Arial"/>
                <w:b/>
                <w:color w:val="000000" w:themeColor="text1"/>
                <w:lang w:val="es-ES_tradnl"/>
              </w:rPr>
            </w:pPr>
            <w:r w:rsidRPr="00EE7E31">
              <w:rPr>
                <w:rFonts w:ascii="Arial" w:eastAsia="Calibri" w:hAnsi="Arial" w:cs="Arial"/>
                <w:b/>
                <w:color w:val="000000" w:themeColor="text1"/>
                <w:lang w:val="es-ES_tradnl"/>
              </w:rPr>
              <w:t>Radicación:</w:t>
            </w:r>
            <w:r w:rsidRPr="00EE7E31">
              <w:rPr>
                <w:rFonts w:ascii="Arial" w:eastAsia="Calibri" w:hAnsi="Arial" w:cs="Arial"/>
                <w:color w:val="000000" w:themeColor="text1"/>
                <w:lang w:val="es-ES_tradnl"/>
              </w:rPr>
              <w:t xml:space="preserve">                              </w:t>
            </w:r>
          </w:p>
        </w:tc>
        <w:tc>
          <w:tcPr>
            <w:tcW w:w="6237" w:type="dxa"/>
          </w:tcPr>
          <w:p w14:paraId="283D0B1D" w14:textId="77777777" w:rsidR="00DE6178" w:rsidRPr="00EE7E31" w:rsidRDefault="00DE6178" w:rsidP="00FB1DD3">
            <w:pPr>
              <w:spacing w:before="120"/>
              <w:jc w:val="both"/>
              <w:rPr>
                <w:rFonts w:ascii="Arial" w:eastAsia="Calibri" w:hAnsi="Arial" w:cs="Arial"/>
                <w:color w:val="000000" w:themeColor="text1"/>
                <w:lang w:val="es-ES_tradnl"/>
              </w:rPr>
            </w:pPr>
            <w:r w:rsidRPr="00EE7E31">
              <w:rPr>
                <w:rFonts w:ascii="Arial" w:eastAsia="Calibri" w:hAnsi="Arial" w:cs="Arial"/>
                <w:color w:val="000000" w:themeColor="text1"/>
                <w:lang w:val="es-ES_tradnl"/>
              </w:rPr>
              <w:t>Respuesta a consulta #</w:t>
            </w:r>
            <w:r w:rsidRPr="00EE7E31">
              <w:rPr>
                <w:rFonts w:ascii="Arial" w:eastAsia="Calibri" w:hAnsi="Arial" w:cs="Arial"/>
                <w:b/>
                <w:color w:val="000000" w:themeColor="text1"/>
                <w:lang w:val="es-ES_tradnl"/>
              </w:rPr>
              <w:t xml:space="preserve"> </w:t>
            </w:r>
            <w:r w:rsidRPr="00EE7E31">
              <w:rPr>
                <w:rStyle w:val="apple-converted-space"/>
                <w:rFonts w:ascii="Arial" w:hAnsi="Arial" w:cs="Arial"/>
                <w:color w:val="000000" w:themeColor="text1"/>
                <w:lang w:val="es-ES_tradnl"/>
              </w:rPr>
              <w:t>P20211011009389</w:t>
            </w:r>
          </w:p>
        </w:tc>
      </w:tr>
    </w:tbl>
    <w:p w14:paraId="5843CA8B" w14:textId="77777777" w:rsidR="00DE6178" w:rsidRPr="00EE7E31" w:rsidRDefault="00DE6178" w:rsidP="00DE6178">
      <w:pPr>
        <w:jc w:val="both"/>
        <w:rPr>
          <w:rFonts w:ascii="Arial" w:eastAsia="Calibri" w:hAnsi="Arial" w:cs="Arial"/>
          <w:color w:val="000000" w:themeColor="text1"/>
          <w:sz w:val="22"/>
          <w:lang w:val="es-ES_tradnl"/>
        </w:rPr>
      </w:pPr>
    </w:p>
    <w:p w14:paraId="3BBE11E9" w14:textId="77777777" w:rsidR="00DE6178" w:rsidRDefault="00DE6178" w:rsidP="00DE6178">
      <w:pPr>
        <w:jc w:val="both"/>
        <w:rPr>
          <w:rFonts w:ascii="Arial" w:eastAsia="Calibri" w:hAnsi="Arial" w:cs="Arial"/>
          <w:color w:val="000000" w:themeColor="text1"/>
          <w:sz w:val="22"/>
          <w:lang w:val="es-ES_tradnl"/>
        </w:rPr>
      </w:pPr>
    </w:p>
    <w:p w14:paraId="05C1E234" w14:textId="77777777" w:rsidR="00DE6178" w:rsidRPr="00EE7E31" w:rsidRDefault="00DE6178" w:rsidP="00DE6178">
      <w:pPr>
        <w:jc w:val="both"/>
        <w:rPr>
          <w:rFonts w:ascii="Arial" w:eastAsia="Calibri" w:hAnsi="Arial" w:cs="Arial"/>
          <w:color w:val="000000" w:themeColor="text1"/>
          <w:sz w:val="22"/>
          <w:lang w:val="es-ES_tradnl"/>
        </w:rPr>
      </w:pPr>
      <w:r w:rsidRPr="00EE7E31">
        <w:rPr>
          <w:rFonts w:ascii="Arial" w:eastAsia="Calibri" w:hAnsi="Arial" w:cs="Arial"/>
          <w:color w:val="000000" w:themeColor="text1"/>
          <w:sz w:val="22"/>
          <w:lang w:val="es-ES_tradnl"/>
        </w:rPr>
        <w:t>Estimada señora González Bernal:</w:t>
      </w:r>
    </w:p>
    <w:p w14:paraId="7A0F8E19" w14:textId="77777777" w:rsidR="00DE6178" w:rsidRPr="00EE7E31" w:rsidRDefault="00DE6178" w:rsidP="00DE6178">
      <w:pPr>
        <w:jc w:val="both"/>
        <w:rPr>
          <w:rFonts w:ascii="Arial" w:eastAsia="Calibri" w:hAnsi="Arial" w:cs="Arial"/>
          <w:color w:val="000000" w:themeColor="text1"/>
          <w:sz w:val="22"/>
          <w:lang w:val="es-ES_tradnl"/>
        </w:rPr>
      </w:pPr>
    </w:p>
    <w:p w14:paraId="41CB518A" w14:textId="77777777" w:rsidR="00DE6178" w:rsidRPr="00EE7E31" w:rsidRDefault="00DE6178" w:rsidP="00DE6178">
      <w:pPr>
        <w:spacing w:line="276" w:lineRule="auto"/>
        <w:jc w:val="both"/>
        <w:rPr>
          <w:rFonts w:ascii="Arial" w:eastAsia="Calibri" w:hAnsi="Arial" w:cs="Arial"/>
          <w:color w:val="000000" w:themeColor="text1"/>
          <w:sz w:val="22"/>
          <w:lang w:val="es-ES_tradnl"/>
        </w:rPr>
      </w:pPr>
      <w:r w:rsidRPr="00EE7E31">
        <w:rPr>
          <w:rFonts w:ascii="Arial" w:eastAsia="Calibri" w:hAnsi="Arial" w:cs="Arial"/>
          <w:color w:val="000000" w:themeColor="text1"/>
          <w:sz w:val="22"/>
          <w:lang w:val="es-ES_tradnl"/>
        </w:rPr>
        <w:t>En ejercicio de la competencia otorgada por el numeral 8 del artículo 11 y el numeral 5 del artículo 3 del Decreto Ley 4170 de 2011, la Agencia Nacional de Contratación Pública – Colombia Compra Eficiente responde su consulta del 11 de octubre del 2021.</w:t>
      </w:r>
    </w:p>
    <w:p w14:paraId="3003E9BC" w14:textId="77777777" w:rsidR="00DE6178" w:rsidRPr="00EE7E31" w:rsidRDefault="00DE6178" w:rsidP="00DE6178">
      <w:pPr>
        <w:spacing w:line="276" w:lineRule="auto"/>
        <w:jc w:val="both"/>
        <w:rPr>
          <w:rFonts w:ascii="Arial" w:eastAsia="Calibri" w:hAnsi="Arial" w:cs="Arial"/>
          <w:b/>
          <w:color w:val="000000" w:themeColor="text1"/>
          <w:sz w:val="22"/>
          <w:lang w:val="es-ES_tradnl"/>
        </w:rPr>
      </w:pPr>
    </w:p>
    <w:p w14:paraId="212A9988" w14:textId="77777777" w:rsidR="00DE6178" w:rsidRPr="00EE7E31" w:rsidRDefault="00DE6178" w:rsidP="00DE6178">
      <w:pPr>
        <w:pStyle w:val="Prrafodelista"/>
        <w:numPr>
          <w:ilvl w:val="0"/>
          <w:numId w:val="1"/>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EE7E31">
        <w:rPr>
          <w:rFonts w:ascii="Arial" w:eastAsia="Calibri" w:hAnsi="Arial" w:cs="Arial"/>
          <w:b/>
          <w:color w:val="000000" w:themeColor="text1"/>
          <w:sz w:val="22"/>
          <w:lang w:val="es-ES_tradnl"/>
        </w:rPr>
        <w:t xml:space="preserve">Problema planteado </w:t>
      </w:r>
    </w:p>
    <w:p w14:paraId="7A50ADC6" w14:textId="77777777" w:rsidR="00DE6178" w:rsidRPr="00EE7E31" w:rsidRDefault="00DE6178" w:rsidP="00DE6178">
      <w:pPr>
        <w:tabs>
          <w:tab w:val="left" w:pos="426"/>
        </w:tabs>
        <w:jc w:val="both"/>
        <w:rPr>
          <w:rFonts w:ascii="Arial" w:eastAsia="Calibri" w:hAnsi="Arial" w:cs="Arial"/>
          <w:b/>
          <w:color w:val="000000" w:themeColor="text1"/>
          <w:sz w:val="22"/>
          <w:lang w:val="es-ES_tradnl"/>
        </w:rPr>
      </w:pPr>
    </w:p>
    <w:p w14:paraId="04278E0D" w14:textId="77777777" w:rsidR="00DE6178" w:rsidRPr="00EE7E31" w:rsidRDefault="00DE6178" w:rsidP="00DE6178">
      <w:pPr>
        <w:spacing w:line="276" w:lineRule="auto"/>
        <w:jc w:val="both"/>
        <w:rPr>
          <w:rFonts w:ascii="Arial" w:hAnsi="Arial" w:cs="Arial"/>
          <w:color w:val="000000" w:themeColor="text1"/>
          <w:sz w:val="22"/>
          <w:lang w:val="es-ES_tradnl"/>
        </w:rPr>
      </w:pPr>
      <w:r w:rsidRPr="00EE7E31">
        <w:rPr>
          <w:rFonts w:ascii="Arial" w:hAnsi="Arial" w:cs="Arial"/>
          <w:color w:val="000000" w:themeColor="text1"/>
          <w:sz w:val="22"/>
          <w:lang w:val="es-ES_tradnl"/>
        </w:rPr>
        <w:t>En relación con la aplicación de documentos tipo a un proceso de interventoría de consultoría de infraestructura de transporte, usted realiza la siguiente pregunta:</w:t>
      </w:r>
    </w:p>
    <w:p w14:paraId="7C814BC8" w14:textId="77777777" w:rsidR="00DE6178" w:rsidRPr="00EE7E31" w:rsidRDefault="00DE6178" w:rsidP="00DE6178">
      <w:pPr>
        <w:spacing w:line="276" w:lineRule="auto"/>
        <w:jc w:val="both"/>
        <w:rPr>
          <w:rFonts w:ascii="Arial" w:hAnsi="Arial" w:cs="Arial"/>
          <w:color w:val="000000" w:themeColor="text1"/>
          <w:sz w:val="22"/>
          <w:lang w:val="es-ES_tradnl"/>
        </w:rPr>
      </w:pPr>
    </w:p>
    <w:p w14:paraId="0745274E" w14:textId="77777777" w:rsidR="00DE6178" w:rsidRPr="00EE7E31" w:rsidRDefault="00DE6178" w:rsidP="00DE6178">
      <w:pPr>
        <w:pStyle w:val="Default"/>
        <w:ind w:left="567" w:right="567"/>
        <w:jc w:val="both"/>
        <w:rPr>
          <w:color w:val="000000" w:themeColor="text1"/>
          <w:sz w:val="21"/>
          <w:szCs w:val="21"/>
          <w:lang w:val="es-ES_tradnl"/>
        </w:rPr>
      </w:pPr>
      <w:r w:rsidRPr="00EE7E31">
        <w:rPr>
          <w:color w:val="000000" w:themeColor="text1"/>
          <w:sz w:val="21"/>
          <w:szCs w:val="21"/>
          <w:lang w:val="es-ES_tradnl"/>
        </w:rPr>
        <w:t xml:space="preserve">«[…] según las matrices de experiencia el cual es la base para solicitar la experiencia de los posibles oferentes, no se evidencia matriz de experiencia para interventorías para las consultorías de estudios de ingeniería de infraestructura de transporte, por lo anterior se puede entender que aun [sic] NO es aplicable para este tipo de proceso. Dicho lo anterior y entendiendo que la matriz de experiencia contiene los rangos en los que se debe la entidad contratante solicitar la experiencia de los futuros oferentes les solicito me aclare como [sic] puede la entidad contratante adoptar el pliego tipo "EXPERIENCIA DE INTERVENTORIA A PROYECTOS DE CONSULTORÍA DE ESTUDIOS DE INGENIERÍA DE </w:t>
      </w:r>
      <w:r w:rsidRPr="00EE7E31">
        <w:rPr>
          <w:color w:val="000000" w:themeColor="text1"/>
          <w:sz w:val="21"/>
          <w:szCs w:val="21"/>
          <w:lang w:val="es-ES_tradnl"/>
        </w:rPr>
        <w:lastRenderedPageBreak/>
        <w:t xml:space="preserve">INFRAESTRUCTURA DE TRANSPORTE" si dentro de la matriz de experiencia, ningún </w:t>
      </w:r>
      <w:proofErr w:type="spellStart"/>
      <w:r w:rsidRPr="00EE7E31">
        <w:rPr>
          <w:color w:val="000000" w:themeColor="text1"/>
          <w:sz w:val="21"/>
          <w:szCs w:val="21"/>
          <w:lang w:val="es-ES_tradnl"/>
        </w:rPr>
        <w:t>titulo</w:t>
      </w:r>
      <w:proofErr w:type="spellEnd"/>
      <w:r w:rsidRPr="00EE7E31">
        <w:rPr>
          <w:color w:val="000000" w:themeColor="text1"/>
          <w:sz w:val="21"/>
          <w:szCs w:val="21"/>
          <w:lang w:val="es-ES_tradnl"/>
        </w:rPr>
        <w:t xml:space="preserve"> [sic] o capitulo [sic] que le permita a la entidad para un proceso determinado, esta consulta se realiza con el propósito de blindar los procedimientos administrativos contractuales de la entidad».</w:t>
      </w:r>
    </w:p>
    <w:p w14:paraId="6BCB2A83" w14:textId="77777777" w:rsidR="00DE6178" w:rsidRPr="00EE7E31" w:rsidRDefault="00DE6178" w:rsidP="003B38BD">
      <w:pPr>
        <w:pStyle w:val="Default"/>
        <w:ind w:right="567"/>
        <w:jc w:val="both"/>
        <w:rPr>
          <w:color w:val="000000" w:themeColor="text1"/>
          <w:sz w:val="21"/>
          <w:szCs w:val="21"/>
          <w:lang w:val="es-ES_tradnl"/>
        </w:rPr>
      </w:pPr>
    </w:p>
    <w:p w14:paraId="6C2AC9DE" w14:textId="77777777" w:rsidR="00DE6178" w:rsidRPr="00EE7E31" w:rsidRDefault="00DE6178" w:rsidP="003B38BD">
      <w:pPr>
        <w:pStyle w:val="Prrafodelista"/>
        <w:numPr>
          <w:ilvl w:val="0"/>
          <w:numId w:val="1"/>
        </w:numPr>
        <w:tabs>
          <w:tab w:val="left" w:pos="0"/>
          <w:tab w:val="left" w:pos="284"/>
        </w:tabs>
        <w:ind w:left="0" w:firstLine="0"/>
        <w:jc w:val="both"/>
        <w:rPr>
          <w:rFonts w:ascii="Arial" w:eastAsia="Calibri" w:hAnsi="Arial" w:cs="Arial"/>
          <w:b/>
          <w:color w:val="000000" w:themeColor="text1"/>
          <w:sz w:val="22"/>
          <w:lang w:val="es-ES_tradnl"/>
        </w:rPr>
      </w:pPr>
      <w:r w:rsidRPr="00EE7E31">
        <w:rPr>
          <w:rFonts w:ascii="Arial" w:eastAsia="Calibri" w:hAnsi="Arial" w:cs="Arial"/>
          <w:b/>
          <w:color w:val="000000" w:themeColor="text1"/>
          <w:sz w:val="22"/>
          <w:lang w:val="es-ES_tradnl"/>
        </w:rPr>
        <w:t>Consideraciones</w:t>
      </w:r>
    </w:p>
    <w:p w14:paraId="408F382B" w14:textId="77777777" w:rsidR="00DE6178" w:rsidRPr="00EE7E31" w:rsidRDefault="00DE6178" w:rsidP="00DE6178">
      <w:pPr>
        <w:spacing w:line="276" w:lineRule="auto"/>
        <w:jc w:val="both"/>
        <w:rPr>
          <w:rFonts w:ascii="Arial" w:eastAsia="Calibri" w:hAnsi="Arial" w:cs="Arial"/>
          <w:color w:val="000000" w:themeColor="text1"/>
          <w:sz w:val="22"/>
          <w:lang w:val="es-ES_tradnl"/>
        </w:rPr>
      </w:pPr>
    </w:p>
    <w:p w14:paraId="516AA076" w14:textId="77777777" w:rsidR="00DE6178" w:rsidRPr="00EE7E31" w:rsidRDefault="00DE6178" w:rsidP="00DE6178">
      <w:pPr>
        <w:spacing w:after="120" w:line="276" w:lineRule="auto"/>
        <w:jc w:val="both"/>
        <w:rPr>
          <w:rFonts w:ascii="Arial" w:hAnsi="Arial" w:cs="Arial"/>
          <w:bCs/>
          <w:sz w:val="22"/>
          <w:lang w:val="es-ES_tradnl"/>
        </w:rPr>
      </w:pPr>
      <w:r w:rsidRPr="00EE7E31">
        <w:rPr>
          <w:rFonts w:ascii="Arial" w:eastAsia="Calibri" w:hAnsi="Arial" w:cs="Arial"/>
          <w:color w:val="000000" w:themeColor="text1"/>
          <w:sz w:val="22"/>
          <w:lang w:val="es-ES_tradnl"/>
        </w:rPr>
        <w:t xml:space="preserve">Como cuestión preliminar, </w:t>
      </w:r>
      <w:r w:rsidRPr="00EE7E31">
        <w:rPr>
          <w:rFonts w:ascii="Arial" w:hAnsi="Arial" w:cs="Arial"/>
          <w:bCs/>
          <w:sz w:val="22"/>
          <w:lang w:val="es-ES_tradnl"/>
        </w:rPr>
        <w:t>es bueno señalar que, en ejercicio de las competencias establecidas en los artículos 3.5 y 11.8 del Decreto Ley 4170 de 2011, la Agencia Nacional de Contratación Pública – Colombia Compra Eficiente resuelve las consultas sobre los asuntos de su competencia, esto es, sobre las temáticas de la contratación estatal y compras públicas relacionadas en los artículos citados.</w:t>
      </w:r>
    </w:p>
    <w:p w14:paraId="029ABCB7" w14:textId="77777777" w:rsidR="00DE6178" w:rsidRPr="00EE7E31" w:rsidRDefault="00DE6178" w:rsidP="00DE6178">
      <w:pPr>
        <w:spacing w:after="120" w:line="276" w:lineRule="auto"/>
        <w:ind w:firstLine="708"/>
        <w:jc w:val="both"/>
        <w:rPr>
          <w:rFonts w:ascii="Arial" w:hAnsi="Arial" w:cs="Arial"/>
          <w:sz w:val="22"/>
          <w:lang w:val="es-ES_tradnl"/>
        </w:rPr>
      </w:pPr>
      <w:bookmarkStart w:id="2" w:name="_Hlk61701014"/>
      <w:bookmarkStart w:id="3" w:name="_Hlk62136649"/>
      <w:r w:rsidRPr="00EE7E31">
        <w:rPr>
          <w:rFonts w:ascii="Arial" w:hAnsi="Arial" w:cs="Arial"/>
          <w:sz w:val="22"/>
          <w:lang w:val="es-ES_tradnl"/>
        </w:rPr>
        <w:t xml:space="preserve">Es necesario tener en cuenta que </w:t>
      </w:r>
      <w:bookmarkStart w:id="4" w:name="_Hlk61026958"/>
      <w:r w:rsidRPr="00EE7E31">
        <w:rPr>
          <w:rFonts w:ascii="Arial" w:hAnsi="Arial" w:cs="Arial"/>
          <w:sz w:val="22"/>
          <w:lang w:val="es-ES_tradnl"/>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EE7E31">
        <w:rPr>
          <w:rFonts w:ascii="Arial" w:hAnsi="Arial" w:cs="Arial"/>
          <w:bCs/>
          <w:sz w:val="22"/>
          <w:lang w:val="es-ES_tradnl"/>
        </w:rPr>
        <w:t xml:space="preserve"> de todos los partícipes de la contratación estatal.</w:t>
      </w:r>
    </w:p>
    <w:p w14:paraId="054676E6" w14:textId="77777777" w:rsidR="00DE6178" w:rsidRPr="00EE7E31" w:rsidRDefault="00DE6178" w:rsidP="00DE6178">
      <w:pPr>
        <w:spacing w:after="120" w:line="276" w:lineRule="auto"/>
        <w:ind w:firstLine="708"/>
        <w:jc w:val="both"/>
        <w:rPr>
          <w:rFonts w:ascii="Arial" w:hAnsi="Arial" w:cs="Arial"/>
          <w:sz w:val="22"/>
          <w:lang w:val="es-ES_tradnl"/>
        </w:rPr>
      </w:pPr>
      <w:r w:rsidRPr="00EE7E31">
        <w:rPr>
          <w:rFonts w:ascii="Arial" w:hAnsi="Arial" w:cs="Arial"/>
          <w:sz w:val="22"/>
          <w:lang w:val="es-ES_tradnl"/>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EE7E31">
        <w:rPr>
          <w:rFonts w:ascii="Arial" w:hAnsi="Arial" w:cs="Arial"/>
          <w:sz w:val="22"/>
          <w:vertAlign w:val="superscript"/>
          <w:lang w:val="es-ES_tradnl"/>
        </w:rPr>
        <w:footnoteReference w:id="1"/>
      </w:r>
      <w:r w:rsidRPr="00EE7E31">
        <w:rPr>
          <w:rFonts w:ascii="Arial" w:hAnsi="Arial" w:cs="Arial"/>
          <w:sz w:val="22"/>
          <w:lang w:val="es-ES_tradnl"/>
        </w:rPr>
        <w:t>.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w:t>
      </w:r>
      <w:bookmarkEnd w:id="4"/>
      <w:r w:rsidRPr="00EE7E31">
        <w:rPr>
          <w:rFonts w:ascii="Arial" w:hAnsi="Arial" w:cs="Arial"/>
          <w:sz w:val="22"/>
          <w:lang w:val="es-ES_tradnl"/>
        </w:rPr>
        <w:t xml:space="preserve">. Por lo anterior, previo concepto de sus órganos asesores, la solución de este tipo de problemas corresponde a la entidad que adelanta el procedimiento de selección y, en caso de conflicto, a las autoridades judiciales, fiscales y disciplinarias. </w:t>
      </w:r>
      <w:bookmarkEnd w:id="2"/>
    </w:p>
    <w:bookmarkEnd w:id="3"/>
    <w:p w14:paraId="7B4C14CB" w14:textId="77777777" w:rsidR="00DE6178" w:rsidRPr="002703C9" w:rsidRDefault="00DE6178" w:rsidP="00DE6178">
      <w:pPr>
        <w:spacing w:after="120" w:line="276" w:lineRule="auto"/>
        <w:ind w:firstLine="708"/>
        <w:jc w:val="both"/>
        <w:rPr>
          <w:rFonts w:ascii="Arial" w:hAnsi="Arial" w:cs="Arial"/>
          <w:sz w:val="22"/>
          <w:lang w:val="es-ES_tradnl"/>
        </w:rPr>
      </w:pPr>
      <w:r w:rsidRPr="00EE7E31">
        <w:rPr>
          <w:rFonts w:ascii="Arial" w:eastAsia="Calibri" w:hAnsi="Arial" w:cs="Arial"/>
          <w:color w:val="000000" w:themeColor="text1"/>
          <w:sz w:val="22"/>
          <w:lang w:val="es-ES_tradnl"/>
        </w:rPr>
        <w:t>Sin perjuicio de lo anterior, la Agencia –dentro de los límites de sus atribuciones– resolverá la consulta conforme a las normas generales en materia de contratación estatal. Con este objetivo, p</w:t>
      </w:r>
      <w:r w:rsidRPr="00EE7E31">
        <w:rPr>
          <w:rFonts w:ascii="Arial" w:hAnsi="Arial" w:cs="Arial"/>
          <w:sz w:val="22"/>
          <w:lang w:val="es-ES_tradnl"/>
        </w:rPr>
        <w:t xml:space="preserve">ara responder el anterior cuestionamiento relacionado con la aplicación </w:t>
      </w:r>
      <w:r w:rsidRPr="00EE7E31">
        <w:rPr>
          <w:rFonts w:ascii="Arial" w:hAnsi="Arial" w:cs="Arial"/>
          <w:sz w:val="22"/>
          <w:lang w:val="es-ES_tradnl"/>
        </w:rPr>
        <w:lastRenderedPageBreak/>
        <w:t xml:space="preserve">de documentos tipo para la contratación de interventoría para la consultoría de estudios de ingeniería de infraestructura de transporte, se analizarán </w:t>
      </w:r>
      <w:r>
        <w:rPr>
          <w:rFonts w:ascii="Arial" w:hAnsi="Arial" w:cs="Arial"/>
          <w:sz w:val="22"/>
          <w:lang w:val="es-ES_tradnl"/>
        </w:rPr>
        <w:t xml:space="preserve">los siguientes temas: i) fundamento normativo de los documentos tipo adoptados hasta la actualidad; </w:t>
      </w:r>
      <w:proofErr w:type="spellStart"/>
      <w:r>
        <w:rPr>
          <w:rFonts w:ascii="Arial" w:hAnsi="Arial" w:cs="Arial"/>
          <w:sz w:val="22"/>
          <w:lang w:val="es-ES_tradnl"/>
        </w:rPr>
        <w:t>ii</w:t>
      </w:r>
      <w:proofErr w:type="spellEnd"/>
      <w:r>
        <w:rPr>
          <w:rFonts w:ascii="Arial" w:hAnsi="Arial" w:cs="Arial"/>
          <w:sz w:val="22"/>
          <w:lang w:val="es-ES_tradnl"/>
        </w:rPr>
        <w:t xml:space="preserve">) el alcance de la regla de la inalterabilidad de los documentos tipo, y </w:t>
      </w:r>
      <w:proofErr w:type="spellStart"/>
      <w:r>
        <w:rPr>
          <w:rFonts w:ascii="Arial" w:hAnsi="Arial" w:cs="Arial"/>
          <w:sz w:val="22"/>
          <w:lang w:val="es-ES_tradnl"/>
        </w:rPr>
        <w:t>iii</w:t>
      </w:r>
      <w:proofErr w:type="spellEnd"/>
      <w:r>
        <w:rPr>
          <w:rFonts w:ascii="Arial" w:hAnsi="Arial" w:cs="Arial"/>
          <w:sz w:val="22"/>
          <w:lang w:val="es-ES_tradnl"/>
        </w:rPr>
        <w:t xml:space="preserve">) </w:t>
      </w:r>
      <w:bookmarkStart w:id="5" w:name="_Hlk85536647"/>
      <w:r>
        <w:rPr>
          <w:rFonts w:ascii="Arial" w:hAnsi="Arial" w:cs="Arial"/>
          <w:sz w:val="22"/>
          <w:lang w:val="es-ES_tradnl"/>
        </w:rPr>
        <w:t>implementación y ámbito de aplicación de los d</w:t>
      </w:r>
      <w:r w:rsidRPr="00117337">
        <w:rPr>
          <w:rFonts w:ascii="Arial" w:hAnsi="Arial" w:cs="Arial"/>
          <w:sz w:val="22"/>
          <w:lang w:val="es-ES_tradnl"/>
        </w:rPr>
        <w:t>ocumentos tipo para los procesos de selección de concurso de méritos, para contratar la interventoría de obras públicas de infraestructura de transporte</w:t>
      </w:r>
      <w:r>
        <w:rPr>
          <w:rFonts w:ascii="Arial" w:hAnsi="Arial" w:cs="Arial"/>
          <w:sz w:val="22"/>
          <w:lang w:val="es-ES_tradnl"/>
        </w:rPr>
        <w:t>.</w:t>
      </w:r>
      <w:bookmarkEnd w:id="5"/>
    </w:p>
    <w:p w14:paraId="30C6AC45" w14:textId="77777777" w:rsidR="00DE6178" w:rsidRDefault="00DE6178" w:rsidP="00DE6178">
      <w:pPr>
        <w:spacing w:after="120" w:line="276" w:lineRule="auto"/>
        <w:ind w:firstLine="708"/>
        <w:jc w:val="both"/>
        <w:textAlignment w:val="baseline"/>
        <w:rPr>
          <w:rFonts w:ascii="Arial" w:eastAsia="Arial" w:hAnsi="Arial" w:cs="Arial"/>
          <w:sz w:val="22"/>
          <w:lang w:val="es-ES_tradnl"/>
        </w:rPr>
      </w:pPr>
      <w:r w:rsidRPr="00EE7E31">
        <w:rPr>
          <w:rFonts w:ascii="Arial" w:hAnsi="Arial" w:cs="Arial"/>
          <w:color w:val="000000" w:themeColor="text1"/>
          <w:sz w:val="22"/>
          <w:lang w:val="es-ES_tradnl"/>
        </w:rPr>
        <w:t xml:space="preserve">La Agencia Nacional de Contratación Pública – Colombia Compra Eficiente se pronunció sobre </w:t>
      </w:r>
      <w:r w:rsidRPr="00EE7E31">
        <w:rPr>
          <w:rFonts w:ascii="Arial" w:eastAsia="Arial" w:hAnsi="Arial" w:cs="Arial"/>
          <w:color w:val="000000"/>
          <w:sz w:val="22"/>
          <w:lang w:val="es-ES_tradnl"/>
        </w:rPr>
        <w:t>los pliegos de condiciones tipo en la contratación estatal, así como</w:t>
      </w:r>
      <w:r>
        <w:rPr>
          <w:rFonts w:ascii="Arial" w:eastAsia="Arial" w:hAnsi="Arial" w:cs="Arial"/>
          <w:color w:val="000000"/>
          <w:sz w:val="22"/>
          <w:lang w:val="es-ES_tradnl"/>
        </w:rPr>
        <w:t xml:space="preserve"> sobre</w:t>
      </w:r>
      <w:r w:rsidRPr="00EE7E31">
        <w:rPr>
          <w:rFonts w:ascii="Arial" w:eastAsia="Arial" w:hAnsi="Arial" w:cs="Arial"/>
          <w:color w:val="000000"/>
          <w:sz w:val="22"/>
          <w:lang w:val="es-ES_tradnl"/>
        </w:rPr>
        <w:t xml:space="preserve"> su inalterabilidad, entre otros, en los </w:t>
      </w:r>
      <w:r>
        <w:rPr>
          <w:rFonts w:ascii="Arial" w:eastAsia="Arial" w:hAnsi="Arial" w:cs="Arial"/>
          <w:color w:val="000000"/>
          <w:sz w:val="22"/>
          <w:lang w:val="es-ES_tradnl"/>
        </w:rPr>
        <w:t>c</w:t>
      </w:r>
      <w:r w:rsidRPr="00EE7E31">
        <w:rPr>
          <w:rFonts w:ascii="Arial" w:eastAsia="Arial" w:hAnsi="Arial" w:cs="Arial"/>
          <w:color w:val="000000"/>
          <w:sz w:val="22"/>
          <w:lang w:val="es-ES_tradnl"/>
        </w:rPr>
        <w:t xml:space="preserve">onceptos </w:t>
      </w:r>
      <w:r w:rsidRPr="00EE7E31">
        <w:rPr>
          <w:rFonts w:ascii="Arial" w:eastAsia="Arial" w:hAnsi="Arial" w:cs="Arial"/>
          <w:sz w:val="22"/>
          <w:lang w:val="es-ES_tradnl"/>
        </w:rPr>
        <w:t>C-294 del 18 de mayo de 2020, C-276 y C-277 del 26 de mayo de 2020, C</w:t>
      </w:r>
      <w:r>
        <w:rPr>
          <w:rFonts w:ascii="Arial" w:eastAsia="Arial" w:hAnsi="Arial" w:cs="Arial"/>
          <w:sz w:val="22"/>
          <w:lang w:val="es-ES_tradnl"/>
        </w:rPr>
        <w:t>-</w:t>
      </w:r>
      <w:r w:rsidRPr="00EE7E31">
        <w:rPr>
          <w:rFonts w:ascii="Arial" w:eastAsia="Arial" w:hAnsi="Arial" w:cs="Arial"/>
          <w:sz w:val="22"/>
          <w:lang w:val="es-ES_tradnl"/>
        </w:rPr>
        <w:t>380 y C</w:t>
      </w:r>
      <w:r>
        <w:rPr>
          <w:rFonts w:ascii="Arial" w:eastAsia="Arial" w:hAnsi="Arial" w:cs="Arial"/>
          <w:sz w:val="22"/>
          <w:lang w:val="es-ES_tradnl"/>
        </w:rPr>
        <w:t>-</w:t>
      </w:r>
      <w:r w:rsidRPr="00EE7E31">
        <w:rPr>
          <w:rFonts w:ascii="Arial" w:eastAsia="Arial" w:hAnsi="Arial" w:cs="Arial"/>
          <w:sz w:val="22"/>
          <w:lang w:val="es-ES_tradnl"/>
        </w:rPr>
        <w:t>381 del 1 de junio de 2020, C-404 del 12 de junio de 2020, C-352 del 30 de junio de 2020, C-430 del 7 de julio de 2020, C-481 del 27 de julio de 2020, C-502 del 29 de julio de 2020, C-500 del 3 de agosto de 2020, C-563 del 26 de agosto de 2020, C-570 del 27 de agosto de 2020, C-713 del 2 de diciembre de 2020, C-744 del 22 de diciembre de 2020</w:t>
      </w:r>
      <w:r>
        <w:rPr>
          <w:rFonts w:ascii="Arial" w:eastAsia="Arial" w:hAnsi="Arial" w:cs="Arial"/>
          <w:sz w:val="22"/>
          <w:lang w:val="es-ES_tradnl"/>
        </w:rPr>
        <w:t xml:space="preserve">, </w:t>
      </w:r>
      <w:r w:rsidRPr="00EE7E31">
        <w:rPr>
          <w:rFonts w:ascii="Arial" w:eastAsia="Arial" w:hAnsi="Arial" w:cs="Arial"/>
          <w:sz w:val="22"/>
          <w:lang w:val="es-ES_tradnl"/>
        </w:rPr>
        <w:t>C-031 de</w:t>
      </w:r>
      <w:r>
        <w:rPr>
          <w:rFonts w:ascii="Arial" w:eastAsia="Arial" w:hAnsi="Arial" w:cs="Arial"/>
          <w:sz w:val="22"/>
          <w:lang w:val="es-ES_tradnl"/>
        </w:rPr>
        <w:t>l 1</w:t>
      </w:r>
      <w:r w:rsidRPr="00EE7E31">
        <w:rPr>
          <w:rFonts w:ascii="Arial" w:eastAsia="Arial" w:hAnsi="Arial" w:cs="Arial"/>
          <w:sz w:val="22"/>
          <w:lang w:val="es-ES_tradnl"/>
        </w:rPr>
        <w:t xml:space="preserve"> de febrero de 2021</w:t>
      </w:r>
      <w:r>
        <w:rPr>
          <w:rFonts w:ascii="Arial" w:eastAsia="Arial" w:hAnsi="Arial" w:cs="Arial"/>
          <w:sz w:val="22"/>
          <w:lang w:val="es-ES_tradnl"/>
        </w:rPr>
        <w:t xml:space="preserve">, C-263 del 3 de junio de 2021, C-464 del 13 de septiembre de 2021 y C-531 del 27 de septiembre de 2021. </w:t>
      </w:r>
    </w:p>
    <w:p w14:paraId="50CB996C" w14:textId="77777777" w:rsidR="00DE6178" w:rsidRDefault="00DE6178" w:rsidP="00DE6178">
      <w:pPr>
        <w:spacing w:line="276" w:lineRule="auto"/>
        <w:ind w:firstLine="709"/>
        <w:jc w:val="both"/>
        <w:textAlignment w:val="baseline"/>
        <w:rPr>
          <w:rFonts w:ascii="Arial" w:hAnsi="Arial" w:cs="Arial"/>
          <w:sz w:val="22"/>
          <w:szCs w:val="22"/>
          <w:lang w:val="es-ES_tradnl"/>
        </w:rPr>
      </w:pPr>
      <w:r>
        <w:rPr>
          <w:rFonts w:ascii="Arial" w:eastAsia="Arial" w:hAnsi="Arial" w:cs="Arial"/>
          <w:sz w:val="22"/>
          <w:lang w:val="es-ES_tradnl"/>
        </w:rPr>
        <w:t xml:space="preserve">A su vez, en los conceptos C-332 del 7 de mayo de 2021 y C–402 del 19 de agosto de 2021, se hizo referencia, en particular, al fundamento normativo de los </w:t>
      </w:r>
      <w:r w:rsidRPr="00253A21">
        <w:rPr>
          <w:rFonts w:ascii="Arial" w:eastAsia="Arial" w:hAnsi="Arial" w:cs="Arial"/>
          <w:sz w:val="22"/>
          <w:lang w:val="es-ES_tradnl"/>
        </w:rPr>
        <w:t>documentos tipo para los procesos de selección de concurso de méritos, para contratar la interventoría de obras públicas de infraestructura de transporte</w:t>
      </w:r>
      <w:r>
        <w:rPr>
          <w:rFonts w:ascii="Arial" w:hAnsi="Arial" w:cs="Arial"/>
          <w:sz w:val="22"/>
          <w:szCs w:val="22"/>
          <w:lang w:val="es-ES_tradnl"/>
        </w:rPr>
        <w:t xml:space="preserve">. </w:t>
      </w:r>
      <w:r w:rsidRPr="00EE7E31">
        <w:rPr>
          <w:rFonts w:ascii="Arial" w:hAnsi="Arial" w:cs="Arial"/>
          <w:sz w:val="22"/>
          <w:szCs w:val="22"/>
          <w:lang w:val="es-ES_tradnl"/>
        </w:rPr>
        <w:t>En lo pertinente, las ideas expuestas en estos conceptos se reiteran y complementan a continuación.</w:t>
      </w:r>
    </w:p>
    <w:p w14:paraId="2DC9B394" w14:textId="77777777" w:rsidR="00DE6178" w:rsidRPr="006F6593" w:rsidRDefault="00DE6178" w:rsidP="00DE6178">
      <w:pPr>
        <w:spacing w:line="276" w:lineRule="auto"/>
        <w:ind w:firstLine="709"/>
        <w:jc w:val="both"/>
        <w:textAlignment w:val="baseline"/>
        <w:rPr>
          <w:rFonts w:ascii="Arial" w:eastAsia="Arial" w:hAnsi="Arial" w:cs="Arial"/>
          <w:sz w:val="22"/>
          <w:lang w:val="es-ES_tradnl"/>
        </w:rPr>
      </w:pPr>
    </w:p>
    <w:p w14:paraId="2DFB0B76" w14:textId="77777777" w:rsidR="00DE6178" w:rsidRPr="00EE7E31" w:rsidRDefault="00DE6178" w:rsidP="00DE6178">
      <w:pPr>
        <w:spacing w:line="276" w:lineRule="auto"/>
        <w:jc w:val="both"/>
        <w:rPr>
          <w:rFonts w:ascii="Arial" w:eastAsia="Arial" w:hAnsi="Arial" w:cs="Arial"/>
          <w:b/>
          <w:bCs/>
          <w:color w:val="000000"/>
          <w:sz w:val="22"/>
          <w:lang w:val="es-ES_tradnl"/>
        </w:rPr>
      </w:pPr>
      <w:r w:rsidRPr="00AB5927">
        <w:rPr>
          <w:rFonts w:ascii="Arial" w:eastAsia="Arial" w:hAnsi="Arial" w:cs="Arial"/>
          <w:b/>
          <w:bCs/>
          <w:color w:val="000000"/>
          <w:sz w:val="22"/>
          <w:lang w:val="es-ES_tradnl"/>
        </w:rPr>
        <w:t>2.1. Fundamento normativo de los documentos tipo</w:t>
      </w:r>
      <w:r w:rsidRPr="00EE7E31">
        <w:rPr>
          <w:rFonts w:ascii="Arial" w:eastAsia="Arial" w:hAnsi="Arial" w:cs="Arial"/>
          <w:b/>
          <w:bCs/>
          <w:color w:val="000000"/>
          <w:sz w:val="22"/>
          <w:lang w:val="es-ES_tradnl"/>
        </w:rPr>
        <w:t xml:space="preserve"> </w:t>
      </w:r>
    </w:p>
    <w:p w14:paraId="12F3676A" w14:textId="77777777" w:rsidR="00DE6178" w:rsidRPr="00EE7E31" w:rsidRDefault="00DE6178" w:rsidP="00DE6178">
      <w:pPr>
        <w:spacing w:line="276" w:lineRule="auto"/>
        <w:jc w:val="both"/>
        <w:rPr>
          <w:rFonts w:ascii="Arial" w:eastAsia="Arial" w:hAnsi="Arial" w:cs="Arial"/>
          <w:b/>
          <w:bCs/>
          <w:color w:val="000000"/>
          <w:sz w:val="22"/>
          <w:lang w:val="es-ES_tradnl"/>
        </w:rPr>
      </w:pPr>
    </w:p>
    <w:p w14:paraId="1ED3142B" w14:textId="77777777" w:rsidR="00DE6178" w:rsidRPr="00EE7E31" w:rsidRDefault="00DE6178" w:rsidP="00DE6178">
      <w:pPr>
        <w:spacing w:after="120" w:line="276" w:lineRule="auto"/>
        <w:jc w:val="both"/>
        <w:rPr>
          <w:rFonts w:ascii="Arial" w:eastAsia="Calibri" w:hAnsi="Arial" w:cs="Arial"/>
          <w:color w:val="000000"/>
          <w:sz w:val="22"/>
          <w:lang w:val="es-ES_tradnl"/>
        </w:rPr>
      </w:pPr>
      <w:r w:rsidRPr="00EE7E31">
        <w:rPr>
          <w:rFonts w:ascii="Arial" w:eastAsia="Calibri" w:hAnsi="Arial" w:cs="Arial"/>
          <w:color w:val="000000"/>
          <w:sz w:val="22"/>
          <w:lang w:val="es-ES_tradnl"/>
        </w:rPr>
        <w:t>La adopción de los documentos tipo obligatorios en el ordenamiento jurídico colombiano se incluyó por primera vez en el parágrafo 3 del artículo 2 de la Ley 1150 de 2007</w:t>
      </w:r>
      <w:r w:rsidRPr="00EE7E31">
        <w:rPr>
          <w:rStyle w:val="Refdenotaalpie"/>
          <w:rFonts w:ascii="Arial" w:eastAsia="Calibri" w:hAnsi="Arial" w:cs="Arial"/>
          <w:color w:val="000000"/>
          <w:sz w:val="22"/>
          <w:lang w:val="es-ES_tradnl"/>
        </w:rPr>
        <w:footnoteReference w:id="2"/>
      </w:r>
      <w:r w:rsidRPr="00EE7E31">
        <w:rPr>
          <w:rFonts w:ascii="Arial" w:eastAsia="Calibri" w:hAnsi="Arial" w:cs="Arial"/>
          <w:color w:val="000000"/>
          <w:sz w:val="22"/>
          <w:lang w:val="es-ES_tradnl"/>
        </w:rPr>
        <w:t xml:space="preserve">, que facultó al gobierno nacional para expedirlos, pero solo cuando se tratara de la adquisición o suministro de bienes y servicios de características técnicas uniformes y de común utilización. Sin embargo, esta facultad no ha sido ejercida hasta la actualidad. </w:t>
      </w:r>
    </w:p>
    <w:p w14:paraId="22B9741D" w14:textId="77777777" w:rsidR="00DE6178" w:rsidRPr="00EE7E31" w:rsidRDefault="00DE6178" w:rsidP="00DE6178">
      <w:pPr>
        <w:spacing w:line="276" w:lineRule="auto"/>
        <w:ind w:firstLine="708"/>
        <w:jc w:val="both"/>
        <w:rPr>
          <w:rFonts w:ascii="Arial" w:eastAsia="Calibri" w:hAnsi="Arial" w:cs="Arial"/>
          <w:color w:val="000000"/>
          <w:sz w:val="22"/>
          <w:lang w:val="es-ES_tradnl"/>
        </w:rPr>
      </w:pPr>
      <w:r w:rsidRPr="00EE7E31">
        <w:rPr>
          <w:rFonts w:ascii="Arial" w:eastAsia="Calibri" w:hAnsi="Arial" w:cs="Arial"/>
          <w:color w:val="000000"/>
          <w:sz w:val="22"/>
          <w:lang w:val="es-ES_tradnl"/>
        </w:rPr>
        <w:t xml:space="preserve">Debido a lo anterior, el artículo 4 de la Ley 1882 de 2018 es el antecedente más relevante de la expedición de documentos tipo con alcance obligatorio. A partir de esta norma se determinó la obligatoriedad por parte de todas las entidades sometidas al Estatuto General de Contratación de la Administración Pública de aplicar los documentos tipo adoptados por el gobierno nacional. En virtud de las competencias atribuidas por la Ley 1882 de 2018 se expidieron varios documentos tipo para el sector de infraestructura de transporte. </w:t>
      </w:r>
    </w:p>
    <w:p w14:paraId="3FA842BE" w14:textId="77777777" w:rsidR="00DE6178" w:rsidRPr="00EE7E31" w:rsidRDefault="00DE6178" w:rsidP="00DE6178">
      <w:pPr>
        <w:spacing w:before="120" w:after="120" w:line="276" w:lineRule="auto"/>
        <w:ind w:firstLine="708"/>
        <w:jc w:val="both"/>
        <w:rPr>
          <w:rFonts w:ascii="Arial" w:eastAsia="Calibri" w:hAnsi="Arial" w:cs="Arial"/>
          <w:color w:val="000000"/>
          <w:sz w:val="22"/>
          <w:lang w:val="es-ES_tradnl"/>
        </w:rPr>
      </w:pPr>
      <w:r w:rsidRPr="00EE7E31">
        <w:rPr>
          <w:rFonts w:ascii="Arial" w:eastAsia="Calibri" w:hAnsi="Arial" w:cs="Arial"/>
          <w:color w:val="000000"/>
          <w:sz w:val="22"/>
          <w:lang w:val="es-ES_tradnl"/>
        </w:rPr>
        <w:lastRenderedPageBreak/>
        <w:t>La Ley 1882 de 2018, en el artículo 4, establecía que el gobierno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Estos debían ser aplicados por todas las entidades sometidas al Estatuto General de Contratación de la Administración Pública en los procesos de selección que adelantaran</w:t>
      </w:r>
      <w:r w:rsidRPr="00EE7E31">
        <w:rPr>
          <w:rStyle w:val="Refdenotaalpie"/>
          <w:rFonts w:ascii="Arial" w:eastAsia="Calibri" w:hAnsi="Arial" w:cs="Arial"/>
          <w:color w:val="000000"/>
          <w:sz w:val="22"/>
          <w:lang w:val="es-ES_tradnl"/>
        </w:rPr>
        <w:footnoteReference w:id="3"/>
      </w:r>
      <w:r w:rsidRPr="00EE7E31">
        <w:rPr>
          <w:rFonts w:ascii="Arial" w:eastAsia="Calibri" w:hAnsi="Arial" w:cs="Arial"/>
          <w:color w:val="000000"/>
          <w:sz w:val="22"/>
          <w:lang w:val="es-ES_tradnl"/>
        </w:rPr>
        <w:t>.</w:t>
      </w:r>
    </w:p>
    <w:p w14:paraId="3515546E" w14:textId="77777777" w:rsidR="00DE6178" w:rsidRPr="00EE7E31" w:rsidRDefault="00DE6178" w:rsidP="00DE6178">
      <w:pPr>
        <w:spacing w:before="120" w:after="120" w:line="276" w:lineRule="auto"/>
        <w:jc w:val="both"/>
        <w:rPr>
          <w:rFonts w:ascii="Arial" w:eastAsia="Calibri" w:hAnsi="Arial" w:cs="Arial"/>
          <w:color w:val="000000"/>
          <w:sz w:val="22"/>
          <w:lang w:val="es-ES_tradnl"/>
        </w:rPr>
      </w:pPr>
      <w:r w:rsidRPr="00EE7E31">
        <w:rPr>
          <w:rFonts w:ascii="Arial" w:eastAsia="Calibri" w:hAnsi="Arial" w:cs="Arial"/>
          <w:color w:val="000000"/>
          <w:sz w:val="22"/>
          <w:lang w:val="es-ES_tradnl"/>
        </w:rPr>
        <w:tab/>
        <w:t>Asimismo, señalaba que, dentro de los documentos tipo, el gobierno adoptaría</w:t>
      </w:r>
      <w:r>
        <w:rPr>
          <w:rFonts w:ascii="Arial" w:eastAsia="Calibri" w:hAnsi="Arial" w:cs="Arial"/>
          <w:color w:val="000000"/>
          <w:sz w:val="22"/>
          <w:lang w:val="es-ES_tradnl"/>
        </w:rPr>
        <w:t>,</w:t>
      </w:r>
      <w:r w:rsidRPr="00EE7E31">
        <w:rPr>
          <w:rFonts w:ascii="Arial" w:eastAsia="Calibri" w:hAnsi="Arial" w:cs="Arial"/>
          <w:color w:val="000000"/>
          <w:sz w:val="22"/>
          <w:lang w:val="es-ES_tradnl"/>
        </w:rPr>
        <w:t xml:space="preserve"> de manera general y con alcance obligatorio para todas las entidades</w:t>
      </w:r>
      <w:r>
        <w:rPr>
          <w:rFonts w:ascii="Arial" w:eastAsia="Calibri" w:hAnsi="Arial" w:cs="Arial"/>
          <w:color w:val="000000"/>
          <w:sz w:val="22"/>
          <w:lang w:val="es-ES_tradnl"/>
        </w:rPr>
        <w:t>,</w:t>
      </w:r>
      <w:r w:rsidRPr="00EE7E31">
        <w:rPr>
          <w:rFonts w:ascii="Arial" w:eastAsia="Calibri" w:hAnsi="Arial" w:cs="Arial"/>
          <w:color w:val="000000"/>
          <w:sz w:val="22"/>
          <w:lang w:val="es-ES_tradnl"/>
        </w:rPr>
        <w:t xml:space="preserve"> las condiciones habilitantes, así como los factores técnicos y económicos de escogencia, según correspondiera a cada modalidad de selección y la ponderación precisa y detallada de los mismos, teniendo en cuenta la naturaleza y cuantía de los contratos. Para la adopción de esta reglamentación</w:t>
      </w:r>
      <w:r>
        <w:rPr>
          <w:rFonts w:ascii="Arial" w:eastAsia="Calibri" w:hAnsi="Arial" w:cs="Arial"/>
          <w:color w:val="000000"/>
          <w:sz w:val="22"/>
          <w:lang w:val="es-ES_tradnl"/>
        </w:rPr>
        <w:t>,</w:t>
      </w:r>
      <w:r w:rsidRPr="00EE7E31">
        <w:rPr>
          <w:rFonts w:ascii="Arial" w:eastAsia="Calibri" w:hAnsi="Arial" w:cs="Arial"/>
          <w:color w:val="000000"/>
          <w:sz w:val="22"/>
          <w:lang w:val="es-ES_tradnl"/>
        </w:rPr>
        <w:t xml:space="preserve"> el gobierno tendría en cuenta las características propias de las regiones con el ánimo de promover el empleo local. Por último, se facultaba al gobierno para adoptar los documentos tipo cuando lo considerara necesario en relación con otros contratos o procesos de selección. </w:t>
      </w:r>
    </w:p>
    <w:p w14:paraId="0E54DEE6" w14:textId="77777777" w:rsidR="00DE6178" w:rsidRPr="00EE7E31" w:rsidRDefault="00DE6178" w:rsidP="00DE6178">
      <w:pPr>
        <w:spacing w:before="120" w:after="120" w:line="276" w:lineRule="auto"/>
        <w:jc w:val="both"/>
        <w:rPr>
          <w:rFonts w:ascii="Arial" w:eastAsia="Calibri" w:hAnsi="Arial" w:cs="Arial"/>
          <w:color w:val="000000"/>
          <w:sz w:val="22"/>
          <w:lang w:val="es-ES_tradnl"/>
        </w:rPr>
      </w:pPr>
      <w:r w:rsidRPr="00EE7E31">
        <w:rPr>
          <w:rFonts w:ascii="Arial" w:eastAsia="Calibri" w:hAnsi="Arial" w:cs="Arial"/>
          <w:color w:val="000000"/>
          <w:sz w:val="22"/>
          <w:lang w:val="es-ES_tradnl"/>
        </w:rPr>
        <w:tab/>
        <w:t xml:space="preserve">De la norma descrita se concluía lo siguiente: i) la adopción de los documentos tipo estaba en cabeza del gobierno nacional; </w:t>
      </w:r>
      <w:proofErr w:type="spellStart"/>
      <w:r w:rsidRPr="00EE7E31">
        <w:rPr>
          <w:rFonts w:ascii="Arial" w:eastAsia="Calibri" w:hAnsi="Arial" w:cs="Arial"/>
          <w:color w:val="000000"/>
          <w:sz w:val="22"/>
          <w:lang w:val="es-ES_tradnl"/>
        </w:rPr>
        <w:t>ii</w:t>
      </w:r>
      <w:proofErr w:type="spellEnd"/>
      <w:r w:rsidRPr="00EE7E31">
        <w:rPr>
          <w:rFonts w:ascii="Arial" w:eastAsia="Calibri" w:hAnsi="Arial" w:cs="Arial"/>
          <w:color w:val="000000"/>
          <w:sz w:val="22"/>
          <w:lang w:val="es-ES_tradnl"/>
        </w:rPr>
        <w:t>) estos debían relacionarse con procesos de obra</w:t>
      </w:r>
      <w:r>
        <w:rPr>
          <w:rFonts w:ascii="Arial" w:eastAsia="Calibri" w:hAnsi="Arial" w:cs="Arial"/>
          <w:color w:val="000000"/>
          <w:sz w:val="22"/>
          <w:lang w:val="es-ES_tradnl"/>
        </w:rPr>
        <w:t>s</w:t>
      </w:r>
      <w:r w:rsidRPr="00EE7E31">
        <w:rPr>
          <w:rFonts w:ascii="Arial" w:eastAsia="Calibri" w:hAnsi="Arial" w:cs="Arial"/>
          <w:color w:val="000000"/>
          <w:sz w:val="22"/>
          <w:lang w:val="es-ES_tradnl"/>
        </w:rPr>
        <w:t xml:space="preserve"> públicas, interventoría para las obras públicas, interventoría para consultoría de estudios y diseños y, finalmente, consultoría en ingeniería para obras; </w:t>
      </w:r>
      <w:proofErr w:type="spellStart"/>
      <w:r w:rsidRPr="00EE7E31">
        <w:rPr>
          <w:rFonts w:ascii="Arial" w:eastAsia="Calibri" w:hAnsi="Arial" w:cs="Arial"/>
          <w:color w:val="000000"/>
          <w:sz w:val="22"/>
          <w:lang w:val="es-ES_tradnl"/>
        </w:rPr>
        <w:t>iii</w:t>
      </w:r>
      <w:proofErr w:type="spellEnd"/>
      <w:r w:rsidRPr="00EE7E31">
        <w:rPr>
          <w:rFonts w:ascii="Arial" w:eastAsia="Calibri" w:hAnsi="Arial" w:cs="Arial"/>
          <w:color w:val="000000"/>
          <w:sz w:val="22"/>
          <w:lang w:val="es-ES_tradnl"/>
        </w:rPr>
        <w:t xml:space="preserve">) eran de obligatorio cumplimiento por parte de todas las entidades sometidas al Estatuto General de Contratación de la Administración Pública; </w:t>
      </w:r>
      <w:proofErr w:type="spellStart"/>
      <w:r w:rsidRPr="00EE7E31">
        <w:rPr>
          <w:rFonts w:ascii="Arial" w:eastAsia="Calibri" w:hAnsi="Arial" w:cs="Arial"/>
          <w:color w:val="000000"/>
          <w:sz w:val="22"/>
          <w:lang w:val="es-ES_tradnl"/>
        </w:rPr>
        <w:t>iv</w:t>
      </w:r>
      <w:proofErr w:type="spellEnd"/>
      <w:r w:rsidRPr="00EE7E31">
        <w:rPr>
          <w:rFonts w:ascii="Arial" w:eastAsia="Calibri" w:hAnsi="Arial" w:cs="Arial"/>
          <w:color w:val="000000"/>
          <w:sz w:val="22"/>
          <w:lang w:val="es-ES_tradnl"/>
        </w:rPr>
        <w:t>) en los documentos tipo se indicarían las condiciones generales de los requisitos habilitantes, así como los factores técnicos y económicos de escogencia, según correspondiera para cada modalidad de selección; v) el gobierno nacional tenía la facultad de adoptar documentos tipo en otros contratos o procesos de selección, y</w:t>
      </w:r>
      <w:r>
        <w:rPr>
          <w:rFonts w:ascii="Arial" w:eastAsia="Calibri" w:hAnsi="Arial" w:cs="Arial"/>
          <w:color w:val="000000"/>
          <w:sz w:val="22"/>
          <w:lang w:val="es-ES_tradnl"/>
        </w:rPr>
        <w:t>,</w:t>
      </w:r>
      <w:r w:rsidRPr="00EE7E31">
        <w:rPr>
          <w:rFonts w:ascii="Arial" w:eastAsia="Calibri" w:hAnsi="Arial" w:cs="Arial"/>
          <w:color w:val="000000"/>
          <w:sz w:val="22"/>
          <w:lang w:val="es-ES_tradnl"/>
        </w:rPr>
        <w:t xml:space="preserve"> por último, vi) los documentos tipo serían adoptados por categorías de acuerdo con la cuantía de la contratación. </w:t>
      </w:r>
    </w:p>
    <w:p w14:paraId="68F7D659" w14:textId="77777777" w:rsidR="00DE6178" w:rsidRPr="00EE7E31" w:rsidRDefault="00DE6178" w:rsidP="00DE6178">
      <w:pPr>
        <w:spacing w:before="120" w:after="120" w:line="276" w:lineRule="auto"/>
        <w:jc w:val="both"/>
        <w:rPr>
          <w:rFonts w:ascii="Arial" w:eastAsia="Calibri" w:hAnsi="Arial" w:cs="Arial"/>
          <w:color w:val="000000"/>
          <w:sz w:val="22"/>
          <w:lang w:val="es-ES_tradnl"/>
        </w:rPr>
      </w:pPr>
      <w:r w:rsidRPr="00EE7E31">
        <w:rPr>
          <w:rFonts w:ascii="Arial" w:eastAsia="Calibri" w:hAnsi="Arial" w:cs="Arial"/>
          <w:color w:val="000000"/>
          <w:sz w:val="22"/>
          <w:lang w:val="es-ES_tradnl"/>
        </w:rPr>
        <w:lastRenderedPageBreak/>
        <w:tab/>
        <w:t xml:space="preserve">Esta norma fue estudiada por la Corte Constitucional en la sentencia C-119 de 2020. Al respecto, indicó que la adopción de los documentos tipo no afectaba la autonomía de las entidades territoriales, en cuanto la estandarización se predicaba únicamente de los requisitos habilitantes </w:t>
      </w:r>
      <w:bookmarkStart w:id="6" w:name="_Hlk48665985"/>
      <w:r w:rsidRPr="00EE7E31">
        <w:rPr>
          <w:rFonts w:ascii="Arial" w:eastAsia="Calibri" w:hAnsi="Arial" w:cs="Arial"/>
          <w:color w:val="000000"/>
          <w:sz w:val="22"/>
          <w:lang w:val="es-ES_tradnl"/>
        </w:rPr>
        <w:t>y los criterios de escogencia, elementos propios del procedimiento de selección del contratista, materia en la que existe reserva de ley y que no se encuentra atribuida a la regulación de las entidades territoriales</w:t>
      </w:r>
      <w:bookmarkEnd w:id="6"/>
      <w:r w:rsidRPr="00EE7E31">
        <w:rPr>
          <w:rFonts w:ascii="Arial" w:eastAsia="Calibri" w:hAnsi="Arial" w:cs="Arial"/>
          <w:color w:val="000000"/>
          <w:sz w:val="22"/>
          <w:lang w:val="es-ES_tradnl"/>
        </w:rPr>
        <w:t>. De igual manera, se establece que esta autonomía se garantiza con la identificación autónoma de sus necesidades y la configuración de los elementos del contrato</w:t>
      </w:r>
      <w:r w:rsidRPr="00EE7E31">
        <w:rPr>
          <w:rStyle w:val="Refdenotaalpie"/>
          <w:rFonts w:ascii="Arial" w:eastAsia="Calibri" w:hAnsi="Arial" w:cs="Arial"/>
          <w:color w:val="000000"/>
          <w:sz w:val="22"/>
          <w:lang w:val="es-ES_tradnl"/>
        </w:rPr>
        <w:footnoteReference w:id="4"/>
      </w:r>
      <w:r w:rsidRPr="00EE7E31">
        <w:rPr>
          <w:rFonts w:ascii="Arial" w:eastAsia="Calibri" w:hAnsi="Arial" w:cs="Arial"/>
          <w:color w:val="000000"/>
          <w:sz w:val="22"/>
          <w:lang w:val="es-ES_tradnl"/>
        </w:rPr>
        <w:t>.</w:t>
      </w:r>
    </w:p>
    <w:p w14:paraId="06E70866" w14:textId="77777777" w:rsidR="00DE6178" w:rsidRPr="00EE7E31" w:rsidRDefault="00DE6178" w:rsidP="00DE6178">
      <w:pPr>
        <w:spacing w:before="120" w:after="120" w:line="276" w:lineRule="auto"/>
        <w:jc w:val="both"/>
        <w:rPr>
          <w:rFonts w:ascii="Arial" w:eastAsia="Calibri" w:hAnsi="Arial" w:cs="Arial"/>
          <w:color w:val="000000"/>
          <w:sz w:val="22"/>
          <w:lang w:val="es-ES_tradnl"/>
        </w:rPr>
      </w:pPr>
      <w:r w:rsidRPr="00EE7E31">
        <w:rPr>
          <w:rFonts w:ascii="Arial" w:eastAsia="Calibri" w:hAnsi="Arial" w:cs="Arial"/>
          <w:color w:val="000000"/>
          <w:sz w:val="22"/>
          <w:lang w:val="es-ES_tradnl"/>
        </w:rPr>
        <w:tab/>
        <w:t>De este modo, los documentos tipo no afectan la autonomía de las entidades territoriales. Lo anterior, debido a que la definición de los requisitos habilitantes y de aspectos técnicos de la selección del contratista en los procesos de selección, son aspectos en los que el legislador tiene amplia libertad de configuración legislativa y, por tanto, puede atribuir dicha regulación al gobierno nacional. Ahora, dicha autonomía se materializa cuando las entidades territoriales deciden iniciar un proceso de convocatoria para satisfacer sus necesidades para la adquisición de un bien, obra o servicio, y además se incluyen en la minuta del contrato las condiciones particulares del negocio jurídico a celebrar.</w:t>
      </w:r>
    </w:p>
    <w:p w14:paraId="6839F264" w14:textId="77777777" w:rsidR="00DE6178" w:rsidRDefault="00DE6178" w:rsidP="00DE6178">
      <w:pPr>
        <w:spacing w:before="120" w:after="120" w:line="276" w:lineRule="auto"/>
        <w:jc w:val="both"/>
        <w:rPr>
          <w:rFonts w:ascii="Arial" w:eastAsia="Calibri" w:hAnsi="Arial" w:cs="Arial"/>
          <w:sz w:val="22"/>
          <w:szCs w:val="22"/>
          <w:lang w:val="es-ES_tradnl" w:eastAsia="en-US"/>
        </w:rPr>
      </w:pPr>
      <w:r w:rsidRPr="00EE7E31">
        <w:rPr>
          <w:rFonts w:ascii="Arial" w:eastAsia="Calibri" w:hAnsi="Arial" w:cs="Arial"/>
          <w:color w:val="000000"/>
          <w:sz w:val="22"/>
          <w:szCs w:val="22"/>
          <w:lang w:val="es-ES_tradnl"/>
        </w:rPr>
        <w:tab/>
      </w:r>
      <w:r w:rsidRPr="00EE7E31">
        <w:rPr>
          <w:rFonts w:ascii="Arial" w:eastAsia="Calibri" w:hAnsi="Arial" w:cs="Arial"/>
          <w:sz w:val="22"/>
          <w:szCs w:val="22"/>
          <w:lang w:val="es-ES_tradnl" w:eastAsia="en-US"/>
        </w:rPr>
        <w:t xml:space="preserve">Dada la relevancia económica y el impacto que tienen en el nivel territorial los proyectos de obra en el sector transporte, el gobierno nacional, en vigencia del artículo 4 de la Ley 1882 de 2018, por el cual se adicionó el parágrafo 7 del artículo 2 de la Ley 1150 de 2007, inició la implementación gradual mediante el Decreto 342 del 5 de marzo de 2019, relacionado con los documentos tipo para los procesos de selección de licitación de obra pública de infraestructura de transporte. </w:t>
      </w:r>
    </w:p>
    <w:p w14:paraId="1214CF28" w14:textId="77777777" w:rsidR="00DE6178" w:rsidRPr="00EE7E31" w:rsidRDefault="00DE6178" w:rsidP="00DE6178">
      <w:pPr>
        <w:spacing w:before="120" w:after="120" w:line="276" w:lineRule="auto"/>
        <w:jc w:val="both"/>
        <w:rPr>
          <w:rFonts w:ascii="Arial" w:eastAsia="Calibri" w:hAnsi="Arial" w:cs="Arial"/>
          <w:color w:val="000000"/>
          <w:sz w:val="22"/>
          <w:szCs w:val="22"/>
          <w:lang w:val="es-ES_tradnl"/>
        </w:rPr>
      </w:pPr>
      <w:r w:rsidRPr="00EE7E31">
        <w:rPr>
          <w:rFonts w:ascii="Arial" w:eastAsia="Calibri" w:hAnsi="Arial" w:cs="Arial"/>
          <w:sz w:val="22"/>
          <w:szCs w:val="22"/>
          <w:lang w:val="es-ES_tradnl" w:eastAsia="en-US"/>
        </w:rPr>
        <w:tab/>
        <w:t>Posteriormente, se expidió el Decreto 2096 del 21 de noviembre de 2019, que permitió el desarrollo de los documentos tipo para los pliegos de condiciones de los procesos de obras públicas de infraestructura de transporte que se adelantaran por la modalidad de selección abreviada de menor cuantía. Finalmente, se profirió el Decreto 594 del 25 de abril de 2020, frente a los documentos tipo para los contratos de obra pública</w:t>
      </w:r>
      <w:r w:rsidRPr="00EE7E31" w:rsidDel="00A434AB">
        <w:rPr>
          <w:rFonts w:ascii="Arial" w:eastAsia="Calibri" w:hAnsi="Arial" w:cs="Arial"/>
          <w:sz w:val="22"/>
          <w:szCs w:val="22"/>
          <w:lang w:val="es-ES_tradnl" w:eastAsia="en-US"/>
        </w:rPr>
        <w:t xml:space="preserve"> </w:t>
      </w:r>
      <w:r w:rsidRPr="00EE7E31">
        <w:rPr>
          <w:rFonts w:ascii="Arial" w:eastAsia="Calibri" w:hAnsi="Arial" w:cs="Arial"/>
          <w:sz w:val="22"/>
          <w:szCs w:val="22"/>
          <w:lang w:val="es-ES_tradnl" w:eastAsia="en-US"/>
        </w:rPr>
        <w:t xml:space="preserve">de infraestructura de transporte que se surtieran por la modalidad de mínima cuantía. Estos documentos fueron implementados y desarrollados por la Agencia Nacional de Contratación Pública </w:t>
      </w:r>
      <w:bookmarkStart w:id="7" w:name="_Hlk37841850"/>
      <w:r w:rsidRPr="00EE7E31">
        <w:rPr>
          <w:rFonts w:ascii="Arial" w:eastAsia="Calibri" w:hAnsi="Arial" w:cs="Arial"/>
          <w:sz w:val="22"/>
          <w:szCs w:val="22"/>
          <w:lang w:val="es-ES_tradnl" w:eastAsia="en-US"/>
        </w:rPr>
        <w:t xml:space="preserve">– Colombia Compra Eficiente, </w:t>
      </w:r>
      <w:bookmarkEnd w:id="7"/>
      <w:r w:rsidRPr="00EE7E31">
        <w:rPr>
          <w:rFonts w:ascii="Arial" w:eastAsia="Calibri" w:hAnsi="Arial" w:cs="Arial"/>
          <w:sz w:val="22"/>
          <w:szCs w:val="22"/>
          <w:lang w:val="es-ES_tradnl" w:eastAsia="en-US"/>
        </w:rPr>
        <w:t xml:space="preserve">por medio de la Resolución 1798 de 1 de abril de </w:t>
      </w:r>
      <w:r w:rsidRPr="00EE7E31">
        <w:rPr>
          <w:rFonts w:ascii="Arial" w:eastAsia="Calibri" w:hAnsi="Arial" w:cs="Arial"/>
          <w:sz w:val="22"/>
          <w:szCs w:val="22"/>
          <w:lang w:val="es-ES_tradnl" w:eastAsia="en-US"/>
        </w:rPr>
        <w:lastRenderedPageBreak/>
        <w:t>2019 –derogada por la Resolución 045 del 14 de febrero de 2020–, la Resolución 044 del 14 de febrero de 2020 y la Resolución 094 del 21 de mayo de 2020.</w:t>
      </w:r>
    </w:p>
    <w:p w14:paraId="435BE96E" w14:textId="77777777" w:rsidR="00DE6178" w:rsidRPr="00EE7E31" w:rsidRDefault="00DE6178" w:rsidP="00DE6178">
      <w:pPr>
        <w:pStyle w:val="Normal11pt"/>
        <w:spacing w:before="120" w:line="276" w:lineRule="auto"/>
        <w:ind w:left="0" w:firstLine="709"/>
        <w:rPr>
          <w:rFonts w:eastAsia="Calibri"/>
          <w:color w:val="000000" w:themeColor="text1"/>
        </w:rPr>
      </w:pPr>
      <w:r w:rsidRPr="00EE7E31">
        <w:rPr>
          <w:rFonts w:eastAsia="Calibri"/>
          <w:color w:val="000000" w:themeColor="text1"/>
        </w:rPr>
        <w:t>Por otra parte</w:t>
      </w:r>
      <w:r w:rsidRPr="00EE7E31">
        <w:rPr>
          <w:rFonts w:eastAsia="Calibri"/>
          <w:i/>
          <w:iCs/>
          <w:color w:val="000000" w:themeColor="text1"/>
        </w:rPr>
        <w:t>,</w:t>
      </w:r>
      <w:r w:rsidRPr="00EE7E31">
        <w:rPr>
          <w:rFonts w:eastAsia="Calibri"/>
          <w:color w:val="000000" w:themeColor="text1"/>
        </w:rPr>
        <w:t xml:space="preserve"> </w:t>
      </w:r>
      <w:bookmarkStart w:id="8" w:name="_Hlk85633926"/>
      <w:r w:rsidRPr="00EE7E31">
        <w:rPr>
          <w:rFonts w:eastAsia="Calibri"/>
          <w:color w:val="000000" w:themeColor="text1"/>
        </w:rPr>
        <w:t xml:space="preserve">debe tenerse en cuenta que la Ley 2022 de 2020 fue sancionada por el Presidente de la República el 22 de julio del año pasado, </w:t>
      </w:r>
      <w:r>
        <w:rPr>
          <w:rFonts w:eastAsia="Calibri"/>
          <w:color w:val="000000" w:themeColor="text1"/>
        </w:rPr>
        <w:t>y</w:t>
      </w:r>
      <w:r w:rsidRPr="00EE7E31">
        <w:rPr>
          <w:rFonts w:eastAsia="Calibri"/>
          <w:color w:val="000000" w:themeColor="text1"/>
        </w:rPr>
        <w:t xml:space="preserve"> en su artículo 1 modificó el artículo 4 de la Ley 1882 de 2018 y, por tanto, modificó el parágrafo 7 del artículo 2 de la Ley 1150 de 2007, asignando directamente a la Agencia Nacional de Contratación Pública – Colombia Compra Eficiente la facultad para adoptar los documentos tipo</w:t>
      </w:r>
      <w:r w:rsidRPr="00EE7E31">
        <w:rPr>
          <w:rStyle w:val="Refdenotaalpie"/>
          <w:rFonts w:eastAsia="Calibri"/>
          <w:color w:val="000000" w:themeColor="text1"/>
        </w:rPr>
        <w:footnoteReference w:id="5"/>
      </w:r>
      <w:r w:rsidRPr="00EE7E31">
        <w:rPr>
          <w:rFonts w:eastAsia="Calibri"/>
          <w:color w:val="000000" w:themeColor="text1"/>
        </w:rPr>
        <w:t xml:space="preserve">. En este sentido, 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w:t>
      </w:r>
      <w:bookmarkEnd w:id="8"/>
      <w:r w:rsidRPr="00EE7E31">
        <w:rPr>
          <w:rFonts w:eastAsia="Calibri"/>
          <w:color w:val="000000" w:themeColor="text1"/>
        </w:rPr>
        <w:t xml:space="preserve">Además, con fundamento en dicha Ley, se profirió la Resolución 240 del 27 de noviembre de 2020, «Por la cual se actualizan los Documentos Tipo para los procesos de selección de licitación de obra pública de infraestructura de transporte y se deroga la Resolución 0045 de 2020». </w:t>
      </w:r>
    </w:p>
    <w:p w14:paraId="3816E7C5" w14:textId="77777777" w:rsidR="00DE6178" w:rsidRPr="00EE7E31" w:rsidRDefault="00DE6178" w:rsidP="00DE6178">
      <w:pPr>
        <w:pStyle w:val="Normal11pt"/>
        <w:spacing w:before="120" w:line="276" w:lineRule="auto"/>
        <w:ind w:left="0" w:firstLine="709"/>
        <w:rPr>
          <w:rFonts w:eastAsia="Calibri"/>
          <w:color w:val="000000" w:themeColor="text1"/>
        </w:rPr>
      </w:pPr>
      <w:r w:rsidRPr="00EE7E31">
        <w:rPr>
          <w:rFonts w:eastAsia="Calibri"/>
          <w:color w:val="000000" w:themeColor="text1"/>
        </w:rPr>
        <w:t xml:space="preserve">De igual manera, se expidió la Resolución 241 del 27 de noviembre de 2020, «Por la cual se actualizan los Documentos Tipo para los procesos de selección abreviada de menor cuantía de obra pública de infraestructura de transporte y se deroga la Resolución 0044 de 2020». Adicionalmente, entró en vigencia la Resolución 256 del 11 de diciembre de 2020, «Por la cual se adoptan los documentos tipo para los procesos de selección de concursos de méritos, para contratar la interventoría de obras públicas de infraestructura de transporte». Por otra parte, se expidió la Resolución 248 del 1° de diciembre de 2020, «Por la cual se adoptan los documentos tipo para los procesos de licitación pública para </w:t>
      </w:r>
      <w:r w:rsidRPr="00EE7E31">
        <w:rPr>
          <w:rFonts w:eastAsia="Calibri"/>
          <w:color w:val="000000" w:themeColor="text1"/>
        </w:rPr>
        <w:lastRenderedPageBreak/>
        <w:t>obras de infraestructura de agua potable y saneamiento básico», la Resolución 249 del 1° de diciembre de 2020, «Por la cual se adoptan los documentos tipo para los procesos de licitación pública para obras de infraestructura de agua potable y saneamiento básico en la modalidad llave en mano» y la Resolución 269 del 16 de diciembre de 2020, «Por la cual se adopta el documento tipo para los procesos de gestión catastral con enfoque multipropósito que se celebren a través de contratos interadministrativos».</w:t>
      </w:r>
    </w:p>
    <w:p w14:paraId="61C63CFE" w14:textId="77777777" w:rsidR="00DE6178" w:rsidRPr="00EE7E31" w:rsidRDefault="00DE6178" w:rsidP="00DE6178">
      <w:pPr>
        <w:pStyle w:val="Normal11pt"/>
        <w:spacing w:before="120" w:line="276" w:lineRule="auto"/>
        <w:ind w:left="0" w:firstLine="709"/>
        <w:rPr>
          <w:rFonts w:eastAsia="Calibri"/>
          <w:color w:val="000000" w:themeColor="text1"/>
        </w:rPr>
      </w:pPr>
      <w:r w:rsidRPr="00EE7E31">
        <w:rPr>
          <w:rFonts w:eastAsia="Calibri"/>
          <w:color w:val="000000" w:themeColor="text1"/>
        </w:rPr>
        <w:t xml:space="preserve">Asimismo, </w:t>
      </w:r>
      <w:r>
        <w:rPr>
          <w:rFonts w:eastAsia="Calibri"/>
          <w:color w:val="000000" w:themeColor="text1"/>
        </w:rPr>
        <w:t>este</w:t>
      </w:r>
      <w:r w:rsidRPr="00EE7E31">
        <w:rPr>
          <w:rFonts w:eastAsia="Calibri"/>
          <w:color w:val="000000" w:themeColor="text1"/>
        </w:rPr>
        <w:t xml:space="preserve"> </w:t>
      </w:r>
      <w:r>
        <w:rPr>
          <w:rFonts w:eastAsia="Calibri"/>
          <w:color w:val="000000" w:themeColor="text1"/>
        </w:rPr>
        <w:t>año</w:t>
      </w:r>
      <w:r w:rsidRPr="00EE7E31">
        <w:rPr>
          <w:rFonts w:eastAsia="Calibri"/>
          <w:color w:val="000000" w:themeColor="text1"/>
        </w:rPr>
        <w:t xml:space="preserve"> 2021 </w:t>
      </w:r>
      <w:r>
        <w:rPr>
          <w:rFonts w:eastAsia="Calibri"/>
          <w:color w:val="000000" w:themeColor="text1"/>
        </w:rPr>
        <w:t>la</w:t>
      </w:r>
      <w:r w:rsidRPr="00EE7E31">
        <w:rPr>
          <w:rFonts w:eastAsia="Calibri"/>
          <w:color w:val="000000" w:themeColor="text1"/>
        </w:rPr>
        <w:t xml:space="preserve"> Agencia expidió al Resolución 193 del 14 de julio de 2021, «Por la cual se adoptan los documentos tipo para los procesos de selección de concurso de méritos, para contratar la consultoría de estudios de ingeniería de infraestructura de transporte». De igual forma el 6 de agosto de 2021, se adoptaron las Resoluciones 219 de 2021, «Por la cual se adoptan los documentos tipo para los procesos de licitación de obra pública de infraestructura social», y 220 de 2021, «Por la cual se adoptan los documentos tipo complementarios para los procesos de licitación de obra pública de infraestructura social relacionados con el sector educativo». </w:t>
      </w:r>
    </w:p>
    <w:p w14:paraId="0D1EC09B" w14:textId="77777777" w:rsidR="00DE6178" w:rsidRPr="00EE7E31" w:rsidRDefault="00DE6178" w:rsidP="00DE6178">
      <w:pPr>
        <w:pStyle w:val="Normal11pt"/>
        <w:spacing w:before="120" w:line="276" w:lineRule="auto"/>
        <w:ind w:left="0" w:firstLine="709"/>
        <w:rPr>
          <w:rFonts w:eastAsia="Calibri"/>
          <w:lang w:eastAsia="en-US"/>
        </w:rPr>
      </w:pPr>
      <w:r w:rsidRPr="00EE7E31">
        <w:rPr>
          <w:rFonts w:eastAsia="Calibri"/>
          <w:color w:val="000000" w:themeColor="text1"/>
        </w:rPr>
        <w:t xml:space="preserve">Es bueno destacar que la Agencia Nacional de Contratación Pública sigue avanzando en la </w:t>
      </w:r>
      <w:r>
        <w:rPr>
          <w:rFonts w:eastAsia="Calibri"/>
          <w:color w:val="000000" w:themeColor="text1"/>
        </w:rPr>
        <w:t>elaboración</w:t>
      </w:r>
      <w:r w:rsidRPr="00EE7E31">
        <w:rPr>
          <w:rFonts w:eastAsia="Calibri"/>
          <w:color w:val="000000" w:themeColor="text1"/>
        </w:rPr>
        <w:t xml:space="preserve"> de nuevos documentos tipo, conforme a las razones de oportunidad y conveniencia que justifican su expedición para cada sector, modalidad y objeto contractual. Debe tenerse en cuenta que estos exigen un minucioso desarrollo en el cual participan las entidades estatales, </w:t>
      </w:r>
      <w:r>
        <w:rPr>
          <w:rFonts w:eastAsia="Calibri"/>
          <w:color w:val="000000" w:themeColor="text1"/>
        </w:rPr>
        <w:t xml:space="preserve">las </w:t>
      </w:r>
      <w:r w:rsidRPr="00EE7E31">
        <w:rPr>
          <w:rFonts w:eastAsia="Calibri"/>
          <w:color w:val="000000" w:themeColor="text1"/>
        </w:rPr>
        <w:t xml:space="preserve">empresas, </w:t>
      </w:r>
      <w:r>
        <w:rPr>
          <w:rFonts w:eastAsia="Calibri"/>
          <w:color w:val="000000" w:themeColor="text1"/>
        </w:rPr>
        <w:t xml:space="preserve">los </w:t>
      </w:r>
      <w:r w:rsidRPr="00EE7E31">
        <w:rPr>
          <w:rFonts w:eastAsia="Calibri"/>
          <w:color w:val="000000" w:themeColor="text1"/>
        </w:rPr>
        <w:t xml:space="preserve">gremios y </w:t>
      </w:r>
      <w:r>
        <w:rPr>
          <w:rFonts w:eastAsia="Calibri"/>
          <w:color w:val="000000" w:themeColor="text1"/>
        </w:rPr>
        <w:t xml:space="preserve">la </w:t>
      </w:r>
      <w:r w:rsidRPr="00EE7E31">
        <w:rPr>
          <w:rFonts w:eastAsia="Calibri"/>
          <w:color w:val="000000" w:themeColor="text1"/>
        </w:rPr>
        <w:t>ciudadanía, con la finalidad</w:t>
      </w:r>
      <w:r>
        <w:rPr>
          <w:rFonts w:eastAsia="Calibri"/>
          <w:color w:val="000000" w:themeColor="text1"/>
        </w:rPr>
        <w:t xml:space="preserve"> de</w:t>
      </w:r>
      <w:r w:rsidRPr="00EE7E31">
        <w:rPr>
          <w:rFonts w:eastAsia="Calibri"/>
          <w:color w:val="000000" w:themeColor="text1"/>
        </w:rPr>
        <w:t xml:space="preserve"> que los documentos tipo que se expidan contengan las mejores prácticas contractuales que garanticen la adecuada aplicación de los principios de la contratación pública.</w:t>
      </w:r>
    </w:p>
    <w:p w14:paraId="6FCFB619" w14:textId="77777777" w:rsidR="00DE6178" w:rsidRPr="00EE7E31" w:rsidRDefault="00DE6178" w:rsidP="00DE6178">
      <w:pPr>
        <w:tabs>
          <w:tab w:val="left" w:pos="0"/>
        </w:tabs>
        <w:spacing w:line="276" w:lineRule="auto"/>
        <w:jc w:val="both"/>
        <w:rPr>
          <w:rFonts w:ascii="Arial" w:eastAsia="Calibri" w:hAnsi="Arial" w:cs="Arial"/>
          <w:b/>
          <w:color w:val="000000" w:themeColor="text1"/>
          <w:sz w:val="22"/>
          <w:lang w:val="es-ES_tradnl"/>
        </w:rPr>
      </w:pPr>
    </w:p>
    <w:p w14:paraId="0E89DB57" w14:textId="77777777" w:rsidR="00DE6178" w:rsidRPr="00EE7E31" w:rsidRDefault="00DE6178" w:rsidP="00DE6178">
      <w:pPr>
        <w:spacing w:line="276" w:lineRule="auto"/>
        <w:jc w:val="both"/>
        <w:rPr>
          <w:rFonts w:ascii="Arial" w:eastAsia="Arial" w:hAnsi="Arial" w:cs="Arial"/>
          <w:b/>
          <w:bCs/>
          <w:color w:val="000000"/>
          <w:sz w:val="22"/>
          <w:lang w:val="es-ES_tradnl"/>
        </w:rPr>
      </w:pPr>
      <w:r w:rsidRPr="00A12CDF">
        <w:rPr>
          <w:rFonts w:ascii="Arial" w:eastAsia="Arial" w:hAnsi="Arial" w:cs="Arial"/>
          <w:b/>
          <w:bCs/>
          <w:color w:val="000000"/>
          <w:sz w:val="22"/>
          <w:lang w:val="es-ES_tradnl"/>
        </w:rPr>
        <w:t>2.2. Alcance de la regla de la inalterabilidad de los documentos tipo</w:t>
      </w:r>
      <w:r w:rsidRPr="00EE7E31">
        <w:rPr>
          <w:rFonts w:ascii="Arial" w:eastAsia="Arial" w:hAnsi="Arial" w:cs="Arial"/>
          <w:b/>
          <w:bCs/>
          <w:color w:val="000000"/>
          <w:sz w:val="22"/>
          <w:lang w:val="es-ES_tradnl"/>
        </w:rPr>
        <w:t xml:space="preserve"> </w:t>
      </w:r>
    </w:p>
    <w:p w14:paraId="59B04EA1" w14:textId="77777777" w:rsidR="00DE6178" w:rsidRPr="00EE7E31" w:rsidRDefault="00DE6178" w:rsidP="00DE6178">
      <w:pPr>
        <w:tabs>
          <w:tab w:val="left" w:pos="0"/>
        </w:tabs>
        <w:jc w:val="both"/>
        <w:rPr>
          <w:rFonts w:ascii="Arial" w:eastAsia="Calibri" w:hAnsi="Arial" w:cs="Arial"/>
          <w:b/>
          <w:color w:val="000000" w:themeColor="text1"/>
          <w:sz w:val="22"/>
          <w:lang w:val="es-ES_tradnl"/>
        </w:rPr>
      </w:pPr>
    </w:p>
    <w:p w14:paraId="5BC54EE7" w14:textId="77777777" w:rsidR="00DE6178" w:rsidRPr="00EE7E31" w:rsidRDefault="00DE6178" w:rsidP="00DE6178">
      <w:pPr>
        <w:spacing w:line="276" w:lineRule="auto"/>
        <w:jc w:val="both"/>
        <w:rPr>
          <w:rFonts w:ascii="Arial" w:hAnsi="Arial" w:cs="Arial"/>
          <w:sz w:val="22"/>
          <w:shd w:val="clear" w:color="auto" w:fill="FFFFFF"/>
          <w:lang w:val="es-ES_tradnl"/>
        </w:rPr>
      </w:pPr>
      <w:r w:rsidRPr="00EE7E31">
        <w:rPr>
          <w:rFonts w:ascii="Arial" w:hAnsi="Arial" w:cs="Arial"/>
          <w:sz w:val="22"/>
          <w:shd w:val="clear" w:color="auto" w:fill="FFFFFF"/>
          <w:lang w:val="es-ES_tradnl"/>
        </w:rPr>
        <w:t>Todas las resoluciones</w:t>
      </w:r>
      <w:r w:rsidRPr="00EE7E31">
        <w:rPr>
          <w:rStyle w:val="Refdenotaalpie"/>
          <w:rFonts w:ascii="Arial" w:hAnsi="Arial" w:cs="Arial"/>
          <w:sz w:val="22"/>
          <w:shd w:val="clear" w:color="auto" w:fill="FFFFFF"/>
          <w:lang w:val="es-ES_tradnl"/>
        </w:rPr>
        <w:footnoteReference w:id="6"/>
      </w:r>
      <w:r w:rsidRPr="00EE7E31">
        <w:rPr>
          <w:rFonts w:ascii="Arial" w:hAnsi="Arial" w:cs="Arial"/>
          <w:sz w:val="22"/>
          <w:shd w:val="clear" w:color="auto" w:fill="FFFFFF"/>
          <w:lang w:val="es-ES_tradnl"/>
        </w:rPr>
        <w:t xml:space="preserve"> expedidas por la Agencia Nacional de Contratación Pública – Colombia Compra Eficiente, mediante las cuales se han adoptado los documentos tipo, consagran la regla de la inalterabilidad. Esta prohibición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establecidas en dichos documentos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3B70DAA5" w14:textId="77777777" w:rsidR="00DE6178" w:rsidRDefault="00DE6178" w:rsidP="00DE6178">
      <w:pPr>
        <w:spacing w:before="120" w:after="120" w:line="276" w:lineRule="auto"/>
        <w:ind w:firstLine="709"/>
        <w:jc w:val="both"/>
        <w:rPr>
          <w:rFonts w:ascii="Arial" w:hAnsi="Arial" w:cs="Arial"/>
          <w:sz w:val="22"/>
          <w:szCs w:val="22"/>
          <w:shd w:val="clear" w:color="auto" w:fill="FFFFFF"/>
          <w:lang w:val="es-ES_tradnl"/>
        </w:rPr>
      </w:pPr>
      <w:r w:rsidRPr="00EE7E31">
        <w:rPr>
          <w:rFonts w:ascii="Arial" w:hAnsi="Arial" w:cs="Arial"/>
          <w:sz w:val="22"/>
          <w:szCs w:val="22"/>
          <w:shd w:val="clear" w:color="auto" w:fill="FFFFFF"/>
          <w:lang w:val="es-ES_tradnl"/>
        </w:rPr>
        <w:lastRenderedPageBreak/>
        <w:t xml:space="preserve">El fundamento legal vigente de la regla de la </w:t>
      </w:r>
      <w:r w:rsidRPr="00EE7E31">
        <w:rPr>
          <w:rFonts w:ascii="Arial" w:hAnsi="Arial" w:cs="Arial"/>
          <w:sz w:val="22"/>
          <w:shd w:val="clear" w:color="auto" w:fill="FFFFFF"/>
          <w:lang w:val="es-ES_tradnl"/>
        </w:rPr>
        <w:t xml:space="preserve">inalterabilidad </w:t>
      </w:r>
      <w:r w:rsidRPr="00EE7E31">
        <w:rPr>
          <w:rFonts w:ascii="Arial" w:hAnsi="Arial" w:cs="Arial"/>
          <w:sz w:val="22"/>
          <w:szCs w:val="22"/>
          <w:shd w:val="clear" w:color="auto" w:fill="FFFFFF"/>
          <w:lang w:val="es-ES_tradnl"/>
        </w:rPr>
        <w:t>se encuentra en el artículo 1 de la Ley 2022 de 2020, según el cual «</w:t>
      </w:r>
      <w:r w:rsidRPr="00EE7E31">
        <w:rPr>
          <w:rFonts w:ascii="Arial" w:hAnsi="Arial" w:cs="Arial"/>
          <w:sz w:val="22"/>
          <w:szCs w:val="22"/>
          <w:lang w:val="es-ES_tradnl"/>
        </w:rPr>
        <w:t xml:space="preserve">[…] </w:t>
      </w:r>
      <w:r w:rsidRPr="00EE7E31">
        <w:rPr>
          <w:rFonts w:ascii="Arial" w:hAnsi="Arial" w:cs="Arial"/>
          <w:sz w:val="22"/>
          <w:szCs w:val="22"/>
          <w:shd w:val="clear" w:color="auto" w:fill="FFFFFF"/>
          <w:lang w:val="es-ES_tradnl"/>
        </w:rPr>
        <w:t>serán de obligatorio cumplimiento en la actividad contractual de todas las entidades sometidas al Estatuto General de Contratación de la Administración Pública». Pero eso no significa que antes no rigiera, pues así también lo disponía el artículo 4 de la Ley 1882 de 2018. Incluso por vía reglamentaria también quedó consignado en su momento el carácter inmodificable de los pliegos tipo en el artículo 1 de los Decretos 342 de 2019 y 594 de 2020, que adicionaron, respectivamente, los artículos 2.2.1.2.6.1.4. y 2.2.1.2.6.3.4 al Decreto 1082 de 2015.</w:t>
      </w:r>
      <w:r>
        <w:rPr>
          <w:rFonts w:ascii="Arial" w:hAnsi="Arial" w:cs="Arial"/>
          <w:sz w:val="22"/>
          <w:szCs w:val="22"/>
          <w:shd w:val="clear" w:color="auto" w:fill="FFFFFF"/>
          <w:lang w:val="es-ES_tradnl"/>
        </w:rPr>
        <w:t xml:space="preserve"> De esta manera, a</w:t>
      </w:r>
      <w:r w:rsidRPr="00EE7E31">
        <w:rPr>
          <w:rFonts w:ascii="Arial" w:hAnsi="Arial" w:cs="Arial"/>
          <w:sz w:val="22"/>
          <w:szCs w:val="22"/>
          <w:shd w:val="clear" w:color="auto" w:fill="FFFFFF"/>
          <w:lang w:val="es-ES_tradnl"/>
        </w:rPr>
        <w:t xml:space="preserve">l estar vigente la regla de la inalterabilidad de los documentos tipo, estos no pueden ser modificados por las entidades públicas, salvo en los aspectos que los mismos documentos estandarizados por la Agencia Nacional de Contratación Pública – Colombia Compra Eficiente lo permitan, esto es, los aspectos entre corchetes y resaltados en gris. </w:t>
      </w:r>
    </w:p>
    <w:p w14:paraId="7380C6E7" w14:textId="77777777" w:rsidR="00DE6178" w:rsidRDefault="00DE6178" w:rsidP="00DE6178">
      <w:pPr>
        <w:spacing w:before="120" w:line="276" w:lineRule="auto"/>
        <w:ind w:firstLine="709"/>
        <w:jc w:val="both"/>
        <w:rPr>
          <w:rFonts w:ascii="Arial" w:hAnsi="Arial" w:cs="Arial"/>
          <w:sz w:val="22"/>
          <w:szCs w:val="22"/>
          <w:shd w:val="clear" w:color="auto" w:fill="FFFFFF"/>
          <w:lang w:val="es-ES_tradnl"/>
        </w:rPr>
      </w:pPr>
      <w:r>
        <w:rPr>
          <w:rFonts w:ascii="Arial" w:hAnsi="Arial" w:cs="Arial"/>
          <w:sz w:val="22"/>
          <w:szCs w:val="22"/>
          <w:shd w:val="clear" w:color="auto" w:fill="FFFFFF"/>
          <w:lang w:val="es-ES_tradnl"/>
        </w:rPr>
        <w:t xml:space="preserve">Esta prohibición la ratifica el artículo 3 de la Resolución 256 de 2020, mediante la cual se implementaron los documentos tipo para los procesos de selección de concurso de méritos, para contratar la interventoría de obras públicas de infraestructura de transporte, al disponer la inalterabilidad de los documentos tipo en los siguientes términos: </w:t>
      </w:r>
    </w:p>
    <w:p w14:paraId="2E5B7964" w14:textId="77777777" w:rsidR="00DE6178" w:rsidRPr="00A9576E" w:rsidRDefault="00DE6178" w:rsidP="00DE6178">
      <w:pPr>
        <w:spacing w:line="276" w:lineRule="auto"/>
        <w:ind w:firstLine="709"/>
        <w:jc w:val="both"/>
        <w:rPr>
          <w:rFonts w:ascii="Arial" w:hAnsi="Arial" w:cs="Arial"/>
          <w:sz w:val="18"/>
          <w:szCs w:val="18"/>
          <w:shd w:val="clear" w:color="auto" w:fill="FFFFFF"/>
          <w:lang w:val="es-ES_tradnl"/>
        </w:rPr>
      </w:pPr>
    </w:p>
    <w:p w14:paraId="064CB358" w14:textId="77777777" w:rsidR="00DE6178" w:rsidRPr="00B013C3" w:rsidRDefault="00DE6178" w:rsidP="00DE6178">
      <w:pPr>
        <w:ind w:left="709" w:right="709"/>
        <w:jc w:val="both"/>
        <w:rPr>
          <w:rFonts w:ascii="Arial" w:hAnsi="Arial" w:cs="Arial"/>
          <w:sz w:val="21"/>
          <w:szCs w:val="21"/>
          <w:shd w:val="clear" w:color="auto" w:fill="FFFFFF"/>
          <w:lang w:val="es-ES_tradnl"/>
        </w:rPr>
      </w:pPr>
      <w:r w:rsidRPr="00B013C3">
        <w:rPr>
          <w:rFonts w:ascii="Arial" w:hAnsi="Arial" w:cs="Arial"/>
          <w:sz w:val="21"/>
          <w:szCs w:val="21"/>
          <w:shd w:val="clear" w:color="auto" w:fill="FFFFFF"/>
          <w:lang w:val="es-ES_tradnl"/>
        </w:rPr>
        <w:t>Artículo 3. Inalterabilidad de los documentos tipo. De conformidad con el artículo 1 de la Ley 2022 de 2020, los documentos tipo son obligatorios en la actividad contractual de las entidades estatales sometidas al Estatuto General de Contratación de la Administración Pública, en consecuencia, las entidades estatales al adelantar sus procedimientos de selección solo podrán modificarlos en los aspectos en que los documentos tipo lo permitan.</w:t>
      </w:r>
    </w:p>
    <w:p w14:paraId="4788EB6B" w14:textId="77777777" w:rsidR="00DE6178" w:rsidRPr="00A9576E" w:rsidRDefault="00DE6178" w:rsidP="00DE6178">
      <w:pPr>
        <w:spacing w:line="276" w:lineRule="auto"/>
        <w:ind w:firstLine="709"/>
        <w:jc w:val="both"/>
        <w:rPr>
          <w:rFonts w:ascii="Arial" w:hAnsi="Arial" w:cs="Arial"/>
          <w:sz w:val="18"/>
          <w:szCs w:val="18"/>
          <w:shd w:val="clear" w:color="auto" w:fill="FFFFFF"/>
          <w:lang w:val="es-ES_tradnl"/>
        </w:rPr>
      </w:pPr>
    </w:p>
    <w:p w14:paraId="6ABC4767" w14:textId="77777777" w:rsidR="00DE6178" w:rsidRPr="00B013C3" w:rsidRDefault="00DE6178" w:rsidP="00DE6178">
      <w:pPr>
        <w:spacing w:line="276" w:lineRule="auto"/>
        <w:ind w:firstLine="709"/>
        <w:jc w:val="both"/>
        <w:rPr>
          <w:rFonts w:ascii="Arial" w:hAnsi="Arial" w:cs="Arial"/>
          <w:sz w:val="22"/>
          <w:szCs w:val="22"/>
          <w:shd w:val="clear" w:color="auto" w:fill="FFFFFF"/>
          <w:lang w:val="es-ES_tradnl"/>
        </w:rPr>
      </w:pPr>
      <w:r w:rsidRPr="00085F3B">
        <w:rPr>
          <w:rFonts w:ascii="Arial" w:hAnsi="Arial" w:cs="Arial"/>
          <w:bCs/>
          <w:sz w:val="22"/>
          <w:lang w:val="es-ES_tradnl"/>
        </w:rPr>
        <w:t xml:space="preserve">Además, las entidades estatales deben garantizar el </w:t>
      </w:r>
      <w:r w:rsidRPr="00085F3B">
        <w:rPr>
          <w:rFonts w:ascii="Arial" w:hAnsi="Arial" w:cs="Arial"/>
          <w:bCs/>
          <w:i/>
          <w:iCs/>
          <w:sz w:val="22"/>
          <w:lang w:val="es-ES_tradnl"/>
        </w:rPr>
        <w:t>principio de economía</w:t>
      </w:r>
      <w:r w:rsidRPr="00085F3B">
        <w:rPr>
          <w:rFonts w:ascii="Arial" w:hAnsi="Arial" w:cs="Arial"/>
          <w:bCs/>
          <w:sz w:val="22"/>
          <w:lang w:val="es-ES_tradnl"/>
        </w:rPr>
        <w:t>, del cual se desprende que no pueden exigir documentos o requisitos más allá de los que permitan la Constitución, la ley y los reglamentos. Este postulado ha encontrado eco no solo en la contratación estatal</w:t>
      </w:r>
      <w:r w:rsidRPr="00085F3B">
        <w:rPr>
          <w:rStyle w:val="Refdenotaalpie"/>
          <w:rFonts w:ascii="Arial" w:hAnsi="Arial" w:cs="Arial"/>
          <w:bCs/>
          <w:sz w:val="22"/>
          <w:lang w:val="es-ES_tradnl"/>
        </w:rPr>
        <w:footnoteReference w:id="7"/>
      </w:r>
      <w:r w:rsidRPr="00085F3B">
        <w:rPr>
          <w:rFonts w:ascii="Arial" w:hAnsi="Arial" w:cs="Arial"/>
          <w:bCs/>
          <w:sz w:val="22"/>
          <w:lang w:val="es-ES_tradnl"/>
        </w:rPr>
        <w:t xml:space="preserve"> sino además en la normativa </w:t>
      </w:r>
      <w:proofErr w:type="spellStart"/>
      <w:r w:rsidRPr="00085F3B">
        <w:rPr>
          <w:rFonts w:ascii="Arial" w:hAnsi="Arial" w:cs="Arial"/>
          <w:bCs/>
          <w:sz w:val="22"/>
          <w:lang w:val="es-ES_tradnl"/>
        </w:rPr>
        <w:t>antitrámites</w:t>
      </w:r>
      <w:proofErr w:type="spellEnd"/>
      <w:r w:rsidRPr="00085F3B">
        <w:rPr>
          <w:rFonts w:ascii="Arial" w:hAnsi="Arial" w:cs="Arial"/>
          <w:bCs/>
          <w:sz w:val="22"/>
          <w:lang w:val="es-ES_tradnl"/>
        </w:rPr>
        <w:t>, pues se inscribe dentro de la tendencia de simplificación y racionalización de los procedimientos administrativos</w:t>
      </w:r>
      <w:r w:rsidRPr="00085F3B">
        <w:rPr>
          <w:rStyle w:val="Refdenotaalpie"/>
          <w:rFonts w:ascii="Arial" w:hAnsi="Arial" w:cs="Arial"/>
          <w:bCs/>
          <w:sz w:val="22"/>
          <w:lang w:val="es-ES_tradnl"/>
        </w:rPr>
        <w:footnoteReference w:id="8"/>
      </w:r>
      <w:r w:rsidRPr="00085F3B">
        <w:rPr>
          <w:rFonts w:ascii="Arial" w:hAnsi="Arial" w:cs="Arial"/>
          <w:bCs/>
          <w:sz w:val="22"/>
          <w:lang w:val="es-ES_tradnl"/>
        </w:rPr>
        <w:t xml:space="preserve">. De </w:t>
      </w:r>
      <w:r w:rsidRPr="00085F3B">
        <w:rPr>
          <w:rFonts w:ascii="Arial" w:hAnsi="Arial" w:cs="Arial"/>
          <w:bCs/>
          <w:sz w:val="22"/>
          <w:lang w:val="es-ES_tradnl"/>
        </w:rPr>
        <w:lastRenderedPageBreak/>
        <w:t>ahí que cuando las autoridades solicitan la entrega de documentación innecesaria, menoscaban el principio de economía.</w:t>
      </w:r>
    </w:p>
    <w:p w14:paraId="540C2AF6" w14:textId="77777777" w:rsidR="00DE6178" w:rsidRDefault="00DE6178" w:rsidP="00DE6178">
      <w:pPr>
        <w:spacing w:before="120" w:line="276" w:lineRule="auto"/>
        <w:ind w:firstLine="709"/>
        <w:jc w:val="both"/>
        <w:rPr>
          <w:rFonts w:ascii="Arial" w:hAnsi="Arial" w:cs="Arial"/>
          <w:bCs/>
          <w:sz w:val="22"/>
        </w:rPr>
      </w:pPr>
      <w:r w:rsidRPr="00085F3B">
        <w:rPr>
          <w:rFonts w:ascii="Arial" w:hAnsi="Arial" w:cs="Arial"/>
          <w:bCs/>
          <w:sz w:val="22"/>
        </w:rPr>
        <w:t>Es de precisar que la entidad durante la etapa de planeación como resultado del estudio del sector y del análisis de riesgo, debe establecer las condiciones necesarias para garantizar la ejecución del contrato, teniendo en cuenta la necesidad que pretende satisfacer, el objeto, alcance, especificaciones técnicas, forma de pago y demás aspectos inherentes al proyecto. De allí que estas condiciones, al ser fijadas por parte de la entidad, pueden implicar modificaciones a los documentos tipo, las cuales deben ser adecuadas, proporcionales y consecuentes con su contenido, respetando el principio de inalterabilidad.</w:t>
      </w:r>
    </w:p>
    <w:p w14:paraId="71D8F276" w14:textId="77777777" w:rsidR="00DE6178" w:rsidRPr="00F04197" w:rsidRDefault="00DE6178" w:rsidP="00DE6178">
      <w:pPr>
        <w:spacing w:before="120" w:line="276" w:lineRule="auto"/>
        <w:ind w:firstLine="709"/>
        <w:jc w:val="both"/>
        <w:rPr>
          <w:rFonts w:ascii="Arial" w:hAnsi="Arial" w:cs="Arial"/>
          <w:sz w:val="22"/>
        </w:rPr>
      </w:pPr>
      <w:r>
        <w:rPr>
          <w:rFonts w:ascii="Arial" w:hAnsi="Arial" w:cs="Arial"/>
          <w:bCs/>
          <w:sz w:val="22"/>
        </w:rPr>
        <w:t xml:space="preserve">Además, el artículo 4 de la Resolución 256 de 2020 </w:t>
      </w:r>
      <w:bookmarkStart w:id="9" w:name="_Hlk85625815"/>
      <w:r>
        <w:rPr>
          <w:rFonts w:ascii="Arial" w:hAnsi="Arial" w:cs="Arial"/>
          <w:bCs/>
          <w:sz w:val="22"/>
        </w:rPr>
        <w:t>prevé los eventos en los que el objeto contractual incluye la interventoría a bienes o servicios adicionales a la obra pública de infraestructura de transporte</w:t>
      </w:r>
      <w:bookmarkEnd w:id="9"/>
      <w:r>
        <w:rPr>
          <w:rStyle w:val="Refdenotaalpie"/>
          <w:rFonts w:ascii="Arial" w:hAnsi="Arial" w:cs="Arial"/>
          <w:bCs/>
          <w:sz w:val="22"/>
        </w:rPr>
        <w:footnoteReference w:id="9"/>
      </w:r>
      <w:r>
        <w:rPr>
          <w:rFonts w:ascii="Arial" w:hAnsi="Arial" w:cs="Arial"/>
          <w:bCs/>
          <w:sz w:val="22"/>
        </w:rPr>
        <w:t>. En este caso, la entidad estatal puede complementar la experiencia adicional para evaluar la idoneidad respecto a la interventoría de bienes o servicios ajenos a la obra pública</w:t>
      </w:r>
      <w:r>
        <w:rPr>
          <w:rStyle w:val="Refdenotaalpie"/>
          <w:rFonts w:ascii="Arial" w:hAnsi="Arial" w:cs="Arial"/>
          <w:bCs/>
          <w:sz w:val="22"/>
        </w:rPr>
        <w:footnoteReference w:id="10"/>
      </w:r>
      <w:r>
        <w:rPr>
          <w:rFonts w:ascii="Arial" w:hAnsi="Arial" w:cs="Arial"/>
          <w:bCs/>
          <w:sz w:val="22"/>
        </w:rPr>
        <w:t xml:space="preserve">. </w:t>
      </w:r>
    </w:p>
    <w:p w14:paraId="2ADA8391" w14:textId="77777777" w:rsidR="00DE6178" w:rsidRPr="00B744A1" w:rsidRDefault="00DE6178" w:rsidP="00DE6178">
      <w:pPr>
        <w:spacing w:before="120" w:line="276" w:lineRule="auto"/>
        <w:ind w:firstLine="709"/>
        <w:jc w:val="both"/>
        <w:rPr>
          <w:rFonts w:ascii="Arial" w:hAnsi="Arial" w:cs="Arial"/>
          <w:bCs/>
          <w:sz w:val="22"/>
        </w:rPr>
      </w:pPr>
      <w:r w:rsidRPr="00085F3B">
        <w:rPr>
          <w:rFonts w:ascii="Arial" w:hAnsi="Arial" w:cs="Arial"/>
          <w:bCs/>
          <w:sz w:val="22"/>
        </w:rPr>
        <w:t>En suma, la regla general frente la aplicación de</w:t>
      </w:r>
      <w:r>
        <w:rPr>
          <w:rFonts w:ascii="Arial" w:hAnsi="Arial" w:cs="Arial"/>
          <w:bCs/>
          <w:sz w:val="22"/>
        </w:rPr>
        <w:t xml:space="preserve"> los documentos tipo </w:t>
      </w:r>
      <w:r w:rsidRPr="00085F3B">
        <w:rPr>
          <w:rFonts w:ascii="Arial" w:hAnsi="Arial" w:cs="Arial"/>
          <w:bCs/>
          <w:sz w:val="22"/>
        </w:rPr>
        <w:t>es su inalterabilidad, y no se podrán incluir o modificar en los documentos del proceso las condiciones habilitantes, los factores técnicos y económicos de escogencia y los sistemas de ponderación distintos a los señalados en los documentos tipo. Lo anterior, salvo que el objeto contractual incluya</w:t>
      </w:r>
      <w:r>
        <w:rPr>
          <w:rFonts w:ascii="Arial" w:hAnsi="Arial" w:cs="Arial"/>
          <w:bCs/>
          <w:sz w:val="22"/>
        </w:rPr>
        <w:t xml:space="preserve"> la interventoría a</w:t>
      </w:r>
      <w:r w:rsidRPr="00085F3B">
        <w:rPr>
          <w:rFonts w:ascii="Arial" w:hAnsi="Arial" w:cs="Arial"/>
          <w:bCs/>
          <w:sz w:val="22"/>
        </w:rPr>
        <w:t xml:space="preserve"> bienes o servicios ajenos a la obra pública de infraestructura de transporte, caso en el que se podrá incluir experiencia adicional de </w:t>
      </w:r>
      <w:r w:rsidRPr="00085F3B">
        <w:rPr>
          <w:rFonts w:ascii="Arial" w:hAnsi="Arial" w:cs="Arial"/>
          <w:bCs/>
          <w:sz w:val="22"/>
        </w:rPr>
        <w:lastRenderedPageBreak/>
        <w:t>manera excepcional; y, además, cuando el pliego tipo de forma expresa lo permita, es decir, en los aspectos incluidos en corchetes y resaltados en gris</w:t>
      </w:r>
      <w:r>
        <w:rPr>
          <w:rFonts w:ascii="Arial" w:hAnsi="Arial" w:cs="Arial"/>
          <w:bCs/>
          <w:sz w:val="22"/>
        </w:rPr>
        <w:t>.</w:t>
      </w:r>
    </w:p>
    <w:p w14:paraId="1BF61E54" w14:textId="77777777" w:rsidR="00DE6178" w:rsidRPr="00EE7E31" w:rsidRDefault="00DE6178" w:rsidP="00DE6178">
      <w:pPr>
        <w:jc w:val="both"/>
        <w:rPr>
          <w:rFonts w:ascii="Arial" w:hAnsi="Arial" w:cs="Arial"/>
          <w:sz w:val="22"/>
          <w:szCs w:val="22"/>
          <w:shd w:val="clear" w:color="auto" w:fill="FFFFFF"/>
          <w:lang w:val="es-ES_tradnl"/>
        </w:rPr>
      </w:pPr>
    </w:p>
    <w:p w14:paraId="4BF64F63" w14:textId="77777777" w:rsidR="00DE6178" w:rsidRDefault="00DE6178" w:rsidP="00DE6178">
      <w:pPr>
        <w:spacing w:line="276" w:lineRule="auto"/>
        <w:jc w:val="both"/>
        <w:rPr>
          <w:rFonts w:ascii="Arial" w:eastAsia="Calibri" w:hAnsi="Arial" w:cs="Arial"/>
          <w:b/>
          <w:bCs/>
          <w:color w:val="000000" w:themeColor="text1"/>
          <w:sz w:val="22"/>
          <w:lang w:val="es-ES_tradnl"/>
        </w:rPr>
      </w:pPr>
      <w:r w:rsidRPr="00EE7E31">
        <w:rPr>
          <w:rFonts w:ascii="Arial" w:eastAsia="Calibri" w:hAnsi="Arial" w:cs="Arial"/>
          <w:b/>
          <w:bCs/>
          <w:color w:val="000000" w:themeColor="text1"/>
          <w:sz w:val="22"/>
          <w:lang w:val="es-ES_tradnl"/>
        </w:rPr>
        <w:t xml:space="preserve">2.3. </w:t>
      </w:r>
      <w:r>
        <w:rPr>
          <w:rFonts w:ascii="Arial" w:eastAsia="Calibri" w:hAnsi="Arial" w:cs="Arial"/>
          <w:b/>
          <w:bCs/>
          <w:color w:val="000000" w:themeColor="text1"/>
          <w:sz w:val="22"/>
          <w:lang w:val="es-ES_tradnl"/>
        </w:rPr>
        <w:t>I</w:t>
      </w:r>
      <w:r w:rsidRPr="00C66472">
        <w:rPr>
          <w:rFonts w:ascii="Arial" w:eastAsia="Calibri" w:hAnsi="Arial" w:cs="Arial"/>
          <w:b/>
          <w:bCs/>
          <w:color w:val="000000" w:themeColor="text1"/>
          <w:sz w:val="22"/>
          <w:lang w:val="es-ES_tradnl"/>
        </w:rPr>
        <w:t>mplementación y ámbito de aplicación de los documentos tipo</w:t>
      </w:r>
      <w:r>
        <w:rPr>
          <w:rFonts w:ascii="Arial" w:eastAsia="Calibri" w:hAnsi="Arial" w:cs="Arial"/>
          <w:b/>
          <w:bCs/>
          <w:color w:val="000000" w:themeColor="text1"/>
          <w:sz w:val="22"/>
          <w:lang w:val="es-ES_tradnl"/>
        </w:rPr>
        <w:t xml:space="preserve"> </w:t>
      </w:r>
      <w:r w:rsidRPr="00C66472">
        <w:rPr>
          <w:rFonts w:ascii="Arial" w:eastAsia="Calibri" w:hAnsi="Arial" w:cs="Arial"/>
          <w:b/>
          <w:bCs/>
          <w:color w:val="000000" w:themeColor="text1"/>
          <w:sz w:val="22"/>
          <w:lang w:val="es-ES_tradnl"/>
        </w:rPr>
        <w:t>para contratar la interventoría de obras públicas de infraestructura de transporte</w:t>
      </w:r>
    </w:p>
    <w:p w14:paraId="43505EC2" w14:textId="77777777" w:rsidR="00DE6178" w:rsidRDefault="00DE6178" w:rsidP="00DE6178">
      <w:pPr>
        <w:spacing w:line="276" w:lineRule="auto"/>
        <w:jc w:val="both"/>
        <w:rPr>
          <w:rFonts w:ascii="Arial" w:eastAsia="Calibri" w:hAnsi="Arial" w:cs="Arial"/>
          <w:color w:val="000000"/>
          <w:sz w:val="22"/>
          <w:lang w:val="es-ES_tradnl" w:eastAsia="es-ES"/>
        </w:rPr>
      </w:pPr>
    </w:p>
    <w:p w14:paraId="7D50117D" w14:textId="77777777" w:rsidR="00DE6178" w:rsidRPr="00F80AFE" w:rsidRDefault="00DE6178" w:rsidP="00DE6178">
      <w:pPr>
        <w:spacing w:line="276" w:lineRule="auto"/>
        <w:jc w:val="both"/>
        <w:rPr>
          <w:rFonts w:ascii="Arial" w:eastAsia="Calibri" w:hAnsi="Arial" w:cs="Arial"/>
          <w:b/>
          <w:bCs/>
          <w:color w:val="000000" w:themeColor="text1"/>
          <w:sz w:val="22"/>
          <w:lang w:val="es-ES_tradnl"/>
        </w:rPr>
      </w:pPr>
      <w:r>
        <w:rPr>
          <w:rFonts w:ascii="Arial" w:eastAsia="Calibri" w:hAnsi="Arial" w:cs="Arial"/>
          <w:color w:val="000000"/>
          <w:sz w:val="22"/>
          <w:lang w:val="es-ES_tradnl" w:eastAsia="es-ES"/>
        </w:rPr>
        <w:t>L</w:t>
      </w:r>
      <w:r w:rsidRPr="0021701A">
        <w:rPr>
          <w:rFonts w:ascii="Arial" w:eastAsia="Calibri" w:hAnsi="Arial" w:cs="Arial"/>
          <w:color w:val="000000"/>
          <w:sz w:val="22"/>
          <w:lang w:val="es-ES_tradnl" w:eastAsia="es-ES"/>
        </w:rPr>
        <w:t>a Resolución 256 del 11 de diciembre de 2020, «</w:t>
      </w:r>
      <w:r>
        <w:rPr>
          <w:rFonts w:ascii="Arial" w:eastAsia="Calibri" w:hAnsi="Arial" w:cs="Arial"/>
          <w:color w:val="000000"/>
          <w:sz w:val="22"/>
          <w:lang w:val="es-ES_tradnl" w:eastAsia="es-ES"/>
        </w:rPr>
        <w:t>P</w:t>
      </w:r>
      <w:r w:rsidRPr="0021701A">
        <w:rPr>
          <w:rFonts w:ascii="Arial" w:eastAsia="Calibri" w:hAnsi="Arial" w:cs="Arial"/>
          <w:color w:val="000000"/>
          <w:sz w:val="22"/>
          <w:lang w:val="es-ES_tradnl" w:eastAsia="es-ES"/>
        </w:rPr>
        <w:t>or la cual se adoptan los documentos tipo para los procesos de selección de concursos de méritos, para contratar la interventoría de obras públicas de infraestructura de transporte» se adoptó en vigencia de la Ley 2022 de 2020. En tal sentido, este documento tipo</w:t>
      </w:r>
      <w:r w:rsidRPr="00EF2D2A">
        <w:rPr>
          <w:rFonts w:ascii="Arial" w:eastAsia="Calibri" w:hAnsi="Arial" w:cs="Arial"/>
          <w:color w:val="000000"/>
          <w:sz w:val="22"/>
          <w:lang w:val="es-ES_tradnl" w:eastAsia="es-ES"/>
        </w:rPr>
        <w:t xml:space="preserve"> </w:t>
      </w:r>
      <w:r w:rsidRPr="0021701A">
        <w:rPr>
          <w:rFonts w:ascii="Arial" w:eastAsia="Calibri" w:hAnsi="Arial" w:cs="Arial"/>
          <w:color w:val="000000"/>
          <w:sz w:val="22"/>
          <w:lang w:val="es-ES_tradnl" w:eastAsia="es-ES"/>
        </w:rPr>
        <w:t>resulta obligatorio para todas las entidades sometidas al Estatuto General de Contratación de la Administración Pública, que adelanten procesos de concursos de méritos para contratar la interventoría de cualquiera de los proyectos señalados en la «Matriz 1 – Experiencia». Lo anterior se deriva de lo dispuesto en el «documento base» del documento tipo de interventoría, al prescribir que:</w:t>
      </w:r>
    </w:p>
    <w:p w14:paraId="03BBE086" w14:textId="77777777" w:rsidR="00DE6178" w:rsidRPr="0021701A" w:rsidRDefault="00DE6178" w:rsidP="00DE6178">
      <w:pPr>
        <w:spacing w:line="276" w:lineRule="auto"/>
        <w:ind w:firstLine="709"/>
        <w:jc w:val="both"/>
        <w:rPr>
          <w:rFonts w:ascii="Arial" w:eastAsia="Calibri" w:hAnsi="Arial" w:cs="Arial"/>
          <w:color w:val="000000"/>
          <w:sz w:val="22"/>
          <w:lang w:val="es-ES_tradnl" w:eastAsia="es-ES"/>
        </w:rPr>
      </w:pPr>
    </w:p>
    <w:p w14:paraId="59A12EBF" w14:textId="77777777" w:rsidR="00DE6178" w:rsidRPr="0021701A" w:rsidRDefault="00DE6178" w:rsidP="00DE6178">
      <w:pPr>
        <w:ind w:left="709" w:right="709"/>
        <w:jc w:val="both"/>
        <w:rPr>
          <w:rFonts w:ascii="Arial" w:eastAsia="Calibri" w:hAnsi="Arial" w:cs="Arial"/>
          <w:color w:val="000000"/>
          <w:sz w:val="21"/>
          <w:szCs w:val="21"/>
          <w:lang w:val="es-ES_tradnl" w:eastAsia="es-ES"/>
        </w:rPr>
      </w:pPr>
      <w:r w:rsidRPr="0021701A">
        <w:rPr>
          <w:rFonts w:ascii="Arial" w:eastAsia="Calibri" w:hAnsi="Arial" w:cs="Arial"/>
          <w:color w:val="000000"/>
          <w:sz w:val="21"/>
          <w:szCs w:val="21"/>
          <w:lang w:val="es-ES_tradnl" w:eastAsia="es-ES"/>
        </w:rPr>
        <w:t>Este documento tipo aplica a los procesos de interventoría de obras públicas de infraestructuras de transporte celebrados en cualquiera de sus modalidades de selección, que correspondan con las actividades definidas en la Matriz 1 – Experiencia. En consecuencia, las actividades de infraestructura de transporte no contempladas en la Matriz 1 – Experiencia no tienen que aplicarlos; sin perjuicio de lo previsto en el artículo 4 de la resolución que adopta los documentos tipo de interventoría de obra pública de infraestructura de transporte.</w:t>
      </w:r>
    </w:p>
    <w:p w14:paraId="178B4CD3" w14:textId="77777777" w:rsidR="00DE6178" w:rsidRPr="0021701A" w:rsidRDefault="00DE6178" w:rsidP="00DE6178">
      <w:pPr>
        <w:spacing w:line="276" w:lineRule="auto"/>
        <w:jc w:val="both"/>
        <w:rPr>
          <w:rFonts w:ascii="Arial" w:eastAsia="Calibri" w:hAnsi="Arial" w:cs="Arial"/>
          <w:color w:val="000000"/>
          <w:sz w:val="22"/>
          <w:lang w:val="es-ES_tradnl" w:eastAsia="es-ES"/>
        </w:rPr>
      </w:pPr>
    </w:p>
    <w:p w14:paraId="560F02A8" w14:textId="77777777" w:rsidR="00DE6178" w:rsidRDefault="00DE6178" w:rsidP="00DE6178">
      <w:pPr>
        <w:spacing w:after="120" w:line="276" w:lineRule="auto"/>
        <w:ind w:firstLine="709"/>
        <w:jc w:val="both"/>
        <w:rPr>
          <w:rFonts w:ascii="Arial" w:eastAsia="Calibri" w:hAnsi="Arial" w:cs="Arial"/>
          <w:color w:val="000000"/>
          <w:sz w:val="22"/>
          <w:lang w:eastAsia="es-ES"/>
        </w:rPr>
      </w:pPr>
      <w:bookmarkStart w:id="10" w:name="_Hlk85634478"/>
      <w:r>
        <w:rPr>
          <w:rFonts w:ascii="Arial" w:eastAsia="Calibri" w:hAnsi="Arial" w:cs="Arial"/>
          <w:color w:val="000000"/>
          <w:sz w:val="22"/>
          <w:lang w:val="es-ES_tradnl" w:eastAsia="es-ES"/>
        </w:rPr>
        <w:t>De esta manera</w:t>
      </w:r>
      <w:r w:rsidRPr="0021701A">
        <w:rPr>
          <w:rFonts w:ascii="Arial" w:eastAsia="Calibri" w:hAnsi="Arial" w:cs="Arial"/>
          <w:color w:val="000000"/>
          <w:sz w:val="22"/>
          <w:lang w:val="es-ES_tradnl" w:eastAsia="es-ES"/>
        </w:rPr>
        <w:t>, siempre que se vaya a contratar la interventoría de alguno de los proyectos señalados en la «Matriz 1 – Experiencia» y la modalidad de selección aplicable sea el concurso de méritos, las entidades estatales deben aplicar este documento tipo, aca</w:t>
      </w:r>
      <w:r>
        <w:rPr>
          <w:rFonts w:ascii="Arial" w:eastAsia="Calibri" w:hAnsi="Arial" w:cs="Arial"/>
          <w:color w:val="000000"/>
          <w:sz w:val="22"/>
          <w:lang w:val="es-ES_tradnl" w:eastAsia="es-ES"/>
        </w:rPr>
        <w:t xml:space="preserve">tando su contenido, el cual es obligatorio. </w:t>
      </w:r>
      <w:r>
        <w:rPr>
          <w:rFonts w:ascii="Arial" w:eastAsia="Calibri" w:hAnsi="Arial" w:cs="Arial"/>
          <w:color w:val="000000"/>
          <w:sz w:val="22"/>
          <w:lang w:eastAsia="es-ES"/>
        </w:rPr>
        <w:t>En consecuencia, la «Matriz 1 – Experiencia», entre otras finalidades, sirve como criterio para establecer el ámbito de aplicación de los documentos tipo, en los términos explicados con anterioridad.</w:t>
      </w:r>
    </w:p>
    <w:bookmarkEnd w:id="10"/>
    <w:p w14:paraId="18E5D63A" w14:textId="77777777" w:rsidR="00DE6178" w:rsidRDefault="00DE6178" w:rsidP="00DE6178">
      <w:pPr>
        <w:spacing w:after="120" w:line="276" w:lineRule="auto"/>
        <w:ind w:firstLine="709"/>
        <w:jc w:val="both"/>
        <w:rPr>
          <w:rFonts w:ascii="Arial" w:eastAsia="Calibri" w:hAnsi="Arial" w:cs="Arial"/>
          <w:color w:val="000000"/>
          <w:sz w:val="22"/>
          <w:lang w:eastAsia="es-ES"/>
        </w:rPr>
      </w:pPr>
      <w:r w:rsidRPr="000D6195">
        <w:rPr>
          <w:rFonts w:ascii="Arial" w:eastAsia="Calibri" w:hAnsi="Arial" w:cs="Arial"/>
          <w:color w:val="000000"/>
          <w:sz w:val="22"/>
          <w:lang w:eastAsia="es-ES"/>
        </w:rPr>
        <w:t>Revisada la «Matriz 1 – Experiencia» de los referidos documentos tipo, se advierte que, en estricto sentido, no existe una actividad referida a «interventoría para consultoría de estudios y diseños para obras públicas», como la señalada por la peticionaria. En consecuencia, para ese tipo de actividades, las entidades estatales no se encuentran obligadas a aplicar los documentos tipo expedidos por esta Agencia.</w:t>
      </w:r>
    </w:p>
    <w:p w14:paraId="445837D3" w14:textId="77777777" w:rsidR="00DE6178" w:rsidRDefault="00DE6178" w:rsidP="00DE6178">
      <w:pPr>
        <w:spacing w:after="120" w:line="276" w:lineRule="auto"/>
        <w:ind w:firstLine="709"/>
        <w:jc w:val="both"/>
        <w:rPr>
          <w:rFonts w:ascii="Arial" w:eastAsia="Calibri" w:hAnsi="Arial" w:cs="Arial"/>
          <w:color w:val="000000"/>
          <w:sz w:val="22"/>
          <w:lang w:eastAsia="es-ES"/>
        </w:rPr>
      </w:pPr>
      <w:r>
        <w:rPr>
          <w:rFonts w:ascii="Arial" w:eastAsia="Calibri" w:hAnsi="Arial" w:cs="Arial"/>
          <w:color w:val="000000"/>
          <w:sz w:val="22"/>
          <w:lang w:eastAsia="es-ES"/>
        </w:rPr>
        <w:t xml:space="preserve">Asimismo, es bueno señalar que, de conformidad con lo dispuesto en el «documento base» de los documentos tipo de interventoría de obra pública de infraestructura de transporte, su uso no exime a las entidades de utilizar la normatividad y la jurisprudencia que resulte aplicable al respectivo proceso de contratación. También, dicho «documento base» establece que «[…] </w:t>
      </w:r>
      <w:r w:rsidRPr="00EF339D">
        <w:rPr>
          <w:rFonts w:ascii="Arial" w:eastAsia="Calibri" w:hAnsi="Arial" w:cs="Arial"/>
          <w:color w:val="000000"/>
          <w:sz w:val="22"/>
          <w:lang w:eastAsia="es-ES"/>
        </w:rPr>
        <w:t xml:space="preserve">este documento tipo no aplica a las interventorías de los </w:t>
      </w:r>
      <w:r w:rsidRPr="00EF339D">
        <w:rPr>
          <w:rFonts w:ascii="Arial" w:eastAsia="Calibri" w:hAnsi="Arial" w:cs="Arial"/>
          <w:color w:val="000000"/>
          <w:sz w:val="22"/>
          <w:lang w:eastAsia="es-ES"/>
        </w:rPr>
        <w:lastRenderedPageBreak/>
        <w:t>contratos de que trata la Ley 1508 de 2012, esto es, para la Asociaciones Público Privadas, debido a la naturaleza y especialidad de dichos contratos</w:t>
      </w:r>
      <w:r>
        <w:rPr>
          <w:rFonts w:ascii="Arial" w:eastAsia="Calibri" w:hAnsi="Arial" w:cs="Arial"/>
          <w:color w:val="000000"/>
          <w:sz w:val="22"/>
          <w:lang w:eastAsia="es-ES"/>
        </w:rPr>
        <w:t>»</w:t>
      </w:r>
    </w:p>
    <w:p w14:paraId="076281CE" w14:textId="77777777" w:rsidR="00DE6178" w:rsidRDefault="00DE6178" w:rsidP="00DE6178">
      <w:pPr>
        <w:spacing w:after="120" w:line="276" w:lineRule="auto"/>
        <w:ind w:firstLine="709"/>
        <w:jc w:val="both"/>
        <w:rPr>
          <w:rFonts w:ascii="Arial" w:eastAsia="Calibri" w:hAnsi="Arial" w:cs="Arial"/>
          <w:color w:val="000000"/>
          <w:sz w:val="22"/>
          <w:lang w:val="es-ES_tradnl" w:eastAsia="es-ES"/>
        </w:rPr>
      </w:pPr>
      <w:r w:rsidRPr="00A01CB0">
        <w:rPr>
          <w:rFonts w:ascii="Arial" w:eastAsia="Calibri" w:hAnsi="Arial" w:cs="Arial"/>
          <w:color w:val="000000"/>
          <w:sz w:val="22"/>
          <w:lang w:val="es-ES_tradnl" w:eastAsia="es-ES"/>
        </w:rPr>
        <w:t>En todo caso, debe destacarse que, sin perjuicio de la competencia de esta Agencia para la expedición de documentos tipos otorgada por la Ley 2022 de 2020, son las entidades estatales encargadas de aplicarlos quienes deben analizar el objeto que pretenden contratar</w:t>
      </w:r>
      <w:r>
        <w:rPr>
          <w:rFonts w:ascii="Arial" w:eastAsia="Calibri" w:hAnsi="Arial" w:cs="Arial"/>
          <w:color w:val="000000"/>
          <w:sz w:val="22"/>
          <w:lang w:val="es-ES_tradnl" w:eastAsia="es-ES"/>
        </w:rPr>
        <w:t>,</w:t>
      </w:r>
      <w:r w:rsidRPr="00A01CB0">
        <w:rPr>
          <w:rFonts w:ascii="Arial" w:eastAsia="Calibri" w:hAnsi="Arial" w:cs="Arial"/>
          <w:color w:val="000000"/>
          <w:sz w:val="22"/>
          <w:lang w:val="es-ES_tradnl" w:eastAsia="es-ES"/>
        </w:rPr>
        <w:t xml:space="preserve"> para determinar si el mismo es subsumible dentro de alguna actividad cobijada por un documento tipo. Al respecto, las especificaciones y particularidades del objeto a contratar, así como su relación de correspondencia con lo señalado en la </w:t>
      </w:r>
      <w:r>
        <w:rPr>
          <w:rFonts w:ascii="Arial" w:eastAsia="Calibri" w:hAnsi="Arial" w:cs="Arial"/>
          <w:color w:val="000000"/>
          <w:sz w:val="22"/>
          <w:lang w:val="es-ES_tradnl" w:eastAsia="es-ES"/>
        </w:rPr>
        <w:t>«Matriz 1 – Experiencia»</w:t>
      </w:r>
      <w:r w:rsidRPr="00A01CB0">
        <w:rPr>
          <w:rFonts w:ascii="Arial" w:eastAsia="Calibri" w:hAnsi="Arial" w:cs="Arial"/>
          <w:color w:val="000000"/>
          <w:sz w:val="22"/>
          <w:lang w:val="es-ES_tradnl" w:eastAsia="es-ES"/>
        </w:rPr>
        <w:t>, indicar</w:t>
      </w:r>
      <w:r>
        <w:rPr>
          <w:rFonts w:ascii="Arial" w:eastAsia="Calibri" w:hAnsi="Arial" w:cs="Arial"/>
          <w:color w:val="000000"/>
          <w:sz w:val="22"/>
          <w:lang w:val="es-ES_tradnl" w:eastAsia="es-ES"/>
        </w:rPr>
        <w:t>á</w:t>
      </w:r>
      <w:r w:rsidRPr="00A01CB0">
        <w:rPr>
          <w:rFonts w:ascii="Arial" w:eastAsia="Calibri" w:hAnsi="Arial" w:cs="Arial"/>
          <w:color w:val="000000"/>
          <w:sz w:val="22"/>
          <w:lang w:val="es-ES_tradnl" w:eastAsia="es-ES"/>
        </w:rPr>
        <w:t>n a la entidad estatal si resulta o no forzosa la aplicación del documento tipo.</w:t>
      </w:r>
      <w:r>
        <w:rPr>
          <w:rFonts w:ascii="Arial" w:eastAsia="Calibri" w:hAnsi="Arial" w:cs="Arial"/>
          <w:color w:val="000000"/>
          <w:sz w:val="22"/>
          <w:lang w:val="es-ES_tradnl" w:eastAsia="es-ES"/>
        </w:rPr>
        <w:t xml:space="preserve"> </w:t>
      </w:r>
    </w:p>
    <w:p w14:paraId="691A81BE" w14:textId="77777777" w:rsidR="00DE6178" w:rsidRPr="00FC2EA4" w:rsidRDefault="00DE6178" w:rsidP="00DE6178">
      <w:pPr>
        <w:spacing w:line="276" w:lineRule="auto"/>
        <w:ind w:firstLine="709"/>
        <w:jc w:val="both"/>
        <w:rPr>
          <w:rFonts w:ascii="Arial" w:eastAsia="Calibri" w:hAnsi="Arial" w:cs="Arial"/>
          <w:color w:val="000000"/>
          <w:sz w:val="22"/>
          <w:lang w:eastAsia="es-ES"/>
        </w:rPr>
      </w:pPr>
      <w:r>
        <w:rPr>
          <w:rFonts w:ascii="Arial" w:eastAsia="Calibri" w:hAnsi="Arial" w:cs="Arial"/>
          <w:color w:val="000000"/>
          <w:sz w:val="22"/>
          <w:lang w:val="es-ES_tradnl" w:eastAsia="es-ES"/>
        </w:rPr>
        <w:t xml:space="preserve">Como se explicó, de no ser subsumible el objeto a contratar en alguna de las actividades tipificadas en la referida matriz no resultara obligatoria la aplicación del documento tipo en el eventual proceso de contratación, sin embargo, ello no impedirá para que la entidad estatal en el marco de su autonomía, lo aplique en estos procedimientos, a modo de buena </w:t>
      </w:r>
      <w:proofErr w:type="spellStart"/>
      <w:r>
        <w:rPr>
          <w:rFonts w:ascii="Arial" w:eastAsia="Calibri" w:hAnsi="Arial" w:cs="Arial"/>
          <w:color w:val="000000"/>
          <w:sz w:val="22"/>
          <w:lang w:val="es-ES_tradnl" w:eastAsia="es-ES"/>
        </w:rPr>
        <w:t>practica</w:t>
      </w:r>
      <w:proofErr w:type="spellEnd"/>
      <w:r>
        <w:rPr>
          <w:rFonts w:ascii="Arial" w:eastAsia="Calibri" w:hAnsi="Arial" w:cs="Arial"/>
          <w:color w:val="000000"/>
          <w:sz w:val="22"/>
          <w:lang w:val="es-ES_tradnl" w:eastAsia="es-ES"/>
        </w:rPr>
        <w:t xml:space="preserve"> contractual. Al no resultar obligatoria la aplicación del documento tipo, la estructuración del proceso de contratación se hace a discreción de la entidad, por lo que esta puede incorporar los factores de evaluación, reglas, documentos, anexos, formatos, anexos y demás aspectos de los documentos tipo expedidos por esta Agencia, siempre que resulten adecuadas y proporcionales al objeto del contrato, así como a la respectiva modalidad de escogencia. En estos casos, no opera la regla de inalterabilidad, por lo que la entidad puede adecuar los componentes de los documentos tipo que incorpore en sus procesos en ejercicio de la referida discrecionalidad.     </w:t>
      </w:r>
    </w:p>
    <w:p w14:paraId="38F041EC" w14:textId="77777777" w:rsidR="00DE6178" w:rsidRPr="00EE7E31" w:rsidRDefault="00DE6178" w:rsidP="00DE6178">
      <w:pPr>
        <w:tabs>
          <w:tab w:val="left" w:pos="709"/>
        </w:tabs>
        <w:spacing w:line="276" w:lineRule="auto"/>
        <w:jc w:val="both"/>
        <w:rPr>
          <w:rFonts w:ascii="Arial" w:hAnsi="Arial" w:cs="Arial"/>
          <w:sz w:val="22"/>
          <w:szCs w:val="22"/>
          <w:lang w:val="es-ES_tradnl"/>
        </w:rPr>
      </w:pPr>
    </w:p>
    <w:p w14:paraId="741DC3C9" w14:textId="77777777" w:rsidR="00DE6178" w:rsidRPr="00EE7E31" w:rsidRDefault="00DE6178" w:rsidP="00DE6178">
      <w:pPr>
        <w:tabs>
          <w:tab w:val="left" w:pos="0"/>
        </w:tabs>
        <w:jc w:val="both"/>
        <w:rPr>
          <w:rFonts w:ascii="Arial" w:eastAsia="Calibri" w:hAnsi="Arial" w:cs="Arial"/>
          <w:b/>
          <w:color w:val="000000" w:themeColor="text1"/>
          <w:sz w:val="22"/>
          <w:lang w:val="es-ES_tradnl"/>
        </w:rPr>
      </w:pPr>
      <w:r w:rsidRPr="00EE7E31">
        <w:rPr>
          <w:rFonts w:ascii="Arial" w:eastAsia="Calibri" w:hAnsi="Arial" w:cs="Arial"/>
          <w:b/>
          <w:color w:val="000000" w:themeColor="text1"/>
          <w:sz w:val="22"/>
          <w:lang w:val="es-ES_tradnl"/>
        </w:rPr>
        <w:t>3. Respuesta</w:t>
      </w:r>
    </w:p>
    <w:p w14:paraId="34ECFA0B" w14:textId="77777777" w:rsidR="00DE6178" w:rsidRPr="00EE7E31" w:rsidRDefault="00DE6178" w:rsidP="00DE6178">
      <w:pPr>
        <w:tabs>
          <w:tab w:val="left" w:pos="0"/>
        </w:tabs>
        <w:ind w:left="709" w:right="709"/>
        <w:jc w:val="both"/>
        <w:rPr>
          <w:rFonts w:ascii="Arial" w:eastAsia="Calibri" w:hAnsi="Arial" w:cs="Arial"/>
          <w:color w:val="000000" w:themeColor="text1"/>
          <w:sz w:val="22"/>
          <w:lang w:val="es-ES_tradnl"/>
        </w:rPr>
      </w:pPr>
    </w:p>
    <w:p w14:paraId="024153F0" w14:textId="77777777" w:rsidR="00DE6178" w:rsidRDefault="00DE6178" w:rsidP="00DE6178">
      <w:pPr>
        <w:pStyle w:val="Default"/>
        <w:ind w:left="567" w:right="567"/>
        <w:jc w:val="both"/>
        <w:rPr>
          <w:color w:val="000000" w:themeColor="text1"/>
          <w:sz w:val="21"/>
          <w:szCs w:val="21"/>
          <w:lang w:val="es-ES_tradnl"/>
        </w:rPr>
      </w:pPr>
      <w:r w:rsidRPr="00EE7E31">
        <w:rPr>
          <w:color w:val="000000" w:themeColor="text1"/>
          <w:sz w:val="21"/>
          <w:szCs w:val="21"/>
          <w:lang w:val="es-ES_tradnl"/>
        </w:rPr>
        <w:t xml:space="preserve">«[…] según las matrices de experiencia el cual es la base para solicitar la experiencia de los posibles oferentes, no se evidencia matriz de experiencia para interventorías para las consultorías de estudios de ingeniería de infraestructura de transporte, por lo anterior se puede entender que aun [sic] NO es aplicable para este tipo de proceso. Dicho lo anterior y entendiendo que la matriz de experiencia contiene los rangos en los que se debe la entidad contratante solicitar la experiencia de los futuros oferentes les solicito me aclare como [sic] puede la entidad contratante adoptar el pliego tipo "EXPERIENCIA DE INTERVENTORIA A PROYECTOS DE CONSULTORÍA DE ESTUDIOS DE INGENIERÍA DE INFRAESTRUCTURA DE TRANSPORTE" si dentro de la matriz de experiencia, ningún </w:t>
      </w:r>
      <w:proofErr w:type="spellStart"/>
      <w:r w:rsidRPr="00EE7E31">
        <w:rPr>
          <w:color w:val="000000" w:themeColor="text1"/>
          <w:sz w:val="21"/>
          <w:szCs w:val="21"/>
          <w:lang w:val="es-ES_tradnl"/>
        </w:rPr>
        <w:t>titulo</w:t>
      </w:r>
      <w:proofErr w:type="spellEnd"/>
      <w:r w:rsidRPr="00EE7E31">
        <w:rPr>
          <w:color w:val="000000" w:themeColor="text1"/>
          <w:sz w:val="21"/>
          <w:szCs w:val="21"/>
          <w:lang w:val="es-ES_tradnl"/>
        </w:rPr>
        <w:t xml:space="preserve"> [sic] o capitulo [sic] que le permita a la entidad para un proceso determinado, esta consulta se realiza con el propósito de blindar los procedimientos administrativos contractuales de la entidad».</w:t>
      </w:r>
      <w:r w:rsidRPr="00EE7E31">
        <w:rPr>
          <w:color w:val="000000" w:themeColor="text1"/>
          <w:sz w:val="21"/>
          <w:szCs w:val="21"/>
          <w:lang w:val="es-ES_tradnl"/>
        </w:rPr>
        <w:tab/>
      </w:r>
    </w:p>
    <w:p w14:paraId="1F3DCCCC" w14:textId="77777777" w:rsidR="00DE6178" w:rsidRDefault="00DE6178" w:rsidP="00DE6178">
      <w:pPr>
        <w:pStyle w:val="Default"/>
        <w:spacing w:line="276" w:lineRule="auto"/>
        <w:ind w:left="709" w:right="709"/>
        <w:jc w:val="both"/>
        <w:rPr>
          <w:color w:val="000000" w:themeColor="text1"/>
          <w:sz w:val="21"/>
          <w:szCs w:val="21"/>
          <w:lang w:val="es-ES_tradnl"/>
        </w:rPr>
      </w:pPr>
    </w:p>
    <w:p w14:paraId="20E660D7" w14:textId="77777777" w:rsidR="00DE6178" w:rsidRPr="006C747A" w:rsidRDefault="00DE6178" w:rsidP="00DE6178">
      <w:pPr>
        <w:pStyle w:val="Default"/>
        <w:spacing w:after="120" w:line="276" w:lineRule="auto"/>
        <w:jc w:val="both"/>
        <w:rPr>
          <w:color w:val="000000" w:themeColor="text1"/>
          <w:sz w:val="22"/>
          <w:szCs w:val="22"/>
          <w:lang w:val="es-ES_tradnl"/>
        </w:rPr>
      </w:pPr>
      <w:r w:rsidRPr="00932D8A">
        <w:rPr>
          <w:color w:val="000000" w:themeColor="text1"/>
          <w:sz w:val="22"/>
          <w:szCs w:val="22"/>
          <w:lang w:val="es-ES_tradnl"/>
        </w:rPr>
        <w:t>Conforme a lo expuesto, los documentos tipo</w:t>
      </w:r>
      <w:r>
        <w:rPr>
          <w:color w:val="000000" w:themeColor="text1"/>
          <w:sz w:val="22"/>
          <w:szCs w:val="22"/>
          <w:lang w:val="es-ES_tradnl"/>
        </w:rPr>
        <w:t xml:space="preserve"> adoptados mediante la </w:t>
      </w:r>
      <w:r w:rsidRPr="00932D8A">
        <w:rPr>
          <w:color w:val="000000" w:themeColor="text1"/>
          <w:sz w:val="22"/>
          <w:szCs w:val="22"/>
          <w:lang w:val="es-ES_tradnl"/>
        </w:rPr>
        <w:t xml:space="preserve">Resolución 256 del 11 de diciembre de 2020 </w:t>
      </w:r>
      <w:r>
        <w:rPr>
          <w:color w:val="000000" w:themeColor="text1"/>
          <w:sz w:val="22"/>
          <w:szCs w:val="22"/>
          <w:lang w:val="es-ES_tradnl"/>
        </w:rPr>
        <w:t>aplican en</w:t>
      </w:r>
      <w:r w:rsidRPr="00932D8A">
        <w:rPr>
          <w:color w:val="000000" w:themeColor="text1"/>
          <w:sz w:val="22"/>
          <w:szCs w:val="22"/>
          <w:lang w:val="es-ES_tradnl"/>
        </w:rPr>
        <w:t xml:space="preserve"> los procesos de selección de concursos de méritos para contratar interventoría de obras públicas de infraestructura de transporte</w:t>
      </w:r>
      <w:r>
        <w:rPr>
          <w:color w:val="000000" w:themeColor="text1"/>
          <w:sz w:val="22"/>
          <w:szCs w:val="22"/>
          <w:lang w:val="es-ES_tradnl"/>
        </w:rPr>
        <w:t>.</w:t>
      </w:r>
      <w:r w:rsidRPr="00A9576E">
        <w:rPr>
          <w:color w:val="000000" w:themeColor="text1"/>
          <w:sz w:val="22"/>
          <w:szCs w:val="22"/>
          <w:lang w:val="es-ES_tradnl"/>
        </w:rPr>
        <w:t xml:space="preserve"> </w:t>
      </w:r>
      <w:r>
        <w:rPr>
          <w:color w:val="000000" w:themeColor="text1"/>
          <w:sz w:val="22"/>
          <w:szCs w:val="22"/>
          <w:lang w:val="es-ES_tradnl"/>
        </w:rPr>
        <w:t xml:space="preserve"> Su aplicación es </w:t>
      </w:r>
      <w:r w:rsidRPr="00932D8A">
        <w:rPr>
          <w:color w:val="000000" w:themeColor="text1"/>
          <w:sz w:val="22"/>
          <w:szCs w:val="22"/>
          <w:lang w:val="es-ES_tradnl"/>
        </w:rPr>
        <w:lastRenderedPageBreak/>
        <w:t>obligatori</w:t>
      </w:r>
      <w:r>
        <w:rPr>
          <w:color w:val="000000" w:themeColor="text1"/>
          <w:sz w:val="22"/>
          <w:szCs w:val="22"/>
          <w:lang w:val="es-ES_tradnl"/>
        </w:rPr>
        <w:t>a,</w:t>
      </w:r>
      <w:r w:rsidRPr="00932D8A">
        <w:rPr>
          <w:color w:val="000000" w:themeColor="text1"/>
          <w:sz w:val="22"/>
          <w:szCs w:val="22"/>
          <w:lang w:val="es-ES_tradnl"/>
        </w:rPr>
        <w:t xml:space="preserve"> para todas las entidades sometidas al Estatuto General de Contratación de la Administración Pública, que adelanten procesos de </w:t>
      </w:r>
      <w:r w:rsidRPr="006C747A">
        <w:rPr>
          <w:color w:val="000000" w:themeColor="text1"/>
          <w:sz w:val="22"/>
          <w:szCs w:val="22"/>
          <w:lang w:val="es-ES_tradnl"/>
        </w:rPr>
        <w:t>concursos de méritos para contratar la interventoría de cualquiera de los proyectos o actividades señalados en la «Matriz 1 – Experiencia» de esos documentos.</w:t>
      </w:r>
    </w:p>
    <w:p w14:paraId="411DE176" w14:textId="77777777" w:rsidR="00DE6178" w:rsidRDefault="00DE6178" w:rsidP="00DE6178">
      <w:pPr>
        <w:pStyle w:val="Default"/>
        <w:spacing w:after="120" w:line="276" w:lineRule="auto"/>
        <w:ind w:firstLine="709"/>
        <w:jc w:val="both"/>
        <w:rPr>
          <w:color w:val="000000" w:themeColor="text1"/>
          <w:sz w:val="22"/>
          <w:szCs w:val="22"/>
          <w:lang w:val="es-ES_tradnl"/>
        </w:rPr>
      </w:pPr>
      <w:r w:rsidRPr="006C747A">
        <w:rPr>
          <w:color w:val="000000" w:themeColor="text1"/>
          <w:sz w:val="22"/>
          <w:szCs w:val="22"/>
          <w:lang w:val="es-ES_tradnl"/>
        </w:rPr>
        <w:t xml:space="preserve">De esta forma, en relación con las actividades de infraestructura de transporte no contempladas en la </w:t>
      </w:r>
      <w:r>
        <w:rPr>
          <w:color w:val="000000" w:themeColor="text1"/>
          <w:sz w:val="22"/>
          <w:szCs w:val="22"/>
          <w:lang w:val="es-ES_tradnl"/>
        </w:rPr>
        <w:t>precitada matriz,</w:t>
      </w:r>
      <w:r w:rsidRPr="006C747A">
        <w:rPr>
          <w:color w:val="000000" w:themeColor="text1"/>
          <w:sz w:val="22"/>
          <w:szCs w:val="22"/>
          <w:lang w:val="es-ES_tradnl"/>
        </w:rPr>
        <w:t xml:space="preserve"> las entidades no tienen que aplicar los documentos tipo de interventoría de obra pública de infraestructura de transporte. Lo anterior, sin perjuicio de lo previsto en el artículo 4 de la resolución que adopta estos documentos tipo, el cual prevé los eventos en los que el objeto contractual incluye la interventoría a bienes o servicios adicionales a la obra pública de infraestructura de transporte y, en consecuencia, se deben aplicar los documentos tipo. </w:t>
      </w:r>
    </w:p>
    <w:p w14:paraId="325F3F0A" w14:textId="77777777" w:rsidR="00DE6178" w:rsidRDefault="00DE6178" w:rsidP="00DE6178">
      <w:pPr>
        <w:pStyle w:val="Default"/>
        <w:spacing w:line="276" w:lineRule="auto"/>
        <w:ind w:firstLine="709"/>
        <w:jc w:val="both"/>
        <w:rPr>
          <w:sz w:val="22"/>
          <w:lang w:val="es-ES_tradnl"/>
        </w:rPr>
      </w:pPr>
      <w:r>
        <w:rPr>
          <w:color w:val="000000" w:themeColor="text1"/>
          <w:sz w:val="22"/>
          <w:szCs w:val="22"/>
        </w:rPr>
        <w:t xml:space="preserve">Dentro de la «Matriz 1 – Experiencia» de los referidos documentos tipo, no existe ninguna actividad referida o asociada a «interventoría para consultoría de estudios y diseños para obras públicas», como la señalada por la peticionaria. En consecuencia, es posible concluir que para ese tipo de actividades las entidades estatales no se encuentran obligadas a aplicar los documentos tipo. </w:t>
      </w:r>
      <w:r w:rsidRPr="00E92FE5">
        <w:rPr>
          <w:color w:val="000000" w:themeColor="text1"/>
          <w:sz w:val="22"/>
          <w:szCs w:val="22"/>
        </w:rPr>
        <w:t>Sin embargo, cada entidad, de forma autónoma,</w:t>
      </w:r>
      <w:r>
        <w:rPr>
          <w:color w:val="000000" w:themeColor="text1"/>
          <w:sz w:val="22"/>
          <w:szCs w:val="22"/>
        </w:rPr>
        <w:t xml:space="preserve"> debe</w:t>
      </w:r>
      <w:r w:rsidRPr="00D83CCE">
        <w:rPr>
          <w:color w:val="000000" w:themeColor="text1"/>
          <w:sz w:val="22"/>
          <w:szCs w:val="22"/>
        </w:rPr>
        <w:t xml:space="preserve"> analizar el objeto que pretende contratar, para determinar si el mismo es subsumible dentro de alguna actividad cobijada por cada documento</w:t>
      </w:r>
      <w:r>
        <w:rPr>
          <w:color w:val="000000" w:themeColor="text1"/>
          <w:sz w:val="22"/>
          <w:szCs w:val="22"/>
        </w:rPr>
        <w:t xml:space="preserve"> tipo. Las entidades además </w:t>
      </w:r>
      <w:r w:rsidRPr="00D83CCE">
        <w:rPr>
          <w:color w:val="000000" w:themeColor="text1"/>
          <w:sz w:val="22"/>
          <w:szCs w:val="22"/>
        </w:rPr>
        <w:t>tienen</w:t>
      </w:r>
      <w:r w:rsidRPr="00E92FE5">
        <w:rPr>
          <w:color w:val="000000" w:themeColor="text1"/>
          <w:sz w:val="22"/>
          <w:szCs w:val="22"/>
        </w:rPr>
        <w:t xml:space="preserve"> la potestad de aplicar un documento tipo</w:t>
      </w:r>
      <w:r>
        <w:rPr>
          <w:color w:val="000000" w:themeColor="text1"/>
          <w:sz w:val="22"/>
          <w:szCs w:val="22"/>
        </w:rPr>
        <w:t>, reglas o componentes del mismo,</w:t>
      </w:r>
      <w:r w:rsidRPr="00E92FE5">
        <w:rPr>
          <w:color w:val="000000" w:themeColor="text1"/>
          <w:sz w:val="22"/>
          <w:szCs w:val="22"/>
        </w:rPr>
        <w:t xml:space="preserve"> a la contratación de un objeto que no se encuentre cobijado,</w:t>
      </w:r>
      <w:r>
        <w:rPr>
          <w:color w:val="000000" w:themeColor="text1"/>
          <w:sz w:val="22"/>
          <w:szCs w:val="22"/>
        </w:rPr>
        <w:t xml:space="preserve"> esto</w:t>
      </w:r>
      <w:r w:rsidRPr="00E92FE5">
        <w:rPr>
          <w:color w:val="000000" w:themeColor="text1"/>
          <w:sz w:val="22"/>
          <w:szCs w:val="22"/>
        </w:rPr>
        <w:t xml:space="preserve"> a modo de buena práctica contractual</w:t>
      </w:r>
      <w:r>
        <w:rPr>
          <w:color w:val="000000" w:themeColor="text1"/>
          <w:sz w:val="22"/>
          <w:szCs w:val="22"/>
        </w:rPr>
        <w:t xml:space="preserve">, evento en el cual no opera la regla de inalterabilidad al tener la entidad autonomía para la configuración del proceso de contratación. </w:t>
      </w:r>
    </w:p>
    <w:p w14:paraId="0B022DF0" w14:textId="77777777" w:rsidR="00DE6178" w:rsidRPr="00EE7E31" w:rsidRDefault="00DE6178" w:rsidP="00DE6178">
      <w:pPr>
        <w:jc w:val="both"/>
        <w:rPr>
          <w:rFonts w:ascii="Arial" w:hAnsi="Arial" w:cs="Arial"/>
          <w:sz w:val="22"/>
          <w:lang w:val="es-ES_tradnl"/>
        </w:rPr>
      </w:pPr>
    </w:p>
    <w:p w14:paraId="6DA918B7" w14:textId="77777777" w:rsidR="00DE6178" w:rsidRPr="00EE7E31" w:rsidRDefault="00DE6178" w:rsidP="00DE6178">
      <w:pPr>
        <w:spacing w:line="276" w:lineRule="auto"/>
        <w:jc w:val="both"/>
        <w:rPr>
          <w:rFonts w:ascii="Arial" w:eastAsia="Calibri" w:hAnsi="Arial" w:cs="Arial"/>
          <w:color w:val="000000" w:themeColor="text1"/>
          <w:sz w:val="22"/>
          <w:lang w:val="es-ES_tradnl"/>
        </w:rPr>
      </w:pPr>
      <w:r w:rsidRPr="00EE7E31">
        <w:rPr>
          <w:rFonts w:ascii="Arial" w:eastAsia="Calibri" w:hAnsi="Arial" w:cs="Arial"/>
          <w:color w:val="000000" w:themeColor="text1"/>
          <w:sz w:val="22"/>
          <w:lang w:val="es-ES_tradnl"/>
        </w:rPr>
        <w:t>Este concepto tiene el alcance previsto en el artículo 28 del Código de Procedimiento Administrativo y de lo Contencioso Administrativo.</w:t>
      </w:r>
    </w:p>
    <w:p w14:paraId="0B261E18" w14:textId="77777777" w:rsidR="00DE6178" w:rsidRPr="00EE7E31" w:rsidRDefault="00DE6178" w:rsidP="00DE6178">
      <w:pPr>
        <w:spacing w:line="276" w:lineRule="auto"/>
        <w:jc w:val="both"/>
        <w:rPr>
          <w:color w:val="000000" w:themeColor="text1"/>
          <w:sz w:val="21"/>
          <w:szCs w:val="21"/>
          <w:lang w:val="es-ES_tradnl"/>
        </w:rPr>
      </w:pPr>
    </w:p>
    <w:p w14:paraId="505D2AB3" w14:textId="77777777" w:rsidR="00DE6178" w:rsidRPr="00EE7E31" w:rsidRDefault="00DE6178" w:rsidP="00DE6178">
      <w:pPr>
        <w:pStyle w:val="NormalWeb"/>
        <w:spacing w:before="0" w:beforeAutospacing="0" w:after="0" w:afterAutospacing="0" w:line="276" w:lineRule="auto"/>
        <w:jc w:val="both"/>
        <w:rPr>
          <w:rFonts w:ascii="Arial" w:hAnsi="Arial" w:cs="Arial"/>
          <w:color w:val="000000" w:themeColor="text1"/>
          <w:sz w:val="22"/>
          <w:szCs w:val="22"/>
          <w:lang w:val="es-ES_tradnl"/>
        </w:rPr>
      </w:pPr>
      <w:r w:rsidRPr="00EE7E31">
        <w:rPr>
          <w:rFonts w:ascii="Arial" w:hAnsi="Arial" w:cs="Arial"/>
          <w:color w:val="000000" w:themeColor="text1"/>
          <w:sz w:val="22"/>
          <w:szCs w:val="22"/>
          <w:lang w:val="es-ES_tradnl"/>
        </w:rPr>
        <w:t>Atentamente,</w:t>
      </w:r>
    </w:p>
    <w:p w14:paraId="213C06C5" w14:textId="724F57FA" w:rsidR="00DE6178" w:rsidRPr="00EE7E31" w:rsidRDefault="00DE6178" w:rsidP="00DE6178">
      <w:pPr>
        <w:pStyle w:val="NormalWeb"/>
        <w:spacing w:before="0" w:beforeAutospacing="0" w:after="0" w:afterAutospacing="0" w:line="276" w:lineRule="auto"/>
        <w:jc w:val="center"/>
        <w:rPr>
          <w:rFonts w:ascii="Arial" w:hAnsi="Arial" w:cs="Arial"/>
          <w:color w:val="000000" w:themeColor="text1"/>
          <w:sz w:val="22"/>
          <w:szCs w:val="22"/>
          <w:lang w:val="es-ES_tradnl"/>
        </w:rPr>
      </w:pPr>
      <w:r>
        <w:rPr>
          <w:rFonts w:ascii="Arial" w:hAnsi="Arial" w:cs="Arial"/>
          <w:noProof/>
          <w:color w:val="000000" w:themeColor="text1"/>
          <w:sz w:val="22"/>
          <w:szCs w:val="22"/>
          <w:lang w:val="es-ES_tradnl"/>
        </w:rPr>
        <w:drawing>
          <wp:inline distT="0" distB="0" distL="0" distR="0" wp14:anchorId="37FBD1EA" wp14:editId="2FD3FAF5">
            <wp:extent cx="2514600" cy="1114425"/>
            <wp:effectExtent l="0" t="0" r="0" b="9525"/>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14600" cy="1114425"/>
                    </a:xfrm>
                    <a:prstGeom prst="rect">
                      <a:avLst/>
                    </a:prstGeom>
                    <a:noFill/>
                    <a:ln>
                      <a:noFill/>
                    </a:ln>
                  </pic:spPr>
                </pic:pic>
              </a:graphicData>
            </a:graphic>
          </wp:inline>
        </w:drawing>
      </w:r>
    </w:p>
    <w:p w14:paraId="16DC8311" w14:textId="77777777" w:rsidR="00DE6178" w:rsidRPr="00EE7E31" w:rsidRDefault="00DE6178" w:rsidP="00DE6178">
      <w:pPr>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362"/>
      </w:tblGrid>
      <w:tr w:rsidR="00DE6178" w:rsidRPr="00EE7E31" w14:paraId="15947FB0" w14:textId="77777777" w:rsidTr="00FB1DD3">
        <w:trPr>
          <w:trHeight w:val="136"/>
        </w:trPr>
        <w:tc>
          <w:tcPr>
            <w:tcW w:w="812" w:type="dxa"/>
            <w:vAlign w:val="center"/>
            <w:hideMark/>
          </w:tcPr>
          <w:p w14:paraId="249CF24D" w14:textId="77777777" w:rsidR="00DE6178" w:rsidRPr="00EE7E31" w:rsidRDefault="00DE6178" w:rsidP="00FB1DD3">
            <w:pPr>
              <w:jc w:val="both"/>
              <w:rPr>
                <w:rFonts w:ascii="Arial" w:hAnsi="Arial" w:cs="Arial"/>
                <w:color w:val="000000" w:themeColor="text1"/>
                <w:sz w:val="16"/>
                <w:szCs w:val="16"/>
                <w:lang w:val="es-ES_tradnl" w:eastAsia="es-ES"/>
              </w:rPr>
            </w:pPr>
            <w:r w:rsidRPr="00EE7E31">
              <w:rPr>
                <w:rFonts w:ascii="Arial" w:hAnsi="Arial" w:cs="Arial"/>
                <w:color w:val="000000" w:themeColor="text1"/>
                <w:sz w:val="16"/>
                <w:szCs w:val="16"/>
                <w:lang w:val="es-ES_tradnl" w:eastAsia="es-ES"/>
              </w:rPr>
              <w:t>Elaboró:</w:t>
            </w:r>
          </w:p>
        </w:tc>
        <w:tc>
          <w:tcPr>
            <w:tcW w:w="4362" w:type="dxa"/>
            <w:tcBorders>
              <w:top w:val="nil"/>
              <w:left w:val="nil"/>
              <w:bottom w:val="dotted" w:sz="4" w:space="0" w:color="7F7F7F" w:themeColor="text1" w:themeTint="80"/>
              <w:right w:val="nil"/>
            </w:tcBorders>
            <w:vAlign w:val="center"/>
            <w:hideMark/>
          </w:tcPr>
          <w:p w14:paraId="3408469F" w14:textId="77777777" w:rsidR="00DE6178" w:rsidRPr="00EE7E31" w:rsidRDefault="00DE6178" w:rsidP="00FB1DD3">
            <w:pPr>
              <w:jc w:val="both"/>
              <w:rPr>
                <w:rFonts w:ascii="Arial" w:hAnsi="Arial" w:cs="Arial"/>
                <w:color w:val="000000" w:themeColor="text1"/>
                <w:sz w:val="16"/>
                <w:szCs w:val="16"/>
                <w:lang w:val="es-ES_tradnl" w:eastAsia="es-ES"/>
              </w:rPr>
            </w:pPr>
            <w:r w:rsidRPr="00EE7E31">
              <w:rPr>
                <w:rFonts w:ascii="Arial" w:hAnsi="Arial" w:cs="Arial"/>
                <w:color w:val="000000" w:themeColor="text1"/>
                <w:sz w:val="16"/>
                <w:szCs w:val="16"/>
                <w:lang w:val="es-ES_tradnl" w:eastAsia="es-ES"/>
              </w:rPr>
              <w:t>Kevin Arlid Herrera Santa</w:t>
            </w:r>
          </w:p>
          <w:p w14:paraId="3C8A02A6" w14:textId="77777777" w:rsidR="00DE6178" w:rsidRPr="00EE7E31" w:rsidRDefault="00DE6178" w:rsidP="00FB1DD3">
            <w:pPr>
              <w:jc w:val="both"/>
              <w:rPr>
                <w:rFonts w:ascii="Arial" w:hAnsi="Arial" w:cs="Arial"/>
                <w:color w:val="000000" w:themeColor="text1"/>
                <w:sz w:val="16"/>
                <w:szCs w:val="16"/>
                <w:lang w:val="es-ES_tradnl" w:eastAsia="es-ES"/>
              </w:rPr>
            </w:pPr>
            <w:r w:rsidRPr="00EE7E31">
              <w:rPr>
                <w:rFonts w:ascii="Arial" w:hAnsi="Arial" w:cs="Arial"/>
                <w:color w:val="000000" w:themeColor="text1"/>
                <w:sz w:val="16"/>
                <w:szCs w:val="16"/>
                <w:lang w:val="es-ES_tradnl" w:eastAsia="es-ES"/>
              </w:rPr>
              <w:t>Analista T2 – 04 de la Subdirección de Gestión Contractual</w:t>
            </w:r>
          </w:p>
        </w:tc>
      </w:tr>
      <w:tr w:rsidR="00DE6178" w:rsidRPr="00EE7E31" w14:paraId="0526729B" w14:textId="77777777" w:rsidTr="00FB1DD3">
        <w:trPr>
          <w:trHeight w:val="281"/>
        </w:trPr>
        <w:tc>
          <w:tcPr>
            <w:tcW w:w="812" w:type="dxa"/>
            <w:vAlign w:val="center"/>
            <w:hideMark/>
          </w:tcPr>
          <w:p w14:paraId="7CF32D32" w14:textId="77777777" w:rsidR="00DE6178" w:rsidRPr="00EE7E31" w:rsidRDefault="00DE6178" w:rsidP="00FB1DD3">
            <w:pPr>
              <w:jc w:val="both"/>
              <w:rPr>
                <w:rFonts w:ascii="Arial" w:hAnsi="Arial" w:cs="Arial"/>
                <w:color w:val="000000" w:themeColor="text1"/>
                <w:sz w:val="16"/>
                <w:szCs w:val="16"/>
                <w:lang w:val="es-ES_tradnl" w:eastAsia="es-ES"/>
              </w:rPr>
            </w:pPr>
            <w:r w:rsidRPr="00EE7E31">
              <w:rPr>
                <w:rFonts w:ascii="Arial" w:hAnsi="Arial" w:cs="Arial"/>
                <w:color w:val="000000" w:themeColor="text1"/>
                <w:sz w:val="16"/>
                <w:szCs w:val="16"/>
                <w:lang w:val="es-ES_tradnl" w:eastAsia="es-ES"/>
              </w:rPr>
              <w:t>Revisó:</w:t>
            </w:r>
          </w:p>
        </w:tc>
        <w:tc>
          <w:tcPr>
            <w:tcW w:w="4362" w:type="dxa"/>
            <w:tcBorders>
              <w:top w:val="dotted" w:sz="4" w:space="0" w:color="7F7F7F" w:themeColor="text1" w:themeTint="80"/>
              <w:left w:val="nil"/>
              <w:bottom w:val="dotted" w:sz="4" w:space="0" w:color="7F7F7F" w:themeColor="text1" w:themeTint="80"/>
              <w:right w:val="nil"/>
            </w:tcBorders>
            <w:vAlign w:val="center"/>
            <w:hideMark/>
          </w:tcPr>
          <w:p w14:paraId="1819C217" w14:textId="77777777" w:rsidR="00DE6178" w:rsidRPr="00EE7E31" w:rsidRDefault="00DE6178" w:rsidP="00FB1DD3">
            <w:pPr>
              <w:rPr>
                <w:rFonts w:ascii="Arial" w:hAnsi="Arial" w:cs="Arial"/>
                <w:sz w:val="16"/>
                <w:szCs w:val="16"/>
                <w:lang w:val="es-ES_tradnl" w:eastAsia="es-ES"/>
              </w:rPr>
            </w:pPr>
            <w:r w:rsidRPr="00EE7E31">
              <w:rPr>
                <w:rFonts w:ascii="Arial" w:hAnsi="Arial" w:cs="Arial"/>
                <w:sz w:val="16"/>
                <w:szCs w:val="16"/>
                <w:lang w:val="es-ES_tradnl" w:eastAsia="es-ES"/>
              </w:rPr>
              <w:t>Alejandro Sarmiento Cantillo</w:t>
            </w:r>
          </w:p>
          <w:p w14:paraId="2F37A7A0" w14:textId="77777777" w:rsidR="00DE6178" w:rsidRPr="00EE7E31" w:rsidRDefault="00DE6178" w:rsidP="00FB1DD3">
            <w:pPr>
              <w:jc w:val="both"/>
              <w:rPr>
                <w:rFonts w:ascii="Arial" w:hAnsi="Arial" w:cs="Arial"/>
                <w:color w:val="000000" w:themeColor="text1"/>
                <w:sz w:val="16"/>
                <w:szCs w:val="16"/>
                <w:lang w:val="es-ES_tradnl" w:eastAsia="es-ES"/>
              </w:rPr>
            </w:pPr>
            <w:r w:rsidRPr="00EE7E31">
              <w:rPr>
                <w:rFonts w:ascii="Arial" w:hAnsi="Arial" w:cs="Arial"/>
                <w:color w:val="000000"/>
                <w:sz w:val="16"/>
                <w:szCs w:val="16"/>
                <w:shd w:val="clear" w:color="auto" w:fill="FFFFFF"/>
                <w:lang w:val="es-ES_tradnl"/>
              </w:rPr>
              <w:t>Gestor T1 – 11 de la </w:t>
            </w:r>
            <w:r w:rsidRPr="00EE7E31">
              <w:rPr>
                <w:rFonts w:ascii="Arial" w:hAnsi="Arial" w:cs="Arial"/>
                <w:color w:val="000000" w:themeColor="text1"/>
                <w:sz w:val="16"/>
                <w:szCs w:val="16"/>
                <w:lang w:val="es-ES_tradnl" w:eastAsia="es-ES"/>
              </w:rPr>
              <w:t>Subdirección de Gestión Contractual</w:t>
            </w:r>
          </w:p>
        </w:tc>
      </w:tr>
      <w:tr w:rsidR="00DE6178" w:rsidRPr="00EE7E31" w14:paraId="0E8C8778" w14:textId="77777777" w:rsidTr="00FB1DD3">
        <w:trPr>
          <w:trHeight w:val="256"/>
        </w:trPr>
        <w:tc>
          <w:tcPr>
            <w:tcW w:w="812" w:type="dxa"/>
            <w:vAlign w:val="center"/>
            <w:hideMark/>
          </w:tcPr>
          <w:p w14:paraId="2F0750BE" w14:textId="77777777" w:rsidR="00DE6178" w:rsidRPr="00EE7E31" w:rsidRDefault="00DE6178" w:rsidP="00FB1DD3">
            <w:pPr>
              <w:jc w:val="both"/>
              <w:rPr>
                <w:rFonts w:ascii="Arial" w:hAnsi="Arial" w:cs="Arial"/>
                <w:color w:val="000000" w:themeColor="text1"/>
                <w:sz w:val="16"/>
                <w:szCs w:val="16"/>
                <w:lang w:val="es-ES_tradnl" w:eastAsia="es-ES"/>
              </w:rPr>
            </w:pPr>
            <w:r w:rsidRPr="00EE7E31">
              <w:rPr>
                <w:rFonts w:ascii="Arial" w:hAnsi="Arial" w:cs="Arial"/>
                <w:color w:val="000000" w:themeColor="text1"/>
                <w:sz w:val="16"/>
                <w:szCs w:val="16"/>
                <w:lang w:val="es-ES_tradnl" w:eastAsia="es-ES"/>
              </w:rPr>
              <w:t>Aprobó:</w:t>
            </w:r>
          </w:p>
        </w:tc>
        <w:tc>
          <w:tcPr>
            <w:tcW w:w="4362" w:type="dxa"/>
            <w:tcBorders>
              <w:top w:val="dotted" w:sz="4" w:space="0" w:color="7F7F7F" w:themeColor="text1" w:themeTint="80"/>
              <w:left w:val="nil"/>
              <w:bottom w:val="dotted" w:sz="4" w:space="0" w:color="7F7F7F" w:themeColor="text1" w:themeTint="80"/>
              <w:right w:val="nil"/>
            </w:tcBorders>
            <w:vAlign w:val="center"/>
            <w:hideMark/>
          </w:tcPr>
          <w:p w14:paraId="46B157D9" w14:textId="77777777" w:rsidR="00DE6178" w:rsidRPr="00EE7E31" w:rsidRDefault="00DE6178" w:rsidP="00FB1DD3">
            <w:pPr>
              <w:jc w:val="both"/>
              <w:rPr>
                <w:rFonts w:ascii="Arial" w:hAnsi="Arial" w:cs="Arial"/>
                <w:color w:val="000000" w:themeColor="text1"/>
                <w:sz w:val="16"/>
                <w:szCs w:val="16"/>
                <w:lang w:val="es-ES_tradnl" w:eastAsia="es-ES"/>
              </w:rPr>
            </w:pPr>
            <w:r w:rsidRPr="00EE7E31">
              <w:rPr>
                <w:rFonts w:ascii="Arial" w:hAnsi="Arial" w:cs="Arial"/>
                <w:color w:val="000000" w:themeColor="text1"/>
                <w:sz w:val="16"/>
                <w:szCs w:val="16"/>
                <w:lang w:val="es-ES_tradnl" w:eastAsia="es-ES"/>
              </w:rPr>
              <w:t>Jorge Augusto Tirado Navarro</w:t>
            </w:r>
          </w:p>
          <w:p w14:paraId="1C83FCF8" w14:textId="77777777" w:rsidR="00DE6178" w:rsidRPr="00EE7E31" w:rsidRDefault="00DE6178" w:rsidP="00FB1DD3">
            <w:pPr>
              <w:jc w:val="both"/>
              <w:rPr>
                <w:rFonts w:ascii="Arial" w:hAnsi="Arial" w:cs="Arial"/>
                <w:color w:val="000000" w:themeColor="text1"/>
                <w:sz w:val="16"/>
                <w:szCs w:val="16"/>
                <w:lang w:val="es-ES_tradnl" w:eastAsia="es-ES"/>
              </w:rPr>
            </w:pPr>
            <w:r w:rsidRPr="00EE7E31">
              <w:rPr>
                <w:rFonts w:ascii="Arial" w:hAnsi="Arial" w:cs="Arial"/>
                <w:color w:val="000000" w:themeColor="text1"/>
                <w:sz w:val="16"/>
                <w:szCs w:val="16"/>
                <w:lang w:val="es-ES_tradnl" w:eastAsia="es-ES"/>
              </w:rPr>
              <w:t>Subdirector de Gestión Contractual ANCP – CCE</w:t>
            </w:r>
          </w:p>
        </w:tc>
      </w:tr>
    </w:tbl>
    <w:p w14:paraId="4035C41C" w14:textId="77777777" w:rsidR="00DE6178" w:rsidRPr="00EE7E31" w:rsidRDefault="00DE6178" w:rsidP="00DE6178">
      <w:pPr>
        <w:jc w:val="both"/>
        <w:rPr>
          <w:rFonts w:ascii="Arial" w:hAnsi="Arial" w:cs="Arial"/>
          <w:lang w:val="es-ES_tradnl"/>
        </w:rPr>
      </w:pPr>
    </w:p>
    <w:p w14:paraId="11297826" w14:textId="77777777" w:rsidR="00DE6178" w:rsidRDefault="00DE6178"/>
    <w:sectPr w:rsidR="00DE6178" w:rsidSect="005D791B">
      <w:headerReference w:type="default" r:id="rId9"/>
      <w:footerReference w:type="default" r:id="rId10"/>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9D44B0" w14:textId="77777777" w:rsidR="0021105B" w:rsidRDefault="0021105B" w:rsidP="00DE6178">
      <w:r>
        <w:separator/>
      </w:r>
    </w:p>
  </w:endnote>
  <w:endnote w:type="continuationSeparator" w:id="0">
    <w:p w14:paraId="0ED642DD" w14:textId="77777777" w:rsidR="0021105B" w:rsidRDefault="0021105B" w:rsidP="00DE61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8FCEC" w14:textId="77777777" w:rsidR="008F4163" w:rsidRDefault="0021105B" w:rsidP="00322937">
    <w:pPr>
      <w:pStyle w:val="Sinespaciado"/>
      <w:jc w:val="right"/>
      <w:rPr>
        <w:rFonts w:ascii="Arial" w:hAnsi="Arial" w:cs="Arial"/>
        <w:sz w:val="18"/>
        <w:szCs w:val="18"/>
      </w:rPr>
    </w:pPr>
  </w:p>
  <w:p w14:paraId="715BA0CE" w14:textId="77777777" w:rsidR="008F4163" w:rsidRPr="008217B7" w:rsidRDefault="0021105B"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13</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13</w:t>
    </w:r>
    <w:r w:rsidRPr="00084B97">
      <w:rPr>
        <w:rFonts w:ascii="Arial" w:hAnsi="Arial" w:cs="Arial"/>
        <w:b/>
        <w:bCs/>
        <w:color w:val="7F7F7F" w:themeColor="text1" w:themeTint="80"/>
        <w:sz w:val="16"/>
        <w:szCs w:val="16"/>
      </w:rPr>
      <w:fldChar w:fldCharType="end"/>
    </w:r>
  </w:p>
  <w:p w14:paraId="63350315" w14:textId="77777777" w:rsidR="008F4163" w:rsidRDefault="0021105B" w:rsidP="00322937">
    <w:pPr>
      <w:pStyle w:val="Piedepgina"/>
      <w:jc w:val="center"/>
      <w:rPr>
        <w:lang w:val="es-ES"/>
      </w:rPr>
    </w:pPr>
    <w:r>
      <w:rPr>
        <w:noProof/>
        <w:lang w:val="es-CO" w:eastAsia="es-CO"/>
      </w:rPr>
      <w:drawing>
        <wp:inline distT="0" distB="0" distL="0" distR="0" wp14:anchorId="22369B36" wp14:editId="23ED3D03">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03C42D66" w14:textId="77777777" w:rsidR="008F4163" w:rsidRDefault="0021105B" w:rsidP="007B0854">
    <w:pPr>
      <w:pStyle w:val="Piedepgina"/>
      <w:jc w:val="center"/>
      <w:rPr>
        <w:lang w:val="es-ES"/>
      </w:rPr>
    </w:pPr>
  </w:p>
  <w:p w14:paraId="180E63B2" w14:textId="77777777" w:rsidR="008F4163" w:rsidRPr="007B0854" w:rsidRDefault="0021105B"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87A5F5" w14:textId="77777777" w:rsidR="0021105B" w:rsidRDefault="0021105B" w:rsidP="00DE6178">
      <w:r>
        <w:separator/>
      </w:r>
    </w:p>
  </w:footnote>
  <w:footnote w:type="continuationSeparator" w:id="0">
    <w:p w14:paraId="77AA74A8" w14:textId="77777777" w:rsidR="0021105B" w:rsidRDefault="0021105B" w:rsidP="00DE6178">
      <w:r>
        <w:continuationSeparator/>
      </w:r>
    </w:p>
  </w:footnote>
  <w:footnote w:id="1">
    <w:p w14:paraId="1D7F30D7" w14:textId="77777777" w:rsidR="00DE6178" w:rsidRPr="00A9576E" w:rsidRDefault="00DE6178" w:rsidP="00DE6178">
      <w:pPr>
        <w:pStyle w:val="Textonotapie"/>
        <w:ind w:firstLine="708"/>
        <w:jc w:val="both"/>
        <w:rPr>
          <w:rFonts w:ascii="Arial" w:hAnsi="Arial" w:cs="Arial"/>
          <w:sz w:val="18"/>
          <w:szCs w:val="18"/>
          <w:lang w:val="es-ES"/>
        </w:rPr>
      </w:pPr>
      <w:r w:rsidRPr="00A9576E">
        <w:rPr>
          <w:rStyle w:val="Refdenotaalpie"/>
          <w:rFonts w:ascii="Arial" w:hAnsi="Arial" w:cs="Arial"/>
          <w:sz w:val="18"/>
          <w:szCs w:val="18"/>
        </w:rPr>
        <w:footnoteRef/>
      </w:r>
      <w:r w:rsidRPr="00A9576E">
        <w:rPr>
          <w:rFonts w:ascii="Arial" w:hAnsi="Arial" w:cs="Arial"/>
          <w:sz w:val="18"/>
          <w:szCs w:val="18"/>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A9576E">
        <w:rPr>
          <w:rFonts w:ascii="Arial" w:hAnsi="Arial" w:cs="Arial"/>
          <w:i/>
          <w:iCs/>
          <w:sz w:val="18"/>
          <w:szCs w:val="18"/>
        </w:rPr>
        <w:t xml:space="preserve">ibidem </w:t>
      </w:r>
      <w:r w:rsidRPr="00A9576E">
        <w:rPr>
          <w:rFonts w:ascii="Arial" w:hAnsi="Arial" w:cs="Arial"/>
          <w:sz w:val="18"/>
          <w:szCs w:val="18"/>
        </w:rPr>
        <w:t>señala, de manera precisa, las funciones de Colombia Compra Eficiente. Concretamente, el numeral 5º de este artículo establece que le corresponde a esta entidad: «[a]</w:t>
      </w:r>
      <w:proofErr w:type="spellStart"/>
      <w:r w:rsidRPr="00A9576E">
        <w:rPr>
          <w:rFonts w:ascii="Arial" w:hAnsi="Arial" w:cs="Arial"/>
          <w:sz w:val="18"/>
          <w:szCs w:val="18"/>
        </w:rPr>
        <w:t>bsolver</w:t>
      </w:r>
      <w:proofErr w:type="spellEnd"/>
      <w:r w:rsidRPr="00A9576E">
        <w:rPr>
          <w:rFonts w:ascii="Arial" w:hAnsi="Arial" w:cs="Arial"/>
          <w:sz w:val="18"/>
          <w:szCs w:val="18"/>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sidRPr="00A9576E">
        <w:rPr>
          <w:rFonts w:ascii="Arial" w:hAnsi="Arial" w:cs="Arial"/>
          <w:sz w:val="18"/>
          <w:szCs w:val="18"/>
        </w:rPr>
        <w:t>bsolver</w:t>
      </w:r>
      <w:proofErr w:type="spellEnd"/>
      <w:r w:rsidRPr="00A9576E">
        <w:rPr>
          <w:rFonts w:ascii="Arial" w:hAnsi="Arial" w:cs="Arial"/>
          <w:sz w:val="18"/>
          <w:szCs w:val="18"/>
        </w:rPr>
        <w:t xml:space="preserve"> consultas sobre la aplicación de normas de carácter general».</w:t>
      </w:r>
    </w:p>
  </w:footnote>
  <w:footnote w:id="2">
    <w:p w14:paraId="33817535" w14:textId="77777777" w:rsidR="00DE6178" w:rsidRPr="00A9576E" w:rsidRDefault="00DE6178" w:rsidP="00DE6178">
      <w:pPr>
        <w:pStyle w:val="Textonotapie"/>
        <w:ind w:firstLine="709"/>
        <w:jc w:val="both"/>
        <w:rPr>
          <w:rFonts w:ascii="Arial" w:hAnsi="Arial" w:cs="Arial"/>
          <w:color w:val="000000" w:themeColor="text1"/>
          <w:sz w:val="18"/>
          <w:szCs w:val="18"/>
          <w:lang w:val="es-CO"/>
        </w:rPr>
      </w:pPr>
      <w:r w:rsidRPr="00A9576E">
        <w:rPr>
          <w:rStyle w:val="Refdenotaalpie"/>
          <w:rFonts w:ascii="Arial" w:hAnsi="Arial" w:cs="Arial"/>
          <w:color w:val="000000" w:themeColor="text1"/>
          <w:sz w:val="18"/>
          <w:szCs w:val="18"/>
        </w:rPr>
        <w:footnoteRef/>
      </w:r>
      <w:r w:rsidRPr="00A9576E">
        <w:rPr>
          <w:rFonts w:ascii="Arial" w:hAnsi="Arial" w:cs="Arial"/>
          <w:color w:val="000000" w:themeColor="text1"/>
          <w:sz w:val="18"/>
          <w:szCs w:val="18"/>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footnote>
  <w:footnote w:id="3">
    <w:p w14:paraId="087A4893" w14:textId="77777777" w:rsidR="00DE6178" w:rsidRPr="00A9576E" w:rsidRDefault="00DE6178" w:rsidP="00DE6178">
      <w:pPr>
        <w:pStyle w:val="Textonotapie"/>
        <w:ind w:firstLine="709"/>
        <w:jc w:val="both"/>
        <w:rPr>
          <w:rFonts w:ascii="Arial" w:hAnsi="Arial" w:cs="Arial"/>
          <w:color w:val="000000" w:themeColor="text1"/>
          <w:sz w:val="18"/>
          <w:szCs w:val="18"/>
        </w:rPr>
      </w:pPr>
      <w:r w:rsidRPr="00A9576E">
        <w:rPr>
          <w:rStyle w:val="Refdenotaalpie"/>
          <w:rFonts w:ascii="Arial" w:hAnsi="Arial" w:cs="Arial"/>
          <w:color w:val="000000" w:themeColor="text1"/>
          <w:sz w:val="18"/>
          <w:szCs w:val="18"/>
        </w:rPr>
        <w:footnoteRef/>
      </w:r>
      <w:r w:rsidRPr="00A9576E">
        <w:rPr>
          <w:rFonts w:ascii="Arial" w:hAnsi="Arial" w:cs="Arial"/>
          <w:color w:val="000000" w:themeColor="text1"/>
          <w:sz w:val="18"/>
          <w:szCs w:val="18"/>
        </w:rPr>
        <w:t xml:space="preserve"> </w:t>
      </w:r>
      <w:r w:rsidRPr="00A9576E">
        <w:rPr>
          <w:rFonts w:ascii="Arial" w:hAnsi="Arial" w:cs="Arial"/>
          <w:color w:val="000000" w:themeColor="text1"/>
          <w:sz w:val="18"/>
          <w:szCs w:val="18"/>
          <w:lang w:val="es-CO"/>
        </w:rPr>
        <w:t xml:space="preserve">Ley 1882 de 2018: «Artículo 4. </w:t>
      </w:r>
      <w:r w:rsidRPr="00A9576E">
        <w:rPr>
          <w:rFonts w:ascii="Arial" w:hAnsi="Arial" w:cs="Arial"/>
          <w:color w:val="000000" w:themeColor="text1"/>
          <w:sz w:val="18"/>
          <w:szCs w:val="18"/>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563EEC78" w14:textId="77777777" w:rsidR="00DE6178" w:rsidRPr="00A9576E" w:rsidRDefault="00DE6178" w:rsidP="00DE6178">
      <w:pPr>
        <w:pStyle w:val="Textonotapie"/>
        <w:ind w:firstLine="709"/>
        <w:jc w:val="both"/>
        <w:rPr>
          <w:rFonts w:ascii="Arial" w:hAnsi="Arial" w:cs="Arial"/>
          <w:color w:val="000000" w:themeColor="text1"/>
          <w:sz w:val="18"/>
          <w:szCs w:val="18"/>
          <w:lang w:val="es-CO"/>
        </w:rPr>
      </w:pPr>
      <w:r w:rsidRPr="00A9576E">
        <w:rPr>
          <w:rFonts w:ascii="Arial" w:hAnsi="Arial" w:cs="Arial"/>
          <w:color w:val="000000" w:themeColor="text1"/>
          <w:sz w:val="18"/>
          <w:szCs w:val="18"/>
          <w:lang w:val="es-CO"/>
        </w:rPr>
        <w:t>»La facultad de adoptar documentos tipo la tendrá el Gobierno nacional, cuando lo considere necesario, en relación con otros contratos o procesos de selección.</w:t>
      </w:r>
    </w:p>
    <w:p w14:paraId="470292DB" w14:textId="77777777" w:rsidR="00DE6178" w:rsidRPr="00A9576E" w:rsidRDefault="00DE6178" w:rsidP="00DE6178">
      <w:pPr>
        <w:pStyle w:val="Textonotapie"/>
        <w:ind w:firstLine="709"/>
        <w:jc w:val="both"/>
        <w:rPr>
          <w:rFonts w:ascii="Arial" w:hAnsi="Arial" w:cs="Arial"/>
          <w:color w:val="000000" w:themeColor="text1"/>
          <w:sz w:val="18"/>
          <w:szCs w:val="18"/>
          <w:lang w:val="es-CO"/>
        </w:rPr>
      </w:pPr>
      <w:r w:rsidRPr="00A9576E">
        <w:rPr>
          <w:rFonts w:ascii="Arial" w:hAnsi="Arial" w:cs="Arial"/>
          <w:color w:val="000000" w:themeColor="text1"/>
          <w:sz w:val="18"/>
          <w:szCs w:val="18"/>
        </w:rPr>
        <w:t>»Los pliegos tipo se adoptarán por categorías de acuerdo con la cuantía de la contratación, según la reglamentación que expida el Gobierno nacional».</w:t>
      </w:r>
    </w:p>
  </w:footnote>
  <w:footnote w:id="4">
    <w:p w14:paraId="48C8BE8A" w14:textId="77777777" w:rsidR="00DE6178" w:rsidRPr="00A9576E" w:rsidRDefault="00DE6178" w:rsidP="00DE6178">
      <w:pPr>
        <w:pStyle w:val="Textonotapie"/>
        <w:ind w:firstLine="709"/>
        <w:jc w:val="both"/>
        <w:rPr>
          <w:rFonts w:ascii="Arial" w:hAnsi="Arial" w:cs="Arial"/>
          <w:color w:val="000000" w:themeColor="text1"/>
          <w:sz w:val="18"/>
          <w:szCs w:val="18"/>
        </w:rPr>
      </w:pPr>
      <w:r w:rsidRPr="00A9576E">
        <w:rPr>
          <w:rStyle w:val="Refdenotaalpie"/>
          <w:rFonts w:ascii="Arial" w:hAnsi="Arial" w:cs="Arial"/>
          <w:color w:val="000000" w:themeColor="text1"/>
          <w:sz w:val="18"/>
          <w:szCs w:val="18"/>
        </w:rPr>
        <w:footnoteRef/>
      </w:r>
      <w:r w:rsidRPr="00A9576E">
        <w:rPr>
          <w:rFonts w:ascii="Arial" w:hAnsi="Arial" w:cs="Arial"/>
          <w:color w:val="000000" w:themeColor="text1"/>
          <w:sz w:val="18"/>
          <w:szCs w:val="18"/>
        </w:rPr>
        <w:t xml:space="preserve"> Corte Constitucional. Sentencia C-119 de 2020. M.P. Alejandro Linares Cantillo. «Encontró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footnote>
  <w:footnote w:id="5">
    <w:p w14:paraId="58428BF3" w14:textId="77777777" w:rsidR="00DE6178" w:rsidRPr="00A9576E" w:rsidRDefault="00DE6178" w:rsidP="00DE6178">
      <w:pPr>
        <w:pStyle w:val="Textonotapie"/>
        <w:ind w:firstLine="708"/>
        <w:jc w:val="both"/>
        <w:rPr>
          <w:rFonts w:ascii="Arial" w:hAnsi="Arial" w:cs="Arial"/>
          <w:color w:val="000000" w:themeColor="text1"/>
          <w:sz w:val="18"/>
          <w:szCs w:val="18"/>
        </w:rPr>
      </w:pPr>
      <w:r w:rsidRPr="00A9576E">
        <w:rPr>
          <w:rStyle w:val="Refdenotaalpie"/>
          <w:rFonts w:ascii="Arial" w:hAnsi="Arial" w:cs="Arial"/>
          <w:color w:val="000000" w:themeColor="text1"/>
          <w:sz w:val="18"/>
          <w:szCs w:val="18"/>
        </w:rPr>
        <w:footnoteRef/>
      </w:r>
      <w:r w:rsidRPr="00A9576E">
        <w:rPr>
          <w:rFonts w:ascii="Arial" w:hAnsi="Arial" w:cs="Arial"/>
          <w:color w:val="000000" w:themeColor="text1"/>
          <w:sz w:val="18"/>
          <w:szCs w:val="18"/>
        </w:rPr>
        <w:t xml:space="preserve"> «ARTÍCULO 1o. Modifíquese el artículo 4o de la Ley 1882 de 2018, el cual quedará así:</w:t>
      </w:r>
    </w:p>
    <w:p w14:paraId="0BFFBEA0" w14:textId="77777777" w:rsidR="00DE6178" w:rsidRPr="00A9576E" w:rsidRDefault="00DE6178" w:rsidP="00DE6178">
      <w:pPr>
        <w:pStyle w:val="Textonotapie"/>
        <w:ind w:firstLine="708"/>
        <w:jc w:val="both"/>
        <w:rPr>
          <w:rFonts w:ascii="Arial" w:hAnsi="Arial" w:cs="Arial"/>
          <w:color w:val="000000" w:themeColor="text1"/>
          <w:sz w:val="18"/>
          <w:szCs w:val="18"/>
        </w:rPr>
      </w:pPr>
      <w:r w:rsidRPr="00A9576E">
        <w:rPr>
          <w:rFonts w:ascii="Arial" w:hAnsi="Arial" w:cs="Arial"/>
          <w:color w:val="000000" w:themeColor="text1"/>
          <w:sz w:val="18"/>
          <w:szCs w:val="18"/>
        </w:rPr>
        <w:t>»Artículo 4o. Adiciónese el siguiente parágrafo al artículo 2o de la Ley 1150 de 2007.</w:t>
      </w:r>
    </w:p>
    <w:p w14:paraId="6D40AF54" w14:textId="77777777" w:rsidR="00DE6178" w:rsidRPr="00A9576E" w:rsidRDefault="00DE6178" w:rsidP="00DE6178">
      <w:pPr>
        <w:pStyle w:val="Textonotapie"/>
        <w:ind w:firstLine="708"/>
        <w:jc w:val="both"/>
        <w:rPr>
          <w:rFonts w:ascii="Arial" w:hAnsi="Arial" w:cs="Arial"/>
          <w:color w:val="000000" w:themeColor="text1"/>
          <w:sz w:val="18"/>
          <w:szCs w:val="18"/>
        </w:rPr>
      </w:pPr>
      <w:r w:rsidRPr="00A9576E">
        <w:rPr>
          <w:rFonts w:ascii="Arial" w:hAnsi="Arial" w:cs="Arial"/>
          <w:color w:val="000000" w:themeColor="text1"/>
          <w:sz w:val="18"/>
          <w:szCs w:val="18"/>
        </w:rPr>
        <w:t>»PARÁGRAFO 7o.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659313FD" w14:textId="77777777" w:rsidR="00DE6178" w:rsidRPr="00A9576E" w:rsidRDefault="00DE6178" w:rsidP="00DE6178">
      <w:pPr>
        <w:pStyle w:val="Textonotapie"/>
        <w:ind w:firstLine="708"/>
        <w:jc w:val="both"/>
        <w:rPr>
          <w:rFonts w:ascii="Arial" w:hAnsi="Arial" w:cs="Arial"/>
          <w:color w:val="000000" w:themeColor="text1"/>
          <w:sz w:val="18"/>
          <w:szCs w:val="18"/>
        </w:rPr>
      </w:pPr>
      <w:r w:rsidRPr="00A9576E">
        <w:rPr>
          <w:rFonts w:ascii="Arial" w:hAnsi="Arial" w:cs="Arial"/>
          <w:color w:val="000000" w:themeColor="text1"/>
          <w:sz w:val="18"/>
          <w:szCs w:val="18"/>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5672AF18" w14:textId="77777777" w:rsidR="00DE6178" w:rsidRPr="00A9576E" w:rsidRDefault="00DE6178" w:rsidP="00DE6178">
      <w:pPr>
        <w:pStyle w:val="Textonotapie"/>
        <w:ind w:firstLine="708"/>
        <w:jc w:val="both"/>
        <w:rPr>
          <w:rFonts w:ascii="Arial" w:hAnsi="Arial" w:cs="Arial"/>
          <w:color w:val="000000" w:themeColor="text1"/>
          <w:sz w:val="18"/>
          <w:szCs w:val="18"/>
        </w:rPr>
      </w:pPr>
      <w:r w:rsidRPr="00A9576E">
        <w:rPr>
          <w:rFonts w:ascii="Arial" w:hAnsi="Arial" w:cs="Arial"/>
          <w:color w:val="000000" w:themeColor="text1"/>
          <w:sz w:val="18"/>
          <w:szCs w:val="18"/>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08B411ED" w14:textId="77777777" w:rsidR="00DE6178" w:rsidRPr="00A9576E" w:rsidRDefault="00DE6178" w:rsidP="00DE6178">
      <w:pPr>
        <w:pStyle w:val="Textonotapie"/>
        <w:ind w:firstLine="708"/>
        <w:jc w:val="both"/>
        <w:rPr>
          <w:rFonts w:ascii="Arial" w:hAnsi="Arial" w:cs="Arial"/>
          <w:color w:val="000000" w:themeColor="text1"/>
          <w:sz w:val="18"/>
          <w:szCs w:val="18"/>
        </w:rPr>
      </w:pPr>
      <w:r w:rsidRPr="00A9576E">
        <w:rPr>
          <w:rFonts w:ascii="Arial" w:hAnsi="Arial" w:cs="Arial"/>
          <w:color w:val="000000" w:themeColor="text1"/>
          <w:sz w:val="18"/>
          <w:szCs w:val="18"/>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7F205B47" w14:textId="77777777" w:rsidR="00DE6178" w:rsidRPr="00A9576E" w:rsidRDefault="00DE6178" w:rsidP="00DE6178">
      <w:pPr>
        <w:pStyle w:val="Textonotapie"/>
        <w:ind w:firstLine="708"/>
        <w:jc w:val="both"/>
        <w:rPr>
          <w:rFonts w:ascii="Arial" w:hAnsi="Arial" w:cs="Arial"/>
          <w:color w:val="000000" w:themeColor="text1"/>
          <w:sz w:val="18"/>
          <w:szCs w:val="18"/>
          <w:lang w:val="es-CO"/>
        </w:rPr>
      </w:pPr>
      <w:r w:rsidRPr="00A9576E">
        <w:rPr>
          <w:rFonts w:ascii="Arial" w:hAnsi="Arial" w:cs="Arial"/>
          <w:color w:val="000000" w:themeColor="text1"/>
          <w:sz w:val="18"/>
          <w:szCs w:val="18"/>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6">
    <w:p w14:paraId="175ABD1D" w14:textId="77777777" w:rsidR="00DE6178" w:rsidRPr="00A9576E" w:rsidRDefault="00DE6178" w:rsidP="00DE6178">
      <w:pPr>
        <w:pStyle w:val="Textonotapie"/>
        <w:ind w:firstLine="709"/>
        <w:jc w:val="both"/>
        <w:rPr>
          <w:rFonts w:ascii="Arial" w:hAnsi="Arial" w:cs="Arial"/>
          <w:color w:val="000000" w:themeColor="text1"/>
          <w:sz w:val="18"/>
          <w:szCs w:val="18"/>
          <w:lang w:val="es-ES"/>
        </w:rPr>
      </w:pPr>
      <w:r w:rsidRPr="00A9576E">
        <w:rPr>
          <w:rStyle w:val="Refdenotaalpie"/>
          <w:rFonts w:ascii="Arial" w:hAnsi="Arial" w:cs="Arial"/>
          <w:color w:val="000000" w:themeColor="text1"/>
          <w:sz w:val="18"/>
          <w:szCs w:val="18"/>
        </w:rPr>
        <w:footnoteRef/>
      </w:r>
      <w:r w:rsidRPr="00A9576E">
        <w:rPr>
          <w:rFonts w:ascii="Arial" w:hAnsi="Arial" w:cs="Arial"/>
          <w:color w:val="000000" w:themeColor="text1"/>
          <w:sz w:val="18"/>
          <w:szCs w:val="18"/>
        </w:rPr>
        <w:t xml:space="preserve"> </w:t>
      </w:r>
      <w:r w:rsidRPr="00A9576E">
        <w:rPr>
          <w:rFonts w:ascii="Arial" w:hAnsi="Arial" w:cs="Arial"/>
          <w:color w:val="000000"/>
          <w:sz w:val="18"/>
          <w:szCs w:val="18"/>
          <w:lang w:val="es-ES"/>
        </w:rPr>
        <w:t xml:space="preserve">En cuanto a las resoluciones vigentes, dicha regla se observa en el artículo 3 de las Resoluciones 240, 241, 248, 249, 256 y 269 de 2020, así como en las Resoluciones 193, 219 y 220 de 2021 y en el artículo 2 de la Resolución 094 de 2020. </w:t>
      </w:r>
    </w:p>
  </w:footnote>
  <w:footnote w:id="7">
    <w:p w14:paraId="0F15C101" w14:textId="77777777" w:rsidR="00DE6178" w:rsidRPr="00A9576E" w:rsidRDefault="00DE6178" w:rsidP="00DE6178">
      <w:pPr>
        <w:pStyle w:val="Textonotapie"/>
        <w:ind w:firstLine="709"/>
        <w:jc w:val="both"/>
        <w:rPr>
          <w:rFonts w:ascii="Arial" w:hAnsi="Arial" w:cs="Arial"/>
          <w:color w:val="000000" w:themeColor="text1"/>
          <w:sz w:val="18"/>
          <w:szCs w:val="18"/>
        </w:rPr>
      </w:pPr>
      <w:r w:rsidRPr="00A9576E">
        <w:rPr>
          <w:rStyle w:val="Refdenotaalpie"/>
          <w:rFonts w:ascii="Arial" w:hAnsi="Arial" w:cs="Arial"/>
          <w:color w:val="000000" w:themeColor="text1"/>
          <w:sz w:val="18"/>
          <w:szCs w:val="18"/>
        </w:rPr>
        <w:footnoteRef/>
      </w:r>
      <w:r w:rsidRPr="00A9576E">
        <w:rPr>
          <w:rFonts w:ascii="Arial" w:hAnsi="Arial" w:cs="Arial"/>
          <w:color w:val="000000" w:themeColor="text1"/>
          <w:sz w:val="18"/>
          <w:szCs w:val="18"/>
        </w:rPr>
        <w:t xml:space="preserve"> El artículo 25, numeral 1º de la Ley 80 de 1993 establece que «En las normas de selección y en los pliegos de condiciones para la escogencia de contratistas, se cumplirán y establecerán los procedimientos y etapas estrictamente necesarios para asegurar la selección objetiva de la propuesta más favorable. Para este propósito, se señalarán términos preclusivos y perentorios para las diferentes etapas de la selección y las autoridades darán impulso oficioso a las actuaciones».</w:t>
      </w:r>
    </w:p>
    <w:p w14:paraId="5099F112" w14:textId="77777777" w:rsidR="00DE6178" w:rsidRPr="00A9576E" w:rsidRDefault="00DE6178" w:rsidP="00DE6178">
      <w:pPr>
        <w:pStyle w:val="Textonotapie"/>
        <w:ind w:firstLine="709"/>
        <w:jc w:val="both"/>
        <w:rPr>
          <w:rFonts w:ascii="Arial" w:hAnsi="Arial" w:cs="Arial"/>
          <w:color w:val="000000" w:themeColor="text1"/>
          <w:sz w:val="18"/>
          <w:szCs w:val="18"/>
        </w:rPr>
      </w:pPr>
    </w:p>
  </w:footnote>
  <w:footnote w:id="8">
    <w:p w14:paraId="3CC211BC" w14:textId="77777777" w:rsidR="00DE6178" w:rsidRPr="00A9576E" w:rsidRDefault="00DE6178" w:rsidP="00DE6178">
      <w:pPr>
        <w:ind w:firstLine="709"/>
        <w:jc w:val="both"/>
        <w:rPr>
          <w:rFonts w:ascii="Arial" w:hAnsi="Arial" w:cs="Arial"/>
          <w:color w:val="000000" w:themeColor="text1"/>
          <w:sz w:val="18"/>
          <w:szCs w:val="18"/>
          <w:lang w:val="es-ES"/>
        </w:rPr>
      </w:pPr>
      <w:r w:rsidRPr="00A9576E">
        <w:rPr>
          <w:rStyle w:val="Refdenotaalpie"/>
          <w:rFonts w:ascii="Arial" w:hAnsi="Arial" w:cs="Arial"/>
          <w:color w:val="000000" w:themeColor="text1"/>
          <w:sz w:val="18"/>
          <w:szCs w:val="18"/>
        </w:rPr>
        <w:footnoteRef/>
      </w:r>
      <w:r w:rsidRPr="00A9576E">
        <w:rPr>
          <w:rFonts w:ascii="Arial" w:hAnsi="Arial" w:cs="Arial"/>
          <w:color w:val="000000" w:themeColor="text1"/>
          <w:sz w:val="18"/>
          <w:szCs w:val="18"/>
        </w:rPr>
        <w:t xml:space="preserve"> </w:t>
      </w:r>
      <w:r w:rsidRPr="00A9576E">
        <w:rPr>
          <w:rFonts w:ascii="Arial" w:hAnsi="Arial" w:cs="Arial"/>
          <w:color w:val="000000" w:themeColor="text1"/>
          <w:sz w:val="18"/>
          <w:szCs w:val="18"/>
          <w:lang w:val="es-ES"/>
        </w:rPr>
        <w:t>En efecto, el artículo 5 del Decreto 019 de 2012 prevé lo siguiente: «Las normas de procedimiento administrativo deben ser utilizadas para agilizar las decisiones; los procedimientos se deben adelantar en el menor tiempo y con la menor cantidad de gastos de quienes intervienen en ellos; las autoridades administrativas y los particulares que cumplen funciones administrativas no deben exigir más documentos y copias que los estrictamente necesarios, ni autenticaciones ni notas de presentación personal sino cuando la ley lo ordene en forma expresa, o tratándose de poderes especiales. En tal virtud, las autoridades deberán proceder con austeridad y eficiencia, optimizar el uso del tiempo y de los demás recursos, procurando el más alto nivel de calidad en sus actuaciones y la protección de los derechos de las personas».</w:t>
      </w:r>
    </w:p>
  </w:footnote>
  <w:footnote w:id="9">
    <w:p w14:paraId="7C2F3D19" w14:textId="77777777" w:rsidR="00DE6178" w:rsidRPr="00A9576E" w:rsidRDefault="00DE6178" w:rsidP="00DE6178">
      <w:pPr>
        <w:pStyle w:val="Textonotapie"/>
        <w:ind w:firstLine="709"/>
        <w:jc w:val="both"/>
        <w:rPr>
          <w:rFonts w:ascii="Arial" w:hAnsi="Arial" w:cs="Arial"/>
          <w:sz w:val="18"/>
          <w:szCs w:val="18"/>
        </w:rPr>
      </w:pPr>
      <w:r w:rsidRPr="00A9576E">
        <w:rPr>
          <w:rStyle w:val="Refdenotaalpie"/>
          <w:rFonts w:ascii="Arial" w:hAnsi="Arial" w:cs="Arial"/>
          <w:sz w:val="18"/>
          <w:szCs w:val="18"/>
        </w:rPr>
        <w:footnoteRef/>
      </w:r>
      <w:r w:rsidRPr="00A9576E">
        <w:rPr>
          <w:rFonts w:ascii="Arial" w:hAnsi="Arial" w:cs="Arial"/>
          <w:sz w:val="18"/>
          <w:szCs w:val="18"/>
        </w:rPr>
        <w:t xml:space="preserve"> La norma dispone que: «Cuando el objeto contractual incluya la interventoría a obras, bienes o servicios adicionales a la de obra pública de infraestructura de transporte, la entidad estatal deberá aplicar los documentos tipo. Si de manera excepcional requiere incluir experiencia adicional para evaluar la idoneidad respecto de la interventoría de obras, bienes o servicios adicionales a la obra pública de infraestructura de transporte, deberá seguir los siguientes parámetros:</w:t>
      </w:r>
    </w:p>
    <w:p w14:paraId="3B47E630" w14:textId="77777777" w:rsidR="00DE6178" w:rsidRPr="00A9576E" w:rsidRDefault="00DE6178" w:rsidP="00DE6178">
      <w:pPr>
        <w:pStyle w:val="Textonotapie"/>
        <w:ind w:firstLine="709"/>
        <w:jc w:val="both"/>
        <w:rPr>
          <w:rFonts w:ascii="Arial" w:hAnsi="Arial" w:cs="Arial"/>
          <w:sz w:val="18"/>
          <w:szCs w:val="18"/>
        </w:rPr>
      </w:pPr>
      <w:r w:rsidRPr="00A9576E">
        <w:rPr>
          <w:rFonts w:ascii="Arial" w:hAnsi="Arial" w:cs="Arial"/>
          <w:sz w:val="18"/>
          <w:szCs w:val="18"/>
        </w:rPr>
        <w:t>»1. Demostrar en los estudios previos que ha verificado las condiciones de mercado para la interventoría de las obras, bienes o servicios adicionales al componente de obra pública de infraestructura de transporte, de tal manera que la experiencia adicional que se exija para dicha interventoría procure la pluralidad de oferentes y no limite la concurrencia al proceso de contratación.</w:t>
      </w:r>
    </w:p>
    <w:p w14:paraId="50568DE3" w14:textId="77777777" w:rsidR="00DE6178" w:rsidRPr="00A9576E" w:rsidRDefault="00DE6178" w:rsidP="00DE6178">
      <w:pPr>
        <w:pStyle w:val="Textonotapie"/>
        <w:ind w:firstLine="709"/>
        <w:jc w:val="both"/>
        <w:rPr>
          <w:rFonts w:ascii="Arial" w:hAnsi="Arial" w:cs="Arial"/>
          <w:sz w:val="18"/>
          <w:szCs w:val="18"/>
        </w:rPr>
      </w:pPr>
      <w:r w:rsidRPr="00A9576E">
        <w:rPr>
          <w:rFonts w:ascii="Arial" w:hAnsi="Arial" w:cs="Arial"/>
          <w:sz w:val="18"/>
          <w:szCs w:val="18"/>
        </w:rPr>
        <w:t>»2. Conservar los requisitos exigidos en los documentos tipo.</w:t>
      </w:r>
    </w:p>
    <w:p w14:paraId="238E1E20" w14:textId="77777777" w:rsidR="00DE6178" w:rsidRPr="00A9576E" w:rsidRDefault="00DE6178" w:rsidP="00DE6178">
      <w:pPr>
        <w:pStyle w:val="Textonotapie"/>
        <w:ind w:firstLine="709"/>
        <w:jc w:val="both"/>
        <w:rPr>
          <w:rFonts w:ascii="Arial" w:hAnsi="Arial" w:cs="Arial"/>
          <w:sz w:val="18"/>
          <w:szCs w:val="18"/>
        </w:rPr>
      </w:pPr>
      <w:r w:rsidRPr="00A9576E">
        <w:rPr>
          <w:rFonts w:ascii="Arial" w:hAnsi="Arial" w:cs="Arial"/>
          <w:sz w:val="18"/>
          <w:szCs w:val="18"/>
        </w:rPr>
        <w:t>»3. Abstenerse de pedir experiencia exclusiva con entidades estatales, experiencia previa en un territorio especifico, limitada en el tiempo o que incluya volúmenes o cantidades de obra específica.</w:t>
      </w:r>
    </w:p>
    <w:p w14:paraId="1E26713E" w14:textId="77777777" w:rsidR="00DE6178" w:rsidRPr="00A9576E" w:rsidRDefault="00DE6178" w:rsidP="00DE6178">
      <w:pPr>
        <w:pStyle w:val="Textonotapie"/>
        <w:ind w:firstLine="709"/>
        <w:jc w:val="both"/>
        <w:rPr>
          <w:rFonts w:ascii="Arial" w:hAnsi="Arial" w:cs="Arial"/>
          <w:sz w:val="18"/>
          <w:szCs w:val="18"/>
        </w:rPr>
      </w:pPr>
      <w:r w:rsidRPr="00A9576E">
        <w:rPr>
          <w:rFonts w:ascii="Arial" w:hAnsi="Arial" w:cs="Arial"/>
          <w:sz w:val="18"/>
          <w:szCs w:val="18"/>
        </w:rPr>
        <w:t>»4. Clasificar la experiencia requerida solo hasta el tercer nivel del Clasificador de Bienes y Servicios e incluir exclusivamente los códigos que estén relacionados directamente con el objeto a contratar.</w:t>
      </w:r>
    </w:p>
  </w:footnote>
  <w:footnote w:id="10">
    <w:p w14:paraId="43D3132B" w14:textId="77777777" w:rsidR="00DE6178" w:rsidRPr="00A9576E" w:rsidRDefault="00DE6178" w:rsidP="00DE6178">
      <w:pPr>
        <w:pStyle w:val="Textonotapie"/>
        <w:rPr>
          <w:sz w:val="18"/>
          <w:szCs w:val="18"/>
        </w:rPr>
      </w:pPr>
    </w:p>
    <w:p w14:paraId="13932294" w14:textId="77777777" w:rsidR="00DE6178" w:rsidRPr="00A9576E" w:rsidRDefault="00DE6178" w:rsidP="00DE6178">
      <w:pPr>
        <w:pStyle w:val="Textonotapie"/>
        <w:ind w:firstLine="708"/>
        <w:jc w:val="both"/>
        <w:rPr>
          <w:rFonts w:ascii="Arial" w:hAnsi="Arial" w:cs="Arial"/>
          <w:sz w:val="18"/>
          <w:szCs w:val="18"/>
        </w:rPr>
      </w:pPr>
      <w:r w:rsidRPr="00A9576E">
        <w:rPr>
          <w:rStyle w:val="Refdenotaalpie"/>
          <w:rFonts w:ascii="Arial" w:hAnsi="Arial" w:cs="Arial"/>
          <w:sz w:val="18"/>
          <w:szCs w:val="18"/>
        </w:rPr>
        <w:footnoteRef/>
      </w:r>
      <w:r w:rsidRPr="00A9576E">
        <w:rPr>
          <w:rFonts w:ascii="Arial" w:hAnsi="Arial" w:cs="Arial"/>
          <w:sz w:val="18"/>
          <w:szCs w:val="18"/>
        </w:rPr>
        <w:t xml:space="preserve"> En estos casos deben seguirse los siguientes parámetros: </w:t>
      </w:r>
      <w:r w:rsidRPr="00B078CB">
        <w:rPr>
          <w:rFonts w:ascii="Arial" w:hAnsi="Arial" w:cs="Arial"/>
          <w:sz w:val="18"/>
          <w:szCs w:val="18"/>
        </w:rPr>
        <w:t xml:space="preserve">no obstante, se deberán seguir los siguientes parámetros: i) demostrar en los estudios previos que ha verificado las condiciones de mercado para la interventoría de los bienes o servicios adicionales al componente de obra pública, de tal manera que la experiencia adicional que se exija para dicha interventoría procure la pluralidad de oferentes y no limite la concurrencia de proponentes al proceso de contratación; </w:t>
      </w:r>
      <w:proofErr w:type="spellStart"/>
      <w:r w:rsidRPr="00B078CB">
        <w:rPr>
          <w:rFonts w:ascii="Arial" w:hAnsi="Arial" w:cs="Arial"/>
          <w:sz w:val="18"/>
          <w:szCs w:val="18"/>
        </w:rPr>
        <w:t>ii</w:t>
      </w:r>
      <w:proofErr w:type="spellEnd"/>
      <w:r w:rsidRPr="00B078CB">
        <w:rPr>
          <w:rFonts w:ascii="Arial" w:hAnsi="Arial" w:cs="Arial"/>
          <w:sz w:val="18"/>
          <w:szCs w:val="18"/>
        </w:rPr>
        <w:t xml:space="preserve">) conservar los requisitos exigidos en los documentos tipo; </w:t>
      </w:r>
      <w:proofErr w:type="spellStart"/>
      <w:r w:rsidRPr="00B078CB">
        <w:rPr>
          <w:rFonts w:ascii="Arial" w:hAnsi="Arial" w:cs="Arial"/>
          <w:sz w:val="18"/>
          <w:szCs w:val="18"/>
        </w:rPr>
        <w:t>iii</w:t>
      </w:r>
      <w:proofErr w:type="spellEnd"/>
      <w:r w:rsidRPr="00B078CB">
        <w:rPr>
          <w:rFonts w:ascii="Arial" w:hAnsi="Arial" w:cs="Arial"/>
          <w:sz w:val="18"/>
          <w:szCs w:val="18"/>
        </w:rPr>
        <w:t xml:space="preserve">) abstenerse de pedir experiencia exclusiva con entidades estatales, experiencia previa en un territorio específico, limitada en el tiempo o que incluya volúmenes o cantidades de obra específica; </w:t>
      </w:r>
      <w:proofErr w:type="spellStart"/>
      <w:r w:rsidRPr="00B078CB">
        <w:rPr>
          <w:rFonts w:ascii="Arial" w:hAnsi="Arial" w:cs="Arial"/>
          <w:sz w:val="18"/>
          <w:szCs w:val="18"/>
        </w:rPr>
        <w:t>iv</w:t>
      </w:r>
      <w:proofErr w:type="spellEnd"/>
      <w:r w:rsidRPr="00B078CB">
        <w:rPr>
          <w:rFonts w:ascii="Arial" w:hAnsi="Arial" w:cs="Arial"/>
          <w:sz w:val="18"/>
          <w:szCs w:val="18"/>
        </w:rPr>
        <w:t>) clasificar la experiencia requerida solo hasta el tercer nivel del Clasificador de Bienes y Servicios e incluir exclusivamente los códigos que estén relacionados directamente con el objeto a contratar.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A245F6" w14:textId="77777777" w:rsidR="008F4163" w:rsidRDefault="0021105B">
    <w:pPr>
      <w:pStyle w:val="Encabezado"/>
    </w:pPr>
    <w:r>
      <w:rPr>
        <w:noProof/>
        <w:lang w:val="es-CO" w:eastAsia="es-CO"/>
      </w:rPr>
      <w:drawing>
        <wp:anchor distT="0" distB="0" distL="114300" distR="114300" simplePos="0" relativeHeight="251659264" behindDoc="1" locked="0" layoutInCell="1" allowOverlap="1" wp14:anchorId="30AF49FE" wp14:editId="4FB65DBA">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6178"/>
    <w:rsid w:val="0021105B"/>
    <w:rsid w:val="003B38BD"/>
    <w:rsid w:val="00DE617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44A0D2"/>
  <w15:chartTrackingRefBased/>
  <w15:docId w15:val="{6B5FA593-9718-4AA6-AC04-4E047D09F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6178"/>
    <w:pPr>
      <w:spacing w:after="0" w:line="240" w:lineRule="auto"/>
    </w:pPr>
    <w:rPr>
      <w:rFonts w:ascii="Times New Roman" w:eastAsia="Times New Roman" w:hAnsi="Times New Roman" w:cs="Times New Roman"/>
      <w:sz w:val="24"/>
      <w:szCs w:val="24"/>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DE617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DE6178"/>
    <w:rPr>
      <w:sz w:val="24"/>
      <w:lang w:val="es-MX"/>
    </w:rPr>
  </w:style>
  <w:style w:type="paragraph" w:styleId="Encabezado">
    <w:name w:val="header"/>
    <w:basedOn w:val="Normal"/>
    <w:link w:val="EncabezadoCar"/>
    <w:uiPriority w:val="99"/>
    <w:unhideWhenUsed/>
    <w:rsid w:val="00DE6178"/>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DE6178"/>
    <w:rPr>
      <w:sz w:val="24"/>
      <w:lang w:val="es-MX"/>
    </w:rPr>
  </w:style>
  <w:style w:type="table" w:styleId="Tablaconcuadrcula">
    <w:name w:val="Table Grid"/>
    <w:basedOn w:val="Tablanormal"/>
    <w:uiPriority w:val="59"/>
    <w:rsid w:val="00DE61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DE6178"/>
    <w:pPr>
      <w:ind w:left="720"/>
      <w:contextualSpacing/>
    </w:pPr>
    <w:rPr>
      <w:rFonts w:asciiTheme="minorHAnsi" w:eastAsiaTheme="minorHAnsi" w:hAnsiTheme="minorHAnsi" w:cstheme="minorBidi"/>
      <w:szCs w:val="22"/>
      <w:lang w:val="es-MX" w:eastAsia="en-US"/>
    </w:rPr>
  </w:style>
  <w:style w:type="paragraph" w:styleId="NormalWeb">
    <w:name w:val="Normal (Web)"/>
    <w:basedOn w:val="Normal"/>
    <w:link w:val="NormalWebCar"/>
    <w:uiPriority w:val="99"/>
    <w:unhideWhenUsed/>
    <w:rsid w:val="00DE6178"/>
    <w:pPr>
      <w:spacing w:before="100" w:beforeAutospacing="1" w:after="100" w:afterAutospacing="1"/>
    </w:pPr>
    <w:rPr>
      <w:lang w:eastAsia="es-CO"/>
    </w:rPr>
  </w:style>
  <w:style w:type="paragraph" w:styleId="Sinespaciado">
    <w:name w:val="No Spacing"/>
    <w:aliases w:val="No Indent"/>
    <w:uiPriority w:val="3"/>
    <w:qFormat/>
    <w:rsid w:val="00DE6178"/>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DE617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DE6178"/>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DE6178"/>
    <w:rPr>
      <w:rFonts w:ascii="Times New Roman" w:eastAsia="Times New Roman" w:hAnsi="Times New Roman" w:cs="Times New Roman"/>
      <w:sz w:val="20"/>
      <w:szCs w:val="20"/>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DE6178"/>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DE6178"/>
    <w:rPr>
      <w:vertAlign w:val="superscript"/>
    </w:rPr>
  </w:style>
  <w:style w:type="paragraph" w:customStyle="1" w:styleId="Default">
    <w:name w:val="Default"/>
    <w:rsid w:val="00DE6178"/>
    <w:pPr>
      <w:autoSpaceDE w:val="0"/>
      <w:autoSpaceDN w:val="0"/>
      <w:adjustRightInd w:val="0"/>
      <w:spacing w:after="0" w:line="240" w:lineRule="auto"/>
    </w:pPr>
    <w:rPr>
      <w:rFonts w:ascii="Arial" w:hAnsi="Arial" w:cs="Arial"/>
      <w:color w:val="000000"/>
      <w:sz w:val="24"/>
      <w:szCs w:val="24"/>
    </w:rPr>
  </w:style>
  <w:style w:type="paragraph" w:customStyle="1" w:styleId="Appelnotedebasde">
    <w:name w:val="Appel note de bas de..."/>
    <w:basedOn w:val="Normal"/>
    <w:link w:val="Refdenotaalpie"/>
    <w:uiPriority w:val="99"/>
    <w:rsid w:val="00DE6178"/>
    <w:pPr>
      <w:spacing w:after="160" w:line="240" w:lineRule="exact"/>
    </w:pPr>
    <w:rPr>
      <w:rFonts w:asciiTheme="minorHAnsi" w:eastAsiaTheme="minorHAnsi" w:hAnsiTheme="minorHAnsi" w:cstheme="minorBidi"/>
      <w:sz w:val="22"/>
      <w:szCs w:val="22"/>
      <w:vertAlign w:val="superscript"/>
      <w:lang w:eastAsia="en-US"/>
    </w:rPr>
  </w:style>
  <w:style w:type="character" w:customStyle="1" w:styleId="NormalWebCar">
    <w:name w:val="Normal (Web) Car"/>
    <w:link w:val="NormalWeb"/>
    <w:uiPriority w:val="99"/>
    <w:rsid w:val="00DE6178"/>
    <w:rPr>
      <w:rFonts w:ascii="Times New Roman" w:eastAsia="Times New Roman" w:hAnsi="Times New Roman" w:cs="Times New Roman"/>
      <w:sz w:val="24"/>
      <w:szCs w:val="24"/>
      <w:lang w:eastAsia="es-CO"/>
    </w:rPr>
  </w:style>
  <w:style w:type="paragraph" w:customStyle="1" w:styleId="Normal11pt">
    <w:name w:val="Normal + 11 pt"/>
    <w:aliases w:val="Negro,Justificado,Izquierda:  -0,95 cm,Derecha:  0,04 cm"/>
    <w:basedOn w:val="Normal"/>
    <w:uiPriority w:val="99"/>
    <w:rsid w:val="00DE6178"/>
    <w:pPr>
      <w:ind w:left="-540"/>
      <w:jc w:val="both"/>
    </w:pPr>
    <w:rPr>
      <w:rFonts w:ascii="Arial" w:hAnsi="Arial" w:cs="Arial"/>
      <w:color w:val="000000"/>
      <w:sz w:val="22"/>
      <w:szCs w:val="22"/>
      <w:lang w:val="es-ES_tradnl" w:eastAsia="es-ES"/>
    </w:rPr>
  </w:style>
  <w:style w:type="character" w:customStyle="1" w:styleId="apple-converted-space">
    <w:name w:val="apple-converted-space"/>
    <w:basedOn w:val="Fuentedeprrafopredeter"/>
    <w:rsid w:val="00DE61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19BFCD80-B1D4-46F0-B216-07E9A9249E58}"/>
</file>

<file path=customXml/itemProps2.xml><?xml version="1.0" encoding="utf-8"?>
<ds:datastoreItem xmlns:ds="http://schemas.openxmlformats.org/officeDocument/2006/customXml" ds:itemID="{D70DD746-6466-4B2D-B8E0-D9F3664AA440}"/>
</file>

<file path=customXml/itemProps3.xml><?xml version="1.0" encoding="utf-8"?>
<ds:datastoreItem xmlns:ds="http://schemas.openxmlformats.org/officeDocument/2006/customXml" ds:itemID="{0B09C7A9-42EE-4026-B238-3AB85930545D}"/>
</file>

<file path=docProps/app.xml><?xml version="1.0" encoding="utf-8"?>
<Properties xmlns="http://schemas.openxmlformats.org/officeDocument/2006/extended-properties" xmlns:vt="http://schemas.openxmlformats.org/officeDocument/2006/docPropsVTypes">
  <Template>Normal</Template>
  <TotalTime>5</TotalTime>
  <Pages>13</Pages>
  <Words>4835</Words>
  <Characters>26594</Characters>
  <Application>Microsoft Office Word</Application>
  <DocSecurity>0</DocSecurity>
  <Lines>221</Lines>
  <Paragraphs>62</Paragraphs>
  <ScaleCrop>false</ScaleCrop>
  <Company/>
  <LinksUpToDate>false</LinksUpToDate>
  <CharactersWithSpaces>31367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Arlid Herrera Santa</dc:creator>
  <cp:keywords/>
  <dc:description/>
  <cp:lastModifiedBy>Kevin Arlid Herrera Santa</cp:lastModifiedBy>
  <cp:revision>2</cp:revision>
  <dcterms:created xsi:type="dcterms:W3CDTF">2021-11-23T21:06:00Z</dcterms:created>
  <dcterms:modified xsi:type="dcterms:W3CDTF">2021-11-23T21:11:00Z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