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510BFB" w:rsidRDefault="00137E23" w:rsidP="00137E23">
      <w:pPr>
        <w:spacing w:after="0" w:line="240" w:lineRule="auto"/>
        <w:jc w:val="right"/>
        <w:rPr>
          <w:rFonts w:ascii="Arial" w:eastAsia="Times New Roman" w:hAnsi="Arial" w:cs="Arial"/>
          <w:sz w:val="20"/>
          <w:szCs w:val="20"/>
          <w:lang w:eastAsia="es-ES"/>
        </w:rPr>
      </w:pPr>
      <w:r w:rsidRPr="00510BFB">
        <w:rPr>
          <w:rFonts w:ascii="Arial" w:eastAsia="Times New Roman" w:hAnsi="Arial" w:cs="Arial"/>
          <w:sz w:val="20"/>
          <w:szCs w:val="20"/>
          <w:lang w:eastAsia="es-ES"/>
        </w:rPr>
        <w:t>CCE-DES-FM-17</w:t>
      </w:r>
    </w:p>
    <w:p w14:paraId="7EEB8A45" w14:textId="77777777" w:rsidR="008766CF" w:rsidRPr="00510BFB" w:rsidRDefault="008766CF" w:rsidP="008766CF">
      <w:pPr>
        <w:tabs>
          <w:tab w:val="left" w:pos="3374"/>
        </w:tabs>
        <w:spacing w:after="0" w:line="240" w:lineRule="auto"/>
        <w:jc w:val="both"/>
        <w:rPr>
          <w:rFonts w:ascii="Arial" w:hAnsi="Arial" w:cs="Arial"/>
          <w:sz w:val="20"/>
          <w:szCs w:val="20"/>
        </w:rPr>
      </w:pPr>
      <w:bookmarkStart w:id="0" w:name="_Hlk104401313"/>
      <w:bookmarkStart w:id="1" w:name="_Hlk72942111"/>
    </w:p>
    <w:bookmarkEnd w:id="0"/>
    <w:p w14:paraId="3877E9D9" w14:textId="77777777" w:rsidR="00176E36" w:rsidRPr="00486DE1" w:rsidRDefault="00176E36" w:rsidP="00176E36">
      <w:pPr>
        <w:jc w:val="both"/>
        <w:rPr>
          <w:rFonts w:ascii="Arial" w:hAnsi="Arial" w:cs="Arial"/>
          <w:b/>
          <w:color w:val="000000" w:themeColor="text1"/>
          <w:lang w:val="es-ES_tradnl"/>
        </w:rPr>
      </w:pPr>
      <w:r w:rsidRPr="00486DE1">
        <w:rPr>
          <w:rFonts w:ascii="Arial" w:hAnsi="Arial" w:cs="Arial"/>
          <w:b/>
          <w:color w:val="000000" w:themeColor="text1"/>
          <w:lang w:val="es-ES_tradnl"/>
        </w:rPr>
        <w:t xml:space="preserve">MEDIOS ELECTRÓNICOS </w:t>
      </w:r>
      <w:bookmarkStart w:id="2" w:name="_Hlk39666823"/>
      <w:r w:rsidRPr="00486DE1">
        <w:rPr>
          <w:rFonts w:ascii="Arial" w:hAnsi="Arial" w:cs="Arial"/>
          <w:b/>
          <w:color w:val="000000" w:themeColor="text1"/>
        </w:rPr>
        <w:t>–</w:t>
      </w:r>
      <w:bookmarkEnd w:id="2"/>
      <w:r w:rsidRPr="00486DE1">
        <w:rPr>
          <w:rFonts w:ascii="Arial" w:hAnsi="Arial" w:cs="Arial"/>
          <w:b/>
          <w:color w:val="000000" w:themeColor="text1"/>
          <w:lang w:val="es-ES_tradnl"/>
        </w:rPr>
        <w:t xml:space="preserve"> Contratación estatal </w:t>
      </w:r>
      <w:r w:rsidRPr="00486DE1">
        <w:rPr>
          <w:rFonts w:ascii="Arial" w:hAnsi="Arial" w:cs="Arial"/>
          <w:b/>
          <w:color w:val="000000" w:themeColor="text1"/>
        </w:rPr>
        <w:t>–</w:t>
      </w:r>
      <w:r w:rsidRPr="00486DE1">
        <w:rPr>
          <w:rFonts w:ascii="Arial" w:hAnsi="Arial" w:cs="Arial"/>
          <w:b/>
          <w:color w:val="000000" w:themeColor="text1"/>
          <w:lang w:val="es-ES_tradnl"/>
        </w:rPr>
        <w:t xml:space="preserve"> Régimen jurídico</w:t>
      </w:r>
    </w:p>
    <w:p w14:paraId="67E69001" w14:textId="77777777" w:rsidR="00176E36" w:rsidRPr="00C374E6" w:rsidRDefault="00176E36" w:rsidP="00176E36">
      <w:pPr>
        <w:jc w:val="both"/>
        <w:rPr>
          <w:rFonts w:ascii="Arial" w:hAnsi="Arial" w:cs="Arial"/>
          <w:color w:val="000000" w:themeColor="text1"/>
          <w:sz w:val="20"/>
          <w:szCs w:val="20"/>
          <w:lang w:val="es-ES"/>
        </w:rPr>
      </w:pPr>
      <w:r w:rsidRPr="00C374E6">
        <w:rPr>
          <w:rFonts w:ascii="Arial" w:hAnsi="Arial" w:cs="Arial"/>
          <w:color w:val="000000" w:themeColor="text1"/>
          <w:sz w:val="20"/>
          <w:szCs w:val="20"/>
          <w:lang w:val="es-ES"/>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C374E6">
        <w:rPr>
          <w:rFonts w:ascii="Arial" w:hAnsi="Arial" w:cs="Arial"/>
          <w:color w:val="000000" w:themeColor="text1"/>
          <w:sz w:val="20"/>
          <w:szCs w:val="20"/>
          <w:lang w:val="es-ES"/>
        </w:rPr>
        <w:t>en razón de</w:t>
      </w:r>
      <w:proofErr w:type="gramEnd"/>
      <w:r w:rsidRPr="00C374E6">
        <w:rPr>
          <w:rFonts w:ascii="Arial" w:hAnsi="Arial" w:cs="Arial"/>
          <w:color w:val="000000" w:themeColor="text1"/>
          <w:sz w:val="20"/>
          <w:szCs w:val="20"/>
          <w:lang w:val="es-ES"/>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00C374E6">
        <w:rPr>
          <w:rFonts w:ascii="Arial" w:hAnsi="Arial" w:cs="Arial"/>
          <w:i/>
          <w:iCs/>
          <w:color w:val="000000" w:themeColor="text1"/>
          <w:sz w:val="20"/>
          <w:szCs w:val="20"/>
          <w:lang w:val="es-ES"/>
        </w:rPr>
        <w:t>Skype</w:t>
      </w:r>
      <w:r w:rsidRPr="00C374E6">
        <w:rPr>
          <w:rFonts w:ascii="Arial" w:hAnsi="Arial" w:cs="Arial"/>
          <w:color w:val="000000" w:themeColor="text1"/>
          <w:sz w:val="20"/>
          <w:szCs w:val="20"/>
          <w:lang w:val="es-ES"/>
        </w:rPr>
        <w:t xml:space="preserve">, </w:t>
      </w:r>
      <w:proofErr w:type="spellStart"/>
      <w:r w:rsidRPr="00C374E6">
        <w:rPr>
          <w:rFonts w:ascii="Arial" w:hAnsi="Arial" w:cs="Arial"/>
          <w:i/>
          <w:iCs/>
          <w:color w:val="000000" w:themeColor="text1"/>
          <w:sz w:val="20"/>
          <w:szCs w:val="20"/>
          <w:lang w:val="es-ES"/>
        </w:rPr>
        <w:t>Facetime</w:t>
      </w:r>
      <w:proofErr w:type="spellEnd"/>
      <w:r w:rsidRPr="00C374E6">
        <w:rPr>
          <w:rFonts w:ascii="Arial" w:hAnsi="Arial" w:cs="Arial"/>
          <w:color w:val="000000" w:themeColor="text1"/>
          <w:sz w:val="20"/>
          <w:szCs w:val="20"/>
          <w:lang w:val="es-ES"/>
        </w:rPr>
        <w:t xml:space="preserve">, </w:t>
      </w:r>
      <w:proofErr w:type="spellStart"/>
      <w:r w:rsidRPr="00C374E6">
        <w:rPr>
          <w:rFonts w:ascii="Arial" w:hAnsi="Arial" w:cs="Arial"/>
          <w:i/>
          <w:iCs/>
          <w:color w:val="000000" w:themeColor="text1"/>
          <w:sz w:val="20"/>
          <w:szCs w:val="20"/>
          <w:lang w:val="es-ES"/>
        </w:rPr>
        <w:t>Whatsapp</w:t>
      </w:r>
      <w:proofErr w:type="spellEnd"/>
      <w:r w:rsidRPr="00C374E6">
        <w:rPr>
          <w:rFonts w:ascii="Arial" w:hAnsi="Arial" w:cs="Arial"/>
          <w:color w:val="000000" w:themeColor="text1"/>
          <w:sz w:val="20"/>
          <w:szCs w:val="20"/>
          <w:lang w:val="es-ES"/>
        </w:rPr>
        <w:t xml:space="preserve">, </w:t>
      </w:r>
      <w:proofErr w:type="spellStart"/>
      <w:r w:rsidRPr="00C374E6">
        <w:rPr>
          <w:rFonts w:ascii="Arial" w:hAnsi="Arial" w:cs="Arial"/>
          <w:i/>
          <w:iCs/>
          <w:color w:val="000000" w:themeColor="text1"/>
          <w:sz w:val="20"/>
          <w:szCs w:val="20"/>
          <w:lang w:val="es-ES"/>
        </w:rPr>
        <w:t>Teams</w:t>
      </w:r>
      <w:proofErr w:type="spellEnd"/>
      <w:r w:rsidRPr="00C374E6">
        <w:rPr>
          <w:rFonts w:ascii="Arial" w:hAnsi="Arial" w:cs="Arial"/>
          <w:color w:val="000000" w:themeColor="text1"/>
          <w:sz w:val="20"/>
          <w:szCs w:val="20"/>
          <w:lang w:val="es-ES"/>
        </w:rPr>
        <w:t>, entre otras, constituyen sistemas de información, permitidos por el legislador en las actuaciones administrativas.</w:t>
      </w:r>
    </w:p>
    <w:p w14:paraId="1AB71A76" w14:textId="77777777" w:rsidR="00176E36" w:rsidRPr="00C374E6" w:rsidRDefault="00176E36" w:rsidP="00176E36">
      <w:pPr>
        <w:jc w:val="both"/>
        <w:rPr>
          <w:rFonts w:ascii="Arial" w:hAnsi="Arial" w:cs="Arial"/>
          <w:color w:val="000000" w:themeColor="text1"/>
          <w:sz w:val="20"/>
          <w:szCs w:val="20"/>
          <w:lang w:val="es-ES_tradnl"/>
        </w:rPr>
      </w:pPr>
      <w:r w:rsidRPr="00C374E6">
        <w:rPr>
          <w:rFonts w:ascii="Arial" w:hAnsi="Arial" w:cs="Arial"/>
          <w:color w:val="000000" w:themeColor="text1"/>
          <w:sz w:val="20"/>
          <w:szCs w:val="20"/>
          <w:lang w:val="es-ES_tradnl"/>
        </w:rPr>
        <w:t>Adicionalmente, la Ley 1150 de 2007 incorporó la posibilidad de utilizar dichos sistemas de información y en general los medios electrónicos en las actuaciones contractuales. Así se infiere del artículo 3, […].</w:t>
      </w:r>
    </w:p>
    <w:p w14:paraId="055A4902" w14:textId="77777777" w:rsidR="00176E36" w:rsidRPr="00C374E6" w:rsidRDefault="00176E36" w:rsidP="00176E36">
      <w:pPr>
        <w:jc w:val="both"/>
        <w:rPr>
          <w:rFonts w:ascii="Arial" w:hAnsi="Arial" w:cs="Arial"/>
          <w:color w:val="000000" w:themeColor="text1"/>
          <w:sz w:val="20"/>
          <w:szCs w:val="20"/>
          <w:lang w:val="es-ES_tradnl"/>
        </w:rPr>
      </w:pPr>
      <w:r w:rsidRPr="00C374E6">
        <w:rPr>
          <w:rFonts w:ascii="Arial"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2E53FC0C" w14:textId="241938A5" w:rsidR="00176E36" w:rsidRPr="00486DE1" w:rsidRDefault="00176E36" w:rsidP="00176E36">
      <w:pPr>
        <w:jc w:val="both"/>
        <w:rPr>
          <w:rFonts w:ascii="Arial" w:hAnsi="Arial" w:cs="Arial"/>
          <w:b/>
          <w:color w:val="000000" w:themeColor="text1"/>
          <w:lang w:val="es-ES_tradnl"/>
        </w:rPr>
      </w:pPr>
      <w:r w:rsidRPr="00486DE1">
        <w:rPr>
          <w:rFonts w:ascii="Arial" w:hAnsi="Arial" w:cs="Arial"/>
          <w:b/>
          <w:color w:val="000000" w:themeColor="text1"/>
          <w:lang w:val="es-ES_tradnl"/>
        </w:rPr>
        <w:t xml:space="preserve">MEDIOS ELECTRÓNICOS </w:t>
      </w:r>
      <w:r w:rsidRPr="00486DE1">
        <w:rPr>
          <w:rFonts w:ascii="Arial" w:hAnsi="Arial" w:cs="Arial"/>
          <w:b/>
          <w:color w:val="000000" w:themeColor="text1"/>
        </w:rPr>
        <w:t>–</w:t>
      </w:r>
      <w:r w:rsidRPr="00486DE1">
        <w:rPr>
          <w:rFonts w:ascii="Arial" w:hAnsi="Arial" w:cs="Arial"/>
          <w:b/>
          <w:color w:val="000000" w:themeColor="text1"/>
          <w:lang w:val="es-ES_tradnl"/>
        </w:rPr>
        <w:t xml:space="preserve"> CPACA </w:t>
      </w:r>
      <w:r w:rsidRPr="00486DE1">
        <w:rPr>
          <w:rFonts w:ascii="Arial" w:hAnsi="Arial" w:cs="Arial"/>
          <w:b/>
          <w:color w:val="000000" w:themeColor="text1"/>
        </w:rPr>
        <w:t>–</w:t>
      </w:r>
      <w:r w:rsidRPr="00486DE1">
        <w:rPr>
          <w:rFonts w:ascii="Arial" w:hAnsi="Arial" w:cs="Arial"/>
          <w:b/>
          <w:color w:val="000000" w:themeColor="text1"/>
          <w:lang w:val="es-ES_tradnl"/>
        </w:rPr>
        <w:t xml:space="preserve"> Posibilidad</w:t>
      </w:r>
    </w:p>
    <w:p w14:paraId="012A1EA7" w14:textId="77777777" w:rsidR="00176E36" w:rsidRPr="00C374E6" w:rsidRDefault="00176E36" w:rsidP="00176E36">
      <w:pPr>
        <w:jc w:val="both"/>
        <w:rPr>
          <w:rFonts w:ascii="Arial" w:hAnsi="Arial" w:cs="Arial"/>
          <w:color w:val="000000" w:themeColor="text1"/>
          <w:sz w:val="20"/>
          <w:szCs w:val="20"/>
          <w:lang w:val="es-ES_tradnl"/>
        </w:rPr>
      </w:pPr>
      <w:r w:rsidRPr="00C374E6">
        <w:rPr>
          <w:rFonts w:ascii="Arial" w:hAnsi="Arial" w:cs="Arial"/>
          <w:color w:val="000000" w:themeColor="text1"/>
          <w:sz w:val="20"/>
          <w:szCs w:val="20"/>
          <w:lang w:val="es-ES_tradnl"/>
        </w:rPr>
        <w:t xml:space="preserve">La Ley 1437 de 2011 continúa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w:t>
      </w:r>
      <w:proofErr w:type="spellStart"/>
      <w:r w:rsidRPr="00C374E6">
        <w:rPr>
          <w:rFonts w:ascii="Arial" w:hAnsi="Arial" w:cs="Arial"/>
          <w:color w:val="000000" w:themeColor="text1"/>
          <w:sz w:val="20"/>
          <w:szCs w:val="20"/>
          <w:lang w:val="es-ES_tradnl"/>
        </w:rPr>
        <w:t>vii</w:t>
      </w:r>
      <w:proofErr w:type="spellEnd"/>
      <w:r w:rsidRPr="00C374E6">
        <w:rPr>
          <w:rFonts w:ascii="Arial" w:hAnsi="Arial" w:cs="Arial"/>
          <w:color w:val="000000" w:themeColor="text1"/>
          <w:sz w:val="20"/>
          <w:szCs w:val="20"/>
          <w:lang w:val="es-ES_tradnl"/>
        </w:rPr>
        <w:t xml:space="preserve">) el expediente electrónico, </w:t>
      </w:r>
      <w:proofErr w:type="spellStart"/>
      <w:r w:rsidRPr="00C374E6">
        <w:rPr>
          <w:rFonts w:ascii="Arial" w:hAnsi="Arial" w:cs="Arial"/>
          <w:color w:val="000000" w:themeColor="text1"/>
          <w:sz w:val="20"/>
          <w:szCs w:val="20"/>
          <w:lang w:val="es-ES_tradnl"/>
        </w:rPr>
        <w:t>viii</w:t>
      </w:r>
      <w:proofErr w:type="spellEnd"/>
      <w:r w:rsidRPr="00C374E6">
        <w:rPr>
          <w:rFonts w:ascii="Arial" w:hAnsi="Arial" w:cs="Arial"/>
          <w:color w:val="000000" w:themeColor="text1"/>
          <w:sz w:val="20"/>
          <w:szCs w:val="20"/>
          <w:lang w:val="es-ES_tradnl"/>
        </w:rPr>
        <w:t xml:space="preserve">) la sede electrónica, </w:t>
      </w:r>
      <w:proofErr w:type="spellStart"/>
      <w:r w:rsidRPr="00C374E6">
        <w:rPr>
          <w:rFonts w:ascii="Arial" w:hAnsi="Arial" w:cs="Arial"/>
          <w:color w:val="000000" w:themeColor="text1"/>
          <w:sz w:val="20"/>
          <w:szCs w:val="20"/>
          <w:lang w:val="es-ES_tradnl"/>
        </w:rPr>
        <w:t>ix</w:t>
      </w:r>
      <w:proofErr w:type="spellEnd"/>
      <w:r w:rsidRPr="00C374E6">
        <w:rPr>
          <w:rFonts w:ascii="Arial" w:hAnsi="Arial" w:cs="Arial"/>
          <w:color w:val="000000" w:themeColor="text1"/>
          <w:sz w:val="20"/>
          <w:szCs w:val="20"/>
          <w:lang w:val="es-ES_tradnl"/>
        </w:rPr>
        <w:t xml:space="preserve">) la recepción de documentos electrónicos por parte de las autoridades, x) la prueba de recepción en envío de mensajes de datos por la autoridad, xi) las sesiones virtuales y </w:t>
      </w:r>
      <w:proofErr w:type="spellStart"/>
      <w:r w:rsidRPr="00C374E6">
        <w:rPr>
          <w:rFonts w:ascii="Arial" w:hAnsi="Arial" w:cs="Arial"/>
          <w:color w:val="000000" w:themeColor="text1"/>
          <w:sz w:val="20"/>
          <w:szCs w:val="20"/>
          <w:lang w:val="es-ES_tradnl"/>
        </w:rPr>
        <w:t>xii</w:t>
      </w:r>
      <w:proofErr w:type="spellEnd"/>
      <w:r w:rsidRPr="00C374E6">
        <w:rPr>
          <w:rFonts w:ascii="Arial" w:hAnsi="Arial" w:cs="Arial"/>
          <w:color w:val="000000" w:themeColor="text1"/>
          <w:sz w:val="20"/>
          <w:szCs w:val="20"/>
          <w:lang w:val="es-ES_tradnl"/>
        </w:rPr>
        <w:t>) los estándares y protocolos.</w:t>
      </w:r>
    </w:p>
    <w:p w14:paraId="73DFD107" w14:textId="769ED48D" w:rsidR="00176E36" w:rsidRPr="00486DE1" w:rsidRDefault="00176E36" w:rsidP="00176E36">
      <w:pPr>
        <w:jc w:val="both"/>
        <w:rPr>
          <w:rFonts w:ascii="Arial" w:hAnsi="Arial" w:cs="Arial"/>
          <w:b/>
          <w:color w:val="000000" w:themeColor="text1"/>
          <w:lang w:val="es-ES_tradnl"/>
        </w:rPr>
      </w:pPr>
      <w:r w:rsidRPr="00486DE1">
        <w:rPr>
          <w:rFonts w:ascii="Arial" w:hAnsi="Arial" w:cs="Arial"/>
          <w:b/>
          <w:color w:val="000000" w:themeColor="text1"/>
          <w:lang w:val="es-ES_tradnl"/>
        </w:rPr>
        <w:lastRenderedPageBreak/>
        <w:t xml:space="preserve">FIRMAS </w:t>
      </w:r>
      <w:r w:rsidRPr="00486DE1">
        <w:rPr>
          <w:rFonts w:ascii="Arial" w:hAnsi="Arial" w:cs="Arial"/>
          <w:b/>
          <w:color w:val="000000" w:themeColor="text1"/>
        </w:rPr>
        <w:t>–</w:t>
      </w:r>
      <w:r w:rsidRPr="00486DE1">
        <w:rPr>
          <w:rFonts w:ascii="Arial" w:hAnsi="Arial" w:cs="Arial"/>
          <w:b/>
          <w:color w:val="000000" w:themeColor="text1"/>
          <w:lang w:val="es-ES_tradnl"/>
        </w:rPr>
        <w:t xml:space="preserve"> Firma electrónica </w:t>
      </w:r>
      <w:r w:rsidRPr="00486DE1">
        <w:rPr>
          <w:rFonts w:ascii="Arial" w:hAnsi="Arial" w:cs="Arial"/>
          <w:b/>
          <w:color w:val="000000" w:themeColor="text1"/>
        </w:rPr>
        <w:t>–</w:t>
      </w:r>
      <w:r w:rsidRPr="00486DE1">
        <w:rPr>
          <w:rFonts w:ascii="Arial" w:hAnsi="Arial" w:cs="Arial"/>
          <w:b/>
          <w:color w:val="000000" w:themeColor="text1"/>
          <w:lang w:val="es-ES_tradnl"/>
        </w:rPr>
        <w:t xml:space="preserve"> Firma digital </w:t>
      </w:r>
      <w:r w:rsidRPr="00486DE1">
        <w:rPr>
          <w:rFonts w:ascii="Arial" w:hAnsi="Arial" w:cs="Arial"/>
          <w:b/>
          <w:color w:val="000000" w:themeColor="text1"/>
        </w:rPr>
        <w:t>– Concepto</w:t>
      </w:r>
    </w:p>
    <w:p w14:paraId="2B19D150" w14:textId="77777777" w:rsidR="00176E36" w:rsidRPr="00C374E6" w:rsidRDefault="00176E36" w:rsidP="00176E36">
      <w:pPr>
        <w:jc w:val="both"/>
        <w:rPr>
          <w:rFonts w:ascii="Arial" w:hAnsi="Arial" w:cs="Arial"/>
          <w:color w:val="000000" w:themeColor="text1"/>
          <w:sz w:val="20"/>
          <w:szCs w:val="20"/>
          <w:lang w:val="es-ES_tradnl"/>
        </w:rPr>
      </w:pPr>
      <w:r w:rsidRPr="00C374E6">
        <w:rPr>
          <w:rFonts w:ascii="Arial" w:hAnsi="Arial" w:cs="Arial"/>
          <w:color w:val="000000" w:themeColor="text1"/>
          <w:sz w:val="20"/>
          <w:szCs w:val="20"/>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C374E6">
        <w:rPr>
          <w:rFonts w:ascii="Arial" w:hAnsi="Arial" w:cs="Arial"/>
          <w:i/>
          <w:iCs/>
          <w:color w:val="000000" w:themeColor="text1"/>
          <w:sz w:val="20"/>
          <w:szCs w:val="20"/>
          <w:lang w:val="es-ES_tradnl"/>
        </w:rPr>
        <w:t>firma manuscrita</w:t>
      </w:r>
      <w:r w:rsidRPr="00C374E6">
        <w:rPr>
          <w:rFonts w:ascii="Arial" w:hAnsi="Arial" w:cs="Arial"/>
          <w:color w:val="000000" w:themeColor="text1"/>
          <w:sz w:val="20"/>
          <w:szCs w:val="20"/>
          <w:lang w:val="es-ES_tradnl"/>
        </w:rPr>
        <w:t xml:space="preserve"> </w:t>
      </w:r>
      <w:r w:rsidRPr="00C374E6">
        <w:rPr>
          <w:rFonts w:ascii="Arial" w:hAnsi="Arial" w:cs="Arial"/>
          <w:color w:val="000000" w:themeColor="text1"/>
          <w:sz w:val="20"/>
          <w:szCs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74B9F28F" w14:textId="34433C28" w:rsidR="00176E36" w:rsidRPr="00C374E6" w:rsidRDefault="00176E36" w:rsidP="00176E36">
      <w:pPr>
        <w:jc w:val="both"/>
        <w:rPr>
          <w:rFonts w:ascii="Arial" w:hAnsi="Arial" w:cs="Arial"/>
          <w:color w:val="000000" w:themeColor="text1"/>
          <w:sz w:val="20"/>
          <w:szCs w:val="20"/>
        </w:rPr>
      </w:pPr>
      <w:r w:rsidRPr="00C374E6">
        <w:rPr>
          <w:rFonts w:ascii="Arial" w:hAnsi="Arial" w:cs="Arial"/>
          <w:color w:val="000000" w:themeColor="text1"/>
          <w:sz w:val="20"/>
          <w:szCs w:val="20"/>
        </w:rPr>
        <w:t xml:space="preserve">Por otra parte, </w:t>
      </w:r>
      <w:r w:rsidR="00446D68" w:rsidRPr="00446D68">
        <w:rPr>
          <w:rFonts w:ascii="Arial" w:hAnsi="Arial" w:cs="Arial"/>
          <w:color w:val="000000" w:themeColor="text1"/>
          <w:sz w:val="20"/>
          <w:szCs w:val="20"/>
        </w:rPr>
        <w:t>el artículo 1 del Decreto 2364 de 2012 define</w:t>
      </w:r>
      <w:r w:rsidRPr="00C374E6">
        <w:rPr>
          <w:rFonts w:ascii="Arial" w:hAnsi="Arial" w:cs="Arial"/>
          <w:color w:val="000000" w:themeColor="text1"/>
          <w:sz w:val="20"/>
          <w:szCs w:val="20"/>
        </w:rPr>
        <w:t xml:space="preserve"> la </w:t>
      </w:r>
      <w:r w:rsidRPr="00446D68">
        <w:rPr>
          <w:rFonts w:ascii="Arial" w:hAnsi="Arial" w:cs="Arial"/>
          <w:color w:val="000000" w:themeColor="text1"/>
          <w:sz w:val="20"/>
          <w:szCs w:val="20"/>
        </w:rPr>
        <w:t>firma electrónica</w:t>
      </w:r>
      <w:r w:rsidRPr="00C374E6">
        <w:rPr>
          <w:rFonts w:ascii="Arial" w:hAnsi="Arial" w:cs="Arial"/>
          <w:color w:val="000000" w:themeColor="text1"/>
          <w:sz w:val="20"/>
          <w:szCs w:val="20"/>
        </w:rPr>
        <w:t xml:space="preserv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0BC30240" w14:textId="77777777" w:rsidR="00176E36" w:rsidRPr="00C374E6" w:rsidRDefault="00176E36" w:rsidP="00176E36">
      <w:pPr>
        <w:jc w:val="both"/>
        <w:rPr>
          <w:rFonts w:ascii="Arial" w:hAnsi="Arial" w:cs="Arial"/>
          <w:color w:val="000000" w:themeColor="text1"/>
          <w:sz w:val="20"/>
          <w:szCs w:val="20"/>
        </w:rPr>
      </w:pPr>
      <w:r w:rsidRPr="00C374E6">
        <w:rPr>
          <w:rFonts w:ascii="Arial" w:hAnsi="Arial" w:cs="Arial"/>
          <w:color w:val="000000" w:themeColor="text1"/>
          <w:sz w:val="20"/>
          <w:szCs w:val="20"/>
        </w:rPr>
        <w:t xml:space="preserve">Adicionalmente, el artículo 2 de la Ley 527 de 1999 define la </w:t>
      </w:r>
      <w:r w:rsidRPr="00C374E6">
        <w:rPr>
          <w:rFonts w:ascii="Arial" w:hAnsi="Arial" w:cs="Arial"/>
          <w:i/>
          <w:iCs/>
          <w:color w:val="000000" w:themeColor="text1"/>
          <w:sz w:val="20"/>
          <w:szCs w:val="20"/>
        </w:rPr>
        <w:t>firma digital</w:t>
      </w:r>
      <w:r w:rsidRPr="00C374E6">
        <w:rPr>
          <w:rFonts w:ascii="Arial" w:hAnsi="Arial" w:cs="Arial"/>
          <w:color w:val="000000" w:themeColor="text1"/>
          <w:sz w:val="20"/>
          <w:szCs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14:paraId="2C688F64" w14:textId="5C733ED4" w:rsidR="003120AF" w:rsidRPr="00510BFB" w:rsidRDefault="003120AF" w:rsidP="003816CD">
      <w:pPr>
        <w:tabs>
          <w:tab w:val="left" w:pos="3374"/>
        </w:tabs>
        <w:spacing w:after="0" w:line="240" w:lineRule="auto"/>
        <w:rPr>
          <w:rFonts w:ascii="Arial" w:eastAsia="Calibri" w:hAnsi="Arial" w:cs="Arial"/>
        </w:rPr>
      </w:pPr>
    </w:p>
    <w:p w14:paraId="543B03D7" w14:textId="77777777" w:rsidR="003120AF" w:rsidRPr="00510BFB" w:rsidRDefault="003120AF" w:rsidP="003816CD">
      <w:pPr>
        <w:tabs>
          <w:tab w:val="left" w:pos="3374"/>
        </w:tabs>
        <w:spacing w:after="0" w:line="240" w:lineRule="auto"/>
        <w:rPr>
          <w:rFonts w:ascii="Arial" w:eastAsia="Calibri" w:hAnsi="Arial" w:cs="Arial"/>
        </w:rPr>
      </w:pPr>
    </w:p>
    <w:p w14:paraId="1AE20641" w14:textId="77777777" w:rsidR="003120AF" w:rsidRPr="00510BFB" w:rsidRDefault="003120AF" w:rsidP="003816CD">
      <w:pPr>
        <w:tabs>
          <w:tab w:val="left" w:pos="3374"/>
        </w:tabs>
        <w:spacing w:after="0" w:line="240" w:lineRule="auto"/>
        <w:rPr>
          <w:rFonts w:ascii="Arial" w:eastAsia="Calibri" w:hAnsi="Arial" w:cs="Arial"/>
        </w:rPr>
      </w:pPr>
    </w:p>
    <w:p w14:paraId="3BF5FA9D" w14:textId="77777777" w:rsidR="003120AF" w:rsidRPr="00510BFB" w:rsidRDefault="003120AF" w:rsidP="003816CD">
      <w:pPr>
        <w:tabs>
          <w:tab w:val="left" w:pos="3374"/>
        </w:tabs>
        <w:spacing w:after="0" w:line="240" w:lineRule="auto"/>
        <w:rPr>
          <w:rFonts w:ascii="Arial" w:eastAsia="Calibri" w:hAnsi="Arial" w:cs="Arial"/>
        </w:rPr>
      </w:pPr>
    </w:p>
    <w:p w14:paraId="0F812242" w14:textId="77777777" w:rsidR="003120AF" w:rsidRPr="00510BFB" w:rsidRDefault="003120AF" w:rsidP="003816CD">
      <w:pPr>
        <w:tabs>
          <w:tab w:val="left" w:pos="3374"/>
        </w:tabs>
        <w:spacing w:after="0" w:line="240" w:lineRule="auto"/>
        <w:rPr>
          <w:rFonts w:ascii="Arial" w:eastAsia="Calibri" w:hAnsi="Arial" w:cs="Arial"/>
        </w:rPr>
      </w:pPr>
    </w:p>
    <w:p w14:paraId="30B5D8B9" w14:textId="77777777" w:rsidR="003120AF" w:rsidRPr="00510BFB" w:rsidRDefault="003120AF" w:rsidP="003816CD">
      <w:pPr>
        <w:tabs>
          <w:tab w:val="left" w:pos="3374"/>
        </w:tabs>
        <w:spacing w:after="0" w:line="240" w:lineRule="auto"/>
        <w:rPr>
          <w:rFonts w:ascii="Arial" w:eastAsia="Calibri" w:hAnsi="Arial" w:cs="Arial"/>
        </w:rPr>
      </w:pPr>
    </w:p>
    <w:p w14:paraId="1D93DC9E" w14:textId="581D5B4C" w:rsidR="003602F7" w:rsidRPr="00510BFB" w:rsidRDefault="003602F7" w:rsidP="003816CD">
      <w:pPr>
        <w:tabs>
          <w:tab w:val="left" w:pos="3374"/>
        </w:tabs>
        <w:spacing w:after="0" w:line="240" w:lineRule="auto"/>
        <w:rPr>
          <w:rFonts w:ascii="Arial" w:eastAsia="Calibri" w:hAnsi="Arial" w:cs="Arial"/>
        </w:rPr>
      </w:pPr>
    </w:p>
    <w:p w14:paraId="0A2B09A8" w14:textId="77777777" w:rsidR="00EE6ED7" w:rsidRPr="00510BFB" w:rsidRDefault="00EE6ED7" w:rsidP="003816CD">
      <w:pPr>
        <w:tabs>
          <w:tab w:val="left" w:pos="3374"/>
        </w:tabs>
        <w:spacing w:after="0" w:line="240" w:lineRule="auto"/>
        <w:rPr>
          <w:rFonts w:ascii="Arial" w:eastAsia="Calibri" w:hAnsi="Arial" w:cs="Arial"/>
        </w:rPr>
      </w:pPr>
    </w:p>
    <w:p w14:paraId="301E195F" w14:textId="77777777" w:rsidR="00EE6ED7" w:rsidRPr="00510BFB" w:rsidRDefault="00EE6ED7" w:rsidP="003816CD">
      <w:pPr>
        <w:tabs>
          <w:tab w:val="left" w:pos="3374"/>
        </w:tabs>
        <w:spacing w:after="0" w:line="240" w:lineRule="auto"/>
        <w:rPr>
          <w:rFonts w:ascii="Arial" w:eastAsia="Calibri" w:hAnsi="Arial" w:cs="Arial"/>
        </w:rPr>
      </w:pPr>
    </w:p>
    <w:p w14:paraId="0DC012DA" w14:textId="77777777" w:rsidR="00EE6ED7" w:rsidRPr="00510BFB" w:rsidRDefault="00EE6ED7" w:rsidP="003816CD">
      <w:pPr>
        <w:tabs>
          <w:tab w:val="left" w:pos="3374"/>
        </w:tabs>
        <w:spacing w:after="0" w:line="240" w:lineRule="auto"/>
        <w:rPr>
          <w:rFonts w:ascii="Arial" w:eastAsia="Calibri" w:hAnsi="Arial" w:cs="Arial"/>
        </w:rPr>
      </w:pPr>
    </w:p>
    <w:p w14:paraId="794449D3" w14:textId="4BD10DFA" w:rsidR="0096558F" w:rsidRPr="00510BFB" w:rsidRDefault="0096558F" w:rsidP="003816CD">
      <w:pPr>
        <w:tabs>
          <w:tab w:val="left" w:pos="3374"/>
        </w:tabs>
        <w:spacing w:after="0" w:line="240" w:lineRule="auto"/>
        <w:rPr>
          <w:rFonts w:ascii="Arial" w:eastAsia="Calibri" w:hAnsi="Arial" w:cs="Arial"/>
        </w:rPr>
      </w:pPr>
    </w:p>
    <w:p w14:paraId="2E120012" w14:textId="4BC658CC" w:rsidR="0096558F" w:rsidRDefault="0096558F" w:rsidP="003816CD">
      <w:pPr>
        <w:tabs>
          <w:tab w:val="left" w:pos="3374"/>
        </w:tabs>
        <w:spacing w:after="0" w:line="240" w:lineRule="auto"/>
        <w:rPr>
          <w:rFonts w:ascii="Arial" w:eastAsia="Calibri" w:hAnsi="Arial" w:cs="Arial"/>
        </w:rPr>
      </w:pPr>
    </w:p>
    <w:p w14:paraId="13496719" w14:textId="5C802FDD" w:rsidR="003D144A" w:rsidRDefault="003D144A" w:rsidP="003816CD">
      <w:pPr>
        <w:tabs>
          <w:tab w:val="left" w:pos="3374"/>
        </w:tabs>
        <w:spacing w:after="0" w:line="240" w:lineRule="auto"/>
        <w:rPr>
          <w:rFonts w:ascii="Arial" w:eastAsia="Calibri" w:hAnsi="Arial" w:cs="Arial"/>
        </w:rPr>
      </w:pPr>
    </w:p>
    <w:p w14:paraId="3CB91996" w14:textId="24176357" w:rsidR="003D144A" w:rsidRDefault="003D144A" w:rsidP="003816CD">
      <w:pPr>
        <w:tabs>
          <w:tab w:val="left" w:pos="3374"/>
        </w:tabs>
        <w:spacing w:after="0" w:line="240" w:lineRule="auto"/>
        <w:rPr>
          <w:rFonts w:ascii="Arial" w:eastAsia="Calibri" w:hAnsi="Arial" w:cs="Arial"/>
        </w:rPr>
      </w:pPr>
    </w:p>
    <w:p w14:paraId="304ABDE6" w14:textId="4C3E217C" w:rsidR="003D144A" w:rsidRDefault="003D144A" w:rsidP="003816CD">
      <w:pPr>
        <w:tabs>
          <w:tab w:val="left" w:pos="3374"/>
        </w:tabs>
        <w:spacing w:after="0" w:line="240" w:lineRule="auto"/>
        <w:rPr>
          <w:rFonts w:ascii="Arial" w:eastAsia="Calibri" w:hAnsi="Arial" w:cs="Arial"/>
        </w:rPr>
      </w:pPr>
    </w:p>
    <w:p w14:paraId="06975D0E" w14:textId="77D98EBD" w:rsidR="0047269D" w:rsidRDefault="0047269D" w:rsidP="003816CD">
      <w:pPr>
        <w:tabs>
          <w:tab w:val="left" w:pos="3374"/>
        </w:tabs>
        <w:spacing w:after="0" w:line="240" w:lineRule="auto"/>
        <w:rPr>
          <w:rFonts w:ascii="Arial" w:eastAsia="Calibri" w:hAnsi="Arial" w:cs="Arial"/>
        </w:rPr>
      </w:pPr>
    </w:p>
    <w:p w14:paraId="24151AB6" w14:textId="77777777" w:rsidR="00E112C2" w:rsidRPr="00510BFB" w:rsidRDefault="00E112C2" w:rsidP="00E112C2">
      <w:pPr>
        <w:spacing w:after="0" w:line="240" w:lineRule="auto"/>
        <w:jc w:val="right"/>
        <w:rPr>
          <w:rFonts w:ascii="Arial" w:eastAsia="Times New Roman" w:hAnsi="Arial" w:cs="Arial"/>
          <w:sz w:val="20"/>
          <w:szCs w:val="20"/>
          <w:lang w:eastAsia="es-ES"/>
        </w:rPr>
      </w:pPr>
      <w:r w:rsidRPr="00510BFB">
        <w:rPr>
          <w:rFonts w:ascii="Arial" w:eastAsia="Times New Roman" w:hAnsi="Arial" w:cs="Arial"/>
          <w:sz w:val="20"/>
          <w:szCs w:val="20"/>
          <w:lang w:eastAsia="es-ES"/>
        </w:rPr>
        <w:lastRenderedPageBreak/>
        <w:t>CCE-DES-FM-17</w:t>
      </w:r>
    </w:p>
    <w:p w14:paraId="1D5013D2" w14:textId="77777777" w:rsidR="00E112C2" w:rsidRDefault="00E112C2" w:rsidP="003816CD">
      <w:pPr>
        <w:tabs>
          <w:tab w:val="left" w:pos="3374"/>
        </w:tabs>
        <w:spacing w:after="0" w:line="240" w:lineRule="auto"/>
        <w:rPr>
          <w:rFonts w:ascii="Arial" w:eastAsia="Calibri" w:hAnsi="Arial" w:cs="Arial"/>
        </w:rPr>
      </w:pPr>
    </w:p>
    <w:p w14:paraId="7045F2C0" w14:textId="7C7527CF" w:rsidR="0047269D" w:rsidRDefault="00486DE1" w:rsidP="003816CD">
      <w:pPr>
        <w:tabs>
          <w:tab w:val="left" w:pos="3374"/>
        </w:tabs>
        <w:spacing w:after="0" w:line="240" w:lineRule="auto"/>
        <w:rPr>
          <w:rFonts w:ascii="Arial" w:eastAsia="Calibri" w:hAnsi="Arial" w:cs="Arial"/>
        </w:rPr>
      </w:pPr>
      <w:r>
        <w:rPr>
          <w:rFonts w:ascii="Arial" w:eastAsia="Calibri" w:hAnsi="Arial" w:cs="Arial"/>
        </w:rPr>
        <w:t xml:space="preserve">Bogotá D.C., </w:t>
      </w:r>
      <w:r w:rsidR="00D27DE9">
        <w:rPr>
          <w:rFonts w:ascii="Arial" w:eastAsia="Calibri" w:hAnsi="Arial" w:cs="Arial"/>
        </w:rPr>
        <w:t xml:space="preserve">7 de </w:t>
      </w:r>
      <w:proofErr w:type="gramStart"/>
      <w:r w:rsidR="00D27DE9">
        <w:rPr>
          <w:rFonts w:ascii="Arial" w:eastAsia="Calibri" w:hAnsi="Arial" w:cs="Arial"/>
        </w:rPr>
        <w:t>Octubre</w:t>
      </w:r>
      <w:proofErr w:type="gramEnd"/>
      <w:r>
        <w:rPr>
          <w:rFonts w:ascii="Arial" w:eastAsia="Calibri" w:hAnsi="Arial" w:cs="Arial"/>
        </w:rPr>
        <w:t xml:space="preserve"> de 2022</w:t>
      </w:r>
    </w:p>
    <w:p w14:paraId="49100CB4" w14:textId="6AE82581" w:rsidR="00486DE1" w:rsidRDefault="00486DE1" w:rsidP="003816CD">
      <w:pPr>
        <w:tabs>
          <w:tab w:val="left" w:pos="3374"/>
        </w:tabs>
        <w:spacing w:after="0" w:line="240" w:lineRule="auto"/>
        <w:rPr>
          <w:rFonts w:ascii="Arial" w:eastAsia="Calibri" w:hAnsi="Arial" w:cs="Arial"/>
        </w:rPr>
      </w:pPr>
    </w:p>
    <w:p w14:paraId="66F3B26F" w14:textId="27821BEE" w:rsidR="00A56EAA" w:rsidRDefault="00A56EAA" w:rsidP="00A56EAA">
      <w:pPr>
        <w:tabs>
          <w:tab w:val="left" w:pos="3374"/>
        </w:tabs>
        <w:spacing w:after="0" w:line="240" w:lineRule="auto"/>
        <w:jc w:val="right"/>
        <w:rPr>
          <w:rFonts w:ascii="Arial" w:eastAsia="Calibri" w:hAnsi="Arial" w:cs="Arial"/>
        </w:rPr>
      </w:pPr>
      <w:r>
        <w:rPr>
          <w:noProof/>
        </w:rPr>
        <w:drawing>
          <wp:inline distT="0" distB="0" distL="0" distR="0" wp14:anchorId="45764EF4" wp14:editId="5F5958E8">
            <wp:extent cx="2992363" cy="7715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3824" t="47966" r="15349" b="19550"/>
                    <a:stretch/>
                  </pic:blipFill>
                  <pic:spPr bwMode="auto">
                    <a:xfrm>
                      <a:off x="0" y="0"/>
                      <a:ext cx="2998174" cy="773023"/>
                    </a:xfrm>
                    <a:prstGeom prst="rect">
                      <a:avLst/>
                    </a:prstGeom>
                    <a:ln>
                      <a:noFill/>
                    </a:ln>
                    <a:extLst>
                      <a:ext uri="{53640926-AAD7-44D8-BBD7-CCE9431645EC}">
                        <a14:shadowObscured xmlns:a14="http://schemas.microsoft.com/office/drawing/2010/main"/>
                      </a:ext>
                    </a:extLst>
                  </pic:spPr>
                </pic:pic>
              </a:graphicData>
            </a:graphic>
          </wp:inline>
        </w:drawing>
      </w:r>
    </w:p>
    <w:p w14:paraId="64171DBD" w14:textId="77777777" w:rsidR="00A56EAA" w:rsidRDefault="00A56EAA" w:rsidP="003816CD">
      <w:pPr>
        <w:tabs>
          <w:tab w:val="left" w:pos="3374"/>
        </w:tabs>
        <w:spacing w:after="0" w:line="240" w:lineRule="auto"/>
        <w:rPr>
          <w:rFonts w:ascii="Arial" w:eastAsia="Calibri" w:hAnsi="Arial" w:cs="Arial"/>
        </w:rPr>
      </w:pPr>
    </w:p>
    <w:p w14:paraId="399C47A4" w14:textId="5474F62E" w:rsidR="00137E23" w:rsidRPr="00176E36" w:rsidRDefault="00137E23" w:rsidP="009C3E5C">
      <w:pPr>
        <w:tabs>
          <w:tab w:val="left" w:pos="3374"/>
        </w:tabs>
        <w:spacing w:after="0" w:line="240" w:lineRule="auto"/>
        <w:rPr>
          <w:rFonts w:ascii="Arial" w:eastAsia="Calibri" w:hAnsi="Arial" w:cs="Arial"/>
        </w:rPr>
      </w:pPr>
      <w:r w:rsidRPr="00176E36">
        <w:rPr>
          <w:rFonts w:ascii="Arial" w:eastAsia="Calibri" w:hAnsi="Arial" w:cs="Arial"/>
        </w:rPr>
        <w:t>Señor</w:t>
      </w:r>
    </w:p>
    <w:p w14:paraId="79248DEF" w14:textId="03EEBC94" w:rsidR="00176E36" w:rsidRDefault="00176E36" w:rsidP="009C3E5C">
      <w:pPr>
        <w:spacing w:after="0" w:line="240" w:lineRule="auto"/>
        <w:rPr>
          <w:rFonts w:ascii="Arial" w:eastAsia="Calibri" w:hAnsi="Arial" w:cs="Arial"/>
          <w:b/>
          <w:bCs/>
        </w:rPr>
      </w:pPr>
      <w:r w:rsidRPr="00176E36">
        <w:rPr>
          <w:rFonts w:ascii="Arial" w:eastAsia="Calibri" w:hAnsi="Arial" w:cs="Arial"/>
          <w:b/>
          <w:bCs/>
        </w:rPr>
        <w:t>Martin Elías Salcedo Mendoza</w:t>
      </w:r>
    </w:p>
    <w:p w14:paraId="6F34B0AD" w14:textId="7E0CC50A" w:rsidR="00881F9F" w:rsidRPr="00504D32" w:rsidRDefault="00504D32" w:rsidP="00176E36">
      <w:pPr>
        <w:rPr>
          <w:rFonts w:ascii="Arial" w:eastAsia="Calibri" w:hAnsi="Arial" w:cs="Arial"/>
        </w:rPr>
      </w:pPr>
      <w:r w:rsidRPr="00504D32">
        <w:rPr>
          <w:rFonts w:ascii="Arial" w:eastAsia="Calibri" w:hAnsi="Arial" w:cs="Arial"/>
        </w:rPr>
        <w:t>Facatativá</w:t>
      </w:r>
    </w:p>
    <w:p w14:paraId="3953C8F7" w14:textId="77777777" w:rsidR="00176E36" w:rsidRDefault="00176E36" w:rsidP="00A30642">
      <w:pPr>
        <w:ind w:left="2116" w:firstLine="708"/>
        <w:rPr>
          <w:rFonts w:ascii="Arial" w:eastAsia="Calibri" w:hAnsi="Arial" w:cs="Arial"/>
          <w:b/>
        </w:rPr>
      </w:pPr>
    </w:p>
    <w:p w14:paraId="1F232330" w14:textId="09D27D24" w:rsidR="00137E23" w:rsidRPr="00510BFB" w:rsidRDefault="00137E23" w:rsidP="00A30642">
      <w:pPr>
        <w:ind w:left="2116" w:firstLine="708"/>
        <w:rPr>
          <w:rFonts w:ascii="Arial" w:eastAsia="Calibri" w:hAnsi="Arial" w:cs="Arial"/>
          <w:b/>
        </w:rPr>
      </w:pPr>
      <w:r w:rsidRPr="00510BFB">
        <w:rPr>
          <w:rFonts w:ascii="Arial" w:eastAsia="Calibri" w:hAnsi="Arial" w:cs="Arial"/>
          <w:b/>
        </w:rPr>
        <w:t>Concepto C –</w:t>
      </w:r>
      <w:r w:rsidR="009C3E5C">
        <w:rPr>
          <w:rFonts w:ascii="Arial" w:eastAsia="Calibri" w:hAnsi="Arial" w:cs="Arial"/>
          <w:b/>
        </w:rPr>
        <w:t xml:space="preserve"> </w:t>
      </w:r>
      <w:r w:rsidR="001F6C15">
        <w:rPr>
          <w:rFonts w:ascii="Arial" w:eastAsia="Calibri" w:hAnsi="Arial" w:cs="Arial"/>
          <w:b/>
        </w:rPr>
        <w:t>655</w:t>
      </w:r>
      <w:r w:rsidR="00176E36">
        <w:rPr>
          <w:rFonts w:ascii="Arial" w:eastAsia="Calibri" w:hAnsi="Arial" w:cs="Arial"/>
          <w:b/>
        </w:rPr>
        <w:t xml:space="preserve"> </w:t>
      </w:r>
      <w:r w:rsidRPr="00510BFB">
        <w:rPr>
          <w:rFonts w:ascii="Arial" w:eastAsia="Calibri" w:hAnsi="Arial" w:cs="Arial"/>
          <w:b/>
        </w:rPr>
        <w:t>de 202</w:t>
      </w:r>
      <w:r w:rsidR="000E0118" w:rsidRPr="00510BFB">
        <w:rPr>
          <w:rFonts w:ascii="Arial" w:eastAsia="Calibri" w:hAnsi="Arial" w:cs="Arial"/>
          <w:b/>
        </w:rPr>
        <w:t>2</w:t>
      </w:r>
    </w:p>
    <w:p w14:paraId="41846C06" w14:textId="2A469B01" w:rsidR="009C3E5C" w:rsidRPr="00176E36" w:rsidRDefault="00A30642" w:rsidP="009C3E5C">
      <w:pPr>
        <w:ind w:left="2824" w:hanging="2824"/>
        <w:jc w:val="both"/>
        <w:rPr>
          <w:rFonts w:ascii="Arial" w:eastAsia="Calibri" w:hAnsi="Arial" w:cs="Arial"/>
          <w:b/>
          <w:color w:val="000000" w:themeColor="text1"/>
          <w:sz w:val="20"/>
          <w:szCs w:val="20"/>
          <w:lang w:val="es-ES_tradnl"/>
        </w:rPr>
      </w:pPr>
      <w:r w:rsidRPr="00510BFB">
        <w:rPr>
          <w:rFonts w:ascii="Arial" w:eastAsia="Calibri" w:hAnsi="Arial" w:cs="Arial"/>
          <w:b/>
          <w:noProof/>
          <w:color w:val="1A1A1A" w:themeColor="background1" w:themeShade="1A"/>
          <w:lang w:val="es-ES_tradnl"/>
        </w:rPr>
        <w:t>Temas</w:t>
      </w:r>
      <w:r w:rsidRPr="00510BFB">
        <w:rPr>
          <w:rFonts w:ascii="Arial" w:eastAsia="Calibri" w:hAnsi="Arial" w:cs="Arial"/>
          <w:bCs/>
          <w:noProof/>
          <w:color w:val="1A1A1A" w:themeColor="background1" w:themeShade="1A"/>
          <w:lang w:val="es-ES_tradnl"/>
        </w:rPr>
        <w:t xml:space="preserve">: </w:t>
      </w:r>
      <w:r w:rsidRPr="00510BFB">
        <w:rPr>
          <w:rFonts w:ascii="Arial" w:eastAsia="Calibri" w:hAnsi="Arial" w:cs="Arial"/>
          <w:bCs/>
          <w:noProof/>
          <w:color w:val="1A1A1A" w:themeColor="background1" w:themeShade="1A"/>
          <w:lang w:val="es-ES_tradnl"/>
        </w:rPr>
        <w:tab/>
      </w:r>
      <w:r w:rsidR="009C3E5C">
        <w:rPr>
          <w:rFonts w:ascii="Arial" w:eastAsia="Calibri" w:hAnsi="Arial" w:cs="Arial"/>
          <w:bCs/>
          <w:noProof/>
          <w:color w:val="1A1A1A" w:themeColor="background1" w:themeShade="1A"/>
          <w:lang w:val="es-ES_tradnl"/>
        </w:rPr>
        <w:tab/>
      </w:r>
      <w:r w:rsidR="00176E36" w:rsidRPr="00176E36">
        <w:rPr>
          <w:rFonts w:ascii="Arial" w:eastAsia="Calibri" w:hAnsi="Arial" w:cs="Arial"/>
          <w:bCs/>
          <w:color w:val="000000" w:themeColor="text1"/>
          <w:lang w:val="es-ES_tradnl"/>
        </w:rPr>
        <w:t>MEDIOS ELECTRÓNICOS – Contratación estatal –</w:t>
      </w:r>
      <w:r w:rsidR="00176E36">
        <w:rPr>
          <w:rFonts w:ascii="Arial" w:eastAsia="Calibri" w:hAnsi="Arial" w:cs="Arial"/>
          <w:bCs/>
          <w:color w:val="000000" w:themeColor="text1"/>
          <w:lang w:val="es-ES_tradnl"/>
        </w:rPr>
        <w:t xml:space="preserve"> </w:t>
      </w:r>
      <w:r w:rsidR="00176E36" w:rsidRPr="00176E36">
        <w:rPr>
          <w:rFonts w:ascii="Arial" w:eastAsia="Calibri" w:hAnsi="Arial" w:cs="Arial"/>
          <w:bCs/>
          <w:color w:val="000000" w:themeColor="text1"/>
          <w:lang w:val="es-ES_tradnl"/>
        </w:rPr>
        <w:t xml:space="preserve">Régimen jurídico </w:t>
      </w:r>
      <w:r w:rsidR="009C3E5C">
        <w:rPr>
          <w:rFonts w:ascii="Arial" w:eastAsia="Calibri" w:hAnsi="Arial" w:cs="Arial"/>
          <w:bCs/>
          <w:color w:val="000000" w:themeColor="text1"/>
          <w:lang w:val="es-ES_tradnl"/>
        </w:rPr>
        <w:t xml:space="preserve">/ </w:t>
      </w:r>
      <w:r w:rsidR="00176E36" w:rsidRPr="00176E36">
        <w:rPr>
          <w:rFonts w:ascii="Arial" w:eastAsia="Calibri" w:hAnsi="Arial" w:cs="Arial"/>
          <w:bCs/>
          <w:color w:val="000000" w:themeColor="text1"/>
          <w:lang w:val="es-ES_tradnl"/>
        </w:rPr>
        <w:t>MEDIOS ELECTRÓNICOS – CPACA – Posibilidad</w:t>
      </w:r>
      <w:r w:rsidR="00176E36">
        <w:rPr>
          <w:rFonts w:ascii="Arial" w:eastAsia="Calibri" w:hAnsi="Arial" w:cs="Arial"/>
          <w:bCs/>
          <w:color w:val="000000" w:themeColor="text1"/>
          <w:lang w:val="es-ES_tradnl"/>
        </w:rPr>
        <w:t xml:space="preserve"> / </w:t>
      </w:r>
      <w:r w:rsidR="00176E36" w:rsidRPr="00176E36">
        <w:rPr>
          <w:rFonts w:ascii="Arial" w:eastAsia="Calibri" w:hAnsi="Arial" w:cs="Arial"/>
          <w:bCs/>
          <w:color w:val="000000" w:themeColor="text1"/>
          <w:lang w:val="es-ES_tradnl"/>
        </w:rPr>
        <w:t>FIRMAS – Firma electrónica – Firma digital – Concepto</w:t>
      </w:r>
      <w:r w:rsidR="00176E36">
        <w:rPr>
          <w:rFonts w:ascii="Arial" w:eastAsia="Calibri" w:hAnsi="Arial" w:cs="Arial"/>
          <w:bCs/>
          <w:color w:val="000000" w:themeColor="text1"/>
          <w:lang w:val="es-ES_tradnl"/>
        </w:rPr>
        <w:t xml:space="preserve">. </w:t>
      </w:r>
    </w:p>
    <w:p w14:paraId="25B8A083" w14:textId="1BFC3490" w:rsidR="00FF5BF5" w:rsidRPr="00510BFB" w:rsidRDefault="00A30642" w:rsidP="00163D53">
      <w:pPr>
        <w:ind w:left="2824" w:hanging="2818"/>
        <w:jc w:val="both"/>
        <w:rPr>
          <w:rFonts w:ascii="Arial" w:eastAsia="Calibri" w:hAnsi="Arial" w:cs="Arial"/>
          <w:bCs/>
          <w:noProof/>
          <w:color w:val="1A1A1A" w:themeColor="background1" w:themeShade="1A"/>
          <w:lang w:val="es-ES_tradnl"/>
        </w:rPr>
      </w:pPr>
      <w:r w:rsidRPr="00510BFB">
        <w:rPr>
          <w:rFonts w:ascii="Arial" w:eastAsia="Calibri" w:hAnsi="Arial" w:cs="Arial"/>
          <w:b/>
          <w:noProof/>
          <w:color w:val="1A1A1A" w:themeColor="background1" w:themeShade="1A"/>
          <w:lang w:val="es-ES_tradnl"/>
        </w:rPr>
        <w:t>Radicación</w:t>
      </w:r>
      <w:r w:rsidRPr="00510BFB">
        <w:rPr>
          <w:rFonts w:ascii="Arial" w:eastAsia="Calibri" w:hAnsi="Arial" w:cs="Arial"/>
          <w:bCs/>
          <w:noProof/>
          <w:color w:val="1A1A1A" w:themeColor="background1" w:themeShade="1A"/>
          <w:lang w:val="es-ES_tradnl"/>
        </w:rPr>
        <w:t>:</w:t>
      </w:r>
      <w:r w:rsidRPr="00510BFB">
        <w:rPr>
          <w:rFonts w:ascii="Arial" w:eastAsia="Calibri" w:hAnsi="Arial" w:cs="Arial"/>
          <w:bCs/>
          <w:noProof/>
          <w:color w:val="1A1A1A" w:themeColor="background1" w:themeShade="1A"/>
          <w:lang w:val="es-ES_tradnl"/>
        </w:rPr>
        <w:tab/>
      </w:r>
      <w:r w:rsidRPr="001F6C15">
        <w:rPr>
          <w:rFonts w:ascii="Arial" w:eastAsia="Calibri" w:hAnsi="Arial" w:cs="Arial"/>
          <w:bCs/>
          <w:noProof/>
          <w:lang w:val="es-ES_tradnl"/>
        </w:rPr>
        <w:t xml:space="preserve">Respuesta a consulta </w:t>
      </w:r>
      <w:r w:rsidR="00176E36" w:rsidRPr="001F6C15">
        <w:rPr>
          <w:rFonts w:ascii="Arial" w:eastAsia="Calibri" w:hAnsi="Arial" w:cs="Arial"/>
          <w:bCs/>
          <w:noProof/>
          <w:lang w:val="es-ES_tradnl"/>
        </w:rPr>
        <w:t>P20220829008616</w:t>
      </w:r>
      <w:r w:rsidR="000D2C22" w:rsidRPr="001F6C15">
        <w:rPr>
          <w:rFonts w:ascii="Arial" w:eastAsia="Calibri" w:hAnsi="Arial" w:cs="Arial"/>
          <w:bCs/>
          <w:noProof/>
          <w:lang w:val="es-ES_tradnl"/>
        </w:rPr>
        <w:t xml:space="preserve">. </w:t>
      </w:r>
    </w:p>
    <w:p w14:paraId="20A3B6D4" w14:textId="62EEFD7E" w:rsidR="00163D53" w:rsidRPr="00510BFB" w:rsidRDefault="00163D53" w:rsidP="00163D53">
      <w:pPr>
        <w:ind w:left="2824" w:hanging="2818"/>
        <w:jc w:val="both"/>
        <w:rPr>
          <w:rFonts w:ascii="Arial" w:eastAsia="Calibri" w:hAnsi="Arial" w:cs="Arial"/>
          <w:lang w:val="es-ES_tradnl"/>
        </w:rPr>
      </w:pPr>
    </w:p>
    <w:p w14:paraId="5874A272" w14:textId="28BB31DA" w:rsidR="00137E23" w:rsidRPr="00510BFB" w:rsidRDefault="00137E23" w:rsidP="009927D7">
      <w:pPr>
        <w:tabs>
          <w:tab w:val="left" w:pos="3374"/>
        </w:tabs>
        <w:spacing w:before="120" w:after="0" w:line="276" w:lineRule="auto"/>
        <w:rPr>
          <w:rFonts w:ascii="Arial" w:eastAsia="Calibri" w:hAnsi="Arial" w:cs="Arial"/>
        </w:rPr>
      </w:pPr>
      <w:r w:rsidRPr="00510BFB">
        <w:rPr>
          <w:rFonts w:ascii="Arial" w:eastAsia="Calibri" w:hAnsi="Arial" w:cs="Arial"/>
        </w:rPr>
        <w:t>Estimad</w:t>
      </w:r>
      <w:r w:rsidR="002249F9" w:rsidRPr="00510BFB">
        <w:rPr>
          <w:rFonts w:ascii="Arial" w:eastAsia="Calibri" w:hAnsi="Arial" w:cs="Arial"/>
        </w:rPr>
        <w:t>o</w:t>
      </w:r>
      <w:r w:rsidR="00E62C8E" w:rsidRPr="00510BFB">
        <w:rPr>
          <w:rFonts w:ascii="Arial" w:eastAsia="Calibri" w:hAnsi="Arial" w:cs="Arial"/>
        </w:rPr>
        <w:t xml:space="preserve"> </w:t>
      </w:r>
      <w:r w:rsidRPr="00510BFB">
        <w:rPr>
          <w:rFonts w:ascii="Arial" w:eastAsia="Calibri" w:hAnsi="Arial" w:cs="Arial"/>
        </w:rPr>
        <w:t>señor</w:t>
      </w:r>
      <w:r w:rsidR="00830AB8" w:rsidRPr="00510BFB">
        <w:rPr>
          <w:rFonts w:ascii="Arial" w:hAnsi="Arial" w:cs="Arial"/>
          <w:b/>
          <w:bCs/>
        </w:rPr>
        <w:t xml:space="preserve"> </w:t>
      </w:r>
      <w:r w:rsidR="00176E36">
        <w:rPr>
          <w:rFonts w:ascii="Arial" w:hAnsi="Arial" w:cs="Arial"/>
        </w:rPr>
        <w:t>Salcedo,</w:t>
      </w:r>
      <w:r w:rsidR="000D2C22">
        <w:rPr>
          <w:rFonts w:ascii="Arial" w:hAnsi="Arial" w:cs="Arial"/>
        </w:rPr>
        <w:t xml:space="preserve"> </w:t>
      </w:r>
      <w:r w:rsidR="002B5060" w:rsidRPr="00510BFB">
        <w:rPr>
          <w:rFonts w:ascii="Arial" w:hAnsi="Arial" w:cs="Arial"/>
        </w:rPr>
        <w:t xml:space="preserve"> </w:t>
      </w:r>
      <w:r w:rsidR="003A7A79" w:rsidRPr="00510BFB">
        <w:rPr>
          <w:rFonts w:ascii="Arial" w:hAnsi="Arial" w:cs="Arial"/>
        </w:rPr>
        <w:t xml:space="preserve"> </w:t>
      </w:r>
      <w:r w:rsidR="00E62C8E" w:rsidRPr="00510BFB">
        <w:rPr>
          <w:rFonts w:ascii="Arial" w:hAnsi="Arial" w:cs="Arial"/>
        </w:rPr>
        <w:t xml:space="preserve"> </w:t>
      </w:r>
      <w:r w:rsidR="005F6209" w:rsidRPr="00510BFB">
        <w:rPr>
          <w:rFonts w:ascii="Arial" w:hAnsi="Arial" w:cs="Arial"/>
          <w:b/>
          <w:bCs/>
        </w:rPr>
        <w:t xml:space="preserve"> </w:t>
      </w:r>
    </w:p>
    <w:p w14:paraId="743F6248" w14:textId="6975A0CA" w:rsidR="00830AB8" w:rsidRPr="00510BFB" w:rsidRDefault="00423644" w:rsidP="009927D7">
      <w:pPr>
        <w:spacing w:before="120" w:after="0" w:line="276" w:lineRule="auto"/>
        <w:jc w:val="both"/>
        <w:rPr>
          <w:rFonts w:ascii="Arial" w:eastAsia="Calibri" w:hAnsi="Arial" w:cs="Arial"/>
        </w:rPr>
      </w:pPr>
      <w:r w:rsidRPr="00510BFB">
        <w:rPr>
          <w:rFonts w:ascii="Arial" w:eastAsia="Calibri"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4052CC" w:rsidRPr="00510BFB">
        <w:rPr>
          <w:rFonts w:ascii="Arial" w:eastAsia="Calibri" w:hAnsi="Arial" w:cs="Arial"/>
        </w:rPr>
        <w:t>de fecha</w:t>
      </w:r>
      <w:r w:rsidR="00DE6321" w:rsidRPr="00510BFB">
        <w:rPr>
          <w:rFonts w:ascii="Arial" w:eastAsia="Calibri" w:hAnsi="Arial" w:cs="Arial"/>
        </w:rPr>
        <w:t xml:space="preserve"> </w:t>
      </w:r>
      <w:r w:rsidR="00176E36">
        <w:rPr>
          <w:rFonts w:ascii="Arial" w:eastAsia="Calibri" w:hAnsi="Arial" w:cs="Arial"/>
        </w:rPr>
        <w:t>29 de agosto</w:t>
      </w:r>
      <w:r w:rsidR="003A7A79" w:rsidRPr="00510BFB">
        <w:rPr>
          <w:rFonts w:ascii="Arial" w:eastAsia="Calibri" w:hAnsi="Arial" w:cs="Arial"/>
        </w:rPr>
        <w:t xml:space="preserve"> </w:t>
      </w:r>
      <w:r w:rsidRPr="00510BFB">
        <w:rPr>
          <w:rFonts w:ascii="Arial" w:eastAsia="Calibri" w:hAnsi="Arial" w:cs="Arial"/>
        </w:rPr>
        <w:t>de 2022.</w:t>
      </w:r>
    </w:p>
    <w:p w14:paraId="2BA897AE" w14:textId="77777777" w:rsidR="009927D7" w:rsidRDefault="009927D7" w:rsidP="009927D7">
      <w:pPr>
        <w:tabs>
          <w:tab w:val="left" w:pos="284"/>
        </w:tabs>
        <w:spacing w:before="120" w:after="0" w:line="276" w:lineRule="auto"/>
        <w:contextualSpacing/>
        <w:jc w:val="both"/>
        <w:rPr>
          <w:rFonts w:ascii="Arial" w:eastAsia="Calibri" w:hAnsi="Arial" w:cs="Arial"/>
          <w:b/>
        </w:rPr>
      </w:pPr>
    </w:p>
    <w:p w14:paraId="6A56E98F" w14:textId="1B3DC483" w:rsidR="00830AB8" w:rsidRPr="00510BFB" w:rsidRDefault="00830AB8" w:rsidP="009927D7">
      <w:pPr>
        <w:tabs>
          <w:tab w:val="left" w:pos="284"/>
        </w:tabs>
        <w:spacing w:before="120" w:after="0" w:line="276" w:lineRule="auto"/>
        <w:contextualSpacing/>
        <w:jc w:val="both"/>
        <w:rPr>
          <w:rFonts w:ascii="Arial" w:eastAsia="Calibri" w:hAnsi="Arial" w:cs="Arial"/>
          <w:b/>
        </w:rPr>
      </w:pPr>
      <w:r w:rsidRPr="00510BFB">
        <w:rPr>
          <w:rFonts w:ascii="Arial" w:eastAsia="Calibri" w:hAnsi="Arial" w:cs="Arial"/>
          <w:b/>
        </w:rPr>
        <w:t xml:space="preserve">1. Problema planteado </w:t>
      </w:r>
    </w:p>
    <w:p w14:paraId="5A1430E4" w14:textId="77777777" w:rsidR="00FF5BF5" w:rsidRPr="001F6C15" w:rsidRDefault="00FF5BF5" w:rsidP="009927D7">
      <w:pPr>
        <w:spacing w:before="120" w:line="276" w:lineRule="auto"/>
        <w:jc w:val="both"/>
        <w:rPr>
          <w:rFonts w:ascii="Arial" w:hAnsi="Arial" w:cs="Arial"/>
          <w:lang w:val="es-ES_tradnl"/>
        </w:rPr>
      </w:pPr>
      <w:r w:rsidRPr="001F6C15">
        <w:rPr>
          <w:rFonts w:ascii="Arial" w:hAnsi="Arial" w:cs="Arial"/>
          <w:lang w:val="es-ES_tradnl"/>
        </w:rPr>
        <w:t xml:space="preserve">Usted formula la siguiente consulta: </w:t>
      </w:r>
    </w:p>
    <w:p w14:paraId="4ED53AE8" w14:textId="2007C835" w:rsidR="0035022D" w:rsidRPr="00E25FB7" w:rsidRDefault="000D2C22" w:rsidP="00E25FB7">
      <w:pPr>
        <w:spacing w:after="120" w:line="240" w:lineRule="auto"/>
        <w:ind w:left="567" w:right="902"/>
        <w:jc w:val="both"/>
        <w:rPr>
          <w:rFonts w:ascii="Arial" w:hAnsi="Arial" w:cs="Arial"/>
          <w:color w:val="1A1A1A" w:themeColor="background1" w:themeShade="1A"/>
          <w:sz w:val="21"/>
          <w:szCs w:val="21"/>
        </w:rPr>
      </w:pPr>
      <w:r w:rsidRPr="00E25FB7">
        <w:rPr>
          <w:rFonts w:ascii="Arial" w:hAnsi="Arial" w:cs="Arial"/>
          <w:color w:val="1A1A1A" w:themeColor="background1" w:themeShade="1A"/>
          <w:sz w:val="21"/>
          <w:szCs w:val="21"/>
        </w:rPr>
        <w:t>«</w:t>
      </w:r>
      <w:r w:rsidR="00D91A82" w:rsidRPr="00E25FB7">
        <w:rPr>
          <w:rFonts w:ascii="Arial" w:hAnsi="Arial" w:cs="Arial"/>
          <w:color w:val="000000"/>
          <w:sz w:val="21"/>
          <w:szCs w:val="21"/>
        </w:rPr>
        <w:t xml:space="preserve">En los pliegos tipo de infraestructura social en el numeral 4.1. Oferta Economica "Para calificar este factor se tendrá en cuenta el valor total indicado en la propuesta económica o el obtenido de la corrección aritmética. La propuesta económica deberá ser allegada en el Sobre 2 y firmada." Es valida la interpretacion para los procesos adelantados en SECOP II segun la cual ¿la ausencia de firma manuscrita o escaneada en la propuesta economica y/o formulario de presupuesto oficial/ Oferta economica da lugar al rechazo de la </w:t>
      </w:r>
      <w:r w:rsidR="00D91A82" w:rsidRPr="00E25FB7">
        <w:rPr>
          <w:rFonts w:ascii="Arial" w:hAnsi="Arial" w:cs="Arial"/>
          <w:color w:val="000000"/>
          <w:sz w:val="21"/>
          <w:szCs w:val="21"/>
        </w:rPr>
        <w:lastRenderedPageBreak/>
        <w:t xml:space="preserve">propuesta sin opción de subsanación o debe tenerse como firmada electronicamente?:» (sic) </w:t>
      </w:r>
    </w:p>
    <w:p w14:paraId="40DB22C1" w14:textId="6D5AE29E" w:rsidR="00830AB8" w:rsidRPr="00510BFB" w:rsidRDefault="00830AB8" w:rsidP="00D91A82">
      <w:pPr>
        <w:spacing w:before="120" w:after="120" w:line="276" w:lineRule="auto"/>
        <w:ind w:right="709"/>
        <w:jc w:val="both"/>
        <w:rPr>
          <w:rFonts w:ascii="Arial" w:hAnsi="Arial" w:cs="Arial"/>
          <w:color w:val="1A1A1A" w:themeColor="background1" w:themeShade="1A"/>
          <w:sz w:val="21"/>
          <w:szCs w:val="21"/>
        </w:rPr>
      </w:pPr>
      <w:r w:rsidRPr="00510BFB">
        <w:rPr>
          <w:rFonts w:ascii="Arial" w:eastAsia="Calibri" w:hAnsi="Arial" w:cs="Arial"/>
          <w:b/>
        </w:rPr>
        <w:t>2. Consideraciones</w:t>
      </w:r>
    </w:p>
    <w:p w14:paraId="60865BAA" w14:textId="19CAC264" w:rsidR="001B06B6" w:rsidRDefault="001B06B6" w:rsidP="001F6C15">
      <w:pPr>
        <w:spacing w:before="120" w:line="276" w:lineRule="auto"/>
        <w:jc w:val="both"/>
        <w:rPr>
          <w:rFonts w:ascii="Arial" w:hAnsi="Arial" w:cs="Arial"/>
          <w:color w:val="000000" w:themeColor="text1"/>
          <w:lang w:val="es-ES_tradnl"/>
        </w:rPr>
      </w:pPr>
      <w:bookmarkStart w:id="3" w:name="_Hlk94018153"/>
      <w:r>
        <w:rPr>
          <w:rFonts w:ascii="Arial" w:hAnsi="Arial" w:cs="Arial"/>
          <w:color w:val="000000" w:themeColor="text1"/>
          <w:lang w:val="es-ES_tradnl"/>
        </w:rPr>
        <w:t xml:space="preserve">La Agencia Nacional de Contratación Pública – Colombia Compra Eficiente, en reiteradas oportunidades, ha analizado la procedencia de los medios electrónicos, como instrumentos permitidos para la sustanciación de las actuaciones administrativas contractuales. Así lo hizo en los conceptos: 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C-754 del 23 de diciembre de 2020, C-193 del 3 de mayo de 2021, C-753 del 6 de febrero de 2022 y C-030 del 25 de febrero de 2022. </w:t>
      </w:r>
    </w:p>
    <w:p w14:paraId="1B3327C8" w14:textId="43C1D70F" w:rsidR="009D2EE7" w:rsidRDefault="001B06B6" w:rsidP="009D2EE7">
      <w:pPr>
        <w:spacing w:before="120" w:after="120" w:line="276" w:lineRule="auto"/>
        <w:ind w:firstLine="567"/>
        <w:jc w:val="both"/>
        <w:rPr>
          <w:rFonts w:ascii="Arial" w:hAnsi="Arial" w:cs="Arial"/>
          <w:color w:val="000000" w:themeColor="text1"/>
          <w:lang w:val="es-ES_tradnl"/>
        </w:rPr>
      </w:pPr>
      <w:r>
        <w:rPr>
          <w:rFonts w:ascii="Arial" w:eastAsia="Calibri" w:hAnsi="Arial" w:cs="Arial"/>
          <w:color w:val="000000" w:themeColor="text1"/>
          <w:lang w:val="es-ES_tradnl"/>
        </w:rPr>
        <w:t xml:space="preserve">Igualmente, </w:t>
      </w:r>
      <w:r w:rsidR="00D91A82">
        <w:rPr>
          <w:rFonts w:ascii="Arial" w:eastAsia="Calibri" w:hAnsi="Arial" w:cs="Arial"/>
          <w:color w:val="000000" w:themeColor="text1"/>
          <w:lang w:val="es-ES_tradnl"/>
        </w:rPr>
        <w:t>esta Subdirección expidió el Concepto con radicado 4201912000005683 de 2019, en el que se explicó el contexto normativo de las firmas manuscritas electrónicas y digitales</w:t>
      </w:r>
      <w:r w:rsidR="00D91A82">
        <w:rPr>
          <w:rFonts w:ascii="Arial" w:hAnsi="Arial" w:cs="Arial"/>
          <w:color w:val="000000" w:themeColor="text1"/>
          <w:lang w:val="es-ES_tradnl"/>
        </w:rPr>
        <w:t xml:space="preserve"> La tesis propuesta en </w:t>
      </w:r>
      <w:r>
        <w:rPr>
          <w:rFonts w:ascii="Arial" w:hAnsi="Arial" w:cs="Arial"/>
          <w:color w:val="000000" w:themeColor="text1"/>
          <w:lang w:val="es-ES_tradnl"/>
        </w:rPr>
        <w:t>dichos pronunciamientos será reiterada a continuación, complementándola con algunas ideas adicionales frente a la consulta que se estudia en esta ocasión.</w:t>
      </w:r>
    </w:p>
    <w:p w14:paraId="7E642107" w14:textId="77777777" w:rsidR="009D2EE7" w:rsidRPr="009D2EE7" w:rsidRDefault="009D2EE7" w:rsidP="009D2EE7">
      <w:pPr>
        <w:spacing w:before="120" w:after="120" w:line="276" w:lineRule="auto"/>
        <w:ind w:firstLine="567"/>
        <w:jc w:val="both"/>
        <w:rPr>
          <w:rFonts w:ascii="Arial" w:hAnsi="Arial" w:cs="Arial"/>
          <w:color w:val="000000" w:themeColor="text1"/>
          <w:sz w:val="4"/>
          <w:szCs w:val="4"/>
          <w:lang w:val="es-ES_tradnl"/>
        </w:rPr>
      </w:pPr>
    </w:p>
    <w:bookmarkEnd w:id="3"/>
    <w:p w14:paraId="730CB9DC" w14:textId="6514864E" w:rsidR="001B06B6" w:rsidRDefault="001729CC" w:rsidP="001B06B6">
      <w:pPr>
        <w:spacing w:line="276" w:lineRule="auto"/>
        <w:jc w:val="both"/>
        <w:rPr>
          <w:rFonts w:ascii="Arial" w:hAnsi="Arial" w:cs="Arial"/>
          <w:b/>
          <w:color w:val="000000" w:themeColor="text1"/>
          <w:lang w:val="es-ES_tradnl"/>
        </w:rPr>
      </w:pPr>
      <w:r>
        <w:rPr>
          <w:rFonts w:ascii="Arial" w:eastAsia="Calibri" w:hAnsi="Arial" w:cs="Arial"/>
          <w:b/>
          <w:bCs/>
          <w:color w:val="000000" w:themeColor="text1"/>
          <w:lang w:val="es-ES_tradnl"/>
        </w:rPr>
        <w:t xml:space="preserve">2.1. </w:t>
      </w:r>
      <w:r w:rsidR="001B06B6" w:rsidRPr="006F1B1E">
        <w:rPr>
          <w:rFonts w:ascii="Arial" w:hAnsi="Arial" w:cs="Arial"/>
          <w:b/>
          <w:color w:val="000000" w:themeColor="text1"/>
          <w:lang w:val="es-ES_tradnl"/>
        </w:rPr>
        <w:t>Uso de medios electrónicos en las actuaciones administrativas y, en especial, en la contratación pública: la tendencia de simplificación de los trámites y la cultura del cero papel</w:t>
      </w:r>
    </w:p>
    <w:p w14:paraId="0B0ABA46" w14:textId="77777777" w:rsidR="001B06B6" w:rsidRPr="006F1B1E" w:rsidRDefault="001B06B6" w:rsidP="001B06B6">
      <w:pPr>
        <w:spacing w:line="276" w:lineRule="auto"/>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14:paraId="3598C707" w14:textId="77777777" w:rsidR="001B06B6" w:rsidRPr="006F1B1E" w:rsidRDefault="001B06B6" w:rsidP="00E02152">
      <w:pPr>
        <w:spacing w:before="120" w:after="120"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 xml:space="preserve">Anteriormente 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w:t>
      </w:r>
      <w:r w:rsidRPr="006F1B1E">
        <w:rPr>
          <w:rFonts w:ascii="Arial" w:eastAsia="Calibri" w:hAnsi="Arial" w:cs="Arial"/>
          <w:color w:val="000000" w:themeColor="text1"/>
          <w:lang w:val="es-ES_tradnl"/>
        </w:rPr>
        <w:lastRenderedPageBreak/>
        <w:t>exclusivamente, a la documentación física, hoy también se admiten dichos atributos respecto de la documentación electrónica.</w:t>
      </w:r>
    </w:p>
    <w:p w14:paraId="12F474B7" w14:textId="6D5E7623" w:rsidR="00BE6B74" w:rsidRPr="006F1B1E" w:rsidRDefault="00BE6B74" w:rsidP="00BE6B74">
      <w:pPr>
        <w:spacing w:before="120" w:after="120" w:line="276" w:lineRule="auto"/>
        <w:ind w:firstLine="709"/>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La función que han jugado las normas «antitrámites», para que dicho cambio se produzca, ha sido decisiva. El Decreto 2150 de 1995 constituye un primer antecedente en la materia. Posteriormente, el artículo 6º de la Ley 962 de 2005</w:t>
      </w:r>
      <w:r w:rsidRPr="006F1B1E">
        <w:rPr>
          <w:rStyle w:val="Refdenotaalpie"/>
          <w:rFonts w:ascii="Arial" w:eastAsia="Calibri" w:hAnsi="Arial" w:cs="Arial"/>
          <w:color w:val="000000" w:themeColor="text1"/>
          <w:lang w:val="es-ES_tradnl"/>
        </w:rPr>
        <w:footnoteReference w:id="1"/>
      </w:r>
      <w:r w:rsidRPr="006F1B1E">
        <w:rPr>
          <w:rFonts w:ascii="Arial" w:eastAsia="Calibri" w:hAnsi="Arial" w:cs="Arial"/>
          <w:color w:val="000000" w:themeColor="text1"/>
          <w:lang w:val="es-ES_tradnl"/>
        </w:rPr>
        <w:t xml:space="preserve"> dispuso que las entidades públicas podían servirse de medios electrónicos para el cumplimiento de sus funciones</w:t>
      </w:r>
      <w:r w:rsidRPr="006F1B1E">
        <w:rPr>
          <w:rStyle w:val="Refdenotaalpie"/>
          <w:rFonts w:ascii="Arial" w:eastAsia="Calibri" w:hAnsi="Arial" w:cs="Arial"/>
          <w:color w:val="000000" w:themeColor="text1"/>
          <w:lang w:val="es-ES_tradnl"/>
        </w:rPr>
        <w:footnoteReference w:id="2"/>
      </w:r>
      <w:r w:rsidRPr="006F1B1E">
        <w:rPr>
          <w:rFonts w:ascii="Arial" w:eastAsia="Calibri" w:hAnsi="Arial" w:cs="Arial"/>
          <w:color w:val="000000" w:themeColor="text1"/>
          <w:lang w:val="es-ES_tradnl"/>
        </w:rPr>
        <w:t>.</w:t>
      </w:r>
      <w:r w:rsidR="00412804">
        <w:rPr>
          <w:rFonts w:ascii="Arial" w:eastAsia="Calibri" w:hAnsi="Arial" w:cs="Arial"/>
          <w:color w:val="000000" w:themeColor="text1"/>
          <w:lang w:val="es-ES_tradnl"/>
        </w:rPr>
        <w:t xml:space="preserve"> </w:t>
      </w:r>
      <w:r w:rsidRPr="006F1B1E">
        <w:rPr>
          <w:rFonts w:ascii="Arial" w:eastAsia="Calibri" w:hAnsi="Arial" w:cs="Arial"/>
          <w:color w:val="000000" w:themeColor="text1"/>
          <w:lang w:val="es-ES_tradnl"/>
        </w:rPr>
        <w:t xml:space="preserve">El artículo 7º de la misma Ley permite la publicidad electrónica de las normas y actos </w:t>
      </w:r>
      <w:r w:rsidRPr="006F1B1E">
        <w:rPr>
          <w:rFonts w:ascii="Arial" w:eastAsia="Calibri" w:hAnsi="Arial" w:cs="Arial"/>
          <w:color w:val="000000" w:themeColor="text1"/>
          <w:lang w:val="es-ES_tradnl"/>
        </w:rPr>
        <w:lastRenderedPageBreak/>
        <w:t>generales de la Administración pública</w:t>
      </w:r>
      <w:r w:rsidRPr="006F1B1E">
        <w:rPr>
          <w:rStyle w:val="Refdenotaalpie"/>
          <w:rFonts w:ascii="Arial" w:eastAsia="Calibri" w:hAnsi="Arial" w:cs="Arial"/>
          <w:color w:val="000000" w:themeColor="text1"/>
          <w:lang w:val="es-ES_tradnl"/>
        </w:rPr>
        <w:footnoteReference w:id="3"/>
      </w:r>
      <w:r w:rsidRPr="006F1B1E">
        <w:rPr>
          <w:rFonts w:ascii="Arial" w:eastAsia="Calibri" w:hAnsi="Arial" w:cs="Arial"/>
          <w:color w:val="000000" w:themeColor="text1"/>
          <w:lang w:val="es-ES_tradnl"/>
        </w:rPr>
        <w:t>, e igualmente, el artículo 10º exige que las entidades estatales tengan un correo electrónico habilitando para la recepción de mensajes enviados por las personas</w:t>
      </w:r>
      <w:r w:rsidRPr="006F1B1E">
        <w:rPr>
          <w:rStyle w:val="Refdenotaalpie"/>
          <w:rFonts w:ascii="Arial" w:eastAsia="Calibri" w:hAnsi="Arial" w:cs="Arial"/>
          <w:color w:val="000000" w:themeColor="text1"/>
          <w:lang w:val="es-ES_tradnl"/>
        </w:rPr>
        <w:footnoteReference w:id="4"/>
      </w:r>
      <w:r w:rsidRPr="006F1B1E">
        <w:rPr>
          <w:rFonts w:ascii="Arial" w:eastAsia="Calibri" w:hAnsi="Arial" w:cs="Arial"/>
          <w:color w:val="000000" w:themeColor="text1"/>
          <w:lang w:val="es-ES_tradnl"/>
        </w:rPr>
        <w:t xml:space="preserve">. Entretanto, el Decreto </w:t>
      </w:r>
      <w:r w:rsidR="00761428">
        <w:rPr>
          <w:rFonts w:ascii="Arial" w:eastAsia="Calibri" w:hAnsi="Arial" w:cs="Arial"/>
          <w:color w:val="000000" w:themeColor="text1"/>
          <w:lang w:val="es-ES_tradnl"/>
        </w:rPr>
        <w:t>0</w:t>
      </w:r>
      <w:r w:rsidRPr="006F1B1E">
        <w:rPr>
          <w:rFonts w:ascii="Arial" w:eastAsia="Calibri" w:hAnsi="Arial" w:cs="Arial"/>
          <w:color w:val="000000" w:themeColor="text1"/>
          <w:lang w:val="es-ES_tradnl"/>
        </w:rPr>
        <w:t>19 de 2012</w:t>
      </w:r>
      <w:r w:rsidRPr="006F1B1E">
        <w:rPr>
          <w:rStyle w:val="Refdenotaalpie"/>
          <w:rFonts w:ascii="Arial" w:eastAsia="Calibri" w:hAnsi="Arial" w:cs="Arial"/>
          <w:color w:val="000000" w:themeColor="text1"/>
          <w:lang w:val="es-ES_tradnl"/>
        </w:rPr>
        <w:footnoteReference w:id="5"/>
      </w:r>
      <w:r w:rsidRPr="006F1B1E">
        <w:rPr>
          <w:rFonts w:ascii="Arial" w:eastAsia="Calibri" w:hAnsi="Arial" w:cs="Arial"/>
          <w:color w:val="000000" w:themeColor="text1"/>
          <w:lang w:val="es-ES_tradnl"/>
        </w:rPr>
        <w:t xml:space="preserve"> continuó la tendencia de poner a disposición de los particulares y de las entidades estatales los medios electrónicos, como instrumentos idóneos para el desarrollo de sus actividades cotidianas. Conviene destacar de este Decreto los artículos: 14 –que permite el uso de medios electrónicos para la realización de peticiones–</w:t>
      </w:r>
      <w:r w:rsidRPr="006F1B1E">
        <w:rPr>
          <w:rStyle w:val="Refdenotaalpie"/>
          <w:rFonts w:ascii="Arial" w:eastAsia="Calibri" w:hAnsi="Arial" w:cs="Arial"/>
          <w:color w:val="000000" w:themeColor="text1"/>
          <w:lang w:val="es-ES_tradnl"/>
        </w:rPr>
        <w:footnoteReference w:id="6"/>
      </w:r>
      <w:r w:rsidRPr="006F1B1E">
        <w:rPr>
          <w:rFonts w:ascii="Arial" w:eastAsia="Calibri" w:hAnsi="Arial" w:cs="Arial"/>
          <w:color w:val="000000" w:themeColor="text1"/>
          <w:lang w:val="es-ES_tradnl"/>
        </w:rPr>
        <w:t xml:space="preserve">, 38 –que establece como función del Departamento </w:t>
      </w:r>
      <w:r w:rsidRPr="006F1B1E">
        <w:rPr>
          <w:rFonts w:ascii="Arial" w:eastAsia="Calibri" w:hAnsi="Arial" w:cs="Arial"/>
          <w:color w:val="000000" w:themeColor="text1"/>
          <w:lang w:val="es-ES_tradnl"/>
        </w:rPr>
        <w:lastRenderedPageBreak/>
        <w:t>Administrativo de la Función Pública, el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en el SECOP–</w:t>
      </w:r>
      <w:r w:rsidRPr="006F1B1E">
        <w:rPr>
          <w:rStyle w:val="Refdenotaalpie"/>
          <w:rFonts w:ascii="Arial" w:eastAsia="Calibri" w:hAnsi="Arial" w:cs="Arial"/>
          <w:color w:val="000000" w:themeColor="text1"/>
          <w:lang w:val="es-ES_tradnl"/>
        </w:rPr>
        <w:footnoteReference w:id="7"/>
      </w:r>
      <w:r w:rsidRPr="006F1B1E">
        <w:rPr>
          <w:rFonts w:ascii="Arial" w:eastAsia="Calibri" w:hAnsi="Arial" w:cs="Arial"/>
          <w:color w:val="000000" w:themeColor="text1"/>
          <w:lang w:val="es-ES_tradnl"/>
        </w:rPr>
        <w:t>, entre otros. De igual manera, el Decreto 2106 de 2019</w:t>
      </w:r>
      <w:r w:rsidRPr="006F1B1E">
        <w:rPr>
          <w:rStyle w:val="Refdenotaalpie"/>
          <w:rFonts w:ascii="Arial" w:eastAsia="Calibri" w:hAnsi="Arial" w:cs="Arial"/>
          <w:color w:val="000000" w:themeColor="text1"/>
          <w:lang w:val="es-ES_tradnl"/>
        </w:rPr>
        <w:footnoteReference w:id="8"/>
      </w:r>
      <w:r w:rsidRPr="006F1B1E">
        <w:rPr>
          <w:rFonts w:ascii="Arial" w:eastAsia="Calibri" w:hAnsi="Arial" w:cs="Arial"/>
          <w:color w:val="000000" w:themeColor="text1"/>
          <w:lang w:val="es-ES_tradnl"/>
        </w:rPr>
        <w:t xml:space="preserve">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6F1B1E">
        <w:rPr>
          <w:rStyle w:val="Refdenotaalpie"/>
          <w:rFonts w:ascii="Arial" w:eastAsia="Calibri" w:hAnsi="Arial" w:cs="Arial"/>
          <w:color w:val="000000" w:themeColor="text1"/>
          <w:lang w:val="es-ES_tradnl"/>
        </w:rPr>
        <w:footnoteReference w:id="9"/>
      </w:r>
      <w:r w:rsidRPr="006F1B1E">
        <w:rPr>
          <w:rFonts w:ascii="Arial" w:eastAsia="Calibri" w:hAnsi="Arial" w:cs="Arial"/>
          <w:color w:val="000000" w:themeColor="text1"/>
          <w:lang w:val="es-ES_tradnl"/>
        </w:rPr>
        <w:t>. Además, reconoce que las personas pueden adelantar sus trámites a través de «todos los portales, sitios web, plataformas, ventanillas únicas, aplicaciones y soluciones existentes»</w:t>
      </w:r>
      <w:r w:rsidRPr="006F1B1E">
        <w:rPr>
          <w:rStyle w:val="Refdenotaalpie"/>
          <w:rFonts w:ascii="Arial" w:eastAsia="Calibri" w:hAnsi="Arial" w:cs="Arial"/>
          <w:color w:val="000000" w:themeColor="text1"/>
          <w:lang w:val="es-ES_tradnl"/>
        </w:rPr>
        <w:footnoteReference w:id="10"/>
      </w:r>
      <w:r w:rsidRPr="006F1B1E">
        <w:rPr>
          <w:rFonts w:ascii="Arial" w:eastAsia="Calibri" w:hAnsi="Arial" w:cs="Arial"/>
          <w:color w:val="000000" w:themeColor="text1"/>
          <w:lang w:val="es-ES_tradnl"/>
        </w:rPr>
        <w:t xml:space="preserve"> y autoriza la gestión documental electrónica</w:t>
      </w:r>
      <w:r w:rsidRPr="006F1B1E">
        <w:rPr>
          <w:rStyle w:val="Refdenotaalpie"/>
          <w:rFonts w:ascii="Arial" w:eastAsia="Calibri" w:hAnsi="Arial" w:cs="Arial"/>
          <w:color w:val="000000" w:themeColor="text1"/>
          <w:lang w:val="es-ES_tradnl"/>
        </w:rPr>
        <w:footnoteReference w:id="11"/>
      </w:r>
      <w:r w:rsidRPr="006F1B1E">
        <w:rPr>
          <w:rFonts w:ascii="Arial" w:eastAsia="Calibri" w:hAnsi="Arial" w:cs="Arial"/>
          <w:color w:val="000000" w:themeColor="text1"/>
          <w:lang w:val="es-ES_tradnl"/>
        </w:rPr>
        <w:t>.</w:t>
      </w:r>
      <w:r>
        <w:rPr>
          <w:rFonts w:ascii="Arial" w:eastAsia="Calibri" w:hAnsi="Arial" w:cs="Arial"/>
          <w:color w:val="000000" w:themeColor="text1"/>
          <w:lang w:val="es-ES_tradnl"/>
        </w:rPr>
        <w:t xml:space="preserve"> En igual sentido, el artículo 5 de la Ley 2052 de 2020 prevé la digitalización de los trámites</w:t>
      </w:r>
      <w:r>
        <w:rPr>
          <w:rStyle w:val="Refdenotaalpie"/>
          <w:rFonts w:ascii="Arial" w:eastAsia="Calibri" w:hAnsi="Arial" w:cs="Arial"/>
          <w:color w:val="000000" w:themeColor="text1"/>
          <w:lang w:val="es-ES_tradnl"/>
        </w:rPr>
        <w:footnoteReference w:id="12"/>
      </w:r>
      <w:r>
        <w:rPr>
          <w:rFonts w:ascii="Arial" w:eastAsia="Calibri" w:hAnsi="Arial" w:cs="Arial"/>
          <w:color w:val="000000" w:themeColor="text1"/>
          <w:lang w:val="es-ES_tradnl"/>
        </w:rPr>
        <w:t>.</w:t>
      </w:r>
    </w:p>
    <w:p w14:paraId="56E39D04" w14:textId="77777777" w:rsidR="001B06B6" w:rsidRPr="006F1B1E" w:rsidRDefault="001B06B6" w:rsidP="008E4238">
      <w:pPr>
        <w:spacing w:before="120" w:after="120"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 xml:space="preserve">Pero no solo las disposiciones que integran lo que comúnmente conocemos como normativa «antitrámites» –y que se acaban de reseñar– han sido las que han permitido o </w:t>
      </w:r>
      <w:r w:rsidRPr="006F1B1E">
        <w:rPr>
          <w:rFonts w:ascii="Arial" w:eastAsia="Calibri" w:hAnsi="Arial" w:cs="Arial"/>
          <w:color w:val="000000" w:themeColor="text1"/>
          <w:lang w:val="es-ES_tradnl"/>
        </w:rPr>
        <w:lastRenderedPageBreak/>
        <w:t>exigido el uso de medios electrónicos en las actuaciones normativas. También lo han hecho: la Ley 527 de 1999, la Ley 1150 de 2007, la Ley 1341 de 2009 y la Ley 1437 de 2011.</w:t>
      </w:r>
    </w:p>
    <w:p w14:paraId="750B8548" w14:textId="77777777" w:rsidR="001B06B6" w:rsidRPr="006F1B1E" w:rsidRDefault="001B06B6" w:rsidP="008E4238">
      <w:pPr>
        <w:spacing w:before="120" w:after="120"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En efecto, la Ley 527 de 1999</w:t>
      </w:r>
      <w:r w:rsidRPr="006F1B1E">
        <w:rPr>
          <w:rStyle w:val="Refdenotaalpie"/>
          <w:rFonts w:ascii="Arial" w:eastAsia="Calibri" w:hAnsi="Arial" w:cs="Arial"/>
          <w:color w:val="000000" w:themeColor="text1"/>
          <w:lang w:val="es-ES_tradnl"/>
        </w:rPr>
        <w:footnoteReference w:id="13"/>
      </w:r>
      <w:r w:rsidRPr="006F1B1E">
        <w:rPr>
          <w:rFonts w:ascii="Arial" w:eastAsia="Calibri" w:hAnsi="Arial" w:cs="Arial"/>
          <w:color w:val="000000" w:themeColor="text1"/>
          <w:lang w:val="es-ES_tradnl"/>
        </w:rPr>
        <w:t xml:space="preserve">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6F1B1E">
        <w:rPr>
          <w:rFonts w:ascii="Arial" w:eastAsia="Calibri" w:hAnsi="Arial" w:cs="Arial"/>
          <w:color w:val="000000" w:themeColor="text1"/>
          <w:lang w:val="es-ES_tradnl"/>
        </w:rPr>
        <w:t>en razón de</w:t>
      </w:r>
      <w:proofErr w:type="gramEnd"/>
      <w:r w:rsidRPr="006F1B1E">
        <w:rPr>
          <w:rFonts w:ascii="Arial" w:eastAsia="Calibri" w:hAnsi="Arial" w:cs="Arial"/>
          <w:color w:val="000000" w:themeColor="text1"/>
          <w:lang w:val="es-ES_tradnl"/>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6F1B1E">
        <w:rPr>
          <w:rStyle w:val="Refdenotaalpie"/>
          <w:rFonts w:ascii="Arial" w:eastAsia="Calibri" w:hAnsi="Arial" w:cs="Arial"/>
          <w:color w:val="000000" w:themeColor="text1"/>
          <w:lang w:val="es-ES_tradnl"/>
        </w:rPr>
        <w:footnoteReference w:id="14"/>
      </w:r>
      <w:r w:rsidRPr="006F1B1E">
        <w:rPr>
          <w:rFonts w:ascii="Arial" w:eastAsia="Calibri" w:hAnsi="Arial" w:cs="Arial"/>
          <w:color w:val="000000" w:themeColor="text1"/>
          <w:lang w:val="es-ES_tradnl"/>
        </w:rPr>
        <w:t xml:space="preserve"> y «sistema de información» como «todo sistema utilizado para generar, enviar, recibir, archivar o procesar de alguna otra forma mensajes de datos»</w:t>
      </w:r>
      <w:r w:rsidRPr="006F1B1E">
        <w:rPr>
          <w:rStyle w:val="Refdenotaalpie"/>
          <w:rFonts w:ascii="Arial" w:eastAsia="Calibri" w:hAnsi="Arial" w:cs="Arial"/>
          <w:color w:val="000000" w:themeColor="text1"/>
          <w:lang w:val="es-ES_tradnl"/>
        </w:rPr>
        <w:footnoteReference w:id="15"/>
      </w:r>
      <w:r w:rsidRPr="006F1B1E">
        <w:rPr>
          <w:rFonts w:ascii="Arial" w:eastAsia="Calibri" w:hAnsi="Arial" w:cs="Arial"/>
          <w:color w:val="000000" w:themeColor="text1"/>
          <w:lang w:val="es-ES_tradnl"/>
        </w:rPr>
        <w:t xml:space="preserve">. Bajo este entendido, las aplicaciones web, que posibilitan el envío de mensajes de datos escritos o audiovisuales, como </w:t>
      </w:r>
      <w:r w:rsidRPr="006F1B1E">
        <w:rPr>
          <w:rFonts w:ascii="Arial" w:eastAsia="Calibri" w:hAnsi="Arial" w:cs="Arial"/>
          <w:i/>
          <w:color w:val="000000" w:themeColor="text1"/>
          <w:lang w:val="es-ES_tradnl"/>
        </w:rPr>
        <w:t>Skype</w:t>
      </w:r>
      <w:r w:rsidRPr="006F1B1E">
        <w:rPr>
          <w:rFonts w:ascii="Arial" w:eastAsia="Calibri" w:hAnsi="Arial" w:cs="Arial"/>
          <w:color w:val="000000" w:themeColor="text1"/>
          <w:lang w:val="es-ES_tradnl"/>
        </w:rPr>
        <w:t xml:space="preserve">, </w:t>
      </w:r>
      <w:proofErr w:type="spellStart"/>
      <w:r w:rsidRPr="006F1B1E">
        <w:rPr>
          <w:rFonts w:ascii="Arial" w:eastAsia="Calibri" w:hAnsi="Arial" w:cs="Arial"/>
          <w:i/>
          <w:color w:val="000000" w:themeColor="text1"/>
          <w:lang w:val="es-ES_tradnl"/>
        </w:rPr>
        <w:t>Facetime</w:t>
      </w:r>
      <w:proofErr w:type="spellEnd"/>
      <w:r w:rsidRPr="006F1B1E">
        <w:rPr>
          <w:rFonts w:ascii="Arial" w:eastAsia="Calibri" w:hAnsi="Arial" w:cs="Arial"/>
          <w:color w:val="000000" w:themeColor="text1"/>
          <w:lang w:val="es-ES_tradnl"/>
        </w:rPr>
        <w:t xml:space="preserve">, </w:t>
      </w:r>
      <w:proofErr w:type="spellStart"/>
      <w:r w:rsidRPr="006F1B1E">
        <w:rPr>
          <w:rFonts w:ascii="Arial" w:eastAsia="Calibri" w:hAnsi="Arial" w:cs="Arial"/>
          <w:i/>
          <w:color w:val="000000" w:themeColor="text1"/>
          <w:lang w:val="es-ES_tradnl"/>
        </w:rPr>
        <w:t>Whatsapp</w:t>
      </w:r>
      <w:proofErr w:type="spellEnd"/>
      <w:r w:rsidRPr="006F1B1E">
        <w:rPr>
          <w:rFonts w:ascii="Arial" w:eastAsia="Calibri" w:hAnsi="Arial" w:cs="Arial"/>
          <w:color w:val="000000" w:themeColor="text1"/>
          <w:lang w:val="es-ES_tradnl"/>
        </w:rPr>
        <w:t xml:space="preserve">, </w:t>
      </w:r>
      <w:proofErr w:type="spellStart"/>
      <w:r w:rsidRPr="006F1B1E">
        <w:rPr>
          <w:rFonts w:ascii="Arial" w:eastAsia="Calibri" w:hAnsi="Arial" w:cs="Arial"/>
          <w:i/>
          <w:color w:val="000000" w:themeColor="text1"/>
          <w:lang w:val="es-ES_tradnl"/>
        </w:rPr>
        <w:t>Teams</w:t>
      </w:r>
      <w:proofErr w:type="spellEnd"/>
      <w:r w:rsidRPr="006F1B1E">
        <w:rPr>
          <w:rFonts w:ascii="Arial" w:eastAsia="Calibri" w:hAnsi="Arial" w:cs="Arial"/>
          <w:color w:val="000000" w:themeColor="text1"/>
          <w:lang w:val="es-ES_tradnl"/>
        </w:rPr>
        <w:t>, entre otras, constituyen sistemas de información, permitidos por el legislador en las actuaciones administrativas.</w:t>
      </w:r>
    </w:p>
    <w:p w14:paraId="56050B66" w14:textId="77777777" w:rsidR="001B06B6" w:rsidRPr="006F1B1E" w:rsidRDefault="001B06B6" w:rsidP="008E4238">
      <w:pPr>
        <w:spacing w:before="120"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Adicionalmente, la Ley 1150 de 2007</w:t>
      </w:r>
      <w:r w:rsidRPr="006F1B1E">
        <w:rPr>
          <w:rStyle w:val="Refdenotaalpie"/>
          <w:rFonts w:ascii="Arial" w:eastAsia="Calibri" w:hAnsi="Arial" w:cs="Arial"/>
          <w:color w:val="000000" w:themeColor="text1"/>
          <w:lang w:val="es-ES_tradnl"/>
        </w:rPr>
        <w:footnoteReference w:id="16"/>
      </w:r>
      <w:r w:rsidRPr="006F1B1E">
        <w:rPr>
          <w:rFonts w:ascii="Arial" w:eastAsia="Calibri" w:hAnsi="Arial" w:cs="Arial"/>
          <w:color w:val="000000" w:themeColor="text1"/>
          <w:lang w:val="es-ES_tradnl"/>
        </w:rPr>
        <w:t xml:space="preserve"> incorporó la posibilidad de utilizar dichos sistemas de información y en general los medios electrónicos en las actuaciones contractuales. Así se infiere del artículo 3, a cuyo tenor:</w:t>
      </w:r>
    </w:p>
    <w:p w14:paraId="1A1D9924"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4C7179E"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proofErr w:type="gramStart"/>
      <w:r w:rsidRPr="006F1B1E">
        <w:rPr>
          <w:rFonts w:ascii="Arial" w:eastAsia="Calibri" w:hAnsi="Arial" w:cs="Arial"/>
          <w:color w:val="000000" w:themeColor="text1"/>
          <w:sz w:val="21"/>
          <w:szCs w:val="21"/>
          <w:lang w:val="es-ES_tradnl"/>
        </w:rPr>
        <w:lastRenderedPageBreak/>
        <w:t>»Lo</w:t>
      </w:r>
      <w:proofErr w:type="gramEnd"/>
      <w:r w:rsidRPr="006F1B1E">
        <w:rPr>
          <w:rFonts w:ascii="Arial" w:eastAsia="Calibri" w:hAnsi="Arial" w:cs="Arial"/>
          <w:color w:val="000000" w:themeColor="text1"/>
          <w:sz w:val="21"/>
          <w:szCs w:val="21"/>
          <w:lang w:val="es-ES_tradnl"/>
        </w:rPr>
        <w:t xml:space="preserve"> anterior, sin perjuicio de las publicaciones previstas en el numeral 3 del artículo 30 de la Ley 80 de 1993.</w:t>
      </w:r>
    </w:p>
    <w:p w14:paraId="67E21924"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proofErr w:type="gramStart"/>
      <w:r w:rsidRPr="006F1B1E">
        <w:rPr>
          <w:rFonts w:ascii="Arial" w:eastAsia="Calibri" w:hAnsi="Arial" w:cs="Arial"/>
          <w:color w:val="000000" w:themeColor="text1"/>
          <w:sz w:val="21"/>
          <w:szCs w:val="21"/>
          <w:lang w:val="es-ES_tradnl"/>
        </w:rPr>
        <w:t>»Con</w:t>
      </w:r>
      <w:proofErr w:type="gramEnd"/>
      <w:r w:rsidRPr="006F1B1E">
        <w:rPr>
          <w:rFonts w:ascii="Arial" w:eastAsia="Calibri" w:hAnsi="Arial" w:cs="Arial"/>
          <w:color w:val="000000" w:themeColor="text1"/>
          <w:sz w:val="21"/>
          <w:szCs w:val="21"/>
          <w:lang w:val="es-ES_tradnl"/>
        </w:rPr>
        <w:t xml:space="preserve"> el fin de materializar los objetivos a que se refiere el inciso anterior, el Gobierno Nacional desarrollará el Sistema Electrónico para la Contratación Pública, Secop, el cual:</w:t>
      </w:r>
    </w:p>
    <w:p w14:paraId="4E26C031"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proofErr w:type="gramStart"/>
      <w:r w:rsidRPr="006F1B1E">
        <w:rPr>
          <w:rFonts w:ascii="Arial" w:eastAsia="Calibri" w:hAnsi="Arial" w:cs="Arial"/>
          <w:color w:val="000000" w:themeColor="text1"/>
          <w:sz w:val="21"/>
          <w:szCs w:val="21"/>
          <w:lang w:val="es-ES_tradnl"/>
        </w:rPr>
        <w:t>»a</w:t>
      </w:r>
      <w:proofErr w:type="gramEnd"/>
      <w:r w:rsidRPr="006F1B1E">
        <w:rPr>
          <w:rFonts w:ascii="Arial" w:eastAsia="Calibri" w:hAnsi="Arial" w:cs="Arial"/>
          <w:color w:val="000000" w:themeColor="text1"/>
          <w:sz w:val="21"/>
          <w:szCs w:val="21"/>
          <w:lang w:val="es-ES_tradnl"/>
        </w:rPr>
        <w:t>) Dispondrá de las funcionalidades tecnológicas para realizar procesos de contratación electrónicos bajo los métodos de selección señalados en el artículo 2o de la presente ley según lo defina el reglamento;</w:t>
      </w:r>
    </w:p>
    <w:p w14:paraId="2A526237"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proofErr w:type="gramStart"/>
      <w:r w:rsidRPr="006F1B1E">
        <w:rPr>
          <w:rFonts w:ascii="Arial" w:eastAsia="Calibri" w:hAnsi="Arial" w:cs="Arial"/>
          <w:color w:val="000000" w:themeColor="text1"/>
          <w:sz w:val="21"/>
          <w:szCs w:val="21"/>
          <w:lang w:val="es-ES_tradnl"/>
        </w:rPr>
        <w:t>»b</w:t>
      </w:r>
      <w:proofErr w:type="gramEnd"/>
      <w:r w:rsidRPr="006F1B1E">
        <w:rPr>
          <w:rFonts w:ascii="Arial" w:eastAsia="Calibri" w:hAnsi="Arial" w:cs="Arial"/>
          <w:color w:val="000000" w:themeColor="text1"/>
          <w:sz w:val="21"/>
          <w:szCs w:val="21"/>
          <w:lang w:val="es-ES_tradnl"/>
        </w:rPr>
        <w:t>) Servirá de punto único de ingreso de información y de generación de reportes para las entidades estatales y la ciudadanía;</w:t>
      </w:r>
    </w:p>
    <w:p w14:paraId="3C5FECF2"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144B823C"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proofErr w:type="gramStart"/>
      <w:r w:rsidRPr="006F1B1E">
        <w:rPr>
          <w:rFonts w:ascii="Arial" w:eastAsia="Calibri" w:hAnsi="Arial" w:cs="Arial"/>
          <w:color w:val="000000" w:themeColor="text1"/>
          <w:sz w:val="21"/>
          <w:szCs w:val="21"/>
          <w:lang w:val="es-ES_tradnl"/>
        </w:rPr>
        <w:t>»d</w:t>
      </w:r>
      <w:proofErr w:type="gramEnd"/>
      <w:r w:rsidRPr="006F1B1E">
        <w:rPr>
          <w:rFonts w:ascii="Arial" w:eastAsia="Calibri" w:hAnsi="Arial" w:cs="Arial"/>
          <w:color w:val="000000" w:themeColor="text1"/>
          <w:sz w:val="21"/>
          <w:szCs w:val="21"/>
          <w:lang w:val="es-ES_tradnl"/>
        </w:rPr>
        <w:t>)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7E05E53"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proofErr w:type="gramStart"/>
      <w:r w:rsidRPr="006F1B1E">
        <w:rPr>
          <w:rFonts w:ascii="Arial" w:eastAsia="Calibri" w:hAnsi="Arial" w:cs="Arial"/>
          <w:color w:val="000000" w:themeColor="text1"/>
          <w:sz w:val="21"/>
          <w:szCs w:val="21"/>
          <w:lang w:val="es-ES_tradnl"/>
        </w:rPr>
        <w:t>»PARÁGRAFO</w:t>
      </w:r>
      <w:proofErr w:type="gramEnd"/>
      <w:r w:rsidRPr="006F1B1E">
        <w:rPr>
          <w:rFonts w:ascii="Arial" w:eastAsia="Calibri" w:hAnsi="Arial" w:cs="Arial"/>
          <w:color w:val="000000" w:themeColor="text1"/>
          <w:sz w:val="21"/>
          <w:szCs w:val="21"/>
          <w:lang w:val="es-ES_tradnl"/>
        </w:rPr>
        <w:t xml:space="preserve"> 1o. En ningún caso la administración del Secop supondrá la creación de una nueva entidad.</w:t>
      </w:r>
    </w:p>
    <w:p w14:paraId="7A1BBCB4"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El Secop será administrado por el organismo que designe el Gobierno Nacional, sin perjuicio de la autonomía que respecto del SICE confiere la Ley 598 de 2000 a la Contraloría General de la República»</w:t>
      </w:r>
      <w:r w:rsidRPr="006F1B1E">
        <w:rPr>
          <w:rStyle w:val="Refdenotaalpie"/>
          <w:rFonts w:ascii="Arial" w:eastAsia="Calibri" w:hAnsi="Arial" w:cs="Arial"/>
          <w:color w:val="000000" w:themeColor="text1"/>
          <w:sz w:val="21"/>
          <w:szCs w:val="21"/>
          <w:lang w:val="es-ES_tradnl"/>
        </w:rPr>
        <w:footnoteReference w:id="17"/>
      </w:r>
      <w:r w:rsidRPr="006F1B1E">
        <w:rPr>
          <w:rFonts w:ascii="Arial" w:eastAsia="Calibri" w:hAnsi="Arial" w:cs="Arial"/>
          <w:color w:val="000000" w:themeColor="text1"/>
          <w:sz w:val="21"/>
          <w:szCs w:val="21"/>
          <w:lang w:val="es-ES_tradnl"/>
        </w:rPr>
        <w:t>.</w:t>
      </w:r>
    </w:p>
    <w:p w14:paraId="01F00F79" w14:textId="77777777" w:rsidR="001B06B6" w:rsidRPr="006F1B1E" w:rsidRDefault="001B06B6" w:rsidP="008E4238">
      <w:pPr>
        <w:spacing w:after="120"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lastRenderedPageBreak/>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718E54CB" w14:textId="77777777" w:rsidR="001B06B6" w:rsidRPr="006F1B1E" w:rsidRDefault="001B06B6" w:rsidP="008E4238">
      <w:pPr>
        <w:spacing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La Ley 1341 de 2009</w:t>
      </w:r>
      <w:r w:rsidRPr="006F1B1E">
        <w:rPr>
          <w:rStyle w:val="Refdenotaalpie"/>
          <w:rFonts w:ascii="Arial" w:eastAsia="Calibri" w:hAnsi="Arial" w:cs="Arial"/>
          <w:color w:val="000000" w:themeColor="text1"/>
          <w:lang w:val="es-ES_tradnl"/>
        </w:rPr>
        <w:footnoteReference w:id="18"/>
      </w:r>
      <w:r w:rsidRPr="006F1B1E">
        <w:rPr>
          <w:rFonts w:ascii="Arial" w:eastAsia="Calibri" w:hAnsi="Arial" w:cs="Arial"/>
          <w:color w:val="000000" w:themeColor="text1"/>
          <w:lang w:val="es-ES_tradnl"/>
        </w:rPr>
        <w:t xml:space="preserve"> establece la «masificación del gobierno en línea», indicando en el artículo 2, numeral 8, que:</w:t>
      </w:r>
    </w:p>
    <w:p w14:paraId="5338B5FD" w14:textId="77777777" w:rsidR="001B06B6" w:rsidRPr="006F1B1E" w:rsidRDefault="001B06B6" w:rsidP="001B06B6">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4620C682" w14:textId="77777777" w:rsidR="001B06B6" w:rsidRPr="006F1B1E" w:rsidRDefault="001B06B6" w:rsidP="008E4238">
      <w:pPr>
        <w:spacing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La Ley 1437 de 2011</w:t>
      </w:r>
      <w:r w:rsidRPr="006F1B1E">
        <w:rPr>
          <w:rStyle w:val="Refdenotaalpie"/>
          <w:rFonts w:ascii="Arial" w:eastAsia="Calibri" w:hAnsi="Arial" w:cs="Arial"/>
          <w:color w:val="000000" w:themeColor="text1"/>
          <w:lang w:val="es-ES_tradnl"/>
        </w:rPr>
        <w:footnoteReference w:id="19"/>
      </w:r>
      <w:r w:rsidRPr="006F1B1E">
        <w:rPr>
          <w:rFonts w:ascii="Arial" w:eastAsia="Calibri" w:hAnsi="Arial" w:cs="Arial"/>
          <w:color w:val="000000" w:themeColor="text1"/>
          <w:lang w:val="es-ES_tradnl"/>
        </w:rPr>
        <w:t xml:space="preserve"> continúa la línea explicada, consistente en el reconocimiento de validez a las actuaciones realizadas en sede virtual, y dedica un capítulo completo a la utilización de medios electrónicos en el procedimiento administrativo</w:t>
      </w:r>
      <w:r w:rsidRPr="006F1B1E">
        <w:rPr>
          <w:rStyle w:val="Refdenotaalpie"/>
          <w:rFonts w:ascii="Arial" w:eastAsia="Calibri" w:hAnsi="Arial" w:cs="Arial"/>
          <w:color w:val="000000" w:themeColor="text1"/>
          <w:lang w:val="es-ES_tradnl"/>
        </w:rPr>
        <w:footnoteReference w:id="20"/>
      </w:r>
      <w:r w:rsidRPr="006F1B1E">
        <w:rPr>
          <w:rFonts w:ascii="Arial" w:eastAsia="Calibri" w:hAnsi="Arial" w:cs="Arial"/>
          <w:color w:val="000000" w:themeColor="text1"/>
          <w:lang w:val="es-ES_tradnl"/>
        </w:rPr>
        <w:t xml:space="preserve">.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w:t>
      </w:r>
      <w:r w:rsidRPr="006F1B1E">
        <w:rPr>
          <w:rFonts w:ascii="Arial" w:eastAsia="Calibri" w:hAnsi="Arial" w:cs="Arial"/>
          <w:color w:val="000000" w:themeColor="text1"/>
          <w:lang w:val="es-ES_tradnl"/>
        </w:rPr>
        <w:lastRenderedPageBreak/>
        <w:t xml:space="preserve">medio electrónico, iv) la notificación electrónica, v) el acto administrativo electrónico, vi) el archivo electrónico de documentos, </w:t>
      </w:r>
      <w:proofErr w:type="spellStart"/>
      <w:r w:rsidRPr="006F1B1E">
        <w:rPr>
          <w:rFonts w:ascii="Arial" w:eastAsia="Calibri" w:hAnsi="Arial" w:cs="Arial"/>
          <w:color w:val="000000" w:themeColor="text1"/>
          <w:lang w:val="es-ES_tradnl"/>
        </w:rPr>
        <w:t>vii</w:t>
      </w:r>
      <w:proofErr w:type="spellEnd"/>
      <w:r w:rsidRPr="006F1B1E">
        <w:rPr>
          <w:rFonts w:ascii="Arial" w:eastAsia="Calibri" w:hAnsi="Arial" w:cs="Arial"/>
          <w:color w:val="000000" w:themeColor="text1"/>
          <w:lang w:val="es-ES_tradnl"/>
        </w:rPr>
        <w:t xml:space="preserve">) el expediente electrónico, </w:t>
      </w:r>
      <w:proofErr w:type="spellStart"/>
      <w:r w:rsidRPr="006F1B1E">
        <w:rPr>
          <w:rFonts w:ascii="Arial" w:eastAsia="Calibri" w:hAnsi="Arial" w:cs="Arial"/>
          <w:color w:val="000000" w:themeColor="text1"/>
          <w:lang w:val="es-ES_tradnl"/>
        </w:rPr>
        <w:t>viii</w:t>
      </w:r>
      <w:proofErr w:type="spellEnd"/>
      <w:r w:rsidRPr="006F1B1E">
        <w:rPr>
          <w:rFonts w:ascii="Arial" w:eastAsia="Calibri" w:hAnsi="Arial" w:cs="Arial"/>
          <w:color w:val="000000" w:themeColor="text1"/>
          <w:lang w:val="es-ES_tradnl"/>
        </w:rPr>
        <w:t xml:space="preserve">) la sede electrónica, </w:t>
      </w:r>
      <w:proofErr w:type="spellStart"/>
      <w:r w:rsidRPr="006F1B1E">
        <w:rPr>
          <w:rFonts w:ascii="Arial" w:eastAsia="Calibri" w:hAnsi="Arial" w:cs="Arial"/>
          <w:color w:val="000000" w:themeColor="text1"/>
          <w:lang w:val="es-ES_tradnl"/>
        </w:rPr>
        <w:t>ix</w:t>
      </w:r>
      <w:proofErr w:type="spellEnd"/>
      <w:r w:rsidRPr="006F1B1E">
        <w:rPr>
          <w:rFonts w:ascii="Arial" w:eastAsia="Calibri" w:hAnsi="Arial" w:cs="Arial"/>
          <w:color w:val="000000" w:themeColor="text1"/>
          <w:lang w:val="es-ES_tradnl"/>
        </w:rPr>
        <w:t xml:space="preserve">) la recepción de documentos electrónicos por parte de las autoridades, x) la prueba de recepción en envío de mensajes de datos por la autoridad, xi) las sesiones virtuales y </w:t>
      </w:r>
      <w:proofErr w:type="spellStart"/>
      <w:r w:rsidRPr="006F1B1E">
        <w:rPr>
          <w:rFonts w:ascii="Arial" w:eastAsia="Calibri" w:hAnsi="Arial" w:cs="Arial"/>
          <w:color w:val="000000" w:themeColor="text1"/>
          <w:lang w:val="es-ES_tradnl"/>
        </w:rPr>
        <w:t>xii</w:t>
      </w:r>
      <w:proofErr w:type="spellEnd"/>
      <w:r w:rsidRPr="006F1B1E">
        <w:rPr>
          <w:rFonts w:ascii="Arial" w:eastAsia="Calibri" w:hAnsi="Arial" w:cs="Arial"/>
          <w:color w:val="000000" w:themeColor="text1"/>
          <w:lang w:val="es-ES_tradnl"/>
        </w:rPr>
        <w:t>) los estándares y protocolos.</w:t>
      </w:r>
    </w:p>
    <w:p w14:paraId="726C3F77" w14:textId="77777777" w:rsidR="001B06B6" w:rsidRPr="006F1B1E" w:rsidRDefault="001B06B6" w:rsidP="008E4238">
      <w:pPr>
        <w:spacing w:before="120" w:line="276" w:lineRule="auto"/>
        <w:ind w:firstLine="567"/>
        <w:jc w:val="both"/>
        <w:rPr>
          <w:rFonts w:ascii="Arial" w:eastAsia="Calibri" w:hAnsi="Arial" w:cs="Arial"/>
          <w:color w:val="000000" w:themeColor="text1"/>
          <w:lang w:val="es-ES_tradnl"/>
        </w:rPr>
      </w:pPr>
      <w:r w:rsidRPr="006F1B1E">
        <w:rPr>
          <w:rFonts w:ascii="Arial" w:eastAsia="Calibri" w:hAnsi="Arial" w:cs="Arial"/>
          <w:color w:val="000000" w:themeColor="text1"/>
          <w:lang w:val="es-ES_tradnl"/>
        </w:rPr>
        <w:t>La utilización de los medios electrónicos regulados en la Ley 1437 de 2011 en la contratación estatal es posible a partir de la remisión efectuada por el artículo 77 de la Ley 80 de 1993 a las normas del CPACA</w:t>
      </w:r>
      <w:r w:rsidRPr="006F1B1E">
        <w:rPr>
          <w:rStyle w:val="Refdenotaalpie"/>
          <w:rFonts w:ascii="Arial" w:eastAsia="Calibri" w:hAnsi="Arial" w:cs="Arial"/>
          <w:color w:val="000000" w:themeColor="text1"/>
          <w:lang w:val="es-ES_tradnl"/>
        </w:rPr>
        <w:footnoteReference w:id="21"/>
      </w:r>
      <w:r w:rsidRPr="006F1B1E">
        <w:rPr>
          <w:rFonts w:ascii="Arial" w:eastAsia="Calibri" w:hAnsi="Arial" w:cs="Arial"/>
          <w:color w:val="000000" w:themeColor="text1"/>
          <w:lang w:val="es-ES_tradnl"/>
        </w:rPr>
        <w:t>, que</w:t>
      </w:r>
      <w:r>
        <w:rPr>
          <w:rFonts w:ascii="Arial" w:eastAsia="Calibri" w:hAnsi="Arial" w:cs="Arial"/>
          <w:color w:val="000000" w:themeColor="text1"/>
          <w:lang w:val="es-ES_tradnl"/>
        </w:rPr>
        <w:t>,</w:t>
      </w:r>
      <w:r w:rsidRPr="006F1B1E">
        <w:rPr>
          <w:rFonts w:ascii="Arial" w:eastAsia="Calibri" w:hAnsi="Arial" w:cs="Arial"/>
          <w:color w:val="000000" w:themeColor="text1"/>
          <w:lang w:val="es-ES_tradnl"/>
        </w:rPr>
        <w:t xml:space="preserve"> a su vez, como se indicó, se remite a las disposiciones de la Ley 527 de 1999.</w:t>
      </w:r>
    </w:p>
    <w:p w14:paraId="16F320F0" w14:textId="48F1C3B6" w:rsidR="008E4238" w:rsidRPr="00546B90" w:rsidRDefault="008E4238" w:rsidP="008E4238">
      <w:pPr>
        <w:spacing w:line="276" w:lineRule="auto"/>
        <w:jc w:val="both"/>
        <w:rPr>
          <w:rFonts w:ascii="Arial" w:eastAsia="Calibri" w:hAnsi="Arial" w:cs="Arial"/>
          <w:color w:val="000000" w:themeColor="text1"/>
          <w:lang w:val="es-ES_tradnl"/>
        </w:rPr>
      </w:pPr>
      <w:r>
        <w:rPr>
          <w:rFonts w:ascii="Arial" w:eastAsia="Calibri" w:hAnsi="Arial" w:cs="Arial"/>
          <w:b/>
          <w:bCs/>
          <w:color w:val="000000" w:themeColor="text1"/>
          <w:lang w:val="es-ES_tradnl"/>
        </w:rPr>
        <w:t xml:space="preserve">2.2. </w:t>
      </w:r>
      <w:r w:rsidRPr="00546B90">
        <w:rPr>
          <w:rFonts w:ascii="Arial" w:eastAsia="Calibri" w:hAnsi="Arial" w:cs="Arial"/>
          <w:b/>
          <w:bCs/>
          <w:color w:val="000000" w:themeColor="text1"/>
          <w:lang w:val="es-ES_tradnl"/>
        </w:rPr>
        <w:t xml:space="preserve">Requisitos de las firmas manuscritas, electrónicas y digitales  </w:t>
      </w:r>
    </w:p>
    <w:p w14:paraId="193DC5CD" w14:textId="2BFD8777" w:rsidR="008E4238" w:rsidRPr="00546B90" w:rsidRDefault="008E4238" w:rsidP="008E4238">
      <w:pPr>
        <w:spacing w:after="120" w:line="276" w:lineRule="auto"/>
        <w:jc w:val="both"/>
        <w:rPr>
          <w:rFonts w:ascii="Arial" w:eastAsia="Calibri" w:hAnsi="Arial" w:cs="Arial"/>
          <w:color w:val="000000" w:themeColor="text1"/>
          <w:lang w:val="es-ES_tradnl"/>
        </w:rPr>
      </w:pPr>
      <w:r w:rsidRPr="00546B90">
        <w:rPr>
          <w:rFonts w:ascii="Arial" w:eastAsia="Calibri" w:hAnsi="Arial" w:cs="Arial"/>
          <w:color w:val="000000" w:themeColor="text1"/>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4" w:name="_Hlk35441008"/>
      <w:r w:rsidRPr="00546B90">
        <w:rPr>
          <w:rFonts w:ascii="Arial" w:eastAsia="Calibri" w:hAnsi="Arial" w:cs="Arial"/>
          <w:color w:val="000000" w:themeColor="text1"/>
          <w:lang w:val="es-ES_tradnl"/>
        </w:rPr>
        <w:t xml:space="preserve">Dentro del concepto general, la </w:t>
      </w:r>
      <w:r w:rsidRPr="00546B90">
        <w:rPr>
          <w:rFonts w:ascii="Arial" w:eastAsia="Calibri" w:hAnsi="Arial" w:cs="Arial"/>
          <w:i/>
          <w:iCs/>
          <w:color w:val="000000" w:themeColor="text1"/>
          <w:lang w:val="es-ES_tradnl"/>
        </w:rPr>
        <w:t>firma manuscrita</w:t>
      </w:r>
      <w:r w:rsidRPr="00546B90">
        <w:rPr>
          <w:rFonts w:ascii="Arial" w:eastAsia="Calibri" w:hAnsi="Arial" w:cs="Arial"/>
          <w:color w:val="000000" w:themeColor="text1"/>
          <w:lang w:val="es-ES_tradnl"/>
        </w:rPr>
        <w:t xml:space="preserve"> </w:t>
      </w:r>
      <w:r w:rsidRPr="00546B90">
        <w:rPr>
          <w:rFonts w:ascii="Arial" w:eastAsia="Calibri" w:hAnsi="Arial" w:cs="Arial"/>
          <w:color w:val="000000" w:themeColor="text1"/>
        </w:rPr>
        <w:t>es «[…] un rasgo o signo impuesto del puño y letra de una persona, con el cual, de forma general y reiterada, se compromete con el contenido de los documentos que la consignan, o da fe de que lo allí registrado obedece a la realidad»</w:t>
      </w:r>
      <w:r w:rsidRPr="00546B90">
        <w:rPr>
          <w:rStyle w:val="Refdenotaalpie"/>
          <w:rFonts w:ascii="Arial" w:eastAsia="Calibri" w:hAnsi="Arial" w:cs="Arial"/>
          <w:color w:val="000000" w:themeColor="text1"/>
        </w:rPr>
        <w:footnoteReference w:id="22"/>
      </w:r>
      <w:r w:rsidRPr="00546B90">
        <w:rPr>
          <w:rFonts w:ascii="Arial" w:eastAsia="Calibri" w:hAnsi="Arial" w:cs="Arial"/>
          <w:color w:val="000000" w:themeColor="text1"/>
        </w:rPr>
        <w:t xml:space="preserve">. </w:t>
      </w:r>
    </w:p>
    <w:p w14:paraId="71DA15E6" w14:textId="0FE45BA6" w:rsidR="008E4238" w:rsidRPr="00546B90" w:rsidRDefault="008E4238" w:rsidP="008E4238">
      <w:pPr>
        <w:spacing w:after="120" w:line="276" w:lineRule="auto"/>
        <w:ind w:firstLine="567"/>
        <w:jc w:val="both"/>
        <w:rPr>
          <w:rFonts w:ascii="Arial" w:eastAsia="Calibri" w:hAnsi="Arial" w:cs="Arial"/>
          <w:color w:val="000000" w:themeColor="text1"/>
        </w:rPr>
      </w:pPr>
      <w:r w:rsidRPr="00546B90">
        <w:rPr>
          <w:rFonts w:ascii="Arial" w:eastAsia="Calibri" w:hAnsi="Arial" w:cs="Arial"/>
          <w:color w:val="000000" w:themeColor="text1"/>
        </w:rPr>
        <w:t xml:space="preserve">Por otra parte, </w:t>
      </w:r>
      <w:r w:rsidR="00C85E27" w:rsidRPr="00546B90">
        <w:rPr>
          <w:rFonts w:ascii="Arial" w:eastAsia="Calibri" w:hAnsi="Arial" w:cs="Arial"/>
          <w:color w:val="000000" w:themeColor="text1"/>
        </w:rPr>
        <w:t xml:space="preserve">el artículo 1 del Decreto 2364 de 2012 </w:t>
      </w:r>
      <w:r w:rsidR="00C85E27">
        <w:rPr>
          <w:rFonts w:ascii="Arial" w:eastAsia="Calibri" w:hAnsi="Arial" w:cs="Arial"/>
          <w:color w:val="000000" w:themeColor="text1"/>
        </w:rPr>
        <w:t>define</w:t>
      </w:r>
      <w:r w:rsidRPr="00546B90">
        <w:rPr>
          <w:rFonts w:ascii="Arial" w:eastAsia="Calibri" w:hAnsi="Arial" w:cs="Arial"/>
          <w:color w:val="000000" w:themeColor="text1"/>
        </w:rPr>
        <w:t xml:space="preserve"> la </w:t>
      </w:r>
      <w:r w:rsidRPr="00546B90">
        <w:rPr>
          <w:rFonts w:ascii="Arial" w:eastAsia="Calibri" w:hAnsi="Arial" w:cs="Arial"/>
          <w:i/>
          <w:iCs/>
          <w:color w:val="000000" w:themeColor="text1"/>
        </w:rPr>
        <w:t xml:space="preserve">firma </w:t>
      </w:r>
      <w:proofErr w:type="gramStart"/>
      <w:r w:rsidRPr="00546B90">
        <w:rPr>
          <w:rFonts w:ascii="Arial" w:eastAsia="Calibri" w:hAnsi="Arial" w:cs="Arial"/>
          <w:i/>
          <w:iCs/>
          <w:color w:val="000000" w:themeColor="text1"/>
        </w:rPr>
        <w:t>electrónica</w:t>
      </w:r>
      <w:r w:rsidRPr="00546B90">
        <w:rPr>
          <w:rFonts w:ascii="Arial" w:eastAsia="Calibri" w:hAnsi="Arial" w:cs="Arial"/>
          <w:color w:val="000000" w:themeColor="text1"/>
        </w:rPr>
        <w:t xml:space="preserve">  como</w:t>
      </w:r>
      <w:proofErr w:type="gramEnd"/>
      <w:r w:rsidRPr="00546B90">
        <w:rPr>
          <w:rFonts w:ascii="Arial" w:eastAsia="Calibri" w:hAnsi="Arial" w:cs="Arial"/>
          <w:color w:val="000000" w:themeColor="text1"/>
        </w:rPr>
        <w:t xml:space="preserve">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w:t>
      </w:r>
      <w:r w:rsidRPr="00546B90">
        <w:rPr>
          <w:rFonts w:ascii="Arial" w:eastAsia="Calibri" w:hAnsi="Arial" w:cs="Arial"/>
          <w:color w:val="000000" w:themeColor="text1"/>
        </w:rPr>
        <w:lastRenderedPageBreak/>
        <w:t xml:space="preserve">debe tener la firma electrónica son: i) identificar el firmante, ii) asegurar que el documento firmado es exactamente el mismo que el original y iii) asegurar que los datos que utiliza el firmante para realizar la firma son únicos y exclusivos. </w:t>
      </w:r>
    </w:p>
    <w:p w14:paraId="5686FCE2" w14:textId="77777777" w:rsidR="008E4238" w:rsidRPr="00546B90" w:rsidRDefault="008E4238" w:rsidP="008E4238">
      <w:pPr>
        <w:spacing w:after="120" w:line="276" w:lineRule="auto"/>
        <w:ind w:firstLine="567"/>
        <w:jc w:val="both"/>
        <w:rPr>
          <w:rFonts w:ascii="Arial" w:eastAsia="Calibri" w:hAnsi="Arial" w:cs="Arial"/>
          <w:color w:val="000000" w:themeColor="text1"/>
        </w:rPr>
      </w:pPr>
      <w:r>
        <w:rPr>
          <w:rFonts w:ascii="Arial" w:eastAsia="Calibri" w:hAnsi="Arial" w:cs="Arial"/>
          <w:color w:val="000000" w:themeColor="text1"/>
        </w:rPr>
        <w:t>Adicionalmente</w:t>
      </w:r>
      <w:r w:rsidRPr="00546B90">
        <w:rPr>
          <w:rFonts w:ascii="Arial" w:eastAsia="Calibri" w:hAnsi="Arial" w:cs="Arial"/>
          <w:color w:val="000000" w:themeColor="text1"/>
        </w:rPr>
        <w:t xml:space="preserve">, el artículo 2 de la Ley 527 de 1999 define la </w:t>
      </w:r>
      <w:r w:rsidRPr="00546B90">
        <w:rPr>
          <w:rFonts w:ascii="Arial" w:eastAsia="Calibri" w:hAnsi="Arial" w:cs="Arial"/>
          <w:i/>
          <w:iCs/>
          <w:color w:val="000000" w:themeColor="text1"/>
        </w:rPr>
        <w:t>firma digital</w:t>
      </w:r>
      <w:r w:rsidRPr="00546B90">
        <w:rPr>
          <w:rFonts w:ascii="Arial" w:eastAsia="Calibri" w:hAnsi="Arial" w:cs="Arial"/>
          <w:color w:val="000000" w:themeColor="text1"/>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546B90">
        <w:rPr>
          <w:rStyle w:val="Refdenotaalpie"/>
          <w:rFonts w:ascii="Arial" w:eastAsia="Calibri" w:hAnsi="Arial" w:cs="Arial"/>
          <w:color w:val="000000" w:themeColor="text1"/>
        </w:rPr>
        <w:footnoteReference w:id="23"/>
      </w:r>
      <w:r w:rsidRPr="00546B90">
        <w:rPr>
          <w:rFonts w:ascii="Arial" w:eastAsia="Calibri" w:hAnsi="Arial" w:cs="Arial"/>
          <w:color w:val="000000" w:themeColor="text1"/>
        </w:rPr>
        <w:t>. Además, esta normativa prevé que podrán emitir certificados en relación con las firmas digitales las entidades de certificación</w:t>
      </w:r>
      <w:r w:rsidRPr="00546B90">
        <w:rPr>
          <w:rStyle w:val="Refdenotaalpie"/>
          <w:rFonts w:ascii="Arial" w:eastAsia="Calibri" w:hAnsi="Arial" w:cs="Arial"/>
          <w:color w:val="000000" w:themeColor="text1"/>
        </w:rPr>
        <w:footnoteReference w:id="24"/>
      </w:r>
      <w:r w:rsidRPr="00546B90">
        <w:rPr>
          <w:rFonts w:ascii="Arial" w:eastAsia="Calibri" w:hAnsi="Arial" w:cs="Arial"/>
          <w:color w:val="000000" w:themeColor="text1"/>
        </w:rPr>
        <w:t xml:space="preserve">. </w:t>
      </w:r>
    </w:p>
    <w:bookmarkEnd w:id="4"/>
    <w:p w14:paraId="13A04C56" w14:textId="52F07C99" w:rsidR="008E4238" w:rsidRPr="00546B90" w:rsidRDefault="008E4238" w:rsidP="008E4238">
      <w:pPr>
        <w:spacing w:after="120" w:line="276" w:lineRule="auto"/>
        <w:ind w:firstLine="567"/>
        <w:jc w:val="both"/>
        <w:rPr>
          <w:rFonts w:ascii="Arial" w:eastAsia="Calibri" w:hAnsi="Arial" w:cs="Arial"/>
          <w:color w:val="000000" w:themeColor="text1"/>
        </w:rPr>
      </w:pPr>
      <w:r w:rsidRPr="00546B90">
        <w:rPr>
          <w:rFonts w:ascii="Arial" w:eastAsia="Calibri" w:hAnsi="Arial" w:cs="Arial"/>
          <w:color w:val="000000" w:themeColor="text1"/>
        </w:rPr>
        <w:t xml:space="preserve">El Documento </w:t>
      </w:r>
      <w:r w:rsidR="00412804" w:rsidRPr="00546B90">
        <w:rPr>
          <w:rFonts w:ascii="Arial" w:eastAsia="Calibri" w:hAnsi="Arial" w:cs="Arial"/>
          <w:color w:val="000000" w:themeColor="text1"/>
        </w:rPr>
        <w:t>Conpes</w:t>
      </w:r>
      <w:r w:rsidRPr="00546B90">
        <w:rPr>
          <w:rFonts w:ascii="Arial" w:eastAsia="Calibri" w:hAnsi="Arial" w:cs="Arial"/>
          <w:color w:val="000000" w:themeColor="text1"/>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546B90">
        <w:rPr>
          <w:rFonts w:ascii="Arial" w:eastAsia="Calibri" w:hAnsi="Arial" w:cs="Arial"/>
          <w:color w:val="000000" w:themeColor="text1"/>
        </w:rPr>
        <w:t>del mismo</w:t>
      </w:r>
      <w:proofErr w:type="gramEnd"/>
      <w:r w:rsidRPr="00546B90">
        <w:rPr>
          <w:rFonts w:ascii="Arial" w:eastAsia="Calibri" w:hAnsi="Arial" w:cs="Arial"/>
          <w:color w:val="000000" w:themeColor="text1"/>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079D37BE" w14:textId="77777777" w:rsidR="008E4238" w:rsidRPr="00546B90" w:rsidRDefault="008E4238" w:rsidP="008E4238">
      <w:pPr>
        <w:spacing w:after="120" w:line="276" w:lineRule="auto"/>
        <w:ind w:firstLine="708"/>
        <w:jc w:val="both"/>
        <w:rPr>
          <w:rFonts w:ascii="Arial" w:eastAsia="Calibri" w:hAnsi="Arial" w:cs="Arial"/>
          <w:color w:val="000000" w:themeColor="text1"/>
        </w:rPr>
      </w:pPr>
      <w:r w:rsidRPr="00546B90">
        <w:rPr>
          <w:rFonts w:ascii="Arial" w:eastAsia="Calibri" w:hAnsi="Arial" w:cs="Arial"/>
          <w:color w:val="000000" w:themeColor="text1"/>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w:t>
      </w:r>
      <w:r w:rsidRPr="00546B90">
        <w:rPr>
          <w:rFonts w:ascii="Arial" w:eastAsia="Calibri" w:hAnsi="Arial" w:cs="Arial"/>
          <w:color w:val="000000" w:themeColor="text1"/>
        </w:rPr>
        <w:lastRenderedPageBreak/>
        <w:t>requisitos explicados anteriormente. Dentro de este marco, es necesario distinguir dos (2) situaciones: i) el documento original tiene la firma manuscrita y luego se escaneó para</w:t>
      </w:r>
      <w:r>
        <w:rPr>
          <w:rFonts w:ascii="Arial" w:eastAsia="Calibri" w:hAnsi="Arial" w:cs="Arial"/>
          <w:color w:val="000000" w:themeColor="text1"/>
        </w:rPr>
        <w:t xml:space="preserve"> subirlo a una plataforma</w:t>
      </w:r>
      <w:r w:rsidRPr="00546B90">
        <w:rPr>
          <w:rFonts w:ascii="Arial" w:eastAsia="Calibri" w:hAnsi="Arial" w:cs="Arial"/>
          <w:color w:val="000000" w:themeColor="text1"/>
        </w:rPr>
        <w:t xml:space="preserve"> </w:t>
      </w:r>
      <w:r>
        <w:rPr>
          <w:rFonts w:ascii="Arial" w:eastAsia="Calibri" w:hAnsi="Arial" w:cs="Arial"/>
          <w:color w:val="000000" w:themeColor="text1"/>
        </w:rPr>
        <w:t xml:space="preserve">o </w:t>
      </w:r>
      <w:r w:rsidRPr="00546B90">
        <w:rPr>
          <w:rFonts w:ascii="Arial" w:eastAsia="Calibri" w:hAnsi="Arial" w:cs="Arial"/>
          <w:color w:val="000000" w:themeColor="text1"/>
        </w:rPr>
        <w:t xml:space="preserve">enviarlo </w:t>
      </w:r>
      <w:r>
        <w:rPr>
          <w:rFonts w:ascii="Arial" w:eastAsia="Calibri" w:hAnsi="Arial" w:cs="Arial"/>
          <w:color w:val="000000" w:themeColor="text1"/>
        </w:rPr>
        <w:t>a un destinatario</w:t>
      </w:r>
      <w:r w:rsidRPr="00546B90">
        <w:rPr>
          <w:rFonts w:ascii="Arial" w:eastAsia="Calibri" w:hAnsi="Arial" w:cs="Arial"/>
          <w:color w:val="000000" w:themeColor="text1"/>
        </w:rPr>
        <w:t xml:space="preserve"> por </w:t>
      </w:r>
      <w:r>
        <w:rPr>
          <w:rFonts w:ascii="Arial" w:eastAsia="Calibri" w:hAnsi="Arial" w:cs="Arial"/>
          <w:color w:val="000000" w:themeColor="text1"/>
        </w:rPr>
        <w:t>medio</w:t>
      </w:r>
      <w:r w:rsidRPr="00546B90">
        <w:rPr>
          <w:rFonts w:ascii="Arial" w:eastAsia="Calibri" w:hAnsi="Arial" w:cs="Arial"/>
          <w:color w:val="000000" w:themeColor="text1"/>
        </w:rPr>
        <w:t xml:space="preserve"> electrónico y ii) </w:t>
      </w:r>
      <w:bookmarkStart w:id="5" w:name="_Hlk35438181"/>
      <w:r w:rsidRPr="00546B90">
        <w:rPr>
          <w:rFonts w:ascii="Arial" w:eastAsia="Calibri" w:hAnsi="Arial" w:cs="Arial"/>
          <w:color w:val="000000" w:themeColor="text1"/>
        </w:rPr>
        <w:t xml:space="preserve">el documento tiene una imagen con la firma y se adjunta como archivo para </w:t>
      </w:r>
      <w:bookmarkEnd w:id="5"/>
      <w:r>
        <w:rPr>
          <w:rFonts w:ascii="Arial" w:eastAsia="Calibri" w:hAnsi="Arial" w:cs="Arial"/>
          <w:color w:val="000000" w:themeColor="text1"/>
        </w:rPr>
        <w:t xml:space="preserve">remitirlo al destinatario. </w:t>
      </w:r>
      <w:r w:rsidRPr="00546B90">
        <w:rPr>
          <w:rFonts w:ascii="Arial" w:eastAsia="Calibri" w:hAnsi="Arial" w:cs="Arial"/>
          <w:color w:val="000000" w:themeColor="text1"/>
        </w:rPr>
        <w:t xml:space="preserve"> </w:t>
      </w:r>
    </w:p>
    <w:p w14:paraId="357025DA" w14:textId="77777777" w:rsidR="008E4238" w:rsidRPr="00546B90" w:rsidRDefault="008E4238" w:rsidP="008E4238">
      <w:pPr>
        <w:spacing w:after="120" w:line="276" w:lineRule="auto"/>
        <w:ind w:firstLine="708"/>
        <w:jc w:val="both"/>
        <w:rPr>
          <w:rFonts w:ascii="Arial" w:eastAsia="Calibri" w:hAnsi="Arial" w:cs="Arial"/>
          <w:color w:val="000000" w:themeColor="text1"/>
        </w:rPr>
      </w:pPr>
      <w:r w:rsidRPr="00546B90">
        <w:rPr>
          <w:rFonts w:ascii="Arial" w:eastAsia="Calibri" w:hAnsi="Arial" w:cs="Arial"/>
          <w:color w:val="000000" w:themeColor="text1"/>
        </w:rPr>
        <w:t xml:space="preserve">En el </w:t>
      </w:r>
      <w:r w:rsidRPr="00546B90">
        <w:rPr>
          <w:rFonts w:ascii="Arial" w:eastAsia="Calibri" w:hAnsi="Arial" w:cs="Arial"/>
          <w:i/>
          <w:iCs/>
          <w:color w:val="000000" w:themeColor="text1"/>
        </w:rPr>
        <w:t>primer supuesto</w:t>
      </w:r>
      <w:r w:rsidRPr="00546B90">
        <w:rPr>
          <w:rFonts w:ascii="Arial" w:eastAsia="Calibri" w:hAnsi="Arial" w:cs="Arial"/>
          <w:color w:val="000000" w:themeColor="text1"/>
        </w:rPr>
        <w:t>, es válido el documento con firma manuscrita que se escanea posteriormente para</w:t>
      </w:r>
      <w:r>
        <w:rPr>
          <w:rFonts w:ascii="Arial" w:eastAsia="Calibri" w:hAnsi="Arial" w:cs="Arial"/>
          <w:color w:val="000000" w:themeColor="text1"/>
        </w:rPr>
        <w:t xml:space="preserve"> subirlo a una plataforma digital o</w:t>
      </w:r>
      <w:r w:rsidRPr="00546B90">
        <w:rPr>
          <w:rFonts w:ascii="Arial" w:eastAsia="Calibri" w:hAnsi="Arial" w:cs="Arial"/>
          <w:color w:val="000000" w:themeColor="text1"/>
        </w:rPr>
        <w:t xml:space="preserve"> enviarlo, pues aquel está firmado con el puño y letra de la persona que lo suscribe; razón por la cual el hecho de que se escanee para </w:t>
      </w:r>
      <w:r>
        <w:rPr>
          <w:rFonts w:ascii="Arial" w:eastAsia="Calibri" w:hAnsi="Arial" w:cs="Arial"/>
          <w:color w:val="000000" w:themeColor="text1"/>
        </w:rPr>
        <w:t xml:space="preserve">insertarlo o </w:t>
      </w:r>
      <w:r w:rsidRPr="00546B90">
        <w:rPr>
          <w:rFonts w:ascii="Arial" w:eastAsia="Calibri" w:hAnsi="Arial" w:cs="Arial"/>
          <w:color w:val="000000" w:themeColor="text1"/>
        </w:rPr>
        <w:t>enviarlo</w:t>
      </w:r>
      <w:r>
        <w:rPr>
          <w:rFonts w:ascii="Arial" w:eastAsia="Calibri" w:hAnsi="Arial" w:cs="Arial"/>
          <w:color w:val="000000" w:themeColor="text1"/>
        </w:rPr>
        <w:t xml:space="preserve"> a través de un medio</w:t>
      </w:r>
      <w:r w:rsidRPr="00546B90">
        <w:rPr>
          <w:rFonts w:ascii="Arial" w:eastAsia="Calibri" w:hAnsi="Arial" w:cs="Arial"/>
          <w:color w:val="000000" w:themeColor="text1"/>
        </w:rPr>
        <w:t xml:space="preserve"> electrónico no es un motivo para </w:t>
      </w:r>
      <w:r>
        <w:rPr>
          <w:rFonts w:ascii="Arial" w:eastAsia="Calibri" w:hAnsi="Arial" w:cs="Arial"/>
          <w:color w:val="000000" w:themeColor="text1"/>
        </w:rPr>
        <w:t>negar su autenticidad</w:t>
      </w:r>
      <w:r w:rsidRPr="00546B90">
        <w:rPr>
          <w:rFonts w:ascii="Arial" w:eastAsia="Calibri" w:hAnsi="Arial" w:cs="Arial"/>
          <w:color w:val="000000" w:themeColor="text1"/>
        </w:rPr>
        <w:t xml:space="preserve">. </w:t>
      </w:r>
      <w:r>
        <w:rPr>
          <w:rFonts w:ascii="Arial" w:eastAsia="Calibri" w:hAnsi="Arial" w:cs="Arial"/>
          <w:color w:val="000000" w:themeColor="text1"/>
        </w:rPr>
        <w:t>Por el contrario, el documento es una</w:t>
      </w:r>
      <w:r w:rsidRPr="00546B90">
        <w:rPr>
          <w:rFonts w:ascii="Arial" w:eastAsia="Calibri" w:hAnsi="Arial" w:cs="Arial"/>
          <w:color w:val="000000" w:themeColor="text1"/>
        </w:rPr>
        <w:t xml:space="preserve"> copia simple del original y </w:t>
      </w:r>
      <w:r>
        <w:rPr>
          <w:rFonts w:ascii="Arial" w:eastAsia="Calibri" w:hAnsi="Arial" w:cs="Arial"/>
          <w:color w:val="000000" w:themeColor="text1"/>
        </w:rPr>
        <w:t>que se presume auténtica</w:t>
      </w:r>
      <w:r w:rsidRPr="00546B90">
        <w:rPr>
          <w:rFonts w:ascii="Arial" w:eastAsia="Calibri" w:hAnsi="Arial" w:cs="Arial"/>
          <w:color w:val="000000" w:themeColor="text1"/>
        </w:rPr>
        <w:t xml:space="preserve">, salvo que una norma expresa </w:t>
      </w:r>
      <w:r>
        <w:rPr>
          <w:rFonts w:ascii="Arial" w:eastAsia="Calibri" w:hAnsi="Arial" w:cs="Arial"/>
          <w:color w:val="000000" w:themeColor="text1"/>
        </w:rPr>
        <w:t>lo contrario, de conformidad con el artículo 25 del Decreto 019 de 2012</w:t>
      </w:r>
      <w:r>
        <w:rPr>
          <w:rStyle w:val="Refdenotaalpie"/>
          <w:rFonts w:ascii="Arial" w:eastAsia="Calibri" w:hAnsi="Arial" w:cs="Arial"/>
          <w:color w:val="000000" w:themeColor="text1"/>
        </w:rPr>
        <w:footnoteReference w:id="25"/>
      </w:r>
      <w:r>
        <w:rPr>
          <w:rFonts w:ascii="Arial" w:eastAsia="Calibri" w:hAnsi="Arial" w:cs="Arial"/>
          <w:color w:val="000000" w:themeColor="text1"/>
        </w:rPr>
        <w:t>.</w:t>
      </w:r>
    </w:p>
    <w:p w14:paraId="2A68EE05" w14:textId="77777777" w:rsidR="008E4238" w:rsidRPr="00546B90" w:rsidRDefault="008E4238" w:rsidP="008E4238">
      <w:pPr>
        <w:spacing w:after="120" w:line="276" w:lineRule="auto"/>
        <w:ind w:firstLine="708"/>
        <w:jc w:val="both"/>
        <w:rPr>
          <w:rFonts w:ascii="Arial" w:eastAsia="Calibri" w:hAnsi="Arial" w:cs="Arial"/>
          <w:color w:val="000000" w:themeColor="text1"/>
        </w:rPr>
      </w:pPr>
      <w:r w:rsidRPr="00546B90">
        <w:rPr>
          <w:rFonts w:ascii="Arial" w:eastAsia="Calibri" w:hAnsi="Arial" w:cs="Arial"/>
          <w:color w:val="000000" w:themeColor="text1"/>
        </w:rPr>
        <w:t xml:space="preserve">En el </w:t>
      </w:r>
      <w:r w:rsidRPr="00546B90">
        <w:rPr>
          <w:rFonts w:ascii="Arial" w:eastAsia="Calibri" w:hAnsi="Arial" w:cs="Arial"/>
          <w:i/>
          <w:iCs/>
          <w:color w:val="000000" w:themeColor="text1"/>
        </w:rPr>
        <w:t>segundo supuesto</w:t>
      </w:r>
      <w:r w:rsidRPr="00546B90">
        <w:rPr>
          <w:rFonts w:ascii="Arial" w:eastAsia="Calibri" w:hAnsi="Arial" w:cs="Arial"/>
          <w:color w:val="000000" w:themeColor="text1"/>
        </w:rPr>
        <w:t xml:space="preserve">, </w:t>
      </w:r>
      <w:r>
        <w:rPr>
          <w:rFonts w:ascii="Arial" w:eastAsia="Calibri" w:hAnsi="Arial" w:cs="Arial"/>
          <w:color w:val="000000" w:themeColor="text1"/>
        </w:rPr>
        <w:t>es decir, cuando se trata de un</w:t>
      </w:r>
      <w:r w:rsidRPr="00546B90">
        <w:rPr>
          <w:rFonts w:ascii="Arial" w:eastAsia="Calibri" w:hAnsi="Arial" w:cs="Arial"/>
          <w:color w:val="000000" w:themeColor="text1"/>
        </w:rPr>
        <w:t xml:space="preserve"> documento </w:t>
      </w:r>
      <w:r>
        <w:rPr>
          <w:rFonts w:ascii="Arial" w:eastAsia="Calibri" w:hAnsi="Arial" w:cs="Arial"/>
          <w:color w:val="000000" w:themeColor="text1"/>
        </w:rPr>
        <w:t xml:space="preserve">que </w:t>
      </w:r>
      <w:r w:rsidRPr="00546B90">
        <w:rPr>
          <w:rFonts w:ascii="Arial" w:eastAsia="Calibri" w:hAnsi="Arial" w:cs="Arial"/>
          <w:color w:val="000000" w:themeColor="text1"/>
        </w:rPr>
        <w:t xml:space="preserve">tiene una imagen con la firma y se adjunta como archivo </w:t>
      </w:r>
      <w:r>
        <w:rPr>
          <w:rFonts w:ascii="Arial" w:eastAsia="Calibri" w:hAnsi="Arial" w:cs="Arial"/>
          <w:color w:val="000000" w:themeColor="text1"/>
        </w:rPr>
        <w:t>en un medio electrónico</w:t>
      </w:r>
      <w:r w:rsidRPr="00546B90">
        <w:rPr>
          <w:rFonts w:ascii="Arial" w:eastAsia="Calibri" w:hAnsi="Arial" w:cs="Arial"/>
          <w:color w:val="000000" w:themeColor="text1"/>
        </w:rPr>
        <w:t xml:space="preserve">, la entidad </w:t>
      </w:r>
      <w:r>
        <w:rPr>
          <w:rFonts w:ascii="Arial" w:eastAsia="Calibri" w:hAnsi="Arial" w:cs="Arial"/>
          <w:color w:val="000000" w:themeColor="text1"/>
        </w:rPr>
        <w:t>debe verificar</w:t>
      </w:r>
      <w:r w:rsidRPr="00546B90">
        <w:rPr>
          <w:rFonts w:ascii="Arial" w:eastAsia="Calibri" w:hAnsi="Arial" w:cs="Arial"/>
          <w:color w:val="000000" w:themeColor="text1"/>
        </w:rPr>
        <w:t xml:space="preserve"> </w:t>
      </w:r>
      <w:r>
        <w:rPr>
          <w:rFonts w:ascii="Arial" w:eastAsia="Calibri" w:hAnsi="Arial" w:cs="Arial"/>
          <w:color w:val="000000" w:themeColor="text1"/>
        </w:rPr>
        <w:t>que</w:t>
      </w:r>
      <w:r w:rsidRPr="00546B90">
        <w:rPr>
          <w:rFonts w:ascii="Arial" w:eastAsia="Calibri" w:hAnsi="Arial" w:cs="Arial"/>
          <w:color w:val="000000" w:themeColor="text1"/>
        </w:rPr>
        <w:t xml:space="preserve"> el archivo cumpl</w:t>
      </w:r>
      <w:r>
        <w:rPr>
          <w:rFonts w:ascii="Arial" w:eastAsia="Calibri" w:hAnsi="Arial" w:cs="Arial"/>
          <w:color w:val="000000" w:themeColor="text1"/>
        </w:rPr>
        <w:t>a</w:t>
      </w:r>
      <w:r w:rsidRPr="00546B90">
        <w:rPr>
          <w:rFonts w:ascii="Arial" w:eastAsia="Calibri" w:hAnsi="Arial" w:cs="Arial"/>
          <w:color w:val="000000" w:themeColor="text1"/>
        </w:rPr>
        <w:t xml:space="preserv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w:t>
      </w:r>
      <w:r>
        <w:rPr>
          <w:rFonts w:ascii="Arial" w:eastAsia="Calibri" w:hAnsi="Arial" w:cs="Arial"/>
          <w:color w:val="000000" w:themeColor="text1"/>
        </w:rPr>
        <w:t>se debe determinar</w:t>
      </w:r>
      <w:r w:rsidRPr="00546B90">
        <w:rPr>
          <w:rFonts w:ascii="Arial" w:eastAsia="Calibri" w:hAnsi="Arial" w:cs="Arial"/>
          <w:color w:val="000000" w:themeColor="text1"/>
        </w:rPr>
        <w:t xml:space="preserve"> con las entidades de certificación acreditadas por el Organismo Nacional de Acreditación de Colombia </w:t>
      </w:r>
      <w:r>
        <w:rPr>
          <w:rFonts w:ascii="Arial" w:eastAsia="Calibri" w:hAnsi="Arial" w:cs="Arial"/>
          <w:color w:val="000000" w:themeColor="text1"/>
        </w:rPr>
        <w:t>que</w:t>
      </w:r>
      <w:r w:rsidRPr="00546B90">
        <w:rPr>
          <w:rFonts w:ascii="Arial" w:eastAsia="Calibri" w:hAnsi="Arial" w:cs="Arial"/>
          <w:color w:val="000000" w:themeColor="text1"/>
        </w:rPr>
        <w:t xml:space="preserve"> esa firma digital se encuentra registrada. Por otro lado, </w:t>
      </w:r>
      <w:r w:rsidRPr="00546B90">
        <w:rPr>
          <w:rFonts w:ascii="Arial" w:eastAsia="Calibri" w:hAnsi="Arial" w:cs="Arial"/>
          <w:color w:val="000000" w:themeColor="text1"/>
        </w:rPr>
        <w:lastRenderedPageBreak/>
        <w:t xml:space="preserve">tratándose de una firma electrónica, </w:t>
      </w:r>
      <w:r>
        <w:rPr>
          <w:rFonts w:ascii="Arial" w:eastAsia="Calibri" w:hAnsi="Arial" w:cs="Arial"/>
          <w:color w:val="000000" w:themeColor="text1"/>
        </w:rPr>
        <w:t>se debe</w:t>
      </w:r>
      <w:r w:rsidRPr="00546B90">
        <w:rPr>
          <w:rFonts w:ascii="Arial" w:eastAsia="Calibri" w:hAnsi="Arial" w:cs="Arial"/>
          <w:color w:val="000000" w:themeColor="text1"/>
        </w:rPr>
        <w:t xml:space="preserve"> verificar i) la identidad del firmante, ii) que el documento firmado es exactamente el mismo que el original y iii) </w:t>
      </w:r>
      <w:r>
        <w:rPr>
          <w:rFonts w:ascii="Arial" w:eastAsia="Calibri" w:hAnsi="Arial" w:cs="Arial"/>
          <w:color w:val="000000" w:themeColor="text1"/>
        </w:rPr>
        <w:t xml:space="preserve">que </w:t>
      </w:r>
      <w:r w:rsidRPr="00546B90">
        <w:rPr>
          <w:rFonts w:ascii="Arial" w:eastAsia="Calibri" w:hAnsi="Arial" w:cs="Arial"/>
          <w:color w:val="000000" w:themeColor="text1"/>
        </w:rPr>
        <w:t xml:space="preserve">los datos que utiliza el firmante para realizar la firma son únicos y exclusivos. </w:t>
      </w:r>
    </w:p>
    <w:p w14:paraId="167FF6C8" w14:textId="77777777" w:rsidR="008E4238" w:rsidRPr="00546B90" w:rsidRDefault="008E4238" w:rsidP="008E4238">
      <w:pPr>
        <w:spacing w:after="120" w:line="276" w:lineRule="auto"/>
        <w:ind w:firstLine="708"/>
        <w:jc w:val="both"/>
        <w:rPr>
          <w:rFonts w:ascii="Arial" w:eastAsia="Calibri" w:hAnsi="Arial" w:cs="Arial"/>
          <w:color w:val="000000" w:themeColor="text1"/>
        </w:rPr>
      </w:pPr>
      <w:r w:rsidRPr="00546B90">
        <w:rPr>
          <w:rFonts w:ascii="Arial" w:eastAsia="Calibri" w:hAnsi="Arial" w:cs="Arial"/>
          <w:color w:val="000000" w:themeColor="text1"/>
        </w:rPr>
        <w:t>En materia probatoria, tanto la firma electrónica como la firma digital pueden producir los mismos efectos jurídicos como mecanismos de autenticación,</w:t>
      </w:r>
      <w:r>
        <w:rPr>
          <w:rFonts w:ascii="Arial" w:eastAsia="Calibri" w:hAnsi="Arial" w:cs="Arial"/>
          <w:color w:val="000000" w:themeColor="text1"/>
        </w:rPr>
        <w:t xml:space="preserve"> </w:t>
      </w:r>
      <w:r w:rsidRPr="00546B90">
        <w:rPr>
          <w:rFonts w:ascii="Arial" w:eastAsia="Calibri" w:hAnsi="Arial" w:cs="Arial"/>
          <w:color w:val="000000" w:themeColor="text1"/>
        </w:rPr>
        <w:t>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w:t>
      </w:r>
      <w:r>
        <w:rPr>
          <w:rFonts w:ascii="Arial" w:eastAsia="Calibri" w:hAnsi="Arial" w:cs="Arial"/>
          <w:color w:val="000000" w:themeColor="text1"/>
        </w:rPr>
        <w:t>,</w:t>
      </w:r>
      <w:r w:rsidRPr="00546B90">
        <w:rPr>
          <w:rFonts w:ascii="Arial" w:eastAsia="Calibri" w:hAnsi="Arial" w:cs="Arial"/>
          <w:color w:val="000000" w:themeColor="text1"/>
        </w:rPr>
        <w:t xml:space="preserve"> y demostrar que se trata el mecanismo confiable y apropiable.</w:t>
      </w:r>
    </w:p>
    <w:p w14:paraId="1E36D940" w14:textId="564199B5" w:rsidR="00E87A1B" w:rsidRDefault="00E02152" w:rsidP="00E87A1B">
      <w:pPr>
        <w:spacing w:line="276" w:lineRule="auto"/>
        <w:jc w:val="both"/>
        <w:rPr>
          <w:rFonts w:ascii="Arial" w:eastAsia="Calibri" w:hAnsi="Arial" w:cs="Arial"/>
          <w:bCs/>
          <w:color w:val="000000" w:themeColor="text1"/>
          <w:lang w:val="es-ES" w:bidi="es-ES"/>
        </w:rPr>
      </w:pPr>
      <w:r>
        <w:rPr>
          <w:rFonts w:ascii="Arial" w:eastAsia="Calibri" w:hAnsi="Arial" w:cs="Arial"/>
          <w:b/>
          <w:color w:val="000000" w:themeColor="text1"/>
          <w:lang w:val="es-ES" w:bidi="es-ES"/>
        </w:rPr>
        <w:t xml:space="preserve">2.4. </w:t>
      </w:r>
      <w:r w:rsidR="00E87A1B">
        <w:rPr>
          <w:rFonts w:ascii="Arial" w:eastAsia="Calibri" w:hAnsi="Arial" w:cs="Arial"/>
          <w:b/>
          <w:color w:val="000000" w:themeColor="text1"/>
          <w:lang w:val="es-ES" w:bidi="es-ES"/>
        </w:rPr>
        <w:t>El SECOP II</w:t>
      </w:r>
      <w:r w:rsidR="00720A7B">
        <w:rPr>
          <w:rFonts w:ascii="Arial" w:eastAsia="Calibri" w:hAnsi="Arial" w:cs="Arial"/>
          <w:b/>
          <w:color w:val="000000" w:themeColor="text1"/>
          <w:lang w:val="es-ES" w:bidi="es-ES"/>
        </w:rPr>
        <w:t>:</w:t>
      </w:r>
      <w:r w:rsidR="00E87A1B">
        <w:rPr>
          <w:rFonts w:ascii="Arial" w:eastAsia="Calibri" w:hAnsi="Arial" w:cs="Arial"/>
          <w:b/>
          <w:color w:val="000000" w:themeColor="text1"/>
          <w:lang w:val="es-ES" w:bidi="es-ES"/>
        </w:rPr>
        <w:t xml:space="preserve"> su despliegue y utilización como plataforma electrónica transaccional</w:t>
      </w:r>
    </w:p>
    <w:p w14:paraId="642EBE71" w14:textId="77777777" w:rsidR="00E87A1B" w:rsidRDefault="00E87A1B" w:rsidP="00E87A1B">
      <w:pPr>
        <w:spacing w:after="120" w:line="276" w:lineRule="auto"/>
        <w:jc w:val="both"/>
        <w:rPr>
          <w:rFonts w:ascii="Arial" w:eastAsia="Calibri" w:hAnsi="Arial" w:cs="Arial"/>
          <w:szCs w:val="24"/>
          <w:lang w:val="es-ES" w:eastAsia="es-ES_tradnl"/>
        </w:rPr>
      </w:pPr>
      <w:r>
        <w:rPr>
          <w:rFonts w:ascii="Arial" w:eastAsia="Calibri" w:hAnsi="Arial" w:cs="Arial"/>
          <w:lang w:val="es-ES"/>
        </w:rPr>
        <w:t>La Agencia Nacional de Contratación Pública – Colombia Compra Eficiente tiene como función administrar el SECOP</w:t>
      </w:r>
      <w:r>
        <w:rPr>
          <w:rFonts w:ascii="Arial" w:eastAsia="Calibri" w:hAnsi="Arial" w:cs="Arial"/>
          <w:vertAlign w:val="superscript"/>
          <w:lang w:val="es-ES"/>
        </w:rPr>
        <w:footnoteReference w:id="26"/>
      </w:r>
      <w:r>
        <w:rPr>
          <w:rFonts w:ascii="Arial" w:eastAsia="Calibri" w:hAnsi="Arial" w:cs="Arial"/>
          <w:lang w:val="es-ES"/>
        </w:rPr>
        <w:t>, por lo cual se desarrolló la primera versión de la plataforma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04CDA6D" w14:textId="77777777" w:rsidR="00E87A1B" w:rsidRDefault="00E87A1B" w:rsidP="00E87A1B">
      <w:pPr>
        <w:spacing w:before="120" w:after="120" w:line="276" w:lineRule="auto"/>
        <w:ind w:firstLine="708"/>
        <w:jc w:val="both"/>
        <w:rPr>
          <w:rFonts w:ascii="Arial" w:eastAsia="Calibri" w:hAnsi="Arial" w:cs="Arial"/>
          <w:lang w:val="es-ES"/>
        </w:rPr>
      </w:pPr>
      <w:r>
        <w:rPr>
          <w:rFonts w:ascii="Arial" w:eastAsia="Calibri" w:hAnsi="Arial" w:cs="Arial"/>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selección, y gestionan la fase de ejecución del contrato. Los proveedores pueden hacer comentarios a los documentos del procedimiento, presentar ofertas y seguir el procedimiento de selección en línea.</w:t>
      </w:r>
    </w:p>
    <w:p w14:paraId="4F647E95" w14:textId="2CB3FF28" w:rsidR="00E87A1B" w:rsidRPr="00304446" w:rsidRDefault="00E87A1B" w:rsidP="00E87A1B">
      <w:pPr>
        <w:spacing w:before="120" w:after="120" w:line="276" w:lineRule="auto"/>
        <w:ind w:firstLine="708"/>
        <w:jc w:val="both"/>
        <w:rPr>
          <w:rFonts w:ascii="Arial" w:eastAsia="Calibri" w:hAnsi="Arial" w:cs="Arial"/>
          <w:color w:val="000000" w:themeColor="text1"/>
          <w:lang w:val="es-ES"/>
        </w:rPr>
      </w:pPr>
      <w:r w:rsidRPr="00304446">
        <w:rPr>
          <w:rFonts w:ascii="Arial" w:eastAsia="Calibri" w:hAnsi="Arial" w:cs="Arial"/>
          <w:color w:val="000000" w:themeColor="text1"/>
          <w:lang w:val="es-ES"/>
        </w:rPr>
        <w:t xml:space="preserve">La Agencia Nacional de Contratación Pública – Colombia Compra Eficiente realizó el despliegue de SECOP II a nivel territorial en el 2018 y 2019, por lo cual se expidió la </w:t>
      </w:r>
      <w:r w:rsidRPr="00304446">
        <w:rPr>
          <w:rFonts w:ascii="Arial" w:eastAsia="Calibri" w:hAnsi="Arial" w:cs="Arial"/>
          <w:color w:val="000000" w:themeColor="text1"/>
          <w:lang w:val="es-ES"/>
        </w:rPr>
        <w:lastRenderedPageBreak/>
        <w:t xml:space="preserve">Circular Externa No. 1 de 2019, sobre la obligatoriedad del uso del SECOP II, que dispone: «A partir del 1 de enero de 2020, todos los procesos de contratación de las entidades relacionadas en el Anexo 1 de esta circular deberán gestionarse, exclusivamente, en el SECOP ll», la cual se modificó parcialmente, mediante la Circular Externa No. 3 de 2020. Finalmente, esta Agencia expidió la Circular Externa No. 1 de 2021, «[…] </w:t>
      </w:r>
      <w:r w:rsidRPr="00304446">
        <w:rPr>
          <w:rFonts w:ascii="Arial" w:hAnsi="Arial" w:cs="Arial"/>
          <w:color w:val="000000" w:themeColor="text1"/>
          <w:szCs w:val="20"/>
          <w:shd w:val="clear" w:color="auto" w:fill="FFFFFF"/>
        </w:rPr>
        <w:t>con el fin de dar directrices sobre la obligatoriedad del uso del SECOP II en 2021</w:t>
      </w:r>
      <w:r w:rsidRPr="00304446">
        <w:rPr>
          <w:rFonts w:ascii="Arial" w:eastAsia="Calibri" w:hAnsi="Arial" w:cs="Arial"/>
          <w:color w:val="000000" w:themeColor="text1"/>
          <w:lang w:val="es-ES"/>
        </w:rPr>
        <w:t>».</w:t>
      </w:r>
      <w:r w:rsidR="00265F8D">
        <w:rPr>
          <w:rFonts w:ascii="Arial" w:eastAsia="Calibri" w:hAnsi="Arial" w:cs="Arial"/>
          <w:color w:val="000000" w:themeColor="text1"/>
          <w:lang w:val="es-ES"/>
        </w:rPr>
        <w:t xml:space="preserve"> Igualmente</w:t>
      </w:r>
      <w:r w:rsidR="006A0907">
        <w:rPr>
          <w:rFonts w:ascii="Arial" w:eastAsia="Calibri" w:hAnsi="Arial" w:cs="Arial"/>
          <w:color w:val="000000" w:themeColor="text1"/>
          <w:lang w:val="es-ES"/>
        </w:rPr>
        <w:t>,</w:t>
      </w:r>
      <w:r w:rsidR="00265F8D">
        <w:rPr>
          <w:rFonts w:ascii="Arial" w:eastAsia="Calibri" w:hAnsi="Arial" w:cs="Arial"/>
          <w:color w:val="000000" w:themeColor="text1"/>
          <w:lang w:val="es-ES"/>
        </w:rPr>
        <w:t xml:space="preserve"> se profirió la Circular </w:t>
      </w:r>
      <w:r w:rsidR="006A0907">
        <w:rPr>
          <w:rFonts w:ascii="Arial" w:eastAsia="Calibri" w:hAnsi="Arial" w:cs="Arial"/>
          <w:color w:val="000000" w:themeColor="text1"/>
          <w:lang w:val="es-ES"/>
        </w:rPr>
        <w:t>002 de 2022, para determinar la obligatoriedad del SECOP en este año y que ha sido objeto de precisiones en circulares posteriores</w:t>
      </w:r>
      <w:r w:rsidR="00213804">
        <w:rPr>
          <w:rStyle w:val="Refdenotaalpie"/>
          <w:rFonts w:ascii="Arial" w:eastAsia="Calibri" w:hAnsi="Arial" w:cs="Arial"/>
          <w:color w:val="000000" w:themeColor="text1"/>
          <w:lang w:val="es-ES"/>
        </w:rPr>
        <w:footnoteReference w:id="27"/>
      </w:r>
      <w:r w:rsidR="006A0907">
        <w:rPr>
          <w:rFonts w:ascii="Arial" w:eastAsia="Calibri" w:hAnsi="Arial" w:cs="Arial"/>
          <w:color w:val="000000" w:themeColor="text1"/>
          <w:lang w:val="es-ES"/>
        </w:rPr>
        <w:t>.</w:t>
      </w:r>
    </w:p>
    <w:p w14:paraId="425C144C" w14:textId="3D9FD104" w:rsidR="00E87A1B" w:rsidRDefault="00E87A1B" w:rsidP="00E87A1B">
      <w:pPr>
        <w:spacing w:line="276" w:lineRule="auto"/>
        <w:ind w:firstLine="708"/>
        <w:jc w:val="both"/>
        <w:rPr>
          <w:rFonts w:ascii="Arial" w:eastAsia="Calibri" w:hAnsi="Arial" w:cs="Arial"/>
          <w:lang w:val="es-ES"/>
        </w:rPr>
      </w:pPr>
      <w:r>
        <w:rPr>
          <w:rFonts w:ascii="Arial" w:eastAsia="Calibri" w:hAnsi="Arial" w:cs="Arial"/>
          <w:lang w:val="es-ES"/>
        </w:rPr>
        <w:t xml:space="preserve">Sobre la utilización de SECOP II, es necesario reiterar que es una plataforma transaccional, por lo que el trámite se realiza en línea y la publicidad de las actuaciones es concomitante, según transcurran cada una de las etapas del procedimiento, lo que descarta la necesidad </w:t>
      </w:r>
      <w:r w:rsidR="005167AD">
        <w:rPr>
          <w:rFonts w:ascii="Arial" w:eastAsia="Calibri" w:hAnsi="Arial" w:cs="Arial"/>
          <w:lang w:val="es-ES"/>
        </w:rPr>
        <w:t xml:space="preserve">de </w:t>
      </w:r>
      <w:r>
        <w:rPr>
          <w:rFonts w:ascii="Arial" w:eastAsia="Calibri" w:hAnsi="Arial" w:cs="Arial"/>
          <w:lang w:val="es-ES"/>
        </w:rPr>
        <w:t xml:space="preserve">cargar documentación </w:t>
      </w:r>
      <w:r w:rsidR="005167AD">
        <w:rPr>
          <w:rFonts w:ascii="Arial" w:eastAsia="Calibri" w:hAnsi="Arial" w:cs="Arial"/>
          <w:lang w:val="es-ES"/>
        </w:rPr>
        <w:t>física</w:t>
      </w:r>
      <w:r>
        <w:rPr>
          <w:rFonts w:ascii="Arial" w:eastAsia="Calibri" w:hAnsi="Arial" w:cs="Arial"/>
          <w:lang w:val="es-ES"/>
        </w:rPr>
        <w:t xml:space="preserve">,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005167AD">
        <w:rPr>
          <w:rFonts w:ascii="Arial" w:eastAsia="Calibri" w:hAnsi="Arial" w:cs="Arial"/>
          <w:i/>
          <w:iCs/>
          <w:lang w:val="es-ES"/>
        </w:rPr>
        <w:t>ibidem</w:t>
      </w:r>
      <w:r>
        <w:rPr>
          <w:rFonts w:ascii="Arial" w:eastAsia="Calibri" w:hAnsi="Arial"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14:paraId="61838844" w14:textId="372250B5" w:rsidR="00E87A1B" w:rsidRDefault="00E87A1B" w:rsidP="00E87A1B">
      <w:pPr>
        <w:spacing w:before="120" w:line="276" w:lineRule="auto"/>
        <w:ind w:firstLine="709"/>
        <w:jc w:val="both"/>
        <w:rPr>
          <w:rFonts w:ascii="Arial" w:eastAsia="Calibri" w:hAnsi="Arial" w:cs="Arial"/>
          <w:lang w:val="es-ES"/>
        </w:rPr>
      </w:pPr>
      <w:r>
        <w:rPr>
          <w:rFonts w:ascii="Arial" w:eastAsia="Calibri" w:hAnsi="Arial" w:cs="Arial"/>
          <w:lang w:val="es-ES"/>
        </w:rPr>
        <w:t>No obstante, eventualmente puede ocurrir que al SECOP II se deban cargar documentos suscritos por las partes, previamente digitalizados. Esto ocurre, por ejemplo, con los estudios previos, el informe de evaluación, la resolución de adjudicación o con el clausulado del contrato, formatos o anexos entre otras actuaciones en las que los usuarios quedan habilitados para cargar documentos en la plataforma. Se trata de algo excepcional, pues, se insiste, el SECOP II es una plataforma esencialmente transaccional, distinta de</w:t>
      </w:r>
      <w:r w:rsidR="007E65DD">
        <w:rPr>
          <w:rFonts w:ascii="Arial" w:eastAsia="Calibri" w:hAnsi="Arial" w:cs="Arial"/>
          <w:lang w:val="es-ES"/>
        </w:rPr>
        <w:t>l</w:t>
      </w:r>
      <w:r>
        <w:rPr>
          <w:rFonts w:ascii="Arial" w:eastAsia="Calibri" w:hAnsi="Arial" w:cs="Arial"/>
          <w:lang w:val="es-ES"/>
        </w:rPr>
        <w:t xml:space="preserve"> SECOP I que es una herramienta eminentemente de publicidad. Dicho carácter excepcional, además, se justifica en la necesidad de evitar los problemas que pueden surgir ante la duplicidad de información, como, por ejemplo, la discrepancia entre el texto tramitado en el SECOP II y el que la entidad carga a la plataforma. </w:t>
      </w:r>
    </w:p>
    <w:p w14:paraId="0E0F7EAF" w14:textId="36A87D81" w:rsidR="00E87A1B" w:rsidRDefault="00E87A1B" w:rsidP="00E87A1B">
      <w:pPr>
        <w:spacing w:before="120" w:line="276" w:lineRule="auto"/>
        <w:ind w:firstLine="708"/>
        <w:jc w:val="both"/>
        <w:rPr>
          <w:rFonts w:ascii="Arial" w:eastAsia="Calibri" w:hAnsi="Arial" w:cs="Arial"/>
          <w:lang w:val="es-MX"/>
        </w:rPr>
      </w:pPr>
      <w:r>
        <w:rPr>
          <w:rFonts w:ascii="Arial" w:eastAsia="Calibri" w:hAnsi="Arial" w:cs="Arial"/>
          <w:lang w:val="es-MX"/>
        </w:rPr>
        <w:lastRenderedPageBreak/>
        <w:t xml:space="preserve">En suma, los procedimientos contractuales son esencialmente reglados y, por ende, las entidades públicas están obligadas </w:t>
      </w:r>
      <w:r w:rsidR="00CA0B0A">
        <w:rPr>
          <w:rFonts w:ascii="Arial" w:eastAsia="Calibri" w:hAnsi="Arial" w:cs="Arial"/>
          <w:lang w:val="es-MX"/>
        </w:rPr>
        <w:t xml:space="preserve">a </w:t>
      </w:r>
      <w:r>
        <w:rPr>
          <w:rFonts w:ascii="Arial" w:eastAsia="Calibri" w:hAnsi="Arial" w:cs="Arial"/>
          <w:lang w:val="es-MX"/>
        </w:rPr>
        <w:t>adelantarlo</w:t>
      </w:r>
      <w:r w:rsidR="00CA0B0A">
        <w:rPr>
          <w:rFonts w:ascii="Arial" w:eastAsia="Calibri" w:hAnsi="Arial" w:cs="Arial"/>
          <w:lang w:val="es-MX"/>
        </w:rPr>
        <w:t>s</w:t>
      </w:r>
      <w:r>
        <w:rPr>
          <w:rFonts w:ascii="Arial" w:eastAsia="Calibri" w:hAnsi="Arial" w:cs="Arial"/>
          <w:lang w:val="es-MX"/>
        </w:rPr>
        <w:t xml:space="preserve"> según los términos y etapas establecidas en la ley. Estos podrán tramitarse de forma escrita y tradicional o de forma electrónica a través del SECOP II, dentro de los límites y criterios de obligatoriedad indicados </w:t>
      </w:r>
      <w:r>
        <w:rPr>
          <w:rFonts w:ascii="Arial" w:eastAsia="Calibri" w:hAnsi="Arial" w:cs="Arial"/>
          <w:i/>
          <w:iCs/>
          <w:lang w:val="es-MX"/>
        </w:rPr>
        <w:t>ut supra</w:t>
      </w:r>
      <w:r>
        <w:rPr>
          <w:rFonts w:ascii="Arial" w:eastAsia="Calibri" w:hAnsi="Arial" w:cs="Arial"/>
          <w:lang w:val="es-MX"/>
        </w:rPr>
        <w:t xml:space="preserve">. Igualmente, no es posible realizar el trámite de forma mixta, esto es, </w:t>
      </w:r>
      <w:r w:rsidR="00CA0B0A">
        <w:rPr>
          <w:rFonts w:ascii="Arial" w:eastAsia="Calibri" w:hAnsi="Arial" w:cs="Arial"/>
          <w:lang w:val="es-MX"/>
        </w:rPr>
        <w:t xml:space="preserve">física </w:t>
      </w:r>
      <w:r>
        <w:rPr>
          <w:rFonts w:ascii="Arial" w:eastAsia="Calibri" w:hAnsi="Arial" w:cs="Arial"/>
          <w:lang w:val="es-MX"/>
        </w:rPr>
        <w:t>y electrónic</w:t>
      </w:r>
      <w:r w:rsidR="00CA0B0A">
        <w:rPr>
          <w:rFonts w:ascii="Arial" w:eastAsia="Calibri" w:hAnsi="Arial" w:cs="Arial"/>
          <w:lang w:val="es-MX"/>
        </w:rPr>
        <w:t>a</w:t>
      </w:r>
      <w:r>
        <w:rPr>
          <w:rFonts w:ascii="Arial" w:eastAsia="Calibri" w:hAnsi="Arial" w:cs="Arial"/>
          <w:lang w:val="es-MX"/>
        </w:rPr>
        <w:t>, lo cual no excluye que, excepcionalmente, puedan y deban cargarse algunos documentos digitalizados al SECOP II. Esta situación implica problemas asociados con la duplicidad de información.</w:t>
      </w:r>
    </w:p>
    <w:p w14:paraId="037BBB39" w14:textId="77777777" w:rsidR="00E87A1B" w:rsidRDefault="00E87A1B" w:rsidP="00864930">
      <w:pPr>
        <w:spacing w:before="120" w:line="276" w:lineRule="auto"/>
        <w:ind w:firstLine="567"/>
        <w:jc w:val="both"/>
        <w:rPr>
          <w:rFonts w:ascii="Arial" w:eastAsia="Calibri" w:hAnsi="Arial" w:cs="Arial"/>
          <w:color w:val="000000" w:themeColor="text1"/>
          <w:lang w:val="es-ES"/>
        </w:rPr>
      </w:pPr>
      <w:r>
        <w:rPr>
          <w:rFonts w:ascii="Arial" w:eastAsia="Calibri" w:hAnsi="Arial" w:cs="Arial"/>
          <w:color w:val="000000" w:themeColor="text1"/>
          <w:lang w:val="es-ES"/>
        </w:rPr>
        <w:t xml:space="preserve">De conformidad con la </w:t>
      </w:r>
      <w:bookmarkStart w:id="6" w:name="_Hlk96244526"/>
      <w:r>
        <w:rPr>
          <w:rFonts w:ascii="Arial" w:eastAsia="Calibri" w:hAnsi="Arial" w:cs="Arial"/>
          <w:lang w:val="es-ES"/>
        </w:rPr>
        <w:t>«</w:t>
      </w:r>
      <w:bookmarkEnd w:id="6"/>
      <w:r>
        <w:rPr>
          <w:rFonts w:ascii="Arial" w:eastAsia="Calibri" w:hAnsi="Arial" w:cs="Arial"/>
          <w:color w:val="000000" w:themeColor="text1"/>
          <w:lang w:val="es-ES"/>
        </w:rPr>
        <w:t>Guía rápida para hacer un Proceso de Contratación de Licitación Pública (Obra Pública) en el SECOP II</w:t>
      </w:r>
      <w:bookmarkStart w:id="7" w:name="_Hlk96244517"/>
      <w:r>
        <w:rPr>
          <w:rFonts w:ascii="Arial" w:eastAsia="Calibri" w:hAnsi="Arial" w:cs="Arial"/>
          <w:lang w:val="es-ES"/>
        </w:rPr>
        <w:t>»</w:t>
      </w:r>
      <w:r>
        <w:rPr>
          <w:rStyle w:val="Refdenotaalpie"/>
          <w:rFonts w:ascii="Arial" w:eastAsia="Calibri" w:hAnsi="Arial" w:cs="Arial"/>
        </w:rPr>
        <w:footnoteReference w:id="28"/>
      </w:r>
      <w:r>
        <w:rPr>
          <w:rFonts w:ascii="Arial" w:eastAsia="Calibri" w:hAnsi="Arial" w:cs="Arial"/>
          <w:color w:val="000000" w:themeColor="text1"/>
          <w:lang w:val="es-ES"/>
        </w:rPr>
        <w:t xml:space="preserve"> </w:t>
      </w:r>
      <w:bookmarkEnd w:id="7"/>
      <w:r>
        <w:rPr>
          <w:rFonts w:ascii="Arial" w:eastAsia="Calibri" w:hAnsi="Arial" w:cs="Arial"/>
          <w:color w:val="000000" w:themeColor="text1"/>
          <w:lang w:val="es-ES"/>
        </w:rPr>
        <w:t xml:space="preserve">el pliego de condiciones que se genera en esta plataforma es electrónico y es un formulario compuesto por seis secciones: i) </w:t>
      </w:r>
      <w:r>
        <w:rPr>
          <w:rFonts w:ascii="Arial" w:eastAsia="Calibri" w:hAnsi="Arial" w:cs="Arial"/>
          <w:color w:val="000000" w:themeColor="text1"/>
        </w:rPr>
        <w:t>Información general, ii) Configuración, iii) Cuestionario, iv) Evaluación, v) Documentos del Proceso y vi) Documentos de la oferta.</w:t>
      </w:r>
      <w:r>
        <w:rPr>
          <w:rFonts w:ascii="Arial" w:eastAsia="Calibri" w:hAnsi="Arial" w:cs="Arial"/>
          <w:color w:val="000000" w:themeColor="text1"/>
          <w:lang w:val="es-ES"/>
        </w:rPr>
        <w:t xml:space="preserve"> Estas secciones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agregarse en la sección para adjuntar documentos.</w:t>
      </w:r>
    </w:p>
    <w:p w14:paraId="339E3404" w14:textId="4095DA18" w:rsidR="00502331" w:rsidRDefault="00502331" w:rsidP="00864930">
      <w:pPr>
        <w:spacing w:line="276" w:lineRule="auto"/>
        <w:ind w:firstLine="567"/>
        <w:jc w:val="both"/>
        <w:rPr>
          <w:rFonts w:ascii="Arial" w:hAnsi="Arial" w:cs="Arial"/>
        </w:rPr>
      </w:pPr>
      <w:r>
        <w:rPr>
          <w:rFonts w:ascii="Arial" w:hAnsi="Arial" w:cs="Arial"/>
        </w:rPr>
        <w:t>Por su parte, los términos y condiciones de uso del SECOP II, que son aceptados por quienes utilizan la plataforma, disponen que:</w:t>
      </w:r>
    </w:p>
    <w:p w14:paraId="0957DB95" w14:textId="77777777" w:rsidR="00502331" w:rsidRDefault="00502331" w:rsidP="00502331">
      <w:pPr>
        <w:ind w:left="708" w:right="709"/>
        <w:jc w:val="both"/>
        <w:rPr>
          <w:rFonts w:ascii="Arial" w:hAnsi="Arial" w:cs="Arial"/>
          <w:sz w:val="21"/>
          <w:szCs w:val="21"/>
        </w:rPr>
      </w:pPr>
      <w:r>
        <w:rPr>
          <w:rFonts w:ascii="Arial" w:hAnsi="Arial" w:cs="Arial"/>
          <w:sz w:val="21"/>
          <w:szCs w:val="21"/>
        </w:rPr>
        <w:t xml:space="preserve">Los Usuarios del SECOP II son responsables de cualquier actuación efectuada con su Usuario. En consecuencia, la responsabilidad del manejo y confidencialidad de los usuarios y contraseñas recae única y exclusivamente en el titular de </w:t>
      </w:r>
      <w:proofErr w:type="gramStart"/>
      <w:r>
        <w:rPr>
          <w:rFonts w:ascii="Arial" w:hAnsi="Arial" w:cs="Arial"/>
          <w:sz w:val="21"/>
          <w:szCs w:val="21"/>
        </w:rPr>
        <w:t>la misma</w:t>
      </w:r>
      <w:proofErr w:type="gramEnd"/>
      <w:r>
        <w:rPr>
          <w:rFonts w:ascii="Arial" w:hAnsi="Arial" w:cs="Arial"/>
          <w:sz w:val="21"/>
          <w:szCs w:val="21"/>
        </w:rPr>
        <w:t xml:space="preserve"> y no en Colombia Compra Eficiente. La responsabilidad por el acceso a las cuentas de Entidad o proveedor recae en la persona designada como usuario administrador, además es quien está encargada de la habilitación de funciones de cada usuario dentro de los Procesos de contratación.</w:t>
      </w:r>
    </w:p>
    <w:p w14:paraId="42F03A34" w14:textId="77777777" w:rsidR="00502331" w:rsidRDefault="00502331" w:rsidP="00502331">
      <w:pPr>
        <w:ind w:left="709" w:right="709"/>
        <w:jc w:val="both"/>
        <w:rPr>
          <w:rFonts w:ascii="Arial" w:hAnsi="Arial" w:cs="Arial"/>
          <w:sz w:val="21"/>
          <w:szCs w:val="21"/>
        </w:rPr>
      </w:pPr>
      <w:r>
        <w:rPr>
          <w:rFonts w:ascii="Arial" w:hAnsi="Arial" w:cs="Arial"/>
          <w:sz w:val="21"/>
          <w:szCs w:val="21"/>
        </w:rPr>
        <w:t xml:space="preserve">Colombia Compra Eficiente cuenta con mecanismos de seguridad suficientes para el ingreso de los usuarios a su cuenta. </w:t>
      </w:r>
    </w:p>
    <w:p w14:paraId="30C37D5E" w14:textId="77777777" w:rsidR="00502331" w:rsidRDefault="00502331" w:rsidP="00502331">
      <w:pPr>
        <w:ind w:left="709" w:right="709"/>
        <w:jc w:val="both"/>
        <w:rPr>
          <w:rFonts w:ascii="Arial" w:hAnsi="Arial" w:cs="Arial"/>
          <w:b/>
          <w:bCs/>
          <w:sz w:val="21"/>
          <w:szCs w:val="21"/>
        </w:rPr>
      </w:pPr>
      <w:r>
        <w:rPr>
          <w:rFonts w:ascii="Arial" w:hAnsi="Arial" w:cs="Arial"/>
          <w:sz w:val="21"/>
          <w:szCs w:val="21"/>
        </w:rPr>
        <w:lastRenderedPageBreak/>
        <w:t>Las actuaciones de los Usuarios en el SECOP II comprometen a la Entidad Compradora o al Proveedor del cual son agentes. La autenticación del SECOP II, es decir el nombre de usuario y la contraseña constituyen una firma electrónica en los términos del artículo 7 de la Ley 527 de 1999 y las normas que la reglamentan</w:t>
      </w:r>
      <w:r>
        <w:rPr>
          <w:rStyle w:val="Refdenotaalpie"/>
          <w:rFonts w:ascii="Arial" w:hAnsi="Arial" w:cs="Arial"/>
          <w:sz w:val="21"/>
          <w:szCs w:val="21"/>
        </w:rPr>
        <w:footnoteReference w:id="29"/>
      </w:r>
      <w:r>
        <w:rPr>
          <w:rFonts w:ascii="Arial" w:hAnsi="Arial" w:cs="Arial"/>
          <w:sz w:val="21"/>
          <w:szCs w:val="21"/>
        </w:rPr>
        <w:t>.</w:t>
      </w:r>
    </w:p>
    <w:p w14:paraId="4FFA1916" w14:textId="0FAA296F" w:rsidR="00502331" w:rsidRDefault="00502331" w:rsidP="00864930">
      <w:pPr>
        <w:spacing w:line="276" w:lineRule="auto"/>
        <w:ind w:firstLine="567"/>
        <w:jc w:val="both"/>
        <w:rPr>
          <w:rFonts w:ascii="Arial" w:eastAsia="Calibri" w:hAnsi="Arial" w:cs="Arial"/>
          <w:lang w:val="es-ES"/>
        </w:rPr>
      </w:pPr>
      <w:bookmarkStart w:id="8" w:name="_Hlk38763732"/>
      <w:r>
        <w:rPr>
          <w:rFonts w:ascii="Arial" w:eastAsia="Calibri" w:hAnsi="Arial" w:cs="Arial"/>
          <w:lang w:val="es-ES"/>
        </w:rPr>
        <w:t xml:space="preserve">Con esto se concluye que la presentación </w:t>
      </w:r>
      <w:r w:rsidR="0047269D">
        <w:rPr>
          <w:rFonts w:ascii="Arial" w:eastAsia="Calibri" w:hAnsi="Arial" w:cs="Arial"/>
          <w:lang w:val="es-ES"/>
        </w:rPr>
        <w:t xml:space="preserve">de la </w:t>
      </w:r>
      <w:r w:rsidR="0047269D" w:rsidRPr="0047269D">
        <w:rPr>
          <w:rFonts w:ascii="Arial" w:eastAsia="Calibri" w:hAnsi="Arial" w:cs="Arial"/>
          <w:lang w:val="es-ES"/>
        </w:rPr>
        <w:t>propuesta económica</w:t>
      </w:r>
      <w:r w:rsidR="0047269D">
        <w:rPr>
          <w:rFonts w:ascii="Arial" w:eastAsia="Calibri" w:hAnsi="Arial" w:cs="Arial"/>
          <w:lang w:val="es-ES"/>
        </w:rPr>
        <w:t xml:space="preserve"> por parte del proponente, </w:t>
      </w:r>
      <w:r>
        <w:rPr>
          <w:rFonts w:ascii="Arial" w:eastAsia="Calibri" w:hAnsi="Arial" w:cs="Arial"/>
          <w:lang w:val="es-ES"/>
        </w:rPr>
        <w:t xml:space="preserve">a través de su usuario y contraseña, </w:t>
      </w:r>
      <w:r w:rsidR="003116C1">
        <w:rPr>
          <w:rFonts w:ascii="Arial" w:eastAsia="Calibri" w:hAnsi="Arial" w:cs="Arial"/>
          <w:lang w:val="es-ES"/>
        </w:rPr>
        <w:t xml:space="preserve">constituye </w:t>
      </w:r>
      <w:r>
        <w:rPr>
          <w:rFonts w:ascii="Arial" w:eastAsia="Calibri" w:hAnsi="Arial" w:cs="Arial"/>
          <w:lang w:val="es-ES"/>
        </w:rPr>
        <w:t xml:space="preserve">su firma personal e intransferible, por lo que si la trazabilidad de la plataforma refleja que el «usuario» </w:t>
      </w:r>
      <w:r w:rsidR="0047269D">
        <w:rPr>
          <w:rFonts w:ascii="Arial" w:eastAsia="Calibri" w:hAnsi="Arial" w:cs="Arial"/>
          <w:lang w:val="es-ES"/>
        </w:rPr>
        <w:t xml:space="preserve">presentó oferta en el proceso de selección, </w:t>
      </w:r>
      <w:r w:rsidR="00EF4CE9">
        <w:rPr>
          <w:rFonts w:ascii="Arial" w:eastAsia="Calibri" w:hAnsi="Arial" w:cs="Arial"/>
          <w:lang w:val="es-ES"/>
        </w:rPr>
        <w:t xml:space="preserve">no se requiere que el </w:t>
      </w:r>
      <w:r w:rsidR="0047269D">
        <w:rPr>
          <w:rFonts w:ascii="Arial" w:eastAsia="Calibri" w:hAnsi="Arial" w:cs="Arial"/>
          <w:lang w:val="es-ES"/>
        </w:rPr>
        <w:t xml:space="preserve">proponente </w:t>
      </w:r>
      <w:r w:rsidR="00EF4CE9">
        <w:rPr>
          <w:rFonts w:ascii="Arial" w:eastAsia="Calibri" w:hAnsi="Arial" w:cs="Arial"/>
          <w:lang w:val="es-ES"/>
        </w:rPr>
        <w:t xml:space="preserve">allegue la </w:t>
      </w:r>
      <w:r w:rsidR="00EF4CE9" w:rsidRPr="0047269D">
        <w:rPr>
          <w:rFonts w:ascii="Arial" w:eastAsia="Calibri" w:hAnsi="Arial" w:cs="Arial"/>
          <w:lang w:val="es-ES"/>
        </w:rPr>
        <w:t>propuesta económica</w:t>
      </w:r>
      <w:r w:rsidR="00EF4CE9">
        <w:rPr>
          <w:rFonts w:ascii="Arial" w:eastAsia="Calibri" w:hAnsi="Arial" w:cs="Arial"/>
          <w:lang w:val="es-ES"/>
        </w:rPr>
        <w:t xml:space="preserve"> con </w:t>
      </w:r>
      <w:r w:rsidR="0047269D">
        <w:rPr>
          <w:rFonts w:ascii="Arial" w:eastAsia="Calibri" w:hAnsi="Arial" w:cs="Arial"/>
          <w:lang w:val="es-ES"/>
        </w:rPr>
        <w:t>firma manuscrita</w:t>
      </w:r>
      <w:r w:rsidR="003116C1">
        <w:rPr>
          <w:rFonts w:ascii="Arial" w:eastAsia="Calibri" w:hAnsi="Arial" w:cs="Arial"/>
          <w:lang w:val="es-ES"/>
        </w:rPr>
        <w:t xml:space="preserve"> </w:t>
      </w:r>
      <w:r w:rsidR="00EF4CE9">
        <w:rPr>
          <w:rFonts w:ascii="Arial" w:eastAsia="Calibri" w:hAnsi="Arial" w:cs="Arial"/>
          <w:lang w:val="es-ES"/>
        </w:rPr>
        <w:t>o digital</w:t>
      </w:r>
      <w:r w:rsidR="003116C1">
        <w:rPr>
          <w:rFonts w:ascii="Arial" w:eastAsia="Calibri" w:hAnsi="Arial" w:cs="Arial"/>
          <w:lang w:val="es-ES"/>
        </w:rPr>
        <w:t>, teniendo en cuenta que el S</w:t>
      </w:r>
      <w:r w:rsidR="003116C1" w:rsidRPr="003116C1">
        <w:rPr>
          <w:rFonts w:ascii="Arial" w:eastAsia="Calibri" w:hAnsi="Arial" w:cs="Arial"/>
          <w:lang w:val="es-ES"/>
        </w:rPr>
        <w:t>ECOP II es una plataforma transaccional</w:t>
      </w:r>
      <w:r w:rsidR="003116C1">
        <w:rPr>
          <w:rFonts w:ascii="Arial" w:eastAsia="Calibri" w:hAnsi="Arial" w:cs="Arial"/>
          <w:lang w:val="es-ES"/>
        </w:rPr>
        <w:t xml:space="preserve"> y que no </w:t>
      </w:r>
      <w:r w:rsidR="003116C1" w:rsidRPr="003116C1">
        <w:rPr>
          <w:rFonts w:ascii="Arial" w:eastAsia="Calibri" w:hAnsi="Arial" w:cs="Arial"/>
          <w:lang w:val="es-ES"/>
        </w:rPr>
        <w:t xml:space="preserve">debe existir duplicidad en la información que consta en la </w:t>
      </w:r>
      <w:r w:rsidR="00EF4CE9">
        <w:rPr>
          <w:rFonts w:ascii="Arial" w:eastAsia="Calibri" w:hAnsi="Arial" w:cs="Arial"/>
          <w:lang w:val="es-ES"/>
        </w:rPr>
        <w:t>misma</w:t>
      </w:r>
      <w:r w:rsidR="00E87A1B">
        <w:rPr>
          <w:rFonts w:ascii="Arial" w:eastAsia="Calibri" w:hAnsi="Arial" w:cs="Arial"/>
          <w:lang w:val="es-ES"/>
        </w:rPr>
        <w:t xml:space="preserve">. </w:t>
      </w:r>
      <w:r w:rsidR="003116C1">
        <w:rPr>
          <w:rFonts w:ascii="Arial" w:eastAsia="Calibri" w:hAnsi="Arial" w:cs="Arial"/>
          <w:lang w:val="es-ES"/>
        </w:rPr>
        <w:t>P</w:t>
      </w:r>
      <w:r>
        <w:rPr>
          <w:rFonts w:ascii="Arial" w:eastAsia="Calibri" w:hAnsi="Arial" w:cs="Arial"/>
          <w:lang w:val="es-ES"/>
        </w:rPr>
        <w:t xml:space="preserve">ara más información sobre el uso del SECOP II, le recomendamos que consulte nuestra página web </w:t>
      </w:r>
      <w:hyperlink r:id="rId12" w:history="1">
        <w:r w:rsidR="0047269D" w:rsidRPr="002D0FF6">
          <w:rPr>
            <w:rStyle w:val="Hipervnculo"/>
            <w:rFonts w:ascii="Arial" w:eastAsia="Calibri" w:hAnsi="Arial" w:cs="Arial"/>
            <w:lang w:val="es-ES"/>
          </w:rPr>
          <w:t>http://www.colombiacompra.gov.co/secop/que-es-el-secop-ii</w:t>
        </w:r>
      </w:hyperlink>
      <w:bookmarkEnd w:id="8"/>
      <w:r w:rsidR="0047269D">
        <w:rPr>
          <w:rFonts w:ascii="Arial" w:eastAsia="Calibri" w:hAnsi="Arial" w:cs="Arial"/>
          <w:lang w:val="es-ES"/>
        </w:rPr>
        <w:t xml:space="preserve"> </w:t>
      </w:r>
    </w:p>
    <w:p w14:paraId="0E044897" w14:textId="5E47BD2D" w:rsidR="00813D7E" w:rsidRDefault="00813D7E" w:rsidP="00864930">
      <w:pPr>
        <w:spacing w:line="276" w:lineRule="auto"/>
        <w:ind w:firstLine="567"/>
        <w:jc w:val="both"/>
        <w:rPr>
          <w:rFonts w:ascii="Arial" w:eastAsia="Calibri" w:hAnsi="Arial" w:cs="Arial"/>
          <w:lang w:val="es-ES"/>
        </w:rPr>
      </w:pPr>
      <w:r>
        <w:rPr>
          <w:rFonts w:ascii="Arial" w:eastAsia="Calibri" w:hAnsi="Arial" w:cs="Arial"/>
          <w:lang w:val="es-ES"/>
        </w:rPr>
        <w:t xml:space="preserve">Adicionalmente, el </w:t>
      </w:r>
      <w:r w:rsidR="00CA742E">
        <w:rPr>
          <w:rFonts w:ascii="Arial" w:eastAsia="Calibri" w:hAnsi="Arial" w:cs="Arial"/>
          <w:lang w:val="es-ES"/>
        </w:rPr>
        <w:t xml:space="preserve">parágrafo 1 del </w:t>
      </w:r>
      <w:r>
        <w:rPr>
          <w:rFonts w:ascii="Arial" w:eastAsia="Calibri" w:hAnsi="Arial" w:cs="Arial"/>
          <w:lang w:val="es-ES"/>
        </w:rPr>
        <w:t xml:space="preserve">artículo </w:t>
      </w:r>
      <w:r w:rsidR="00CA742E">
        <w:rPr>
          <w:rFonts w:ascii="Arial" w:eastAsia="Calibri" w:hAnsi="Arial" w:cs="Arial"/>
          <w:lang w:val="es-ES"/>
        </w:rPr>
        <w:t>5 de la Ley 1150 de 2007 establece que «</w:t>
      </w:r>
      <w:r w:rsidR="00CA742E" w:rsidRPr="00CA742E">
        <w:rPr>
          <w:rFonts w:ascii="Arial" w:eastAsia="Calibri" w:hAnsi="Arial" w:cs="Arial"/>
          <w:lang w:val="es-ES"/>
        </w:rPr>
        <w:t>La ausencia de requisitos o la falta de documentos referentes a la futura contratación o al proponente, no necesarios para la comparación de las propuestas no servirán de título suficiente para el rechazo de los ofrecimientos hechos</w:t>
      </w:r>
      <w:r w:rsidR="00CA742E">
        <w:rPr>
          <w:rFonts w:ascii="Arial" w:eastAsia="Calibri" w:hAnsi="Arial" w:cs="Arial"/>
          <w:lang w:val="es-ES"/>
        </w:rPr>
        <w:t>»</w:t>
      </w:r>
      <w:r w:rsidR="00CA742E" w:rsidRPr="00CA742E">
        <w:rPr>
          <w:rFonts w:ascii="Arial" w:eastAsia="Calibri" w:hAnsi="Arial" w:cs="Arial"/>
          <w:lang w:val="es-ES"/>
        </w:rPr>
        <w:t>.</w:t>
      </w:r>
      <w:r w:rsidR="000B745B">
        <w:rPr>
          <w:rFonts w:ascii="Arial" w:eastAsia="Calibri" w:hAnsi="Arial" w:cs="Arial"/>
          <w:lang w:val="es-ES"/>
        </w:rPr>
        <w:t xml:space="preserve"> Por tal razón, si </w:t>
      </w:r>
      <w:r w:rsidR="00110950">
        <w:rPr>
          <w:rFonts w:ascii="Arial" w:eastAsia="Calibri" w:hAnsi="Arial" w:cs="Arial"/>
          <w:lang w:val="es-ES"/>
        </w:rPr>
        <w:t>se emplea la plataforma transaccional SECOP II</w:t>
      </w:r>
      <w:r w:rsidR="00C00CD5">
        <w:rPr>
          <w:rFonts w:ascii="Arial" w:eastAsia="Calibri" w:hAnsi="Arial" w:cs="Arial"/>
          <w:lang w:val="es-ES"/>
        </w:rPr>
        <w:t xml:space="preserve"> en el procedimiento de selección</w:t>
      </w:r>
      <w:r w:rsidR="002F2772">
        <w:rPr>
          <w:rFonts w:ascii="Arial" w:eastAsia="Calibri" w:hAnsi="Arial" w:cs="Arial"/>
          <w:lang w:val="es-ES"/>
        </w:rPr>
        <w:t xml:space="preserve">, </w:t>
      </w:r>
      <w:r w:rsidR="00C00CD5">
        <w:rPr>
          <w:rFonts w:ascii="Arial" w:eastAsia="Calibri" w:hAnsi="Arial" w:cs="Arial"/>
          <w:lang w:val="es-ES"/>
        </w:rPr>
        <w:t>la firma electrónica del oferente</w:t>
      </w:r>
      <w:r w:rsidR="004F5252">
        <w:rPr>
          <w:rFonts w:ascii="Arial" w:eastAsia="Calibri" w:hAnsi="Arial" w:cs="Arial"/>
          <w:lang w:val="es-ES"/>
        </w:rPr>
        <w:t xml:space="preserve"> cubre la del formato en el que no se haya plasmado la firma manuscrita. Por tanto, no encuentra esta Agencia que en tal caso –de ausencia de firma manuscrita– se pueda proceder con el rechazo de la oferta, porque se trata de una formalidad no necesaria para la comparación de las propuestas.</w:t>
      </w:r>
      <w:r w:rsidR="000B745B">
        <w:rPr>
          <w:rFonts w:ascii="Arial" w:eastAsia="Calibri" w:hAnsi="Arial" w:cs="Arial"/>
          <w:lang w:val="es-ES"/>
        </w:rPr>
        <w:t xml:space="preserve"> </w:t>
      </w:r>
    </w:p>
    <w:p w14:paraId="1DF065CA" w14:textId="73E9DEA2" w:rsidR="00137E23" w:rsidRPr="00510BFB" w:rsidRDefault="00137E23" w:rsidP="000305D7">
      <w:pPr>
        <w:pStyle w:val="Prrafodelista"/>
        <w:tabs>
          <w:tab w:val="left" w:pos="284"/>
        </w:tabs>
        <w:spacing w:before="120" w:line="276" w:lineRule="auto"/>
        <w:ind w:left="0"/>
        <w:jc w:val="both"/>
        <w:rPr>
          <w:rFonts w:ascii="Arial" w:eastAsia="Calibri" w:hAnsi="Arial" w:cs="Arial"/>
          <w:b/>
          <w:sz w:val="22"/>
          <w:lang w:val="es-CO"/>
        </w:rPr>
      </w:pPr>
      <w:r w:rsidRPr="00510BFB">
        <w:rPr>
          <w:rFonts w:ascii="Arial" w:eastAsia="Calibri" w:hAnsi="Arial" w:cs="Arial"/>
          <w:b/>
          <w:sz w:val="22"/>
          <w:lang w:val="es-CO"/>
        </w:rPr>
        <w:t>3. Respuesta</w:t>
      </w:r>
    </w:p>
    <w:p w14:paraId="1557992F" w14:textId="00FD6BBB" w:rsidR="001F6C15" w:rsidRPr="002450FF" w:rsidRDefault="002450FF" w:rsidP="002450FF">
      <w:pPr>
        <w:tabs>
          <w:tab w:val="left" w:pos="709"/>
        </w:tabs>
        <w:spacing w:before="120" w:line="240" w:lineRule="auto"/>
        <w:ind w:left="709" w:right="851"/>
        <w:jc w:val="both"/>
        <w:rPr>
          <w:rFonts w:ascii="Arial" w:eastAsia="Calibri" w:hAnsi="Arial" w:cs="Arial"/>
          <w:color w:val="000000" w:themeColor="text1"/>
          <w:sz w:val="21"/>
          <w:szCs w:val="21"/>
        </w:rPr>
      </w:pPr>
      <w:bookmarkStart w:id="9" w:name="_Hlk94281581"/>
      <w:r w:rsidRPr="002450FF">
        <w:rPr>
          <w:rFonts w:ascii="Arial" w:hAnsi="Arial" w:cs="Arial"/>
          <w:color w:val="1A1A1A" w:themeColor="background1" w:themeShade="1A"/>
          <w:sz w:val="21"/>
          <w:szCs w:val="21"/>
        </w:rPr>
        <w:t>«</w:t>
      </w:r>
      <w:r w:rsidRPr="002450FF">
        <w:rPr>
          <w:rFonts w:ascii="Arial" w:hAnsi="Arial" w:cs="Arial"/>
          <w:color w:val="000000"/>
          <w:sz w:val="21"/>
          <w:szCs w:val="21"/>
        </w:rPr>
        <w:t xml:space="preserve">En los pliegos tipo de infraestructura social en el numeral 4.1. Oferta Económica "Para calificar este factor se tendrá en cuenta el valor total indicado en la propuesta económica o el obtenido de la corrección aritmética. La propuesta económica deberá ser allegada en el Sobre 2 y firmada." Es válida la interpretación para los procesos adelantados en SECOP II según la cual </w:t>
      </w:r>
      <w:proofErr w:type="gramStart"/>
      <w:r w:rsidRPr="002450FF">
        <w:rPr>
          <w:rFonts w:ascii="Arial" w:hAnsi="Arial" w:cs="Arial"/>
          <w:color w:val="000000"/>
          <w:sz w:val="21"/>
          <w:szCs w:val="21"/>
        </w:rPr>
        <w:t>¿ la</w:t>
      </w:r>
      <w:proofErr w:type="gramEnd"/>
      <w:r w:rsidRPr="002450FF">
        <w:rPr>
          <w:rFonts w:ascii="Arial" w:hAnsi="Arial" w:cs="Arial"/>
          <w:color w:val="000000"/>
          <w:sz w:val="21"/>
          <w:szCs w:val="21"/>
        </w:rPr>
        <w:t xml:space="preserve"> ausencia de firma manuscrita o escaneada en la propuesta económica y/o formulario de presupuesto oficial/ Oferta económica da lugar al rechazo de la </w:t>
      </w:r>
      <w:r w:rsidRPr="002450FF">
        <w:rPr>
          <w:rFonts w:ascii="Arial" w:hAnsi="Arial" w:cs="Arial"/>
          <w:color w:val="000000"/>
          <w:sz w:val="21"/>
          <w:szCs w:val="21"/>
        </w:rPr>
        <w:lastRenderedPageBreak/>
        <w:t>propuesta sin opción de subsanación o debe tenerse como firmada electrónicamente?:»</w:t>
      </w:r>
    </w:p>
    <w:p w14:paraId="2A640FA3" w14:textId="78E38AE3" w:rsidR="008525F9" w:rsidRDefault="00DB2AA9" w:rsidP="00DB2AA9">
      <w:pPr>
        <w:tabs>
          <w:tab w:val="left" w:pos="709"/>
        </w:tabs>
        <w:spacing w:before="120" w:line="276" w:lineRule="auto"/>
        <w:jc w:val="both"/>
        <w:rPr>
          <w:rFonts w:ascii="Arial" w:eastAsia="Calibri" w:hAnsi="Arial" w:cs="Arial"/>
          <w:lang w:val="es-ES"/>
        </w:rPr>
      </w:pPr>
      <w:r>
        <w:rPr>
          <w:rFonts w:ascii="Arial" w:eastAsia="Calibri" w:hAnsi="Arial" w:cs="Arial"/>
          <w:color w:val="000000" w:themeColor="text1"/>
        </w:rPr>
        <w:t xml:space="preserve">Dado que el artículo 5 de la </w:t>
      </w:r>
      <w:r>
        <w:rPr>
          <w:rFonts w:ascii="Arial" w:eastAsia="Calibri" w:hAnsi="Arial" w:cs="Arial"/>
          <w:color w:val="000000" w:themeColor="text1"/>
          <w:lang w:val="es-ES_tradnl"/>
        </w:rPr>
        <w:t xml:space="preserve">Ley 529 de 1999 dispone que «No se negarán efectos jurídicos, validez o fuerza obligatoria a todo tipo de información por la sola razón de que esté en forma de mensaje de datos» y que tanto la Ley 80 de 1993 como la Ley 1150 de 2007 se remiten a la misma disposición, no es posible </w:t>
      </w:r>
      <w:r w:rsidR="005E0879">
        <w:rPr>
          <w:rFonts w:ascii="Arial" w:eastAsia="Calibri" w:hAnsi="Arial" w:cs="Arial"/>
          <w:color w:val="000000" w:themeColor="text1"/>
          <w:lang w:val="es-ES_tradnl"/>
        </w:rPr>
        <w:t>rechazar una oferta presentada a través de la plataforma transaccional del Secop II, por no encontrarse suscrita</w:t>
      </w:r>
      <w:r w:rsidR="008C6DE0">
        <w:rPr>
          <w:rFonts w:ascii="Arial" w:eastAsia="Calibri" w:hAnsi="Arial" w:cs="Arial"/>
          <w:color w:val="000000" w:themeColor="text1"/>
          <w:lang w:val="es-ES_tradnl"/>
        </w:rPr>
        <w:t xml:space="preserve"> de manera manuscrita</w:t>
      </w:r>
      <w:r w:rsidR="00F57E6B">
        <w:rPr>
          <w:rFonts w:ascii="Arial" w:eastAsia="Calibri" w:hAnsi="Arial" w:cs="Arial"/>
          <w:color w:val="000000" w:themeColor="text1"/>
          <w:lang w:val="es-ES_tradnl"/>
        </w:rPr>
        <w:t>,</w:t>
      </w:r>
      <w:r w:rsidR="005E0879">
        <w:rPr>
          <w:rFonts w:ascii="Arial" w:eastAsia="Calibri" w:hAnsi="Arial" w:cs="Arial"/>
          <w:color w:val="000000" w:themeColor="text1"/>
          <w:lang w:val="es-ES_tradnl"/>
        </w:rPr>
        <w:t xml:space="preserve"> ya que </w:t>
      </w:r>
      <w:r w:rsidR="005E0879">
        <w:rPr>
          <w:rFonts w:ascii="Arial" w:eastAsia="Calibri" w:hAnsi="Arial" w:cs="Arial"/>
          <w:lang w:val="es-ES"/>
        </w:rPr>
        <w:t xml:space="preserve">que la presentación de la </w:t>
      </w:r>
      <w:r w:rsidR="00EF4CE9">
        <w:rPr>
          <w:rFonts w:ascii="Arial" w:eastAsia="Calibri" w:hAnsi="Arial" w:cs="Arial"/>
          <w:lang w:val="es-ES"/>
        </w:rPr>
        <w:t xml:space="preserve">oferta </w:t>
      </w:r>
      <w:r w:rsidR="005E0879">
        <w:rPr>
          <w:rFonts w:ascii="Arial" w:eastAsia="Calibri" w:hAnsi="Arial" w:cs="Arial"/>
          <w:lang w:val="es-ES"/>
        </w:rPr>
        <w:t>por parte del proponente, a través de su usuario y contraseña, constituye su firma personal e intransferible</w:t>
      </w:r>
      <w:r w:rsidR="008525F9">
        <w:rPr>
          <w:rFonts w:ascii="Arial" w:eastAsia="Calibri" w:hAnsi="Arial" w:cs="Arial"/>
          <w:lang w:val="es-ES"/>
        </w:rPr>
        <w:t xml:space="preserve">. </w:t>
      </w:r>
    </w:p>
    <w:p w14:paraId="7187E2FD" w14:textId="51C9D1F9" w:rsidR="005E0879" w:rsidRDefault="008525F9" w:rsidP="00DB2AA9">
      <w:pPr>
        <w:tabs>
          <w:tab w:val="left" w:pos="709"/>
        </w:tabs>
        <w:spacing w:before="120" w:line="276" w:lineRule="auto"/>
        <w:jc w:val="both"/>
        <w:rPr>
          <w:rFonts w:ascii="Arial" w:eastAsia="Calibri" w:hAnsi="Arial" w:cs="Arial"/>
          <w:color w:val="000000" w:themeColor="text1"/>
          <w:lang w:val="es-ES_tradnl"/>
        </w:rPr>
      </w:pPr>
      <w:r>
        <w:rPr>
          <w:rFonts w:ascii="Arial" w:eastAsia="Calibri" w:hAnsi="Arial" w:cs="Arial"/>
          <w:lang w:val="es-ES"/>
        </w:rPr>
        <w:tab/>
        <w:t>S</w:t>
      </w:r>
      <w:r w:rsidR="005E0879">
        <w:rPr>
          <w:rFonts w:ascii="Arial" w:eastAsia="Calibri" w:hAnsi="Arial" w:cs="Arial"/>
          <w:lang w:val="es-ES"/>
        </w:rPr>
        <w:t>i la trazabilidad de la plataforma refleja que el «usuario» presentó oferta en el proceso de selección</w:t>
      </w:r>
      <w:r w:rsidR="00EF4CE9" w:rsidRPr="00EF4CE9">
        <w:rPr>
          <w:rFonts w:ascii="Arial" w:eastAsia="Calibri" w:hAnsi="Arial" w:cs="Arial"/>
          <w:lang w:val="es-ES"/>
        </w:rPr>
        <w:t xml:space="preserve"> </w:t>
      </w:r>
      <w:r w:rsidR="00EF4CE9">
        <w:rPr>
          <w:rFonts w:ascii="Arial" w:eastAsia="Calibri" w:hAnsi="Arial" w:cs="Arial"/>
          <w:lang w:val="es-ES"/>
        </w:rPr>
        <w:t xml:space="preserve">no se </w:t>
      </w:r>
      <w:r>
        <w:rPr>
          <w:rFonts w:ascii="Arial" w:eastAsia="Calibri" w:hAnsi="Arial" w:cs="Arial"/>
          <w:lang w:val="es-ES"/>
        </w:rPr>
        <w:t xml:space="preserve">requerirá que el </w:t>
      </w:r>
      <w:r w:rsidR="00EF4CE9">
        <w:rPr>
          <w:rFonts w:ascii="Arial" w:eastAsia="Calibri" w:hAnsi="Arial" w:cs="Arial"/>
          <w:lang w:val="es-ES"/>
        </w:rPr>
        <w:t xml:space="preserve">proponente </w:t>
      </w:r>
      <w:r>
        <w:rPr>
          <w:rFonts w:ascii="Arial" w:eastAsia="Calibri" w:hAnsi="Arial" w:cs="Arial"/>
          <w:lang w:val="es-ES"/>
        </w:rPr>
        <w:t xml:space="preserve">aporte la </w:t>
      </w:r>
      <w:r w:rsidRPr="008525F9">
        <w:rPr>
          <w:rFonts w:ascii="Arial" w:eastAsia="Calibri" w:hAnsi="Arial" w:cs="Arial"/>
          <w:lang w:val="es-ES"/>
        </w:rPr>
        <w:t xml:space="preserve">propuesta económica </w:t>
      </w:r>
      <w:r>
        <w:rPr>
          <w:rFonts w:ascii="Arial" w:eastAsia="Calibri" w:hAnsi="Arial" w:cs="Arial"/>
          <w:lang w:val="es-ES"/>
        </w:rPr>
        <w:t xml:space="preserve">con </w:t>
      </w:r>
      <w:r w:rsidR="00EF4CE9">
        <w:rPr>
          <w:rFonts w:ascii="Arial" w:eastAsia="Calibri" w:hAnsi="Arial" w:cs="Arial"/>
          <w:lang w:val="es-ES"/>
        </w:rPr>
        <w:t xml:space="preserve">firma manuscrita </w:t>
      </w:r>
      <w:r>
        <w:rPr>
          <w:rFonts w:ascii="Arial" w:eastAsia="Calibri" w:hAnsi="Arial" w:cs="Arial"/>
          <w:lang w:val="es-ES"/>
        </w:rPr>
        <w:t>o digital</w:t>
      </w:r>
      <w:r w:rsidR="00EF4CE9">
        <w:rPr>
          <w:rFonts w:ascii="Arial" w:eastAsia="Calibri" w:hAnsi="Arial" w:cs="Arial"/>
          <w:lang w:val="es-ES"/>
        </w:rPr>
        <w:t xml:space="preserve">, teniendo en cuenta el </w:t>
      </w:r>
      <w:r>
        <w:rPr>
          <w:rFonts w:ascii="Arial" w:eastAsia="Calibri" w:hAnsi="Arial" w:cs="Arial"/>
          <w:lang w:val="es-ES"/>
        </w:rPr>
        <w:t xml:space="preserve">carácter transaccional del </w:t>
      </w:r>
      <w:r w:rsidR="00EF4CE9">
        <w:rPr>
          <w:rFonts w:ascii="Arial" w:eastAsia="Calibri" w:hAnsi="Arial" w:cs="Arial"/>
          <w:lang w:val="es-ES"/>
        </w:rPr>
        <w:t>S</w:t>
      </w:r>
      <w:r w:rsidR="00EF4CE9" w:rsidRPr="003116C1">
        <w:rPr>
          <w:rFonts w:ascii="Arial" w:eastAsia="Calibri" w:hAnsi="Arial" w:cs="Arial"/>
          <w:lang w:val="es-ES"/>
        </w:rPr>
        <w:t>ECOP II</w:t>
      </w:r>
      <w:r w:rsidR="008515C3">
        <w:rPr>
          <w:rFonts w:ascii="Arial" w:eastAsia="Calibri" w:hAnsi="Arial" w:cs="Arial"/>
          <w:lang w:val="es-ES"/>
        </w:rPr>
        <w:t>.</w:t>
      </w:r>
      <w:r w:rsidR="00F57E6B">
        <w:rPr>
          <w:rFonts w:ascii="Arial" w:eastAsia="Calibri" w:hAnsi="Arial" w:cs="Arial"/>
          <w:lang w:val="es-ES"/>
        </w:rPr>
        <w:t xml:space="preserve"> </w:t>
      </w:r>
      <w:r w:rsidR="008515C3">
        <w:rPr>
          <w:rFonts w:ascii="Arial" w:eastAsia="Calibri" w:hAnsi="Arial" w:cs="Arial"/>
          <w:lang w:val="es-ES"/>
        </w:rPr>
        <w:t>E</w:t>
      </w:r>
      <w:r w:rsidR="00F57E6B">
        <w:rPr>
          <w:rFonts w:ascii="Arial" w:eastAsia="Calibri" w:hAnsi="Arial" w:cs="Arial"/>
          <w:lang w:val="es-ES"/>
        </w:rPr>
        <w:t>sto</w:t>
      </w:r>
      <w:r w:rsidR="00F57E6B">
        <w:rPr>
          <w:rFonts w:ascii="Arial" w:eastAsia="Calibri" w:hAnsi="Arial" w:cs="Arial"/>
          <w:color w:val="000000" w:themeColor="text1"/>
        </w:rPr>
        <w:t xml:space="preserve"> quiere decir que las actuaciones se deben efectuar en línea y no resulta, en principio, admisible, que se firmen documentos en forma manuscrita, para luego escanearlos y subirlos adjuntos al aplicativo, además </w:t>
      </w:r>
      <w:r w:rsidR="00EF4CE9">
        <w:rPr>
          <w:rFonts w:ascii="Arial" w:eastAsia="Calibri" w:hAnsi="Arial" w:cs="Arial"/>
          <w:lang w:val="es-ES"/>
        </w:rPr>
        <w:t xml:space="preserve">no </w:t>
      </w:r>
      <w:r w:rsidR="00EF4CE9" w:rsidRPr="003116C1">
        <w:rPr>
          <w:rFonts w:ascii="Arial" w:eastAsia="Calibri" w:hAnsi="Arial" w:cs="Arial"/>
          <w:lang w:val="es-ES"/>
        </w:rPr>
        <w:t>debe existir duplicidad en la información que consta en plataforma</w:t>
      </w:r>
      <w:r w:rsidR="00EF4CE9">
        <w:rPr>
          <w:rFonts w:ascii="Arial" w:eastAsia="Calibri" w:hAnsi="Arial" w:cs="Arial"/>
          <w:lang w:val="es-ES"/>
        </w:rPr>
        <w:t>.</w:t>
      </w:r>
    </w:p>
    <w:p w14:paraId="2BD8B907" w14:textId="46891F50" w:rsidR="005E0879" w:rsidRPr="00304446" w:rsidRDefault="008525F9" w:rsidP="005E0879">
      <w:pPr>
        <w:spacing w:line="276" w:lineRule="auto"/>
        <w:ind w:firstLine="708"/>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En este mismo sentido, </w:t>
      </w:r>
      <w:r w:rsidR="00393A69">
        <w:rPr>
          <w:rFonts w:ascii="Arial" w:eastAsia="Calibri" w:hAnsi="Arial" w:cs="Arial"/>
          <w:color w:val="000000" w:themeColor="text1"/>
          <w:lang w:val="es-ES_tradnl"/>
        </w:rPr>
        <w:t xml:space="preserve">vale la pena precisar que </w:t>
      </w:r>
      <w:r>
        <w:rPr>
          <w:rFonts w:ascii="Arial" w:eastAsia="Calibri" w:hAnsi="Arial" w:cs="Arial"/>
          <w:color w:val="000000" w:themeColor="text1"/>
          <w:lang w:val="es-ES_tradnl"/>
        </w:rPr>
        <w:t>el n</w:t>
      </w:r>
      <w:r w:rsidR="005E0879">
        <w:rPr>
          <w:rFonts w:ascii="Arial" w:eastAsia="Calibri" w:hAnsi="Arial" w:cs="Arial"/>
          <w:color w:val="000000" w:themeColor="text1"/>
          <w:lang w:val="es-ES_tradnl"/>
        </w:rPr>
        <w:t xml:space="preserve">umeral 1.15 del </w:t>
      </w:r>
      <w:r w:rsidR="005E0879" w:rsidRPr="001C2222">
        <w:rPr>
          <w:rFonts w:ascii="Arial" w:eastAsia="Calibri" w:hAnsi="Arial" w:cs="Arial"/>
          <w:color w:val="000000" w:themeColor="text1"/>
          <w:lang w:val="es-ES_tradnl"/>
        </w:rPr>
        <w:t>Documento Base de los documentos tipo para la licitación de obra pública de infraestructura social</w:t>
      </w:r>
      <w:r w:rsidR="005E0879">
        <w:rPr>
          <w:rFonts w:ascii="Arial" w:eastAsia="Calibri" w:hAnsi="Arial" w:cs="Arial"/>
          <w:color w:val="000000" w:themeColor="text1"/>
          <w:lang w:val="es-ES_tradnl"/>
        </w:rPr>
        <w:t xml:space="preserve">, establece las causales de rechazo de las ofertas presentadas en el marco de los procesos de selección, </w:t>
      </w:r>
      <w:r>
        <w:rPr>
          <w:rFonts w:ascii="Arial" w:eastAsia="Calibri" w:hAnsi="Arial" w:cs="Arial"/>
          <w:color w:val="000000" w:themeColor="text1"/>
          <w:lang w:val="es-ES_tradnl"/>
        </w:rPr>
        <w:t xml:space="preserve">el cual prevé en su </w:t>
      </w:r>
      <w:r w:rsidR="005E0879">
        <w:rPr>
          <w:rFonts w:ascii="Arial" w:eastAsia="Calibri" w:hAnsi="Arial" w:cs="Arial"/>
          <w:color w:val="000000" w:themeColor="text1"/>
          <w:lang w:val="es-ES_tradnl"/>
        </w:rPr>
        <w:t>literal I. la no suscripción de la propuesta económica</w:t>
      </w:r>
      <w:r>
        <w:rPr>
          <w:rFonts w:ascii="Arial" w:eastAsia="Calibri" w:hAnsi="Arial" w:cs="Arial"/>
          <w:color w:val="000000" w:themeColor="text1"/>
          <w:lang w:val="es-ES_tradnl"/>
        </w:rPr>
        <w:t xml:space="preserve"> </w:t>
      </w:r>
      <w:r w:rsidR="00393A69">
        <w:rPr>
          <w:rFonts w:ascii="Arial" w:eastAsia="Calibri" w:hAnsi="Arial" w:cs="Arial"/>
          <w:color w:val="000000" w:themeColor="text1"/>
          <w:lang w:val="es-ES_tradnl"/>
        </w:rPr>
        <w:t xml:space="preserve">solo para </w:t>
      </w:r>
      <w:r>
        <w:rPr>
          <w:rFonts w:ascii="Arial" w:eastAsia="Calibri" w:hAnsi="Arial" w:cs="Arial"/>
          <w:color w:val="000000" w:themeColor="text1"/>
          <w:lang w:val="es-ES_tradnl"/>
        </w:rPr>
        <w:t xml:space="preserve">el evento en que la </w:t>
      </w:r>
      <w:r w:rsidR="005E0879">
        <w:rPr>
          <w:rFonts w:ascii="Arial" w:eastAsia="Calibri" w:hAnsi="Arial" w:cs="Arial"/>
          <w:color w:val="000000" w:themeColor="text1"/>
          <w:lang w:val="es-ES_tradnl"/>
        </w:rPr>
        <w:t xml:space="preserve">oferta se presente a través de la plataforma </w:t>
      </w:r>
      <w:r w:rsidR="005E0879" w:rsidRPr="008525F9">
        <w:rPr>
          <w:rFonts w:ascii="Arial" w:eastAsia="Calibri" w:hAnsi="Arial" w:cs="Arial"/>
          <w:i/>
          <w:iCs/>
          <w:color w:val="000000" w:themeColor="text1"/>
          <w:lang w:val="es-ES_tradnl"/>
        </w:rPr>
        <w:t xml:space="preserve">Secop I. </w:t>
      </w:r>
      <w:r w:rsidR="009C68AB">
        <w:rPr>
          <w:rFonts w:ascii="Arial" w:eastAsia="Calibri" w:hAnsi="Arial" w:cs="Arial"/>
          <w:color w:val="000000" w:themeColor="text1"/>
          <w:lang w:val="es-ES_tradnl"/>
        </w:rPr>
        <w:t xml:space="preserve">Es decir, la causal de rechazo no aplica cuando el procedimiento de selección se adelante en SECOP II, porque en este caso la firma que se </w:t>
      </w:r>
      <w:r w:rsidR="00895C39">
        <w:rPr>
          <w:rFonts w:ascii="Arial" w:eastAsia="Calibri" w:hAnsi="Arial" w:cs="Arial"/>
          <w:color w:val="000000" w:themeColor="text1"/>
          <w:lang w:val="es-ES_tradnl"/>
        </w:rPr>
        <w:t>da en la plataforma surte efectos sobre el documento que no cuenta con la firma manuscrita. Ello de conformidad con las disposiciones normativas analizadas en las consideraciones de este concepto. En consecuencia</w:t>
      </w:r>
      <w:r w:rsidR="00304446">
        <w:rPr>
          <w:rFonts w:ascii="Arial" w:eastAsia="Calibri" w:hAnsi="Arial" w:cs="Arial"/>
          <w:color w:val="000000" w:themeColor="text1"/>
          <w:lang w:val="es-ES_tradnl"/>
        </w:rPr>
        <w:t>,</w:t>
      </w:r>
      <w:r w:rsidR="00895C39">
        <w:rPr>
          <w:rFonts w:ascii="Arial" w:eastAsia="Calibri" w:hAnsi="Arial" w:cs="Arial"/>
          <w:color w:val="000000" w:themeColor="text1"/>
          <w:lang w:val="es-ES_tradnl"/>
        </w:rPr>
        <w:t xml:space="preserve"> no procede el rechazo de la oferta por la ausencia de la formalidad que se menciona en la pregunta.</w:t>
      </w:r>
    </w:p>
    <w:p w14:paraId="0EDAA92C" w14:textId="478FA2AB" w:rsidR="00E94D5C" w:rsidRPr="00510BFB" w:rsidRDefault="00E94D5C" w:rsidP="000305D7">
      <w:pPr>
        <w:spacing w:before="120" w:line="276" w:lineRule="auto"/>
        <w:jc w:val="both"/>
        <w:rPr>
          <w:rFonts w:ascii="Arial" w:hAnsi="Arial" w:cs="Arial"/>
          <w:color w:val="000000" w:themeColor="text1"/>
          <w:lang w:val="es-ES_tradnl"/>
        </w:rPr>
      </w:pPr>
      <w:r w:rsidRPr="00510BFB">
        <w:rPr>
          <w:rFonts w:ascii="Arial" w:hAnsi="Arial" w:cs="Arial"/>
          <w:color w:val="000000" w:themeColor="text1"/>
          <w:lang w:val="es-ES_tradnl"/>
        </w:rPr>
        <w:t>Este concepto tiene el alcance previsto en el artículo 28 del Código de Procedimiento Administrativo y de lo Contencioso Administrativo.</w:t>
      </w:r>
    </w:p>
    <w:bookmarkEnd w:id="9"/>
    <w:p w14:paraId="4E811CE0" w14:textId="38F90C24" w:rsidR="00872709" w:rsidRPr="00510BFB" w:rsidRDefault="000446AF" w:rsidP="000305D7">
      <w:pPr>
        <w:spacing w:before="120" w:after="120" w:line="276" w:lineRule="auto"/>
        <w:jc w:val="both"/>
        <w:rPr>
          <w:rFonts w:ascii="Arial" w:eastAsia="Calibri" w:hAnsi="Arial" w:cs="Arial"/>
        </w:rPr>
      </w:pPr>
      <w:r w:rsidRPr="00510BFB">
        <w:rPr>
          <w:rFonts w:ascii="Arial" w:eastAsia="Calibri" w:hAnsi="Arial" w:cs="Arial"/>
        </w:rPr>
        <w:t xml:space="preserve">Atentamente, </w:t>
      </w:r>
    </w:p>
    <w:bookmarkEnd w:id="1"/>
    <w:p w14:paraId="3BF5126E" w14:textId="342EF124" w:rsidR="00135FBD" w:rsidRPr="00510BFB" w:rsidRDefault="000601D3" w:rsidP="006D3523">
      <w:pPr>
        <w:spacing w:after="120" w:line="276" w:lineRule="auto"/>
        <w:jc w:val="center"/>
        <w:rPr>
          <w:rFonts w:ascii="Calibri" w:eastAsia="Calibri" w:hAnsi="Calibri" w:cs="Times New Roman"/>
          <w:sz w:val="24"/>
        </w:rPr>
      </w:pPr>
      <w:r>
        <w:rPr>
          <w:rFonts w:ascii="Arial" w:hAnsi="Arial" w:cs="Arial"/>
          <w:noProof/>
          <w:color w:val="1A1A1A" w:themeColor="background1" w:themeShade="1A"/>
          <w:lang w:eastAsia="es-CO"/>
        </w:rPr>
        <w:lastRenderedPageBreak/>
        <w:drawing>
          <wp:inline distT="0" distB="0" distL="0" distR="0" wp14:anchorId="07E5C3D4" wp14:editId="14965603">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301A61" w:rsidRPr="0088027A" w14:paraId="707B2957" w14:textId="77777777" w:rsidTr="00C40C01">
        <w:trPr>
          <w:trHeight w:val="286"/>
        </w:trPr>
        <w:tc>
          <w:tcPr>
            <w:tcW w:w="817" w:type="dxa"/>
            <w:vAlign w:val="center"/>
          </w:tcPr>
          <w:p w14:paraId="564D9913" w14:textId="77777777" w:rsidR="00301A61" w:rsidRPr="0088027A" w:rsidRDefault="00301A61" w:rsidP="00C40C01">
            <w:pPr>
              <w:spacing w:before="0"/>
              <w:rPr>
                <w:rFonts w:ascii="Arial" w:hAnsi="Arial" w:cs="Arial"/>
                <w:sz w:val="16"/>
                <w:szCs w:val="16"/>
              </w:rPr>
            </w:pPr>
            <w:r w:rsidRPr="0088027A">
              <w:rPr>
                <w:rFonts w:ascii="Arial" w:hAnsi="Arial" w:cs="Arial"/>
                <w:sz w:val="16"/>
                <w:szCs w:val="16"/>
              </w:rPr>
              <w:t>Elaboró:</w:t>
            </w:r>
          </w:p>
        </w:tc>
        <w:tc>
          <w:tcPr>
            <w:tcW w:w="4445" w:type="dxa"/>
            <w:tcBorders>
              <w:bottom w:val="dotted" w:sz="4" w:space="0" w:color="7F7F7F"/>
            </w:tcBorders>
            <w:vAlign w:val="center"/>
          </w:tcPr>
          <w:p w14:paraId="79F653E0" w14:textId="77777777" w:rsidR="00301A61" w:rsidRPr="0088027A" w:rsidRDefault="00301A61" w:rsidP="00C40C01">
            <w:pPr>
              <w:spacing w:before="0"/>
              <w:rPr>
                <w:rFonts w:ascii="Arial" w:hAnsi="Arial" w:cs="Arial"/>
                <w:sz w:val="16"/>
                <w:szCs w:val="16"/>
              </w:rPr>
            </w:pPr>
            <w:r w:rsidRPr="0088027A">
              <w:rPr>
                <w:rFonts w:ascii="Arial" w:hAnsi="Arial" w:cs="Arial"/>
                <w:sz w:val="16"/>
                <w:szCs w:val="16"/>
              </w:rPr>
              <w:t xml:space="preserve">Diana Fabiola Herrera Hernández </w:t>
            </w:r>
          </w:p>
          <w:p w14:paraId="79FCC0BE" w14:textId="77777777" w:rsidR="00301A61" w:rsidRPr="0088027A" w:rsidRDefault="00301A61" w:rsidP="00C40C01">
            <w:pPr>
              <w:spacing w:before="0"/>
              <w:rPr>
                <w:rFonts w:ascii="Arial" w:hAnsi="Arial" w:cs="Arial"/>
                <w:sz w:val="16"/>
                <w:szCs w:val="16"/>
              </w:rPr>
            </w:pPr>
            <w:r w:rsidRPr="0088027A">
              <w:rPr>
                <w:rFonts w:ascii="Arial" w:hAnsi="Arial" w:cs="Arial"/>
                <w:sz w:val="16"/>
                <w:szCs w:val="16"/>
              </w:rPr>
              <w:t>Contratista de la Subdirección de Gestión Contractual</w:t>
            </w:r>
          </w:p>
        </w:tc>
      </w:tr>
      <w:tr w:rsidR="00301A61" w:rsidRPr="0088027A" w14:paraId="3194BCEB" w14:textId="77777777" w:rsidTr="00C40C01">
        <w:trPr>
          <w:trHeight w:val="286"/>
        </w:trPr>
        <w:tc>
          <w:tcPr>
            <w:tcW w:w="817" w:type="dxa"/>
            <w:vAlign w:val="center"/>
          </w:tcPr>
          <w:p w14:paraId="3FEDD33C" w14:textId="77777777" w:rsidR="00301A61" w:rsidRPr="0088027A" w:rsidRDefault="00301A61" w:rsidP="00C40C01">
            <w:pPr>
              <w:rPr>
                <w:rFonts w:ascii="Arial" w:hAnsi="Arial" w:cs="Arial"/>
                <w:sz w:val="16"/>
                <w:szCs w:val="16"/>
              </w:rPr>
            </w:pPr>
            <w:r w:rsidRPr="0088027A">
              <w:rPr>
                <w:rFonts w:ascii="Arial" w:hAnsi="Arial" w:cs="Arial"/>
                <w:sz w:val="16"/>
                <w:szCs w:val="16"/>
              </w:rPr>
              <w:t>Revisó:</w:t>
            </w:r>
          </w:p>
        </w:tc>
        <w:tc>
          <w:tcPr>
            <w:tcW w:w="4445" w:type="dxa"/>
            <w:tcBorders>
              <w:bottom w:val="dotted" w:sz="4" w:space="0" w:color="7F7F7F"/>
            </w:tcBorders>
            <w:vAlign w:val="center"/>
          </w:tcPr>
          <w:p w14:paraId="21CD7C8A" w14:textId="7318DF5B" w:rsidR="00301A61" w:rsidRPr="00AB628F" w:rsidRDefault="00301A61" w:rsidP="00C40C01">
            <w:pPr>
              <w:spacing w:before="0"/>
              <w:rPr>
                <w:rFonts w:ascii="Arial" w:hAnsi="Arial" w:cs="Arial"/>
                <w:sz w:val="16"/>
                <w:szCs w:val="16"/>
                <w:lang w:eastAsia="es-ES"/>
              </w:rPr>
            </w:pPr>
            <w:r w:rsidRPr="00AB628F">
              <w:rPr>
                <w:rFonts w:ascii="Arial" w:hAnsi="Arial" w:cs="Arial"/>
                <w:sz w:val="16"/>
                <w:szCs w:val="16"/>
                <w:lang w:eastAsia="es-ES"/>
              </w:rPr>
              <w:t xml:space="preserve">Cristian </w:t>
            </w:r>
            <w:r>
              <w:rPr>
                <w:rFonts w:ascii="Arial" w:hAnsi="Arial" w:cs="Arial"/>
                <w:sz w:val="16"/>
                <w:szCs w:val="16"/>
                <w:lang w:eastAsia="es-ES"/>
              </w:rPr>
              <w:t xml:space="preserve">Andrés </w:t>
            </w:r>
            <w:r w:rsidRPr="00AB628F">
              <w:rPr>
                <w:rFonts w:ascii="Arial" w:hAnsi="Arial" w:cs="Arial"/>
                <w:sz w:val="16"/>
                <w:szCs w:val="16"/>
                <w:lang w:eastAsia="es-ES"/>
              </w:rPr>
              <w:t>Díaz</w:t>
            </w:r>
            <w:r>
              <w:rPr>
                <w:rFonts w:ascii="Arial" w:hAnsi="Arial" w:cs="Arial"/>
                <w:sz w:val="16"/>
                <w:szCs w:val="16"/>
                <w:lang w:eastAsia="es-ES"/>
              </w:rPr>
              <w:t xml:space="preserve"> Dí</w:t>
            </w:r>
            <w:r w:rsidR="00B33845">
              <w:rPr>
                <w:rFonts w:ascii="Arial" w:hAnsi="Arial" w:cs="Arial"/>
                <w:sz w:val="16"/>
                <w:szCs w:val="16"/>
                <w:lang w:eastAsia="es-ES"/>
              </w:rPr>
              <w:t>e</w:t>
            </w:r>
            <w:r>
              <w:rPr>
                <w:rFonts w:ascii="Arial" w:hAnsi="Arial" w:cs="Arial"/>
                <w:sz w:val="16"/>
                <w:szCs w:val="16"/>
                <w:lang w:eastAsia="es-ES"/>
              </w:rPr>
              <w:t>z</w:t>
            </w:r>
          </w:p>
          <w:p w14:paraId="632F8882" w14:textId="77777777" w:rsidR="00301A61" w:rsidRPr="0088027A" w:rsidRDefault="00301A61" w:rsidP="00C40C01">
            <w:pPr>
              <w:spacing w:before="0"/>
              <w:rPr>
                <w:rFonts w:ascii="Arial" w:hAnsi="Arial" w:cs="Arial"/>
                <w:sz w:val="16"/>
                <w:szCs w:val="16"/>
              </w:rPr>
            </w:pPr>
            <w:r w:rsidRPr="001D5A11">
              <w:rPr>
                <w:rFonts w:ascii="Arial" w:hAnsi="Arial" w:cs="Arial"/>
                <w:sz w:val="16"/>
                <w:szCs w:val="16"/>
                <w:lang w:eastAsia="es-ES"/>
              </w:rPr>
              <w:t>Contratista de la Subdirección de Gestión Contractual</w:t>
            </w:r>
          </w:p>
        </w:tc>
      </w:tr>
      <w:tr w:rsidR="00301A61" w:rsidRPr="00691AAC" w14:paraId="2832D1D7" w14:textId="77777777" w:rsidTr="00C40C01">
        <w:trPr>
          <w:trHeight w:val="299"/>
        </w:trPr>
        <w:tc>
          <w:tcPr>
            <w:tcW w:w="817" w:type="dxa"/>
            <w:vAlign w:val="center"/>
          </w:tcPr>
          <w:p w14:paraId="3220471C" w14:textId="77777777" w:rsidR="00301A61" w:rsidRPr="0088027A" w:rsidRDefault="00301A61" w:rsidP="00C40C01">
            <w:pPr>
              <w:spacing w:before="0"/>
              <w:rPr>
                <w:rFonts w:ascii="Arial" w:hAnsi="Arial" w:cs="Arial"/>
                <w:sz w:val="16"/>
                <w:szCs w:val="16"/>
              </w:rPr>
            </w:pPr>
            <w:r w:rsidRPr="0088027A">
              <w:rPr>
                <w:rFonts w:ascii="Arial" w:hAnsi="Arial" w:cs="Arial"/>
                <w:sz w:val="16"/>
                <w:szCs w:val="16"/>
              </w:rPr>
              <w:t>Aprobó:</w:t>
            </w:r>
          </w:p>
        </w:tc>
        <w:tc>
          <w:tcPr>
            <w:tcW w:w="4445" w:type="dxa"/>
            <w:tcBorders>
              <w:top w:val="dotted" w:sz="4" w:space="0" w:color="7F7F7F"/>
              <w:bottom w:val="dotted" w:sz="4" w:space="0" w:color="7F7F7F"/>
            </w:tcBorders>
            <w:vAlign w:val="center"/>
          </w:tcPr>
          <w:p w14:paraId="1B54B871" w14:textId="77777777" w:rsidR="00301A61" w:rsidRPr="0088027A" w:rsidRDefault="00301A61" w:rsidP="00C40C01">
            <w:pPr>
              <w:spacing w:before="0"/>
              <w:rPr>
                <w:rFonts w:ascii="Arial" w:hAnsi="Arial" w:cs="Arial"/>
                <w:sz w:val="16"/>
                <w:szCs w:val="16"/>
              </w:rPr>
            </w:pPr>
            <w:r w:rsidRPr="0088027A">
              <w:rPr>
                <w:rFonts w:ascii="Arial" w:hAnsi="Arial" w:cs="Arial"/>
                <w:sz w:val="16"/>
                <w:szCs w:val="16"/>
              </w:rPr>
              <w:t>Juan David Marín López</w:t>
            </w:r>
          </w:p>
          <w:p w14:paraId="1C349487" w14:textId="77777777" w:rsidR="00301A61" w:rsidRPr="00691AAC" w:rsidRDefault="00301A61" w:rsidP="00C40C01">
            <w:pPr>
              <w:spacing w:before="0"/>
              <w:rPr>
                <w:rFonts w:ascii="Arial" w:hAnsi="Arial" w:cs="Arial"/>
                <w:sz w:val="16"/>
                <w:szCs w:val="16"/>
              </w:rPr>
            </w:pPr>
            <w:r w:rsidRPr="0088027A">
              <w:rPr>
                <w:rFonts w:ascii="Arial" w:hAnsi="Arial" w:cs="Arial"/>
                <w:sz w:val="16"/>
                <w:szCs w:val="16"/>
              </w:rPr>
              <w:t>Subdirector de Gestión Contractual (E) ANCP – CCE</w:t>
            </w:r>
            <w:r>
              <w:rPr>
                <w:rFonts w:ascii="Arial" w:hAnsi="Arial" w:cs="Arial"/>
                <w:sz w:val="16"/>
                <w:szCs w:val="16"/>
              </w:rPr>
              <w:t xml:space="preserve"> </w:t>
            </w:r>
          </w:p>
        </w:tc>
      </w:tr>
    </w:tbl>
    <w:p w14:paraId="3E6BB58D" w14:textId="4520BAF0" w:rsidR="00135FBD" w:rsidRDefault="00135FBD"/>
    <w:p w14:paraId="13B0656D" w14:textId="77777777" w:rsidR="00135FBD" w:rsidRDefault="00135FBD"/>
    <w:sectPr w:rsidR="00135FBD"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31835" w14:textId="77777777" w:rsidR="00C83AF5" w:rsidRDefault="00C83AF5" w:rsidP="00137E23">
      <w:pPr>
        <w:spacing w:after="0" w:line="240" w:lineRule="auto"/>
      </w:pPr>
      <w:r>
        <w:separator/>
      </w:r>
    </w:p>
  </w:endnote>
  <w:endnote w:type="continuationSeparator" w:id="0">
    <w:p w14:paraId="0935F0D7" w14:textId="77777777" w:rsidR="00C83AF5" w:rsidRDefault="00C83AF5"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005C597A">
      <w:rPr>
        <w:rFonts w:ascii="Arial" w:hAnsi="Arial" w:cs="Arial"/>
        <w:b/>
        <w:bCs/>
        <w:noProof/>
        <w:color w:val="7F7F7F"/>
        <w:sz w:val="16"/>
        <w:szCs w:val="16"/>
      </w:rPr>
      <w:t>12</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005C597A">
      <w:rPr>
        <w:rFonts w:ascii="Arial" w:hAnsi="Arial" w:cs="Arial"/>
        <w:b/>
        <w:bCs/>
        <w:noProof/>
        <w:color w:val="7F7F7F"/>
        <w:sz w:val="16"/>
        <w:szCs w:val="16"/>
      </w:rPr>
      <w:t>12</w:t>
    </w:r>
    <w:r w:rsidRPr="00137E23">
      <w:rPr>
        <w:rFonts w:ascii="Arial" w:hAnsi="Arial" w:cs="Arial"/>
        <w:b/>
        <w:bCs/>
        <w:color w:val="7F7F7F"/>
        <w:sz w:val="16"/>
        <w:szCs w:val="16"/>
      </w:rPr>
      <w:fldChar w:fldCharType="end"/>
    </w:r>
  </w:p>
  <w:p w14:paraId="1EFCD5B1" w14:textId="77777777" w:rsidR="009D2EE7" w:rsidRDefault="009D2EE7" w:rsidP="007B0854">
    <w:pPr>
      <w:pStyle w:val="Piedepgina"/>
      <w:jc w:val="center"/>
    </w:pPr>
    <w:r>
      <w:rPr>
        <w:noProof/>
      </w:rPr>
      <w:drawing>
        <wp:inline distT="0" distB="0" distL="0" distR="0" wp14:anchorId="50DDB56E" wp14:editId="36F11EDA">
          <wp:extent cx="5581015" cy="866775"/>
          <wp:effectExtent l="0" t="0" r="635" b="9525"/>
          <wp:docPr id="20" name="Imagen 20"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67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360"/>
    </w:tblGrid>
    <w:tr w:rsidR="009D2EE7" w:rsidRPr="00080DA3" w14:paraId="1B85B707" w14:textId="77777777" w:rsidTr="00483649">
      <w:trPr>
        <w:trHeight w:val="229"/>
        <w:jc w:val="center"/>
      </w:trPr>
      <w:tc>
        <w:tcPr>
          <w:tcW w:w="999"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49EBCA4" w14:textId="77777777" w:rsidR="009D2EE7" w:rsidRPr="00080DA3" w:rsidRDefault="009D2EE7" w:rsidP="009D2EE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19"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8B7DB83" w14:textId="77777777" w:rsidR="009D2EE7" w:rsidRPr="00080DA3" w:rsidRDefault="009D2EE7" w:rsidP="009D2EE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06CF4B4" w14:textId="77777777" w:rsidR="009D2EE7" w:rsidRPr="00080DA3" w:rsidRDefault="009D2EE7" w:rsidP="009D2EE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5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EF45522" w14:textId="77777777" w:rsidR="009D2EE7" w:rsidRPr="00080DA3" w:rsidRDefault="009D2EE7" w:rsidP="009D2EE7">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E72FEF4" w14:textId="77777777" w:rsidR="009D2EE7" w:rsidRPr="00080DA3" w:rsidRDefault="009D2EE7" w:rsidP="009D2EE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9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CAB9090" w14:textId="77777777" w:rsidR="009D2EE7" w:rsidRPr="00080DA3" w:rsidRDefault="009D2EE7" w:rsidP="009D2EE7">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36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CD5A773" w14:textId="77777777" w:rsidR="009D2EE7" w:rsidRPr="00080DA3" w:rsidRDefault="009D2EE7" w:rsidP="009D2EE7">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FF1EFC4" w14:textId="429E52B8" w:rsidR="000E0524" w:rsidRDefault="00000000" w:rsidP="007B0854">
    <w:pPr>
      <w:pStyle w:val="Piedepgina"/>
      <w:jc w:val="center"/>
    </w:pPr>
  </w:p>
  <w:p w14:paraId="4ED838EE" w14:textId="580CE55D" w:rsidR="009D2EE7" w:rsidRDefault="009D2EE7" w:rsidP="007B0854">
    <w:pPr>
      <w:pStyle w:val="Piedepgina"/>
      <w:jc w:val="center"/>
    </w:pPr>
  </w:p>
  <w:p w14:paraId="01C81800" w14:textId="744D6B19" w:rsidR="009D2EE7" w:rsidRDefault="009D2EE7" w:rsidP="007B0854">
    <w:pPr>
      <w:pStyle w:val="Piedepgina"/>
      <w:jc w:val="center"/>
    </w:pPr>
  </w:p>
  <w:p w14:paraId="591299A4" w14:textId="77777777" w:rsidR="009D2EE7" w:rsidRDefault="009D2EE7" w:rsidP="007B0854">
    <w:pPr>
      <w:pStyle w:val="Piedepgina"/>
      <w:jc w:val="center"/>
    </w:pPr>
  </w:p>
  <w:p w14:paraId="7F8835C6" w14:textId="77777777" w:rsidR="000E0524" w:rsidRPr="007B0854" w:rsidRDefault="00000000"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AB95D" w14:textId="77777777" w:rsidR="00C83AF5" w:rsidRDefault="00C83AF5" w:rsidP="00137E23">
      <w:pPr>
        <w:spacing w:after="0" w:line="240" w:lineRule="auto"/>
      </w:pPr>
      <w:r>
        <w:separator/>
      </w:r>
    </w:p>
  </w:footnote>
  <w:footnote w:type="continuationSeparator" w:id="0">
    <w:p w14:paraId="069E0B6C" w14:textId="77777777" w:rsidR="00C83AF5" w:rsidRDefault="00C83AF5" w:rsidP="00137E23">
      <w:pPr>
        <w:spacing w:after="0" w:line="240" w:lineRule="auto"/>
      </w:pPr>
      <w:r>
        <w:continuationSeparator/>
      </w:r>
    </w:p>
  </w:footnote>
  <w:footnote w:id="1">
    <w:p w14:paraId="562291F7" w14:textId="05491BB9" w:rsidR="00BE6B74" w:rsidRPr="00B61C8D" w:rsidRDefault="00BE6B74" w:rsidP="00B61C8D">
      <w:pPr>
        <w:pStyle w:val="Textonotapie"/>
        <w:snapToGrid w:val="0"/>
        <w:ind w:firstLine="709"/>
        <w:jc w:val="both"/>
        <w:rPr>
          <w:rFonts w:ascii="Arial" w:eastAsia="Calibri" w:hAnsi="Arial" w:cs="Arial"/>
          <w:color w:val="000000" w:themeColor="text1"/>
          <w:sz w:val="19"/>
          <w:szCs w:val="19"/>
          <w:lang w:val="es-ES_tradnl"/>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footnote>
  <w:footnote w:id="2">
    <w:p w14:paraId="0746A1A7"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3BB42CE1"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proofErr w:type="gramStart"/>
      <w:r w:rsidRPr="00D6101A">
        <w:rPr>
          <w:rFonts w:ascii="Arial" w:hAnsi="Arial" w:cs="Arial"/>
          <w:color w:val="000000" w:themeColor="text1"/>
          <w:sz w:val="19"/>
          <w:szCs w:val="19"/>
          <w:lang w:val="es-ES"/>
        </w:rPr>
        <w:t>»La</w:t>
      </w:r>
      <w:proofErr w:type="gramEnd"/>
      <w:r w:rsidRPr="00D6101A">
        <w:rPr>
          <w:rFonts w:ascii="Arial" w:hAnsi="Arial" w:cs="Arial"/>
          <w:color w:val="000000" w:themeColor="text1"/>
          <w:sz w:val="19"/>
          <w:szCs w:val="19"/>
          <w:lang w:val="es-ES"/>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0A2A89D6"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1CF67EE8"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376F4B8B"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43B1F55A"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1D1E6014"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3158A5B3"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260EB065" w14:textId="77777777" w:rsidR="00BE6B74" w:rsidRPr="00D6101A" w:rsidRDefault="00BE6B74" w:rsidP="00304446">
      <w:pPr>
        <w:pStyle w:val="Textonotapie"/>
        <w:snapToGrid w:val="0"/>
        <w:ind w:firstLine="709"/>
        <w:jc w:val="both"/>
        <w:rPr>
          <w:rFonts w:ascii="Arial" w:hAnsi="Arial" w:cs="Arial"/>
          <w:color w:val="000000" w:themeColor="text1"/>
          <w:sz w:val="19"/>
          <w:szCs w:val="19"/>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C91CC9D" w14:textId="77777777" w:rsidR="00BE6B74" w:rsidRPr="00D6101A" w:rsidRDefault="00BE6B74" w:rsidP="00304446">
      <w:pPr>
        <w:pStyle w:val="Textonotapie"/>
        <w:snapToGrid w:val="0"/>
        <w:ind w:firstLine="709"/>
        <w:jc w:val="both"/>
        <w:rPr>
          <w:rFonts w:ascii="Arial" w:hAnsi="Arial" w:cs="Arial"/>
          <w:color w:val="000000" w:themeColor="text1"/>
          <w:sz w:val="19"/>
          <w:szCs w:val="19"/>
        </w:rPr>
      </w:pPr>
      <w:r w:rsidRPr="00D6101A">
        <w:rPr>
          <w:rFonts w:ascii="Arial" w:hAnsi="Arial" w:cs="Arial"/>
          <w:color w:val="000000" w:themeColor="text1"/>
          <w:sz w:val="19"/>
          <w:szCs w:val="19"/>
        </w:rPr>
        <w:t>»Las reproducciones efectuadas se reputarán auténticas para todos los efectos legales, siempre que no se altere el contenido del acto o documento.</w:t>
      </w:r>
    </w:p>
    <w:p w14:paraId="2063662C"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3CEBA3E1" w14:textId="77777777" w:rsidR="00BE6B74" w:rsidRPr="00D6101A" w:rsidRDefault="00BE6B74" w:rsidP="00304446">
      <w:pPr>
        <w:pStyle w:val="NormalWeb"/>
        <w:shd w:val="clear" w:color="auto" w:fill="FFFFFF"/>
        <w:snapToGrid w:val="0"/>
        <w:spacing w:after="0" w:line="240" w:lineRule="auto"/>
        <w:ind w:firstLine="709"/>
        <w:jc w:val="both"/>
        <w:rPr>
          <w:rFonts w:ascii="Arial" w:hAnsi="Arial" w:cs="Arial"/>
          <w:color w:val="000000" w:themeColor="text1"/>
          <w:sz w:val="19"/>
          <w:szCs w:val="19"/>
          <w:lang w:val="es-ES_tradnl" w:eastAsia="es-ES_tradnl"/>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w:t>
      </w:r>
      <w:r w:rsidRPr="00D6101A">
        <w:rPr>
          <w:rFonts w:ascii="Arial" w:hAnsi="Arial" w:cs="Arial"/>
          <w:color w:val="000000" w:themeColor="text1"/>
          <w:sz w:val="19"/>
          <w:szCs w:val="19"/>
          <w:lang w:val="es-ES_tradnl" w:eastAsia="es-ES_tradnl"/>
        </w:rPr>
        <w:t xml:space="preserve">Artículo 10. Utilización del correo para el envío de información. Modifíquese el artículo 25 del Decreto 2150 de 1995, el cual quedará así: </w:t>
      </w:r>
      <w:r w:rsidRPr="00D6101A">
        <w:rPr>
          <w:rFonts w:ascii="Arial"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36FABE8A" w14:textId="77777777" w:rsidR="00BE6B74" w:rsidRPr="00D6101A" w:rsidRDefault="00BE6B74" w:rsidP="00304446">
      <w:pPr>
        <w:shd w:val="clear" w:color="auto" w:fill="FFFFFF"/>
        <w:snapToGrid w:val="0"/>
        <w:spacing w:after="0" w:line="240" w:lineRule="auto"/>
        <w:ind w:firstLine="709"/>
        <w:jc w:val="both"/>
        <w:rPr>
          <w:rFonts w:ascii="Arial" w:hAnsi="Arial" w:cs="Arial"/>
          <w:color w:val="000000" w:themeColor="text1"/>
          <w:sz w:val="19"/>
          <w:szCs w:val="19"/>
          <w:lang w:val="es-ES_tradnl"/>
        </w:rPr>
      </w:pPr>
      <w:r w:rsidRPr="00D6101A">
        <w:rPr>
          <w:rFonts w:ascii="Arial"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4C6C78C4" w14:textId="77777777" w:rsidR="00BE6B74" w:rsidRPr="00D6101A" w:rsidRDefault="00BE6B74" w:rsidP="00304446">
      <w:pPr>
        <w:shd w:val="clear" w:color="auto" w:fill="FFFFFF"/>
        <w:snapToGrid w:val="0"/>
        <w:spacing w:after="0" w:line="240" w:lineRule="auto"/>
        <w:ind w:firstLine="709"/>
        <w:jc w:val="both"/>
        <w:rPr>
          <w:rFonts w:ascii="Arial" w:hAnsi="Arial" w:cs="Arial"/>
          <w:color w:val="000000" w:themeColor="text1"/>
          <w:sz w:val="19"/>
          <w:szCs w:val="19"/>
          <w:lang w:val="es-ES_tradnl"/>
        </w:rPr>
      </w:pPr>
      <w:r w:rsidRPr="00D6101A">
        <w:rPr>
          <w:rFonts w:ascii="Arial"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7861DFBA" w14:textId="77777777" w:rsidR="00BE6B74" w:rsidRPr="00D6101A" w:rsidRDefault="00BE6B74" w:rsidP="00304446">
      <w:pPr>
        <w:shd w:val="clear" w:color="auto" w:fill="FFFFFF"/>
        <w:snapToGrid w:val="0"/>
        <w:spacing w:after="0" w:line="240" w:lineRule="auto"/>
        <w:ind w:firstLine="709"/>
        <w:jc w:val="both"/>
        <w:rPr>
          <w:rFonts w:ascii="Arial" w:hAnsi="Arial" w:cs="Arial"/>
          <w:color w:val="000000" w:themeColor="text1"/>
          <w:sz w:val="19"/>
          <w:szCs w:val="19"/>
          <w:lang w:val="es-ES_tradnl"/>
        </w:rPr>
      </w:pPr>
      <w:r w:rsidRPr="00D6101A">
        <w:rPr>
          <w:rFonts w:ascii="Arial"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5DD0CB52" w14:textId="77777777" w:rsidR="00BE6B74" w:rsidRPr="00D6101A" w:rsidRDefault="00BE6B74" w:rsidP="00304446">
      <w:pPr>
        <w:shd w:val="clear" w:color="auto" w:fill="FFFFFF"/>
        <w:snapToGrid w:val="0"/>
        <w:spacing w:after="0" w:line="240" w:lineRule="auto"/>
        <w:ind w:firstLine="709"/>
        <w:jc w:val="both"/>
        <w:rPr>
          <w:rFonts w:ascii="Arial" w:hAnsi="Arial" w:cs="Arial"/>
          <w:color w:val="000000" w:themeColor="text1"/>
          <w:sz w:val="19"/>
          <w:szCs w:val="19"/>
          <w:lang w:val="es-ES_tradnl"/>
        </w:rPr>
      </w:pPr>
      <w:r w:rsidRPr="00D6101A">
        <w:rPr>
          <w:rFonts w:ascii="Arial"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71EB104C" w14:textId="60B93576" w:rsidR="00BE6B74" w:rsidRPr="00B61C8D" w:rsidRDefault="00BE6B74" w:rsidP="00B61C8D">
      <w:pPr>
        <w:shd w:val="clear" w:color="auto" w:fill="FFFFFF"/>
        <w:snapToGrid w:val="0"/>
        <w:spacing w:after="0" w:line="240" w:lineRule="auto"/>
        <w:ind w:firstLine="709"/>
        <w:jc w:val="both"/>
        <w:rPr>
          <w:rFonts w:ascii="Arial" w:hAnsi="Arial" w:cs="Arial"/>
          <w:color w:val="000000" w:themeColor="text1"/>
          <w:sz w:val="19"/>
          <w:szCs w:val="19"/>
          <w:lang w:val="es-ES_tradnl"/>
        </w:rPr>
      </w:pPr>
      <w:r w:rsidRPr="00D6101A">
        <w:rPr>
          <w:rFonts w:ascii="Arial" w:hAnsi="Arial" w:cs="Arial"/>
          <w:color w:val="000000" w:themeColor="text1"/>
          <w:sz w:val="19"/>
          <w:szCs w:val="19"/>
          <w:lang w:val="es-ES_tradnl"/>
        </w:rPr>
        <w:t>»Parágrafo. Para efectos del presente artículo, se entenderá válido el envío por correo certificado, siempre y cuando la dirección esté correcta y claramente diligenciada"».</w:t>
      </w:r>
    </w:p>
  </w:footnote>
  <w:footnote w:id="5">
    <w:p w14:paraId="7ACC6A54" w14:textId="3C44E4FB" w:rsidR="00BE6B74" w:rsidRPr="00B61C8D" w:rsidRDefault="00BE6B74" w:rsidP="00B61C8D">
      <w:pPr>
        <w:pStyle w:val="Textonotapie"/>
        <w:snapToGrid w:val="0"/>
        <w:ind w:firstLine="709"/>
        <w:jc w:val="both"/>
        <w:rPr>
          <w:rFonts w:ascii="Arial" w:eastAsia="Calibri" w:hAnsi="Arial" w:cs="Arial"/>
          <w:color w:val="000000" w:themeColor="text1"/>
          <w:sz w:val="19"/>
          <w:szCs w:val="19"/>
          <w:lang w:val="es-ES_tradnl"/>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footnote>
  <w:footnote w:id="6">
    <w:p w14:paraId="0F180F35"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90C0CF1"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p>
  </w:footnote>
  <w:footnote w:id="7">
    <w:p w14:paraId="51C1AD71" w14:textId="3A11475A" w:rsidR="00BE6B74" w:rsidRPr="00D6101A" w:rsidRDefault="00BE6B74" w:rsidP="00B61C8D">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footnote>
  <w:footnote w:id="8">
    <w:p w14:paraId="0E27AD0F"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p>
  </w:footnote>
  <w:footnote w:id="9">
    <w:p w14:paraId="218F9E9A" w14:textId="43EB1D30" w:rsidR="00BE6B74" w:rsidRPr="00D6101A" w:rsidRDefault="00BE6B74" w:rsidP="00B61C8D">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9.</w:t>
      </w:r>
    </w:p>
  </w:footnote>
  <w:footnote w:id="10">
    <w:p w14:paraId="0AEF8FD3" w14:textId="2DCB9DF2" w:rsidR="00BE6B74" w:rsidRPr="00D6101A" w:rsidRDefault="00BE6B74" w:rsidP="00B61C8D">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14.</w:t>
      </w:r>
    </w:p>
  </w:footnote>
  <w:footnote w:id="11">
    <w:p w14:paraId="2FC2EE87" w14:textId="777708C7" w:rsidR="00BE6B74" w:rsidRPr="00D6101A" w:rsidRDefault="00BE6B74" w:rsidP="00B61C8D">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16.</w:t>
      </w:r>
    </w:p>
  </w:footnote>
  <w:footnote w:id="12">
    <w:p w14:paraId="644576A6" w14:textId="77777777" w:rsidR="00BE6B74" w:rsidRPr="00D6101A" w:rsidRDefault="00BE6B74" w:rsidP="00304446">
      <w:pPr>
        <w:pStyle w:val="NormalWeb"/>
        <w:shd w:val="clear" w:color="auto" w:fill="FFFFFF"/>
        <w:snapToGrid w:val="0"/>
        <w:spacing w:after="0" w:line="240" w:lineRule="auto"/>
        <w:ind w:firstLine="709"/>
        <w:jc w:val="both"/>
        <w:rPr>
          <w:rFonts w:ascii="Arial" w:hAnsi="Arial" w:cs="Arial"/>
          <w:color w:val="000000" w:themeColor="text1"/>
          <w:sz w:val="19"/>
          <w:szCs w:val="19"/>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w:t>
      </w:r>
      <w:r w:rsidRPr="00D6101A">
        <w:rPr>
          <w:rFonts w:ascii="Arial" w:hAnsi="Arial" w:cs="Arial"/>
          <w:color w:val="000000" w:themeColor="text1"/>
          <w:sz w:val="19"/>
          <w:szCs w:val="19"/>
        </w:rPr>
        <w:t>Los sujetos obligados en los términos de la presente ley deberán automatizar y digitalizar la gestión interna de los trámites que se creen a partir de la entrada en vigencia de esta ley, los cuales deberán estar automatizados y digitalizados al interior de las entidades, conforme a los lineamientos y criterios establecidos por el Departamento Administrativo de la Función Pública y el Ministerio de Tecnologías de la Información y las Comunicaciones.</w:t>
      </w:r>
    </w:p>
    <w:p w14:paraId="57E5B4B1" w14:textId="77777777" w:rsidR="00BE6B74" w:rsidRPr="00D6101A" w:rsidRDefault="00BE6B74" w:rsidP="00304446">
      <w:pPr>
        <w:pStyle w:val="NormalWeb"/>
        <w:shd w:val="clear" w:color="auto" w:fill="FFFFFF"/>
        <w:snapToGrid w:val="0"/>
        <w:spacing w:after="0" w:line="240" w:lineRule="auto"/>
        <w:ind w:firstLine="709"/>
        <w:jc w:val="both"/>
        <w:rPr>
          <w:rFonts w:ascii="Arial" w:hAnsi="Arial" w:cs="Arial"/>
          <w:color w:val="000000" w:themeColor="text1"/>
          <w:sz w:val="19"/>
          <w:szCs w:val="19"/>
        </w:rPr>
      </w:pPr>
      <w:r w:rsidRPr="00D6101A">
        <w:rPr>
          <w:rFonts w:ascii="Arial" w:hAnsi="Arial" w:cs="Arial"/>
          <w:color w:val="000000" w:themeColor="text1"/>
          <w:sz w:val="19"/>
          <w:szCs w:val="19"/>
        </w:rPr>
        <w:t>»El Departamento Administrativo de la Función Pública y el Ministerio de Tecnologías de la información y las Comunicaciones, determinarán los plazos y condiciones para automatizar y digitalizar los trámites existentes antes de la entrada en vigencia de la presente ley.</w:t>
      </w:r>
    </w:p>
    <w:p w14:paraId="2251C3D8" w14:textId="77777777" w:rsidR="00BE6B74" w:rsidRPr="00D6101A" w:rsidRDefault="00BE6B74" w:rsidP="00304446">
      <w:pPr>
        <w:pStyle w:val="NormalWeb"/>
        <w:shd w:val="clear" w:color="auto" w:fill="FFFFFF"/>
        <w:snapToGrid w:val="0"/>
        <w:spacing w:after="0" w:line="240" w:lineRule="auto"/>
        <w:ind w:firstLine="709"/>
        <w:jc w:val="both"/>
        <w:rPr>
          <w:rFonts w:ascii="Arial" w:hAnsi="Arial" w:cs="Arial"/>
          <w:color w:val="000000" w:themeColor="text1"/>
          <w:sz w:val="19"/>
          <w:szCs w:val="19"/>
        </w:rPr>
      </w:pPr>
      <w:r w:rsidRPr="00D6101A">
        <w:rPr>
          <w:rStyle w:val="Textoennegrita"/>
          <w:rFonts w:ascii="Arial" w:hAnsi="Arial" w:cs="Arial"/>
          <w:color w:val="000000" w:themeColor="text1"/>
          <w:sz w:val="19"/>
          <w:szCs w:val="19"/>
        </w:rPr>
        <w:t>»PARÁGRAFO.</w:t>
      </w:r>
      <w:r w:rsidRPr="00D6101A">
        <w:rPr>
          <w:rFonts w:ascii="Arial" w:hAnsi="Arial" w:cs="Arial"/>
          <w:color w:val="000000" w:themeColor="text1"/>
          <w:sz w:val="19"/>
          <w:szCs w:val="19"/>
        </w:rPr>
        <w:t> Los sujetos obligados en los términos de la presente ley, salvo autorización legal, no podrán incrementar las tarifas o establecer cobros adicionales a los trámites en razón de su automatización y/o digitalización, so pena de la correspondiente sanción disciplinaria a la que haya lugar».</w:t>
      </w:r>
    </w:p>
    <w:p w14:paraId="35D2EB45" w14:textId="77777777" w:rsidR="00BE6B74" w:rsidRPr="00D6101A" w:rsidRDefault="00BE6B74" w:rsidP="00304446">
      <w:pPr>
        <w:pStyle w:val="Textonotapie"/>
        <w:snapToGrid w:val="0"/>
        <w:ind w:firstLine="709"/>
        <w:jc w:val="both"/>
        <w:rPr>
          <w:rFonts w:ascii="Arial" w:hAnsi="Arial" w:cs="Arial"/>
          <w:color w:val="000000" w:themeColor="text1"/>
          <w:sz w:val="19"/>
          <w:szCs w:val="19"/>
          <w:lang w:val="es-ES"/>
        </w:rPr>
      </w:pPr>
    </w:p>
  </w:footnote>
  <w:footnote w:id="13">
    <w:p w14:paraId="6669C175" w14:textId="2C98BF84" w:rsidR="001B06B6" w:rsidRPr="00B61C8D" w:rsidRDefault="001B06B6" w:rsidP="00B61C8D">
      <w:pPr>
        <w:pStyle w:val="Textonotapie"/>
        <w:snapToGrid w:val="0"/>
        <w:ind w:firstLine="709"/>
        <w:jc w:val="both"/>
        <w:rPr>
          <w:rFonts w:ascii="Arial" w:eastAsia="Calibri" w:hAnsi="Arial" w:cs="Arial"/>
          <w:color w:val="000000" w:themeColor="text1"/>
          <w:sz w:val="19"/>
          <w:szCs w:val="19"/>
          <w:lang w:val="es-ES_tradnl"/>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footnote>
  <w:footnote w:id="14">
    <w:p w14:paraId="789046F3" w14:textId="7AF8034A" w:rsidR="001B06B6" w:rsidRPr="00D6101A" w:rsidRDefault="001B06B6" w:rsidP="00B61C8D">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2, literal a).</w:t>
      </w:r>
    </w:p>
  </w:footnote>
  <w:footnote w:id="15">
    <w:p w14:paraId="3751001E" w14:textId="17A33402" w:rsidR="001B06B6" w:rsidRPr="00D6101A" w:rsidRDefault="001B06B6" w:rsidP="00B61C8D">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 2, literal f).</w:t>
      </w:r>
    </w:p>
  </w:footnote>
  <w:footnote w:id="16">
    <w:p w14:paraId="397E50B9" w14:textId="77777777" w:rsidR="001B06B6" w:rsidRPr="00D6101A" w:rsidRDefault="001B06B6" w:rsidP="00304446">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7">
    <w:p w14:paraId="3DEB8A2C" w14:textId="77777777" w:rsidR="001B06B6" w:rsidRPr="00D6101A" w:rsidRDefault="001B06B6" w:rsidP="00304446">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 xml:space="preserve">Sin embargo, debe recordarse que el artículo 222 del Decreto 019 de 2012 dispone: «Derogase la Ley 598 de 2000, la cual creó el Sistema de Información para la Vigilancia de la Contratación estatal, SICE, el </w:t>
      </w:r>
      <w:proofErr w:type="spellStart"/>
      <w:r w:rsidRPr="00D6101A">
        <w:rPr>
          <w:rFonts w:ascii="Arial" w:hAnsi="Arial" w:cs="Arial"/>
          <w:color w:val="000000" w:themeColor="text1"/>
          <w:sz w:val="19"/>
          <w:szCs w:val="19"/>
          <w:lang w:val="es-ES"/>
        </w:rPr>
        <w:t>Catalogo</w:t>
      </w:r>
      <w:proofErr w:type="spellEnd"/>
      <w:r w:rsidRPr="00D6101A">
        <w:rPr>
          <w:rFonts w:ascii="Arial" w:hAnsi="Arial" w:cs="Arial"/>
          <w:color w:val="000000" w:themeColor="text1"/>
          <w:sz w:val="19"/>
          <w:szCs w:val="19"/>
          <w:lang w:val="es-ES"/>
        </w:rPr>
        <w:t xml:space="preserve"> Único de Bienes y Servicios CUBS, y el Registro Único de Precios de Referencia PURF, de los bienes y servicios de uso común en la Administración Pública.</w:t>
      </w:r>
    </w:p>
    <w:p w14:paraId="10207FF8" w14:textId="77777777" w:rsidR="001B06B6" w:rsidRPr="00D6101A" w:rsidRDefault="001B06B6"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49DA1998" w14:textId="77777777" w:rsidR="001B06B6" w:rsidRPr="00D6101A" w:rsidRDefault="001B06B6" w:rsidP="00304446">
      <w:pPr>
        <w:pStyle w:val="Textonotapie"/>
        <w:snapToGrid w:val="0"/>
        <w:ind w:firstLine="709"/>
        <w:jc w:val="both"/>
        <w:rPr>
          <w:rFonts w:ascii="Arial" w:hAnsi="Arial" w:cs="Arial"/>
          <w:color w:val="000000" w:themeColor="text1"/>
          <w:sz w:val="19"/>
          <w:szCs w:val="19"/>
          <w:lang w:val="es-ES"/>
        </w:rPr>
      </w:pPr>
    </w:p>
  </w:footnote>
  <w:footnote w:id="18">
    <w:p w14:paraId="4F14C784" w14:textId="77777777" w:rsidR="001B06B6" w:rsidRPr="00D6101A" w:rsidRDefault="001B06B6" w:rsidP="00304446">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9">
    <w:p w14:paraId="35C7F22D" w14:textId="6B0EE998" w:rsidR="001B06B6" w:rsidRPr="00B61C8D" w:rsidRDefault="001B06B6" w:rsidP="00B61C8D">
      <w:pPr>
        <w:pStyle w:val="Textonotapie"/>
        <w:snapToGrid w:val="0"/>
        <w:ind w:firstLine="709"/>
        <w:jc w:val="both"/>
        <w:rPr>
          <w:rFonts w:ascii="Arial" w:eastAsia="Calibri" w:hAnsi="Arial" w:cs="Arial"/>
          <w:color w:val="000000" w:themeColor="text1"/>
          <w:sz w:val="19"/>
          <w:szCs w:val="19"/>
          <w:lang w:val="es-ES_tradnl"/>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eastAsia="Calibri" w:hAnsi="Arial" w:cs="Arial"/>
          <w:color w:val="000000" w:themeColor="text1"/>
          <w:sz w:val="19"/>
          <w:szCs w:val="19"/>
          <w:lang w:val="es-ES_tradnl"/>
        </w:rPr>
        <w:t>«Por la cual se expide el Código de Procedimiento Administrativo y de lo Contencioso Administrativo».</w:t>
      </w:r>
    </w:p>
  </w:footnote>
  <w:footnote w:id="20">
    <w:p w14:paraId="3F46BEA9" w14:textId="36246740" w:rsidR="001B06B6" w:rsidRPr="00D6101A" w:rsidRDefault="001B06B6" w:rsidP="00B61C8D">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Artículos 53 al 64.</w:t>
      </w:r>
    </w:p>
  </w:footnote>
  <w:footnote w:id="21">
    <w:p w14:paraId="180D3DE0" w14:textId="77777777" w:rsidR="001B06B6" w:rsidRPr="00D6101A" w:rsidRDefault="001B06B6" w:rsidP="00304446">
      <w:pPr>
        <w:pStyle w:val="Textonotapie"/>
        <w:snapToGrid w:val="0"/>
        <w:ind w:firstLine="709"/>
        <w:jc w:val="both"/>
        <w:rPr>
          <w:rFonts w:ascii="Arial" w:hAnsi="Arial" w:cs="Arial"/>
          <w:color w:val="000000" w:themeColor="text1"/>
          <w:sz w:val="19"/>
          <w:szCs w:val="19"/>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F0B841B" w14:textId="77777777" w:rsidR="001B06B6" w:rsidRPr="00D6101A" w:rsidRDefault="001B06B6" w:rsidP="00304446">
      <w:pPr>
        <w:pStyle w:val="Textonotapie"/>
        <w:snapToGrid w:val="0"/>
        <w:ind w:firstLine="709"/>
        <w:jc w:val="both"/>
        <w:rPr>
          <w:rFonts w:ascii="Arial" w:hAnsi="Arial" w:cs="Arial"/>
          <w:color w:val="000000" w:themeColor="text1"/>
          <w:sz w:val="19"/>
          <w:szCs w:val="19"/>
        </w:rPr>
      </w:pPr>
      <w:r w:rsidRPr="00D6101A">
        <w:rPr>
          <w:rFonts w:ascii="Arial" w:hAnsi="Arial" w:cs="Arial"/>
          <w:color w:val="000000" w:themeColor="text1"/>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7D3E9890" w14:textId="2D99E5FB" w:rsidR="001B06B6" w:rsidRPr="00D6101A" w:rsidRDefault="001B06B6" w:rsidP="00B61C8D">
      <w:pPr>
        <w:pStyle w:val="Textonotapie"/>
        <w:snapToGrid w:val="0"/>
        <w:ind w:firstLine="709"/>
        <w:jc w:val="both"/>
        <w:rPr>
          <w:rFonts w:ascii="Arial" w:hAnsi="Arial" w:cs="Arial"/>
          <w:color w:val="000000" w:themeColor="text1"/>
          <w:sz w:val="19"/>
          <w:szCs w:val="19"/>
        </w:rPr>
      </w:pPr>
      <w:r w:rsidRPr="00D6101A">
        <w:rPr>
          <w:rFonts w:ascii="Arial" w:hAnsi="Arial" w:cs="Arial"/>
          <w:color w:val="000000" w:themeColor="text1"/>
          <w:sz w:val="19"/>
          <w:szCs w:val="19"/>
        </w:rPr>
        <w:t>»[…]».</w:t>
      </w:r>
    </w:p>
  </w:footnote>
  <w:footnote w:id="22">
    <w:p w14:paraId="7EF68C14" w14:textId="77777777" w:rsidR="008E4238" w:rsidRPr="00D6101A" w:rsidRDefault="008E4238" w:rsidP="00304446">
      <w:pPr>
        <w:pStyle w:val="Textonotapie"/>
        <w:snapToGrid w:val="0"/>
        <w:ind w:firstLine="709"/>
        <w:jc w:val="both"/>
        <w:rPr>
          <w:rFonts w:ascii="Arial" w:hAnsi="Arial" w:cs="Arial"/>
          <w:color w:val="000000" w:themeColor="text1"/>
          <w:sz w:val="19"/>
          <w:szCs w:val="19"/>
          <w:lang w:val="es-ES"/>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w:t>
      </w:r>
      <w:r w:rsidRPr="00D6101A">
        <w:rPr>
          <w:rFonts w:ascii="Arial" w:hAnsi="Arial" w:cs="Arial"/>
          <w:color w:val="000000" w:themeColor="text1"/>
          <w:sz w:val="19"/>
          <w:szCs w:val="19"/>
          <w:lang w:val="es-ES"/>
        </w:rPr>
        <w:t>REMOLINA, Nelson y PEÑA, Lisandro De los títulos valores y de los valores en el contexto digital. Bogotá: Temis, 2011. p. 120.</w:t>
      </w:r>
    </w:p>
    <w:p w14:paraId="5368C690" w14:textId="77777777" w:rsidR="008E4238" w:rsidRPr="00D6101A" w:rsidRDefault="008E4238" w:rsidP="00304446">
      <w:pPr>
        <w:pStyle w:val="Textonotapie"/>
        <w:snapToGrid w:val="0"/>
        <w:ind w:firstLine="709"/>
        <w:jc w:val="both"/>
        <w:rPr>
          <w:rFonts w:ascii="Arial" w:hAnsi="Arial" w:cs="Arial"/>
          <w:color w:val="000000" w:themeColor="text1"/>
          <w:sz w:val="19"/>
          <w:szCs w:val="19"/>
          <w:lang w:val="es-ES"/>
        </w:rPr>
      </w:pPr>
    </w:p>
  </w:footnote>
  <w:footnote w:id="23">
    <w:p w14:paraId="24FB0E99" w14:textId="04189EF6" w:rsidR="008E4238" w:rsidRPr="00D6101A" w:rsidRDefault="008E4238" w:rsidP="00B61C8D">
      <w:pPr>
        <w:pStyle w:val="Textonotapie"/>
        <w:snapToGrid w:val="0"/>
        <w:ind w:firstLine="709"/>
        <w:jc w:val="both"/>
        <w:rPr>
          <w:rFonts w:ascii="Arial" w:hAnsi="Arial" w:cs="Arial"/>
          <w:color w:val="000000" w:themeColor="text1"/>
          <w:sz w:val="19"/>
          <w:szCs w:val="19"/>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footnote>
  <w:footnote w:id="24">
    <w:p w14:paraId="4E6BDC85" w14:textId="77777777" w:rsidR="008E4238" w:rsidRPr="00D6101A" w:rsidRDefault="008E4238" w:rsidP="00304446">
      <w:pPr>
        <w:pStyle w:val="Textonotapie"/>
        <w:snapToGrid w:val="0"/>
        <w:ind w:firstLine="709"/>
        <w:jc w:val="both"/>
        <w:rPr>
          <w:rFonts w:ascii="Arial" w:hAnsi="Arial" w:cs="Arial"/>
          <w:color w:val="000000" w:themeColor="text1"/>
          <w:sz w:val="19"/>
          <w:szCs w:val="19"/>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Ley 527 de 1999: «</w:t>
      </w:r>
      <w:hyperlink r:id="rId1" w:anchor="vid/438970057/node/30" w:history="1">
        <w:r w:rsidRPr="00D6101A">
          <w:rPr>
            <w:rFonts w:ascii="Arial" w:hAnsi="Arial" w:cs="Arial"/>
            <w:color w:val="000000" w:themeColor="text1"/>
            <w:sz w:val="19"/>
            <w:szCs w:val="19"/>
          </w:rPr>
          <w:t>Artículo 30. Actividades de las entidades de certificación.</w:t>
        </w:r>
      </w:hyperlink>
      <w:r w:rsidRPr="00D6101A">
        <w:rPr>
          <w:rFonts w:ascii="Arial" w:hAnsi="Arial" w:cs="Arial"/>
          <w:color w:val="000000" w:themeColor="text1"/>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25">
    <w:p w14:paraId="1AF7CB76" w14:textId="77777777" w:rsidR="008E4238" w:rsidRPr="00D6101A" w:rsidRDefault="008E4238" w:rsidP="00304446">
      <w:pPr>
        <w:pStyle w:val="Textonotapie"/>
        <w:snapToGrid w:val="0"/>
        <w:ind w:firstLine="709"/>
        <w:jc w:val="both"/>
        <w:rPr>
          <w:rFonts w:ascii="Arial" w:hAnsi="Arial" w:cs="Arial"/>
          <w:color w:val="000000" w:themeColor="text1"/>
          <w:sz w:val="19"/>
          <w:szCs w:val="19"/>
        </w:rPr>
      </w:pPr>
      <w:r w:rsidRPr="00D6101A">
        <w:rPr>
          <w:rStyle w:val="Refdenotaalpie"/>
          <w:rFonts w:ascii="Arial" w:hAnsi="Arial" w:cs="Arial"/>
          <w:color w:val="000000" w:themeColor="text1"/>
          <w:sz w:val="19"/>
          <w:szCs w:val="19"/>
        </w:rPr>
        <w:footnoteRef/>
      </w:r>
      <w:r w:rsidRPr="00D6101A">
        <w:rPr>
          <w:rFonts w:ascii="Arial" w:hAnsi="Arial" w:cs="Arial"/>
          <w:color w:val="000000" w:themeColor="text1"/>
          <w:sz w:val="19"/>
          <w:szCs w:val="19"/>
        </w:rPr>
        <w:t xml:space="preserve"> Esta norma indica: «Todos los actos de funcionario público competente se presumen auténticos. </w:t>
      </w:r>
      <w:r w:rsidRPr="00D6101A">
        <w:rPr>
          <w:rFonts w:ascii="Arial" w:hAnsi="Arial" w:cs="Arial"/>
          <w:color w:val="000000" w:themeColor="text1"/>
          <w:sz w:val="19"/>
          <w:szCs w:val="19"/>
        </w:rPr>
        <w:t>Por lo tanto no se requiere la autenticación en sede administrativa o notarial de los mismos. Los documentos producidos por las autoridades públicas o los particulares que cumplan funciones administrativas en sus distintas actuaciones, siempre que reposen en sus archivos, tampoco requieren autenticación o reconocimiento.</w:t>
      </w:r>
    </w:p>
    <w:p w14:paraId="2F452BFC" w14:textId="77777777" w:rsidR="008E4238" w:rsidRPr="00D6101A" w:rsidRDefault="008E4238" w:rsidP="00304446">
      <w:pPr>
        <w:pStyle w:val="Textonotapie"/>
        <w:snapToGrid w:val="0"/>
        <w:ind w:firstLine="709"/>
        <w:jc w:val="both"/>
        <w:rPr>
          <w:rFonts w:ascii="Arial" w:hAnsi="Arial" w:cs="Arial"/>
          <w:color w:val="000000" w:themeColor="text1"/>
          <w:sz w:val="19"/>
          <w:szCs w:val="19"/>
        </w:rPr>
      </w:pPr>
      <w:r w:rsidRPr="00D6101A">
        <w:rPr>
          <w:rFonts w:ascii="Arial" w:hAnsi="Arial" w:cs="Arial"/>
          <w:color w:val="000000" w:themeColor="text1"/>
          <w:sz w:val="19"/>
          <w:szCs w:val="19"/>
        </w:rPr>
        <w:t>»Ninguna autoridad administrativa podrá exigir la presentación, suministro o entrega de documentos originales autenticados o copias o fotocopias autenticados, sin perjuicio de los controles o verificaciones que dichas entidades deban realizar, salvo para el reconocimiento o pago de pensiones.</w:t>
      </w:r>
    </w:p>
    <w:p w14:paraId="0BB52C48" w14:textId="77777777" w:rsidR="008E4238" w:rsidRPr="00D6101A" w:rsidRDefault="008E4238" w:rsidP="00304446">
      <w:pPr>
        <w:pStyle w:val="Textonotapie"/>
        <w:snapToGrid w:val="0"/>
        <w:ind w:firstLine="709"/>
        <w:jc w:val="both"/>
        <w:rPr>
          <w:rFonts w:ascii="Arial" w:hAnsi="Arial" w:cs="Arial"/>
          <w:color w:val="000000" w:themeColor="text1"/>
          <w:sz w:val="19"/>
          <w:szCs w:val="19"/>
        </w:rPr>
      </w:pPr>
      <w:r w:rsidRPr="00D6101A">
        <w:rPr>
          <w:rFonts w:ascii="Arial" w:hAnsi="Arial" w:cs="Arial"/>
          <w:color w:val="000000" w:themeColor="text1"/>
          <w:sz w:val="19"/>
          <w:szCs w:val="19"/>
        </w:rPr>
        <w:t>»Los documentos privados, tuvieren o no como destino servir de prueba en actuaciones administrativas, incluyendo los provenientes de terceros, se presumen auténticos, mientras no se compruebe lo contrario mediante tacha de falsedad, con excepción de los poderes especiales y de las actas de asamblea general de accionistas, junta de socios y demás actos de personas jurídicas que deban registrarse ante las Cámaras de Comercio, las cuales deberán ser presentadas personalmente por sus otorgantes ante el secretario de la respectiva Cámara.</w:t>
      </w:r>
    </w:p>
    <w:p w14:paraId="40706F71" w14:textId="77777777" w:rsidR="008E4238" w:rsidRPr="00D6101A" w:rsidRDefault="008E4238" w:rsidP="00304446">
      <w:pPr>
        <w:pStyle w:val="Textonotapie"/>
        <w:snapToGrid w:val="0"/>
        <w:ind w:firstLine="709"/>
        <w:jc w:val="both"/>
        <w:rPr>
          <w:rFonts w:ascii="Arial" w:hAnsi="Arial" w:cs="Arial"/>
          <w:color w:val="000000" w:themeColor="text1"/>
          <w:sz w:val="19"/>
          <w:szCs w:val="19"/>
          <w:lang w:val="es-ES"/>
        </w:rPr>
      </w:pPr>
      <w:r w:rsidRPr="00D6101A">
        <w:rPr>
          <w:rFonts w:ascii="Arial" w:hAnsi="Arial" w:cs="Arial"/>
          <w:color w:val="000000" w:themeColor="text1"/>
          <w:sz w:val="19"/>
          <w:szCs w:val="19"/>
        </w:rPr>
        <w:t>»Las copias simples que expidan los notarios de los documentos que reposan en los respectivos protocolos no se autenticarán, salvo que el interesado así lo solicite».</w:t>
      </w:r>
    </w:p>
  </w:footnote>
  <w:footnote w:id="26">
    <w:p w14:paraId="22AF08F5" w14:textId="77777777" w:rsidR="00E87A1B" w:rsidRPr="00D6101A" w:rsidRDefault="00E87A1B" w:rsidP="00304446">
      <w:pPr>
        <w:pStyle w:val="Textonotapie"/>
        <w:snapToGrid w:val="0"/>
        <w:ind w:firstLine="709"/>
        <w:jc w:val="both"/>
        <w:rPr>
          <w:rFonts w:ascii="Arial" w:hAnsi="Arial" w:cs="Arial"/>
          <w:color w:val="000000"/>
          <w:sz w:val="19"/>
          <w:szCs w:val="19"/>
        </w:rPr>
      </w:pPr>
      <w:r w:rsidRPr="00D6101A">
        <w:rPr>
          <w:rStyle w:val="Refdenotaalpie"/>
          <w:rFonts w:ascii="Arial" w:hAnsi="Arial" w:cs="Arial"/>
          <w:color w:val="000000"/>
          <w:sz w:val="19"/>
          <w:szCs w:val="19"/>
        </w:rPr>
        <w:footnoteRef/>
      </w:r>
      <w:r w:rsidRPr="00D6101A">
        <w:rPr>
          <w:rFonts w:ascii="Arial" w:hAnsi="Arial" w:cs="Arial"/>
          <w:color w:val="000000"/>
          <w:sz w:val="19"/>
          <w:szCs w:val="19"/>
        </w:rPr>
        <w:t xml:space="preserve"> Decreto 4170 de 2011: «Artículo 3. Funciones: La Agencia Nacional de Contratación Pública –Colombia Compra Eficiente– ejercerá las siguientes funciones: [...]</w:t>
      </w:r>
    </w:p>
    <w:p w14:paraId="2FF76A88" w14:textId="77777777" w:rsidR="00E87A1B" w:rsidRPr="00D6101A" w:rsidRDefault="00E87A1B" w:rsidP="00304446">
      <w:pPr>
        <w:pStyle w:val="Textonotapie"/>
        <w:snapToGrid w:val="0"/>
        <w:ind w:firstLine="709"/>
        <w:jc w:val="both"/>
        <w:rPr>
          <w:rFonts w:ascii="Arial" w:hAnsi="Arial" w:cs="Arial"/>
          <w:color w:val="000000"/>
          <w:sz w:val="19"/>
          <w:szCs w:val="19"/>
        </w:rPr>
      </w:pPr>
      <w:r w:rsidRPr="00D6101A">
        <w:rPr>
          <w:rFonts w:ascii="Arial" w:hAnsi="Arial" w:cs="Arial"/>
          <w:color w:val="000000"/>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27">
    <w:p w14:paraId="105062CC" w14:textId="0B42F609" w:rsidR="00213804" w:rsidRPr="00304446" w:rsidRDefault="00213804" w:rsidP="00304446">
      <w:pPr>
        <w:pStyle w:val="Textonotapie"/>
        <w:snapToGrid w:val="0"/>
        <w:ind w:firstLine="709"/>
        <w:jc w:val="both"/>
        <w:rPr>
          <w:rFonts w:ascii="Arial" w:hAnsi="Arial" w:cs="Arial"/>
          <w:sz w:val="19"/>
          <w:szCs w:val="19"/>
          <w:lang w:val="es-ES"/>
        </w:rPr>
      </w:pPr>
      <w:r w:rsidRPr="00304446">
        <w:rPr>
          <w:rStyle w:val="Refdenotaalpie"/>
          <w:rFonts w:ascii="Arial" w:hAnsi="Arial" w:cs="Arial"/>
          <w:sz w:val="19"/>
          <w:szCs w:val="19"/>
        </w:rPr>
        <w:footnoteRef/>
      </w:r>
      <w:r w:rsidRPr="00304446">
        <w:rPr>
          <w:rFonts w:ascii="Arial" w:hAnsi="Arial" w:cs="Arial"/>
          <w:sz w:val="19"/>
          <w:szCs w:val="19"/>
        </w:rPr>
        <w:t xml:space="preserve"> </w:t>
      </w:r>
      <w:r w:rsidR="00D6101A" w:rsidRPr="00304446">
        <w:rPr>
          <w:rFonts w:ascii="Arial" w:hAnsi="Arial" w:cs="Arial"/>
          <w:sz w:val="19"/>
          <w:szCs w:val="19"/>
          <w:lang w:val="es-ES"/>
        </w:rPr>
        <w:t>Las cuales pueden consultarse en el siguiente enlace: https://colombiacompra.gov.co/circulares</w:t>
      </w:r>
    </w:p>
  </w:footnote>
  <w:footnote w:id="28">
    <w:p w14:paraId="41BEC0D8" w14:textId="77777777" w:rsidR="00E87A1B" w:rsidRPr="00304446" w:rsidRDefault="00E87A1B" w:rsidP="00304446">
      <w:pPr>
        <w:pStyle w:val="Textonotapie"/>
        <w:snapToGrid w:val="0"/>
        <w:ind w:firstLine="709"/>
        <w:jc w:val="both"/>
        <w:rPr>
          <w:rFonts w:ascii="Arial" w:hAnsi="Arial" w:cs="Arial"/>
          <w:sz w:val="19"/>
          <w:szCs w:val="19"/>
          <w:lang w:val="es-CO"/>
        </w:rPr>
      </w:pPr>
      <w:r w:rsidRPr="00304446">
        <w:rPr>
          <w:rStyle w:val="Refdenotaalpie"/>
          <w:rFonts w:ascii="Arial" w:hAnsi="Arial" w:cs="Arial"/>
          <w:sz w:val="19"/>
          <w:szCs w:val="19"/>
        </w:rPr>
        <w:footnoteRef/>
      </w:r>
      <w:r w:rsidRPr="00304446">
        <w:rPr>
          <w:rFonts w:ascii="Arial" w:hAnsi="Arial" w:cs="Arial"/>
          <w:sz w:val="19"/>
          <w:szCs w:val="19"/>
        </w:rPr>
        <w:t xml:space="preserve"> </w:t>
      </w:r>
      <w:r w:rsidRPr="00D6101A">
        <w:rPr>
          <w:rFonts w:ascii="Arial" w:hAnsi="Arial" w:cs="Arial"/>
          <w:sz w:val="19"/>
          <w:szCs w:val="19"/>
        </w:rPr>
        <w:t>Disponible en: https://www.colombiacompra.gov.co/node/29796/</w:t>
      </w:r>
    </w:p>
  </w:footnote>
  <w:footnote w:id="29">
    <w:p w14:paraId="4CFA0BF8" w14:textId="77777777" w:rsidR="00502331" w:rsidRPr="00D6101A" w:rsidRDefault="00502331" w:rsidP="00304446">
      <w:pPr>
        <w:pStyle w:val="Textonotapie"/>
        <w:snapToGrid w:val="0"/>
        <w:ind w:firstLine="709"/>
        <w:jc w:val="both"/>
        <w:rPr>
          <w:rFonts w:ascii="Arial" w:hAnsi="Arial" w:cs="Arial"/>
          <w:sz w:val="19"/>
          <w:szCs w:val="19"/>
        </w:rPr>
      </w:pPr>
      <w:r w:rsidRPr="00D6101A">
        <w:rPr>
          <w:rStyle w:val="Refdenotaalpie"/>
          <w:rFonts w:ascii="Arial" w:hAnsi="Arial" w:cs="Arial"/>
          <w:sz w:val="19"/>
          <w:szCs w:val="19"/>
        </w:rPr>
        <w:footnoteRef/>
      </w:r>
      <w:r w:rsidRPr="00D6101A">
        <w:rPr>
          <w:rFonts w:ascii="Arial" w:hAnsi="Arial" w:cs="Arial"/>
          <w:sz w:val="19"/>
          <w:szCs w:val="19"/>
        </w:rPr>
        <w:t xml:space="preserve"> Términos y Condiciones de uso del SECOP II disponible en: https://www.colombiacompra.gov.co/secop/terminos-y-condiciones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000000">
    <w:pPr>
      <w:pStyle w:val="Encabezado"/>
    </w:pPr>
  </w:p>
  <w:p w14:paraId="33B94E75" w14:textId="376ECB56" w:rsidR="000E0524" w:rsidRDefault="009D2EE7">
    <w:pPr>
      <w:pStyle w:val="Encabezado"/>
    </w:pPr>
    <w:r>
      <w:rPr>
        <w:noProof/>
      </w:rPr>
      <w:drawing>
        <wp:anchor distT="0" distB="0" distL="114300" distR="114300" simplePos="0" relativeHeight="251659264" behindDoc="0" locked="0" layoutInCell="1" allowOverlap="1" wp14:anchorId="706F2B55" wp14:editId="580C1BA1">
          <wp:simplePos x="0" y="0"/>
          <wp:positionH relativeFrom="margin">
            <wp:posOffset>4400550</wp:posOffset>
          </wp:positionH>
          <wp:positionV relativeFrom="paragraph">
            <wp:posOffset>17780</wp:posOffset>
          </wp:positionV>
          <wp:extent cx="1543050" cy="640616"/>
          <wp:effectExtent l="0" t="0" r="0" b="7620"/>
          <wp:wrapNone/>
          <wp:docPr id="19" name="Imagen 19"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3050" cy="640616"/>
                  </a:xfrm>
                  <a:prstGeom prst="rect">
                    <a:avLst/>
                  </a:prstGeom>
                </pic:spPr>
              </pic:pic>
            </a:graphicData>
          </a:graphic>
          <wp14:sizeRelH relativeFrom="page">
            <wp14:pctWidth>0</wp14:pctWidth>
          </wp14:sizeRelH>
          <wp14:sizeRelV relativeFrom="page">
            <wp14:pctHeight>0</wp14:pctHeight>
          </wp14:sizeRelV>
        </wp:anchor>
      </w:drawing>
    </w:r>
  </w:p>
  <w:p w14:paraId="6703A5C2" w14:textId="0BCC4B3B" w:rsidR="000E0524" w:rsidRDefault="00000000">
    <w:pPr>
      <w:pStyle w:val="Encabezado"/>
    </w:pPr>
  </w:p>
  <w:p w14:paraId="11FAF9B7" w14:textId="77777777" w:rsidR="000E0524" w:rsidRDefault="00000000">
    <w:pPr>
      <w:pStyle w:val="Encabezado"/>
    </w:pPr>
  </w:p>
  <w:p w14:paraId="644AAD15" w14:textId="77777777" w:rsidR="000E0524" w:rsidRDefault="00000000">
    <w:pPr>
      <w:pStyle w:val="Encabezado"/>
    </w:pPr>
  </w:p>
  <w:p w14:paraId="1FDEE309" w14:textId="77777777" w:rsidR="000E0524"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8228469">
    <w:abstractNumId w:val="3"/>
  </w:num>
  <w:num w:numId="2" w16cid:durableId="56734836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05393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2451004">
    <w:abstractNumId w:val="1"/>
  </w:num>
  <w:num w:numId="5" w16cid:durableId="907958584">
    <w:abstractNumId w:val="2"/>
  </w:num>
  <w:num w:numId="6" w16cid:durableId="2030178307">
    <w:abstractNumId w:val="5"/>
  </w:num>
  <w:num w:numId="7" w16cid:durableId="1860505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305D7"/>
    <w:rsid w:val="00035B29"/>
    <w:rsid w:val="000360FA"/>
    <w:rsid w:val="000446AF"/>
    <w:rsid w:val="000467FB"/>
    <w:rsid w:val="0005303F"/>
    <w:rsid w:val="000601D3"/>
    <w:rsid w:val="0006071F"/>
    <w:rsid w:val="00062600"/>
    <w:rsid w:val="00064152"/>
    <w:rsid w:val="00065B81"/>
    <w:rsid w:val="00080181"/>
    <w:rsid w:val="000948A6"/>
    <w:rsid w:val="000A1E6B"/>
    <w:rsid w:val="000A35F0"/>
    <w:rsid w:val="000B175F"/>
    <w:rsid w:val="000B17A0"/>
    <w:rsid w:val="000B745B"/>
    <w:rsid w:val="000C7F7B"/>
    <w:rsid w:val="000D2C22"/>
    <w:rsid w:val="000D37CE"/>
    <w:rsid w:val="000E0118"/>
    <w:rsid w:val="000E694B"/>
    <w:rsid w:val="000F3464"/>
    <w:rsid w:val="000F494E"/>
    <w:rsid w:val="000F4974"/>
    <w:rsid w:val="00105A22"/>
    <w:rsid w:val="00105C88"/>
    <w:rsid w:val="00106E68"/>
    <w:rsid w:val="00110950"/>
    <w:rsid w:val="00110BEB"/>
    <w:rsid w:val="00112AE8"/>
    <w:rsid w:val="00113845"/>
    <w:rsid w:val="001138C2"/>
    <w:rsid w:val="001160D2"/>
    <w:rsid w:val="00125568"/>
    <w:rsid w:val="0012669F"/>
    <w:rsid w:val="001274E9"/>
    <w:rsid w:val="00135FBD"/>
    <w:rsid w:val="00137E23"/>
    <w:rsid w:val="00140435"/>
    <w:rsid w:val="00141896"/>
    <w:rsid w:val="00143096"/>
    <w:rsid w:val="00143E3B"/>
    <w:rsid w:val="00146ED0"/>
    <w:rsid w:val="00160946"/>
    <w:rsid w:val="00161488"/>
    <w:rsid w:val="00163D53"/>
    <w:rsid w:val="001676FE"/>
    <w:rsid w:val="001729CC"/>
    <w:rsid w:val="001738E7"/>
    <w:rsid w:val="00176E36"/>
    <w:rsid w:val="00180F7C"/>
    <w:rsid w:val="001843A9"/>
    <w:rsid w:val="0019381B"/>
    <w:rsid w:val="001B06B6"/>
    <w:rsid w:val="001B3684"/>
    <w:rsid w:val="001B3693"/>
    <w:rsid w:val="001B3F47"/>
    <w:rsid w:val="001B5553"/>
    <w:rsid w:val="001C2222"/>
    <w:rsid w:val="001D387D"/>
    <w:rsid w:val="001D3CAB"/>
    <w:rsid w:val="001E24B3"/>
    <w:rsid w:val="001F057D"/>
    <w:rsid w:val="001F0E8C"/>
    <w:rsid w:val="001F6C15"/>
    <w:rsid w:val="00213804"/>
    <w:rsid w:val="002213DA"/>
    <w:rsid w:val="002223F1"/>
    <w:rsid w:val="002249F9"/>
    <w:rsid w:val="00233261"/>
    <w:rsid w:val="00244370"/>
    <w:rsid w:val="002450FF"/>
    <w:rsid w:val="00245150"/>
    <w:rsid w:val="002500ED"/>
    <w:rsid w:val="00265F8D"/>
    <w:rsid w:val="00265F9F"/>
    <w:rsid w:val="00270570"/>
    <w:rsid w:val="00270E5E"/>
    <w:rsid w:val="00296BF5"/>
    <w:rsid w:val="0029739D"/>
    <w:rsid w:val="002A4E3C"/>
    <w:rsid w:val="002A5E9A"/>
    <w:rsid w:val="002B19FB"/>
    <w:rsid w:val="002B5060"/>
    <w:rsid w:val="002C50CD"/>
    <w:rsid w:val="002D4402"/>
    <w:rsid w:val="002D45F2"/>
    <w:rsid w:val="002D72D7"/>
    <w:rsid w:val="002E143C"/>
    <w:rsid w:val="002E2585"/>
    <w:rsid w:val="002E4537"/>
    <w:rsid w:val="002E7A7F"/>
    <w:rsid w:val="002F2772"/>
    <w:rsid w:val="00301A61"/>
    <w:rsid w:val="00304446"/>
    <w:rsid w:val="00305F12"/>
    <w:rsid w:val="003116C1"/>
    <w:rsid w:val="003120AF"/>
    <w:rsid w:val="00313E5A"/>
    <w:rsid w:val="003255AD"/>
    <w:rsid w:val="00327A12"/>
    <w:rsid w:val="003303C6"/>
    <w:rsid w:val="003312CF"/>
    <w:rsid w:val="00332A1E"/>
    <w:rsid w:val="00342268"/>
    <w:rsid w:val="00342A1C"/>
    <w:rsid w:val="0035022D"/>
    <w:rsid w:val="003602F7"/>
    <w:rsid w:val="00361ADC"/>
    <w:rsid w:val="00363469"/>
    <w:rsid w:val="003753EA"/>
    <w:rsid w:val="0038155E"/>
    <w:rsid w:val="003816CD"/>
    <w:rsid w:val="00383906"/>
    <w:rsid w:val="0038763D"/>
    <w:rsid w:val="003916E5"/>
    <w:rsid w:val="00393A69"/>
    <w:rsid w:val="0039522B"/>
    <w:rsid w:val="0039589F"/>
    <w:rsid w:val="003A1172"/>
    <w:rsid w:val="003A1C61"/>
    <w:rsid w:val="003A7142"/>
    <w:rsid w:val="003A7A79"/>
    <w:rsid w:val="003B177A"/>
    <w:rsid w:val="003C1D98"/>
    <w:rsid w:val="003C4AA9"/>
    <w:rsid w:val="003C51B4"/>
    <w:rsid w:val="003D144A"/>
    <w:rsid w:val="003D5E10"/>
    <w:rsid w:val="00400976"/>
    <w:rsid w:val="00402AE8"/>
    <w:rsid w:val="00404F16"/>
    <w:rsid w:val="004052CC"/>
    <w:rsid w:val="00412804"/>
    <w:rsid w:val="004141A3"/>
    <w:rsid w:val="00415314"/>
    <w:rsid w:val="00423644"/>
    <w:rsid w:val="00431DE3"/>
    <w:rsid w:val="004460CB"/>
    <w:rsid w:val="00446B96"/>
    <w:rsid w:val="00446D68"/>
    <w:rsid w:val="004634E5"/>
    <w:rsid w:val="00466A8F"/>
    <w:rsid w:val="0046733C"/>
    <w:rsid w:val="0047269D"/>
    <w:rsid w:val="0048163B"/>
    <w:rsid w:val="00485BD5"/>
    <w:rsid w:val="004860C7"/>
    <w:rsid w:val="00486DE1"/>
    <w:rsid w:val="004875A5"/>
    <w:rsid w:val="00491536"/>
    <w:rsid w:val="004B1095"/>
    <w:rsid w:val="004C7B7A"/>
    <w:rsid w:val="004F1523"/>
    <w:rsid w:val="004F5252"/>
    <w:rsid w:val="004F5DD8"/>
    <w:rsid w:val="00502331"/>
    <w:rsid w:val="00504D32"/>
    <w:rsid w:val="00510BFB"/>
    <w:rsid w:val="00513144"/>
    <w:rsid w:val="00513D68"/>
    <w:rsid w:val="00514F32"/>
    <w:rsid w:val="005167AD"/>
    <w:rsid w:val="005209DB"/>
    <w:rsid w:val="00521A09"/>
    <w:rsid w:val="00531FBC"/>
    <w:rsid w:val="005553B1"/>
    <w:rsid w:val="00564B0A"/>
    <w:rsid w:val="00565556"/>
    <w:rsid w:val="00585CB4"/>
    <w:rsid w:val="005A3F16"/>
    <w:rsid w:val="005B3920"/>
    <w:rsid w:val="005B55E5"/>
    <w:rsid w:val="005C597A"/>
    <w:rsid w:val="005D4C4F"/>
    <w:rsid w:val="005D6A81"/>
    <w:rsid w:val="005E0879"/>
    <w:rsid w:val="005E5EC6"/>
    <w:rsid w:val="005F6209"/>
    <w:rsid w:val="005F79D5"/>
    <w:rsid w:val="00620A5D"/>
    <w:rsid w:val="006233A9"/>
    <w:rsid w:val="00623ADD"/>
    <w:rsid w:val="006243B0"/>
    <w:rsid w:val="00630ACE"/>
    <w:rsid w:val="006408BD"/>
    <w:rsid w:val="00661CDD"/>
    <w:rsid w:val="00662DF1"/>
    <w:rsid w:val="0066416F"/>
    <w:rsid w:val="00680F7A"/>
    <w:rsid w:val="00681ECF"/>
    <w:rsid w:val="00690284"/>
    <w:rsid w:val="006A0907"/>
    <w:rsid w:val="006A25E1"/>
    <w:rsid w:val="006D21AA"/>
    <w:rsid w:val="006D3523"/>
    <w:rsid w:val="006D3709"/>
    <w:rsid w:val="006D569D"/>
    <w:rsid w:val="006D7717"/>
    <w:rsid w:val="006E262B"/>
    <w:rsid w:val="006F417B"/>
    <w:rsid w:val="00700298"/>
    <w:rsid w:val="00705FC8"/>
    <w:rsid w:val="0071053B"/>
    <w:rsid w:val="007139A5"/>
    <w:rsid w:val="00715A2E"/>
    <w:rsid w:val="00720A7B"/>
    <w:rsid w:val="007252E2"/>
    <w:rsid w:val="00733A0B"/>
    <w:rsid w:val="0073635D"/>
    <w:rsid w:val="00741F1E"/>
    <w:rsid w:val="00742C24"/>
    <w:rsid w:val="00753BE7"/>
    <w:rsid w:val="00761428"/>
    <w:rsid w:val="00772E6E"/>
    <w:rsid w:val="007768CE"/>
    <w:rsid w:val="00776BBD"/>
    <w:rsid w:val="007774C6"/>
    <w:rsid w:val="00777F97"/>
    <w:rsid w:val="00792318"/>
    <w:rsid w:val="00792CE5"/>
    <w:rsid w:val="00795527"/>
    <w:rsid w:val="00796ECE"/>
    <w:rsid w:val="007979A2"/>
    <w:rsid w:val="007A01C3"/>
    <w:rsid w:val="007B08AC"/>
    <w:rsid w:val="007B7C8D"/>
    <w:rsid w:val="007C00FA"/>
    <w:rsid w:val="007C3193"/>
    <w:rsid w:val="007D1469"/>
    <w:rsid w:val="007D1E2B"/>
    <w:rsid w:val="007E085E"/>
    <w:rsid w:val="007E14A3"/>
    <w:rsid w:val="007E56D6"/>
    <w:rsid w:val="007E65DD"/>
    <w:rsid w:val="007F742D"/>
    <w:rsid w:val="00805E08"/>
    <w:rsid w:val="0080741E"/>
    <w:rsid w:val="00813D7E"/>
    <w:rsid w:val="00814DCC"/>
    <w:rsid w:val="00815D7C"/>
    <w:rsid w:val="0082522E"/>
    <w:rsid w:val="00830AB8"/>
    <w:rsid w:val="00836DE6"/>
    <w:rsid w:val="008515C3"/>
    <w:rsid w:val="00852371"/>
    <w:rsid w:val="008525F9"/>
    <w:rsid w:val="00864930"/>
    <w:rsid w:val="00872709"/>
    <w:rsid w:val="008766CF"/>
    <w:rsid w:val="00876B50"/>
    <w:rsid w:val="00881F9F"/>
    <w:rsid w:val="008860E5"/>
    <w:rsid w:val="00892F74"/>
    <w:rsid w:val="00894F51"/>
    <w:rsid w:val="00895C39"/>
    <w:rsid w:val="008A05B7"/>
    <w:rsid w:val="008A3E73"/>
    <w:rsid w:val="008A40A9"/>
    <w:rsid w:val="008A6B58"/>
    <w:rsid w:val="008B1801"/>
    <w:rsid w:val="008B1F27"/>
    <w:rsid w:val="008B3F0D"/>
    <w:rsid w:val="008B58E4"/>
    <w:rsid w:val="008B69D4"/>
    <w:rsid w:val="008C0F06"/>
    <w:rsid w:val="008C23F3"/>
    <w:rsid w:val="008C522E"/>
    <w:rsid w:val="008C6DE0"/>
    <w:rsid w:val="008D648B"/>
    <w:rsid w:val="008E0D51"/>
    <w:rsid w:val="008E1D8F"/>
    <w:rsid w:val="008E3D3C"/>
    <w:rsid w:val="008E4238"/>
    <w:rsid w:val="008E4793"/>
    <w:rsid w:val="008F22D0"/>
    <w:rsid w:val="008F2381"/>
    <w:rsid w:val="008F7C0F"/>
    <w:rsid w:val="00900F79"/>
    <w:rsid w:val="0091464A"/>
    <w:rsid w:val="00922868"/>
    <w:rsid w:val="00926EB3"/>
    <w:rsid w:val="009271C4"/>
    <w:rsid w:val="00936811"/>
    <w:rsid w:val="00936877"/>
    <w:rsid w:val="00944171"/>
    <w:rsid w:val="00947102"/>
    <w:rsid w:val="009523D4"/>
    <w:rsid w:val="00953264"/>
    <w:rsid w:val="00954527"/>
    <w:rsid w:val="00963F50"/>
    <w:rsid w:val="0096530C"/>
    <w:rsid w:val="0096558F"/>
    <w:rsid w:val="00974DA1"/>
    <w:rsid w:val="009800E4"/>
    <w:rsid w:val="009820AE"/>
    <w:rsid w:val="009831D2"/>
    <w:rsid w:val="0098322E"/>
    <w:rsid w:val="009927D7"/>
    <w:rsid w:val="00992F7F"/>
    <w:rsid w:val="0099583D"/>
    <w:rsid w:val="009978CE"/>
    <w:rsid w:val="009A2C90"/>
    <w:rsid w:val="009A7A85"/>
    <w:rsid w:val="009B0CF4"/>
    <w:rsid w:val="009B5D9A"/>
    <w:rsid w:val="009B6144"/>
    <w:rsid w:val="009C3E5C"/>
    <w:rsid w:val="009C68AB"/>
    <w:rsid w:val="009D1F65"/>
    <w:rsid w:val="009D2EE7"/>
    <w:rsid w:val="009E2D00"/>
    <w:rsid w:val="009F248A"/>
    <w:rsid w:val="00A03DF9"/>
    <w:rsid w:val="00A11454"/>
    <w:rsid w:val="00A2414D"/>
    <w:rsid w:val="00A30642"/>
    <w:rsid w:val="00A312D2"/>
    <w:rsid w:val="00A330E4"/>
    <w:rsid w:val="00A42059"/>
    <w:rsid w:val="00A46EE2"/>
    <w:rsid w:val="00A5043E"/>
    <w:rsid w:val="00A56EAA"/>
    <w:rsid w:val="00A74067"/>
    <w:rsid w:val="00A76848"/>
    <w:rsid w:val="00A805AD"/>
    <w:rsid w:val="00A81D15"/>
    <w:rsid w:val="00A85245"/>
    <w:rsid w:val="00A90992"/>
    <w:rsid w:val="00A934FA"/>
    <w:rsid w:val="00AA29DB"/>
    <w:rsid w:val="00AA5A4A"/>
    <w:rsid w:val="00AA7580"/>
    <w:rsid w:val="00AB1B4B"/>
    <w:rsid w:val="00AC141D"/>
    <w:rsid w:val="00AC4C63"/>
    <w:rsid w:val="00AE5FD6"/>
    <w:rsid w:val="00AE7E21"/>
    <w:rsid w:val="00AF6630"/>
    <w:rsid w:val="00B00B6E"/>
    <w:rsid w:val="00B054A5"/>
    <w:rsid w:val="00B11612"/>
    <w:rsid w:val="00B12226"/>
    <w:rsid w:val="00B264E1"/>
    <w:rsid w:val="00B33845"/>
    <w:rsid w:val="00B37816"/>
    <w:rsid w:val="00B4238F"/>
    <w:rsid w:val="00B42724"/>
    <w:rsid w:val="00B46B01"/>
    <w:rsid w:val="00B51C4D"/>
    <w:rsid w:val="00B57B5E"/>
    <w:rsid w:val="00B6004F"/>
    <w:rsid w:val="00B61C8D"/>
    <w:rsid w:val="00B83B50"/>
    <w:rsid w:val="00B87D51"/>
    <w:rsid w:val="00B91DD0"/>
    <w:rsid w:val="00B93232"/>
    <w:rsid w:val="00BA3777"/>
    <w:rsid w:val="00BA44B8"/>
    <w:rsid w:val="00BB5EB1"/>
    <w:rsid w:val="00BE0307"/>
    <w:rsid w:val="00BE0A45"/>
    <w:rsid w:val="00BE697C"/>
    <w:rsid w:val="00BE6B74"/>
    <w:rsid w:val="00C00CD5"/>
    <w:rsid w:val="00C0361C"/>
    <w:rsid w:val="00C04236"/>
    <w:rsid w:val="00C04C53"/>
    <w:rsid w:val="00C06717"/>
    <w:rsid w:val="00C06B8F"/>
    <w:rsid w:val="00C1261C"/>
    <w:rsid w:val="00C13FD6"/>
    <w:rsid w:val="00C220AF"/>
    <w:rsid w:val="00C35490"/>
    <w:rsid w:val="00C53700"/>
    <w:rsid w:val="00C55971"/>
    <w:rsid w:val="00C56D96"/>
    <w:rsid w:val="00C77B67"/>
    <w:rsid w:val="00C8019E"/>
    <w:rsid w:val="00C83AF5"/>
    <w:rsid w:val="00C85E27"/>
    <w:rsid w:val="00CA05CD"/>
    <w:rsid w:val="00CA0B0A"/>
    <w:rsid w:val="00CA30F2"/>
    <w:rsid w:val="00CA742E"/>
    <w:rsid w:val="00CB37C5"/>
    <w:rsid w:val="00CC4B5F"/>
    <w:rsid w:val="00CC59A5"/>
    <w:rsid w:val="00CC679B"/>
    <w:rsid w:val="00CD7957"/>
    <w:rsid w:val="00CE184B"/>
    <w:rsid w:val="00CF4FBA"/>
    <w:rsid w:val="00CF5444"/>
    <w:rsid w:val="00CF77FF"/>
    <w:rsid w:val="00D0322E"/>
    <w:rsid w:val="00D06B09"/>
    <w:rsid w:val="00D11432"/>
    <w:rsid w:val="00D2300D"/>
    <w:rsid w:val="00D27DE9"/>
    <w:rsid w:val="00D330CF"/>
    <w:rsid w:val="00D351D8"/>
    <w:rsid w:val="00D41307"/>
    <w:rsid w:val="00D427A7"/>
    <w:rsid w:val="00D52443"/>
    <w:rsid w:val="00D57D87"/>
    <w:rsid w:val="00D6101A"/>
    <w:rsid w:val="00D62CA4"/>
    <w:rsid w:val="00D6487A"/>
    <w:rsid w:val="00D65A59"/>
    <w:rsid w:val="00D702B8"/>
    <w:rsid w:val="00D74F81"/>
    <w:rsid w:val="00D812EF"/>
    <w:rsid w:val="00D8729A"/>
    <w:rsid w:val="00D91A82"/>
    <w:rsid w:val="00DA5C08"/>
    <w:rsid w:val="00DA6F89"/>
    <w:rsid w:val="00DB2AA9"/>
    <w:rsid w:val="00DB44F8"/>
    <w:rsid w:val="00DC58FD"/>
    <w:rsid w:val="00DE40F7"/>
    <w:rsid w:val="00DE6321"/>
    <w:rsid w:val="00DF0396"/>
    <w:rsid w:val="00DF1B3A"/>
    <w:rsid w:val="00DF392A"/>
    <w:rsid w:val="00DF55A7"/>
    <w:rsid w:val="00E02152"/>
    <w:rsid w:val="00E03DA8"/>
    <w:rsid w:val="00E0436E"/>
    <w:rsid w:val="00E064A1"/>
    <w:rsid w:val="00E079B8"/>
    <w:rsid w:val="00E112C2"/>
    <w:rsid w:val="00E25FB7"/>
    <w:rsid w:val="00E27E6F"/>
    <w:rsid w:val="00E3734C"/>
    <w:rsid w:val="00E40767"/>
    <w:rsid w:val="00E4514D"/>
    <w:rsid w:val="00E520EC"/>
    <w:rsid w:val="00E562D9"/>
    <w:rsid w:val="00E62C8E"/>
    <w:rsid w:val="00E65F3C"/>
    <w:rsid w:val="00E66B0F"/>
    <w:rsid w:val="00E6736E"/>
    <w:rsid w:val="00E7047D"/>
    <w:rsid w:val="00E74F5B"/>
    <w:rsid w:val="00E87A1B"/>
    <w:rsid w:val="00E90BCF"/>
    <w:rsid w:val="00E94D5C"/>
    <w:rsid w:val="00EA19FB"/>
    <w:rsid w:val="00EA2421"/>
    <w:rsid w:val="00EA3810"/>
    <w:rsid w:val="00EA5464"/>
    <w:rsid w:val="00EB228E"/>
    <w:rsid w:val="00EB3817"/>
    <w:rsid w:val="00EB4D78"/>
    <w:rsid w:val="00EB68A8"/>
    <w:rsid w:val="00EC388B"/>
    <w:rsid w:val="00EC5890"/>
    <w:rsid w:val="00EC763B"/>
    <w:rsid w:val="00EE6ED7"/>
    <w:rsid w:val="00EF2364"/>
    <w:rsid w:val="00EF4CE9"/>
    <w:rsid w:val="00F13B14"/>
    <w:rsid w:val="00F26993"/>
    <w:rsid w:val="00F27A05"/>
    <w:rsid w:val="00F37516"/>
    <w:rsid w:val="00F47F0C"/>
    <w:rsid w:val="00F509EB"/>
    <w:rsid w:val="00F5367A"/>
    <w:rsid w:val="00F57E6B"/>
    <w:rsid w:val="00F628C3"/>
    <w:rsid w:val="00F632EF"/>
    <w:rsid w:val="00F717E0"/>
    <w:rsid w:val="00F87901"/>
    <w:rsid w:val="00F93DF9"/>
    <w:rsid w:val="00FA6BB4"/>
    <w:rsid w:val="00FB6181"/>
    <w:rsid w:val="00FB6732"/>
    <w:rsid w:val="00FB6BCC"/>
    <w:rsid w:val="00FC40FF"/>
    <w:rsid w:val="00FD1A31"/>
    <w:rsid w:val="00FD4380"/>
    <w:rsid w:val="00FF0C94"/>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4F8"/>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3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7C31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193"/>
    <w:rPr>
      <w:rFonts w:ascii="Segoe UI" w:hAnsi="Segoe UI" w:cs="Segoe UI"/>
      <w:sz w:val="18"/>
      <w:szCs w:val="18"/>
    </w:rPr>
  </w:style>
  <w:style w:type="character" w:styleId="Mencinsinresolver">
    <w:name w:val="Unresolved Mention"/>
    <w:basedOn w:val="Fuentedeprrafopredeter"/>
    <w:uiPriority w:val="99"/>
    <w:semiHidden/>
    <w:unhideWhenUsed/>
    <w:rsid w:val="00881F9F"/>
    <w:rPr>
      <w:color w:val="605E5C"/>
      <w:shd w:val="clear" w:color="auto" w:fill="E1DFDD"/>
    </w:rPr>
  </w:style>
  <w:style w:type="character" w:customStyle="1" w:styleId="NormalWebCar">
    <w:name w:val="Normal (Web) Car"/>
    <w:link w:val="NormalWeb"/>
    <w:uiPriority w:val="99"/>
    <w:rsid w:val="00DF55A7"/>
    <w:rPr>
      <w:rFonts w:ascii="Times New Roman" w:hAnsi="Times New Roman" w:cs="Times New Roman"/>
      <w:sz w:val="24"/>
      <w:szCs w:val="24"/>
    </w:rPr>
  </w:style>
  <w:style w:type="character" w:customStyle="1" w:styleId="Hipervnculo1">
    <w:name w:val="Hipervínculo1"/>
    <w:basedOn w:val="Fuentedeprrafopredeter"/>
    <w:uiPriority w:val="99"/>
    <w:unhideWhenUsed/>
    <w:rsid w:val="00DF55A7"/>
    <w:rPr>
      <w:color w:val="F2F2F2"/>
      <w:u w:val="single"/>
    </w:rPr>
  </w:style>
  <w:style w:type="character" w:styleId="Textoennegrita">
    <w:name w:val="Strong"/>
    <w:basedOn w:val="Fuentedeprrafopredeter"/>
    <w:uiPriority w:val="22"/>
    <w:qFormat/>
    <w:rsid w:val="001B06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0934">
      <w:bodyDiv w:val="1"/>
      <w:marLeft w:val="0"/>
      <w:marRight w:val="0"/>
      <w:marTop w:val="0"/>
      <w:marBottom w:val="0"/>
      <w:divBdr>
        <w:top w:val="none" w:sz="0" w:space="0" w:color="auto"/>
        <w:left w:val="none" w:sz="0" w:space="0" w:color="auto"/>
        <w:bottom w:val="none" w:sz="0" w:space="0" w:color="auto"/>
        <w:right w:val="none" w:sz="0" w:space="0" w:color="auto"/>
      </w:divBdr>
    </w:div>
    <w:div w:id="163663830">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333344456">
      <w:bodyDiv w:val="1"/>
      <w:marLeft w:val="0"/>
      <w:marRight w:val="0"/>
      <w:marTop w:val="0"/>
      <w:marBottom w:val="0"/>
      <w:divBdr>
        <w:top w:val="none" w:sz="0" w:space="0" w:color="auto"/>
        <w:left w:val="none" w:sz="0" w:space="0" w:color="auto"/>
        <w:bottom w:val="none" w:sz="0" w:space="0" w:color="auto"/>
        <w:right w:val="none" w:sz="0" w:space="0" w:color="auto"/>
      </w:divBdr>
    </w:div>
    <w:div w:id="476268089">
      <w:bodyDiv w:val="1"/>
      <w:marLeft w:val="0"/>
      <w:marRight w:val="0"/>
      <w:marTop w:val="0"/>
      <w:marBottom w:val="0"/>
      <w:divBdr>
        <w:top w:val="none" w:sz="0" w:space="0" w:color="auto"/>
        <w:left w:val="none" w:sz="0" w:space="0" w:color="auto"/>
        <w:bottom w:val="none" w:sz="0" w:space="0" w:color="auto"/>
        <w:right w:val="none" w:sz="0" w:space="0" w:color="auto"/>
      </w:divBdr>
    </w:div>
    <w:div w:id="693193561">
      <w:bodyDiv w:val="1"/>
      <w:marLeft w:val="0"/>
      <w:marRight w:val="0"/>
      <w:marTop w:val="0"/>
      <w:marBottom w:val="0"/>
      <w:divBdr>
        <w:top w:val="none" w:sz="0" w:space="0" w:color="auto"/>
        <w:left w:val="none" w:sz="0" w:space="0" w:color="auto"/>
        <w:bottom w:val="none" w:sz="0" w:space="0" w:color="auto"/>
        <w:right w:val="none" w:sz="0" w:space="0" w:color="auto"/>
      </w:divBdr>
    </w:div>
    <w:div w:id="746001310">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135954022">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916041994">
      <w:bodyDiv w:val="1"/>
      <w:marLeft w:val="0"/>
      <w:marRight w:val="0"/>
      <w:marTop w:val="0"/>
      <w:marBottom w:val="0"/>
      <w:divBdr>
        <w:top w:val="none" w:sz="0" w:space="0" w:color="auto"/>
        <w:left w:val="none" w:sz="0" w:space="0" w:color="auto"/>
        <w:bottom w:val="none" w:sz="0" w:space="0" w:color="auto"/>
        <w:right w:val="none" w:sz="0" w:space="0" w:color="auto"/>
      </w:divBdr>
    </w:div>
    <w:div w:id="2024087944">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 w:id="207346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lombiacompra.gov.co/secop/que-es-el-secop-i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ACD7EA-10B9-4FDA-801C-8F53F9C12D1E}"/>
</file>

<file path=customXml/itemProps2.xml><?xml version="1.0" encoding="utf-8"?>
<ds:datastoreItem xmlns:ds="http://schemas.openxmlformats.org/officeDocument/2006/customXml" ds:itemID="{66850F84-7B21-4CB1-A081-FBBBAC772632}">
  <ds:schemaRefs>
    <ds:schemaRef ds:uri="http://schemas.openxmlformats.org/officeDocument/2006/bibliography"/>
  </ds:schemaRefs>
</ds:datastoreItem>
</file>

<file path=customXml/itemProps3.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4.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5381</Words>
  <Characters>29596</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Diana Fabiola Herrera Hernandez</cp:lastModifiedBy>
  <cp:revision>6</cp:revision>
  <dcterms:created xsi:type="dcterms:W3CDTF">2022-10-12T03:18:00Z</dcterms:created>
  <dcterms:modified xsi:type="dcterms:W3CDTF">2022-10-12T03:22:00Z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