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4066E7" w:rsidRDefault="009F59C2" w:rsidP="0034177C">
      <w:pPr>
        <w:jc w:val="right"/>
        <w:rPr>
          <w:rFonts w:ascii="Arial" w:hAnsi="Arial" w:cs="Arial"/>
          <w:b/>
          <w:sz w:val="16"/>
          <w:szCs w:val="16"/>
          <w:lang w:eastAsia="es-ES"/>
        </w:rPr>
      </w:pPr>
      <w:bookmarkStart w:id="0" w:name="_Hlk28946138"/>
      <w:bookmarkStart w:id="1" w:name="_Hlk29548183"/>
      <w:r w:rsidRPr="009868CC">
        <w:rPr>
          <w:rFonts w:ascii="Arial" w:hAnsi="Arial" w:cs="Arial"/>
          <w:b/>
          <w:sz w:val="16"/>
          <w:szCs w:val="16"/>
          <w:lang w:eastAsia="es-ES"/>
        </w:rPr>
        <w:tab/>
      </w:r>
      <w:r w:rsidR="0034177C" w:rsidRPr="004066E7">
        <w:rPr>
          <w:rFonts w:ascii="Arial" w:hAnsi="Arial" w:cs="Arial"/>
          <w:b/>
          <w:sz w:val="16"/>
          <w:szCs w:val="16"/>
          <w:lang w:eastAsia="es-ES"/>
        </w:rPr>
        <w:t>CCE-DES-FM-17</w:t>
      </w:r>
    </w:p>
    <w:p w14:paraId="33FF83A2" w14:textId="77777777" w:rsidR="0034177C" w:rsidRPr="004066E7" w:rsidRDefault="0034177C" w:rsidP="007F6B46">
      <w:pPr>
        <w:spacing w:line="276" w:lineRule="auto"/>
        <w:jc w:val="both"/>
        <w:rPr>
          <w:rFonts w:ascii="Arial" w:eastAsia="Calibri" w:hAnsi="Arial" w:cs="Arial"/>
          <w:b/>
          <w:sz w:val="16"/>
          <w:szCs w:val="16"/>
        </w:rPr>
      </w:pPr>
    </w:p>
    <w:p w14:paraId="7881E37D" w14:textId="77777777" w:rsidR="00AD3E4D" w:rsidRPr="004066E7" w:rsidRDefault="00AD3E4D" w:rsidP="00AD3E4D">
      <w:pPr>
        <w:jc w:val="both"/>
        <w:rPr>
          <w:rFonts w:ascii="Arial" w:eastAsia="Calibri" w:hAnsi="Arial" w:cs="Arial"/>
          <w:color w:val="000000" w:themeColor="text1"/>
          <w:sz w:val="22"/>
        </w:rPr>
      </w:pPr>
      <w:bookmarkStart w:id="2" w:name="_Hlk90368003"/>
      <w:bookmarkEnd w:id="0"/>
      <w:bookmarkEnd w:id="1"/>
      <w:r w:rsidRPr="004066E7">
        <w:rPr>
          <w:rFonts w:ascii="Arial" w:eastAsia="Calibri" w:hAnsi="Arial" w:cs="Arial"/>
          <w:b/>
          <w:color w:val="000000" w:themeColor="text1"/>
          <w:sz w:val="22"/>
        </w:rPr>
        <w:t xml:space="preserve">CIENCIA, TECNOLOGÍA E INNOVACIÓN – Regulación </w:t>
      </w:r>
    </w:p>
    <w:p w14:paraId="2A01340A" w14:textId="77777777" w:rsidR="00AD3E4D" w:rsidRPr="004066E7" w:rsidRDefault="00AD3E4D" w:rsidP="00AD3E4D">
      <w:pPr>
        <w:jc w:val="both"/>
        <w:rPr>
          <w:rFonts w:ascii="Arial" w:eastAsia="Calibri" w:hAnsi="Arial" w:cs="Arial"/>
          <w:color w:val="000000" w:themeColor="text1"/>
          <w:sz w:val="22"/>
        </w:rPr>
      </w:pPr>
    </w:p>
    <w:p w14:paraId="3685CECF" w14:textId="0098B4BD" w:rsidR="00AD3E4D" w:rsidRPr="004066E7" w:rsidRDefault="00B020E9" w:rsidP="00AD3E4D">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 xml:space="preserve">Las actividades de ciencia, tecnología e innovación están previstas en cuatro cuerpos normativos, que se sintetizan de la siguiente manera: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 </w:t>
      </w:r>
    </w:p>
    <w:p w14:paraId="7D5A5BD2" w14:textId="77777777" w:rsidR="00B020E9" w:rsidRPr="004066E7" w:rsidRDefault="00B020E9" w:rsidP="00AD3E4D">
      <w:pPr>
        <w:jc w:val="both"/>
        <w:rPr>
          <w:rFonts w:ascii="Arial" w:eastAsia="Calibri" w:hAnsi="Arial" w:cs="Arial"/>
          <w:color w:val="000000" w:themeColor="text1"/>
          <w:sz w:val="20"/>
          <w:szCs w:val="20"/>
        </w:rPr>
      </w:pPr>
    </w:p>
    <w:p w14:paraId="465BA84D" w14:textId="77777777" w:rsidR="00AD3E4D" w:rsidRPr="004066E7" w:rsidRDefault="00AD3E4D" w:rsidP="00AD3E4D">
      <w:pPr>
        <w:jc w:val="both"/>
        <w:rPr>
          <w:rFonts w:ascii="Arial" w:eastAsia="Calibri" w:hAnsi="Arial" w:cs="Arial"/>
          <w:color w:val="000000" w:themeColor="text1"/>
          <w:sz w:val="22"/>
        </w:rPr>
      </w:pPr>
      <w:r w:rsidRPr="004066E7">
        <w:rPr>
          <w:rFonts w:ascii="Arial" w:eastAsia="Calibri" w:hAnsi="Arial" w:cs="Arial"/>
          <w:b/>
          <w:color w:val="000000" w:themeColor="text1"/>
          <w:sz w:val="22"/>
        </w:rPr>
        <w:t>CIENCIA, TECNOLOGÍA E INNOVACIÓN – Decreto 393 de 1991 – Formas de asociación</w:t>
      </w:r>
    </w:p>
    <w:p w14:paraId="4554684A" w14:textId="77777777" w:rsidR="00AD3E4D" w:rsidRPr="004066E7" w:rsidRDefault="00AD3E4D" w:rsidP="00AD3E4D">
      <w:pPr>
        <w:jc w:val="both"/>
        <w:rPr>
          <w:rFonts w:ascii="Arial" w:eastAsia="Calibri" w:hAnsi="Arial" w:cs="Arial"/>
          <w:color w:val="000000" w:themeColor="text1"/>
          <w:sz w:val="20"/>
          <w:szCs w:val="20"/>
        </w:rPr>
      </w:pPr>
    </w:p>
    <w:p w14:paraId="5231C250" w14:textId="77777777" w:rsidR="00AD3E4D" w:rsidRPr="004066E7" w:rsidRDefault="00AD3E4D" w:rsidP="00AD3E4D">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 xml:space="preserve">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w:t>
      </w:r>
    </w:p>
    <w:p w14:paraId="59F85253" w14:textId="77777777" w:rsidR="00AD3E4D" w:rsidRPr="004066E7" w:rsidRDefault="00AD3E4D" w:rsidP="00AD3E4D">
      <w:pPr>
        <w:jc w:val="both"/>
        <w:rPr>
          <w:rFonts w:ascii="Arial" w:hAnsi="Arial" w:cs="Arial"/>
          <w:color w:val="000000" w:themeColor="text1"/>
          <w:sz w:val="20"/>
          <w:szCs w:val="20"/>
        </w:rPr>
      </w:pPr>
    </w:p>
    <w:p w14:paraId="267B1D22" w14:textId="77777777" w:rsidR="00AD3E4D" w:rsidRPr="004066E7" w:rsidRDefault="00AD3E4D" w:rsidP="00AD3E4D">
      <w:pPr>
        <w:jc w:val="both"/>
        <w:rPr>
          <w:rFonts w:ascii="Arial" w:eastAsia="Calibri" w:hAnsi="Arial" w:cs="Arial"/>
          <w:color w:val="000000" w:themeColor="text1"/>
          <w:sz w:val="22"/>
        </w:rPr>
      </w:pPr>
      <w:r w:rsidRPr="004066E7">
        <w:rPr>
          <w:rFonts w:ascii="Arial" w:eastAsia="Calibri" w:hAnsi="Arial" w:cs="Arial"/>
          <w:b/>
          <w:bCs/>
          <w:color w:val="000000" w:themeColor="text1"/>
          <w:sz w:val="22"/>
        </w:rPr>
        <w:t>DECRETO 393 DE 1991 – Creación – Persona jurídica – Régimen jurídico</w:t>
      </w:r>
    </w:p>
    <w:p w14:paraId="5C19792B" w14:textId="77777777" w:rsidR="00AD3E4D" w:rsidRPr="004066E7" w:rsidRDefault="00AD3E4D" w:rsidP="00AD3E4D">
      <w:pPr>
        <w:jc w:val="both"/>
        <w:rPr>
          <w:rFonts w:ascii="Arial" w:eastAsia="Calibri" w:hAnsi="Arial" w:cs="Arial"/>
          <w:color w:val="000000" w:themeColor="text1"/>
          <w:sz w:val="20"/>
          <w:szCs w:val="20"/>
        </w:rPr>
      </w:pPr>
    </w:p>
    <w:p w14:paraId="32EB484D" w14:textId="1626B6A0" w:rsidR="00AD3E4D" w:rsidRPr="004066E7" w:rsidRDefault="00B020E9" w:rsidP="00AD3E4D">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 xml:space="preserve">En relación con el régimen jurídico aplicable a las personas que se crean mediante la asociación de la nación y sus entidades descentralizadas con particulares o entidades estatales, el Decreto 393 de 1991, en el artículo 5, establece que es el derecho privado. De otro lado, es importante destacar que la Corte Constitucional declaró la exequibilidad de las disposiciones del decreto que establecen la posibilidad de crear sociedades con aportes estatales, ya que el demandante señalaba que existía una contradicción con el artículo 355 de la Constitución Política, que prohíbe los auxilios y donaciones de entidades en favor particulares. De acuerdo con el cargo anterior, la corporación concluyó que el fomento de las actividades de ciencia, tecnología e innovación es una responsabilidad que tiene el Estado por mandato constitucional frente a la cual no es aplicable la restricción contenida en el artículo mencionado. </w:t>
      </w:r>
    </w:p>
    <w:p w14:paraId="6638CC7F" w14:textId="77777777" w:rsidR="00B020E9" w:rsidRPr="004066E7" w:rsidRDefault="00B020E9" w:rsidP="00AD3E4D">
      <w:pPr>
        <w:jc w:val="both"/>
        <w:rPr>
          <w:rFonts w:ascii="Arial" w:eastAsia="Calibri" w:hAnsi="Arial" w:cs="Arial"/>
          <w:color w:val="000000" w:themeColor="text1"/>
          <w:sz w:val="20"/>
          <w:szCs w:val="20"/>
        </w:rPr>
      </w:pPr>
    </w:p>
    <w:p w14:paraId="07417616" w14:textId="77777777" w:rsidR="00AD3E4D" w:rsidRPr="004066E7" w:rsidRDefault="00AD3E4D" w:rsidP="00AD3E4D">
      <w:pPr>
        <w:jc w:val="both"/>
        <w:rPr>
          <w:rFonts w:ascii="Arial" w:eastAsia="Calibri" w:hAnsi="Arial" w:cs="Arial"/>
          <w:color w:val="000000" w:themeColor="text1"/>
          <w:sz w:val="22"/>
        </w:rPr>
      </w:pPr>
      <w:r w:rsidRPr="004066E7">
        <w:rPr>
          <w:rFonts w:ascii="Arial" w:eastAsia="Calibri" w:hAnsi="Arial" w:cs="Arial"/>
          <w:b/>
          <w:color w:val="000000" w:themeColor="text1"/>
          <w:sz w:val="22"/>
        </w:rPr>
        <w:t>CONVENIO ESPECIAL DE COOPERACIÓN – Reglas – Régimen jurídico</w:t>
      </w:r>
    </w:p>
    <w:p w14:paraId="755BE1BC" w14:textId="77777777" w:rsidR="00AD3E4D" w:rsidRPr="004066E7" w:rsidRDefault="00AD3E4D" w:rsidP="00AD3E4D">
      <w:pPr>
        <w:jc w:val="both"/>
        <w:rPr>
          <w:rFonts w:ascii="Arial" w:eastAsia="Calibri" w:hAnsi="Arial" w:cs="Arial"/>
          <w:color w:val="000000" w:themeColor="text1"/>
          <w:sz w:val="20"/>
          <w:szCs w:val="20"/>
        </w:rPr>
      </w:pPr>
    </w:p>
    <w:p w14:paraId="4BE70A5F" w14:textId="541AA136" w:rsidR="00AD3E4D" w:rsidRPr="004066E7" w:rsidRDefault="00B020E9" w:rsidP="00B020E9">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 xml:space="preserve">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 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  [La norma señalada en esta cita es del año 1990]. Además, esa Corporación revisó la constitucionalidad del artículo 6 del Decreto 393 de 1991, que </w:t>
      </w:r>
      <w:r w:rsidRPr="004066E7">
        <w:rPr>
          <w:rFonts w:ascii="Arial" w:eastAsia="Calibri" w:hAnsi="Arial" w:cs="Arial"/>
          <w:color w:val="000000" w:themeColor="text1"/>
          <w:sz w:val="20"/>
          <w:szCs w:val="20"/>
        </w:rPr>
        <w:lastRenderedPageBreak/>
        <w:t xml:space="preserve">define el convenio especial de cooperación, puesto que el actor consideraba que se violaba la competencia del Congreso para expedir el Estatuto General de Contratación de la Administración Pública. </w:t>
      </w:r>
    </w:p>
    <w:p w14:paraId="4BC85671" w14:textId="77777777" w:rsidR="00B020E9" w:rsidRPr="004066E7" w:rsidRDefault="00B020E9" w:rsidP="00B020E9">
      <w:pPr>
        <w:jc w:val="both"/>
        <w:rPr>
          <w:rFonts w:ascii="Arial" w:eastAsia="Calibri" w:hAnsi="Arial" w:cs="Arial"/>
          <w:color w:val="000000" w:themeColor="text1"/>
          <w:sz w:val="20"/>
          <w:szCs w:val="20"/>
        </w:rPr>
      </w:pPr>
    </w:p>
    <w:p w14:paraId="7985C3BD" w14:textId="77777777" w:rsidR="00AD3E4D" w:rsidRPr="004066E7" w:rsidRDefault="00AD3E4D" w:rsidP="00AD3E4D">
      <w:pPr>
        <w:jc w:val="both"/>
        <w:rPr>
          <w:rFonts w:ascii="Arial" w:eastAsia="Calibri" w:hAnsi="Arial" w:cs="Arial"/>
          <w:color w:val="000000" w:themeColor="text1"/>
          <w:sz w:val="22"/>
        </w:rPr>
      </w:pPr>
      <w:r w:rsidRPr="004066E7">
        <w:rPr>
          <w:rFonts w:ascii="Arial" w:eastAsia="Calibri" w:hAnsi="Arial" w:cs="Arial"/>
          <w:b/>
          <w:bCs/>
          <w:color w:val="000000" w:themeColor="text1"/>
          <w:sz w:val="22"/>
        </w:rPr>
        <w:t>CIENCIA, TECNOLOGÍA E INNOVACIÓN – Decreto 591 de 1991 – Modalidades – Contratos de fomento</w:t>
      </w:r>
    </w:p>
    <w:p w14:paraId="1BB312B6" w14:textId="77777777" w:rsidR="00AD3E4D" w:rsidRPr="004066E7" w:rsidRDefault="00AD3E4D" w:rsidP="00AD3E4D">
      <w:pPr>
        <w:jc w:val="both"/>
        <w:rPr>
          <w:rFonts w:ascii="Arial" w:eastAsia="Calibri" w:hAnsi="Arial" w:cs="Arial"/>
          <w:color w:val="000000" w:themeColor="text1"/>
          <w:sz w:val="20"/>
          <w:szCs w:val="20"/>
        </w:rPr>
      </w:pPr>
    </w:p>
    <w:p w14:paraId="75DDC46B" w14:textId="77777777" w:rsidR="00B020E9" w:rsidRPr="004066E7" w:rsidRDefault="00B020E9" w:rsidP="00AD3E4D">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41C8360D" w14:textId="77777777" w:rsidR="00B020E9" w:rsidRPr="004066E7" w:rsidRDefault="00B020E9" w:rsidP="00AD3E4D">
      <w:pPr>
        <w:jc w:val="both"/>
        <w:rPr>
          <w:rFonts w:ascii="Arial" w:eastAsia="Calibri" w:hAnsi="Arial" w:cs="Arial"/>
          <w:color w:val="000000" w:themeColor="text1"/>
          <w:sz w:val="20"/>
          <w:szCs w:val="20"/>
        </w:rPr>
      </w:pPr>
    </w:p>
    <w:p w14:paraId="17F8BA0C" w14:textId="57C52924" w:rsidR="00AD3E4D" w:rsidRPr="004066E7" w:rsidRDefault="00AD3E4D" w:rsidP="00AD3E4D">
      <w:pPr>
        <w:jc w:val="both"/>
        <w:rPr>
          <w:rFonts w:ascii="Arial" w:eastAsia="Calibri" w:hAnsi="Arial" w:cs="Arial"/>
          <w:color w:val="000000" w:themeColor="text1"/>
          <w:sz w:val="22"/>
        </w:rPr>
      </w:pPr>
      <w:r w:rsidRPr="004066E7">
        <w:rPr>
          <w:rFonts w:ascii="Arial" w:eastAsia="Calibri" w:hAnsi="Arial" w:cs="Arial"/>
          <w:b/>
          <w:color w:val="000000" w:themeColor="text1"/>
          <w:sz w:val="22"/>
        </w:rPr>
        <w:t>DECRETO 591 DE 1991 – Contrato de financiamiento</w:t>
      </w:r>
    </w:p>
    <w:p w14:paraId="3C061283" w14:textId="77777777" w:rsidR="00AD3E4D" w:rsidRPr="004066E7" w:rsidRDefault="00AD3E4D" w:rsidP="00AD3E4D">
      <w:pPr>
        <w:jc w:val="both"/>
        <w:rPr>
          <w:rFonts w:ascii="Arial" w:eastAsia="Calibri" w:hAnsi="Arial" w:cs="Arial"/>
          <w:color w:val="000000" w:themeColor="text1"/>
          <w:sz w:val="20"/>
          <w:szCs w:val="20"/>
        </w:rPr>
      </w:pPr>
    </w:p>
    <w:p w14:paraId="194B969B" w14:textId="7006BCBB" w:rsidR="00AD3E4D" w:rsidRPr="004066E7" w:rsidRDefault="00B020E9" w:rsidP="00B020E9">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r w:rsidR="00E7064A" w:rsidRPr="004066E7">
        <w:rPr>
          <w:rFonts w:ascii="Arial" w:eastAsia="Calibri" w:hAnsi="Arial" w:cs="Arial"/>
          <w:color w:val="000000" w:themeColor="text1"/>
          <w:sz w:val="20"/>
          <w:szCs w:val="20"/>
        </w:rPr>
        <w:t xml:space="preserve"> </w:t>
      </w:r>
      <w:r w:rsidRPr="004066E7">
        <w:rPr>
          <w:rFonts w:ascii="Arial" w:eastAsia="Calibri" w:hAnsi="Arial" w:cs="Arial"/>
          <w:color w:val="000000" w:themeColor="text1"/>
          <w:sz w:val="20"/>
          <w:szCs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w:t>
      </w:r>
    </w:p>
    <w:p w14:paraId="6E20E26D" w14:textId="77777777" w:rsidR="00B020E9" w:rsidRPr="004066E7" w:rsidRDefault="00B020E9" w:rsidP="00B020E9">
      <w:pPr>
        <w:jc w:val="both"/>
        <w:rPr>
          <w:rFonts w:ascii="Arial" w:eastAsia="Calibri" w:hAnsi="Arial" w:cs="Arial"/>
          <w:color w:val="000000" w:themeColor="text1"/>
          <w:sz w:val="20"/>
          <w:szCs w:val="20"/>
        </w:rPr>
      </w:pPr>
    </w:p>
    <w:p w14:paraId="03DD8ABC" w14:textId="77777777" w:rsidR="00AD3E4D" w:rsidRPr="004066E7" w:rsidRDefault="00AD3E4D" w:rsidP="00AD3E4D">
      <w:pPr>
        <w:jc w:val="both"/>
        <w:rPr>
          <w:rFonts w:ascii="Arial" w:eastAsia="Calibri" w:hAnsi="Arial" w:cs="Arial"/>
          <w:b/>
          <w:color w:val="000000" w:themeColor="text1"/>
          <w:sz w:val="22"/>
        </w:rPr>
      </w:pPr>
      <w:r w:rsidRPr="004066E7">
        <w:rPr>
          <w:rFonts w:ascii="Arial" w:eastAsia="Calibri" w:hAnsi="Arial" w:cs="Arial"/>
          <w:b/>
          <w:color w:val="000000" w:themeColor="text1"/>
          <w:sz w:val="22"/>
        </w:rPr>
        <w:t>DECRETO 591 DE 1991 – Contrato de administración de proyectos</w:t>
      </w:r>
    </w:p>
    <w:p w14:paraId="651FFA47" w14:textId="77777777" w:rsidR="00AD3E4D" w:rsidRPr="004066E7" w:rsidRDefault="00AD3E4D" w:rsidP="00AD3E4D">
      <w:pPr>
        <w:jc w:val="both"/>
        <w:rPr>
          <w:rFonts w:ascii="Arial" w:eastAsia="Calibri" w:hAnsi="Arial" w:cs="Arial"/>
          <w:b/>
          <w:color w:val="000000" w:themeColor="text1"/>
          <w:sz w:val="20"/>
          <w:szCs w:val="20"/>
        </w:rPr>
      </w:pPr>
    </w:p>
    <w:p w14:paraId="16D16789" w14:textId="77777777" w:rsidR="00AD3E4D" w:rsidRPr="004066E7" w:rsidRDefault="00AD3E4D" w:rsidP="00AD3E4D">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p>
    <w:p w14:paraId="7A7DC244" w14:textId="77777777" w:rsidR="00AD3E4D" w:rsidRPr="004066E7" w:rsidRDefault="00AD3E4D" w:rsidP="00AD3E4D">
      <w:pPr>
        <w:jc w:val="both"/>
        <w:rPr>
          <w:rFonts w:ascii="Arial" w:eastAsia="Calibri" w:hAnsi="Arial" w:cs="Arial"/>
          <w:b/>
          <w:color w:val="000000" w:themeColor="text1"/>
          <w:sz w:val="20"/>
          <w:szCs w:val="20"/>
        </w:rPr>
      </w:pPr>
    </w:p>
    <w:p w14:paraId="4592A031" w14:textId="77777777" w:rsidR="00AD3E4D" w:rsidRPr="004066E7" w:rsidRDefault="00AD3E4D" w:rsidP="00AD3E4D">
      <w:pPr>
        <w:jc w:val="both"/>
        <w:rPr>
          <w:rFonts w:ascii="Arial" w:eastAsia="Calibri" w:hAnsi="Arial" w:cs="Arial"/>
          <w:b/>
          <w:bCs/>
          <w:color w:val="000000" w:themeColor="text1"/>
          <w:sz w:val="22"/>
        </w:rPr>
      </w:pPr>
      <w:r w:rsidRPr="004066E7">
        <w:rPr>
          <w:rFonts w:ascii="Arial" w:eastAsia="Calibri" w:hAnsi="Arial" w:cs="Arial"/>
          <w:b/>
          <w:bCs/>
          <w:color w:val="000000" w:themeColor="text1"/>
          <w:sz w:val="22"/>
        </w:rPr>
        <w:t xml:space="preserve">DECRETO 591 DE 1991 – Convenio especial de cooperación </w:t>
      </w:r>
    </w:p>
    <w:p w14:paraId="25184A73" w14:textId="77777777" w:rsidR="00AD3E4D" w:rsidRPr="004066E7" w:rsidRDefault="00AD3E4D" w:rsidP="00AD3E4D">
      <w:pPr>
        <w:jc w:val="both"/>
        <w:rPr>
          <w:rFonts w:ascii="Arial" w:eastAsia="Calibri" w:hAnsi="Arial" w:cs="Arial"/>
          <w:color w:val="000000" w:themeColor="text1"/>
          <w:sz w:val="20"/>
          <w:szCs w:val="20"/>
        </w:rPr>
      </w:pPr>
    </w:p>
    <w:p w14:paraId="1E7361BF" w14:textId="77777777" w:rsidR="000046CC" w:rsidRPr="004066E7" w:rsidRDefault="00AD3E4D" w:rsidP="000046CC">
      <w:pPr>
        <w:jc w:val="both"/>
        <w:rPr>
          <w:rFonts w:ascii="Arial" w:eastAsia="Calibri" w:hAnsi="Arial" w:cs="Arial"/>
          <w:color w:val="000000" w:themeColor="text1"/>
          <w:sz w:val="20"/>
          <w:szCs w:val="20"/>
        </w:rPr>
      </w:pPr>
      <w:r w:rsidRPr="004066E7">
        <w:rPr>
          <w:rFonts w:ascii="Arial" w:eastAsia="Calibri" w:hAnsi="Arial" w:cs="Arial"/>
          <w:color w:val="000000" w:themeColor="text1"/>
          <w:sz w:val="20"/>
          <w:szCs w:val="20"/>
        </w:rPr>
        <w:t>A este convenio se había referido el Decreto 393 de 1991, anterior al Decreto 591 de 1991, por lo cual este último no contiene disposiciones con elementos adicionales a lo que estaba regulado. Para finalizar, el artículo 19 señala que dependiendo de la modalidad de contrato ̶ financiamiento, administración de proyectos, convenio especial de cooperación ̶ será necesario pactar cláusulas respecto de la transferencia tecnológica, que deben tener en cuenta los lineamientos del Consejo Nacional de Ciencia y Tecnología.</w:t>
      </w:r>
    </w:p>
    <w:bookmarkEnd w:id="2"/>
    <w:p w14:paraId="4DB7711D" w14:textId="77777777" w:rsidR="00AB6E2C" w:rsidRPr="004066E7" w:rsidRDefault="00AB6E2C" w:rsidP="000046CC">
      <w:pPr>
        <w:jc w:val="both"/>
        <w:rPr>
          <w:rFonts w:ascii="Arial" w:hAnsi="Arial" w:cs="Arial"/>
          <w:noProof/>
          <w:color w:val="000000" w:themeColor="text1"/>
          <w:sz w:val="22"/>
          <w:lang w:val="es-ES_tradnl"/>
        </w:rPr>
      </w:pPr>
    </w:p>
    <w:p w14:paraId="3EF64629" w14:textId="77777777" w:rsidR="00AB6E2C" w:rsidRPr="004066E7" w:rsidRDefault="00AB6E2C" w:rsidP="000046CC">
      <w:pPr>
        <w:jc w:val="both"/>
        <w:rPr>
          <w:rFonts w:ascii="Arial" w:hAnsi="Arial" w:cs="Arial"/>
          <w:noProof/>
          <w:color w:val="000000" w:themeColor="text1"/>
          <w:sz w:val="22"/>
          <w:lang w:val="es-ES_tradnl"/>
        </w:rPr>
      </w:pPr>
    </w:p>
    <w:p w14:paraId="3E891190" w14:textId="77777777" w:rsidR="00AB6E2C" w:rsidRPr="004066E7" w:rsidRDefault="00AB6E2C" w:rsidP="000046CC">
      <w:pPr>
        <w:jc w:val="both"/>
        <w:rPr>
          <w:rFonts w:ascii="Arial" w:hAnsi="Arial" w:cs="Arial"/>
          <w:noProof/>
          <w:color w:val="000000" w:themeColor="text1"/>
          <w:sz w:val="22"/>
          <w:lang w:val="es-ES_tradnl"/>
        </w:rPr>
      </w:pPr>
    </w:p>
    <w:p w14:paraId="0D1C9875" w14:textId="77777777" w:rsidR="00AB6E2C" w:rsidRPr="004066E7" w:rsidRDefault="00AB6E2C" w:rsidP="000046CC">
      <w:pPr>
        <w:jc w:val="both"/>
        <w:rPr>
          <w:rFonts w:ascii="Arial" w:hAnsi="Arial" w:cs="Arial"/>
          <w:noProof/>
          <w:color w:val="000000" w:themeColor="text1"/>
          <w:sz w:val="22"/>
          <w:lang w:val="es-ES_tradnl"/>
        </w:rPr>
      </w:pPr>
    </w:p>
    <w:p w14:paraId="4280739C" w14:textId="77777777" w:rsidR="00AB6E2C" w:rsidRPr="004066E7" w:rsidRDefault="00AB6E2C" w:rsidP="000046CC">
      <w:pPr>
        <w:jc w:val="both"/>
        <w:rPr>
          <w:rFonts w:ascii="Arial" w:hAnsi="Arial" w:cs="Arial"/>
          <w:noProof/>
          <w:color w:val="000000" w:themeColor="text1"/>
          <w:sz w:val="22"/>
          <w:lang w:val="es-ES_tradnl"/>
        </w:rPr>
      </w:pPr>
    </w:p>
    <w:p w14:paraId="28ED1FE5" w14:textId="396EA202" w:rsidR="001811A6" w:rsidRDefault="001811A6" w:rsidP="000046CC">
      <w:pPr>
        <w:jc w:val="both"/>
        <w:rPr>
          <w:rFonts w:ascii="Arial" w:hAnsi="Arial" w:cs="Arial"/>
          <w:noProof/>
          <w:color w:val="000000" w:themeColor="text1"/>
          <w:sz w:val="22"/>
          <w:lang w:val="es-ES_tradnl"/>
        </w:rPr>
      </w:pPr>
      <w:r w:rsidRPr="004066E7">
        <w:rPr>
          <w:rFonts w:ascii="Arial" w:hAnsi="Arial" w:cs="Arial"/>
          <w:noProof/>
          <w:color w:val="000000" w:themeColor="text1"/>
          <w:sz w:val="22"/>
          <w:lang w:val="es-ES_tradnl"/>
        </w:rPr>
        <w:t xml:space="preserve">Bogotá D.C., </w:t>
      </w:r>
      <w:r w:rsidR="00E775F1">
        <w:rPr>
          <w:rFonts w:ascii="Arial" w:hAnsi="Arial" w:cs="Arial"/>
          <w:noProof/>
          <w:color w:val="000000" w:themeColor="text1"/>
          <w:sz w:val="22"/>
          <w:lang w:val="es-ES_tradnl"/>
        </w:rPr>
        <w:t>30 de noviembre de 2021</w:t>
      </w:r>
    </w:p>
    <w:p w14:paraId="6449FC11" w14:textId="7CB29BBE" w:rsidR="00E775F1" w:rsidRPr="004066E7" w:rsidRDefault="00E775F1" w:rsidP="00E775F1">
      <w:pPr>
        <w:jc w:val="right"/>
        <w:rPr>
          <w:rFonts w:ascii="Arial" w:eastAsia="Calibri" w:hAnsi="Arial" w:cs="Arial"/>
          <w:color w:val="000000" w:themeColor="text1"/>
          <w:sz w:val="20"/>
          <w:szCs w:val="20"/>
        </w:rPr>
      </w:pPr>
      <w:r>
        <w:rPr>
          <w:noProof/>
        </w:rPr>
        <w:lastRenderedPageBreak/>
        <w:drawing>
          <wp:inline distT="0" distB="0" distL="0" distR="0" wp14:anchorId="6B0DC6F3" wp14:editId="0A964D18">
            <wp:extent cx="2600325" cy="771525"/>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600325" cy="771525"/>
                    </a:xfrm>
                    <a:prstGeom prst="rect">
                      <a:avLst/>
                    </a:prstGeom>
                  </pic:spPr>
                </pic:pic>
              </a:graphicData>
            </a:graphic>
          </wp:inline>
        </w:drawing>
      </w:r>
    </w:p>
    <w:p w14:paraId="68965014" w14:textId="7C0BCABF" w:rsidR="00E0342C" w:rsidRPr="004066E7" w:rsidRDefault="00E0342C" w:rsidP="00E0342C">
      <w:pPr>
        <w:jc w:val="right"/>
        <w:rPr>
          <w:rFonts w:ascii="Times New Roman" w:eastAsia="Times New Roman" w:hAnsi="Times New Roman" w:cs="Times New Roman"/>
          <w:szCs w:val="24"/>
          <w:lang w:val="es-CO" w:eastAsia="es-ES_tradnl"/>
        </w:rPr>
      </w:pPr>
      <w:r w:rsidRPr="004066E7">
        <w:rPr>
          <w:rFonts w:ascii="Times New Roman" w:eastAsia="Times New Roman" w:hAnsi="Times New Roman" w:cs="Times New Roman"/>
          <w:szCs w:val="24"/>
          <w:lang w:val="es-CO" w:eastAsia="es-ES_tradnl"/>
        </w:rPr>
        <w:fldChar w:fldCharType="begin"/>
      </w:r>
      <w:r w:rsidR="00E536BE" w:rsidRPr="004066E7">
        <w:rPr>
          <w:rFonts w:ascii="Times New Roman" w:eastAsia="Times New Roman" w:hAnsi="Times New Roman" w:cs="Times New Roman"/>
          <w:szCs w:val="24"/>
          <w:lang w:val="es-CO" w:eastAsia="es-ES_tradnl"/>
        </w:rPr>
        <w:instrText xml:space="preserve"> INCLUDEPICTURE "C:\\var\\folders\\5l\\v1rdjm0x1x9416lmbj7_vjt40000gn\\T\\com.microsoft.Word\\WebArchiveCopyPasteTempFiles\\page1image1755680" \* MERGEFORMAT </w:instrText>
      </w:r>
      <w:r w:rsidR="00F27A5B">
        <w:rPr>
          <w:rFonts w:ascii="Times New Roman" w:eastAsia="Times New Roman" w:hAnsi="Times New Roman" w:cs="Times New Roman"/>
          <w:szCs w:val="24"/>
          <w:lang w:val="es-CO" w:eastAsia="es-ES_tradnl"/>
        </w:rPr>
        <w:fldChar w:fldCharType="separate"/>
      </w:r>
      <w:r w:rsidRPr="004066E7">
        <w:rPr>
          <w:rFonts w:ascii="Times New Roman" w:eastAsia="Times New Roman" w:hAnsi="Times New Roman" w:cs="Times New Roman"/>
          <w:szCs w:val="24"/>
          <w:lang w:val="es-CO" w:eastAsia="es-ES_tradnl"/>
        </w:rPr>
        <w:fldChar w:fldCharType="end"/>
      </w:r>
    </w:p>
    <w:p w14:paraId="43399144" w14:textId="77777777" w:rsidR="00E669B0" w:rsidRPr="004066E7" w:rsidRDefault="00E669B0" w:rsidP="00F1108B">
      <w:pPr>
        <w:rPr>
          <w:rFonts w:ascii="Arial" w:eastAsia="Calibri" w:hAnsi="Arial" w:cs="Arial"/>
          <w:sz w:val="22"/>
          <w:szCs w:val="20"/>
        </w:rPr>
      </w:pPr>
    </w:p>
    <w:p w14:paraId="1AC01C9C" w14:textId="51D0682E" w:rsidR="00F1108B" w:rsidRPr="004066E7" w:rsidRDefault="00F1108B" w:rsidP="00F1108B">
      <w:pPr>
        <w:rPr>
          <w:rFonts w:ascii="Arial" w:eastAsia="Calibri" w:hAnsi="Arial" w:cs="Arial"/>
          <w:sz w:val="22"/>
          <w:szCs w:val="20"/>
        </w:rPr>
      </w:pPr>
      <w:r w:rsidRPr="004066E7">
        <w:rPr>
          <w:rFonts w:ascii="Arial" w:eastAsia="Calibri" w:hAnsi="Arial" w:cs="Arial"/>
          <w:sz w:val="22"/>
          <w:szCs w:val="20"/>
        </w:rPr>
        <w:t>Señor</w:t>
      </w:r>
      <w:r w:rsidR="00CA0EEF" w:rsidRPr="004066E7">
        <w:rPr>
          <w:rFonts w:ascii="Arial" w:eastAsia="Calibri" w:hAnsi="Arial" w:cs="Arial"/>
          <w:sz w:val="22"/>
          <w:szCs w:val="20"/>
        </w:rPr>
        <w:t>a</w:t>
      </w:r>
    </w:p>
    <w:p w14:paraId="51A7B291" w14:textId="286CC361" w:rsidR="00E669B0" w:rsidRPr="004066E7" w:rsidRDefault="00EE0251" w:rsidP="00F1108B">
      <w:pPr>
        <w:rPr>
          <w:rFonts w:ascii="Arial" w:eastAsia="Calibri" w:hAnsi="Arial" w:cs="Arial"/>
          <w:b/>
          <w:sz w:val="22"/>
          <w:szCs w:val="20"/>
        </w:rPr>
      </w:pPr>
      <w:r w:rsidRPr="004066E7">
        <w:rPr>
          <w:rFonts w:ascii="Arial" w:eastAsia="Calibri" w:hAnsi="Arial" w:cs="Arial"/>
          <w:b/>
          <w:sz w:val="22"/>
          <w:szCs w:val="20"/>
        </w:rPr>
        <w:t xml:space="preserve">Carolina Ocampo Franco </w:t>
      </w:r>
    </w:p>
    <w:p w14:paraId="0C515BDA" w14:textId="4918B684" w:rsidR="00F1108B" w:rsidRPr="004066E7" w:rsidRDefault="000D7D13" w:rsidP="00F1108B">
      <w:pPr>
        <w:rPr>
          <w:rFonts w:ascii="Arial" w:eastAsia="Calibri" w:hAnsi="Arial" w:cs="Arial"/>
          <w:sz w:val="22"/>
          <w:szCs w:val="20"/>
        </w:rPr>
      </w:pPr>
      <w:r w:rsidRPr="004066E7">
        <w:rPr>
          <w:rFonts w:ascii="Arial" w:eastAsia="Calibri" w:hAnsi="Arial" w:cs="Arial"/>
          <w:sz w:val="22"/>
          <w:szCs w:val="20"/>
        </w:rPr>
        <w:t>Bogotá, D.C.</w:t>
      </w:r>
    </w:p>
    <w:p w14:paraId="7A74EF0E" w14:textId="7303E64B" w:rsidR="001350C4" w:rsidRPr="004066E7" w:rsidRDefault="001350C4" w:rsidP="00F1108B">
      <w:pPr>
        <w:rPr>
          <w:rFonts w:ascii="Arial" w:eastAsia="Calibri" w:hAnsi="Arial" w:cs="Arial"/>
          <w:sz w:val="22"/>
          <w:szCs w:val="20"/>
        </w:rPr>
      </w:pPr>
    </w:p>
    <w:p w14:paraId="77A6AEF9" w14:textId="77777777" w:rsidR="001350C4" w:rsidRPr="004066E7" w:rsidRDefault="001350C4" w:rsidP="00F1108B">
      <w:pPr>
        <w:rPr>
          <w:rFonts w:ascii="Arial" w:eastAsia="Calibri" w:hAnsi="Arial" w:cs="Arial"/>
          <w:sz w:val="22"/>
          <w:szCs w:val="20"/>
        </w:rPr>
      </w:pPr>
    </w:p>
    <w:p w14:paraId="283D6043" w14:textId="17D814B2" w:rsidR="00F1108B" w:rsidRPr="004066E7" w:rsidRDefault="00B30910" w:rsidP="00950C81">
      <w:pPr>
        <w:rPr>
          <w:rFonts w:ascii="Arial" w:eastAsia="Calibri" w:hAnsi="Arial" w:cs="Arial"/>
          <w:b/>
          <w:sz w:val="22"/>
        </w:rPr>
      </w:pPr>
      <w:r w:rsidRPr="004066E7">
        <w:rPr>
          <w:rFonts w:ascii="Arial" w:eastAsia="Calibri" w:hAnsi="Arial" w:cs="Arial"/>
          <w:b/>
          <w:sz w:val="22"/>
        </w:rPr>
        <w:t xml:space="preserve">                                            </w:t>
      </w:r>
      <w:r w:rsidR="00F1108B" w:rsidRPr="004066E7">
        <w:rPr>
          <w:rFonts w:ascii="Arial" w:eastAsia="Calibri" w:hAnsi="Arial" w:cs="Arial"/>
          <w:b/>
          <w:sz w:val="22"/>
        </w:rPr>
        <w:t xml:space="preserve">Concepto C </w:t>
      </w:r>
      <w:r w:rsidR="00E669B0" w:rsidRPr="004066E7">
        <w:rPr>
          <w:rFonts w:ascii="Arial" w:eastAsia="Calibri" w:hAnsi="Arial" w:cs="Arial"/>
          <w:b/>
          <w:sz w:val="22"/>
        </w:rPr>
        <w:t>–</w:t>
      </w:r>
      <w:r w:rsidR="00F1108B" w:rsidRPr="004066E7">
        <w:rPr>
          <w:rFonts w:ascii="Arial" w:eastAsia="Calibri" w:hAnsi="Arial" w:cs="Arial"/>
          <w:b/>
          <w:sz w:val="22"/>
        </w:rPr>
        <w:t xml:space="preserve"> </w:t>
      </w:r>
      <w:r w:rsidR="00973D7A" w:rsidRPr="004066E7">
        <w:rPr>
          <w:rFonts w:ascii="Arial" w:eastAsia="Calibri" w:hAnsi="Arial" w:cs="Arial"/>
          <w:b/>
          <w:sz w:val="22"/>
        </w:rPr>
        <w:t>6</w:t>
      </w:r>
      <w:r w:rsidR="00E536BE" w:rsidRPr="004066E7">
        <w:rPr>
          <w:rFonts w:ascii="Arial" w:eastAsia="Calibri" w:hAnsi="Arial" w:cs="Arial"/>
          <w:b/>
          <w:sz w:val="22"/>
        </w:rPr>
        <w:t>56</w:t>
      </w:r>
      <w:r w:rsidR="00F1108B" w:rsidRPr="004066E7">
        <w:rPr>
          <w:rFonts w:ascii="Arial" w:eastAsia="Calibri" w:hAnsi="Arial" w:cs="Arial"/>
          <w:b/>
          <w:sz w:val="22"/>
        </w:rPr>
        <w:t xml:space="preserve"> de 202</w:t>
      </w:r>
      <w:r w:rsidR="000E11AD" w:rsidRPr="004066E7">
        <w:rPr>
          <w:rFonts w:ascii="Arial" w:eastAsia="Calibri" w:hAnsi="Arial" w:cs="Arial"/>
          <w:b/>
          <w:sz w:val="22"/>
        </w:rPr>
        <w:t>1</w:t>
      </w:r>
    </w:p>
    <w:p w14:paraId="55A2A84E" w14:textId="77777777" w:rsidR="00F1108B" w:rsidRPr="004066E7"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68CC" w:rsidRPr="004066E7" w14:paraId="522C04FC" w14:textId="77777777" w:rsidTr="0034322C">
        <w:tc>
          <w:tcPr>
            <w:tcW w:w="2689" w:type="dxa"/>
            <w:hideMark/>
          </w:tcPr>
          <w:p w14:paraId="5C1F9A7E" w14:textId="77777777" w:rsidR="00F1108B" w:rsidRPr="004066E7" w:rsidRDefault="00F1108B" w:rsidP="0034322C">
            <w:pPr>
              <w:rPr>
                <w:rFonts w:ascii="Arial" w:eastAsia="Calibri" w:hAnsi="Arial" w:cs="Arial"/>
                <w:sz w:val="22"/>
              </w:rPr>
            </w:pPr>
            <w:r w:rsidRPr="004066E7">
              <w:rPr>
                <w:rFonts w:ascii="Arial" w:eastAsia="Calibri" w:hAnsi="Arial" w:cs="Arial"/>
                <w:b/>
                <w:sz w:val="22"/>
              </w:rPr>
              <w:t>Temas:</w:t>
            </w:r>
            <w:r w:rsidRPr="004066E7">
              <w:rPr>
                <w:rFonts w:ascii="Arial" w:eastAsia="Calibri" w:hAnsi="Arial" w:cs="Arial"/>
                <w:sz w:val="22"/>
              </w:rPr>
              <w:t xml:space="preserve">           </w:t>
            </w:r>
          </w:p>
          <w:p w14:paraId="4376ABAA" w14:textId="77777777" w:rsidR="00F1108B" w:rsidRPr="004066E7" w:rsidRDefault="00F1108B" w:rsidP="0034322C">
            <w:pPr>
              <w:rPr>
                <w:rFonts w:ascii="Arial" w:eastAsia="Calibri" w:hAnsi="Arial" w:cs="Arial"/>
                <w:sz w:val="22"/>
              </w:rPr>
            </w:pPr>
            <w:r w:rsidRPr="004066E7">
              <w:rPr>
                <w:rFonts w:ascii="Arial" w:eastAsia="Calibri" w:hAnsi="Arial" w:cs="Arial"/>
                <w:sz w:val="22"/>
              </w:rPr>
              <w:t xml:space="preserve">                           </w:t>
            </w:r>
          </w:p>
        </w:tc>
        <w:tc>
          <w:tcPr>
            <w:tcW w:w="6237" w:type="dxa"/>
            <w:hideMark/>
          </w:tcPr>
          <w:p w14:paraId="3AA47512" w14:textId="39640FBD" w:rsidR="00F1108B" w:rsidRPr="004066E7" w:rsidRDefault="00396DE4" w:rsidP="00950C81">
            <w:pPr>
              <w:spacing w:after="120"/>
              <w:jc w:val="both"/>
              <w:rPr>
                <w:rFonts w:ascii="Arial" w:eastAsia="Calibri" w:hAnsi="Arial" w:cs="Arial"/>
                <w:sz w:val="22"/>
              </w:rPr>
            </w:pPr>
            <w:r w:rsidRPr="004066E7">
              <w:rPr>
                <w:rFonts w:ascii="Arial" w:eastAsia="Calibri" w:hAnsi="Arial" w:cs="Arial"/>
                <w:color w:val="000000" w:themeColor="text1"/>
                <w:sz w:val="22"/>
              </w:rPr>
              <w:t xml:space="preserve">ACTIVIDADES DE CIENCIA, TECNOLOGÍA E INNOVACIÓN ― Regulación ― ACTIVIDADES DE CIENCIA, TECNOLOGÍA E INNOVACIÓN </w:t>
            </w:r>
            <w:r w:rsidR="00DD759C" w:rsidRPr="004066E7">
              <w:rPr>
                <w:rFonts w:ascii="Arial" w:eastAsia="Calibri" w:hAnsi="Arial" w:cs="Arial"/>
                <w:color w:val="000000" w:themeColor="text1"/>
                <w:sz w:val="22"/>
              </w:rPr>
              <w:t>–</w:t>
            </w:r>
            <w:r w:rsidRPr="004066E7">
              <w:rPr>
                <w:rFonts w:ascii="Arial" w:eastAsia="Calibri" w:hAnsi="Arial" w:cs="Arial"/>
                <w:color w:val="000000" w:themeColor="text1"/>
                <w:sz w:val="22"/>
              </w:rPr>
              <w:t xml:space="preserve"> Decreto 393 de 1991 ― Formas de asociación ― Decreto 591 de 1991 ― Modalidades de contratos de fomento / DECRETO 393 DE 1991 ― Creación de personas jurídicas ― Régimen jurídico / CONVENIO ESPECIAL DE COOPERACIÓN ― Reglas ― Régimen jurídico / DECRETO 591 DE 1991 ― Contrato de financiamiento ― Contrato de administración de proyectos ― Convenio especial de cooperación.</w:t>
            </w:r>
          </w:p>
        </w:tc>
      </w:tr>
      <w:tr w:rsidR="00F1108B" w:rsidRPr="004066E7" w14:paraId="7D0D2FDB" w14:textId="77777777" w:rsidTr="0034322C">
        <w:tc>
          <w:tcPr>
            <w:tcW w:w="2689" w:type="dxa"/>
          </w:tcPr>
          <w:p w14:paraId="7DC82264" w14:textId="77777777" w:rsidR="00F1108B" w:rsidRPr="004066E7" w:rsidRDefault="00F1108B" w:rsidP="0034322C">
            <w:pPr>
              <w:rPr>
                <w:rFonts w:ascii="Arial" w:eastAsia="Calibri" w:hAnsi="Arial" w:cs="Arial"/>
                <w:b/>
                <w:sz w:val="22"/>
              </w:rPr>
            </w:pPr>
            <w:r w:rsidRPr="004066E7">
              <w:rPr>
                <w:rFonts w:ascii="Arial" w:eastAsia="Calibri" w:hAnsi="Arial" w:cs="Arial"/>
                <w:b/>
                <w:sz w:val="22"/>
              </w:rPr>
              <w:t>Radicación:</w:t>
            </w:r>
            <w:r w:rsidRPr="004066E7">
              <w:rPr>
                <w:rFonts w:ascii="Arial" w:eastAsia="Calibri" w:hAnsi="Arial" w:cs="Arial"/>
                <w:sz w:val="22"/>
              </w:rPr>
              <w:t xml:space="preserve">                              </w:t>
            </w:r>
          </w:p>
        </w:tc>
        <w:tc>
          <w:tcPr>
            <w:tcW w:w="6237" w:type="dxa"/>
          </w:tcPr>
          <w:p w14:paraId="01DC5749" w14:textId="4D1D9C33" w:rsidR="00F1108B" w:rsidRPr="004066E7" w:rsidRDefault="00F1108B" w:rsidP="007F785F">
            <w:pPr>
              <w:jc w:val="both"/>
              <w:rPr>
                <w:rFonts w:ascii="Arial" w:eastAsia="Calibri" w:hAnsi="Arial" w:cs="Arial"/>
                <w:sz w:val="22"/>
              </w:rPr>
            </w:pPr>
            <w:r w:rsidRPr="004066E7">
              <w:rPr>
                <w:rFonts w:ascii="Arial" w:eastAsia="Calibri" w:hAnsi="Arial" w:cs="Arial"/>
                <w:sz w:val="22"/>
              </w:rPr>
              <w:t>Respuesta a consulta #</w:t>
            </w:r>
            <w:r w:rsidR="00EE0251" w:rsidRPr="004066E7">
              <w:rPr>
                <w:rFonts w:ascii="Arial" w:eastAsia="Calibri" w:hAnsi="Arial" w:cs="Arial"/>
                <w:sz w:val="22"/>
              </w:rPr>
              <w:t>P20211015009588</w:t>
            </w:r>
          </w:p>
        </w:tc>
      </w:tr>
    </w:tbl>
    <w:p w14:paraId="7DF1E86E" w14:textId="77777777" w:rsidR="00F1108B" w:rsidRPr="004066E7" w:rsidRDefault="00F1108B" w:rsidP="00F1108B">
      <w:pPr>
        <w:jc w:val="both"/>
        <w:rPr>
          <w:rFonts w:ascii="Arial" w:eastAsia="Calibri" w:hAnsi="Arial" w:cs="Arial"/>
          <w:sz w:val="22"/>
        </w:rPr>
      </w:pPr>
    </w:p>
    <w:p w14:paraId="45ADAB8A" w14:textId="0353DA3F" w:rsidR="00F1108B" w:rsidRPr="004066E7" w:rsidRDefault="00CA0EEF" w:rsidP="00DF453C">
      <w:pPr>
        <w:spacing w:before="120"/>
        <w:rPr>
          <w:rFonts w:ascii="Arial" w:eastAsia="Calibri" w:hAnsi="Arial" w:cs="Arial"/>
          <w:sz w:val="22"/>
        </w:rPr>
      </w:pPr>
      <w:r w:rsidRPr="004066E7">
        <w:rPr>
          <w:rFonts w:ascii="Arial" w:eastAsia="Calibri" w:hAnsi="Arial" w:cs="Arial"/>
          <w:sz w:val="22"/>
        </w:rPr>
        <w:t>Estimada</w:t>
      </w:r>
      <w:r w:rsidR="00F1108B" w:rsidRPr="004066E7">
        <w:rPr>
          <w:rFonts w:ascii="Arial" w:eastAsia="Calibri" w:hAnsi="Arial" w:cs="Arial"/>
          <w:sz w:val="22"/>
        </w:rPr>
        <w:t xml:space="preserve"> señor</w:t>
      </w:r>
      <w:r w:rsidRPr="004066E7">
        <w:rPr>
          <w:rFonts w:ascii="Arial" w:eastAsia="Calibri" w:hAnsi="Arial" w:cs="Arial"/>
          <w:sz w:val="22"/>
        </w:rPr>
        <w:t>a</w:t>
      </w:r>
      <w:r w:rsidR="00F1108B" w:rsidRPr="004066E7">
        <w:rPr>
          <w:rFonts w:ascii="Arial" w:eastAsia="Calibri" w:hAnsi="Arial" w:cs="Arial"/>
          <w:sz w:val="22"/>
        </w:rPr>
        <w:t xml:space="preserve"> </w:t>
      </w:r>
      <w:r w:rsidR="00EE0251" w:rsidRPr="004066E7">
        <w:rPr>
          <w:rFonts w:ascii="Arial" w:eastAsia="Calibri" w:hAnsi="Arial" w:cs="Arial"/>
          <w:sz w:val="22"/>
        </w:rPr>
        <w:t>Ocampo</w:t>
      </w:r>
      <w:r w:rsidR="00B30910" w:rsidRPr="004066E7">
        <w:rPr>
          <w:rFonts w:ascii="Arial" w:eastAsia="Calibri" w:hAnsi="Arial" w:cs="Arial"/>
          <w:sz w:val="22"/>
        </w:rPr>
        <w:t>:</w:t>
      </w:r>
    </w:p>
    <w:p w14:paraId="10829D8B" w14:textId="77777777" w:rsidR="00DF453C" w:rsidRPr="004066E7" w:rsidRDefault="00DF453C" w:rsidP="00DF453C">
      <w:pPr>
        <w:rPr>
          <w:rFonts w:ascii="Arial" w:eastAsia="Calibri" w:hAnsi="Arial" w:cs="Arial"/>
          <w:sz w:val="22"/>
        </w:rPr>
      </w:pPr>
    </w:p>
    <w:p w14:paraId="329AA852" w14:textId="22BCF0CA" w:rsidR="00F1108B" w:rsidRPr="004066E7" w:rsidRDefault="00F1108B" w:rsidP="00D557A4">
      <w:pPr>
        <w:spacing w:before="120" w:line="276" w:lineRule="auto"/>
        <w:ind w:right="51"/>
        <w:jc w:val="both"/>
        <w:rPr>
          <w:rFonts w:ascii="Arial" w:hAnsi="Arial" w:cs="Arial"/>
          <w:sz w:val="22"/>
        </w:rPr>
      </w:pPr>
      <w:r w:rsidRPr="004066E7">
        <w:rPr>
          <w:rFonts w:ascii="Arial" w:hAnsi="Arial" w:cs="Arial"/>
          <w:sz w:val="22"/>
        </w:rPr>
        <w:t xml:space="preserve">La Agencia Nacional de Contratación Pública </w:t>
      </w:r>
      <w:r w:rsidR="00B30910" w:rsidRPr="004066E7">
        <w:rPr>
          <w:rFonts w:ascii="Arial" w:hAnsi="Arial" w:cs="Arial"/>
          <w:sz w:val="22"/>
        </w:rPr>
        <w:t xml:space="preserve">– </w:t>
      </w:r>
      <w:r w:rsidRPr="004066E7">
        <w:rPr>
          <w:rFonts w:ascii="Arial" w:hAnsi="Arial" w:cs="Arial"/>
          <w:sz w:val="22"/>
        </w:rPr>
        <w:t xml:space="preserve">Colombia Compra Eficiente responde su consulta del </w:t>
      </w:r>
      <w:r w:rsidR="00EE0251" w:rsidRPr="004066E7">
        <w:rPr>
          <w:rFonts w:ascii="Arial" w:hAnsi="Arial" w:cs="Arial"/>
          <w:sz w:val="22"/>
        </w:rPr>
        <w:t>15</w:t>
      </w:r>
      <w:r w:rsidR="00EC0E7E" w:rsidRPr="004066E7">
        <w:rPr>
          <w:rFonts w:ascii="Arial" w:hAnsi="Arial" w:cs="Arial"/>
          <w:sz w:val="22"/>
        </w:rPr>
        <w:t xml:space="preserve"> de </w:t>
      </w:r>
      <w:r w:rsidR="00EE0251" w:rsidRPr="004066E7">
        <w:rPr>
          <w:rFonts w:ascii="Arial" w:hAnsi="Arial" w:cs="Arial"/>
          <w:sz w:val="22"/>
        </w:rPr>
        <w:t xml:space="preserve">octubre </w:t>
      </w:r>
      <w:r w:rsidRPr="004066E7">
        <w:rPr>
          <w:rFonts w:ascii="Arial" w:hAnsi="Arial" w:cs="Arial"/>
          <w:sz w:val="22"/>
        </w:rPr>
        <w:t>de 202</w:t>
      </w:r>
      <w:r w:rsidR="00E57660" w:rsidRPr="004066E7">
        <w:rPr>
          <w:rFonts w:ascii="Arial" w:hAnsi="Arial" w:cs="Arial"/>
          <w:sz w:val="22"/>
        </w:rPr>
        <w:t>1</w:t>
      </w:r>
      <w:r w:rsidRPr="004066E7">
        <w:rPr>
          <w:rFonts w:ascii="Arial" w:hAnsi="Arial" w:cs="Arial"/>
          <w:sz w:val="22"/>
        </w:rPr>
        <w:t xml:space="preserve">, en ejercicio de la competencia otorgada por el numeral 8 del artículo 11 y el numeral 5 del artículo 3 del Decreto Ley 4170 de 2011. </w:t>
      </w:r>
    </w:p>
    <w:p w14:paraId="72382DCC" w14:textId="77777777" w:rsidR="00F1108B" w:rsidRPr="004066E7" w:rsidRDefault="00F1108B" w:rsidP="00E669B0">
      <w:pPr>
        <w:pStyle w:val="Prrafodelista"/>
        <w:tabs>
          <w:tab w:val="left" w:pos="284"/>
        </w:tabs>
        <w:spacing w:line="276" w:lineRule="auto"/>
        <w:ind w:left="0"/>
        <w:jc w:val="both"/>
        <w:rPr>
          <w:rFonts w:ascii="Arial" w:hAnsi="Arial" w:cs="Arial"/>
          <w:sz w:val="22"/>
        </w:rPr>
      </w:pPr>
    </w:p>
    <w:p w14:paraId="2C3DAA31" w14:textId="1F53E0F2" w:rsidR="00F1108B" w:rsidRPr="004066E7" w:rsidRDefault="00F1108B" w:rsidP="00D557A4">
      <w:pPr>
        <w:pStyle w:val="Prrafodelista"/>
        <w:tabs>
          <w:tab w:val="left" w:pos="284"/>
        </w:tabs>
        <w:spacing w:line="276" w:lineRule="auto"/>
        <w:ind w:left="0"/>
        <w:jc w:val="both"/>
        <w:rPr>
          <w:rFonts w:ascii="Arial" w:eastAsia="Calibri" w:hAnsi="Arial" w:cs="Arial"/>
          <w:b/>
          <w:sz w:val="22"/>
        </w:rPr>
      </w:pPr>
      <w:r w:rsidRPr="004066E7">
        <w:rPr>
          <w:rFonts w:ascii="Arial" w:eastAsia="Calibri" w:hAnsi="Arial" w:cs="Arial"/>
          <w:b/>
          <w:sz w:val="22"/>
        </w:rPr>
        <w:t>1.</w:t>
      </w:r>
      <w:r w:rsidRPr="004066E7">
        <w:rPr>
          <w:rFonts w:ascii="Arial" w:eastAsia="Calibri" w:hAnsi="Arial" w:cs="Arial"/>
          <w:sz w:val="22"/>
        </w:rPr>
        <w:t xml:space="preserve"> </w:t>
      </w:r>
      <w:r w:rsidRPr="004066E7">
        <w:rPr>
          <w:rFonts w:ascii="Arial" w:eastAsia="Calibri" w:hAnsi="Arial" w:cs="Arial"/>
          <w:b/>
          <w:sz w:val="22"/>
        </w:rPr>
        <w:t xml:space="preserve">Problema planteado </w:t>
      </w:r>
    </w:p>
    <w:p w14:paraId="1052CB86" w14:textId="77777777" w:rsidR="00DF453C" w:rsidRPr="004066E7" w:rsidRDefault="00DF453C" w:rsidP="00E669B0">
      <w:pPr>
        <w:pStyle w:val="Prrafodelista"/>
        <w:tabs>
          <w:tab w:val="left" w:pos="284"/>
        </w:tabs>
        <w:spacing w:line="276" w:lineRule="auto"/>
        <w:ind w:left="0"/>
        <w:jc w:val="both"/>
        <w:rPr>
          <w:rFonts w:ascii="Arial" w:eastAsia="Calibri" w:hAnsi="Arial" w:cs="Arial"/>
          <w:b/>
          <w:sz w:val="22"/>
        </w:rPr>
      </w:pPr>
    </w:p>
    <w:p w14:paraId="0924F2F3" w14:textId="39246869" w:rsidR="00A854AC" w:rsidRPr="004066E7" w:rsidRDefault="00A854AC" w:rsidP="00A854AC">
      <w:pPr>
        <w:spacing w:line="276" w:lineRule="auto"/>
        <w:jc w:val="both"/>
        <w:rPr>
          <w:rFonts w:ascii="Arial" w:hAnsi="Arial" w:cs="Arial"/>
          <w:color w:val="000000" w:themeColor="text1"/>
          <w:sz w:val="22"/>
          <w:lang w:val="es-ES_tradnl"/>
        </w:rPr>
      </w:pPr>
      <w:r w:rsidRPr="004066E7">
        <w:rPr>
          <w:rFonts w:ascii="Arial" w:hAnsi="Arial" w:cs="Arial"/>
          <w:color w:val="000000" w:themeColor="text1"/>
          <w:sz w:val="22"/>
          <w:lang w:val="es-ES_tradnl"/>
        </w:rPr>
        <w:t>Usted formula la siguiente consulta</w:t>
      </w:r>
      <w:r w:rsidR="00EE0251" w:rsidRPr="004066E7">
        <w:rPr>
          <w:rFonts w:ascii="Arial" w:hAnsi="Arial" w:cs="Arial"/>
          <w:color w:val="000000" w:themeColor="text1"/>
          <w:sz w:val="22"/>
          <w:lang w:val="es-ES_tradnl"/>
        </w:rPr>
        <w:t>, respecto de las tipologías contractuales en los procesos de compra pública para la Innovación y la Circular No. 6 del 27 de septiembre de 2013</w:t>
      </w:r>
      <w:r w:rsidRPr="004066E7">
        <w:rPr>
          <w:rFonts w:ascii="Arial" w:hAnsi="Arial" w:cs="Arial"/>
          <w:color w:val="000000" w:themeColor="text1"/>
          <w:sz w:val="22"/>
          <w:lang w:val="es-ES_tradnl"/>
        </w:rPr>
        <w:t xml:space="preserve">: </w:t>
      </w:r>
    </w:p>
    <w:p w14:paraId="6989140A" w14:textId="77777777" w:rsidR="00A854AC" w:rsidRPr="004066E7" w:rsidRDefault="00A854AC" w:rsidP="00A854AC">
      <w:pPr>
        <w:spacing w:line="276" w:lineRule="auto"/>
        <w:jc w:val="both"/>
        <w:rPr>
          <w:rFonts w:ascii="Arial" w:hAnsi="Arial" w:cs="Arial"/>
          <w:color w:val="000000" w:themeColor="text1"/>
          <w:sz w:val="22"/>
          <w:lang w:val="es-ES_tradnl"/>
        </w:rPr>
      </w:pPr>
    </w:p>
    <w:p w14:paraId="038E2609" w14:textId="77777777" w:rsidR="00EE0251" w:rsidRPr="004066E7" w:rsidRDefault="00991BE0" w:rsidP="00EE025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w:t>
      </w:r>
      <w:r w:rsidR="00EE0251" w:rsidRPr="004066E7">
        <w:rPr>
          <w:rFonts w:ascii="Arial" w:hAnsi="Arial" w:cs="Arial"/>
          <w:color w:val="000000" w:themeColor="text1"/>
          <w:sz w:val="21"/>
          <w:szCs w:val="21"/>
          <w:lang w:val="es-ES_tradnl"/>
        </w:rPr>
        <w:t xml:space="preserve">En dicha circular, se describen tres (3) tipos de contratos: </w:t>
      </w:r>
    </w:p>
    <w:p w14:paraId="7F55D45F" w14:textId="77777777" w:rsidR="00EE0251" w:rsidRPr="004066E7" w:rsidRDefault="00EE0251" w:rsidP="00EE025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a) Convenio especial de cooperación</w:t>
      </w:r>
    </w:p>
    <w:p w14:paraId="1AC14E0E" w14:textId="77777777" w:rsidR="00EE0251" w:rsidRPr="004066E7" w:rsidRDefault="00EE0251" w:rsidP="00EE025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b) Contratos de financiamiento</w:t>
      </w:r>
    </w:p>
    <w:p w14:paraId="04DC2736" w14:textId="77777777" w:rsidR="00EE0251" w:rsidRPr="004066E7" w:rsidRDefault="00EE0251" w:rsidP="00EE025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 xml:space="preserve">c) Contratos para la administración de proyectos. </w:t>
      </w:r>
    </w:p>
    <w:p w14:paraId="24C3A765" w14:textId="77777777" w:rsidR="00EE0251" w:rsidRPr="004066E7" w:rsidRDefault="00EE0251" w:rsidP="00EE0251">
      <w:pPr>
        <w:tabs>
          <w:tab w:val="left" w:pos="426"/>
        </w:tabs>
        <w:ind w:left="709" w:right="709"/>
        <w:jc w:val="both"/>
        <w:rPr>
          <w:rFonts w:ascii="Arial" w:hAnsi="Arial" w:cs="Arial"/>
          <w:color w:val="000000" w:themeColor="text1"/>
          <w:sz w:val="21"/>
          <w:szCs w:val="21"/>
          <w:lang w:val="es-ES_tradnl"/>
        </w:rPr>
      </w:pPr>
    </w:p>
    <w:p w14:paraId="4A29BE12" w14:textId="581497AF" w:rsidR="007E4E80" w:rsidRPr="004066E7" w:rsidRDefault="00EE0251" w:rsidP="00EE025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 xml:space="preserve">Así las cosas, solicito de manera respetuosa aclarar si esta lista es taxativa; es decir, si una entidad pública que precise celebrar un contrato en el marco del Proceso de Compra Pública para la Innovación, NO puede hacer uso de ninguna </w:t>
      </w:r>
      <w:r w:rsidRPr="004066E7">
        <w:rPr>
          <w:rFonts w:ascii="Arial" w:hAnsi="Arial" w:cs="Arial"/>
          <w:color w:val="000000" w:themeColor="text1"/>
          <w:sz w:val="21"/>
          <w:szCs w:val="21"/>
          <w:lang w:val="es-ES_tradnl"/>
        </w:rPr>
        <w:lastRenderedPageBreak/>
        <w:t>de las otras tipologías contractuales contenidas en el ordenamiento jurídico, sino que debe limitarse a las tres que menciona la referida circular</w:t>
      </w:r>
      <w:r w:rsidR="00991BE0" w:rsidRPr="004066E7">
        <w:rPr>
          <w:rFonts w:ascii="Arial" w:hAnsi="Arial" w:cs="Arial"/>
          <w:color w:val="000000" w:themeColor="text1"/>
          <w:sz w:val="21"/>
          <w:szCs w:val="21"/>
          <w:lang w:val="es-ES_tradnl"/>
        </w:rPr>
        <w:t>».</w:t>
      </w:r>
    </w:p>
    <w:p w14:paraId="130E3C84" w14:textId="77777777" w:rsidR="00991BE0" w:rsidRPr="004066E7" w:rsidRDefault="00991BE0" w:rsidP="00991BE0">
      <w:pPr>
        <w:tabs>
          <w:tab w:val="left" w:pos="426"/>
        </w:tabs>
        <w:ind w:left="709" w:right="709"/>
        <w:jc w:val="both"/>
        <w:rPr>
          <w:rFonts w:ascii="Arial" w:eastAsia="Calibri" w:hAnsi="Arial" w:cs="Arial"/>
          <w:sz w:val="22"/>
          <w:lang w:val="es-CO"/>
        </w:rPr>
      </w:pPr>
    </w:p>
    <w:p w14:paraId="08FCE370" w14:textId="77777777" w:rsidR="00F1108B" w:rsidRPr="004066E7" w:rsidRDefault="00F1108B" w:rsidP="00E669B0">
      <w:pPr>
        <w:tabs>
          <w:tab w:val="left" w:pos="426"/>
        </w:tabs>
        <w:spacing w:line="276" w:lineRule="auto"/>
        <w:jc w:val="both"/>
        <w:rPr>
          <w:rFonts w:ascii="Arial" w:eastAsia="Calibri" w:hAnsi="Arial" w:cs="Arial"/>
          <w:b/>
          <w:sz w:val="22"/>
        </w:rPr>
      </w:pPr>
      <w:r w:rsidRPr="004066E7">
        <w:rPr>
          <w:rFonts w:ascii="Arial" w:eastAsia="Calibri" w:hAnsi="Arial" w:cs="Arial"/>
          <w:b/>
          <w:sz w:val="22"/>
        </w:rPr>
        <w:t>2.</w:t>
      </w:r>
      <w:r w:rsidRPr="004066E7">
        <w:rPr>
          <w:rFonts w:ascii="Arial" w:eastAsia="Calibri" w:hAnsi="Arial" w:cs="Arial"/>
          <w:sz w:val="22"/>
        </w:rPr>
        <w:t xml:space="preserve"> </w:t>
      </w:r>
      <w:r w:rsidRPr="004066E7">
        <w:rPr>
          <w:rFonts w:ascii="Arial" w:eastAsia="Calibri" w:hAnsi="Arial" w:cs="Arial"/>
          <w:b/>
          <w:sz w:val="22"/>
        </w:rPr>
        <w:t>Consideraciones</w:t>
      </w:r>
    </w:p>
    <w:p w14:paraId="5FB76F54" w14:textId="4EBC87F9" w:rsidR="00251553" w:rsidRPr="004066E7" w:rsidRDefault="00251553" w:rsidP="00B020E9">
      <w:pPr>
        <w:spacing w:before="120" w:after="120" w:line="276" w:lineRule="auto"/>
        <w:jc w:val="both"/>
        <w:rPr>
          <w:rFonts w:ascii="Arial" w:eastAsia="Calibri" w:hAnsi="Arial" w:cs="Arial"/>
          <w:bCs/>
          <w:sz w:val="22"/>
          <w:lang w:val="es-ES_tradnl"/>
        </w:rPr>
      </w:pPr>
      <w:r w:rsidRPr="004066E7">
        <w:rPr>
          <w:rFonts w:ascii="Arial" w:eastAsia="Calibri" w:hAnsi="Arial" w:cs="Arial"/>
          <w:bCs/>
          <w:sz w:val="22"/>
          <w:lang w:val="es-ES_tradnl"/>
        </w:rPr>
        <w:t xml:space="preserve">En primer lugar se aclara que, tratándose de Circular Externa No. 6 </w:t>
      </w:r>
      <w:r w:rsidRPr="004066E7">
        <w:rPr>
          <w:rFonts w:ascii="Arial" w:hAnsi="Arial" w:cs="Arial"/>
          <w:color w:val="000000" w:themeColor="text1"/>
          <w:sz w:val="22"/>
          <w:lang w:val="es-ES_tradnl"/>
        </w:rPr>
        <w:t>del 27 de septiembre de 2013</w:t>
      </w:r>
      <w:r w:rsidRPr="004066E7">
        <w:rPr>
          <w:rFonts w:ascii="Arial" w:eastAsia="Calibri" w:hAnsi="Arial" w:cs="Arial"/>
          <w:bCs/>
          <w:sz w:val="22"/>
          <w:lang w:val="es-ES_tradnl"/>
        </w:rPr>
        <w:t xml:space="preserve">, la Circular Externa Única en el numeral 18 establece que la misma «sustituye integralmente todas las circulares que Colombia Compra Eficiente haya expedido con anterioridad a su publicación», por lo tanto, la Circular Externa No. 6 no se encuentra vigente y en ese sentido para la temática bajo estudio habrá que remitirse a lo establecido por la Circular Externa Única, sin perjuicio de las precisiones </w:t>
      </w:r>
      <w:r w:rsidR="00C86300" w:rsidRPr="004066E7">
        <w:rPr>
          <w:rFonts w:ascii="Arial" w:eastAsia="Calibri" w:hAnsi="Arial" w:cs="Arial"/>
          <w:bCs/>
          <w:sz w:val="22"/>
          <w:lang w:val="es-ES_tradnl"/>
        </w:rPr>
        <w:t xml:space="preserve">que se realicen </w:t>
      </w:r>
      <w:r w:rsidRPr="004066E7">
        <w:rPr>
          <w:rFonts w:ascii="Arial" w:eastAsia="Calibri" w:hAnsi="Arial" w:cs="Arial"/>
          <w:bCs/>
          <w:sz w:val="22"/>
          <w:lang w:val="es-ES_tradnl"/>
        </w:rPr>
        <w:t>en este concepto.</w:t>
      </w:r>
    </w:p>
    <w:p w14:paraId="367EB0B4" w14:textId="30487B76" w:rsidR="00974C92" w:rsidRPr="004066E7" w:rsidRDefault="00251553" w:rsidP="00B020E9">
      <w:pPr>
        <w:spacing w:line="276" w:lineRule="auto"/>
        <w:ind w:firstLine="708"/>
        <w:jc w:val="both"/>
        <w:rPr>
          <w:rFonts w:ascii="Arial" w:eastAsia="Calibri" w:hAnsi="Arial" w:cs="Arial"/>
          <w:color w:val="000000" w:themeColor="text1"/>
          <w:sz w:val="22"/>
          <w:lang w:val="es-ES_tradnl"/>
        </w:rPr>
      </w:pPr>
      <w:r w:rsidRPr="004066E7">
        <w:rPr>
          <w:rFonts w:ascii="Arial" w:hAnsi="Arial" w:cs="Arial"/>
          <w:color w:val="000000" w:themeColor="text1"/>
          <w:sz w:val="22"/>
        </w:rPr>
        <w:t>Por otra parte, l</w:t>
      </w:r>
      <w:r w:rsidR="00974C92" w:rsidRPr="004066E7">
        <w:rPr>
          <w:rFonts w:ascii="Arial" w:hAnsi="Arial" w:cs="Arial"/>
          <w:color w:val="000000" w:themeColor="text1"/>
          <w:sz w:val="22"/>
        </w:rPr>
        <w:t xml:space="preserve">a Agencia Nacional de Contratación Pública </w:t>
      </w:r>
      <w:r w:rsidR="00C46EA9" w:rsidRPr="004066E7">
        <w:rPr>
          <w:rFonts w:ascii="Arial" w:hAnsi="Arial" w:cs="Arial"/>
          <w:color w:val="000000" w:themeColor="text1"/>
          <w:sz w:val="22"/>
        </w:rPr>
        <w:t>–</w:t>
      </w:r>
      <w:r w:rsidR="00974C92" w:rsidRPr="004066E7">
        <w:rPr>
          <w:rFonts w:ascii="Arial" w:hAnsi="Arial" w:cs="Arial"/>
          <w:color w:val="000000" w:themeColor="text1"/>
          <w:sz w:val="22"/>
        </w:rPr>
        <w:t xml:space="preserve"> Colombia Compra Eficiente, </w:t>
      </w:r>
      <w:r w:rsidR="00974C92" w:rsidRPr="004066E7">
        <w:rPr>
          <w:rFonts w:ascii="Arial" w:eastAsia="Calibri" w:hAnsi="Arial" w:cs="Arial"/>
          <w:color w:val="000000" w:themeColor="text1"/>
          <w:sz w:val="22"/>
        </w:rPr>
        <w:t>en el concepto</w:t>
      </w:r>
      <w:r w:rsidR="00F6159E" w:rsidRPr="004066E7">
        <w:rPr>
          <w:rFonts w:ascii="Arial" w:eastAsia="Calibri" w:hAnsi="Arial" w:cs="Arial"/>
          <w:color w:val="000000" w:themeColor="text1"/>
          <w:sz w:val="22"/>
        </w:rPr>
        <w:t xml:space="preserve"> </w:t>
      </w:r>
      <w:r w:rsidR="00974C92" w:rsidRPr="004066E7">
        <w:rPr>
          <w:rFonts w:ascii="Arial" w:eastAsia="Calibri" w:hAnsi="Arial" w:cs="Arial"/>
          <w:color w:val="000000" w:themeColor="text1"/>
          <w:sz w:val="22"/>
        </w:rPr>
        <w:t>C-066 del 3 de marzo de 2020, reiterado y desarrollado en los conceptos C-084 del 11 de marzo de 2020</w:t>
      </w:r>
      <w:r w:rsidR="00C46EA9" w:rsidRPr="004066E7">
        <w:rPr>
          <w:rFonts w:ascii="Arial" w:eastAsia="Calibri" w:hAnsi="Arial" w:cs="Arial"/>
          <w:color w:val="000000" w:themeColor="text1"/>
          <w:sz w:val="22"/>
        </w:rPr>
        <w:t xml:space="preserve">, </w:t>
      </w:r>
      <w:r w:rsidR="00974C92" w:rsidRPr="004066E7">
        <w:rPr>
          <w:rFonts w:ascii="Arial" w:eastAsia="Calibri" w:hAnsi="Arial" w:cs="Arial"/>
          <w:color w:val="000000" w:themeColor="text1"/>
          <w:sz w:val="22"/>
        </w:rPr>
        <w:t>C-236 del 6 de abril de 2020</w:t>
      </w:r>
      <w:r w:rsidR="00803F76" w:rsidRPr="004066E7">
        <w:rPr>
          <w:rFonts w:ascii="Arial" w:eastAsia="Calibri" w:hAnsi="Arial" w:cs="Arial"/>
          <w:color w:val="000000" w:themeColor="text1"/>
          <w:sz w:val="22"/>
        </w:rPr>
        <w:t>,</w:t>
      </w:r>
      <w:r w:rsidR="00C46EA9" w:rsidRPr="004066E7">
        <w:rPr>
          <w:rFonts w:ascii="Arial" w:eastAsia="Calibri" w:hAnsi="Arial" w:cs="Arial"/>
          <w:color w:val="000000" w:themeColor="text1"/>
          <w:sz w:val="22"/>
        </w:rPr>
        <w:t xml:space="preserve"> C-</w:t>
      </w:r>
      <w:r w:rsidR="00D31BE6" w:rsidRPr="004066E7">
        <w:rPr>
          <w:rFonts w:ascii="Arial" w:eastAsia="Calibri" w:hAnsi="Arial" w:cs="Arial"/>
          <w:color w:val="000000" w:themeColor="text1"/>
          <w:sz w:val="22"/>
        </w:rPr>
        <w:t>036</w:t>
      </w:r>
      <w:r w:rsidR="00170A22" w:rsidRPr="004066E7">
        <w:rPr>
          <w:rFonts w:ascii="Arial" w:eastAsia="Calibri" w:hAnsi="Arial" w:cs="Arial"/>
          <w:color w:val="000000" w:themeColor="text1"/>
          <w:sz w:val="22"/>
        </w:rPr>
        <w:t xml:space="preserve"> del 2 de marzo de 2021</w:t>
      </w:r>
      <w:r w:rsidR="00803F76" w:rsidRPr="004066E7">
        <w:rPr>
          <w:rFonts w:ascii="Arial" w:eastAsia="Calibri" w:hAnsi="Arial" w:cs="Arial"/>
          <w:color w:val="000000" w:themeColor="text1"/>
          <w:sz w:val="22"/>
        </w:rPr>
        <w:t xml:space="preserve"> y C-346 del 30 de junio de 2021</w:t>
      </w:r>
      <w:r w:rsidR="00170A22" w:rsidRPr="004066E7">
        <w:rPr>
          <w:rFonts w:ascii="Arial" w:eastAsia="Calibri" w:hAnsi="Arial" w:cs="Arial"/>
          <w:color w:val="000000" w:themeColor="text1"/>
          <w:sz w:val="22"/>
        </w:rPr>
        <w:t xml:space="preserve">, </w:t>
      </w:r>
      <w:r w:rsidR="00974C92" w:rsidRPr="004066E7">
        <w:rPr>
          <w:rFonts w:ascii="Arial" w:eastAsia="Calibri" w:hAnsi="Arial" w:cs="Arial"/>
          <w:color w:val="000000" w:themeColor="text1"/>
          <w:sz w:val="22"/>
        </w:rPr>
        <w:t xml:space="preserve">estudió las actividades de ciencia, tecnología e innovación. </w:t>
      </w:r>
      <w:r w:rsidR="00BC007C" w:rsidRPr="004066E7">
        <w:rPr>
          <w:rFonts w:ascii="Arial" w:eastAsia="Calibri" w:hAnsi="Arial" w:cs="Arial"/>
          <w:color w:val="000000" w:themeColor="text1"/>
          <w:sz w:val="22"/>
        </w:rPr>
        <w:t>Las ideas expuestas en dichas oportunidades serán reiteradas a continuación y</w:t>
      </w:r>
      <w:r w:rsidR="00FF232F" w:rsidRPr="004066E7">
        <w:rPr>
          <w:rFonts w:ascii="Arial" w:eastAsia="Calibri" w:hAnsi="Arial" w:cs="Arial"/>
          <w:color w:val="000000" w:themeColor="text1"/>
          <w:sz w:val="22"/>
        </w:rPr>
        <w:t>,</w:t>
      </w:r>
      <w:r w:rsidR="00BC007C" w:rsidRPr="004066E7">
        <w:rPr>
          <w:rFonts w:ascii="Arial" w:eastAsia="Calibri" w:hAnsi="Arial" w:cs="Arial"/>
          <w:color w:val="000000" w:themeColor="text1"/>
          <w:sz w:val="22"/>
        </w:rPr>
        <w:t xml:space="preserve"> </w:t>
      </w:r>
      <w:r w:rsidR="00FF232F" w:rsidRPr="004066E7">
        <w:rPr>
          <w:rFonts w:ascii="Arial" w:eastAsia="Calibri" w:hAnsi="Arial" w:cs="Arial"/>
          <w:color w:val="000000" w:themeColor="text1"/>
          <w:sz w:val="22"/>
        </w:rPr>
        <w:t>así mismo, se complementarán</w:t>
      </w:r>
      <w:r w:rsidR="006F1872" w:rsidRPr="004066E7">
        <w:rPr>
          <w:rFonts w:ascii="Arial" w:eastAsia="Calibri" w:hAnsi="Arial" w:cs="Arial"/>
          <w:color w:val="000000" w:themeColor="text1"/>
          <w:sz w:val="22"/>
        </w:rPr>
        <w:t>,</w:t>
      </w:r>
      <w:r w:rsidR="00FF232F" w:rsidRPr="004066E7">
        <w:rPr>
          <w:rFonts w:ascii="Arial" w:eastAsia="Calibri" w:hAnsi="Arial" w:cs="Arial"/>
          <w:color w:val="000000" w:themeColor="text1"/>
          <w:sz w:val="22"/>
        </w:rPr>
        <w:t xml:space="preserve"> para abordar las preguntas contenidas en la consulta.</w:t>
      </w:r>
    </w:p>
    <w:p w14:paraId="4FD0589D" w14:textId="77777777" w:rsidR="001434A4" w:rsidRPr="004066E7" w:rsidRDefault="001434A4" w:rsidP="001434A4">
      <w:pPr>
        <w:spacing w:line="276" w:lineRule="auto"/>
        <w:jc w:val="both"/>
        <w:rPr>
          <w:rFonts w:ascii="Arial" w:eastAsia="Calibri" w:hAnsi="Arial" w:cs="Arial"/>
          <w:color w:val="000000" w:themeColor="text1"/>
          <w:sz w:val="22"/>
          <w:lang w:val="es-ES_tradnl"/>
        </w:rPr>
      </w:pPr>
    </w:p>
    <w:p w14:paraId="06E46B4F" w14:textId="77777777" w:rsidR="001434A4" w:rsidRPr="004066E7" w:rsidRDefault="001434A4" w:rsidP="001434A4">
      <w:pPr>
        <w:tabs>
          <w:tab w:val="left" w:pos="426"/>
        </w:tabs>
        <w:spacing w:line="276" w:lineRule="auto"/>
        <w:jc w:val="both"/>
        <w:rPr>
          <w:rFonts w:ascii="Arial" w:eastAsia="Calibri" w:hAnsi="Arial" w:cs="Arial"/>
          <w:b/>
          <w:color w:val="000000" w:themeColor="text1"/>
          <w:sz w:val="22"/>
        </w:rPr>
      </w:pPr>
      <w:r w:rsidRPr="004066E7">
        <w:rPr>
          <w:rFonts w:ascii="Arial" w:eastAsia="Calibri" w:hAnsi="Arial" w:cs="Arial"/>
          <w:b/>
          <w:color w:val="000000" w:themeColor="text1"/>
          <w:sz w:val="22"/>
        </w:rPr>
        <w:t xml:space="preserve">2.1. </w:t>
      </w:r>
      <w:r w:rsidRPr="004066E7">
        <w:rPr>
          <w:rFonts w:ascii="Arial" w:hAnsi="Arial" w:cs="Arial"/>
          <w:b/>
          <w:bCs/>
          <w:color w:val="000000" w:themeColor="text1"/>
          <w:sz w:val="22"/>
        </w:rPr>
        <w:t>Marco legal para la contratación de las actividades de ciencia, tecnología e innovación</w:t>
      </w:r>
    </w:p>
    <w:p w14:paraId="03F57B3D" w14:textId="77777777" w:rsidR="001434A4" w:rsidRPr="004066E7" w:rsidRDefault="001434A4" w:rsidP="001434A4">
      <w:pPr>
        <w:tabs>
          <w:tab w:val="left" w:pos="426"/>
        </w:tabs>
        <w:spacing w:line="276" w:lineRule="auto"/>
        <w:jc w:val="both"/>
        <w:rPr>
          <w:rFonts w:ascii="Arial" w:eastAsia="Calibri" w:hAnsi="Arial" w:cs="Arial"/>
          <w:b/>
          <w:color w:val="000000" w:themeColor="text1"/>
          <w:sz w:val="22"/>
        </w:rPr>
      </w:pPr>
    </w:p>
    <w:p w14:paraId="7B8575D9" w14:textId="03E2EB40" w:rsidR="001434A4" w:rsidRPr="004066E7" w:rsidRDefault="001434A4" w:rsidP="001434A4">
      <w:pPr>
        <w:spacing w:after="120" w:line="276" w:lineRule="auto"/>
        <w:jc w:val="both"/>
        <w:rPr>
          <w:rFonts w:ascii="Arial" w:hAnsi="Arial" w:cs="Arial"/>
          <w:color w:val="000000" w:themeColor="text1"/>
          <w:sz w:val="22"/>
        </w:rPr>
      </w:pPr>
      <w:r w:rsidRPr="004066E7">
        <w:rPr>
          <w:rFonts w:ascii="Arial" w:hAnsi="Arial" w:cs="Arial"/>
          <w:color w:val="000000" w:themeColor="text1"/>
          <w:sz w:val="22"/>
        </w:rPr>
        <w:t xml:space="preserve">Las actividades de ciencia, tecnología e innovación están previstas en cuatro </w:t>
      </w:r>
      <w:r w:rsidR="00310967" w:rsidRPr="004066E7">
        <w:rPr>
          <w:rFonts w:ascii="Arial" w:hAnsi="Arial" w:cs="Arial"/>
          <w:color w:val="000000" w:themeColor="text1"/>
          <w:sz w:val="22"/>
        </w:rPr>
        <w:t>cuerpos normativos</w:t>
      </w:r>
      <w:r w:rsidR="00E9744A" w:rsidRPr="004066E7">
        <w:rPr>
          <w:rFonts w:ascii="Arial" w:hAnsi="Arial" w:cs="Arial"/>
          <w:color w:val="000000" w:themeColor="text1"/>
          <w:sz w:val="22"/>
        </w:rPr>
        <w:t>, que se sintetizan de la siguiente manera</w:t>
      </w:r>
      <w:r w:rsidRPr="004066E7">
        <w:rPr>
          <w:rFonts w:ascii="Arial" w:hAnsi="Arial" w:cs="Arial"/>
          <w:color w:val="000000" w:themeColor="text1"/>
          <w:sz w:val="22"/>
        </w:rPr>
        <w:t xml:space="preserve">: </w:t>
      </w:r>
      <w:r w:rsidRPr="004066E7">
        <w:rPr>
          <w:rFonts w:ascii="Arial" w:hAnsi="Arial" w:cs="Arial"/>
          <w:i/>
          <w:iCs/>
          <w:color w:val="000000" w:themeColor="text1"/>
          <w:sz w:val="22"/>
        </w:rPr>
        <w:t>i)</w:t>
      </w:r>
      <w:r w:rsidRPr="004066E7">
        <w:rPr>
          <w:rFonts w:ascii="Arial" w:hAnsi="Arial" w:cs="Arial"/>
          <w:color w:val="000000" w:themeColor="text1"/>
          <w:sz w:val="22"/>
        </w:rPr>
        <w:t xml:space="preserve">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w:t>
      </w:r>
      <w:r w:rsidR="00E9744A" w:rsidRPr="004066E7">
        <w:rPr>
          <w:rFonts w:ascii="Arial" w:hAnsi="Arial" w:cs="Arial"/>
          <w:color w:val="000000" w:themeColor="text1"/>
          <w:sz w:val="22"/>
        </w:rPr>
        <w:t>.</w:t>
      </w:r>
      <w:r w:rsidRPr="004066E7">
        <w:rPr>
          <w:rFonts w:ascii="Arial" w:hAnsi="Arial" w:cs="Arial"/>
          <w:color w:val="000000" w:themeColor="text1"/>
          <w:sz w:val="22"/>
        </w:rPr>
        <w:t xml:space="preserve"> </w:t>
      </w:r>
      <w:r w:rsidRPr="004066E7">
        <w:rPr>
          <w:rFonts w:ascii="Arial" w:hAnsi="Arial" w:cs="Arial"/>
          <w:i/>
          <w:iCs/>
          <w:color w:val="000000" w:themeColor="text1"/>
          <w:sz w:val="22"/>
        </w:rPr>
        <w:t>ii)</w:t>
      </w:r>
      <w:r w:rsidRPr="004066E7">
        <w:rPr>
          <w:rFonts w:ascii="Arial" w:hAnsi="Arial" w:cs="Arial"/>
          <w:color w:val="000000" w:themeColor="text1"/>
          <w:sz w:val="22"/>
        </w:rPr>
        <w:t xml:space="preserve"> </w:t>
      </w:r>
      <w:r w:rsidR="00E9744A" w:rsidRPr="004066E7">
        <w:rPr>
          <w:rFonts w:ascii="Arial" w:hAnsi="Arial" w:cs="Arial"/>
          <w:color w:val="000000" w:themeColor="text1"/>
          <w:sz w:val="22"/>
        </w:rPr>
        <w:t>E</w:t>
      </w:r>
      <w:r w:rsidRPr="004066E7">
        <w:rPr>
          <w:rFonts w:ascii="Arial" w:hAnsi="Arial" w:cs="Arial"/>
          <w:color w:val="000000" w:themeColor="text1"/>
          <w:sz w:val="22"/>
        </w:rPr>
        <w:t>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w:t>
      </w:r>
      <w:r w:rsidR="00E9744A" w:rsidRPr="004066E7">
        <w:rPr>
          <w:rFonts w:ascii="Arial" w:hAnsi="Arial" w:cs="Arial"/>
          <w:color w:val="000000" w:themeColor="text1"/>
          <w:sz w:val="22"/>
        </w:rPr>
        <w:t>.</w:t>
      </w:r>
      <w:r w:rsidRPr="004066E7">
        <w:rPr>
          <w:rFonts w:ascii="Arial" w:hAnsi="Arial" w:cs="Arial"/>
          <w:color w:val="000000" w:themeColor="text1"/>
          <w:sz w:val="22"/>
        </w:rPr>
        <w:t xml:space="preserve"> </w:t>
      </w:r>
      <w:r w:rsidRPr="004066E7">
        <w:rPr>
          <w:rFonts w:ascii="Arial" w:hAnsi="Arial" w:cs="Arial"/>
          <w:i/>
          <w:iCs/>
          <w:color w:val="000000" w:themeColor="text1"/>
          <w:sz w:val="22"/>
        </w:rPr>
        <w:t>iii)</w:t>
      </w:r>
      <w:r w:rsidRPr="004066E7">
        <w:rPr>
          <w:rFonts w:ascii="Arial" w:hAnsi="Arial" w:cs="Arial"/>
          <w:color w:val="000000" w:themeColor="text1"/>
          <w:sz w:val="22"/>
        </w:rPr>
        <w:t xml:space="preserve"> </w:t>
      </w:r>
      <w:r w:rsidR="00E9744A" w:rsidRPr="004066E7">
        <w:rPr>
          <w:rFonts w:ascii="Arial" w:hAnsi="Arial" w:cs="Arial"/>
          <w:color w:val="000000" w:themeColor="text1"/>
          <w:sz w:val="22"/>
        </w:rPr>
        <w:t>L</w:t>
      </w:r>
      <w:r w:rsidRPr="004066E7">
        <w:rPr>
          <w:rFonts w:ascii="Arial" w:hAnsi="Arial" w:cs="Arial"/>
          <w:color w:val="000000" w:themeColor="text1"/>
          <w:sz w:val="22"/>
        </w:rPr>
        <w:t>a Ley 1286 de 2009</w:t>
      </w:r>
      <w:r w:rsidR="00E9744A" w:rsidRPr="004066E7">
        <w:rPr>
          <w:rFonts w:ascii="Arial" w:hAnsi="Arial" w:cs="Arial"/>
          <w:color w:val="000000" w:themeColor="text1"/>
          <w:sz w:val="22"/>
        </w:rPr>
        <w:t>. Y</w:t>
      </w:r>
      <w:r w:rsidRPr="004066E7">
        <w:rPr>
          <w:rFonts w:ascii="Arial" w:hAnsi="Arial" w:cs="Arial"/>
          <w:color w:val="000000" w:themeColor="text1"/>
          <w:sz w:val="22"/>
        </w:rPr>
        <w:t xml:space="preserve"> </w:t>
      </w:r>
      <w:r w:rsidRPr="004066E7">
        <w:rPr>
          <w:rFonts w:ascii="Arial" w:hAnsi="Arial" w:cs="Arial"/>
          <w:i/>
          <w:iCs/>
          <w:color w:val="000000" w:themeColor="text1"/>
          <w:sz w:val="22"/>
        </w:rPr>
        <w:t>iv)</w:t>
      </w:r>
      <w:r w:rsidRPr="004066E7">
        <w:rPr>
          <w:rFonts w:ascii="Arial" w:hAnsi="Arial" w:cs="Arial"/>
          <w:color w:val="000000" w:themeColor="text1"/>
          <w:sz w:val="22"/>
        </w:rPr>
        <w:t xml:space="preserve"> el Documento CONPES 3582 de 2009, donde se define cuáles son estas actividades de los actores del Sistema Nacional de Ciencia, Tecnología e Innovación.</w:t>
      </w:r>
    </w:p>
    <w:p w14:paraId="4A0709DB" w14:textId="1DD368E6" w:rsidR="001434A4" w:rsidRPr="004066E7" w:rsidRDefault="001434A4" w:rsidP="001434A4">
      <w:pPr>
        <w:spacing w:after="120" w:line="276" w:lineRule="auto"/>
        <w:ind w:firstLine="708"/>
        <w:jc w:val="both"/>
        <w:rPr>
          <w:rFonts w:ascii="Arial" w:hAnsi="Arial" w:cs="Arial"/>
          <w:color w:val="000000" w:themeColor="text1"/>
          <w:sz w:val="22"/>
        </w:rPr>
      </w:pPr>
      <w:r w:rsidRPr="004066E7">
        <w:rPr>
          <w:rFonts w:ascii="Arial" w:hAnsi="Arial" w:cs="Arial"/>
          <w:color w:val="000000" w:themeColor="text1"/>
          <w:sz w:val="22"/>
        </w:rPr>
        <w:t>Así las cosas, para contratar las actividades de ciencia</w:t>
      </w:r>
      <w:r w:rsidR="0011457B" w:rsidRPr="004066E7">
        <w:rPr>
          <w:rFonts w:ascii="Arial" w:hAnsi="Arial" w:cs="Arial"/>
          <w:color w:val="000000" w:themeColor="text1"/>
          <w:sz w:val="22"/>
        </w:rPr>
        <w:t>,</w:t>
      </w:r>
      <w:r w:rsidRPr="004066E7">
        <w:rPr>
          <w:rFonts w:ascii="Arial" w:hAnsi="Arial" w:cs="Arial"/>
          <w:color w:val="000000" w:themeColor="text1"/>
          <w:sz w:val="22"/>
        </w:rPr>
        <w:t xml:space="preserve"> tecnología e innovación las normas </w:t>
      </w:r>
      <w:r w:rsidR="00E9744A" w:rsidRPr="004066E7">
        <w:rPr>
          <w:rFonts w:ascii="Arial" w:hAnsi="Arial" w:cs="Arial"/>
          <w:color w:val="000000" w:themeColor="text1"/>
          <w:sz w:val="22"/>
        </w:rPr>
        <w:t xml:space="preserve">enunciadas en el párrafo anterior </w:t>
      </w:r>
      <w:r w:rsidR="0011457B" w:rsidRPr="004066E7">
        <w:rPr>
          <w:rFonts w:ascii="Arial" w:hAnsi="Arial" w:cs="Arial"/>
          <w:color w:val="000000" w:themeColor="text1"/>
          <w:sz w:val="22"/>
        </w:rPr>
        <w:t>establecen</w:t>
      </w:r>
      <w:r w:rsidR="00E9744A" w:rsidRPr="004066E7">
        <w:rPr>
          <w:rFonts w:ascii="Arial" w:hAnsi="Arial" w:cs="Arial"/>
          <w:color w:val="000000" w:themeColor="text1"/>
          <w:sz w:val="22"/>
        </w:rPr>
        <w:t xml:space="preserve"> distintos</w:t>
      </w:r>
      <w:r w:rsidRPr="004066E7">
        <w:rPr>
          <w:rFonts w:ascii="Arial" w:hAnsi="Arial" w:cs="Arial"/>
          <w:color w:val="000000" w:themeColor="text1"/>
          <w:sz w:val="22"/>
        </w:rPr>
        <w:t xml:space="preserve"> tipos de contrato</w:t>
      </w:r>
      <w:r w:rsidR="00E9744A" w:rsidRPr="004066E7">
        <w:rPr>
          <w:rFonts w:ascii="Arial" w:hAnsi="Arial" w:cs="Arial"/>
          <w:color w:val="000000" w:themeColor="text1"/>
          <w:sz w:val="22"/>
        </w:rPr>
        <w:t>s,</w:t>
      </w:r>
      <w:r w:rsidRPr="004066E7">
        <w:rPr>
          <w:rFonts w:ascii="Arial" w:hAnsi="Arial" w:cs="Arial"/>
          <w:color w:val="000000" w:themeColor="text1"/>
          <w:sz w:val="22"/>
        </w:rPr>
        <w:t xml:space="preserve"> cuya aplicación depende de las características del objeto que se</w:t>
      </w:r>
      <w:r w:rsidR="00E9744A" w:rsidRPr="004066E7">
        <w:rPr>
          <w:rFonts w:ascii="Arial" w:hAnsi="Arial" w:cs="Arial"/>
          <w:color w:val="000000" w:themeColor="text1"/>
          <w:sz w:val="22"/>
        </w:rPr>
        <w:t xml:space="preserve"> pretende</w:t>
      </w:r>
      <w:r w:rsidRPr="004066E7">
        <w:rPr>
          <w:rFonts w:ascii="Arial" w:hAnsi="Arial" w:cs="Arial"/>
          <w:color w:val="000000" w:themeColor="text1"/>
          <w:sz w:val="22"/>
        </w:rPr>
        <w:t xml:space="preserve"> ejecutar</w:t>
      </w:r>
      <w:r w:rsidR="00E9744A" w:rsidRPr="004066E7">
        <w:rPr>
          <w:rFonts w:ascii="Arial" w:hAnsi="Arial" w:cs="Arial"/>
          <w:color w:val="000000" w:themeColor="text1"/>
          <w:sz w:val="22"/>
        </w:rPr>
        <w:t>.</w:t>
      </w:r>
      <w:r w:rsidRPr="004066E7">
        <w:rPr>
          <w:rFonts w:ascii="Arial" w:hAnsi="Arial" w:cs="Arial"/>
          <w:color w:val="000000" w:themeColor="text1"/>
          <w:sz w:val="22"/>
        </w:rPr>
        <w:t xml:space="preserve"> También es necesario tener en cuenta que la Ley 1150 de 2007, en el artículo 2, numeral 4, literal e), </w:t>
      </w:r>
      <w:r w:rsidRPr="004066E7">
        <w:rPr>
          <w:rFonts w:ascii="Arial" w:hAnsi="Arial" w:cs="Arial"/>
          <w:color w:val="000000" w:themeColor="text1"/>
          <w:sz w:val="22"/>
        </w:rPr>
        <w:lastRenderedPageBreak/>
        <w:t>señala como causal de contratación directa «Los contratos para el desarrollo de actividades científicas y tecnológicas»</w:t>
      </w:r>
      <w:r w:rsidR="00B07E16" w:rsidRPr="004066E7">
        <w:rPr>
          <w:rStyle w:val="Refdenotaalpie"/>
          <w:rFonts w:ascii="Arial" w:hAnsi="Arial" w:cs="Arial"/>
          <w:color w:val="000000" w:themeColor="text1"/>
          <w:sz w:val="22"/>
        </w:rPr>
        <w:footnoteReference w:id="2"/>
      </w:r>
      <w:r w:rsidRPr="004066E7">
        <w:rPr>
          <w:rFonts w:ascii="Arial" w:hAnsi="Arial" w:cs="Arial"/>
          <w:color w:val="000000" w:themeColor="text1"/>
          <w:sz w:val="22"/>
        </w:rPr>
        <w:t>.</w:t>
      </w:r>
      <w:r w:rsidRPr="004066E7">
        <w:rPr>
          <w:rFonts w:ascii="Arial" w:eastAsia="Calibri" w:hAnsi="Arial" w:cs="Arial"/>
          <w:color w:val="000000" w:themeColor="text1"/>
          <w:sz w:val="22"/>
        </w:rPr>
        <w:t xml:space="preserve"> </w:t>
      </w:r>
    </w:p>
    <w:p w14:paraId="0B11F280" w14:textId="2E55ED63" w:rsidR="001434A4" w:rsidRPr="004066E7" w:rsidRDefault="001434A4" w:rsidP="001434A4">
      <w:pPr>
        <w:spacing w:after="120" w:line="276" w:lineRule="auto"/>
        <w:ind w:firstLine="708"/>
        <w:jc w:val="both"/>
        <w:rPr>
          <w:rFonts w:ascii="Arial" w:eastAsia="Calibri" w:hAnsi="Arial" w:cs="Arial"/>
          <w:color w:val="000000" w:themeColor="text1"/>
          <w:sz w:val="22"/>
        </w:rPr>
      </w:pPr>
      <w:r w:rsidRPr="004066E7">
        <w:rPr>
          <w:rFonts w:ascii="Arial" w:eastAsia="Calibri" w:hAnsi="Arial" w:cs="Arial"/>
          <w:color w:val="000000" w:themeColor="text1"/>
          <w:sz w:val="22"/>
        </w:rPr>
        <w:t xml:space="preserve">Por su parte, la Agencia Nacional de Contratación Pública ‒ Colombia Compra Eficiente, teniendo en cuenta las normas mencionadas, expidió la Circular Externa Única, que además de derogar las Circulares Externas anteriores, en el numeral 13 </w:t>
      </w:r>
      <w:r w:rsidR="00112BD6" w:rsidRPr="004066E7">
        <w:rPr>
          <w:rFonts w:ascii="Arial" w:eastAsia="Calibri" w:hAnsi="Arial" w:cs="Arial"/>
          <w:color w:val="000000" w:themeColor="text1"/>
          <w:sz w:val="22"/>
        </w:rPr>
        <w:t xml:space="preserve">desarrolla y precisa </w:t>
      </w:r>
      <w:r w:rsidRPr="004066E7">
        <w:rPr>
          <w:rFonts w:ascii="Arial" w:eastAsia="Calibri" w:hAnsi="Arial" w:cs="Arial"/>
          <w:color w:val="000000" w:themeColor="text1"/>
          <w:sz w:val="22"/>
        </w:rPr>
        <w:t xml:space="preserve">la normativa </w:t>
      </w:r>
      <w:r w:rsidR="00112BD6" w:rsidRPr="004066E7">
        <w:rPr>
          <w:rFonts w:ascii="Arial" w:eastAsia="Calibri" w:hAnsi="Arial" w:cs="Arial"/>
          <w:color w:val="000000" w:themeColor="text1"/>
          <w:sz w:val="22"/>
        </w:rPr>
        <w:t>aplicable a</w:t>
      </w:r>
      <w:r w:rsidRPr="004066E7">
        <w:rPr>
          <w:rFonts w:ascii="Arial" w:eastAsia="Calibri" w:hAnsi="Arial" w:cs="Arial"/>
          <w:color w:val="000000" w:themeColor="text1"/>
          <w:sz w:val="22"/>
        </w:rPr>
        <w:t xml:space="preserve"> la contratación de actividades de ciencia, tecnología e innovación</w:t>
      </w:r>
      <w:r w:rsidR="00112BD6" w:rsidRPr="004066E7">
        <w:rPr>
          <w:rFonts w:ascii="Arial" w:eastAsia="Calibri" w:hAnsi="Arial" w:cs="Arial"/>
          <w:color w:val="000000" w:themeColor="text1"/>
          <w:sz w:val="22"/>
        </w:rPr>
        <w:t>.</w:t>
      </w:r>
      <w:r w:rsidRPr="004066E7">
        <w:rPr>
          <w:rFonts w:ascii="Arial" w:eastAsia="Calibri" w:hAnsi="Arial" w:cs="Arial"/>
          <w:color w:val="000000" w:themeColor="text1"/>
          <w:sz w:val="22"/>
        </w:rPr>
        <w:t xml:space="preserve"> </w:t>
      </w:r>
      <w:r w:rsidR="00112BD6" w:rsidRPr="004066E7">
        <w:rPr>
          <w:rFonts w:ascii="Arial" w:eastAsia="Calibri" w:hAnsi="Arial" w:cs="Arial"/>
          <w:color w:val="000000" w:themeColor="text1"/>
          <w:sz w:val="22"/>
        </w:rPr>
        <w:t>Además de ello, establece</w:t>
      </w:r>
      <w:r w:rsidRPr="004066E7">
        <w:rPr>
          <w:rFonts w:ascii="Arial" w:eastAsia="Calibri" w:hAnsi="Arial" w:cs="Arial"/>
          <w:color w:val="000000" w:themeColor="text1"/>
          <w:sz w:val="22"/>
        </w:rPr>
        <w:t xml:space="preserve"> algunas consideraciones </w:t>
      </w:r>
      <w:r w:rsidR="00112BD6" w:rsidRPr="004066E7">
        <w:rPr>
          <w:rFonts w:ascii="Arial" w:eastAsia="Calibri" w:hAnsi="Arial" w:cs="Arial"/>
          <w:color w:val="000000" w:themeColor="text1"/>
          <w:sz w:val="22"/>
        </w:rPr>
        <w:t xml:space="preserve">relacionadas con </w:t>
      </w:r>
      <w:r w:rsidRPr="004066E7">
        <w:rPr>
          <w:rFonts w:ascii="Arial" w:eastAsia="Calibri" w:hAnsi="Arial" w:cs="Arial"/>
          <w:color w:val="000000" w:themeColor="text1"/>
          <w:sz w:val="22"/>
        </w:rPr>
        <w:t>la supervisión e interventoría de dichos contratos, sin determinar de manera explícita que esta última pueda ser contratada acudiendo a alguna causal de contratación directa, pues la</w:t>
      </w:r>
      <w:r w:rsidR="00112BD6" w:rsidRPr="004066E7">
        <w:rPr>
          <w:rFonts w:ascii="Arial" w:eastAsia="Calibri" w:hAnsi="Arial" w:cs="Arial"/>
          <w:color w:val="000000" w:themeColor="text1"/>
          <w:sz w:val="22"/>
        </w:rPr>
        <w:t>s</w:t>
      </w:r>
      <w:r w:rsidRPr="004066E7">
        <w:rPr>
          <w:rFonts w:ascii="Arial" w:eastAsia="Calibri" w:hAnsi="Arial" w:cs="Arial"/>
          <w:color w:val="000000" w:themeColor="text1"/>
          <w:sz w:val="22"/>
        </w:rPr>
        <w:t xml:space="preserve"> norma</w:t>
      </w:r>
      <w:r w:rsidR="00112BD6" w:rsidRPr="004066E7">
        <w:rPr>
          <w:rFonts w:ascii="Arial" w:eastAsia="Calibri" w:hAnsi="Arial" w:cs="Arial"/>
          <w:color w:val="000000" w:themeColor="text1"/>
          <w:sz w:val="22"/>
        </w:rPr>
        <w:t>s indicadas</w:t>
      </w:r>
      <w:r w:rsidRPr="004066E7">
        <w:rPr>
          <w:rFonts w:ascii="Arial" w:eastAsia="Calibri" w:hAnsi="Arial" w:cs="Arial"/>
          <w:color w:val="000000" w:themeColor="text1"/>
          <w:sz w:val="22"/>
        </w:rPr>
        <w:t xml:space="preserve"> tampoco </w:t>
      </w:r>
      <w:r w:rsidR="00112BD6" w:rsidRPr="004066E7">
        <w:rPr>
          <w:rFonts w:ascii="Arial" w:eastAsia="Calibri" w:hAnsi="Arial" w:cs="Arial"/>
          <w:color w:val="000000" w:themeColor="text1"/>
          <w:sz w:val="22"/>
        </w:rPr>
        <w:t xml:space="preserve">señalen </w:t>
      </w:r>
      <w:r w:rsidRPr="004066E7">
        <w:rPr>
          <w:rFonts w:ascii="Arial" w:eastAsia="Calibri" w:hAnsi="Arial" w:cs="Arial"/>
          <w:color w:val="000000" w:themeColor="text1"/>
          <w:sz w:val="22"/>
        </w:rPr>
        <w:t>dicha posibilidad.</w:t>
      </w:r>
    </w:p>
    <w:p w14:paraId="4A90C71B" w14:textId="00BB5CF5" w:rsidR="001434A4" w:rsidRPr="004066E7" w:rsidRDefault="001434A4" w:rsidP="001434A4">
      <w:pPr>
        <w:spacing w:after="120" w:line="276" w:lineRule="auto"/>
        <w:ind w:firstLine="708"/>
        <w:jc w:val="both"/>
        <w:rPr>
          <w:rFonts w:ascii="Arial" w:eastAsia="Calibri" w:hAnsi="Arial" w:cs="Arial"/>
          <w:color w:val="000000" w:themeColor="text1"/>
          <w:sz w:val="22"/>
        </w:rPr>
      </w:pPr>
      <w:r w:rsidRPr="004066E7">
        <w:rPr>
          <w:rFonts w:ascii="Arial" w:hAnsi="Arial" w:cs="Arial"/>
          <w:color w:val="000000" w:themeColor="text1"/>
          <w:sz w:val="22"/>
        </w:rPr>
        <w:t xml:space="preserve">De esta forma, las entidades, como responsables de estructurar sus </w:t>
      </w:r>
      <w:r w:rsidR="00112BD6" w:rsidRPr="004066E7">
        <w:rPr>
          <w:rFonts w:ascii="Arial" w:hAnsi="Arial" w:cs="Arial"/>
          <w:color w:val="000000" w:themeColor="text1"/>
          <w:sz w:val="22"/>
        </w:rPr>
        <w:t>procesos contractuales</w:t>
      </w:r>
      <w:r w:rsidRPr="004066E7">
        <w:rPr>
          <w:rFonts w:ascii="Arial" w:hAnsi="Arial" w:cs="Arial"/>
          <w:color w:val="000000" w:themeColor="text1"/>
          <w:sz w:val="22"/>
        </w:rPr>
        <w:t xml:space="preserve">, deben definir </w:t>
      </w:r>
      <w:r w:rsidR="00112BD6" w:rsidRPr="004066E7">
        <w:rPr>
          <w:rFonts w:ascii="Arial" w:hAnsi="Arial" w:cs="Arial"/>
          <w:color w:val="000000" w:themeColor="text1"/>
          <w:sz w:val="22"/>
        </w:rPr>
        <w:t xml:space="preserve">en cada caso </w:t>
      </w:r>
      <w:r w:rsidRPr="004066E7">
        <w:rPr>
          <w:rFonts w:ascii="Arial" w:hAnsi="Arial" w:cs="Arial"/>
          <w:color w:val="000000" w:themeColor="text1"/>
          <w:sz w:val="22"/>
        </w:rPr>
        <w:t>si el objeto a contratar es de aquellas actividades consideradas de ciencia, tecnología e innovación,</w:t>
      </w:r>
      <w:r w:rsidR="00112BD6" w:rsidRPr="004066E7">
        <w:rPr>
          <w:rFonts w:ascii="Arial" w:hAnsi="Arial" w:cs="Arial"/>
          <w:color w:val="000000" w:themeColor="text1"/>
          <w:sz w:val="22"/>
        </w:rPr>
        <w:t xml:space="preserve"> acorde con el marco jurídico expuesto previamente, por lo que</w:t>
      </w:r>
      <w:r w:rsidRPr="004066E7">
        <w:rPr>
          <w:rFonts w:ascii="Arial" w:hAnsi="Arial" w:cs="Arial"/>
          <w:color w:val="000000" w:themeColor="text1"/>
          <w:sz w:val="22"/>
        </w:rPr>
        <w:t xml:space="preserve"> podrán aplicar la modalidad de selección de contratación directa para celebrar alguno de los tipos de contrato previstos en la ley, salvo que el contrato se rija por el derecho privado.</w:t>
      </w:r>
    </w:p>
    <w:p w14:paraId="2F332FE6" w14:textId="4ABA8981" w:rsidR="001434A4" w:rsidRPr="004066E7" w:rsidRDefault="00112BD6" w:rsidP="001434A4">
      <w:pPr>
        <w:spacing w:line="276" w:lineRule="auto"/>
        <w:ind w:firstLine="708"/>
        <w:jc w:val="both"/>
        <w:rPr>
          <w:rFonts w:ascii="Arial" w:eastAsia="Calibri" w:hAnsi="Arial" w:cs="Arial"/>
          <w:color w:val="000000" w:themeColor="text1"/>
          <w:sz w:val="22"/>
        </w:rPr>
      </w:pPr>
      <w:r w:rsidRPr="004066E7">
        <w:rPr>
          <w:rFonts w:ascii="Arial" w:eastAsia="Calibri" w:hAnsi="Arial" w:cs="Arial"/>
          <w:color w:val="000000" w:themeColor="text1"/>
          <w:sz w:val="22"/>
        </w:rPr>
        <w:t>Es importante precisar que</w:t>
      </w:r>
      <w:r w:rsidR="001434A4" w:rsidRPr="004066E7">
        <w:rPr>
          <w:rFonts w:ascii="Arial" w:eastAsia="Calibri" w:hAnsi="Arial" w:cs="Arial"/>
          <w:color w:val="000000" w:themeColor="text1"/>
          <w:sz w:val="22"/>
        </w:rPr>
        <w:t xml:space="preserve"> el régimen de las actividades de ciencia, tecnología e innovación se define a partir de las normas citadas</w:t>
      </w:r>
      <w:r w:rsidR="00A428C8" w:rsidRPr="004066E7">
        <w:rPr>
          <w:rFonts w:ascii="Arial" w:eastAsia="Calibri" w:hAnsi="Arial" w:cs="Arial"/>
          <w:color w:val="000000" w:themeColor="text1"/>
          <w:sz w:val="22"/>
        </w:rPr>
        <w:t>. Sin embargo,</w:t>
      </w:r>
      <w:r w:rsidR="001434A4" w:rsidRPr="004066E7">
        <w:rPr>
          <w:rFonts w:ascii="Arial" w:eastAsia="Calibri" w:hAnsi="Arial" w:cs="Arial"/>
          <w:color w:val="000000" w:themeColor="text1"/>
          <w:sz w:val="22"/>
        </w:rPr>
        <w:t xml:space="preserve"> </w:t>
      </w:r>
      <w:r w:rsidR="00A428C8" w:rsidRPr="004066E7">
        <w:rPr>
          <w:rFonts w:ascii="Arial" w:eastAsia="Calibri" w:hAnsi="Arial" w:cs="Arial"/>
          <w:color w:val="000000" w:themeColor="text1"/>
          <w:sz w:val="22"/>
        </w:rPr>
        <w:t xml:space="preserve">como se señala en la Circular Externa Única, </w:t>
      </w:r>
      <w:r w:rsidR="001434A4" w:rsidRPr="004066E7">
        <w:rPr>
          <w:rFonts w:ascii="Arial" w:eastAsia="Calibri" w:hAnsi="Arial" w:cs="Arial"/>
          <w:color w:val="000000" w:themeColor="text1"/>
          <w:sz w:val="22"/>
        </w:rPr>
        <w:t xml:space="preserve">le corresponde al Ministerio de Ciencia, Tecnología e Innovación, como autoridad competente, catalogar las actividades </w:t>
      </w:r>
      <w:r w:rsidR="00A428C8" w:rsidRPr="004066E7">
        <w:rPr>
          <w:rFonts w:ascii="Arial" w:eastAsia="Calibri" w:hAnsi="Arial" w:cs="Arial"/>
          <w:color w:val="000000" w:themeColor="text1"/>
          <w:sz w:val="22"/>
        </w:rPr>
        <w:t xml:space="preserve">como científicas, tecnológicas y de innovación, en los casos en que las </w:t>
      </w:r>
      <w:r w:rsidR="001434A4" w:rsidRPr="004066E7">
        <w:rPr>
          <w:rFonts w:ascii="Arial" w:eastAsia="Calibri" w:hAnsi="Arial" w:cs="Arial"/>
          <w:color w:val="000000" w:themeColor="text1"/>
          <w:sz w:val="22"/>
        </w:rPr>
        <w:t xml:space="preserve">entidades </w:t>
      </w:r>
      <w:r w:rsidR="00A428C8" w:rsidRPr="004066E7">
        <w:rPr>
          <w:rFonts w:ascii="Arial" w:eastAsia="Calibri" w:hAnsi="Arial" w:cs="Arial"/>
          <w:color w:val="000000" w:themeColor="text1"/>
          <w:sz w:val="22"/>
        </w:rPr>
        <w:t xml:space="preserve">estatales </w:t>
      </w:r>
      <w:r w:rsidR="001434A4" w:rsidRPr="004066E7">
        <w:rPr>
          <w:rFonts w:ascii="Arial" w:eastAsia="Calibri" w:hAnsi="Arial" w:cs="Arial"/>
          <w:color w:val="000000" w:themeColor="text1"/>
          <w:sz w:val="22"/>
        </w:rPr>
        <w:t xml:space="preserve">presenten dudas respecto de </w:t>
      </w:r>
      <w:r w:rsidR="00A428C8" w:rsidRPr="004066E7">
        <w:rPr>
          <w:rFonts w:ascii="Arial" w:eastAsia="Calibri" w:hAnsi="Arial" w:cs="Arial"/>
          <w:color w:val="000000" w:themeColor="text1"/>
          <w:sz w:val="22"/>
        </w:rPr>
        <w:t xml:space="preserve">si </w:t>
      </w:r>
      <w:r w:rsidR="001434A4" w:rsidRPr="004066E7">
        <w:rPr>
          <w:rFonts w:ascii="Arial" w:eastAsia="Calibri" w:hAnsi="Arial" w:cs="Arial"/>
          <w:color w:val="000000" w:themeColor="text1"/>
          <w:sz w:val="22"/>
        </w:rPr>
        <w:t xml:space="preserve">un objeto contractual </w:t>
      </w:r>
      <w:r w:rsidR="00A428C8" w:rsidRPr="004066E7">
        <w:rPr>
          <w:rFonts w:ascii="Arial" w:eastAsia="Calibri" w:hAnsi="Arial" w:cs="Arial"/>
          <w:color w:val="000000" w:themeColor="text1"/>
          <w:sz w:val="22"/>
        </w:rPr>
        <w:t>hace parte de ellas</w:t>
      </w:r>
      <w:r w:rsidR="001434A4" w:rsidRPr="004066E7">
        <w:rPr>
          <w:rStyle w:val="Refdenotaalpie"/>
          <w:rFonts w:ascii="Arial" w:eastAsia="Calibri" w:hAnsi="Arial" w:cs="Arial"/>
          <w:color w:val="000000" w:themeColor="text1"/>
          <w:sz w:val="22"/>
        </w:rPr>
        <w:footnoteReference w:id="3"/>
      </w:r>
      <w:r w:rsidR="001434A4" w:rsidRPr="004066E7">
        <w:rPr>
          <w:rFonts w:ascii="Arial" w:eastAsia="Calibri" w:hAnsi="Arial" w:cs="Arial"/>
          <w:color w:val="000000" w:themeColor="text1"/>
          <w:sz w:val="22"/>
        </w:rPr>
        <w:t>.</w:t>
      </w:r>
    </w:p>
    <w:p w14:paraId="59C16345" w14:textId="77777777" w:rsidR="001434A4" w:rsidRPr="004066E7" w:rsidRDefault="001434A4" w:rsidP="001434A4">
      <w:pPr>
        <w:spacing w:line="276" w:lineRule="auto"/>
        <w:jc w:val="both"/>
        <w:rPr>
          <w:rFonts w:ascii="Arial" w:eastAsia="Calibri" w:hAnsi="Arial" w:cs="Arial"/>
          <w:color w:val="000000" w:themeColor="text1"/>
          <w:sz w:val="22"/>
        </w:rPr>
      </w:pPr>
    </w:p>
    <w:p w14:paraId="6B0A2A4D" w14:textId="77777777" w:rsidR="001434A4" w:rsidRPr="004066E7" w:rsidRDefault="001434A4" w:rsidP="001434A4">
      <w:pPr>
        <w:spacing w:line="276" w:lineRule="auto"/>
        <w:jc w:val="both"/>
        <w:rPr>
          <w:rFonts w:ascii="Arial" w:eastAsia="Calibri" w:hAnsi="Arial" w:cs="Arial"/>
          <w:b/>
          <w:bCs/>
          <w:color w:val="000000" w:themeColor="text1"/>
          <w:sz w:val="22"/>
        </w:rPr>
      </w:pPr>
      <w:r w:rsidRPr="004066E7">
        <w:rPr>
          <w:rFonts w:ascii="Arial" w:eastAsia="Calibri" w:hAnsi="Arial" w:cs="Arial"/>
          <w:b/>
          <w:bCs/>
          <w:color w:val="000000" w:themeColor="text1"/>
          <w:sz w:val="22"/>
        </w:rPr>
        <w:t>2.2 El régimen del Decreto Ley 393 de 1991 y el Decreto Ley 591 de 1991</w:t>
      </w:r>
    </w:p>
    <w:p w14:paraId="0005BCD2" w14:textId="77777777" w:rsidR="001434A4" w:rsidRPr="004066E7" w:rsidRDefault="001434A4" w:rsidP="001434A4">
      <w:pPr>
        <w:spacing w:line="276" w:lineRule="auto"/>
        <w:jc w:val="both"/>
        <w:rPr>
          <w:rFonts w:ascii="Arial" w:eastAsia="Calibri" w:hAnsi="Arial" w:cs="Arial"/>
          <w:b/>
          <w:bCs/>
          <w:color w:val="000000" w:themeColor="text1"/>
          <w:sz w:val="22"/>
        </w:rPr>
      </w:pPr>
    </w:p>
    <w:p w14:paraId="772966AE" w14:textId="227CAD87" w:rsidR="001434A4" w:rsidRPr="004066E7" w:rsidRDefault="001434A4" w:rsidP="001434A4">
      <w:pPr>
        <w:spacing w:line="276" w:lineRule="auto"/>
        <w:jc w:val="both"/>
        <w:rPr>
          <w:rFonts w:ascii="Arial" w:eastAsia="Calibri" w:hAnsi="Arial" w:cs="Arial"/>
          <w:color w:val="000000" w:themeColor="text1"/>
          <w:sz w:val="22"/>
        </w:rPr>
      </w:pPr>
      <w:r w:rsidRPr="004066E7">
        <w:rPr>
          <w:rFonts w:ascii="Arial" w:eastAsia="Calibri" w:hAnsi="Arial" w:cs="Arial"/>
          <w:color w:val="000000" w:themeColor="text1"/>
          <w:sz w:val="22"/>
        </w:rPr>
        <w:t>De conformidad con lo indicado en el acápite anterior, a continuación se profundiza en algunos aspectos relacionados con el régimen derivado de los Decretos Leyes 393 de 1991 y 591 de 1991. En este sentido, se reiteran, en lo pertinente, las consideraciones realizadas por esta Agencia en los conceptos C-084 del 11 de marzo de 202</w:t>
      </w:r>
      <w:r w:rsidR="004E6277" w:rsidRPr="004066E7">
        <w:rPr>
          <w:rFonts w:ascii="Arial" w:eastAsia="Calibri" w:hAnsi="Arial" w:cs="Arial"/>
          <w:color w:val="000000" w:themeColor="text1"/>
          <w:sz w:val="22"/>
        </w:rPr>
        <w:t>0</w:t>
      </w:r>
      <w:r w:rsidR="00803F76" w:rsidRPr="004066E7">
        <w:rPr>
          <w:rFonts w:ascii="Arial" w:eastAsia="Calibri" w:hAnsi="Arial" w:cs="Arial"/>
          <w:color w:val="000000" w:themeColor="text1"/>
          <w:sz w:val="22"/>
        </w:rPr>
        <w:t>,</w:t>
      </w:r>
      <w:r w:rsidRPr="004066E7">
        <w:rPr>
          <w:rFonts w:ascii="Arial" w:eastAsia="Calibri" w:hAnsi="Arial" w:cs="Arial"/>
          <w:color w:val="000000" w:themeColor="text1"/>
          <w:sz w:val="22"/>
        </w:rPr>
        <w:t xml:space="preserve"> C-236 del 6 de abril de 2020</w:t>
      </w:r>
      <w:r w:rsidR="00803F76" w:rsidRPr="004066E7">
        <w:rPr>
          <w:rFonts w:ascii="Arial" w:eastAsia="Calibri" w:hAnsi="Arial" w:cs="Arial"/>
          <w:color w:val="000000" w:themeColor="text1"/>
          <w:sz w:val="22"/>
        </w:rPr>
        <w:t xml:space="preserve"> y C-346 del 30 de junio de 2021</w:t>
      </w:r>
    </w:p>
    <w:p w14:paraId="0A55095E" w14:textId="77777777" w:rsidR="001434A4" w:rsidRPr="004066E7" w:rsidRDefault="001434A4" w:rsidP="001434A4">
      <w:pPr>
        <w:spacing w:line="276" w:lineRule="auto"/>
        <w:jc w:val="both"/>
        <w:rPr>
          <w:rFonts w:ascii="Arial" w:eastAsia="Calibri" w:hAnsi="Arial" w:cs="Arial"/>
          <w:b/>
          <w:bCs/>
          <w:color w:val="000000" w:themeColor="text1"/>
          <w:sz w:val="22"/>
        </w:rPr>
      </w:pPr>
    </w:p>
    <w:p w14:paraId="7B5508A0" w14:textId="77777777" w:rsidR="001434A4" w:rsidRPr="004066E7" w:rsidRDefault="001434A4" w:rsidP="001434A4">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a) Decreto Ley 393 de 1991</w:t>
      </w:r>
    </w:p>
    <w:p w14:paraId="0838EC26" w14:textId="77777777" w:rsidR="001434A4" w:rsidRPr="004066E7" w:rsidRDefault="001434A4" w:rsidP="001434A4">
      <w:pPr>
        <w:spacing w:line="276" w:lineRule="auto"/>
        <w:jc w:val="both"/>
        <w:rPr>
          <w:rFonts w:ascii="Arial" w:eastAsia="Calibri" w:hAnsi="Arial" w:cs="Arial"/>
          <w:b/>
          <w:bCs/>
          <w:color w:val="000000"/>
          <w:sz w:val="16"/>
          <w:szCs w:val="16"/>
        </w:rPr>
      </w:pPr>
    </w:p>
    <w:p w14:paraId="0AC81166" w14:textId="77777777"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Este decreto establece dos formas de asociación para que las entidades ejecuten actividades científicas y tecnológicas, proyectos de investigación y creación de tecnologías: i) crear personas jurídicas civiles, comerciales y sin ánimo de lucro y ii) celebrar convenios especiales de cooperación. Por ende, se explicará cada una, haciendo énfasis en el régimen jurídico aplicable a la contratación.</w:t>
      </w:r>
    </w:p>
    <w:p w14:paraId="3850343F" w14:textId="77777777" w:rsidR="001434A4" w:rsidRPr="004066E7" w:rsidRDefault="001434A4" w:rsidP="001434A4">
      <w:pPr>
        <w:spacing w:line="276" w:lineRule="auto"/>
        <w:jc w:val="both"/>
        <w:rPr>
          <w:rFonts w:ascii="Arial" w:eastAsia="Calibri" w:hAnsi="Arial" w:cs="Arial"/>
          <w:color w:val="000000"/>
          <w:sz w:val="16"/>
          <w:szCs w:val="16"/>
        </w:rPr>
      </w:pPr>
    </w:p>
    <w:p w14:paraId="77F12595" w14:textId="77777777" w:rsidR="001434A4" w:rsidRPr="004066E7" w:rsidRDefault="001434A4" w:rsidP="001434A4">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i) Creación de personas jurídicas</w:t>
      </w:r>
    </w:p>
    <w:p w14:paraId="793BB704" w14:textId="77777777" w:rsidR="001434A4" w:rsidRPr="004066E7" w:rsidRDefault="001434A4" w:rsidP="001434A4">
      <w:pPr>
        <w:spacing w:line="276" w:lineRule="auto"/>
        <w:jc w:val="both"/>
        <w:rPr>
          <w:rFonts w:ascii="Arial" w:eastAsia="Calibri" w:hAnsi="Arial" w:cs="Arial"/>
          <w:b/>
          <w:bCs/>
          <w:color w:val="000000"/>
          <w:sz w:val="22"/>
        </w:rPr>
      </w:pPr>
    </w:p>
    <w:p w14:paraId="02E91842" w14:textId="77777777" w:rsidR="001434A4" w:rsidRPr="004066E7" w:rsidRDefault="001434A4" w:rsidP="001434A4">
      <w:pPr>
        <w:spacing w:after="120" w:line="276" w:lineRule="auto"/>
        <w:jc w:val="both"/>
        <w:rPr>
          <w:rFonts w:ascii="Arial" w:eastAsia="Calibri" w:hAnsi="Arial" w:cs="Arial"/>
          <w:color w:val="000000"/>
          <w:sz w:val="22"/>
        </w:rPr>
      </w:pPr>
      <w:r w:rsidRPr="004066E7">
        <w:rPr>
          <w:rFonts w:ascii="Arial" w:eastAsia="Calibri" w:hAnsi="Arial" w:cs="Arial"/>
          <w:color w:val="000000"/>
          <w:sz w:val="22"/>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4066E7">
        <w:rPr>
          <w:rFonts w:ascii="Arial" w:eastAsia="Calibri" w:hAnsi="Arial" w:cs="Arial"/>
          <w:color w:val="000000"/>
          <w:sz w:val="22"/>
          <w:vertAlign w:val="superscript"/>
        </w:rPr>
        <w:footnoteReference w:id="4"/>
      </w:r>
      <w:r w:rsidRPr="004066E7">
        <w:rPr>
          <w:rFonts w:ascii="Arial" w:eastAsia="Calibri" w:hAnsi="Arial" w:cs="Arial"/>
          <w:color w:val="000000"/>
          <w:sz w:val="22"/>
        </w:rPr>
        <w:t xml:space="preserve">; y respecto de los aportes que hacen </w:t>
      </w:r>
      <w:r w:rsidRPr="004066E7">
        <w:rPr>
          <w:rFonts w:ascii="Arial" w:eastAsia="Calibri" w:hAnsi="Arial" w:cs="Arial"/>
          <w:color w:val="000000"/>
          <w:sz w:val="22"/>
        </w:rPr>
        <w:lastRenderedPageBreak/>
        <w:t>las partes a la persona jurídica, la norma autoriza que sean en dinero, especie o industria, definidos en el artículo 3.</w:t>
      </w:r>
    </w:p>
    <w:p w14:paraId="43543C92" w14:textId="77777777" w:rsidR="001434A4" w:rsidRPr="004066E7" w:rsidRDefault="001434A4" w:rsidP="001434A4">
      <w:pPr>
        <w:spacing w:before="120" w:after="120" w:line="276" w:lineRule="auto"/>
        <w:jc w:val="both"/>
        <w:rPr>
          <w:rFonts w:ascii="Arial" w:eastAsia="Calibri" w:hAnsi="Arial" w:cs="Arial"/>
          <w:color w:val="000000"/>
          <w:sz w:val="22"/>
        </w:rPr>
      </w:pPr>
      <w:r w:rsidRPr="004066E7">
        <w:rPr>
          <w:rFonts w:ascii="Arial" w:eastAsia="Calibri" w:hAnsi="Arial" w:cs="Arial"/>
          <w:color w:val="000000"/>
          <w:sz w:val="22"/>
        </w:rPr>
        <w:tab/>
        <w:t>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ninguna restricción.</w:t>
      </w:r>
    </w:p>
    <w:p w14:paraId="11A48768" w14:textId="2A1CE944"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ab/>
      </w:r>
      <w:r w:rsidR="00DC5469" w:rsidRPr="004066E7">
        <w:rPr>
          <w:rFonts w:ascii="Arial" w:eastAsia="Calibri" w:hAnsi="Arial" w:cs="Arial"/>
          <w:color w:val="000000"/>
          <w:sz w:val="22"/>
        </w:rPr>
        <w:t xml:space="preserve">En relación con </w:t>
      </w:r>
      <w:r w:rsidRPr="004066E7">
        <w:rPr>
          <w:rFonts w:ascii="Arial" w:eastAsia="Calibri" w:hAnsi="Arial" w:cs="Arial"/>
          <w:color w:val="000000"/>
          <w:sz w:val="22"/>
        </w:rPr>
        <w:t xml:space="preserve">el régimen jurídico </w:t>
      </w:r>
      <w:r w:rsidR="00DC5469" w:rsidRPr="004066E7">
        <w:rPr>
          <w:rFonts w:ascii="Arial" w:eastAsia="Calibri" w:hAnsi="Arial" w:cs="Arial"/>
          <w:color w:val="000000"/>
          <w:sz w:val="22"/>
        </w:rPr>
        <w:t xml:space="preserve">aplicable a </w:t>
      </w:r>
      <w:r w:rsidRPr="004066E7">
        <w:rPr>
          <w:rFonts w:ascii="Arial" w:eastAsia="Calibri" w:hAnsi="Arial" w:cs="Arial"/>
          <w:color w:val="000000"/>
          <w:sz w:val="22"/>
        </w:rPr>
        <w:t xml:space="preserve">las personas que se crean mediante la asociación de la nación y sus entidades descentralizadas con particulares o entidades estatales, el Decreto 393 de 1991, en el artículo 5, </w:t>
      </w:r>
      <w:r w:rsidR="00E65887" w:rsidRPr="004066E7">
        <w:rPr>
          <w:rFonts w:ascii="Arial" w:eastAsia="Calibri" w:hAnsi="Arial" w:cs="Arial"/>
          <w:color w:val="000000"/>
          <w:sz w:val="22"/>
        </w:rPr>
        <w:t xml:space="preserve">establece </w:t>
      </w:r>
      <w:r w:rsidRPr="004066E7">
        <w:rPr>
          <w:rFonts w:ascii="Arial" w:eastAsia="Calibri" w:hAnsi="Arial" w:cs="Arial"/>
          <w:color w:val="000000"/>
          <w:sz w:val="22"/>
        </w:rPr>
        <w:t xml:space="preserve">que es el derecho privado. </w:t>
      </w:r>
      <w:r w:rsidR="00E65887" w:rsidRPr="004066E7">
        <w:rPr>
          <w:rFonts w:ascii="Arial" w:eastAsia="Calibri" w:hAnsi="Arial" w:cs="Arial"/>
          <w:color w:val="000000"/>
          <w:sz w:val="22"/>
        </w:rPr>
        <w:t>De otro lado</w:t>
      </w:r>
      <w:r w:rsidRPr="004066E7">
        <w:rPr>
          <w:rFonts w:ascii="Arial" w:eastAsia="Calibri" w:hAnsi="Arial" w:cs="Arial"/>
          <w:color w:val="000000"/>
          <w:sz w:val="22"/>
        </w:rPr>
        <w:t xml:space="preserve">, </w:t>
      </w:r>
      <w:r w:rsidR="00E65887" w:rsidRPr="004066E7">
        <w:rPr>
          <w:rFonts w:ascii="Arial" w:eastAsia="Calibri" w:hAnsi="Arial" w:cs="Arial"/>
          <w:color w:val="000000"/>
          <w:sz w:val="22"/>
        </w:rPr>
        <w:t xml:space="preserve">es importante destacar que </w:t>
      </w:r>
      <w:r w:rsidRPr="004066E7">
        <w:rPr>
          <w:rFonts w:ascii="Arial" w:eastAsia="Calibri" w:hAnsi="Arial" w:cs="Arial"/>
          <w:color w:val="000000"/>
          <w:sz w:val="22"/>
        </w:rPr>
        <w:t xml:space="preserve">la Corte Constitucional </w:t>
      </w:r>
      <w:r w:rsidR="00E65887" w:rsidRPr="004066E7">
        <w:rPr>
          <w:rFonts w:ascii="Arial" w:eastAsia="Calibri" w:hAnsi="Arial" w:cs="Arial"/>
          <w:color w:val="000000"/>
          <w:sz w:val="22"/>
        </w:rPr>
        <w:t xml:space="preserve">declaró </w:t>
      </w:r>
      <w:r w:rsidRPr="004066E7">
        <w:rPr>
          <w:rFonts w:ascii="Arial" w:eastAsia="Calibri" w:hAnsi="Arial" w:cs="Arial"/>
          <w:color w:val="000000"/>
          <w:sz w:val="22"/>
        </w:rPr>
        <w:t>la exequibilidad de la</w:t>
      </w:r>
      <w:r w:rsidR="00E65887" w:rsidRPr="004066E7">
        <w:rPr>
          <w:rFonts w:ascii="Arial" w:eastAsia="Calibri" w:hAnsi="Arial" w:cs="Arial"/>
          <w:color w:val="000000"/>
          <w:sz w:val="22"/>
        </w:rPr>
        <w:t>s</w:t>
      </w:r>
      <w:r w:rsidRPr="004066E7">
        <w:rPr>
          <w:rFonts w:ascii="Arial" w:eastAsia="Calibri" w:hAnsi="Arial" w:cs="Arial"/>
          <w:color w:val="000000"/>
          <w:sz w:val="22"/>
        </w:rPr>
        <w:t xml:space="preserve"> </w:t>
      </w:r>
      <w:r w:rsidR="00E65887" w:rsidRPr="004066E7">
        <w:rPr>
          <w:rFonts w:ascii="Arial" w:eastAsia="Calibri" w:hAnsi="Arial" w:cs="Arial"/>
          <w:color w:val="000000"/>
          <w:sz w:val="22"/>
        </w:rPr>
        <w:t xml:space="preserve">disposiciones del decreto que establecen la </w:t>
      </w:r>
      <w:r w:rsidRPr="004066E7">
        <w:rPr>
          <w:rFonts w:ascii="Arial" w:eastAsia="Calibri" w:hAnsi="Arial" w:cs="Arial"/>
          <w:color w:val="000000"/>
          <w:sz w:val="22"/>
        </w:rPr>
        <w:t xml:space="preserve">posibilidad de crear sociedades con aportes estatales, ya que el demandante </w:t>
      </w:r>
      <w:r w:rsidR="00E65887" w:rsidRPr="004066E7">
        <w:rPr>
          <w:rFonts w:ascii="Arial" w:eastAsia="Calibri" w:hAnsi="Arial" w:cs="Arial"/>
          <w:color w:val="000000"/>
          <w:sz w:val="22"/>
        </w:rPr>
        <w:t xml:space="preserve">señalaba que existía </w:t>
      </w:r>
      <w:r w:rsidRPr="004066E7">
        <w:rPr>
          <w:rFonts w:ascii="Arial" w:eastAsia="Calibri" w:hAnsi="Arial" w:cs="Arial"/>
          <w:color w:val="000000"/>
          <w:sz w:val="22"/>
        </w:rPr>
        <w:t>una contradicción con el artículo 355 de la Constitución Política, que prohíbe los auxilios y donaciones de entidades en favor particulares</w:t>
      </w:r>
      <w:r w:rsidR="00E65887" w:rsidRPr="004066E7">
        <w:rPr>
          <w:rFonts w:ascii="Arial" w:eastAsia="Calibri" w:hAnsi="Arial" w:cs="Arial"/>
          <w:color w:val="000000"/>
          <w:sz w:val="22"/>
        </w:rPr>
        <w:t xml:space="preserve">. De acuerdo con el cargo anterior, </w:t>
      </w:r>
      <w:r w:rsidRPr="004066E7">
        <w:rPr>
          <w:rFonts w:ascii="Arial" w:eastAsia="Calibri" w:hAnsi="Arial" w:cs="Arial"/>
          <w:color w:val="000000"/>
          <w:sz w:val="22"/>
        </w:rPr>
        <w:t>la corporación concluyó que el fomento de las actividades de ciencia, tecnología e innovación es una responsabilidad que tiene el Estado por mandato constitucional frente a la cual no es aplicable la restricción contenida en el artículo mencionado</w:t>
      </w:r>
      <w:r w:rsidRPr="004066E7">
        <w:rPr>
          <w:rFonts w:ascii="Arial" w:eastAsia="Calibri" w:hAnsi="Arial" w:cs="Arial"/>
          <w:color w:val="000000"/>
          <w:sz w:val="22"/>
          <w:vertAlign w:val="superscript"/>
        </w:rPr>
        <w:footnoteReference w:id="5"/>
      </w:r>
      <w:r w:rsidRPr="004066E7">
        <w:rPr>
          <w:rFonts w:ascii="Arial" w:eastAsia="Calibri" w:hAnsi="Arial" w:cs="Arial"/>
          <w:color w:val="000000"/>
          <w:sz w:val="22"/>
        </w:rPr>
        <w:t>.</w:t>
      </w:r>
    </w:p>
    <w:p w14:paraId="6FEB6D81" w14:textId="77777777" w:rsidR="001434A4" w:rsidRPr="004066E7" w:rsidRDefault="001434A4" w:rsidP="001434A4">
      <w:pPr>
        <w:spacing w:line="276" w:lineRule="auto"/>
        <w:jc w:val="both"/>
        <w:rPr>
          <w:rFonts w:ascii="Arial" w:eastAsia="Calibri" w:hAnsi="Arial" w:cs="Arial"/>
          <w:b/>
          <w:bCs/>
          <w:color w:val="000000"/>
          <w:sz w:val="22"/>
        </w:rPr>
      </w:pPr>
    </w:p>
    <w:p w14:paraId="35D4EE11" w14:textId="77777777" w:rsidR="001434A4" w:rsidRPr="004066E7" w:rsidRDefault="001434A4" w:rsidP="001434A4">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ii) Convenio especial de cooperación</w:t>
      </w:r>
    </w:p>
    <w:p w14:paraId="44BDD3EC" w14:textId="77777777" w:rsidR="001434A4" w:rsidRPr="004066E7" w:rsidRDefault="001434A4" w:rsidP="001434A4">
      <w:pPr>
        <w:spacing w:line="276" w:lineRule="auto"/>
        <w:jc w:val="both"/>
        <w:rPr>
          <w:rFonts w:ascii="Arial" w:eastAsia="Calibri" w:hAnsi="Arial" w:cs="Arial"/>
          <w:b/>
          <w:bCs/>
          <w:color w:val="000000"/>
          <w:sz w:val="22"/>
        </w:rPr>
      </w:pPr>
    </w:p>
    <w:p w14:paraId="4177E518" w14:textId="77777777" w:rsidR="001434A4" w:rsidRPr="004066E7" w:rsidRDefault="001434A4" w:rsidP="001434A4">
      <w:pPr>
        <w:spacing w:after="120" w:line="276" w:lineRule="auto"/>
        <w:jc w:val="both"/>
        <w:rPr>
          <w:rFonts w:ascii="Arial" w:eastAsia="Calibri" w:hAnsi="Arial" w:cs="Arial"/>
          <w:color w:val="000000"/>
          <w:sz w:val="22"/>
        </w:rPr>
      </w:pPr>
      <w:r w:rsidRPr="004066E7">
        <w:rPr>
          <w:rFonts w:ascii="Arial" w:eastAsia="Calibri" w:hAnsi="Arial" w:cs="Arial"/>
          <w:color w:val="000000"/>
          <w:sz w:val="22"/>
        </w:rPr>
        <w:t xml:space="preserve">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w:t>
      </w:r>
      <w:r w:rsidRPr="004066E7">
        <w:rPr>
          <w:rFonts w:ascii="Arial" w:eastAsia="Calibri" w:hAnsi="Arial" w:cs="Arial"/>
          <w:color w:val="000000"/>
          <w:sz w:val="22"/>
        </w:rPr>
        <w:lastRenderedPageBreak/>
        <w:t>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2F9C93D3" w14:textId="77777777" w:rsidR="001434A4" w:rsidRPr="004066E7" w:rsidRDefault="001434A4" w:rsidP="001434A4">
      <w:pPr>
        <w:spacing w:before="120" w:after="120" w:line="276" w:lineRule="auto"/>
        <w:jc w:val="both"/>
        <w:rPr>
          <w:rFonts w:ascii="Arial" w:eastAsia="Calibri" w:hAnsi="Arial" w:cs="Arial"/>
          <w:color w:val="000000"/>
          <w:sz w:val="22"/>
        </w:rPr>
      </w:pPr>
      <w:r w:rsidRPr="004066E7">
        <w:rPr>
          <w:rFonts w:ascii="Arial" w:eastAsia="Calibri" w:hAnsi="Arial" w:cs="Arial"/>
          <w:color w:val="000000"/>
          <w:sz w:val="22"/>
        </w:rPr>
        <w:tab/>
        <w:t>Las reglas para la celebración de este convenio están enlistadas en los artículos 7 y 8 del Decreto 393 de 1991: i) inexistencia de solidaridad entre sus partes, ii) regular la propiedad y los derechos sobre los resultados del convenio, iii) definir las obligaciones de las partes, iv) determinar la forma de administración de los aportes, v) el régimen jurídico es el derecho privado, vi) debe ser escrito, vii) señalar el objeto y el plazo e viii) incluir cláusulas de cesión y terminación.</w:t>
      </w:r>
    </w:p>
    <w:p w14:paraId="24DFD1C8" w14:textId="77777777" w:rsidR="001434A4" w:rsidRPr="004066E7" w:rsidRDefault="001434A4" w:rsidP="001434A4">
      <w:pPr>
        <w:spacing w:before="120" w:line="276" w:lineRule="auto"/>
        <w:jc w:val="both"/>
        <w:rPr>
          <w:rFonts w:ascii="Arial" w:eastAsia="Calibri" w:hAnsi="Arial" w:cs="Arial"/>
          <w:color w:val="000000"/>
          <w:sz w:val="22"/>
        </w:rPr>
      </w:pPr>
      <w:r w:rsidRPr="004066E7">
        <w:rPr>
          <w:rFonts w:ascii="Arial" w:eastAsia="Calibri" w:hAnsi="Arial" w:cs="Arial"/>
          <w:color w:val="000000"/>
          <w:sz w:val="22"/>
        </w:rPr>
        <w:tab/>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4066E7">
        <w:rPr>
          <w:rFonts w:ascii="Arial" w:eastAsia="Calibri" w:hAnsi="Arial" w:cs="Arial"/>
          <w:color w:val="000000"/>
          <w:sz w:val="22"/>
          <w:vertAlign w:val="superscript"/>
        </w:rPr>
        <w:footnoteReference w:id="6"/>
      </w:r>
      <w:r w:rsidRPr="004066E7">
        <w:rPr>
          <w:rFonts w:ascii="Arial" w:eastAsia="Calibri" w:hAnsi="Arial" w:cs="Arial"/>
          <w:color w:val="000000"/>
          <w:sz w:val="22"/>
        </w:rPr>
        <w:t xml:space="preserve"> [La norma señalada en esta cita es del año 1990]. Además, esa Corporación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397FAE1D" w14:textId="77777777" w:rsidR="001434A4" w:rsidRPr="004066E7" w:rsidRDefault="001434A4" w:rsidP="001434A4">
      <w:pPr>
        <w:spacing w:line="276" w:lineRule="auto"/>
        <w:jc w:val="both"/>
        <w:rPr>
          <w:rFonts w:ascii="Arial" w:eastAsia="Calibri" w:hAnsi="Arial" w:cs="Arial"/>
          <w:color w:val="000000"/>
          <w:sz w:val="22"/>
        </w:rPr>
      </w:pPr>
    </w:p>
    <w:p w14:paraId="72475ACF" w14:textId="77777777" w:rsidR="001434A4" w:rsidRPr="004066E7" w:rsidRDefault="001434A4" w:rsidP="001434A4">
      <w:pPr>
        <w:ind w:left="709" w:right="709"/>
        <w:jc w:val="both"/>
        <w:rPr>
          <w:rFonts w:ascii="Arial" w:eastAsia="Calibri" w:hAnsi="Arial" w:cs="Arial"/>
          <w:color w:val="000000"/>
          <w:sz w:val="21"/>
          <w:szCs w:val="21"/>
        </w:rPr>
      </w:pPr>
      <w:r w:rsidRPr="004066E7">
        <w:rPr>
          <w:rFonts w:ascii="Arial" w:eastAsia="Calibri" w:hAnsi="Arial" w:cs="Arial"/>
          <w:color w:val="000000"/>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4066E7">
        <w:rPr>
          <w:rFonts w:ascii="Arial" w:eastAsia="Calibri" w:hAnsi="Arial" w:cs="Arial"/>
          <w:color w:val="000000"/>
          <w:sz w:val="21"/>
          <w:szCs w:val="21"/>
          <w:vertAlign w:val="superscript"/>
        </w:rPr>
        <w:footnoteReference w:id="7"/>
      </w:r>
      <w:r w:rsidRPr="004066E7">
        <w:rPr>
          <w:rFonts w:ascii="Arial" w:eastAsia="Calibri" w:hAnsi="Arial" w:cs="Arial"/>
          <w:color w:val="000000"/>
          <w:sz w:val="21"/>
          <w:szCs w:val="21"/>
        </w:rPr>
        <w:t>.</w:t>
      </w:r>
    </w:p>
    <w:p w14:paraId="3673B3F5" w14:textId="77777777" w:rsidR="001434A4" w:rsidRPr="004066E7" w:rsidRDefault="001434A4" w:rsidP="001434A4">
      <w:pPr>
        <w:spacing w:line="276" w:lineRule="auto"/>
        <w:ind w:right="709"/>
        <w:jc w:val="both"/>
        <w:rPr>
          <w:rFonts w:ascii="Arial" w:eastAsia="Calibri" w:hAnsi="Arial" w:cs="Arial"/>
          <w:color w:val="000000"/>
          <w:sz w:val="21"/>
          <w:szCs w:val="21"/>
        </w:rPr>
      </w:pPr>
    </w:p>
    <w:p w14:paraId="0FCB821E" w14:textId="77777777" w:rsidR="001434A4" w:rsidRPr="004066E7" w:rsidRDefault="001434A4" w:rsidP="00BB6E5C">
      <w:pPr>
        <w:spacing w:line="276" w:lineRule="auto"/>
        <w:jc w:val="both"/>
        <w:rPr>
          <w:rFonts w:ascii="Arial" w:eastAsia="Calibri" w:hAnsi="Arial" w:cs="Arial"/>
          <w:color w:val="000000"/>
          <w:sz w:val="22"/>
        </w:rPr>
      </w:pPr>
      <w:r w:rsidRPr="004066E7">
        <w:rPr>
          <w:rFonts w:ascii="Arial" w:eastAsia="Calibri" w:hAnsi="Arial" w:cs="Arial"/>
          <w:color w:val="000000"/>
          <w:sz w:val="21"/>
          <w:szCs w:val="21"/>
        </w:rPr>
        <w:tab/>
      </w:r>
      <w:r w:rsidRPr="004066E7">
        <w:rPr>
          <w:rFonts w:ascii="Arial" w:eastAsia="Calibri" w:hAnsi="Arial" w:cs="Arial"/>
          <w:color w:val="000000"/>
          <w:sz w:val="22"/>
        </w:rPr>
        <w:t xml:space="preserve">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de Colombia </w:t>
      </w:r>
      <w:r w:rsidRPr="004066E7">
        <w:rPr>
          <w:rFonts w:ascii="Arial" w:eastAsia="Calibri" w:hAnsi="Arial" w:cs="Arial"/>
          <w:color w:val="000000"/>
          <w:sz w:val="22"/>
        </w:rPr>
        <w:lastRenderedPageBreak/>
        <w:t>Compra Eficiente que hace referencia a que este convenio puede incluir temas relativos a administración o financiamiento, que también tendrían el régimen privado del convenio</w:t>
      </w:r>
      <w:r w:rsidRPr="004066E7">
        <w:rPr>
          <w:rFonts w:ascii="Arial" w:eastAsia="Calibri" w:hAnsi="Arial" w:cs="Arial"/>
          <w:color w:val="000000"/>
          <w:sz w:val="22"/>
          <w:vertAlign w:val="superscript"/>
        </w:rPr>
        <w:footnoteReference w:id="8"/>
      </w:r>
      <w:r w:rsidRPr="004066E7">
        <w:rPr>
          <w:rFonts w:ascii="Arial" w:eastAsia="Calibri" w:hAnsi="Arial" w:cs="Arial"/>
          <w:color w:val="000000"/>
          <w:sz w:val="22"/>
        </w:rPr>
        <w:t>.</w:t>
      </w:r>
    </w:p>
    <w:p w14:paraId="06C85E28" w14:textId="77777777" w:rsidR="00BB6E5C" w:rsidRPr="004066E7" w:rsidRDefault="00BB6E5C" w:rsidP="00BB6E5C">
      <w:pPr>
        <w:spacing w:line="276" w:lineRule="auto"/>
        <w:jc w:val="both"/>
        <w:rPr>
          <w:rFonts w:ascii="Arial" w:eastAsia="Calibri" w:hAnsi="Arial" w:cs="Arial"/>
          <w:b/>
          <w:bCs/>
          <w:color w:val="000000"/>
          <w:sz w:val="22"/>
        </w:rPr>
      </w:pPr>
    </w:p>
    <w:p w14:paraId="222D492D" w14:textId="5AB25734" w:rsidR="001434A4" w:rsidRPr="004066E7" w:rsidRDefault="001434A4" w:rsidP="00BB6E5C">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b) Decreto Ley 591 de 1991</w:t>
      </w:r>
    </w:p>
    <w:p w14:paraId="3E5D1804" w14:textId="77777777" w:rsidR="001434A4" w:rsidRPr="004066E7" w:rsidRDefault="001434A4" w:rsidP="001434A4">
      <w:pPr>
        <w:spacing w:line="276" w:lineRule="auto"/>
        <w:jc w:val="both"/>
        <w:rPr>
          <w:rFonts w:ascii="Arial" w:eastAsia="Calibri" w:hAnsi="Arial" w:cs="Arial"/>
          <w:color w:val="000000"/>
          <w:sz w:val="22"/>
        </w:rPr>
      </w:pPr>
    </w:p>
    <w:p w14:paraId="146F3509" w14:textId="77777777"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ii) contratos de administración de proyectos y iii) convenios especiales de cooperación.</w:t>
      </w:r>
    </w:p>
    <w:p w14:paraId="09525D1C" w14:textId="77777777"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ab/>
      </w:r>
    </w:p>
    <w:p w14:paraId="37CAAF8C" w14:textId="77777777" w:rsidR="001434A4" w:rsidRPr="004066E7" w:rsidRDefault="001434A4" w:rsidP="001434A4">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i) Contrato de financiamiento</w:t>
      </w:r>
    </w:p>
    <w:p w14:paraId="75BD666C" w14:textId="77777777" w:rsidR="001434A4" w:rsidRPr="004066E7" w:rsidRDefault="001434A4" w:rsidP="001434A4">
      <w:pPr>
        <w:spacing w:line="276" w:lineRule="auto"/>
        <w:jc w:val="both"/>
        <w:rPr>
          <w:rFonts w:ascii="Arial" w:eastAsia="Calibri" w:hAnsi="Arial" w:cs="Arial"/>
          <w:b/>
          <w:bCs/>
          <w:color w:val="000000"/>
          <w:sz w:val="22"/>
        </w:rPr>
      </w:pPr>
    </w:p>
    <w:p w14:paraId="7E0F31E5" w14:textId="77777777" w:rsidR="001434A4" w:rsidRPr="004066E7" w:rsidRDefault="001434A4" w:rsidP="001434A4">
      <w:pPr>
        <w:spacing w:after="120" w:line="276" w:lineRule="auto"/>
        <w:jc w:val="both"/>
        <w:rPr>
          <w:rFonts w:ascii="Arial" w:eastAsia="Calibri" w:hAnsi="Arial" w:cs="Arial"/>
          <w:color w:val="000000"/>
          <w:sz w:val="22"/>
        </w:rPr>
      </w:pPr>
      <w:r w:rsidRPr="004066E7">
        <w:rPr>
          <w:rFonts w:ascii="Arial" w:eastAsia="Calibri" w:hAnsi="Arial" w:cs="Arial"/>
          <w:color w:val="000000"/>
          <w:sz w:val="22"/>
        </w:rPr>
        <w:t>Su propósito es entregar recursos al contratista ‒particular o entidad estatal‒ los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27FA175A" w14:textId="77777777"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ab/>
        <w:t xml:space="preserve">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(ii) el artículo 8 del Decreto–Ley 591 de 1991». </w:t>
      </w:r>
    </w:p>
    <w:p w14:paraId="405EA698" w14:textId="77777777" w:rsidR="001434A4" w:rsidRPr="004066E7" w:rsidRDefault="001434A4" w:rsidP="001434A4">
      <w:pPr>
        <w:spacing w:line="276" w:lineRule="auto"/>
        <w:jc w:val="both"/>
        <w:rPr>
          <w:rFonts w:ascii="Arial" w:eastAsia="Calibri" w:hAnsi="Arial" w:cs="Arial"/>
          <w:color w:val="000000"/>
          <w:sz w:val="22"/>
        </w:rPr>
      </w:pPr>
    </w:p>
    <w:p w14:paraId="0A29F954" w14:textId="77777777" w:rsidR="001434A4" w:rsidRPr="004066E7" w:rsidRDefault="001434A4" w:rsidP="001434A4">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ii) Contrato de administración de proyectos</w:t>
      </w:r>
    </w:p>
    <w:p w14:paraId="074EB268" w14:textId="77777777" w:rsidR="001434A4" w:rsidRPr="004066E7" w:rsidRDefault="001434A4" w:rsidP="001434A4">
      <w:pPr>
        <w:spacing w:line="276" w:lineRule="auto"/>
        <w:jc w:val="both"/>
        <w:rPr>
          <w:rFonts w:ascii="Arial" w:eastAsia="Calibri" w:hAnsi="Arial" w:cs="Arial"/>
          <w:b/>
          <w:bCs/>
          <w:color w:val="000000"/>
          <w:sz w:val="22"/>
        </w:rPr>
      </w:pPr>
    </w:p>
    <w:p w14:paraId="711EFDAB" w14:textId="77777777"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 xml:space="preserve">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w:t>
      </w:r>
      <w:r w:rsidRPr="004066E7">
        <w:rPr>
          <w:rFonts w:ascii="Arial" w:eastAsia="Calibri" w:hAnsi="Arial" w:cs="Arial"/>
          <w:color w:val="000000"/>
          <w:sz w:val="22"/>
        </w:rPr>
        <w:lastRenderedPageBreak/>
        <w:t>Circular Externa Única de Colombia Compra Eficiente señala que su régimen es el Estatuto General de Contratación de la Administración Pública, con aplicación de la modalidad de contratación directa</w:t>
      </w:r>
      <w:r w:rsidRPr="004066E7">
        <w:rPr>
          <w:rFonts w:ascii="Arial" w:eastAsia="Calibri" w:hAnsi="Arial" w:cs="Arial"/>
          <w:color w:val="000000"/>
          <w:sz w:val="22"/>
          <w:vertAlign w:val="superscript"/>
        </w:rPr>
        <w:footnoteReference w:id="9"/>
      </w:r>
      <w:r w:rsidRPr="004066E7">
        <w:rPr>
          <w:rFonts w:ascii="Arial" w:eastAsia="Calibri" w:hAnsi="Arial" w:cs="Arial"/>
          <w:color w:val="000000"/>
          <w:sz w:val="22"/>
        </w:rPr>
        <w:t>.</w:t>
      </w:r>
    </w:p>
    <w:p w14:paraId="4CF68AAC" w14:textId="77777777" w:rsidR="001434A4" w:rsidRPr="004066E7" w:rsidRDefault="001434A4" w:rsidP="001434A4">
      <w:pPr>
        <w:spacing w:line="276" w:lineRule="auto"/>
        <w:jc w:val="both"/>
        <w:rPr>
          <w:rFonts w:ascii="Arial" w:eastAsia="Calibri" w:hAnsi="Arial" w:cs="Arial"/>
          <w:color w:val="000000"/>
          <w:sz w:val="22"/>
        </w:rPr>
      </w:pPr>
    </w:p>
    <w:p w14:paraId="2932C493" w14:textId="77777777" w:rsidR="001434A4" w:rsidRPr="004066E7" w:rsidRDefault="001434A4" w:rsidP="001434A4">
      <w:pPr>
        <w:spacing w:line="276" w:lineRule="auto"/>
        <w:jc w:val="both"/>
        <w:rPr>
          <w:rFonts w:ascii="Arial" w:eastAsia="Calibri" w:hAnsi="Arial" w:cs="Arial"/>
          <w:b/>
          <w:bCs/>
          <w:color w:val="000000"/>
          <w:sz w:val="22"/>
        </w:rPr>
      </w:pPr>
      <w:r w:rsidRPr="004066E7">
        <w:rPr>
          <w:rFonts w:ascii="Arial" w:eastAsia="Calibri" w:hAnsi="Arial" w:cs="Arial"/>
          <w:b/>
          <w:bCs/>
          <w:color w:val="000000"/>
          <w:sz w:val="22"/>
        </w:rPr>
        <w:t>iii) Convenio especial de cooperación</w:t>
      </w:r>
    </w:p>
    <w:p w14:paraId="1BABF7F2" w14:textId="77777777" w:rsidR="001434A4" w:rsidRPr="004066E7" w:rsidRDefault="001434A4" w:rsidP="001434A4">
      <w:pPr>
        <w:spacing w:line="276" w:lineRule="auto"/>
        <w:jc w:val="both"/>
        <w:rPr>
          <w:rFonts w:ascii="Arial" w:eastAsia="Calibri" w:hAnsi="Arial" w:cs="Arial"/>
          <w:color w:val="000000"/>
          <w:sz w:val="22"/>
        </w:rPr>
      </w:pPr>
    </w:p>
    <w:p w14:paraId="2F53CFC3" w14:textId="77777777" w:rsidR="001434A4" w:rsidRPr="004066E7" w:rsidRDefault="001434A4" w:rsidP="001434A4">
      <w:pPr>
        <w:spacing w:line="276" w:lineRule="auto"/>
        <w:jc w:val="both"/>
        <w:rPr>
          <w:rFonts w:ascii="Arial" w:eastAsia="Calibri" w:hAnsi="Arial" w:cs="Arial"/>
          <w:color w:val="000000"/>
          <w:sz w:val="22"/>
        </w:rPr>
      </w:pPr>
      <w:r w:rsidRPr="004066E7">
        <w:rPr>
          <w:rFonts w:ascii="Arial" w:eastAsia="Calibri" w:hAnsi="Arial" w:cs="Arial"/>
          <w:color w:val="000000"/>
          <w:sz w:val="22"/>
        </w:rPr>
        <w:t>A este convenio se había referido el Decreto 393 de 1991, anterior al Decreto 591 de 1991, por lo cual este último no contiene disposiciones con elementos adicionales a lo que estaba regulado</w:t>
      </w:r>
      <w:r w:rsidRPr="004066E7">
        <w:rPr>
          <w:rFonts w:ascii="Arial" w:eastAsia="Calibri" w:hAnsi="Arial" w:cs="Arial"/>
          <w:color w:val="000000"/>
          <w:sz w:val="22"/>
          <w:vertAlign w:val="superscript"/>
        </w:rPr>
        <w:footnoteReference w:id="10"/>
      </w:r>
      <w:r w:rsidRPr="004066E7">
        <w:rPr>
          <w:rFonts w:ascii="Arial" w:eastAsia="Calibri" w:hAnsi="Arial" w:cs="Arial"/>
          <w:color w:val="000000"/>
          <w:sz w:val="22"/>
        </w:rPr>
        <w:t>. Para finalizar, el artículo 19 señala que dependiendo de la modalidad de contrato ‒financiamiento, administración de proyectos, convenio especial de cooperación‒ será necesario pactar cláusulas respecto de la transferencia tecnológica, que deben tener en cuenta los lineamientos del Consejo Nacional de Ciencia y Tecnología.</w:t>
      </w:r>
    </w:p>
    <w:p w14:paraId="5698E38B" w14:textId="42FE19B0" w:rsidR="00C53AC7" w:rsidRPr="004066E7" w:rsidRDefault="00C53AC7" w:rsidP="003779D5">
      <w:pPr>
        <w:spacing w:line="276" w:lineRule="auto"/>
        <w:jc w:val="both"/>
        <w:rPr>
          <w:rFonts w:ascii="Arial" w:eastAsia="Calibri" w:hAnsi="Arial" w:cs="Arial"/>
          <w:bCs/>
          <w:sz w:val="22"/>
          <w:lang w:val="es-ES_tradnl"/>
        </w:rPr>
      </w:pPr>
    </w:p>
    <w:p w14:paraId="6E4BB750" w14:textId="1A523A2D" w:rsidR="00F1108B" w:rsidRPr="004066E7" w:rsidRDefault="00F1108B" w:rsidP="001F4546">
      <w:pPr>
        <w:pStyle w:val="Prrafodelista"/>
        <w:tabs>
          <w:tab w:val="left" w:pos="284"/>
        </w:tabs>
        <w:spacing w:line="276" w:lineRule="auto"/>
        <w:ind w:left="0"/>
        <w:jc w:val="both"/>
        <w:rPr>
          <w:rFonts w:ascii="Arial" w:eastAsia="Calibri" w:hAnsi="Arial" w:cs="Arial"/>
          <w:sz w:val="22"/>
        </w:rPr>
      </w:pPr>
      <w:r w:rsidRPr="004066E7">
        <w:rPr>
          <w:rFonts w:ascii="Arial" w:eastAsia="Calibri" w:hAnsi="Arial" w:cs="Arial"/>
          <w:b/>
          <w:sz w:val="22"/>
        </w:rPr>
        <w:t>3. Respuesta</w:t>
      </w:r>
      <w:r w:rsidR="00510E27" w:rsidRPr="004066E7">
        <w:rPr>
          <w:rFonts w:ascii="Arial" w:eastAsia="Calibri" w:hAnsi="Arial" w:cs="Arial"/>
          <w:b/>
          <w:sz w:val="22"/>
        </w:rPr>
        <w:t xml:space="preserve"> </w:t>
      </w:r>
    </w:p>
    <w:p w14:paraId="4760AC28" w14:textId="125C7C25" w:rsidR="00FC113C" w:rsidRPr="004066E7" w:rsidRDefault="00FC113C">
      <w:pPr>
        <w:tabs>
          <w:tab w:val="left" w:pos="426"/>
        </w:tabs>
        <w:spacing w:line="276" w:lineRule="auto"/>
        <w:ind w:right="709"/>
        <w:jc w:val="both"/>
        <w:rPr>
          <w:rFonts w:ascii="Arial" w:eastAsia="Calibri" w:hAnsi="Arial" w:cs="Arial"/>
          <w:sz w:val="22"/>
        </w:rPr>
      </w:pPr>
    </w:p>
    <w:p w14:paraId="4EBE8B21" w14:textId="06DE9CA9"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 xml:space="preserve">Respecto de las tipologías contractuales en los procesos de compra pública para la Innovación y la Circular No. 6 del 27 de septiembre de 2013: </w:t>
      </w:r>
    </w:p>
    <w:p w14:paraId="7EEC443B" w14:textId="77777777"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p>
    <w:p w14:paraId="49028411" w14:textId="77777777"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 xml:space="preserve">«En dicha circular, se describen tres (3) tipos de contratos: </w:t>
      </w:r>
    </w:p>
    <w:p w14:paraId="00916B1A" w14:textId="77777777"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a) Convenio especial de cooperación</w:t>
      </w:r>
    </w:p>
    <w:p w14:paraId="65C67FA3" w14:textId="77777777"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b) Contratos de financiamiento</w:t>
      </w:r>
    </w:p>
    <w:p w14:paraId="0B1B7D17" w14:textId="77777777"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 xml:space="preserve">c) Contratos para la administración de proyectos. </w:t>
      </w:r>
    </w:p>
    <w:p w14:paraId="389A9760" w14:textId="77777777" w:rsidR="00111011" w:rsidRPr="004066E7" w:rsidRDefault="00111011" w:rsidP="00111011">
      <w:pPr>
        <w:tabs>
          <w:tab w:val="left" w:pos="426"/>
        </w:tabs>
        <w:ind w:left="709" w:right="709"/>
        <w:jc w:val="both"/>
        <w:rPr>
          <w:rFonts w:ascii="Arial" w:hAnsi="Arial" w:cs="Arial"/>
          <w:color w:val="000000" w:themeColor="text1"/>
          <w:sz w:val="21"/>
          <w:szCs w:val="21"/>
          <w:lang w:val="es-ES_tradnl"/>
        </w:rPr>
      </w:pPr>
    </w:p>
    <w:p w14:paraId="01135064" w14:textId="1DAE044F" w:rsidR="000D10ED" w:rsidRPr="004066E7" w:rsidRDefault="00111011" w:rsidP="00111011">
      <w:pPr>
        <w:tabs>
          <w:tab w:val="left" w:pos="426"/>
        </w:tabs>
        <w:ind w:left="709" w:right="709"/>
        <w:jc w:val="both"/>
        <w:rPr>
          <w:rFonts w:ascii="Arial" w:hAnsi="Arial" w:cs="Arial"/>
          <w:color w:val="000000" w:themeColor="text1"/>
          <w:sz w:val="21"/>
          <w:szCs w:val="21"/>
          <w:lang w:val="es-ES_tradnl"/>
        </w:rPr>
      </w:pPr>
      <w:r w:rsidRPr="004066E7">
        <w:rPr>
          <w:rFonts w:ascii="Arial" w:hAnsi="Arial" w:cs="Arial"/>
          <w:color w:val="000000" w:themeColor="text1"/>
          <w:sz w:val="21"/>
          <w:szCs w:val="21"/>
          <w:lang w:val="es-ES_tradnl"/>
        </w:rPr>
        <w:t>Así las cosas, solicito de manera respetuosa aclarar si esta lista es taxativa; es decir, si una entidad pública que precise celebrar un contrato en el marco del Proceso de Compra Pública para la Innovación, NO puede hacer uso de ninguna de las otras tipologías contractuales contenidas en el ordenamiento jurídico, sino que debe limitarse a las tres que menciona la referida circular».</w:t>
      </w:r>
      <w:r w:rsidR="000D10ED" w:rsidRPr="004066E7">
        <w:rPr>
          <w:rFonts w:ascii="Arial" w:hAnsi="Arial" w:cs="Arial"/>
          <w:color w:val="000000" w:themeColor="text1"/>
          <w:sz w:val="21"/>
          <w:szCs w:val="21"/>
          <w:lang w:val="es-ES_tradnl"/>
        </w:rPr>
        <w:t>».</w:t>
      </w:r>
    </w:p>
    <w:p w14:paraId="076F63A4" w14:textId="77777777" w:rsidR="00B04BA9" w:rsidRPr="004066E7" w:rsidRDefault="00B04BA9" w:rsidP="00950C81">
      <w:pPr>
        <w:tabs>
          <w:tab w:val="left" w:pos="426"/>
        </w:tabs>
        <w:ind w:left="709" w:right="709"/>
        <w:jc w:val="both"/>
        <w:rPr>
          <w:rFonts w:ascii="Arial" w:eastAsia="Calibri" w:hAnsi="Arial" w:cs="Arial"/>
          <w:sz w:val="21"/>
          <w:szCs w:val="21"/>
        </w:rPr>
      </w:pPr>
    </w:p>
    <w:p w14:paraId="7BFF8409" w14:textId="7BA75872" w:rsidR="004C2257" w:rsidRPr="004066E7" w:rsidRDefault="00251553" w:rsidP="00B020E9">
      <w:pPr>
        <w:spacing w:before="120" w:line="276" w:lineRule="auto"/>
        <w:jc w:val="both"/>
        <w:rPr>
          <w:rFonts w:ascii="Arial" w:eastAsia="Calibri" w:hAnsi="Arial" w:cs="Arial"/>
          <w:bCs/>
          <w:sz w:val="22"/>
          <w:lang w:val="es-ES_tradnl"/>
        </w:rPr>
      </w:pPr>
      <w:r w:rsidRPr="004066E7">
        <w:rPr>
          <w:rFonts w:ascii="Arial" w:eastAsia="Calibri" w:hAnsi="Arial" w:cs="Arial"/>
          <w:bCs/>
          <w:sz w:val="22"/>
          <w:lang w:val="es-ES_tradnl"/>
        </w:rPr>
        <w:t>Se aclara que, t</w:t>
      </w:r>
      <w:r w:rsidR="004C2257" w:rsidRPr="004066E7">
        <w:rPr>
          <w:rFonts w:ascii="Arial" w:eastAsia="Calibri" w:hAnsi="Arial" w:cs="Arial"/>
          <w:bCs/>
          <w:sz w:val="22"/>
          <w:lang w:val="es-ES_tradnl"/>
        </w:rPr>
        <w:t xml:space="preserve">ratándose de </w:t>
      </w:r>
      <w:r w:rsidR="001A66B2" w:rsidRPr="004066E7">
        <w:rPr>
          <w:rFonts w:ascii="Arial" w:eastAsia="Calibri" w:hAnsi="Arial" w:cs="Arial"/>
          <w:bCs/>
          <w:sz w:val="22"/>
          <w:lang w:val="es-ES_tradnl"/>
        </w:rPr>
        <w:t xml:space="preserve">la </w:t>
      </w:r>
      <w:r w:rsidR="004C2257" w:rsidRPr="004066E7">
        <w:rPr>
          <w:rFonts w:ascii="Arial" w:eastAsia="Calibri" w:hAnsi="Arial" w:cs="Arial"/>
          <w:bCs/>
          <w:sz w:val="22"/>
          <w:lang w:val="es-ES_tradnl"/>
        </w:rPr>
        <w:t>Circular Externa No. 6</w:t>
      </w:r>
      <w:r w:rsidR="001A66B2" w:rsidRPr="004066E7">
        <w:rPr>
          <w:rFonts w:ascii="Arial" w:eastAsia="Calibri" w:hAnsi="Arial" w:cs="Arial"/>
          <w:bCs/>
          <w:sz w:val="22"/>
          <w:lang w:val="es-ES_tradnl"/>
        </w:rPr>
        <w:t xml:space="preserve"> de 2013</w:t>
      </w:r>
      <w:r w:rsidR="004C2257" w:rsidRPr="004066E7">
        <w:rPr>
          <w:rFonts w:ascii="Arial" w:eastAsia="Calibri" w:hAnsi="Arial" w:cs="Arial"/>
          <w:bCs/>
          <w:sz w:val="22"/>
          <w:lang w:val="es-ES_tradnl"/>
        </w:rPr>
        <w:t xml:space="preserve">, la Circular Externa Única en el numeral 18 establece que la misma «sustituye integralmente todas las circulares que Colombia Compra Eficiente haya expedido con anterioridad a su publicación», por lo tanto, </w:t>
      </w:r>
      <w:r w:rsidR="004C2257" w:rsidRPr="004066E7">
        <w:rPr>
          <w:rFonts w:ascii="Arial" w:eastAsia="Calibri" w:hAnsi="Arial" w:cs="Arial"/>
          <w:bCs/>
          <w:sz w:val="22"/>
          <w:lang w:val="es-ES_tradnl"/>
        </w:rPr>
        <w:lastRenderedPageBreak/>
        <w:t>la Circular Externa No. 6 no se encuentra vigente y</w:t>
      </w:r>
      <w:r w:rsidR="001A66B2" w:rsidRPr="004066E7">
        <w:rPr>
          <w:rFonts w:ascii="Arial" w:eastAsia="Calibri" w:hAnsi="Arial" w:cs="Arial"/>
          <w:bCs/>
          <w:sz w:val="22"/>
          <w:lang w:val="es-ES_tradnl"/>
        </w:rPr>
        <w:t>,</w:t>
      </w:r>
      <w:r w:rsidR="004C2257" w:rsidRPr="004066E7">
        <w:rPr>
          <w:rFonts w:ascii="Arial" w:eastAsia="Calibri" w:hAnsi="Arial" w:cs="Arial"/>
          <w:bCs/>
          <w:sz w:val="22"/>
          <w:lang w:val="es-ES_tradnl"/>
        </w:rPr>
        <w:t xml:space="preserve"> en ese sentido</w:t>
      </w:r>
      <w:r w:rsidR="001A66B2" w:rsidRPr="004066E7">
        <w:rPr>
          <w:rFonts w:ascii="Arial" w:eastAsia="Calibri" w:hAnsi="Arial" w:cs="Arial"/>
          <w:bCs/>
          <w:sz w:val="22"/>
          <w:lang w:val="es-ES_tradnl"/>
        </w:rPr>
        <w:t>,</w:t>
      </w:r>
      <w:r w:rsidR="004C2257" w:rsidRPr="004066E7">
        <w:rPr>
          <w:rFonts w:ascii="Arial" w:eastAsia="Calibri" w:hAnsi="Arial" w:cs="Arial"/>
          <w:bCs/>
          <w:sz w:val="22"/>
          <w:lang w:val="es-ES_tradnl"/>
        </w:rPr>
        <w:t xml:space="preserve"> para la temática bajo estudio habrá que remitirse a lo establecido por la Circular Externa Única, sin perjuicio de las precisiones realizadas en este concepto.</w:t>
      </w:r>
    </w:p>
    <w:p w14:paraId="19B3ADB6" w14:textId="322D9851" w:rsidR="00F23BE9" w:rsidRPr="004066E7" w:rsidRDefault="00666F46" w:rsidP="00F23BE9">
      <w:pPr>
        <w:spacing w:before="120" w:line="276" w:lineRule="auto"/>
        <w:ind w:firstLine="709"/>
        <w:jc w:val="both"/>
        <w:rPr>
          <w:rFonts w:ascii="Arial" w:hAnsi="Arial" w:cs="Arial"/>
          <w:color w:val="000000" w:themeColor="text1"/>
          <w:sz w:val="22"/>
        </w:rPr>
      </w:pPr>
      <w:r w:rsidRPr="004066E7">
        <w:rPr>
          <w:rFonts w:ascii="Arial" w:eastAsia="Calibri" w:hAnsi="Arial" w:cs="Arial"/>
          <w:color w:val="000000" w:themeColor="text1"/>
          <w:sz w:val="22"/>
          <w:lang w:val="es-ES"/>
        </w:rPr>
        <w:t xml:space="preserve">Es importante tener en cuenta que la Circular Externa Única en su numeral 13 desarrolla la contratación de actividades de ciencia, tecnología e innovación. </w:t>
      </w:r>
      <w:r w:rsidR="00B07E16" w:rsidRPr="004066E7">
        <w:rPr>
          <w:rFonts w:ascii="Arial" w:eastAsia="Calibri" w:hAnsi="Arial" w:cs="Arial"/>
          <w:color w:val="000000" w:themeColor="text1"/>
          <w:sz w:val="22"/>
          <w:lang w:val="es-ES"/>
        </w:rPr>
        <w:t xml:space="preserve">De conformidad con las consideraciones </w:t>
      </w:r>
      <w:r w:rsidRPr="004066E7">
        <w:rPr>
          <w:rFonts w:ascii="Arial" w:eastAsia="Calibri" w:hAnsi="Arial" w:cs="Arial"/>
          <w:color w:val="000000" w:themeColor="text1"/>
          <w:sz w:val="22"/>
          <w:lang w:val="es-ES"/>
        </w:rPr>
        <w:t>efectuadas en este concepto</w:t>
      </w:r>
      <w:r w:rsidR="004C2257" w:rsidRPr="004066E7">
        <w:rPr>
          <w:rFonts w:ascii="Arial" w:eastAsia="Calibri" w:hAnsi="Arial" w:cs="Arial"/>
          <w:color w:val="000000" w:themeColor="text1"/>
          <w:sz w:val="22"/>
          <w:lang w:val="es-ES"/>
        </w:rPr>
        <w:t>,</w:t>
      </w:r>
      <w:r w:rsidRPr="004066E7">
        <w:rPr>
          <w:rFonts w:ascii="Arial" w:eastAsia="Calibri" w:hAnsi="Arial" w:cs="Arial"/>
          <w:color w:val="000000" w:themeColor="text1"/>
          <w:sz w:val="22"/>
          <w:lang w:val="es-ES"/>
        </w:rPr>
        <w:t xml:space="preserve"> que resultan acordes con lo establecido en la Circular,</w:t>
      </w:r>
      <w:r w:rsidR="004C2257" w:rsidRPr="004066E7">
        <w:rPr>
          <w:rFonts w:ascii="Arial" w:eastAsia="Calibri" w:hAnsi="Arial" w:cs="Arial"/>
          <w:color w:val="000000" w:themeColor="text1"/>
          <w:sz w:val="22"/>
          <w:lang w:val="es-ES"/>
        </w:rPr>
        <w:t xml:space="preserve"> e</w:t>
      </w:r>
      <w:r w:rsidR="00F23BE9" w:rsidRPr="004066E7">
        <w:rPr>
          <w:rFonts w:ascii="Arial" w:eastAsia="Calibri" w:hAnsi="Arial" w:cs="Arial"/>
          <w:color w:val="000000" w:themeColor="text1"/>
          <w:sz w:val="22"/>
          <w:lang w:val="es-ES"/>
        </w:rPr>
        <w:t xml:space="preserve">n caso de que una entidad estatal defina que el objeto que pretende contratar es una actividad de ciencia, tecnología e innovación, el Decreto 393 de 1991 prevé dos formas de asociación para que las entidades ejecuten actividades científicas y tecnológicas, proyectos de investigación y creación de tecnologías: i) crear personas jurídicas civiles, comerciales y sin ánimo de lucro y ii) celebrar convenios especiales de cooperación. Estas formas de asociación son diferentes, y su régimen es el derecho privado, de conformidad con el decreto citado, por lo que no es aplicable la normativa de contratación pública y sus modalidades de selección. Por otra parte, el Decreto 591 de 1991 regula 3 tipos de contratos: </w:t>
      </w:r>
      <w:r w:rsidR="00F23BE9" w:rsidRPr="004066E7">
        <w:rPr>
          <w:rFonts w:ascii="Arial" w:hAnsi="Arial" w:cs="Arial"/>
          <w:color w:val="000000" w:themeColor="text1"/>
          <w:sz w:val="22"/>
        </w:rPr>
        <w:t xml:space="preserve">i) contratos de financiamiento, ii) contratos de administración de proyectos y iii) convenios especiales de cooperación, y este último es igual al convenio del mismo nombre definido en el Decreto 393 de 1991. </w:t>
      </w:r>
    </w:p>
    <w:p w14:paraId="1D1BE913" w14:textId="1A392143" w:rsidR="00F23BE9" w:rsidRPr="004066E7" w:rsidRDefault="00F23BE9" w:rsidP="00F23BE9">
      <w:pPr>
        <w:spacing w:before="120" w:line="276" w:lineRule="auto"/>
        <w:ind w:firstLine="709"/>
        <w:jc w:val="both"/>
        <w:rPr>
          <w:rFonts w:ascii="Arial" w:hAnsi="Arial" w:cs="Arial"/>
          <w:color w:val="000000" w:themeColor="text1"/>
          <w:sz w:val="22"/>
        </w:rPr>
      </w:pPr>
      <w:r w:rsidRPr="004066E7">
        <w:rPr>
          <w:rFonts w:ascii="Arial" w:hAnsi="Arial" w:cs="Arial"/>
          <w:color w:val="000000" w:themeColor="text1"/>
          <w:sz w:val="22"/>
        </w:rPr>
        <w:t xml:space="preserve">De acuerdo con la Circular Externa Única de Colombia Compra Eficiente, la regulación mencionada anteriormente es el régimen jurídico de las actividades de ciencia, tecnología e innovación, por lo cual la causal de contratación directa de la Ley 1150 de 2007 relacionada con </w:t>
      </w:r>
      <w:r w:rsidR="00282CAF" w:rsidRPr="004066E7">
        <w:rPr>
          <w:rFonts w:ascii="Arial" w:hAnsi="Arial" w:cs="Arial"/>
          <w:color w:val="000000" w:themeColor="text1"/>
          <w:sz w:val="22"/>
        </w:rPr>
        <w:t>las actividades científicas y tecnológicas</w:t>
      </w:r>
      <w:r w:rsidRPr="004066E7">
        <w:rPr>
          <w:rFonts w:ascii="Arial" w:hAnsi="Arial" w:cs="Arial"/>
          <w:color w:val="000000" w:themeColor="text1"/>
          <w:sz w:val="22"/>
        </w:rPr>
        <w:t xml:space="preserve"> se rige por aquella, y en esa medida las entidades deben aplicar esas normas cuando su objeto contractual sea ciencia, tecnología e innovación, y contratarlo mediante los convenios y contratos de las normas citadas, de los cuales solo los contratos de financiamiento y de administración de proyectos aplican las Leyes 80 de 1993 y 1150 de 2007, y pueden celebrarse mediante contratación directa.</w:t>
      </w:r>
    </w:p>
    <w:p w14:paraId="08F89096" w14:textId="77777777" w:rsidR="00180477" w:rsidRPr="004066E7" w:rsidRDefault="00180477" w:rsidP="001F4546">
      <w:pPr>
        <w:spacing w:line="276" w:lineRule="auto"/>
        <w:jc w:val="both"/>
        <w:rPr>
          <w:rFonts w:ascii="Arial" w:eastAsia="Calibri" w:hAnsi="Arial" w:cs="Arial"/>
          <w:sz w:val="22"/>
        </w:rPr>
      </w:pPr>
    </w:p>
    <w:p w14:paraId="7AE9D132" w14:textId="0673B3D5" w:rsidR="001F4546" w:rsidRPr="004066E7" w:rsidRDefault="00F1108B" w:rsidP="001F4546">
      <w:pPr>
        <w:shd w:val="clear" w:color="auto" w:fill="FFFFFF"/>
        <w:spacing w:after="120" w:line="276" w:lineRule="auto"/>
        <w:jc w:val="both"/>
        <w:rPr>
          <w:rFonts w:ascii="Arial" w:hAnsi="Arial" w:cs="Arial"/>
          <w:sz w:val="22"/>
          <w:lang w:val="es-ES_tradnl"/>
        </w:rPr>
      </w:pPr>
      <w:r w:rsidRPr="004066E7">
        <w:rPr>
          <w:rFonts w:ascii="Arial" w:eastAsia="Calibri" w:hAnsi="Arial" w:cs="Arial"/>
          <w:sz w:val="22"/>
        </w:rPr>
        <w:t>Este concepto tiene el alcance previsto en el artículo 28 del Código de Procedimiento Administrativo y de lo Contencioso Administrativo.</w:t>
      </w:r>
    </w:p>
    <w:p w14:paraId="770B636C" w14:textId="2819699C" w:rsidR="001F4546" w:rsidRPr="004066E7" w:rsidRDefault="001F4546" w:rsidP="001F4546">
      <w:pPr>
        <w:pStyle w:val="NormalWeb"/>
        <w:spacing w:before="0" w:beforeAutospacing="0" w:after="0" w:afterAutospacing="0" w:line="276" w:lineRule="auto"/>
        <w:jc w:val="center"/>
        <w:rPr>
          <w:rFonts w:ascii="Arial" w:hAnsi="Arial" w:cs="Arial"/>
          <w:sz w:val="22"/>
          <w:szCs w:val="22"/>
          <w:lang w:val="es-ES_tradnl"/>
        </w:rPr>
      </w:pPr>
    </w:p>
    <w:p w14:paraId="0AF2149B" w14:textId="3DD36879" w:rsidR="001F4546" w:rsidRPr="004066E7" w:rsidRDefault="00F27A5B" w:rsidP="001F4546">
      <w:pPr>
        <w:jc w:val="center"/>
        <w:rPr>
          <w:rFonts w:ascii="Arial" w:hAnsi="Arial" w:cs="Arial"/>
          <w:sz w:val="18"/>
          <w:szCs w:val="20"/>
          <w:lang w:val="es-ES_tradnl" w:eastAsia="es-CO"/>
        </w:rPr>
      </w:pPr>
      <w:r>
        <w:rPr>
          <w:noProof/>
        </w:rPr>
        <w:drawing>
          <wp:inline distT="0" distB="0" distL="0" distR="0" wp14:anchorId="725BC07F" wp14:editId="44F4CBF0">
            <wp:extent cx="2514600" cy="11144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040D4738" w14:textId="77777777" w:rsidR="001F4546" w:rsidRPr="004066E7" w:rsidRDefault="001F4546" w:rsidP="001F4546">
      <w:pPr>
        <w:jc w:val="center"/>
        <w:rPr>
          <w:rFonts w:ascii="Arial" w:hAnsi="Arial" w:cs="Arial"/>
          <w:sz w:val="18"/>
          <w:szCs w:val="20"/>
          <w:lang w:val="es-ES_tradnl" w:eastAsia="es-CO"/>
        </w:rPr>
      </w:pPr>
    </w:p>
    <w:p w14:paraId="0C71D8B5" w14:textId="77777777" w:rsidR="001F4546" w:rsidRPr="004066E7" w:rsidRDefault="001F4546" w:rsidP="001F4546">
      <w:pPr>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262CF" w:rsidRPr="004066E7" w14:paraId="3A981424" w14:textId="77777777" w:rsidTr="0064799C">
        <w:trPr>
          <w:trHeight w:val="315"/>
        </w:trPr>
        <w:tc>
          <w:tcPr>
            <w:tcW w:w="812" w:type="dxa"/>
            <w:vAlign w:val="center"/>
            <w:hideMark/>
          </w:tcPr>
          <w:p w14:paraId="2BC4AD0C" w14:textId="77777777" w:rsidR="005262CF" w:rsidRPr="004066E7" w:rsidRDefault="005262CF"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32F6C8B" w14:textId="0B14D54C" w:rsidR="005262CF" w:rsidRPr="004066E7" w:rsidRDefault="00251553"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Nathalia Urrego Jiménez</w:t>
            </w:r>
          </w:p>
          <w:p w14:paraId="3D63D967" w14:textId="77777777" w:rsidR="005262CF" w:rsidRPr="004066E7" w:rsidRDefault="005262CF"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Contratista de la Subdirección de Gestión Contractual</w:t>
            </w:r>
          </w:p>
        </w:tc>
      </w:tr>
      <w:tr w:rsidR="005262CF" w:rsidRPr="004066E7" w14:paraId="4525BD82" w14:textId="77777777" w:rsidTr="0064799C">
        <w:trPr>
          <w:trHeight w:val="330"/>
        </w:trPr>
        <w:tc>
          <w:tcPr>
            <w:tcW w:w="812" w:type="dxa"/>
            <w:vAlign w:val="center"/>
            <w:hideMark/>
          </w:tcPr>
          <w:p w14:paraId="77498D1B" w14:textId="77777777" w:rsidR="005262CF" w:rsidRPr="004066E7" w:rsidRDefault="005262CF"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C2D37C3" w14:textId="2B793134" w:rsidR="005262CF" w:rsidRPr="004066E7" w:rsidRDefault="00251553" w:rsidP="005262CF">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 xml:space="preserve">Sebastian Ramirez Grisales </w:t>
            </w:r>
          </w:p>
          <w:p w14:paraId="1DF117AB" w14:textId="00DB4230" w:rsidR="005262CF" w:rsidRPr="004066E7" w:rsidRDefault="00251553" w:rsidP="005262CF">
            <w:pPr>
              <w:jc w:val="both"/>
              <w:rPr>
                <w:rFonts w:ascii="Arial" w:hAnsi="Arial" w:cs="Arial"/>
                <w:color w:val="000000" w:themeColor="text1"/>
                <w:sz w:val="16"/>
                <w:szCs w:val="16"/>
                <w:lang w:val="es-ES_tradnl" w:eastAsia="es-ES"/>
              </w:rPr>
            </w:pPr>
            <w:r w:rsidRPr="004066E7">
              <w:rPr>
                <w:rFonts w:ascii="Arial" w:eastAsia="Arial" w:hAnsi="Arial" w:cs="Arial"/>
                <w:color w:val="000000"/>
                <w:sz w:val="16"/>
                <w:szCs w:val="16"/>
              </w:rPr>
              <w:t xml:space="preserve">Gestor T1-15 de la Subdirección </w:t>
            </w:r>
            <w:r w:rsidR="005262CF" w:rsidRPr="004066E7">
              <w:rPr>
                <w:rFonts w:ascii="Arial" w:hAnsi="Arial" w:cs="Arial"/>
                <w:color w:val="000000" w:themeColor="text1"/>
                <w:sz w:val="16"/>
                <w:szCs w:val="16"/>
                <w:lang w:val="es-ES_tradnl" w:eastAsia="es-ES"/>
              </w:rPr>
              <w:t>de Gestión Contractual</w:t>
            </w:r>
          </w:p>
        </w:tc>
      </w:tr>
      <w:tr w:rsidR="005262CF" w:rsidRPr="00CF16CF" w14:paraId="5BFED31D" w14:textId="77777777" w:rsidTr="0064799C">
        <w:trPr>
          <w:trHeight w:val="300"/>
        </w:trPr>
        <w:tc>
          <w:tcPr>
            <w:tcW w:w="812" w:type="dxa"/>
            <w:vAlign w:val="center"/>
            <w:hideMark/>
          </w:tcPr>
          <w:p w14:paraId="53E3FB84" w14:textId="77777777" w:rsidR="005262CF" w:rsidRPr="004066E7" w:rsidRDefault="005262CF"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34E83E" w14:textId="77777777" w:rsidR="005262CF" w:rsidRPr="004066E7" w:rsidRDefault="005262CF"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Jorge Augusto Tirado Navarro</w:t>
            </w:r>
          </w:p>
          <w:p w14:paraId="44BE84F0" w14:textId="77777777" w:rsidR="005262CF" w:rsidRPr="00CF16CF" w:rsidRDefault="005262CF" w:rsidP="0064799C">
            <w:pPr>
              <w:jc w:val="both"/>
              <w:rPr>
                <w:rFonts w:ascii="Arial" w:hAnsi="Arial" w:cs="Arial"/>
                <w:color w:val="000000" w:themeColor="text1"/>
                <w:sz w:val="16"/>
                <w:szCs w:val="16"/>
                <w:lang w:val="es-ES_tradnl" w:eastAsia="es-ES"/>
              </w:rPr>
            </w:pPr>
            <w:r w:rsidRPr="004066E7">
              <w:rPr>
                <w:rFonts w:ascii="Arial" w:hAnsi="Arial" w:cs="Arial"/>
                <w:color w:val="000000" w:themeColor="text1"/>
                <w:sz w:val="16"/>
                <w:szCs w:val="16"/>
                <w:lang w:val="es-ES_tradnl" w:eastAsia="es-ES"/>
              </w:rPr>
              <w:t>Subdirector de Gestión Contractual ANCP – CCE</w:t>
            </w:r>
          </w:p>
        </w:tc>
      </w:tr>
    </w:tbl>
    <w:p w14:paraId="1CD9CED7" w14:textId="77777777" w:rsidR="001F4546" w:rsidRPr="009868CC" w:rsidRDefault="001F4546" w:rsidP="001F4546">
      <w:pPr>
        <w:spacing w:before="120" w:line="276" w:lineRule="auto"/>
        <w:jc w:val="both"/>
      </w:pPr>
    </w:p>
    <w:p w14:paraId="35B56F46" w14:textId="6AE0D01D" w:rsidR="00746E08" w:rsidRPr="009868CC" w:rsidRDefault="00746E08" w:rsidP="001F4546">
      <w:pPr>
        <w:spacing w:before="120" w:line="276" w:lineRule="auto"/>
        <w:jc w:val="both"/>
        <w:rPr>
          <w:rFonts w:ascii="Arial" w:eastAsia="Times New Roman" w:hAnsi="Arial" w:cs="Arial"/>
          <w:sz w:val="16"/>
          <w:szCs w:val="16"/>
          <w:lang w:eastAsia="es-ES"/>
        </w:rPr>
      </w:pPr>
    </w:p>
    <w:sectPr w:rsidR="00746E08" w:rsidRPr="009868C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1BF93" w14:textId="77777777" w:rsidR="00802E58" w:rsidRDefault="00802E58">
      <w:r>
        <w:separator/>
      </w:r>
    </w:p>
  </w:endnote>
  <w:endnote w:type="continuationSeparator" w:id="0">
    <w:p w14:paraId="2EC02132" w14:textId="77777777" w:rsidR="00802E58" w:rsidRDefault="00802E58">
      <w:r>
        <w:continuationSeparator/>
      </w:r>
    </w:p>
  </w:endnote>
  <w:endnote w:type="continuationNotice" w:id="1">
    <w:p w14:paraId="231C7483" w14:textId="77777777" w:rsidR="00802E58" w:rsidRDefault="00802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2A01454E" w:rsidR="000A47AF" w:rsidRDefault="000A47AF" w:rsidP="00322937">
    <w:pPr>
      <w:pStyle w:val="Sinespaciado"/>
      <w:jc w:val="right"/>
      <w:rPr>
        <w:rFonts w:ascii="Arial" w:hAnsi="Arial" w:cs="Arial"/>
        <w:sz w:val="18"/>
        <w:szCs w:val="18"/>
      </w:rPr>
    </w:pPr>
  </w:p>
  <w:p w14:paraId="7A3785F3" w14:textId="278E7DE2" w:rsidR="000A47AF" w:rsidRPr="008217B7" w:rsidRDefault="000A47A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312D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0A47AF" w:rsidRDefault="4E700C15" w:rsidP="00322937">
    <w:pPr>
      <w:pStyle w:val="Piedepgina"/>
      <w:jc w:val="center"/>
      <w:rPr>
        <w:lang w:val="es-ES"/>
      </w:rPr>
    </w:pPr>
    <w:r>
      <w:rPr>
        <w:noProof/>
      </w:rPr>
      <w:drawing>
        <wp:inline distT="0" distB="0" distL="0" distR="0" wp14:anchorId="608B196D" wp14:editId="32E786D9">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0A47AF" w:rsidRDefault="000A47AF" w:rsidP="007B0854">
    <w:pPr>
      <w:pStyle w:val="Piedepgina"/>
      <w:jc w:val="center"/>
      <w:rPr>
        <w:lang w:val="es-ES"/>
      </w:rPr>
    </w:pPr>
  </w:p>
  <w:p w14:paraId="0B5203B5" w14:textId="77777777" w:rsidR="00183D77" w:rsidRDefault="00183D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93989" w14:textId="77777777" w:rsidR="00802E58" w:rsidRDefault="00802E58">
      <w:r>
        <w:separator/>
      </w:r>
    </w:p>
  </w:footnote>
  <w:footnote w:type="continuationSeparator" w:id="0">
    <w:p w14:paraId="623F896E" w14:textId="77777777" w:rsidR="00802E58" w:rsidRDefault="00802E58">
      <w:r>
        <w:continuationSeparator/>
      </w:r>
    </w:p>
  </w:footnote>
  <w:footnote w:type="continuationNotice" w:id="1">
    <w:p w14:paraId="173BC550" w14:textId="77777777" w:rsidR="00802E58" w:rsidRDefault="00802E58"/>
  </w:footnote>
  <w:footnote w:id="2">
    <w:p w14:paraId="042FD0FF" w14:textId="612DEBB9" w:rsidR="00B07E16" w:rsidRDefault="00B07E16" w:rsidP="00B020E9">
      <w:pPr>
        <w:pStyle w:val="Textonotapie"/>
        <w:ind w:firstLine="708"/>
        <w:jc w:val="both"/>
      </w:pPr>
      <w:r>
        <w:rPr>
          <w:rStyle w:val="Refdenotaalpie"/>
        </w:rPr>
        <w:footnoteRef/>
      </w:r>
      <w:r>
        <w:t xml:space="preserve"> </w:t>
      </w:r>
      <w:r w:rsidRPr="00B020E9">
        <w:rPr>
          <w:rFonts w:ascii="Arial" w:hAnsi="Arial" w:cs="Arial"/>
          <w:sz w:val="19"/>
          <w:szCs w:val="19"/>
        </w:rPr>
        <w:t>En relación con esta causal de contratación directa, es importante señalar que el Decreto 1082 de 2015 estableció que para el desarrollo de actividades científicas y tecnológicas deben tenerse en cuenta las nociones establecidas en el Decreto-Ley 591 de 1991: «Artículo 2.2.1.2.1.4.7. Contratación para el desarrollo de actividades científicas y tecnológicas. La contratación directa para el desarrollo de actividades científicas y tecnológicas debe tener en cuenta la definición contenida en el Decreto-Ley 591 de 1991 y las demás normas que lo modifiquen, aclaren, adicionen o sustituyan</w:t>
      </w:r>
      <w:r>
        <w:rPr>
          <w:rFonts w:ascii="Arial" w:hAnsi="Arial" w:cs="Arial"/>
          <w:sz w:val="19"/>
          <w:szCs w:val="19"/>
        </w:rPr>
        <w:t>»</w:t>
      </w:r>
      <w:r w:rsidRPr="00B020E9">
        <w:rPr>
          <w:rFonts w:ascii="Arial" w:hAnsi="Arial" w:cs="Arial"/>
          <w:sz w:val="19"/>
          <w:szCs w:val="19"/>
        </w:rPr>
        <w:t>.</w:t>
      </w:r>
    </w:p>
  </w:footnote>
  <w:footnote w:id="3">
    <w:p w14:paraId="3D56454E"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Style w:val="Refdenotaalpie"/>
          <w:rFonts w:ascii="Arial" w:hAnsi="Arial" w:cs="Arial"/>
          <w:color w:val="000000" w:themeColor="text1"/>
          <w:sz w:val="19"/>
          <w:szCs w:val="19"/>
        </w:rPr>
        <w:footnoteRef/>
      </w:r>
      <w:r w:rsidRPr="006F1275">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31AD9688"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Fonts w:ascii="Arial" w:hAnsi="Arial" w:cs="Arial"/>
          <w:color w:val="000000" w:themeColor="text1"/>
          <w:sz w:val="19"/>
          <w:szCs w:val="19"/>
        </w:rPr>
        <w:t>»El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6B74A709" w14:textId="77777777" w:rsidR="001434A4" w:rsidRPr="006F1275" w:rsidRDefault="001434A4" w:rsidP="006F1275">
      <w:pPr>
        <w:pStyle w:val="Textonotapie"/>
        <w:ind w:firstLine="709"/>
        <w:jc w:val="both"/>
        <w:rPr>
          <w:rFonts w:ascii="Arial" w:hAnsi="Arial" w:cs="Arial"/>
          <w:color w:val="000000" w:themeColor="text1"/>
          <w:sz w:val="19"/>
          <w:szCs w:val="19"/>
        </w:rPr>
      </w:pPr>
      <w:r w:rsidRPr="006F1275">
        <w:rPr>
          <w:rFonts w:ascii="Arial" w:hAnsi="Arial" w:cs="Arial"/>
          <w:color w:val="000000" w:themeColor="text1"/>
          <w:sz w:val="19"/>
          <w:szCs w:val="19"/>
        </w:rPr>
        <w:t>»En 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7538F6FB" w14:textId="77777777" w:rsidR="001434A4" w:rsidRPr="006F1275" w:rsidRDefault="001434A4" w:rsidP="006F1275">
      <w:pPr>
        <w:pStyle w:val="Textonotapie"/>
        <w:ind w:firstLine="709"/>
        <w:jc w:val="both"/>
        <w:rPr>
          <w:rFonts w:ascii="Arial" w:hAnsi="Arial" w:cs="Arial"/>
          <w:color w:val="000000" w:themeColor="text1"/>
          <w:sz w:val="19"/>
          <w:szCs w:val="19"/>
        </w:rPr>
      </w:pPr>
    </w:p>
  </w:footnote>
  <w:footnote w:id="4">
    <w:p w14:paraId="2567FEFC"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Decreto 393 de 1991: «Artículo 2. Propósitos de la Asociación. Bajo cualquiera de las modalidades previstas en el artículo anterior, la asociación podrá tener entre otros, los siguientes propósitos.</w:t>
      </w:r>
    </w:p>
    <w:p w14:paraId="21ADD082"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»a) Adelantar proyectos de investigación científica.</w:t>
      </w:r>
    </w:p>
    <w:p w14:paraId="2424BF3B"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»b) Apoyar la creación, el fomento, el desarrollo y el financiamiento de empresas que incorporen innovaciones científicas o tecnológicas aplicables a la producción nacional, al manejo del medio ambiente o al aprovechamiento de los recursos naturales.</w:t>
      </w:r>
    </w:p>
    <w:p w14:paraId="30C8F029"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»c) Organizar centros científicos y tecnológicos, parques tecnológicos, e incubadoras de empresas.</w:t>
      </w:r>
    </w:p>
    <w:p w14:paraId="27B21170"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»d) Formar y capacitar recursos humanos para el avance y la gestión de la ciencia y la tecnología.</w:t>
      </w:r>
    </w:p>
    <w:p w14:paraId="7553C688"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»e) Establecer redes de información científica y tecnológica.</w:t>
      </w:r>
    </w:p>
    <w:p w14:paraId="29F44F3C"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»f) Crear, fomentar, difundir e implementar sistemas de gestión de calidad.</w:t>
      </w:r>
    </w:p>
    <w:p w14:paraId="1C908625"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»g) Negociar, aplicar y adaptar tecnologías nacionales o extranjeras.</w:t>
      </w:r>
    </w:p>
    <w:p w14:paraId="6F76E8A5"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»h) Asesorar la negociación, aplicación y adaptación de tecnologías nacionales y extranjeras.</w:t>
      </w:r>
    </w:p>
    <w:p w14:paraId="3FC7EC6A"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»i) Realizar actividades de normalización y metrología.</w:t>
      </w:r>
    </w:p>
    <w:p w14:paraId="73C57CB1"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»j) Crear fondos de desarrollo científico y tecnológico a nivel nacional y regional, fondos especiales de garantías, y fondos para la renovación y el mantenimiento de equipos científicos.</w:t>
      </w:r>
    </w:p>
    <w:p w14:paraId="7A4D7880"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»k) Realizar seminarios, cursos y eventos nacionales o internacionales de ciencia y tecnología.</w:t>
      </w:r>
    </w:p>
    <w:p w14:paraId="0914BD6A" w14:textId="77777777" w:rsidR="001434A4" w:rsidRPr="006F1275" w:rsidRDefault="001434A4" w:rsidP="006F1275">
      <w:pPr>
        <w:pStyle w:val="Textonotapie"/>
        <w:ind w:firstLine="709"/>
        <w:jc w:val="both"/>
        <w:rPr>
          <w:rFonts w:ascii="Arial" w:hAnsi="Arial" w:cs="Arial"/>
          <w:color w:val="000000"/>
          <w:sz w:val="19"/>
          <w:szCs w:val="19"/>
        </w:rPr>
      </w:pPr>
      <w:r w:rsidRPr="006F1275">
        <w:rPr>
          <w:rFonts w:ascii="Arial" w:hAnsi="Arial" w:cs="Arial"/>
          <w:color w:val="000000"/>
          <w:sz w:val="19"/>
          <w:szCs w:val="19"/>
        </w:rPr>
        <w:t>»I) Financiar publicaciones y el otorgamiento de premios y distinciones a investigadores, grupos de investigación e investigaciones».</w:t>
      </w:r>
    </w:p>
    <w:p w14:paraId="7BB3492C"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5">
    <w:p w14:paraId="280B09A2"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4A7D4E03"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Fonts w:ascii="Arial" w:hAnsi="Arial" w:cs="Arial"/>
          <w:color w:val="000000"/>
          <w:sz w:val="19"/>
          <w:szCs w:val="19"/>
        </w:rPr>
        <w:t xml:space="preserve"> </w:t>
      </w:r>
    </w:p>
  </w:footnote>
  <w:footnote w:id="6">
    <w:p w14:paraId="4426B1D7"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footnote>
  <w:footnote w:id="7">
    <w:p w14:paraId="1B815C66" w14:textId="77777777" w:rsidR="001434A4" w:rsidRPr="006F1275" w:rsidRDefault="001434A4" w:rsidP="006F1275">
      <w:pPr>
        <w:pStyle w:val="Textonotapie"/>
        <w:ind w:firstLine="709"/>
        <w:jc w:val="both"/>
        <w:rPr>
          <w:rFonts w:ascii="Arial" w:hAnsi="Arial" w:cs="Arial"/>
          <w:color w:val="000000"/>
          <w:sz w:val="19"/>
          <w:szCs w:val="19"/>
        </w:rPr>
      </w:pPr>
    </w:p>
    <w:p w14:paraId="4CC27FFC"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w:t>
      </w:r>
      <w:r w:rsidRPr="006F1275">
        <w:rPr>
          <w:rFonts w:ascii="Arial" w:hAnsi="Arial" w:cs="Arial"/>
          <w:i/>
          <w:iCs/>
          <w:color w:val="000000"/>
          <w:sz w:val="19"/>
          <w:szCs w:val="19"/>
        </w:rPr>
        <w:t>Ibidem.</w:t>
      </w:r>
    </w:p>
    <w:p w14:paraId="5CB4B299"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 w:id="8">
    <w:p w14:paraId="1B347F6F"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9">
    <w:p w14:paraId="480995B9"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32C1B03A" w14:textId="77777777" w:rsidR="001434A4" w:rsidRPr="006F1275" w:rsidRDefault="001434A4" w:rsidP="006F1275">
      <w:pPr>
        <w:pStyle w:val="Textonotapie"/>
        <w:ind w:firstLine="709"/>
        <w:jc w:val="both"/>
        <w:rPr>
          <w:rFonts w:ascii="Arial" w:hAnsi="Arial" w:cs="Arial"/>
          <w:color w:val="000000"/>
          <w:sz w:val="19"/>
          <w:szCs w:val="19"/>
          <w:lang w:val="es-ES"/>
        </w:rPr>
      </w:pPr>
      <w:r w:rsidRPr="006F1275">
        <w:rPr>
          <w:rFonts w:ascii="Arial" w:hAnsi="Arial" w:cs="Arial"/>
          <w:color w:val="000000"/>
          <w:sz w:val="19"/>
          <w:szCs w:val="19"/>
        </w:rPr>
        <w:t xml:space="preserve"> </w:t>
      </w:r>
    </w:p>
  </w:footnote>
  <w:footnote w:id="10">
    <w:p w14:paraId="4B9268A0" w14:textId="77777777" w:rsidR="001434A4" w:rsidRPr="006F1275" w:rsidRDefault="001434A4" w:rsidP="006F1275">
      <w:pPr>
        <w:pStyle w:val="Textonotapie"/>
        <w:ind w:firstLine="709"/>
        <w:jc w:val="both"/>
        <w:rPr>
          <w:rFonts w:ascii="Arial" w:hAnsi="Arial" w:cs="Arial"/>
          <w:color w:val="000000"/>
          <w:sz w:val="19"/>
          <w:szCs w:val="19"/>
        </w:rPr>
      </w:pPr>
      <w:r w:rsidRPr="006F1275">
        <w:rPr>
          <w:rStyle w:val="Refdenotaalpie"/>
          <w:rFonts w:ascii="Arial" w:hAnsi="Arial" w:cs="Arial"/>
          <w:color w:val="000000"/>
          <w:sz w:val="19"/>
          <w:szCs w:val="19"/>
        </w:rPr>
        <w:footnoteRef/>
      </w:r>
      <w:r w:rsidRPr="006F1275">
        <w:rPr>
          <w:rFonts w:ascii="Arial" w:hAnsi="Arial" w:cs="Arial"/>
          <w:color w:val="000000"/>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4AC4ADDF" w14:textId="77777777" w:rsidR="001434A4" w:rsidRPr="006F1275" w:rsidRDefault="001434A4" w:rsidP="006F1275">
      <w:pPr>
        <w:pStyle w:val="Textonotapie"/>
        <w:ind w:firstLine="709"/>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4E75A9CD" w:rsidR="000A47AF" w:rsidRDefault="000A47A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4477A" w14:textId="77777777" w:rsidR="00183D77" w:rsidRDefault="00183D77"/>
  <w:p w14:paraId="592B4C14" w14:textId="77777777" w:rsidR="00183D77" w:rsidRDefault="00183D77"/>
  <w:p w14:paraId="39BFA986" w14:textId="77777777" w:rsidR="00183D77" w:rsidRDefault="00183D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17"/>
    <w:rsid w:val="00002D94"/>
    <w:rsid w:val="000046CC"/>
    <w:rsid w:val="000055D9"/>
    <w:rsid w:val="000059D3"/>
    <w:rsid w:val="0001035E"/>
    <w:rsid w:val="00016249"/>
    <w:rsid w:val="00022E15"/>
    <w:rsid w:val="000279B3"/>
    <w:rsid w:val="00032912"/>
    <w:rsid w:val="00037573"/>
    <w:rsid w:val="00040DEA"/>
    <w:rsid w:val="00045246"/>
    <w:rsid w:val="0004752B"/>
    <w:rsid w:val="000529A0"/>
    <w:rsid w:val="0005551F"/>
    <w:rsid w:val="0005657D"/>
    <w:rsid w:val="000565DF"/>
    <w:rsid w:val="00056BD1"/>
    <w:rsid w:val="0006537A"/>
    <w:rsid w:val="000744B4"/>
    <w:rsid w:val="00076A78"/>
    <w:rsid w:val="00080ACD"/>
    <w:rsid w:val="00082FC1"/>
    <w:rsid w:val="00084B97"/>
    <w:rsid w:val="0008539A"/>
    <w:rsid w:val="000942EB"/>
    <w:rsid w:val="0009676A"/>
    <w:rsid w:val="000A0158"/>
    <w:rsid w:val="000A2092"/>
    <w:rsid w:val="000A296C"/>
    <w:rsid w:val="000A3B5A"/>
    <w:rsid w:val="000A3C64"/>
    <w:rsid w:val="000A47AF"/>
    <w:rsid w:val="000A7C27"/>
    <w:rsid w:val="000B0FAB"/>
    <w:rsid w:val="000B103F"/>
    <w:rsid w:val="000B419B"/>
    <w:rsid w:val="000C122C"/>
    <w:rsid w:val="000C2392"/>
    <w:rsid w:val="000C639D"/>
    <w:rsid w:val="000C75EC"/>
    <w:rsid w:val="000D0ED2"/>
    <w:rsid w:val="000D10ED"/>
    <w:rsid w:val="000D1EBE"/>
    <w:rsid w:val="000D2339"/>
    <w:rsid w:val="000D68EA"/>
    <w:rsid w:val="000D7D13"/>
    <w:rsid w:val="000E11AD"/>
    <w:rsid w:val="000E2BB6"/>
    <w:rsid w:val="000F14E8"/>
    <w:rsid w:val="000F4626"/>
    <w:rsid w:val="000F576E"/>
    <w:rsid w:val="000F5896"/>
    <w:rsid w:val="001019AF"/>
    <w:rsid w:val="00101BA5"/>
    <w:rsid w:val="00103915"/>
    <w:rsid w:val="001051E5"/>
    <w:rsid w:val="001056BA"/>
    <w:rsid w:val="00107323"/>
    <w:rsid w:val="00111011"/>
    <w:rsid w:val="00112405"/>
    <w:rsid w:val="00112BD6"/>
    <w:rsid w:val="00113705"/>
    <w:rsid w:val="0011457B"/>
    <w:rsid w:val="00122B23"/>
    <w:rsid w:val="00125BED"/>
    <w:rsid w:val="00125C59"/>
    <w:rsid w:val="00125C66"/>
    <w:rsid w:val="00127AF2"/>
    <w:rsid w:val="00130016"/>
    <w:rsid w:val="00133330"/>
    <w:rsid w:val="001344EB"/>
    <w:rsid w:val="001350C4"/>
    <w:rsid w:val="00136BF7"/>
    <w:rsid w:val="00137E3E"/>
    <w:rsid w:val="00137FFA"/>
    <w:rsid w:val="001402C5"/>
    <w:rsid w:val="00141245"/>
    <w:rsid w:val="001418A4"/>
    <w:rsid w:val="001434A4"/>
    <w:rsid w:val="001458D4"/>
    <w:rsid w:val="00145CF3"/>
    <w:rsid w:val="00146DE2"/>
    <w:rsid w:val="00150F04"/>
    <w:rsid w:val="00151978"/>
    <w:rsid w:val="00160401"/>
    <w:rsid w:val="00160413"/>
    <w:rsid w:val="00161B15"/>
    <w:rsid w:val="00161B32"/>
    <w:rsid w:val="0016200B"/>
    <w:rsid w:val="00163A34"/>
    <w:rsid w:val="001640DB"/>
    <w:rsid w:val="00165D90"/>
    <w:rsid w:val="00170A22"/>
    <w:rsid w:val="001753F7"/>
    <w:rsid w:val="00180477"/>
    <w:rsid w:val="001811A6"/>
    <w:rsid w:val="00182E2B"/>
    <w:rsid w:val="00182F57"/>
    <w:rsid w:val="00183D77"/>
    <w:rsid w:val="0018492C"/>
    <w:rsid w:val="00187333"/>
    <w:rsid w:val="00195789"/>
    <w:rsid w:val="00196CBA"/>
    <w:rsid w:val="001A0E2A"/>
    <w:rsid w:val="001A0F0E"/>
    <w:rsid w:val="001A2ADE"/>
    <w:rsid w:val="001A2DD2"/>
    <w:rsid w:val="001A3EC0"/>
    <w:rsid w:val="001A66B2"/>
    <w:rsid w:val="001B0444"/>
    <w:rsid w:val="001B07AA"/>
    <w:rsid w:val="001B2456"/>
    <w:rsid w:val="001B76A8"/>
    <w:rsid w:val="001C26F2"/>
    <w:rsid w:val="001C3E5C"/>
    <w:rsid w:val="001C435C"/>
    <w:rsid w:val="001C6D2E"/>
    <w:rsid w:val="001D77CE"/>
    <w:rsid w:val="001F0E9B"/>
    <w:rsid w:val="001F115F"/>
    <w:rsid w:val="001F2356"/>
    <w:rsid w:val="001F4546"/>
    <w:rsid w:val="001F7547"/>
    <w:rsid w:val="00202A9C"/>
    <w:rsid w:val="0020632A"/>
    <w:rsid w:val="0021094E"/>
    <w:rsid w:val="002110EB"/>
    <w:rsid w:val="00211338"/>
    <w:rsid w:val="00211388"/>
    <w:rsid w:val="0021234D"/>
    <w:rsid w:val="00213A1F"/>
    <w:rsid w:val="002143A8"/>
    <w:rsid w:val="002157D0"/>
    <w:rsid w:val="002304E7"/>
    <w:rsid w:val="00234B84"/>
    <w:rsid w:val="0024107C"/>
    <w:rsid w:val="0024506E"/>
    <w:rsid w:val="00245778"/>
    <w:rsid w:val="00247712"/>
    <w:rsid w:val="00251553"/>
    <w:rsid w:val="00254960"/>
    <w:rsid w:val="0025797C"/>
    <w:rsid w:val="00261CA9"/>
    <w:rsid w:val="00263ECC"/>
    <w:rsid w:val="00270F5A"/>
    <w:rsid w:val="00273274"/>
    <w:rsid w:val="002765EE"/>
    <w:rsid w:val="002801FE"/>
    <w:rsid w:val="0028243F"/>
    <w:rsid w:val="00282CAF"/>
    <w:rsid w:val="00283FB7"/>
    <w:rsid w:val="0028449C"/>
    <w:rsid w:val="00295A3E"/>
    <w:rsid w:val="002A17E4"/>
    <w:rsid w:val="002B25ED"/>
    <w:rsid w:val="002B4223"/>
    <w:rsid w:val="002B5BDB"/>
    <w:rsid w:val="002B6146"/>
    <w:rsid w:val="002C3D17"/>
    <w:rsid w:val="002C496D"/>
    <w:rsid w:val="002C4C0C"/>
    <w:rsid w:val="002C62F3"/>
    <w:rsid w:val="002D708C"/>
    <w:rsid w:val="002D7E0C"/>
    <w:rsid w:val="002E214A"/>
    <w:rsid w:val="002E55ED"/>
    <w:rsid w:val="002F49AB"/>
    <w:rsid w:val="00303015"/>
    <w:rsid w:val="003033BA"/>
    <w:rsid w:val="00304B88"/>
    <w:rsid w:val="00305BDF"/>
    <w:rsid w:val="00310967"/>
    <w:rsid w:val="00311B20"/>
    <w:rsid w:val="00312F9D"/>
    <w:rsid w:val="00321169"/>
    <w:rsid w:val="00322937"/>
    <w:rsid w:val="003264C6"/>
    <w:rsid w:val="00327372"/>
    <w:rsid w:val="00327A5C"/>
    <w:rsid w:val="0033092C"/>
    <w:rsid w:val="00331FBE"/>
    <w:rsid w:val="00332A9D"/>
    <w:rsid w:val="00333786"/>
    <w:rsid w:val="00333B5D"/>
    <w:rsid w:val="00334D06"/>
    <w:rsid w:val="00336729"/>
    <w:rsid w:val="003370E7"/>
    <w:rsid w:val="0034177C"/>
    <w:rsid w:val="0034322C"/>
    <w:rsid w:val="003432C8"/>
    <w:rsid w:val="0034680A"/>
    <w:rsid w:val="0035201C"/>
    <w:rsid w:val="00352F08"/>
    <w:rsid w:val="00353678"/>
    <w:rsid w:val="00353DD5"/>
    <w:rsid w:val="00361021"/>
    <w:rsid w:val="00363B8C"/>
    <w:rsid w:val="00363D01"/>
    <w:rsid w:val="003713CB"/>
    <w:rsid w:val="00371889"/>
    <w:rsid w:val="00376ADC"/>
    <w:rsid w:val="003775C1"/>
    <w:rsid w:val="003779D5"/>
    <w:rsid w:val="00382349"/>
    <w:rsid w:val="003856A6"/>
    <w:rsid w:val="00386456"/>
    <w:rsid w:val="00387D23"/>
    <w:rsid w:val="003953D2"/>
    <w:rsid w:val="00396DE4"/>
    <w:rsid w:val="00397FF0"/>
    <w:rsid w:val="003A0878"/>
    <w:rsid w:val="003A137E"/>
    <w:rsid w:val="003A2039"/>
    <w:rsid w:val="003A2109"/>
    <w:rsid w:val="003A5718"/>
    <w:rsid w:val="003A581E"/>
    <w:rsid w:val="003B09C2"/>
    <w:rsid w:val="003B2B10"/>
    <w:rsid w:val="003B3E7C"/>
    <w:rsid w:val="003B4C4C"/>
    <w:rsid w:val="003B6C79"/>
    <w:rsid w:val="003C1AF4"/>
    <w:rsid w:val="003C27D7"/>
    <w:rsid w:val="003E2DDF"/>
    <w:rsid w:val="003F14DE"/>
    <w:rsid w:val="003F1DE4"/>
    <w:rsid w:val="003F78F9"/>
    <w:rsid w:val="003F79C4"/>
    <w:rsid w:val="00400E2E"/>
    <w:rsid w:val="00405E73"/>
    <w:rsid w:val="004066E7"/>
    <w:rsid w:val="004068B0"/>
    <w:rsid w:val="00407E41"/>
    <w:rsid w:val="00413FFA"/>
    <w:rsid w:val="004178A0"/>
    <w:rsid w:val="00423F9F"/>
    <w:rsid w:val="00432813"/>
    <w:rsid w:val="00434787"/>
    <w:rsid w:val="00435489"/>
    <w:rsid w:val="0043561A"/>
    <w:rsid w:val="004422D6"/>
    <w:rsid w:val="00442F3F"/>
    <w:rsid w:val="00447D96"/>
    <w:rsid w:val="0045255A"/>
    <w:rsid w:val="00452576"/>
    <w:rsid w:val="0045271D"/>
    <w:rsid w:val="00452803"/>
    <w:rsid w:val="00454217"/>
    <w:rsid w:val="00455354"/>
    <w:rsid w:val="0045661E"/>
    <w:rsid w:val="00456E03"/>
    <w:rsid w:val="00461B68"/>
    <w:rsid w:val="00461B96"/>
    <w:rsid w:val="00464030"/>
    <w:rsid w:val="00466520"/>
    <w:rsid w:val="0046677A"/>
    <w:rsid w:val="00474C5E"/>
    <w:rsid w:val="004808DE"/>
    <w:rsid w:val="004861B4"/>
    <w:rsid w:val="00491D30"/>
    <w:rsid w:val="0049241A"/>
    <w:rsid w:val="00492B4A"/>
    <w:rsid w:val="00494A1C"/>
    <w:rsid w:val="00495786"/>
    <w:rsid w:val="004A08D1"/>
    <w:rsid w:val="004A0BD3"/>
    <w:rsid w:val="004A34D2"/>
    <w:rsid w:val="004A357A"/>
    <w:rsid w:val="004B0CD0"/>
    <w:rsid w:val="004B602F"/>
    <w:rsid w:val="004C19EE"/>
    <w:rsid w:val="004C2257"/>
    <w:rsid w:val="004C22F7"/>
    <w:rsid w:val="004C510A"/>
    <w:rsid w:val="004D245F"/>
    <w:rsid w:val="004E61D5"/>
    <w:rsid w:val="004E6277"/>
    <w:rsid w:val="00505308"/>
    <w:rsid w:val="005053B0"/>
    <w:rsid w:val="0051074C"/>
    <w:rsid w:val="00510E27"/>
    <w:rsid w:val="005111C8"/>
    <w:rsid w:val="00512961"/>
    <w:rsid w:val="00512C4F"/>
    <w:rsid w:val="00513AF2"/>
    <w:rsid w:val="00515801"/>
    <w:rsid w:val="00522C81"/>
    <w:rsid w:val="00523559"/>
    <w:rsid w:val="00525706"/>
    <w:rsid w:val="005262CF"/>
    <w:rsid w:val="00530F05"/>
    <w:rsid w:val="00530FEA"/>
    <w:rsid w:val="005312DB"/>
    <w:rsid w:val="00533C93"/>
    <w:rsid w:val="0054311A"/>
    <w:rsid w:val="0054413A"/>
    <w:rsid w:val="0054771C"/>
    <w:rsid w:val="005527B3"/>
    <w:rsid w:val="00552E97"/>
    <w:rsid w:val="0055305B"/>
    <w:rsid w:val="005564CA"/>
    <w:rsid w:val="005612E5"/>
    <w:rsid w:val="0056182B"/>
    <w:rsid w:val="00562315"/>
    <w:rsid w:val="00562A57"/>
    <w:rsid w:val="005634FD"/>
    <w:rsid w:val="005715A2"/>
    <w:rsid w:val="00573BE5"/>
    <w:rsid w:val="005756AA"/>
    <w:rsid w:val="005813DE"/>
    <w:rsid w:val="0058223E"/>
    <w:rsid w:val="005868D7"/>
    <w:rsid w:val="00586DD4"/>
    <w:rsid w:val="00594FFF"/>
    <w:rsid w:val="005A145F"/>
    <w:rsid w:val="005A1976"/>
    <w:rsid w:val="005A35EF"/>
    <w:rsid w:val="005A3F3E"/>
    <w:rsid w:val="005A58CE"/>
    <w:rsid w:val="005A5A3D"/>
    <w:rsid w:val="005B2B61"/>
    <w:rsid w:val="005B3CF3"/>
    <w:rsid w:val="005C0652"/>
    <w:rsid w:val="005C117E"/>
    <w:rsid w:val="005C3047"/>
    <w:rsid w:val="005C5C52"/>
    <w:rsid w:val="005C7F06"/>
    <w:rsid w:val="005D51FA"/>
    <w:rsid w:val="005D791B"/>
    <w:rsid w:val="005E1574"/>
    <w:rsid w:val="005E164A"/>
    <w:rsid w:val="005E5A60"/>
    <w:rsid w:val="005E66BE"/>
    <w:rsid w:val="005F2C11"/>
    <w:rsid w:val="005F3969"/>
    <w:rsid w:val="005F46FD"/>
    <w:rsid w:val="005F5F8F"/>
    <w:rsid w:val="005F688C"/>
    <w:rsid w:val="006003F5"/>
    <w:rsid w:val="0060057C"/>
    <w:rsid w:val="006030A3"/>
    <w:rsid w:val="0060361A"/>
    <w:rsid w:val="006043FE"/>
    <w:rsid w:val="006065A2"/>
    <w:rsid w:val="00614817"/>
    <w:rsid w:val="00615D36"/>
    <w:rsid w:val="006167DA"/>
    <w:rsid w:val="00620DB3"/>
    <w:rsid w:val="00621056"/>
    <w:rsid w:val="00622313"/>
    <w:rsid w:val="00623AC2"/>
    <w:rsid w:val="0062633A"/>
    <w:rsid w:val="00631CE0"/>
    <w:rsid w:val="00633DBF"/>
    <w:rsid w:val="00640C1D"/>
    <w:rsid w:val="006516B8"/>
    <w:rsid w:val="00655371"/>
    <w:rsid w:val="006559D1"/>
    <w:rsid w:val="00662BB0"/>
    <w:rsid w:val="0066493E"/>
    <w:rsid w:val="00666F46"/>
    <w:rsid w:val="006673AF"/>
    <w:rsid w:val="00670B20"/>
    <w:rsid w:val="00670DA2"/>
    <w:rsid w:val="0067359B"/>
    <w:rsid w:val="006738BC"/>
    <w:rsid w:val="00676127"/>
    <w:rsid w:val="00676428"/>
    <w:rsid w:val="006908DB"/>
    <w:rsid w:val="00692C8D"/>
    <w:rsid w:val="00695F93"/>
    <w:rsid w:val="0069634F"/>
    <w:rsid w:val="00697665"/>
    <w:rsid w:val="00697CA8"/>
    <w:rsid w:val="006A574E"/>
    <w:rsid w:val="006A7CB5"/>
    <w:rsid w:val="006A7FD0"/>
    <w:rsid w:val="006B1B56"/>
    <w:rsid w:val="006B22D4"/>
    <w:rsid w:val="006B46C8"/>
    <w:rsid w:val="006B6746"/>
    <w:rsid w:val="006C0A3F"/>
    <w:rsid w:val="006C405D"/>
    <w:rsid w:val="006C4782"/>
    <w:rsid w:val="006D7687"/>
    <w:rsid w:val="006E0572"/>
    <w:rsid w:val="006E552C"/>
    <w:rsid w:val="006F021B"/>
    <w:rsid w:val="006F1275"/>
    <w:rsid w:val="006F1872"/>
    <w:rsid w:val="00700883"/>
    <w:rsid w:val="00705631"/>
    <w:rsid w:val="007057EC"/>
    <w:rsid w:val="0070660C"/>
    <w:rsid w:val="00715C29"/>
    <w:rsid w:val="00715EAA"/>
    <w:rsid w:val="00717496"/>
    <w:rsid w:val="00722CE7"/>
    <w:rsid w:val="0072427F"/>
    <w:rsid w:val="00725AFD"/>
    <w:rsid w:val="00726E6A"/>
    <w:rsid w:val="007279B4"/>
    <w:rsid w:val="00727F71"/>
    <w:rsid w:val="00733849"/>
    <w:rsid w:val="0073425D"/>
    <w:rsid w:val="00735A75"/>
    <w:rsid w:val="00740243"/>
    <w:rsid w:val="00742DD2"/>
    <w:rsid w:val="00743BC8"/>
    <w:rsid w:val="007441A2"/>
    <w:rsid w:val="00745035"/>
    <w:rsid w:val="00746A83"/>
    <w:rsid w:val="00746E08"/>
    <w:rsid w:val="00747259"/>
    <w:rsid w:val="00747C96"/>
    <w:rsid w:val="0075094E"/>
    <w:rsid w:val="007522E8"/>
    <w:rsid w:val="00755064"/>
    <w:rsid w:val="0075647A"/>
    <w:rsid w:val="007634AD"/>
    <w:rsid w:val="00773BC8"/>
    <w:rsid w:val="007750D6"/>
    <w:rsid w:val="007769DC"/>
    <w:rsid w:val="00776D19"/>
    <w:rsid w:val="00776DF7"/>
    <w:rsid w:val="00780199"/>
    <w:rsid w:val="00780F32"/>
    <w:rsid w:val="0078122E"/>
    <w:rsid w:val="00781CF5"/>
    <w:rsid w:val="007873A0"/>
    <w:rsid w:val="00790037"/>
    <w:rsid w:val="007909AE"/>
    <w:rsid w:val="0079299F"/>
    <w:rsid w:val="0079381F"/>
    <w:rsid w:val="00795647"/>
    <w:rsid w:val="007A2F81"/>
    <w:rsid w:val="007A5354"/>
    <w:rsid w:val="007B0854"/>
    <w:rsid w:val="007B6442"/>
    <w:rsid w:val="007B6EC8"/>
    <w:rsid w:val="007C1BE1"/>
    <w:rsid w:val="007C29FB"/>
    <w:rsid w:val="007C2EB2"/>
    <w:rsid w:val="007D66E2"/>
    <w:rsid w:val="007D67AA"/>
    <w:rsid w:val="007E4AA9"/>
    <w:rsid w:val="007E4E80"/>
    <w:rsid w:val="007F067B"/>
    <w:rsid w:val="007F22A0"/>
    <w:rsid w:val="007F6B46"/>
    <w:rsid w:val="007F72CB"/>
    <w:rsid w:val="007F785F"/>
    <w:rsid w:val="008002D9"/>
    <w:rsid w:val="00802E58"/>
    <w:rsid w:val="00803F76"/>
    <w:rsid w:val="00811C61"/>
    <w:rsid w:val="0081678E"/>
    <w:rsid w:val="0081766B"/>
    <w:rsid w:val="008217B7"/>
    <w:rsid w:val="00824088"/>
    <w:rsid w:val="0083119B"/>
    <w:rsid w:val="00831220"/>
    <w:rsid w:val="00836EAB"/>
    <w:rsid w:val="0083724E"/>
    <w:rsid w:val="00840019"/>
    <w:rsid w:val="00844AFA"/>
    <w:rsid w:val="0085092D"/>
    <w:rsid w:val="00850F79"/>
    <w:rsid w:val="00851DFA"/>
    <w:rsid w:val="00857630"/>
    <w:rsid w:val="0086183C"/>
    <w:rsid w:val="008618BB"/>
    <w:rsid w:val="00863624"/>
    <w:rsid w:val="00863ED2"/>
    <w:rsid w:val="0086708F"/>
    <w:rsid w:val="0087039D"/>
    <w:rsid w:val="008712BF"/>
    <w:rsid w:val="008720B5"/>
    <w:rsid w:val="0087534A"/>
    <w:rsid w:val="00885A16"/>
    <w:rsid w:val="00886323"/>
    <w:rsid w:val="0089774F"/>
    <w:rsid w:val="008978EB"/>
    <w:rsid w:val="008A0816"/>
    <w:rsid w:val="008A1491"/>
    <w:rsid w:val="008A5007"/>
    <w:rsid w:val="008A796E"/>
    <w:rsid w:val="008B10A0"/>
    <w:rsid w:val="008C11F0"/>
    <w:rsid w:val="008C45BD"/>
    <w:rsid w:val="008C57A8"/>
    <w:rsid w:val="008D69B1"/>
    <w:rsid w:val="008D747C"/>
    <w:rsid w:val="008E1503"/>
    <w:rsid w:val="008E1C15"/>
    <w:rsid w:val="008E7D6E"/>
    <w:rsid w:val="008F2004"/>
    <w:rsid w:val="008F47E2"/>
    <w:rsid w:val="008F4B5E"/>
    <w:rsid w:val="008F538E"/>
    <w:rsid w:val="009027AC"/>
    <w:rsid w:val="00902E5C"/>
    <w:rsid w:val="009047C5"/>
    <w:rsid w:val="009106F5"/>
    <w:rsid w:val="00910F5F"/>
    <w:rsid w:val="009224A3"/>
    <w:rsid w:val="009233DF"/>
    <w:rsid w:val="0092758D"/>
    <w:rsid w:val="00933333"/>
    <w:rsid w:val="00937401"/>
    <w:rsid w:val="00942296"/>
    <w:rsid w:val="009422A0"/>
    <w:rsid w:val="00950C81"/>
    <w:rsid w:val="009528B3"/>
    <w:rsid w:val="009531C1"/>
    <w:rsid w:val="0095385A"/>
    <w:rsid w:val="0095402D"/>
    <w:rsid w:val="0095780A"/>
    <w:rsid w:val="009655D0"/>
    <w:rsid w:val="00966C46"/>
    <w:rsid w:val="009715D4"/>
    <w:rsid w:val="00973D7A"/>
    <w:rsid w:val="00974C92"/>
    <w:rsid w:val="00977951"/>
    <w:rsid w:val="009831DD"/>
    <w:rsid w:val="0098427D"/>
    <w:rsid w:val="009865D5"/>
    <w:rsid w:val="009868CC"/>
    <w:rsid w:val="00991BE0"/>
    <w:rsid w:val="00992809"/>
    <w:rsid w:val="009953AD"/>
    <w:rsid w:val="009A6C94"/>
    <w:rsid w:val="009A7808"/>
    <w:rsid w:val="009B0019"/>
    <w:rsid w:val="009B7B3C"/>
    <w:rsid w:val="009C118E"/>
    <w:rsid w:val="009C1812"/>
    <w:rsid w:val="009C7EC7"/>
    <w:rsid w:val="009D429E"/>
    <w:rsid w:val="009D45A0"/>
    <w:rsid w:val="009E2F55"/>
    <w:rsid w:val="009E3DB3"/>
    <w:rsid w:val="009E61EA"/>
    <w:rsid w:val="009E74F4"/>
    <w:rsid w:val="009E751B"/>
    <w:rsid w:val="009F59C2"/>
    <w:rsid w:val="00A0188B"/>
    <w:rsid w:val="00A02186"/>
    <w:rsid w:val="00A021E2"/>
    <w:rsid w:val="00A02831"/>
    <w:rsid w:val="00A041BC"/>
    <w:rsid w:val="00A06E51"/>
    <w:rsid w:val="00A127D2"/>
    <w:rsid w:val="00A13AAC"/>
    <w:rsid w:val="00A1403F"/>
    <w:rsid w:val="00A17358"/>
    <w:rsid w:val="00A20264"/>
    <w:rsid w:val="00A2270E"/>
    <w:rsid w:val="00A24560"/>
    <w:rsid w:val="00A337FB"/>
    <w:rsid w:val="00A34538"/>
    <w:rsid w:val="00A37FB6"/>
    <w:rsid w:val="00A421FC"/>
    <w:rsid w:val="00A42844"/>
    <w:rsid w:val="00A428C8"/>
    <w:rsid w:val="00A431FE"/>
    <w:rsid w:val="00A45FAA"/>
    <w:rsid w:val="00A501CA"/>
    <w:rsid w:val="00A515E9"/>
    <w:rsid w:val="00A53E79"/>
    <w:rsid w:val="00A668BA"/>
    <w:rsid w:val="00A715F6"/>
    <w:rsid w:val="00A8043B"/>
    <w:rsid w:val="00A839EF"/>
    <w:rsid w:val="00A852EB"/>
    <w:rsid w:val="00A854AC"/>
    <w:rsid w:val="00A91512"/>
    <w:rsid w:val="00A939C4"/>
    <w:rsid w:val="00A9477A"/>
    <w:rsid w:val="00A965EA"/>
    <w:rsid w:val="00AA08E7"/>
    <w:rsid w:val="00AA16A5"/>
    <w:rsid w:val="00AA442B"/>
    <w:rsid w:val="00AA669D"/>
    <w:rsid w:val="00AA68E2"/>
    <w:rsid w:val="00AA73E0"/>
    <w:rsid w:val="00AA7416"/>
    <w:rsid w:val="00AA7812"/>
    <w:rsid w:val="00AB2BA0"/>
    <w:rsid w:val="00AB6E2C"/>
    <w:rsid w:val="00AC0D43"/>
    <w:rsid w:val="00AC24AF"/>
    <w:rsid w:val="00AC49DA"/>
    <w:rsid w:val="00AC75AB"/>
    <w:rsid w:val="00AD3E4D"/>
    <w:rsid w:val="00AE24CB"/>
    <w:rsid w:val="00AE491A"/>
    <w:rsid w:val="00AF26CF"/>
    <w:rsid w:val="00AF3F88"/>
    <w:rsid w:val="00AF45AA"/>
    <w:rsid w:val="00AF5924"/>
    <w:rsid w:val="00B01474"/>
    <w:rsid w:val="00B020E9"/>
    <w:rsid w:val="00B04BA9"/>
    <w:rsid w:val="00B05A55"/>
    <w:rsid w:val="00B06595"/>
    <w:rsid w:val="00B06D20"/>
    <w:rsid w:val="00B07E16"/>
    <w:rsid w:val="00B1051B"/>
    <w:rsid w:val="00B12A38"/>
    <w:rsid w:val="00B13EC0"/>
    <w:rsid w:val="00B142B9"/>
    <w:rsid w:val="00B1449F"/>
    <w:rsid w:val="00B214ED"/>
    <w:rsid w:val="00B22E22"/>
    <w:rsid w:val="00B251C2"/>
    <w:rsid w:val="00B30910"/>
    <w:rsid w:val="00B30D48"/>
    <w:rsid w:val="00B30D51"/>
    <w:rsid w:val="00B324EA"/>
    <w:rsid w:val="00B3296D"/>
    <w:rsid w:val="00B3622A"/>
    <w:rsid w:val="00B40595"/>
    <w:rsid w:val="00B42225"/>
    <w:rsid w:val="00B4347D"/>
    <w:rsid w:val="00B43F68"/>
    <w:rsid w:val="00B46978"/>
    <w:rsid w:val="00B525CB"/>
    <w:rsid w:val="00B530AE"/>
    <w:rsid w:val="00B57782"/>
    <w:rsid w:val="00B60230"/>
    <w:rsid w:val="00B63872"/>
    <w:rsid w:val="00B63CB2"/>
    <w:rsid w:val="00B64EDB"/>
    <w:rsid w:val="00B70328"/>
    <w:rsid w:val="00B709C8"/>
    <w:rsid w:val="00B7252A"/>
    <w:rsid w:val="00B7315F"/>
    <w:rsid w:val="00B74C52"/>
    <w:rsid w:val="00B7534F"/>
    <w:rsid w:val="00B76843"/>
    <w:rsid w:val="00B90817"/>
    <w:rsid w:val="00B90A4E"/>
    <w:rsid w:val="00B91B8E"/>
    <w:rsid w:val="00B9230A"/>
    <w:rsid w:val="00B94AEB"/>
    <w:rsid w:val="00B97305"/>
    <w:rsid w:val="00BA1382"/>
    <w:rsid w:val="00BA22FC"/>
    <w:rsid w:val="00BA37F9"/>
    <w:rsid w:val="00BA4771"/>
    <w:rsid w:val="00BB6E5C"/>
    <w:rsid w:val="00BC007C"/>
    <w:rsid w:val="00BC57E0"/>
    <w:rsid w:val="00BC6501"/>
    <w:rsid w:val="00BD1CEE"/>
    <w:rsid w:val="00BD447D"/>
    <w:rsid w:val="00BD664D"/>
    <w:rsid w:val="00BD78FE"/>
    <w:rsid w:val="00BE2DB4"/>
    <w:rsid w:val="00BE3565"/>
    <w:rsid w:val="00BE4B35"/>
    <w:rsid w:val="00BF1C81"/>
    <w:rsid w:val="00BF23A3"/>
    <w:rsid w:val="00BF5980"/>
    <w:rsid w:val="00BF7C52"/>
    <w:rsid w:val="00C15A13"/>
    <w:rsid w:val="00C165FC"/>
    <w:rsid w:val="00C2118A"/>
    <w:rsid w:val="00C229DD"/>
    <w:rsid w:val="00C258BA"/>
    <w:rsid w:val="00C273CC"/>
    <w:rsid w:val="00C27707"/>
    <w:rsid w:val="00C30123"/>
    <w:rsid w:val="00C32017"/>
    <w:rsid w:val="00C3264A"/>
    <w:rsid w:val="00C407E4"/>
    <w:rsid w:val="00C419E3"/>
    <w:rsid w:val="00C41E6A"/>
    <w:rsid w:val="00C45E00"/>
    <w:rsid w:val="00C46EA9"/>
    <w:rsid w:val="00C47B95"/>
    <w:rsid w:val="00C50CA8"/>
    <w:rsid w:val="00C53AC7"/>
    <w:rsid w:val="00C57033"/>
    <w:rsid w:val="00C610FB"/>
    <w:rsid w:val="00C62ECC"/>
    <w:rsid w:val="00C630F3"/>
    <w:rsid w:val="00C63E99"/>
    <w:rsid w:val="00C6581D"/>
    <w:rsid w:val="00C732A4"/>
    <w:rsid w:val="00C768FD"/>
    <w:rsid w:val="00C76E32"/>
    <w:rsid w:val="00C811FF"/>
    <w:rsid w:val="00C86300"/>
    <w:rsid w:val="00C90182"/>
    <w:rsid w:val="00C90AC4"/>
    <w:rsid w:val="00C913E3"/>
    <w:rsid w:val="00C91B89"/>
    <w:rsid w:val="00C91F75"/>
    <w:rsid w:val="00C934F1"/>
    <w:rsid w:val="00C93AB7"/>
    <w:rsid w:val="00C93D8C"/>
    <w:rsid w:val="00C97D94"/>
    <w:rsid w:val="00CA0EEF"/>
    <w:rsid w:val="00CA383B"/>
    <w:rsid w:val="00CA48A4"/>
    <w:rsid w:val="00CB43A0"/>
    <w:rsid w:val="00CB5F4F"/>
    <w:rsid w:val="00CB7A3E"/>
    <w:rsid w:val="00CC00CD"/>
    <w:rsid w:val="00CC11F9"/>
    <w:rsid w:val="00CC315F"/>
    <w:rsid w:val="00CD0DFC"/>
    <w:rsid w:val="00CD1721"/>
    <w:rsid w:val="00CE0566"/>
    <w:rsid w:val="00CF550D"/>
    <w:rsid w:val="00D01760"/>
    <w:rsid w:val="00D0412A"/>
    <w:rsid w:val="00D056A5"/>
    <w:rsid w:val="00D10E7C"/>
    <w:rsid w:val="00D13FEB"/>
    <w:rsid w:val="00D16E39"/>
    <w:rsid w:val="00D17383"/>
    <w:rsid w:val="00D17E38"/>
    <w:rsid w:val="00D21BB5"/>
    <w:rsid w:val="00D223B6"/>
    <w:rsid w:val="00D24489"/>
    <w:rsid w:val="00D31BE6"/>
    <w:rsid w:val="00D31C6A"/>
    <w:rsid w:val="00D32256"/>
    <w:rsid w:val="00D32352"/>
    <w:rsid w:val="00D330B8"/>
    <w:rsid w:val="00D3532E"/>
    <w:rsid w:val="00D36A58"/>
    <w:rsid w:val="00D41E3A"/>
    <w:rsid w:val="00D466AF"/>
    <w:rsid w:val="00D46D5D"/>
    <w:rsid w:val="00D50F51"/>
    <w:rsid w:val="00D547F0"/>
    <w:rsid w:val="00D557A4"/>
    <w:rsid w:val="00D57940"/>
    <w:rsid w:val="00D60327"/>
    <w:rsid w:val="00D64E0B"/>
    <w:rsid w:val="00D72E9D"/>
    <w:rsid w:val="00D74158"/>
    <w:rsid w:val="00D75C33"/>
    <w:rsid w:val="00D75E99"/>
    <w:rsid w:val="00D80493"/>
    <w:rsid w:val="00D82CE5"/>
    <w:rsid w:val="00D8342C"/>
    <w:rsid w:val="00D853BF"/>
    <w:rsid w:val="00D93726"/>
    <w:rsid w:val="00D96760"/>
    <w:rsid w:val="00D96F24"/>
    <w:rsid w:val="00D974C8"/>
    <w:rsid w:val="00DA5AB1"/>
    <w:rsid w:val="00DA71AD"/>
    <w:rsid w:val="00DB1AFF"/>
    <w:rsid w:val="00DB7276"/>
    <w:rsid w:val="00DC1944"/>
    <w:rsid w:val="00DC430C"/>
    <w:rsid w:val="00DC518A"/>
    <w:rsid w:val="00DC5469"/>
    <w:rsid w:val="00DC62E5"/>
    <w:rsid w:val="00DD5EC6"/>
    <w:rsid w:val="00DD7115"/>
    <w:rsid w:val="00DD735D"/>
    <w:rsid w:val="00DD759C"/>
    <w:rsid w:val="00DE02B7"/>
    <w:rsid w:val="00DE2630"/>
    <w:rsid w:val="00DE3119"/>
    <w:rsid w:val="00DE52D6"/>
    <w:rsid w:val="00DE6601"/>
    <w:rsid w:val="00DE76E6"/>
    <w:rsid w:val="00DF236B"/>
    <w:rsid w:val="00DF2F4F"/>
    <w:rsid w:val="00DF4451"/>
    <w:rsid w:val="00DF453C"/>
    <w:rsid w:val="00E0342C"/>
    <w:rsid w:val="00E109DD"/>
    <w:rsid w:val="00E12707"/>
    <w:rsid w:val="00E13AB8"/>
    <w:rsid w:val="00E16A32"/>
    <w:rsid w:val="00E17E41"/>
    <w:rsid w:val="00E20C2F"/>
    <w:rsid w:val="00E25CB3"/>
    <w:rsid w:val="00E267B7"/>
    <w:rsid w:val="00E27359"/>
    <w:rsid w:val="00E33B62"/>
    <w:rsid w:val="00E356DF"/>
    <w:rsid w:val="00E36CEB"/>
    <w:rsid w:val="00E37F96"/>
    <w:rsid w:val="00E4143A"/>
    <w:rsid w:val="00E53189"/>
    <w:rsid w:val="00E536BE"/>
    <w:rsid w:val="00E558C8"/>
    <w:rsid w:val="00E56090"/>
    <w:rsid w:val="00E5641B"/>
    <w:rsid w:val="00E565B9"/>
    <w:rsid w:val="00E56839"/>
    <w:rsid w:val="00E57660"/>
    <w:rsid w:val="00E6143E"/>
    <w:rsid w:val="00E63F11"/>
    <w:rsid w:val="00E65887"/>
    <w:rsid w:val="00E669B0"/>
    <w:rsid w:val="00E7064A"/>
    <w:rsid w:val="00E71BD5"/>
    <w:rsid w:val="00E775F1"/>
    <w:rsid w:val="00E82D14"/>
    <w:rsid w:val="00E8395B"/>
    <w:rsid w:val="00E87DD5"/>
    <w:rsid w:val="00E90220"/>
    <w:rsid w:val="00E91454"/>
    <w:rsid w:val="00E95100"/>
    <w:rsid w:val="00E9556D"/>
    <w:rsid w:val="00E961A5"/>
    <w:rsid w:val="00E9744A"/>
    <w:rsid w:val="00EA1767"/>
    <w:rsid w:val="00EA3E75"/>
    <w:rsid w:val="00EA5464"/>
    <w:rsid w:val="00EC0E7E"/>
    <w:rsid w:val="00EC164A"/>
    <w:rsid w:val="00EC1910"/>
    <w:rsid w:val="00EC1CE7"/>
    <w:rsid w:val="00EC50ED"/>
    <w:rsid w:val="00ED0ED8"/>
    <w:rsid w:val="00ED4037"/>
    <w:rsid w:val="00ED587F"/>
    <w:rsid w:val="00EE0251"/>
    <w:rsid w:val="00EE0C5C"/>
    <w:rsid w:val="00EE55E7"/>
    <w:rsid w:val="00EE59B5"/>
    <w:rsid w:val="00EF005A"/>
    <w:rsid w:val="00EF17BF"/>
    <w:rsid w:val="00EF4D78"/>
    <w:rsid w:val="00F017F5"/>
    <w:rsid w:val="00F07E81"/>
    <w:rsid w:val="00F1108B"/>
    <w:rsid w:val="00F218D2"/>
    <w:rsid w:val="00F21C5F"/>
    <w:rsid w:val="00F23BE9"/>
    <w:rsid w:val="00F257B4"/>
    <w:rsid w:val="00F25971"/>
    <w:rsid w:val="00F27A5B"/>
    <w:rsid w:val="00F30727"/>
    <w:rsid w:val="00F31A68"/>
    <w:rsid w:val="00F36681"/>
    <w:rsid w:val="00F36B35"/>
    <w:rsid w:val="00F41E63"/>
    <w:rsid w:val="00F463A8"/>
    <w:rsid w:val="00F46FE1"/>
    <w:rsid w:val="00F47F2D"/>
    <w:rsid w:val="00F50E11"/>
    <w:rsid w:val="00F55FDD"/>
    <w:rsid w:val="00F56584"/>
    <w:rsid w:val="00F574C1"/>
    <w:rsid w:val="00F57729"/>
    <w:rsid w:val="00F57B4F"/>
    <w:rsid w:val="00F57B72"/>
    <w:rsid w:val="00F57C75"/>
    <w:rsid w:val="00F6159E"/>
    <w:rsid w:val="00F715EE"/>
    <w:rsid w:val="00F7357E"/>
    <w:rsid w:val="00F7517F"/>
    <w:rsid w:val="00F76963"/>
    <w:rsid w:val="00F7741E"/>
    <w:rsid w:val="00F84899"/>
    <w:rsid w:val="00F859F0"/>
    <w:rsid w:val="00F87E29"/>
    <w:rsid w:val="00F90B96"/>
    <w:rsid w:val="00F92839"/>
    <w:rsid w:val="00F941F3"/>
    <w:rsid w:val="00F9522F"/>
    <w:rsid w:val="00FA050F"/>
    <w:rsid w:val="00FA22FF"/>
    <w:rsid w:val="00FA4DCC"/>
    <w:rsid w:val="00FB236D"/>
    <w:rsid w:val="00FB27B7"/>
    <w:rsid w:val="00FB5572"/>
    <w:rsid w:val="00FB656D"/>
    <w:rsid w:val="00FB6738"/>
    <w:rsid w:val="00FC113C"/>
    <w:rsid w:val="00FC1644"/>
    <w:rsid w:val="00FC18DC"/>
    <w:rsid w:val="00FC1D91"/>
    <w:rsid w:val="00FC32DA"/>
    <w:rsid w:val="00FC7C7B"/>
    <w:rsid w:val="00FD10FB"/>
    <w:rsid w:val="00FD410E"/>
    <w:rsid w:val="00FE0323"/>
    <w:rsid w:val="00FE141E"/>
    <w:rsid w:val="00FE1E7C"/>
    <w:rsid w:val="00FE2265"/>
    <w:rsid w:val="00FE42ED"/>
    <w:rsid w:val="00FE5C5A"/>
    <w:rsid w:val="00FE71C5"/>
    <w:rsid w:val="00FF232F"/>
    <w:rsid w:val="00FF5FA6"/>
    <w:rsid w:val="043B8242"/>
    <w:rsid w:val="11C12446"/>
    <w:rsid w:val="136B4A4F"/>
    <w:rsid w:val="1883EC25"/>
    <w:rsid w:val="25D89E92"/>
    <w:rsid w:val="36CA11E8"/>
    <w:rsid w:val="389A21D5"/>
    <w:rsid w:val="47E41D8C"/>
    <w:rsid w:val="4D1BA0F8"/>
    <w:rsid w:val="4E700C15"/>
    <w:rsid w:val="515F75E6"/>
    <w:rsid w:val="59BDB65A"/>
    <w:rsid w:val="5A0DC56D"/>
    <w:rsid w:val="5AE8A8C0"/>
    <w:rsid w:val="676BD56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3515154B-E1D1-4014-97F9-FFE5BBECC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2D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CC11F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86183C"/>
    <w:rPr>
      <w:b/>
      <w:bCs/>
    </w:rPr>
  </w:style>
  <w:style w:type="character" w:styleId="nfasis">
    <w:name w:val="Emphasis"/>
    <w:basedOn w:val="Fuentedeprrafopredeter"/>
    <w:uiPriority w:val="20"/>
    <w:qFormat/>
    <w:rsid w:val="0086183C"/>
    <w:rPr>
      <w:i/>
      <w:iCs/>
    </w:rPr>
  </w:style>
  <w:style w:type="character" w:customStyle="1" w:styleId="toctoggle">
    <w:name w:val="toctoggle"/>
    <w:basedOn w:val="Fuentedeprrafopredeter"/>
    <w:rsid w:val="0086183C"/>
  </w:style>
  <w:style w:type="character" w:customStyle="1" w:styleId="NormalWebCar">
    <w:name w:val="Normal (Web) Car"/>
    <w:link w:val="NormalWeb"/>
    <w:uiPriority w:val="99"/>
    <w:rsid w:val="001F4546"/>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434A4"/>
    <w:pPr>
      <w:spacing w:after="160" w:line="240" w:lineRule="exact"/>
    </w:pPr>
    <w:rPr>
      <w:sz w:val="22"/>
      <w:vertAlign w:val="superscript"/>
      <w:lang w:val="es-CO"/>
    </w:rPr>
  </w:style>
  <w:style w:type="paragraph" w:styleId="Revisin">
    <w:name w:val="Revision"/>
    <w:hidden/>
    <w:uiPriority w:val="99"/>
    <w:semiHidden/>
    <w:rsid w:val="00DD759C"/>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647760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5719941">
      <w:bodyDiv w:val="1"/>
      <w:marLeft w:val="0"/>
      <w:marRight w:val="0"/>
      <w:marTop w:val="0"/>
      <w:marBottom w:val="0"/>
      <w:divBdr>
        <w:top w:val="none" w:sz="0" w:space="0" w:color="auto"/>
        <w:left w:val="none" w:sz="0" w:space="0" w:color="auto"/>
        <w:bottom w:val="none" w:sz="0" w:space="0" w:color="auto"/>
        <w:right w:val="none" w:sz="0" w:space="0" w:color="auto"/>
      </w:divBdr>
      <w:divsChild>
        <w:div w:id="1046106515">
          <w:marLeft w:val="0"/>
          <w:marRight w:val="0"/>
          <w:marTop w:val="0"/>
          <w:marBottom w:val="0"/>
          <w:divBdr>
            <w:top w:val="none" w:sz="0" w:space="0" w:color="auto"/>
            <w:left w:val="none" w:sz="0" w:space="0" w:color="auto"/>
            <w:bottom w:val="none" w:sz="0" w:space="0" w:color="auto"/>
            <w:right w:val="none" w:sz="0" w:space="0" w:color="auto"/>
          </w:divBdr>
        </w:div>
      </w:divsChild>
    </w:div>
    <w:div w:id="585963826">
      <w:bodyDiv w:val="1"/>
      <w:marLeft w:val="0"/>
      <w:marRight w:val="0"/>
      <w:marTop w:val="0"/>
      <w:marBottom w:val="0"/>
      <w:divBdr>
        <w:top w:val="none" w:sz="0" w:space="0" w:color="auto"/>
        <w:left w:val="none" w:sz="0" w:space="0" w:color="auto"/>
        <w:bottom w:val="none" w:sz="0" w:space="0" w:color="auto"/>
        <w:right w:val="none" w:sz="0" w:space="0" w:color="auto"/>
      </w:divBdr>
    </w:div>
    <w:div w:id="651254561">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822312749">
      <w:bodyDiv w:val="1"/>
      <w:marLeft w:val="0"/>
      <w:marRight w:val="0"/>
      <w:marTop w:val="0"/>
      <w:marBottom w:val="0"/>
      <w:divBdr>
        <w:top w:val="none" w:sz="0" w:space="0" w:color="auto"/>
        <w:left w:val="none" w:sz="0" w:space="0" w:color="auto"/>
        <w:bottom w:val="none" w:sz="0" w:space="0" w:color="auto"/>
        <w:right w:val="none" w:sz="0" w:space="0" w:color="auto"/>
      </w:divBdr>
    </w:div>
    <w:div w:id="916282276">
      <w:bodyDiv w:val="1"/>
      <w:marLeft w:val="0"/>
      <w:marRight w:val="0"/>
      <w:marTop w:val="0"/>
      <w:marBottom w:val="0"/>
      <w:divBdr>
        <w:top w:val="none" w:sz="0" w:space="0" w:color="auto"/>
        <w:left w:val="none" w:sz="0" w:space="0" w:color="auto"/>
        <w:bottom w:val="none" w:sz="0" w:space="0" w:color="auto"/>
        <w:right w:val="none" w:sz="0" w:space="0" w:color="auto"/>
      </w:divBdr>
    </w:div>
    <w:div w:id="919101865">
      <w:bodyDiv w:val="1"/>
      <w:marLeft w:val="0"/>
      <w:marRight w:val="0"/>
      <w:marTop w:val="0"/>
      <w:marBottom w:val="0"/>
      <w:divBdr>
        <w:top w:val="none" w:sz="0" w:space="0" w:color="auto"/>
        <w:left w:val="none" w:sz="0" w:space="0" w:color="auto"/>
        <w:bottom w:val="none" w:sz="0" w:space="0" w:color="auto"/>
        <w:right w:val="none" w:sz="0" w:space="0" w:color="auto"/>
      </w:divBdr>
      <w:divsChild>
        <w:div w:id="1344168581">
          <w:marLeft w:val="0"/>
          <w:marRight w:val="0"/>
          <w:marTop w:val="0"/>
          <w:marBottom w:val="0"/>
          <w:divBdr>
            <w:top w:val="none" w:sz="0" w:space="0" w:color="auto"/>
            <w:left w:val="none" w:sz="0" w:space="0" w:color="auto"/>
            <w:bottom w:val="none" w:sz="0" w:space="0" w:color="auto"/>
            <w:right w:val="none" w:sz="0" w:space="0" w:color="auto"/>
          </w:divBdr>
          <w:divsChild>
            <w:div w:id="846292534">
              <w:marLeft w:val="0"/>
              <w:marRight w:val="0"/>
              <w:marTop w:val="0"/>
              <w:marBottom w:val="0"/>
              <w:divBdr>
                <w:top w:val="none" w:sz="0" w:space="0" w:color="auto"/>
                <w:left w:val="none" w:sz="0" w:space="0" w:color="auto"/>
                <w:bottom w:val="none" w:sz="0" w:space="0" w:color="auto"/>
                <w:right w:val="none" w:sz="0" w:space="0" w:color="auto"/>
              </w:divBdr>
              <w:divsChild>
                <w:div w:id="188502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7615">
      <w:bodyDiv w:val="1"/>
      <w:marLeft w:val="0"/>
      <w:marRight w:val="0"/>
      <w:marTop w:val="0"/>
      <w:marBottom w:val="0"/>
      <w:divBdr>
        <w:top w:val="none" w:sz="0" w:space="0" w:color="auto"/>
        <w:left w:val="none" w:sz="0" w:space="0" w:color="auto"/>
        <w:bottom w:val="none" w:sz="0" w:space="0" w:color="auto"/>
        <w:right w:val="none" w:sz="0" w:space="0" w:color="auto"/>
      </w:divBdr>
    </w:div>
    <w:div w:id="987131905">
      <w:bodyDiv w:val="1"/>
      <w:marLeft w:val="0"/>
      <w:marRight w:val="0"/>
      <w:marTop w:val="0"/>
      <w:marBottom w:val="0"/>
      <w:divBdr>
        <w:top w:val="none" w:sz="0" w:space="0" w:color="auto"/>
        <w:left w:val="none" w:sz="0" w:space="0" w:color="auto"/>
        <w:bottom w:val="none" w:sz="0" w:space="0" w:color="auto"/>
        <w:right w:val="none" w:sz="0" w:space="0" w:color="auto"/>
      </w:divBdr>
      <w:divsChild>
        <w:div w:id="1149399484">
          <w:marLeft w:val="0"/>
          <w:marRight w:val="0"/>
          <w:marTop w:val="0"/>
          <w:marBottom w:val="0"/>
          <w:divBdr>
            <w:top w:val="none" w:sz="0" w:space="0" w:color="auto"/>
            <w:left w:val="none" w:sz="0" w:space="0" w:color="auto"/>
            <w:bottom w:val="none" w:sz="0" w:space="0" w:color="auto"/>
            <w:right w:val="none" w:sz="0" w:space="0" w:color="auto"/>
          </w:divBdr>
          <w:divsChild>
            <w:div w:id="1905724051">
              <w:marLeft w:val="0"/>
              <w:marRight w:val="0"/>
              <w:marTop w:val="0"/>
              <w:marBottom w:val="0"/>
              <w:divBdr>
                <w:top w:val="none" w:sz="0" w:space="0" w:color="auto"/>
                <w:left w:val="none" w:sz="0" w:space="0" w:color="auto"/>
                <w:bottom w:val="none" w:sz="0" w:space="0" w:color="auto"/>
                <w:right w:val="none" w:sz="0" w:space="0" w:color="auto"/>
              </w:divBdr>
            </w:div>
          </w:divsChild>
        </w:div>
        <w:div w:id="307974226">
          <w:marLeft w:val="0"/>
          <w:marRight w:val="0"/>
          <w:marTop w:val="0"/>
          <w:marBottom w:val="0"/>
          <w:divBdr>
            <w:top w:val="none" w:sz="0" w:space="0" w:color="auto"/>
            <w:left w:val="none" w:sz="0" w:space="0" w:color="auto"/>
            <w:bottom w:val="none" w:sz="0" w:space="0" w:color="auto"/>
            <w:right w:val="none" w:sz="0" w:space="0" w:color="auto"/>
          </w:divBdr>
          <w:divsChild>
            <w:div w:id="1848598795">
              <w:marLeft w:val="0"/>
              <w:marRight w:val="0"/>
              <w:marTop w:val="0"/>
              <w:marBottom w:val="0"/>
              <w:divBdr>
                <w:top w:val="none" w:sz="0" w:space="0" w:color="auto"/>
                <w:left w:val="none" w:sz="0" w:space="0" w:color="auto"/>
                <w:bottom w:val="none" w:sz="0" w:space="0" w:color="auto"/>
                <w:right w:val="none" w:sz="0" w:space="0" w:color="auto"/>
              </w:divBdr>
            </w:div>
          </w:divsChild>
        </w:div>
        <w:div w:id="1343119098">
          <w:marLeft w:val="0"/>
          <w:marRight w:val="0"/>
          <w:marTop w:val="0"/>
          <w:marBottom w:val="0"/>
          <w:divBdr>
            <w:top w:val="none" w:sz="0" w:space="0" w:color="auto"/>
            <w:left w:val="none" w:sz="0" w:space="0" w:color="auto"/>
            <w:bottom w:val="none" w:sz="0" w:space="0" w:color="auto"/>
            <w:right w:val="none" w:sz="0" w:space="0" w:color="auto"/>
          </w:divBdr>
          <w:divsChild>
            <w:div w:id="162673499">
              <w:marLeft w:val="0"/>
              <w:marRight w:val="0"/>
              <w:marTop w:val="0"/>
              <w:marBottom w:val="0"/>
              <w:divBdr>
                <w:top w:val="none" w:sz="0" w:space="0" w:color="auto"/>
                <w:left w:val="none" w:sz="0" w:space="0" w:color="auto"/>
                <w:bottom w:val="none" w:sz="0" w:space="0" w:color="auto"/>
                <w:right w:val="none" w:sz="0" w:space="0" w:color="auto"/>
              </w:divBdr>
            </w:div>
          </w:divsChild>
        </w:div>
        <w:div w:id="1859925628">
          <w:marLeft w:val="0"/>
          <w:marRight w:val="0"/>
          <w:marTop w:val="0"/>
          <w:marBottom w:val="0"/>
          <w:divBdr>
            <w:top w:val="none" w:sz="0" w:space="0" w:color="auto"/>
            <w:left w:val="none" w:sz="0" w:space="0" w:color="auto"/>
            <w:bottom w:val="none" w:sz="0" w:space="0" w:color="auto"/>
            <w:right w:val="none" w:sz="0" w:space="0" w:color="auto"/>
          </w:divBdr>
          <w:divsChild>
            <w:div w:id="1205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34671">
      <w:bodyDiv w:val="1"/>
      <w:marLeft w:val="0"/>
      <w:marRight w:val="0"/>
      <w:marTop w:val="0"/>
      <w:marBottom w:val="0"/>
      <w:divBdr>
        <w:top w:val="none" w:sz="0" w:space="0" w:color="auto"/>
        <w:left w:val="none" w:sz="0" w:space="0" w:color="auto"/>
        <w:bottom w:val="none" w:sz="0" w:space="0" w:color="auto"/>
        <w:right w:val="none" w:sz="0" w:space="0" w:color="auto"/>
      </w:divBdr>
      <w:divsChild>
        <w:div w:id="954558296">
          <w:marLeft w:val="0"/>
          <w:marRight w:val="0"/>
          <w:marTop w:val="0"/>
          <w:marBottom w:val="0"/>
          <w:divBdr>
            <w:top w:val="none" w:sz="0" w:space="0" w:color="auto"/>
            <w:left w:val="none" w:sz="0" w:space="0" w:color="auto"/>
            <w:bottom w:val="none" w:sz="0" w:space="0" w:color="auto"/>
            <w:right w:val="none" w:sz="0" w:space="0" w:color="auto"/>
          </w:divBdr>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12255681">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623611852">
      <w:bodyDiv w:val="1"/>
      <w:marLeft w:val="0"/>
      <w:marRight w:val="0"/>
      <w:marTop w:val="0"/>
      <w:marBottom w:val="0"/>
      <w:divBdr>
        <w:top w:val="none" w:sz="0" w:space="0" w:color="auto"/>
        <w:left w:val="none" w:sz="0" w:space="0" w:color="auto"/>
        <w:bottom w:val="none" w:sz="0" w:space="0" w:color="auto"/>
        <w:right w:val="none" w:sz="0" w:space="0" w:color="auto"/>
      </w:divBdr>
    </w:div>
    <w:div w:id="1673145430">
      <w:bodyDiv w:val="1"/>
      <w:marLeft w:val="0"/>
      <w:marRight w:val="0"/>
      <w:marTop w:val="0"/>
      <w:marBottom w:val="0"/>
      <w:divBdr>
        <w:top w:val="none" w:sz="0" w:space="0" w:color="auto"/>
        <w:left w:val="none" w:sz="0" w:space="0" w:color="auto"/>
        <w:bottom w:val="none" w:sz="0" w:space="0" w:color="auto"/>
        <w:right w:val="none" w:sz="0" w:space="0" w:color="auto"/>
      </w:divBdr>
    </w:div>
    <w:div w:id="1897811182">
      <w:bodyDiv w:val="1"/>
      <w:marLeft w:val="0"/>
      <w:marRight w:val="0"/>
      <w:marTop w:val="0"/>
      <w:marBottom w:val="0"/>
      <w:divBdr>
        <w:top w:val="none" w:sz="0" w:space="0" w:color="auto"/>
        <w:left w:val="none" w:sz="0" w:space="0" w:color="auto"/>
        <w:bottom w:val="none" w:sz="0" w:space="0" w:color="auto"/>
        <w:right w:val="none" w:sz="0" w:space="0" w:color="auto"/>
      </w:divBdr>
      <w:divsChild>
        <w:div w:id="1133208632">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7A4082-7DB8-EA4E-857D-245F6E660B4D}">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C17D005-9C6F-48BA-A0BF-AD6A0D26A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12</Pages>
  <Words>4010</Words>
  <Characters>22061</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CCE</cp:lastModifiedBy>
  <cp:revision>4</cp:revision>
  <cp:lastPrinted>2020-01-30T18:05:00Z</cp:lastPrinted>
  <dcterms:created xsi:type="dcterms:W3CDTF">2021-12-14T15:02:00Z</dcterms:created>
  <dcterms:modified xsi:type="dcterms:W3CDTF">2021-12-14T15:04:00Z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