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14463" w14:textId="70FE1B3E" w:rsidR="00117A8C" w:rsidRPr="00117A8C" w:rsidRDefault="00117A8C" w:rsidP="00117A8C">
      <w:pPr>
        <w:spacing w:after="0"/>
        <w:jc w:val="both"/>
        <w:rPr>
          <w:rFonts w:ascii="Verdana" w:hAnsi="Verdana"/>
        </w:rPr>
      </w:pPr>
      <w:bookmarkStart w:id="0" w:name="_Hlk143780582"/>
      <w:r w:rsidRPr="00117A8C">
        <w:rPr>
          <w:rFonts w:ascii="Verdana" w:eastAsia="Calibri" w:hAnsi="Verdana" w:cs="Arial"/>
          <w:b/>
          <w:bCs/>
          <w:lang w:val="es-ES_tradnl" w:eastAsia="es-ES"/>
        </w:rPr>
        <w:t>DOCUMENTOS TIPO – Fundamento normativo – Obligatoriedad</w:t>
      </w:r>
    </w:p>
    <w:p w14:paraId="7E998644" w14:textId="77777777" w:rsidR="00117A8C" w:rsidRPr="00117A8C" w:rsidRDefault="00117A8C" w:rsidP="00117A8C">
      <w:pPr>
        <w:spacing w:after="0" w:line="276" w:lineRule="auto"/>
        <w:jc w:val="both"/>
        <w:rPr>
          <w:rFonts w:ascii="Verdana" w:eastAsia="Calibri" w:hAnsi="Verdana" w:cs="Arial"/>
          <w:b/>
          <w:bCs/>
          <w:lang w:val="es-ES_tradnl" w:eastAsia="es-ES"/>
        </w:rPr>
      </w:pPr>
    </w:p>
    <w:p w14:paraId="62C0EC17" w14:textId="6732DE11" w:rsidR="00117A8C" w:rsidRPr="00117A8C" w:rsidRDefault="005776D9" w:rsidP="00117A8C">
      <w:pPr>
        <w:snapToGrid w:val="0"/>
        <w:spacing w:after="0" w:line="240" w:lineRule="auto"/>
        <w:jc w:val="both"/>
        <w:rPr>
          <w:rFonts w:ascii="Verdana" w:eastAsia="Calibri" w:hAnsi="Verdana" w:cs="Times New Roman"/>
          <w:kern w:val="2"/>
          <w:sz w:val="20"/>
          <w:szCs w:val="20"/>
          <w:lang w:val="es-ES_tradnl"/>
          <w14:ligatures w14:val="standardContextual"/>
        </w:rPr>
      </w:pPr>
      <w:r w:rsidRPr="005776D9">
        <w:rPr>
          <w:rFonts w:ascii="Verdana" w:eastAsia="Calibri" w:hAnsi="Verdana" w:cs="Times New Roman"/>
          <w:kern w:val="2"/>
          <w:sz w:val="20"/>
          <w:szCs w:val="20"/>
          <w:lang w:val="es-ES_tradnl"/>
          <w14:ligatures w14:val="standardContextual"/>
        </w:rPr>
        <w:t>Los Documentos Tipo expedidos por la Agencia Nacional de Contratación Pública –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1E2E2545" w14:textId="77777777" w:rsidR="00117A8C" w:rsidRPr="00117A8C" w:rsidRDefault="00117A8C" w:rsidP="00117A8C">
      <w:pPr>
        <w:spacing w:after="0" w:line="276" w:lineRule="auto"/>
        <w:rPr>
          <w:rFonts w:ascii="Verdana" w:eastAsia="Geomanist Light" w:hAnsi="Verdana" w:cs="Arial"/>
          <w:lang w:val="es-ES_tradnl"/>
        </w:rPr>
      </w:pPr>
    </w:p>
    <w:p w14:paraId="6B5885A8" w14:textId="77777777" w:rsidR="00117A8C" w:rsidRPr="00117A8C" w:rsidRDefault="00117A8C" w:rsidP="00117A8C">
      <w:pPr>
        <w:spacing w:after="0" w:line="276" w:lineRule="auto"/>
        <w:jc w:val="both"/>
        <w:rPr>
          <w:rFonts w:ascii="Verdana" w:eastAsia="Geomanist Light" w:hAnsi="Verdana" w:cs="Arial"/>
          <w:b/>
          <w:bCs/>
          <w:lang w:val="es-ES_tradnl"/>
        </w:rPr>
      </w:pPr>
      <w:r w:rsidRPr="00117A8C">
        <w:rPr>
          <w:rFonts w:ascii="Verdana" w:eastAsia="Geomanist Light" w:hAnsi="Verdana" w:cs="Arial"/>
          <w:b/>
          <w:bCs/>
          <w:lang w:val="es-ES_tradnl"/>
        </w:rPr>
        <w:t>INFORMACIÓN INEXACTA – Falsedad – Rechazo de la oferta – Documentos Tipo</w:t>
      </w:r>
    </w:p>
    <w:p w14:paraId="3E0C63B6" w14:textId="77777777" w:rsidR="00117A8C" w:rsidRPr="005776D9" w:rsidRDefault="00117A8C" w:rsidP="00117A8C">
      <w:pPr>
        <w:snapToGrid w:val="0"/>
        <w:spacing w:after="0" w:line="240" w:lineRule="auto"/>
        <w:jc w:val="both"/>
        <w:rPr>
          <w:rFonts w:ascii="Verdana" w:eastAsia="Calibri" w:hAnsi="Verdana" w:cs="Times New Roman"/>
          <w:kern w:val="2"/>
          <w14:ligatures w14:val="standardContextual"/>
        </w:rPr>
      </w:pPr>
    </w:p>
    <w:p w14:paraId="4C980B08" w14:textId="77777777" w:rsidR="005776D9" w:rsidRPr="005776D9" w:rsidRDefault="005776D9" w:rsidP="005776D9">
      <w:pPr>
        <w:spacing w:after="0" w:line="240" w:lineRule="auto"/>
        <w:jc w:val="both"/>
        <w:rPr>
          <w:rFonts w:ascii="Verdana" w:eastAsia="Calibri" w:hAnsi="Verdana" w:cs="Arial"/>
          <w:sz w:val="20"/>
          <w:szCs w:val="20"/>
        </w:rPr>
      </w:pPr>
      <w:r w:rsidRPr="005776D9">
        <w:rPr>
          <w:rFonts w:ascii="Verdana" w:eastAsia="Calibri" w:hAnsi="Verdana" w:cs="Arial"/>
          <w:sz w:val="20"/>
          <w:szCs w:val="20"/>
        </w:rPr>
        <w:t xml:space="preserve">Las reglas previstas en el numeral 1.11 del Documento Base aplican frente a la totalidad de la información y documentación aportada para el cumplimiento de los requisitos habilitantes y de ponderación de las propuestas. </w:t>
      </w:r>
    </w:p>
    <w:p w14:paraId="11BD4A36" w14:textId="77777777" w:rsidR="005776D9" w:rsidRPr="005776D9" w:rsidRDefault="005776D9" w:rsidP="005776D9">
      <w:pPr>
        <w:spacing w:after="0" w:line="240" w:lineRule="auto"/>
        <w:jc w:val="both"/>
        <w:rPr>
          <w:rFonts w:ascii="Verdana" w:eastAsia="Calibri" w:hAnsi="Verdana" w:cs="Arial"/>
          <w:sz w:val="20"/>
          <w:szCs w:val="20"/>
        </w:rPr>
      </w:pPr>
    </w:p>
    <w:p w14:paraId="7FEC1628" w14:textId="77777777" w:rsidR="005776D9" w:rsidRPr="005776D9" w:rsidRDefault="005776D9" w:rsidP="005776D9">
      <w:pPr>
        <w:spacing w:after="0" w:line="240" w:lineRule="auto"/>
        <w:jc w:val="both"/>
        <w:rPr>
          <w:rFonts w:ascii="Verdana" w:eastAsia="Calibri" w:hAnsi="Verdana" w:cs="Arial"/>
          <w:i/>
          <w:iCs/>
          <w:color w:val="000000"/>
          <w:kern w:val="2"/>
          <w:sz w:val="20"/>
          <w:szCs w:val="20"/>
          <w:lang w:val="es-ES_tradnl"/>
          <w14:ligatures w14:val="standardContextual"/>
        </w:rPr>
      </w:pPr>
      <w:r w:rsidRPr="005776D9">
        <w:rPr>
          <w:rFonts w:ascii="Verdana" w:eastAsia="Calibri" w:hAnsi="Verdana" w:cs="Arial"/>
          <w:color w:val="000000"/>
          <w:kern w:val="2"/>
          <w:sz w:val="20"/>
          <w:szCs w:val="20"/>
          <w:lang w:val="es-ES_tradnl"/>
          <w14:ligatures w14:val="standardContextual"/>
        </w:rPr>
        <w:t xml:space="preserve">A su turno, en los documentos tipo se estableció la causal de rechazo del literal H del numeral 1.15 del Documento Base, tipificada al siguiente tenor: </w:t>
      </w:r>
      <w:r w:rsidRPr="005776D9">
        <w:rPr>
          <w:rFonts w:ascii="Verdana" w:eastAsia="Calibri" w:hAnsi="Verdana" w:cs="Arial"/>
          <w:i/>
          <w:iCs/>
          <w:color w:val="000000"/>
          <w:kern w:val="2"/>
          <w:sz w:val="20"/>
          <w:szCs w:val="20"/>
          <w:lang w:val="es-ES_tradnl"/>
          <w14:ligatures w14:val="standardContextual"/>
        </w:rPr>
        <w:t>“H. Que el proponente aporte información inexacta sobre la cual pueda existir una posible falsedad en los términos de la sección 1.11 del Documento Base”.</w:t>
      </w:r>
    </w:p>
    <w:p w14:paraId="6EA4997D" w14:textId="77777777" w:rsidR="005776D9" w:rsidRPr="005776D9" w:rsidRDefault="005776D9" w:rsidP="005776D9">
      <w:pPr>
        <w:spacing w:after="0" w:line="240" w:lineRule="auto"/>
        <w:jc w:val="both"/>
        <w:rPr>
          <w:rFonts w:ascii="Verdana" w:eastAsia="Calibri" w:hAnsi="Verdana" w:cs="Arial"/>
          <w:kern w:val="2"/>
          <w:sz w:val="20"/>
          <w:szCs w:val="20"/>
          <w:lang w:val="es-ES_tradnl"/>
          <w14:ligatures w14:val="standardContextual"/>
        </w:rPr>
      </w:pPr>
    </w:p>
    <w:p w14:paraId="1F1AFE16" w14:textId="77777777" w:rsidR="005776D9" w:rsidRPr="005776D9" w:rsidRDefault="005776D9" w:rsidP="005776D9">
      <w:pPr>
        <w:spacing w:after="0" w:line="240" w:lineRule="auto"/>
        <w:jc w:val="both"/>
        <w:rPr>
          <w:rFonts w:ascii="Verdana" w:eastAsia="Calibri" w:hAnsi="Verdana" w:cs="Arial"/>
          <w:kern w:val="2"/>
          <w:sz w:val="20"/>
          <w:szCs w:val="20"/>
          <w:lang w:val="es-ES_tradnl"/>
          <w14:ligatures w14:val="standardContextual"/>
        </w:rPr>
      </w:pPr>
      <w:r w:rsidRPr="005776D9">
        <w:rPr>
          <w:rFonts w:ascii="Verdana" w:eastAsia="Calibri" w:hAnsi="Verdana" w:cs="Arial"/>
          <w:kern w:val="2"/>
          <w:sz w:val="20"/>
          <w:szCs w:val="20"/>
          <w:lang w:val="es-ES_tradnl"/>
          <w14:ligatures w14:val="standardContextual"/>
        </w:rPr>
        <w:t>Con todo, los supuestos señalados parten de la base del deber que le asiste a la Entidad Estatal de verificar la veracidad de la información suministrada por el proponente para evitar vicios en la adjudicación y en el contrato. Así, durante el plazo de evaluación de las ofertas las entidades contratantes tienen el deber de verificar la veracidad de la información que se allegue con las propuestas, bien sea mediante solicitud de aclaraciones al mismo oferente o mediante la constatación con fuentes externas, pues de ello depende no solamente la correcta escogencia del contratista y la forma más idónea de ejecución de la compra planeada, sino la validez misma de la decisión de adjudicación y, por ende, del contrato celebrado.</w:t>
      </w:r>
    </w:p>
    <w:p w14:paraId="5C7CA855" w14:textId="77777777" w:rsidR="00117A8C" w:rsidRPr="00117A8C" w:rsidRDefault="00117A8C" w:rsidP="00117A8C">
      <w:pPr>
        <w:spacing w:after="0" w:line="240" w:lineRule="auto"/>
        <w:jc w:val="both"/>
        <w:rPr>
          <w:rFonts w:ascii="Verdana" w:eastAsia="Calibri" w:hAnsi="Verdana" w:cs="Times New Roman"/>
        </w:rPr>
      </w:pPr>
    </w:p>
    <w:p w14:paraId="3552ADB4" w14:textId="77777777" w:rsidR="00117A8C" w:rsidRPr="00117A8C" w:rsidRDefault="00117A8C" w:rsidP="00117A8C">
      <w:pPr>
        <w:spacing w:after="0" w:line="240" w:lineRule="auto"/>
        <w:jc w:val="both"/>
        <w:rPr>
          <w:rFonts w:ascii="Verdana" w:eastAsia="Calibri" w:hAnsi="Verdana" w:cs="Times New Roman"/>
        </w:rPr>
      </w:pPr>
    </w:p>
    <w:p w14:paraId="3FDEB0A7" w14:textId="77777777" w:rsidR="00117A8C" w:rsidRPr="00117A8C" w:rsidRDefault="00117A8C" w:rsidP="00117A8C">
      <w:pPr>
        <w:spacing w:after="0" w:line="240" w:lineRule="auto"/>
        <w:jc w:val="both"/>
        <w:rPr>
          <w:rFonts w:ascii="Verdana" w:eastAsia="Calibri" w:hAnsi="Verdana" w:cs="Times New Roman"/>
        </w:rPr>
      </w:pPr>
    </w:p>
    <w:p w14:paraId="5D2BBD79" w14:textId="77777777" w:rsidR="00117A8C" w:rsidRPr="00117A8C" w:rsidRDefault="00117A8C" w:rsidP="00117A8C">
      <w:pPr>
        <w:spacing w:after="0" w:line="240" w:lineRule="auto"/>
        <w:jc w:val="both"/>
        <w:rPr>
          <w:rFonts w:ascii="Verdana" w:eastAsia="Calibri" w:hAnsi="Verdana" w:cs="Times New Roman"/>
        </w:rPr>
      </w:pPr>
    </w:p>
    <w:p w14:paraId="7210BDBF" w14:textId="77777777" w:rsidR="00117A8C" w:rsidRPr="00117A8C" w:rsidRDefault="00117A8C" w:rsidP="00117A8C">
      <w:pPr>
        <w:spacing w:after="0" w:line="240" w:lineRule="auto"/>
        <w:jc w:val="both"/>
        <w:rPr>
          <w:rFonts w:ascii="Verdana" w:eastAsia="Calibri" w:hAnsi="Verdana" w:cs="Times New Roman"/>
        </w:rPr>
      </w:pPr>
    </w:p>
    <w:p w14:paraId="074C2CB8" w14:textId="77777777" w:rsidR="00117A8C" w:rsidRPr="00117A8C" w:rsidRDefault="00117A8C" w:rsidP="00117A8C">
      <w:pPr>
        <w:spacing w:after="0" w:line="240" w:lineRule="auto"/>
        <w:jc w:val="both"/>
        <w:rPr>
          <w:rFonts w:ascii="Verdana" w:eastAsia="Calibri" w:hAnsi="Verdana" w:cs="Times New Roman"/>
        </w:rPr>
      </w:pPr>
    </w:p>
    <w:p w14:paraId="105C4AB7" w14:textId="77777777" w:rsidR="00117A8C" w:rsidRPr="00117A8C" w:rsidRDefault="00117A8C" w:rsidP="00117A8C">
      <w:pPr>
        <w:spacing w:after="0" w:line="240" w:lineRule="auto"/>
        <w:jc w:val="both"/>
        <w:rPr>
          <w:rFonts w:ascii="Verdana" w:eastAsia="Calibri" w:hAnsi="Verdana" w:cs="Times New Roman"/>
        </w:rPr>
      </w:pPr>
    </w:p>
    <w:p w14:paraId="3FAB06FA" w14:textId="77777777" w:rsidR="00117A8C" w:rsidRPr="00117A8C" w:rsidRDefault="00117A8C" w:rsidP="00117A8C">
      <w:pPr>
        <w:spacing w:after="0" w:line="240" w:lineRule="auto"/>
        <w:jc w:val="both"/>
        <w:rPr>
          <w:rFonts w:ascii="Verdana" w:eastAsia="Calibri" w:hAnsi="Verdana" w:cs="Times New Roman"/>
        </w:rPr>
      </w:pPr>
    </w:p>
    <w:p w14:paraId="1F377D03" w14:textId="77777777" w:rsidR="00117A8C" w:rsidRPr="00117A8C" w:rsidRDefault="00117A8C" w:rsidP="00117A8C">
      <w:pPr>
        <w:spacing w:after="0" w:line="240" w:lineRule="auto"/>
        <w:jc w:val="both"/>
        <w:rPr>
          <w:rFonts w:ascii="Verdana" w:eastAsia="Calibri" w:hAnsi="Verdana" w:cs="Times New Roman"/>
        </w:rPr>
      </w:pPr>
    </w:p>
    <w:p w14:paraId="2EC3ADEA" w14:textId="77777777" w:rsidR="00117A8C" w:rsidRPr="00117A8C" w:rsidRDefault="00117A8C" w:rsidP="00117A8C">
      <w:pPr>
        <w:spacing w:after="0" w:line="240" w:lineRule="auto"/>
        <w:jc w:val="both"/>
        <w:rPr>
          <w:rFonts w:ascii="Verdana" w:eastAsia="Calibri" w:hAnsi="Verdana" w:cs="Times New Roman"/>
        </w:rPr>
      </w:pPr>
    </w:p>
    <w:p w14:paraId="23F3AAF9" w14:textId="77777777" w:rsidR="00117A8C" w:rsidRPr="00117A8C" w:rsidRDefault="00117A8C" w:rsidP="00117A8C">
      <w:pPr>
        <w:spacing w:after="0" w:line="240" w:lineRule="auto"/>
        <w:jc w:val="both"/>
        <w:rPr>
          <w:rFonts w:ascii="Verdana" w:eastAsia="Calibri" w:hAnsi="Verdana" w:cs="Times New Roman"/>
        </w:rPr>
      </w:pPr>
    </w:p>
    <w:p w14:paraId="49262554" w14:textId="77777777" w:rsidR="00117A8C" w:rsidRDefault="00117A8C" w:rsidP="00117A8C">
      <w:pPr>
        <w:spacing w:after="0" w:line="240" w:lineRule="auto"/>
        <w:jc w:val="both"/>
        <w:rPr>
          <w:rFonts w:ascii="Verdana" w:eastAsia="Calibri" w:hAnsi="Verdana" w:cs="Times New Roman"/>
        </w:rPr>
      </w:pPr>
    </w:p>
    <w:p w14:paraId="4E293186" w14:textId="77777777" w:rsidR="005776D9" w:rsidRPr="00117A8C" w:rsidRDefault="005776D9" w:rsidP="00117A8C">
      <w:pPr>
        <w:spacing w:after="0" w:line="240" w:lineRule="auto"/>
        <w:jc w:val="both"/>
        <w:rPr>
          <w:rFonts w:ascii="Verdana" w:eastAsia="Calibri" w:hAnsi="Verdana" w:cs="Times New Roman"/>
        </w:rPr>
      </w:pPr>
    </w:p>
    <w:p w14:paraId="7BBADBF5" w14:textId="50254EB6" w:rsidR="00117A8C" w:rsidRPr="00117A8C" w:rsidRDefault="00117A8C" w:rsidP="00117A8C">
      <w:pPr>
        <w:spacing w:after="0" w:line="240" w:lineRule="auto"/>
        <w:rPr>
          <w:rFonts w:ascii="Verdana" w:eastAsia="Calibri" w:hAnsi="Verdana" w:cs="Arial"/>
          <w:lang w:val="es-ES_tradnl" w:eastAsia="es-ES"/>
        </w:rPr>
      </w:pPr>
      <w:r w:rsidRPr="0044528D">
        <w:rPr>
          <w:rFonts w:ascii="Verdana" w:hAnsi="Verdana"/>
        </w:rPr>
        <w:lastRenderedPageBreak/>
        <w:t xml:space="preserve">Bogotá D.C., </w:t>
      </w:r>
      <w:r w:rsidR="00BC6DA4">
        <w:rPr>
          <w:rFonts w:ascii="Verdana" w:hAnsi="Verdana"/>
        </w:rPr>
        <w:t>04 Ju</w:t>
      </w:r>
      <w:r w:rsidR="007E6750">
        <w:rPr>
          <w:rFonts w:ascii="Verdana" w:hAnsi="Verdana"/>
        </w:rPr>
        <w:t>l</w:t>
      </w:r>
      <w:r w:rsidR="00BC6DA4">
        <w:rPr>
          <w:rFonts w:ascii="Verdana" w:hAnsi="Verdana"/>
        </w:rPr>
        <w:t>io 2025</w:t>
      </w:r>
    </w:p>
    <w:p w14:paraId="4A954528" w14:textId="77777777" w:rsidR="00117A8C" w:rsidRDefault="00117A8C" w:rsidP="00117A8C">
      <w:pPr>
        <w:spacing w:after="0" w:line="276" w:lineRule="auto"/>
        <w:jc w:val="both"/>
        <w:rPr>
          <w:rFonts w:ascii="Verdana" w:eastAsia="Calibri" w:hAnsi="Verdana" w:cs="Arial"/>
          <w:lang w:val="es-ES_tradnl" w:eastAsia="es-ES"/>
        </w:rPr>
      </w:pPr>
    </w:p>
    <w:p w14:paraId="6FF0F28F" w14:textId="23129FF5" w:rsidR="00117A8C" w:rsidRPr="00117A8C" w:rsidRDefault="00BC6DA4" w:rsidP="00BC6DA4">
      <w:pPr>
        <w:spacing w:after="0" w:line="276"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1C8F5259" wp14:editId="0EEA2B96">
            <wp:extent cx="3065319" cy="862831"/>
            <wp:effectExtent l="0" t="0" r="0" b="1270"/>
            <wp:docPr id="11631613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161322" name="Imagen 1163161322"/>
                    <pic:cNvPicPr/>
                  </pic:nvPicPr>
                  <pic:blipFill>
                    <a:blip r:embed="rId10">
                      <a:extLst>
                        <a:ext uri="{28A0092B-C50C-407E-A947-70E740481C1C}">
                          <a14:useLocalDpi xmlns:a14="http://schemas.microsoft.com/office/drawing/2010/main" val="0"/>
                        </a:ext>
                      </a:extLst>
                    </a:blip>
                    <a:stretch>
                      <a:fillRect/>
                    </a:stretch>
                  </pic:blipFill>
                  <pic:spPr>
                    <a:xfrm>
                      <a:off x="0" y="0"/>
                      <a:ext cx="3075493" cy="865695"/>
                    </a:xfrm>
                    <a:prstGeom prst="rect">
                      <a:avLst/>
                    </a:prstGeom>
                  </pic:spPr>
                </pic:pic>
              </a:graphicData>
            </a:graphic>
          </wp:inline>
        </w:drawing>
      </w:r>
    </w:p>
    <w:p w14:paraId="5BFFFABD" w14:textId="77777777" w:rsidR="00BC6DA4" w:rsidRDefault="00BC6DA4" w:rsidP="00117A8C">
      <w:pPr>
        <w:spacing w:after="0" w:line="240" w:lineRule="auto"/>
        <w:jc w:val="both"/>
        <w:rPr>
          <w:rFonts w:ascii="Verdana" w:eastAsia="Calibri" w:hAnsi="Verdana" w:cs="Arial"/>
          <w:lang w:val="es-ES_tradnl" w:eastAsia="es-ES"/>
        </w:rPr>
      </w:pPr>
    </w:p>
    <w:p w14:paraId="5B8AF2CF" w14:textId="4896CB3F" w:rsidR="00117A8C" w:rsidRPr="00117A8C" w:rsidRDefault="00117A8C" w:rsidP="00117A8C">
      <w:pPr>
        <w:spacing w:after="0" w:line="240" w:lineRule="auto"/>
        <w:jc w:val="both"/>
        <w:rPr>
          <w:rFonts w:ascii="Verdana" w:eastAsia="Calibri" w:hAnsi="Verdana" w:cs="Arial"/>
          <w:lang w:val="es-ES_tradnl" w:eastAsia="es-ES"/>
        </w:rPr>
      </w:pPr>
      <w:r w:rsidRPr="00117A8C">
        <w:rPr>
          <w:rFonts w:ascii="Verdana" w:eastAsia="Calibri" w:hAnsi="Verdana" w:cs="Arial"/>
          <w:lang w:val="es-ES_tradnl" w:eastAsia="es-ES"/>
        </w:rPr>
        <w:t>Señor</w:t>
      </w:r>
    </w:p>
    <w:p w14:paraId="7C91E2E3" w14:textId="77777777" w:rsidR="00117A8C" w:rsidRPr="00117A8C" w:rsidRDefault="00117A8C" w:rsidP="00117A8C">
      <w:pPr>
        <w:spacing w:after="0" w:line="240" w:lineRule="auto"/>
        <w:rPr>
          <w:rFonts w:ascii="Verdana" w:eastAsia="Calibri" w:hAnsi="Verdana" w:cs="Arial"/>
          <w:b/>
          <w:lang w:val="es-ES_tradnl" w:eastAsia="es-ES_tradnl"/>
        </w:rPr>
      </w:pPr>
      <w:r w:rsidRPr="00117A8C">
        <w:rPr>
          <w:rFonts w:ascii="Verdana" w:eastAsia="Calibri" w:hAnsi="Verdana" w:cs="Arial"/>
          <w:b/>
          <w:lang w:val="es-ES_tradnl" w:eastAsia="es-ES_tradnl"/>
        </w:rPr>
        <w:t>Carlos Barrios</w:t>
      </w:r>
    </w:p>
    <w:p w14:paraId="03BA09B1" w14:textId="77777777" w:rsidR="00117A8C" w:rsidRPr="00117A8C" w:rsidRDefault="00117A8C" w:rsidP="00117A8C">
      <w:pPr>
        <w:spacing w:after="0" w:line="240" w:lineRule="auto"/>
        <w:rPr>
          <w:rFonts w:ascii="Verdana" w:eastAsia="Calibri" w:hAnsi="Verdana" w:cs="Arial"/>
          <w:lang w:val="es-ES_tradnl" w:eastAsia="es-ES"/>
        </w:rPr>
      </w:pPr>
      <w:r w:rsidRPr="00117A8C">
        <w:rPr>
          <w:rFonts w:ascii="Verdana" w:eastAsia="Calibri" w:hAnsi="Verdana" w:cs="Arial"/>
          <w:lang w:val="es-ES_tradnl" w:eastAsia="es-ES"/>
        </w:rPr>
        <w:t>COLECTIVO DE PROFESIONALES CONTROL CARIBE</w:t>
      </w:r>
    </w:p>
    <w:p w14:paraId="13127C15" w14:textId="77777777" w:rsidR="00117A8C" w:rsidRPr="00117A8C" w:rsidRDefault="00117A8C" w:rsidP="00117A8C">
      <w:pPr>
        <w:spacing w:after="0" w:line="240" w:lineRule="auto"/>
        <w:rPr>
          <w:rFonts w:ascii="Verdana" w:eastAsia="Calibri" w:hAnsi="Verdana" w:cs="Arial"/>
          <w:lang w:val="es-ES_tradnl" w:eastAsia="es-ES"/>
        </w:rPr>
      </w:pPr>
      <w:r w:rsidRPr="00117A8C">
        <w:rPr>
          <w:rFonts w:ascii="Verdana" w:eastAsia="Calibri" w:hAnsi="Verdana" w:cs="Arial"/>
          <w:lang w:val="es-ES_tradnl" w:eastAsia="es-ES"/>
        </w:rPr>
        <w:t>Ciudad</w:t>
      </w:r>
    </w:p>
    <w:p w14:paraId="472EEE9F" w14:textId="77777777" w:rsidR="00117A8C" w:rsidRPr="00117A8C" w:rsidRDefault="00117A8C" w:rsidP="00117A8C">
      <w:pPr>
        <w:spacing w:after="0" w:line="240" w:lineRule="auto"/>
        <w:rPr>
          <w:rFonts w:ascii="Verdana" w:eastAsia="Calibri" w:hAnsi="Verdana" w:cs="Arial"/>
          <w:b/>
          <w:bCs/>
          <w:lang w:val="es-ES_tradnl" w:eastAsia="es-ES_tradnl"/>
        </w:rPr>
      </w:pPr>
    </w:p>
    <w:p w14:paraId="6E851E0E" w14:textId="77777777" w:rsidR="00117A8C" w:rsidRPr="00117A8C" w:rsidRDefault="00117A8C" w:rsidP="00117A8C">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17A8C" w:rsidRPr="00117A8C" w14:paraId="1E760E9B" w14:textId="77777777" w:rsidTr="005F59EE">
        <w:trPr>
          <w:trHeight w:val="884"/>
        </w:trPr>
        <w:tc>
          <w:tcPr>
            <w:tcW w:w="2689" w:type="dxa"/>
          </w:tcPr>
          <w:p w14:paraId="03DEE631" w14:textId="77777777" w:rsidR="00117A8C" w:rsidRPr="00117A8C" w:rsidRDefault="00117A8C" w:rsidP="00117A8C">
            <w:pPr>
              <w:jc w:val="both"/>
              <w:rPr>
                <w:rFonts w:ascii="Verdana" w:eastAsia="Calibri" w:hAnsi="Verdana" w:cs="Arial"/>
                <w:b/>
                <w:bCs/>
                <w:lang w:val="es-ES_tradnl" w:eastAsia="es-ES_tradnl"/>
              </w:rPr>
            </w:pPr>
          </w:p>
        </w:tc>
        <w:tc>
          <w:tcPr>
            <w:tcW w:w="6100" w:type="dxa"/>
          </w:tcPr>
          <w:p w14:paraId="193196E2" w14:textId="77777777" w:rsidR="00117A8C" w:rsidRPr="00117A8C" w:rsidRDefault="00117A8C" w:rsidP="00117A8C">
            <w:pPr>
              <w:jc w:val="both"/>
              <w:rPr>
                <w:rFonts w:ascii="Verdana" w:eastAsia="Calibri" w:hAnsi="Verdana" w:cs="Arial"/>
                <w:b/>
                <w:bCs/>
                <w:lang w:val="es-ES_tradnl" w:eastAsia="es-ES"/>
              </w:rPr>
            </w:pPr>
            <w:r w:rsidRPr="00117A8C">
              <w:rPr>
                <w:rFonts w:ascii="Verdana" w:eastAsia="Calibri" w:hAnsi="Verdana" w:cs="Arial"/>
                <w:b/>
                <w:bCs/>
                <w:lang w:val="es-ES_tradnl" w:eastAsia="es-ES"/>
              </w:rPr>
              <w:t>Concepto C – 656 de 2025</w:t>
            </w:r>
          </w:p>
        </w:tc>
      </w:tr>
      <w:tr w:rsidR="00117A8C" w:rsidRPr="00117A8C" w14:paraId="4550A2BB" w14:textId="77777777" w:rsidTr="005F59EE">
        <w:trPr>
          <w:trHeight w:val="884"/>
        </w:trPr>
        <w:tc>
          <w:tcPr>
            <w:tcW w:w="2689" w:type="dxa"/>
          </w:tcPr>
          <w:p w14:paraId="321B141F" w14:textId="77777777" w:rsidR="00117A8C" w:rsidRPr="00117A8C" w:rsidRDefault="00117A8C" w:rsidP="00117A8C">
            <w:pPr>
              <w:jc w:val="both"/>
              <w:rPr>
                <w:rFonts w:ascii="Verdana" w:eastAsia="Calibri" w:hAnsi="Verdana" w:cs="Arial"/>
                <w:lang w:val="es-ES_tradnl" w:eastAsia="es-ES_tradnl"/>
              </w:rPr>
            </w:pPr>
            <w:r w:rsidRPr="00117A8C">
              <w:rPr>
                <w:rFonts w:ascii="Verdana" w:eastAsia="Calibri" w:hAnsi="Verdana" w:cs="Arial"/>
                <w:b/>
                <w:lang w:val="es-ES_tradnl" w:eastAsia="es-ES_tradnl"/>
              </w:rPr>
              <w:t>Temas:</w:t>
            </w:r>
            <w:r w:rsidRPr="00117A8C">
              <w:rPr>
                <w:rFonts w:ascii="Verdana" w:eastAsia="Calibri" w:hAnsi="Verdana" w:cs="Arial"/>
                <w:lang w:val="es-ES_tradnl" w:eastAsia="es-ES_tradnl"/>
              </w:rPr>
              <w:t xml:space="preserve">                   </w:t>
            </w:r>
          </w:p>
        </w:tc>
        <w:tc>
          <w:tcPr>
            <w:tcW w:w="6100" w:type="dxa"/>
          </w:tcPr>
          <w:p w14:paraId="53DFAB7F" w14:textId="77777777" w:rsidR="00117A8C" w:rsidRPr="00117A8C" w:rsidRDefault="00117A8C" w:rsidP="00117A8C">
            <w:pPr>
              <w:spacing w:line="276" w:lineRule="auto"/>
              <w:jc w:val="both"/>
              <w:rPr>
                <w:rFonts w:ascii="Verdana" w:eastAsia="Geomanist Light" w:hAnsi="Verdana" w:cs="Arial"/>
                <w:lang w:val="es-ES_tradnl"/>
              </w:rPr>
            </w:pPr>
            <w:r w:rsidRPr="00117A8C">
              <w:rPr>
                <w:rFonts w:ascii="Verdana" w:eastAsia="Calibri" w:hAnsi="Verdana" w:cs="Arial"/>
                <w:lang w:val="es-ES_tradnl" w:eastAsia="es-ES"/>
              </w:rPr>
              <w:t xml:space="preserve">DOCUMENTOS TIPO – Fundamento normativo – Obligatoriedad / </w:t>
            </w:r>
            <w:r w:rsidRPr="00117A8C">
              <w:rPr>
                <w:rFonts w:ascii="Verdana" w:eastAsia="Geomanist Light" w:hAnsi="Verdana" w:cs="Arial"/>
                <w:lang w:val="es-ES_tradnl"/>
              </w:rPr>
              <w:t>INFORMACIÓN INEXACTA – Falsedad – Rechazo de la oferta – Documentos Tipo</w:t>
            </w:r>
          </w:p>
          <w:p w14:paraId="46C316DB" w14:textId="77777777" w:rsidR="00117A8C" w:rsidRPr="00117A8C" w:rsidRDefault="00117A8C" w:rsidP="00117A8C">
            <w:pPr>
              <w:spacing w:line="276" w:lineRule="auto"/>
              <w:jc w:val="both"/>
              <w:rPr>
                <w:rFonts w:ascii="Verdana" w:eastAsia="Calibri" w:hAnsi="Verdana" w:cs="Arial"/>
                <w:lang w:val="es-ES_tradnl" w:eastAsia="es-ES"/>
              </w:rPr>
            </w:pPr>
          </w:p>
        </w:tc>
      </w:tr>
      <w:tr w:rsidR="00117A8C" w:rsidRPr="00117A8C" w14:paraId="76A2588B" w14:textId="77777777" w:rsidTr="005F59EE">
        <w:tc>
          <w:tcPr>
            <w:tcW w:w="2689" w:type="dxa"/>
          </w:tcPr>
          <w:p w14:paraId="417FAB3D" w14:textId="77777777" w:rsidR="00117A8C" w:rsidRPr="00117A8C" w:rsidRDefault="00117A8C" w:rsidP="00117A8C">
            <w:pPr>
              <w:jc w:val="both"/>
              <w:rPr>
                <w:rFonts w:ascii="Verdana" w:eastAsia="Calibri" w:hAnsi="Verdana" w:cs="Arial"/>
                <w:b/>
                <w:lang w:val="es-ES_tradnl" w:eastAsia="es-ES_tradnl"/>
              </w:rPr>
            </w:pPr>
            <w:r w:rsidRPr="00117A8C">
              <w:rPr>
                <w:rFonts w:ascii="Verdana" w:eastAsia="Calibri" w:hAnsi="Verdana" w:cs="Arial"/>
                <w:b/>
                <w:lang w:val="es-ES_tradnl" w:eastAsia="es-ES_tradnl"/>
              </w:rPr>
              <w:t>Radicación:</w:t>
            </w:r>
            <w:r w:rsidRPr="00117A8C">
              <w:rPr>
                <w:rFonts w:ascii="Verdana" w:eastAsia="Calibri" w:hAnsi="Verdana" w:cs="Arial"/>
                <w:lang w:val="es-ES_tradnl" w:eastAsia="es-ES_tradnl"/>
              </w:rPr>
              <w:t xml:space="preserve">               </w:t>
            </w:r>
          </w:p>
        </w:tc>
        <w:tc>
          <w:tcPr>
            <w:tcW w:w="6100" w:type="dxa"/>
          </w:tcPr>
          <w:p w14:paraId="59D90BB1" w14:textId="77777777" w:rsidR="00117A8C" w:rsidRPr="00117A8C" w:rsidRDefault="00117A8C" w:rsidP="00117A8C">
            <w:pPr>
              <w:spacing w:line="276" w:lineRule="auto"/>
              <w:jc w:val="both"/>
              <w:rPr>
                <w:rFonts w:ascii="Verdana" w:eastAsia="Calibri" w:hAnsi="Verdana" w:cs="Arial"/>
                <w:lang w:val="es-ES_tradnl" w:eastAsia="es-ES_tradnl"/>
              </w:rPr>
            </w:pPr>
            <w:r w:rsidRPr="00117A8C">
              <w:rPr>
                <w:rFonts w:ascii="Verdana" w:eastAsia="Calibri" w:hAnsi="Verdana" w:cs="Arial"/>
                <w:lang w:val="es-ES_tradnl" w:eastAsia="es-ES_tradnl"/>
              </w:rPr>
              <w:t>Respuesta a consulta con radicado No. P20250526005046</w:t>
            </w:r>
          </w:p>
        </w:tc>
      </w:tr>
    </w:tbl>
    <w:p w14:paraId="4D2BC521" w14:textId="77777777" w:rsidR="00117A8C" w:rsidRPr="00117A8C" w:rsidRDefault="00117A8C" w:rsidP="00117A8C">
      <w:pPr>
        <w:spacing w:after="0" w:line="240" w:lineRule="auto"/>
        <w:jc w:val="both"/>
        <w:rPr>
          <w:rFonts w:ascii="Verdana" w:eastAsia="Calibri" w:hAnsi="Verdana" w:cs="Arial"/>
          <w:lang w:val="es-ES_tradnl" w:eastAsia="es-ES_tradnl"/>
        </w:rPr>
      </w:pPr>
    </w:p>
    <w:p w14:paraId="23366DEA" w14:textId="77777777" w:rsidR="00117A8C" w:rsidRPr="00117A8C" w:rsidRDefault="00117A8C" w:rsidP="00117A8C">
      <w:pPr>
        <w:spacing w:after="0" w:line="240" w:lineRule="auto"/>
        <w:jc w:val="both"/>
        <w:rPr>
          <w:rFonts w:ascii="Verdana" w:eastAsia="Calibri" w:hAnsi="Verdana" w:cs="Arial"/>
          <w:lang w:val="es-ES_tradnl" w:eastAsia="es-ES_tradnl"/>
        </w:rPr>
      </w:pPr>
    </w:p>
    <w:p w14:paraId="7A236533" w14:textId="77777777" w:rsidR="00117A8C" w:rsidRPr="00117A8C" w:rsidRDefault="00117A8C" w:rsidP="00117A8C">
      <w:pPr>
        <w:spacing w:after="0" w:line="276" w:lineRule="auto"/>
        <w:jc w:val="both"/>
        <w:rPr>
          <w:rFonts w:ascii="Verdana" w:eastAsia="Calibri" w:hAnsi="Verdana" w:cs="Arial"/>
          <w:lang w:val="es-ES_tradnl" w:eastAsia="es-ES"/>
        </w:rPr>
      </w:pPr>
      <w:r w:rsidRPr="00117A8C">
        <w:rPr>
          <w:rFonts w:ascii="Verdana" w:eastAsia="Calibri" w:hAnsi="Verdana" w:cs="Arial"/>
          <w:lang w:val="es-ES_tradnl" w:eastAsia="es-ES"/>
        </w:rPr>
        <w:t xml:space="preserve">Estimado señor Barrios: </w:t>
      </w:r>
    </w:p>
    <w:p w14:paraId="3AEE4266" w14:textId="77777777" w:rsidR="00117A8C" w:rsidRPr="00117A8C" w:rsidRDefault="00117A8C" w:rsidP="00117A8C">
      <w:pPr>
        <w:tabs>
          <w:tab w:val="left" w:pos="3768"/>
        </w:tabs>
        <w:spacing w:after="0" w:line="276" w:lineRule="auto"/>
        <w:jc w:val="both"/>
        <w:rPr>
          <w:rFonts w:ascii="Verdana" w:eastAsia="Calibri" w:hAnsi="Verdana" w:cs="Arial"/>
          <w:lang w:val="es-ES_tradnl" w:eastAsia="es-ES"/>
        </w:rPr>
      </w:pPr>
      <w:r w:rsidRPr="00117A8C">
        <w:rPr>
          <w:rFonts w:ascii="Verdana" w:eastAsia="Calibri" w:hAnsi="Verdana" w:cs="Arial"/>
          <w:lang w:val="es-ES_tradnl" w:eastAsia="es-ES"/>
        </w:rPr>
        <w:tab/>
      </w:r>
    </w:p>
    <w:p w14:paraId="61761A0B" w14:textId="77777777" w:rsidR="00117A8C" w:rsidRPr="00117A8C" w:rsidRDefault="00117A8C" w:rsidP="00117A8C">
      <w:pPr>
        <w:snapToGrid w:val="0"/>
        <w:spacing w:after="0" w:line="276" w:lineRule="auto"/>
        <w:jc w:val="both"/>
        <w:rPr>
          <w:rFonts w:ascii="Verdana" w:eastAsia="Calibri" w:hAnsi="Verdana" w:cs="Arial"/>
          <w:lang w:val="es-ES_tradnl" w:eastAsia="es-ES"/>
        </w:rPr>
      </w:pPr>
      <w:r w:rsidRPr="00117A8C">
        <w:rPr>
          <w:rFonts w:ascii="Verdana" w:eastAsia="Calibri" w:hAnsi="Verdana" w:cs="Arial"/>
          <w:lang w:val="es-ES_tradnl" w:eastAsia="es-ES"/>
        </w:rPr>
        <w:t>En ejercicio de la competencia otorgada por los artículos 3, numeral 5º, y 11, numeral 8º, del Decreto Ley 4170 de 2011,</w:t>
      </w:r>
      <w:r w:rsidRPr="00117A8C">
        <w:rPr>
          <w:rFonts w:ascii="Verdana" w:eastAsia="Arial MT" w:hAnsi="Verdana" w:cs="Arial MT"/>
          <w:lang w:val="es-ES_tradnl" w:eastAsia="es-ES"/>
        </w:rPr>
        <w:t xml:space="preserve"> </w:t>
      </w:r>
      <w:r w:rsidRPr="00117A8C">
        <w:rPr>
          <w:rFonts w:ascii="Verdana" w:eastAsia="Calibri" w:hAnsi="Verdana" w:cs="Arial"/>
          <w:lang w:val="es-ES_tradnl"/>
        </w:rPr>
        <w:t xml:space="preserve">así como lo establecido en el artículo 4 de la Resolución 1707 de 2018 expedida por esta Entidad, </w:t>
      </w:r>
      <w:r w:rsidRPr="00117A8C">
        <w:rPr>
          <w:rFonts w:ascii="Verdana" w:eastAsia="Calibri" w:hAnsi="Verdana" w:cs="Arial"/>
          <w:lang w:val="es-ES_tradnl" w:eastAsia="es-ES"/>
        </w:rPr>
        <w:t>la Agencia Nacional de Contratación Pública – Colombia Compra Eficiente– responde su solicitud de consulta de fecha 24 de mayo de 2025. En relación con los documentos tipo, usted pregunta lo siguiente:</w:t>
      </w:r>
    </w:p>
    <w:p w14:paraId="0AD213C8" w14:textId="77777777" w:rsidR="00117A8C" w:rsidRPr="00117A8C" w:rsidRDefault="00117A8C" w:rsidP="00117A8C">
      <w:pPr>
        <w:tabs>
          <w:tab w:val="left" w:pos="142"/>
          <w:tab w:val="left" w:pos="284"/>
        </w:tabs>
        <w:snapToGrid w:val="0"/>
        <w:spacing w:after="0" w:line="240" w:lineRule="auto"/>
        <w:jc w:val="both"/>
        <w:rPr>
          <w:rFonts w:ascii="Verdana" w:eastAsia="Century Gothic" w:hAnsi="Verdana" w:cs="Century Gothic"/>
          <w:b/>
          <w:bCs/>
          <w:lang w:val="es-ES_tradnl"/>
        </w:rPr>
      </w:pPr>
    </w:p>
    <w:p w14:paraId="384D95D5" w14:textId="77777777" w:rsidR="00117A8C" w:rsidRPr="00117A8C" w:rsidRDefault="00117A8C" w:rsidP="00117A8C">
      <w:pPr>
        <w:snapToGrid w:val="0"/>
        <w:spacing w:after="0" w:line="240" w:lineRule="auto"/>
        <w:ind w:left="720" w:right="709"/>
        <w:jc w:val="both"/>
        <w:rPr>
          <w:rFonts w:ascii="Verdana" w:eastAsia="Century Gothic" w:hAnsi="Verdana" w:cs="Century Gothic"/>
          <w:sz w:val="21"/>
          <w:szCs w:val="21"/>
          <w:lang w:val="es-ES"/>
        </w:rPr>
      </w:pPr>
      <w:r w:rsidRPr="00117A8C">
        <w:rPr>
          <w:rFonts w:ascii="Verdana" w:eastAsia="Century Gothic" w:hAnsi="Verdana" w:cs="Century Gothic"/>
          <w:sz w:val="21"/>
          <w:szCs w:val="21"/>
          <w:lang w:val="es-ES"/>
        </w:rPr>
        <w:t xml:space="preserve">“1. </w:t>
      </w:r>
      <w:proofErr w:type="gramStart"/>
      <w:r w:rsidRPr="00117A8C">
        <w:rPr>
          <w:rFonts w:ascii="Verdana" w:eastAsia="Century Gothic" w:hAnsi="Verdana" w:cs="Century Gothic"/>
          <w:sz w:val="21"/>
          <w:szCs w:val="21"/>
          <w:lang w:val="es-ES"/>
        </w:rPr>
        <w:t>La imposibilidad de verificar la veracidad de cualquier documento dentro de un proceso licitatorio en aplicación de los pliegos tipos, puede constituirse como información inexacta o no veraz?</w:t>
      </w:r>
      <w:proofErr w:type="gramEnd"/>
    </w:p>
    <w:p w14:paraId="1379CC5F" w14:textId="77777777" w:rsidR="00117A8C" w:rsidRPr="00117A8C" w:rsidRDefault="00117A8C" w:rsidP="00117A8C">
      <w:pPr>
        <w:snapToGrid w:val="0"/>
        <w:spacing w:after="0" w:line="240" w:lineRule="auto"/>
        <w:ind w:left="720" w:right="709"/>
        <w:jc w:val="both"/>
        <w:rPr>
          <w:rFonts w:ascii="Verdana" w:eastAsia="Century Gothic" w:hAnsi="Verdana" w:cs="Century Gothic"/>
          <w:sz w:val="21"/>
          <w:szCs w:val="21"/>
          <w:lang w:val="es-ES"/>
        </w:rPr>
      </w:pPr>
    </w:p>
    <w:p w14:paraId="42A210A2" w14:textId="77777777" w:rsidR="00117A8C" w:rsidRPr="00117A8C" w:rsidRDefault="00117A8C" w:rsidP="00117A8C">
      <w:pPr>
        <w:snapToGrid w:val="0"/>
        <w:spacing w:after="0" w:line="240" w:lineRule="auto"/>
        <w:ind w:left="720" w:right="709"/>
        <w:jc w:val="both"/>
        <w:rPr>
          <w:rFonts w:ascii="Verdana" w:eastAsia="Century Gothic" w:hAnsi="Verdana" w:cs="Century Gothic"/>
          <w:sz w:val="21"/>
          <w:szCs w:val="21"/>
          <w:lang w:val="es-ES"/>
        </w:rPr>
      </w:pPr>
      <w:r w:rsidRPr="00117A8C">
        <w:rPr>
          <w:rFonts w:ascii="Verdana" w:eastAsia="Century Gothic" w:hAnsi="Verdana" w:cs="Century Gothic"/>
          <w:sz w:val="21"/>
          <w:szCs w:val="21"/>
          <w:lang w:val="es-ES"/>
        </w:rPr>
        <w:t xml:space="preserve">2. </w:t>
      </w:r>
      <w:proofErr w:type="gramStart"/>
      <w:r w:rsidRPr="00117A8C">
        <w:rPr>
          <w:rFonts w:ascii="Verdana" w:eastAsia="Century Gothic" w:hAnsi="Verdana" w:cs="Century Gothic"/>
          <w:sz w:val="21"/>
          <w:szCs w:val="21"/>
          <w:lang w:val="es-ES"/>
        </w:rPr>
        <w:t xml:space="preserve">En las buenas </w:t>
      </w:r>
      <w:proofErr w:type="spellStart"/>
      <w:r w:rsidRPr="00117A8C">
        <w:rPr>
          <w:rFonts w:ascii="Verdana" w:eastAsia="Century Gothic" w:hAnsi="Verdana" w:cs="Century Gothic"/>
          <w:sz w:val="21"/>
          <w:szCs w:val="21"/>
          <w:lang w:val="es-ES"/>
        </w:rPr>
        <w:t>practicas</w:t>
      </w:r>
      <w:proofErr w:type="spellEnd"/>
      <w:r w:rsidRPr="00117A8C">
        <w:rPr>
          <w:rFonts w:ascii="Verdana" w:eastAsia="Century Gothic" w:hAnsi="Verdana" w:cs="Century Gothic"/>
          <w:sz w:val="21"/>
          <w:szCs w:val="21"/>
          <w:lang w:val="es-ES"/>
        </w:rPr>
        <w:t xml:space="preserve"> sobre la </w:t>
      </w:r>
      <w:proofErr w:type="spellStart"/>
      <w:r w:rsidRPr="00117A8C">
        <w:rPr>
          <w:rFonts w:ascii="Verdana" w:eastAsia="Century Gothic" w:hAnsi="Verdana" w:cs="Century Gothic"/>
          <w:sz w:val="21"/>
          <w:szCs w:val="21"/>
          <w:lang w:val="es-ES"/>
        </w:rPr>
        <w:t>contratacion</w:t>
      </w:r>
      <w:proofErr w:type="spellEnd"/>
      <w:r w:rsidRPr="00117A8C">
        <w:rPr>
          <w:rFonts w:ascii="Verdana" w:eastAsia="Century Gothic" w:hAnsi="Verdana" w:cs="Century Gothic"/>
          <w:sz w:val="21"/>
          <w:szCs w:val="21"/>
          <w:lang w:val="es-ES"/>
        </w:rPr>
        <w:t xml:space="preserve">, cuando se detecta una presunta irregularidad, cual es el principio que debe regir dentro </w:t>
      </w:r>
      <w:r w:rsidRPr="00117A8C">
        <w:rPr>
          <w:rFonts w:ascii="Verdana" w:eastAsia="Century Gothic" w:hAnsi="Verdana" w:cs="Century Gothic"/>
          <w:sz w:val="21"/>
          <w:szCs w:val="21"/>
          <w:lang w:val="es-ES"/>
        </w:rPr>
        <w:lastRenderedPageBreak/>
        <w:t>del proceso por la entidad?</w:t>
      </w:r>
      <w:proofErr w:type="gramEnd"/>
      <w:r w:rsidRPr="00117A8C">
        <w:rPr>
          <w:rFonts w:ascii="Verdana" w:eastAsia="Century Gothic" w:hAnsi="Verdana" w:cs="Century Gothic"/>
          <w:sz w:val="21"/>
          <w:szCs w:val="21"/>
          <w:lang w:val="es-ES"/>
        </w:rPr>
        <w:t xml:space="preserve">, es decir debe continuar el proceso (celeridad) o en su defecto, debe suspenderse hasta determinar la veracidad de la </w:t>
      </w:r>
      <w:proofErr w:type="gramStart"/>
      <w:r w:rsidRPr="00117A8C">
        <w:rPr>
          <w:rFonts w:ascii="Verdana" w:eastAsia="Century Gothic" w:hAnsi="Verdana" w:cs="Century Gothic"/>
          <w:sz w:val="21"/>
          <w:szCs w:val="21"/>
          <w:lang w:val="es-ES"/>
        </w:rPr>
        <w:t>información?.</w:t>
      </w:r>
      <w:proofErr w:type="gramEnd"/>
    </w:p>
    <w:p w14:paraId="5E64F290" w14:textId="77777777" w:rsidR="00117A8C" w:rsidRPr="00117A8C" w:rsidRDefault="00117A8C" w:rsidP="00117A8C">
      <w:pPr>
        <w:snapToGrid w:val="0"/>
        <w:spacing w:after="0" w:line="240" w:lineRule="auto"/>
        <w:ind w:left="720" w:right="709"/>
        <w:jc w:val="both"/>
        <w:rPr>
          <w:rFonts w:ascii="Verdana" w:eastAsia="Century Gothic" w:hAnsi="Verdana" w:cs="Century Gothic"/>
          <w:sz w:val="21"/>
          <w:szCs w:val="21"/>
          <w:lang w:val="es-ES"/>
        </w:rPr>
      </w:pPr>
    </w:p>
    <w:p w14:paraId="61BA64BD" w14:textId="77777777" w:rsidR="00117A8C" w:rsidRPr="00117A8C" w:rsidRDefault="00117A8C" w:rsidP="00117A8C">
      <w:pPr>
        <w:snapToGrid w:val="0"/>
        <w:spacing w:after="0" w:line="240" w:lineRule="auto"/>
        <w:ind w:left="720" w:right="709"/>
        <w:jc w:val="both"/>
        <w:rPr>
          <w:rFonts w:ascii="Verdana" w:eastAsia="Century Gothic" w:hAnsi="Verdana" w:cs="Century Gothic"/>
          <w:sz w:val="21"/>
          <w:szCs w:val="21"/>
          <w:lang w:val="es-ES"/>
        </w:rPr>
      </w:pPr>
      <w:r w:rsidRPr="00117A8C">
        <w:rPr>
          <w:rFonts w:ascii="Verdana" w:eastAsia="Century Gothic" w:hAnsi="Verdana" w:cs="Century Gothic"/>
          <w:sz w:val="21"/>
          <w:szCs w:val="21"/>
          <w:lang w:val="es-ES"/>
        </w:rPr>
        <w:t xml:space="preserve">3. Si verificada la información registrada en distintos años en el registro único de proponentes, se evidencia información incoherente en una misma experiencia, puede constituirse como información </w:t>
      </w:r>
      <w:proofErr w:type="gramStart"/>
      <w:r w:rsidRPr="00117A8C">
        <w:rPr>
          <w:rFonts w:ascii="Verdana" w:eastAsia="Century Gothic" w:hAnsi="Verdana" w:cs="Century Gothic"/>
          <w:sz w:val="21"/>
          <w:szCs w:val="21"/>
          <w:lang w:val="es-ES"/>
        </w:rPr>
        <w:t>inexacta?.</w:t>
      </w:r>
      <w:proofErr w:type="gramEnd"/>
      <w:r w:rsidRPr="00117A8C">
        <w:rPr>
          <w:rFonts w:ascii="Verdana" w:eastAsia="Century Gothic" w:hAnsi="Verdana" w:cs="Century Gothic"/>
          <w:sz w:val="21"/>
          <w:szCs w:val="21"/>
          <w:lang w:val="es-ES"/>
        </w:rPr>
        <w:t>”</w:t>
      </w:r>
    </w:p>
    <w:p w14:paraId="46B78C1D" w14:textId="77777777" w:rsidR="00117A8C" w:rsidRPr="00117A8C" w:rsidRDefault="00117A8C" w:rsidP="00117A8C">
      <w:pPr>
        <w:tabs>
          <w:tab w:val="left" w:pos="142"/>
          <w:tab w:val="left" w:pos="284"/>
        </w:tabs>
        <w:spacing w:line="276" w:lineRule="auto"/>
        <w:contextualSpacing/>
        <w:jc w:val="both"/>
        <w:rPr>
          <w:rFonts w:ascii="Verdana" w:eastAsia="Century Gothic" w:hAnsi="Verdana" w:cs="Century Gothic"/>
          <w:b/>
          <w:bCs/>
          <w:lang w:val="es-ES_tradnl"/>
        </w:rPr>
      </w:pPr>
    </w:p>
    <w:p w14:paraId="0A870C21" w14:textId="77777777" w:rsidR="00117A8C" w:rsidRPr="00117A8C" w:rsidRDefault="00117A8C" w:rsidP="00117A8C">
      <w:pPr>
        <w:spacing w:after="120" w:line="276" w:lineRule="auto"/>
        <w:ind w:firstLine="709"/>
        <w:jc w:val="both"/>
        <w:rPr>
          <w:rFonts w:ascii="Verdana" w:eastAsia="Calibri" w:hAnsi="Verdana" w:cs="Arial"/>
          <w:lang w:val="es-ES" w:eastAsia="es-ES"/>
        </w:rPr>
      </w:pPr>
      <w:r w:rsidRPr="00117A8C">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7A8C">
        <w:rPr>
          <w:rFonts w:ascii="Calibri" w:eastAsia="Calibri" w:hAnsi="Calibri" w:cs="Times New Roman"/>
        </w:rPr>
        <w:tab/>
      </w:r>
    </w:p>
    <w:p w14:paraId="79E90E6C" w14:textId="77777777" w:rsidR="00117A8C" w:rsidRPr="00117A8C" w:rsidRDefault="00117A8C" w:rsidP="00117A8C">
      <w:pPr>
        <w:snapToGrid w:val="0"/>
        <w:spacing w:after="0" w:line="276" w:lineRule="auto"/>
        <w:ind w:firstLine="709"/>
        <w:jc w:val="both"/>
        <w:rPr>
          <w:rFonts w:ascii="Verdana" w:eastAsia="Calibri" w:hAnsi="Verdana" w:cs="Arial"/>
          <w:lang w:val="es-ES_tradnl" w:eastAsia="es-ES"/>
        </w:rPr>
      </w:pPr>
      <w:r w:rsidRPr="00117A8C">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CDB4D87" w14:textId="77777777" w:rsidR="00117A8C" w:rsidRPr="00117A8C" w:rsidRDefault="00117A8C" w:rsidP="00117A8C">
      <w:pPr>
        <w:snapToGrid w:val="0"/>
        <w:spacing w:after="0" w:line="276" w:lineRule="auto"/>
        <w:ind w:firstLine="709"/>
        <w:jc w:val="both"/>
        <w:rPr>
          <w:rFonts w:ascii="Verdana" w:eastAsia="Calibri" w:hAnsi="Verdana" w:cs="Arial"/>
          <w:lang w:val="es-ES_tradnl" w:eastAsia="es-ES"/>
        </w:rPr>
      </w:pPr>
    </w:p>
    <w:p w14:paraId="043A1D79" w14:textId="77777777" w:rsidR="00117A8C" w:rsidRPr="00117A8C" w:rsidRDefault="00117A8C" w:rsidP="00117A8C">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117A8C">
        <w:rPr>
          <w:rFonts w:ascii="Verdana" w:eastAsia="Century Gothic" w:hAnsi="Verdana" w:cs="Century Gothic"/>
          <w:b/>
          <w:bCs/>
          <w:lang w:val="es-ES_tradnl"/>
        </w:rPr>
        <w:t>Problema planteado:</w:t>
      </w:r>
    </w:p>
    <w:p w14:paraId="44894DF3" w14:textId="77777777" w:rsidR="00117A8C" w:rsidRPr="00117A8C" w:rsidRDefault="00117A8C" w:rsidP="00117A8C">
      <w:pPr>
        <w:tabs>
          <w:tab w:val="left" w:pos="426"/>
        </w:tabs>
        <w:snapToGrid w:val="0"/>
        <w:spacing w:after="0" w:line="276" w:lineRule="auto"/>
        <w:jc w:val="both"/>
        <w:rPr>
          <w:rFonts w:ascii="Verdana" w:eastAsia="Century Gothic" w:hAnsi="Verdana" w:cs="Century Gothic"/>
          <w:lang w:val="es-ES_tradnl"/>
        </w:rPr>
      </w:pPr>
    </w:p>
    <w:p w14:paraId="62803672" w14:textId="77777777" w:rsidR="00117A8C" w:rsidRPr="00117A8C" w:rsidRDefault="00117A8C" w:rsidP="00117A8C">
      <w:pPr>
        <w:snapToGrid w:val="0"/>
        <w:spacing w:after="0" w:line="276" w:lineRule="auto"/>
        <w:jc w:val="both"/>
        <w:rPr>
          <w:rFonts w:ascii="Verdana" w:eastAsia="Century Gothic" w:hAnsi="Verdana" w:cs="Century Gothic"/>
          <w:lang w:val="es-ES_tradnl"/>
        </w:rPr>
      </w:pPr>
      <w:r w:rsidRPr="00117A8C">
        <w:rPr>
          <w:rFonts w:ascii="Verdana" w:eastAsia="Century Gothic" w:hAnsi="Verdana" w:cs="Century Gothic"/>
          <w:lang w:val="es-ES_tradnl"/>
        </w:rPr>
        <w:t>De acuerdo con el contenido de su solicitud, esta Agencia resolverá el siguiente problema jurídico: ¿cuál es el alcance de la información inexacta en los documentos tipo?</w:t>
      </w:r>
    </w:p>
    <w:p w14:paraId="6BB5A514" w14:textId="77777777" w:rsidR="00117A8C" w:rsidRPr="00117A8C" w:rsidRDefault="00117A8C" w:rsidP="00117A8C">
      <w:pPr>
        <w:snapToGrid w:val="0"/>
        <w:spacing w:after="0" w:line="276" w:lineRule="auto"/>
        <w:jc w:val="both"/>
        <w:rPr>
          <w:rFonts w:ascii="Verdana" w:eastAsia="Calibri" w:hAnsi="Verdana" w:cs="Arial"/>
          <w:lang w:val="es-ES_tradnl"/>
        </w:rPr>
      </w:pPr>
    </w:p>
    <w:p w14:paraId="328ADF29" w14:textId="77777777" w:rsidR="00117A8C" w:rsidRPr="00117A8C" w:rsidRDefault="00117A8C" w:rsidP="00117A8C">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117A8C">
        <w:rPr>
          <w:rFonts w:ascii="Verdana" w:eastAsia="Century Gothic" w:hAnsi="Verdana" w:cs="Century Gothic"/>
          <w:b/>
          <w:bCs/>
          <w:lang w:val="es-ES_tradnl"/>
        </w:rPr>
        <w:t>Respuesta:</w:t>
      </w:r>
    </w:p>
    <w:p w14:paraId="149FFB25" w14:textId="77777777" w:rsidR="00117A8C" w:rsidRPr="00117A8C" w:rsidRDefault="00117A8C" w:rsidP="00117A8C">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17A8C" w:rsidRPr="00117A8C" w14:paraId="7D64A048" w14:textId="77777777" w:rsidTr="005F59EE">
        <w:tc>
          <w:tcPr>
            <w:tcW w:w="8828" w:type="dxa"/>
            <w:shd w:val="clear" w:color="auto" w:fill="auto"/>
          </w:tcPr>
          <w:p w14:paraId="58726659" w14:textId="77777777" w:rsidR="00117A8C" w:rsidRPr="00117A8C" w:rsidRDefault="00117A8C" w:rsidP="00117A8C">
            <w:pPr>
              <w:spacing w:after="120" w:line="276" w:lineRule="auto"/>
              <w:jc w:val="both"/>
              <w:rPr>
                <w:rFonts w:ascii="Verdana" w:eastAsia="Calibri" w:hAnsi="Verdana" w:cs="Arial"/>
              </w:rPr>
            </w:pPr>
            <w:r w:rsidRPr="00117A8C">
              <w:rPr>
                <w:rFonts w:ascii="Verdana" w:eastAsia="Calibri" w:hAnsi="Verdana" w:cs="Arial"/>
              </w:rPr>
              <w:t xml:space="preserve">En el Documento Base de los documentos tipo de licitación de obra pública de infraestructura de transporte –versión 4– se incluye el numeral 1.11, referido a la información inexacta, que permite a la Entidad Estatal agotar los medios </w:t>
            </w:r>
            <w:r w:rsidRPr="00117A8C">
              <w:rPr>
                <w:rFonts w:ascii="Verdana" w:eastAsia="Calibri" w:hAnsi="Verdana" w:cs="Arial"/>
              </w:rPr>
              <w:lastRenderedPageBreak/>
              <w:t xml:space="preserve">a su alcance para corroborar la información que aporte el proponente, para lo cual puede recurrir a las autoridades, personas, empresas o entidades.  </w:t>
            </w:r>
          </w:p>
          <w:p w14:paraId="37CD4F1B" w14:textId="77777777" w:rsidR="00117A8C" w:rsidRPr="00117A8C" w:rsidRDefault="00117A8C" w:rsidP="00117A8C">
            <w:pPr>
              <w:spacing w:before="120" w:after="120" w:line="276" w:lineRule="auto"/>
              <w:ind w:firstLine="709"/>
              <w:jc w:val="both"/>
              <w:rPr>
                <w:rFonts w:ascii="Verdana" w:eastAsia="Calibri" w:hAnsi="Verdana" w:cs="Arial"/>
              </w:rPr>
            </w:pPr>
            <w:r w:rsidRPr="00117A8C">
              <w:rPr>
                <w:rFonts w:ascii="Verdana" w:eastAsia="Calibri" w:hAnsi="Verdana" w:cs="Arial"/>
              </w:rPr>
              <w:t xml:space="preserve">La regla de verificación de la información contempla dos supuestos, con consecuencias diferentes: </w:t>
            </w:r>
            <w:r w:rsidRPr="00117A8C">
              <w:rPr>
                <w:rFonts w:ascii="Verdana" w:eastAsia="Calibri" w:hAnsi="Verdana" w:cs="Arial"/>
                <w:i/>
                <w:iCs/>
              </w:rPr>
              <w:t>el primero,</w:t>
            </w:r>
            <w:r w:rsidRPr="00117A8C">
              <w:rPr>
                <w:rFonts w:ascii="Verdana" w:eastAsia="Calibri" w:hAnsi="Verdana" w:cs="Arial"/>
              </w:rPr>
              <w:t xml:space="preserve"> señala que una vez verificada la información con las autoridades, personas, empresas o entidades, y evidenciada la inconsistencia, la Entidad Estatal tendrá por no acreditada la información.</w:t>
            </w:r>
          </w:p>
          <w:p w14:paraId="5A60926D" w14:textId="77777777" w:rsidR="00117A8C" w:rsidRPr="00117A8C" w:rsidRDefault="00117A8C" w:rsidP="00117A8C">
            <w:pPr>
              <w:spacing w:before="120" w:after="120" w:line="276" w:lineRule="auto"/>
              <w:ind w:firstLine="709"/>
              <w:jc w:val="both"/>
              <w:rPr>
                <w:rFonts w:ascii="Verdana" w:eastAsia="Calibri" w:hAnsi="Verdana" w:cs="Arial"/>
              </w:rPr>
            </w:pPr>
            <w:r w:rsidRPr="00117A8C">
              <w:rPr>
                <w:rFonts w:ascii="Verdana" w:eastAsia="Calibri" w:hAnsi="Verdana" w:cs="Arial"/>
                <w:i/>
                <w:iCs/>
              </w:rPr>
              <w:t>El segundo</w:t>
            </w:r>
            <w:r w:rsidRPr="00117A8C">
              <w:rPr>
                <w:rFonts w:ascii="Verdana" w:eastAsia="Calibri" w:hAnsi="Verdana" w:cs="Arial"/>
              </w:rPr>
              <w:t xml:space="preserve"> evento aplica cuando de la verificación realizada por la Entidad Estatal se corrobora que las inconsistencias pueden devenir de una presunta falsedad no desvirtuada por el proponente, caso en el cual se procede con el rechazo de la oferta y se informa a las autoridades correspondientes. </w:t>
            </w:r>
          </w:p>
          <w:p w14:paraId="45DE54B6" w14:textId="77777777" w:rsidR="00117A8C" w:rsidRPr="00117A8C" w:rsidRDefault="00117A8C" w:rsidP="00117A8C">
            <w:pPr>
              <w:spacing w:before="120" w:line="276" w:lineRule="auto"/>
              <w:ind w:firstLine="709"/>
              <w:jc w:val="both"/>
              <w:rPr>
                <w:rFonts w:ascii="Verdana" w:eastAsia="Calibri" w:hAnsi="Verdana" w:cs="Arial"/>
              </w:rPr>
            </w:pPr>
            <w:r w:rsidRPr="00117A8C">
              <w:rPr>
                <w:rFonts w:ascii="Verdana" w:eastAsia="Calibri" w:hAnsi="Verdana" w:cs="Arial"/>
              </w:rPr>
              <w:t>En virtud de lo anterior, la verificación de la información aportada por el proponente debe realizarse conforme a lo establecido en los numerales 1.11 y 1.15 –causal de rechazo del literal H– del Documento Base, teniendo en cuenta que no cualquier inconsistencia en la información presentada puede configurar una falsedad o rechazo de la oferta, en los términos expuestos.</w:t>
            </w:r>
          </w:p>
        </w:tc>
      </w:tr>
    </w:tbl>
    <w:p w14:paraId="1865E604" w14:textId="77777777" w:rsidR="00117A8C" w:rsidRPr="00117A8C" w:rsidRDefault="00117A8C" w:rsidP="00117A8C">
      <w:pPr>
        <w:tabs>
          <w:tab w:val="left" w:pos="142"/>
          <w:tab w:val="left" w:pos="284"/>
        </w:tabs>
        <w:snapToGrid w:val="0"/>
        <w:spacing w:after="0" w:line="276" w:lineRule="auto"/>
        <w:jc w:val="both"/>
        <w:rPr>
          <w:rFonts w:ascii="Verdana" w:eastAsia="Century Gothic" w:hAnsi="Verdana" w:cs="Century Gothic"/>
          <w:b/>
          <w:bCs/>
          <w:lang w:val="es-ES_tradnl"/>
        </w:rPr>
      </w:pPr>
    </w:p>
    <w:p w14:paraId="1835E4AC" w14:textId="77777777" w:rsidR="00117A8C" w:rsidRPr="00117A8C" w:rsidRDefault="00117A8C" w:rsidP="00117A8C">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117A8C">
        <w:rPr>
          <w:rFonts w:ascii="Verdana" w:eastAsia="Century Gothic" w:hAnsi="Verdana" w:cs="Century Gothic"/>
          <w:b/>
          <w:bCs/>
          <w:lang w:val="es-ES_tradnl"/>
        </w:rPr>
        <w:t>Razones de la respuesta:</w:t>
      </w:r>
    </w:p>
    <w:p w14:paraId="66925D52" w14:textId="77777777" w:rsidR="00117A8C" w:rsidRPr="00117A8C" w:rsidRDefault="00117A8C" w:rsidP="00117A8C">
      <w:pPr>
        <w:snapToGrid w:val="0"/>
        <w:spacing w:after="0" w:line="276" w:lineRule="auto"/>
        <w:jc w:val="both"/>
        <w:rPr>
          <w:rFonts w:ascii="Verdana" w:eastAsia="Calibri" w:hAnsi="Verdana" w:cs="Arial"/>
          <w:lang w:val="es-ES_tradnl"/>
        </w:rPr>
      </w:pPr>
    </w:p>
    <w:p w14:paraId="1812ED88" w14:textId="77777777" w:rsidR="00117A8C" w:rsidRPr="00117A8C" w:rsidRDefault="00117A8C" w:rsidP="00117A8C">
      <w:pPr>
        <w:snapToGrid w:val="0"/>
        <w:spacing w:after="0" w:line="276" w:lineRule="auto"/>
        <w:jc w:val="both"/>
        <w:rPr>
          <w:rFonts w:ascii="Verdana" w:eastAsia="Calibri" w:hAnsi="Verdana" w:cs="Arial"/>
          <w:lang w:val="es-ES_tradnl"/>
        </w:rPr>
      </w:pPr>
      <w:r w:rsidRPr="00117A8C">
        <w:rPr>
          <w:rFonts w:ascii="Verdana" w:eastAsia="Calibri" w:hAnsi="Verdana" w:cs="Arial"/>
          <w:lang w:val="es-ES_tradnl"/>
        </w:rPr>
        <w:t xml:space="preserve">Lo anterior se sustenta en las siguientes consideraciones: </w:t>
      </w:r>
    </w:p>
    <w:p w14:paraId="292F2C9C" w14:textId="77777777" w:rsidR="00117A8C" w:rsidRPr="00117A8C" w:rsidRDefault="00117A8C" w:rsidP="00117A8C">
      <w:pPr>
        <w:snapToGrid w:val="0"/>
        <w:spacing w:after="0" w:line="276" w:lineRule="auto"/>
        <w:jc w:val="both"/>
        <w:rPr>
          <w:rFonts w:ascii="Verdana" w:eastAsia="Calibri" w:hAnsi="Verdana" w:cs="Arial"/>
          <w:lang w:val="es-ES_tradnl"/>
        </w:rPr>
      </w:pPr>
    </w:p>
    <w:p w14:paraId="11CF2AFA" w14:textId="77777777" w:rsidR="00117A8C" w:rsidRPr="00117A8C" w:rsidRDefault="00117A8C" w:rsidP="00117A8C">
      <w:pPr>
        <w:snapToGrid w:val="0"/>
        <w:spacing w:after="120" w:line="276" w:lineRule="auto"/>
        <w:jc w:val="both"/>
        <w:rPr>
          <w:rFonts w:ascii="Verdana" w:eastAsia="Calibri" w:hAnsi="Verdana" w:cs="Arial"/>
          <w:lang w:val="es-ES_tradnl"/>
        </w:rPr>
      </w:pPr>
      <w:r w:rsidRPr="00117A8C">
        <w:rPr>
          <w:rFonts w:ascii="Verdana" w:eastAsia="Calibri" w:hAnsi="Verdana" w:cs="Arial"/>
          <w:lang w:val="es-ES_tradnl"/>
        </w:rPr>
        <w:t>Los Documentos Tipo expedidos por la Agencia Nacional de Contratación Pública –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53B0652D" w14:textId="77777777" w:rsidR="00117A8C" w:rsidRPr="00117A8C" w:rsidRDefault="00117A8C" w:rsidP="00117A8C">
      <w:pPr>
        <w:spacing w:before="120" w:after="120" w:line="276" w:lineRule="auto"/>
        <w:ind w:firstLine="709"/>
        <w:jc w:val="both"/>
        <w:rPr>
          <w:rFonts w:ascii="Verdana" w:eastAsia="Calibri" w:hAnsi="Verdana" w:cs="Arial"/>
        </w:rPr>
      </w:pPr>
      <w:r w:rsidRPr="00117A8C">
        <w:rPr>
          <w:rFonts w:ascii="Verdana" w:eastAsia="Calibri" w:hAnsi="Verdana" w:cs="Arial"/>
        </w:rPr>
        <w:t xml:space="preserve">Los Documentos Tipo adoptados por esta Agencia establecen las condiciones habilitantes, los factores técnicos y económicos de escogencia y los sistemas de ponderación de carácter obligatorio para las Entidades Estatales sometidas al Estatuto General de la Contratación de la Administración Pública. </w:t>
      </w:r>
    </w:p>
    <w:p w14:paraId="31265D92" w14:textId="77777777" w:rsidR="00117A8C" w:rsidRPr="00117A8C" w:rsidRDefault="00117A8C" w:rsidP="00117A8C">
      <w:pPr>
        <w:spacing w:after="0" w:line="276" w:lineRule="auto"/>
        <w:ind w:firstLine="708"/>
        <w:jc w:val="both"/>
        <w:rPr>
          <w:rFonts w:ascii="Verdana" w:eastAsia="Calibri" w:hAnsi="Verdana" w:cs="Arial"/>
        </w:rPr>
      </w:pPr>
      <w:r w:rsidRPr="00117A8C">
        <w:rPr>
          <w:rFonts w:ascii="Verdana" w:eastAsia="Calibri" w:hAnsi="Verdana" w:cs="Arial"/>
        </w:rPr>
        <w:t xml:space="preserve">En el Documento Base de los documentos tipo de licitación de obra pública de infraestructura de transporte –versión 4– se incluye el numeral 1.11, referido a la información inexacta: </w:t>
      </w:r>
    </w:p>
    <w:p w14:paraId="27E064EF" w14:textId="77777777" w:rsidR="00117A8C" w:rsidRPr="00117A8C" w:rsidRDefault="00117A8C" w:rsidP="00117A8C">
      <w:pPr>
        <w:spacing w:after="0" w:line="276" w:lineRule="auto"/>
        <w:ind w:firstLine="708"/>
        <w:jc w:val="both"/>
        <w:rPr>
          <w:rFonts w:ascii="Verdana" w:eastAsia="Calibri" w:hAnsi="Verdana" w:cs="Arial"/>
        </w:rPr>
      </w:pPr>
    </w:p>
    <w:p w14:paraId="668CF5D2" w14:textId="77777777" w:rsidR="00117A8C" w:rsidRPr="00117A8C" w:rsidRDefault="00117A8C" w:rsidP="00117A8C">
      <w:pPr>
        <w:keepNext/>
        <w:keepLines/>
        <w:numPr>
          <w:ilvl w:val="1"/>
          <w:numId w:val="0"/>
        </w:numPr>
        <w:spacing w:after="120" w:line="240" w:lineRule="auto"/>
        <w:ind w:left="709" w:right="709"/>
        <w:jc w:val="both"/>
        <w:outlineLvl w:val="1"/>
        <w:rPr>
          <w:rFonts w:ascii="Verdana" w:eastAsia="Yu Gothic Light" w:hAnsi="Verdana" w:cs="Times New Roman"/>
          <w:b/>
          <w:caps/>
          <w:color w:val="000000"/>
          <w:sz w:val="21"/>
          <w:szCs w:val="21"/>
          <w:lang w:val="es-MX"/>
        </w:rPr>
      </w:pPr>
      <w:bookmarkStart w:id="1" w:name="_Toc176242633"/>
      <w:r w:rsidRPr="00117A8C">
        <w:rPr>
          <w:rFonts w:ascii="Verdana" w:eastAsia="Yu Gothic Light" w:hAnsi="Verdana" w:cs="Times New Roman"/>
          <w:bCs/>
          <w:caps/>
          <w:color w:val="000000"/>
          <w:sz w:val="21"/>
          <w:szCs w:val="21"/>
          <w:lang w:val="es-MX"/>
        </w:rPr>
        <w:t>“</w:t>
      </w:r>
      <w:r w:rsidRPr="00117A8C">
        <w:rPr>
          <w:rFonts w:ascii="Verdana" w:eastAsia="Yu Gothic Light" w:hAnsi="Verdana" w:cs="Times New Roman"/>
          <w:b/>
          <w:caps/>
          <w:color w:val="000000"/>
          <w:sz w:val="21"/>
          <w:szCs w:val="21"/>
          <w:lang w:val="es-MX"/>
        </w:rPr>
        <w:t>1.11. INFORMACIÓN INEXACTA</w:t>
      </w:r>
      <w:bookmarkEnd w:id="1"/>
    </w:p>
    <w:p w14:paraId="48BF60B1" w14:textId="77777777" w:rsidR="00117A8C" w:rsidRPr="00117A8C" w:rsidRDefault="00117A8C" w:rsidP="00117A8C">
      <w:pPr>
        <w:spacing w:line="240" w:lineRule="auto"/>
        <w:ind w:left="709" w:right="709"/>
        <w:jc w:val="both"/>
        <w:rPr>
          <w:rFonts w:ascii="Verdana" w:eastAsia="Calibri" w:hAnsi="Verdana" w:cs="Arial"/>
          <w:color w:val="000000"/>
          <w:sz w:val="21"/>
          <w:szCs w:val="21"/>
          <w:lang w:val="es-MX"/>
        </w:rPr>
      </w:pPr>
      <w:r w:rsidRPr="00117A8C">
        <w:rPr>
          <w:rFonts w:ascii="Verdana" w:eastAsia="Calibri" w:hAnsi="Verdana" w:cs="Arial"/>
          <w:color w:val="000000"/>
          <w:sz w:val="21"/>
          <w:szCs w:val="21"/>
          <w:lang w:val="es-MX"/>
        </w:rPr>
        <w:t xml:space="preserve">La entidad se reserva el derecho de verificar integralmente la información aportada por el proponente. Para esto, puede acudir a las autoridades, personas, empresas o entidades   respectivas. </w:t>
      </w:r>
    </w:p>
    <w:p w14:paraId="70ED3340" w14:textId="77777777" w:rsidR="00117A8C" w:rsidRPr="00117A8C" w:rsidRDefault="00117A8C" w:rsidP="00117A8C">
      <w:pPr>
        <w:spacing w:line="240" w:lineRule="auto"/>
        <w:ind w:left="709" w:right="709"/>
        <w:jc w:val="both"/>
        <w:rPr>
          <w:rFonts w:ascii="Verdana" w:eastAsia="Calibri" w:hAnsi="Verdana" w:cs="Arial"/>
          <w:color w:val="000000"/>
          <w:sz w:val="21"/>
          <w:szCs w:val="21"/>
          <w:lang w:val="es-MX"/>
        </w:rPr>
      </w:pPr>
      <w:r w:rsidRPr="00117A8C">
        <w:rPr>
          <w:rFonts w:ascii="Verdana" w:eastAsia="Calibri" w:hAnsi="Verdana" w:cs="Arial"/>
          <w:color w:val="000000"/>
          <w:sz w:val="21"/>
          <w:szCs w:val="21"/>
          <w:lang w:val="es-MX"/>
        </w:rPr>
        <w:t xml:space="preserve">Cuando exista inconsistencia entre la información suministrada por el proponente y la verificada por la entidad, la información que pretende demostrar el proponente se tendrá por no acreditada. </w:t>
      </w:r>
    </w:p>
    <w:p w14:paraId="56D40CFE" w14:textId="77777777" w:rsidR="00117A8C" w:rsidRPr="00117A8C" w:rsidRDefault="00117A8C" w:rsidP="00117A8C">
      <w:pPr>
        <w:spacing w:after="0" w:line="240" w:lineRule="auto"/>
        <w:ind w:left="709" w:right="709"/>
        <w:jc w:val="both"/>
        <w:rPr>
          <w:rFonts w:ascii="Verdana" w:eastAsia="Calibri" w:hAnsi="Verdana" w:cs="Arial"/>
          <w:color w:val="000000"/>
          <w:sz w:val="21"/>
          <w:szCs w:val="21"/>
          <w:lang w:val="es-MX"/>
        </w:rPr>
      </w:pPr>
      <w:r w:rsidRPr="00117A8C">
        <w:rPr>
          <w:rFonts w:ascii="Verdana" w:eastAsia="Calibri" w:hAnsi="Verdana" w:cs="Arial"/>
          <w:color w:val="000000"/>
          <w:sz w:val="21"/>
          <w:szCs w:val="21"/>
          <w:lang w:val="es-MX"/>
        </w:rPr>
        <w:t>La entidad compulsará copias a las autoridades competentes en aquellos eventos en los cuales la información aportada tenga inconsistencias sobre las cuales pueda existir una posible falsedad, sin que el proponente haya demostrado lo contrario, y rechazará la oferta.”</w:t>
      </w:r>
    </w:p>
    <w:p w14:paraId="20035819" w14:textId="77777777" w:rsidR="00117A8C" w:rsidRPr="00117A8C" w:rsidRDefault="00117A8C" w:rsidP="00117A8C">
      <w:pPr>
        <w:spacing w:after="0" w:line="276" w:lineRule="auto"/>
        <w:ind w:left="709" w:right="709"/>
        <w:jc w:val="both"/>
        <w:rPr>
          <w:rFonts w:ascii="Verdana" w:eastAsia="Calibri" w:hAnsi="Verdana" w:cs="Arial"/>
          <w:color w:val="000000"/>
          <w:lang w:val="es-MX"/>
        </w:rPr>
      </w:pPr>
    </w:p>
    <w:p w14:paraId="3B57792B" w14:textId="77777777" w:rsidR="00117A8C" w:rsidRPr="00117A8C" w:rsidRDefault="00117A8C" w:rsidP="00117A8C">
      <w:pPr>
        <w:spacing w:after="120" w:line="276" w:lineRule="auto"/>
        <w:ind w:firstLine="709"/>
        <w:jc w:val="both"/>
        <w:rPr>
          <w:rFonts w:ascii="Verdana" w:eastAsia="Calibri" w:hAnsi="Verdana" w:cs="Arial"/>
        </w:rPr>
      </w:pPr>
      <w:r w:rsidRPr="00117A8C">
        <w:rPr>
          <w:rFonts w:ascii="Verdana" w:eastAsia="Calibri" w:hAnsi="Verdana" w:cs="Arial"/>
        </w:rPr>
        <w:t xml:space="preserve">El anterior numeral permite a la Entidad Estatal agotar los medios a su alcance para corroborar la información que aporte el proponente, para lo cual puede recurrir a las autoridades, personas, empresas o entidades.  </w:t>
      </w:r>
    </w:p>
    <w:p w14:paraId="25D04868" w14:textId="77777777" w:rsidR="00117A8C" w:rsidRPr="00117A8C" w:rsidRDefault="00117A8C" w:rsidP="00117A8C">
      <w:pPr>
        <w:spacing w:before="120" w:after="120" w:line="276" w:lineRule="auto"/>
        <w:ind w:firstLine="709"/>
        <w:jc w:val="both"/>
        <w:rPr>
          <w:rFonts w:ascii="Verdana" w:eastAsia="Calibri" w:hAnsi="Verdana" w:cs="Arial"/>
        </w:rPr>
      </w:pPr>
      <w:r w:rsidRPr="00117A8C">
        <w:rPr>
          <w:rFonts w:ascii="Verdana" w:eastAsia="Calibri" w:hAnsi="Verdana" w:cs="Arial"/>
        </w:rPr>
        <w:t xml:space="preserve">La regla de verificación de la información contempla dos supuestos, con consecuencias diferentes: </w:t>
      </w:r>
      <w:r w:rsidRPr="00117A8C">
        <w:rPr>
          <w:rFonts w:ascii="Verdana" w:eastAsia="Calibri" w:hAnsi="Verdana" w:cs="Arial"/>
          <w:i/>
          <w:iCs/>
        </w:rPr>
        <w:t>el primero,</w:t>
      </w:r>
      <w:r w:rsidRPr="00117A8C">
        <w:rPr>
          <w:rFonts w:ascii="Verdana" w:eastAsia="Calibri" w:hAnsi="Verdana" w:cs="Arial"/>
        </w:rPr>
        <w:t xml:space="preserve"> señala que una vez verificada la información con las autoridades, personas, empresas o entidades, y evidenciada la inconsistencia, la Entidad Estatal tendrá por no acreditada la información. </w:t>
      </w:r>
      <w:r w:rsidRPr="00117A8C">
        <w:rPr>
          <w:rFonts w:ascii="Verdana" w:eastAsia="Calibri" w:hAnsi="Verdana" w:cs="Arial"/>
          <w:kern w:val="2"/>
          <w:lang w:val="es-ES_tradnl"/>
          <w14:ligatures w14:val="standardContextual"/>
        </w:rPr>
        <w:t xml:space="preserve">Por ejemplo, cuando se presente documentación para acreditar un requisito habilitante y ante las observaciones recibidas en el traslado del informe de evaluación no se logre constatar con exactitud lo acreditado o la veracidad </w:t>
      </w:r>
      <w:proofErr w:type="gramStart"/>
      <w:r w:rsidRPr="00117A8C">
        <w:rPr>
          <w:rFonts w:ascii="Verdana" w:eastAsia="Calibri" w:hAnsi="Verdana" w:cs="Arial"/>
          <w:kern w:val="2"/>
          <w:lang w:val="es-ES_tradnl"/>
          <w14:ligatures w14:val="standardContextual"/>
        </w:rPr>
        <w:t>del mismo</w:t>
      </w:r>
      <w:proofErr w:type="gramEnd"/>
      <w:r w:rsidRPr="00117A8C">
        <w:rPr>
          <w:rFonts w:ascii="Verdana" w:eastAsia="Calibri" w:hAnsi="Verdana" w:cs="Arial"/>
          <w:kern w:val="2"/>
          <w:lang w:val="es-ES_tradnl"/>
          <w14:ligatures w14:val="standardContextual"/>
        </w:rPr>
        <w:t xml:space="preserve">, ante esta duda, la entidad no tendrá en cuenta la documentación aportada, sin perjuicio de que el proponente cumpla con el requisito habilitante con los demás documentos que aporte. </w:t>
      </w:r>
      <w:r w:rsidRPr="00117A8C">
        <w:rPr>
          <w:rFonts w:ascii="Verdana" w:eastAsia="Calibri" w:hAnsi="Verdana" w:cs="Arial"/>
        </w:rPr>
        <w:t xml:space="preserve">En este evento se trata de inconsistencias que no pueden ser superadas por la ausencia de medio probatorio, pero que en principio no tienen la connotación de falsedad. </w:t>
      </w:r>
    </w:p>
    <w:p w14:paraId="427672D5" w14:textId="77777777" w:rsidR="00117A8C" w:rsidRPr="00117A8C" w:rsidRDefault="00117A8C" w:rsidP="00117A8C">
      <w:pPr>
        <w:spacing w:before="120" w:after="120" w:line="276" w:lineRule="auto"/>
        <w:ind w:firstLine="709"/>
        <w:jc w:val="both"/>
        <w:rPr>
          <w:rFonts w:ascii="Verdana" w:eastAsia="Calibri" w:hAnsi="Verdana" w:cs="Arial"/>
        </w:rPr>
      </w:pPr>
      <w:r w:rsidRPr="00117A8C">
        <w:rPr>
          <w:rFonts w:ascii="Verdana" w:eastAsia="Calibri" w:hAnsi="Verdana" w:cs="Arial"/>
          <w:i/>
          <w:iCs/>
        </w:rPr>
        <w:t>El segundo</w:t>
      </w:r>
      <w:r w:rsidRPr="00117A8C">
        <w:rPr>
          <w:rFonts w:ascii="Verdana" w:eastAsia="Calibri" w:hAnsi="Verdana" w:cs="Arial"/>
        </w:rPr>
        <w:t xml:space="preserve"> evento aplica cuando de la verificación realizada por la Entidad Estatal se corrobora que las inconsistencias pueden devenir de una presunta falsedad no desvirtuada por el proponente, caso en el cual se procede con el rechazo de la oferta y se informa a las autoridades correspondientes. Por ejemplo, ante una certificación de experiencia, la Entidad Estatal, al comunicarse con la entidad para la cual se ejecutó el contrato a acreditar, es informada de que la certificación aportada por el proponente no fue expedida por cuanto ese objeto no ha sido contratado; en este supuesto, cuando la Entidad Estatal tiene </w:t>
      </w:r>
      <w:r w:rsidRPr="00117A8C">
        <w:rPr>
          <w:rFonts w:ascii="Verdana" w:eastAsia="Calibri" w:hAnsi="Verdana" w:cs="Arial"/>
        </w:rPr>
        <w:lastRenderedPageBreak/>
        <w:t xml:space="preserve">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55201FEE" w14:textId="77777777" w:rsidR="00117A8C" w:rsidRPr="00117A8C" w:rsidRDefault="00117A8C" w:rsidP="00117A8C">
      <w:pPr>
        <w:spacing w:before="120" w:after="120" w:line="276" w:lineRule="auto"/>
        <w:ind w:firstLine="709"/>
        <w:jc w:val="both"/>
        <w:rPr>
          <w:rFonts w:ascii="Verdana" w:eastAsia="Calibri" w:hAnsi="Verdana" w:cs="Arial"/>
        </w:rPr>
      </w:pPr>
      <w:r w:rsidRPr="00117A8C">
        <w:rPr>
          <w:rFonts w:ascii="Verdana" w:eastAsia="Calibri" w:hAnsi="Verdana" w:cs="Arial"/>
        </w:rPr>
        <w:t xml:space="preserve">Las reglas previstas en el numeral 1.11 del Documento Base aplican frente a la totalidad de la información y documentación aportada para el cumplimiento de los requisitos habilitantes y de ponderación de las propuestas. </w:t>
      </w:r>
    </w:p>
    <w:p w14:paraId="4C75E366" w14:textId="77777777" w:rsidR="00117A8C" w:rsidRPr="00117A8C" w:rsidRDefault="00117A8C" w:rsidP="00117A8C">
      <w:pPr>
        <w:spacing w:after="120" w:line="276" w:lineRule="auto"/>
        <w:ind w:firstLine="709"/>
        <w:jc w:val="both"/>
        <w:rPr>
          <w:rFonts w:ascii="Verdana" w:eastAsia="Calibri" w:hAnsi="Verdana" w:cs="Arial"/>
          <w:kern w:val="2"/>
          <w:lang w:val="es-ES_tradnl"/>
          <w14:ligatures w14:val="standardContextual"/>
        </w:rPr>
      </w:pPr>
      <w:r w:rsidRPr="00117A8C">
        <w:rPr>
          <w:rFonts w:ascii="Verdana" w:eastAsia="Calibri" w:hAnsi="Verdana" w:cs="Arial"/>
          <w:color w:val="000000"/>
          <w:kern w:val="2"/>
          <w:lang w:val="es-ES_tradnl"/>
          <w14:ligatures w14:val="standardContextual"/>
        </w:rPr>
        <w:t xml:space="preserve">A su turno, en los documentos tipo se estableció la causal de rechazo del literal H del numeral 1.15 del Documento Base, tipificada al siguiente tenor: </w:t>
      </w:r>
      <w:r w:rsidRPr="00117A8C">
        <w:rPr>
          <w:rFonts w:ascii="Verdana" w:eastAsia="Calibri" w:hAnsi="Verdana" w:cs="Arial"/>
          <w:i/>
          <w:iCs/>
          <w:color w:val="000000"/>
          <w:kern w:val="2"/>
          <w:lang w:val="es-ES_tradnl"/>
          <w14:ligatures w14:val="standardContextual"/>
        </w:rPr>
        <w:t>“H. Que el proponente aporte información inexacta sobre la cual pueda existir una posible falsedad en los términos de la sección 1.11 del Documento Base”.</w:t>
      </w:r>
    </w:p>
    <w:p w14:paraId="61A19625" w14:textId="77777777" w:rsidR="00117A8C" w:rsidRPr="00117A8C" w:rsidRDefault="00117A8C" w:rsidP="00117A8C">
      <w:pPr>
        <w:spacing w:before="120" w:after="0" w:line="276" w:lineRule="auto"/>
        <w:ind w:firstLine="709"/>
        <w:jc w:val="both"/>
        <w:rPr>
          <w:rFonts w:ascii="Verdana" w:eastAsia="Calibri" w:hAnsi="Verdana" w:cs="Arial"/>
          <w:kern w:val="2"/>
          <w:lang w:val="es-ES_tradnl"/>
          <w14:ligatures w14:val="standardContextual"/>
        </w:rPr>
      </w:pPr>
      <w:r w:rsidRPr="00117A8C">
        <w:rPr>
          <w:rFonts w:ascii="Verdana" w:eastAsia="Calibri" w:hAnsi="Verdana" w:cs="Arial"/>
          <w:kern w:val="2"/>
          <w:lang w:val="es-ES_tradnl"/>
          <w14:ligatures w14:val="standardContextual"/>
        </w:rPr>
        <w:t>Con todo, los supuestos señalados parten de la base del deber que le asiste a la Entidad Estatal de verificar la veracidad de la información suministrada por el proponente para evitar vicios en la adjudicación y en el contrato. Así, durante el plazo de evaluación de las ofertas las entidades contratantes tienen el deber de verificar la veracidad de la información que se allegue con las propuestas, bien sea mediante solicitud de aclaraciones al mismo oferente o mediante la constatación con fuentes externas, pues de ello depende no solamente la correcta escogencia del contratista y la forma más idónea de ejecución de la compra planeada, sino la validez misma de la decisión de adjudicación y, por ende, del contrato celebrado.</w:t>
      </w:r>
    </w:p>
    <w:p w14:paraId="0F09FE55" w14:textId="77777777" w:rsidR="00117A8C" w:rsidRPr="00117A8C" w:rsidRDefault="00117A8C" w:rsidP="00117A8C">
      <w:pPr>
        <w:spacing w:before="120" w:after="0" w:line="276" w:lineRule="auto"/>
        <w:ind w:firstLine="709"/>
        <w:jc w:val="both"/>
        <w:rPr>
          <w:rFonts w:ascii="Verdana" w:eastAsia="Calibri" w:hAnsi="Verdana" w:cs="Arial"/>
          <w:color w:val="000000"/>
          <w:kern w:val="2"/>
          <w:lang w:val="es-ES_tradnl"/>
          <w14:ligatures w14:val="standardContextual"/>
        </w:rPr>
      </w:pPr>
      <w:r w:rsidRPr="00117A8C">
        <w:rPr>
          <w:rFonts w:ascii="Verdana" w:eastAsia="Calibri" w:hAnsi="Verdana" w:cs="Arial"/>
          <w:kern w:val="2"/>
          <w:lang w:val="es-ES_tradnl"/>
          <w14:ligatures w14:val="standardContextual"/>
        </w:rPr>
        <w:t>De esta manera, la verificación que realice la entidad durante esta etapa resulta decisiva para la correcta evaluación de las ofertas, de manera que en caso de encontrar inconsistencias y después de revisar dicha información con las entidades que corresponda, si es del caso, la entidad tomará las medidas que se indican en el pliego de condiciones respecto de los supuestos señalados. Si se presentan observaciones sobre dicha información por fuera de esta etapa y una vez adjudicado el contrato, es importante que la entidad revise su contenido y alcance para tomar las medidas que correspondan.</w:t>
      </w:r>
    </w:p>
    <w:p w14:paraId="0D6EC425" w14:textId="77777777" w:rsidR="00117A8C" w:rsidRPr="00117A8C" w:rsidRDefault="00117A8C" w:rsidP="00117A8C">
      <w:pPr>
        <w:spacing w:before="120" w:after="0" w:line="276" w:lineRule="auto"/>
        <w:ind w:firstLine="709"/>
        <w:jc w:val="both"/>
        <w:rPr>
          <w:rFonts w:ascii="Verdana" w:eastAsia="Calibri" w:hAnsi="Verdana" w:cs="Arial"/>
        </w:rPr>
      </w:pPr>
      <w:r w:rsidRPr="00117A8C">
        <w:rPr>
          <w:rFonts w:ascii="Verdana" w:eastAsia="Calibri" w:hAnsi="Verdana" w:cs="Arial"/>
        </w:rPr>
        <w:t xml:space="preserve">En virtud de lo anterior, la verificación de la información aportada por el proponente debe realizarse conforme a lo establecido en los numerales 1.11 y 1.15 del Documento Base, teniendo en cuenta que no cualquier inconsistencia en la información presentada puede configurar una falsedad o rechazo de la oferta, en los términos expuestos. </w:t>
      </w:r>
    </w:p>
    <w:p w14:paraId="6D677AEF" w14:textId="77777777" w:rsidR="00117A8C" w:rsidRPr="00117A8C" w:rsidRDefault="00117A8C" w:rsidP="00117A8C">
      <w:pPr>
        <w:spacing w:after="0" w:line="276" w:lineRule="auto"/>
        <w:ind w:firstLine="709"/>
        <w:jc w:val="both"/>
        <w:rPr>
          <w:rFonts w:ascii="Verdana" w:eastAsia="Aptos" w:hAnsi="Verdana" w:cs="Times New Roman"/>
          <w:kern w:val="2"/>
          <w14:ligatures w14:val="standardContextual"/>
        </w:rPr>
      </w:pPr>
    </w:p>
    <w:p w14:paraId="35E40535" w14:textId="77777777" w:rsidR="00117A8C" w:rsidRPr="00117A8C" w:rsidRDefault="00117A8C" w:rsidP="00117A8C">
      <w:pPr>
        <w:numPr>
          <w:ilvl w:val="0"/>
          <w:numId w:val="16"/>
        </w:numPr>
        <w:tabs>
          <w:tab w:val="left" w:pos="142"/>
          <w:tab w:val="left" w:pos="284"/>
        </w:tabs>
        <w:snapToGrid w:val="0"/>
        <w:spacing w:after="0" w:line="276" w:lineRule="auto"/>
        <w:ind w:left="357" w:hanging="357"/>
        <w:contextualSpacing/>
        <w:jc w:val="both"/>
        <w:rPr>
          <w:rFonts w:ascii="Verdana" w:eastAsia="Century Gothic" w:hAnsi="Verdana" w:cs="Century Gothic"/>
          <w:b/>
          <w:bCs/>
          <w:lang w:val="es-ES_tradnl"/>
        </w:rPr>
      </w:pPr>
      <w:r w:rsidRPr="00117A8C">
        <w:rPr>
          <w:rFonts w:ascii="Verdana" w:eastAsia="Century Gothic" w:hAnsi="Verdana" w:cs="Century Gothic"/>
          <w:b/>
          <w:bCs/>
          <w:lang w:val="es-ES_tradnl"/>
        </w:rPr>
        <w:lastRenderedPageBreak/>
        <w:t>Referencias normativas, jurisprudenciales y otras fuentes:</w:t>
      </w:r>
    </w:p>
    <w:p w14:paraId="07A888C4" w14:textId="77777777" w:rsidR="00117A8C" w:rsidRPr="00117A8C" w:rsidRDefault="00117A8C" w:rsidP="00117A8C">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117A8C" w:rsidRPr="00117A8C" w14:paraId="2B4A33C2" w14:textId="77777777" w:rsidTr="005F59EE">
        <w:trPr>
          <w:trHeight w:val="870"/>
        </w:trPr>
        <w:tc>
          <w:tcPr>
            <w:tcW w:w="8647" w:type="dxa"/>
          </w:tcPr>
          <w:p w14:paraId="679377C1" w14:textId="77777777" w:rsidR="00117A8C" w:rsidRPr="00117A8C" w:rsidRDefault="00117A8C" w:rsidP="00117A8C">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117A8C">
              <w:rPr>
                <w:rFonts w:ascii="Verdana" w:eastAsia="Calibri" w:hAnsi="Verdana" w:cs="Arial"/>
                <w:lang w:val="es-ES_tradnl"/>
              </w:rPr>
              <w:t xml:space="preserve">Ley 2022 de 2020, artículo 1. </w:t>
            </w:r>
          </w:p>
          <w:p w14:paraId="1F661BEE" w14:textId="77777777" w:rsidR="00117A8C" w:rsidRPr="00117A8C" w:rsidRDefault="00117A8C" w:rsidP="00117A8C">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117A8C">
              <w:rPr>
                <w:rFonts w:ascii="Verdana" w:eastAsia="Calibri" w:hAnsi="Verdana" w:cs="Arial"/>
                <w:lang w:val="es-ES_tradnl"/>
              </w:rPr>
              <w:t xml:space="preserve">Documentos Tipo. Disponibles en: </w:t>
            </w:r>
            <w:hyperlink r:id="rId11" w:history="1">
              <w:r w:rsidRPr="00117A8C">
                <w:rPr>
                  <w:rFonts w:ascii="Verdana" w:eastAsia="Calibri" w:hAnsi="Verdana" w:cs="Arial"/>
                  <w:color w:val="467886"/>
                  <w:u w:val="single"/>
                  <w:lang w:val="es-ES_tradnl"/>
                </w:rPr>
                <w:t>https://www.colombiacompra.gov.co/normativa-y-relatoria/documentos-tipo</w:t>
              </w:r>
            </w:hyperlink>
            <w:r w:rsidRPr="00117A8C">
              <w:rPr>
                <w:rFonts w:ascii="Verdana" w:eastAsia="Calibri" w:hAnsi="Verdana" w:cs="Arial"/>
                <w:lang w:val="es-ES_tradnl"/>
              </w:rPr>
              <w:t xml:space="preserve">. </w:t>
            </w:r>
          </w:p>
        </w:tc>
      </w:tr>
    </w:tbl>
    <w:p w14:paraId="58B05917" w14:textId="77777777" w:rsidR="00117A8C" w:rsidRPr="00117A8C" w:rsidRDefault="00117A8C" w:rsidP="00117A8C">
      <w:pPr>
        <w:widowControl w:val="0"/>
        <w:autoSpaceDE w:val="0"/>
        <w:autoSpaceDN w:val="0"/>
        <w:snapToGrid w:val="0"/>
        <w:spacing w:after="0" w:line="276" w:lineRule="auto"/>
        <w:jc w:val="both"/>
        <w:rPr>
          <w:rFonts w:ascii="Verdana" w:eastAsia="Calibri" w:hAnsi="Verdana" w:cs="Arial"/>
          <w:lang w:val="es-ES_tradnl"/>
        </w:rPr>
      </w:pPr>
    </w:p>
    <w:p w14:paraId="0056A95E" w14:textId="77777777" w:rsidR="00117A8C" w:rsidRPr="00117A8C" w:rsidRDefault="00117A8C" w:rsidP="00117A8C">
      <w:pPr>
        <w:numPr>
          <w:ilvl w:val="0"/>
          <w:numId w:val="16"/>
        </w:numPr>
        <w:tabs>
          <w:tab w:val="left" w:pos="142"/>
          <w:tab w:val="left" w:pos="284"/>
        </w:tabs>
        <w:snapToGrid w:val="0"/>
        <w:spacing w:after="0" w:line="276" w:lineRule="auto"/>
        <w:ind w:left="357" w:hanging="357"/>
        <w:contextualSpacing/>
        <w:jc w:val="both"/>
        <w:rPr>
          <w:rFonts w:ascii="Verdana" w:eastAsia="Century Gothic" w:hAnsi="Verdana" w:cs="Century Gothic"/>
          <w:b/>
          <w:bCs/>
          <w:lang w:val="es-ES_tradnl"/>
        </w:rPr>
      </w:pPr>
      <w:r w:rsidRPr="00117A8C">
        <w:rPr>
          <w:rFonts w:ascii="Verdana" w:eastAsia="Century Gothic" w:hAnsi="Verdana" w:cs="Century Gothic"/>
          <w:b/>
          <w:bCs/>
          <w:lang w:val="es-ES_tradnl"/>
        </w:rPr>
        <w:t>Doctrina de la Agencia Nacional de Contratación Pública:</w:t>
      </w:r>
    </w:p>
    <w:p w14:paraId="17AC1EBE" w14:textId="77777777" w:rsidR="00117A8C" w:rsidRPr="00117A8C" w:rsidRDefault="00117A8C" w:rsidP="00117A8C">
      <w:pPr>
        <w:widowControl w:val="0"/>
        <w:autoSpaceDE w:val="0"/>
        <w:autoSpaceDN w:val="0"/>
        <w:snapToGrid w:val="0"/>
        <w:spacing w:after="0" w:line="276" w:lineRule="auto"/>
        <w:jc w:val="both"/>
        <w:rPr>
          <w:rFonts w:ascii="Verdana" w:eastAsia="Calibri" w:hAnsi="Verdana" w:cs="Arial"/>
          <w:lang w:val="es-ES_tradnl"/>
        </w:rPr>
      </w:pPr>
    </w:p>
    <w:p w14:paraId="41241D37" w14:textId="77777777" w:rsidR="00117A8C" w:rsidRPr="00117A8C" w:rsidRDefault="00117A8C" w:rsidP="00117A8C">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117A8C">
        <w:rPr>
          <w:rFonts w:ascii="Verdana" w:eastAsia="Calibri" w:hAnsi="Verdana" w:cs="Arial"/>
          <w:kern w:val="2"/>
          <w:shd w:val="clear" w:color="auto" w:fill="FFFFFF"/>
          <w:lang w:val="es-ES"/>
          <w14:ligatures w14:val="standardContextual"/>
        </w:rPr>
        <w:t>La Agencia Nacional de Contratación Pública – Colombia Compra Eficiente se pronunció</w:t>
      </w:r>
      <w:r w:rsidRPr="00117A8C">
        <w:rPr>
          <w:rFonts w:ascii="Aptos" w:eastAsia="Aptos" w:hAnsi="Aptos" w:cs="Times New Roman"/>
          <w:kern w:val="2"/>
          <w:lang w:val="es-ES"/>
          <w14:ligatures w14:val="standardContextual"/>
        </w:rPr>
        <w:t xml:space="preserve"> </w:t>
      </w:r>
      <w:r w:rsidRPr="00117A8C">
        <w:rPr>
          <w:rFonts w:ascii="Verdana" w:eastAsia="Calibri" w:hAnsi="Verdana" w:cs="Arial"/>
          <w:kern w:val="2"/>
          <w:shd w:val="clear" w:color="auto" w:fill="FFFFFF"/>
          <w:lang w:val="es-ES"/>
          <w14:ligatures w14:val="standardContextual"/>
        </w:rPr>
        <w:t xml:space="preserve">sobre </w:t>
      </w:r>
      <w:r w:rsidRPr="00117A8C">
        <w:rPr>
          <w:rFonts w:ascii="Verdana" w:eastAsia="Calibri" w:hAnsi="Verdana" w:cs="Arial"/>
          <w:kern w:val="2"/>
          <w:shd w:val="clear" w:color="auto" w:fill="FFFFFF"/>
          <w:lang w:val="es-ES_tradnl"/>
          <w14:ligatures w14:val="standardContextual"/>
        </w:rPr>
        <w:t xml:space="preserve">el fundamento normativo de los documentos tipo en la contratación estatal, entre otros, en los siguientes conceptos: 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w:t>
      </w:r>
      <w:r w:rsidRPr="00117A8C">
        <w:rPr>
          <w:rFonts w:ascii="Verdana" w:eastAsia="Calibri" w:hAnsi="Verdana" w:cs="Arial"/>
          <w:kern w:val="2"/>
          <w:shd w:val="clear" w:color="auto" w:fill="FFFFFF"/>
          <w:lang w:val="es-ES_tradnl"/>
          <w14:ligatures w14:val="standardContextual"/>
        </w:rPr>
        <w:lastRenderedPageBreak/>
        <w:t xml:space="preserve">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y C-290 del 28 de julio de 2023, C-753 del 2 de diciembre de 2024, C-637 del 20 de junio de 2025, etc. </w:t>
      </w:r>
      <w:r w:rsidRPr="00117A8C">
        <w:rPr>
          <w:rFonts w:ascii="Verdana" w:eastAsia="Times New Roman" w:hAnsi="Verdana" w:cs="Arial"/>
          <w:kern w:val="2"/>
          <w:shd w:val="clear" w:color="auto" w:fill="FFFFFF"/>
          <w:lang w:val="es-ES"/>
          <w14:ligatures w14:val="standardContextual"/>
        </w:rPr>
        <w:t>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117A8C">
          <w:rPr>
            <w:rFonts w:ascii="Verdana" w:eastAsia="Times New Roman" w:hAnsi="Verdana" w:cs="Arial"/>
            <w:kern w:val="2"/>
            <w:shd w:val="clear" w:color="auto" w:fill="FFFFFF"/>
            <w:lang w:val="es-ES"/>
            <w14:ligatures w14:val="standardContextual"/>
          </w:rPr>
          <w:t>https://relatoria.colombiacompra.gov.co/</w:t>
        </w:r>
      </w:hyperlink>
      <w:r w:rsidRPr="00117A8C">
        <w:rPr>
          <w:rFonts w:ascii="Verdana" w:eastAsia="Times New Roman" w:hAnsi="Verdana" w:cs="Arial"/>
          <w:kern w:val="2"/>
          <w:shd w:val="clear" w:color="auto" w:fill="FFFFFF"/>
          <w:lang w:val="es-ES"/>
          <w14:ligatures w14:val="standardContextual"/>
        </w:rPr>
        <w:t>.</w:t>
      </w:r>
    </w:p>
    <w:p w14:paraId="2181A60C" w14:textId="77777777" w:rsidR="00117A8C" w:rsidRPr="00117A8C" w:rsidRDefault="00117A8C" w:rsidP="00117A8C">
      <w:pPr>
        <w:spacing w:after="0" w:line="240" w:lineRule="auto"/>
        <w:jc w:val="both"/>
        <w:rPr>
          <w:rFonts w:ascii="Verdana" w:eastAsia="Calibri" w:hAnsi="Verdana" w:cs="Arial"/>
          <w:color w:val="000000"/>
          <w:kern w:val="2"/>
          <w:shd w:val="clear" w:color="auto" w:fill="FFFFFF"/>
          <w14:ligatures w14:val="standardContextual"/>
        </w:rPr>
      </w:pPr>
    </w:p>
    <w:p w14:paraId="05CBE8F7" w14:textId="77777777" w:rsidR="00117A8C" w:rsidRPr="00117A8C" w:rsidRDefault="00117A8C" w:rsidP="00117A8C">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117A8C">
        <w:rPr>
          <w:rFonts w:ascii="Verdana" w:eastAsia="Calibri" w:hAnsi="Verdana" w:cs="Arial"/>
          <w:kern w:val="2"/>
          <w:shd w:val="clear" w:color="auto" w:fill="FFFFFF"/>
          <w:lang w:val="es-ES_tradnl"/>
          <w14:ligatures w14:val="standardContextual"/>
        </w:rPr>
        <w:t>La</w:t>
      </w:r>
      <w:r w:rsidRPr="00117A8C">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117A8C">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117A8C">
        <w:rPr>
          <w:rFonts w:ascii="Verdana" w:eastAsia="Calibri" w:hAnsi="Verdana" w:cs="Arial"/>
          <w:b/>
          <w:bCs/>
          <w:kern w:val="2"/>
          <w:shd w:val="clear" w:color="auto" w:fill="FFFFFF"/>
          <w:lang w:val="es-ES_tradnl"/>
          <w14:ligatures w14:val="standardContextual"/>
        </w:rPr>
        <w:t>Documentos Tipo</w:t>
      </w:r>
      <w:r w:rsidRPr="00117A8C">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117A8C">
        <w:rPr>
          <w:rFonts w:ascii="Verdana" w:eastAsia="Calibri" w:hAnsi="Verdana" w:cs="Arial"/>
          <w:b/>
          <w:bCs/>
          <w:kern w:val="2"/>
          <w:shd w:val="clear" w:color="auto" w:fill="FFFFFF"/>
          <w:lang w:val="es-ES_tradnl"/>
          <w14:ligatures w14:val="standardContextual"/>
        </w:rPr>
        <w:t>transparencia</w:t>
      </w:r>
      <w:r w:rsidRPr="00117A8C">
        <w:rPr>
          <w:rFonts w:ascii="Verdana" w:eastAsia="Calibri" w:hAnsi="Verdana" w:cs="Arial"/>
          <w:kern w:val="2"/>
          <w:shd w:val="clear" w:color="auto" w:fill="FFFFFF"/>
          <w:lang w:val="es-ES_tradnl"/>
          <w14:ligatures w14:val="standardContextual"/>
        </w:rPr>
        <w:t> y promover un proceso de </w:t>
      </w:r>
      <w:r w:rsidRPr="00117A8C">
        <w:rPr>
          <w:rFonts w:ascii="Verdana" w:eastAsia="Calibri" w:hAnsi="Verdana" w:cs="Arial"/>
          <w:b/>
          <w:bCs/>
          <w:kern w:val="2"/>
          <w:shd w:val="clear" w:color="auto" w:fill="FFFFFF"/>
          <w:lang w:val="es-ES_tradnl"/>
          <w14:ligatures w14:val="standardContextual"/>
        </w:rPr>
        <w:t>selección objetiva</w:t>
      </w:r>
      <w:r w:rsidRPr="00117A8C">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7AB4ED98" w14:textId="77777777" w:rsidR="00117A8C" w:rsidRPr="00117A8C" w:rsidRDefault="00117A8C" w:rsidP="00117A8C">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0A0BE452" w14:textId="77777777" w:rsidR="00117A8C" w:rsidRPr="00117A8C" w:rsidRDefault="00117A8C" w:rsidP="00117A8C">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117A8C">
        <w:rPr>
          <w:rFonts w:ascii="Verdana" w:eastAsia="Calibri" w:hAnsi="Verdana" w:cs="Arial"/>
          <w:kern w:val="2"/>
          <w:shd w:val="clear" w:color="auto" w:fill="FFFFFF"/>
          <w:lang w:val="es-ES"/>
          <w14:ligatures w14:val="standardContextual"/>
        </w:rPr>
        <w:t>También, le contamos que ya se encuentra disponible la </w:t>
      </w:r>
      <w:r w:rsidRPr="00117A8C">
        <w:rPr>
          <w:rFonts w:ascii="Verdana" w:eastAsia="Calibri" w:hAnsi="Verdana" w:cs="Arial"/>
          <w:b/>
          <w:bCs/>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00117A8C">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117A8C">
        <w:rPr>
          <w:rFonts w:ascii="Verdana" w:eastAsia="Calibri" w:hAnsi="Verdana" w:cs="Arial"/>
          <w:kern w:val="2"/>
          <w:shd w:val="clear" w:color="auto" w:fill="FFFFFF"/>
          <w:lang w:val="es-ES"/>
          <w14:ligatures w14:val="standardContextual"/>
        </w:rPr>
        <w:t>Wayúu</w:t>
      </w:r>
      <w:proofErr w:type="spellEnd"/>
      <w:r w:rsidRPr="00117A8C">
        <w:rPr>
          <w:rFonts w:ascii="Verdana" w:eastAsia="Calibri" w:hAnsi="Verdana" w:cs="Arial"/>
          <w:kern w:val="2"/>
          <w:shd w:val="clear" w:color="auto" w:fill="FFFFFF"/>
          <w:lang w:val="es-ES"/>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117A8C">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117A8C">
        <w:rPr>
          <w:rFonts w:ascii="Verdana" w:eastAsia="Calibri" w:hAnsi="Verdana" w:cs="Arial"/>
          <w:kern w:val="2"/>
          <w:u w:val="single"/>
          <w:shd w:val="clear" w:color="auto" w:fill="FFFFFF"/>
          <w:lang w:val="es-ES"/>
          <w14:ligatures w14:val="standardContextual"/>
        </w:rPr>
        <w:t>.</w:t>
      </w:r>
    </w:p>
    <w:p w14:paraId="0542DA43" w14:textId="77777777" w:rsidR="00117A8C" w:rsidRPr="00117A8C" w:rsidRDefault="00117A8C" w:rsidP="00117A8C">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70BBDFDA" w14:textId="77777777" w:rsidR="00117A8C" w:rsidRPr="00117A8C" w:rsidRDefault="00117A8C" w:rsidP="00117A8C">
      <w:pPr>
        <w:spacing w:after="0" w:line="276" w:lineRule="auto"/>
        <w:jc w:val="both"/>
        <w:rPr>
          <w:rFonts w:ascii="Verdana" w:eastAsia="Calibri" w:hAnsi="Verdana" w:cs="Times New Roman"/>
          <w:kern w:val="2"/>
          <w:lang w:val="es-ES_tradnl"/>
          <w14:ligatures w14:val="standardContextual"/>
        </w:rPr>
      </w:pPr>
      <w:r w:rsidRPr="00117A8C">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7287B224" w14:textId="77777777" w:rsidR="00117A8C" w:rsidRPr="00117A8C" w:rsidRDefault="00117A8C" w:rsidP="00117A8C">
      <w:pPr>
        <w:spacing w:after="0" w:line="240" w:lineRule="auto"/>
        <w:jc w:val="both"/>
        <w:rPr>
          <w:rFonts w:ascii="Verdana" w:eastAsia="Calibri" w:hAnsi="Verdana" w:cs="Times New Roman"/>
          <w:kern w:val="2"/>
          <w:lang w:val="es-ES_tradnl"/>
          <w14:ligatures w14:val="standardContextual"/>
        </w:rPr>
      </w:pPr>
    </w:p>
    <w:p w14:paraId="5ACA0A55" w14:textId="77777777" w:rsidR="00117A8C" w:rsidRPr="00117A8C" w:rsidRDefault="00117A8C" w:rsidP="00117A8C">
      <w:pPr>
        <w:spacing w:after="0" w:line="240" w:lineRule="auto"/>
        <w:jc w:val="both"/>
        <w:rPr>
          <w:rFonts w:ascii="Verdana" w:eastAsia="Calibri" w:hAnsi="Verdana" w:cs="Times New Roman"/>
          <w:kern w:val="2"/>
          <w:lang w:val="es-ES_tradnl"/>
          <w14:ligatures w14:val="standardContextual"/>
        </w:rPr>
      </w:pPr>
      <w:r w:rsidRPr="00117A8C">
        <w:rPr>
          <w:rFonts w:ascii="Verdana" w:eastAsia="Calibri" w:hAnsi="Verdana" w:cs="Times New Roman"/>
          <w:kern w:val="2"/>
          <w:lang w:val="es-ES_tradnl"/>
          <w14:ligatures w14:val="standardContextual"/>
        </w:rPr>
        <w:t xml:space="preserve">Twitter: </w:t>
      </w:r>
      <w:r w:rsidRPr="00117A8C">
        <w:rPr>
          <w:rFonts w:ascii="Verdana" w:eastAsia="Calibri" w:hAnsi="Verdana" w:cs="Times New Roman"/>
          <w:kern w:val="2"/>
          <w:u w:val="single"/>
          <w:lang w:val="es-ES_tradnl"/>
          <w14:ligatures w14:val="standardContextual"/>
        </w:rPr>
        <w:t>@colombiacompra</w:t>
      </w:r>
      <w:r w:rsidRPr="00117A8C">
        <w:rPr>
          <w:rFonts w:ascii="Verdana" w:eastAsia="Calibri" w:hAnsi="Verdana" w:cs="Times New Roman"/>
          <w:kern w:val="2"/>
          <w:lang w:val="es-ES_tradnl"/>
          <w14:ligatures w14:val="standardContextual"/>
        </w:rPr>
        <w:t xml:space="preserve"> </w:t>
      </w:r>
    </w:p>
    <w:p w14:paraId="13FB5771" w14:textId="77777777" w:rsidR="00117A8C" w:rsidRPr="00117A8C" w:rsidRDefault="00117A8C" w:rsidP="00117A8C">
      <w:pPr>
        <w:spacing w:after="0" w:line="240" w:lineRule="auto"/>
        <w:jc w:val="both"/>
        <w:rPr>
          <w:rFonts w:ascii="Verdana" w:eastAsia="Calibri" w:hAnsi="Verdana" w:cs="Times New Roman"/>
          <w:kern w:val="2"/>
          <w:lang w:val="es-ES"/>
          <w14:ligatures w14:val="standardContextual"/>
        </w:rPr>
      </w:pPr>
      <w:r w:rsidRPr="00117A8C">
        <w:rPr>
          <w:rFonts w:ascii="Verdana" w:eastAsia="Calibri" w:hAnsi="Verdana" w:cs="Times New Roman"/>
          <w:kern w:val="2"/>
          <w:lang w:val="es-ES"/>
          <w14:ligatures w14:val="standardContextual"/>
        </w:rPr>
        <w:t xml:space="preserve">Facebook: </w:t>
      </w:r>
      <w:proofErr w:type="spellStart"/>
      <w:r w:rsidRPr="00117A8C">
        <w:rPr>
          <w:rFonts w:ascii="Verdana" w:eastAsia="Calibri" w:hAnsi="Verdana" w:cs="Times New Roman"/>
          <w:kern w:val="2"/>
          <w:u w:val="single"/>
          <w:lang w:val="es-ES"/>
          <w14:ligatures w14:val="standardContextual"/>
        </w:rPr>
        <w:t>ColombiaCompraEficiente</w:t>
      </w:r>
      <w:proofErr w:type="spellEnd"/>
    </w:p>
    <w:p w14:paraId="2C56477E" w14:textId="77777777" w:rsidR="00117A8C" w:rsidRPr="00117A8C" w:rsidRDefault="00117A8C" w:rsidP="00117A8C">
      <w:pPr>
        <w:spacing w:after="0" w:line="240" w:lineRule="auto"/>
        <w:jc w:val="both"/>
        <w:rPr>
          <w:rFonts w:ascii="Verdana" w:eastAsia="Calibri" w:hAnsi="Verdana" w:cs="Times New Roman"/>
          <w:kern w:val="2"/>
          <w:lang w:val="es-ES_tradnl"/>
          <w14:ligatures w14:val="standardContextual"/>
        </w:rPr>
      </w:pPr>
      <w:r w:rsidRPr="00117A8C">
        <w:rPr>
          <w:rFonts w:ascii="Verdana" w:eastAsia="Calibri" w:hAnsi="Verdana" w:cs="Times New Roman"/>
          <w:kern w:val="2"/>
          <w:lang w:val="es-ES_tradnl"/>
          <w14:ligatures w14:val="standardContextual"/>
        </w:rPr>
        <w:t xml:space="preserve">LinkedIn: </w:t>
      </w:r>
      <w:r w:rsidRPr="00117A8C">
        <w:rPr>
          <w:rFonts w:ascii="Verdana" w:eastAsia="Calibri" w:hAnsi="Verdana" w:cs="Times New Roman"/>
          <w:kern w:val="2"/>
          <w:u w:val="single"/>
          <w:lang w:val="es-ES_tradnl"/>
          <w14:ligatures w14:val="standardContextual"/>
        </w:rPr>
        <w:t>Agencia Nacional de Contratación Pública - Colombia Compra Eficiente</w:t>
      </w:r>
      <w:r w:rsidRPr="00117A8C">
        <w:rPr>
          <w:rFonts w:ascii="Verdana" w:eastAsia="Calibri" w:hAnsi="Verdana" w:cs="Times New Roman"/>
          <w:kern w:val="2"/>
          <w:lang w:val="es-ES_tradnl"/>
          <w14:ligatures w14:val="standardContextual"/>
        </w:rPr>
        <w:t xml:space="preserve"> Instagram: </w:t>
      </w:r>
      <w:r w:rsidRPr="00117A8C">
        <w:rPr>
          <w:rFonts w:ascii="Verdana" w:eastAsia="Calibri" w:hAnsi="Verdana" w:cs="Times New Roman"/>
          <w:kern w:val="2"/>
          <w:u w:val="single"/>
          <w:lang w:val="es-ES_tradnl"/>
          <w14:ligatures w14:val="standardContextual"/>
        </w:rPr>
        <w:t>@colombiacompraeficiente_cce</w:t>
      </w:r>
    </w:p>
    <w:p w14:paraId="05018485" w14:textId="77777777" w:rsidR="00117A8C" w:rsidRPr="00117A8C" w:rsidRDefault="00117A8C" w:rsidP="00117A8C">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26458A54" w14:textId="77777777" w:rsidR="00117A8C" w:rsidRPr="00117A8C" w:rsidRDefault="00117A8C" w:rsidP="00117A8C">
      <w:pPr>
        <w:widowControl w:val="0"/>
        <w:autoSpaceDE w:val="0"/>
        <w:autoSpaceDN w:val="0"/>
        <w:spacing w:after="0" w:line="276" w:lineRule="auto"/>
        <w:jc w:val="both"/>
        <w:rPr>
          <w:rFonts w:ascii="Verdana" w:eastAsia="Calibri" w:hAnsi="Verdana" w:cs="Arial"/>
          <w:kern w:val="2"/>
          <w:lang w:val="es-ES_tradnl"/>
          <w14:ligatures w14:val="standardContextual"/>
        </w:rPr>
      </w:pPr>
      <w:r w:rsidRPr="00117A8C">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4D89234" w14:textId="77777777" w:rsidR="00117A8C" w:rsidRPr="00117A8C" w:rsidRDefault="00117A8C" w:rsidP="00117A8C">
      <w:pPr>
        <w:widowControl w:val="0"/>
        <w:autoSpaceDE w:val="0"/>
        <w:autoSpaceDN w:val="0"/>
        <w:spacing w:after="0" w:line="276" w:lineRule="auto"/>
        <w:jc w:val="both"/>
        <w:rPr>
          <w:rFonts w:ascii="Verdana" w:eastAsia="Calibri" w:hAnsi="Verdana" w:cs="Arial"/>
          <w:lang w:val="es-ES_tradnl"/>
        </w:rPr>
      </w:pPr>
    </w:p>
    <w:p w14:paraId="136DBEFE" w14:textId="77777777" w:rsidR="00117A8C" w:rsidRPr="00117A8C" w:rsidRDefault="00117A8C" w:rsidP="00117A8C">
      <w:pPr>
        <w:spacing w:after="0" w:line="240" w:lineRule="auto"/>
        <w:rPr>
          <w:rFonts w:ascii="Verdana" w:eastAsia="Calibri" w:hAnsi="Verdana" w:cs="Arial"/>
          <w:lang w:val="es-ES_tradnl" w:eastAsia="es-CO"/>
        </w:rPr>
      </w:pPr>
      <w:r w:rsidRPr="00117A8C">
        <w:rPr>
          <w:rFonts w:ascii="Verdana" w:eastAsia="Times New Roman" w:hAnsi="Verdana" w:cs="Arial"/>
          <w:lang w:val="es-ES_tradnl" w:eastAsia="es-CO"/>
        </w:rPr>
        <w:t>Atentamente,</w:t>
      </w:r>
      <w:r w:rsidRPr="00117A8C">
        <w:rPr>
          <w:rFonts w:ascii="Verdana" w:eastAsia="Calibri" w:hAnsi="Verdana" w:cs="Arial"/>
          <w:lang w:val="es-ES_tradnl" w:eastAsia="es-CO"/>
        </w:rPr>
        <w:t xml:space="preserve"> </w:t>
      </w:r>
    </w:p>
    <w:p w14:paraId="7444D18A" w14:textId="3F15D0BA" w:rsidR="00117A8C" w:rsidRPr="00117A8C" w:rsidRDefault="00993761" w:rsidP="00117A8C">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42F55818" wp14:editId="59417978">
            <wp:extent cx="3486150" cy="1294101"/>
            <wp:effectExtent l="0" t="0" r="0" b="190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496489" cy="129793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17A8C" w:rsidRPr="00117A8C" w14:paraId="55DD4A3F" w14:textId="77777777" w:rsidTr="005F59EE">
        <w:trPr>
          <w:trHeight w:val="315"/>
        </w:trPr>
        <w:tc>
          <w:tcPr>
            <w:tcW w:w="893" w:type="dxa"/>
            <w:vAlign w:val="center"/>
            <w:hideMark/>
          </w:tcPr>
          <w:p w14:paraId="0F278EFA" w14:textId="77777777" w:rsidR="00117A8C" w:rsidRPr="00117A8C" w:rsidRDefault="00117A8C" w:rsidP="00117A8C">
            <w:pPr>
              <w:rPr>
                <w:rFonts w:ascii="Verdana" w:eastAsia="Calibri" w:hAnsi="Verdana" w:cs="Arial"/>
                <w:sz w:val="16"/>
                <w:szCs w:val="16"/>
                <w:lang w:val="es-ES_tradnl" w:eastAsia="es-ES"/>
              </w:rPr>
            </w:pPr>
            <w:r w:rsidRPr="00117A8C">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7BA4B966" w14:textId="77777777" w:rsidR="00117A8C" w:rsidRPr="00117A8C" w:rsidRDefault="00117A8C" w:rsidP="00117A8C">
            <w:pPr>
              <w:rPr>
                <w:rFonts w:ascii="Verdana" w:eastAsia="Arial" w:hAnsi="Verdana" w:cs="Arial"/>
                <w:sz w:val="16"/>
                <w:szCs w:val="16"/>
                <w:lang w:val="es-ES_tradnl"/>
              </w:rPr>
            </w:pPr>
            <w:r w:rsidRPr="00117A8C">
              <w:rPr>
                <w:rFonts w:ascii="Verdana" w:eastAsia="Arial" w:hAnsi="Verdana" w:cs="Arial"/>
                <w:sz w:val="16"/>
                <w:szCs w:val="16"/>
                <w:lang w:val="es-ES_tradnl"/>
              </w:rPr>
              <w:t>Kevin Arlid Herrera Santa</w:t>
            </w:r>
          </w:p>
          <w:p w14:paraId="7969812D" w14:textId="77777777" w:rsidR="00117A8C" w:rsidRPr="00117A8C" w:rsidRDefault="00117A8C" w:rsidP="00117A8C">
            <w:pPr>
              <w:rPr>
                <w:rFonts w:ascii="Verdana" w:eastAsia="Arial" w:hAnsi="Verdana" w:cs="Arial"/>
                <w:sz w:val="16"/>
                <w:szCs w:val="16"/>
                <w:lang w:val="es-ES_tradnl"/>
              </w:rPr>
            </w:pPr>
            <w:r w:rsidRPr="00117A8C">
              <w:rPr>
                <w:rFonts w:ascii="Verdana" w:eastAsia="Arial" w:hAnsi="Verdana" w:cs="Arial"/>
                <w:sz w:val="16"/>
                <w:szCs w:val="16"/>
                <w:lang w:val="es-ES_tradnl"/>
              </w:rPr>
              <w:t xml:space="preserve">Contratista de la Subdirección de Gestión Contractual </w:t>
            </w:r>
          </w:p>
          <w:p w14:paraId="5F8D96C1" w14:textId="77777777" w:rsidR="00117A8C" w:rsidRPr="00117A8C" w:rsidRDefault="00117A8C" w:rsidP="00117A8C">
            <w:pPr>
              <w:rPr>
                <w:rFonts w:ascii="Verdana" w:eastAsia="Arial" w:hAnsi="Verdana" w:cs="Arial"/>
                <w:sz w:val="16"/>
                <w:szCs w:val="16"/>
                <w:lang w:val="es-ES_tradnl"/>
              </w:rPr>
            </w:pPr>
          </w:p>
        </w:tc>
      </w:tr>
      <w:tr w:rsidR="00117A8C" w:rsidRPr="00117A8C" w14:paraId="45969FE6" w14:textId="77777777" w:rsidTr="005F59EE">
        <w:trPr>
          <w:trHeight w:val="330"/>
        </w:trPr>
        <w:tc>
          <w:tcPr>
            <w:tcW w:w="893" w:type="dxa"/>
            <w:vAlign w:val="center"/>
            <w:hideMark/>
          </w:tcPr>
          <w:p w14:paraId="25762E73" w14:textId="77777777" w:rsidR="00117A8C" w:rsidRPr="00117A8C" w:rsidRDefault="00117A8C" w:rsidP="00117A8C">
            <w:pPr>
              <w:rPr>
                <w:rFonts w:ascii="Verdana" w:eastAsia="Calibri" w:hAnsi="Verdana" w:cs="Arial"/>
                <w:sz w:val="16"/>
                <w:szCs w:val="16"/>
                <w:lang w:val="es-ES_tradnl" w:eastAsia="es-ES"/>
              </w:rPr>
            </w:pPr>
            <w:r w:rsidRPr="00117A8C">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41E0CA45" w14:textId="77777777" w:rsidR="00117A8C" w:rsidRPr="00117A8C" w:rsidRDefault="00117A8C" w:rsidP="00117A8C">
            <w:pPr>
              <w:textAlignment w:val="baseline"/>
              <w:rPr>
                <w:rFonts w:ascii="Verdana" w:eastAsia="Times New Roman" w:hAnsi="Verdana" w:cs="Segoe UI"/>
                <w:sz w:val="16"/>
                <w:szCs w:val="16"/>
                <w:lang w:val="es-ES_tradnl" w:eastAsia="es-ES_tradnl"/>
              </w:rPr>
            </w:pPr>
            <w:r w:rsidRPr="00117A8C">
              <w:rPr>
                <w:rFonts w:ascii="Verdana" w:eastAsia="Times New Roman" w:hAnsi="Verdana" w:cs="Segoe UI"/>
                <w:sz w:val="16"/>
                <w:szCs w:val="16"/>
                <w:lang w:val="es-ES_tradnl" w:eastAsia="es-ES_tradnl"/>
              </w:rPr>
              <w:t>Juan David Cárdenas Cabeza</w:t>
            </w:r>
          </w:p>
          <w:p w14:paraId="67BC8065" w14:textId="77777777" w:rsidR="00117A8C" w:rsidRPr="00117A8C" w:rsidRDefault="00117A8C" w:rsidP="00117A8C">
            <w:pPr>
              <w:textAlignment w:val="baseline"/>
              <w:rPr>
                <w:rFonts w:ascii="Verdana" w:eastAsia="Times New Roman" w:hAnsi="Verdana" w:cs="Segoe UI"/>
                <w:sz w:val="16"/>
                <w:szCs w:val="16"/>
                <w:lang w:val="es-ES_tradnl" w:eastAsia="es-ES_tradnl"/>
              </w:rPr>
            </w:pPr>
            <w:r w:rsidRPr="00117A8C">
              <w:rPr>
                <w:rFonts w:ascii="Verdana" w:eastAsia="Times New Roman" w:hAnsi="Verdana" w:cs="Arial"/>
                <w:sz w:val="16"/>
                <w:szCs w:val="16"/>
                <w:lang w:val="es-ES_tradnl" w:eastAsia="es-ES_tradnl"/>
              </w:rPr>
              <w:t>Contratista de la Subdirección de Gestión Contractual </w:t>
            </w:r>
          </w:p>
        </w:tc>
      </w:tr>
      <w:tr w:rsidR="00117A8C" w:rsidRPr="00117A8C" w14:paraId="49D7C7E5" w14:textId="77777777" w:rsidTr="005F59EE">
        <w:trPr>
          <w:trHeight w:val="300"/>
        </w:trPr>
        <w:tc>
          <w:tcPr>
            <w:tcW w:w="893" w:type="dxa"/>
            <w:vAlign w:val="center"/>
          </w:tcPr>
          <w:p w14:paraId="3E810209" w14:textId="77777777" w:rsidR="00117A8C" w:rsidRPr="00117A8C" w:rsidRDefault="00117A8C" w:rsidP="00117A8C">
            <w:pPr>
              <w:rPr>
                <w:rFonts w:ascii="Verdana" w:eastAsia="Calibri" w:hAnsi="Verdana" w:cs="Arial"/>
                <w:sz w:val="16"/>
                <w:szCs w:val="16"/>
                <w:lang w:val="es-ES_tradnl" w:eastAsia="es-ES"/>
              </w:rPr>
            </w:pPr>
            <w:r w:rsidRPr="00117A8C">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7637F80C" w14:textId="77777777" w:rsidR="00117A8C" w:rsidRPr="00117A8C" w:rsidRDefault="00117A8C" w:rsidP="00117A8C">
            <w:pPr>
              <w:rPr>
                <w:rFonts w:ascii="Verdana" w:eastAsia="Calibri" w:hAnsi="Verdana" w:cs="Arial"/>
                <w:sz w:val="16"/>
                <w:szCs w:val="16"/>
                <w:lang w:val="es-ES" w:eastAsia="es-ES"/>
              </w:rPr>
            </w:pPr>
            <w:r w:rsidRPr="00117A8C">
              <w:rPr>
                <w:rFonts w:ascii="Verdana" w:eastAsia="Calibri" w:hAnsi="Verdana" w:cs="Arial"/>
                <w:sz w:val="16"/>
                <w:szCs w:val="16"/>
                <w:lang w:val="es-ES" w:eastAsia="es-ES"/>
              </w:rPr>
              <w:t xml:space="preserve">Carolina Quintero </w:t>
            </w:r>
            <w:proofErr w:type="spellStart"/>
            <w:r w:rsidRPr="00117A8C">
              <w:rPr>
                <w:rFonts w:ascii="Verdana" w:eastAsia="Calibri" w:hAnsi="Verdana" w:cs="Arial"/>
                <w:sz w:val="16"/>
                <w:szCs w:val="16"/>
                <w:lang w:val="es-ES" w:eastAsia="es-ES"/>
              </w:rPr>
              <w:t>Gacharná</w:t>
            </w:r>
            <w:proofErr w:type="spellEnd"/>
          </w:p>
          <w:p w14:paraId="5C33C9F6" w14:textId="77777777" w:rsidR="00117A8C" w:rsidRPr="00117A8C" w:rsidRDefault="00117A8C" w:rsidP="00117A8C">
            <w:pPr>
              <w:rPr>
                <w:rFonts w:ascii="Verdana" w:eastAsia="Calibri" w:hAnsi="Verdana" w:cs="Arial"/>
                <w:sz w:val="16"/>
                <w:szCs w:val="16"/>
                <w:lang w:val="es-ES_tradnl" w:eastAsia="es-ES"/>
              </w:rPr>
            </w:pPr>
            <w:r w:rsidRPr="00117A8C">
              <w:rPr>
                <w:rFonts w:ascii="Verdana" w:eastAsia="Calibri" w:hAnsi="Verdana" w:cs="Arial"/>
                <w:sz w:val="16"/>
                <w:szCs w:val="16"/>
                <w:lang w:val="es-ES_tradnl" w:eastAsia="es-ES"/>
              </w:rPr>
              <w:t>Subdirectora de Gestión Contractual ANCP – CCE</w:t>
            </w:r>
          </w:p>
        </w:tc>
      </w:tr>
    </w:tbl>
    <w:p w14:paraId="761C7ABF" w14:textId="77777777" w:rsidR="00117A8C" w:rsidRPr="00117A8C" w:rsidRDefault="00117A8C" w:rsidP="00117A8C">
      <w:pPr>
        <w:spacing w:after="0" w:line="240" w:lineRule="auto"/>
        <w:rPr>
          <w:rFonts w:ascii="Aptos" w:eastAsia="Aptos" w:hAnsi="Aptos" w:cs="Times New Roman"/>
          <w:kern w:val="2"/>
          <w:sz w:val="24"/>
          <w:szCs w:val="24"/>
          <w:lang w:val="es-ES_tradnl"/>
          <w14:ligatures w14:val="standardContextual"/>
        </w:rPr>
      </w:pPr>
    </w:p>
    <w:p w14:paraId="0465BA6D" w14:textId="77777777" w:rsidR="00E245AB" w:rsidRPr="0044528D" w:rsidRDefault="00E245AB" w:rsidP="00E245AB">
      <w:pPr>
        <w:spacing w:after="0"/>
        <w:rPr>
          <w:rFonts w:ascii="Verdana" w:hAnsi="Verdana"/>
        </w:rPr>
      </w:pPr>
    </w:p>
    <w:bookmarkEnd w:id="0"/>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11AB5" w14:textId="77777777" w:rsidR="00ED7384" w:rsidRDefault="00ED7384" w:rsidP="004A1847">
      <w:pPr>
        <w:spacing w:after="0" w:line="240" w:lineRule="auto"/>
      </w:pPr>
      <w:r>
        <w:separator/>
      </w:r>
    </w:p>
  </w:endnote>
  <w:endnote w:type="continuationSeparator" w:id="0">
    <w:p w14:paraId="1632CCE7"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47D43" w14:textId="77777777" w:rsidR="00ED7384" w:rsidRDefault="00ED7384" w:rsidP="004A1847">
      <w:pPr>
        <w:spacing w:after="0" w:line="240" w:lineRule="auto"/>
      </w:pPr>
      <w:r>
        <w:separator/>
      </w:r>
    </w:p>
  </w:footnote>
  <w:footnote w:type="continuationSeparator" w:id="0">
    <w:p w14:paraId="1B560486" w14:textId="77777777" w:rsidR="00ED7384" w:rsidRDefault="00ED7384"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7" type="#_x0000_t75" style="width:11.45pt;height:11.4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17A8C"/>
    <w:rsid w:val="00125105"/>
    <w:rsid w:val="00127233"/>
    <w:rsid w:val="001511A0"/>
    <w:rsid w:val="00153D87"/>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35D8E"/>
    <w:rsid w:val="0044528D"/>
    <w:rsid w:val="004A1847"/>
    <w:rsid w:val="004A305D"/>
    <w:rsid w:val="004F21C4"/>
    <w:rsid w:val="004F685F"/>
    <w:rsid w:val="005566E8"/>
    <w:rsid w:val="00574867"/>
    <w:rsid w:val="005776D9"/>
    <w:rsid w:val="00591460"/>
    <w:rsid w:val="005B3816"/>
    <w:rsid w:val="005C3777"/>
    <w:rsid w:val="005C5CDC"/>
    <w:rsid w:val="005D476C"/>
    <w:rsid w:val="006219F8"/>
    <w:rsid w:val="00665D70"/>
    <w:rsid w:val="006900D9"/>
    <w:rsid w:val="00706C16"/>
    <w:rsid w:val="00756841"/>
    <w:rsid w:val="007649AB"/>
    <w:rsid w:val="00771D0C"/>
    <w:rsid w:val="007833AC"/>
    <w:rsid w:val="00783E0E"/>
    <w:rsid w:val="007B268C"/>
    <w:rsid w:val="007B7171"/>
    <w:rsid w:val="007C0C0F"/>
    <w:rsid w:val="007C3DC2"/>
    <w:rsid w:val="007E5497"/>
    <w:rsid w:val="007E6750"/>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93761"/>
    <w:rsid w:val="009A0DFA"/>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C3D36"/>
    <w:rsid w:val="00BC6DA4"/>
    <w:rsid w:val="00BD7F72"/>
    <w:rsid w:val="00C04FB3"/>
    <w:rsid w:val="00C330EB"/>
    <w:rsid w:val="00C41061"/>
    <w:rsid w:val="00C754BE"/>
    <w:rsid w:val="00C76B1C"/>
    <w:rsid w:val="00CB6357"/>
    <w:rsid w:val="00CC1B26"/>
    <w:rsid w:val="00D423A2"/>
    <w:rsid w:val="00D520D8"/>
    <w:rsid w:val="00D627B0"/>
    <w:rsid w:val="00D63AC2"/>
    <w:rsid w:val="00D7383B"/>
    <w:rsid w:val="00DA231B"/>
    <w:rsid w:val="00DC39FC"/>
    <w:rsid w:val="00DF5254"/>
    <w:rsid w:val="00E06E57"/>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C1D6F5-73A3-4456-A91C-01C4FF296AA8}"/>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592fe157-d5c2-474d-aeb4-2e8e8fcba8d3"/>
    <ds:schemaRef ds:uri="8ae15d26-076e-464e-81a7-6f76a0fb391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2954</Words>
  <Characters>16250</Characters>
  <Application>Microsoft Office Word</Application>
  <DocSecurity>0</DocSecurity>
  <Lines>135</Lines>
  <Paragraphs>38</Paragraphs>
  <ScaleCrop>false</ScaleCrop>
  <Company/>
  <LinksUpToDate>false</LinksUpToDate>
  <CharactersWithSpaces>19166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2023-01-10T21:18:00Z</cp:lastPrinted>
  <dcterms:created xsi:type="dcterms:W3CDTF">2025-07-05T00:54:00Z</dcterms:created>
  <dcterms:modified xsi:type="dcterms:W3CDTF">2025-07-05T00:58:00Z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