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2227" w14:textId="77777777" w:rsidR="006C42E6" w:rsidRPr="0044528D" w:rsidRDefault="006C42E6" w:rsidP="006C42E6">
      <w:pPr>
        <w:spacing w:after="0"/>
        <w:rPr>
          <w:rFonts w:ascii="Verdana" w:hAnsi="Verdana"/>
        </w:rPr>
      </w:pPr>
    </w:p>
    <w:p w14:paraId="16CF021F" w14:textId="77777777" w:rsidR="006C42E6" w:rsidRPr="001168FA" w:rsidRDefault="006C42E6" w:rsidP="006C42E6">
      <w:pPr>
        <w:spacing w:after="0" w:line="240" w:lineRule="auto"/>
        <w:jc w:val="both"/>
        <w:rPr>
          <w:rFonts w:ascii="Verdana" w:eastAsia="Calibri" w:hAnsi="Verdana" w:cs="Arial"/>
          <w:b/>
          <w:lang w:val="es-ES" w:eastAsia="es-ES"/>
        </w:rPr>
      </w:pPr>
      <w:r w:rsidRPr="001168FA">
        <w:rPr>
          <w:rFonts w:ascii="Verdana" w:eastAsia="Calibri" w:hAnsi="Verdana" w:cs="Arial"/>
          <w:b/>
          <w:lang w:val="es-ES" w:eastAsia="es-ES"/>
        </w:rPr>
        <w:t xml:space="preserve">CONTRATACIÓN PÚBLICA – Principio de publicidad – Principio de transparencia – Uso del </w:t>
      </w:r>
      <w:r>
        <w:rPr>
          <w:rFonts w:ascii="Verdana" w:eastAsia="Calibri" w:hAnsi="Verdana" w:cs="Arial"/>
          <w:b/>
          <w:lang w:val="es-ES" w:eastAsia="es-ES"/>
        </w:rPr>
        <w:t>SECOP</w:t>
      </w:r>
      <w:r w:rsidRPr="001168FA">
        <w:rPr>
          <w:rFonts w:ascii="Verdana" w:eastAsia="Calibri" w:hAnsi="Verdana" w:cs="Arial"/>
          <w:b/>
          <w:lang w:val="es-ES" w:eastAsia="es-ES"/>
        </w:rPr>
        <w:t xml:space="preserve"> </w:t>
      </w:r>
    </w:p>
    <w:p w14:paraId="1E910B79" w14:textId="77777777" w:rsidR="006C42E6" w:rsidRPr="0047490F" w:rsidRDefault="006C42E6" w:rsidP="006C42E6">
      <w:pPr>
        <w:spacing w:after="0" w:line="240" w:lineRule="auto"/>
        <w:jc w:val="both"/>
        <w:rPr>
          <w:rFonts w:ascii="Verdana" w:eastAsia="Calibri" w:hAnsi="Verdana" w:cs="Arial"/>
          <w:b/>
          <w:bCs/>
          <w:sz w:val="20"/>
          <w:szCs w:val="20"/>
          <w:highlight w:val="yellow"/>
          <w:lang w:val="es-ES_tradnl" w:eastAsia="es-ES_tradnl"/>
        </w:rPr>
      </w:pPr>
    </w:p>
    <w:p w14:paraId="3D71DAE1" w14:textId="77777777" w:rsidR="006C42E6" w:rsidRPr="001404CC" w:rsidRDefault="006C42E6" w:rsidP="006C42E6">
      <w:pPr>
        <w:spacing w:after="0" w:line="240" w:lineRule="auto"/>
        <w:jc w:val="both"/>
        <w:rPr>
          <w:rFonts w:ascii="Verdana" w:eastAsia="Aptos" w:hAnsi="Verdana" w:cs="Times New Roman"/>
          <w:sz w:val="20"/>
          <w:szCs w:val="20"/>
        </w:rPr>
      </w:pPr>
      <w:r w:rsidRPr="001404CC">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53E6ACE0" w14:textId="77777777" w:rsidR="006C42E6" w:rsidRPr="001404CC" w:rsidRDefault="006C42E6" w:rsidP="006C42E6">
      <w:pPr>
        <w:spacing w:after="0" w:line="240" w:lineRule="auto"/>
        <w:jc w:val="both"/>
        <w:rPr>
          <w:rFonts w:ascii="Verdana" w:eastAsia="Aptos" w:hAnsi="Verdana" w:cs="Times New Roman"/>
          <w:sz w:val="20"/>
          <w:szCs w:val="20"/>
        </w:rPr>
      </w:pPr>
    </w:p>
    <w:p w14:paraId="5382DD9F" w14:textId="77777777" w:rsidR="006C42E6" w:rsidRDefault="006C42E6" w:rsidP="006C42E6">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r w:rsidRPr="001404CC">
        <w:rPr>
          <w:rFonts w:ascii="Verdana" w:eastAsia="Aptos" w:hAnsi="Verdana" w:cs="Times New Roman"/>
          <w:sz w:val="20"/>
          <w:szCs w:val="20"/>
        </w:rPr>
        <w:t xml:space="preserv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 deben publicar la información relativa a su contratación. Esta obligación fue desarrollada por el Decreto Único Reglamentario 1082 de 2015, el cual dispuso que la publicación de la información contractual de los sujetos obligados, que contratan con cargo a recursos públicos, debe hacerse en el SECOP</w:t>
      </w:r>
      <w:r>
        <w:rPr>
          <w:rFonts w:ascii="Verdana" w:eastAsia="Aptos" w:hAnsi="Verdana" w:cs="Times New Roman"/>
          <w:sz w:val="20"/>
          <w:szCs w:val="20"/>
        </w:rPr>
        <w:t>.</w:t>
      </w:r>
    </w:p>
    <w:p w14:paraId="5E7D0B34" w14:textId="77777777" w:rsidR="006C42E6" w:rsidRPr="0047490F" w:rsidRDefault="006C42E6" w:rsidP="006C42E6">
      <w:pPr>
        <w:spacing w:after="0" w:line="240" w:lineRule="auto"/>
        <w:jc w:val="both"/>
        <w:rPr>
          <w:rFonts w:ascii="Verdana" w:eastAsia="Aptos" w:hAnsi="Verdana" w:cs="Times New Roman"/>
          <w:sz w:val="20"/>
          <w:szCs w:val="20"/>
          <w:highlight w:val="yellow"/>
        </w:rPr>
      </w:pPr>
    </w:p>
    <w:p w14:paraId="7E23C00D" w14:textId="77777777" w:rsidR="006C42E6" w:rsidRPr="00724F0F" w:rsidRDefault="006C42E6" w:rsidP="006C42E6">
      <w:pPr>
        <w:spacing w:after="0" w:line="240" w:lineRule="auto"/>
        <w:jc w:val="both"/>
        <w:rPr>
          <w:rFonts w:ascii="Verdana" w:eastAsia="Calibri" w:hAnsi="Verdana" w:cs="Arial"/>
          <w:b/>
          <w:bCs/>
          <w:lang w:val="es-ES" w:eastAsia="es-ES"/>
        </w:rPr>
      </w:pPr>
      <w:r w:rsidRPr="00724F0F">
        <w:rPr>
          <w:rFonts w:ascii="Verdana" w:eastAsia="Calibri" w:hAnsi="Verdana" w:cs="Arial"/>
          <w:b/>
          <w:bCs/>
          <w:lang w:val="es-ES" w:eastAsia="es-ES"/>
        </w:rPr>
        <w:t>ENTIDADES CON RÉGIMEN ESPECIAL DE CONTRATACIÓN – Publicación en SECOP – Actividad contractual – Término para publicar – Circular Externa No. 002 de 2024</w:t>
      </w:r>
    </w:p>
    <w:p w14:paraId="3C8B9DB9" w14:textId="77777777" w:rsidR="006C42E6" w:rsidRPr="0047490F" w:rsidRDefault="006C42E6" w:rsidP="006C42E6">
      <w:pPr>
        <w:spacing w:after="0" w:line="240" w:lineRule="auto"/>
        <w:jc w:val="both"/>
        <w:rPr>
          <w:rFonts w:ascii="Verdana" w:eastAsia="Calibri" w:hAnsi="Verdana" w:cs="Arial"/>
          <w:b/>
          <w:bCs/>
          <w:sz w:val="20"/>
          <w:szCs w:val="20"/>
          <w:highlight w:val="yellow"/>
          <w:lang w:val="es-ES_tradnl" w:eastAsia="es-ES_tradnl"/>
        </w:rPr>
      </w:pPr>
    </w:p>
    <w:p w14:paraId="532E845E" w14:textId="77777777" w:rsidR="006C42E6" w:rsidRPr="0047490F" w:rsidRDefault="006C42E6" w:rsidP="006C42E6">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65EEE">
        <w:rPr>
          <w:rFonts w:ascii="Verdana" w:eastAsia="Aptos" w:hAnsi="Verdana" w:cs="Times New Roman"/>
          <w:sz w:val="20"/>
          <w:szCs w:val="20"/>
        </w:rPr>
        <w:t xml:space="preserve">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w:t>
      </w:r>
      <w:r w:rsidRPr="00E65EEE">
        <w:rPr>
          <w:rFonts w:ascii="Verdana" w:eastAsia="Aptos" w:hAnsi="Verdana" w:cs="Times New Roman"/>
          <w:sz w:val="20"/>
          <w:szCs w:val="20"/>
        </w:rPr>
        <w:lastRenderedPageBreak/>
        <w:t>su publicidad, las entidades deberán proceder de conformidad con el tratamiento que impongan tales normas.</w:t>
      </w:r>
    </w:p>
    <w:p w14:paraId="3A98F2E6" w14:textId="77777777" w:rsidR="006C42E6" w:rsidRDefault="006C42E6" w:rsidP="006C42E6">
      <w:pPr>
        <w:spacing w:after="0" w:line="240" w:lineRule="auto"/>
        <w:rPr>
          <w:rFonts w:ascii="Verdana" w:eastAsia="Aptos" w:hAnsi="Verdana" w:cs="Times New Roman"/>
          <w:sz w:val="20"/>
          <w:szCs w:val="20"/>
        </w:rPr>
      </w:pPr>
      <w:r>
        <w:rPr>
          <w:rFonts w:ascii="Verdana" w:eastAsia="Aptos" w:hAnsi="Verdana" w:cs="Times New Roman"/>
          <w:sz w:val="20"/>
          <w:szCs w:val="20"/>
        </w:rPr>
        <w:t>[…]</w:t>
      </w:r>
    </w:p>
    <w:p w14:paraId="18AB38D9" w14:textId="77777777" w:rsidR="006C42E6" w:rsidRPr="0047490F" w:rsidRDefault="006C42E6" w:rsidP="006C42E6">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65EEE">
        <w:rPr>
          <w:rFonts w:ascii="Verdana" w:eastAsia="Aptos" w:hAnsi="Verdana" w:cs="Times New Roman"/>
          <w:sz w:val="20"/>
          <w:szCs w:val="20"/>
        </w:rPr>
        <w:t>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7BB0A7C2" w14:textId="77777777" w:rsidR="006C42E6" w:rsidRPr="0047490F" w:rsidRDefault="006C42E6" w:rsidP="006C42E6">
      <w:pPr>
        <w:spacing w:after="0" w:line="240" w:lineRule="auto"/>
        <w:rPr>
          <w:rFonts w:ascii="Verdana" w:eastAsia="Aptos" w:hAnsi="Verdana" w:cs="Times New Roman"/>
          <w:sz w:val="20"/>
          <w:szCs w:val="20"/>
        </w:rPr>
      </w:pPr>
    </w:p>
    <w:p w14:paraId="5F6D5DCF" w14:textId="77777777" w:rsidR="003A0817" w:rsidRDefault="003A0817" w:rsidP="00871B59">
      <w:pPr>
        <w:spacing w:after="0" w:line="240" w:lineRule="auto"/>
        <w:rPr>
          <w:rFonts w:ascii="Verdana" w:eastAsia="Geomanist Light" w:hAnsi="Verdana" w:cs="Arial"/>
          <w:color w:val="000000" w:themeColor="text1"/>
        </w:rPr>
      </w:pPr>
    </w:p>
    <w:p w14:paraId="564898EB" w14:textId="77777777" w:rsidR="006C42E6" w:rsidRDefault="006C42E6" w:rsidP="00871B59">
      <w:pPr>
        <w:spacing w:after="0" w:line="240" w:lineRule="auto"/>
        <w:rPr>
          <w:rFonts w:ascii="Verdana" w:eastAsia="Geomanist Light" w:hAnsi="Verdana" w:cs="Arial"/>
          <w:color w:val="000000" w:themeColor="text1"/>
        </w:rPr>
      </w:pPr>
    </w:p>
    <w:p w14:paraId="60FA23BD" w14:textId="77777777" w:rsidR="006C42E6" w:rsidRDefault="006C42E6" w:rsidP="00871B59">
      <w:pPr>
        <w:spacing w:after="0" w:line="240" w:lineRule="auto"/>
        <w:rPr>
          <w:rFonts w:ascii="Verdana" w:eastAsia="Geomanist Light" w:hAnsi="Verdana" w:cs="Arial"/>
          <w:color w:val="000000" w:themeColor="text1"/>
        </w:rPr>
      </w:pPr>
    </w:p>
    <w:p w14:paraId="0690EC5E" w14:textId="77777777" w:rsidR="006C42E6" w:rsidRDefault="006C42E6" w:rsidP="00871B59">
      <w:pPr>
        <w:spacing w:after="0" w:line="240" w:lineRule="auto"/>
        <w:rPr>
          <w:rFonts w:ascii="Verdana" w:eastAsia="Geomanist Light" w:hAnsi="Verdana" w:cs="Arial"/>
          <w:color w:val="000000" w:themeColor="text1"/>
        </w:rPr>
      </w:pPr>
    </w:p>
    <w:p w14:paraId="2A394017" w14:textId="77777777" w:rsidR="006C42E6" w:rsidRDefault="006C42E6" w:rsidP="00871B59">
      <w:pPr>
        <w:spacing w:after="0" w:line="240" w:lineRule="auto"/>
        <w:rPr>
          <w:rFonts w:ascii="Verdana" w:eastAsia="Geomanist Light" w:hAnsi="Verdana" w:cs="Arial"/>
          <w:color w:val="000000" w:themeColor="text1"/>
        </w:rPr>
      </w:pPr>
    </w:p>
    <w:p w14:paraId="018A703F" w14:textId="77777777" w:rsidR="006C42E6" w:rsidRDefault="006C42E6" w:rsidP="00871B59">
      <w:pPr>
        <w:spacing w:after="0" w:line="240" w:lineRule="auto"/>
        <w:rPr>
          <w:rFonts w:ascii="Verdana" w:eastAsia="Geomanist Light" w:hAnsi="Verdana" w:cs="Arial"/>
          <w:color w:val="000000" w:themeColor="text1"/>
        </w:rPr>
      </w:pPr>
    </w:p>
    <w:p w14:paraId="33C91D84" w14:textId="77777777" w:rsidR="006C42E6" w:rsidRDefault="006C42E6" w:rsidP="00871B59">
      <w:pPr>
        <w:spacing w:after="0" w:line="240" w:lineRule="auto"/>
        <w:rPr>
          <w:rFonts w:ascii="Verdana" w:eastAsia="Geomanist Light" w:hAnsi="Verdana" w:cs="Arial"/>
          <w:color w:val="000000" w:themeColor="text1"/>
        </w:rPr>
      </w:pPr>
    </w:p>
    <w:p w14:paraId="10068FEB" w14:textId="77777777" w:rsidR="006C42E6" w:rsidRDefault="006C42E6" w:rsidP="00871B59">
      <w:pPr>
        <w:spacing w:after="0" w:line="240" w:lineRule="auto"/>
        <w:rPr>
          <w:rFonts w:ascii="Verdana" w:eastAsia="Geomanist Light" w:hAnsi="Verdana" w:cs="Arial"/>
          <w:color w:val="000000" w:themeColor="text1"/>
        </w:rPr>
      </w:pPr>
    </w:p>
    <w:p w14:paraId="379A2D87" w14:textId="77777777" w:rsidR="006C42E6" w:rsidRDefault="006C42E6" w:rsidP="00871B59">
      <w:pPr>
        <w:spacing w:after="0" w:line="240" w:lineRule="auto"/>
        <w:rPr>
          <w:rFonts w:ascii="Verdana" w:eastAsia="Geomanist Light" w:hAnsi="Verdana" w:cs="Arial"/>
          <w:color w:val="000000" w:themeColor="text1"/>
        </w:rPr>
      </w:pPr>
    </w:p>
    <w:p w14:paraId="6DC4A505" w14:textId="77777777" w:rsidR="006C42E6" w:rsidRDefault="006C42E6" w:rsidP="00871B59">
      <w:pPr>
        <w:spacing w:after="0" w:line="240" w:lineRule="auto"/>
        <w:rPr>
          <w:rFonts w:ascii="Verdana" w:eastAsia="Geomanist Light" w:hAnsi="Verdana" w:cs="Arial"/>
          <w:color w:val="000000" w:themeColor="text1"/>
        </w:rPr>
      </w:pPr>
    </w:p>
    <w:p w14:paraId="7108070B" w14:textId="77777777" w:rsidR="006C42E6" w:rsidRDefault="006C42E6" w:rsidP="00871B59">
      <w:pPr>
        <w:spacing w:after="0" w:line="240" w:lineRule="auto"/>
        <w:rPr>
          <w:rFonts w:ascii="Verdana" w:eastAsia="Geomanist Light" w:hAnsi="Verdana" w:cs="Arial"/>
          <w:color w:val="000000" w:themeColor="text1"/>
        </w:rPr>
      </w:pPr>
    </w:p>
    <w:p w14:paraId="7DAF0F72" w14:textId="77777777" w:rsidR="006C42E6" w:rsidRDefault="006C42E6" w:rsidP="00871B59">
      <w:pPr>
        <w:spacing w:after="0" w:line="240" w:lineRule="auto"/>
        <w:rPr>
          <w:rFonts w:ascii="Verdana" w:eastAsia="Geomanist Light" w:hAnsi="Verdana" w:cs="Arial"/>
          <w:color w:val="000000" w:themeColor="text1"/>
        </w:rPr>
      </w:pPr>
    </w:p>
    <w:p w14:paraId="099C0863" w14:textId="77777777" w:rsidR="006C42E6" w:rsidRDefault="006C42E6" w:rsidP="00871B59">
      <w:pPr>
        <w:spacing w:after="0" w:line="240" w:lineRule="auto"/>
        <w:rPr>
          <w:rFonts w:ascii="Verdana" w:eastAsia="Geomanist Light" w:hAnsi="Verdana" w:cs="Arial"/>
          <w:color w:val="000000" w:themeColor="text1"/>
        </w:rPr>
      </w:pPr>
    </w:p>
    <w:p w14:paraId="41B358A5" w14:textId="77777777" w:rsidR="006C42E6" w:rsidRDefault="006C42E6" w:rsidP="00871B59">
      <w:pPr>
        <w:spacing w:after="0" w:line="240" w:lineRule="auto"/>
        <w:rPr>
          <w:rFonts w:ascii="Verdana" w:eastAsia="Geomanist Light" w:hAnsi="Verdana" w:cs="Arial"/>
          <w:color w:val="000000" w:themeColor="text1"/>
        </w:rPr>
      </w:pPr>
    </w:p>
    <w:p w14:paraId="2E6BCBDC" w14:textId="77777777" w:rsidR="006C42E6" w:rsidRDefault="006C42E6" w:rsidP="00871B59">
      <w:pPr>
        <w:spacing w:after="0" w:line="240" w:lineRule="auto"/>
        <w:rPr>
          <w:rFonts w:ascii="Verdana" w:eastAsia="Geomanist Light" w:hAnsi="Verdana" w:cs="Arial"/>
          <w:color w:val="000000" w:themeColor="text1"/>
        </w:rPr>
      </w:pPr>
    </w:p>
    <w:p w14:paraId="4270905E" w14:textId="77777777" w:rsidR="006C42E6" w:rsidRDefault="006C42E6" w:rsidP="00871B59">
      <w:pPr>
        <w:spacing w:after="0" w:line="240" w:lineRule="auto"/>
        <w:rPr>
          <w:rFonts w:ascii="Verdana" w:eastAsia="Geomanist Light" w:hAnsi="Verdana" w:cs="Arial"/>
          <w:color w:val="000000" w:themeColor="text1"/>
        </w:rPr>
      </w:pPr>
    </w:p>
    <w:p w14:paraId="28FB5503" w14:textId="77777777" w:rsidR="006C42E6" w:rsidRDefault="006C42E6" w:rsidP="00871B59">
      <w:pPr>
        <w:spacing w:after="0" w:line="240" w:lineRule="auto"/>
        <w:rPr>
          <w:rFonts w:ascii="Verdana" w:eastAsia="Geomanist Light" w:hAnsi="Verdana" w:cs="Arial"/>
          <w:color w:val="000000" w:themeColor="text1"/>
        </w:rPr>
      </w:pPr>
    </w:p>
    <w:p w14:paraId="0E9D528D" w14:textId="77777777" w:rsidR="006C42E6" w:rsidRDefault="006C42E6" w:rsidP="00871B59">
      <w:pPr>
        <w:spacing w:after="0" w:line="240" w:lineRule="auto"/>
        <w:rPr>
          <w:rFonts w:ascii="Verdana" w:eastAsia="Geomanist Light" w:hAnsi="Verdana" w:cs="Arial"/>
          <w:color w:val="000000" w:themeColor="text1"/>
        </w:rPr>
      </w:pPr>
    </w:p>
    <w:p w14:paraId="480D554E" w14:textId="77777777" w:rsidR="006C42E6" w:rsidRDefault="006C42E6" w:rsidP="00871B59">
      <w:pPr>
        <w:spacing w:after="0" w:line="240" w:lineRule="auto"/>
        <w:rPr>
          <w:rFonts w:ascii="Verdana" w:eastAsia="Geomanist Light" w:hAnsi="Verdana" w:cs="Arial"/>
          <w:color w:val="000000" w:themeColor="text1"/>
        </w:rPr>
      </w:pPr>
    </w:p>
    <w:p w14:paraId="6B877C78" w14:textId="77777777" w:rsidR="006C42E6" w:rsidRDefault="006C42E6" w:rsidP="00871B59">
      <w:pPr>
        <w:spacing w:after="0" w:line="240" w:lineRule="auto"/>
        <w:rPr>
          <w:rFonts w:ascii="Verdana" w:eastAsia="Geomanist Light" w:hAnsi="Verdana" w:cs="Arial"/>
          <w:color w:val="000000" w:themeColor="text1"/>
        </w:rPr>
      </w:pPr>
    </w:p>
    <w:p w14:paraId="01C6E678" w14:textId="77777777" w:rsidR="006C42E6" w:rsidRDefault="006C42E6" w:rsidP="00871B59">
      <w:pPr>
        <w:spacing w:after="0" w:line="240" w:lineRule="auto"/>
        <w:rPr>
          <w:rFonts w:ascii="Verdana" w:eastAsia="Geomanist Light" w:hAnsi="Verdana" w:cs="Arial"/>
          <w:color w:val="000000" w:themeColor="text1"/>
        </w:rPr>
      </w:pPr>
    </w:p>
    <w:p w14:paraId="5C3B7549" w14:textId="77777777" w:rsidR="006C42E6" w:rsidRDefault="006C42E6" w:rsidP="00871B59">
      <w:pPr>
        <w:spacing w:after="0" w:line="240" w:lineRule="auto"/>
        <w:rPr>
          <w:rFonts w:ascii="Verdana" w:eastAsia="Geomanist Light" w:hAnsi="Verdana" w:cs="Arial"/>
          <w:color w:val="000000" w:themeColor="text1"/>
        </w:rPr>
      </w:pPr>
    </w:p>
    <w:p w14:paraId="19E6EAC3" w14:textId="77777777" w:rsidR="006C42E6" w:rsidRDefault="006C42E6" w:rsidP="00871B59">
      <w:pPr>
        <w:spacing w:after="0" w:line="240" w:lineRule="auto"/>
        <w:rPr>
          <w:rFonts w:ascii="Verdana" w:eastAsia="Geomanist Light" w:hAnsi="Verdana" w:cs="Arial"/>
          <w:color w:val="000000" w:themeColor="text1"/>
        </w:rPr>
      </w:pPr>
    </w:p>
    <w:p w14:paraId="1D483E9D" w14:textId="77777777" w:rsidR="006C42E6" w:rsidRDefault="006C42E6" w:rsidP="00871B59">
      <w:pPr>
        <w:spacing w:after="0" w:line="240" w:lineRule="auto"/>
        <w:rPr>
          <w:rFonts w:ascii="Verdana" w:eastAsia="Geomanist Light" w:hAnsi="Verdana" w:cs="Arial"/>
          <w:color w:val="000000" w:themeColor="text1"/>
        </w:rPr>
      </w:pPr>
    </w:p>
    <w:p w14:paraId="6D97F0EE" w14:textId="77777777" w:rsidR="006C42E6" w:rsidRDefault="006C42E6" w:rsidP="00871B59">
      <w:pPr>
        <w:spacing w:after="0" w:line="240" w:lineRule="auto"/>
        <w:rPr>
          <w:rFonts w:ascii="Verdana" w:eastAsia="Geomanist Light" w:hAnsi="Verdana" w:cs="Arial"/>
          <w:color w:val="000000" w:themeColor="text1"/>
        </w:rPr>
      </w:pPr>
    </w:p>
    <w:p w14:paraId="7DDBF9E1" w14:textId="77777777" w:rsidR="006C42E6" w:rsidRPr="00104073" w:rsidRDefault="006C42E6" w:rsidP="00871B59">
      <w:pPr>
        <w:spacing w:after="0" w:line="240" w:lineRule="auto"/>
        <w:rPr>
          <w:rFonts w:ascii="Verdana" w:eastAsia="Geomanist Light" w:hAnsi="Verdana" w:cs="Arial"/>
          <w:color w:val="000000" w:themeColor="text1"/>
        </w:rPr>
      </w:pPr>
    </w:p>
    <w:p w14:paraId="4381D623" w14:textId="77777777" w:rsidR="00871B59" w:rsidRDefault="00871B59" w:rsidP="00871B59">
      <w:pPr>
        <w:spacing w:after="0" w:line="240" w:lineRule="auto"/>
        <w:rPr>
          <w:rFonts w:ascii="Verdana" w:eastAsia="Geomanist Light" w:hAnsi="Verdana" w:cs="Arial"/>
          <w:color w:val="000000" w:themeColor="text1"/>
        </w:rPr>
      </w:pPr>
    </w:p>
    <w:p w14:paraId="65F0A00E" w14:textId="77777777" w:rsidR="00FF5B9A" w:rsidRPr="00104073" w:rsidRDefault="00FF5B9A" w:rsidP="00FF5B9A">
      <w:pPr>
        <w:spacing w:after="0" w:line="240" w:lineRule="auto"/>
        <w:rPr>
          <w:rFonts w:ascii="Verdana" w:eastAsia="Geomanist Light" w:hAnsi="Verdana" w:cs="Arial"/>
          <w:color w:val="000000" w:themeColor="text1"/>
        </w:rPr>
      </w:pPr>
    </w:p>
    <w:p w14:paraId="5B3922CF" w14:textId="2021551F" w:rsidR="00FF5B9A" w:rsidRPr="00104073" w:rsidRDefault="00FF5B9A" w:rsidP="00FF5B9A">
      <w:pPr>
        <w:spacing w:after="0" w:line="240" w:lineRule="auto"/>
        <w:rPr>
          <w:rFonts w:ascii="Verdana" w:eastAsia="Geomanist Light" w:hAnsi="Verdana" w:cs="Arial"/>
          <w:color w:val="201F1E"/>
        </w:rPr>
      </w:pPr>
      <w:r w:rsidRPr="00104073">
        <w:rPr>
          <w:rFonts w:ascii="Verdana" w:eastAsia="Geomanist Light" w:hAnsi="Verdana" w:cs="Arial"/>
          <w:color w:val="000000" w:themeColor="text1"/>
        </w:rPr>
        <w:t>Bogotá D.C., </w:t>
      </w:r>
      <w:r w:rsidR="00500BEF">
        <w:rPr>
          <w:rFonts w:ascii="Verdana" w:eastAsia="Geomanist Light" w:hAnsi="Verdana" w:cs="Arial"/>
          <w:color w:val="201F1E"/>
        </w:rPr>
        <w:t>06 de noviembre de 2024</w:t>
      </w:r>
    </w:p>
    <w:p w14:paraId="39F9445A" w14:textId="7FD6C548" w:rsidR="00FF5B9A" w:rsidRPr="00104073" w:rsidRDefault="00C574DC" w:rsidP="00FF5B9A">
      <w:pPr>
        <w:spacing w:after="0" w:line="240" w:lineRule="auto"/>
        <w:jc w:val="both"/>
        <w:rPr>
          <w:rFonts w:ascii="Verdana" w:eastAsia="Calibri" w:hAnsi="Verdana" w:cs="Arial"/>
          <w:color w:val="000000"/>
        </w:rPr>
      </w:pPr>
      <w:r w:rsidRPr="00C574DC">
        <w:rPr>
          <w:rFonts w:ascii="Verdana" w:eastAsia="Calibri" w:hAnsi="Verdana" w:cs="Arial"/>
          <w:noProof/>
          <w:lang w:eastAsia="es-ES"/>
        </w:rPr>
        <w:drawing>
          <wp:anchor distT="0" distB="0" distL="114300" distR="114300" simplePos="0" relativeHeight="251658240" behindDoc="1" locked="0" layoutInCell="1" allowOverlap="1" wp14:anchorId="1EFB13FC" wp14:editId="7B91AE8A">
            <wp:simplePos x="0" y="0"/>
            <wp:positionH relativeFrom="column">
              <wp:posOffset>2688756</wp:posOffset>
            </wp:positionH>
            <wp:positionV relativeFrom="paragraph">
              <wp:posOffset>166756</wp:posOffset>
            </wp:positionV>
            <wp:extent cx="3190875" cy="8477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90875" cy="847725"/>
                    </a:xfrm>
                    <a:prstGeom prst="rect">
                      <a:avLst/>
                    </a:prstGeom>
                  </pic:spPr>
                </pic:pic>
              </a:graphicData>
            </a:graphic>
          </wp:anchor>
        </w:drawing>
      </w:r>
    </w:p>
    <w:p w14:paraId="2AC012C7" w14:textId="2902F926" w:rsidR="00FF5B9A" w:rsidRPr="00104073" w:rsidRDefault="00FF5B9A" w:rsidP="00FF5B9A">
      <w:pPr>
        <w:spacing w:after="0" w:line="240" w:lineRule="auto"/>
        <w:jc w:val="both"/>
        <w:rPr>
          <w:rFonts w:ascii="Verdana" w:eastAsia="Calibri" w:hAnsi="Verdana" w:cs="Arial"/>
          <w:lang w:eastAsia="es-ES"/>
        </w:rPr>
      </w:pPr>
      <w:r w:rsidRPr="00104073">
        <w:rPr>
          <w:rFonts w:ascii="Verdana" w:eastAsia="Calibri" w:hAnsi="Verdana" w:cs="Arial"/>
          <w:lang w:eastAsia="es-ES"/>
        </w:rPr>
        <w:t>Señora</w:t>
      </w:r>
    </w:p>
    <w:p w14:paraId="259D2D38" w14:textId="77777777" w:rsidR="00FF5B9A" w:rsidRDefault="00FF5B9A" w:rsidP="00FF5B9A">
      <w:pPr>
        <w:spacing w:after="0" w:line="240" w:lineRule="auto"/>
        <w:rPr>
          <w:rFonts w:ascii="Verdana" w:eastAsia="Calibri" w:hAnsi="Verdana" w:cs="Arial"/>
          <w:b/>
          <w:lang w:eastAsia="es-ES_tradnl"/>
        </w:rPr>
      </w:pPr>
      <w:r w:rsidRPr="00CC494F">
        <w:rPr>
          <w:rFonts w:ascii="Verdana" w:eastAsia="Calibri" w:hAnsi="Verdana" w:cs="Arial"/>
          <w:b/>
          <w:lang w:eastAsia="es-ES_tradnl"/>
        </w:rPr>
        <w:t>Lina Vanessa Ledesma Argel</w:t>
      </w:r>
    </w:p>
    <w:p w14:paraId="19DC776A" w14:textId="3C69B3C7" w:rsidR="00FF5B9A" w:rsidRDefault="00FF5B9A" w:rsidP="00FF5B9A">
      <w:pPr>
        <w:spacing w:after="0" w:line="240" w:lineRule="auto"/>
        <w:rPr>
          <w:rFonts w:ascii="Verdana" w:eastAsia="Calibri" w:hAnsi="Verdana" w:cs="Arial"/>
          <w:u w:val="single"/>
          <w:lang w:eastAsia="es-ES"/>
        </w:rPr>
      </w:pPr>
      <w:hyperlink r:id="rId12" w:history="1">
        <w:r w:rsidRPr="00C608AB">
          <w:rPr>
            <w:rStyle w:val="Hipervnculo"/>
            <w:rFonts w:ascii="Verdana" w:eastAsia="Calibri" w:hAnsi="Verdana" w:cs="Arial"/>
            <w:lang w:eastAsia="es-ES"/>
          </w:rPr>
          <w:t>livalear22@hotmail.com</w:t>
        </w:r>
      </w:hyperlink>
    </w:p>
    <w:p w14:paraId="39DDEE95" w14:textId="73D2FA3C" w:rsidR="00FF5B9A" w:rsidRPr="00104073" w:rsidRDefault="00FF5B9A" w:rsidP="00FF5B9A">
      <w:pPr>
        <w:spacing w:after="0" w:line="240" w:lineRule="auto"/>
        <w:rPr>
          <w:rFonts w:ascii="Verdana" w:eastAsia="Calibri" w:hAnsi="Verdana" w:cs="Arial"/>
          <w:b/>
          <w:bCs/>
          <w:lang w:eastAsia="es-ES"/>
        </w:rPr>
      </w:pPr>
      <w:r>
        <w:rPr>
          <w:rFonts w:ascii="Verdana" w:eastAsia="Calibri" w:hAnsi="Verdana" w:cs="Arial"/>
          <w:lang w:eastAsia="es-ES"/>
        </w:rPr>
        <w:t>Facatativá, Cundinamarca</w:t>
      </w:r>
      <w:r w:rsidR="00C574DC" w:rsidRPr="00C574DC">
        <w:rPr>
          <w:noProof/>
        </w:rPr>
        <w:t xml:space="preserve"> </w:t>
      </w:r>
    </w:p>
    <w:p w14:paraId="12169223" w14:textId="77777777" w:rsidR="00FF5B9A" w:rsidRPr="00104073" w:rsidRDefault="00FF5B9A" w:rsidP="00FF5B9A">
      <w:pPr>
        <w:spacing w:after="0" w:line="240" w:lineRule="auto"/>
        <w:jc w:val="both"/>
        <w:rPr>
          <w:rFonts w:ascii="Verdana" w:eastAsia="Calibri" w:hAnsi="Verdana" w:cs="Arial"/>
          <w:b/>
          <w:bCs/>
          <w:lang w:eastAsia="es-ES_tradnl"/>
        </w:rPr>
      </w:pPr>
    </w:p>
    <w:p w14:paraId="06F1118D" w14:textId="77777777" w:rsidR="00FF5B9A" w:rsidRPr="00104073" w:rsidRDefault="00FF5B9A" w:rsidP="00FF5B9A">
      <w:pPr>
        <w:spacing w:after="0" w:line="240" w:lineRule="auto"/>
        <w:jc w:val="both"/>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F5B9A" w:rsidRPr="00104073" w14:paraId="1240BA59" w14:textId="77777777" w:rsidTr="005F249F">
        <w:trPr>
          <w:trHeight w:val="884"/>
        </w:trPr>
        <w:tc>
          <w:tcPr>
            <w:tcW w:w="2689" w:type="dxa"/>
          </w:tcPr>
          <w:p w14:paraId="693AF09D" w14:textId="77777777" w:rsidR="00FF5B9A" w:rsidRPr="00104073" w:rsidRDefault="00FF5B9A" w:rsidP="005F249F">
            <w:pPr>
              <w:jc w:val="both"/>
              <w:rPr>
                <w:rFonts w:ascii="Verdana" w:eastAsia="Calibri" w:hAnsi="Verdana" w:cs="Arial"/>
                <w:b/>
                <w:bCs/>
                <w:lang w:eastAsia="es-ES_tradnl"/>
              </w:rPr>
            </w:pPr>
          </w:p>
        </w:tc>
        <w:tc>
          <w:tcPr>
            <w:tcW w:w="6100" w:type="dxa"/>
          </w:tcPr>
          <w:p w14:paraId="152D9F30" w14:textId="77777777" w:rsidR="00FF5B9A" w:rsidRPr="00104073" w:rsidRDefault="00FF5B9A" w:rsidP="005F249F">
            <w:pPr>
              <w:jc w:val="both"/>
              <w:rPr>
                <w:rFonts w:ascii="Verdana" w:eastAsia="Calibri" w:hAnsi="Verdana" w:cs="Arial"/>
                <w:b/>
                <w:bCs/>
                <w:lang w:eastAsia="es-ES"/>
              </w:rPr>
            </w:pPr>
            <w:r w:rsidRPr="00104073">
              <w:rPr>
                <w:rFonts w:ascii="Verdana" w:eastAsia="Calibri" w:hAnsi="Verdana" w:cs="Arial"/>
                <w:b/>
                <w:bCs/>
                <w:lang w:eastAsia="es-ES"/>
              </w:rPr>
              <w:t>Concepto C-6</w:t>
            </w:r>
            <w:r>
              <w:rPr>
                <w:rFonts w:ascii="Verdana" w:eastAsia="Calibri" w:hAnsi="Verdana" w:cs="Arial"/>
                <w:b/>
                <w:bCs/>
                <w:lang w:eastAsia="es-ES"/>
              </w:rPr>
              <w:t>57</w:t>
            </w:r>
            <w:r w:rsidRPr="00104073">
              <w:rPr>
                <w:rFonts w:ascii="Verdana" w:eastAsia="Calibri" w:hAnsi="Verdana" w:cs="Arial"/>
                <w:b/>
                <w:bCs/>
                <w:lang w:eastAsia="es-ES"/>
              </w:rPr>
              <w:t xml:space="preserve"> de 2024</w:t>
            </w:r>
          </w:p>
        </w:tc>
      </w:tr>
      <w:tr w:rsidR="00FF5B9A" w:rsidRPr="00104073" w14:paraId="4B7B7F82" w14:textId="77777777" w:rsidTr="005F249F">
        <w:trPr>
          <w:trHeight w:val="884"/>
        </w:trPr>
        <w:tc>
          <w:tcPr>
            <w:tcW w:w="2689" w:type="dxa"/>
          </w:tcPr>
          <w:p w14:paraId="5839ADDD" w14:textId="77777777" w:rsidR="00FF5B9A" w:rsidRPr="00104073" w:rsidRDefault="00FF5B9A" w:rsidP="005F249F">
            <w:pPr>
              <w:jc w:val="both"/>
              <w:rPr>
                <w:rFonts w:ascii="Verdana" w:eastAsia="Calibri" w:hAnsi="Verdana" w:cs="Arial"/>
                <w:lang w:eastAsia="es-ES_tradnl"/>
              </w:rPr>
            </w:pPr>
            <w:r w:rsidRPr="00104073">
              <w:rPr>
                <w:rFonts w:ascii="Verdana" w:eastAsia="Calibri" w:hAnsi="Verdana" w:cs="Arial"/>
                <w:b/>
                <w:lang w:eastAsia="es-ES_tradnl"/>
              </w:rPr>
              <w:t>Temas:</w:t>
            </w:r>
            <w:r w:rsidRPr="00104073">
              <w:rPr>
                <w:rFonts w:ascii="Verdana" w:eastAsia="Calibri" w:hAnsi="Verdana" w:cs="Arial"/>
                <w:lang w:eastAsia="es-ES_tradnl"/>
              </w:rPr>
              <w:t xml:space="preserve">                   </w:t>
            </w:r>
          </w:p>
        </w:tc>
        <w:tc>
          <w:tcPr>
            <w:tcW w:w="6100" w:type="dxa"/>
          </w:tcPr>
          <w:p w14:paraId="37CFE6B4" w14:textId="77777777" w:rsidR="00FF5B9A" w:rsidRPr="00EC0059" w:rsidRDefault="00FF5B9A" w:rsidP="005F249F">
            <w:pPr>
              <w:spacing w:line="276" w:lineRule="auto"/>
              <w:jc w:val="both"/>
              <w:rPr>
                <w:rFonts w:ascii="Verdana" w:hAnsi="Verdana" w:cs="Arial"/>
              </w:rPr>
            </w:pPr>
            <w:r w:rsidRPr="00EC0059">
              <w:rPr>
                <w:rFonts w:ascii="Verdana" w:hAnsi="Verdana" w:cs="Arial"/>
                <w:lang w:val="es-ES"/>
              </w:rPr>
              <w:t>CONTRATACIÓN PÚBLICA – Principio de publicidad – Principio de transparencia</w:t>
            </w:r>
            <w:r>
              <w:rPr>
                <w:rFonts w:ascii="Verdana" w:hAnsi="Verdana" w:cs="Arial"/>
                <w:lang w:val="es-ES"/>
              </w:rPr>
              <w:t>/</w:t>
            </w:r>
            <w:r w:rsidRPr="00EC0059">
              <w:rPr>
                <w:rFonts w:ascii="Verdana" w:hAnsi="Verdana" w:cs="Arial"/>
                <w:lang w:val="es-ES"/>
              </w:rPr>
              <w:t xml:space="preserve"> SECOP I</w:t>
            </w:r>
            <w:r>
              <w:rPr>
                <w:rFonts w:ascii="Verdana" w:hAnsi="Verdana" w:cs="Arial"/>
                <w:lang w:val="es-ES"/>
              </w:rPr>
              <w:t xml:space="preserve"> – Publicidad - Generalidades</w:t>
            </w:r>
            <w:r w:rsidRPr="00EC0059">
              <w:rPr>
                <w:rFonts w:ascii="Verdana" w:hAnsi="Verdana" w:cs="Arial"/>
                <w:lang w:val="es-ES"/>
              </w:rPr>
              <w:t xml:space="preserve"> </w:t>
            </w:r>
            <w:r>
              <w:rPr>
                <w:rFonts w:ascii="Verdana" w:hAnsi="Verdana" w:cs="Arial"/>
                <w:lang w:val="es-ES"/>
              </w:rPr>
              <w:t>/</w:t>
            </w:r>
            <w:r w:rsidRPr="00EC0059">
              <w:rPr>
                <w:rFonts w:ascii="Verdana" w:hAnsi="Verdana" w:cs="Arial"/>
                <w:lang w:val="es-ES"/>
              </w:rPr>
              <w:t xml:space="preserve"> SECOP II</w:t>
            </w:r>
            <w:r>
              <w:rPr>
                <w:rFonts w:ascii="Verdana" w:hAnsi="Verdana" w:cs="Arial"/>
                <w:lang w:val="es-ES"/>
              </w:rPr>
              <w:t xml:space="preserve"> – Plataforma Transaccional – Generalidades </w:t>
            </w:r>
          </w:p>
          <w:p w14:paraId="3DD2650D" w14:textId="77777777" w:rsidR="00FF5B9A" w:rsidRPr="00EC0059" w:rsidRDefault="00FF5B9A" w:rsidP="005F249F">
            <w:pPr>
              <w:spacing w:line="276" w:lineRule="auto"/>
              <w:jc w:val="both"/>
              <w:rPr>
                <w:rFonts w:ascii="Verdana" w:eastAsia="Calibri" w:hAnsi="Verdana" w:cs="Arial"/>
                <w:lang w:eastAsia="es-ES"/>
              </w:rPr>
            </w:pPr>
          </w:p>
        </w:tc>
      </w:tr>
      <w:tr w:rsidR="00FF5B9A" w:rsidRPr="00104073" w14:paraId="5D1F54AF" w14:textId="77777777" w:rsidTr="005F249F">
        <w:tc>
          <w:tcPr>
            <w:tcW w:w="2689" w:type="dxa"/>
          </w:tcPr>
          <w:p w14:paraId="5BD78B9F" w14:textId="77777777" w:rsidR="00FF5B9A" w:rsidRPr="00104073" w:rsidRDefault="00FF5B9A" w:rsidP="005F249F">
            <w:pPr>
              <w:jc w:val="both"/>
              <w:rPr>
                <w:rFonts w:ascii="Verdana" w:eastAsia="Calibri" w:hAnsi="Verdana" w:cs="Arial"/>
                <w:b/>
                <w:lang w:eastAsia="es-ES_tradnl"/>
              </w:rPr>
            </w:pPr>
            <w:r w:rsidRPr="00104073">
              <w:rPr>
                <w:rFonts w:ascii="Verdana" w:eastAsia="Calibri" w:hAnsi="Verdana" w:cs="Arial"/>
                <w:b/>
                <w:lang w:eastAsia="es-ES_tradnl"/>
              </w:rPr>
              <w:t>Radicación:</w:t>
            </w:r>
            <w:r w:rsidRPr="00104073">
              <w:rPr>
                <w:rFonts w:ascii="Verdana" w:eastAsia="Calibri" w:hAnsi="Verdana" w:cs="Arial"/>
                <w:lang w:eastAsia="es-ES_tradnl"/>
              </w:rPr>
              <w:t xml:space="preserve">               </w:t>
            </w:r>
          </w:p>
        </w:tc>
        <w:tc>
          <w:tcPr>
            <w:tcW w:w="6100" w:type="dxa"/>
          </w:tcPr>
          <w:p w14:paraId="77143417" w14:textId="77777777" w:rsidR="00FF5B9A" w:rsidRPr="00104073" w:rsidRDefault="00FF5B9A" w:rsidP="005F249F">
            <w:pPr>
              <w:jc w:val="both"/>
              <w:rPr>
                <w:rFonts w:ascii="Verdana" w:eastAsia="Calibri" w:hAnsi="Verdana" w:cs="Arial"/>
                <w:lang w:eastAsia="es-ES_tradnl"/>
              </w:rPr>
            </w:pPr>
            <w:r w:rsidRPr="00104073">
              <w:rPr>
                <w:rFonts w:ascii="Verdana" w:eastAsia="Calibri" w:hAnsi="Verdana" w:cs="Arial"/>
                <w:lang w:eastAsia="es-ES_tradnl"/>
              </w:rPr>
              <w:t xml:space="preserve">Respuesta a consulta con radicado No. </w:t>
            </w:r>
            <w:r w:rsidRPr="00034330">
              <w:rPr>
                <w:rFonts w:ascii="Verdana" w:eastAsia="Calibri" w:hAnsi="Verdana" w:cs="Arial"/>
                <w:lang w:eastAsia="es-ES_tradnl"/>
              </w:rPr>
              <w:t>P20240925009786</w:t>
            </w:r>
            <w:r>
              <w:rPr>
                <w:rFonts w:ascii="Verdana" w:eastAsia="Calibri" w:hAnsi="Verdana" w:cs="Arial"/>
                <w:lang w:eastAsia="es-ES_tradnl"/>
              </w:rPr>
              <w:t>.</w:t>
            </w:r>
          </w:p>
        </w:tc>
      </w:tr>
    </w:tbl>
    <w:p w14:paraId="1600A102" w14:textId="77777777" w:rsidR="00FF5B9A" w:rsidRPr="00104073" w:rsidRDefault="00FF5B9A" w:rsidP="00FF5B9A">
      <w:pPr>
        <w:spacing w:after="0" w:line="240" w:lineRule="auto"/>
        <w:jc w:val="both"/>
        <w:rPr>
          <w:rFonts w:ascii="Verdana" w:eastAsia="Calibri" w:hAnsi="Verdana" w:cs="Arial"/>
          <w:lang w:eastAsia="es-ES_tradnl"/>
        </w:rPr>
      </w:pPr>
    </w:p>
    <w:p w14:paraId="312D7EA1" w14:textId="77777777" w:rsidR="00FF5B9A" w:rsidRPr="00104073" w:rsidRDefault="00FF5B9A" w:rsidP="00FF5B9A">
      <w:pPr>
        <w:spacing w:after="0" w:line="240" w:lineRule="auto"/>
        <w:jc w:val="both"/>
        <w:rPr>
          <w:rFonts w:ascii="Verdana" w:eastAsia="Calibri" w:hAnsi="Verdana" w:cs="Arial"/>
          <w:lang w:eastAsia="es-ES_tradnl"/>
        </w:rPr>
      </w:pPr>
    </w:p>
    <w:p w14:paraId="395FA31B" w14:textId="77777777" w:rsidR="00FF5B9A" w:rsidRPr="00104073" w:rsidRDefault="00FF5B9A" w:rsidP="00FF5B9A">
      <w:pPr>
        <w:spacing w:after="0" w:line="276" w:lineRule="auto"/>
        <w:jc w:val="both"/>
        <w:rPr>
          <w:rFonts w:ascii="Verdana" w:eastAsia="Calibri" w:hAnsi="Verdana" w:cs="Arial"/>
          <w:lang w:eastAsia="es-ES"/>
        </w:rPr>
      </w:pPr>
      <w:r w:rsidRPr="00104073">
        <w:rPr>
          <w:rFonts w:ascii="Verdana" w:eastAsia="Calibri" w:hAnsi="Verdana" w:cs="Arial"/>
          <w:lang w:eastAsia="es-ES"/>
        </w:rPr>
        <w:t xml:space="preserve">Estimado señora </w:t>
      </w:r>
      <w:r>
        <w:rPr>
          <w:rFonts w:ascii="Verdana" w:eastAsia="Calibri" w:hAnsi="Verdana" w:cs="Arial"/>
          <w:lang w:eastAsia="es-ES"/>
        </w:rPr>
        <w:t>Lina</w:t>
      </w:r>
      <w:r w:rsidRPr="00104073">
        <w:rPr>
          <w:rFonts w:ascii="Verdana" w:eastAsia="Calibri" w:hAnsi="Verdana" w:cs="Arial"/>
          <w:lang w:eastAsia="es-ES"/>
        </w:rPr>
        <w:t xml:space="preserve">: </w:t>
      </w:r>
    </w:p>
    <w:p w14:paraId="25011AA0" w14:textId="77777777" w:rsidR="00FF5B9A" w:rsidRPr="00104073" w:rsidRDefault="00FF5B9A" w:rsidP="00FF5B9A">
      <w:pPr>
        <w:tabs>
          <w:tab w:val="left" w:pos="3768"/>
        </w:tabs>
        <w:spacing w:after="0" w:line="276" w:lineRule="auto"/>
        <w:jc w:val="both"/>
        <w:rPr>
          <w:rFonts w:ascii="Verdana" w:eastAsia="Calibri" w:hAnsi="Verdana" w:cs="Arial"/>
          <w:lang w:eastAsia="es-ES"/>
        </w:rPr>
      </w:pPr>
      <w:r w:rsidRPr="00104073">
        <w:rPr>
          <w:rFonts w:ascii="Verdana" w:eastAsia="Calibri" w:hAnsi="Verdana" w:cs="Arial"/>
          <w:lang w:eastAsia="es-ES"/>
        </w:rPr>
        <w:tab/>
      </w:r>
    </w:p>
    <w:p w14:paraId="36674178" w14:textId="77777777" w:rsidR="00FF5B9A" w:rsidRPr="007B453C" w:rsidRDefault="00FF5B9A" w:rsidP="00FF5B9A">
      <w:pPr>
        <w:spacing w:after="120" w:line="276" w:lineRule="auto"/>
        <w:jc w:val="both"/>
        <w:rPr>
          <w:rFonts w:ascii="Verdana" w:eastAsia="Century Gothic" w:hAnsi="Verdana" w:cs="Century Gothic"/>
          <w:i/>
          <w:sz w:val="20"/>
          <w:szCs w:val="20"/>
        </w:rPr>
      </w:pPr>
      <w:r w:rsidRPr="00104073">
        <w:rPr>
          <w:rFonts w:ascii="Verdana" w:eastAsia="Calibri" w:hAnsi="Verdana" w:cs="Arial"/>
          <w:lang w:eastAsia="es-ES"/>
        </w:rPr>
        <w:t>En ejercicio de la competencia otorgada por los artículos 3, numeral 5º, y 11, numeral 8º, del Decreto Ley 4170 de 2011,</w:t>
      </w:r>
      <w:r w:rsidRPr="00104073">
        <w:rPr>
          <w:rFonts w:ascii="Verdana" w:eastAsia="Arial MT" w:hAnsi="Verdana" w:cs="Arial MT"/>
          <w:lang w:eastAsia="es-ES"/>
        </w:rPr>
        <w:t xml:space="preserve"> </w:t>
      </w:r>
      <w:r w:rsidRPr="00104073">
        <w:rPr>
          <w:rFonts w:ascii="Verdana" w:hAnsi="Verdana" w:cs="Arial"/>
        </w:rPr>
        <w:t xml:space="preserve">así como lo establecido en el artículo 4 de la Resolución 1707 de 2018 expedida por esta Entidad, </w:t>
      </w:r>
      <w:r w:rsidRPr="00104073">
        <w:rPr>
          <w:rFonts w:ascii="Verdana" w:eastAsia="Calibri" w:hAnsi="Verdana" w:cs="Arial"/>
          <w:lang w:eastAsia="es-ES"/>
        </w:rPr>
        <w:t>la Agencia Nacional de Contratación Pública – Colombia Compra Eficiente– responde su solicitud de consulta de fecha 2</w:t>
      </w:r>
      <w:r>
        <w:rPr>
          <w:rFonts w:ascii="Verdana" w:eastAsia="Calibri" w:hAnsi="Verdana" w:cs="Arial"/>
          <w:lang w:eastAsia="es-ES"/>
        </w:rPr>
        <w:t>5</w:t>
      </w:r>
      <w:r w:rsidRPr="00104073">
        <w:rPr>
          <w:rFonts w:ascii="Verdana" w:eastAsia="Calibri" w:hAnsi="Verdana" w:cs="Arial"/>
          <w:lang w:eastAsia="es-ES"/>
        </w:rPr>
        <w:t xml:space="preserve"> de septiembre de 2024, en la cual manifiesta lo siguiente: </w:t>
      </w:r>
      <w:r>
        <w:rPr>
          <w:rFonts w:ascii="Verdana" w:eastAsia="Calibri" w:hAnsi="Verdana" w:cs="Arial"/>
          <w:lang w:eastAsia="es-ES"/>
        </w:rPr>
        <w:t xml:space="preserve"> </w:t>
      </w:r>
      <w:r w:rsidRPr="007B453C">
        <w:rPr>
          <w:rFonts w:ascii="Verdana" w:eastAsia="Century Gothic" w:hAnsi="Verdana" w:cs="Century Gothic"/>
          <w:i/>
          <w:iCs/>
          <w:sz w:val="20"/>
          <w:szCs w:val="20"/>
        </w:rPr>
        <w:t xml:space="preserve">“[…] </w:t>
      </w:r>
      <w:bookmarkStart w:id="0" w:name="_Hlk95313578"/>
      <w:r w:rsidRPr="007B453C">
        <w:rPr>
          <w:rFonts w:ascii="Verdana" w:hAnsi="Verdana" w:cs="Arial"/>
          <w:i/>
          <w:sz w:val="20"/>
          <w:szCs w:val="20"/>
          <w:shd w:val="clear" w:color="auto" w:fill="FFFFFF"/>
        </w:rPr>
        <w:t>¿Está obligada la entidad estatal regida por el derecho público, (exactamente una alcaldía), a estructurar y publicar en Secop II el convenio que se celebre con la universidad</w:t>
      </w:r>
      <w:r w:rsidRPr="007B453C">
        <w:rPr>
          <w:rFonts w:ascii="Verdana" w:hAnsi="Verdana" w:cs="Arial"/>
          <w:i/>
          <w:iCs/>
          <w:sz w:val="20"/>
          <w:szCs w:val="20"/>
          <w:shd w:val="clear" w:color="auto" w:fill="FFFFFF"/>
        </w:rPr>
        <w:t>?</w:t>
      </w:r>
      <w:r w:rsidRPr="007B453C">
        <w:rPr>
          <w:rStyle w:val="normaltextrun"/>
          <w:rFonts w:ascii="Verdana" w:hAnsi="Verdana" w:cs="Arial"/>
          <w:i/>
          <w:iCs/>
          <w:sz w:val="20"/>
          <w:szCs w:val="20"/>
          <w:shd w:val="clear" w:color="auto" w:fill="FFFFFF"/>
        </w:rPr>
        <w:t>[…]</w:t>
      </w:r>
      <w:r w:rsidRPr="007B453C">
        <w:rPr>
          <w:rFonts w:ascii="Verdana" w:eastAsia="Century Gothic" w:hAnsi="Verdana" w:cs="Century Gothic"/>
          <w:i/>
          <w:iCs/>
          <w:sz w:val="20"/>
          <w:szCs w:val="20"/>
        </w:rPr>
        <w:t>”.</w:t>
      </w:r>
      <w:bookmarkEnd w:id="0"/>
    </w:p>
    <w:p w14:paraId="32476E2A" w14:textId="77777777" w:rsidR="00FF5B9A" w:rsidRPr="00104073" w:rsidRDefault="00FF5B9A" w:rsidP="00FF5B9A">
      <w:pPr>
        <w:spacing w:after="120" w:line="276" w:lineRule="auto"/>
        <w:ind w:firstLine="709"/>
        <w:jc w:val="both"/>
        <w:rPr>
          <w:rFonts w:ascii="Verdana" w:eastAsia="Calibri" w:hAnsi="Verdana" w:cs="Arial"/>
          <w:szCs w:val="24"/>
          <w:lang w:eastAsia="es-ES_tradnl"/>
        </w:rPr>
      </w:pPr>
      <w:r w:rsidRPr="00104073">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104073">
        <w:rPr>
          <w:rFonts w:ascii="Verdana" w:eastAsia="Calibri" w:hAnsi="Verdana" w:cs="Arial"/>
          <w:lang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04073">
        <w:rPr>
          <w:rFonts w:ascii="Verdana" w:eastAsia="Calibri" w:hAnsi="Verdana" w:cs="Arial"/>
          <w:szCs w:val="24"/>
          <w:lang w:eastAsia="es-ES_tradnl"/>
        </w:rPr>
        <w:tab/>
      </w:r>
    </w:p>
    <w:p w14:paraId="795A055D" w14:textId="77777777" w:rsidR="00FF5B9A" w:rsidRPr="00104073" w:rsidRDefault="00FF5B9A" w:rsidP="00FF5B9A">
      <w:pPr>
        <w:spacing w:after="0" w:line="276" w:lineRule="auto"/>
        <w:ind w:firstLine="709"/>
        <w:jc w:val="both"/>
        <w:rPr>
          <w:rFonts w:ascii="Verdana" w:eastAsia="Calibri" w:hAnsi="Verdana" w:cs="Arial"/>
          <w:lang w:eastAsia="es-ES"/>
        </w:rPr>
      </w:pPr>
      <w:r w:rsidRPr="00104073">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D8CC543" w14:textId="77777777" w:rsidR="00FF5B9A" w:rsidRPr="00104073" w:rsidRDefault="00FF5B9A" w:rsidP="00FF5B9A">
      <w:pPr>
        <w:spacing w:after="0" w:line="276" w:lineRule="auto"/>
        <w:ind w:firstLine="709"/>
        <w:jc w:val="both"/>
        <w:rPr>
          <w:rFonts w:ascii="Verdana" w:eastAsia="Calibri" w:hAnsi="Verdana" w:cs="Arial"/>
          <w:lang w:eastAsia="es-ES"/>
        </w:rPr>
      </w:pPr>
    </w:p>
    <w:p w14:paraId="6C785435" w14:textId="77777777" w:rsidR="00FF5B9A" w:rsidRPr="00104073" w:rsidRDefault="00FF5B9A" w:rsidP="00FF5B9A">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104073">
        <w:rPr>
          <w:rFonts w:ascii="Verdana" w:eastAsia="Century Gothic" w:hAnsi="Verdana" w:cs="Century Gothic"/>
          <w:b/>
          <w:bCs/>
        </w:rPr>
        <w:t>Problema planteado:</w:t>
      </w:r>
    </w:p>
    <w:p w14:paraId="5F437049" w14:textId="77777777" w:rsidR="00FF5B9A" w:rsidRPr="00104073" w:rsidRDefault="00FF5B9A" w:rsidP="00FF5B9A">
      <w:pPr>
        <w:tabs>
          <w:tab w:val="left" w:pos="426"/>
        </w:tabs>
        <w:spacing w:after="0" w:line="276" w:lineRule="auto"/>
        <w:jc w:val="both"/>
        <w:rPr>
          <w:rFonts w:ascii="Verdana" w:eastAsia="Century Gothic" w:hAnsi="Verdana" w:cs="Century Gothic"/>
        </w:rPr>
      </w:pPr>
    </w:p>
    <w:p w14:paraId="39378440" w14:textId="77777777" w:rsidR="00FF5B9A" w:rsidRPr="00104073" w:rsidRDefault="00FF5B9A" w:rsidP="00FF5B9A">
      <w:pPr>
        <w:spacing w:after="0" w:line="276" w:lineRule="auto"/>
        <w:jc w:val="both"/>
        <w:rPr>
          <w:rFonts w:ascii="Verdana" w:eastAsia="Century Gothic" w:hAnsi="Verdana" w:cs="Century Gothic"/>
        </w:rPr>
      </w:pPr>
      <w:r w:rsidRPr="00104073">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104073">
        <w:rPr>
          <w:rFonts w:ascii="Verdana" w:eastAsia="Century Gothic" w:hAnsi="Verdana" w:cs="Century Gothic"/>
        </w:rPr>
        <w:t xml:space="preserve"> siguiente problema jurídico: </w:t>
      </w:r>
      <w:r>
        <w:rPr>
          <w:rFonts w:ascii="Verdana" w:eastAsia="Century Gothic" w:hAnsi="Verdana" w:cs="Century Gothic"/>
        </w:rPr>
        <w:t>¿Las entidades estatales deben publicar en el SECOP los convenios que celebren con universidades públicas o privadas?</w:t>
      </w:r>
    </w:p>
    <w:p w14:paraId="21D95C06" w14:textId="77777777" w:rsidR="00FF5B9A" w:rsidRPr="00104073" w:rsidRDefault="00FF5B9A" w:rsidP="00FF5B9A">
      <w:pPr>
        <w:spacing w:after="0" w:line="276" w:lineRule="auto"/>
        <w:jc w:val="both"/>
        <w:rPr>
          <w:rFonts w:ascii="Verdana" w:eastAsia="Calibri" w:hAnsi="Verdana" w:cs="Arial"/>
        </w:rPr>
      </w:pPr>
    </w:p>
    <w:p w14:paraId="2AAC24AD" w14:textId="77777777" w:rsidR="00FF5B9A" w:rsidRPr="00104073" w:rsidRDefault="00FF5B9A" w:rsidP="00FF5B9A">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04073">
        <w:rPr>
          <w:rFonts w:ascii="Verdana" w:eastAsia="Century Gothic" w:hAnsi="Verdana" w:cs="Century Gothic"/>
          <w:b/>
          <w:bCs/>
        </w:rPr>
        <w:t>Respuesta:</w:t>
      </w:r>
    </w:p>
    <w:p w14:paraId="2907DA2A" w14:textId="77777777" w:rsidR="00FF5B9A" w:rsidRPr="00BE691A" w:rsidRDefault="00FF5B9A" w:rsidP="00FF5B9A">
      <w:pPr>
        <w:tabs>
          <w:tab w:val="left" w:pos="142"/>
          <w:tab w:val="left" w:pos="284"/>
        </w:tabs>
        <w:spacing w:after="0" w:line="276" w:lineRule="auto"/>
        <w:jc w:val="both"/>
        <w:rPr>
          <w:rFonts w:ascii="Verdana" w:eastAsia="Century Gothic" w:hAnsi="Verdana" w:cs="Century Gothic"/>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5B9A" w:rsidRPr="00BE691A" w14:paraId="2E27CF9F" w14:textId="77777777" w:rsidTr="005F249F">
        <w:tc>
          <w:tcPr>
            <w:tcW w:w="8828" w:type="dxa"/>
            <w:shd w:val="clear" w:color="auto" w:fill="auto"/>
          </w:tcPr>
          <w:p w14:paraId="2D494484" w14:textId="77777777" w:rsidR="00FF5B9A" w:rsidRPr="00576071" w:rsidRDefault="00FF5B9A" w:rsidP="005F249F">
            <w:pPr>
              <w:spacing w:after="160" w:line="278" w:lineRule="auto"/>
              <w:jc w:val="both"/>
              <w:rPr>
                <w:rFonts w:ascii="Verdana" w:hAnsi="Verdana"/>
              </w:rPr>
            </w:pPr>
            <w:r>
              <w:rPr>
                <w:rFonts w:ascii="Verdana" w:hAnsi="Verdana"/>
              </w:rPr>
              <w:t>L</w:t>
            </w:r>
            <w:r w:rsidRPr="00576071">
              <w:rPr>
                <w:rFonts w:ascii="Verdana" w:hAnsi="Verdana"/>
              </w:rPr>
              <w:t xml:space="preserve">as entidades del Estado </w:t>
            </w:r>
            <w:r w:rsidRPr="00BE691A">
              <w:rPr>
                <w:rFonts w:ascii="Verdana" w:hAnsi="Verdana"/>
              </w:rPr>
              <w:t>deben</w:t>
            </w:r>
            <w:r w:rsidRPr="00576071">
              <w:rPr>
                <w:rFonts w:ascii="Verdana" w:hAnsi="Verdana"/>
              </w:rPr>
              <w:t xml:space="preserve"> publicar en el SECOP todos los convenios y contratos que celebren, independientemente de quién sea el contratista. Esta obligación se extiende sin importar el régimen del contratista, ya sea régimen de derecho público, privado o especial, y se fundamenta en el principio de publicidad de la contratación pública, consagrado en la Ley 80 de 1993. </w:t>
            </w:r>
            <w:r w:rsidRPr="00BE691A">
              <w:rPr>
                <w:rFonts w:ascii="Verdana" w:hAnsi="Verdana"/>
              </w:rPr>
              <w:t>Es así como e</w:t>
            </w:r>
            <w:r w:rsidRPr="00576071">
              <w:rPr>
                <w:rFonts w:ascii="Verdana" w:hAnsi="Verdana"/>
              </w:rPr>
              <w:t>l principio de publicidad busca garantizar la transparencia y el acceso a la información sobre la gestión de los recursos públicos, permitiendo que la ciudadanía pueda conocer los actos administrativos de contratación y la ejecución de los mismos.</w:t>
            </w:r>
          </w:p>
          <w:p w14:paraId="6ED64BD3" w14:textId="77777777" w:rsidR="00FF5B9A" w:rsidRPr="00BE691A" w:rsidRDefault="00FF5B9A" w:rsidP="005F249F">
            <w:pPr>
              <w:spacing w:after="160" w:line="278" w:lineRule="auto"/>
              <w:jc w:val="both"/>
              <w:rPr>
                <w:rFonts w:ascii="Verdana" w:hAnsi="Verdana"/>
              </w:rPr>
            </w:pPr>
            <w:r>
              <w:rPr>
                <w:rFonts w:ascii="Verdana" w:hAnsi="Verdana"/>
              </w:rPr>
              <w:t>L</w:t>
            </w:r>
            <w:r w:rsidRPr="00BE691A">
              <w:rPr>
                <w:rFonts w:ascii="Verdana" w:hAnsi="Verdana"/>
              </w:rPr>
              <w:t>a</w:t>
            </w:r>
            <w:r w:rsidRPr="00576071">
              <w:rPr>
                <w:rFonts w:ascii="Verdana" w:hAnsi="Verdana"/>
              </w:rPr>
              <w:t xml:space="preserve"> publicidad de los </w:t>
            </w:r>
            <w:r>
              <w:rPr>
                <w:rFonts w:ascii="Verdana" w:hAnsi="Verdana"/>
              </w:rPr>
              <w:t>documentos</w:t>
            </w:r>
            <w:r w:rsidRPr="00576071">
              <w:rPr>
                <w:rFonts w:ascii="Verdana" w:hAnsi="Verdana"/>
              </w:rPr>
              <w:t xml:space="preserve"> contractuales es obligatoria </w:t>
            </w:r>
            <w:r>
              <w:rPr>
                <w:rFonts w:ascii="Verdana" w:hAnsi="Verdana"/>
              </w:rPr>
              <w:t>respecto de</w:t>
            </w:r>
            <w:r w:rsidRPr="00576071">
              <w:rPr>
                <w:rFonts w:ascii="Verdana" w:hAnsi="Verdana"/>
              </w:rPr>
              <w:t xml:space="preserve"> todos los procesos de contratación que impliquen el uso de </w:t>
            </w:r>
            <w:r>
              <w:rPr>
                <w:rFonts w:ascii="Verdana" w:hAnsi="Verdana"/>
              </w:rPr>
              <w:t>recursos</w:t>
            </w:r>
            <w:r w:rsidRPr="00576071">
              <w:rPr>
                <w:rFonts w:ascii="Verdana" w:hAnsi="Verdana"/>
              </w:rPr>
              <w:t xml:space="preserve"> públicos, </w:t>
            </w:r>
            <w:r>
              <w:rPr>
                <w:rFonts w:ascii="Verdana" w:hAnsi="Verdana"/>
              </w:rPr>
              <w:t>siendo</w:t>
            </w:r>
            <w:r w:rsidRPr="00576071">
              <w:rPr>
                <w:rFonts w:ascii="Verdana" w:hAnsi="Verdana"/>
              </w:rPr>
              <w:t xml:space="preserve"> </w:t>
            </w:r>
            <w:r w:rsidRPr="00576071">
              <w:rPr>
                <w:rFonts w:ascii="Verdana" w:hAnsi="Verdana"/>
              </w:rPr>
              <w:lastRenderedPageBreak/>
              <w:t>el SECOP II para la difusión de dicha información. Esto aplica igualmente para los convenios interadministrativos o convenios de asociación que las entidades estatales celebren, como es el caso de los convenios con universidades públicas o privadas. El SECOP II es la herramienta que garantiza la accesibilidad y trazabilidad de estos actos, promoviendo la transparencia y el control social.</w:t>
            </w:r>
          </w:p>
        </w:tc>
      </w:tr>
      <w:tr w:rsidR="00FF5B9A" w:rsidRPr="00104073" w14:paraId="7711B577" w14:textId="77777777" w:rsidTr="005F249F">
        <w:tc>
          <w:tcPr>
            <w:tcW w:w="8828" w:type="dxa"/>
            <w:shd w:val="clear" w:color="auto" w:fill="auto"/>
          </w:tcPr>
          <w:p w14:paraId="4854C4E1" w14:textId="77777777" w:rsidR="00FF5B9A" w:rsidRDefault="00FF5B9A" w:rsidP="005F249F">
            <w:pPr>
              <w:spacing w:line="276" w:lineRule="auto"/>
              <w:jc w:val="both"/>
              <w:rPr>
                <w:rFonts w:ascii="Verdana" w:eastAsia="Calibri" w:hAnsi="Verdana" w:cs="Arial"/>
              </w:rPr>
            </w:pPr>
          </w:p>
        </w:tc>
      </w:tr>
    </w:tbl>
    <w:p w14:paraId="7D6B8C3D" w14:textId="77777777" w:rsidR="00FF5B9A" w:rsidRPr="00104073" w:rsidRDefault="00FF5B9A" w:rsidP="00FF5B9A">
      <w:pPr>
        <w:tabs>
          <w:tab w:val="left" w:pos="142"/>
          <w:tab w:val="left" w:pos="284"/>
        </w:tabs>
        <w:spacing w:after="0" w:line="276" w:lineRule="auto"/>
        <w:jc w:val="both"/>
        <w:rPr>
          <w:rFonts w:ascii="Verdana" w:eastAsia="Century Gothic" w:hAnsi="Verdana" w:cs="Century Gothic"/>
          <w:b/>
          <w:bCs/>
        </w:rPr>
      </w:pPr>
    </w:p>
    <w:p w14:paraId="21F003A9" w14:textId="77777777" w:rsidR="00FF5B9A" w:rsidRPr="00104073" w:rsidRDefault="00FF5B9A" w:rsidP="00FF5B9A">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04073">
        <w:rPr>
          <w:rFonts w:ascii="Verdana" w:eastAsia="Century Gothic" w:hAnsi="Verdana" w:cs="Century Gothic"/>
          <w:b/>
          <w:bCs/>
        </w:rPr>
        <w:t>Razones de la respuesta:</w:t>
      </w:r>
    </w:p>
    <w:p w14:paraId="0FC93BD8" w14:textId="77777777" w:rsidR="00FF5B9A" w:rsidRPr="00104073" w:rsidRDefault="00FF5B9A" w:rsidP="00FF5B9A">
      <w:pPr>
        <w:spacing w:after="0" w:line="276" w:lineRule="auto"/>
        <w:jc w:val="both"/>
        <w:rPr>
          <w:rFonts w:ascii="Verdana" w:eastAsia="Calibri" w:hAnsi="Verdana" w:cs="Arial"/>
        </w:rPr>
      </w:pPr>
    </w:p>
    <w:p w14:paraId="360991F4" w14:textId="77777777" w:rsidR="00FF5B9A" w:rsidRDefault="00FF5B9A" w:rsidP="00FF5B9A">
      <w:pPr>
        <w:spacing w:after="0" w:line="276" w:lineRule="auto"/>
        <w:jc w:val="both"/>
        <w:rPr>
          <w:rFonts w:ascii="Verdana" w:eastAsia="Calibri" w:hAnsi="Verdana" w:cs="Arial"/>
        </w:rPr>
      </w:pPr>
      <w:r w:rsidRPr="00104073">
        <w:rPr>
          <w:rFonts w:ascii="Verdana" w:eastAsia="Calibri" w:hAnsi="Verdana" w:cs="Arial"/>
        </w:rPr>
        <w:t xml:space="preserve">Lo anterior se sustenta en las siguientes consideraciones: </w:t>
      </w:r>
    </w:p>
    <w:p w14:paraId="2831183B" w14:textId="77777777" w:rsidR="00FF5B9A" w:rsidRPr="0004326C" w:rsidRDefault="00FF5B9A" w:rsidP="00FF5B9A">
      <w:pPr>
        <w:spacing w:after="0" w:line="276" w:lineRule="auto"/>
        <w:jc w:val="both"/>
        <w:rPr>
          <w:rFonts w:ascii="Verdana" w:eastAsia="Calibri" w:hAnsi="Verdana" w:cs="Arial"/>
        </w:rPr>
      </w:pPr>
      <w:bookmarkStart w:id="1" w:name="_Hlk173311098"/>
    </w:p>
    <w:p w14:paraId="7E7B5A0F" w14:textId="77777777" w:rsidR="00FF5B9A" w:rsidRPr="00EF0BDA" w:rsidRDefault="00FF5B9A" w:rsidP="00FF5B9A">
      <w:pPr>
        <w:pStyle w:val="Prrafodelista"/>
        <w:numPr>
          <w:ilvl w:val="0"/>
          <w:numId w:val="15"/>
        </w:numPr>
        <w:spacing w:after="0" w:line="276" w:lineRule="auto"/>
        <w:jc w:val="both"/>
        <w:rPr>
          <w:rFonts w:ascii="Verdana" w:eastAsia="Calibri" w:hAnsi="Verdana" w:cs="Arial"/>
        </w:rPr>
      </w:pPr>
      <w:r w:rsidRPr="0047490F">
        <w:rPr>
          <w:rFonts w:ascii="Verdana" w:hAnsi="Verdana" w:cs="Arial"/>
          <w:shd w:val="clear" w:color="auto" w:fill="FFFFFF"/>
        </w:rPr>
        <w:t xml:space="preserve">El </w:t>
      </w:r>
      <w:r w:rsidRPr="00EF0BDA">
        <w:rPr>
          <w:rFonts w:ascii="Verdana" w:hAnsi="Verdana" w:cs="Arial"/>
          <w:shd w:val="clear" w:color="auto" w:fill="FFFFFF"/>
        </w:rPr>
        <w:t>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EF0BDA">
        <w:rPr>
          <w:rStyle w:val="Refdenotaalpie"/>
          <w:rFonts w:ascii="Verdana" w:eastAsia="Calibri" w:hAnsi="Verdana" w:cs="Arial"/>
          <w:color w:val="000000" w:themeColor="text1"/>
          <w:lang w:val="es-ES_tradnl"/>
        </w:rPr>
        <w:footnoteReference w:id="2"/>
      </w:r>
      <w:r w:rsidRPr="00EF0BDA">
        <w:rPr>
          <w:rFonts w:ascii="Verdana" w:hAnsi="Verdana" w:cs="Arial"/>
          <w:shd w:val="clear" w:color="auto" w:fill="FFFFFF"/>
        </w:rPr>
        <w:t>”</w:t>
      </w:r>
      <w:r w:rsidRPr="00EF0BDA">
        <w:rPr>
          <w:rFonts w:ascii="Verdana" w:eastAsia="Calibri" w:hAnsi="Verdana" w:cs="Arial"/>
          <w:color w:val="000000" w:themeColor="text1"/>
          <w:lang w:val="es-ES_tradnl"/>
        </w:rPr>
        <w:t>.</w:t>
      </w:r>
    </w:p>
    <w:p w14:paraId="5D3AEE5A" w14:textId="77777777" w:rsidR="00FF5B9A" w:rsidRPr="00EF0BDA" w:rsidRDefault="00FF5B9A" w:rsidP="00FF5B9A">
      <w:pPr>
        <w:pStyle w:val="Prrafodelista"/>
        <w:spacing w:after="0" w:line="276" w:lineRule="auto"/>
        <w:jc w:val="both"/>
        <w:rPr>
          <w:rFonts w:ascii="Verdana" w:eastAsia="Calibri" w:hAnsi="Verdana" w:cs="Arial"/>
        </w:rPr>
      </w:pPr>
    </w:p>
    <w:p w14:paraId="38D6EB1B" w14:textId="77777777" w:rsidR="00FF5B9A" w:rsidRPr="00EB2B63" w:rsidRDefault="00FF5B9A" w:rsidP="00FF5B9A">
      <w:pPr>
        <w:pStyle w:val="Prrafodelista"/>
        <w:numPr>
          <w:ilvl w:val="0"/>
          <w:numId w:val="15"/>
        </w:numPr>
        <w:spacing w:before="120" w:line="276" w:lineRule="auto"/>
        <w:jc w:val="both"/>
        <w:rPr>
          <w:rFonts w:ascii="Verdana" w:eastAsia="Calibri" w:hAnsi="Verdana" w:cs="Arial"/>
          <w:color w:val="000000"/>
          <w:lang w:val="es-ES_tradnl"/>
        </w:rPr>
      </w:pPr>
      <w:r w:rsidRPr="00EF0BDA">
        <w:rPr>
          <w:rFonts w:ascii="Verdana" w:hAnsi="Verdana" w:cs="Arial"/>
          <w:shd w:val="clear" w:color="auto" w:fill="FFFFFF"/>
        </w:rPr>
        <w:lastRenderedPageBreak/>
        <w:t>De otra parte, la Ley 1712 de 2014 –ley estatutaria que regula la transparencia y el derecho de acceso a la información y a los documentos públicos–; identifica como principios que orientan el derecho de acceso a la información pública, el</w:t>
      </w:r>
      <w:r w:rsidRPr="00EF0BDA">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F0BDA">
        <w:rPr>
          <w:rStyle w:val="Refdenotaalpie"/>
          <w:rFonts w:ascii="Verdana" w:hAnsi="Verdana" w:cs="Arial"/>
          <w:color w:val="000000" w:themeColor="text1"/>
          <w:lang w:val="es-ES_tradnl"/>
        </w:rPr>
        <w:footnoteReference w:id="3"/>
      </w:r>
      <w:r w:rsidRPr="00EF0BDA">
        <w:rPr>
          <w:rFonts w:ascii="Verdana" w:hAnsi="Verdana" w:cs="Arial"/>
          <w:color w:val="000000" w:themeColor="text1"/>
          <w:lang w:val="es-ES_tradnl"/>
        </w:rPr>
        <w:t xml:space="preserve">. </w:t>
      </w:r>
    </w:p>
    <w:p w14:paraId="280640AE" w14:textId="77777777" w:rsidR="00FF5B9A" w:rsidRPr="00EB2B63" w:rsidRDefault="00FF5B9A" w:rsidP="00FF5B9A">
      <w:pPr>
        <w:pStyle w:val="Prrafodelista"/>
        <w:rPr>
          <w:rFonts w:ascii="Verdana" w:hAnsi="Verdana" w:cs="Arial"/>
          <w:color w:val="000000" w:themeColor="text1"/>
          <w:lang w:val="es-ES_tradnl"/>
        </w:rPr>
      </w:pPr>
    </w:p>
    <w:p w14:paraId="12EC0CD5" w14:textId="77777777" w:rsidR="00FF5B9A" w:rsidRPr="00EF0BDA" w:rsidRDefault="00FF5B9A" w:rsidP="00FF5B9A">
      <w:pPr>
        <w:pStyle w:val="Prrafodelista"/>
        <w:numPr>
          <w:ilvl w:val="0"/>
          <w:numId w:val="15"/>
        </w:numPr>
        <w:spacing w:before="120" w:line="276" w:lineRule="auto"/>
        <w:jc w:val="both"/>
        <w:rPr>
          <w:rFonts w:ascii="Verdana" w:eastAsia="Calibri" w:hAnsi="Verdana" w:cs="Arial"/>
          <w:color w:val="000000"/>
          <w:lang w:val="es-ES_tradnl"/>
        </w:rPr>
      </w:pPr>
      <w:r w:rsidRPr="00EF0BDA">
        <w:rPr>
          <w:rFonts w:ascii="Verdana" w:hAnsi="Verdana" w:cs="Arial"/>
          <w:color w:val="000000" w:themeColor="text1"/>
          <w:lang w:val="es-ES_tradnl"/>
        </w:rPr>
        <w:t>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EF0BDA">
        <w:rPr>
          <w:rStyle w:val="Refdenotaalpie"/>
          <w:rFonts w:ascii="Verdana" w:hAnsi="Verdana" w:cs="Arial"/>
          <w:color w:val="000000" w:themeColor="text1"/>
          <w:lang w:val="es-ES_tradnl"/>
        </w:rPr>
        <w:footnoteReference w:id="4"/>
      </w:r>
      <w:r w:rsidRPr="00EF0BDA">
        <w:rPr>
          <w:rFonts w:ascii="Verdana" w:hAnsi="Verdana" w:cs="Arial"/>
          <w:color w:val="000000" w:themeColor="text1"/>
          <w:lang w:val="es-ES_tradnl"/>
        </w:rPr>
        <w:t xml:space="preserve">, deben publicar la información relativa a su contratación. Esta obligación fue </w:t>
      </w:r>
      <w:r w:rsidRPr="00EF0BDA">
        <w:rPr>
          <w:rFonts w:ascii="Verdana" w:eastAsia="Calibri" w:hAnsi="Verdana" w:cs="Arial"/>
          <w:color w:val="000000"/>
          <w:lang w:val="es-ES_tradnl"/>
        </w:rPr>
        <w:t>desarrollada por el Decreto Único Reglamentario 1082 de 2015</w:t>
      </w:r>
      <w:r w:rsidRPr="00EF0BDA">
        <w:rPr>
          <w:rFonts w:ascii="Verdana" w:eastAsia="Calibri" w:hAnsi="Verdana"/>
          <w:color w:val="000000"/>
          <w:vertAlign w:val="superscript"/>
          <w:lang w:val="es-ES_tradnl"/>
        </w:rPr>
        <w:footnoteReference w:id="5"/>
      </w:r>
      <w:r w:rsidRPr="00EF0BDA">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04B51502" w14:textId="77777777" w:rsidR="00FF5B9A" w:rsidRPr="00EF0BDA" w:rsidRDefault="00FF5B9A" w:rsidP="00FF5B9A">
      <w:pPr>
        <w:pStyle w:val="Prrafodelista"/>
        <w:spacing w:before="120" w:line="276" w:lineRule="auto"/>
        <w:jc w:val="both"/>
        <w:rPr>
          <w:rFonts w:ascii="Verdana" w:eastAsia="Calibri" w:hAnsi="Verdana" w:cs="Arial"/>
          <w:color w:val="000000"/>
          <w:lang w:val="es-ES_tradnl"/>
        </w:rPr>
      </w:pPr>
    </w:p>
    <w:p w14:paraId="31F3A819" w14:textId="77777777" w:rsidR="00FF5B9A" w:rsidRPr="00EF0BDA" w:rsidRDefault="00FF5B9A" w:rsidP="00FF5B9A">
      <w:pPr>
        <w:pStyle w:val="Prrafodelista"/>
        <w:numPr>
          <w:ilvl w:val="0"/>
          <w:numId w:val="15"/>
        </w:numPr>
        <w:spacing w:before="120" w:after="0" w:line="276" w:lineRule="auto"/>
        <w:jc w:val="both"/>
        <w:rPr>
          <w:rFonts w:ascii="Verdana" w:eastAsia="Times New Roman" w:hAnsi="Verdana" w:cs="Arial"/>
          <w:color w:val="000000"/>
          <w:szCs w:val="24"/>
          <w:lang w:val="es-ES_tradnl" w:eastAsia="es-ES_tradnl"/>
        </w:rPr>
      </w:pPr>
      <w:r w:rsidRPr="00EF0BDA">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w:t>
      </w:r>
      <w:r w:rsidRPr="00EF0BDA">
        <w:rPr>
          <w:rFonts w:ascii="Verdana" w:eastAsia="Times New Roman" w:hAnsi="Verdana" w:cs="Arial"/>
          <w:color w:val="000000"/>
          <w:szCs w:val="24"/>
          <w:lang w:val="es-ES_tradnl" w:eastAsia="es-ES_tradnl"/>
        </w:rPr>
        <w:lastRenderedPageBreak/>
        <w:t xml:space="preserve">publicidad de “sus procedimientos, lineamientos, políticas en materia de adquisiciones y compras, así como todos los datos de adjudicación y ejecución de contratos, incluidos concursos y licitaciones”, y esta información también debe estar en el SECOP. </w:t>
      </w:r>
      <w:r w:rsidRPr="00EF0BDA">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F0BDA">
        <w:rPr>
          <w:rFonts w:ascii="Verdana" w:eastAsia="Calibri" w:hAnsi="Verdana"/>
          <w:vertAlign w:val="superscript"/>
          <w:lang w:val="es-ES_tradnl" w:eastAsia="es-ES_tradnl"/>
        </w:rPr>
        <w:footnoteReference w:id="6"/>
      </w:r>
      <w:r w:rsidRPr="00EF0BDA">
        <w:rPr>
          <w:rFonts w:ascii="Verdana" w:eastAsia="Calibri" w:hAnsi="Verdana" w:cs="Arial"/>
          <w:color w:val="000000"/>
          <w:szCs w:val="24"/>
          <w:lang w:val="es-ES_tradnl" w:eastAsia="es-ES_tradnl"/>
        </w:rPr>
        <w:t xml:space="preserve">. </w:t>
      </w:r>
      <w:r w:rsidRPr="00EF0BDA">
        <w:rPr>
          <w:rFonts w:ascii="Verdana"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6B848DAA" w14:textId="77777777" w:rsidR="00FF5B9A" w:rsidRPr="00EF0BDA" w:rsidRDefault="00FF5B9A" w:rsidP="00FF5B9A">
      <w:pPr>
        <w:pStyle w:val="Prrafodelista"/>
        <w:spacing w:before="120" w:after="0" w:line="276" w:lineRule="auto"/>
        <w:jc w:val="both"/>
        <w:rPr>
          <w:rFonts w:ascii="Verdana" w:eastAsia="Times New Roman" w:hAnsi="Verdana" w:cs="Arial"/>
          <w:color w:val="000000"/>
          <w:szCs w:val="24"/>
          <w:lang w:val="es-ES_tradnl" w:eastAsia="es-ES_tradnl"/>
        </w:rPr>
      </w:pPr>
    </w:p>
    <w:p w14:paraId="573B90A4" w14:textId="77777777" w:rsidR="00FF5B9A" w:rsidRPr="00EF0BDA" w:rsidRDefault="00FF5B9A" w:rsidP="00FF5B9A">
      <w:pPr>
        <w:pStyle w:val="Prrafodelista"/>
        <w:numPr>
          <w:ilvl w:val="0"/>
          <w:numId w:val="15"/>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La expresión </w:t>
      </w:r>
      <w:r w:rsidRPr="00EF0BDA">
        <w:rPr>
          <w:rFonts w:ascii="Verdana" w:hAnsi="Verdana" w:cs="Arial"/>
          <w:i/>
          <w:iCs/>
          <w:shd w:val="clear" w:color="auto" w:fill="FFFFFF"/>
        </w:rPr>
        <w:t xml:space="preserve">Documentos del Proceso </w:t>
      </w:r>
      <w:r w:rsidRPr="00EF0BDA">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EF0BDA">
        <w:rPr>
          <w:rFonts w:ascii="Verdana" w:hAnsi="Verdana" w:cs="Arial"/>
          <w:i/>
          <w:iCs/>
          <w:shd w:val="clear" w:color="auto" w:fill="FFFFFF"/>
        </w:rPr>
        <w:t>y cualquier otro documento expedido por la Entidad Estatal durante el Proceso de Contratación</w:t>
      </w:r>
      <w:r w:rsidRPr="00EF0BDA">
        <w:rPr>
          <w:rFonts w:ascii="Verdana" w:hAnsi="Verdana" w:cs="Arial"/>
          <w:shd w:val="clear" w:color="auto" w:fill="FFFFFF"/>
        </w:rPr>
        <w:t>”. [Énfasis fuera de texto]</w:t>
      </w:r>
    </w:p>
    <w:p w14:paraId="2328D459" w14:textId="77777777" w:rsidR="00FF5B9A" w:rsidRPr="00EF0BDA" w:rsidRDefault="00FF5B9A" w:rsidP="00FF5B9A">
      <w:p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ab/>
      </w:r>
    </w:p>
    <w:p w14:paraId="70671BF7" w14:textId="77777777" w:rsidR="00FF5B9A" w:rsidRPr="00EF0BDA" w:rsidRDefault="00FF5B9A" w:rsidP="00FF5B9A">
      <w:pPr>
        <w:pStyle w:val="Prrafodelista"/>
        <w:numPr>
          <w:ilvl w:val="0"/>
          <w:numId w:val="15"/>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w:t>
      </w:r>
      <w:r w:rsidRPr="00EF0BDA">
        <w:rPr>
          <w:rFonts w:ascii="Verdana" w:hAnsi="Verdana" w:cs="Arial"/>
          <w:shd w:val="clear" w:color="auto" w:fill="FFFFFF"/>
        </w:rPr>
        <w:lastRenderedPageBreak/>
        <w:t>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w:t>
      </w:r>
    </w:p>
    <w:p w14:paraId="3EA8D76E" w14:textId="77777777" w:rsidR="00FF5B9A" w:rsidRPr="00EF0BDA" w:rsidRDefault="00FF5B9A" w:rsidP="00FF5B9A">
      <w:pPr>
        <w:pStyle w:val="Prrafodelista"/>
        <w:tabs>
          <w:tab w:val="left" w:pos="709"/>
        </w:tabs>
        <w:spacing w:after="0" w:line="276" w:lineRule="auto"/>
        <w:jc w:val="both"/>
        <w:rPr>
          <w:rFonts w:ascii="Verdana" w:hAnsi="Verdana" w:cs="Arial"/>
          <w:shd w:val="clear" w:color="auto" w:fill="FFFFFF"/>
        </w:rPr>
      </w:pPr>
    </w:p>
    <w:p w14:paraId="6E5D64CF" w14:textId="77777777" w:rsidR="00FF5B9A" w:rsidRPr="00EF0BDA" w:rsidRDefault="00FF5B9A" w:rsidP="00FF5B9A">
      <w:pPr>
        <w:pStyle w:val="Prrafodelista"/>
        <w:numPr>
          <w:ilvl w:val="0"/>
          <w:numId w:val="15"/>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0FF14ED7" w14:textId="77777777" w:rsidR="00FF5B9A" w:rsidRPr="00EF0BDA" w:rsidRDefault="00FF5B9A" w:rsidP="00FF5B9A">
      <w:pPr>
        <w:tabs>
          <w:tab w:val="left" w:pos="709"/>
        </w:tabs>
        <w:spacing w:after="0" w:line="276" w:lineRule="auto"/>
        <w:jc w:val="both"/>
        <w:rPr>
          <w:rFonts w:ascii="Verdana" w:hAnsi="Verdana" w:cs="Arial"/>
          <w:shd w:val="clear" w:color="auto" w:fill="FFFFFF"/>
        </w:rPr>
      </w:pPr>
    </w:p>
    <w:p w14:paraId="376A487A" w14:textId="77777777" w:rsidR="00FF5B9A" w:rsidRPr="00EF0BDA" w:rsidRDefault="00FF5B9A" w:rsidP="00FF5B9A">
      <w:pPr>
        <w:pStyle w:val="Prrafodelista"/>
        <w:numPr>
          <w:ilvl w:val="0"/>
          <w:numId w:val="15"/>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EF0BDA">
        <w:rPr>
          <w:rFonts w:ascii="Verdana" w:eastAsia="Calibri" w:hAnsi="Verdana"/>
          <w:vertAlign w:val="superscript"/>
        </w:rPr>
        <w:footnoteReference w:id="7"/>
      </w:r>
      <w:r w:rsidRPr="00EF0BDA">
        <w:rPr>
          <w:rFonts w:ascii="Verdana" w:eastAsia="Calibri" w:hAnsi="Verdana" w:cs="Arial"/>
        </w:rPr>
        <w:t xml:space="preserve">. Dicha plataforma ha tenido dos versiones, esto es, el SECOP I y el SECOP II. </w:t>
      </w:r>
      <w:r w:rsidRPr="00EF0BDA">
        <w:rPr>
          <w:rFonts w:ascii="Verdana" w:hAnsi="Verdana" w:cs="Arial"/>
          <w:shd w:val="clear" w:color="auto" w:fill="FFFFFF"/>
        </w:rPr>
        <w:t>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36B36E8" w14:textId="77777777" w:rsidR="00FF5B9A" w:rsidRPr="00EF0BDA" w:rsidRDefault="00FF5B9A" w:rsidP="00FF5B9A">
      <w:pPr>
        <w:pStyle w:val="Prrafodelista"/>
        <w:spacing w:line="276" w:lineRule="auto"/>
        <w:rPr>
          <w:rFonts w:ascii="Verdana" w:hAnsi="Verdana" w:cs="Arial"/>
          <w:shd w:val="clear" w:color="auto" w:fill="FFFFFF"/>
        </w:rPr>
      </w:pPr>
    </w:p>
    <w:p w14:paraId="432619CE" w14:textId="77777777" w:rsidR="00FF5B9A" w:rsidRPr="00EF0BDA" w:rsidRDefault="00FF5B9A" w:rsidP="00FF5B9A">
      <w:pPr>
        <w:pStyle w:val="Prrafodelista"/>
        <w:numPr>
          <w:ilvl w:val="0"/>
          <w:numId w:val="15"/>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lastRenderedPageBreak/>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7B8BE2B" w14:textId="77777777" w:rsidR="00FF5B9A" w:rsidRPr="00EF0BDA" w:rsidRDefault="00FF5B9A" w:rsidP="00FF5B9A">
      <w:pPr>
        <w:pStyle w:val="Prrafodelista"/>
        <w:spacing w:line="276" w:lineRule="auto"/>
        <w:rPr>
          <w:rFonts w:ascii="Verdana" w:hAnsi="Verdana" w:cs="Arial"/>
          <w:shd w:val="clear" w:color="auto" w:fill="FFFFFF"/>
        </w:rPr>
      </w:pPr>
    </w:p>
    <w:p w14:paraId="75643249" w14:textId="77777777" w:rsidR="00FF5B9A" w:rsidRPr="00EF0BDA" w:rsidRDefault="00FF5B9A" w:rsidP="00FF5B9A">
      <w:pPr>
        <w:pStyle w:val="Prrafodelista"/>
        <w:numPr>
          <w:ilvl w:val="0"/>
          <w:numId w:val="15"/>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1FEA2357" w14:textId="77777777" w:rsidR="00FF5B9A" w:rsidRPr="00EF0BDA" w:rsidRDefault="00FF5B9A" w:rsidP="00FF5B9A">
      <w:pPr>
        <w:pStyle w:val="Prrafodelista"/>
        <w:spacing w:line="276" w:lineRule="auto"/>
        <w:rPr>
          <w:rFonts w:ascii="Verdana" w:hAnsi="Verdana" w:cs="Arial"/>
          <w:shd w:val="clear" w:color="auto" w:fill="FFFFFF"/>
        </w:rPr>
      </w:pPr>
    </w:p>
    <w:p w14:paraId="745A8E27" w14:textId="77777777" w:rsidR="00FF5B9A" w:rsidRPr="00EF0BDA" w:rsidRDefault="00FF5B9A" w:rsidP="00FF5B9A">
      <w:pPr>
        <w:pStyle w:val="Prrafodelista"/>
        <w:numPr>
          <w:ilvl w:val="0"/>
          <w:numId w:val="15"/>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Lo anterior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510C6E4B" w14:textId="77777777" w:rsidR="00FF5B9A" w:rsidRPr="00EF0BDA" w:rsidRDefault="00FF5B9A" w:rsidP="00FF5B9A">
      <w:pPr>
        <w:pStyle w:val="Prrafodelista"/>
        <w:spacing w:line="276" w:lineRule="auto"/>
        <w:rPr>
          <w:rFonts w:ascii="Verdana" w:hAnsi="Verdana" w:cs="Arial"/>
          <w:shd w:val="clear" w:color="auto" w:fill="FFFFFF"/>
        </w:rPr>
      </w:pPr>
    </w:p>
    <w:p w14:paraId="64F02476" w14:textId="77777777" w:rsidR="00FF5B9A" w:rsidRPr="00EF0BDA" w:rsidRDefault="00FF5B9A" w:rsidP="00FF5B9A">
      <w:pPr>
        <w:pStyle w:val="Prrafodelista"/>
        <w:numPr>
          <w:ilvl w:val="0"/>
          <w:numId w:val="15"/>
        </w:numPr>
        <w:tabs>
          <w:tab w:val="left" w:pos="709"/>
        </w:tabs>
        <w:spacing w:before="120" w:after="120" w:line="276" w:lineRule="auto"/>
        <w:jc w:val="both"/>
        <w:rPr>
          <w:rStyle w:val="eop"/>
          <w:rFonts w:ascii="Verdana" w:hAnsi="Verdana"/>
          <w:color w:val="000000"/>
          <w:shd w:val="clear" w:color="auto" w:fill="FFFFFF"/>
        </w:rPr>
      </w:pPr>
      <w:r w:rsidRPr="00EF0BDA">
        <w:rPr>
          <w:rStyle w:val="normaltextrun"/>
          <w:rFonts w:ascii="Verdana" w:hAnsi="Verdana" w:cs="Arial"/>
          <w:color w:val="000000"/>
          <w:shd w:val="clear" w:color="auto" w:fill="FFFFFF"/>
          <w:lang w:val="es-MX"/>
        </w:rPr>
        <w:t xml:space="preserve">En conclusión, el carácter transaccional de SECOP II, como herramienta que permite no sólo publicar sino también gestionar y crear Documentos </w:t>
      </w:r>
      <w:r w:rsidRPr="00EF0BDA">
        <w:rPr>
          <w:rStyle w:val="normaltextrun"/>
          <w:rFonts w:ascii="Verdana" w:hAnsi="Verdana" w:cs="Arial"/>
          <w:color w:val="000000"/>
          <w:shd w:val="clear" w:color="auto" w:fill="FFFFFF"/>
          <w:lang w:val="es-MX"/>
        </w:rPr>
        <w:lastRenderedPageBreak/>
        <w:t>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r w:rsidRPr="00EF0BDA">
        <w:rPr>
          <w:rStyle w:val="eop"/>
          <w:rFonts w:ascii="Verdana" w:hAnsi="Verdana"/>
          <w:color w:val="000000"/>
          <w:shd w:val="clear" w:color="auto" w:fill="FFFFFF"/>
        </w:rPr>
        <w:t> </w:t>
      </w:r>
    </w:p>
    <w:p w14:paraId="6BB3AE50" w14:textId="77777777" w:rsidR="00FF5B9A" w:rsidRPr="00EF0BDA" w:rsidRDefault="00FF5B9A" w:rsidP="00FF5B9A">
      <w:pPr>
        <w:pStyle w:val="Prrafodelista"/>
        <w:spacing w:line="276" w:lineRule="auto"/>
        <w:rPr>
          <w:rStyle w:val="eop"/>
          <w:rFonts w:ascii="Verdana" w:hAnsi="Verdana"/>
          <w:color w:val="000000"/>
          <w:shd w:val="clear" w:color="auto" w:fill="FFFFFF"/>
        </w:rPr>
      </w:pPr>
    </w:p>
    <w:p w14:paraId="67331F08" w14:textId="77777777" w:rsidR="00FF5B9A" w:rsidRPr="00EF0BDA" w:rsidRDefault="00FF5B9A" w:rsidP="00FF5B9A">
      <w:pPr>
        <w:pStyle w:val="Prrafodelista"/>
        <w:numPr>
          <w:ilvl w:val="0"/>
          <w:numId w:val="15"/>
        </w:numPr>
        <w:tabs>
          <w:tab w:val="left" w:pos="709"/>
        </w:tabs>
        <w:spacing w:before="120" w:after="120"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 xml:space="preserve">Por otra parte, y teniendo en cuenta lo consultado, debe destacarse que el artículo 53 de la Ley 2195 de 2022 estableció con mayor precisión la obligación de las Entidades Estatales exceptuadas del Estatuto General de Contratación de la Administración Pública de publicar en el SECOP II –es decir en la plataforma transaccional vigente– su actividad contractual. Así pues, respecto de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w:t>
      </w:r>
    </w:p>
    <w:p w14:paraId="2F3A6C5F" w14:textId="77777777" w:rsidR="00FF5B9A" w:rsidRPr="00EF0BDA" w:rsidRDefault="00FF5B9A" w:rsidP="00FF5B9A">
      <w:pPr>
        <w:pStyle w:val="Prrafodelista"/>
        <w:spacing w:line="276" w:lineRule="auto"/>
        <w:rPr>
          <w:rStyle w:val="eop"/>
          <w:rFonts w:ascii="Verdana" w:hAnsi="Verdana"/>
          <w:color w:val="000000"/>
          <w:shd w:val="clear" w:color="auto" w:fill="FFFFFF"/>
        </w:rPr>
      </w:pPr>
    </w:p>
    <w:p w14:paraId="6F5C32A7" w14:textId="77777777" w:rsidR="00FF5B9A" w:rsidRPr="00EF0BDA" w:rsidRDefault="00FF5B9A" w:rsidP="00FF5B9A">
      <w:pPr>
        <w:pStyle w:val="Prrafodelista"/>
        <w:numPr>
          <w:ilvl w:val="0"/>
          <w:numId w:val="15"/>
        </w:numPr>
        <w:tabs>
          <w:tab w:val="left" w:pos="709"/>
        </w:tabs>
        <w:spacing w:before="120" w:after="120"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 xml:space="preserve">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w:t>
      </w:r>
      <w:r w:rsidRPr="00EF0BDA">
        <w:rPr>
          <w:rStyle w:val="eop"/>
          <w:rFonts w:ascii="Verdana" w:hAnsi="Verdana"/>
          <w:color w:val="000000"/>
          <w:shd w:val="clear" w:color="auto" w:fill="FFFFFF"/>
        </w:rPr>
        <w:lastRenderedPageBreak/>
        <w:t>estas contienen</w:t>
      </w:r>
      <w:r w:rsidRPr="00EF0BDA">
        <w:rPr>
          <w:rFonts w:ascii="Verdana" w:eastAsia="Calibri" w:hAnsi="Verdana" w:cs="Arial"/>
          <w:bCs/>
          <w:vertAlign w:val="superscript"/>
          <w:lang w:val="es-MX"/>
        </w:rPr>
        <w:footnoteReference w:id="8"/>
      </w:r>
      <w:r w:rsidRPr="00EF0BDA">
        <w:rPr>
          <w:rStyle w:val="eop"/>
          <w:rFonts w:ascii="Verdana" w:hAnsi="Verdana"/>
          <w:color w:val="000000"/>
          <w:shd w:val="clear" w:color="auto" w:fill="FFFFFF"/>
        </w:rPr>
        <w:t>. Lo anterior significa que, respecto de datos sensibles, información sometida a reserva o de la cual proceda un tratamiento especial que impida su publicidad, las entidades deberán proceder de conformidad con el tratamiento que impongan tales normas.</w:t>
      </w:r>
    </w:p>
    <w:p w14:paraId="3F102F13" w14:textId="77777777" w:rsidR="00FF5B9A" w:rsidRPr="00EF0BDA" w:rsidRDefault="00FF5B9A" w:rsidP="00FF5B9A">
      <w:pPr>
        <w:pStyle w:val="Prrafodelista"/>
        <w:spacing w:line="276" w:lineRule="auto"/>
        <w:rPr>
          <w:rStyle w:val="eop"/>
          <w:rFonts w:ascii="Verdana" w:hAnsi="Verdana"/>
          <w:color w:val="000000"/>
          <w:shd w:val="clear" w:color="auto" w:fill="FFFFFF"/>
        </w:rPr>
      </w:pPr>
    </w:p>
    <w:p w14:paraId="6AEAAFDC" w14:textId="77777777" w:rsidR="00FF5B9A" w:rsidRPr="00EF0BDA" w:rsidRDefault="00FF5B9A" w:rsidP="00FF5B9A">
      <w:pPr>
        <w:pStyle w:val="Prrafodelista"/>
        <w:numPr>
          <w:ilvl w:val="0"/>
          <w:numId w:val="15"/>
        </w:numPr>
        <w:spacing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Teniendo en cuenta el marco normativo antes reseñado, la Circular Externa Única expedida por la Agencia Nacional de Contratación Pública - Colombia Compra Eficiente -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EF0BDA">
        <w:rPr>
          <w:rFonts w:ascii="Verdana" w:eastAsia="Calibri" w:hAnsi="Verdana" w:cs="Arial"/>
          <w:bCs/>
          <w:vertAlign w:val="superscript"/>
          <w:lang w:val="es-MX"/>
        </w:rPr>
        <w:footnoteReference w:id="9"/>
      </w:r>
      <w:r w:rsidRPr="00EF0BDA">
        <w:rPr>
          <w:rStyle w:val="eop"/>
          <w:rFonts w:ascii="Verdana" w:hAnsi="Verdana"/>
          <w:color w:val="000000"/>
          <w:shd w:val="clear" w:color="auto" w:fill="FFFFFF"/>
        </w:rPr>
        <w:t xml:space="preserve">. De igual forma, en la Circular Externa No. 002 del 23 de agosto de 2024, estableció los lineamientos para la aplicación del artículo 53 de la Ley 2195 de 2022 </w:t>
      </w:r>
      <w:r w:rsidRPr="00EF0BDA">
        <w:rPr>
          <w:rStyle w:val="eop"/>
          <w:rFonts w:ascii="Verdana" w:hAnsi="Verdana"/>
          <w:color w:val="000000"/>
          <w:shd w:val="clear" w:color="auto" w:fill="FFFFFF"/>
        </w:rPr>
        <w:lastRenderedPageBreak/>
        <w:t>por parte de las Entidades Estales que por disposición legal cuentan con un régimen contractual excepcional al del Estatuto General de Contratación de la Administración Pública.</w:t>
      </w:r>
    </w:p>
    <w:p w14:paraId="48698175" w14:textId="77777777" w:rsidR="00FF5B9A" w:rsidRPr="00EF0BDA" w:rsidRDefault="00FF5B9A" w:rsidP="00FF5B9A">
      <w:pPr>
        <w:pStyle w:val="Prrafodelista"/>
        <w:spacing w:line="276" w:lineRule="auto"/>
        <w:rPr>
          <w:rStyle w:val="eop"/>
          <w:rFonts w:ascii="Verdana" w:hAnsi="Verdana"/>
          <w:color w:val="000000"/>
          <w:shd w:val="clear" w:color="auto" w:fill="FFFFFF"/>
        </w:rPr>
      </w:pPr>
    </w:p>
    <w:p w14:paraId="12984D22" w14:textId="77777777" w:rsidR="00FF5B9A" w:rsidRPr="00EF0BDA" w:rsidRDefault="00FF5B9A" w:rsidP="00FF5B9A">
      <w:pPr>
        <w:pStyle w:val="Prrafodelista"/>
        <w:numPr>
          <w:ilvl w:val="0"/>
          <w:numId w:val="15"/>
        </w:numPr>
        <w:spacing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Ahora bien, 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77D3CCD7" w14:textId="77777777" w:rsidR="00FF5B9A" w:rsidRPr="00EF0BDA" w:rsidRDefault="00FF5B9A" w:rsidP="00FF5B9A">
      <w:pPr>
        <w:pStyle w:val="Prrafodelista"/>
        <w:spacing w:line="276" w:lineRule="auto"/>
        <w:rPr>
          <w:rStyle w:val="eop"/>
          <w:rFonts w:ascii="Verdana" w:hAnsi="Verdana"/>
          <w:color w:val="000000"/>
          <w:shd w:val="clear" w:color="auto" w:fill="FFFFFF"/>
        </w:rPr>
      </w:pPr>
    </w:p>
    <w:p w14:paraId="13665CDA" w14:textId="77777777" w:rsidR="00FF5B9A" w:rsidRPr="00EF0BDA" w:rsidRDefault="00FF5B9A" w:rsidP="00FF5B9A">
      <w:pPr>
        <w:pStyle w:val="Prrafodelista"/>
        <w:numPr>
          <w:ilvl w:val="0"/>
          <w:numId w:val="15"/>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Finalmente se precisa, que corresponderá a la Entidad Estatal, previo concepto de sus órganos asesores, dar cumplimiento a la publicación de los documentos que expiden dentro de un Proceso de Contratación en el SECOP, en cumplimiento de las disposiciones legales y reglamentarias. La responsabilidad de la información relacionada con los Procesos de Contratación contenidos en SECOP, es únicamente de la entidad contratante y sus funcionarios. </w:t>
      </w:r>
    </w:p>
    <w:bookmarkEnd w:id="1"/>
    <w:p w14:paraId="5904DDB4" w14:textId="77777777" w:rsidR="00FF5B9A" w:rsidRPr="00104073" w:rsidRDefault="00FF5B9A" w:rsidP="00FF5B9A">
      <w:pPr>
        <w:spacing w:after="0" w:line="276" w:lineRule="auto"/>
        <w:jc w:val="both"/>
        <w:rPr>
          <w:rFonts w:ascii="Verdana" w:eastAsia="Calibri" w:hAnsi="Verdana" w:cs="Arial"/>
        </w:rPr>
      </w:pPr>
    </w:p>
    <w:p w14:paraId="2ABA194F" w14:textId="77777777" w:rsidR="00FF5B9A" w:rsidRPr="00104073" w:rsidRDefault="00FF5B9A" w:rsidP="00FF5B9A">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04073">
        <w:rPr>
          <w:rFonts w:ascii="Verdana" w:eastAsia="Century Gothic" w:hAnsi="Verdana" w:cs="Century Gothic"/>
          <w:b/>
          <w:bCs/>
        </w:rPr>
        <w:t>Referencias normativas, jurisprudenciales y otras fuentes:</w:t>
      </w:r>
    </w:p>
    <w:p w14:paraId="4069BA26" w14:textId="77777777" w:rsidR="00FF5B9A" w:rsidRPr="00104073" w:rsidRDefault="00FF5B9A" w:rsidP="00FF5B9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5B9A" w:rsidRPr="00104073" w14:paraId="4867DDB8" w14:textId="77777777" w:rsidTr="005F249F">
        <w:trPr>
          <w:trHeight w:val="870"/>
        </w:trPr>
        <w:tc>
          <w:tcPr>
            <w:tcW w:w="8647" w:type="dxa"/>
          </w:tcPr>
          <w:p w14:paraId="33172477" w14:textId="77777777" w:rsidR="00FF5B9A" w:rsidRPr="0047490F"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Constitución Política. Artículos 74 y 209</w:t>
            </w:r>
          </w:p>
          <w:p w14:paraId="19DEA8D9" w14:textId="77777777" w:rsidR="00FF5B9A" w:rsidRPr="0047490F"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1150 de 2007. Literal c), artículo 3</w:t>
            </w:r>
          </w:p>
          <w:p w14:paraId="0E00487A" w14:textId="77777777" w:rsidR="00FF5B9A" w:rsidRPr="0047490F"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e), artículo 9</w:t>
            </w:r>
          </w:p>
          <w:p w14:paraId="3BE93A46" w14:textId="77777777" w:rsidR="00FF5B9A" w:rsidRPr="0047490F"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Artículo 5</w:t>
            </w:r>
          </w:p>
          <w:p w14:paraId="7D6D73FB" w14:textId="77777777" w:rsidR="00FF5B9A"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g), artículo 11</w:t>
            </w:r>
          </w:p>
          <w:p w14:paraId="6B075B3E" w14:textId="77777777" w:rsidR="00FF5B9A"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2195 de 2022. Artículo 53</w:t>
            </w:r>
          </w:p>
          <w:p w14:paraId="14444B7E" w14:textId="77777777" w:rsidR="00FF5B9A"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 xml:space="preserve">Decreto 1081 de 2015. Artículo </w:t>
            </w:r>
            <w:r w:rsidRPr="00EF0BDA">
              <w:rPr>
                <w:rStyle w:val="eop"/>
                <w:rFonts w:ascii="Verdana" w:hAnsi="Verdana"/>
                <w:color w:val="000000"/>
                <w:shd w:val="clear" w:color="auto" w:fill="FFFFFF"/>
              </w:rPr>
              <w:t>2.1.1.2.1.7</w:t>
            </w:r>
          </w:p>
          <w:p w14:paraId="1B10DEE4" w14:textId="77777777" w:rsidR="00FF5B9A" w:rsidRPr="00015133" w:rsidRDefault="00FF5B9A" w:rsidP="00FF5B9A">
            <w:pPr>
              <w:widowControl w:val="0"/>
              <w:numPr>
                <w:ilvl w:val="0"/>
                <w:numId w:val="8"/>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 xml:space="preserve">Decreto 1082 de 2015. Artículo </w:t>
            </w:r>
            <w:r w:rsidRPr="00EF0BDA">
              <w:rPr>
                <w:rStyle w:val="eop"/>
                <w:rFonts w:ascii="Verdana" w:hAnsi="Verdana"/>
                <w:color w:val="000000"/>
                <w:shd w:val="clear" w:color="auto" w:fill="FFFFFF"/>
              </w:rPr>
              <w:t>2.2.1.1.1.7.1</w:t>
            </w:r>
          </w:p>
          <w:p w14:paraId="71439A8E" w14:textId="77777777" w:rsidR="00FF5B9A" w:rsidRPr="00F97DC2" w:rsidRDefault="00FF5B9A" w:rsidP="00FF5B9A">
            <w:pPr>
              <w:widowControl w:val="0"/>
              <w:numPr>
                <w:ilvl w:val="0"/>
                <w:numId w:val="8"/>
              </w:numPr>
              <w:autoSpaceDE w:val="0"/>
              <w:autoSpaceDN w:val="0"/>
              <w:spacing w:after="160" w:line="276" w:lineRule="auto"/>
              <w:contextualSpacing/>
              <w:jc w:val="both"/>
              <w:rPr>
                <w:rFonts w:ascii="Verdana" w:eastAsia="Aptos" w:hAnsi="Verdana" w:cs="Arial"/>
              </w:rPr>
            </w:pPr>
            <w:r>
              <w:rPr>
                <w:rFonts w:ascii="Verdana" w:eastAsia="Calibri" w:hAnsi="Verdana" w:cs="Arial"/>
                <w:lang w:val="es-ES"/>
              </w:rPr>
              <w:lastRenderedPageBreak/>
              <w:t xml:space="preserve">Circular Externa Única, disponible </w:t>
            </w:r>
            <w:hyperlink r:id="rId13" w:history="1">
              <w:r w:rsidRPr="00793D96">
                <w:rPr>
                  <w:rStyle w:val="Hipervnculo"/>
                  <w:rFonts w:ascii="Verdana" w:eastAsia="Calibri" w:hAnsi="Verdana" w:cs="Arial"/>
                  <w:lang w:val="es-ES"/>
                </w:rPr>
                <w:t>aquí</w:t>
              </w:r>
            </w:hyperlink>
          </w:p>
          <w:p w14:paraId="498D2F99" w14:textId="77777777" w:rsidR="00FF5B9A" w:rsidRPr="00502E88" w:rsidRDefault="00FF5B9A" w:rsidP="005F249F">
            <w:pPr>
              <w:widowControl w:val="0"/>
              <w:autoSpaceDE w:val="0"/>
              <w:autoSpaceDN w:val="0"/>
              <w:spacing w:after="120" w:line="276" w:lineRule="auto"/>
              <w:jc w:val="both"/>
              <w:rPr>
                <w:rFonts w:ascii="Verdana" w:hAnsi="Verdana" w:cs="Arial"/>
              </w:rPr>
            </w:pPr>
            <w:r>
              <w:rPr>
                <w:rFonts w:ascii="Verdana" w:eastAsia="Calibri" w:hAnsi="Verdana" w:cs="Arial"/>
                <w:lang w:val="es-ES"/>
              </w:rPr>
              <w:t xml:space="preserve">Circular Externa No. 002 del 23 de agosto de 2024, disponible </w:t>
            </w:r>
            <w:hyperlink r:id="rId14" w:history="1">
              <w:r w:rsidRPr="000A3117">
                <w:rPr>
                  <w:rStyle w:val="Hipervnculo"/>
                  <w:rFonts w:ascii="Verdana" w:eastAsia="Calibri" w:hAnsi="Verdana" w:cs="Arial"/>
                  <w:lang w:val="es-ES"/>
                </w:rPr>
                <w:t>aquí</w:t>
              </w:r>
            </w:hyperlink>
          </w:p>
        </w:tc>
      </w:tr>
    </w:tbl>
    <w:p w14:paraId="53B1AD37" w14:textId="77777777" w:rsidR="00FF5B9A" w:rsidRPr="00104073" w:rsidRDefault="00FF5B9A" w:rsidP="00FF5B9A">
      <w:pPr>
        <w:widowControl w:val="0"/>
        <w:autoSpaceDE w:val="0"/>
        <w:autoSpaceDN w:val="0"/>
        <w:spacing w:after="0" w:line="276" w:lineRule="auto"/>
        <w:jc w:val="both"/>
        <w:rPr>
          <w:rFonts w:ascii="Verdana" w:hAnsi="Verdana" w:cs="Arial"/>
        </w:rPr>
      </w:pPr>
    </w:p>
    <w:p w14:paraId="624EFADC" w14:textId="77777777" w:rsidR="00FF5B9A" w:rsidRPr="00104073" w:rsidRDefault="00FF5B9A" w:rsidP="00FF5B9A">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04073">
        <w:rPr>
          <w:rFonts w:ascii="Verdana" w:eastAsia="Century Gothic" w:hAnsi="Verdana" w:cs="Century Gothic"/>
          <w:b/>
          <w:bCs/>
        </w:rPr>
        <w:t>Doctrina de la Agencia Nacional de Contratación Pública:</w:t>
      </w:r>
    </w:p>
    <w:p w14:paraId="0AFAA8A3" w14:textId="77777777" w:rsidR="00FF5B9A" w:rsidRPr="00104073" w:rsidRDefault="00FF5B9A" w:rsidP="00FF5B9A">
      <w:pPr>
        <w:widowControl w:val="0"/>
        <w:autoSpaceDE w:val="0"/>
        <w:autoSpaceDN w:val="0"/>
        <w:spacing w:after="0" w:line="276" w:lineRule="auto"/>
        <w:jc w:val="both"/>
        <w:rPr>
          <w:rFonts w:ascii="Verdana" w:hAnsi="Verdana" w:cs="Arial"/>
        </w:rPr>
      </w:pPr>
    </w:p>
    <w:p w14:paraId="4D24191B" w14:textId="77777777" w:rsidR="00FF5B9A" w:rsidRPr="0047490F" w:rsidRDefault="00FF5B9A" w:rsidP="00FF5B9A">
      <w:pPr>
        <w:widowControl w:val="0"/>
        <w:autoSpaceDE w:val="0"/>
        <w:autoSpaceDN w:val="0"/>
        <w:spacing w:after="0" w:line="276" w:lineRule="auto"/>
        <w:jc w:val="both"/>
        <w:rPr>
          <w:rFonts w:ascii="Verdana" w:eastAsia="Aptos" w:hAnsi="Verdana" w:cs="Arial"/>
        </w:rPr>
      </w:pPr>
    </w:p>
    <w:p w14:paraId="7CE3FADE" w14:textId="77777777" w:rsidR="00FF5B9A" w:rsidRPr="003B5702" w:rsidRDefault="00FF5B9A" w:rsidP="00FF5B9A">
      <w:pPr>
        <w:widowControl w:val="0"/>
        <w:autoSpaceDE w:val="0"/>
        <w:autoSpaceDN w:val="0"/>
        <w:spacing w:after="0" w:line="276" w:lineRule="auto"/>
        <w:jc w:val="both"/>
        <w:rPr>
          <w:rStyle w:val="Hipervnculo"/>
        </w:rPr>
      </w:pPr>
      <w:r w:rsidRPr="0047490F">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47490F">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y C-071 del 28 de marzo de 2023</w:t>
      </w:r>
      <w:r w:rsidRPr="0047490F">
        <w:rPr>
          <w:rFonts w:ascii="Verdana" w:eastAsia="Aptos" w:hAnsi="Verdana" w:cs="Arial"/>
          <w:shd w:val="clear" w:color="auto" w:fill="FFFFFF"/>
          <w:lang w:val="es-ES"/>
        </w:rPr>
        <w:t xml:space="preserve">, </w:t>
      </w:r>
      <w:r>
        <w:rPr>
          <w:rFonts w:ascii="Verdana" w:eastAsia="Aptos" w:hAnsi="Verdana" w:cs="Arial"/>
          <w:shd w:val="clear" w:color="auto" w:fill="FFFFFF"/>
          <w:lang w:val="es-ES"/>
        </w:rPr>
        <w:t>entre otros.</w:t>
      </w:r>
      <w:r w:rsidRPr="00B47EE4">
        <w:rPr>
          <w:rStyle w:val="normaltextrun"/>
          <w:rFonts w:ascii="Verdana" w:hAnsi="Verdana" w:cs="Arial"/>
          <w:shd w:val="clear" w:color="auto" w:fill="FFFFFF"/>
        </w:rPr>
        <w:t xml:space="preserve"> Es</w:t>
      </w:r>
      <w:r w:rsidRPr="00B47EE4">
        <w:rPr>
          <w:rFonts w:ascii="Verdana" w:hAnsi="Verdana"/>
        </w:rPr>
        <w:t xml:space="preserve">tos y otros conceptos se encuentran disponibles para consulta en el Sistema de relatoría de la Agencia, al cual se puede acceder a través del siguiente </w:t>
      </w:r>
      <w:r w:rsidRPr="00104073">
        <w:rPr>
          <w:rFonts w:ascii="Verdana" w:hAnsi="Verdana"/>
        </w:rPr>
        <w:t>enlace:</w:t>
      </w:r>
      <w:r w:rsidRPr="00104073">
        <w:rPr>
          <w:rStyle w:val="normaltextrun"/>
          <w:rFonts w:ascii="Verdana" w:hAnsi="Verdana" w:cs="Arial"/>
          <w:shd w:val="clear" w:color="auto" w:fill="FFFFFF"/>
        </w:rPr>
        <w:t xml:space="preserve"> </w:t>
      </w:r>
      <w:hyperlink r:id="rId15" w:history="1">
        <w:r w:rsidRPr="003B5702">
          <w:rPr>
            <w:rStyle w:val="Hipervnculo"/>
            <w:rFonts w:ascii="Verdana" w:hAnsi="Verdana" w:cs="Arial"/>
            <w:shd w:val="clear" w:color="auto" w:fill="FFFFFF"/>
          </w:rPr>
          <w:t>https://relatoria.colombiacompra.gov.co/busqueda/conceptos</w:t>
        </w:r>
      </w:hyperlink>
      <w:r w:rsidRPr="003B5702">
        <w:rPr>
          <w:rStyle w:val="Hipervnculo"/>
        </w:rPr>
        <w:t xml:space="preserve">. </w:t>
      </w:r>
    </w:p>
    <w:p w14:paraId="511C2396" w14:textId="77777777" w:rsidR="00FF5B9A" w:rsidRPr="00104073" w:rsidRDefault="00FF5B9A" w:rsidP="00FF5B9A">
      <w:pPr>
        <w:widowControl w:val="0"/>
        <w:autoSpaceDE w:val="0"/>
        <w:autoSpaceDN w:val="0"/>
        <w:spacing w:after="0" w:line="276" w:lineRule="auto"/>
        <w:jc w:val="both"/>
        <w:rPr>
          <w:rStyle w:val="normaltextrun"/>
          <w:rFonts w:ascii="Verdana" w:hAnsi="Verdana" w:cs="Arial"/>
          <w:color w:val="FF0000"/>
          <w:shd w:val="clear" w:color="auto" w:fill="FFFFFF"/>
        </w:rPr>
      </w:pPr>
    </w:p>
    <w:p w14:paraId="3F8E24F5" w14:textId="77777777" w:rsidR="00FF5B9A" w:rsidRPr="003B5702" w:rsidRDefault="00FF5B9A" w:rsidP="00FF5B9A">
      <w:pPr>
        <w:spacing w:after="0" w:line="240" w:lineRule="auto"/>
        <w:jc w:val="both"/>
        <w:rPr>
          <w:rFonts w:ascii="Verdana" w:hAnsi="Verdana" w:cs="Arial"/>
          <w:color w:val="000000" w:themeColor="text1"/>
          <w:shd w:val="clear" w:color="auto" w:fill="FFFFFF"/>
        </w:rPr>
      </w:pPr>
      <w:r w:rsidRPr="00E332F6">
        <w:rPr>
          <w:rFonts w:ascii="Verdana" w:hAnsi="Verdana" w:cs="Arial"/>
          <w:color w:val="000000" w:themeColor="text1"/>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6" w:tgtFrame="_blank" w:tooltip="Dirección URL original: https://www.colombiacompra.gov.co/content/borrador-de-documentos-tipo-de-consultoria-de-obra-publica-de-infraestructura-de-transporte. Haga clic o pulse si confía en este vínculo." w:history="1">
        <w:r w:rsidRPr="003B5702">
          <w:rPr>
            <w:rStyle w:val="Hipervnculo"/>
            <w:rFonts w:ascii="Verdana" w:hAnsi="Verdana" w:cs="Arial"/>
            <w:shd w:val="clear" w:color="auto" w:fill="FFFFFF"/>
          </w:rPr>
          <w:t>https://www.colombiacompra.gov.co/content/borrador-de-documentos-tipo-de-consultoria-de-obra-publica-de-infraestructura-de-transporte</w:t>
        </w:r>
      </w:hyperlink>
      <w:r w:rsidRPr="003B5702">
        <w:rPr>
          <w:rStyle w:val="Hipervnculo"/>
        </w:rPr>
        <w:t> y </w:t>
      </w:r>
      <w:hyperlink r:id="rId17" w:tgtFrame="_blank" w:tooltip="Dirección URL original: https://www.colombiacompra.gov.co/content/borrador-de-documentos-tipo-de-interventoria-de-obra-publica-de-infraestructura-de. Haga clic o pulse si confía en este vínculo." w:history="1">
        <w:r w:rsidRPr="003B5702">
          <w:rPr>
            <w:rStyle w:val="Hipervnculo"/>
            <w:rFonts w:ascii="Verdana" w:hAnsi="Verdana" w:cs="Arial"/>
            <w:shd w:val="clear" w:color="auto" w:fill="FFFFFF"/>
          </w:rPr>
          <w:t>https://www.colombiacompra.gov.co/content/borrador-de-documentos-tipo-de-interventoria-de-obra-publica-de-infraestructura-de</w:t>
        </w:r>
      </w:hyperlink>
      <w:r w:rsidRPr="003B5702">
        <w:rPr>
          <w:rStyle w:val="Hipervnculo"/>
        </w:rPr>
        <w:t> .</w:t>
      </w:r>
    </w:p>
    <w:p w14:paraId="4B2CA152" w14:textId="77777777" w:rsidR="00FF5B9A" w:rsidRPr="003B5702" w:rsidRDefault="00FF5B9A" w:rsidP="00FF5B9A">
      <w:pPr>
        <w:spacing w:after="0" w:line="240" w:lineRule="auto"/>
        <w:jc w:val="both"/>
        <w:rPr>
          <w:rFonts w:ascii="Verdana" w:hAnsi="Verdana" w:cs="Arial"/>
          <w:color w:val="000000" w:themeColor="text1"/>
          <w:shd w:val="clear" w:color="auto" w:fill="FFFFFF"/>
        </w:rPr>
      </w:pPr>
    </w:p>
    <w:p w14:paraId="0A35AA39" w14:textId="77777777" w:rsidR="00FF5B9A" w:rsidRDefault="00FF5B9A" w:rsidP="00FF5B9A">
      <w:pPr>
        <w:spacing w:after="0" w:line="240" w:lineRule="auto"/>
        <w:jc w:val="both"/>
        <w:rPr>
          <w:rFonts w:ascii="Verdana" w:hAnsi="Verdana" w:cs="Arial"/>
          <w:color w:val="000000" w:themeColor="text1"/>
          <w:shd w:val="clear" w:color="auto" w:fill="FFFFFF"/>
        </w:rPr>
      </w:pPr>
      <w:r w:rsidRPr="00E332F6">
        <w:rPr>
          <w:rFonts w:ascii="Verdana" w:hAnsi="Verdana" w:cs="Arial"/>
          <w:color w:val="000000" w:themeColor="text1"/>
          <w:shd w:val="clear" w:color="auto" w:fill="FFFFFF"/>
        </w:rPr>
        <w:lastRenderedPageBreak/>
        <w:t>De otra parte, te contamos que ya publicamos el borrador de la nueva Guía de Contratación Pública Sostenible y Socialmente Responsable. Conoce el documento y realiza tus comentarios hasta el 14 de noviembre de 2024 a través del siguiente enlace: </w:t>
      </w:r>
    </w:p>
    <w:p w14:paraId="47D0019B" w14:textId="77777777" w:rsidR="00FF5B9A" w:rsidRDefault="00FF5B9A" w:rsidP="00FF5B9A">
      <w:pPr>
        <w:spacing w:after="0" w:line="240" w:lineRule="auto"/>
        <w:jc w:val="both"/>
        <w:rPr>
          <w:rFonts w:ascii="Verdana" w:hAnsi="Verdana" w:cs="Arial"/>
          <w:color w:val="000000" w:themeColor="text1"/>
          <w:shd w:val="clear" w:color="auto" w:fill="FFFFFF"/>
        </w:rPr>
      </w:pPr>
    </w:p>
    <w:p w14:paraId="11DA7A4B" w14:textId="77777777" w:rsidR="00FF5B9A" w:rsidRPr="00104073" w:rsidRDefault="00FF5B9A" w:rsidP="00FF5B9A">
      <w:pPr>
        <w:spacing w:after="0" w:line="240" w:lineRule="auto"/>
        <w:jc w:val="both"/>
        <w:rPr>
          <w:rFonts w:ascii="Verdana" w:hAnsi="Verdana" w:cs="Arial"/>
          <w:color w:val="000000" w:themeColor="text1"/>
          <w:shd w:val="clear" w:color="auto" w:fill="FFFFFF"/>
        </w:rPr>
      </w:pPr>
      <w:hyperlink r:id="rId18" w:tgtFrame="_blank" w:tooltip="Dirección URL original: https://www.sucop.gov.co/entidades/colombiacompra/Normativa?IDNorma=18320. Haga clic o pulse si confía en este vínculo." w:history="1">
        <w:r w:rsidRPr="00E332F6">
          <w:rPr>
            <w:rStyle w:val="Hipervnculo"/>
            <w:rFonts w:ascii="Verdana" w:hAnsi="Verdana" w:cs="Arial"/>
            <w:shd w:val="clear" w:color="auto" w:fill="FFFFFF"/>
          </w:rPr>
          <w:t>https://www.sucop.gov.co/entidades/colombiacompra/Normativa?IDNorma=18320</w:t>
        </w:r>
      </w:hyperlink>
      <w:r w:rsidRPr="00E332F6">
        <w:rPr>
          <w:rFonts w:ascii="Verdana" w:hAnsi="Verdana" w:cs="Arial"/>
          <w:color w:val="000000" w:themeColor="text1"/>
          <w:shd w:val="clear" w:color="auto" w:fill="FFFFFF"/>
        </w:rPr>
        <w:t>  </w:t>
      </w:r>
    </w:p>
    <w:p w14:paraId="059240B4" w14:textId="77777777" w:rsidR="00FF5B9A" w:rsidRPr="00E332F6" w:rsidRDefault="00FF5B9A" w:rsidP="00FF5B9A">
      <w:pPr>
        <w:spacing w:after="0" w:line="240" w:lineRule="auto"/>
        <w:jc w:val="both"/>
        <w:rPr>
          <w:rFonts w:ascii="Verdana" w:hAnsi="Verdana" w:cs="Arial"/>
          <w:color w:val="000000" w:themeColor="text1"/>
          <w:shd w:val="clear" w:color="auto" w:fill="FFFFFF"/>
        </w:rPr>
      </w:pPr>
    </w:p>
    <w:p w14:paraId="56C8E85F" w14:textId="77777777" w:rsidR="00FF5B9A" w:rsidRPr="00E332F6" w:rsidRDefault="00FF5B9A" w:rsidP="00FF5B9A">
      <w:pPr>
        <w:spacing w:after="0" w:line="240" w:lineRule="auto"/>
        <w:jc w:val="both"/>
        <w:rPr>
          <w:rFonts w:ascii="Verdana" w:hAnsi="Verdana" w:cs="Arial"/>
          <w:color w:val="000000" w:themeColor="text1"/>
          <w:shd w:val="clear" w:color="auto" w:fill="FFFFFF"/>
        </w:rPr>
      </w:pPr>
      <w:r w:rsidRPr="00E332F6">
        <w:rPr>
          <w:rFonts w:ascii="Verdana" w:hAnsi="Verdana" w:cs="Arial"/>
          <w:color w:val="000000" w:themeColor="text1"/>
          <w:shd w:val="clear" w:color="auto" w:fill="FFFFFF"/>
        </w:rPr>
        <w:t xml:space="preserve">También le invitamos a consultar las versiones V y VI de 2024 del Boletín de Relatoría de la Subdirección de Gestión Contractual relacionados con las guías de Plan Anual de Adquisiciones y la </w:t>
      </w:r>
      <w:r w:rsidRPr="00104073">
        <w:rPr>
          <w:rFonts w:ascii="Verdana" w:hAnsi="Verdana" w:cs="Arial"/>
          <w:color w:val="000000" w:themeColor="text1"/>
          <w:shd w:val="clear" w:color="auto" w:fill="FFFFFF"/>
        </w:rPr>
        <w:t>modalidad</w:t>
      </w:r>
      <w:r w:rsidRPr="00E332F6">
        <w:rPr>
          <w:rFonts w:ascii="Verdana" w:hAnsi="Verdana" w:cs="Arial"/>
          <w:color w:val="000000" w:themeColor="text1"/>
          <w:shd w:val="clear" w:color="auto" w:fill="FFFFFF"/>
        </w:rPr>
        <w:t xml:space="preserve"> de selección de mínima cuantía , los cuales se pueden descargar en la página web de la Agencia: </w:t>
      </w:r>
      <w:hyperlink r:id="rId19" w:tgtFrame="_blank" w:tooltip="Dirección URL original: https://www.colombiacompra.gov.co/sala-de-prensa/boletin-digital. Haga clic o pulse si confía en este vínculo." w:history="1">
        <w:r w:rsidRPr="00E332F6">
          <w:rPr>
            <w:rStyle w:val="Hipervnculo"/>
            <w:rFonts w:ascii="Verdana" w:hAnsi="Verdana" w:cs="Arial"/>
            <w:shd w:val="clear" w:color="auto" w:fill="FFFFFF"/>
          </w:rPr>
          <w:t>https://www.colombiacompra.gov.co/sala-de-prensa/boletin-digital</w:t>
        </w:r>
      </w:hyperlink>
    </w:p>
    <w:p w14:paraId="74875A14" w14:textId="77777777" w:rsidR="00FF5B9A" w:rsidRPr="00104073" w:rsidRDefault="00FF5B9A" w:rsidP="00FF5B9A">
      <w:pPr>
        <w:spacing w:after="0" w:line="240" w:lineRule="auto"/>
        <w:jc w:val="both"/>
        <w:rPr>
          <w:rFonts w:ascii="Verdana" w:hAnsi="Verdana"/>
        </w:rPr>
      </w:pPr>
    </w:p>
    <w:p w14:paraId="07979BBE" w14:textId="77777777" w:rsidR="00FF5B9A" w:rsidRPr="00104073" w:rsidRDefault="00FF5B9A" w:rsidP="00FF5B9A">
      <w:pPr>
        <w:spacing w:after="0" w:line="240" w:lineRule="auto"/>
        <w:jc w:val="both"/>
        <w:rPr>
          <w:rFonts w:ascii="Verdana" w:hAnsi="Verdana"/>
        </w:rPr>
      </w:pPr>
      <w:r w:rsidRPr="00104073">
        <w:rPr>
          <w:rFonts w:ascii="Verdana" w:hAnsi="Verdana"/>
        </w:rPr>
        <w:t xml:space="preserve">Por último, lo invitamos a seguirnos en las redes sociales en las cuales se difunde información institucional: </w:t>
      </w:r>
    </w:p>
    <w:p w14:paraId="5E3E7FD8" w14:textId="77777777" w:rsidR="00FF5B9A" w:rsidRPr="00104073" w:rsidRDefault="00FF5B9A" w:rsidP="00FF5B9A">
      <w:pPr>
        <w:spacing w:after="0" w:line="240" w:lineRule="auto"/>
        <w:jc w:val="both"/>
        <w:rPr>
          <w:rFonts w:ascii="Verdana" w:hAnsi="Verdana"/>
        </w:rPr>
      </w:pPr>
    </w:p>
    <w:p w14:paraId="1EBB67AC" w14:textId="77777777" w:rsidR="00FF5B9A" w:rsidRPr="00104073" w:rsidRDefault="00FF5B9A" w:rsidP="00FF5B9A">
      <w:pPr>
        <w:spacing w:after="0" w:line="240" w:lineRule="auto"/>
        <w:jc w:val="both"/>
        <w:rPr>
          <w:rFonts w:ascii="Verdana" w:hAnsi="Verdana"/>
        </w:rPr>
      </w:pPr>
      <w:r w:rsidRPr="00104073">
        <w:rPr>
          <w:rFonts w:ascii="Verdana" w:hAnsi="Verdana"/>
        </w:rPr>
        <w:t xml:space="preserve">Twitter: </w:t>
      </w:r>
      <w:r w:rsidRPr="00104073">
        <w:rPr>
          <w:rStyle w:val="Hipervnculo"/>
          <w:rFonts w:ascii="Verdana" w:hAnsi="Verdana"/>
          <w:color w:val="4472C4" w:themeColor="accent1"/>
        </w:rPr>
        <w:t>@colombiacompra</w:t>
      </w:r>
      <w:r w:rsidRPr="00104073">
        <w:rPr>
          <w:rFonts w:ascii="Verdana" w:hAnsi="Verdana"/>
          <w:color w:val="4472C4" w:themeColor="accent1"/>
        </w:rPr>
        <w:t xml:space="preserve"> </w:t>
      </w:r>
    </w:p>
    <w:p w14:paraId="16850209" w14:textId="77777777" w:rsidR="00FF5B9A" w:rsidRPr="00104073" w:rsidRDefault="00FF5B9A" w:rsidP="00FF5B9A">
      <w:pPr>
        <w:spacing w:after="0" w:line="240" w:lineRule="auto"/>
        <w:jc w:val="both"/>
        <w:rPr>
          <w:rFonts w:ascii="Verdana" w:hAnsi="Verdana"/>
        </w:rPr>
      </w:pPr>
      <w:r w:rsidRPr="00104073">
        <w:rPr>
          <w:rFonts w:ascii="Verdana" w:hAnsi="Verdana"/>
        </w:rPr>
        <w:t xml:space="preserve">Facebook: </w:t>
      </w:r>
      <w:r w:rsidRPr="00104073">
        <w:rPr>
          <w:rStyle w:val="Hipervnculo"/>
          <w:rFonts w:ascii="Verdana" w:hAnsi="Verdana"/>
          <w:color w:val="4472C4" w:themeColor="accent1"/>
        </w:rPr>
        <w:t>ColombiaCompraEficiente</w:t>
      </w:r>
    </w:p>
    <w:p w14:paraId="07ABD0DD" w14:textId="77777777" w:rsidR="00FF5B9A" w:rsidRPr="00104073" w:rsidRDefault="00FF5B9A" w:rsidP="00FF5B9A">
      <w:pPr>
        <w:spacing w:after="0" w:line="240" w:lineRule="auto"/>
        <w:jc w:val="both"/>
        <w:rPr>
          <w:rFonts w:ascii="Verdana" w:hAnsi="Verdana"/>
        </w:rPr>
      </w:pPr>
      <w:r w:rsidRPr="00104073">
        <w:rPr>
          <w:rFonts w:ascii="Verdana" w:hAnsi="Verdana"/>
        </w:rPr>
        <w:t xml:space="preserve">LinkedIn: </w:t>
      </w:r>
      <w:r w:rsidRPr="00104073">
        <w:rPr>
          <w:rStyle w:val="Hipervnculo"/>
          <w:rFonts w:ascii="Verdana" w:hAnsi="Verdana"/>
          <w:color w:val="4472C4" w:themeColor="accent1"/>
        </w:rPr>
        <w:t>Agencia Nacional de Contratación Pública - Colombia Compra Eficiente</w:t>
      </w:r>
      <w:r w:rsidRPr="00104073">
        <w:rPr>
          <w:rFonts w:ascii="Verdana" w:hAnsi="Verdana"/>
          <w:color w:val="4472C4" w:themeColor="accent1"/>
        </w:rPr>
        <w:t xml:space="preserve"> </w:t>
      </w:r>
      <w:r w:rsidRPr="00104073">
        <w:rPr>
          <w:rFonts w:ascii="Verdana" w:hAnsi="Verdana"/>
        </w:rPr>
        <w:t xml:space="preserve">Instagram: </w:t>
      </w:r>
      <w:r w:rsidRPr="00104073">
        <w:rPr>
          <w:rStyle w:val="Hipervnculo"/>
          <w:rFonts w:ascii="Verdana" w:hAnsi="Verdana"/>
          <w:color w:val="4472C4" w:themeColor="accent1"/>
        </w:rPr>
        <w:t>@colombiacompraeficiente_cce</w:t>
      </w:r>
    </w:p>
    <w:p w14:paraId="65786D99" w14:textId="77777777" w:rsidR="00FF5B9A" w:rsidRPr="00104073" w:rsidRDefault="00FF5B9A" w:rsidP="00FF5B9A">
      <w:pPr>
        <w:widowControl w:val="0"/>
        <w:autoSpaceDE w:val="0"/>
        <w:autoSpaceDN w:val="0"/>
        <w:spacing w:after="0" w:line="276" w:lineRule="auto"/>
        <w:jc w:val="both"/>
        <w:rPr>
          <w:rFonts w:ascii="Verdana" w:hAnsi="Verdana" w:cs="Arial"/>
        </w:rPr>
      </w:pPr>
    </w:p>
    <w:p w14:paraId="58117314" w14:textId="77777777" w:rsidR="00FF5B9A" w:rsidRPr="00104073" w:rsidRDefault="00FF5B9A" w:rsidP="00FF5B9A">
      <w:pPr>
        <w:widowControl w:val="0"/>
        <w:autoSpaceDE w:val="0"/>
        <w:autoSpaceDN w:val="0"/>
        <w:spacing w:after="0" w:line="276" w:lineRule="auto"/>
        <w:jc w:val="both"/>
        <w:rPr>
          <w:rFonts w:ascii="Verdana" w:hAnsi="Verdana" w:cs="Arial"/>
        </w:rPr>
      </w:pPr>
      <w:r w:rsidRPr="00104073">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078A0B5" w14:textId="77777777" w:rsidR="00FF5B9A" w:rsidRPr="00104073" w:rsidRDefault="00FF5B9A" w:rsidP="00FF5B9A">
      <w:pPr>
        <w:widowControl w:val="0"/>
        <w:autoSpaceDE w:val="0"/>
        <w:autoSpaceDN w:val="0"/>
        <w:spacing w:after="0" w:line="276" w:lineRule="auto"/>
        <w:jc w:val="both"/>
        <w:rPr>
          <w:rFonts w:ascii="Verdana" w:hAnsi="Verdana" w:cs="Arial"/>
        </w:rPr>
      </w:pPr>
    </w:p>
    <w:p w14:paraId="1EB9FC73" w14:textId="77777777" w:rsidR="00FF5B9A" w:rsidRPr="00104073" w:rsidRDefault="00FF5B9A" w:rsidP="00FF5B9A">
      <w:pPr>
        <w:spacing w:after="0" w:line="240" w:lineRule="auto"/>
        <w:rPr>
          <w:rFonts w:ascii="Verdana" w:hAnsi="Verdana" w:cs="Arial"/>
          <w:lang w:eastAsia="es-CO"/>
        </w:rPr>
      </w:pPr>
      <w:r w:rsidRPr="00104073">
        <w:rPr>
          <w:rFonts w:ascii="Verdana" w:eastAsia="Times New Roman" w:hAnsi="Verdana" w:cs="Arial"/>
          <w:lang w:eastAsia="es-CO"/>
        </w:rPr>
        <w:t>Atentamente,</w:t>
      </w:r>
    </w:p>
    <w:p w14:paraId="60168032" w14:textId="722B406A" w:rsidR="00FF5B9A" w:rsidRPr="00104073" w:rsidRDefault="00020EA4" w:rsidP="00FF5B9A">
      <w:pPr>
        <w:spacing w:line="276" w:lineRule="auto"/>
        <w:jc w:val="center"/>
        <w:rPr>
          <w:rFonts w:ascii="Verdana" w:hAnsi="Verdana" w:cs="Arial"/>
          <w:color w:val="000000"/>
          <w:lang w:eastAsia="es-CO"/>
        </w:rPr>
      </w:pPr>
      <w:r w:rsidRPr="000E7121">
        <w:rPr>
          <w:rFonts w:ascii="Verdana" w:eastAsia="Aptos" w:hAnsi="Verdana" w:cs="Arial"/>
          <w:noProof/>
          <w:lang w:eastAsia="es-CO"/>
        </w:rPr>
        <w:drawing>
          <wp:inline distT="0" distB="0" distL="0" distR="0" wp14:anchorId="00531CB8" wp14:editId="0F817C37">
            <wp:extent cx="3399549" cy="1261954"/>
            <wp:effectExtent l="0" t="0" r="0" b="0"/>
            <wp:docPr id="159554257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03593" cy="126345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5B9A" w:rsidRPr="00B47EE4" w14:paraId="745D9C1D" w14:textId="77777777" w:rsidTr="005F249F">
        <w:trPr>
          <w:trHeight w:val="315"/>
        </w:trPr>
        <w:tc>
          <w:tcPr>
            <w:tcW w:w="893" w:type="dxa"/>
            <w:vAlign w:val="center"/>
            <w:hideMark/>
          </w:tcPr>
          <w:p w14:paraId="5A40F5C0" w14:textId="77777777" w:rsidR="00FF5B9A" w:rsidRPr="00B47EE4" w:rsidRDefault="00FF5B9A" w:rsidP="005F249F">
            <w:pPr>
              <w:contextualSpacing/>
              <w:rPr>
                <w:rFonts w:ascii="Verdana" w:hAnsi="Verdana" w:cs="Arial"/>
                <w:sz w:val="16"/>
                <w:szCs w:val="16"/>
                <w:lang w:eastAsia="es-ES"/>
              </w:rPr>
            </w:pPr>
            <w:r w:rsidRPr="00B47EE4">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9209CB2" w14:textId="77777777" w:rsidR="00FF5B9A" w:rsidRPr="00B47EE4" w:rsidRDefault="00FF5B9A" w:rsidP="005F249F">
            <w:pPr>
              <w:contextualSpacing/>
              <w:rPr>
                <w:rStyle w:val="normaltextrun"/>
                <w:rFonts w:ascii="Verdana" w:hAnsi="Verdana"/>
                <w:sz w:val="16"/>
                <w:szCs w:val="16"/>
              </w:rPr>
            </w:pPr>
            <w:r w:rsidRPr="00B47EE4">
              <w:rPr>
                <w:rStyle w:val="normaltextrun"/>
                <w:rFonts w:ascii="Verdana" w:hAnsi="Verdana"/>
                <w:sz w:val="16"/>
                <w:szCs w:val="16"/>
              </w:rPr>
              <w:t>Gloria Ximena Moreno Guio</w:t>
            </w:r>
          </w:p>
          <w:p w14:paraId="43281941" w14:textId="77777777" w:rsidR="00FF5B9A" w:rsidRPr="00B47EE4" w:rsidRDefault="00FF5B9A" w:rsidP="005F249F">
            <w:pPr>
              <w:contextualSpacing/>
              <w:rPr>
                <w:rFonts w:ascii="Verdana" w:eastAsia="Arial" w:hAnsi="Verdana" w:cs="Arial"/>
                <w:sz w:val="16"/>
                <w:szCs w:val="16"/>
              </w:rPr>
            </w:pPr>
            <w:r w:rsidRPr="00B47EE4">
              <w:rPr>
                <w:rStyle w:val="normaltextrun"/>
                <w:rFonts w:ascii="Verdana" w:hAnsi="Verdana"/>
                <w:sz w:val="16"/>
                <w:szCs w:val="16"/>
              </w:rPr>
              <w:t xml:space="preserve">Contratista </w:t>
            </w:r>
            <w:r w:rsidRPr="00B47EE4">
              <w:rPr>
                <w:rStyle w:val="normaltextrun"/>
                <w:rFonts w:ascii="Verdana" w:eastAsia="Arial" w:hAnsi="Verdana" w:cs="Arial"/>
                <w:sz w:val="16"/>
                <w:szCs w:val="16"/>
              </w:rPr>
              <w:t>de la Subdirección de Gestión Contractual</w:t>
            </w:r>
          </w:p>
        </w:tc>
      </w:tr>
      <w:tr w:rsidR="00FF5B9A" w:rsidRPr="00B47EE4" w14:paraId="54B95EF5" w14:textId="77777777" w:rsidTr="005F249F">
        <w:trPr>
          <w:trHeight w:val="330"/>
        </w:trPr>
        <w:tc>
          <w:tcPr>
            <w:tcW w:w="893" w:type="dxa"/>
            <w:vAlign w:val="center"/>
            <w:hideMark/>
          </w:tcPr>
          <w:p w14:paraId="463B0C01" w14:textId="77777777" w:rsidR="00FF5B9A" w:rsidRPr="00B47EE4" w:rsidRDefault="00FF5B9A" w:rsidP="005F249F">
            <w:pPr>
              <w:contextualSpacing/>
              <w:rPr>
                <w:rFonts w:ascii="Verdana" w:hAnsi="Verdana" w:cs="Arial"/>
                <w:sz w:val="16"/>
                <w:szCs w:val="16"/>
                <w:lang w:eastAsia="es-ES"/>
              </w:rPr>
            </w:pPr>
            <w:r w:rsidRPr="00B47EE4">
              <w:rPr>
                <w:rFonts w:ascii="Verdana" w:hAnsi="Verdana" w:cs="Arial"/>
                <w:sz w:val="16"/>
                <w:szCs w:val="16"/>
                <w:lang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486BC9" w14:textId="77777777" w:rsidR="00FF5B9A" w:rsidRPr="00902468" w:rsidRDefault="00FF5B9A" w:rsidP="005F249F">
            <w:pPr>
              <w:pStyle w:val="paragraph"/>
              <w:spacing w:before="0" w:beforeAutospacing="0" w:after="0" w:afterAutospacing="0"/>
              <w:contextualSpacing/>
              <w:textAlignment w:val="baseline"/>
              <w:rPr>
                <w:rFonts w:ascii="Verdana" w:hAnsi="Verdana" w:cs="Arial"/>
                <w:sz w:val="16"/>
                <w:szCs w:val="16"/>
                <w:lang w:val="es-MX"/>
              </w:rPr>
            </w:pPr>
            <w:r w:rsidRPr="00902468">
              <w:rPr>
                <w:rFonts w:ascii="Verdana" w:hAnsi="Verdana" w:cs="Arial"/>
                <w:sz w:val="16"/>
                <w:szCs w:val="16"/>
                <w:lang w:val="es-MX"/>
              </w:rPr>
              <w:t>Alejandro Sarmiento Cantillo</w:t>
            </w:r>
          </w:p>
          <w:p w14:paraId="0F5BEDAA" w14:textId="77777777" w:rsidR="00FF5B9A" w:rsidRPr="00902468" w:rsidRDefault="00FF5B9A" w:rsidP="005F249F">
            <w:pPr>
              <w:pStyle w:val="paragraph"/>
              <w:spacing w:before="0" w:beforeAutospacing="0" w:after="0" w:afterAutospacing="0"/>
              <w:contextualSpacing/>
              <w:textAlignment w:val="baseline"/>
              <w:rPr>
                <w:rFonts w:ascii="Verdana" w:hAnsi="Verdana" w:cs="Arial"/>
                <w:sz w:val="16"/>
                <w:szCs w:val="16"/>
                <w:lang w:val="es-MX"/>
              </w:rPr>
            </w:pPr>
            <w:r w:rsidRPr="00902468">
              <w:rPr>
                <w:rFonts w:ascii="Verdana" w:hAnsi="Verdana" w:cs="Arial"/>
                <w:sz w:val="16"/>
                <w:szCs w:val="16"/>
                <w:lang w:val="es-MX"/>
              </w:rPr>
              <w:t>Gestor T1-15 de la Subdirección de Gestión Contractual</w:t>
            </w:r>
          </w:p>
        </w:tc>
      </w:tr>
      <w:tr w:rsidR="00FF5B9A" w:rsidRPr="00B47EE4" w14:paraId="67AE6973" w14:textId="77777777" w:rsidTr="005F249F">
        <w:trPr>
          <w:trHeight w:val="300"/>
        </w:trPr>
        <w:tc>
          <w:tcPr>
            <w:tcW w:w="893" w:type="dxa"/>
            <w:vAlign w:val="center"/>
          </w:tcPr>
          <w:p w14:paraId="667CD2CA" w14:textId="77777777" w:rsidR="00FF5B9A" w:rsidRPr="00B47EE4" w:rsidRDefault="00FF5B9A" w:rsidP="005F249F">
            <w:pPr>
              <w:contextualSpacing/>
              <w:rPr>
                <w:rFonts w:ascii="Verdana" w:hAnsi="Verdana" w:cs="Arial"/>
                <w:sz w:val="16"/>
                <w:szCs w:val="16"/>
                <w:lang w:eastAsia="es-ES"/>
              </w:rPr>
            </w:pPr>
            <w:r w:rsidRPr="00B47EE4">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DAF7DE7" w14:textId="77777777" w:rsidR="00FF5B9A" w:rsidRPr="00B47EE4" w:rsidRDefault="00FF5B9A" w:rsidP="005F249F">
            <w:pPr>
              <w:contextualSpacing/>
              <w:rPr>
                <w:rFonts w:ascii="Verdana" w:eastAsia="Calibri" w:hAnsi="Verdana" w:cs="Arial"/>
                <w:sz w:val="16"/>
                <w:szCs w:val="16"/>
                <w:lang w:eastAsia="es-ES"/>
              </w:rPr>
            </w:pPr>
            <w:r w:rsidRPr="00B47EE4">
              <w:rPr>
                <w:rFonts w:ascii="Verdana" w:eastAsia="Calibri" w:hAnsi="Verdana" w:cs="Arial"/>
                <w:sz w:val="16"/>
                <w:szCs w:val="16"/>
                <w:lang w:eastAsia="es-ES"/>
              </w:rPr>
              <w:t>Carolina Quintero Gacharná</w:t>
            </w:r>
          </w:p>
          <w:p w14:paraId="307DDDB0" w14:textId="77777777" w:rsidR="00FF5B9A" w:rsidRPr="00B47EE4" w:rsidRDefault="00FF5B9A" w:rsidP="005F249F">
            <w:pPr>
              <w:contextualSpacing/>
              <w:rPr>
                <w:rFonts w:ascii="Verdana" w:eastAsia="Calibri" w:hAnsi="Verdana" w:cs="Arial"/>
                <w:sz w:val="16"/>
                <w:szCs w:val="16"/>
                <w:lang w:eastAsia="es-ES"/>
              </w:rPr>
            </w:pPr>
            <w:r w:rsidRPr="00B47EE4">
              <w:rPr>
                <w:rFonts w:ascii="Verdana" w:eastAsia="Calibri" w:hAnsi="Verdana" w:cs="Arial"/>
                <w:sz w:val="16"/>
                <w:szCs w:val="16"/>
                <w:lang w:eastAsia="es-ES"/>
              </w:rPr>
              <w:t>Subdirectora de Gestión Contractual ANCP – CCE</w:t>
            </w:r>
          </w:p>
        </w:tc>
      </w:tr>
    </w:tbl>
    <w:p w14:paraId="291049AE" w14:textId="77777777" w:rsidR="00FF5B9A" w:rsidRPr="00B47EE4" w:rsidRDefault="00FF5B9A" w:rsidP="00FF5B9A">
      <w:pPr>
        <w:spacing w:after="0" w:line="240" w:lineRule="auto"/>
        <w:rPr>
          <w:rFonts w:ascii="Verdana" w:eastAsia="Times New Roman" w:hAnsi="Verdana" w:cs="Arial"/>
          <w:sz w:val="24"/>
          <w:szCs w:val="24"/>
          <w:lang w:eastAsia="es-ES"/>
        </w:rPr>
      </w:pPr>
    </w:p>
    <w:p w14:paraId="70E75713" w14:textId="77777777" w:rsidR="00FF5B9A" w:rsidRPr="00104073" w:rsidRDefault="00FF5B9A" w:rsidP="00FF5B9A">
      <w:pPr>
        <w:rPr>
          <w:rFonts w:ascii="Verdana" w:hAnsi="Verdana"/>
        </w:rPr>
      </w:pPr>
    </w:p>
    <w:p w14:paraId="76045CF3" w14:textId="77777777" w:rsidR="00FF5B9A" w:rsidRPr="001C6D95" w:rsidRDefault="00FF5B9A" w:rsidP="00FF5B9A"/>
    <w:p w14:paraId="2DE7A2A4" w14:textId="77777777" w:rsidR="00FF5B9A" w:rsidRPr="00104073" w:rsidRDefault="00FF5B9A" w:rsidP="00871B59">
      <w:pPr>
        <w:spacing w:after="0" w:line="240" w:lineRule="auto"/>
        <w:rPr>
          <w:rFonts w:ascii="Verdana" w:eastAsia="Geomanist Light" w:hAnsi="Verdana" w:cs="Arial"/>
          <w:color w:val="000000" w:themeColor="text1"/>
        </w:rPr>
      </w:pPr>
    </w:p>
    <w:sectPr w:rsidR="00FF5B9A" w:rsidRPr="00104073"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3F5B" w14:textId="77777777" w:rsidR="00F817C4" w:rsidRDefault="00F817C4" w:rsidP="00B30448">
      <w:pPr>
        <w:spacing w:after="0" w:line="240" w:lineRule="auto"/>
      </w:pPr>
      <w:r>
        <w:separator/>
      </w:r>
    </w:p>
  </w:endnote>
  <w:endnote w:type="continuationSeparator" w:id="0">
    <w:p w14:paraId="5D656DF6" w14:textId="77777777" w:rsidR="00F817C4" w:rsidRDefault="00F817C4" w:rsidP="00B30448">
      <w:pPr>
        <w:spacing w:after="0" w:line="240" w:lineRule="auto"/>
      </w:pPr>
      <w:r>
        <w:continuationSeparator/>
      </w:r>
    </w:p>
  </w:endnote>
  <w:endnote w:type="continuationNotice" w:id="1">
    <w:p w14:paraId="6B4F1A8A" w14:textId="77777777" w:rsidR="00F817C4" w:rsidRDefault="00F81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ED6B4" w14:textId="77777777" w:rsidR="00F817C4" w:rsidRDefault="00F817C4" w:rsidP="00B30448">
      <w:pPr>
        <w:spacing w:after="0" w:line="240" w:lineRule="auto"/>
      </w:pPr>
      <w:r>
        <w:separator/>
      </w:r>
    </w:p>
  </w:footnote>
  <w:footnote w:type="continuationSeparator" w:id="0">
    <w:p w14:paraId="3DC3ED71" w14:textId="77777777" w:rsidR="00F817C4" w:rsidRDefault="00F817C4" w:rsidP="00B30448">
      <w:pPr>
        <w:spacing w:after="0" w:line="240" w:lineRule="auto"/>
      </w:pPr>
      <w:r>
        <w:continuationSeparator/>
      </w:r>
    </w:p>
  </w:footnote>
  <w:footnote w:type="continuationNotice" w:id="1">
    <w:p w14:paraId="574B2756" w14:textId="77777777" w:rsidR="00F817C4" w:rsidRDefault="00F817C4">
      <w:pPr>
        <w:spacing w:after="0" w:line="240" w:lineRule="auto"/>
      </w:pPr>
    </w:p>
  </w:footnote>
  <w:footnote w:id="2">
    <w:p w14:paraId="76AC7D1F"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2490B04"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Lo anterior, sin perjuicio de las publicaciones previstas en el numeral 3 del artículo 30 de la Ley 80 de 1993.</w:t>
      </w:r>
    </w:p>
    <w:p w14:paraId="573882ED"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2E039C36"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w:t>
      </w:r>
    </w:p>
    <w:p w14:paraId="5B8C7C7D"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37909C14" w14:textId="77777777" w:rsidR="00FF5B9A" w:rsidRPr="000A3117" w:rsidRDefault="00FF5B9A" w:rsidP="00FF5B9A">
      <w:pPr>
        <w:pStyle w:val="Textonotapie"/>
        <w:ind w:firstLine="709"/>
        <w:jc w:val="both"/>
        <w:rPr>
          <w:rFonts w:ascii="Verdana" w:hAnsi="Verdana" w:cs="Arial"/>
          <w:color w:val="000000" w:themeColor="text1"/>
          <w:sz w:val="16"/>
          <w:szCs w:val="16"/>
          <w:lang w:val="es-CO"/>
        </w:rPr>
      </w:pPr>
    </w:p>
  </w:footnote>
  <w:footnote w:id="3">
    <w:p w14:paraId="41C08ED8"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334DDAC" w14:textId="77777777" w:rsidR="00FF5B9A" w:rsidRPr="000A3117" w:rsidRDefault="00FF5B9A" w:rsidP="00FF5B9A">
      <w:pPr>
        <w:pStyle w:val="Textonotapie"/>
        <w:ind w:firstLine="709"/>
        <w:jc w:val="both"/>
        <w:rPr>
          <w:rFonts w:ascii="Verdana" w:hAnsi="Verdana" w:cs="Arial"/>
          <w:color w:val="000000" w:themeColor="text1"/>
          <w:sz w:val="16"/>
          <w:szCs w:val="16"/>
          <w:lang w:val="es-CO"/>
        </w:rPr>
      </w:pPr>
    </w:p>
  </w:footnote>
  <w:footnote w:id="4">
    <w:p w14:paraId="6E28C3DB"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CEEA77D" w14:textId="77777777" w:rsidR="00FF5B9A" w:rsidRPr="000A3117" w:rsidRDefault="00FF5B9A" w:rsidP="00FF5B9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A9C34DC" w14:textId="77777777" w:rsidR="00FF5B9A" w:rsidRPr="000A3117" w:rsidRDefault="00FF5B9A" w:rsidP="00FF5B9A">
      <w:pPr>
        <w:pStyle w:val="Textonotapie"/>
        <w:ind w:firstLine="709"/>
        <w:jc w:val="both"/>
        <w:rPr>
          <w:rFonts w:ascii="Verdana" w:hAnsi="Verdana" w:cs="Arial"/>
          <w:color w:val="000000" w:themeColor="text1"/>
          <w:sz w:val="16"/>
          <w:szCs w:val="16"/>
          <w:lang w:val="es-CO"/>
        </w:rPr>
      </w:pPr>
    </w:p>
  </w:footnote>
  <w:footnote w:id="5">
    <w:p w14:paraId="35A4BC95" w14:textId="77777777" w:rsidR="00FF5B9A" w:rsidRPr="000A3117" w:rsidRDefault="00FF5B9A" w:rsidP="00FF5B9A">
      <w:pPr>
        <w:pStyle w:val="Textonotapie"/>
        <w:ind w:firstLine="709"/>
        <w:jc w:val="both"/>
        <w:rPr>
          <w:rFonts w:ascii="Verdana" w:hAnsi="Verdana" w:cs="Arial"/>
          <w:color w:val="000000"/>
          <w:sz w:val="16"/>
          <w:szCs w:val="16"/>
        </w:rPr>
      </w:pPr>
      <w:r w:rsidRPr="000A3117">
        <w:rPr>
          <w:rFonts w:ascii="Verdana" w:eastAsia="Times New Roman" w:hAnsi="Verdana" w:cs="Arial"/>
          <w:color w:val="000000"/>
          <w:sz w:val="16"/>
          <w:szCs w:val="16"/>
          <w:vertAlign w:val="superscript"/>
          <w:lang w:val="es-ES" w:eastAsia="es-ES"/>
        </w:rPr>
        <w:footnoteRef/>
      </w:r>
      <w:r w:rsidRPr="000A3117">
        <w:rPr>
          <w:rFonts w:ascii="Verdana" w:eastAsia="Times New Roman" w:hAnsi="Verdana" w:cs="Arial"/>
          <w:color w:val="000000"/>
          <w:sz w:val="16"/>
          <w:szCs w:val="16"/>
          <w:vertAlign w:val="superscript"/>
          <w:lang w:val="es-ES" w:eastAsia="es-ES"/>
        </w:rPr>
        <w:t xml:space="preserve"> </w:t>
      </w:r>
      <w:r w:rsidRPr="000A3117">
        <w:rPr>
          <w:rFonts w:ascii="Verdana" w:eastAsia="Times New Roman" w:hAnsi="Verdana" w:cs="Arial"/>
          <w:color w:val="000000"/>
          <w:sz w:val="16"/>
          <w:szCs w:val="16"/>
          <w:lang w:val="es-ES" w:eastAsia="es-ES"/>
        </w:rPr>
        <w:t>“</w:t>
      </w:r>
      <w:r w:rsidRPr="000A311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BE35FBF" w14:textId="77777777" w:rsidR="00FF5B9A" w:rsidRPr="000A3117" w:rsidRDefault="00FF5B9A" w:rsidP="00FF5B9A">
      <w:pPr>
        <w:pStyle w:val="Textonotapie"/>
        <w:ind w:firstLine="709"/>
        <w:jc w:val="both"/>
        <w:rPr>
          <w:rFonts w:ascii="Verdana" w:eastAsia="Times New Roman" w:hAnsi="Verdana" w:cs="Arial"/>
          <w:color w:val="000000"/>
          <w:sz w:val="16"/>
          <w:szCs w:val="16"/>
          <w:lang w:val="es-ES" w:eastAsia="es-ES"/>
        </w:rPr>
      </w:pPr>
      <w:r w:rsidRPr="000A3117">
        <w:rPr>
          <w:rFonts w:ascii="Verdana" w:hAnsi="Verdana" w:cs="Arial"/>
          <w:color w:val="000000"/>
          <w:sz w:val="16"/>
          <w:szCs w:val="16"/>
        </w:rPr>
        <w:t>[…].</w:t>
      </w:r>
    </w:p>
    <w:p w14:paraId="2CDCDE08" w14:textId="77777777" w:rsidR="00FF5B9A" w:rsidRPr="000A3117" w:rsidRDefault="00FF5B9A" w:rsidP="00FF5B9A">
      <w:pPr>
        <w:pStyle w:val="Textonotapie"/>
        <w:ind w:firstLine="709"/>
        <w:jc w:val="both"/>
        <w:rPr>
          <w:rFonts w:ascii="Verdana" w:eastAsia="Times New Roman" w:hAnsi="Verdana" w:cs="Arial"/>
          <w:color w:val="000000"/>
          <w:sz w:val="16"/>
          <w:szCs w:val="16"/>
          <w:lang w:val="es-ES" w:eastAsia="es-ES"/>
        </w:rPr>
      </w:pPr>
      <w:r w:rsidRPr="000A3117">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03EA2DD" w14:textId="77777777" w:rsidR="00FF5B9A" w:rsidRPr="000A3117" w:rsidRDefault="00FF5B9A" w:rsidP="00FF5B9A">
      <w:pPr>
        <w:pStyle w:val="Textonotapie"/>
        <w:ind w:firstLine="709"/>
        <w:jc w:val="both"/>
        <w:rPr>
          <w:rFonts w:ascii="Verdana" w:eastAsia="Times New Roman" w:hAnsi="Verdana" w:cs="Arial"/>
          <w:color w:val="000000"/>
          <w:sz w:val="16"/>
          <w:szCs w:val="16"/>
          <w:lang w:val="es-ES" w:eastAsia="es-ES"/>
        </w:rPr>
      </w:pPr>
    </w:p>
  </w:footnote>
  <w:footnote w:id="6">
    <w:p w14:paraId="6DFAB679" w14:textId="77777777" w:rsidR="00FF5B9A" w:rsidRPr="000A3117" w:rsidRDefault="00FF5B9A" w:rsidP="00FF5B9A">
      <w:pPr>
        <w:pStyle w:val="Textonotapie"/>
        <w:ind w:firstLine="709"/>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C</w:t>
      </w:r>
      <w:r w:rsidRPr="000A3117">
        <w:rPr>
          <w:rFonts w:ascii="Verdana" w:eastAsia="Times New Roman" w:hAnsi="Verdana" w:cs="Arial"/>
          <w:color w:val="000000"/>
          <w:sz w:val="16"/>
          <w:szCs w:val="16"/>
          <w:lang w:val="es-ES" w:eastAsia="es-ES"/>
        </w:rPr>
        <w:t>orte Constitucional. Sentencia C‒274 de 9 de mayo de 2013. M.P. Mar</w:t>
      </w:r>
      <w:r w:rsidRPr="000A3117">
        <w:rPr>
          <w:rFonts w:ascii="Verdana" w:eastAsia="Times New Roman" w:hAnsi="Verdana" w:cs="Century Gothic"/>
          <w:color w:val="000000"/>
          <w:sz w:val="16"/>
          <w:szCs w:val="16"/>
          <w:lang w:val="es-ES" w:eastAsia="es-ES"/>
        </w:rPr>
        <w:t>í</w:t>
      </w:r>
      <w:r w:rsidRPr="000A3117">
        <w:rPr>
          <w:rFonts w:ascii="Verdana" w:eastAsia="Times New Roman" w:hAnsi="Verdana" w:cs="Arial"/>
          <w:color w:val="000000"/>
          <w:sz w:val="16"/>
          <w:szCs w:val="16"/>
          <w:lang w:val="es-ES" w:eastAsia="es-ES"/>
        </w:rPr>
        <w:t xml:space="preserve">a Victoria Calle Correa. </w:t>
      </w:r>
    </w:p>
    <w:p w14:paraId="46373705" w14:textId="77777777" w:rsidR="00FF5B9A" w:rsidRPr="000A3117" w:rsidRDefault="00FF5B9A" w:rsidP="00FF5B9A">
      <w:pPr>
        <w:pStyle w:val="Textonotapie"/>
        <w:ind w:firstLine="709"/>
        <w:jc w:val="both"/>
        <w:rPr>
          <w:rFonts w:ascii="Verdana" w:hAnsi="Verdana" w:cs="Arial"/>
          <w:color w:val="000000"/>
          <w:sz w:val="16"/>
          <w:szCs w:val="16"/>
          <w:lang w:val="es-CO"/>
        </w:rPr>
      </w:pPr>
    </w:p>
  </w:footnote>
  <w:footnote w:id="7">
    <w:p w14:paraId="4F46866B" w14:textId="77777777" w:rsidR="00FF5B9A" w:rsidRPr="000A3117" w:rsidRDefault="00FF5B9A" w:rsidP="00FF5B9A">
      <w:pPr>
        <w:pStyle w:val="Textonotapie"/>
        <w:ind w:firstLine="708"/>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5F9F9B46" w14:textId="77777777" w:rsidR="00FF5B9A" w:rsidRPr="000A3117" w:rsidRDefault="00FF5B9A" w:rsidP="00FF5B9A">
      <w:pPr>
        <w:pStyle w:val="Textonotapie"/>
        <w:ind w:firstLine="708"/>
        <w:jc w:val="both"/>
        <w:rPr>
          <w:rFonts w:ascii="Verdana" w:hAnsi="Verdana" w:cs="Arial"/>
          <w:color w:val="000000"/>
          <w:sz w:val="16"/>
          <w:szCs w:val="16"/>
        </w:rPr>
      </w:pPr>
      <w:r w:rsidRPr="000A3117">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8">
    <w:p w14:paraId="0914B58F"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Style w:val="Refdenotaalpie"/>
          <w:rFonts w:ascii="Verdana" w:hAnsi="Verdana" w:cs="Arial"/>
          <w:sz w:val="16"/>
          <w:szCs w:val="16"/>
        </w:rPr>
        <w:footnoteRef/>
      </w:r>
      <w:r w:rsidRPr="000A3117">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7A85DC5A"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1. Los relacionados con la defensa o seguridad nacionales.  </w:t>
      </w:r>
    </w:p>
    <w:p w14:paraId="7C636BBE"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2. Las instrucciones en materia diplomática o sobre negociaciones reservadas.  </w:t>
      </w:r>
    </w:p>
    <w:p w14:paraId="0D294C64"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04644F41"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7412990"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5. Los datos referentes a la información financiera y comercial, en los términos de la Ley Estatutaria 1266 de 2008.  </w:t>
      </w:r>
    </w:p>
    <w:p w14:paraId="39E42E96"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6. Los protegidos por el secreto comercial o industrial, así como los planes estratégicos de las empresas públicas de servicios públicos.  </w:t>
      </w:r>
    </w:p>
    <w:p w14:paraId="01DC0FF4"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7. Los amparados por el secreto profesional.  </w:t>
      </w:r>
    </w:p>
    <w:p w14:paraId="725CC6D9"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8. Los datos genéticos humanos.  </w:t>
      </w:r>
    </w:p>
    <w:p w14:paraId="6C457069" w14:textId="77777777" w:rsidR="00FF5B9A" w:rsidRPr="000A3117" w:rsidRDefault="00FF5B9A" w:rsidP="00FF5B9A">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9">
    <w:p w14:paraId="3EF66D8C" w14:textId="77777777" w:rsidR="00FF5B9A" w:rsidRPr="000A3117" w:rsidRDefault="00FF5B9A" w:rsidP="00FF5B9A">
      <w:pPr>
        <w:pStyle w:val="Textonotapie"/>
        <w:ind w:firstLine="709"/>
        <w:contextualSpacing/>
        <w:jc w:val="both"/>
        <w:rPr>
          <w:rFonts w:ascii="Verdana" w:hAnsi="Verdana" w:cs="Arial"/>
          <w:color w:val="000000"/>
          <w:sz w:val="16"/>
          <w:szCs w:val="16"/>
        </w:rPr>
      </w:pPr>
    </w:p>
    <w:p w14:paraId="0ED56203" w14:textId="77777777" w:rsidR="00FF5B9A" w:rsidRPr="000A3117" w:rsidRDefault="00FF5B9A" w:rsidP="00FF5B9A">
      <w:pPr>
        <w:pStyle w:val="Textonotapie"/>
        <w:ind w:firstLine="709"/>
        <w:contextualSpacing/>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“Numeral 1.1 Las Entidades Estatales de acuerdo con la definición del Decreto Reglamentario 1082 de 2015.  </w:t>
      </w:r>
    </w:p>
    <w:p w14:paraId="2B1DD1E0" w14:textId="77777777" w:rsidR="00FF5B9A" w:rsidRPr="000A3117" w:rsidRDefault="00FF5B9A" w:rsidP="00FF5B9A">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32094E79" w14:textId="77777777" w:rsidR="00FF5B9A" w:rsidRPr="000A3117" w:rsidRDefault="00FF5B9A" w:rsidP="00FF5B9A">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Los particulares deberán publicar la información oficial de la contratación realizada con cargo a recursos públicos. Estos deberán realizar la publicación a través del módulo “Régimen Especial”.</w:t>
      </w:r>
    </w:p>
    <w:p w14:paraId="2A145877" w14:textId="77777777" w:rsidR="00FF5B9A" w:rsidRPr="000A3117" w:rsidRDefault="00FF5B9A" w:rsidP="00FF5B9A">
      <w:pPr>
        <w:pStyle w:val="Textonotapie"/>
        <w:ind w:firstLine="709"/>
        <w:contextualSpacing/>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9232ED"/>
    <w:multiLevelType w:val="hybridMultilevel"/>
    <w:tmpl w:val="F53222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F7A4DBE"/>
    <w:multiLevelType w:val="hybridMultilevel"/>
    <w:tmpl w:val="6FA23126"/>
    <w:lvl w:ilvl="0" w:tplc="08E6B64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0A74E3B"/>
    <w:multiLevelType w:val="hybridMultilevel"/>
    <w:tmpl w:val="925C75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B27E0C"/>
    <w:multiLevelType w:val="hybridMultilevel"/>
    <w:tmpl w:val="EC46DE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0EC2D81"/>
    <w:multiLevelType w:val="hybridMultilevel"/>
    <w:tmpl w:val="47783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9D726F5"/>
    <w:multiLevelType w:val="hybridMultilevel"/>
    <w:tmpl w:val="63D0AE48"/>
    <w:lvl w:ilvl="0" w:tplc="6C5C8568">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1C03451"/>
    <w:multiLevelType w:val="hybridMultilevel"/>
    <w:tmpl w:val="8BF6C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413864817">
    <w:abstractNumId w:val="10"/>
  </w:num>
  <w:num w:numId="2" w16cid:durableId="1091196931">
    <w:abstractNumId w:val="2"/>
  </w:num>
  <w:num w:numId="3" w16cid:durableId="828399262">
    <w:abstractNumId w:val="4"/>
  </w:num>
  <w:num w:numId="4" w16cid:durableId="1709183530">
    <w:abstractNumId w:val="0"/>
  </w:num>
  <w:num w:numId="5" w16cid:durableId="477263750">
    <w:abstractNumId w:val="14"/>
  </w:num>
  <w:num w:numId="6" w16cid:durableId="1445883175">
    <w:abstractNumId w:val="1"/>
  </w:num>
  <w:num w:numId="7" w16cid:durableId="945422757">
    <w:abstractNumId w:val="9"/>
  </w:num>
  <w:num w:numId="8" w16cid:durableId="1493377776">
    <w:abstractNumId w:val="12"/>
  </w:num>
  <w:num w:numId="9" w16cid:durableId="2103455833">
    <w:abstractNumId w:val="6"/>
  </w:num>
  <w:num w:numId="10" w16cid:durableId="1971934253">
    <w:abstractNumId w:val="13"/>
  </w:num>
  <w:num w:numId="11" w16cid:durableId="1533417388">
    <w:abstractNumId w:val="7"/>
  </w:num>
  <w:num w:numId="12" w16cid:durableId="1294360125">
    <w:abstractNumId w:val="8"/>
  </w:num>
  <w:num w:numId="13" w16cid:durableId="1983584124">
    <w:abstractNumId w:val="3"/>
  </w:num>
  <w:num w:numId="14" w16cid:durableId="422070105">
    <w:abstractNumId w:val="5"/>
  </w:num>
  <w:num w:numId="15" w16cid:durableId="499195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20EA4"/>
    <w:rsid w:val="00031584"/>
    <w:rsid w:val="00032A0E"/>
    <w:rsid w:val="00034330"/>
    <w:rsid w:val="00037347"/>
    <w:rsid w:val="0004326C"/>
    <w:rsid w:val="000442CC"/>
    <w:rsid w:val="000556D4"/>
    <w:rsid w:val="000647ED"/>
    <w:rsid w:val="000716AB"/>
    <w:rsid w:val="00082E4C"/>
    <w:rsid w:val="000849D5"/>
    <w:rsid w:val="0008528F"/>
    <w:rsid w:val="000966E1"/>
    <w:rsid w:val="000971DB"/>
    <w:rsid w:val="000A41BE"/>
    <w:rsid w:val="000A6E0C"/>
    <w:rsid w:val="000A7A56"/>
    <w:rsid w:val="000B1FF7"/>
    <w:rsid w:val="000B2513"/>
    <w:rsid w:val="000B4024"/>
    <w:rsid w:val="000C3C51"/>
    <w:rsid w:val="000C7262"/>
    <w:rsid w:val="000D08D0"/>
    <w:rsid w:val="000D2A7F"/>
    <w:rsid w:val="000D4FCE"/>
    <w:rsid w:val="000D55D5"/>
    <w:rsid w:val="00104073"/>
    <w:rsid w:val="0011037E"/>
    <w:rsid w:val="0012032B"/>
    <w:rsid w:val="001363C7"/>
    <w:rsid w:val="00141AC5"/>
    <w:rsid w:val="00146B11"/>
    <w:rsid w:val="00147A04"/>
    <w:rsid w:val="0015476D"/>
    <w:rsid w:val="00161E13"/>
    <w:rsid w:val="00164AE0"/>
    <w:rsid w:val="00165E83"/>
    <w:rsid w:val="00166CD7"/>
    <w:rsid w:val="0017120C"/>
    <w:rsid w:val="00172F3A"/>
    <w:rsid w:val="00194830"/>
    <w:rsid w:val="0019532A"/>
    <w:rsid w:val="0019670E"/>
    <w:rsid w:val="00197205"/>
    <w:rsid w:val="001A5DD4"/>
    <w:rsid w:val="001A67E9"/>
    <w:rsid w:val="001B143B"/>
    <w:rsid w:val="001B21CA"/>
    <w:rsid w:val="001C04FC"/>
    <w:rsid w:val="001C0D41"/>
    <w:rsid w:val="001C25A3"/>
    <w:rsid w:val="001C3954"/>
    <w:rsid w:val="001C5D03"/>
    <w:rsid w:val="001C7771"/>
    <w:rsid w:val="001D6295"/>
    <w:rsid w:val="001D62FF"/>
    <w:rsid w:val="001E1968"/>
    <w:rsid w:val="001E57F7"/>
    <w:rsid w:val="001F3F48"/>
    <w:rsid w:val="002000AA"/>
    <w:rsid w:val="00204109"/>
    <w:rsid w:val="00211E6E"/>
    <w:rsid w:val="00212A46"/>
    <w:rsid w:val="0021401D"/>
    <w:rsid w:val="002146B8"/>
    <w:rsid w:val="00215516"/>
    <w:rsid w:val="002353C0"/>
    <w:rsid w:val="002527C2"/>
    <w:rsid w:val="00256DCE"/>
    <w:rsid w:val="00270443"/>
    <w:rsid w:val="00270EE2"/>
    <w:rsid w:val="00272972"/>
    <w:rsid w:val="00286491"/>
    <w:rsid w:val="002A0F8D"/>
    <w:rsid w:val="002B6E44"/>
    <w:rsid w:val="002E1DB5"/>
    <w:rsid w:val="002E7B5F"/>
    <w:rsid w:val="002F1BA8"/>
    <w:rsid w:val="002F3095"/>
    <w:rsid w:val="002F6CCB"/>
    <w:rsid w:val="0030461E"/>
    <w:rsid w:val="00305AF9"/>
    <w:rsid w:val="0032756A"/>
    <w:rsid w:val="003276E8"/>
    <w:rsid w:val="00334EF8"/>
    <w:rsid w:val="00336408"/>
    <w:rsid w:val="00337C26"/>
    <w:rsid w:val="00340DFB"/>
    <w:rsid w:val="0034404F"/>
    <w:rsid w:val="00350417"/>
    <w:rsid w:val="003515F8"/>
    <w:rsid w:val="00356980"/>
    <w:rsid w:val="00361828"/>
    <w:rsid w:val="00367462"/>
    <w:rsid w:val="003674F2"/>
    <w:rsid w:val="00371ECA"/>
    <w:rsid w:val="00372748"/>
    <w:rsid w:val="0037332A"/>
    <w:rsid w:val="0037737F"/>
    <w:rsid w:val="0038151A"/>
    <w:rsid w:val="00383F14"/>
    <w:rsid w:val="00387FB6"/>
    <w:rsid w:val="0039082A"/>
    <w:rsid w:val="00390C21"/>
    <w:rsid w:val="003915A4"/>
    <w:rsid w:val="00396C67"/>
    <w:rsid w:val="00396DE2"/>
    <w:rsid w:val="003A0817"/>
    <w:rsid w:val="003A37BD"/>
    <w:rsid w:val="003A4598"/>
    <w:rsid w:val="003B48EE"/>
    <w:rsid w:val="003B5362"/>
    <w:rsid w:val="003B5702"/>
    <w:rsid w:val="003B6D94"/>
    <w:rsid w:val="003C4C96"/>
    <w:rsid w:val="003C55E0"/>
    <w:rsid w:val="003D524F"/>
    <w:rsid w:val="003E2115"/>
    <w:rsid w:val="003F17C5"/>
    <w:rsid w:val="003F24E4"/>
    <w:rsid w:val="003F519B"/>
    <w:rsid w:val="0040544F"/>
    <w:rsid w:val="00405DE5"/>
    <w:rsid w:val="00406A19"/>
    <w:rsid w:val="0041222D"/>
    <w:rsid w:val="0041483E"/>
    <w:rsid w:val="00415369"/>
    <w:rsid w:val="00426931"/>
    <w:rsid w:val="00430492"/>
    <w:rsid w:val="0043579F"/>
    <w:rsid w:val="00441CCD"/>
    <w:rsid w:val="00450526"/>
    <w:rsid w:val="00450BE7"/>
    <w:rsid w:val="00455AE9"/>
    <w:rsid w:val="00456A52"/>
    <w:rsid w:val="0046741E"/>
    <w:rsid w:val="00472CC6"/>
    <w:rsid w:val="0048026E"/>
    <w:rsid w:val="004807A9"/>
    <w:rsid w:val="004813EE"/>
    <w:rsid w:val="0048776A"/>
    <w:rsid w:val="0049242F"/>
    <w:rsid w:val="00493278"/>
    <w:rsid w:val="004943D9"/>
    <w:rsid w:val="004A0E7B"/>
    <w:rsid w:val="004A3498"/>
    <w:rsid w:val="004B0C45"/>
    <w:rsid w:val="004C0AB2"/>
    <w:rsid w:val="004C1619"/>
    <w:rsid w:val="004C1A26"/>
    <w:rsid w:val="004C1CC9"/>
    <w:rsid w:val="004C3755"/>
    <w:rsid w:val="004C4485"/>
    <w:rsid w:val="004C77AD"/>
    <w:rsid w:val="004D11AF"/>
    <w:rsid w:val="004E4E59"/>
    <w:rsid w:val="004F3291"/>
    <w:rsid w:val="00500BEF"/>
    <w:rsid w:val="00500DFA"/>
    <w:rsid w:val="005019AA"/>
    <w:rsid w:val="005021BB"/>
    <w:rsid w:val="00502E88"/>
    <w:rsid w:val="005139E7"/>
    <w:rsid w:val="005147DA"/>
    <w:rsid w:val="00515FB5"/>
    <w:rsid w:val="0052365C"/>
    <w:rsid w:val="005236FE"/>
    <w:rsid w:val="00526676"/>
    <w:rsid w:val="005271EB"/>
    <w:rsid w:val="005426DB"/>
    <w:rsid w:val="0055082B"/>
    <w:rsid w:val="00552503"/>
    <w:rsid w:val="00552B57"/>
    <w:rsid w:val="00557DA1"/>
    <w:rsid w:val="0056322C"/>
    <w:rsid w:val="0058743A"/>
    <w:rsid w:val="0059065C"/>
    <w:rsid w:val="005A4DB0"/>
    <w:rsid w:val="005A7B8E"/>
    <w:rsid w:val="005B012B"/>
    <w:rsid w:val="005B0C87"/>
    <w:rsid w:val="005B6FAE"/>
    <w:rsid w:val="005C07DE"/>
    <w:rsid w:val="005C7D46"/>
    <w:rsid w:val="005C7EC9"/>
    <w:rsid w:val="005D23F6"/>
    <w:rsid w:val="005D2FA8"/>
    <w:rsid w:val="005E2281"/>
    <w:rsid w:val="005E3C1C"/>
    <w:rsid w:val="005E667C"/>
    <w:rsid w:val="005F077C"/>
    <w:rsid w:val="005F13D6"/>
    <w:rsid w:val="005F63D0"/>
    <w:rsid w:val="005F7973"/>
    <w:rsid w:val="0061690E"/>
    <w:rsid w:val="0061727B"/>
    <w:rsid w:val="006235FC"/>
    <w:rsid w:val="00627361"/>
    <w:rsid w:val="00627911"/>
    <w:rsid w:val="0063017E"/>
    <w:rsid w:val="00631B28"/>
    <w:rsid w:val="006328F6"/>
    <w:rsid w:val="00645B90"/>
    <w:rsid w:val="0064661F"/>
    <w:rsid w:val="0065051E"/>
    <w:rsid w:val="00650991"/>
    <w:rsid w:val="006511D7"/>
    <w:rsid w:val="00655880"/>
    <w:rsid w:val="00663D75"/>
    <w:rsid w:val="00664EE0"/>
    <w:rsid w:val="00670AEF"/>
    <w:rsid w:val="00673545"/>
    <w:rsid w:val="00675678"/>
    <w:rsid w:val="00677012"/>
    <w:rsid w:val="006825B4"/>
    <w:rsid w:val="00682AF2"/>
    <w:rsid w:val="006864DF"/>
    <w:rsid w:val="006A3C8A"/>
    <w:rsid w:val="006A7552"/>
    <w:rsid w:val="006B5953"/>
    <w:rsid w:val="006B7A81"/>
    <w:rsid w:val="006C42E6"/>
    <w:rsid w:val="006C4BAC"/>
    <w:rsid w:val="006C52F3"/>
    <w:rsid w:val="006E7F37"/>
    <w:rsid w:val="006F3B81"/>
    <w:rsid w:val="006F4F79"/>
    <w:rsid w:val="00705B37"/>
    <w:rsid w:val="00711FD9"/>
    <w:rsid w:val="007144EE"/>
    <w:rsid w:val="0072765F"/>
    <w:rsid w:val="00735062"/>
    <w:rsid w:val="00742944"/>
    <w:rsid w:val="00742C05"/>
    <w:rsid w:val="00746BA5"/>
    <w:rsid w:val="007471E6"/>
    <w:rsid w:val="00751D23"/>
    <w:rsid w:val="00752B07"/>
    <w:rsid w:val="007673DF"/>
    <w:rsid w:val="00770577"/>
    <w:rsid w:val="00777666"/>
    <w:rsid w:val="00780966"/>
    <w:rsid w:val="0078159B"/>
    <w:rsid w:val="00782E10"/>
    <w:rsid w:val="0078706B"/>
    <w:rsid w:val="00790836"/>
    <w:rsid w:val="00797131"/>
    <w:rsid w:val="007A0521"/>
    <w:rsid w:val="007A3C1D"/>
    <w:rsid w:val="007A3D3A"/>
    <w:rsid w:val="007A76F8"/>
    <w:rsid w:val="007B283A"/>
    <w:rsid w:val="007B285D"/>
    <w:rsid w:val="007B4D2C"/>
    <w:rsid w:val="007C287B"/>
    <w:rsid w:val="007C6BC6"/>
    <w:rsid w:val="007D16BA"/>
    <w:rsid w:val="007F34D9"/>
    <w:rsid w:val="00801BD3"/>
    <w:rsid w:val="00801DCC"/>
    <w:rsid w:val="00807D79"/>
    <w:rsid w:val="00812605"/>
    <w:rsid w:val="00813634"/>
    <w:rsid w:val="00821EFA"/>
    <w:rsid w:val="00822821"/>
    <w:rsid w:val="00831C29"/>
    <w:rsid w:val="00835DAE"/>
    <w:rsid w:val="008431EF"/>
    <w:rsid w:val="008468E0"/>
    <w:rsid w:val="00850DFC"/>
    <w:rsid w:val="00871B59"/>
    <w:rsid w:val="00877D03"/>
    <w:rsid w:val="00877E96"/>
    <w:rsid w:val="008806CA"/>
    <w:rsid w:val="008815E5"/>
    <w:rsid w:val="00887B37"/>
    <w:rsid w:val="008909B9"/>
    <w:rsid w:val="00891DFC"/>
    <w:rsid w:val="00895331"/>
    <w:rsid w:val="00897C1D"/>
    <w:rsid w:val="008A03F5"/>
    <w:rsid w:val="008A0F95"/>
    <w:rsid w:val="008A7333"/>
    <w:rsid w:val="008B12B4"/>
    <w:rsid w:val="008B701E"/>
    <w:rsid w:val="008B7914"/>
    <w:rsid w:val="008C5881"/>
    <w:rsid w:val="008C5D2A"/>
    <w:rsid w:val="008C7AF4"/>
    <w:rsid w:val="008D454A"/>
    <w:rsid w:val="008D529F"/>
    <w:rsid w:val="008E7157"/>
    <w:rsid w:val="008F5CC8"/>
    <w:rsid w:val="008F7FC5"/>
    <w:rsid w:val="00902468"/>
    <w:rsid w:val="009061B8"/>
    <w:rsid w:val="00906FD6"/>
    <w:rsid w:val="0091008B"/>
    <w:rsid w:val="00911EA2"/>
    <w:rsid w:val="00916C7D"/>
    <w:rsid w:val="0092575D"/>
    <w:rsid w:val="009341DA"/>
    <w:rsid w:val="009430F9"/>
    <w:rsid w:val="009442E8"/>
    <w:rsid w:val="00946BD0"/>
    <w:rsid w:val="00952613"/>
    <w:rsid w:val="0095426C"/>
    <w:rsid w:val="00954DC8"/>
    <w:rsid w:val="00955F9E"/>
    <w:rsid w:val="00965A06"/>
    <w:rsid w:val="00970087"/>
    <w:rsid w:val="00971074"/>
    <w:rsid w:val="00980729"/>
    <w:rsid w:val="00995D86"/>
    <w:rsid w:val="009A5453"/>
    <w:rsid w:val="009A6EE2"/>
    <w:rsid w:val="009B4D94"/>
    <w:rsid w:val="009C0FD0"/>
    <w:rsid w:val="009C2871"/>
    <w:rsid w:val="009D3C33"/>
    <w:rsid w:val="009D532A"/>
    <w:rsid w:val="009D7F3A"/>
    <w:rsid w:val="009E2F96"/>
    <w:rsid w:val="009E4885"/>
    <w:rsid w:val="00A03619"/>
    <w:rsid w:val="00A07DB6"/>
    <w:rsid w:val="00A10A73"/>
    <w:rsid w:val="00A16E24"/>
    <w:rsid w:val="00A170B3"/>
    <w:rsid w:val="00A173CD"/>
    <w:rsid w:val="00A223D5"/>
    <w:rsid w:val="00A37D1C"/>
    <w:rsid w:val="00A439A3"/>
    <w:rsid w:val="00A43B9A"/>
    <w:rsid w:val="00A5453E"/>
    <w:rsid w:val="00A56F6C"/>
    <w:rsid w:val="00A76C8C"/>
    <w:rsid w:val="00A85F30"/>
    <w:rsid w:val="00A876D2"/>
    <w:rsid w:val="00A9099E"/>
    <w:rsid w:val="00A91FB7"/>
    <w:rsid w:val="00A9298F"/>
    <w:rsid w:val="00AA0351"/>
    <w:rsid w:val="00AA0F10"/>
    <w:rsid w:val="00AA5F4A"/>
    <w:rsid w:val="00AB1984"/>
    <w:rsid w:val="00AB271C"/>
    <w:rsid w:val="00AB52B1"/>
    <w:rsid w:val="00AC4CB3"/>
    <w:rsid w:val="00AC5CEC"/>
    <w:rsid w:val="00AC780D"/>
    <w:rsid w:val="00AD036B"/>
    <w:rsid w:val="00AD1996"/>
    <w:rsid w:val="00AD4099"/>
    <w:rsid w:val="00AD4901"/>
    <w:rsid w:val="00AF33AC"/>
    <w:rsid w:val="00B00DC2"/>
    <w:rsid w:val="00B02FE0"/>
    <w:rsid w:val="00B057B6"/>
    <w:rsid w:val="00B30448"/>
    <w:rsid w:val="00B34786"/>
    <w:rsid w:val="00B400EC"/>
    <w:rsid w:val="00B40162"/>
    <w:rsid w:val="00B41ACE"/>
    <w:rsid w:val="00B47EE4"/>
    <w:rsid w:val="00B50156"/>
    <w:rsid w:val="00B518AD"/>
    <w:rsid w:val="00B60A96"/>
    <w:rsid w:val="00B63A6D"/>
    <w:rsid w:val="00B678EC"/>
    <w:rsid w:val="00B76C94"/>
    <w:rsid w:val="00B770FB"/>
    <w:rsid w:val="00B772D0"/>
    <w:rsid w:val="00B802D7"/>
    <w:rsid w:val="00B836EA"/>
    <w:rsid w:val="00B84C05"/>
    <w:rsid w:val="00B87DCD"/>
    <w:rsid w:val="00B91B81"/>
    <w:rsid w:val="00B97135"/>
    <w:rsid w:val="00BB3072"/>
    <w:rsid w:val="00BC4F89"/>
    <w:rsid w:val="00BC7632"/>
    <w:rsid w:val="00BD4278"/>
    <w:rsid w:val="00BD48A9"/>
    <w:rsid w:val="00BD630F"/>
    <w:rsid w:val="00BD7EC6"/>
    <w:rsid w:val="00BE3BF9"/>
    <w:rsid w:val="00BE3DC1"/>
    <w:rsid w:val="00BE691A"/>
    <w:rsid w:val="00BE70B2"/>
    <w:rsid w:val="00BE73FA"/>
    <w:rsid w:val="00BF6B4B"/>
    <w:rsid w:val="00BF7031"/>
    <w:rsid w:val="00C0511C"/>
    <w:rsid w:val="00C07DBD"/>
    <w:rsid w:val="00C20ACF"/>
    <w:rsid w:val="00C22307"/>
    <w:rsid w:val="00C23469"/>
    <w:rsid w:val="00C24878"/>
    <w:rsid w:val="00C30C62"/>
    <w:rsid w:val="00C30E1F"/>
    <w:rsid w:val="00C371DF"/>
    <w:rsid w:val="00C42055"/>
    <w:rsid w:val="00C44B4C"/>
    <w:rsid w:val="00C44ED0"/>
    <w:rsid w:val="00C46734"/>
    <w:rsid w:val="00C47A86"/>
    <w:rsid w:val="00C53220"/>
    <w:rsid w:val="00C574DC"/>
    <w:rsid w:val="00C65755"/>
    <w:rsid w:val="00CA3347"/>
    <w:rsid w:val="00CA6E7C"/>
    <w:rsid w:val="00CC299A"/>
    <w:rsid w:val="00CC332A"/>
    <w:rsid w:val="00CD03E3"/>
    <w:rsid w:val="00CE0DC1"/>
    <w:rsid w:val="00CE6BDA"/>
    <w:rsid w:val="00CF0233"/>
    <w:rsid w:val="00CF4635"/>
    <w:rsid w:val="00D01086"/>
    <w:rsid w:val="00D03DBE"/>
    <w:rsid w:val="00D04066"/>
    <w:rsid w:val="00D072C0"/>
    <w:rsid w:val="00D12FEF"/>
    <w:rsid w:val="00D214A7"/>
    <w:rsid w:val="00D34C82"/>
    <w:rsid w:val="00D36FE3"/>
    <w:rsid w:val="00D3757A"/>
    <w:rsid w:val="00D504A9"/>
    <w:rsid w:val="00D5206D"/>
    <w:rsid w:val="00D56CAB"/>
    <w:rsid w:val="00D67C5C"/>
    <w:rsid w:val="00D7177D"/>
    <w:rsid w:val="00D81311"/>
    <w:rsid w:val="00DB201E"/>
    <w:rsid w:val="00DB25D8"/>
    <w:rsid w:val="00DB29A7"/>
    <w:rsid w:val="00DB669E"/>
    <w:rsid w:val="00DC0E68"/>
    <w:rsid w:val="00DC0E76"/>
    <w:rsid w:val="00DD25ED"/>
    <w:rsid w:val="00DE0D6E"/>
    <w:rsid w:val="00DF080B"/>
    <w:rsid w:val="00DF1180"/>
    <w:rsid w:val="00E01A0A"/>
    <w:rsid w:val="00E12B64"/>
    <w:rsid w:val="00E13797"/>
    <w:rsid w:val="00E1610C"/>
    <w:rsid w:val="00E16D73"/>
    <w:rsid w:val="00E23E9E"/>
    <w:rsid w:val="00E25722"/>
    <w:rsid w:val="00E27F0A"/>
    <w:rsid w:val="00E332F6"/>
    <w:rsid w:val="00E4231E"/>
    <w:rsid w:val="00E4302C"/>
    <w:rsid w:val="00E44AC7"/>
    <w:rsid w:val="00E45F4B"/>
    <w:rsid w:val="00E55411"/>
    <w:rsid w:val="00E60A16"/>
    <w:rsid w:val="00E74998"/>
    <w:rsid w:val="00E8135D"/>
    <w:rsid w:val="00E82B6E"/>
    <w:rsid w:val="00E912AD"/>
    <w:rsid w:val="00E94258"/>
    <w:rsid w:val="00E94CE2"/>
    <w:rsid w:val="00E96C18"/>
    <w:rsid w:val="00E96E4A"/>
    <w:rsid w:val="00EA264A"/>
    <w:rsid w:val="00EA2E61"/>
    <w:rsid w:val="00EA4E95"/>
    <w:rsid w:val="00EA7D7F"/>
    <w:rsid w:val="00EB02F4"/>
    <w:rsid w:val="00EB27EF"/>
    <w:rsid w:val="00EB2FA2"/>
    <w:rsid w:val="00EB769A"/>
    <w:rsid w:val="00EC0059"/>
    <w:rsid w:val="00EC3A35"/>
    <w:rsid w:val="00EE17F2"/>
    <w:rsid w:val="00EE3138"/>
    <w:rsid w:val="00EF2AC7"/>
    <w:rsid w:val="00EF400A"/>
    <w:rsid w:val="00EF6BE4"/>
    <w:rsid w:val="00EF6E5D"/>
    <w:rsid w:val="00F007FF"/>
    <w:rsid w:val="00F03D8E"/>
    <w:rsid w:val="00F06AA0"/>
    <w:rsid w:val="00F07764"/>
    <w:rsid w:val="00F12517"/>
    <w:rsid w:val="00F131DD"/>
    <w:rsid w:val="00F16BA1"/>
    <w:rsid w:val="00F24435"/>
    <w:rsid w:val="00F30C0F"/>
    <w:rsid w:val="00F314E8"/>
    <w:rsid w:val="00F323A2"/>
    <w:rsid w:val="00F325DE"/>
    <w:rsid w:val="00F33B57"/>
    <w:rsid w:val="00F33D5C"/>
    <w:rsid w:val="00F34E90"/>
    <w:rsid w:val="00F356D6"/>
    <w:rsid w:val="00F53BE2"/>
    <w:rsid w:val="00F55684"/>
    <w:rsid w:val="00F64D5A"/>
    <w:rsid w:val="00F709CD"/>
    <w:rsid w:val="00F72DF0"/>
    <w:rsid w:val="00F817C4"/>
    <w:rsid w:val="00F8381A"/>
    <w:rsid w:val="00F906F4"/>
    <w:rsid w:val="00FA0716"/>
    <w:rsid w:val="00FA370A"/>
    <w:rsid w:val="00FA4400"/>
    <w:rsid w:val="00FA7BB1"/>
    <w:rsid w:val="00FB4629"/>
    <w:rsid w:val="00FB56DF"/>
    <w:rsid w:val="00FB6FB1"/>
    <w:rsid w:val="00FB7063"/>
    <w:rsid w:val="00FC7056"/>
    <w:rsid w:val="00FE1A00"/>
    <w:rsid w:val="00FF3CB5"/>
    <w:rsid w:val="00FF5B9A"/>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07225216">
      <w:bodyDiv w:val="1"/>
      <w:marLeft w:val="0"/>
      <w:marRight w:val="0"/>
      <w:marTop w:val="0"/>
      <w:marBottom w:val="0"/>
      <w:divBdr>
        <w:top w:val="none" w:sz="0" w:space="0" w:color="auto"/>
        <w:left w:val="none" w:sz="0" w:space="0" w:color="auto"/>
        <w:bottom w:val="none" w:sz="0" w:space="0" w:color="auto"/>
        <w:right w:val="none" w:sz="0" w:space="0" w:color="auto"/>
      </w:divBdr>
      <w:divsChild>
        <w:div w:id="1532113732">
          <w:marLeft w:val="0"/>
          <w:marRight w:val="0"/>
          <w:marTop w:val="0"/>
          <w:marBottom w:val="160"/>
          <w:divBdr>
            <w:top w:val="none" w:sz="0" w:space="0" w:color="auto"/>
            <w:left w:val="none" w:sz="0" w:space="0" w:color="auto"/>
            <w:bottom w:val="none" w:sz="0" w:space="0" w:color="auto"/>
            <w:right w:val="none" w:sz="0" w:space="0" w:color="auto"/>
          </w:divBdr>
        </w:div>
        <w:div w:id="1571034333">
          <w:marLeft w:val="0"/>
          <w:marRight w:val="0"/>
          <w:marTop w:val="0"/>
          <w:marBottom w:val="160"/>
          <w:divBdr>
            <w:top w:val="none" w:sz="0" w:space="0" w:color="auto"/>
            <w:left w:val="none" w:sz="0" w:space="0" w:color="auto"/>
            <w:bottom w:val="none" w:sz="0" w:space="0" w:color="auto"/>
            <w:right w:val="none" w:sz="0" w:space="0" w:color="auto"/>
          </w:divBdr>
        </w:div>
        <w:div w:id="1908801650">
          <w:marLeft w:val="0"/>
          <w:marRight w:val="0"/>
          <w:marTop w:val="0"/>
          <w:marBottom w:val="160"/>
          <w:divBdr>
            <w:top w:val="none" w:sz="0" w:space="0" w:color="auto"/>
            <w:left w:val="none" w:sz="0" w:space="0" w:color="auto"/>
            <w:bottom w:val="none" w:sz="0" w:space="0" w:color="auto"/>
            <w:right w:val="none" w:sz="0" w:space="0" w:color="auto"/>
          </w:divBdr>
        </w:div>
      </w:divsChild>
    </w:div>
    <w:div w:id="542644855">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532257895">
      <w:bodyDiv w:val="1"/>
      <w:marLeft w:val="0"/>
      <w:marRight w:val="0"/>
      <w:marTop w:val="0"/>
      <w:marBottom w:val="0"/>
      <w:divBdr>
        <w:top w:val="none" w:sz="0" w:space="0" w:color="auto"/>
        <w:left w:val="none" w:sz="0" w:space="0" w:color="auto"/>
        <w:bottom w:val="none" w:sz="0" w:space="0" w:color="auto"/>
        <w:right w:val="none" w:sz="0" w:space="0" w:color="auto"/>
      </w:divBdr>
      <w:divsChild>
        <w:div w:id="1982806556">
          <w:marLeft w:val="0"/>
          <w:marRight w:val="0"/>
          <w:marTop w:val="0"/>
          <w:marBottom w:val="160"/>
          <w:divBdr>
            <w:top w:val="none" w:sz="0" w:space="0" w:color="auto"/>
            <w:left w:val="none" w:sz="0" w:space="0" w:color="auto"/>
            <w:bottom w:val="none" w:sz="0" w:space="0" w:color="auto"/>
            <w:right w:val="none" w:sz="0" w:space="0" w:color="auto"/>
          </w:divBdr>
        </w:div>
        <w:div w:id="1293633548">
          <w:marLeft w:val="0"/>
          <w:marRight w:val="0"/>
          <w:marTop w:val="0"/>
          <w:marBottom w:val="160"/>
          <w:divBdr>
            <w:top w:val="none" w:sz="0" w:space="0" w:color="auto"/>
            <w:left w:val="none" w:sz="0" w:space="0" w:color="auto"/>
            <w:bottom w:val="none" w:sz="0" w:space="0" w:color="auto"/>
            <w:right w:val="none" w:sz="0" w:space="0" w:color="auto"/>
          </w:divBdr>
        </w:div>
        <w:div w:id="239944841">
          <w:marLeft w:val="0"/>
          <w:marRight w:val="0"/>
          <w:marTop w:val="0"/>
          <w:marBottom w:val="160"/>
          <w:divBdr>
            <w:top w:val="none" w:sz="0" w:space="0" w:color="auto"/>
            <w:left w:val="none" w:sz="0" w:space="0" w:color="auto"/>
            <w:bottom w:val="none" w:sz="0" w:space="0" w:color="auto"/>
            <w:right w:val="none" w:sz="0" w:space="0" w:color="auto"/>
          </w:divBdr>
        </w:div>
      </w:divsChild>
    </w:div>
    <w:div w:id="1571844856">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85859953">
      <w:bodyDiv w:val="1"/>
      <w:marLeft w:val="0"/>
      <w:marRight w:val="0"/>
      <w:marTop w:val="0"/>
      <w:marBottom w:val="0"/>
      <w:divBdr>
        <w:top w:val="none" w:sz="0" w:space="0" w:color="auto"/>
        <w:left w:val="none" w:sz="0" w:space="0" w:color="auto"/>
        <w:bottom w:val="none" w:sz="0" w:space="0" w:color="auto"/>
        <w:right w:val="none" w:sz="0" w:space="0" w:color="auto"/>
      </w:divBdr>
      <w:divsChild>
        <w:div w:id="890113336">
          <w:marLeft w:val="0"/>
          <w:marRight w:val="0"/>
          <w:marTop w:val="0"/>
          <w:marBottom w:val="160"/>
          <w:divBdr>
            <w:top w:val="none" w:sz="0" w:space="0" w:color="auto"/>
            <w:left w:val="none" w:sz="0" w:space="0" w:color="auto"/>
            <w:bottom w:val="none" w:sz="0" w:space="0" w:color="auto"/>
            <w:right w:val="none" w:sz="0" w:space="0" w:color="auto"/>
          </w:divBdr>
        </w:div>
        <w:div w:id="841628603">
          <w:marLeft w:val="0"/>
          <w:marRight w:val="0"/>
          <w:marTop w:val="0"/>
          <w:marBottom w:val="160"/>
          <w:divBdr>
            <w:top w:val="none" w:sz="0" w:space="0" w:color="auto"/>
            <w:left w:val="none" w:sz="0" w:space="0" w:color="auto"/>
            <w:bottom w:val="none" w:sz="0" w:space="0" w:color="auto"/>
            <w:right w:val="none" w:sz="0" w:space="0" w:color="auto"/>
          </w:divBdr>
        </w:div>
        <w:div w:id="426969468">
          <w:marLeft w:val="0"/>
          <w:marRight w:val="0"/>
          <w:marTop w:val="0"/>
          <w:marBottom w:val="160"/>
          <w:divBdr>
            <w:top w:val="none" w:sz="0" w:space="0" w:color="auto"/>
            <w:left w:val="none" w:sz="0" w:space="0" w:color="auto"/>
            <w:bottom w:val="none" w:sz="0" w:space="0" w:color="auto"/>
            <w:right w:val="none" w:sz="0" w:space="0" w:color="auto"/>
          </w:divBdr>
        </w:div>
      </w:divsChild>
    </w:div>
    <w:div w:id="1922835150">
      <w:bodyDiv w:val="1"/>
      <w:marLeft w:val="0"/>
      <w:marRight w:val="0"/>
      <w:marTop w:val="0"/>
      <w:marBottom w:val="0"/>
      <w:divBdr>
        <w:top w:val="none" w:sz="0" w:space="0" w:color="auto"/>
        <w:left w:val="none" w:sz="0" w:space="0" w:color="auto"/>
        <w:bottom w:val="none" w:sz="0" w:space="0" w:color="auto"/>
        <w:right w:val="none" w:sz="0" w:space="0" w:color="auto"/>
      </w:divBdr>
      <w:divsChild>
        <w:div w:id="621812422">
          <w:marLeft w:val="0"/>
          <w:marRight w:val="0"/>
          <w:marTop w:val="0"/>
          <w:marBottom w:val="160"/>
          <w:divBdr>
            <w:top w:val="none" w:sz="0" w:space="0" w:color="auto"/>
            <w:left w:val="none" w:sz="0" w:space="0" w:color="auto"/>
            <w:bottom w:val="none" w:sz="0" w:space="0" w:color="auto"/>
            <w:right w:val="none" w:sz="0" w:space="0" w:color="auto"/>
          </w:divBdr>
        </w:div>
        <w:div w:id="913587419">
          <w:marLeft w:val="0"/>
          <w:marRight w:val="0"/>
          <w:marTop w:val="0"/>
          <w:marBottom w:val="160"/>
          <w:divBdr>
            <w:top w:val="none" w:sz="0" w:space="0" w:color="auto"/>
            <w:left w:val="none" w:sz="0" w:space="0" w:color="auto"/>
            <w:bottom w:val="none" w:sz="0" w:space="0" w:color="auto"/>
            <w:right w:val="none" w:sz="0" w:space="0" w:color="auto"/>
          </w:divBdr>
        </w:div>
        <w:div w:id="912550038">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hrome-extension://efaidnbmnnnibpcajpcglclefindmkaj/https:/www.colombiacompra.gov.co/sites/cce_public/files/cce_circulares/circular_externa_unica_version_3_vf49.pdf" TargetMode="External"/><Relationship Id="rId18" Type="http://schemas.openxmlformats.org/officeDocument/2006/relationships/hyperlink" Target="https://nam02.safelinks.protection.outlook.com/?url=https%3A%2F%2Fwww.sucop.gov.co%2Fentidades%2Fcolombiacompra%2FNormativa%3FIDNorma%3D18320&amp;data=05%7C02%7Csantiago.herrera%40colombiacompra.gov.co%7C096eca3fdcca424ff1c708dcf932f947%7C7b09041e245149d08cb179d5e3d8c1be%7C0%7C0%7C638659244557641986%7CUnknown%7CTWFpbGZsb3d8eyJWIjoiMC4wLjAwMDAiLCJQIjoiV2luMzIiLCJBTiI6Ik1haWwiLCJXVCI6Mn0%3D%7C0%7C%7C%7C&amp;sdata=cvryslPYIe2igvMyzzkZ32rgVDlisRO%2FS58lXNABT30%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livalear22@hotmail.com" TargetMode="External"/><Relationship Id="rId17" Type="http://schemas.openxmlformats.org/officeDocument/2006/relationships/hyperlink" Target="https://nam02.safelinks.protection.outlook.com/?url=https%3A%2F%2Fwww.colombiacompra.gov.co%2Fcontent%2Fborrador-de-documentos-tipo-de-interventoria-de-obra-publica-de-infraestructura-de&amp;data=05%7C02%7Csantiago.herrera%40colombiacompra.gov.co%7C096eca3fdcca424ff1c708dcf932f947%7C7b09041e245149d08cb179d5e3d8c1be%7C0%7C0%7C638659244557612538%7CUnknown%7CTWFpbGZsb3d8eyJWIjoiMC4wLjAwMDAiLCJQIjoiV2luMzIiLCJBTiI6Ik1haWwiLCJXVCI6Mn0%3D%7C0%7C%7C%7C&amp;sdata=PptTeXlOufRJzvNgcBCbY%2BgS5ZWUh4x8RLP7Pzjbdx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borrador-de-documentos-tipo-de-consultoria-de-obra-publica-de-infraestructura-de-transporte&amp;data=05%7C02%7Csantiago.herrera%40colombiacompra.gov.co%7C096eca3fdcca424ff1c708dcf932f947%7C7b09041e245149d08cb179d5e3d8c1be%7C0%7C0%7C638659244557582587%7CUnknown%7CTWFpbGZsb3d8eyJWIjoiMC4wLjAwMDAiLCJQIjoiV2luMzIiLCJBTiI6Ik1haWwiLCJXVCI6Mn0%3D%7C0%7C%7C%7C&amp;sdata=%2BmcNdT%2F6zDp6FOpplPSqKUjqAVtsc6Po2k4tiKyyMGQ%3D&amp;reserved=0"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amp;data=05%7C02%7Csantiago.herrera%40colombiacompra.gov.co%7C096eca3fdcca424ff1c708dcf932f947%7C7b09041e245149d08cb179d5e3d8c1be%7C0%7C0%7C638659244557683431%7CUnknown%7CTWFpbGZsb3d8eyJWIjoiMC4wLjAwMDAiLCJQIjoiV2luMzIiLCJBTiI6Ik1haWwiLCJXVCI6Mn0%3D%7C0%7C%7C%7C&amp;sdata=DDzxsWu35v74OjgoGc2uD6sPoWr4LvTHKYE1N30%2BqxA%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hrome-extension://efaidnbmnnnibpcajpcglclefindmkaj/https:/colombiacompra.gov.co/sites/cce_public/files/cce_circulares/doc-20240823-wa0021.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15</Pages>
  <Words>4107</Words>
  <Characters>22594</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177</cp:revision>
  <dcterms:created xsi:type="dcterms:W3CDTF">2024-07-04T20:24:00Z</dcterms:created>
  <dcterms:modified xsi:type="dcterms:W3CDTF">2024-12-27T21:51:00Z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