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722C4" w14:textId="77777777" w:rsidR="007D719F" w:rsidRDefault="007D719F" w:rsidP="007D719F">
      <w:pPr>
        <w:spacing w:after="0" w:line="240" w:lineRule="auto"/>
        <w:rPr>
          <w:rFonts w:ascii="Verdana" w:hAnsi="Verdana" w:cs="Arial"/>
          <w:b/>
          <w:bCs/>
          <w:lang w:val="es-ES" w:eastAsia="es-ES"/>
        </w:rPr>
      </w:pPr>
      <w:bookmarkStart w:id="0" w:name="_Hlk143780582"/>
      <w:r>
        <w:rPr>
          <w:rFonts w:ascii="Verdana" w:hAnsi="Verdana" w:cs="Arial"/>
          <w:b/>
          <w:bCs/>
          <w:lang w:val="es-ES" w:eastAsia="es-ES"/>
        </w:rPr>
        <w:t>SELECCIÓN ABREVIADA –Causal -Bienes y servicios de características uniformes y de común utilización</w:t>
      </w:r>
    </w:p>
    <w:p w14:paraId="290D8542" w14:textId="77777777" w:rsidR="007D719F" w:rsidRDefault="007D719F" w:rsidP="007D719F">
      <w:pPr>
        <w:spacing w:after="0" w:line="240" w:lineRule="auto"/>
        <w:rPr>
          <w:rFonts w:ascii="Verdana" w:hAnsi="Verdana" w:cs="Arial"/>
          <w:b/>
          <w:bCs/>
          <w:lang w:val="es-ES" w:eastAsia="es-ES"/>
        </w:rPr>
      </w:pPr>
    </w:p>
    <w:p w14:paraId="06BDF678" w14:textId="77777777" w:rsidR="007D719F" w:rsidRDefault="007D719F" w:rsidP="007D719F">
      <w:pPr>
        <w:spacing w:after="0" w:line="240" w:lineRule="auto"/>
        <w:jc w:val="both"/>
        <w:rPr>
          <w:rFonts w:ascii="Verdana" w:hAnsi="Verdana" w:cs="Arial"/>
          <w:bCs/>
          <w:sz w:val="20"/>
          <w:szCs w:val="20"/>
          <w:lang w:eastAsia="es-ES"/>
        </w:rPr>
      </w:pPr>
      <w:r w:rsidRPr="00053149">
        <w:rPr>
          <w:rFonts w:ascii="Verdana" w:hAnsi="Verdana" w:cs="Arial"/>
          <w:bCs/>
          <w:sz w:val="20"/>
          <w:szCs w:val="20"/>
          <w:lang w:eastAsia="es-ES"/>
        </w:rPr>
        <w:t>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p>
    <w:p w14:paraId="40A503A1" w14:textId="77777777" w:rsidR="007D719F" w:rsidRDefault="007D719F" w:rsidP="007D719F">
      <w:pPr>
        <w:spacing w:after="0" w:line="240" w:lineRule="auto"/>
        <w:rPr>
          <w:rFonts w:ascii="Verdana" w:hAnsi="Verdana" w:cs="Arial"/>
          <w:b/>
          <w:bCs/>
          <w:lang w:val="es-ES" w:eastAsia="es-ES"/>
        </w:rPr>
      </w:pPr>
    </w:p>
    <w:p w14:paraId="15890D82" w14:textId="77777777" w:rsidR="007D719F" w:rsidRPr="002C379A" w:rsidRDefault="007D719F" w:rsidP="007D719F">
      <w:pPr>
        <w:spacing w:after="0" w:line="240" w:lineRule="auto"/>
        <w:rPr>
          <w:rFonts w:ascii="Verdana" w:hAnsi="Verdana" w:cs="Arial"/>
          <w:b/>
          <w:bCs/>
          <w:lang w:val="es-ES" w:eastAsia="es-ES"/>
        </w:rPr>
      </w:pPr>
      <w:r w:rsidRPr="00C4268F">
        <w:rPr>
          <w:rFonts w:ascii="Verdana" w:hAnsi="Verdana" w:cs="Arial"/>
          <w:b/>
          <w:bCs/>
          <w:lang w:val="es-ES" w:eastAsia="es-ES"/>
        </w:rPr>
        <w:t>BIENES Y SERVICIOS DE CAR</w:t>
      </w:r>
      <w:r>
        <w:rPr>
          <w:rFonts w:ascii="Verdana" w:hAnsi="Verdana" w:cs="Arial"/>
          <w:b/>
          <w:bCs/>
          <w:lang w:val="es-ES" w:eastAsia="es-ES"/>
        </w:rPr>
        <w:t>ACTERÍSTICAS TÉCNICAS UNIFORMES Y DE COMÚN UTILIZACIÓN– Definición- características</w:t>
      </w:r>
    </w:p>
    <w:p w14:paraId="45D7FBC8" w14:textId="77777777" w:rsidR="007D719F" w:rsidRDefault="007D719F" w:rsidP="007D719F">
      <w:pPr>
        <w:spacing w:after="0" w:line="240" w:lineRule="auto"/>
        <w:jc w:val="both"/>
        <w:rPr>
          <w:rFonts w:ascii="Verdana" w:eastAsia="Calibri" w:hAnsi="Verdana" w:cs="Arial"/>
          <w:bCs/>
          <w:color w:val="000000" w:themeColor="text1"/>
          <w:sz w:val="20"/>
          <w:szCs w:val="20"/>
        </w:rPr>
      </w:pPr>
    </w:p>
    <w:p w14:paraId="09E31368" w14:textId="77777777" w:rsidR="007D719F" w:rsidRPr="005F0A6A" w:rsidRDefault="007D719F" w:rsidP="007D719F">
      <w:pPr>
        <w:spacing w:after="0" w:line="240" w:lineRule="auto"/>
        <w:jc w:val="both"/>
        <w:rPr>
          <w:rFonts w:ascii="Verdana" w:eastAsia="Calibri" w:hAnsi="Verdana" w:cs="Arial"/>
          <w:bCs/>
          <w:color w:val="000000" w:themeColor="text1"/>
          <w:sz w:val="20"/>
          <w:szCs w:val="20"/>
          <w:lang w:val="es-ES_tradnl"/>
        </w:rPr>
      </w:pPr>
      <w:r>
        <w:rPr>
          <w:rFonts w:ascii="Verdana" w:eastAsia="Calibri" w:hAnsi="Verdana" w:cs="Arial"/>
          <w:bCs/>
          <w:color w:val="000000" w:themeColor="text1"/>
          <w:sz w:val="20"/>
          <w:szCs w:val="20"/>
        </w:rPr>
        <w:t>[…]</w:t>
      </w:r>
      <w:r w:rsidRPr="00053149">
        <w:rPr>
          <w:rFonts w:ascii="Verdana" w:eastAsia="Calibri" w:hAnsi="Verdana" w:cs="Arial"/>
          <w:bCs/>
          <w:color w:val="000000" w:themeColor="text1"/>
          <w:sz w:val="20"/>
          <w:szCs w:val="20"/>
        </w:rPr>
        <w:t xml:space="preserve">Por ello, según el literal a) del artículo 2, numeral 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De esta manera, conforme a las normas citadas en el párrafo precedente, prima la definición legal sobre el uso general o el significado técnico. </w:t>
      </w:r>
    </w:p>
    <w:p w14:paraId="676C37E6" w14:textId="77777777" w:rsidR="007D719F" w:rsidRDefault="007D719F" w:rsidP="007D719F">
      <w:pPr>
        <w:spacing w:after="0" w:line="240" w:lineRule="auto"/>
        <w:jc w:val="both"/>
        <w:rPr>
          <w:rFonts w:ascii="Verdana" w:eastAsia="Calibri" w:hAnsi="Verdana" w:cs="Arial"/>
          <w:bCs/>
          <w:color w:val="000000" w:themeColor="text1"/>
          <w:sz w:val="20"/>
          <w:szCs w:val="20"/>
        </w:rPr>
      </w:pPr>
    </w:p>
    <w:p w14:paraId="3DA95875" w14:textId="77777777" w:rsidR="007D719F" w:rsidRPr="00053149" w:rsidRDefault="007D719F" w:rsidP="007D719F">
      <w:pPr>
        <w:spacing w:after="0" w:line="240" w:lineRule="auto"/>
        <w:jc w:val="both"/>
        <w:rPr>
          <w:rFonts w:ascii="Verdana" w:eastAsia="Calibri" w:hAnsi="Verdana" w:cs="Arial"/>
          <w:bCs/>
          <w:color w:val="000000" w:themeColor="text1"/>
          <w:sz w:val="20"/>
          <w:szCs w:val="20"/>
        </w:rPr>
      </w:pPr>
      <w:r w:rsidRPr="00053149">
        <w:rPr>
          <w:rFonts w:ascii="Verdana" w:eastAsia="Calibri" w:hAnsi="Verdana" w:cs="Arial"/>
          <w:bCs/>
          <w:color w:val="000000" w:themeColor="text1"/>
          <w:sz w:val="20"/>
          <w:szCs w:val="20"/>
        </w:rPr>
        <w:t xml:space="preserve">Para identificar los bienes y servicios que corresponden a este tipo, se destacan dos (2) aspectos importantes: la común utilización y la homogeneidad. Para Suárez Beltrán, la </w:t>
      </w:r>
      <w:r w:rsidRPr="00053149">
        <w:rPr>
          <w:rFonts w:ascii="Verdana" w:eastAsia="Calibri" w:hAnsi="Verdana" w:cs="Arial"/>
          <w:bCs/>
          <w:i/>
          <w:iCs/>
          <w:color w:val="000000" w:themeColor="text1"/>
          <w:sz w:val="20"/>
          <w:szCs w:val="20"/>
        </w:rPr>
        <w:t>común utilización</w:t>
      </w:r>
      <w:r w:rsidRPr="00053149">
        <w:rPr>
          <w:rFonts w:ascii="Verdana" w:eastAsia="Calibri" w:hAnsi="Verdana" w:cs="Arial"/>
          <w:bCs/>
          <w:color w:val="000000" w:themeColor="text1"/>
          <w:sz w:val="20"/>
          <w:szCs w:val="20"/>
        </w:rPr>
        <w:t xml:space="preserve"> “[…] busca que los bienes o servicios que se compren en esta categoría sean de los que se ofrecen en un mercado con un estándar para quienes los demandan, o lo que es igual, que la oferta de </w:t>
      </w:r>
      <w:proofErr w:type="gramStart"/>
      <w:r w:rsidRPr="00053149">
        <w:rPr>
          <w:rFonts w:ascii="Verdana" w:eastAsia="Calibri" w:hAnsi="Verdana" w:cs="Arial"/>
          <w:bCs/>
          <w:color w:val="000000" w:themeColor="text1"/>
          <w:sz w:val="20"/>
          <w:szCs w:val="20"/>
        </w:rPr>
        <w:t>los mismos</w:t>
      </w:r>
      <w:proofErr w:type="gramEnd"/>
      <w:r w:rsidRPr="00053149">
        <w:rPr>
          <w:rFonts w:ascii="Verdana" w:eastAsia="Calibri" w:hAnsi="Verdana" w:cs="Arial"/>
          <w:bCs/>
          <w:color w:val="000000" w:themeColor="text1"/>
          <w:sz w:val="20"/>
          <w:szCs w:val="20"/>
        </w:rPr>
        <w:t xml:space="preserve"> en el mercado ocurriese en condiciones equivalentes para todo interesado en adquirirlos”. Por su parte, la </w:t>
      </w:r>
      <w:r w:rsidRPr="00053149">
        <w:rPr>
          <w:rFonts w:ascii="Verdana" w:eastAsia="Calibri" w:hAnsi="Verdana" w:cs="Arial"/>
          <w:bCs/>
          <w:i/>
          <w:iCs/>
          <w:color w:val="000000" w:themeColor="text1"/>
          <w:sz w:val="20"/>
          <w:szCs w:val="20"/>
        </w:rPr>
        <w:t>homogeneidad</w:t>
      </w:r>
      <w:r w:rsidRPr="00053149">
        <w:rPr>
          <w:rFonts w:ascii="Verdana" w:eastAsia="Calibri" w:hAnsi="Verdana" w:cs="Arial"/>
          <w:bCs/>
          <w:color w:val="000000" w:themeColor="text1"/>
          <w:sz w:val="20"/>
          <w:szCs w:val="20"/>
        </w:rPr>
        <w:t xml:space="preserve"> se 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r w:rsidRPr="005F0A6A">
        <w:rPr>
          <w:rFonts w:ascii="Verdana" w:eastAsia="Calibri" w:hAnsi="Verdana" w:cs="Arial"/>
          <w:bCs/>
          <w:color w:val="000000" w:themeColor="text1"/>
          <w:sz w:val="20"/>
          <w:szCs w:val="20"/>
        </w:rPr>
        <w:t xml:space="preserve"> </w:t>
      </w:r>
    </w:p>
    <w:p w14:paraId="24B35B8B" w14:textId="77777777" w:rsidR="007D719F" w:rsidRDefault="007D719F" w:rsidP="007D719F">
      <w:pPr>
        <w:spacing w:after="0" w:line="240" w:lineRule="auto"/>
        <w:jc w:val="both"/>
        <w:rPr>
          <w:rFonts w:ascii="Verdana" w:eastAsia="Calibri" w:hAnsi="Verdana" w:cs="Arial"/>
          <w:bCs/>
          <w:color w:val="000000" w:themeColor="text1"/>
          <w:sz w:val="20"/>
          <w:szCs w:val="20"/>
        </w:rPr>
      </w:pPr>
    </w:p>
    <w:p w14:paraId="0FCBB193" w14:textId="77777777" w:rsidR="007D719F" w:rsidRPr="00A104A4" w:rsidRDefault="007D719F" w:rsidP="007D719F">
      <w:pPr>
        <w:spacing w:after="0" w:line="240" w:lineRule="auto"/>
        <w:jc w:val="both"/>
        <w:rPr>
          <w:rFonts w:ascii="Verdana" w:eastAsia="Calibri" w:hAnsi="Verdana" w:cs="Arial"/>
          <w:bCs/>
          <w:color w:val="000000" w:themeColor="text1"/>
          <w:sz w:val="20"/>
          <w:szCs w:val="20"/>
        </w:rPr>
      </w:pPr>
      <w:r w:rsidRPr="00A027B7">
        <w:rPr>
          <w:rFonts w:ascii="Verdana" w:hAnsi="Verdana" w:cs="Arial"/>
          <w:b/>
          <w:bCs/>
          <w:lang w:val="es-ES" w:eastAsia="es-ES"/>
        </w:rPr>
        <w:t>BIENES Y SERVICIOS DE CARACTERÍSTICAS TÉCNICAS UNIFORMES Y DE COMÚN UTILIZACIÓN</w:t>
      </w:r>
      <w:r>
        <w:rPr>
          <w:rFonts w:ascii="Verdana" w:hAnsi="Verdana" w:cs="Arial"/>
          <w:b/>
          <w:bCs/>
          <w:lang w:val="es-ES" w:eastAsia="es-ES"/>
        </w:rPr>
        <w:t>- Formas de identificación -Formas de adquisición</w:t>
      </w:r>
      <w:r>
        <w:rPr>
          <w:rFonts w:ascii="Verdana" w:eastAsia="Calibri" w:hAnsi="Verdana" w:cs="Arial"/>
          <w:bCs/>
          <w:color w:val="000000" w:themeColor="text1"/>
          <w:sz w:val="20"/>
          <w:szCs w:val="20"/>
        </w:rPr>
        <w:t xml:space="preserve"> </w:t>
      </w:r>
    </w:p>
    <w:p w14:paraId="14681239" w14:textId="77777777" w:rsidR="007D719F" w:rsidRDefault="007D719F" w:rsidP="007D719F">
      <w:pPr>
        <w:spacing w:after="0" w:line="240" w:lineRule="auto"/>
        <w:rPr>
          <w:rFonts w:ascii="Verdana" w:eastAsia="Calibri" w:hAnsi="Verdana" w:cs="Times New Roman"/>
          <w:bCs/>
        </w:rPr>
      </w:pPr>
    </w:p>
    <w:p w14:paraId="778FC28F" w14:textId="77777777" w:rsidR="007D719F" w:rsidRPr="007D719F" w:rsidRDefault="007D719F" w:rsidP="007D719F">
      <w:pPr>
        <w:spacing w:after="0" w:line="240" w:lineRule="auto"/>
        <w:jc w:val="both"/>
        <w:rPr>
          <w:rFonts w:ascii="Verdana" w:eastAsia="Calibri" w:hAnsi="Verdana" w:cs="Times New Roman"/>
          <w:bCs/>
          <w:sz w:val="20"/>
          <w:szCs w:val="18"/>
        </w:rPr>
      </w:pPr>
      <w:r w:rsidRPr="007D719F">
        <w:rPr>
          <w:rFonts w:ascii="Verdana" w:eastAsia="Calibri" w:hAnsi="Verdana" w:cs="Times New Roman"/>
          <w:bCs/>
          <w:iCs/>
          <w:sz w:val="20"/>
          <w:szCs w:val="18"/>
        </w:rPr>
        <w:t xml:space="preserve">Los elementos centrales para definir si un bien o servicio se considera de características técnicas uniformes y de común utilización consiste en dos aspectos: en primer lugar, que posea las mismas especificaciones técnicas y compartan patrones de desempeño y </w:t>
      </w:r>
      <w:r w:rsidRPr="007D719F">
        <w:rPr>
          <w:rFonts w:ascii="Verdana" w:eastAsia="Calibri" w:hAnsi="Verdana" w:cs="Times New Roman"/>
          <w:bCs/>
          <w:iCs/>
          <w:sz w:val="20"/>
          <w:szCs w:val="18"/>
        </w:rPr>
        <w:lastRenderedPageBreak/>
        <w:t xml:space="preserve">calidad objetivamente definidos, </w:t>
      </w:r>
      <w:proofErr w:type="gramStart"/>
      <w:r w:rsidRPr="007D719F">
        <w:rPr>
          <w:rFonts w:ascii="Verdana" w:eastAsia="Calibri" w:hAnsi="Verdana" w:cs="Times New Roman"/>
          <w:bCs/>
          <w:iCs/>
          <w:sz w:val="20"/>
          <w:szCs w:val="18"/>
        </w:rPr>
        <w:t>y</w:t>
      </w:r>
      <w:proofErr w:type="gramEnd"/>
      <w:r w:rsidRPr="007D719F">
        <w:rPr>
          <w:rFonts w:ascii="Verdana" w:eastAsia="Calibri" w:hAnsi="Verdana" w:cs="Times New Roman"/>
          <w:bCs/>
          <w:iCs/>
          <w:sz w:val="20"/>
          <w:szCs w:val="18"/>
        </w:rPr>
        <w:t xml:space="preserve"> en segundo lugar, su común utilización o uso, esto es, que pueda adquirirse en el mercado con un estándar para quienes los requieran, es decir, que la oferta de </w:t>
      </w:r>
      <w:proofErr w:type="gramStart"/>
      <w:r w:rsidRPr="007D719F">
        <w:rPr>
          <w:rFonts w:ascii="Verdana" w:eastAsia="Calibri" w:hAnsi="Verdana" w:cs="Times New Roman"/>
          <w:bCs/>
          <w:iCs/>
          <w:sz w:val="20"/>
          <w:szCs w:val="18"/>
        </w:rPr>
        <w:t>los mismos</w:t>
      </w:r>
      <w:proofErr w:type="gramEnd"/>
      <w:r w:rsidRPr="007D719F">
        <w:rPr>
          <w:rFonts w:ascii="Verdana" w:eastAsia="Calibri" w:hAnsi="Verdana" w:cs="Times New Roman"/>
          <w:bCs/>
          <w:iCs/>
          <w:sz w:val="20"/>
          <w:szCs w:val="18"/>
        </w:rPr>
        <w:t xml:space="preserve"> en el mercado ocurriese en condiciones iguales para aquellas entidades estatales que lo necesitan. En otras palabras, las bienes y servicios de características técnicas uniformes que se identifican porque es posible adquirirlos en el mercado en condiciones estandarizadas u homogéneas, con independencia de su diseño o de sus características descriptivas, y su común utilización por precios variados y con la posibilidad que más de una empresa o corporación sea capaz de proveerlos. </w:t>
      </w:r>
    </w:p>
    <w:p w14:paraId="6127EE72" w14:textId="77777777" w:rsidR="007D719F" w:rsidRPr="007D719F" w:rsidRDefault="007D719F" w:rsidP="007D719F">
      <w:pPr>
        <w:spacing w:after="0" w:line="240" w:lineRule="auto"/>
        <w:jc w:val="both"/>
        <w:rPr>
          <w:rFonts w:ascii="Verdana" w:eastAsia="Calibri" w:hAnsi="Verdana" w:cs="Times New Roman"/>
          <w:bCs/>
          <w:sz w:val="20"/>
          <w:szCs w:val="18"/>
        </w:rPr>
      </w:pPr>
      <w:r w:rsidRPr="007D719F">
        <w:rPr>
          <w:rFonts w:ascii="Verdana" w:eastAsia="Calibri" w:hAnsi="Verdana" w:cs="Times New Roman"/>
          <w:bCs/>
          <w:sz w:val="20"/>
          <w:szCs w:val="18"/>
        </w:rPr>
        <w:t xml:space="preserve"> </w:t>
      </w:r>
    </w:p>
    <w:p w14:paraId="53F3670D" w14:textId="77777777" w:rsidR="007D719F" w:rsidRPr="007D719F" w:rsidRDefault="007D719F" w:rsidP="007D719F">
      <w:pPr>
        <w:spacing w:after="0" w:line="240" w:lineRule="auto"/>
        <w:jc w:val="both"/>
        <w:rPr>
          <w:rFonts w:ascii="Verdana" w:eastAsia="Calibri" w:hAnsi="Verdana" w:cs="Times New Roman"/>
          <w:bCs/>
          <w:sz w:val="20"/>
          <w:szCs w:val="18"/>
        </w:rPr>
      </w:pPr>
      <w:r w:rsidRPr="007D719F">
        <w:rPr>
          <w:rFonts w:ascii="Verdana" w:eastAsia="Calibri" w:hAnsi="Verdana" w:cs="Times New Roman"/>
          <w:bCs/>
          <w:sz w:val="20"/>
          <w:szCs w:val="18"/>
        </w:rPr>
        <w:t>[…] la nota común de este conjunto de bienes y servicios es que, con independencia de sus características descriptivas, comparten patrones de desempeño y calidad similares para la satisfacción de la necesidad a la que atienden. Igualmente, el inciso segundo del literal a) del artículo 2, numeral 2 de la Ley 1150 de 2007 dispone: “</w:t>
      </w:r>
      <w:r w:rsidRPr="007D719F">
        <w:rPr>
          <w:rFonts w:ascii="Verdana" w:eastAsia="Calibri" w:hAnsi="Verdana" w:cs="Times New Roman"/>
          <w:bCs/>
          <w:i/>
          <w:iCs/>
          <w:sz w:val="20"/>
          <w:szCs w:val="18"/>
        </w:rPr>
        <w:t>Para la adquisición de estos bienes y servicios las entidades deberán</w:t>
      </w:r>
      <w:r w:rsidRPr="007D719F">
        <w:rPr>
          <w:rFonts w:ascii="Verdana" w:eastAsia="Calibri" w:hAnsi="Verdana" w:cs="Times New Roman"/>
          <w:bCs/>
          <w:sz w:val="20"/>
          <w:szCs w:val="18"/>
        </w:rPr>
        <w:t xml:space="preserve">, siempre que el reglamento así lo señale, </w:t>
      </w:r>
      <w:r w:rsidRPr="007D719F">
        <w:rPr>
          <w:rFonts w:ascii="Verdana" w:eastAsia="Calibri" w:hAnsi="Verdana" w:cs="Times New Roman"/>
          <w:bCs/>
          <w:i/>
          <w:iCs/>
          <w:sz w:val="20"/>
          <w:szCs w:val="18"/>
        </w:rPr>
        <w:t>hacer uso</w:t>
      </w:r>
      <w:r w:rsidRPr="007D719F">
        <w:rPr>
          <w:rFonts w:ascii="Verdana" w:eastAsia="Calibri" w:hAnsi="Verdana" w:cs="Times New Roman"/>
          <w:bCs/>
          <w:sz w:val="20"/>
          <w:szCs w:val="18"/>
        </w:rPr>
        <w:t xml:space="preserve"> de procedimientos de subasta inversa o de instrumentos de compra por catálogo derivados de la celebración de acuerdos marco de precios o </w:t>
      </w:r>
      <w:r w:rsidRPr="007D719F">
        <w:rPr>
          <w:rFonts w:ascii="Verdana" w:eastAsia="Calibri" w:hAnsi="Verdana" w:cs="Times New Roman"/>
          <w:bCs/>
          <w:i/>
          <w:iCs/>
          <w:sz w:val="20"/>
          <w:szCs w:val="18"/>
        </w:rPr>
        <w:t>de procedimientos de adquisición en bolsas de productos</w:t>
      </w:r>
      <w:r w:rsidRPr="007D719F">
        <w:rPr>
          <w:rFonts w:ascii="Verdana" w:eastAsia="Calibri" w:hAnsi="Verdana" w:cs="Times New Roman"/>
          <w:bCs/>
          <w:sz w:val="20"/>
          <w:szCs w:val="18"/>
        </w:rPr>
        <w:t>” (Énfasis fuera de texto). Estos mecanismos se aplicarán en la forma que disponga el Decreto 1082 de 2015 para para cada uno de ellos.</w:t>
      </w:r>
    </w:p>
    <w:p w14:paraId="3BC53D2F" w14:textId="77777777" w:rsidR="007D719F" w:rsidRPr="007D719F" w:rsidRDefault="007D719F" w:rsidP="007D719F">
      <w:pPr>
        <w:spacing w:after="0" w:line="240" w:lineRule="auto"/>
        <w:jc w:val="both"/>
        <w:rPr>
          <w:rFonts w:ascii="Verdana" w:eastAsia="Calibri" w:hAnsi="Verdana" w:cs="Times New Roman"/>
          <w:b/>
        </w:rPr>
      </w:pPr>
    </w:p>
    <w:p w14:paraId="255E345C" w14:textId="77777777" w:rsidR="007D719F" w:rsidRPr="007D719F" w:rsidRDefault="007D719F" w:rsidP="007D719F">
      <w:pPr>
        <w:spacing w:after="0" w:line="256" w:lineRule="auto"/>
        <w:jc w:val="both"/>
        <w:rPr>
          <w:rFonts w:ascii="Verdana" w:hAnsi="Verdana" w:cs="Arial"/>
          <w:b/>
          <w:lang w:val="es-ES" w:eastAsia="es-ES"/>
        </w:rPr>
      </w:pPr>
      <w:r w:rsidRPr="007D719F">
        <w:rPr>
          <w:rFonts w:ascii="Verdana" w:hAnsi="Verdana" w:cs="Arial"/>
          <w:b/>
          <w:lang w:val="es-ES" w:eastAsia="es-ES"/>
        </w:rPr>
        <w:t>REQUISITOS HABILITANTES – Noción – Fundamento normativo</w:t>
      </w:r>
    </w:p>
    <w:p w14:paraId="773F37ED" w14:textId="31EFE832" w:rsidR="007D719F" w:rsidRDefault="007D719F" w:rsidP="007D719F">
      <w:pPr>
        <w:spacing w:after="0" w:line="256" w:lineRule="auto"/>
        <w:jc w:val="both"/>
        <w:rPr>
          <w:rFonts w:ascii="Verdana" w:hAnsi="Verdana" w:cs="Arial"/>
          <w:b/>
          <w:lang w:val="es-ES" w:eastAsia="es-ES"/>
        </w:rPr>
      </w:pPr>
    </w:p>
    <w:p w14:paraId="5BAB8853" w14:textId="20D5F7BD" w:rsidR="007D719F" w:rsidRPr="007D719F" w:rsidRDefault="007D719F" w:rsidP="007D719F">
      <w:pPr>
        <w:spacing w:after="0" w:line="240" w:lineRule="auto"/>
        <w:jc w:val="both"/>
        <w:rPr>
          <w:rFonts w:ascii="Verdana" w:hAnsi="Verdana" w:cs="Arial"/>
          <w:sz w:val="20"/>
          <w:lang w:val="es-ES_tradnl" w:eastAsia="es-ES"/>
        </w:rPr>
      </w:pPr>
      <w:r w:rsidRPr="007D719F">
        <w:rPr>
          <w:rFonts w:ascii="Verdana" w:hAnsi="Verdana" w:cs="Arial"/>
          <w:sz w:val="20"/>
          <w:lang w:val="es-ES_tradnl" w:eastAsia="es-ES"/>
        </w:rPr>
        <w:t xml:space="preserve">Los </w:t>
      </w:r>
      <w:r w:rsidRPr="007D719F">
        <w:rPr>
          <w:rFonts w:ascii="Verdana" w:hAnsi="Verdana" w:cs="Arial"/>
          <w:i/>
          <w:iCs/>
          <w:sz w:val="20"/>
          <w:lang w:val="es-ES_tradnl" w:eastAsia="es-ES"/>
        </w:rPr>
        <w:t>requisitos habilitantes</w:t>
      </w:r>
      <w:r w:rsidRPr="007D719F">
        <w:rPr>
          <w:rFonts w:ascii="Verdana" w:hAnsi="Verdana" w:cs="Arial"/>
          <w:sz w:val="20"/>
          <w:lang w:val="es-ES_tradnl" w:eastAsia="es-ES"/>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7D719F">
        <w:rPr>
          <w:rFonts w:ascii="Verdana" w:hAnsi="Verdana" w:cs="Arial"/>
          <w:i/>
          <w:iCs/>
          <w:sz w:val="20"/>
          <w:lang w:val="es-ES_tradnl" w:eastAsia="es-ES"/>
        </w:rPr>
        <w:t>criterios de evaluación</w:t>
      </w:r>
      <w:r w:rsidRPr="007D719F">
        <w:rPr>
          <w:rFonts w:ascii="Verdana" w:hAnsi="Verdana" w:cs="Arial"/>
          <w:sz w:val="20"/>
          <w:lang w:val="es-ES_tradnl" w:eastAsia="es-ES"/>
        </w:rPr>
        <w:t xml:space="preserve"> –también conocidos como </w:t>
      </w:r>
      <w:r w:rsidRPr="007D719F">
        <w:rPr>
          <w:rFonts w:ascii="Verdana" w:hAnsi="Verdana" w:cs="Arial"/>
          <w:i/>
          <w:iCs/>
          <w:sz w:val="20"/>
          <w:lang w:val="es-ES_tradnl" w:eastAsia="es-ES"/>
        </w:rPr>
        <w:t>criterios de calificación</w:t>
      </w:r>
      <w:r w:rsidRPr="007D719F">
        <w:rPr>
          <w:rFonts w:ascii="Verdana" w:hAnsi="Verdana" w:cs="Arial"/>
          <w:sz w:val="20"/>
          <w:lang w:val="es-ES_tradnl" w:eastAsia="es-ES"/>
        </w:rPr>
        <w:t>– en que estos son los factores definidos por la Entidad Estatal para la asignación de puntaje en el momento de la comparación de las ofertas, y que, a partir de su ponderación, permiten establecer el orden de elegibilidad y, por ende, la propuesta ganadora.</w:t>
      </w:r>
    </w:p>
    <w:p w14:paraId="4B8DC93A" w14:textId="77777777" w:rsidR="007D719F" w:rsidRPr="007D719F" w:rsidRDefault="007D719F" w:rsidP="007D719F">
      <w:pPr>
        <w:spacing w:after="0" w:line="256" w:lineRule="auto"/>
        <w:jc w:val="both"/>
        <w:rPr>
          <w:rFonts w:ascii="Verdana" w:hAnsi="Verdana" w:cs="Arial"/>
          <w:b/>
          <w:lang w:val="es-ES" w:eastAsia="es-ES"/>
        </w:rPr>
      </w:pPr>
    </w:p>
    <w:p w14:paraId="1C0838D7" w14:textId="77777777" w:rsidR="007D719F" w:rsidRPr="007D719F" w:rsidRDefault="007D719F" w:rsidP="007D719F">
      <w:pPr>
        <w:spacing w:after="0" w:line="256" w:lineRule="auto"/>
        <w:jc w:val="both"/>
        <w:rPr>
          <w:rFonts w:ascii="Verdana" w:hAnsi="Verdana" w:cs="Arial"/>
          <w:b/>
          <w:lang w:val="es-ES" w:eastAsia="es-ES"/>
        </w:rPr>
      </w:pPr>
      <w:r w:rsidRPr="007D719F">
        <w:rPr>
          <w:rFonts w:ascii="Verdana" w:hAnsi="Verdana" w:cs="Arial"/>
          <w:b/>
          <w:lang w:val="es-ES" w:eastAsia="es-ES"/>
        </w:rPr>
        <w:t xml:space="preserve">REQUISITOS HABILITANTES – Fijación – parámetros – proporcionalidad </w:t>
      </w:r>
    </w:p>
    <w:p w14:paraId="491F6BBF" w14:textId="77B6D968" w:rsidR="007D719F" w:rsidRDefault="007D719F" w:rsidP="007D719F">
      <w:pPr>
        <w:spacing w:after="0" w:line="256" w:lineRule="auto"/>
        <w:jc w:val="both"/>
        <w:rPr>
          <w:rFonts w:ascii="Verdana" w:hAnsi="Verdana" w:cs="Arial"/>
          <w:b/>
          <w:lang w:val="es-ES" w:eastAsia="es-ES"/>
        </w:rPr>
      </w:pPr>
    </w:p>
    <w:p w14:paraId="5597985E" w14:textId="5069FA20" w:rsidR="007D719F" w:rsidRPr="007D719F" w:rsidRDefault="007D719F" w:rsidP="007D719F">
      <w:pPr>
        <w:spacing w:after="0" w:line="240" w:lineRule="auto"/>
        <w:jc w:val="both"/>
        <w:rPr>
          <w:rFonts w:ascii="Verdana" w:hAnsi="Verdana" w:cs="Arial"/>
          <w:bCs/>
          <w:sz w:val="20"/>
          <w:lang w:eastAsia="es-ES" w:bidi="es-ES"/>
        </w:rPr>
      </w:pPr>
      <w:r w:rsidRPr="007D719F">
        <w:rPr>
          <w:rFonts w:ascii="Verdana" w:hAnsi="Verdana" w:cs="Arial"/>
          <w:bCs/>
          <w:sz w:val="20"/>
          <w:lang w:eastAsia="es-ES" w:bidi="es-ES"/>
        </w:rPr>
        <w:t>En efecto, las Entidades Estatales deben establecer los requisitos habilitantes de forma adecuada y proporcional a la naturaleza y valor del contrato, esto es, las condiciones exigidas correspondan a una relación directa con el objeto del contrato, de tal manera, que su acreditación sea congruente para evidenciar que el proponente es idóneo para ejecutar el contrato. Para ello, la Agencia expresa: “</w:t>
      </w:r>
      <w:r w:rsidRPr="007D719F">
        <w:rPr>
          <w:rFonts w:ascii="Verdana" w:eastAsia="Times New Roman" w:hAnsi="Verdana" w:cs="Arial"/>
          <w:bCs/>
          <w:sz w:val="20"/>
          <w:lang w:eastAsia="es-MX"/>
        </w:rPr>
        <w:t xml:space="preserve">[…] </w:t>
      </w:r>
      <w:r w:rsidRPr="007D719F">
        <w:rPr>
          <w:rFonts w:ascii="Verdana" w:hAnsi="Verdana" w:cs="Arial"/>
          <w:bCs/>
          <w:sz w:val="20"/>
          <w:lang w:eastAsia="es-ES" w:bidi="es-ES"/>
        </w:rPr>
        <w:t>los requisitos que se establezcan deben ser proporcionales a las condiciones del contrato, de tal manera que los mismos no establezcan condiciones más allá de las necesarias para verificar la idoneidad requerida de los proponentes respecto del objeto ofertado, ya que lo contrario limita la libre concurrencia</w:t>
      </w:r>
      <w:r>
        <w:rPr>
          <w:rFonts w:ascii="Verdana" w:hAnsi="Verdana" w:cs="Arial"/>
          <w:bCs/>
          <w:sz w:val="20"/>
          <w:lang w:eastAsia="es-ES" w:bidi="es-ES"/>
        </w:rPr>
        <w:t>”.</w:t>
      </w:r>
      <w:r w:rsidRPr="007D719F">
        <w:rPr>
          <w:rFonts w:ascii="Verdana" w:hAnsi="Verdana" w:cs="Arial"/>
          <w:bCs/>
          <w:sz w:val="20"/>
          <w:lang w:eastAsia="es-ES" w:bidi="es-ES"/>
        </w:rPr>
        <w:t xml:space="preserve"> </w:t>
      </w:r>
    </w:p>
    <w:p w14:paraId="59E4D295" w14:textId="77777777" w:rsidR="007D719F" w:rsidRDefault="007D719F" w:rsidP="007D719F">
      <w:pPr>
        <w:widowControl w:val="0"/>
        <w:autoSpaceDE w:val="0"/>
        <w:autoSpaceDN w:val="0"/>
        <w:spacing w:after="0" w:line="240" w:lineRule="auto"/>
        <w:jc w:val="both"/>
        <w:rPr>
          <w:rFonts w:ascii="Verdana" w:eastAsia="Calibri" w:hAnsi="Verdana" w:cs="Arial"/>
          <w:color w:val="000000" w:themeColor="text1"/>
          <w:sz w:val="20"/>
        </w:rPr>
      </w:pPr>
    </w:p>
    <w:p w14:paraId="33BD21EB" w14:textId="185D99E0" w:rsidR="007D719F" w:rsidRPr="007D719F" w:rsidRDefault="007D719F" w:rsidP="007D719F">
      <w:pPr>
        <w:widowControl w:val="0"/>
        <w:autoSpaceDE w:val="0"/>
        <w:autoSpaceDN w:val="0"/>
        <w:spacing w:after="0" w:line="240" w:lineRule="auto"/>
        <w:jc w:val="both"/>
        <w:rPr>
          <w:rFonts w:ascii="Verdana" w:eastAsia="Calibri" w:hAnsi="Verdana" w:cs="Arial"/>
          <w:color w:val="000000" w:themeColor="text1"/>
          <w:sz w:val="20"/>
        </w:rPr>
      </w:pPr>
      <w:r w:rsidRPr="007D719F">
        <w:rPr>
          <w:rFonts w:ascii="Verdana" w:eastAsia="Calibri" w:hAnsi="Verdana" w:cs="Arial"/>
          <w:color w:val="000000" w:themeColor="text1"/>
          <w:sz w:val="20"/>
        </w:rPr>
        <w:t xml:space="preserve">En este escenario, el principio de autonomía de la voluntad, reconocido en los artículos 13, 32 y 40 de la Ley 80 de 1993 para las entidades sometidas a esta, y en el artículo 1602 del Código Civil, para las exceptuadas de aquella, actúa entonces como el </w:t>
      </w:r>
      <w:r w:rsidRPr="007D719F">
        <w:rPr>
          <w:rFonts w:ascii="Verdana" w:eastAsia="Calibri" w:hAnsi="Verdana" w:cs="Arial"/>
          <w:color w:val="000000" w:themeColor="text1"/>
          <w:sz w:val="20"/>
        </w:rPr>
        <w:lastRenderedPageBreak/>
        <w:t xml:space="preserve">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w:t>
      </w:r>
    </w:p>
    <w:p w14:paraId="3CBF7087" w14:textId="77777777" w:rsidR="007D719F" w:rsidRPr="007D719F" w:rsidRDefault="007D719F" w:rsidP="007D719F">
      <w:pPr>
        <w:spacing w:after="0" w:line="256" w:lineRule="auto"/>
        <w:jc w:val="both"/>
        <w:rPr>
          <w:rFonts w:ascii="Verdana" w:hAnsi="Verdana" w:cs="Arial"/>
          <w:b/>
          <w:lang w:eastAsia="es-ES"/>
        </w:rPr>
      </w:pPr>
    </w:p>
    <w:p w14:paraId="18C8F74A" w14:textId="68FA5EA8" w:rsidR="007D719F" w:rsidRDefault="007D719F" w:rsidP="007D719F">
      <w:pPr>
        <w:spacing w:after="0" w:line="256" w:lineRule="auto"/>
        <w:jc w:val="both"/>
        <w:rPr>
          <w:rFonts w:ascii="Verdana" w:hAnsi="Verdana" w:cs="Arial"/>
          <w:b/>
          <w:lang w:val="es-ES" w:eastAsia="es-ES"/>
        </w:rPr>
      </w:pPr>
      <w:r w:rsidRPr="007D719F">
        <w:rPr>
          <w:rFonts w:ascii="Verdana" w:hAnsi="Verdana" w:cs="Arial"/>
          <w:b/>
          <w:lang w:val="es-ES" w:eastAsia="es-ES"/>
        </w:rPr>
        <w:t>REQUISITOS HABILITANTES – Certificación del fabricante – condiciones – Proveedor autorizado.</w:t>
      </w:r>
    </w:p>
    <w:p w14:paraId="680E5421" w14:textId="796FA029" w:rsidR="007D719F" w:rsidRDefault="007D719F" w:rsidP="007D719F">
      <w:pPr>
        <w:spacing w:after="0" w:line="256" w:lineRule="auto"/>
        <w:jc w:val="both"/>
        <w:rPr>
          <w:rFonts w:ascii="Verdana" w:hAnsi="Verdana" w:cs="Arial"/>
          <w:b/>
          <w:lang w:val="es-ES" w:eastAsia="es-ES"/>
        </w:rPr>
      </w:pPr>
    </w:p>
    <w:p w14:paraId="22E5D83E" w14:textId="783A18BC" w:rsidR="006773FC" w:rsidRPr="006773FC" w:rsidRDefault="006773FC" w:rsidP="006773FC">
      <w:pPr>
        <w:spacing w:after="0" w:line="240" w:lineRule="auto"/>
        <w:jc w:val="both"/>
        <w:rPr>
          <w:rFonts w:ascii="Verdana" w:eastAsia="Calibri" w:hAnsi="Verdana" w:cs="Times New Roman"/>
          <w:bCs/>
          <w:sz w:val="20"/>
        </w:rPr>
      </w:pPr>
      <w:r w:rsidRPr="006773FC">
        <w:rPr>
          <w:rFonts w:ascii="Verdana" w:eastAsia="Calibri" w:hAnsi="Verdana" w:cs="Times New Roman"/>
          <w:bCs/>
          <w:sz w:val="20"/>
          <w:lang w:val="es-ES"/>
        </w:rPr>
        <w:t xml:space="preserve">[…] </w:t>
      </w:r>
      <w:r w:rsidRPr="006773FC">
        <w:rPr>
          <w:rFonts w:ascii="Verdana" w:eastAsia="Calibri" w:hAnsi="Verdana" w:cs="Times New Roman"/>
          <w:bCs/>
          <w:sz w:val="20"/>
        </w:rPr>
        <w:t>la certificación del fabricante se constituye en un documento que determina si una empresa está oficialmente autorizada por un fabricante o proveedor para distribuir sus bienes o servicios. Dicho certificado permite validar la relación comercial con el productor o fabricante, y le otorga a su vez, ciertos derechos y responsabilidades. A modo de ilustración, el inciso primero del artículo 23 de la Ley 1480 de 2011 “Por medio del cual se expide el Estatuto del Consumidor y se dictan otras disposiciones”, cuyo tenor literal prescribe: “</w:t>
      </w:r>
      <w:r w:rsidRPr="006773FC">
        <w:rPr>
          <w:rFonts w:ascii="Verdana" w:eastAsia="Calibri" w:hAnsi="Verdana" w:cs="Times New Roman"/>
          <w:bCs/>
          <w:i/>
          <w:iCs/>
          <w:sz w:val="20"/>
        </w:rPr>
        <w:t>[…] L</w:t>
      </w:r>
      <w:r w:rsidRPr="006773FC">
        <w:rPr>
          <w:rFonts w:ascii="Verdana" w:eastAsia="Calibri" w:hAnsi="Verdana" w:cs="Times New Roman"/>
          <w:bCs/>
          <w:sz w:val="20"/>
        </w:rPr>
        <w:t>os proveedores y productores deberán suministrar a los consumidores información, clara, veraz, suficiente, oportuna, verificable, comprensible, precisa e idónea sobre los productos que ofrezcan y, sin perjuicio de lo señalado para los productos defectuosos, serán responsables de todo daño que sea consecuencia de la inadecuada o insuficiente información. En todos los casos la información mínima debe estar en castellano”.</w:t>
      </w:r>
    </w:p>
    <w:p w14:paraId="254DB161" w14:textId="77777777" w:rsidR="006773FC" w:rsidRPr="006773FC" w:rsidRDefault="006773FC" w:rsidP="006773FC">
      <w:pPr>
        <w:spacing w:after="0" w:line="240" w:lineRule="auto"/>
        <w:jc w:val="both"/>
        <w:rPr>
          <w:rFonts w:ascii="Verdana" w:eastAsia="Calibri" w:hAnsi="Verdana" w:cs="Times New Roman"/>
          <w:bCs/>
          <w:sz w:val="20"/>
        </w:rPr>
      </w:pPr>
    </w:p>
    <w:p w14:paraId="66A58B94" w14:textId="41FC6340" w:rsidR="006773FC" w:rsidRPr="006773FC" w:rsidRDefault="006773FC" w:rsidP="006773FC">
      <w:pPr>
        <w:spacing w:after="0" w:line="240" w:lineRule="auto"/>
        <w:jc w:val="both"/>
        <w:rPr>
          <w:rFonts w:ascii="Verdana" w:eastAsia="Calibri" w:hAnsi="Verdana" w:cs="Times New Roman"/>
          <w:bCs/>
          <w:sz w:val="20"/>
        </w:rPr>
      </w:pPr>
      <w:r w:rsidRPr="006773FC">
        <w:rPr>
          <w:rFonts w:ascii="Verdana" w:eastAsia="Calibri" w:hAnsi="Verdana" w:cs="Times New Roman"/>
          <w:bCs/>
          <w:sz w:val="20"/>
        </w:rPr>
        <w:t xml:space="preserve">La exigencia de un cumplimiento de condiciones técnicas del bien o servicio de características técnicas uniformes y de común utilización que requiera la entidad, no es desproporcionada cuando se exige la “certificación del fabricante”, en aquellos supuestos que se busca: en primer lugar, la garantía de calidad y origen del producto, esto es, calidad, idoneidad, seguridad y el buen estado y funcionamiento de los productos, como lo contempla el artículo 7 del Estatuto del Consumidor; en segundo lugar, el cumplimiento de requisitos y condiciones técnicas y de funcionamiento, que por lo general, lo brinda el productor o fabricante; en tercer lugar, una verificación de que el bien o servicio a adquirir fue obtenido de forma legal; en cuarto lugar, la exigencia de garantía por bienes o productos defectuosos, que se define como: “[…] aquel bien mueble o inmueble que en razón de un error el diseño, fabricación, construcción, embalaje o información, no ofrezca la razonable seguridad a la que toda persona tiene derecho” –artículo 5, numeral 17 del Estatuto del Consumidor-. Esto, sin dejar de lado la posible exigencia de garantías suplementarias y otras condiciones necesarias para el cumplimiento del objeto y los fines del contrato. </w:t>
      </w:r>
    </w:p>
    <w:p w14:paraId="0A78665F" w14:textId="77777777" w:rsidR="006773FC" w:rsidRPr="006773FC" w:rsidRDefault="006773FC" w:rsidP="006773FC">
      <w:pPr>
        <w:spacing w:after="0" w:line="240" w:lineRule="auto"/>
        <w:jc w:val="both"/>
        <w:rPr>
          <w:rFonts w:ascii="Verdana" w:eastAsia="Calibri" w:hAnsi="Verdana" w:cs="Times New Roman"/>
          <w:bCs/>
          <w:sz w:val="20"/>
        </w:rPr>
      </w:pPr>
    </w:p>
    <w:p w14:paraId="77E88A6C" w14:textId="02E7C9C3" w:rsidR="006773FC" w:rsidRPr="006773FC" w:rsidRDefault="006773FC" w:rsidP="006773FC">
      <w:pPr>
        <w:spacing w:after="0" w:line="240" w:lineRule="auto"/>
        <w:jc w:val="both"/>
        <w:rPr>
          <w:rFonts w:ascii="Verdana" w:eastAsia="Calibri" w:hAnsi="Verdana" w:cs="Times New Roman"/>
          <w:bCs/>
          <w:sz w:val="20"/>
        </w:rPr>
      </w:pPr>
      <w:r w:rsidRPr="006773FC">
        <w:rPr>
          <w:rFonts w:ascii="Verdana" w:eastAsia="Calibri" w:hAnsi="Verdana" w:cs="Times New Roman"/>
          <w:bCs/>
          <w:sz w:val="20"/>
        </w:rPr>
        <w:t xml:space="preserve">Ahora bien, la “certificación del fabricante” para determinar la calidad de proveedor autorizado no implica que, en cada proceso de proceso de contratación estatal que participe deba expedirse un certificado dirigido a la entidad contratante. Por el contrario, esa certificación de fabricante debe ser un documento que permita constatar el vínculo comercial, el término de duración y las demás condiciones de autorización. </w:t>
      </w:r>
    </w:p>
    <w:p w14:paraId="70C382BC" w14:textId="42EB6C61" w:rsidR="007D719F" w:rsidRPr="006773FC" w:rsidRDefault="006773FC" w:rsidP="006773FC">
      <w:pPr>
        <w:spacing w:after="0" w:line="240" w:lineRule="auto"/>
        <w:jc w:val="both"/>
        <w:rPr>
          <w:rFonts w:ascii="Verdana" w:eastAsia="Calibri" w:hAnsi="Verdana" w:cs="Times New Roman"/>
          <w:sz w:val="20"/>
        </w:rPr>
      </w:pPr>
      <w:r w:rsidRPr="006773FC">
        <w:rPr>
          <w:rFonts w:ascii="Verdana" w:eastAsia="Calibri" w:hAnsi="Verdana" w:cs="Times New Roman"/>
          <w:i/>
          <w:iCs/>
          <w:sz w:val="20"/>
        </w:rPr>
        <w:t xml:space="preserve"> </w:t>
      </w:r>
    </w:p>
    <w:p w14:paraId="079CB006" w14:textId="1FE5D753" w:rsidR="00363836" w:rsidRPr="0044528D" w:rsidRDefault="007D719F" w:rsidP="00363836">
      <w:pPr>
        <w:spacing w:after="0"/>
        <w:rPr>
          <w:rFonts w:ascii="Verdana" w:hAnsi="Verdana"/>
        </w:rPr>
      </w:pPr>
      <w:r>
        <w:rPr>
          <w:rFonts w:ascii="Verdana" w:hAnsi="Verdana"/>
        </w:rPr>
        <w:lastRenderedPageBreak/>
        <w:t>Bogotá D.C., 7 de julio de 2025</w:t>
      </w:r>
      <w:r w:rsidR="00363836" w:rsidRPr="0044528D">
        <w:rPr>
          <w:rFonts w:ascii="Verdana" w:hAnsi="Verdana"/>
        </w:rPr>
        <w:tab/>
      </w:r>
    </w:p>
    <w:p w14:paraId="21199858" w14:textId="5CA3A620" w:rsidR="00363836" w:rsidRPr="0044528D" w:rsidRDefault="007D719F" w:rsidP="00363836">
      <w:pPr>
        <w:spacing w:after="0"/>
        <w:rPr>
          <w:rFonts w:ascii="Verdana" w:hAnsi="Verdana"/>
        </w:rPr>
      </w:pPr>
      <w:r w:rsidRPr="007D719F">
        <w:rPr>
          <w:rFonts w:ascii="Verdana" w:hAnsi="Verdana"/>
          <w:noProof/>
          <w:lang w:val="en-US"/>
        </w:rPr>
        <w:drawing>
          <wp:anchor distT="0" distB="0" distL="114300" distR="114300" simplePos="0" relativeHeight="251658240" behindDoc="0" locked="0" layoutInCell="1" allowOverlap="1" wp14:anchorId="5CBD2DD1" wp14:editId="3380DD18">
            <wp:simplePos x="0" y="0"/>
            <wp:positionH relativeFrom="margin">
              <wp:align>right</wp:align>
            </wp:positionH>
            <wp:positionV relativeFrom="paragraph">
              <wp:posOffset>123190</wp:posOffset>
            </wp:positionV>
            <wp:extent cx="2733675" cy="756920"/>
            <wp:effectExtent l="0" t="0" r="9525" b="508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3675" cy="756920"/>
                    </a:xfrm>
                    <a:prstGeom prst="rect">
                      <a:avLst/>
                    </a:prstGeom>
                    <a:noFill/>
                    <a:ln>
                      <a:noFill/>
                    </a:ln>
                  </pic:spPr>
                </pic:pic>
              </a:graphicData>
            </a:graphic>
          </wp:anchor>
        </w:drawing>
      </w:r>
    </w:p>
    <w:p w14:paraId="6DF62A5A" w14:textId="3E1DB657" w:rsidR="00363836" w:rsidRDefault="00363836" w:rsidP="00363836">
      <w:pPr>
        <w:spacing w:after="0"/>
        <w:jc w:val="both"/>
        <w:rPr>
          <w:rStyle w:val="Hipervnculo"/>
          <w:rFonts w:ascii="Verdana" w:hAnsi="Verdana"/>
        </w:rPr>
      </w:pPr>
    </w:p>
    <w:p w14:paraId="17C3BC5A" w14:textId="77777777" w:rsidR="00363836" w:rsidRPr="00185EE9" w:rsidRDefault="00363836" w:rsidP="00363836">
      <w:pPr>
        <w:spacing w:after="0" w:line="240" w:lineRule="auto"/>
        <w:rPr>
          <w:rFonts w:ascii="Verdana" w:eastAsia="Calibri" w:hAnsi="Verdana" w:cs="Times New Roman"/>
          <w:lang w:val="es-MX"/>
        </w:rPr>
      </w:pPr>
      <w:r w:rsidRPr="00185EE9">
        <w:rPr>
          <w:rFonts w:ascii="Verdana" w:eastAsia="Calibri" w:hAnsi="Verdana" w:cs="Times New Roman"/>
          <w:lang w:val="es-MX"/>
        </w:rPr>
        <w:t>Señor</w:t>
      </w:r>
    </w:p>
    <w:p w14:paraId="4B1D93B3" w14:textId="77777777" w:rsidR="00363836" w:rsidRPr="00185EE9" w:rsidRDefault="00363836" w:rsidP="00363836">
      <w:pPr>
        <w:spacing w:after="0" w:line="240" w:lineRule="auto"/>
        <w:rPr>
          <w:rFonts w:ascii="Verdana" w:eastAsia="Calibri" w:hAnsi="Verdana" w:cs="Times New Roman"/>
          <w:b/>
        </w:rPr>
      </w:pPr>
      <w:r>
        <w:rPr>
          <w:rFonts w:ascii="Verdana" w:eastAsia="Calibri" w:hAnsi="Verdana" w:cs="Times New Roman"/>
          <w:b/>
        </w:rPr>
        <w:t>Anónimo</w:t>
      </w:r>
    </w:p>
    <w:p w14:paraId="48B80D0C" w14:textId="77777777" w:rsidR="00363836" w:rsidRDefault="00363836" w:rsidP="00363836">
      <w:pPr>
        <w:spacing w:after="0" w:line="240" w:lineRule="auto"/>
        <w:rPr>
          <w:rFonts w:ascii="Verdana" w:eastAsia="Calibri" w:hAnsi="Verdana" w:cs="Times New Roman"/>
        </w:rPr>
      </w:pPr>
      <w:hyperlink r:id="rId12" w:history="1">
        <w:r w:rsidRPr="006A33F3">
          <w:rPr>
            <w:rStyle w:val="Hipervnculo"/>
            <w:rFonts w:ascii="Verdana" w:eastAsia="Calibri" w:hAnsi="Verdana" w:cs="Times New Roman"/>
          </w:rPr>
          <w:t>adiaz@brandcenter.com.co</w:t>
        </w:r>
      </w:hyperlink>
    </w:p>
    <w:p w14:paraId="57D96916" w14:textId="77777777" w:rsidR="00363836" w:rsidRDefault="00363836" w:rsidP="00363836">
      <w:pPr>
        <w:spacing w:after="0" w:line="240" w:lineRule="auto"/>
        <w:rPr>
          <w:rFonts w:ascii="Verdana" w:eastAsia="Calibri" w:hAnsi="Verdana" w:cs="Times New Roman"/>
        </w:rPr>
      </w:pPr>
      <w:r>
        <w:rPr>
          <w:rFonts w:ascii="Verdana" w:eastAsia="Calibri" w:hAnsi="Verdana" w:cs="Times New Roman"/>
        </w:rPr>
        <w:t>Bogotá D.C.</w:t>
      </w:r>
    </w:p>
    <w:p w14:paraId="4AA16821" w14:textId="77777777" w:rsidR="00363836" w:rsidRDefault="00363836" w:rsidP="00363836">
      <w:pPr>
        <w:spacing w:after="0" w:line="256" w:lineRule="auto"/>
        <w:rPr>
          <w:rFonts w:ascii="Verdana" w:eastAsia="Calibri" w:hAnsi="Verdana" w:cs="Times New Roman"/>
        </w:rPr>
      </w:pPr>
    </w:p>
    <w:p w14:paraId="2D248C7C" w14:textId="77777777" w:rsidR="00363836" w:rsidRPr="00185EE9" w:rsidRDefault="00363836" w:rsidP="00363836">
      <w:pPr>
        <w:spacing w:after="0" w:line="256" w:lineRule="auto"/>
        <w:rPr>
          <w:rFonts w:ascii="Verdana" w:eastAsia="Calibri" w:hAnsi="Verdana" w:cs="Times New Roman"/>
        </w:rPr>
      </w:pPr>
    </w:p>
    <w:p w14:paraId="6E2E4A5C" w14:textId="77777777" w:rsidR="00363836" w:rsidRPr="00185EE9" w:rsidRDefault="00363836" w:rsidP="00363836">
      <w:pPr>
        <w:spacing w:after="0" w:line="256" w:lineRule="auto"/>
        <w:rPr>
          <w:rFonts w:ascii="Verdana" w:eastAsia="Calibri" w:hAnsi="Verdana" w:cs="Times New Roman"/>
          <w:b/>
          <w:bCs/>
          <w:lang w:val="es-ES"/>
        </w:rPr>
      </w:pPr>
      <w:r w:rsidRPr="00185EE9">
        <w:rPr>
          <w:rFonts w:ascii="Verdana" w:eastAsia="Calibri" w:hAnsi="Verdana" w:cs="Times New Roman"/>
          <w:b/>
          <w:bCs/>
          <w:lang w:val="es-ES"/>
        </w:rPr>
        <w:t xml:space="preserve">                                    </w:t>
      </w:r>
      <w:r w:rsidRPr="00F611E3">
        <w:rPr>
          <w:rFonts w:ascii="Verdana" w:eastAsia="Calibri" w:hAnsi="Verdana" w:cs="Times New Roman"/>
          <w:b/>
          <w:bCs/>
          <w:lang w:val="es-ES"/>
        </w:rPr>
        <w:t>Concepto C–</w:t>
      </w:r>
      <w:r>
        <w:rPr>
          <w:rFonts w:ascii="Verdana" w:eastAsia="Calibri" w:hAnsi="Verdana" w:cs="Times New Roman"/>
          <w:b/>
          <w:bCs/>
          <w:lang w:val="es-ES"/>
        </w:rPr>
        <w:t>659</w:t>
      </w:r>
      <w:r w:rsidRPr="00F611E3">
        <w:rPr>
          <w:rFonts w:ascii="Verdana" w:eastAsia="Calibri" w:hAnsi="Verdana" w:cs="Times New Roman"/>
          <w:b/>
          <w:bCs/>
          <w:lang w:val="es-ES"/>
        </w:rPr>
        <w:t xml:space="preserve"> de 2025</w:t>
      </w:r>
    </w:p>
    <w:p w14:paraId="00E7990C" w14:textId="77777777" w:rsidR="00363836" w:rsidRPr="00185EE9" w:rsidRDefault="00363836" w:rsidP="00363836">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363836" w:rsidRPr="00185EE9" w14:paraId="70B84560" w14:textId="77777777" w:rsidTr="009B7150">
        <w:trPr>
          <w:trHeight w:val="884"/>
        </w:trPr>
        <w:tc>
          <w:tcPr>
            <w:tcW w:w="2685" w:type="dxa"/>
            <w:hideMark/>
          </w:tcPr>
          <w:p w14:paraId="4FE70AF2" w14:textId="77777777" w:rsidR="00363836" w:rsidRPr="00185EE9" w:rsidRDefault="00363836" w:rsidP="009B7150">
            <w:pPr>
              <w:spacing w:line="256" w:lineRule="auto"/>
              <w:rPr>
                <w:rFonts w:ascii="Verdana" w:hAnsi="Verdana"/>
                <w:b/>
                <w:bCs/>
                <w:lang w:val="es-ES_tradnl"/>
              </w:rPr>
            </w:pPr>
            <w:r w:rsidRPr="00185EE9">
              <w:rPr>
                <w:rFonts w:ascii="Verdana" w:hAnsi="Verdana"/>
                <w:b/>
                <w:bCs/>
                <w:lang w:val="es-ES_tradnl"/>
              </w:rPr>
              <w:t xml:space="preserve">Temas:                   </w:t>
            </w:r>
          </w:p>
        </w:tc>
        <w:tc>
          <w:tcPr>
            <w:tcW w:w="6241" w:type="dxa"/>
            <w:hideMark/>
          </w:tcPr>
          <w:p w14:paraId="6D9BB87C" w14:textId="77777777" w:rsidR="00363836" w:rsidRPr="00A027B7" w:rsidRDefault="00363836" w:rsidP="009B7150">
            <w:pPr>
              <w:spacing w:line="276" w:lineRule="auto"/>
              <w:jc w:val="both"/>
              <w:rPr>
                <w:rFonts w:ascii="Verdana" w:hAnsi="Verdana" w:cs="Arial"/>
                <w:bCs/>
                <w:lang w:val="es-ES" w:eastAsia="es-ES"/>
              </w:rPr>
            </w:pPr>
            <w:r w:rsidRPr="0002779F">
              <w:rPr>
                <w:rFonts w:ascii="Verdana" w:hAnsi="Verdana" w:cs="Arial"/>
                <w:bCs/>
                <w:lang w:val="es-ES" w:eastAsia="es-ES"/>
              </w:rPr>
              <w:t>BIENES Y SERVICIOS DE CARACTERÍSTICAS TÉCNICAS UNIFORMES Y DE COMÚN UTILIZACIÓN– Definición- características / BIENES Y SERVICIOS DE CARACTERÍSTICAS TÉCNICAS UNIFORMES Y DE COMÚN UTILIZACIÓN- Formas de identificación- Formas de adquisición</w:t>
            </w:r>
            <w:r>
              <w:rPr>
                <w:rFonts w:ascii="Verdana" w:hAnsi="Verdana" w:cs="Arial"/>
                <w:bCs/>
                <w:lang w:val="es-ES" w:eastAsia="es-ES"/>
              </w:rPr>
              <w:t xml:space="preserve"> / </w:t>
            </w:r>
            <w:r w:rsidRPr="005C0FC8">
              <w:rPr>
                <w:rFonts w:ascii="Verdana" w:hAnsi="Verdana" w:cs="Arial"/>
                <w:lang w:val="es-ES" w:eastAsia="es-ES"/>
              </w:rPr>
              <w:t>REQUISITOS HABILITANTES – Noción</w:t>
            </w:r>
            <w:r>
              <w:rPr>
                <w:rFonts w:ascii="Verdana" w:hAnsi="Verdana" w:cs="Arial"/>
                <w:lang w:val="es-ES" w:eastAsia="es-ES"/>
              </w:rPr>
              <w:t xml:space="preserve"> – Fundamento normativo/ REQUISITOS HABILITANTES – Fijación – parámetros – proporcionalidad / REQUISITOS HABILITANTES – Certificación del fabricante – condiciones – Proveedor autorizado.  </w:t>
            </w:r>
          </w:p>
        </w:tc>
        <w:tc>
          <w:tcPr>
            <w:tcW w:w="6237" w:type="dxa"/>
          </w:tcPr>
          <w:p w14:paraId="0A0158CC" w14:textId="77777777" w:rsidR="00363836" w:rsidRPr="003778AA" w:rsidRDefault="00363836" w:rsidP="009B7150">
            <w:pPr>
              <w:spacing w:line="256" w:lineRule="auto"/>
              <w:rPr>
                <w:rFonts w:ascii="Verdana" w:hAnsi="Verdana"/>
                <w:lang w:val="es-ES"/>
              </w:rPr>
            </w:pPr>
            <w:r>
              <w:rPr>
                <w:rFonts w:ascii="Verdana" w:hAnsi="Verdana"/>
                <w:lang w:val="es-ES"/>
              </w:rPr>
              <w:t xml:space="preserve"> </w:t>
            </w:r>
          </w:p>
        </w:tc>
      </w:tr>
      <w:tr w:rsidR="00363836" w:rsidRPr="00185EE9" w14:paraId="54394A86" w14:textId="77777777" w:rsidTr="009B7150">
        <w:tc>
          <w:tcPr>
            <w:tcW w:w="2685" w:type="dxa"/>
          </w:tcPr>
          <w:p w14:paraId="684A67B6" w14:textId="77777777" w:rsidR="00363836" w:rsidRPr="00185EE9" w:rsidRDefault="00363836" w:rsidP="009B7150">
            <w:pPr>
              <w:spacing w:line="256" w:lineRule="auto"/>
              <w:rPr>
                <w:rFonts w:ascii="Verdana" w:hAnsi="Verdana"/>
                <w:lang w:val="es-ES_tradnl"/>
              </w:rPr>
            </w:pPr>
          </w:p>
          <w:p w14:paraId="0979AA6E" w14:textId="77777777" w:rsidR="00363836" w:rsidRPr="00185EE9" w:rsidRDefault="00363836" w:rsidP="009B7150">
            <w:pPr>
              <w:spacing w:line="256" w:lineRule="auto"/>
              <w:rPr>
                <w:rFonts w:ascii="Verdana" w:hAnsi="Verdana"/>
                <w:b/>
                <w:bCs/>
                <w:lang w:val="es-ES_tradnl"/>
              </w:rPr>
            </w:pPr>
            <w:r w:rsidRPr="00185EE9">
              <w:rPr>
                <w:rFonts w:ascii="Verdana" w:hAnsi="Verdana"/>
                <w:b/>
                <w:bCs/>
                <w:lang w:val="es-ES_tradnl"/>
              </w:rPr>
              <w:t xml:space="preserve">Radicación:               </w:t>
            </w:r>
          </w:p>
        </w:tc>
        <w:tc>
          <w:tcPr>
            <w:tcW w:w="6241" w:type="dxa"/>
          </w:tcPr>
          <w:p w14:paraId="1B8BF45D" w14:textId="77777777" w:rsidR="00363836" w:rsidRPr="00185EE9" w:rsidRDefault="00363836" w:rsidP="009B7150">
            <w:pPr>
              <w:spacing w:line="257" w:lineRule="auto"/>
              <w:rPr>
                <w:rFonts w:ascii="Verdana" w:hAnsi="Verdana"/>
                <w:lang w:val="es-ES_tradnl"/>
              </w:rPr>
            </w:pPr>
          </w:p>
          <w:p w14:paraId="632A4250" w14:textId="77777777" w:rsidR="00363836" w:rsidRPr="00E3576F" w:rsidRDefault="00363836" w:rsidP="009B7150">
            <w:pPr>
              <w:spacing w:line="257" w:lineRule="auto"/>
              <w:jc w:val="both"/>
              <w:rPr>
                <w:rFonts w:ascii="Verdana" w:hAnsi="Verdana"/>
                <w:highlight w:val="yellow"/>
                <w:lang w:val="es-ES_tradnl"/>
              </w:rPr>
            </w:pPr>
            <w:r w:rsidRPr="00185EE9">
              <w:rPr>
                <w:rFonts w:ascii="Verdana" w:hAnsi="Verdana"/>
                <w:lang w:val="es-ES_tradnl"/>
              </w:rPr>
              <w:t xml:space="preserve">Respuesta a consulta con radicado No. </w:t>
            </w:r>
            <w:r w:rsidRPr="000F6679">
              <w:rPr>
                <w:rFonts w:ascii="Verdana" w:hAnsi="Verdana"/>
              </w:rPr>
              <w:t>P20250527005107</w:t>
            </w:r>
          </w:p>
          <w:p w14:paraId="673EEF8C" w14:textId="77777777" w:rsidR="00363836" w:rsidRPr="00185EE9" w:rsidRDefault="00363836" w:rsidP="009B7150">
            <w:pPr>
              <w:spacing w:line="257" w:lineRule="auto"/>
              <w:jc w:val="both"/>
              <w:rPr>
                <w:rFonts w:ascii="Verdana" w:hAnsi="Verdana"/>
              </w:rPr>
            </w:pPr>
          </w:p>
        </w:tc>
        <w:tc>
          <w:tcPr>
            <w:tcW w:w="6237" w:type="dxa"/>
          </w:tcPr>
          <w:p w14:paraId="7478AAB1" w14:textId="77777777" w:rsidR="00363836" w:rsidRPr="00185EE9" w:rsidRDefault="00363836" w:rsidP="009B7150">
            <w:pPr>
              <w:spacing w:line="256" w:lineRule="auto"/>
              <w:rPr>
                <w:rFonts w:ascii="Verdana" w:hAnsi="Verdana"/>
                <w:lang w:val="es-ES_tradnl"/>
              </w:rPr>
            </w:pPr>
          </w:p>
        </w:tc>
      </w:tr>
    </w:tbl>
    <w:p w14:paraId="34ECEB32" w14:textId="77777777" w:rsidR="00363836" w:rsidRPr="00185EE9" w:rsidRDefault="00363836" w:rsidP="00363836">
      <w:pPr>
        <w:spacing w:after="0" w:line="256" w:lineRule="auto"/>
        <w:rPr>
          <w:rFonts w:ascii="Verdana" w:eastAsia="Calibri" w:hAnsi="Verdana" w:cs="Times New Roman"/>
          <w:lang w:val="es-ES_tradnl"/>
        </w:rPr>
      </w:pPr>
    </w:p>
    <w:p w14:paraId="0007A1F4" w14:textId="77777777" w:rsidR="00363836" w:rsidRPr="00185EE9" w:rsidRDefault="00363836" w:rsidP="00363836">
      <w:pPr>
        <w:spacing w:after="0" w:line="256" w:lineRule="auto"/>
        <w:rPr>
          <w:rFonts w:ascii="Verdana" w:eastAsia="Calibri" w:hAnsi="Verdana" w:cs="Times New Roman"/>
          <w:lang w:val="es-ES"/>
        </w:rPr>
      </w:pPr>
      <w:r>
        <w:rPr>
          <w:rFonts w:ascii="Verdana" w:eastAsia="Calibri" w:hAnsi="Verdana" w:cs="Times New Roman"/>
          <w:lang w:val="es-ES"/>
        </w:rPr>
        <w:t>Estimado</w:t>
      </w:r>
      <w:r w:rsidRPr="00185EE9">
        <w:rPr>
          <w:rFonts w:ascii="Verdana" w:eastAsia="Calibri" w:hAnsi="Verdana" w:cs="Times New Roman"/>
          <w:lang w:val="es-ES"/>
        </w:rPr>
        <w:t xml:space="preserve">: </w:t>
      </w:r>
    </w:p>
    <w:p w14:paraId="3FDCB760" w14:textId="77777777" w:rsidR="00363836" w:rsidRPr="00185EE9" w:rsidRDefault="00363836" w:rsidP="00363836">
      <w:pPr>
        <w:spacing w:after="0" w:line="256" w:lineRule="auto"/>
        <w:rPr>
          <w:rFonts w:ascii="Verdana" w:eastAsia="Calibri" w:hAnsi="Verdana" w:cs="Times New Roman"/>
          <w:lang w:val="es-ES"/>
        </w:rPr>
      </w:pPr>
    </w:p>
    <w:p w14:paraId="1173BE63" w14:textId="77777777" w:rsidR="00363836" w:rsidRPr="00185EE9" w:rsidRDefault="00363836" w:rsidP="00363836">
      <w:pPr>
        <w:spacing w:after="0" w:line="276" w:lineRule="auto"/>
        <w:jc w:val="both"/>
        <w:rPr>
          <w:rFonts w:ascii="Verdana" w:eastAsia="Calibri" w:hAnsi="Verdana" w:cs="Times New Roman"/>
          <w:lang w:val="es-ES"/>
        </w:rPr>
      </w:pPr>
      <w:r w:rsidRPr="00185EE9">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w:t>
      </w:r>
      <w:r>
        <w:rPr>
          <w:rFonts w:ascii="Verdana" w:eastAsia="Calibri" w:hAnsi="Verdana" w:cs="Times New Roman"/>
          <w:lang w:val="es-ES"/>
        </w:rPr>
        <w:t>nde la solicitud de consulta presentada el 27 de mayo de 2025</w:t>
      </w:r>
      <w:r w:rsidRPr="00185EE9">
        <w:rPr>
          <w:rFonts w:ascii="Verdana" w:eastAsia="Calibri" w:hAnsi="Verdana" w:cs="Times New Roman"/>
          <w:lang w:val="es-ES"/>
        </w:rPr>
        <w:t>, en</w:t>
      </w:r>
      <w:r>
        <w:rPr>
          <w:rFonts w:ascii="Verdana" w:eastAsia="Calibri" w:hAnsi="Verdana" w:cs="Times New Roman"/>
          <w:lang w:val="es-ES"/>
        </w:rPr>
        <w:t xml:space="preserve"> la cual manifiesta</w:t>
      </w:r>
      <w:r w:rsidRPr="00185EE9">
        <w:rPr>
          <w:rFonts w:ascii="Verdana" w:eastAsia="Calibri" w:hAnsi="Verdana" w:cs="Times New Roman"/>
          <w:lang w:val="es-ES"/>
        </w:rPr>
        <w:t>:</w:t>
      </w:r>
    </w:p>
    <w:p w14:paraId="205B9B48" w14:textId="77777777" w:rsidR="00363836" w:rsidRPr="0097354A" w:rsidRDefault="00363836" w:rsidP="00363836">
      <w:pPr>
        <w:spacing w:after="0" w:line="240" w:lineRule="auto"/>
        <w:jc w:val="both"/>
        <w:rPr>
          <w:rFonts w:ascii="Verdana" w:eastAsia="Calibri" w:hAnsi="Verdana" w:cs="Times New Roman"/>
          <w:i/>
          <w:lang w:val="es-ES"/>
        </w:rPr>
      </w:pPr>
    </w:p>
    <w:p w14:paraId="7560DF49" w14:textId="77777777" w:rsidR="00363836" w:rsidRPr="0097354A" w:rsidRDefault="00363836" w:rsidP="00363836">
      <w:pPr>
        <w:spacing w:after="0" w:line="240" w:lineRule="auto"/>
        <w:ind w:left="709" w:right="709"/>
        <w:jc w:val="both"/>
        <w:rPr>
          <w:rFonts w:ascii="Verdana" w:eastAsia="Calibri" w:hAnsi="Verdana" w:cs="Times New Roman"/>
          <w:i/>
          <w:sz w:val="20"/>
          <w:szCs w:val="20"/>
        </w:rPr>
      </w:pPr>
      <w:r w:rsidRPr="0097354A">
        <w:rPr>
          <w:rFonts w:ascii="Verdana" w:eastAsia="Calibri" w:hAnsi="Verdana" w:cs="Times New Roman"/>
          <w:i/>
          <w:sz w:val="20"/>
          <w:szCs w:val="20"/>
          <w:lang w:val="es-ES"/>
        </w:rPr>
        <w:t>“</w:t>
      </w:r>
      <w:r w:rsidRPr="0097354A">
        <w:rPr>
          <w:rFonts w:ascii="Verdana" w:eastAsia="Calibri" w:hAnsi="Verdana" w:cs="Times New Roman"/>
          <w:i/>
          <w:sz w:val="20"/>
          <w:szCs w:val="20"/>
        </w:rPr>
        <w:t xml:space="preserve">Quisiera elevar una consulta, relacionada con la solicitud de “CERTIFICACIÓN DEL FABRICANTE” en procesos de suministro o compraventa, en este caso de materiales de construcción y/o ferretería; ¿Está permitido que la Entidad pida este requisito? ya que últimamente los están incluyendo en los procesos de subasta inversa y menor cuantía en bienes de características técnicas uniformes y común utilización, limitando la participación de oferentes ya que resulta dispendioso </w:t>
      </w:r>
      <w:r w:rsidRPr="0097354A">
        <w:rPr>
          <w:rFonts w:ascii="Verdana" w:eastAsia="Calibri" w:hAnsi="Verdana" w:cs="Times New Roman"/>
          <w:i/>
          <w:sz w:val="20"/>
          <w:szCs w:val="20"/>
        </w:rPr>
        <w:lastRenderedPageBreak/>
        <w:t>conseguir las certificaciones del fabricante dirigidas a la Entidad de una gran cantidad de materiales</w:t>
      </w:r>
      <w:r w:rsidRPr="0097354A">
        <w:rPr>
          <w:rFonts w:ascii="Verdana" w:eastAsia="Calibri" w:hAnsi="Verdana" w:cs="Times New Roman"/>
          <w:i/>
          <w:sz w:val="20"/>
          <w:szCs w:val="20"/>
          <w:lang w:val="es-ES"/>
        </w:rPr>
        <w:t xml:space="preserve">”. </w:t>
      </w:r>
    </w:p>
    <w:p w14:paraId="2062F453" w14:textId="77777777" w:rsidR="00363836" w:rsidRPr="00185EE9" w:rsidRDefault="00363836" w:rsidP="00363836">
      <w:pPr>
        <w:spacing w:after="0" w:line="256" w:lineRule="auto"/>
        <w:rPr>
          <w:rFonts w:ascii="Verdana" w:eastAsia="Calibri" w:hAnsi="Verdana" w:cs="Times New Roman"/>
          <w:lang w:val="es-ES"/>
        </w:rPr>
      </w:pPr>
    </w:p>
    <w:p w14:paraId="0F43D0EC" w14:textId="77777777" w:rsidR="00363836" w:rsidRPr="00A94D14" w:rsidRDefault="00363836" w:rsidP="00363836">
      <w:pPr>
        <w:spacing w:after="120" w:line="276" w:lineRule="auto"/>
        <w:ind w:firstLine="709"/>
        <w:jc w:val="both"/>
        <w:rPr>
          <w:rFonts w:ascii="Verdana" w:eastAsia="Calibri" w:hAnsi="Verdana" w:cs="Times New Roman"/>
          <w:lang w:val="es-ES"/>
        </w:rPr>
      </w:pPr>
      <w:r w:rsidRPr="00A94D14">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37B2AD20" w14:textId="77777777" w:rsidR="00363836" w:rsidRPr="00A32373" w:rsidRDefault="00363836" w:rsidP="00363836">
      <w:pPr>
        <w:spacing w:after="0" w:line="276" w:lineRule="auto"/>
        <w:ind w:firstLine="708"/>
        <w:jc w:val="both"/>
        <w:rPr>
          <w:rFonts w:ascii="Verdana" w:eastAsia="Calibri" w:hAnsi="Verdana" w:cs="Times New Roman"/>
          <w:lang w:val="es-ES"/>
        </w:rPr>
      </w:pPr>
      <w:r w:rsidRPr="00A32373">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5CA871BA" w14:textId="77777777" w:rsidR="00363836" w:rsidRPr="00A32373" w:rsidRDefault="00363836" w:rsidP="00363836">
      <w:pPr>
        <w:spacing w:after="0" w:line="256" w:lineRule="auto"/>
        <w:rPr>
          <w:rFonts w:ascii="Verdana" w:eastAsia="Calibri" w:hAnsi="Verdana" w:cs="Times New Roman"/>
          <w:lang w:val="es-ES"/>
        </w:rPr>
      </w:pPr>
    </w:p>
    <w:p w14:paraId="451FC2E3" w14:textId="77777777" w:rsidR="00363836" w:rsidRPr="00A32373" w:rsidRDefault="00363836" w:rsidP="00363836">
      <w:pPr>
        <w:pStyle w:val="Prrafodelista"/>
        <w:numPr>
          <w:ilvl w:val="0"/>
          <w:numId w:val="19"/>
        </w:numPr>
        <w:spacing w:after="0" w:line="256" w:lineRule="auto"/>
        <w:rPr>
          <w:rFonts w:ascii="Verdana" w:eastAsia="Calibri" w:hAnsi="Verdana" w:cs="Times New Roman"/>
          <w:b/>
          <w:bCs/>
        </w:rPr>
      </w:pPr>
      <w:r w:rsidRPr="00A32373">
        <w:rPr>
          <w:rFonts w:ascii="Verdana" w:eastAsia="Calibri" w:hAnsi="Verdana" w:cs="Times New Roman"/>
          <w:b/>
          <w:bCs/>
        </w:rPr>
        <w:t>Problema planteado:</w:t>
      </w:r>
    </w:p>
    <w:p w14:paraId="6E8461E4" w14:textId="77777777" w:rsidR="00363836" w:rsidRPr="00A32373" w:rsidRDefault="00363836" w:rsidP="00363836">
      <w:pPr>
        <w:spacing w:after="0" w:line="256" w:lineRule="auto"/>
        <w:rPr>
          <w:rFonts w:ascii="Verdana" w:eastAsia="Calibri" w:hAnsi="Verdana" w:cs="Times New Roman"/>
        </w:rPr>
      </w:pPr>
    </w:p>
    <w:p w14:paraId="67AC6974" w14:textId="50B55150" w:rsidR="00363836" w:rsidRPr="000F6679" w:rsidRDefault="00363836" w:rsidP="00363836">
      <w:pPr>
        <w:spacing w:after="0" w:line="276" w:lineRule="auto"/>
        <w:jc w:val="both"/>
        <w:rPr>
          <w:rFonts w:ascii="Verdana" w:eastAsia="Calibri" w:hAnsi="Verdana" w:cs="Times New Roman"/>
        </w:rPr>
      </w:pPr>
      <w:r w:rsidRPr="00A32373">
        <w:rPr>
          <w:rFonts w:ascii="Verdana" w:eastAsia="Calibri" w:hAnsi="Verdana" w:cs="Times New Roman"/>
        </w:rPr>
        <w:t xml:space="preserve">De acuerdo con el contenido de su solicitud, esta Agencia procede a resolver el siguiente </w:t>
      </w:r>
      <w:r>
        <w:rPr>
          <w:rFonts w:ascii="Verdana" w:eastAsia="Calibri" w:hAnsi="Verdana" w:cs="Times New Roman"/>
        </w:rPr>
        <w:t>probl</w:t>
      </w:r>
      <w:r w:rsidR="0009313A">
        <w:rPr>
          <w:rFonts w:ascii="Verdana" w:eastAsia="Calibri" w:hAnsi="Verdana" w:cs="Times New Roman"/>
        </w:rPr>
        <w:t xml:space="preserve">ema jurídico: ¿Es procedente </w:t>
      </w:r>
      <w:r>
        <w:rPr>
          <w:rFonts w:ascii="Verdana" w:eastAsia="Calibri" w:hAnsi="Verdana" w:cs="Times New Roman"/>
        </w:rPr>
        <w:t xml:space="preserve">para la adquisición de bienes y servicios de características técnicas uniformes y de común utilización </w:t>
      </w:r>
      <w:r>
        <w:rPr>
          <w:rFonts w:ascii="Verdana" w:eastAsia="Calibri" w:hAnsi="Verdana" w:cs="Times New Roman"/>
          <w:lang w:val="es-ES"/>
        </w:rPr>
        <w:t xml:space="preserve">exigir como requisito habilitante la </w:t>
      </w:r>
      <w:r w:rsidRPr="0097354A">
        <w:rPr>
          <w:rFonts w:ascii="Verdana" w:eastAsia="Calibri" w:hAnsi="Verdana" w:cs="Times New Roman"/>
          <w:i/>
          <w:lang w:val="es-ES"/>
        </w:rPr>
        <w:t>“certificación del fabricante”?</w:t>
      </w:r>
    </w:p>
    <w:p w14:paraId="5C566A45" w14:textId="77777777" w:rsidR="00363836" w:rsidRPr="00A32373" w:rsidRDefault="00363836" w:rsidP="00363836">
      <w:pPr>
        <w:spacing w:after="0" w:line="256" w:lineRule="auto"/>
        <w:rPr>
          <w:rFonts w:ascii="Verdana" w:eastAsia="Calibri" w:hAnsi="Verdana" w:cs="Times New Roman"/>
        </w:rPr>
      </w:pPr>
    </w:p>
    <w:p w14:paraId="7A37BED1" w14:textId="77777777" w:rsidR="00363836" w:rsidRPr="00A32373" w:rsidRDefault="00363836" w:rsidP="00363836">
      <w:pPr>
        <w:pStyle w:val="Prrafodelista"/>
        <w:numPr>
          <w:ilvl w:val="0"/>
          <w:numId w:val="19"/>
        </w:numPr>
        <w:spacing w:after="0" w:line="256" w:lineRule="auto"/>
        <w:rPr>
          <w:rFonts w:ascii="Verdana" w:eastAsia="Calibri" w:hAnsi="Verdana" w:cs="Times New Roman"/>
          <w:b/>
          <w:bCs/>
        </w:rPr>
      </w:pPr>
      <w:r w:rsidRPr="00A32373">
        <w:rPr>
          <w:rFonts w:ascii="Verdana" w:eastAsia="Calibri" w:hAnsi="Verdana" w:cs="Times New Roman"/>
          <w:b/>
          <w:bCs/>
        </w:rPr>
        <w:t>Respuesta:</w:t>
      </w:r>
    </w:p>
    <w:p w14:paraId="47A04B64" w14:textId="77777777" w:rsidR="00363836" w:rsidRDefault="00363836" w:rsidP="00363836">
      <w:pPr>
        <w:spacing w:after="0" w:line="25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363836" w:rsidRPr="009B3595" w14:paraId="0E025620" w14:textId="77777777" w:rsidTr="009B7150">
        <w:trPr>
          <w:trHeight w:val="207"/>
          <w:jc w:val="center"/>
        </w:trPr>
        <w:tc>
          <w:tcPr>
            <w:tcW w:w="8784" w:type="dxa"/>
          </w:tcPr>
          <w:p w14:paraId="6B7911B8" w14:textId="77777777" w:rsidR="00363836" w:rsidRPr="0097354A" w:rsidRDefault="00363836" w:rsidP="009B7150">
            <w:pPr>
              <w:widowControl w:val="0"/>
              <w:autoSpaceDE w:val="0"/>
              <w:autoSpaceDN w:val="0"/>
              <w:spacing w:before="120" w:after="120" w:line="276" w:lineRule="auto"/>
              <w:jc w:val="both"/>
              <w:rPr>
                <w:rFonts w:ascii="Verdana" w:eastAsia="Calibri" w:hAnsi="Verdana" w:cs="Arial"/>
                <w:color w:val="000000" w:themeColor="text1"/>
              </w:rPr>
            </w:pPr>
            <w:r w:rsidRPr="00BD787A">
              <w:rPr>
                <w:rFonts w:ascii="Verdana" w:eastAsia="Times New Roman" w:hAnsi="Verdana" w:cs="Arial"/>
                <w:lang w:val="es-ES_tradnl" w:eastAsia="es-MX"/>
              </w:rPr>
              <w:t xml:space="preserve">Ahora bien, </w:t>
            </w:r>
            <w:r>
              <w:rPr>
                <w:rFonts w:ascii="Verdana" w:eastAsia="Times New Roman" w:hAnsi="Verdana" w:cs="Arial"/>
                <w:bCs/>
                <w:lang w:eastAsia="es-MX"/>
              </w:rPr>
              <w:t>para resolver</w:t>
            </w:r>
            <w:r w:rsidRPr="00E07B2B">
              <w:rPr>
                <w:rFonts w:ascii="Verdana" w:eastAsia="Times New Roman" w:hAnsi="Verdana" w:cs="Arial"/>
                <w:bCs/>
                <w:lang w:eastAsia="es-MX"/>
              </w:rPr>
              <w:t xml:space="preserve"> el problema jur</w:t>
            </w:r>
            <w:r>
              <w:rPr>
                <w:rFonts w:ascii="Verdana" w:eastAsia="Times New Roman" w:hAnsi="Verdana" w:cs="Arial"/>
                <w:bCs/>
                <w:lang w:eastAsia="es-MX"/>
              </w:rPr>
              <w:t xml:space="preserve">ídico que nos incumbe, hay que considerar </w:t>
            </w:r>
            <w:r w:rsidRPr="009859FE">
              <w:rPr>
                <w:rFonts w:ascii="Verdana" w:eastAsia="Calibri" w:hAnsi="Verdana" w:cs="Arial"/>
                <w:color w:val="000000" w:themeColor="text1"/>
              </w:rPr>
              <w:t xml:space="preserve">la discrecionalidad para establecer requisitos habilitantes, </w:t>
            </w:r>
            <w:r>
              <w:rPr>
                <w:rFonts w:ascii="Verdana" w:eastAsia="Calibri" w:hAnsi="Verdana" w:cs="Arial"/>
                <w:color w:val="000000" w:themeColor="text1"/>
              </w:rPr>
              <w:t>siendo</w:t>
            </w:r>
            <w:r w:rsidRPr="009859FE">
              <w:rPr>
                <w:rFonts w:ascii="Verdana" w:eastAsia="Calibri" w:hAnsi="Verdana" w:cs="Arial"/>
                <w:color w:val="000000" w:themeColor="text1"/>
              </w:rPr>
              <w:t xml:space="preserve">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w:t>
            </w:r>
            <w:r w:rsidRPr="009859FE">
              <w:rPr>
                <w:rFonts w:ascii="Verdana" w:eastAsia="Calibri" w:hAnsi="Verdana" w:cs="Arial"/>
                <w:color w:val="000000" w:themeColor="text1"/>
              </w:rPr>
              <w:lastRenderedPageBreak/>
              <w:t>de la norma que la autoriza, y proporcional a 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w:t>
            </w:r>
            <w:r>
              <w:rPr>
                <w:rFonts w:ascii="Verdana" w:eastAsia="Calibri" w:hAnsi="Verdana" w:cs="Arial"/>
                <w:color w:val="000000" w:themeColor="text1"/>
              </w:rPr>
              <w:t xml:space="preserve"> En tal sentido, al</w:t>
            </w:r>
            <w:r>
              <w:rPr>
                <w:rFonts w:ascii="Verdana" w:hAnsi="Verdana" w:cs="Arial"/>
                <w:bCs/>
                <w:lang w:eastAsia="es-ES" w:bidi="es-ES"/>
              </w:rPr>
              <w:t xml:space="preserve"> momento de establecer un requisito habilitante en los pliegos de condiciones, como es la “certificación del fabricante” para la adquisición de bienes y servicios de características técnicas uniformes y de común utilización, debe cuestionarse la entidad si con ello se está garantizando la idoneidad de los posibles oferentes, la calidad del bien o servicio, sumado al objetivo de promover la competencia en el sistema de compras y contratación pública. </w:t>
            </w:r>
          </w:p>
          <w:p w14:paraId="1EA9AA3F" w14:textId="77777777" w:rsidR="00363836" w:rsidRPr="0097354A" w:rsidRDefault="00363836" w:rsidP="009B7150">
            <w:pPr>
              <w:spacing w:after="120" w:line="276" w:lineRule="auto"/>
              <w:ind w:firstLine="708"/>
              <w:jc w:val="both"/>
              <w:rPr>
                <w:rFonts w:ascii="Verdana" w:hAnsi="Verdana" w:cs="Arial"/>
                <w:bCs/>
                <w:lang w:eastAsia="es-ES" w:bidi="es-ES"/>
              </w:rPr>
            </w:pPr>
            <w:r>
              <w:rPr>
                <w:rFonts w:ascii="Verdana" w:hAnsi="Verdana" w:cs="Arial"/>
                <w:bCs/>
                <w:lang w:eastAsia="es-ES" w:bidi="es-ES"/>
              </w:rPr>
              <w:t xml:space="preserve">Para determinar la procedencia de exigir la certificación del fabricante como requisito habilitante dentro del pliego de condiciones, en la invitación pública o en el documento equivalente, es necesario precisar si con ello, la entidad busca verificar la autenticidad, calidad y certeza de los bienes y servicios que se ofertan, sin que implique una afectación de la libre competencia y la selección objetiva. Es decir, una exigencia de este </w:t>
            </w:r>
            <w:proofErr w:type="gramStart"/>
            <w:r>
              <w:rPr>
                <w:rFonts w:ascii="Verdana" w:hAnsi="Verdana" w:cs="Arial"/>
                <w:bCs/>
                <w:lang w:eastAsia="es-ES" w:bidi="es-ES"/>
              </w:rPr>
              <w:t>tipo,</w:t>
            </w:r>
            <w:proofErr w:type="gramEnd"/>
            <w:r>
              <w:rPr>
                <w:rFonts w:ascii="Verdana" w:hAnsi="Verdana" w:cs="Arial"/>
                <w:bCs/>
                <w:lang w:eastAsia="es-ES" w:bidi="es-ES"/>
              </w:rPr>
              <w:t xml:space="preserve"> procede en aquellos bienes y servicios que requieran cumplimiento de estándares técnicos prede</w:t>
            </w:r>
            <w:r w:rsidRPr="0097354A">
              <w:rPr>
                <w:rFonts w:ascii="Verdana" w:hAnsi="Verdana" w:cs="Arial"/>
                <w:bCs/>
                <w:lang w:eastAsia="es-ES" w:bidi="es-ES"/>
              </w:rPr>
              <w:t xml:space="preserve">finidos, idoneidad de los bienes y servicios, garantías específicas de calidad, garantías suplementarias, entre otros aspectos, que sean de utilidad para un cumplimiento efectivo del contrato. </w:t>
            </w:r>
          </w:p>
          <w:p w14:paraId="6DF4E3AA" w14:textId="77777777" w:rsidR="00363836" w:rsidRDefault="00363836" w:rsidP="009B7150">
            <w:pPr>
              <w:spacing w:after="120" w:line="276" w:lineRule="auto"/>
              <w:ind w:firstLine="708"/>
              <w:jc w:val="both"/>
              <w:rPr>
                <w:rFonts w:ascii="Verdana" w:hAnsi="Verdana" w:cs="Arial"/>
                <w:bCs/>
                <w:lang w:eastAsia="es-ES" w:bidi="es-ES"/>
              </w:rPr>
            </w:pPr>
            <w:r w:rsidRPr="0097354A">
              <w:rPr>
                <w:rFonts w:ascii="Verdana" w:hAnsi="Verdana" w:cs="Arial"/>
                <w:bCs/>
                <w:lang w:eastAsia="es-ES" w:bidi="es-ES"/>
              </w:rPr>
              <w:t xml:space="preserve">Para ello, la </w:t>
            </w:r>
            <w:r>
              <w:rPr>
                <w:rFonts w:ascii="Verdana" w:hAnsi="Verdana" w:cs="Arial"/>
                <w:bCs/>
                <w:lang w:eastAsia="es-ES" w:bidi="es-ES"/>
              </w:rPr>
              <w:t>“</w:t>
            </w:r>
            <w:r w:rsidRPr="0097354A">
              <w:rPr>
                <w:rFonts w:ascii="Verdana" w:hAnsi="Verdana" w:cs="Arial"/>
                <w:bCs/>
                <w:lang w:eastAsia="es-ES" w:bidi="es-ES"/>
              </w:rPr>
              <w:t>certificación del fabricante</w:t>
            </w:r>
            <w:r>
              <w:rPr>
                <w:rFonts w:ascii="Verdana" w:hAnsi="Verdana" w:cs="Arial"/>
                <w:bCs/>
                <w:lang w:eastAsia="es-ES" w:bidi="es-ES"/>
              </w:rPr>
              <w:t>”</w:t>
            </w:r>
            <w:r w:rsidRPr="0097354A">
              <w:rPr>
                <w:rFonts w:ascii="Verdana" w:hAnsi="Verdana" w:cs="Arial"/>
                <w:bCs/>
                <w:lang w:eastAsia="es-ES" w:bidi="es-ES"/>
              </w:rPr>
              <w:t xml:space="preserve"> se constituye en un documento que determina si una empresa está oficialmente autorizada por un fabricante o proveedor para distribuir sus bienes o servicios. Dicho certificado permite validar la relación comercial con el productor o fabricante, y le otorga a su vez, ciertos derechos y responsabilidades. </w:t>
            </w:r>
            <w:r>
              <w:rPr>
                <w:rFonts w:ascii="Verdana" w:hAnsi="Verdana" w:cs="Arial"/>
                <w:bCs/>
                <w:lang w:eastAsia="es-ES" w:bidi="es-ES"/>
              </w:rPr>
              <w:t>A modo de ilustración, el inciso primero del artículo 23 de la Ley 1480 de 2011 “Por medio del cual se expide el Estatuto del Consumidor y se dictan otras disposiciones”, cuyo tenor literal prescribe: “</w:t>
            </w:r>
            <w:r w:rsidRPr="005E7D2F">
              <w:rPr>
                <w:rFonts w:ascii="Verdana" w:hAnsi="Verdana" w:cs="Arial"/>
                <w:lang w:eastAsia="es-ES" w:bidi="es-ES"/>
              </w:rPr>
              <w:t>[…]</w:t>
            </w:r>
            <w:r>
              <w:rPr>
                <w:rFonts w:ascii="Verdana" w:hAnsi="Verdana" w:cs="Arial"/>
                <w:bCs/>
                <w:i/>
                <w:iCs/>
                <w:lang w:eastAsia="es-ES" w:bidi="es-ES"/>
              </w:rPr>
              <w:t xml:space="preserve"> L</w:t>
            </w:r>
            <w:r w:rsidRPr="00A11C8E">
              <w:rPr>
                <w:rFonts w:ascii="Verdana" w:hAnsi="Verdana" w:cs="Arial"/>
                <w:bCs/>
                <w:lang w:eastAsia="es-ES" w:bidi="es-ES"/>
              </w:rPr>
              <w:t>os proveedores y productores deberán suministrar a los consumidores información, clara, veraz, suficiente, oportuna, verificable, comprensible, precisa e idónea sobre los productos que ofrezcan y, sin perjuicio de lo señalado para los productos defectuosos, serán responsables de todo daño que sea consecuencia de la inadecuada o insuficiente información. En todos los casos la información mínima debe estar en castellano</w:t>
            </w:r>
            <w:r>
              <w:rPr>
                <w:rFonts w:ascii="Verdana" w:hAnsi="Verdana" w:cs="Arial"/>
                <w:bCs/>
                <w:lang w:eastAsia="es-ES" w:bidi="es-ES"/>
              </w:rPr>
              <w:t>”.</w:t>
            </w:r>
          </w:p>
          <w:p w14:paraId="66CED41C" w14:textId="77777777" w:rsidR="00363836" w:rsidRDefault="00363836" w:rsidP="009B7150">
            <w:pPr>
              <w:spacing w:after="120" w:line="276" w:lineRule="auto"/>
              <w:ind w:firstLine="708"/>
              <w:jc w:val="both"/>
              <w:rPr>
                <w:rFonts w:ascii="Verdana" w:hAnsi="Verdana" w:cs="Arial"/>
                <w:bCs/>
                <w:lang w:eastAsia="es-ES" w:bidi="es-ES"/>
              </w:rPr>
            </w:pPr>
            <w:r>
              <w:rPr>
                <w:rFonts w:ascii="Verdana" w:hAnsi="Verdana" w:cs="Arial"/>
                <w:bCs/>
                <w:lang w:eastAsia="es-ES" w:bidi="es-ES"/>
              </w:rPr>
              <w:t xml:space="preserve">La exigencia de un cumplimiento de condiciones técnicas del bien o servicio de características técnicas uniformes y de común utilización que </w:t>
            </w:r>
            <w:r>
              <w:rPr>
                <w:rFonts w:ascii="Verdana" w:hAnsi="Verdana" w:cs="Arial"/>
                <w:bCs/>
                <w:lang w:eastAsia="es-ES" w:bidi="es-ES"/>
              </w:rPr>
              <w:lastRenderedPageBreak/>
              <w:t xml:space="preserve">requiera la entidad, no es desproporcionada cuando se exige la certificación del fabricante, en aquellos supuestos que se busca: en primer lugar, la garantía de calidad y origen del producto, esto es, </w:t>
            </w:r>
            <w:r w:rsidRPr="00F9741E">
              <w:rPr>
                <w:rFonts w:ascii="Verdana" w:hAnsi="Verdana" w:cs="Arial"/>
                <w:bCs/>
                <w:lang w:eastAsia="es-ES" w:bidi="es-ES"/>
              </w:rPr>
              <w:t>calidad, idoneidad, seguridad y el buen estado y f</w:t>
            </w:r>
            <w:r>
              <w:rPr>
                <w:rFonts w:ascii="Verdana" w:hAnsi="Verdana" w:cs="Arial"/>
                <w:bCs/>
                <w:lang w:eastAsia="es-ES" w:bidi="es-ES"/>
              </w:rPr>
              <w:t xml:space="preserve">uncionamiento de los productos, como lo contempla el artículo 7 del Estatuto del Consumidor; en segundo lugar, el cumplimiento de requisitos y condiciones técnicas y de funcionamiento, que por lo general, lo brinda el productor o fabricante; en tercer lugar, una verificación de que el bien o servicio a adquirir fue obtenido de forma legal; en cuarto lugar, la exigencia de garantía por bienes o productos defectuosos, que se define como: “[…] </w:t>
            </w:r>
            <w:r w:rsidRPr="001644FC">
              <w:rPr>
                <w:rFonts w:ascii="Verdana" w:hAnsi="Verdana" w:cs="Arial"/>
                <w:bCs/>
                <w:lang w:eastAsia="es-ES" w:bidi="es-ES"/>
              </w:rPr>
              <w:t>aquel bien mueble o inmueble que en razón de un error el diseño, fabricación, construcción, embalaje o información, no ofrezca la razonable seguridad a la que toda persona tiene derecho</w:t>
            </w:r>
            <w:r>
              <w:rPr>
                <w:rFonts w:ascii="Verdana" w:hAnsi="Verdana" w:cs="Arial"/>
                <w:bCs/>
                <w:lang w:eastAsia="es-ES" w:bidi="es-ES"/>
              </w:rPr>
              <w:t xml:space="preserve">” –artículo 5, numeral 17 del Estatuto del Consumidor-. Esto, sin dejar de lado la posible exigencia de garantías suplementarias y otras condiciones necesarias para el cumplimiento del objeto y los fines del contrato. </w:t>
            </w:r>
          </w:p>
          <w:p w14:paraId="27AC30FB" w14:textId="77777777" w:rsidR="00363836" w:rsidRPr="0097354A" w:rsidRDefault="00363836" w:rsidP="009B7150">
            <w:pPr>
              <w:spacing w:after="120" w:line="276" w:lineRule="auto"/>
              <w:ind w:firstLine="708"/>
              <w:jc w:val="both"/>
              <w:rPr>
                <w:rFonts w:ascii="Verdana" w:hAnsi="Verdana" w:cs="Arial"/>
                <w:bCs/>
                <w:lang w:eastAsia="es-ES" w:bidi="es-ES"/>
              </w:rPr>
            </w:pPr>
            <w:r>
              <w:rPr>
                <w:rFonts w:ascii="Verdana" w:hAnsi="Verdana" w:cs="Arial"/>
                <w:bCs/>
                <w:lang w:eastAsia="es-ES" w:bidi="es-ES"/>
              </w:rPr>
              <w:t xml:space="preserve">Ahora bien, la “certificación del fabricante” para determinar la calidad de proveedor autorizado no implica que, en cada proceso de proceso de contratación estatal que participe, deba expedirse un certificado dirigido a la entidad contratante. Por el contrario, esa certificación de fabricante debe ser un documento que permita constatar el vínculo comercial, el término de duración y las demás condiciones de autorización. Por tanto, exigir más documentos de lo requerido no cumple con lo dispuesto con el artículo 5° del Decreto Ley 019 de 2012 </w:t>
            </w:r>
            <w:r w:rsidRPr="00753E31">
              <w:rPr>
                <w:rFonts w:ascii="Verdana" w:hAnsi="Verdana" w:cs="Arial"/>
                <w:bCs/>
                <w:lang w:eastAsia="es-ES" w:bidi="es-ES"/>
              </w:rPr>
              <w:t>“</w:t>
            </w:r>
            <w:r w:rsidRPr="00E71557">
              <w:rPr>
                <w:rFonts w:ascii="Verdana" w:hAnsi="Verdana" w:cs="Arial"/>
                <w:bCs/>
                <w:lang w:eastAsia="es-ES" w:bidi="es-ES"/>
              </w:rPr>
              <w:t>por el cual se dictan normas para suprimir o reformar regulaciones, procedimientos y trámites innecesarios existentes en la Administración Pública”,</w:t>
            </w:r>
            <w:r>
              <w:rPr>
                <w:rFonts w:ascii="Verdana" w:hAnsi="Verdana" w:cs="Arial"/>
                <w:bCs/>
                <w:lang w:eastAsia="es-ES" w:bidi="es-ES"/>
              </w:rPr>
              <w:t xml:space="preserve"> que dispone en uno de sus apartes: “[…] </w:t>
            </w:r>
            <w:r w:rsidRPr="00753E31">
              <w:rPr>
                <w:rFonts w:ascii="Verdana" w:hAnsi="Verdana" w:cs="Arial"/>
                <w:bCs/>
                <w:lang w:eastAsia="es-ES" w:bidi="es-ES"/>
              </w:rPr>
              <w:t>los procedimientos se deben adelantar en el menor tiempo y con la menor cantidad de gastos de quienes intervienen en ellos; las autoridades administrativas y los particulares que cumplen funciones administrativas no deben exigir más documentos y copias que</w:t>
            </w:r>
            <w:r>
              <w:rPr>
                <w:rFonts w:ascii="Verdana" w:hAnsi="Verdana" w:cs="Arial"/>
                <w:bCs/>
                <w:lang w:eastAsia="es-ES" w:bidi="es-ES"/>
              </w:rPr>
              <w:t xml:space="preserve"> los estrictamente necesarios […]”. </w:t>
            </w:r>
          </w:p>
          <w:p w14:paraId="13DFDBDC" w14:textId="77777777" w:rsidR="00363836" w:rsidRPr="00652217" w:rsidRDefault="00363836" w:rsidP="009B7150">
            <w:pPr>
              <w:spacing w:after="120" w:line="276" w:lineRule="auto"/>
              <w:ind w:firstLine="708"/>
              <w:jc w:val="both"/>
              <w:rPr>
                <w:rFonts w:ascii="Verdana" w:eastAsia="Arial" w:hAnsi="Verdana" w:cs="Arial"/>
                <w:color w:val="000000" w:themeColor="text1"/>
                <w:lang w:val="es-ES"/>
              </w:rPr>
            </w:pPr>
            <w:r w:rsidRPr="0097354A">
              <w:rPr>
                <w:rFonts w:ascii="Verdana" w:hAnsi="Verdana" w:cs="Arial"/>
                <w:bCs/>
                <w:lang w:eastAsia="es-ES" w:bidi="es-ES"/>
              </w:rPr>
              <w:t xml:space="preserve">Otro aspecto </w:t>
            </w:r>
            <w:r>
              <w:rPr>
                <w:rFonts w:ascii="Verdana" w:hAnsi="Verdana" w:cs="Arial"/>
                <w:bCs/>
                <w:lang w:eastAsia="es-ES" w:bidi="es-ES"/>
              </w:rPr>
              <w:t>relevante</w:t>
            </w:r>
            <w:r w:rsidRPr="0097354A">
              <w:rPr>
                <w:rFonts w:ascii="Verdana" w:hAnsi="Verdana" w:cs="Arial"/>
                <w:bCs/>
                <w:lang w:eastAsia="es-ES" w:bidi="es-ES"/>
              </w:rPr>
              <w:t xml:space="preserve">, es que este tipo de requisitos no son necesarios para comparar las ofertas, puesto que las características técnicas de un bien pueden ser de iguales o superiores condiciones, sin considerar </w:t>
            </w:r>
            <w:r>
              <w:rPr>
                <w:rFonts w:ascii="Verdana" w:hAnsi="Verdana" w:cs="Arial"/>
                <w:bCs/>
                <w:lang w:eastAsia="es-ES" w:bidi="es-ES"/>
              </w:rPr>
              <w:t>en ocasiones, la</w:t>
            </w:r>
            <w:r w:rsidRPr="0097354A">
              <w:rPr>
                <w:rFonts w:ascii="Verdana" w:hAnsi="Verdana" w:cs="Arial"/>
                <w:bCs/>
                <w:lang w:eastAsia="es-ES" w:bidi="es-ES"/>
              </w:rPr>
              <w:t xml:space="preserve"> marca.</w:t>
            </w:r>
            <w:r>
              <w:rPr>
                <w:rFonts w:ascii="Verdana" w:hAnsi="Verdana" w:cs="Arial"/>
                <w:bCs/>
                <w:lang w:eastAsia="es-ES" w:bidi="es-ES"/>
              </w:rPr>
              <w:t xml:space="preserve"> Ahora bien, e</w:t>
            </w:r>
            <w:r w:rsidRPr="0097354A">
              <w:rPr>
                <w:rFonts w:ascii="Verdana" w:hAnsi="Verdana" w:cs="Arial"/>
                <w:bCs/>
                <w:lang w:eastAsia="es-ES" w:bidi="es-ES"/>
              </w:rPr>
              <w:t xml:space="preserve">n procesos de contratación pública, </w:t>
            </w:r>
            <w:r>
              <w:rPr>
                <w:rFonts w:ascii="Verdana" w:hAnsi="Verdana" w:cs="Arial"/>
                <w:bCs/>
                <w:lang w:eastAsia="es-ES" w:bidi="es-ES"/>
              </w:rPr>
              <w:t xml:space="preserve">donde </w:t>
            </w:r>
            <w:r w:rsidRPr="0097354A">
              <w:rPr>
                <w:rFonts w:ascii="Verdana" w:hAnsi="Verdana" w:cs="Arial"/>
                <w:bCs/>
                <w:lang w:eastAsia="es-ES" w:bidi="es-ES"/>
              </w:rPr>
              <w:t xml:space="preserve">la certificación del fabricante </w:t>
            </w:r>
            <w:r>
              <w:rPr>
                <w:rFonts w:ascii="Verdana" w:hAnsi="Verdana" w:cs="Arial"/>
                <w:bCs/>
                <w:lang w:eastAsia="es-ES" w:bidi="es-ES"/>
              </w:rPr>
              <w:t>no debe exigirse</w:t>
            </w:r>
            <w:r w:rsidRPr="0097354A">
              <w:rPr>
                <w:rFonts w:ascii="Verdana" w:hAnsi="Verdana" w:cs="Arial"/>
                <w:bCs/>
                <w:lang w:eastAsia="es-ES" w:bidi="es-ES"/>
              </w:rPr>
              <w:t xml:space="preserve"> como un requisito habilitante, e</w:t>
            </w:r>
            <w:r>
              <w:rPr>
                <w:rFonts w:ascii="Verdana" w:hAnsi="Verdana" w:cs="Arial"/>
                <w:bCs/>
                <w:lang w:eastAsia="es-ES" w:bidi="es-ES"/>
              </w:rPr>
              <w:t>n especial,</w:t>
            </w:r>
            <w:r w:rsidRPr="0097354A">
              <w:rPr>
                <w:rFonts w:ascii="Verdana" w:hAnsi="Verdana" w:cs="Arial"/>
                <w:bCs/>
                <w:lang w:eastAsia="es-ES" w:bidi="es-ES"/>
              </w:rPr>
              <w:t xml:space="preserve"> cuando se trata de productos o servicios que </w:t>
            </w:r>
            <w:r>
              <w:rPr>
                <w:rFonts w:ascii="Verdana" w:hAnsi="Verdana" w:cs="Arial"/>
                <w:bCs/>
                <w:lang w:eastAsia="es-ES" w:bidi="es-ES"/>
              </w:rPr>
              <w:t xml:space="preserve">no requieren condiciones especiales, a las que ofrece en el mercado, si se constituye en un </w:t>
            </w:r>
            <w:r>
              <w:rPr>
                <w:rFonts w:ascii="Verdana" w:hAnsi="Verdana" w:cs="Arial"/>
                <w:bCs/>
                <w:lang w:eastAsia="es-ES" w:bidi="es-ES"/>
              </w:rPr>
              <w:lastRenderedPageBreak/>
              <w:t xml:space="preserve">requisito desproporcionado exigirlo dentro del pliego de condiciones o en la invitación pública. </w:t>
            </w:r>
          </w:p>
        </w:tc>
      </w:tr>
    </w:tbl>
    <w:p w14:paraId="0AAEBCE1" w14:textId="77777777" w:rsidR="00363836" w:rsidRPr="00185EE9" w:rsidRDefault="00363836" w:rsidP="00363836">
      <w:pPr>
        <w:tabs>
          <w:tab w:val="left" w:pos="567"/>
        </w:tabs>
        <w:spacing w:after="120" w:line="276" w:lineRule="auto"/>
        <w:jc w:val="both"/>
        <w:rPr>
          <w:rFonts w:ascii="Verdana" w:eastAsia="Calibri" w:hAnsi="Verdana" w:cs="Arial"/>
          <w:bCs/>
          <w:color w:val="000000" w:themeColor="text1"/>
        </w:rPr>
      </w:pPr>
    </w:p>
    <w:p w14:paraId="6C90C081" w14:textId="77777777" w:rsidR="00363836" w:rsidRPr="00185EE9" w:rsidRDefault="00363836" w:rsidP="00363836">
      <w:pPr>
        <w:numPr>
          <w:ilvl w:val="0"/>
          <w:numId w:val="19"/>
        </w:numPr>
        <w:spacing w:after="0" w:line="256" w:lineRule="auto"/>
        <w:ind w:left="0" w:firstLine="0"/>
        <w:rPr>
          <w:rFonts w:ascii="Verdana" w:eastAsia="Calibri" w:hAnsi="Verdana" w:cs="Times New Roman"/>
          <w:b/>
          <w:bCs/>
          <w:lang w:val="es-ES"/>
        </w:rPr>
      </w:pPr>
      <w:r w:rsidRPr="00185EE9">
        <w:rPr>
          <w:rFonts w:ascii="Verdana" w:eastAsia="Calibri" w:hAnsi="Verdana" w:cs="Times New Roman"/>
          <w:b/>
          <w:bCs/>
          <w:lang w:val="es-ES"/>
        </w:rPr>
        <w:t>Razones de la respuesta:</w:t>
      </w:r>
    </w:p>
    <w:p w14:paraId="0835FA9F" w14:textId="77777777" w:rsidR="00363836" w:rsidRPr="00185EE9" w:rsidRDefault="00363836" w:rsidP="00363836">
      <w:pPr>
        <w:spacing w:after="0" w:line="256" w:lineRule="auto"/>
        <w:rPr>
          <w:rFonts w:ascii="Verdana" w:eastAsia="Calibri" w:hAnsi="Verdana" w:cs="Times New Roman"/>
          <w:b/>
          <w:bCs/>
          <w:lang w:val="es-ES"/>
        </w:rPr>
      </w:pPr>
    </w:p>
    <w:p w14:paraId="19DC4CA7" w14:textId="77777777" w:rsidR="00363836" w:rsidRDefault="00363836" w:rsidP="00363836">
      <w:pPr>
        <w:spacing w:after="0" w:line="276" w:lineRule="auto"/>
        <w:jc w:val="both"/>
        <w:rPr>
          <w:rFonts w:ascii="Verdana" w:eastAsia="Calibri" w:hAnsi="Verdana" w:cs="Arial"/>
          <w:lang w:val="es-ES"/>
        </w:rPr>
      </w:pPr>
      <w:r w:rsidRPr="00185EE9">
        <w:rPr>
          <w:rFonts w:ascii="Verdana" w:eastAsia="Calibri" w:hAnsi="Verdana" w:cs="Arial"/>
          <w:lang w:val="es-ES"/>
        </w:rPr>
        <w:t xml:space="preserve">Lo anterior se sustenta en </w:t>
      </w:r>
      <w:r>
        <w:rPr>
          <w:rFonts w:ascii="Verdana" w:eastAsia="Calibri" w:hAnsi="Verdana" w:cs="Arial"/>
          <w:lang w:val="es-ES"/>
        </w:rPr>
        <w:t>las siguientes consideraciones:</w:t>
      </w:r>
    </w:p>
    <w:p w14:paraId="3375608F" w14:textId="77777777" w:rsidR="00363836" w:rsidRPr="00EE13B9" w:rsidRDefault="00363836" w:rsidP="00363836">
      <w:pPr>
        <w:spacing w:after="0" w:line="276" w:lineRule="auto"/>
        <w:jc w:val="both"/>
        <w:rPr>
          <w:rFonts w:ascii="Verdana" w:eastAsia="Calibri" w:hAnsi="Verdana" w:cs="Arial"/>
          <w:lang w:val="es-ES"/>
        </w:rPr>
      </w:pPr>
    </w:p>
    <w:p w14:paraId="39062923" w14:textId="77777777" w:rsidR="00363836" w:rsidRPr="00185EE9" w:rsidRDefault="00363836" w:rsidP="00363836">
      <w:pPr>
        <w:spacing w:after="120" w:line="276" w:lineRule="auto"/>
        <w:jc w:val="both"/>
        <w:rPr>
          <w:rFonts w:ascii="Verdana" w:eastAsia="Calibri" w:hAnsi="Verdana" w:cs="Arial"/>
          <w:bCs/>
          <w:lang w:val="es-MX" w:eastAsia="es-ES_tradnl"/>
        </w:rPr>
      </w:pPr>
      <w:r>
        <w:rPr>
          <w:rFonts w:ascii="Verdana" w:eastAsia="Calibri" w:hAnsi="Verdana" w:cs="Arial"/>
          <w:bCs/>
          <w:color w:val="000000" w:themeColor="text1"/>
        </w:rPr>
        <w:t xml:space="preserve">i. </w:t>
      </w:r>
      <w:r w:rsidRPr="00185EE9">
        <w:rPr>
          <w:rFonts w:ascii="Verdana" w:eastAsia="Calibri" w:hAnsi="Verdana" w:cs="Arial"/>
          <w:color w:val="000000"/>
          <w:szCs w:val="24"/>
          <w:lang w:val="es-ES_tradnl" w:eastAsia="es-ES_tradnl"/>
        </w:rPr>
        <w:t>P</w:t>
      </w:r>
      <w:r w:rsidRPr="00185EE9">
        <w:rPr>
          <w:rFonts w:ascii="Verdana" w:hAnsi="Verdana" w:cs="Arial"/>
          <w:lang w:val="es-ES"/>
        </w:rPr>
        <w:t xml:space="preserve">ara las entidades sometidas al Estatuto General de Contratación de la Administración Pública, los procesos de selección se rigen por </w:t>
      </w:r>
      <w:r w:rsidRPr="00185EE9">
        <w:rPr>
          <w:rFonts w:ascii="Verdana" w:hAnsi="Verdana" w:cs="Arial"/>
          <w:bCs/>
          <w:lang w:val="es-ES_tradnl"/>
        </w:rPr>
        <w:t>el artículo 2 de la Ley 1150 de 2007</w:t>
      </w:r>
      <w:r w:rsidRPr="00185EE9">
        <w:rPr>
          <w:rFonts w:ascii="Verdana" w:hAnsi="Verdana" w:cs="Arial"/>
          <w:lang w:val="es-ES"/>
        </w:rPr>
        <w:t xml:space="preserve">. El </w:t>
      </w:r>
      <w:r w:rsidRPr="00185EE9">
        <w:rPr>
          <w:rFonts w:ascii="Verdana" w:eastAsia="Calibri" w:hAnsi="Verdana" w:cs="Arial"/>
          <w:bCs/>
          <w:lang w:val="es-MX" w:eastAsia="es-ES_tradnl"/>
        </w:rPr>
        <w:t>numeral uno, inciso primero, de la norma citada</w:t>
      </w:r>
      <w:r w:rsidRPr="00185EE9">
        <w:rPr>
          <w:rFonts w:ascii="Verdana" w:hAnsi="Verdana" w:cs="Arial"/>
          <w:bCs/>
          <w:lang w:val="es-ES_tradnl"/>
        </w:rPr>
        <w:t xml:space="preserve"> </w:t>
      </w:r>
      <w:r w:rsidRPr="00185EE9">
        <w:rPr>
          <w:rFonts w:ascii="Verdana" w:eastAsia="Calibri" w:hAnsi="Verdana" w:cs="Arial"/>
          <w:bCs/>
          <w:lang w:val="es-MX" w:eastAsia="es-ES_tradnl"/>
        </w:rPr>
        <w:t xml:space="preserve">dispone que “La escogencia del contratista se efectuará por </w:t>
      </w:r>
      <w:r w:rsidRPr="00185EE9">
        <w:rPr>
          <w:rFonts w:ascii="Verdana" w:eastAsia="Calibri" w:hAnsi="Verdana" w:cs="Arial"/>
          <w:bCs/>
          <w:i/>
          <w:iCs/>
          <w:lang w:val="es-MX" w:eastAsia="es-ES_tradnl"/>
        </w:rPr>
        <w:t>regla general</w:t>
      </w:r>
      <w:r w:rsidRPr="00185EE9">
        <w:rPr>
          <w:rFonts w:ascii="Verdana" w:eastAsia="Calibri" w:hAnsi="Verdana" w:cs="Arial"/>
          <w:bCs/>
          <w:lang w:val="es-MX" w:eastAsia="es-ES_tradnl"/>
        </w:rPr>
        <w:t xml:space="preserve"> a través de licitación pública, con las </w:t>
      </w:r>
      <w:r w:rsidRPr="00185EE9">
        <w:rPr>
          <w:rFonts w:ascii="Verdana" w:eastAsia="Calibri" w:hAnsi="Verdana" w:cs="Arial"/>
          <w:bCs/>
          <w:i/>
          <w:iCs/>
          <w:lang w:val="es-MX" w:eastAsia="es-ES_tradnl"/>
        </w:rPr>
        <w:t>excepciones</w:t>
      </w:r>
      <w:r w:rsidRPr="00185EE9">
        <w:rPr>
          <w:rFonts w:ascii="Verdana" w:eastAsia="Calibri" w:hAnsi="Verdana" w:cs="Arial"/>
          <w:bCs/>
          <w:lang w:val="es-MX" w:eastAsia="es-ES_tradnl"/>
        </w:rPr>
        <w:t xml:space="preserve"> que se señalan en los numerales 2, 3 y 4 del presente artículo”, norma que sustituye el derogado numeral 1 del artículo 24 de la Ley 80 de 1993 sobre el principio de transparencia</w:t>
      </w:r>
      <w:r w:rsidRPr="00185EE9">
        <w:rPr>
          <w:rStyle w:val="Refdenotaalpie"/>
          <w:rFonts w:ascii="Verdana" w:eastAsia="Calibri" w:hAnsi="Verdana" w:cs="Arial"/>
          <w:bCs/>
          <w:lang w:val="es-MX" w:eastAsia="es-ES_tradnl"/>
        </w:rPr>
        <w:footnoteReference w:id="2"/>
      </w:r>
      <w:r w:rsidRPr="00185EE9">
        <w:rPr>
          <w:rFonts w:ascii="Verdana" w:eastAsia="Calibri" w:hAnsi="Verdana" w:cs="Arial"/>
          <w:bCs/>
          <w:lang w:val="es-MX" w:eastAsia="es-ES_tradnl"/>
        </w:rPr>
        <w:t xml:space="preserve">. </w:t>
      </w:r>
    </w:p>
    <w:p w14:paraId="3C64FFBA" w14:textId="77777777" w:rsidR="00363836" w:rsidRPr="00185EE9" w:rsidRDefault="00363836" w:rsidP="00363836">
      <w:pPr>
        <w:spacing w:after="120" w:line="276" w:lineRule="auto"/>
        <w:ind w:firstLine="708"/>
        <w:jc w:val="both"/>
        <w:rPr>
          <w:rFonts w:ascii="Verdana" w:eastAsia="Calibri" w:hAnsi="Verdana" w:cs="Arial"/>
          <w:bCs/>
          <w:lang w:val="es-MX" w:eastAsia="es-ES_tradnl"/>
        </w:rPr>
      </w:pPr>
      <w:r w:rsidRPr="00185EE9">
        <w:rPr>
          <w:rFonts w:ascii="Verdana" w:eastAsia="Calibri" w:hAnsi="Verdana" w:cs="Arial"/>
          <w:bCs/>
          <w:lang w:val="es-MX" w:eastAsia="es-ES_tradnl"/>
        </w:rPr>
        <w:t>Salvo norma especial que ordene la celebración del negocio jurídico por otra modalidad de selección, debe aplicarse la regla general de licitación pública. Por ello, dependiendo del objeto o el valor de presupuesto oficial, es posible la aplicación de otros procedimientos contractuales. Estos pueden ser con pluralidad de oferentes –v. gr. la selección abreviada de menor cuantía o la mínima cuantía– o sin concurrencia de proponentes –por ejemplo, la contratación directa–.</w:t>
      </w:r>
    </w:p>
    <w:p w14:paraId="09B35E83" w14:textId="77777777" w:rsidR="00363836" w:rsidRPr="00185EE9" w:rsidRDefault="00363836" w:rsidP="00363836">
      <w:pPr>
        <w:spacing w:after="120" w:line="276" w:lineRule="auto"/>
        <w:ind w:firstLine="708"/>
        <w:jc w:val="both"/>
        <w:rPr>
          <w:rFonts w:ascii="Verdana" w:eastAsia="Calibri" w:hAnsi="Verdana" w:cs="Arial"/>
        </w:rPr>
      </w:pPr>
      <w:r w:rsidRPr="00185EE9">
        <w:rPr>
          <w:rFonts w:ascii="Verdana" w:eastAsia="Calibri" w:hAnsi="Verdana" w:cs="Arial"/>
          <w:bCs/>
          <w:lang w:val="es-MX" w:eastAsia="es-ES_tradnl"/>
        </w:rPr>
        <w:t xml:space="preserve">Respecto a la selección abreviada, </w:t>
      </w:r>
      <w:bookmarkStart w:id="1" w:name="_Hlk39070608"/>
      <w:r w:rsidRPr="00185EE9">
        <w:rPr>
          <w:rFonts w:ascii="Verdana" w:eastAsia="Calibri" w:hAnsi="Verdana" w:cs="Arial"/>
        </w:rPr>
        <w:t>el numeral 2 del artículo 2 de la Ley 1150 de 2007</w:t>
      </w:r>
      <w:bookmarkEnd w:id="1"/>
      <w:r w:rsidRPr="00185EE9">
        <w:rPr>
          <w:rFonts w:ascii="Verdana" w:eastAsia="Calibri" w:hAnsi="Verdana" w:cs="Arial"/>
        </w:rPr>
        <w:t xml:space="preserve"> dispone</w:t>
      </w:r>
      <w:r>
        <w:rPr>
          <w:rFonts w:ascii="Verdana" w:eastAsia="Calibri" w:hAnsi="Verdana" w:cs="Arial"/>
        </w:rPr>
        <w:t>:</w:t>
      </w:r>
      <w:r w:rsidRPr="00185EE9">
        <w:rPr>
          <w:rFonts w:ascii="Verdana" w:eastAsia="Calibri" w:hAnsi="Verdana" w:cs="Arial"/>
        </w:rPr>
        <w:t xml:space="preserve"> “[…] corresponde a la modalidad de selección objetiva prevista para aquellos casos en </w:t>
      </w:r>
      <w:proofErr w:type="gramStart"/>
      <w:r w:rsidRPr="00185EE9">
        <w:rPr>
          <w:rFonts w:ascii="Verdana" w:eastAsia="Calibri" w:hAnsi="Verdana" w:cs="Arial"/>
        </w:rPr>
        <w:t>que</w:t>
      </w:r>
      <w:proofErr w:type="gramEnd"/>
      <w:r w:rsidRPr="00185EE9">
        <w:rPr>
          <w:rFonts w:ascii="Verdana" w:eastAsia="Calibri" w:hAnsi="Verdana" w:cs="Arial"/>
        </w:rPr>
        <w:t xml:space="preserve"> por las características del objeto a contratar, las circunstancias de la contratación o la cuantía o destinación del bien, obra o servicio puedan adelantarse procesos simplificados para garantizar la eficiencia de la gestión contractual”, regulando cada una de las causales</w:t>
      </w:r>
      <w:r w:rsidRPr="00185EE9">
        <w:rPr>
          <w:rStyle w:val="Refdenotaalpie"/>
          <w:rFonts w:ascii="Verdana" w:eastAsia="Calibri" w:hAnsi="Verdana" w:cs="Arial"/>
        </w:rPr>
        <w:footnoteReference w:id="3"/>
      </w:r>
      <w:r w:rsidRPr="00185EE9">
        <w:rPr>
          <w:rFonts w:ascii="Verdana" w:eastAsia="Calibri" w:hAnsi="Verdana" w:cs="Arial"/>
        </w:rPr>
        <w:t xml:space="preserve">. </w:t>
      </w:r>
    </w:p>
    <w:p w14:paraId="413D7632" w14:textId="77777777" w:rsidR="00363836" w:rsidRPr="00185EE9" w:rsidRDefault="00363836" w:rsidP="00363836">
      <w:pPr>
        <w:spacing w:after="0" w:line="276" w:lineRule="auto"/>
        <w:ind w:firstLine="708"/>
        <w:jc w:val="both"/>
        <w:rPr>
          <w:rFonts w:ascii="Verdana" w:eastAsia="Calibri" w:hAnsi="Verdana" w:cs="Arial"/>
        </w:rPr>
      </w:pPr>
      <w:bookmarkStart w:id="2" w:name="_Hlk39174727"/>
      <w:r w:rsidRPr="00185EE9">
        <w:rPr>
          <w:rFonts w:ascii="Verdana" w:eastAsia="Calibri" w:hAnsi="Verdana" w:cs="Arial"/>
        </w:rPr>
        <w:lastRenderedPageBreak/>
        <w:t>Se trata de un procedimiento que, conforme a la reglamentación que expida el Gobierno Nacional, agiliza la contratación estatal en los eventos en que no se justifica adelantar una licitación pública, pero tampoco limita la participación de los proponentes como en la contratación directa, de forma tal que es un mecanismo de selección objetiva que asegura una mayor concurrencia de participantes sin sacrificar los principios de eficacia y eficiencia en el proceso de selección</w:t>
      </w:r>
      <w:bookmarkEnd w:id="2"/>
      <w:r w:rsidRPr="00185EE9">
        <w:rPr>
          <w:rFonts w:ascii="Verdana" w:eastAsia="Calibri" w:hAnsi="Verdana" w:cs="Arial"/>
        </w:rPr>
        <w:t>. En la exposición de motivos se explica lo siguiente:</w:t>
      </w:r>
    </w:p>
    <w:p w14:paraId="6DEC3540" w14:textId="77777777" w:rsidR="00363836" w:rsidRPr="00185EE9" w:rsidRDefault="00363836" w:rsidP="00363836">
      <w:pPr>
        <w:spacing w:after="0" w:line="276" w:lineRule="auto"/>
        <w:jc w:val="both"/>
        <w:rPr>
          <w:rFonts w:ascii="Verdana" w:eastAsia="Calibri" w:hAnsi="Verdana" w:cs="Arial"/>
        </w:rPr>
      </w:pPr>
    </w:p>
    <w:p w14:paraId="19C3D755" w14:textId="77777777" w:rsidR="00363836" w:rsidRPr="00185EE9" w:rsidRDefault="00363836" w:rsidP="00363836">
      <w:pPr>
        <w:spacing w:after="120" w:line="240" w:lineRule="auto"/>
        <w:ind w:left="709" w:right="709"/>
        <w:jc w:val="both"/>
        <w:rPr>
          <w:rFonts w:ascii="Verdana" w:eastAsia="Calibri" w:hAnsi="Verdana" w:cs="Arial"/>
          <w:sz w:val="21"/>
          <w:szCs w:val="21"/>
        </w:rPr>
      </w:pPr>
      <w:r w:rsidRPr="00185EE9">
        <w:rPr>
          <w:rFonts w:ascii="Verdana" w:eastAsia="Calibri" w:hAnsi="Verdana" w:cs="Arial"/>
          <w:sz w:val="21"/>
          <w:szCs w:val="21"/>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09288DC2" w14:textId="77777777" w:rsidR="00363836" w:rsidRPr="00185EE9" w:rsidRDefault="00363836" w:rsidP="00363836">
      <w:pPr>
        <w:spacing w:after="0" w:line="240" w:lineRule="auto"/>
        <w:ind w:left="709" w:right="709"/>
        <w:jc w:val="both"/>
        <w:rPr>
          <w:rFonts w:ascii="Verdana" w:eastAsia="Calibri" w:hAnsi="Verdana" w:cs="Arial"/>
          <w:sz w:val="21"/>
          <w:szCs w:val="21"/>
        </w:rPr>
      </w:pPr>
      <w:r w:rsidRPr="00185EE9">
        <w:rPr>
          <w:rFonts w:ascii="Verdana" w:eastAsia="Calibri" w:hAnsi="Verdana" w:cs="Arial"/>
          <w:sz w:val="21"/>
          <w:szCs w:val="21"/>
        </w:rPr>
        <w:t xml:space="preserve">– Se crea la llamada ‘selección abreviada’, para permitir la existencia de procedimientos de selección que, basados estrictamente en los </w:t>
      </w:r>
      <w:r w:rsidRPr="00185EE9">
        <w:rPr>
          <w:rFonts w:ascii="Verdana" w:eastAsia="Calibri" w:hAnsi="Verdana" w:cs="Arial"/>
          <w:sz w:val="21"/>
          <w:szCs w:val="21"/>
        </w:rPr>
        <w:lastRenderedPageBreak/>
        <w:t>principios cardinales de la contratación pública, permitan de manera ágil la adopción de decisiones de selección […]”</w:t>
      </w:r>
      <w:r w:rsidRPr="00185EE9">
        <w:rPr>
          <w:rStyle w:val="Refdenotaalpie"/>
          <w:rFonts w:ascii="Verdana" w:eastAsia="Calibri" w:hAnsi="Verdana" w:cs="Arial"/>
          <w:sz w:val="21"/>
          <w:szCs w:val="21"/>
        </w:rPr>
        <w:footnoteReference w:id="4"/>
      </w:r>
      <w:r w:rsidRPr="00185EE9">
        <w:rPr>
          <w:rFonts w:ascii="Verdana" w:eastAsia="Calibri" w:hAnsi="Verdana" w:cs="Arial"/>
          <w:sz w:val="21"/>
          <w:szCs w:val="21"/>
        </w:rPr>
        <w:t>.</w:t>
      </w:r>
    </w:p>
    <w:p w14:paraId="73D2EF97" w14:textId="77777777" w:rsidR="00363836" w:rsidRPr="00185EE9" w:rsidRDefault="00363836" w:rsidP="00363836">
      <w:pPr>
        <w:spacing w:after="0" w:line="276" w:lineRule="auto"/>
        <w:jc w:val="both"/>
        <w:rPr>
          <w:rFonts w:ascii="Verdana" w:eastAsia="Calibri" w:hAnsi="Verdana" w:cs="Arial"/>
        </w:rPr>
      </w:pPr>
    </w:p>
    <w:p w14:paraId="7E3E62D2" w14:textId="77777777" w:rsidR="00363836" w:rsidRPr="00185EE9" w:rsidRDefault="00363836" w:rsidP="00363836">
      <w:pPr>
        <w:spacing w:after="120" w:line="276" w:lineRule="auto"/>
        <w:ind w:firstLine="709"/>
        <w:jc w:val="both"/>
        <w:rPr>
          <w:rFonts w:ascii="Verdana" w:eastAsia="Calibri" w:hAnsi="Verdana" w:cs="Arial"/>
        </w:rPr>
      </w:pPr>
      <w:r w:rsidRPr="00185EE9">
        <w:rPr>
          <w:rFonts w:ascii="Verdana" w:eastAsia="Calibri" w:hAnsi="Verdana" w:cs="Arial"/>
        </w:rPr>
        <w:t>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185EE9">
        <w:rPr>
          <w:rStyle w:val="Refdenotaalpie"/>
          <w:rFonts w:ascii="Verdana" w:eastAsia="Calibri" w:hAnsi="Verdana" w:cs="Arial"/>
        </w:rPr>
        <w:footnoteReference w:id="5"/>
      </w:r>
      <w:r w:rsidRPr="00185EE9">
        <w:rPr>
          <w:rFonts w:ascii="Verdana" w:eastAsia="Calibri" w:hAnsi="Verdana" w:cs="Arial"/>
        </w:rPr>
        <w:t xml:space="preserve">. </w:t>
      </w:r>
    </w:p>
    <w:p w14:paraId="3A6212F1" w14:textId="77777777" w:rsidR="00363836" w:rsidRDefault="00363836" w:rsidP="00363836">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color w:val="000000"/>
          <w:szCs w:val="24"/>
          <w:lang w:val="es-ES_tradnl" w:eastAsia="es-ES_tradnl"/>
        </w:rPr>
        <w:t xml:space="preserve">Así, el literal a) del artículo 2.2 de la Ley 1150 de 2007 regula la adquisición o suministro de bienes y servicios de características técnicas uniformes y de común utilización como causal de selección abreviada. Para entender su alcance, es necesario tener en cuenta que </w:t>
      </w:r>
      <w:r w:rsidRPr="00185EE9">
        <w:rPr>
          <w:rFonts w:ascii="Verdana" w:eastAsia="Calibri" w:hAnsi="Verdana" w:cs="Arial"/>
          <w:bCs/>
          <w:color w:val="000000" w:themeColor="text1"/>
        </w:rPr>
        <w:t>el artículo 28 del Código Civil dispone</w:t>
      </w:r>
      <w:r>
        <w:rPr>
          <w:rFonts w:ascii="Verdana" w:eastAsia="Calibri" w:hAnsi="Verdana" w:cs="Arial"/>
          <w:bCs/>
          <w:color w:val="000000" w:themeColor="text1"/>
        </w:rPr>
        <w:t>:</w:t>
      </w:r>
      <w:r w:rsidRPr="00185EE9">
        <w:rPr>
          <w:rFonts w:ascii="Verdana" w:eastAsia="Calibri" w:hAnsi="Verdana" w:cs="Arial"/>
          <w:bCs/>
          <w:color w:val="000000" w:themeColor="text1"/>
        </w:rPr>
        <w:t xml:space="preserv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185EE9">
        <w:rPr>
          <w:rFonts w:ascii="Verdana" w:eastAsia="Calibri" w:hAnsi="Verdana" w:cs="Arial"/>
          <w:bCs/>
          <w:i/>
          <w:iCs/>
          <w:color w:val="000000" w:themeColor="text1"/>
        </w:rPr>
        <w:t>ibidem</w:t>
      </w:r>
      <w:r w:rsidRPr="00185EE9">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185EE9">
        <w:rPr>
          <w:rStyle w:val="Refdenotaalpie"/>
          <w:rFonts w:ascii="Verdana" w:eastAsia="Calibri" w:hAnsi="Verdana" w:cs="Arial"/>
          <w:bCs/>
          <w:color w:val="000000" w:themeColor="text1"/>
        </w:rPr>
        <w:footnoteReference w:id="6"/>
      </w:r>
      <w:r w:rsidRPr="00185EE9">
        <w:rPr>
          <w:rFonts w:ascii="Verdana" w:eastAsia="Calibri" w:hAnsi="Verdana" w:cs="Arial"/>
          <w:bCs/>
          <w:color w:val="000000" w:themeColor="text1"/>
        </w:rPr>
        <w:t xml:space="preserve">. </w:t>
      </w:r>
    </w:p>
    <w:p w14:paraId="5F7D7CBE" w14:textId="77777777" w:rsidR="00363836" w:rsidRDefault="00363836" w:rsidP="00363836">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En tal sentido, el alcance de esta causal implica revisar la expresión </w:t>
      </w:r>
      <w:r w:rsidRPr="00FC19CC">
        <w:rPr>
          <w:rFonts w:ascii="Verdana" w:eastAsia="Calibri" w:hAnsi="Verdana" w:cs="Arial"/>
          <w:bCs/>
          <w:color w:val="000000" w:themeColor="text1"/>
        </w:rPr>
        <w:t>“los bienes y servicios de características técnicas uniformes</w:t>
      </w:r>
      <w:r w:rsidRPr="008A4801">
        <w:rPr>
          <w:rFonts w:ascii="Verdana" w:eastAsia="Calibri" w:hAnsi="Verdana" w:cs="Arial"/>
          <w:bCs/>
          <w:i/>
          <w:color w:val="000000" w:themeColor="text1"/>
        </w:rPr>
        <w:t xml:space="preserve"> </w:t>
      </w:r>
      <w:r w:rsidRPr="00FC19CC">
        <w:rPr>
          <w:rFonts w:ascii="Verdana" w:eastAsia="Calibri" w:hAnsi="Verdana" w:cs="Arial"/>
          <w:b/>
          <w:bCs/>
          <w:i/>
          <w:color w:val="000000" w:themeColor="text1"/>
        </w:rPr>
        <w:t>y</w:t>
      </w:r>
      <w:r w:rsidRPr="008A4801">
        <w:rPr>
          <w:rFonts w:ascii="Verdana" w:eastAsia="Calibri" w:hAnsi="Verdana" w:cs="Arial"/>
          <w:bCs/>
          <w:i/>
          <w:color w:val="000000" w:themeColor="text1"/>
        </w:rPr>
        <w:t xml:space="preserve"> </w:t>
      </w:r>
      <w:r w:rsidRPr="00FC19CC">
        <w:rPr>
          <w:rFonts w:ascii="Verdana" w:eastAsia="Calibri" w:hAnsi="Verdana" w:cs="Arial"/>
          <w:bCs/>
          <w:color w:val="000000" w:themeColor="text1"/>
        </w:rPr>
        <w:t>de común utilización</w:t>
      </w:r>
      <w:proofErr w:type="gramStart"/>
      <w:r w:rsidRPr="00FC19CC">
        <w:rPr>
          <w:rFonts w:ascii="Verdana" w:eastAsia="Calibri" w:hAnsi="Verdana" w:cs="Arial"/>
          <w:bCs/>
          <w:color w:val="000000" w:themeColor="text1"/>
        </w:rPr>
        <w:t>”</w:t>
      </w:r>
      <w:r>
        <w:rPr>
          <w:rFonts w:ascii="Verdana" w:eastAsia="Calibri" w:hAnsi="Verdana" w:cs="Arial"/>
          <w:bCs/>
          <w:color w:val="000000" w:themeColor="text1"/>
        </w:rPr>
        <w:t xml:space="preserve">, </w:t>
      </w:r>
      <w:r w:rsidRPr="00FC19CC">
        <w:rPr>
          <w:rFonts w:ascii="Verdana" w:eastAsia="Calibri" w:hAnsi="Verdana" w:cs="Arial"/>
          <w:bCs/>
          <w:color w:val="000000" w:themeColor="text1"/>
        </w:rPr>
        <w:t xml:space="preserve"> (</w:t>
      </w:r>
      <w:proofErr w:type="gramEnd"/>
      <w:r>
        <w:rPr>
          <w:rFonts w:ascii="Verdana" w:eastAsia="Calibri" w:hAnsi="Verdana" w:cs="Arial"/>
          <w:bCs/>
          <w:color w:val="000000" w:themeColor="text1"/>
        </w:rPr>
        <w:t>énfasis fuera de texto)</w:t>
      </w:r>
      <w:r w:rsidRPr="00FC19CC">
        <w:rPr>
          <w:rFonts w:ascii="Verdana" w:eastAsia="Calibri" w:hAnsi="Verdana" w:cs="Arial"/>
          <w:bCs/>
          <w:color w:val="000000" w:themeColor="text1"/>
        </w:rPr>
        <w:t xml:space="preserve"> </w:t>
      </w:r>
      <w:r>
        <w:rPr>
          <w:rFonts w:ascii="Verdana" w:eastAsia="Calibri" w:hAnsi="Verdana" w:cs="Arial"/>
          <w:bCs/>
          <w:color w:val="000000" w:themeColor="text1"/>
        </w:rPr>
        <w:t xml:space="preserve">lo cual implica precisar que la expresión “y” es una </w:t>
      </w:r>
      <w:r>
        <w:rPr>
          <w:rFonts w:ascii="Verdana" w:eastAsia="Calibri" w:hAnsi="Verdana" w:cs="Arial"/>
          <w:bCs/>
          <w:color w:val="000000" w:themeColor="text1"/>
        </w:rPr>
        <w:lastRenderedPageBreak/>
        <w:t>conjunción copulativa que tiene los siguientes significados, según la Real Academia de la Lengua Española</w:t>
      </w:r>
      <w:r>
        <w:rPr>
          <w:rStyle w:val="Refdenotaalpie"/>
          <w:rFonts w:ascii="Verdana" w:eastAsia="Calibri" w:hAnsi="Verdana" w:cs="Arial"/>
          <w:bCs/>
          <w:color w:val="000000" w:themeColor="text1"/>
        </w:rPr>
        <w:footnoteReference w:id="7"/>
      </w:r>
      <w:r>
        <w:rPr>
          <w:rFonts w:ascii="Verdana" w:eastAsia="Calibri" w:hAnsi="Verdana" w:cs="Arial"/>
          <w:bCs/>
          <w:color w:val="000000" w:themeColor="text1"/>
        </w:rPr>
        <w:t>:</w:t>
      </w:r>
    </w:p>
    <w:p w14:paraId="6C277304" w14:textId="77777777" w:rsidR="00363836" w:rsidRDefault="00363836" w:rsidP="00363836">
      <w:pPr>
        <w:spacing w:after="120" w:line="276" w:lineRule="auto"/>
        <w:ind w:firstLine="709"/>
        <w:jc w:val="both"/>
        <w:rPr>
          <w:rFonts w:ascii="Verdana" w:eastAsia="Calibri" w:hAnsi="Verdana" w:cs="Arial"/>
          <w:bCs/>
          <w:color w:val="000000" w:themeColor="text1"/>
        </w:rPr>
      </w:pPr>
    </w:p>
    <w:p w14:paraId="4074532B" w14:textId="77777777" w:rsidR="00363836" w:rsidRPr="00445908" w:rsidRDefault="00363836" w:rsidP="00363836">
      <w:pPr>
        <w:pStyle w:val="Prrafodelista"/>
        <w:numPr>
          <w:ilvl w:val="0"/>
          <w:numId w:val="24"/>
        </w:numPr>
        <w:spacing w:after="120" w:line="240" w:lineRule="auto"/>
        <w:ind w:left="1069" w:right="709"/>
        <w:jc w:val="both"/>
        <w:rPr>
          <w:rFonts w:ascii="Verdana" w:eastAsia="Calibri" w:hAnsi="Verdana" w:cs="Arial"/>
          <w:bCs/>
          <w:color w:val="000000" w:themeColor="text1"/>
          <w:sz w:val="21"/>
          <w:szCs w:val="21"/>
        </w:rPr>
      </w:pPr>
      <w:r w:rsidRPr="00445908">
        <w:rPr>
          <w:rFonts w:ascii="Verdana" w:eastAsia="Calibri" w:hAnsi="Verdana" w:cs="Arial"/>
          <w:color w:val="000000"/>
          <w:sz w:val="21"/>
          <w:szCs w:val="21"/>
          <w:lang w:eastAsia="es-ES_tradnl"/>
        </w:rPr>
        <w:t>Conj.copulat. U. para unir palabras o cláusulas en concepto afirmativo. Si se coordinan más de dos vocablos o miembros del período, solo se expresa, generalmente, antes del último. </w:t>
      </w:r>
      <w:r w:rsidRPr="00445908">
        <w:rPr>
          <w:rFonts w:ascii="Verdana" w:eastAsia="Calibri" w:hAnsi="Verdana" w:cs="Arial"/>
          <w:i/>
          <w:iCs/>
          <w:color w:val="000000"/>
          <w:sz w:val="21"/>
          <w:szCs w:val="21"/>
          <w:lang w:eastAsia="es-ES_tradnl"/>
        </w:rPr>
        <w:t>Ciudades, villas, lugares y aldeas.</w:t>
      </w:r>
      <w:r w:rsidRPr="00445908">
        <w:rPr>
          <w:rFonts w:ascii="Verdana" w:eastAsia="Calibri" w:hAnsi="Verdana" w:cs="Arial"/>
          <w:color w:val="000000"/>
          <w:sz w:val="21"/>
          <w:szCs w:val="21"/>
          <w:lang w:eastAsia="es-ES_tradnl"/>
        </w:rPr>
        <w:t> </w:t>
      </w:r>
      <w:r w:rsidRPr="00445908">
        <w:rPr>
          <w:rFonts w:ascii="Verdana" w:eastAsia="Calibri" w:hAnsi="Verdana" w:cs="Arial"/>
          <w:i/>
          <w:iCs/>
          <w:color w:val="000000"/>
          <w:sz w:val="21"/>
          <w:szCs w:val="21"/>
          <w:lang w:eastAsia="es-ES_tradnl"/>
        </w:rPr>
        <w:t>El mucho dormir quita el vigor al cuerpo, embota los sentidos y debilita las facultades intelectuales.</w:t>
      </w:r>
    </w:p>
    <w:p w14:paraId="49A7760E" w14:textId="77777777" w:rsidR="00363836" w:rsidRPr="00445908" w:rsidRDefault="00363836" w:rsidP="00363836">
      <w:pPr>
        <w:numPr>
          <w:ilvl w:val="0"/>
          <w:numId w:val="24"/>
        </w:numPr>
        <w:spacing w:after="120" w:line="240" w:lineRule="auto"/>
        <w:ind w:left="1069" w:right="709"/>
        <w:jc w:val="both"/>
        <w:rPr>
          <w:rFonts w:ascii="Verdana" w:eastAsia="Calibri" w:hAnsi="Verdana" w:cs="Arial"/>
          <w:color w:val="000000"/>
          <w:sz w:val="21"/>
          <w:szCs w:val="21"/>
          <w:lang w:eastAsia="es-ES_tradnl"/>
        </w:rPr>
      </w:pPr>
      <w:r w:rsidRPr="00445908">
        <w:rPr>
          <w:rFonts w:ascii="Verdana" w:eastAsia="Calibri" w:hAnsi="Verdana" w:cs="Arial"/>
          <w:color w:val="000000"/>
          <w:sz w:val="21"/>
          <w:szCs w:val="21"/>
          <w:lang w:eastAsia="es-ES_tradnl"/>
        </w:rPr>
        <w:t>Conj.copulat. U. para formar grupos de dos o más palabras entre los cuales no se expresa. </w:t>
      </w:r>
      <w:r w:rsidRPr="00445908">
        <w:rPr>
          <w:rFonts w:ascii="Verdana" w:eastAsia="Calibri" w:hAnsi="Verdana" w:cs="Arial"/>
          <w:i/>
          <w:iCs/>
          <w:color w:val="000000"/>
          <w:sz w:val="21"/>
          <w:szCs w:val="21"/>
          <w:lang w:eastAsia="es-ES_tradnl"/>
        </w:rPr>
        <w:t>Hombres y mujeres, niños, mozos y ancianos, ricos y pobres, todos viven sujetos a las miserias humanas.</w:t>
      </w:r>
      <w:r w:rsidRPr="00445908">
        <w:rPr>
          <w:rFonts w:ascii="Verdana" w:eastAsia="Calibri" w:hAnsi="Verdana" w:cs="Arial"/>
          <w:color w:val="000000"/>
          <w:sz w:val="21"/>
          <w:szCs w:val="21"/>
          <w:lang w:eastAsia="es-ES_tradnl"/>
        </w:rPr>
        <w:t> Se omite a veces por asíndeton. </w:t>
      </w:r>
      <w:r w:rsidRPr="00445908">
        <w:rPr>
          <w:rFonts w:ascii="Verdana" w:eastAsia="Calibri" w:hAnsi="Verdana" w:cs="Arial"/>
          <w:i/>
          <w:iCs/>
          <w:color w:val="000000"/>
          <w:sz w:val="21"/>
          <w:szCs w:val="21"/>
          <w:lang w:eastAsia="es-ES_tradnl"/>
        </w:rPr>
        <w:t>Acude, corre, vuela.</w:t>
      </w:r>
      <w:r w:rsidRPr="00445908">
        <w:rPr>
          <w:rFonts w:ascii="Verdana" w:eastAsia="Calibri" w:hAnsi="Verdana" w:cs="Arial"/>
          <w:color w:val="000000"/>
          <w:sz w:val="21"/>
          <w:szCs w:val="21"/>
          <w:lang w:eastAsia="es-ES_tradnl"/>
        </w:rPr>
        <w:t> </w:t>
      </w:r>
      <w:r w:rsidRPr="00445908">
        <w:rPr>
          <w:rFonts w:ascii="Verdana" w:eastAsia="Calibri" w:hAnsi="Verdana" w:cs="Arial"/>
          <w:i/>
          <w:iCs/>
          <w:color w:val="000000"/>
          <w:sz w:val="21"/>
          <w:szCs w:val="21"/>
          <w:lang w:eastAsia="es-ES_tradnl"/>
        </w:rPr>
        <w:t>Ufano, alegre, altivo, enamorado.</w:t>
      </w:r>
      <w:r w:rsidRPr="00445908">
        <w:rPr>
          <w:rFonts w:ascii="Verdana" w:eastAsia="Calibri" w:hAnsi="Verdana" w:cs="Arial"/>
          <w:color w:val="000000"/>
          <w:sz w:val="21"/>
          <w:szCs w:val="21"/>
          <w:lang w:eastAsia="es-ES_tradnl"/>
        </w:rPr>
        <w:t> Se repite otras por polisíndeton. </w:t>
      </w:r>
      <w:r w:rsidRPr="00445908">
        <w:rPr>
          <w:rFonts w:ascii="Verdana" w:eastAsia="Calibri" w:hAnsi="Verdana" w:cs="Arial"/>
          <w:i/>
          <w:iCs/>
          <w:color w:val="000000"/>
          <w:sz w:val="21"/>
          <w:szCs w:val="21"/>
          <w:lang w:eastAsia="es-ES_tradnl"/>
        </w:rPr>
        <w:t>Es muy ladino, y sabe de todo, y tiene una labia...</w:t>
      </w:r>
    </w:p>
    <w:p w14:paraId="3868E455" w14:textId="77777777" w:rsidR="00363836" w:rsidRPr="00445908" w:rsidRDefault="00363836" w:rsidP="00363836">
      <w:pPr>
        <w:numPr>
          <w:ilvl w:val="0"/>
          <w:numId w:val="24"/>
        </w:numPr>
        <w:spacing w:after="120" w:line="240" w:lineRule="auto"/>
        <w:ind w:left="1069" w:right="709"/>
        <w:jc w:val="both"/>
        <w:rPr>
          <w:rFonts w:ascii="Verdana" w:eastAsia="Calibri" w:hAnsi="Verdana" w:cs="Arial"/>
          <w:color w:val="000000"/>
          <w:sz w:val="21"/>
          <w:szCs w:val="21"/>
          <w:lang w:val="en-US" w:eastAsia="es-ES_tradnl"/>
        </w:rPr>
      </w:pPr>
      <w:r w:rsidRPr="00445908">
        <w:rPr>
          <w:rFonts w:ascii="Verdana" w:eastAsia="Calibri" w:hAnsi="Verdana" w:cs="Arial"/>
          <w:color w:val="000000"/>
          <w:sz w:val="21"/>
          <w:szCs w:val="21"/>
          <w:lang w:eastAsia="es-ES_tradnl"/>
        </w:rPr>
        <w:t>Conj.copulat. U. a principio de período o cláusula sin enlace con vocablo o frase anterior, para dar énfasis o fuerza de expresión a lo que se dice. </w:t>
      </w:r>
      <w:r w:rsidRPr="00445908">
        <w:rPr>
          <w:rFonts w:ascii="Verdana" w:eastAsia="Calibri" w:hAnsi="Verdana" w:cs="Arial"/>
          <w:i/>
          <w:iCs/>
          <w:color w:val="000000"/>
          <w:sz w:val="21"/>
          <w:szCs w:val="21"/>
          <w:lang w:eastAsia="es-ES_tradnl"/>
        </w:rPr>
        <w:t>¡Y si no llega a tiempo!</w:t>
      </w:r>
      <w:r w:rsidRPr="00445908">
        <w:rPr>
          <w:rFonts w:ascii="Verdana" w:eastAsia="Calibri" w:hAnsi="Verdana" w:cs="Arial"/>
          <w:color w:val="000000"/>
          <w:sz w:val="21"/>
          <w:szCs w:val="21"/>
          <w:lang w:eastAsia="es-ES_tradnl"/>
        </w:rPr>
        <w:t> </w:t>
      </w:r>
      <w:r w:rsidRPr="00445908">
        <w:rPr>
          <w:rFonts w:ascii="Verdana" w:eastAsia="Calibri" w:hAnsi="Verdana" w:cs="Arial"/>
          <w:i/>
          <w:iCs/>
          <w:color w:val="000000"/>
          <w:sz w:val="21"/>
          <w:szCs w:val="21"/>
          <w:lang w:eastAsia="es-ES_tradnl"/>
        </w:rPr>
        <w:t>¿Y si fuera otra la causa?</w:t>
      </w:r>
      <w:r w:rsidRPr="00445908">
        <w:rPr>
          <w:rFonts w:ascii="Verdana" w:eastAsia="Calibri" w:hAnsi="Verdana" w:cs="Arial"/>
          <w:color w:val="000000"/>
          <w:sz w:val="21"/>
          <w:szCs w:val="21"/>
          <w:lang w:eastAsia="es-ES_tradnl"/>
        </w:rPr>
        <w:t> </w:t>
      </w:r>
      <w:r w:rsidRPr="00445908">
        <w:rPr>
          <w:rFonts w:ascii="Verdana" w:eastAsia="Calibri" w:hAnsi="Verdana" w:cs="Arial"/>
          <w:i/>
          <w:iCs/>
          <w:color w:val="000000"/>
          <w:sz w:val="21"/>
          <w:szCs w:val="21"/>
          <w:lang w:val="en-US" w:eastAsia="es-ES_tradnl"/>
        </w:rPr>
        <w:t>¡Y </w:t>
      </w:r>
      <w:proofErr w:type="spellStart"/>
      <w:r w:rsidRPr="00445908">
        <w:rPr>
          <w:rFonts w:ascii="Verdana" w:eastAsia="Calibri" w:hAnsi="Verdana" w:cs="Arial"/>
          <w:i/>
          <w:iCs/>
          <w:color w:val="000000"/>
          <w:sz w:val="21"/>
          <w:szCs w:val="21"/>
          <w:lang w:val="en-US" w:eastAsia="es-ES_tradnl"/>
        </w:rPr>
        <w:t>dejas</w:t>
      </w:r>
      <w:proofErr w:type="spellEnd"/>
      <w:r w:rsidRPr="00445908">
        <w:rPr>
          <w:rFonts w:ascii="Verdana" w:eastAsia="Calibri" w:hAnsi="Verdana" w:cs="Arial"/>
          <w:i/>
          <w:iCs/>
          <w:color w:val="000000"/>
          <w:sz w:val="21"/>
          <w:szCs w:val="21"/>
          <w:lang w:val="en-US" w:eastAsia="es-ES_tradnl"/>
        </w:rPr>
        <w:t>, Pastor santo...!</w:t>
      </w:r>
    </w:p>
    <w:p w14:paraId="2B0C6447" w14:textId="77777777" w:rsidR="00363836" w:rsidRPr="00445908" w:rsidRDefault="00363836" w:rsidP="00363836">
      <w:pPr>
        <w:numPr>
          <w:ilvl w:val="0"/>
          <w:numId w:val="24"/>
        </w:numPr>
        <w:spacing w:after="120" w:line="240" w:lineRule="auto"/>
        <w:ind w:left="1069" w:right="709"/>
        <w:jc w:val="both"/>
        <w:rPr>
          <w:rFonts w:ascii="Verdana" w:eastAsia="Calibri" w:hAnsi="Verdana" w:cs="Arial"/>
          <w:color w:val="000000"/>
          <w:sz w:val="21"/>
          <w:szCs w:val="21"/>
          <w:lang w:eastAsia="es-ES_tradnl"/>
        </w:rPr>
      </w:pPr>
      <w:r w:rsidRPr="00445908">
        <w:rPr>
          <w:rFonts w:ascii="Verdana" w:eastAsia="Calibri" w:hAnsi="Verdana" w:cs="Arial"/>
          <w:color w:val="000000"/>
          <w:sz w:val="21"/>
          <w:szCs w:val="21"/>
          <w:lang w:eastAsia="es-ES_tradnl"/>
        </w:rPr>
        <w:t>Conj.copulat. Denota idea de repetición indefinida, precedida y seguida por una misma palabra. </w:t>
      </w:r>
      <w:r w:rsidRPr="00445908">
        <w:rPr>
          <w:rFonts w:ascii="Verdana" w:eastAsia="Calibri" w:hAnsi="Verdana" w:cs="Arial"/>
          <w:i/>
          <w:iCs/>
          <w:color w:val="000000"/>
          <w:sz w:val="21"/>
          <w:szCs w:val="21"/>
          <w:lang w:eastAsia="es-ES_tradnl"/>
        </w:rPr>
        <w:t>Días y días.</w:t>
      </w:r>
      <w:r w:rsidRPr="00445908">
        <w:rPr>
          <w:rFonts w:ascii="Verdana" w:eastAsia="Calibri" w:hAnsi="Verdana" w:cs="Arial"/>
          <w:color w:val="000000"/>
          <w:sz w:val="21"/>
          <w:szCs w:val="21"/>
          <w:lang w:eastAsia="es-ES_tradnl"/>
        </w:rPr>
        <w:t> </w:t>
      </w:r>
      <w:r w:rsidRPr="00445908">
        <w:rPr>
          <w:rFonts w:ascii="Verdana" w:eastAsia="Calibri" w:hAnsi="Verdana" w:cs="Arial"/>
          <w:i/>
          <w:iCs/>
          <w:color w:val="000000"/>
          <w:sz w:val="21"/>
          <w:szCs w:val="21"/>
          <w:lang w:eastAsia="es-ES_tradnl"/>
        </w:rPr>
        <w:t>Cartas y cartas.</w:t>
      </w:r>
    </w:p>
    <w:p w14:paraId="156FB1A4" w14:textId="77777777" w:rsidR="00363836" w:rsidRDefault="00363836" w:rsidP="00363836">
      <w:pPr>
        <w:spacing w:after="120" w:line="276" w:lineRule="auto"/>
        <w:ind w:firstLine="709"/>
        <w:jc w:val="both"/>
        <w:rPr>
          <w:rFonts w:ascii="Verdana" w:eastAsia="Calibri" w:hAnsi="Verdana" w:cs="Arial"/>
          <w:color w:val="000000"/>
          <w:szCs w:val="24"/>
          <w:lang w:val="es-ES_tradnl" w:eastAsia="es-ES_tradnl"/>
        </w:rPr>
      </w:pPr>
    </w:p>
    <w:p w14:paraId="78FE9CBE" w14:textId="77777777" w:rsidR="00363836" w:rsidRDefault="00363836" w:rsidP="00363836">
      <w:pPr>
        <w:spacing w:after="120" w:line="276" w:lineRule="auto"/>
        <w:ind w:firstLine="709"/>
        <w:jc w:val="both"/>
        <w:rPr>
          <w:rFonts w:ascii="Verdana" w:eastAsia="Calibri" w:hAnsi="Verdana" w:cs="Arial"/>
          <w:bCs/>
          <w:color w:val="000000" w:themeColor="text1"/>
        </w:rPr>
      </w:pPr>
      <w:r>
        <w:rPr>
          <w:rFonts w:ascii="Verdana" w:eastAsia="Calibri" w:hAnsi="Verdana" w:cs="Arial"/>
          <w:color w:val="000000"/>
          <w:szCs w:val="24"/>
          <w:lang w:val="es-ES_tradnl" w:eastAsia="es-ES_tradnl"/>
        </w:rPr>
        <w:t xml:space="preserve">De la conjunción “y” que se usa en la expresión “bienes y servicios de características y de común utilización” puede derivarse que tiene el significado 2° expresado por la Real Academia de la Lengua Española, es decir, tiene la función de formar grupos de dos o más palabras, por lo que no se excluyen dentro de la causal de selección abreviada dispuesta en la Ley 1150 de 2007. </w:t>
      </w:r>
      <w:r w:rsidRPr="00185EE9">
        <w:rPr>
          <w:rFonts w:ascii="Verdana" w:eastAsia="Calibri" w:hAnsi="Verdana" w:cs="Arial"/>
          <w:bCs/>
          <w:color w:val="000000" w:themeColor="text1"/>
        </w:rPr>
        <w:t xml:space="preserve">Por ello, según el literal a) del artículo 2, numeral 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De </w:t>
      </w:r>
      <w:r w:rsidRPr="00185EE9">
        <w:rPr>
          <w:rFonts w:ascii="Verdana" w:eastAsia="Calibri" w:hAnsi="Verdana" w:cs="Arial"/>
          <w:bCs/>
          <w:color w:val="000000" w:themeColor="text1"/>
        </w:rPr>
        <w:lastRenderedPageBreak/>
        <w:t xml:space="preserve">esta manera, conforme a las normas citadas en el párrafo precedente, prima la definición legal sobre el uso general o el significado técnico. </w:t>
      </w:r>
      <w:r>
        <w:rPr>
          <w:rFonts w:ascii="Verdana" w:eastAsia="Calibri" w:hAnsi="Verdana" w:cs="Arial"/>
          <w:bCs/>
          <w:color w:val="000000" w:themeColor="text1"/>
        </w:rPr>
        <w:t>Al respecto, Juan Ángel Palacio Hincapié</w:t>
      </w:r>
      <w:r>
        <w:rPr>
          <w:rStyle w:val="Refdenotaalpie"/>
          <w:rFonts w:ascii="Verdana" w:eastAsia="Calibri" w:hAnsi="Verdana" w:cs="Arial"/>
          <w:bCs/>
          <w:color w:val="000000" w:themeColor="text1"/>
        </w:rPr>
        <w:footnoteReference w:id="8"/>
      </w:r>
      <w:r>
        <w:rPr>
          <w:rFonts w:ascii="Verdana" w:eastAsia="Calibri" w:hAnsi="Verdana" w:cs="Arial"/>
          <w:bCs/>
          <w:color w:val="000000" w:themeColor="text1"/>
        </w:rPr>
        <w:t xml:space="preserve"> expresa frente a este causal de selección abreviada:</w:t>
      </w:r>
    </w:p>
    <w:p w14:paraId="5AD01FC1" w14:textId="77777777" w:rsidR="00363836" w:rsidRDefault="00363836" w:rsidP="00363836">
      <w:pPr>
        <w:spacing w:after="120" w:line="276" w:lineRule="auto"/>
        <w:ind w:firstLine="709"/>
        <w:jc w:val="both"/>
        <w:rPr>
          <w:rFonts w:ascii="Verdana" w:eastAsia="Calibri" w:hAnsi="Verdana" w:cs="Arial"/>
          <w:bCs/>
          <w:color w:val="000000" w:themeColor="text1"/>
        </w:rPr>
      </w:pPr>
    </w:p>
    <w:p w14:paraId="7D5F1D54" w14:textId="77777777" w:rsidR="00363836" w:rsidRPr="0013649F" w:rsidRDefault="00363836" w:rsidP="00363836">
      <w:pPr>
        <w:spacing w:after="120" w:line="240" w:lineRule="auto"/>
        <w:ind w:left="709" w:right="709"/>
        <w:jc w:val="both"/>
        <w:rPr>
          <w:rFonts w:ascii="Verdana" w:eastAsia="Calibri" w:hAnsi="Verdana" w:cs="Arial"/>
          <w:bCs/>
          <w:color w:val="000000" w:themeColor="text1"/>
          <w:sz w:val="21"/>
          <w:szCs w:val="21"/>
        </w:rPr>
      </w:pPr>
      <w:r w:rsidRPr="0013649F">
        <w:rPr>
          <w:rFonts w:ascii="Verdana" w:eastAsia="Calibri" w:hAnsi="Verdana" w:cs="Arial"/>
          <w:bCs/>
          <w:color w:val="000000" w:themeColor="text1"/>
          <w:sz w:val="21"/>
          <w:szCs w:val="21"/>
        </w:rPr>
        <w:t xml:space="preserve">Esta causal no existía entre las que traía el artículo 24 de la Ley 80 de 1993 para la contratación directa. Con ella se busca facilitar la compra de bienes que son de uso común u ordinario de las entidades, cuyos precios normalmente están regulados por la competencia misma, como papelería, muebles, artículos de aseo, etc. </w:t>
      </w:r>
    </w:p>
    <w:p w14:paraId="44F52723" w14:textId="77777777" w:rsidR="00363836" w:rsidRPr="0013649F" w:rsidRDefault="00363836" w:rsidP="00363836">
      <w:pPr>
        <w:spacing w:after="120" w:line="240" w:lineRule="auto"/>
        <w:ind w:left="709" w:right="709"/>
        <w:jc w:val="both"/>
        <w:rPr>
          <w:rFonts w:ascii="Verdana" w:eastAsia="Calibri" w:hAnsi="Verdana" w:cs="Arial"/>
          <w:bCs/>
          <w:color w:val="000000" w:themeColor="text1"/>
          <w:sz w:val="21"/>
          <w:szCs w:val="21"/>
        </w:rPr>
      </w:pPr>
      <w:r w:rsidRPr="0013649F">
        <w:rPr>
          <w:rFonts w:ascii="Verdana" w:eastAsia="Calibri" w:hAnsi="Verdana" w:cs="Arial"/>
          <w:bCs/>
          <w:color w:val="000000" w:themeColor="text1"/>
          <w:sz w:val="21"/>
          <w:szCs w:val="21"/>
        </w:rPr>
        <w:t>Tienen como características las siguientes:</w:t>
      </w:r>
    </w:p>
    <w:p w14:paraId="0BEB3ADE" w14:textId="77777777" w:rsidR="00363836" w:rsidRPr="0013649F" w:rsidRDefault="00363836" w:rsidP="00363836">
      <w:pPr>
        <w:pStyle w:val="Prrafodelista"/>
        <w:numPr>
          <w:ilvl w:val="0"/>
          <w:numId w:val="25"/>
        </w:numPr>
        <w:spacing w:after="120" w:line="240" w:lineRule="auto"/>
        <w:ind w:left="709" w:right="709"/>
        <w:jc w:val="both"/>
        <w:rPr>
          <w:rFonts w:ascii="Verdana" w:eastAsia="Calibri" w:hAnsi="Verdana" w:cs="Arial"/>
          <w:bCs/>
          <w:color w:val="000000" w:themeColor="text1"/>
          <w:sz w:val="21"/>
          <w:szCs w:val="21"/>
        </w:rPr>
      </w:pPr>
      <w:r w:rsidRPr="0013649F">
        <w:rPr>
          <w:rFonts w:ascii="Verdana" w:eastAsia="Calibri" w:hAnsi="Verdana" w:cs="Arial"/>
          <w:bCs/>
          <w:color w:val="000000" w:themeColor="text1"/>
          <w:sz w:val="21"/>
          <w:szCs w:val="21"/>
        </w:rPr>
        <w:t xml:space="preserve">Son de común utilización en todas las entidades. Tienen las mismas especificaciones técnicas, por tanto, de la misma calidad, lo cual se concreta en que tienen características técnicas uniformes. </w:t>
      </w:r>
    </w:p>
    <w:p w14:paraId="5A3DFF42" w14:textId="77777777" w:rsidR="00363836" w:rsidRPr="0013649F" w:rsidRDefault="00363836" w:rsidP="00363836">
      <w:pPr>
        <w:pStyle w:val="Prrafodelista"/>
        <w:numPr>
          <w:ilvl w:val="0"/>
          <w:numId w:val="25"/>
        </w:numPr>
        <w:spacing w:after="120" w:line="276" w:lineRule="auto"/>
        <w:ind w:left="709" w:right="709"/>
        <w:jc w:val="both"/>
        <w:rPr>
          <w:rFonts w:ascii="Verdana" w:eastAsia="Calibri" w:hAnsi="Verdana" w:cs="Arial"/>
          <w:bCs/>
          <w:color w:val="000000" w:themeColor="text1"/>
          <w:sz w:val="21"/>
          <w:szCs w:val="21"/>
        </w:rPr>
      </w:pPr>
      <w:r w:rsidRPr="0013649F">
        <w:rPr>
          <w:rFonts w:ascii="Verdana" w:eastAsia="Calibri" w:hAnsi="Verdana" w:cs="Arial"/>
          <w:bCs/>
          <w:color w:val="000000" w:themeColor="text1"/>
          <w:sz w:val="21"/>
          <w:szCs w:val="21"/>
        </w:rPr>
        <w:t>Puede tener diferente diseño</w:t>
      </w:r>
    </w:p>
    <w:p w14:paraId="1776720D" w14:textId="77777777" w:rsidR="00363836" w:rsidRPr="0013649F" w:rsidRDefault="00363836" w:rsidP="00363836">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 xml:space="preserve"> </w:t>
      </w:r>
    </w:p>
    <w:p w14:paraId="360225DB" w14:textId="77777777" w:rsidR="00363836" w:rsidRDefault="00363836" w:rsidP="00363836">
      <w:pPr>
        <w:spacing w:after="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Para identificar los bienes y servicios que corresponden a este tipo, se destacan dos (2) aspectos importantes: la común utiliz</w:t>
      </w:r>
      <w:r>
        <w:rPr>
          <w:rFonts w:ascii="Verdana" w:eastAsia="Calibri" w:hAnsi="Verdana" w:cs="Arial"/>
          <w:bCs/>
          <w:color w:val="000000" w:themeColor="text1"/>
        </w:rPr>
        <w:t>ación y la homogeneidad. Para Suárez Beltrán</w:t>
      </w:r>
      <w:r w:rsidRPr="00185EE9">
        <w:rPr>
          <w:rFonts w:ascii="Verdana" w:eastAsia="Calibri" w:hAnsi="Verdana" w:cs="Arial"/>
          <w:bCs/>
          <w:color w:val="000000" w:themeColor="text1"/>
        </w:rPr>
        <w:t xml:space="preserve">, la </w:t>
      </w:r>
      <w:r w:rsidRPr="00185EE9">
        <w:rPr>
          <w:rFonts w:ascii="Verdana" w:eastAsia="Calibri" w:hAnsi="Verdana" w:cs="Arial"/>
          <w:bCs/>
          <w:i/>
          <w:iCs/>
          <w:color w:val="000000" w:themeColor="text1"/>
        </w:rPr>
        <w:t>común utilización</w:t>
      </w:r>
      <w:r w:rsidRPr="00185EE9">
        <w:rPr>
          <w:rFonts w:ascii="Verdana" w:eastAsia="Calibri" w:hAnsi="Verdana" w:cs="Arial"/>
          <w:bCs/>
          <w:color w:val="000000" w:themeColor="text1"/>
        </w:rPr>
        <w:t xml:space="preserve"> “[…] busca que los bienes o servicios que se compren en esta categoría sean de los que se ofrecen en un mercado con un estándar para quienes los demandan, o lo que es igual, que la oferta de </w:t>
      </w:r>
      <w:proofErr w:type="gramStart"/>
      <w:r w:rsidRPr="00185EE9">
        <w:rPr>
          <w:rFonts w:ascii="Verdana" w:eastAsia="Calibri" w:hAnsi="Verdana" w:cs="Arial"/>
          <w:bCs/>
          <w:color w:val="000000" w:themeColor="text1"/>
        </w:rPr>
        <w:t>los mismos</w:t>
      </w:r>
      <w:proofErr w:type="gramEnd"/>
      <w:r w:rsidRPr="00185EE9">
        <w:rPr>
          <w:rFonts w:ascii="Verdana" w:eastAsia="Calibri" w:hAnsi="Verdana" w:cs="Arial"/>
          <w:bCs/>
          <w:color w:val="000000" w:themeColor="text1"/>
        </w:rPr>
        <w:t xml:space="preserve"> en el mercado ocurriese en condiciones equivalentes para todo interesado en adquirirlos”</w:t>
      </w:r>
      <w:r w:rsidRPr="00185EE9">
        <w:rPr>
          <w:rStyle w:val="Refdenotaalpie"/>
          <w:rFonts w:ascii="Verdana" w:eastAsia="Calibri" w:hAnsi="Verdana" w:cs="Arial"/>
          <w:bCs/>
          <w:color w:val="000000" w:themeColor="text1"/>
        </w:rPr>
        <w:footnoteReference w:id="9"/>
      </w:r>
      <w:r w:rsidRPr="00185EE9">
        <w:rPr>
          <w:rFonts w:ascii="Verdana" w:eastAsia="Calibri" w:hAnsi="Verdana" w:cs="Arial"/>
          <w:bCs/>
          <w:color w:val="000000" w:themeColor="text1"/>
        </w:rPr>
        <w:t xml:space="preserve">. Por su parte, la </w:t>
      </w:r>
      <w:r w:rsidRPr="00185EE9">
        <w:rPr>
          <w:rFonts w:ascii="Verdana" w:eastAsia="Calibri" w:hAnsi="Verdana" w:cs="Arial"/>
          <w:bCs/>
          <w:i/>
          <w:iCs/>
          <w:color w:val="000000" w:themeColor="text1"/>
        </w:rPr>
        <w:t>homogeneidad</w:t>
      </w:r>
      <w:r w:rsidRPr="00185EE9">
        <w:rPr>
          <w:rFonts w:ascii="Verdana" w:eastAsia="Calibri" w:hAnsi="Verdana" w:cs="Arial"/>
          <w:bCs/>
          <w:color w:val="000000" w:themeColor="text1"/>
        </w:rPr>
        <w:t xml:space="preserve"> se 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r w:rsidRPr="00185EE9">
        <w:rPr>
          <w:rStyle w:val="Refdenotaalpie"/>
          <w:rFonts w:ascii="Verdana" w:eastAsia="Calibri" w:hAnsi="Verdana" w:cs="Arial"/>
          <w:bCs/>
          <w:color w:val="000000" w:themeColor="text1"/>
        </w:rPr>
        <w:footnoteReference w:id="10"/>
      </w:r>
      <w:r w:rsidRPr="00185EE9">
        <w:rPr>
          <w:rFonts w:ascii="Verdana" w:eastAsia="Calibri" w:hAnsi="Verdana" w:cs="Arial"/>
          <w:bCs/>
          <w:color w:val="000000" w:themeColor="text1"/>
        </w:rPr>
        <w:t>.</w:t>
      </w:r>
      <w:r>
        <w:rPr>
          <w:rFonts w:ascii="Verdana" w:eastAsia="Calibri" w:hAnsi="Verdana" w:cs="Arial"/>
          <w:bCs/>
          <w:color w:val="000000" w:themeColor="text1"/>
        </w:rPr>
        <w:t xml:space="preserve"> A modo de ejemplo, se plantea que en el Derecho Peruano se alude al concepto “Bienes y Servicios Comunes”, que son definidos así: </w:t>
      </w:r>
    </w:p>
    <w:p w14:paraId="0B7300D4" w14:textId="77777777" w:rsidR="00363836" w:rsidRDefault="00363836" w:rsidP="00363836">
      <w:pPr>
        <w:spacing w:after="0" w:line="276" w:lineRule="auto"/>
        <w:ind w:firstLine="709"/>
        <w:jc w:val="both"/>
        <w:rPr>
          <w:rFonts w:ascii="Verdana" w:eastAsia="Calibri" w:hAnsi="Verdana" w:cs="Arial"/>
          <w:bCs/>
          <w:color w:val="000000" w:themeColor="text1"/>
        </w:rPr>
      </w:pPr>
    </w:p>
    <w:p w14:paraId="55F37651" w14:textId="77777777" w:rsidR="00363836" w:rsidRDefault="00363836" w:rsidP="00363836">
      <w:pPr>
        <w:spacing w:after="0" w:line="240" w:lineRule="auto"/>
        <w:ind w:left="709" w:right="709"/>
        <w:jc w:val="both"/>
        <w:rPr>
          <w:rFonts w:ascii="Verdana" w:eastAsia="Calibri" w:hAnsi="Verdana" w:cs="Arial"/>
          <w:bCs/>
          <w:color w:val="000000" w:themeColor="text1"/>
          <w:sz w:val="21"/>
          <w:szCs w:val="21"/>
        </w:rPr>
      </w:pPr>
      <w:r>
        <w:rPr>
          <w:rFonts w:ascii="Verdana" w:eastAsia="Calibri" w:hAnsi="Verdana" w:cs="Arial"/>
          <w:bCs/>
          <w:color w:val="000000" w:themeColor="text1"/>
          <w:sz w:val="21"/>
          <w:szCs w:val="21"/>
        </w:rPr>
        <w:t>“</w:t>
      </w:r>
      <w:r w:rsidRPr="00EA74F5">
        <w:rPr>
          <w:rFonts w:ascii="Verdana" w:eastAsia="Calibri" w:hAnsi="Verdana" w:cs="Arial"/>
          <w:bCs/>
          <w:color w:val="000000" w:themeColor="text1"/>
          <w:sz w:val="21"/>
          <w:szCs w:val="21"/>
        </w:rPr>
        <w:t xml:space="preserve">Son bienes y servicios comunes aquellos que, existiendo más de un proveedor en el mercado, cuentan con características o especificaciones usuales en el mercado, o han sido estandarizados </w:t>
      </w:r>
      <w:r w:rsidRPr="00EA74F5">
        <w:rPr>
          <w:rFonts w:ascii="Verdana" w:eastAsia="Calibri" w:hAnsi="Verdana" w:cs="Arial"/>
          <w:bCs/>
          <w:color w:val="000000" w:themeColor="text1"/>
          <w:sz w:val="21"/>
          <w:szCs w:val="21"/>
        </w:rPr>
        <w:lastRenderedPageBreak/>
        <w:t>como consecuencia de un proceso de homogeneización llevado a cabo al interior del Estado, cuyo factor diferenciador entre ellos es el precio en el cual se transan, siendo que la naturaleza de los mismos debe permitirles cumplir sus funciones sin requerir de otros bienes o servicios conexos, por ende está en capacidad de desarrollar las mismas como una unidad. La Central de Compras Públicas — PERU COMPRAS los incorpora, mediante la aprobación de fichas técnicas, dentro del Listado de Bienes y Servicios Comunes</w:t>
      </w:r>
      <w:r>
        <w:rPr>
          <w:rFonts w:ascii="Verdana" w:eastAsia="Calibri" w:hAnsi="Verdana" w:cs="Arial"/>
          <w:bCs/>
          <w:color w:val="000000" w:themeColor="text1"/>
          <w:sz w:val="21"/>
          <w:szCs w:val="21"/>
        </w:rPr>
        <w:t>”</w:t>
      </w:r>
      <w:r>
        <w:rPr>
          <w:rStyle w:val="Refdenotaalpie"/>
          <w:rFonts w:ascii="Verdana" w:eastAsia="Calibri" w:hAnsi="Verdana" w:cs="Arial"/>
          <w:bCs/>
          <w:color w:val="000000" w:themeColor="text1"/>
          <w:sz w:val="21"/>
          <w:szCs w:val="21"/>
        </w:rPr>
        <w:footnoteReference w:id="11"/>
      </w:r>
      <w:r w:rsidRPr="00EA74F5">
        <w:rPr>
          <w:rFonts w:ascii="Verdana" w:eastAsia="Calibri" w:hAnsi="Verdana" w:cs="Arial"/>
          <w:bCs/>
          <w:color w:val="000000" w:themeColor="text1"/>
          <w:sz w:val="21"/>
          <w:szCs w:val="21"/>
        </w:rPr>
        <w:t>.</w:t>
      </w:r>
    </w:p>
    <w:p w14:paraId="780EEF31" w14:textId="77777777" w:rsidR="00363836" w:rsidRPr="00EA74F5" w:rsidRDefault="00363836" w:rsidP="00363836">
      <w:pPr>
        <w:spacing w:after="120" w:line="240" w:lineRule="auto"/>
        <w:ind w:left="709" w:right="709"/>
        <w:jc w:val="both"/>
        <w:rPr>
          <w:rFonts w:ascii="Verdana" w:eastAsia="Calibri" w:hAnsi="Verdana" w:cs="Arial"/>
          <w:bCs/>
          <w:color w:val="000000" w:themeColor="text1"/>
          <w:sz w:val="21"/>
          <w:szCs w:val="21"/>
        </w:rPr>
      </w:pPr>
    </w:p>
    <w:p w14:paraId="6FFB2EF9" w14:textId="77777777" w:rsidR="00363836" w:rsidRDefault="00363836" w:rsidP="00363836">
      <w:pPr>
        <w:spacing w:after="120" w:line="276" w:lineRule="auto"/>
        <w:ind w:firstLine="709"/>
        <w:jc w:val="both"/>
        <w:rPr>
          <w:rFonts w:ascii="Verdana" w:eastAsia="Calibri" w:hAnsi="Verdana" w:cs="Arial"/>
          <w:bCs/>
          <w:color w:val="000000" w:themeColor="text1"/>
        </w:rPr>
      </w:pPr>
      <w:r>
        <w:rPr>
          <w:rFonts w:ascii="Verdana" w:eastAsia="Calibri" w:hAnsi="Verdana" w:cs="Times New Roman"/>
          <w:bCs/>
          <w:iCs/>
        </w:rPr>
        <w:t>L</w:t>
      </w:r>
      <w:r w:rsidRPr="006423B6">
        <w:rPr>
          <w:rFonts w:ascii="Verdana" w:eastAsia="Calibri" w:hAnsi="Verdana" w:cs="Times New Roman"/>
          <w:bCs/>
          <w:iCs/>
        </w:rPr>
        <w:t>os elementos centrales para definir si un bien o servicio se considera de características técnicas uniformes y de común utilización consiste en dos aspectos: en primer lugar, que posea las mismas especificaciones técnicas y compartan patrones de desempeño y calidad objetivamente definidos, y en segundo lugar,</w:t>
      </w:r>
      <w:r>
        <w:rPr>
          <w:rFonts w:ascii="Verdana" w:eastAsia="Calibri" w:hAnsi="Verdana" w:cs="Times New Roman"/>
          <w:bCs/>
          <w:iCs/>
        </w:rPr>
        <w:t xml:space="preserve"> su común utilización o uso, esto es,</w:t>
      </w:r>
      <w:r w:rsidRPr="006423B6">
        <w:rPr>
          <w:rFonts w:ascii="Verdana" w:eastAsia="Calibri" w:hAnsi="Verdana" w:cs="Times New Roman"/>
          <w:bCs/>
          <w:iCs/>
        </w:rPr>
        <w:t xml:space="preserve"> que pueda adquirirse en el mercado con un estándar para quienes los requieran, es decir, que la oferta de los mismos en el mercado ocurriese en condiciones iguales para aquellas entidades estatales que lo necesitan. En otras palabras, </w:t>
      </w:r>
      <w:r>
        <w:rPr>
          <w:rFonts w:ascii="Verdana" w:eastAsia="Calibri" w:hAnsi="Verdana" w:cs="Times New Roman"/>
          <w:bCs/>
          <w:iCs/>
        </w:rPr>
        <w:t>las bienes y servicios de características técnicas uniformes que se identifican porque es</w:t>
      </w:r>
      <w:r w:rsidRPr="006423B6">
        <w:rPr>
          <w:rFonts w:ascii="Verdana" w:eastAsia="Calibri" w:hAnsi="Verdana" w:cs="Times New Roman"/>
          <w:bCs/>
          <w:iCs/>
        </w:rPr>
        <w:t xml:space="preserve"> posible adquirirlos en el mercado en condiciones estandarizadas u homogéneas, con independencia de su diseño o de sus características descriptivas, </w:t>
      </w:r>
      <w:r>
        <w:rPr>
          <w:rFonts w:ascii="Verdana" w:eastAsia="Calibri" w:hAnsi="Verdana" w:cs="Times New Roman"/>
          <w:bCs/>
          <w:iCs/>
        </w:rPr>
        <w:t xml:space="preserve">y su común utilización por precios variados y con la posibilidad que más de una empresa o corporación sea capaz de proveerlos. </w:t>
      </w:r>
    </w:p>
    <w:p w14:paraId="1245F02F" w14:textId="77777777" w:rsidR="00363836" w:rsidRPr="00185EE9" w:rsidRDefault="00363836" w:rsidP="00363836">
      <w:pPr>
        <w:spacing w:after="0" w:line="276" w:lineRule="auto"/>
        <w:ind w:firstLine="708"/>
        <w:jc w:val="both"/>
        <w:rPr>
          <w:rFonts w:ascii="Verdana" w:eastAsia="Calibri" w:hAnsi="Verdana" w:cs="Arial"/>
        </w:rPr>
      </w:pPr>
      <w:r w:rsidRPr="00185EE9">
        <w:rPr>
          <w:rFonts w:ascii="Verdana" w:eastAsia="Calibri" w:hAnsi="Verdana" w:cs="Arial"/>
          <w:bCs/>
          <w:color w:val="000000" w:themeColor="text1"/>
        </w:rPr>
        <w:t xml:space="preserve">La forma cómo se adquieren en el mercado determina si un bien o servicio encaja en esta categoría, de ahí que el Decreto 1082 de 2015 </w:t>
      </w:r>
      <w:r>
        <w:rPr>
          <w:rFonts w:ascii="Verdana" w:eastAsia="Calibri" w:hAnsi="Verdana" w:cs="Arial"/>
          <w:bCs/>
          <w:color w:val="000000" w:themeColor="text1"/>
        </w:rPr>
        <w:t>prescribe:</w:t>
      </w:r>
      <w:r w:rsidRPr="00185EE9">
        <w:rPr>
          <w:rFonts w:ascii="Verdana" w:eastAsia="Calibri" w:hAnsi="Verdana" w:cs="Arial"/>
          <w:bCs/>
          <w:color w:val="000000" w:themeColor="text1"/>
        </w:rPr>
        <w:t xml:space="preserve"> “[…] pueden ser agrupados como bienes y servicios homogéneos para su adquisición […]”, dado que cuentan con especificaciones técnicas y patrones de desempeño y calidad similares. Al respecto, la exposición de motivos de la Ley 1150 de 2007 explica que: </w:t>
      </w:r>
    </w:p>
    <w:p w14:paraId="201BF9F1" w14:textId="77777777" w:rsidR="00363836" w:rsidRPr="00185EE9" w:rsidRDefault="00363836" w:rsidP="00363836">
      <w:pPr>
        <w:spacing w:after="0" w:line="276" w:lineRule="auto"/>
        <w:jc w:val="both"/>
        <w:rPr>
          <w:rFonts w:ascii="Verdana" w:eastAsia="Calibri" w:hAnsi="Verdana" w:cs="Arial"/>
        </w:rPr>
      </w:pPr>
    </w:p>
    <w:p w14:paraId="6C50553C" w14:textId="77777777" w:rsidR="00363836" w:rsidRPr="00185EE9" w:rsidRDefault="00363836" w:rsidP="00363836">
      <w:pPr>
        <w:spacing w:after="0" w:line="240" w:lineRule="auto"/>
        <w:ind w:left="709" w:right="709"/>
        <w:jc w:val="both"/>
        <w:rPr>
          <w:rFonts w:ascii="Verdana" w:eastAsia="Calibri" w:hAnsi="Verdana" w:cs="Arial"/>
          <w:sz w:val="21"/>
          <w:szCs w:val="21"/>
        </w:rPr>
      </w:pPr>
      <w:r w:rsidRPr="00185EE9">
        <w:rPr>
          <w:rFonts w:ascii="Verdana" w:eastAsia="Calibri" w:hAnsi="Verdana" w:cs="Arial"/>
          <w:sz w:val="21"/>
          <w:szCs w:val="21"/>
        </w:rPr>
        <w:t xml:space="preserve">“[…] las innovaciones del proceso de selección abreviada empiezan por una medida trascendental, para llevar a sólo horas los contratos referidos a la adquisición de bienes de ‘características técnicas uniformes y de común utilización’ </w:t>
      </w:r>
      <w:proofErr w:type="gramStart"/>
      <w:r w:rsidRPr="00185EE9">
        <w:rPr>
          <w:rFonts w:ascii="Verdana" w:eastAsia="Calibri" w:hAnsi="Verdana" w:cs="Arial"/>
          <w:sz w:val="21"/>
          <w:szCs w:val="21"/>
        </w:rPr>
        <w:t>que</w:t>
      </w:r>
      <w:proofErr w:type="gramEnd"/>
      <w:r w:rsidRPr="00185EE9">
        <w:rPr>
          <w:rFonts w:ascii="Verdana" w:eastAsia="Calibri" w:hAnsi="Verdana" w:cs="Arial"/>
          <w:sz w:val="21"/>
          <w:szCs w:val="21"/>
        </w:rPr>
        <w:t xml:space="preserve"> según cálculos del Departamento Nacional de Planeación, corresponden a más del 80% en número de contratos. </w:t>
      </w:r>
      <w:r w:rsidRPr="00185EE9">
        <w:rPr>
          <w:rFonts w:ascii="Verdana" w:eastAsia="Calibri" w:hAnsi="Verdana" w:cs="Arial"/>
          <w:i/>
          <w:iCs/>
          <w:sz w:val="21"/>
          <w:szCs w:val="21"/>
        </w:rPr>
        <w:t xml:space="preserve">De esta forma, en la medida en la cual se trate de adquirir un objeto cuyas características técnicas puedan reducirse a unas comunes a su funcionalidad y calidad, tal proceso </w:t>
      </w:r>
      <w:r w:rsidRPr="00185EE9">
        <w:rPr>
          <w:rFonts w:ascii="Verdana" w:eastAsia="Calibri" w:hAnsi="Verdana" w:cs="Arial"/>
          <w:i/>
          <w:iCs/>
          <w:sz w:val="21"/>
          <w:szCs w:val="21"/>
        </w:rPr>
        <w:lastRenderedPageBreak/>
        <w:t>debe realizarse únicamente en función del precio del bien, una vez se han verificado las condiciones de capacidad de los proponentes para cumplir con el contrato (‘pasa, no pasa’)</w:t>
      </w:r>
      <w:r w:rsidRPr="00185EE9">
        <w:rPr>
          <w:rFonts w:ascii="Verdana" w:eastAsia="Calibri" w:hAnsi="Verdana" w:cs="Arial"/>
          <w:sz w:val="21"/>
          <w:szCs w:val="21"/>
        </w:rPr>
        <w:t xml:space="preserve"> […]”</w:t>
      </w:r>
      <w:r w:rsidRPr="00185EE9">
        <w:rPr>
          <w:rStyle w:val="Refdenotaalpie"/>
          <w:rFonts w:ascii="Verdana" w:eastAsia="Calibri" w:hAnsi="Verdana" w:cs="Arial"/>
          <w:sz w:val="21"/>
          <w:szCs w:val="21"/>
        </w:rPr>
        <w:footnoteReference w:id="12"/>
      </w:r>
      <w:r w:rsidRPr="00185EE9">
        <w:rPr>
          <w:rFonts w:ascii="Verdana" w:eastAsia="Calibri" w:hAnsi="Verdana" w:cs="Arial"/>
          <w:sz w:val="21"/>
          <w:szCs w:val="21"/>
        </w:rPr>
        <w:t>. (Énfasis fuera de texto)</w:t>
      </w:r>
    </w:p>
    <w:p w14:paraId="60E2D1F6" w14:textId="77777777" w:rsidR="00363836" w:rsidRPr="00185EE9" w:rsidRDefault="00363836" w:rsidP="00363836">
      <w:pPr>
        <w:spacing w:after="0" w:line="276" w:lineRule="auto"/>
        <w:jc w:val="both"/>
        <w:rPr>
          <w:rFonts w:ascii="Verdana" w:eastAsia="Calibri" w:hAnsi="Verdana" w:cs="Arial"/>
        </w:rPr>
      </w:pPr>
    </w:p>
    <w:p w14:paraId="789DAB3F" w14:textId="77777777" w:rsidR="00363836" w:rsidRDefault="00363836" w:rsidP="00363836">
      <w:pPr>
        <w:spacing w:after="120" w:line="276" w:lineRule="auto"/>
        <w:ind w:firstLine="709"/>
        <w:jc w:val="both"/>
        <w:rPr>
          <w:rFonts w:ascii="Verdana" w:eastAsia="Calibri" w:hAnsi="Verdana" w:cs="Arial"/>
        </w:rPr>
      </w:pPr>
      <w:r w:rsidRPr="00185EE9">
        <w:rPr>
          <w:rFonts w:ascii="Verdana" w:eastAsia="Calibri" w:hAnsi="Verdana" w:cs="Arial"/>
        </w:rPr>
        <w:t>En este contexto, la doctrina identifica como bienes o servicios de características técnicas</w:t>
      </w:r>
      <w:r>
        <w:rPr>
          <w:rFonts w:ascii="Verdana" w:eastAsia="Calibri" w:hAnsi="Verdana" w:cs="Arial"/>
        </w:rPr>
        <w:t xml:space="preserve"> y de común utilización</w:t>
      </w:r>
      <w:r w:rsidRPr="00185EE9">
        <w:rPr>
          <w:rFonts w:ascii="Verdana" w:eastAsia="Calibri" w:hAnsi="Verdana" w:cs="Arial"/>
        </w:rPr>
        <w:t xml:space="preserve"> los insumos de oficina –bolígrafos, cartuchos de tinta, papel de impresora, tijeras, cuadernos, entre otros–, los insumos de limpieza –bolsas de basura, esponjas, limpiador de pisos, papel higiénico, toallas de papel, entre otros–, y los insumos de cocina –agua, aromáticas, azúcar, café, servilletas, entre otros–. También identifica como tales los muebles y enseres –archivos, asientos, escritorios, mesas, entre otros–, los equipos –computadores, escáneres, impresoras, proyectores, entre otros–, los combustibles –ACPM, biodiesel, gasolina, combustible diésel, entre otros–, los servicios de mantenimiento –equipos electrónicos, de comunicaciones, entre otros–, e</w:t>
      </w:r>
      <w:r>
        <w:rPr>
          <w:rFonts w:ascii="Verdana" w:eastAsia="Calibri" w:hAnsi="Verdana" w:cs="Arial"/>
        </w:rPr>
        <w:t>ntre otros</w:t>
      </w:r>
      <w:r w:rsidRPr="00185EE9">
        <w:rPr>
          <w:rStyle w:val="Refdenotaalpie"/>
          <w:rFonts w:ascii="Verdana" w:eastAsia="Calibri" w:hAnsi="Verdana" w:cs="Arial"/>
        </w:rPr>
        <w:footnoteReference w:id="13"/>
      </w:r>
      <w:r>
        <w:rPr>
          <w:rFonts w:ascii="Verdana" w:eastAsia="Calibri" w:hAnsi="Verdana" w:cs="Arial"/>
        </w:rPr>
        <w:t xml:space="preserve">. </w:t>
      </w:r>
    </w:p>
    <w:p w14:paraId="53BF8AC5" w14:textId="77777777" w:rsidR="00363836" w:rsidRPr="00185EE9" w:rsidRDefault="00363836" w:rsidP="00363836">
      <w:pPr>
        <w:spacing w:after="120" w:line="276" w:lineRule="auto"/>
        <w:ind w:firstLine="709"/>
        <w:jc w:val="both"/>
        <w:rPr>
          <w:rFonts w:ascii="Verdana" w:eastAsia="Calibri" w:hAnsi="Verdana" w:cs="Arial"/>
        </w:rPr>
      </w:pPr>
      <w:r>
        <w:rPr>
          <w:rFonts w:ascii="Verdana" w:eastAsia="Calibri" w:hAnsi="Verdana" w:cs="Arial"/>
        </w:rPr>
        <w:t xml:space="preserve">Sin embargo, es importante precisar que para definir si un bien o servicio es de características uniformes y de común utilización no existe un listado taxativo establecido por parte de la Agencia Nacional de Contratación Pública -Colombia Compra Eficiente, sino que dependerá de las especificaciones que requiera la entidad y lo ofertado en el mercado, por lo que estará condicionado de lo que se establezca como objeto y alcance en los estudios previos.  </w:t>
      </w:r>
    </w:p>
    <w:p w14:paraId="763B7D35" w14:textId="0850ADE5" w:rsidR="00363836" w:rsidRDefault="00363836" w:rsidP="00363836">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En definitiva, la nota común de este conjunto de bienes y servicios es que, con independencia de sus características descriptivas, comparten patrones de desempeño y calidad similares para la satisfacción de la necesidad a la que atienden. Igualmente, el inciso segundo del literal a) del artículo 2, numeral 2 de la Ley 1150 de 2007 dis</w:t>
      </w:r>
      <w:r>
        <w:rPr>
          <w:rFonts w:ascii="Verdana" w:eastAsia="Calibri" w:hAnsi="Verdana" w:cs="Arial"/>
          <w:bCs/>
          <w:color w:val="000000" w:themeColor="text1"/>
        </w:rPr>
        <w:t xml:space="preserve">pone: </w:t>
      </w:r>
      <w:r w:rsidRPr="00185EE9">
        <w:rPr>
          <w:rFonts w:ascii="Verdana" w:eastAsia="Calibri" w:hAnsi="Verdana" w:cs="Arial"/>
          <w:bCs/>
          <w:color w:val="000000" w:themeColor="text1"/>
        </w:rPr>
        <w:t>“</w:t>
      </w:r>
      <w:r w:rsidRPr="00185EE9">
        <w:rPr>
          <w:rFonts w:ascii="Verdana" w:eastAsia="Calibri" w:hAnsi="Verdana" w:cs="Arial"/>
          <w:bCs/>
          <w:i/>
          <w:iCs/>
          <w:color w:val="000000" w:themeColor="text1"/>
        </w:rPr>
        <w:t>Para la adquisición de estos bienes y servicios las entidades deberán</w:t>
      </w:r>
      <w:r w:rsidRPr="00185EE9">
        <w:rPr>
          <w:rFonts w:ascii="Verdana" w:eastAsia="Calibri" w:hAnsi="Verdana" w:cs="Arial"/>
          <w:bCs/>
          <w:color w:val="000000" w:themeColor="text1"/>
        </w:rPr>
        <w:t xml:space="preserve">, siempre que el reglamento así lo señale, </w:t>
      </w:r>
      <w:r w:rsidRPr="00185EE9">
        <w:rPr>
          <w:rFonts w:ascii="Verdana" w:eastAsia="Calibri" w:hAnsi="Verdana" w:cs="Arial"/>
          <w:bCs/>
          <w:i/>
          <w:iCs/>
          <w:color w:val="000000" w:themeColor="text1"/>
        </w:rPr>
        <w:t>hacer uso</w:t>
      </w:r>
      <w:r w:rsidRPr="00185EE9">
        <w:rPr>
          <w:rFonts w:ascii="Verdana" w:eastAsia="Calibri" w:hAnsi="Verdana" w:cs="Arial"/>
          <w:bCs/>
          <w:color w:val="000000" w:themeColor="text1"/>
        </w:rPr>
        <w:t xml:space="preserve"> de procedimientos de subasta inversa o de instrumentos de compra por catálogo derivados de la celebración de acuerdos marco de precios o </w:t>
      </w:r>
      <w:r w:rsidRPr="00185EE9">
        <w:rPr>
          <w:rFonts w:ascii="Verdana" w:eastAsia="Calibri" w:hAnsi="Verdana" w:cs="Arial"/>
          <w:bCs/>
          <w:i/>
          <w:iCs/>
          <w:color w:val="000000" w:themeColor="text1"/>
        </w:rPr>
        <w:t>de procedimientos de adquisición en bolsas de productos</w:t>
      </w:r>
      <w:r w:rsidRPr="00185EE9">
        <w:rPr>
          <w:rFonts w:ascii="Verdana" w:eastAsia="Calibri" w:hAnsi="Verdana" w:cs="Arial"/>
          <w:bCs/>
          <w:color w:val="000000" w:themeColor="text1"/>
        </w:rPr>
        <w:t>” (Énfasis fuera de texto). Estos mecanismos se aplicarán en la forma que disponga el Decreto 1082 de 2015 para para cada uno de ellos.</w:t>
      </w:r>
    </w:p>
    <w:p w14:paraId="1A2BD594" w14:textId="77777777" w:rsidR="007D719F" w:rsidRDefault="007D719F" w:rsidP="00363836">
      <w:pPr>
        <w:spacing w:after="120" w:line="276" w:lineRule="auto"/>
        <w:ind w:firstLine="709"/>
        <w:jc w:val="both"/>
        <w:rPr>
          <w:rFonts w:ascii="Verdana" w:eastAsia="Calibri" w:hAnsi="Verdana" w:cs="Arial"/>
          <w:bCs/>
          <w:color w:val="000000" w:themeColor="text1"/>
        </w:rPr>
      </w:pPr>
    </w:p>
    <w:p w14:paraId="633F4BB2" w14:textId="77777777" w:rsidR="00363836" w:rsidRPr="00BD787A" w:rsidRDefault="00363836" w:rsidP="00363836">
      <w:pPr>
        <w:spacing w:after="120" w:line="276" w:lineRule="auto"/>
        <w:jc w:val="both"/>
        <w:rPr>
          <w:rFonts w:ascii="Verdana" w:hAnsi="Verdana" w:cs="Arial"/>
          <w:color w:val="000000" w:themeColor="text1"/>
          <w:lang w:val="es-ES_tradnl"/>
        </w:rPr>
      </w:pPr>
      <w:proofErr w:type="spellStart"/>
      <w:r>
        <w:rPr>
          <w:rFonts w:ascii="Verdana" w:eastAsia="Calibri" w:hAnsi="Verdana" w:cs="Arial"/>
          <w:bCs/>
          <w:color w:val="000000" w:themeColor="text1"/>
        </w:rPr>
        <w:lastRenderedPageBreak/>
        <w:t>ii</w:t>
      </w:r>
      <w:proofErr w:type="spellEnd"/>
      <w:r>
        <w:rPr>
          <w:rFonts w:ascii="Verdana" w:eastAsia="Calibri" w:hAnsi="Verdana" w:cs="Arial"/>
          <w:bCs/>
          <w:color w:val="000000" w:themeColor="text1"/>
        </w:rPr>
        <w:t xml:space="preserve">. </w:t>
      </w:r>
      <w:r w:rsidRPr="00BD787A">
        <w:rPr>
          <w:rFonts w:ascii="Verdana" w:hAnsi="Verdana" w:cs="Arial"/>
          <w:color w:val="000000" w:themeColor="text1"/>
          <w:lang w:val="es-ES_tradnl"/>
        </w:rPr>
        <w:t xml:space="preserve">Los </w:t>
      </w:r>
      <w:r w:rsidRPr="00BD787A">
        <w:rPr>
          <w:rFonts w:ascii="Verdana" w:hAnsi="Verdana" w:cs="Arial"/>
          <w:i/>
          <w:iCs/>
          <w:color w:val="000000" w:themeColor="text1"/>
          <w:lang w:val="es-ES_tradnl"/>
        </w:rPr>
        <w:t>requisitos habilitantes</w:t>
      </w:r>
      <w:r w:rsidRPr="00BD787A">
        <w:rPr>
          <w:rFonts w:ascii="Verdana" w:hAnsi="Verdana" w:cs="Arial"/>
          <w:color w:val="000000" w:themeColor="text1"/>
          <w:lang w:val="es-ES_tradnl"/>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BD787A">
        <w:rPr>
          <w:rFonts w:ascii="Verdana" w:hAnsi="Verdana" w:cs="Arial"/>
          <w:i/>
          <w:iCs/>
          <w:color w:val="000000" w:themeColor="text1"/>
          <w:lang w:val="es-ES_tradnl"/>
        </w:rPr>
        <w:t>criterios de evaluación</w:t>
      </w:r>
      <w:r w:rsidRPr="00BD787A">
        <w:rPr>
          <w:rFonts w:ascii="Verdana" w:hAnsi="Verdana" w:cs="Arial"/>
          <w:color w:val="000000" w:themeColor="text1"/>
          <w:lang w:val="es-ES_tradnl"/>
        </w:rPr>
        <w:t xml:space="preserve"> –también conocidos como </w:t>
      </w:r>
      <w:r w:rsidRPr="00BD787A">
        <w:rPr>
          <w:rFonts w:ascii="Verdana" w:hAnsi="Verdana" w:cs="Arial"/>
          <w:i/>
          <w:iCs/>
          <w:color w:val="000000" w:themeColor="text1"/>
          <w:lang w:val="es-ES_tradnl"/>
        </w:rPr>
        <w:t>criterios de calificación</w:t>
      </w:r>
      <w:r w:rsidRPr="00BD787A">
        <w:rPr>
          <w:rFonts w:ascii="Verdana" w:hAnsi="Verdana"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0E47C5CE" w14:textId="77777777" w:rsidR="00363836" w:rsidRPr="00BD787A" w:rsidRDefault="00363836" w:rsidP="00363836">
      <w:pPr>
        <w:spacing w:after="120" w:line="276" w:lineRule="auto"/>
        <w:ind w:firstLine="708"/>
        <w:jc w:val="both"/>
        <w:rPr>
          <w:rFonts w:ascii="Verdana" w:hAnsi="Verdana" w:cs="Arial"/>
          <w:color w:val="000000" w:themeColor="text1"/>
          <w:lang w:val="es-ES"/>
        </w:rPr>
      </w:pPr>
      <w:r w:rsidRPr="54A232F0">
        <w:rPr>
          <w:rFonts w:ascii="Verdana" w:hAnsi="Verdana" w:cs="Arial"/>
          <w:color w:val="000000" w:themeColor="text1"/>
          <w:lang w:val="es-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esta manera,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727C3704" w14:textId="77777777" w:rsidR="00363836" w:rsidRPr="00BD787A" w:rsidRDefault="00363836" w:rsidP="00363836">
      <w:pPr>
        <w:spacing w:after="120" w:line="276" w:lineRule="auto"/>
        <w:ind w:firstLine="708"/>
        <w:jc w:val="both"/>
        <w:rPr>
          <w:rFonts w:ascii="Verdana" w:hAnsi="Verdana" w:cs="Arial"/>
          <w:color w:val="000000" w:themeColor="text1"/>
          <w:lang w:val="es-ES_tradnl"/>
        </w:rPr>
      </w:pPr>
      <w:r w:rsidRPr="00BD787A">
        <w:rPr>
          <w:rFonts w:ascii="Verdana" w:hAnsi="Verdana" w:cs="Arial"/>
          <w:color w:val="000000" w:themeColor="text1"/>
          <w:lang w:val="es-ES_tradnl"/>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BD787A">
        <w:rPr>
          <w:rFonts w:ascii="Verdana" w:hAnsi="Verdana" w:cs="Arial"/>
          <w:i/>
          <w:iCs/>
          <w:color w:val="000000" w:themeColor="text1"/>
          <w:lang w:val="es-ES_tradnl"/>
        </w:rPr>
        <w:t>.</w:t>
      </w:r>
      <w:r w:rsidRPr="00BD787A">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225783B9" w14:textId="77777777" w:rsidR="00363836" w:rsidRPr="00BD787A" w:rsidRDefault="00363836" w:rsidP="00363836">
      <w:pPr>
        <w:spacing w:after="0" w:line="276" w:lineRule="auto"/>
        <w:ind w:firstLine="708"/>
        <w:jc w:val="both"/>
        <w:rPr>
          <w:rFonts w:ascii="Verdana" w:hAnsi="Verdana" w:cs="Arial"/>
          <w:color w:val="000000" w:themeColor="text1"/>
          <w:lang w:val="es-ES"/>
        </w:rPr>
      </w:pPr>
      <w:r w:rsidRPr="00BD787A">
        <w:rPr>
          <w:rFonts w:ascii="Verdana" w:hAnsi="Verdana" w:cs="Arial"/>
          <w:color w:val="000000" w:themeColor="text1"/>
          <w:lang w:val="es-ES"/>
        </w:rPr>
        <w:t xml:space="preserve">En especial, el numeral 1º del referido artículo 5 establece que en los procesos de selección de contratistas serán objeto de verificación, como requisitos habilitantes, </w:t>
      </w:r>
      <w:r w:rsidRPr="00BD787A">
        <w:rPr>
          <w:rFonts w:ascii="Verdana" w:hAnsi="Verdana" w:cs="Arial"/>
          <w:i/>
          <w:color w:val="000000" w:themeColor="text1"/>
          <w:lang w:val="es-ES"/>
        </w:rPr>
        <w:t>entre otros</w:t>
      </w:r>
      <w:r w:rsidRPr="00BD787A">
        <w:rPr>
          <w:rFonts w:ascii="Verdana" w:hAnsi="Verdana" w:cs="Arial"/>
          <w:color w:val="000000" w:themeColor="text1"/>
          <w:lang w:val="es-ES"/>
        </w:rPr>
        <w:t xml:space="preserve">, los siguientes: i) la capacidad jurídica; </w:t>
      </w:r>
      <w:proofErr w:type="spellStart"/>
      <w:r w:rsidRPr="00BD787A">
        <w:rPr>
          <w:rFonts w:ascii="Verdana" w:hAnsi="Verdana" w:cs="Arial"/>
          <w:color w:val="000000" w:themeColor="text1"/>
          <w:lang w:val="es-ES"/>
        </w:rPr>
        <w:t>ii</w:t>
      </w:r>
      <w:proofErr w:type="spellEnd"/>
      <w:r w:rsidRPr="00BD787A">
        <w:rPr>
          <w:rFonts w:ascii="Verdana" w:hAnsi="Verdana" w:cs="Arial"/>
          <w:color w:val="000000" w:themeColor="text1"/>
          <w:lang w:val="es-ES"/>
        </w:rPr>
        <w:t xml:space="preserve">) la experiencia; </w:t>
      </w:r>
      <w:proofErr w:type="spellStart"/>
      <w:r w:rsidRPr="00BD787A">
        <w:rPr>
          <w:rFonts w:ascii="Verdana" w:hAnsi="Verdana" w:cs="Arial"/>
          <w:color w:val="000000" w:themeColor="text1"/>
          <w:lang w:val="es-ES"/>
        </w:rPr>
        <w:t>iii</w:t>
      </w:r>
      <w:proofErr w:type="spellEnd"/>
      <w:r w:rsidRPr="00BD787A">
        <w:rPr>
          <w:rFonts w:ascii="Verdana" w:hAnsi="Verdana" w:cs="Arial"/>
          <w:color w:val="000000" w:themeColor="text1"/>
          <w:lang w:val="es-ES"/>
        </w:rPr>
        <w:t xml:space="preserve">) la capacidad financiera y </w:t>
      </w:r>
      <w:proofErr w:type="spellStart"/>
      <w:r w:rsidRPr="00BD787A">
        <w:rPr>
          <w:rFonts w:ascii="Verdana" w:hAnsi="Verdana" w:cs="Arial"/>
          <w:color w:val="000000" w:themeColor="text1"/>
          <w:lang w:val="es-ES"/>
        </w:rPr>
        <w:t>iv</w:t>
      </w:r>
      <w:proofErr w:type="spellEnd"/>
      <w:r w:rsidRPr="00BD787A">
        <w:rPr>
          <w:rFonts w:ascii="Verdana" w:hAnsi="Verdana" w:cs="Arial"/>
          <w:color w:val="000000" w:themeColor="text1"/>
          <w:lang w:val="es-ES"/>
        </w:rPr>
        <w:t xml:space="preserve">) la capacidad de organización. En efecto, la normativa citada prescribe lo siguiente: </w:t>
      </w:r>
    </w:p>
    <w:p w14:paraId="12652002" w14:textId="77777777" w:rsidR="00363836" w:rsidRPr="00BD787A" w:rsidRDefault="00363836" w:rsidP="00363836">
      <w:pPr>
        <w:spacing w:after="0" w:line="276" w:lineRule="auto"/>
        <w:ind w:firstLine="708"/>
        <w:jc w:val="both"/>
        <w:rPr>
          <w:rFonts w:ascii="Verdana" w:hAnsi="Verdana" w:cs="Arial"/>
          <w:color w:val="000000" w:themeColor="text1"/>
        </w:rPr>
      </w:pPr>
    </w:p>
    <w:p w14:paraId="4C89B15C" w14:textId="77777777" w:rsidR="00363836" w:rsidRPr="00BD787A" w:rsidRDefault="00363836" w:rsidP="00363836">
      <w:pPr>
        <w:spacing w:after="0" w:line="240" w:lineRule="auto"/>
        <w:ind w:left="709" w:right="709"/>
        <w:rPr>
          <w:rFonts w:ascii="Verdana" w:hAnsi="Verdana" w:cs="Arial"/>
          <w:color w:val="000000" w:themeColor="text1"/>
          <w:sz w:val="20"/>
          <w:szCs w:val="20"/>
          <w:lang w:val="es-ES_tradnl"/>
        </w:rPr>
      </w:pPr>
      <w:r w:rsidRPr="00BD787A">
        <w:rPr>
          <w:rFonts w:ascii="Verdana" w:hAnsi="Verdana" w:cs="Arial"/>
          <w:i/>
          <w:color w:val="000000" w:themeColor="text1"/>
          <w:sz w:val="20"/>
          <w:szCs w:val="20"/>
          <w:lang w:val="es-ES_tradnl"/>
        </w:rPr>
        <w:t>“</w:t>
      </w:r>
      <w:r w:rsidRPr="00BD787A">
        <w:rPr>
          <w:rFonts w:ascii="Verdana" w:hAnsi="Verdana" w:cs="Arial"/>
          <w:color w:val="000000" w:themeColor="text1"/>
          <w:sz w:val="20"/>
          <w:szCs w:val="20"/>
          <w:lang w:val="es-ES_tradnl"/>
        </w:rPr>
        <w:t xml:space="preserve">Artículo 5. De la Selección Objetiva. </w:t>
      </w:r>
    </w:p>
    <w:p w14:paraId="5965FEF2" w14:textId="77777777" w:rsidR="00363836" w:rsidRPr="00BD787A" w:rsidRDefault="00363836" w:rsidP="00363836">
      <w:pPr>
        <w:spacing w:after="0" w:line="240" w:lineRule="auto"/>
        <w:ind w:left="709" w:right="709"/>
        <w:rPr>
          <w:rFonts w:ascii="Verdana" w:hAnsi="Verdana" w:cs="Arial"/>
          <w:color w:val="000000" w:themeColor="text1"/>
          <w:sz w:val="20"/>
          <w:szCs w:val="20"/>
          <w:lang w:val="es-ES_tradnl"/>
        </w:rPr>
      </w:pPr>
      <w:r w:rsidRPr="00BD787A">
        <w:rPr>
          <w:rFonts w:ascii="Verdana" w:hAnsi="Verdana" w:cs="Arial"/>
          <w:color w:val="000000" w:themeColor="text1"/>
          <w:sz w:val="20"/>
          <w:szCs w:val="20"/>
          <w:lang w:val="es-ES_tradnl"/>
        </w:rPr>
        <w:t>[…]</w:t>
      </w:r>
    </w:p>
    <w:p w14:paraId="38F272AA" w14:textId="77777777" w:rsidR="00363836" w:rsidRPr="00BD787A" w:rsidRDefault="00363836" w:rsidP="00363836">
      <w:pPr>
        <w:spacing w:after="0" w:line="240" w:lineRule="auto"/>
        <w:ind w:left="709" w:right="709"/>
        <w:contextualSpacing/>
        <w:jc w:val="both"/>
        <w:rPr>
          <w:rFonts w:ascii="Verdana" w:eastAsia="Calibri" w:hAnsi="Verdana" w:cs="Arial"/>
          <w:color w:val="000000" w:themeColor="text1"/>
          <w:sz w:val="20"/>
          <w:szCs w:val="20"/>
          <w:lang w:val="es-ES"/>
        </w:rPr>
      </w:pPr>
      <w:r w:rsidRPr="00BD787A">
        <w:rPr>
          <w:rFonts w:ascii="Verdana" w:eastAsia="Calibri" w:hAnsi="Verdana" w:cs="Arial"/>
          <w:color w:val="000000" w:themeColor="text1"/>
          <w:sz w:val="20"/>
          <w:szCs w:val="20"/>
          <w:lang w:val="es-ES"/>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w:t>
      </w:r>
      <w:r w:rsidRPr="00BD787A">
        <w:rPr>
          <w:rFonts w:ascii="Verdana" w:eastAsia="Calibri" w:hAnsi="Verdana" w:cs="Arial"/>
          <w:color w:val="000000" w:themeColor="text1"/>
          <w:sz w:val="20"/>
          <w:szCs w:val="20"/>
          <w:lang w:val="es-ES"/>
        </w:rPr>
        <w:lastRenderedPageBreak/>
        <w:t>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00BD787A">
        <w:rPr>
          <w:rFonts w:ascii="Verdana" w:eastAsia="Calibri" w:hAnsi="Verdana" w:cs="Arial"/>
          <w:i/>
          <w:color w:val="000000" w:themeColor="text1"/>
          <w:sz w:val="20"/>
          <w:szCs w:val="20"/>
          <w:lang w:val="es-ES"/>
        </w:rPr>
        <w:t>”</w:t>
      </w:r>
      <w:r w:rsidRPr="00BD787A">
        <w:rPr>
          <w:rFonts w:ascii="Verdana" w:eastAsia="Calibri" w:hAnsi="Verdana" w:cs="Arial"/>
          <w:color w:val="000000" w:themeColor="text1"/>
          <w:sz w:val="20"/>
          <w:szCs w:val="20"/>
          <w:lang w:val="es-ES"/>
        </w:rPr>
        <w:t>.</w:t>
      </w:r>
    </w:p>
    <w:p w14:paraId="4825BB0D" w14:textId="77777777" w:rsidR="00363836" w:rsidRPr="00BD787A" w:rsidRDefault="00363836" w:rsidP="00363836">
      <w:pPr>
        <w:spacing w:after="0" w:line="276" w:lineRule="auto"/>
        <w:ind w:right="709"/>
        <w:jc w:val="both"/>
        <w:rPr>
          <w:rFonts w:ascii="Verdana" w:eastAsia="Calibri" w:hAnsi="Verdana" w:cs="Arial"/>
          <w:color w:val="000000" w:themeColor="text1"/>
          <w:lang w:val="es-ES_tradnl"/>
        </w:rPr>
      </w:pPr>
    </w:p>
    <w:p w14:paraId="6A85ACA6" w14:textId="77777777" w:rsidR="00363836" w:rsidRPr="00BD787A" w:rsidRDefault="00363836" w:rsidP="00363836">
      <w:pPr>
        <w:spacing w:after="120" w:line="276" w:lineRule="auto"/>
        <w:ind w:firstLine="708"/>
        <w:jc w:val="both"/>
        <w:rPr>
          <w:rFonts w:ascii="Verdana" w:eastAsia="Times New Roman" w:hAnsi="Verdana" w:cs="Arial"/>
          <w:lang w:val="es-ES_tradnl" w:eastAsia="es-MX"/>
        </w:rPr>
      </w:pPr>
      <w:r w:rsidRPr="00BD787A">
        <w:rPr>
          <w:rFonts w:ascii="Verdana" w:eastAsia="Times New Roman" w:hAnsi="Verdana" w:cs="Arial"/>
          <w:lang w:val="es-ES_tradnl" w:eastAsia="es-MX"/>
        </w:rPr>
        <w:t>La Agencia Nacional de Contratación Pública – Colombia Compra Eficiente ha defendido el carácter enunciativo del listado de los requisitos habilitantes contenidos en el numeral 1 del artículo 5 de la Ley 1150 de 2007, en la medida en que la mencionada disposición, al referirse a los requisitos habilitantes, no contiene una expresión como “únicamente” o “solo”, de la que pueda inferirse la taxatividad de los requisitos señalados. Esta conclusión además se apoya en una interpretación sistemática de las disposiciones que regulan la contratación estatal, en virtud de la cual es posible evidenciar que existen otras condiciones que deben cumplirse para la contratación con Entidades Estatales, de las que derivan requisitos habilitantes, como sucede, por ejemplo, con la capacidad residual a la que se refiere el artículo 6º, parágrafo 1, de la Ley 1150 de 2007</w:t>
      </w:r>
      <w:r w:rsidRPr="00BD787A">
        <w:rPr>
          <w:rFonts w:ascii="Verdana" w:eastAsia="Times New Roman" w:hAnsi="Verdana" w:cs="Arial"/>
          <w:vertAlign w:val="superscript"/>
          <w:lang w:val="es-ES_tradnl" w:eastAsia="es-MX"/>
        </w:rPr>
        <w:footnoteReference w:id="14"/>
      </w:r>
      <w:r w:rsidRPr="00BD787A">
        <w:rPr>
          <w:rFonts w:ascii="Verdana" w:eastAsia="Times New Roman" w:hAnsi="Verdana" w:cs="Arial"/>
          <w:lang w:val="es-ES_tradnl" w:eastAsia="es-MX"/>
        </w:rPr>
        <w:t>.</w:t>
      </w:r>
    </w:p>
    <w:p w14:paraId="253D4EB9" w14:textId="77777777" w:rsidR="00363836" w:rsidRDefault="00363836" w:rsidP="00363836">
      <w:pPr>
        <w:spacing w:after="120" w:line="276" w:lineRule="auto"/>
        <w:ind w:firstLine="708"/>
        <w:jc w:val="both"/>
        <w:rPr>
          <w:rFonts w:ascii="Verdana" w:hAnsi="Verdana" w:cs="Arial"/>
          <w:bCs/>
          <w:lang w:eastAsia="es-ES" w:bidi="es-ES"/>
        </w:rPr>
      </w:pPr>
      <w:r w:rsidRPr="00BD787A">
        <w:rPr>
          <w:rFonts w:ascii="Verdana" w:eastAsia="Times New Roman" w:hAnsi="Verdana" w:cs="Arial"/>
          <w:lang w:val="es-ES_tradnl" w:eastAsia="es-MX"/>
        </w:rPr>
        <w:t xml:space="preserve">Ahora bien, </w:t>
      </w:r>
      <w:r>
        <w:rPr>
          <w:rFonts w:ascii="Verdana" w:eastAsia="Times New Roman" w:hAnsi="Verdana" w:cs="Arial"/>
          <w:bCs/>
          <w:lang w:eastAsia="es-MX"/>
        </w:rPr>
        <w:t>para resolver</w:t>
      </w:r>
      <w:r w:rsidRPr="00E07B2B">
        <w:rPr>
          <w:rFonts w:ascii="Verdana" w:eastAsia="Times New Roman" w:hAnsi="Verdana" w:cs="Arial"/>
          <w:bCs/>
          <w:lang w:eastAsia="es-MX"/>
        </w:rPr>
        <w:t xml:space="preserve"> el problema jur</w:t>
      </w:r>
      <w:r>
        <w:rPr>
          <w:rFonts w:ascii="Verdana" w:eastAsia="Times New Roman" w:hAnsi="Verdana" w:cs="Arial"/>
          <w:bCs/>
          <w:lang w:eastAsia="es-MX"/>
        </w:rPr>
        <w:t xml:space="preserve">ídico que nos incumbe, en torno a la exigencia como requisito habilitante la “certificación del fabricante” para la adquisición de bienes y servicios de características técnicas uniformes y de común utilización, hay que </w:t>
      </w:r>
      <w:r w:rsidRPr="00BD787A">
        <w:rPr>
          <w:rFonts w:ascii="Verdana" w:eastAsia="Times New Roman" w:hAnsi="Verdana" w:cs="Arial"/>
          <w:lang w:val="es-ES_tradnl" w:eastAsia="es-MX"/>
        </w:rPr>
        <w:t>determinar cuáles son los requisitos habilitantes que deben exigir dentro de los proceso</w:t>
      </w:r>
      <w:r>
        <w:rPr>
          <w:rFonts w:ascii="Verdana" w:eastAsia="Times New Roman" w:hAnsi="Verdana" w:cs="Arial"/>
          <w:lang w:val="es-ES_tradnl" w:eastAsia="es-MX"/>
        </w:rPr>
        <w:t>s de contratación, siendo</w:t>
      </w:r>
      <w:r w:rsidRPr="00BD787A">
        <w:rPr>
          <w:rFonts w:ascii="Verdana" w:eastAsia="Times New Roman" w:hAnsi="Verdana" w:cs="Arial"/>
          <w:lang w:val="es-ES_tradnl" w:eastAsia="es-MX"/>
        </w:rPr>
        <w:t xml:space="preserve"> necesario tener en cuenta </w:t>
      </w:r>
      <w:r w:rsidRPr="00BD787A">
        <w:rPr>
          <w:rFonts w:ascii="Verdana" w:hAnsi="Verdana" w:cs="Arial"/>
          <w:bCs/>
          <w:lang w:val="es-MX" w:eastAsia="es-ES" w:bidi="es-ES"/>
        </w:rPr>
        <w:t xml:space="preserve">el </w:t>
      </w:r>
      <w:r w:rsidRPr="00BD787A">
        <w:rPr>
          <w:rFonts w:ascii="Verdana" w:hAnsi="Verdana" w:cs="Arial"/>
          <w:bCs/>
          <w:i/>
          <w:iCs/>
          <w:lang w:val="es-MX" w:eastAsia="es-ES" w:bidi="es-ES"/>
        </w:rPr>
        <w:t>Manual para determinar y verificar los requisitos habilitantes en los procesos de contratación</w:t>
      </w:r>
      <w:r w:rsidRPr="00BD787A">
        <w:rPr>
          <w:rFonts w:ascii="Verdana" w:hAnsi="Verdana" w:cs="Arial"/>
          <w:bCs/>
          <w:iCs/>
          <w:lang w:val="es-MX" w:eastAsia="es-ES" w:bidi="es-ES"/>
        </w:rPr>
        <w:t xml:space="preserve"> expedido por la Agencia, en la que se precisa</w:t>
      </w:r>
      <w:r w:rsidRPr="00BD787A">
        <w:rPr>
          <w:rFonts w:ascii="Verdana" w:hAnsi="Verdana" w:cs="Arial"/>
          <w:bCs/>
          <w:lang w:val="es-MX" w:eastAsia="es-ES" w:bidi="es-ES"/>
        </w:rPr>
        <w:t xml:space="preserve">: “[…] </w:t>
      </w:r>
      <w:r w:rsidRPr="00BD787A">
        <w:rPr>
          <w:rFonts w:ascii="Verdana" w:hAnsi="Verdana" w:cs="Arial"/>
          <w:bCs/>
          <w:lang w:eastAsia="es-ES" w:bidi="es-ES"/>
        </w:rPr>
        <w:t>la Entidad Estatal debe tener como parámetros: (i) el Riesgo del Proceso de Contratación; (</w:t>
      </w:r>
      <w:proofErr w:type="spellStart"/>
      <w:r w:rsidRPr="00BD787A">
        <w:rPr>
          <w:rFonts w:ascii="Verdana" w:hAnsi="Verdana" w:cs="Arial"/>
          <w:bCs/>
          <w:lang w:eastAsia="es-ES" w:bidi="es-ES"/>
        </w:rPr>
        <w:t>ii</w:t>
      </w:r>
      <w:proofErr w:type="spellEnd"/>
      <w:r w:rsidRPr="00BD787A">
        <w:rPr>
          <w:rFonts w:ascii="Verdana" w:hAnsi="Verdana" w:cs="Arial"/>
          <w:bCs/>
          <w:lang w:eastAsia="es-ES" w:bidi="es-ES"/>
        </w:rPr>
        <w:t>) el valor del contrato objeto del Proceso de Contratación; (</w:t>
      </w:r>
      <w:proofErr w:type="spellStart"/>
      <w:r w:rsidRPr="00BD787A">
        <w:rPr>
          <w:rFonts w:ascii="Verdana" w:hAnsi="Verdana" w:cs="Arial"/>
          <w:bCs/>
          <w:lang w:eastAsia="es-ES" w:bidi="es-ES"/>
        </w:rPr>
        <w:t>iii</w:t>
      </w:r>
      <w:proofErr w:type="spellEnd"/>
      <w:r w:rsidRPr="00BD787A">
        <w:rPr>
          <w:rFonts w:ascii="Verdana" w:hAnsi="Verdana" w:cs="Arial"/>
          <w:bCs/>
          <w:lang w:eastAsia="es-ES" w:bidi="es-ES"/>
        </w:rPr>
        <w:t>) el análisis del sector económico respectivo; y (</w:t>
      </w:r>
      <w:proofErr w:type="spellStart"/>
      <w:r w:rsidRPr="00BD787A">
        <w:rPr>
          <w:rFonts w:ascii="Verdana" w:hAnsi="Verdana" w:cs="Arial"/>
          <w:bCs/>
          <w:lang w:eastAsia="es-ES" w:bidi="es-ES"/>
        </w:rPr>
        <w:t>iv</w:t>
      </w:r>
      <w:proofErr w:type="spellEnd"/>
      <w:r w:rsidRPr="00BD787A">
        <w:rPr>
          <w:rFonts w:ascii="Verdana" w:hAnsi="Verdana" w:cs="Arial"/>
          <w:bCs/>
          <w:lang w:eastAsia="es-ES" w:bidi="es-ES"/>
        </w:rPr>
        <w:t>) el conocimiento de fondo de los posibles oferentes desde la perspectiva comercial”</w:t>
      </w:r>
      <w:r w:rsidRPr="00BD787A">
        <w:rPr>
          <w:rFonts w:ascii="Verdana" w:hAnsi="Verdana" w:cs="Arial"/>
          <w:bCs/>
          <w:vertAlign w:val="superscript"/>
          <w:lang w:eastAsia="es-ES" w:bidi="es-ES"/>
        </w:rPr>
        <w:footnoteReference w:id="15"/>
      </w:r>
      <w:r w:rsidRPr="00BD787A">
        <w:rPr>
          <w:rFonts w:ascii="Verdana" w:hAnsi="Verdana" w:cs="Arial"/>
          <w:bCs/>
          <w:lang w:eastAsia="es-ES" w:bidi="es-ES"/>
        </w:rPr>
        <w:t xml:space="preserve">. Además, la Agencia expresa: “Entidades Estatales deben fijar los requisitos habilitantes que se incluirán en los pliegos de condiciones o documentos equivalentes durante la etapa de planeación del contrato estatal, después de haber adelantado el análisis del sector relativo al objeto del Proceso de Contratación, de tal manera que la </w:t>
      </w:r>
      <w:r w:rsidRPr="00BD787A">
        <w:rPr>
          <w:rFonts w:ascii="Verdana" w:hAnsi="Verdana" w:cs="Arial"/>
          <w:bCs/>
          <w:lang w:eastAsia="es-ES" w:bidi="es-ES"/>
        </w:rPr>
        <w:lastRenderedPageBreak/>
        <w:t>determinación de las condiciones habilitantes se realice a partir del conocimiento de fondo de los posibles oferentes desde el punto de vista comercial y el análisis de Riesgo”</w:t>
      </w:r>
      <w:r w:rsidRPr="00BD787A">
        <w:rPr>
          <w:rFonts w:ascii="Verdana" w:hAnsi="Verdana" w:cs="Arial"/>
          <w:bCs/>
          <w:vertAlign w:val="superscript"/>
          <w:lang w:eastAsia="es-ES" w:bidi="es-ES"/>
        </w:rPr>
        <w:footnoteReference w:id="16"/>
      </w:r>
      <w:r w:rsidRPr="00BD787A">
        <w:rPr>
          <w:rFonts w:ascii="Verdana" w:hAnsi="Verdana" w:cs="Arial"/>
          <w:bCs/>
          <w:lang w:eastAsia="es-ES" w:bidi="es-ES"/>
        </w:rPr>
        <w:t xml:space="preserve">. </w:t>
      </w:r>
    </w:p>
    <w:p w14:paraId="3C01D0B2" w14:textId="77777777" w:rsidR="00363836" w:rsidRDefault="00363836" w:rsidP="00363836">
      <w:pPr>
        <w:spacing w:after="120" w:line="276" w:lineRule="auto"/>
        <w:ind w:firstLine="708"/>
        <w:jc w:val="both"/>
        <w:rPr>
          <w:rFonts w:ascii="Verdana" w:hAnsi="Verdana" w:cs="Arial"/>
          <w:bCs/>
          <w:lang w:eastAsia="es-ES" w:bidi="es-ES"/>
        </w:rPr>
      </w:pPr>
      <w:r>
        <w:rPr>
          <w:rFonts w:ascii="Verdana" w:hAnsi="Verdana" w:cs="Arial"/>
          <w:bCs/>
          <w:lang w:eastAsia="es-ES" w:bidi="es-ES"/>
        </w:rPr>
        <w:t>En efecto, las Entidades Estatales deben establecer</w:t>
      </w:r>
      <w:r w:rsidRPr="00BD787A">
        <w:rPr>
          <w:rFonts w:ascii="Verdana" w:hAnsi="Verdana" w:cs="Arial"/>
          <w:bCs/>
          <w:lang w:eastAsia="es-ES" w:bidi="es-ES"/>
        </w:rPr>
        <w:t xml:space="preserve"> los requisitos habilitantes de forma adecuada y proporcional a la naturaleza y valor del contrato</w:t>
      </w:r>
      <w:r>
        <w:rPr>
          <w:rFonts w:ascii="Verdana" w:hAnsi="Verdana" w:cs="Arial"/>
          <w:bCs/>
          <w:lang w:eastAsia="es-ES" w:bidi="es-ES"/>
        </w:rPr>
        <w:t>, esto es, las condiciones exigidas correspondan a una relación directa con el objeto del contrato, de tal manera, que su acreditación sea congruente para evidenciar que el proponente es idóneo para ejecutar el contrato</w:t>
      </w:r>
      <w:r w:rsidRPr="00BD787A">
        <w:rPr>
          <w:rFonts w:ascii="Verdana" w:hAnsi="Verdana" w:cs="Arial"/>
          <w:bCs/>
          <w:lang w:eastAsia="es-ES" w:bidi="es-ES"/>
        </w:rPr>
        <w:t>.</w:t>
      </w:r>
      <w:r>
        <w:rPr>
          <w:rFonts w:ascii="Verdana" w:hAnsi="Verdana" w:cs="Arial"/>
          <w:bCs/>
          <w:lang w:eastAsia="es-ES" w:bidi="es-ES"/>
        </w:rPr>
        <w:t xml:space="preserve"> Para ello, la Agencia expresa: “</w:t>
      </w:r>
      <w:r>
        <w:rPr>
          <w:rFonts w:ascii="Verdana" w:eastAsia="Times New Roman" w:hAnsi="Verdana" w:cs="Arial"/>
          <w:bCs/>
          <w:lang w:eastAsia="es-MX"/>
        </w:rPr>
        <w:t xml:space="preserve">[…] </w:t>
      </w:r>
      <w:r w:rsidRPr="00BD787A">
        <w:rPr>
          <w:rFonts w:ascii="Verdana" w:hAnsi="Verdana" w:cs="Arial"/>
          <w:bCs/>
          <w:lang w:eastAsia="es-ES" w:bidi="es-ES"/>
        </w:rPr>
        <w:t>los requisitos que se establezcan deben ser proporcionales a las condiciones del contrato, de tal manera que los mismos no establezcan condiciones más allá de las necesarias para verificar la idoneidad requerida de los proponentes respecto del objeto ofertado, ya que lo contrario limita la libre concurrencia</w:t>
      </w:r>
      <w:r>
        <w:rPr>
          <w:rFonts w:ascii="Verdana" w:hAnsi="Verdana" w:cs="Arial"/>
          <w:bCs/>
          <w:lang w:eastAsia="es-ES" w:bidi="es-ES"/>
        </w:rPr>
        <w:t>”</w:t>
      </w:r>
      <w:r>
        <w:rPr>
          <w:rStyle w:val="Refdenotaalpie"/>
          <w:rFonts w:ascii="Verdana" w:hAnsi="Verdana" w:cs="Arial"/>
          <w:bCs/>
          <w:lang w:eastAsia="es-ES" w:bidi="es-ES"/>
        </w:rPr>
        <w:footnoteReference w:id="17"/>
      </w:r>
      <w:r w:rsidRPr="00BD787A">
        <w:rPr>
          <w:rFonts w:ascii="Verdana" w:hAnsi="Verdana" w:cs="Arial"/>
          <w:bCs/>
          <w:lang w:eastAsia="es-ES" w:bidi="es-ES"/>
        </w:rPr>
        <w:t xml:space="preserve">. </w:t>
      </w:r>
    </w:p>
    <w:p w14:paraId="2CB00D10" w14:textId="77777777" w:rsidR="00363836" w:rsidRPr="009859FE" w:rsidRDefault="00363836" w:rsidP="00363836">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En este escenario</w:t>
      </w:r>
      <w:r w:rsidRPr="009859FE">
        <w:rPr>
          <w:rFonts w:ascii="Verdana" w:eastAsia="Calibri" w:hAnsi="Verdana" w:cs="Arial"/>
          <w:color w:val="000000" w:themeColor="text1"/>
        </w:rPr>
        <w:t xml:space="preserve">, el principio de autonomía de la voluntad,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w:t>
      </w:r>
    </w:p>
    <w:p w14:paraId="78F1F4D4" w14:textId="77777777" w:rsidR="00363836" w:rsidRPr="009859FE" w:rsidRDefault="00363836" w:rsidP="00363836">
      <w:pPr>
        <w:widowControl w:val="0"/>
        <w:autoSpaceDE w:val="0"/>
        <w:autoSpaceDN w:val="0"/>
        <w:spacing w:after="120" w:line="276" w:lineRule="auto"/>
        <w:ind w:firstLine="709"/>
        <w:jc w:val="both"/>
        <w:rPr>
          <w:rFonts w:ascii="Verdana" w:eastAsia="Calibri" w:hAnsi="Verdana" w:cs="Arial"/>
          <w:color w:val="000000" w:themeColor="text1"/>
        </w:rPr>
      </w:pPr>
      <w:r w:rsidRPr="009859FE">
        <w:rPr>
          <w:rFonts w:ascii="Verdana" w:eastAsia="Calibri" w:hAnsi="Verdana" w:cs="Arial"/>
          <w:color w:val="000000" w:themeColor="text1"/>
        </w:rPr>
        <w:t>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754A56EF" w14:textId="77777777" w:rsidR="00363836" w:rsidRPr="0097354A" w:rsidRDefault="00363836" w:rsidP="00363836">
      <w:pPr>
        <w:widowControl w:val="0"/>
        <w:autoSpaceDE w:val="0"/>
        <w:autoSpaceDN w:val="0"/>
        <w:spacing w:after="120" w:line="276" w:lineRule="auto"/>
        <w:ind w:firstLine="709"/>
        <w:jc w:val="both"/>
        <w:rPr>
          <w:rFonts w:ascii="Verdana" w:eastAsia="Calibri" w:hAnsi="Verdana" w:cs="Arial"/>
          <w:color w:val="000000" w:themeColor="text1"/>
        </w:rPr>
      </w:pPr>
      <w:r w:rsidRPr="009859FE">
        <w:rPr>
          <w:rFonts w:ascii="Verdana" w:eastAsia="Calibri" w:hAnsi="Verdana" w:cs="Arial"/>
          <w:color w:val="000000" w:themeColor="text1"/>
        </w:rPr>
        <w:t xml:space="preserve">Considerando la discrecionalidad para establecer requisitos habilitantes, es necesario tener en cuenta que el artículo 44 de la Ley 1437 de 2011 –aplicable </w:t>
      </w:r>
      <w:r w:rsidRPr="009859FE">
        <w:rPr>
          <w:rFonts w:ascii="Verdana" w:eastAsia="Calibri" w:hAnsi="Verdana" w:cs="Arial"/>
          <w:color w:val="000000" w:themeColor="text1"/>
        </w:rPr>
        <w:lastRenderedPageBreak/>
        <w:t>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w:t>
      </w:r>
      <w:r>
        <w:rPr>
          <w:rFonts w:ascii="Verdana" w:eastAsia="Calibri" w:hAnsi="Verdana" w:cs="Arial"/>
          <w:color w:val="000000" w:themeColor="text1"/>
        </w:rPr>
        <w:t xml:space="preserve"> En tal sentido, al</w:t>
      </w:r>
      <w:r>
        <w:rPr>
          <w:rFonts w:ascii="Verdana" w:hAnsi="Verdana" w:cs="Arial"/>
          <w:bCs/>
          <w:lang w:eastAsia="es-ES" w:bidi="es-ES"/>
        </w:rPr>
        <w:t xml:space="preserve"> momento de establecer un requisito habilitante en los pliegos de condiciones, como es la certificación del fabricante para la adquisición de bienes y servicios de características técnicas uniformes y de común utilización, debe cuestionarse la entidad si con ello se está garantizando la idoneidad de los posibles oferentes, la calidad del bien o servicio, sumado al objetivo de promover la competencia en el sistema de compras y contratación pública. </w:t>
      </w:r>
    </w:p>
    <w:p w14:paraId="3FF5FAA5" w14:textId="77777777" w:rsidR="00363836" w:rsidRPr="0097354A" w:rsidRDefault="00363836" w:rsidP="00363836">
      <w:pPr>
        <w:spacing w:after="120" w:line="276" w:lineRule="auto"/>
        <w:ind w:firstLine="708"/>
        <w:jc w:val="both"/>
        <w:rPr>
          <w:rFonts w:ascii="Verdana" w:hAnsi="Verdana" w:cs="Arial"/>
          <w:bCs/>
          <w:lang w:eastAsia="es-ES" w:bidi="es-ES"/>
        </w:rPr>
      </w:pPr>
      <w:r>
        <w:rPr>
          <w:rFonts w:ascii="Verdana" w:hAnsi="Verdana" w:cs="Arial"/>
          <w:bCs/>
          <w:lang w:eastAsia="es-ES" w:bidi="es-ES"/>
        </w:rPr>
        <w:t>Para determinar la procedencia de exigir la certificación del fabricante como requisito habilitante dentro del pliego de condiciones, en la invitación pública o en el documento equivalente, es necesario precisar si con ello, la entidad busca verificar la autenticidad, calidad y certeza de los bienes y servicios que se ofertan, sin que implique una afectación de la libre competencia y la selección objetiva. Es decir, una exigencia de este tipo procede en aquellos bienes y servicios que requieran cumplimiento de estándares técnicos prede</w:t>
      </w:r>
      <w:r w:rsidRPr="0097354A">
        <w:rPr>
          <w:rFonts w:ascii="Verdana" w:hAnsi="Verdana" w:cs="Arial"/>
          <w:bCs/>
          <w:lang w:eastAsia="es-ES" w:bidi="es-ES"/>
        </w:rPr>
        <w:t xml:space="preserve">finidos, idoneidad de los bienes y servicios, garantías específicas de calidad, garantías suplementarias, entre otros aspectos, que sean de utilidad para un cumplimiento efectivo del contrato. </w:t>
      </w:r>
    </w:p>
    <w:p w14:paraId="5A9D7477" w14:textId="77777777" w:rsidR="00363836" w:rsidRDefault="00363836" w:rsidP="00363836">
      <w:pPr>
        <w:spacing w:after="120" w:line="276" w:lineRule="auto"/>
        <w:ind w:firstLine="708"/>
        <w:jc w:val="both"/>
        <w:rPr>
          <w:rFonts w:ascii="Verdana" w:hAnsi="Verdana" w:cs="Arial"/>
          <w:bCs/>
          <w:lang w:eastAsia="es-ES" w:bidi="es-ES"/>
        </w:rPr>
      </w:pPr>
      <w:r w:rsidRPr="0097354A">
        <w:rPr>
          <w:rFonts w:ascii="Verdana" w:hAnsi="Verdana" w:cs="Arial"/>
          <w:bCs/>
          <w:lang w:eastAsia="es-ES" w:bidi="es-ES"/>
        </w:rPr>
        <w:t xml:space="preserve">Para ello, la certificación del fabricante se constituye en un documento que determina si una empresa está oficialmente autorizada por un fabricante o proveedor para distribuir sus bienes o servicios. Dicho certificado permite validar la relación comercial con el productor o fabricante, y le otorga a su vez, ciertos derechos y responsabilidades. </w:t>
      </w:r>
      <w:r>
        <w:rPr>
          <w:rFonts w:ascii="Verdana" w:hAnsi="Verdana" w:cs="Arial"/>
          <w:bCs/>
          <w:lang w:eastAsia="es-ES" w:bidi="es-ES"/>
        </w:rPr>
        <w:t>A modo de ilustración, el inciso primero del artículo 23 de la Ley 1480 de 2011 “Por medio del cual se expide el Estatuto del Consumidor y se dictan otras disposiciones”, cuyo tenor literal prescribe: “</w:t>
      </w:r>
      <w:r>
        <w:rPr>
          <w:rFonts w:ascii="Verdana" w:hAnsi="Verdana" w:cs="Arial"/>
          <w:bCs/>
          <w:i/>
          <w:iCs/>
          <w:lang w:eastAsia="es-ES" w:bidi="es-ES"/>
        </w:rPr>
        <w:t>[…] L</w:t>
      </w:r>
      <w:r w:rsidRPr="00A11C8E">
        <w:rPr>
          <w:rFonts w:ascii="Verdana" w:hAnsi="Verdana" w:cs="Arial"/>
          <w:bCs/>
          <w:lang w:eastAsia="es-ES" w:bidi="es-ES"/>
        </w:rPr>
        <w:t>os proveedores y productores deberán suministrar a los consumidores información, clara, veraz, suficiente, oportuna, verificable, comprensible, precisa e idónea sobre los productos que ofrezcan y, sin perjuicio de lo señalado para los productos defectuosos, serán responsables de todo daño que sea consecuencia de la inadecuada o insuficiente información. En todos los casos la información mínima debe estar en castellano</w:t>
      </w:r>
      <w:r>
        <w:rPr>
          <w:rFonts w:ascii="Verdana" w:hAnsi="Verdana" w:cs="Arial"/>
          <w:bCs/>
          <w:lang w:eastAsia="es-ES" w:bidi="es-ES"/>
        </w:rPr>
        <w:t>”.</w:t>
      </w:r>
    </w:p>
    <w:p w14:paraId="6589E1FA" w14:textId="77777777" w:rsidR="00363836" w:rsidRDefault="00363836" w:rsidP="00363836">
      <w:pPr>
        <w:spacing w:after="120" w:line="276" w:lineRule="auto"/>
        <w:ind w:firstLine="708"/>
        <w:jc w:val="both"/>
        <w:rPr>
          <w:rFonts w:ascii="Verdana" w:hAnsi="Verdana" w:cs="Arial"/>
          <w:bCs/>
          <w:lang w:eastAsia="es-ES" w:bidi="es-ES"/>
        </w:rPr>
      </w:pPr>
      <w:r>
        <w:rPr>
          <w:rFonts w:ascii="Verdana" w:hAnsi="Verdana" w:cs="Arial"/>
          <w:bCs/>
          <w:lang w:eastAsia="es-ES" w:bidi="es-ES"/>
        </w:rPr>
        <w:lastRenderedPageBreak/>
        <w:t xml:space="preserve">La exigencia de un cumplimiento de condiciones técnicas del bien o servicio de características técnicas uniformes y de común utilización que requiera la entidad, no es desproporcionada cuando se exige la “certificación del fabricante”, en aquellos supuestos que se busca: en primer lugar, la garantía de calidad y origen del producto, esto es, </w:t>
      </w:r>
      <w:r w:rsidRPr="00F9741E">
        <w:rPr>
          <w:rFonts w:ascii="Verdana" w:hAnsi="Verdana" w:cs="Arial"/>
          <w:bCs/>
          <w:lang w:eastAsia="es-ES" w:bidi="es-ES"/>
        </w:rPr>
        <w:t>calidad, idoneidad, seguridad y el buen estado y f</w:t>
      </w:r>
      <w:r>
        <w:rPr>
          <w:rFonts w:ascii="Verdana" w:hAnsi="Verdana" w:cs="Arial"/>
          <w:bCs/>
          <w:lang w:eastAsia="es-ES" w:bidi="es-ES"/>
        </w:rPr>
        <w:t>uncionamiento de los productos, como lo contempla el artículo 7 del Estatuto del Consumidor</w:t>
      </w:r>
      <w:r>
        <w:rPr>
          <w:rStyle w:val="Refdenotaalpie"/>
          <w:rFonts w:ascii="Verdana" w:hAnsi="Verdana" w:cs="Arial"/>
          <w:bCs/>
          <w:lang w:eastAsia="es-ES" w:bidi="es-ES"/>
        </w:rPr>
        <w:footnoteReference w:id="18"/>
      </w:r>
      <w:r>
        <w:rPr>
          <w:rFonts w:ascii="Verdana" w:hAnsi="Verdana" w:cs="Arial"/>
          <w:bCs/>
          <w:lang w:eastAsia="es-ES" w:bidi="es-ES"/>
        </w:rPr>
        <w:t xml:space="preserve">; en segundo lugar, el cumplimiento de requisitos y condiciones técnicas y de funcionamiento, que por lo general, lo brinda el productor o fabricante; en tercer lugar, una verificación de que el bien o servicio a adquirir fue obtenido de forma legal; en cuarto lugar, la exigencia de garantía por bienes o productos defectuosos, que se define como: “[…] </w:t>
      </w:r>
      <w:r w:rsidRPr="001644FC">
        <w:rPr>
          <w:rFonts w:ascii="Verdana" w:hAnsi="Verdana" w:cs="Arial"/>
          <w:bCs/>
          <w:lang w:eastAsia="es-ES" w:bidi="es-ES"/>
        </w:rPr>
        <w:t>aquel bien mueble o inmueble que en razón de un error el diseño, fabricación, construcción, embalaje o información, no ofrezca la razonable seguridad a la que toda persona tiene derecho</w:t>
      </w:r>
      <w:r>
        <w:rPr>
          <w:rFonts w:ascii="Verdana" w:hAnsi="Verdana" w:cs="Arial"/>
          <w:bCs/>
          <w:lang w:eastAsia="es-ES" w:bidi="es-ES"/>
        </w:rPr>
        <w:t xml:space="preserve">” –artículo 5, numeral 17 del Estatuto del Consumidor-. Esto, sin dejar de lado la posible exigencia de garantías suplementarias y otras condiciones necesarias para el cumplimiento del objeto y los fines del contrato. </w:t>
      </w:r>
    </w:p>
    <w:p w14:paraId="75AF3179" w14:textId="77777777" w:rsidR="00363836" w:rsidRPr="0097354A" w:rsidRDefault="00363836" w:rsidP="00363836">
      <w:pPr>
        <w:spacing w:after="120" w:line="276" w:lineRule="auto"/>
        <w:ind w:firstLine="708"/>
        <w:jc w:val="both"/>
        <w:rPr>
          <w:rFonts w:ascii="Verdana" w:hAnsi="Verdana" w:cs="Arial"/>
          <w:bCs/>
          <w:lang w:eastAsia="es-ES" w:bidi="es-ES"/>
        </w:rPr>
      </w:pPr>
      <w:r>
        <w:rPr>
          <w:rFonts w:ascii="Verdana" w:hAnsi="Verdana" w:cs="Arial"/>
          <w:bCs/>
          <w:lang w:eastAsia="es-ES" w:bidi="es-ES"/>
        </w:rPr>
        <w:t xml:space="preserve">Ahora bien, la “certificación del fabricante” para determinar la calidad de proveedor autorizado no implica que, en cada proceso de proceso de contratación estatal que participe deba expedirse un certificado dirigido a la entidad contratante. Por el contrario, esa certificación de fabricante debe ser un documento que permita constatar el vínculo comercial, el término de duración y las demás condiciones de autorización. Por tanto, exigir más documentos de lo requerido no cumple con lo dispuesto con el artículo 5° del Decreto Ley 019 de 2012 </w:t>
      </w:r>
      <w:r w:rsidRPr="00753E31">
        <w:rPr>
          <w:rFonts w:ascii="Verdana" w:hAnsi="Verdana" w:cs="Arial"/>
          <w:bCs/>
          <w:lang w:eastAsia="es-ES" w:bidi="es-ES"/>
        </w:rPr>
        <w:t>“</w:t>
      </w:r>
      <w:r w:rsidRPr="0002779F">
        <w:rPr>
          <w:rFonts w:ascii="Verdana" w:hAnsi="Verdana" w:cs="Arial"/>
          <w:lang w:eastAsia="es-ES" w:bidi="es-ES"/>
        </w:rPr>
        <w:t>por el cual se dictan normas para suprimir o reformar regulaciones, procedimientos y trámites innecesarios existentes en la Administración Pública”</w:t>
      </w:r>
      <w:r w:rsidRPr="00753E31">
        <w:rPr>
          <w:rFonts w:ascii="Verdana" w:hAnsi="Verdana" w:cs="Arial"/>
          <w:bCs/>
          <w:lang w:eastAsia="es-ES" w:bidi="es-ES"/>
        </w:rPr>
        <w:t>,</w:t>
      </w:r>
      <w:r>
        <w:rPr>
          <w:rFonts w:ascii="Verdana" w:hAnsi="Verdana" w:cs="Arial"/>
          <w:bCs/>
          <w:lang w:eastAsia="es-ES" w:bidi="es-ES"/>
        </w:rPr>
        <w:t xml:space="preserve"> que dispone en uno de sus apartes: “[…] </w:t>
      </w:r>
      <w:r w:rsidRPr="00753E31">
        <w:rPr>
          <w:rFonts w:ascii="Verdana" w:hAnsi="Verdana" w:cs="Arial"/>
          <w:bCs/>
          <w:lang w:eastAsia="es-ES" w:bidi="es-ES"/>
        </w:rPr>
        <w:t>los procedimientos se deben adelantar en el menor tiempo y con la menor cantidad de gastos de quienes intervienen en ellos; las autoridades administrativas y los particulares que cumplen funciones administrativas no deben exigir más documentos y copias que</w:t>
      </w:r>
      <w:r>
        <w:rPr>
          <w:rFonts w:ascii="Verdana" w:hAnsi="Verdana" w:cs="Arial"/>
          <w:bCs/>
          <w:lang w:eastAsia="es-ES" w:bidi="es-ES"/>
        </w:rPr>
        <w:t xml:space="preserve"> los estrictamente necesarios […]”. </w:t>
      </w:r>
    </w:p>
    <w:p w14:paraId="5D09E03F" w14:textId="77777777" w:rsidR="00363836" w:rsidRDefault="00363836" w:rsidP="00363836">
      <w:pPr>
        <w:spacing w:after="120" w:line="276" w:lineRule="auto"/>
        <w:ind w:firstLine="708"/>
        <w:jc w:val="both"/>
        <w:rPr>
          <w:rFonts w:ascii="Verdana" w:hAnsi="Verdana" w:cs="Arial"/>
          <w:bCs/>
          <w:lang w:val="es-MX" w:eastAsia="es-ES" w:bidi="es-ES"/>
        </w:rPr>
      </w:pPr>
      <w:r w:rsidRPr="0097354A">
        <w:rPr>
          <w:rFonts w:ascii="Verdana" w:hAnsi="Verdana" w:cs="Arial"/>
          <w:bCs/>
          <w:lang w:eastAsia="es-ES" w:bidi="es-ES"/>
        </w:rPr>
        <w:lastRenderedPageBreak/>
        <w:t xml:space="preserve">No obstante, la institución de “proveedor autorizado” no es asimilable a la calidad </w:t>
      </w:r>
      <w:r w:rsidRPr="0097354A">
        <w:rPr>
          <w:rFonts w:ascii="Verdana" w:hAnsi="Verdana" w:cs="Arial"/>
          <w:bCs/>
          <w:lang w:val="es-MX" w:eastAsia="es-ES" w:bidi="es-ES"/>
        </w:rPr>
        <w:t xml:space="preserve">de proveedor exclusivo, puesto que se trata de dos conceptos diferentes que tienen un impacto en la modalidad de selección del contratista que se escoja. </w:t>
      </w:r>
      <w:r w:rsidRPr="0097354A">
        <w:rPr>
          <w:rFonts w:ascii="Verdana" w:hAnsi="Verdana" w:cs="Arial"/>
          <w:bCs/>
          <w:lang w:eastAsia="es-ES" w:bidi="es-ES"/>
        </w:rPr>
        <w:t>De acuerdo con el Diccionario de la Real Academia Española, el término exclusivo significa</w:t>
      </w:r>
      <w:r w:rsidRPr="0097354A">
        <w:rPr>
          <w:rFonts w:ascii="Verdana" w:hAnsi="Verdana" w:cs="Arial"/>
          <w:bCs/>
          <w:lang w:val="es-ES_tradnl" w:eastAsia="es-ES" w:bidi="es-ES"/>
        </w:rPr>
        <w:t xml:space="preserve">: “[…] 2. </w:t>
      </w:r>
      <w:r w:rsidRPr="0097354A">
        <w:rPr>
          <w:rFonts w:ascii="Verdana" w:eastAsia="Times New Roman" w:hAnsi="Verdana" w:cs="Arial"/>
          <w:color w:val="000000"/>
        </w:rPr>
        <w:t>adj.</w:t>
      </w:r>
      <w:r>
        <w:rPr>
          <w:rFonts w:ascii="Verdana" w:eastAsia="Times New Roman" w:hAnsi="Verdana" w:cs="Arial"/>
          <w:color w:val="000000"/>
        </w:rPr>
        <w:t xml:space="preserve"> </w:t>
      </w:r>
      <w:r w:rsidRPr="0097354A">
        <w:rPr>
          <w:rFonts w:ascii="Verdana" w:eastAsia="Times New Roman" w:hAnsi="Verdana" w:cs="Arial"/>
          <w:color w:val="000000"/>
        </w:rPr>
        <w:t>Único, solo, excluyendo a cualquier otro.</w:t>
      </w:r>
      <w:r w:rsidRPr="0097354A">
        <w:rPr>
          <w:rFonts w:ascii="Verdana" w:hAnsi="Verdana" w:cs="Arial"/>
          <w:bCs/>
          <w:lang w:val="es-ES_tradnl" w:eastAsia="es-ES" w:bidi="es-ES"/>
        </w:rPr>
        <w:t xml:space="preserve"> […] 3. </w:t>
      </w:r>
      <w:r w:rsidRPr="0097354A">
        <w:rPr>
          <w:rFonts w:ascii="Verdana" w:eastAsia="Times New Roman" w:hAnsi="Verdana" w:cs="Arial"/>
          <w:color w:val="000000"/>
        </w:rPr>
        <w:t>f. Privilegio o derecho en virtud del cual una persona o corporación puede hacer algo prohibido a las demás</w:t>
      </w:r>
      <w:r>
        <w:rPr>
          <w:rFonts w:ascii="Verdana" w:eastAsia="Times New Roman" w:hAnsi="Verdana" w:cs="Arial"/>
          <w:color w:val="000000"/>
        </w:rPr>
        <w:t>”</w:t>
      </w:r>
      <w:r w:rsidRPr="0097354A">
        <w:rPr>
          <w:rFonts w:ascii="Verdana" w:eastAsia="Times New Roman" w:hAnsi="Verdana" w:cs="Arial"/>
          <w:color w:val="000000"/>
        </w:rPr>
        <w:t>.</w:t>
      </w:r>
      <w:r>
        <w:rPr>
          <w:rFonts w:ascii="Arial" w:eastAsia="Times New Roman" w:hAnsi="Arial" w:cs="Arial"/>
          <w:color w:val="595959"/>
          <w:sz w:val="30"/>
          <w:szCs w:val="30"/>
        </w:rPr>
        <w:t xml:space="preserve"> </w:t>
      </w:r>
      <w:r w:rsidRPr="008A721B">
        <w:rPr>
          <w:rFonts w:ascii="Verdana" w:hAnsi="Verdana" w:cs="Arial"/>
          <w:bCs/>
          <w:lang w:val="es-MX" w:eastAsia="es-ES" w:bidi="es-ES"/>
        </w:rPr>
        <w:t xml:space="preserve">Por su parte, el término </w:t>
      </w:r>
      <w:r>
        <w:rPr>
          <w:rFonts w:ascii="Verdana" w:hAnsi="Verdana" w:cs="Arial"/>
          <w:bCs/>
          <w:lang w:val="es-MX" w:eastAsia="es-ES" w:bidi="es-ES"/>
        </w:rPr>
        <w:t>“</w:t>
      </w:r>
      <w:r w:rsidRPr="008A721B">
        <w:rPr>
          <w:rFonts w:ascii="Verdana" w:hAnsi="Verdana" w:cs="Arial"/>
          <w:bCs/>
          <w:lang w:val="es-MX" w:eastAsia="es-ES" w:bidi="es-ES"/>
        </w:rPr>
        <w:t>autorizado</w:t>
      </w:r>
      <w:r>
        <w:rPr>
          <w:rFonts w:ascii="Verdana" w:hAnsi="Verdana" w:cs="Arial"/>
          <w:bCs/>
          <w:lang w:val="es-MX" w:eastAsia="es-ES" w:bidi="es-ES"/>
        </w:rPr>
        <w:t>”</w:t>
      </w:r>
      <w:r w:rsidRPr="008A721B">
        <w:rPr>
          <w:rFonts w:ascii="Verdana" w:hAnsi="Verdana" w:cs="Arial"/>
          <w:bCs/>
          <w:lang w:val="es-MX" w:eastAsia="es-ES" w:bidi="es-ES"/>
        </w:rPr>
        <w:t xml:space="preserve"> del verbo </w:t>
      </w:r>
      <w:r>
        <w:rPr>
          <w:rFonts w:ascii="Verdana" w:hAnsi="Verdana" w:cs="Arial"/>
          <w:bCs/>
          <w:lang w:val="es-MX" w:eastAsia="es-ES" w:bidi="es-ES"/>
        </w:rPr>
        <w:t xml:space="preserve">“autorizar” significa: “1. </w:t>
      </w:r>
      <w:proofErr w:type="spellStart"/>
      <w:r>
        <w:rPr>
          <w:rFonts w:ascii="Verdana" w:hAnsi="Verdana" w:cs="Arial"/>
          <w:bCs/>
          <w:lang w:val="es-MX" w:eastAsia="es-ES" w:bidi="es-ES"/>
        </w:rPr>
        <w:t>tr</w:t>
      </w:r>
      <w:proofErr w:type="spellEnd"/>
      <w:r>
        <w:rPr>
          <w:rFonts w:ascii="Verdana" w:hAnsi="Verdana" w:cs="Arial"/>
          <w:bCs/>
          <w:lang w:val="es-MX" w:eastAsia="es-ES" w:bidi="es-ES"/>
        </w:rPr>
        <w:t xml:space="preserve">. Dar o reconocer a alguien facultad o derecho para hacer algo”. </w:t>
      </w:r>
    </w:p>
    <w:p w14:paraId="5EECC34D" w14:textId="77777777" w:rsidR="00363836" w:rsidRPr="0097354A" w:rsidRDefault="00363836" w:rsidP="00363836">
      <w:pPr>
        <w:spacing w:after="120" w:line="276" w:lineRule="auto"/>
        <w:ind w:firstLine="708"/>
        <w:jc w:val="both"/>
        <w:rPr>
          <w:lang w:bidi="es-ES"/>
        </w:rPr>
      </w:pPr>
      <w:r w:rsidRPr="008A721B">
        <w:rPr>
          <w:rFonts w:ascii="Verdana" w:hAnsi="Verdana" w:cs="Arial"/>
          <w:bCs/>
          <w:lang w:val="es-MX" w:eastAsia="es-ES" w:bidi="es-ES"/>
        </w:rPr>
        <w:t xml:space="preserve">En estas definiciones puede apreciarse que </w:t>
      </w:r>
      <w:r>
        <w:rPr>
          <w:rFonts w:ascii="Verdana" w:hAnsi="Verdana" w:cs="Arial"/>
          <w:bCs/>
          <w:lang w:val="es-MX" w:eastAsia="es-ES" w:bidi="es-ES"/>
        </w:rPr>
        <w:t>“</w:t>
      </w:r>
      <w:r w:rsidRPr="008A721B">
        <w:rPr>
          <w:rFonts w:ascii="Verdana" w:hAnsi="Verdana" w:cs="Arial"/>
          <w:bCs/>
          <w:lang w:val="es-MX" w:eastAsia="es-ES" w:bidi="es-ES"/>
        </w:rPr>
        <w:t>autorizado</w:t>
      </w:r>
      <w:r>
        <w:rPr>
          <w:rFonts w:ascii="Verdana" w:hAnsi="Verdana" w:cs="Arial"/>
          <w:bCs/>
          <w:lang w:val="es-MX" w:eastAsia="es-ES" w:bidi="es-ES"/>
        </w:rPr>
        <w:t>”</w:t>
      </w:r>
      <w:r w:rsidRPr="008A721B">
        <w:rPr>
          <w:rFonts w:ascii="Verdana" w:hAnsi="Verdana" w:cs="Arial"/>
          <w:bCs/>
          <w:lang w:val="es-MX" w:eastAsia="es-ES" w:bidi="es-ES"/>
        </w:rPr>
        <w:t xml:space="preserve"> no corresponde a </w:t>
      </w:r>
      <w:r>
        <w:rPr>
          <w:rFonts w:ascii="Verdana" w:hAnsi="Verdana" w:cs="Arial"/>
          <w:bCs/>
          <w:lang w:val="es-MX" w:eastAsia="es-ES" w:bidi="es-ES"/>
        </w:rPr>
        <w:t>“</w:t>
      </w:r>
      <w:r w:rsidRPr="008A721B">
        <w:rPr>
          <w:rFonts w:ascii="Verdana" w:hAnsi="Verdana" w:cs="Arial"/>
          <w:bCs/>
          <w:lang w:val="es-MX" w:eastAsia="es-ES" w:bidi="es-ES"/>
        </w:rPr>
        <w:t>único o exclusivo</w:t>
      </w:r>
      <w:r>
        <w:rPr>
          <w:rFonts w:ascii="Verdana" w:hAnsi="Verdana" w:cs="Arial"/>
          <w:bCs/>
          <w:lang w:val="es-MX" w:eastAsia="es-ES" w:bidi="es-ES"/>
        </w:rPr>
        <w:t>”</w:t>
      </w:r>
      <w:r w:rsidRPr="008A721B">
        <w:rPr>
          <w:rFonts w:ascii="Verdana" w:hAnsi="Verdana" w:cs="Arial"/>
          <w:bCs/>
          <w:lang w:val="es-MX" w:eastAsia="es-ES" w:bidi="es-ES"/>
        </w:rPr>
        <w:t xml:space="preserve"> en la facultad o derecho otorgado, por lo que esta autorización puede ser otorgada a múltiples sujetos, mientras que</w:t>
      </w:r>
      <w:r>
        <w:rPr>
          <w:rFonts w:ascii="Verdana" w:hAnsi="Verdana" w:cs="Arial"/>
          <w:bCs/>
          <w:lang w:val="es-MX" w:eastAsia="es-ES" w:bidi="es-ES"/>
        </w:rPr>
        <w:t>,</w:t>
      </w:r>
      <w:r w:rsidRPr="008A721B">
        <w:rPr>
          <w:rFonts w:ascii="Verdana" w:hAnsi="Verdana" w:cs="Arial"/>
          <w:bCs/>
          <w:lang w:val="es-MX" w:eastAsia="es-ES" w:bidi="es-ES"/>
        </w:rPr>
        <w:t xml:space="preserve"> si es exclusivo, será el único excluyendo a cualquier otro. De acuerdo con esto, pueden presentarse situaciones donde existan varios proveedores autorizados o facultados para la comercialización de un determinado bien o servicio en el territorio nacional, lo cual sería un indicador de pluralidad de oferentes en el mercado. Así, se descartaría la causal de contratación directa establecida en el literal g) del numeral 4 del artículo 2 de la Ley 1150 de 2007, obligando a la entidad estatal a acudir a las modalidades de contratación competitivas para garantizar el principio de libre concurrencia.</w:t>
      </w:r>
      <w:r w:rsidRPr="0097354A">
        <w:rPr>
          <w:i/>
          <w:iCs/>
          <w:lang w:bidi="es-ES"/>
        </w:rPr>
        <w:t xml:space="preserve"> </w:t>
      </w:r>
    </w:p>
    <w:p w14:paraId="3C0D48D3" w14:textId="77777777" w:rsidR="00363836" w:rsidRDefault="00363836" w:rsidP="00363836">
      <w:pPr>
        <w:spacing w:after="120" w:line="276" w:lineRule="auto"/>
        <w:ind w:firstLine="708"/>
        <w:jc w:val="both"/>
        <w:rPr>
          <w:rFonts w:ascii="Verdana" w:hAnsi="Verdana" w:cs="Arial"/>
          <w:bCs/>
          <w:lang w:eastAsia="es-ES" w:bidi="es-ES"/>
        </w:rPr>
      </w:pPr>
      <w:r w:rsidRPr="0097354A">
        <w:rPr>
          <w:rFonts w:ascii="Verdana" w:hAnsi="Verdana" w:cs="Arial"/>
          <w:bCs/>
          <w:lang w:eastAsia="es-ES" w:bidi="es-ES"/>
        </w:rPr>
        <w:t xml:space="preserve">Otro aspecto de </w:t>
      </w:r>
      <w:r>
        <w:rPr>
          <w:rFonts w:ascii="Verdana" w:hAnsi="Verdana" w:cs="Arial"/>
          <w:bCs/>
          <w:lang w:eastAsia="es-ES" w:bidi="es-ES"/>
        </w:rPr>
        <w:t>relevancia</w:t>
      </w:r>
      <w:r w:rsidRPr="0097354A">
        <w:rPr>
          <w:rFonts w:ascii="Verdana" w:hAnsi="Verdana" w:cs="Arial"/>
          <w:bCs/>
          <w:lang w:eastAsia="es-ES" w:bidi="es-ES"/>
        </w:rPr>
        <w:t xml:space="preserve"> es que este tipo de requisitos no son necesarios para comparar las ofertas, puesto que las características técnicas de un bien pueden ser de iguales o superiores condiciones, sin considerar </w:t>
      </w:r>
      <w:r>
        <w:rPr>
          <w:rFonts w:ascii="Verdana" w:hAnsi="Verdana" w:cs="Arial"/>
          <w:bCs/>
          <w:lang w:eastAsia="es-ES" w:bidi="es-ES"/>
        </w:rPr>
        <w:t>en ocasiones, la</w:t>
      </w:r>
      <w:r w:rsidRPr="0097354A">
        <w:rPr>
          <w:rFonts w:ascii="Verdana" w:hAnsi="Verdana" w:cs="Arial"/>
          <w:bCs/>
          <w:lang w:eastAsia="es-ES" w:bidi="es-ES"/>
        </w:rPr>
        <w:t xml:space="preserve"> marca.</w:t>
      </w:r>
      <w:r>
        <w:rPr>
          <w:rFonts w:ascii="Verdana" w:hAnsi="Verdana" w:cs="Arial"/>
          <w:bCs/>
          <w:lang w:eastAsia="es-ES" w:bidi="es-ES"/>
        </w:rPr>
        <w:t xml:space="preserve"> Ahora bien, e</w:t>
      </w:r>
      <w:r w:rsidRPr="0097354A">
        <w:rPr>
          <w:rFonts w:ascii="Verdana" w:hAnsi="Verdana" w:cs="Arial"/>
          <w:bCs/>
          <w:lang w:eastAsia="es-ES" w:bidi="es-ES"/>
        </w:rPr>
        <w:t xml:space="preserve">n procesos de contratación pública, </w:t>
      </w:r>
      <w:r>
        <w:rPr>
          <w:rFonts w:ascii="Verdana" w:hAnsi="Verdana" w:cs="Arial"/>
          <w:bCs/>
          <w:lang w:eastAsia="es-ES" w:bidi="es-ES"/>
        </w:rPr>
        <w:t xml:space="preserve">donde </w:t>
      </w:r>
      <w:r w:rsidRPr="0097354A">
        <w:rPr>
          <w:rFonts w:ascii="Verdana" w:hAnsi="Verdana" w:cs="Arial"/>
          <w:bCs/>
          <w:lang w:eastAsia="es-ES" w:bidi="es-ES"/>
        </w:rPr>
        <w:t xml:space="preserve">la certificación del fabricante </w:t>
      </w:r>
      <w:r>
        <w:rPr>
          <w:rFonts w:ascii="Verdana" w:hAnsi="Verdana" w:cs="Arial"/>
          <w:bCs/>
          <w:lang w:eastAsia="es-ES" w:bidi="es-ES"/>
        </w:rPr>
        <w:t>no debe exigirse</w:t>
      </w:r>
      <w:r w:rsidRPr="0097354A">
        <w:rPr>
          <w:rFonts w:ascii="Verdana" w:hAnsi="Verdana" w:cs="Arial"/>
          <w:bCs/>
          <w:lang w:eastAsia="es-ES" w:bidi="es-ES"/>
        </w:rPr>
        <w:t xml:space="preserve"> como un requisito habilitante, e</w:t>
      </w:r>
      <w:r>
        <w:rPr>
          <w:rFonts w:ascii="Verdana" w:hAnsi="Verdana" w:cs="Arial"/>
          <w:bCs/>
          <w:lang w:eastAsia="es-ES" w:bidi="es-ES"/>
        </w:rPr>
        <w:t>n especial,</w:t>
      </w:r>
      <w:r w:rsidRPr="0097354A">
        <w:rPr>
          <w:rFonts w:ascii="Verdana" w:hAnsi="Verdana" w:cs="Arial"/>
          <w:bCs/>
          <w:lang w:eastAsia="es-ES" w:bidi="es-ES"/>
        </w:rPr>
        <w:t xml:space="preserve"> cuando se trata de productos o servicios que </w:t>
      </w:r>
      <w:r>
        <w:rPr>
          <w:rFonts w:ascii="Verdana" w:hAnsi="Verdana" w:cs="Arial"/>
          <w:bCs/>
          <w:lang w:eastAsia="es-ES" w:bidi="es-ES"/>
        </w:rPr>
        <w:t xml:space="preserve">no requieren condiciones especiales, a las que ofrece en el mercado, si se constituye en un requisito desproporcionado. </w:t>
      </w:r>
    </w:p>
    <w:p w14:paraId="64AF970C" w14:textId="77777777" w:rsidR="00363836" w:rsidRDefault="00363836" w:rsidP="00363836">
      <w:pPr>
        <w:spacing w:after="0" w:line="276" w:lineRule="auto"/>
        <w:ind w:firstLine="709"/>
        <w:jc w:val="both"/>
        <w:rPr>
          <w:rFonts w:ascii="Verdana" w:hAnsi="Verdana" w:cs="Arial"/>
          <w:bCs/>
          <w:lang w:eastAsia="es-ES" w:bidi="es-ES"/>
        </w:rPr>
      </w:pPr>
      <w:r>
        <w:rPr>
          <w:rFonts w:ascii="Verdana" w:hAnsi="Verdana" w:cs="Arial"/>
          <w:bCs/>
          <w:lang w:eastAsia="es-ES" w:bidi="es-ES"/>
        </w:rPr>
        <w:t>En esa orientación, el Consejo de Estado ha cuestionado la exigencia de ciertos requisitos habilitantes en los procesos de contratación para determinar la idoneidad técnica del contratista, como es la exigencia de tener el domicilio, en el municipio que se prestara el servicio, justificado en la necesidad de atender las eventualidades en la prestación de las rutas escolares</w:t>
      </w:r>
      <w:r>
        <w:rPr>
          <w:rStyle w:val="Refdenotaalpie"/>
          <w:rFonts w:ascii="Verdana" w:hAnsi="Verdana" w:cs="Arial"/>
          <w:bCs/>
          <w:lang w:eastAsia="es-ES" w:bidi="es-ES"/>
        </w:rPr>
        <w:footnoteReference w:id="19"/>
      </w:r>
      <w:r>
        <w:rPr>
          <w:rFonts w:ascii="Verdana" w:hAnsi="Verdana" w:cs="Arial"/>
          <w:bCs/>
          <w:lang w:eastAsia="es-ES" w:bidi="es-ES"/>
        </w:rPr>
        <w:t xml:space="preserve">, lo cual no se considera justificado. Al respecto, el Alto Tribunal expresó: </w:t>
      </w:r>
    </w:p>
    <w:p w14:paraId="3F42A3BE" w14:textId="77777777" w:rsidR="00363836" w:rsidRPr="00DD5328" w:rsidRDefault="00363836" w:rsidP="00363836">
      <w:pPr>
        <w:spacing w:after="0" w:line="240" w:lineRule="auto"/>
        <w:ind w:left="709" w:right="709" w:firstLine="708"/>
        <w:jc w:val="both"/>
        <w:rPr>
          <w:rFonts w:ascii="Verdana" w:hAnsi="Verdana" w:cs="Arial"/>
          <w:bCs/>
          <w:sz w:val="21"/>
          <w:szCs w:val="21"/>
          <w:lang w:eastAsia="es-ES" w:bidi="es-ES"/>
        </w:rPr>
      </w:pPr>
    </w:p>
    <w:p w14:paraId="7A907794" w14:textId="77777777" w:rsidR="00363836" w:rsidRDefault="00363836" w:rsidP="00363836">
      <w:pPr>
        <w:spacing w:after="0" w:line="240" w:lineRule="auto"/>
        <w:ind w:left="709" w:right="709"/>
        <w:jc w:val="both"/>
        <w:rPr>
          <w:rFonts w:ascii="Verdana" w:hAnsi="Verdana" w:cs="Arial"/>
          <w:bCs/>
          <w:sz w:val="21"/>
          <w:szCs w:val="21"/>
          <w:lang w:eastAsia="es-ES" w:bidi="es-ES"/>
        </w:rPr>
      </w:pPr>
      <w:r w:rsidRPr="00DD5328">
        <w:rPr>
          <w:rFonts w:ascii="Verdana" w:hAnsi="Verdana" w:cs="Arial"/>
          <w:bCs/>
          <w:sz w:val="21"/>
          <w:szCs w:val="21"/>
          <w:lang w:eastAsia="es-ES" w:bidi="es-ES"/>
        </w:rPr>
        <w:lastRenderedPageBreak/>
        <w:t>66. Por tanto, la Sala no encuentra razones valederas que justifiquen la decisión de la Administración de hacer del domicilio un requisito habilitante de orden técnico, pues no se tienen luces de la forma en que tal atributo podría respaldar la prestación del servicio y permitiera sortear las eventualidades (aducidas como fundamento de tal inclusión), para garantizar que el “tiempo de respuesta sea más corto, al tener la disposición de los vehículos dentro del área urbana y rural de la entidad contratante”, pues tal objetivo, realmente, hace parte del ámbito de la operatividad del proponente y no de la conformación del domicilio en la sede de municipio demandado</w:t>
      </w:r>
      <w:r>
        <w:rPr>
          <w:rFonts w:ascii="Verdana" w:hAnsi="Verdana" w:cs="Arial"/>
          <w:bCs/>
          <w:sz w:val="21"/>
          <w:szCs w:val="21"/>
          <w:lang w:eastAsia="es-ES" w:bidi="es-ES"/>
        </w:rPr>
        <w:t>.</w:t>
      </w:r>
    </w:p>
    <w:p w14:paraId="13485484" w14:textId="77777777" w:rsidR="00363836" w:rsidRPr="00DD5328" w:rsidRDefault="00363836" w:rsidP="00363836">
      <w:pPr>
        <w:spacing w:after="0" w:line="240" w:lineRule="auto"/>
        <w:ind w:left="709" w:right="709"/>
        <w:jc w:val="both"/>
        <w:rPr>
          <w:rFonts w:ascii="Verdana" w:hAnsi="Verdana" w:cs="Arial"/>
          <w:bCs/>
          <w:sz w:val="21"/>
          <w:szCs w:val="21"/>
          <w:lang w:eastAsia="es-ES" w:bidi="es-ES"/>
        </w:rPr>
      </w:pPr>
      <w:r>
        <w:rPr>
          <w:rFonts w:ascii="Verdana" w:hAnsi="Verdana" w:cs="Arial"/>
          <w:bCs/>
          <w:sz w:val="21"/>
          <w:szCs w:val="21"/>
          <w:lang w:eastAsia="es-ES" w:bidi="es-ES"/>
        </w:rPr>
        <w:t>[…]</w:t>
      </w:r>
    </w:p>
    <w:p w14:paraId="58DF0738" w14:textId="77777777" w:rsidR="00363836" w:rsidRDefault="00363836" w:rsidP="00363836">
      <w:pPr>
        <w:spacing w:after="0" w:line="240" w:lineRule="auto"/>
        <w:ind w:left="709" w:right="709"/>
        <w:jc w:val="both"/>
        <w:rPr>
          <w:rFonts w:ascii="Verdana" w:hAnsi="Verdana" w:cs="Arial"/>
          <w:bCs/>
          <w:sz w:val="21"/>
          <w:szCs w:val="21"/>
          <w:lang w:eastAsia="es-ES" w:bidi="es-ES"/>
        </w:rPr>
      </w:pPr>
      <w:r w:rsidRPr="00DD5328">
        <w:rPr>
          <w:rFonts w:ascii="Verdana" w:hAnsi="Verdana" w:cs="Arial"/>
          <w:bCs/>
          <w:sz w:val="21"/>
          <w:szCs w:val="21"/>
          <w:lang w:eastAsia="es-ES" w:bidi="es-ES"/>
        </w:rPr>
        <w:t>68. En suma, la determinación del domicilio de los proponentes en el Municipio como requisito técnico de habilitación resulta en una exigencia infundada, pues dicho atributo no se corresponde con las razones aducidas para su exigencia, no afecta la prestación del servicio por contratar, tampoco concierne a un elemento sin el cual no puede efectuarse la prestación del servicio de transporte escolar; por el contrario, lo que se advierte es que éste configura una regla ajena a la selección objetiva, en tanto que establece un supuesto que limita, sin justificación, la participación de multiplicidad de oferentes al proceso de contratación</w:t>
      </w:r>
      <w:r>
        <w:rPr>
          <w:rStyle w:val="Refdenotaalpie"/>
          <w:rFonts w:ascii="Verdana" w:hAnsi="Verdana" w:cs="Arial"/>
          <w:bCs/>
          <w:sz w:val="21"/>
          <w:szCs w:val="21"/>
          <w:lang w:eastAsia="es-ES" w:bidi="es-ES"/>
        </w:rPr>
        <w:footnoteReference w:id="20"/>
      </w:r>
      <w:r w:rsidRPr="00DD5328">
        <w:rPr>
          <w:rFonts w:ascii="Verdana" w:hAnsi="Verdana" w:cs="Arial"/>
          <w:bCs/>
          <w:sz w:val="21"/>
          <w:szCs w:val="21"/>
          <w:lang w:eastAsia="es-ES" w:bidi="es-ES"/>
        </w:rPr>
        <w:t>.</w:t>
      </w:r>
    </w:p>
    <w:p w14:paraId="7F24E32E" w14:textId="77777777" w:rsidR="00363836" w:rsidRPr="00DD5328" w:rsidRDefault="00363836" w:rsidP="00363836">
      <w:pPr>
        <w:spacing w:after="0" w:line="240" w:lineRule="auto"/>
        <w:ind w:left="709" w:right="709"/>
        <w:jc w:val="both"/>
        <w:rPr>
          <w:rFonts w:ascii="Verdana" w:hAnsi="Verdana" w:cs="Arial"/>
          <w:bCs/>
          <w:sz w:val="21"/>
          <w:szCs w:val="21"/>
          <w:lang w:eastAsia="es-ES" w:bidi="es-ES"/>
        </w:rPr>
      </w:pPr>
    </w:p>
    <w:p w14:paraId="452C54DF" w14:textId="77777777" w:rsidR="00363836" w:rsidRDefault="00363836" w:rsidP="00363836">
      <w:pPr>
        <w:spacing w:after="120" w:line="276" w:lineRule="auto"/>
        <w:ind w:firstLine="708"/>
        <w:jc w:val="both"/>
        <w:rPr>
          <w:rFonts w:ascii="Verdana" w:hAnsi="Verdana" w:cs="Arial"/>
          <w:bCs/>
          <w:lang w:eastAsia="es-ES" w:bidi="es-ES"/>
        </w:rPr>
      </w:pPr>
      <w:r>
        <w:rPr>
          <w:rFonts w:ascii="Verdana" w:hAnsi="Verdana" w:cs="Arial"/>
          <w:bCs/>
          <w:lang w:eastAsia="es-ES" w:bidi="es-ES"/>
        </w:rPr>
        <w:t xml:space="preserve">En esta perspectiva, las entidades estatales no pueden establecer condiciones o requisitos habilitantes en los pliegos de condiciones que no sean proporcionales y justificables, teniendo en cuenta la naturaleza, valor y alcance del proceso de contratación. Por tanto, la exigencia de la “certificación del fabricante” en los procesos de contratación para la adquisición de bienes y servicios de características técnicas uniformes y de común utilización, debe justificarse en la naturaleza del contrato, valor y alcance, pero ello no puede constituirse en un medio para limitar la libre competencia ni mucho menos la selección objetiva. </w:t>
      </w:r>
    </w:p>
    <w:p w14:paraId="50C0BDE9" w14:textId="77777777" w:rsidR="00363836" w:rsidRPr="00C93D4D" w:rsidRDefault="00363836" w:rsidP="00363836">
      <w:pPr>
        <w:spacing w:after="120" w:line="276" w:lineRule="auto"/>
        <w:ind w:firstLine="708"/>
        <w:jc w:val="both"/>
        <w:rPr>
          <w:rFonts w:ascii="Verdana" w:hAnsi="Verdana" w:cs="Arial"/>
          <w:bCs/>
          <w:lang w:val="es-ES_tradnl" w:eastAsia="es-ES" w:bidi="es-ES"/>
        </w:rPr>
      </w:pPr>
      <w:r w:rsidRPr="00BD787A">
        <w:rPr>
          <w:rFonts w:ascii="Verdana" w:hAnsi="Verdana" w:cs="Arial"/>
          <w:bCs/>
          <w:lang w:val="es-ES_tradnl" w:eastAsia="es-ES" w:bidi="es-ES"/>
        </w:rPr>
        <w:t xml:space="preserve">En todo caso, las entidades </w:t>
      </w:r>
      <w:r w:rsidRPr="00BD787A">
        <w:rPr>
          <w:rFonts w:ascii="Verdana" w:hAnsi="Verdana" w:cs="Arial"/>
          <w:bCs/>
          <w:color w:val="000000" w:themeColor="text1"/>
        </w:rPr>
        <w:t>son autónomas en la estructuración de sus procedimientos contractuales, por lo cual en sus pliegos de condiciones o en los documentos que hagan sus veces, como son las invitaciones públicas en la mínima cuantía deben establecer los requisitos habilitantes, con la</w:t>
      </w:r>
      <w:r w:rsidRPr="00BD787A" w:rsidDel="0019679C">
        <w:rPr>
          <w:rFonts w:ascii="Verdana" w:hAnsi="Verdana" w:cs="Arial"/>
          <w:bCs/>
          <w:color w:val="000000" w:themeColor="text1"/>
        </w:rPr>
        <w:t xml:space="preserve"> </w:t>
      </w:r>
      <w:r w:rsidRPr="00BD787A">
        <w:rPr>
          <w:rFonts w:ascii="Verdana" w:hAnsi="Verdana" w:cs="Arial"/>
          <w:bCs/>
          <w:color w:val="000000" w:themeColor="text1"/>
        </w:rPr>
        <w:t>condición de que sean proporcionales y conducentes para el respectivo proceso de selección, para así garantizar la pluralidad de oferentes y la participación en el respectivo proceso.</w:t>
      </w:r>
    </w:p>
    <w:p w14:paraId="0D4277C1" w14:textId="77777777" w:rsidR="00363836" w:rsidRPr="005E0C91" w:rsidRDefault="00363836" w:rsidP="00363836">
      <w:pPr>
        <w:spacing w:after="120" w:line="240" w:lineRule="auto"/>
        <w:ind w:right="900"/>
        <w:jc w:val="both"/>
        <w:textAlignment w:val="baseline"/>
        <w:rPr>
          <w:rFonts w:ascii="Verdana" w:eastAsia="Arial" w:hAnsi="Verdana" w:cs="Arial"/>
          <w:sz w:val="20"/>
          <w:szCs w:val="20"/>
        </w:rPr>
      </w:pPr>
    </w:p>
    <w:p w14:paraId="49F8CE00" w14:textId="77777777" w:rsidR="00363836" w:rsidRPr="002B5C7D" w:rsidRDefault="00363836" w:rsidP="00363836">
      <w:pPr>
        <w:numPr>
          <w:ilvl w:val="0"/>
          <w:numId w:val="19"/>
        </w:numPr>
        <w:spacing w:after="0" w:line="256" w:lineRule="auto"/>
        <w:rPr>
          <w:rFonts w:ascii="Verdana" w:eastAsia="Calibri" w:hAnsi="Verdana" w:cs="Times New Roman"/>
          <w:b/>
          <w:bCs/>
          <w:lang w:val="es-ES"/>
        </w:rPr>
      </w:pPr>
      <w:r w:rsidRPr="002B5C7D">
        <w:rPr>
          <w:rFonts w:ascii="Verdana" w:eastAsia="Calibri" w:hAnsi="Verdana" w:cs="Times New Roman"/>
          <w:b/>
          <w:bCs/>
          <w:lang w:val="es-ES"/>
        </w:rPr>
        <w:lastRenderedPageBreak/>
        <w:t>Referencias normativas, jurisprudenciales y otras fuentes:</w:t>
      </w:r>
    </w:p>
    <w:p w14:paraId="6903BA40" w14:textId="77777777" w:rsidR="00363836" w:rsidRDefault="00363836" w:rsidP="00363836">
      <w:pPr>
        <w:spacing w:after="0" w:line="240" w:lineRule="auto"/>
        <w:rPr>
          <w:rFonts w:ascii="Verdana" w:eastAsia="Calibri" w:hAnsi="Verdana" w:cs="Times New Roman"/>
          <w:bCs/>
          <w:lang w:val="es-ES_tradn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63836" w:rsidRPr="001205D1" w14:paraId="5CE8C7E1" w14:textId="77777777" w:rsidTr="009B7150">
        <w:trPr>
          <w:trHeight w:val="870"/>
          <w:jc w:val="center"/>
        </w:trPr>
        <w:tc>
          <w:tcPr>
            <w:tcW w:w="8647" w:type="dxa"/>
          </w:tcPr>
          <w:p w14:paraId="4F0D2ACD" w14:textId="77777777" w:rsidR="00363836" w:rsidRDefault="00363836" w:rsidP="00363836">
            <w:pPr>
              <w:widowControl w:val="0"/>
              <w:numPr>
                <w:ilvl w:val="0"/>
                <w:numId w:val="20"/>
              </w:numPr>
              <w:autoSpaceDE w:val="0"/>
              <w:autoSpaceDN w:val="0"/>
              <w:spacing w:before="120" w:after="120" w:line="276" w:lineRule="auto"/>
              <w:ind w:left="714" w:hanging="357"/>
              <w:jc w:val="both"/>
              <w:rPr>
                <w:rFonts w:ascii="Verdana" w:hAnsi="Verdana" w:cs="Arial"/>
                <w:lang w:val="es-ES"/>
              </w:rPr>
            </w:pPr>
            <w:r>
              <w:rPr>
                <w:rFonts w:ascii="Verdana" w:hAnsi="Verdana" w:cs="Arial"/>
                <w:lang w:val="es-ES"/>
              </w:rPr>
              <w:t xml:space="preserve">Ley 80 de 1993, artículo 77. </w:t>
            </w:r>
          </w:p>
          <w:p w14:paraId="472FD67C" w14:textId="77777777" w:rsidR="00363836" w:rsidRPr="00367ED9" w:rsidRDefault="00363836" w:rsidP="00363836">
            <w:pPr>
              <w:widowControl w:val="0"/>
              <w:numPr>
                <w:ilvl w:val="0"/>
                <w:numId w:val="20"/>
              </w:numPr>
              <w:autoSpaceDE w:val="0"/>
              <w:autoSpaceDN w:val="0"/>
              <w:spacing w:before="120" w:after="120" w:line="276" w:lineRule="auto"/>
              <w:ind w:left="714" w:hanging="357"/>
              <w:jc w:val="both"/>
              <w:rPr>
                <w:rFonts w:ascii="Verdana" w:hAnsi="Verdana" w:cs="Arial"/>
                <w:lang w:val="es-ES"/>
              </w:rPr>
            </w:pPr>
            <w:r w:rsidRPr="00367ED9">
              <w:rPr>
                <w:rFonts w:ascii="Verdana" w:hAnsi="Verdana" w:cs="Arial"/>
                <w:lang w:val="es-ES"/>
              </w:rPr>
              <w:t xml:space="preserve">Ley 1150 de 2007, artículos </w:t>
            </w:r>
            <w:r>
              <w:rPr>
                <w:rFonts w:ascii="Verdana" w:hAnsi="Verdana" w:cs="Arial"/>
                <w:lang w:val="es-ES"/>
              </w:rPr>
              <w:t>2,</w:t>
            </w:r>
            <w:r w:rsidRPr="00367ED9">
              <w:rPr>
                <w:rFonts w:ascii="Verdana" w:hAnsi="Verdana" w:cs="Arial"/>
                <w:lang w:val="es-ES"/>
              </w:rPr>
              <w:t xml:space="preserve"> 5 y 6.</w:t>
            </w:r>
          </w:p>
          <w:p w14:paraId="11442EFD" w14:textId="77777777" w:rsidR="00363836" w:rsidRDefault="00363836" w:rsidP="00363836">
            <w:pPr>
              <w:widowControl w:val="0"/>
              <w:numPr>
                <w:ilvl w:val="0"/>
                <w:numId w:val="20"/>
              </w:numPr>
              <w:autoSpaceDE w:val="0"/>
              <w:autoSpaceDN w:val="0"/>
              <w:spacing w:before="120" w:after="120" w:line="276" w:lineRule="auto"/>
              <w:ind w:left="714" w:hanging="357"/>
              <w:jc w:val="both"/>
              <w:rPr>
                <w:rFonts w:ascii="Verdana" w:hAnsi="Verdana" w:cs="Arial"/>
                <w:lang w:val="es-ES"/>
              </w:rPr>
            </w:pPr>
            <w:r>
              <w:rPr>
                <w:rFonts w:ascii="Verdana" w:hAnsi="Verdana" w:cs="Arial"/>
                <w:lang w:val="es-ES"/>
              </w:rPr>
              <w:t xml:space="preserve">Ley 1437 de 2011, artículo 44. </w:t>
            </w:r>
          </w:p>
          <w:p w14:paraId="7FCB4E83" w14:textId="77777777" w:rsidR="00363836" w:rsidRDefault="00363836" w:rsidP="00363836">
            <w:pPr>
              <w:widowControl w:val="0"/>
              <w:numPr>
                <w:ilvl w:val="0"/>
                <w:numId w:val="20"/>
              </w:numPr>
              <w:autoSpaceDE w:val="0"/>
              <w:autoSpaceDN w:val="0"/>
              <w:spacing w:before="120" w:after="120" w:line="276" w:lineRule="auto"/>
              <w:ind w:left="714" w:hanging="357"/>
              <w:jc w:val="both"/>
              <w:rPr>
                <w:rFonts w:ascii="Verdana" w:hAnsi="Verdana" w:cs="Arial"/>
                <w:lang w:val="es-ES"/>
              </w:rPr>
            </w:pPr>
            <w:r>
              <w:rPr>
                <w:rFonts w:ascii="Verdana" w:hAnsi="Verdana" w:cs="Arial"/>
                <w:lang w:val="es-ES"/>
              </w:rPr>
              <w:t xml:space="preserve">Ley 1480 de 2011 –Estatuto del Consumidor-, artículos 5, 7 y 23. </w:t>
            </w:r>
          </w:p>
          <w:p w14:paraId="358FF70B" w14:textId="77777777" w:rsidR="00363836" w:rsidRDefault="00363836" w:rsidP="00363836">
            <w:pPr>
              <w:widowControl w:val="0"/>
              <w:numPr>
                <w:ilvl w:val="0"/>
                <w:numId w:val="20"/>
              </w:numPr>
              <w:autoSpaceDE w:val="0"/>
              <w:autoSpaceDN w:val="0"/>
              <w:spacing w:before="120" w:after="120" w:line="276" w:lineRule="auto"/>
              <w:ind w:left="714" w:hanging="357"/>
              <w:jc w:val="both"/>
              <w:rPr>
                <w:rFonts w:ascii="Verdana" w:hAnsi="Verdana" w:cs="Arial"/>
                <w:lang w:val="es-ES"/>
              </w:rPr>
            </w:pPr>
            <w:r>
              <w:rPr>
                <w:rFonts w:ascii="Verdana" w:hAnsi="Verdana" w:cs="Arial"/>
                <w:lang w:val="es-ES"/>
              </w:rPr>
              <w:t>Decreto Ley 019 de 2012, artículo 5.</w:t>
            </w:r>
          </w:p>
          <w:p w14:paraId="6F0539C9" w14:textId="77777777" w:rsidR="00363836" w:rsidRPr="00AF44FB" w:rsidRDefault="00363836" w:rsidP="00363836">
            <w:pPr>
              <w:widowControl w:val="0"/>
              <w:numPr>
                <w:ilvl w:val="0"/>
                <w:numId w:val="20"/>
              </w:numPr>
              <w:autoSpaceDE w:val="0"/>
              <w:autoSpaceDN w:val="0"/>
              <w:spacing w:before="120" w:after="120" w:line="276" w:lineRule="auto"/>
              <w:jc w:val="both"/>
              <w:rPr>
                <w:rFonts w:ascii="Verdana" w:hAnsi="Verdana" w:cs="Arial"/>
                <w:lang w:val="es-ES"/>
              </w:rPr>
            </w:pPr>
            <w:r w:rsidRPr="00AF44FB">
              <w:rPr>
                <w:rFonts w:ascii="Verdana" w:hAnsi="Verdana" w:cs="Arial"/>
                <w:lang w:val="es-ES"/>
              </w:rPr>
              <w:t xml:space="preserve">Decreto 1082 de 2015, artículos 2.2.2.1.1.1.3.1, 2.2.1.2.1.2.1., 2.2.1.2.1.2.2., 2.2.1.2.1.2.7., 2.2.1.2.1.2.11. </w:t>
            </w:r>
          </w:p>
          <w:p w14:paraId="3686B73A" w14:textId="77777777" w:rsidR="00363836" w:rsidRPr="00AF44FB" w:rsidRDefault="00363836" w:rsidP="00363836">
            <w:pPr>
              <w:widowControl w:val="0"/>
              <w:numPr>
                <w:ilvl w:val="0"/>
                <w:numId w:val="20"/>
              </w:numPr>
              <w:autoSpaceDE w:val="0"/>
              <w:autoSpaceDN w:val="0"/>
              <w:spacing w:before="120" w:after="120" w:line="276" w:lineRule="auto"/>
              <w:jc w:val="both"/>
              <w:rPr>
                <w:rFonts w:ascii="Verdana" w:hAnsi="Verdana" w:cs="Arial"/>
                <w:lang w:val="es-ES"/>
              </w:rPr>
            </w:pPr>
            <w:r w:rsidRPr="00AF44FB">
              <w:rPr>
                <w:rFonts w:ascii="Verdana" w:hAnsi="Verdana" w:cs="Arial"/>
                <w:lang w:val="es-ES"/>
              </w:rPr>
              <w:t>Código Civil, artículos 28 y 29.</w:t>
            </w:r>
          </w:p>
          <w:p w14:paraId="692FF26D" w14:textId="77777777" w:rsidR="00363836" w:rsidRPr="00AF44FB" w:rsidRDefault="00363836" w:rsidP="00363836">
            <w:pPr>
              <w:widowControl w:val="0"/>
              <w:numPr>
                <w:ilvl w:val="0"/>
                <w:numId w:val="20"/>
              </w:numPr>
              <w:autoSpaceDE w:val="0"/>
              <w:autoSpaceDN w:val="0"/>
              <w:spacing w:before="120" w:after="120" w:line="276" w:lineRule="auto"/>
              <w:jc w:val="both"/>
              <w:rPr>
                <w:rFonts w:ascii="Verdana" w:hAnsi="Verdana" w:cs="Arial"/>
                <w:lang w:val="es-ES"/>
              </w:rPr>
            </w:pPr>
            <w:r w:rsidRPr="00AF44FB">
              <w:rPr>
                <w:rFonts w:ascii="Verdana" w:hAnsi="Verdana" w:cs="Arial"/>
                <w:lang w:val="es-ES"/>
              </w:rPr>
              <w:t xml:space="preserve">CONGRESO DE LA REPÚBLICA. Exposición de motivos de la Ley 1150 de 2007. Gaceta del Congreso No. 458 del 1º de agosto de 2005. p. 8. </w:t>
            </w:r>
          </w:p>
          <w:p w14:paraId="6F742EF0" w14:textId="77777777" w:rsidR="00363836" w:rsidRPr="00AF44FB" w:rsidRDefault="00363836" w:rsidP="00363836">
            <w:pPr>
              <w:widowControl w:val="0"/>
              <w:numPr>
                <w:ilvl w:val="0"/>
                <w:numId w:val="20"/>
              </w:numPr>
              <w:autoSpaceDE w:val="0"/>
              <w:autoSpaceDN w:val="0"/>
              <w:spacing w:before="120" w:after="120" w:line="276" w:lineRule="auto"/>
              <w:jc w:val="both"/>
              <w:rPr>
                <w:rFonts w:ascii="Verdana" w:hAnsi="Verdana" w:cs="Arial"/>
                <w:lang w:val="es-ES"/>
              </w:rPr>
            </w:pPr>
            <w:r w:rsidRPr="00AF44FB">
              <w:rPr>
                <w:rFonts w:ascii="Verdana" w:hAnsi="Verdana" w:cs="Arial"/>
                <w:lang w:val="es-ES"/>
              </w:rPr>
              <w:t xml:space="preserve">CONSEJO DE ESTADO. Sección Tercera. Subsección A. Sentencia del 23 de julio de 2015. </w:t>
            </w:r>
            <w:proofErr w:type="spellStart"/>
            <w:r w:rsidRPr="00AF44FB">
              <w:rPr>
                <w:rFonts w:ascii="Verdana" w:hAnsi="Verdana" w:cs="Arial"/>
                <w:lang w:val="es-ES"/>
              </w:rPr>
              <w:t>Exp</w:t>
            </w:r>
            <w:proofErr w:type="spellEnd"/>
            <w:r w:rsidRPr="00AF44FB">
              <w:rPr>
                <w:rFonts w:ascii="Verdana" w:hAnsi="Verdana" w:cs="Arial"/>
                <w:lang w:val="es-ES"/>
              </w:rPr>
              <w:t>. 36.805. C. P. Hernán Andrade Rincón.</w:t>
            </w:r>
          </w:p>
          <w:p w14:paraId="5739AA3E" w14:textId="77777777" w:rsidR="00363836" w:rsidRPr="00AF44FB" w:rsidRDefault="00363836" w:rsidP="00363836">
            <w:pPr>
              <w:widowControl w:val="0"/>
              <w:numPr>
                <w:ilvl w:val="0"/>
                <w:numId w:val="20"/>
              </w:numPr>
              <w:autoSpaceDE w:val="0"/>
              <w:autoSpaceDN w:val="0"/>
              <w:spacing w:before="120" w:after="120" w:line="276" w:lineRule="auto"/>
              <w:jc w:val="both"/>
              <w:rPr>
                <w:rFonts w:ascii="Verdana" w:hAnsi="Verdana" w:cs="Arial"/>
                <w:lang w:val="es-ES"/>
              </w:rPr>
            </w:pPr>
            <w:r w:rsidRPr="00AF44FB">
              <w:rPr>
                <w:rFonts w:ascii="Verdana" w:hAnsi="Verdana" w:cs="Arial"/>
              </w:rPr>
              <w:t xml:space="preserve">CONSEJO DE ESTADO. Sección Tercera, Subsección A. Sentencia del 19 de mayo de 2025. </w:t>
            </w:r>
            <w:proofErr w:type="spellStart"/>
            <w:r w:rsidRPr="00AF44FB">
              <w:rPr>
                <w:rFonts w:ascii="Verdana" w:hAnsi="Verdana" w:cs="Arial"/>
              </w:rPr>
              <w:t>Exp</w:t>
            </w:r>
            <w:proofErr w:type="spellEnd"/>
            <w:r w:rsidRPr="00AF44FB">
              <w:rPr>
                <w:rFonts w:ascii="Verdana" w:hAnsi="Verdana" w:cs="Arial"/>
              </w:rPr>
              <w:t>. 69.503.</w:t>
            </w:r>
            <w:r>
              <w:rPr>
                <w:rFonts w:ascii="Verdana" w:hAnsi="Verdana" w:cs="Arial"/>
              </w:rPr>
              <w:t xml:space="preserve"> C.P. José Roberto Sáchica Méndez. </w:t>
            </w:r>
          </w:p>
          <w:p w14:paraId="5A44EC81" w14:textId="77777777" w:rsidR="00363836" w:rsidRPr="00AF44FB" w:rsidRDefault="00363836" w:rsidP="00363836">
            <w:pPr>
              <w:widowControl w:val="0"/>
              <w:numPr>
                <w:ilvl w:val="0"/>
                <w:numId w:val="20"/>
              </w:numPr>
              <w:autoSpaceDE w:val="0"/>
              <w:autoSpaceDN w:val="0"/>
              <w:spacing w:before="120" w:after="120" w:line="276" w:lineRule="auto"/>
              <w:jc w:val="both"/>
              <w:rPr>
                <w:rFonts w:ascii="Verdana" w:hAnsi="Verdana" w:cs="Arial"/>
                <w:lang w:val="es-ES"/>
              </w:rPr>
            </w:pPr>
            <w:r w:rsidRPr="00AF44FB">
              <w:rPr>
                <w:rFonts w:ascii="Verdana" w:hAnsi="Verdana" w:cs="Arial"/>
                <w:lang w:val="es-ES"/>
              </w:rPr>
              <w:t xml:space="preserve">SUÁREZ BELTRÁN, Gonzalo. Estudios de derecho contractual público. Bogotá: Legis y Universidad Pontificia Javeriana, 2014. </w:t>
            </w:r>
          </w:p>
          <w:p w14:paraId="213204DB" w14:textId="77777777" w:rsidR="00363836" w:rsidRPr="00AF44FB" w:rsidRDefault="00363836" w:rsidP="00363836">
            <w:pPr>
              <w:widowControl w:val="0"/>
              <w:numPr>
                <w:ilvl w:val="0"/>
                <w:numId w:val="20"/>
              </w:numPr>
              <w:autoSpaceDE w:val="0"/>
              <w:autoSpaceDN w:val="0"/>
              <w:spacing w:before="120" w:after="120" w:line="276" w:lineRule="auto"/>
              <w:jc w:val="both"/>
              <w:rPr>
                <w:rFonts w:ascii="Verdana" w:hAnsi="Verdana" w:cs="Arial"/>
                <w:lang w:val="es-ES"/>
              </w:rPr>
            </w:pPr>
            <w:r w:rsidRPr="00AF44FB">
              <w:rPr>
                <w:rFonts w:ascii="Verdana" w:hAnsi="Verdana" w:cs="Arial"/>
                <w:lang w:val="es-ES"/>
              </w:rPr>
              <w:t xml:space="preserve">DÁVILA VINUEZA, Luis Guillermo. Régimen jurídico de la contratación estatal. Tercera Edición. Bogotá: Legis, 2016. </w:t>
            </w:r>
          </w:p>
          <w:p w14:paraId="16F0FFEE" w14:textId="77777777" w:rsidR="00363836" w:rsidRPr="005F769A" w:rsidRDefault="00363836" w:rsidP="00363836">
            <w:pPr>
              <w:widowControl w:val="0"/>
              <w:numPr>
                <w:ilvl w:val="0"/>
                <w:numId w:val="20"/>
              </w:numPr>
              <w:autoSpaceDE w:val="0"/>
              <w:autoSpaceDN w:val="0"/>
              <w:spacing w:before="120" w:after="120" w:line="276" w:lineRule="auto"/>
              <w:jc w:val="both"/>
              <w:rPr>
                <w:rFonts w:ascii="Verdana" w:hAnsi="Verdana" w:cs="Arial"/>
                <w:lang w:val="es-ES"/>
              </w:rPr>
            </w:pPr>
            <w:r w:rsidRPr="00AF44FB">
              <w:rPr>
                <w:rFonts w:ascii="Verdana" w:hAnsi="Verdana" w:cs="Arial"/>
                <w:lang w:val="es-ES"/>
              </w:rPr>
              <w:t>PALACIO HINCAPIÉ, Juan Ángel. La contratación de las entidades estatales. 8 ed. Medellín: Librería Jurídica R S.A.S., 2020.</w:t>
            </w:r>
          </w:p>
          <w:p w14:paraId="3697140B" w14:textId="77777777" w:rsidR="00363836" w:rsidRPr="00CE3B27" w:rsidRDefault="00363836" w:rsidP="00363836">
            <w:pPr>
              <w:widowControl w:val="0"/>
              <w:numPr>
                <w:ilvl w:val="0"/>
                <w:numId w:val="20"/>
              </w:numPr>
              <w:autoSpaceDE w:val="0"/>
              <w:autoSpaceDN w:val="0"/>
              <w:spacing w:after="120" w:line="276" w:lineRule="auto"/>
              <w:jc w:val="both"/>
              <w:rPr>
                <w:rFonts w:ascii="Verdana" w:hAnsi="Verdana" w:cs="Arial"/>
                <w:lang w:val="es-ES"/>
              </w:rPr>
            </w:pPr>
            <w:r w:rsidRPr="00367ED9">
              <w:rPr>
                <w:rFonts w:ascii="Verdana" w:hAnsi="Verdana" w:cs="Arial"/>
                <w:lang w:val="es-ES"/>
              </w:rPr>
              <w:t xml:space="preserve">AGENCIA NACIONAL DE CONTRATACIÓN PÚBLICA –COLOMBIA COMPRA EFICIENTE. </w:t>
            </w:r>
            <w:r w:rsidRPr="00367ED9">
              <w:rPr>
                <w:rFonts w:ascii="Verdana" w:hAnsi="Verdana" w:cs="Arial"/>
              </w:rPr>
              <w:t xml:space="preserve">Manual para determinar los requisitos habilitantes en los procesos de contratación, 2023. Disponible en línea: </w:t>
            </w:r>
            <w:hyperlink r:id="rId13" w:history="1">
              <w:r w:rsidRPr="00367ED9">
                <w:rPr>
                  <w:rFonts w:ascii="Verdana" w:hAnsi="Verdana" w:cs="Arial"/>
                  <w:color w:val="0000FF"/>
                  <w:u w:val="single"/>
                </w:rPr>
                <w:t>https://www.colombiacompra.gov.co/archivos/manual/manual-para-determinar-y-verificar-los-requisitos-habilitantes-en-los-procesos-de-contratacion</w:t>
              </w:r>
            </w:hyperlink>
            <w:r w:rsidRPr="00367ED9">
              <w:rPr>
                <w:rFonts w:ascii="Verdana" w:hAnsi="Verdana" w:cs="Arial"/>
              </w:rPr>
              <w:t xml:space="preserve"> </w:t>
            </w:r>
          </w:p>
        </w:tc>
      </w:tr>
    </w:tbl>
    <w:p w14:paraId="6948F36E" w14:textId="77777777" w:rsidR="00363836" w:rsidRPr="00CE3B27" w:rsidRDefault="00363836" w:rsidP="00363836">
      <w:pPr>
        <w:spacing w:line="276" w:lineRule="auto"/>
        <w:ind w:right="709"/>
        <w:contextualSpacing/>
        <w:jc w:val="both"/>
        <w:rPr>
          <w:rFonts w:ascii="Verdana" w:hAnsi="Verdana" w:cs="Arial"/>
          <w:color w:val="000000" w:themeColor="text1"/>
        </w:rPr>
      </w:pPr>
    </w:p>
    <w:p w14:paraId="2EAFA3FF" w14:textId="77777777" w:rsidR="00363836" w:rsidRPr="002B5C7D" w:rsidRDefault="00363836" w:rsidP="00363836">
      <w:pPr>
        <w:numPr>
          <w:ilvl w:val="0"/>
          <w:numId w:val="19"/>
        </w:numPr>
        <w:spacing w:after="0" w:line="256" w:lineRule="auto"/>
        <w:rPr>
          <w:rFonts w:ascii="Verdana" w:eastAsia="Calibri" w:hAnsi="Verdana" w:cs="Times New Roman"/>
          <w:b/>
          <w:bCs/>
          <w:lang w:val="es-ES"/>
        </w:rPr>
      </w:pPr>
      <w:r w:rsidRPr="002B5C7D">
        <w:rPr>
          <w:rFonts w:ascii="Verdana" w:eastAsia="Calibri" w:hAnsi="Verdana" w:cs="Times New Roman"/>
          <w:b/>
          <w:bCs/>
          <w:lang w:val="es-ES"/>
        </w:rPr>
        <w:t>Doctrina de la Agencia Nacional de Contratación Pública:</w:t>
      </w:r>
    </w:p>
    <w:p w14:paraId="233329BB" w14:textId="77777777" w:rsidR="00363836" w:rsidRPr="002B5C7D" w:rsidRDefault="00363836" w:rsidP="00363836">
      <w:pPr>
        <w:spacing w:after="0" w:line="256" w:lineRule="auto"/>
        <w:rPr>
          <w:rFonts w:ascii="Verdana" w:eastAsia="Calibri" w:hAnsi="Verdana" w:cs="Times New Roman"/>
          <w:lang w:val="es-ES"/>
        </w:rPr>
      </w:pPr>
    </w:p>
    <w:p w14:paraId="7CD4B855" w14:textId="77777777" w:rsidR="00363836" w:rsidRPr="005F769A" w:rsidRDefault="00363836" w:rsidP="00363836">
      <w:pPr>
        <w:widowControl w:val="0"/>
        <w:autoSpaceDE w:val="0"/>
        <w:autoSpaceDN w:val="0"/>
        <w:spacing w:after="0" w:line="276" w:lineRule="auto"/>
        <w:jc w:val="both"/>
        <w:rPr>
          <w:rFonts w:ascii="Verdana" w:hAnsi="Verdana" w:cs="Arial"/>
          <w:shd w:val="clear" w:color="auto" w:fill="FFFFFF"/>
          <w:lang w:val="es-ES"/>
        </w:rPr>
      </w:pPr>
      <w:r w:rsidRPr="00185EE9">
        <w:rPr>
          <w:rStyle w:val="normaltextrun"/>
          <w:rFonts w:ascii="Verdana" w:hAnsi="Verdana" w:cs="Arial"/>
          <w:shd w:val="clear" w:color="auto" w:fill="FFFFFF"/>
          <w:lang w:val="es-ES"/>
        </w:rPr>
        <w:t xml:space="preserve">Esta Subdirección se ha pronunciado sobre </w:t>
      </w:r>
      <w:r>
        <w:rPr>
          <w:rStyle w:val="normaltextrun"/>
          <w:rFonts w:ascii="Verdana" w:hAnsi="Verdana" w:cs="Arial"/>
          <w:shd w:val="clear" w:color="auto" w:fill="FFFFFF"/>
          <w:lang w:val="es-ES"/>
        </w:rPr>
        <w:t>los bienes y servicios</w:t>
      </w:r>
      <w:r w:rsidRPr="00185EE9">
        <w:rPr>
          <w:rStyle w:val="normaltextrun"/>
          <w:rFonts w:ascii="Verdana" w:hAnsi="Verdana" w:cs="Arial"/>
          <w:shd w:val="clear" w:color="auto" w:fill="FFFFFF"/>
          <w:lang w:val="es-ES"/>
        </w:rPr>
        <w:t xml:space="preserve"> de </w:t>
      </w:r>
      <w:r>
        <w:rPr>
          <w:rStyle w:val="normaltextrun"/>
          <w:rFonts w:ascii="Verdana" w:hAnsi="Verdana" w:cs="Arial"/>
          <w:shd w:val="clear" w:color="auto" w:fill="FFFFFF"/>
          <w:lang w:val="es-ES"/>
        </w:rPr>
        <w:t xml:space="preserve">características técnicas uniformes y de común utilización en los Conceptos </w:t>
      </w:r>
      <w:r w:rsidRPr="00BA3513">
        <w:rPr>
          <w:rFonts w:ascii="Verdana" w:hAnsi="Verdana" w:cs="Arial"/>
          <w:shd w:val="clear" w:color="auto" w:fill="FFFFFF"/>
        </w:rPr>
        <w:t>C-</w:t>
      </w:r>
      <w:r>
        <w:rPr>
          <w:rFonts w:ascii="Verdana" w:hAnsi="Verdana" w:cs="Arial"/>
          <w:shd w:val="clear" w:color="auto" w:fill="FFFFFF"/>
        </w:rPr>
        <w:t xml:space="preserve"> 136 del 7 de marzo de 2025, </w:t>
      </w:r>
      <w:r w:rsidRPr="00BA3513">
        <w:rPr>
          <w:rFonts w:ascii="Verdana" w:hAnsi="Verdana" w:cs="Arial"/>
          <w:shd w:val="clear" w:color="auto" w:fill="FFFFFF"/>
        </w:rPr>
        <w:t>108 de</w:t>
      </w:r>
      <w:r>
        <w:rPr>
          <w:rFonts w:ascii="Verdana" w:hAnsi="Verdana" w:cs="Arial"/>
          <w:shd w:val="clear" w:color="auto" w:fill="FFFFFF"/>
        </w:rPr>
        <w:t>l 5 de marzo de</w:t>
      </w:r>
      <w:r w:rsidRPr="00BA3513">
        <w:rPr>
          <w:rFonts w:ascii="Verdana" w:hAnsi="Verdana" w:cs="Arial"/>
          <w:shd w:val="clear" w:color="auto" w:fill="FFFFFF"/>
        </w:rPr>
        <w:t xml:space="preserve"> 2025, C-9</w:t>
      </w:r>
      <w:r>
        <w:rPr>
          <w:rFonts w:ascii="Verdana" w:hAnsi="Verdana" w:cs="Arial"/>
          <w:shd w:val="clear" w:color="auto" w:fill="FFFFFF"/>
        </w:rPr>
        <w:t>77 del 2 de enero de 2025</w:t>
      </w:r>
      <w:r w:rsidRPr="00BA3513">
        <w:rPr>
          <w:rFonts w:ascii="Verdana" w:hAnsi="Verdana" w:cs="Arial"/>
          <w:shd w:val="clear" w:color="auto" w:fill="FFFFFF"/>
        </w:rPr>
        <w:t>, C-597 de</w:t>
      </w:r>
      <w:r>
        <w:rPr>
          <w:rFonts w:ascii="Verdana" w:hAnsi="Verdana" w:cs="Arial"/>
          <w:shd w:val="clear" w:color="auto" w:fill="FFFFFF"/>
        </w:rPr>
        <w:t>l 8 de noviembre de</w:t>
      </w:r>
      <w:r w:rsidRPr="00BA3513">
        <w:rPr>
          <w:rFonts w:ascii="Verdana" w:hAnsi="Verdana" w:cs="Arial"/>
          <w:shd w:val="clear" w:color="auto" w:fill="FFFFFF"/>
        </w:rPr>
        <w:t xml:space="preserve"> 2024</w:t>
      </w:r>
      <w:r>
        <w:rPr>
          <w:rFonts w:ascii="Verdana" w:hAnsi="Verdana" w:cs="Arial"/>
          <w:shd w:val="clear" w:color="auto" w:fill="FFFFFF"/>
        </w:rPr>
        <w:t xml:space="preserve">, </w:t>
      </w:r>
      <w:r w:rsidRPr="00BA3513">
        <w:rPr>
          <w:rFonts w:ascii="Verdana" w:hAnsi="Verdana" w:cs="Arial"/>
          <w:shd w:val="clear" w:color="auto" w:fill="FFFFFF"/>
        </w:rPr>
        <w:t>entre otros</w:t>
      </w:r>
      <w:r>
        <w:rPr>
          <w:rFonts w:ascii="Verdana" w:hAnsi="Verdana" w:cs="Arial"/>
          <w:shd w:val="clear" w:color="auto" w:fill="FFFFFF"/>
        </w:rPr>
        <w:t xml:space="preserve">. Con respecto a los requisitos habilitantes, se han expedido </w:t>
      </w:r>
      <w:r>
        <w:rPr>
          <w:rStyle w:val="normaltextrun"/>
          <w:rFonts w:ascii="Verdana" w:hAnsi="Verdana" w:cs="Arial"/>
          <w:shd w:val="clear" w:color="auto" w:fill="FFFFFF"/>
          <w:lang w:val="es-ES"/>
        </w:rPr>
        <w:t xml:space="preserve">los Conceptos con radicado </w:t>
      </w:r>
      <w:r w:rsidRPr="00D76710">
        <w:rPr>
          <w:rFonts w:ascii="Verdana" w:hAnsi="Verdana" w:cs="Arial"/>
          <w:shd w:val="clear" w:color="auto" w:fill="FFFFFF"/>
          <w:lang w:val="es-ES"/>
        </w:rPr>
        <w:t>No 2201913000007980 del</w:t>
      </w:r>
      <w:r>
        <w:rPr>
          <w:rFonts w:ascii="Verdana" w:hAnsi="Verdana" w:cs="Arial"/>
          <w:shd w:val="clear" w:color="auto" w:fill="FFFFFF"/>
          <w:lang w:val="es-ES"/>
        </w:rPr>
        <w:t xml:space="preserve"> </w:t>
      </w:r>
      <w:r w:rsidRPr="00D76710">
        <w:rPr>
          <w:rFonts w:ascii="Verdana" w:hAnsi="Verdana" w:cs="Arial"/>
          <w:shd w:val="clear" w:color="auto" w:fill="FFFFFF"/>
          <w:lang w:val="es-ES"/>
        </w:rPr>
        <w:t xml:space="preserve">24 de octubre de 2019, C-868 del 19 de diciembre de 2022, C-877 del 26 de diciembre </w:t>
      </w:r>
      <w:r>
        <w:rPr>
          <w:rFonts w:ascii="Verdana" w:hAnsi="Verdana" w:cs="Arial"/>
          <w:shd w:val="clear" w:color="auto" w:fill="FFFFFF"/>
          <w:lang w:val="es-ES"/>
        </w:rPr>
        <w:t>de 2022,</w:t>
      </w:r>
      <w:r w:rsidRPr="00D76710">
        <w:rPr>
          <w:rFonts w:ascii="Verdana" w:hAnsi="Verdana" w:cs="Arial"/>
          <w:shd w:val="clear" w:color="auto" w:fill="FFFFFF"/>
          <w:lang w:val="es-ES"/>
        </w:rPr>
        <w:t xml:space="preserve"> C-41</w:t>
      </w:r>
      <w:r>
        <w:rPr>
          <w:rFonts w:ascii="Verdana" w:hAnsi="Verdana" w:cs="Arial"/>
          <w:shd w:val="clear" w:color="auto" w:fill="FFFFFF"/>
          <w:lang w:val="es-ES"/>
        </w:rPr>
        <w:t xml:space="preserve">7 del 27 de septiembre de 2023, </w:t>
      </w:r>
      <w:r w:rsidRPr="00D76710">
        <w:rPr>
          <w:rFonts w:ascii="Verdana" w:hAnsi="Verdana" w:cs="Arial"/>
          <w:shd w:val="clear" w:color="auto" w:fill="FFFFFF"/>
          <w:lang w:val="es-ES"/>
        </w:rPr>
        <w:t>C-432 del 23 de octubre de 2023, C-174 del 23 de julio de 2024, C- 530 del 4 de octubre de 2024</w:t>
      </w:r>
      <w:r>
        <w:rPr>
          <w:rFonts w:ascii="Verdana" w:hAnsi="Verdana" w:cs="Arial"/>
          <w:shd w:val="clear" w:color="auto" w:fill="FFFFFF"/>
          <w:lang w:val="es-ES"/>
        </w:rPr>
        <w:t>, C-595 del 24 de octubre 2024,</w:t>
      </w:r>
      <w:r w:rsidRPr="00D76710">
        <w:rPr>
          <w:rFonts w:ascii="Verdana" w:hAnsi="Verdana" w:cs="Arial"/>
          <w:shd w:val="clear" w:color="auto" w:fill="FFFFFF"/>
          <w:lang w:val="es-ES"/>
        </w:rPr>
        <w:t xml:space="preserve"> C-648 del 6 de noviembre 2024,</w:t>
      </w:r>
      <w:r>
        <w:rPr>
          <w:rFonts w:ascii="Verdana" w:hAnsi="Verdana" w:cs="Arial"/>
          <w:shd w:val="clear" w:color="auto" w:fill="FFFFFF"/>
          <w:lang w:val="es-ES"/>
        </w:rPr>
        <w:t xml:space="preserve"> C-116 del 11 de marzo de 2025, C- 397 del 7 de mayo de 2025, entre otros. </w:t>
      </w:r>
      <w:r w:rsidRPr="00BA3513">
        <w:rPr>
          <w:rFonts w:ascii="Verdana" w:hAnsi="Verdana" w:cs="Arial"/>
          <w:bCs/>
          <w:shd w:val="clear" w:color="auto" w:fill="FFFFFF"/>
        </w:rPr>
        <w:t>En todo caso, este concepto tiene una particularidad, pues analiza</w:t>
      </w:r>
      <w:r>
        <w:rPr>
          <w:rFonts w:ascii="Verdana" w:hAnsi="Verdana" w:cs="Arial"/>
          <w:bCs/>
          <w:shd w:val="clear" w:color="auto" w:fill="FFFFFF"/>
        </w:rPr>
        <w:t xml:space="preserve"> el requisito habilitante de “certificación del fabricante” y la institución de proveedor autorizado en los procesos de contratación, cuyo objeto sea la adquisición de bienes y servicios de características técnicas uniformes y de común utilización.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7B08713" w14:textId="77777777" w:rsidR="00363836" w:rsidRPr="00185EE9" w:rsidRDefault="00363836" w:rsidP="00363836">
      <w:pPr>
        <w:spacing w:after="0" w:line="256" w:lineRule="auto"/>
        <w:jc w:val="both"/>
        <w:rPr>
          <w:rFonts w:ascii="Verdana" w:eastAsia="Calibri" w:hAnsi="Verdana" w:cs="Times New Roman"/>
        </w:rPr>
      </w:pPr>
      <w:hyperlink r:id="rId14" w:history="1">
        <w:r w:rsidRPr="00185EE9">
          <w:rPr>
            <w:rFonts w:ascii="Verdana" w:eastAsia="Calibri" w:hAnsi="Verdana" w:cs="Times New Roman"/>
            <w:color w:val="0000FF"/>
            <w:u w:val="single"/>
            <w:lang w:val="es-ES"/>
          </w:rPr>
          <w:t>https://relatoria.colombiacompra.gov.co/busqueda/conceptos</w:t>
        </w:r>
      </w:hyperlink>
      <w:r w:rsidRPr="00185EE9">
        <w:rPr>
          <w:rFonts w:ascii="Verdana" w:eastAsia="Calibri" w:hAnsi="Verdana" w:cs="Times New Roman"/>
        </w:rPr>
        <w:t xml:space="preserve">. </w:t>
      </w:r>
    </w:p>
    <w:p w14:paraId="1A3A907D" w14:textId="77777777" w:rsidR="00363836" w:rsidRDefault="00363836" w:rsidP="00363836">
      <w:pPr>
        <w:spacing w:after="0"/>
        <w:jc w:val="both"/>
        <w:rPr>
          <w:rFonts w:ascii="Verdana" w:hAnsi="Verdana"/>
        </w:rPr>
      </w:pPr>
    </w:p>
    <w:p w14:paraId="53C5C1CF" w14:textId="77777777" w:rsidR="00363836" w:rsidRPr="0044528D" w:rsidRDefault="00363836" w:rsidP="00363836">
      <w:pPr>
        <w:spacing w:after="0"/>
        <w:jc w:val="both"/>
        <w:rPr>
          <w:rFonts w:ascii="Verdana" w:hAnsi="Verdana"/>
        </w:rPr>
      </w:pPr>
      <w:r w:rsidRPr="0044528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4A8F717" w14:textId="77777777" w:rsidR="00363836" w:rsidRPr="0044528D" w:rsidRDefault="00363836" w:rsidP="00363836">
      <w:pPr>
        <w:spacing w:after="0" w:line="240" w:lineRule="auto"/>
        <w:jc w:val="both"/>
        <w:rPr>
          <w:rFonts w:ascii="Verdana" w:hAnsi="Verdana"/>
        </w:rPr>
      </w:pPr>
    </w:p>
    <w:p w14:paraId="411C25D7" w14:textId="77777777" w:rsidR="00363836" w:rsidRPr="0044528D" w:rsidRDefault="00363836" w:rsidP="00363836">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6FE485F0" w14:textId="77777777" w:rsidR="00363836" w:rsidRPr="0044528D" w:rsidRDefault="00363836" w:rsidP="00363836">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2CF34A6A" w14:textId="77777777" w:rsidR="00363836" w:rsidRPr="0044528D" w:rsidRDefault="00363836" w:rsidP="00363836">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0C7A92A9" w14:textId="77777777" w:rsidR="00363836" w:rsidRPr="0044528D" w:rsidRDefault="00363836" w:rsidP="00363836">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15" w:history="1">
        <w:r w:rsidRPr="0044528D">
          <w:rPr>
            <w:rStyle w:val="Hipervnculo"/>
            <w:rFonts w:ascii="Verdana" w:hAnsi="Verdana"/>
          </w:rPr>
          <w:t>www.colombiacompra.gov.co</w:t>
        </w:r>
      </w:hyperlink>
    </w:p>
    <w:p w14:paraId="5559222D" w14:textId="77777777" w:rsidR="00363836" w:rsidRPr="0044528D" w:rsidRDefault="00363836" w:rsidP="00363836">
      <w:pPr>
        <w:pStyle w:val="Prrafodelista"/>
        <w:spacing w:after="0" w:line="240" w:lineRule="auto"/>
        <w:ind w:left="785"/>
        <w:jc w:val="both"/>
        <w:rPr>
          <w:rFonts w:ascii="Verdana" w:hAnsi="Verdana"/>
        </w:rPr>
      </w:pPr>
    </w:p>
    <w:p w14:paraId="57810ECF" w14:textId="77777777" w:rsidR="00363836" w:rsidRPr="0044528D" w:rsidRDefault="00363836" w:rsidP="00363836">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0D21FBB6" w14:textId="77777777" w:rsidR="00363836" w:rsidRPr="0044528D" w:rsidRDefault="00363836" w:rsidP="00363836">
      <w:pPr>
        <w:spacing w:after="0" w:line="240" w:lineRule="auto"/>
        <w:jc w:val="both"/>
        <w:rPr>
          <w:rFonts w:ascii="Verdana" w:hAnsi="Verdana"/>
        </w:rPr>
      </w:pPr>
    </w:p>
    <w:p w14:paraId="6BC226CB" w14:textId="77777777" w:rsidR="00363836" w:rsidRPr="0044528D" w:rsidRDefault="00363836" w:rsidP="00363836">
      <w:pPr>
        <w:spacing w:after="0" w:line="240" w:lineRule="auto"/>
        <w:jc w:val="both"/>
        <w:rPr>
          <w:rFonts w:ascii="Verdana" w:hAnsi="Verdana"/>
        </w:rPr>
      </w:pPr>
      <w:r w:rsidRPr="0044528D">
        <w:rPr>
          <w:rFonts w:ascii="Verdana" w:hAnsi="Verdana"/>
        </w:rPr>
        <w:t xml:space="preserve">Twitter: </w:t>
      </w:r>
      <w:r w:rsidRPr="0044528D">
        <w:rPr>
          <w:rStyle w:val="Hipervnculo"/>
          <w:rFonts w:ascii="Verdana" w:hAnsi="Verdana"/>
        </w:rPr>
        <w:t>@colombiacompra</w:t>
      </w:r>
      <w:r w:rsidRPr="0044528D">
        <w:rPr>
          <w:rFonts w:ascii="Verdana" w:hAnsi="Verdana"/>
        </w:rPr>
        <w:t xml:space="preserve"> </w:t>
      </w:r>
    </w:p>
    <w:p w14:paraId="125723FF" w14:textId="77777777" w:rsidR="00363836" w:rsidRPr="0044528D" w:rsidRDefault="00363836" w:rsidP="00363836">
      <w:pPr>
        <w:spacing w:after="0" w:line="240" w:lineRule="auto"/>
        <w:jc w:val="both"/>
        <w:rPr>
          <w:rFonts w:ascii="Verdana" w:hAnsi="Verdana"/>
        </w:rPr>
      </w:pPr>
      <w:r w:rsidRPr="0044528D">
        <w:rPr>
          <w:rFonts w:ascii="Verdana" w:hAnsi="Verdana"/>
        </w:rPr>
        <w:t xml:space="preserve">Facebook: </w:t>
      </w:r>
      <w:proofErr w:type="spellStart"/>
      <w:r w:rsidRPr="0044528D">
        <w:rPr>
          <w:rStyle w:val="Hipervnculo"/>
          <w:rFonts w:ascii="Verdana" w:hAnsi="Verdana"/>
        </w:rPr>
        <w:t>ColombiaCompraEficiente</w:t>
      </w:r>
      <w:proofErr w:type="spellEnd"/>
    </w:p>
    <w:p w14:paraId="340CB6FE" w14:textId="77777777" w:rsidR="00363836" w:rsidRPr="0044528D" w:rsidRDefault="00363836" w:rsidP="00363836">
      <w:pPr>
        <w:spacing w:after="0" w:line="240" w:lineRule="auto"/>
        <w:jc w:val="both"/>
        <w:rPr>
          <w:rFonts w:ascii="Verdana" w:hAnsi="Verdana"/>
        </w:rPr>
      </w:pPr>
      <w:r w:rsidRPr="0044528D">
        <w:rPr>
          <w:rFonts w:ascii="Verdana" w:hAnsi="Verdana"/>
        </w:rPr>
        <w:t xml:space="preserve">LinkedIn: </w:t>
      </w:r>
      <w:r w:rsidRPr="0044528D">
        <w:rPr>
          <w:rStyle w:val="Hipervnculo"/>
          <w:rFonts w:ascii="Verdana" w:hAnsi="Verdana"/>
        </w:rPr>
        <w:t>Agencia Nacional de Contratación Pública - Colombia Compra Eficiente</w:t>
      </w:r>
      <w:r w:rsidRPr="0044528D">
        <w:rPr>
          <w:rFonts w:ascii="Verdana" w:hAnsi="Verdana"/>
        </w:rPr>
        <w:t xml:space="preserve"> Instagram: </w:t>
      </w:r>
      <w:r w:rsidRPr="0044528D">
        <w:rPr>
          <w:rStyle w:val="Hipervnculo"/>
          <w:rFonts w:ascii="Verdana" w:hAnsi="Verdana"/>
        </w:rPr>
        <w:t>@colombiacompraeficiente_cce</w:t>
      </w:r>
    </w:p>
    <w:p w14:paraId="66D50171" w14:textId="77777777" w:rsidR="00363836" w:rsidRDefault="00363836" w:rsidP="00363836">
      <w:pPr>
        <w:spacing w:after="0" w:line="240" w:lineRule="auto"/>
        <w:jc w:val="both"/>
        <w:rPr>
          <w:rFonts w:ascii="Verdana" w:hAnsi="Verdana"/>
        </w:rPr>
      </w:pPr>
    </w:p>
    <w:p w14:paraId="14A53DB8" w14:textId="77777777" w:rsidR="00363836" w:rsidRPr="00A12CB6" w:rsidRDefault="00363836" w:rsidP="00363836">
      <w:pPr>
        <w:spacing w:after="0" w:line="256" w:lineRule="auto"/>
        <w:jc w:val="both"/>
        <w:rPr>
          <w:rFonts w:ascii="Verdana" w:eastAsia="Calibri" w:hAnsi="Verdana" w:cs="Times New Roman"/>
          <w:bCs/>
          <w:lang w:val="es-ES_tradnl"/>
        </w:rPr>
      </w:pPr>
      <w:r w:rsidRPr="00A12CB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23D8460" w14:textId="77777777" w:rsidR="00363836" w:rsidRPr="001358C0" w:rsidRDefault="00363836" w:rsidP="00363836">
      <w:pPr>
        <w:spacing w:after="0" w:line="240" w:lineRule="auto"/>
        <w:jc w:val="both"/>
        <w:rPr>
          <w:rFonts w:ascii="Verdana" w:hAnsi="Verdana"/>
          <w:lang w:val="es-ES_tradnl"/>
        </w:rPr>
      </w:pPr>
    </w:p>
    <w:p w14:paraId="2D0C2A1F" w14:textId="77777777" w:rsidR="00363836" w:rsidRDefault="00363836" w:rsidP="00363836">
      <w:pPr>
        <w:spacing w:after="0" w:line="240" w:lineRule="auto"/>
        <w:jc w:val="both"/>
        <w:rPr>
          <w:rFonts w:ascii="Verdana" w:hAnsi="Verdana"/>
          <w:lang w:val="es-MX"/>
        </w:rPr>
      </w:pPr>
      <w:r w:rsidRPr="0044528D">
        <w:rPr>
          <w:rFonts w:ascii="Verdana" w:hAnsi="Verdana"/>
          <w:lang w:val="es-MX"/>
        </w:rPr>
        <w:t>Cordialmente,</w:t>
      </w:r>
    </w:p>
    <w:p w14:paraId="46B8B988" w14:textId="77777777" w:rsidR="00363836" w:rsidRPr="0044528D" w:rsidRDefault="00363836" w:rsidP="00363836">
      <w:pPr>
        <w:spacing w:after="0" w:line="240" w:lineRule="auto"/>
        <w:jc w:val="both"/>
        <w:rPr>
          <w:rFonts w:ascii="Verdana" w:hAnsi="Verdana"/>
          <w:b/>
          <w:bCs/>
          <w:lang w:val="es-MX"/>
        </w:rPr>
      </w:pPr>
    </w:p>
    <w:p w14:paraId="37B2812E" w14:textId="6C88FE1B" w:rsidR="00363836" w:rsidRDefault="006773FC" w:rsidP="00363836">
      <w:pPr>
        <w:spacing w:after="0" w:line="240" w:lineRule="auto"/>
        <w:jc w:val="center"/>
        <w:rPr>
          <w:rFonts w:ascii="Verdana" w:hAnsi="Verdana"/>
          <w:b/>
          <w:bCs/>
          <w:lang w:val="es-MX"/>
        </w:rPr>
      </w:pPr>
      <w:r w:rsidRPr="002C3AD6">
        <w:rPr>
          <w:rFonts w:ascii="Century Gothic" w:hAnsi="Century Gothic"/>
          <w:noProof/>
          <w:lang w:val="en-US"/>
        </w:rPr>
        <w:drawing>
          <wp:inline distT="0" distB="0" distL="0" distR="0" wp14:anchorId="5E894619" wp14:editId="53530353">
            <wp:extent cx="3279697" cy="1217463"/>
            <wp:effectExtent l="0" t="0" r="0" b="1905"/>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312722" cy="1229722"/>
                    </a:xfrm>
                    <a:prstGeom prst="rect">
                      <a:avLst/>
                    </a:prstGeom>
                  </pic:spPr>
                </pic:pic>
              </a:graphicData>
            </a:graphic>
          </wp:inline>
        </w:drawing>
      </w:r>
    </w:p>
    <w:p w14:paraId="56129554" w14:textId="77777777" w:rsidR="00363836" w:rsidRPr="0044528D" w:rsidRDefault="00363836" w:rsidP="00363836">
      <w:pPr>
        <w:spacing w:after="0" w:line="240" w:lineRule="auto"/>
        <w:rPr>
          <w:rFonts w:ascii="Verdana" w:hAnsi="Verdana"/>
          <w:b/>
          <w:bCs/>
          <w:lang w:val="es-MX"/>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63836" w:rsidRPr="002B5C7D" w14:paraId="2C153430" w14:textId="77777777" w:rsidTr="009B7150">
        <w:trPr>
          <w:trHeight w:val="409"/>
        </w:trPr>
        <w:tc>
          <w:tcPr>
            <w:tcW w:w="817" w:type="dxa"/>
            <w:tcBorders>
              <w:top w:val="nil"/>
              <w:left w:val="nil"/>
              <w:bottom w:val="nil"/>
              <w:right w:val="nil"/>
            </w:tcBorders>
            <w:vAlign w:val="center"/>
            <w:hideMark/>
          </w:tcPr>
          <w:p w14:paraId="21F7ACA1" w14:textId="77777777" w:rsidR="00363836" w:rsidRPr="002B5C7D" w:rsidRDefault="00363836" w:rsidP="009B715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5A672A8" w14:textId="77777777" w:rsidR="00363836" w:rsidRPr="002B5C7D" w:rsidRDefault="00363836" w:rsidP="009B715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José Luis Sánchez Cardona</w:t>
            </w:r>
          </w:p>
          <w:p w14:paraId="4D896C86" w14:textId="77777777" w:rsidR="00363836" w:rsidRPr="002B5C7D" w:rsidRDefault="00363836" w:rsidP="009B715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Contratista de la Subdirección de Gestión Contractual</w:t>
            </w:r>
          </w:p>
        </w:tc>
      </w:tr>
      <w:tr w:rsidR="00363836" w:rsidRPr="002B5C7D" w14:paraId="03E40EF6" w14:textId="77777777" w:rsidTr="009B7150">
        <w:trPr>
          <w:trHeight w:val="409"/>
        </w:trPr>
        <w:tc>
          <w:tcPr>
            <w:tcW w:w="817" w:type="dxa"/>
            <w:tcBorders>
              <w:top w:val="nil"/>
              <w:left w:val="nil"/>
              <w:bottom w:val="nil"/>
              <w:right w:val="nil"/>
            </w:tcBorders>
            <w:vAlign w:val="center"/>
            <w:hideMark/>
          </w:tcPr>
          <w:p w14:paraId="447FD14E" w14:textId="77777777" w:rsidR="00363836" w:rsidRPr="002B5C7D" w:rsidRDefault="00363836" w:rsidP="009B715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68D7C31" w14:textId="77777777" w:rsidR="00363836" w:rsidRPr="002B5C7D" w:rsidRDefault="00363836" w:rsidP="009B715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Alejandro Sarmiento Cantillo</w:t>
            </w:r>
          </w:p>
          <w:p w14:paraId="2CE2625B" w14:textId="77777777" w:rsidR="00363836" w:rsidRPr="002B5C7D" w:rsidRDefault="00363836" w:rsidP="009B715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Gestor T1-15 de la Subdirección de Gestión Contractual </w:t>
            </w:r>
          </w:p>
        </w:tc>
      </w:tr>
      <w:tr w:rsidR="00363836" w:rsidRPr="002B5C7D" w14:paraId="33E85D5C" w14:textId="77777777" w:rsidTr="009B7150">
        <w:trPr>
          <w:trHeight w:val="389"/>
        </w:trPr>
        <w:tc>
          <w:tcPr>
            <w:tcW w:w="817" w:type="dxa"/>
            <w:tcBorders>
              <w:top w:val="nil"/>
              <w:left w:val="nil"/>
              <w:bottom w:val="nil"/>
              <w:right w:val="nil"/>
            </w:tcBorders>
            <w:vAlign w:val="center"/>
            <w:hideMark/>
          </w:tcPr>
          <w:p w14:paraId="5F1E94EF" w14:textId="77777777" w:rsidR="00363836" w:rsidRPr="002B5C7D" w:rsidRDefault="00363836" w:rsidP="009B715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3447D0D" w14:textId="77777777" w:rsidR="00363836" w:rsidRPr="002B5C7D" w:rsidRDefault="00363836" w:rsidP="009B715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 xml:space="preserve">Carolina Quintero </w:t>
            </w:r>
            <w:proofErr w:type="spellStart"/>
            <w:r w:rsidRPr="002B5C7D">
              <w:rPr>
                <w:rFonts w:ascii="Verdana" w:eastAsia="Calibri" w:hAnsi="Verdana" w:cs="Times New Roman"/>
                <w:sz w:val="16"/>
                <w:szCs w:val="16"/>
              </w:rPr>
              <w:t>Gacharná</w:t>
            </w:r>
            <w:proofErr w:type="spellEnd"/>
          </w:p>
          <w:p w14:paraId="657E2899" w14:textId="77777777" w:rsidR="00363836" w:rsidRPr="002B5C7D" w:rsidRDefault="00363836" w:rsidP="009B7150">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Subdirectora de Gestión Contractual ANCP – CCE</w:t>
            </w:r>
          </w:p>
        </w:tc>
      </w:tr>
      <w:bookmarkEnd w:id="0"/>
    </w:tbl>
    <w:p w14:paraId="74525BD9" w14:textId="77777777" w:rsidR="00363836" w:rsidRPr="0044528D" w:rsidRDefault="00363836" w:rsidP="00363836">
      <w:pPr>
        <w:spacing w:after="0" w:line="240" w:lineRule="auto"/>
        <w:textAlignment w:val="baseline"/>
        <w:rPr>
          <w:rFonts w:ascii="Verdana" w:eastAsia="Times New Roman" w:hAnsi="Verdana" w:cs="Segoe UI"/>
          <w:b/>
          <w:bCs/>
          <w:color w:val="46589C"/>
          <w:lang w:val="es-ES" w:eastAsia="es-CO"/>
        </w:rPr>
      </w:pPr>
    </w:p>
    <w:p w14:paraId="0F293BF4" w14:textId="5BFB13AD" w:rsidR="00127233" w:rsidRPr="00363836" w:rsidRDefault="00127233" w:rsidP="00363836">
      <w:pPr>
        <w:rPr>
          <w:lang w:val="es-ES"/>
        </w:rPr>
      </w:pPr>
    </w:p>
    <w:sectPr w:rsidR="00127233" w:rsidRPr="00363836"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04817" w14:textId="77777777" w:rsidR="00F15862" w:rsidRDefault="00F15862" w:rsidP="004A1847">
      <w:pPr>
        <w:spacing w:after="0" w:line="240" w:lineRule="auto"/>
      </w:pPr>
      <w:r>
        <w:separator/>
      </w:r>
    </w:p>
  </w:endnote>
  <w:endnote w:type="continuationSeparator" w:id="0">
    <w:p w14:paraId="21F1B530" w14:textId="77777777" w:rsidR="00F15862" w:rsidRDefault="00F15862" w:rsidP="004A1847">
      <w:pPr>
        <w:spacing w:after="0" w:line="240" w:lineRule="auto"/>
      </w:pPr>
      <w:r>
        <w:continuationSeparator/>
      </w:r>
    </w:p>
  </w:endnote>
  <w:endnote w:type="continuationNotice" w:id="1">
    <w:p w14:paraId="0CB4D0A3" w14:textId="77777777" w:rsidR="00F15862" w:rsidRDefault="00F158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0B4AFAA1"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09313A" w:rsidRPr="0009313A">
      <w:rPr>
        <w:rFonts w:ascii="Verdana" w:eastAsiaTheme="minorEastAsia" w:hAnsi="Verdana"/>
        <w:b/>
        <w:bCs/>
        <w:noProof/>
        <w:sz w:val="16"/>
        <w:szCs w:val="16"/>
      </w:rPr>
      <w:t>6</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1E4F9" w14:textId="77777777" w:rsidR="00F15862" w:rsidRDefault="00F15862" w:rsidP="004A1847">
      <w:pPr>
        <w:spacing w:after="0" w:line="240" w:lineRule="auto"/>
      </w:pPr>
      <w:r>
        <w:separator/>
      </w:r>
    </w:p>
  </w:footnote>
  <w:footnote w:type="continuationSeparator" w:id="0">
    <w:p w14:paraId="45751C0F" w14:textId="77777777" w:rsidR="00F15862" w:rsidRDefault="00F15862" w:rsidP="004A1847">
      <w:pPr>
        <w:spacing w:after="0" w:line="240" w:lineRule="auto"/>
      </w:pPr>
      <w:r>
        <w:continuationSeparator/>
      </w:r>
    </w:p>
  </w:footnote>
  <w:footnote w:type="continuationNotice" w:id="1">
    <w:p w14:paraId="10E8CE0C" w14:textId="77777777" w:rsidR="00F15862" w:rsidRDefault="00F15862">
      <w:pPr>
        <w:spacing w:after="0" w:line="240" w:lineRule="auto"/>
      </w:pPr>
    </w:p>
  </w:footnote>
  <w:footnote w:id="2">
    <w:p w14:paraId="0D50F461" w14:textId="77777777" w:rsidR="00363836" w:rsidRPr="00053149" w:rsidRDefault="00363836" w:rsidP="00363836">
      <w:pPr>
        <w:pStyle w:val="Textonotapie"/>
        <w:ind w:firstLine="708"/>
        <w:jc w:val="both"/>
        <w:rPr>
          <w:rFonts w:ascii="Verdana" w:hAnsi="Verdana" w:cs="Arial"/>
          <w:sz w:val="16"/>
          <w:szCs w:val="16"/>
        </w:rPr>
      </w:pPr>
      <w:r w:rsidRPr="00053149">
        <w:rPr>
          <w:rStyle w:val="Refdenotaalpie"/>
          <w:rFonts w:ascii="Verdana" w:hAnsi="Verdana" w:cs="Arial"/>
          <w:sz w:val="16"/>
          <w:szCs w:val="16"/>
        </w:rPr>
        <w:footnoteRef/>
      </w:r>
      <w:r w:rsidRPr="00053149">
        <w:rPr>
          <w:rFonts w:ascii="Verdana" w:hAnsi="Verdana" w:cs="Arial"/>
          <w:sz w:val="16"/>
          <w:szCs w:val="16"/>
        </w:rPr>
        <w:t xml:space="preserve"> El inciso primero de norma disponía que, conforme al principio de transparencia, “</w:t>
      </w:r>
      <w:r w:rsidRPr="00053149">
        <w:rPr>
          <w:rFonts w:ascii="Verdana" w:hAnsi="Verdana" w:cs="Arial"/>
          <w:i/>
          <w:iCs/>
          <w:sz w:val="16"/>
          <w:szCs w:val="16"/>
        </w:rPr>
        <w:t>La escogencia del contratista se efectuará siempre a través de licitación o concurso públicos</w:t>
      </w:r>
      <w:r w:rsidRPr="00053149">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3">
    <w:p w14:paraId="75BBD27A" w14:textId="77777777" w:rsidR="00363836" w:rsidRPr="00053149" w:rsidRDefault="00363836" w:rsidP="00363836">
      <w:pPr>
        <w:pStyle w:val="Textonotapie"/>
        <w:ind w:firstLine="708"/>
        <w:jc w:val="both"/>
        <w:rPr>
          <w:rFonts w:ascii="Verdana" w:hAnsi="Verdana" w:cs="Arial"/>
          <w:sz w:val="16"/>
          <w:szCs w:val="16"/>
        </w:rPr>
      </w:pPr>
      <w:r w:rsidRPr="00053149">
        <w:rPr>
          <w:rStyle w:val="Refdenotaalpie"/>
          <w:rFonts w:ascii="Verdana" w:hAnsi="Verdana"/>
          <w:sz w:val="16"/>
          <w:szCs w:val="16"/>
        </w:rPr>
        <w:footnoteRef/>
      </w:r>
      <w:r w:rsidRPr="00053149">
        <w:rPr>
          <w:rFonts w:ascii="Verdana" w:hAnsi="Verdana"/>
          <w:sz w:val="16"/>
          <w:szCs w:val="16"/>
        </w:rPr>
        <w:t xml:space="preserve"> </w:t>
      </w:r>
      <w:r w:rsidRPr="00053149">
        <w:rPr>
          <w:rFonts w:ascii="Verdana" w:hAnsi="Verdana" w:cs="Arial"/>
          <w:sz w:val="16"/>
          <w:szCs w:val="16"/>
        </w:rPr>
        <w:t xml:space="preserve">El numeral 2 del artículo 2 de la Ley 1150 de 2007 prescribe: </w:t>
      </w:r>
      <w:r w:rsidRPr="00053149">
        <w:rPr>
          <w:rFonts w:ascii="Verdana" w:hAnsi="Verdana"/>
          <w:sz w:val="16"/>
          <w:szCs w:val="16"/>
        </w:rPr>
        <w:t xml:space="preserve">“[…] </w:t>
      </w:r>
      <w:r w:rsidRPr="00053149">
        <w:rPr>
          <w:rFonts w:ascii="Verdana" w:hAnsi="Verdana" w:cs="Arial"/>
          <w:sz w:val="16"/>
          <w:szCs w:val="16"/>
        </w:rPr>
        <w:t>Serán causales de selección abreviada las siguientes:</w:t>
      </w:r>
    </w:p>
    <w:p w14:paraId="418676B9" w14:textId="77777777" w:rsidR="00363836" w:rsidRPr="00053149" w:rsidRDefault="00363836" w:rsidP="00363836">
      <w:pPr>
        <w:pStyle w:val="Textonotapie"/>
        <w:ind w:firstLine="708"/>
        <w:jc w:val="both"/>
        <w:rPr>
          <w:rFonts w:ascii="Verdana" w:hAnsi="Verdana" w:cs="Arial"/>
          <w:sz w:val="16"/>
          <w:szCs w:val="16"/>
        </w:rPr>
      </w:pPr>
      <w:r w:rsidRPr="00053149">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5E858054" w14:textId="77777777" w:rsidR="00363836" w:rsidRPr="00053149" w:rsidRDefault="00363836" w:rsidP="00363836">
      <w:pPr>
        <w:pStyle w:val="Textonotapie"/>
        <w:ind w:firstLine="708"/>
        <w:jc w:val="both"/>
        <w:rPr>
          <w:rFonts w:ascii="Verdana" w:hAnsi="Verdana" w:cs="Arial"/>
          <w:sz w:val="16"/>
          <w:szCs w:val="16"/>
        </w:rPr>
      </w:pPr>
      <w:r w:rsidRPr="00053149">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429910A6" w14:textId="77777777" w:rsidR="00363836" w:rsidRPr="00053149" w:rsidRDefault="00363836" w:rsidP="00363836">
      <w:pPr>
        <w:pStyle w:val="Textonotapie"/>
        <w:ind w:firstLine="708"/>
        <w:jc w:val="both"/>
        <w:rPr>
          <w:rFonts w:ascii="Verdana" w:hAnsi="Verdana" w:cs="Arial"/>
          <w:sz w:val="16"/>
          <w:szCs w:val="16"/>
        </w:rPr>
      </w:pPr>
      <w:r w:rsidRPr="00053149">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05208CFF" w14:textId="77777777" w:rsidR="00363836" w:rsidRPr="00053149" w:rsidRDefault="00363836" w:rsidP="00363836">
      <w:pPr>
        <w:pStyle w:val="Textonotapie"/>
        <w:ind w:firstLine="708"/>
        <w:jc w:val="both"/>
        <w:rPr>
          <w:rFonts w:ascii="Verdana" w:hAnsi="Verdana" w:cs="Arial"/>
          <w:sz w:val="16"/>
          <w:szCs w:val="16"/>
        </w:rPr>
      </w:pPr>
      <w:r w:rsidRPr="00053149">
        <w:rPr>
          <w:rFonts w:ascii="Verdana" w:hAnsi="Verdana" w:cs="Arial"/>
          <w:sz w:val="16"/>
          <w:szCs w:val="16"/>
        </w:rPr>
        <w:t>[…];</w:t>
      </w:r>
    </w:p>
    <w:p w14:paraId="4CCDBA33" w14:textId="77777777" w:rsidR="00363836" w:rsidRPr="00053149" w:rsidRDefault="00363836" w:rsidP="00363836">
      <w:pPr>
        <w:pStyle w:val="Textonotapie"/>
        <w:ind w:firstLine="708"/>
        <w:jc w:val="both"/>
        <w:rPr>
          <w:rFonts w:ascii="Verdana" w:hAnsi="Verdana" w:cs="Arial"/>
          <w:sz w:val="16"/>
          <w:szCs w:val="16"/>
        </w:rPr>
      </w:pPr>
      <w:r w:rsidRPr="00053149">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0B6D0CC6" w14:textId="77777777" w:rsidR="00363836" w:rsidRPr="00053149" w:rsidRDefault="00363836" w:rsidP="00363836">
      <w:pPr>
        <w:pStyle w:val="Textonotapie"/>
        <w:ind w:firstLine="708"/>
        <w:jc w:val="both"/>
        <w:rPr>
          <w:rFonts w:ascii="Verdana" w:hAnsi="Verdana" w:cs="Arial"/>
          <w:sz w:val="16"/>
          <w:szCs w:val="16"/>
        </w:rPr>
      </w:pPr>
      <w:r w:rsidRPr="00053149">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718FBE06" w14:textId="77777777" w:rsidR="00363836" w:rsidRPr="00053149" w:rsidRDefault="00363836" w:rsidP="00363836">
      <w:pPr>
        <w:pStyle w:val="Textonotapie"/>
        <w:ind w:firstLine="708"/>
        <w:jc w:val="both"/>
        <w:rPr>
          <w:rFonts w:ascii="Verdana" w:hAnsi="Verdana" w:cs="Arial"/>
          <w:sz w:val="16"/>
          <w:szCs w:val="16"/>
        </w:rPr>
      </w:pPr>
      <w:r w:rsidRPr="00053149">
        <w:rPr>
          <w:rFonts w:ascii="Verdana" w:hAnsi="Verdana" w:cs="Arial"/>
          <w:sz w:val="16"/>
          <w:szCs w:val="16"/>
        </w:rPr>
        <w:t>e) La enajenación de bienes del Estado, con excepción de aquellos a que se refiere la Ley 226 de 1995.</w:t>
      </w:r>
    </w:p>
    <w:p w14:paraId="3279F1EE" w14:textId="77777777" w:rsidR="00363836" w:rsidRPr="00053149" w:rsidRDefault="00363836" w:rsidP="00363836">
      <w:pPr>
        <w:pStyle w:val="Textonotapie"/>
        <w:ind w:firstLine="708"/>
        <w:jc w:val="both"/>
        <w:rPr>
          <w:rFonts w:ascii="Verdana" w:hAnsi="Verdana" w:cs="Arial"/>
          <w:sz w:val="16"/>
          <w:szCs w:val="16"/>
        </w:rPr>
      </w:pPr>
      <w:r w:rsidRPr="00053149">
        <w:rPr>
          <w:rFonts w:ascii="Verdana" w:hAnsi="Verdana" w:cs="Arial"/>
          <w:sz w:val="16"/>
          <w:szCs w:val="16"/>
        </w:rPr>
        <w:t xml:space="preserve">[…]; </w:t>
      </w:r>
    </w:p>
    <w:p w14:paraId="0B42F3C8" w14:textId="77777777" w:rsidR="00363836" w:rsidRPr="00053149" w:rsidRDefault="00363836" w:rsidP="00363836">
      <w:pPr>
        <w:pStyle w:val="Textonotapie"/>
        <w:ind w:firstLine="708"/>
        <w:jc w:val="both"/>
        <w:rPr>
          <w:rFonts w:ascii="Verdana" w:hAnsi="Verdana" w:cs="Arial"/>
          <w:sz w:val="16"/>
          <w:szCs w:val="16"/>
        </w:rPr>
      </w:pPr>
      <w:r w:rsidRPr="00053149">
        <w:rPr>
          <w:rFonts w:ascii="Verdana" w:hAnsi="Verdana" w:cs="Arial"/>
          <w:sz w:val="16"/>
          <w:szCs w:val="16"/>
        </w:rPr>
        <w:t xml:space="preserve">f) Productos de origen o destinación agropecuarios que se ofrezcan en las bolsas de productos legalmente constituidas; </w:t>
      </w:r>
    </w:p>
    <w:p w14:paraId="228EFB9A" w14:textId="77777777" w:rsidR="00363836" w:rsidRPr="00053149" w:rsidRDefault="00363836" w:rsidP="00363836">
      <w:pPr>
        <w:pStyle w:val="Textonotapie"/>
        <w:ind w:firstLine="708"/>
        <w:jc w:val="both"/>
        <w:rPr>
          <w:rFonts w:ascii="Verdana" w:hAnsi="Verdana" w:cs="Arial"/>
          <w:sz w:val="16"/>
          <w:szCs w:val="16"/>
        </w:rPr>
      </w:pPr>
      <w:r w:rsidRPr="00053149">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62570268" w14:textId="77777777" w:rsidR="00363836" w:rsidRPr="00053149" w:rsidRDefault="00363836" w:rsidP="00363836">
      <w:pPr>
        <w:pStyle w:val="Textonotapie"/>
        <w:ind w:firstLine="708"/>
        <w:jc w:val="both"/>
        <w:rPr>
          <w:rFonts w:ascii="Verdana" w:hAnsi="Verdana" w:cs="Arial"/>
          <w:sz w:val="16"/>
          <w:szCs w:val="16"/>
        </w:rPr>
      </w:pPr>
      <w:r w:rsidRPr="00053149">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3F044A37" w14:textId="77777777" w:rsidR="00363836" w:rsidRPr="00053149" w:rsidRDefault="00363836" w:rsidP="00363836">
      <w:pPr>
        <w:pStyle w:val="Textonotapie"/>
        <w:ind w:firstLine="708"/>
        <w:jc w:val="both"/>
        <w:rPr>
          <w:rFonts w:ascii="Verdana" w:hAnsi="Verdana" w:cs="Arial"/>
          <w:sz w:val="16"/>
          <w:szCs w:val="16"/>
        </w:rPr>
      </w:pPr>
      <w:r w:rsidRPr="00053149">
        <w:rPr>
          <w:rFonts w:ascii="Verdana" w:hAnsi="Verdana" w:cs="Arial"/>
          <w:sz w:val="16"/>
          <w:szCs w:val="16"/>
        </w:rPr>
        <w:t>i) La contratación de bienes y servicios que se requieran para la defensa y seguridad nacional.</w:t>
      </w:r>
    </w:p>
    <w:p w14:paraId="229FF22E" w14:textId="77777777" w:rsidR="00363836" w:rsidRPr="00053149" w:rsidRDefault="00363836" w:rsidP="00363836">
      <w:pPr>
        <w:pStyle w:val="Textonotapie"/>
        <w:ind w:firstLine="708"/>
        <w:jc w:val="both"/>
        <w:rPr>
          <w:rFonts w:ascii="Verdana" w:hAnsi="Verdana" w:cs="Arial"/>
          <w:sz w:val="16"/>
          <w:szCs w:val="16"/>
        </w:rPr>
      </w:pPr>
      <w:r w:rsidRPr="00053149">
        <w:rPr>
          <w:rFonts w:ascii="Verdana" w:hAnsi="Verdana" w:cs="Arial"/>
          <w:sz w:val="16"/>
          <w:szCs w:val="16"/>
        </w:rPr>
        <w:t>j) Los bienes y servicios no uniformes de común utilización por parte de las entidades públicas, para lo cual la Agencia Nacional de Contratación Pública - Colombia Compra Eficiente - 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4">
    <w:p w14:paraId="6D1A8C26" w14:textId="77777777" w:rsidR="00363836" w:rsidRPr="00053149" w:rsidRDefault="00363836" w:rsidP="00363836">
      <w:pPr>
        <w:pStyle w:val="Textonotapie"/>
        <w:ind w:firstLine="708"/>
        <w:jc w:val="both"/>
        <w:rPr>
          <w:rFonts w:ascii="Verdana" w:hAnsi="Verdana" w:cs="Arial"/>
          <w:sz w:val="16"/>
          <w:szCs w:val="16"/>
        </w:rPr>
      </w:pPr>
      <w:r w:rsidRPr="00053149">
        <w:rPr>
          <w:rStyle w:val="Refdenotaalpie"/>
          <w:rFonts w:ascii="Verdana" w:hAnsi="Verdana"/>
          <w:sz w:val="16"/>
          <w:szCs w:val="16"/>
        </w:rPr>
        <w:footnoteRef/>
      </w:r>
      <w:r w:rsidRPr="00053149">
        <w:rPr>
          <w:rFonts w:ascii="Verdana" w:hAnsi="Verdana"/>
          <w:sz w:val="16"/>
          <w:szCs w:val="16"/>
        </w:rPr>
        <w:t xml:space="preserve"> </w:t>
      </w:r>
      <w:r w:rsidRPr="00053149">
        <w:rPr>
          <w:rFonts w:ascii="Verdana" w:hAnsi="Verdana" w:cs="Arial"/>
          <w:sz w:val="16"/>
          <w:szCs w:val="16"/>
        </w:rPr>
        <w:t xml:space="preserve">CONGRESO DE LA REPÚBLICA. Exposición de motivos de la Ley 1150 de 2007. Gaceta del Congreso No. 458 del 1º de agosto de 2005. p. 8. </w:t>
      </w:r>
    </w:p>
  </w:footnote>
  <w:footnote w:id="5">
    <w:p w14:paraId="2E7F8BE9" w14:textId="77777777" w:rsidR="00363836" w:rsidRPr="00053149" w:rsidRDefault="00363836" w:rsidP="00363836">
      <w:pPr>
        <w:pStyle w:val="Textonotapie"/>
        <w:ind w:firstLine="708"/>
        <w:jc w:val="both"/>
        <w:rPr>
          <w:rFonts w:ascii="Verdana" w:hAnsi="Verdana" w:cs="Arial"/>
          <w:sz w:val="16"/>
          <w:szCs w:val="16"/>
        </w:rPr>
      </w:pPr>
      <w:r w:rsidRPr="00053149">
        <w:rPr>
          <w:rStyle w:val="Refdenotaalpie"/>
          <w:rFonts w:ascii="Verdana" w:hAnsi="Verdana"/>
          <w:sz w:val="16"/>
          <w:szCs w:val="16"/>
        </w:rPr>
        <w:footnoteRef/>
      </w:r>
      <w:r w:rsidRPr="00053149">
        <w:rPr>
          <w:rFonts w:ascii="Verdana" w:hAnsi="Verdana"/>
          <w:sz w:val="16"/>
          <w:szCs w:val="16"/>
        </w:rPr>
        <w:t xml:space="preserve"> </w:t>
      </w:r>
      <w:r w:rsidRPr="00053149">
        <w:rPr>
          <w:rFonts w:ascii="Verdana" w:hAnsi="Verdana" w:cs="Arial"/>
          <w:sz w:val="16"/>
          <w:szCs w:val="16"/>
        </w:rPr>
        <w:t xml:space="preserve">CONSEJO DE ESTADO. Sección Tercera. Subsección A. Sentencia del 23 de julio de 2015. Exp. 36.805. C. P. Hernán Andrade Rincón. </w:t>
      </w:r>
    </w:p>
  </w:footnote>
  <w:footnote w:id="6">
    <w:p w14:paraId="6E273818" w14:textId="77777777" w:rsidR="00363836" w:rsidRPr="00053149" w:rsidRDefault="00363836" w:rsidP="00363836">
      <w:pPr>
        <w:pStyle w:val="Textonotapie"/>
        <w:ind w:firstLine="708"/>
        <w:jc w:val="both"/>
        <w:rPr>
          <w:rFonts w:ascii="Verdana" w:hAnsi="Verdana"/>
          <w:sz w:val="16"/>
          <w:szCs w:val="16"/>
          <w:lang w:val="es-CO"/>
        </w:rPr>
      </w:pPr>
      <w:r w:rsidRPr="00053149">
        <w:rPr>
          <w:rStyle w:val="Refdenotaalpie"/>
          <w:rFonts w:ascii="Verdana" w:hAnsi="Verdana"/>
          <w:sz w:val="16"/>
          <w:szCs w:val="16"/>
        </w:rPr>
        <w:footnoteRef/>
      </w:r>
      <w:r w:rsidRPr="00053149">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053149">
        <w:rPr>
          <w:rFonts w:ascii="Verdana" w:hAnsi="Verdana"/>
          <w:i/>
          <w:iCs/>
          <w:sz w:val="16"/>
          <w:szCs w:val="16"/>
        </w:rPr>
        <w:t>las palabras de la ley se entenderán en su sentido natural y obvio, según el uso general de las mismas palabras</w:t>
      </w:r>
      <w:r w:rsidRPr="00053149">
        <w:rPr>
          <w:rFonts w:ascii="Verdana" w:hAnsi="Verdana"/>
          <w:sz w:val="16"/>
          <w:szCs w:val="16"/>
        </w:rPr>
        <w:t>’, es decir, el uso de la gente educada. El Diccionario de la Lengua publicado por la Real Academia Española goza a este respecto de gran autoridad. ‘</w:t>
      </w:r>
      <w:r w:rsidRPr="00053149">
        <w:rPr>
          <w:rFonts w:ascii="Verdana" w:hAnsi="Verdana"/>
          <w:i/>
          <w:iCs/>
          <w:sz w:val="16"/>
          <w:szCs w:val="16"/>
        </w:rPr>
        <w:t>Pero cuando el legislador</w:t>
      </w:r>
      <w:r w:rsidRPr="00053149">
        <w:rPr>
          <w:rFonts w:ascii="Verdana" w:hAnsi="Verdana"/>
          <w:sz w:val="16"/>
          <w:szCs w:val="16"/>
        </w:rPr>
        <w:t xml:space="preserve">, agrega el artículo 20, </w:t>
      </w:r>
      <w:r w:rsidRPr="00053149">
        <w:rPr>
          <w:rFonts w:ascii="Verdana" w:hAnsi="Verdana"/>
          <w:i/>
          <w:iCs/>
          <w:sz w:val="16"/>
          <w:szCs w:val="16"/>
        </w:rPr>
        <w:t>las haya definido expresamente para ciertas materias se les dará en éstas su significado legal</w:t>
      </w:r>
      <w:r w:rsidRPr="00053149">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footnote>
  <w:footnote w:id="7">
    <w:p w14:paraId="719FD160" w14:textId="77777777" w:rsidR="00363836" w:rsidRPr="00053149" w:rsidRDefault="00363836" w:rsidP="00363836">
      <w:pPr>
        <w:pStyle w:val="Textonotapie"/>
        <w:ind w:firstLine="708"/>
        <w:jc w:val="both"/>
        <w:rPr>
          <w:rFonts w:ascii="Verdana" w:hAnsi="Verdana"/>
          <w:sz w:val="16"/>
          <w:szCs w:val="16"/>
          <w:lang w:val="es-ES"/>
        </w:rPr>
      </w:pPr>
      <w:r w:rsidRPr="00053149">
        <w:rPr>
          <w:rStyle w:val="Refdenotaalpie"/>
          <w:rFonts w:ascii="Verdana" w:hAnsi="Verdana"/>
          <w:sz w:val="16"/>
          <w:szCs w:val="16"/>
        </w:rPr>
        <w:footnoteRef/>
      </w:r>
      <w:r w:rsidRPr="00053149">
        <w:rPr>
          <w:rFonts w:ascii="Verdana" w:hAnsi="Verdana"/>
          <w:sz w:val="16"/>
          <w:szCs w:val="16"/>
        </w:rPr>
        <w:t xml:space="preserve"> </w:t>
      </w:r>
      <w:r w:rsidRPr="00053149">
        <w:rPr>
          <w:rFonts w:ascii="Verdana" w:hAnsi="Verdana"/>
          <w:sz w:val="16"/>
          <w:szCs w:val="16"/>
          <w:lang w:val="es-ES"/>
        </w:rPr>
        <w:t xml:space="preserve">REAL ACADEMIA DE LA LENGUA ESPAÑOLA. Diccionario de la lengua española. Disponible en línea: </w:t>
      </w:r>
      <w:hyperlink r:id="rId1" w:history="1">
        <w:r w:rsidRPr="00053149">
          <w:rPr>
            <w:rStyle w:val="Hipervnculo"/>
            <w:rFonts w:ascii="Verdana" w:hAnsi="Verdana"/>
            <w:sz w:val="16"/>
            <w:szCs w:val="16"/>
            <w:lang w:val="es-ES"/>
          </w:rPr>
          <w:t>https://dle.rae.es/y</w:t>
        </w:r>
      </w:hyperlink>
      <w:r w:rsidRPr="00053149">
        <w:rPr>
          <w:rFonts w:ascii="Verdana" w:hAnsi="Verdana"/>
          <w:sz w:val="16"/>
          <w:szCs w:val="16"/>
          <w:lang w:val="es-ES"/>
        </w:rPr>
        <w:t xml:space="preserve">. (Consultado el 18 de febrero de 2025). </w:t>
      </w:r>
    </w:p>
  </w:footnote>
  <w:footnote w:id="8">
    <w:p w14:paraId="1B303601" w14:textId="77777777" w:rsidR="00363836" w:rsidRPr="00053149" w:rsidRDefault="00363836" w:rsidP="00363836">
      <w:pPr>
        <w:pStyle w:val="Textonotapie"/>
        <w:ind w:firstLine="708"/>
        <w:jc w:val="both"/>
        <w:rPr>
          <w:rFonts w:ascii="Verdana" w:hAnsi="Verdana"/>
          <w:sz w:val="16"/>
          <w:szCs w:val="16"/>
          <w:lang w:val="es-ES"/>
        </w:rPr>
      </w:pPr>
      <w:r w:rsidRPr="00053149">
        <w:rPr>
          <w:rStyle w:val="Refdenotaalpie"/>
          <w:rFonts w:ascii="Verdana" w:hAnsi="Verdana"/>
          <w:sz w:val="16"/>
          <w:szCs w:val="16"/>
        </w:rPr>
        <w:footnoteRef/>
      </w:r>
      <w:r w:rsidRPr="00053149">
        <w:rPr>
          <w:rFonts w:ascii="Verdana" w:hAnsi="Verdana"/>
          <w:sz w:val="16"/>
          <w:szCs w:val="16"/>
        </w:rPr>
        <w:t xml:space="preserve"> </w:t>
      </w:r>
      <w:r w:rsidRPr="00053149">
        <w:rPr>
          <w:rFonts w:ascii="Verdana" w:hAnsi="Verdana"/>
          <w:sz w:val="16"/>
          <w:szCs w:val="16"/>
          <w:lang w:val="es-ES"/>
        </w:rPr>
        <w:t xml:space="preserve">PALACIO HINCAPIÉ, Juan Ángel. La contratación de las entidades estatales. 8 ed. Medellín: Librería Jurídica R S.A.S., 2020. p. 380. </w:t>
      </w:r>
    </w:p>
  </w:footnote>
  <w:footnote w:id="9">
    <w:p w14:paraId="23948E05" w14:textId="77777777" w:rsidR="00363836" w:rsidRPr="00053149" w:rsidRDefault="00363836" w:rsidP="00363836">
      <w:pPr>
        <w:pStyle w:val="Textonotapie"/>
        <w:ind w:firstLine="708"/>
        <w:jc w:val="both"/>
        <w:rPr>
          <w:rFonts w:ascii="Verdana" w:hAnsi="Verdana"/>
          <w:sz w:val="16"/>
          <w:szCs w:val="16"/>
        </w:rPr>
      </w:pPr>
      <w:r w:rsidRPr="00053149">
        <w:rPr>
          <w:rStyle w:val="Refdenotaalpie"/>
          <w:rFonts w:ascii="Verdana" w:hAnsi="Verdana"/>
          <w:sz w:val="16"/>
          <w:szCs w:val="16"/>
        </w:rPr>
        <w:footnoteRef/>
      </w:r>
      <w:r w:rsidRPr="00053149">
        <w:rPr>
          <w:rFonts w:ascii="Verdana" w:hAnsi="Verdana"/>
          <w:sz w:val="16"/>
          <w:szCs w:val="16"/>
        </w:rPr>
        <w:t xml:space="preserve"> SUÁREZ BELTRÁN, Gonzalo. Estudios de derecho contractual público. Bogotá: Legis y Universidad Pontificia Javeriana, 2014. p. 72-73.</w:t>
      </w:r>
    </w:p>
  </w:footnote>
  <w:footnote w:id="10">
    <w:p w14:paraId="15191E80" w14:textId="77777777" w:rsidR="00363836" w:rsidRPr="00053149" w:rsidRDefault="00363836" w:rsidP="00363836">
      <w:pPr>
        <w:pStyle w:val="Textonotapie"/>
        <w:ind w:firstLine="708"/>
        <w:jc w:val="both"/>
        <w:rPr>
          <w:rFonts w:ascii="Verdana" w:hAnsi="Verdana"/>
          <w:sz w:val="16"/>
          <w:szCs w:val="16"/>
          <w:lang w:val="es-CO"/>
        </w:rPr>
      </w:pPr>
      <w:r w:rsidRPr="00053149">
        <w:rPr>
          <w:rStyle w:val="Refdenotaalpie"/>
          <w:rFonts w:ascii="Verdana" w:hAnsi="Verdana"/>
          <w:sz w:val="16"/>
          <w:szCs w:val="16"/>
        </w:rPr>
        <w:footnoteRef/>
      </w:r>
      <w:r w:rsidRPr="00053149">
        <w:rPr>
          <w:rFonts w:ascii="Verdana" w:hAnsi="Verdana"/>
          <w:sz w:val="16"/>
          <w:szCs w:val="16"/>
        </w:rPr>
        <w:t xml:space="preserve"> </w:t>
      </w:r>
      <w:r w:rsidRPr="00053149">
        <w:rPr>
          <w:rFonts w:ascii="Verdana" w:hAnsi="Verdana"/>
          <w:i/>
          <w:iCs/>
          <w:sz w:val="16"/>
          <w:szCs w:val="16"/>
        </w:rPr>
        <w:t>Ibidem</w:t>
      </w:r>
      <w:r w:rsidRPr="00053149">
        <w:rPr>
          <w:rFonts w:ascii="Verdana" w:hAnsi="Verdana"/>
          <w:sz w:val="16"/>
          <w:szCs w:val="16"/>
        </w:rPr>
        <w:t xml:space="preserve">. p. 72-73. </w:t>
      </w:r>
    </w:p>
  </w:footnote>
  <w:footnote w:id="11">
    <w:p w14:paraId="7FB3CF51" w14:textId="77777777" w:rsidR="00363836" w:rsidRPr="00053149" w:rsidRDefault="00363836" w:rsidP="00363836">
      <w:pPr>
        <w:pStyle w:val="Textonotapie"/>
        <w:ind w:firstLine="708"/>
        <w:jc w:val="both"/>
        <w:rPr>
          <w:rFonts w:ascii="Verdana" w:hAnsi="Verdana"/>
          <w:sz w:val="16"/>
          <w:szCs w:val="16"/>
        </w:rPr>
      </w:pPr>
      <w:r w:rsidRPr="00053149">
        <w:rPr>
          <w:rStyle w:val="Refdenotaalpie"/>
          <w:rFonts w:ascii="Verdana" w:hAnsi="Verdana"/>
          <w:sz w:val="16"/>
          <w:szCs w:val="16"/>
        </w:rPr>
        <w:footnoteRef/>
      </w:r>
      <w:r w:rsidRPr="00053149">
        <w:rPr>
          <w:rFonts w:ascii="Verdana" w:hAnsi="Verdana"/>
          <w:sz w:val="16"/>
          <w:szCs w:val="16"/>
        </w:rPr>
        <w:t xml:space="preserve"> Anexo de Definiciones del Reglamento de Contratación Pública del Perú. Disponible en línea: </w:t>
      </w:r>
      <w:hyperlink r:id="rId2" w:history="1">
        <w:r w:rsidRPr="00053149">
          <w:rPr>
            <w:rStyle w:val="Hipervnculo"/>
            <w:rFonts w:ascii="Verdana" w:hAnsi="Verdana"/>
            <w:sz w:val="16"/>
            <w:szCs w:val="16"/>
          </w:rPr>
          <w:t>https://www.oas.org/juridico/PDFs/mesicic5_per_osce_anexo2_reg_ley_cont_est.PDF</w:t>
        </w:r>
      </w:hyperlink>
      <w:r w:rsidRPr="00053149">
        <w:rPr>
          <w:rFonts w:ascii="Verdana" w:hAnsi="Verdana"/>
          <w:sz w:val="16"/>
          <w:szCs w:val="16"/>
        </w:rPr>
        <w:t xml:space="preserve">. Consultado el 25 de febrero de 2025. </w:t>
      </w:r>
    </w:p>
  </w:footnote>
  <w:footnote w:id="12">
    <w:p w14:paraId="302546D2" w14:textId="77777777" w:rsidR="00363836" w:rsidRPr="00053149" w:rsidRDefault="00363836" w:rsidP="00363836">
      <w:pPr>
        <w:pStyle w:val="Textonotapie"/>
        <w:ind w:firstLine="708"/>
        <w:jc w:val="both"/>
        <w:rPr>
          <w:rFonts w:ascii="Verdana" w:hAnsi="Verdana" w:cs="Arial"/>
          <w:sz w:val="16"/>
          <w:szCs w:val="16"/>
        </w:rPr>
      </w:pPr>
      <w:r w:rsidRPr="00053149">
        <w:rPr>
          <w:rStyle w:val="Refdenotaalpie"/>
          <w:rFonts w:ascii="Verdana" w:hAnsi="Verdana"/>
          <w:sz w:val="16"/>
          <w:szCs w:val="16"/>
        </w:rPr>
        <w:footnoteRef/>
      </w:r>
      <w:r w:rsidRPr="00053149">
        <w:rPr>
          <w:rFonts w:ascii="Verdana" w:hAnsi="Verdana"/>
          <w:sz w:val="16"/>
          <w:szCs w:val="16"/>
        </w:rPr>
        <w:t xml:space="preserve"> </w:t>
      </w:r>
      <w:r w:rsidRPr="00053149">
        <w:rPr>
          <w:rFonts w:ascii="Verdana" w:hAnsi="Verdana" w:cs="Arial"/>
          <w:sz w:val="16"/>
          <w:szCs w:val="16"/>
        </w:rPr>
        <w:t xml:space="preserve">CONGRESO DE LA REPÚBLICA. Exposición de motivos de la Ley 1150 de 2007. Gaceta del Congreso No. 458 del 1º de agosto de 2005. p. 8. </w:t>
      </w:r>
    </w:p>
  </w:footnote>
  <w:footnote w:id="13">
    <w:p w14:paraId="211AAB73" w14:textId="77777777" w:rsidR="00363836" w:rsidRPr="00053149" w:rsidRDefault="00363836" w:rsidP="00363836">
      <w:pPr>
        <w:pStyle w:val="Textonotapie"/>
        <w:ind w:firstLine="708"/>
        <w:jc w:val="both"/>
        <w:rPr>
          <w:rFonts w:ascii="Verdana" w:hAnsi="Verdana"/>
          <w:sz w:val="16"/>
          <w:szCs w:val="16"/>
          <w:lang w:val="es-CO"/>
        </w:rPr>
      </w:pPr>
      <w:r w:rsidRPr="00053149">
        <w:rPr>
          <w:rStyle w:val="Refdenotaalpie"/>
          <w:rFonts w:ascii="Verdana" w:hAnsi="Verdana"/>
          <w:sz w:val="16"/>
          <w:szCs w:val="16"/>
        </w:rPr>
        <w:footnoteRef/>
      </w:r>
      <w:r w:rsidRPr="00053149">
        <w:rPr>
          <w:rFonts w:ascii="Verdana" w:hAnsi="Verdana"/>
          <w:sz w:val="16"/>
          <w:szCs w:val="16"/>
        </w:rPr>
        <w:t xml:space="preserve"> DÁVILA VINUEZA, Luis Guillermo. Régimen jurídico de la contratación estatal. </w:t>
      </w:r>
      <w:r w:rsidRPr="00053149">
        <w:rPr>
          <w:rFonts w:ascii="Verdana" w:hAnsi="Verdana" w:cs="Arial"/>
          <w:sz w:val="16"/>
          <w:szCs w:val="16"/>
          <w:lang w:val="es-CO"/>
        </w:rPr>
        <w:t>Tercera Edición</w:t>
      </w:r>
      <w:r w:rsidRPr="00053149">
        <w:rPr>
          <w:rFonts w:ascii="Verdana" w:hAnsi="Verdana"/>
          <w:sz w:val="16"/>
          <w:szCs w:val="16"/>
          <w:lang w:val="es-CO"/>
        </w:rPr>
        <w:t>. Bogotá: Legis, 2016. pp. 466-467.</w:t>
      </w:r>
    </w:p>
  </w:footnote>
  <w:footnote w:id="14">
    <w:p w14:paraId="1730275B" w14:textId="77777777" w:rsidR="00363836" w:rsidRPr="008849FF" w:rsidRDefault="00363836" w:rsidP="00363836">
      <w:pPr>
        <w:pStyle w:val="NormalWeb"/>
        <w:snapToGrid w:val="0"/>
        <w:spacing w:before="0" w:beforeAutospacing="0" w:after="0" w:afterAutospacing="0"/>
        <w:ind w:firstLine="709"/>
        <w:contextualSpacing/>
        <w:jc w:val="both"/>
        <w:rPr>
          <w:rFonts w:ascii="Verdana" w:hAnsi="Verdana" w:cs="Arial"/>
          <w:sz w:val="16"/>
          <w:szCs w:val="16"/>
        </w:rPr>
      </w:pPr>
      <w:r w:rsidRPr="008849FF">
        <w:rPr>
          <w:rStyle w:val="Refdenotaalpie"/>
          <w:rFonts w:ascii="Verdana" w:hAnsi="Verdana" w:cs="Arial"/>
          <w:sz w:val="16"/>
          <w:szCs w:val="16"/>
        </w:rPr>
        <w:footnoteRef/>
      </w:r>
      <w:r w:rsidRPr="008849FF">
        <w:rPr>
          <w:rFonts w:ascii="Verdana" w:hAnsi="Verdana" w:cs="Arial"/>
          <w:sz w:val="16"/>
          <w:szCs w:val="16"/>
        </w:rPr>
        <w:t xml:space="preserve"> </w:t>
      </w:r>
      <w:r w:rsidRPr="008849FF">
        <w:rPr>
          <w:rFonts w:ascii="Verdana" w:hAnsi="Verdana" w:cs="Arial"/>
          <w:sz w:val="16"/>
          <w:szCs w:val="16"/>
          <w:lang w:val="es-ES"/>
        </w:rPr>
        <w:t>“</w:t>
      </w:r>
      <w:r w:rsidRPr="008849FF">
        <w:rPr>
          <w:rFonts w:ascii="Verdana" w:hAnsi="Verdana" w:cs="Arial"/>
          <w:sz w:val="16"/>
          <w:szCs w:val="16"/>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2D6299F6" w14:textId="77777777" w:rsidR="00363836" w:rsidRPr="008849FF" w:rsidRDefault="00363836" w:rsidP="00363836">
      <w:pPr>
        <w:snapToGrid w:val="0"/>
        <w:spacing w:after="0" w:line="240" w:lineRule="auto"/>
        <w:ind w:firstLine="708"/>
        <w:contextualSpacing/>
        <w:jc w:val="both"/>
        <w:rPr>
          <w:rFonts w:ascii="Verdana" w:hAnsi="Verdana" w:cs="Arial"/>
          <w:sz w:val="16"/>
          <w:szCs w:val="16"/>
        </w:rPr>
      </w:pPr>
      <w:r w:rsidRPr="008849FF">
        <w:rPr>
          <w:rFonts w:ascii="Verdana" w:hAnsi="Verdana" w:cs="Arial"/>
          <w:sz w:val="16"/>
          <w:szCs w:val="16"/>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15">
    <w:p w14:paraId="3AB94C48" w14:textId="77777777" w:rsidR="00363836" w:rsidRPr="008849FF" w:rsidRDefault="00363836" w:rsidP="00363836">
      <w:pPr>
        <w:pStyle w:val="Textonotapie"/>
        <w:ind w:firstLine="708"/>
        <w:rPr>
          <w:rFonts w:ascii="Verdana" w:hAnsi="Verdana"/>
          <w:sz w:val="16"/>
          <w:szCs w:val="16"/>
        </w:rPr>
      </w:pPr>
      <w:r w:rsidRPr="008849FF">
        <w:rPr>
          <w:rStyle w:val="Refdenotaalpie"/>
          <w:rFonts w:ascii="Verdana" w:hAnsi="Verdana"/>
          <w:sz w:val="16"/>
          <w:szCs w:val="16"/>
        </w:rPr>
        <w:footnoteRef/>
      </w:r>
      <w:r w:rsidRPr="008849FF">
        <w:rPr>
          <w:rFonts w:ascii="Verdana" w:hAnsi="Verdana"/>
          <w:sz w:val="16"/>
          <w:szCs w:val="16"/>
        </w:rPr>
        <w:t xml:space="preserve"> AGENCIA NACIONAL DE CONTRATACIÓN PÚBLICA –COLOMBIA COMPRA EFICIENTE. Manual para determinar los requisitos habilitantes en los procesos de contratación, 2023. p. 5. </w:t>
      </w:r>
    </w:p>
  </w:footnote>
  <w:footnote w:id="16">
    <w:p w14:paraId="71B03ECB" w14:textId="77777777" w:rsidR="00363836" w:rsidRPr="008849FF" w:rsidRDefault="00363836" w:rsidP="00363836">
      <w:pPr>
        <w:pStyle w:val="Textonotapie"/>
        <w:ind w:firstLine="708"/>
        <w:rPr>
          <w:rFonts w:ascii="Verdana" w:hAnsi="Verdana"/>
          <w:sz w:val="16"/>
          <w:szCs w:val="16"/>
        </w:rPr>
      </w:pPr>
      <w:r w:rsidRPr="008849FF">
        <w:rPr>
          <w:rStyle w:val="Refdenotaalpie"/>
          <w:rFonts w:ascii="Verdana" w:hAnsi="Verdana"/>
          <w:sz w:val="16"/>
          <w:szCs w:val="16"/>
        </w:rPr>
        <w:footnoteRef/>
      </w:r>
      <w:r w:rsidRPr="008849FF">
        <w:rPr>
          <w:rFonts w:ascii="Verdana" w:hAnsi="Verdana"/>
          <w:sz w:val="16"/>
          <w:szCs w:val="16"/>
        </w:rPr>
        <w:t xml:space="preserve"> Ibídem., p. 6. </w:t>
      </w:r>
    </w:p>
  </w:footnote>
  <w:footnote w:id="17">
    <w:p w14:paraId="1165ED62" w14:textId="77777777" w:rsidR="00363836" w:rsidRPr="008849FF" w:rsidRDefault="00363836" w:rsidP="00363836">
      <w:pPr>
        <w:pStyle w:val="Textonotapie"/>
        <w:ind w:firstLine="708"/>
        <w:rPr>
          <w:rFonts w:ascii="Verdana" w:hAnsi="Verdana"/>
          <w:sz w:val="16"/>
          <w:szCs w:val="16"/>
        </w:rPr>
      </w:pPr>
      <w:r w:rsidRPr="008849FF">
        <w:rPr>
          <w:rStyle w:val="Refdenotaalpie"/>
          <w:rFonts w:ascii="Verdana" w:hAnsi="Verdana"/>
          <w:sz w:val="16"/>
          <w:szCs w:val="16"/>
        </w:rPr>
        <w:footnoteRef/>
      </w:r>
      <w:r w:rsidRPr="008849FF">
        <w:rPr>
          <w:rFonts w:ascii="Verdana" w:hAnsi="Verdana"/>
          <w:sz w:val="16"/>
          <w:szCs w:val="16"/>
        </w:rPr>
        <w:t xml:space="preserve"> Ibídem., p. 5. </w:t>
      </w:r>
    </w:p>
  </w:footnote>
  <w:footnote w:id="18">
    <w:p w14:paraId="0E5070FE" w14:textId="77777777" w:rsidR="00363836" w:rsidRPr="007F7D23" w:rsidRDefault="00363836" w:rsidP="00363836">
      <w:pPr>
        <w:pStyle w:val="Textonotapie"/>
        <w:ind w:firstLine="708"/>
        <w:jc w:val="both"/>
        <w:rPr>
          <w:rFonts w:ascii="Verdana" w:hAnsi="Verdana"/>
          <w:sz w:val="16"/>
          <w:szCs w:val="16"/>
          <w:lang w:val="es-CO"/>
        </w:rPr>
      </w:pPr>
      <w:r>
        <w:rPr>
          <w:rStyle w:val="Refdenotaalpie"/>
        </w:rPr>
        <w:footnoteRef/>
      </w:r>
      <w:r>
        <w:t xml:space="preserve"> “</w:t>
      </w:r>
      <w:r w:rsidRPr="007F7D23">
        <w:rPr>
          <w:rFonts w:ascii="Verdana" w:hAnsi="Verdana"/>
          <w:bCs/>
          <w:sz w:val="16"/>
          <w:szCs w:val="16"/>
          <w:lang w:val="es-CO"/>
        </w:rPr>
        <w:t>Artículo 7°.</w:t>
      </w:r>
      <w:r w:rsidRPr="007F7D23">
        <w:rPr>
          <w:rFonts w:ascii="Verdana" w:hAnsi="Verdana"/>
          <w:i/>
          <w:iCs/>
          <w:sz w:val="16"/>
          <w:szCs w:val="16"/>
          <w:lang w:val="es-CO"/>
        </w:rPr>
        <w:t> Garantía legal.</w:t>
      </w:r>
      <w:r w:rsidRPr="007F7D23">
        <w:rPr>
          <w:rFonts w:ascii="Verdana" w:hAnsi="Verdana"/>
          <w:sz w:val="16"/>
          <w:szCs w:val="16"/>
          <w:lang w:val="es-CO"/>
        </w:rPr>
        <w:t> Es la obligación, en los términos de esta ley, a cargo de todo productor y/o proveedor de responder por la calidad, idoneidad, seguridad y el buen estado y funcionamiento de los productos. </w:t>
      </w:r>
    </w:p>
    <w:p w14:paraId="3F0B7014" w14:textId="77777777" w:rsidR="00363836" w:rsidRPr="007F7D23" w:rsidRDefault="00363836" w:rsidP="00363836">
      <w:pPr>
        <w:pStyle w:val="Textonotapie"/>
        <w:ind w:firstLine="708"/>
        <w:jc w:val="both"/>
        <w:rPr>
          <w:rFonts w:ascii="Verdana" w:hAnsi="Verdana"/>
          <w:sz w:val="16"/>
          <w:szCs w:val="16"/>
          <w:lang w:val="es-CO"/>
        </w:rPr>
      </w:pPr>
      <w:r w:rsidRPr="007F7D23">
        <w:rPr>
          <w:rFonts w:ascii="Verdana" w:hAnsi="Verdana"/>
          <w:sz w:val="16"/>
          <w:szCs w:val="16"/>
          <w:lang w:val="es-CO"/>
        </w:rPr>
        <w:t>En la prestación de servicios en el que el prestador tiene una obligación de medio, la garantía está dada, no por el resultado, sino por las condiciones de calidad en la prestación del servicio, según las condiciones establecidas en normas de carácter obligatorio, en las ofrecidas o en las ordinarias y habituales del mercado. </w:t>
      </w:r>
    </w:p>
    <w:p w14:paraId="34D784C3" w14:textId="77777777" w:rsidR="00363836" w:rsidRPr="007F7D23" w:rsidRDefault="00363836" w:rsidP="00363836">
      <w:pPr>
        <w:pStyle w:val="Textonotapie"/>
        <w:ind w:firstLine="708"/>
        <w:jc w:val="both"/>
        <w:rPr>
          <w:rFonts w:ascii="Verdana" w:hAnsi="Verdana"/>
          <w:sz w:val="16"/>
          <w:szCs w:val="16"/>
          <w:lang w:val="es-CO"/>
        </w:rPr>
      </w:pPr>
      <w:r w:rsidRPr="007F7D23">
        <w:rPr>
          <w:rFonts w:ascii="Verdana" w:hAnsi="Verdana"/>
          <w:bCs/>
          <w:sz w:val="16"/>
          <w:szCs w:val="16"/>
          <w:lang w:val="es-CO"/>
        </w:rPr>
        <w:t>Parágrafo. </w:t>
      </w:r>
      <w:r w:rsidRPr="007F7D23">
        <w:rPr>
          <w:rFonts w:ascii="Verdana" w:hAnsi="Verdana"/>
          <w:sz w:val="16"/>
          <w:szCs w:val="16"/>
          <w:lang w:val="es-CO"/>
        </w:rPr>
        <w:t>La entrega o distribución de productos con descuento, rebaja o con carácter promocional está sujeta a las reglas contenidas en la presente ley</w:t>
      </w:r>
      <w:r>
        <w:rPr>
          <w:rFonts w:ascii="Verdana" w:hAnsi="Verdana"/>
          <w:sz w:val="16"/>
          <w:szCs w:val="16"/>
          <w:lang w:val="es-CO"/>
        </w:rPr>
        <w:t>”</w:t>
      </w:r>
      <w:r w:rsidRPr="007F7D23">
        <w:rPr>
          <w:rFonts w:ascii="Verdana" w:hAnsi="Verdana"/>
          <w:sz w:val="16"/>
          <w:szCs w:val="16"/>
          <w:lang w:val="es-CO"/>
        </w:rPr>
        <w:t>. </w:t>
      </w:r>
    </w:p>
    <w:p w14:paraId="4B0CE9FB" w14:textId="77777777" w:rsidR="00363836" w:rsidRPr="007F7D23" w:rsidRDefault="00363836" w:rsidP="00363836">
      <w:pPr>
        <w:pStyle w:val="Textonotapie"/>
        <w:ind w:firstLine="708"/>
        <w:rPr>
          <w:lang w:val="es-CO"/>
        </w:rPr>
      </w:pPr>
    </w:p>
  </w:footnote>
  <w:footnote w:id="19">
    <w:p w14:paraId="4979246A" w14:textId="77777777" w:rsidR="00363836" w:rsidRPr="00C93D4D" w:rsidRDefault="00363836" w:rsidP="00363836">
      <w:pPr>
        <w:pStyle w:val="Textonotapie"/>
        <w:ind w:firstLine="708"/>
        <w:rPr>
          <w:lang w:val="es-ES"/>
        </w:rPr>
      </w:pPr>
      <w:r w:rsidRPr="008849FF">
        <w:rPr>
          <w:rStyle w:val="Refdenotaalpie"/>
          <w:rFonts w:ascii="Verdana" w:hAnsi="Verdana"/>
          <w:sz w:val="16"/>
          <w:szCs w:val="16"/>
        </w:rPr>
        <w:footnoteRef/>
      </w:r>
      <w:r w:rsidRPr="008849FF">
        <w:rPr>
          <w:rFonts w:ascii="Verdana" w:hAnsi="Verdana"/>
          <w:sz w:val="16"/>
          <w:szCs w:val="16"/>
        </w:rPr>
        <w:t xml:space="preserve"> CONSEJO DE ESTADO. Sección Tercera, Subsección A. Sentencia del 19 de mayo de 2025. Exp. 69.503. </w:t>
      </w:r>
    </w:p>
  </w:footnote>
  <w:footnote w:id="20">
    <w:p w14:paraId="4776D55E" w14:textId="77777777" w:rsidR="00363836" w:rsidRPr="00C93D4D" w:rsidRDefault="00363836" w:rsidP="00363836">
      <w:pPr>
        <w:pStyle w:val="Textonotapie"/>
        <w:ind w:firstLine="708"/>
      </w:pPr>
      <w:r>
        <w:rPr>
          <w:rStyle w:val="Refdenotaalpie"/>
        </w:rPr>
        <w:footnoteRef/>
      </w:r>
      <w:r>
        <w:t xml:space="preserve"> Ibídem.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14.25pt" o:bullet="t">
        <v:imagedata r:id="rId1" o:title="mso1B13"/>
      </v:shape>
    </w:pict>
  </w:numPicBullet>
  <w:abstractNum w:abstractNumId="0" w15:restartNumberingAfterBreak="0">
    <w:nsid w:val="8F5DCA1F"/>
    <w:multiLevelType w:val="hybridMultilevel"/>
    <w:tmpl w:val="EA4963F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F9BA34"/>
    <w:multiLevelType w:val="hybridMultilevel"/>
    <w:tmpl w:val="DB3A347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251F4A53"/>
    <w:multiLevelType w:val="hybridMultilevel"/>
    <w:tmpl w:val="C9F0B1E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489BC7"/>
    <w:multiLevelType w:val="hybridMultilevel"/>
    <w:tmpl w:val="6C64DB9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3BD23FB"/>
    <w:multiLevelType w:val="multilevel"/>
    <w:tmpl w:val="16E6B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42EA5AA3"/>
    <w:multiLevelType w:val="hybridMultilevel"/>
    <w:tmpl w:val="F1968C6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9" w15:restartNumberingAfterBreak="0">
    <w:nsid w:val="5543359C"/>
    <w:multiLevelType w:val="hybridMultilevel"/>
    <w:tmpl w:val="4CD80C0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E9CC98B"/>
    <w:multiLevelType w:val="hybridMultilevel"/>
    <w:tmpl w:val="93ED4BC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EC30B0"/>
    <w:multiLevelType w:val="multilevel"/>
    <w:tmpl w:val="24DEA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988237308">
    <w:abstractNumId w:val="12"/>
  </w:num>
  <w:num w:numId="2" w16cid:durableId="1419909051">
    <w:abstractNumId w:val="4"/>
  </w:num>
  <w:num w:numId="3" w16cid:durableId="1556696855">
    <w:abstractNumId w:val="10"/>
  </w:num>
  <w:num w:numId="4" w16cid:durableId="14616078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9273122">
    <w:abstractNumId w:val="4"/>
  </w:num>
  <w:num w:numId="6" w16cid:durableId="1197111470">
    <w:abstractNumId w:val="25"/>
  </w:num>
  <w:num w:numId="7" w16cid:durableId="639579112">
    <w:abstractNumId w:val="11"/>
  </w:num>
  <w:num w:numId="8" w16cid:durableId="2013951135">
    <w:abstractNumId w:val="24"/>
  </w:num>
  <w:num w:numId="9" w16cid:durableId="412898312">
    <w:abstractNumId w:val="14"/>
  </w:num>
  <w:num w:numId="10" w16cid:durableId="1888835856">
    <w:abstractNumId w:val="23"/>
  </w:num>
  <w:num w:numId="11" w16cid:durableId="666598166">
    <w:abstractNumId w:val="15"/>
  </w:num>
  <w:num w:numId="12" w16cid:durableId="938100064">
    <w:abstractNumId w:val="3"/>
  </w:num>
  <w:num w:numId="13" w16cid:durableId="1784684834">
    <w:abstractNumId w:val="7"/>
  </w:num>
  <w:num w:numId="14" w16cid:durableId="104929995">
    <w:abstractNumId w:val="26"/>
  </w:num>
  <w:num w:numId="15" w16cid:durableId="1669988888">
    <w:abstractNumId w:val="22"/>
  </w:num>
  <w:num w:numId="16" w16cid:durableId="81430116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8903098">
    <w:abstractNumId w:val="5"/>
  </w:num>
  <w:num w:numId="18" w16cid:durableId="1443303114">
    <w:abstractNumId w:val="20"/>
  </w:num>
  <w:num w:numId="19" w16cid:durableId="257642670">
    <w:abstractNumId w:val="9"/>
  </w:num>
  <w:num w:numId="20" w16cid:durableId="145056263">
    <w:abstractNumId w:val="16"/>
  </w:num>
  <w:num w:numId="21" w16cid:durableId="579607513">
    <w:abstractNumId w:val="28"/>
  </w:num>
  <w:num w:numId="22" w16cid:durableId="1404525201">
    <w:abstractNumId w:val="13"/>
  </w:num>
  <w:num w:numId="23" w16cid:durableId="536351723">
    <w:abstractNumId w:val="6"/>
  </w:num>
  <w:num w:numId="24" w16cid:durableId="656691107">
    <w:abstractNumId w:val="27"/>
  </w:num>
  <w:num w:numId="25" w16cid:durableId="127626332">
    <w:abstractNumId w:val="17"/>
  </w:num>
  <w:num w:numId="26" w16cid:durableId="2068988645">
    <w:abstractNumId w:val="18"/>
  </w:num>
  <w:num w:numId="27" w16cid:durableId="1512841803">
    <w:abstractNumId w:val="8"/>
  </w:num>
  <w:num w:numId="28" w16cid:durableId="215433034">
    <w:abstractNumId w:val="1"/>
  </w:num>
  <w:num w:numId="29" w16cid:durableId="1889997659">
    <w:abstractNumId w:val="0"/>
  </w:num>
  <w:num w:numId="30" w16cid:durableId="505898906">
    <w:abstractNumId w:val="19"/>
  </w:num>
  <w:num w:numId="31" w16cid:durableId="192121091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6CD3"/>
    <w:rsid w:val="0000797D"/>
    <w:rsid w:val="0001094A"/>
    <w:rsid w:val="0001328B"/>
    <w:rsid w:val="000224F2"/>
    <w:rsid w:val="00023C3E"/>
    <w:rsid w:val="0004434A"/>
    <w:rsid w:val="0005281E"/>
    <w:rsid w:val="00053149"/>
    <w:rsid w:val="0005682C"/>
    <w:rsid w:val="00056D71"/>
    <w:rsid w:val="00061B2A"/>
    <w:rsid w:val="00062BAF"/>
    <w:rsid w:val="000630B9"/>
    <w:rsid w:val="000643B2"/>
    <w:rsid w:val="00064E96"/>
    <w:rsid w:val="0007022C"/>
    <w:rsid w:val="00077439"/>
    <w:rsid w:val="000774B8"/>
    <w:rsid w:val="00082362"/>
    <w:rsid w:val="0008328D"/>
    <w:rsid w:val="00083765"/>
    <w:rsid w:val="00092FC8"/>
    <w:rsid w:val="0009313A"/>
    <w:rsid w:val="0009387A"/>
    <w:rsid w:val="0009387B"/>
    <w:rsid w:val="000963C6"/>
    <w:rsid w:val="000A31B9"/>
    <w:rsid w:val="000A3D63"/>
    <w:rsid w:val="000A52A1"/>
    <w:rsid w:val="000A683A"/>
    <w:rsid w:val="000A683E"/>
    <w:rsid w:val="000B19B9"/>
    <w:rsid w:val="000C669A"/>
    <w:rsid w:val="000D0152"/>
    <w:rsid w:val="000D0334"/>
    <w:rsid w:val="000D3B29"/>
    <w:rsid w:val="000E06F4"/>
    <w:rsid w:val="000E4CE4"/>
    <w:rsid w:val="000F6486"/>
    <w:rsid w:val="000F6679"/>
    <w:rsid w:val="000F669F"/>
    <w:rsid w:val="001063B3"/>
    <w:rsid w:val="001114A9"/>
    <w:rsid w:val="00111979"/>
    <w:rsid w:val="00116537"/>
    <w:rsid w:val="00120766"/>
    <w:rsid w:val="001240BD"/>
    <w:rsid w:val="00125105"/>
    <w:rsid w:val="00127233"/>
    <w:rsid w:val="001358C0"/>
    <w:rsid w:val="0013649F"/>
    <w:rsid w:val="00143E81"/>
    <w:rsid w:val="00143FD9"/>
    <w:rsid w:val="00145047"/>
    <w:rsid w:val="00146C57"/>
    <w:rsid w:val="0016332F"/>
    <w:rsid w:val="001717E9"/>
    <w:rsid w:val="00183253"/>
    <w:rsid w:val="00185EE9"/>
    <w:rsid w:val="00187F79"/>
    <w:rsid w:val="00197274"/>
    <w:rsid w:val="001A237A"/>
    <w:rsid w:val="001A26CF"/>
    <w:rsid w:val="001A2919"/>
    <w:rsid w:val="001B40AA"/>
    <w:rsid w:val="001C222E"/>
    <w:rsid w:val="001C22F9"/>
    <w:rsid w:val="001D1C29"/>
    <w:rsid w:val="001E4177"/>
    <w:rsid w:val="001F4EFD"/>
    <w:rsid w:val="001F5E13"/>
    <w:rsid w:val="001F6D11"/>
    <w:rsid w:val="001F7DC6"/>
    <w:rsid w:val="00202886"/>
    <w:rsid w:val="00215CEF"/>
    <w:rsid w:val="00217A08"/>
    <w:rsid w:val="00220B77"/>
    <w:rsid w:val="00237233"/>
    <w:rsid w:val="002421BB"/>
    <w:rsid w:val="00246A81"/>
    <w:rsid w:val="00251A5F"/>
    <w:rsid w:val="0025796E"/>
    <w:rsid w:val="002603E5"/>
    <w:rsid w:val="002638B2"/>
    <w:rsid w:val="002660F2"/>
    <w:rsid w:val="002664BB"/>
    <w:rsid w:val="002707A2"/>
    <w:rsid w:val="002835A6"/>
    <w:rsid w:val="002844ED"/>
    <w:rsid w:val="002951A0"/>
    <w:rsid w:val="002962BC"/>
    <w:rsid w:val="002A093D"/>
    <w:rsid w:val="002A0DD0"/>
    <w:rsid w:val="002A49AC"/>
    <w:rsid w:val="002A64FD"/>
    <w:rsid w:val="002A6BBF"/>
    <w:rsid w:val="002B1E57"/>
    <w:rsid w:val="002C110E"/>
    <w:rsid w:val="002C379A"/>
    <w:rsid w:val="002C765E"/>
    <w:rsid w:val="002C7A84"/>
    <w:rsid w:val="002D13A1"/>
    <w:rsid w:val="002D3F0D"/>
    <w:rsid w:val="002E1D98"/>
    <w:rsid w:val="002E2C3F"/>
    <w:rsid w:val="002E4FD9"/>
    <w:rsid w:val="002E6F15"/>
    <w:rsid w:val="002F13FD"/>
    <w:rsid w:val="00303544"/>
    <w:rsid w:val="003039C1"/>
    <w:rsid w:val="00310DBE"/>
    <w:rsid w:val="0031430F"/>
    <w:rsid w:val="00320BBD"/>
    <w:rsid w:val="00322A85"/>
    <w:rsid w:val="00324168"/>
    <w:rsid w:val="0033032A"/>
    <w:rsid w:val="00334C6A"/>
    <w:rsid w:val="00336C05"/>
    <w:rsid w:val="00342675"/>
    <w:rsid w:val="00343512"/>
    <w:rsid w:val="003448F4"/>
    <w:rsid w:val="00345330"/>
    <w:rsid w:val="003528DF"/>
    <w:rsid w:val="00352C12"/>
    <w:rsid w:val="0035440D"/>
    <w:rsid w:val="00354BCA"/>
    <w:rsid w:val="003612F8"/>
    <w:rsid w:val="00363836"/>
    <w:rsid w:val="0036594E"/>
    <w:rsid w:val="003665EE"/>
    <w:rsid w:val="00367ED9"/>
    <w:rsid w:val="0037010E"/>
    <w:rsid w:val="0037221D"/>
    <w:rsid w:val="003734F4"/>
    <w:rsid w:val="00374F5E"/>
    <w:rsid w:val="00377E3E"/>
    <w:rsid w:val="003815E8"/>
    <w:rsid w:val="00392A49"/>
    <w:rsid w:val="003A26D1"/>
    <w:rsid w:val="003A3B30"/>
    <w:rsid w:val="003A779E"/>
    <w:rsid w:val="003B005A"/>
    <w:rsid w:val="003C3FA5"/>
    <w:rsid w:val="003D0F4D"/>
    <w:rsid w:val="003D2E82"/>
    <w:rsid w:val="003D5B0D"/>
    <w:rsid w:val="003D6525"/>
    <w:rsid w:val="003E0499"/>
    <w:rsid w:val="003E40F2"/>
    <w:rsid w:val="003E6AC6"/>
    <w:rsid w:val="003F3941"/>
    <w:rsid w:val="003F5ED1"/>
    <w:rsid w:val="00400676"/>
    <w:rsid w:val="00406575"/>
    <w:rsid w:val="00410906"/>
    <w:rsid w:val="0041655A"/>
    <w:rsid w:val="0042722E"/>
    <w:rsid w:val="00427DA0"/>
    <w:rsid w:val="00440391"/>
    <w:rsid w:val="00442C7F"/>
    <w:rsid w:val="0044528D"/>
    <w:rsid w:val="00445908"/>
    <w:rsid w:val="00450920"/>
    <w:rsid w:val="00454D48"/>
    <w:rsid w:val="004554F9"/>
    <w:rsid w:val="0046004D"/>
    <w:rsid w:val="004633DE"/>
    <w:rsid w:val="00465E71"/>
    <w:rsid w:val="004734BD"/>
    <w:rsid w:val="00482608"/>
    <w:rsid w:val="00483749"/>
    <w:rsid w:val="00484809"/>
    <w:rsid w:val="004971D4"/>
    <w:rsid w:val="004A049A"/>
    <w:rsid w:val="004A0980"/>
    <w:rsid w:val="004A1847"/>
    <w:rsid w:val="004A305D"/>
    <w:rsid w:val="004A3312"/>
    <w:rsid w:val="004A48F7"/>
    <w:rsid w:val="004B740F"/>
    <w:rsid w:val="004C4B37"/>
    <w:rsid w:val="004D026D"/>
    <w:rsid w:val="004E221E"/>
    <w:rsid w:val="004E2892"/>
    <w:rsid w:val="004E4C0B"/>
    <w:rsid w:val="004E505B"/>
    <w:rsid w:val="004F21C4"/>
    <w:rsid w:val="004F3012"/>
    <w:rsid w:val="004F5559"/>
    <w:rsid w:val="004F685F"/>
    <w:rsid w:val="004F7EC9"/>
    <w:rsid w:val="00514598"/>
    <w:rsid w:val="005163B5"/>
    <w:rsid w:val="0052543A"/>
    <w:rsid w:val="0052785C"/>
    <w:rsid w:val="00540C2D"/>
    <w:rsid w:val="00545907"/>
    <w:rsid w:val="00551BD7"/>
    <w:rsid w:val="00552502"/>
    <w:rsid w:val="005566E8"/>
    <w:rsid w:val="00560CB5"/>
    <w:rsid w:val="00574122"/>
    <w:rsid w:val="00574867"/>
    <w:rsid w:val="00577D09"/>
    <w:rsid w:val="005906FA"/>
    <w:rsid w:val="00591460"/>
    <w:rsid w:val="00592628"/>
    <w:rsid w:val="00597C75"/>
    <w:rsid w:val="005A0868"/>
    <w:rsid w:val="005A0CFB"/>
    <w:rsid w:val="005A282F"/>
    <w:rsid w:val="005A2AC9"/>
    <w:rsid w:val="005B2CCE"/>
    <w:rsid w:val="005B58C1"/>
    <w:rsid w:val="005B6033"/>
    <w:rsid w:val="005C3777"/>
    <w:rsid w:val="005C5CDC"/>
    <w:rsid w:val="005D2B2B"/>
    <w:rsid w:val="005D476C"/>
    <w:rsid w:val="005D4ADB"/>
    <w:rsid w:val="005D5F91"/>
    <w:rsid w:val="005D7B25"/>
    <w:rsid w:val="005E0C91"/>
    <w:rsid w:val="005F0A6A"/>
    <w:rsid w:val="005F7C43"/>
    <w:rsid w:val="00605A00"/>
    <w:rsid w:val="00610812"/>
    <w:rsid w:val="00612CE7"/>
    <w:rsid w:val="006219F8"/>
    <w:rsid w:val="0063165E"/>
    <w:rsid w:val="00632C08"/>
    <w:rsid w:val="006423B6"/>
    <w:rsid w:val="00650FF7"/>
    <w:rsid w:val="00652217"/>
    <w:rsid w:val="00665D70"/>
    <w:rsid w:val="00671DAC"/>
    <w:rsid w:val="006747C7"/>
    <w:rsid w:val="006773FC"/>
    <w:rsid w:val="006827AC"/>
    <w:rsid w:val="006859A3"/>
    <w:rsid w:val="006900D9"/>
    <w:rsid w:val="006A0008"/>
    <w:rsid w:val="006A10DF"/>
    <w:rsid w:val="006A3147"/>
    <w:rsid w:val="006B6B1E"/>
    <w:rsid w:val="006C0240"/>
    <w:rsid w:val="006C2F05"/>
    <w:rsid w:val="006C5595"/>
    <w:rsid w:val="006D12F8"/>
    <w:rsid w:val="006F2501"/>
    <w:rsid w:val="00704D9B"/>
    <w:rsid w:val="00705E5F"/>
    <w:rsid w:val="00706C16"/>
    <w:rsid w:val="00711C85"/>
    <w:rsid w:val="0071458F"/>
    <w:rsid w:val="00715D5A"/>
    <w:rsid w:val="00723A7F"/>
    <w:rsid w:val="00737C53"/>
    <w:rsid w:val="00737DFA"/>
    <w:rsid w:val="00756841"/>
    <w:rsid w:val="00762AA9"/>
    <w:rsid w:val="007649AB"/>
    <w:rsid w:val="00771D0C"/>
    <w:rsid w:val="007814FE"/>
    <w:rsid w:val="007833AC"/>
    <w:rsid w:val="00784D58"/>
    <w:rsid w:val="00786FBF"/>
    <w:rsid w:val="00790AB7"/>
    <w:rsid w:val="00791769"/>
    <w:rsid w:val="00796340"/>
    <w:rsid w:val="007A23EA"/>
    <w:rsid w:val="007A5189"/>
    <w:rsid w:val="007B268C"/>
    <w:rsid w:val="007B7171"/>
    <w:rsid w:val="007B7D02"/>
    <w:rsid w:val="007C0C0F"/>
    <w:rsid w:val="007C3DC2"/>
    <w:rsid w:val="007D0457"/>
    <w:rsid w:val="007D43C9"/>
    <w:rsid w:val="007D719F"/>
    <w:rsid w:val="007E5497"/>
    <w:rsid w:val="007F28CA"/>
    <w:rsid w:val="007F52A4"/>
    <w:rsid w:val="007F60FB"/>
    <w:rsid w:val="007F7B94"/>
    <w:rsid w:val="00804981"/>
    <w:rsid w:val="00806F5F"/>
    <w:rsid w:val="008163D7"/>
    <w:rsid w:val="00820278"/>
    <w:rsid w:val="008265B5"/>
    <w:rsid w:val="00834554"/>
    <w:rsid w:val="00834B31"/>
    <w:rsid w:val="00836323"/>
    <w:rsid w:val="00840ADC"/>
    <w:rsid w:val="00843BF7"/>
    <w:rsid w:val="008449B3"/>
    <w:rsid w:val="00846276"/>
    <w:rsid w:val="00850E23"/>
    <w:rsid w:val="00851137"/>
    <w:rsid w:val="00853978"/>
    <w:rsid w:val="0085432F"/>
    <w:rsid w:val="00864209"/>
    <w:rsid w:val="0087325B"/>
    <w:rsid w:val="00880003"/>
    <w:rsid w:val="00881ABA"/>
    <w:rsid w:val="008843B6"/>
    <w:rsid w:val="008849FF"/>
    <w:rsid w:val="00886C89"/>
    <w:rsid w:val="00891928"/>
    <w:rsid w:val="00894B8B"/>
    <w:rsid w:val="008A00A4"/>
    <w:rsid w:val="008A1C75"/>
    <w:rsid w:val="008A446D"/>
    <w:rsid w:val="008A4801"/>
    <w:rsid w:val="008A7F08"/>
    <w:rsid w:val="008B2F0E"/>
    <w:rsid w:val="008B5A2E"/>
    <w:rsid w:val="008C6451"/>
    <w:rsid w:val="008D180B"/>
    <w:rsid w:val="008D298A"/>
    <w:rsid w:val="008D7227"/>
    <w:rsid w:val="008E1F92"/>
    <w:rsid w:val="008E7333"/>
    <w:rsid w:val="008E7B09"/>
    <w:rsid w:val="008F0EA7"/>
    <w:rsid w:val="008F7BB9"/>
    <w:rsid w:val="00904692"/>
    <w:rsid w:val="00905E69"/>
    <w:rsid w:val="00910097"/>
    <w:rsid w:val="0091561E"/>
    <w:rsid w:val="00923EEF"/>
    <w:rsid w:val="009411F5"/>
    <w:rsid w:val="009419F9"/>
    <w:rsid w:val="00953AA4"/>
    <w:rsid w:val="00955305"/>
    <w:rsid w:val="0095685E"/>
    <w:rsid w:val="009572D9"/>
    <w:rsid w:val="00961409"/>
    <w:rsid w:val="00961B09"/>
    <w:rsid w:val="00962300"/>
    <w:rsid w:val="00965334"/>
    <w:rsid w:val="0097093E"/>
    <w:rsid w:val="00976025"/>
    <w:rsid w:val="009800BE"/>
    <w:rsid w:val="00982E41"/>
    <w:rsid w:val="00984649"/>
    <w:rsid w:val="009858BE"/>
    <w:rsid w:val="009A0DFA"/>
    <w:rsid w:val="009A3C2C"/>
    <w:rsid w:val="009A4A40"/>
    <w:rsid w:val="009B2D26"/>
    <w:rsid w:val="009B780F"/>
    <w:rsid w:val="009C2AD6"/>
    <w:rsid w:val="009C2DD0"/>
    <w:rsid w:val="009C3AC7"/>
    <w:rsid w:val="009C71FA"/>
    <w:rsid w:val="009C72E7"/>
    <w:rsid w:val="009D0555"/>
    <w:rsid w:val="009D3058"/>
    <w:rsid w:val="009D3A11"/>
    <w:rsid w:val="009D44C4"/>
    <w:rsid w:val="009D67FD"/>
    <w:rsid w:val="009E5A30"/>
    <w:rsid w:val="009E7C05"/>
    <w:rsid w:val="009F3831"/>
    <w:rsid w:val="009F3832"/>
    <w:rsid w:val="009F3A13"/>
    <w:rsid w:val="009F4AB2"/>
    <w:rsid w:val="009F73F7"/>
    <w:rsid w:val="00A02465"/>
    <w:rsid w:val="00A027B7"/>
    <w:rsid w:val="00A03415"/>
    <w:rsid w:val="00A04A81"/>
    <w:rsid w:val="00A104A4"/>
    <w:rsid w:val="00A122D3"/>
    <w:rsid w:val="00A14D3D"/>
    <w:rsid w:val="00A17F13"/>
    <w:rsid w:val="00A20739"/>
    <w:rsid w:val="00A211D0"/>
    <w:rsid w:val="00A23361"/>
    <w:rsid w:val="00A24433"/>
    <w:rsid w:val="00A2443A"/>
    <w:rsid w:val="00A32373"/>
    <w:rsid w:val="00A332DD"/>
    <w:rsid w:val="00A339A9"/>
    <w:rsid w:val="00A33C78"/>
    <w:rsid w:val="00A34B38"/>
    <w:rsid w:val="00A34D87"/>
    <w:rsid w:val="00A35538"/>
    <w:rsid w:val="00A37BC4"/>
    <w:rsid w:val="00A43292"/>
    <w:rsid w:val="00A445C0"/>
    <w:rsid w:val="00A56FCA"/>
    <w:rsid w:val="00A6004A"/>
    <w:rsid w:val="00A613C2"/>
    <w:rsid w:val="00A61857"/>
    <w:rsid w:val="00A74DE6"/>
    <w:rsid w:val="00A8086A"/>
    <w:rsid w:val="00A80F32"/>
    <w:rsid w:val="00A87F7D"/>
    <w:rsid w:val="00A9244C"/>
    <w:rsid w:val="00A94D14"/>
    <w:rsid w:val="00AB0ADB"/>
    <w:rsid w:val="00AB3FD1"/>
    <w:rsid w:val="00AC0EAB"/>
    <w:rsid w:val="00AC4701"/>
    <w:rsid w:val="00AC49A2"/>
    <w:rsid w:val="00AD73E2"/>
    <w:rsid w:val="00AE2631"/>
    <w:rsid w:val="00AF1BEC"/>
    <w:rsid w:val="00AF342C"/>
    <w:rsid w:val="00B009B8"/>
    <w:rsid w:val="00B01B1A"/>
    <w:rsid w:val="00B14E03"/>
    <w:rsid w:val="00B26B98"/>
    <w:rsid w:val="00B35ADC"/>
    <w:rsid w:val="00B37C24"/>
    <w:rsid w:val="00B40FBC"/>
    <w:rsid w:val="00B47FD7"/>
    <w:rsid w:val="00B51F75"/>
    <w:rsid w:val="00B53E27"/>
    <w:rsid w:val="00B558AF"/>
    <w:rsid w:val="00B615BA"/>
    <w:rsid w:val="00B62D8B"/>
    <w:rsid w:val="00B72CD3"/>
    <w:rsid w:val="00B72FFF"/>
    <w:rsid w:val="00B76CEB"/>
    <w:rsid w:val="00B8257D"/>
    <w:rsid w:val="00B82B8B"/>
    <w:rsid w:val="00B91186"/>
    <w:rsid w:val="00B93423"/>
    <w:rsid w:val="00B976CC"/>
    <w:rsid w:val="00BB42FC"/>
    <w:rsid w:val="00BC0036"/>
    <w:rsid w:val="00BC05A6"/>
    <w:rsid w:val="00BC2AD3"/>
    <w:rsid w:val="00BC3D36"/>
    <w:rsid w:val="00BD787A"/>
    <w:rsid w:val="00BD7F72"/>
    <w:rsid w:val="00BE03BC"/>
    <w:rsid w:val="00BE0A18"/>
    <w:rsid w:val="00BF1201"/>
    <w:rsid w:val="00BF1D4A"/>
    <w:rsid w:val="00BF230F"/>
    <w:rsid w:val="00C002E3"/>
    <w:rsid w:val="00C012CC"/>
    <w:rsid w:val="00C02BEA"/>
    <w:rsid w:val="00C04FB3"/>
    <w:rsid w:val="00C050E7"/>
    <w:rsid w:val="00C159C1"/>
    <w:rsid w:val="00C16346"/>
    <w:rsid w:val="00C21B15"/>
    <w:rsid w:val="00C32523"/>
    <w:rsid w:val="00C330EB"/>
    <w:rsid w:val="00C371C9"/>
    <w:rsid w:val="00C40E9F"/>
    <w:rsid w:val="00C41481"/>
    <w:rsid w:val="00C42469"/>
    <w:rsid w:val="00C4268F"/>
    <w:rsid w:val="00C47A07"/>
    <w:rsid w:val="00C57281"/>
    <w:rsid w:val="00C65D65"/>
    <w:rsid w:val="00C67703"/>
    <w:rsid w:val="00C7173F"/>
    <w:rsid w:val="00C730B6"/>
    <w:rsid w:val="00C754BE"/>
    <w:rsid w:val="00C76466"/>
    <w:rsid w:val="00C76B1C"/>
    <w:rsid w:val="00C915DD"/>
    <w:rsid w:val="00C93D4D"/>
    <w:rsid w:val="00CA6A9D"/>
    <w:rsid w:val="00CA7F6B"/>
    <w:rsid w:val="00CB6357"/>
    <w:rsid w:val="00CC0FA3"/>
    <w:rsid w:val="00CC1B26"/>
    <w:rsid w:val="00CC4164"/>
    <w:rsid w:val="00CC49F7"/>
    <w:rsid w:val="00CC54DB"/>
    <w:rsid w:val="00CD087D"/>
    <w:rsid w:val="00CD41CB"/>
    <w:rsid w:val="00CE3B27"/>
    <w:rsid w:val="00CE5414"/>
    <w:rsid w:val="00CF7826"/>
    <w:rsid w:val="00D0157A"/>
    <w:rsid w:val="00D036D8"/>
    <w:rsid w:val="00D038ED"/>
    <w:rsid w:val="00D06D26"/>
    <w:rsid w:val="00D10B75"/>
    <w:rsid w:val="00D13351"/>
    <w:rsid w:val="00D15E25"/>
    <w:rsid w:val="00D20368"/>
    <w:rsid w:val="00D22361"/>
    <w:rsid w:val="00D22598"/>
    <w:rsid w:val="00D26924"/>
    <w:rsid w:val="00D413F6"/>
    <w:rsid w:val="00D4231B"/>
    <w:rsid w:val="00D423A2"/>
    <w:rsid w:val="00D520D8"/>
    <w:rsid w:val="00D52961"/>
    <w:rsid w:val="00D55048"/>
    <w:rsid w:val="00D57FA4"/>
    <w:rsid w:val="00D62DE7"/>
    <w:rsid w:val="00D63AC2"/>
    <w:rsid w:val="00D7383B"/>
    <w:rsid w:val="00D7609E"/>
    <w:rsid w:val="00D76710"/>
    <w:rsid w:val="00D81A63"/>
    <w:rsid w:val="00D81D25"/>
    <w:rsid w:val="00D94C40"/>
    <w:rsid w:val="00DA231B"/>
    <w:rsid w:val="00DA23A0"/>
    <w:rsid w:val="00DA7F66"/>
    <w:rsid w:val="00DB186F"/>
    <w:rsid w:val="00DC38D1"/>
    <w:rsid w:val="00DC39FC"/>
    <w:rsid w:val="00DC4385"/>
    <w:rsid w:val="00DC484F"/>
    <w:rsid w:val="00DC4C27"/>
    <w:rsid w:val="00DC51BC"/>
    <w:rsid w:val="00DC793F"/>
    <w:rsid w:val="00DD5328"/>
    <w:rsid w:val="00DF4E3D"/>
    <w:rsid w:val="00DF5254"/>
    <w:rsid w:val="00E07B2B"/>
    <w:rsid w:val="00E12426"/>
    <w:rsid w:val="00E16408"/>
    <w:rsid w:val="00E20894"/>
    <w:rsid w:val="00E245AB"/>
    <w:rsid w:val="00E26239"/>
    <w:rsid w:val="00E2764C"/>
    <w:rsid w:val="00E27F2E"/>
    <w:rsid w:val="00E3576F"/>
    <w:rsid w:val="00E413EA"/>
    <w:rsid w:val="00E47F28"/>
    <w:rsid w:val="00E50AFE"/>
    <w:rsid w:val="00E52E49"/>
    <w:rsid w:val="00E577AC"/>
    <w:rsid w:val="00E578B6"/>
    <w:rsid w:val="00E61547"/>
    <w:rsid w:val="00E61702"/>
    <w:rsid w:val="00E62DAE"/>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A0E3D"/>
    <w:rsid w:val="00EA1CD8"/>
    <w:rsid w:val="00EA393B"/>
    <w:rsid w:val="00EA39A5"/>
    <w:rsid w:val="00EA74F5"/>
    <w:rsid w:val="00EB2C4B"/>
    <w:rsid w:val="00EB4940"/>
    <w:rsid w:val="00EB7E00"/>
    <w:rsid w:val="00EC1A2C"/>
    <w:rsid w:val="00EC1FE1"/>
    <w:rsid w:val="00EC38A7"/>
    <w:rsid w:val="00ED042A"/>
    <w:rsid w:val="00ED0D4A"/>
    <w:rsid w:val="00EE13B9"/>
    <w:rsid w:val="00EE1AA8"/>
    <w:rsid w:val="00EE7F94"/>
    <w:rsid w:val="00EF26C3"/>
    <w:rsid w:val="00EF489F"/>
    <w:rsid w:val="00F11213"/>
    <w:rsid w:val="00F11BAA"/>
    <w:rsid w:val="00F15862"/>
    <w:rsid w:val="00F238F2"/>
    <w:rsid w:val="00F25C35"/>
    <w:rsid w:val="00F260AA"/>
    <w:rsid w:val="00F27B26"/>
    <w:rsid w:val="00F31EDC"/>
    <w:rsid w:val="00F34D02"/>
    <w:rsid w:val="00F34E84"/>
    <w:rsid w:val="00F40BAD"/>
    <w:rsid w:val="00F462B3"/>
    <w:rsid w:val="00F5184B"/>
    <w:rsid w:val="00F55081"/>
    <w:rsid w:val="00F55168"/>
    <w:rsid w:val="00F5664F"/>
    <w:rsid w:val="00F606C2"/>
    <w:rsid w:val="00F611E3"/>
    <w:rsid w:val="00F626C4"/>
    <w:rsid w:val="00F64D9E"/>
    <w:rsid w:val="00F666C4"/>
    <w:rsid w:val="00F7684C"/>
    <w:rsid w:val="00F76AFC"/>
    <w:rsid w:val="00F80CBE"/>
    <w:rsid w:val="00F85198"/>
    <w:rsid w:val="00F939CB"/>
    <w:rsid w:val="00F9479C"/>
    <w:rsid w:val="00F965EE"/>
    <w:rsid w:val="00F97949"/>
    <w:rsid w:val="00FA1110"/>
    <w:rsid w:val="00FA358D"/>
    <w:rsid w:val="00FA47C0"/>
    <w:rsid w:val="00FB4425"/>
    <w:rsid w:val="00FB5615"/>
    <w:rsid w:val="00FB5DD1"/>
    <w:rsid w:val="00FB7F81"/>
    <w:rsid w:val="00FC07B5"/>
    <w:rsid w:val="00FC19CC"/>
    <w:rsid w:val="00FC2B5D"/>
    <w:rsid w:val="00FD00E9"/>
    <w:rsid w:val="00FD1F19"/>
    <w:rsid w:val="00FE122A"/>
    <w:rsid w:val="00FE20E6"/>
    <w:rsid w:val="00FF0C0E"/>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83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table" w:customStyle="1" w:styleId="Tablaconcuadrcula2">
    <w:name w:val="Tabla con cuadrícula2"/>
    <w:basedOn w:val="Tablanormal"/>
    <w:next w:val="Tablaconcuadrcula"/>
    <w:uiPriority w:val="39"/>
    <w:qFormat/>
    <w:rsid w:val="00361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qFormat/>
    <w:rsid w:val="003612F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Fuentedeprrafopredeter"/>
    <w:uiPriority w:val="99"/>
    <w:semiHidden/>
    <w:unhideWhenUsed/>
    <w:rsid w:val="005906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04247525">
      <w:bodyDiv w:val="1"/>
      <w:marLeft w:val="0"/>
      <w:marRight w:val="0"/>
      <w:marTop w:val="0"/>
      <w:marBottom w:val="0"/>
      <w:divBdr>
        <w:top w:val="none" w:sz="0" w:space="0" w:color="auto"/>
        <w:left w:val="none" w:sz="0" w:space="0" w:color="auto"/>
        <w:bottom w:val="none" w:sz="0" w:space="0" w:color="auto"/>
        <w:right w:val="none" w:sz="0" w:space="0" w:color="auto"/>
      </w:divBdr>
      <w:divsChild>
        <w:div w:id="798498248">
          <w:marLeft w:val="0"/>
          <w:marRight w:val="0"/>
          <w:marTop w:val="0"/>
          <w:marBottom w:val="0"/>
          <w:divBdr>
            <w:top w:val="none" w:sz="0" w:space="0" w:color="auto"/>
            <w:left w:val="none" w:sz="0" w:space="0" w:color="auto"/>
            <w:bottom w:val="none" w:sz="0" w:space="0" w:color="auto"/>
            <w:right w:val="none" w:sz="0" w:space="0" w:color="auto"/>
          </w:divBdr>
          <w:divsChild>
            <w:div w:id="625507675">
              <w:marLeft w:val="0"/>
              <w:marRight w:val="0"/>
              <w:marTop w:val="0"/>
              <w:marBottom w:val="0"/>
              <w:divBdr>
                <w:top w:val="none" w:sz="0" w:space="0" w:color="auto"/>
                <w:left w:val="none" w:sz="0" w:space="0" w:color="auto"/>
                <w:bottom w:val="none" w:sz="0" w:space="0" w:color="auto"/>
                <w:right w:val="none" w:sz="0" w:space="0" w:color="auto"/>
              </w:divBdr>
            </w:div>
          </w:divsChild>
        </w:div>
        <w:div w:id="263005484">
          <w:marLeft w:val="0"/>
          <w:marRight w:val="0"/>
          <w:marTop w:val="0"/>
          <w:marBottom w:val="0"/>
          <w:divBdr>
            <w:top w:val="none" w:sz="0" w:space="0" w:color="auto"/>
            <w:left w:val="none" w:sz="0" w:space="0" w:color="auto"/>
            <w:bottom w:val="none" w:sz="0" w:space="0" w:color="auto"/>
            <w:right w:val="none" w:sz="0" w:space="0" w:color="auto"/>
          </w:divBdr>
          <w:divsChild>
            <w:div w:id="33383074">
              <w:marLeft w:val="0"/>
              <w:marRight w:val="0"/>
              <w:marTop w:val="0"/>
              <w:marBottom w:val="0"/>
              <w:divBdr>
                <w:top w:val="none" w:sz="0" w:space="0" w:color="auto"/>
                <w:left w:val="none" w:sz="0" w:space="0" w:color="auto"/>
                <w:bottom w:val="none" w:sz="0" w:space="0" w:color="auto"/>
                <w:right w:val="none" w:sz="0" w:space="0" w:color="auto"/>
              </w:divBdr>
            </w:div>
          </w:divsChild>
        </w:div>
        <w:div w:id="1752972562">
          <w:marLeft w:val="0"/>
          <w:marRight w:val="0"/>
          <w:marTop w:val="0"/>
          <w:marBottom w:val="0"/>
          <w:divBdr>
            <w:top w:val="none" w:sz="0" w:space="0" w:color="auto"/>
            <w:left w:val="none" w:sz="0" w:space="0" w:color="auto"/>
            <w:bottom w:val="none" w:sz="0" w:space="0" w:color="auto"/>
            <w:right w:val="none" w:sz="0" w:space="0" w:color="auto"/>
          </w:divBdr>
          <w:divsChild>
            <w:div w:id="403458026">
              <w:marLeft w:val="0"/>
              <w:marRight w:val="0"/>
              <w:marTop w:val="0"/>
              <w:marBottom w:val="0"/>
              <w:divBdr>
                <w:top w:val="none" w:sz="0" w:space="0" w:color="auto"/>
                <w:left w:val="none" w:sz="0" w:space="0" w:color="auto"/>
                <w:bottom w:val="none" w:sz="0" w:space="0" w:color="auto"/>
                <w:right w:val="none" w:sz="0" w:space="0" w:color="auto"/>
              </w:divBdr>
            </w:div>
          </w:divsChild>
        </w:div>
        <w:div w:id="379938772">
          <w:marLeft w:val="0"/>
          <w:marRight w:val="0"/>
          <w:marTop w:val="0"/>
          <w:marBottom w:val="0"/>
          <w:divBdr>
            <w:top w:val="none" w:sz="0" w:space="0" w:color="auto"/>
            <w:left w:val="none" w:sz="0" w:space="0" w:color="auto"/>
            <w:bottom w:val="none" w:sz="0" w:space="0" w:color="auto"/>
            <w:right w:val="none" w:sz="0" w:space="0" w:color="auto"/>
          </w:divBdr>
          <w:divsChild>
            <w:div w:id="179536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558662152">
      <w:bodyDiv w:val="1"/>
      <w:marLeft w:val="0"/>
      <w:marRight w:val="0"/>
      <w:marTop w:val="0"/>
      <w:marBottom w:val="0"/>
      <w:divBdr>
        <w:top w:val="none" w:sz="0" w:space="0" w:color="auto"/>
        <w:left w:val="none" w:sz="0" w:space="0" w:color="auto"/>
        <w:bottom w:val="none" w:sz="0" w:space="0" w:color="auto"/>
        <w:right w:val="none" w:sz="0" w:space="0" w:color="auto"/>
      </w:divBdr>
      <w:divsChild>
        <w:div w:id="1154028147">
          <w:marLeft w:val="0"/>
          <w:marRight w:val="0"/>
          <w:marTop w:val="0"/>
          <w:marBottom w:val="0"/>
          <w:divBdr>
            <w:top w:val="none" w:sz="0" w:space="0" w:color="auto"/>
            <w:left w:val="none" w:sz="0" w:space="0" w:color="auto"/>
            <w:bottom w:val="none" w:sz="0" w:space="0" w:color="auto"/>
            <w:right w:val="none" w:sz="0" w:space="0" w:color="auto"/>
          </w:divBdr>
          <w:divsChild>
            <w:div w:id="1382556312">
              <w:marLeft w:val="0"/>
              <w:marRight w:val="0"/>
              <w:marTop w:val="0"/>
              <w:marBottom w:val="0"/>
              <w:divBdr>
                <w:top w:val="none" w:sz="0" w:space="0" w:color="auto"/>
                <w:left w:val="none" w:sz="0" w:space="0" w:color="auto"/>
                <w:bottom w:val="none" w:sz="0" w:space="0" w:color="auto"/>
                <w:right w:val="none" w:sz="0" w:space="0" w:color="auto"/>
              </w:divBdr>
            </w:div>
          </w:divsChild>
        </w:div>
        <w:div w:id="14963590">
          <w:marLeft w:val="0"/>
          <w:marRight w:val="0"/>
          <w:marTop w:val="0"/>
          <w:marBottom w:val="0"/>
          <w:divBdr>
            <w:top w:val="none" w:sz="0" w:space="0" w:color="auto"/>
            <w:left w:val="none" w:sz="0" w:space="0" w:color="auto"/>
            <w:bottom w:val="none" w:sz="0" w:space="0" w:color="auto"/>
            <w:right w:val="none" w:sz="0" w:space="0" w:color="auto"/>
          </w:divBdr>
          <w:divsChild>
            <w:div w:id="1660697003">
              <w:marLeft w:val="0"/>
              <w:marRight w:val="0"/>
              <w:marTop w:val="0"/>
              <w:marBottom w:val="0"/>
              <w:divBdr>
                <w:top w:val="none" w:sz="0" w:space="0" w:color="auto"/>
                <w:left w:val="none" w:sz="0" w:space="0" w:color="auto"/>
                <w:bottom w:val="none" w:sz="0" w:space="0" w:color="auto"/>
                <w:right w:val="none" w:sz="0" w:space="0" w:color="auto"/>
              </w:divBdr>
            </w:div>
          </w:divsChild>
        </w:div>
        <w:div w:id="227765794">
          <w:marLeft w:val="0"/>
          <w:marRight w:val="0"/>
          <w:marTop w:val="0"/>
          <w:marBottom w:val="0"/>
          <w:divBdr>
            <w:top w:val="none" w:sz="0" w:space="0" w:color="auto"/>
            <w:left w:val="none" w:sz="0" w:space="0" w:color="auto"/>
            <w:bottom w:val="none" w:sz="0" w:space="0" w:color="auto"/>
            <w:right w:val="none" w:sz="0" w:space="0" w:color="auto"/>
          </w:divBdr>
          <w:divsChild>
            <w:div w:id="1447970551">
              <w:marLeft w:val="0"/>
              <w:marRight w:val="0"/>
              <w:marTop w:val="0"/>
              <w:marBottom w:val="0"/>
              <w:divBdr>
                <w:top w:val="none" w:sz="0" w:space="0" w:color="auto"/>
                <w:left w:val="none" w:sz="0" w:space="0" w:color="auto"/>
                <w:bottom w:val="none" w:sz="0" w:space="0" w:color="auto"/>
                <w:right w:val="none" w:sz="0" w:space="0" w:color="auto"/>
              </w:divBdr>
            </w:div>
          </w:divsChild>
        </w:div>
        <w:div w:id="1179153889">
          <w:marLeft w:val="0"/>
          <w:marRight w:val="0"/>
          <w:marTop w:val="0"/>
          <w:marBottom w:val="0"/>
          <w:divBdr>
            <w:top w:val="none" w:sz="0" w:space="0" w:color="auto"/>
            <w:left w:val="none" w:sz="0" w:space="0" w:color="auto"/>
            <w:bottom w:val="none" w:sz="0" w:space="0" w:color="auto"/>
            <w:right w:val="none" w:sz="0" w:space="0" w:color="auto"/>
          </w:divBdr>
          <w:divsChild>
            <w:div w:id="102945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922712180">
      <w:bodyDiv w:val="1"/>
      <w:marLeft w:val="0"/>
      <w:marRight w:val="0"/>
      <w:marTop w:val="0"/>
      <w:marBottom w:val="0"/>
      <w:divBdr>
        <w:top w:val="none" w:sz="0" w:space="0" w:color="auto"/>
        <w:left w:val="none" w:sz="0" w:space="0" w:color="auto"/>
        <w:bottom w:val="none" w:sz="0" w:space="0" w:color="auto"/>
        <w:right w:val="none" w:sz="0" w:space="0" w:color="auto"/>
      </w:divBdr>
      <w:divsChild>
        <w:div w:id="1520007011">
          <w:marLeft w:val="0"/>
          <w:marRight w:val="0"/>
          <w:marTop w:val="0"/>
          <w:marBottom w:val="0"/>
          <w:divBdr>
            <w:top w:val="none" w:sz="0" w:space="0" w:color="auto"/>
            <w:left w:val="none" w:sz="0" w:space="0" w:color="auto"/>
            <w:bottom w:val="none" w:sz="0" w:space="0" w:color="auto"/>
            <w:right w:val="none" w:sz="0" w:space="0" w:color="auto"/>
          </w:divBdr>
          <w:divsChild>
            <w:div w:id="429352846">
              <w:marLeft w:val="0"/>
              <w:marRight w:val="0"/>
              <w:marTop w:val="0"/>
              <w:marBottom w:val="0"/>
              <w:divBdr>
                <w:top w:val="none" w:sz="0" w:space="0" w:color="auto"/>
                <w:left w:val="none" w:sz="0" w:space="0" w:color="auto"/>
                <w:bottom w:val="none" w:sz="0" w:space="0" w:color="auto"/>
                <w:right w:val="none" w:sz="0" w:space="0" w:color="auto"/>
              </w:divBdr>
            </w:div>
          </w:divsChild>
        </w:div>
        <w:div w:id="718822323">
          <w:marLeft w:val="0"/>
          <w:marRight w:val="0"/>
          <w:marTop w:val="0"/>
          <w:marBottom w:val="0"/>
          <w:divBdr>
            <w:top w:val="none" w:sz="0" w:space="0" w:color="auto"/>
            <w:left w:val="none" w:sz="0" w:space="0" w:color="auto"/>
            <w:bottom w:val="none" w:sz="0" w:space="0" w:color="auto"/>
            <w:right w:val="none" w:sz="0" w:space="0" w:color="auto"/>
          </w:divBdr>
          <w:divsChild>
            <w:div w:id="755827950">
              <w:marLeft w:val="0"/>
              <w:marRight w:val="0"/>
              <w:marTop w:val="0"/>
              <w:marBottom w:val="0"/>
              <w:divBdr>
                <w:top w:val="none" w:sz="0" w:space="0" w:color="auto"/>
                <w:left w:val="none" w:sz="0" w:space="0" w:color="auto"/>
                <w:bottom w:val="none" w:sz="0" w:space="0" w:color="auto"/>
                <w:right w:val="none" w:sz="0" w:space="0" w:color="auto"/>
              </w:divBdr>
            </w:div>
          </w:divsChild>
        </w:div>
        <w:div w:id="406615399">
          <w:marLeft w:val="0"/>
          <w:marRight w:val="0"/>
          <w:marTop w:val="0"/>
          <w:marBottom w:val="0"/>
          <w:divBdr>
            <w:top w:val="none" w:sz="0" w:space="0" w:color="auto"/>
            <w:left w:val="none" w:sz="0" w:space="0" w:color="auto"/>
            <w:bottom w:val="none" w:sz="0" w:space="0" w:color="auto"/>
            <w:right w:val="none" w:sz="0" w:space="0" w:color="auto"/>
          </w:divBdr>
          <w:divsChild>
            <w:div w:id="49115181">
              <w:marLeft w:val="0"/>
              <w:marRight w:val="0"/>
              <w:marTop w:val="0"/>
              <w:marBottom w:val="0"/>
              <w:divBdr>
                <w:top w:val="none" w:sz="0" w:space="0" w:color="auto"/>
                <w:left w:val="none" w:sz="0" w:space="0" w:color="auto"/>
                <w:bottom w:val="none" w:sz="0" w:space="0" w:color="auto"/>
                <w:right w:val="none" w:sz="0" w:space="0" w:color="auto"/>
              </w:divBdr>
            </w:div>
          </w:divsChild>
        </w:div>
        <w:div w:id="927617329">
          <w:marLeft w:val="0"/>
          <w:marRight w:val="0"/>
          <w:marTop w:val="0"/>
          <w:marBottom w:val="0"/>
          <w:divBdr>
            <w:top w:val="none" w:sz="0" w:space="0" w:color="auto"/>
            <w:left w:val="none" w:sz="0" w:space="0" w:color="auto"/>
            <w:bottom w:val="none" w:sz="0" w:space="0" w:color="auto"/>
            <w:right w:val="none" w:sz="0" w:space="0" w:color="auto"/>
          </w:divBdr>
          <w:divsChild>
            <w:div w:id="25883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18481">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manual-para-determinar-y-verificar-los-requisitos-habilitantes-en-los-procesos-de-contratacio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iaz@brandcenter.com.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www.colombiacompra.gov.c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oas.org/juridico/PDFs/mesicic5_per_osce_anexo2_reg_ley_cont_est.PDF" TargetMode="External"/><Relationship Id="rId1" Type="http://schemas.openxmlformats.org/officeDocument/2006/relationships/hyperlink" Target="https://dle.rae.es/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3458503-C625-424D-8A37-AF93A547BCB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24</Pages>
  <Words>8416</Words>
  <Characters>46290</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2</cp:revision>
  <cp:lastPrinted>2023-01-10T21:18:00Z</cp:lastPrinted>
  <dcterms:created xsi:type="dcterms:W3CDTF">2025-07-08T23:01:00Z</dcterms:created>
  <dcterms:modified xsi:type="dcterms:W3CDTF">2025-07-08T23:01:00Z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