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C4E93" w14:textId="77777777" w:rsidR="00485E57" w:rsidRPr="00485E57" w:rsidRDefault="00485E57" w:rsidP="00485E57">
      <w:pPr>
        <w:spacing w:after="0" w:line="240" w:lineRule="auto"/>
        <w:contextualSpacing/>
        <w:jc w:val="both"/>
        <w:rPr>
          <w:rFonts w:ascii="Verdana" w:eastAsia="Yu Gothic UI Semibold" w:hAnsi="Verdana" w:cs="Arial"/>
          <w:b/>
          <w:bCs/>
          <w:color w:val="000000" w:themeColor="text1"/>
          <w:lang w:val="es-MX"/>
        </w:rPr>
      </w:pPr>
      <w:bookmarkStart w:id="0" w:name="_Hlk181166109"/>
      <w:bookmarkStart w:id="1" w:name="_Hlk143780582"/>
      <w:r w:rsidRPr="00485E57">
        <w:rPr>
          <w:rFonts w:ascii="Verdana" w:eastAsia="Yu Gothic UI Semibold" w:hAnsi="Verdana" w:cs="Arial"/>
          <w:b/>
          <w:bCs/>
          <w:color w:val="000000" w:themeColor="text1"/>
          <w:lang w:val="es-MX"/>
        </w:rPr>
        <w:t xml:space="preserve">CONTRATOS DE PRESTACIÓN DE SERVICIOS </w:t>
      </w:r>
      <w:bookmarkStart w:id="2" w:name="_Hlk134189711"/>
      <w:r w:rsidRPr="00485E57">
        <w:rPr>
          <w:rFonts w:ascii="Verdana" w:eastAsia="Yu Gothic UI Semibold" w:hAnsi="Verdana" w:cs="Arial"/>
          <w:b/>
          <w:bCs/>
          <w:color w:val="000000" w:themeColor="text1"/>
          <w:lang w:val="es-MX"/>
        </w:rPr>
        <w:t>–</w:t>
      </w:r>
      <w:bookmarkEnd w:id="2"/>
      <w:r w:rsidRPr="00485E57">
        <w:rPr>
          <w:rFonts w:ascii="Verdana" w:eastAsia="Yu Gothic UI Semibold" w:hAnsi="Verdana" w:cs="Arial"/>
          <w:b/>
          <w:bCs/>
          <w:color w:val="000000" w:themeColor="text1"/>
          <w:lang w:val="es-MX"/>
        </w:rPr>
        <w:t xml:space="preserve"> Generalidades – Requisitos y límites para su celebración</w:t>
      </w:r>
    </w:p>
    <w:p w14:paraId="153F5BCF" w14:textId="77777777" w:rsidR="00485E57" w:rsidRPr="00485E57" w:rsidRDefault="00485E57" w:rsidP="00485E57">
      <w:pPr>
        <w:spacing w:after="0" w:line="240" w:lineRule="auto"/>
        <w:jc w:val="both"/>
        <w:rPr>
          <w:rFonts w:ascii="Verdana" w:eastAsia="Times New Roman" w:hAnsi="Verdana" w:cs="Arial"/>
          <w:bCs/>
          <w:lang w:val="es-MX" w:eastAsia="es-ES_tradnl"/>
        </w:rPr>
      </w:pPr>
    </w:p>
    <w:p w14:paraId="3AB1D816" w14:textId="77777777" w:rsidR="00485E57" w:rsidRPr="000F4F5B" w:rsidRDefault="00485E57" w:rsidP="00485E57">
      <w:pPr>
        <w:spacing w:after="0" w:line="240" w:lineRule="auto"/>
        <w:jc w:val="both"/>
        <w:rPr>
          <w:rFonts w:ascii="Verdana" w:eastAsia="Times New Roman" w:hAnsi="Verdana" w:cs="Arial"/>
          <w:bCs/>
          <w:sz w:val="20"/>
          <w:szCs w:val="20"/>
          <w:lang w:eastAsia="es-ES_tradnl"/>
        </w:rPr>
      </w:pPr>
      <w:r w:rsidRPr="000F4F5B">
        <w:rPr>
          <w:rFonts w:ascii="Verdana" w:eastAsia="Times New Roman" w:hAnsi="Verdana" w:cs="Arial"/>
          <w:color w:val="000000" w:themeColor="text1"/>
          <w:sz w:val="20"/>
          <w:szCs w:val="20"/>
          <w:lang w:val="es-MX" w:eastAsia="es-CO"/>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0F4F5B">
        <w:rPr>
          <w:rFonts w:ascii="Verdana" w:eastAsia="Calibri" w:hAnsi="Verdana" w:cs="Arial"/>
          <w:color w:val="000000" w:themeColor="text1"/>
          <w:sz w:val="20"/>
          <w:szCs w:val="20"/>
          <w:lang w:val="es-ES_tradnl" w:eastAsia="es-CO"/>
        </w:rPr>
        <w:t xml:space="preserve"> La celebración de dicho contrato debe efectuarse a través de la modalidad de contratación directa.</w:t>
      </w:r>
    </w:p>
    <w:p w14:paraId="53BB8D32" w14:textId="77777777" w:rsidR="00485E57" w:rsidRPr="00485E57" w:rsidRDefault="00485E57" w:rsidP="00485E57">
      <w:pPr>
        <w:spacing w:after="0" w:line="240" w:lineRule="auto"/>
        <w:jc w:val="both"/>
        <w:rPr>
          <w:rFonts w:ascii="Verdana" w:eastAsia="Times New Roman" w:hAnsi="Verdana" w:cs="Arial"/>
          <w:highlight w:val="yellow"/>
          <w:lang w:val="es-ES_tradnl" w:eastAsia="es-ES_tradnl"/>
        </w:rPr>
      </w:pPr>
      <w:bookmarkStart w:id="3" w:name="_Hlk134190527"/>
    </w:p>
    <w:p w14:paraId="5D24A2C2" w14:textId="77777777" w:rsidR="00485E57" w:rsidRPr="00485E57" w:rsidRDefault="00485E57" w:rsidP="00485E57">
      <w:pPr>
        <w:spacing w:after="0" w:line="240" w:lineRule="auto"/>
        <w:jc w:val="both"/>
        <w:rPr>
          <w:rFonts w:ascii="Verdana" w:eastAsia="Times New Roman" w:hAnsi="Verdana" w:cs="Arial"/>
          <w:b/>
          <w:bCs/>
          <w:color w:val="000000"/>
          <w:lang w:val="es-ES_tradnl" w:eastAsia="es-ES_tradnl"/>
        </w:rPr>
      </w:pPr>
      <w:r w:rsidRPr="00485E57">
        <w:rPr>
          <w:rFonts w:ascii="Verdana" w:eastAsia="Times New Roman" w:hAnsi="Verdana" w:cs="Arial"/>
          <w:b/>
          <w:bCs/>
          <w:lang w:val="es-ES_tradnl" w:eastAsia="es-ES_tradnl"/>
        </w:rPr>
        <w:t xml:space="preserve">CONTRATOS DE PRESTACIÓN DE SERVICIOS PROFESIONALES Y DE APOYO A LA GESTIÓN </w:t>
      </w:r>
      <w:r w:rsidRPr="00485E57">
        <w:rPr>
          <w:rFonts w:ascii="Verdana" w:eastAsia="Yu Gothic UI Semibold" w:hAnsi="Verdana" w:cs="Arial"/>
          <w:b/>
          <w:bCs/>
          <w:color w:val="000000" w:themeColor="text1"/>
          <w:lang w:val="es-MX"/>
        </w:rPr>
        <w:t xml:space="preserve">– </w:t>
      </w:r>
      <w:r w:rsidRPr="00485E57">
        <w:rPr>
          <w:rFonts w:ascii="Verdana" w:eastAsia="Times New Roman" w:hAnsi="Verdana" w:cs="Arial"/>
          <w:b/>
          <w:bCs/>
          <w:color w:val="000000"/>
          <w:lang w:val="es-ES_tradnl" w:eastAsia="es-ES_tradnl"/>
        </w:rPr>
        <w:t>Posibilidad de celebrar varios contratos con la misma entidad estatal de forma simultánea</w:t>
      </w:r>
    </w:p>
    <w:bookmarkEnd w:id="3"/>
    <w:p w14:paraId="6184E662" w14:textId="77777777" w:rsidR="00485E57" w:rsidRPr="00485E57" w:rsidRDefault="00485E57" w:rsidP="00485E57">
      <w:pPr>
        <w:spacing w:after="0" w:line="240" w:lineRule="auto"/>
        <w:jc w:val="both"/>
        <w:rPr>
          <w:rFonts w:ascii="Verdana" w:eastAsia="Times New Roman" w:hAnsi="Verdana" w:cs="Arial"/>
          <w:lang w:val="es-ES_tradnl" w:eastAsia="es-ES_tradnl"/>
        </w:rPr>
      </w:pPr>
    </w:p>
    <w:p w14:paraId="42872BBF" w14:textId="77777777" w:rsidR="00485E57" w:rsidRPr="000F4F5B" w:rsidRDefault="00485E57" w:rsidP="00485E57">
      <w:pPr>
        <w:spacing w:after="0" w:line="240" w:lineRule="auto"/>
        <w:contextualSpacing/>
        <w:jc w:val="both"/>
        <w:rPr>
          <w:rFonts w:ascii="Verdana" w:eastAsia="Times New Roman" w:hAnsi="Verdana" w:cs="Arial"/>
          <w:sz w:val="20"/>
          <w:szCs w:val="20"/>
          <w:lang w:eastAsia="es-CO"/>
        </w:rPr>
      </w:pPr>
      <w:r w:rsidRPr="000F4F5B">
        <w:rPr>
          <w:rFonts w:ascii="Verdana" w:eastAsia="Times New Roman" w:hAnsi="Verdana" w:cs="Arial"/>
          <w:sz w:val="20"/>
          <w:szCs w:val="20"/>
          <w:lang w:eastAsia="es-CO"/>
        </w:rPr>
        <w:t>(…) 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p>
    <w:p w14:paraId="56A618AD" w14:textId="77777777" w:rsidR="00485E57" w:rsidRPr="000F4F5B" w:rsidRDefault="00485E57" w:rsidP="00485E57">
      <w:pPr>
        <w:spacing w:after="0" w:line="240" w:lineRule="auto"/>
        <w:contextualSpacing/>
        <w:jc w:val="both"/>
        <w:rPr>
          <w:rFonts w:ascii="Verdana" w:eastAsia="Times New Roman" w:hAnsi="Verdana" w:cs="Arial"/>
          <w:sz w:val="20"/>
          <w:szCs w:val="20"/>
          <w:lang w:eastAsia="es-CO"/>
        </w:rPr>
      </w:pPr>
    </w:p>
    <w:p w14:paraId="3D0D79F7" w14:textId="77777777" w:rsidR="00485E57" w:rsidRPr="000F4F5B" w:rsidRDefault="00485E57" w:rsidP="00485E57">
      <w:pPr>
        <w:spacing w:after="0" w:line="240" w:lineRule="auto"/>
        <w:contextualSpacing/>
        <w:jc w:val="both"/>
        <w:rPr>
          <w:rFonts w:ascii="Verdana" w:eastAsia="Times New Roman" w:hAnsi="Verdana" w:cs="Arial"/>
          <w:sz w:val="20"/>
          <w:szCs w:val="20"/>
          <w:lang w:eastAsia="es-CO"/>
        </w:rPr>
      </w:pPr>
      <w:r w:rsidRPr="000F4F5B">
        <w:rPr>
          <w:rFonts w:ascii="Verdana" w:eastAsia="Times New Roman" w:hAnsi="Verdana" w:cs="Arial"/>
          <w:sz w:val="20"/>
          <w:szCs w:val="20"/>
          <w:lang w:eastAsia="es-CO"/>
        </w:rPr>
        <w:t>(…)</w:t>
      </w:r>
    </w:p>
    <w:p w14:paraId="490CDFC2" w14:textId="77777777" w:rsidR="00485E57" w:rsidRPr="000F4F5B" w:rsidRDefault="00485E57" w:rsidP="00485E57">
      <w:pPr>
        <w:spacing w:after="0" w:line="240" w:lineRule="auto"/>
        <w:contextualSpacing/>
        <w:jc w:val="both"/>
        <w:rPr>
          <w:rFonts w:ascii="Verdana" w:eastAsia="Times New Roman" w:hAnsi="Verdana" w:cs="Arial"/>
          <w:sz w:val="20"/>
          <w:szCs w:val="20"/>
          <w:lang w:eastAsia="es-CO"/>
        </w:rPr>
      </w:pPr>
    </w:p>
    <w:p w14:paraId="0DF0E5F4" w14:textId="05C5B281" w:rsidR="00485E57" w:rsidRPr="000F4F5B" w:rsidRDefault="00485E57" w:rsidP="00485E57">
      <w:pPr>
        <w:spacing w:after="0" w:line="240" w:lineRule="auto"/>
        <w:contextualSpacing/>
        <w:jc w:val="both"/>
        <w:rPr>
          <w:rFonts w:ascii="Verdana" w:eastAsia="Times New Roman" w:hAnsi="Verdana" w:cs="Arial"/>
          <w:sz w:val="20"/>
          <w:szCs w:val="20"/>
          <w:lang w:eastAsia="es-CO"/>
        </w:rPr>
      </w:pPr>
      <w:r w:rsidRPr="000F4F5B">
        <w:rPr>
          <w:rFonts w:ascii="Verdana" w:eastAsia="Times New Roman" w:hAnsi="Verdana" w:cs="Arial"/>
          <w:sz w:val="20"/>
          <w:szCs w:val="20"/>
          <w:lang w:eastAsia="es-CO"/>
        </w:rPr>
        <w:t>Tratándose de contratos de prestación de servicios de apoyo a la gestión, debe tomarse en consideración que la Directiva Presidencial No. 2 del 30 de marzo de 2023 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 (…) Al haberse dejado sin efectos la disposición anteriormente citada, en la actualidad no se encuentra vigente la restricción consistente en la celebración de más de un contrato de prestación de servicios de apoyo a la gestión allí contenida, la cual, en todo caso, había sido objeto de una medida cautelar de suspensión provisional decretada por parte del Consejo de Estado -Sala de lo Contencioso Administrativo, Sección Tercera, Subsección A- en providencia del 22 de febrero de 2023</w:t>
      </w:r>
      <w:r w:rsidR="000F4F5B">
        <w:rPr>
          <w:rFonts w:ascii="Verdana" w:eastAsia="Times New Roman" w:hAnsi="Verdana" w:cs="Arial"/>
          <w:sz w:val="20"/>
          <w:szCs w:val="20"/>
          <w:lang w:eastAsia="es-CO"/>
        </w:rPr>
        <w:t>.</w:t>
      </w:r>
    </w:p>
    <w:p w14:paraId="72BC8C23" w14:textId="77777777" w:rsidR="00485E57" w:rsidRPr="00485E57" w:rsidRDefault="00485E57" w:rsidP="00485E57">
      <w:pPr>
        <w:tabs>
          <w:tab w:val="left" w:pos="0"/>
        </w:tabs>
        <w:spacing w:line="276" w:lineRule="auto"/>
        <w:jc w:val="both"/>
        <w:rPr>
          <w:rFonts w:ascii="Verdana" w:hAnsi="Verdana" w:cs="Arial"/>
          <w:b/>
          <w:lang w:val="es-ES" w:eastAsia="es-ES"/>
        </w:rPr>
      </w:pPr>
    </w:p>
    <w:p w14:paraId="465906D6" w14:textId="77777777" w:rsidR="00485E57" w:rsidRPr="00485E57" w:rsidRDefault="00485E57" w:rsidP="00485E57">
      <w:pPr>
        <w:tabs>
          <w:tab w:val="left" w:pos="0"/>
        </w:tabs>
        <w:spacing w:line="276" w:lineRule="auto"/>
        <w:jc w:val="both"/>
        <w:rPr>
          <w:rFonts w:ascii="Verdana" w:eastAsia="Calibri" w:hAnsi="Verdana" w:cs="Arial"/>
          <w:b/>
          <w:lang w:val="es-ES"/>
        </w:rPr>
      </w:pPr>
      <w:r w:rsidRPr="00485E57">
        <w:rPr>
          <w:rFonts w:ascii="Verdana" w:hAnsi="Verdana" w:cs="Arial"/>
          <w:b/>
          <w:lang w:val="es-ES" w:eastAsia="es-ES"/>
        </w:rPr>
        <w:t>CONTRATOS DE PRESTACIÓN DE SERVICIOS – Simultáneos</w:t>
      </w:r>
    </w:p>
    <w:p w14:paraId="60681DC7" w14:textId="77777777" w:rsidR="00485E57" w:rsidRPr="000F4F5B" w:rsidRDefault="00485E57" w:rsidP="00485E57">
      <w:pPr>
        <w:pStyle w:val="Textoindependiente"/>
        <w:spacing w:line="240" w:lineRule="auto"/>
        <w:contextualSpacing/>
        <w:rPr>
          <w:rFonts w:ascii="Verdana" w:eastAsia="Calibri" w:hAnsi="Verdana"/>
          <w:bCs/>
          <w:sz w:val="20"/>
          <w:szCs w:val="20"/>
        </w:rPr>
      </w:pPr>
      <w:r w:rsidRPr="000F4F5B">
        <w:rPr>
          <w:rFonts w:ascii="Verdana" w:eastAsia="Calibri" w:hAnsi="Verdana"/>
          <w:bCs/>
          <w:sz w:val="20"/>
          <w:szCs w:val="20"/>
        </w:rPr>
        <w:t xml:space="preserve">[…] </w:t>
      </w:r>
      <w:r w:rsidRPr="000F4F5B">
        <w:rPr>
          <w:rFonts w:ascii="Verdana" w:hAnsi="Verdana"/>
          <w:bCs/>
          <w:color w:val="000000" w:themeColor="text1"/>
          <w:sz w:val="20"/>
          <w:szCs w:val="20"/>
        </w:rPr>
        <w:t xml:space="preserve">los contratistas de prestación de servicios se encuentran por fuera del ámbito de aplicación el artículo 128 de la Constitución, al no ser titulares de un empleo público, lo que supone que es perfectamente válido que una persona suscriba varios contratos de prestación de servicios con el Estado, no existiendo una disposición que así lo prohíba.  </w:t>
      </w:r>
      <w:r w:rsidRPr="000F4F5B">
        <w:rPr>
          <w:rFonts w:ascii="Verdana" w:eastAsia="Calibri" w:hAnsi="Verdana"/>
          <w:bCs/>
          <w:sz w:val="20"/>
          <w:szCs w:val="20"/>
        </w:rPr>
        <w:lastRenderedPageBreak/>
        <w:t>Esto por supuesto dependerá de que, el contratista no se encuentre incurso en alguna otra causal de inhabilidad o incompatibilidad con las entidades públicas, en las condiciones explicadas.</w:t>
      </w:r>
    </w:p>
    <w:p w14:paraId="05AAD8F8" w14:textId="77777777" w:rsidR="00485E57" w:rsidRPr="000F4F5B" w:rsidRDefault="00485E57" w:rsidP="00485E57">
      <w:pPr>
        <w:pStyle w:val="Textoindependiente"/>
        <w:spacing w:line="240" w:lineRule="auto"/>
        <w:contextualSpacing/>
        <w:rPr>
          <w:rFonts w:ascii="Verdana" w:eastAsia="Calibri" w:hAnsi="Verdana"/>
          <w:bCs/>
          <w:sz w:val="20"/>
          <w:szCs w:val="20"/>
        </w:rPr>
      </w:pPr>
    </w:p>
    <w:p w14:paraId="154B3390" w14:textId="77777777" w:rsidR="00485E57" w:rsidRPr="000F4F5B" w:rsidRDefault="00485E57" w:rsidP="00485E57">
      <w:pPr>
        <w:spacing w:after="0" w:line="240" w:lineRule="auto"/>
        <w:contextualSpacing/>
        <w:jc w:val="both"/>
        <w:rPr>
          <w:rFonts w:ascii="Arial" w:eastAsia="Calibri" w:hAnsi="Arial" w:cs="Arial"/>
          <w:bCs/>
          <w:sz w:val="20"/>
          <w:szCs w:val="20"/>
        </w:rPr>
      </w:pPr>
      <w:r w:rsidRPr="000F4F5B">
        <w:rPr>
          <w:rFonts w:ascii="Verdana" w:eastAsia="Calibri" w:hAnsi="Verdana" w:cs="Arial"/>
          <w:bCs/>
          <w:sz w:val="20"/>
          <w:szCs w:val="20"/>
        </w:rPr>
        <w:t>Sin perjuicio de lo anterior, en eventos como que es materia de consulta, es necesario tener en cuenta, dos aspectos adicionales. Por un lado, en el marco de un contrato de prestación de servicios con una entidad estatal podría pactarse una cláusula de exclusividad. Si bien este compromiso vendría a ser un elemento accidental del contrato, en virtud de este acuerdo, una de las partes de un contrato se obliga respecto a la otra a realizar, de manera exclusiva, las prestaciones objeto de este.  En este sentido, si, por ejemplo, en un contrato de prestación de servicios se pacta una cláusula de exclusividad a favor de la entidad contratante, el contratista se estaría obligando, so pena de incumplimiento, a no celebrar contratos de la misma naturaleza con otras personas de derecho público o privado, dependiendo del alcance la cláusula.</w:t>
      </w:r>
    </w:p>
    <w:p w14:paraId="56B2AEDD" w14:textId="77777777" w:rsidR="00485E57" w:rsidRPr="00485E57" w:rsidRDefault="00485E57" w:rsidP="00485E57">
      <w:pPr>
        <w:spacing w:after="0" w:line="240" w:lineRule="auto"/>
        <w:jc w:val="both"/>
        <w:rPr>
          <w:rFonts w:ascii="Verdana" w:eastAsia="Geomanist Light" w:hAnsi="Verdana" w:cs="Arial"/>
          <w:b/>
          <w:bCs/>
          <w:color w:val="000000" w:themeColor="text1"/>
          <w:lang w:val="es-ES"/>
        </w:rPr>
      </w:pPr>
    </w:p>
    <w:p w14:paraId="659DAA98" w14:textId="77777777" w:rsidR="00A71FA6" w:rsidRPr="00A71FA6" w:rsidRDefault="00A71FA6" w:rsidP="00A71FA6">
      <w:pPr>
        <w:spacing w:after="0" w:line="240" w:lineRule="auto"/>
        <w:jc w:val="both"/>
        <w:rPr>
          <w:rFonts w:ascii="Verdana" w:eastAsia="Geomanist Light" w:hAnsi="Verdana" w:cs="Arial"/>
          <w:b/>
          <w:bCs/>
          <w:color w:val="000000" w:themeColor="text1"/>
          <w:lang w:val="es-MX"/>
        </w:rPr>
      </w:pPr>
      <w:r w:rsidRPr="00A71FA6">
        <w:rPr>
          <w:rFonts w:ascii="Verdana" w:eastAsia="Geomanist Light" w:hAnsi="Verdana" w:cs="Arial"/>
          <w:b/>
          <w:bCs/>
          <w:color w:val="000000" w:themeColor="text1"/>
          <w:lang w:val="es-MX"/>
        </w:rPr>
        <w:t xml:space="preserve">REGÍMEN ESPECIAL – Manual de contratación – Régimen de Contratación   </w:t>
      </w:r>
    </w:p>
    <w:p w14:paraId="6CA676C3" w14:textId="77777777" w:rsidR="00A71FA6" w:rsidRPr="00A71FA6" w:rsidRDefault="00A71FA6" w:rsidP="00A71FA6">
      <w:pPr>
        <w:spacing w:after="0" w:line="240" w:lineRule="auto"/>
        <w:jc w:val="both"/>
        <w:rPr>
          <w:rFonts w:ascii="Verdana" w:eastAsia="Geomanist Light" w:hAnsi="Verdana" w:cs="Arial"/>
          <w:color w:val="000000" w:themeColor="text1"/>
          <w:lang w:val="es-MX"/>
        </w:rPr>
      </w:pPr>
      <w:r w:rsidRPr="00A71FA6">
        <w:rPr>
          <w:rFonts w:ascii="Verdana" w:eastAsia="Geomanist Light" w:hAnsi="Verdana" w:cs="Arial"/>
          <w:color w:val="000000" w:themeColor="text1"/>
          <w:lang w:val="es-MX"/>
        </w:rPr>
        <w:t xml:space="preserve"> </w:t>
      </w:r>
    </w:p>
    <w:p w14:paraId="4927061C" w14:textId="77777777" w:rsidR="00A71FA6" w:rsidRPr="000F4F5B" w:rsidRDefault="00A71FA6" w:rsidP="00A71FA6">
      <w:pPr>
        <w:spacing w:after="0" w:line="240" w:lineRule="auto"/>
        <w:jc w:val="both"/>
        <w:rPr>
          <w:rFonts w:ascii="Verdana" w:eastAsia="Geomanist Light" w:hAnsi="Verdana" w:cs="Arial"/>
          <w:color w:val="000000" w:themeColor="text1"/>
          <w:sz w:val="20"/>
          <w:szCs w:val="20"/>
          <w:lang w:val="es-MX"/>
        </w:rPr>
      </w:pPr>
      <w:r w:rsidRPr="000F4F5B">
        <w:rPr>
          <w:rFonts w:ascii="Verdana" w:eastAsia="Geomanist Light" w:hAnsi="Verdana" w:cs="Arial"/>
          <w:color w:val="000000" w:themeColor="text1"/>
          <w:sz w:val="20"/>
          <w:szCs w:val="20"/>
          <w:lang w:val="es-MX"/>
        </w:rPr>
        <w:t>[…] en el ordenamiento jurídico colombiano cuando se piensa en los regímenes especiales de contratación, por regla general, hace referencia al régimen de determinadas Entidades Estatales. Tal sería el caso de las Empresas de Servicios Públicos Domiciliarios, de conformidad con el artículo 31 de la Ley 142 de 1994, de las entidades indicadas en el artículo 14 de la Ley 1150 de 2007, y de las universidades estatales u oficiales, según el artículo 93 de la Ley 30 de 1993. Esta afirmación, sin embargo, no pretende desconocer que dicho régimen especial se otorga justamente en consideración al especial tipo de actividades desplegadas por estas entidades.</w:t>
      </w:r>
    </w:p>
    <w:p w14:paraId="79222FF8" w14:textId="77777777" w:rsidR="00A71FA6" w:rsidRPr="000F4F5B" w:rsidRDefault="00A71FA6" w:rsidP="00A71FA6">
      <w:pPr>
        <w:spacing w:after="0" w:line="240" w:lineRule="auto"/>
        <w:jc w:val="both"/>
        <w:rPr>
          <w:rFonts w:ascii="Verdana" w:eastAsia="Geomanist Light" w:hAnsi="Verdana" w:cs="Arial"/>
          <w:color w:val="000000" w:themeColor="text1"/>
          <w:sz w:val="20"/>
          <w:szCs w:val="20"/>
          <w:lang w:val="es-MX"/>
        </w:rPr>
      </w:pPr>
      <w:r w:rsidRPr="000F4F5B">
        <w:rPr>
          <w:rFonts w:ascii="Verdana" w:eastAsia="Geomanist Light" w:hAnsi="Verdana" w:cs="Arial"/>
          <w:color w:val="000000" w:themeColor="text1"/>
          <w:sz w:val="20"/>
          <w:szCs w:val="20"/>
          <w:lang w:val="es-MX"/>
        </w:rPr>
        <w:t xml:space="preserve"> </w:t>
      </w:r>
    </w:p>
    <w:p w14:paraId="2F972818" w14:textId="77777777" w:rsidR="00A71FA6" w:rsidRPr="000F4F5B" w:rsidRDefault="00A71FA6" w:rsidP="00A71FA6">
      <w:pPr>
        <w:spacing w:after="0" w:line="240" w:lineRule="auto"/>
        <w:jc w:val="both"/>
        <w:rPr>
          <w:rFonts w:ascii="Verdana" w:eastAsia="Geomanist Light" w:hAnsi="Verdana" w:cs="Arial"/>
          <w:color w:val="000000" w:themeColor="text1"/>
          <w:sz w:val="20"/>
          <w:szCs w:val="20"/>
          <w:lang w:val="es-MX"/>
        </w:rPr>
      </w:pPr>
      <w:r w:rsidRPr="000F4F5B">
        <w:rPr>
          <w:rFonts w:ascii="Verdana" w:eastAsia="Geomanist Light" w:hAnsi="Verdana" w:cs="Arial"/>
          <w:color w:val="000000" w:themeColor="text1"/>
          <w:sz w:val="20"/>
          <w:szCs w:val="20"/>
          <w:lang w:val="es-MX"/>
        </w:rPr>
        <w:t xml:space="preserve">Ahora bien, los regímenes especiales en el ordenamiento colombiano no se dan exclusivamente en atención a cierto tipo de sujetos (como las Empresas Industriales y Comerciales del Estado, las Sociedades de Economía Mixta, las Empresas de Servicios Públicos, entre otras), sino también para cierto tipo de objetos. Este es el caso del régimen jurídico establecido en el artículo 66 de la Ley 1523 de 2012 – al cual hace referencia en su consulta –, que establece un régimen especial de derecho privado </w:t>
      </w:r>
      <w:proofErr w:type="gramStart"/>
      <w:r w:rsidRPr="000F4F5B">
        <w:rPr>
          <w:rFonts w:ascii="Verdana" w:eastAsia="Geomanist Light" w:hAnsi="Verdana" w:cs="Arial"/>
          <w:color w:val="000000" w:themeColor="text1"/>
          <w:sz w:val="20"/>
          <w:szCs w:val="20"/>
          <w:lang w:val="es-MX"/>
        </w:rPr>
        <w:t>en razón de</w:t>
      </w:r>
      <w:proofErr w:type="gramEnd"/>
      <w:r w:rsidRPr="000F4F5B">
        <w:rPr>
          <w:rFonts w:ascii="Verdana" w:eastAsia="Geomanist Light" w:hAnsi="Verdana" w:cs="Arial"/>
          <w:color w:val="000000" w:themeColor="text1"/>
          <w:sz w:val="20"/>
          <w:szCs w:val="20"/>
          <w:lang w:val="es-MX"/>
        </w:rPr>
        <w:t xml:space="preserve"> la especial consideración que merece el objeto a contratar. Otro ejemplo en este sentido se puede encontrar en el Decreto 544 de 2020 que estableció un régimen de contratación sometido al derecho privado, que no se rige por el EGCAP, para los contratos que “tengan por objeto la adquisición en el mercado internacional de los elementos que a continuación se indican”.</w:t>
      </w:r>
    </w:p>
    <w:p w14:paraId="54E9E2E1" w14:textId="77777777" w:rsidR="00A71FA6" w:rsidRPr="000F4F5B" w:rsidRDefault="00A71FA6" w:rsidP="00A71FA6">
      <w:pPr>
        <w:spacing w:after="0" w:line="240" w:lineRule="auto"/>
        <w:jc w:val="both"/>
        <w:rPr>
          <w:rFonts w:ascii="Verdana" w:eastAsia="Geomanist Light" w:hAnsi="Verdana" w:cs="Arial"/>
          <w:color w:val="000000" w:themeColor="text1"/>
          <w:sz w:val="20"/>
          <w:szCs w:val="20"/>
          <w:lang w:val="es-MX"/>
        </w:rPr>
      </w:pPr>
      <w:r w:rsidRPr="000F4F5B">
        <w:rPr>
          <w:rFonts w:ascii="Verdana" w:eastAsia="Geomanist Light" w:hAnsi="Verdana" w:cs="Arial"/>
          <w:color w:val="000000" w:themeColor="text1"/>
          <w:sz w:val="20"/>
          <w:szCs w:val="20"/>
          <w:lang w:val="es-MX"/>
        </w:rPr>
        <w:t xml:space="preserve"> </w:t>
      </w:r>
    </w:p>
    <w:p w14:paraId="2BB1BA7D" w14:textId="77777777" w:rsidR="00A71FA6" w:rsidRPr="000F4F5B" w:rsidRDefault="00A71FA6" w:rsidP="00A71FA6">
      <w:pPr>
        <w:spacing w:after="0" w:line="240" w:lineRule="auto"/>
        <w:jc w:val="both"/>
        <w:rPr>
          <w:rFonts w:ascii="Verdana" w:eastAsia="Geomanist Light" w:hAnsi="Verdana" w:cs="Arial"/>
          <w:color w:val="000000" w:themeColor="text1"/>
          <w:sz w:val="20"/>
          <w:szCs w:val="20"/>
          <w:lang w:val="es-MX"/>
        </w:rPr>
      </w:pPr>
      <w:r w:rsidRPr="000F4F5B">
        <w:rPr>
          <w:rFonts w:ascii="Verdana" w:eastAsia="Geomanist Light" w:hAnsi="Verdana" w:cs="Arial"/>
          <w:color w:val="000000" w:themeColor="text1"/>
          <w:sz w:val="20"/>
          <w:szCs w:val="20"/>
          <w:lang w:val="es-MX"/>
        </w:rPr>
        <w:t>Cuando se declare la situación de desastre o la situación de calamidad pública, las instituciones mencionadas antes son las únicas excluidas de la Ley 80 de 1993; las demás siguen cubiertas por el EGCAP, como es el caso de los ministerios, todas las entidades descentralizadas por servicios del orden nacional y territorial, las demás ramas del poder público, los órganos autónomos y, en general, casi todas las instituciones públicas del país.</w:t>
      </w:r>
    </w:p>
    <w:p w14:paraId="69FF8DD7" w14:textId="77777777" w:rsidR="00A71FA6" w:rsidRPr="000F4F5B" w:rsidRDefault="00A71FA6" w:rsidP="00A71FA6">
      <w:pPr>
        <w:spacing w:after="0" w:line="240" w:lineRule="auto"/>
        <w:jc w:val="both"/>
        <w:rPr>
          <w:rFonts w:ascii="Verdana" w:eastAsia="Geomanist Light" w:hAnsi="Verdana" w:cs="Arial"/>
          <w:color w:val="000000" w:themeColor="text1"/>
          <w:sz w:val="20"/>
          <w:szCs w:val="20"/>
          <w:lang w:val="es-MX"/>
        </w:rPr>
      </w:pPr>
    </w:p>
    <w:p w14:paraId="5C4C24B3" w14:textId="77777777" w:rsidR="00A71FA6" w:rsidRPr="000F4F5B" w:rsidRDefault="00A71FA6" w:rsidP="00A71FA6">
      <w:pPr>
        <w:spacing w:after="0" w:line="240" w:lineRule="auto"/>
        <w:jc w:val="both"/>
        <w:rPr>
          <w:rFonts w:ascii="Verdana" w:eastAsia="Geomanist Light" w:hAnsi="Verdana" w:cs="Arial"/>
          <w:color w:val="000000" w:themeColor="text1"/>
          <w:sz w:val="20"/>
          <w:szCs w:val="20"/>
          <w:lang w:val="es-MX"/>
        </w:rPr>
      </w:pPr>
      <w:r w:rsidRPr="000F4F5B">
        <w:rPr>
          <w:rFonts w:ascii="Verdana" w:eastAsia="Geomanist Light" w:hAnsi="Verdana" w:cs="Arial"/>
          <w:color w:val="000000" w:themeColor="text1"/>
          <w:sz w:val="20"/>
          <w:szCs w:val="20"/>
          <w:lang w:val="es-MX"/>
        </w:rPr>
        <w:t xml:space="preserve">Además, según el parágrafo del mismo artículo, solo los contratos celebrados por las entidades territoriales se someten al control fiscal, con independencia de que sean </w:t>
      </w:r>
      <w:r w:rsidRPr="000F4F5B">
        <w:rPr>
          <w:rFonts w:ascii="Verdana" w:eastAsia="Geomanist Light" w:hAnsi="Verdana" w:cs="Arial"/>
          <w:color w:val="000000" w:themeColor="text1"/>
          <w:sz w:val="20"/>
          <w:szCs w:val="20"/>
          <w:lang w:val="es-MX"/>
        </w:rPr>
        <w:lastRenderedPageBreak/>
        <w:t>producto de la contratación directa; razón por la cual también recae sobre aquellos que son resultado de procesos de selección competitivos.</w:t>
      </w:r>
    </w:p>
    <w:p w14:paraId="1FEB4102" w14:textId="77777777" w:rsidR="00485E57" w:rsidRPr="00485E57" w:rsidRDefault="00485E57" w:rsidP="00485E57">
      <w:pPr>
        <w:spacing w:after="0" w:line="240" w:lineRule="auto"/>
        <w:rPr>
          <w:rFonts w:ascii="Verdana" w:eastAsia="Geomanist Light" w:hAnsi="Verdana" w:cs="Arial"/>
          <w:color w:val="000000" w:themeColor="text1"/>
          <w:lang w:val="es-MX"/>
        </w:rPr>
      </w:pPr>
    </w:p>
    <w:p w14:paraId="739E1FA3" w14:textId="77777777" w:rsidR="00503C19" w:rsidRPr="00485E57" w:rsidRDefault="00503C19" w:rsidP="00503C19">
      <w:pPr>
        <w:spacing w:after="0" w:line="240" w:lineRule="auto"/>
        <w:rPr>
          <w:rFonts w:ascii="Verdana" w:eastAsia="Geomanist Light" w:hAnsi="Verdana" w:cs="Arial"/>
          <w:color w:val="000000" w:themeColor="text1"/>
          <w:lang w:val="es-MX"/>
        </w:rPr>
      </w:pPr>
    </w:p>
    <w:p w14:paraId="1430A93A" w14:textId="77777777" w:rsidR="00503C19" w:rsidRPr="00485E57" w:rsidRDefault="00503C19" w:rsidP="00503C19">
      <w:pPr>
        <w:spacing w:after="0" w:line="240" w:lineRule="auto"/>
        <w:rPr>
          <w:rFonts w:ascii="Verdana" w:eastAsia="Geomanist Light" w:hAnsi="Verdana" w:cs="Arial"/>
          <w:color w:val="000000" w:themeColor="text1"/>
          <w:lang w:val="es-MX"/>
        </w:rPr>
      </w:pPr>
    </w:p>
    <w:p w14:paraId="29D8D709" w14:textId="77777777" w:rsidR="00503C19" w:rsidRPr="00485E57" w:rsidRDefault="00503C19" w:rsidP="00503C19">
      <w:pPr>
        <w:spacing w:after="0" w:line="240" w:lineRule="auto"/>
        <w:rPr>
          <w:rFonts w:ascii="Verdana" w:eastAsia="Geomanist Light" w:hAnsi="Verdana" w:cs="Arial"/>
          <w:color w:val="000000" w:themeColor="text1"/>
          <w:lang w:val="es-MX"/>
        </w:rPr>
      </w:pPr>
    </w:p>
    <w:bookmarkEnd w:id="0"/>
    <w:p w14:paraId="7EBE3A40" w14:textId="77777777" w:rsidR="00503C19" w:rsidRPr="00485E57" w:rsidRDefault="00503C19" w:rsidP="00503C19">
      <w:pPr>
        <w:spacing w:after="0" w:line="240" w:lineRule="auto"/>
        <w:rPr>
          <w:rFonts w:ascii="Verdana" w:eastAsia="Geomanist Light" w:hAnsi="Verdana" w:cs="Arial"/>
          <w:color w:val="000000" w:themeColor="text1"/>
          <w:lang w:val="es-MX"/>
        </w:rPr>
      </w:pPr>
    </w:p>
    <w:p w14:paraId="62CD9C1D" w14:textId="77777777" w:rsidR="00503C19" w:rsidRPr="00485E57" w:rsidRDefault="00503C19" w:rsidP="00503C19">
      <w:pPr>
        <w:spacing w:after="0" w:line="240" w:lineRule="auto"/>
        <w:rPr>
          <w:rFonts w:ascii="Verdana" w:eastAsia="Geomanist Light" w:hAnsi="Verdana" w:cs="Arial"/>
          <w:color w:val="000000" w:themeColor="text1"/>
          <w:lang w:val="es-MX"/>
        </w:rPr>
      </w:pPr>
    </w:p>
    <w:p w14:paraId="04EAEFE9"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44027C49"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2E66D0AA"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395FE2EC"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2E91576B"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18D37BFD"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044863C4"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68281B49"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65ABAB7D"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05DED0CD" w14:textId="77777777" w:rsidR="00503C19" w:rsidRPr="00542ED3" w:rsidRDefault="00503C19" w:rsidP="00503C19">
      <w:pPr>
        <w:spacing w:after="0" w:line="240" w:lineRule="auto"/>
        <w:rPr>
          <w:rFonts w:ascii="Verdana" w:eastAsia="Geomanist Light" w:hAnsi="Verdana" w:cs="Arial"/>
          <w:color w:val="000000" w:themeColor="text1"/>
          <w:lang w:val="es-MX"/>
        </w:rPr>
      </w:pPr>
    </w:p>
    <w:p w14:paraId="4FFCFBA6" w14:textId="77777777" w:rsidR="00503C19" w:rsidRPr="00542ED3" w:rsidRDefault="00503C19" w:rsidP="00503C19">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61B7AFE9" w14:textId="75CDAEBB" w:rsidR="007E4284" w:rsidRDefault="00E245AB" w:rsidP="00E245AB">
      <w:pPr>
        <w:spacing w:after="0"/>
        <w:rPr>
          <w:rFonts w:ascii="Verdana" w:hAnsi="Verdana"/>
        </w:rPr>
      </w:pPr>
      <w:bookmarkStart w:id="4" w:name="_Hlk181166130"/>
      <w:r w:rsidRPr="0044528D">
        <w:rPr>
          <w:rFonts w:ascii="Verdana" w:hAnsi="Verdana"/>
        </w:rPr>
        <w:lastRenderedPageBreak/>
        <w:t xml:space="preserve">Bogotá D.C., </w:t>
      </w:r>
      <w:r w:rsidR="002A32B7">
        <w:rPr>
          <w:rFonts w:ascii="Verdana" w:hAnsi="Verdana"/>
        </w:rPr>
        <w:t>08 de noviembre de 2024</w:t>
      </w:r>
    </w:p>
    <w:bookmarkEnd w:id="4"/>
    <w:p w14:paraId="79BAB92E" w14:textId="77777777" w:rsidR="007E4284" w:rsidRDefault="007E4284" w:rsidP="00E245AB">
      <w:pPr>
        <w:spacing w:after="0"/>
        <w:rPr>
          <w:rFonts w:ascii="Verdana" w:hAnsi="Verdana"/>
        </w:rPr>
      </w:pPr>
    </w:p>
    <w:p w14:paraId="59DC7E7A" w14:textId="2A135B6F" w:rsidR="007E4284" w:rsidRDefault="007E4284" w:rsidP="002A32B7">
      <w:pPr>
        <w:spacing w:after="0"/>
        <w:jc w:val="right"/>
        <w:rPr>
          <w:rFonts w:ascii="Verdana" w:hAnsi="Verdana"/>
        </w:rPr>
      </w:pPr>
      <w:bookmarkStart w:id="5" w:name="_Hlk180638295"/>
    </w:p>
    <w:p w14:paraId="6C9B9129" w14:textId="43A7707D" w:rsidR="002A32B7" w:rsidRDefault="000F4F5B" w:rsidP="00E245AB">
      <w:pPr>
        <w:spacing w:after="0"/>
        <w:rPr>
          <w:rFonts w:ascii="Verdana" w:hAnsi="Verdana"/>
        </w:rPr>
      </w:pPr>
      <w:r>
        <w:rPr>
          <w:rFonts w:ascii="Verdana" w:hAnsi="Verdana"/>
          <w:noProof/>
        </w:rPr>
        <w:drawing>
          <wp:anchor distT="0" distB="0" distL="114300" distR="114300" simplePos="0" relativeHeight="251658240" behindDoc="0" locked="0" layoutInCell="1" allowOverlap="1" wp14:anchorId="5F1CA376" wp14:editId="75F822F6">
            <wp:simplePos x="0" y="0"/>
            <wp:positionH relativeFrom="column">
              <wp:posOffset>3245154</wp:posOffset>
            </wp:positionH>
            <wp:positionV relativeFrom="paragraph">
              <wp:posOffset>172388</wp:posOffset>
            </wp:positionV>
            <wp:extent cx="2714625" cy="847725"/>
            <wp:effectExtent l="0" t="0" r="9525" b="9525"/>
            <wp:wrapSquare wrapText="bothSides"/>
            <wp:docPr id="1888730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4625" cy="847725"/>
                    </a:xfrm>
                    <a:prstGeom prst="rect">
                      <a:avLst/>
                    </a:prstGeom>
                    <a:noFill/>
                    <a:ln>
                      <a:noFill/>
                    </a:ln>
                  </pic:spPr>
                </pic:pic>
              </a:graphicData>
            </a:graphic>
          </wp:anchor>
        </w:drawing>
      </w:r>
    </w:p>
    <w:p w14:paraId="3579AEEF" w14:textId="77777777" w:rsidR="002A32B7" w:rsidRDefault="002A32B7" w:rsidP="00E245AB">
      <w:pPr>
        <w:spacing w:after="0"/>
        <w:rPr>
          <w:rFonts w:ascii="Verdana" w:hAnsi="Verdana"/>
        </w:rPr>
      </w:pPr>
    </w:p>
    <w:p w14:paraId="7AED0527" w14:textId="482FC90B" w:rsidR="007E4284" w:rsidRPr="00560511" w:rsidRDefault="007E4284" w:rsidP="007E4284">
      <w:pPr>
        <w:spacing w:after="0" w:line="240" w:lineRule="auto"/>
        <w:jc w:val="both"/>
        <w:rPr>
          <w:rFonts w:ascii="Verdana" w:eastAsia="Calibri" w:hAnsi="Verdana" w:cs="Arial"/>
          <w:lang w:eastAsia="es-ES"/>
        </w:rPr>
      </w:pPr>
      <w:bookmarkStart w:id="6" w:name="_Hlk181166167"/>
      <w:r w:rsidRPr="00560511">
        <w:rPr>
          <w:rFonts w:ascii="Verdana" w:eastAsia="Calibri" w:hAnsi="Verdana" w:cs="Arial"/>
          <w:lang w:eastAsia="es-ES"/>
        </w:rPr>
        <w:t>Señor</w:t>
      </w:r>
    </w:p>
    <w:p w14:paraId="0F233846" w14:textId="77777777" w:rsidR="00F03026" w:rsidRDefault="00F03026" w:rsidP="007E4284">
      <w:pPr>
        <w:spacing w:after="0" w:line="240" w:lineRule="auto"/>
        <w:rPr>
          <w:rFonts w:ascii="Verdana" w:eastAsia="Calibri" w:hAnsi="Verdana" w:cs="Arial"/>
          <w:b/>
          <w:bCs/>
          <w:lang w:eastAsia="es-ES_tradnl"/>
        </w:rPr>
      </w:pPr>
      <w:r w:rsidRPr="00F03026">
        <w:rPr>
          <w:rFonts w:ascii="Verdana" w:eastAsia="Calibri" w:hAnsi="Verdana" w:cs="Arial"/>
          <w:b/>
          <w:bCs/>
          <w:lang w:eastAsia="es-ES_tradnl"/>
        </w:rPr>
        <w:t>HERMAN AUGUSTO GUARUMO VARGAS</w:t>
      </w:r>
    </w:p>
    <w:p w14:paraId="14E74FC4" w14:textId="2AD381B1" w:rsidR="00303188" w:rsidRPr="00C36081" w:rsidRDefault="00C36081" w:rsidP="007E4284">
      <w:pPr>
        <w:spacing w:after="0" w:line="240" w:lineRule="auto"/>
        <w:rPr>
          <w:rFonts w:ascii="Verdana" w:hAnsi="Verdana"/>
        </w:rPr>
      </w:pPr>
      <w:r w:rsidRPr="00C36081">
        <w:rPr>
          <w:rFonts w:ascii="Verdana" w:hAnsi="Verdana"/>
        </w:rPr>
        <w:t>valeria.poveda1@gmail.com</w:t>
      </w:r>
    </w:p>
    <w:p w14:paraId="1458EAD2" w14:textId="35298530" w:rsidR="007E4284" w:rsidRPr="00B96799" w:rsidRDefault="007E4284" w:rsidP="007E4284">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323534CF" w14:textId="77777777" w:rsidR="007E4284" w:rsidRPr="00593A5F" w:rsidRDefault="007E4284" w:rsidP="007E4284">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E4284" w:rsidRPr="00593A5F" w14:paraId="7B89B37C" w14:textId="77777777" w:rsidTr="00847DDA">
        <w:trPr>
          <w:trHeight w:val="884"/>
        </w:trPr>
        <w:tc>
          <w:tcPr>
            <w:tcW w:w="2410" w:type="dxa"/>
          </w:tcPr>
          <w:p w14:paraId="3E37BDB8" w14:textId="77777777" w:rsidR="007E4284" w:rsidRPr="00E5644F" w:rsidRDefault="007E4284">
            <w:pPr>
              <w:jc w:val="both"/>
              <w:rPr>
                <w:rFonts w:ascii="Verdana" w:eastAsia="Calibri" w:hAnsi="Verdana" w:cs="Arial"/>
                <w:b/>
                <w:bCs/>
                <w:color w:val="7030A0"/>
                <w:lang w:val="es-ES_tradnl" w:eastAsia="es-ES_tradnl"/>
              </w:rPr>
            </w:pPr>
          </w:p>
        </w:tc>
        <w:tc>
          <w:tcPr>
            <w:tcW w:w="6804" w:type="dxa"/>
            <w:gridSpan w:val="2"/>
          </w:tcPr>
          <w:p w14:paraId="7B76117C" w14:textId="099349F9" w:rsidR="007E4284" w:rsidRPr="00E5644F" w:rsidRDefault="007E4284">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Concepto C-</w:t>
            </w:r>
            <w:r w:rsidR="00D57942">
              <w:rPr>
                <w:rFonts w:ascii="Verdana" w:eastAsia="Calibri" w:hAnsi="Verdana" w:cs="Arial"/>
                <w:b/>
                <w:bCs/>
                <w:lang w:val="es-ES" w:eastAsia="es-ES"/>
              </w:rPr>
              <w:t>6</w:t>
            </w:r>
            <w:r w:rsidR="00B1120D">
              <w:rPr>
                <w:rFonts w:ascii="Verdana" w:eastAsia="Calibri" w:hAnsi="Verdana" w:cs="Arial"/>
                <w:b/>
                <w:bCs/>
                <w:lang w:val="es-ES" w:eastAsia="es-ES"/>
              </w:rPr>
              <w:t>60</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2024</w:t>
            </w:r>
          </w:p>
        </w:tc>
      </w:tr>
      <w:tr w:rsidR="007E4284" w:rsidRPr="00593A5F" w14:paraId="2C0FD36D" w14:textId="77777777" w:rsidTr="00847DDA">
        <w:trPr>
          <w:trHeight w:val="884"/>
        </w:trPr>
        <w:tc>
          <w:tcPr>
            <w:tcW w:w="2410" w:type="dxa"/>
          </w:tcPr>
          <w:p w14:paraId="6CB79C8C" w14:textId="77777777" w:rsidR="007E4284" w:rsidRPr="00593A5F" w:rsidRDefault="007E42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57B6A811" w14:textId="5AD805A3" w:rsidR="0057363F" w:rsidRDefault="00485E57">
            <w:pPr>
              <w:spacing w:line="276" w:lineRule="auto"/>
              <w:jc w:val="both"/>
              <w:rPr>
                <w:rFonts w:ascii="Verdana" w:hAnsi="Verdana" w:cs="Arial"/>
                <w:lang w:val="es-ES" w:eastAsia="es-ES"/>
              </w:rPr>
            </w:pPr>
            <w:r w:rsidRPr="00F649A2">
              <w:rPr>
                <w:rFonts w:ascii="Verdana" w:eastAsia="Yu Gothic UI Semibold" w:hAnsi="Verdana" w:cs="Arial"/>
                <w:color w:val="000000" w:themeColor="text1"/>
                <w:lang w:val="es-MX"/>
              </w:rPr>
              <w:t xml:space="preserve">CONTRATOS DE PRESTACIÓN DE SERVICIOS – Generalidades – Requisitos y límites para su celebración / </w:t>
            </w:r>
            <w:r w:rsidRPr="00F649A2">
              <w:rPr>
                <w:rFonts w:ascii="Verdana" w:eastAsia="Times New Roman" w:hAnsi="Verdana" w:cs="Arial"/>
                <w:lang w:val="es-ES_tradnl" w:eastAsia="es-ES_tradnl"/>
              </w:rPr>
              <w:t xml:space="preserve">CONTRATOS DE PRESTACIÓN DE SERVICIOS PROFESIONALES Y DE APOYO A LA GESTIÓN </w:t>
            </w:r>
            <w:r w:rsidRPr="00F649A2">
              <w:rPr>
                <w:rFonts w:ascii="Verdana" w:eastAsia="Yu Gothic UI Semibold" w:hAnsi="Verdana" w:cs="Arial"/>
                <w:color w:val="000000" w:themeColor="text1"/>
                <w:lang w:val="es-MX"/>
              </w:rPr>
              <w:t xml:space="preserve">– </w:t>
            </w:r>
            <w:r w:rsidRPr="00F649A2">
              <w:rPr>
                <w:rFonts w:ascii="Verdana" w:eastAsia="Times New Roman" w:hAnsi="Verdana" w:cs="Arial"/>
                <w:color w:val="000000"/>
                <w:lang w:val="es-ES_tradnl" w:eastAsia="es-ES_tradnl"/>
              </w:rPr>
              <w:t xml:space="preserve">Posibilidad de celebrar varios contratos con la misma entidad estatal de forma simultánea / </w:t>
            </w:r>
            <w:r w:rsidRPr="00F649A2">
              <w:rPr>
                <w:rFonts w:ascii="Verdana" w:hAnsi="Verdana" w:cs="Arial"/>
                <w:lang w:val="es-ES" w:eastAsia="es-ES"/>
              </w:rPr>
              <w:t>CONTRATOS DE PRESTACIÓN DE SERVICIOS – Simultáneos</w:t>
            </w:r>
            <w:r w:rsidR="00A71FA6">
              <w:rPr>
                <w:rFonts w:ascii="Verdana" w:hAnsi="Verdana" w:cs="Arial"/>
                <w:lang w:val="es-ES" w:eastAsia="es-ES"/>
              </w:rPr>
              <w:t xml:space="preserve"> /</w:t>
            </w:r>
            <w:r w:rsidR="00A71FA6" w:rsidRPr="000D5EF1">
              <w:rPr>
                <w:rFonts w:ascii="Verdana" w:eastAsia="Calibri" w:hAnsi="Verdana" w:cs="Arial"/>
                <w:bCs/>
                <w:color w:val="000000" w:themeColor="text1"/>
                <w:lang w:val="es-MX" w:eastAsia="es-ES"/>
              </w:rPr>
              <w:t xml:space="preserve"> ENTIDADES DE R</w:t>
            </w:r>
            <w:r w:rsidR="00A71FA6">
              <w:rPr>
                <w:rFonts w:ascii="Verdana" w:eastAsia="Calibri" w:hAnsi="Verdana" w:cs="Arial"/>
                <w:bCs/>
                <w:color w:val="000000" w:themeColor="text1"/>
                <w:lang w:val="es-MX" w:eastAsia="es-ES"/>
              </w:rPr>
              <w:t>É</w:t>
            </w:r>
            <w:r w:rsidR="00A71FA6" w:rsidRPr="000D5EF1">
              <w:rPr>
                <w:rFonts w:ascii="Verdana" w:eastAsia="Calibri" w:hAnsi="Verdana" w:cs="Arial"/>
                <w:bCs/>
                <w:color w:val="000000" w:themeColor="text1"/>
                <w:lang w:val="es-MX" w:eastAsia="es-ES"/>
              </w:rPr>
              <w:t>GIMEN ESPECIAL</w:t>
            </w:r>
            <w:r w:rsidR="00A71FA6">
              <w:rPr>
                <w:rFonts w:ascii="Verdana" w:eastAsia="Calibri" w:hAnsi="Verdana" w:cs="Arial"/>
                <w:bCs/>
                <w:color w:val="000000" w:themeColor="text1"/>
                <w:lang w:val="es-MX" w:eastAsia="es-ES"/>
              </w:rPr>
              <w:t xml:space="preserve"> </w:t>
            </w:r>
            <w:r w:rsidR="00A71FA6" w:rsidRPr="000D5EF1">
              <w:rPr>
                <w:rFonts w:ascii="Verdana" w:eastAsia="Calibri" w:hAnsi="Verdana" w:cs="Arial"/>
                <w:bCs/>
                <w:color w:val="000000" w:themeColor="text1"/>
                <w:lang w:val="es-MX" w:eastAsia="es-ES"/>
              </w:rPr>
              <w:t>– Manual de contratación – Régimen de contratación – Autonomía contractual</w:t>
            </w:r>
          </w:p>
          <w:p w14:paraId="4D3602A2" w14:textId="0EAA4570" w:rsidR="00485E57" w:rsidRPr="00E6165F" w:rsidRDefault="00485E57">
            <w:pPr>
              <w:spacing w:line="276" w:lineRule="auto"/>
              <w:jc w:val="both"/>
              <w:rPr>
                <w:rFonts w:ascii="Verdana" w:eastAsia="Calibri" w:hAnsi="Verdana" w:cs="Arial"/>
                <w:lang w:val="es-ES" w:eastAsia="es-ES"/>
              </w:rPr>
            </w:pPr>
          </w:p>
        </w:tc>
      </w:tr>
      <w:tr w:rsidR="007E4284" w:rsidRPr="00593A5F" w14:paraId="614F6563" w14:textId="77777777" w:rsidTr="00847DDA">
        <w:tc>
          <w:tcPr>
            <w:tcW w:w="2410" w:type="dxa"/>
          </w:tcPr>
          <w:p w14:paraId="762EB684" w14:textId="77777777" w:rsidR="007E4284" w:rsidRPr="006730E9" w:rsidRDefault="007E428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91CCF73" w14:textId="475A5018" w:rsidR="007E4284" w:rsidRPr="006730E9" w:rsidRDefault="007E428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91453F" w:rsidRPr="0091453F">
              <w:rPr>
                <w:rFonts w:ascii="Verdana" w:eastAsia="Calibri" w:hAnsi="Verdana" w:cs="Arial"/>
                <w:lang w:val="es-ES_tradnl" w:eastAsia="es-ES_tradnl"/>
              </w:rPr>
              <w:t>P20240925009805</w:t>
            </w:r>
          </w:p>
        </w:tc>
      </w:tr>
      <w:tr w:rsidR="00847DDA" w:rsidRPr="00DB23D2" w14:paraId="04974AB6" w14:textId="77777777" w:rsidTr="00847DDA">
        <w:trPr>
          <w:gridAfter w:val="1"/>
          <w:wAfter w:w="336" w:type="dxa"/>
          <w:trHeight w:val="233"/>
        </w:trPr>
        <w:tc>
          <w:tcPr>
            <w:tcW w:w="8878" w:type="dxa"/>
            <w:gridSpan w:val="2"/>
          </w:tcPr>
          <w:p w14:paraId="0EE1B988" w14:textId="1E9A67DE" w:rsidR="00847DDA" w:rsidRPr="00DB23D2" w:rsidRDefault="00847DDA" w:rsidP="00F945CE">
            <w:pPr>
              <w:spacing w:after="120" w:line="276" w:lineRule="auto"/>
              <w:jc w:val="both"/>
              <w:rPr>
                <w:rFonts w:ascii="Verdana" w:eastAsia="Calibri" w:hAnsi="Verdana" w:cs="Arial"/>
                <w:lang w:val="es-ES_tradnl" w:eastAsia="es-ES"/>
              </w:rPr>
            </w:pPr>
          </w:p>
        </w:tc>
      </w:tr>
    </w:tbl>
    <w:p w14:paraId="506DCE70" w14:textId="0A74BD4B" w:rsidR="007E4284" w:rsidRPr="006730E9" w:rsidRDefault="007E4284" w:rsidP="007E428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485E57">
        <w:rPr>
          <w:rFonts w:ascii="Verdana" w:eastAsia="Calibri" w:hAnsi="Verdana" w:cs="Arial"/>
          <w:lang w:val="es-ES" w:eastAsia="es-ES"/>
        </w:rPr>
        <w:t>o</w:t>
      </w:r>
      <w:r>
        <w:rPr>
          <w:rFonts w:ascii="Verdana" w:eastAsia="Calibri" w:hAnsi="Verdana" w:cs="Arial"/>
          <w:lang w:val="es-ES" w:eastAsia="es-ES"/>
        </w:rPr>
        <w:t xml:space="preserve"> </w:t>
      </w:r>
      <w:r w:rsidRPr="006730E9">
        <w:rPr>
          <w:rFonts w:ascii="Verdana" w:eastAsia="Calibri" w:hAnsi="Verdana" w:cs="Arial"/>
          <w:lang w:val="es-ES" w:eastAsia="es-ES"/>
        </w:rPr>
        <w:t xml:space="preserve">señor </w:t>
      </w:r>
      <w:r w:rsidR="00485E57">
        <w:rPr>
          <w:rFonts w:ascii="Verdana" w:eastAsia="Calibri" w:hAnsi="Verdana" w:cs="Arial"/>
          <w:lang w:val="es-ES" w:eastAsia="es-ES"/>
        </w:rPr>
        <w:t>Guarumo</w:t>
      </w:r>
      <w:r>
        <w:rPr>
          <w:rFonts w:ascii="Verdana" w:eastAsia="Calibri" w:hAnsi="Verdana" w:cs="Arial"/>
          <w:lang w:val="es-ES" w:eastAsia="es-ES"/>
        </w:rPr>
        <w:t>;</w:t>
      </w:r>
      <w:r w:rsidRPr="006730E9">
        <w:rPr>
          <w:rFonts w:ascii="Verdana" w:eastAsia="Calibri" w:hAnsi="Verdana" w:cs="Arial"/>
          <w:lang w:val="es-ES" w:eastAsia="es-ES"/>
        </w:rPr>
        <w:t xml:space="preserve"> </w:t>
      </w:r>
    </w:p>
    <w:p w14:paraId="1F9587AA" w14:textId="77777777" w:rsidR="007E4284" w:rsidRDefault="007E4284" w:rsidP="007E428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6824A97" w14:textId="6A3E2FFF" w:rsidR="007E4284" w:rsidRPr="006730E9" w:rsidRDefault="007E4284" w:rsidP="007E428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D57942">
        <w:rPr>
          <w:rFonts w:ascii="Verdana" w:eastAsia="Calibri" w:hAnsi="Verdana" w:cs="Arial"/>
          <w:lang w:val="es-ES" w:eastAsia="es-ES"/>
        </w:rPr>
        <w:t xml:space="preserve">y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263A88">
        <w:rPr>
          <w:rFonts w:ascii="Verdana" w:eastAsia="Calibri" w:hAnsi="Verdana" w:cs="Arial"/>
          <w:lang w:val="es-ES" w:eastAsia="es-ES"/>
        </w:rPr>
        <w:t>1</w:t>
      </w:r>
      <w:r w:rsidR="00C36081">
        <w:rPr>
          <w:rFonts w:ascii="Verdana" w:eastAsia="Calibri" w:hAnsi="Verdana" w:cs="Arial"/>
          <w:lang w:val="es-ES" w:eastAsia="es-ES"/>
        </w:rPr>
        <w:t>7</w:t>
      </w:r>
      <w:r w:rsidRPr="00E5644F">
        <w:rPr>
          <w:rFonts w:ascii="Verdana" w:eastAsia="Calibri" w:hAnsi="Verdana" w:cs="Arial"/>
          <w:lang w:val="es-ES" w:eastAsia="es-ES"/>
        </w:rPr>
        <w:t xml:space="preserve"> de </w:t>
      </w:r>
      <w:r w:rsidR="00263A88">
        <w:rPr>
          <w:rFonts w:ascii="Verdana" w:eastAsia="Calibri" w:hAnsi="Verdana" w:cs="Arial"/>
          <w:lang w:val="es-ES" w:eastAsia="es-ES"/>
        </w:rPr>
        <w:t>septiembre</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0F7467CA" w14:textId="77777777" w:rsidR="007E4284" w:rsidRPr="00326382" w:rsidRDefault="007E4284" w:rsidP="007E4284">
      <w:pPr>
        <w:spacing w:after="0" w:line="240" w:lineRule="auto"/>
        <w:ind w:left="709" w:right="709"/>
        <w:jc w:val="both"/>
        <w:rPr>
          <w:rFonts w:ascii="Verdana" w:hAnsi="Verdana" w:cs="Arial"/>
          <w:sz w:val="20"/>
          <w:szCs w:val="20"/>
          <w:shd w:val="clear" w:color="auto" w:fill="FFFFFF"/>
        </w:rPr>
      </w:pPr>
      <w:bookmarkStart w:id="7" w:name="_Hlk95313578"/>
    </w:p>
    <w:bookmarkEnd w:id="7"/>
    <w:p w14:paraId="0823F0C1" w14:textId="77777777" w:rsidR="00F365E7" w:rsidRDefault="007E4284" w:rsidP="00F365E7">
      <w:pPr>
        <w:pStyle w:val="Prrafodelista"/>
        <w:tabs>
          <w:tab w:val="left" w:pos="142"/>
          <w:tab w:val="left" w:pos="284"/>
        </w:tabs>
        <w:ind w:left="425" w:right="1185"/>
        <w:jc w:val="both"/>
        <w:rPr>
          <w:rFonts w:ascii="Verdana" w:eastAsia="Century Gothic" w:hAnsi="Verdana" w:cs="Century Gothic"/>
          <w:i/>
          <w:iCs/>
          <w:lang w:val="es-CO"/>
        </w:rPr>
      </w:pPr>
      <w:r w:rsidRPr="00263A88">
        <w:rPr>
          <w:rFonts w:ascii="Verdana" w:eastAsia="Century Gothic" w:hAnsi="Verdana" w:cs="Century Gothic"/>
          <w:i/>
          <w:iCs/>
          <w:lang w:val="es-CO"/>
        </w:rPr>
        <w:t>(…)</w:t>
      </w:r>
      <w:r w:rsidR="00D15311">
        <w:rPr>
          <w:rFonts w:ascii="Verdana" w:eastAsia="Century Gothic" w:hAnsi="Verdana" w:cs="Century Gothic"/>
          <w:i/>
          <w:iCs/>
          <w:lang w:val="es-CO"/>
        </w:rPr>
        <w:t xml:space="preserve"> </w:t>
      </w:r>
      <w:r w:rsidR="00F365E7">
        <w:rPr>
          <w:rFonts w:ascii="Verdana" w:eastAsia="Century Gothic" w:hAnsi="Verdana" w:cs="Century Gothic"/>
          <w:i/>
          <w:iCs/>
          <w:lang w:val="es-CO"/>
        </w:rPr>
        <w:t xml:space="preserve"> </w:t>
      </w:r>
      <w:r w:rsidR="00F365E7" w:rsidRPr="00F365E7">
        <w:rPr>
          <w:rFonts w:ascii="Verdana" w:eastAsia="Century Gothic" w:hAnsi="Verdana" w:cs="Century Gothic"/>
          <w:i/>
          <w:iCs/>
          <w:lang w:val="es-CO"/>
        </w:rPr>
        <w:t xml:space="preserve"> se emita concepto jurídico sobre cada una de las siguientes consultas: </w:t>
      </w:r>
    </w:p>
    <w:p w14:paraId="257CCBEC" w14:textId="77777777" w:rsidR="00F365E7" w:rsidRDefault="00F365E7" w:rsidP="00F365E7">
      <w:pPr>
        <w:pStyle w:val="Prrafodelista"/>
        <w:tabs>
          <w:tab w:val="left" w:pos="142"/>
          <w:tab w:val="left" w:pos="284"/>
        </w:tabs>
        <w:ind w:left="425" w:right="1185"/>
        <w:jc w:val="both"/>
        <w:rPr>
          <w:rFonts w:ascii="Verdana" w:eastAsia="Century Gothic" w:hAnsi="Verdana" w:cs="Century Gothic"/>
          <w:i/>
          <w:iCs/>
          <w:lang w:val="es-CO"/>
        </w:rPr>
      </w:pPr>
    </w:p>
    <w:p w14:paraId="1798B413" w14:textId="280D49B3" w:rsidR="00F365E7" w:rsidRPr="00F365E7" w:rsidRDefault="00F365E7" w:rsidP="00F365E7">
      <w:pPr>
        <w:pStyle w:val="Prrafodelista"/>
        <w:tabs>
          <w:tab w:val="left" w:pos="142"/>
          <w:tab w:val="left" w:pos="284"/>
        </w:tabs>
        <w:ind w:left="425" w:right="1185"/>
        <w:jc w:val="both"/>
        <w:rPr>
          <w:rFonts w:ascii="Verdana" w:eastAsia="Century Gothic" w:hAnsi="Verdana" w:cs="Century Gothic"/>
          <w:i/>
          <w:iCs/>
          <w:lang w:val="es-CO"/>
        </w:rPr>
      </w:pPr>
      <w:proofErr w:type="gramStart"/>
      <w:r>
        <w:rPr>
          <w:rFonts w:ascii="Verdana" w:eastAsia="Century Gothic" w:hAnsi="Verdana" w:cs="Century Gothic"/>
          <w:i/>
          <w:iCs/>
          <w:lang w:val="es-CO"/>
        </w:rPr>
        <w:t>1.</w:t>
      </w:r>
      <w:r w:rsidRPr="00F365E7">
        <w:rPr>
          <w:rFonts w:ascii="Verdana" w:eastAsia="Century Gothic" w:hAnsi="Verdana" w:cs="Century Gothic"/>
          <w:i/>
          <w:iCs/>
          <w:lang w:val="es-CO"/>
        </w:rPr>
        <w:t>¿</w:t>
      </w:r>
      <w:proofErr w:type="gramEnd"/>
      <w:r w:rsidRPr="00F365E7">
        <w:rPr>
          <w:rFonts w:ascii="Verdana" w:eastAsia="Century Gothic" w:hAnsi="Verdana" w:cs="Century Gothic"/>
          <w:i/>
          <w:iCs/>
          <w:lang w:val="es-CO"/>
        </w:rPr>
        <w:t xml:space="preserve">Existe alguna prohibición legal para que una persona natural o jurídica tenga simultáneamente dos o más contratos (con objetos distintos) con una misma entidad pública? De ser así, por favor indicar la norma que lo prohíbe. </w:t>
      </w:r>
    </w:p>
    <w:p w14:paraId="5EFF5CA0" w14:textId="77777777" w:rsidR="00F365E7" w:rsidRDefault="00F365E7" w:rsidP="00F365E7">
      <w:pPr>
        <w:tabs>
          <w:tab w:val="left" w:pos="142"/>
          <w:tab w:val="left" w:pos="284"/>
        </w:tabs>
        <w:ind w:left="426" w:right="1185"/>
        <w:jc w:val="both"/>
        <w:rPr>
          <w:rFonts w:ascii="Verdana" w:eastAsia="Century Gothic" w:hAnsi="Verdana" w:cs="Century Gothic"/>
          <w:i/>
          <w:iCs/>
        </w:rPr>
      </w:pPr>
      <w:proofErr w:type="gramStart"/>
      <w:r>
        <w:rPr>
          <w:rFonts w:ascii="Verdana" w:eastAsia="Century Gothic" w:hAnsi="Verdana" w:cs="Century Gothic"/>
          <w:i/>
          <w:iCs/>
        </w:rPr>
        <w:lastRenderedPageBreak/>
        <w:t>2.</w:t>
      </w:r>
      <w:r w:rsidRPr="00F365E7">
        <w:rPr>
          <w:rFonts w:ascii="Verdana" w:eastAsia="Century Gothic" w:hAnsi="Verdana" w:cs="Century Gothic"/>
          <w:i/>
          <w:iCs/>
        </w:rPr>
        <w:t>¿</w:t>
      </w:r>
      <w:proofErr w:type="gramEnd"/>
      <w:r w:rsidRPr="00F365E7">
        <w:rPr>
          <w:rFonts w:ascii="Verdana" w:eastAsia="Century Gothic" w:hAnsi="Verdana" w:cs="Century Gothic"/>
          <w:i/>
          <w:iCs/>
        </w:rPr>
        <w:t xml:space="preserve">Existe alguna violación al ordenamiento jurídico en el caso hipotético en el que, en una misma entidad, de manera simultánea, una persona jurídica y uno de sus socios o el representante legal hayan suscrito contratos con objetos distintos? De ser así, por favor indicar la norma que lo prohíbe. </w:t>
      </w:r>
    </w:p>
    <w:p w14:paraId="4D5DD7E8" w14:textId="77777777" w:rsidR="00971A5E" w:rsidRDefault="00F365E7" w:rsidP="00971A5E">
      <w:pPr>
        <w:tabs>
          <w:tab w:val="left" w:pos="142"/>
          <w:tab w:val="left" w:pos="284"/>
        </w:tabs>
        <w:ind w:left="426" w:right="1185"/>
        <w:jc w:val="both"/>
        <w:rPr>
          <w:rFonts w:ascii="Verdana" w:eastAsia="Century Gothic" w:hAnsi="Verdana" w:cs="Century Gothic"/>
          <w:i/>
          <w:iCs/>
        </w:rPr>
      </w:pPr>
      <w:r>
        <w:rPr>
          <w:rFonts w:ascii="Verdana" w:eastAsia="Century Gothic" w:hAnsi="Verdana" w:cs="Century Gothic"/>
          <w:i/>
          <w:iCs/>
        </w:rPr>
        <w:t xml:space="preserve">3. </w:t>
      </w:r>
      <w:r w:rsidRPr="00F365E7">
        <w:rPr>
          <w:rFonts w:ascii="Verdana" w:eastAsia="Century Gothic" w:hAnsi="Verdana" w:cs="Century Gothic"/>
          <w:i/>
          <w:iCs/>
        </w:rPr>
        <w:t xml:space="preserve">¿Existe alguna distinción si los casos hipotéticos de las preguntas 1 y 2 ocurren en entidades de régimen especial o en universidades públicas? De ser así, por favor indicar las normas aplicables. </w:t>
      </w:r>
    </w:p>
    <w:p w14:paraId="7FBE5731" w14:textId="3F9EE256" w:rsidR="007E4284" w:rsidRPr="00F365E7" w:rsidRDefault="00F365E7" w:rsidP="00971A5E">
      <w:pPr>
        <w:tabs>
          <w:tab w:val="left" w:pos="142"/>
          <w:tab w:val="left" w:pos="284"/>
        </w:tabs>
        <w:ind w:left="426" w:right="1185"/>
        <w:jc w:val="both"/>
        <w:rPr>
          <w:rFonts w:ascii="Verdana" w:eastAsia="Century Gothic" w:hAnsi="Verdana" w:cs="Century Gothic"/>
          <w:i/>
          <w:iCs/>
        </w:rPr>
      </w:pPr>
      <w:r w:rsidRPr="00F365E7">
        <w:rPr>
          <w:rFonts w:ascii="Verdana" w:eastAsia="Century Gothic" w:hAnsi="Verdana" w:cs="Century Gothic"/>
          <w:i/>
          <w:iCs/>
        </w:rPr>
        <w:t xml:space="preserve"> </w:t>
      </w:r>
      <w:r w:rsidR="00D15311" w:rsidRPr="00F365E7">
        <w:rPr>
          <w:rFonts w:ascii="Verdana" w:eastAsia="Century Gothic" w:hAnsi="Verdana" w:cs="Century Gothic"/>
          <w:i/>
          <w:iCs/>
        </w:rPr>
        <w:t>(…)</w:t>
      </w:r>
    </w:p>
    <w:p w14:paraId="6AAFAC65" w14:textId="77777777" w:rsidR="00D209FA" w:rsidRDefault="00D209FA" w:rsidP="00D1531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2A463E1B" w14:textId="1B8C6D33" w:rsidR="007E4284" w:rsidRPr="00593A5F" w:rsidRDefault="007E4284" w:rsidP="007E428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3C967C0" w14:textId="77777777" w:rsidR="007E4284" w:rsidRPr="00593A5F" w:rsidRDefault="007E4284" w:rsidP="007E4284">
      <w:pPr>
        <w:tabs>
          <w:tab w:val="left" w:pos="426"/>
        </w:tabs>
        <w:spacing w:after="0" w:line="276" w:lineRule="auto"/>
        <w:jc w:val="both"/>
        <w:rPr>
          <w:rFonts w:ascii="Verdana" w:eastAsia="Century Gothic" w:hAnsi="Verdana" w:cs="Century Gothic"/>
          <w:lang w:val="es-ES"/>
        </w:rPr>
      </w:pPr>
    </w:p>
    <w:p w14:paraId="660759A1" w14:textId="0224FD2C" w:rsidR="00727DDD" w:rsidRPr="00727DDD" w:rsidRDefault="00ED23CC" w:rsidP="00ED23CC">
      <w:pPr>
        <w:pStyle w:val="Prrafodelista"/>
        <w:ind w:left="0" w:right="49"/>
        <w:jc w:val="both"/>
        <w:rPr>
          <w:rFonts w:ascii="Verdana" w:eastAsia="Century Gothic" w:hAnsi="Verdana" w:cs="Century Gothic"/>
          <w:i/>
          <w:iCs/>
        </w:rPr>
      </w:pPr>
      <w:r w:rsidRPr="005A7AF3">
        <w:rPr>
          <w:rFonts w:ascii="Verdana" w:eastAsia="Century Gothic" w:hAnsi="Verdana" w:cs="Century Gothic"/>
          <w:i/>
          <w:iCs/>
        </w:rPr>
        <w:t>De acuerdo con el contenido de su solicitud, esta Agencia resolverá</w:t>
      </w:r>
      <w:r w:rsidR="00F365E7">
        <w:rPr>
          <w:rFonts w:ascii="Verdana" w:eastAsia="Century Gothic" w:hAnsi="Verdana" w:cs="Century Gothic"/>
          <w:i/>
          <w:iCs/>
        </w:rPr>
        <w:t xml:space="preserve"> los</w:t>
      </w:r>
      <w:r w:rsidR="00C85952">
        <w:rPr>
          <w:rFonts w:ascii="Verdana" w:eastAsia="Century Gothic" w:hAnsi="Verdana" w:cs="Century Gothic"/>
          <w:i/>
          <w:iCs/>
        </w:rPr>
        <w:t xml:space="preserve"> </w:t>
      </w:r>
      <w:r w:rsidRPr="005A7AF3">
        <w:rPr>
          <w:rFonts w:ascii="Verdana" w:eastAsia="Century Gothic" w:hAnsi="Verdana" w:cs="Century Gothic"/>
          <w:i/>
          <w:iCs/>
        </w:rPr>
        <w:t>siguiente</w:t>
      </w:r>
      <w:r w:rsidR="00F365E7">
        <w:rPr>
          <w:rFonts w:ascii="Verdana" w:eastAsia="Century Gothic" w:hAnsi="Verdana" w:cs="Century Gothic"/>
          <w:i/>
          <w:iCs/>
        </w:rPr>
        <w:t>s</w:t>
      </w:r>
      <w:r w:rsidRPr="005A7AF3">
        <w:rPr>
          <w:rFonts w:ascii="Verdana" w:eastAsia="Century Gothic" w:hAnsi="Verdana" w:cs="Century Gothic"/>
          <w:i/>
          <w:iCs/>
        </w:rPr>
        <w:t xml:space="preserve"> problema</w:t>
      </w:r>
      <w:r w:rsidR="00F365E7">
        <w:rPr>
          <w:rFonts w:ascii="Verdana" w:eastAsia="Century Gothic" w:hAnsi="Verdana" w:cs="Century Gothic"/>
          <w:i/>
          <w:iCs/>
        </w:rPr>
        <w:t>s</w:t>
      </w:r>
      <w:r w:rsidRPr="005A7AF3">
        <w:rPr>
          <w:rFonts w:ascii="Verdana" w:eastAsia="Century Gothic" w:hAnsi="Verdana" w:cs="Century Gothic"/>
          <w:i/>
          <w:iCs/>
        </w:rPr>
        <w:t xml:space="preserve"> jurídico</w:t>
      </w:r>
      <w:r w:rsidR="00F365E7">
        <w:rPr>
          <w:rFonts w:ascii="Verdana" w:eastAsia="Century Gothic" w:hAnsi="Verdana" w:cs="Century Gothic"/>
          <w:i/>
          <w:iCs/>
        </w:rPr>
        <w:t>s</w:t>
      </w:r>
      <w:r w:rsidRPr="005A7AF3">
        <w:rPr>
          <w:rFonts w:ascii="Verdana" w:eastAsia="Century Gothic" w:hAnsi="Verdana" w:cs="Century Gothic"/>
          <w:i/>
          <w:iCs/>
        </w:rPr>
        <w:t>:</w:t>
      </w:r>
      <w:r w:rsidR="008A3D98">
        <w:rPr>
          <w:rFonts w:ascii="Verdana" w:eastAsia="Century Gothic" w:hAnsi="Verdana" w:cs="Century Gothic"/>
          <w:i/>
          <w:iCs/>
        </w:rPr>
        <w:t xml:space="preserve"> </w:t>
      </w:r>
      <w:r w:rsidR="00DA020C" w:rsidRPr="00F365E7">
        <w:rPr>
          <w:rFonts w:ascii="Verdana" w:eastAsia="Century Gothic" w:hAnsi="Verdana" w:cs="Century Gothic"/>
          <w:i/>
          <w:iCs/>
        </w:rPr>
        <w:t>¿</w:t>
      </w:r>
      <w:r w:rsidR="00F365E7" w:rsidRPr="00F365E7">
        <w:rPr>
          <w:rFonts w:ascii="Verdana" w:eastAsia="Century Gothic" w:hAnsi="Verdana" w:cs="Century Gothic"/>
          <w:i/>
          <w:iCs/>
        </w:rPr>
        <w:t>Las personas naturales o jurídicas pueden celebrar simultáneamente varios contratos de prestación de servicios con la misma entidad pública</w:t>
      </w:r>
      <w:r w:rsidR="00DD23CA" w:rsidRPr="00F365E7">
        <w:rPr>
          <w:rFonts w:ascii="Verdana" w:eastAsia="Century Gothic" w:hAnsi="Verdana" w:cs="Century Gothic"/>
          <w:i/>
          <w:iCs/>
        </w:rPr>
        <w:t>?</w:t>
      </w:r>
      <w:r w:rsidR="00F365E7">
        <w:rPr>
          <w:rFonts w:ascii="Verdana" w:eastAsia="Century Gothic" w:hAnsi="Verdana" w:cs="Century Gothic"/>
          <w:i/>
          <w:iCs/>
        </w:rPr>
        <w:t xml:space="preserve"> ¿Cómo aplica esta misma situación para el caso de contratos suscritos con </w:t>
      </w:r>
      <w:r w:rsidR="00F365E7" w:rsidRPr="00F365E7">
        <w:rPr>
          <w:rFonts w:ascii="Verdana" w:eastAsia="Century Gothic" w:hAnsi="Verdana" w:cs="Century Gothic"/>
          <w:i/>
          <w:iCs/>
        </w:rPr>
        <w:t>en entidades de régimen especial o en universidades públicas?</w:t>
      </w:r>
    </w:p>
    <w:p w14:paraId="45F0EEA0" w14:textId="77777777" w:rsidR="007E4284" w:rsidRPr="001B53B7" w:rsidRDefault="007E4284" w:rsidP="007E4284">
      <w:pPr>
        <w:pStyle w:val="Prrafodelista"/>
        <w:spacing w:after="0" w:line="276" w:lineRule="auto"/>
        <w:ind w:left="426" w:right="1041"/>
        <w:jc w:val="both"/>
        <w:rPr>
          <w:rFonts w:ascii="Verdana" w:eastAsia="Calibri" w:hAnsi="Verdana" w:cs="Arial"/>
          <w:color w:val="7030A0"/>
        </w:rPr>
      </w:pPr>
    </w:p>
    <w:p w14:paraId="46FF434C"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9C585E9" w14:textId="77777777" w:rsidR="007E4284" w:rsidRPr="00593A5F" w:rsidRDefault="007E4284" w:rsidP="007E428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E4284" w:rsidRPr="00593A5F" w14:paraId="17A28E7E" w14:textId="77777777">
        <w:tc>
          <w:tcPr>
            <w:tcW w:w="8828" w:type="dxa"/>
          </w:tcPr>
          <w:p w14:paraId="078A8C7F" w14:textId="18D34770" w:rsidR="00AA20D5" w:rsidRPr="00AA20D5" w:rsidRDefault="00AA20D5" w:rsidP="00AA20D5">
            <w:pPr>
              <w:spacing w:after="120" w:line="276" w:lineRule="auto"/>
              <w:jc w:val="both"/>
              <w:rPr>
                <w:rFonts w:ascii="Verdana" w:hAnsi="Verdana" w:cs="Arial"/>
                <w:bCs/>
                <w:color w:val="000000" w:themeColor="text1"/>
              </w:rPr>
            </w:pPr>
            <w:r w:rsidRPr="00AA20D5">
              <w:rPr>
                <w:rFonts w:ascii="Verdana" w:hAnsi="Verdana" w:cs="Arial"/>
                <w:bCs/>
                <w:color w:val="000000" w:themeColor="text1"/>
              </w:rPr>
              <w:t>Es viable afirmar que no existe prohibición legal o constitucional que limite el número de contratos de prestación de servicios que una persona puede celebrar o ejecutar de manera simultánea. En ese sentido, no existiendo ninguna limitación al respecto, una persona puede celebrar y ejecutar tantos contratos como le sea posible ejecutar y cumplir a cabalidad.</w:t>
            </w:r>
          </w:p>
          <w:p w14:paraId="5571699E" w14:textId="7C685BC4" w:rsidR="00AA20D5" w:rsidRDefault="00AA20D5" w:rsidP="00AA20D5">
            <w:pPr>
              <w:spacing w:after="120" w:line="276" w:lineRule="auto"/>
              <w:jc w:val="both"/>
              <w:rPr>
                <w:rFonts w:ascii="Verdana" w:hAnsi="Verdana" w:cs="Arial"/>
                <w:bCs/>
                <w:color w:val="000000" w:themeColor="text1"/>
              </w:rPr>
            </w:pPr>
            <w:r w:rsidRPr="00AA20D5">
              <w:rPr>
                <w:rFonts w:ascii="Verdana" w:hAnsi="Verdana" w:cs="Arial"/>
                <w:bCs/>
                <w:color w:val="000000" w:themeColor="text1"/>
              </w:rPr>
              <w:t>Es decir, que no existe inhabilidad alguna para que quien ha suscrito un contrato, pueda simultáneamente suscribir otro contrato estatal con la misma u otra entidad pública</w:t>
            </w:r>
          </w:p>
          <w:p w14:paraId="754CBCBD" w14:textId="6DBE80B7" w:rsidR="00DA020C" w:rsidRDefault="00E80A1B" w:rsidP="00E80A1B">
            <w:pPr>
              <w:spacing w:after="120" w:line="276" w:lineRule="auto"/>
              <w:jc w:val="both"/>
              <w:rPr>
                <w:rFonts w:ascii="Verdana" w:hAnsi="Verdana" w:cs="Arial"/>
              </w:rPr>
            </w:pPr>
            <w:r>
              <w:rPr>
                <w:rFonts w:ascii="Verdana" w:hAnsi="Verdana" w:cs="Arial"/>
              </w:rPr>
              <w:t>Sin perjuicio de lo anterior</w:t>
            </w:r>
            <w:r w:rsidRPr="00250FB3">
              <w:rPr>
                <w:rFonts w:ascii="Verdana" w:hAnsi="Verdana" w:cs="Arial"/>
              </w:rPr>
              <w:t>, el Decreto 1068 de 2015</w:t>
            </w:r>
            <w:r>
              <w:rPr>
                <w:rFonts w:ascii="Verdana" w:hAnsi="Verdana" w:cs="Arial"/>
              </w:rPr>
              <w:t xml:space="preserve"> en su último </w:t>
            </w:r>
            <w:r w:rsidRPr="00250FB3">
              <w:rPr>
                <w:rFonts w:ascii="Verdana" w:hAnsi="Verdana" w:cs="Arial"/>
              </w:rPr>
              <w:t xml:space="preserve">inciso </w:t>
            </w:r>
            <w:r>
              <w:rPr>
                <w:rFonts w:ascii="Verdana" w:hAnsi="Verdana" w:cs="Arial"/>
              </w:rPr>
              <w:t>en su</w:t>
            </w:r>
            <w:r w:rsidRPr="00250FB3">
              <w:rPr>
                <w:rFonts w:ascii="Verdana" w:hAnsi="Verdana" w:cs="Arial"/>
              </w:rPr>
              <w:t xml:space="preserve"> artículo 2.8.4.4.5</w:t>
            </w:r>
            <w:r>
              <w:rPr>
                <w:rFonts w:ascii="Verdana" w:hAnsi="Verdana" w:cs="Arial"/>
              </w:rPr>
              <w:t xml:space="preserve"> </w:t>
            </w:r>
            <w:r w:rsidRPr="00250FB3">
              <w:rPr>
                <w:rFonts w:ascii="Verdana" w:hAnsi="Verdana" w:cs="Arial"/>
              </w:rPr>
              <w:t xml:space="preserve">dispone que no </w:t>
            </w:r>
            <w:r w:rsidRPr="00B14A36">
              <w:rPr>
                <w:rFonts w:ascii="Verdana" w:hAnsi="Verdana" w:cs="Arial"/>
              </w:rPr>
              <w:t xml:space="preserve">se podrán celebrar estos contratos cuando existan relaciones contractuales vigentes con objeto igual al del contrato que se pretende suscribir, salvo autorización expresa del jefe del respectivo órgano, ente o entidad contratante. Esta autorización estará precedida de la </w:t>
            </w:r>
            <w:r w:rsidRPr="00B14A36">
              <w:rPr>
                <w:rFonts w:ascii="Verdana" w:hAnsi="Verdana" w:cs="Arial"/>
              </w:rPr>
              <w:lastRenderedPageBreak/>
              <w:t>sustentación sobre las especiales características y necesidades técnicas de las contrataciones a realizar.</w:t>
            </w:r>
          </w:p>
          <w:p w14:paraId="1F42F7CA" w14:textId="7AEDC39D" w:rsidR="00694654" w:rsidRDefault="000528E8" w:rsidP="00831CDD">
            <w:pPr>
              <w:spacing w:after="120" w:line="276" w:lineRule="auto"/>
              <w:jc w:val="both"/>
              <w:rPr>
                <w:rFonts w:ascii="Verdana" w:hAnsi="Verdana" w:cs="Arial"/>
                <w:bCs/>
                <w:color w:val="000000" w:themeColor="text1"/>
              </w:rPr>
            </w:pPr>
            <w:r>
              <w:rPr>
                <w:rFonts w:ascii="Verdana" w:eastAsia="Calibri" w:hAnsi="Verdana" w:cs="Arial"/>
                <w:color w:val="000000" w:themeColor="text1"/>
              </w:rPr>
              <w:t>Por su parte en lo relacionado con las u</w:t>
            </w:r>
            <w:r w:rsidRPr="004A0EC8">
              <w:rPr>
                <w:rFonts w:ascii="Verdana" w:eastAsia="Calibri" w:hAnsi="Verdana" w:cs="Arial"/>
                <w:color w:val="000000" w:themeColor="text1"/>
              </w:rPr>
              <w:t>niversi</w:t>
            </w:r>
            <w:r>
              <w:rPr>
                <w:rFonts w:ascii="Verdana" w:eastAsia="Calibri" w:hAnsi="Verdana" w:cs="Arial"/>
                <w:color w:val="000000" w:themeColor="text1"/>
              </w:rPr>
              <w:t xml:space="preserve">dades públicas, es de precisar que estos </w:t>
            </w:r>
            <w:r w:rsidRPr="004A0EC8">
              <w:rPr>
                <w:rFonts w:ascii="Verdana" w:eastAsia="Calibri" w:hAnsi="Verdana" w:cs="Arial"/>
                <w:color w:val="000000" w:themeColor="text1"/>
              </w:rPr>
              <w:t xml:space="preserve">son </w:t>
            </w:r>
            <w:r>
              <w:rPr>
                <w:rFonts w:ascii="Verdana" w:eastAsia="Calibri" w:hAnsi="Verdana" w:cs="Arial"/>
                <w:color w:val="000000" w:themeColor="text1"/>
              </w:rPr>
              <w:t xml:space="preserve">entes </w:t>
            </w:r>
            <w:r w:rsidRPr="004A0EC8">
              <w:rPr>
                <w:rFonts w:ascii="Verdana" w:eastAsia="Calibri" w:hAnsi="Verdana" w:cs="Arial"/>
                <w:color w:val="000000" w:themeColor="text1"/>
              </w:rPr>
              <w:t>autónomos</w:t>
            </w:r>
            <w:r>
              <w:rPr>
                <w:rFonts w:ascii="Verdana" w:eastAsia="Calibri" w:hAnsi="Verdana" w:cs="Arial"/>
                <w:color w:val="000000" w:themeColor="text1"/>
              </w:rPr>
              <w:t xml:space="preserve">, </w:t>
            </w:r>
            <w:r w:rsidRPr="004A0EC8">
              <w:rPr>
                <w:rFonts w:ascii="Verdana" w:eastAsia="Calibri" w:hAnsi="Verdana" w:cs="Arial"/>
                <w:color w:val="000000" w:themeColor="text1"/>
              </w:rPr>
              <w:t>adscritos al Ministerio de Educación Nacional en lo que se refiere a las políticas y la planificación del sector educativo</w:t>
            </w:r>
            <w:r>
              <w:rPr>
                <w:rFonts w:ascii="Verdana" w:eastAsia="Calibri" w:hAnsi="Verdana" w:cs="Arial"/>
                <w:color w:val="000000" w:themeColor="text1"/>
              </w:rPr>
              <w:t>, sujetas a un régimen de contratación especial</w:t>
            </w:r>
            <w:r w:rsidRPr="004A0EC8">
              <w:rPr>
                <w:rFonts w:ascii="Verdana" w:eastAsia="Calibri" w:hAnsi="Verdana" w:cs="Arial"/>
                <w:color w:val="000000" w:themeColor="text1"/>
              </w:rPr>
              <w:t xml:space="preserve">. </w:t>
            </w:r>
            <w:r>
              <w:rPr>
                <w:rFonts w:ascii="Verdana" w:eastAsia="Calibri" w:hAnsi="Verdana" w:cs="Arial"/>
                <w:color w:val="000000" w:themeColor="text1"/>
              </w:rPr>
              <w:t>De conformidad con estas normas, los contratos que celebren estas entidades se</w:t>
            </w:r>
            <w:r w:rsidRPr="00EF453D">
              <w:rPr>
                <w:rFonts w:ascii="Verdana" w:eastAsia="Calibri" w:hAnsi="Verdana" w:cs="Arial"/>
                <w:color w:val="000000" w:themeColor="text1"/>
              </w:rPr>
              <w:t> regirán por las normas del derecho privado y sus efectos estarán sujetos a las normas civiles y comerciales</w:t>
            </w:r>
            <w:r w:rsidR="00AA20D5">
              <w:rPr>
                <w:rFonts w:ascii="Verdana" w:eastAsia="Calibri" w:hAnsi="Verdana" w:cs="Arial"/>
                <w:color w:val="000000" w:themeColor="text1"/>
              </w:rPr>
              <w:t>.</w:t>
            </w:r>
          </w:p>
          <w:p w14:paraId="1B25E3D8" w14:textId="3050A793" w:rsidR="00694654" w:rsidRPr="00D31048" w:rsidRDefault="000528E8" w:rsidP="00131873">
            <w:pPr>
              <w:spacing w:after="120" w:line="276" w:lineRule="auto"/>
              <w:jc w:val="both"/>
              <w:rPr>
                <w:rFonts w:ascii="Verdana" w:eastAsia="Calibri" w:hAnsi="Verdana" w:cs="Arial"/>
              </w:rPr>
            </w:pPr>
            <w:r>
              <w:rPr>
                <w:rFonts w:ascii="Verdana" w:eastAsia="Calibri" w:hAnsi="Verdana" w:cs="Arial"/>
              </w:rPr>
              <w:t xml:space="preserve">Asi las cosas, </w:t>
            </w:r>
            <w:r w:rsidR="00D17438">
              <w:rPr>
                <w:rFonts w:ascii="Verdana" w:eastAsia="Calibri" w:hAnsi="Verdana" w:cs="Arial"/>
              </w:rPr>
              <w:t>l</w:t>
            </w:r>
            <w:r w:rsidRPr="001322CA">
              <w:rPr>
                <w:rFonts w:ascii="Verdana" w:eastAsia="Calibri" w:hAnsi="Verdana" w:cs="Arial"/>
              </w:rPr>
              <w:t xml:space="preserve">as entidades de régimen especial están facultadas para adoptar sus propias normativas en materia de contratación, </w:t>
            </w:r>
            <w:r w:rsidR="00AA20D5">
              <w:rPr>
                <w:rFonts w:ascii="Verdana" w:eastAsia="Calibri" w:hAnsi="Verdana" w:cs="Arial"/>
              </w:rPr>
              <w:t xml:space="preserve">a través de sus manuales de contratación, </w:t>
            </w:r>
            <w:r w:rsidRPr="001322CA">
              <w:rPr>
                <w:rFonts w:ascii="Verdana" w:eastAsia="Calibri" w:hAnsi="Verdana" w:cs="Arial"/>
              </w:rPr>
              <w:t>dentro del marco que les otorgan sus leyes especiales y su norma de creación. No obstante, de conformidad con lo establecido en artículo 13 de la Ley 1150 de 2007, las entidades estatales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w:t>
            </w:r>
          </w:p>
        </w:tc>
      </w:tr>
      <w:tr w:rsidR="007E4284" w:rsidRPr="00593A5F" w14:paraId="2A7558CB" w14:textId="77777777">
        <w:tc>
          <w:tcPr>
            <w:tcW w:w="8828" w:type="dxa"/>
          </w:tcPr>
          <w:p w14:paraId="52413404" w14:textId="77777777" w:rsidR="007E4284" w:rsidRPr="002973E9" w:rsidRDefault="007E4284">
            <w:pPr>
              <w:spacing w:line="276" w:lineRule="auto"/>
              <w:jc w:val="both"/>
              <w:rPr>
                <w:rFonts w:ascii="Verdana" w:eastAsia="Calibri" w:hAnsi="Verdana" w:cs="Arial"/>
                <w:lang w:val="es-ES"/>
              </w:rPr>
            </w:pPr>
          </w:p>
        </w:tc>
      </w:tr>
    </w:tbl>
    <w:p w14:paraId="72DC2754" w14:textId="77777777" w:rsidR="007E4284" w:rsidRDefault="007E4284" w:rsidP="007E4284">
      <w:pPr>
        <w:tabs>
          <w:tab w:val="left" w:pos="142"/>
          <w:tab w:val="left" w:pos="284"/>
        </w:tabs>
        <w:spacing w:after="0" w:line="276" w:lineRule="auto"/>
        <w:jc w:val="both"/>
        <w:rPr>
          <w:rFonts w:ascii="Verdana" w:eastAsia="Century Gothic" w:hAnsi="Verdana" w:cs="Century Gothic"/>
          <w:b/>
          <w:bCs/>
          <w:lang w:val="es-ES"/>
        </w:rPr>
      </w:pPr>
    </w:p>
    <w:p w14:paraId="02DDBB94"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F71CC33" w14:textId="77777777" w:rsidR="007E4284" w:rsidRPr="00593A5F" w:rsidRDefault="007E4284" w:rsidP="007E4284">
      <w:pPr>
        <w:spacing w:after="0" w:line="276" w:lineRule="auto"/>
        <w:jc w:val="both"/>
        <w:rPr>
          <w:rFonts w:ascii="Verdana" w:eastAsia="Calibri" w:hAnsi="Verdana" w:cs="Arial"/>
          <w:color w:val="7030A0"/>
          <w:lang w:val="es-ES"/>
        </w:rPr>
      </w:pPr>
    </w:p>
    <w:p w14:paraId="1895D779" w14:textId="77777777" w:rsidR="00503C19" w:rsidRPr="00542ED3" w:rsidRDefault="00503C19" w:rsidP="00503C19">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4777FA19" w14:textId="77777777" w:rsidR="00503C19" w:rsidRPr="00542ED3" w:rsidRDefault="00503C19" w:rsidP="00503C19">
      <w:pPr>
        <w:spacing w:after="0" w:line="276" w:lineRule="auto"/>
        <w:jc w:val="both"/>
        <w:rPr>
          <w:rFonts w:ascii="Verdana" w:eastAsia="Calibri" w:hAnsi="Verdana" w:cs="Arial"/>
          <w:lang w:val="es-ES"/>
        </w:rPr>
      </w:pPr>
    </w:p>
    <w:p w14:paraId="49ABD97F" w14:textId="77777777" w:rsidR="001E1142" w:rsidRDefault="001E1142" w:rsidP="001E1142">
      <w:pPr>
        <w:pStyle w:val="Prrafodelista"/>
        <w:numPr>
          <w:ilvl w:val="0"/>
          <w:numId w:val="30"/>
        </w:numPr>
        <w:spacing w:after="0" w:line="276" w:lineRule="auto"/>
        <w:jc w:val="both"/>
        <w:rPr>
          <w:rFonts w:ascii="Verdana" w:hAnsi="Verdana" w:cs="Arial"/>
          <w:color w:val="000000" w:themeColor="text1"/>
          <w:lang w:val="es-ES_tradnl"/>
        </w:rPr>
      </w:pPr>
      <w:r w:rsidRPr="00A871DB">
        <w:rPr>
          <w:rFonts w:ascii="Verdana" w:hAnsi="Verdana" w:cs="Arial"/>
          <w:color w:val="000000" w:themeColor="text1"/>
          <w:lang w:val="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0C3A930" w14:textId="77777777" w:rsidR="001E1142" w:rsidRPr="00A871DB" w:rsidRDefault="001E1142" w:rsidP="001E1142">
      <w:pPr>
        <w:pStyle w:val="Prrafodelista"/>
        <w:spacing w:after="0" w:line="276" w:lineRule="auto"/>
        <w:ind w:left="709"/>
        <w:jc w:val="both"/>
        <w:rPr>
          <w:rFonts w:ascii="Verdana" w:hAnsi="Verdana" w:cs="Arial"/>
          <w:color w:val="000000" w:themeColor="text1"/>
          <w:lang w:val="es-ES_tradnl"/>
        </w:rPr>
      </w:pPr>
    </w:p>
    <w:p w14:paraId="4D3E7E4A" w14:textId="77777777" w:rsidR="001E1142" w:rsidRPr="00A871DB" w:rsidRDefault="001E1142" w:rsidP="001E1142">
      <w:pPr>
        <w:spacing w:after="0" w:line="240" w:lineRule="auto"/>
        <w:ind w:left="1134" w:right="758"/>
        <w:jc w:val="both"/>
        <w:rPr>
          <w:rFonts w:ascii="Verdana" w:eastAsia="Calibri" w:hAnsi="Verdana" w:cs="Arial"/>
          <w:i/>
          <w:iCs/>
          <w:color w:val="000000" w:themeColor="text1"/>
          <w:sz w:val="20"/>
          <w:szCs w:val="20"/>
          <w:lang w:val="es-ES_tradnl"/>
        </w:rPr>
      </w:pPr>
      <w:r w:rsidRPr="00A871DB">
        <w:rPr>
          <w:rFonts w:ascii="Verdana" w:eastAsia="Calibri" w:hAnsi="Verdana" w:cs="Arial"/>
          <w:i/>
          <w:iCs/>
          <w:color w:val="000000" w:themeColor="text1"/>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17FAD47" w14:textId="77777777" w:rsidR="001E1142" w:rsidRPr="002A41F1" w:rsidRDefault="001E1142" w:rsidP="001E1142">
      <w:pPr>
        <w:spacing w:after="0" w:line="240" w:lineRule="auto"/>
        <w:ind w:left="1134" w:right="758"/>
        <w:jc w:val="both"/>
        <w:rPr>
          <w:rFonts w:ascii="Verdana" w:eastAsia="Calibri" w:hAnsi="Verdana" w:cs="Arial"/>
          <w:color w:val="000000" w:themeColor="text1"/>
          <w:sz w:val="20"/>
          <w:szCs w:val="20"/>
          <w:lang w:val="es-ES_tradnl"/>
        </w:rPr>
      </w:pPr>
      <w:r w:rsidRPr="00A871DB">
        <w:rPr>
          <w:rFonts w:ascii="Verdana" w:eastAsia="Calibri" w:hAnsi="Verdana" w:cs="Arial"/>
          <w:i/>
          <w:iCs/>
          <w:color w:val="000000" w:themeColor="text1"/>
          <w:sz w:val="20"/>
          <w:szCs w:val="20"/>
          <w:lang w:val="es-ES_tradnl"/>
        </w:rPr>
        <w:lastRenderedPageBreak/>
        <w:t>En ningún caso estos contratos generan relación laboral ni prestaciones sociales y se celebrarán por el término estrictamente indispensable.”</w:t>
      </w:r>
    </w:p>
    <w:p w14:paraId="4A27792C" w14:textId="77777777" w:rsidR="001E1142" w:rsidRPr="00303EFF" w:rsidRDefault="001E1142" w:rsidP="001E1142">
      <w:pPr>
        <w:spacing w:after="0" w:line="240" w:lineRule="auto"/>
        <w:ind w:left="709" w:right="709"/>
        <w:jc w:val="both"/>
        <w:rPr>
          <w:rFonts w:ascii="Verdana" w:eastAsia="Calibri" w:hAnsi="Verdana" w:cs="Arial"/>
          <w:color w:val="000000" w:themeColor="text1"/>
          <w:sz w:val="20"/>
          <w:szCs w:val="20"/>
          <w:lang w:val="es-ES_tradnl"/>
        </w:rPr>
      </w:pPr>
    </w:p>
    <w:p w14:paraId="67607AE7" w14:textId="77777777" w:rsidR="001E1142" w:rsidRPr="003B5A77" w:rsidRDefault="001E1142" w:rsidP="34880372">
      <w:pPr>
        <w:pStyle w:val="Prrafodelista"/>
        <w:numPr>
          <w:ilvl w:val="0"/>
          <w:numId w:val="30"/>
        </w:numPr>
        <w:spacing w:after="0" w:line="240" w:lineRule="auto"/>
        <w:jc w:val="both"/>
        <w:rPr>
          <w:rFonts w:ascii="Verdana" w:hAnsi="Verdana" w:cs="Arial"/>
          <w:color w:val="000000" w:themeColor="text1"/>
        </w:rPr>
      </w:pPr>
      <w:r w:rsidRPr="34880372">
        <w:rPr>
          <w:rFonts w:ascii="Verdana" w:hAnsi="Verdana" w:cs="Arial"/>
          <w:color w:val="000000" w:themeColor="text1"/>
        </w:rPr>
        <w:t>De otro lado, la celebración de dicho contrato se debe efectuar a través de la modalidad de la contratación directa. Así lo prevé el artículo 2, numeral 4º, literal h) de la Ley 1150 de 2007, que dispone:</w:t>
      </w:r>
    </w:p>
    <w:p w14:paraId="7B57DBA9" w14:textId="77777777" w:rsidR="001E1142" w:rsidRPr="00B67542" w:rsidRDefault="001E1142" w:rsidP="001E1142">
      <w:pPr>
        <w:spacing w:after="0" w:line="240" w:lineRule="auto"/>
        <w:ind w:left="352"/>
        <w:jc w:val="both"/>
        <w:rPr>
          <w:rFonts w:ascii="Verdana" w:hAnsi="Verdana" w:cs="Arial"/>
          <w:color w:val="000000" w:themeColor="text1"/>
          <w:lang w:val="es-ES_tradnl"/>
        </w:rPr>
      </w:pPr>
    </w:p>
    <w:p w14:paraId="7492EA3D" w14:textId="77777777" w:rsidR="001E1142" w:rsidRDefault="001E1142" w:rsidP="34880372">
      <w:pPr>
        <w:spacing w:after="0" w:line="240" w:lineRule="auto"/>
        <w:ind w:left="1134" w:right="900"/>
        <w:jc w:val="both"/>
        <w:rPr>
          <w:rFonts w:ascii="Verdana" w:eastAsia="Calibri" w:hAnsi="Verdana" w:cs="Arial"/>
          <w:i/>
          <w:iCs/>
          <w:color w:val="000000" w:themeColor="text1"/>
          <w:sz w:val="20"/>
          <w:szCs w:val="20"/>
          <w:lang w:val="es-ES"/>
        </w:rPr>
      </w:pPr>
      <w:r w:rsidRPr="34880372">
        <w:rPr>
          <w:rFonts w:ascii="Verdana" w:eastAsia="Calibri" w:hAnsi="Verdana" w:cs="Arial"/>
          <w:i/>
          <w:iCs/>
          <w:color w:val="000000" w:themeColor="text1"/>
          <w:sz w:val="20"/>
          <w:szCs w:val="20"/>
          <w:lang w:val="es-ES"/>
        </w:rPr>
        <w:t xml:space="preserve">“Contratación directa. La modalidad de selección de contratación </w:t>
      </w:r>
      <w:proofErr w:type="gramStart"/>
      <w:r w:rsidRPr="34880372">
        <w:rPr>
          <w:rFonts w:ascii="Verdana" w:eastAsia="Calibri" w:hAnsi="Verdana" w:cs="Arial"/>
          <w:i/>
          <w:iCs/>
          <w:color w:val="000000" w:themeColor="text1"/>
          <w:sz w:val="20"/>
          <w:szCs w:val="20"/>
          <w:lang w:val="es-ES"/>
        </w:rPr>
        <w:t>directa,</w:t>
      </w:r>
      <w:proofErr w:type="gramEnd"/>
      <w:r w:rsidRPr="34880372">
        <w:rPr>
          <w:rFonts w:ascii="Verdana" w:eastAsia="Calibri" w:hAnsi="Verdana" w:cs="Arial"/>
          <w:i/>
          <w:iCs/>
          <w:color w:val="000000" w:themeColor="text1"/>
          <w:sz w:val="20"/>
          <w:szCs w:val="20"/>
          <w:lang w:val="es-ES"/>
        </w:rPr>
        <w:t xml:space="preserve"> solamente procederá en los siguientes casos:</w:t>
      </w:r>
    </w:p>
    <w:p w14:paraId="43310C23" w14:textId="77777777" w:rsidR="001E1142" w:rsidRPr="003B5A77" w:rsidRDefault="001E1142" w:rsidP="001E1142">
      <w:pPr>
        <w:spacing w:after="0" w:line="240" w:lineRule="auto"/>
        <w:ind w:left="1134" w:right="900"/>
        <w:jc w:val="both"/>
        <w:rPr>
          <w:rFonts w:ascii="Verdana" w:eastAsia="Calibri" w:hAnsi="Verdana" w:cs="Arial"/>
          <w:i/>
          <w:iCs/>
          <w:color w:val="000000" w:themeColor="text1"/>
          <w:sz w:val="20"/>
          <w:szCs w:val="20"/>
          <w:lang w:val="es-ES_tradnl"/>
        </w:rPr>
      </w:pPr>
    </w:p>
    <w:p w14:paraId="4BAB7CCC" w14:textId="77777777" w:rsidR="001E1142" w:rsidRDefault="001E1142" w:rsidP="001E1142">
      <w:pPr>
        <w:spacing w:after="0" w:line="240" w:lineRule="auto"/>
        <w:ind w:left="1134" w:right="900"/>
        <w:jc w:val="both"/>
        <w:rPr>
          <w:rFonts w:ascii="Verdana" w:eastAsia="Calibri" w:hAnsi="Verdana" w:cs="Arial"/>
          <w:i/>
          <w:iCs/>
          <w:color w:val="000000" w:themeColor="text1"/>
          <w:sz w:val="20"/>
          <w:szCs w:val="20"/>
          <w:lang w:val="es-ES_tradnl"/>
        </w:rPr>
      </w:pPr>
      <w:r w:rsidRPr="003B5A77">
        <w:rPr>
          <w:rFonts w:ascii="Verdana" w:eastAsia="Calibri" w:hAnsi="Verdana" w:cs="Arial"/>
          <w:i/>
          <w:iCs/>
          <w:color w:val="000000" w:themeColor="text1"/>
          <w:sz w:val="20"/>
          <w:szCs w:val="20"/>
          <w:lang w:val="es-ES_tradnl"/>
        </w:rPr>
        <w:t>h) Para la prestación de servicios profesionales y de apoyo a la gestión, o para la ejecución de trabajos artísticos que sólo puedan encomendarse a determinadas personas naturales;”</w:t>
      </w:r>
    </w:p>
    <w:p w14:paraId="0CDF6F09" w14:textId="77777777" w:rsidR="001E1142" w:rsidRPr="00B67542" w:rsidRDefault="001E1142" w:rsidP="001E1142">
      <w:pPr>
        <w:spacing w:after="0" w:line="240" w:lineRule="auto"/>
        <w:ind w:left="709"/>
        <w:jc w:val="both"/>
        <w:rPr>
          <w:rFonts w:ascii="Verdana" w:eastAsia="Calibri" w:hAnsi="Verdana" w:cs="Arial"/>
          <w:color w:val="000000" w:themeColor="text1"/>
          <w:lang w:val="es-ES_tradnl"/>
        </w:rPr>
      </w:pPr>
    </w:p>
    <w:p w14:paraId="72B36656" w14:textId="77777777" w:rsidR="001E1142" w:rsidRDefault="001E1142" w:rsidP="001E1142">
      <w:pPr>
        <w:pStyle w:val="Prrafodelista"/>
        <w:numPr>
          <w:ilvl w:val="0"/>
          <w:numId w:val="30"/>
        </w:numPr>
        <w:spacing w:after="0" w:line="240" w:lineRule="auto"/>
        <w:jc w:val="both"/>
        <w:rPr>
          <w:rFonts w:ascii="Verdana" w:hAnsi="Verdana" w:cs="Arial"/>
          <w:color w:val="000000" w:themeColor="text1"/>
          <w:lang w:val="es-ES_tradnl"/>
        </w:rPr>
      </w:pPr>
      <w:r w:rsidRPr="003B5A77">
        <w:rPr>
          <w:rFonts w:ascii="Verdana" w:hAnsi="Verdana" w:cs="Arial"/>
          <w:color w:val="000000" w:themeColor="text1"/>
          <w:lang w:val="es-ES_tradnl"/>
        </w:rPr>
        <w:t>A partir de estos enunciados normativos de carácter legal y reglamentario, que complementan su regulación, y de los pronunciamientos judiciales más destacados sobre el tema, es posible señalar las siguientes características del contrato de prestación de servicios profesionales:</w:t>
      </w:r>
    </w:p>
    <w:p w14:paraId="6769E8AD" w14:textId="77777777" w:rsidR="001E1142" w:rsidRPr="003B5A77" w:rsidRDefault="001E1142" w:rsidP="001E1142">
      <w:pPr>
        <w:pStyle w:val="Prrafodelista"/>
        <w:spacing w:after="0" w:line="240" w:lineRule="auto"/>
        <w:jc w:val="both"/>
        <w:rPr>
          <w:rFonts w:ascii="Verdana" w:hAnsi="Verdana" w:cs="Arial"/>
          <w:color w:val="000000" w:themeColor="text1"/>
          <w:lang w:val="es-ES_tradnl"/>
        </w:rPr>
      </w:pPr>
    </w:p>
    <w:p w14:paraId="6510235D" w14:textId="77777777" w:rsidR="001E1142" w:rsidRPr="00D01138" w:rsidRDefault="001E1142" w:rsidP="001E1142">
      <w:pPr>
        <w:spacing w:after="0" w:line="240" w:lineRule="auto"/>
        <w:ind w:left="709"/>
        <w:jc w:val="both"/>
        <w:rPr>
          <w:rFonts w:ascii="Verdana" w:hAnsi="Verdana" w:cs="Arial"/>
          <w:color w:val="000000" w:themeColor="text1"/>
          <w:lang w:val="es-ES_tradnl"/>
        </w:rPr>
      </w:pPr>
      <w:r w:rsidRPr="00D01138">
        <w:rPr>
          <w:rFonts w:ascii="Verdana" w:hAnsi="Verdana" w:cs="Arial"/>
          <w:color w:val="000000" w:themeColor="text1"/>
          <w:lang w:val="es-ES_tradnl"/>
        </w:rPr>
        <w:t>I) Solo puede celebrarse para realizar “actividades relacionadas con la administración o funcionamiento de la entidad”, es decir, que hagan parte de su giro ordinario o quehacer cotidiano.</w:t>
      </w:r>
    </w:p>
    <w:p w14:paraId="3729A3EB" w14:textId="77777777" w:rsidR="001E1142" w:rsidRPr="00D01138" w:rsidRDefault="001E1142" w:rsidP="001E1142">
      <w:pPr>
        <w:spacing w:after="0" w:line="240" w:lineRule="auto"/>
        <w:ind w:left="709"/>
        <w:jc w:val="both"/>
        <w:rPr>
          <w:rFonts w:ascii="Verdana" w:hAnsi="Verdana" w:cs="Arial"/>
          <w:color w:val="000000" w:themeColor="text1"/>
          <w:lang w:val="es-ES_tradnl"/>
        </w:rPr>
      </w:pPr>
    </w:p>
    <w:p w14:paraId="53822EE2" w14:textId="77777777" w:rsidR="001E1142" w:rsidRPr="00D01138" w:rsidRDefault="001E1142" w:rsidP="34880372">
      <w:pPr>
        <w:spacing w:after="0" w:line="240" w:lineRule="auto"/>
        <w:ind w:left="709"/>
        <w:jc w:val="both"/>
        <w:rPr>
          <w:rFonts w:ascii="Verdana" w:hAnsi="Verdana" w:cs="Arial"/>
          <w:color w:val="000000" w:themeColor="text1"/>
          <w:lang w:val="es-ES"/>
        </w:rPr>
      </w:pPr>
      <w:r w:rsidRPr="34880372">
        <w:rPr>
          <w:rFonts w:ascii="Verdana" w:hAnsi="Verdana" w:cs="Arial"/>
          <w:color w:val="000000" w:themeColor="text1"/>
          <w:lang w:val="es-ES"/>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444D7D00" w14:textId="77777777" w:rsidR="001E1142" w:rsidRPr="00D01138" w:rsidRDefault="001E1142" w:rsidP="001E1142">
      <w:pPr>
        <w:spacing w:after="0" w:line="240" w:lineRule="auto"/>
        <w:ind w:left="709"/>
        <w:jc w:val="both"/>
        <w:rPr>
          <w:rFonts w:ascii="Verdana" w:hAnsi="Verdana" w:cs="Arial"/>
          <w:color w:val="000000" w:themeColor="text1"/>
          <w:lang w:val="es-ES_tradnl"/>
        </w:rPr>
      </w:pPr>
    </w:p>
    <w:p w14:paraId="6BC14E3A" w14:textId="77777777" w:rsidR="001E1142" w:rsidRPr="00D01138" w:rsidRDefault="001E1142" w:rsidP="34880372">
      <w:pPr>
        <w:spacing w:after="0" w:line="240" w:lineRule="auto"/>
        <w:ind w:left="709"/>
        <w:jc w:val="both"/>
        <w:rPr>
          <w:rFonts w:ascii="Verdana" w:hAnsi="Verdana" w:cs="Arial"/>
          <w:color w:val="000000" w:themeColor="text1"/>
          <w:lang w:val="es-ES"/>
        </w:rPr>
      </w:pPr>
      <w:r w:rsidRPr="34880372">
        <w:rPr>
          <w:rFonts w:ascii="Verdana" w:hAnsi="Verdana" w:cs="Arial"/>
          <w:color w:val="000000" w:themeColor="text1"/>
          <w:lang w:val="es-ES"/>
        </w:rPr>
        <w:t>III) Si bien se celebran para obtener la prestación personal de un servicio, se diferencian del contrato de trabajo</w:t>
      </w:r>
      <w:r w:rsidRPr="34880372">
        <w:rPr>
          <w:rStyle w:val="Refdenotaalpie"/>
          <w:rFonts w:ascii="Verdana" w:hAnsi="Verdana" w:cs="Arial"/>
          <w:color w:val="000000" w:themeColor="text1"/>
          <w:lang w:val="es-ES"/>
        </w:rPr>
        <w:footnoteReference w:id="1"/>
      </w:r>
      <w:r w:rsidRPr="34880372">
        <w:rPr>
          <w:rFonts w:ascii="Verdana" w:hAnsi="Verdana" w:cs="Arial"/>
          <w:color w:val="000000" w:themeColor="text1"/>
          <w:lang w:val="es-ES"/>
        </w:rPr>
        <w:t xml:space="preserve"> en que quien celebra el contrato de prestación de servicios profesionales debe mantener autonomía e independencia en la ejecución de la labor, lo que significa que no puede </w:t>
      </w:r>
      <w:r w:rsidRPr="34880372">
        <w:rPr>
          <w:rFonts w:ascii="Verdana" w:hAnsi="Verdana" w:cs="Arial"/>
          <w:color w:val="000000" w:themeColor="text1"/>
          <w:lang w:val="es-ES"/>
        </w:rPr>
        <w:lastRenderedPageBreak/>
        <w:t>existir la subordinación y dependencia,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34880372">
        <w:rPr>
          <w:rStyle w:val="Refdenotaalpie"/>
          <w:rFonts w:ascii="Verdana" w:hAnsi="Verdana" w:cs="Arial"/>
          <w:color w:val="000000" w:themeColor="text1"/>
          <w:lang w:val="es-ES"/>
        </w:rPr>
        <w:footnoteReference w:id="2"/>
      </w:r>
      <w:r w:rsidRPr="34880372">
        <w:rPr>
          <w:rFonts w:ascii="Verdana" w:hAnsi="Verdana" w:cs="Arial"/>
          <w:color w:val="000000" w:themeColor="text1"/>
          <w:lang w:val="es-ES"/>
        </w:rPr>
        <w:t>. 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34880372">
        <w:rPr>
          <w:rStyle w:val="Refdenotaalpie"/>
          <w:rFonts w:ascii="Verdana" w:hAnsi="Verdana" w:cs="Arial"/>
          <w:color w:val="000000" w:themeColor="text1"/>
          <w:lang w:val="es-ES"/>
        </w:rPr>
        <w:footnoteReference w:id="3"/>
      </w:r>
      <w:r w:rsidRPr="34880372">
        <w:rPr>
          <w:rFonts w:ascii="Verdana" w:hAnsi="Verdana" w:cs="Arial"/>
          <w:color w:val="000000" w:themeColor="text1"/>
          <w:lang w:val="es-ES"/>
        </w:rPr>
        <w:t>.</w:t>
      </w:r>
    </w:p>
    <w:p w14:paraId="71E2F01E" w14:textId="77777777" w:rsidR="001E1142" w:rsidRPr="00810952" w:rsidRDefault="001E1142" w:rsidP="001E1142">
      <w:pPr>
        <w:spacing w:after="0" w:line="240" w:lineRule="auto"/>
        <w:ind w:left="709"/>
        <w:jc w:val="both"/>
        <w:rPr>
          <w:rFonts w:ascii="Arial" w:hAnsi="Arial" w:cs="Arial"/>
          <w:color w:val="000000" w:themeColor="text1"/>
          <w:lang w:val="es-ES_tradnl"/>
        </w:rPr>
      </w:pPr>
    </w:p>
    <w:p w14:paraId="2A22A237" w14:textId="77777777" w:rsidR="001E1142" w:rsidRPr="008017F9" w:rsidRDefault="001E1142" w:rsidP="001E1142">
      <w:pPr>
        <w:spacing w:line="240" w:lineRule="auto"/>
        <w:ind w:left="709"/>
        <w:jc w:val="both"/>
        <w:rPr>
          <w:rFonts w:ascii="Verdana" w:hAnsi="Verdana" w:cs="Arial"/>
          <w:color w:val="000000" w:themeColor="text1"/>
          <w:lang w:val="es-ES_tradnl"/>
        </w:rPr>
      </w:pPr>
      <w:r>
        <w:rPr>
          <w:rFonts w:ascii="Verdana" w:hAnsi="Verdana" w:cs="Arial"/>
          <w:color w:val="000000" w:themeColor="text1"/>
          <w:lang w:val="es-ES_tradnl"/>
        </w:rPr>
        <w:t>IV</w:t>
      </w:r>
      <w:r w:rsidRPr="008017F9">
        <w:rPr>
          <w:rFonts w:ascii="Verdana" w:hAnsi="Verdana" w:cs="Arial"/>
          <w:color w:val="000000" w:themeColor="text1"/>
          <w:lang w:val="es-ES_tradnl"/>
        </w:rPr>
        <w:t>) Deben ser temporales. Así lo señaló la Corte Constitucional en la misma providencia a la que se aludió previamente, expresando que:</w:t>
      </w:r>
    </w:p>
    <w:p w14:paraId="0DB5E071" w14:textId="77777777" w:rsidR="001E1142" w:rsidRPr="00D01138" w:rsidRDefault="001E1142" w:rsidP="001E1142">
      <w:pPr>
        <w:spacing w:after="0" w:line="240" w:lineRule="auto"/>
        <w:ind w:left="1276" w:right="709"/>
        <w:jc w:val="both"/>
        <w:rPr>
          <w:rFonts w:ascii="Verdana" w:eastAsia="Calibri" w:hAnsi="Verdana" w:cs="Arial"/>
          <w:i/>
          <w:iCs/>
          <w:color w:val="000000" w:themeColor="text1"/>
          <w:sz w:val="20"/>
          <w:szCs w:val="20"/>
          <w:lang w:val="es-ES_tradnl"/>
        </w:rPr>
      </w:pPr>
      <w:r w:rsidRPr="00D01138">
        <w:rPr>
          <w:rFonts w:ascii="Verdana" w:eastAsia="Calibri" w:hAnsi="Verdana" w:cs="Arial"/>
          <w:i/>
          <w:iCs/>
          <w:color w:val="000000" w:themeColor="text1"/>
          <w:sz w:val="20"/>
          <w:szCs w:val="20"/>
          <w:lang w:val="es-ES_tradnl"/>
        </w:rPr>
        <w:t>«</w:t>
      </w:r>
      <w:r w:rsidRPr="00D01138">
        <w:rPr>
          <w:rFonts w:ascii="Verdana" w:hAnsi="Verdana" w:cs="Arial"/>
          <w:i/>
          <w:iCs/>
          <w:color w:val="000000" w:themeColor="text1"/>
          <w:sz w:val="20"/>
          <w:szCs w:val="20"/>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w:t>
      </w:r>
      <w:r w:rsidRPr="00D01138">
        <w:rPr>
          <w:rFonts w:ascii="Verdana" w:hAnsi="Verdana" w:cs="Arial"/>
          <w:i/>
          <w:iCs/>
          <w:color w:val="000000" w:themeColor="text1"/>
          <w:sz w:val="20"/>
          <w:szCs w:val="20"/>
          <w:lang w:val="es-ES_tradnl"/>
        </w:rPr>
        <w:lastRenderedPageBreak/>
        <w:t>en la respectiva planta y previstos sus emolumentos en el presupuesto correspondiente.</w:t>
      </w:r>
      <w:r w:rsidRPr="00D01138">
        <w:rPr>
          <w:rFonts w:ascii="Verdana" w:eastAsia="Calibri" w:hAnsi="Verdana" w:cs="Arial"/>
          <w:i/>
          <w:iCs/>
          <w:color w:val="000000" w:themeColor="text1"/>
          <w:sz w:val="20"/>
          <w:szCs w:val="20"/>
          <w:lang w:val="es-ES_tradnl"/>
        </w:rPr>
        <w:t>»</w:t>
      </w:r>
      <w:r w:rsidRPr="00D01138">
        <w:rPr>
          <w:rStyle w:val="Refdenotaalpie"/>
          <w:rFonts w:ascii="Verdana" w:hAnsi="Verdana" w:cs="Arial"/>
          <w:i/>
          <w:iCs/>
          <w:color w:val="000000" w:themeColor="text1"/>
          <w:sz w:val="20"/>
          <w:szCs w:val="20"/>
          <w:lang w:val="es-ES_tradnl"/>
        </w:rPr>
        <w:footnoteReference w:id="4"/>
      </w:r>
    </w:p>
    <w:p w14:paraId="156FF4F8" w14:textId="77777777" w:rsidR="001E1142" w:rsidRPr="00B14A36" w:rsidRDefault="001E1142" w:rsidP="001E1142">
      <w:pPr>
        <w:spacing w:after="0" w:line="240" w:lineRule="auto"/>
        <w:ind w:left="709" w:right="709"/>
        <w:jc w:val="both"/>
        <w:rPr>
          <w:rFonts w:ascii="Verdana" w:hAnsi="Verdana" w:cs="Arial"/>
          <w:color w:val="000000" w:themeColor="text1"/>
          <w:sz w:val="20"/>
          <w:szCs w:val="20"/>
          <w:lang w:val="es-ES_tradnl"/>
        </w:rPr>
      </w:pPr>
    </w:p>
    <w:p w14:paraId="03157E20" w14:textId="77777777" w:rsidR="001E1142" w:rsidRPr="00B14A36" w:rsidRDefault="001E1142" w:rsidP="001E1142">
      <w:pPr>
        <w:spacing w:line="240" w:lineRule="auto"/>
        <w:ind w:left="709"/>
        <w:jc w:val="both"/>
        <w:rPr>
          <w:rFonts w:ascii="Verdana" w:eastAsia="Calibri" w:hAnsi="Verdana" w:cs="Arial"/>
          <w:color w:val="000000" w:themeColor="text1"/>
          <w:sz w:val="20"/>
          <w:szCs w:val="20"/>
          <w:lang w:val="es-ES_tradnl"/>
        </w:rPr>
      </w:pPr>
      <w:r w:rsidRPr="008017F9">
        <w:rPr>
          <w:rFonts w:ascii="Verdana" w:hAnsi="Verdana" w:cs="Arial"/>
          <w:color w:val="000000" w:themeColor="text1"/>
          <w:lang w:val="es-ES_tradnl"/>
        </w:rPr>
        <w:t xml:space="preserve">v) Los contratos de prestación de servicios profesionales hacen parte del género denominado </w:t>
      </w:r>
      <w:r w:rsidRPr="008017F9">
        <w:rPr>
          <w:rFonts w:ascii="Verdana" w:hAnsi="Verdana" w:cs="Arial"/>
          <w:i/>
          <w:color w:val="000000" w:themeColor="text1"/>
          <w:lang w:val="es-ES_tradnl"/>
        </w:rPr>
        <w:t>contratos de prestación de servicios</w:t>
      </w:r>
      <w:r w:rsidRPr="008017F9">
        <w:rPr>
          <w:rFonts w:ascii="Verdana" w:hAnsi="Verdana" w:cs="Arial"/>
          <w:color w:val="000000" w:themeColor="text1"/>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8017F9">
        <w:rPr>
          <w:rStyle w:val="Refdenotaalpie"/>
          <w:rFonts w:ascii="Verdana" w:hAnsi="Verdana" w:cs="Arial"/>
          <w:color w:val="000000" w:themeColor="text1"/>
          <w:lang w:val="es-ES_tradnl"/>
        </w:rPr>
        <w:footnoteReference w:id="5"/>
      </w:r>
      <w:r w:rsidRPr="008017F9">
        <w:rPr>
          <w:rFonts w:ascii="Verdana" w:hAnsi="Verdana" w:cs="Arial"/>
          <w:color w:val="000000" w:themeColor="text1"/>
          <w:lang w:val="es-ES_tradnl"/>
        </w:rPr>
        <w:t>.</w:t>
      </w:r>
    </w:p>
    <w:p w14:paraId="6A9455A8" w14:textId="77777777" w:rsidR="001E1142" w:rsidRPr="008017F9" w:rsidRDefault="001E1142" w:rsidP="001E1142">
      <w:pPr>
        <w:spacing w:line="240" w:lineRule="auto"/>
        <w:ind w:left="709"/>
        <w:jc w:val="both"/>
        <w:rPr>
          <w:rFonts w:ascii="Verdana" w:hAnsi="Verdana" w:cs="Arial"/>
          <w:color w:val="000000" w:themeColor="text1"/>
          <w:lang w:val="es-ES_tradnl"/>
        </w:rPr>
      </w:pPr>
      <w:r>
        <w:rPr>
          <w:rFonts w:ascii="Verdana" w:hAnsi="Verdana" w:cs="Arial"/>
          <w:color w:val="000000" w:themeColor="text1"/>
          <w:lang w:val="es-ES_tradnl"/>
        </w:rPr>
        <w:t>VI</w:t>
      </w:r>
      <w:r w:rsidRPr="008017F9">
        <w:rPr>
          <w:rFonts w:ascii="Verdana" w:hAnsi="Verdana" w:cs="Arial"/>
          <w:color w:val="000000" w:themeColor="text1"/>
          <w:lang w:val="es-ES_tradnl"/>
        </w:rPr>
        <w:t>) Su celebración debe realizarse a través de la modalidad de contratación directa, independientemente de la cuantía y del tipo de servicio profesional</w:t>
      </w:r>
      <w:r>
        <w:rPr>
          <w:rFonts w:ascii="Verdana" w:hAnsi="Verdana" w:cs="Arial"/>
          <w:color w:val="000000" w:themeColor="text1"/>
          <w:lang w:val="es-ES_tradnl"/>
        </w:rPr>
        <w:t>.</w:t>
      </w:r>
    </w:p>
    <w:p w14:paraId="57A70B8A" w14:textId="77777777" w:rsidR="001E1142" w:rsidRPr="008017F9" w:rsidRDefault="001E1142" w:rsidP="001E1142">
      <w:pPr>
        <w:spacing w:before="120" w:after="120" w:line="240" w:lineRule="auto"/>
        <w:ind w:left="709"/>
        <w:jc w:val="both"/>
        <w:rPr>
          <w:rFonts w:ascii="Verdana" w:hAnsi="Verdana" w:cs="Arial"/>
          <w:color w:val="000000" w:themeColor="text1"/>
          <w:lang w:val="es-ES_tradnl"/>
        </w:rPr>
      </w:pPr>
      <w:r>
        <w:rPr>
          <w:rFonts w:ascii="Verdana" w:hAnsi="Verdana" w:cs="Arial"/>
          <w:color w:val="000000" w:themeColor="text1"/>
          <w:lang w:val="es-ES_tradnl"/>
        </w:rPr>
        <w:t>VII</w:t>
      </w:r>
      <w:r w:rsidRPr="008017F9">
        <w:rPr>
          <w:rFonts w:ascii="Verdana" w:hAnsi="Verdana" w:cs="Arial"/>
          <w:color w:val="000000" w:themeColor="text1"/>
          <w:lang w:val="es-ES_tradnl"/>
        </w:rPr>
        <w:t>) Para su celebración no se requiere la expedición del acto administrativo de justificación de la contratación directa</w:t>
      </w:r>
      <w:r w:rsidRPr="008017F9">
        <w:rPr>
          <w:rStyle w:val="Refdenotaalpie"/>
          <w:rFonts w:ascii="Verdana" w:hAnsi="Verdana" w:cs="Arial"/>
          <w:color w:val="000000" w:themeColor="text1"/>
          <w:lang w:val="es-ES_tradnl"/>
        </w:rPr>
        <w:footnoteReference w:id="6"/>
      </w:r>
      <w:r w:rsidRPr="008017F9">
        <w:rPr>
          <w:rFonts w:ascii="Verdana" w:hAnsi="Verdana" w:cs="Arial"/>
          <w:color w:val="000000" w:themeColor="text1"/>
          <w:lang w:val="es-ES_tradnl"/>
        </w:rPr>
        <w:t xml:space="preserve">. </w:t>
      </w:r>
    </w:p>
    <w:p w14:paraId="3E728121" w14:textId="77777777" w:rsidR="001E1142" w:rsidRPr="008017F9" w:rsidRDefault="001E1142" w:rsidP="34880372">
      <w:pPr>
        <w:spacing w:before="120" w:after="120" w:line="240" w:lineRule="auto"/>
        <w:ind w:left="709"/>
        <w:jc w:val="both"/>
        <w:rPr>
          <w:rFonts w:ascii="Verdana" w:hAnsi="Verdana" w:cs="Arial"/>
          <w:color w:val="000000" w:themeColor="text1"/>
          <w:lang w:val="es-ES"/>
        </w:rPr>
      </w:pPr>
      <w:r w:rsidRPr="34880372">
        <w:rPr>
          <w:rFonts w:ascii="Verdana" w:hAnsi="Verdana" w:cs="Arial"/>
          <w:color w:val="000000" w:themeColor="text1"/>
          <w:lang w:val="es-ES"/>
        </w:rPr>
        <w:t>VIII)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34880372">
        <w:rPr>
          <w:rStyle w:val="Refdenotaalpie"/>
          <w:rFonts w:ascii="Verdana" w:hAnsi="Verdana" w:cs="Arial"/>
          <w:color w:val="000000" w:themeColor="text1"/>
          <w:lang w:val="es-ES"/>
        </w:rPr>
        <w:footnoteReference w:id="7"/>
      </w:r>
      <w:r w:rsidRPr="34880372">
        <w:rPr>
          <w:rFonts w:ascii="Verdana" w:hAnsi="Verdana" w:cs="Arial"/>
          <w:color w:val="000000" w:themeColor="text1"/>
          <w:lang w:val="es-ES"/>
        </w:rPr>
        <w:t>.</w:t>
      </w:r>
    </w:p>
    <w:p w14:paraId="49D09A37" w14:textId="77777777" w:rsidR="001E1142" w:rsidRDefault="001E1142" w:rsidP="001E1142">
      <w:pPr>
        <w:spacing w:before="120" w:after="120" w:line="240" w:lineRule="auto"/>
        <w:ind w:left="709"/>
        <w:jc w:val="both"/>
        <w:rPr>
          <w:rFonts w:ascii="Verdana" w:hAnsi="Verdana" w:cs="Arial"/>
          <w:color w:val="000000" w:themeColor="text1"/>
          <w:lang w:val="es-ES_tradnl"/>
        </w:rPr>
      </w:pPr>
      <w:r>
        <w:rPr>
          <w:rFonts w:ascii="Verdana" w:hAnsi="Verdana" w:cs="Arial"/>
          <w:color w:val="000000" w:themeColor="text1"/>
          <w:lang w:val="es-ES_tradnl"/>
        </w:rPr>
        <w:t>IX</w:t>
      </w:r>
      <w:r w:rsidRPr="008017F9">
        <w:rPr>
          <w:rFonts w:ascii="Verdana" w:hAnsi="Verdana" w:cs="Arial"/>
          <w:color w:val="000000" w:themeColor="text1"/>
          <w:lang w:val="es-ES_tradnl"/>
        </w:rPr>
        <w:t>) En ellos no es obligatoria la liquidación, pues así lo estableció el artículo 217 del Decreto 019 de 2012, que modificó el artículo 60 de la Ley 80 de 1993</w:t>
      </w:r>
      <w:r w:rsidRPr="008017F9">
        <w:rPr>
          <w:rStyle w:val="Refdenotaalpie"/>
          <w:rFonts w:ascii="Verdana" w:hAnsi="Verdana" w:cs="Arial"/>
          <w:color w:val="000000" w:themeColor="text1"/>
          <w:lang w:val="es-ES_tradnl"/>
        </w:rPr>
        <w:footnoteReference w:id="8"/>
      </w:r>
      <w:r w:rsidRPr="008017F9">
        <w:rPr>
          <w:rFonts w:ascii="Verdana" w:hAnsi="Verdana" w:cs="Arial"/>
          <w:color w:val="000000" w:themeColor="text1"/>
          <w:lang w:val="es-ES_tradnl"/>
        </w:rPr>
        <w:t>.</w:t>
      </w:r>
    </w:p>
    <w:p w14:paraId="62B917E7" w14:textId="77777777" w:rsidR="001E1142" w:rsidRPr="008017F9" w:rsidRDefault="001E1142" w:rsidP="001E1142">
      <w:pPr>
        <w:spacing w:before="120" w:after="120" w:line="240" w:lineRule="auto"/>
        <w:ind w:left="709"/>
        <w:jc w:val="both"/>
        <w:rPr>
          <w:rFonts w:ascii="Verdana" w:hAnsi="Verdana" w:cs="Arial"/>
          <w:color w:val="000000" w:themeColor="text1"/>
          <w:lang w:val="es-ES_tradnl"/>
        </w:rPr>
      </w:pPr>
      <w:r>
        <w:rPr>
          <w:rFonts w:ascii="Verdana" w:hAnsi="Verdana" w:cs="Arial"/>
          <w:color w:val="000000" w:themeColor="text1"/>
          <w:lang w:val="es-ES_tradnl"/>
        </w:rPr>
        <w:lastRenderedPageBreak/>
        <w:t>X</w:t>
      </w:r>
      <w:r w:rsidRPr="008017F9">
        <w:rPr>
          <w:rFonts w:ascii="Verdana" w:hAnsi="Verdana" w:cs="Arial"/>
          <w:color w:val="000000" w:themeColor="text1"/>
          <w:lang w:val="es-ES_tradnl"/>
        </w:rPr>
        <w:t>) Para su celebración no se requiere inscripción en el Registro Único de Proponentes (RUP), según lo prevé el artículo 6 de la Ley 1150 de 2007</w:t>
      </w:r>
      <w:r w:rsidRPr="008017F9">
        <w:rPr>
          <w:rStyle w:val="Refdenotaalpie"/>
          <w:rFonts w:ascii="Verdana" w:hAnsi="Verdana" w:cs="Arial"/>
          <w:color w:val="000000" w:themeColor="text1"/>
          <w:lang w:val="es-ES_tradnl"/>
        </w:rPr>
        <w:footnoteReference w:id="9"/>
      </w:r>
      <w:r w:rsidRPr="008017F9">
        <w:rPr>
          <w:rFonts w:ascii="Verdana" w:hAnsi="Verdana" w:cs="Arial"/>
          <w:color w:val="000000" w:themeColor="text1"/>
          <w:lang w:val="es-ES_tradnl"/>
        </w:rPr>
        <w:t>.</w:t>
      </w:r>
    </w:p>
    <w:p w14:paraId="71D6F6A5" w14:textId="77777777" w:rsidR="001E1142" w:rsidRDefault="001E1142" w:rsidP="001E1142">
      <w:pPr>
        <w:pStyle w:val="Prrafodelista"/>
        <w:spacing w:line="240" w:lineRule="auto"/>
        <w:ind w:left="709"/>
        <w:jc w:val="both"/>
        <w:rPr>
          <w:rFonts w:ascii="Verdana" w:hAnsi="Verdana" w:cs="Arial"/>
          <w:color w:val="000000" w:themeColor="text1"/>
          <w:lang w:val="es-ES_tradnl"/>
        </w:rPr>
      </w:pPr>
      <w:r>
        <w:rPr>
          <w:rFonts w:ascii="Verdana" w:hAnsi="Verdana" w:cs="Arial"/>
          <w:color w:val="000000" w:themeColor="text1"/>
          <w:lang w:val="es-ES_tradnl"/>
        </w:rPr>
        <w:t>XI</w:t>
      </w:r>
      <w:r w:rsidRPr="008017F9">
        <w:rPr>
          <w:rFonts w:ascii="Verdana" w:hAnsi="Verdana" w:cs="Arial"/>
          <w:color w:val="000000" w:themeColor="text1"/>
          <w:lang w:val="es-ES_tradnl"/>
        </w:rPr>
        <w:t>) En ellos no son necesarias las garantías</w:t>
      </w:r>
      <w:r w:rsidRPr="008017F9">
        <w:rPr>
          <w:rStyle w:val="Refdenotaalpie"/>
          <w:rFonts w:ascii="Verdana" w:hAnsi="Verdana" w:cs="Arial"/>
          <w:color w:val="000000" w:themeColor="text1"/>
          <w:lang w:val="es-ES_tradnl"/>
        </w:rPr>
        <w:footnoteReference w:id="10"/>
      </w:r>
      <w:r w:rsidRPr="008017F9">
        <w:rPr>
          <w:rFonts w:ascii="Verdana" w:hAnsi="Verdana" w:cs="Arial"/>
          <w:color w:val="000000" w:themeColor="text1"/>
          <w:lang w:val="es-ES_tradnl"/>
        </w:rPr>
        <w:t>.</w:t>
      </w:r>
    </w:p>
    <w:p w14:paraId="1DF44FB5" w14:textId="77777777" w:rsidR="0066197B" w:rsidRDefault="0066197B" w:rsidP="001E1142">
      <w:pPr>
        <w:pStyle w:val="Prrafodelista"/>
        <w:spacing w:line="240" w:lineRule="auto"/>
        <w:ind w:left="709"/>
        <w:jc w:val="both"/>
        <w:rPr>
          <w:rFonts w:ascii="Verdana" w:hAnsi="Verdana" w:cs="Arial"/>
          <w:color w:val="000000" w:themeColor="text1"/>
          <w:lang w:val="es-ES_tradnl"/>
        </w:rPr>
      </w:pPr>
    </w:p>
    <w:p w14:paraId="2F9762E6" w14:textId="519CC76D" w:rsidR="001E1142" w:rsidRPr="00616D4E" w:rsidRDefault="001E1142" w:rsidP="001E1142">
      <w:pPr>
        <w:pStyle w:val="Prrafodelista"/>
        <w:numPr>
          <w:ilvl w:val="0"/>
          <w:numId w:val="30"/>
        </w:numPr>
        <w:spacing w:after="0" w:line="240" w:lineRule="auto"/>
        <w:jc w:val="both"/>
        <w:rPr>
          <w:rFonts w:ascii="Verdana" w:hAnsi="Verdana" w:cs="Arial"/>
          <w:color w:val="000000" w:themeColor="text1"/>
          <w:lang w:val="es-ES_tradnl"/>
        </w:rPr>
      </w:pPr>
      <w:r w:rsidRPr="00616D4E">
        <w:rPr>
          <w:rFonts w:ascii="Verdana" w:eastAsia="Yu Gothic UI Semibold" w:hAnsi="Verdana" w:cs="Arial"/>
          <w:color w:val="000000"/>
          <w:lang w:val="es-ES_tradnl"/>
        </w:rPr>
        <w:t xml:space="preserve">En este punto, </w:t>
      </w:r>
      <w:r w:rsidRPr="00616D4E">
        <w:rPr>
          <w:rStyle w:val="normaltextrun"/>
          <w:rFonts w:ascii="Verdana" w:hAnsi="Verdana" w:cs="Arial"/>
          <w:color w:val="000000"/>
        </w:rPr>
        <w:t>analizados los requisitos y límites de los contratos de prestación de servicios profesionales, se concluye que es posible celebrar dos o más contratos de prestación de servicios profesionales con el mismo objeto por parte de una entidad. Pero, para que ello sea viable deben cumplirse los requisitos mencionados anteriormente, pues se recuerda que la celebración del contrato de prestación de servicios profesionales con una persona natural es </w:t>
      </w:r>
      <w:r w:rsidRPr="00616D4E">
        <w:rPr>
          <w:rStyle w:val="normaltextrun"/>
          <w:rFonts w:ascii="Verdana" w:hAnsi="Verdana" w:cs="Arial"/>
          <w:i/>
          <w:iCs/>
          <w:color w:val="000000"/>
        </w:rPr>
        <w:t>excepcional</w:t>
      </w:r>
      <w:r w:rsidRPr="00616D4E">
        <w:rPr>
          <w:rStyle w:val="normaltextrun"/>
          <w:rFonts w:ascii="Verdana" w:hAnsi="Verdana" w:cs="Arial"/>
          <w:color w:val="000000"/>
        </w:rPr>
        <w:t>, ya que solo es admisible cuando las «actividades no puedan realizarse con personal de planta o requieran conocimientos</w:t>
      </w:r>
      <w:r w:rsidR="000178A7">
        <w:rPr>
          <w:rStyle w:val="normaltextrun"/>
          <w:rFonts w:ascii="Verdana" w:hAnsi="Verdana" w:cs="Arial"/>
          <w:color w:val="000000"/>
        </w:rPr>
        <w:t xml:space="preserve"> </w:t>
      </w:r>
      <w:r w:rsidRPr="00616D4E">
        <w:rPr>
          <w:rStyle w:val="normaltextrun"/>
          <w:rFonts w:ascii="Verdana" w:hAnsi="Verdana" w:cs="Arial"/>
          <w:color w:val="000000"/>
        </w:rPr>
        <w:t>especializados», lo cual debe justificarse satisfactoriamente en los estudios previos. Además, dicho contrato debe ser </w:t>
      </w:r>
      <w:r w:rsidRPr="00616D4E">
        <w:rPr>
          <w:rStyle w:val="normaltextrun"/>
          <w:rFonts w:ascii="Verdana" w:hAnsi="Verdana" w:cs="Arial"/>
          <w:i/>
          <w:iCs/>
          <w:color w:val="000000"/>
        </w:rPr>
        <w:t>temporal</w:t>
      </w:r>
      <w:r w:rsidRPr="00616D4E">
        <w:rPr>
          <w:rStyle w:val="normaltextrun"/>
          <w:rFonts w:ascii="Verdana" w:hAnsi="Verdana" w:cs="Arial"/>
          <w:color w:val="000000"/>
        </w:rPr>
        <w:t> y no puede servir para la creación de nóminas paralelas</w:t>
      </w:r>
      <w:r w:rsidRPr="00616D4E">
        <w:rPr>
          <w:rStyle w:val="superscript"/>
          <w:rFonts w:ascii="Verdana" w:hAnsi="Verdana" w:cs="Arial"/>
          <w:color w:val="000000"/>
          <w:vertAlign w:val="superscript"/>
        </w:rPr>
        <w:t>13</w:t>
      </w:r>
      <w:r w:rsidRPr="00616D4E">
        <w:rPr>
          <w:rStyle w:val="normaltextrun"/>
          <w:rFonts w:ascii="Verdana" w:hAnsi="Verdana" w:cs="Arial"/>
          <w:color w:val="000000"/>
        </w:rPr>
        <w:t>.</w:t>
      </w:r>
    </w:p>
    <w:p w14:paraId="5DB9DA62" w14:textId="77777777" w:rsidR="001E1142" w:rsidRDefault="001E1142" w:rsidP="001E1142">
      <w:pPr>
        <w:pStyle w:val="Prrafodelista"/>
        <w:spacing w:line="276" w:lineRule="auto"/>
        <w:jc w:val="both"/>
        <w:rPr>
          <w:rFonts w:ascii="Verdana" w:hAnsi="Verdana" w:cs="Arial"/>
          <w:color w:val="000000" w:themeColor="text1"/>
          <w:lang w:val="es-ES_tradnl"/>
        </w:rPr>
      </w:pPr>
    </w:p>
    <w:p w14:paraId="3DFBD0B8" w14:textId="776BD075" w:rsidR="001E1142" w:rsidRDefault="001E1142" w:rsidP="001E1142">
      <w:pPr>
        <w:pStyle w:val="Prrafodelista"/>
        <w:numPr>
          <w:ilvl w:val="0"/>
          <w:numId w:val="30"/>
        </w:numPr>
        <w:spacing w:after="120" w:line="276" w:lineRule="auto"/>
        <w:jc w:val="both"/>
        <w:rPr>
          <w:rFonts w:ascii="Verdana" w:eastAsia="Calibri" w:hAnsi="Verdana" w:cs="Arial"/>
        </w:rPr>
      </w:pPr>
      <w:bookmarkStart w:id="8" w:name="_Hlk69116337"/>
      <w:r w:rsidRPr="00B14A36">
        <w:rPr>
          <w:rFonts w:ascii="Verdana" w:eastAsia="Calibri" w:hAnsi="Verdana" w:cs="Arial"/>
        </w:rPr>
        <w:t xml:space="preserve">El último inciso del artículo 2.8.4.4.5 del Decreto 1068 de 2015 establece una prohibición general, de conformidad con la cual no es posible que se celebren contratos de prestación de servicios con objeto similar a otros que se encuentren vigentes. La excepción a esta prohibición general está condicionada a la existencia de una autorización expresa por parte del </w:t>
      </w:r>
      <w:r w:rsidR="00971A5E">
        <w:rPr>
          <w:rFonts w:ascii="Verdana" w:eastAsia="Calibri" w:hAnsi="Verdana" w:cs="Arial"/>
        </w:rPr>
        <w:t>“</w:t>
      </w:r>
      <w:r w:rsidRPr="00B14A36">
        <w:rPr>
          <w:rFonts w:ascii="Verdana" w:eastAsia="Calibri" w:hAnsi="Verdana" w:cs="Arial"/>
        </w:rPr>
        <w:t>jefe del respectivo órgano, ente o entidad contratante</w:t>
      </w:r>
      <w:r w:rsidR="00971A5E">
        <w:rPr>
          <w:rFonts w:ascii="Verdana" w:eastAsia="Calibri" w:hAnsi="Verdana" w:cs="Arial"/>
        </w:rPr>
        <w:t>”</w:t>
      </w:r>
      <w:r w:rsidRPr="00B14A36">
        <w:rPr>
          <w:rFonts w:ascii="Verdana" w:eastAsia="Calibri" w:hAnsi="Verdana" w:cs="Arial"/>
        </w:rPr>
        <w:t>.</w:t>
      </w:r>
      <w:bookmarkEnd w:id="8"/>
    </w:p>
    <w:p w14:paraId="00830B00" w14:textId="77777777" w:rsidR="001E1142" w:rsidRPr="00616D4E" w:rsidRDefault="001E1142" w:rsidP="001E1142">
      <w:pPr>
        <w:pStyle w:val="Prrafodelista"/>
        <w:rPr>
          <w:rFonts w:ascii="Verdana" w:eastAsia="Calibri" w:hAnsi="Verdana" w:cs="Arial"/>
        </w:rPr>
      </w:pPr>
    </w:p>
    <w:p w14:paraId="3E499E8C" w14:textId="77777777" w:rsidR="001E1142" w:rsidRPr="00616D4E" w:rsidRDefault="001E1142" w:rsidP="001E1142">
      <w:pPr>
        <w:pStyle w:val="Prrafodelista"/>
        <w:numPr>
          <w:ilvl w:val="0"/>
          <w:numId w:val="30"/>
        </w:numPr>
        <w:spacing w:after="120" w:line="276" w:lineRule="auto"/>
        <w:jc w:val="both"/>
        <w:rPr>
          <w:rFonts w:ascii="Verdana" w:eastAsia="Calibri" w:hAnsi="Verdana" w:cs="Arial"/>
        </w:rPr>
      </w:pPr>
      <w:r w:rsidRPr="00616D4E">
        <w:rPr>
          <w:rFonts w:ascii="Verdana" w:eastAsia="Calibri" w:hAnsi="Verdana" w:cs="Arial"/>
        </w:rPr>
        <w:t>Ahora bien, cuando la norma se refiere al jefe del respectivo órgano, ente o entidad, alude al representante legal de la misma. Es decir, alude a quien detenta el más alto cargo de dirección en la respectiva entidad, por ejemplo, el gobernador, el alcalde, el director de departamento administrativo, el superintendente y, por supuesto, el ministro, en el caso puntual de los ministerios, de conformidad con los literales a), b) y c) del numeral 3 del artículo 11 de la Ley 80 de 1993</w:t>
      </w:r>
      <w:r w:rsidRPr="00616D4E">
        <w:rPr>
          <w:rFonts w:ascii="Verdana" w:hAnsi="Verdana"/>
        </w:rPr>
        <w:t>.</w:t>
      </w:r>
    </w:p>
    <w:p w14:paraId="29542665" w14:textId="77777777" w:rsidR="001E1142" w:rsidRPr="00616D4E" w:rsidRDefault="001E1142" w:rsidP="001E1142">
      <w:pPr>
        <w:pStyle w:val="Prrafodelista"/>
        <w:rPr>
          <w:rFonts w:ascii="Verdana" w:eastAsia="Calibri" w:hAnsi="Verdana" w:cs="Arial"/>
        </w:rPr>
      </w:pPr>
    </w:p>
    <w:p w14:paraId="0525DA63" w14:textId="12542AE8" w:rsidR="00B52870" w:rsidRDefault="00A71FA6" w:rsidP="00B52870">
      <w:pPr>
        <w:pStyle w:val="Prrafodelista"/>
        <w:numPr>
          <w:ilvl w:val="0"/>
          <w:numId w:val="30"/>
        </w:numPr>
        <w:spacing w:after="120" w:line="276" w:lineRule="auto"/>
        <w:jc w:val="both"/>
        <w:rPr>
          <w:rFonts w:ascii="Verdana" w:eastAsia="Calibri" w:hAnsi="Verdana" w:cs="Arial"/>
        </w:rPr>
      </w:pPr>
      <w:r>
        <w:rPr>
          <w:rFonts w:ascii="Verdana" w:eastAsia="Calibri" w:hAnsi="Verdana" w:cs="Arial"/>
        </w:rPr>
        <w:lastRenderedPageBreak/>
        <w:t>Asi las cosas,</w:t>
      </w:r>
      <w:r w:rsidR="001E1142" w:rsidRPr="00616D4E">
        <w:rPr>
          <w:rFonts w:ascii="Verdana" w:eastAsia="Calibri" w:hAnsi="Verdana" w:cs="Arial"/>
        </w:rPr>
        <w:t xml:space="preserve"> cuando el artículo 2.8.4.4.5 del Decreto 1068 de 2015 establece que no se podrán suscribir contratos de prestación de servicios con el mismo objeto de otros que se encuentren vigentes en la misma entidad, salvo autorización expresa del jefe de la entidad, se refiere al representante legal de la misma.</w:t>
      </w:r>
    </w:p>
    <w:p w14:paraId="1837B9CB" w14:textId="77777777" w:rsidR="00B52870" w:rsidRPr="00B52870" w:rsidRDefault="00B52870" w:rsidP="00B52870">
      <w:pPr>
        <w:pStyle w:val="Prrafodelista"/>
        <w:rPr>
          <w:rFonts w:ascii="Verdana" w:eastAsia="Calibri" w:hAnsi="Verdana" w:cs="Arial"/>
          <w:color w:val="000000"/>
          <w:kern w:val="2"/>
          <w:lang w:val="es-ES_tradnl"/>
          <w14:ligatures w14:val="standardContextual"/>
        </w:rPr>
      </w:pPr>
    </w:p>
    <w:p w14:paraId="45D50B3C" w14:textId="06489A08" w:rsidR="00B52870" w:rsidRPr="00B52870" w:rsidRDefault="00971A5E" w:rsidP="00B52870">
      <w:pPr>
        <w:pStyle w:val="Prrafodelista"/>
        <w:numPr>
          <w:ilvl w:val="0"/>
          <w:numId w:val="30"/>
        </w:numPr>
        <w:spacing w:after="120" w:line="276" w:lineRule="auto"/>
        <w:jc w:val="both"/>
        <w:rPr>
          <w:rFonts w:ascii="Verdana" w:eastAsia="Calibri" w:hAnsi="Verdana" w:cs="Arial"/>
        </w:rPr>
      </w:pPr>
      <w:r w:rsidRPr="00B52870">
        <w:rPr>
          <w:rFonts w:ascii="Verdana" w:eastAsia="Calibri" w:hAnsi="Verdana" w:cs="Arial"/>
          <w:color w:val="000000"/>
          <w:kern w:val="2"/>
          <w:lang w:val="es-ES_tradnl"/>
          <w14:ligatures w14:val="standardContextual"/>
        </w:rPr>
        <w:t xml:space="preserve">Por otra </w:t>
      </w:r>
      <w:r w:rsidR="00960D42" w:rsidRPr="00B52870">
        <w:rPr>
          <w:rFonts w:ascii="Verdana" w:eastAsia="Calibri" w:hAnsi="Verdana" w:cs="Arial"/>
          <w:color w:val="000000"/>
          <w:kern w:val="2"/>
          <w:lang w:val="es-ES_tradnl"/>
          <w14:ligatures w14:val="standardContextual"/>
        </w:rPr>
        <w:t>parte,</w:t>
      </w:r>
      <w:r w:rsidRPr="00B52870">
        <w:rPr>
          <w:rFonts w:ascii="Verdana" w:eastAsia="Calibri" w:hAnsi="Verdana" w:cs="Arial"/>
          <w:color w:val="000000"/>
          <w:kern w:val="2"/>
          <w:lang w:val="es-ES_tradnl"/>
          <w14:ligatures w14:val="standardContextual"/>
        </w:rPr>
        <w:t xml:space="preserve"> y en relación con las entidades de régimen especial </w:t>
      </w:r>
      <w:r w:rsidR="00B52870" w:rsidRPr="00B52870">
        <w:rPr>
          <w:rFonts w:ascii="Verdana" w:eastAsia="Calibri" w:hAnsi="Verdana" w:cs="Arial"/>
          <w:color w:val="000000"/>
          <w:kern w:val="2"/>
          <w:lang w:val="es-ES_tradnl"/>
          <w14:ligatures w14:val="standardContextual"/>
        </w:rPr>
        <w:t>es de precisar que</w:t>
      </w:r>
      <w:r w:rsidRPr="00B52870">
        <w:rPr>
          <w:rFonts w:ascii="Verdana" w:eastAsia="Calibri" w:hAnsi="Verdana" w:cs="Arial"/>
          <w:color w:val="000000"/>
          <w:kern w:val="2"/>
          <w:lang w:val="es-ES_tradnl"/>
          <w14:ligatures w14:val="standardContextual"/>
        </w:rPr>
        <w:t xml:space="preserv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w:t>
      </w:r>
      <w:r w:rsidRPr="00B52870">
        <w:rPr>
          <w:rFonts w:ascii="Verdana" w:eastAsia="Calibri" w:hAnsi="Verdana" w:cs="Arial"/>
          <w:i/>
          <w:iCs/>
          <w:color w:val="000000"/>
          <w:kern w:val="2"/>
          <w:lang w:val="es-ES_tradnl"/>
          <w14:ligatures w14:val="standardContextual"/>
        </w:rPr>
        <w:t>las normas de creación de las entidades de régimen especial y en sus manuales de contratación</w:t>
      </w:r>
      <w:r w:rsidRPr="00B52870">
        <w:rPr>
          <w:rFonts w:ascii="Verdana" w:eastAsia="Calibri" w:hAnsi="Verdana" w:cs="Arial"/>
          <w:color w:val="000000"/>
          <w:kern w:val="2"/>
          <w:lang w:val="es-ES_tradnl"/>
          <w14:ligatures w14:val="standardContextual"/>
        </w:rPr>
        <w:t xml:space="preserve">. </w:t>
      </w:r>
    </w:p>
    <w:p w14:paraId="191CE95F" w14:textId="77777777" w:rsidR="00B52870" w:rsidRPr="00B52870" w:rsidRDefault="00B52870" w:rsidP="00B52870">
      <w:pPr>
        <w:pStyle w:val="Prrafodelista"/>
        <w:rPr>
          <w:rFonts w:ascii="Verdana" w:eastAsia="Aptos" w:hAnsi="Verdana" w:cs="Arial"/>
          <w:bCs/>
          <w:kern w:val="2"/>
          <w14:ligatures w14:val="standardContextual"/>
        </w:rPr>
      </w:pPr>
    </w:p>
    <w:p w14:paraId="10D16FE2" w14:textId="77777777" w:rsidR="00B52870" w:rsidRPr="00B52870" w:rsidRDefault="00971A5E" w:rsidP="00B52870">
      <w:pPr>
        <w:pStyle w:val="Prrafodelista"/>
        <w:numPr>
          <w:ilvl w:val="0"/>
          <w:numId w:val="30"/>
        </w:numPr>
        <w:spacing w:after="120" w:line="276" w:lineRule="auto"/>
        <w:jc w:val="both"/>
        <w:rPr>
          <w:rFonts w:ascii="Verdana" w:eastAsia="Calibri" w:hAnsi="Verdana" w:cs="Arial"/>
        </w:rPr>
      </w:pPr>
      <w:r w:rsidRPr="00B52870">
        <w:rPr>
          <w:rFonts w:ascii="Verdana" w:eastAsia="Aptos" w:hAnsi="Verdana" w:cs="Arial"/>
          <w:bCs/>
          <w:kern w:val="2"/>
          <w14:ligatures w14:val="standardContextual"/>
        </w:rPr>
        <w:t>El régimen de derecho privado que, por regla general, caracteriza a los regímenes especiales no significa que no existan “dosis” de derecho público administrativo que tienen como fin último garantizar que los regímenes especiales de contratación también se ordenan hacia la consecución de los fines del Estado.</w:t>
      </w:r>
    </w:p>
    <w:p w14:paraId="4DBDE553" w14:textId="77777777" w:rsidR="00B52870" w:rsidRPr="00B52870" w:rsidRDefault="00B52870" w:rsidP="00B52870">
      <w:pPr>
        <w:pStyle w:val="Prrafodelista"/>
        <w:rPr>
          <w:rFonts w:ascii="Verdana" w:eastAsia="Aptos" w:hAnsi="Verdana" w:cs="Arial"/>
          <w:bCs/>
          <w:kern w:val="2"/>
          <w14:ligatures w14:val="standardContextual"/>
        </w:rPr>
      </w:pPr>
    </w:p>
    <w:p w14:paraId="2801D209" w14:textId="5FF338A8" w:rsidR="00971A5E" w:rsidRPr="00B52870" w:rsidRDefault="00971A5E" w:rsidP="00B52870">
      <w:pPr>
        <w:pStyle w:val="Prrafodelista"/>
        <w:numPr>
          <w:ilvl w:val="0"/>
          <w:numId w:val="30"/>
        </w:numPr>
        <w:spacing w:after="120" w:line="276" w:lineRule="auto"/>
        <w:jc w:val="both"/>
        <w:rPr>
          <w:rFonts w:ascii="Verdana" w:eastAsia="Calibri" w:hAnsi="Verdana" w:cs="Arial"/>
        </w:rPr>
      </w:pPr>
      <w:r w:rsidRPr="00B52870">
        <w:rPr>
          <w:rFonts w:ascii="Verdana" w:eastAsia="Aptos" w:hAnsi="Verdana" w:cs="Arial"/>
          <w:bCs/>
          <w:kern w:val="2"/>
          <w14:ligatures w14:val="standardContextua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68E37AA2" w14:textId="77777777" w:rsidR="00971A5E" w:rsidRPr="000215A4" w:rsidRDefault="00971A5E" w:rsidP="00971A5E">
      <w:pPr>
        <w:spacing w:after="120" w:line="276" w:lineRule="auto"/>
        <w:ind w:firstLine="680"/>
        <w:jc w:val="both"/>
        <w:rPr>
          <w:rFonts w:ascii="Verdana" w:eastAsia="Aptos" w:hAnsi="Verdana" w:cs="Arial"/>
          <w:bCs/>
          <w:kern w:val="2"/>
          <w:lang w:val="es-ES"/>
          <w14:ligatures w14:val="standardContextual"/>
        </w:rPr>
      </w:pPr>
    </w:p>
    <w:p w14:paraId="79E4911C" w14:textId="77777777" w:rsidR="00971A5E" w:rsidRDefault="00971A5E" w:rsidP="00B52870">
      <w:pPr>
        <w:spacing w:after="120" w:line="240" w:lineRule="auto"/>
        <w:ind w:left="1134" w:right="709"/>
        <w:jc w:val="both"/>
        <w:rPr>
          <w:rFonts w:ascii="Verdana" w:eastAsia="Aptos" w:hAnsi="Verdana" w:cs="Arial"/>
          <w:bCs/>
          <w:kern w:val="2"/>
          <w:sz w:val="20"/>
          <w:szCs w:val="20"/>
          <w:lang w:val="es-ES_tradnl"/>
          <w14:ligatures w14:val="standardContextual"/>
        </w:rPr>
      </w:pPr>
      <w:r w:rsidRPr="000215A4">
        <w:rPr>
          <w:rFonts w:ascii="Verdana" w:eastAsia="Aptos" w:hAnsi="Verdana" w:cs="Arial"/>
          <w:bCs/>
          <w:kern w:val="2"/>
          <w:sz w:val="20"/>
          <w:szCs w:val="20"/>
          <w:lang w:val="es-ES_tradnl"/>
          <w14:ligatures w14:val="standardContextual"/>
        </w:rPr>
        <w:t>“Artículo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0215A4">
          <w:rPr>
            <w:rFonts w:ascii="Verdana" w:eastAsia="Aptos" w:hAnsi="Verdana" w:cs="Arial"/>
            <w:bCs/>
            <w:kern w:val="2"/>
            <w:sz w:val="20"/>
            <w:szCs w:val="20"/>
            <w:lang w:val="es-ES_tradnl"/>
            <w14:ligatures w14:val="standardContextual"/>
          </w:rPr>
          <w:t>209</w:t>
        </w:r>
      </w:hyperlink>
      <w:r w:rsidRPr="000215A4">
        <w:rPr>
          <w:rFonts w:ascii="Verdana" w:eastAsia="Aptos" w:hAnsi="Verdana" w:cs="Arial"/>
          <w:bCs/>
          <w:kern w:val="2"/>
          <w:sz w:val="20"/>
          <w:szCs w:val="20"/>
          <w:lang w:val="es-ES_tradnl"/>
          <w14:ligatures w14:val="standardContextual"/>
        </w:rPr>
        <w:t> y </w:t>
      </w:r>
      <w:hyperlink r:id="rId13" w:anchor="267" w:history="1">
        <w:r w:rsidRPr="000215A4">
          <w:rPr>
            <w:rFonts w:ascii="Verdana" w:eastAsia="Aptos" w:hAnsi="Verdana" w:cs="Arial"/>
            <w:bCs/>
            <w:kern w:val="2"/>
            <w:sz w:val="20"/>
            <w:szCs w:val="20"/>
            <w:lang w:val="es-ES_tradnl"/>
            <w14:ligatures w14:val="standardContextual"/>
          </w:rPr>
          <w:t>267</w:t>
        </w:r>
      </w:hyperlink>
      <w:r w:rsidRPr="000215A4">
        <w:rPr>
          <w:rFonts w:ascii="Verdana" w:eastAsia="Aptos" w:hAnsi="Verdana" w:cs="Arial"/>
          <w:bCs/>
          <w:kern w:val="2"/>
          <w:sz w:val="20"/>
          <w:szCs w:val="20"/>
          <w:lang w:val="es-ES_tradnl"/>
          <w14:ligatures w14:val="standardContextual"/>
        </w:rPr>
        <w:t> de la Constitución Política, respectivamente según sea el caso y estarán sometidas al régimen de inhabilidades e incompatibilidades previsto legalmente para la contratación estatal.”</w:t>
      </w:r>
    </w:p>
    <w:p w14:paraId="509FCD77" w14:textId="77777777" w:rsidR="00971A5E" w:rsidRPr="000215A4" w:rsidRDefault="00971A5E" w:rsidP="00971A5E">
      <w:pPr>
        <w:spacing w:after="120" w:line="240" w:lineRule="auto"/>
        <w:ind w:left="709" w:right="709"/>
        <w:jc w:val="both"/>
        <w:rPr>
          <w:rFonts w:ascii="Verdana" w:eastAsia="Aptos" w:hAnsi="Verdana" w:cs="Arial"/>
          <w:bCs/>
          <w:kern w:val="2"/>
          <w:sz w:val="20"/>
          <w:szCs w:val="20"/>
          <w:lang w:val="es-ES_tradnl"/>
          <w14:ligatures w14:val="standardContextual"/>
        </w:rPr>
      </w:pPr>
    </w:p>
    <w:p w14:paraId="1E4C34C1" w14:textId="77777777" w:rsidR="00B52870" w:rsidRDefault="00971A5E" w:rsidP="00B52870">
      <w:pPr>
        <w:pStyle w:val="Prrafodelista"/>
        <w:numPr>
          <w:ilvl w:val="0"/>
          <w:numId w:val="39"/>
        </w:numPr>
        <w:spacing w:after="120" w:line="276" w:lineRule="auto"/>
        <w:jc w:val="both"/>
        <w:rPr>
          <w:rFonts w:ascii="Verdana" w:eastAsia="Aptos" w:hAnsi="Verdana" w:cs="Arial"/>
          <w:bCs/>
          <w:kern w:val="2"/>
          <w14:ligatures w14:val="standardContextual"/>
        </w:rPr>
      </w:pPr>
      <w:r w:rsidRPr="00B52870">
        <w:rPr>
          <w:rFonts w:ascii="Verdana" w:eastAsia="Aptos" w:hAnsi="Verdana" w:cs="Arial"/>
          <w:bCs/>
          <w:kern w:val="2"/>
          <w14:ligatures w14:val="standardContextual"/>
        </w:rPr>
        <w:lastRenderedPageBreak/>
        <w:t>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cuando la entidad tenga un régimen especial solamente para cierto tipo de contratos, como es el supuesto del artículo 66 de la Ley 1523 de 2012.</w:t>
      </w:r>
    </w:p>
    <w:p w14:paraId="4D00D887" w14:textId="347F9A38" w:rsidR="00B52870" w:rsidRPr="00B52870" w:rsidRDefault="00971A5E" w:rsidP="00B52870">
      <w:pPr>
        <w:pStyle w:val="Prrafodelista"/>
        <w:spacing w:after="120" w:line="276" w:lineRule="auto"/>
        <w:jc w:val="both"/>
        <w:rPr>
          <w:rFonts w:ascii="Verdana" w:eastAsia="Aptos" w:hAnsi="Verdana" w:cs="Arial"/>
          <w:bCs/>
          <w:kern w:val="2"/>
          <w14:ligatures w14:val="standardContextual"/>
        </w:rPr>
      </w:pPr>
      <w:r w:rsidRPr="00B52870">
        <w:rPr>
          <w:rFonts w:ascii="Verdana" w:eastAsia="Aptos" w:hAnsi="Verdana" w:cs="Arial"/>
          <w:kern w:val="2"/>
          <w:lang w:val="es-MX"/>
          <w14:ligatures w14:val="standardContextual"/>
        </w:rPr>
        <w:t xml:space="preserve"> </w:t>
      </w:r>
    </w:p>
    <w:p w14:paraId="63BBFCEF" w14:textId="77777777" w:rsidR="00B52870" w:rsidRPr="00B52870" w:rsidRDefault="00971A5E" w:rsidP="00B52870">
      <w:pPr>
        <w:pStyle w:val="Prrafodelista"/>
        <w:numPr>
          <w:ilvl w:val="0"/>
          <w:numId w:val="39"/>
        </w:numPr>
        <w:spacing w:after="120" w:line="276" w:lineRule="auto"/>
        <w:jc w:val="both"/>
        <w:rPr>
          <w:rFonts w:ascii="Verdana" w:eastAsia="Aptos" w:hAnsi="Verdana" w:cs="Arial"/>
          <w:bCs/>
          <w:kern w:val="2"/>
          <w14:ligatures w14:val="standardContextual"/>
        </w:rPr>
      </w:pPr>
      <w:r w:rsidRPr="00B52870">
        <w:rPr>
          <w:rFonts w:ascii="Verdana" w:eastAsia="Aptos" w:hAnsi="Verdana" w:cs="Arial"/>
          <w:kern w:val="2"/>
          <w14:ligatures w14:val="standardContextual"/>
        </w:rPr>
        <w:t xml:space="preserve">En este sentido, las entidades con régimen especial 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 </w:t>
      </w:r>
    </w:p>
    <w:p w14:paraId="3DE33A56" w14:textId="77777777" w:rsidR="00B52870" w:rsidRPr="00B52870" w:rsidRDefault="00B52870" w:rsidP="00B52870">
      <w:pPr>
        <w:pStyle w:val="Prrafodelista"/>
        <w:rPr>
          <w:rFonts w:ascii="Verdana" w:eastAsia="Aptos" w:hAnsi="Verdana" w:cs="Arial"/>
          <w:kern w:val="2"/>
          <w:lang w:val="es-ES_tradnl"/>
          <w14:ligatures w14:val="standardContextual"/>
        </w:rPr>
      </w:pPr>
    </w:p>
    <w:p w14:paraId="57B0B803" w14:textId="14E30177" w:rsidR="00971A5E" w:rsidRPr="00B52870" w:rsidRDefault="00971A5E" w:rsidP="00B52870">
      <w:pPr>
        <w:pStyle w:val="Prrafodelista"/>
        <w:numPr>
          <w:ilvl w:val="0"/>
          <w:numId w:val="39"/>
        </w:numPr>
        <w:spacing w:after="120" w:line="276" w:lineRule="auto"/>
        <w:jc w:val="both"/>
        <w:rPr>
          <w:rFonts w:ascii="Verdana" w:eastAsia="Aptos" w:hAnsi="Verdana" w:cs="Arial"/>
          <w:bCs/>
          <w:kern w:val="2"/>
          <w14:ligatures w14:val="standardContextual"/>
        </w:rPr>
      </w:pPr>
      <w:r w:rsidRPr="00B52870">
        <w:rPr>
          <w:rFonts w:ascii="Verdana" w:eastAsia="Aptos" w:hAnsi="Verdana" w:cs="Arial"/>
          <w:kern w:val="2"/>
          <w:lang w:val="es-ES_tradnl"/>
          <w14:ligatures w14:val="standardContextual"/>
        </w:rPr>
        <w:t>Lo anterior es reafirmado por el Consejo de Estado en el caso particular de los manuales de contratación, que contiene algunas reglas que deben seguir las entidades con régimen especial en su actividad contractual:</w:t>
      </w:r>
    </w:p>
    <w:p w14:paraId="31903AE2" w14:textId="77777777" w:rsidR="00971A5E" w:rsidRPr="000215A4" w:rsidRDefault="00971A5E" w:rsidP="00B52870">
      <w:pPr>
        <w:spacing w:after="120" w:line="240" w:lineRule="auto"/>
        <w:ind w:left="1134" w:right="709"/>
        <w:jc w:val="both"/>
        <w:rPr>
          <w:rFonts w:ascii="Verdana" w:eastAsia="Aptos" w:hAnsi="Verdana" w:cs="Arial"/>
          <w:bCs/>
          <w:kern w:val="2"/>
          <w:sz w:val="20"/>
          <w:szCs w:val="20"/>
          <w:lang w:val="es-ES_tradnl"/>
          <w14:ligatures w14:val="standardContextual"/>
        </w:rPr>
      </w:pPr>
      <w:r w:rsidRPr="000215A4">
        <w:rPr>
          <w:rFonts w:ascii="Verdana" w:eastAsia="Aptos" w:hAnsi="Verdana" w:cs="Arial"/>
          <w:bCs/>
          <w:kern w:val="2"/>
          <w:sz w:val="20"/>
          <w:szCs w:val="20"/>
          <w:lang w:val="es-ES_tradnl"/>
          <w14:ligatures w14:val="standardContextua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52FCA3F" w14:textId="77777777" w:rsidR="00971A5E" w:rsidRDefault="00971A5E" w:rsidP="00B52870">
      <w:pPr>
        <w:spacing w:after="120" w:line="240" w:lineRule="auto"/>
        <w:ind w:left="1134" w:right="709"/>
        <w:jc w:val="both"/>
        <w:rPr>
          <w:rFonts w:ascii="Verdana" w:eastAsia="Aptos" w:hAnsi="Verdana" w:cs="Arial"/>
          <w:kern w:val="2"/>
          <w:sz w:val="20"/>
          <w:szCs w:val="20"/>
          <w:vertAlign w:val="superscript"/>
          <w:lang w:val="es-ES"/>
          <w14:ligatures w14:val="standardContextual"/>
        </w:rPr>
      </w:pPr>
      <w:r w:rsidRPr="000215A4">
        <w:rPr>
          <w:rFonts w:ascii="Verdana" w:eastAsia="Aptos" w:hAnsi="Verdana" w:cs="Arial"/>
          <w:kern w:val="2"/>
          <w:sz w:val="20"/>
          <w:szCs w:val="20"/>
          <w:lang w:val="es-ES"/>
          <w14:ligatures w14:val="standardContextual"/>
        </w:rPr>
        <w:t xml:space="preserve">La Sala entiende que el régimen preponderante domina y aporta el gran volumen de normas contractuales y que el régimen inspirador influye y ayuda a </w:t>
      </w:r>
      <w:proofErr w:type="gramStart"/>
      <w:r w:rsidRPr="000215A4">
        <w:rPr>
          <w:rFonts w:ascii="Verdana" w:eastAsia="Aptos" w:hAnsi="Verdana" w:cs="Arial"/>
          <w:kern w:val="2"/>
          <w:sz w:val="20"/>
          <w:szCs w:val="20"/>
          <w:lang w:val="es-ES"/>
          <w14:ligatures w14:val="standardContextual"/>
        </w:rPr>
        <w:t>interpretar</w:t>
      </w:r>
      <w:proofErr w:type="gramEnd"/>
      <w:r w:rsidRPr="000215A4">
        <w:rPr>
          <w:rFonts w:ascii="Verdana" w:eastAsia="Aptos" w:hAnsi="Verdana" w:cs="Arial"/>
          <w:kern w:val="2"/>
          <w:sz w:val="20"/>
          <w:szCs w:val="20"/>
          <w:lang w:val="es-ES"/>
          <w14:ligatures w14:val="standardContextual"/>
        </w:rPr>
        <w:t xml:space="preserve"> pero también transforma parte de esas instituciones, porque se suma a ellas, lo que no siempre se logra conservando intacta la institución privada sino introduciéndole modificaciones”</w:t>
      </w:r>
      <w:r w:rsidRPr="000215A4">
        <w:rPr>
          <w:rFonts w:ascii="Verdana" w:eastAsia="Aptos" w:hAnsi="Verdana" w:cs="Arial"/>
          <w:kern w:val="2"/>
          <w:sz w:val="20"/>
          <w:szCs w:val="20"/>
          <w:vertAlign w:val="superscript"/>
          <w:lang w:val="es-ES"/>
          <w14:ligatures w14:val="standardContextual"/>
        </w:rPr>
        <w:footnoteReference w:id="11"/>
      </w:r>
      <w:r w:rsidRPr="000215A4">
        <w:rPr>
          <w:rFonts w:ascii="Verdana" w:eastAsia="Aptos" w:hAnsi="Verdana" w:cs="Arial"/>
          <w:kern w:val="2"/>
          <w:sz w:val="20"/>
          <w:szCs w:val="20"/>
          <w:vertAlign w:val="superscript"/>
          <w:lang w:val="es-ES"/>
          <w14:ligatures w14:val="standardContextual"/>
        </w:rPr>
        <w:t>.</w:t>
      </w:r>
    </w:p>
    <w:p w14:paraId="6BFC706C" w14:textId="77777777" w:rsidR="00960D42" w:rsidRPr="000215A4" w:rsidRDefault="00960D42" w:rsidP="00B52870">
      <w:pPr>
        <w:spacing w:after="120" w:line="240" w:lineRule="auto"/>
        <w:ind w:left="1134" w:right="709"/>
        <w:jc w:val="both"/>
        <w:rPr>
          <w:rFonts w:ascii="Verdana" w:eastAsia="Aptos" w:hAnsi="Verdana" w:cs="Arial"/>
          <w:kern w:val="2"/>
          <w:sz w:val="20"/>
          <w:szCs w:val="20"/>
          <w:lang w:val="es-ES"/>
          <w14:ligatures w14:val="standardContextual"/>
        </w:rPr>
      </w:pPr>
    </w:p>
    <w:p w14:paraId="156E73B5" w14:textId="77777777" w:rsidR="00971A5E" w:rsidRDefault="00971A5E" w:rsidP="00B52870">
      <w:pPr>
        <w:pStyle w:val="Prrafodelista"/>
        <w:numPr>
          <w:ilvl w:val="0"/>
          <w:numId w:val="40"/>
        </w:numPr>
        <w:spacing w:after="120" w:line="276" w:lineRule="auto"/>
        <w:jc w:val="both"/>
        <w:rPr>
          <w:rFonts w:ascii="Verdana" w:eastAsia="Aptos" w:hAnsi="Verdana" w:cs="Arial"/>
          <w:kern w:val="2"/>
          <w:lang w:val="es-ES_tradnl"/>
          <w14:ligatures w14:val="standardContextual"/>
        </w:rPr>
      </w:pPr>
      <w:r w:rsidRPr="00B52870">
        <w:rPr>
          <w:rFonts w:ascii="Verdana" w:eastAsia="Aptos" w:hAnsi="Verdana" w:cs="Arial"/>
          <w:kern w:val="2"/>
          <w:lang w:val="es-ES_tradnl"/>
          <w14:ligatures w14:val="standardContextual"/>
        </w:rPr>
        <w:lastRenderedPageBreak/>
        <w:t>Sobre este punto particular es preciso destacar que las entidades estatales sometidas a regímenes especiales tienen la libertad de configuración del contenido del manual de contratación. Esta libertad se deriva del principio de autonomía de la voluntad reconocida a estas entidades, que les permite establecer la manera en que adelantarán sus procesos de contratación</w:t>
      </w:r>
      <w:r w:rsidRPr="000215A4">
        <w:rPr>
          <w:vertAlign w:val="superscript"/>
        </w:rPr>
        <w:footnoteReference w:id="12"/>
      </w:r>
      <w:r w:rsidRPr="00B52870">
        <w:rPr>
          <w:rFonts w:ascii="Verdana" w:eastAsia="Aptos" w:hAnsi="Verdana" w:cs="Arial"/>
          <w:kern w:val="2"/>
          <w:lang w:val="es-ES_tradnl"/>
          <w14:ligatures w14:val="standardContextual"/>
        </w:rPr>
        <w:t>. Ahora bien, dicha libertad es similar a la reconocida a los particulares por el derecho privado, pero no es idéntica a aquella, en la medida en que encuentra importantes limitantes, algunos de los cuales fueron previamente expuestos.</w:t>
      </w:r>
    </w:p>
    <w:p w14:paraId="5F5611F7" w14:textId="77777777" w:rsidR="00B52870" w:rsidRPr="00B52870" w:rsidRDefault="00B52870" w:rsidP="00B52870">
      <w:pPr>
        <w:pStyle w:val="Prrafodelista"/>
        <w:spacing w:after="120" w:line="276" w:lineRule="auto"/>
        <w:jc w:val="both"/>
        <w:rPr>
          <w:rFonts w:ascii="Verdana" w:eastAsia="Aptos" w:hAnsi="Verdana" w:cs="Arial"/>
          <w:kern w:val="2"/>
          <w:lang w:val="es-ES_tradnl"/>
          <w14:ligatures w14:val="standardContextual"/>
        </w:rPr>
      </w:pPr>
    </w:p>
    <w:p w14:paraId="77608A0C" w14:textId="77777777" w:rsidR="00B52870" w:rsidRDefault="00971A5E" w:rsidP="00B52870">
      <w:pPr>
        <w:pStyle w:val="Prrafodelista"/>
        <w:numPr>
          <w:ilvl w:val="0"/>
          <w:numId w:val="40"/>
        </w:numPr>
        <w:spacing w:after="120" w:line="276" w:lineRule="auto"/>
        <w:jc w:val="both"/>
        <w:rPr>
          <w:rFonts w:ascii="Verdana" w:eastAsia="Aptos" w:hAnsi="Verdana" w:cs="Arial"/>
          <w:kern w:val="2"/>
          <w14:ligatures w14:val="standardContextual"/>
        </w:rPr>
      </w:pPr>
      <w:r w:rsidRPr="00B52870">
        <w:rPr>
          <w:rFonts w:ascii="Verdana" w:eastAsia="Aptos" w:hAnsi="Verdana" w:cs="Arial"/>
          <w:kern w:val="2"/>
          <w14:ligatures w14:val="standardContextual"/>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0215A4">
        <w:rPr>
          <w:vertAlign w:val="superscript"/>
        </w:rPr>
        <w:footnoteReference w:id="13"/>
      </w:r>
      <w:r w:rsidRPr="00B52870">
        <w:rPr>
          <w:rFonts w:ascii="Verdana" w:eastAsia="Aptos" w:hAnsi="Verdana" w:cs="Arial"/>
          <w:kern w:val="2"/>
          <w14:ligatures w14:val="standardContextual"/>
        </w:rPr>
        <w:t xml:space="preserve">. </w:t>
      </w:r>
    </w:p>
    <w:p w14:paraId="4D9CDDA1" w14:textId="77777777" w:rsidR="00B52870" w:rsidRPr="00B52870" w:rsidRDefault="00B52870" w:rsidP="00B52870">
      <w:pPr>
        <w:pStyle w:val="Prrafodelista"/>
        <w:rPr>
          <w:rFonts w:ascii="Verdana" w:eastAsia="Aptos" w:hAnsi="Verdana" w:cs="Arial"/>
          <w:kern w:val="2"/>
          <w14:ligatures w14:val="standardContextual"/>
        </w:rPr>
      </w:pPr>
    </w:p>
    <w:p w14:paraId="355ABEBD" w14:textId="456076F7" w:rsidR="0066197B" w:rsidRDefault="00971A5E" w:rsidP="0066197B">
      <w:pPr>
        <w:pStyle w:val="Prrafodelista"/>
        <w:numPr>
          <w:ilvl w:val="0"/>
          <w:numId w:val="40"/>
        </w:numPr>
        <w:spacing w:after="120" w:line="276" w:lineRule="auto"/>
        <w:jc w:val="both"/>
        <w:rPr>
          <w:rFonts w:ascii="Verdana" w:eastAsia="Aptos" w:hAnsi="Verdana" w:cs="Arial"/>
          <w:kern w:val="2"/>
          <w14:ligatures w14:val="standardContextual"/>
        </w:rPr>
      </w:pPr>
      <w:r w:rsidRPr="00B52870">
        <w:rPr>
          <w:rFonts w:ascii="Verdana" w:eastAsia="Aptos" w:hAnsi="Verdana" w:cs="Arial"/>
          <w:kern w:val="2"/>
          <w14:ligatures w14:val="standardContextual"/>
        </w:rPr>
        <w:t xml:space="preserve">De esta forma,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B52870">
        <w:rPr>
          <w:rFonts w:ascii="Verdana" w:eastAsia="Aptos" w:hAnsi="Verdana" w:cs="Arial"/>
          <w:i/>
          <w:kern w:val="2"/>
          <w14:ligatures w14:val="standardContextual"/>
        </w:rPr>
        <w:t>inderogabilidad singular del reglamento</w:t>
      </w:r>
      <w:r w:rsidRPr="000215A4">
        <w:rPr>
          <w:i/>
          <w:vertAlign w:val="superscript"/>
        </w:rPr>
        <w:footnoteReference w:id="14"/>
      </w:r>
      <w:r w:rsidRPr="00B52870">
        <w:rPr>
          <w:rFonts w:ascii="Verdana" w:eastAsia="Aptos" w:hAnsi="Verdana" w:cs="Arial"/>
          <w:kern w:val="2"/>
          <w14:ligatures w14:val="standardContextual"/>
        </w:rPr>
        <w:t xml:space="preserve">. En tal </w:t>
      </w:r>
      <w:r w:rsidRPr="00B52870">
        <w:rPr>
          <w:rFonts w:ascii="Verdana" w:eastAsia="Aptos" w:hAnsi="Verdana" w:cs="Arial"/>
          <w:kern w:val="2"/>
          <w14:ligatures w14:val="standardContextual"/>
        </w:rPr>
        <w:lastRenderedPageBreak/>
        <w:t>sentido, su contenido vincula a la propia entidad que lo expidió y no puede desconocerlo a su capricho en casos específicos; sin perjuicio de la posibilidad de expedir un nuevo manual o de modificar el existente.</w:t>
      </w:r>
    </w:p>
    <w:p w14:paraId="1AE618DD" w14:textId="77777777" w:rsidR="0066197B" w:rsidRPr="0066197B" w:rsidRDefault="0066197B" w:rsidP="0066197B">
      <w:pPr>
        <w:spacing w:after="120" w:line="276" w:lineRule="auto"/>
        <w:jc w:val="both"/>
        <w:rPr>
          <w:rFonts w:ascii="Verdana" w:eastAsia="Aptos" w:hAnsi="Verdana" w:cs="Arial"/>
          <w:kern w:val="2"/>
          <w14:ligatures w14:val="standardContextual"/>
        </w:rPr>
      </w:pPr>
    </w:p>
    <w:p w14:paraId="73252D5E" w14:textId="77777777" w:rsidR="00B52870" w:rsidRDefault="00971A5E" w:rsidP="11532AB5">
      <w:pPr>
        <w:pStyle w:val="Prrafodelista"/>
        <w:numPr>
          <w:ilvl w:val="0"/>
          <w:numId w:val="40"/>
        </w:numPr>
        <w:spacing w:after="120" w:line="276" w:lineRule="auto"/>
        <w:jc w:val="both"/>
        <w:rPr>
          <w:rFonts w:ascii="Verdana" w:eastAsia="Aptos" w:hAnsi="Verdana" w:cs="Arial"/>
          <w:kern w:val="2"/>
          <w14:ligatures w14:val="standardContextual"/>
        </w:rPr>
      </w:pPr>
      <w:r w:rsidRPr="11532AB5">
        <w:rPr>
          <w:rFonts w:ascii="Verdana" w:eastAsia="Aptos" w:hAnsi="Verdana" w:cs="Arial"/>
          <w:kern w:val="2"/>
          <w14:ligatures w14:val="standardContextua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744A6B87" w14:textId="77777777" w:rsidR="00B52870" w:rsidRPr="00B52870" w:rsidRDefault="00B52870" w:rsidP="00B52870">
      <w:pPr>
        <w:pStyle w:val="Prrafodelista"/>
        <w:rPr>
          <w:rFonts w:ascii="Verdana" w:eastAsia="Aptos" w:hAnsi="Verdana" w:cs="Arial"/>
          <w:kern w:val="2"/>
          <w14:ligatures w14:val="standardContextual"/>
        </w:rPr>
      </w:pPr>
    </w:p>
    <w:p w14:paraId="110C79F8" w14:textId="77777777" w:rsidR="00B52870" w:rsidRPr="00B52870" w:rsidRDefault="00971A5E" w:rsidP="00B52870">
      <w:pPr>
        <w:pStyle w:val="Prrafodelista"/>
        <w:numPr>
          <w:ilvl w:val="0"/>
          <w:numId w:val="40"/>
        </w:numPr>
        <w:spacing w:after="120" w:line="276" w:lineRule="auto"/>
        <w:jc w:val="both"/>
        <w:rPr>
          <w:rFonts w:ascii="Verdana" w:eastAsia="Aptos" w:hAnsi="Verdana" w:cs="Arial"/>
          <w:kern w:val="2"/>
          <w:lang w:val="es-ES_tradnl"/>
          <w14:ligatures w14:val="standardContextual"/>
        </w:rPr>
      </w:pPr>
      <w:r w:rsidRPr="00B52870">
        <w:rPr>
          <w:rFonts w:ascii="Verdana" w:eastAsia="Aptos" w:hAnsi="Verdana" w:cs="Arial"/>
          <w:kern w:val="2"/>
          <w14:ligatures w14:val="standardContextual"/>
        </w:rPr>
        <w:t xml:space="preserve">De otro lado, existen ciertos contenidos determinados por el ordenamiento que no pueden ser modificados por los manuales internos, por tratarse de asuntos con reserva de ley. En este sentido, </w:t>
      </w:r>
      <w:r w:rsidRPr="00960D42">
        <w:rPr>
          <w:rFonts w:ascii="Verdana" w:eastAsia="Aptos" w:hAnsi="Verdana" w:cs="Arial"/>
          <w:kern w:val="2"/>
          <w14:ligatures w14:val="standardContextual"/>
        </w:rPr>
        <w:t>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w:t>
      </w:r>
      <w:r w:rsidRPr="00B52870">
        <w:rPr>
          <w:rFonts w:ascii="Verdana" w:eastAsia="Aptos" w:hAnsi="Verdana" w:cs="Arial"/>
          <w:kern w:val="2"/>
          <w14:ligatures w14:val="standardContextual"/>
        </w:rPr>
        <w:t xml:space="preserve"> En efecto, estos contenidos no pueden ser regulados o modificados por los manuales de contratación, ya que se trata de aspectos con reserva de ley o con congelación en el rango de nivel legal, por lo que un acto administrativo no podría alterarlos</w:t>
      </w:r>
      <w:r w:rsidRPr="000215A4">
        <w:rPr>
          <w:vertAlign w:val="superscript"/>
        </w:rPr>
        <w:footnoteReference w:id="15"/>
      </w:r>
      <w:r w:rsidRPr="00B52870">
        <w:rPr>
          <w:rFonts w:ascii="Verdana" w:eastAsia="Aptos" w:hAnsi="Verdana" w:cs="Arial"/>
          <w:kern w:val="2"/>
          <w14:ligatures w14:val="standardContextual"/>
        </w:rPr>
        <w:t>.</w:t>
      </w:r>
    </w:p>
    <w:p w14:paraId="26AFCAA1" w14:textId="77777777" w:rsidR="00B52870" w:rsidRPr="00B52870" w:rsidRDefault="00B52870" w:rsidP="00B52870">
      <w:pPr>
        <w:pStyle w:val="Prrafodelista"/>
        <w:rPr>
          <w:rFonts w:ascii="Verdana" w:eastAsia="Aptos" w:hAnsi="Verdana" w:cs="Arial"/>
          <w:kern w:val="2"/>
          <w:lang w:val="es-ES_tradnl"/>
          <w14:ligatures w14:val="standardContextual"/>
        </w:rPr>
      </w:pPr>
    </w:p>
    <w:p w14:paraId="6419918C" w14:textId="7D53C07D" w:rsidR="00971A5E" w:rsidRPr="00B52870" w:rsidRDefault="00971A5E" w:rsidP="00B52870">
      <w:pPr>
        <w:pStyle w:val="Prrafodelista"/>
        <w:numPr>
          <w:ilvl w:val="0"/>
          <w:numId w:val="40"/>
        </w:numPr>
        <w:spacing w:after="120" w:line="276" w:lineRule="auto"/>
        <w:jc w:val="both"/>
        <w:rPr>
          <w:rFonts w:ascii="Verdana" w:eastAsia="Aptos" w:hAnsi="Verdana" w:cs="Arial"/>
          <w:kern w:val="2"/>
          <w:lang w:val="es-ES_tradnl"/>
          <w14:ligatures w14:val="standardContextual"/>
        </w:rPr>
      </w:pPr>
      <w:r w:rsidRPr="00B52870">
        <w:rPr>
          <w:rFonts w:ascii="Verdana" w:eastAsia="Aptos" w:hAnsi="Verdana" w:cs="Arial"/>
          <w:kern w:val="2"/>
          <w:lang w:val="es-ES_tradnl"/>
          <w14:ligatures w14:val="standardContextual"/>
        </w:rPr>
        <w:t xml:space="preserve">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w:t>
      </w:r>
      <w:r w:rsidRPr="00B52870">
        <w:rPr>
          <w:rFonts w:ascii="Verdana" w:eastAsia="Aptos" w:hAnsi="Verdana" w:cs="Arial"/>
          <w:kern w:val="2"/>
          <w:lang w:val="es-ES_tradnl"/>
          <w14:ligatures w14:val="standardContextual"/>
        </w:rPr>
        <w:lastRenderedPageBreak/>
        <w:t>su actividad contractual, que no desconocen los requisitos o parámetros establecidos en la Constitución o la ley.</w:t>
      </w:r>
    </w:p>
    <w:p w14:paraId="09552D20" w14:textId="77777777" w:rsidR="00971A5E" w:rsidRDefault="00971A5E" w:rsidP="00971A5E">
      <w:pPr>
        <w:pStyle w:val="Prrafodelista"/>
        <w:spacing w:after="120" w:line="276" w:lineRule="auto"/>
        <w:jc w:val="both"/>
        <w:rPr>
          <w:rFonts w:ascii="Verdana" w:eastAsia="Calibri" w:hAnsi="Verdana" w:cs="Arial"/>
        </w:rPr>
      </w:pPr>
    </w:p>
    <w:p w14:paraId="5D0FD0EE" w14:textId="46DECE51" w:rsidR="00971A5E" w:rsidRDefault="00960D42" w:rsidP="00960D42">
      <w:pPr>
        <w:pStyle w:val="Prrafodelista"/>
        <w:numPr>
          <w:ilvl w:val="0"/>
          <w:numId w:val="40"/>
        </w:numPr>
        <w:spacing w:after="120" w:line="276" w:lineRule="auto"/>
        <w:jc w:val="both"/>
        <w:rPr>
          <w:rFonts w:ascii="Verdana" w:eastAsia="Calibri" w:hAnsi="Verdana" w:cs="Arial"/>
        </w:rPr>
      </w:pPr>
      <w:r w:rsidRPr="00971A5E">
        <w:rPr>
          <w:rFonts w:ascii="Verdana" w:eastAsia="Calibri" w:hAnsi="Verdana" w:cs="Arial"/>
        </w:rPr>
        <w:t>Asi las cosas, en</w:t>
      </w:r>
      <w:r>
        <w:rPr>
          <w:rFonts w:ascii="Verdana" w:eastAsia="Calibri" w:hAnsi="Verdana" w:cs="Arial"/>
        </w:rPr>
        <w:t xml:space="preserve"> relación con su consulta, la entidad sujeta a régimen especial, en desarrollo d</w:t>
      </w:r>
      <w:r w:rsidRPr="001322CA">
        <w:rPr>
          <w:rFonts w:ascii="Verdana" w:eastAsia="Calibri" w:hAnsi="Verdana" w:cs="Arial"/>
        </w:rPr>
        <w:t>el principio de responsabilidad que rige la contratación estatal</w:t>
      </w:r>
      <w:r>
        <w:rPr>
          <w:rFonts w:ascii="Verdana" w:eastAsia="Calibri" w:hAnsi="Verdana" w:cs="Arial"/>
        </w:rPr>
        <w:t xml:space="preserve">, deberá consultar su </w:t>
      </w:r>
      <w:r w:rsidRPr="001322CA">
        <w:rPr>
          <w:rFonts w:ascii="Verdana" w:eastAsia="Calibri" w:hAnsi="Verdana" w:cs="Arial"/>
        </w:rPr>
        <w:t>manual de contratación</w:t>
      </w:r>
      <w:r>
        <w:rPr>
          <w:rFonts w:ascii="Verdana" w:eastAsia="Calibri" w:hAnsi="Verdana" w:cs="Arial"/>
        </w:rPr>
        <w:t xml:space="preserve"> para de esta manera </w:t>
      </w:r>
      <w:r w:rsidRPr="00131873">
        <w:rPr>
          <w:rFonts w:ascii="Verdana" w:eastAsia="Calibri" w:hAnsi="Verdana" w:cs="Arial"/>
        </w:rPr>
        <w:t xml:space="preserve">establecer </w:t>
      </w:r>
      <w:r>
        <w:rPr>
          <w:rFonts w:ascii="Verdana" w:eastAsia="Calibri" w:hAnsi="Verdana" w:cs="Arial"/>
        </w:rPr>
        <w:t xml:space="preserve">si existe alguna limitación frente a la posibilidad que </w:t>
      </w:r>
      <w:r w:rsidRPr="00AA20D5">
        <w:rPr>
          <w:rFonts w:ascii="Verdana" w:hAnsi="Verdana" w:cs="Arial"/>
          <w:bCs/>
          <w:color w:val="000000" w:themeColor="text1"/>
        </w:rPr>
        <w:t>una persona pued</w:t>
      </w:r>
      <w:r>
        <w:rPr>
          <w:rFonts w:ascii="Verdana" w:hAnsi="Verdana" w:cs="Arial"/>
          <w:bCs/>
          <w:color w:val="000000" w:themeColor="text1"/>
        </w:rPr>
        <w:t>a</w:t>
      </w:r>
      <w:r w:rsidRPr="00AA20D5">
        <w:rPr>
          <w:rFonts w:ascii="Verdana" w:hAnsi="Verdana" w:cs="Arial"/>
          <w:bCs/>
          <w:color w:val="000000" w:themeColor="text1"/>
        </w:rPr>
        <w:t xml:space="preserve"> celebrar y ejecutar</w:t>
      </w:r>
      <w:r>
        <w:rPr>
          <w:rFonts w:ascii="Verdana" w:hAnsi="Verdana" w:cs="Arial"/>
          <w:bCs/>
          <w:color w:val="000000" w:themeColor="text1"/>
        </w:rPr>
        <w:t xml:space="preserve"> </w:t>
      </w:r>
      <w:r w:rsidRPr="00131873">
        <w:rPr>
          <w:rFonts w:ascii="Verdana" w:eastAsia="Century Gothic" w:hAnsi="Verdana" w:cs="Century Gothic"/>
        </w:rPr>
        <w:t>simultáneamente varios contratos de prestación de servicios con la entidad</w:t>
      </w:r>
      <w:r>
        <w:rPr>
          <w:rFonts w:ascii="Verdana" w:eastAsia="Century Gothic" w:hAnsi="Verdana" w:cs="Century Gothic"/>
        </w:rPr>
        <w:t>.</w:t>
      </w:r>
    </w:p>
    <w:p w14:paraId="27355FBD" w14:textId="2F677D48" w:rsidR="007E4284" w:rsidRPr="00593A5F" w:rsidRDefault="007E4284" w:rsidP="001F1804">
      <w:pPr>
        <w:spacing w:after="120" w:line="276" w:lineRule="auto"/>
        <w:ind w:firstLine="142"/>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5A6AF20" w14:textId="77777777" w:rsidR="007E4284" w:rsidRPr="00593A5F" w:rsidRDefault="007E4284" w:rsidP="007E428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E4284" w:rsidRPr="00593A5F" w14:paraId="5A2D1EE2" w14:textId="77777777">
        <w:trPr>
          <w:trHeight w:val="870"/>
        </w:trPr>
        <w:tc>
          <w:tcPr>
            <w:tcW w:w="8647" w:type="dxa"/>
          </w:tcPr>
          <w:p w14:paraId="6995479D" w14:textId="77777777" w:rsidR="0088719E" w:rsidRPr="00EE5688" w:rsidRDefault="0088719E" w:rsidP="009F0C3C">
            <w:pPr>
              <w:pStyle w:val="Prrafodelista"/>
              <w:widowControl w:val="0"/>
              <w:numPr>
                <w:ilvl w:val="0"/>
                <w:numId w:val="18"/>
              </w:numPr>
              <w:autoSpaceDE w:val="0"/>
              <w:autoSpaceDN w:val="0"/>
              <w:spacing w:line="360" w:lineRule="auto"/>
              <w:ind w:left="714" w:hanging="357"/>
              <w:jc w:val="both"/>
              <w:rPr>
                <w:rFonts w:ascii="Verdana" w:hAnsi="Verdana" w:cs="Arial"/>
                <w:color w:val="000000" w:themeColor="text1"/>
                <w:lang w:val="es-CO"/>
              </w:rPr>
            </w:pPr>
            <w:r w:rsidRPr="00477779">
              <w:rPr>
                <w:rFonts w:ascii="Verdana" w:eastAsia="Aptos" w:hAnsi="Verdana" w:cs="Arial"/>
                <w:bCs/>
                <w:kern w:val="2"/>
                <w:lang w:val="es-ES_tradnl"/>
                <w14:ligatures w14:val="standardContextual"/>
              </w:rPr>
              <w:t>Constitución Política, artículos </w:t>
            </w:r>
            <w:hyperlink r:id="rId14" w:anchor="209" w:history="1">
              <w:r w:rsidRPr="00477779">
                <w:rPr>
                  <w:rFonts w:ascii="Verdana" w:eastAsia="Aptos" w:hAnsi="Verdana" w:cs="Arial"/>
                  <w:bCs/>
                  <w:kern w:val="2"/>
                  <w:lang w:val="es-ES_tradnl"/>
                  <w14:ligatures w14:val="standardContextual"/>
                </w:rPr>
                <w:t>209</w:t>
              </w:r>
            </w:hyperlink>
            <w:r w:rsidRPr="00477779">
              <w:rPr>
                <w:rFonts w:ascii="Verdana" w:eastAsia="Aptos" w:hAnsi="Verdana" w:cs="Arial"/>
                <w:bCs/>
                <w:kern w:val="2"/>
                <w:lang w:val="es-ES_tradnl"/>
                <w14:ligatures w14:val="standardContextual"/>
              </w:rPr>
              <w:t xml:space="preserve">, </w:t>
            </w:r>
            <w:hyperlink r:id="rId15" w:anchor="267" w:history="1">
              <w:r w:rsidRPr="00477779">
                <w:rPr>
                  <w:rFonts w:ascii="Verdana" w:eastAsia="Aptos" w:hAnsi="Verdana" w:cs="Arial"/>
                  <w:bCs/>
                  <w:kern w:val="2"/>
                  <w:lang w:val="es-ES_tradnl"/>
                  <w14:ligatures w14:val="standardContextual"/>
                </w:rPr>
                <w:t>267</w:t>
              </w:r>
            </w:hyperlink>
            <w:r w:rsidRPr="00477779">
              <w:rPr>
                <w:rFonts w:ascii="Verdana" w:eastAsia="Aptos" w:hAnsi="Verdana" w:cs="Arial"/>
                <w:bCs/>
                <w:kern w:val="2"/>
                <w:lang w:val="es-ES_tradnl"/>
                <w14:ligatures w14:val="standardContextual"/>
              </w:rPr>
              <w:t>.</w:t>
            </w:r>
          </w:p>
          <w:p w14:paraId="1EE93E29" w14:textId="77777777" w:rsidR="0088719E" w:rsidRPr="00EE5688" w:rsidRDefault="0088719E" w:rsidP="009F0C3C">
            <w:pPr>
              <w:pStyle w:val="Prrafodelista"/>
              <w:numPr>
                <w:ilvl w:val="0"/>
                <w:numId w:val="18"/>
              </w:numPr>
              <w:spacing w:line="360" w:lineRule="auto"/>
              <w:ind w:left="714" w:hanging="357"/>
              <w:rPr>
                <w:rFonts w:ascii="Verdana" w:hAnsi="Verdana" w:cs="Arial"/>
                <w:color w:val="000000" w:themeColor="text1"/>
              </w:rPr>
            </w:pPr>
            <w:r w:rsidRPr="00EE5688">
              <w:rPr>
                <w:rFonts w:ascii="Verdana" w:hAnsi="Verdana" w:cs="Arial"/>
                <w:color w:val="000000" w:themeColor="text1"/>
              </w:rPr>
              <w:t>Ley 78 de 1931.</w:t>
            </w:r>
          </w:p>
          <w:p w14:paraId="397F0859" w14:textId="77777777" w:rsidR="009063E3" w:rsidRDefault="009063E3" w:rsidP="009F0C3C">
            <w:pPr>
              <w:widowControl w:val="0"/>
              <w:numPr>
                <w:ilvl w:val="0"/>
                <w:numId w:val="18"/>
              </w:numPr>
              <w:autoSpaceDE w:val="0"/>
              <w:autoSpaceDN w:val="0"/>
              <w:spacing w:line="360" w:lineRule="auto"/>
              <w:ind w:left="714" w:hanging="357"/>
              <w:contextualSpacing/>
              <w:jc w:val="both"/>
              <w:rPr>
                <w:rFonts w:ascii="Verdana" w:eastAsia="Calibri" w:hAnsi="Verdana" w:cs="Arial"/>
                <w:lang w:val="es-ES_tradnl"/>
              </w:rPr>
            </w:pPr>
            <w:r w:rsidRPr="00CA0AC1">
              <w:rPr>
                <w:rFonts w:ascii="Verdana" w:eastAsia="Calibri" w:hAnsi="Verdana" w:cs="Arial"/>
                <w:lang w:val="es-ES_tradnl"/>
              </w:rPr>
              <w:t>Ley 80 de 1993, artículo 32.</w:t>
            </w:r>
          </w:p>
          <w:p w14:paraId="29B5640D" w14:textId="77777777" w:rsidR="0088719E" w:rsidRPr="00EE5688" w:rsidRDefault="0088719E" w:rsidP="009F0C3C">
            <w:pPr>
              <w:pStyle w:val="Prrafodelista"/>
              <w:widowControl w:val="0"/>
              <w:numPr>
                <w:ilvl w:val="0"/>
                <w:numId w:val="18"/>
              </w:numPr>
              <w:autoSpaceDE w:val="0"/>
              <w:autoSpaceDN w:val="0"/>
              <w:spacing w:line="360" w:lineRule="auto"/>
              <w:ind w:left="714" w:hanging="357"/>
              <w:jc w:val="both"/>
              <w:rPr>
                <w:rFonts w:ascii="Verdana" w:hAnsi="Verdana" w:cs="Arial"/>
                <w:color w:val="000000" w:themeColor="text1"/>
              </w:rPr>
            </w:pPr>
            <w:r w:rsidRPr="000215A4">
              <w:rPr>
                <w:rFonts w:ascii="Verdana" w:eastAsia="Aptos" w:hAnsi="Verdana" w:cs="Arial"/>
                <w:bCs/>
                <w:kern w:val="2"/>
                <w14:ligatures w14:val="standardContextual"/>
              </w:rPr>
              <w:t>Ley 1150 de 2007</w:t>
            </w:r>
            <w:r>
              <w:rPr>
                <w:rFonts w:ascii="Verdana" w:eastAsia="Aptos" w:hAnsi="Verdana" w:cs="Arial"/>
                <w:bCs/>
                <w:kern w:val="2"/>
                <w14:ligatures w14:val="standardContextual"/>
              </w:rPr>
              <w:t>,</w:t>
            </w:r>
            <w:r w:rsidRPr="000215A4">
              <w:rPr>
                <w:rFonts w:ascii="Verdana" w:eastAsia="Aptos" w:hAnsi="Verdana" w:cs="Arial"/>
                <w:bCs/>
                <w:kern w:val="2"/>
                <w14:ligatures w14:val="standardContextual"/>
              </w:rPr>
              <w:t xml:space="preserve"> artículo 13</w:t>
            </w:r>
            <w:r>
              <w:rPr>
                <w:rFonts w:ascii="Verdana" w:eastAsia="Aptos" w:hAnsi="Verdana" w:cs="Arial"/>
                <w:bCs/>
                <w:kern w:val="2"/>
                <w14:ligatures w14:val="standardContextual"/>
              </w:rPr>
              <w:t>.</w:t>
            </w:r>
          </w:p>
          <w:p w14:paraId="663B3ACE" w14:textId="77777777" w:rsidR="0088719E" w:rsidRPr="00742684" w:rsidRDefault="0088719E" w:rsidP="009F0C3C">
            <w:pPr>
              <w:pStyle w:val="Prrafodelista"/>
              <w:widowControl w:val="0"/>
              <w:numPr>
                <w:ilvl w:val="0"/>
                <w:numId w:val="18"/>
              </w:numPr>
              <w:autoSpaceDE w:val="0"/>
              <w:autoSpaceDN w:val="0"/>
              <w:spacing w:line="360" w:lineRule="auto"/>
              <w:ind w:left="714" w:hanging="357"/>
              <w:jc w:val="both"/>
              <w:rPr>
                <w:rFonts w:ascii="Verdana" w:hAnsi="Verdana" w:cs="Arial"/>
                <w:color w:val="000000" w:themeColor="text1"/>
              </w:rPr>
            </w:pPr>
            <w:r w:rsidRPr="000215A4">
              <w:rPr>
                <w:rFonts w:ascii="Verdana" w:eastAsia="Calibri" w:hAnsi="Verdana" w:cs="Arial"/>
                <w:lang w:val="es-MX"/>
              </w:rPr>
              <w:t>Ley 1474 de 2011</w:t>
            </w:r>
            <w:r>
              <w:rPr>
                <w:rFonts w:ascii="Verdana" w:eastAsia="Calibri" w:hAnsi="Verdana" w:cs="Arial"/>
                <w:lang w:val="es-MX"/>
              </w:rPr>
              <w:t>, artículo 83.</w:t>
            </w:r>
          </w:p>
          <w:p w14:paraId="701DBBB2" w14:textId="77777777" w:rsidR="0088719E" w:rsidRDefault="0088719E" w:rsidP="009F0C3C">
            <w:pPr>
              <w:pStyle w:val="Prrafodelista"/>
              <w:widowControl w:val="0"/>
              <w:numPr>
                <w:ilvl w:val="0"/>
                <w:numId w:val="18"/>
              </w:numPr>
              <w:autoSpaceDE w:val="0"/>
              <w:autoSpaceDN w:val="0"/>
              <w:spacing w:line="360" w:lineRule="auto"/>
              <w:ind w:left="714" w:hanging="357"/>
              <w:jc w:val="both"/>
              <w:rPr>
                <w:rFonts w:ascii="Verdana" w:hAnsi="Verdana" w:cs="Arial"/>
                <w:color w:val="000000" w:themeColor="text1"/>
              </w:rPr>
            </w:pPr>
            <w:r>
              <w:rPr>
                <w:rFonts w:ascii="Verdana" w:hAnsi="Verdana" w:cs="Arial"/>
                <w:color w:val="000000" w:themeColor="text1"/>
              </w:rPr>
              <w:t>Decreto 1068 de 2015.</w:t>
            </w:r>
          </w:p>
          <w:p w14:paraId="3FB67CFF" w14:textId="77777777" w:rsidR="0088719E" w:rsidRDefault="0088719E" w:rsidP="009F0C3C">
            <w:pPr>
              <w:pStyle w:val="Prrafodelista"/>
              <w:widowControl w:val="0"/>
              <w:numPr>
                <w:ilvl w:val="0"/>
                <w:numId w:val="18"/>
              </w:numPr>
              <w:autoSpaceDE w:val="0"/>
              <w:autoSpaceDN w:val="0"/>
              <w:spacing w:line="360" w:lineRule="auto"/>
              <w:ind w:left="714" w:hanging="357"/>
              <w:jc w:val="both"/>
              <w:rPr>
                <w:rFonts w:ascii="Verdana" w:hAnsi="Verdana" w:cs="Arial"/>
                <w:color w:val="000000" w:themeColor="text1"/>
              </w:rPr>
            </w:pPr>
            <w:r>
              <w:rPr>
                <w:rFonts w:ascii="Verdana" w:hAnsi="Verdana" w:cs="Arial"/>
                <w:color w:val="000000" w:themeColor="text1"/>
              </w:rPr>
              <w:t>Decreto 1082 de 2015.</w:t>
            </w:r>
          </w:p>
          <w:p w14:paraId="7112E112" w14:textId="77777777" w:rsidR="0088719E" w:rsidRPr="006E36AD" w:rsidRDefault="0088719E" w:rsidP="009F0C3C">
            <w:pPr>
              <w:pStyle w:val="Prrafodelista"/>
              <w:widowControl w:val="0"/>
              <w:numPr>
                <w:ilvl w:val="0"/>
                <w:numId w:val="18"/>
              </w:numPr>
              <w:autoSpaceDE w:val="0"/>
              <w:autoSpaceDN w:val="0"/>
              <w:spacing w:after="120" w:line="276" w:lineRule="auto"/>
              <w:ind w:left="714" w:hanging="357"/>
              <w:jc w:val="both"/>
              <w:rPr>
                <w:rFonts w:ascii="Verdana" w:hAnsi="Verdana" w:cs="Arial"/>
                <w:color w:val="000000" w:themeColor="text1"/>
              </w:rPr>
            </w:pPr>
            <w:r w:rsidRPr="00F50708">
              <w:rPr>
                <w:rFonts w:ascii="Verdana" w:eastAsia="Calibri" w:hAnsi="Verdana" w:cs="Arial"/>
                <w:bCs/>
                <w:color w:val="000000"/>
                <w:lang w:val="es-ES_tradnl"/>
              </w:rPr>
              <w:t xml:space="preserve">Consejo De Estado. Sección Tercera. Subsección A. Sentencia del 24 de octubre de 2016. </w:t>
            </w:r>
            <w:proofErr w:type="spellStart"/>
            <w:r w:rsidRPr="00F50708">
              <w:rPr>
                <w:rFonts w:ascii="Verdana" w:eastAsia="Calibri" w:hAnsi="Verdana" w:cs="Arial"/>
                <w:bCs/>
                <w:color w:val="000000"/>
                <w:lang w:val="es-ES_tradnl"/>
              </w:rPr>
              <w:t>Exp</w:t>
            </w:r>
            <w:proofErr w:type="spellEnd"/>
            <w:r w:rsidRPr="00F50708">
              <w:rPr>
                <w:rFonts w:ascii="Verdana" w:eastAsia="Calibri" w:hAnsi="Verdana" w:cs="Arial"/>
                <w:bCs/>
                <w:color w:val="000000"/>
                <w:lang w:val="es-ES_tradnl"/>
              </w:rPr>
              <w:t>. 45.607.</w:t>
            </w:r>
            <w:r>
              <w:rPr>
                <w:rFonts w:ascii="Verdana" w:eastAsia="Calibri" w:hAnsi="Verdana" w:cs="Arial"/>
                <w:bCs/>
                <w:color w:val="000000"/>
                <w:lang w:val="es-ES_tradnl"/>
              </w:rPr>
              <w:t xml:space="preserve"> </w:t>
            </w:r>
            <w:r w:rsidRPr="0071522B">
              <w:rPr>
                <w:rFonts w:ascii="Verdana" w:hAnsi="Verdana" w:cs="Arial"/>
              </w:rPr>
              <w:t>Consejera Ponente:</w:t>
            </w:r>
            <w:r w:rsidRPr="003925AF">
              <w:rPr>
                <w:rFonts w:ascii="Verdana" w:eastAsia="Calibri" w:hAnsi="Verdana" w:cs="Arial"/>
                <w:bCs/>
                <w:color w:val="000000"/>
                <w:lang w:val="es-ES_tradnl"/>
              </w:rPr>
              <w:t xml:space="preserve"> Marta Nubia Velásquez</w:t>
            </w:r>
            <w:r w:rsidRPr="003630B0">
              <w:rPr>
                <w:rFonts w:ascii="Century Gothic" w:eastAsia="Calibri" w:hAnsi="Century Gothic" w:cs="Arial"/>
                <w:bCs/>
                <w:color w:val="000000"/>
                <w:sz w:val="12"/>
                <w:szCs w:val="12"/>
                <w:lang w:val="es-ES_tradnl"/>
              </w:rPr>
              <w:t xml:space="preserve"> </w:t>
            </w:r>
            <w:r w:rsidRPr="003925AF">
              <w:rPr>
                <w:rFonts w:ascii="Verdana" w:eastAsia="Calibri" w:hAnsi="Verdana" w:cs="Arial"/>
                <w:bCs/>
                <w:color w:val="000000"/>
                <w:lang w:val="es-ES_tradnl"/>
              </w:rPr>
              <w:t>Rico</w:t>
            </w:r>
            <w:r>
              <w:rPr>
                <w:rFonts w:ascii="Verdana" w:eastAsia="Calibri" w:hAnsi="Verdana" w:cs="Arial"/>
                <w:bCs/>
                <w:color w:val="000000"/>
                <w:lang w:val="es-ES_tradnl"/>
              </w:rPr>
              <w:t>.</w:t>
            </w:r>
          </w:p>
          <w:p w14:paraId="24AA9DE7" w14:textId="77777777" w:rsidR="006E36AD" w:rsidRDefault="006E36AD" w:rsidP="009F0C3C">
            <w:pPr>
              <w:pStyle w:val="Prrafodelista"/>
              <w:widowControl w:val="0"/>
              <w:numPr>
                <w:ilvl w:val="0"/>
                <w:numId w:val="18"/>
              </w:numPr>
              <w:autoSpaceDE w:val="0"/>
              <w:autoSpaceDN w:val="0"/>
              <w:spacing w:after="120" w:line="276" w:lineRule="auto"/>
              <w:ind w:left="714" w:hanging="357"/>
              <w:jc w:val="both"/>
              <w:rPr>
                <w:rFonts w:ascii="Verdana" w:hAnsi="Verdana" w:cs="Arial"/>
                <w:color w:val="000000" w:themeColor="text1"/>
              </w:rPr>
            </w:pPr>
            <w:r w:rsidRPr="006E36AD">
              <w:rPr>
                <w:rFonts w:ascii="Verdana" w:hAnsi="Verdana" w:cs="Arial"/>
                <w:color w:val="000000" w:themeColor="text1"/>
              </w:rPr>
              <w:t>Corte Constitucional - Sentencia C-154 de 1997.</w:t>
            </w:r>
          </w:p>
          <w:p w14:paraId="2D88ED39" w14:textId="0700F62E" w:rsidR="006E36AD" w:rsidRPr="006E36AD" w:rsidRDefault="006E36AD" w:rsidP="009F0C3C">
            <w:pPr>
              <w:pStyle w:val="Prrafodelista"/>
              <w:widowControl w:val="0"/>
              <w:numPr>
                <w:ilvl w:val="0"/>
                <w:numId w:val="18"/>
              </w:numPr>
              <w:autoSpaceDE w:val="0"/>
              <w:autoSpaceDN w:val="0"/>
              <w:spacing w:after="120" w:line="276" w:lineRule="auto"/>
              <w:ind w:left="714" w:hanging="357"/>
              <w:jc w:val="both"/>
              <w:rPr>
                <w:rFonts w:ascii="Verdana" w:hAnsi="Verdana" w:cs="Arial"/>
                <w:color w:val="000000" w:themeColor="text1"/>
              </w:rPr>
            </w:pPr>
            <w:r w:rsidRPr="006E36AD">
              <w:rPr>
                <w:rFonts w:ascii="Verdana" w:hAnsi="Verdana" w:cs="Arial"/>
                <w:color w:val="000000" w:themeColor="text1"/>
              </w:rPr>
              <w:t>Consejo de Estado. Sección Tercera. Subsección C. Sentencia del 2 de diciembre de 2013.</w:t>
            </w:r>
          </w:p>
          <w:p w14:paraId="08DB2528" w14:textId="6043E6CD" w:rsidR="009063E3" w:rsidRPr="000D446F" w:rsidRDefault="006E36AD" w:rsidP="009F0C3C">
            <w:pPr>
              <w:pStyle w:val="Prrafodelista"/>
              <w:widowControl w:val="0"/>
              <w:numPr>
                <w:ilvl w:val="0"/>
                <w:numId w:val="18"/>
              </w:numPr>
              <w:autoSpaceDE w:val="0"/>
              <w:autoSpaceDN w:val="0"/>
              <w:spacing w:line="360" w:lineRule="auto"/>
              <w:ind w:left="714" w:hanging="357"/>
              <w:contextualSpacing w:val="0"/>
              <w:jc w:val="both"/>
              <w:rPr>
                <w:rFonts w:ascii="Verdana" w:hAnsi="Verdana" w:cs="Arial"/>
              </w:rPr>
            </w:pPr>
            <w:r w:rsidRPr="009F0C3C">
              <w:rPr>
                <w:rFonts w:ascii="Verdana" w:hAnsi="Verdana" w:cs="Arial"/>
                <w:color w:val="000000" w:themeColor="text1"/>
              </w:rPr>
              <w:t>Sala de Consulta y Servicio Civil del Consejo de Estado - Concepto No 1.344.</w:t>
            </w:r>
          </w:p>
        </w:tc>
      </w:tr>
    </w:tbl>
    <w:p w14:paraId="1006BC84" w14:textId="77777777" w:rsidR="007E4284" w:rsidRPr="00593A5F" w:rsidRDefault="007E4284" w:rsidP="007E4284">
      <w:pPr>
        <w:widowControl w:val="0"/>
        <w:autoSpaceDE w:val="0"/>
        <w:autoSpaceDN w:val="0"/>
        <w:spacing w:after="0" w:line="276" w:lineRule="auto"/>
        <w:jc w:val="both"/>
        <w:rPr>
          <w:rFonts w:ascii="Verdana" w:hAnsi="Verdana" w:cs="Arial"/>
        </w:rPr>
      </w:pPr>
    </w:p>
    <w:p w14:paraId="6D7AC375"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9A93F7D" w14:textId="77777777" w:rsidR="007E4284" w:rsidRDefault="007E4284" w:rsidP="007E428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7B272CC4" w14:textId="73F3E12D" w:rsidR="009F0C3C" w:rsidRDefault="009F0C3C" w:rsidP="00503C19">
      <w:pPr>
        <w:widowControl w:val="0"/>
        <w:autoSpaceDE w:val="0"/>
        <w:autoSpaceDN w:val="0"/>
        <w:spacing w:after="0" w:line="276" w:lineRule="auto"/>
        <w:jc w:val="both"/>
        <w:rPr>
          <w:rStyle w:val="normaltextrun"/>
          <w:rFonts w:ascii="Verdana" w:hAnsi="Verdana" w:cs="Arial"/>
          <w:shd w:val="clear" w:color="auto" w:fill="FFFFFF"/>
          <w:lang w:val="es-ES"/>
        </w:rPr>
      </w:pPr>
      <w:r w:rsidRPr="009F0C3C">
        <w:rPr>
          <w:rStyle w:val="normaltextrun"/>
          <w:rFonts w:ascii="Verdana" w:hAnsi="Verdana" w:cs="Arial"/>
          <w:shd w:val="clear" w:color="auto" w:fill="FFFFFF"/>
          <w:lang w:val="es-ES"/>
        </w:rPr>
        <w:t xml:space="preserve">Sobre la simultaneidad del contrato de prestación de servicios esta Subdirección en los conceptos C-024 de 2022, C-103 de 2023, C-286 de 2023 </w:t>
      </w:r>
      <w:r>
        <w:rPr>
          <w:rStyle w:val="normaltextrun"/>
          <w:rFonts w:ascii="Verdana" w:hAnsi="Verdana" w:cs="Arial"/>
          <w:shd w:val="clear" w:color="auto" w:fill="FFFFFF"/>
          <w:lang w:val="es-ES"/>
        </w:rPr>
        <w:t xml:space="preserve">y C-327 de 2024 y C-351 de 2024 </w:t>
      </w:r>
      <w:r w:rsidRPr="009F0C3C">
        <w:rPr>
          <w:rStyle w:val="normaltextrun"/>
          <w:rFonts w:ascii="Verdana" w:hAnsi="Verdana" w:cs="Arial"/>
          <w:shd w:val="clear" w:color="auto" w:fill="FFFFFF"/>
          <w:lang w:val="es-ES"/>
        </w:rPr>
        <w:t>se estudió el contrato de prestación de servicios, requisitos, límites para su celebración y la posibilidad de suscribir contratos de prestación de servicios simultáneos con entidades estatales</w:t>
      </w:r>
      <w:r>
        <w:rPr>
          <w:rStyle w:val="normaltextrun"/>
          <w:rFonts w:ascii="Verdana" w:hAnsi="Verdana" w:cs="Arial"/>
          <w:shd w:val="clear" w:color="auto" w:fill="FFFFFF"/>
          <w:lang w:val="es-ES"/>
        </w:rPr>
        <w:t>.</w:t>
      </w:r>
    </w:p>
    <w:p w14:paraId="33A4E44B" w14:textId="77777777" w:rsidR="009F0C3C" w:rsidRDefault="009F0C3C" w:rsidP="00503C19">
      <w:pPr>
        <w:widowControl w:val="0"/>
        <w:autoSpaceDE w:val="0"/>
        <w:autoSpaceDN w:val="0"/>
        <w:spacing w:after="0" w:line="276" w:lineRule="auto"/>
        <w:jc w:val="both"/>
        <w:rPr>
          <w:rStyle w:val="normaltextrun"/>
          <w:rFonts w:ascii="Verdana" w:hAnsi="Verdana" w:cs="Arial"/>
          <w:shd w:val="clear" w:color="auto" w:fill="FFFFFF"/>
          <w:lang w:val="es-ES"/>
        </w:rPr>
      </w:pPr>
    </w:p>
    <w:p w14:paraId="611B55F9" w14:textId="7FEA1094" w:rsidR="009063E3" w:rsidRDefault="009063E3" w:rsidP="00503C19">
      <w:pPr>
        <w:widowControl w:val="0"/>
        <w:autoSpaceDE w:val="0"/>
        <w:autoSpaceDN w:val="0"/>
        <w:spacing w:after="0" w:line="276" w:lineRule="auto"/>
        <w:jc w:val="both"/>
        <w:rPr>
          <w:rFonts w:ascii="Verdana" w:eastAsia="Calibri" w:hAnsi="Verdana" w:cs="Arial"/>
          <w:lang w:eastAsia="es-ES"/>
        </w:rPr>
      </w:pPr>
      <w:r w:rsidRPr="00CA0AC1">
        <w:rPr>
          <w:rFonts w:ascii="Verdana" w:eastAsia="Calibri" w:hAnsi="Verdana" w:cs="Arial"/>
          <w:shd w:val="clear" w:color="auto" w:fill="FFFFFF"/>
          <w:lang w:val="es-ES_tradnl"/>
        </w:rPr>
        <w:lastRenderedPageBreak/>
        <w:t xml:space="preserve">También, esta Agencia </w:t>
      </w:r>
      <w:r w:rsidR="00A71FA6" w:rsidRPr="00C658C3">
        <w:rPr>
          <w:rFonts w:ascii="Verdana" w:hAnsi="Verdana" w:cs="Arial"/>
          <w:color w:val="000000" w:themeColor="text1"/>
          <w:shd w:val="clear" w:color="auto" w:fill="FFFFFF"/>
        </w:rPr>
        <w:t>ha estudiado regímenes especiales en la contratación estatal</w:t>
      </w:r>
      <w:r w:rsidR="00A71FA6" w:rsidRPr="00C658C3" w:rsidDel="007849D3">
        <w:rPr>
          <w:rFonts w:ascii="Verdana" w:hAnsi="Verdana" w:cs="Arial"/>
          <w:color w:val="000000" w:themeColor="text1"/>
          <w:shd w:val="clear" w:color="auto" w:fill="FFFFFF"/>
        </w:rPr>
        <w:t xml:space="preserve"> </w:t>
      </w:r>
      <w:r w:rsidR="00A71FA6" w:rsidRPr="00C658C3">
        <w:rPr>
          <w:rFonts w:ascii="Verdana" w:hAnsi="Verdana" w:cs="Arial"/>
          <w:color w:val="000000" w:themeColor="text1"/>
          <w:shd w:val="clear" w:color="auto" w:fill="FFFFFF"/>
        </w:rPr>
        <w:t xml:space="preserve">en los conceptos con radicados 2201913000007228 de 30 de septiembre de 2019, 2201913000007955 24 de octubre de 2019, 2201913000009314 17 de diciembre de 2020, 2201913000009591 24 de diciembre de 2019, 2201913000009469 20 de diciembre de 2019, CU-003 del 15 de enero de 2020, C-079 de 5 de febrero de 2020, C-027 del 13 de febrero de 2020, C-179 del 16 de marzo de 2020, C-168 de 31 de marzo de 2020, C-362 del 03 de julio de 2020, C-658 de 2020, C-741 del 29 de noviembre del 2022, C-343 del 26 de octubre del 2023 y C-038 del 23 de abril de 2024. </w:t>
      </w:r>
      <w:r w:rsidR="00A71FA6">
        <w:rPr>
          <w:rFonts w:ascii="Verdana" w:hAnsi="Verdana" w:cs="Arial"/>
          <w:color w:val="000000" w:themeColor="text1"/>
          <w:shd w:val="clear" w:color="auto" w:fill="FFFFFF"/>
          <w:lang w:val="es-ES"/>
        </w:rPr>
        <w:t xml:space="preserve">También </w:t>
      </w:r>
      <w:r w:rsidR="00A71FA6" w:rsidRPr="00BB2E1F">
        <w:rPr>
          <w:rFonts w:ascii="Verdana" w:hAnsi="Verdana" w:cs="Arial"/>
          <w:color w:val="000000" w:themeColor="text1"/>
          <w:shd w:val="clear" w:color="auto" w:fill="FFFFFF"/>
          <w:lang w:val="es-ES"/>
        </w:rPr>
        <w:t xml:space="preserve">se ha pronunciado sobre la obligación de controlar y vigilar la ejecución de los contratos estatales, en los conceptos con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w:t>
      </w:r>
      <w:r w:rsidR="00A71FA6">
        <w:rPr>
          <w:rFonts w:ascii="Verdana" w:hAnsi="Verdana" w:cs="Arial"/>
          <w:color w:val="000000" w:themeColor="text1"/>
          <w:shd w:val="clear" w:color="auto" w:fill="FFFFFF"/>
          <w:lang w:val="es-ES"/>
        </w:rPr>
        <w:t>C</w:t>
      </w:r>
      <w:r w:rsidR="00A71FA6" w:rsidRPr="00BB2E1F">
        <w:rPr>
          <w:rFonts w:ascii="Verdana" w:hAnsi="Verdana" w:cs="Arial"/>
          <w:color w:val="000000" w:themeColor="text1"/>
          <w:shd w:val="clear" w:color="auto" w:fill="FFFFFF"/>
          <w:lang w:val="es-ES"/>
        </w:rPr>
        <w:t>-679 de 24 de octubre de 2022, C-818 del 28 de noviembre de 2022, C-830 de 28 de noviembre de 2022, C-800 de 29 de noviembre de 2022, C-930 de 30 de diciembre de 2022, C-932 de 30 de diciembre de 2022, C-975 de 8 de marzo de 2032, C-191 de 27 de abril de 2023</w:t>
      </w:r>
      <w:r w:rsidR="00A71FA6">
        <w:rPr>
          <w:rFonts w:ascii="Verdana" w:hAnsi="Verdana" w:cs="Arial"/>
          <w:color w:val="000000" w:themeColor="text1"/>
          <w:shd w:val="clear" w:color="auto" w:fill="FFFFFF"/>
          <w:lang w:val="es-ES"/>
        </w:rPr>
        <w:t>, C-089 de 2024 de 17 de julio de 2024, C-255 de 14 de agosto de 2024, C-419 del 12 de septiembre de 2024</w:t>
      </w:r>
      <w:r w:rsidR="00A71FA6" w:rsidRPr="00BB2E1F">
        <w:rPr>
          <w:rFonts w:ascii="Verdana" w:hAnsi="Verdana" w:cs="Arial"/>
          <w:color w:val="000000" w:themeColor="text1"/>
          <w:shd w:val="clear" w:color="auto" w:fill="FFFFFF"/>
          <w:vertAlign w:val="superscript"/>
          <w:lang w:val="es-ES"/>
        </w:rPr>
        <w:footnoteReference w:id="16"/>
      </w:r>
      <w:r w:rsidR="00A71FA6" w:rsidRPr="00BB2E1F">
        <w:rPr>
          <w:rFonts w:ascii="Verdana" w:hAnsi="Verdana" w:cs="Arial"/>
          <w:color w:val="000000" w:themeColor="text1"/>
          <w:shd w:val="clear" w:color="auto" w:fill="FFFFFF"/>
          <w:lang w:val="es-ES"/>
        </w:rPr>
        <w:t>.</w:t>
      </w:r>
    </w:p>
    <w:p w14:paraId="4B13D71C" w14:textId="77777777" w:rsidR="009063E3" w:rsidRDefault="009063E3" w:rsidP="00503C19">
      <w:pPr>
        <w:widowControl w:val="0"/>
        <w:autoSpaceDE w:val="0"/>
        <w:autoSpaceDN w:val="0"/>
        <w:spacing w:after="0" w:line="276" w:lineRule="auto"/>
        <w:jc w:val="both"/>
        <w:rPr>
          <w:rFonts w:ascii="Verdana" w:eastAsia="Calibri" w:hAnsi="Verdana" w:cs="Arial"/>
          <w:lang w:eastAsia="es-ES"/>
        </w:rPr>
      </w:pPr>
    </w:p>
    <w:p w14:paraId="6B8834D6" w14:textId="50138FF6" w:rsidR="007E4284" w:rsidRDefault="007E4284" w:rsidP="007E4284">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7" w:tgtFrame="_blank" w:tooltip="Dirección URL original: https://www.colombiacompra.gov.co/sites/cce_public/files/files_2020/boletin_de_realtoria_iii.pdf. Haga clic o pulse si confía en este vínculo." w:history="1">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14:paraId="635FD400" w14:textId="77777777" w:rsidR="007E4284" w:rsidRDefault="007E4284" w:rsidP="007E428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BBAB127" w14:textId="5739C5F0" w:rsidR="007E4284" w:rsidRDefault="007E4284" w:rsidP="00C36081">
      <w:pPr>
        <w:widowControl w:val="0"/>
        <w:autoSpaceDE w:val="0"/>
        <w:autoSpaceDN w:val="0"/>
        <w:spacing w:after="0" w:line="276" w:lineRule="auto"/>
        <w:jc w:val="both"/>
      </w:pPr>
      <w:r w:rsidRPr="00985B04">
        <w:rPr>
          <w:rStyle w:val="normaltextrun"/>
          <w:rFonts w:ascii="Verdana" w:hAnsi="Verdana" w:cs="Arial"/>
          <w:color w:val="000000" w:themeColor="text1"/>
          <w:shd w:val="clear" w:color="auto" w:fill="FFFFFF"/>
          <w:lang w:val="es-ES"/>
        </w:rPr>
        <w:t>También le invitamos a consultar la</w:t>
      </w:r>
      <w:r w:rsidR="00C36081">
        <w:rPr>
          <w:rStyle w:val="normaltextrun"/>
          <w:rFonts w:ascii="Verdana" w:hAnsi="Verdana" w:cs="Arial"/>
          <w:color w:val="000000" w:themeColor="text1"/>
          <w:shd w:val="clear" w:color="auto" w:fill="FFFFFF"/>
          <w:lang w:val="es-ES"/>
        </w:rPr>
        <w:t xml:space="preserve"> </w:t>
      </w:r>
      <w:r w:rsidR="00C36081" w:rsidRPr="00985B04">
        <w:rPr>
          <w:rStyle w:val="normaltextrun"/>
          <w:rFonts w:ascii="Verdana" w:hAnsi="Verdana" w:cs="Arial"/>
          <w:color w:val="000000" w:themeColor="text1"/>
          <w:shd w:val="clear" w:color="auto" w:fill="FFFFFF"/>
          <w:lang w:val="es-ES"/>
        </w:rPr>
        <w:t>versión</w:t>
      </w:r>
      <w:r w:rsidRPr="00985B04">
        <w:rPr>
          <w:rStyle w:val="normaltextrun"/>
          <w:rFonts w:ascii="Verdana" w:hAnsi="Verdana" w:cs="Arial"/>
          <w:color w:val="000000" w:themeColor="text1"/>
          <w:shd w:val="clear" w:color="auto" w:fill="FFFFFF"/>
          <w:lang w:val="es-ES"/>
        </w:rPr>
        <w:t xml:space="preserve"> </w:t>
      </w:r>
      <w:r w:rsidR="00C36081">
        <w:rPr>
          <w:rStyle w:val="normaltextrun"/>
          <w:rFonts w:ascii="Verdana" w:hAnsi="Verdana" w:cs="Arial"/>
          <w:color w:val="000000" w:themeColor="text1"/>
          <w:shd w:val="clear" w:color="auto" w:fill="FFFFFF"/>
          <w:lang w:val="es-ES"/>
        </w:rPr>
        <w:t>IV</w:t>
      </w:r>
      <w:r w:rsidRPr="00985B04">
        <w:rPr>
          <w:rStyle w:val="normaltextrun"/>
          <w:rFonts w:ascii="Verdana" w:hAnsi="Verdana" w:cs="Arial"/>
          <w:color w:val="000000" w:themeColor="text1"/>
          <w:shd w:val="clear" w:color="auto" w:fill="FFFFFF"/>
          <w:lang w:val="es-ES"/>
        </w:rPr>
        <w:t xml:space="preserve"> de 2024 del Boletín de Relatoría de la Subdirección de Gestión Contractual, las cuales puede descargar en la </w:t>
      </w:r>
      <w:r w:rsidRPr="00985B04">
        <w:rPr>
          <w:rStyle w:val="normaltextrun"/>
          <w:rFonts w:ascii="Verdana" w:hAnsi="Verdana" w:cs="Arial"/>
          <w:color w:val="000000" w:themeColor="text1"/>
          <w:shd w:val="clear" w:color="auto" w:fill="FFFFFF"/>
          <w:lang w:val="es-ES"/>
        </w:rPr>
        <w:lastRenderedPageBreak/>
        <w:t>página web de la Agencia:</w:t>
      </w:r>
      <w:r>
        <w:rPr>
          <w:rStyle w:val="normaltextrun"/>
          <w:rFonts w:ascii="Verdana" w:hAnsi="Verdana" w:cs="Arial"/>
          <w:color w:val="FF0000"/>
          <w:shd w:val="clear" w:color="auto" w:fill="FFFFFF"/>
          <w:lang w:val="es-ES"/>
        </w:rPr>
        <w:t xml:space="preserve"> </w:t>
      </w:r>
      <w:hyperlink r:id="rId18" w:history="1">
        <w:r w:rsidR="00503C19" w:rsidRPr="008E0FA3">
          <w:rPr>
            <w:rStyle w:val="Hipervnculo"/>
            <w:rFonts w:ascii="Verdana" w:hAnsi="Verdana"/>
          </w:rPr>
          <w:t>https://www.colombiacompra.gov.co/sala-de-prensa/boletin-digital/boletin-de-relatoria-2024-vi-modalidad-de-seleccion-de-seleccion-de</w:t>
        </w:r>
      </w:hyperlink>
      <w:r w:rsidR="00503C19">
        <w:rPr>
          <w:rFonts w:ascii="Verdana" w:hAnsi="Verdana"/>
        </w:rPr>
        <w:t xml:space="preserve"> </w:t>
      </w:r>
      <w:r w:rsidR="00C36081">
        <w:t xml:space="preserve"> </w:t>
      </w:r>
      <w:r w:rsidR="00503C19">
        <w:t xml:space="preserve"> </w:t>
      </w:r>
    </w:p>
    <w:p w14:paraId="76A349AD" w14:textId="77777777" w:rsidR="00C36081" w:rsidRDefault="00C36081" w:rsidP="00C36081">
      <w:pPr>
        <w:widowControl w:val="0"/>
        <w:autoSpaceDE w:val="0"/>
        <w:autoSpaceDN w:val="0"/>
        <w:spacing w:after="0" w:line="276" w:lineRule="auto"/>
        <w:jc w:val="both"/>
        <w:rPr>
          <w:rFonts w:ascii="Verdana" w:hAnsi="Verdana"/>
        </w:rPr>
      </w:pPr>
    </w:p>
    <w:p w14:paraId="542B0167"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10E1BD43" w14:textId="77777777" w:rsidR="007E4284" w:rsidRPr="003E2460" w:rsidRDefault="007E4284" w:rsidP="007E4284">
      <w:pPr>
        <w:spacing w:after="0" w:line="240" w:lineRule="auto"/>
        <w:jc w:val="both"/>
        <w:rPr>
          <w:rFonts w:ascii="Verdana" w:hAnsi="Verdana"/>
        </w:rPr>
      </w:pPr>
    </w:p>
    <w:p w14:paraId="3F267BF2"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26DCD21"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09633924"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E93DEDD" w14:textId="77777777" w:rsidR="007E4284" w:rsidRPr="00593A5F" w:rsidRDefault="007E4284" w:rsidP="007E4284">
      <w:pPr>
        <w:widowControl w:val="0"/>
        <w:autoSpaceDE w:val="0"/>
        <w:autoSpaceDN w:val="0"/>
        <w:spacing w:after="0" w:line="276" w:lineRule="auto"/>
        <w:jc w:val="both"/>
        <w:rPr>
          <w:rFonts w:ascii="Verdana" w:hAnsi="Verdana" w:cs="Arial"/>
        </w:rPr>
      </w:pPr>
    </w:p>
    <w:p w14:paraId="49D99462" w14:textId="77777777" w:rsidR="007E4284" w:rsidRPr="00593A5F" w:rsidRDefault="007E4284" w:rsidP="007E428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B1E541C" w14:textId="77777777" w:rsidR="007E4284" w:rsidRPr="00593A5F" w:rsidRDefault="007E4284" w:rsidP="007E4284">
      <w:pPr>
        <w:widowControl w:val="0"/>
        <w:autoSpaceDE w:val="0"/>
        <w:autoSpaceDN w:val="0"/>
        <w:spacing w:after="0" w:line="276" w:lineRule="auto"/>
        <w:jc w:val="both"/>
        <w:rPr>
          <w:rFonts w:ascii="Verdana" w:hAnsi="Verdana" w:cs="Arial"/>
        </w:rPr>
      </w:pPr>
    </w:p>
    <w:p w14:paraId="158D8E37" w14:textId="2B66A31E" w:rsidR="007E4284" w:rsidRPr="00593A5F" w:rsidRDefault="007E4284" w:rsidP="007E428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29597DD" w14:textId="7658720A" w:rsidR="007E4284" w:rsidRDefault="007E4284" w:rsidP="007E4284">
      <w:pPr>
        <w:spacing w:line="276" w:lineRule="auto"/>
        <w:jc w:val="center"/>
        <w:rPr>
          <w:rFonts w:ascii="Verdana" w:hAnsi="Verdana"/>
          <w:noProof/>
        </w:rPr>
      </w:pPr>
    </w:p>
    <w:p w14:paraId="68F593D9" w14:textId="69992C8E" w:rsidR="00B1120D" w:rsidRDefault="00D67212" w:rsidP="00D67212">
      <w:pPr>
        <w:spacing w:line="276" w:lineRule="auto"/>
        <w:jc w:val="center"/>
        <w:rPr>
          <w:rFonts w:ascii="Verdana" w:hAnsi="Verdana"/>
          <w:noProof/>
          <w:color w:val="000000"/>
        </w:rPr>
      </w:pPr>
      <w:r>
        <w:rPr>
          <w:noProof/>
        </w:rPr>
        <w:drawing>
          <wp:inline distT="0" distB="0" distL="0" distR="0" wp14:anchorId="5D966AC2" wp14:editId="73C5F6FE">
            <wp:extent cx="3771429" cy="1400000"/>
            <wp:effectExtent l="0" t="0" r="635" b="0"/>
            <wp:docPr id="179847748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477487" name="Imagen 1" descr="Texto&#10;&#10;El contenido generado por IA puede ser incorrecto."/>
                    <pic:cNvPicPr/>
                  </pic:nvPicPr>
                  <pic:blipFill>
                    <a:blip r:embed="rId19"/>
                    <a:stretch>
                      <a:fillRect/>
                    </a:stretch>
                  </pic:blipFill>
                  <pic:spPr>
                    <a:xfrm>
                      <a:off x="0" y="0"/>
                      <a:ext cx="3771429" cy="1400000"/>
                    </a:xfrm>
                    <a:prstGeom prst="rect">
                      <a:avLst/>
                    </a:prstGeom>
                  </pic:spPr>
                </pic:pic>
              </a:graphicData>
            </a:graphic>
          </wp:inline>
        </w:drawing>
      </w:r>
    </w:p>
    <w:p w14:paraId="1D17C4B0" w14:textId="77777777" w:rsidR="00B1120D" w:rsidRPr="00593A5F" w:rsidRDefault="00B1120D" w:rsidP="007E4284">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E4284" w:rsidRPr="00593A5F" w14:paraId="10E97FCB" w14:textId="77777777">
        <w:trPr>
          <w:trHeight w:val="315"/>
        </w:trPr>
        <w:tc>
          <w:tcPr>
            <w:tcW w:w="893" w:type="dxa"/>
            <w:vAlign w:val="center"/>
            <w:hideMark/>
          </w:tcPr>
          <w:p w14:paraId="6FEFE8DA"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1C4DEDE" w14:textId="77777777" w:rsidR="007E4284" w:rsidRPr="00BE4B85" w:rsidRDefault="007E4284">
            <w:pPr>
              <w:contextualSpacing/>
              <w:rPr>
                <w:rFonts w:ascii="Verdana" w:eastAsia="Arial" w:hAnsi="Verdana" w:cs="Arial"/>
                <w:color w:val="7030A0"/>
                <w:sz w:val="16"/>
                <w:szCs w:val="16"/>
              </w:rPr>
            </w:pPr>
            <w:r w:rsidRPr="00BE4B85">
              <w:rPr>
                <w:rStyle w:val="normaltextrun"/>
                <w:rFonts w:ascii="Verdana" w:hAnsi="Verdana"/>
                <w:sz w:val="16"/>
                <w:szCs w:val="16"/>
              </w:rPr>
              <w:t>Christian Camilo Orjuela Galeano</w:t>
            </w:r>
          </w:p>
          <w:p w14:paraId="58A6C53C" w14:textId="77777777" w:rsidR="007E4284" w:rsidRPr="00BE4B85" w:rsidRDefault="007E4284">
            <w:pPr>
              <w:contextualSpacing/>
              <w:rPr>
                <w:rFonts w:ascii="Verdana" w:eastAsia="Arial" w:hAnsi="Verdana" w:cs="Arial"/>
                <w:sz w:val="16"/>
                <w:szCs w:val="16"/>
              </w:rPr>
            </w:pPr>
            <w:r w:rsidRPr="00BE4B85">
              <w:rPr>
                <w:rStyle w:val="normaltextrun"/>
                <w:rFonts w:ascii="Verdana" w:eastAsia="Arial" w:hAnsi="Verdana" w:cs="Arial"/>
                <w:sz w:val="16"/>
                <w:szCs w:val="16"/>
              </w:rPr>
              <w:t>Contratista de la Subdirección de Gestión Contractual</w:t>
            </w:r>
          </w:p>
        </w:tc>
      </w:tr>
      <w:tr w:rsidR="007E4284" w:rsidRPr="00593A5F" w14:paraId="060045CC" w14:textId="77777777">
        <w:trPr>
          <w:trHeight w:val="330"/>
        </w:trPr>
        <w:tc>
          <w:tcPr>
            <w:tcW w:w="893" w:type="dxa"/>
            <w:vAlign w:val="center"/>
            <w:hideMark/>
          </w:tcPr>
          <w:p w14:paraId="68D83EEC"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F2DC12" w14:textId="411B8752" w:rsidR="007E4284" w:rsidRPr="0031103E" w:rsidRDefault="00694654">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 xml:space="preserve">Adriana López </w:t>
            </w:r>
          </w:p>
          <w:p w14:paraId="61F16D70" w14:textId="77777777" w:rsidR="007E4284" w:rsidRPr="00BE4B85" w:rsidRDefault="007E4284">
            <w:pPr>
              <w:pStyle w:val="paragraph"/>
              <w:spacing w:before="0" w:beforeAutospacing="0" w:after="0" w:afterAutospacing="0"/>
              <w:contextualSpacing/>
              <w:textAlignment w:val="baseline"/>
              <w:rPr>
                <w:rFonts w:ascii="Verdana" w:hAnsi="Verdana" w:cs="Segoe UI"/>
                <w:sz w:val="16"/>
                <w:szCs w:val="16"/>
              </w:rPr>
            </w:pPr>
            <w:r w:rsidRPr="00BE4B85">
              <w:rPr>
                <w:rStyle w:val="normaltextrun"/>
                <w:rFonts w:ascii="Verdana" w:eastAsia="Arial" w:hAnsi="Verdana" w:cs="Arial"/>
                <w:sz w:val="16"/>
                <w:szCs w:val="16"/>
              </w:rPr>
              <w:t>Contratista de la Subdirección de Gestión Contractual</w:t>
            </w:r>
          </w:p>
        </w:tc>
      </w:tr>
      <w:tr w:rsidR="007E4284" w:rsidRPr="00593A5F" w14:paraId="06EB7A78" w14:textId="77777777">
        <w:trPr>
          <w:trHeight w:val="300"/>
        </w:trPr>
        <w:tc>
          <w:tcPr>
            <w:tcW w:w="893" w:type="dxa"/>
            <w:vAlign w:val="center"/>
          </w:tcPr>
          <w:p w14:paraId="538249FF"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5D9FE4" w14:textId="77777777" w:rsidR="007E4284" w:rsidRPr="00BE4B85" w:rsidRDefault="007E4284">
            <w:pPr>
              <w:contextualSpacing/>
              <w:rPr>
                <w:rFonts w:ascii="Verdana" w:eastAsia="Calibri" w:hAnsi="Verdana" w:cs="Arial"/>
                <w:sz w:val="16"/>
                <w:szCs w:val="16"/>
                <w:lang w:val="pt-BR" w:eastAsia="es-ES"/>
              </w:rPr>
            </w:pPr>
            <w:r w:rsidRPr="00BE4B85">
              <w:rPr>
                <w:rFonts w:ascii="Verdana" w:eastAsia="Calibri" w:hAnsi="Verdana" w:cs="Arial"/>
                <w:sz w:val="16"/>
                <w:szCs w:val="16"/>
                <w:lang w:val="pt-BR" w:eastAsia="es-ES"/>
              </w:rPr>
              <w:t>Carolina Quintero Gacharná</w:t>
            </w:r>
          </w:p>
          <w:p w14:paraId="4ACBC904" w14:textId="77777777" w:rsidR="007E4284" w:rsidRPr="00BE4B85" w:rsidRDefault="007E4284">
            <w:pPr>
              <w:contextualSpacing/>
              <w:rPr>
                <w:rFonts w:ascii="Verdana" w:eastAsia="Calibri" w:hAnsi="Verdana" w:cs="Arial"/>
                <w:sz w:val="16"/>
                <w:szCs w:val="16"/>
                <w:lang w:val="pt-BR" w:eastAsia="es-ES"/>
              </w:rPr>
            </w:pPr>
            <w:r w:rsidRPr="00BE4B85">
              <w:rPr>
                <w:rFonts w:ascii="Verdana" w:eastAsia="Calibri" w:hAnsi="Verdana" w:cs="Arial"/>
                <w:sz w:val="16"/>
                <w:szCs w:val="16"/>
                <w:lang w:eastAsia="es-ES"/>
              </w:rPr>
              <w:t>Subdirectora</w:t>
            </w:r>
            <w:r w:rsidRPr="00BE4B85">
              <w:rPr>
                <w:rFonts w:ascii="Verdana" w:eastAsia="Calibri" w:hAnsi="Verdana" w:cs="Arial"/>
                <w:sz w:val="16"/>
                <w:szCs w:val="16"/>
                <w:lang w:val="pt-BR" w:eastAsia="es-ES"/>
              </w:rPr>
              <w:t xml:space="preserve"> de Gestión Contractual ANCP – CCE</w:t>
            </w:r>
          </w:p>
        </w:tc>
      </w:tr>
      <w:bookmarkEnd w:id="1"/>
      <w:bookmarkEnd w:id="5"/>
      <w:bookmarkEnd w:id="6"/>
    </w:tbl>
    <w:p w14:paraId="12C6032C" w14:textId="77777777" w:rsidR="007E4284" w:rsidRPr="00593A5F" w:rsidRDefault="007E4284" w:rsidP="00D963EA">
      <w:pPr>
        <w:spacing w:after="0" w:line="240" w:lineRule="auto"/>
        <w:rPr>
          <w:rFonts w:ascii="Verdana" w:eastAsia="Times New Roman" w:hAnsi="Verdana" w:cs="Arial"/>
          <w:sz w:val="24"/>
          <w:szCs w:val="24"/>
          <w:lang w:eastAsia="es-ES"/>
        </w:rPr>
      </w:pPr>
    </w:p>
    <w:sectPr w:rsidR="007E4284" w:rsidRPr="00593A5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8C3A6" w14:textId="77777777" w:rsidR="004C03DF" w:rsidRDefault="004C03DF" w:rsidP="004A1847">
      <w:pPr>
        <w:spacing w:after="0" w:line="240" w:lineRule="auto"/>
      </w:pPr>
      <w:r>
        <w:separator/>
      </w:r>
    </w:p>
  </w:endnote>
  <w:endnote w:type="continuationSeparator" w:id="0">
    <w:p w14:paraId="4F3C136D" w14:textId="77777777" w:rsidR="004C03DF" w:rsidRDefault="004C03D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DF545" w14:textId="77777777" w:rsidR="004C03DF" w:rsidRDefault="004C03DF" w:rsidP="004A1847">
      <w:pPr>
        <w:spacing w:after="0" w:line="240" w:lineRule="auto"/>
      </w:pPr>
      <w:r>
        <w:separator/>
      </w:r>
    </w:p>
  </w:footnote>
  <w:footnote w:type="continuationSeparator" w:id="0">
    <w:p w14:paraId="115F48EC" w14:textId="77777777" w:rsidR="004C03DF" w:rsidRDefault="004C03DF" w:rsidP="004A1847">
      <w:pPr>
        <w:spacing w:after="0" w:line="240" w:lineRule="auto"/>
      </w:pPr>
      <w:r>
        <w:continuationSeparator/>
      </w:r>
    </w:p>
  </w:footnote>
  <w:footnote w:id="1">
    <w:p w14:paraId="08077E44" w14:textId="77777777" w:rsidR="001E1142" w:rsidRPr="001E1142" w:rsidRDefault="001E1142" w:rsidP="001E1142">
      <w:pPr>
        <w:pStyle w:val="Textonotapie"/>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2DEE31DD" w14:textId="448BE0A8" w:rsidR="001E1142" w:rsidRPr="004C4C02" w:rsidRDefault="001E1142" w:rsidP="00A71FA6">
      <w:pPr>
        <w:pStyle w:val="Textonotapie"/>
        <w:jc w:val="both"/>
        <w:rPr>
          <w:rFonts w:ascii="Arial" w:hAnsi="Arial" w:cs="Arial"/>
          <w:color w:val="000000" w:themeColor="text1"/>
          <w:sz w:val="19"/>
          <w:szCs w:val="19"/>
          <w:lang w:val="es-ES"/>
        </w:rPr>
      </w:pPr>
      <w:r w:rsidRPr="001E1142">
        <w:rPr>
          <w:rFonts w:ascii="Verdana" w:hAnsi="Verdana" w:cs="Arial"/>
          <w:color w:val="000000" w:themeColor="text1"/>
          <w:sz w:val="12"/>
          <w:szCs w:val="12"/>
          <w:lang w:val="es-ES"/>
        </w:rPr>
        <w:t>»2. Quien presta el servicio se denomina trabajador, quien lo recibe y remunera, empleador, y la remuneración, cualquiera que sea su forma, salario».</w:t>
      </w:r>
    </w:p>
  </w:footnote>
  <w:footnote w:id="2">
    <w:p w14:paraId="25FBA488" w14:textId="77777777" w:rsidR="001E1142" w:rsidRPr="001E1142" w:rsidRDefault="001E1142" w:rsidP="001E1142">
      <w:pPr>
        <w:pStyle w:val="Textonotapie"/>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1E3C68E" w14:textId="77777777" w:rsidR="001E1142" w:rsidRPr="001E1142" w:rsidRDefault="001E1142" w:rsidP="001E1142">
      <w:pPr>
        <w:pStyle w:val="Textonotapie"/>
        <w:jc w:val="both"/>
        <w:rPr>
          <w:rFonts w:ascii="Verdana" w:hAnsi="Verdana" w:cs="Arial"/>
          <w:color w:val="000000" w:themeColor="text1"/>
          <w:sz w:val="12"/>
          <w:szCs w:val="12"/>
          <w:lang w:val="es-ES"/>
        </w:rPr>
      </w:pPr>
      <w:proofErr w:type="gramStart"/>
      <w:r w:rsidRPr="001E1142">
        <w:rPr>
          <w:rFonts w:ascii="Verdana" w:hAnsi="Verdana" w:cs="Arial"/>
          <w:color w:val="000000" w:themeColor="text1"/>
          <w:sz w:val="12"/>
          <w:szCs w:val="12"/>
          <w:lang w:val="es-ES"/>
        </w:rPr>
        <w:t>»Los</w:t>
      </w:r>
      <w:proofErr w:type="gramEnd"/>
      <w:r w:rsidRPr="001E1142">
        <w:rPr>
          <w:rFonts w:ascii="Verdana" w:hAnsi="Verdana" w:cs="Arial"/>
          <w:color w:val="000000" w:themeColor="text1"/>
          <w:sz w:val="12"/>
          <w:szCs w:val="12"/>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A45048F" w14:textId="77777777" w:rsidR="001E1142" w:rsidRPr="001E1142" w:rsidRDefault="001E1142" w:rsidP="001E1142">
      <w:pPr>
        <w:pStyle w:val="Textonotapie"/>
        <w:jc w:val="both"/>
        <w:rPr>
          <w:rFonts w:ascii="Verdana" w:hAnsi="Verdana" w:cs="Arial"/>
          <w:color w:val="000000" w:themeColor="text1"/>
          <w:sz w:val="12"/>
          <w:szCs w:val="12"/>
          <w:lang w:val="es-ES"/>
        </w:rPr>
      </w:pPr>
      <w:proofErr w:type="gramStart"/>
      <w:r w:rsidRPr="001E1142">
        <w:rPr>
          <w:rFonts w:ascii="Verdana" w:hAnsi="Verdana" w:cs="Arial"/>
          <w:color w:val="000000" w:themeColor="text1"/>
          <w:sz w:val="12"/>
          <w:szCs w:val="12"/>
          <w:lang w:val="es-ES"/>
        </w:rPr>
        <w:t>»El</w:t>
      </w:r>
      <w:proofErr w:type="gramEnd"/>
      <w:r w:rsidRPr="001E1142">
        <w:rPr>
          <w:rFonts w:ascii="Verdana" w:hAnsi="Verdana" w:cs="Arial"/>
          <w:color w:val="000000" w:themeColor="text1"/>
          <w:sz w:val="12"/>
          <w:szCs w:val="12"/>
          <w:lang w:val="es-ES"/>
        </w:rPr>
        <w:t xml:space="preserve"> Gobierno nacional reglamentará el mecanismo para realizar la mensualización de que trata el presente </w:t>
      </w:r>
      <w:proofErr w:type="gramStart"/>
      <w:r w:rsidRPr="001E1142">
        <w:rPr>
          <w:rFonts w:ascii="Verdana" w:hAnsi="Verdana" w:cs="Arial"/>
          <w:color w:val="000000" w:themeColor="text1"/>
          <w:sz w:val="12"/>
          <w:szCs w:val="12"/>
          <w:lang w:val="es-ES"/>
        </w:rPr>
        <w:t>artículo.[</w:t>
      </w:r>
      <w:proofErr w:type="gramEnd"/>
      <w:r w:rsidRPr="001E1142">
        <w:rPr>
          <w:rFonts w:ascii="Verdana" w:hAnsi="Verdana" w:cs="Arial"/>
          <w:color w:val="000000" w:themeColor="text1"/>
          <w:sz w:val="12"/>
          <w:szCs w:val="12"/>
          <w:lang w:val="es-ES"/>
        </w:rPr>
        <w:t>…]».</w:t>
      </w:r>
    </w:p>
  </w:footnote>
  <w:footnote w:id="3">
    <w:p w14:paraId="24CCCD06" w14:textId="77777777" w:rsidR="001E1142" w:rsidRPr="001E1142" w:rsidRDefault="001E1142" w:rsidP="001E1142">
      <w:pPr>
        <w:pStyle w:val="Textonotapie"/>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Corte Constitucional. Sentencia C-154 de 1997. Magistrado Ponente: Hernando Herrera Vergara.</w:t>
      </w:r>
    </w:p>
    <w:p w14:paraId="5FE2284F" w14:textId="77777777" w:rsidR="001E1142" w:rsidRPr="001E1142" w:rsidRDefault="001E1142" w:rsidP="001E1142">
      <w:pPr>
        <w:pStyle w:val="Textonotapie"/>
        <w:jc w:val="both"/>
        <w:rPr>
          <w:rFonts w:ascii="Verdana" w:hAnsi="Verdana" w:cs="Arial"/>
          <w:color w:val="000000" w:themeColor="text1"/>
          <w:sz w:val="12"/>
          <w:szCs w:val="12"/>
          <w:lang w:val="es-ES"/>
        </w:rPr>
      </w:pPr>
    </w:p>
  </w:footnote>
  <w:footnote w:id="4">
    <w:p w14:paraId="02314355"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Ibíd.</w:t>
      </w:r>
    </w:p>
    <w:p w14:paraId="36F0C52F" w14:textId="77777777" w:rsidR="001E1142" w:rsidRPr="004C4C02" w:rsidRDefault="001E1142" w:rsidP="00971A5E">
      <w:pPr>
        <w:pStyle w:val="Textonotapie"/>
        <w:ind w:firstLine="709"/>
        <w:contextualSpacing/>
        <w:jc w:val="both"/>
        <w:rPr>
          <w:rFonts w:ascii="Arial" w:hAnsi="Arial" w:cs="Arial"/>
          <w:color w:val="000000" w:themeColor="text1"/>
          <w:sz w:val="19"/>
          <w:szCs w:val="19"/>
          <w:lang w:val="es-ES"/>
        </w:rPr>
      </w:pPr>
    </w:p>
  </w:footnote>
  <w:footnote w:id="5">
    <w:p w14:paraId="4DC9637C"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1FA5A7F"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p>
    <w:p w14:paraId="3C6E9ACB"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proofErr w:type="gramStart"/>
      <w:r w:rsidRPr="001E1142">
        <w:rPr>
          <w:rFonts w:ascii="Verdana" w:hAnsi="Verdana" w:cs="Arial"/>
          <w:color w:val="000000" w:themeColor="text1"/>
          <w:sz w:val="12"/>
          <w:szCs w:val="12"/>
          <w:lang w:val="es-ES"/>
        </w:rPr>
        <w:t>»Los</w:t>
      </w:r>
      <w:proofErr w:type="gramEnd"/>
      <w:r w:rsidRPr="001E1142">
        <w:rPr>
          <w:rFonts w:ascii="Verdana" w:hAnsi="Verdana" w:cs="Arial"/>
          <w:color w:val="000000" w:themeColor="text1"/>
          <w:sz w:val="12"/>
          <w:szCs w:val="12"/>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A3543B8"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proofErr w:type="gramStart"/>
      <w:r w:rsidRPr="001E1142">
        <w:rPr>
          <w:rFonts w:ascii="Verdana" w:hAnsi="Verdana" w:cs="Arial"/>
          <w:color w:val="000000" w:themeColor="text1"/>
          <w:sz w:val="12"/>
          <w:szCs w:val="12"/>
          <w:lang w:val="es-ES"/>
        </w:rPr>
        <w:t>»La</w:t>
      </w:r>
      <w:proofErr w:type="gramEnd"/>
      <w:r w:rsidRPr="001E1142">
        <w:rPr>
          <w:rFonts w:ascii="Verdana" w:hAnsi="Verdana" w:cs="Arial"/>
          <w:color w:val="000000" w:themeColor="text1"/>
          <w:sz w:val="12"/>
          <w:szCs w:val="12"/>
          <w:lang w:val="es-ES"/>
        </w:rPr>
        <w:t xml:space="preserve"> Entidad Estatal, para la contratación de trabajos artísticos que solamente puedan en­comendarse a determinadas personas naturales, debe justificar esta situación en los estudios y documentos previos».</w:t>
      </w:r>
    </w:p>
  </w:footnote>
  <w:footnote w:id="6">
    <w:p w14:paraId="6873F236"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Así lo prevé el artículo 2.2.1.2.1.4.1. del Decreto 1082 de 2015: «La Entidad Estatal debe señalar en un acto administrativo la justificación para contratar bajo la modalidad de contratación directa, el cual debe contener:</w:t>
      </w:r>
    </w:p>
    <w:p w14:paraId="431FF1EF"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Fonts w:ascii="Verdana" w:hAnsi="Verdana" w:cs="Arial"/>
          <w:color w:val="000000" w:themeColor="text1"/>
          <w:sz w:val="12"/>
          <w:szCs w:val="12"/>
          <w:lang w:val="es-ES"/>
        </w:rPr>
        <w:t>»1. La causal que invoca para contratar directamente.</w:t>
      </w:r>
    </w:p>
    <w:p w14:paraId="3B914261"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Fonts w:ascii="Verdana" w:hAnsi="Verdana" w:cs="Arial"/>
          <w:color w:val="000000" w:themeColor="text1"/>
          <w:sz w:val="12"/>
          <w:szCs w:val="12"/>
          <w:lang w:val="es-ES"/>
        </w:rPr>
        <w:t>»2. El objeto del contrato.</w:t>
      </w:r>
    </w:p>
    <w:p w14:paraId="4EAC53EF"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Fonts w:ascii="Verdana" w:hAnsi="Verdana" w:cs="Arial"/>
          <w:color w:val="000000" w:themeColor="text1"/>
          <w:sz w:val="12"/>
          <w:szCs w:val="12"/>
          <w:lang w:val="es-ES"/>
        </w:rPr>
        <w:t>»3. El presupuesto para la contratación y las condiciones que exigirá al contratista.</w:t>
      </w:r>
    </w:p>
    <w:p w14:paraId="441CE9B7"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Fonts w:ascii="Verdana" w:hAnsi="Verdana" w:cs="Arial"/>
          <w:color w:val="000000" w:themeColor="text1"/>
          <w:sz w:val="12"/>
          <w:szCs w:val="12"/>
          <w:lang w:val="es-ES"/>
        </w:rPr>
        <w:t>»4. El lugar en el cual los interesados pueden consultar los estudios y documentos previos.</w:t>
      </w:r>
    </w:p>
    <w:p w14:paraId="243EEEEB"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proofErr w:type="gramStart"/>
      <w:r w:rsidRPr="001E1142">
        <w:rPr>
          <w:rFonts w:ascii="Verdana" w:hAnsi="Verdana" w:cs="Arial"/>
          <w:color w:val="000000" w:themeColor="text1"/>
          <w:sz w:val="12"/>
          <w:szCs w:val="12"/>
          <w:lang w:val="es-ES"/>
        </w:rPr>
        <w:t>»Este</w:t>
      </w:r>
      <w:proofErr w:type="gramEnd"/>
      <w:r w:rsidRPr="001E1142">
        <w:rPr>
          <w:rFonts w:ascii="Verdana" w:hAnsi="Verdana" w:cs="Arial"/>
          <w:color w:val="000000" w:themeColor="text1"/>
          <w:sz w:val="12"/>
          <w:szCs w:val="12"/>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p w14:paraId="1D607441" w14:textId="77777777" w:rsidR="001E1142" w:rsidRPr="001E1142" w:rsidRDefault="001E1142" w:rsidP="00971A5E">
      <w:pPr>
        <w:pStyle w:val="Textonotapie"/>
        <w:contextualSpacing/>
        <w:jc w:val="both"/>
        <w:rPr>
          <w:rFonts w:ascii="Arial" w:hAnsi="Arial" w:cs="Arial"/>
          <w:color w:val="000000" w:themeColor="text1"/>
          <w:sz w:val="12"/>
          <w:szCs w:val="12"/>
          <w:lang w:val="es-ES"/>
        </w:rPr>
      </w:pPr>
    </w:p>
  </w:footnote>
  <w:footnote w:id="7">
    <w:p w14:paraId="1858B503"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Esta norma expresa: «</w:t>
      </w:r>
      <w:r w:rsidRPr="001E1142">
        <w:rPr>
          <w:rFonts w:ascii="Verdana" w:hAnsi="Verdana" w:cs="Arial"/>
          <w:color w:val="000000" w:themeColor="text1"/>
          <w:sz w:val="12"/>
          <w:szCs w:val="12"/>
        </w:rPr>
        <w:t>P</w:t>
      </w:r>
      <w:r w:rsidRPr="001E1142">
        <w:rPr>
          <w:rFonts w:ascii="Verdana" w:hAnsi="Verdana" w:cs="Arial"/>
          <w:color w:val="000000" w:themeColor="text1"/>
          <w:sz w:val="12"/>
          <w:szCs w:val="12"/>
          <w:lang w:val="es-ES"/>
        </w:rPr>
        <w:t>ara el cumplimiento de los fines de la contratación, las entidades estatales al celebrar un contrato:</w:t>
      </w:r>
    </w:p>
    <w:p w14:paraId="1E24EDF0"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r w:rsidRPr="001E1142">
        <w:rPr>
          <w:rFonts w:ascii="Verdana" w:hAnsi="Verdana" w:cs="Arial"/>
          <w:color w:val="000000" w:themeColor="text1"/>
          <w:sz w:val="12"/>
          <w:szCs w:val="12"/>
          <w:lang w:val="es-ES"/>
        </w:rPr>
        <w:t>[…]</w:t>
      </w:r>
    </w:p>
    <w:p w14:paraId="09C8CC5C"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proofErr w:type="gramStart"/>
      <w:r w:rsidRPr="001E1142">
        <w:rPr>
          <w:rFonts w:ascii="Verdana" w:hAnsi="Verdana" w:cs="Arial"/>
          <w:color w:val="000000" w:themeColor="text1"/>
          <w:sz w:val="12"/>
          <w:szCs w:val="12"/>
          <w:lang w:val="es-ES"/>
        </w:rPr>
        <w:t>»2o.</w:t>
      </w:r>
      <w:proofErr w:type="gramEnd"/>
      <w:r w:rsidRPr="001E1142">
        <w:rPr>
          <w:rFonts w:ascii="Verdana" w:hAnsi="Verdana" w:cs="Arial"/>
          <w:color w:val="000000" w:themeColor="text1"/>
          <w:sz w:val="12"/>
          <w:szCs w:val="12"/>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754936D" w14:textId="77777777" w:rsidR="001E1142" w:rsidRPr="001E1142" w:rsidRDefault="001E1142" w:rsidP="00971A5E">
      <w:pPr>
        <w:pStyle w:val="Textonotapie"/>
        <w:contextualSpacing/>
        <w:jc w:val="both"/>
        <w:rPr>
          <w:rFonts w:ascii="Verdana" w:hAnsi="Verdana" w:cs="Arial"/>
          <w:color w:val="000000" w:themeColor="text1"/>
          <w:sz w:val="12"/>
          <w:szCs w:val="12"/>
          <w:lang w:val="es-ES"/>
        </w:rPr>
      </w:pPr>
      <w:proofErr w:type="gramStart"/>
      <w:r w:rsidRPr="001E1142">
        <w:rPr>
          <w:rFonts w:ascii="Verdana" w:hAnsi="Verdana" w:cs="Arial"/>
          <w:color w:val="000000" w:themeColor="text1"/>
          <w:sz w:val="12"/>
          <w:szCs w:val="12"/>
          <w:lang w:val="es-ES"/>
        </w:rPr>
        <w:t>»Las</w:t>
      </w:r>
      <w:proofErr w:type="gramEnd"/>
      <w:r w:rsidRPr="001E1142">
        <w:rPr>
          <w:rFonts w:ascii="Verdana" w:hAnsi="Verdana" w:cs="Arial"/>
          <w:color w:val="000000" w:themeColor="text1"/>
          <w:sz w:val="12"/>
          <w:szCs w:val="12"/>
          <w:lang w:val="es-ES"/>
        </w:rPr>
        <w:t xml:space="preserve"> entidades estatales podrán pactar estas cláusulas en los contratos de suministro y de prestación de </w:t>
      </w:r>
      <w:proofErr w:type="gramStart"/>
      <w:r w:rsidRPr="001E1142">
        <w:rPr>
          <w:rFonts w:ascii="Verdana" w:hAnsi="Verdana" w:cs="Arial"/>
          <w:color w:val="000000" w:themeColor="text1"/>
          <w:sz w:val="12"/>
          <w:szCs w:val="12"/>
          <w:lang w:val="es-ES"/>
        </w:rPr>
        <w:t>servicios.[</w:t>
      </w:r>
      <w:proofErr w:type="gramEnd"/>
      <w:r w:rsidRPr="001E1142">
        <w:rPr>
          <w:rFonts w:ascii="Verdana" w:hAnsi="Verdana" w:cs="Arial"/>
          <w:color w:val="000000" w:themeColor="text1"/>
          <w:sz w:val="12"/>
          <w:szCs w:val="12"/>
          <w:lang w:val="es-ES"/>
        </w:rPr>
        <w:t>…]».</w:t>
      </w:r>
    </w:p>
    <w:p w14:paraId="02A8AAAC" w14:textId="77777777" w:rsidR="001E1142" w:rsidRPr="001E1142" w:rsidRDefault="001E1142" w:rsidP="001E1142">
      <w:pPr>
        <w:pStyle w:val="Textonotapie"/>
        <w:jc w:val="both"/>
        <w:rPr>
          <w:rFonts w:ascii="Verdana" w:hAnsi="Verdana" w:cs="Arial"/>
          <w:color w:val="000000" w:themeColor="text1"/>
          <w:sz w:val="12"/>
          <w:szCs w:val="12"/>
          <w:lang w:val="es-ES"/>
        </w:rPr>
      </w:pPr>
    </w:p>
  </w:footnote>
  <w:footnote w:id="8">
    <w:p w14:paraId="1BA83585" w14:textId="77777777" w:rsidR="001E1142" w:rsidRPr="001E1142" w:rsidRDefault="001E1142" w:rsidP="001E1142">
      <w:pPr>
        <w:pStyle w:val="Textonotapie"/>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La norma dispone: «La liquidación a que se refiere el presente artículo no será obligatoria en los contratos de prestación de servicios profesionales y de apoyo a la gestión».</w:t>
      </w:r>
    </w:p>
    <w:p w14:paraId="1F19E92A" w14:textId="77777777" w:rsidR="001E1142" w:rsidRPr="001E1142" w:rsidRDefault="001E1142" w:rsidP="001E1142">
      <w:pPr>
        <w:pStyle w:val="Textonotapie"/>
        <w:jc w:val="both"/>
        <w:rPr>
          <w:rFonts w:ascii="Arial" w:hAnsi="Arial" w:cs="Arial"/>
          <w:color w:val="000000" w:themeColor="text1"/>
          <w:sz w:val="12"/>
          <w:szCs w:val="12"/>
          <w:lang w:val="es-ES"/>
        </w:rPr>
      </w:pPr>
    </w:p>
  </w:footnote>
  <w:footnote w:id="9">
    <w:p w14:paraId="4012C36E" w14:textId="77777777" w:rsidR="001E1142" w:rsidRPr="001E1142" w:rsidRDefault="001E1142" w:rsidP="001E1142">
      <w:pPr>
        <w:pStyle w:val="Textonotapie"/>
        <w:jc w:val="both"/>
        <w:rPr>
          <w:rFonts w:ascii="Verdana" w:hAnsi="Verdana" w:cs="Arial"/>
          <w:color w:val="000000" w:themeColor="text1"/>
          <w:sz w:val="12"/>
          <w:szCs w:val="12"/>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AE01E44" w14:textId="77777777" w:rsidR="001E1142" w:rsidRPr="001E1142" w:rsidRDefault="001E1142" w:rsidP="001E1142">
      <w:pPr>
        <w:pStyle w:val="Textonotapie"/>
        <w:jc w:val="both"/>
        <w:rPr>
          <w:rFonts w:ascii="Verdana" w:hAnsi="Verdana" w:cs="Arial"/>
          <w:color w:val="000000" w:themeColor="text1"/>
          <w:sz w:val="12"/>
          <w:szCs w:val="12"/>
        </w:rPr>
      </w:pPr>
      <w:r w:rsidRPr="001E1142">
        <w:rPr>
          <w:rFonts w:ascii="Verdana" w:hAnsi="Verdana" w:cs="Arial"/>
          <w:color w:val="000000" w:themeColor="text1"/>
          <w:sz w:val="12"/>
          <w:szCs w:val="12"/>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2F5DF3B" w14:textId="77777777" w:rsidR="001E1142" w:rsidRPr="001E1142" w:rsidRDefault="001E1142" w:rsidP="001E1142">
      <w:pPr>
        <w:pStyle w:val="Textonotapie"/>
        <w:jc w:val="both"/>
        <w:rPr>
          <w:rFonts w:ascii="Verdana" w:hAnsi="Verdana" w:cs="Arial"/>
          <w:color w:val="000000" w:themeColor="text1"/>
          <w:sz w:val="12"/>
          <w:szCs w:val="12"/>
        </w:rPr>
      </w:pPr>
      <w:r w:rsidRPr="001E1142">
        <w:rPr>
          <w:rFonts w:ascii="Verdana" w:hAnsi="Verdana" w:cs="Arial"/>
          <w:color w:val="000000" w:themeColor="text1"/>
          <w:sz w:val="12"/>
          <w:szCs w:val="12"/>
        </w:rPr>
        <w:t>[…]».</w:t>
      </w:r>
    </w:p>
    <w:p w14:paraId="5D81D40A" w14:textId="77777777" w:rsidR="001E1142" w:rsidRPr="00616D4E" w:rsidRDefault="001E1142" w:rsidP="001E1142">
      <w:pPr>
        <w:pStyle w:val="Textonotapie"/>
        <w:ind w:firstLine="709"/>
        <w:jc w:val="both"/>
        <w:rPr>
          <w:rFonts w:ascii="Verdana" w:hAnsi="Verdana" w:cs="Arial"/>
          <w:color w:val="000000" w:themeColor="text1"/>
          <w:sz w:val="11"/>
          <w:szCs w:val="11"/>
          <w:lang w:val="es-ES"/>
        </w:rPr>
      </w:pPr>
    </w:p>
  </w:footnote>
  <w:footnote w:id="10">
    <w:p w14:paraId="58B07C57" w14:textId="77777777" w:rsidR="001E1142" w:rsidRPr="001E1142" w:rsidRDefault="001E1142" w:rsidP="001E1142">
      <w:pPr>
        <w:pStyle w:val="Textonotapie"/>
        <w:jc w:val="both"/>
        <w:rPr>
          <w:rFonts w:ascii="Verdana" w:hAnsi="Verdana" w:cs="Arial"/>
          <w:color w:val="000000" w:themeColor="text1"/>
          <w:sz w:val="12"/>
          <w:szCs w:val="12"/>
          <w:lang w:val="es-ES"/>
        </w:rPr>
      </w:pPr>
      <w:r w:rsidRPr="001E1142">
        <w:rPr>
          <w:rStyle w:val="Refdenotaalpie"/>
          <w:rFonts w:ascii="Verdana" w:hAnsi="Verdana" w:cs="Arial"/>
          <w:color w:val="000000" w:themeColor="text1"/>
          <w:sz w:val="12"/>
          <w:szCs w:val="12"/>
        </w:rPr>
        <w:footnoteRef/>
      </w:r>
      <w:r w:rsidRPr="001E1142">
        <w:rPr>
          <w:rFonts w:ascii="Verdana" w:hAnsi="Verdana" w:cs="Arial"/>
          <w:color w:val="000000" w:themeColor="text1"/>
          <w:sz w:val="12"/>
          <w:szCs w:val="12"/>
        </w:rPr>
        <w:t xml:space="preserve"> </w:t>
      </w:r>
      <w:r w:rsidRPr="001E1142">
        <w:rPr>
          <w:rFonts w:ascii="Verdana" w:hAnsi="Verdana" w:cs="Arial"/>
          <w:color w:val="000000" w:themeColor="text1"/>
          <w:sz w:val="12"/>
          <w:szCs w:val="12"/>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59F075A" w14:textId="77777777" w:rsidR="001E1142" w:rsidRPr="004C4C02" w:rsidRDefault="001E1142" w:rsidP="001E1142">
      <w:pPr>
        <w:pStyle w:val="Textonotapie"/>
        <w:ind w:firstLine="709"/>
        <w:jc w:val="both"/>
        <w:rPr>
          <w:rFonts w:ascii="Arial" w:hAnsi="Arial" w:cs="Arial"/>
          <w:color w:val="000000" w:themeColor="text1"/>
          <w:sz w:val="19"/>
          <w:szCs w:val="19"/>
          <w:lang w:val="es-ES"/>
        </w:rPr>
      </w:pPr>
    </w:p>
  </w:footnote>
  <w:footnote w:id="11">
    <w:p w14:paraId="43F1909C" w14:textId="77777777" w:rsidR="00971A5E" w:rsidRPr="00B52870" w:rsidRDefault="00971A5E" w:rsidP="00B52870">
      <w:pPr>
        <w:pStyle w:val="Textonotapie"/>
        <w:jc w:val="both"/>
        <w:rPr>
          <w:rFonts w:ascii="Verdana" w:hAnsi="Verdana" w:cs="Arial"/>
          <w:color w:val="000000"/>
          <w:sz w:val="12"/>
          <w:szCs w:val="12"/>
        </w:rPr>
      </w:pPr>
      <w:r w:rsidRPr="00B52870">
        <w:rPr>
          <w:rStyle w:val="Refdenotaalpie"/>
          <w:rFonts w:ascii="Verdana" w:hAnsi="Verdana" w:cs="Arial"/>
          <w:color w:val="000000"/>
          <w:sz w:val="12"/>
          <w:szCs w:val="12"/>
        </w:rPr>
        <w:footnoteRef/>
      </w:r>
      <w:r w:rsidRPr="00B52870">
        <w:rPr>
          <w:rFonts w:ascii="Verdana" w:hAnsi="Verdana" w:cs="Arial"/>
          <w:color w:val="000000"/>
          <w:sz w:val="12"/>
          <w:szCs w:val="12"/>
        </w:rPr>
        <w:t xml:space="preserve"> </w:t>
      </w:r>
      <w:r w:rsidRPr="00B52870">
        <w:rPr>
          <w:rFonts w:ascii="Verdana" w:eastAsia="Calibri" w:hAnsi="Verdana" w:cs="Arial"/>
          <w:bCs/>
          <w:color w:val="000000"/>
          <w:sz w:val="12"/>
          <w:szCs w:val="12"/>
          <w:lang w:val="es-ES_tradnl"/>
        </w:rPr>
        <w:t>CONSEJO DE ESTADO. Sección Tercera. Subsección A. Sentencia del 24 de octubre de 2016. Exp. 45.607. C.P. Marta Nubia Velásquez Rico.</w:t>
      </w:r>
    </w:p>
    <w:p w14:paraId="254587F7" w14:textId="77777777" w:rsidR="00971A5E" w:rsidRPr="00B52870" w:rsidRDefault="00971A5E" w:rsidP="00B52870">
      <w:pPr>
        <w:pStyle w:val="Textonotapie"/>
        <w:jc w:val="both"/>
        <w:rPr>
          <w:rFonts w:ascii="Verdana" w:hAnsi="Verdana" w:cs="Arial"/>
          <w:color w:val="000000"/>
          <w:sz w:val="12"/>
          <w:szCs w:val="12"/>
          <w:lang w:val="es-ES"/>
        </w:rPr>
      </w:pPr>
    </w:p>
  </w:footnote>
  <w:footnote w:id="12">
    <w:p w14:paraId="777DD9A8" w14:textId="77777777" w:rsidR="00971A5E" w:rsidRPr="00B52870" w:rsidRDefault="00971A5E" w:rsidP="00B52870">
      <w:pPr>
        <w:pStyle w:val="Textonotapie"/>
        <w:jc w:val="both"/>
        <w:rPr>
          <w:rFonts w:ascii="Verdana" w:eastAsia="Calibri" w:hAnsi="Verdana" w:cs="Arial"/>
          <w:bCs/>
          <w:color w:val="000000"/>
          <w:sz w:val="12"/>
          <w:szCs w:val="12"/>
          <w:lang w:val="es-ES_tradnl"/>
        </w:rPr>
      </w:pPr>
      <w:r w:rsidRPr="00B52870">
        <w:rPr>
          <w:rStyle w:val="Refdenotaalpie"/>
          <w:rFonts w:ascii="Verdana" w:hAnsi="Verdana" w:cs="Arial"/>
          <w:color w:val="000000"/>
          <w:sz w:val="12"/>
          <w:szCs w:val="12"/>
        </w:rPr>
        <w:footnoteRef/>
      </w:r>
      <w:r w:rsidRPr="00B52870">
        <w:rPr>
          <w:rFonts w:ascii="Verdana" w:hAnsi="Verdana" w:cs="Arial"/>
          <w:color w:val="000000"/>
          <w:sz w:val="12"/>
          <w:szCs w:val="12"/>
        </w:rPr>
        <w:t xml:space="preserve"> </w:t>
      </w:r>
      <w:r w:rsidRPr="00B52870">
        <w:rPr>
          <w:rFonts w:ascii="Verdana" w:eastAsia="Calibri" w:hAnsi="Verdana" w:cs="Arial"/>
          <w:bCs/>
          <w:color w:val="000000"/>
          <w:sz w:val="12"/>
          <w:szCs w:val="12"/>
          <w:lang w:val="es-ES_tradnl"/>
        </w:rPr>
        <w:t xml:space="preserve">HINESTROSA FORERO, Fernando. Tratado de las Obligaciones II. De las fuentes de las obligaciones: el negocio jurídico. Volumen I. Bogotá: Universidad Externado de Colombia, 2015. p. 116.  </w:t>
      </w:r>
    </w:p>
    <w:p w14:paraId="3213F473" w14:textId="77777777" w:rsidR="00971A5E" w:rsidRPr="00B52870" w:rsidRDefault="00971A5E" w:rsidP="00B52870">
      <w:pPr>
        <w:pStyle w:val="Textonotapie"/>
        <w:jc w:val="both"/>
        <w:rPr>
          <w:rFonts w:ascii="Verdana" w:hAnsi="Verdana" w:cs="Arial"/>
          <w:color w:val="000000"/>
          <w:sz w:val="12"/>
          <w:szCs w:val="12"/>
          <w:lang w:val="es-ES"/>
        </w:rPr>
      </w:pPr>
    </w:p>
  </w:footnote>
  <w:footnote w:id="13">
    <w:p w14:paraId="4295A157" w14:textId="77777777" w:rsidR="00971A5E" w:rsidRPr="00B52870" w:rsidRDefault="00971A5E" w:rsidP="00B52870">
      <w:pPr>
        <w:pStyle w:val="Textonotapie"/>
        <w:jc w:val="both"/>
        <w:rPr>
          <w:rFonts w:ascii="Verdana" w:hAnsi="Verdana" w:cs="Arial"/>
          <w:sz w:val="12"/>
          <w:szCs w:val="12"/>
        </w:rPr>
      </w:pPr>
      <w:r w:rsidRPr="00B52870">
        <w:rPr>
          <w:rStyle w:val="Refdenotaalpie"/>
          <w:rFonts w:ascii="Verdana" w:hAnsi="Verdana" w:cs="Arial"/>
          <w:sz w:val="12"/>
          <w:szCs w:val="12"/>
        </w:rPr>
        <w:footnoteRef/>
      </w:r>
      <w:r w:rsidRPr="00B52870">
        <w:rPr>
          <w:rFonts w:ascii="Verdana" w:hAnsi="Verdana" w:cs="Arial"/>
          <w:sz w:val="12"/>
          <w:szCs w:val="12"/>
        </w:rPr>
        <w:t xml:space="preserve"> </w:t>
      </w:r>
      <w:r w:rsidRPr="00B52870">
        <w:rPr>
          <w:rFonts w:ascii="Verdana" w:eastAsia="Calibri" w:hAnsi="Verdana" w:cs="Arial"/>
          <w:bCs/>
          <w:color w:val="000000"/>
          <w:sz w:val="12"/>
          <w:szCs w:val="12"/>
          <w:lang w:val="es-ES_tradnl"/>
        </w:rPr>
        <w:t>Cfr. Colombia Compra Eficiente. Subdirección de Gestión Contractual. Concepto C-362 del 3 de julio de 2020. Pág. 9.</w:t>
      </w:r>
    </w:p>
    <w:p w14:paraId="015B5DFA" w14:textId="77777777" w:rsidR="00971A5E" w:rsidRPr="00BD2D5D" w:rsidRDefault="00971A5E" w:rsidP="00971A5E">
      <w:pPr>
        <w:pStyle w:val="Textonotapie"/>
        <w:ind w:firstLine="708"/>
        <w:jc w:val="both"/>
        <w:rPr>
          <w:rFonts w:ascii="Verdana" w:hAnsi="Verdana" w:cs="Arial"/>
          <w:sz w:val="12"/>
          <w:szCs w:val="12"/>
        </w:rPr>
      </w:pPr>
    </w:p>
  </w:footnote>
  <w:footnote w:id="14">
    <w:p w14:paraId="2930EB5B" w14:textId="77777777" w:rsidR="00971A5E" w:rsidRPr="00BD2D5D" w:rsidRDefault="00971A5E" w:rsidP="00B52870">
      <w:pPr>
        <w:spacing w:after="0" w:line="240" w:lineRule="auto"/>
        <w:jc w:val="both"/>
        <w:rPr>
          <w:rFonts w:ascii="Verdana" w:hAnsi="Verdana" w:cs="Arial"/>
          <w:bCs/>
          <w:color w:val="000000"/>
          <w:sz w:val="12"/>
          <w:szCs w:val="12"/>
          <w:lang w:val="es-ES_tradnl"/>
        </w:rPr>
      </w:pPr>
      <w:r w:rsidRPr="00BD2D5D">
        <w:rPr>
          <w:rStyle w:val="Refdenotaalpie"/>
          <w:rFonts w:ascii="Verdana" w:hAnsi="Verdana" w:cs="Arial"/>
          <w:sz w:val="12"/>
          <w:szCs w:val="12"/>
        </w:rPr>
        <w:footnoteRef/>
      </w:r>
      <w:r w:rsidRPr="00BD2D5D">
        <w:rPr>
          <w:rFonts w:ascii="Verdana" w:hAnsi="Verdana" w:cs="Arial"/>
          <w:sz w:val="12"/>
          <w:szCs w:val="12"/>
        </w:rPr>
        <w:t xml:space="preserve"> </w:t>
      </w:r>
      <w:r w:rsidRPr="00BD2D5D">
        <w:rPr>
          <w:rFonts w:ascii="Verdana" w:hAnsi="Verdana" w:cs="Arial"/>
          <w:bCs/>
          <w:color w:val="000000"/>
          <w:sz w:val="12"/>
          <w:szCs w:val="12"/>
          <w:lang w:val="es-ES_tradnl"/>
        </w:rPr>
        <w:t>“La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w:t>
      </w:r>
    </w:p>
    <w:p w14:paraId="54C1C9FD" w14:textId="77777777" w:rsidR="00971A5E" w:rsidRPr="00BD2D5D" w:rsidRDefault="00971A5E" w:rsidP="00B52870">
      <w:pPr>
        <w:spacing w:after="0" w:line="240" w:lineRule="auto"/>
        <w:jc w:val="both"/>
        <w:rPr>
          <w:rFonts w:ascii="Verdana" w:hAnsi="Verdana" w:cs="Arial"/>
          <w:bCs/>
          <w:color w:val="000000"/>
          <w:sz w:val="12"/>
          <w:szCs w:val="12"/>
          <w:lang w:val="es-ES_tradnl"/>
        </w:rPr>
      </w:pPr>
      <w:r w:rsidRPr="00BD2D5D">
        <w:rPr>
          <w:rFonts w:ascii="Verdana" w:hAnsi="Verdana" w:cs="Arial"/>
          <w:bCs/>
          <w:color w:val="000000"/>
          <w:sz w:val="12"/>
          <w:szCs w:val="12"/>
          <w:lang w:val="es-ES_tradnl"/>
        </w:rPr>
        <w:t>“Por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w:t>
      </w:r>
    </w:p>
    <w:p w14:paraId="296EE2A3" w14:textId="77777777" w:rsidR="00971A5E" w:rsidRPr="00BD2D5D" w:rsidRDefault="00971A5E" w:rsidP="00B52870">
      <w:pPr>
        <w:spacing w:after="0" w:line="240" w:lineRule="auto"/>
        <w:jc w:val="both"/>
        <w:rPr>
          <w:rFonts w:ascii="Century Gothic" w:hAnsi="Century Gothic" w:cs="Arial"/>
          <w:sz w:val="12"/>
          <w:szCs w:val="12"/>
        </w:rPr>
      </w:pPr>
      <w:r w:rsidRPr="00BD2D5D">
        <w:rPr>
          <w:rFonts w:ascii="Verdana" w:hAnsi="Verdana" w:cs="Arial"/>
          <w:bCs/>
          <w:color w:val="000000"/>
          <w:sz w:val="12"/>
          <w:szCs w:val="12"/>
          <w:lang w:val="es-ES_tradnl"/>
        </w:rPr>
        <w:t xml:space="preserve">“Esta tesis –de absoluta razonabilidad–, protege tanto al ciudadano como al ordenamiento jurídico en general, de la arbitrariedad de la administración, pues si se admitiera </w:t>
      </w:r>
      <w:proofErr w:type="gramStart"/>
      <w:r w:rsidRPr="00BD2D5D">
        <w:rPr>
          <w:rFonts w:ascii="Verdana" w:hAnsi="Verdana" w:cs="Arial"/>
          <w:bCs/>
          <w:color w:val="000000"/>
          <w:sz w:val="12"/>
          <w:szCs w:val="12"/>
          <w:lang w:val="es-ES_tradnl"/>
        </w:rPr>
        <w:t>que</w:t>
      </w:r>
      <w:proofErr w:type="gramEnd"/>
      <w:r w:rsidRPr="00BD2D5D">
        <w:rPr>
          <w:rFonts w:ascii="Verdana" w:hAnsi="Verdana" w:cs="Arial"/>
          <w:bCs/>
          <w:color w:val="000000"/>
          <w:sz w:val="12"/>
          <w:szCs w:val="12"/>
          <w:lang w:val="es-ES_tradnl"/>
        </w:rPr>
        <w:t xml:space="preserv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15">
    <w:p w14:paraId="1DF962C8" w14:textId="77777777" w:rsidR="00971A5E" w:rsidRPr="00BD2D5D" w:rsidRDefault="00971A5E" w:rsidP="00B52870">
      <w:pPr>
        <w:pStyle w:val="Textonotapie"/>
        <w:jc w:val="both"/>
        <w:rPr>
          <w:rFonts w:ascii="Verdana" w:hAnsi="Verdana" w:cs="Arial"/>
          <w:sz w:val="12"/>
          <w:szCs w:val="12"/>
        </w:rPr>
      </w:pPr>
      <w:r w:rsidRPr="00BD2D5D">
        <w:rPr>
          <w:rStyle w:val="Refdenotaalpie"/>
          <w:rFonts w:ascii="Verdana" w:hAnsi="Verdana" w:cs="Arial"/>
          <w:sz w:val="12"/>
          <w:szCs w:val="12"/>
        </w:rPr>
        <w:footnoteRef/>
      </w:r>
      <w:r w:rsidRPr="00BD2D5D">
        <w:rPr>
          <w:rFonts w:ascii="Verdana" w:hAnsi="Verdana" w:cs="Arial"/>
          <w:sz w:val="12"/>
          <w:szCs w:val="12"/>
        </w:rPr>
        <w:t xml:space="preserve"> </w:t>
      </w:r>
      <w:r w:rsidRPr="00BD2D5D">
        <w:rPr>
          <w:rFonts w:ascii="Verdana" w:eastAsia="Calibri" w:hAnsi="Verdana" w:cs="Arial"/>
          <w:bCs/>
          <w:color w:val="000000"/>
          <w:sz w:val="12"/>
          <w:szCs w:val="12"/>
          <w:lang w:val="es-ES_tradnl"/>
        </w:rPr>
        <w:t>Ibíd.</w:t>
      </w:r>
      <w:r w:rsidRPr="00BD2D5D">
        <w:rPr>
          <w:rFonts w:ascii="Verdana" w:hAnsi="Verdana" w:cs="Arial"/>
          <w:sz w:val="12"/>
          <w:szCs w:val="12"/>
        </w:rPr>
        <w:t xml:space="preserve"> </w:t>
      </w:r>
    </w:p>
    <w:p w14:paraId="034F44CA" w14:textId="77777777" w:rsidR="00971A5E" w:rsidRPr="003630B0" w:rsidRDefault="00971A5E" w:rsidP="00971A5E">
      <w:pPr>
        <w:pStyle w:val="Textonotapie"/>
        <w:ind w:firstLine="708"/>
        <w:jc w:val="both"/>
        <w:rPr>
          <w:rFonts w:ascii="Century Gothic" w:hAnsi="Century Gothic" w:cs="Arial"/>
          <w:sz w:val="12"/>
          <w:szCs w:val="12"/>
        </w:rPr>
      </w:pPr>
    </w:p>
  </w:footnote>
  <w:footnote w:id="16">
    <w:p w14:paraId="23F40A4B" w14:textId="77777777" w:rsidR="00A71FA6" w:rsidRPr="0084236D" w:rsidRDefault="00A71FA6" w:rsidP="00A71FA6">
      <w:pPr>
        <w:pStyle w:val="Textonotapie"/>
        <w:spacing w:after="160"/>
        <w:jc w:val="both"/>
        <w:rPr>
          <w:rFonts w:ascii="Verdana" w:hAnsi="Verdana"/>
          <w:sz w:val="12"/>
          <w:szCs w:val="12"/>
        </w:rPr>
      </w:pPr>
      <w:r w:rsidRPr="0084236D">
        <w:rPr>
          <w:rFonts w:ascii="Verdana" w:hAnsi="Verdana" w:cs="Arial"/>
          <w:sz w:val="12"/>
          <w:szCs w:val="12"/>
          <w:vertAlign w:val="superscript"/>
        </w:rPr>
        <w:footnoteRef/>
      </w:r>
      <w:r w:rsidRPr="0084236D">
        <w:rPr>
          <w:rFonts w:ascii="Verdana" w:hAnsi="Verdana" w:cs="Arial"/>
          <w:sz w:val="12"/>
          <w:szCs w:val="12"/>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4236D">
          <w:rPr>
            <w:rStyle w:val="Hipervnculo"/>
            <w:rFonts w:ascii="Verdana" w:hAnsi="Verdana" w:cs="Arial"/>
            <w:sz w:val="12"/>
            <w:szCs w:val="12"/>
          </w:rPr>
          <w:t>https://relatoria.colombiacompra.gov.co/busqueda/conceptos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CB4AAA1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A040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500AC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769791B"/>
    <w:multiLevelType w:val="hybridMultilevel"/>
    <w:tmpl w:val="96FCB5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8B77C31"/>
    <w:multiLevelType w:val="hybridMultilevel"/>
    <w:tmpl w:val="34283982"/>
    <w:lvl w:ilvl="0" w:tplc="2AF43E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1780C9E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CF64647"/>
    <w:multiLevelType w:val="hybridMultilevel"/>
    <w:tmpl w:val="A08208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8D6515"/>
    <w:multiLevelType w:val="hybridMultilevel"/>
    <w:tmpl w:val="67407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9C768F7"/>
    <w:multiLevelType w:val="hybridMultilevel"/>
    <w:tmpl w:val="43907F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6976D1"/>
    <w:multiLevelType w:val="hybridMultilevel"/>
    <w:tmpl w:val="85AC81C6"/>
    <w:lvl w:ilvl="0" w:tplc="5A1652F2">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C4A6B7C"/>
    <w:multiLevelType w:val="hybridMultilevel"/>
    <w:tmpl w:val="629EB0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43C45D7"/>
    <w:multiLevelType w:val="hybridMultilevel"/>
    <w:tmpl w:val="9FB0C25A"/>
    <w:lvl w:ilvl="0" w:tplc="24042206">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27" w15:restartNumberingAfterBreak="0">
    <w:nsid w:val="626515E4"/>
    <w:multiLevelType w:val="hybridMultilevel"/>
    <w:tmpl w:val="8B3A9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9" w15:restartNumberingAfterBreak="0">
    <w:nsid w:val="664113CD"/>
    <w:multiLevelType w:val="multilevel"/>
    <w:tmpl w:val="713C718E"/>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decimal"/>
      <w:lvlText w:val="%3."/>
      <w:lvlJc w:val="left"/>
      <w:pPr>
        <w:ind w:left="827" w:hanging="233"/>
      </w:pPr>
      <w:rPr>
        <w:rFonts w:ascii="Arial" w:eastAsia="Arial" w:hAnsi="Arial" w:cs="Arial" w:hint="default"/>
        <w:b/>
        <w:bCs/>
        <w:i/>
        <w:iCs/>
        <w:spacing w:val="-1"/>
        <w:w w:val="100"/>
        <w:sz w:val="21"/>
        <w:szCs w:val="21"/>
        <w:lang w:val="es-ES" w:eastAsia="en-US" w:bidi="ar-SA"/>
      </w:rPr>
    </w:lvl>
    <w:lvl w:ilvl="3">
      <w:numFmt w:val="bullet"/>
      <w:lvlText w:val="•"/>
      <w:lvlJc w:val="left"/>
      <w:pPr>
        <w:ind w:left="1930" w:hanging="233"/>
      </w:pPr>
      <w:rPr>
        <w:rFonts w:hint="default"/>
        <w:lang w:val="es-ES" w:eastAsia="en-US" w:bidi="ar-SA"/>
      </w:rPr>
    </w:lvl>
    <w:lvl w:ilvl="4">
      <w:numFmt w:val="bullet"/>
      <w:lvlText w:val="•"/>
      <w:lvlJc w:val="left"/>
      <w:pPr>
        <w:ind w:left="3040" w:hanging="233"/>
      </w:pPr>
      <w:rPr>
        <w:rFonts w:hint="default"/>
        <w:lang w:val="es-ES" w:eastAsia="en-US" w:bidi="ar-SA"/>
      </w:rPr>
    </w:lvl>
    <w:lvl w:ilvl="5">
      <w:numFmt w:val="bullet"/>
      <w:lvlText w:val="•"/>
      <w:lvlJc w:val="left"/>
      <w:pPr>
        <w:ind w:left="4150" w:hanging="233"/>
      </w:pPr>
      <w:rPr>
        <w:rFonts w:hint="default"/>
        <w:lang w:val="es-ES" w:eastAsia="en-US" w:bidi="ar-SA"/>
      </w:rPr>
    </w:lvl>
    <w:lvl w:ilvl="6">
      <w:numFmt w:val="bullet"/>
      <w:lvlText w:val="•"/>
      <w:lvlJc w:val="left"/>
      <w:pPr>
        <w:ind w:left="5260" w:hanging="233"/>
      </w:pPr>
      <w:rPr>
        <w:rFonts w:hint="default"/>
        <w:lang w:val="es-ES" w:eastAsia="en-US" w:bidi="ar-SA"/>
      </w:rPr>
    </w:lvl>
    <w:lvl w:ilvl="7">
      <w:numFmt w:val="bullet"/>
      <w:lvlText w:val="•"/>
      <w:lvlJc w:val="left"/>
      <w:pPr>
        <w:ind w:left="6370" w:hanging="233"/>
      </w:pPr>
      <w:rPr>
        <w:rFonts w:hint="default"/>
        <w:lang w:val="es-ES" w:eastAsia="en-US" w:bidi="ar-SA"/>
      </w:rPr>
    </w:lvl>
    <w:lvl w:ilvl="8">
      <w:numFmt w:val="bullet"/>
      <w:lvlText w:val="•"/>
      <w:lvlJc w:val="left"/>
      <w:pPr>
        <w:ind w:left="7480" w:hanging="233"/>
      </w:pPr>
      <w:rPr>
        <w:rFonts w:hint="default"/>
        <w:lang w:val="es-ES" w:eastAsia="en-US" w:bidi="ar-SA"/>
      </w:rPr>
    </w:lvl>
  </w:abstractNum>
  <w:abstractNum w:abstractNumId="30"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3AD506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BBA70D6"/>
    <w:multiLevelType w:val="hybridMultilevel"/>
    <w:tmpl w:val="283E42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9"/>
  </w:num>
  <w:num w:numId="2" w16cid:durableId="19822139">
    <w:abstractNumId w:val="5"/>
  </w:num>
  <w:num w:numId="3" w16cid:durableId="876742304">
    <w:abstractNumId w:val="15"/>
  </w:num>
  <w:num w:numId="4" w16cid:durableId="2451864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5"/>
  </w:num>
  <w:num w:numId="6" w16cid:durableId="316692925">
    <w:abstractNumId w:val="33"/>
  </w:num>
  <w:num w:numId="7" w16cid:durableId="1946422806">
    <w:abstractNumId w:val="17"/>
  </w:num>
  <w:num w:numId="8" w16cid:durableId="152644682">
    <w:abstractNumId w:val="32"/>
  </w:num>
  <w:num w:numId="9" w16cid:durableId="1317221377">
    <w:abstractNumId w:val="21"/>
  </w:num>
  <w:num w:numId="10" w16cid:durableId="1471245386">
    <w:abstractNumId w:val="31"/>
  </w:num>
  <w:num w:numId="11" w16cid:durableId="289172385">
    <w:abstractNumId w:val="22"/>
  </w:num>
  <w:num w:numId="12" w16cid:durableId="1470781324">
    <w:abstractNumId w:val="4"/>
  </w:num>
  <w:num w:numId="13" w16cid:durableId="1512908409">
    <w:abstractNumId w:val="11"/>
  </w:num>
  <w:num w:numId="14" w16cid:durableId="895897244">
    <w:abstractNumId w:val="34"/>
  </w:num>
  <w:num w:numId="15" w16cid:durableId="390349800">
    <w:abstractNumId w:val="28"/>
  </w:num>
  <w:num w:numId="16" w16cid:durableId="1380713882">
    <w:abstractNumId w:val="3"/>
  </w:num>
  <w:num w:numId="17" w16cid:durableId="1132214699">
    <w:abstractNumId w:val="7"/>
  </w:num>
  <w:num w:numId="18" w16cid:durableId="784039179">
    <w:abstractNumId w:val="35"/>
  </w:num>
  <w:num w:numId="19" w16cid:durableId="13699161">
    <w:abstractNumId w:val="1"/>
  </w:num>
  <w:num w:numId="20" w16cid:durableId="537469537">
    <w:abstractNumId w:val="14"/>
  </w:num>
  <w:num w:numId="21" w16cid:durableId="537474378">
    <w:abstractNumId w:val="26"/>
  </w:num>
  <w:num w:numId="22" w16cid:durableId="1957522670">
    <w:abstractNumId w:val="29"/>
  </w:num>
  <w:num w:numId="23" w16cid:durableId="1619140680">
    <w:abstractNumId w:val="13"/>
  </w:num>
  <w:num w:numId="24" w16cid:durableId="2022704930">
    <w:abstractNumId w:val="27"/>
  </w:num>
  <w:num w:numId="25" w16cid:durableId="1136921567">
    <w:abstractNumId w:val="12"/>
  </w:num>
  <w:num w:numId="26" w16cid:durableId="2139764406">
    <w:abstractNumId w:val="10"/>
  </w:num>
  <w:num w:numId="27" w16cid:durableId="679089576">
    <w:abstractNumId w:val="23"/>
  </w:num>
  <w:num w:numId="28" w16cid:durableId="1540245051">
    <w:abstractNumId w:val="37"/>
  </w:num>
  <w:num w:numId="29" w16cid:durableId="609122714">
    <w:abstractNumId w:val="25"/>
  </w:num>
  <w:num w:numId="30" w16cid:durableId="998077508">
    <w:abstractNumId w:val="24"/>
  </w:num>
  <w:num w:numId="31" w16cid:durableId="677729351">
    <w:abstractNumId w:val="18"/>
  </w:num>
  <w:num w:numId="32" w16cid:durableId="1581712410">
    <w:abstractNumId w:val="6"/>
  </w:num>
  <w:num w:numId="33" w16cid:durableId="1492209491">
    <w:abstractNumId w:val="16"/>
  </w:num>
  <w:num w:numId="34" w16cid:durableId="1152722168">
    <w:abstractNumId w:val="2"/>
  </w:num>
  <w:num w:numId="35" w16cid:durableId="17630293">
    <w:abstractNumId w:val="0"/>
  </w:num>
  <w:num w:numId="36" w16cid:durableId="1801414381">
    <w:abstractNumId w:val="36"/>
  </w:num>
  <w:num w:numId="37" w16cid:durableId="1285499087">
    <w:abstractNumId w:val="8"/>
  </w:num>
  <w:num w:numId="38" w16cid:durableId="1733503356">
    <w:abstractNumId w:val="30"/>
  </w:num>
  <w:num w:numId="39" w16cid:durableId="836310654">
    <w:abstractNumId w:val="9"/>
  </w:num>
  <w:num w:numId="40" w16cid:durableId="11785441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8A7"/>
    <w:rsid w:val="00020EB3"/>
    <w:rsid w:val="000260A3"/>
    <w:rsid w:val="000429E4"/>
    <w:rsid w:val="000528E8"/>
    <w:rsid w:val="00061B2A"/>
    <w:rsid w:val="000653D2"/>
    <w:rsid w:val="00082362"/>
    <w:rsid w:val="000A683E"/>
    <w:rsid w:val="000B1198"/>
    <w:rsid w:val="000B19B9"/>
    <w:rsid w:val="000B4233"/>
    <w:rsid w:val="000D0334"/>
    <w:rsid w:val="000F4F5B"/>
    <w:rsid w:val="000F57DE"/>
    <w:rsid w:val="000F6486"/>
    <w:rsid w:val="00105DE8"/>
    <w:rsid w:val="00125105"/>
    <w:rsid w:val="00127233"/>
    <w:rsid w:val="00131873"/>
    <w:rsid w:val="00152D71"/>
    <w:rsid w:val="00154286"/>
    <w:rsid w:val="00176AD1"/>
    <w:rsid w:val="00196126"/>
    <w:rsid w:val="001A151B"/>
    <w:rsid w:val="001A3A8A"/>
    <w:rsid w:val="001A5B8C"/>
    <w:rsid w:val="001B48A8"/>
    <w:rsid w:val="001D4DE0"/>
    <w:rsid w:val="001E1142"/>
    <w:rsid w:val="001E4177"/>
    <w:rsid w:val="001F1804"/>
    <w:rsid w:val="001F3969"/>
    <w:rsid w:val="001F6834"/>
    <w:rsid w:val="001F7DC6"/>
    <w:rsid w:val="00200416"/>
    <w:rsid w:val="00204574"/>
    <w:rsid w:val="002376C2"/>
    <w:rsid w:val="002421BB"/>
    <w:rsid w:val="002424C4"/>
    <w:rsid w:val="0024750D"/>
    <w:rsid w:val="0025796E"/>
    <w:rsid w:val="002627D4"/>
    <w:rsid w:val="00263A88"/>
    <w:rsid w:val="00263CE9"/>
    <w:rsid w:val="002707A2"/>
    <w:rsid w:val="002951A0"/>
    <w:rsid w:val="002962BC"/>
    <w:rsid w:val="002A093D"/>
    <w:rsid w:val="002A0DD0"/>
    <w:rsid w:val="002A32B7"/>
    <w:rsid w:val="002A49AC"/>
    <w:rsid w:val="002A64FD"/>
    <w:rsid w:val="002C7A84"/>
    <w:rsid w:val="002E2804"/>
    <w:rsid w:val="002E4FD9"/>
    <w:rsid w:val="002F6F40"/>
    <w:rsid w:val="0030203C"/>
    <w:rsid w:val="00303188"/>
    <w:rsid w:val="003204F0"/>
    <w:rsid w:val="00322A85"/>
    <w:rsid w:val="00324168"/>
    <w:rsid w:val="00327346"/>
    <w:rsid w:val="003448F4"/>
    <w:rsid w:val="00347B2E"/>
    <w:rsid w:val="00360C1A"/>
    <w:rsid w:val="003621D1"/>
    <w:rsid w:val="00374F5E"/>
    <w:rsid w:val="00377E3E"/>
    <w:rsid w:val="003910C3"/>
    <w:rsid w:val="003A26D1"/>
    <w:rsid w:val="003A371A"/>
    <w:rsid w:val="003A779E"/>
    <w:rsid w:val="003C6C4F"/>
    <w:rsid w:val="003D0F4D"/>
    <w:rsid w:val="003D5B0D"/>
    <w:rsid w:val="003E0499"/>
    <w:rsid w:val="003E76ED"/>
    <w:rsid w:val="003F3941"/>
    <w:rsid w:val="00406575"/>
    <w:rsid w:val="004204E7"/>
    <w:rsid w:val="004268E4"/>
    <w:rsid w:val="0042722E"/>
    <w:rsid w:val="00441752"/>
    <w:rsid w:val="0044528D"/>
    <w:rsid w:val="004455B8"/>
    <w:rsid w:val="00445757"/>
    <w:rsid w:val="00452A0F"/>
    <w:rsid w:val="00485E57"/>
    <w:rsid w:val="0049064A"/>
    <w:rsid w:val="004A1847"/>
    <w:rsid w:val="004A1FBE"/>
    <w:rsid w:val="004A305D"/>
    <w:rsid w:val="004C03DF"/>
    <w:rsid w:val="004F21C4"/>
    <w:rsid w:val="004F685F"/>
    <w:rsid w:val="00500C3E"/>
    <w:rsid w:val="00503C19"/>
    <w:rsid w:val="00504F7B"/>
    <w:rsid w:val="0052137A"/>
    <w:rsid w:val="00530F39"/>
    <w:rsid w:val="005434E9"/>
    <w:rsid w:val="005566E8"/>
    <w:rsid w:val="0057363F"/>
    <w:rsid w:val="00574867"/>
    <w:rsid w:val="005773E9"/>
    <w:rsid w:val="00591460"/>
    <w:rsid w:val="00592628"/>
    <w:rsid w:val="005A4341"/>
    <w:rsid w:val="005A44D7"/>
    <w:rsid w:val="005A7ADE"/>
    <w:rsid w:val="005A7AF3"/>
    <w:rsid w:val="005C3777"/>
    <w:rsid w:val="005C5CDC"/>
    <w:rsid w:val="005D476C"/>
    <w:rsid w:val="005D495C"/>
    <w:rsid w:val="005E1068"/>
    <w:rsid w:val="005F1382"/>
    <w:rsid w:val="005F30D4"/>
    <w:rsid w:val="006107D7"/>
    <w:rsid w:val="00610812"/>
    <w:rsid w:val="006219F8"/>
    <w:rsid w:val="006408EC"/>
    <w:rsid w:val="00650FF7"/>
    <w:rsid w:val="00654404"/>
    <w:rsid w:val="0066197B"/>
    <w:rsid w:val="00665D70"/>
    <w:rsid w:val="0066669E"/>
    <w:rsid w:val="00671DAC"/>
    <w:rsid w:val="006900D9"/>
    <w:rsid w:val="00694654"/>
    <w:rsid w:val="006B6A68"/>
    <w:rsid w:val="006D12F8"/>
    <w:rsid w:val="006D51B6"/>
    <w:rsid w:val="006E36AD"/>
    <w:rsid w:val="00706C16"/>
    <w:rsid w:val="007204CA"/>
    <w:rsid w:val="00724070"/>
    <w:rsid w:val="00727DDD"/>
    <w:rsid w:val="00756841"/>
    <w:rsid w:val="007649AB"/>
    <w:rsid w:val="00771D0C"/>
    <w:rsid w:val="007833AC"/>
    <w:rsid w:val="00783F94"/>
    <w:rsid w:val="007A62FC"/>
    <w:rsid w:val="007B268C"/>
    <w:rsid w:val="007B7171"/>
    <w:rsid w:val="007C0C0F"/>
    <w:rsid w:val="007C3DC2"/>
    <w:rsid w:val="007D46F1"/>
    <w:rsid w:val="007E08E1"/>
    <w:rsid w:val="007E4284"/>
    <w:rsid w:val="007E5497"/>
    <w:rsid w:val="007F0DE5"/>
    <w:rsid w:val="00806F5F"/>
    <w:rsid w:val="00820278"/>
    <w:rsid w:val="00826C01"/>
    <w:rsid w:val="00830A9A"/>
    <w:rsid w:val="00831CDD"/>
    <w:rsid w:val="00843C98"/>
    <w:rsid w:val="00847DDA"/>
    <w:rsid w:val="0086225C"/>
    <w:rsid w:val="00862ACC"/>
    <w:rsid w:val="00871E9D"/>
    <w:rsid w:val="008843B6"/>
    <w:rsid w:val="0088719E"/>
    <w:rsid w:val="00891928"/>
    <w:rsid w:val="008A247D"/>
    <w:rsid w:val="008A3D98"/>
    <w:rsid w:val="008A446D"/>
    <w:rsid w:val="008D180B"/>
    <w:rsid w:val="008D4E75"/>
    <w:rsid w:val="008D793C"/>
    <w:rsid w:val="008E678A"/>
    <w:rsid w:val="008E6A1C"/>
    <w:rsid w:val="008F0EA7"/>
    <w:rsid w:val="009063E3"/>
    <w:rsid w:val="0091453F"/>
    <w:rsid w:val="00923EEF"/>
    <w:rsid w:val="0093625A"/>
    <w:rsid w:val="009419F9"/>
    <w:rsid w:val="009549FC"/>
    <w:rsid w:val="0095685E"/>
    <w:rsid w:val="00957152"/>
    <w:rsid w:val="00960D42"/>
    <w:rsid w:val="00961B09"/>
    <w:rsid w:val="00961C58"/>
    <w:rsid w:val="00965334"/>
    <w:rsid w:val="00965410"/>
    <w:rsid w:val="0097093E"/>
    <w:rsid w:val="0097111E"/>
    <w:rsid w:val="00971A5E"/>
    <w:rsid w:val="009917B5"/>
    <w:rsid w:val="009940B4"/>
    <w:rsid w:val="009A0DFA"/>
    <w:rsid w:val="009A6DEA"/>
    <w:rsid w:val="009B2D26"/>
    <w:rsid w:val="009C71FA"/>
    <w:rsid w:val="009C72E7"/>
    <w:rsid w:val="009C7ED5"/>
    <w:rsid w:val="009D3058"/>
    <w:rsid w:val="009D3D7B"/>
    <w:rsid w:val="009D4BB6"/>
    <w:rsid w:val="009F0C3C"/>
    <w:rsid w:val="009F3A13"/>
    <w:rsid w:val="00A122D3"/>
    <w:rsid w:val="00A17F13"/>
    <w:rsid w:val="00A20739"/>
    <w:rsid w:val="00A33C78"/>
    <w:rsid w:val="00A6406E"/>
    <w:rsid w:val="00A71FA6"/>
    <w:rsid w:val="00A81B68"/>
    <w:rsid w:val="00A8439D"/>
    <w:rsid w:val="00A86A9B"/>
    <w:rsid w:val="00AA20D5"/>
    <w:rsid w:val="00AA7E70"/>
    <w:rsid w:val="00AB0ADB"/>
    <w:rsid w:val="00AD059F"/>
    <w:rsid w:val="00B01B1A"/>
    <w:rsid w:val="00B1120D"/>
    <w:rsid w:val="00B52870"/>
    <w:rsid w:val="00B61DC6"/>
    <w:rsid w:val="00B72CD3"/>
    <w:rsid w:val="00B72FFF"/>
    <w:rsid w:val="00B804FB"/>
    <w:rsid w:val="00BA5844"/>
    <w:rsid w:val="00BC3D36"/>
    <w:rsid w:val="00BC5130"/>
    <w:rsid w:val="00BC5684"/>
    <w:rsid w:val="00BD7F72"/>
    <w:rsid w:val="00BE43DD"/>
    <w:rsid w:val="00BF35DB"/>
    <w:rsid w:val="00BF42BF"/>
    <w:rsid w:val="00C04A9C"/>
    <w:rsid w:val="00C04FB3"/>
    <w:rsid w:val="00C07B0F"/>
    <w:rsid w:val="00C13B97"/>
    <w:rsid w:val="00C15405"/>
    <w:rsid w:val="00C330EB"/>
    <w:rsid w:val="00C36081"/>
    <w:rsid w:val="00C53DA6"/>
    <w:rsid w:val="00C754BE"/>
    <w:rsid w:val="00C76B1C"/>
    <w:rsid w:val="00C85952"/>
    <w:rsid w:val="00C90A74"/>
    <w:rsid w:val="00CB6357"/>
    <w:rsid w:val="00CC1B26"/>
    <w:rsid w:val="00CD5157"/>
    <w:rsid w:val="00CE54C6"/>
    <w:rsid w:val="00CF0735"/>
    <w:rsid w:val="00D15311"/>
    <w:rsid w:val="00D17438"/>
    <w:rsid w:val="00D209FA"/>
    <w:rsid w:val="00D31048"/>
    <w:rsid w:val="00D3408D"/>
    <w:rsid w:val="00D36C5C"/>
    <w:rsid w:val="00D423A2"/>
    <w:rsid w:val="00D424EA"/>
    <w:rsid w:val="00D47181"/>
    <w:rsid w:val="00D520D8"/>
    <w:rsid w:val="00D53C81"/>
    <w:rsid w:val="00D57942"/>
    <w:rsid w:val="00D63AC2"/>
    <w:rsid w:val="00D67212"/>
    <w:rsid w:val="00D7383B"/>
    <w:rsid w:val="00D829A3"/>
    <w:rsid w:val="00D963EA"/>
    <w:rsid w:val="00DA020C"/>
    <w:rsid w:val="00DA231B"/>
    <w:rsid w:val="00DA23A0"/>
    <w:rsid w:val="00DA43F8"/>
    <w:rsid w:val="00DC39FC"/>
    <w:rsid w:val="00DD23CA"/>
    <w:rsid w:val="00DD313F"/>
    <w:rsid w:val="00DD72BF"/>
    <w:rsid w:val="00DF5254"/>
    <w:rsid w:val="00E00129"/>
    <w:rsid w:val="00E16408"/>
    <w:rsid w:val="00E205F4"/>
    <w:rsid w:val="00E20894"/>
    <w:rsid w:val="00E245AB"/>
    <w:rsid w:val="00E2764C"/>
    <w:rsid w:val="00E27F2E"/>
    <w:rsid w:val="00E33232"/>
    <w:rsid w:val="00E413EA"/>
    <w:rsid w:val="00E50AFE"/>
    <w:rsid w:val="00E75C92"/>
    <w:rsid w:val="00E771DC"/>
    <w:rsid w:val="00E80A1B"/>
    <w:rsid w:val="00E859C1"/>
    <w:rsid w:val="00E8772A"/>
    <w:rsid w:val="00E90F6B"/>
    <w:rsid w:val="00E92C27"/>
    <w:rsid w:val="00EA0E3D"/>
    <w:rsid w:val="00EC38A7"/>
    <w:rsid w:val="00ED23CC"/>
    <w:rsid w:val="00EE1AA8"/>
    <w:rsid w:val="00F00835"/>
    <w:rsid w:val="00F03026"/>
    <w:rsid w:val="00F31DD9"/>
    <w:rsid w:val="00F31EDC"/>
    <w:rsid w:val="00F365E7"/>
    <w:rsid w:val="00F462B3"/>
    <w:rsid w:val="00F53FE4"/>
    <w:rsid w:val="00F5664F"/>
    <w:rsid w:val="00F616F2"/>
    <w:rsid w:val="00F666C4"/>
    <w:rsid w:val="00F70D14"/>
    <w:rsid w:val="00F76AFC"/>
    <w:rsid w:val="00FA47C0"/>
    <w:rsid w:val="00FB17AC"/>
    <w:rsid w:val="00FB5DD1"/>
    <w:rsid w:val="00FB61DF"/>
    <w:rsid w:val="00FC2B5D"/>
    <w:rsid w:val="00FE2CF7"/>
    <w:rsid w:val="00FF1449"/>
    <w:rsid w:val="11532AB5"/>
    <w:rsid w:val="34880372"/>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FA8F01DB-8DBC-48B2-86AB-4D339AC6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0429E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E4284"/>
    <w:rPr>
      <w:rFonts w:ascii="Geomanist Light" w:hAnsi="Geomanist Light"/>
      <w:lang w:val="es-ES"/>
    </w:rPr>
  </w:style>
  <w:style w:type="character" w:customStyle="1" w:styleId="superscript">
    <w:name w:val="superscript"/>
    <w:basedOn w:val="Fuentedeprrafopredeter"/>
    <w:rsid w:val="007E4284"/>
  </w:style>
  <w:style w:type="character" w:styleId="Refdecomentario">
    <w:name w:val="annotation reference"/>
    <w:basedOn w:val="Fuentedeprrafopredeter"/>
    <w:uiPriority w:val="99"/>
    <w:semiHidden/>
    <w:unhideWhenUsed/>
    <w:rsid w:val="00FE2CF7"/>
    <w:rPr>
      <w:sz w:val="16"/>
      <w:szCs w:val="16"/>
    </w:rPr>
  </w:style>
  <w:style w:type="paragraph" w:styleId="Textocomentario">
    <w:name w:val="annotation text"/>
    <w:basedOn w:val="Normal"/>
    <w:link w:val="TextocomentarioCar"/>
    <w:uiPriority w:val="99"/>
    <w:unhideWhenUsed/>
    <w:rsid w:val="00FE2CF7"/>
    <w:pPr>
      <w:spacing w:line="240" w:lineRule="auto"/>
    </w:pPr>
    <w:rPr>
      <w:sz w:val="20"/>
      <w:szCs w:val="20"/>
    </w:rPr>
  </w:style>
  <w:style w:type="character" w:customStyle="1" w:styleId="TextocomentarioCar">
    <w:name w:val="Texto comentario Car"/>
    <w:basedOn w:val="Fuentedeprrafopredeter"/>
    <w:link w:val="Textocomentario"/>
    <w:uiPriority w:val="99"/>
    <w:rsid w:val="00FE2CF7"/>
    <w:rPr>
      <w:sz w:val="20"/>
      <w:szCs w:val="20"/>
    </w:rPr>
  </w:style>
  <w:style w:type="paragraph" w:styleId="Asuntodelcomentario">
    <w:name w:val="annotation subject"/>
    <w:basedOn w:val="Textocomentario"/>
    <w:next w:val="Textocomentario"/>
    <w:link w:val="AsuntodelcomentarioCar"/>
    <w:uiPriority w:val="99"/>
    <w:semiHidden/>
    <w:unhideWhenUsed/>
    <w:rsid w:val="00FE2CF7"/>
    <w:rPr>
      <w:b/>
      <w:bCs/>
    </w:rPr>
  </w:style>
  <w:style w:type="character" w:customStyle="1" w:styleId="AsuntodelcomentarioCar">
    <w:name w:val="Asunto del comentario Car"/>
    <w:basedOn w:val="TextocomentarioCar"/>
    <w:link w:val="Asuntodelcomentario"/>
    <w:uiPriority w:val="99"/>
    <w:semiHidden/>
    <w:rsid w:val="00FE2CF7"/>
    <w:rPr>
      <w:b/>
      <w:bCs/>
      <w:sz w:val="20"/>
      <w:szCs w:val="20"/>
    </w:rPr>
  </w:style>
  <w:style w:type="paragraph" w:styleId="Textoindependiente">
    <w:name w:val="Body Text"/>
    <w:basedOn w:val="Normal"/>
    <w:link w:val="TextoindependienteCar"/>
    <w:uiPriority w:val="99"/>
    <w:unhideWhenUsed/>
    <w:rsid w:val="006408EC"/>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6408EC"/>
    <w:rPr>
      <w:rFonts w:ascii="Century Gothic" w:eastAsia="Times New Roman" w:hAnsi="Century Gothic" w:cs="Times New Roman"/>
      <w:szCs w:val="24"/>
      <w:lang w:val="es-ES" w:eastAsia="es-ES"/>
    </w:rPr>
  </w:style>
  <w:style w:type="character" w:customStyle="1" w:styleId="Hipervnculo1">
    <w:name w:val="Hipervínculo1"/>
    <w:basedOn w:val="Fuentedeprrafopredeter"/>
    <w:uiPriority w:val="99"/>
    <w:unhideWhenUsed/>
    <w:rsid w:val="00826C01"/>
    <w:rPr>
      <w:color w:val="F2F2F2"/>
      <w:u w:val="single"/>
    </w:rPr>
  </w:style>
  <w:style w:type="paragraph" w:styleId="Subttulo">
    <w:name w:val="Subtitle"/>
    <w:basedOn w:val="Normal"/>
    <w:next w:val="Normal"/>
    <w:link w:val="SubttuloCar"/>
    <w:uiPriority w:val="11"/>
    <w:qFormat/>
    <w:rsid w:val="008622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225C"/>
    <w:rPr>
      <w:rFonts w:eastAsiaTheme="majorEastAsia" w:cstheme="majorBidi"/>
      <w:color w:val="595959" w:themeColor="text1" w:themeTint="A6"/>
      <w:spacing w:val="15"/>
      <w:sz w:val="28"/>
      <w:szCs w:val="28"/>
    </w:rPr>
  </w:style>
  <w:style w:type="character" w:customStyle="1" w:styleId="NormalWebCar">
    <w:name w:val="Normal (Web) Car"/>
    <w:link w:val="NormalWeb"/>
    <w:uiPriority w:val="99"/>
    <w:rsid w:val="009063E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3601">
      <w:bodyDiv w:val="1"/>
      <w:marLeft w:val="0"/>
      <w:marRight w:val="0"/>
      <w:marTop w:val="0"/>
      <w:marBottom w:val="0"/>
      <w:divBdr>
        <w:top w:val="none" w:sz="0" w:space="0" w:color="auto"/>
        <w:left w:val="none" w:sz="0" w:space="0" w:color="auto"/>
        <w:bottom w:val="none" w:sz="0" w:space="0" w:color="auto"/>
        <w:right w:val="none" w:sz="0" w:space="0" w:color="auto"/>
      </w:divBdr>
    </w:div>
    <w:div w:id="105387671">
      <w:bodyDiv w:val="1"/>
      <w:marLeft w:val="0"/>
      <w:marRight w:val="0"/>
      <w:marTop w:val="0"/>
      <w:marBottom w:val="0"/>
      <w:divBdr>
        <w:top w:val="none" w:sz="0" w:space="0" w:color="auto"/>
        <w:left w:val="none" w:sz="0" w:space="0" w:color="auto"/>
        <w:bottom w:val="none" w:sz="0" w:space="0" w:color="auto"/>
        <w:right w:val="none" w:sz="0" w:space="0" w:color="auto"/>
      </w:divBdr>
      <w:divsChild>
        <w:div w:id="1787045836">
          <w:marLeft w:val="0"/>
          <w:marRight w:val="0"/>
          <w:marTop w:val="0"/>
          <w:marBottom w:val="0"/>
          <w:divBdr>
            <w:top w:val="none" w:sz="0" w:space="0" w:color="auto"/>
            <w:left w:val="none" w:sz="0" w:space="0" w:color="auto"/>
            <w:bottom w:val="none" w:sz="0" w:space="0" w:color="auto"/>
            <w:right w:val="none" w:sz="0" w:space="0" w:color="auto"/>
          </w:divBdr>
        </w:div>
        <w:div w:id="1132286920">
          <w:marLeft w:val="0"/>
          <w:marRight w:val="0"/>
          <w:marTop w:val="0"/>
          <w:marBottom w:val="0"/>
          <w:divBdr>
            <w:top w:val="none" w:sz="0" w:space="0" w:color="auto"/>
            <w:left w:val="none" w:sz="0" w:space="0" w:color="auto"/>
            <w:bottom w:val="none" w:sz="0" w:space="0" w:color="auto"/>
            <w:right w:val="none" w:sz="0" w:space="0" w:color="auto"/>
          </w:divBdr>
        </w:div>
        <w:div w:id="811796940">
          <w:marLeft w:val="0"/>
          <w:marRight w:val="0"/>
          <w:marTop w:val="0"/>
          <w:marBottom w:val="0"/>
          <w:divBdr>
            <w:top w:val="none" w:sz="0" w:space="0" w:color="auto"/>
            <w:left w:val="none" w:sz="0" w:space="0" w:color="auto"/>
            <w:bottom w:val="none" w:sz="0" w:space="0" w:color="auto"/>
            <w:right w:val="none" w:sz="0" w:space="0" w:color="auto"/>
          </w:divBdr>
        </w:div>
        <w:div w:id="1582368164">
          <w:marLeft w:val="0"/>
          <w:marRight w:val="0"/>
          <w:marTop w:val="0"/>
          <w:marBottom w:val="0"/>
          <w:divBdr>
            <w:top w:val="none" w:sz="0" w:space="0" w:color="auto"/>
            <w:left w:val="none" w:sz="0" w:space="0" w:color="auto"/>
            <w:bottom w:val="none" w:sz="0" w:space="0" w:color="auto"/>
            <w:right w:val="none" w:sz="0" w:space="0" w:color="auto"/>
          </w:divBdr>
        </w:div>
        <w:div w:id="1805199383">
          <w:marLeft w:val="0"/>
          <w:marRight w:val="0"/>
          <w:marTop w:val="0"/>
          <w:marBottom w:val="0"/>
          <w:divBdr>
            <w:top w:val="none" w:sz="0" w:space="0" w:color="auto"/>
            <w:left w:val="none" w:sz="0" w:space="0" w:color="auto"/>
            <w:bottom w:val="none" w:sz="0" w:space="0" w:color="auto"/>
            <w:right w:val="none" w:sz="0" w:space="0" w:color="auto"/>
          </w:divBdr>
        </w:div>
        <w:div w:id="1079444067">
          <w:marLeft w:val="0"/>
          <w:marRight w:val="0"/>
          <w:marTop w:val="0"/>
          <w:marBottom w:val="0"/>
          <w:divBdr>
            <w:top w:val="none" w:sz="0" w:space="0" w:color="auto"/>
            <w:left w:val="none" w:sz="0" w:space="0" w:color="auto"/>
            <w:bottom w:val="none" w:sz="0" w:space="0" w:color="auto"/>
            <w:right w:val="none" w:sz="0" w:space="0" w:color="auto"/>
          </w:divBdr>
        </w:div>
        <w:div w:id="1068310866">
          <w:marLeft w:val="0"/>
          <w:marRight w:val="0"/>
          <w:marTop w:val="0"/>
          <w:marBottom w:val="0"/>
          <w:divBdr>
            <w:top w:val="none" w:sz="0" w:space="0" w:color="auto"/>
            <w:left w:val="none" w:sz="0" w:space="0" w:color="auto"/>
            <w:bottom w:val="none" w:sz="0" w:space="0" w:color="auto"/>
            <w:right w:val="none" w:sz="0" w:space="0" w:color="auto"/>
          </w:divBdr>
        </w:div>
        <w:div w:id="1990671581">
          <w:marLeft w:val="0"/>
          <w:marRight w:val="0"/>
          <w:marTop w:val="0"/>
          <w:marBottom w:val="0"/>
          <w:divBdr>
            <w:top w:val="none" w:sz="0" w:space="0" w:color="auto"/>
            <w:left w:val="none" w:sz="0" w:space="0" w:color="auto"/>
            <w:bottom w:val="none" w:sz="0" w:space="0" w:color="auto"/>
            <w:right w:val="none" w:sz="0" w:space="0" w:color="auto"/>
          </w:divBdr>
        </w:div>
        <w:div w:id="717434276">
          <w:marLeft w:val="0"/>
          <w:marRight w:val="0"/>
          <w:marTop w:val="0"/>
          <w:marBottom w:val="0"/>
          <w:divBdr>
            <w:top w:val="none" w:sz="0" w:space="0" w:color="auto"/>
            <w:left w:val="none" w:sz="0" w:space="0" w:color="auto"/>
            <w:bottom w:val="none" w:sz="0" w:space="0" w:color="auto"/>
            <w:right w:val="none" w:sz="0" w:space="0" w:color="auto"/>
          </w:divBdr>
        </w:div>
        <w:div w:id="1894805643">
          <w:marLeft w:val="0"/>
          <w:marRight w:val="0"/>
          <w:marTop w:val="0"/>
          <w:marBottom w:val="0"/>
          <w:divBdr>
            <w:top w:val="none" w:sz="0" w:space="0" w:color="auto"/>
            <w:left w:val="none" w:sz="0" w:space="0" w:color="auto"/>
            <w:bottom w:val="none" w:sz="0" w:space="0" w:color="auto"/>
            <w:right w:val="none" w:sz="0" w:space="0" w:color="auto"/>
          </w:divBdr>
        </w:div>
        <w:div w:id="906574269">
          <w:marLeft w:val="0"/>
          <w:marRight w:val="0"/>
          <w:marTop w:val="0"/>
          <w:marBottom w:val="0"/>
          <w:divBdr>
            <w:top w:val="none" w:sz="0" w:space="0" w:color="auto"/>
            <w:left w:val="none" w:sz="0" w:space="0" w:color="auto"/>
            <w:bottom w:val="none" w:sz="0" w:space="0" w:color="auto"/>
            <w:right w:val="none" w:sz="0" w:space="0" w:color="auto"/>
          </w:divBdr>
        </w:div>
        <w:div w:id="443772384">
          <w:marLeft w:val="0"/>
          <w:marRight w:val="0"/>
          <w:marTop w:val="0"/>
          <w:marBottom w:val="0"/>
          <w:divBdr>
            <w:top w:val="none" w:sz="0" w:space="0" w:color="auto"/>
            <w:left w:val="none" w:sz="0" w:space="0" w:color="auto"/>
            <w:bottom w:val="none" w:sz="0" w:space="0" w:color="auto"/>
            <w:right w:val="none" w:sz="0" w:space="0" w:color="auto"/>
          </w:divBdr>
        </w:div>
        <w:div w:id="1197694946">
          <w:marLeft w:val="0"/>
          <w:marRight w:val="0"/>
          <w:marTop w:val="0"/>
          <w:marBottom w:val="0"/>
          <w:divBdr>
            <w:top w:val="none" w:sz="0" w:space="0" w:color="auto"/>
            <w:left w:val="none" w:sz="0" w:space="0" w:color="auto"/>
            <w:bottom w:val="none" w:sz="0" w:space="0" w:color="auto"/>
            <w:right w:val="none" w:sz="0" w:space="0" w:color="auto"/>
          </w:divBdr>
        </w:div>
        <w:div w:id="2034334192">
          <w:marLeft w:val="0"/>
          <w:marRight w:val="0"/>
          <w:marTop w:val="0"/>
          <w:marBottom w:val="0"/>
          <w:divBdr>
            <w:top w:val="none" w:sz="0" w:space="0" w:color="auto"/>
            <w:left w:val="none" w:sz="0" w:space="0" w:color="auto"/>
            <w:bottom w:val="none" w:sz="0" w:space="0" w:color="auto"/>
            <w:right w:val="none" w:sz="0" w:space="0" w:color="auto"/>
          </w:divBdr>
        </w:div>
        <w:div w:id="401026598">
          <w:marLeft w:val="0"/>
          <w:marRight w:val="0"/>
          <w:marTop w:val="0"/>
          <w:marBottom w:val="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3245806">
      <w:bodyDiv w:val="1"/>
      <w:marLeft w:val="0"/>
      <w:marRight w:val="0"/>
      <w:marTop w:val="0"/>
      <w:marBottom w:val="0"/>
      <w:divBdr>
        <w:top w:val="none" w:sz="0" w:space="0" w:color="auto"/>
        <w:left w:val="none" w:sz="0" w:space="0" w:color="auto"/>
        <w:bottom w:val="none" w:sz="0" w:space="0" w:color="auto"/>
        <w:right w:val="none" w:sz="0" w:space="0" w:color="auto"/>
      </w:divBdr>
    </w:div>
    <w:div w:id="340861001">
      <w:bodyDiv w:val="1"/>
      <w:marLeft w:val="0"/>
      <w:marRight w:val="0"/>
      <w:marTop w:val="0"/>
      <w:marBottom w:val="0"/>
      <w:divBdr>
        <w:top w:val="none" w:sz="0" w:space="0" w:color="auto"/>
        <w:left w:val="none" w:sz="0" w:space="0" w:color="auto"/>
        <w:bottom w:val="none" w:sz="0" w:space="0" w:color="auto"/>
        <w:right w:val="none" w:sz="0" w:space="0" w:color="auto"/>
      </w:divBdr>
      <w:divsChild>
        <w:div w:id="52392029">
          <w:marLeft w:val="0"/>
          <w:marRight w:val="0"/>
          <w:marTop w:val="0"/>
          <w:marBottom w:val="0"/>
          <w:divBdr>
            <w:top w:val="none" w:sz="0" w:space="0" w:color="auto"/>
            <w:left w:val="none" w:sz="0" w:space="0" w:color="auto"/>
            <w:bottom w:val="none" w:sz="0" w:space="0" w:color="auto"/>
            <w:right w:val="none" w:sz="0" w:space="0" w:color="auto"/>
          </w:divBdr>
        </w:div>
        <w:div w:id="1025055056">
          <w:marLeft w:val="0"/>
          <w:marRight w:val="0"/>
          <w:marTop w:val="0"/>
          <w:marBottom w:val="0"/>
          <w:divBdr>
            <w:top w:val="none" w:sz="0" w:space="0" w:color="auto"/>
            <w:left w:val="none" w:sz="0" w:space="0" w:color="auto"/>
            <w:bottom w:val="none" w:sz="0" w:space="0" w:color="auto"/>
            <w:right w:val="none" w:sz="0" w:space="0" w:color="auto"/>
          </w:divBdr>
        </w:div>
      </w:divsChild>
    </w:div>
    <w:div w:id="393167836">
      <w:bodyDiv w:val="1"/>
      <w:marLeft w:val="0"/>
      <w:marRight w:val="0"/>
      <w:marTop w:val="0"/>
      <w:marBottom w:val="0"/>
      <w:divBdr>
        <w:top w:val="none" w:sz="0" w:space="0" w:color="auto"/>
        <w:left w:val="none" w:sz="0" w:space="0" w:color="auto"/>
        <w:bottom w:val="none" w:sz="0" w:space="0" w:color="auto"/>
        <w:right w:val="none" w:sz="0" w:space="0" w:color="auto"/>
      </w:divBdr>
    </w:div>
    <w:div w:id="501429416">
      <w:bodyDiv w:val="1"/>
      <w:marLeft w:val="0"/>
      <w:marRight w:val="0"/>
      <w:marTop w:val="0"/>
      <w:marBottom w:val="0"/>
      <w:divBdr>
        <w:top w:val="none" w:sz="0" w:space="0" w:color="auto"/>
        <w:left w:val="none" w:sz="0" w:space="0" w:color="auto"/>
        <w:bottom w:val="none" w:sz="0" w:space="0" w:color="auto"/>
        <w:right w:val="none" w:sz="0" w:space="0" w:color="auto"/>
      </w:divBdr>
      <w:divsChild>
        <w:div w:id="1893999500">
          <w:marLeft w:val="0"/>
          <w:marRight w:val="0"/>
          <w:marTop w:val="0"/>
          <w:marBottom w:val="0"/>
          <w:divBdr>
            <w:top w:val="none" w:sz="0" w:space="0" w:color="auto"/>
            <w:left w:val="none" w:sz="0" w:space="0" w:color="auto"/>
            <w:bottom w:val="none" w:sz="0" w:space="0" w:color="auto"/>
            <w:right w:val="none" w:sz="0" w:space="0" w:color="auto"/>
          </w:divBdr>
        </w:div>
        <w:div w:id="1194226046">
          <w:marLeft w:val="0"/>
          <w:marRight w:val="0"/>
          <w:marTop w:val="0"/>
          <w:marBottom w:val="0"/>
          <w:divBdr>
            <w:top w:val="none" w:sz="0" w:space="0" w:color="auto"/>
            <w:left w:val="none" w:sz="0" w:space="0" w:color="auto"/>
            <w:bottom w:val="none" w:sz="0" w:space="0" w:color="auto"/>
            <w:right w:val="none" w:sz="0" w:space="0" w:color="auto"/>
          </w:divBdr>
        </w:div>
        <w:div w:id="264852099">
          <w:marLeft w:val="0"/>
          <w:marRight w:val="0"/>
          <w:marTop w:val="0"/>
          <w:marBottom w:val="0"/>
          <w:divBdr>
            <w:top w:val="none" w:sz="0" w:space="0" w:color="auto"/>
            <w:left w:val="none" w:sz="0" w:space="0" w:color="auto"/>
            <w:bottom w:val="none" w:sz="0" w:space="0" w:color="auto"/>
            <w:right w:val="none" w:sz="0" w:space="0" w:color="auto"/>
          </w:divBdr>
        </w:div>
        <w:div w:id="149905688">
          <w:marLeft w:val="0"/>
          <w:marRight w:val="0"/>
          <w:marTop w:val="0"/>
          <w:marBottom w:val="0"/>
          <w:divBdr>
            <w:top w:val="none" w:sz="0" w:space="0" w:color="auto"/>
            <w:left w:val="none" w:sz="0" w:space="0" w:color="auto"/>
            <w:bottom w:val="none" w:sz="0" w:space="0" w:color="auto"/>
            <w:right w:val="none" w:sz="0" w:space="0" w:color="auto"/>
          </w:divBdr>
        </w:div>
        <w:div w:id="766392320">
          <w:marLeft w:val="0"/>
          <w:marRight w:val="0"/>
          <w:marTop w:val="0"/>
          <w:marBottom w:val="0"/>
          <w:divBdr>
            <w:top w:val="none" w:sz="0" w:space="0" w:color="auto"/>
            <w:left w:val="none" w:sz="0" w:space="0" w:color="auto"/>
            <w:bottom w:val="none" w:sz="0" w:space="0" w:color="auto"/>
            <w:right w:val="none" w:sz="0" w:space="0" w:color="auto"/>
          </w:divBdr>
        </w:div>
        <w:div w:id="1112555544">
          <w:marLeft w:val="0"/>
          <w:marRight w:val="0"/>
          <w:marTop w:val="0"/>
          <w:marBottom w:val="0"/>
          <w:divBdr>
            <w:top w:val="none" w:sz="0" w:space="0" w:color="auto"/>
            <w:left w:val="none" w:sz="0" w:space="0" w:color="auto"/>
            <w:bottom w:val="none" w:sz="0" w:space="0" w:color="auto"/>
            <w:right w:val="none" w:sz="0" w:space="0" w:color="auto"/>
          </w:divBdr>
        </w:div>
        <w:div w:id="857087325">
          <w:marLeft w:val="0"/>
          <w:marRight w:val="0"/>
          <w:marTop w:val="0"/>
          <w:marBottom w:val="0"/>
          <w:divBdr>
            <w:top w:val="none" w:sz="0" w:space="0" w:color="auto"/>
            <w:left w:val="none" w:sz="0" w:space="0" w:color="auto"/>
            <w:bottom w:val="none" w:sz="0" w:space="0" w:color="auto"/>
            <w:right w:val="none" w:sz="0" w:space="0" w:color="auto"/>
          </w:divBdr>
        </w:div>
        <w:div w:id="487594034">
          <w:marLeft w:val="0"/>
          <w:marRight w:val="0"/>
          <w:marTop w:val="0"/>
          <w:marBottom w:val="0"/>
          <w:divBdr>
            <w:top w:val="none" w:sz="0" w:space="0" w:color="auto"/>
            <w:left w:val="none" w:sz="0" w:space="0" w:color="auto"/>
            <w:bottom w:val="none" w:sz="0" w:space="0" w:color="auto"/>
            <w:right w:val="none" w:sz="0" w:space="0" w:color="auto"/>
          </w:divBdr>
        </w:div>
        <w:div w:id="1642684833">
          <w:marLeft w:val="0"/>
          <w:marRight w:val="0"/>
          <w:marTop w:val="0"/>
          <w:marBottom w:val="0"/>
          <w:divBdr>
            <w:top w:val="none" w:sz="0" w:space="0" w:color="auto"/>
            <w:left w:val="none" w:sz="0" w:space="0" w:color="auto"/>
            <w:bottom w:val="none" w:sz="0" w:space="0" w:color="auto"/>
            <w:right w:val="none" w:sz="0" w:space="0" w:color="auto"/>
          </w:divBdr>
        </w:div>
        <w:div w:id="57217864">
          <w:marLeft w:val="0"/>
          <w:marRight w:val="0"/>
          <w:marTop w:val="0"/>
          <w:marBottom w:val="0"/>
          <w:divBdr>
            <w:top w:val="none" w:sz="0" w:space="0" w:color="auto"/>
            <w:left w:val="none" w:sz="0" w:space="0" w:color="auto"/>
            <w:bottom w:val="none" w:sz="0" w:space="0" w:color="auto"/>
            <w:right w:val="none" w:sz="0" w:space="0" w:color="auto"/>
          </w:divBdr>
        </w:div>
        <w:div w:id="1358509804">
          <w:marLeft w:val="0"/>
          <w:marRight w:val="0"/>
          <w:marTop w:val="0"/>
          <w:marBottom w:val="0"/>
          <w:divBdr>
            <w:top w:val="none" w:sz="0" w:space="0" w:color="auto"/>
            <w:left w:val="none" w:sz="0" w:space="0" w:color="auto"/>
            <w:bottom w:val="none" w:sz="0" w:space="0" w:color="auto"/>
            <w:right w:val="none" w:sz="0" w:space="0" w:color="auto"/>
          </w:divBdr>
        </w:div>
        <w:div w:id="125199560">
          <w:marLeft w:val="0"/>
          <w:marRight w:val="0"/>
          <w:marTop w:val="0"/>
          <w:marBottom w:val="0"/>
          <w:divBdr>
            <w:top w:val="none" w:sz="0" w:space="0" w:color="auto"/>
            <w:left w:val="none" w:sz="0" w:space="0" w:color="auto"/>
            <w:bottom w:val="none" w:sz="0" w:space="0" w:color="auto"/>
            <w:right w:val="none" w:sz="0" w:space="0" w:color="auto"/>
          </w:divBdr>
        </w:div>
        <w:div w:id="1806658042">
          <w:marLeft w:val="0"/>
          <w:marRight w:val="0"/>
          <w:marTop w:val="0"/>
          <w:marBottom w:val="0"/>
          <w:divBdr>
            <w:top w:val="none" w:sz="0" w:space="0" w:color="auto"/>
            <w:left w:val="none" w:sz="0" w:space="0" w:color="auto"/>
            <w:bottom w:val="none" w:sz="0" w:space="0" w:color="auto"/>
            <w:right w:val="none" w:sz="0" w:space="0" w:color="auto"/>
          </w:divBdr>
        </w:div>
        <w:div w:id="907230738">
          <w:marLeft w:val="0"/>
          <w:marRight w:val="0"/>
          <w:marTop w:val="0"/>
          <w:marBottom w:val="0"/>
          <w:divBdr>
            <w:top w:val="none" w:sz="0" w:space="0" w:color="auto"/>
            <w:left w:val="none" w:sz="0" w:space="0" w:color="auto"/>
            <w:bottom w:val="none" w:sz="0" w:space="0" w:color="auto"/>
            <w:right w:val="none" w:sz="0" w:space="0" w:color="auto"/>
          </w:divBdr>
        </w:div>
        <w:div w:id="1551066930">
          <w:marLeft w:val="0"/>
          <w:marRight w:val="0"/>
          <w:marTop w:val="0"/>
          <w:marBottom w:val="0"/>
          <w:divBdr>
            <w:top w:val="none" w:sz="0" w:space="0" w:color="auto"/>
            <w:left w:val="none" w:sz="0" w:space="0" w:color="auto"/>
            <w:bottom w:val="none" w:sz="0" w:space="0" w:color="auto"/>
            <w:right w:val="none" w:sz="0" w:space="0" w:color="auto"/>
          </w:divBdr>
        </w:div>
      </w:divsChild>
    </w:div>
    <w:div w:id="58866232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174313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4973058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291937720">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48113002">
      <w:bodyDiv w:val="1"/>
      <w:marLeft w:val="0"/>
      <w:marRight w:val="0"/>
      <w:marTop w:val="0"/>
      <w:marBottom w:val="0"/>
      <w:divBdr>
        <w:top w:val="none" w:sz="0" w:space="0" w:color="auto"/>
        <w:left w:val="none" w:sz="0" w:space="0" w:color="auto"/>
        <w:bottom w:val="none" w:sz="0" w:space="0" w:color="auto"/>
        <w:right w:val="none" w:sz="0" w:space="0" w:color="auto"/>
      </w:divBdr>
    </w:div>
    <w:div w:id="1548293287">
      <w:bodyDiv w:val="1"/>
      <w:marLeft w:val="0"/>
      <w:marRight w:val="0"/>
      <w:marTop w:val="0"/>
      <w:marBottom w:val="0"/>
      <w:divBdr>
        <w:top w:val="none" w:sz="0" w:space="0" w:color="auto"/>
        <w:left w:val="none" w:sz="0" w:space="0" w:color="auto"/>
        <w:bottom w:val="none" w:sz="0" w:space="0" w:color="auto"/>
        <w:right w:val="none" w:sz="0" w:space="0" w:color="auto"/>
      </w:divBdr>
    </w:div>
    <w:div w:id="1628395367">
      <w:bodyDiv w:val="1"/>
      <w:marLeft w:val="0"/>
      <w:marRight w:val="0"/>
      <w:marTop w:val="0"/>
      <w:marBottom w:val="0"/>
      <w:divBdr>
        <w:top w:val="none" w:sz="0" w:space="0" w:color="auto"/>
        <w:left w:val="none" w:sz="0" w:space="0" w:color="auto"/>
        <w:bottom w:val="none" w:sz="0" w:space="0" w:color="auto"/>
        <w:right w:val="none" w:sz="0" w:space="0" w:color="auto"/>
      </w:divBdr>
      <w:divsChild>
        <w:div w:id="1332220306">
          <w:marLeft w:val="0"/>
          <w:marRight w:val="0"/>
          <w:marTop w:val="0"/>
          <w:marBottom w:val="0"/>
          <w:divBdr>
            <w:top w:val="none" w:sz="0" w:space="0" w:color="auto"/>
            <w:left w:val="none" w:sz="0" w:space="0" w:color="auto"/>
            <w:bottom w:val="none" w:sz="0" w:space="0" w:color="auto"/>
            <w:right w:val="none" w:sz="0" w:space="0" w:color="auto"/>
          </w:divBdr>
        </w:div>
        <w:div w:id="493423049">
          <w:marLeft w:val="0"/>
          <w:marRight w:val="0"/>
          <w:marTop w:val="0"/>
          <w:marBottom w:val="0"/>
          <w:divBdr>
            <w:top w:val="none" w:sz="0" w:space="0" w:color="auto"/>
            <w:left w:val="none" w:sz="0" w:space="0" w:color="auto"/>
            <w:bottom w:val="none" w:sz="0" w:space="0" w:color="auto"/>
            <w:right w:val="none" w:sz="0" w:space="0" w:color="auto"/>
          </w:divBdr>
        </w:div>
      </w:divsChild>
    </w:div>
    <w:div w:id="1778140693">
      <w:bodyDiv w:val="1"/>
      <w:marLeft w:val="0"/>
      <w:marRight w:val="0"/>
      <w:marTop w:val="0"/>
      <w:marBottom w:val="0"/>
      <w:divBdr>
        <w:top w:val="none" w:sz="0" w:space="0" w:color="auto"/>
        <w:left w:val="none" w:sz="0" w:space="0" w:color="auto"/>
        <w:bottom w:val="none" w:sz="0" w:space="0" w:color="auto"/>
        <w:right w:val="none" w:sz="0" w:space="0" w:color="auto"/>
      </w:divBdr>
    </w:div>
    <w:div w:id="195759140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hyperlink" Target="https://www.colombiacompra.gov.co/sala-de-prensa/boletin-digital/boletin-de-relatoria-2024-vi-modalidad-de-seleccion-de-seleccion-d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40A80-089F-4EB1-B228-7AE8D1987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0DDB392-B908-4004-92D4-CBA7D1126A5C}">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5413</Words>
  <Characters>29450</Characters>
  <Application>Microsoft Office Word</Application>
  <DocSecurity>0</DocSecurity>
  <Lines>654</Lines>
  <Paragraphs>138</Paragraphs>
  <ScaleCrop>false</ScaleCrop>
  <Company/>
  <LinksUpToDate>false</LinksUpToDate>
  <CharactersWithSpaces>34725</CharactersWithSpaces>
  <SharedDoc>false</SharedDoc>
  <HLinks>
    <vt:vector size="48" baseType="variant">
      <vt:variant>
        <vt:i4>4587592</vt:i4>
      </vt:variant>
      <vt:variant>
        <vt:i4>18</vt:i4>
      </vt:variant>
      <vt:variant>
        <vt:i4>0</vt:i4>
      </vt:variant>
      <vt:variant>
        <vt:i4>5</vt:i4>
      </vt:variant>
      <vt:variant>
        <vt:lpwstr>https://www.colombiacompra.gov.co/sala-de-prensa/boletin-digital/boletin-de-relatoria-2024-vi-modalidad-de-seleccion-de-seleccion-de</vt:lpwstr>
      </vt:variant>
      <vt:variant>
        <vt:lpwstr/>
      </vt:variant>
      <vt:variant>
        <vt:i4>7405638</vt:i4>
      </vt:variant>
      <vt:variant>
        <vt:i4>15</vt:i4>
      </vt:variant>
      <vt:variant>
        <vt:i4>0</vt:i4>
      </vt:variant>
      <vt:variant>
        <vt:i4>5</vt:i4>
      </vt:variant>
      <vt:variant>
        <vt:lpwstr>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vt:lpwstr>
      </vt:variant>
      <vt:variant>
        <vt:lpwstr/>
      </vt:variant>
      <vt:variant>
        <vt:i4>6553712</vt:i4>
      </vt:variant>
      <vt:variant>
        <vt:i4>12</vt:i4>
      </vt:variant>
      <vt:variant>
        <vt:i4>0</vt:i4>
      </vt:variant>
      <vt:variant>
        <vt:i4>5</vt:i4>
      </vt:variant>
      <vt:variant>
        <vt:lpwstr>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vt:lpwstr>
      </vt:variant>
      <vt:variant>
        <vt:lpwstr/>
      </vt:variant>
      <vt:variant>
        <vt:i4>1638475</vt:i4>
      </vt:variant>
      <vt:variant>
        <vt:i4>9</vt:i4>
      </vt:variant>
      <vt:variant>
        <vt:i4>0</vt:i4>
      </vt:variant>
      <vt:variant>
        <vt:i4>5</vt:i4>
      </vt:variant>
      <vt:variant>
        <vt:lpwstr>about:blank</vt:lpwstr>
      </vt:variant>
      <vt:variant>
        <vt:lpwstr>267</vt:lpwstr>
      </vt:variant>
      <vt:variant>
        <vt:i4>2031691</vt:i4>
      </vt:variant>
      <vt:variant>
        <vt:i4>6</vt:i4>
      </vt:variant>
      <vt:variant>
        <vt:i4>0</vt:i4>
      </vt:variant>
      <vt:variant>
        <vt:i4>5</vt:i4>
      </vt:variant>
      <vt:variant>
        <vt:lpwstr>about:blank</vt:lpwstr>
      </vt:variant>
      <vt:variant>
        <vt:lpwstr>209</vt:lpwstr>
      </vt:variant>
      <vt:variant>
        <vt:i4>1638475</vt:i4>
      </vt:variant>
      <vt:variant>
        <vt:i4>3</vt:i4>
      </vt:variant>
      <vt:variant>
        <vt:i4>0</vt:i4>
      </vt:variant>
      <vt:variant>
        <vt:i4>5</vt:i4>
      </vt:variant>
      <vt:variant>
        <vt:lpwstr>about:blank</vt:lpwstr>
      </vt:variant>
      <vt:variant>
        <vt:lpwstr>267</vt:lpwstr>
      </vt:variant>
      <vt:variant>
        <vt:i4>2031691</vt:i4>
      </vt:variant>
      <vt:variant>
        <vt:i4>0</vt:i4>
      </vt:variant>
      <vt:variant>
        <vt:i4>0</vt:i4>
      </vt:variant>
      <vt:variant>
        <vt:i4>5</vt:i4>
      </vt:variant>
      <vt:variant>
        <vt:lpwstr>about:blank</vt:lpwstr>
      </vt:variant>
      <vt:variant>
        <vt:lpwstr>209</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2025-10-07T15:39:00Z</dcterms:created>
  <dcterms:modified xsi:type="dcterms:W3CDTF">2025-10-07T15:39:00Z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