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2BA32" w14:textId="2137DE5B" w:rsidR="000D65DA" w:rsidRDefault="001A09ED" w:rsidP="00E245AB">
      <w:pPr>
        <w:spacing w:after="0"/>
        <w:rPr>
          <w:rFonts w:ascii="Verdana" w:hAnsi="Verdana"/>
        </w:rPr>
      </w:pPr>
      <w:bookmarkStart w:id="0" w:name="_Hlk143780582"/>
      <w:r>
        <w:rPr>
          <w:rFonts w:ascii="Verdana" w:hAnsi="Verdana"/>
        </w:rPr>
        <w:tab/>
      </w:r>
    </w:p>
    <w:p w14:paraId="18B08F01" w14:textId="77777777" w:rsidR="00B63548" w:rsidRPr="00B63548" w:rsidRDefault="00B63548" w:rsidP="00B63548">
      <w:pPr>
        <w:spacing w:after="0" w:line="240" w:lineRule="auto"/>
        <w:contextualSpacing/>
        <w:jc w:val="both"/>
        <w:rPr>
          <w:rFonts w:ascii="Verdana" w:eastAsia="Times New Roman" w:hAnsi="Verdana" w:cs="Arial"/>
          <w:b/>
          <w:bCs/>
          <w:sz w:val="20"/>
          <w:szCs w:val="20"/>
          <w:lang w:val="es-ES_tradnl" w:eastAsia="es-MX"/>
        </w:rPr>
      </w:pPr>
      <w:r w:rsidRPr="00B63548">
        <w:rPr>
          <w:rFonts w:ascii="Verdana" w:eastAsia="Times New Roman" w:hAnsi="Verdana" w:cs="Arial"/>
          <w:b/>
          <w:bCs/>
          <w:sz w:val="20"/>
          <w:szCs w:val="20"/>
          <w:lang w:val="es-ES_tradnl" w:eastAsia="es-MX"/>
        </w:rPr>
        <w:t xml:space="preserve">REQUISITOS HABILITANTES – Concepto </w:t>
      </w:r>
    </w:p>
    <w:p w14:paraId="486ADAC7" w14:textId="77777777" w:rsidR="00B63548" w:rsidRPr="00B63548" w:rsidRDefault="00B63548" w:rsidP="00B63548">
      <w:pPr>
        <w:spacing w:after="0" w:line="240" w:lineRule="auto"/>
        <w:contextualSpacing/>
        <w:jc w:val="both"/>
        <w:rPr>
          <w:rFonts w:ascii="Verdana" w:eastAsia="Times New Roman" w:hAnsi="Verdana" w:cs="Arial"/>
          <w:b/>
          <w:bCs/>
          <w:sz w:val="20"/>
          <w:szCs w:val="20"/>
          <w:lang w:val="es-ES_tradnl" w:eastAsia="es-MX"/>
        </w:rPr>
      </w:pPr>
    </w:p>
    <w:p w14:paraId="4657CDB9" w14:textId="77777777" w:rsidR="00B63548" w:rsidRPr="00B63548" w:rsidRDefault="00B63548" w:rsidP="00B63548">
      <w:pPr>
        <w:spacing w:after="0" w:line="240" w:lineRule="auto"/>
        <w:contextualSpacing/>
        <w:jc w:val="both"/>
        <w:rPr>
          <w:rFonts w:ascii="Verdana" w:eastAsia="Calibri" w:hAnsi="Verdana" w:cs="Arial"/>
          <w:sz w:val="20"/>
          <w:szCs w:val="20"/>
          <w:lang w:val="es-ES_tradnl" w:eastAsia="es-MX"/>
        </w:rPr>
      </w:pPr>
      <w:r w:rsidRPr="00B63548">
        <w:rPr>
          <w:rFonts w:ascii="Verdana" w:eastAsia="Calibri" w:hAnsi="Verdana" w:cs="Arial"/>
          <w:sz w:val="20"/>
          <w:szCs w:val="20"/>
          <w:lang w:val="es-ES_tradnl" w:eastAsia="es-MX"/>
        </w:rPr>
        <w:t xml:space="preserve">Los </w:t>
      </w:r>
      <w:r w:rsidRPr="00B63548">
        <w:rPr>
          <w:rFonts w:ascii="Verdana" w:eastAsia="Calibri" w:hAnsi="Verdana" w:cs="Arial"/>
          <w:i/>
          <w:iCs/>
          <w:sz w:val="20"/>
          <w:szCs w:val="20"/>
          <w:lang w:val="es-ES_tradnl" w:eastAsia="es-MX"/>
        </w:rPr>
        <w:t>requisitos habilitantes</w:t>
      </w:r>
      <w:r w:rsidRPr="00B63548">
        <w:rPr>
          <w:rFonts w:ascii="Verdana" w:eastAsia="Calibri" w:hAnsi="Verdana" w:cs="Arial"/>
          <w:sz w:val="20"/>
          <w:szCs w:val="20"/>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 – es decir, en el Pliego de Condiciones o el documento equivalente a este –. Se diferencian de los </w:t>
      </w:r>
      <w:r w:rsidRPr="00B63548">
        <w:rPr>
          <w:rFonts w:ascii="Verdana" w:eastAsia="Calibri" w:hAnsi="Verdana" w:cs="Arial"/>
          <w:i/>
          <w:iCs/>
          <w:sz w:val="20"/>
          <w:szCs w:val="20"/>
          <w:lang w:val="es-ES_tradnl" w:eastAsia="es-MX"/>
        </w:rPr>
        <w:t>criterios de evaluación</w:t>
      </w:r>
      <w:r w:rsidRPr="00B63548">
        <w:rPr>
          <w:rFonts w:ascii="Verdana" w:eastAsia="Calibri" w:hAnsi="Verdana" w:cs="Arial"/>
          <w:sz w:val="20"/>
          <w:szCs w:val="20"/>
          <w:lang w:val="es-ES_tradnl" w:eastAsia="es-MX"/>
        </w:rPr>
        <w:t xml:space="preserve"> – también conocidos como criterios de calificación – en que estos son los factores definidos por la Entidad Estatal para la asignación de puntaje en el momento de la comparación de las ofertas y que, a partir de su ponderación, permiten establecer el orden de elegibilidad y, por ende, la propuesta ganadora. </w:t>
      </w:r>
    </w:p>
    <w:p w14:paraId="317C0C59"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p>
    <w:p w14:paraId="7EF27983" w14:textId="77777777" w:rsidR="00B63548" w:rsidRPr="00B63548" w:rsidRDefault="00B63548" w:rsidP="00B63548">
      <w:pPr>
        <w:spacing w:after="0" w:line="240" w:lineRule="auto"/>
        <w:contextualSpacing/>
        <w:jc w:val="both"/>
        <w:rPr>
          <w:rFonts w:ascii="Verdana" w:eastAsia="Calibri" w:hAnsi="Verdana" w:cs="Arial"/>
          <w:sz w:val="20"/>
          <w:szCs w:val="20"/>
          <w:lang w:val="es-ES_tradnl" w:eastAsia="es-MX"/>
        </w:rPr>
      </w:pPr>
      <w:r w:rsidRPr="00B63548">
        <w:rPr>
          <w:rFonts w:ascii="Verdana" w:eastAsia="Times New Roman" w:hAnsi="Verdana" w:cs="Arial"/>
          <w:sz w:val="20"/>
          <w:szCs w:val="20"/>
          <w:lang w:eastAsia="es-ES_tradnl"/>
        </w:rPr>
        <w:t xml:space="preserve">[…] </w:t>
      </w:r>
      <w:r w:rsidRPr="00B63548">
        <w:rPr>
          <w:rFonts w:ascii="Verdana" w:eastAsia="Calibri" w:hAnsi="Verdana" w:cs="Arial"/>
          <w:sz w:val="20"/>
          <w:szCs w:val="20"/>
          <w:lang w:val="es-ES_tradnl" w:eastAsia="es-MX"/>
        </w:rPr>
        <w:t>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372C85DC" w14:textId="77777777" w:rsidR="00B63548" w:rsidRPr="00B63548" w:rsidRDefault="00B63548" w:rsidP="00B63548">
      <w:pPr>
        <w:spacing w:after="0" w:line="240" w:lineRule="auto"/>
        <w:contextualSpacing/>
        <w:jc w:val="both"/>
        <w:rPr>
          <w:rFonts w:ascii="Verdana" w:eastAsia="Calibri" w:hAnsi="Verdana" w:cs="Arial"/>
          <w:sz w:val="20"/>
          <w:szCs w:val="20"/>
          <w:lang w:val="es-ES_tradnl" w:eastAsia="es-MX"/>
        </w:rPr>
      </w:pPr>
    </w:p>
    <w:p w14:paraId="421818B9" w14:textId="77777777" w:rsidR="00B63548" w:rsidRPr="00B63548" w:rsidRDefault="00B63548" w:rsidP="00B63548">
      <w:pPr>
        <w:spacing w:after="0" w:line="240" w:lineRule="auto"/>
        <w:contextualSpacing/>
        <w:jc w:val="both"/>
        <w:rPr>
          <w:rFonts w:ascii="Verdana" w:eastAsia="Times New Roman" w:hAnsi="Verdana" w:cs="Arial"/>
          <w:b/>
          <w:bCs/>
          <w:sz w:val="20"/>
          <w:szCs w:val="20"/>
          <w:lang w:val="es-ES_tradnl" w:eastAsia="es-MX"/>
        </w:rPr>
      </w:pPr>
      <w:r w:rsidRPr="00B63548">
        <w:rPr>
          <w:rFonts w:ascii="Verdana" w:eastAsia="Times New Roman" w:hAnsi="Verdana" w:cs="Arial"/>
          <w:b/>
          <w:bCs/>
          <w:sz w:val="20"/>
          <w:szCs w:val="20"/>
          <w:lang w:val="es-ES_tradnl" w:eastAsia="es-MX"/>
        </w:rPr>
        <w:t>REQUISITOS HABILITANTES – Carácter enunciativo – Artículo 5 de la Ley 1150 de 2007</w:t>
      </w:r>
    </w:p>
    <w:p w14:paraId="317935D8" w14:textId="77777777" w:rsidR="00B63548" w:rsidRPr="00B63548" w:rsidRDefault="00B63548" w:rsidP="00B63548">
      <w:pPr>
        <w:spacing w:after="0" w:line="240" w:lineRule="auto"/>
        <w:contextualSpacing/>
        <w:jc w:val="both"/>
        <w:rPr>
          <w:rFonts w:ascii="Verdana" w:eastAsia="Times New Roman" w:hAnsi="Verdana" w:cs="Arial"/>
          <w:b/>
          <w:bCs/>
          <w:sz w:val="20"/>
          <w:szCs w:val="20"/>
          <w:lang w:val="es-ES_tradnl" w:eastAsia="es-MX"/>
        </w:rPr>
      </w:pPr>
    </w:p>
    <w:p w14:paraId="121361A2" w14:textId="77777777" w:rsidR="00B63548" w:rsidRPr="00B63548" w:rsidRDefault="00B63548" w:rsidP="00B63548">
      <w:pPr>
        <w:spacing w:after="0" w:line="240" w:lineRule="auto"/>
        <w:contextualSpacing/>
        <w:jc w:val="both"/>
        <w:rPr>
          <w:rFonts w:ascii="Verdana" w:eastAsia="Times New Roman" w:hAnsi="Verdana" w:cs="Arial"/>
          <w:sz w:val="20"/>
          <w:szCs w:val="20"/>
          <w:lang w:val="es-ES_tradnl" w:eastAsia="es-MX"/>
        </w:rPr>
      </w:pPr>
      <w:r w:rsidRPr="00B63548">
        <w:rPr>
          <w:rFonts w:ascii="Verdana" w:eastAsia="Times New Roman" w:hAnsi="Verdana" w:cs="Arial"/>
          <w:sz w:val="20"/>
          <w:szCs w:val="20"/>
          <w:lang w:val="es-ES_tradnl" w:eastAsia="es-MX"/>
        </w:rPr>
        <w:t xml:space="preserve">La Agencia Nacional de Contratación Pública – Colombia Compra Eficiente ha defendido el carácter </w:t>
      </w:r>
      <w:r w:rsidRPr="00B63548">
        <w:rPr>
          <w:rFonts w:ascii="Verdana" w:eastAsia="Times New Roman" w:hAnsi="Verdana" w:cs="Arial"/>
          <w:i/>
          <w:iCs/>
          <w:sz w:val="20"/>
          <w:szCs w:val="20"/>
          <w:lang w:val="es-ES_tradnl" w:eastAsia="es-MX"/>
        </w:rPr>
        <w:t>enunciativo</w:t>
      </w:r>
      <w:r w:rsidRPr="00B63548">
        <w:rPr>
          <w:rFonts w:ascii="Verdana" w:eastAsia="Times New Roman" w:hAnsi="Verdana" w:cs="Arial"/>
          <w:sz w:val="20"/>
          <w:szCs w:val="20"/>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0C95463E" w14:textId="77777777" w:rsidR="00B63548" w:rsidRPr="00B63548" w:rsidRDefault="00B63548" w:rsidP="00B63548">
      <w:pPr>
        <w:spacing w:after="0" w:line="240" w:lineRule="auto"/>
        <w:contextualSpacing/>
        <w:jc w:val="both"/>
        <w:rPr>
          <w:rFonts w:ascii="Verdana" w:eastAsia="Times New Roman" w:hAnsi="Verdana" w:cs="Arial"/>
          <w:sz w:val="20"/>
          <w:szCs w:val="20"/>
          <w:lang w:val="es-ES_tradnl" w:eastAsia="es-MX"/>
        </w:rPr>
      </w:pPr>
    </w:p>
    <w:p w14:paraId="55B46973" w14:textId="77777777" w:rsidR="00B63548" w:rsidRPr="00B63548" w:rsidRDefault="00B63548" w:rsidP="00B63548">
      <w:pPr>
        <w:spacing w:after="0" w:line="240" w:lineRule="auto"/>
        <w:contextualSpacing/>
        <w:jc w:val="both"/>
        <w:rPr>
          <w:rFonts w:ascii="Verdana" w:eastAsia="Times New Roman" w:hAnsi="Verdana" w:cs="Arial"/>
          <w:sz w:val="20"/>
          <w:szCs w:val="20"/>
          <w:lang w:val="es-ES_tradnl" w:eastAsia="es-MX"/>
        </w:rPr>
      </w:pPr>
      <w:r w:rsidRPr="00B63548">
        <w:rPr>
          <w:rFonts w:ascii="Verdana" w:eastAsia="Times New Roman" w:hAnsi="Verdana" w:cs="Arial"/>
          <w:sz w:val="20"/>
          <w:szCs w:val="20"/>
          <w:lang w:val="es-ES_tradnl" w:eastAsia="es-MX"/>
        </w:rPr>
        <w:t xml:space="preserve">[…]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053E5213" w14:textId="77777777" w:rsidR="00B63548" w:rsidRPr="00B63548" w:rsidRDefault="00B63548" w:rsidP="00B63548">
      <w:pPr>
        <w:spacing w:after="0" w:line="240" w:lineRule="auto"/>
        <w:contextualSpacing/>
        <w:jc w:val="both"/>
        <w:rPr>
          <w:rFonts w:ascii="Verdana" w:eastAsia="Times New Roman" w:hAnsi="Verdana" w:cs="Arial"/>
          <w:sz w:val="20"/>
          <w:szCs w:val="20"/>
          <w:lang w:val="es-ES_tradnl" w:eastAsia="es-MX"/>
        </w:rPr>
      </w:pPr>
    </w:p>
    <w:p w14:paraId="42DF4897" w14:textId="77777777" w:rsidR="00B63548" w:rsidRPr="00B63548" w:rsidRDefault="00B63548" w:rsidP="7D9C0904">
      <w:pPr>
        <w:tabs>
          <w:tab w:val="left" w:pos="426"/>
        </w:tabs>
        <w:spacing w:after="0" w:line="240" w:lineRule="auto"/>
        <w:contextualSpacing/>
        <w:jc w:val="both"/>
        <w:rPr>
          <w:rFonts w:ascii="Verdana" w:eastAsia="Times New Roman" w:hAnsi="Verdana" w:cs="Arial"/>
          <w:sz w:val="20"/>
          <w:szCs w:val="20"/>
          <w:lang w:val="es-ES" w:eastAsia="es-MX"/>
        </w:rPr>
      </w:pPr>
      <w:r w:rsidRPr="7D9C0904">
        <w:rPr>
          <w:rFonts w:ascii="Verdana" w:eastAsia="Times New Roman" w:hAnsi="Verdana" w:cs="Arial"/>
          <w:sz w:val="20"/>
          <w:szCs w:val="20"/>
          <w:lang w:val="es-ES" w:eastAsia="es-MX"/>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p w14:paraId="0AF0B0B6" w14:textId="77777777" w:rsidR="00B63548" w:rsidRPr="00B63548" w:rsidRDefault="00B63548" w:rsidP="00B63548">
      <w:pPr>
        <w:spacing w:after="0" w:line="240" w:lineRule="auto"/>
        <w:contextualSpacing/>
        <w:jc w:val="both"/>
        <w:rPr>
          <w:rFonts w:ascii="Verdana" w:eastAsia="Calibri" w:hAnsi="Verdana" w:cs="Arial"/>
          <w:b/>
          <w:sz w:val="20"/>
          <w:szCs w:val="20"/>
          <w:lang w:eastAsia="es-ES_tradnl"/>
        </w:rPr>
      </w:pPr>
    </w:p>
    <w:p w14:paraId="4EB7E027" w14:textId="77777777" w:rsidR="00B63548" w:rsidRPr="00B63548" w:rsidRDefault="00B63548" w:rsidP="00B63548">
      <w:pPr>
        <w:spacing w:after="0" w:line="240" w:lineRule="auto"/>
        <w:contextualSpacing/>
        <w:jc w:val="both"/>
        <w:rPr>
          <w:rFonts w:ascii="Verdana" w:eastAsia="Calibri" w:hAnsi="Verdana" w:cs="Arial"/>
          <w:b/>
          <w:sz w:val="20"/>
          <w:szCs w:val="20"/>
          <w:lang w:eastAsia="es-ES_tradnl"/>
        </w:rPr>
      </w:pPr>
      <w:r w:rsidRPr="00B63548">
        <w:rPr>
          <w:rFonts w:ascii="Verdana" w:eastAsia="Calibri" w:hAnsi="Verdana" w:cs="Arial"/>
          <w:b/>
          <w:sz w:val="20"/>
          <w:szCs w:val="20"/>
          <w:lang w:eastAsia="es-ES_tradnl"/>
        </w:rPr>
        <w:t xml:space="preserve">REQUISITOS HABILITANTES – Acreditación – RUP – Otros documentos </w:t>
      </w:r>
    </w:p>
    <w:p w14:paraId="7F1F0E2F" w14:textId="77777777" w:rsidR="00B63548" w:rsidRPr="00B63548" w:rsidRDefault="00B63548" w:rsidP="00B63548">
      <w:pPr>
        <w:spacing w:after="0" w:line="240" w:lineRule="auto"/>
        <w:contextualSpacing/>
        <w:jc w:val="both"/>
        <w:rPr>
          <w:rFonts w:ascii="Verdana" w:eastAsia="Calibri" w:hAnsi="Verdana" w:cs="Arial"/>
          <w:sz w:val="20"/>
          <w:szCs w:val="20"/>
          <w:lang w:eastAsia="es-ES_tradnl"/>
        </w:rPr>
      </w:pPr>
    </w:p>
    <w:p w14:paraId="65700EFE"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r w:rsidRPr="00B63548">
        <w:rPr>
          <w:rFonts w:ascii="Verdana" w:eastAsia="Times New Roman" w:hAnsi="Verdana" w:cs="Arial"/>
          <w:sz w:val="20"/>
          <w:szCs w:val="20"/>
          <w:lang w:eastAsia="es-ES_tradnl"/>
        </w:rPr>
        <w:lastRenderedPageBreak/>
        <w:t xml:space="preserve">En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p w14:paraId="16FC1219"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p>
    <w:p w14:paraId="5F4F0B2B"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r w:rsidRPr="00B63548">
        <w:rPr>
          <w:rFonts w:ascii="Verdana" w:eastAsia="Times New Roman" w:hAnsi="Verdana" w:cs="Arial"/>
          <w:sz w:val="20"/>
          <w:szCs w:val="20"/>
          <w:lang w:eastAsia="es-ES_tradnl"/>
        </w:rPr>
        <w:t>[…] 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766C5266"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p>
    <w:p w14:paraId="34A214D5" w14:textId="77777777" w:rsidR="00B63548" w:rsidRPr="00B63548" w:rsidRDefault="00B63548" w:rsidP="00B63548">
      <w:pPr>
        <w:spacing w:after="0" w:line="240" w:lineRule="auto"/>
        <w:contextualSpacing/>
        <w:jc w:val="both"/>
        <w:rPr>
          <w:rFonts w:ascii="Verdana" w:eastAsia="Times New Roman" w:hAnsi="Verdana" w:cs="Arial"/>
          <w:bCs/>
          <w:sz w:val="20"/>
          <w:szCs w:val="20"/>
          <w:lang w:val="es-MX" w:eastAsia="x-none"/>
        </w:rPr>
      </w:pPr>
      <w:r w:rsidRPr="00B63548">
        <w:rPr>
          <w:rFonts w:ascii="Verdana" w:eastAsia="Times New Roman" w:hAnsi="Verdana" w:cs="Arial"/>
          <w:sz w:val="20"/>
          <w:szCs w:val="20"/>
          <w:lang w:eastAsia="es-ES_tradnl"/>
        </w:rPr>
        <w:t xml:space="preserve">[…] </w:t>
      </w:r>
      <w:r w:rsidRPr="00B63548">
        <w:rPr>
          <w:rFonts w:ascii="Verdana" w:eastAsia="Times New Roman" w:hAnsi="Verdana" w:cs="Arial"/>
          <w:bCs/>
          <w:sz w:val="20"/>
          <w:szCs w:val="20"/>
          <w:lang w:val="es-MX" w:eastAsia="x-none"/>
        </w:rPr>
        <w:t xml:space="preserve">En conclusión, por regla general, el cumplimiento de los requisitos habilitantes determinados por la Entidad Estatal en cada proceso de contratación, entre ellos la capacidad jurídica, se debe verificar mediante el RUP el cual constituye plena prueba de las circunstancias de las que da cuenta. No obstante, en aquellos casos en los cuales no es obligatorio estar inscrito en el RUP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 </w:t>
      </w:r>
    </w:p>
    <w:p w14:paraId="4905F9EF" w14:textId="77777777" w:rsidR="00B63548" w:rsidRPr="00B63548" w:rsidRDefault="00B63548" w:rsidP="00B63548">
      <w:pPr>
        <w:spacing w:after="0" w:line="240" w:lineRule="auto"/>
        <w:contextualSpacing/>
        <w:jc w:val="both"/>
        <w:rPr>
          <w:rFonts w:ascii="Verdana" w:eastAsia="Times New Roman" w:hAnsi="Verdana" w:cs="Arial"/>
          <w:noProof/>
          <w:sz w:val="20"/>
          <w:szCs w:val="20"/>
          <w:lang w:val="es-ES_tradnl" w:eastAsia="es-ES_tradnl"/>
        </w:rPr>
      </w:pPr>
    </w:p>
    <w:p w14:paraId="05521567" w14:textId="77777777" w:rsidR="00B63548" w:rsidRPr="00B63548" w:rsidRDefault="00B63548" w:rsidP="00B63548">
      <w:pPr>
        <w:spacing w:after="0" w:line="240" w:lineRule="auto"/>
        <w:contextualSpacing/>
        <w:jc w:val="both"/>
        <w:rPr>
          <w:rFonts w:ascii="Verdana" w:eastAsia="Calibri" w:hAnsi="Verdana" w:cs="Arial"/>
          <w:b/>
          <w:bCs/>
          <w:sz w:val="20"/>
          <w:szCs w:val="20"/>
          <w:lang w:eastAsia="es-ES_tradnl"/>
        </w:rPr>
      </w:pPr>
      <w:r w:rsidRPr="00B63548">
        <w:rPr>
          <w:rFonts w:ascii="Verdana" w:eastAsia="Calibri" w:hAnsi="Verdana" w:cs="Arial"/>
          <w:b/>
          <w:bCs/>
          <w:sz w:val="20"/>
          <w:szCs w:val="20"/>
          <w:lang w:eastAsia="es-ES_tradnl"/>
        </w:rPr>
        <w:t>Capacidad jurídica – Registro Único Tributario – CIIU</w:t>
      </w:r>
    </w:p>
    <w:p w14:paraId="390BC026" w14:textId="77777777" w:rsidR="00B63548" w:rsidRPr="00B63548" w:rsidRDefault="00B63548" w:rsidP="00B63548">
      <w:pPr>
        <w:spacing w:after="0" w:line="240" w:lineRule="auto"/>
        <w:contextualSpacing/>
        <w:jc w:val="both"/>
        <w:rPr>
          <w:rFonts w:ascii="Verdana" w:eastAsia="Times New Roman" w:hAnsi="Verdana" w:cs="Arial"/>
          <w:noProof/>
          <w:sz w:val="20"/>
          <w:szCs w:val="20"/>
          <w:lang w:val="es-ES_tradnl" w:eastAsia="es-ES_tradnl"/>
        </w:rPr>
      </w:pPr>
    </w:p>
    <w:p w14:paraId="12D74055" w14:textId="77777777" w:rsidR="00B63548" w:rsidRPr="00B63548" w:rsidRDefault="00B63548" w:rsidP="7D9C0904">
      <w:pPr>
        <w:spacing w:after="0" w:line="240" w:lineRule="auto"/>
        <w:contextualSpacing/>
        <w:jc w:val="both"/>
        <w:rPr>
          <w:rFonts w:ascii="Verdana" w:eastAsia="Calibri" w:hAnsi="Verdana" w:cs="Arial"/>
          <w:sz w:val="20"/>
          <w:szCs w:val="20"/>
          <w:lang w:val="es-ES" w:eastAsia="es-ES"/>
        </w:rPr>
      </w:pPr>
      <w:r w:rsidRPr="7D9C0904">
        <w:rPr>
          <w:rFonts w:ascii="Verdana" w:eastAsia="Calibri" w:hAnsi="Verdana" w:cs="Arial"/>
          <w:sz w:val="20"/>
          <w:szCs w:val="20"/>
          <w:lang w:val="es-ES" w:eastAsia="es-ES"/>
        </w:rPr>
        <w:t>La capacidad jurídica es la aptitud que recae en los sujeto activos o pasivos de las relaciones jurídicas. Para efectos de las relaciones contractuales en las que uno de los extremos de la relación sea una Entidad Estatal, la capacidad jurídica es la facultad que tiene una persona natural o jurídica para celebrar contratos con una Entidad Estatal. En otras palabras, es i) la capacidad de obligarse a cumplir el objeto del contrato y ii) de no estar incursa en inhabilidades o incompatibilidades que impidan la celebración del contrato.</w:t>
      </w:r>
    </w:p>
    <w:p w14:paraId="66CBBE24" w14:textId="77777777" w:rsidR="00B63548" w:rsidRPr="00B63548" w:rsidRDefault="00B63548" w:rsidP="00B63548">
      <w:pPr>
        <w:spacing w:after="0" w:line="240" w:lineRule="auto"/>
        <w:contextualSpacing/>
        <w:jc w:val="both"/>
        <w:rPr>
          <w:rFonts w:ascii="Verdana" w:eastAsia="Times New Roman" w:hAnsi="Verdana" w:cs="Arial"/>
          <w:noProof/>
          <w:sz w:val="20"/>
          <w:szCs w:val="20"/>
          <w:lang w:val="es-ES_tradnl" w:eastAsia="es-ES_tradnl"/>
        </w:rPr>
      </w:pPr>
    </w:p>
    <w:p w14:paraId="314A4CF0" w14:textId="77777777" w:rsidR="00B63548" w:rsidRPr="00B63548" w:rsidRDefault="00B63548" w:rsidP="00B63548">
      <w:pPr>
        <w:spacing w:after="0" w:line="240" w:lineRule="auto"/>
        <w:contextualSpacing/>
        <w:jc w:val="both"/>
        <w:rPr>
          <w:rFonts w:ascii="Verdana" w:eastAsia="Times New Roman" w:hAnsi="Verdana" w:cs="Arial"/>
          <w:noProof/>
          <w:sz w:val="20"/>
          <w:szCs w:val="20"/>
          <w:lang w:val="es-ES_tradnl" w:eastAsia="es-ES_tradnl"/>
        </w:rPr>
      </w:pPr>
      <w:r w:rsidRPr="00B63548">
        <w:rPr>
          <w:rFonts w:ascii="Verdana" w:eastAsia="Times New Roman" w:hAnsi="Verdana" w:cs="Arial"/>
          <w:noProof/>
          <w:sz w:val="20"/>
          <w:szCs w:val="20"/>
          <w:lang w:val="es-ES_tradnl" w:eastAsia="es-ES_tradnl"/>
        </w:rPr>
        <w:t>[…]</w:t>
      </w:r>
    </w:p>
    <w:p w14:paraId="0A764F35" w14:textId="77777777" w:rsidR="00B63548" w:rsidRPr="00B63548" w:rsidRDefault="00B63548" w:rsidP="00B63548">
      <w:pPr>
        <w:spacing w:after="0" w:line="240" w:lineRule="auto"/>
        <w:contextualSpacing/>
        <w:jc w:val="both"/>
        <w:rPr>
          <w:rFonts w:ascii="Verdana" w:eastAsia="Times New Roman" w:hAnsi="Verdana" w:cs="Arial"/>
          <w:noProof/>
          <w:sz w:val="20"/>
          <w:szCs w:val="20"/>
          <w:lang w:val="es-ES_tradnl" w:eastAsia="es-ES_tradnl"/>
        </w:rPr>
      </w:pPr>
    </w:p>
    <w:p w14:paraId="77C96AAF" w14:textId="77777777" w:rsidR="00B63548" w:rsidRPr="00B63548" w:rsidRDefault="00B63548" w:rsidP="00B63548">
      <w:pPr>
        <w:spacing w:after="0" w:line="240" w:lineRule="auto"/>
        <w:contextualSpacing/>
        <w:jc w:val="both"/>
        <w:rPr>
          <w:rFonts w:ascii="Verdana" w:eastAsia="Calibri" w:hAnsi="Verdana" w:cs="Arial"/>
          <w:sz w:val="20"/>
          <w:szCs w:val="20"/>
          <w:lang w:val="es-ES_tradnl" w:eastAsia="es-ES_tradnl"/>
        </w:rPr>
      </w:pPr>
      <w:r w:rsidRPr="00B63548">
        <w:rPr>
          <w:rFonts w:ascii="Verdana" w:eastAsia="Calibri" w:hAnsi="Verdana" w:cs="Arial"/>
          <w:sz w:val="20"/>
          <w:szCs w:val="20"/>
          <w:lang w:val="es-ES_tradnl" w:eastAsia="es-ES_tradnl"/>
        </w:rPr>
        <w:t xml:space="preserve">Se concluye que, en el ordenamiento colombiano pueden celebrar contratos estatales las personas jurídicas que tengan dentro de su objeto social actividades relacionadas con el objeto a contratar. En el </w:t>
      </w:r>
      <w:r w:rsidRPr="00B63548">
        <w:rPr>
          <w:rFonts w:ascii="Verdana" w:eastAsia="Times New Roman" w:hAnsi="Verdana" w:cs="Arial"/>
          <w:color w:val="000000" w:themeColor="text1"/>
          <w:sz w:val="20"/>
          <w:szCs w:val="20"/>
          <w:lang w:val="es-ES_tradnl" w:eastAsia="es-ES_tradnl"/>
        </w:rPr>
        <w:t xml:space="preserve">RUES, administrado por las cámaras de comercio se encuentra el listado de las actividades económicas que conforman el objeto de las empresas, según los códigos de la Clasificación Industrial Internacional Uniforme (CIIU), </w:t>
      </w:r>
      <w:r w:rsidRPr="00B63548">
        <w:rPr>
          <w:rFonts w:ascii="Verdana" w:eastAsia="Times New Roman" w:hAnsi="Verdana" w:cs="Arial"/>
          <w:color w:val="000000" w:themeColor="text1"/>
          <w:sz w:val="20"/>
          <w:szCs w:val="20"/>
          <w:lang w:val="es-ES_tradnl" w:eastAsia="es-ES_tradnl"/>
        </w:rPr>
        <w:lastRenderedPageBreak/>
        <w:t xml:space="preserve">en virtud de lo dispuesto en el artículo 11 de la Ley 590 de 2000 y el artículo 166 del Decreto 019 de 2012, por lo cual las Entidades Estatales pueden corroborar a través de este documento si la persona jurídica puede o no ejecutar el objeto contractual. </w:t>
      </w:r>
    </w:p>
    <w:p w14:paraId="050EB1E4" w14:textId="77777777" w:rsidR="00B63548" w:rsidRPr="00B63548" w:rsidRDefault="00B63548" w:rsidP="00B63548">
      <w:pPr>
        <w:spacing w:after="0" w:line="240" w:lineRule="auto"/>
        <w:contextualSpacing/>
        <w:jc w:val="both"/>
        <w:rPr>
          <w:rFonts w:ascii="Verdana" w:eastAsia="Times New Roman" w:hAnsi="Verdana" w:cs="Arial"/>
          <w:noProof/>
          <w:sz w:val="20"/>
          <w:szCs w:val="20"/>
          <w:lang w:val="es-ES_tradnl" w:eastAsia="es-ES_tradnl"/>
        </w:rPr>
      </w:pPr>
    </w:p>
    <w:p w14:paraId="1FCB241D"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r w:rsidRPr="00B63548">
        <w:rPr>
          <w:rFonts w:ascii="Verdana" w:eastAsia="Times New Roman" w:hAnsi="Verdana" w:cs="Arial"/>
          <w:sz w:val="20"/>
          <w:szCs w:val="20"/>
          <w:lang w:eastAsia="es-ES_tradnl"/>
        </w:rPr>
        <w:t>De</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acuerdo</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con</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lo</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anterior,</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la</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inscripción</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en</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el</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RUT</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es</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una</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obligación</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que</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asiste a las personas naturales y jurídicas, y que, tratándose de comerciantes, supone concordancia con las</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pacing w:val="-1"/>
          <w:sz w:val="20"/>
          <w:szCs w:val="20"/>
          <w:lang w:eastAsia="es-ES_tradnl"/>
        </w:rPr>
        <w:t>actividades</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que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en</w:t>
      </w:r>
      <w:r w:rsidRPr="00B63548">
        <w:rPr>
          <w:rFonts w:ascii="Verdana" w:eastAsia="Times New Roman" w:hAnsi="Verdana" w:cs="Arial"/>
          <w:spacing w:val="-14"/>
          <w:sz w:val="20"/>
          <w:szCs w:val="20"/>
          <w:lang w:eastAsia="es-ES_tradnl"/>
        </w:rPr>
        <w:t xml:space="preserve"> </w:t>
      </w:r>
      <w:r w:rsidRPr="00B63548">
        <w:rPr>
          <w:rFonts w:ascii="Verdana" w:eastAsia="Times New Roman" w:hAnsi="Verdana" w:cs="Arial"/>
          <w:spacing w:val="-1"/>
          <w:sz w:val="20"/>
          <w:szCs w:val="20"/>
          <w:lang w:eastAsia="es-ES_tradnl"/>
        </w:rPr>
        <w:t>el</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marco</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de</w:t>
      </w:r>
      <w:r w:rsidRPr="00B63548">
        <w:rPr>
          <w:rFonts w:ascii="Verdana" w:eastAsia="Times New Roman" w:hAnsi="Verdana" w:cs="Arial"/>
          <w:spacing w:val="-14"/>
          <w:sz w:val="20"/>
          <w:szCs w:val="20"/>
          <w:lang w:eastAsia="es-ES_tradnl"/>
        </w:rPr>
        <w:t xml:space="preserve"> </w:t>
      </w:r>
      <w:r w:rsidRPr="00B63548">
        <w:rPr>
          <w:rFonts w:ascii="Verdana" w:eastAsia="Times New Roman" w:hAnsi="Verdana" w:cs="Arial"/>
          <w:spacing w:val="-1"/>
          <w:sz w:val="20"/>
          <w:szCs w:val="20"/>
          <w:lang w:eastAsia="es-ES_tradnl"/>
        </w:rPr>
        <w:t>las</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cuales</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se</w:t>
      </w:r>
      <w:r w:rsidRPr="00B63548">
        <w:rPr>
          <w:rFonts w:ascii="Verdana" w:eastAsia="Times New Roman" w:hAnsi="Verdana" w:cs="Arial"/>
          <w:spacing w:val="-14"/>
          <w:sz w:val="20"/>
          <w:szCs w:val="20"/>
          <w:lang w:eastAsia="es-ES_tradnl"/>
        </w:rPr>
        <w:t xml:space="preserve"> </w:t>
      </w:r>
      <w:r w:rsidRPr="00B63548">
        <w:rPr>
          <w:rFonts w:ascii="Verdana" w:eastAsia="Times New Roman" w:hAnsi="Verdana" w:cs="Arial"/>
          <w:spacing w:val="-1"/>
          <w:sz w:val="20"/>
          <w:szCs w:val="20"/>
          <w:lang w:eastAsia="es-ES_tradnl"/>
        </w:rPr>
        <w:t>ejerce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el</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pacing w:val="-1"/>
          <w:sz w:val="20"/>
          <w:szCs w:val="20"/>
          <w:lang w:eastAsia="es-ES_tradnl"/>
        </w:rPr>
        <w:t>comercio.</w:t>
      </w:r>
      <w:r w:rsidRPr="00B63548">
        <w:rPr>
          <w:rFonts w:ascii="Verdana" w:eastAsia="Times New Roman" w:hAnsi="Verdana" w:cs="Arial"/>
          <w:spacing w:val="-14"/>
          <w:sz w:val="20"/>
          <w:szCs w:val="20"/>
          <w:lang w:eastAsia="es-ES_tradnl"/>
        </w:rPr>
        <w:t xml:space="preserve"> </w:t>
      </w:r>
      <w:r w:rsidRPr="00B63548">
        <w:rPr>
          <w:rFonts w:ascii="Verdana" w:eastAsia="Times New Roman" w:hAnsi="Verdana" w:cs="Arial"/>
          <w:sz w:val="20"/>
          <w:szCs w:val="20"/>
          <w:lang w:eastAsia="es-ES_tradnl"/>
        </w:rPr>
        <w:t>No</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obstante,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estima</w:t>
      </w:r>
      <w:r w:rsidRPr="00B63548">
        <w:rPr>
          <w:rFonts w:ascii="Verdana" w:eastAsia="Times New Roman" w:hAnsi="Verdana" w:cs="Arial"/>
          <w:spacing w:val="-14"/>
          <w:sz w:val="20"/>
          <w:szCs w:val="20"/>
          <w:lang w:eastAsia="es-ES_tradnl"/>
        </w:rPr>
        <w:t xml:space="preserve"> </w:t>
      </w:r>
      <w:r w:rsidRPr="00B63548">
        <w:rPr>
          <w:rFonts w:ascii="Verdana" w:eastAsia="Times New Roman" w:hAnsi="Verdana" w:cs="Arial"/>
          <w:sz w:val="20"/>
          <w:szCs w:val="20"/>
          <w:lang w:eastAsia="es-ES_tradnl"/>
        </w:rPr>
        <w:t>esta</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Agencia</w:t>
      </w:r>
      <w:r w:rsidRPr="00B63548">
        <w:rPr>
          <w:rFonts w:ascii="Verdana" w:eastAsia="Times New Roman" w:hAnsi="Verdana" w:cs="Arial"/>
          <w:spacing w:val="-59"/>
          <w:sz w:val="20"/>
          <w:szCs w:val="20"/>
          <w:lang w:eastAsia="es-ES_tradnl"/>
        </w:rPr>
        <w:t xml:space="preserve"> </w:t>
      </w:r>
      <w:r w:rsidRPr="00B63548">
        <w:rPr>
          <w:rFonts w:ascii="Verdana" w:eastAsia="Times New Roman" w:hAnsi="Verdana" w:cs="Arial"/>
          <w:sz w:val="20"/>
          <w:szCs w:val="20"/>
          <w:lang w:eastAsia="es-ES_tradnl"/>
        </w:rPr>
        <w:t>que ello no necesariamente condiciona la capacidad jurídica del proponente para obligarse en el</w:t>
      </w:r>
      <w:r w:rsidRPr="00B63548">
        <w:rPr>
          <w:rFonts w:ascii="Verdana" w:eastAsia="Times New Roman" w:hAnsi="Verdana" w:cs="Arial"/>
          <w:spacing w:val="-60"/>
          <w:sz w:val="20"/>
          <w:szCs w:val="20"/>
          <w:lang w:eastAsia="es-ES_tradnl"/>
        </w:rPr>
        <w:t xml:space="preserve"> </w:t>
      </w:r>
      <w:r w:rsidRPr="00B63548">
        <w:rPr>
          <w:rFonts w:ascii="Verdana" w:eastAsia="Times New Roman" w:hAnsi="Verdana" w:cs="Arial"/>
          <w:sz w:val="20"/>
          <w:szCs w:val="20"/>
          <w:lang w:eastAsia="es-ES_tradnl"/>
        </w:rPr>
        <w:t>marco de un contrato estatal y ejecutar el mismo, en la medida que se trata de una obligación</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tributaria</w:t>
      </w:r>
      <w:r w:rsidRPr="00B63548">
        <w:rPr>
          <w:rFonts w:ascii="Verdana" w:eastAsia="Times New Roman" w:hAnsi="Verdana" w:cs="Arial"/>
          <w:spacing w:val="-14"/>
          <w:sz w:val="20"/>
          <w:szCs w:val="20"/>
          <w:lang w:eastAsia="es-ES_tradnl"/>
        </w:rPr>
        <w:t xml:space="preserve"> </w:t>
      </w:r>
      <w:r w:rsidRPr="00B63548">
        <w:rPr>
          <w:rFonts w:ascii="Verdana" w:eastAsia="Times New Roman" w:hAnsi="Verdana" w:cs="Arial"/>
          <w:sz w:val="20"/>
          <w:szCs w:val="20"/>
          <w:lang w:eastAsia="es-ES_tradnl"/>
        </w:rPr>
        <w:t>que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solo</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condicionará</w:t>
      </w:r>
      <w:r w:rsidRPr="00B63548">
        <w:rPr>
          <w:rFonts w:ascii="Verdana" w:eastAsia="Times New Roman" w:hAnsi="Verdana" w:cs="Arial"/>
          <w:spacing w:val="-16"/>
          <w:sz w:val="20"/>
          <w:szCs w:val="20"/>
          <w:lang w:eastAsia="es-ES_tradnl"/>
        </w:rPr>
        <w:t xml:space="preserve"> </w:t>
      </w:r>
      <w:r w:rsidRPr="00B63548">
        <w:rPr>
          <w:rFonts w:ascii="Verdana" w:eastAsia="Times New Roman" w:hAnsi="Verdana" w:cs="Arial"/>
          <w:sz w:val="20"/>
          <w:szCs w:val="20"/>
          <w:lang w:eastAsia="es-ES_tradnl"/>
        </w:rPr>
        <w:t>la</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capacidad</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jurídica</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en</w:t>
      </w:r>
      <w:r w:rsidRPr="00B63548">
        <w:rPr>
          <w:rFonts w:ascii="Verdana" w:eastAsia="Times New Roman" w:hAnsi="Verdana" w:cs="Arial"/>
          <w:spacing w:val="-16"/>
          <w:sz w:val="20"/>
          <w:szCs w:val="20"/>
          <w:lang w:eastAsia="es-ES_tradnl"/>
        </w:rPr>
        <w:t xml:space="preserve"> </w:t>
      </w:r>
      <w:r w:rsidRPr="00B63548">
        <w:rPr>
          <w:rFonts w:ascii="Verdana" w:eastAsia="Times New Roman" w:hAnsi="Verdana" w:cs="Arial"/>
          <w:sz w:val="20"/>
          <w:szCs w:val="20"/>
          <w:lang w:eastAsia="es-ES_tradnl"/>
        </w:rPr>
        <w:t>el</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caso</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en</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el</w:t>
      </w:r>
      <w:r w:rsidRPr="00B63548">
        <w:rPr>
          <w:rFonts w:ascii="Verdana" w:eastAsia="Times New Roman" w:hAnsi="Verdana" w:cs="Arial"/>
          <w:spacing w:val="-16"/>
          <w:sz w:val="20"/>
          <w:szCs w:val="20"/>
          <w:lang w:eastAsia="es-ES_tradnl"/>
        </w:rPr>
        <w:t xml:space="preserve"> </w:t>
      </w:r>
      <w:r w:rsidRPr="00B63548">
        <w:rPr>
          <w:rFonts w:ascii="Verdana" w:eastAsia="Times New Roman" w:hAnsi="Verdana" w:cs="Arial"/>
          <w:sz w:val="20"/>
          <w:szCs w:val="20"/>
          <w:lang w:eastAsia="es-ES_tradnl"/>
        </w:rPr>
        <w:t>que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se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trate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de</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una</w:t>
      </w:r>
      <w:r w:rsidRPr="00B63548">
        <w:rPr>
          <w:rFonts w:ascii="Verdana" w:eastAsia="Times New Roman" w:hAnsi="Verdana" w:cs="Arial"/>
          <w:spacing w:val="-15"/>
          <w:sz w:val="20"/>
          <w:szCs w:val="20"/>
          <w:lang w:eastAsia="es-ES_tradnl"/>
        </w:rPr>
        <w:t xml:space="preserve"> </w:t>
      </w:r>
      <w:r w:rsidRPr="00B63548">
        <w:rPr>
          <w:rFonts w:ascii="Verdana" w:eastAsia="Times New Roman" w:hAnsi="Verdana" w:cs="Arial"/>
          <w:sz w:val="20"/>
          <w:szCs w:val="20"/>
          <w:lang w:eastAsia="es-ES_tradnl"/>
        </w:rPr>
        <w:t>actividad</w:t>
      </w:r>
      <w:r w:rsidRPr="00B63548">
        <w:rPr>
          <w:rFonts w:ascii="Verdana" w:eastAsia="Times New Roman" w:hAnsi="Verdana" w:cs="Arial"/>
          <w:spacing w:val="-59"/>
          <w:sz w:val="20"/>
          <w:szCs w:val="20"/>
          <w:lang w:eastAsia="es-ES_tradnl"/>
        </w:rPr>
        <w:t xml:space="preserve"> </w:t>
      </w:r>
      <w:r w:rsidRPr="00B63548">
        <w:rPr>
          <w:rFonts w:ascii="Verdana" w:eastAsia="Times New Roman" w:hAnsi="Verdana" w:cs="Arial"/>
          <w:sz w:val="20"/>
          <w:szCs w:val="20"/>
          <w:lang w:eastAsia="es-ES_tradnl"/>
        </w:rPr>
        <w:t>que</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solo</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pueda</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ser</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ejercida</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previa</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inscripción</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en</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el</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RUT,</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asunto</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regido</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por</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normas</w:t>
      </w:r>
      <w:r w:rsidRPr="00B63548">
        <w:rPr>
          <w:rFonts w:ascii="Verdana" w:eastAsia="Times New Roman" w:hAnsi="Verdana" w:cs="Arial"/>
          <w:spacing w:val="-4"/>
          <w:sz w:val="20"/>
          <w:szCs w:val="20"/>
          <w:lang w:eastAsia="es-ES_tradnl"/>
        </w:rPr>
        <w:t xml:space="preserve"> </w:t>
      </w:r>
      <w:r w:rsidRPr="00B63548">
        <w:rPr>
          <w:rFonts w:ascii="Verdana" w:eastAsia="Times New Roman" w:hAnsi="Verdana" w:cs="Arial"/>
          <w:sz w:val="20"/>
          <w:szCs w:val="20"/>
          <w:lang w:eastAsia="es-ES_tradnl"/>
        </w:rPr>
        <w:t>tributarias.</w:t>
      </w:r>
    </w:p>
    <w:p w14:paraId="4F352D6C"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p>
    <w:p w14:paraId="461C6D9D" w14:textId="77777777" w:rsidR="00B63548" w:rsidRPr="00B63548" w:rsidRDefault="00B63548" w:rsidP="00B63548">
      <w:pPr>
        <w:spacing w:after="0" w:line="240" w:lineRule="auto"/>
        <w:contextualSpacing/>
        <w:jc w:val="both"/>
        <w:rPr>
          <w:rFonts w:ascii="Verdana" w:eastAsia="Times New Roman" w:hAnsi="Verdana" w:cs="Arial"/>
          <w:sz w:val="20"/>
          <w:szCs w:val="20"/>
          <w:lang w:eastAsia="es-ES_tradnl"/>
        </w:rPr>
      </w:pPr>
      <w:r w:rsidRPr="00B63548">
        <w:rPr>
          <w:rFonts w:ascii="Verdana" w:eastAsia="Times New Roman" w:hAnsi="Verdana" w:cs="Arial"/>
          <w:sz w:val="20"/>
          <w:szCs w:val="20"/>
          <w:lang w:eastAsia="es-ES_tradnl"/>
        </w:rPr>
        <w:t>Conforme a lo anterior, la validez de exigir la inscripción en el RUT de determinados</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códigos</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o</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actividades</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asociados</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al</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objeto</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contractual</w:t>
      </w:r>
      <w:r w:rsidRPr="00B63548">
        <w:rPr>
          <w:rFonts w:ascii="Verdana" w:eastAsia="Times New Roman" w:hAnsi="Verdana" w:cs="Arial"/>
          <w:spacing w:val="-5"/>
          <w:sz w:val="20"/>
          <w:szCs w:val="20"/>
          <w:lang w:eastAsia="es-ES_tradnl"/>
        </w:rPr>
        <w:t xml:space="preserve"> </w:t>
      </w:r>
      <w:r w:rsidRPr="00B63548">
        <w:rPr>
          <w:rFonts w:ascii="Verdana" w:eastAsia="Times New Roman" w:hAnsi="Verdana" w:cs="Arial"/>
          <w:sz w:val="20"/>
          <w:szCs w:val="20"/>
          <w:lang w:eastAsia="es-ES_tradnl"/>
        </w:rPr>
        <w:t>como</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requisito</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para</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acreditar</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la</w:t>
      </w:r>
      <w:r w:rsidRPr="00B63548">
        <w:rPr>
          <w:rFonts w:ascii="Verdana" w:eastAsia="Times New Roman" w:hAnsi="Verdana" w:cs="Arial"/>
          <w:spacing w:val="-6"/>
          <w:sz w:val="20"/>
          <w:szCs w:val="20"/>
          <w:lang w:eastAsia="es-ES_tradnl"/>
        </w:rPr>
        <w:t xml:space="preserve"> </w:t>
      </w:r>
      <w:r w:rsidRPr="00B63548">
        <w:rPr>
          <w:rFonts w:ascii="Verdana" w:eastAsia="Times New Roman" w:hAnsi="Verdana" w:cs="Arial"/>
          <w:sz w:val="20"/>
          <w:szCs w:val="20"/>
          <w:lang w:eastAsia="es-ES_tradnl"/>
        </w:rPr>
        <w:t>capacidad jurídica, depende en primera medida de lo impuesto por las normas tributarias y comerciales, de</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suerte</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que,</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si</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tal</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normativa</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indica</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la</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obligatoriedad</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del</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RUT</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para</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ejercer</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la</w:t>
      </w:r>
      <w:r w:rsidRPr="00B63548">
        <w:rPr>
          <w:rFonts w:ascii="Verdana" w:eastAsia="Times New Roman" w:hAnsi="Verdana" w:cs="Arial"/>
          <w:spacing w:val="28"/>
          <w:sz w:val="20"/>
          <w:szCs w:val="20"/>
          <w:lang w:eastAsia="es-ES_tradnl"/>
        </w:rPr>
        <w:t xml:space="preserve"> </w:t>
      </w:r>
      <w:r w:rsidRPr="00B63548">
        <w:rPr>
          <w:rFonts w:ascii="Verdana" w:eastAsia="Times New Roman" w:hAnsi="Verdana" w:cs="Arial"/>
          <w:sz w:val="20"/>
          <w:szCs w:val="20"/>
          <w:lang w:eastAsia="es-ES_tradnl"/>
        </w:rPr>
        <w:t>actividad correspondiente, podría resultar valido el referido requisito. En todo caso, también es necesario</w:t>
      </w:r>
      <w:r w:rsidRPr="00B63548">
        <w:rPr>
          <w:rFonts w:ascii="Verdana" w:eastAsia="Times New Roman" w:hAnsi="Verdana" w:cs="Arial"/>
          <w:spacing w:val="-59"/>
          <w:sz w:val="20"/>
          <w:szCs w:val="20"/>
          <w:lang w:eastAsia="es-ES_tradnl"/>
        </w:rPr>
        <w:t xml:space="preserve"> </w:t>
      </w:r>
      <w:r w:rsidRPr="00B63548">
        <w:rPr>
          <w:rFonts w:ascii="Verdana" w:eastAsia="Times New Roman" w:hAnsi="Verdana" w:cs="Arial"/>
          <w:sz w:val="20"/>
          <w:szCs w:val="20"/>
          <w:lang w:eastAsia="es-ES_tradnl"/>
        </w:rPr>
        <w:t>verificar las particulares condiciones de la persona proponente a efectos de determinar</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si atención a las mismas se encuentra obligado a estar inscrito en RUT en los términos exigidos</w:t>
      </w:r>
      <w:r w:rsidRPr="00B63548">
        <w:rPr>
          <w:rFonts w:ascii="Verdana" w:eastAsia="Times New Roman" w:hAnsi="Verdana" w:cs="Arial"/>
          <w:spacing w:val="-59"/>
          <w:sz w:val="20"/>
          <w:szCs w:val="20"/>
          <w:lang w:eastAsia="es-ES_tradnl"/>
        </w:rPr>
        <w:t xml:space="preserve"> </w:t>
      </w:r>
      <w:r w:rsidRPr="00B63548">
        <w:rPr>
          <w:rFonts w:ascii="Verdana" w:eastAsia="Times New Roman" w:hAnsi="Verdana" w:cs="Arial"/>
          <w:sz w:val="20"/>
          <w:szCs w:val="20"/>
          <w:lang w:eastAsia="es-ES_tradnl"/>
        </w:rPr>
        <w:t>o</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si</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ello</w:t>
      </w:r>
      <w:r w:rsidRPr="00B63548">
        <w:rPr>
          <w:rFonts w:ascii="Verdana" w:eastAsia="Times New Roman" w:hAnsi="Verdana" w:cs="Arial"/>
          <w:spacing w:val="-2"/>
          <w:sz w:val="20"/>
          <w:szCs w:val="20"/>
          <w:lang w:eastAsia="es-ES_tradnl"/>
        </w:rPr>
        <w:t xml:space="preserve"> </w:t>
      </w:r>
      <w:r w:rsidRPr="00B63548">
        <w:rPr>
          <w:rFonts w:ascii="Verdana" w:eastAsia="Times New Roman" w:hAnsi="Verdana" w:cs="Arial"/>
          <w:sz w:val="20"/>
          <w:szCs w:val="20"/>
          <w:lang w:eastAsia="es-ES_tradnl"/>
        </w:rPr>
        <w:t>supone</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un</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impedimento</w:t>
      </w:r>
      <w:r w:rsidRPr="00B63548">
        <w:rPr>
          <w:rFonts w:ascii="Verdana" w:eastAsia="Times New Roman" w:hAnsi="Verdana" w:cs="Arial"/>
          <w:spacing w:val="-2"/>
          <w:sz w:val="20"/>
          <w:szCs w:val="20"/>
          <w:lang w:eastAsia="es-ES_tradnl"/>
        </w:rPr>
        <w:t xml:space="preserve"> </w:t>
      </w:r>
      <w:r w:rsidRPr="00B63548">
        <w:rPr>
          <w:rFonts w:ascii="Verdana" w:eastAsia="Times New Roman" w:hAnsi="Verdana" w:cs="Arial"/>
          <w:sz w:val="20"/>
          <w:szCs w:val="20"/>
          <w:lang w:eastAsia="es-ES_tradnl"/>
        </w:rPr>
        <w:t>para</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ejecutar</w:t>
      </w:r>
      <w:r w:rsidRPr="00B63548">
        <w:rPr>
          <w:rFonts w:ascii="Verdana" w:eastAsia="Times New Roman" w:hAnsi="Verdana" w:cs="Arial"/>
          <w:spacing w:val="-1"/>
          <w:sz w:val="20"/>
          <w:szCs w:val="20"/>
          <w:lang w:eastAsia="es-ES_tradnl"/>
        </w:rPr>
        <w:t xml:space="preserve"> </w:t>
      </w:r>
      <w:r w:rsidRPr="00B63548">
        <w:rPr>
          <w:rFonts w:ascii="Verdana" w:eastAsia="Times New Roman" w:hAnsi="Verdana" w:cs="Arial"/>
          <w:sz w:val="20"/>
          <w:szCs w:val="20"/>
          <w:lang w:eastAsia="es-ES_tradnl"/>
        </w:rPr>
        <w:t>el</w:t>
      </w:r>
      <w:r w:rsidRPr="00B63548">
        <w:rPr>
          <w:rFonts w:ascii="Verdana" w:eastAsia="Times New Roman" w:hAnsi="Verdana" w:cs="Arial"/>
          <w:spacing w:val="-2"/>
          <w:sz w:val="20"/>
          <w:szCs w:val="20"/>
          <w:lang w:eastAsia="es-ES_tradnl"/>
        </w:rPr>
        <w:t xml:space="preserve"> </w:t>
      </w:r>
      <w:r w:rsidRPr="00B63548">
        <w:rPr>
          <w:rFonts w:ascii="Verdana" w:eastAsia="Times New Roman" w:hAnsi="Verdana" w:cs="Arial"/>
          <w:sz w:val="20"/>
          <w:szCs w:val="20"/>
          <w:lang w:eastAsia="es-ES_tradnl"/>
        </w:rPr>
        <w:t>contrato.</w:t>
      </w:r>
    </w:p>
    <w:p w14:paraId="4BA5F0A8" w14:textId="77777777" w:rsidR="00B63548" w:rsidRPr="00B63548" w:rsidRDefault="00B63548" w:rsidP="00B63548">
      <w:pPr>
        <w:rPr>
          <w:rFonts w:ascii="Verdana" w:eastAsia="Calibri" w:hAnsi="Verdana" w:cs="Arial"/>
          <w:bCs/>
          <w:sz w:val="20"/>
          <w:szCs w:val="20"/>
          <w:lang w:val="es-ES_tradnl" w:eastAsia="es-ES_tradnl"/>
        </w:rPr>
      </w:pPr>
      <w:r w:rsidRPr="00B63548">
        <w:rPr>
          <w:rFonts w:ascii="Verdana" w:eastAsia="Calibri" w:hAnsi="Verdana" w:cs="Arial"/>
          <w:bCs/>
          <w:sz w:val="20"/>
          <w:szCs w:val="20"/>
          <w:lang w:val="es-ES_tradnl" w:eastAsia="es-ES_tradnl"/>
        </w:rPr>
        <w:br w:type="page"/>
      </w:r>
    </w:p>
    <w:p w14:paraId="3FE2184B" w14:textId="10FFD68F" w:rsidR="00E245AB" w:rsidRPr="0044528D" w:rsidRDefault="00E245AB" w:rsidP="00E245AB">
      <w:pPr>
        <w:spacing w:after="0"/>
        <w:rPr>
          <w:rFonts w:ascii="Verdana" w:hAnsi="Verdana"/>
        </w:rPr>
      </w:pPr>
      <w:r w:rsidRPr="0044528D">
        <w:rPr>
          <w:rFonts w:ascii="Verdana" w:hAnsi="Verdana"/>
        </w:rPr>
        <w:lastRenderedPageBreak/>
        <w:t xml:space="preserve">Bogotá D.C., </w:t>
      </w:r>
      <w:r w:rsidR="003150DA">
        <w:rPr>
          <w:rFonts w:ascii="Verdana" w:hAnsi="Verdana"/>
        </w:rPr>
        <w:t>29 de enero de 2025.</w:t>
      </w:r>
      <w:r w:rsidR="00891928" w:rsidRPr="0044528D">
        <w:rPr>
          <w:rFonts w:ascii="Verdana" w:hAnsi="Verdana"/>
        </w:rPr>
        <w:tab/>
      </w:r>
    </w:p>
    <w:p w14:paraId="7A2433F8" w14:textId="77777777" w:rsidR="003150DA" w:rsidRDefault="000D65DA" w:rsidP="00632486">
      <w:pPr>
        <w:spacing w:after="0"/>
        <w:rPr>
          <w:rFonts w:ascii="Verdana" w:hAnsi="Verdana"/>
        </w:rPr>
      </w:pPr>
      <w:r>
        <w:rPr>
          <w:rFonts w:ascii="Verdana" w:hAnsi="Verdana"/>
        </w:rPr>
        <w:t xml:space="preserve">         </w:t>
      </w:r>
    </w:p>
    <w:p w14:paraId="34B3DBEE" w14:textId="74C2E3A9" w:rsidR="003150DA" w:rsidRDefault="003150DA" w:rsidP="003150DA">
      <w:pPr>
        <w:spacing w:after="0"/>
        <w:jc w:val="right"/>
        <w:rPr>
          <w:rFonts w:ascii="Verdana" w:hAnsi="Verdana"/>
        </w:rPr>
      </w:pPr>
      <w:r>
        <w:rPr>
          <w:rFonts w:ascii="Verdana" w:hAnsi="Verdana"/>
          <w:noProof/>
        </w:rPr>
        <w:drawing>
          <wp:inline distT="0" distB="0" distL="0" distR="0" wp14:anchorId="30B6098C" wp14:editId="7464658C">
            <wp:extent cx="2371725" cy="694971"/>
            <wp:effectExtent l="0" t="0" r="0" b="0"/>
            <wp:docPr id="13817580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4924" cy="698839"/>
                    </a:xfrm>
                    <a:prstGeom prst="rect">
                      <a:avLst/>
                    </a:prstGeom>
                    <a:noFill/>
                    <a:ln>
                      <a:noFill/>
                    </a:ln>
                  </pic:spPr>
                </pic:pic>
              </a:graphicData>
            </a:graphic>
          </wp:inline>
        </w:drawing>
      </w:r>
    </w:p>
    <w:p w14:paraId="279557E2" w14:textId="01F525B2" w:rsidR="00632486" w:rsidRDefault="000D65DA" w:rsidP="00632486">
      <w:pPr>
        <w:spacing w:after="0"/>
        <w:rPr>
          <w:rFonts w:ascii="Verdana" w:hAnsi="Verdana"/>
        </w:rPr>
      </w:pPr>
      <w:r>
        <w:rPr>
          <w:rFonts w:ascii="Verdana" w:hAnsi="Verdana"/>
        </w:rPr>
        <w:t xml:space="preserve">                                      </w:t>
      </w:r>
    </w:p>
    <w:p w14:paraId="4DFBC01F" w14:textId="3FB89768" w:rsidR="00632486" w:rsidRDefault="00632486" w:rsidP="00632486">
      <w:pPr>
        <w:spacing w:after="0"/>
        <w:rPr>
          <w:rFonts w:ascii="Verdana" w:hAnsi="Verdana"/>
        </w:rPr>
      </w:pPr>
      <w:r>
        <w:rPr>
          <w:rFonts w:ascii="Verdana" w:hAnsi="Verdana"/>
        </w:rPr>
        <w:t xml:space="preserve">Señor </w:t>
      </w:r>
    </w:p>
    <w:p w14:paraId="310FEC59" w14:textId="36C684AD" w:rsidR="008C3546" w:rsidRPr="008C3546" w:rsidRDefault="00D04A5C" w:rsidP="00632486">
      <w:pPr>
        <w:spacing w:after="0" w:line="240" w:lineRule="auto"/>
        <w:textAlignment w:val="baseline"/>
        <w:rPr>
          <w:rFonts w:ascii="Verdana" w:hAnsi="Verdana"/>
          <w:b/>
          <w:bCs/>
        </w:rPr>
      </w:pPr>
      <w:r w:rsidRPr="008C3546">
        <w:rPr>
          <w:rFonts w:ascii="Verdana" w:hAnsi="Verdana"/>
          <w:b/>
          <w:bCs/>
        </w:rPr>
        <w:t>Iván Darío Gutiérrez Cardozo</w:t>
      </w:r>
    </w:p>
    <w:p w14:paraId="3EB503D8" w14:textId="3FF1D3A7" w:rsidR="00632486" w:rsidRPr="008C3546" w:rsidRDefault="008C3546" w:rsidP="00632486">
      <w:pPr>
        <w:spacing w:after="0" w:line="240" w:lineRule="auto"/>
        <w:textAlignment w:val="baseline"/>
        <w:rPr>
          <w:rFonts w:ascii="Verdana" w:hAnsi="Verdana"/>
        </w:rPr>
      </w:pPr>
      <w:r w:rsidRPr="008C3546">
        <w:rPr>
          <w:rFonts w:ascii="Verdana" w:hAnsi="Verdana"/>
        </w:rPr>
        <w:t>ivandariog@hotmail.com</w:t>
      </w:r>
    </w:p>
    <w:p w14:paraId="21AE7404" w14:textId="199E508D" w:rsidR="008C3546" w:rsidRDefault="008C3546" w:rsidP="00632486">
      <w:pPr>
        <w:spacing w:after="0" w:line="240" w:lineRule="auto"/>
        <w:textAlignment w:val="baseline"/>
        <w:rPr>
          <w:rFonts w:ascii="Verdana" w:hAnsi="Verdana"/>
        </w:rPr>
      </w:pPr>
      <w:r w:rsidRPr="008C3546">
        <w:rPr>
          <w:rFonts w:ascii="Verdana" w:hAnsi="Verdana"/>
        </w:rPr>
        <w:t>Neiva</w:t>
      </w:r>
      <w:r w:rsidR="00D04A5C">
        <w:rPr>
          <w:rFonts w:ascii="Verdana" w:hAnsi="Verdana"/>
        </w:rPr>
        <w:t xml:space="preserve">, </w:t>
      </w:r>
      <w:r w:rsidRPr="008C3546">
        <w:rPr>
          <w:rFonts w:ascii="Verdana" w:hAnsi="Verdana"/>
        </w:rPr>
        <w:t>Huila</w:t>
      </w: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gridCol w:w="530"/>
      </w:tblGrid>
      <w:tr w:rsidR="00632486" w:rsidRPr="00413568" w14:paraId="52932371" w14:textId="77777777" w:rsidTr="007A37B6">
        <w:trPr>
          <w:trHeight w:val="902"/>
        </w:trPr>
        <w:tc>
          <w:tcPr>
            <w:tcW w:w="2851" w:type="dxa"/>
          </w:tcPr>
          <w:p w14:paraId="41615CDF" w14:textId="77777777" w:rsidR="00632486" w:rsidRPr="00413568" w:rsidRDefault="00632486" w:rsidP="007A37B6">
            <w:pPr>
              <w:jc w:val="both"/>
              <w:rPr>
                <w:rFonts w:ascii="Verdana" w:eastAsia="Calibri" w:hAnsi="Verdana" w:cs="Arial"/>
                <w:lang w:val="es-ES_tradnl" w:eastAsia="es-ES_tradnl"/>
              </w:rPr>
            </w:pPr>
            <w:r w:rsidRPr="00413568">
              <w:rPr>
                <w:rFonts w:ascii="Verdana" w:eastAsia="Calibri" w:hAnsi="Verdana" w:cs="Arial"/>
                <w:b/>
                <w:lang w:val="es-ES_tradnl"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32486" w:rsidRPr="00413568" w14:paraId="0A1B34D9" w14:textId="77777777" w:rsidTr="007A37B6">
              <w:trPr>
                <w:trHeight w:val="458"/>
              </w:trPr>
              <w:tc>
                <w:tcPr>
                  <w:tcW w:w="2689" w:type="dxa"/>
                </w:tcPr>
                <w:p w14:paraId="4F34A3F6" w14:textId="77777777" w:rsidR="00632486" w:rsidRPr="00413568" w:rsidRDefault="00632486" w:rsidP="007A37B6">
                  <w:pPr>
                    <w:jc w:val="both"/>
                    <w:rPr>
                      <w:rFonts w:ascii="Verdana" w:eastAsia="Calibri" w:hAnsi="Verdana" w:cs="Arial"/>
                      <w:b/>
                      <w:bCs/>
                      <w:lang w:val="es-ES_tradnl" w:eastAsia="es-ES_tradnl"/>
                    </w:rPr>
                  </w:pPr>
                </w:p>
              </w:tc>
              <w:tc>
                <w:tcPr>
                  <w:tcW w:w="6100" w:type="dxa"/>
                </w:tcPr>
                <w:p w14:paraId="3183031D" w14:textId="667885C5" w:rsidR="00632486" w:rsidRPr="00413568" w:rsidRDefault="00632486" w:rsidP="007A37B6">
                  <w:pPr>
                    <w:jc w:val="both"/>
                    <w:rPr>
                      <w:rFonts w:ascii="Verdana" w:eastAsia="Calibri" w:hAnsi="Verdana" w:cs="Arial"/>
                      <w:b/>
                      <w:bCs/>
                      <w:lang w:val="es-ES" w:eastAsia="es-ES"/>
                    </w:rPr>
                  </w:pPr>
                  <w:r w:rsidRPr="00413568">
                    <w:rPr>
                      <w:rFonts w:ascii="Verdana" w:eastAsia="Calibri" w:hAnsi="Verdana" w:cs="Arial"/>
                      <w:b/>
                      <w:bCs/>
                      <w:lang w:val="es-ES" w:eastAsia="es-ES"/>
                    </w:rPr>
                    <w:t xml:space="preserve">Concepto C- </w:t>
                  </w:r>
                  <w:r w:rsidR="008C3546">
                    <w:rPr>
                      <w:rFonts w:ascii="Verdana" w:eastAsia="Calibri" w:hAnsi="Verdana" w:cs="Arial"/>
                      <w:b/>
                      <w:bCs/>
                      <w:lang w:val="es-ES" w:eastAsia="es-ES"/>
                    </w:rPr>
                    <w:t>662</w:t>
                  </w:r>
                  <w:r>
                    <w:rPr>
                      <w:rFonts w:ascii="Verdana" w:eastAsia="Calibri" w:hAnsi="Verdana" w:cs="Arial"/>
                      <w:b/>
                      <w:bCs/>
                      <w:lang w:val="es-ES" w:eastAsia="es-ES"/>
                    </w:rPr>
                    <w:t xml:space="preserve"> de 2024</w:t>
                  </w:r>
                </w:p>
              </w:tc>
            </w:tr>
            <w:tr w:rsidR="00632486" w:rsidRPr="00413568" w14:paraId="4C7AD2EB" w14:textId="77777777" w:rsidTr="008C3546">
              <w:trPr>
                <w:trHeight w:val="1175"/>
              </w:trPr>
              <w:tc>
                <w:tcPr>
                  <w:tcW w:w="2689" w:type="dxa"/>
                </w:tcPr>
                <w:p w14:paraId="50C71CFB" w14:textId="77777777" w:rsidR="00632486" w:rsidRPr="00413568" w:rsidRDefault="00632486" w:rsidP="007A37B6">
                  <w:pPr>
                    <w:jc w:val="both"/>
                    <w:rPr>
                      <w:rFonts w:ascii="Verdana" w:eastAsia="Calibri" w:hAnsi="Verdana" w:cs="Arial"/>
                      <w:lang w:val="es-ES_tradnl" w:eastAsia="es-ES_tradnl"/>
                    </w:rPr>
                  </w:pPr>
                  <w:r w:rsidRPr="00413568">
                    <w:rPr>
                      <w:rFonts w:ascii="Verdana" w:eastAsia="Calibri" w:hAnsi="Verdana" w:cs="Arial"/>
                      <w:b/>
                      <w:lang w:val="es-ES_tradnl" w:eastAsia="es-ES_tradnl"/>
                    </w:rPr>
                    <w:t>Temas:</w:t>
                  </w:r>
                  <w:r w:rsidRPr="00413568">
                    <w:rPr>
                      <w:rFonts w:ascii="Verdana" w:eastAsia="Calibri" w:hAnsi="Verdana" w:cs="Arial"/>
                      <w:lang w:val="es-ES_tradnl" w:eastAsia="es-ES_tradnl"/>
                    </w:rPr>
                    <w:t xml:space="preserve">                   </w:t>
                  </w:r>
                </w:p>
              </w:tc>
              <w:tc>
                <w:tcPr>
                  <w:tcW w:w="6100" w:type="dxa"/>
                </w:tcPr>
                <w:p w14:paraId="01AFB336" w14:textId="05FDEE5C" w:rsidR="00632486" w:rsidRPr="008C3546" w:rsidRDefault="00B63548" w:rsidP="007A37B6">
                  <w:pPr>
                    <w:spacing w:line="276" w:lineRule="auto"/>
                    <w:jc w:val="both"/>
                    <w:rPr>
                      <w:rFonts w:ascii="Verdana" w:hAnsi="Verdana" w:cs="Arial"/>
                      <w:bCs/>
                      <w:highlight w:val="yellow"/>
                    </w:rPr>
                  </w:pPr>
                  <w:r w:rsidRPr="00B63548">
                    <w:rPr>
                      <w:rFonts w:ascii="Verdana" w:hAnsi="Verdana" w:cs="Arial"/>
                      <w:bCs/>
                    </w:rPr>
                    <w:t>REQUISITOS HABILITANTES – Concepto / REQUISITOS HABILITANTES – Carácter enunciativo – Artículo 5 de la Ley 1150 de 2007 / Requisitos Habilitantes – Acreditación – RUP – Otros documentos / Capacidad jurídica – Registro Único Tributario – CIIU</w:t>
                  </w:r>
                </w:p>
              </w:tc>
            </w:tr>
          </w:tbl>
          <w:p w14:paraId="1EFA52F9" w14:textId="77777777" w:rsidR="00632486" w:rsidRPr="00413568" w:rsidRDefault="00632486" w:rsidP="007A37B6">
            <w:pPr>
              <w:tabs>
                <w:tab w:val="left" w:pos="3768"/>
              </w:tabs>
              <w:spacing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044DDD86" w14:textId="77777777" w:rsidR="00632486" w:rsidRPr="00413568" w:rsidRDefault="00632486" w:rsidP="007A37B6">
            <w:pPr>
              <w:jc w:val="both"/>
              <w:rPr>
                <w:rFonts w:ascii="Verdana" w:eastAsia="Calibri" w:hAnsi="Verdana" w:cs="Arial"/>
                <w:lang w:val="es-ES_tradnl" w:eastAsia="es-ES_tradnl"/>
              </w:rPr>
            </w:pPr>
            <w:r w:rsidRPr="00413568">
              <w:rPr>
                <w:rFonts w:ascii="Verdana" w:eastAsia="Calibri" w:hAnsi="Verdana" w:cs="Arial"/>
                <w:lang w:val="es-ES_tradnl" w:eastAsia="es-ES_tradnl"/>
              </w:rPr>
              <w:t xml:space="preserve">                                             </w:t>
            </w:r>
          </w:p>
        </w:tc>
        <w:tc>
          <w:tcPr>
            <w:tcW w:w="6468" w:type="dxa"/>
          </w:tcPr>
          <w:p w14:paraId="3A380099" w14:textId="77777777" w:rsidR="00632486" w:rsidRPr="00413568" w:rsidRDefault="00632486" w:rsidP="007A37B6">
            <w:pPr>
              <w:spacing w:line="276" w:lineRule="auto"/>
              <w:jc w:val="both"/>
              <w:rPr>
                <w:rFonts w:ascii="Verdana" w:eastAsia="Calibri" w:hAnsi="Verdana" w:cs="Arial"/>
                <w:lang w:eastAsia="es-ES"/>
              </w:rPr>
            </w:pPr>
            <w:r w:rsidRPr="00413568">
              <w:rPr>
                <w:rFonts w:ascii="Verdana" w:eastAsia="Calibri" w:hAnsi="Verdana" w:cs="Arial"/>
                <w:lang w:eastAsia="es-ES"/>
              </w:rPr>
              <w:t xml:space="preserve">  </w:t>
            </w:r>
          </w:p>
          <w:p w14:paraId="117BB9CA" w14:textId="77777777" w:rsidR="00632486" w:rsidRPr="00413568" w:rsidRDefault="00632486" w:rsidP="007A37B6">
            <w:pPr>
              <w:spacing w:line="276" w:lineRule="auto"/>
              <w:jc w:val="both"/>
              <w:rPr>
                <w:rFonts w:ascii="Verdana" w:eastAsia="Calibri" w:hAnsi="Verdana" w:cs="Arial"/>
                <w:highlight w:val="cyan"/>
                <w:lang w:eastAsia="es-ES"/>
              </w:rPr>
            </w:pPr>
          </w:p>
        </w:tc>
      </w:tr>
      <w:tr w:rsidR="00632486" w:rsidRPr="00413568" w14:paraId="40C574DD" w14:textId="77777777" w:rsidTr="007A37B6">
        <w:trPr>
          <w:trHeight w:val="260"/>
        </w:trPr>
        <w:tc>
          <w:tcPr>
            <w:tcW w:w="2851" w:type="dxa"/>
          </w:tcPr>
          <w:p w14:paraId="71C39491" w14:textId="12B37210" w:rsidR="00632486" w:rsidRPr="00413568" w:rsidRDefault="00632486" w:rsidP="007A37B6">
            <w:pPr>
              <w:jc w:val="both"/>
              <w:rPr>
                <w:rFonts w:ascii="Verdana" w:eastAsia="Calibri" w:hAnsi="Verdana" w:cs="Arial"/>
                <w:b/>
                <w:lang w:val="es-ES_tradnl" w:eastAsia="es-ES_tradnl"/>
              </w:rPr>
            </w:pPr>
            <w:r w:rsidRPr="00413568">
              <w:rPr>
                <w:rFonts w:ascii="Verdana" w:eastAsia="Calibri" w:hAnsi="Verdana" w:cs="Arial"/>
                <w:b/>
                <w:lang w:val="es-ES_tradnl" w:eastAsia="es-ES_tradnl"/>
              </w:rPr>
              <w:t>Radicación:</w:t>
            </w:r>
            <w:r w:rsidRPr="00413568">
              <w:rPr>
                <w:rFonts w:ascii="Verdana" w:eastAsia="Calibri" w:hAnsi="Verdana" w:cs="Arial"/>
                <w:lang w:val="es-ES_tradnl" w:eastAsia="es-ES_tradnl"/>
              </w:rPr>
              <w:t xml:space="preserve">               Respuesta a consulta con radicado No. </w:t>
            </w:r>
            <w:r w:rsidR="008C3546" w:rsidRPr="008C3546">
              <w:rPr>
                <w:rFonts w:ascii="Verdana" w:eastAsia="Calibri" w:hAnsi="Verdana" w:cs="Arial"/>
                <w:lang w:val="es-ES_tradnl" w:eastAsia="es-ES_tradnl"/>
              </w:rPr>
              <w:t>P20241216012575</w:t>
            </w:r>
          </w:p>
        </w:tc>
        <w:tc>
          <w:tcPr>
            <w:tcW w:w="6468" w:type="dxa"/>
          </w:tcPr>
          <w:p w14:paraId="77277BCE" w14:textId="77777777" w:rsidR="00632486" w:rsidRPr="00413568" w:rsidRDefault="00632486" w:rsidP="007A37B6">
            <w:pPr>
              <w:jc w:val="both"/>
              <w:rPr>
                <w:rFonts w:ascii="Verdana" w:eastAsia="Calibri" w:hAnsi="Verdana" w:cs="Arial"/>
                <w:lang w:val="es-ES_tradnl" w:eastAsia="es-ES_tradnl"/>
              </w:rPr>
            </w:pPr>
          </w:p>
        </w:tc>
      </w:tr>
    </w:tbl>
    <w:p w14:paraId="722112D5" w14:textId="77777777" w:rsidR="00632486" w:rsidRPr="00413568" w:rsidRDefault="00632486" w:rsidP="00632486">
      <w:pPr>
        <w:spacing w:after="0" w:line="240" w:lineRule="auto"/>
        <w:jc w:val="both"/>
        <w:rPr>
          <w:rFonts w:ascii="Verdana" w:eastAsia="Calibri" w:hAnsi="Verdana" w:cs="Arial"/>
          <w:highlight w:val="cyan"/>
          <w:lang w:val="es-ES_tradnl" w:eastAsia="es-ES_tradnl"/>
        </w:rPr>
      </w:pPr>
    </w:p>
    <w:p w14:paraId="79DC5954" w14:textId="77777777" w:rsidR="00632486" w:rsidRPr="00413568" w:rsidRDefault="00632486" w:rsidP="00632486">
      <w:pPr>
        <w:spacing w:after="0" w:line="240" w:lineRule="auto"/>
        <w:jc w:val="both"/>
        <w:rPr>
          <w:rFonts w:ascii="Verdana" w:eastAsia="Calibri" w:hAnsi="Verdana" w:cs="Arial"/>
          <w:highlight w:val="cyan"/>
          <w:lang w:val="es-ES_tradnl" w:eastAsia="es-ES_tradnl"/>
        </w:rPr>
      </w:pPr>
    </w:p>
    <w:p w14:paraId="155BF7B6" w14:textId="2927CDAD" w:rsidR="00632486" w:rsidRPr="00413568" w:rsidRDefault="00632486" w:rsidP="00632486">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 xml:space="preserve">Estimado señor </w:t>
      </w:r>
      <w:r w:rsidR="00365CA3">
        <w:rPr>
          <w:rFonts w:ascii="Verdana" w:eastAsia="Calibri" w:hAnsi="Verdana" w:cs="Arial"/>
          <w:lang w:val="es-ES" w:eastAsia="es-ES"/>
        </w:rPr>
        <w:t>Gutiérrez</w:t>
      </w:r>
      <w:r>
        <w:rPr>
          <w:rFonts w:ascii="Verdana" w:eastAsia="Calibri" w:hAnsi="Verdana" w:cs="Arial"/>
          <w:lang w:val="es-ES" w:eastAsia="es-ES"/>
        </w:rPr>
        <w:t>;</w:t>
      </w:r>
    </w:p>
    <w:p w14:paraId="043AAEE7" w14:textId="77777777" w:rsidR="00632486" w:rsidRPr="00413568" w:rsidRDefault="00632486" w:rsidP="00632486">
      <w:pPr>
        <w:tabs>
          <w:tab w:val="left" w:pos="3768"/>
        </w:tabs>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1B12DEF7" w14:textId="6984EB4A" w:rsidR="002F62B0" w:rsidRPr="00AD72BB" w:rsidRDefault="00632486" w:rsidP="00AD72BB">
      <w:pPr>
        <w:spacing w:after="120" w:line="276" w:lineRule="auto"/>
        <w:jc w:val="both"/>
        <w:rPr>
          <w:rFonts w:ascii="Verdana" w:hAnsi="Verdana"/>
          <w:lang w:val="es-ES"/>
        </w:rPr>
      </w:pPr>
      <w:r w:rsidRPr="00413568">
        <w:rPr>
          <w:rFonts w:ascii="Verdana" w:eastAsia="Calibri" w:hAnsi="Verdana" w:cs="Arial"/>
          <w:lang w:val="es-ES" w:eastAsia="es-ES"/>
        </w:rPr>
        <w:t>En ejercicio de la competencia otorgada por los artículos 3, numeral 5º, y 11, numeral 8º, del Decreto Ley 4170 de 2011,</w:t>
      </w:r>
      <w:r w:rsidRPr="00413568">
        <w:rPr>
          <w:rFonts w:ascii="Verdana" w:eastAsia="Arial MT" w:hAnsi="Verdana" w:cs="Arial MT"/>
          <w:lang w:val="es-ES" w:eastAsia="es-ES"/>
        </w:rPr>
        <w:t xml:space="preserve"> </w:t>
      </w:r>
      <w:r w:rsidRPr="00413568">
        <w:rPr>
          <w:rFonts w:ascii="Verdana" w:hAnsi="Verdana" w:cs="Arial"/>
        </w:rPr>
        <w:t xml:space="preserve">así como lo establecido en el artículo 4 de la Resolución 1707 de 2018 expedida por esta Entidad, </w:t>
      </w:r>
      <w:r w:rsidRPr="00413568">
        <w:rPr>
          <w:rFonts w:ascii="Verdana" w:eastAsia="Calibri" w:hAnsi="Verdana" w:cs="Arial"/>
          <w:lang w:val="es-ES" w:eastAsia="es-ES"/>
        </w:rPr>
        <w:t xml:space="preserve">la Agencia Nacional de Contratación Pública – Colombia Compra Eficiente– responde su solicitud de consulta </w:t>
      </w:r>
      <w:r w:rsidR="001A09ED">
        <w:rPr>
          <w:rFonts w:ascii="Verdana" w:eastAsia="Calibri" w:hAnsi="Verdana" w:cs="Arial"/>
          <w:lang w:val="es-ES" w:eastAsia="es-ES"/>
        </w:rPr>
        <w:t>en la que manifiesta lo siguiente:</w:t>
      </w:r>
      <w:r w:rsidR="000D5359" w:rsidRPr="000D5359">
        <w:rPr>
          <w:rFonts w:ascii="Verdana" w:eastAsia="Calibri" w:hAnsi="Verdana" w:cs="Arial"/>
          <w:lang w:val="es-ES" w:eastAsia="es-ES"/>
        </w:rPr>
        <w:t xml:space="preserve"> </w:t>
      </w:r>
      <w:r w:rsidR="002F62B0" w:rsidRPr="006E41F6">
        <w:rPr>
          <w:rFonts w:ascii="Verdana" w:hAnsi="Verdana"/>
          <w:i/>
          <w:lang w:val="es-ES"/>
        </w:rPr>
        <w:t>“</w:t>
      </w:r>
      <w:r w:rsidR="004679F5" w:rsidRPr="006E41F6">
        <w:rPr>
          <w:rFonts w:ascii="Verdana" w:hAnsi="Verdana"/>
          <w:i/>
          <w:lang w:val="es-ES"/>
        </w:rPr>
        <w:t>[…]</w:t>
      </w:r>
      <w:r w:rsidR="00197234" w:rsidRPr="006E41F6">
        <w:rPr>
          <w:rFonts w:ascii="Verdana" w:hAnsi="Verdana"/>
          <w:i/>
          <w:lang w:val="es-ES"/>
        </w:rPr>
        <w:t xml:space="preserve"> </w:t>
      </w:r>
      <w:r w:rsidR="001A09ED" w:rsidRPr="001A09ED">
        <w:rPr>
          <w:rFonts w:ascii="Verdana" w:hAnsi="Verdana"/>
          <w:i/>
        </w:rPr>
        <w:t xml:space="preserve"> </w:t>
      </w:r>
      <w:r w:rsidR="008C3546" w:rsidRPr="008C3546">
        <w:rPr>
          <w:rFonts w:ascii="Verdana" w:hAnsi="Verdana"/>
          <w:i/>
        </w:rPr>
        <w:t>puede una entidad estatal, descartar a un oferente en un proceso de selección, por</w:t>
      </w:r>
      <w:r w:rsidR="008C3546">
        <w:rPr>
          <w:rFonts w:ascii="Verdana" w:hAnsi="Verdana"/>
          <w:i/>
        </w:rPr>
        <w:t xml:space="preserve"> </w:t>
      </w:r>
      <w:r w:rsidR="008C3546" w:rsidRPr="008C3546">
        <w:rPr>
          <w:rFonts w:ascii="Verdana" w:hAnsi="Verdana"/>
          <w:i/>
        </w:rPr>
        <w:t>no contar con un código de actividad del CIIU en el RUT, cuando este tiene la</w:t>
      </w:r>
      <w:r w:rsidR="008C3546">
        <w:rPr>
          <w:rFonts w:ascii="Verdana" w:hAnsi="Verdana"/>
          <w:i/>
        </w:rPr>
        <w:t xml:space="preserve"> </w:t>
      </w:r>
      <w:r w:rsidR="008C3546" w:rsidRPr="008C3546">
        <w:rPr>
          <w:rFonts w:ascii="Verdana" w:hAnsi="Verdana"/>
          <w:i/>
        </w:rPr>
        <w:t>actividad en su objeto social en la cámara de comercio y cuenta con toda la</w:t>
      </w:r>
      <w:r w:rsidR="008C3546">
        <w:rPr>
          <w:rFonts w:ascii="Verdana" w:hAnsi="Verdana"/>
          <w:i/>
        </w:rPr>
        <w:t xml:space="preserve"> </w:t>
      </w:r>
      <w:r w:rsidR="008C3546" w:rsidRPr="008C3546">
        <w:rPr>
          <w:rFonts w:ascii="Verdana" w:hAnsi="Verdana"/>
          <w:i/>
        </w:rPr>
        <w:t>experiencia especifica requerida en el proceso</w:t>
      </w:r>
      <w:r w:rsidR="004046F4" w:rsidRPr="001A09ED">
        <w:rPr>
          <w:rFonts w:ascii="Verdana" w:hAnsi="Verdana"/>
          <w:i/>
          <w:iCs/>
        </w:rPr>
        <w:t>?</w:t>
      </w:r>
      <w:r w:rsidR="00D04A5C">
        <w:rPr>
          <w:rFonts w:ascii="Verdana" w:hAnsi="Verdana"/>
          <w:i/>
          <w:iCs/>
        </w:rPr>
        <w:t>”</w:t>
      </w:r>
      <w:r w:rsidR="00D04A5C">
        <w:rPr>
          <w:rFonts w:ascii="Verdana" w:hAnsi="Verdana"/>
        </w:rPr>
        <w:t xml:space="preserve"> [sic].</w:t>
      </w:r>
    </w:p>
    <w:p w14:paraId="20A08A11" w14:textId="347F276A" w:rsidR="002F62B0" w:rsidRDefault="002F62B0" w:rsidP="006E41F6">
      <w:pPr>
        <w:spacing w:after="120"/>
        <w:ind w:firstLine="708"/>
        <w:jc w:val="both"/>
        <w:rPr>
          <w:rFonts w:ascii="Verdana" w:hAnsi="Verdana"/>
          <w:lang w:val="es-ES"/>
        </w:rPr>
      </w:pPr>
      <w:r>
        <w:rPr>
          <w:rFonts w:ascii="Verdana" w:hAnsi="Verdana"/>
          <w:lang w:val="es-ES"/>
        </w:rPr>
        <w:t xml:space="preserve">De manera preliminar, resulta necesario acotar que esta entidad solo tiene competencia para responder consultas sobre la aplicación de normas de carácter general en materias de compras y contratación pública. En ese sentido, resolver casos particulares desborda las atribuciones asignadas por el legislador extraordinario, que no concibió a Colombia Compra Eficiente como una autoridad para solucionar problemas jurídicos particulares de todos los </w:t>
      </w:r>
      <w:r w:rsidR="00E02489">
        <w:rPr>
          <w:rFonts w:ascii="Verdana" w:hAnsi="Verdana"/>
          <w:lang w:val="es-ES"/>
        </w:rPr>
        <w:t>partícipes</w:t>
      </w:r>
      <w:r>
        <w:rPr>
          <w:rFonts w:ascii="Verdana" w:hAnsi="Verdana"/>
          <w:lang w:val="es-ES"/>
        </w:rPr>
        <w:t xml:space="preserve"> del </w:t>
      </w:r>
      <w:r>
        <w:rPr>
          <w:rFonts w:ascii="Verdana" w:hAnsi="Verdana"/>
          <w:lang w:val="es-ES"/>
        </w:rPr>
        <w:lastRenderedPageBreak/>
        <w:t xml:space="preserve">sistema de compra pública. La competencia de esta entidad se fija con </w:t>
      </w:r>
      <w:r w:rsidR="00E02489">
        <w:rPr>
          <w:rFonts w:ascii="Verdana" w:hAnsi="Verdana"/>
          <w:lang w:val="es-ES"/>
        </w:rPr>
        <w:t>límites</w:t>
      </w:r>
      <w:r>
        <w:rPr>
          <w:rFonts w:ascii="Verdana" w:hAnsi="Verdana"/>
          <w:lang w:val="es-ES"/>
        </w:rPr>
        <w:t xml:space="preserve">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49DD7D86" w14:textId="77777777" w:rsidR="002F62B0" w:rsidRDefault="002F62B0" w:rsidP="006E41F6">
      <w:pPr>
        <w:spacing w:after="0"/>
        <w:ind w:firstLine="709"/>
        <w:jc w:val="both"/>
        <w:rPr>
          <w:rFonts w:ascii="Verdana" w:hAnsi="Verdana"/>
          <w:lang w:val="es-ES"/>
        </w:rPr>
      </w:pPr>
      <w:r>
        <w:rPr>
          <w:rFonts w:ascii="Verdana" w:hAnsi="Verdana"/>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consideraciones sobre las normas generales relacionadas con los problemas jurídicos de su consulta.</w:t>
      </w:r>
    </w:p>
    <w:p w14:paraId="5125653B" w14:textId="77777777" w:rsidR="002F62B0" w:rsidRDefault="002F62B0" w:rsidP="002F62B0">
      <w:pPr>
        <w:spacing w:after="120"/>
        <w:ind w:firstLine="709"/>
        <w:jc w:val="both"/>
        <w:rPr>
          <w:rFonts w:ascii="Verdana" w:hAnsi="Verdana"/>
          <w:lang w:val="es-ES"/>
        </w:rPr>
      </w:pPr>
    </w:p>
    <w:p w14:paraId="22A96353" w14:textId="77777777" w:rsidR="002F62B0" w:rsidRDefault="002F62B0" w:rsidP="006E41F6">
      <w:pPr>
        <w:spacing w:after="0"/>
        <w:jc w:val="both"/>
        <w:rPr>
          <w:rFonts w:ascii="Verdana" w:hAnsi="Verdana"/>
          <w:b/>
          <w:bCs/>
          <w:lang w:val="es-ES"/>
        </w:rPr>
      </w:pPr>
      <w:r>
        <w:rPr>
          <w:rFonts w:ascii="Verdana" w:hAnsi="Verdana"/>
          <w:b/>
          <w:bCs/>
          <w:lang w:val="es-ES"/>
        </w:rPr>
        <w:t xml:space="preserve">1. Problema planteado: </w:t>
      </w:r>
    </w:p>
    <w:p w14:paraId="5754274A" w14:textId="77777777" w:rsidR="002F62B0" w:rsidRDefault="002F62B0" w:rsidP="006E41F6">
      <w:pPr>
        <w:spacing w:after="0"/>
        <w:jc w:val="both"/>
        <w:rPr>
          <w:rFonts w:ascii="Verdana" w:hAnsi="Verdana"/>
          <w:lang w:val="es-ES"/>
        </w:rPr>
      </w:pPr>
    </w:p>
    <w:p w14:paraId="52742E4E" w14:textId="6A55B718" w:rsidR="002F62B0" w:rsidRDefault="002F62B0" w:rsidP="006E41F6">
      <w:pPr>
        <w:spacing w:after="120" w:line="276" w:lineRule="auto"/>
        <w:jc w:val="both"/>
        <w:rPr>
          <w:rFonts w:ascii="Verdana" w:hAnsi="Verdana"/>
          <w:lang w:val="es-ES"/>
        </w:rPr>
      </w:pPr>
      <w:r>
        <w:rPr>
          <w:rFonts w:ascii="Verdana" w:hAnsi="Verdana"/>
          <w:lang w:val="es-ES"/>
        </w:rPr>
        <w:t xml:space="preserve">De acuerdo con el contenido de su solicitud, esta Agencia resolverá el siguiente problema jurídico: </w:t>
      </w:r>
      <w:r w:rsidR="00A112C2" w:rsidRPr="00116C2F">
        <w:rPr>
          <w:rFonts w:ascii="Verdana" w:hAnsi="Verdana"/>
          <w:i/>
          <w:iCs/>
          <w:lang w:val="es-ES"/>
        </w:rPr>
        <w:t>¿</w:t>
      </w:r>
      <w:r w:rsidR="00116C2F" w:rsidRPr="00116C2F">
        <w:rPr>
          <w:rFonts w:ascii="Verdana" w:hAnsi="Verdana"/>
          <w:i/>
          <w:iCs/>
        </w:rPr>
        <w:t>El</w:t>
      </w:r>
      <w:r w:rsidR="00116C2F">
        <w:rPr>
          <w:rFonts w:ascii="Verdana" w:hAnsi="Verdana"/>
          <w:i/>
          <w:iCs/>
        </w:rPr>
        <w:t xml:space="preserve"> </w:t>
      </w:r>
      <w:r w:rsidR="00116C2F" w:rsidRPr="00116C2F">
        <w:rPr>
          <w:rFonts w:ascii="Verdana" w:hAnsi="Verdana"/>
          <w:i/>
          <w:iCs/>
        </w:rPr>
        <w:t xml:space="preserve">código de actividad del CIIU </w:t>
      </w:r>
      <w:r w:rsidR="00116C2F">
        <w:rPr>
          <w:rFonts w:ascii="Verdana" w:hAnsi="Verdana"/>
          <w:i/>
          <w:iCs/>
        </w:rPr>
        <w:t>previsto en el</w:t>
      </w:r>
      <w:r w:rsidR="00116C2F" w:rsidRPr="00116C2F">
        <w:rPr>
          <w:rFonts w:ascii="Verdana" w:hAnsi="Verdana"/>
          <w:i/>
          <w:iCs/>
        </w:rPr>
        <w:t xml:space="preserve"> RUT</w:t>
      </w:r>
      <w:r w:rsidR="00116C2F" w:rsidRPr="00116C2F">
        <w:rPr>
          <w:rFonts w:ascii="Verdana" w:hAnsi="Verdana"/>
          <w:i/>
          <w:iCs/>
          <w:lang w:val="es-ES"/>
        </w:rPr>
        <w:t xml:space="preserve"> corresponde a un </w:t>
      </w:r>
      <w:r w:rsidR="00455A52" w:rsidRPr="00116C2F">
        <w:rPr>
          <w:rFonts w:ascii="Verdana" w:hAnsi="Verdana"/>
          <w:i/>
          <w:iCs/>
          <w:lang w:val="es-ES"/>
        </w:rPr>
        <w:t>requisito habilitante</w:t>
      </w:r>
      <w:r w:rsidR="00116C2F" w:rsidRPr="00116C2F">
        <w:rPr>
          <w:rFonts w:ascii="Verdana" w:hAnsi="Verdana"/>
          <w:i/>
          <w:iCs/>
          <w:lang w:val="es-ES"/>
        </w:rPr>
        <w:t xml:space="preserve"> para participar en los procesos de contracción pública</w:t>
      </w:r>
      <w:r w:rsidR="00883F07" w:rsidRPr="00116C2F">
        <w:rPr>
          <w:rFonts w:ascii="Verdana" w:hAnsi="Verdana"/>
          <w:i/>
          <w:iCs/>
          <w:lang w:val="es-ES"/>
        </w:rPr>
        <w:t xml:space="preserve">? </w:t>
      </w:r>
    </w:p>
    <w:p w14:paraId="046BF245" w14:textId="0A2C30D0" w:rsidR="00194475" w:rsidRDefault="00194475" w:rsidP="002F62B0">
      <w:pPr>
        <w:spacing w:after="120"/>
        <w:jc w:val="both"/>
        <w:rPr>
          <w:rFonts w:ascii="Verdana" w:hAnsi="Verdana"/>
          <w:b/>
          <w:bCs/>
          <w:lang w:val="es-ES"/>
        </w:rPr>
      </w:pPr>
      <w:r>
        <w:rPr>
          <w:rFonts w:ascii="Verdana" w:hAnsi="Verdana"/>
          <w:b/>
          <w:bCs/>
          <w:lang w:val="es-ES"/>
        </w:rPr>
        <w:t>2. Respuesta</w:t>
      </w:r>
      <w:r w:rsidR="00FB28EE">
        <w:rPr>
          <w:rFonts w:ascii="Verdana" w:hAnsi="Verdana"/>
          <w:b/>
          <w:bCs/>
          <w:lang w:val="es-ES"/>
        </w:rPr>
        <w:t xml:space="preserve">: </w:t>
      </w:r>
    </w:p>
    <w:p w14:paraId="2D7B677F" w14:textId="0403A3D3" w:rsidR="00937A60" w:rsidRDefault="00303B08" w:rsidP="006E41F6">
      <w:pPr>
        <w:pBdr>
          <w:top w:val="single" w:sz="4" w:space="1" w:color="auto"/>
          <w:left w:val="single" w:sz="4" w:space="4" w:color="auto"/>
          <w:bottom w:val="single" w:sz="4" w:space="0" w:color="auto"/>
          <w:right w:val="single" w:sz="4" w:space="4" w:color="auto"/>
        </w:pBdr>
        <w:spacing w:after="120" w:line="276" w:lineRule="auto"/>
        <w:jc w:val="both"/>
      </w:pPr>
      <w:r>
        <w:rPr>
          <w:rFonts w:ascii="Verdana" w:hAnsi="Verdana"/>
          <w:lang w:val="es-ES"/>
        </w:rPr>
        <w:t>E</w:t>
      </w:r>
      <w:r w:rsidRPr="00303B08">
        <w:rPr>
          <w:rFonts w:ascii="Verdana" w:hAnsi="Verdana"/>
          <w:lang w:val="es-ES"/>
        </w:rPr>
        <w:t>n el ordenamiento colombiano pueden celebrar contratos estatales las personas jurídicas que tengan dentro de su objeto social actividades relacionadas con el objeto a contratar</w:t>
      </w:r>
      <w:r>
        <w:rPr>
          <w:rFonts w:ascii="Verdana" w:hAnsi="Verdana"/>
          <w:lang w:val="es-ES"/>
        </w:rPr>
        <w:t xml:space="preserve">, </w:t>
      </w:r>
      <w:r w:rsidR="00621D7A">
        <w:rPr>
          <w:rFonts w:ascii="Verdana" w:hAnsi="Verdana"/>
          <w:lang w:val="es-ES"/>
        </w:rPr>
        <w:t>así</w:t>
      </w:r>
      <w:r>
        <w:rPr>
          <w:rFonts w:ascii="Verdana" w:hAnsi="Verdana"/>
          <w:lang w:val="es-ES"/>
        </w:rPr>
        <w:t xml:space="preserve"> las cosas en el </w:t>
      </w:r>
      <w:r w:rsidRPr="00303B08">
        <w:rPr>
          <w:rFonts w:ascii="Verdana" w:hAnsi="Verdana"/>
        </w:rPr>
        <w:t>Registro Único Empresarial y Social</w:t>
      </w:r>
      <w:r>
        <w:rPr>
          <w:rFonts w:ascii="Verdana" w:hAnsi="Verdana"/>
        </w:rPr>
        <w:t xml:space="preserve"> (R</w:t>
      </w:r>
      <w:r w:rsidRPr="00303B08">
        <w:rPr>
          <w:rFonts w:ascii="Verdana" w:hAnsi="Verdana"/>
          <w:lang w:val="es-ES"/>
        </w:rPr>
        <w:t>UES</w:t>
      </w:r>
      <w:r>
        <w:rPr>
          <w:rFonts w:ascii="Verdana" w:hAnsi="Verdana"/>
          <w:lang w:val="es-ES"/>
        </w:rPr>
        <w:t>)</w:t>
      </w:r>
      <w:r w:rsidRPr="00303B08">
        <w:rPr>
          <w:rFonts w:ascii="Verdana" w:hAnsi="Verdana"/>
          <w:lang w:val="es-ES"/>
        </w:rPr>
        <w:t>, administrado por las cámaras de comercio</w:t>
      </w:r>
      <w:r>
        <w:rPr>
          <w:rFonts w:ascii="Verdana" w:hAnsi="Verdana"/>
          <w:lang w:val="es-ES"/>
        </w:rPr>
        <w:t>,</w:t>
      </w:r>
      <w:r w:rsidRPr="00303B08">
        <w:rPr>
          <w:rFonts w:ascii="Verdana" w:hAnsi="Verdana"/>
          <w:lang w:val="es-ES"/>
        </w:rPr>
        <w:t xml:space="preserve"> se encuentra el listado de las actividades económicas que conforman el objeto de las empresas, según los códigos de la Clasificación Industrial Internacional Uniforme (CIIU), </w:t>
      </w:r>
      <w:r>
        <w:rPr>
          <w:rFonts w:ascii="Verdana" w:hAnsi="Verdana"/>
          <w:lang w:val="es-ES"/>
        </w:rPr>
        <w:t xml:space="preserve">lo anterior </w:t>
      </w:r>
      <w:r w:rsidRPr="00303B08">
        <w:rPr>
          <w:rFonts w:ascii="Verdana" w:hAnsi="Verdana"/>
          <w:lang w:val="es-ES"/>
        </w:rPr>
        <w:t>en virtud de lo dispuesto en el artículo 11 de la Ley 590 de 2000  y el artículo 166 del Decreto 019 de 2012</w:t>
      </w:r>
      <w:r w:rsidR="00973610">
        <w:rPr>
          <w:rFonts w:ascii="Verdana" w:hAnsi="Verdana"/>
          <w:lang w:val="es-ES"/>
        </w:rPr>
        <w:t>.</w:t>
      </w:r>
      <w:r w:rsidRPr="00303B08">
        <w:rPr>
          <w:rFonts w:ascii="Verdana" w:hAnsi="Verdana"/>
          <w:lang w:val="es-ES"/>
        </w:rPr>
        <w:t xml:space="preserve"> </w:t>
      </w:r>
      <w:r w:rsidR="00D04A5C">
        <w:rPr>
          <w:rFonts w:ascii="Verdana" w:hAnsi="Verdana"/>
          <w:lang w:val="es-ES"/>
        </w:rPr>
        <w:t>En atención a esta normativa,</w:t>
      </w:r>
      <w:r w:rsidR="0069189A">
        <w:rPr>
          <w:rFonts w:ascii="Verdana" w:hAnsi="Verdana"/>
          <w:lang w:val="es-ES"/>
        </w:rPr>
        <w:t xml:space="preserve"> el </w:t>
      </w:r>
      <w:r w:rsidR="0069189A" w:rsidRPr="0069189A">
        <w:rPr>
          <w:rFonts w:ascii="Verdana" w:hAnsi="Verdana"/>
          <w:lang w:val="es-ES"/>
        </w:rPr>
        <w:t>código CIIU es un elemento fundamental dentro d</w:t>
      </w:r>
      <w:r w:rsidR="00937A60">
        <w:rPr>
          <w:rFonts w:ascii="Verdana" w:hAnsi="Verdana"/>
          <w:lang w:val="es-ES"/>
        </w:rPr>
        <w:t>el Registro Único Tributario (</w:t>
      </w:r>
      <w:r w:rsidR="0069189A" w:rsidRPr="0069189A">
        <w:rPr>
          <w:rFonts w:ascii="Verdana" w:hAnsi="Verdana"/>
          <w:lang w:val="es-ES"/>
        </w:rPr>
        <w:t>RUT</w:t>
      </w:r>
      <w:r w:rsidR="00937A60">
        <w:rPr>
          <w:rFonts w:ascii="Verdana" w:hAnsi="Verdana"/>
          <w:lang w:val="es-ES"/>
        </w:rPr>
        <w:t>)</w:t>
      </w:r>
      <w:r w:rsidR="00C2239F">
        <w:rPr>
          <w:rFonts w:ascii="Verdana" w:hAnsi="Verdana"/>
          <w:lang w:val="es-ES"/>
        </w:rPr>
        <w:t xml:space="preserve"> toda vez que</w:t>
      </w:r>
      <w:r w:rsidR="0069189A" w:rsidRPr="0069189A">
        <w:rPr>
          <w:rFonts w:ascii="Verdana" w:hAnsi="Verdana"/>
          <w:lang w:val="es-ES"/>
        </w:rPr>
        <w:t xml:space="preserve"> una persona o entidad se inscribe en el RUT, debe indicar la actividad económica que realiza, y esta se clasifica utilizando el código CIIU. Por lo tanto, el RUT contiene, entre otros datos, el código CIIU que identifica la actividad principal del contribuyente.</w:t>
      </w:r>
      <w:r w:rsidR="00937A60" w:rsidRPr="00937A60">
        <w:t xml:space="preserve"> </w:t>
      </w:r>
    </w:p>
    <w:p w14:paraId="349948F3" w14:textId="18A5D863" w:rsidR="0076684B" w:rsidRDefault="00937A60" w:rsidP="00AD72BB">
      <w:pPr>
        <w:pBdr>
          <w:top w:val="single" w:sz="4" w:space="1" w:color="auto"/>
          <w:left w:val="single" w:sz="4" w:space="4" w:color="auto"/>
          <w:bottom w:val="single" w:sz="4" w:space="0" w:color="auto"/>
          <w:right w:val="single" w:sz="4" w:space="4" w:color="auto"/>
        </w:pBdr>
        <w:spacing w:after="120" w:line="276" w:lineRule="auto"/>
        <w:ind w:firstLine="709"/>
        <w:jc w:val="both"/>
      </w:pPr>
      <w:r>
        <w:rPr>
          <w:rFonts w:ascii="Verdana" w:hAnsi="Verdana"/>
          <w:lang w:val="es-ES"/>
        </w:rPr>
        <w:t>De esta manera</w:t>
      </w:r>
      <w:r w:rsidR="00973610">
        <w:rPr>
          <w:rFonts w:ascii="Verdana" w:hAnsi="Verdana"/>
          <w:lang w:val="es-ES"/>
        </w:rPr>
        <w:t>,</w:t>
      </w:r>
      <w:r>
        <w:rPr>
          <w:rFonts w:ascii="Verdana" w:hAnsi="Verdana"/>
          <w:lang w:val="es-ES"/>
        </w:rPr>
        <w:t xml:space="preserve"> </w:t>
      </w:r>
      <w:r w:rsidRPr="00937A60">
        <w:rPr>
          <w:rFonts w:ascii="Verdana" w:hAnsi="Verdana"/>
          <w:lang w:val="es-ES"/>
        </w:rPr>
        <w:t xml:space="preserve">la validez de exigir la inscripción en el RUT de determinados códigos o actividades asociados al objeto contractual como requisito </w:t>
      </w:r>
      <w:r w:rsidR="00A64A25">
        <w:rPr>
          <w:rFonts w:ascii="Verdana" w:hAnsi="Verdana"/>
          <w:lang w:val="es-ES"/>
        </w:rPr>
        <w:t xml:space="preserve">habilitante </w:t>
      </w:r>
      <w:r w:rsidRPr="00937A60">
        <w:rPr>
          <w:rFonts w:ascii="Verdana" w:hAnsi="Verdana"/>
          <w:lang w:val="es-ES"/>
        </w:rPr>
        <w:t xml:space="preserve">para acreditar la capacidad jurídica, depende en primera medida de lo impuesto por la norma tributarias y comerciales, de suerte que, si tal normativa indica la obligatoriedad del RUT para ejercer la actividad </w:t>
      </w:r>
      <w:r w:rsidRPr="00937A60">
        <w:rPr>
          <w:rFonts w:ascii="Verdana" w:hAnsi="Verdana"/>
          <w:lang w:val="es-ES"/>
        </w:rPr>
        <w:lastRenderedPageBreak/>
        <w:t>correspondiente, podría resultar valido el referido requisito. En todo caso, también es necesario verificar las particulares condiciones de la persona proponente a efectos de determinar si atención a las mismas se encuentra obligado a estar inscrito en RUT en los términos exigidos o si ello supone un impedimento para ejecutar el contrato.</w:t>
      </w:r>
      <w:r w:rsidR="0076684B" w:rsidRPr="0076684B">
        <w:t xml:space="preserve"> </w:t>
      </w:r>
    </w:p>
    <w:p w14:paraId="40DE6330" w14:textId="2D6B01BE" w:rsidR="00FC37F6" w:rsidRDefault="006067A2" w:rsidP="00AD72BB">
      <w:pPr>
        <w:pBdr>
          <w:top w:val="single" w:sz="4" w:space="1" w:color="auto"/>
          <w:left w:val="single" w:sz="4" w:space="4" w:color="auto"/>
          <w:bottom w:val="single" w:sz="4" w:space="0" w:color="auto"/>
          <w:right w:val="single" w:sz="4" w:space="4" w:color="auto"/>
        </w:pBdr>
        <w:spacing w:after="120" w:line="276" w:lineRule="auto"/>
        <w:ind w:firstLine="709"/>
        <w:jc w:val="both"/>
        <w:rPr>
          <w:rFonts w:ascii="Verdana" w:hAnsi="Verdana"/>
          <w:lang w:val="es-ES"/>
        </w:rPr>
      </w:pPr>
      <w:r>
        <w:rPr>
          <w:rFonts w:ascii="Verdana" w:hAnsi="Verdana"/>
          <w:lang w:val="es-ES"/>
        </w:rPr>
        <w:t>De esta manera</w:t>
      </w:r>
      <w:r w:rsidR="00973610">
        <w:rPr>
          <w:rFonts w:ascii="Verdana" w:hAnsi="Verdana"/>
          <w:lang w:val="es-ES"/>
        </w:rPr>
        <w:t>,</w:t>
      </w:r>
      <w:r>
        <w:rPr>
          <w:rFonts w:ascii="Verdana" w:hAnsi="Verdana"/>
          <w:lang w:val="es-ES"/>
        </w:rPr>
        <w:t xml:space="preserve"> </w:t>
      </w:r>
      <w:r w:rsidR="00F56FA3">
        <w:rPr>
          <w:rFonts w:ascii="Verdana" w:hAnsi="Verdana"/>
          <w:lang w:val="es-ES"/>
        </w:rPr>
        <w:t xml:space="preserve">si </w:t>
      </w:r>
      <w:r>
        <w:rPr>
          <w:rFonts w:ascii="Verdana" w:hAnsi="Verdana"/>
          <w:lang w:val="es-ES"/>
        </w:rPr>
        <w:t>l</w:t>
      </w:r>
      <w:r w:rsidR="0076684B" w:rsidRPr="0076684B">
        <w:rPr>
          <w:rFonts w:ascii="Verdana" w:hAnsi="Verdana"/>
          <w:lang w:val="es-ES"/>
        </w:rPr>
        <w:t>a Entidad Estatal consider</w:t>
      </w:r>
      <w:r w:rsidR="00F56FA3">
        <w:rPr>
          <w:rFonts w:ascii="Verdana" w:hAnsi="Verdana"/>
          <w:lang w:val="es-ES"/>
        </w:rPr>
        <w:t>a</w:t>
      </w:r>
      <w:r w:rsidR="0076684B" w:rsidRPr="0076684B">
        <w:rPr>
          <w:rFonts w:ascii="Verdana" w:hAnsi="Verdana"/>
          <w:lang w:val="es-ES"/>
        </w:rPr>
        <w:t xml:space="preserv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w:t>
      </w:r>
    </w:p>
    <w:p w14:paraId="7B265706" w14:textId="7D2E9D34" w:rsidR="00116C2F" w:rsidRPr="002A062F" w:rsidRDefault="000956A5" w:rsidP="00AD72BB">
      <w:pPr>
        <w:pBdr>
          <w:top w:val="single" w:sz="4" w:space="1" w:color="auto"/>
          <w:left w:val="single" w:sz="4" w:space="4" w:color="auto"/>
          <w:bottom w:val="single" w:sz="4" w:space="0" w:color="auto"/>
          <w:right w:val="single" w:sz="4" w:space="4" w:color="auto"/>
        </w:pBdr>
        <w:spacing w:after="120" w:line="276" w:lineRule="auto"/>
        <w:ind w:firstLine="709"/>
        <w:jc w:val="both"/>
        <w:rPr>
          <w:rFonts w:ascii="Verdana" w:hAnsi="Verdana"/>
          <w:lang w:val="es-ES"/>
        </w:rPr>
      </w:pPr>
      <w:r w:rsidRPr="000956A5">
        <w:rPr>
          <w:rFonts w:ascii="Verdana" w:hAnsi="Verdana"/>
          <w:lang w:val="es-ES"/>
        </w:rPr>
        <w:t>En este orden de ideas</w:t>
      </w:r>
      <w:r w:rsidR="00973610">
        <w:rPr>
          <w:rFonts w:ascii="Verdana" w:hAnsi="Verdana"/>
          <w:lang w:val="es-ES"/>
        </w:rPr>
        <w:t>,</w:t>
      </w:r>
      <w:r w:rsidRPr="000956A5">
        <w:rPr>
          <w:rFonts w:ascii="Verdana" w:hAnsi="Verdana"/>
          <w:lang w:val="es-ES"/>
        </w:rPr>
        <w:t xml:space="preserve"> corresponde a la misma entidad estatal, en ejercicio de su competencia y previa valoración de los elementos fácticos y jurídicos </w:t>
      </w:r>
      <w:r w:rsidR="006067A2" w:rsidRPr="000956A5">
        <w:rPr>
          <w:rFonts w:ascii="Verdana" w:hAnsi="Verdana"/>
          <w:lang w:val="es-ES"/>
        </w:rPr>
        <w:t>determinar en los pliegos de condiciones</w:t>
      </w:r>
      <w:r w:rsidRPr="000956A5">
        <w:rPr>
          <w:rFonts w:ascii="Verdana" w:hAnsi="Verdana"/>
          <w:lang w:val="es-ES"/>
        </w:rPr>
        <w:t xml:space="preserve"> la información que se debe acreditar, así como los documentos que tendrá como válidos para la de participación de un oferente en un determinado proceso de selección.</w:t>
      </w:r>
    </w:p>
    <w:p w14:paraId="05B7892B" w14:textId="77777777" w:rsidR="0060692D" w:rsidRPr="00413568" w:rsidRDefault="0060692D" w:rsidP="00632486">
      <w:pPr>
        <w:spacing w:after="0" w:line="276" w:lineRule="auto"/>
        <w:jc w:val="both"/>
        <w:rPr>
          <w:rFonts w:ascii="Verdana" w:eastAsia="Calibri" w:hAnsi="Verdana" w:cs="Arial"/>
          <w:lang w:val="es-ES" w:eastAsia="es-ES"/>
        </w:rPr>
      </w:pPr>
    </w:p>
    <w:p w14:paraId="3D48E8D6" w14:textId="37E04B62" w:rsidR="00632486" w:rsidRDefault="00632486" w:rsidP="002339AC">
      <w:pPr>
        <w:spacing w:after="0" w:line="240" w:lineRule="auto"/>
        <w:textAlignment w:val="baseline"/>
        <w:rPr>
          <w:rFonts w:ascii="Verdana" w:eastAsia="Times New Roman" w:hAnsi="Verdana" w:cs="Segoe UI"/>
          <w:b/>
          <w:bCs/>
          <w:color w:val="404040"/>
          <w:lang w:eastAsia="es-CO"/>
        </w:rPr>
      </w:pPr>
      <w:r w:rsidRPr="0044528D">
        <w:rPr>
          <w:rFonts w:ascii="Verdana" w:eastAsia="Times New Roman" w:hAnsi="Verdana" w:cs="Segoe UI"/>
          <w:color w:val="404040"/>
          <w:lang w:eastAsia="es-CO"/>
        </w:rPr>
        <w:t> </w:t>
      </w:r>
      <w:r w:rsidR="002B2019">
        <w:rPr>
          <w:rFonts w:ascii="Verdana" w:eastAsia="Times New Roman" w:hAnsi="Verdana" w:cs="Segoe UI"/>
          <w:b/>
          <w:bCs/>
          <w:color w:val="404040"/>
          <w:lang w:eastAsia="es-CO"/>
        </w:rPr>
        <w:t>3. Razones de la respuesta:</w:t>
      </w:r>
    </w:p>
    <w:p w14:paraId="149A5F63" w14:textId="530A0E7C" w:rsidR="00632486" w:rsidRDefault="00632486" w:rsidP="00E34E97">
      <w:pPr>
        <w:spacing w:after="0" w:line="240" w:lineRule="auto"/>
        <w:jc w:val="both"/>
        <w:textAlignment w:val="baseline"/>
        <w:rPr>
          <w:rFonts w:ascii="Verdana" w:eastAsia="Times New Roman" w:hAnsi="Verdana" w:cs="Segoe UI"/>
          <w:b/>
          <w:bCs/>
          <w:color w:val="404040"/>
          <w:lang w:eastAsia="es-CO"/>
        </w:rPr>
      </w:pPr>
    </w:p>
    <w:p w14:paraId="4924A63D" w14:textId="5CD2F574" w:rsidR="004B5A18" w:rsidRPr="00621D7A" w:rsidRDefault="004B5A18" w:rsidP="00E34E97">
      <w:pPr>
        <w:spacing w:after="0" w:line="240" w:lineRule="auto"/>
        <w:jc w:val="both"/>
        <w:textAlignment w:val="baseline"/>
        <w:rPr>
          <w:rFonts w:ascii="Verdana" w:eastAsia="Calibri" w:hAnsi="Verdana" w:cs="Arial"/>
          <w:lang w:val="es-ES_tradnl" w:eastAsia="es-MX"/>
        </w:rPr>
      </w:pPr>
      <w:r w:rsidRPr="00621D7A">
        <w:rPr>
          <w:rFonts w:ascii="Verdana" w:eastAsia="Calibri" w:hAnsi="Verdana" w:cs="Arial"/>
          <w:lang w:val="es-ES_tradnl" w:eastAsia="es-MX"/>
        </w:rPr>
        <w:t>Lo</w:t>
      </w:r>
      <w:r w:rsidR="00D87C56" w:rsidRPr="00621D7A">
        <w:rPr>
          <w:rFonts w:ascii="Verdana" w:eastAsia="Calibri" w:hAnsi="Verdana" w:cs="Arial"/>
          <w:lang w:val="es-ES_tradnl" w:eastAsia="es-MX"/>
        </w:rPr>
        <w:t xml:space="preserve"> anterior se sustenta en las siguientes consideraciones:</w:t>
      </w:r>
    </w:p>
    <w:p w14:paraId="6055F99E" w14:textId="77777777" w:rsidR="00D87C56" w:rsidRDefault="00D87C56" w:rsidP="00E34E97">
      <w:pPr>
        <w:spacing w:after="0" w:line="240" w:lineRule="auto"/>
        <w:jc w:val="both"/>
        <w:textAlignment w:val="baseline"/>
        <w:rPr>
          <w:rFonts w:ascii="Verdana" w:eastAsia="Times New Roman" w:hAnsi="Verdana" w:cs="Segoe UI"/>
          <w:color w:val="404040"/>
          <w:lang w:eastAsia="es-CO"/>
        </w:rPr>
      </w:pPr>
    </w:p>
    <w:p w14:paraId="2EAB13CC" w14:textId="2518F38D" w:rsidR="003D0085" w:rsidRPr="003D0085" w:rsidRDefault="003D0085" w:rsidP="7D9C0904">
      <w:pPr>
        <w:spacing w:after="120" w:line="276" w:lineRule="auto"/>
        <w:jc w:val="both"/>
        <w:rPr>
          <w:rFonts w:ascii="Verdana" w:eastAsia="Calibri" w:hAnsi="Verdana" w:cs="Arial"/>
          <w:lang w:val="es-ES" w:eastAsia="es-MX"/>
        </w:rPr>
      </w:pPr>
      <w:bookmarkStart w:id="1" w:name="_Hlk99546562"/>
      <w:bookmarkEnd w:id="0"/>
      <w:r w:rsidRPr="7D9C0904">
        <w:rPr>
          <w:rFonts w:ascii="Verdana" w:eastAsia="Calibri" w:hAnsi="Verdana" w:cs="Arial"/>
          <w:lang w:val="es-ES" w:eastAsia="es-MX"/>
        </w:rPr>
        <w:t xml:space="preserve">De manera preliminar es pertinente indicar que los </w:t>
      </w:r>
      <w:r w:rsidRPr="7D9C0904">
        <w:rPr>
          <w:rFonts w:ascii="Verdana" w:eastAsia="Calibri" w:hAnsi="Verdana" w:cs="Arial"/>
          <w:i/>
          <w:iCs/>
          <w:lang w:val="es-ES" w:eastAsia="es-MX"/>
        </w:rPr>
        <w:t>requisitos habilitantes</w:t>
      </w:r>
      <w:r w:rsidRPr="7D9C0904">
        <w:rPr>
          <w:rFonts w:ascii="Verdana" w:eastAsia="Calibri" w:hAnsi="Verdana" w:cs="Arial"/>
          <w:lang w:val="es-ES"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 – es decir, en el Pliego de Condiciones o el documento equivalente a este –. </w:t>
      </w:r>
    </w:p>
    <w:bookmarkEnd w:id="1"/>
    <w:p w14:paraId="742335E0" w14:textId="77777777" w:rsidR="003D0085" w:rsidRPr="003D0085" w:rsidRDefault="003D0085" w:rsidP="7D9C0904">
      <w:pPr>
        <w:spacing w:after="120" w:line="276" w:lineRule="auto"/>
        <w:ind w:firstLine="708"/>
        <w:jc w:val="both"/>
        <w:rPr>
          <w:rFonts w:ascii="Verdana" w:eastAsia="Calibri" w:hAnsi="Verdana" w:cs="Arial"/>
          <w:lang w:val="es-ES" w:eastAsia="es-MX"/>
        </w:rPr>
      </w:pPr>
      <w:r w:rsidRPr="7D9C0904">
        <w:rPr>
          <w:rFonts w:ascii="Verdana" w:eastAsia="Calibri" w:hAnsi="Verdana" w:cs="Arial"/>
          <w:lang w:val="es-ES" w:eastAsia="es-MX"/>
        </w:rPr>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05D6B822" w14:textId="77777777" w:rsidR="003D0085" w:rsidRPr="003D0085" w:rsidRDefault="003D0085" w:rsidP="003D0085">
      <w:pPr>
        <w:spacing w:after="120" w:line="276" w:lineRule="auto"/>
        <w:ind w:firstLine="708"/>
        <w:jc w:val="both"/>
        <w:rPr>
          <w:rFonts w:ascii="Verdana" w:eastAsia="Calibri" w:hAnsi="Verdana" w:cs="Arial"/>
          <w:lang w:val="es-ES_tradnl" w:eastAsia="es-MX"/>
        </w:rPr>
      </w:pPr>
      <w:r w:rsidRPr="003D0085">
        <w:rPr>
          <w:rFonts w:ascii="Verdana" w:eastAsia="Calibri" w:hAnsi="Verdana" w:cs="Arial"/>
          <w:lang w:val="es-ES_tradnl" w:eastAsia="es-MX"/>
        </w:rPr>
        <w:lastRenderedPageBreak/>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1962973E" w14:textId="77777777" w:rsidR="003D0085" w:rsidRPr="003D0085" w:rsidRDefault="003D0085" w:rsidP="7D9C0904">
      <w:pPr>
        <w:spacing w:after="0" w:line="276" w:lineRule="auto"/>
        <w:ind w:firstLine="709"/>
        <w:contextualSpacing/>
        <w:jc w:val="both"/>
        <w:rPr>
          <w:rFonts w:ascii="Verdana" w:eastAsia="Calibri" w:hAnsi="Verdana" w:cs="Arial"/>
          <w:lang w:val="es-ES" w:eastAsia="es-MX"/>
        </w:rPr>
      </w:pPr>
      <w:r w:rsidRPr="7D9C0904">
        <w:rPr>
          <w:rFonts w:ascii="Verdana" w:eastAsia="Calibri" w:hAnsi="Verdana" w:cs="Arial"/>
          <w:lang w:val="es-ES"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En efecto, la normativa citada dispone: </w:t>
      </w:r>
    </w:p>
    <w:p w14:paraId="7650E369" w14:textId="77777777" w:rsidR="003D0085" w:rsidRPr="003D0085" w:rsidRDefault="003D0085" w:rsidP="003D0085">
      <w:pPr>
        <w:spacing w:after="0" w:line="276" w:lineRule="auto"/>
        <w:ind w:firstLine="709"/>
        <w:jc w:val="both"/>
        <w:rPr>
          <w:rFonts w:ascii="Verdana" w:eastAsia="Calibri" w:hAnsi="Verdana" w:cs="Arial"/>
          <w:lang w:val="es-ES_tradnl" w:eastAsia="es-MX"/>
        </w:rPr>
      </w:pPr>
    </w:p>
    <w:p w14:paraId="183134B3" w14:textId="77777777" w:rsidR="003D0085" w:rsidRPr="003D0085" w:rsidRDefault="003D0085" w:rsidP="003D0085">
      <w:pPr>
        <w:spacing w:after="0" w:line="240" w:lineRule="auto"/>
        <w:ind w:left="709" w:right="709"/>
        <w:contextualSpacing/>
        <w:jc w:val="both"/>
        <w:rPr>
          <w:rFonts w:ascii="Verdana" w:eastAsia="Calibri" w:hAnsi="Verdana" w:cs="Arial"/>
          <w:lang w:val="es-ES_tradnl" w:eastAsia="es-MX"/>
        </w:rPr>
      </w:pPr>
      <w:r w:rsidRPr="003D0085">
        <w:rPr>
          <w:rFonts w:ascii="Verdana" w:eastAsia="Calibri" w:hAnsi="Verdana" w:cs="Arial"/>
          <w:lang w:val="es-ES_tradnl" w:eastAsia="es-MX"/>
        </w:rPr>
        <w:t xml:space="preserve">“Artículo 5. De la Selección Objetiva. </w:t>
      </w:r>
    </w:p>
    <w:p w14:paraId="32BF6CC1" w14:textId="77777777" w:rsidR="003D0085" w:rsidRPr="003D0085" w:rsidRDefault="003D0085" w:rsidP="003D0085">
      <w:pPr>
        <w:spacing w:after="0" w:line="240" w:lineRule="auto"/>
        <w:ind w:left="709" w:right="709"/>
        <w:contextualSpacing/>
        <w:jc w:val="both"/>
        <w:rPr>
          <w:rFonts w:ascii="Verdana" w:eastAsia="Calibri" w:hAnsi="Verdana" w:cs="Arial"/>
          <w:lang w:val="es-ES_tradnl" w:eastAsia="es-MX"/>
        </w:rPr>
      </w:pPr>
    </w:p>
    <w:p w14:paraId="74BBE4A7" w14:textId="77777777" w:rsidR="003D0085" w:rsidRPr="003D0085" w:rsidRDefault="003D0085" w:rsidP="003D0085">
      <w:pPr>
        <w:spacing w:after="0" w:line="240" w:lineRule="auto"/>
        <w:ind w:left="709" w:right="709"/>
        <w:contextualSpacing/>
        <w:jc w:val="both"/>
        <w:rPr>
          <w:rFonts w:ascii="Verdana" w:eastAsia="Calibri" w:hAnsi="Verdana" w:cs="Arial"/>
          <w:lang w:val="es-ES_tradnl" w:eastAsia="es-MX"/>
        </w:rPr>
      </w:pPr>
      <w:r w:rsidRPr="003D0085">
        <w:rPr>
          <w:rFonts w:ascii="Verdana" w:eastAsia="Calibri" w:hAnsi="Verdana" w:cs="Arial"/>
          <w:lang w:val="es-ES_tradnl" w:eastAsia="es-MX"/>
        </w:rPr>
        <w:t>[…]</w:t>
      </w:r>
    </w:p>
    <w:p w14:paraId="673FD1E0" w14:textId="77777777" w:rsidR="003D0085" w:rsidRPr="003D0085" w:rsidRDefault="003D0085" w:rsidP="003D0085">
      <w:pPr>
        <w:spacing w:after="0" w:line="240" w:lineRule="auto"/>
        <w:ind w:left="709" w:right="709"/>
        <w:contextualSpacing/>
        <w:jc w:val="both"/>
        <w:rPr>
          <w:rFonts w:ascii="Verdana" w:eastAsia="Calibri" w:hAnsi="Verdana" w:cs="Arial"/>
          <w:lang w:val="es-ES_tradnl"/>
        </w:rPr>
      </w:pPr>
    </w:p>
    <w:p w14:paraId="16637E48" w14:textId="77777777" w:rsidR="003D0085" w:rsidRPr="003D0085" w:rsidRDefault="003D0085" w:rsidP="7D9C0904">
      <w:pPr>
        <w:spacing w:after="0" w:line="240" w:lineRule="auto"/>
        <w:ind w:left="709" w:right="709"/>
        <w:contextualSpacing/>
        <w:jc w:val="both"/>
        <w:rPr>
          <w:rFonts w:ascii="Verdana" w:eastAsia="Calibri" w:hAnsi="Verdana" w:cs="Arial"/>
          <w:lang w:val="es-ES"/>
        </w:rPr>
      </w:pPr>
      <w:r w:rsidRPr="7D9C0904">
        <w:rPr>
          <w:rFonts w:ascii="Verdana" w:eastAsia="Calibri" w:hAnsi="Verdana" w:cs="Arial"/>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01F045F5" w14:textId="77777777" w:rsidR="003D0085" w:rsidRPr="003D0085" w:rsidRDefault="003D0085" w:rsidP="003D0085">
      <w:pPr>
        <w:spacing w:after="0" w:line="276" w:lineRule="auto"/>
        <w:ind w:left="709" w:right="709"/>
        <w:contextualSpacing/>
        <w:jc w:val="both"/>
        <w:rPr>
          <w:rFonts w:ascii="Verdana" w:eastAsia="Calibri" w:hAnsi="Verdana" w:cs="Arial"/>
          <w:lang w:val="es-ES_tradnl"/>
        </w:rPr>
      </w:pPr>
    </w:p>
    <w:p w14:paraId="79B88B83" w14:textId="77777777" w:rsidR="003D0085" w:rsidRPr="003D0085" w:rsidRDefault="003D0085" w:rsidP="003D0085">
      <w:pPr>
        <w:spacing w:after="120" w:line="276" w:lineRule="auto"/>
        <w:ind w:firstLine="708"/>
        <w:jc w:val="both"/>
        <w:rPr>
          <w:rFonts w:ascii="Verdana" w:eastAsia="Times New Roman" w:hAnsi="Verdana" w:cs="Arial"/>
          <w:highlight w:val="cyan"/>
          <w:lang w:val="es-ES_tradnl" w:eastAsia="es-MX"/>
        </w:rPr>
      </w:pPr>
      <w:bookmarkStart w:id="2" w:name="_Hlk99547809"/>
      <w:bookmarkStart w:id="3" w:name="_Hlk99546625"/>
      <w:r w:rsidRPr="003D0085">
        <w:rPr>
          <w:rFonts w:ascii="Verdana" w:eastAsia="Times New Roman" w:hAnsi="Verdana" w:cs="Arial"/>
          <w:lang w:val="es-ES_tradnl" w:eastAsia="es-MX"/>
        </w:rPr>
        <w:t xml:space="preserve">La Agencia Nacional de Contratación Pública – Colombia Compra Eficiente ha defendido el carácter </w:t>
      </w:r>
      <w:bookmarkStart w:id="4" w:name="_Hlk99547799"/>
      <w:r w:rsidRPr="003D0085">
        <w:rPr>
          <w:rFonts w:ascii="Verdana" w:eastAsia="Times New Roman" w:hAnsi="Verdana" w:cs="Arial"/>
          <w:i/>
          <w:iCs/>
          <w:lang w:val="es-ES_tradnl" w:eastAsia="es-MX"/>
        </w:rPr>
        <w:t>enunciativo</w:t>
      </w:r>
      <w:r w:rsidRPr="003D0085">
        <w:rPr>
          <w:rFonts w:ascii="Verdana" w:eastAsia="Times New Roman" w:hAnsi="Verdana" w:cs="Arial"/>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w:t>
      </w:r>
      <w:bookmarkEnd w:id="2"/>
      <w:bookmarkEnd w:id="4"/>
      <w:r w:rsidRPr="003D0085">
        <w:rPr>
          <w:rFonts w:ascii="Verdana" w:eastAsia="Times New Roman" w:hAnsi="Verdana" w:cs="Arial"/>
          <w:lang w:val="es-ES_tradnl" w:eastAsia="es-MX"/>
        </w:rPr>
        <w:t xml:space="preserve">Esta conclusión además se apoya en una la lectura integral de las normas que regulan la contratación estatal, en virtud de la cual es posible evidenciar que existen otras condiciones que deben cumplirse para la contratación con Entidades Públicas, de las que derivan </w:t>
      </w:r>
      <w:r w:rsidRPr="003D0085">
        <w:rPr>
          <w:rFonts w:ascii="Verdana" w:eastAsia="Times New Roman" w:hAnsi="Verdana" w:cs="Arial"/>
          <w:lang w:val="es-ES_tradnl" w:eastAsia="es-MX"/>
        </w:rPr>
        <w:lastRenderedPageBreak/>
        <w:t>requisitos habilitantes, como sucede, por ejemplo, con la capacidad residual a la que se refiere el artículo 6º, parágrafo 1, de la Ley 1150 de 2007</w:t>
      </w:r>
      <w:bookmarkEnd w:id="3"/>
      <w:r w:rsidRPr="003D0085">
        <w:rPr>
          <w:rFonts w:ascii="Verdana" w:eastAsia="Times New Roman" w:hAnsi="Verdana" w:cs="Arial"/>
          <w:vertAlign w:val="superscript"/>
          <w:lang w:val="es-ES_tradnl" w:eastAsia="es-MX"/>
        </w:rPr>
        <w:footnoteReference w:id="2"/>
      </w:r>
      <w:r w:rsidRPr="003D0085">
        <w:rPr>
          <w:rFonts w:ascii="Verdana" w:eastAsia="Times New Roman" w:hAnsi="Verdana" w:cs="Arial"/>
          <w:lang w:val="es-ES_tradnl" w:eastAsia="es-MX"/>
        </w:rPr>
        <w:t xml:space="preserve">. </w:t>
      </w:r>
    </w:p>
    <w:p w14:paraId="37CD13AF" w14:textId="77777777" w:rsidR="003D0085" w:rsidRPr="003D0085" w:rsidRDefault="003D0085" w:rsidP="003D0085">
      <w:pPr>
        <w:spacing w:after="120" w:line="276" w:lineRule="auto"/>
        <w:ind w:firstLine="709"/>
        <w:jc w:val="both"/>
        <w:rPr>
          <w:rFonts w:ascii="Verdana" w:eastAsia="Times New Roman" w:hAnsi="Verdana" w:cs="Arial"/>
          <w:lang w:val="es-ES_tradnl" w:eastAsia="es-MX"/>
        </w:rPr>
      </w:pPr>
      <w:r w:rsidRPr="003D0085">
        <w:rPr>
          <w:rFonts w:ascii="Verdana" w:eastAsia="Times New Roman" w:hAnsi="Verdana" w:cs="Arial"/>
          <w:lang w:val="es-ES_tradnl" w:eastAsia="es-MX"/>
        </w:rPr>
        <w:t>Por otro lado, en el “Manual para determinar y verificar los requisitos habilitantes en los Procesos de Contratación”</w:t>
      </w:r>
      <w:r w:rsidRPr="003D0085">
        <w:rPr>
          <w:rFonts w:ascii="Verdana" w:eastAsia="Calibri" w:hAnsi="Verdana" w:cs="Arial"/>
          <w:lang w:val="es-ES_tradnl" w:eastAsia="es-MX"/>
        </w:rPr>
        <w:t>,</w:t>
      </w:r>
      <w:r w:rsidRPr="003D0085">
        <w:rPr>
          <w:rFonts w:ascii="Verdana" w:eastAsia="Times New Roman" w:hAnsi="Verdana" w:cs="Arial"/>
          <w:lang w:val="es-ES_tradnl" w:eastAsia="es-MX"/>
        </w:rPr>
        <w:t xml:space="preserve"> expedido por la </w:t>
      </w:r>
      <w:r w:rsidRPr="003D0085">
        <w:rPr>
          <w:rFonts w:ascii="Verdana" w:eastAsia="Calibri" w:hAnsi="Verdana" w:cs="Arial"/>
          <w:lang w:val="es-ES_tradnl" w:eastAsia="es-MX"/>
        </w:rPr>
        <w:t>Agencia Nacional de Contratación Pública – Colombia Compra Eficiente</w:t>
      </w:r>
      <w:r w:rsidRPr="003D0085">
        <w:rPr>
          <w:rFonts w:ascii="Verdana" w:eastAsia="Times New Roman" w:hAnsi="Verdana"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5178EB21" w14:textId="77777777" w:rsidR="003D0085" w:rsidRPr="003D0085" w:rsidRDefault="003D0085" w:rsidP="003D0085">
      <w:pPr>
        <w:spacing w:after="120" w:line="276" w:lineRule="auto"/>
        <w:ind w:firstLine="709"/>
        <w:jc w:val="both"/>
        <w:rPr>
          <w:rFonts w:ascii="Verdana" w:eastAsia="Times New Roman" w:hAnsi="Verdana" w:cs="Arial"/>
          <w:lang w:val="es-ES_tradnl" w:eastAsia="es-MX"/>
        </w:rPr>
      </w:pPr>
      <w:r w:rsidRPr="003D0085">
        <w:rPr>
          <w:rFonts w:ascii="Verdana" w:eastAsia="Times New Roman" w:hAnsi="Verdana" w:cs="Arial"/>
          <w:lang w:val="es-ES_tradnl" w:eastAsia="es-MX"/>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26E12090" w14:textId="77777777" w:rsidR="003D0085" w:rsidRPr="003D0085" w:rsidRDefault="003D0085" w:rsidP="003D0085">
      <w:pPr>
        <w:tabs>
          <w:tab w:val="left" w:pos="426"/>
        </w:tabs>
        <w:spacing w:after="120" w:line="276" w:lineRule="auto"/>
        <w:ind w:firstLine="709"/>
        <w:jc w:val="both"/>
        <w:rPr>
          <w:rFonts w:ascii="Verdana" w:eastAsia="Times New Roman" w:hAnsi="Verdana" w:cs="Arial"/>
          <w:lang w:val="es-ES_tradnl" w:eastAsia="es-MX"/>
        </w:rPr>
      </w:pPr>
      <w:bookmarkStart w:id="5" w:name="_Hlk99548027"/>
      <w:r w:rsidRPr="003D0085">
        <w:rPr>
          <w:rFonts w:ascii="Verdana" w:eastAsia="Times New Roman" w:hAnsi="Verdana" w:cs="Arial"/>
          <w:lang w:val="es-ES_tradnl" w:eastAsia="es-MX"/>
        </w:rPr>
        <w:t xml:space="preserve">En ese sentido, si bien </w:t>
      </w:r>
      <w:r w:rsidRPr="003D0085">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6" w:name="_Hlk34917473"/>
      <w:r w:rsidRPr="003D0085">
        <w:rPr>
          <w:rFonts w:ascii="Verdana" w:eastAsia="Times New Roman" w:hAnsi="Verdana" w:cs="Arial"/>
          <w:lang w:val="es-ES_tradnl" w:eastAsia="es-MX"/>
        </w:rPr>
        <w:t xml:space="preserve">En consecuencia, corresponde a las Entidades Estatales, durante la etapa de planeación del contrato estatal, estudiar y </w:t>
      </w:r>
      <w:r w:rsidRPr="003D0085">
        <w:rPr>
          <w:rFonts w:ascii="Verdana" w:eastAsia="Times New Roman" w:hAnsi="Verdana" w:cs="Arial"/>
          <w:bCs/>
          <w:iCs/>
          <w:lang w:val="es-ES_tradnl" w:eastAsia="es-MX"/>
        </w:rPr>
        <w:t>determinar</w:t>
      </w:r>
      <w:r w:rsidRPr="003D0085">
        <w:rPr>
          <w:rFonts w:ascii="Verdana" w:eastAsia="Times New Roman" w:hAnsi="Verdana" w:cs="Arial"/>
          <w:lang w:val="es-ES_tradnl" w:eastAsia="es-MX"/>
        </w:rPr>
        <w:t xml:space="preserve"> los requisitos habilitantes que establecerán en los Pliegos de Condiciones, los cuales deben fijarse de forma adecuada y proporcional. </w:t>
      </w:r>
    </w:p>
    <w:bookmarkEnd w:id="5"/>
    <w:p w14:paraId="25AB0A68" w14:textId="77777777" w:rsidR="003D0085" w:rsidRPr="003D0085" w:rsidRDefault="003D0085" w:rsidP="003D0085">
      <w:pPr>
        <w:tabs>
          <w:tab w:val="left" w:pos="426"/>
        </w:tabs>
        <w:spacing w:after="120" w:line="276" w:lineRule="auto"/>
        <w:ind w:firstLine="709"/>
        <w:jc w:val="both"/>
        <w:rPr>
          <w:rFonts w:ascii="Verdana" w:eastAsia="Times New Roman" w:hAnsi="Verdana" w:cs="Arial"/>
          <w:lang w:val="es-ES_tradnl" w:eastAsia="es-MX"/>
        </w:rPr>
      </w:pPr>
      <w:r w:rsidRPr="003D0085">
        <w:rPr>
          <w:rFonts w:ascii="Verdana" w:eastAsia="Times New Roman" w:hAnsi="Verdana" w:cs="Arial"/>
          <w:lang w:val="es-ES_tradnl" w:eastAsia="es-MX"/>
        </w:rPr>
        <w:t xml:space="preserve">El Decreto 1082 de 2015 en su artículo 2.2.1.1.1.6.2 reglamenta los requisitos habilitantes, estableciendo que estos deben ser señalados en los </w:t>
      </w:r>
      <w:r w:rsidRPr="003D0085">
        <w:rPr>
          <w:rFonts w:ascii="Verdana" w:eastAsia="Times New Roman" w:hAnsi="Verdana" w:cs="Arial"/>
          <w:lang w:val="es-ES_tradnl" w:eastAsia="es-MX"/>
        </w:rPr>
        <w:lastRenderedPageBreak/>
        <w:t>Pliegos de Condiciones o en la invitación</w:t>
      </w:r>
      <w:r w:rsidRPr="003D0085">
        <w:rPr>
          <w:rFonts w:ascii="Verdana" w:eastAsia="Times New Roman" w:hAnsi="Verdana" w:cs="Arial"/>
          <w:vertAlign w:val="superscript"/>
          <w:lang w:val="es-ES_tradnl" w:eastAsia="es-MX"/>
        </w:rPr>
        <w:footnoteReference w:id="3"/>
      </w:r>
      <w:r w:rsidRPr="003D0085">
        <w:rPr>
          <w:rFonts w:ascii="Verdana" w:eastAsia="Times New Roman" w:hAnsi="Verdana" w:cs="Arial"/>
          <w:lang w:val="es-ES_tradnl" w:eastAsia="es-MX"/>
        </w:rPr>
        <w:t>, lo cual es concordante con el numeral 5 del artículo 2.2.1.1.2.1.3, en el que se establece como uno de los componentes mínimos de los Pliegos de Condiciones</w:t>
      </w:r>
      <w:r w:rsidRPr="003D0085">
        <w:rPr>
          <w:rFonts w:ascii="Verdana" w:hAnsi="Verdana" w:cs="Arial"/>
          <w:color w:val="000000"/>
        </w:rPr>
        <w:t xml:space="preserve"> a las reglas aplicables a la presentación y evaluación de las ofertas, entre las que se inscriben las relativas a la acreditación de las condiciones habilitantes. </w:t>
      </w:r>
      <w:r w:rsidRPr="003D0085">
        <w:rPr>
          <w:rFonts w:ascii="Verdana" w:eastAsia="Times New Roman" w:hAnsi="Verdana" w:cs="Arial"/>
          <w:lang w:val="es-ES_tradnl" w:eastAsia="es-MX"/>
        </w:rPr>
        <w:t xml:space="preserve">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2DBB064F" w14:textId="77777777" w:rsidR="003D0085" w:rsidRPr="003D0085" w:rsidRDefault="003D0085" w:rsidP="7D9C0904">
      <w:pPr>
        <w:tabs>
          <w:tab w:val="left" w:pos="426"/>
        </w:tabs>
        <w:spacing w:after="120" w:line="276" w:lineRule="auto"/>
        <w:ind w:firstLine="709"/>
        <w:jc w:val="both"/>
        <w:rPr>
          <w:rFonts w:ascii="Verdana" w:eastAsia="Times New Roman" w:hAnsi="Verdana" w:cs="Arial"/>
          <w:lang w:val="es-ES" w:eastAsia="es-MX"/>
        </w:rPr>
      </w:pPr>
      <w:r w:rsidRPr="7D9C0904">
        <w:rPr>
          <w:rFonts w:ascii="Verdana" w:eastAsia="Times New Roman" w:hAnsi="Verdana" w:cs="Arial"/>
          <w:lang w:val="es-ES" w:eastAsia="es-MX"/>
        </w:rPr>
        <w:t xml:space="preserve">Los mencionados criterios deben ser aplicados de manera tal que de la ponderación de </w:t>
      </w:r>
      <w:proofErr w:type="gramStart"/>
      <w:r w:rsidRPr="7D9C0904">
        <w:rPr>
          <w:rFonts w:ascii="Verdana" w:eastAsia="Times New Roman" w:hAnsi="Verdana" w:cs="Arial"/>
          <w:lang w:val="es-ES" w:eastAsia="es-MX"/>
        </w:rPr>
        <w:t>los mismos</w:t>
      </w:r>
      <w:proofErr w:type="gramEnd"/>
      <w:r w:rsidRPr="7D9C0904">
        <w:rPr>
          <w:rFonts w:ascii="Verdana" w:eastAsia="Times New Roman" w:hAnsi="Verdana" w:cs="Arial"/>
          <w:lang w:val="es-ES" w:eastAsia="es-MX"/>
        </w:rPr>
        <w:t xml:space="preserve"> resulten requisitos que permitan medir la aptitud de los oferentes para cumplir con el contrato y que, además de ser proporcionales y adecuados al objeto del contrato, no limiten la participación en el Proceso de Selección.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7AEDC5F5" w14:textId="77777777" w:rsidR="003D0085" w:rsidRPr="003D0085" w:rsidRDefault="003D0085" w:rsidP="7D9C0904">
      <w:pPr>
        <w:tabs>
          <w:tab w:val="left" w:pos="426"/>
        </w:tabs>
        <w:spacing w:before="120" w:after="0" w:line="276" w:lineRule="auto"/>
        <w:ind w:firstLine="709"/>
        <w:jc w:val="both"/>
        <w:rPr>
          <w:rFonts w:ascii="Verdana" w:eastAsia="Times New Roman" w:hAnsi="Verdana" w:cs="Arial"/>
          <w:lang w:val="es-ES" w:eastAsia="es-MX"/>
        </w:rPr>
      </w:pPr>
      <w:bookmarkStart w:id="7" w:name="_Hlk99547936"/>
      <w:r w:rsidRPr="7D9C0904">
        <w:rPr>
          <w:rFonts w:ascii="Verdana" w:eastAsia="Times New Roman" w:hAnsi="Verdana" w:cs="Arial"/>
          <w:lang w:val="es-ES" w:eastAsia="es-MX"/>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w:t>
      </w:r>
      <w:r w:rsidRPr="7D9C0904">
        <w:rPr>
          <w:rFonts w:ascii="Verdana" w:eastAsia="Times New Roman" w:hAnsi="Verdana" w:cs="Arial"/>
          <w:lang w:val="es-ES" w:eastAsia="es-MX"/>
        </w:rPr>
        <w:lastRenderedPageBreak/>
        <w:t xml:space="preserve">resulta indispensable que los requisitos establecidos por la entidad, además se fijen de manera adecuada y proporcional a las características del objeto ofertado, procurando además ceñirse a la normativa que resulte aplicable. </w:t>
      </w:r>
    </w:p>
    <w:bookmarkEnd w:id="6"/>
    <w:bookmarkEnd w:id="7"/>
    <w:p w14:paraId="0ED0503A" w14:textId="77777777" w:rsidR="003D0085" w:rsidRPr="003D0085" w:rsidRDefault="003D0085" w:rsidP="003D0085">
      <w:pPr>
        <w:spacing w:after="0" w:line="276" w:lineRule="auto"/>
        <w:contextualSpacing/>
        <w:jc w:val="both"/>
        <w:rPr>
          <w:rFonts w:ascii="Verdana" w:eastAsia="Calibri" w:hAnsi="Verdana" w:cs="Arial"/>
          <w:bCs/>
          <w:lang w:val="es-ES_tradnl" w:eastAsia="es-MX"/>
        </w:rPr>
      </w:pPr>
    </w:p>
    <w:p w14:paraId="15C9661E" w14:textId="7E30A2B0" w:rsidR="003D0085" w:rsidRPr="003D0085" w:rsidRDefault="00A64A25" w:rsidP="00A64A25">
      <w:pPr>
        <w:spacing w:after="120" w:line="276" w:lineRule="auto"/>
        <w:ind w:firstLine="708"/>
        <w:jc w:val="both"/>
        <w:rPr>
          <w:rFonts w:ascii="Verdana" w:hAnsi="Verdana" w:cs="Arial"/>
        </w:rPr>
      </w:pPr>
      <w:bookmarkStart w:id="8" w:name="_Hlk99548176"/>
      <w:r>
        <w:rPr>
          <w:rFonts w:ascii="Verdana" w:hAnsi="Verdana" w:cs="Arial"/>
        </w:rPr>
        <w:t>Ahora bien, e</w:t>
      </w:r>
      <w:r w:rsidR="003D0085" w:rsidRPr="003D0085">
        <w:rPr>
          <w:rFonts w:ascii="Verdana" w:hAnsi="Verdana" w:cs="Arial"/>
        </w:rPr>
        <w:t>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003D0085" w:rsidRPr="003D0085">
        <w:rPr>
          <w:rFonts w:ascii="Verdana" w:hAnsi="Verdana" w:cs="Arial"/>
          <w:vertAlign w:val="superscript"/>
        </w:rPr>
        <w:footnoteReference w:id="4"/>
      </w:r>
      <w:r w:rsidR="003D0085" w:rsidRPr="003D0085">
        <w:rPr>
          <w:rFonts w:ascii="Verdana" w:hAnsi="Verdana" w:cs="Arial"/>
        </w:rPr>
        <w:t xml:space="preserv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8"/>
    <w:p w14:paraId="6A5F39DA" w14:textId="77777777" w:rsidR="003D0085" w:rsidRPr="003D0085" w:rsidRDefault="003D0085" w:rsidP="003D0085">
      <w:pPr>
        <w:spacing w:after="120" w:line="276" w:lineRule="auto"/>
        <w:ind w:firstLine="708"/>
        <w:jc w:val="both"/>
        <w:rPr>
          <w:rFonts w:ascii="Verdana" w:hAnsi="Verdana" w:cs="Arial"/>
        </w:rPr>
      </w:pPr>
      <w:r w:rsidRPr="003D0085">
        <w:rPr>
          <w:rFonts w:ascii="Verdana" w:hAnsi="Verdana" w:cs="Arial"/>
        </w:rPr>
        <w:t>Dicha información debe tenerse en cuenta por las entidades en los Procedimientos de Contratación en los que es exigible el RUP</w:t>
      </w:r>
      <w:r w:rsidRPr="003D0085">
        <w:rPr>
          <w:rFonts w:ascii="Verdana" w:hAnsi="Verdana" w:cs="Arial"/>
          <w:vertAlign w:val="superscript"/>
        </w:rPr>
        <w:footnoteReference w:id="5"/>
      </w:r>
      <w:r w:rsidRPr="003D0085">
        <w:rPr>
          <w:rFonts w:ascii="Verdana" w:hAnsi="Verdana" w:cs="Arial"/>
        </w:rPr>
        <w:t>. Así las cosas,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3D0085">
        <w:rPr>
          <w:rFonts w:ascii="Verdana" w:hAnsi="Verdana" w:cs="Arial"/>
          <w:vertAlign w:val="superscript"/>
        </w:rPr>
        <w:footnoteReference w:id="6"/>
      </w:r>
      <w:r w:rsidRPr="003D0085">
        <w:rPr>
          <w:rFonts w:ascii="Verdana" w:hAnsi="Verdana" w:cs="Arial"/>
        </w:rPr>
        <w:t xml:space="preserve">. </w:t>
      </w:r>
    </w:p>
    <w:p w14:paraId="623B5FCC" w14:textId="77777777" w:rsidR="003D0085" w:rsidRPr="003D0085" w:rsidRDefault="003D0085" w:rsidP="003D0085">
      <w:pPr>
        <w:spacing w:after="120" w:line="276" w:lineRule="auto"/>
        <w:ind w:firstLine="709"/>
        <w:jc w:val="both"/>
        <w:rPr>
          <w:rFonts w:ascii="Verdana" w:hAnsi="Verdana" w:cs="Arial"/>
        </w:rPr>
      </w:pPr>
      <w:bookmarkStart w:id="9" w:name="_Hlk99548308"/>
      <w:r w:rsidRPr="003D0085">
        <w:rPr>
          <w:rFonts w:ascii="Verdana" w:hAnsi="Verdana" w:cs="Arial"/>
        </w:rPr>
        <w:lastRenderedPageBreak/>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bookmarkEnd w:id="9"/>
      <w:r w:rsidRPr="003D0085">
        <w:rPr>
          <w:rFonts w:ascii="Verdana" w:hAnsi="Verdana" w:cs="Arial"/>
          <w:vertAlign w:val="superscript"/>
        </w:rPr>
        <w:footnoteReference w:id="7"/>
      </w:r>
      <w:r w:rsidRPr="003D0085">
        <w:rPr>
          <w:rFonts w:ascii="Verdana" w:hAnsi="Verdana" w:cs="Arial"/>
        </w:rPr>
        <w:t xml:space="preserve">. </w:t>
      </w:r>
      <w:r w:rsidRPr="003D0085">
        <w:rPr>
          <w:rFonts w:ascii="Verdana" w:hAnsi="Verdana"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3D0085">
        <w:rPr>
          <w:rFonts w:ascii="Verdana" w:hAnsi="Verdana" w:cs="Arial"/>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3D0085">
        <w:rPr>
          <w:rFonts w:ascii="Verdana" w:hAnsi="Verdana" w:cs="Arial"/>
          <w:vertAlign w:val="superscript"/>
        </w:rPr>
        <w:footnoteReference w:id="8"/>
      </w:r>
      <w:r w:rsidRPr="003D0085">
        <w:rPr>
          <w:rFonts w:ascii="Verdana" w:hAnsi="Verdana" w:cs="Arial"/>
        </w:rPr>
        <w:t>.</w:t>
      </w:r>
    </w:p>
    <w:p w14:paraId="1AD6FBC4" w14:textId="77777777" w:rsidR="003D0085" w:rsidRPr="003D0085" w:rsidRDefault="003D0085" w:rsidP="003D0085">
      <w:pPr>
        <w:spacing w:after="120" w:line="276" w:lineRule="auto"/>
        <w:ind w:firstLine="709"/>
        <w:jc w:val="both"/>
        <w:rPr>
          <w:rFonts w:ascii="Verdana" w:eastAsia="Calibri" w:hAnsi="Verdana" w:cs="Arial"/>
          <w:lang w:val="es-ES"/>
        </w:rPr>
      </w:pPr>
      <w:r w:rsidRPr="003D0085">
        <w:rPr>
          <w:rFonts w:ascii="Verdana" w:eastAsia="Calibri" w:hAnsi="Verdana" w:cs="Arial"/>
          <w:lang w:val="es-ES"/>
        </w:rPr>
        <w:t>Por tanto, las entidades que se rigen por el EGCAP, como regla general deben tener en cuenta el certificado del RUP en la determinación y evaluación de los requisitos habilitantes. Por su parte, las entidades exceptuadas de dicho régimen no están obligadas a utilizar el RUP, precisamente por ser un registro propio de los contratos sometidos al EGCAP. Sin embargo, dicha excepcionalidad no es óbice para que voluntariamente puedan solicitarlo como uno de los medios mediante los cuales los proponentes pueden acreditar algunos de los requisitos exigidos en los procesos de contratación que adelanten, previa inclusión y adecuación dentro de sus manuales de contratación o en sus procesos contractuales.</w:t>
      </w:r>
    </w:p>
    <w:p w14:paraId="11410430" w14:textId="29D5373D" w:rsidR="003D0085" w:rsidRDefault="003D0085" w:rsidP="00F56FA3">
      <w:pPr>
        <w:spacing w:after="0" w:line="276" w:lineRule="auto"/>
        <w:ind w:firstLine="709"/>
        <w:contextualSpacing/>
        <w:jc w:val="both"/>
        <w:rPr>
          <w:rFonts w:ascii="Verdana" w:eastAsia="Times New Roman" w:hAnsi="Verdana" w:cs="Arial"/>
          <w:bCs/>
          <w:lang w:val="es-MX" w:eastAsia="x-none"/>
        </w:rPr>
      </w:pPr>
      <w:bookmarkStart w:id="10" w:name="_Hlk99548433"/>
      <w:r w:rsidRPr="003D0085">
        <w:rPr>
          <w:rFonts w:ascii="Verdana" w:eastAsia="Times New Roman" w:hAnsi="Verdana" w:cs="Arial"/>
          <w:bCs/>
          <w:lang w:val="es-MX" w:eastAsia="x-none"/>
        </w:rPr>
        <w:t xml:space="preserve">En conclusión, por regla general, el cumplimiento de los requisitos habilitantes determinados por la Entidad Estatal en cada proceso de </w:t>
      </w:r>
      <w:r w:rsidRPr="003D0085">
        <w:rPr>
          <w:rFonts w:ascii="Verdana" w:eastAsia="Times New Roman" w:hAnsi="Verdana" w:cs="Arial"/>
          <w:bCs/>
          <w:lang w:val="es-MX" w:eastAsia="x-none"/>
        </w:rPr>
        <w:lastRenderedPageBreak/>
        <w:t xml:space="preserve">contratación, entre ellos la capacidad jurídica, se debe verificar mediante el RUP el cual constituye plena prueba de las circunstancias de las que da cuenta. No obstante, en aquellos casos en los cuales no es obligatorio estar inscrito en el RUP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 </w:t>
      </w:r>
      <w:bookmarkEnd w:id="10"/>
    </w:p>
    <w:p w14:paraId="264E9F6A" w14:textId="77777777" w:rsidR="00F56FA3" w:rsidRPr="00F56FA3" w:rsidRDefault="00F56FA3" w:rsidP="00F56FA3">
      <w:pPr>
        <w:spacing w:after="0" w:line="276" w:lineRule="auto"/>
        <w:ind w:firstLine="709"/>
        <w:contextualSpacing/>
        <w:jc w:val="both"/>
        <w:rPr>
          <w:rFonts w:ascii="Verdana" w:eastAsia="Times New Roman" w:hAnsi="Verdana" w:cs="Arial"/>
          <w:bCs/>
          <w:lang w:val="es-MX" w:eastAsia="x-none"/>
        </w:rPr>
      </w:pPr>
    </w:p>
    <w:p w14:paraId="064A50FA" w14:textId="7E427F9A" w:rsidR="003D0085" w:rsidRPr="003D0085" w:rsidRDefault="00F56FA3" w:rsidP="7D9C0904">
      <w:pPr>
        <w:spacing w:after="120" w:line="276" w:lineRule="auto"/>
        <w:ind w:firstLine="708"/>
        <w:jc w:val="both"/>
        <w:rPr>
          <w:rFonts w:ascii="Verdana" w:eastAsia="Calibri" w:hAnsi="Verdana" w:cs="Arial"/>
          <w:lang w:val="es-ES" w:eastAsia="es-ES"/>
        </w:rPr>
      </w:pPr>
      <w:r w:rsidRPr="7D9C0904">
        <w:rPr>
          <w:rFonts w:ascii="Verdana" w:eastAsia="Calibri" w:hAnsi="Verdana" w:cs="Arial"/>
          <w:lang w:val="es-ES" w:eastAsia="es-ES"/>
        </w:rPr>
        <w:t>Por su parte l</w:t>
      </w:r>
      <w:r w:rsidR="003D0085" w:rsidRPr="7D9C0904">
        <w:rPr>
          <w:rFonts w:ascii="Verdana" w:eastAsia="Calibri" w:hAnsi="Verdana" w:cs="Arial"/>
          <w:lang w:val="es-ES" w:eastAsia="es-ES"/>
        </w:rPr>
        <w:t>a capacidad jurídica es la aptitud que recae en los sujeto activos o pasivos de las relaciones jurídicas</w:t>
      </w:r>
      <w:r w:rsidR="003D0085" w:rsidRPr="7D9C0904">
        <w:rPr>
          <w:rFonts w:ascii="Verdana" w:eastAsia="Calibri" w:hAnsi="Verdana" w:cs="Arial"/>
          <w:vertAlign w:val="superscript"/>
          <w:lang w:val="es-ES" w:eastAsia="es-ES"/>
        </w:rPr>
        <w:footnoteReference w:id="9"/>
      </w:r>
      <w:r w:rsidR="003D0085" w:rsidRPr="7D9C0904">
        <w:rPr>
          <w:rFonts w:ascii="Verdana" w:eastAsia="Calibri" w:hAnsi="Verdana" w:cs="Arial"/>
          <w:lang w:val="es-ES" w:eastAsia="es-ES"/>
        </w:rPr>
        <w:t>. Para efectos de las relaciones contractuales en las que uno de los extremos de la relación sea una Entidad Estatal, la capacidad jurídica es la facultad que tiene una persona natural o jurídica para celebrar contratos con una Entidad Estatal. En otras palabras, es i) la capacidad de obligarse a cumplir el objeto del contrato y ii) de no estar incursa en inhabilidades o incompatibilidades que impidan la celebración del contrato.</w:t>
      </w:r>
    </w:p>
    <w:p w14:paraId="6C112863" w14:textId="77777777" w:rsidR="003D0085" w:rsidRPr="003D0085" w:rsidRDefault="003D0085" w:rsidP="003D0085">
      <w:pPr>
        <w:spacing w:after="120" w:line="276" w:lineRule="auto"/>
        <w:ind w:firstLine="709"/>
        <w:jc w:val="both"/>
        <w:rPr>
          <w:rFonts w:ascii="Verdana" w:eastAsia="Calibri" w:hAnsi="Verdana" w:cs="Arial"/>
          <w:lang w:val="es-ES_tradnl" w:eastAsia="es-ES_tradnl"/>
        </w:rPr>
      </w:pPr>
      <w:r w:rsidRPr="003D0085">
        <w:rPr>
          <w:rFonts w:ascii="Verdana" w:eastAsia="Calibri" w:hAnsi="Verdana" w:cs="Arial"/>
          <w:lang w:val="es-ES_tradnl" w:eastAsia="es-ES_tradnl"/>
        </w:rPr>
        <w:t>Para efectos de la aplicación de la aplicación del EGCAP, la capacidad para contratar la tienen las personas consideradas legalmente capaces en las disposiciones vigentes</w:t>
      </w:r>
      <w:r w:rsidRPr="003D0085">
        <w:rPr>
          <w:rFonts w:ascii="Verdana" w:eastAsia="Calibri" w:hAnsi="Verdana" w:cs="Arial"/>
          <w:vertAlign w:val="superscript"/>
          <w:lang w:val="es-ES_tradnl" w:eastAsia="es-ES_tradnl"/>
        </w:rPr>
        <w:footnoteReference w:id="10"/>
      </w:r>
      <w:r w:rsidRPr="003D0085">
        <w:rPr>
          <w:rFonts w:ascii="Verdana" w:eastAsia="Times New Roman" w:hAnsi="Verdana" w:cs="Arial"/>
          <w:lang w:eastAsia="es-ES_tradnl"/>
        </w:rPr>
        <w:t>, así como otras formas asociativas. En efecto, el artículo 6 de la Ley 80 de 1993 establece que “[p]ueden celebrar contratos con las entidades estatales las personas consideradas legalmente capaces en las disposiciones vigentes […]”, así como también dispone que podrán hacerlo “[…] los consorcios y uniones temporales”.</w:t>
      </w:r>
    </w:p>
    <w:p w14:paraId="69474630" w14:textId="77777777" w:rsidR="003D0085" w:rsidRPr="003D0085" w:rsidRDefault="003D0085" w:rsidP="003D0085">
      <w:pPr>
        <w:spacing w:after="120" w:line="276" w:lineRule="auto"/>
        <w:ind w:firstLine="709"/>
        <w:jc w:val="both"/>
        <w:rPr>
          <w:rFonts w:ascii="Verdana" w:eastAsia="Calibri" w:hAnsi="Verdana" w:cs="Arial"/>
          <w:lang w:val="es-ES_tradnl" w:eastAsia="es-ES_tradnl"/>
        </w:rPr>
      </w:pPr>
      <w:r w:rsidRPr="003D0085">
        <w:rPr>
          <w:rFonts w:ascii="Verdana" w:eastAsia="Calibri" w:hAnsi="Verdana" w:cs="Arial"/>
          <w:lang w:val="es-ES_tradnl" w:eastAsia="es-ES_tradnl"/>
        </w:rPr>
        <w:t xml:space="preserve">Las personas naturales que tienen capacidad jurídica para contratar son los mayores de edad, a menos que por disposición expresa se encuentren limitados por decisión judicial, como la interdicción judicial, y que no estén incursas en inhabilidades, incompatibilidades o prohibiciones para contratar derivadas de la ley. Respecto de las personas jurídicas, la capacidad jurídica hace referencia a la posibilidad que tienen para adelantar actividades en el marco de su objeto social, las facultades que le han sido otorgadas al representante </w:t>
      </w:r>
      <w:r w:rsidRPr="003D0085">
        <w:rPr>
          <w:rFonts w:ascii="Verdana" w:eastAsia="Calibri" w:hAnsi="Verdana" w:cs="Arial"/>
          <w:lang w:val="es-ES_tradnl" w:eastAsia="es-ES_tradnl"/>
        </w:rPr>
        <w:lastRenderedPageBreak/>
        <w:t>legal y a la ausencia de inhabilidades, incompatibilidades o prohibiciones para contratar, derivadas de la ley.</w:t>
      </w:r>
    </w:p>
    <w:p w14:paraId="6E5C92C0" w14:textId="77777777" w:rsidR="003D0085" w:rsidRPr="003D0085" w:rsidRDefault="003D0085" w:rsidP="003D0085">
      <w:pPr>
        <w:spacing w:after="0" w:line="276" w:lineRule="auto"/>
        <w:ind w:firstLine="709"/>
        <w:contextualSpacing/>
        <w:jc w:val="both"/>
        <w:rPr>
          <w:rFonts w:ascii="Verdana" w:eastAsia="Calibri" w:hAnsi="Verdana" w:cs="Arial"/>
          <w:lang w:val="es-ES_tradnl" w:eastAsia="es-ES_tradnl"/>
        </w:rPr>
      </w:pPr>
      <w:r w:rsidRPr="003D0085">
        <w:rPr>
          <w:rFonts w:ascii="Verdana" w:eastAsia="Calibri" w:hAnsi="Verdana" w:cs="Arial"/>
          <w:lang w:val="es-ES_tradnl" w:eastAsia="es-ES_tradnl"/>
        </w:rPr>
        <w:t>Ahora bien, en el marco de los procesos de selección, las Entidades Estatales deben solicitar a los proponentes toda la información necesaria para conocer su idoneidad en la ejecución del contrato a celebrar, que le permita verificar su honestidad e integridad en el manejo de los recursos públicos que involucra la contratación estatal. El Consejo de Estado ha exhortado a las Entidades Estatales para conocer la calidad en la que actúa el proponente, así</w:t>
      </w:r>
      <w:r w:rsidRPr="003D0085">
        <w:rPr>
          <w:rFonts w:ascii="Verdana" w:eastAsia="Calibri" w:hAnsi="Verdana" w:cs="Arial"/>
          <w:vertAlign w:val="superscript"/>
          <w:lang w:val="es-ES_tradnl" w:eastAsia="es-ES_tradnl"/>
        </w:rPr>
        <w:footnoteReference w:id="11"/>
      </w:r>
      <w:r w:rsidRPr="003D0085">
        <w:rPr>
          <w:rFonts w:ascii="Verdana" w:eastAsia="Calibri" w:hAnsi="Verdana" w:cs="Arial"/>
          <w:lang w:val="es-ES_tradnl" w:eastAsia="es-ES_tradnl"/>
        </w:rPr>
        <w:t>:</w:t>
      </w:r>
    </w:p>
    <w:p w14:paraId="7076BE7E" w14:textId="77777777" w:rsidR="003D0085" w:rsidRPr="003D0085" w:rsidRDefault="003D0085" w:rsidP="003D0085">
      <w:pPr>
        <w:spacing w:after="0" w:line="276" w:lineRule="auto"/>
        <w:ind w:firstLine="709"/>
        <w:contextualSpacing/>
        <w:jc w:val="both"/>
        <w:rPr>
          <w:rFonts w:ascii="Verdana" w:eastAsia="Calibri" w:hAnsi="Verdana" w:cs="Arial"/>
          <w:lang w:val="es-ES_tradnl" w:eastAsia="es-ES_tradnl"/>
        </w:rPr>
      </w:pPr>
    </w:p>
    <w:p w14:paraId="1676D399" w14:textId="77777777" w:rsidR="003D0085" w:rsidRPr="00AD72BB" w:rsidRDefault="003D0085" w:rsidP="003D0085">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AD72BB">
        <w:rPr>
          <w:rFonts w:ascii="Verdana" w:eastAsia="Arial" w:hAnsi="Verdana" w:cs="Arial"/>
          <w:sz w:val="20"/>
          <w:szCs w:val="20"/>
          <w:lang w:val="es-ES" w:eastAsia="es-ES" w:bidi="es-ES"/>
        </w:rPr>
        <w:t>“No duda la Sala en afirmar que la anterior disposición conlleva un deber calificado para las entidades estatales, cuyo presupuesto es la buena fe (y 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AD72BB">
        <w:rPr>
          <w:rFonts w:ascii="Verdana" w:eastAsia="Arial" w:hAnsi="Verdana" w:cs="Arial"/>
          <w:spacing w:val="-11"/>
          <w:sz w:val="20"/>
          <w:szCs w:val="20"/>
          <w:lang w:val="es-ES" w:eastAsia="es-ES" w:bidi="es-ES"/>
        </w:rPr>
        <w:t xml:space="preserve"> </w:t>
      </w:r>
      <w:r w:rsidRPr="00AD72BB">
        <w:rPr>
          <w:rFonts w:ascii="Verdana" w:eastAsia="Arial" w:hAnsi="Verdana" w:cs="Arial"/>
          <w:sz w:val="20"/>
          <w:szCs w:val="20"/>
          <w:lang w:val="es-ES" w:eastAsia="es-ES" w:bidi="es-ES"/>
        </w:rPr>
        <w:t>particular”.</w:t>
      </w:r>
    </w:p>
    <w:p w14:paraId="67A056BE" w14:textId="77777777" w:rsidR="003D0085" w:rsidRPr="003D0085" w:rsidRDefault="003D0085" w:rsidP="003D0085">
      <w:pPr>
        <w:widowControl w:val="0"/>
        <w:autoSpaceDE w:val="0"/>
        <w:autoSpaceDN w:val="0"/>
        <w:spacing w:after="0" w:line="276" w:lineRule="auto"/>
        <w:contextualSpacing/>
        <w:rPr>
          <w:rFonts w:ascii="Verdana" w:eastAsia="Arial" w:hAnsi="Verdana" w:cs="Arial"/>
          <w:lang w:val="es-ES" w:eastAsia="es-ES" w:bidi="es-ES"/>
        </w:rPr>
      </w:pPr>
    </w:p>
    <w:p w14:paraId="01A67841" w14:textId="77777777" w:rsidR="00F56FA3" w:rsidRDefault="003D0085" w:rsidP="7D9C0904">
      <w:pPr>
        <w:spacing w:after="120" w:line="276" w:lineRule="auto"/>
        <w:ind w:firstLine="709"/>
        <w:jc w:val="both"/>
        <w:rPr>
          <w:rFonts w:ascii="Verdana" w:eastAsia="Times New Roman" w:hAnsi="Verdana" w:cs="Arial"/>
          <w:color w:val="000000" w:themeColor="text1"/>
          <w:lang w:val="es-ES" w:eastAsia="es-ES"/>
        </w:rPr>
      </w:pPr>
      <w:r w:rsidRPr="7D9C0904">
        <w:rPr>
          <w:rFonts w:ascii="Verdana" w:eastAsia="Times New Roman" w:hAnsi="Verdana" w:cs="Arial"/>
          <w:color w:val="000000" w:themeColor="text1"/>
          <w:lang w:val="es-ES" w:eastAsia="es-ES"/>
        </w:rPr>
        <w:t>Teniendo en cuenta el objeto de consulta de este concepto se debe señalar que, en su calidad de comerciantes, los proponentes deben estar inscritos en el Registro Único Empresarial y Social – en adelante RUES– administrado por las cámaras de comercio. En dicho documento se encuentra el listado de las actividades económicas que conforman el objeto de las empresas, según los códigos de la Clasificación Industrial Internacional Uniforme (CIIU), en virtud de</w:t>
      </w:r>
    </w:p>
    <w:p w14:paraId="0D2C9FC7" w14:textId="0E2D79CD" w:rsidR="003D0085" w:rsidRPr="003D0085" w:rsidRDefault="003D0085" w:rsidP="00F56FA3">
      <w:pPr>
        <w:spacing w:after="120" w:line="276" w:lineRule="auto"/>
        <w:jc w:val="both"/>
        <w:rPr>
          <w:rFonts w:ascii="Verdana" w:eastAsia="Times New Roman" w:hAnsi="Verdana" w:cs="Arial"/>
          <w:color w:val="000000" w:themeColor="text1"/>
          <w:lang w:val="es-ES_tradnl" w:eastAsia="es-ES_tradnl"/>
        </w:rPr>
      </w:pPr>
      <w:r w:rsidRPr="003D0085">
        <w:rPr>
          <w:rFonts w:ascii="Verdana" w:eastAsia="Times New Roman" w:hAnsi="Verdana" w:cs="Arial"/>
          <w:color w:val="000000" w:themeColor="text1"/>
          <w:lang w:val="es-ES_tradnl" w:eastAsia="es-ES_tradnl"/>
        </w:rPr>
        <w:t>lo dispuesto en el artículo 11 de la Ley 590 de 2000</w:t>
      </w:r>
      <w:r w:rsidRPr="003D0085">
        <w:rPr>
          <w:rFonts w:ascii="Verdana" w:eastAsia="Times New Roman" w:hAnsi="Verdana" w:cs="Arial"/>
          <w:color w:val="000000" w:themeColor="text1"/>
          <w:vertAlign w:val="superscript"/>
          <w:lang w:val="es-ES_tradnl" w:eastAsia="es-ES_tradnl"/>
        </w:rPr>
        <w:footnoteReference w:id="12"/>
      </w:r>
      <w:r w:rsidRPr="003D0085">
        <w:rPr>
          <w:rFonts w:ascii="Verdana" w:eastAsia="Times New Roman" w:hAnsi="Verdana" w:cs="Arial"/>
          <w:color w:val="000000" w:themeColor="text1"/>
          <w:lang w:val="es-ES_tradnl" w:eastAsia="es-ES_tradnl"/>
        </w:rPr>
        <w:t xml:space="preserve"> y el artículo 166 del Decreto 019 de 2012</w:t>
      </w:r>
      <w:r w:rsidRPr="003D0085">
        <w:rPr>
          <w:rFonts w:ascii="Verdana" w:eastAsia="Times New Roman" w:hAnsi="Verdana" w:cs="Arial"/>
          <w:color w:val="000000" w:themeColor="text1"/>
          <w:vertAlign w:val="superscript"/>
          <w:lang w:val="es-ES_tradnl" w:eastAsia="es-ES_tradnl"/>
        </w:rPr>
        <w:footnoteReference w:id="13"/>
      </w:r>
      <w:r w:rsidRPr="003D0085">
        <w:rPr>
          <w:rFonts w:ascii="Verdana" w:eastAsia="Times New Roman" w:hAnsi="Verdana" w:cs="Arial"/>
          <w:color w:val="000000" w:themeColor="text1"/>
          <w:lang w:val="es-ES_tradnl" w:eastAsia="es-ES_tradnl"/>
        </w:rPr>
        <w:t>.</w:t>
      </w:r>
    </w:p>
    <w:p w14:paraId="03FA463A" w14:textId="77777777" w:rsidR="003D0085" w:rsidRPr="003D0085" w:rsidRDefault="003D0085" w:rsidP="003D0085">
      <w:pPr>
        <w:spacing w:after="120" w:line="276" w:lineRule="auto"/>
        <w:ind w:firstLine="709"/>
        <w:jc w:val="both"/>
        <w:rPr>
          <w:rFonts w:ascii="Verdana" w:eastAsia="Calibri" w:hAnsi="Verdana" w:cs="Arial"/>
          <w:lang w:val="es-ES_tradnl" w:eastAsia="es-ES_tradnl"/>
        </w:rPr>
      </w:pPr>
      <w:r w:rsidRPr="003D0085">
        <w:rPr>
          <w:rFonts w:ascii="Verdana" w:eastAsia="Calibri" w:hAnsi="Verdana" w:cs="Arial"/>
          <w:lang w:val="es-ES_tradnl" w:eastAsia="es-ES_tradnl"/>
        </w:rPr>
        <w:lastRenderedPageBreak/>
        <w:t xml:space="preserve">Se concluye que, en el ordenamiento colombiano pueden celebrar contratos estatales las personas jurídicas que tengan dentro de su objeto social actividades relacionadas con el objeto a contratar. En el </w:t>
      </w:r>
      <w:r w:rsidRPr="003D0085">
        <w:rPr>
          <w:rFonts w:ascii="Verdana" w:eastAsia="Times New Roman" w:hAnsi="Verdana" w:cs="Arial"/>
          <w:color w:val="000000" w:themeColor="text1"/>
          <w:lang w:val="es-ES_tradnl" w:eastAsia="es-ES_tradnl"/>
        </w:rPr>
        <w:t>RUES, administrado por las cámaras de comercio se encuentra el listado de las actividades económicas que conforman el objeto de las empresas, según los códigos de la Clasificación Industrial Internacional Uniforme (CIIU), en virtud de lo dispuesto en el artículo 11 de la Ley 590 de 2000</w:t>
      </w:r>
      <w:r w:rsidRPr="003D0085">
        <w:rPr>
          <w:rFonts w:ascii="Verdana" w:eastAsia="Times New Roman" w:hAnsi="Verdana" w:cs="Arial"/>
          <w:color w:val="000000" w:themeColor="text1"/>
          <w:vertAlign w:val="superscript"/>
          <w:lang w:val="es-ES_tradnl" w:eastAsia="es-ES_tradnl"/>
        </w:rPr>
        <w:footnoteReference w:id="14"/>
      </w:r>
      <w:r w:rsidRPr="003D0085">
        <w:rPr>
          <w:rFonts w:ascii="Verdana" w:eastAsia="Times New Roman" w:hAnsi="Verdana" w:cs="Arial"/>
          <w:color w:val="000000" w:themeColor="text1"/>
          <w:lang w:val="es-ES_tradnl" w:eastAsia="es-ES_tradnl"/>
        </w:rPr>
        <w:t xml:space="preserve"> y el artículo 166 del Decreto 019 de 2012, por lo cual las Entidades Estatales pueden corroborar a través de este documento si la persona jurídica puede o no ejecutar el objeto contractual. </w:t>
      </w:r>
    </w:p>
    <w:p w14:paraId="3364C3A3" w14:textId="7E2ADECC" w:rsidR="003D0085" w:rsidRPr="003D0085" w:rsidRDefault="003D0085" w:rsidP="003D0085">
      <w:pPr>
        <w:spacing w:after="120" w:line="276" w:lineRule="auto"/>
        <w:ind w:firstLine="709"/>
        <w:jc w:val="both"/>
        <w:rPr>
          <w:rFonts w:ascii="Verdana" w:eastAsia="Times New Roman" w:hAnsi="Verdana" w:cs="Arial"/>
          <w:lang w:eastAsia="es-ES_tradnl"/>
        </w:rPr>
      </w:pPr>
      <w:r w:rsidRPr="003D0085">
        <w:rPr>
          <w:rFonts w:ascii="Verdana" w:eastAsia="Times New Roman" w:hAnsi="Verdana" w:cs="Arial"/>
          <w:lang w:eastAsia="es-ES_tradnl"/>
        </w:rPr>
        <w:t>En cuanto a la presentación del Registro Único Tributario –RUT– para la acreditación</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de la capacidad jurídica es menester indicar que, dicho registro, regulado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por el artículo 555-2 del Estatuto Tributario</w:t>
      </w:r>
      <w:r w:rsidRPr="003D0085">
        <w:rPr>
          <w:rFonts w:ascii="Verdana" w:eastAsia="Times New Roman" w:hAnsi="Verdana" w:cs="Arial"/>
          <w:vertAlign w:val="superscript"/>
          <w:lang w:eastAsia="es-ES_tradnl"/>
        </w:rPr>
        <w:t>9</w:t>
      </w:r>
      <w:r w:rsidRPr="003D0085">
        <w:rPr>
          <w:rFonts w:ascii="Verdana" w:eastAsia="Times New Roman" w:hAnsi="Verdana" w:cs="Arial"/>
          <w:lang w:eastAsia="es-ES_tradnl"/>
        </w:rPr>
        <w:t>,</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es un mecanismo para identificar, ubicar y</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clasificar las personas y entidades que tengan la calidad de contribuyentes declarantes del</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impuesto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sobre</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la</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renta</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y</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no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contribuyentes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declarantes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de</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ingresos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y</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patrimonio;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los</w:t>
      </w:r>
      <w:r w:rsidRPr="003D0085">
        <w:rPr>
          <w:rFonts w:ascii="Verdana" w:eastAsia="Times New Roman" w:hAnsi="Verdana" w:cs="Arial"/>
          <w:spacing w:val="-59"/>
          <w:lang w:eastAsia="es-ES_tradnl"/>
        </w:rPr>
        <w:t xml:space="preserve"> </w:t>
      </w:r>
      <w:r w:rsidRPr="003D0085">
        <w:rPr>
          <w:rFonts w:ascii="Verdana" w:eastAsia="Times New Roman" w:hAnsi="Verdana" w:cs="Arial"/>
          <w:lang w:eastAsia="es-ES_tradnl"/>
        </w:rPr>
        <w:t>responsables del Régimen Común y los pertenecientes al régimen simplificado; los agentes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retenedores; los importadores, exportadores y demás usuarios aduaneros, y los demás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sujetos de obligaciones administradas por la Dirección de Impuestos y Aduanas Nacionales,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 xml:space="preserve">respecto de los cuales esta requiera su inscripción. En concordancia </w:t>
      </w:r>
      <w:r w:rsidRPr="003D0085">
        <w:rPr>
          <w:rFonts w:ascii="Verdana" w:eastAsia="Times New Roman" w:hAnsi="Verdana" w:cs="Arial"/>
          <w:lang w:eastAsia="es-ES_tradnl"/>
        </w:rPr>
        <w:lastRenderedPageBreak/>
        <w:t>con esto, en el Capítulo</w:t>
      </w:r>
      <w:r w:rsidRPr="003D0085">
        <w:rPr>
          <w:rFonts w:ascii="Verdana" w:eastAsia="Times New Roman" w:hAnsi="Verdana" w:cs="Arial"/>
          <w:spacing w:val="-59"/>
          <w:lang w:eastAsia="es-ES_tradnl"/>
        </w:rPr>
        <w:t xml:space="preserve"> 2</w:t>
      </w:r>
      <w:r w:rsidRPr="003D0085">
        <w:rPr>
          <w:rFonts w:ascii="Verdana" w:eastAsia="Times New Roman" w:hAnsi="Verdana" w:cs="Arial"/>
          <w:lang w:eastAsia="es-ES_tradnl"/>
        </w:rPr>
        <w:t>,</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Título</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1,</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Parte</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6</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del</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Libro</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1</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del</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Decreto</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1625</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de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2016,</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específicamente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artículo</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1.6.1.2.1.,</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indica obligación de inscripción en el RUT</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así: “Deberán cumplir con la obligación formal de</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inscribirse en el Registro Único Tributario - RUT: 1. Las personas naturales sin residencia en</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Colombia y las sociedades y entidades extranjeras por cada establecimiento permanente 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sucursal</w:t>
      </w:r>
      <w:r w:rsidRPr="003D0085">
        <w:rPr>
          <w:rFonts w:ascii="Verdana" w:eastAsia="Times New Roman" w:hAnsi="Verdana" w:cs="Arial"/>
          <w:spacing w:val="-2"/>
          <w:lang w:eastAsia="es-ES_tradnl"/>
        </w:rPr>
        <w:t xml:space="preserve"> </w:t>
      </w:r>
      <w:r w:rsidRPr="003D0085">
        <w:rPr>
          <w:rFonts w:ascii="Verdana" w:eastAsia="Times New Roman" w:hAnsi="Verdana" w:cs="Arial"/>
          <w:lang w:eastAsia="es-ES_tradnl"/>
        </w:rPr>
        <w:t>que</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tengan</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en</w:t>
      </w:r>
      <w:r w:rsidRPr="003D0085">
        <w:rPr>
          <w:rFonts w:ascii="Verdana" w:eastAsia="Times New Roman" w:hAnsi="Verdana" w:cs="Arial"/>
          <w:spacing w:val="-2"/>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territorio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nacional;</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w:t>
      </w:r>
    </w:p>
    <w:p w14:paraId="3BB21045" w14:textId="77777777" w:rsidR="003D0085" w:rsidRPr="003D0085" w:rsidRDefault="003D0085" w:rsidP="003D0085">
      <w:pPr>
        <w:spacing w:after="120" w:line="276" w:lineRule="auto"/>
        <w:ind w:firstLine="708"/>
        <w:jc w:val="both"/>
        <w:rPr>
          <w:rFonts w:ascii="Verdana" w:eastAsia="Times New Roman" w:hAnsi="Verdana" w:cs="Arial"/>
          <w:lang w:eastAsia="es-ES_tradnl"/>
        </w:rPr>
      </w:pPr>
      <w:r w:rsidRPr="003D0085">
        <w:rPr>
          <w:rFonts w:ascii="Verdana" w:eastAsia="Times New Roman" w:hAnsi="Verdana" w:cs="Arial"/>
          <w:lang w:eastAsia="es-ES_tradnl"/>
        </w:rPr>
        <w:t>De</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acuerdo</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con</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lo</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anterior,</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la</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inscripción</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en</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RUT</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es</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una</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obligación</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que</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asiste a las personas naturales y jurídicas, y que, tratándose de comerciantes, supone concordancia con las</w:t>
      </w:r>
      <w:r w:rsidRPr="003D0085">
        <w:rPr>
          <w:rFonts w:ascii="Verdana" w:eastAsia="Times New Roman" w:hAnsi="Verdana" w:cs="Arial"/>
          <w:spacing w:val="1"/>
          <w:lang w:eastAsia="es-ES_tradnl"/>
        </w:rPr>
        <w:t xml:space="preserve"> </w:t>
      </w:r>
      <w:r w:rsidRPr="003D0085">
        <w:rPr>
          <w:rFonts w:ascii="Verdana" w:eastAsia="Times New Roman" w:hAnsi="Verdana" w:cs="Arial"/>
          <w:spacing w:val="-1"/>
          <w:lang w:eastAsia="es-ES_tradnl"/>
        </w:rPr>
        <w:t>actividades</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que</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en</w:t>
      </w:r>
      <w:r w:rsidRPr="003D0085">
        <w:rPr>
          <w:rFonts w:ascii="Verdana" w:eastAsia="Times New Roman" w:hAnsi="Verdana" w:cs="Arial"/>
          <w:spacing w:val="-14"/>
          <w:lang w:eastAsia="es-ES_tradnl"/>
        </w:rPr>
        <w:t xml:space="preserve"> </w:t>
      </w:r>
      <w:r w:rsidRPr="003D0085">
        <w:rPr>
          <w:rFonts w:ascii="Verdana" w:eastAsia="Times New Roman" w:hAnsi="Verdana" w:cs="Arial"/>
          <w:spacing w:val="-1"/>
          <w:lang w:eastAsia="es-ES_tradnl"/>
        </w:rPr>
        <w:t>el</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marco</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de</w:t>
      </w:r>
      <w:r w:rsidRPr="003D0085">
        <w:rPr>
          <w:rFonts w:ascii="Verdana" w:eastAsia="Times New Roman" w:hAnsi="Verdana" w:cs="Arial"/>
          <w:spacing w:val="-14"/>
          <w:lang w:eastAsia="es-ES_tradnl"/>
        </w:rPr>
        <w:t xml:space="preserve"> </w:t>
      </w:r>
      <w:r w:rsidRPr="003D0085">
        <w:rPr>
          <w:rFonts w:ascii="Verdana" w:eastAsia="Times New Roman" w:hAnsi="Verdana" w:cs="Arial"/>
          <w:spacing w:val="-1"/>
          <w:lang w:eastAsia="es-ES_tradnl"/>
        </w:rPr>
        <w:t>las</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cuales</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se</w:t>
      </w:r>
      <w:r w:rsidRPr="003D0085">
        <w:rPr>
          <w:rFonts w:ascii="Verdana" w:eastAsia="Times New Roman" w:hAnsi="Verdana" w:cs="Arial"/>
          <w:spacing w:val="-14"/>
          <w:lang w:eastAsia="es-ES_tradnl"/>
        </w:rPr>
        <w:t xml:space="preserve"> </w:t>
      </w:r>
      <w:r w:rsidRPr="003D0085">
        <w:rPr>
          <w:rFonts w:ascii="Verdana" w:eastAsia="Times New Roman" w:hAnsi="Verdana" w:cs="Arial"/>
          <w:spacing w:val="-1"/>
          <w:lang w:eastAsia="es-ES_tradnl"/>
        </w:rPr>
        <w:t>ejerce</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el</w:t>
      </w:r>
      <w:r w:rsidRPr="003D0085">
        <w:rPr>
          <w:rFonts w:ascii="Verdana" w:eastAsia="Times New Roman" w:hAnsi="Verdana" w:cs="Arial"/>
          <w:spacing w:val="-15"/>
          <w:lang w:eastAsia="es-ES_tradnl"/>
        </w:rPr>
        <w:t xml:space="preserve"> </w:t>
      </w:r>
      <w:r w:rsidRPr="003D0085">
        <w:rPr>
          <w:rFonts w:ascii="Verdana" w:eastAsia="Times New Roman" w:hAnsi="Verdana" w:cs="Arial"/>
          <w:spacing w:val="-1"/>
          <w:lang w:eastAsia="es-ES_tradnl"/>
        </w:rPr>
        <w:t>comercio.</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No</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obstante,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estima</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esta</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Agencia</w:t>
      </w:r>
      <w:r w:rsidRPr="003D0085">
        <w:rPr>
          <w:rFonts w:ascii="Verdana" w:eastAsia="Times New Roman" w:hAnsi="Verdana" w:cs="Arial"/>
          <w:spacing w:val="-59"/>
          <w:lang w:eastAsia="es-ES_tradnl"/>
        </w:rPr>
        <w:t xml:space="preserve"> </w:t>
      </w:r>
      <w:r w:rsidRPr="003D0085">
        <w:rPr>
          <w:rFonts w:ascii="Verdana" w:eastAsia="Times New Roman" w:hAnsi="Verdana" w:cs="Arial"/>
          <w:lang w:eastAsia="es-ES_tradnl"/>
        </w:rPr>
        <w:t>que ello no necesariamente condiciona la capacidad jurídica del proponente para obligarse en el</w:t>
      </w:r>
      <w:r w:rsidRPr="003D0085">
        <w:rPr>
          <w:rFonts w:ascii="Verdana" w:eastAsia="Times New Roman" w:hAnsi="Verdana" w:cs="Arial"/>
          <w:spacing w:val="-60"/>
          <w:lang w:eastAsia="es-ES_tradnl"/>
        </w:rPr>
        <w:t xml:space="preserve"> </w:t>
      </w:r>
      <w:r w:rsidRPr="003D0085">
        <w:rPr>
          <w:rFonts w:ascii="Verdana" w:eastAsia="Times New Roman" w:hAnsi="Verdana" w:cs="Arial"/>
          <w:lang w:eastAsia="es-ES_tradnl"/>
        </w:rPr>
        <w:t>marco de un contrato estatal y ejecutar el mismo, en la medida que se trata de una obligación</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tributaria</w:t>
      </w:r>
      <w:r w:rsidRPr="003D0085">
        <w:rPr>
          <w:rFonts w:ascii="Verdana" w:eastAsia="Times New Roman" w:hAnsi="Verdana" w:cs="Arial"/>
          <w:spacing w:val="-14"/>
          <w:lang w:eastAsia="es-ES_tradnl"/>
        </w:rPr>
        <w:t xml:space="preserve"> </w:t>
      </w:r>
      <w:r w:rsidRPr="003D0085">
        <w:rPr>
          <w:rFonts w:ascii="Verdana" w:eastAsia="Times New Roman" w:hAnsi="Verdana" w:cs="Arial"/>
          <w:lang w:eastAsia="es-ES_tradnl"/>
        </w:rPr>
        <w:t>que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solo</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condicionará</w:t>
      </w:r>
      <w:r w:rsidRPr="003D0085">
        <w:rPr>
          <w:rFonts w:ascii="Verdana" w:eastAsia="Times New Roman" w:hAnsi="Verdana" w:cs="Arial"/>
          <w:spacing w:val="-16"/>
          <w:lang w:eastAsia="es-ES_tradnl"/>
        </w:rPr>
        <w:t xml:space="preserve"> </w:t>
      </w:r>
      <w:r w:rsidRPr="003D0085">
        <w:rPr>
          <w:rFonts w:ascii="Verdana" w:eastAsia="Times New Roman" w:hAnsi="Verdana" w:cs="Arial"/>
          <w:lang w:eastAsia="es-ES_tradnl"/>
        </w:rPr>
        <w:t>la</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capacidad</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jurídica</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en</w:t>
      </w:r>
      <w:r w:rsidRPr="003D0085">
        <w:rPr>
          <w:rFonts w:ascii="Verdana" w:eastAsia="Times New Roman" w:hAnsi="Verdana" w:cs="Arial"/>
          <w:spacing w:val="-16"/>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caso</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en</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16"/>
          <w:lang w:eastAsia="es-ES_tradnl"/>
        </w:rPr>
        <w:t xml:space="preserve"> </w:t>
      </w:r>
      <w:r w:rsidRPr="003D0085">
        <w:rPr>
          <w:rFonts w:ascii="Verdana" w:eastAsia="Times New Roman" w:hAnsi="Verdana" w:cs="Arial"/>
          <w:lang w:eastAsia="es-ES_tradnl"/>
        </w:rPr>
        <w:t>que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se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trate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de</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una</w:t>
      </w:r>
      <w:r w:rsidRPr="003D0085">
        <w:rPr>
          <w:rFonts w:ascii="Verdana" w:eastAsia="Times New Roman" w:hAnsi="Verdana" w:cs="Arial"/>
          <w:spacing w:val="-15"/>
          <w:lang w:eastAsia="es-ES_tradnl"/>
        </w:rPr>
        <w:t xml:space="preserve"> </w:t>
      </w:r>
      <w:r w:rsidRPr="003D0085">
        <w:rPr>
          <w:rFonts w:ascii="Verdana" w:eastAsia="Times New Roman" w:hAnsi="Verdana" w:cs="Arial"/>
          <w:lang w:eastAsia="es-ES_tradnl"/>
        </w:rPr>
        <w:t>actividad</w:t>
      </w:r>
      <w:r w:rsidRPr="003D0085">
        <w:rPr>
          <w:rFonts w:ascii="Verdana" w:eastAsia="Times New Roman" w:hAnsi="Verdana" w:cs="Arial"/>
          <w:spacing w:val="-59"/>
          <w:lang w:eastAsia="es-ES_tradnl"/>
        </w:rPr>
        <w:t xml:space="preserve"> </w:t>
      </w:r>
      <w:r w:rsidRPr="003D0085">
        <w:rPr>
          <w:rFonts w:ascii="Verdana" w:eastAsia="Times New Roman" w:hAnsi="Verdana" w:cs="Arial"/>
          <w:lang w:eastAsia="es-ES_tradnl"/>
        </w:rPr>
        <w:t>que</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solo</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pueda</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ser</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ejercida</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previa</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inscripción</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en</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RUT,</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asunto</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regido</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por</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normas</w:t>
      </w:r>
      <w:r w:rsidRPr="003D0085">
        <w:rPr>
          <w:rFonts w:ascii="Verdana" w:eastAsia="Times New Roman" w:hAnsi="Verdana" w:cs="Arial"/>
          <w:spacing w:val="-4"/>
          <w:lang w:eastAsia="es-ES_tradnl"/>
        </w:rPr>
        <w:t xml:space="preserve"> </w:t>
      </w:r>
      <w:r w:rsidRPr="003D0085">
        <w:rPr>
          <w:rFonts w:ascii="Verdana" w:eastAsia="Times New Roman" w:hAnsi="Verdana" w:cs="Arial"/>
          <w:lang w:eastAsia="es-ES_tradnl"/>
        </w:rPr>
        <w:t>tributarias.</w:t>
      </w:r>
    </w:p>
    <w:p w14:paraId="3926E88E" w14:textId="77777777" w:rsidR="003D0085" w:rsidRDefault="003D0085" w:rsidP="00AD72BB">
      <w:pPr>
        <w:spacing w:after="120" w:line="276" w:lineRule="auto"/>
        <w:ind w:firstLine="709"/>
        <w:jc w:val="both"/>
        <w:rPr>
          <w:rFonts w:ascii="Verdana" w:eastAsia="Times New Roman" w:hAnsi="Verdana" w:cs="Arial"/>
          <w:lang w:eastAsia="es-ES_tradnl"/>
        </w:rPr>
      </w:pPr>
      <w:r w:rsidRPr="003D0085">
        <w:rPr>
          <w:rFonts w:ascii="Verdana" w:eastAsia="Times New Roman" w:hAnsi="Verdana" w:cs="Arial"/>
          <w:lang w:eastAsia="es-ES_tradnl"/>
        </w:rPr>
        <w:t>Conforme a lo anterior, la validez de exigir la inscripción en el RUT de determinados</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códigos</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o</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actividades</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asociados</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al</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objeto</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contractual</w:t>
      </w:r>
      <w:r w:rsidRPr="003D0085">
        <w:rPr>
          <w:rFonts w:ascii="Verdana" w:eastAsia="Times New Roman" w:hAnsi="Verdana" w:cs="Arial"/>
          <w:spacing w:val="-5"/>
          <w:lang w:eastAsia="es-ES_tradnl"/>
        </w:rPr>
        <w:t xml:space="preserve"> </w:t>
      </w:r>
      <w:r w:rsidRPr="003D0085">
        <w:rPr>
          <w:rFonts w:ascii="Verdana" w:eastAsia="Times New Roman" w:hAnsi="Verdana" w:cs="Arial"/>
          <w:lang w:eastAsia="es-ES_tradnl"/>
        </w:rPr>
        <w:t>como</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requisito</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para</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acreditar</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la</w:t>
      </w:r>
      <w:r w:rsidRPr="003D0085">
        <w:rPr>
          <w:rFonts w:ascii="Verdana" w:eastAsia="Times New Roman" w:hAnsi="Verdana" w:cs="Arial"/>
          <w:spacing w:val="-6"/>
          <w:lang w:eastAsia="es-ES_tradnl"/>
        </w:rPr>
        <w:t xml:space="preserve"> </w:t>
      </w:r>
      <w:r w:rsidRPr="003D0085">
        <w:rPr>
          <w:rFonts w:ascii="Verdana" w:eastAsia="Times New Roman" w:hAnsi="Verdana" w:cs="Arial"/>
          <w:lang w:eastAsia="es-ES_tradnl"/>
        </w:rPr>
        <w:t>capacidad jurídica, depende en primera medida de lo impuesto por las normas tributarias y comerciales, de</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suerte</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que,</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si</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tal</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normativa</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indica</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la</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obligatoriedad</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del</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RUT</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para</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ejercer</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la</w:t>
      </w:r>
      <w:r w:rsidRPr="003D0085">
        <w:rPr>
          <w:rFonts w:ascii="Verdana" w:eastAsia="Times New Roman" w:hAnsi="Verdana" w:cs="Arial"/>
          <w:spacing w:val="28"/>
          <w:lang w:eastAsia="es-ES_tradnl"/>
        </w:rPr>
        <w:t xml:space="preserve"> </w:t>
      </w:r>
      <w:r w:rsidRPr="003D0085">
        <w:rPr>
          <w:rFonts w:ascii="Verdana" w:eastAsia="Times New Roman" w:hAnsi="Verdana" w:cs="Arial"/>
          <w:lang w:eastAsia="es-ES_tradnl"/>
        </w:rPr>
        <w:t>actividad correspondiente, podría resultar valido el referido requisito. En todo caso, también es necesario</w:t>
      </w:r>
      <w:r w:rsidRPr="003D0085">
        <w:rPr>
          <w:rFonts w:ascii="Verdana" w:eastAsia="Times New Roman" w:hAnsi="Verdana" w:cs="Arial"/>
          <w:spacing w:val="-59"/>
          <w:lang w:eastAsia="es-ES_tradnl"/>
        </w:rPr>
        <w:t xml:space="preserve"> </w:t>
      </w:r>
      <w:r w:rsidRPr="003D0085">
        <w:rPr>
          <w:rFonts w:ascii="Verdana" w:eastAsia="Times New Roman" w:hAnsi="Verdana" w:cs="Arial"/>
          <w:lang w:eastAsia="es-ES_tradnl"/>
        </w:rPr>
        <w:t>verificar las particulares condiciones de la persona proponente a efectos de determinar</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si atención a las mismas se encuentra obligado a estar inscrito en RUT en los términos exigidos</w:t>
      </w:r>
      <w:r w:rsidRPr="003D0085">
        <w:rPr>
          <w:rFonts w:ascii="Verdana" w:eastAsia="Times New Roman" w:hAnsi="Verdana" w:cs="Arial"/>
          <w:spacing w:val="-59"/>
          <w:lang w:eastAsia="es-ES_tradnl"/>
        </w:rPr>
        <w:t xml:space="preserve"> </w:t>
      </w:r>
      <w:r w:rsidRPr="003D0085">
        <w:rPr>
          <w:rFonts w:ascii="Verdana" w:eastAsia="Times New Roman" w:hAnsi="Verdana" w:cs="Arial"/>
          <w:lang w:eastAsia="es-ES_tradnl"/>
        </w:rPr>
        <w:t>o</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si</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ello</w:t>
      </w:r>
      <w:r w:rsidRPr="003D0085">
        <w:rPr>
          <w:rFonts w:ascii="Verdana" w:eastAsia="Times New Roman" w:hAnsi="Verdana" w:cs="Arial"/>
          <w:spacing w:val="-2"/>
          <w:lang w:eastAsia="es-ES_tradnl"/>
        </w:rPr>
        <w:t xml:space="preserve"> </w:t>
      </w:r>
      <w:r w:rsidRPr="003D0085">
        <w:rPr>
          <w:rFonts w:ascii="Verdana" w:eastAsia="Times New Roman" w:hAnsi="Verdana" w:cs="Arial"/>
          <w:lang w:eastAsia="es-ES_tradnl"/>
        </w:rPr>
        <w:t>supone</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un</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impedimento</w:t>
      </w:r>
      <w:r w:rsidRPr="003D0085">
        <w:rPr>
          <w:rFonts w:ascii="Verdana" w:eastAsia="Times New Roman" w:hAnsi="Verdana" w:cs="Arial"/>
          <w:spacing w:val="-2"/>
          <w:lang w:eastAsia="es-ES_tradnl"/>
        </w:rPr>
        <w:t xml:space="preserve"> </w:t>
      </w:r>
      <w:r w:rsidRPr="003D0085">
        <w:rPr>
          <w:rFonts w:ascii="Verdana" w:eastAsia="Times New Roman" w:hAnsi="Verdana" w:cs="Arial"/>
          <w:lang w:eastAsia="es-ES_tradnl"/>
        </w:rPr>
        <w:t>para</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ejecutar</w:t>
      </w:r>
      <w:r w:rsidRPr="003D0085">
        <w:rPr>
          <w:rFonts w:ascii="Verdana" w:eastAsia="Times New Roman" w:hAnsi="Verdana" w:cs="Arial"/>
          <w:spacing w:val="-1"/>
          <w:lang w:eastAsia="es-ES_tradnl"/>
        </w:rPr>
        <w:t xml:space="preserve"> </w:t>
      </w:r>
      <w:r w:rsidRPr="003D0085">
        <w:rPr>
          <w:rFonts w:ascii="Verdana" w:eastAsia="Times New Roman" w:hAnsi="Verdana" w:cs="Arial"/>
          <w:lang w:eastAsia="es-ES_tradnl"/>
        </w:rPr>
        <w:t>el</w:t>
      </w:r>
      <w:r w:rsidRPr="003D0085">
        <w:rPr>
          <w:rFonts w:ascii="Verdana" w:eastAsia="Times New Roman" w:hAnsi="Verdana" w:cs="Arial"/>
          <w:spacing w:val="-2"/>
          <w:lang w:eastAsia="es-ES_tradnl"/>
        </w:rPr>
        <w:t xml:space="preserve"> </w:t>
      </w:r>
      <w:r w:rsidRPr="003D0085">
        <w:rPr>
          <w:rFonts w:ascii="Verdana" w:eastAsia="Times New Roman" w:hAnsi="Verdana" w:cs="Arial"/>
          <w:lang w:eastAsia="es-ES_tradnl"/>
        </w:rPr>
        <w:t>contrato.</w:t>
      </w:r>
    </w:p>
    <w:p w14:paraId="0EEC824D" w14:textId="268D5829" w:rsidR="00D04A5C" w:rsidRPr="00D04A5C" w:rsidRDefault="00D04A5C" w:rsidP="00AD72BB">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 xml:space="preserve">De acuerdo con esta normativa, </w:t>
      </w:r>
      <w:r w:rsidRPr="00D04A5C">
        <w:rPr>
          <w:rFonts w:ascii="Verdana" w:eastAsia="Times New Roman" w:hAnsi="Verdana" w:cs="Arial"/>
          <w:lang w:eastAsia="es-ES_tradnl"/>
        </w:rPr>
        <w:t xml:space="preserve">el código CIIU es un elemento fundamental dentro del Registro Único Tributario (RUT) toda vez que una persona o entidad se inscribe en el RUT, debe indicar la actividad económica que realiza, y esta se clasifica utilizando el código CIIU. Por lo tanto, el RUT contiene, entre otros datos, el código CIIU que identifica la actividad principal del contribuyente. </w:t>
      </w:r>
    </w:p>
    <w:p w14:paraId="224F80AB" w14:textId="77777777" w:rsidR="00D04A5C" w:rsidRPr="00D04A5C" w:rsidRDefault="00D04A5C" w:rsidP="00AD72BB">
      <w:pPr>
        <w:spacing w:after="120" w:line="276" w:lineRule="auto"/>
        <w:ind w:firstLine="709"/>
        <w:jc w:val="both"/>
        <w:rPr>
          <w:rFonts w:ascii="Verdana" w:eastAsia="Times New Roman" w:hAnsi="Verdana" w:cs="Arial"/>
          <w:lang w:eastAsia="es-ES_tradnl"/>
        </w:rPr>
      </w:pPr>
      <w:r w:rsidRPr="00D04A5C">
        <w:rPr>
          <w:rFonts w:ascii="Verdana" w:eastAsia="Times New Roman" w:hAnsi="Verdana" w:cs="Arial"/>
          <w:lang w:eastAsia="es-ES_tradnl"/>
        </w:rPr>
        <w:t xml:space="preserve">De esta manera la validez de exigir la inscripción en el RUT de determinados códigos o actividades asociados al objeto contractual como requisito habilitante para acreditar la capacidad jurídica, depende en primera medida de lo impuesto por la norma tributarias y comerciales, de suerte que, si tal normativa indica la obligatoriedad del RUT para ejercer la actividad correspondiente, podría resultar valido el referido requisito. En todo caso, </w:t>
      </w:r>
      <w:r w:rsidRPr="00D04A5C">
        <w:rPr>
          <w:rFonts w:ascii="Verdana" w:eastAsia="Times New Roman" w:hAnsi="Verdana" w:cs="Arial"/>
          <w:lang w:eastAsia="es-ES_tradnl"/>
        </w:rPr>
        <w:lastRenderedPageBreak/>
        <w:t xml:space="preserve">también es necesario verificar las particulares condiciones de la persona proponente a efectos de determinar si atención a las mismas se encuentra obligado a estar inscrito en RUT en los términos exigidos o si ello supone un impedimento para ejecutar el contrato. </w:t>
      </w:r>
    </w:p>
    <w:p w14:paraId="5F07D88A" w14:textId="09D40F7A" w:rsidR="00D04A5C" w:rsidRPr="00D04A5C" w:rsidRDefault="00D04A5C" w:rsidP="00AD72BB">
      <w:pPr>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Conforme a esto,</w:t>
      </w:r>
      <w:r w:rsidRPr="00D04A5C">
        <w:rPr>
          <w:rFonts w:ascii="Verdana" w:eastAsia="Times New Roman" w:hAnsi="Verdana" w:cs="Arial"/>
          <w:lang w:eastAsia="es-ES_tradnl"/>
        </w:rPr>
        <w:t xml:space="preserve"> si la Entidad Estatal considera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w:t>
      </w:r>
    </w:p>
    <w:p w14:paraId="64604044" w14:textId="04872F7A" w:rsidR="009947EA" w:rsidRDefault="00D04A5C" w:rsidP="00377184">
      <w:pPr>
        <w:spacing w:after="0" w:line="276" w:lineRule="auto"/>
        <w:ind w:right="709"/>
        <w:jc w:val="both"/>
        <w:rPr>
          <w:rFonts w:ascii="Verdana" w:hAnsi="Verdana" w:cs="Arial"/>
          <w:color w:val="000000" w:themeColor="text1"/>
        </w:rPr>
      </w:pPr>
      <w:r w:rsidRPr="00D04A5C">
        <w:rPr>
          <w:rFonts w:ascii="Verdana" w:eastAsia="Times New Roman" w:hAnsi="Verdana" w:cs="Arial"/>
          <w:lang w:eastAsia="es-ES_tradnl"/>
        </w:rPr>
        <w:t>En este orden de ideas corresponde a la misma entidad estatal, en ejercicio de su competencia y previa valoración de los elementos fácticos y jurídicos determinar en los pliegos de condiciones la información que se debe acreditar, así como los documentos que tendrá como válidos para la de participación de un oferente en un determinado proceso de selección.</w:t>
      </w:r>
    </w:p>
    <w:p w14:paraId="7CEE26BE" w14:textId="77777777" w:rsidR="009947EA" w:rsidRDefault="009947EA" w:rsidP="00377184">
      <w:pPr>
        <w:spacing w:after="0" w:line="276" w:lineRule="auto"/>
        <w:ind w:right="709"/>
        <w:jc w:val="both"/>
        <w:rPr>
          <w:rFonts w:ascii="Verdana" w:hAnsi="Verdana" w:cs="Arial"/>
          <w:color w:val="000000" w:themeColor="text1"/>
        </w:rPr>
      </w:pPr>
    </w:p>
    <w:p w14:paraId="61E5C436" w14:textId="588DED1B" w:rsidR="000F6C51" w:rsidRDefault="000F6C51" w:rsidP="00377184">
      <w:pPr>
        <w:spacing w:after="0" w:line="276" w:lineRule="auto"/>
        <w:ind w:right="709"/>
        <w:jc w:val="both"/>
        <w:rPr>
          <w:rFonts w:ascii="Verdana" w:hAnsi="Verdana" w:cs="Arial"/>
          <w:b/>
          <w:bCs/>
          <w:color w:val="000000" w:themeColor="text1"/>
        </w:rPr>
      </w:pPr>
      <w:r w:rsidRPr="000F6C51">
        <w:rPr>
          <w:rFonts w:ascii="Verdana" w:hAnsi="Verdana" w:cs="Arial"/>
          <w:b/>
          <w:bCs/>
          <w:color w:val="000000" w:themeColor="text1"/>
        </w:rPr>
        <w:t xml:space="preserve">4. </w:t>
      </w:r>
      <w:r>
        <w:rPr>
          <w:rFonts w:ascii="Verdana" w:hAnsi="Verdana" w:cs="Arial"/>
          <w:b/>
          <w:bCs/>
          <w:color w:val="000000" w:themeColor="text1"/>
        </w:rPr>
        <w:t xml:space="preserve">Referencias </w:t>
      </w:r>
      <w:r w:rsidR="0058682B">
        <w:rPr>
          <w:rFonts w:ascii="Verdana" w:hAnsi="Verdana" w:cs="Arial"/>
          <w:b/>
          <w:bCs/>
          <w:color w:val="000000" w:themeColor="text1"/>
        </w:rPr>
        <w:t>n</w:t>
      </w:r>
      <w:r>
        <w:rPr>
          <w:rFonts w:ascii="Verdana" w:hAnsi="Verdana" w:cs="Arial"/>
          <w:b/>
          <w:bCs/>
          <w:color w:val="000000" w:themeColor="text1"/>
        </w:rPr>
        <w:t>ormativas</w:t>
      </w:r>
      <w:r w:rsidR="0058682B">
        <w:rPr>
          <w:rFonts w:ascii="Verdana" w:hAnsi="Verdana" w:cs="Arial"/>
          <w:b/>
          <w:bCs/>
          <w:color w:val="000000" w:themeColor="text1"/>
        </w:rPr>
        <w:t xml:space="preserve"> </w:t>
      </w:r>
      <w:proofErr w:type="gramStart"/>
      <w:r w:rsidR="0058682B">
        <w:rPr>
          <w:rFonts w:ascii="Verdana" w:hAnsi="Verdana" w:cs="Arial"/>
          <w:b/>
          <w:bCs/>
          <w:color w:val="000000" w:themeColor="text1"/>
        </w:rPr>
        <w:t xml:space="preserve">y </w:t>
      </w:r>
      <w:r w:rsidR="00161112">
        <w:rPr>
          <w:rFonts w:ascii="Verdana" w:hAnsi="Verdana" w:cs="Arial"/>
          <w:b/>
          <w:bCs/>
          <w:color w:val="000000" w:themeColor="text1"/>
        </w:rPr>
        <w:t xml:space="preserve"> </w:t>
      </w:r>
      <w:r w:rsidR="0058682B">
        <w:rPr>
          <w:rFonts w:ascii="Verdana" w:hAnsi="Verdana" w:cs="Arial"/>
          <w:b/>
          <w:bCs/>
          <w:color w:val="000000" w:themeColor="text1"/>
        </w:rPr>
        <w:t>j</w:t>
      </w:r>
      <w:r w:rsidR="00161112">
        <w:rPr>
          <w:rFonts w:ascii="Verdana" w:hAnsi="Verdana" w:cs="Arial"/>
          <w:b/>
          <w:bCs/>
          <w:color w:val="000000" w:themeColor="text1"/>
        </w:rPr>
        <w:t>urisprudencia</w:t>
      </w:r>
      <w:r w:rsidR="0058682B">
        <w:rPr>
          <w:rFonts w:ascii="Verdana" w:hAnsi="Verdana" w:cs="Arial"/>
          <w:b/>
          <w:bCs/>
          <w:color w:val="000000" w:themeColor="text1"/>
        </w:rPr>
        <w:t>les</w:t>
      </w:r>
      <w:proofErr w:type="gramEnd"/>
      <w:r w:rsidR="000335E7">
        <w:rPr>
          <w:rFonts w:ascii="Verdana" w:hAnsi="Verdana" w:cs="Arial"/>
          <w:b/>
          <w:bCs/>
          <w:color w:val="000000" w:themeColor="text1"/>
        </w:rPr>
        <w:t xml:space="preserve"> </w:t>
      </w:r>
    </w:p>
    <w:p w14:paraId="731A8BD7" w14:textId="77777777" w:rsidR="00F2110B" w:rsidRDefault="00F2110B" w:rsidP="00377184">
      <w:pPr>
        <w:spacing w:after="0" w:line="276" w:lineRule="auto"/>
        <w:ind w:right="709"/>
        <w:jc w:val="both"/>
        <w:rPr>
          <w:rFonts w:ascii="Verdana" w:hAnsi="Verdana" w:cs="Arial"/>
          <w:b/>
          <w:bCs/>
          <w:color w:val="000000" w:themeColor="text1"/>
        </w:rPr>
      </w:pPr>
    </w:p>
    <w:p w14:paraId="2A158EFA" w14:textId="32EBA468" w:rsidR="00377184" w:rsidRPr="004A7B56" w:rsidRDefault="00377184" w:rsidP="002849ED">
      <w:pPr>
        <w:pStyle w:val="Prrafodelista"/>
        <w:numPr>
          <w:ilvl w:val="0"/>
          <w:numId w:val="29"/>
        </w:numPr>
        <w:spacing w:after="0" w:line="276" w:lineRule="auto"/>
        <w:ind w:right="709"/>
        <w:jc w:val="both"/>
        <w:rPr>
          <w:rFonts w:ascii="Verdana" w:hAnsi="Verdana" w:cs="Arial"/>
          <w:color w:val="000000" w:themeColor="text1"/>
          <w:lang w:val="es-ES_tradnl"/>
        </w:rPr>
      </w:pPr>
      <w:r w:rsidRPr="00973610">
        <w:rPr>
          <w:rFonts w:ascii="Verdana" w:eastAsia="Times New Roman" w:hAnsi="Verdana" w:cs="Arial"/>
          <w:color w:val="000000"/>
          <w:lang w:val="es-ES_tradnl" w:eastAsia="es-ES_tradnl"/>
        </w:rPr>
        <w:t>Ley 80 de 1993</w:t>
      </w:r>
      <w:r w:rsidRPr="00973610">
        <w:rPr>
          <w:rFonts w:ascii="Verdana" w:hAnsi="Verdana" w:cs="Arial"/>
          <w:noProof/>
          <w:lang w:val="es-ES_tradnl"/>
        </w:rPr>
        <w:t xml:space="preserve">. </w:t>
      </w:r>
    </w:p>
    <w:p w14:paraId="467D92D9" w14:textId="0D32F313" w:rsidR="004A7B56" w:rsidRPr="00973610" w:rsidRDefault="004A7B56" w:rsidP="002849ED">
      <w:pPr>
        <w:pStyle w:val="Prrafodelista"/>
        <w:numPr>
          <w:ilvl w:val="0"/>
          <w:numId w:val="29"/>
        </w:numPr>
        <w:spacing w:after="0" w:line="276" w:lineRule="auto"/>
        <w:ind w:right="709"/>
        <w:jc w:val="both"/>
        <w:rPr>
          <w:rFonts w:ascii="Verdana" w:hAnsi="Verdana" w:cs="Arial"/>
          <w:color w:val="000000" w:themeColor="text1"/>
          <w:lang w:val="es-ES_tradnl"/>
        </w:rPr>
      </w:pPr>
      <w:r w:rsidRPr="004A7B56">
        <w:rPr>
          <w:rFonts w:ascii="Verdana" w:hAnsi="Verdana" w:cs="Arial"/>
          <w:color w:val="000000" w:themeColor="text1"/>
          <w:lang w:val="es-ES_tradnl"/>
        </w:rPr>
        <w:t>Decreto 1082 de 2015</w:t>
      </w:r>
    </w:p>
    <w:p w14:paraId="443789F2" w14:textId="77777777" w:rsidR="004A7B56" w:rsidRDefault="00B73BD3" w:rsidP="004A7B56">
      <w:pPr>
        <w:pStyle w:val="Prrafodelista"/>
        <w:numPr>
          <w:ilvl w:val="0"/>
          <w:numId w:val="29"/>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A</w:t>
      </w:r>
      <w:r w:rsidR="00973610" w:rsidRPr="00973610">
        <w:rPr>
          <w:rFonts w:ascii="Verdana" w:hAnsi="Verdana" w:cs="Arial"/>
          <w:color w:val="000000" w:themeColor="text1"/>
          <w:lang w:val="es-ES_tradnl"/>
        </w:rPr>
        <w:t>rtículos 3, numeral 5° y 11, numeral 8° del Decreto Ley 4170 de 2011</w:t>
      </w:r>
    </w:p>
    <w:p w14:paraId="41271495" w14:textId="77777777" w:rsidR="004A7B56" w:rsidRPr="004A7B56" w:rsidRDefault="004A7B56" w:rsidP="004A7B56">
      <w:pPr>
        <w:pStyle w:val="Prrafodelista"/>
        <w:numPr>
          <w:ilvl w:val="0"/>
          <w:numId w:val="29"/>
        </w:numPr>
        <w:spacing w:after="0" w:line="276" w:lineRule="auto"/>
        <w:ind w:right="709"/>
        <w:jc w:val="both"/>
        <w:rPr>
          <w:rFonts w:ascii="Verdana" w:hAnsi="Verdana" w:cs="Arial"/>
          <w:color w:val="000000" w:themeColor="text1"/>
          <w:lang w:val="es-ES_tradnl"/>
        </w:rPr>
      </w:pPr>
      <w:r>
        <w:rPr>
          <w:rFonts w:ascii="Verdana" w:hAnsi="Verdana"/>
        </w:rPr>
        <w:t>A</w:t>
      </w:r>
      <w:r w:rsidRPr="004A7B56">
        <w:rPr>
          <w:rFonts w:ascii="Verdana" w:hAnsi="Verdana"/>
        </w:rPr>
        <w:t>rtículo 5 de la Ley 1150 de 2007</w:t>
      </w:r>
      <w:r w:rsidR="00377184" w:rsidRPr="004A7B56">
        <w:rPr>
          <w:rFonts w:ascii="Verdana" w:hAnsi="Verdana"/>
        </w:rPr>
        <w:t xml:space="preserve"> </w:t>
      </w:r>
    </w:p>
    <w:p w14:paraId="1C33273A" w14:textId="229CA43D" w:rsidR="004A7B56" w:rsidRDefault="004A7B56" w:rsidP="004A7B56">
      <w:pPr>
        <w:pStyle w:val="Prrafodelista"/>
        <w:numPr>
          <w:ilvl w:val="0"/>
          <w:numId w:val="29"/>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L</w:t>
      </w:r>
      <w:r w:rsidRPr="004A7B56">
        <w:rPr>
          <w:rFonts w:ascii="Verdana" w:hAnsi="Verdana" w:cs="Arial"/>
          <w:color w:val="000000" w:themeColor="text1"/>
          <w:lang w:val="es-ES_tradnl"/>
        </w:rPr>
        <w:t>a Ley 590 de 2000</w:t>
      </w:r>
    </w:p>
    <w:p w14:paraId="658B298B" w14:textId="25A84D20" w:rsidR="004A7B56" w:rsidRPr="004A7B56" w:rsidRDefault="004A7B56" w:rsidP="004A7B56">
      <w:pPr>
        <w:pStyle w:val="Prrafodelista"/>
        <w:numPr>
          <w:ilvl w:val="0"/>
          <w:numId w:val="29"/>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A</w:t>
      </w:r>
      <w:r w:rsidRPr="004A7B56">
        <w:rPr>
          <w:rFonts w:ascii="Verdana" w:hAnsi="Verdana" w:cs="Arial"/>
          <w:color w:val="000000" w:themeColor="text1"/>
          <w:lang w:val="es-ES_tradnl"/>
        </w:rPr>
        <w:t>rtículo 166 del Decreto 019 de 2012</w:t>
      </w:r>
    </w:p>
    <w:p w14:paraId="2ABA11DC" w14:textId="134D5CFE" w:rsidR="00377184" w:rsidRPr="004A7B56" w:rsidRDefault="004A7B56" w:rsidP="004A7B56">
      <w:pPr>
        <w:pStyle w:val="Prrafodelista"/>
        <w:numPr>
          <w:ilvl w:val="0"/>
          <w:numId w:val="29"/>
        </w:numPr>
        <w:spacing w:after="0" w:line="276" w:lineRule="auto"/>
        <w:ind w:right="709"/>
        <w:jc w:val="both"/>
        <w:rPr>
          <w:rFonts w:ascii="Verdana" w:hAnsi="Verdana" w:cs="Arial"/>
          <w:color w:val="000000" w:themeColor="text1"/>
          <w:lang w:val="es-ES_tradnl"/>
        </w:rPr>
      </w:pPr>
      <w:r>
        <w:rPr>
          <w:rFonts w:ascii="Verdana" w:hAnsi="Verdana"/>
        </w:rPr>
        <w:t>A</w:t>
      </w:r>
      <w:r w:rsidRPr="004A7B56">
        <w:rPr>
          <w:rFonts w:ascii="Verdana" w:hAnsi="Verdana"/>
        </w:rPr>
        <w:t>rtículo 555-2 del Estatuto Tributario</w:t>
      </w:r>
    </w:p>
    <w:p w14:paraId="2F5CC51F" w14:textId="77777777" w:rsidR="00377184" w:rsidRPr="00DC1867" w:rsidRDefault="00377184" w:rsidP="00377184">
      <w:pPr>
        <w:pStyle w:val="Prrafodelista"/>
        <w:spacing w:after="0" w:line="276" w:lineRule="auto"/>
        <w:ind w:right="709"/>
        <w:jc w:val="both"/>
        <w:rPr>
          <w:rFonts w:ascii="Verdana" w:hAnsi="Verdana" w:cs="Arial"/>
          <w:color w:val="000000" w:themeColor="text1"/>
          <w:lang w:val="es-ES_tradnl"/>
        </w:rPr>
      </w:pPr>
    </w:p>
    <w:p w14:paraId="15030B62" w14:textId="6B1FCC50" w:rsidR="00377184" w:rsidRPr="0011467B" w:rsidRDefault="00377184" w:rsidP="006E41F6">
      <w:pPr>
        <w:pStyle w:val="Prrafodelista"/>
        <w:numPr>
          <w:ilvl w:val="0"/>
          <w:numId w:val="30"/>
        </w:numPr>
        <w:tabs>
          <w:tab w:val="left" w:pos="142"/>
          <w:tab w:val="left" w:pos="284"/>
        </w:tabs>
        <w:spacing w:after="0" w:line="276" w:lineRule="auto"/>
        <w:ind w:left="426"/>
        <w:contextualSpacing w:val="0"/>
        <w:jc w:val="both"/>
        <w:rPr>
          <w:rFonts w:ascii="Verdana" w:eastAsia="Century Gothic" w:hAnsi="Verdana" w:cs="Century Gothic"/>
          <w:b/>
          <w:bCs/>
        </w:rPr>
      </w:pPr>
      <w:r w:rsidRPr="0011467B">
        <w:rPr>
          <w:rFonts w:ascii="Verdana" w:eastAsia="Century Gothic" w:hAnsi="Verdana" w:cs="Century Gothic"/>
          <w:b/>
          <w:bCs/>
        </w:rPr>
        <w:t>Doctrina de la Agencia Nacional de Contratación Pública:</w:t>
      </w:r>
    </w:p>
    <w:p w14:paraId="30D86F44" w14:textId="77777777" w:rsidR="00377184" w:rsidRPr="002D1123" w:rsidRDefault="00377184" w:rsidP="00377184">
      <w:pPr>
        <w:pStyle w:val="Prrafodelista"/>
        <w:tabs>
          <w:tab w:val="left" w:pos="142"/>
          <w:tab w:val="left" w:pos="284"/>
        </w:tabs>
        <w:spacing w:after="0" w:line="276" w:lineRule="auto"/>
        <w:ind w:left="0"/>
        <w:contextualSpacing w:val="0"/>
        <w:jc w:val="both"/>
        <w:rPr>
          <w:rFonts w:ascii="Verdana" w:eastAsia="Century Gothic" w:hAnsi="Verdana" w:cs="Century Gothic"/>
          <w:b/>
        </w:rPr>
      </w:pPr>
    </w:p>
    <w:p w14:paraId="7A31542C" w14:textId="07EE4B2A" w:rsidR="00377184" w:rsidRDefault="00377184" w:rsidP="006E41F6">
      <w:pPr>
        <w:pStyle w:val="Textonotapie"/>
        <w:spacing w:line="276" w:lineRule="auto"/>
        <w:jc w:val="both"/>
        <w:rPr>
          <w:rFonts w:ascii="Verdana" w:hAnsi="Verdana"/>
          <w:color w:val="000000"/>
          <w:sz w:val="22"/>
          <w:szCs w:val="22"/>
          <w:shd w:val="clear" w:color="auto" w:fill="FFFFFF"/>
        </w:rPr>
      </w:pPr>
      <w:r w:rsidRPr="000335E7">
        <w:rPr>
          <w:rFonts w:ascii="Verdana" w:eastAsia="Calibri" w:hAnsi="Verdana" w:cs="Arial"/>
          <w:sz w:val="22"/>
          <w:szCs w:val="22"/>
          <w:lang w:val="es-ES_tradnl" w:eastAsia="es-ES_tradnl"/>
        </w:rPr>
        <w:t xml:space="preserve">Sobre </w:t>
      </w:r>
      <w:r w:rsidR="002C385B" w:rsidRPr="002C385B">
        <w:rPr>
          <w:rFonts w:ascii="Verdana" w:eastAsia="Calibri" w:hAnsi="Verdana" w:cs="Arial"/>
          <w:sz w:val="22"/>
          <w:szCs w:val="22"/>
          <w:lang w:val="es-ES_tradnl" w:eastAsia="es-ES_tradnl"/>
        </w:rPr>
        <w:t>la naturaleza de los requisitos habilitantes y  el carácter enunciativo de los mencionados en el artículo 5-1 de la Ley 1150 de 2007</w:t>
      </w:r>
      <w:r w:rsidRPr="000335E7">
        <w:rPr>
          <w:rFonts w:ascii="Verdana" w:eastAsia="Calibri" w:hAnsi="Verdana" w:cs="Arial"/>
          <w:sz w:val="22"/>
          <w:szCs w:val="22"/>
          <w:lang w:val="es-ES_tradnl" w:eastAsia="es-ES_tradnl"/>
        </w:rPr>
        <w:t xml:space="preserve"> </w:t>
      </w:r>
      <w:r w:rsidR="002C385B" w:rsidRPr="002C385B">
        <w:rPr>
          <w:rFonts w:ascii="Verdana" w:eastAsia="Calibri" w:hAnsi="Verdana" w:cs="Arial"/>
          <w:sz w:val="22"/>
          <w:szCs w:val="22"/>
        </w:rPr>
        <w:t xml:space="preserve">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w:t>
      </w:r>
      <w:r w:rsidR="00BF35A8">
        <w:rPr>
          <w:rFonts w:ascii="Verdana" w:eastAsia="Calibri" w:hAnsi="Verdana" w:cs="Arial"/>
          <w:sz w:val="22"/>
          <w:szCs w:val="22"/>
        </w:rPr>
        <w:t xml:space="preserve">C-107 del 24 de febrero de 2020, </w:t>
      </w:r>
      <w:r w:rsidR="002C385B" w:rsidRPr="002C385B">
        <w:rPr>
          <w:rFonts w:ascii="Verdana" w:eastAsia="Calibri" w:hAnsi="Verdana" w:cs="Arial"/>
          <w:sz w:val="22"/>
          <w:szCs w:val="22"/>
        </w:rPr>
        <w:t>C-330 del 27 de mayo de 2020, C-396 de 16 de julio de 2020, C-142 del 30 de marzo de 2022</w:t>
      </w:r>
      <w:r w:rsidR="002C385B">
        <w:rPr>
          <w:rFonts w:ascii="Verdana" w:eastAsia="Calibri" w:hAnsi="Verdana" w:cs="Arial"/>
          <w:sz w:val="22"/>
          <w:szCs w:val="22"/>
        </w:rPr>
        <w:t xml:space="preserve"> y C-337 del 18 </w:t>
      </w:r>
      <w:r w:rsidR="002C385B">
        <w:rPr>
          <w:rFonts w:ascii="Verdana" w:eastAsia="Calibri" w:hAnsi="Verdana" w:cs="Arial"/>
          <w:sz w:val="22"/>
          <w:szCs w:val="22"/>
        </w:rPr>
        <w:lastRenderedPageBreak/>
        <w:t>de agosto de 2023.</w:t>
      </w:r>
      <w:r w:rsidR="00D04A5C">
        <w:rPr>
          <w:rFonts w:ascii="Verdana" w:hAnsi="Verdana"/>
          <w:color w:val="000000"/>
          <w:sz w:val="22"/>
          <w:szCs w:val="22"/>
          <w:shd w:val="clear" w:color="auto" w:fill="FFFFFF"/>
        </w:rPr>
        <w:t xml:space="preserve"> </w:t>
      </w:r>
      <w:r w:rsidRPr="000335E7">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0335E7">
          <w:rPr>
            <w:rStyle w:val="Hipervnculo"/>
            <w:rFonts w:ascii="Verdana" w:hAnsi="Verdana"/>
            <w:sz w:val="22"/>
            <w:szCs w:val="22"/>
            <w:bdr w:val="none" w:sz="0" w:space="0" w:color="auto" w:frame="1"/>
            <w:shd w:val="clear" w:color="auto" w:fill="FFFFFF"/>
          </w:rPr>
          <w:t>https://relatoria.colombiacompra.gov.co/</w:t>
        </w:r>
      </w:hyperlink>
      <w:r w:rsidRPr="000335E7">
        <w:rPr>
          <w:rFonts w:ascii="Verdana" w:hAnsi="Verdana"/>
          <w:color w:val="000000"/>
          <w:sz w:val="22"/>
          <w:szCs w:val="22"/>
          <w:shd w:val="clear" w:color="auto" w:fill="FFFFFF"/>
        </w:rPr>
        <w:t xml:space="preserve"> . </w:t>
      </w:r>
    </w:p>
    <w:p w14:paraId="7B43A503" w14:textId="77777777" w:rsidR="00A30EAB" w:rsidRDefault="00A30EAB" w:rsidP="006E41F6">
      <w:pPr>
        <w:pStyle w:val="Textonotapie"/>
        <w:spacing w:line="276" w:lineRule="auto"/>
        <w:jc w:val="both"/>
        <w:rPr>
          <w:rFonts w:ascii="Verdana" w:hAnsi="Verdana"/>
          <w:color w:val="000000"/>
          <w:sz w:val="22"/>
          <w:szCs w:val="22"/>
          <w:shd w:val="clear" w:color="auto" w:fill="FFFFFF"/>
        </w:rPr>
      </w:pPr>
    </w:p>
    <w:p w14:paraId="2C3BDE88" w14:textId="3CC55237" w:rsidR="00916188" w:rsidRPr="00916188" w:rsidRDefault="00916188" w:rsidP="00AD72BB">
      <w:pPr>
        <w:pStyle w:val="Textonotapie"/>
        <w:spacing w:line="276" w:lineRule="auto"/>
        <w:ind w:firstLine="708"/>
        <w:jc w:val="both"/>
        <w:rPr>
          <w:rFonts w:ascii="Verdana" w:hAnsi="Verdana"/>
          <w:color w:val="000000"/>
          <w:sz w:val="22"/>
          <w:szCs w:val="22"/>
          <w:shd w:val="clear" w:color="auto" w:fill="FFFFFF"/>
        </w:rPr>
      </w:pPr>
      <w:bookmarkStart w:id="11" w:name="_Hlk181891275"/>
      <w:r w:rsidRPr="00916188">
        <w:rPr>
          <w:rFonts w:ascii="Verdana" w:hAnsi="Verdana"/>
          <w:color w:val="000000"/>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3" w:tgtFrame="_blank" w:tooltip="Dirección URL original: https://www.colombiacompra.gov.co/content/borrador-de-documentos-tipo-de-consultoria-de-obra-publica-de-infraestructura-de-transporte. Haga clic o pulse si confía en este vínculo." w:history="1">
        <w:r w:rsidRPr="00916188">
          <w:rPr>
            <w:rStyle w:val="Hipervnculo"/>
            <w:rFonts w:ascii="Verdana" w:hAnsi="Verdana"/>
            <w:sz w:val="22"/>
            <w:szCs w:val="22"/>
            <w:shd w:val="clear" w:color="auto" w:fill="FFFFFF"/>
          </w:rPr>
          <w:t>https://www.colombiacompra.gov.co/content/borrador-de-documentos-tipo-de-consultoria-de-obra-publica-de-infraestructura-de-transporte</w:t>
        </w:r>
      </w:hyperlink>
      <w:r w:rsidRPr="00916188">
        <w:rPr>
          <w:rFonts w:ascii="Verdana" w:hAnsi="Verdana"/>
          <w:color w:val="000000"/>
          <w:sz w:val="22"/>
          <w:szCs w:val="22"/>
          <w:shd w:val="clear" w:color="auto" w:fill="FFFFFF"/>
        </w:rPr>
        <w:t> y </w:t>
      </w:r>
      <w:hyperlink r:id="rId14" w:tgtFrame="_blank" w:tooltip="Dirección URL original: https://www.colombiacompra.gov.co/content/borrador-de-documentos-tipo-de-interventoria-de-obra-publica-de-infraestructura-de. Haga clic o pulse si confía en este vínculo." w:history="1">
        <w:r w:rsidRPr="00916188">
          <w:rPr>
            <w:rStyle w:val="Hipervnculo"/>
            <w:rFonts w:ascii="Verdana" w:hAnsi="Verdana"/>
            <w:sz w:val="22"/>
            <w:szCs w:val="22"/>
            <w:shd w:val="clear" w:color="auto" w:fill="FFFFFF"/>
          </w:rPr>
          <w:t>https://www.colombiacompra.gov.co/content/borrador-de-documentos-tipo-de-interventoria-de-obra-publica-de-infraestructura-de</w:t>
        </w:r>
      </w:hyperlink>
      <w:r w:rsidRPr="00916188">
        <w:rPr>
          <w:rFonts w:ascii="Verdana" w:hAnsi="Verdana"/>
          <w:color w:val="000000"/>
          <w:sz w:val="22"/>
          <w:szCs w:val="22"/>
          <w:shd w:val="clear" w:color="auto" w:fill="FFFFFF"/>
        </w:rPr>
        <w:t> .</w:t>
      </w:r>
    </w:p>
    <w:p w14:paraId="4AC7159E" w14:textId="77777777" w:rsidR="00916188" w:rsidRPr="00916188" w:rsidRDefault="00916188" w:rsidP="006E41F6">
      <w:pPr>
        <w:pStyle w:val="Textonotapie"/>
        <w:spacing w:line="276" w:lineRule="auto"/>
        <w:jc w:val="both"/>
        <w:rPr>
          <w:rFonts w:ascii="Verdana" w:hAnsi="Verdana"/>
          <w:color w:val="000000"/>
          <w:sz w:val="22"/>
          <w:szCs w:val="22"/>
          <w:shd w:val="clear" w:color="auto" w:fill="FFFFFF"/>
        </w:rPr>
      </w:pPr>
    </w:p>
    <w:p w14:paraId="0FD4C021" w14:textId="5D2E2C90" w:rsidR="00916188" w:rsidRPr="00916188" w:rsidRDefault="00916188" w:rsidP="00AD72BB">
      <w:pPr>
        <w:pStyle w:val="Textonotapie"/>
        <w:spacing w:line="276" w:lineRule="auto"/>
        <w:ind w:firstLine="708"/>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De otra parte, te contamos que ya publicamos el borrador de la nueva Guía de Contratación Pública Sostenible y Socialmente Responsable. Conoce el documento y realiza tus comentarios hasta el 14 de noviembre de 2024 a través del siguiente enlace: </w:t>
      </w:r>
      <w:hyperlink r:id="rId15" w:tgtFrame="_blank" w:tooltip="Dirección URL original: https://www.sucop.gov.co/entidades/colombiacompra/Normativa?IDNorma=18320. Haga clic o pulse si confía en este vínculo." w:history="1">
        <w:r w:rsidRPr="00916188">
          <w:rPr>
            <w:rStyle w:val="Hipervnculo"/>
            <w:rFonts w:ascii="Verdana" w:hAnsi="Verdana"/>
            <w:sz w:val="22"/>
            <w:szCs w:val="22"/>
            <w:shd w:val="clear" w:color="auto" w:fill="FFFFFF"/>
          </w:rPr>
          <w:t>https://www.sucop.gov.co/entidades/colombiacompra/Normativa?IDNorma=18320</w:t>
        </w:r>
      </w:hyperlink>
      <w:r w:rsidRPr="00916188">
        <w:rPr>
          <w:rFonts w:ascii="Verdana" w:hAnsi="Verdana"/>
          <w:color w:val="000000"/>
          <w:sz w:val="22"/>
          <w:szCs w:val="22"/>
          <w:shd w:val="clear" w:color="auto" w:fill="FFFFFF"/>
        </w:rPr>
        <w:t>  </w:t>
      </w:r>
    </w:p>
    <w:p w14:paraId="3ED981F9" w14:textId="77777777" w:rsidR="00916188" w:rsidRPr="00916188" w:rsidRDefault="00916188" w:rsidP="006E41F6">
      <w:pPr>
        <w:pStyle w:val="Textonotapie"/>
        <w:spacing w:line="276" w:lineRule="auto"/>
        <w:jc w:val="both"/>
        <w:rPr>
          <w:rFonts w:ascii="Verdana" w:hAnsi="Verdana"/>
          <w:color w:val="000000"/>
          <w:sz w:val="22"/>
          <w:szCs w:val="22"/>
          <w:shd w:val="clear" w:color="auto" w:fill="FFFFFF"/>
        </w:rPr>
      </w:pPr>
    </w:p>
    <w:p w14:paraId="6FDB78B8" w14:textId="78EFE0D8" w:rsidR="00916188" w:rsidRPr="00916188" w:rsidRDefault="00916188" w:rsidP="006E41F6">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 xml:space="preserve">También le invitamos a consultar las versiones V y VI de 2024 del Boletín de Relatoría de la Subdirección de Gestión Contractual relacionados con las guías de Plan Anual de Adquisiciones y la </w:t>
      </w:r>
      <w:r w:rsidR="00B23C4E" w:rsidRPr="00916188">
        <w:rPr>
          <w:rFonts w:ascii="Verdana" w:hAnsi="Verdana"/>
          <w:color w:val="000000"/>
          <w:sz w:val="22"/>
          <w:szCs w:val="22"/>
          <w:shd w:val="clear" w:color="auto" w:fill="FFFFFF"/>
        </w:rPr>
        <w:t>modalidad</w:t>
      </w:r>
      <w:r w:rsidRPr="00916188">
        <w:rPr>
          <w:rFonts w:ascii="Verdana" w:hAnsi="Verdana"/>
          <w:color w:val="000000"/>
          <w:sz w:val="22"/>
          <w:szCs w:val="22"/>
          <w:shd w:val="clear" w:color="auto" w:fill="FFFFFF"/>
        </w:rPr>
        <w:t xml:space="preserve"> de selección de mínima cuantía , los cuales se pueden descargar en la página web de la Agencia: </w:t>
      </w:r>
      <w:hyperlink r:id="rId16" w:tgtFrame="_blank" w:tooltip="Dirección URL original: https://www.colombiacompra.gov.co/sala-de-prensa/boletin-digital. Haga clic o pulse si confía en este vínculo." w:history="1">
        <w:r w:rsidRPr="0058682B">
          <w:rPr>
            <w:rStyle w:val="Hipervnculo"/>
            <w:rFonts w:ascii="Verdana" w:hAnsi="Verdana"/>
            <w:sz w:val="22"/>
            <w:szCs w:val="22"/>
            <w:shd w:val="clear" w:color="auto" w:fill="FFFFFF"/>
          </w:rPr>
          <w:t>https://www.colombiacompra.gov.co/sala-de-prensa/boletin-digital</w:t>
        </w:r>
      </w:hyperlink>
      <w:r w:rsidR="0058682B" w:rsidRPr="006E41F6">
        <w:rPr>
          <w:rStyle w:val="Hipervnculo"/>
          <w:rFonts w:ascii="Verdana" w:hAnsi="Verdana"/>
          <w:color w:val="auto"/>
          <w:sz w:val="22"/>
          <w:szCs w:val="22"/>
          <w:u w:val="none"/>
          <w:shd w:val="clear" w:color="auto" w:fill="FFFFFF"/>
        </w:rPr>
        <w:t>.</w:t>
      </w:r>
      <w:r w:rsidRPr="00916188">
        <w:rPr>
          <w:rFonts w:ascii="Verdana" w:hAnsi="Verdana"/>
          <w:color w:val="000000"/>
          <w:sz w:val="22"/>
          <w:szCs w:val="22"/>
          <w:shd w:val="clear" w:color="auto" w:fill="FFFFFF"/>
        </w:rPr>
        <w:t>  </w:t>
      </w:r>
    </w:p>
    <w:p w14:paraId="09622A28" w14:textId="77777777" w:rsidR="000D30CD" w:rsidRDefault="000D30CD" w:rsidP="00377184">
      <w:pPr>
        <w:spacing w:after="0" w:line="240" w:lineRule="auto"/>
        <w:jc w:val="both"/>
        <w:rPr>
          <w:rFonts w:ascii="Verdana" w:hAnsi="Verdana"/>
        </w:rPr>
      </w:pPr>
    </w:p>
    <w:p w14:paraId="61F9E9C0" w14:textId="5D6BBDEE" w:rsidR="00377184" w:rsidRPr="0011467B" w:rsidRDefault="00377184" w:rsidP="006E41F6">
      <w:pPr>
        <w:spacing w:after="0" w:line="276"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4B895DD7" w14:textId="77777777" w:rsidR="00377184" w:rsidRPr="0011467B" w:rsidRDefault="00377184" w:rsidP="00377184">
      <w:pPr>
        <w:spacing w:after="0" w:line="240" w:lineRule="auto"/>
        <w:jc w:val="both"/>
        <w:rPr>
          <w:rFonts w:ascii="Verdana" w:hAnsi="Verdana"/>
        </w:rPr>
      </w:pPr>
    </w:p>
    <w:p w14:paraId="6FE1DAF1" w14:textId="77777777" w:rsidR="00377184" w:rsidRPr="0011467B" w:rsidRDefault="00377184" w:rsidP="00377184">
      <w:pPr>
        <w:spacing w:after="0" w:line="240" w:lineRule="auto"/>
        <w:jc w:val="both"/>
        <w:rPr>
          <w:rFonts w:ascii="Verdana" w:hAnsi="Verdana"/>
        </w:rPr>
      </w:pPr>
      <w:r w:rsidRPr="0011467B">
        <w:rPr>
          <w:rFonts w:ascii="Verdana" w:hAnsi="Verdana"/>
        </w:rPr>
        <w:t xml:space="preserve">Twitter: </w:t>
      </w:r>
      <w:r w:rsidRPr="00CE40A8">
        <w:rPr>
          <w:rStyle w:val="Hipervnculo"/>
          <w:rFonts w:ascii="Verdana" w:hAnsi="Verdana"/>
          <w:color w:val="4472C4" w:themeColor="accent1"/>
        </w:rPr>
        <w:t>@colombiacompra</w:t>
      </w:r>
      <w:r w:rsidRPr="00CE40A8">
        <w:rPr>
          <w:rFonts w:ascii="Verdana" w:hAnsi="Verdana"/>
          <w:color w:val="4472C4" w:themeColor="accent1"/>
        </w:rPr>
        <w:t xml:space="preserve"> </w:t>
      </w:r>
    </w:p>
    <w:p w14:paraId="46994796" w14:textId="77777777" w:rsidR="00377184" w:rsidRPr="0011467B" w:rsidRDefault="00377184" w:rsidP="00377184">
      <w:pPr>
        <w:spacing w:after="0" w:line="240" w:lineRule="auto"/>
        <w:jc w:val="both"/>
        <w:rPr>
          <w:rFonts w:ascii="Verdana" w:hAnsi="Verdana"/>
        </w:rPr>
      </w:pPr>
      <w:r w:rsidRPr="0011467B">
        <w:rPr>
          <w:rFonts w:ascii="Verdana" w:hAnsi="Verdana"/>
        </w:rPr>
        <w:t xml:space="preserve">Facebook: </w:t>
      </w:r>
      <w:r w:rsidRPr="0011467B">
        <w:rPr>
          <w:rStyle w:val="Hipervnculo"/>
          <w:rFonts w:ascii="Verdana" w:hAnsi="Verdana"/>
          <w:color w:val="4472C4" w:themeColor="accent1"/>
        </w:rPr>
        <w:t>ColombiaCompraEficiente</w:t>
      </w:r>
    </w:p>
    <w:p w14:paraId="015C1F09" w14:textId="77777777" w:rsidR="00377184" w:rsidRPr="0011467B" w:rsidRDefault="00377184" w:rsidP="00377184">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461F5211" w14:textId="77777777" w:rsidR="00377184" w:rsidRPr="0011467B" w:rsidRDefault="00377184" w:rsidP="002133BC">
      <w:pPr>
        <w:spacing w:after="120" w:line="276" w:lineRule="auto"/>
        <w:jc w:val="center"/>
        <w:rPr>
          <w:rFonts w:ascii="Verdana" w:hAnsi="Verdana" w:cs="Arial"/>
          <w:lang w:val="es-ES"/>
        </w:rPr>
      </w:pPr>
    </w:p>
    <w:p w14:paraId="3A9C400D" w14:textId="77777777" w:rsidR="00377184" w:rsidRPr="0011467B" w:rsidRDefault="00377184" w:rsidP="00377184">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 xml:space="preserve">Este concepto tiene el alcance previsto en el artículo 28 del Código de Procedimiento Administrativo y de lo Contencioso Administrativo y las </w:t>
      </w:r>
      <w:r w:rsidRPr="0011467B">
        <w:rPr>
          <w:rFonts w:ascii="Verdana" w:hAnsi="Verdana" w:cs="Arial"/>
          <w:color w:val="000000" w:themeColor="text1"/>
          <w:lang w:val="es-ES_tradnl"/>
        </w:rPr>
        <w:lastRenderedPageBreak/>
        <w:t>expresiones utilizadas con mayúscula inicial deben ser entendidas con el significado que les otorga el artículo 2.2.1.1.1.3.1 del Decreto 1082 de 2015.</w:t>
      </w:r>
    </w:p>
    <w:p w14:paraId="17520AEB" w14:textId="41D6DBD4" w:rsidR="00377184" w:rsidRPr="0011467B" w:rsidRDefault="00377184" w:rsidP="00377184">
      <w:pPr>
        <w:spacing w:after="120" w:line="276" w:lineRule="auto"/>
        <w:jc w:val="both"/>
        <w:rPr>
          <w:rFonts w:ascii="Verdana" w:eastAsia="Times New Roman" w:hAnsi="Verdana" w:cs="Arial"/>
          <w:i/>
          <w:lang w:val="es-ES" w:eastAsia="es-ES"/>
        </w:rPr>
      </w:pPr>
    </w:p>
    <w:p w14:paraId="66F088C0" w14:textId="3A311FFF" w:rsidR="00FD00F0" w:rsidRPr="00DC1867" w:rsidRDefault="00377184" w:rsidP="00377184">
      <w:pPr>
        <w:spacing w:after="0" w:line="240" w:lineRule="auto"/>
        <w:rPr>
          <w:rFonts w:ascii="Verdana" w:eastAsia="Times New Roman" w:hAnsi="Verdana" w:cs="Arial"/>
          <w:lang w:eastAsia="es-CO"/>
        </w:rPr>
      </w:pPr>
      <w:r w:rsidRPr="0011467B">
        <w:rPr>
          <w:rFonts w:ascii="Verdana" w:eastAsia="Times New Roman" w:hAnsi="Verdana" w:cs="Arial"/>
          <w:lang w:eastAsia="es-CO"/>
        </w:rPr>
        <w:t>A</w:t>
      </w:r>
      <w:r w:rsidR="002133BC">
        <w:rPr>
          <w:rFonts w:ascii="Verdana" w:eastAsia="Times New Roman" w:hAnsi="Verdana" w:cs="Arial"/>
          <w:lang w:eastAsia="es-CO"/>
        </w:rPr>
        <w:t xml:space="preserve">tentamente, </w:t>
      </w:r>
    </w:p>
    <w:p w14:paraId="21818BCE" w14:textId="77777777" w:rsidR="00AC4349" w:rsidRPr="00377184" w:rsidRDefault="00AC4349" w:rsidP="00377184">
      <w:pPr>
        <w:shd w:val="clear" w:color="auto" w:fill="FFFFFF"/>
        <w:spacing w:after="120"/>
        <w:jc w:val="both"/>
        <w:rPr>
          <w:rFonts w:ascii="Verdana" w:eastAsia="Times New Roman" w:hAnsi="Verdana" w:cs="Times New Roman"/>
          <w:color w:val="333333"/>
          <w:sz w:val="21"/>
          <w:szCs w:val="21"/>
          <w:lang w:eastAsia="es-MX"/>
        </w:rPr>
      </w:pPr>
    </w:p>
    <w:p w14:paraId="4637F3FB" w14:textId="6D5F7A34" w:rsidR="00B7149B" w:rsidRPr="00EE6FCB" w:rsidRDefault="00B7149B" w:rsidP="00DD17E5">
      <w:pPr>
        <w:pStyle w:val="Prrafodelista"/>
        <w:spacing w:after="0"/>
        <w:ind w:left="709" w:right="709"/>
        <w:jc w:val="both"/>
        <w:rPr>
          <w:rFonts w:ascii="Verdana" w:hAnsi="Verdana" w:cs="Arial"/>
          <w:color w:val="000000" w:themeColor="text1"/>
        </w:rPr>
      </w:pPr>
    </w:p>
    <w:p w14:paraId="26712D59" w14:textId="77777777" w:rsidR="00C047BF" w:rsidRDefault="00C047BF" w:rsidP="00DD17E5">
      <w:pPr>
        <w:spacing w:after="0"/>
        <w:ind w:left="709" w:right="709"/>
        <w:jc w:val="both"/>
        <w:rPr>
          <w:rFonts w:ascii="Verdana" w:hAnsi="Verdana" w:cs="Arial"/>
          <w:color w:val="000000" w:themeColor="text1"/>
        </w:rPr>
      </w:pPr>
    </w:p>
    <w:p w14:paraId="59D959D2" w14:textId="659ED476" w:rsidR="003150DA" w:rsidRPr="003150DA" w:rsidRDefault="003150DA" w:rsidP="003150DA">
      <w:pPr>
        <w:spacing w:after="120"/>
        <w:ind w:left="360"/>
        <w:jc w:val="center"/>
        <w:rPr>
          <w:rFonts w:ascii="Verdana" w:hAnsi="Verdana" w:cs="Arial"/>
          <w:color w:val="000000" w:themeColor="text1"/>
        </w:rPr>
      </w:pPr>
      <w:r w:rsidRPr="003150DA">
        <w:rPr>
          <w:rFonts w:ascii="Verdana" w:hAnsi="Verdana" w:cs="Arial"/>
          <w:noProof/>
          <w:color w:val="000000" w:themeColor="text1"/>
        </w:rPr>
        <w:drawing>
          <wp:inline distT="0" distB="0" distL="0" distR="0" wp14:anchorId="4B1AAFDC" wp14:editId="608D9746">
            <wp:extent cx="3448050" cy="1480188"/>
            <wp:effectExtent l="0" t="0" r="0" b="5715"/>
            <wp:docPr id="3975250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5782" cy="1483507"/>
                    </a:xfrm>
                    <a:prstGeom prst="rect">
                      <a:avLst/>
                    </a:prstGeom>
                    <a:noFill/>
                    <a:ln>
                      <a:noFill/>
                    </a:ln>
                  </pic:spPr>
                </pic:pic>
              </a:graphicData>
            </a:graphic>
          </wp:inline>
        </w:drawing>
      </w:r>
    </w:p>
    <w:p w14:paraId="67F71C8F" w14:textId="77777777" w:rsidR="00FD00F0" w:rsidRPr="00292355" w:rsidRDefault="00FD00F0" w:rsidP="00FD00F0">
      <w:pPr>
        <w:spacing w:line="276" w:lineRule="auto"/>
        <w:jc w:val="center"/>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5053"/>
      </w:tblGrid>
      <w:tr w:rsidR="00FD00F0" w:rsidRPr="00F2110B" w14:paraId="0E139456" w14:textId="77777777" w:rsidTr="00AD72BB">
        <w:trPr>
          <w:trHeight w:val="286"/>
        </w:trPr>
        <w:tc>
          <w:tcPr>
            <w:tcW w:w="901" w:type="dxa"/>
            <w:vAlign w:val="center"/>
            <w:hideMark/>
          </w:tcPr>
          <w:p w14:paraId="0E0F9968"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Elaboró:</w:t>
            </w:r>
          </w:p>
        </w:tc>
        <w:tc>
          <w:tcPr>
            <w:tcW w:w="5053" w:type="dxa"/>
            <w:tcBorders>
              <w:top w:val="nil"/>
              <w:left w:val="nil"/>
              <w:bottom w:val="dotted" w:sz="4" w:space="0" w:color="7F7F7F"/>
              <w:right w:val="nil"/>
            </w:tcBorders>
            <w:vAlign w:val="center"/>
            <w:hideMark/>
          </w:tcPr>
          <w:p w14:paraId="077CDD23" w14:textId="372311FF" w:rsidR="00FD00F0" w:rsidRPr="00F2110B" w:rsidRDefault="00F2110B" w:rsidP="00041A67">
            <w:pPr>
              <w:rPr>
                <w:rFonts w:ascii="Verdana" w:eastAsia="Aptos" w:hAnsi="Verdana" w:cs="Arial"/>
                <w:sz w:val="16"/>
                <w:szCs w:val="16"/>
                <w:lang w:eastAsia="es-ES"/>
              </w:rPr>
            </w:pPr>
            <w:r>
              <w:rPr>
                <w:rFonts w:ascii="Verdana" w:eastAsia="Aptos" w:hAnsi="Verdana" w:cs="Arial"/>
                <w:sz w:val="16"/>
                <w:szCs w:val="16"/>
                <w:lang w:eastAsia="es-ES"/>
              </w:rPr>
              <w:t>Daniel Eduardo Rojas</w:t>
            </w:r>
            <w:r w:rsidR="00621D7A">
              <w:rPr>
                <w:rFonts w:ascii="Verdana" w:eastAsia="Aptos" w:hAnsi="Verdana" w:cs="Arial"/>
                <w:sz w:val="16"/>
                <w:szCs w:val="16"/>
                <w:lang w:eastAsia="es-ES"/>
              </w:rPr>
              <w:t xml:space="preserve"> Poveda</w:t>
            </w:r>
          </w:p>
          <w:p w14:paraId="5C3C3D96" w14:textId="7D816BB4" w:rsidR="00FD00F0" w:rsidRPr="00F2110B" w:rsidRDefault="00F2110B" w:rsidP="00041A67">
            <w:pPr>
              <w:rPr>
                <w:rFonts w:ascii="Verdana" w:eastAsia="Aptos" w:hAnsi="Verdana" w:cs="Arial"/>
                <w:sz w:val="16"/>
                <w:szCs w:val="16"/>
                <w:lang w:eastAsia="es-ES"/>
              </w:rPr>
            </w:pPr>
            <w:r>
              <w:rPr>
                <w:rFonts w:ascii="Verdana" w:eastAsia="Aptos" w:hAnsi="Verdana" w:cs="Arial"/>
                <w:sz w:val="16"/>
                <w:szCs w:val="16"/>
                <w:lang w:eastAsia="es-ES"/>
              </w:rPr>
              <w:t>Contratista</w:t>
            </w:r>
            <w:r w:rsidR="00FD00F0" w:rsidRPr="00F2110B">
              <w:rPr>
                <w:rFonts w:ascii="Verdana" w:eastAsia="Aptos" w:hAnsi="Verdana" w:cs="Arial"/>
                <w:sz w:val="16"/>
                <w:szCs w:val="16"/>
                <w:lang w:eastAsia="es-ES"/>
              </w:rPr>
              <w:t xml:space="preserve"> Subdirección de Gestión Contractual</w:t>
            </w:r>
          </w:p>
        </w:tc>
      </w:tr>
      <w:tr w:rsidR="00FD00F0" w:rsidRPr="00F2110B" w14:paraId="35AD1A60" w14:textId="77777777" w:rsidTr="00AD72BB">
        <w:trPr>
          <w:trHeight w:val="299"/>
        </w:trPr>
        <w:tc>
          <w:tcPr>
            <w:tcW w:w="901" w:type="dxa"/>
            <w:vAlign w:val="center"/>
          </w:tcPr>
          <w:p w14:paraId="202E6FDA"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Revisó:</w:t>
            </w:r>
          </w:p>
        </w:tc>
        <w:tc>
          <w:tcPr>
            <w:tcW w:w="5053" w:type="dxa"/>
            <w:tcBorders>
              <w:top w:val="dotted" w:sz="4" w:space="0" w:color="7F7F7F"/>
              <w:left w:val="nil"/>
              <w:bottom w:val="dotted" w:sz="4" w:space="0" w:color="7F7F7F"/>
              <w:right w:val="nil"/>
            </w:tcBorders>
            <w:vAlign w:val="center"/>
          </w:tcPr>
          <w:p w14:paraId="3085B20C"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Alejandro Sarmiento Cantillo</w:t>
            </w:r>
          </w:p>
          <w:p w14:paraId="140C4483"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Gestor T1- 15 de la Subdirección de Gestión Contractual</w:t>
            </w:r>
          </w:p>
        </w:tc>
      </w:tr>
      <w:tr w:rsidR="00FD00F0" w:rsidRPr="00F2110B" w14:paraId="4F00E2D0" w14:textId="77777777" w:rsidTr="00AD72BB">
        <w:trPr>
          <w:trHeight w:val="272"/>
        </w:trPr>
        <w:tc>
          <w:tcPr>
            <w:tcW w:w="901" w:type="dxa"/>
            <w:vAlign w:val="center"/>
            <w:hideMark/>
          </w:tcPr>
          <w:p w14:paraId="4CD9A4F9"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Aprobó:</w:t>
            </w:r>
          </w:p>
        </w:tc>
        <w:tc>
          <w:tcPr>
            <w:tcW w:w="5053" w:type="dxa"/>
            <w:tcBorders>
              <w:top w:val="dotted" w:sz="4" w:space="0" w:color="7F7F7F"/>
              <w:left w:val="nil"/>
              <w:bottom w:val="dotted" w:sz="4" w:space="0" w:color="7F7F7F"/>
              <w:right w:val="nil"/>
            </w:tcBorders>
            <w:vAlign w:val="center"/>
            <w:hideMark/>
          </w:tcPr>
          <w:p w14:paraId="549AC4F7"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Carolina Quintero Gacharná</w:t>
            </w:r>
          </w:p>
          <w:p w14:paraId="50830FC5" w14:textId="77777777" w:rsidR="00FD00F0" w:rsidRPr="00F2110B" w:rsidRDefault="00FD00F0" w:rsidP="00041A67">
            <w:pPr>
              <w:rPr>
                <w:rFonts w:ascii="Verdana" w:eastAsia="Aptos" w:hAnsi="Verdana" w:cs="Arial"/>
                <w:sz w:val="16"/>
                <w:szCs w:val="16"/>
                <w:lang w:eastAsia="es-ES"/>
              </w:rPr>
            </w:pPr>
            <w:r w:rsidRPr="00F2110B">
              <w:rPr>
                <w:rFonts w:ascii="Verdana" w:eastAsia="Aptos" w:hAnsi="Verdana" w:cs="Arial"/>
                <w:sz w:val="16"/>
                <w:szCs w:val="16"/>
                <w:lang w:eastAsia="es-ES"/>
              </w:rPr>
              <w:t>Subdirectora de Gestión Contractual ANCP – CCE</w:t>
            </w:r>
          </w:p>
        </w:tc>
      </w:tr>
    </w:tbl>
    <w:p w14:paraId="700A3521" w14:textId="77777777" w:rsidR="00FD00F0" w:rsidRPr="00292355" w:rsidRDefault="00FD00F0" w:rsidP="00FD00F0">
      <w:pPr>
        <w:spacing w:after="0" w:line="240" w:lineRule="auto"/>
        <w:rPr>
          <w:rFonts w:ascii="Verdana" w:eastAsia="Times New Roman" w:hAnsi="Verdana" w:cs="Arial"/>
          <w:sz w:val="24"/>
          <w:szCs w:val="24"/>
          <w:lang w:eastAsia="es-ES"/>
        </w:rPr>
      </w:pPr>
    </w:p>
    <w:p w14:paraId="52A51E96" w14:textId="77777777" w:rsidR="00FD00F0" w:rsidRPr="00292355" w:rsidRDefault="00FD00F0" w:rsidP="00FD00F0">
      <w:pPr>
        <w:rPr>
          <w:rFonts w:ascii="Aptos" w:eastAsia="Aptos" w:hAnsi="Aptos" w:cs="Arial"/>
        </w:rPr>
      </w:pPr>
    </w:p>
    <w:bookmarkEnd w:id="11"/>
    <w:p w14:paraId="4CCBBB99" w14:textId="4126E44F" w:rsidR="00114ED7" w:rsidRPr="00FD00F0" w:rsidRDefault="00114ED7" w:rsidP="00114ED7">
      <w:pPr>
        <w:pStyle w:val="Prrafodelista"/>
        <w:spacing w:after="0" w:line="240" w:lineRule="auto"/>
        <w:jc w:val="both"/>
        <w:textAlignment w:val="baseline"/>
        <w:rPr>
          <w:rFonts w:ascii="Verdana" w:hAnsi="Verdana"/>
          <w:lang w:val="es-CO"/>
        </w:rPr>
      </w:pPr>
    </w:p>
    <w:sectPr w:rsidR="00114ED7" w:rsidRPr="00FD00F0"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18430" w14:textId="77777777" w:rsidR="00A340A2" w:rsidRDefault="00A340A2" w:rsidP="004A1847">
      <w:pPr>
        <w:spacing w:after="0" w:line="240" w:lineRule="auto"/>
      </w:pPr>
      <w:r>
        <w:separator/>
      </w:r>
    </w:p>
  </w:endnote>
  <w:endnote w:type="continuationSeparator" w:id="0">
    <w:p w14:paraId="74C436C2" w14:textId="77777777" w:rsidR="00A340A2" w:rsidRDefault="00A340A2" w:rsidP="004A1847">
      <w:pPr>
        <w:spacing w:after="0" w:line="240" w:lineRule="auto"/>
      </w:pPr>
      <w:r>
        <w:continuationSeparator/>
      </w:r>
    </w:p>
  </w:endnote>
  <w:endnote w:type="continuationNotice" w:id="1">
    <w:p w14:paraId="0D388741" w14:textId="77777777" w:rsidR="00A340A2" w:rsidRDefault="00A340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7F10A" w14:textId="77777777" w:rsidR="00A340A2" w:rsidRDefault="00A340A2" w:rsidP="004A1847">
      <w:pPr>
        <w:spacing w:after="0" w:line="240" w:lineRule="auto"/>
      </w:pPr>
      <w:r>
        <w:separator/>
      </w:r>
    </w:p>
  </w:footnote>
  <w:footnote w:type="continuationSeparator" w:id="0">
    <w:p w14:paraId="3B03488E" w14:textId="77777777" w:rsidR="00A340A2" w:rsidRDefault="00A340A2" w:rsidP="004A1847">
      <w:pPr>
        <w:spacing w:after="0" w:line="240" w:lineRule="auto"/>
      </w:pPr>
      <w:r>
        <w:continuationSeparator/>
      </w:r>
    </w:p>
  </w:footnote>
  <w:footnote w:type="continuationNotice" w:id="1">
    <w:p w14:paraId="02FEF6EF" w14:textId="77777777" w:rsidR="00A340A2" w:rsidRDefault="00A340A2">
      <w:pPr>
        <w:spacing w:after="0" w:line="240" w:lineRule="auto"/>
      </w:pPr>
    </w:p>
  </w:footnote>
  <w:footnote w:id="2">
    <w:p w14:paraId="7FBBB8B2" w14:textId="77777777" w:rsidR="008A2385" w:rsidRDefault="003D0085" w:rsidP="00AD72BB">
      <w:pPr>
        <w:pStyle w:val="NormalWeb"/>
        <w:spacing w:after="0"/>
        <w:ind w:firstLine="708"/>
        <w:contextualSpacing/>
        <w:jc w:val="both"/>
        <w:rPr>
          <w:rFonts w:ascii="Verdana" w:hAnsi="Verdana" w:cs="Arial"/>
          <w:sz w:val="14"/>
          <w:szCs w:val="14"/>
        </w:rPr>
      </w:pPr>
      <w:r w:rsidRPr="008A2385">
        <w:rPr>
          <w:rStyle w:val="Refdenotaalpie"/>
          <w:rFonts w:ascii="Verdana" w:hAnsi="Verdana" w:cs="Arial"/>
          <w:sz w:val="14"/>
          <w:szCs w:val="14"/>
        </w:rPr>
        <w:footnoteRef/>
      </w:r>
      <w:r w:rsidRPr="008A2385">
        <w:rPr>
          <w:rFonts w:ascii="Verdana" w:hAnsi="Verdana" w:cs="Arial"/>
          <w:sz w:val="14"/>
          <w:szCs w:val="14"/>
        </w:rPr>
        <w:t xml:space="preserve"> </w:t>
      </w:r>
      <w:r w:rsidRPr="008A2385">
        <w:rPr>
          <w:rFonts w:ascii="Verdana" w:hAnsi="Verdana" w:cs="Arial"/>
          <w:sz w:val="14"/>
          <w:szCs w:val="14"/>
          <w:lang w:val="es-ES"/>
        </w:rPr>
        <w:t>“</w:t>
      </w:r>
      <w:r w:rsidRPr="008A2385">
        <w:rPr>
          <w:rFonts w:ascii="Verdana" w:hAnsi="Verdana" w:cs="Arial"/>
          <w:sz w:val="14"/>
          <w:szCs w:val="14"/>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36D31C91" w14:textId="14BF08A7" w:rsidR="003D0085" w:rsidRPr="008A2385" w:rsidRDefault="003D0085" w:rsidP="008A2385">
      <w:pPr>
        <w:pStyle w:val="NormalWeb"/>
        <w:spacing w:after="0"/>
        <w:contextualSpacing/>
        <w:jc w:val="both"/>
        <w:rPr>
          <w:rFonts w:ascii="Verdana" w:hAnsi="Verdana" w:cs="Arial"/>
          <w:sz w:val="14"/>
          <w:szCs w:val="14"/>
        </w:rPr>
      </w:pPr>
      <w:r w:rsidRPr="008A2385">
        <w:rPr>
          <w:rFonts w:ascii="Verdana" w:hAnsi="Verdana"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BFBAE3B" w14:textId="77777777" w:rsidR="003D0085" w:rsidRPr="00B208E1" w:rsidRDefault="003D0085" w:rsidP="003D0085">
      <w:pPr>
        <w:spacing w:after="0" w:line="240" w:lineRule="auto"/>
        <w:ind w:firstLine="709"/>
        <w:contextualSpacing/>
        <w:jc w:val="both"/>
        <w:rPr>
          <w:rFonts w:ascii="Arial" w:hAnsi="Arial" w:cs="Arial"/>
          <w:sz w:val="14"/>
          <w:szCs w:val="14"/>
        </w:rPr>
      </w:pPr>
    </w:p>
  </w:footnote>
  <w:footnote w:id="3">
    <w:p w14:paraId="6157F92E" w14:textId="77777777" w:rsidR="003D0085" w:rsidRPr="00B208E1" w:rsidRDefault="003D0085" w:rsidP="00AD72BB">
      <w:pPr>
        <w:pStyle w:val="NormalWeb"/>
        <w:spacing w:before="0" w:beforeAutospacing="0" w:after="0"/>
        <w:ind w:firstLine="709"/>
        <w:contextualSpacing/>
        <w:jc w:val="both"/>
        <w:rPr>
          <w:rFonts w:ascii="Arial" w:hAnsi="Arial" w:cs="Arial"/>
          <w:sz w:val="14"/>
          <w:szCs w:val="14"/>
          <w:lang w:val="es-ES"/>
        </w:rPr>
      </w:pPr>
      <w:r w:rsidRPr="00B208E1">
        <w:rPr>
          <w:rStyle w:val="Refdenotaalpie"/>
          <w:rFonts w:ascii="Arial" w:hAnsi="Arial" w:cs="Arial"/>
          <w:sz w:val="14"/>
          <w:szCs w:val="14"/>
        </w:rPr>
        <w:footnoteRef/>
      </w:r>
      <w:r w:rsidRPr="00B208E1">
        <w:rPr>
          <w:rStyle w:val="Refdenotaalpie"/>
          <w:rFonts w:ascii="Arial" w:hAnsi="Arial" w:cs="Arial"/>
          <w:sz w:val="14"/>
          <w:szCs w:val="14"/>
        </w:rPr>
        <w:t xml:space="preserve"> “</w:t>
      </w:r>
      <w:r w:rsidRPr="00B208E1">
        <w:rPr>
          <w:rFonts w:ascii="Arial" w:hAnsi="Arial" w:cs="Arial"/>
          <w:sz w:val="14"/>
          <w:szCs w:val="14"/>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6FF3B32" w14:textId="77777777" w:rsidR="003D0085" w:rsidRPr="00B208E1" w:rsidRDefault="003D0085" w:rsidP="003D0085">
      <w:pPr>
        <w:pStyle w:val="NormalWeb"/>
        <w:spacing w:after="0"/>
        <w:ind w:firstLine="709"/>
        <w:contextualSpacing/>
        <w:jc w:val="both"/>
        <w:rPr>
          <w:rFonts w:ascii="Arial" w:hAnsi="Arial" w:cs="Arial"/>
          <w:sz w:val="14"/>
          <w:szCs w:val="14"/>
          <w:lang w:val="es-ES"/>
        </w:rPr>
      </w:pPr>
      <w:r w:rsidRPr="00B208E1">
        <w:rPr>
          <w:rFonts w:ascii="Arial" w:hAnsi="Arial" w:cs="Arial"/>
          <w:sz w:val="14"/>
          <w:szCs w:val="14"/>
          <w:lang w:val="es-ES"/>
        </w:rPr>
        <w:t>Parágrafo Transitorio. </w:t>
      </w:r>
      <w:hyperlink r:id="rId1" w:tgtFrame="_blank" w:history="1">
        <w:r>
          <w:t>https://colaboracion.dnp.gov.co/CDT/Normatividad/DECRETO 579 DEL 31 DE MAYO DE 2021.pdf</w:t>
        </w:r>
      </w:hyperlink>
      <w:r w:rsidRPr="00B208E1">
        <w:rPr>
          <w:rFonts w:ascii="Arial" w:hAnsi="Arial" w:cs="Arial"/>
          <w:sz w:val="14"/>
          <w:szCs w:val="14"/>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088EACB5" w14:textId="77777777" w:rsidR="003D0085" w:rsidRPr="00B208E1" w:rsidRDefault="003D0085" w:rsidP="003D0085">
      <w:pPr>
        <w:pStyle w:val="NormalWeb"/>
        <w:spacing w:after="0"/>
        <w:ind w:firstLine="709"/>
        <w:contextualSpacing/>
        <w:jc w:val="both"/>
        <w:rPr>
          <w:rFonts w:ascii="Arial" w:hAnsi="Arial" w:cs="Arial"/>
          <w:sz w:val="14"/>
          <w:szCs w:val="14"/>
          <w:lang w:val="es-ES"/>
        </w:rPr>
      </w:pPr>
      <w:r w:rsidRPr="00B208E1">
        <w:rPr>
          <w:rFonts w:ascii="Arial" w:hAnsi="Arial" w:cs="Arial"/>
          <w:sz w:val="14"/>
          <w:szCs w:val="14"/>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índicadores, teniendo en cuenta el mejor año fiscal que se refleje en el regístro de cada proponente​.</w:t>
      </w:r>
    </w:p>
    <w:p w14:paraId="6484506D" w14:textId="77777777" w:rsidR="003D0085" w:rsidRPr="00B208E1" w:rsidRDefault="003D0085" w:rsidP="003D0085">
      <w:pPr>
        <w:pStyle w:val="NormalWeb"/>
        <w:spacing w:after="0"/>
        <w:ind w:firstLine="709"/>
        <w:contextualSpacing/>
        <w:jc w:val="both"/>
        <w:rPr>
          <w:rFonts w:ascii="Arial" w:hAnsi="Arial" w:cs="Arial"/>
          <w:sz w:val="14"/>
          <w:szCs w:val="14"/>
          <w:lang w:val="es-ES"/>
        </w:rPr>
      </w:pPr>
    </w:p>
    <w:p w14:paraId="430E5A09" w14:textId="77777777" w:rsidR="003D0085" w:rsidRPr="00B208E1" w:rsidRDefault="003D0085" w:rsidP="003D0085">
      <w:pPr>
        <w:pStyle w:val="NormalWeb"/>
        <w:spacing w:after="0"/>
        <w:ind w:firstLine="709"/>
        <w:contextualSpacing/>
        <w:jc w:val="both"/>
        <w:rPr>
          <w:rStyle w:val="Refdenotaalpie"/>
          <w:rFonts w:ascii="Arial" w:hAnsi="Arial" w:cs="Arial"/>
          <w:sz w:val="14"/>
          <w:szCs w:val="14"/>
        </w:rPr>
      </w:pPr>
    </w:p>
  </w:footnote>
  <w:footnote w:id="4">
    <w:p w14:paraId="18A0EF74" w14:textId="77777777" w:rsidR="003D0085" w:rsidRPr="00B208E1" w:rsidRDefault="003D0085" w:rsidP="00AD72BB">
      <w:pPr>
        <w:pStyle w:val="Textonotapie"/>
        <w:ind w:firstLine="708"/>
        <w:contextualSpacing/>
        <w:jc w:val="both"/>
        <w:rPr>
          <w:rFonts w:ascii="Arial" w:hAnsi="Arial" w:cs="Arial"/>
          <w:sz w:val="14"/>
          <w:szCs w:val="14"/>
        </w:rPr>
      </w:pPr>
      <w:r w:rsidRPr="00B208E1">
        <w:rPr>
          <w:rStyle w:val="Refdenotaalpie"/>
          <w:rFonts w:ascii="Arial" w:hAnsi="Arial" w:cs="Arial"/>
          <w:sz w:val="14"/>
          <w:szCs w:val="14"/>
        </w:rPr>
        <w:footnoteRef/>
      </w:r>
      <w:r w:rsidRPr="00B208E1">
        <w:rPr>
          <w:rFonts w:ascii="Arial" w:hAnsi="Arial" w:cs="Arial"/>
          <w:sz w:val="14"/>
          <w:szCs w:val="14"/>
        </w:rPr>
        <w:t xml:space="preserve"> Ley 1150 de 2007: “Artículo 6. De la verificación de las condiciones de los proponentes.</w:t>
      </w:r>
    </w:p>
    <w:p w14:paraId="710EE2FE"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w:t>
      </w:r>
    </w:p>
    <w:p w14:paraId="632730C5"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“6.1. […]</w:t>
      </w:r>
    </w:p>
    <w:p w14:paraId="7186D133"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C149759" w14:textId="77777777" w:rsidR="003D0085" w:rsidRPr="00B208E1" w:rsidRDefault="003D0085" w:rsidP="00A64A25">
      <w:pPr>
        <w:pStyle w:val="Textonotapie"/>
        <w:contextualSpacing/>
        <w:jc w:val="both"/>
        <w:rPr>
          <w:rFonts w:ascii="Arial" w:hAnsi="Arial" w:cs="Arial"/>
          <w:sz w:val="14"/>
          <w:szCs w:val="14"/>
          <w:lang w:eastAsia="es-CO"/>
        </w:rPr>
      </w:pPr>
      <w:r w:rsidRPr="00B208E1">
        <w:rPr>
          <w:rFonts w:ascii="Arial" w:hAnsi="Arial" w:cs="Arial"/>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CFF1B0F"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w:t>
      </w:r>
    </w:p>
    <w:p w14:paraId="01BDCD3E" w14:textId="77777777" w:rsidR="003D0085" w:rsidRPr="00B208E1" w:rsidRDefault="003D0085" w:rsidP="00A64A25">
      <w:pPr>
        <w:pStyle w:val="Textonotapie"/>
        <w:contextualSpacing/>
        <w:jc w:val="both"/>
        <w:rPr>
          <w:rFonts w:ascii="Arial" w:hAnsi="Arial" w:cs="Arial"/>
          <w:sz w:val="14"/>
          <w:szCs w:val="14"/>
          <w:lang w:val="es-ES"/>
        </w:rPr>
      </w:pPr>
    </w:p>
  </w:footnote>
  <w:footnote w:id="5">
    <w:p w14:paraId="69777F3D"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Style w:val="Refdenotaalpie"/>
          <w:rFonts w:ascii="Arial" w:hAnsi="Arial" w:cs="Arial"/>
          <w:sz w:val="14"/>
          <w:szCs w:val="14"/>
        </w:rPr>
        <w:footnoteRef/>
      </w:r>
      <w:r w:rsidRPr="00B208E1">
        <w:rPr>
          <w:rFonts w:ascii="Arial" w:hAnsi="Arial" w:cs="Arial"/>
          <w:sz w:val="14"/>
          <w:szCs w:val="14"/>
        </w:rPr>
        <w:t xml:space="preserve"> Ley 1150 de 2007: “Artículo 5. De la selección objetiva.</w:t>
      </w:r>
      <w:r w:rsidRPr="00B208E1">
        <w:rPr>
          <w:rFonts w:ascii="Arial" w:hAnsi="Arial" w:cs="Arial"/>
          <w:sz w:val="14"/>
          <w:szCs w:val="14"/>
          <w:lang w:eastAsia="es-CO"/>
        </w:rPr>
        <w:t xml:space="preserve"> </w:t>
      </w:r>
    </w:p>
    <w:p w14:paraId="28593E73"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w:t>
      </w:r>
    </w:p>
    <w:p w14:paraId="02BD92DB" w14:textId="77777777" w:rsidR="003D0085" w:rsidRPr="00B208E1" w:rsidRDefault="003D0085" w:rsidP="00AD72BB">
      <w:pPr>
        <w:pStyle w:val="Textonotapie"/>
        <w:ind w:firstLine="708"/>
        <w:contextualSpacing/>
        <w:jc w:val="both"/>
        <w:rPr>
          <w:rFonts w:ascii="Arial" w:hAnsi="Arial" w:cs="Arial"/>
          <w:sz w:val="14"/>
          <w:szCs w:val="14"/>
          <w:lang w:val="es-ES"/>
        </w:rPr>
      </w:pPr>
      <w:r w:rsidRPr="00B208E1">
        <w:rPr>
          <w:rFonts w:ascii="Arial" w:hAnsi="Arial" w:cs="Arial"/>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DB77D34" w14:textId="77777777" w:rsidR="003D0085" w:rsidRPr="00B208E1" w:rsidRDefault="003D0085" w:rsidP="00A64A25">
      <w:pPr>
        <w:pStyle w:val="Textonotapie"/>
        <w:contextualSpacing/>
        <w:jc w:val="both"/>
        <w:rPr>
          <w:rFonts w:ascii="Arial" w:hAnsi="Arial" w:cs="Arial"/>
          <w:sz w:val="14"/>
          <w:szCs w:val="14"/>
          <w:lang w:val="es-ES"/>
        </w:rPr>
      </w:pPr>
    </w:p>
  </w:footnote>
  <w:footnote w:id="6">
    <w:p w14:paraId="434AFCB9" w14:textId="77777777" w:rsidR="003D0085" w:rsidRPr="00B208E1" w:rsidRDefault="003D0085" w:rsidP="00AD72BB">
      <w:pPr>
        <w:pStyle w:val="Textonotapie"/>
        <w:ind w:firstLine="708"/>
        <w:contextualSpacing/>
        <w:jc w:val="both"/>
        <w:rPr>
          <w:rFonts w:ascii="Arial" w:hAnsi="Arial" w:cs="Arial"/>
          <w:sz w:val="14"/>
          <w:szCs w:val="14"/>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2ECE24F7" w14:textId="77777777" w:rsidR="003D0085" w:rsidRPr="00B208E1" w:rsidRDefault="003D0085" w:rsidP="003D0085">
      <w:pPr>
        <w:pStyle w:val="Textonotapie"/>
        <w:ind w:firstLine="709"/>
        <w:contextualSpacing/>
        <w:jc w:val="both"/>
        <w:rPr>
          <w:rFonts w:ascii="Arial" w:hAnsi="Arial" w:cs="Arial"/>
          <w:sz w:val="14"/>
          <w:szCs w:val="14"/>
          <w:lang w:val="es-ES"/>
        </w:rPr>
      </w:pPr>
    </w:p>
  </w:footnote>
  <w:footnote w:id="7">
    <w:p w14:paraId="356CF6D1"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eastAsia="es-CO"/>
        </w:rPr>
        <w:t xml:space="preserve">Ley 1150 de 2007: “Artículo 6.  De la verificación de las condiciones de los proponentes. </w:t>
      </w:r>
    </w:p>
    <w:p w14:paraId="304576A9"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 xml:space="preserve">[...] </w:t>
      </w:r>
    </w:p>
    <w:p w14:paraId="73E5F6DA"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83BF1A5"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Fonts w:ascii="Arial" w:hAnsi="Arial" w:cs="Arial"/>
          <w:sz w:val="14"/>
          <w:szCs w:val="14"/>
          <w:lang w:eastAsia="es-CO"/>
        </w:rPr>
        <w:t xml:space="preserve">[...]”. </w:t>
      </w:r>
    </w:p>
    <w:p w14:paraId="0EB228E0" w14:textId="77777777" w:rsidR="003D0085" w:rsidRPr="00B208E1" w:rsidRDefault="003D0085" w:rsidP="00F56FA3">
      <w:pPr>
        <w:pStyle w:val="Textonotapie"/>
        <w:contextualSpacing/>
        <w:jc w:val="both"/>
        <w:rPr>
          <w:rFonts w:ascii="Arial" w:hAnsi="Arial" w:cs="Arial"/>
          <w:sz w:val="14"/>
          <w:szCs w:val="14"/>
        </w:rPr>
      </w:pPr>
    </w:p>
  </w:footnote>
  <w:footnote w:id="8">
    <w:p w14:paraId="63D6DC5C" w14:textId="77777777" w:rsidR="003D0085" w:rsidRPr="00B208E1" w:rsidRDefault="003D0085" w:rsidP="00AD72BB">
      <w:pPr>
        <w:pStyle w:val="Textonotapie"/>
        <w:ind w:firstLine="708"/>
        <w:contextualSpacing/>
        <w:jc w:val="both"/>
        <w:rPr>
          <w:rFonts w:ascii="Arial" w:hAnsi="Arial" w:cs="Arial"/>
          <w:sz w:val="14"/>
          <w:szCs w:val="14"/>
          <w:lang w:eastAsia="es-CO"/>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4D09E19" w14:textId="77777777" w:rsidR="003D0085" w:rsidRPr="00B208E1" w:rsidRDefault="003D0085" w:rsidP="003D0085">
      <w:pPr>
        <w:pStyle w:val="Textonotapie"/>
        <w:ind w:firstLine="709"/>
        <w:contextualSpacing/>
        <w:jc w:val="both"/>
        <w:rPr>
          <w:rFonts w:ascii="Arial" w:hAnsi="Arial" w:cs="Arial"/>
          <w:sz w:val="14"/>
          <w:szCs w:val="14"/>
          <w:lang w:eastAsia="es-CO"/>
        </w:rPr>
      </w:pPr>
    </w:p>
  </w:footnote>
  <w:footnote w:id="9">
    <w:p w14:paraId="124DF569" w14:textId="77777777" w:rsidR="003D0085" w:rsidRPr="00B208E1" w:rsidRDefault="003D0085" w:rsidP="00AD72BB">
      <w:pPr>
        <w:pStyle w:val="Textonotapie"/>
        <w:ind w:firstLine="708"/>
        <w:contextualSpacing/>
        <w:jc w:val="both"/>
        <w:rPr>
          <w:rFonts w:ascii="Arial" w:hAnsi="Arial" w:cs="Arial"/>
          <w:color w:val="000000" w:themeColor="text1"/>
          <w:sz w:val="14"/>
          <w:szCs w:val="14"/>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Corte Constitucional. Sala Plena. Sentencia C 178 de 29 de abril de 1996. Magistrado Ponente: Antonio Barrera Carbonell. Expediente No. D-974. </w:t>
      </w:r>
    </w:p>
    <w:p w14:paraId="53CC65D4" w14:textId="77777777" w:rsidR="003D0085" w:rsidRPr="00B208E1" w:rsidRDefault="003D0085" w:rsidP="00F56FA3">
      <w:pPr>
        <w:pStyle w:val="Textonotapie"/>
        <w:contextualSpacing/>
        <w:jc w:val="both"/>
        <w:rPr>
          <w:rFonts w:ascii="Arial" w:hAnsi="Arial" w:cs="Arial"/>
          <w:color w:val="000000" w:themeColor="text1"/>
          <w:sz w:val="14"/>
          <w:szCs w:val="14"/>
          <w:lang w:val="es-CO"/>
        </w:rPr>
      </w:pPr>
    </w:p>
  </w:footnote>
  <w:footnote w:id="10">
    <w:p w14:paraId="636B680E" w14:textId="77777777" w:rsidR="003D0085" w:rsidRPr="00B208E1" w:rsidRDefault="003D0085" w:rsidP="00AD72BB">
      <w:pPr>
        <w:spacing w:after="0" w:line="240" w:lineRule="auto"/>
        <w:ind w:firstLine="408"/>
        <w:contextualSpacing/>
        <w:jc w:val="both"/>
        <w:rPr>
          <w:rFonts w:ascii="Arial" w:hAnsi="Arial" w:cs="Arial"/>
          <w:color w:val="000000" w:themeColor="text1"/>
          <w:sz w:val="14"/>
          <w:szCs w:val="14"/>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“Artículo 6o. De la capacidad para contratar. Pueden celebrar contratos con las entidades estatales las personas consideradas legalmente capaces en las disposiciones vigentes”.</w:t>
      </w:r>
    </w:p>
    <w:p w14:paraId="2A83CC76" w14:textId="77777777" w:rsidR="003D0085" w:rsidRPr="00B208E1" w:rsidRDefault="003D0085" w:rsidP="003D0085">
      <w:pPr>
        <w:pStyle w:val="Textonotapie"/>
        <w:contextualSpacing/>
        <w:jc w:val="both"/>
        <w:rPr>
          <w:rFonts w:ascii="Arial" w:hAnsi="Arial" w:cs="Arial"/>
          <w:color w:val="000000" w:themeColor="text1"/>
          <w:sz w:val="14"/>
          <w:szCs w:val="14"/>
        </w:rPr>
      </w:pPr>
    </w:p>
  </w:footnote>
  <w:footnote w:id="11">
    <w:p w14:paraId="1D478982" w14:textId="77777777" w:rsidR="003D0085" w:rsidRPr="00B208E1" w:rsidRDefault="003D0085" w:rsidP="003D0085">
      <w:pPr>
        <w:pStyle w:val="Textonotapie"/>
        <w:ind w:firstLine="408"/>
        <w:contextualSpacing/>
        <w:jc w:val="both"/>
        <w:rPr>
          <w:rFonts w:ascii="Arial" w:hAnsi="Arial" w:cs="Arial"/>
          <w:color w:val="000000" w:themeColor="text1"/>
          <w:sz w:val="14"/>
          <w:szCs w:val="14"/>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Consejo de Estado. Sala de Consulta y Servicio Civil. Consejero Ponente: Álvaro Namén Vargas. Bogotá, 10 de agosto de 2015. Radicación número: 11001-03-06-000-2015-00118-00(2.260).</w:t>
      </w:r>
    </w:p>
    <w:p w14:paraId="5C73145F" w14:textId="77777777" w:rsidR="003D0085" w:rsidRPr="00B208E1" w:rsidRDefault="003D0085" w:rsidP="003D0085">
      <w:pPr>
        <w:pStyle w:val="Textonotapie"/>
        <w:ind w:firstLine="408"/>
        <w:contextualSpacing/>
        <w:jc w:val="both"/>
        <w:rPr>
          <w:rFonts w:ascii="Arial" w:hAnsi="Arial" w:cs="Arial"/>
          <w:color w:val="000000" w:themeColor="text1"/>
          <w:sz w:val="14"/>
          <w:szCs w:val="14"/>
          <w:lang w:val="es-CO"/>
        </w:rPr>
      </w:pPr>
    </w:p>
  </w:footnote>
  <w:footnote w:id="12">
    <w:p w14:paraId="45E159AD" w14:textId="77777777" w:rsidR="003D0085" w:rsidRPr="00B208E1" w:rsidRDefault="003D0085" w:rsidP="00AD72BB">
      <w:pPr>
        <w:pStyle w:val="Textonotapie"/>
        <w:ind w:firstLine="408"/>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w:t>
      </w:r>
      <w:r w:rsidRPr="00B208E1">
        <w:rPr>
          <w:rFonts w:ascii="Arial" w:hAnsi="Arial" w:cs="Arial"/>
          <w:color w:val="000000" w:themeColor="text1"/>
          <w:sz w:val="14"/>
          <w:szCs w:val="14"/>
          <w:lang w:val="es-ES"/>
        </w:rPr>
        <w:t>Esta norma establece: “Con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713A2187" w14:textId="77777777" w:rsidR="003D0085" w:rsidRPr="00B208E1" w:rsidRDefault="003D0085" w:rsidP="00F56FA3">
      <w:pPr>
        <w:pStyle w:val="Textonotapie"/>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5E253685" w14:textId="77777777" w:rsidR="003D0085" w:rsidRPr="00B208E1" w:rsidRDefault="003D0085" w:rsidP="00F56FA3">
      <w:pPr>
        <w:pStyle w:val="Textonotapie"/>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p>
    <w:p w14:paraId="54A97D88" w14:textId="77777777" w:rsidR="003D0085" w:rsidRPr="00B208E1" w:rsidRDefault="003D0085" w:rsidP="00F56FA3">
      <w:pPr>
        <w:pStyle w:val="Textonotapie"/>
        <w:contextualSpacing/>
        <w:jc w:val="both"/>
        <w:rPr>
          <w:rFonts w:ascii="Arial" w:hAnsi="Arial" w:cs="Arial"/>
          <w:color w:val="000000" w:themeColor="text1"/>
          <w:sz w:val="14"/>
          <w:szCs w:val="14"/>
        </w:rPr>
      </w:pPr>
    </w:p>
  </w:footnote>
  <w:footnote w:id="13">
    <w:p w14:paraId="0541B5DB" w14:textId="77777777" w:rsidR="003D0085" w:rsidRPr="00B208E1" w:rsidRDefault="003D0085" w:rsidP="00AD72BB">
      <w:pPr>
        <w:pStyle w:val="Textonotapie"/>
        <w:ind w:firstLine="708"/>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Según esta disposición: </w:t>
      </w:r>
      <w:r w:rsidRPr="00B208E1">
        <w:rPr>
          <w:rFonts w:ascii="Arial" w:hAnsi="Arial" w:cs="Arial"/>
          <w:color w:val="000000" w:themeColor="text1"/>
          <w:sz w:val="14"/>
          <w:szCs w:val="14"/>
          <w:lang w:val="es-ES"/>
        </w:rPr>
        <w:t>“Al Registro Único Empresarial (RUE) de que trata el artículo 11 de la Ley 590 de 2000, que integró el Registro Mercantil y el Registro Único de Proponentes, se incorporarán e integrarán las operaciones del Registro de Entidades sin Ánimo de Lucro creado por el Decreto 2150 de 1995, del Registro Nacional Público de las personas naturales y jurídicas que ejerzan la actividad de vendedores de Juegos de Suerte y Azar de que trata la Ley 643 de 2001, del Registro Público de Veedurías Ciudadanas de que trata la Ley 850 de 2003, del Registro Nacional de Turismo de que trata la Ley 1101 de 2006, del Registro de Entidades Extranjeras de Derecho Privado sin Ánimo de Lucro con domicilio en el exterior que establezcan negocios permanentes en Colombia de que trata el Decreto 2893 de 2011, y del Registro de la Economía Solidaria de que trata la Ley 454 de 1998, que en lo sucesivo se denominará Registro Único Empresarial y Social -RUES-, el cual será administrado por las Cámaras de Comercio atendiendo a criterios de eficiencia, economía y buena fe, para brindar al Estado, a la sociedad en general, a los empresarios, a los contratistas, a las entidades de economía solidaria y a las entidades sin ánimo de lucro una herramienta confiable de información unificada tanto en el orden nacional como en el internacional.</w:t>
      </w:r>
    </w:p>
    <w:p w14:paraId="44EA582B" w14:textId="77777777" w:rsidR="003D0085" w:rsidRPr="00B208E1" w:rsidRDefault="003D0085" w:rsidP="00AD72BB">
      <w:pPr>
        <w:pStyle w:val="Textonotapie"/>
        <w:ind w:firstLine="708"/>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“Con el objeto de mantener la actualización del registro y garantizar la eficacia del mismo, la inscripción en los registros que integran el Registro Único Empresarial y Social, y el titular del registro renovará anualmente dentro de los tres primeros meses de cada año. El organismo que ejerza el control y vigilancia de las cámaras de comercio establecerá los formatos y la información requerida para inscripción en el registro y la renovación de la misma. Los registros mercantil y de proponentes continuarán renovándose de acuerdo con las reglas vigentes.</w:t>
      </w:r>
    </w:p>
    <w:p w14:paraId="6D4539A4" w14:textId="77777777" w:rsidR="003D0085" w:rsidRPr="00B208E1" w:rsidRDefault="003D0085" w:rsidP="00F56FA3">
      <w:pPr>
        <w:pStyle w:val="Textonotapie"/>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“El organismo que ejerza el control y vigilancia de las cámaras de comercio regulará la integración e implementación del Registro Único Empresarial y Social, garantizando que, específicamente, se reduzcan los trámites, requisitos e información a cargo de todos los usuarios de los registros públicos y que todas las gestiones se puedan adelantar, además, por internet y otras formas electrónicas. La regulación que realice la autoridad competente deberá, en todo caso, hacerse en armonía con las disposiciones estatutarias y con las contenidas en códigos, respecto de los registros de que trata el presente artículo.</w:t>
      </w:r>
    </w:p>
    <w:p w14:paraId="13C1487C" w14:textId="77777777" w:rsidR="003D0085" w:rsidRPr="00B208E1" w:rsidRDefault="003D0085" w:rsidP="00AD72BB">
      <w:pPr>
        <w:pStyle w:val="Textonotapie"/>
        <w:ind w:firstLine="708"/>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“Los derechos por la prestación de los servicios registrales serán los previstos por la ley para el registro mercantil, el registro único de proponentes y el registro de entidades sin ánimo de lucro, según el caso. Las Cámaras de Comercio no podrán cobrar derechos de inscripción y renovación sobre los registros que se le trasladan en virtud del presente decreto-ley y que a la vigencia del mismo no los causan.</w:t>
      </w:r>
    </w:p>
    <w:p w14:paraId="790672EB" w14:textId="77777777" w:rsidR="003D0085" w:rsidRPr="00B208E1" w:rsidRDefault="003D0085" w:rsidP="00AD72BB">
      <w:pPr>
        <w:pStyle w:val="Textonotapie"/>
        <w:ind w:firstLine="708"/>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“Los ingresos provenientes de los registros públicos y los bienes adquiridos con éstos, continuarán afectos a las funciones atribuidas a las Cámaras de Comercio por la ley o por el Gobierno Nacional en aplicación del numeral 12 del artículo 86 del Código de Comercio. En ningún caso los recursos de origen público podrán destinarse para sufragar operaciones o gastos privados de las Cámaras de Comercio. Los registros públicos que se le trasladan a las Cámaras de Comercio serán asumidos por éstas a partir del primero (1o.) de marzo de 2012”.</w:t>
      </w:r>
    </w:p>
    <w:p w14:paraId="07739238" w14:textId="77777777" w:rsidR="003D0085" w:rsidRPr="00B208E1" w:rsidRDefault="003D0085" w:rsidP="00F56FA3">
      <w:pPr>
        <w:pStyle w:val="Textonotapie"/>
        <w:contextualSpacing/>
        <w:jc w:val="both"/>
        <w:rPr>
          <w:rFonts w:ascii="Arial" w:hAnsi="Arial" w:cs="Arial"/>
          <w:color w:val="000000" w:themeColor="text1"/>
          <w:sz w:val="14"/>
          <w:szCs w:val="14"/>
        </w:rPr>
      </w:pPr>
    </w:p>
  </w:footnote>
  <w:footnote w:id="14">
    <w:p w14:paraId="77BD10BC" w14:textId="77777777" w:rsidR="003D0085" w:rsidRPr="00B208E1" w:rsidRDefault="003D0085" w:rsidP="00F56FA3">
      <w:pPr>
        <w:pStyle w:val="Textonotapie"/>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w:t>
      </w:r>
      <w:r w:rsidRPr="00B208E1">
        <w:rPr>
          <w:rFonts w:ascii="Arial" w:hAnsi="Arial" w:cs="Arial"/>
          <w:color w:val="000000" w:themeColor="text1"/>
          <w:sz w:val="14"/>
          <w:szCs w:val="14"/>
          <w:lang w:val="es-ES"/>
        </w:rPr>
        <w:t>Esta norma establece: “Con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2B37E473" w14:textId="77777777" w:rsidR="003D0085" w:rsidRPr="00B208E1" w:rsidRDefault="003D0085" w:rsidP="00F56FA3">
      <w:pPr>
        <w:pStyle w:val="Textonotapie"/>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1A43D5D7" w14:textId="77777777" w:rsidR="003D0085" w:rsidRPr="00B208E1" w:rsidRDefault="003D0085" w:rsidP="00F56FA3">
      <w:pPr>
        <w:pStyle w:val="Textonotapie"/>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p>
    <w:p w14:paraId="376F4637" w14:textId="77777777" w:rsidR="003D0085" w:rsidRPr="00B208E1" w:rsidRDefault="003D0085" w:rsidP="003D0085">
      <w:pPr>
        <w:pStyle w:val="Textonotapie"/>
        <w:ind w:firstLine="709"/>
        <w:contextualSpacing/>
        <w:jc w:val="both"/>
        <w:rPr>
          <w:rFonts w:ascii="Arial" w:hAnsi="Arial"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0ED839C7" w14:textId="77777777" w:rsidR="008C70EE" w:rsidRDefault="008C70EE" w:rsidP="00B01B1A">
    <w:pPr>
      <w:spacing w:after="0" w:line="120" w:lineRule="auto"/>
      <w:rPr>
        <w:rFonts w:ascii="Century Gothic" w:eastAsia="Geo" w:hAnsi="Century Gothic" w:cs="Geo"/>
        <w:sz w:val="16"/>
        <w:szCs w:val="16"/>
        <w:lang w:eastAsia="es-CO"/>
      </w:rPr>
    </w:pPr>
  </w:p>
  <w:p w14:paraId="59E42C5E" w14:textId="77777777" w:rsidR="008C70EE" w:rsidRPr="004A305D" w:rsidRDefault="008C70EE"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72B74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48847183" o:spid="_x0000_i1025" type="#_x0000_t75" style="width:11.25pt;height:11.25pt;visibility:visible;mso-wrap-style:square">
            <v:imagedata r:id="rId1" o:title=""/>
          </v:shape>
        </w:pict>
      </mc:Choice>
      <mc:Fallback>
        <w:drawing>
          <wp:inline distT="0" distB="0" distL="0" distR="0" wp14:anchorId="7A699C13">
            <wp:extent cx="142875" cy="142875"/>
            <wp:effectExtent l="0" t="0" r="0" b="0"/>
            <wp:docPr id="1148847183" name="Imagen 114884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6C391C"/>
    <w:multiLevelType w:val="hybridMultilevel"/>
    <w:tmpl w:val="515A78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5BB09EA"/>
    <w:multiLevelType w:val="hybridMultilevel"/>
    <w:tmpl w:val="D008379C"/>
    <w:lvl w:ilvl="0" w:tplc="F0C2F3A2">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F0E01D5"/>
    <w:multiLevelType w:val="hybridMultilevel"/>
    <w:tmpl w:val="168A3486"/>
    <w:lvl w:ilvl="0" w:tplc="E6945C7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E73EB6"/>
    <w:multiLevelType w:val="hybridMultilevel"/>
    <w:tmpl w:val="3E2ECB50"/>
    <w:lvl w:ilvl="0" w:tplc="240A0001">
      <w:start w:val="1"/>
      <w:numFmt w:val="bullet"/>
      <w:lvlText w:val=""/>
      <w:lvlJc w:val="left"/>
      <w:pPr>
        <w:ind w:left="2149" w:hanging="360"/>
      </w:pPr>
      <w:rPr>
        <w:rFonts w:ascii="Symbol" w:hAnsi="Symbol" w:hint="default"/>
      </w:rPr>
    </w:lvl>
    <w:lvl w:ilvl="1" w:tplc="240A0003" w:tentative="1">
      <w:start w:val="1"/>
      <w:numFmt w:val="bullet"/>
      <w:lvlText w:val="o"/>
      <w:lvlJc w:val="left"/>
      <w:pPr>
        <w:ind w:left="2869" w:hanging="360"/>
      </w:pPr>
      <w:rPr>
        <w:rFonts w:ascii="Courier New" w:hAnsi="Courier New" w:cs="Courier New" w:hint="default"/>
      </w:rPr>
    </w:lvl>
    <w:lvl w:ilvl="2" w:tplc="240A0005" w:tentative="1">
      <w:start w:val="1"/>
      <w:numFmt w:val="bullet"/>
      <w:lvlText w:val=""/>
      <w:lvlJc w:val="left"/>
      <w:pPr>
        <w:ind w:left="3589" w:hanging="360"/>
      </w:pPr>
      <w:rPr>
        <w:rFonts w:ascii="Wingdings" w:hAnsi="Wingdings" w:hint="default"/>
      </w:rPr>
    </w:lvl>
    <w:lvl w:ilvl="3" w:tplc="240A0001" w:tentative="1">
      <w:start w:val="1"/>
      <w:numFmt w:val="bullet"/>
      <w:lvlText w:val=""/>
      <w:lvlJc w:val="left"/>
      <w:pPr>
        <w:ind w:left="4309" w:hanging="360"/>
      </w:pPr>
      <w:rPr>
        <w:rFonts w:ascii="Symbol" w:hAnsi="Symbol" w:hint="default"/>
      </w:rPr>
    </w:lvl>
    <w:lvl w:ilvl="4" w:tplc="240A0003" w:tentative="1">
      <w:start w:val="1"/>
      <w:numFmt w:val="bullet"/>
      <w:lvlText w:val="o"/>
      <w:lvlJc w:val="left"/>
      <w:pPr>
        <w:ind w:left="5029" w:hanging="360"/>
      </w:pPr>
      <w:rPr>
        <w:rFonts w:ascii="Courier New" w:hAnsi="Courier New" w:cs="Courier New" w:hint="default"/>
      </w:rPr>
    </w:lvl>
    <w:lvl w:ilvl="5" w:tplc="240A0005" w:tentative="1">
      <w:start w:val="1"/>
      <w:numFmt w:val="bullet"/>
      <w:lvlText w:val=""/>
      <w:lvlJc w:val="left"/>
      <w:pPr>
        <w:ind w:left="5749" w:hanging="360"/>
      </w:pPr>
      <w:rPr>
        <w:rFonts w:ascii="Wingdings" w:hAnsi="Wingdings" w:hint="default"/>
      </w:rPr>
    </w:lvl>
    <w:lvl w:ilvl="6" w:tplc="240A0001" w:tentative="1">
      <w:start w:val="1"/>
      <w:numFmt w:val="bullet"/>
      <w:lvlText w:val=""/>
      <w:lvlJc w:val="left"/>
      <w:pPr>
        <w:ind w:left="6469" w:hanging="360"/>
      </w:pPr>
      <w:rPr>
        <w:rFonts w:ascii="Symbol" w:hAnsi="Symbol" w:hint="default"/>
      </w:rPr>
    </w:lvl>
    <w:lvl w:ilvl="7" w:tplc="240A0003" w:tentative="1">
      <w:start w:val="1"/>
      <w:numFmt w:val="bullet"/>
      <w:lvlText w:val="o"/>
      <w:lvlJc w:val="left"/>
      <w:pPr>
        <w:ind w:left="7189" w:hanging="360"/>
      </w:pPr>
      <w:rPr>
        <w:rFonts w:ascii="Courier New" w:hAnsi="Courier New" w:cs="Courier New" w:hint="default"/>
      </w:rPr>
    </w:lvl>
    <w:lvl w:ilvl="8" w:tplc="240A0005" w:tentative="1">
      <w:start w:val="1"/>
      <w:numFmt w:val="bullet"/>
      <w:lvlText w:val=""/>
      <w:lvlJc w:val="left"/>
      <w:pPr>
        <w:ind w:left="7909" w:hanging="360"/>
      </w:pPr>
      <w:rPr>
        <w:rFonts w:ascii="Wingdings" w:hAnsi="Wingdings" w:hint="default"/>
      </w:rPr>
    </w:lvl>
  </w:abstractNum>
  <w:abstractNum w:abstractNumId="9" w15:restartNumberingAfterBreak="0">
    <w:nsid w:val="2FB20897"/>
    <w:multiLevelType w:val="hybridMultilevel"/>
    <w:tmpl w:val="AD38DD3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3D0064"/>
    <w:multiLevelType w:val="hybridMultilevel"/>
    <w:tmpl w:val="25F6C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783C29"/>
    <w:multiLevelType w:val="hybridMultilevel"/>
    <w:tmpl w:val="D5603A04"/>
    <w:lvl w:ilvl="0" w:tplc="6DB07820">
      <w:start w:val="1"/>
      <w:numFmt w:val="lowerLetter"/>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7" w15:restartNumberingAfterBreak="0">
    <w:nsid w:val="41A77805"/>
    <w:multiLevelType w:val="hybridMultilevel"/>
    <w:tmpl w:val="5D1C95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4996157"/>
    <w:multiLevelType w:val="hybridMultilevel"/>
    <w:tmpl w:val="82A43E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6712203"/>
    <w:multiLevelType w:val="hybridMultilevel"/>
    <w:tmpl w:val="ECCCD7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70B37D7"/>
    <w:multiLevelType w:val="hybridMultilevel"/>
    <w:tmpl w:val="617AE82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ED3726"/>
    <w:multiLevelType w:val="hybridMultilevel"/>
    <w:tmpl w:val="B28C1B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551719D"/>
    <w:multiLevelType w:val="hybridMultilevel"/>
    <w:tmpl w:val="CB669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7123A7F"/>
    <w:multiLevelType w:val="hybridMultilevel"/>
    <w:tmpl w:val="B9BE44E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13"/>
  </w:num>
  <w:num w:numId="2" w16cid:durableId="19822139">
    <w:abstractNumId w:val="4"/>
  </w:num>
  <w:num w:numId="3" w16cid:durableId="876742304">
    <w:abstractNumId w:val="10"/>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24"/>
  </w:num>
  <w:num w:numId="7" w16cid:durableId="1946422806">
    <w:abstractNumId w:val="11"/>
  </w:num>
  <w:num w:numId="8" w16cid:durableId="152644682">
    <w:abstractNumId w:val="23"/>
  </w:num>
  <w:num w:numId="9" w16cid:durableId="1317221377">
    <w:abstractNumId w:val="14"/>
  </w:num>
  <w:num w:numId="10" w16cid:durableId="1471245386">
    <w:abstractNumId w:val="22"/>
  </w:num>
  <w:num w:numId="11" w16cid:durableId="289172385">
    <w:abstractNumId w:val="15"/>
  </w:num>
  <w:num w:numId="12" w16cid:durableId="1470781324">
    <w:abstractNumId w:val="1"/>
  </w:num>
  <w:num w:numId="13" w16cid:durableId="1512908409">
    <w:abstractNumId w:val="7"/>
  </w:num>
  <w:num w:numId="14" w16cid:durableId="895897244">
    <w:abstractNumId w:val="25"/>
  </w:num>
  <w:num w:numId="15" w16cid:durableId="390349800">
    <w:abstractNumId w:val="21"/>
  </w:num>
  <w:num w:numId="16" w16cid:durableId="206334915">
    <w:abstractNumId w:val="26"/>
  </w:num>
  <w:num w:numId="17" w16cid:durableId="1882210681">
    <w:abstractNumId w:val="27"/>
  </w:num>
  <w:num w:numId="18" w16cid:durableId="1193038032">
    <w:abstractNumId w:val="3"/>
  </w:num>
  <w:num w:numId="19" w16cid:durableId="994264527">
    <w:abstractNumId w:val="19"/>
  </w:num>
  <w:num w:numId="20" w16cid:durableId="1730961620">
    <w:abstractNumId w:val="6"/>
  </w:num>
  <w:num w:numId="21" w16cid:durableId="543834654">
    <w:abstractNumId w:val="16"/>
  </w:num>
  <w:num w:numId="22" w16cid:durableId="1631931898">
    <w:abstractNumId w:val="8"/>
  </w:num>
  <w:num w:numId="23" w16cid:durableId="680621208">
    <w:abstractNumId w:val="18"/>
  </w:num>
  <w:num w:numId="24" w16cid:durableId="1625307666">
    <w:abstractNumId w:val="28"/>
  </w:num>
  <w:num w:numId="25" w16cid:durableId="1433210053">
    <w:abstractNumId w:val="2"/>
  </w:num>
  <w:num w:numId="26" w16cid:durableId="2130316833">
    <w:abstractNumId w:val="12"/>
  </w:num>
  <w:num w:numId="27" w16cid:durableId="1753963180">
    <w:abstractNumId w:val="9"/>
  </w:num>
  <w:num w:numId="28" w16cid:durableId="341274352">
    <w:abstractNumId w:val="0"/>
  </w:num>
  <w:num w:numId="29" w16cid:durableId="991132821">
    <w:abstractNumId w:val="5"/>
  </w:num>
  <w:num w:numId="30" w16cid:durableId="463742755">
    <w:abstractNumId w:val="20"/>
  </w:num>
  <w:num w:numId="31" w16cid:durableId="18589568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6C"/>
    <w:rsid w:val="00010FC3"/>
    <w:rsid w:val="000335E7"/>
    <w:rsid w:val="00056312"/>
    <w:rsid w:val="00057A35"/>
    <w:rsid w:val="00061B2A"/>
    <w:rsid w:val="00063C78"/>
    <w:rsid w:val="000675DB"/>
    <w:rsid w:val="00072415"/>
    <w:rsid w:val="0007382A"/>
    <w:rsid w:val="00082362"/>
    <w:rsid w:val="00082769"/>
    <w:rsid w:val="000956A5"/>
    <w:rsid w:val="0009726A"/>
    <w:rsid w:val="000A3749"/>
    <w:rsid w:val="000A54AB"/>
    <w:rsid w:val="000A683E"/>
    <w:rsid w:val="000A73FB"/>
    <w:rsid w:val="000A7AE4"/>
    <w:rsid w:val="000B16CC"/>
    <w:rsid w:val="000B19B9"/>
    <w:rsid w:val="000B4C2C"/>
    <w:rsid w:val="000D0334"/>
    <w:rsid w:val="000D0C5B"/>
    <w:rsid w:val="000D2409"/>
    <w:rsid w:val="000D30CD"/>
    <w:rsid w:val="000D5359"/>
    <w:rsid w:val="000D65DA"/>
    <w:rsid w:val="000E6FDA"/>
    <w:rsid w:val="000F6486"/>
    <w:rsid w:val="000F6C51"/>
    <w:rsid w:val="00114ED7"/>
    <w:rsid w:val="00116C2F"/>
    <w:rsid w:val="00117103"/>
    <w:rsid w:val="0012447B"/>
    <w:rsid w:val="00125105"/>
    <w:rsid w:val="00127233"/>
    <w:rsid w:val="0013647F"/>
    <w:rsid w:val="001437F2"/>
    <w:rsid w:val="00154540"/>
    <w:rsid w:val="001565EC"/>
    <w:rsid w:val="00161112"/>
    <w:rsid w:val="001643D0"/>
    <w:rsid w:val="0016687B"/>
    <w:rsid w:val="0018623B"/>
    <w:rsid w:val="0019196C"/>
    <w:rsid w:val="00194475"/>
    <w:rsid w:val="00197234"/>
    <w:rsid w:val="001A09ED"/>
    <w:rsid w:val="001B7345"/>
    <w:rsid w:val="001C6CED"/>
    <w:rsid w:val="001D3BD2"/>
    <w:rsid w:val="001D75E4"/>
    <w:rsid w:val="001E0F33"/>
    <w:rsid w:val="001E4177"/>
    <w:rsid w:val="001E46EC"/>
    <w:rsid w:val="001F7DC6"/>
    <w:rsid w:val="0021024E"/>
    <w:rsid w:val="002110D1"/>
    <w:rsid w:val="0021149A"/>
    <w:rsid w:val="002133BC"/>
    <w:rsid w:val="00215CEE"/>
    <w:rsid w:val="00221F0C"/>
    <w:rsid w:val="00225437"/>
    <w:rsid w:val="002339AC"/>
    <w:rsid w:val="00235765"/>
    <w:rsid w:val="002421BB"/>
    <w:rsid w:val="0025796E"/>
    <w:rsid w:val="00262070"/>
    <w:rsid w:val="00264CBE"/>
    <w:rsid w:val="002707A2"/>
    <w:rsid w:val="00277B43"/>
    <w:rsid w:val="00283AD4"/>
    <w:rsid w:val="002877B9"/>
    <w:rsid w:val="002951A0"/>
    <w:rsid w:val="002962BC"/>
    <w:rsid w:val="00297151"/>
    <w:rsid w:val="002A062F"/>
    <w:rsid w:val="002A093D"/>
    <w:rsid w:val="002A0DD0"/>
    <w:rsid w:val="002A49AC"/>
    <w:rsid w:val="002A5243"/>
    <w:rsid w:val="002A64FD"/>
    <w:rsid w:val="002B0C05"/>
    <w:rsid w:val="002B150F"/>
    <w:rsid w:val="002B2019"/>
    <w:rsid w:val="002C385B"/>
    <w:rsid w:val="002C5481"/>
    <w:rsid w:val="002C69A2"/>
    <w:rsid w:val="002C7A84"/>
    <w:rsid w:val="002D1920"/>
    <w:rsid w:val="002E071F"/>
    <w:rsid w:val="002E2CE5"/>
    <w:rsid w:val="002E4FD9"/>
    <w:rsid w:val="002F62B0"/>
    <w:rsid w:val="002F676E"/>
    <w:rsid w:val="002F6F3C"/>
    <w:rsid w:val="00303B08"/>
    <w:rsid w:val="00306F46"/>
    <w:rsid w:val="00314BD1"/>
    <w:rsid w:val="003150DA"/>
    <w:rsid w:val="003206C8"/>
    <w:rsid w:val="00322A85"/>
    <w:rsid w:val="00324168"/>
    <w:rsid w:val="003448F4"/>
    <w:rsid w:val="0035552C"/>
    <w:rsid w:val="00365CA3"/>
    <w:rsid w:val="0037364C"/>
    <w:rsid w:val="00374F5E"/>
    <w:rsid w:val="00375AA3"/>
    <w:rsid w:val="00377184"/>
    <w:rsid w:val="00377E3E"/>
    <w:rsid w:val="00396F27"/>
    <w:rsid w:val="003A26D1"/>
    <w:rsid w:val="003A4182"/>
    <w:rsid w:val="003A779E"/>
    <w:rsid w:val="003C371D"/>
    <w:rsid w:val="003D0085"/>
    <w:rsid w:val="003D0F4D"/>
    <w:rsid w:val="003D5B0D"/>
    <w:rsid w:val="003E0499"/>
    <w:rsid w:val="003F1DB1"/>
    <w:rsid w:val="003F3941"/>
    <w:rsid w:val="00402174"/>
    <w:rsid w:val="004046F4"/>
    <w:rsid w:val="00406575"/>
    <w:rsid w:val="0041402D"/>
    <w:rsid w:val="0042680A"/>
    <w:rsid w:val="0042722E"/>
    <w:rsid w:val="00434A5A"/>
    <w:rsid w:val="0044528D"/>
    <w:rsid w:val="00453556"/>
    <w:rsid w:val="00453618"/>
    <w:rsid w:val="00455A52"/>
    <w:rsid w:val="004658CC"/>
    <w:rsid w:val="004679F5"/>
    <w:rsid w:val="0048012B"/>
    <w:rsid w:val="0048264B"/>
    <w:rsid w:val="00484619"/>
    <w:rsid w:val="00486736"/>
    <w:rsid w:val="00491FCE"/>
    <w:rsid w:val="004A14EA"/>
    <w:rsid w:val="004A1847"/>
    <w:rsid w:val="004A1E79"/>
    <w:rsid w:val="004A305D"/>
    <w:rsid w:val="004A7B56"/>
    <w:rsid w:val="004B5A18"/>
    <w:rsid w:val="004C2A9D"/>
    <w:rsid w:val="004C5C6A"/>
    <w:rsid w:val="004C6DCB"/>
    <w:rsid w:val="004D56B0"/>
    <w:rsid w:val="004F081E"/>
    <w:rsid w:val="004F21C4"/>
    <w:rsid w:val="004F2836"/>
    <w:rsid w:val="004F625E"/>
    <w:rsid w:val="004F685F"/>
    <w:rsid w:val="00502A01"/>
    <w:rsid w:val="00502BE9"/>
    <w:rsid w:val="00521569"/>
    <w:rsid w:val="0052250D"/>
    <w:rsid w:val="005316D6"/>
    <w:rsid w:val="00533E48"/>
    <w:rsid w:val="00540BF9"/>
    <w:rsid w:val="005415BC"/>
    <w:rsid w:val="005446D5"/>
    <w:rsid w:val="005447ED"/>
    <w:rsid w:val="005550EA"/>
    <w:rsid w:val="00555CFA"/>
    <w:rsid w:val="005566E8"/>
    <w:rsid w:val="00562E49"/>
    <w:rsid w:val="00574867"/>
    <w:rsid w:val="0058682B"/>
    <w:rsid w:val="00591460"/>
    <w:rsid w:val="00592628"/>
    <w:rsid w:val="005A050E"/>
    <w:rsid w:val="005A36A3"/>
    <w:rsid w:val="005A4177"/>
    <w:rsid w:val="005B6C89"/>
    <w:rsid w:val="005C3777"/>
    <w:rsid w:val="005C5CDC"/>
    <w:rsid w:val="005D0837"/>
    <w:rsid w:val="005D2715"/>
    <w:rsid w:val="005D476C"/>
    <w:rsid w:val="005E064E"/>
    <w:rsid w:val="005E5986"/>
    <w:rsid w:val="005F0CAB"/>
    <w:rsid w:val="005F2442"/>
    <w:rsid w:val="005F5F28"/>
    <w:rsid w:val="005F7911"/>
    <w:rsid w:val="00602E2C"/>
    <w:rsid w:val="006067A2"/>
    <w:rsid w:val="0060692D"/>
    <w:rsid w:val="00607C75"/>
    <w:rsid w:val="00610812"/>
    <w:rsid w:val="0061593B"/>
    <w:rsid w:val="006219F8"/>
    <w:rsid w:val="00621D7A"/>
    <w:rsid w:val="006323C6"/>
    <w:rsid w:val="00632486"/>
    <w:rsid w:val="00632C63"/>
    <w:rsid w:val="0063309A"/>
    <w:rsid w:val="0064611F"/>
    <w:rsid w:val="00650FF7"/>
    <w:rsid w:val="0066241B"/>
    <w:rsid w:val="00665D70"/>
    <w:rsid w:val="0066719A"/>
    <w:rsid w:val="00670D5F"/>
    <w:rsid w:val="00671DAC"/>
    <w:rsid w:val="00686FCF"/>
    <w:rsid w:val="006900D9"/>
    <w:rsid w:val="0069189A"/>
    <w:rsid w:val="00694129"/>
    <w:rsid w:val="006B0B96"/>
    <w:rsid w:val="006B22FB"/>
    <w:rsid w:val="006C06B2"/>
    <w:rsid w:val="006C60A5"/>
    <w:rsid w:val="006C6E93"/>
    <w:rsid w:val="006D12F8"/>
    <w:rsid w:val="006D2D3F"/>
    <w:rsid w:val="006D343D"/>
    <w:rsid w:val="006E1D85"/>
    <w:rsid w:val="006E220D"/>
    <w:rsid w:val="006E2F0B"/>
    <w:rsid w:val="006E41F6"/>
    <w:rsid w:val="006E6153"/>
    <w:rsid w:val="006F19EE"/>
    <w:rsid w:val="006F2C98"/>
    <w:rsid w:val="00703D51"/>
    <w:rsid w:val="00706C16"/>
    <w:rsid w:val="007103EF"/>
    <w:rsid w:val="00717443"/>
    <w:rsid w:val="00717454"/>
    <w:rsid w:val="00717E85"/>
    <w:rsid w:val="007277CE"/>
    <w:rsid w:val="007315CB"/>
    <w:rsid w:val="00746E57"/>
    <w:rsid w:val="00752C5A"/>
    <w:rsid w:val="00756841"/>
    <w:rsid w:val="00757170"/>
    <w:rsid w:val="007649AB"/>
    <w:rsid w:val="0076684B"/>
    <w:rsid w:val="00771D0C"/>
    <w:rsid w:val="00780B41"/>
    <w:rsid w:val="007833AC"/>
    <w:rsid w:val="00791119"/>
    <w:rsid w:val="00791856"/>
    <w:rsid w:val="007944D5"/>
    <w:rsid w:val="00796BFA"/>
    <w:rsid w:val="007A3874"/>
    <w:rsid w:val="007B1FC9"/>
    <w:rsid w:val="007B268C"/>
    <w:rsid w:val="007B2FC5"/>
    <w:rsid w:val="007B3D16"/>
    <w:rsid w:val="007B7171"/>
    <w:rsid w:val="007C0C0F"/>
    <w:rsid w:val="007C0C43"/>
    <w:rsid w:val="007C0FFC"/>
    <w:rsid w:val="007C3DC2"/>
    <w:rsid w:val="007C4808"/>
    <w:rsid w:val="007C63B4"/>
    <w:rsid w:val="007D6B18"/>
    <w:rsid w:val="007E028C"/>
    <w:rsid w:val="007E5497"/>
    <w:rsid w:val="007E6295"/>
    <w:rsid w:val="007E7EAC"/>
    <w:rsid w:val="007F6E7B"/>
    <w:rsid w:val="0080258C"/>
    <w:rsid w:val="00806F5F"/>
    <w:rsid w:val="0081108B"/>
    <w:rsid w:val="00815FC8"/>
    <w:rsid w:val="00820278"/>
    <w:rsid w:val="00825FDD"/>
    <w:rsid w:val="00833A2A"/>
    <w:rsid w:val="00852302"/>
    <w:rsid w:val="008551C6"/>
    <w:rsid w:val="00856DB1"/>
    <w:rsid w:val="0087392C"/>
    <w:rsid w:val="00873E25"/>
    <w:rsid w:val="00880C98"/>
    <w:rsid w:val="008813B4"/>
    <w:rsid w:val="00883F07"/>
    <w:rsid w:val="008843B6"/>
    <w:rsid w:val="00885F6D"/>
    <w:rsid w:val="0089151B"/>
    <w:rsid w:val="00891928"/>
    <w:rsid w:val="008932E6"/>
    <w:rsid w:val="008943C1"/>
    <w:rsid w:val="008A2385"/>
    <w:rsid w:val="008A446D"/>
    <w:rsid w:val="008A61C7"/>
    <w:rsid w:val="008B01E5"/>
    <w:rsid w:val="008C08D7"/>
    <w:rsid w:val="008C0CB0"/>
    <w:rsid w:val="008C3546"/>
    <w:rsid w:val="008C70EE"/>
    <w:rsid w:val="008C77AA"/>
    <w:rsid w:val="008D180B"/>
    <w:rsid w:val="008D2B33"/>
    <w:rsid w:val="008D3A83"/>
    <w:rsid w:val="008F0EA7"/>
    <w:rsid w:val="008F7B09"/>
    <w:rsid w:val="0090247A"/>
    <w:rsid w:val="00911804"/>
    <w:rsid w:val="009119E2"/>
    <w:rsid w:val="00912BB9"/>
    <w:rsid w:val="00915CEC"/>
    <w:rsid w:val="00916188"/>
    <w:rsid w:val="00916B11"/>
    <w:rsid w:val="00923EEF"/>
    <w:rsid w:val="0092548E"/>
    <w:rsid w:val="009368FE"/>
    <w:rsid w:val="009379D2"/>
    <w:rsid w:val="00937A60"/>
    <w:rsid w:val="00940B17"/>
    <w:rsid w:val="009419F9"/>
    <w:rsid w:val="0095685E"/>
    <w:rsid w:val="0095728F"/>
    <w:rsid w:val="00961B09"/>
    <w:rsid w:val="00962FE6"/>
    <w:rsid w:val="00965334"/>
    <w:rsid w:val="0097093E"/>
    <w:rsid w:val="00970DB6"/>
    <w:rsid w:val="00973610"/>
    <w:rsid w:val="00981687"/>
    <w:rsid w:val="009856BC"/>
    <w:rsid w:val="0099476B"/>
    <w:rsid w:val="009947EA"/>
    <w:rsid w:val="009A054A"/>
    <w:rsid w:val="009A0DFA"/>
    <w:rsid w:val="009A1B66"/>
    <w:rsid w:val="009A220D"/>
    <w:rsid w:val="009B2D26"/>
    <w:rsid w:val="009B5208"/>
    <w:rsid w:val="009B6E41"/>
    <w:rsid w:val="009C0FC9"/>
    <w:rsid w:val="009C54C8"/>
    <w:rsid w:val="009C6F5E"/>
    <w:rsid w:val="009C71FA"/>
    <w:rsid w:val="009C72E7"/>
    <w:rsid w:val="009D3058"/>
    <w:rsid w:val="009D74A8"/>
    <w:rsid w:val="009E0F12"/>
    <w:rsid w:val="009F03CA"/>
    <w:rsid w:val="009F095B"/>
    <w:rsid w:val="009F3A13"/>
    <w:rsid w:val="009F5887"/>
    <w:rsid w:val="00A04E40"/>
    <w:rsid w:val="00A078C0"/>
    <w:rsid w:val="00A112C2"/>
    <w:rsid w:val="00A118E0"/>
    <w:rsid w:val="00A122D3"/>
    <w:rsid w:val="00A14435"/>
    <w:rsid w:val="00A17F13"/>
    <w:rsid w:val="00A20739"/>
    <w:rsid w:val="00A218F8"/>
    <w:rsid w:val="00A22FCB"/>
    <w:rsid w:val="00A30EAB"/>
    <w:rsid w:val="00A33C78"/>
    <w:rsid w:val="00A340A2"/>
    <w:rsid w:val="00A451FE"/>
    <w:rsid w:val="00A51205"/>
    <w:rsid w:val="00A5125B"/>
    <w:rsid w:val="00A531DB"/>
    <w:rsid w:val="00A64A25"/>
    <w:rsid w:val="00A672E2"/>
    <w:rsid w:val="00A73E7E"/>
    <w:rsid w:val="00A82D57"/>
    <w:rsid w:val="00A84D87"/>
    <w:rsid w:val="00A86B4C"/>
    <w:rsid w:val="00A9628C"/>
    <w:rsid w:val="00A976B6"/>
    <w:rsid w:val="00AA3DB1"/>
    <w:rsid w:val="00AA4C71"/>
    <w:rsid w:val="00AB0ADB"/>
    <w:rsid w:val="00AB24CA"/>
    <w:rsid w:val="00AC4349"/>
    <w:rsid w:val="00AC6AC1"/>
    <w:rsid w:val="00AC7E6B"/>
    <w:rsid w:val="00AC7EEE"/>
    <w:rsid w:val="00AD72BB"/>
    <w:rsid w:val="00AD734D"/>
    <w:rsid w:val="00AD767A"/>
    <w:rsid w:val="00AE02FB"/>
    <w:rsid w:val="00B01B1A"/>
    <w:rsid w:val="00B03BA0"/>
    <w:rsid w:val="00B056AB"/>
    <w:rsid w:val="00B0642A"/>
    <w:rsid w:val="00B124ED"/>
    <w:rsid w:val="00B20663"/>
    <w:rsid w:val="00B23C4E"/>
    <w:rsid w:val="00B254D8"/>
    <w:rsid w:val="00B352E2"/>
    <w:rsid w:val="00B372EE"/>
    <w:rsid w:val="00B46E8E"/>
    <w:rsid w:val="00B5335E"/>
    <w:rsid w:val="00B547E8"/>
    <w:rsid w:val="00B615B3"/>
    <w:rsid w:val="00B63548"/>
    <w:rsid w:val="00B64462"/>
    <w:rsid w:val="00B64C2D"/>
    <w:rsid w:val="00B70E32"/>
    <w:rsid w:val="00B7149B"/>
    <w:rsid w:val="00B72CD3"/>
    <w:rsid w:val="00B72FFF"/>
    <w:rsid w:val="00B73BD3"/>
    <w:rsid w:val="00B76C47"/>
    <w:rsid w:val="00B77738"/>
    <w:rsid w:val="00B903F4"/>
    <w:rsid w:val="00B93C91"/>
    <w:rsid w:val="00B951EE"/>
    <w:rsid w:val="00BA7AAE"/>
    <w:rsid w:val="00BB34AC"/>
    <w:rsid w:val="00BB4F4D"/>
    <w:rsid w:val="00BB7AE5"/>
    <w:rsid w:val="00BC3D36"/>
    <w:rsid w:val="00BC758C"/>
    <w:rsid w:val="00BC7DF6"/>
    <w:rsid w:val="00BD0994"/>
    <w:rsid w:val="00BD46DE"/>
    <w:rsid w:val="00BD4B85"/>
    <w:rsid w:val="00BD7F72"/>
    <w:rsid w:val="00BE4770"/>
    <w:rsid w:val="00BF35A8"/>
    <w:rsid w:val="00BF6467"/>
    <w:rsid w:val="00C00EDE"/>
    <w:rsid w:val="00C047BF"/>
    <w:rsid w:val="00C04FB3"/>
    <w:rsid w:val="00C1583C"/>
    <w:rsid w:val="00C166A8"/>
    <w:rsid w:val="00C1740D"/>
    <w:rsid w:val="00C2239F"/>
    <w:rsid w:val="00C23500"/>
    <w:rsid w:val="00C24B6E"/>
    <w:rsid w:val="00C30496"/>
    <w:rsid w:val="00C30519"/>
    <w:rsid w:val="00C327EF"/>
    <w:rsid w:val="00C330EB"/>
    <w:rsid w:val="00C35488"/>
    <w:rsid w:val="00C35600"/>
    <w:rsid w:val="00C35DF2"/>
    <w:rsid w:val="00C42BEB"/>
    <w:rsid w:val="00C42DBA"/>
    <w:rsid w:val="00C51217"/>
    <w:rsid w:val="00C516BD"/>
    <w:rsid w:val="00C66BD5"/>
    <w:rsid w:val="00C7457C"/>
    <w:rsid w:val="00C754BE"/>
    <w:rsid w:val="00C76B1C"/>
    <w:rsid w:val="00C76EC6"/>
    <w:rsid w:val="00C810DC"/>
    <w:rsid w:val="00C85EDB"/>
    <w:rsid w:val="00C87F37"/>
    <w:rsid w:val="00C908F6"/>
    <w:rsid w:val="00CA6990"/>
    <w:rsid w:val="00CB6357"/>
    <w:rsid w:val="00CC1B26"/>
    <w:rsid w:val="00CC1BF0"/>
    <w:rsid w:val="00CD358F"/>
    <w:rsid w:val="00CE023F"/>
    <w:rsid w:val="00CE37AE"/>
    <w:rsid w:val="00CE3E0A"/>
    <w:rsid w:val="00CE40A8"/>
    <w:rsid w:val="00CE4CAE"/>
    <w:rsid w:val="00CF0108"/>
    <w:rsid w:val="00D04A5C"/>
    <w:rsid w:val="00D10AD4"/>
    <w:rsid w:val="00D150EC"/>
    <w:rsid w:val="00D33944"/>
    <w:rsid w:val="00D423A2"/>
    <w:rsid w:val="00D520D8"/>
    <w:rsid w:val="00D53F5B"/>
    <w:rsid w:val="00D54519"/>
    <w:rsid w:val="00D60899"/>
    <w:rsid w:val="00D61FA9"/>
    <w:rsid w:val="00D63AC2"/>
    <w:rsid w:val="00D64FAA"/>
    <w:rsid w:val="00D67218"/>
    <w:rsid w:val="00D7383B"/>
    <w:rsid w:val="00D77425"/>
    <w:rsid w:val="00D87C56"/>
    <w:rsid w:val="00D9610F"/>
    <w:rsid w:val="00DA231B"/>
    <w:rsid w:val="00DA23A0"/>
    <w:rsid w:val="00DA7405"/>
    <w:rsid w:val="00DA7EC7"/>
    <w:rsid w:val="00DB1027"/>
    <w:rsid w:val="00DC39FC"/>
    <w:rsid w:val="00DC3C4E"/>
    <w:rsid w:val="00DD17E5"/>
    <w:rsid w:val="00DE5403"/>
    <w:rsid w:val="00DF5254"/>
    <w:rsid w:val="00DF7145"/>
    <w:rsid w:val="00E02489"/>
    <w:rsid w:val="00E05968"/>
    <w:rsid w:val="00E1146F"/>
    <w:rsid w:val="00E1325B"/>
    <w:rsid w:val="00E14B85"/>
    <w:rsid w:val="00E16408"/>
    <w:rsid w:val="00E20894"/>
    <w:rsid w:val="00E23624"/>
    <w:rsid w:val="00E245AB"/>
    <w:rsid w:val="00E263B6"/>
    <w:rsid w:val="00E2764C"/>
    <w:rsid w:val="00E27F2E"/>
    <w:rsid w:val="00E34E97"/>
    <w:rsid w:val="00E413EA"/>
    <w:rsid w:val="00E452A4"/>
    <w:rsid w:val="00E4585A"/>
    <w:rsid w:val="00E50AFE"/>
    <w:rsid w:val="00E50E02"/>
    <w:rsid w:val="00E578B6"/>
    <w:rsid w:val="00E652E6"/>
    <w:rsid w:val="00E735A6"/>
    <w:rsid w:val="00E75258"/>
    <w:rsid w:val="00E75C92"/>
    <w:rsid w:val="00E771DC"/>
    <w:rsid w:val="00E77EF4"/>
    <w:rsid w:val="00E815A4"/>
    <w:rsid w:val="00E8174E"/>
    <w:rsid w:val="00E857D3"/>
    <w:rsid w:val="00E8772A"/>
    <w:rsid w:val="00E90060"/>
    <w:rsid w:val="00E90B03"/>
    <w:rsid w:val="00E90F6B"/>
    <w:rsid w:val="00E92C27"/>
    <w:rsid w:val="00E93D6B"/>
    <w:rsid w:val="00EA0E3D"/>
    <w:rsid w:val="00EA1BC9"/>
    <w:rsid w:val="00EA46EF"/>
    <w:rsid w:val="00EC38A7"/>
    <w:rsid w:val="00ED13DB"/>
    <w:rsid w:val="00EE1AA8"/>
    <w:rsid w:val="00EE347D"/>
    <w:rsid w:val="00EE481E"/>
    <w:rsid w:val="00EE6FCB"/>
    <w:rsid w:val="00EE7212"/>
    <w:rsid w:val="00F02432"/>
    <w:rsid w:val="00F02B1B"/>
    <w:rsid w:val="00F128EB"/>
    <w:rsid w:val="00F147BB"/>
    <w:rsid w:val="00F15017"/>
    <w:rsid w:val="00F17BD4"/>
    <w:rsid w:val="00F2110B"/>
    <w:rsid w:val="00F21D76"/>
    <w:rsid w:val="00F21DFA"/>
    <w:rsid w:val="00F31EDC"/>
    <w:rsid w:val="00F32B3C"/>
    <w:rsid w:val="00F462B3"/>
    <w:rsid w:val="00F5664F"/>
    <w:rsid w:val="00F56FA3"/>
    <w:rsid w:val="00F61B02"/>
    <w:rsid w:val="00F638D7"/>
    <w:rsid w:val="00F666C4"/>
    <w:rsid w:val="00F72479"/>
    <w:rsid w:val="00F7252D"/>
    <w:rsid w:val="00F75F49"/>
    <w:rsid w:val="00F76214"/>
    <w:rsid w:val="00F76AFC"/>
    <w:rsid w:val="00F771AF"/>
    <w:rsid w:val="00F8521F"/>
    <w:rsid w:val="00F90632"/>
    <w:rsid w:val="00F91BB3"/>
    <w:rsid w:val="00F91D5E"/>
    <w:rsid w:val="00FA16A9"/>
    <w:rsid w:val="00FA47C0"/>
    <w:rsid w:val="00FA55B0"/>
    <w:rsid w:val="00FB0595"/>
    <w:rsid w:val="00FB1A96"/>
    <w:rsid w:val="00FB28EE"/>
    <w:rsid w:val="00FB5DD1"/>
    <w:rsid w:val="00FB7A07"/>
    <w:rsid w:val="00FC1926"/>
    <w:rsid w:val="00FC2B5D"/>
    <w:rsid w:val="00FC37F6"/>
    <w:rsid w:val="00FC73D0"/>
    <w:rsid w:val="00FD00F0"/>
    <w:rsid w:val="00FD04AD"/>
    <w:rsid w:val="00FD50F6"/>
    <w:rsid w:val="00FE0BEF"/>
    <w:rsid w:val="00FF1449"/>
    <w:rsid w:val="5CEADB7B"/>
    <w:rsid w:val="7D9C09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379D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77184"/>
    <w:rPr>
      <w:rFonts w:ascii="Geomanist Light" w:hAnsi="Geomanist Light"/>
      <w:lang w:val="es-ES"/>
    </w:rPr>
  </w:style>
  <w:style w:type="table" w:customStyle="1" w:styleId="Tablaconcuadrcula11">
    <w:name w:val="Tabla con cuadrícula11"/>
    <w:basedOn w:val="Tablanormal"/>
    <w:next w:val="Tablaconcuadrcula"/>
    <w:uiPriority w:val="59"/>
    <w:qFormat/>
    <w:rsid w:val="00FD0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78056861">
      <w:bodyDiv w:val="1"/>
      <w:marLeft w:val="0"/>
      <w:marRight w:val="0"/>
      <w:marTop w:val="0"/>
      <w:marBottom w:val="0"/>
      <w:divBdr>
        <w:top w:val="none" w:sz="0" w:space="0" w:color="auto"/>
        <w:left w:val="none" w:sz="0" w:space="0" w:color="auto"/>
        <w:bottom w:val="none" w:sz="0" w:space="0" w:color="auto"/>
        <w:right w:val="none" w:sz="0" w:space="0" w:color="auto"/>
      </w:divBdr>
    </w:div>
    <w:div w:id="618489046">
      <w:bodyDiv w:val="1"/>
      <w:marLeft w:val="0"/>
      <w:marRight w:val="0"/>
      <w:marTop w:val="0"/>
      <w:marBottom w:val="0"/>
      <w:divBdr>
        <w:top w:val="none" w:sz="0" w:space="0" w:color="auto"/>
        <w:left w:val="none" w:sz="0" w:space="0" w:color="auto"/>
        <w:bottom w:val="none" w:sz="0" w:space="0" w:color="auto"/>
        <w:right w:val="none" w:sz="0" w:space="0" w:color="auto"/>
      </w:divBdr>
      <w:divsChild>
        <w:div w:id="1785803330">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87184235">
      <w:bodyDiv w:val="1"/>
      <w:marLeft w:val="0"/>
      <w:marRight w:val="0"/>
      <w:marTop w:val="0"/>
      <w:marBottom w:val="0"/>
      <w:divBdr>
        <w:top w:val="none" w:sz="0" w:space="0" w:color="auto"/>
        <w:left w:val="none" w:sz="0" w:space="0" w:color="auto"/>
        <w:bottom w:val="none" w:sz="0" w:space="0" w:color="auto"/>
        <w:right w:val="none" w:sz="0" w:space="0" w:color="auto"/>
      </w:divBdr>
      <w:divsChild>
        <w:div w:id="234709563">
          <w:marLeft w:val="0"/>
          <w:marRight w:val="0"/>
          <w:marTop w:val="0"/>
          <w:marBottom w:val="0"/>
          <w:divBdr>
            <w:top w:val="none" w:sz="0" w:space="0" w:color="auto"/>
            <w:left w:val="none" w:sz="0" w:space="0" w:color="auto"/>
            <w:bottom w:val="none" w:sz="0" w:space="0" w:color="auto"/>
            <w:right w:val="none" w:sz="0" w:space="0" w:color="auto"/>
          </w:divBdr>
        </w:div>
      </w:divsChild>
    </w:div>
    <w:div w:id="1121264466">
      <w:bodyDiv w:val="1"/>
      <w:marLeft w:val="0"/>
      <w:marRight w:val="0"/>
      <w:marTop w:val="0"/>
      <w:marBottom w:val="0"/>
      <w:divBdr>
        <w:top w:val="none" w:sz="0" w:space="0" w:color="auto"/>
        <w:left w:val="none" w:sz="0" w:space="0" w:color="auto"/>
        <w:bottom w:val="none" w:sz="0" w:space="0" w:color="auto"/>
        <w:right w:val="none" w:sz="0" w:space="0" w:color="auto"/>
      </w:divBdr>
      <w:divsChild>
        <w:div w:id="2139371176">
          <w:marLeft w:val="0"/>
          <w:marRight w:val="0"/>
          <w:marTop w:val="0"/>
          <w:marBottom w:val="160"/>
          <w:divBdr>
            <w:top w:val="none" w:sz="0" w:space="0" w:color="auto"/>
            <w:left w:val="none" w:sz="0" w:space="0" w:color="auto"/>
            <w:bottom w:val="none" w:sz="0" w:space="0" w:color="auto"/>
            <w:right w:val="none" w:sz="0" w:space="0" w:color="auto"/>
          </w:divBdr>
        </w:div>
        <w:div w:id="1700618793">
          <w:marLeft w:val="0"/>
          <w:marRight w:val="0"/>
          <w:marTop w:val="0"/>
          <w:marBottom w:val="160"/>
          <w:divBdr>
            <w:top w:val="none" w:sz="0" w:space="0" w:color="auto"/>
            <w:left w:val="none" w:sz="0" w:space="0" w:color="auto"/>
            <w:bottom w:val="none" w:sz="0" w:space="0" w:color="auto"/>
            <w:right w:val="none" w:sz="0" w:space="0" w:color="auto"/>
          </w:divBdr>
        </w:div>
        <w:div w:id="1490826015">
          <w:marLeft w:val="0"/>
          <w:marRight w:val="0"/>
          <w:marTop w:val="0"/>
          <w:marBottom w:val="16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4798260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2683242">
      <w:bodyDiv w:val="1"/>
      <w:marLeft w:val="0"/>
      <w:marRight w:val="0"/>
      <w:marTop w:val="0"/>
      <w:marBottom w:val="0"/>
      <w:divBdr>
        <w:top w:val="none" w:sz="0" w:space="0" w:color="auto"/>
        <w:left w:val="none" w:sz="0" w:space="0" w:color="auto"/>
        <w:bottom w:val="none" w:sz="0" w:space="0" w:color="auto"/>
        <w:right w:val="none" w:sz="0" w:space="0" w:color="auto"/>
      </w:divBdr>
      <w:divsChild>
        <w:div w:id="1565798216">
          <w:marLeft w:val="0"/>
          <w:marRight w:val="0"/>
          <w:marTop w:val="0"/>
          <w:marBottom w:val="160"/>
          <w:divBdr>
            <w:top w:val="none" w:sz="0" w:space="0" w:color="auto"/>
            <w:left w:val="none" w:sz="0" w:space="0" w:color="auto"/>
            <w:bottom w:val="none" w:sz="0" w:space="0" w:color="auto"/>
            <w:right w:val="none" w:sz="0" w:space="0" w:color="auto"/>
          </w:divBdr>
        </w:div>
        <w:div w:id="2139295417">
          <w:marLeft w:val="0"/>
          <w:marRight w:val="0"/>
          <w:marTop w:val="0"/>
          <w:marBottom w:val="160"/>
          <w:divBdr>
            <w:top w:val="none" w:sz="0" w:space="0" w:color="auto"/>
            <w:left w:val="none" w:sz="0" w:space="0" w:color="auto"/>
            <w:bottom w:val="none" w:sz="0" w:space="0" w:color="auto"/>
            <w:right w:val="none" w:sz="0" w:space="0" w:color="auto"/>
          </w:divBdr>
        </w:div>
        <w:div w:id="1627159630">
          <w:marLeft w:val="0"/>
          <w:marRight w:val="0"/>
          <w:marTop w:val="0"/>
          <w:marBottom w:val="16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kelmis.bruges%40colombiacompra.gov.co%7C096eca3fdcca424ff1c708dcf932f947%7C7b09041e245149d08cb179d5e3d8c1be%7C0%7C0%7C638659244557858594%7CUnknown%7CTWFpbGZsb3d8eyJWIjoiMC4wLjAwMDAiLCJQIjoiV2luMzIiLCJBTiI6Ik1haWwiLCJXVCI6Mn0%3D%7C0%7C%7C%7C&amp;sdata=SBnjbSygyhNOMiCgT2zhmixX0qrmj7nCaR4HIzQsWl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Normatividad/DECRETO%20579%20DEL%2031%20DE%20MAYO%20DE%20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2BCB682F-DDC7-4D79-B034-1E2813CBA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920EE-406A-4633-89F7-38DEA1DAD25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a6cb9e4b-f1d1-4245-83ec-6cad768d538a"/>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6373</Words>
  <Characters>35056</Characters>
  <Application>Microsoft Office Word</Application>
  <DocSecurity>0</DocSecurity>
  <Lines>292</Lines>
  <Paragraphs>82</Paragraphs>
  <ScaleCrop>false</ScaleCrop>
  <Company/>
  <LinksUpToDate>false</LinksUpToDate>
  <CharactersWithSpaces>41347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2025-02-11T13:34:00Z</dcterms:created>
  <dcterms:modified xsi:type="dcterms:W3CDTF">2025-02-11T13:34:00Z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