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Pr="002744EE" w:rsidR="00891CDD" w:rsidP="32542D46" w:rsidRDefault="00891CDD" w14:paraId="4D8A314F" w14:textId="77777777" w14:noSpellErr="1">
      <w:pPr>
        <w:jc w:val="both"/>
        <w:rPr>
          <w:rFonts w:ascii="Arial" w:hAnsi="Arial" w:eastAsia="Calibri" w:cs="Arial"/>
          <w:b w:val="1"/>
          <w:bCs w:val="1"/>
          <w:color w:val="000000" w:themeColor="text1"/>
          <w:sz w:val="22"/>
          <w:szCs w:val="22"/>
        </w:rPr>
      </w:pPr>
      <w:r w:rsidRPr="32542D46" w:rsidR="00891CDD">
        <w:rPr>
          <w:rFonts w:ascii="Arial" w:hAnsi="Arial" w:eastAsia="Calibri" w:cs="Arial"/>
          <w:b w:val="1"/>
          <w:bCs w:val="1"/>
          <w:color w:val="000000" w:themeColor="text1" w:themeTint="FF" w:themeShade="FF"/>
          <w:sz w:val="22"/>
          <w:szCs w:val="22"/>
        </w:rPr>
        <w:t xml:space="preserve">CAPACIDAD RESIDUAL </w:t>
      </w:r>
      <w:r w:rsidRPr="32542D46" w:rsidR="00891CDD">
        <w:rPr>
          <w:rFonts w:ascii="Arial" w:hAnsi="Arial" w:eastAsia="Calibri" w:cs="Arial"/>
          <w:b w:val="1"/>
          <w:bCs w:val="1"/>
          <w:color w:val="000000" w:themeColor="text1" w:themeTint="FF" w:themeShade="FF"/>
          <w:sz w:val="22"/>
          <w:szCs w:val="22"/>
        </w:rPr>
        <w:t>–</w:t>
      </w:r>
      <w:r w:rsidRPr="32542D46" w:rsidR="00891CDD">
        <w:rPr>
          <w:rFonts w:ascii="Arial" w:hAnsi="Arial" w:eastAsia="Calibri" w:cs="Arial"/>
          <w:b w:val="1"/>
          <w:bCs w:val="1"/>
          <w:color w:val="000000" w:themeColor="text1" w:themeTint="FF" w:themeShade="FF"/>
          <w:sz w:val="22"/>
          <w:szCs w:val="22"/>
        </w:rPr>
        <w:t xml:space="preserve"> Definición</w:t>
      </w:r>
    </w:p>
    <w:p w:rsidRPr="00543959" w:rsidR="00891CDD" w:rsidP="005354D0" w:rsidRDefault="00891CDD" w14:paraId="4D8A3150" w14:textId="77777777">
      <w:pPr>
        <w:jc w:val="both"/>
        <w:rPr>
          <w:rFonts w:ascii="Arial" w:hAnsi="Arial" w:eastAsia="Calibri" w:cs="Arial"/>
          <w:b/>
          <w:color w:val="000000" w:themeColor="text1"/>
          <w:sz w:val="20"/>
          <w:szCs w:val="20"/>
        </w:rPr>
      </w:pPr>
    </w:p>
    <w:p w:rsidRPr="00B30DB3" w:rsidR="005354D0" w:rsidP="00B30DB3" w:rsidRDefault="005354D0" w14:paraId="35FAC549" w14:textId="35870380">
      <w:pPr>
        <w:spacing w:after="120"/>
        <w:jc w:val="both"/>
        <w:rPr>
          <w:rFonts w:eastAsia="Calibri"/>
          <w:bCs/>
          <w:color w:val="000000" w:themeColor="text1"/>
          <w:sz w:val="20"/>
          <w:szCs w:val="20"/>
        </w:rPr>
      </w:pPr>
      <w:r w:rsidRPr="00B30DB3">
        <w:rPr>
          <w:rFonts w:ascii="Arial" w:hAnsi="Arial" w:eastAsia="Calibri" w:cs="Arial"/>
          <w:bCs/>
          <w:color w:val="000000" w:themeColor="text1"/>
          <w:sz w:val="20"/>
          <w:szCs w:val="20"/>
        </w:rPr>
        <w:t>La capacidad residual es una aptitud que se exige a los oferentes con el objetivo de establecer o determinar si estos pueden o no cumplir de manera oportuna y a cabalidad las obligaciones derivadas del contrato de obra pública, sin que los demás compromisos contractuales que hubieran adquirido les afecte la habilidad de cumplir con el objeto del contrato que está en proceso de selección. El Consejo de Estado ha definido la capacidad residual como «la diferencia que existe entre el potencial de contratación que se tiene y los compromisos que haya adquirido y que se encuentren en ejecución, para la fecha de presentación de la oferta».</w:t>
      </w:r>
    </w:p>
    <w:p w:rsidRPr="00B30DB3" w:rsidR="005354D0" w:rsidP="00B30DB3" w:rsidRDefault="005354D0" w14:paraId="706F42B4" w14:textId="77777777">
      <w:pPr>
        <w:spacing w:after="120"/>
        <w:jc w:val="both"/>
        <w:rPr>
          <w:rFonts w:eastAsia="Calibri"/>
          <w:bCs/>
          <w:color w:val="000000" w:themeColor="text1"/>
          <w:sz w:val="20"/>
          <w:szCs w:val="20"/>
        </w:rPr>
      </w:pPr>
      <w:r w:rsidRPr="00B30DB3">
        <w:rPr>
          <w:rFonts w:ascii="Arial" w:hAnsi="Arial" w:eastAsia="Calibri" w:cs="Arial"/>
          <w:bCs/>
          <w:color w:val="000000" w:themeColor="text1"/>
          <w:sz w:val="20"/>
          <w:szCs w:val="20"/>
        </w:rPr>
        <w:t>Teniendo en cuenta lo dicho antes, la Agencia Nacional de Contratación Pública – Colombia Compra Eficiente considera que la capacidad residual hace referencia a la suficiencia que se predica del proponente para asumir nuevas obligaciones que se derivan del contrato objeto del proceso de contratación, en relación con las obligaciones que ya ha adquirido simultáneamente.</w:t>
      </w:r>
    </w:p>
    <w:p w:rsidR="00BE4C16" w:rsidRDefault="00BE4C16" w14:paraId="4D8A3152" w14:textId="77777777">
      <w:pPr>
        <w:jc w:val="both"/>
        <w:rPr>
          <w:rFonts w:ascii="Arial" w:hAnsi="Arial" w:eastAsia="Calibri" w:cs="Arial"/>
          <w:bCs/>
          <w:color w:val="000000" w:themeColor="text1"/>
          <w:sz w:val="20"/>
          <w:szCs w:val="20"/>
        </w:rPr>
      </w:pPr>
    </w:p>
    <w:p w:rsidRPr="002744EE" w:rsidR="00BE4C16" w:rsidRDefault="00BE4C16" w14:paraId="4D8A3153" w14:textId="4AFFA587">
      <w:pPr>
        <w:jc w:val="both"/>
        <w:rPr>
          <w:rFonts w:ascii="Arial" w:hAnsi="Arial" w:eastAsia="Calibri" w:cs="Arial"/>
          <w:b/>
          <w:color w:val="000000" w:themeColor="text1"/>
          <w:sz w:val="22"/>
        </w:rPr>
      </w:pPr>
      <w:r w:rsidRPr="002744EE">
        <w:rPr>
          <w:rFonts w:ascii="Arial" w:hAnsi="Arial" w:eastAsia="Calibri" w:cs="Arial"/>
          <w:b/>
          <w:color w:val="000000" w:themeColor="text1"/>
          <w:sz w:val="22"/>
        </w:rPr>
        <w:t xml:space="preserve">CAPACIDAD RESIDUAL </w:t>
      </w:r>
      <w:r w:rsidRPr="006C15D5">
        <w:rPr>
          <w:rFonts w:ascii="Arial" w:hAnsi="Arial" w:eastAsia="Calibri" w:cs="Arial"/>
          <w:b/>
          <w:color w:val="000000" w:themeColor="text1"/>
          <w:sz w:val="22"/>
        </w:rPr>
        <w:t>–</w:t>
      </w:r>
      <w:r w:rsidRPr="002744EE">
        <w:rPr>
          <w:rFonts w:ascii="Arial" w:hAnsi="Arial" w:eastAsia="Calibri" w:cs="Arial"/>
          <w:b/>
          <w:color w:val="000000" w:themeColor="text1"/>
          <w:sz w:val="22"/>
        </w:rPr>
        <w:t xml:space="preserve"> </w:t>
      </w:r>
      <w:r>
        <w:rPr>
          <w:rFonts w:ascii="Arial" w:hAnsi="Arial" w:eastAsia="Calibri" w:cs="Arial"/>
          <w:b/>
          <w:color w:val="000000" w:themeColor="text1"/>
          <w:sz w:val="22"/>
        </w:rPr>
        <w:t xml:space="preserve">Alcance – Aplicabilidad – </w:t>
      </w:r>
      <w:r w:rsidR="008F188D">
        <w:rPr>
          <w:rFonts w:ascii="Arial" w:hAnsi="Arial" w:eastAsia="Calibri" w:cs="Arial"/>
          <w:b/>
          <w:color w:val="000000" w:themeColor="text1"/>
          <w:sz w:val="22"/>
        </w:rPr>
        <w:t>Mínima cuantía</w:t>
      </w:r>
    </w:p>
    <w:p w:rsidR="00BE4C16" w:rsidRDefault="00BE4C16" w14:paraId="4D8A3154" w14:textId="77777777">
      <w:pPr>
        <w:jc w:val="both"/>
        <w:rPr>
          <w:rFonts w:ascii="Arial" w:hAnsi="Arial" w:eastAsia="Calibri" w:cs="Arial"/>
          <w:bCs/>
          <w:color w:val="000000" w:themeColor="text1"/>
          <w:sz w:val="20"/>
          <w:szCs w:val="20"/>
        </w:rPr>
      </w:pPr>
    </w:p>
    <w:p w:rsidRPr="005354D0" w:rsidR="005354D0" w:rsidP="00B30DB3" w:rsidRDefault="005354D0" w14:paraId="0EE31B8F" w14:textId="77777777">
      <w:pPr>
        <w:spacing w:after="120"/>
        <w:jc w:val="both"/>
        <w:rPr>
          <w:rFonts w:ascii="Arial" w:hAnsi="Arial" w:eastAsia="Calibri" w:cs="Arial"/>
          <w:bCs/>
          <w:color w:val="000000" w:themeColor="text1"/>
          <w:sz w:val="20"/>
          <w:szCs w:val="20"/>
        </w:rPr>
      </w:pPr>
      <w:r w:rsidRPr="005354D0">
        <w:rPr>
          <w:rFonts w:ascii="Arial" w:hAnsi="Arial" w:eastAsia="Calibri" w:cs="Arial"/>
          <w:bCs/>
          <w:color w:val="000000" w:themeColor="text1"/>
          <w:sz w:val="20"/>
          <w:szCs w:val="20"/>
        </w:rPr>
        <w:t>Tanto el artículo 6 de la Ley 1150 de 2007, como el artículo 72 de la Ley 1682 de 2013, al regular lo relativo a la capacidad residual determinan su aplicación respecto de una tipología contractual –contrato de obra– sin restringirla a una modalidad de selección específica. De acuerdo con lo anterior, todas las entidades estatales que adelanten procesos de contratación de obra pública, sin importar la modalidad de selección del contratista, están obligadas a verificar la capacidad residual de los proponentes, como requisito habilitante para participar en el proceso y, por ende, se puede concluir que lo establecido en el artículo 72 de la Ley 1682 de 2013 es aplicable en los procesos de obra realizados a través de la modalidad de selección de mínima cuantía.</w:t>
      </w:r>
    </w:p>
    <w:p w:rsidRPr="00B30DB3" w:rsidR="00BE4C16" w:rsidP="00B30DB3" w:rsidRDefault="005354D0" w14:paraId="4D8A3155" w14:textId="3C237B46">
      <w:pPr>
        <w:spacing w:after="120"/>
        <w:jc w:val="both"/>
        <w:rPr>
          <w:rFonts w:ascii="Arial" w:hAnsi="Arial" w:eastAsia="Calibri" w:cs="Arial"/>
          <w:bCs/>
          <w:color w:val="000000" w:themeColor="text1"/>
          <w:sz w:val="20"/>
          <w:szCs w:val="20"/>
        </w:rPr>
      </w:pPr>
      <w:r w:rsidRPr="005354D0">
        <w:rPr>
          <w:rFonts w:ascii="Arial" w:hAnsi="Arial" w:eastAsia="Calibri" w:cs="Arial"/>
          <w:bCs/>
          <w:color w:val="000000" w:themeColor="text1"/>
          <w:sz w:val="20"/>
          <w:szCs w:val="20"/>
        </w:rPr>
        <w:t xml:space="preserve">La postura anterior además es sostenida en forma concreta por la Agencia Nacional de Contratación – Colombia Compra Eficiente en el Manual para la modalidad de selección de mínima cuantía, al </w:t>
      </w:r>
      <w:proofErr w:type="gramStart"/>
      <w:r w:rsidRPr="005354D0">
        <w:rPr>
          <w:rFonts w:ascii="Arial" w:hAnsi="Arial" w:eastAsia="Calibri" w:cs="Arial"/>
          <w:bCs/>
          <w:color w:val="000000" w:themeColor="text1"/>
          <w:sz w:val="20"/>
          <w:szCs w:val="20"/>
        </w:rPr>
        <w:t>establecer</w:t>
      </w:r>
      <w:proofErr w:type="gramEnd"/>
      <w:r w:rsidRPr="005354D0">
        <w:rPr>
          <w:rFonts w:ascii="Arial" w:hAnsi="Arial" w:eastAsia="Calibri" w:cs="Arial"/>
          <w:bCs/>
          <w:color w:val="000000" w:themeColor="text1"/>
          <w:sz w:val="20"/>
          <w:szCs w:val="20"/>
        </w:rPr>
        <w:t xml:space="preserve"> que: «en los Procesos de Contratación de obra pública en la modalidad de selección de mínima cuantía las Entidades Estatales deberán solicitar la Capacidad Residual o K de Contratación y verificarla directamente, sin solicitar RUP».</w:t>
      </w:r>
    </w:p>
    <w:p w:rsidR="00272923" w:rsidP="00272923" w:rsidRDefault="00272923" w14:paraId="4D8A3156" w14:textId="77777777">
      <w:pPr>
        <w:tabs>
          <w:tab w:val="left" w:pos="709"/>
        </w:tabs>
        <w:jc w:val="both"/>
        <w:rPr>
          <w:rFonts w:ascii="Arial" w:hAnsi="Arial" w:cs="Arial"/>
          <w:color w:val="000000" w:themeColor="text1"/>
          <w:sz w:val="20"/>
          <w:szCs w:val="20"/>
        </w:rPr>
      </w:pPr>
    </w:p>
    <w:p w:rsidRPr="00891CDD" w:rsidR="00BE4C16" w:rsidP="00272923" w:rsidRDefault="00BE4C16" w14:paraId="4D8A3157" w14:textId="77777777">
      <w:pPr>
        <w:tabs>
          <w:tab w:val="left" w:pos="709"/>
        </w:tabs>
        <w:jc w:val="both"/>
        <w:rPr>
          <w:rFonts w:ascii="Arial" w:hAnsi="Arial" w:cs="Arial"/>
          <w:color w:val="000000" w:themeColor="text1"/>
          <w:sz w:val="20"/>
          <w:szCs w:val="20"/>
        </w:rPr>
      </w:pPr>
    </w:p>
    <w:p w:rsidRPr="00222BE8" w:rsidR="00272923" w:rsidP="00272923" w:rsidRDefault="0005230B" w14:paraId="4D8A3158" w14:textId="65891552">
      <w:pPr>
        <w:spacing w:line="276" w:lineRule="auto"/>
        <w:jc w:val="both"/>
        <w:rPr>
          <w:rFonts w:ascii="Arial" w:hAnsi="Arial" w:eastAsia="Calibri" w:cs="Arial"/>
          <w:noProof/>
          <w:color w:val="000000" w:themeColor="text1"/>
          <w:sz w:val="20"/>
          <w:lang w:val="es-ES_tradnl"/>
        </w:rPr>
      </w:pPr>
      <w:r>
        <w:rPr>
          <w:rFonts w:ascii="Arial" w:hAnsi="Arial" w:cs="Arial"/>
          <w:noProof/>
          <w:color w:val="000000" w:themeColor="text1"/>
          <w:sz w:val="22"/>
          <w:lang w:val="es-ES_tradnl"/>
        </w:rPr>
        <w:t>B</w:t>
      </w:r>
      <w:r w:rsidRPr="00222BE8" w:rsidR="00272923">
        <w:rPr>
          <w:rFonts w:ascii="Arial" w:hAnsi="Arial" w:cs="Arial"/>
          <w:noProof/>
          <w:color w:val="000000" w:themeColor="text1"/>
          <w:sz w:val="22"/>
          <w:lang w:val="es-ES_tradnl"/>
        </w:rPr>
        <w:t xml:space="preserve">ogotá D.C., </w:t>
      </w:r>
      <w:r>
        <w:rPr>
          <w:rFonts w:ascii="Arial" w:hAnsi="Arial" w:cs="Arial"/>
          <w:b/>
          <w:noProof/>
          <w:color w:val="000000" w:themeColor="text1"/>
          <w:sz w:val="22"/>
          <w:lang w:val="es-ES_tradnl"/>
        </w:rPr>
        <w:t>20/11/2020 9:13:35s</w:t>
      </w:r>
    </w:p>
    <w:p w:rsidRPr="00222BE8" w:rsidR="00272923" w:rsidP="00272923" w:rsidRDefault="00272923" w14:paraId="4D8A3159" w14:textId="60A0B609">
      <w:pPr>
        <w:spacing w:line="276" w:lineRule="auto"/>
        <w:jc w:val="right"/>
        <w:rPr>
          <w:rFonts w:ascii="Arial" w:hAnsi="Arial" w:cs="Arial"/>
          <w:b/>
          <w:noProof/>
          <w:color w:val="000000" w:themeColor="text1"/>
          <w:sz w:val="22"/>
          <w:lang w:val="es-ES_tradnl"/>
        </w:rPr>
      </w:pPr>
      <w:r w:rsidRPr="00222BE8">
        <w:rPr>
          <w:rFonts w:ascii="Arial" w:hAnsi="Arial" w:cs="Arial"/>
          <w:b/>
          <w:noProof/>
          <w:color w:val="000000" w:themeColor="text1"/>
          <w:sz w:val="22"/>
          <w:lang w:val="es-ES_tradnl"/>
        </w:rPr>
        <w:t xml:space="preserve">N° Radicado: </w:t>
      </w:r>
      <w:r w:rsidRPr="0005230B" w:rsidR="0005230B">
        <w:rPr>
          <w:rFonts w:ascii="Arial" w:hAnsi="Arial" w:cs="Arial"/>
          <w:b/>
          <w:noProof/>
          <w:color w:val="000000" w:themeColor="text1"/>
          <w:sz w:val="22"/>
          <w:lang w:val="es-ES_tradnl"/>
        </w:rPr>
        <w:t>2202013000011479</w:t>
      </w:r>
    </w:p>
    <w:p w:rsidRPr="00222BE8" w:rsidR="00272923" w:rsidP="00272923" w:rsidRDefault="00272923" w14:paraId="4D8A315A" w14:textId="77777777">
      <w:pPr>
        <w:jc w:val="both"/>
        <w:rPr>
          <w:rFonts w:ascii="Arial" w:hAnsi="Arial" w:cs="Arial"/>
          <w:b/>
          <w:color w:val="000000" w:themeColor="text1"/>
          <w:sz w:val="22"/>
          <w:lang w:val="es-ES_tradnl"/>
        </w:rPr>
      </w:pPr>
    </w:p>
    <w:p w:rsidRPr="00222BE8" w:rsidR="00272923" w:rsidP="00272923" w:rsidRDefault="00272923" w14:paraId="4D8A315B" w14:textId="77777777">
      <w:pPr>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Señor</w:t>
      </w:r>
    </w:p>
    <w:p w:rsidRPr="00222BE8" w:rsidR="00272923" w:rsidP="00272923" w:rsidRDefault="00272923" w14:paraId="4D8A315C" w14:textId="77777777">
      <w:pPr>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Edwin Buitrago Duarte</w:t>
      </w:r>
    </w:p>
    <w:p w:rsidRPr="00222BE8" w:rsidR="00272923" w:rsidP="00272923" w:rsidRDefault="00272923" w14:paraId="4D8A315D" w14:textId="77777777">
      <w:pPr>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Ciudad</w:t>
      </w:r>
    </w:p>
    <w:p w:rsidRPr="00222BE8" w:rsidR="00272923" w:rsidP="00272923" w:rsidRDefault="00272923" w14:paraId="4D8A315E" w14:textId="77777777">
      <w:pPr>
        <w:jc w:val="both"/>
        <w:rPr>
          <w:rFonts w:ascii="Arial" w:hAnsi="Arial" w:eastAsia="Calibri" w:cs="Arial"/>
          <w:color w:val="000000" w:themeColor="text1"/>
          <w:sz w:val="22"/>
          <w:lang w:val="es-ES_tradnl"/>
        </w:rPr>
      </w:pPr>
    </w:p>
    <w:p w:rsidRPr="00222BE8" w:rsidR="00272923" w:rsidP="00272923" w:rsidRDefault="00272923" w14:paraId="4D8A315F" w14:textId="77777777">
      <w:pPr>
        <w:jc w:val="both"/>
        <w:rPr>
          <w:rFonts w:ascii="Arial" w:hAnsi="Arial" w:eastAsia="Calibri" w:cs="Arial"/>
          <w:color w:val="000000" w:themeColor="text1"/>
          <w:sz w:val="22"/>
          <w:lang w:val="es-ES_tradnl"/>
        </w:rPr>
      </w:pPr>
    </w:p>
    <w:p w:rsidRPr="00222BE8" w:rsidR="00272923" w:rsidP="00272923" w:rsidRDefault="00744A9D" w14:paraId="4D8A3160" w14:textId="77777777">
      <w:pPr>
        <w:jc w:val="center"/>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Concepto C ‒ 66</w:t>
      </w:r>
      <w:r w:rsidR="001C774A">
        <w:rPr>
          <w:rFonts w:ascii="Arial" w:hAnsi="Arial" w:eastAsia="Calibri" w:cs="Arial"/>
          <w:b/>
          <w:bCs/>
          <w:color w:val="000000" w:themeColor="text1"/>
          <w:sz w:val="22"/>
          <w:lang w:val="es-ES_tradnl"/>
        </w:rPr>
        <w:t>8</w:t>
      </w:r>
      <w:r w:rsidRPr="00222BE8" w:rsidR="00272923">
        <w:rPr>
          <w:rFonts w:ascii="Arial" w:hAnsi="Arial" w:eastAsia="Calibri" w:cs="Arial"/>
          <w:b/>
          <w:bCs/>
          <w:color w:val="000000" w:themeColor="text1"/>
          <w:sz w:val="22"/>
          <w:lang w:val="es-ES_tradnl"/>
        </w:rPr>
        <w:t xml:space="preserve"> de 2020</w:t>
      </w:r>
    </w:p>
    <w:p w:rsidRPr="00222BE8" w:rsidR="00272923" w:rsidP="00272923" w:rsidRDefault="00272923" w14:paraId="4D8A3161" w14:textId="77777777">
      <w:pPr>
        <w:jc w:val="both"/>
        <w:rPr>
          <w:rFonts w:ascii="Arial" w:hAnsi="Arial" w:eastAsia="Calibri" w:cs="Arial"/>
          <w:color w:val="000000" w:themeColor="text1"/>
          <w:sz w:val="22"/>
          <w:lang w:val="es-ES_tradnl"/>
        </w:rPr>
      </w:pPr>
    </w:p>
    <w:p w:rsidRPr="00222BE8" w:rsidR="00272923" w:rsidP="00272923" w:rsidRDefault="00272923" w14:paraId="4D8A3163"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22BE8" w:rsidR="00272923" w:rsidTr="00EB296C" w14:paraId="4D8A3166" w14:textId="77777777">
        <w:tc>
          <w:tcPr>
            <w:tcW w:w="2689" w:type="dxa"/>
          </w:tcPr>
          <w:p w:rsidRPr="00222BE8" w:rsidR="00272923" w:rsidP="00EB296C" w:rsidRDefault="00272923" w14:paraId="4D8A3164" w14:textId="77777777">
            <w:pPr>
              <w:jc w:val="both"/>
              <w:rPr>
                <w:rFonts w:ascii="Arial" w:hAnsi="Arial" w:eastAsia="Calibri" w:cs="Arial"/>
                <w:color w:val="000000" w:themeColor="text1"/>
                <w:sz w:val="22"/>
                <w:lang w:val="es-ES_tradnl"/>
              </w:rPr>
            </w:pPr>
            <w:r w:rsidRPr="00222BE8">
              <w:rPr>
                <w:rFonts w:ascii="Arial" w:hAnsi="Arial" w:eastAsia="Calibri" w:cs="Arial"/>
                <w:b/>
                <w:color w:val="000000" w:themeColor="text1"/>
                <w:sz w:val="22"/>
                <w:lang w:val="es-ES_tradnl"/>
              </w:rPr>
              <w:t>Temas:</w:t>
            </w:r>
            <w:r w:rsidRPr="00222BE8">
              <w:rPr>
                <w:rFonts w:ascii="Arial" w:hAnsi="Arial" w:eastAsia="Calibri" w:cs="Arial"/>
                <w:color w:val="000000" w:themeColor="text1"/>
                <w:sz w:val="22"/>
                <w:lang w:val="es-ES_tradnl"/>
              </w:rPr>
              <w:t xml:space="preserve">                                      </w:t>
            </w:r>
          </w:p>
        </w:tc>
        <w:tc>
          <w:tcPr>
            <w:tcW w:w="6237" w:type="dxa"/>
          </w:tcPr>
          <w:p w:rsidRPr="00BE4C16" w:rsidR="00272923" w:rsidP="00C2382F" w:rsidRDefault="00BE4C16" w14:paraId="4D8A3165" w14:textId="5E658BF8">
            <w:pPr>
              <w:jc w:val="both"/>
              <w:rPr>
                <w:rFonts w:ascii="Arial" w:hAnsi="Arial" w:eastAsia="Calibri" w:cs="Arial"/>
                <w:color w:val="000000" w:themeColor="text1"/>
                <w:sz w:val="22"/>
              </w:rPr>
            </w:pPr>
            <w:r w:rsidRPr="00BE4C16">
              <w:rPr>
                <w:rFonts w:ascii="Arial" w:hAnsi="Arial" w:eastAsia="Calibri" w:cs="Arial"/>
                <w:color w:val="000000" w:themeColor="text1"/>
                <w:sz w:val="22"/>
              </w:rPr>
              <w:t xml:space="preserve">CAPACIDAD RESIDUAL – Definición / CAPACIDAD RESIDUAL – Alcance – Aplicabilidad – </w:t>
            </w:r>
            <w:r w:rsidRPr="00BE4C16" w:rsidR="00C2382F">
              <w:rPr>
                <w:rFonts w:ascii="Arial" w:hAnsi="Arial" w:eastAsia="Calibri" w:cs="Arial"/>
                <w:color w:val="000000" w:themeColor="text1"/>
                <w:sz w:val="22"/>
              </w:rPr>
              <w:t>M</w:t>
            </w:r>
            <w:r w:rsidR="00C2382F">
              <w:rPr>
                <w:rFonts w:ascii="Arial" w:hAnsi="Arial" w:eastAsia="Calibri" w:cs="Arial"/>
                <w:color w:val="000000" w:themeColor="text1"/>
                <w:sz w:val="22"/>
              </w:rPr>
              <w:t>ínima cuantía</w:t>
            </w:r>
          </w:p>
        </w:tc>
      </w:tr>
      <w:tr w:rsidRPr="00222BE8" w:rsidR="00272923" w:rsidTr="00EB296C" w14:paraId="4D8A316A" w14:textId="77777777">
        <w:tc>
          <w:tcPr>
            <w:tcW w:w="2689" w:type="dxa"/>
          </w:tcPr>
          <w:p w:rsidRPr="00222BE8" w:rsidR="00272923" w:rsidP="00EB296C" w:rsidRDefault="00272923" w14:paraId="4D8A3167" w14:textId="77777777">
            <w:pPr>
              <w:spacing w:before="120"/>
              <w:jc w:val="both"/>
              <w:rPr>
                <w:rFonts w:ascii="Arial" w:hAnsi="Arial" w:eastAsia="Calibri" w:cs="Arial"/>
                <w:b/>
                <w:color w:val="000000" w:themeColor="text1"/>
                <w:sz w:val="22"/>
                <w:lang w:val="es-ES_tradnl"/>
              </w:rPr>
            </w:pPr>
            <w:r w:rsidRPr="00222BE8">
              <w:rPr>
                <w:rFonts w:ascii="Arial" w:hAnsi="Arial" w:eastAsia="Calibri" w:cs="Arial"/>
                <w:b/>
                <w:color w:val="000000" w:themeColor="text1"/>
                <w:sz w:val="22"/>
                <w:lang w:val="es-ES_tradnl"/>
              </w:rPr>
              <w:t>Radicación:</w:t>
            </w:r>
            <w:r w:rsidRPr="00222BE8">
              <w:rPr>
                <w:rFonts w:ascii="Arial" w:hAnsi="Arial" w:eastAsia="Calibri" w:cs="Arial"/>
                <w:color w:val="000000" w:themeColor="text1"/>
                <w:sz w:val="22"/>
                <w:lang w:val="es-ES_tradnl"/>
              </w:rPr>
              <w:t xml:space="preserve">                              </w:t>
            </w:r>
          </w:p>
        </w:tc>
        <w:tc>
          <w:tcPr>
            <w:tcW w:w="6237" w:type="dxa"/>
          </w:tcPr>
          <w:p w:rsidRPr="00222BE8" w:rsidR="00272923" w:rsidP="00EB296C" w:rsidRDefault="00272923" w14:paraId="4D8A3168" w14:textId="77777777">
            <w:pPr>
              <w:spacing w:before="120"/>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 xml:space="preserve">Respuesta a consulta # </w:t>
            </w:r>
            <w:r w:rsidRPr="00272923">
              <w:rPr>
                <w:rFonts w:ascii="Arial" w:hAnsi="Arial" w:eastAsia="Calibri" w:cs="Arial"/>
                <w:color w:val="000000" w:themeColor="text1"/>
                <w:sz w:val="22"/>
                <w:lang w:val="es-ES_tradnl"/>
              </w:rPr>
              <w:t>4202013000009114</w:t>
            </w:r>
          </w:p>
          <w:p w:rsidRPr="00222BE8" w:rsidR="00272923" w:rsidP="00EB296C" w:rsidRDefault="00272923" w14:paraId="4D8A3169" w14:textId="77777777">
            <w:pPr>
              <w:spacing w:before="120"/>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 xml:space="preserve"> </w:t>
            </w:r>
          </w:p>
        </w:tc>
      </w:tr>
    </w:tbl>
    <w:p w:rsidRPr="00222BE8" w:rsidR="00272923" w:rsidP="00272923" w:rsidRDefault="00272923" w14:paraId="4D8A316C" w14:textId="77777777">
      <w:pPr>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 xml:space="preserve">Estimado señor </w:t>
      </w:r>
      <w:r>
        <w:rPr>
          <w:rFonts w:ascii="Arial" w:hAnsi="Arial" w:eastAsia="Calibri" w:cs="Arial"/>
          <w:color w:val="000000" w:themeColor="text1"/>
          <w:sz w:val="22"/>
          <w:lang w:val="es-ES_tradnl"/>
        </w:rPr>
        <w:t>Buitrago:</w:t>
      </w:r>
    </w:p>
    <w:p w:rsidRPr="00222BE8" w:rsidR="00272923" w:rsidP="00272923" w:rsidRDefault="00272923" w14:paraId="4D8A316D" w14:textId="77777777">
      <w:pPr>
        <w:jc w:val="both"/>
        <w:rPr>
          <w:rFonts w:ascii="Arial" w:hAnsi="Arial" w:eastAsia="Calibri" w:cs="Arial"/>
          <w:color w:val="000000" w:themeColor="text1"/>
          <w:sz w:val="22"/>
          <w:lang w:val="es-ES_tradnl"/>
        </w:rPr>
      </w:pPr>
    </w:p>
    <w:p w:rsidRPr="00222BE8" w:rsidR="00272923" w:rsidP="00272923" w:rsidRDefault="00272923" w14:paraId="4D8A316E" w14:textId="77777777">
      <w:pPr>
        <w:spacing w:line="276" w:lineRule="auto"/>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lastRenderedPageBreak/>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hAnsi="Arial" w:eastAsia="Calibri" w:cs="Arial"/>
          <w:color w:val="000000" w:themeColor="text1"/>
          <w:sz w:val="22"/>
          <w:lang w:val="es-ES_tradnl"/>
        </w:rPr>
        <w:t>8</w:t>
      </w:r>
      <w:r w:rsidRPr="00222BE8">
        <w:rPr>
          <w:rFonts w:ascii="Arial" w:hAnsi="Arial" w:eastAsia="Calibri" w:cs="Arial"/>
          <w:color w:val="000000" w:themeColor="text1"/>
          <w:sz w:val="22"/>
          <w:lang w:val="es-ES_tradnl"/>
        </w:rPr>
        <w:t xml:space="preserve"> de </w:t>
      </w:r>
      <w:r w:rsidR="000444FE">
        <w:rPr>
          <w:rFonts w:ascii="Arial" w:hAnsi="Arial" w:eastAsia="Calibri" w:cs="Arial"/>
          <w:color w:val="000000" w:themeColor="text1"/>
          <w:sz w:val="22"/>
          <w:lang w:val="es-ES_tradnl"/>
        </w:rPr>
        <w:t xml:space="preserve">octubre </w:t>
      </w:r>
      <w:r w:rsidRPr="00222BE8">
        <w:rPr>
          <w:rFonts w:ascii="Arial" w:hAnsi="Arial" w:eastAsia="Calibri" w:cs="Arial"/>
          <w:color w:val="000000" w:themeColor="text1"/>
          <w:sz w:val="22"/>
          <w:lang w:val="es-ES_tradnl"/>
        </w:rPr>
        <w:t>del 2020.</w:t>
      </w:r>
    </w:p>
    <w:p w:rsidRPr="00222BE8" w:rsidR="00272923" w:rsidP="00272923" w:rsidRDefault="00272923" w14:paraId="4D8A316F" w14:textId="77777777">
      <w:pPr>
        <w:spacing w:line="276" w:lineRule="auto"/>
        <w:jc w:val="both"/>
        <w:rPr>
          <w:rFonts w:ascii="Arial" w:hAnsi="Arial" w:eastAsia="Calibri" w:cs="Arial"/>
          <w:b/>
          <w:color w:val="000000" w:themeColor="text1"/>
          <w:sz w:val="22"/>
          <w:lang w:val="es-ES_tradnl"/>
        </w:rPr>
      </w:pPr>
    </w:p>
    <w:p w:rsidRPr="00222BE8" w:rsidR="00272923" w:rsidP="00272923" w:rsidRDefault="00272923" w14:paraId="4D8A3170" w14:textId="77777777">
      <w:pPr>
        <w:pStyle w:val="Prrafodelista"/>
        <w:numPr>
          <w:ilvl w:val="0"/>
          <w:numId w:val="1"/>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222BE8">
        <w:rPr>
          <w:rFonts w:ascii="Arial" w:hAnsi="Arial" w:eastAsia="Calibri" w:cs="Arial"/>
          <w:b/>
          <w:color w:val="000000" w:themeColor="text1"/>
          <w:sz w:val="22"/>
          <w:lang w:val="es-ES_tradnl"/>
        </w:rPr>
        <w:t xml:space="preserve">Problema planteado </w:t>
      </w:r>
    </w:p>
    <w:p w:rsidRPr="00222BE8" w:rsidR="00272923" w:rsidP="00272923" w:rsidRDefault="00272923" w14:paraId="4D8A3171" w14:textId="77777777">
      <w:pPr>
        <w:tabs>
          <w:tab w:val="left" w:pos="426"/>
        </w:tabs>
        <w:spacing w:line="276" w:lineRule="auto"/>
        <w:jc w:val="both"/>
        <w:rPr>
          <w:rFonts w:ascii="Arial" w:hAnsi="Arial" w:eastAsia="Calibri" w:cs="Arial"/>
          <w:b/>
          <w:color w:val="000000" w:themeColor="text1"/>
          <w:sz w:val="22"/>
          <w:lang w:val="es-ES_tradnl"/>
        </w:rPr>
      </w:pPr>
    </w:p>
    <w:p w:rsidR="00272923" w:rsidP="00272923" w:rsidRDefault="00272923" w14:paraId="4D8A3172" w14:textId="77777777">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Usted realiza la siguiente pregunta:</w:t>
      </w:r>
      <w:r>
        <w:rPr>
          <w:rFonts w:ascii="Arial" w:hAnsi="Arial" w:cs="Arial"/>
          <w:color w:val="000000" w:themeColor="text1"/>
          <w:sz w:val="22"/>
          <w:lang w:val="es-ES_tradnl"/>
        </w:rPr>
        <w:t xml:space="preserve"> </w:t>
      </w:r>
      <w:r w:rsidR="00476AFB">
        <w:rPr>
          <w:rFonts w:ascii="Arial" w:hAnsi="Arial" w:cs="Arial"/>
          <w:color w:val="000000" w:themeColor="text1"/>
          <w:sz w:val="22"/>
          <w:lang w:val="es-ES_tradnl"/>
        </w:rPr>
        <w:t>«</w:t>
      </w:r>
      <w:r w:rsidRPr="00272923">
        <w:rPr>
          <w:rFonts w:ascii="Arial" w:hAnsi="Arial" w:cs="Arial"/>
          <w:color w:val="000000" w:themeColor="text1"/>
          <w:sz w:val="22"/>
          <w:lang w:val="es-ES_tradnl"/>
        </w:rPr>
        <w:t xml:space="preserve">¿Es aplicable en los procesos de obra realizados a través de mínima cuantía, lo establecido en el </w:t>
      </w:r>
      <w:r>
        <w:rPr>
          <w:rFonts w:ascii="Arial" w:hAnsi="Arial" w:cs="Arial"/>
          <w:color w:val="000000" w:themeColor="text1"/>
          <w:sz w:val="22"/>
          <w:lang w:val="es-ES_tradnl"/>
        </w:rPr>
        <w:t>a</w:t>
      </w:r>
      <w:r w:rsidRPr="00272923">
        <w:rPr>
          <w:rFonts w:ascii="Arial" w:hAnsi="Arial" w:cs="Arial"/>
          <w:color w:val="000000" w:themeColor="text1"/>
          <w:sz w:val="22"/>
          <w:lang w:val="es-ES_tradnl"/>
        </w:rPr>
        <w:t>rtículo 72 de la Ley 1682 de 2013?</w:t>
      </w:r>
      <w:r w:rsidRPr="00222BE8">
        <w:rPr>
          <w:rFonts w:ascii="Arial" w:hAnsi="Arial" w:cs="Arial"/>
          <w:color w:val="000000" w:themeColor="text1"/>
          <w:sz w:val="22"/>
          <w:lang w:val="es-ES_tradnl"/>
        </w:rPr>
        <w:t>»</w:t>
      </w:r>
      <w:r>
        <w:rPr>
          <w:rFonts w:ascii="Arial" w:hAnsi="Arial" w:cs="Arial"/>
          <w:color w:val="000000" w:themeColor="text1"/>
          <w:sz w:val="22"/>
          <w:lang w:val="es-ES_tradnl"/>
        </w:rPr>
        <w:t xml:space="preserve"> </w:t>
      </w:r>
    </w:p>
    <w:p w:rsidRPr="00222BE8" w:rsidR="00272923" w:rsidP="00272923" w:rsidRDefault="00272923" w14:paraId="4D8A3173" w14:textId="77777777">
      <w:pPr>
        <w:tabs>
          <w:tab w:val="left" w:pos="426"/>
        </w:tabs>
        <w:spacing w:line="276" w:lineRule="auto"/>
        <w:jc w:val="both"/>
        <w:rPr>
          <w:rFonts w:ascii="Arial" w:hAnsi="Arial" w:eastAsia="Calibri" w:cs="Arial"/>
          <w:color w:val="000000" w:themeColor="text1"/>
          <w:sz w:val="22"/>
          <w:lang w:val="es-ES_tradnl"/>
        </w:rPr>
      </w:pPr>
    </w:p>
    <w:p w:rsidRPr="00222BE8" w:rsidR="00272923" w:rsidP="00272923" w:rsidRDefault="00272923" w14:paraId="4D8A3174" w14:textId="77777777">
      <w:pPr>
        <w:pStyle w:val="Prrafodelista"/>
        <w:numPr>
          <w:ilvl w:val="0"/>
          <w:numId w:val="1"/>
        </w:numPr>
        <w:tabs>
          <w:tab w:val="left" w:pos="0"/>
          <w:tab w:val="left" w:pos="284"/>
        </w:tabs>
        <w:ind w:left="0" w:firstLine="0"/>
        <w:jc w:val="both"/>
        <w:rPr>
          <w:rFonts w:ascii="Arial" w:hAnsi="Arial" w:eastAsia="Calibri" w:cs="Arial"/>
          <w:b/>
          <w:color w:val="000000" w:themeColor="text1"/>
          <w:sz w:val="22"/>
          <w:lang w:val="es-ES_tradnl"/>
        </w:rPr>
      </w:pPr>
      <w:r w:rsidRPr="00222BE8">
        <w:rPr>
          <w:rFonts w:ascii="Arial" w:hAnsi="Arial" w:eastAsia="Calibri" w:cs="Arial"/>
          <w:b/>
          <w:color w:val="000000" w:themeColor="text1"/>
          <w:sz w:val="22"/>
          <w:lang w:val="es-ES_tradnl"/>
        </w:rPr>
        <w:t>Consideraciones</w:t>
      </w:r>
    </w:p>
    <w:p w:rsidRPr="00222BE8" w:rsidR="00272923" w:rsidP="00272923" w:rsidRDefault="00272923" w14:paraId="4D8A3175" w14:textId="77777777">
      <w:pPr>
        <w:spacing w:line="276" w:lineRule="auto"/>
        <w:jc w:val="both"/>
        <w:rPr>
          <w:rFonts w:ascii="Arial" w:hAnsi="Arial" w:eastAsia="Calibri" w:cs="Arial"/>
          <w:color w:val="000000" w:themeColor="text1"/>
          <w:sz w:val="20"/>
          <w:szCs w:val="20"/>
          <w:lang w:val="es-ES_tradnl"/>
        </w:rPr>
      </w:pPr>
    </w:p>
    <w:p w:rsidR="001C774A" w:rsidP="001C774A" w:rsidRDefault="00272923" w14:paraId="4D8A3176" w14:textId="77777777">
      <w:pPr>
        <w:spacing w:line="276" w:lineRule="auto"/>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Para resolver su consulta, se analizarán los siguientes temas: i) concepto</w:t>
      </w:r>
      <w:r>
        <w:rPr>
          <w:rFonts w:ascii="Arial" w:hAnsi="Arial" w:eastAsia="Calibri" w:cs="Arial"/>
          <w:color w:val="000000" w:themeColor="text1"/>
          <w:sz w:val="22"/>
          <w:lang w:val="es-ES_tradnl"/>
        </w:rPr>
        <w:t xml:space="preserve"> de </w:t>
      </w:r>
      <w:r w:rsidR="001C774A">
        <w:rPr>
          <w:rFonts w:ascii="Arial" w:hAnsi="Arial" w:eastAsia="Calibri" w:cs="Arial"/>
          <w:color w:val="000000" w:themeColor="text1"/>
          <w:sz w:val="22"/>
          <w:lang w:val="es-ES_tradnl"/>
        </w:rPr>
        <w:t>capacidad residual</w:t>
      </w:r>
      <w:r w:rsidRPr="00222BE8">
        <w:rPr>
          <w:rFonts w:ascii="Arial" w:hAnsi="Arial" w:eastAsia="Calibri" w:cs="Arial"/>
          <w:color w:val="000000" w:themeColor="text1"/>
          <w:sz w:val="22"/>
          <w:lang w:val="es-ES_tradnl"/>
        </w:rPr>
        <w:t xml:space="preserve">, </w:t>
      </w:r>
      <w:r>
        <w:rPr>
          <w:rFonts w:ascii="Arial" w:hAnsi="Arial" w:eastAsia="Calibri" w:cs="Arial"/>
          <w:color w:val="000000" w:themeColor="text1"/>
          <w:sz w:val="22"/>
          <w:lang w:val="es-ES_tradnl"/>
        </w:rPr>
        <w:t xml:space="preserve">y </w:t>
      </w:r>
      <w:r w:rsidRPr="00222BE8">
        <w:rPr>
          <w:rFonts w:ascii="Arial" w:hAnsi="Arial" w:eastAsia="Calibri" w:cs="Arial"/>
          <w:color w:val="000000" w:themeColor="text1"/>
          <w:sz w:val="22"/>
          <w:lang w:val="es-ES_tradnl"/>
        </w:rPr>
        <w:t xml:space="preserve">ii) </w:t>
      </w:r>
      <w:r w:rsidR="001C774A">
        <w:rPr>
          <w:rFonts w:ascii="Arial" w:hAnsi="Arial" w:eastAsia="Calibri" w:cs="Arial"/>
          <w:color w:val="000000" w:themeColor="text1"/>
          <w:sz w:val="22"/>
          <w:lang w:val="es-ES_tradnl"/>
        </w:rPr>
        <w:t xml:space="preserve">el alcance de los artículos </w:t>
      </w:r>
      <w:r w:rsidRPr="001C774A" w:rsidR="001C774A">
        <w:rPr>
          <w:rFonts w:ascii="Arial" w:hAnsi="Arial" w:eastAsia="Calibri" w:cs="Arial"/>
          <w:color w:val="000000" w:themeColor="text1"/>
          <w:sz w:val="22"/>
          <w:lang w:val="es-ES_tradnl"/>
        </w:rPr>
        <w:t>6 Ley 1150 de 2007</w:t>
      </w:r>
      <w:r w:rsidR="001C774A">
        <w:rPr>
          <w:rFonts w:ascii="Arial" w:hAnsi="Arial" w:eastAsia="Calibri" w:cs="Arial"/>
          <w:color w:val="000000" w:themeColor="text1"/>
          <w:sz w:val="22"/>
          <w:lang w:val="es-ES_tradnl"/>
        </w:rPr>
        <w:t xml:space="preserve"> y art</w:t>
      </w:r>
      <w:r w:rsidRPr="001C774A" w:rsidR="001C774A">
        <w:rPr>
          <w:rFonts w:ascii="Arial" w:hAnsi="Arial" w:eastAsia="Calibri" w:cs="Arial"/>
          <w:color w:val="000000" w:themeColor="text1"/>
          <w:sz w:val="22"/>
          <w:lang w:val="es-ES_tradnl"/>
        </w:rPr>
        <w:t>ículo 72 de la Ley 1682</w:t>
      </w:r>
      <w:r w:rsidR="001C774A">
        <w:rPr>
          <w:rFonts w:ascii="Arial" w:hAnsi="Arial" w:eastAsia="Calibri" w:cs="Arial"/>
          <w:color w:val="000000" w:themeColor="text1"/>
          <w:sz w:val="22"/>
          <w:lang w:val="es-ES_tradnl"/>
        </w:rPr>
        <w:t xml:space="preserve"> de 2013.</w:t>
      </w:r>
    </w:p>
    <w:p w:rsidRPr="001C774A" w:rsidR="001C774A" w:rsidP="001C774A" w:rsidRDefault="001C774A" w14:paraId="4D8A3177" w14:textId="77777777">
      <w:pPr>
        <w:spacing w:line="276" w:lineRule="auto"/>
        <w:jc w:val="both"/>
        <w:rPr>
          <w:rFonts w:ascii="Arial" w:hAnsi="Arial" w:eastAsia="Calibri" w:cs="Arial"/>
          <w:color w:val="000000" w:themeColor="text1"/>
          <w:sz w:val="22"/>
          <w:lang w:val="es-ES_tradnl"/>
        </w:rPr>
      </w:pPr>
    </w:p>
    <w:p w:rsidRPr="00222BE8" w:rsidR="00272923" w:rsidP="00272923" w:rsidRDefault="00272923" w14:paraId="4D8A3178" w14:textId="77777777">
      <w:pPr>
        <w:spacing w:line="276" w:lineRule="auto"/>
        <w:jc w:val="both"/>
        <w:rPr>
          <w:rFonts w:ascii="Arial" w:hAnsi="Arial" w:eastAsia="Calibri" w:cs="Arial"/>
          <w:b/>
          <w:color w:val="000000" w:themeColor="text1"/>
          <w:sz w:val="22"/>
          <w:lang w:val="es-ES_tradnl"/>
        </w:rPr>
      </w:pPr>
      <w:r w:rsidRPr="00222BE8">
        <w:rPr>
          <w:rFonts w:ascii="Arial" w:hAnsi="Arial" w:eastAsia="Calibri" w:cs="Arial"/>
          <w:b/>
          <w:color w:val="000000" w:themeColor="text1"/>
          <w:sz w:val="22"/>
          <w:lang w:val="es-ES_tradnl"/>
        </w:rPr>
        <w:t>2.</w:t>
      </w:r>
      <w:r>
        <w:rPr>
          <w:rFonts w:ascii="Arial" w:hAnsi="Arial" w:eastAsia="Calibri" w:cs="Arial"/>
          <w:b/>
          <w:color w:val="000000" w:themeColor="text1"/>
          <w:sz w:val="22"/>
          <w:lang w:val="es-ES_tradnl"/>
        </w:rPr>
        <w:t>1</w:t>
      </w:r>
      <w:r w:rsidRPr="00222BE8">
        <w:rPr>
          <w:rFonts w:ascii="Arial" w:hAnsi="Arial" w:eastAsia="Calibri" w:cs="Arial"/>
          <w:b/>
          <w:color w:val="000000" w:themeColor="text1"/>
          <w:sz w:val="22"/>
          <w:lang w:val="es-ES_tradnl"/>
        </w:rPr>
        <w:t xml:space="preserve">. </w:t>
      </w:r>
      <w:r w:rsidR="001C774A">
        <w:rPr>
          <w:rFonts w:ascii="Arial" w:hAnsi="Arial" w:eastAsia="Calibri" w:cs="Arial"/>
          <w:b/>
          <w:color w:val="000000" w:themeColor="text1"/>
          <w:sz w:val="22"/>
          <w:lang w:val="es-ES_tradnl"/>
        </w:rPr>
        <w:t>Capacidad Residual</w:t>
      </w:r>
      <w:r w:rsidRPr="00222BE8">
        <w:rPr>
          <w:rFonts w:ascii="Arial" w:hAnsi="Arial" w:eastAsia="Calibri" w:cs="Arial"/>
          <w:b/>
          <w:color w:val="000000" w:themeColor="text1"/>
          <w:sz w:val="22"/>
          <w:lang w:val="es-ES_tradnl"/>
        </w:rPr>
        <w:t>. Concepto y régimen jurídico aplicable</w:t>
      </w:r>
    </w:p>
    <w:p w:rsidRPr="00222BE8" w:rsidR="00272923" w:rsidP="00272923" w:rsidRDefault="00272923" w14:paraId="4D8A3179" w14:textId="77777777">
      <w:pPr>
        <w:spacing w:line="276" w:lineRule="auto"/>
        <w:jc w:val="both"/>
        <w:rPr>
          <w:rFonts w:ascii="Arial" w:hAnsi="Arial" w:eastAsia="Calibri" w:cs="Arial"/>
          <w:color w:val="000000" w:themeColor="text1"/>
          <w:sz w:val="22"/>
          <w:lang w:val="es-ES_tradnl"/>
        </w:rPr>
      </w:pPr>
    </w:p>
    <w:p w:rsidRPr="00543959" w:rsidR="001202B9" w:rsidP="001202B9" w:rsidRDefault="001202B9" w14:paraId="4D8A317A" w14:textId="50B356F7">
      <w:pPr>
        <w:spacing w:line="276" w:lineRule="auto"/>
        <w:jc w:val="both"/>
        <w:rPr>
          <w:rFonts w:ascii="Arial" w:hAnsi="Arial" w:eastAsia="Calibri" w:cs="Arial"/>
          <w:color w:val="000000" w:themeColor="text1"/>
          <w:sz w:val="22"/>
        </w:rPr>
      </w:pPr>
      <w:r w:rsidRPr="00543959">
        <w:rPr>
          <w:rFonts w:ascii="Arial" w:hAnsi="Arial" w:eastAsia="Calibri" w:cs="Arial"/>
          <w:color w:val="000000" w:themeColor="text1"/>
          <w:sz w:val="22"/>
        </w:rPr>
        <w:t xml:space="preserve">La Agencia Nacional de Contratación Pública − Colombia Compra Eficiente se ha pronunciado sobre la capacidad residual y la forma en que se debe </w:t>
      </w:r>
      <w:r w:rsidR="00C5587C">
        <w:rPr>
          <w:rFonts w:ascii="Arial" w:hAnsi="Arial" w:eastAsia="Calibri" w:cs="Arial"/>
          <w:color w:val="000000" w:themeColor="text1"/>
          <w:sz w:val="22"/>
        </w:rPr>
        <w:t>acreditar</w:t>
      </w:r>
      <w:r w:rsidRPr="00543959">
        <w:rPr>
          <w:rFonts w:ascii="Arial" w:hAnsi="Arial" w:eastAsia="Calibri" w:cs="Arial"/>
          <w:color w:val="000000" w:themeColor="text1"/>
          <w:sz w:val="22"/>
        </w:rPr>
        <w:t>, en los conceptos del 27 de agosto y el 20 y 26 (2) de diciembre de 2019 −radicados Nos. 2201913000006275, 2201913000009465, 2201913000009642 y 2201913000009640−. Así como también en los conceptos C-022, C-089, C-112, C-133</w:t>
      </w:r>
      <w:r w:rsidR="00DD76C0">
        <w:rPr>
          <w:rFonts w:ascii="Arial" w:hAnsi="Arial" w:eastAsia="Calibri" w:cs="Arial"/>
          <w:color w:val="000000" w:themeColor="text1"/>
          <w:sz w:val="22"/>
        </w:rPr>
        <w:t>,</w:t>
      </w:r>
      <w:r w:rsidRPr="00543959">
        <w:rPr>
          <w:rFonts w:ascii="Arial" w:hAnsi="Arial" w:eastAsia="Calibri" w:cs="Arial"/>
          <w:color w:val="000000" w:themeColor="text1"/>
          <w:sz w:val="22"/>
        </w:rPr>
        <w:t xml:space="preserve"> C-222</w:t>
      </w:r>
      <w:r w:rsidR="00DD76C0">
        <w:rPr>
          <w:rFonts w:ascii="Arial" w:hAnsi="Arial" w:eastAsia="Calibri" w:cs="Arial"/>
          <w:color w:val="000000" w:themeColor="text1"/>
          <w:sz w:val="22"/>
        </w:rPr>
        <w:t xml:space="preserve"> y C-</w:t>
      </w:r>
      <w:r w:rsidR="00572132">
        <w:rPr>
          <w:rFonts w:ascii="Arial" w:hAnsi="Arial" w:eastAsia="Calibri" w:cs="Arial"/>
          <w:color w:val="000000" w:themeColor="text1"/>
          <w:sz w:val="22"/>
        </w:rPr>
        <w:t>458 de 2020</w:t>
      </w:r>
      <w:r w:rsidRPr="00543959">
        <w:rPr>
          <w:rFonts w:ascii="Arial" w:hAnsi="Arial" w:eastAsia="Calibri" w:cs="Arial"/>
          <w:color w:val="000000" w:themeColor="text1"/>
          <w:sz w:val="22"/>
        </w:rPr>
        <w:t>. La</w:t>
      </w:r>
      <w:r w:rsidR="00C5587C">
        <w:rPr>
          <w:rFonts w:ascii="Arial" w:hAnsi="Arial" w:eastAsia="Calibri" w:cs="Arial"/>
          <w:color w:val="000000" w:themeColor="text1"/>
          <w:sz w:val="22"/>
        </w:rPr>
        <w:t>s</w:t>
      </w:r>
      <w:r w:rsidRPr="00543959">
        <w:rPr>
          <w:rFonts w:ascii="Arial" w:hAnsi="Arial" w:eastAsia="Calibri" w:cs="Arial"/>
          <w:color w:val="000000" w:themeColor="text1"/>
          <w:sz w:val="22"/>
        </w:rPr>
        <w:t xml:space="preserve"> tesis</w:t>
      </w:r>
      <w:r w:rsidR="00C5587C">
        <w:rPr>
          <w:rFonts w:ascii="Arial" w:hAnsi="Arial" w:eastAsia="Calibri" w:cs="Arial"/>
          <w:color w:val="000000" w:themeColor="text1"/>
          <w:sz w:val="22"/>
        </w:rPr>
        <w:t xml:space="preserve"> </w:t>
      </w:r>
      <w:r w:rsidRPr="00543959">
        <w:rPr>
          <w:rFonts w:ascii="Arial" w:hAnsi="Arial" w:eastAsia="Calibri" w:cs="Arial"/>
          <w:color w:val="000000" w:themeColor="text1"/>
          <w:sz w:val="22"/>
        </w:rPr>
        <w:t>propuesta</w:t>
      </w:r>
      <w:r w:rsidR="00C5587C">
        <w:rPr>
          <w:rFonts w:ascii="Arial" w:hAnsi="Arial" w:eastAsia="Calibri" w:cs="Arial"/>
          <w:color w:val="000000" w:themeColor="text1"/>
          <w:sz w:val="22"/>
        </w:rPr>
        <w:t>s</w:t>
      </w:r>
      <w:r w:rsidRPr="00543959">
        <w:rPr>
          <w:rFonts w:ascii="Arial" w:hAnsi="Arial" w:eastAsia="Calibri" w:cs="Arial"/>
          <w:color w:val="000000" w:themeColor="text1"/>
          <w:sz w:val="22"/>
        </w:rPr>
        <w:t xml:space="preserve"> se </w:t>
      </w:r>
      <w:r w:rsidR="00C5587C">
        <w:rPr>
          <w:rFonts w:ascii="Arial" w:hAnsi="Arial" w:eastAsia="Calibri" w:cs="Arial"/>
          <w:color w:val="000000" w:themeColor="text1"/>
          <w:sz w:val="22"/>
        </w:rPr>
        <w:t>reiteran</w:t>
      </w:r>
      <w:r w:rsidRPr="00543959" w:rsidR="00C5587C">
        <w:rPr>
          <w:rFonts w:ascii="Arial" w:hAnsi="Arial" w:eastAsia="Calibri" w:cs="Arial"/>
          <w:color w:val="000000" w:themeColor="text1"/>
          <w:sz w:val="22"/>
        </w:rPr>
        <w:t xml:space="preserve"> </w:t>
      </w:r>
      <w:r w:rsidRPr="00543959">
        <w:rPr>
          <w:rFonts w:ascii="Arial" w:hAnsi="Arial" w:eastAsia="Calibri" w:cs="Arial"/>
          <w:color w:val="000000" w:themeColor="text1"/>
          <w:sz w:val="22"/>
        </w:rPr>
        <w:t>en las siguientes consideraciones</w:t>
      </w:r>
      <w:r w:rsidR="00C5587C">
        <w:rPr>
          <w:rFonts w:ascii="Arial" w:hAnsi="Arial" w:eastAsia="Calibri" w:cs="Arial"/>
          <w:color w:val="000000" w:themeColor="text1"/>
          <w:sz w:val="22"/>
        </w:rPr>
        <w:t>.</w:t>
      </w:r>
    </w:p>
    <w:p w:rsidRPr="00543959" w:rsidR="001202B9" w:rsidP="001202B9" w:rsidRDefault="001202B9" w14:paraId="4D8A317B" w14:textId="0B1C1F52">
      <w:pPr>
        <w:pStyle w:val="Textoindependiente"/>
        <w:spacing w:before="120" w:line="276" w:lineRule="auto"/>
        <w:ind w:right="51" w:firstLine="709"/>
        <w:jc w:val="both"/>
        <w:rPr>
          <w:color w:val="000000" w:themeColor="text1"/>
        </w:rPr>
      </w:pPr>
      <w:r w:rsidRPr="00543959">
        <w:rPr>
          <w:color w:val="000000" w:themeColor="text1"/>
        </w:rPr>
        <w:t>La capacidad residual es una aptitud que se exige a los oferentes con el objetivo de establecer o determinar si estos pueden o no cumplir de manera oportuna y a cabalidad las obligaciones derivadas del contrato de obra pública, sin que los demás compromisos contractuales que hubieran adquirido les afecte la habilidad de cumplir con el objeto del contrato que está en proceso de selección</w:t>
      </w:r>
      <w:r w:rsidRPr="00543959">
        <w:rPr>
          <w:rStyle w:val="Refdenotaalpie"/>
          <w:color w:val="000000" w:themeColor="text1"/>
        </w:rPr>
        <w:footnoteReference w:id="1"/>
      </w:r>
      <w:r w:rsidRPr="00543959">
        <w:rPr>
          <w:color w:val="000000" w:themeColor="text1"/>
        </w:rPr>
        <w:t>. El Consejo de Estado ha definido la capacidad residual como «la diferencia que existe entre el potencial de contratación que se tiene y los compromisos que haya adquirido y que se encuentren en ejecución, para la fecha de presentación de la oferta»</w:t>
      </w:r>
      <w:r w:rsidRPr="00543959">
        <w:rPr>
          <w:rStyle w:val="Refdenotaalpie"/>
          <w:color w:val="000000" w:themeColor="text1"/>
        </w:rPr>
        <w:footnoteReference w:id="2"/>
      </w:r>
      <w:r w:rsidRPr="00543959">
        <w:rPr>
          <w:color w:val="000000" w:themeColor="text1"/>
        </w:rPr>
        <w:t>.</w:t>
      </w:r>
    </w:p>
    <w:p w:rsidRPr="00543959" w:rsidR="001202B9" w:rsidP="001202B9" w:rsidRDefault="001202B9" w14:paraId="4D8A317C" w14:textId="7BC37388">
      <w:pPr>
        <w:pStyle w:val="Textoindependiente"/>
        <w:spacing w:before="120" w:line="276" w:lineRule="auto"/>
        <w:ind w:right="51" w:firstLine="709"/>
        <w:jc w:val="both"/>
        <w:rPr>
          <w:color w:val="000000" w:themeColor="text1"/>
        </w:rPr>
      </w:pPr>
      <w:r w:rsidRPr="00543959">
        <w:rPr>
          <w:color w:val="000000" w:themeColor="text1"/>
        </w:rPr>
        <w:t>Teniendo en cuenta lo dicho antes, la Agencia Nacional de Contratación Pública</w:t>
      </w:r>
      <w:r w:rsidR="001303A3">
        <w:rPr>
          <w:color w:val="000000" w:themeColor="text1"/>
        </w:rPr>
        <w:t xml:space="preserve"> </w:t>
      </w:r>
      <w:r w:rsidR="00A86A58">
        <w:rPr>
          <w:color w:val="000000" w:themeColor="text1"/>
        </w:rPr>
        <w:t>–</w:t>
      </w:r>
      <w:r w:rsidR="001303A3">
        <w:rPr>
          <w:color w:val="000000" w:themeColor="text1"/>
        </w:rPr>
        <w:t xml:space="preserve"> </w:t>
      </w:r>
      <w:r w:rsidR="001303A3">
        <w:rPr>
          <w:color w:val="000000" w:themeColor="text1"/>
        </w:rPr>
        <w:lastRenderedPageBreak/>
        <w:t>Colombia Compra Eficiente</w:t>
      </w:r>
      <w:r w:rsidRPr="00543959">
        <w:rPr>
          <w:color w:val="000000" w:themeColor="text1"/>
        </w:rPr>
        <w:t xml:space="preserve"> considera que la capacidad residual hace referencia a la suficiencia que se predica del proponente para asumir nuevas obligaciones que se derivan del contrato objeto del proceso de contratación, en relación con las obligaciones que ya ha adquirido simultáneamente.</w:t>
      </w:r>
    </w:p>
    <w:p w:rsidRPr="00543959" w:rsidR="001202B9" w:rsidP="001202B9" w:rsidRDefault="001202B9" w14:paraId="4D8A317D" w14:textId="77777777">
      <w:pPr>
        <w:pStyle w:val="Textoindependiente"/>
        <w:spacing w:before="120" w:line="276" w:lineRule="auto"/>
        <w:ind w:right="51" w:firstLine="709"/>
        <w:jc w:val="both"/>
        <w:rPr>
          <w:color w:val="000000" w:themeColor="text1"/>
        </w:rPr>
      </w:pPr>
      <w:r w:rsidRPr="00543959">
        <w:rPr>
          <w:color w:val="000000" w:themeColor="text1"/>
        </w:rPr>
        <w:t>La Ley 1150 de 2007 establece que la capacidad residual de los interesados en participar en procesos de selección para contratos de obra deberá ser igual o superior al que la entidad ha establecido en los pliegos de condiciones, en los siguientes términos:</w:t>
      </w:r>
    </w:p>
    <w:p w:rsidRPr="00543959" w:rsidR="001202B9" w:rsidP="001202B9" w:rsidRDefault="001202B9" w14:paraId="4D8A317E" w14:textId="77777777">
      <w:pPr>
        <w:pStyle w:val="Textoindependiente"/>
        <w:ind w:right="49"/>
        <w:rPr>
          <w:color w:val="000000" w:themeColor="text1"/>
        </w:rPr>
      </w:pPr>
    </w:p>
    <w:p w:rsidRPr="00543959" w:rsidR="001202B9" w:rsidP="001202B9" w:rsidRDefault="001202B9" w14:paraId="4D8A317F" w14:textId="77777777">
      <w:pPr>
        <w:pStyle w:val="Textoindependiente"/>
        <w:ind w:left="709" w:right="758"/>
        <w:jc w:val="both"/>
        <w:rPr>
          <w:color w:val="000000" w:themeColor="text1"/>
          <w:sz w:val="21"/>
          <w:szCs w:val="21"/>
        </w:rPr>
      </w:pPr>
      <w:r w:rsidRPr="00543959">
        <w:rPr>
          <w:color w:val="000000" w:themeColor="text1"/>
          <w:sz w:val="21"/>
          <w:szCs w:val="21"/>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543959">
        <w:rPr>
          <w:color w:val="000000" w:themeColor="text1"/>
          <w:spacing w:val="-3"/>
          <w:sz w:val="21"/>
          <w:szCs w:val="21"/>
        </w:rPr>
        <w:t xml:space="preserve"> </w:t>
      </w:r>
      <w:r w:rsidRPr="00543959">
        <w:rPr>
          <w:color w:val="000000" w:themeColor="text1"/>
          <w:sz w:val="21"/>
          <w:szCs w:val="21"/>
        </w:rPr>
        <w:t>principal.</w:t>
      </w:r>
    </w:p>
    <w:p w:rsidRPr="00543959" w:rsidR="001202B9" w:rsidP="00B30DB3" w:rsidRDefault="001303A3" w14:paraId="4D8A3181" w14:textId="3CEB7864">
      <w:pPr>
        <w:pStyle w:val="Textoindependiente"/>
        <w:spacing w:after="120"/>
        <w:ind w:left="709" w:right="760"/>
        <w:rPr>
          <w:color w:val="000000" w:themeColor="text1"/>
          <w:sz w:val="21"/>
          <w:szCs w:val="21"/>
        </w:rPr>
      </w:pPr>
      <w:r>
        <w:rPr>
          <w:color w:val="000000" w:themeColor="text1"/>
          <w:sz w:val="21"/>
          <w:szCs w:val="21"/>
        </w:rPr>
        <w:t>[</w:t>
      </w:r>
      <w:r w:rsidRPr="00543959" w:rsidR="001202B9">
        <w:rPr>
          <w:color w:val="000000" w:themeColor="text1"/>
          <w:sz w:val="21"/>
          <w:szCs w:val="21"/>
        </w:rPr>
        <w:t>…</w:t>
      </w:r>
      <w:r>
        <w:rPr>
          <w:color w:val="000000" w:themeColor="text1"/>
          <w:sz w:val="21"/>
          <w:szCs w:val="21"/>
        </w:rPr>
        <w:t>]</w:t>
      </w:r>
    </w:p>
    <w:p w:rsidRPr="00543959" w:rsidR="001202B9" w:rsidP="001202B9" w:rsidRDefault="001202B9" w14:paraId="4D8A3182" w14:textId="77777777">
      <w:pPr>
        <w:pStyle w:val="Textoindependiente"/>
        <w:ind w:left="709" w:right="758"/>
        <w:jc w:val="both"/>
        <w:rPr>
          <w:color w:val="000000" w:themeColor="text1"/>
          <w:sz w:val="21"/>
          <w:szCs w:val="21"/>
        </w:rPr>
      </w:pPr>
      <w:r w:rsidRPr="00543959">
        <w:rPr>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rsidRPr="00543959" w:rsidR="001202B9" w:rsidP="001202B9" w:rsidRDefault="001202B9" w14:paraId="4D8A3183" w14:textId="77777777">
      <w:pPr>
        <w:pStyle w:val="Textoindependiente"/>
        <w:ind w:right="49"/>
        <w:rPr>
          <w:color w:val="000000" w:themeColor="text1"/>
        </w:rPr>
      </w:pPr>
    </w:p>
    <w:p w:rsidR="00544C03" w:rsidP="001202B9" w:rsidRDefault="001202B9" w14:paraId="4D8A3184" w14:textId="77777777">
      <w:pPr>
        <w:pStyle w:val="Textoindependiente"/>
        <w:spacing w:before="1" w:line="276" w:lineRule="auto"/>
        <w:ind w:right="49" w:firstLine="708"/>
        <w:jc w:val="both"/>
        <w:rPr>
          <w:color w:val="000000" w:themeColor="text1"/>
        </w:rPr>
      </w:pPr>
      <w:r w:rsidRPr="00543959">
        <w:rPr>
          <w:color w:val="000000" w:themeColor="text1"/>
        </w:rPr>
        <w:t>El artículo 72 de la Ley 1682 de 2013,</w:t>
      </w:r>
      <w:r w:rsidRPr="003D4313" w:rsidR="003D4313">
        <w:rPr>
          <w:color w:val="000000" w:themeColor="text1"/>
        </w:rPr>
        <w:t xml:space="preserve"> corregido por el art</w:t>
      </w:r>
      <w:r w:rsidR="00544C03">
        <w:rPr>
          <w:color w:val="000000" w:themeColor="text1"/>
        </w:rPr>
        <w:t>ículo 1 del Decreto 476 de 2014,</w:t>
      </w:r>
      <w:r w:rsidRPr="00543959">
        <w:rPr>
          <w:color w:val="000000" w:themeColor="text1"/>
        </w:rPr>
        <w:t xml:space="preserve"> por la cual se adoptan medidas y disposiciones para los proyectos de infraestructura d</w:t>
      </w:r>
      <w:r w:rsidR="00544C03">
        <w:rPr>
          <w:color w:val="000000" w:themeColor="text1"/>
        </w:rPr>
        <w:t>e transporte, establece:</w:t>
      </w:r>
    </w:p>
    <w:p w:rsidR="00544C03" w:rsidP="001202B9" w:rsidRDefault="00544C03" w14:paraId="4D8A3185" w14:textId="77777777">
      <w:pPr>
        <w:pStyle w:val="Textoindependiente"/>
        <w:spacing w:before="1" w:line="276" w:lineRule="auto"/>
        <w:ind w:right="49" w:firstLine="708"/>
        <w:jc w:val="both"/>
        <w:rPr>
          <w:color w:val="000000" w:themeColor="text1"/>
        </w:rPr>
      </w:pPr>
    </w:p>
    <w:p w:rsidR="00544C03" w:rsidP="00B30DB3" w:rsidRDefault="00544C03" w14:paraId="4D8A3186" w14:textId="7A788810">
      <w:pPr>
        <w:pStyle w:val="Textoindependiente"/>
        <w:spacing w:after="120"/>
        <w:ind w:left="709" w:right="709"/>
        <w:jc w:val="both"/>
        <w:rPr>
          <w:color w:val="000000" w:themeColor="text1"/>
          <w:sz w:val="21"/>
          <w:szCs w:val="21"/>
          <w:lang w:val="es-CO"/>
        </w:rPr>
      </w:pPr>
      <w:r w:rsidRPr="00544C03">
        <w:rPr>
          <w:color w:val="000000" w:themeColor="text1"/>
          <w:sz w:val="21"/>
          <w:szCs w:val="21"/>
          <w:lang w:val="es-CO"/>
        </w:rPr>
        <w:t>La capacidad residual de contratación cuando se realicen contratos de obra pública se obtendrá de sustraer de la capacidad de contratación, el saldo del valor de los contratos en ejecución.</w:t>
      </w:r>
    </w:p>
    <w:p w:rsidR="00544C03" w:rsidP="00B30DB3" w:rsidRDefault="00544C03" w14:paraId="4D8A3188" w14:textId="555E6694">
      <w:pPr>
        <w:pStyle w:val="Textoindependiente"/>
        <w:spacing w:after="120"/>
        <w:ind w:left="709" w:right="709"/>
        <w:jc w:val="both"/>
        <w:rPr>
          <w:color w:val="000000" w:themeColor="text1"/>
          <w:sz w:val="21"/>
          <w:szCs w:val="21"/>
          <w:lang w:val="es-CO"/>
        </w:rPr>
      </w:pPr>
      <w:r w:rsidRPr="00544C03">
        <w:rPr>
          <w:color w:val="000000" w:themeColor="text1"/>
          <w:sz w:val="21"/>
          <w:szCs w:val="21"/>
          <w:lang w:val="es-CO"/>
        </w:rPr>
        <w:t>La capacidad de contratación se deberá calcular mediante la evaluación de los siguientes factores: Experiencia (E), Capacidad Financiera (CF), Capacidad Técnica (CT), y Capacidad de Organización (CO).</w:t>
      </w:r>
    </w:p>
    <w:p w:rsidR="00544C03" w:rsidP="00B30DB3" w:rsidRDefault="00544C03" w14:paraId="4D8A318A" w14:textId="7AEF3D03">
      <w:pPr>
        <w:pStyle w:val="Textoindependiente"/>
        <w:spacing w:after="120"/>
        <w:ind w:left="709" w:right="709"/>
        <w:jc w:val="both"/>
        <w:rPr>
          <w:color w:val="000000" w:themeColor="text1"/>
          <w:sz w:val="21"/>
          <w:szCs w:val="21"/>
          <w:lang w:val="es-CO"/>
        </w:rPr>
      </w:pPr>
      <w:r w:rsidRPr="00544C03">
        <w:rPr>
          <w:color w:val="000000" w:themeColor="text1"/>
          <w:sz w:val="21"/>
          <w:szCs w:val="21"/>
          <w:lang w:val="es-CO"/>
        </w:rPr>
        <w:t>Para los efectos de la evaluación de los factores mencionados en el inciso anterior, por ningún motivo, ni bajo ninguna circunstancia se podrán tener en cuenta la rentabilidad y las utilidades.</w:t>
      </w:r>
    </w:p>
    <w:p w:rsidR="00544C03" w:rsidP="00AC3992" w:rsidRDefault="00544C03" w14:paraId="4D8A318C" w14:textId="55F49176">
      <w:pPr>
        <w:pStyle w:val="Textoindependiente"/>
        <w:ind w:left="709" w:right="709"/>
        <w:jc w:val="both"/>
        <w:rPr>
          <w:color w:val="000000" w:themeColor="text1"/>
          <w:sz w:val="21"/>
          <w:szCs w:val="21"/>
          <w:lang w:val="es-CO"/>
        </w:rPr>
      </w:pPr>
      <w:r w:rsidRPr="00544C03">
        <w:rPr>
          <w:color w:val="000000" w:themeColor="text1"/>
          <w:sz w:val="21"/>
          <w:szCs w:val="21"/>
          <w:lang w:val="es-CO"/>
        </w:rPr>
        <w:t>El Gobierno Nacional reglamentará la materia, dentro de los sesenta (60) días siguientes a la promulgación de la presente ley, acudiendo al concepto técnico de la Sociedad Colombiana de ingenieros, en virtud de la Ley 46 de 1904, para propender por una reglamentación equitativa en la implementación de mínimos y máximos que garanticen los derechos de los pequeños contratistas.</w:t>
      </w:r>
    </w:p>
    <w:p w:rsidR="00AC3992" w:rsidP="00B30DB3" w:rsidRDefault="00AC3992" w14:paraId="227D3EED" w14:textId="77777777">
      <w:pPr>
        <w:pStyle w:val="Textoindependiente"/>
        <w:ind w:left="709" w:right="709"/>
        <w:jc w:val="both"/>
        <w:rPr>
          <w:color w:val="000000" w:themeColor="text1"/>
          <w:sz w:val="21"/>
          <w:szCs w:val="21"/>
          <w:lang w:val="es-CO"/>
        </w:rPr>
      </w:pPr>
    </w:p>
    <w:p w:rsidRPr="00543959" w:rsidR="001202B9" w:rsidP="00B30DB3" w:rsidRDefault="00066FD9" w14:paraId="4D8A318D" w14:textId="48D50BA8">
      <w:pPr>
        <w:pStyle w:val="Textoindependiente"/>
        <w:spacing w:line="276" w:lineRule="auto"/>
        <w:ind w:right="51" w:firstLine="709"/>
        <w:jc w:val="both"/>
        <w:rPr>
          <w:color w:val="000000" w:themeColor="text1"/>
        </w:rPr>
      </w:pPr>
      <w:r>
        <w:t>E</w:t>
      </w:r>
      <w:r w:rsidR="00E339CE">
        <w:t>l</w:t>
      </w:r>
      <w:r w:rsidRPr="00217A3C" w:rsidR="00544C03">
        <w:t xml:space="preserve"> Decreto 1082 de 2015</w:t>
      </w:r>
      <w:r w:rsidR="00E339CE">
        <w:t xml:space="preserve"> en el artículo </w:t>
      </w:r>
      <w:r w:rsidRPr="00217A3C" w:rsidR="00E339CE">
        <w:t xml:space="preserve">2.2.1.1.1.6.4. </w:t>
      </w:r>
      <w:proofErr w:type="gramStart"/>
      <w:r w:rsidR="00E339CE">
        <w:t>r</w:t>
      </w:r>
      <w:r w:rsidRPr="00217A3C" w:rsidR="00544C03">
        <w:t>ecoge</w:t>
      </w:r>
      <w:proofErr w:type="gramEnd"/>
      <w:r w:rsidRPr="00217A3C" w:rsidR="00544C03">
        <w:t xml:space="preserve"> el desarrollo legislativo de </w:t>
      </w:r>
      <w:r w:rsidR="001303A3">
        <w:t>la c</w:t>
      </w:r>
      <w:r w:rsidRPr="00217A3C" w:rsidR="00544C03">
        <w:t xml:space="preserve">apacidad </w:t>
      </w:r>
      <w:r w:rsidR="001303A3">
        <w:t>r</w:t>
      </w:r>
      <w:r w:rsidRPr="00217A3C" w:rsidR="00544C03">
        <w:t>esidual, en especial los componentes de la Ley 1682 de 2013</w:t>
      </w:r>
      <w:r w:rsidR="00E339CE">
        <w:t xml:space="preserve">. De tal forma, el artículo en mención </w:t>
      </w:r>
      <w:r w:rsidRPr="00543959" w:rsidR="001202B9">
        <w:rPr>
          <w:color w:val="000000" w:themeColor="text1"/>
        </w:rPr>
        <w:t>establece que las entidades estatales deberán calcular la capacidad residual conforme a la metodología definida por Colombia Compre Eficiente y precisó que, para tale</w:t>
      </w:r>
      <w:r w:rsidR="00E339CE">
        <w:rPr>
          <w:color w:val="000000" w:themeColor="text1"/>
        </w:rPr>
        <w:t>s</w:t>
      </w:r>
      <w:r w:rsidRPr="00543959" w:rsidR="001202B9">
        <w:rPr>
          <w:color w:val="000000" w:themeColor="text1"/>
        </w:rPr>
        <w:t xml:space="preserve"> fines, resulta necesario tener en cuenta los factores de: i) experiencia; ii) capacidad financiera; iii) capacidad técnica; iv) capacidad de organización; y v) los saldos de los contratos en ejecución, así:</w:t>
      </w:r>
    </w:p>
    <w:p w:rsidRPr="00543959" w:rsidR="001202B9" w:rsidP="001202B9" w:rsidRDefault="001202B9" w14:paraId="4D8A318E" w14:textId="77777777">
      <w:pPr>
        <w:pStyle w:val="Textoindependiente"/>
        <w:spacing w:before="8"/>
        <w:ind w:right="49"/>
        <w:rPr>
          <w:color w:val="000000" w:themeColor="text1"/>
          <w:sz w:val="21"/>
        </w:rPr>
      </w:pPr>
    </w:p>
    <w:p w:rsidRPr="00543959" w:rsidR="001202B9" w:rsidP="00B30DB3" w:rsidRDefault="001202B9" w14:paraId="4D8A3190" w14:textId="4BAB7DA6">
      <w:pPr>
        <w:pStyle w:val="Textoindependiente"/>
        <w:spacing w:after="120"/>
        <w:ind w:left="709" w:right="760"/>
        <w:rPr>
          <w:color w:val="000000" w:themeColor="text1"/>
          <w:sz w:val="21"/>
          <w:szCs w:val="21"/>
        </w:rPr>
      </w:pPr>
      <w:r w:rsidRPr="00543959">
        <w:rPr>
          <w:color w:val="000000" w:themeColor="text1"/>
          <w:sz w:val="21"/>
          <w:szCs w:val="21"/>
        </w:rPr>
        <w:t xml:space="preserve">Artículo 2.2.1.1.1.6.4. Capacidad Residual. El interesado en celebrar contratos </w:t>
      </w:r>
      <w:r w:rsidRPr="00543959">
        <w:rPr>
          <w:color w:val="000000" w:themeColor="text1"/>
          <w:sz w:val="21"/>
          <w:szCs w:val="21"/>
        </w:rPr>
        <w:lastRenderedPageBreak/>
        <w:t xml:space="preserve">de obra pública con Entidades Estatales debe acreditar su Capacidad Residual o K de Contratación con los siguientes documentos: </w:t>
      </w:r>
      <w:r w:rsidR="001303A3">
        <w:rPr>
          <w:color w:val="000000" w:themeColor="text1"/>
          <w:sz w:val="21"/>
          <w:szCs w:val="21"/>
        </w:rPr>
        <w:t>[…]</w:t>
      </w:r>
    </w:p>
    <w:p w:rsidR="001202B9" w:rsidP="001202B9" w:rsidRDefault="001202B9" w14:paraId="4D8A3191" w14:textId="7F9680B8">
      <w:pPr>
        <w:pStyle w:val="Textoindependiente"/>
        <w:ind w:left="709" w:right="760" w:firstLine="2"/>
        <w:jc w:val="both"/>
        <w:rPr>
          <w:color w:val="000000" w:themeColor="text1"/>
          <w:sz w:val="21"/>
          <w:szCs w:val="21"/>
        </w:rPr>
      </w:pPr>
      <w:r w:rsidRPr="00543959">
        <w:rPr>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rsidR="0080266A" w:rsidP="0080266A" w:rsidRDefault="0080266A" w14:paraId="62A58EEF" w14:textId="6B04BF3D">
      <w:pPr>
        <w:pStyle w:val="Textoindependiente"/>
        <w:ind w:right="760"/>
        <w:jc w:val="both"/>
        <w:rPr>
          <w:color w:val="000000" w:themeColor="text1"/>
          <w:sz w:val="21"/>
          <w:szCs w:val="21"/>
        </w:rPr>
      </w:pPr>
    </w:p>
    <w:p w:rsidRPr="00766C6E" w:rsidR="00C33138" w:rsidP="00C33138" w:rsidRDefault="00C33138" w14:paraId="37F393A6" w14:textId="586BEB11">
      <w:pPr>
        <w:pStyle w:val="Textoindependiente"/>
        <w:spacing w:line="276" w:lineRule="auto"/>
        <w:ind w:right="49" w:firstLine="709"/>
        <w:jc w:val="both"/>
      </w:pPr>
      <w:r w:rsidRPr="00766C6E">
        <w:t xml:space="preserve">De conformidad con lo anterior,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w:t>
      </w:r>
      <w:r w:rsidR="000F7225">
        <w:t xml:space="preserve">le </w:t>
      </w:r>
      <w:r w:rsidRPr="00766C6E">
        <w:t xml:space="preserve">corresponde, primero, establecer la capacidad residual del proceso de contratación </w:t>
      </w:r>
      <w:r>
        <w:t>–</w:t>
      </w:r>
      <w:r w:rsidRPr="00766C6E">
        <w:t>CRPC</w:t>
      </w:r>
      <w:r>
        <w:t>–</w:t>
      </w:r>
      <w:r w:rsidRPr="00766C6E">
        <w:t xml:space="preserve"> y, segundo, determinar si los proponentes cumplen con la capacidad residual del proceso de contratación, claro está, teniendo en cuenta la siguiente información aportada por el proponente:</w:t>
      </w:r>
    </w:p>
    <w:p w:rsidRPr="00766C6E" w:rsidR="00C33138" w:rsidP="00C33138" w:rsidRDefault="00C33138" w14:paraId="1674275E" w14:textId="77777777">
      <w:pPr>
        <w:pStyle w:val="Textoindependiente"/>
        <w:ind w:left="709" w:right="760"/>
        <w:jc w:val="both"/>
        <w:rPr>
          <w:sz w:val="21"/>
          <w:szCs w:val="21"/>
        </w:rPr>
      </w:pPr>
    </w:p>
    <w:p w:rsidRPr="00BB10ED" w:rsidR="00C33138" w:rsidP="00C33138" w:rsidRDefault="00C33138" w14:paraId="0116EF62" w14:textId="77777777">
      <w:pPr>
        <w:pStyle w:val="Textoindependiente"/>
        <w:numPr>
          <w:ilvl w:val="0"/>
          <w:numId w:val="2"/>
        </w:numPr>
        <w:tabs>
          <w:tab w:val="left" w:pos="993"/>
        </w:tabs>
        <w:spacing w:after="120"/>
        <w:ind w:left="709" w:right="760" w:firstLine="0"/>
        <w:jc w:val="both"/>
        <w:rPr>
          <w:sz w:val="21"/>
          <w:szCs w:val="21"/>
        </w:rPr>
      </w:pPr>
      <w:r w:rsidRPr="00BB10ED">
        <w:rPr>
          <w:sz w:val="21"/>
          <w:szCs w:val="21"/>
        </w:rPr>
        <w:t>La lista de los Contratos en Ejecución, así como el valor y plazo de tales con</w:t>
      </w:r>
      <w:r w:rsidRPr="00DE3BBC">
        <w:rPr>
          <w:sz w:val="21"/>
          <w:szCs w:val="21"/>
        </w:rPr>
        <w:t>tratos.</w:t>
      </w:r>
    </w:p>
    <w:p w:rsidRPr="00766C6E" w:rsidR="00C33138" w:rsidP="00C33138" w:rsidRDefault="00C33138" w14:paraId="67EA38D9" w14:textId="77777777">
      <w:pPr>
        <w:pStyle w:val="Textoindependiente"/>
        <w:numPr>
          <w:ilvl w:val="0"/>
          <w:numId w:val="2"/>
        </w:numPr>
        <w:tabs>
          <w:tab w:val="left" w:pos="993"/>
        </w:tabs>
        <w:spacing w:after="120"/>
        <w:ind w:left="709" w:right="760" w:firstLine="0"/>
        <w:jc w:val="both"/>
        <w:rPr>
          <w:sz w:val="21"/>
          <w:szCs w:val="21"/>
        </w:rPr>
      </w:pPr>
      <w:r w:rsidRPr="00766C6E">
        <w:rPr>
          <w:sz w:val="21"/>
          <w:szCs w:val="21"/>
        </w:rPr>
        <w:t>La lista de los Contratos en Ejecución, suscritos por sociedades, consorcios o uniones temporales, en los cuales el proponente tenga participación, así como el valor y plazo de tales contratos.</w:t>
      </w:r>
    </w:p>
    <w:p w:rsidRPr="00766C6E" w:rsidR="00C33138" w:rsidP="00C33138" w:rsidRDefault="00C33138" w14:paraId="1F93CA28" w14:textId="77777777">
      <w:pPr>
        <w:pStyle w:val="Textoindependiente"/>
        <w:numPr>
          <w:ilvl w:val="0"/>
          <w:numId w:val="2"/>
        </w:numPr>
        <w:tabs>
          <w:tab w:val="left" w:pos="993"/>
        </w:tabs>
        <w:ind w:left="709" w:right="760" w:firstLine="0"/>
        <w:jc w:val="both"/>
        <w:rPr>
          <w:sz w:val="21"/>
          <w:szCs w:val="21"/>
        </w:rPr>
      </w:pPr>
      <w:r w:rsidRPr="00766C6E">
        <w:rPr>
          <w:sz w:val="21"/>
          <w:szCs w:val="21"/>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rsidRPr="00766C6E" w:rsidR="00C33138" w:rsidP="00C33138" w:rsidRDefault="00C33138" w14:paraId="03BF2000" w14:textId="77777777">
      <w:pPr>
        <w:pStyle w:val="Textoindependiente"/>
        <w:spacing w:line="276" w:lineRule="auto"/>
        <w:ind w:right="51" w:firstLine="709"/>
        <w:jc w:val="both"/>
      </w:pPr>
    </w:p>
    <w:p w:rsidRPr="00766C6E" w:rsidR="00C33138" w:rsidP="00C33138" w:rsidRDefault="00C33138" w14:paraId="563B4DB5" w14:textId="3213CFEC">
      <w:pPr>
        <w:pStyle w:val="Textoindependiente"/>
        <w:spacing w:line="276" w:lineRule="auto"/>
        <w:ind w:right="51" w:firstLine="709"/>
        <w:jc w:val="both"/>
      </w:pPr>
      <w:r w:rsidRPr="00766C6E">
        <w:t xml:space="preserve">Ahora bien, para lo primero, esto es, para establecer la capacidad residual del proceso de contratación </w:t>
      </w:r>
      <w:r>
        <w:t>–</w:t>
      </w:r>
      <w:r w:rsidRPr="00766C6E">
        <w:t>CRPC</w:t>
      </w:r>
      <w:r>
        <w:t>–</w:t>
      </w:r>
      <w:r w:rsidRPr="00766C6E">
        <w:t>, se debe establecer si el plazo del contrato es superior de doce</w:t>
      </w:r>
      <w:r>
        <w:t xml:space="preserve"> (12)</w:t>
      </w:r>
      <w:r w:rsidRPr="00766C6E">
        <w:t xml:space="preserve"> meses. Si no lo es, la CRPC equivale al presupuesto oficial estimado del </w:t>
      </w:r>
      <w:r w:rsidR="004D6C10">
        <w:t>p</w:t>
      </w:r>
      <w:r w:rsidRPr="00766C6E">
        <w:t xml:space="preserve">roceso de </w:t>
      </w:r>
      <w:r w:rsidR="004D6C10">
        <w:t>c</w:t>
      </w:r>
      <w:r w:rsidRPr="00766C6E">
        <w:t xml:space="preserve">ontratación menos el anticipo o pago anticipado cuando haya lugar. </w:t>
      </w:r>
      <w:r>
        <w:t>De lo contrario</w:t>
      </w:r>
      <w:r w:rsidRPr="00766C6E">
        <w:t>, equivale a la proporción lineal de 12 meses del presupuesto oficial estimado menos el anticipo o pago anticipado.</w:t>
      </w:r>
    </w:p>
    <w:p w:rsidRPr="00766C6E" w:rsidR="00C33138" w:rsidP="00C33138" w:rsidRDefault="00C33138" w14:paraId="3C20EAF3" w14:textId="6AA353B0">
      <w:pPr>
        <w:pStyle w:val="Textoindependiente"/>
        <w:spacing w:before="120" w:line="276" w:lineRule="auto"/>
        <w:ind w:right="51" w:firstLine="709"/>
        <w:jc w:val="both"/>
      </w:pPr>
      <w:r w:rsidRPr="00766C6E">
        <w:t xml:space="preserve">Para lo segundo, es decir, verificar que cada proponente cumple con la CRPC, la entidad pública debe verificar que la capacidad residual del proponente </w:t>
      </w:r>
      <w:r>
        <w:t>–</w:t>
      </w:r>
      <w:r w:rsidR="007462F3">
        <w:t xml:space="preserve">en adelante </w:t>
      </w:r>
      <w:r w:rsidRPr="00766C6E">
        <w:t>CRP</w:t>
      </w:r>
      <w:r>
        <w:t>–</w:t>
      </w:r>
      <w:r w:rsidRPr="00766C6E">
        <w:t xml:space="preserve"> sea igual o superior a la capacidad referida en el párrafo precedente. De todas formas, previamente debe establecer la CRP, con fundamento en los siguientes factores: i) experiencia </w:t>
      </w:r>
      <w:r>
        <w:t>–</w:t>
      </w:r>
      <w:r w:rsidRPr="00766C6E">
        <w:t>E</w:t>
      </w:r>
      <w:r>
        <w:t>–</w:t>
      </w:r>
      <w:r w:rsidRPr="00766C6E">
        <w:t xml:space="preserve">; ii) capacidad financiera </w:t>
      </w:r>
      <w:r>
        <w:t>–</w:t>
      </w:r>
      <w:r w:rsidRPr="00766C6E">
        <w:t>CF</w:t>
      </w:r>
      <w:r>
        <w:t>–,</w:t>
      </w:r>
      <w:r w:rsidRPr="00766C6E">
        <w:t xml:space="preserve"> iii) capacidad técnica </w:t>
      </w:r>
      <w:r>
        <w:t>–</w:t>
      </w:r>
      <w:r w:rsidRPr="00766C6E">
        <w:t>CT</w:t>
      </w:r>
      <w:r>
        <w:t>–</w:t>
      </w:r>
      <w:r w:rsidRPr="00766C6E">
        <w:t xml:space="preserve">, iv) capacidad de organización </w:t>
      </w:r>
      <w:r>
        <w:t>–</w:t>
      </w:r>
      <w:r w:rsidRPr="00766C6E">
        <w:t>CO</w:t>
      </w:r>
      <w:r>
        <w:t>–</w:t>
      </w:r>
      <w:r w:rsidRPr="00766C6E">
        <w:t xml:space="preserve"> y v) los saldos de los contratos en ejecución </w:t>
      </w:r>
      <w:r>
        <w:t>–</w:t>
      </w:r>
      <w:r w:rsidRPr="00766C6E">
        <w:t>SCE</w:t>
      </w:r>
      <w:r>
        <w:t>–</w:t>
      </w:r>
      <w:r w:rsidRPr="00766C6E">
        <w:t>, según la siguiente formula:</w:t>
      </w:r>
    </w:p>
    <w:p w:rsidRPr="00766C6E" w:rsidR="00C33138" w:rsidP="00C33138" w:rsidRDefault="00C33138" w14:paraId="55E25015" w14:textId="77777777">
      <w:pPr>
        <w:pStyle w:val="Textoindependiente"/>
        <w:tabs>
          <w:tab w:val="left" w:pos="709"/>
          <w:tab w:val="left" w:pos="8080"/>
        </w:tabs>
        <w:spacing w:before="10"/>
        <w:ind w:right="49"/>
        <w:rPr>
          <w:sz w:val="18"/>
        </w:rPr>
      </w:pPr>
      <w:r w:rsidRPr="00766C6E">
        <w:rPr>
          <w:noProof/>
          <w:lang w:val="es-CO" w:eastAsia="es-CO" w:bidi="ar-SA"/>
        </w:rPr>
        <w:lastRenderedPageBreak/>
        <w:drawing>
          <wp:anchor distT="0" distB="0" distL="0" distR="0" simplePos="0" relativeHeight="251659264" behindDoc="0" locked="0" layoutInCell="1" allowOverlap="1" wp14:anchorId="75B39F62" wp14:editId="06F6573C">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4638040" cy="674370"/>
                    </a:xfrm>
                    <a:prstGeom prst="rect">
                      <a:avLst/>
                    </a:prstGeom>
                  </pic:spPr>
                </pic:pic>
              </a:graphicData>
            </a:graphic>
            <wp14:sizeRelH relativeFrom="margin">
              <wp14:pctWidth>0</wp14:pctWidth>
            </wp14:sizeRelH>
          </wp:anchor>
        </w:drawing>
      </w:r>
      <w:r w:rsidR="32542D46">
        <w:rPr/>
        <w:t/>
      </w:r>
    </w:p>
    <w:p w:rsidRPr="00766C6E" w:rsidR="00C33138" w:rsidP="00C33138" w:rsidRDefault="00C33138" w14:paraId="66270D5E" w14:textId="77777777">
      <w:pPr>
        <w:pStyle w:val="Textoindependiente"/>
        <w:spacing w:before="120" w:line="276" w:lineRule="auto"/>
        <w:ind w:right="51" w:firstLine="709"/>
        <w:jc w:val="both"/>
      </w:pPr>
    </w:p>
    <w:p w:rsidRPr="00766C6E" w:rsidR="00C33138" w:rsidP="00C33138" w:rsidRDefault="00C33138" w14:paraId="0338C3E4" w14:textId="77777777">
      <w:pPr>
        <w:pStyle w:val="Textoindependiente"/>
        <w:spacing w:before="120" w:line="276" w:lineRule="auto"/>
        <w:ind w:right="51" w:firstLine="709"/>
        <w:jc w:val="both"/>
      </w:pPr>
      <w:r w:rsidRPr="00766C6E">
        <w:t>A cada uno de estos factores se les asigna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rsidRPr="00766C6E" w:rsidR="00C33138" w:rsidP="00C33138" w:rsidRDefault="00C33138" w14:paraId="33BFB528" w14:textId="4150C1E6">
      <w:pPr>
        <w:pStyle w:val="Textoindependiente"/>
        <w:numPr>
          <w:ilvl w:val="0"/>
          <w:numId w:val="3"/>
        </w:numPr>
        <w:tabs>
          <w:tab w:val="left" w:pos="993"/>
        </w:tabs>
        <w:spacing w:before="120" w:line="276" w:lineRule="auto"/>
        <w:ind w:left="0" w:right="51" w:firstLine="709"/>
        <w:jc w:val="both"/>
        <w:rPr>
          <w:i/>
          <w:iCs/>
        </w:rPr>
      </w:pPr>
      <w:r w:rsidRPr="00766C6E">
        <w:rPr>
          <w:i/>
          <w:iCs/>
        </w:rPr>
        <w:t>Capacidad financiera.</w:t>
      </w:r>
      <w:r w:rsidRPr="00766C6E">
        <w:t xml:space="preserve"> Se mide por el «índice de liquidez» y este, a su vez, corresponde al resulta</w:t>
      </w:r>
      <w:r w:rsidR="00FB0B4F">
        <w:t>do</w:t>
      </w:r>
      <w:r w:rsidRPr="00766C6E">
        <w:t xml:space="preserve"> de dividir el «activo corriente» sobre el «pasivo corriente». El resultado puede ser calificado entre 20 y cuarenta puntos, según se explica en la Guía.</w:t>
      </w:r>
    </w:p>
    <w:p w:rsidRPr="00766C6E" w:rsidR="00C33138" w:rsidP="00C33138" w:rsidRDefault="00C33138" w14:paraId="5C958344" w14:textId="77777777">
      <w:pPr>
        <w:pStyle w:val="Textoindependiente"/>
        <w:numPr>
          <w:ilvl w:val="0"/>
          <w:numId w:val="3"/>
        </w:numPr>
        <w:tabs>
          <w:tab w:val="left" w:pos="993"/>
        </w:tabs>
        <w:spacing w:before="120" w:line="276" w:lineRule="auto"/>
        <w:ind w:left="0" w:right="51" w:firstLine="709"/>
        <w:jc w:val="both"/>
        <w:rPr>
          <w:i/>
          <w:iCs/>
        </w:rPr>
      </w:pPr>
      <w:r w:rsidRPr="00766C6E">
        <w:rPr>
          <w:i/>
          <w:iCs/>
        </w:rPr>
        <w:t>Capacidad técnica</w:t>
      </w:r>
      <w:r w:rsidRPr="00766C6E">
        <w: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 −este es diferente al Anexo 2 de los documentos tipo−.</w:t>
      </w:r>
    </w:p>
    <w:p w:rsidRPr="00766C6E" w:rsidR="00C33138" w:rsidP="00C33138" w:rsidRDefault="00C33138" w14:paraId="6ED9C056" w14:textId="77777777">
      <w:pPr>
        <w:pStyle w:val="Textoindependiente"/>
        <w:numPr>
          <w:ilvl w:val="0"/>
          <w:numId w:val="3"/>
        </w:numPr>
        <w:tabs>
          <w:tab w:val="left" w:pos="993"/>
        </w:tabs>
        <w:spacing w:before="120" w:line="276" w:lineRule="auto"/>
        <w:ind w:left="0" w:right="51" w:firstLine="709"/>
        <w:jc w:val="both"/>
        <w:rPr>
          <w:i/>
          <w:iCs/>
        </w:rPr>
      </w:pPr>
      <w:r w:rsidRPr="00766C6E">
        <w:rPr>
          <w:i/>
          <w:iCs/>
        </w:rPr>
        <w:t>Capacidad de organización</w:t>
      </w:r>
      <w:r w:rsidRPr="00766C6E">
        <w:t>. Corresponde a los ingresos operacionales, según el siguiente cuadro:</w:t>
      </w:r>
    </w:p>
    <w:p w:rsidRPr="00766C6E" w:rsidR="00C33138" w:rsidP="00C33138" w:rsidRDefault="00C33138" w14:paraId="32B48E04" w14:textId="77777777">
      <w:pPr>
        <w:pStyle w:val="Textoindependiente"/>
        <w:tabs>
          <w:tab w:val="left" w:pos="993"/>
        </w:tabs>
        <w:spacing w:line="276" w:lineRule="auto"/>
        <w:ind w:left="709" w:right="51"/>
        <w:jc w:val="both"/>
        <w:rPr>
          <w:i/>
          <w:iCs/>
        </w:rPr>
      </w:pPr>
    </w:p>
    <w:tbl>
      <w:tblPr>
        <w:tblStyle w:val="Tablaconcuadrcula"/>
        <w:tblW w:w="7366" w:type="dxa"/>
        <w:tblInd w:w="709" w:type="dxa"/>
        <w:tblLook w:val="04A0" w:firstRow="1" w:lastRow="0" w:firstColumn="1" w:lastColumn="0" w:noHBand="0" w:noVBand="1"/>
      </w:tblPr>
      <w:tblGrid>
        <w:gridCol w:w="4053"/>
        <w:gridCol w:w="3313"/>
      </w:tblGrid>
      <w:tr w:rsidRPr="00766C6E" w:rsidR="00C33138" w:rsidTr="002B61C2" w14:paraId="41604CBA" w14:textId="77777777">
        <w:tc>
          <w:tcPr>
            <w:tcW w:w="4053" w:type="dxa"/>
            <w:shd w:val="clear" w:color="auto" w:fill="D9D9D9" w:themeFill="background1" w:themeFillShade="D9"/>
          </w:tcPr>
          <w:p w:rsidRPr="00766C6E" w:rsidR="00C33138" w:rsidP="002B61C2" w:rsidRDefault="00C33138" w14:paraId="53B90326" w14:textId="77777777">
            <w:pPr>
              <w:pStyle w:val="Textoindependiente"/>
              <w:tabs>
                <w:tab w:val="left" w:pos="993"/>
              </w:tabs>
              <w:spacing w:before="120" w:line="276" w:lineRule="auto"/>
              <w:ind w:right="51"/>
              <w:jc w:val="center"/>
              <w:rPr>
                <w:b/>
                <w:bCs/>
                <w:sz w:val="21"/>
                <w:szCs w:val="21"/>
              </w:rPr>
            </w:pPr>
            <w:r w:rsidRPr="00766C6E">
              <w:rPr>
                <w:b/>
                <w:bCs/>
                <w:sz w:val="21"/>
                <w:szCs w:val="21"/>
              </w:rPr>
              <w:t>Años de información financiera</w:t>
            </w:r>
          </w:p>
        </w:tc>
        <w:tc>
          <w:tcPr>
            <w:tcW w:w="3313" w:type="dxa"/>
            <w:shd w:val="clear" w:color="auto" w:fill="D9D9D9" w:themeFill="background1" w:themeFillShade="D9"/>
          </w:tcPr>
          <w:p w:rsidRPr="00766C6E" w:rsidR="00C33138" w:rsidP="002B61C2" w:rsidRDefault="00C33138" w14:paraId="7BBA9E85" w14:textId="77777777">
            <w:pPr>
              <w:pStyle w:val="Textoindependiente"/>
              <w:tabs>
                <w:tab w:val="left" w:pos="993"/>
              </w:tabs>
              <w:spacing w:before="120" w:line="276" w:lineRule="auto"/>
              <w:ind w:right="51"/>
              <w:jc w:val="center"/>
              <w:rPr>
                <w:b/>
                <w:bCs/>
                <w:sz w:val="21"/>
                <w:szCs w:val="21"/>
              </w:rPr>
            </w:pPr>
            <w:r w:rsidRPr="00766C6E">
              <w:rPr>
                <w:b/>
                <w:bCs/>
                <w:sz w:val="21"/>
                <w:szCs w:val="21"/>
              </w:rPr>
              <w:t>Capacidad de organización</w:t>
            </w:r>
          </w:p>
        </w:tc>
      </w:tr>
      <w:tr w:rsidRPr="00766C6E" w:rsidR="00C33138" w:rsidTr="002B61C2" w14:paraId="5BFB9F00" w14:textId="77777777">
        <w:tc>
          <w:tcPr>
            <w:tcW w:w="4053" w:type="dxa"/>
          </w:tcPr>
          <w:p w:rsidRPr="00766C6E" w:rsidR="00C33138" w:rsidP="002B61C2" w:rsidRDefault="00C33138" w14:paraId="266C5184" w14:textId="77777777">
            <w:pPr>
              <w:pStyle w:val="Textoindependiente"/>
              <w:tabs>
                <w:tab w:val="left" w:pos="993"/>
              </w:tabs>
              <w:spacing w:before="120" w:line="276" w:lineRule="auto"/>
              <w:ind w:right="51"/>
              <w:jc w:val="both"/>
              <w:rPr>
                <w:sz w:val="21"/>
                <w:szCs w:val="21"/>
              </w:rPr>
            </w:pPr>
            <w:r w:rsidRPr="00766C6E">
              <w:rPr>
                <w:sz w:val="21"/>
                <w:szCs w:val="21"/>
              </w:rPr>
              <w:t>Cinco (5) años o más</w:t>
            </w:r>
          </w:p>
        </w:tc>
        <w:tc>
          <w:tcPr>
            <w:tcW w:w="3313" w:type="dxa"/>
          </w:tcPr>
          <w:p w:rsidRPr="00766C6E" w:rsidR="00C33138" w:rsidP="002B61C2" w:rsidRDefault="00C33138" w14:paraId="247FF58B" w14:textId="77777777">
            <w:pPr>
              <w:pStyle w:val="Textoindependiente"/>
              <w:tabs>
                <w:tab w:val="left" w:pos="993"/>
              </w:tabs>
              <w:spacing w:before="120" w:line="276" w:lineRule="auto"/>
              <w:ind w:right="51"/>
              <w:jc w:val="both"/>
              <w:rPr>
                <w:sz w:val="21"/>
                <w:szCs w:val="21"/>
              </w:rPr>
            </w:pPr>
            <w:r w:rsidRPr="00766C6E">
              <w:rPr>
                <w:sz w:val="21"/>
                <w:szCs w:val="21"/>
              </w:rPr>
              <w:t>Mayor ingreso operacional de los últimos cinco años</w:t>
            </w:r>
          </w:p>
        </w:tc>
      </w:tr>
      <w:tr w:rsidRPr="00766C6E" w:rsidR="00C33138" w:rsidTr="002B61C2" w14:paraId="7FF88C13" w14:textId="77777777">
        <w:tc>
          <w:tcPr>
            <w:tcW w:w="4053" w:type="dxa"/>
          </w:tcPr>
          <w:p w:rsidRPr="00766C6E" w:rsidR="00C33138" w:rsidP="002B61C2" w:rsidRDefault="00C33138" w14:paraId="5F0FA41B" w14:textId="77777777">
            <w:pPr>
              <w:pStyle w:val="Textoindependiente"/>
              <w:tabs>
                <w:tab w:val="left" w:pos="993"/>
              </w:tabs>
              <w:spacing w:before="120" w:line="276" w:lineRule="auto"/>
              <w:ind w:right="51"/>
              <w:jc w:val="both"/>
              <w:rPr>
                <w:sz w:val="21"/>
                <w:szCs w:val="21"/>
              </w:rPr>
            </w:pPr>
            <w:r w:rsidRPr="00766C6E">
              <w:rPr>
                <w:sz w:val="21"/>
                <w:szCs w:val="21"/>
              </w:rPr>
              <w:t>Entre uno (1) y cinco (5) años</w:t>
            </w:r>
          </w:p>
        </w:tc>
        <w:tc>
          <w:tcPr>
            <w:tcW w:w="3313" w:type="dxa"/>
          </w:tcPr>
          <w:p w:rsidRPr="00766C6E" w:rsidR="00C33138" w:rsidP="002B61C2" w:rsidRDefault="00C33138" w14:paraId="7617893B" w14:textId="77777777">
            <w:pPr>
              <w:pStyle w:val="Textoindependiente"/>
              <w:tabs>
                <w:tab w:val="left" w:pos="993"/>
              </w:tabs>
              <w:spacing w:before="120" w:line="276" w:lineRule="auto"/>
              <w:ind w:right="51"/>
              <w:jc w:val="both"/>
              <w:rPr>
                <w:sz w:val="21"/>
                <w:szCs w:val="21"/>
              </w:rPr>
            </w:pPr>
            <w:r w:rsidRPr="00766C6E">
              <w:rPr>
                <w:sz w:val="21"/>
                <w:szCs w:val="21"/>
              </w:rPr>
              <w:t>Mayor ingreso operacional de los años de vida del oferente</w:t>
            </w:r>
          </w:p>
        </w:tc>
      </w:tr>
      <w:tr w:rsidRPr="00766C6E" w:rsidR="00C33138" w:rsidTr="002B61C2" w14:paraId="526F19B3" w14:textId="77777777">
        <w:tc>
          <w:tcPr>
            <w:tcW w:w="4053" w:type="dxa"/>
          </w:tcPr>
          <w:p w:rsidRPr="00766C6E" w:rsidR="00C33138" w:rsidP="002B61C2" w:rsidRDefault="00C33138" w14:paraId="7D22A79D" w14:textId="77777777">
            <w:pPr>
              <w:pStyle w:val="Textoindependiente"/>
              <w:tabs>
                <w:tab w:val="left" w:pos="993"/>
              </w:tabs>
              <w:spacing w:before="120" w:line="276" w:lineRule="auto"/>
              <w:ind w:right="51"/>
              <w:jc w:val="both"/>
              <w:rPr>
                <w:sz w:val="21"/>
                <w:szCs w:val="21"/>
              </w:rPr>
            </w:pPr>
            <w:r w:rsidRPr="00766C6E">
              <w:rPr>
                <w:sz w:val="21"/>
                <w:szCs w:val="21"/>
              </w:rPr>
              <w:t>Menos de un (1) año</w:t>
            </w:r>
          </w:p>
        </w:tc>
        <w:tc>
          <w:tcPr>
            <w:tcW w:w="3313" w:type="dxa"/>
          </w:tcPr>
          <w:p w:rsidRPr="00766C6E" w:rsidR="00C33138" w:rsidP="002B61C2" w:rsidRDefault="00C33138" w14:paraId="358535D6" w14:textId="77777777">
            <w:pPr>
              <w:pStyle w:val="Textoindependiente"/>
              <w:tabs>
                <w:tab w:val="left" w:pos="993"/>
              </w:tabs>
              <w:spacing w:before="120" w:line="276" w:lineRule="auto"/>
              <w:ind w:right="51"/>
              <w:jc w:val="both"/>
              <w:rPr>
                <w:sz w:val="21"/>
                <w:szCs w:val="21"/>
              </w:rPr>
            </w:pPr>
            <w:r w:rsidRPr="00766C6E">
              <w:rPr>
                <w:sz w:val="21"/>
                <w:szCs w:val="21"/>
              </w:rPr>
              <w:t>USD 125.000</w:t>
            </w:r>
          </w:p>
        </w:tc>
      </w:tr>
    </w:tbl>
    <w:p w:rsidRPr="00766C6E" w:rsidR="00C33138" w:rsidP="00C33138" w:rsidRDefault="00C33138" w14:paraId="0B39C265" w14:textId="77777777">
      <w:pPr>
        <w:pStyle w:val="Textoindependiente"/>
        <w:tabs>
          <w:tab w:val="left" w:pos="993"/>
        </w:tabs>
        <w:spacing w:line="276" w:lineRule="auto"/>
        <w:ind w:left="709" w:right="51"/>
        <w:jc w:val="both"/>
        <w:rPr>
          <w:i/>
          <w:iCs/>
        </w:rPr>
      </w:pPr>
    </w:p>
    <w:p w:rsidRPr="00766C6E" w:rsidR="00C33138" w:rsidP="00C33138" w:rsidRDefault="00C33138" w14:paraId="41E3526A" w14:textId="77777777">
      <w:pPr>
        <w:pStyle w:val="Textoindependiente"/>
        <w:numPr>
          <w:ilvl w:val="0"/>
          <w:numId w:val="3"/>
        </w:numPr>
        <w:tabs>
          <w:tab w:val="left" w:pos="993"/>
        </w:tabs>
        <w:spacing w:line="276" w:lineRule="auto"/>
        <w:ind w:left="0" w:right="51" w:firstLine="709"/>
        <w:jc w:val="both"/>
      </w:pPr>
      <w:r w:rsidRPr="00766C6E">
        <w:rPr>
          <w:i/>
          <w:iCs/>
        </w:rPr>
        <w:t>Saldos de los contratos en ejecución</w:t>
      </w:r>
      <w:r w:rsidRPr="00766C6E">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en un contrato es superior a 360 días, solo se tendrá en cuenta la proporción lineal de 12 meses.</w:t>
      </w:r>
    </w:p>
    <w:p w:rsidRPr="00766C6E" w:rsidR="00C33138" w:rsidP="00C33138" w:rsidRDefault="00C33138" w14:paraId="48DD8F6A" w14:textId="4A555F8A">
      <w:pPr>
        <w:pStyle w:val="Textoindependiente"/>
        <w:numPr>
          <w:ilvl w:val="0"/>
          <w:numId w:val="3"/>
        </w:numPr>
        <w:tabs>
          <w:tab w:val="left" w:pos="993"/>
        </w:tabs>
        <w:spacing w:before="120" w:line="276" w:lineRule="auto"/>
        <w:ind w:left="0" w:right="51" w:firstLine="709"/>
        <w:jc w:val="both"/>
      </w:pPr>
      <w:r w:rsidRPr="00766C6E">
        <w:rPr>
          <w:i/>
          <w:iCs/>
        </w:rPr>
        <w:t>Experiencia</w:t>
      </w:r>
      <w:r w:rsidRPr="00766C6E">
        <w:t>. Para efectos de la capacidad residual</w:t>
      </w:r>
      <w:r w:rsidR="00F6791C">
        <w:t xml:space="preserve">, </w:t>
      </w:r>
      <w:r w:rsidRPr="00766C6E">
        <w:t xml:space="preserve">corresponde a la relación entre «el valor total en pesos de los contratos relacionados con la actividad de la construcción inscritos por el proponente en el Registro Único de Proponentes </w:t>
      </w:r>
      <w:r>
        <w:t>–</w:t>
      </w:r>
      <w:r w:rsidRPr="00766C6E">
        <w:t>RUP</w:t>
      </w:r>
      <w:r>
        <w:t>–</w:t>
      </w:r>
      <w:r w:rsidRPr="00766C6E">
        <w:t xml:space="preserve"> en el segmento 72 […] del Clasificador de Bienes y Servicios», de un lado, y el presupuesto oficial estimado del Proceso de Contratación, del otro. La relación indica el número de veces que el proponente ha ejecutado contratos equivalentes a la cuantía del proceso de </w:t>
      </w:r>
      <w:r w:rsidRPr="00766C6E">
        <w:lastRenderedPageBreak/>
        <w:t>contratación, según se explica en esta fórmula:</w:t>
      </w:r>
    </w:p>
    <w:p w:rsidRPr="00766C6E" w:rsidR="00C33138" w:rsidP="00C33138" w:rsidRDefault="00C33138" w14:paraId="76D3A65A" w14:textId="77777777">
      <w:pPr>
        <w:pStyle w:val="Textoindependiente"/>
        <w:spacing w:line="276" w:lineRule="auto"/>
        <w:ind w:right="51"/>
        <w:jc w:val="both"/>
      </w:pPr>
    </w:p>
    <w:p w:rsidRPr="00766C6E" w:rsidR="00C33138" w:rsidP="00C33138" w:rsidRDefault="00C33138" w14:paraId="30A1CA86" w14:textId="77777777">
      <w:pPr>
        <w:pStyle w:val="Textoindependiente"/>
        <w:spacing w:line="276" w:lineRule="auto"/>
        <w:ind w:left="709" w:right="758"/>
        <w:jc w:val="both"/>
      </w:pPr>
      <w:r w:rsidR="00C33138">
        <w:drawing>
          <wp:inline wp14:editId="32542D46" wp14:anchorId="337D4A2D">
            <wp:extent cx="4696459" cy="615315"/>
            <wp:effectExtent l="0" t="0" r="8890" b="0"/>
            <wp:docPr id="1996789253" name="Imagen 6" title=""/>
            <wp:cNvGraphicFramePr>
              <a:graphicFrameLocks noChangeAspect="1"/>
            </wp:cNvGraphicFramePr>
            <a:graphic>
              <a:graphicData uri="http://schemas.openxmlformats.org/drawingml/2006/picture">
                <pic:pic>
                  <pic:nvPicPr>
                    <pic:cNvPr id="0" name="Imagen 6"/>
                    <pic:cNvPicPr/>
                  </pic:nvPicPr>
                  <pic:blipFill>
                    <a:blip r:embed="Rb5d3f4bb92fc4f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696459" cy="615315"/>
                    </a:xfrm>
                    <a:prstGeom prst="rect">
                      <a:avLst/>
                    </a:prstGeom>
                  </pic:spPr>
                </pic:pic>
              </a:graphicData>
            </a:graphic>
          </wp:inline>
        </w:drawing>
      </w:r>
    </w:p>
    <w:p w:rsidRPr="00766C6E" w:rsidR="00C33138" w:rsidP="00C33138" w:rsidRDefault="00C33138" w14:paraId="49E34C06" w14:textId="77777777">
      <w:pPr>
        <w:pStyle w:val="Textoindependiente"/>
        <w:spacing w:line="276" w:lineRule="auto"/>
        <w:ind w:right="51"/>
        <w:jc w:val="both"/>
      </w:pPr>
    </w:p>
    <w:p w:rsidRPr="00766C6E" w:rsidR="00C33138" w:rsidP="00C33138" w:rsidRDefault="00C33138" w14:paraId="2FE857C0" w14:textId="77777777">
      <w:pPr>
        <w:pStyle w:val="Textoindependiente"/>
        <w:spacing w:line="276" w:lineRule="auto"/>
        <w:ind w:right="51" w:firstLine="709"/>
        <w:jc w:val="both"/>
      </w:pPr>
      <w:r w:rsidRPr="00766C6E">
        <w:t>Resulta del caso precisar que si bien es cierto que es la entidad estatal la que debe calcular la capacidad residual de los proponentes, también lo es que estos últimos, como ya se dijo, tienen como carga aportar los documentos para acreditar</w:t>
      </w:r>
      <w:r>
        <w:t>la</w:t>
      </w:r>
      <w:r w:rsidRPr="00766C6E">
        <w:rPr>
          <w:rStyle w:val="Refdenotaalpie"/>
        </w:rPr>
        <w:footnoteReference w:id="3"/>
      </w:r>
      <w:r w:rsidRPr="00766C6E">
        <w:t xml:space="preserve">. Al respecto, la Circular Externa Única de Colombia Compra Eficiente, en el punto 7, </w:t>
      </w:r>
      <w:r>
        <w:t xml:space="preserve">dispone </w:t>
      </w:r>
      <w:r w:rsidRPr="00766C6E">
        <w:t>lo siguiente:</w:t>
      </w:r>
    </w:p>
    <w:p w:rsidRPr="00766C6E" w:rsidR="00C33138" w:rsidP="00C33138" w:rsidRDefault="00C33138" w14:paraId="7F7B24DB" w14:textId="77777777">
      <w:pPr>
        <w:pStyle w:val="Textoindependiente"/>
        <w:spacing w:line="276" w:lineRule="auto"/>
        <w:ind w:right="51" w:firstLine="709"/>
        <w:jc w:val="both"/>
      </w:pPr>
    </w:p>
    <w:p w:rsidRPr="00766C6E" w:rsidR="00C33138" w:rsidP="00C33138" w:rsidRDefault="00C33138" w14:paraId="3241EA08" w14:textId="77777777">
      <w:pPr>
        <w:pStyle w:val="Textoindependiente"/>
        <w:ind w:left="709" w:right="709"/>
        <w:jc w:val="both"/>
        <w:rPr>
          <w:sz w:val="21"/>
          <w:szCs w:val="21"/>
        </w:rPr>
      </w:pPr>
      <w:r w:rsidRPr="00766C6E">
        <w:rPr>
          <w:sz w:val="21"/>
          <w:szCs w:val="21"/>
        </w:rPr>
        <w:t>En desarrollo del artículo 2.2.1.1.1.6.4. del Decreto 1082 de 2015, Colombia Compra Eficiente expide la “Guía para determinar y verificar la Capacidad Residual del proponente en los procesos de contratación de obra pública”, y conjuntamente un aplicativo de Excel diseñado para facilitar el cálculo. Este aplicativo es un instrumento de apoyo que no exime a las Entidades Estatales y a los proponentes de realizar el cálculo de la Capacidad Residual en los términos de la Guía.</w:t>
      </w:r>
    </w:p>
    <w:p w:rsidRPr="00766C6E" w:rsidR="00C33138" w:rsidP="00C33138" w:rsidRDefault="00C33138" w14:paraId="25BC1424" w14:textId="77777777">
      <w:pPr>
        <w:pStyle w:val="Textoindependiente"/>
        <w:ind w:left="709" w:right="709"/>
        <w:jc w:val="both"/>
        <w:rPr>
          <w:sz w:val="21"/>
          <w:szCs w:val="21"/>
        </w:rPr>
      </w:pPr>
    </w:p>
    <w:p w:rsidRPr="00766C6E" w:rsidR="00C33138" w:rsidP="00C33138" w:rsidRDefault="00C33138" w14:paraId="3B5D7DBF" w14:textId="77777777">
      <w:pPr>
        <w:pStyle w:val="Textoindependiente"/>
        <w:ind w:left="709" w:right="709"/>
        <w:jc w:val="both"/>
        <w:rPr>
          <w:sz w:val="21"/>
          <w:szCs w:val="21"/>
        </w:rPr>
      </w:pPr>
      <w:r w:rsidRPr="00766C6E">
        <w:rPr>
          <w:sz w:val="21"/>
          <w:szCs w:val="21"/>
        </w:rPr>
        <w:t xml:space="preserve">La “Guía para determinar y verificar la Capacidad Residual del proponente en los procesos de contratación de obra pública” y el aplicativo de Excel están disponibles en la página web: </w:t>
      </w:r>
      <w:hyperlink w:history="1" r:id="rId9">
        <w:r w:rsidRPr="00766C6E">
          <w:rPr>
            <w:rStyle w:val="Hipervnculo"/>
            <w:sz w:val="21"/>
            <w:szCs w:val="21"/>
          </w:rPr>
          <w:t>https://www.colombiacompra.gov.co/manuales-guias-y-pliegos-tipo/manuales-y-guias</w:t>
        </w:r>
      </w:hyperlink>
    </w:p>
    <w:p w:rsidRPr="00F317B0" w:rsidR="00C33138" w:rsidP="00C33138" w:rsidRDefault="00C33138" w14:paraId="0CADEBF8" w14:textId="77777777">
      <w:pPr>
        <w:pStyle w:val="Textoindependiente"/>
        <w:ind w:left="709" w:right="760"/>
        <w:jc w:val="both"/>
      </w:pPr>
    </w:p>
    <w:p w:rsidRPr="00766C6E" w:rsidR="00C33138" w:rsidP="00C33138" w:rsidRDefault="00C33138" w14:paraId="07424BEF" w14:textId="40D0188F">
      <w:pPr>
        <w:pStyle w:val="Textoindependiente"/>
        <w:spacing w:line="276" w:lineRule="auto"/>
        <w:ind w:right="51" w:firstLine="709"/>
        <w:jc w:val="both"/>
      </w:pPr>
      <w:r w:rsidRPr="00766C6E">
        <w:t xml:space="preserve">Para acreditar el factor experiencia </w:t>
      </w:r>
      <w:r>
        <w:t>–</w:t>
      </w:r>
      <w:r w:rsidRPr="00766C6E">
        <w:t>E</w:t>
      </w:r>
      <w:r>
        <w:t>–</w:t>
      </w:r>
      <w:r w:rsidRPr="00766C6E">
        <w:t xml:space="preserve">, el proponente debe suscribir el formato correspondiente al </w:t>
      </w:r>
      <w:r>
        <w:t>a</w:t>
      </w:r>
      <w:r w:rsidRPr="00766C6E">
        <w:t xml:space="preserve">nexo 1 de la «Guía para Determinar y Verificar la Capacidad Residual del Proponente en los Procesos de Contratación de Obra Pública», el cual debe ser diligenciado, por un lado, con los contratos inscritos en el segmento 72 y, por el otro, con el valor total de dichos contratos expresado en pesos colombianos y liquidados con el SMMLV. El Anexo 1 es </w:t>
      </w:r>
      <w:r>
        <w:t>e</w:t>
      </w:r>
      <w:r w:rsidRPr="00766C6E">
        <w:t>l siguiente:</w:t>
      </w:r>
    </w:p>
    <w:p w:rsidRPr="00766C6E" w:rsidR="00C33138" w:rsidP="00C33138" w:rsidRDefault="00C33138" w14:paraId="48DEB118" w14:textId="77777777">
      <w:pPr>
        <w:pStyle w:val="Textoindependiente"/>
        <w:spacing w:before="120" w:line="276" w:lineRule="auto"/>
        <w:ind w:right="51"/>
        <w:jc w:val="center"/>
      </w:pPr>
      <w:r w:rsidR="00C33138">
        <w:drawing>
          <wp:inline wp14:editId="1251329A" wp14:anchorId="7B0B88E5">
            <wp:extent cx="3701845" cy="3599411"/>
            <wp:effectExtent l="0" t="0" r="0" b="1270"/>
            <wp:docPr id="889191954" name="Imagen 8" title=""/>
            <wp:cNvGraphicFramePr>
              <a:graphicFrameLocks noChangeAspect="1"/>
            </wp:cNvGraphicFramePr>
            <a:graphic>
              <a:graphicData uri="http://schemas.openxmlformats.org/drawingml/2006/picture">
                <pic:pic>
                  <pic:nvPicPr>
                    <pic:cNvPr id="0" name="Imagen 8"/>
                    <pic:cNvPicPr/>
                  </pic:nvPicPr>
                  <pic:blipFill>
                    <a:blip r:embed="R1c11e15dc12c47c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1845" cy="3599411"/>
                    </a:xfrm>
                    <a:prstGeom prst="rect">
                      <a:avLst/>
                    </a:prstGeom>
                  </pic:spPr>
                </pic:pic>
              </a:graphicData>
            </a:graphic>
          </wp:inline>
        </w:drawing>
      </w:r>
    </w:p>
    <w:p w:rsidRPr="00766C6E" w:rsidR="00C33138" w:rsidP="00C33138" w:rsidRDefault="00C33138" w14:paraId="0DD2F68A" w14:textId="1EC8858C">
      <w:pPr>
        <w:pStyle w:val="Textoindependiente"/>
        <w:spacing w:before="120" w:line="276" w:lineRule="auto"/>
        <w:ind w:right="51" w:firstLine="709"/>
        <w:jc w:val="both"/>
      </w:pPr>
      <w:r w:rsidRPr="00766C6E">
        <w:t xml:space="preserve">Nótese que en la parte superior derecha se lee que el valor total de los contratos ejecutados corresponde «al valor del contrato ponderado por la participación en pesos colombianos». Ahora bien, en criterio de la Agencia Nacional de Contratación Pública, la noción «liquidados con el SMMLV», contenida en la página 7 de la «Guía para Determinar y Verificar la Capacidad Residual del Proponente en los Procesos de Contratación de Obra Pública», implica que para efectos prácticos el </w:t>
      </w:r>
      <w:r>
        <w:t>a</w:t>
      </w:r>
      <w:r w:rsidRPr="00766C6E">
        <w:t xml:space="preserve">nexo 1 </w:t>
      </w:r>
      <w:r>
        <w:t>hace</w:t>
      </w:r>
      <w:r w:rsidRPr="00766C6E">
        <w:t xml:space="preserve"> referencia: i) al contrato relacionado con la actividad de la construcción −segmento 72, clasificador UNSPSC− y ii) al valor de cada uno de esos contratos de acuerdo a los salarios mínimos mensuales legales vigentes </w:t>
      </w:r>
      <w:r>
        <w:t>–</w:t>
      </w:r>
      <w:r w:rsidRPr="00766C6E">
        <w:t>SMMLV</w:t>
      </w:r>
      <w:r>
        <w:t>–</w:t>
      </w:r>
      <w:r w:rsidRPr="00766C6E">
        <w:t xml:space="preserve"> registrados en el RUP. De ser necesario, el proponente tendrá que diligenciar la casilla del porcentaje de «participación del proponente en el contratista plural» y calcular, según dicho porcentaje, el valor del contrato a tener en cuenta, de tal forma que si, por ejemplo, el contrato inscrito en el RUP es de cien (100)  SMMLV, pero su participación fue del cincuenta (50) por ciento, en la casilla «valor total de los contratos ejecutados» solo se podrán incluir cincuenta (50) de los cien (100) SMMLV, dado el porcentaje de participación del proponente. </w:t>
      </w:r>
    </w:p>
    <w:p w:rsidRPr="00B30DB3" w:rsidR="00C33138" w:rsidP="00B30DB3" w:rsidRDefault="00C33138" w14:paraId="299DACC5" w14:textId="59F8B7E6">
      <w:pPr>
        <w:spacing w:before="120" w:line="276" w:lineRule="auto"/>
        <w:ind w:right="51" w:firstLine="709"/>
        <w:jc w:val="both"/>
        <w:rPr>
          <w:sz w:val="22"/>
          <w:lang w:val="es-ES"/>
        </w:rPr>
      </w:pPr>
      <w:r w:rsidRPr="00782237">
        <w:rPr>
          <w:rFonts w:ascii="Arial" w:hAnsi="Arial" w:eastAsia="Arial" w:cs="Arial"/>
          <w:sz w:val="22"/>
          <w:lang w:val="es-ES" w:eastAsia="es-ES" w:bidi="es-ES"/>
        </w:rPr>
        <w:t>De todos modos, el valor total de los contratos referidos en el anexo 1 debe liquidarse en pesos colombianos</w:t>
      </w:r>
      <w:r w:rsidRPr="00782237" w:rsidR="009464CA">
        <w:rPr>
          <w:rFonts w:ascii="Arial" w:hAnsi="Arial" w:eastAsia="Arial" w:cs="Arial"/>
          <w:sz w:val="22"/>
          <w:lang w:val="es-ES" w:eastAsia="es-ES" w:bidi="es-ES"/>
        </w:rPr>
        <w:t>,</w:t>
      </w:r>
      <w:r w:rsidRPr="00782237">
        <w:rPr>
          <w:rFonts w:ascii="Arial" w:hAnsi="Arial" w:eastAsia="Arial" w:cs="Arial"/>
          <w:sz w:val="22"/>
          <w:lang w:val="es-ES" w:eastAsia="es-ES" w:bidi="es-ES"/>
        </w:rPr>
        <w:t xml:space="preserve"> según el salario mínimo mensual legal vigente para el momento en el que se realiza la presentación de la oferta. Esta conversión de salarios a pesos encuentra fundamento, por un lado, en los criterios expuestos en la «Guía para Determinar y Verificar la Capacidad Residual del Proponente en los Procesos de Contratación de Obra Pública», particularmente en lo que señala el párrafo 5 de la página 7 de dicho documento. Por otro lado, se justifica en el hecho de que la fórmula a aplicar requiere que la información se exprese en pesos y no en SMMLV. </w:t>
      </w:r>
    </w:p>
    <w:p w:rsidR="0080266A" w:rsidP="004A0E6E" w:rsidRDefault="00C33138" w14:paraId="30296D97" w14:textId="2D3D5ACB">
      <w:pPr>
        <w:pStyle w:val="Textoindependiente"/>
        <w:spacing w:before="120" w:after="120" w:line="276" w:lineRule="auto"/>
        <w:ind w:right="51" w:firstLine="709"/>
        <w:jc w:val="both"/>
      </w:pPr>
      <w:r w:rsidRPr="00766C6E">
        <w:lastRenderedPageBreak/>
        <w:t>En suma, a la entidad contratante</w:t>
      </w:r>
      <w:r w:rsidR="00E954CD">
        <w:t xml:space="preserve"> le</w:t>
      </w:r>
      <w:r w:rsidRPr="00766C6E">
        <w:t xml:space="preserve"> corresponde, por una parte, establecer la capacidad residual del proceso de contratación </w:t>
      </w:r>
      <w:r>
        <w:t>–</w:t>
      </w:r>
      <w:r w:rsidRPr="00766C6E">
        <w:t>CRPC</w:t>
      </w:r>
      <w:r>
        <w:t>–</w:t>
      </w:r>
      <w:r w:rsidRPr="00766C6E">
        <w:t xml:space="preserve"> y, por la otra, determinar si los proponentes cumplen con la capacidad residual del proceso de contratación, claro está, teniendo en cuenta la información aportada por el </w:t>
      </w:r>
      <w:r>
        <w:t>oferente</w:t>
      </w:r>
      <w:r w:rsidRPr="00766C6E">
        <w:t xml:space="preserve">, y según los criterios y directrices </w:t>
      </w:r>
      <w:r>
        <w:t>de</w:t>
      </w:r>
      <w:r w:rsidRPr="00766C6E">
        <w:t xml:space="preserve"> los párrafos precedentes.</w:t>
      </w:r>
    </w:p>
    <w:p w:rsidR="00F664C3" w:rsidP="00B30DB3" w:rsidRDefault="00F43324" w14:paraId="4357699C" w14:textId="694C255C">
      <w:pPr>
        <w:pStyle w:val="Textoindependiente"/>
        <w:spacing w:before="120" w:after="120" w:line="276" w:lineRule="auto"/>
        <w:ind w:right="51" w:firstLine="709"/>
        <w:jc w:val="both"/>
      </w:pPr>
      <w:r>
        <w:t>Expuesto el régimen jurídico general</w:t>
      </w:r>
      <w:r w:rsidR="00AF7E86">
        <w:t>,</w:t>
      </w:r>
      <w:r>
        <w:t xml:space="preserve"> relacionado con la capacidad residual</w:t>
      </w:r>
      <w:r w:rsidRPr="00217A3C" w:rsidR="00066FD9">
        <w:t>,</w:t>
      </w:r>
      <w:r w:rsidR="00066FD9">
        <w:t xml:space="preserve"> </w:t>
      </w:r>
      <w:r w:rsidR="00AF7E86">
        <w:t xml:space="preserve">debe tenerse en cuenta que </w:t>
      </w:r>
      <w:r w:rsidR="00066FD9">
        <w:t xml:space="preserve">el </w:t>
      </w:r>
      <w:r w:rsidR="002F39BC">
        <w:t>m</w:t>
      </w:r>
      <w:r w:rsidR="00066FD9">
        <w:t xml:space="preserve">anual para la modalidad de selección de mínima cuantía, expedido por la Agencia Nacional de Contratación Pública – Colombia Compra Eficiente, al determinar las características propias de esta modalidad establece que </w:t>
      </w:r>
      <w:r w:rsidRPr="00066FD9" w:rsidR="00066FD9">
        <w:rPr>
          <w:i/>
        </w:rPr>
        <w:t>«en los Procesos de Contratación de obra pública en la modalidad de selección de mínima cuantía las Entidades Estatales deberán solicitar la Capacidad Residual o K de Contratación y verificarla directamente, sin solicitar RUP»</w:t>
      </w:r>
      <w:r w:rsidR="00066FD9">
        <w:t>. De ahí que se afirme que la diferencia, por ejemplo</w:t>
      </w:r>
      <w:r w:rsidR="00AF7E86">
        <w:t>,</w:t>
      </w:r>
      <w:r w:rsidR="00066FD9">
        <w:t xml:space="preserve"> con la licitación pública, </w:t>
      </w:r>
      <w:r w:rsidR="00AF7E86">
        <w:t>consiste en</w:t>
      </w:r>
      <w:r w:rsidR="00066FD9">
        <w:t xml:space="preserve"> la forma de verificación</w:t>
      </w:r>
      <w:r w:rsidR="00AF7E86">
        <w:t xml:space="preserve"> de la capacidad residual</w:t>
      </w:r>
      <w:r w:rsidR="00066FD9">
        <w:t>, m</w:t>
      </w:r>
      <w:r w:rsidR="00690FBA">
        <w:t>a</w:t>
      </w:r>
      <w:r w:rsidR="00066FD9">
        <w:t>s no su exigencia</w:t>
      </w:r>
      <w:r w:rsidR="00690FBA">
        <w:t xml:space="preserve">, toda vez que el </w:t>
      </w:r>
      <w:r w:rsidR="006F3D35">
        <w:t>último aspecto depende de la tipología contractual</w:t>
      </w:r>
      <w:r w:rsidR="00AC3992">
        <w:t>, esto es, si se trata de un contrato de obra es procedente el requisito de la capacidad residual.</w:t>
      </w:r>
    </w:p>
    <w:p w:rsidR="00F664C3" w:rsidP="00B30DB3" w:rsidRDefault="00F664C3" w14:paraId="1798CFED" w14:textId="71CE6269">
      <w:pPr>
        <w:pStyle w:val="Textoindependiente"/>
        <w:spacing w:before="120" w:after="120" w:line="276" w:lineRule="auto"/>
        <w:ind w:right="51" w:firstLine="709"/>
        <w:jc w:val="both"/>
      </w:pPr>
      <w:r>
        <w:t xml:space="preserve">Sin embargo, </w:t>
      </w:r>
      <w:r w:rsidR="00EA59E3">
        <w:t>como se desprende del manual, en el aparte transcrito, la entidad en la invitación debe establecer los requisitos y documentos que exigirá a los proponentes dirigidos a evaluar su capacidad residual, toda vez que en los procesos de mínima cuantía no resulta exigible el Registro Único de Proponentes.</w:t>
      </w:r>
    </w:p>
    <w:p w:rsidR="00544C03" w:rsidP="00B30DB3" w:rsidRDefault="00544C03" w14:paraId="4D8A3195" w14:textId="0E287F70">
      <w:pPr>
        <w:pStyle w:val="Textoindependiente"/>
        <w:spacing w:before="120" w:after="120" w:line="276" w:lineRule="auto"/>
        <w:ind w:right="51" w:firstLine="709"/>
        <w:jc w:val="both"/>
      </w:pPr>
      <w:r>
        <w:t xml:space="preserve">En suma, </w:t>
      </w:r>
      <w:r w:rsidR="00E339CE">
        <w:t xml:space="preserve">en respuesta a </w:t>
      </w:r>
      <w:r w:rsidR="00754CFD">
        <w:t xml:space="preserve">la </w:t>
      </w:r>
      <w:r w:rsidR="00E339CE">
        <w:t>pregunta</w:t>
      </w:r>
      <w:r w:rsidR="00754CFD">
        <w:t xml:space="preserve"> del peticionario</w:t>
      </w:r>
      <w:r w:rsidR="00E339CE">
        <w:t xml:space="preserve">, </w:t>
      </w:r>
      <w:r>
        <w:t xml:space="preserve">de acuerdo con las normas mencionadas, </w:t>
      </w:r>
      <w:r w:rsidR="000128E5">
        <w:t>particularmente el</w:t>
      </w:r>
      <w:r w:rsidR="00AC3992">
        <w:t xml:space="preserve"> </w:t>
      </w:r>
      <w:r w:rsidR="000128E5">
        <w:rPr>
          <w:color w:val="000000" w:themeColor="text1"/>
          <w:lang w:val="es-ES_tradnl"/>
        </w:rPr>
        <w:t xml:space="preserve">artículo 6 de la Ley 1150 de 2007 y el artículo 72 de la Ley 1682 de 2013, debido a que </w:t>
      </w:r>
      <w:r w:rsidR="00E339CE">
        <w:t>la normativa hace referencia a un</w:t>
      </w:r>
      <w:r w:rsidR="00192421">
        <w:t>a</w:t>
      </w:r>
      <w:r w:rsidR="00E339CE">
        <w:t xml:space="preserve"> tipología co</w:t>
      </w:r>
      <w:r w:rsidR="00066FD9">
        <w:t>ntra</w:t>
      </w:r>
      <w:r w:rsidR="00E339CE">
        <w:t xml:space="preserve">ctual –contrato de obra– y no restringe a una modalidad de selección específica su aplicación, </w:t>
      </w:r>
      <w:r w:rsidRPr="00217A3C">
        <w:t xml:space="preserve">todas las entidades estatales que adelanten procesos de contratación de obra pública, sin importar la modalidad de selección del contratista, están obligadas a verificar la capacidad residual de los proponentes, como requisito habilitante para participar en el </w:t>
      </w:r>
      <w:r w:rsidR="001F66A8">
        <w:t>procedimiento de selección.</w:t>
      </w:r>
    </w:p>
    <w:p w:rsidRPr="00F84688" w:rsidR="001202B9" w:rsidP="00476AFB" w:rsidRDefault="001202B9" w14:paraId="4D8A3196" w14:textId="77777777">
      <w:pPr>
        <w:widowControl w:val="0"/>
        <w:autoSpaceDE w:val="0"/>
        <w:autoSpaceDN w:val="0"/>
        <w:spacing w:line="276" w:lineRule="auto"/>
        <w:jc w:val="both"/>
        <w:rPr>
          <w:rFonts w:ascii="Arial" w:hAnsi="Arial" w:eastAsia="Arial" w:cs="Arial"/>
          <w:sz w:val="22"/>
        </w:rPr>
      </w:pPr>
    </w:p>
    <w:p w:rsidRPr="00222BE8" w:rsidR="00272923" w:rsidP="00272923" w:rsidRDefault="00272923" w14:paraId="4D8A3197" w14:textId="42ADA682">
      <w:pPr>
        <w:tabs>
          <w:tab w:val="left" w:pos="0"/>
        </w:tabs>
        <w:spacing w:line="276" w:lineRule="auto"/>
        <w:jc w:val="both"/>
        <w:rPr>
          <w:rFonts w:ascii="Arial" w:hAnsi="Arial" w:eastAsia="Calibri" w:cs="Arial"/>
          <w:b/>
          <w:color w:val="000000" w:themeColor="text1"/>
          <w:sz w:val="22"/>
          <w:lang w:val="es-ES_tradnl"/>
        </w:rPr>
      </w:pPr>
      <w:r w:rsidRPr="00222BE8">
        <w:rPr>
          <w:rFonts w:ascii="Arial" w:hAnsi="Arial" w:eastAsia="Calibri" w:cs="Arial"/>
          <w:b/>
          <w:color w:val="000000" w:themeColor="text1"/>
          <w:sz w:val="22"/>
          <w:lang w:val="es-ES_tradnl"/>
        </w:rPr>
        <w:t>3. Respuesta</w:t>
      </w:r>
    </w:p>
    <w:p w:rsidRPr="00222BE8" w:rsidR="00272923" w:rsidP="00272923" w:rsidRDefault="00272923" w14:paraId="4D8A3198" w14:textId="77777777">
      <w:pPr>
        <w:tabs>
          <w:tab w:val="left" w:pos="0"/>
        </w:tabs>
        <w:spacing w:line="276" w:lineRule="auto"/>
        <w:jc w:val="both"/>
        <w:rPr>
          <w:rFonts w:ascii="Arial" w:hAnsi="Arial" w:eastAsia="Calibri" w:cs="Arial"/>
          <w:color w:val="000000" w:themeColor="text1"/>
          <w:sz w:val="22"/>
          <w:lang w:val="es-ES_tradnl"/>
        </w:rPr>
      </w:pPr>
    </w:p>
    <w:p w:rsidR="00272923" w:rsidP="00272923" w:rsidRDefault="00476AFB" w14:paraId="4D8A3199" w14:textId="77777777">
      <w:pPr>
        <w:ind w:left="709" w:right="709"/>
        <w:jc w:val="both"/>
        <w:rPr>
          <w:rFonts w:ascii="Arial" w:hAnsi="Arial" w:cs="Arial"/>
          <w:color w:val="000000" w:themeColor="text1"/>
          <w:sz w:val="22"/>
          <w:lang w:val="es-ES_tradnl"/>
        </w:rPr>
      </w:pPr>
      <w:r>
        <w:rPr>
          <w:rFonts w:ascii="Arial" w:hAnsi="Arial" w:cs="Arial"/>
          <w:color w:val="000000" w:themeColor="text1"/>
          <w:sz w:val="22"/>
          <w:lang w:val="es-ES_tradnl"/>
        </w:rPr>
        <w:t>«Es aplicable en los procesos de obra realizados a través de mínima cuantía, lo establecido en el artículo 72 de la Ley 1682 de 2013»</w:t>
      </w:r>
    </w:p>
    <w:p w:rsidR="00476AFB" w:rsidP="00476AFB" w:rsidRDefault="00476AFB" w14:paraId="4D8A319A" w14:textId="77777777">
      <w:pPr>
        <w:pStyle w:val="Ttulo2"/>
        <w:spacing w:line="276" w:lineRule="auto"/>
        <w:ind w:left="0" w:right="103"/>
        <w:rPr>
          <w:rFonts w:eastAsiaTheme="minorHAnsi"/>
          <w:color w:val="000000" w:themeColor="text1"/>
          <w:sz w:val="21"/>
          <w:szCs w:val="21"/>
          <w:lang w:val="es-ES_tradnl"/>
        </w:rPr>
      </w:pPr>
    </w:p>
    <w:p w:rsidR="00272923" w:rsidP="001303A3" w:rsidRDefault="00476AFB" w14:paraId="4D8A319B" w14:textId="32BEDB4B">
      <w:pPr>
        <w:pStyle w:val="Ttulo2"/>
        <w:spacing w:after="120" w:line="276" w:lineRule="auto"/>
        <w:ind w:left="0" w:right="102"/>
        <w:rPr>
          <w:color w:val="000000" w:themeColor="text1"/>
          <w:lang w:val="es-ES_tradnl"/>
        </w:rPr>
      </w:pPr>
      <w:r>
        <w:rPr>
          <w:color w:val="000000" w:themeColor="text1"/>
          <w:lang w:val="es-ES_tradnl"/>
        </w:rPr>
        <w:t>Tanto el artículo 6 de la Ley 1150 de 2007</w:t>
      </w:r>
      <w:r w:rsidR="001303A3">
        <w:rPr>
          <w:color w:val="000000" w:themeColor="text1"/>
          <w:lang w:val="es-ES_tradnl"/>
        </w:rPr>
        <w:t>,</w:t>
      </w:r>
      <w:r>
        <w:rPr>
          <w:color w:val="000000" w:themeColor="text1"/>
          <w:lang w:val="es-ES_tradnl"/>
        </w:rPr>
        <w:t xml:space="preserve"> como el artículo 72 de la Ley 1682 de 2013</w:t>
      </w:r>
      <w:r w:rsidR="001303A3">
        <w:rPr>
          <w:color w:val="000000" w:themeColor="text1"/>
          <w:lang w:val="es-ES_tradnl"/>
        </w:rPr>
        <w:t>,</w:t>
      </w:r>
      <w:r>
        <w:t xml:space="preserve"> al regular lo relativo a la capacidad residual determinan su aplicación respecto de una tipología contractual –contrato de obra– sin restringirla a una modalidad de selección específica. </w:t>
      </w:r>
      <w:r w:rsidR="001303A3">
        <w:t>De acuerdo con lo anterior</w:t>
      </w:r>
      <w:r>
        <w:t xml:space="preserve">, </w:t>
      </w:r>
      <w:r w:rsidRPr="00217A3C">
        <w:t>todas las entidades estatales que adelanten procesos de contratación de obra pública, sin importar la modalidad de selección del contratista, están obligadas a verificar la capacidad residual de los proponentes, como requisito habilitante para participar en el proceso</w:t>
      </w:r>
      <w:r>
        <w:t xml:space="preserve"> y</w:t>
      </w:r>
      <w:r w:rsidR="001303A3">
        <w:t>,</w:t>
      </w:r>
      <w:r>
        <w:t xml:space="preserve"> por ende</w:t>
      </w:r>
      <w:r w:rsidR="001303A3">
        <w:t>,</w:t>
      </w:r>
      <w:r>
        <w:t xml:space="preserve"> se puede concluir que </w:t>
      </w:r>
      <w:r>
        <w:rPr>
          <w:color w:val="000000" w:themeColor="text1"/>
          <w:lang w:val="es-ES_tradnl"/>
        </w:rPr>
        <w:t>lo establecido en el artículo 72 de la Ley 1682 de 2013 es aplicable en los procesos de obra realizados a través de la modalidad de selección de mínima cuantía.</w:t>
      </w:r>
    </w:p>
    <w:p w:rsidR="001303A3" w:rsidP="00B30DB3" w:rsidRDefault="001303A3" w14:paraId="44F0DD91" w14:textId="6E9A7C7C">
      <w:pPr>
        <w:pStyle w:val="Ttulo2"/>
        <w:spacing w:after="120" w:line="276" w:lineRule="auto"/>
        <w:ind w:left="0" w:right="102"/>
        <w:rPr>
          <w:color w:val="000000" w:themeColor="text1"/>
          <w:lang w:val="es-ES_tradnl"/>
        </w:rPr>
      </w:pPr>
      <w:r>
        <w:rPr>
          <w:color w:val="000000" w:themeColor="text1"/>
          <w:lang w:val="es-ES_tradnl"/>
        </w:rPr>
        <w:lastRenderedPageBreak/>
        <w:tab/>
      </w:r>
      <w:r>
        <w:rPr>
          <w:color w:val="000000" w:themeColor="text1"/>
          <w:lang w:val="es-ES_tradnl"/>
        </w:rPr>
        <w:t xml:space="preserve">La postura anterior además es sostenida </w:t>
      </w:r>
      <w:r w:rsidR="009B35D1">
        <w:rPr>
          <w:color w:val="000000" w:themeColor="text1"/>
          <w:lang w:val="es-ES_tradnl"/>
        </w:rPr>
        <w:t xml:space="preserve">en forma concreta </w:t>
      </w:r>
      <w:r>
        <w:rPr>
          <w:color w:val="000000" w:themeColor="text1"/>
          <w:lang w:val="es-ES_tradnl"/>
        </w:rPr>
        <w:t xml:space="preserve">por la Agencia Nacional de Contratación – Colombia </w:t>
      </w:r>
      <w:r w:rsidRPr="005354D0">
        <w:rPr>
          <w:color w:val="000000" w:themeColor="text1"/>
          <w:lang w:val="es-ES_tradnl"/>
        </w:rPr>
        <w:t xml:space="preserve">Compra Eficiente en </w:t>
      </w:r>
      <w:r w:rsidRPr="005354D0">
        <w:t>el Manual para la modalidad de selección de mínima cuantía</w:t>
      </w:r>
      <w:r w:rsidRPr="005354D0" w:rsidR="009B35D1">
        <w:t xml:space="preserve">, al establecer que: </w:t>
      </w:r>
      <w:r w:rsidRPr="00B30DB3" w:rsidR="009B35D1">
        <w:t>«en los Procesos de Contratación de obra pública en la modalidad de selección de mínima cuantía las Entidades Estatales deberán solicitar la Capacidad Residual o K de Contratación y verificarla directamente, sin solicitar RUP».</w:t>
      </w:r>
      <w:r w:rsidR="00041A65">
        <w:t xml:space="preserve"> En este sentido, en los procesos de mínima cuantía también resulta exigible el requisito habilitante de capacidad</w:t>
      </w:r>
      <w:r w:rsidR="00FF5F08">
        <w:t xml:space="preserve"> residual,</w:t>
      </w:r>
      <w:r w:rsidR="00041A65">
        <w:t xml:space="preserve"> </w:t>
      </w:r>
      <w:r w:rsidR="00FF5F08">
        <w:t>pero</w:t>
      </w:r>
      <w:r w:rsidR="004C689C">
        <w:t xml:space="preserve"> tal</w:t>
      </w:r>
      <w:r w:rsidR="00041A65">
        <w:t xml:space="preserve"> como se desprende del manual, en el aparte transcrito, la entidad en la invitación debe establecer los requisitos y documentos que exigirá a los proponentes dirigidos a evaluar su capacidad residual, toda vez que en los procesos de mínima cuantía no resulta exigible el Registro Único de Proponentes.</w:t>
      </w:r>
    </w:p>
    <w:p w:rsidRPr="00222BE8" w:rsidR="00272923" w:rsidP="00B30DB3" w:rsidRDefault="001303A3" w14:paraId="4D8A319D" w14:textId="28ACC3B8">
      <w:pPr>
        <w:pStyle w:val="Ttulo2"/>
        <w:rPr>
          <w:color w:val="000000" w:themeColor="text1"/>
          <w:sz w:val="21"/>
          <w:szCs w:val="21"/>
          <w:lang w:val="es-ES_tradnl"/>
        </w:rPr>
      </w:pPr>
      <w:r>
        <w:rPr>
          <w:color w:val="000000" w:themeColor="text1"/>
          <w:lang w:val="es-ES_tradnl"/>
        </w:rPr>
        <w:tab/>
      </w:r>
      <w:r>
        <w:rPr>
          <w:color w:val="000000" w:themeColor="text1"/>
          <w:lang w:val="es-ES_tradnl"/>
        </w:rPr>
        <w:tab/>
      </w:r>
    </w:p>
    <w:p w:rsidRPr="00222BE8" w:rsidR="00272923" w:rsidP="00272923" w:rsidRDefault="00272923" w14:paraId="4D8A319E" w14:textId="77777777">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222BE8" w:rsidR="00272923" w:rsidP="00272923" w:rsidRDefault="00272923" w14:paraId="4D8A319F"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222BE8" w:rsidR="00272923" w:rsidP="00272923" w:rsidRDefault="00272923" w14:paraId="4D8A31A0"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22BE8">
        <w:rPr>
          <w:rFonts w:ascii="Arial" w:hAnsi="Arial" w:cs="Arial"/>
          <w:color w:val="000000" w:themeColor="text1"/>
          <w:sz w:val="22"/>
          <w:szCs w:val="22"/>
          <w:lang w:val="es-ES_tradnl"/>
        </w:rPr>
        <w:t>Atentamente,</w:t>
      </w:r>
    </w:p>
    <w:p w:rsidR="00272923" w:rsidP="00272923" w:rsidRDefault="00272923" w14:paraId="4D8A31A1" w14:textId="77777777">
      <w:pPr>
        <w:jc w:val="center"/>
        <w:rPr>
          <w:rFonts w:ascii="Arial" w:hAnsi="Arial" w:eastAsia="Times New Roman" w:cs="Arial"/>
          <w:color w:val="000000" w:themeColor="text1"/>
          <w:sz w:val="18"/>
          <w:szCs w:val="20"/>
          <w:lang w:val="es-ES_tradnl" w:eastAsia="es-CO"/>
        </w:rPr>
      </w:pPr>
    </w:p>
    <w:p w:rsidR="00272923" w:rsidP="00272923" w:rsidRDefault="00272923" w14:paraId="4D8A31A2" w14:textId="77777777">
      <w:pPr>
        <w:jc w:val="center"/>
        <w:rPr>
          <w:rFonts w:ascii="Arial" w:hAnsi="Arial" w:eastAsia="Times New Roman" w:cs="Arial"/>
          <w:noProof/>
          <w:color w:val="000000" w:themeColor="text1"/>
          <w:sz w:val="18"/>
          <w:szCs w:val="20"/>
          <w:lang w:val="es-CO" w:eastAsia="es-CO"/>
        </w:rPr>
      </w:pPr>
    </w:p>
    <w:p w:rsidRPr="00222BE8" w:rsidR="00272923" w:rsidP="00272923" w:rsidRDefault="00DE3E0E" w14:paraId="4D8A31A3" w14:textId="607CB1A1">
      <w:pPr>
        <w:jc w:val="center"/>
        <w:rPr>
          <w:rFonts w:ascii="Arial" w:hAnsi="Arial" w:eastAsia="Times New Roman" w:cs="Arial"/>
          <w:color w:val="000000" w:themeColor="text1"/>
          <w:sz w:val="18"/>
          <w:szCs w:val="20"/>
          <w:lang w:val="es-ES_tradnl" w:eastAsia="es-CO"/>
        </w:rPr>
      </w:pPr>
      <w:r w:rsidR="00DE3E0E">
        <w:drawing>
          <wp:inline wp14:editId="2C38AA05" wp14:anchorId="66C3CB60">
            <wp:extent cx="2514600" cy="1114425"/>
            <wp:effectExtent l="0" t="0" r="0" b="9525"/>
            <wp:docPr id="1" name="Imagen 1" descr="C:\Users\Andres\Desktop\CCE\Orginal firmado JANT.jpg" title=""/>
            <wp:cNvGraphicFramePr>
              <a:graphicFrameLocks noChangeAspect="1"/>
            </wp:cNvGraphicFramePr>
            <a:graphic>
              <a:graphicData uri="http://schemas.openxmlformats.org/drawingml/2006/picture">
                <pic:pic>
                  <pic:nvPicPr>
                    <pic:cNvPr id="0" name="Imagen 1"/>
                    <pic:cNvPicPr/>
                  </pic:nvPicPr>
                  <pic:blipFill>
                    <a:blip r:embed="R2e4700027afb4e0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14600" cy="1114425"/>
                    </a:xfrm>
                    <a:prstGeom prst="rect">
                      <a:avLst/>
                    </a:prstGeom>
                  </pic:spPr>
                </pic:pic>
              </a:graphicData>
            </a:graphic>
          </wp:inline>
        </w:drawing>
      </w:r>
      <w:bookmarkStart w:name="_GoBack" w:id="1"/>
      <w:bookmarkEnd w:id="1"/>
    </w:p>
    <w:p w:rsidRPr="00222BE8" w:rsidR="00272923" w:rsidP="00272923" w:rsidRDefault="00272923" w14:paraId="4D8A31A4" w14:textId="77777777">
      <w:pPr>
        <w:jc w:val="center"/>
        <w:rPr>
          <w:rFonts w:ascii="Arial" w:hAnsi="Arial" w:eastAsia="Times New Roman" w:cs="Arial"/>
          <w:color w:val="000000" w:themeColor="text1"/>
          <w:sz w:val="18"/>
          <w:szCs w:val="20"/>
          <w:lang w:val="es-ES_tradnl" w:eastAsia="es-CO"/>
        </w:rPr>
      </w:pPr>
    </w:p>
    <w:p w:rsidRPr="00222BE8" w:rsidR="00272923" w:rsidP="00272923" w:rsidRDefault="00272923" w14:paraId="4D8A31A5" w14:textId="77777777">
      <w:pPr>
        <w:jc w:val="center"/>
        <w:rPr>
          <w:rFonts w:ascii="Arial" w:hAnsi="Arial" w:eastAsia="Times New Roman"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22BE8" w:rsidR="00272923" w:rsidTr="00EB296C" w14:paraId="4D8A31A9" w14:textId="77777777">
        <w:trPr>
          <w:trHeight w:val="315"/>
        </w:trPr>
        <w:tc>
          <w:tcPr>
            <w:tcW w:w="812" w:type="dxa"/>
            <w:vAlign w:val="center"/>
            <w:hideMark/>
          </w:tcPr>
          <w:p w:rsidRPr="00222BE8" w:rsidR="00272923" w:rsidP="00EB296C" w:rsidRDefault="00272923" w14:paraId="4D8A31A6" w14:textId="77777777">
            <w:pPr>
              <w:jc w:val="both"/>
              <w:rPr>
                <w:rFonts w:ascii="Arial" w:hAnsi="Arial" w:eastAsia="Times New Roman" w:cs="Arial"/>
                <w:color w:val="000000" w:themeColor="text1"/>
                <w:sz w:val="16"/>
                <w:szCs w:val="16"/>
                <w:lang w:val="es-ES_tradnl" w:eastAsia="es-ES"/>
              </w:rPr>
            </w:pPr>
            <w:r w:rsidRPr="00222BE8">
              <w:rPr>
                <w:rFonts w:ascii="Arial" w:hAnsi="Arial" w:eastAsia="Times New Roman"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222BE8" w:rsidR="00272923" w:rsidP="00EB296C" w:rsidRDefault="00272923" w14:paraId="4D8A31A7" w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Nathalia Urrego Jiménez</w:t>
            </w:r>
          </w:p>
          <w:p w:rsidRPr="00222BE8" w:rsidR="00272923" w:rsidP="00EB296C" w:rsidRDefault="00272923" w14:paraId="4D8A31A8" w14:textId="77777777">
            <w:pPr>
              <w:jc w:val="both"/>
              <w:rPr>
                <w:rFonts w:ascii="Arial" w:hAnsi="Arial" w:eastAsia="Times New Roman" w:cs="Arial"/>
                <w:color w:val="000000" w:themeColor="text1"/>
                <w:sz w:val="16"/>
                <w:szCs w:val="16"/>
                <w:lang w:val="es-ES_tradnl" w:eastAsia="es-ES"/>
              </w:rPr>
            </w:pPr>
            <w:r w:rsidRPr="00222BE8">
              <w:rPr>
                <w:rFonts w:ascii="Arial" w:hAnsi="Arial" w:eastAsia="Times New Roman" w:cs="Arial"/>
                <w:color w:val="000000" w:themeColor="text1"/>
                <w:sz w:val="16"/>
                <w:szCs w:val="16"/>
                <w:lang w:val="es-ES_tradnl" w:eastAsia="es-ES"/>
              </w:rPr>
              <w:t>Contratista de la Subdirección de Gestión Contractual</w:t>
            </w:r>
          </w:p>
        </w:tc>
      </w:tr>
      <w:tr w:rsidRPr="00222BE8" w:rsidR="00272923" w:rsidTr="00EB296C" w14:paraId="4D8A31AD" w14:textId="77777777">
        <w:trPr>
          <w:trHeight w:val="330"/>
        </w:trPr>
        <w:tc>
          <w:tcPr>
            <w:tcW w:w="812" w:type="dxa"/>
            <w:vAlign w:val="center"/>
            <w:hideMark/>
          </w:tcPr>
          <w:p w:rsidRPr="00222BE8" w:rsidR="00272923" w:rsidP="00EB296C" w:rsidRDefault="00272923" w14:paraId="4D8A31AA" w14:textId="77777777">
            <w:pPr>
              <w:jc w:val="both"/>
              <w:rPr>
                <w:rFonts w:ascii="Arial" w:hAnsi="Arial" w:eastAsia="Times New Roman" w:cs="Arial"/>
                <w:color w:val="000000" w:themeColor="text1"/>
                <w:sz w:val="16"/>
                <w:szCs w:val="16"/>
                <w:lang w:val="es-ES_tradnl" w:eastAsia="es-ES"/>
              </w:rPr>
            </w:pPr>
            <w:r w:rsidRPr="00222BE8">
              <w:rPr>
                <w:rFonts w:ascii="Arial" w:hAnsi="Arial" w:eastAsia="Times New Roman"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22BE8" w:rsidR="00272923" w:rsidP="00EB296C" w:rsidRDefault="00476AFB" w14:paraId="4D8A31AB" w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Sebastián Ramírez Grisales</w:t>
            </w:r>
          </w:p>
          <w:p w:rsidRPr="00222BE8" w:rsidR="00272923" w:rsidP="00EB296C" w:rsidRDefault="00476AFB" w14:paraId="4D8A31AC" w14:textId="06DD427D">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 xml:space="preserve">Gestor </w:t>
            </w:r>
            <w:r w:rsidR="00E26057">
              <w:rPr>
                <w:rFonts w:ascii="Arial" w:hAnsi="Arial" w:eastAsia="Times New Roman" w:cs="Arial"/>
                <w:color w:val="000000" w:themeColor="text1"/>
                <w:sz w:val="16"/>
                <w:szCs w:val="16"/>
                <w:lang w:val="es-ES_tradnl" w:eastAsia="es-ES"/>
              </w:rPr>
              <w:t>T1 – 15</w:t>
            </w:r>
            <w:r w:rsidRPr="00222BE8" w:rsidDel="00141B19" w:rsidR="00272923">
              <w:rPr>
                <w:rFonts w:ascii="Arial" w:hAnsi="Arial" w:eastAsia="Times New Roman" w:cs="Arial"/>
                <w:color w:val="000000" w:themeColor="text1"/>
                <w:sz w:val="16"/>
                <w:szCs w:val="16"/>
                <w:lang w:val="es-ES_tradnl" w:eastAsia="es-ES"/>
              </w:rPr>
              <w:t xml:space="preserve"> </w:t>
            </w:r>
            <w:r w:rsidR="00E26057">
              <w:rPr>
                <w:rFonts w:ascii="Arial" w:hAnsi="Arial" w:eastAsia="Times New Roman" w:cs="Arial"/>
                <w:color w:val="000000" w:themeColor="text1"/>
                <w:sz w:val="16"/>
                <w:szCs w:val="16"/>
                <w:lang w:val="es-ES_tradnl" w:eastAsia="es-ES"/>
              </w:rPr>
              <w:t xml:space="preserve">de la </w:t>
            </w:r>
            <w:r w:rsidRPr="00222BE8" w:rsidR="00E26057">
              <w:rPr>
                <w:rFonts w:ascii="Arial" w:hAnsi="Arial" w:eastAsia="Times New Roman" w:cs="Arial"/>
                <w:color w:val="000000" w:themeColor="text1"/>
                <w:sz w:val="16"/>
                <w:szCs w:val="16"/>
                <w:lang w:val="es-ES_tradnl" w:eastAsia="es-ES"/>
              </w:rPr>
              <w:t>Subdirección de Gestión Contractual</w:t>
            </w:r>
          </w:p>
        </w:tc>
      </w:tr>
      <w:tr w:rsidRPr="00222BE8" w:rsidR="00272923" w:rsidTr="00EB296C" w14:paraId="4D8A31B1" w14:textId="77777777">
        <w:trPr>
          <w:trHeight w:val="300"/>
        </w:trPr>
        <w:tc>
          <w:tcPr>
            <w:tcW w:w="812" w:type="dxa"/>
            <w:vAlign w:val="center"/>
            <w:hideMark/>
          </w:tcPr>
          <w:p w:rsidRPr="00222BE8" w:rsidR="00272923" w:rsidP="00EB296C" w:rsidRDefault="00272923" w14:paraId="4D8A31AE" w14:textId="77777777">
            <w:pPr>
              <w:jc w:val="both"/>
              <w:rPr>
                <w:rFonts w:ascii="Arial" w:hAnsi="Arial" w:eastAsia="Times New Roman" w:cs="Arial"/>
                <w:color w:val="000000" w:themeColor="text1"/>
                <w:sz w:val="16"/>
                <w:szCs w:val="16"/>
                <w:lang w:val="es-ES_tradnl" w:eastAsia="es-ES"/>
              </w:rPr>
            </w:pPr>
            <w:r w:rsidRPr="00222BE8">
              <w:rPr>
                <w:rFonts w:ascii="Arial" w:hAnsi="Arial" w:eastAsia="Times New Roman"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22BE8" w:rsidR="00272923" w:rsidP="00EB296C" w:rsidRDefault="00272923" w14:paraId="4D8A31AF" w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Jorge Augusto Tirado Navarro</w:t>
            </w:r>
          </w:p>
          <w:p w:rsidRPr="00222BE8" w:rsidR="00272923" w:rsidP="00EB296C" w:rsidRDefault="00272923" w14:paraId="4D8A31B0" w14:textId="77777777">
            <w:pPr>
              <w:jc w:val="both"/>
              <w:rPr>
                <w:rFonts w:ascii="Arial" w:hAnsi="Arial" w:eastAsia="Times New Roman" w:cs="Arial"/>
                <w:color w:val="000000" w:themeColor="text1"/>
                <w:sz w:val="16"/>
                <w:szCs w:val="16"/>
                <w:lang w:val="es-ES_tradnl" w:eastAsia="es-ES"/>
              </w:rPr>
            </w:pPr>
            <w:r w:rsidRPr="00222BE8">
              <w:rPr>
                <w:rFonts w:ascii="Arial" w:hAnsi="Arial" w:eastAsia="Times New Roman" w:cs="Arial"/>
                <w:color w:val="000000" w:themeColor="text1"/>
                <w:sz w:val="16"/>
                <w:szCs w:val="16"/>
                <w:lang w:val="es-ES_tradnl" w:eastAsia="es-ES"/>
              </w:rPr>
              <w:t>Subdirector de Gestión Contractual</w:t>
            </w:r>
          </w:p>
        </w:tc>
      </w:tr>
    </w:tbl>
    <w:p w:rsidRPr="00222BE8" w:rsidR="00272923" w:rsidP="00272923" w:rsidRDefault="00272923" w14:paraId="4D8A31B2" w14:textId="77777777">
      <w:pPr>
        <w:jc w:val="both"/>
        <w:rPr>
          <w:rFonts w:ascii="Arial" w:hAnsi="Arial" w:cs="Arial"/>
          <w:lang w:val="es-ES_tradnl"/>
        </w:rPr>
      </w:pPr>
    </w:p>
    <w:p w:rsidRPr="00272923" w:rsidR="00FF4395" w:rsidRDefault="00436196" w14:paraId="4D8A31B3" w14:textId="77777777">
      <w:pPr>
        <w:rPr>
          <w:lang w:val="es-ES_tradnl"/>
        </w:rPr>
      </w:pPr>
    </w:p>
    <w:sectPr w:rsidRPr="00272923" w:rsidR="00FF439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196" w:rsidP="00272923" w:rsidRDefault="00436196" w14:paraId="5A19019F" w14:textId="77777777">
      <w:r>
        <w:separator/>
      </w:r>
    </w:p>
  </w:endnote>
  <w:endnote w:type="continuationSeparator" w:id="0">
    <w:p w:rsidR="00436196" w:rsidP="00272923" w:rsidRDefault="00436196" w14:paraId="5D8330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196" w:rsidP="00272923" w:rsidRDefault="00436196" w14:paraId="776A61B5" w14:textId="77777777">
      <w:r>
        <w:separator/>
      </w:r>
    </w:p>
  </w:footnote>
  <w:footnote w:type="continuationSeparator" w:id="0">
    <w:p w:rsidR="00436196" w:rsidP="00272923" w:rsidRDefault="00436196" w14:paraId="157CB79E" w14:textId="77777777">
      <w:r>
        <w:continuationSeparator/>
      </w:r>
    </w:p>
  </w:footnote>
  <w:footnote w:id="1">
    <w:p w:rsidRPr="00543959" w:rsidR="001202B9" w:rsidP="001202B9" w:rsidRDefault="001202B9" w14:paraId="4D8A31BA" w14:textId="77777777">
      <w:pPr>
        <w:ind w:right="49" w:firstLine="720"/>
        <w:jc w:val="both"/>
        <w:rPr>
          <w:rFonts w:ascii="Arial" w:hAnsi="Arial" w:cs="Arial"/>
          <w:color w:val="000000" w:themeColor="text1"/>
          <w:sz w:val="19"/>
          <w:szCs w:val="19"/>
        </w:rPr>
      </w:pPr>
      <w:r w:rsidRPr="00543959">
        <w:rPr>
          <w:rStyle w:val="Refdenotaalpie"/>
          <w:color w:val="000000" w:themeColor="text1"/>
          <w:sz w:val="19"/>
          <w:szCs w:val="19"/>
        </w:rPr>
        <w:footnoteRef/>
      </w:r>
      <w:r w:rsidRPr="00543959">
        <w:rPr>
          <w:rFonts w:ascii="Arial" w:hAnsi="Arial" w:cs="Arial"/>
          <w:color w:val="000000" w:themeColor="text1"/>
          <w:sz w:val="19"/>
          <w:szCs w:val="19"/>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543959">
        <w:rPr>
          <w:rFonts w:ascii="Arial" w:hAnsi="Arial" w:cs="Arial"/>
          <w:color w:val="000000" w:themeColor="text1"/>
          <w:spacing w:val="-14"/>
          <w:sz w:val="19"/>
          <w:szCs w:val="19"/>
        </w:rPr>
        <w:t xml:space="preserve"> </w:t>
      </w:r>
      <w:r w:rsidRPr="00543959">
        <w:rPr>
          <w:rFonts w:ascii="Arial" w:hAnsi="Arial" w:cs="Arial"/>
          <w:color w:val="000000" w:themeColor="text1"/>
          <w:sz w:val="19"/>
          <w:szCs w:val="19"/>
        </w:rPr>
        <w:t>utilizados.</w:t>
      </w:r>
    </w:p>
    <w:p w:rsidRPr="00543959" w:rsidR="001202B9" w:rsidP="001202B9" w:rsidRDefault="001202B9" w14:paraId="4D8A31BC" w14:textId="714C6450">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w:t>
      </w:r>
    </w:p>
    <w:p w:rsidRPr="00543959" w:rsidR="001202B9" w:rsidP="001202B9" w:rsidRDefault="001202B9" w14:paraId="4D8A31BD" w14:textId="77777777">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rsidRPr="00543959" w:rsidR="001202B9" w:rsidP="001202B9" w:rsidRDefault="001202B9" w14:paraId="4D8A31BE" w14:textId="77777777">
      <w:pPr>
        <w:ind w:right="49" w:firstLine="708"/>
        <w:jc w:val="both"/>
        <w:rPr>
          <w:rFonts w:ascii="Arial" w:hAnsi="Arial" w:cs="Arial"/>
          <w:color w:val="000000" w:themeColor="text1"/>
          <w:sz w:val="19"/>
          <w:szCs w:val="19"/>
        </w:rPr>
      </w:pPr>
    </w:p>
  </w:footnote>
  <w:footnote w:id="2">
    <w:p w:rsidRPr="00543959" w:rsidR="001202B9" w:rsidP="001202B9" w:rsidRDefault="001202B9" w14:paraId="4D8A31BF" w14:textId="77777777">
      <w:pPr>
        <w:ind w:right="49" w:firstLine="720"/>
        <w:jc w:val="both"/>
        <w:rPr>
          <w:rFonts w:ascii="Arial" w:hAnsi="Arial" w:cs="Arial"/>
          <w:color w:val="000000" w:themeColor="text1"/>
          <w:sz w:val="19"/>
          <w:szCs w:val="19"/>
        </w:rPr>
      </w:pPr>
      <w:r w:rsidRPr="00543959">
        <w:rPr>
          <w:rStyle w:val="Refdenotaalpie"/>
          <w:color w:val="000000" w:themeColor="text1"/>
          <w:sz w:val="19"/>
          <w:szCs w:val="19"/>
        </w:rPr>
        <w:footnoteRef/>
      </w:r>
      <w:r w:rsidRPr="00543959">
        <w:rPr>
          <w:rFonts w:ascii="Arial" w:hAnsi="Arial" w:cs="Arial"/>
          <w:color w:val="000000" w:themeColor="text1"/>
          <w:sz w:val="19"/>
          <w:szCs w:val="19"/>
        </w:rPr>
        <w:t xml:space="preserve"> Consejo de Estado. Sección Tercera. Providencia del 26 de junio de 2003. Exp. 13.354. M.P. María Elena Giraldo Gómez.</w:t>
      </w:r>
    </w:p>
    <w:p w:rsidRPr="00543959" w:rsidR="001202B9" w:rsidP="001202B9" w:rsidRDefault="001202B9" w14:paraId="4D8A31C0" w14:textId="77777777">
      <w:pPr>
        <w:pStyle w:val="Textonotapie"/>
        <w:ind w:right="49"/>
        <w:jc w:val="both"/>
        <w:rPr>
          <w:rFonts w:ascii="Arial" w:hAnsi="Arial" w:cs="Arial"/>
          <w:color w:val="000000" w:themeColor="text1"/>
          <w:sz w:val="19"/>
          <w:szCs w:val="19"/>
          <w:lang w:val="es-CO"/>
        </w:rPr>
      </w:pPr>
    </w:p>
  </w:footnote>
  <w:footnote w:id="3">
    <w:p w:rsidRPr="00F317B0" w:rsidR="00C33138" w:rsidP="00C33138" w:rsidRDefault="00C33138" w14:paraId="15782F84" w14:textId="77777777">
      <w:pPr>
        <w:ind w:right="49" w:firstLine="709"/>
        <w:jc w:val="both"/>
      </w:pPr>
      <w:r w:rsidRPr="00F317B0">
        <w:rPr>
          <w:rStyle w:val="Refdenotaalpie"/>
          <w:sz w:val="19"/>
          <w:szCs w:val="19"/>
        </w:rPr>
        <w:footnoteRef/>
      </w:r>
      <w:r w:rsidRPr="00F317B0">
        <w:rPr>
          <w:rFonts w:ascii="Arial" w:hAnsi="Arial" w:cs="Arial"/>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F317B0">
        <w:rPr>
          <w:rFonts w:ascii="Arial" w:hAnsi="Arial" w:cs="Arial"/>
          <w:spacing w:val="-3"/>
          <w:sz w:val="19"/>
          <w:szCs w:val="19"/>
        </w:rPr>
        <w:t xml:space="preserve"> </w:t>
      </w:r>
      <w:r w:rsidRPr="00F317B0">
        <w:rPr>
          <w:rFonts w:ascii="Arial" w:hAnsi="Arial" w:cs="Arial"/>
          <w:sz w:val="19"/>
          <w:szCs w:val="19"/>
        </w:rPr>
        <w:t>documentos:</w:t>
      </w:r>
    </w:p>
    <w:p w:rsidRPr="00F317B0" w:rsidR="00C33138" w:rsidP="00C33138" w:rsidRDefault="00C33138" w14:paraId="3EC3A86E" w14:textId="77777777">
      <w:pPr>
        <w:ind w:right="49" w:firstLine="709"/>
        <w:jc w:val="both"/>
      </w:pPr>
      <w:r w:rsidRPr="00F317B0">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F317B0">
        <w:rPr>
          <w:rFonts w:ascii="Arial" w:hAnsi="Arial" w:cs="Arial"/>
          <w:spacing w:val="-4"/>
          <w:sz w:val="19"/>
          <w:szCs w:val="19"/>
        </w:rPr>
        <w:t xml:space="preserve"> </w:t>
      </w:r>
      <w:r w:rsidRPr="00F317B0">
        <w:rPr>
          <w:rFonts w:ascii="Arial" w:hAnsi="Arial" w:cs="Arial"/>
          <w:sz w:val="19"/>
          <w:szCs w:val="19"/>
        </w:rPr>
        <w:t>concesionarios.</w:t>
      </w:r>
    </w:p>
    <w:p w:rsidRPr="00F317B0" w:rsidR="00C33138" w:rsidP="00C33138" w:rsidRDefault="00C33138" w14:paraId="732156C1" w14:textId="77777777">
      <w:pPr>
        <w:ind w:right="49" w:firstLine="709"/>
        <w:jc w:val="both"/>
        <w:rPr>
          <w:rFonts w:ascii="Arial" w:hAnsi="Arial" w:cs="Arial"/>
          <w:sz w:val="19"/>
          <w:szCs w:val="19"/>
        </w:rPr>
      </w:pPr>
      <w:r w:rsidRPr="00F317B0">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rsidRPr="00F317B0" w:rsidR="00C33138" w:rsidP="00C33138" w:rsidRDefault="00C33138" w14:paraId="610A1F4D" w14:textId="77777777">
      <w:pPr>
        <w:ind w:right="49" w:firstLine="709"/>
        <w:jc w:val="both"/>
      </w:pPr>
      <w:r w:rsidRPr="00F317B0">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60090DB1"/>
    <w:multiLevelType w:val="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 w15:restartNumberingAfterBreak="0">
    <w:nsid w:val="67032B02"/>
    <w:multiLevelType w:val="hybridMultilevel"/>
    <w:tmpl w:val="593E1724"/>
    <w:lvl w:ilvl="0" w:tplc="080A0001">
      <w:start w:val="1"/>
      <w:numFmt w:val="bullet"/>
      <w:lvlText w:val=""/>
      <w:lvlJc w:val="left"/>
      <w:pPr>
        <w:ind w:left="1429" w:hanging="360"/>
      </w:pPr>
      <w:rPr>
        <w:rFonts w:hint="default" w:ascii="Symbol" w:hAnsi="Symbol"/>
      </w:rPr>
    </w:lvl>
    <w:lvl w:ilvl="1" w:tplc="080A0003" w:tentative="1">
      <w:start w:val="1"/>
      <w:numFmt w:val="bullet"/>
      <w:lvlText w:val="o"/>
      <w:lvlJc w:val="left"/>
      <w:pPr>
        <w:ind w:left="2149" w:hanging="360"/>
      </w:pPr>
      <w:rPr>
        <w:rFonts w:hint="default" w:ascii="Courier New" w:hAnsi="Courier New" w:cs="Courier New"/>
      </w:rPr>
    </w:lvl>
    <w:lvl w:ilvl="2" w:tplc="080A0005" w:tentative="1">
      <w:start w:val="1"/>
      <w:numFmt w:val="bullet"/>
      <w:lvlText w:val=""/>
      <w:lvlJc w:val="left"/>
      <w:pPr>
        <w:ind w:left="2869" w:hanging="360"/>
      </w:pPr>
      <w:rPr>
        <w:rFonts w:hint="default" w:ascii="Wingdings" w:hAnsi="Wingdings"/>
      </w:rPr>
    </w:lvl>
    <w:lvl w:ilvl="3" w:tplc="080A0001" w:tentative="1">
      <w:start w:val="1"/>
      <w:numFmt w:val="bullet"/>
      <w:lvlText w:val=""/>
      <w:lvlJc w:val="left"/>
      <w:pPr>
        <w:ind w:left="3589" w:hanging="360"/>
      </w:pPr>
      <w:rPr>
        <w:rFonts w:hint="default" w:ascii="Symbol" w:hAnsi="Symbol"/>
      </w:rPr>
    </w:lvl>
    <w:lvl w:ilvl="4" w:tplc="080A0003" w:tentative="1">
      <w:start w:val="1"/>
      <w:numFmt w:val="bullet"/>
      <w:lvlText w:val="o"/>
      <w:lvlJc w:val="left"/>
      <w:pPr>
        <w:ind w:left="4309" w:hanging="360"/>
      </w:pPr>
      <w:rPr>
        <w:rFonts w:hint="default" w:ascii="Courier New" w:hAnsi="Courier New" w:cs="Courier New"/>
      </w:rPr>
    </w:lvl>
    <w:lvl w:ilvl="5" w:tplc="080A0005" w:tentative="1">
      <w:start w:val="1"/>
      <w:numFmt w:val="bullet"/>
      <w:lvlText w:val=""/>
      <w:lvlJc w:val="left"/>
      <w:pPr>
        <w:ind w:left="5029" w:hanging="360"/>
      </w:pPr>
      <w:rPr>
        <w:rFonts w:hint="default" w:ascii="Wingdings" w:hAnsi="Wingdings"/>
      </w:rPr>
    </w:lvl>
    <w:lvl w:ilvl="6" w:tplc="080A0001" w:tentative="1">
      <w:start w:val="1"/>
      <w:numFmt w:val="bullet"/>
      <w:lvlText w:val=""/>
      <w:lvlJc w:val="left"/>
      <w:pPr>
        <w:ind w:left="5749" w:hanging="360"/>
      </w:pPr>
      <w:rPr>
        <w:rFonts w:hint="default" w:ascii="Symbol" w:hAnsi="Symbol"/>
      </w:rPr>
    </w:lvl>
    <w:lvl w:ilvl="7" w:tplc="080A0003" w:tentative="1">
      <w:start w:val="1"/>
      <w:numFmt w:val="bullet"/>
      <w:lvlText w:val="o"/>
      <w:lvlJc w:val="left"/>
      <w:pPr>
        <w:ind w:left="6469" w:hanging="360"/>
      </w:pPr>
      <w:rPr>
        <w:rFonts w:hint="default" w:ascii="Courier New" w:hAnsi="Courier New" w:cs="Courier New"/>
      </w:rPr>
    </w:lvl>
    <w:lvl w:ilvl="8" w:tplc="080A0005" w:tentative="1">
      <w:start w:val="1"/>
      <w:numFmt w:val="bullet"/>
      <w:lvlText w:val=""/>
      <w:lvlJc w:val="left"/>
      <w:pPr>
        <w:ind w:left="7189"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923"/>
    <w:rsid w:val="000128E5"/>
    <w:rsid w:val="00041A65"/>
    <w:rsid w:val="000444FE"/>
    <w:rsid w:val="0005230B"/>
    <w:rsid w:val="00066FD9"/>
    <w:rsid w:val="000F7225"/>
    <w:rsid w:val="00105686"/>
    <w:rsid w:val="001202B9"/>
    <w:rsid w:val="001303A3"/>
    <w:rsid w:val="00192421"/>
    <w:rsid w:val="001A255D"/>
    <w:rsid w:val="001C774A"/>
    <w:rsid w:val="001F66A8"/>
    <w:rsid w:val="00200FF9"/>
    <w:rsid w:val="00272923"/>
    <w:rsid w:val="002E0E48"/>
    <w:rsid w:val="002F39BC"/>
    <w:rsid w:val="00346ECA"/>
    <w:rsid w:val="003D2841"/>
    <w:rsid w:val="003D4313"/>
    <w:rsid w:val="003E7F69"/>
    <w:rsid w:val="00436196"/>
    <w:rsid w:val="00476AFB"/>
    <w:rsid w:val="004A0E6E"/>
    <w:rsid w:val="004C689C"/>
    <w:rsid w:val="004D5B3E"/>
    <w:rsid w:val="004D6C10"/>
    <w:rsid w:val="00516EAE"/>
    <w:rsid w:val="005354D0"/>
    <w:rsid w:val="00544C03"/>
    <w:rsid w:val="005518CF"/>
    <w:rsid w:val="00572132"/>
    <w:rsid w:val="00607CD7"/>
    <w:rsid w:val="00650E6B"/>
    <w:rsid w:val="00690FBA"/>
    <w:rsid w:val="006F3D35"/>
    <w:rsid w:val="00744A9D"/>
    <w:rsid w:val="007462F3"/>
    <w:rsid w:val="00754CFD"/>
    <w:rsid w:val="00782237"/>
    <w:rsid w:val="0080266A"/>
    <w:rsid w:val="00805E78"/>
    <w:rsid w:val="00825FE7"/>
    <w:rsid w:val="0083581D"/>
    <w:rsid w:val="00891CDD"/>
    <w:rsid w:val="008F188D"/>
    <w:rsid w:val="009464CA"/>
    <w:rsid w:val="00956C4D"/>
    <w:rsid w:val="009B35D1"/>
    <w:rsid w:val="00A75439"/>
    <w:rsid w:val="00A86A58"/>
    <w:rsid w:val="00AB3C16"/>
    <w:rsid w:val="00AC3992"/>
    <w:rsid w:val="00AF7E86"/>
    <w:rsid w:val="00B30DB3"/>
    <w:rsid w:val="00BE4C16"/>
    <w:rsid w:val="00C2382F"/>
    <w:rsid w:val="00C33138"/>
    <w:rsid w:val="00C46556"/>
    <w:rsid w:val="00C5587C"/>
    <w:rsid w:val="00C73319"/>
    <w:rsid w:val="00D26C79"/>
    <w:rsid w:val="00D306EE"/>
    <w:rsid w:val="00D71672"/>
    <w:rsid w:val="00DD76C0"/>
    <w:rsid w:val="00DE3E0E"/>
    <w:rsid w:val="00E13CEC"/>
    <w:rsid w:val="00E26057"/>
    <w:rsid w:val="00E339CE"/>
    <w:rsid w:val="00E954CD"/>
    <w:rsid w:val="00EA59E3"/>
    <w:rsid w:val="00F21B67"/>
    <w:rsid w:val="00F2327C"/>
    <w:rsid w:val="00F43324"/>
    <w:rsid w:val="00F664C3"/>
    <w:rsid w:val="00F6791C"/>
    <w:rsid w:val="00FB0B4F"/>
    <w:rsid w:val="00FF5F08"/>
    <w:rsid w:val="32542D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314F"/>
  <w15:chartTrackingRefBased/>
  <w15:docId w15:val="{C4A9F754-DA52-4913-962B-EE650DF183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72923"/>
    <w:pPr>
      <w:spacing w:after="0" w:line="240" w:lineRule="auto"/>
    </w:pPr>
    <w:rPr>
      <w:sz w:val="24"/>
      <w:lang w:val="es-MX"/>
    </w:rPr>
  </w:style>
  <w:style w:type="paragraph" w:styleId="Ttulo2">
    <w:name w:val="heading 2"/>
    <w:basedOn w:val="Normal"/>
    <w:link w:val="Ttulo2Car"/>
    <w:uiPriority w:val="1"/>
    <w:qFormat/>
    <w:rsid w:val="00544C03"/>
    <w:pPr>
      <w:widowControl w:val="0"/>
      <w:autoSpaceDE w:val="0"/>
      <w:autoSpaceDN w:val="0"/>
      <w:ind w:left="300"/>
      <w:jc w:val="both"/>
      <w:outlineLvl w:val="1"/>
    </w:pPr>
    <w:rPr>
      <w:rFonts w:ascii="Arial" w:hAnsi="Arial" w:eastAsia="Arial" w:cs="Arial"/>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39"/>
    <w:rsid w:val="002729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72923"/>
    <w:pPr>
      <w:ind w:left="720"/>
      <w:contextualSpacing/>
    </w:pPr>
  </w:style>
  <w:style w:type="paragraph" w:styleId="NormalWeb">
    <w:name w:val="Normal (Web)"/>
    <w:basedOn w:val="Normal"/>
    <w:uiPriority w:val="99"/>
    <w:unhideWhenUsed/>
    <w:rsid w:val="00272923"/>
    <w:pPr>
      <w:spacing w:before="100" w:beforeAutospacing="1" w:after="100" w:afterAutospacing="1"/>
    </w:pPr>
    <w:rPr>
      <w:rFonts w:ascii="Times New Roman" w:hAnsi="Times New Roman" w:eastAsia="Times New Roman" w:cs="Times New Roman"/>
      <w:szCs w:val="24"/>
      <w:lang w:val="es-CO" w:eastAsia="es-CO"/>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729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272923"/>
    <w:rPr>
      <w:sz w:val="20"/>
      <w:szCs w:val="20"/>
    </w:rPr>
  </w:style>
  <w:style w:type="character" w:styleId="TextonotapieCar1" w:customStyle="1">
    <w:name w:val="Texto nota pie Car1"/>
    <w:basedOn w:val="Fuentedeprrafopredeter"/>
    <w:uiPriority w:val="99"/>
    <w:semiHidden/>
    <w:rsid w:val="00272923"/>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72923"/>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272923"/>
    <w:rPr>
      <w:vertAlign w:val="superscript"/>
    </w:rPr>
  </w:style>
  <w:style w:type="paragraph" w:styleId="Appelnotedebasde" w:customStyle="1">
    <w:name w:val="Appel note de bas de..."/>
    <w:basedOn w:val="Normal"/>
    <w:link w:val="Refdenotaalpie"/>
    <w:uiPriority w:val="99"/>
    <w:rsid w:val="00272923"/>
    <w:pPr>
      <w:spacing w:after="160" w:line="240" w:lineRule="exact"/>
    </w:pPr>
    <w:rPr>
      <w:sz w:val="22"/>
      <w:vertAlign w:val="superscript"/>
      <w:lang w:val="es-CO"/>
    </w:rPr>
  </w:style>
  <w:style w:type="paragraph" w:styleId="Textoindependiente">
    <w:name w:val="Body Text"/>
    <w:basedOn w:val="Normal"/>
    <w:link w:val="TextoindependienteCar"/>
    <w:uiPriority w:val="1"/>
    <w:qFormat/>
    <w:rsid w:val="001202B9"/>
    <w:pPr>
      <w:widowControl w:val="0"/>
      <w:autoSpaceDE w:val="0"/>
      <w:autoSpaceDN w:val="0"/>
    </w:pPr>
    <w:rPr>
      <w:rFonts w:ascii="Arial" w:hAnsi="Arial" w:eastAsia="Arial" w:cs="Arial"/>
      <w:sz w:val="22"/>
      <w:lang w:val="es-ES" w:eastAsia="es-ES" w:bidi="es-ES"/>
    </w:rPr>
  </w:style>
  <w:style w:type="character" w:styleId="TextoindependienteCar" w:customStyle="1">
    <w:name w:val="Texto independiente Car"/>
    <w:basedOn w:val="Fuentedeprrafopredeter"/>
    <w:link w:val="Textoindependiente"/>
    <w:uiPriority w:val="1"/>
    <w:rsid w:val="001202B9"/>
    <w:rPr>
      <w:rFonts w:ascii="Arial" w:hAnsi="Arial" w:eastAsia="Arial" w:cs="Arial"/>
      <w:lang w:val="es-ES" w:eastAsia="es-ES" w:bidi="es-ES"/>
    </w:rPr>
  </w:style>
  <w:style w:type="character" w:styleId="Ttulo2Car" w:customStyle="1">
    <w:name w:val="Título 2 Car"/>
    <w:basedOn w:val="Fuentedeprrafopredeter"/>
    <w:link w:val="Ttulo2"/>
    <w:uiPriority w:val="1"/>
    <w:rsid w:val="00544C03"/>
    <w:rPr>
      <w:rFonts w:ascii="Arial" w:hAnsi="Arial" w:eastAsia="Arial" w:cs="Arial"/>
      <w:lang w:val="es-ES"/>
    </w:rPr>
  </w:style>
  <w:style w:type="paragraph" w:styleId="Textodeglobo">
    <w:name w:val="Balloon Text"/>
    <w:basedOn w:val="Normal"/>
    <w:link w:val="TextodegloboCar"/>
    <w:uiPriority w:val="99"/>
    <w:semiHidden/>
    <w:unhideWhenUsed/>
    <w:rsid w:val="00192421"/>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192421"/>
    <w:rPr>
      <w:rFonts w:ascii="Segoe UI" w:hAnsi="Segoe UI" w:cs="Segoe UI"/>
      <w:sz w:val="18"/>
      <w:szCs w:val="18"/>
      <w:lang w:val="es-MX"/>
    </w:rPr>
  </w:style>
  <w:style w:type="character" w:styleId="Hipervnculo">
    <w:name w:val="Hyperlink"/>
    <w:basedOn w:val="Fuentedeprrafopredeter"/>
    <w:uiPriority w:val="99"/>
    <w:unhideWhenUsed/>
    <w:rsid w:val="00C331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6667472">
      <w:bodyDiv w:val="1"/>
      <w:marLeft w:val="0"/>
      <w:marRight w:val="0"/>
      <w:marTop w:val="0"/>
      <w:marBottom w:val="0"/>
      <w:divBdr>
        <w:top w:val="none" w:sz="0" w:space="0" w:color="auto"/>
        <w:left w:val="none" w:sz="0" w:space="0" w:color="auto"/>
        <w:bottom w:val="none" w:sz="0" w:space="0" w:color="auto"/>
        <w:right w:val="none" w:sz="0" w:space="0" w:color="auto"/>
      </w:divBdr>
    </w:div>
    <w:div w:id="205449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webSettings" Target="webSettings.xml" Id="rId4" /><Relationship Type="http://schemas.openxmlformats.org/officeDocument/2006/relationships/hyperlink" Target="https://www.colombiacompra.gov.co/manuales-guias-y-pliegos-tipo/manuales-y-guias" TargetMode="External" Id="rId9" /><Relationship Type="http://schemas.openxmlformats.org/officeDocument/2006/relationships/customXml" Target="../customXml/item1.xml" Id="rId14" /><Relationship Type="http://schemas.openxmlformats.org/officeDocument/2006/relationships/image" Target="/media/image3.png" Id="Rb5d3f4bb92fc4f8e" /><Relationship Type="http://schemas.openxmlformats.org/officeDocument/2006/relationships/image" Target="/media/image4.png" Id="R1c11e15dc12c47cd" /><Relationship Type="http://schemas.openxmlformats.org/officeDocument/2006/relationships/image" Target="/media/image3.jpg" Id="R2e4700027afb4e01"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8870B0E-18B1-46C7-AB3C-CC2B606B8C4C}"/>
</file>

<file path=customXml/itemProps2.xml><?xml version="1.0" encoding="utf-8"?>
<ds:datastoreItem xmlns:ds="http://schemas.openxmlformats.org/officeDocument/2006/customXml" ds:itemID="{74BF855F-DCD7-41BD-9539-647D153E001C}"/>
</file>

<file path=customXml/itemProps3.xml><?xml version="1.0" encoding="utf-8"?>
<ds:datastoreItem xmlns:ds="http://schemas.openxmlformats.org/officeDocument/2006/customXml" ds:itemID="{E37F4445-B2CC-44DB-BEA5-479DAC879A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Andres Urrego</dc:creator>
  <keywords/>
  <dc:description/>
  <lastModifiedBy>Liliana Patricia Sanguino Arenas</lastModifiedBy>
  <revision>4</revision>
  <dcterms:created xsi:type="dcterms:W3CDTF">2020-11-20T14:14:00.0000000Z</dcterms:created>
  <dcterms:modified xsi:type="dcterms:W3CDTF">2021-01-12T16:50:06.0999578Z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