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1D866" w14:textId="4A7F1D43" w:rsidR="00CD12DB" w:rsidRPr="00320407" w:rsidRDefault="00CD12DB" w:rsidP="001C6B19">
      <w:pPr>
        <w:spacing w:line="276" w:lineRule="auto"/>
        <w:jc w:val="both"/>
        <w:rPr>
          <w:rFonts w:ascii="Arial" w:eastAsia="Calibri" w:hAnsi="Arial" w:cs="Arial"/>
          <w:sz w:val="20"/>
          <w:szCs w:val="20"/>
          <w:lang w:eastAsia="en-US"/>
        </w:rPr>
      </w:pPr>
      <w:r w:rsidRPr="00320407">
        <w:rPr>
          <w:rFonts w:ascii="Arial" w:eastAsia="Calibri" w:hAnsi="Arial" w:cs="Arial"/>
          <w:sz w:val="20"/>
          <w:szCs w:val="20"/>
          <w:lang w:eastAsia="en-US"/>
        </w:rPr>
        <w:t xml:space="preserve"> </w:t>
      </w:r>
    </w:p>
    <w:p w14:paraId="7925EDEB" w14:textId="77777777" w:rsidR="00F51FED" w:rsidRPr="009004A9" w:rsidRDefault="00F51FED" w:rsidP="00F51FED">
      <w:pPr>
        <w:jc w:val="both"/>
        <w:rPr>
          <w:rFonts w:ascii="Arial" w:hAnsi="Arial" w:cs="Arial"/>
          <w:b/>
          <w:bCs/>
          <w:color w:val="000000"/>
          <w:sz w:val="20"/>
          <w:szCs w:val="20"/>
          <w:lang w:val="es-MX"/>
        </w:rPr>
      </w:pPr>
      <w:r w:rsidRPr="009004A9">
        <w:rPr>
          <w:rFonts w:ascii="Arial" w:hAnsi="Arial" w:cs="Arial"/>
          <w:b/>
          <w:bCs/>
          <w:color w:val="000000"/>
          <w:sz w:val="20"/>
          <w:szCs w:val="20"/>
          <w:lang w:val="es-MX"/>
        </w:rPr>
        <w:t xml:space="preserve">DOCUMENTOS TIPO – Fundamento normativo – Ley 2022 de 2020 </w:t>
      </w:r>
    </w:p>
    <w:p w14:paraId="3F253DFE" w14:textId="77777777" w:rsidR="00F51FED" w:rsidRPr="009004A9" w:rsidRDefault="00F51FED" w:rsidP="00F51FED">
      <w:pPr>
        <w:jc w:val="both"/>
        <w:rPr>
          <w:rFonts w:ascii="Arial" w:hAnsi="Arial" w:cs="Arial"/>
          <w:color w:val="000000"/>
          <w:sz w:val="20"/>
          <w:szCs w:val="20"/>
          <w:lang w:val="es-MX"/>
        </w:rPr>
      </w:pPr>
    </w:p>
    <w:p w14:paraId="12C8093A" w14:textId="77777777" w:rsidR="00F51FED" w:rsidRPr="009004A9" w:rsidRDefault="00F51FED" w:rsidP="00F51FED">
      <w:pPr>
        <w:spacing w:before="120" w:after="120"/>
        <w:jc w:val="both"/>
        <w:rPr>
          <w:rFonts w:ascii="Arial" w:hAnsi="Arial" w:cs="Arial"/>
          <w:sz w:val="20"/>
          <w:szCs w:val="20"/>
        </w:rPr>
      </w:pPr>
      <w:r w:rsidRPr="009004A9">
        <w:rPr>
          <w:rFonts w:ascii="Arial" w:hAnsi="Arial" w:cs="Arial"/>
          <w:sz w:val="20"/>
          <w:szCs w:val="20"/>
          <w:lang w:eastAsia="es-ES_tradnl"/>
        </w:rPr>
        <w:t xml:space="preserve">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Sin embargo, esta facultad no ha sido ejercida hasta la actualidad. 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 </w:t>
      </w:r>
      <w:r w:rsidRPr="009004A9">
        <w:rPr>
          <w:rFonts w:ascii="Arial" w:hAnsi="Arial" w:cs="Arial"/>
          <w:sz w:val="20"/>
          <w:szCs w:val="20"/>
        </w:rPr>
        <w:t>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Finalmente, se profirió el Decreto 594 de 2020, frente a los documentos tipo para los contratos de obra pública</w:t>
      </w:r>
      <w:r w:rsidRPr="009004A9" w:rsidDel="00A434AB">
        <w:rPr>
          <w:rFonts w:ascii="Arial" w:hAnsi="Arial" w:cs="Arial"/>
          <w:sz w:val="20"/>
          <w:szCs w:val="20"/>
        </w:rPr>
        <w:t xml:space="preserve"> </w:t>
      </w:r>
      <w:r w:rsidRPr="009004A9">
        <w:rPr>
          <w:rFonts w:ascii="Arial" w:hAnsi="Arial" w:cs="Arial"/>
          <w:sz w:val="20"/>
          <w:szCs w:val="20"/>
        </w:rPr>
        <w:t xml:space="preserve">de infraestructura de transporte que se surtieran por la modalidad de mínima cuantía. Estos documentos fueron implementados y desarrollados por la Agencia Nacional de Contratación Pública – Colombia Compra Eficiente, por medio de la Resolución 1798 de 2019 –derogada por la Resolución 045 de 2020–, la Resolución 044 de 2020 y la Resolución 094 de 2020. </w:t>
      </w:r>
      <w:r w:rsidRPr="009004A9">
        <w:rPr>
          <w:rFonts w:ascii="Arial" w:hAnsi="Arial" w:cs="Arial"/>
          <w:sz w:val="20"/>
          <w:szCs w:val="20"/>
          <w:lang w:eastAsia="es-ES"/>
        </w:rPr>
        <w:t xml:space="preserve">Con posterioridad a la adopción de los anteriores documentos tipo, 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w:t>
      </w:r>
      <w:r w:rsidRPr="009004A9">
        <w:rPr>
          <w:rFonts w:ascii="Arial" w:hAnsi="Arial" w:cs="Arial"/>
          <w:sz w:val="20"/>
          <w:szCs w:val="20"/>
        </w:rPr>
        <w:t xml:space="preserve">Agencia Nacional de Contratación Pública – Colombia Compra Eficiente la competencia para su adopción. </w:t>
      </w:r>
      <w:r w:rsidRPr="009004A9">
        <w:rPr>
          <w:rFonts w:ascii="Arial" w:hAnsi="Arial" w:cs="Arial"/>
          <w:sz w:val="20"/>
          <w:szCs w:val="20"/>
          <w:lang w:eastAsia="es-ES"/>
        </w:rPr>
        <w:t>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w:t>
      </w:r>
    </w:p>
    <w:p w14:paraId="1F16A248" w14:textId="77777777" w:rsidR="00F51FED" w:rsidRPr="009004A9" w:rsidRDefault="00F51FED" w:rsidP="00F51FED">
      <w:pPr>
        <w:jc w:val="both"/>
        <w:rPr>
          <w:rFonts w:ascii="Arial" w:hAnsi="Arial" w:cs="Arial"/>
          <w:color w:val="000000"/>
          <w:sz w:val="20"/>
          <w:szCs w:val="20"/>
          <w:lang w:val="es-MX"/>
        </w:rPr>
      </w:pPr>
    </w:p>
    <w:p w14:paraId="425C5E13" w14:textId="77777777" w:rsidR="00F51FED" w:rsidRPr="009004A9" w:rsidRDefault="00F51FED" w:rsidP="00F51FED">
      <w:pPr>
        <w:jc w:val="both"/>
        <w:rPr>
          <w:rFonts w:ascii="Arial" w:hAnsi="Arial" w:cs="Arial"/>
          <w:color w:val="000000"/>
          <w:sz w:val="20"/>
          <w:szCs w:val="20"/>
          <w:lang w:val="es-MX"/>
        </w:rPr>
      </w:pPr>
      <w:r w:rsidRPr="009004A9">
        <w:rPr>
          <w:rFonts w:ascii="Arial" w:hAnsi="Arial" w:cs="Arial"/>
          <w:color w:val="000000"/>
          <w:sz w:val="20"/>
          <w:szCs w:val="20"/>
          <w:lang w:val="es-MX"/>
        </w:rPr>
        <w:t xml:space="preserve">REQUISITOS HABILITANTES – Capacidad Financiera y Organizacional – Capacidad residual – Acreditación </w:t>
      </w:r>
    </w:p>
    <w:p w14:paraId="6C91E866" w14:textId="77777777" w:rsidR="00F51FED" w:rsidRPr="009004A9" w:rsidRDefault="00F51FED" w:rsidP="00F51FED">
      <w:pPr>
        <w:jc w:val="both"/>
        <w:rPr>
          <w:rFonts w:ascii="Arial" w:hAnsi="Arial" w:cs="Arial"/>
          <w:color w:val="000000"/>
          <w:sz w:val="20"/>
          <w:szCs w:val="20"/>
          <w:lang w:val="es-MX"/>
        </w:rPr>
      </w:pPr>
    </w:p>
    <w:p w14:paraId="348D87AB" w14:textId="77777777" w:rsidR="00F51FED" w:rsidRPr="009004A9" w:rsidRDefault="00F51FED" w:rsidP="00F51FED">
      <w:pPr>
        <w:spacing w:before="120"/>
        <w:jc w:val="both"/>
        <w:rPr>
          <w:rFonts w:ascii="Arial" w:eastAsiaTheme="minorHAnsi" w:hAnsi="Arial" w:cs="Arial"/>
          <w:sz w:val="20"/>
          <w:szCs w:val="20"/>
          <w:lang w:val="es-ES" w:eastAsia="en-US"/>
        </w:rPr>
      </w:pPr>
      <w:r w:rsidRPr="009004A9">
        <w:rPr>
          <w:rFonts w:ascii="Arial" w:hAnsi="Arial" w:cs="Arial"/>
          <w:sz w:val="20"/>
          <w:szCs w:val="20"/>
          <w:lang w:val="es-ES"/>
        </w:rPr>
        <w:t xml:space="preserve">En el documento base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 estatal. </w:t>
      </w:r>
      <w:r w:rsidRPr="009004A9">
        <w:rPr>
          <w:rFonts w:ascii="Arial" w:hAnsi="Arial" w:cs="Arial"/>
          <w:sz w:val="20"/>
          <w:szCs w:val="20"/>
          <w:lang w:val="es-MX"/>
        </w:rPr>
        <w:t xml:space="preserve">El capítulo III del documentos base regula los </w:t>
      </w:r>
      <w:r w:rsidRPr="009004A9">
        <w:rPr>
          <w:rFonts w:ascii="Arial" w:hAnsi="Arial" w:cs="Arial"/>
          <w:sz w:val="20"/>
          <w:szCs w:val="20"/>
          <w:lang w:val="es-MX"/>
        </w:rPr>
        <w:lastRenderedPageBreak/>
        <w:t>requisitos habilitantes. Según lo señalado en este capítulo</w:t>
      </w:r>
      <w:r w:rsidRPr="009004A9">
        <w:rPr>
          <w:rFonts w:ascii="Arial" w:hAnsi="Arial" w:cs="Arial"/>
          <w:sz w:val="20"/>
          <w:szCs w:val="20"/>
        </w:rPr>
        <w:t>, la entidad realizará la verificación de requisitos habilitantes de los proponentes (personas naturales o jurídicas nacionales o extranjeras domiciliadas o con sucursal en Colombia) con base en la información contenida en el RUP y los documentos señalados en los documentos tipo</w:t>
      </w:r>
      <w:r w:rsidRPr="009004A9">
        <w:rPr>
          <w:rFonts w:ascii="Arial" w:hAnsi="Arial" w:cs="Arial"/>
          <w:sz w:val="20"/>
          <w:szCs w:val="20"/>
          <w:lang w:val="es-MX"/>
        </w:rPr>
        <w:t>.</w:t>
      </w:r>
      <w:r w:rsidRPr="009004A9">
        <w:rPr>
          <w:rFonts w:ascii="Arial" w:hAnsi="Arial" w:cs="Arial"/>
          <w:sz w:val="20"/>
          <w:szCs w:val="20"/>
        </w:rPr>
        <w:t xml:space="preserve">Dentro de los requisitos habilitantes se destacan las condiciones de experiencia, la cual es entendida como el conocimiento </w:t>
      </w:r>
      <w:r w:rsidRPr="009004A9">
        <w:rPr>
          <w:rFonts w:ascii="Arial" w:eastAsia="Calibri" w:hAnsi="Arial" w:cs="Arial"/>
          <w:sz w:val="20"/>
          <w:szCs w:val="20"/>
        </w:rPr>
        <w:t xml:space="preserve">derivado de la participación previa en actividades iguales o similares a las previstas en el objeto del contrato. 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w:t>
      </w:r>
      <w:proofErr w:type="spellStart"/>
      <w:r w:rsidRPr="009004A9">
        <w:rPr>
          <w:rFonts w:ascii="Arial" w:eastAsia="Calibri" w:hAnsi="Arial" w:cs="Arial"/>
          <w:sz w:val="20"/>
          <w:szCs w:val="20"/>
        </w:rPr>
        <w:t>proponente.</w:t>
      </w:r>
      <w:r w:rsidRPr="009004A9">
        <w:rPr>
          <w:rFonts w:ascii="Arial" w:hAnsi="Arial" w:cs="Arial"/>
          <w:sz w:val="20"/>
          <w:szCs w:val="20"/>
        </w:rPr>
        <w:t>En</w:t>
      </w:r>
      <w:proofErr w:type="spellEnd"/>
      <w:r w:rsidRPr="009004A9">
        <w:rPr>
          <w:rFonts w:ascii="Arial" w:hAnsi="Arial" w:cs="Arial"/>
          <w:sz w:val="20"/>
          <w:szCs w:val="20"/>
        </w:rPr>
        <w:t xml:space="preserve"> este contexto, el numeral 3.5 del documento base prescribe que los proponentes deben acreditar su experiencia a través de: i) la información consignada en el RUP para aquellos que estén obligados a tenerlo, </w:t>
      </w:r>
      <w:proofErr w:type="spellStart"/>
      <w:r w:rsidRPr="009004A9">
        <w:rPr>
          <w:rFonts w:ascii="Arial" w:hAnsi="Arial" w:cs="Arial"/>
          <w:sz w:val="20"/>
          <w:szCs w:val="20"/>
        </w:rPr>
        <w:t>ii</w:t>
      </w:r>
      <w:proofErr w:type="spellEnd"/>
      <w:r w:rsidRPr="009004A9">
        <w:rPr>
          <w:rFonts w:ascii="Arial" w:hAnsi="Arial" w:cs="Arial"/>
          <w:sz w:val="20"/>
          <w:szCs w:val="20"/>
        </w:rPr>
        <w:t xml:space="preserve">) la presentación el «Formato 3 – Experiencia» para todos los proponentes y </w:t>
      </w:r>
      <w:proofErr w:type="spellStart"/>
      <w:r w:rsidRPr="009004A9">
        <w:rPr>
          <w:rFonts w:ascii="Arial" w:hAnsi="Arial" w:cs="Arial"/>
          <w:sz w:val="20"/>
          <w:szCs w:val="20"/>
        </w:rPr>
        <w:t>iii</w:t>
      </w:r>
      <w:proofErr w:type="spellEnd"/>
      <w:r w:rsidRPr="009004A9">
        <w:rPr>
          <w:rFonts w:ascii="Arial" w:hAnsi="Arial" w:cs="Arial"/>
          <w:sz w:val="20"/>
          <w:szCs w:val="20"/>
        </w:rPr>
        <w:t xml:space="preserve">) alguno de los documentos válidos para la acreditación de la experiencia señalados en el numeral 3.5.5 cuando se requiera la verificación de información del proponente adicional a la contenida en el RUP. </w:t>
      </w:r>
    </w:p>
    <w:p w14:paraId="349A7347" w14:textId="77777777" w:rsidR="00F51FED" w:rsidRPr="009004A9" w:rsidRDefault="00F51FED" w:rsidP="00F51FED">
      <w:pPr>
        <w:jc w:val="both"/>
        <w:rPr>
          <w:rFonts w:ascii="Arial" w:hAnsi="Arial" w:cs="Arial"/>
          <w:color w:val="000000"/>
          <w:sz w:val="20"/>
          <w:szCs w:val="20"/>
          <w:lang w:val="es-MX"/>
        </w:rPr>
      </w:pPr>
    </w:p>
    <w:p w14:paraId="24454190" w14:textId="77777777" w:rsidR="00F51FED" w:rsidRPr="009004A9" w:rsidRDefault="00F51FED" w:rsidP="00F51FED">
      <w:pPr>
        <w:jc w:val="both"/>
        <w:rPr>
          <w:rFonts w:ascii="Arial" w:hAnsi="Arial" w:cs="Arial"/>
          <w:b/>
          <w:bCs/>
          <w:color w:val="000000"/>
          <w:sz w:val="20"/>
          <w:szCs w:val="20"/>
          <w:lang w:val="es-MX"/>
        </w:rPr>
      </w:pPr>
      <w:r w:rsidRPr="009004A9">
        <w:rPr>
          <w:rFonts w:ascii="Arial" w:hAnsi="Arial" w:cs="Arial"/>
          <w:b/>
          <w:bCs/>
          <w:color w:val="000000"/>
          <w:sz w:val="20"/>
          <w:szCs w:val="20"/>
          <w:lang w:val="es-MX"/>
        </w:rPr>
        <w:t>TRANSFORMACIÓN – Reforma Estatutaria – Sociedad comercial – Experiencia</w:t>
      </w:r>
    </w:p>
    <w:p w14:paraId="0FF0F1D4" w14:textId="77777777" w:rsidR="00F51FED" w:rsidRPr="009004A9" w:rsidRDefault="00F51FED" w:rsidP="00F51FED">
      <w:pPr>
        <w:jc w:val="both"/>
        <w:rPr>
          <w:rFonts w:ascii="Arial" w:hAnsi="Arial" w:cs="Arial"/>
          <w:color w:val="000000"/>
          <w:sz w:val="20"/>
          <w:szCs w:val="20"/>
          <w:lang w:val="es-MX"/>
        </w:rPr>
      </w:pPr>
    </w:p>
    <w:p w14:paraId="297A148E" w14:textId="77777777" w:rsidR="00F51FED" w:rsidRPr="009004A9" w:rsidRDefault="00F51FED" w:rsidP="00F51FED">
      <w:pPr>
        <w:spacing w:before="120"/>
        <w:ind w:firstLine="708"/>
        <w:jc w:val="both"/>
        <w:rPr>
          <w:rFonts w:ascii="Arial" w:hAnsi="Arial" w:cs="Arial"/>
          <w:sz w:val="20"/>
          <w:szCs w:val="20"/>
          <w:lang w:eastAsia="es-ES_tradnl"/>
        </w:rPr>
      </w:pPr>
      <w:r w:rsidRPr="009004A9">
        <w:rPr>
          <w:rFonts w:ascii="Arial" w:hAnsi="Arial" w:cs="Arial"/>
          <w:sz w:val="20"/>
          <w:szCs w:val="20"/>
          <w:lang w:val="es-MX"/>
        </w:rPr>
        <w:t xml:space="preserve">[…] en el caso en que se presente el cambio del tipo societario de la sociedad comercial, esta podrá presentar la información financiera requerida en los criterios habilitantes referente a dicha sociedad.  En efecto, de conformidad con el artículo 167 del Código de Comercio «una sociedad podrá, antes de su disolución, adoptar cualquiera otra de las formas de la sociedad comercial reguladas por la ley, mediante una reforma del contrato social. La transformación no producirá solución de continuidad en la existencia de la sociedad como persona jurídica, ni en sus actividades ni en su patrimonio». En este sentido, la figura de </w:t>
      </w:r>
      <w:r w:rsidRPr="009004A9">
        <w:rPr>
          <w:rFonts w:ascii="Arial" w:hAnsi="Arial" w:cs="Arial"/>
          <w:sz w:val="20"/>
          <w:szCs w:val="20"/>
        </w:rPr>
        <w:t>«</w:t>
      </w:r>
      <w:r w:rsidRPr="009004A9">
        <w:rPr>
          <w:rFonts w:ascii="Arial" w:hAnsi="Arial" w:cs="Arial"/>
          <w:sz w:val="20"/>
          <w:szCs w:val="20"/>
          <w:lang w:val="es-MX"/>
        </w:rPr>
        <w:t>transformación» regulada en la norma señalada e</w:t>
      </w:r>
      <w:r w:rsidRPr="009004A9">
        <w:rPr>
          <w:rFonts w:ascii="Arial" w:hAnsi="Arial" w:cs="Arial"/>
          <w:sz w:val="20"/>
          <w:szCs w:val="20"/>
        </w:rPr>
        <w:t xml:space="preserv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 </w:t>
      </w:r>
      <w:r w:rsidRPr="009004A9">
        <w:rPr>
          <w:rFonts w:ascii="Arial" w:hAnsi="Arial" w:cs="Arial"/>
          <w:sz w:val="20"/>
          <w:szCs w:val="20"/>
          <w:lang w:eastAsia="es-ES_tradnl"/>
        </w:rPr>
        <w:t xml:space="preserve">Respecto de la experiencia, teniendo en cuenta que la sociedad solo cambia su forma, lo cual, de acuerdo con el Código de Comercio, no afecta sus actividades, la sociedad continuará con la misma experiencia. Esto se reafirma teniendo en cuenta que en la transformación la norma señala expresamente que la sociedad no se disuelve y, por ende, tampoco se liquida. De esta manera, solo cambia el tipo societario que había adoptado en su constitución, es decir, no sufre modificaciones o alteraciones y por eso continúa con la misma información financiera. </w:t>
      </w:r>
    </w:p>
    <w:p w14:paraId="2B1E7E01" w14:textId="0FCA4EED" w:rsidR="005F5944" w:rsidRPr="00320407" w:rsidRDefault="005F5944" w:rsidP="001C6B19">
      <w:pPr>
        <w:spacing w:line="276" w:lineRule="auto"/>
        <w:rPr>
          <w:rFonts w:ascii="Arial" w:eastAsia="Calibri" w:hAnsi="Arial" w:cs="Arial"/>
          <w:sz w:val="22"/>
          <w:szCs w:val="22"/>
        </w:rPr>
      </w:pPr>
    </w:p>
    <w:p w14:paraId="5F42955D" w14:textId="77777777" w:rsidR="00CD12DB" w:rsidRPr="00320407" w:rsidRDefault="00CD12DB" w:rsidP="001C6B19">
      <w:pPr>
        <w:spacing w:line="276" w:lineRule="auto"/>
        <w:rPr>
          <w:rFonts w:ascii="Arial" w:eastAsia="Calibri" w:hAnsi="Arial" w:cs="Arial"/>
          <w:sz w:val="22"/>
          <w:szCs w:val="22"/>
        </w:rPr>
      </w:pPr>
    </w:p>
    <w:p w14:paraId="3D06A797" w14:textId="007F6370" w:rsidR="005F5944" w:rsidRDefault="005F5944" w:rsidP="001C6B19">
      <w:pPr>
        <w:spacing w:line="276" w:lineRule="auto"/>
        <w:rPr>
          <w:rFonts w:ascii="Arial" w:eastAsia="Calibri" w:hAnsi="Arial" w:cs="Arial"/>
          <w:sz w:val="22"/>
          <w:szCs w:val="22"/>
        </w:rPr>
      </w:pPr>
    </w:p>
    <w:p w14:paraId="321676FC" w14:textId="22DF7D56" w:rsidR="00F51FED" w:rsidRDefault="00F51FED" w:rsidP="001C6B19">
      <w:pPr>
        <w:spacing w:line="276" w:lineRule="auto"/>
        <w:rPr>
          <w:rFonts w:ascii="Arial" w:eastAsia="Calibri" w:hAnsi="Arial" w:cs="Arial"/>
          <w:sz w:val="22"/>
          <w:szCs w:val="22"/>
        </w:rPr>
      </w:pPr>
    </w:p>
    <w:p w14:paraId="72D81EC6" w14:textId="77777777" w:rsidR="00F51FED" w:rsidRPr="00320407" w:rsidRDefault="00F51FED" w:rsidP="001C6B19">
      <w:pPr>
        <w:spacing w:line="276" w:lineRule="auto"/>
        <w:rPr>
          <w:rFonts w:ascii="Arial" w:eastAsia="Calibri" w:hAnsi="Arial" w:cs="Arial"/>
          <w:sz w:val="22"/>
          <w:szCs w:val="22"/>
        </w:rPr>
      </w:pPr>
    </w:p>
    <w:p w14:paraId="701BF318" w14:textId="77777777" w:rsidR="00B637D2" w:rsidRPr="00320407" w:rsidRDefault="00B637D2" w:rsidP="001C6B19">
      <w:pPr>
        <w:spacing w:line="276" w:lineRule="auto"/>
        <w:rPr>
          <w:rFonts w:ascii="Arial" w:eastAsia="Calibri" w:hAnsi="Arial" w:cs="Arial"/>
          <w:sz w:val="22"/>
          <w:szCs w:val="22"/>
        </w:rPr>
      </w:pPr>
    </w:p>
    <w:p w14:paraId="3B28140D" w14:textId="77777777" w:rsidR="00E94838" w:rsidRPr="00320407" w:rsidRDefault="00E94838" w:rsidP="001C6B19">
      <w:pPr>
        <w:spacing w:line="276" w:lineRule="auto"/>
        <w:rPr>
          <w:rFonts w:ascii="Arial" w:eastAsia="Calibri" w:hAnsi="Arial" w:cs="Arial"/>
          <w:sz w:val="22"/>
          <w:szCs w:val="22"/>
        </w:rPr>
      </w:pPr>
    </w:p>
    <w:p w14:paraId="5B6E29E3" w14:textId="1022A67D" w:rsidR="00462122" w:rsidRDefault="00462122" w:rsidP="00462122">
      <w:pPr>
        <w:spacing w:line="276" w:lineRule="auto"/>
        <w:jc w:val="right"/>
        <w:rPr>
          <w:rFonts w:ascii="Arial" w:eastAsia="Calibri" w:hAnsi="Arial" w:cs="Arial"/>
          <w:sz w:val="22"/>
          <w:szCs w:val="22"/>
        </w:rPr>
      </w:pPr>
      <w:r w:rsidRPr="00462122">
        <w:rPr>
          <w:rFonts w:ascii="Arial" w:eastAsia="Calibri" w:hAnsi="Arial" w:cs="Arial"/>
          <w:sz w:val="22"/>
          <w:szCs w:val="22"/>
        </w:rPr>
        <w:lastRenderedPageBreak/>
        <w:drawing>
          <wp:inline distT="0" distB="0" distL="0" distR="0" wp14:anchorId="1C59B8D8" wp14:editId="578C1297">
            <wp:extent cx="3020060" cy="875489"/>
            <wp:effectExtent l="0" t="0" r="254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37355" cy="880503"/>
                    </a:xfrm>
                    <a:prstGeom prst="rect">
                      <a:avLst/>
                    </a:prstGeom>
                  </pic:spPr>
                </pic:pic>
              </a:graphicData>
            </a:graphic>
          </wp:inline>
        </w:drawing>
      </w:r>
    </w:p>
    <w:p w14:paraId="25D90D5F" w14:textId="77777777" w:rsidR="00462122" w:rsidRDefault="00462122" w:rsidP="001C6B19">
      <w:pPr>
        <w:spacing w:line="276" w:lineRule="auto"/>
        <w:rPr>
          <w:rFonts w:ascii="Arial" w:eastAsia="Calibri" w:hAnsi="Arial" w:cs="Arial"/>
          <w:sz w:val="22"/>
          <w:szCs w:val="22"/>
        </w:rPr>
      </w:pPr>
    </w:p>
    <w:p w14:paraId="1E512E60" w14:textId="77777777" w:rsidR="00462122" w:rsidRDefault="00462122" w:rsidP="001C6B19">
      <w:pPr>
        <w:spacing w:line="276" w:lineRule="auto"/>
        <w:rPr>
          <w:rFonts w:ascii="Arial" w:eastAsia="Calibri" w:hAnsi="Arial" w:cs="Arial"/>
          <w:sz w:val="22"/>
          <w:szCs w:val="22"/>
        </w:rPr>
      </w:pPr>
    </w:p>
    <w:p w14:paraId="0A0A91CD" w14:textId="77777777" w:rsidR="00462122" w:rsidRDefault="00462122" w:rsidP="001C6B19">
      <w:pPr>
        <w:spacing w:line="276" w:lineRule="auto"/>
        <w:rPr>
          <w:rFonts w:ascii="Arial" w:eastAsia="Calibri" w:hAnsi="Arial" w:cs="Arial"/>
          <w:sz w:val="22"/>
          <w:szCs w:val="22"/>
        </w:rPr>
      </w:pPr>
    </w:p>
    <w:p w14:paraId="197C6852" w14:textId="2B6CDA97" w:rsidR="00B036EA" w:rsidRPr="00320407" w:rsidRDefault="00731374" w:rsidP="001C6B19">
      <w:pPr>
        <w:spacing w:line="276" w:lineRule="auto"/>
        <w:rPr>
          <w:rFonts w:ascii="Arial" w:eastAsia="Calibri" w:hAnsi="Arial" w:cs="Arial"/>
          <w:sz w:val="22"/>
          <w:szCs w:val="22"/>
        </w:rPr>
      </w:pPr>
      <w:r w:rsidRPr="00320407">
        <w:rPr>
          <w:rFonts w:ascii="Arial" w:eastAsia="Calibri" w:hAnsi="Arial" w:cs="Arial"/>
          <w:sz w:val="22"/>
          <w:szCs w:val="22"/>
        </w:rPr>
        <w:t>Señor</w:t>
      </w:r>
    </w:p>
    <w:p w14:paraId="407AA80B" w14:textId="2C3CB57F" w:rsidR="00FF547A" w:rsidRPr="00320407" w:rsidRDefault="000B4D07" w:rsidP="001C6B19">
      <w:pPr>
        <w:spacing w:line="276" w:lineRule="auto"/>
        <w:rPr>
          <w:rFonts w:ascii="Arial" w:eastAsia="Calibri" w:hAnsi="Arial" w:cs="Arial"/>
          <w:b/>
          <w:bCs/>
          <w:sz w:val="22"/>
          <w:szCs w:val="22"/>
        </w:rPr>
      </w:pPr>
      <w:r w:rsidRPr="00320407">
        <w:rPr>
          <w:rFonts w:ascii="Arial" w:eastAsia="Calibri" w:hAnsi="Arial" w:cs="Arial"/>
          <w:b/>
          <w:bCs/>
          <w:sz w:val="22"/>
          <w:szCs w:val="22"/>
        </w:rPr>
        <w:t xml:space="preserve">Juan Mauricio </w:t>
      </w:r>
      <w:proofErr w:type="spellStart"/>
      <w:r w:rsidRPr="00320407">
        <w:rPr>
          <w:rFonts w:ascii="Arial" w:eastAsia="Calibri" w:hAnsi="Arial" w:cs="Arial"/>
          <w:b/>
          <w:bCs/>
          <w:sz w:val="22"/>
          <w:szCs w:val="22"/>
        </w:rPr>
        <w:t>Monosalva</w:t>
      </w:r>
      <w:proofErr w:type="spellEnd"/>
      <w:r w:rsidRPr="00320407">
        <w:rPr>
          <w:rFonts w:ascii="Arial" w:eastAsia="Calibri" w:hAnsi="Arial" w:cs="Arial"/>
          <w:b/>
          <w:bCs/>
          <w:sz w:val="22"/>
          <w:szCs w:val="22"/>
        </w:rPr>
        <w:t xml:space="preserve"> Amaya </w:t>
      </w:r>
    </w:p>
    <w:p w14:paraId="055222AB" w14:textId="38A641E9" w:rsidR="000B4D07" w:rsidRPr="00320407" w:rsidRDefault="00000000" w:rsidP="001C6B19">
      <w:pPr>
        <w:spacing w:line="276" w:lineRule="auto"/>
        <w:rPr>
          <w:rFonts w:ascii="Arial" w:eastAsia="Calibri" w:hAnsi="Arial" w:cs="Arial"/>
          <w:sz w:val="22"/>
          <w:szCs w:val="22"/>
        </w:rPr>
      </w:pPr>
      <w:hyperlink r:id="rId12" w:history="1">
        <w:r w:rsidR="000B4D07" w:rsidRPr="00320407">
          <w:rPr>
            <w:rStyle w:val="Hipervnculo"/>
            <w:rFonts w:ascii="Arial" w:eastAsia="Calibri" w:hAnsi="Arial" w:cs="Arial"/>
            <w:sz w:val="22"/>
            <w:szCs w:val="22"/>
          </w:rPr>
          <w:t>ingtecltda@hotmail.com</w:t>
        </w:r>
      </w:hyperlink>
      <w:r w:rsidR="000B4D07" w:rsidRPr="00320407">
        <w:rPr>
          <w:rFonts w:ascii="Arial" w:eastAsia="Calibri" w:hAnsi="Arial" w:cs="Arial"/>
          <w:sz w:val="22"/>
          <w:szCs w:val="22"/>
        </w:rPr>
        <w:t xml:space="preserve"> </w:t>
      </w:r>
    </w:p>
    <w:p w14:paraId="7A4ED994" w14:textId="77777777" w:rsidR="00511ACE" w:rsidRPr="00320407" w:rsidRDefault="003C7067" w:rsidP="001C6B19">
      <w:pPr>
        <w:spacing w:line="276" w:lineRule="auto"/>
        <w:rPr>
          <w:rFonts w:ascii="Arial" w:eastAsia="Calibri" w:hAnsi="Arial" w:cs="Arial"/>
          <w:b/>
          <w:sz w:val="22"/>
          <w:szCs w:val="22"/>
        </w:rPr>
      </w:pPr>
      <w:r w:rsidRPr="00320407">
        <w:rPr>
          <w:rFonts w:ascii="Arial" w:eastAsia="Calibri" w:hAnsi="Arial" w:cs="Arial"/>
          <w:b/>
          <w:sz w:val="22"/>
          <w:szCs w:val="22"/>
        </w:rPr>
        <w:t xml:space="preserve">                                     </w:t>
      </w:r>
    </w:p>
    <w:p w14:paraId="1F4E36CB" w14:textId="1547D3EC" w:rsidR="003C7067" w:rsidRPr="00320407" w:rsidRDefault="00511ACE" w:rsidP="001C6B19">
      <w:pPr>
        <w:spacing w:line="276" w:lineRule="auto"/>
        <w:rPr>
          <w:rFonts w:ascii="Arial" w:eastAsia="Calibri" w:hAnsi="Arial" w:cs="Arial"/>
          <w:b/>
          <w:sz w:val="22"/>
          <w:szCs w:val="22"/>
        </w:rPr>
      </w:pPr>
      <w:r w:rsidRPr="00320407">
        <w:rPr>
          <w:rFonts w:ascii="Arial" w:eastAsia="Calibri" w:hAnsi="Arial" w:cs="Arial"/>
          <w:b/>
          <w:sz w:val="22"/>
          <w:szCs w:val="22"/>
        </w:rPr>
        <w:t xml:space="preserve">                                       </w:t>
      </w:r>
      <w:r w:rsidR="003C7067" w:rsidRPr="00320407">
        <w:rPr>
          <w:rFonts w:ascii="Arial" w:eastAsia="Calibri" w:hAnsi="Arial" w:cs="Arial"/>
          <w:b/>
          <w:sz w:val="22"/>
          <w:szCs w:val="22"/>
        </w:rPr>
        <w:t xml:space="preserve">Concepto C – </w:t>
      </w:r>
      <w:r w:rsidR="00206E4E" w:rsidRPr="00320407">
        <w:rPr>
          <w:rFonts w:ascii="Arial" w:eastAsia="Calibri" w:hAnsi="Arial" w:cs="Arial"/>
          <w:b/>
          <w:sz w:val="22"/>
          <w:szCs w:val="22"/>
        </w:rPr>
        <w:t>6</w:t>
      </w:r>
      <w:r w:rsidR="000B4D07" w:rsidRPr="00320407">
        <w:rPr>
          <w:rFonts w:ascii="Arial" w:eastAsia="Calibri" w:hAnsi="Arial" w:cs="Arial"/>
          <w:b/>
          <w:sz w:val="22"/>
          <w:szCs w:val="22"/>
        </w:rPr>
        <w:t>68</w:t>
      </w:r>
      <w:r w:rsidR="00FF547A" w:rsidRPr="00320407">
        <w:rPr>
          <w:rFonts w:ascii="Arial" w:eastAsia="Calibri" w:hAnsi="Arial" w:cs="Arial"/>
          <w:b/>
          <w:sz w:val="22"/>
          <w:szCs w:val="22"/>
        </w:rPr>
        <w:t xml:space="preserve"> </w:t>
      </w:r>
      <w:r w:rsidR="003C7067" w:rsidRPr="00320407">
        <w:rPr>
          <w:rFonts w:ascii="Arial" w:eastAsia="Calibri" w:hAnsi="Arial" w:cs="Arial"/>
          <w:b/>
          <w:sz w:val="22"/>
          <w:szCs w:val="22"/>
        </w:rPr>
        <w:t>de 202</w:t>
      </w:r>
      <w:r w:rsidR="003104CB" w:rsidRPr="00320407">
        <w:rPr>
          <w:rFonts w:ascii="Arial" w:eastAsia="Calibri" w:hAnsi="Arial" w:cs="Arial"/>
          <w:b/>
          <w:sz w:val="22"/>
          <w:szCs w:val="22"/>
        </w:rPr>
        <w:t>2</w:t>
      </w:r>
      <w:r w:rsidR="003C7067" w:rsidRPr="00320407">
        <w:rPr>
          <w:rFonts w:ascii="Arial" w:eastAsia="Calibri" w:hAnsi="Arial" w:cs="Arial"/>
          <w:b/>
          <w:sz w:val="22"/>
          <w:szCs w:val="22"/>
        </w:rPr>
        <w:t xml:space="preserve"> </w:t>
      </w:r>
    </w:p>
    <w:p w14:paraId="1698D01B" w14:textId="77777777" w:rsidR="003C7067" w:rsidRPr="00320407" w:rsidRDefault="003C7067" w:rsidP="001C6B19">
      <w:pPr>
        <w:spacing w:line="276" w:lineRule="auto"/>
        <w:rPr>
          <w:rFonts w:ascii="Arial" w:eastAsia="Calibri" w:hAnsi="Arial" w:cs="Arial"/>
          <w:b/>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320407" w14:paraId="7C1768E2" w14:textId="77777777" w:rsidTr="00320407">
        <w:trPr>
          <w:trHeight w:val="1315"/>
        </w:trPr>
        <w:tc>
          <w:tcPr>
            <w:tcW w:w="2410" w:type="dxa"/>
          </w:tcPr>
          <w:p w14:paraId="7F7464C9" w14:textId="77777777" w:rsidR="003C7067" w:rsidRPr="00320407" w:rsidRDefault="003C7067" w:rsidP="001C6B19">
            <w:pPr>
              <w:spacing w:line="276" w:lineRule="auto"/>
              <w:rPr>
                <w:rFonts w:ascii="Arial" w:eastAsia="Calibri" w:hAnsi="Arial" w:cs="Arial"/>
              </w:rPr>
            </w:pPr>
            <w:r w:rsidRPr="00320407">
              <w:rPr>
                <w:rFonts w:ascii="Arial" w:eastAsia="Calibri" w:hAnsi="Arial" w:cs="Arial"/>
                <w:b/>
              </w:rPr>
              <w:t>Temas:</w:t>
            </w:r>
            <w:r w:rsidRPr="00320407">
              <w:rPr>
                <w:rFonts w:ascii="Arial" w:eastAsia="Calibri" w:hAnsi="Arial" w:cs="Arial"/>
              </w:rPr>
              <w:t xml:space="preserve">                                      </w:t>
            </w:r>
          </w:p>
        </w:tc>
        <w:tc>
          <w:tcPr>
            <w:tcW w:w="6516" w:type="dxa"/>
          </w:tcPr>
          <w:p w14:paraId="591DD524" w14:textId="6B95E429" w:rsidR="00B637D2" w:rsidRPr="00320407" w:rsidRDefault="00321BA0" w:rsidP="001C6B19">
            <w:pPr>
              <w:spacing w:line="276" w:lineRule="auto"/>
              <w:jc w:val="both"/>
              <w:rPr>
                <w:rFonts w:ascii="Arial" w:hAnsi="Arial" w:cs="Arial"/>
                <w:b/>
                <w:bCs/>
                <w:sz w:val="20"/>
                <w:szCs w:val="20"/>
              </w:rPr>
            </w:pPr>
            <w:r w:rsidRPr="00320407">
              <w:rPr>
                <w:rFonts w:ascii="Arial" w:hAnsi="Arial" w:cs="Arial"/>
                <w:bCs/>
                <w:color w:val="000000" w:themeColor="text1"/>
                <w:szCs w:val="24"/>
                <w:lang w:eastAsia="es-ES_tradnl"/>
              </w:rPr>
              <w:t>DOCUMENTOS TIPO –</w:t>
            </w:r>
            <w:r w:rsidRPr="00320407">
              <w:rPr>
                <w:rFonts w:ascii="Arial" w:hAnsi="Arial" w:cs="Arial"/>
                <w:bCs/>
                <w:szCs w:val="24"/>
                <w:lang w:eastAsia="es-ES_tradnl"/>
              </w:rPr>
              <w:t xml:space="preserve"> Fundamento normativo – Ley 2022 de 2020 </w:t>
            </w:r>
            <w:r w:rsidRPr="00320407">
              <w:rPr>
                <w:rFonts w:ascii="Arial" w:hAnsi="Arial" w:cs="Arial"/>
                <w:bCs/>
                <w:color w:val="000000" w:themeColor="text1"/>
                <w:szCs w:val="24"/>
                <w:lang w:eastAsia="es-ES_tradnl"/>
              </w:rPr>
              <w:t xml:space="preserve">/ </w:t>
            </w:r>
            <w:r w:rsidRPr="00320407">
              <w:rPr>
                <w:rFonts w:ascii="Arial" w:hAnsi="Arial" w:cs="Arial"/>
                <w:bCs/>
              </w:rPr>
              <w:t xml:space="preserve">REQUISITOS HABILITANTES – Capacidad Financiera y Organizacional – Capacidad residual – Acreditación </w:t>
            </w:r>
            <w:r w:rsidRPr="00320407">
              <w:rPr>
                <w:rFonts w:ascii="Arial" w:hAnsi="Arial" w:cs="Arial"/>
                <w:bCs/>
                <w:color w:val="000000" w:themeColor="text1"/>
                <w:szCs w:val="24"/>
                <w:lang w:eastAsia="es-ES_tradnl"/>
              </w:rPr>
              <w:t xml:space="preserve">/ </w:t>
            </w:r>
            <w:r w:rsidRPr="00320407">
              <w:rPr>
                <w:rFonts w:ascii="Arial" w:hAnsi="Arial" w:cs="Arial"/>
                <w:bCs/>
                <w:color w:val="000000" w:themeColor="text1"/>
              </w:rPr>
              <w:t>TRANSFORMACIÓN – Reforma Estatutaria – Sociedad comercial – Experiencia</w:t>
            </w:r>
          </w:p>
          <w:p w14:paraId="2F4B7014" w14:textId="50B22CE7" w:rsidR="00862579" w:rsidRPr="00320407" w:rsidRDefault="00862579" w:rsidP="001C6B19">
            <w:pPr>
              <w:spacing w:line="276" w:lineRule="auto"/>
              <w:jc w:val="both"/>
              <w:rPr>
                <w:rFonts w:ascii="Arial" w:hAnsi="Arial" w:cs="Arial"/>
                <w:bCs/>
              </w:rPr>
            </w:pPr>
          </w:p>
        </w:tc>
      </w:tr>
      <w:tr w:rsidR="003C7067" w:rsidRPr="00320407" w14:paraId="60D249F0" w14:textId="77777777" w:rsidTr="00E74412">
        <w:tc>
          <w:tcPr>
            <w:tcW w:w="2410" w:type="dxa"/>
          </w:tcPr>
          <w:p w14:paraId="291F9A18" w14:textId="77777777" w:rsidR="003C7067" w:rsidRPr="00320407" w:rsidRDefault="003C7067" w:rsidP="001C6B19">
            <w:pPr>
              <w:spacing w:line="276" w:lineRule="auto"/>
              <w:rPr>
                <w:rFonts w:ascii="Arial" w:eastAsia="Calibri" w:hAnsi="Arial" w:cs="Arial"/>
              </w:rPr>
            </w:pPr>
            <w:r w:rsidRPr="00320407">
              <w:rPr>
                <w:rFonts w:ascii="Arial" w:eastAsia="Calibri" w:hAnsi="Arial" w:cs="Arial"/>
                <w:b/>
              </w:rPr>
              <w:t>Radicación:</w:t>
            </w:r>
            <w:r w:rsidRPr="00320407">
              <w:rPr>
                <w:rFonts w:ascii="Arial" w:eastAsia="Calibri" w:hAnsi="Arial" w:cs="Arial"/>
              </w:rPr>
              <w:t xml:space="preserve">                              </w:t>
            </w:r>
          </w:p>
        </w:tc>
        <w:tc>
          <w:tcPr>
            <w:tcW w:w="6516" w:type="dxa"/>
          </w:tcPr>
          <w:p w14:paraId="3C674517" w14:textId="35342358" w:rsidR="003C7067" w:rsidRPr="00320407" w:rsidRDefault="003C7067" w:rsidP="001C6B19">
            <w:pPr>
              <w:spacing w:line="276" w:lineRule="auto"/>
              <w:jc w:val="both"/>
              <w:rPr>
                <w:rFonts w:ascii="Arial" w:hAnsi="Arial" w:cs="Arial"/>
              </w:rPr>
            </w:pPr>
            <w:r w:rsidRPr="00320407">
              <w:rPr>
                <w:rFonts w:ascii="Arial" w:eastAsia="Calibri" w:hAnsi="Arial" w:cs="Arial"/>
              </w:rPr>
              <w:t xml:space="preserve">Respuesta a </w:t>
            </w:r>
            <w:r w:rsidR="00206E4E" w:rsidRPr="00320407">
              <w:rPr>
                <w:rFonts w:ascii="Arial" w:eastAsia="Calibri" w:hAnsi="Arial" w:cs="Arial"/>
              </w:rPr>
              <w:t xml:space="preserve">la consulta </w:t>
            </w:r>
            <w:r w:rsidR="000B4D07" w:rsidRPr="00320407">
              <w:rPr>
                <w:rFonts w:ascii="Arial" w:eastAsia="Calibri" w:hAnsi="Arial" w:cs="Arial"/>
              </w:rPr>
              <w:t>P20220902008783</w:t>
            </w:r>
          </w:p>
        </w:tc>
      </w:tr>
    </w:tbl>
    <w:p w14:paraId="776B553A" w14:textId="1E5ECA65" w:rsidR="003C7067" w:rsidRPr="00320407" w:rsidRDefault="003C7067" w:rsidP="001C6B19">
      <w:pPr>
        <w:spacing w:line="276" w:lineRule="auto"/>
        <w:rPr>
          <w:rFonts w:ascii="Arial" w:eastAsia="Calibri" w:hAnsi="Arial" w:cs="Arial"/>
          <w:sz w:val="22"/>
          <w:szCs w:val="22"/>
        </w:rPr>
      </w:pPr>
    </w:p>
    <w:p w14:paraId="35873A1E" w14:textId="77777777" w:rsidR="007374F5" w:rsidRPr="00320407" w:rsidRDefault="007374F5" w:rsidP="001C6B19">
      <w:pPr>
        <w:spacing w:line="276" w:lineRule="auto"/>
        <w:rPr>
          <w:rFonts w:ascii="Arial" w:eastAsia="Calibri" w:hAnsi="Arial" w:cs="Arial"/>
          <w:sz w:val="22"/>
          <w:szCs w:val="22"/>
        </w:rPr>
      </w:pPr>
    </w:p>
    <w:p w14:paraId="6BB19977" w14:textId="329A1EE4" w:rsidR="003C7067" w:rsidRPr="00320407" w:rsidRDefault="003C7067" w:rsidP="001C6B19">
      <w:pPr>
        <w:tabs>
          <w:tab w:val="left" w:pos="3736"/>
        </w:tabs>
        <w:spacing w:line="276" w:lineRule="auto"/>
        <w:rPr>
          <w:rFonts w:ascii="Arial" w:eastAsia="Calibri" w:hAnsi="Arial" w:cs="Arial"/>
          <w:sz w:val="22"/>
          <w:szCs w:val="22"/>
        </w:rPr>
      </w:pPr>
      <w:r w:rsidRPr="00320407">
        <w:rPr>
          <w:rFonts w:ascii="Arial" w:eastAsia="Calibri" w:hAnsi="Arial" w:cs="Arial"/>
          <w:sz w:val="22"/>
          <w:szCs w:val="22"/>
        </w:rPr>
        <w:t>Estimad</w:t>
      </w:r>
      <w:r w:rsidR="007568B5" w:rsidRPr="00320407">
        <w:rPr>
          <w:rFonts w:ascii="Arial" w:eastAsia="Calibri" w:hAnsi="Arial" w:cs="Arial"/>
          <w:sz w:val="22"/>
          <w:szCs w:val="22"/>
        </w:rPr>
        <w:t>o</w:t>
      </w:r>
      <w:r w:rsidR="007A5F2D" w:rsidRPr="00320407">
        <w:rPr>
          <w:rFonts w:ascii="Arial" w:eastAsia="Calibri" w:hAnsi="Arial" w:cs="Arial"/>
          <w:sz w:val="22"/>
          <w:szCs w:val="22"/>
        </w:rPr>
        <w:t xml:space="preserve"> </w:t>
      </w:r>
      <w:r w:rsidRPr="00320407">
        <w:rPr>
          <w:rFonts w:ascii="Arial" w:eastAsia="Calibri" w:hAnsi="Arial" w:cs="Arial"/>
          <w:sz w:val="22"/>
          <w:szCs w:val="22"/>
        </w:rPr>
        <w:t>señor</w:t>
      </w:r>
      <w:r w:rsidR="007568B5" w:rsidRPr="00320407">
        <w:rPr>
          <w:rFonts w:ascii="Arial" w:eastAsia="Calibri" w:hAnsi="Arial" w:cs="Arial"/>
          <w:sz w:val="22"/>
          <w:szCs w:val="22"/>
        </w:rPr>
        <w:t xml:space="preserve"> </w:t>
      </w:r>
      <w:r w:rsidR="000B4D07" w:rsidRPr="00320407">
        <w:rPr>
          <w:rFonts w:ascii="Arial" w:eastAsia="Calibri" w:hAnsi="Arial" w:cs="Arial"/>
          <w:sz w:val="22"/>
          <w:szCs w:val="22"/>
        </w:rPr>
        <w:t>Manosalva</w:t>
      </w:r>
      <w:r w:rsidR="0083524B" w:rsidRPr="00320407">
        <w:rPr>
          <w:rFonts w:ascii="Arial" w:eastAsia="Calibri" w:hAnsi="Arial" w:cs="Arial"/>
          <w:sz w:val="22"/>
          <w:szCs w:val="22"/>
        </w:rPr>
        <w:t>:</w:t>
      </w:r>
    </w:p>
    <w:p w14:paraId="17594CC4" w14:textId="77777777" w:rsidR="003C7067" w:rsidRPr="00320407" w:rsidRDefault="003C7067" w:rsidP="001C6B19">
      <w:pPr>
        <w:spacing w:line="276" w:lineRule="auto"/>
        <w:rPr>
          <w:rFonts w:ascii="Arial" w:eastAsia="Calibri" w:hAnsi="Arial" w:cs="Arial"/>
          <w:sz w:val="22"/>
          <w:szCs w:val="22"/>
        </w:rPr>
      </w:pPr>
    </w:p>
    <w:p w14:paraId="60A69B38" w14:textId="5B874D74" w:rsidR="00B0166A" w:rsidRPr="00320407" w:rsidRDefault="003C7067" w:rsidP="001C6B19">
      <w:pPr>
        <w:spacing w:line="276" w:lineRule="auto"/>
        <w:jc w:val="both"/>
        <w:rPr>
          <w:rFonts w:ascii="Arial" w:eastAsia="Calibri" w:hAnsi="Arial" w:cs="Arial"/>
          <w:sz w:val="22"/>
          <w:szCs w:val="22"/>
        </w:rPr>
      </w:pPr>
      <w:r w:rsidRPr="00320407">
        <w:rPr>
          <w:rFonts w:ascii="Arial" w:eastAsia="Calibri" w:hAnsi="Arial" w:cs="Arial"/>
          <w:sz w:val="22"/>
          <w:szCs w:val="22"/>
        </w:rPr>
        <w:t>La Agencia Nacional de Contratación Pública – Colombia Compra Eficiente</w:t>
      </w:r>
      <w:r w:rsidR="00C15870" w:rsidRPr="00320407">
        <w:rPr>
          <w:rFonts w:ascii="Arial" w:eastAsia="Calibri" w:hAnsi="Arial" w:cs="Arial"/>
          <w:sz w:val="22"/>
          <w:szCs w:val="22"/>
        </w:rPr>
        <w:t>, en ejercicio de la competencia otorgada por el numeral 8 del artículo 11 y el numeral 5 del artículo 3 del Decreto Ley 4170 de 2011,</w:t>
      </w:r>
      <w:r w:rsidRPr="00320407">
        <w:rPr>
          <w:rFonts w:ascii="Arial" w:eastAsia="Calibri" w:hAnsi="Arial" w:cs="Arial"/>
          <w:sz w:val="22"/>
          <w:szCs w:val="22"/>
        </w:rPr>
        <w:t xml:space="preserve"> responde s</w:t>
      </w:r>
      <w:r w:rsidR="00731374" w:rsidRPr="00320407">
        <w:rPr>
          <w:rFonts w:ascii="Arial" w:eastAsia="Calibri" w:hAnsi="Arial" w:cs="Arial"/>
          <w:sz w:val="22"/>
          <w:szCs w:val="22"/>
        </w:rPr>
        <w:t>u</w:t>
      </w:r>
      <w:r w:rsidR="00206E4E" w:rsidRPr="00320407">
        <w:rPr>
          <w:rFonts w:ascii="Arial" w:eastAsia="Calibri" w:hAnsi="Arial" w:cs="Arial"/>
          <w:sz w:val="22"/>
          <w:szCs w:val="22"/>
        </w:rPr>
        <w:t xml:space="preserve"> </w:t>
      </w:r>
      <w:r w:rsidR="00B0166A" w:rsidRPr="00320407">
        <w:rPr>
          <w:rFonts w:ascii="Arial" w:eastAsia="Calibri" w:hAnsi="Arial" w:cs="Arial"/>
          <w:sz w:val="22"/>
          <w:szCs w:val="22"/>
        </w:rPr>
        <w:t>consulta remitida</w:t>
      </w:r>
      <w:r w:rsidR="00731374" w:rsidRPr="00320407">
        <w:rPr>
          <w:rFonts w:ascii="Arial" w:eastAsia="Calibri" w:hAnsi="Arial" w:cs="Arial"/>
          <w:sz w:val="22"/>
          <w:szCs w:val="22"/>
        </w:rPr>
        <w:t xml:space="preserve"> el</w:t>
      </w:r>
      <w:r w:rsidR="00206E4E" w:rsidRPr="00320407">
        <w:rPr>
          <w:rFonts w:ascii="Arial" w:eastAsia="Calibri" w:hAnsi="Arial" w:cs="Arial"/>
          <w:sz w:val="22"/>
          <w:szCs w:val="22"/>
        </w:rPr>
        <w:t xml:space="preserve"> </w:t>
      </w:r>
      <w:r w:rsidR="00295AF9" w:rsidRPr="00320407">
        <w:rPr>
          <w:rFonts w:ascii="Arial" w:eastAsia="Calibri" w:hAnsi="Arial" w:cs="Arial"/>
          <w:sz w:val="22"/>
          <w:szCs w:val="22"/>
        </w:rPr>
        <w:t>0</w:t>
      </w:r>
      <w:r w:rsidR="000B4D07" w:rsidRPr="00320407">
        <w:rPr>
          <w:rFonts w:ascii="Arial" w:eastAsia="Calibri" w:hAnsi="Arial" w:cs="Arial"/>
          <w:sz w:val="22"/>
          <w:szCs w:val="22"/>
        </w:rPr>
        <w:t>2</w:t>
      </w:r>
      <w:r w:rsidR="00295AF9" w:rsidRPr="00320407">
        <w:rPr>
          <w:rFonts w:ascii="Arial" w:eastAsia="Calibri" w:hAnsi="Arial" w:cs="Arial"/>
          <w:sz w:val="22"/>
          <w:szCs w:val="22"/>
        </w:rPr>
        <w:t xml:space="preserve"> de septiembre de</w:t>
      </w:r>
      <w:r w:rsidR="005B14B2" w:rsidRPr="00320407">
        <w:rPr>
          <w:rFonts w:ascii="Arial" w:eastAsia="Calibri" w:hAnsi="Arial" w:cs="Arial"/>
          <w:sz w:val="22"/>
          <w:szCs w:val="22"/>
        </w:rPr>
        <w:t xml:space="preserve"> 2022. </w:t>
      </w:r>
    </w:p>
    <w:p w14:paraId="6ACE405C" w14:textId="77777777" w:rsidR="00B0166A" w:rsidRPr="00320407" w:rsidRDefault="00B0166A" w:rsidP="001C6B19">
      <w:pPr>
        <w:pStyle w:val="Prrafodelista"/>
        <w:spacing w:line="276" w:lineRule="auto"/>
        <w:ind w:left="0"/>
        <w:rPr>
          <w:rFonts w:ascii="Arial" w:eastAsia="Calibri" w:hAnsi="Arial" w:cs="Arial"/>
          <w:sz w:val="22"/>
          <w:lang w:val="es-ES_tradnl"/>
        </w:rPr>
      </w:pPr>
    </w:p>
    <w:p w14:paraId="67CA615C" w14:textId="77777777" w:rsidR="003C7067" w:rsidRPr="00320407" w:rsidRDefault="003C7067" w:rsidP="001C6B19">
      <w:pPr>
        <w:tabs>
          <w:tab w:val="left" w:pos="0"/>
        </w:tabs>
        <w:spacing w:line="276" w:lineRule="auto"/>
        <w:jc w:val="both"/>
        <w:rPr>
          <w:rFonts w:ascii="Arial" w:eastAsia="Calibri" w:hAnsi="Arial" w:cs="Arial"/>
          <w:b/>
          <w:sz w:val="22"/>
          <w:szCs w:val="22"/>
        </w:rPr>
      </w:pPr>
      <w:r w:rsidRPr="00320407">
        <w:rPr>
          <w:rFonts w:ascii="Arial" w:eastAsia="Calibri" w:hAnsi="Arial" w:cs="Arial"/>
          <w:b/>
          <w:sz w:val="22"/>
          <w:szCs w:val="22"/>
        </w:rPr>
        <w:t>1. Problema planteado</w:t>
      </w:r>
    </w:p>
    <w:p w14:paraId="5A060666" w14:textId="77777777" w:rsidR="003C7067" w:rsidRPr="00320407" w:rsidRDefault="003C7067" w:rsidP="001C6B19">
      <w:pPr>
        <w:spacing w:line="276" w:lineRule="auto"/>
        <w:rPr>
          <w:rFonts w:ascii="Arial" w:eastAsia="Calibri" w:hAnsi="Arial" w:cs="Arial"/>
          <w:sz w:val="22"/>
          <w:szCs w:val="22"/>
        </w:rPr>
      </w:pPr>
    </w:p>
    <w:p w14:paraId="0878041B" w14:textId="72A65EF8" w:rsidR="00206E4E" w:rsidRPr="00320407" w:rsidRDefault="003C7067" w:rsidP="001C6B19">
      <w:pPr>
        <w:pStyle w:val="gmail-msonospacing"/>
        <w:spacing w:before="0" w:beforeAutospacing="0" w:after="0" w:afterAutospacing="0" w:line="276" w:lineRule="auto"/>
        <w:ind w:right="900"/>
        <w:jc w:val="both"/>
        <w:rPr>
          <w:rFonts w:ascii="Arial" w:eastAsia="Calibri" w:hAnsi="Arial" w:cs="Arial"/>
          <w:lang w:val="es-ES_tradnl"/>
        </w:rPr>
      </w:pPr>
      <w:r w:rsidRPr="00320407">
        <w:rPr>
          <w:rFonts w:ascii="Arial" w:eastAsia="Calibri" w:hAnsi="Arial" w:cs="Arial"/>
          <w:lang w:val="es-ES_tradnl"/>
        </w:rPr>
        <w:t xml:space="preserve">Usted realiza la siguiente pregunta: </w:t>
      </w:r>
    </w:p>
    <w:p w14:paraId="2B9093DB" w14:textId="6484F639" w:rsidR="00206E4E" w:rsidRPr="00320407" w:rsidRDefault="00206E4E" w:rsidP="001C6B19">
      <w:pPr>
        <w:pStyle w:val="gmail-msonospacing"/>
        <w:spacing w:before="0" w:beforeAutospacing="0" w:after="0" w:afterAutospacing="0" w:line="276" w:lineRule="auto"/>
        <w:ind w:right="900"/>
        <w:jc w:val="both"/>
        <w:rPr>
          <w:rFonts w:ascii="Arial" w:eastAsia="Calibri" w:hAnsi="Arial" w:cs="Arial"/>
          <w:lang w:val="es-ES_tradnl"/>
        </w:rPr>
      </w:pPr>
    </w:p>
    <w:p w14:paraId="4CEF1B2F" w14:textId="05E04D55" w:rsidR="008559E5" w:rsidRPr="00320407" w:rsidRDefault="000B4D07" w:rsidP="00320407">
      <w:pPr>
        <w:autoSpaceDE w:val="0"/>
        <w:autoSpaceDN w:val="0"/>
        <w:adjustRightInd w:val="0"/>
        <w:ind w:left="709" w:right="709"/>
        <w:jc w:val="both"/>
        <w:rPr>
          <w:rFonts w:ascii="Arial" w:eastAsiaTheme="minorHAnsi" w:hAnsi="Arial" w:cs="Arial"/>
          <w:sz w:val="21"/>
          <w:szCs w:val="21"/>
          <w:lang w:eastAsia="en-US"/>
        </w:rPr>
      </w:pPr>
      <w:r w:rsidRPr="00320407">
        <w:rPr>
          <w:rFonts w:ascii="Arial" w:hAnsi="Arial" w:cs="Arial"/>
          <w:sz w:val="21"/>
          <w:szCs w:val="21"/>
        </w:rPr>
        <w:t xml:space="preserve">Aclarar lo siguiente, teniendo en cuenta que la empresa INGTEC ha realizado el cambio de razón social de SOCIEDAD LIMITADA a SOCIEDAD POR ACCIONES SIMPLIFICADAS para los procesos de contratación pública, específicamente en lo referente a pliegos tipos en los anexos como por ejemplo el diligenciamiento del formato No.3, estos se presentan con la razón social anterior (limitada), se tiene algún tipo de inconveniente al momento de participar </w:t>
      </w:r>
      <w:r w:rsidRPr="00320407">
        <w:rPr>
          <w:rFonts w:ascii="Arial" w:hAnsi="Arial" w:cs="Arial"/>
          <w:sz w:val="21"/>
          <w:szCs w:val="21"/>
        </w:rPr>
        <w:lastRenderedPageBreak/>
        <w:t>en los procesos de contratación?, por tal motivo solicito una aclaración o cu</w:t>
      </w:r>
      <w:r w:rsidR="00886DB2" w:rsidRPr="00320407">
        <w:rPr>
          <w:rFonts w:ascii="Arial" w:hAnsi="Arial" w:cs="Arial"/>
          <w:sz w:val="21"/>
          <w:szCs w:val="21"/>
        </w:rPr>
        <w:t>á</w:t>
      </w:r>
      <w:r w:rsidRPr="00320407">
        <w:rPr>
          <w:rFonts w:ascii="Arial" w:hAnsi="Arial" w:cs="Arial"/>
          <w:sz w:val="21"/>
          <w:szCs w:val="21"/>
        </w:rPr>
        <w:t>les serían los pasos a seguir para este tema</w:t>
      </w:r>
      <w:r w:rsidR="00D078B3" w:rsidRPr="00320407">
        <w:rPr>
          <w:rFonts w:ascii="Arial" w:hAnsi="Arial" w:cs="Arial"/>
          <w:sz w:val="21"/>
          <w:szCs w:val="21"/>
        </w:rPr>
        <w:t>.</w:t>
      </w:r>
    </w:p>
    <w:p w14:paraId="3878A913" w14:textId="77777777" w:rsidR="00041D4B" w:rsidRPr="00320407" w:rsidRDefault="00041D4B" w:rsidP="001C6B19">
      <w:pPr>
        <w:spacing w:line="276" w:lineRule="auto"/>
        <w:jc w:val="both"/>
        <w:rPr>
          <w:rFonts w:ascii="Arial" w:eastAsiaTheme="minorHAnsi" w:hAnsi="Arial" w:cs="Arial"/>
          <w:color w:val="000000" w:themeColor="text1"/>
          <w:sz w:val="22"/>
          <w:szCs w:val="22"/>
          <w:lang w:eastAsia="en-US"/>
        </w:rPr>
      </w:pPr>
    </w:p>
    <w:p w14:paraId="25DC51CC" w14:textId="7CCB0AE1" w:rsidR="0016321F" w:rsidRPr="00320407" w:rsidRDefault="003C7067" w:rsidP="001C6B19">
      <w:pPr>
        <w:pStyle w:val="NormalWeb"/>
        <w:spacing w:before="0" w:beforeAutospacing="0" w:after="0" w:afterAutospacing="0" w:line="276" w:lineRule="auto"/>
        <w:ind w:right="51"/>
        <w:contextualSpacing/>
        <w:jc w:val="both"/>
        <w:rPr>
          <w:rFonts w:ascii="Arial" w:eastAsia="Calibri" w:hAnsi="Arial" w:cs="Arial"/>
          <w:b/>
          <w:sz w:val="22"/>
          <w:szCs w:val="22"/>
        </w:rPr>
      </w:pPr>
      <w:r w:rsidRPr="00320407">
        <w:rPr>
          <w:rFonts w:ascii="Arial" w:eastAsia="Calibri" w:hAnsi="Arial" w:cs="Arial"/>
          <w:b/>
          <w:sz w:val="22"/>
          <w:szCs w:val="22"/>
        </w:rPr>
        <w:t>2. Consideraciones</w:t>
      </w:r>
    </w:p>
    <w:p w14:paraId="146D64A9" w14:textId="77777777" w:rsidR="00EF2C3C" w:rsidRPr="00320407" w:rsidRDefault="00EF2C3C" w:rsidP="001C6B19">
      <w:pPr>
        <w:pStyle w:val="NormalWeb"/>
        <w:spacing w:before="0" w:beforeAutospacing="0" w:after="0" w:afterAutospacing="0" w:line="276" w:lineRule="auto"/>
        <w:ind w:right="51"/>
        <w:contextualSpacing/>
        <w:jc w:val="both"/>
        <w:rPr>
          <w:rFonts w:ascii="Arial" w:eastAsia="Calibri" w:hAnsi="Arial" w:cs="Arial"/>
          <w:b/>
          <w:sz w:val="22"/>
          <w:szCs w:val="22"/>
        </w:rPr>
      </w:pPr>
    </w:p>
    <w:p w14:paraId="78B7283F" w14:textId="77777777" w:rsidR="00FA3673" w:rsidRPr="00320407" w:rsidRDefault="00FA3673" w:rsidP="00FA3673">
      <w:pPr>
        <w:spacing w:line="276" w:lineRule="auto"/>
        <w:jc w:val="both"/>
        <w:rPr>
          <w:rFonts w:ascii="Arial" w:hAnsi="Arial" w:cs="Arial"/>
          <w:sz w:val="22"/>
          <w:szCs w:val="22"/>
          <w:lang w:val="es-ES"/>
        </w:rPr>
      </w:pPr>
      <w:r w:rsidRPr="00320407">
        <w:rPr>
          <w:rFonts w:ascii="Arial" w:hAnsi="Arial" w:cs="Arial"/>
          <w:bCs/>
          <w:sz w:val="22"/>
          <w:szCs w:val="22"/>
        </w:rPr>
        <w:t xml:space="preserve">En ejercicio de las competencias establecidas en los artículos 3.5 y 11.8 del Decreto 4170 de 2011, la Agencia Nacional de Contratación Pública – Colombia Compra Eficiente resuelve consultas sobre </w:t>
      </w:r>
      <w:r w:rsidRPr="00320407">
        <w:rPr>
          <w:rFonts w:ascii="Arial" w:hAnsi="Arial" w:cs="Arial"/>
          <w:sz w:val="22"/>
          <w:szCs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320407">
        <w:rPr>
          <w:rFonts w:ascii="Arial" w:hAnsi="Arial" w:cs="Arial"/>
          <w:bCs/>
          <w:sz w:val="22"/>
          <w:szCs w:val="22"/>
        </w:rPr>
        <w:t xml:space="preserve"> de todos los partícipes de la contratación estatal ni para interpretar el alcance de cualquier norma vigente en el ordenamiento jurídico.</w:t>
      </w:r>
    </w:p>
    <w:p w14:paraId="258FE2EA" w14:textId="77777777" w:rsidR="00FA3673" w:rsidRPr="00320407" w:rsidRDefault="00FA3673" w:rsidP="00FA3673">
      <w:pPr>
        <w:spacing w:before="120" w:line="276" w:lineRule="auto"/>
        <w:ind w:firstLine="708"/>
        <w:jc w:val="both"/>
        <w:rPr>
          <w:rFonts w:ascii="Arial" w:hAnsi="Arial" w:cs="Arial"/>
          <w:sz w:val="22"/>
          <w:szCs w:val="22"/>
          <w:lang w:val="es-ES"/>
        </w:rPr>
      </w:pPr>
      <w:r w:rsidRPr="00320407">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20407">
        <w:rPr>
          <w:rFonts w:ascii="Arial" w:hAnsi="Arial" w:cs="Arial"/>
          <w:sz w:val="22"/>
          <w:szCs w:val="22"/>
          <w:vertAlign w:val="superscript"/>
          <w:lang w:val="es-ES"/>
        </w:rPr>
        <w:footnoteReference w:id="1"/>
      </w:r>
      <w:r w:rsidRPr="00320407">
        <w:rPr>
          <w:rFonts w:ascii="Arial" w:hAnsi="Arial" w:cs="Arial"/>
          <w:sz w:val="22"/>
          <w:szCs w:val="22"/>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1C00DF63" w14:textId="77777777" w:rsidR="00FA3673" w:rsidRPr="00320407" w:rsidRDefault="00FA3673" w:rsidP="00FA3673">
      <w:pPr>
        <w:spacing w:before="120" w:line="276" w:lineRule="auto"/>
        <w:ind w:firstLine="708"/>
        <w:jc w:val="both"/>
        <w:rPr>
          <w:rFonts w:ascii="Arial" w:hAnsi="Arial" w:cs="Arial"/>
          <w:sz w:val="22"/>
          <w:szCs w:val="22"/>
          <w:lang w:val="es-ES"/>
        </w:rPr>
      </w:pPr>
      <w:r w:rsidRPr="00320407">
        <w:rPr>
          <w:rFonts w:ascii="Arial" w:hAnsi="Arial" w:cs="Arial"/>
          <w:sz w:val="22"/>
          <w:szCs w:val="22"/>
          <w:lang w:val="es-ES"/>
        </w:rPr>
        <w:t>En este contexto, l</w:t>
      </w:r>
      <w:r w:rsidRPr="00320407">
        <w:rPr>
          <w:rFonts w:ascii="Arial" w:hAnsi="Arial" w:cs="Arial"/>
          <w:color w:val="000000" w:themeColor="text1"/>
          <w:sz w:val="22"/>
          <w:szCs w:val="22"/>
          <w:lang w:val="es-ES"/>
        </w:rPr>
        <w:t xml:space="preserve">a Subdirección –dentro de los límites de sus atribuciones, esto es, </w:t>
      </w:r>
      <w:bookmarkStart w:id="0" w:name="_Hlk61025408"/>
      <w:r w:rsidRPr="00320407">
        <w:rPr>
          <w:rFonts w:ascii="Arial" w:hAnsi="Arial" w:cs="Arial"/>
          <w:color w:val="000000" w:themeColor="text1"/>
          <w:sz w:val="22"/>
          <w:szCs w:val="22"/>
          <w:lang w:val="es-ES"/>
        </w:rPr>
        <w:t>haciendo abstracción del caso particular expuesto por el peticionario</w:t>
      </w:r>
      <w:bookmarkEnd w:id="0"/>
      <w:r w:rsidRPr="00320407">
        <w:rPr>
          <w:rFonts w:ascii="Arial" w:hAnsi="Arial" w:cs="Arial"/>
          <w:color w:val="000000" w:themeColor="text1"/>
          <w:sz w:val="22"/>
          <w:szCs w:val="22"/>
          <w:lang w:val="es-ES"/>
        </w:rPr>
        <w:t>– resolverá la consulta conforme a las normas generales en materia de contratación estatal</w:t>
      </w:r>
      <w:r w:rsidRPr="00320407">
        <w:rPr>
          <w:rFonts w:ascii="Arial" w:hAnsi="Arial" w:cs="Arial"/>
          <w:bCs/>
          <w:color w:val="000000" w:themeColor="text1"/>
          <w:sz w:val="22"/>
          <w:szCs w:val="22"/>
          <w:lang w:val="es-ES"/>
        </w:rPr>
        <w:t xml:space="preserve">. </w:t>
      </w:r>
      <w:r w:rsidRPr="00320407">
        <w:rPr>
          <w:rFonts w:ascii="Arial" w:hAnsi="Arial" w:cs="Arial"/>
          <w:bCs/>
          <w:color w:val="000000" w:themeColor="text1"/>
          <w:sz w:val="22"/>
          <w:szCs w:val="22"/>
        </w:rPr>
        <w:t xml:space="preserve">Para estos efectos, </w:t>
      </w:r>
      <w:r w:rsidRPr="00320407">
        <w:rPr>
          <w:rFonts w:ascii="Arial" w:hAnsi="Arial" w:cs="Arial"/>
          <w:bCs/>
          <w:color w:val="000000" w:themeColor="text1"/>
          <w:sz w:val="22"/>
          <w:szCs w:val="22"/>
          <w:lang w:val="es-ES"/>
        </w:rPr>
        <w:t>se analizarán los fundamentos normativos de los documentos tipo y la reforma estatutaria de la transformación de la sociedad comercial.</w:t>
      </w:r>
    </w:p>
    <w:p w14:paraId="68868B2A" w14:textId="77777777" w:rsidR="00FA3673" w:rsidRPr="00320407" w:rsidRDefault="00FA3673" w:rsidP="00FA3673">
      <w:pPr>
        <w:spacing w:before="120" w:line="276" w:lineRule="auto"/>
        <w:ind w:firstLine="708"/>
        <w:jc w:val="both"/>
        <w:rPr>
          <w:rFonts w:ascii="Arial" w:hAnsi="Arial" w:cs="Arial"/>
          <w:sz w:val="22"/>
          <w:szCs w:val="22"/>
          <w:lang w:val="es-ES"/>
        </w:rPr>
      </w:pPr>
      <w:r w:rsidRPr="00320407">
        <w:rPr>
          <w:rFonts w:ascii="Arial" w:hAnsi="Arial" w:cs="Arial"/>
          <w:sz w:val="22"/>
          <w:szCs w:val="22"/>
          <w:lang w:eastAsia="es-ES_tradnl"/>
        </w:rPr>
        <w:t xml:space="preserve">La Agencia Nacional de Contratación Pública – Colombia Compra Eficiente se pronunció sobre la definición y el alcance de los documentos tipo en las siguientes consultas </w:t>
      </w:r>
      <w:r w:rsidRPr="00320407">
        <w:rPr>
          <w:rFonts w:ascii="Arial" w:hAnsi="Arial" w:cs="Arial"/>
          <w:color w:val="000000"/>
          <w:sz w:val="22"/>
          <w:szCs w:val="22"/>
          <w:shd w:val="clear" w:color="auto" w:fill="FFFFFF"/>
          <w:lang w:eastAsia="es-ES_tradnl"/>
        </w:rPr>
        <w:lastRenderedPageBreak/>
        <w:t>C-144 del 2 de marzo de 2020, C-143 del 18 de marzo de 2020, C-286 del 26 de mayo de 2020, C-450 del 3 de agosto de 2020, C-643 del 26 de octubre de 2020,</w:t>
      </w:r>
      <w:r w:rsidRPr="00320407">
        <w:rPr>
          <w:rFonts w:ascii="Arial" w:hAnsi="Arial" w:cs="Arial"/>
          <w:sz w:val="22"/>
          <w:szCs w:val="22"/>
          <w:lang w:eastAsia="es-ES_tradnl"/>
        </w:rPr>
        <w:t xml:space="preserve"> C-773 del 14 de enero de 2021, C-789 del 19 de enero de 2021,</w:t>
      </w:r>
      <w:r w:rsidRPr="00320407">
        <w:rPr>
          <w:rFonts w:ascii="Arial" w:hAnsi="Arial" w:cs="Arial"/>
          <w:color w:val="000000"/>
          <w:sz w:val="22"/>
          <w:szCs w:val="22"/>
          <w:shd w:val="clear" w:color="auto" w:fill="FFFFFF"/>
          <w:lang w:eastAsia="es-ES_tradnl"/>
        </w:rPr>
        <w:t xml:space="preserve"> C-064 del 8 de marzo de 2021 y C-157 del 13 de abril del 2021, C-244 del 4 de mayo de 2021, C-224 del 20 de mayo de 2020, C-233 del 24 de mayo de 2021, C-251 del 2 de junio de 2021 y C-273 del 11 de junio de 2021</w:t>
      </w:r>
      <w:r w:rsidRPr="00320407">
        <w:rPr>
          <w:rStyle w:val="Refdenotaalpie"/>
          <w:rFonts w:ascii="Arial" w:hAnsi="Arial" w:cs="Arial"/>
          <w:color w:val="000000"/>
          <w:sz w:val="22"/>
          <w:szCs w:val="22"/>
          <w:shd w:val="clear" w:color="auto" w:fill="FFFFFF"/>
          <w:lang w:eastAsia="es-ES_tradnl"/>
        </w:rPr>
        <w:footnoteReference w:id="2"/>
      </w:r>
      <w:r w:rsidRPr="00320407">
        <w:rPr>
          <w:rFonts w:ascii="Arial" w:hAnsi="Arial" w:cs="Arial"/>
          <w:color w:val="000000"/>
          <w:sz w:val="22"/>
          <w:szCs w:val="22"/>
          <w:shd w:val="clear" w:color="auto" w:fill="FFFFFF"/>
          <w:lang w:eastAsia="es-ES_tradnl"/>
        </w:rPr>
        <w:t xml:space="preserve">. </w:t>
      </w:r>
      <w:r w:rsidRPr="00320407">
        <w:rPr>
          <w:rFonts w:ascii="Arial" w:hAnsi="Arial" w:cs="Arial"/>
          <w:sz w:val="22"/>
          <w:szCs w:val="22"/>
          <w:lang w:eastAsia="es-ES_tradnl"/>
        </w:rPr>
        <w:t xml:space="preserve">Las tesis desarrolladas en estos conceptos se reiteran a continuación </w:t>
      </w:r>
      <w:r w:rsidRPr="00320407">
        <w:rPr>
          <w:rFonts w:ascii="Arial" w:hAnsi="Arial" w:cs="Arial"/>
          <w:bCs/>
          <w:color w:val="000000" w:themeColor="text1"/>
          <w:sz w:val="22"/>
          <w:szCs w:val="22"/>
          <w:lang w:val="es-MX" w:eastAsia="es-ES_tradnl"/>
        </w:rPr>
        <w:t xml:space="preserve">y se complementan en lo pertinente. </w:t>
      </w:r>
    </w:p>
    <w:p w14:paraId="0C95BEED" w14:textId="77777777" w:rsidR="00FA3673" w:rsidRPr="00320407" w:rsidRDefault="00FA3673" w:rsidP="00FA3673">
      <w:pPr>
        <w:spacing w:before="120" w:line="276" w:lineRule="auto"/>
        <w:ind w:firstLine="709"/>
        <w:jc w:val="both"/>
        <w:rPr>
          <w:rFonts w:ascii="Arial" w:hAnsi="Arial" w:cs="Arial"/>
          <w:sz w:val="22"/>
          <w:szCs w:val="22"/>
          <w:lang w:val="es-ES"/>
        </w:rPr>
      </w:pPr>
      <w:r w:rsidRPr="00320407">
        <w:rPr>
          <w:rFonts w:ascii="Arial" w:hAnsi="Arial" w:cs="Arial"/>
          <w:sz w:val="22"/>
          <w:szCs w:val="22"/>
          <w:lang w:eastAsia="es-ES_tradnl"/>
        </w:rPr>
        <w:t>La adopción de los documentos tipo obligatorios en el ordenamiento jurídico colombiano se incluyó por primera vez en el parágrafo 3 del artículo 2 de la Ley 1150 de 2007</w:t>
      </w:r>
      <w:r w:rsidRPr="00320407">
        <w:rPr>
          <w:rFonts w:ascii="Arial" w:hAnsi="Arial" w:cs="Arial"/>
          <w:sz w:val="22"/>
          <w:szCs w:val="22"/>
          <w:vertAlign w:val="superscript"/>
          <w:lang w:eastAsia="es-ES_tradnl"/>
        </w:rPr>
        <w:footnoteReference w:id="3"/>
      </w:r>
      <w:r w:rsidRPr="00320407">
        <w:rPr>
          <w:rFonts w:ascii="Arial" w:hAnsi="Arial" w:cs="Arial"/>
          <w:sz w:val="22"/>
          <w:szCs w:val="22"/>
          <w:lang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67CA3674" w14:textId="77777777" w:rsidR="00FA3673" w:rsidRPr="00320407" w:rsidRDefault="00FA3673" w:rsidP="00FA3673">
      <w:pPr>
        <w:spacing w:before="120" w:line="276" w:lineRule="auto"/>
        <w:ind w:firstLine="709"/>
        <w:jc w:val="both"/>
        <w:rPr>
          <w:rFonts w:ascii="Arial" w:hAnsi="Arial" w:cs="Arial"/>
          <w:sz w:val="22"/>
          <w:szCs w:val="22"/>
          <w:lang w:val="es-ES"/>
        </w:rPr>
      </w:pPr>
      <w:r w:rsidRPr="00320407">
        <w:rPr>
          <w:rFonts w:ascii="Arial" w:hAnsi="Arial" w:cs="Arial"/>
          <w:sz w:val="22"/>
          <w:szCs w:val="22"/>
          <w:lang w:eastAsia="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5397EE5C" w14:textId="77777777" w:rsidR="00FA3673" w:rsidRPr="00320407" w:rsidRDefault="00FA3673" w:rsidP="00FA3673">
      <w:pPr>
        <w:spacing w:before="120" w:after="120" w:line="276" w:lineRule="auto"/>
        <w:ind w:firstLine="708"/>
        <w:jc w:val="both"/>
        <w:rPr>
          <w:rFonts w:ascii="Arial" w:hAnsi="Arial" w:cs="Arial"/>
          <w:sz w:val="22"/>
          <w:szCs w:val="22"/>
          <w:lang w:eastAsia="es-ES_tradnl"/>
        </w:rPr>
      </w:pPr>
      <w:r w:rsidRPr="00320407">
        <w:rPr>
          <w:rFonts w:ascii="Arial" w:hAnsi="Arial" w:cs="Arial"/>
          <w:sz w:val="22"/>
          <w:szCs w:val="22"/>
          <w:lang w:eastAsia="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320407">
        <w:rPr>
          <w:rFonts w:ascii="Arial" w:hAnsi="Arial" w:cs="Arial"/>
          <w:sz w:val="22"/>
          <w:szCs w:val="22"/>
          <w:vertAlign w:val="superscript"/>
          <w:lang w:eastAsia="es-ES_tradnl"/>
        </w:rPr>
        <w:footnoteReference w:id="4"/>
      </w:r>
      <w:r w:rsidRPr="00320407">
        <w:rPr>
          <w:rFonts w:ascii="Arial" w:hAnsi="Arial" w:cs="Arial"/>
          <w:sz w:val="22"/>
          <w:szCs w:val="22"/>
          <w:lang w:eastAsia="es-ES_tradnl"/>
        </w:rPr>
        <w:t>.</w:t>
      </w:r>
    </w:p>
    <w:p w14:paraId="06A020AF" w14:textId="77777777" w:rsidR="00FA3673" w:rsidRPr="00320407" w:rsidRDefault="00FA3673" w:rsidP="00FA3673">
      <w:pPr>
        <w:spacing w:before="120" w:after="120" w:line="276" w:lineRule="auto"/>
        <w:jc w:val="both"/>
        <w:rPr>
          <w:rFonts w:ascii="Arial" w:hAnsi="Arial" w:cs="Arial"/>
          <w:sz w:val="22"/>
          <w:szCs w:val="22"/>
          <w:lang w:eastAsia="es-ES_tradnl"/>
        </w:rPr>
      </w:pPr>
      <w:r w:rsidRPr="00320407">
        <w:rPr>
          <w:rFonts w:ascii="Arial" w:hAnsi="Arial" w:cs="Arial"/>
          <w:sz w:val="22"/>
          <w:szCs w:val="22"/>
          <w:lang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8128435" w14:textId="77777777" w:rsidR="00FA3673" w:rsidRPr="00320407" w:rsidRDefault="00FA3673" w:rsidP="00FA3673">
      <w:pPr>
        <w:spacing w:before="120" w:after="120" w:line="276" w:lineRule="auto"/>
        <w:jc w:val="both"/>
        <w:rPr>
          <w:rFonts w:ascii="Arial" w:hAnsi="Arial" w:cs="Arial"/>
          <w:sz w:val="22"/>
          <w:szCs w:val="22"/>
          <w:lang w:eastAsia="es-ES_tradnl"/>
        </w:rPr>
      </w:pPr>
      <w:r w:rsidRPr="00320407">
        <w:rPr>
          <w:rFonts w:ascii="Arial" w:hAnsi="Arial" w:cs="Arial"/>
          <w:sz w:val="22"/>
          <w:szCs w:val="22"/>
          <w:lang w:eastAsia="es-ES_tradnl"/>
        </w:rPr>
        <w:tab/>
        <w:t xml:space="preserve">De la norma descrita se concluía lo siguiente: i) la adopción de los documentos tipo estaba en cabeza del Gobierno Nacional. </w:t>
      </w:r>
      <w:proofErr w:type="spellStart"/>
      <w:r w:rsidRPr="00320407">
        <w:rPr>
          <w:rFonts w:ascii="Arial" w:hAnsi="Arial" w:cs="Arial"/>
          <w:sz w:val="22"/>
          <w:szCs w:val="22"/>
          <w:lang w:eastAsia="es-ES_tradnl"/>
        </w:rPr>
        <w:t>ii</w:t>
      </w:r>
      <w:proofErr w:type="spellEnd"/>
      <w:r w:rsidRPr="00320407">
        <w:rPr>
          <w:rFonts w:ascii="Arial" w:hAnsi="Arial" w:cs="Arial"/>
          <w:sz w:val="22"/>
          <w:szCs w:val="22"/>
          <w:lang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320407">
        <w:rPr>
          <w:rFonts w:ascii="Arial" w:hAnsi="Arial" w:cs="Arial"/>
          <w:sz w:val="22"/>
          <w:szCs w:val="22"/>
          <w:lang w:eastAsia="es-ES_tradnl"/>
        </w:rPr>
        <w:t>iii</w:t>
      </w:r>
      <w:proofErr w:type="spellEnd"/>
      <w:r w:rsidRPr="00320407">
        <w:rPr>
          <w:rFonts w:ascii="Arial" w:hAnsi="Arial" w:cs="Arial"/>
          <w:sz w:val="22"/>
          <w:szCs w:val="22"/>
          <w:lang w:eastAsia="es-ES_tradnl"/>
        </w:rPr>
        <w:t xml:space="preserve">) Eran de obligatorio cumplimiento por parte de todas las entidades sometidas al Estatuto General de Contratación de la Administración Pública. </w:t>
      </w:r>
      <w:proofErr w:type="spellStart"/>
      <w:r w:rsidRPr="00320407">
        <w:rPr>
          <w:rFonts w:ascii="Arial" w:hAnsi="Arial" w:cs="Arial"/>
          <w:sz w:val="22"/>
          <w:szCs w:val="22"/>
          <w:lang w:eastAsia="es-ES_tradnl"/>
        </w:rPr>
        <w:t>iv</w:t>
      </w:r>
      <w:proofErr w:type="spellEnd"/>
      <w:r w:rsidRPr="00320407">
        <w:rPr>
          <w:rFonts w:ascii="Arial" w:hAnsi="Arial" w:cs="Arial"/>
          <w:sz w:val="22"/>
          <w:szCs w:val="22"/>
          <w:lang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0966CCA9" w14:textId="77777777" w:rsidR="00FA3673" w:rsidRPr="00320407" w:rsidRDefault="00FA3673" w:rsidP="00FA3673">
      <w:pPr>
        <w:spacing w:before="120" w:after="120" w:line="276" w:lineRule="auto"/>
        <w:jc w:val="both"/>
        <w:rPr>
          <w:rFonts w:ascii="Arial" w:hAnsi="Arial" w:cs="Arial"/>
          <w:sz w:val="22"/>
          <w:szCs w:val="22"/>
          <w:lang w:eastAsia="es-ES_tradnl"/>
        </w:rPr>
      </w:pPr>
      <w:r w:rsidRPr="00320407">
        <w:rPr>
          <w:rFonts w:ascii="Arial" w:hAnsi="Arial" w:cs="Arial"/>
          <w:sz w:val="22"/>
          <w:szCs w:val="22"/>
          <w:lang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1" w:name="_Hlk48665985"/>
      <w:r w:rsidRPr="00320407">
        <w:rPr>
          <w:rFonts w:ascii="Arial" w:hAnsi="Arial" w:cs="Arial"/>
          <w:sz w:val="22"/>
          <w:szCs w:val="22"/>
          <w:lang w:eastAsia="es-ES_tradnl"/>
        </w:rPr>
        <w:t>y los criterios de escogencia, elementos propios del procedimiento de selección del contratista, materia en la que existe reserva de ley y que no se encuentra atribuida a la regulación de las entidades territoriales</w:t>
      </w:r>
      <w:bookmarkEnd w:id="1"/>
      <w:r w:rsidRPr="00320407">
        <w:rPr>
          <w:rFonts w:ascii="Arial" w:hAnsi="Arial" w:cs="Arial"/>
          <w:sz w:val="22"/>
          <w:szCs w:val="22"/>
          <w:lang w:eastAsia="es-ES_tradnl"/>
        </w:rPr>
        <w:t xml:space="preserve">. De igual manera, se establece que </w:t>
      </w:r>
      <w:r w:rsidRPr="00320407">
        <w:rPr>
          <w:rFonts w:ascii="Arial" w:hAnsi="Arial" w:cs="Arial"/>
          <w:sz w:val="22"/>
          <w:szCs w:val="22"/>
          <w:lang w:eastAsia="es-ES_tradnl"/>
        </w:rPr>
        <w:lastRenderedPageBreak/>
        <w:t>esta autonomía se garantiza con la identificación autónoma de sus necesidades y la configuración de los elementos del contrato</w:t>
      </w:r>
      <w:r w:rsidRPr="00320407">
        <w:rPr>
          <w:rFonts w:ascii="Arial" w:hAnsi="Arial" w:cs="Arial"/>
          <w:sz w:val="22"/>
          <w:szCs w:val="22"/>
          <w:vertAlign w:val="superscript"/>
          <w:lang w:eastAsia="es-ES_tradnl"/>
        </w:rPr>
        <w:footnoteReference w:id="5"/>
      </w:r>
      <w:r w:rsidRPr="00320407">
        <w:rPr>
          <w:rFonts w:ascii="Arial" w:hAnsi="Arial" w:cs="Arial"/>
          <w:sz w:val="22"/>
          <w:szCs w:val="22"/>
          <w:lang w:eastAsia="es-ES_tradnl"/>
        </w:rPr>
        <w:t>.</w:t>
      </w:r>
    </w:p>
    <w:p w14:paraId="47C615FC" w14:textId="77777777" w:rsidR="00FA3673" w:rsidRPr="00320407" w:rsidRDefault="00FA3673" w:rsidP="00FA3673">
      <w:pPr>
        <w:spacing w:before="120" w:after="120" w:line="276" w:lineRule="auto"/>
        <w:jc w:val="both"/>
        <w:rPr>
          <w:rFonts w:ascii="Arial" w:hAnsi="Arial" w:cs="Arial"/>
          <w:sz w:val="22"/>
          <w:szCs w:val="22"/>
          <w:lang w:eastAsia="es-ES_tradnl"/>
        </w:rPr>
      </w:pPr>
      <w:r w:rsidRPr="00320407">
        <w:rPr>
          <w:rFonts w:ascii="Arial" w:hAnsi="Arial" w:cs="Arial"/>
          <w:sz w:val="22"/>
          <w:szCs w:val="22"/>
          <w:lang w:eastAsia="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15462CEE" w14:textId="77777777" w:rsidR="00FA3673" w:rsidRPr="00320407" w:rsidRDefault="00FA3673" w:rsidP="00FA3673">
      <w:pPr>
        <w:spacing w:before="120" w:after="120" w:line="276" w:lineRule="auto"/>
        <w:jc w:val="both"/>
        <w:rPr>
          <w:rFonts w:ascii="Arial" w:hAnsi="Arial" w:cs="Arial"/>
          <w:sz w:val="22"/>
          <w:szCs w:val="22"/>
        </w:rPr>
      </w:pPr>
      <w:r w:rsidRPr="00320407">
        <w:rPr>
          <w:rFonts w:ascii="Arial" w:hAnsi="Arial" w:cs="Arial"/>
          <w:sz w:val="22"/>
          <w:szCs w:val="22"/>
          <w:lang w:eastAsia="es-ES_tradnl"/>
        </w:rPr>
        <w:tab/>
      </w:r>
      <w:r w:rsidRPr="00320407">
        <w:rPr>
          <w:rFonts w:ascii="Arial" w:hAnsi="Arial" w:cs="Arial"/>
          <w:sz w:val="22"/>
          <w:szCs w:val="22"/>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40366BC5" w14:textId="77777777" w:rsidR="00FA3673" w:rsidRPr="00320407" w:rsidRDefault="00FA3673" w:rsidP="00FA3673">
      <w:pPr>
        <w:spacing w:before="120" w:after="120" w:line="276" w:lineRule="auto"/>
        <w:ind w:firstLine="708"/>
        <w:jc w:val="both"/>
        <w:rPr>
          <w:rFonts w:ascii="Arial" w:hAnsi="Arial" w:cs="Arial"/>
          <w:sz w:val="22"/>
          <w:szCs w:val="22"/>
          <w:lang w:eastAsia="es-ES_tradnl"/>
        </w:rPr>
      </w:pPr>
      <w:r w:rsidRPr="00320407">
        <w:rPr>
          <w:rFonts w:ascii="Arial" w:hAnsi="Arial" w:cs="Arial"/>
          <w:sz w:val="22"/>
          <w:szCs w:val="22"/>
        </w:rPr>
        <w:t>Finalmente, se profirió el Decreto 594 de 2020, frente a los documentos tipo para los contratos de obra pública</w:t>
      </w:r>
      <w:r w:rsidRPr="00320407" w:rsidDel="00A434AB">
        <w:rPr>
          <w:rFonts w:ascii="Arial" w:hAnsi="Arial" w:cs="Arial"/>
          <w:sz w:val="22"/>
          <w:szCs w:val="22"/>
        </w:rPr>
        <w:t xml:space="preserve"> </w:t>
      </w:r>
      <w:r w:rsidRPr="00320407">
        <w:rPr>
          <w:rFonts w:ascii="Arial" w:hAnsi="Arial" w:cs="Arial"/>
          <w:sz w:val="22"/>
          <w:szCs w:val="22"/>
        </w:rPr>
        <w:t xml:space="preserve">de infraestructura de transporte que se surtieran por la modalidad de mínima cuantía. Estos documentos fueron implementados y desarrollados por la Agencia Nacional de Contratación Pública </w:t>
      </w:r>
      <w:bookmarkStart w:id="2" w:name="_Hlk37841850"/>
      <w:r w:rsidRPr="00320407">
        <w:rPr>
          <w:rFonts w:ascii="Arial" w:hAnsi="Arial" w:cs="Arial"/>
          <w:sz w:val="22"/>
          <w:szCs w:val="22"/>
        </w:rPr>
        <w:t xml:space="preserve">– Colombia Compra Eficiente, </w:t>
      </w:r>
      <w:bookmarkEnd w:id="2"/>
      <w:r w:rsidRPr="00320407">
        <w:rPr>
          <w:rFonts w:ascii="Arial" w:hAnsi="Arial" w:cs="Arial"/>
          <w:sz w:val="22"/>
          <w:szCs w:val="22"/>
        </w:rPr>
        <w:t>por medio de la Resolución 1798 de 2019 –derogada por la Resolución 045 de 2020–, la Resolución 044 de 2020 y la Resolución 094 de 2020.</w:t>
      </w:r>
    </w:p>
    <w:p w14:paraId="02D13F15" w14:textId="77777777" w:rsidR="00FA3673" w:rsidRPr="00320407" w:rsidRDefault="00FA3673" w:rsidP="00FA3673">
      <w:pPr>
        <w:spacing w:before="120" w:line="276" w:lineRule="auto"/>
        <w:ind w:firstLine="709"/>
        <w:jc w:val="both"/>
        <w:rPr>
          <w:rFonts w:ascii="Arial" w:hAnsi="Arial" w:cs="Arial"/>
          <w:sz w:val="22"/>
          <w:szCs w:val="22"/>
          <w:lang w:eastAsia="es-ES"/>
        </w:rPr>
      </w:pPr>
      <w:r w:rsidRPr="00320407">
        <w:rPr>
          <w:rFonts w:ascii="Arial" w:hAnsi="Arial" w:cs="Arial"/>
          <w:sz w:val="22"/>
          <w:szCs w:val="22"/>
          <w:lang w:eastAsia="es-ES"/>
        </w:rPr>
        <w:lastRenderedPageBreak/>
        <w:t>Con posterioridad a la adopción de los anteriores documentos tipo, se expidió la Ley 2022 de 2020, norma que modificó el parágrafo 7 del artículo 2 de la Ley 1150 de 2007, que había sido adicionado por la Ley 1882 de 2018</w:t>
      </w:r>
      <w:r w:rsidRPr="00320407">
        <w:rPr>
          <w:rFonts w:ascii="Arial" w:hAnsi="Arial" w:cs="Arial"/>
          <w:color w:val="000000"/>
          <w:sz w:val="22"/>
          <w:szCs w:val="22"/>
          <w:vertAlign w:val="superscript"/>
          <w:lang w:eastAsia="es-ES"/>
        </w:rPr>
        <w:footnoteReference w:id="6"/>
      </w:r>
      <w:r w:rsidRPr="00320407">
        <w:rPr>
          <w:rFonts w:ascii="Arial" w:hAnsi="Arial" w:cs="Arial"/>
          <w:sz w:val="22"/>
          <w:szCs w:val="22"/>
          <w:lang w:eastAsia="es-ES"/>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320407">
        <w:rPr>
          <w:rFonts w:ascii="Arial" w:hAnsi="Arial" w:cs="Arial"/>
          <w:sz w:val="22"/>
          <w:szCs w:val="22"/>
        </w:rPr>
        <w:t xml:space="preserve">Agencia Nacional de Contratación Pública – Colombia Compra Eficiente la competencia para su adopción. </w:t>
      </w:r>
      <w:r w:rsidRPr="00320407">
        <w:rPr>
          <w:rFonts w:ascii="Arial" w:hAnsi="Arial" w:cs="Arial"/>
          <w:sz w:val="22"/>
          <w:szCs w:val="22"/>
          <w:lang w:eastAsia="es-ES"/>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306DCC4A" w14:textId="77777777" w:rsidR="00FA3673" w:rsidRPr="00320407" w:rsidRDefault="00FA3673" w:rsidP="00FA3673">
      <w:pPr>
        <w:spacing w:before="120" w:line="276" w:lineRule="auto"/>
        <w:ind w:firstLine="709"/>
        <w:jc w:val="both"/>
        <w:rPr>
          <w:rFonts w:ascii="Arial" w:hAnsi="Arial" w:cs="Arial"/>
          <w:sz w:val="22"/>
          <w:szCs w:val="22"/>
          <w:lang w:eastAsia="es-ES"/>
        </w:rPr>
      </w:pPr>
      <w:r w:rsidRPr="00320407">
        <w:rPr>
          <w:rFonts w:ascii="Arial" w:hAnsi="Arial" w:cs="Arial"/>
          <w:sz w:val="22"/>
          <w:szCs w:val="22"/>
          <w:lang w:eastAsia="es-ES"/>
        </w:rPr>
        <w:lastRenderedPageBreak/>
        <w:t>De igual manera, se expidió la Resolución 241 de 2020, «Por la cual se actualizan los Documentos Tipo para los procesos de selección abreviada de menor cuantía de obra pública de infraestructura de transporte y se deroga la Resolución 0044 de 2020».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 Adicionalmente, se expidió la Resolución 236 de 2022, «Por la cual se actualizan los documentos tipo para los procesos de selección de concursos de méritos, para contratar la interventoría de obras públicas de infraestructura de transporte y se deroga la Resolución 256 de 2020».</w:t>
      </w:r>
    </w:p>
    <w:p w14:paraId="7F430D8B" w14:textId="77777777" w:rsidR="00FA3673" w:rsidRPr="00320407" w:rsidRDefault="00FA3673" w:rsidP="00FA3673">
      <w:pPr>
        <w:spacing w:before="120" w:line="276" w:lineRule="auto"/>
        <w:ind w:firstLine="709"/>
        <w:jc w:val="both"/>
        <w:rPr>
          <w:rFonts w:ascii="Arial" w:hAnsi="Arial" w:cs="Arial"/>
          <w:sz w:val="22"/>
          <w:szCs w:val="22"/>
          <w:lang w:eastAsia="es-ES"/>
        </w:rPr>
      </w:pPr>
      <w:r w:rsidRPr="00320407">
        <w:rPr>
          <w:rFonts w:ascii="Arial" w:hAnsi="Arial" w:cs="Arial"/>
          <w:sz w:val="22"/>
          <w:szCs w:val="22"/>
          <w:lang w:eastAsia="es-ES"/>
        </w:rPr>
        <w:t xml:space="preserve">A los actos administrativos mencionados se suman: i) la Resolución 193 de 2021, «Por la cual se adoptan los documentos tipo para los procesos de selección de concurso de méritos, para contratar la consultoría de estudios de ingeniería de infraestructura de transporte», </w:t>
      </w:r>
      <w:proofErr w:type="spellStart"/>
      <w:r w:rsidRPr="00320407">
        <w:rPr>
          <w:rFonts w:ascii="Arial" w:hAnsi="Arial" w:cs="Arial"/>
          <w:sz w:val="22"/>
          <w:szCs w:val="22"/>
          <w:lang w:eastAsia="es-ES"/>
        </w:rPr>
        <w:t>ii</w:t>
      </w:r>
      <w:proofErr w:type="spellEnd"/>
      <w:r w:rsidRPr="00320407">
        <w:rPr>
          <w:rFonts w:ascii="Arial" w:hAnsi="Arial" w:cs="Arial"/>
          <w:sz w:val="22"/>
          <w:szCs w:val="22"/>
          <w:lang w:eastAsia="es-ES"/>
        </w:rPr>
        <w:t xml:space="preserve">) la Resolución 219 de 2020, «Por la cual se adoptan los documentos tipo para los procesos de licitación de obra pública de infraestructura social», </w:t>
      </w:r>
      <w:proofErr w:type="spellStart"/>
      <w:r w:rsidRPr="00320407">
        <w:rPr>
          <w:rFonts w:ascii="Arial" w:hAnsi="Arial" w:cs="Arial"/>
          <w:sz w:val="22"/>
          <w:szCs w:val="22"/>
          <w:lang w:eastAsia="es-ES"/>
        </w:rPr>
        <w:t>iii</w:t>
      </w:r>
      <w:proofErr w:type="spellEnd"/>
      <w:r w:rsidRPr="00320407">
        <w:rPr>
          <w:rFonts w:ascii="Arial" w:hAnsi="Arial" w:cs="Arial"/>
          <w:sz w:val="22"/>
          <w:szCs w:val="22"/>
          <w:lang w:eastAsia="es-ES"/>
        </w:rPr>
        <w:t xml:space="preserve">) la Resolución 220 de 2021, «Por la cual se adoptan los documentos tipo complementarios para los procesos de licitación de obra pública de infraestructura social relacionados con el sector educativo», </w:t>
      </w:r>
      <w:proofErr w:type="spellStart"/>
      <w:r w:rsidRPr="00320407">
        <w:rPr>
          <w:rFonts w:ascii="Arial" w:hAnsi="Arial" w:cs="Arial"/>
          <w:sz w:val="22"/>
          <w:szCs w:val="22"/>
          <w:lang w:eastAsia="es-ES"/>
        </w:rPr>
        <w:t>iv</w:t>
      </w:r>
      <w:proofErr w:type="spellEnd"/>
      <w:r w:rsidRPr="00320407">
        <w:rPr>
          <w:rFonts w:ascii="Arial" w:hAnsi="Arial" w:cs="Arial"/>
          <w:sz w:val="22"/>
          <w:szCs w:val="22"/>
          <w:lang w:eastAsia="es-ES"/>
        </w:rPr>
        <w:t xml:space="preserve">) la Resolución 392 de 2021, «Por la cual se adoptan los documentos tipo complementarios para los procesos de licitación de obra pública de infraestructura social relacionados con el sector salud», y v) la Resolución 454 de 2021, «Por la cual se adoptan los documentos tipo complementarios para los procesos de licitación de obra pública de infraestructura social relacionados con el sector cultura, recreación y deporte». </w:t>
      </w:r>
    </w:p>
    <w:p w14:paraId="4A6B9C75" w14:textId="77777777" w:rsidR="00FA3673" w:rsidRPr="00320407" w:rsidRDefault="00FA3673" w:rsidP="00FA3673">
      <w:pPr>
        <w:spacing w:before="120" w:line="276" w:lineRule="auto"/>
        <w:ind w:firstLine="709"/>
        <w:jc w:val="both"/>
        <w:rPr>
          <w:rFonts w:ascii="Arial" w:hAnsi="Arial" w:cs="Arial"/>
          <w:sz w:val="22"/>
          <w:szCs w:val="22"/>
          <w:lang w:eastAsia="es-ES"/>
        </w:rPr>
      </w:pPr>
      <w:r w:rsidRPr="00320407">
        <w:rPr>
          <w:rFonts w:ascii="Arial" w:hAnsi="Arial" w:cs="Arial"/>
          <w:sz w:val="22"/>
          <w:szCs w:val="22"/>
          <w:lang w:eastAsia="es-ES"/>
        </w:rPr>
        <w:t>Recientemente se expidió la Resolución 333 de 2022 «Por la cual se adoptan los documentos tipo para los procesos de selección de concurso de méritos, para contratar la interventoría de obras públicas de infraestructura de agua potable y saneamiento básico»</w:t>
      </w:r>
    </w:p>
    <w:p w14:paraId="1D5E2439" w14:textId="77777777" w:rsidR="00FA3673" w:rsidRPr="00320407" w:rsidRDefault="00FA3673" w:rsidP="00FA3673">
      <w:pPr>
        <w:spacing w:before="120" w:after="120" w:line="276" w:lineRule="auto"/>
        <w:ind w:firstLine="709"/>
        <w:jc w:val="both"/>
        <w:rPr>
          <w:rFonts w:ascii="Arial" w:hAnsi="Arial" w:cs="Arial"/>
          <w:sz w:val="22"/>
          <w:szCs w:val="22"/>
          <w:lang w:eastAsia="es-ES"/>
        </w:rPr>
      </w:pPr>
      <w:r w:rsidRPr="00320407">
        <w:rPr>
          <w:rFonts w:ascii="Arial" w:hAnsi="Arial" w:cs="Arial"/>
          <w:sz w:val="22"/>
          <w:szCs w:val="22"/>
          <w:lang w:eastAsia="es-ES"/>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3FA071E1" w14:textId="77777777" w:rsidR="00FA3673" w:rsidRPr="00320407" w:rsidRDefault="00FA3673" w:rsidP="00FA3673">
      <w:pPr>
        <w:spacing w:before="120" w:line="276" w:lineRule="auto"/>
        <w:ind w:firstLine="709"/>
        <w:jc w:val="both"/>
        <w:rPr>
          <w:rFonts w:ascii="Arial" w:hAnsi="Arial" w:cs="Arial"/>
          <w:sz w:val="22"/>
          <w:szCs w:val="22"/>
        </w:rPr>
      </w:pPr>
      <w:r w:rsidRPr="00320407">
        <w:rPr>
          <w:rFonts w:ascii="Arial" w:hAnsi="Arial" w:cs="Arial"/>
          <w:sz w:val="22"/>
          <w:szCs w:val="22"/>
        </w:rPr>
        <w:lastRenderedPageBreak/>
        <w:t>En relación con los documentos tipo propiamente dichos, las resoluciones que los adopta contemplan el documento base o pliego tipo, junto con los correspondientes anexos, formatos, matrices y formularios. Los anexos están compuestos por el anexo técnico, cronograma, glosario, pacto de transparencia y minuta del contrato. Los formatos contienen la carta de presentación de la oferta, conformación de proponente plural, experiencia, capacidad financiera y organizacional para extranjeros, capacidad residual, pagos de seguridad social y aportes legales, factor de calidad, vinculación de personas con discapacidad y puntaje de industria nacional. Las matrices están compuestas por la experiencia, indicadores financieros y organizacionales y riesgos. Finalmente, en los formularios se encuentra el formulario de presupuesto oficial.</w:t>
      </w:r>
      <w:r w:rsidRPr="00320407">
        <w:rPr>
          <w:rFonts w:ascii="Arial" w:hAnsi="Arial" w:cs="Arial"/>
          <w:sz w:val="22"/>
          <w:szCs w:val="22"/>
          <w:lang w:val="es-MX"/>
        </w:rPr>
        <w:t xml:space="preserve"> El proponente debe diligenciar los formatos y formularios que correspondan y los espacios en blanco deberán completarse con la información solicitada.</w:t>
      </w:r>
    </w:p>
    <w:p w14:paraId="093D900B" w14:textId="77777777" w:rsidR="00FA3673" w:rsidRPr="00320407" w:rsidRDefault="00FA3673" w:rsidP="00FA3673">
      <w:pPr>
        <w:spacing w:before="120" w:line="276" w:lineRule="auto"/>
        <w:ind w:firstLine="709"/>
        <w:jc w:val="both"/>
        <w:rPr>
          <w:rFonts w:ascii="Arial" w:hAnsi="Arial" w:cs="Arial"/>
          <w:sz w:val="22"/>
          <w:szCs w:val="22"/>
          <w:lang w:val="es-ES"/>
        </w:rPr>
      </w:pPr>
      <w:r w:rsidRPr="00320407">
        <w:rPr>
          <w:rFonts w:ascii="Arial" w:hAnsi="Arial" w:cs="Arial"/>
          <w:sz w:val="22"/>
          <w:szCs w:val="22"/>
          <w:lang w:val="es-ES"/>
        </w:rPr>
        <w:t>En el documento base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 estatal.</w:t>
      </w:r>
    </w:p>
    <w:p w14:paraId="19CBBE88" w14:textId="77777777" w:rsidR="00FA3673" w:rsidRPr="00320407" w:rsidRDefault="00FA3673" w:rsidP="00FA3673">
      <w:pPr>
        <w:spacing w:before="120" w:line="276" w:lineRule="auto"/>
        <w:ind w:firstLine="709"/>
        <w:jc w:val="both"/>
        <w:rPr>
          <w:rFonts w:ascii="Arial" w:hAnsi="Arial" w:cs="Arial"/>
          <w:sz w:val="22"/>
          <w:szCs w:val="22"/>
        </w:rPr>
      </w:pPr>
      <w:r w:rsidRPr="00320407">
        <w:rPr>
          <w:rFonts w:ascii="Arial" w:hAnsi="Arial" w:cs="Arial"/>
          <w:sz w:val="22"/>
          <w:szCs w:val="22"/>
          <w:lang w:val="es-MX"/>
        </w:rPr>
        <w:t>El capítulo III del documentos base regula los requisitos habilitantes. Según lo señalado en este capítulo</w:t>
      </w:r>
      <w:r w:rsidRPr="00320407">
        <w:rPr>
          <w:rFonts w:ascii="Arial" w:hAnsi="Arial" w:cs="Arial"/>
          <w:sz w:val="22"/>
          <w:szCs w:val="22"/>
        </w:rPr>
        <w:t>, la entidad realizará la verificación de requisitos habilitantes de los proponentes (personas naturales o jurídicas nacionales o extranjeras domiciliadas o con sucursal en Colombia) con base en la información contenida en el RUP y los documentos señalados en los documentos tipo</w:t>
      </w:r>
      <w:r w:rsidRPr="00320407">
        <w:rPr>
          <w:rFonts w:ascii="Arial" w:hAnsi="Arial" w:cs="Arial"/>
          <w:sz w:val="22"/>
          <w:szCs w:val="22"/>
          <w:lang w:val="es-MX"/>
        </w:rPr>
        <w:t>.</w:t>
      </w:r>
    </w:p>
    <w:p w14:paraId="39D0431D" w14:textId="5112F7E4" w:rsidR="00537953" w:rsidRPr="00320407" w:rsidRDefault="00FA3673" w:rsidP="00FA3673">
      <w:pPr>
        <w:spacing w:before="120" w:after="120" w:line="276" w:lineRule="auto"/>
        <w:ind w:firstLine="709"/>
        <w:jc w:val="both"/>
        <w:rPr>
          <w:rFonts w:ascii="Arial" w:eastAsia="Calibri" w:hAnsi="Arial" w:cs="Arial"/>
          <w:sz w:val="22"/>
          <w:szCs w:val="22"/>
        </w:rPr>
      </w:pPr>
      <w:r w:rsidRPr="00320407">
        <w:rPr>
          <w:rFonts w:ascii="Arial" w:hAnsi="Arial" w:cs="Arial"/>
          <w:sz w:val="22"/>
          <w:szCs w:val="22"/>
        </w:rPr>
        <w:t>Dentro de los requisitos habilitantes se destacan las condiciones de experiencia</w:t>
      </w:r>
      <w:r w:rsidR="00865122" w:rsidRPr="00320407">
        <w:rPr>
          <w:rFonts w:ascii="Arial" w:hAnsi="Arial" w:cs="Arial"/>
          <w:sz w:val="22"/>
          <w:szCs w:val="22"/>
        </w:rPr>
        <w:t xml:space="preserve">, la cual es entendida como el conocimiento </w:t>
      </w:r>
      <w:r w:rsidR="00865122" w:rsidRPr="00320407">
        <w:rPr>
          <w:rFonts w:ascii="Arial" w:eastAsia="Calibri" w:hAnsi="Arial" w:cs="Arial"/>
          <w:sz w:val="22"/>
          <w:szCs w:val="22"/>
        </w:rPr>
        <w:t xml:space="preserve">derivado de la participación previa en actividades iguales o similares a las previstas en el objeto del contrato. </w:t>
      </w:r>
      <w:r w:rsidR="00537953" w:rsidRPr="00320407">
        <w:rPr>
          <w:rFonts w:ascii="Arial" w:eastAsia="Calibri" w:hAnsi="Arial" w:cs="Arial"/>
          <w:sz w:val="22"/>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00537953" w:rsidRPr="00320407">
        <w:rPr>
          <w:rStyle w:val="Refdenotaalpie"/>
          <w:rFonts w:ascii="Arial" w:eastAsia="Calibri" w:hAnsi="Arial" w:cs="Arial"/>
          <w:sz w:val="22"/>
        </w:rPr>
        <w:footnoteReference w:id="7"/>
      </w:r>
      <w:r w:rsidR="00537953" w:rsidRPr="00320407">
        <w:rPr>
          <w:rFonts w:ascii="Arial" w:eastAsia="Calibri" w:hAnsi="Arial" w:cs="Arial"/>
          <w:sz w:val="22"/>
        </w:rPr>
        <w:t>.</w:t>
      </w:r>
    </w:p>
    <w:p w14:paraId="5EAD0912" w14:textId="3E0CD1C5" w:rsidR="00772E52" w:rsidRPr="00320407" w:rsidRDefault="00FA3673" w:rsidP="00320407">
      <w:pPr>
        <w:spacing w:before="120" w:after="120" w:line="276" w:lineRule="auto"/>
        <w:ind w:firstLine="567"/>
        <w:jc w:val="both"/>
        <w:rPr>
          <w:rFonts w:ascii="Arial" w:hAnsi="Arial" w:cs="Arial"/>
          <w:sz w:val="22"/>
          <w:szCs w:val="22"/>
        </w:rPr>
      </w:pPr>
      <w:r w:rsidRPr="00320407">
        <w:rPr>
          <w:rFonts w:ascii="Arial" w:hAnsi="Arial" w:cs="Arial"/>
          <w:sz w:val="22"/>
          <w:szCs w:val="22"/>
        </w:rPr>
        <w:lastRenderedPageBreak/>
        <w:t xml:space="preserve">En este contexto, </w:t>
      </w:r>
      <w:r w:rsidR="00772E52" w:rsidRPr="00320407">
        <w:rPr>
          <w:rFonts w:ascii="Arial" w:hAnsi="Arial" w:cs="Arial"/>
          <w:sz w:val="22"/>
          <w:szCs w:val="22"/>
        </w:rPr>
        <w:t>el numeral 3.5</w:t>
      </w:r>
      <w:r w:rsidR="001550AF" w:rsidRPr="00320407">
        <w:rPr>
          <w:rFonts w:ascii="Arial" w:hAnsi="Arial" w:cs="Arial"/>
          <w:sz w:val="22"/>
          <w:szCs w:val="22"/>
        </w:rPr>
        <w:t xml:space="preserve"> del documento base </w:t>
      </w:r>
      <w:r w:rsidR="00772E52" w:rsidRPr="00320407">
        <w:rPr>
          <w:rFonts w:ascii="Arial" w:hAnsi="Arial" w:cs="Arial"/>
          <w:sz w:val="22"/>
          <w:szCs w:val="22"/>
        </w:rPr>
        <w:t xml:space="preserve">prescribe que los proponentes deben acreditar su experiencia a través de: i) la información consignada en el RUP para aquellos que estén obligados a tenerlo, </w:t>
      </w:r>
      <w:proofErr w:type="spellStart"/>
      <w:r w:rsidR="00772E52" w:rsidRPr="00320407">
        <w:rPr>
          <w:rFonts w:ascii="Arial" w:hAnsi="Arial" w:cs="Arial"/>
          <w:sz w:val="22"/>
          <w:szCs w:val="22"/>
        </w:rPr>
        <w:t>ii</w:t>
      </w:r>
      <w:proofErr w:type="spellEnd"/>
      <w:r w:rsidR="00772E52" w:rsidRPr="00320407">
        <w:rPr>
          <w:rFonts w:ascii="Arial" w:hAnsi="Arial" w:cs="Arial"/>
          <w:sz w:val="22"/>
          <w:szCs w:val="22"/>
        </w:rPr>
        <w:t xml:space="preserve">) la presentación el «Formato 3 – Experiencia» para todos los proponentes y </w:t>
      </w:r>
      <w:proofErr w:type="spellStart"/>
      <w:r w:rsidR="00772E52" w:rsidRPr="00320407">
        <w:rPr>
          <w:rFonts w:ascii="Arial" w:hAnsi="Arial" w:cs="Arial"/>
          <w:sz w:val="22"/>
          <w:szCs w:val="22"/>
        </w:rPr>
        <w:t>iii</w:t>
      </w:r>
      <w:proofErr w:type="spellEnd"/>
      <w:r w:rsidR="00772E52" w:rsidRPr="00320407">
        <w:rPr>
          <w:rFonts w:ascii="Arial" w:hAnsi="Arial" w:cs="Arial"/>
          <w:sz w:val="22"/>
          <w:szCs w:val="22"/>
        </w:rPr>
        <w:t xml:space="preserve">) alguno de los documentos válidos para la acreditación de la experiencia señalados en el numeral 3.5.5 cuando se requiera la verificación de información del proponente adicional a la contenida en el RUP. </w:t>
      </w:r>
    </w:p>
    <w:p w14:paraId="3CD7FC8D" w14:textId="70C38F8A" w:rsidR="001A5CAD" w:rsidRPr="00320407" w:rsidRDefault="001A5CAD" w:rsidP="00320407">
      <w:pPr>
        <w:spacing w:before="120" w:after="120" w:line="276" w:lineRule="auto"/>
        <w:ind w:firstLine="567"/>
        <w:jc w:val="both"/>
        <w:rPr>
          <w:rFonts w:ascii="Arial" w:hAnsi="Arial" w:cs="Arial"/>
          <w:sz w:val="22"/>
          <w:szCs w:val="22"/>
        </w:rPr>
      </w:pPr>
      <w:r w:rsidRPr="00320407">
        <w:rPr>
          <w:rFonts w:ascii="Arial" w:hAnsi="Arial" w:cs="Arial"/>
          <w:sz w:val="22"/>
          <w:szCs w:val="22"/>
        </w:rPr>
        <w:t xml:space="preserve">Por su parte, el numeral 3.5.1. señala las características que deben cumplir los contratos o certificaciones para acreditar la experiencia; el numeral 3.5.2. </w:t>
      </w:r>
      <w:r w:rsidR="00E7325D" w:rsidRPr="00320407">
        <w:rPr>
          <w:rFonts w:ascii="Arial" w:hAnsi="Arial" w:cs="Arial"/>
          <w:sz w:val="22"/>
          <w:szCs w:val="22"/>
        </w:rPr>
        <w:t>establece características que deben cumplir los</w:t>
      </w:r>
      <w:r w:rsidR="00CB5A82" w:rsidRPr="00320407">
        <w:rPr>
          <w:rFonts w:ascii="Arial" w:hAnsi="Arial" w:cs="Arial"/>
          <w:sz w:val="22"/>
          <w:szCs w:val="22"/>
        </w:rPr>
        <w:t xml:space="preserve"> contratos para </w:t>
      </w:r>
      <w:r w:rsidR="00FE311B" w:rsidRPr="00320407">
        <w:rPr>
          <w:rFonts w:ascii="Arial" w:hAnsi="Arial" w:cs="Arial"/>
          <w:sz w:val="22"/>
          <w:szCs w:val="22"/>
        </w:rPr>
        <w:t>acreditar la experiencia exigida; el numeral</w:t>
      </w:r>
      <w:r w:rsidR="00CA42F4" w:rsidRPr="00320407">
        <w:rPr>
          <w:rFonts w:ascii="Arial" w:hAnsi="Arial" w:cs="Arial"/>
          <w:sz w:val="22"/>
          <w:szCs w:val="22"/>
        </w:rPr>
        <w:t xml:space="preserve"> 3.5.3 </w:t>
      </w:r>
      <w:r w:rsidRPr="00320407">
        <w:rPr>
          <w:rFonts w:ascii="Arial" w:hAnsi="Arial" w:cs="Arial"/>
          <w:sz w:val="22"/>
          <w:szCs w:val="22"/>
        </w:rPr>
        <w:t>enuncia los aspectos para la validez de la experiencia requerida; el numeral 3.5.</w:t>
      </w:r>
      <w:r w:rsidR="00CA42F4" w:rsidRPr="00320407">
        <w:rPr>
          <w:rFonts w:ascii="Arial" w:hAnsi="Arial" w:cs="Arial"/>
          <w:sz w:val="22"/>
          <w:szCs w:val="22"/>
        </w:rPr>
        <w:t>4</w:t>
      </w:r>
      <w:r w:rsidRPr="00320407">
        <w:rPr>
          <w:rFonts w:ascii="Arial" w:hAnsi="Arial" w:cs="Arial"/>
          <w:sz w:val="22"/>
          <w:szCs w:val="22"/>
        </w:rPr>
        <w:t>. señala los códigos del «clasificador de bienes, obras y servicios de las naciones unidas» en los cuales se deben encontrar los contratos aportados para acreditar la experiencia; el numeral 3.5.</w:t>
      </w:r>
      <w:r w:rsidR="00CA42F4" w:rsidRPr="00320407">
        <w:rPr>
          <w:rFonts w:ascii="Arial" w:hAnsi="Arial" w:cs="Arial"/>
          <w:sz w:val="22"/>
          <w:szCs w:val="22"/>
        </w:rPr>
        <w:t>5</w:t>
      </w:r>
      <w:r w:rsidRPr="00320407">
        <w:rPr>
          <w:rFonts w:ascii="Arial" w:hAnsi="Arial" w:cs="Arial"/>
          <w:sz w:val="22"/>
          <w:szCs w:val="22"/>
        </w:rPr>
        <w:t>. establece la información mínima que deben contener los documentos válidos para acreditar la experiencia; el numeral 3.5.</w:t>
      </w:r>
      <w:r w:rsidR="00CD2B86" w:rsidRPr="00320407">
        <w:rPr>
          <w:rFonts w:ascii="Arial" w:hAnsi="Arial" w:cs="Arial"/>
          <w:sz w:val="22"/>
          <w:szCs w:val="22"/>
        </w:rPr>
        <w:t>6</w:t>
      </w:r>
      <w:r w:rsidRPr="00320407">
        <w:rPr>
          <w:rFonts w:ascii="Arial" w:hAnsi="Arial" w:cs="Arial"/>
          <w:sz w:val="22"/>
          <w:szCs w:val="22"/>
        </w:rPr>
        <w:t>. define varios documentos válidos para acreditar experiencia cuando se requiera la verificación de información del proponente adicional a la contenida en el RUP; el numeral 3.5.</w:t>
      </w:r>
      <w:r w:rsidR="00CD2B86" w:rsidRPr="00320407">
        <w:rPr>
          <w:rFonts w:ascii="Arial" w:hAnsi="Arial" w:cs="Arial"/>
          <w:sz w:val="22"/>
          <w:szCs w:val="22"/>
        </w:rPr>
        <w:t>7</w:t>
      </w:r>
      <w:r w:rsidRPr="00320407">
        <w:rPr>
          <w:rFonts w:ascii="Arial" w:hAnsi="Arial" w:cs="Arial"/>
          <w:sz w:val="22"/>
          <w:szCs w:val="22"/>
        </w:rPr>
        <w:t>. señala las reglas para acreditar la experiencia mediante subcontratos; y el numeral 3.5.</w:t>
      </w:r>
      <w:r w:rsidR="00CD2B86" w:rsidRPr="00320407">
        <w:rPr>
          <w:rFonts w:ascii="Arial" w:hAnsi="Arial" w:cs="Arial"/>
          <w:sz w:val="22"/>
          <w:szCs w:val="22"/>
        </w:rPr>
        <w:t>8</w:t>
      </w:r>
      <w:r w:rsidRPr="00320407">
        <w:rPr>
          <w:rFonts w:ascii="Arial" w:hAnsi="Arial" w:cs="Arial"/>
          <w:sz w:val="22"/>
          <w:szCs w:val="22"/>
        </w:rPr>
        <w:t xml:space="preserve"> establece el valor mínimo que se debe acreditar con relación al presupuesto oficial de acuerdo con el número de contratos aportados.  </w:t>
      </w:r>
    </w:p>
    <w:p w14:paraId="389D8C66" w14:textId="4985CEE8" w:rsidR="008F2A92" w:rsidRPr="00320407" w:rsidRDefault="008F2A92" w:rsidP="008F2A92">
      <w:pPr>
        <w:spacing w:before="120" w:after="120" w:line="276" w:lineRule="auto"/>
        <w:ind w:firstLine="567"/>
        <w:jc w:val="both"/>
        <w:rPr>
          <w:rFonts w:ascii="Arial" w:hAnsi="Arial" w:cs="Arial"/>
          <w:sz w:val="22"/>
          <w:szCs w:val="22"/>
        </w:rPr>
      </w:pPr>
      <w:r w:rsidRPr="00320407">
        <w:rPr>
          <w:rFonts w:ascii="Arial" w:hAnsi="Arial" w:cs="Arial"/>
          <w:sz w:val="22"/>
          <w:szCs w:val="22"/>
        </w:rPr>
        <w:t xml:space="preserve">Específicamente, </w:t>
      </w:r>
      <w:bookmarkStart w:id="3" w:name="_Hlk48830924"/>
      <w:r w:rsidRPr="00320407">
        <w:rPr>
          <w:rFonts w:ascii="Arial" w:hAnsi="Arial" w:cs="Arial"/>
          <w:sz w:val="22"/>
          <w:szCs w:val="22"/>
        </w:rPr>
        <w:t>para efectos del numeral «3.5.2 Consideraciones para la validez de la experiencia requerida», el «Formato 3 - Experiencia» señala que en el evento que el proponente no aporte este documento, para evaluar la experiencia se tendrán en cuenta como máximo los cinco (</w:t>
      </w:r>
      <w:r w:rsidR="00C4791F" w:rsidRPr="00320407">
        <w:rPr>
          <w:rFonts w:ascii="Arial" w:hAnsi="Arial" w:cs="Arial"/>
          <w:sz w:val="22"/>
          <w:szCs w:val="22"/>
        </w:rPr>
        <w:t>5</w:t>
      </w:r>
      <w:r w:rsidRPr="00320407">
        <w:rPr>
          <w:rFonts w:ascii="Arial" w:hAnsi="Arial" w:cs="Arial"/>
          <w:sz w:val="22"/>
          <w:szCs w:val="22"/>
        </w:rPr>
        <w:t>) contratos aportados de mayor valor</w:t>
      </w:r>
      <w:bookmarkEnd w:id="3"/>
      <w:r w:rsidRPr="00320407">
        <w:rPr>
          <w:rFonts w:ascii="Arial" w:hAnsi="Arial" w:cs="Arial"/>
          <w:sz w:val="22"/>
          <w:szCs w:val="22"/>
        </w:rPr>
        <w:t xml:space="preserve">. En este sentido, aun cuando se haya presentado indebidamente diligenciado, se haya incluido un contrato que no cumple con lo exigido, o no se haya presentado el «Formato 3 - Experiencia», ninguna de estas causas será un motivo para rechazar los proponentes. Para mayor claridad se explicará de forma detallada cada una de las casillas del «Formato 3 - Experiencia»: </w:t>
      </w:r>
    </w:p>
    <w:p w14:paraId="0AB36A88" w14:textId="4D889D39"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r w:rsidRPr="00320407">
        <w:rPr>
          <w:rFonts w:ascii="Arial" w:eastAsia="Arial" w:hAnsi="Arial" w:cs="Arial"/>
          <w:sz w:val="22"/>
          <w:szCs w:val="22"/>
          <w:lang w:val="es-ES" w:eastAsia="en-US"/>
        </w:rPr>
        <w:t xml:space="preserve">i) Número de orden: se refiere al número de contratos aportados para acreditar la experiencia que como mínimo se deberá presentar un (1) contrato y cómo máximo cinco </w:t>
      </w:r>
      <w:r w:rsidRPr="00320407">
        <w:rPr>
          <w:rFonts w:ascii="Arial" w:eastAsia="Arial" w:hAnsi="Arial" w:cs="Arial"/>
          <w:sz w:val="22"/>
          <w:szCs w:val="22"/>
          <w:lang w:val="es-ES" w:eastAsia="en-US"/>
        </w:rPr>
        <w:lastRenderedPageBreak/>
        <w:t xml:space="preserve">(5). </w:t>
      </w:r>
    </w:p>
    <w:p w14:paraId="200A9D41" w14:textId="77777777" w:rsidR="00F24A20" w:rsidRPr="00320407" w:rsidRDefault="00F24A20" w:rsidP="00320407">
      <w:pPr>
        <w:widowControl w:val="0"/>
        <w:autoSpaceDE w:val="0"/>
        <w:autoSpaceDN w:val="0"/>
        <w:spacing w:before="1" w:after="120" w:line="276" w:lineRule="auto"/>
        <w:ind w:right="102"/>
        <w:jc w:val="both"/>
        <w:rPr>
          <w:rFonts w:ascii="Arial" w:eastAsia="Arial" w:hAnsi="Arial" w:cs="Arial"/>
          <w:sz w:val="22"/>
          <w:szCs w:val="22"/>
          <w:lang w:val="es-ES" w:eastAsia="en-US"/>
        </w:rPr>
      </w:pPr>
      <w:r w:rsidRPr="00320407">
        <w:rPr>
          <w:rFonts w:ascii="Arial" w:eastAsia="Arial" w:hAnsi="Arial" w:cs="Arial"/>
          <w:sz w:val="22"/>
          <w:szCs w:val="22"/>
          <w:lang w:val="es-ES" w:eastAsia="en-US"/>
        </w:rPr>
        <w:tab/>
      </w:r>
      <w:proofErr w:type="spellStart"/>
      <w:r w:rsidRPr="00320407">
        <w:rPr>
          <w:rFonts w:ascii="Arial" w:eastAsia="Arial" w:hAnsi="Arial" w:cs="Arial"/>
          <w:sz w:val="22"/>
          <w:szCs w:val="22"/>
          <w:lang w:val="es-ES" w:eastAsia="en-US"/>
        </w:rPr>
        <w:t>ii</w:t>
      </w:r>
      <w:proofErr w:type="spellEnd"/>
      <w:r w:rsidRPr="00320407">
        <w:rPr>
          <w:rFonts w:ascii="Arial" w:eastAsia="Arial" w:hAnsi="Arial" w:cs="Arial"/>
          <w:sz w:val="22"/>
          <w:szCs w:val="22"/>
          <w:lang w:val="es-ES" w:eastAsia="en-US"/>
        </w:rPr>
        <w:t>) Número consecutivo del reporte del contrato ejecutado en el RUP: esta casilla se diligenciará únicamente por los proponentes que se encuentran obligados a tener RUP, ahora sí está obligado se deberá señalar el número consecutivo donde se encuentra ubicado el contrato en el registro.</w:t>
      </w:r>
    </w:p>
    <w:p w14:paraId="523F82C8" w14:textId="77777777" w:rsidR="00F24A20" w:rsidRPr="00320407" w:rsidRDefault="00F24A20" w:rsidP="00320407">
      <w:pPr>
        <w:widowControl w:val="0"/>
        <w:autoSpaceDE w:val="0"/>
        <w:autoSpaceDN w:val="0"/>
        <w:spacing w:before="1" w:after="120" w:line="276" w:lineRule="auto"/>
        <w:ind w:right="102"/>
        <w:jc w:val="both"/>
        <w:rPr>
          <w:rFonts w:ascii="Arial" w:eastAsia="Arial" w:hAnsi="Arial" w:cs="Arial"/>
          <w:sz w:val="22"/>
          <w:szCs w:val="22"/>
          <w:lang w:val="es-ES" w:eastAsia="en-US"/>
        </w:rPr>
      </w:pPr>
      <w:r w:rsidRPr="00320407">
        <w:rPr>
          <w:rFonts w:ascii="Arial" w:eastAsia="Arial" w:hAnsi="Arial" w:cs="Arial"/>
          <w:sz w:val="22"/>
          <w:szCs w:val="22"/>
          <w:lang w:val="es-ES" w:eastAsia="en-US"/>
        </w:rPr>
        <w:tab/>
      </w:r>
      <w:proofErr w:type="spellStart"/>
      <w:r w:rsidRPr="00320407">
        <w:rPr>
          <w:rFonts w:ascii="Arial" w:eastAsia="Arial" w:hAnsi="Arial" w:cs="Arial"/>
          <w:sz w:val="22"/>
          <w:szCs w:val="22"/>
          <w:lang w:val="es-ES" w:eastAsia="en-US"/>
        </w:rPr>
        <w:t>iii</w:t>
      </w:r>
      <w:proofErr w:type="spellEnd"/>
      <w:r w:rsidRPr="00320407">
        <w:rPr>
          <w:rFonts w:ascii="Arial" w:eastAsia="Arial" w:hAnsi="Arial" w:cs="Arial"/>
          <w:sz w:val="22"/>
          <w:szCs w:val="22"/>
          <w:lang w:val="es-ES" w:eastAsia="en-US"/>
        </w:rPr>
        <w:t>) Experiencia requerida: en relación con este acápite se deberá identificar si el contrato aportado acredita la experiencia general o experiencia específica, o relacionar la actividad del contrato con la experiencia general o específica del contrato.</w:t>
      </w:r>
    </w:p>
    <w:p w14:paraId="69890706" w14:textId="77777777"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iv</w:t>
      </w:r>
      <w:proofErr w:type="spellEnd"/>
      <w:r w:rsidRPr="00320407">
        <w:rPr>
          <w:rFonts w:ascii="Arial" w:eastAsia="Arial" w:hAnsi="Arial" w:cs="Arial"/>
          <w:sz w:val="22"/>
          <w:szCs w:val="22"/>
          <w:lang w:val="es-ES" w:eastAsia="en-US"/>
        </w:rPr>
        <w:t xml:space="preserve">) Entidad contratante: es el nombre de la persona natural o jurídica, pública o privada, con la cual se celebró el contrato. </w:t>
      </w:r>
    </w:p>
    <w:p w14:paraId="48DF5F40" w14:textId="77777777"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r w:rsidRPr="00320407">
        <w:rPr>
          <w:rFonts w:ascii="Arial" w:eastAsia="Arial" w:hAnsi="Arial" w:cs="Arial"/>
          <w:sz w:val="22"/>
          <w:szCs w:val="22"/>
          <w:lang w:val="es-ES" w:eastAsia="en-US"/>
        </w:rPr>
        <w:t xml:space="preserve">v) Contrato o resolución: se deberá diligenciar el número del contrato o la resolución de la adjudicación del contrato y, además la descripción del objeto contractual. </w:t>
      </w:r>
    </w:p>
    <w:p w14:paraId="3C55ED92" w14:textId="77777777"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r w:rsidRPr="00320407">
        <w:rPr>
          <w:rFonts w:ascii="Arial" w:eastAsia="Arial" w:hAnsi="Arial" w:cs="Arial"/>
          <w:sz w:val="22"/>
          <w:szCs w:val="22"/>
          <w:lang w:val="es-ES" w:eastAsia="en-US"/>
        </w:rPr>
        <w:t xml:space="preserve">vi) Contrato ejecutado identificado con el clasificador de bienes y servicios: se deberá diligenciar el código que coincide con los códigos requeridos por la entidad en el numeral «3.5.3 Clasificación de la experiencia en el Clasificador de Bienes, Obras y Servicios de las Naciones Unidas».  </w:t>
      </w:r>
    </w:p>
    <w:p w14:paraId="4787D347" w14:textId="1F851F0C" w:rsidR="00F24A20" w:rsidRPr="00320407" w:rsidRDefault="00F24A20" w:rsidP="00F24A20">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vii</w:t>
      </w:r>
      <w:proofErr w:type="spellEnd"/>
      <w:r w:rsidRPr="00320407">
        <w:rPr>
          <w:rFonts w:ascii="Arial" w:eastAsia="Arial" w:hAnsi="Arial" w:cs="Arial"/>
          <w:sz w:val="22"/>
          <w:szCs w:val="22"/>
          <w:lang w:val="es-ES" w:eastAsia="en-US"/>
        </w:rPr>
        <w:t xml:space="preserve">) Formas de ejecución:  el proponente deberá indicar si el contrato se ejecutó en forma individual –I–, consorcio –C–, unión temporal –UT–, o bajo cualquier otra modalidad de asociación –Otra–. Además, se deberá indicar el porcentaje de participación de la persona que ejecutó el contrato. </w:t>
      </w:r>
    </w:p>
    <w:p w14:paraId="40C13172" w14:textId="0EEBBCA6" w:rsidR="00F24A20" w:rsidRPr="00320407" w:rsidRDefault="0040002B" w:rsidP="00F24A20">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viii</w:t>
      </w:r>
      <w:proofErr w:type="spellEnd"/>
      <w:r w:rsidR="000A2D2A" w:rsidRPr="00320407">
        <w:rPr>
          <w:rFonts w:ascii="Arial" w:eastAsia="Arial" w:hAnsi="Arial" w:cs="Arial"/>
          <w:sz w:val="22"/>
          <w:szCs w:val="22"/>
          <w:lang w:val="es-ES" w:eastAsia="en-US"/>
        </w:rPr>
        <w:t xml:space="preserve">) </w:t>
      </w:r>
      <w:r w:rsidR="00F24A20" w:rsidRPr="00320407">
        <w:rPr>
          <w:rFonts w:ascii="Arial" w:eastAsia="Arial" w:hAnsi="Arial" w:cs="Arial"/>
          <w:sz w:val="22"/>
          <w:szCs w:val="22"/>
          <w:lang w:val="es-ES" w:eastAsia="en-US"/>
        </w:rPr>
        <w:t xml:space="preserve">Integrante de la estructura plural que se está presentando: identificar del contrato que se aporta cuál es el integrante de la estructura plural que se está presentado. </w:t>
      </w:r>
    </w:p>
    <w:p w14:paraId="33EA13D9" w14:textId="2626B0BF" w:rsidR="0040002B" w:rsidRPr="00320407" w:rsidRDefault="0040002B" w:rsidP="0040002B">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ix</w:t>
      </w:r>
      <w:proofErr w:type="spellEnd"/>
      <w:r w:rsidRPr="00320407">
        <w:rPr>
          <w:rFonts w:ascii="Arial" w:eastAsia="Arial" w:hAnsi="Arial" w:cs="Arial"/>
          <w:sz w:val="22"/>
          <w:szCs w:val="22"/>
          <w:lang w:val="es-ES" w:eastAsia="en-US"/>
        </w:rPr>
        <w:t>) Fecha de iniciación del contrato</w:t>
      </w:r>
      <w:r w:rsidR="00417A8D" w:rsidRPr="00320407">
        <w:rPr>
          <w:rFonts w:ascii="Arial" w:eastAsia="Arial" w:hAnsi="Arial" w:cs="Arial"/>
          <w:sz w:val="22"/>
          <w:szCs w:val="22"/>
          <w:lang w:val="es-ES" w:eastAsia="en-US"/>
        </w:rPr>
        <w:t>.</w:t>
      </w:r>
    </w:p>
    <w:p w14:paraId="36083770" w14:textId="4FE4AE5C" w:rsidR="0040002B" w:rsidRPr="00320407" w:rsidRDefault="0040002B" w:rsidP="0040002B">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r w:rsidRPr="00320407">
        <w:rPr>
          <w:rFonts w:ascii="Arial" w:eastAsia="Arial" w:hAnsi="Arial" w:cs="Arial"/>
          <w:sz w:val="22"/>
          <w:szCs w:val="22"/>
          <w:lang w:val="es-ES" w:eastAsia="en-US"/>
        </w:rPr>
        <w:t>x) Fecha de terminación</w:t>
      </w:r>
      <w:r w:rsidR="00417A8D" w:rsidRPr="00320407">
        <w:rPr>
          <w:rFonts w:ascii="Arial" w:eastAsia="Arial" w:hAnsi="Arial" w:cs="Arial"/>
          <w:sz w:val="22"/>
          <w:szCs w:val="22"/>
          <w:lang w:val="es-ES" w:eastAsia="en-US"/>
        </w:rPr>
        <w:t>.</w:t>
      </w:r>
    </w:p>
    <w:p w14:paraId="4E92B668" w14:textId="3428C3C1"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r w:rsidRPr="00320407">
        <w:rPr>
          <w:rFonts w:ascii="Arial" w:eastAsia="Arial" w:hAnsi="Arial" w:cs="Arial"/>
          <w:sz w:val="22"/>
          <w:szCs w:val="22"/>
          <w:lang w:val="es-ES" w:eastAsia="en-US"/>
        </w:rPr>
        <w:t>x</w:t>
      </w:r>
      <w:r w:rsidR="00E764B4" w:rsidRPr="00320407">
        <w:rPr>
          <w:rFonts w:ascii="Arial" w:eastAsia="Arial" w:hAnsi="Arial" w:cs="Arial"/>
          <w:sz w:val="22"/>
          <w:szCs w:val="22"/>
          <w:lang w:val="es-ES" w:eastAsia="en-US"/>
        </w:rPr>
        <w:t>i</w:t>
      </w:r>
      <w:r w:rsidRPr="00320407">
        <w:rPr>
          <w:rFonts w:ascii="Arial" w:eastAsia="Arial" w:hAnsi="Arial" w:cs="Arial"/>
          <w:sz w:val="22"/>
          <w:szCs w:val="22"/>
          <w:lang w:val="es-ES" w:eastAsia="en-US"/>
        </w:rPr>
        <w:t xml:space="preserve">) Valor total reportado en el RUP: incluir el valor total del contrato que se encuentra registrado en el RUP, asimismo, de acuerdo con la “Nota No. 3” los valores consignados deben expresarse en pesos colombianos. </w:t>
      </w:r>
    </w:p>
    <w:p w14:paraId="6D6CA55F" w14:textId="770EE9AD" w:rsidR="00F24A20" w:rsidRPr="00320407" w:rsidRDefault="00F24A20" w:rsidP="00F24A20">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x</w:t>
      </w:r>
      <w:r w:rsidR="00417A8D" w:rsidRPr="00320407">
        <w:rPr>
          <w:rFonts w:ascii="Arial" w:eastAsia="Arial" w:hAnsi="Arial" w:cs="Arial"/>
          <w:sz w:val="22"/>
          <w:szCs w:val="22"/>
          <w:lang w:val="es-ES" w:eastAsia="en-US"/>
        </w:rPr>
        <w:t>ii</w:t>
      </w:r>
      <w:proofErr w:type="spellEnd"/>
      <w:r w:rsidRPr="00320407">
        <w:rPr>
          <w:rFonts w:ascii="Arial" w:eastAsia="Arial" w:hAnsi="Arial" w:cs="Arial"/>
          <w:sz w:val="22"/>
          <w:szCs w:val="22"/>
          <w:lang w:val="es-ES" w:eastAsia="en-US"/>
        </w:rPr>
        <w:t xml:space="preserve">) Valor total del contrato en SMMLV: esta casilla la deberá diligenciar los proponentes que no tienen RUP e incluirán el valor total del contrato en SMMLV. Además, se deberá diligenciar este formato en pesos colombianos. </w:t>
      </w:r>
    </w:p>
    <w:p w14:paraId="757AA4B0" w14:textId="63324C3A" w:rsidR="009D68BD" w:rsidRPr="00320407" w:rsidRDefault="002A6DE6" w:rsidP="00F24A20">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xi</w:t>
      </w:r>
      <w:r w:rsidR="00417A8D" w:rsidRPr="00320407">
        <w:rPr>
          <w:rFonts w:ascii="Arial" w:eastAsia="Arial" w:hAnsi="Arial" w:cs="Arial"/>
          <w:sz w:val="22"/>
          <w:szCs w:val="22"/>
          <w:lang w:val="es-ES" w:eastAsia="en-US"/>
        </w:rPr>
        <w:t>ii</w:t>
      </w:r>
      <w:proofErr w:type="spellEnd"/>
      <w:r w:rsidRPr="00320407">
        <w:rPr>
          <w:rFonts w:ascii="Arial" w:eastAsia="Arial" w:hAnsi="Arial" w:cs="Arial"/>
          <w:sz w:val="22"/>
          <w:szCs w:val="22"/>
          <w:lang w:val="es-ES" w:eastAsia="en-US"/>
        </w:rPr>
        <w:t xml:space="preserve">) Valor total del contrato en SMMLV afectado por el porcentaje de </w:t>
      </w:r>
      <w:proofErr w:type="gramStart"/>
      <w:r w:rsidRPr="00320407">
        <w:rPr>
          <w:rFonts w:ascii="Arial" w:eastAsia="Arial" w:hAnsi="Arial" w:cs="Arial"/>
          <w:sz w:val="22"/>
          <w:szCs w:val="22"/>
          <w:lang w:val="es-ES" w:eastAsia="en-US"/>
        </w:rPr>
        <w:t>participación</w:t>
      </w:r>
      <w:r w:rsidR="00417A8D" w:rsidRPr="00320407">
        <w:rPr>
          <w:rFonts w:ascii="Arial" w:eastAsia="Arial" w:hAnsi="Arial" w:cs="Arial"/>
          <w:sz w:val="22"/>
          <w:szCs w:val="22"/>
          <w:lang w:val="es-ES" w:eastAsia="en-US"/>
        </w:rPr>
        <w:t>,  y</w:t>
      </w:r>
      <w:proofErr w:type="gramEnd"/>
    </w:p>
    <w:p w14:paraId="31EA6D68" w14:textId="215A8C30" w:rsidR="002A6DE6" w:rsidRPr="00320407" w:rsidRDefault="002A6DE6"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proofErr w:type="spellStart"/>
      <w:r w:rsidRPr="00320407">
        <w:rPr>
          <w:rFonts w:ascii="Arial" w:eastAsia="Arial" w:hAnsi="Arial" w:cs="Arial"/>
          <w:sz w:val="22"/>
          <w:szCs w:val="22"/>
          <w:lang w:val="es-ES" w:eastAsia="en-US"/>
        </w:rPr>
        <w:t>xi</w:t>
      </w:r>
      <w:r w:rsidR="00417A8D" w:rsidRPr="00320407">
        <w:rPr>
          <w:rFonts w:ascii="Arial" w:eastAsia="Arial" w:hAnsi="Arial" w:cs="Arial"/>
          <w:sz w:val="22"/>
          <w:szCs w:val="22"/>
          <w:lang w:val="es-ES" w:eastAsia="en-US"/>
        </w:rPr>
        <w:t>v</w:t>
      </w:r>
      <w:proofErr w:type="spellEnd"/>
      <w:r w:rsidRPr="00320407">
        <w:rPr>
          <w:rFonts w:ascii="Arial" w:eastAsia="Arial" w:hAnsi="Arial" w:cs="Arial"/>
          <w:sz w:val="22"/>
          <w:szCs w:val="22"/>
          <w:lang w:val="es-ES" w:eastAsia="en-US"/>
        </w:rPr>
        <w:t>)</w:t>
      </w:r>
      <w:r w:rsidR="00376CFC" w:rsidRPr="00320407">
        <w:rPr>
          <w:rFonts w:ascii="Arial" w:eastAsia="Arial" w:hAnsi="Arial" w:cs="Arial"/>
          <w:sz w:val="22"/>
          <w:szCs w:val="22"/>
          <w:lang w:val="es-ES" w:eastAsia="en-US"/>
        </w:rPr>
        <w:t xml:space="preserve"> Para los procesos estructurados por lotes, el formato establece una casilla en </w:t>
      </w:r>
      <w:r w:rsidR="00376CFC" w:rsidRPr="00320407">
        <w:rPr>
          <w:rFonts w:ascii="Arial" w:eastAsia="Arial" w:hAnsi="Arial" w:cs="Arial"/>
          <w:sz w:val="22"/>
          <w:szCs w:val="22"/>
          <w:lang w:val="es-ES" w:eastAsia="en-US"/>
        </w:rPr>
        <w:lastRenderedPageBreak/>
        <w:t>la cual el Proponente debe señalar si el certificado de experiencia es para un determinado lote, para varios o para todos.</w:t>
      </w:r>
    </w:p>
    <w:p w14:paraId="7C11156F" w14:textId="77777777"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ES" w:eastAsia="en-US"/>
        </w:rPr>
      </w:pPr>
      <w:r w:rsidRPr="00320407">
        <w:rPr>
          <w:rFonts w:ascii="Arial" w:eastAsia="Arial" w:hAnsi="Arial" w:cs="Arial"/>
          <w:sz w:val="22"/>
          <w:szCs w:val="22"/>
          <w:lang w:val="es-ES" w:eastAsia="en-US"/>
        </w:rPr>
        <w:t>Conforme a lo anterior, los proponentes deberán diligenciar el «Formato 3 - Experiencia» con las instrucciones señaladas. Si no se diligencia de esta forma, esta no será una razón para que la entidad rechace la propuesta. Lo anterior toda vez que –para la aplicación del numeral «3.5.2 Consideraciones para la validez de la experiencia requerida»– si no se aporta el «Formato 3 - Experiencia» la entidad tendrá en cuenta para la evaluación los seis (6) contratos aportados por mayor valor.</w:t>
      </w:r>
    </w:p>
    <w:p w14:paraId="36704121" w14:textId="6981A809" w:rsidR="00F24A20" w:rsidRPr="00320407" w:rsidRDefault="00F24A20" w:rsidP="00320407">
      <w:pPr>
        <w:widowControl w:val="0"/>
        <w:autoSpaceDE w:val="0"/>
        <w:autoSpaceDN w:val="0"/>
        <w:spacing w:before="1" w:after="120" w:line="276" w:lineRule="auto"/>
        <w:ind w:right="102" w:firstLine="720"/>
        <w:jc w:val="both"/>
        <w:rPr>
          <w:rFonts w:ascii="Arial" w:eastAsia="Arial" w:hAnsi="Arial" w:cs="Arial"/>
          <w:sz w:val="22"/>
          <w:szCs w:val="22"/>
          <w:lang w:val="es-MX" w:eastAsia="en-US"/>
        </w:rPr>
      </w:pPr>
      <w:r w:rsidRPr="00320407">
        <w:rPr>
          <w:rFonts w:ascii="Arial" w:eastAsia="Arial" w:hAnsi="Arial" w:cs="Arial"/>
          <w:sz w:val="22"/>
          <w:szCs w:val="22"/>
          <w:lang w:val="es-MX" w:eastAsia="en-US"/>
        </w:rPr>
        <w:t xml:space="preserve">Además, de acuerdo con el artículo 6 de la Ley 1150 de 2007, el </w:t>
      </w:r>
      <w:r w:rsidR="00417A8D" w:rsidRPr="00320407">
        <w:rPr>
          <w:rFonts w:ascii="Arial" w:eastAsia="Arial" w:hAnsi="Arial" w:cs="Arial"/>
          <w:sz w:val="22"/>
          <w:szCs w:val="22"/>
          <w:lang w:val="es-MX" w:eastAsia="en-US"/>
        </w:rPr>
        <w:t>RUP será</w:t>
      </w:r>
      <w:r w:rsidRPr="00320407">
        <w:rPr>
          <w:rFonts w:ascii="Arial" w:eastAsia="Arial" w:hAnsi="Arial" w:cs="Arial"/>
          <w:sz w:val="22"/>
          <w:szCs w:val="22"/>
          <w:lang w:val="es-MX" w:eastAsia="en-US"/>
        </w:rPr>
        <w:t xml:space="preserve"> plena prueba de la información relacionada con la experiencia del oferente</w:t>
      </w:r>
      <w:r w:rsidRPr="00320407">
        <w:rPr>
          <w:rFonts w:ascii="Arial" w:eastAsia="Arial" w:hAnsi="Arial" w:cs="Arial"/>
          <w:sz w:val="22"/>
          <w:szCs w:val="22"/>
          <w:vertAlign w:val="superscript"/>
          <w:lang w:val="es-MX" w:eastAsia="en-US"/>
        </w:rPr>
        <w:footnoteReference w:id="8"/>
      </w:r>
      <w:r w:rsidRPr="00320407">
        <w:rPr>
          <w:rFonts w:ascii="Arial" w:eastAsia="Arial" w:hAnsi="Arial" w:cs="Arial"/>
          <w:sz w:val="22"/>
          <w:szCs w:val="22"/>
          <w:lang w:val="es-MX" w:eastAsia="en-US"/>
        </w:rPr>
        <w:t>. Por lo tanto, si el oferente aporta el RUP con la información relacionada con la experiencia, o aporta la experiencia de los contratos que tiene a su nombre, deberá acreditar este requisito en el procedimiento de selección, a pesar de no aportar o diligenciar en el «Formato 3 - Experiencia» un contrato que no cumple lo exigido.  Por lo tanto, el «Formato 3 - Experiencia» consolida la experiencia aportada, pero no acredita la experiencia del proponente.</w:t>
      </w:r>
    </w:p>
    <w:p w14:paraId="0B7F67EF" w14:textId="77777777" w:rsidR="00F24A20" w:rsidRPr="00320407" w:rsidRDefault="00F24A20" w:rsidP="00320407">
      <w:pPr>
        <w:widowControl w:val="0"/>
        <w:autoSpaceDE w:val="0"/>
        <w:autoSpaceDN w:val="0"/>
        <w:spacing w:after="120" w:line="276" w:lineRule="auto"/>
        <w:ind w:right="4" w:firstLine="720"/>
        <w:jc w:val="both"/>
        <w:rPr>
          <w:rFonts w:ascii="Arial" w:eastAsia="Arial" w:hAnsi="Arial" w:cs="Arial"/>
          <w:sz w:val="22"/>
          <w:szCs w:val="22"/>
          <w:lang w:val="es-ES" w:eastAsia="en-US"/>
        </w:rPr>
      </w:pPr>
      <w:r w:rsidRPr="00320407">
        <w:rPr>
          <w:rFonts w:ascii="Arial" w:eastAsia="Arial" w:hAnsi="Arial" w:cs="Arial"/>
          <w:sz w:val="22"/>
          <w:szCs w:val="22"/>
          <w:lang w:val="es-MX" w:eastAsia="en-US"/>
        </w:rPr>
        <w:t xml:space="preserve">Finalmente, por tratarse de un requisito de verificación que no otorga puntaje, debe tenerse en cuenta que si el proponente desea acreditar otro contrato no incluido en el «Formato 3 - Experiencia», podrá incluirlo en este documento siempre y cuando se encuentre registrado en el RUP antes de la presentación de la oferta. Esto en la medida que –de conformidad con lo señalado por el parágrafo 1 del artículo 5 de la Ley 1150 de 2007– «[…] los proponentes no podrán acreditar circunstancias ocurridas con posterioridad al cierre del proceso […]». </w:t>
      </w:r>
      <w:r w:rsidRPr="00320407">
        <w:rPr>
          <w:rFonts w:ascii="Arial" w:eastAsia="Arial" w:hAnsi="Arial" w:cs="Arial"/>
          <w:sz w:val="22"/>
          <w:szCs w:val="22"/>
          <w:lang w:val="es-ES" w:eastAsia="en-US"/>
        </w:rPr>
        <w:t xml:space="preserve"> </w:t>
      </w:r>
    </w:p>
    <w:p w14:paraId="25F0B914" w14:textId="18FA75A7" w:rsidR="00FA3673" w:rsidRPr="00320407" w:rsidRDefault="00FA3673" w:rsidP="00F81F11">
      <w:pPr>
        <w:spacing w:before="120" w:line="276" w:lineRule="auto"/>
        <w:ind w:firstLine="709"/>
        <w:jc w:val="both"/>
        <w:rPr>
          <w:rFonts w:ascii="Arial" w:hAnsi="Arial" w:cs="Arial"/>
          <w:sz w:val="22"/>
          <w:szCs w:val="22"/>
          <w:lang w:val="es-MX"/>
        </w:rPr>
      </w:pPr>
      <w:r w:rsidRPr="00320407">
        <w:rPr>
          <w:rFonts w:ascii="Arial" w:hAnsi="Arial" w:cs="Arial"/>
          <w:sz w:val="22"/>
          <w:szCs w:val="22"/>
          <w:lang w:val="es-MX"/>
        </w:rPr>
        <w:lastRenderedPageBreak/>
        <w:t xml:space="preserve">Ahora bien, en la consulta se indaga sobre la </w:t>
      </w:r>
      <w:r w:rsidR="00F81F11" w:rsidRPr="00320407">
        <w:rPr>
          <w:rFonts w:ascii="Arial" w:hAnsi="Arial" w:cs="Arial"/>
          <w:sz w:val="22"/>
          <w:szCs w:val="22"/>
          <w:lang w:val="es-MX"/>
        </w:rPr>
        <w:t>acreditación de la experiencia</w:t>
      </w:r>
      <w:r w:rsidRPr="00320407">
        <w:rPr>
          <w:rFonts w:ascii="Arial" w:hAnsi="Arial" w:cs="Arial"/>
          <w:sz w:val="22"/>
          <w:szCs w:val="22"/>
          <w:lang w:val="es-MX"/>
        </w:rPr>
        <w:t xml:space="preserve"> en el evento en que el proponente haya efectuado una reforma estatutaria. Al respecto, es preciso indicar que en el caso en que se presente el cambio del tipo societario de la sociedad comercial, esta podrá presentar la información financiera requerida en los criterios habilitantes referente a dicha sociedad.  </w:t>
      </w:r>
    </w:p>
    <w:p w14:paraId="1EF90305" w14:textId="77777777" w:rsidR="00FA3673" w:rsidRPr="00320407" w:rsidRDefault="00FA3673" w:rsidP="00FA3673">
      <w:pPr>
        <w:spacing w:before="120" w:line="276" w:lineRule="auto"/>
        <w:ind w:firstLine="709"/>
        <w:jc w:val="both"/>
        <w:rPr>
          <w:rFonts w:ascii="Arial" w:hAnsi="Arial" w:cs="Arial"/>
          <w:sz w:val="22"/>
          <w:szCs w:val="22"/>
        </w:rPr>
      </w:pPr>
      <w:r w:rsidRPr="00320407">
        <w:rPr>
          <w:rFonts w:ascii="Arial" w:hAnsi="Arial" w:cs="Arial"/>
          <w:sz w:val="22"/>
          <w:szCs w:val="22"/>
          <w:lang w:val="es-MX"/>
        </w:rPr>
        <w:t xml:space="preserve">En efecto, de conformidad con el artículo 167 del Código de Comercio «una sociedad podrá, antes de su disolución, adoptar cualquiera otra de las formas de la sociedad comercial reguladas por la ley, mediante una reforma del contrato social. La transformación no producirá solución de continuidad en la existencia de la sociedad como persona jurídica, ni en sus actividades ni en su patrimonio». En este sentido, la figura de </w:t>
      </w:r>
      <w:r w:rsidRPr="00320407">
        <w:rPr>
          <w:rFonts w:ascii="Arial" w:hAnsi="Arial" w:cs="Arial"/>
          <w:sz w:val="22"/>
          <w:szCs w:val="22"/>
        </w:rPr>
        <w:t>«</w:t>
      </w:r>
      <w:r w:rsidRPr="00320407">
        <w:rPr>
          <w:rFonts w:ascii="Arial" w:hAnsi="Arial" w:cs="Arial"/>
          <w:sz w:val="22"/>
          <w:szCs w:val="22"/>
          <w:lang w:val="es-MX"/>
        </w:rPr>
        <w:t>transformación» regulada en la norma señalada e</w:t>
      </w:r>
      <w:r w:rsidRPr="00320407">
        <w:rPr>
          <w:rFonts w:ascii="Arial" w:hAnsi="Arial" w:cs="Arial"/>
          <w:sz w:val="22"/>
          <w:szCs w:val="22"/>
        </w:rPr>
        <w:t>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p>
    <w:p w14:paraId="51F5869F" w14:textId="32256373" w:rsidR="00FA3673" w:rsidRPr="00320407" w:rsidRDefault="00FA3673" w:rsidP="00FA3673">
      <w:pPr>
        <w:spacing w:before="120" w:line="276" w:lineRule="auto"/>
        <w:ind w:firstLine="708"/>
        <w:jc w:val="both"/>
        <w:rPr>
          <w:rFonts w:ascii="Arial" w:hAnsi="Arial" w:cs="Arial"/>
          <w:sz w:val="22"/>
          <w:szCs w:val="22"/>
          <w:lang w:eastAsia="es-ES_tradnl"/>
        </w:rPr>
      </w:pPr>
      <w:r w:rsidRPr="00320407">
        <w:rPr>
          <w:rFonts w:ascii="Arial" w:hAnsi="Arial" w:cs="Arial"/>
          <w:sz w:val="22"/>
          <w:szCs w:val="22"/>
          <w:lang w:eastAsia="es-ES_tradnl"/>
        </w:rPr>
        <w:t xml:space="preserve">Respecto de la </w:t>
      </w:r>
      <w:r w:rsidR="00F81F11" w:rsidRPr="00320407">
        <w:rPr>
          <w:rFonts w:ascii="Arial" w:hAnsi="Arial" w:cs="Arial"/>
          <w:sz w:val="22"/>
          <w:szCs w:val="22"/>
          <w:lang w:eastAsia="es-ES_tradnl"/>
        </w:rPr>
        <w:t>experiencia</w:t>
      </w:r>
      <w:r w:rsidRPr="00320407">
        <w:rPr>
          <w:rFonts w:ascii="Arial" w:hAnsi="Arial" w:cs="Arial"/>
          <w:sz w:val="22"/>
          <w:szCs w:val="22"/>
          <w:lang w:eastAsia="es-ES_tradnl"/>
        </w:rPr>
        <w:t xml:space="preserve">, teniendo en cuenta que la sociedad solo cambia su forma, lo cual, de acuerdo con el Código de Comercio, no afecta sus actividades, la sociedad continuará con la misma </w:t>
      </w:r>
      <w:r w:rsidR="00F81F11" w:rsidRPr="00320407">
        <w:rPr>
          <w:rFonts w:ascii="Arial" w:hAnsi="Arial" w:cs="Arial"/>
          <w:sz w:val="22"/>
          <w:szCs w:val="22"/>
          <w:lang w:eastAsia="es-ES_tradnl"/>
        </w:rPr>
        <w:t>experiencia</w:t>
      </w:r>
      <w:r w:rsidRPr="00320407">
        <w:rPr>
          <w:rFonts w:ascii="Arial" w:hAnsi="Arial" w:cs="Arial"/>
          <w:sz w:val="22"/>
          <w:szCs w:val="22"/>
          <w:lang w:eastAsia="es-ES_tradnl"/>
        </w:rPr>
        <w:t>. Esto se reafirma teniendo en cuenta que en la transformación la norma señala expresamente que la sociedad no se disuelve y, por ende, tampoco se liquida. De esta manera, solo cambia el tipo societario que había adoptado en su constitución, es decir, no sufre modificaciones o alteraciones y por eso continúa con la misma información financiera.</w:t>
      </w:r>
      <w:r w:rsidR="00A40E2D" w:rsidRPr="00320407">
        <w:rPr>
          <w:rFonts w:ascii="Arial" w:hAnsi="Arial" w:cs="Arial"/>
          <w:sz w:val="22"/>
          <w:szCs w:val="22"/>
          <w:lang w:eastAsia="es-ES_tradnl"/>
        </w:rPr>
        <w:t xml:space="preserve"> </w:t>
      </w:r>
    </w:p>
    <w:p w14:paraId="22392D22" w14:textId="77777777" w:rsidR="00FA3673" w:rsidRPr="00320407" w:rsidRDefault="00FA3673" w:rsidP="00FA3673">
      <w:pPr>
        <w:spacing w:before="120" w:line="276" w:lineRule="auto"/>
        <w:ind w:firstLine="709"/>
        <w:jc w:val="both"/>
        <w:rPr>
          <w:rFonts w:ascii="Arial" w:hAnsi="Arial" w:cs="Arial"/>
          <w:sz w:val="22"/>
          <w:szCs w:val="22"/>
          <w:lang w:val="es-MX"/>
        </w:rPr>
      </w:pPr>
      <w:r w:rsidRPr="00320407">
        <w:rPr>
          <w:rFonts w:ascii="Arial" w:hAnsi="Arial" w:cs="Arial"/>
          <w:sz w:val="22"/>
          <w:szCs w:val="22"/>
          <w:lang w:val="es-MX"/>
        </w:rPr>
        <w:t xml:space="preserve">En todo caso, es necesario que dicha reforma estatutaria conste en el respectivo certificado de existencia y representación legal que el proponente aporte en el proceso de contratación, en el que se pueda verificar que, en efecto, se produjo una transformación de la sociedad en los términos del artículo 167 del Código de Comercio o la norma que aplique, y, además, que se haya efectuado la actualización correspondiente en el RUP. Lo anterior teniendo en cuenta que estos documentos constituyen plena prueba en los que </w:t>
      </w:r>
      <w:r w:rsidRPr="00320407">
        <w:rPr>
          <w:rFonts w:ascii="Arial" w:hAnsi="Arial" w:cs="Arial"/>
          <w:color w:val="000000"/>
          <w:sz w:val="22"/>
          <w:szCs w:val="22"/>
        </w:rPr>
        <w:t>se puede constatar el cambio de tipo societario de la persona jurídica que se presenta en el proceso de contratación.</w:t>
      </w:r>
    </w:p>
    <w:p w14:paraId="1CD5B199" w14:textId="77777777" w:rsidR="00543C45" w:rsidRPr="00320407" w:rsidRDefault="00543C45" w:rsidP="001C6B19">
      <w:pPr>
        <w:spacing w:line="276" w:lineRule="auto"/>
        <w:jc w:val="both"/>
        <w:rPr>
          <w:rFonts w:ascii="Arial" w:eastAsia="Calibri" w:hAnsi="Arial" w:cs="Arial"/>
          <w:color w:val="000000" w:themeColor="text1"/>
          <w:sz w:val="22"/>
        </w:rPr>
      </w:pPr>
    </w:p>
    <w:p w14:paraId="4FBFD6B1" w14:textId="424AD1F8" w:rsidR="005C6135" w:rsidRPr="00320407" w:rsidRDefault="005C6135" w:rsidP="001C6B19">
      <w:pPr>
        <w:spacing w:line="276" w:lineRule="auto"/>
        <w:jc w:val="both"/>
        <w:rPr>
          <w:rFonts w:ascii="Arial" w:eastAsia="Calibri" w:hAnsi="Arial" w:cs="Arial"/>
          <w:b/>
          <w:bCs/>
          <w:color w:val="000000" w:themeColor="text1"/>
          <w:sz w:val="22"/>
        </w:rPr>
      </w:pPr>
      <w:r w:rsidRPr="00320407">
        <w:rPr>
          <w:rFonts w:ascii="Arial" w:eastAsia="Calibri" w:hAnsi="Arial" w:cs="Arial"/>
          <w:b/>
          <w:bCs/>
          <w:color w:val="000000" w:themeColor="text1"/>
          <w:sz w:val="22"/>
        </w:rPr>
        <w:t xml:space="preserve">3. Respuesta </w:t>
      </w:r>
    </w:p>
    <w:p w14:paraId="09F07F96" w14:textId="6A5B5623" w:rsidR="007E7504" w:rsidRPr="00320407" w:rsidRDefault="007E7504" w:rsidP="001C6B19">
      <w:pPr>
        <w:spacing w:line="276" w:lineRule="auto"/>
        <w:jc w:val="both"/>
        <w:rPr>
          <w:rFonts w:ascii="Arial" w:eastAsia="Calibri" w:hAnsi="Arial" w:cs="Arial"/>
          <w:color w:val="000000" w:themeColor="text1"/>
          <w:sz w:val="22"/>
        </w:rPr>
      </w:pPr>
    </w:p>
    <w:p w14:paraId="24420617" w14:textId="158F22C6" w:rsidR="007B1A4D" w:rsidRPr="00320407" w:rsidRDefault="0020047F" w:rsidP="00320407">
      <w:pPr>
        <w:autoSpaceDE w:val="0"/>
        <w:autoSpaceDN w:val="0"/>
        <w:adjustRightInd w:val="0"/>
        <w:ind w:left="709" w:right="709"/>
        <w:jc w:val="both"/>
        <w:rPr>
          <w:rFonts w:ascii="Arial" w:eastAsiaTheme="minorHAnsi" w:hAnsi="Arial" w:cs="Arial"/>
          <w:sz w:val="21"/>
          <w:szCs w:val="21"/>
          <w:lang w:eastAsia="en-US"/>
        </w:rPr>
      </w:pPr>
      <w:r w:rsidRPr="00320407">
        <w:rPr>
          <w:rFonts w:ascii="Arial" w:hAnsi="Arial" w:cs="Arial"/>
          <w:sz w:val="21"/>
          <w:szCs w:val="21"/>
        </w:rPr>
        <w:lastRenderedPageBreak/>
        <w:t>Aclarar lo siguiente, teniendo en cuenta que la empresa INGTEC ha realizado el cambio de razón social de SOCIEDAD LIMITADA a SOCIEDAD POR ACCIONES SIMPLIFICADAS para los procesos de contratación pública, específicamente en lo referente a pliegos tipos en los anexos como por ejemplo el diligenciamiento del formato No.3, estos se presentan con la razón social anterior (limitada), se tiene algún tipo de inconveniente al momento de participar en los procesos de contratación?, por tal motivo solicito una aclaración o cu</w:t>
      </w:r>
      <w:r w:rsidR="00826361" w:rsidRPr="00320407">
        <w:rPr>
          <w:rFonts w:ascii="Arial" w:hAnsi="Arial" w:cs="Arial"/>
          <w:sz w:val="21"/>
          <w:szCs w:val="21"/>
        </w:rPr>
        <w:t>á</w:t>
      </w:r>
      <w:r w:rsidRPr="00320407">
        <w:rPr>
          <w:rFonts w:ascii="Arial" w:hAnsi="Arial" w:cs="Arial"/>
          <w:sz w:val="21"/>
          <w:szCs w:val="21"/>
        </w:rPr>
        <w:t>les serían los pasos a seguir para este tema</w:t>
      </w:r>
    </w:p>
    <w:p w14:paraId="3E8C32D5" w14:textId="77777777" w:rsidR="00B637D2" w:rsidRPr="00320407" w:rsidRDefault="00B637D2" w:rsidP="001C6B19">
      <w:pPr>
        <w:autoSpaceDE w:val="0"/>
        <w:autoSpaceDN w:val="0"/>
        <w:adjustRightInd w:val="0"/>
        <w:spacing w:line="276" w:lineRule="auto"/>
        <w:ind w:left="708"/>
        <w:jc w:val="both"/>
        <w:rPr>
          <w:rFonts w:ascii="Arial" w:eastAsiaTheme="minorHAnsi" w:hAnsi="Arial" w:cs="Arial"/>
          <w:sz w:val="21"/>
          <w:szCs w:val="21"/>
          <w:lang w:eastAsia="en-US"/>
        </w:rPr>
      </w:pPr>
    </w:p>
    <w:p w14:paraId="44DB1A6E" w14:textId="77777777" w:rsidR="0050640C" w:rsidRPr="00320407" w:rsidRDefault="0050640C" w:rsidP="00556CD2">
      <w:pPr>
        <w:spacing w:line="276" w:lineRule="auto"/>
        <w:jc w:val="both"/>
        <w:rPr>
          <w:rFonts w:ascii="Arial" w:hAnsi="Arial" w:cs="Arial"/>
          <w:sz w:val="22"/>
          <w:szCs w:val="22"/>
          <w:lang w:val="es-MX"/>
        </w:rPr>
      </w:pPr>
      <w:r w:rsidRPr="00320407">
        <w:rPr>
          <w:rFonts w:ascii="Arial" w:hAnsi="Arial" w:cs="Arial"/>
          <w:sz w:val="22"/>
          <w:szCs w:val="22"/>
          <w:lang w:val="es-MX"/>
        </w:rPr>
        <w:t xml:space="preserve">Conforme se expuso en las consideraciones de este concepto, la figura de «transformación» regulada en el artículo 167 del Código de Comercio, 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 </w:t>
      </w:r>
    </w:p>
    <w:p w14:paraId="2491C268" w14:textId="07B82FCC" w:rsidR="0050640C" w:rsidRPr="00320407" w:rsidRDefault="0050640C" w:rsidP="00556CD2">
      <w:pPr>
        <w:spacing w:before="120" w:line="276" w:lineRule="auto"/>
        <w:ind w:firstLine="709"/>
        <w:jc w:val="both"/>
        <w:rPr>
          <w:rFonts w:ascii="Arial" w:hAnsi="Arial" w:cs="Arial"/>
          <w:sz w:val="22"/>
          <w:szCs w:val="22"/>
          <w:lang w:val="es-MX"/>
        </w:rPr>
      </w:pPr>
      <w:r w:rsidRPr="00320407">
        <w:rPr>
          <w:rFonts w:ascii="Arial" w:hAnsi="Arial" w:cs="Arial"/>
          <w:sz w:val="22"/>
          <w:szCs w:val="22"/>
          <w:lang w:val="es-MX"/>
        </w:rPr>
        <w:t xml:space="preserve">En este sentido, si bien en la </w:t>
      </w:r>
      <w:r w:rsidRPr="00320407">
        <w:rPr>
          <w:rFonts w:ascii="Arial" w:hAnsi="Arial" w:cs="Arial"/>
          <w:sz w:val="22"/>
          <w:szCs w:val="22"/>
        </w:rPr>
        <w:t>«</w:t>
      </w:r>
      <w:r w:rsidRPr="00320407">
        <w:rPr>
          <w:rFonts w:ascii="Arial" w:hAnsi="Arial" w:cs="Arial"/>
          <w:sz w:val="22"/>
          <w:szCs w:val="22"/>
          <w:lang w:val="es-MX"/>
        </w:rPr>
        <w:t xml:space="preserve">transformación» se presenta una reforma a los estatutos de la sociedad comercial que genera el cambio del tipo societario, no se produce solución de continuidad en la existencia de la sociedad, por lo que ésta </w:t>
      </w:r>
      <w:r w:rsidR="001B160F" w:rsidRPr="00320407">
        <w:rPr>
          <w:rFonts w:ascii="Arial" w:hAnsi="Arial" w:cs="Arial"/>
          <w:sz w:val="22"/>
          <w:szCs w:val="22"/>
          <w:lang w:val="es-MX"/>
        </w:rPr>
        <w:t xml:space="preserve">conserva la experiencia </w:t>
      </w:r>
      <w:r w:rsidR="000D25B7" w:rsidRPr="00320407">
        <w:rPr>
          <w:rFonts w:ascii="Arial" w:eastAsia="Calibri" w:hAnsi="Arial" w:cs="Arial"/>
          <w:sz w:val="22"/>
          <w:szCs w:val="22"/>
        </w:rPr>
        <w:t>experiencia adquirida, ya que la misma es personal y mientras la persona jurídica exista la experiencia sigue vigente y puede incrementarse, siempre que la empresa continúe ejecutando contratos que le permitan aumentar el conocimiento en su objeto social.</w:t>
      </w:r>
      <w:r w:rsidRPr="00320407">
        <w:rPr>
          <w:rFonts w:ascii="Arial" w:hAnsi="Arial" w:cs="Arial"/>
          <w:sz w:val="22"/>
          <w:szCs w:val="22"/>
          <w:lang w:val="es-MX"/>
        </w:rPr>
        <w:t xml:space="preserve"> De este modo, </w:t>
      </w:r>
      <w:r w:rsidR="00BA6009" w:rsidRPr="00320407">
        <w:rPr>
          <w:rFonts w:ascii="Arial" w:hAnsi="Arial" w:cs="Arial"/>
          <w:sz w:val="22"/>
          <w:szCs w:val="22"/>
          <w:lang w:val="es-MX"/>
        </w:rPr>
        <w:t xml:space="preserve">tras la reforma estatutaria la </w:t>
      </w:r>
      <w:r w:rsidR="00E44F2C" w:rsidRPr="00320407">
        <w:rPr>
          <w:rFonts w:ascii="Arial" w:hAnsi="Arial" w:cs="Arial"/>
          <w:sz w:val="22"/>
          <w:szCs w:val="22"/>
          <w:lang w:val="es-MX"/>
        </w:rPr>
        <w:t xml:space="preserve">sociedad podrá continuar acreditando la experiencia </w:t>
      </w:r>
      <w:r w:rsidR="00F60F70" w:rsidRPr="00320407">
        <w:rPr>
          <w:rFonts w:ascii="Arial" w:hAnsi="Arial" w:cs="Arial"/>
          <w:sz w:val="22"/>
          <w:szCs w:val="22"/>
          <w:lang w:val="es-MX"/>
        </w:rPr>
        <w:t>adquirida durante el tiempo que tuvo un tipo societario distinto y</w:t>
      </w:r>
      <w:r w:rsidRPr="00320407">
        <w:rPr>
          <w:rFonts w:ascii="Arial" w:hAnsi="Arial" w:cs="Arial"/>
          <w:sz w:val="22"/>
          <w:szCs w:val="22"/>
          <w:lang w:val="es-MX"/>
        </w:rPr>
        <w:t xml:space="preserve"> acreditar</w:t>
      </w:r>
      <w:r w:rsidR="00F60F70" w:rsidRPr="00320407">
        <w:rPr>
          <w:rFonts w:ascii="Arial" w:hAnsi="Arial" w:cs="Arial"/>
          <w:sz w:val="22"/>
          <w:szCs w:val="22"/>
          <w:lang w:val="es-MX"/>
        </w:rPr>
        <w:t>la</w:t>
      </w:r>
      <w:r w:rsidRPr="00320407">
        <w:rPr>
          <w:rFonts w:ascii="Arial" w:hAnsi="Arial" w:cs="Arial"/>
          <w:sz w:val="22"/>
          <w:szCs w:val="22"/>
          <w:lang w:val="es-MX"/>
        </w:rPr>
        <w:t xml:space="preserve"> en los</w:t>
      </w:r>
      <w:r w:rsidR="00F60F70" w:rsidRPr="00320407">
        <w:rPr>
          <w:rFonts w:ascii="Arial" w:hAnsi="Arial" w:cs="Arial"/>
          <w:sz w:val="22"/>
          <w:szCs w:val="22"/>
          <w:lang w:val="es-MX"/>
        </w:rPr>
        <w:t xml:space="preserve"> procesos adelantados con</w:t>
      </w:r>
      <w:r w:rsidRPr="00320407">
        <w:rPr>
          <w:rFonts w:ascii="Arial" w:hAnsi="Arial" w:cs="Arial"/>
          <w:sz w:val="22"/>
          <w:szCs w:val="22"/>
          <w:lang w:val="es-MX"/>
        </w:rPr>
        <w:t xml:space="preserve"> documentos tipo</w:t>
      </w:r>
      <w:r w:rsidR="00F60A9F" w:rsidRPr="00320407">
        <w:rPr>
          <w:rFonts w:ascii="Arial" w:hAnsi="Arial" w:cs="Arial"/>
          <w:sz w:val="22"/>
          <w:szCs w:val="22"/>
          <w:lang w:val="es-MX"/>
        </w:rPr>
        <w:t xml:space="preserve"> mediante el «Formato 3 – Experiencia», el RUP y los demás documentos válidos para la acreditación de experiencia, </w:t>
      </w:r>
    </w:p>
    <w:p w14:paraId="06DBDE76" w14:textId="77777777" w:rsidR="0050640C" w:rsidRPr="00320407" w:rsidRDefault="0050640C" w:rsidP="00556CD2">
      <w:pPr>
        <w:spacing w:before="120" w:line="276" w:lineRule="auto"/>
        <w:ind w:firstLine="709"/>
        <w:jc w:val="both"/>
        <w:rPr>
          <w:rFonts w:ascii="Arial" w:hAnsi="Arial" w:cs="Arial"/>
          <w:sz w:val="22"/>
          <w:szCs w:val="22"/>
          <w:lang w:val="es-MX"/>
        </w:rPr>
      </w:pPr>
      <w:r w:rsidRPr="00320407">
        <w:rPr>
          <w:rFonts w:ascii="Arial" w:hAnsi="Arial" w:cs="Arial"/>
          <w:sz w:val="22"/>
          <w:szCs w:val="22"/>
          <w:lang w:val="es-MX"/>
        </w:rPr>
        <w:t xml:space="preserve">En todo caso, es necesario que dicha reforma estatutaria conste en el respectivo certificado de existencia y representación legal que el proponente aporte en el proceso de contratación, en el que se pueda verificar que, en efecto, se produjo una transformación de la sociedad en los términos del artículo 167 del Código de Comercio o la norma que aplique, y, además, que se haya efectuado la actualización correspondiente en el RUP. Lo anterior teniendo en cuenta que estos documentos constituyen plena prueba en los que </w:t>
      </w:r>
      <w:r w:rsidRPr="00320407">
        <w:rPr>
          <w:rFonts w:ascii="Arial" w:hAnsi="Arial" w:cs="Arial"/>
          <w:color w:val="000000"/>
          <w:sz w:val="22"/>
          <w:szCs w:val="22"/>
        </w:rPr>
        <w:t xml:space="preserve">se puede constatar el cambio de tipo societario de la persona jurídica que se presenta en el proceso de contratación. </w:t>
      </w:r>
    </w:p>
    <w:p w14:paraId="5C806986" w14:textId="77777777" w:rsidR="00AC7146" w:rsidRPr="00320407" w:rsidRDefault="00AC7146" w:rsidP="00556CD2">
      <w:pPr>
        <w:spacing w:line="276" w:lineRule="auto"/>
        <w:jc w:val="both"/>
        <w:rPr>
          <w:rFonts w:ascii="Arial" w:hAnsi="Arial" w:cs="Arial"/>
          <w:sz w:val="22"/>
          <w:szCs w:val="22"/>
        </w:rPr>
      </w:pPr>
    </w:p>
    <w:p w14:paraId="4481B58B" w14:textId="1A67D6A3" w:rsidR="00DF3130" w:rsidRPr="00320407" w:rsidRDefault="00DF3130" w:rsidP="00320407">
      <w:pPr>
        <w:spacing w:line="276" w:lineRule="auto"/>
        <w:contextualSpacing/>
        <w:jc w:val="both"/>
        <w:rPr>
          <w:rFonts w:ascii="Arial" w:eastAsia="Calibri" w:hAnsi="Arial" w:cs="Arial"/>
          <w:sz w:val="22"/>
          <w:szCs w:val="22"/>
        </w:rPr>
      </w:pPr>
      <w:r w:rsidRPr="00320407">
        <w:rPr>
          <w:rFonts w:ascii="Arial" w:eastAsia="Calibri" w:hAnsi="Arial" w:cs="Arial"/>
          <w:sz w:val="22"/>
          <w:szCs w:val="22"/>
        </w:rPr>
        <w:t>Este concepto tiene el alcance previsto en el artículo 28 del Código de Procedimiento Administrativo y de lo Contencioso Administrativo.</w:t>
      </w:r>
    </w:p>
    <w:p w14:paraId="3F1E7DB9" w14:textId="77777777" w:rsidR="00DF3130" w:rsidRPr="00320407" w:rsidRDefault="00DF3130" w:rsidP="00AC7146">
      <w:pPr>
        <w:spacing w:line="276" w:lineRule="auto"/>
        <w:contextualSpacing/>
        <w:jc w:val="both"/>
        <w:rPr>
          <w:rFonts w:ascii="Arial" w:eastAsia="Calibri" w:hAnsi="Arial" w:cs="Arial"/>
          <w:sz w:val="22"/>
          <w:szCs w:val="22"/>
        </w:rPr>
      </w:pPr>
    </w:p>
    <w:p w14:paraId="6A2A645B" w14:textId="5F08C5B1" w:rsidR="0015100A" w:rsidRPr="00320407" w:rsidRDefault="00DF3130" w:rsidP="00AC7146">
      <w:pPr>
        <w:spacing w:line="276" w:lineRule="auto"/>
        <w:contextualSpacing/>
        <w:jc w:val="both"/>
        <w:rPr>
          <w:rFonts w:ascii="Arial" w:hAnsi="Arial" w:cs="Arial"/>
          <w:sz w:val="22"/>
          <w:szCs w:val="22"/>
          <w:lang w:eastAsia="es-CO"/>
        </w:rPr>
      </w:pPr>
      <w:r w:rsidRPr="00320407">
        <w:rPr>
          <w:rFonts w:ascii="Arial" w:hAnsi="Arial" w:cs="Arial"/>
          <w:sz w:val="22"/>
          <w:szCs w:val="22"/>
          <w:lang w:eastAsia="es-CO"/>
        </w:rPr>
        <w:t>Atentamente,</w:t>
      </w:r>
    </w:p>
    <w:p w14:paraId="3614917F" w14:textId="1556305F" w:rsidR="0015100A" w:rsidRPr="00320407" w:rsidRDefault="0015100A" w:rsidP="001C6B19">
      <w:pPr>
        <w:spacing w:line="276" w:lineRule="auto"/>
        <w:jc w:val="center"/>
        <w:rPr>
          <w:rFonts w:ascii="Arial" w:hAnsi="Arial" w:cs="Arial"/>
          <w:sz w:val="22"/>
          <w:szCs w:val="22"/>
          <w:lang w:eastAsia="es-ES_tradnl"/>
        </w:rPr>
      </w:pPr>
    </w:p>
    <w:p w14:paraId="2AB97B06" w14:textId="1103ED28" w:rsidR="0015100A" w:rsidRPr="00320407" w:rsidRDefault="004D28D9" w:rsidP="001C6B19">
      <w:pPr>
        <w:spacing w:line="276" w:lineRule="auto"/>
        <w:jc w:val="center"/>
        <w:rPr>
          <w:rFonts w:ascii="Arial" w:hAnsi="Arial" w:cs="Arial"/>
          <w:sz w:val="22"/>
          <w:szCs w:val="22"/>
          <w:lang w:eastAsia="es-ES_tradnl"/>
        </w:rPr>
      </w:pPr>
      <w:r>
        <w:rPr>
          <w:noProof/>
          <w:lang w:val="es-ES"/>
        </w:rPr>
        <w:drawing>
          <wp:inline distT="0" distB="0" distL="0" distR="0" wp14:anchorId="5EADC7DC" wp14:editId="5CD70B4C">
            <wp:extent cx="2788947" cy="1089498"/>
            <wp:effectExtent l="0" t="0" r="508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5747" cy="1099968"/>
                    </a:xfrm>
                    <a:prstGeom prst="rect">
                      <a:avLst/>
                    </a:prstGeom>
                    <a:noFill/>
                    <a:ln>
                      <a:noFill/>
                    </a:ln>
                  </pic:spPr>
                </pic:pic>
              </a:graphicData>
            </a:graphic>
          </wp:inline>
        </w:drawing>
      </w:r>
    </w:p>
    <w:p w14:paraId="3E76BAB0" w14:textId="77777777" w:rsidR="00457483" w:rsidRPr="00320407" w:rsidRDefault="00457483" w:rsidP="001C6B19">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6297" w:rsidRPr="00320407" w14:paraId="116D3F91" w14:textId="77777777" w:rsidTr="00423E96">
        <w:trPr>
          <w:trHeight w:val="315"/>
        </w:trPr>
        <w:tc>
          <w:tcPr>
            <w:tcW w:w="812" w:type="dxa"/>
            <w:vAlign w:val="center"/>
            <w:hideMark/>
          </w:tcPr>
          <w:p w14:paraId="76BB6601" w14:textId="77777777" w:rsidR="00C06297" w:rsidRPr="00320407" w:rsidRDefault="00C06297"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0E453CD0" w14:textId="77777777" w:rsidR="00C06297" w:rsidRPr="00320407" w:rsidRDefault="00C06297" w:rsidP="001C6B19">
            <w:pPr>
              <w:spacing w:line="276" w:lineRule="auto"/>
              <w:rPr>
                <w:rFonts w:ascii="Arial" w:hAnsi="Arial" w:cs="Arial"/>
                <w:sz w:val="15"/>
                <w:szCs w:val="15"/>
                <w:lang w:eastAsia="es-ES"/>
              </w:rPr>
            </w:pPr>
            <w:r w:rsidRPr="00320407">
              <w:rPr>
                <w:rFonts w:ascii="Arial" w:hAnsi="Arial" w:cs="Arial"/>
                <w:sz w:val="15"/>
                <w:szCs w:val="15"/>
                <w:lang w:eastAsia="es-ES"/>
              </w:rPr>
              <w:t xml:space="preserve">Álvaro </w:t>
            </w:r>
            <w:proofErr w:type="spellStart"/>
            <w:r w:rsidRPr="00320407">
              <w:rPr>
                <w:rFonts w:ascii="Arial" w:hAnsi="Arial" w:cs="Arial"/>
                <w:sz w:val="15"/>
                <w:szCs w:val="15"/>
                <w:lang w:eastAsia="es-ES"/>
              </w:rPr>
              <w:t>Namén</w:t>
            </w:r>
            <w:proofErr w:type="spellEnd"/>
            <w:r w:rsidRPr="00320407">
              <w:rPr>
                <w:rFonts w:ascii="Arial" w:hAnsi="Arial" w:cs="Arial"/>
                <w:sz w:val="15"/>
                <w:szCs w:val="15"/>
                <w:lang w:eastAsia="es-ES"/>
              </w:rPr>
              <w:t xml:space="preserve"> Vargas</w:t>
            </w:r>
          </w:p>
          <w:p w14:paraId="113AA233" w14:textId="77777777" w:rsidR="00C06297" w:rsidRPr="00320407" w:rsidRDefault="00C06297"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 xml:space="preserve">Contratista de la Subdirección de Gestión Contractual  </w:t>
            </w:r>
          </w:p>
        </w:tc>
      </w:tr>
      <w:tr w:rsidR="00C06297" w:rsidRPr="00320407" w14:paraId="51F0CE60" w14:textId="77777777" w:rsidTr="00423E96">
        <w:trPr>
          <w:trHeight w:val="330"/>
        </w:trPr>
        <w:tc>
          <w:tcPr>
            <w:tcW w:w="812" w:type="dxa"/>
            <w:vAlign w:val="center"/>
            <w:hideMark/>
          </w:tcPr>
          <w:p w14:paraId="272C6AA1" w14:textId="77777777" w:rsidR="00C06297" w:rsidRPr="00320407" w:rsidRDefault="00C06297"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036ADE" w14:textId="2C900704" w:rsidR="00C06297" w:rsidRPr="00320407" w:rsidRDefault="004829AD"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 xml:space="preserve">Alejandro Sarmiento </w:t>
            </w:r>
            <w:r w:rsidR="00556CD2" w:rsidRPr="00320407">
              <w:rPr>
                <w:rFonts w:ascii="Arial" w:hAnsi="Arial" w:cs="Arial"/>
                <w:sz w:val="15"/>
                <w:szCs w:val="15"/>
                <w:lang w:eastAsia="es-ES"/>
              </w:rPr>
              <w:t>Cantillo</w:t>
            </w:r>
          </w:p>
          <w:p w14:paraId="1427B253" w14:textId="08687120" w:rsidR="00C06297" w:rsidRPr="00320407" w:rsidRDefault="00556CD2"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 xml:space="preserve">Gestor T1-15 </w:t>
            </w:r>
            <w:r w:rsidR="00C06297" w:rsidRPr="00320407">
              <w:rPr>
                <w:rFonts w:ascii="Arial" w:hAnsi="Arial" w:cs="Arial"/>
                <w:sz w:val="15"/>
                <w:szCs w:val="15"/>
                <w:lang w:eastAsia="es-ES"/>
              </w:rPr>
              <w:t>de la Subdirección de Gestión Contractual</w:t>
            </w:r>
          </w:p>
        </w:tc>
      </w:tr>
      <w:tr w:rsidR="00C06297" w:rsidRPr="00320407" w14:paraId="47905FD4" w14:textId="77777777" w:rsidTr="00423E96">
        <w:trPr>
          <w:trHeight w:val="300"/>
        </w:trPr>
        <w:tc>
          <w:tcPr>
            <w:tcW w:w="812" w:type="dxa"/>
            <w:vAlign w:val="center"/>
            <w:hideMark/>
          </w:tcPr>
          <w:p w14:paraId="1E2A29DF" w14:textId="77777777" w:rsidR="00C06297" w:rsidRPr="00320407" w:rsidRDefault="00C06297"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950031" w14:textId="77777777" w:rsidR="00C06297" w:rsidRPr="00320407" w:rsidRDefault="00C06297"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Juan David Marín López</w:t>
            </w:r>
          </w:p>
          <w:p w14:paraId="393529C6" w14:textId="77777777" w:rsidR="00C06297" w:rsidRPr="00320407" w:rsidRDefault="00C06297" w:rsidP="001C6B19">
            <w:pPr>
              <w:spacing w:line="276" w:lineRule="auto"/>
              <w:jc w:val="both"/>
              <w:rPr>
                <w:rFonts w:ascii="Arial" w:hAnsi="Arial" w:cs="Arial"/>
                <w:sz w:val="15"/>
                <w:szCs w:val="15"/>
                <w:lang w:eastAsia="es-ES"/>
              </w:rPr>
            </w:pPr>
            <w:r w:rsidRPr="00320407">
              <w:rPr>
                <w:rFonts w:ascii="Arial" w:hAnsi="Arial" w:cs="Arial"/>
                <w:sz w:val="15"/>
                <w:szCs w:val="15"/>
                <w:lang w:eastAsia="es-ES"/>
              </w:rPr>
              <w:t>Subdirector de Gestión Contractual (E)</w:t>
            </w:r>
          </w:p>
        </w:tc>
      </w:tr>
    </w:tbl>
    <w:p w14:paraId="49D4532E" w14:textId="7187FB04" w:rsidR="00560087" w:rsidRPr="00320407" w:rsidRDefault="00560087" w:rsidP="001C6B19">
      <w:pPr>
        <w:spacing w:after="120" w:line="276" w:lineRule="auto"/>
        <w:jc w:val="both"/>
        <w:rPr>
          <w:rFonts w:ascii="Arial" w:hAnsi="Arial" w:cs="Arial"/>
        </w:rPr>
      </w:pPr>
    </w:p>
    <w:sectPr w:rsidR="00560087" w:rsidRPr="00320407"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BEE5E" w14:textId="77777777" w:rsidR="00711D30" w:rsidRDefault="00711D30" w:rsidP="003C7067">
      <w:r>
        <w:separator/>
      </w:r>
    </w:p>
  </w:endnote>
  <w:endnote w:type="continuationSeparator" w:id="0">
    <w:p w14:paraId="7BBBCBD2" w14:textId="77777777" w:rsidR="00711D30" w:rsidRDefault="00711D30"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F547A" w:rsidRPr="00080DA3" w14:paraId="27B94BCF" w14:textId="77777777" w:rsidTr="005C12A3">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7C196" w14:textId="77777777" w:rsidR="00711D30" w:rsidRDefault="00711D30" w:rsidP="003C7067">
      <w:r>
        <w:separator/>
      </w:r>
    </w:p>
  </w:footnote>
  <w:footnote w:type="continuationSeparator" w:id="0">
    <w:p w14:paraId="0DA6AC4C" w14:textId="77777777" w:rsidR="00711D30" w:rsidRDefault="00711D30" w:rsidP="003C7067">
      <w:r>
        <w:continuationSeparator/>
      </w:r>
    </w:p>
  </w:footnote>
  <w:footnote w:id="1">
    <w:p w14:paraId="068529DA" w14:textId="77777777" w:rsidR="00FA3673" w:rsidRPr="00315DA1" w:rsidRDefault="00FA3673" w:rsidP="00FA3673">
      <w:pPr>
        <w:pStyle w:val="Textonotapie"/>
        <w:ind w:firstLine="708"/>
        <w:jc w:val="both"/>
        <w:rPr>
          <w:rFonts w:ascii="Arial" w:hAnsi="Arial" w:cs="Arial"/>
          <w:sz w:val="21"/>
          <w:szCs w:val="21"/>
          <w:lang w:val="es-ES"/>
        </w:rPr>
      </w:pPr>
      <w:r w:rsidRPr="00315DA1">
        <w:rPr>
          <w:rStyle w:val="Refdenotaalpie"/>
          <w:rFonts w:ascii="Arial" w:hAnsi="Arial" w:cs="Arial"/>
          <w:sz w:val="21"/>
          <w:szCs w:val="21"/>
        </w:rPr>
        <w:footnoteRef/>
      </w:r>
      <w:r w:rsidRPr="00315DA1">
        <w:rPr>
          <w:rFonts w:ascii="Arial" w:hAnsi="Arial" w:cs="Arial"/>
          <w:sz w:val="21"/>
          <w:szCs w:val="21"/>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15DA1">
        <w:rPr>
          <w:rFonts w:ascii="Arial" w:hAnsi="Arial" w:cs="Arial"/>
          <w:i/>
          <w:iCs/>
          <w:sz w:val="21"/>
          <w:szCs w:val="21"/>
        </w:rPr>
        <w:t xml:space="preserve">ibidem </w:t>
      </w:r>
      <w:r w:rsidRPr="00315DA1">
        <w:rPr>
          <w:rFonts w:ascii="Arial" w:hAnsi="Arial" w:cs="Arial"/>
          <w:sz w:val="21"/>
          <w:szCs w:val="21"/>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DA35069" w14:textId="77777777" w:rsidR="00FA3673" w:rsidRPr="00315DA1" w:rsidRDefault="00FA3673" w:rsidP="00FA3673">
      <w:pPr>
        <w:pStyle w:val="Textonotapie"/>
        <w:ind w:firstLine="709"/>
        <w:jc w:val="both"/>
        <w:rPr>
          <w:rFonts w:ascii="Arial" w:hAnsi="Arial" w:cs="Arial"/>
          <w:color w:val="000000" w:themeColor="text1"/>
          <w:sz w:val="21"/>
          <w:szCs w:val="21"/>
          <w:lang w:val="es-CO"/>
        </w:rPr>
      </w:pPr>
      <w:r w:rsidRPr="00315DA1">
        <w:rPr>
          <w:rStyle w:val="Refdenotaalpie"/>
          <w:rFonts w:ascii="Arial" w:hAnsi="Arial" w:cs="Arial"/>
          <w:sz w:val="21"/>
          <w:szCs w:val="21"/>
        </w:rPr>
        <w:footnoteRef/>
      </w:r>
      <w:r w:rsidRPr="00315DA1">
        <w:rPr>
          <w:rFonts w:ascii="Arial" w:hAnsi="Arial" w:cs="Arial"/>
          <w:sz w:val="21"/>
          <w:szCs w:val="21"/>
        </w:rPr>
        <w:t xml:space="preserve"> </w:t>
      </w:r>
      <w:r w:rsidRPr="00315DA1">
        <w:rPr>
          <w:rFonts w:ascii="Arial" w:hAnsi="Arial" w:cs="Arial"/>
          <w:sz w:val="21"/>
          <w:szCs w:val="21"/>
          <w:lang w:val="es-CO"/>
        </w:rPr>
        <w:t xml:space="preserve">Estos conceptos pueden ser consultados en </w:t>
      </w:r>
      <w:hyperlink r:id="rId1" w:history="1">
        <w:r w:rsidRPr="00315DA1">
          <w:rPr>
            <w:rStyle w:val="Hipervnculo"/>
            <w:rFonts w:ascii="Arial" w:hAnsi="Arial" w:cs="Arial"/>
            <w:color w:val="000000" w:themeColor="text1"/>
            <w:sz w:val="21"/>
            <w:szCs w:val="21"/>
            <w:lang w:val="es-CO"/>
          </w:rPr>
          <w:t>https://relatoria.colombiacompra.gov.co/busqueda/conceptos</w:t>
        </w:r>
      </w:hyperlink>
    </w:p>
    <w:p w14:paraId="3D50992C" w14:textId="77777777" w:rsidR="00FA3673" w:rsidRPr="00315DA1" w:rsidRDefault="00FA3673" w:rsidP="00FA3673">
      <w:pPr>
        <w:pStyle w:val="Textonotapie"/>
        <w:jc w:val="both"/>
        <w:rPr>
          <w:rFonts w:ascii="Arial" w:hAnsi="Arial" w:cs="Arial"/>
          <w:sz w:val="21"/>
          <w:szCs w:val="21"/>
          <w:lang w:val="es-CO"/>
        </w:rPr>
      </w:pPr>
    </w:p>
  </w:footnote>
  <w:footnote w:id="3">
    <w:p w14:paraId="5810FC55" w14:textId="77777777" w:rsidR="00FA3673" w:rsidRPr="00315DA1" w:rsidRDefault="00FA3673" w:rsidP="00FA3673">
      <w:pPr>
        <w:pStyle w:val="Textonotapie"/>
        <w:ind w:firstLine="709"/>
        <w:jc w:val="both"/>
        <w:rPr>
          <w:rFonts w:ascii="Arial" w:hAnsi="Arial" w:cs="Arial"/>
          <w:color w:val="000000" w:themeColor="text1"/>
          <w:sz w:val="21"/>
          <w:szCs w:val="21"/>
          <w:lang w:val="es-CO"/>
        </w:rPr>
      </w:pPr>
      <w:r w:rsidRPr="00315DA1">
        <w:rPr>
          <w:rStyle w:val="Refdenotaalpie"/>
          <w:rFonts w:ascii="Arial" w:hAnsi="Arial" w:cs="Arial"/>
          <w:sz w:val="21"/>
          <w:szCs w:val="21"/>
        </w:rPr>
        <w:footnoteRef/>
      </w:r>
      <w:r w:rsidRPr="00315DA1">
        <w:rPr>
          <w:rFonts w:ascii="Arial" w:hAnsi="Arial" w:cs="Arial"/>
          <w:color w:val="000000" w:themeColor="text1"/>
          <w:sz w:val="21"/>
          <w:szCs w:val="21"/>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1EAD306F" w14:textId="77777777" w:rsidR="00FA3673" w:rsidRPr="00315DA1" w:rsidRDefault="00FA3673" w:rsidP="00FA3673">
      <w:pPr>
        <w:pStyle w:val="Textonotapie"/>
        <w:ind w:firstLine="709"/>
        <w:jc w:val="both"/>
        <w:rPr>
          <w:rFonts w:ascii="Arial" w:hAnsi="Arial" w:cs="Arial"/>
          <w:color w:val="000000" w:themeColor="text1"/>
          <w:sz w:val="21"/>
          <w:szCs w:val="21"/>
        </w:rPr>
      </w:pPr>
      <w:r w:rsidRPr="00315DA1">
        <w:rPr>
          <w:rStyle w:val="Refdenotaalpie"/>
          <w:rFonts w:ascii="Arial" w:hAnsi="Arial" w:cs="Arial"/>
          <w:sz w:val="21"/>
          <w:szCs w:val="21"/>
        </w:rPr>
        <w:footnoteRef/>
      </w:r>
      <w:r w:rsidRPr="00315DA1">
        <w:rPr>
          <w:rFonts w:ascii="Arial" w:hAnsi="Arial" w:cs="Arial"/>
          <w:color w:val="000000" w:themeColor="text1"/>
          <w:sz w:val="21"/>
          <w:szCs w:val="21"/>
        </w:rPr>
        <w:t xml:space="preserve"> </w:t>
      </w:r>
      <w:r w:rsidRPr="00315DA1">
        <w:rPr>
          <w:rFonts w:ascii="Arial" w:hAnsi="Arial" w:cs="Arial"/>
          <w:color w:val="000000" w:themeColor="text1"/>
          <w:sz w:val="21"/>
          <w:szCs w:val="21"/>
          <w:lang w:val="es-CO"/>
        </w:rPr>
        <w:t xml:space="preserve">Ley 1882 de 2018: «Artículo 4. </w:t>
      </w:r>
      <w:r w:rsidRPr="00315DA1">
        <w:rPr>
          <w:rFonts w:ascii="Arial" w:hAnsi="Arial" w:cs="Arial"/>
          <w:color w:val="000000" w:themeColor="text1"/>
          <w:sz w:val="21"/>
          <w:szCs w:val="21"/>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527C6D9" w14:textId="77777777" w:rsidR="00FA3673" w:rsidRPr="00315DA1" w:rsidRDefault="00FA3673" w:rsidP="00FA3673">
      <w:pPr>
        <w:pStyle w:val="Textonotapie"/>
        <w:ind w:firstLine="709"/>
        <w:jc w:val="both"/>
        <w:rPr>
          <w:rFonts w:ascii="Arial" w:hAnsi="Arial" w:cs="Arial"/>
          <w:color w:val="000000" w:themeColor="text1"/>
          <w:sz w:val="21"/>
          <w:szCs w:val="21"/>
          <w:lang w:val="es-CO"/>
        </w:rPr>
      </w:pPr>
      <w:r w:rsidRPr="00315DA1">
        <w:rPr>
          <w:rFonts w:ascii="Arial" w:hAnsi="Arial" w:cs="Arial"/>
          <w:color w:val="000000" w:themeColor="text1"/>
          <w:sz w:val="21"/>
          <w:szCs w:val="21"/>
          <w:lang w:val="es-CO"/>
        </w:rPr>
        <w:t>»La facultad de adoptar documentos tipo la tendrá el Gobierno nacional, cuando lo considere necesario, en relación con otros contratos o procesos de selección.</w:t>
      </w:r>
    </w:p>
    <w:p w14:paraId="12045956" w14:textId="77777777" w:rsidR="00FA3673" w:rsidRPr="00315DA1" w:rsidRDefault="00FA3673" w:rsidP="00FA3673">
      <w:pPr>
        <w:pStyle w:val="Textonotapie"/>
        <w:ind w:firstLine="709"/>
        <w:jc w:val="both"/>
        <w:rPr>
          <w:rFonts w:ascii="Arial" w:hAnsi="Arial" w:cs="Arial"/>
          <w:color w:val="000000" w:themeColor="text1"/>
          <w:sz w:val="21"/>
          <w:szCs w:val="21"/>
          <w:lang w:val="es-CO"/>
        </w:rPr>
      </w:pPr>
      <w:r w:rsidRPr="00315DA1">
        <w:rPr>
          <w:rFonts w:ascii="Arial" w:hAnsi="Arial" w:cs="Arial"/>
          <w:color w:val="000000" w:themeColor="text1"/>
          <w:sz w:val="21"/>
          <w:szCs w:val="21"/>
          <w:lang w:val="es-CO"/>
        </w:rPr>
        <w:t>»Los pliegos tipo se adoptarán por categorías de acuerdo con la cuantía de la contratación, según la reglamentación que expida el Gobierno nacional».</w:t>
      </w:r>
    </w:p>
  </w:footnote>
  <w:footnote w:id="5">
    <w:p w14:paraId="4BE3FE4D" w14:textId="77777777" w:rsidR="00FA3673" w:rsidRPr="00315DA1" w:rsidRDefault="00FA3673" w:rsidP="00FA3673">
      <w:pPr>
        <w:pStyle w:val="Textonotapie"/>
        <w:ind w:firstLine="709"/>
        <w:jc w:val="both"/>
        <w:rPr>
          <w:rFonts w:ascii="Arial" w:hAnsi="Arial" w:cs="Arial"/>
          <w:color w:val="000000" w:themeColor="text1"/>
          <w:sz w:val="21"/>
          <w:szCs w:val="21"/>
        </w:rPr>
      </w:pPr>
      <w:r w:rsidRPr="00315DA1">
        <w:rPr>
          <w:rStyle w:val="Refdenotaalpie"/>
          <w:rFonts w:ascii="Arial" w:hAnsi="Arial" w:cs="Arial"/>
          <w:sz w:val="21"/>
          <w:szCs w:val="21"/>
        </w:rPr>
        <w:footnoteRef/>
      </w:r>
      <w:r w:rsidRPr="00315DA1">
        <w:rPr>
          <w:rFonts w:ascii="Arial" w:hAnsi="Arial" w:cs="Arial"/>
          <w:color w:val="000000" w:themeColor="text1"/>
          <w:sz w:val="21"/>
          <w:szCs w:val="21"/>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49FA372" w14:textId="77777777" w:rsidR="00FA3673" w:rsidRPr="00315DA1" w:rsidRDefault="00FA3673" w:rsidP="00FA3673">
      <w:pPr>
        <w:pStyle w:val="Textonotapie"/>
        <w:ind w:firstLine="709"/>
        <w:jc w:val="both"/>
        <w:rPr>
          <w:rFonts w:ascii="Arial" w:hAnsi="Arial" w:cs="Arial"/>
          <w:color w:val="000000" w:themeColor="text1"/>
          <w:sz w:val="21"/>
          <w:szCs w:val="21"/>
        </w:rPr>
      </w:pPr>
    </w:p>
  </w:footnote>
  <w:footnote w:id="6">
    <w:p w14:paraId="7B4E0D39"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r w:rsidRPr="00315DA1">
        <w:rPr>
          <w:rStyle w:val="Refdenotaalpie"/>
          <w:rFonts w:ascii="Arial" w:hAnsi="Arial" w:cs="Arial"/>
          <w:sz w:val="21"/>
          <w:szCs w:val="21"/>
        </w:rPr>
        <w:footnoteRef/>
      </w:r>
      <w:r w:rsidRPr="00315DA1">
        <w:rPr>
          <w:rFonts w:ascii="Arial" w:hAnsi="Arial" w:cs="Arial"/>
          <w:color w:val="000000" w:themeColor="text1"/>
          <w:sz w:val="21"/>
          <w:szCs w:val="21"/>
        </w:rPr>
        <w:t xml:space="preserve"> Ley 2022 de 2020: «</w:t>
      </w:r>
      <w:r w:rsidRPr="00315DA1">
        <w:rPr>
          <w:rStyle w:val="Textoennegrita"/>
          <w:rFonts w:ascii="Arial" w:hAnsi="Arial" w:cs="Arial"/>
          <w:b w:val="0"/>
          <w:bCs w:val="0"/>
          <w:color w:val="000000" w:themeColor="text1"/>
          <w:sz w:val="21"/>
          <w:szCs w:val="21"/>
        </w:rPr>
        <w:t>Artículo 1º.</w:t>
      </w:r>
      <w:r w:rsidRPr="00315DA1">
        <w:rPr>
          <w:rFonts w:ascii="Arial" w:hAnsi="Arial" w:cs="Arial"/>
          <w:color w:val="000000" w:themeColor="text1"/>
          <w:sz w:val="21"/>
          <w:szCs w:val="21"/>
        </w:rPr>
        <w:t> Modifíquese el artículo 4º de la Ley 1882 de 2018, el cual quedará así: </w:t>
      </w:r>
    </w:p>
    <w:p w14:paraId="7C5E487A"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proofErr w:type="gramStart"/>
      <w:r w:rsidRPr="00315DA1">
        <w:rPr>
          <w:rStyle w:val="Textoennegrita"/>
          <w:rFonts w:ascii="Arial" w:hAnsi="Arial" w:cs="Arial"/>
          <w:b w:val="0"/>
          <w:bCs w:val="0"/>
          <w:color w:val="000000" w:themeColor="text1"/>
          <w:sz w:val="21"/>
          <w:szCs w:val="21"/>
        </w:rPr>
        <w:t>»Artículo</w:t>
      </w:r>
      <w:proofErr w:type="gramEnd"/>
      <w:r w:rsidRPr="00315DA1">
        <w:rPr>
          <w:rStyle w:val="Textoennegrita"/>
          <w:rFonts w:ascii="Arial" w:hAnsi="Arial" w:cs="Arial"/>
          <w:b w:val="0"/>
          <w:bCs w:val="0"/>
          <w:color w:val="000000" w:themeColor="text1"/>
          <w:sz w:val="21"/>
          <w:szCs w:val="21"/>
        </w:rPr>
        <w:t xml:space="preserve"> 4º.</w:t>
      </w:r>
      <w:r w:rsidRPr="00315DA1">
        <w:rPr>
          <w:rFonts w:ascii="Arial" w:hAnsi="Arial" w:cs="Arial"/>
          <w:color w:val="000000" w:themeColor="text1"/>
          <w:sz w:val="21"/>
          <w:szCs w:val="21"/>
        </w:rPr>
        <w:t> Adiciónese el siguiente parágrafo al artículo 2º de la Ley 1150 de 2007. </w:t>
      </w:r>
    </w:p>
    <w:p w14:paraId="480F6B6D"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proofErr w:type="gramStart"/>
      <w:r w:rsidRPr="00315DA1">
        <w:rPr>
          <w:rStyle w:val="Textoennegrita"/>
          <w:rFonts w:ascii="Arial" w:hAnsi="Arial" w:cs="Arial"/>
          <w:b w:val="0"/>
          <w:bCs w:val="0"/>
          <w:color w:val="000000" w:themeColor="text1"/>
          <w:sz w:val="21"/>
          <w:szCs w:val="21"/>
        </w:rPr>
        <w:t>»Parágrafo</w:t>
      </w:r>
      <w:proofErr w:type="gramEnd"/>
      <w:r w:rsidRPr="00315DA1">
        <w:rPr>
          <w:rStyle w:val="Textoennegrita"/>
          <w:rFonts w:ascii="Arial" w:hAnsi="Arial" w:cs="Arial"/>
          <w:b w:val="0"/>
          <w:bCs w:val="0"/>
          <w:color w:val="000000" w:themeColor="text1"/>
          <w:sz w:val="21"/>
          <w:szCs w:val="21"/>
        </w:rPr>
        <w:t xml:space="preserve"> 7º.</w:t>
      </w:r>
      <w:r w:rsidRPr="00315DA1">
        <w:rPr>
          <w:rFonts w:ascii="Arial" w:hAnsi="Arial" w:cs="Arial"/>
          <w:color w:val="000000" w:themeColor="text1"/>
          <w:sz w:val="21"/>
          <w:szCs w:val="21"/>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2991F39"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proofErr w:type="gramStart"/>
      <w:r w:rsidRPr="00315DA1">
        <w:rPr>
          <w:rFonts w:ascii="Arial" w:hAnsi="Arial" w:cs="Arial"/>
          <w:color w:val="000000" w:themeColor="text1"/>
          <w:sz w:val="21"/>
          <w:szCs w:val="21"/>
        </w:rPr>
        <w:t>»Dentro</w:t>
      </w:r>
      <w:proofErr w:type="gramEnd"/>
      <w:r w:rsidRPr="00315DA1">
        <w:rPr>
          <w:rFonts w:ascii="Arial" w:hAnsi="Arial" w:cs="Arial"/>
          <w:color w:val="000000" w:themeColor="text1"/>
          <w:sz w:val="21"/>
          <w:szCs w:val="21"/>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4F9365"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proofErr w:type="gramStart"/>
      <w:r w:rsidRPr="00315DA1">
        <w:rPr>
          <w:rFonts w:ascii="Arial" w:hAnsi="Arial" w:cs="Arial"/>
          <w:color w:val="000000" w:themeColor="text1"/>
          <w:sz w:val="21"/>
          <w:szCs w:val="21"/>
        </w:rPr>
        <w:t>»Con</w:t>
      </w:r>
      <w:proofErr w:type="gramEnd"/>
      <w:r w:rsidRPr="00315DA1">
        <w:rPr>
          <w:rFonts w:ascii="Arial" w:hAnsi="Arial" w:cs="Arial"/>
          <w:color w:val="000000" w:themeColor="text1"/>
          <w:sz w:val="21"/>
          <w:szCs w:val="21"/>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2D63A51"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r w:rsidRPr="00315DA1">
        <w:rPr>
          <w:rFonts w:ascii="Arial" w:hAnsi="Arial" w:cs="Arial"/>
          <w:color w:val="000000" w:themeColor="text1"/>
          <w:sz w:val="21"/>
          <w:szCs w:val="21"/>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F883135" w14:textId="77777777" w:rsidR="00FA3673" w:rsidRPr="00315DA1" w:rsidRDefault="00FA3673" w:rsidP="00FA3673">
      <w:pPr>
        <w:pStyle w:val="NormalWeb"/>
        <w:spacing w:before="0" w:beforeAutospacing="0" w:after="0" w:afterAutospacing="0"/>
        <w:ind w:firstLine="709"/>
        <w:jc w:val="both"/>
        <w:rPr>
          <w:rFonts w:ascii="Arial" w:hAnsi="Arial" w:cs="Arial"/>
          <w:color w:val="000000" w:themeColor="text1"/>
          <w:sz w:val="21"/>
          <w:szCs w:val="21"/>
        </w:rPr>
      </w:pPr>
      <w:proofErr w:type="gramStart"/>
      <w:r w:rsidRPr="00315DA1">
        <w:rPr>
          <w:rFonts w:ascii="Arial" w:hAnsi="Arial" w:cs="Arial"/>
          <w:color w:val="000000" w:themeColor="text1"/>
          <w:sz w:val="21"/>
          <w:szCs w:val="21"/>
        </w:rPr>
        <w:t>»En</w:t>
      </w:r>
      <w:proofErr w:type="gramEnd"/>
      <w:r w:rsidRPr="00315DA1">
        <w:rPr>
          <w:rFonts w:ascii="Arial" w:hAnsi="Arial" w:cs="Arial"/>
          <w:color w:val="000000" w:themeColor="text1"/>
          <w:sz w:val="21"/>
          <w:szCs w:val="21"/>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5FBCD2D9" w14:textId="77777777" w:rsidR="00537953" w:rsidRPr="00315DA1" w:rsidRDefault="00537953" w:rsidP="00537953">
      <w:pPr>
        <w:pStyle w:val="Textonotapie"/>
        <w:ind w:firstLine="709"/>
        <w:jc w:val="both"/>
        <w:rPr>
          <w:rFonts w:ascii="Arial" w:hAnsi="Arial" w:cs="Arial"/>
          <w:sz w:val="21"/>
          <w:szCs w:val="21"/>
        </w:rPr>
      </w:pPr>
      <w:r w:rsidRPr="00315DA1">
        <w:rPr>
          <w:rStyle w:val="Refdenotaalpie"/>
          <w:rFonts w:ascii="Arial" w:hAnsi="Arial" w:cs="Arial"/>
          <w:sz w:val="21"/>
          <w:szCs w:val="21"/>
        </w:rPr>
        <w:footnoteRef/>
      </w:r>
      <w:r w:rsidRPr="00315DA1">
        <w:rPr>
          <w:rFonts w:ascii="Arial" w:hAnsi="Arial" w:cs="Arial"/>
          <w:sz w:val="21"/>
          <w:szCs w:val="21"/>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9F1B3AF" w14:textId="77777777" w:rsidR="00537953" w:rsidRPr="00315DA1" w:rsidRDefault="00537953" w:rsidP="00537953">
      <w:pPr>
        <w:pStyle w:val="Textonotapie"/>
        <w:ind w:firstLine="709"/>
        <w:jc w:val="both"/>
        <w:rPr>
          <w:rFonts w:ascii="Arial" w:hAnsi="Arial" w:cs="Arial"/>
          <w:sz w:val="21"/>
          <w:szCs w:val="21"/>
        </w:rPr>
      </w:pPr>
      <w:r w:rsidRPr="00315DA1">
        <w:rPr>
          <w:rFonts w:ascii="Arial" w:hAnsi="Arial" w:cs="Arial"/>
          <w:sz w:val="21"/>
          <w:szCs w:val="21"/>
        </w:rPr>
        <w:t>»1.    Si es una persona natural:</w:t>
      </w:r>
    </w:p>
    <w:p w14:paraId="78872D24" w14:textId="77777777" w:rsidR="00537953" w:rsidRPr="00315DA1" w:rsidRDefault="00537953" w:rsidP="00537953">
      <w:pPr>
        <w:pStyle w:val="Textonotapie"/>
        <w:ind w:firstLine="709"/>
        <w:jc w:val="both"/>
        <w:rPr>
          <w:rFonts w:ascii="Arial" w:hAnsi="Arial" w:cs="Arial"/>
          <w:sz w:val="21"/>
          <w:szCs w:val="21"/>
        </w:rPr>
      </w:pPr>
      <w:r w:rsidRPr="00315DA1">
        <w:rPr>
          <w:rFonts w:ascii="Arial" w:hAnsi="Arial" w:cs="Arial"/>
          <w:sz w:val="21"/>
          <w:szCs w:val="21"/>
        </w:rPr>
        <w:t>»1.1. Bienes, obras y servicios que ofrecerá a las Entidades Estatales, identificados con el Clasificador de Bienes y Servicios en el tercer nivel.</w:t>
      </w:r>
    </w:p>
    <w:p w14:paraId="74DBC5D8" w14:textId="77777777" w:rsidR="00537953" w:rsidRPr="00315DA1" w:rsidRDefault="00537953" w:rsidP="00537953">
      <w:pPr>
        <w:pStyle w:val="Textonotapie"/>
        <w:ind w:firstLine="709"/>
        <w:jc w:val="both"/>
        <w:rPr>
          <w:rFonts w:ascii="Arial" w:hAnsi="Arial" w:cs="Arial"/>
          <w:sz w:val="21"/>
          <w:szCs w:val="21"/>
        </w:rPr>
      </w:pPr>
      <w:r w:rsidRPr="00315DA1">
        <w:rPr>
          <w:rFonts w:ascii="Arial" w:hAnsi="Arial" w:cs="Arial"/>
          <w:sz w:val="21"/>
          <w:szCs w:val="21"/>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2E41F4C5" w14:textId="77777777" w:rsidR="00537953" w:rsidRPr="00315DA1" w:rsidRDefault="00537953" w:rsidP="00537953">
      <w:pPr>
        <w:pStyle w:val="Textonotapie"/>
        <w:ind w:firstLine="709"/>
        <w:jc w:val="both"/>
        <w:rPr>
          <w:rFonts w:ascii="Arial" w:hAnsi="Arial" w:cs="Arial"/>
          <w:sz w:val="21"/>
          <w:szCs w:val="21"/>
          <w:lang w:val="es-ES"/>
        </w:rPr>
      </w:pPr>
    </w:p>
  </w:footnote>
  <w:footnote w:id="8">
    <w:p w14:paraId="31C2E03E" w14:textId="77777777" w:rsidR="00F24A20" w:rsidRPr="00315DA1" w:rsidRDefault="00F24A20" w:rsidP="00F24A20">
      <w:pPr>
        <w:pStyle w:val="NormalWeb"/>
        <w:spacing w:before="0" w:beforeAutospacing="0" w:after="0" w:afterAutospacing="0"/>
        <w:ind w:firstLine="708"/>
        <w:jc w:val="both"/>
        <w:rPr>
          <w:rFonts w:ascii="Arial" w:hAnsi="Arial" w:cs="Arial"/>
          <w:sz w:val="21"/>
          <w:szCs w:val="21"/>
        </w:rPr>
      </w:pPr>
      <w:r w:rsidRPr="00315DA1">
        <w:rPr>
          <w:rStyle w:val="Refdenotaalpie"/>
          <w:rFonts w:ascii="Arial" w:hAnsi="Arial" w:cs="Arial"/>
          <w:sz w:val="21"/>
          <w:szCs w:val="21"/>
        </w:rPr>
        <w:footnoteRef/>
      </w:r>
      <w:r w:rsidRPr="00315DA1">
        <w:rPr>
          <w:rFonts w:ascii="Arial" w:hAnsi="Arial" w:cs="Arial"/>
          <w:sz w:val="21"/>
          <w:szCs w:val="21"/>
        </w:rPr>
        <w:t xml:space="preserve"> Ley 1150 de 2007: «Artículo 6. De la verificación de la condición de los Proponentes. En dicho registro constará la información relacionada con la experiencia, capacidad jurídica, financiera y de organización del proponente y su clasificación.</w:t>
      </w:r>
    </w:p>
    <w:p w14:paraId="1C2168A4" w14:textId="77777777" w:rsidR="00F24A20" w:rsidRPr="00315DA1" w:rsidRDefault="00F24A20" w:rsidP="00F24A20">
      <w:pPr>
        <w:pStyle w:val="NormalWeb"/>
        <w:spacing w:before="0" w:beforeAutospacing="0" w:after="0" w:afterAutospacing="0"/>
        <w:ind w:firstLine="708"/>
        <w:jc w:val="both"/>
        <w:rPr>
          <w:rFonts w:ascii="Arial" w:hAnsi="Arial" w:cs="Arial"/>
          <w:sz w:val="21"/>
          <w:szCs w:val="21"/>
        </w:rPr>
      </w:pPr>
      <w:r w:rsidRPr="00315DA1">
        <w:rPr>
          <w:rFonts w:ascii="Arial" w:hAnsi="Arial" w:cs="Arial"/>
          <w:sz w:val="21"/>
          <w:szCs w:val="21"/>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48B8254F" w14:textId="77777777" w:rsidR="00F24A20" w:rsidRPr="00315DA1" w:rsidRDefault="00F24A20" w:rsidP="00F24A20">
      <w:pPr>
        <w:pStyle w:val="NormalWeb"/>
        <w:spacing w:before="0" w:beforeAutospacing="0" w:after="0" w:afterAutospacing="0"/>
        <w:ind w:firstLine="708"/>
        <w:jc w:val="both"/>
        <w:rPr>
          <w:rFonts w:ascii="Arial" w:hAnsi="Arial" w:cs="Arial"/>
          <w:sz w:val="21"/>
          <w:szCs w:val="21"/>
        </w:rPr>
      </w:pPr>
      <w:proofErr w:type="gramStart"/>
      <w:r w:rsidRPr="00315DA1">
        <w:rPr>
          <w:rFonts w:ascii="Arial" w:hAnsi="Arial" w:cs="Arial"/>
          <w:sz w:val="21"/>
          <w:szCs w:val="21"/>
        </w:rPr>
        <w:t>»El</w:t>
      </w:r>
      <w:proofErr w:type="gramEnd"/>
      <w:r w:rsidRPr="00315DA1">
        <w:rPr>
          <w:rFonts w:ascii="Arial" w:hAnsi="Arial" w:cs="Arial"/>
          <w:sz w:val="21"/>
          <w:szCs w:val="21"/>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2" w:anchor="5" w:history="1">
        <w:r w:rsidRPr="00315DA1">
          <w:rPr>
            <w:rStyle w:val="Hipervnculo"/>
            <w:rFonts w:ascii="Arial" w:hAnsi="Arial" w:cs="Arial"/>
            <w:sz w:val="21"/>
            <w:szCs w:val="21"/>
          </w:rPr>
          <w:t>5</w:t>
        </w:r>
      </w:hyperlink>
      <w:r w:rsidRPr="00315DA1">
        <w:rPr>
          <w:rFonts w:ascii="Arial" w:hAnsi="Arial" w:cs="Arial"/>
          <w:sz w:val="21"/>
          <w:szCs w:val="21"/>
        </w:rPr>
        <w:t>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B7C1759" w14:textId="77777777" w:rsidR="00F24A20" w:rsidRPr="00315DA1" w:rsidRDefault="00F24A20" w:rsidP="00F24A20">
      <w:pPr>
        <w:ind w:firstLine="708"/>
        <w:rPr>
          <w:rFonts w:ascii="Arial" w:hAnsi="Arial" w:cs="Arial"/>
          <w:sz w:val="21"/>
          <w:szCs w:val="21"/>
        </w:rPr>
      </w:pPr>
      <w:r w:rsidRPr="00315DA1">
        <w:rPr>
          <w:rFonts w:ascii="Arial" w:hAnsi="Arial" w:cs="Arial"/>
          <w:sz w:val="21"/>
          <w:szCs w:val="2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906B3C" w:rsidRDefault="00FF547A" w:rsidP="00FF547A">
    <w:pPr>
      <w:pStyle w:val="Encabezado"/>
      <w:ind w:left="3545" w:firstLine="709"/>
      <w:rPr>
        <w:b/>
        <w:bCs/>
        <w:color w:val="A5A5A5" w:themeColor="accent3"/>
        <w:sz w:val="18"/>
        <w:szCs w:val="18"/>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1373A3"/>
    <w:multiLevelType w:val="hybridMultilevel"/>
    <w:tmpl w:val="391A1F1A"/>
    <w:lvl w:ilvl="0" w:tplc="800CE088">
      <w:start w:val="1"/>
      <w:numFmt w:val="upperLetter"/>
      <w:lvlText w:val="%1."/>
      <w:lvlJc w:val="left"/>
      <w:pPr>
        <w:ind w:left="1070" w:hanging="71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9F42A30"/>
    <w:multiLevelType w:val="hybridMultilevel"/>
    <w:tmpl w:val="C390E280"/>
    <w:lvl w:ilvl="0" w:tplc="50C07062">
      <w:start w:val="2"/>
      <w:numFmt w:val="upperLetter"/>
      <w:lvlText w:val="%1."/>
      <w:lvlJc w:val="left"/>
      <w:pPr>
        <w:ind w:left="1432" w:hanging="360"/>
      </w:pPr>
      <w:rPr>
        <w:rFonts w:hint="default"/>
      </w:rPr>
    </w:lvl>
    <w:lvl w:ilvl="1" w:tplc="240A0019" w:tentative="1">
      <w:start w:val="1"/>
      <w:numFmt w:val="lowerLetter"/>
      <w:lvlText w:val="%2."/>
      <w:lvlJc w:val="left"/>
      <w:pPr>
        <w:ind w:left="2152" w:hanging="360"/>
      </w:pPr>
    </w:lvl>
    <w:lvl w:ilvl="2" w:tplc="240A001B" w:tentative="1">
      <w:start w:val="1"/>
      <w:numFmt w:val="lowerRoman"/>
      <w:lvlText w:val="%3."/>
      <w:lvlJc w:val="right"/>
      <w:pPr>
        <w:ind w:left="2872" w:hanging="180"/>
      </w:pPr>
    </w:lvl>
    <w:lvl w:ilvl="3" w:tplc="240A000F" w:tentative="1">
      <w:start w:val="1"/>
      <w:numFmt w:val="decimal"/>
      <w:lvlText w:val="%4."/>
      <w:lvlJc w:val="left"/>
      <w:pPr>
        <w:ind w:left="3592" w:hanging="360"/>
      </w:pPr>
    </w:lvl>
    <w:lvl w:ilvl="4" w:tplc="240A0019" w:tentative="1">
      <w:start w:val="1"/>
      <w:numFmt w:val="lowerLetter"/>
      <w:lvlText w:val="%5."/>
      <w:lvlJc w:val="left"/>
      <w:pPr>
        <w:ind w:left="4312" w:hanging="360"/>
      </w:pPr>
    </w:lvl>
    <w:lvl w:ilvl="5" w:tplc="240A001B" w:tentative="1">
      <w:start w:val="1"/>
      <w:numFmt w:val="lowerRoman"/>
      <w:lvlText w:val="%6."/>
      <w:lvlJc w:val="right"/>
      <w:pPr>
        <w:ind w:left="5032" w:hanging="180"/>
      </w:pPr>
    </w:lvl>
    <w:lvl w:ilvl="6" w:tplc="240A000F" w:tentative="1">
      <w:start w:val="1"/>
      <w:numFmt w:val="decimal"/>
      <w:lvlText w:val="%7."/>
      <w:lvlJc w:val="left"/>
      <w:pPr>
        <w:ind w:left="5752" w:hanging="360"/>
      </w:pPr>
    </w:lvl>
    <w:lvl w:ilvl="7" w:tplc="240A0019" w:tentative="1">
      <w:start w:val="1"/>
      <w:numFmt w:val="lowerLetter"/>
      <w:lvlText w:val="%8."/>
      <w:lvlJc w:val="left"/>
      <w:pPr>
        <w:ind w:left="6472" w:hanging="360"/>
      </w:pPr>
    </w:lvl>
    <w:lvl w:ilvl="8" w:tplc="240A001B" w:tentative="1">
      <w:start w:val="1"/>
      <w:numFmt w:val="lowerRoman"/>
      <w:lvlText w:val="%9."/>
      <w:lvlJc w:val="right"/>
      <w:pPr>
        <w:ind w:left="7192" w:hanging="180"/>
      </w:pPr>
    </w:lvl>
  </w:abstractNum>
  <w:abstractNum w:abstractNumId="8"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048798576">
    <w:abstractNumId w:val="3"/>
  </w:num>
  <w:num w:numId="2" w16cid:durableId="2056267502">
    <w:abstractNumId w:val="10"/>
  </w:num>
  <w:num w:numId="3" w16cid:durableId="1450319055">
    <w:abstractNumId w:val="2"/>
  </w:num>
  <w:num w:numId="4" w16cid:durableId="1644043281">
    <w:abstractNumId w:val="4"/>
  </w:num>
  <w:num w:numId="5" w16cid:durableId="284046649">
    <w:abstractNumId w:val="8"/>
  </w:num>
  <w:num w:numId="6" w16cid:durableId="604575448">
    <w:abstractNumId w:val="0"/>
  </w:num>
  <w:num w:numId="7" w16cid:durableId="1344478298">
    <w:abstractNumId w:val="1"/>
  </w:num>
  <w:num w:numId="8" w16cid:durableId="956567642">
    <w:abstractNumId w:val="9"/>
  </w:num>
  <w:num w:numId="9" w16cid:durableId="1833255957">
    <w:abstractNumId w:val="5"/>
  </w:num>
  <w:num w:numId="10" w16cid:durableId="704869616">
    <w:abstractNumId w:val="6"/>
  </w:num>
  <w:num w:numId="11" w16cid:durableId="355229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50A"/>
    <w:rsid w:val="00013A32"/>
    <w:rsid w:val="00015285"/>
    <w:rsid w:val="00015988"/>
    <w:rsid w:val="000160CE"/>
    <w:rsid w:val="00027E00"/>
    <w:rsid w:val="00034765"/>
    <w:rsid w:val="00034A47"/>
    <w:rsid w:val="00041D4B"/>
    <w:rsid w:val="0004470C"/>
    <w:rsid w:val="00047939"/>
    <w:rsid w:val="00051DF9"/>
    <w:rsid w:val="00061670"/>
    <w:rsid w:val="00062893"/>
    <w:rsid w:val="00063E22"/>
    <w:rsid w:val="00064617"/>
    <w:rsid w:val="00066403"/>
    <w:rsid w:val="000714BA"/>
    <w:rsid w:val="000770A6"/>
    <w:rsid w:val="000801E4"/>
    <w:rsid w:val="00081366"/>
    <w:rsid w:val="000815BD"/>
    <w:rsid w:val="00093ECC"/>
    <w:rsid w:val="000965D3"/>
    <w:rsid w:val="000A1A65"/>
    <w:rsid w:val="000A22E0"/>
    <w:rsid w:val="000A2429"/>
    <w:rsid w:val="000A2922"/>
    <w:rsid w:val="000A2D2A"/>
    <w:rsid w:val="000A6950"/>
    <w:rsid w:val="000A71F8"/>
    <w:rsid w:val="000B322A"/>
    <w:rsid w:val="000B38F9"/>
    <w:rsid w:val="000B4D07"/>
    <w:rsid w:val="000B5A21"/>
    <w:rsid w:val="000B6B23"/>
    <w:rsid w:val="000B7A2F"/>
    <w:rsid w:val="000C0C5A"/>
    <w:rsid w:val="000C176A"/>
    <w:rsid w:val="000C232E"/>
    <w:rsid w:val="000C41FF"/>
    <w:rsid w:val="000C7DC5"/>
    <w:rsid w:val="000D17CE"/>
    <w:rsid w:val="000D25B7"/>
    <w:rsid w:val="000D31AF"/>
    <w:rsid w:val="000D5871"/>
    <w:rsid w:val="000D604A"/>
    <w:rsid w:val="000E22E1"/>
    <w:rsid w:val="000E4BCC"/>
    <w:rsid w:val="000E6606"/>
    <w:rsid w:val="000F1274"/>
    <w:rsid w:val="000F16C3"/>
    <w:rsid w:val="000F20D6"/>
    <w:rsid w:val="000F2455"/>
    <w:rsid w:val="000F416D"/>
    <w:rsid w:val="00100343"/>
    <w:rsid w:val="001005DA"/>
    <w:rsid w:val="00100AC8"/>
    <w:rsid w:val="0010115C"/>
    <w:rsid w:val="0010340C"/>
    <w:rsid w:val="00103ECD"/>
    <w:rsid w:val="001048AE"/>
    <w:rsid w:val="00110547"/>
    <w:rsid w:val="001221E5"/>
    <w:rsid w:val="00122D5C"/>
    <w:rsid w:val="00130B50"/>
    <w:rsid w:val="0013154C"/>
    <w:rsid w:val="0013276C"/>
    <w:rsid w:val="00132DAD"/>
    <w:rsid w:val="0014048E"/>
    <w:rsid w:val="00140BF5"/>
    <w:rsid w:val="0014294A"/>
    <w:rsid w:val="0014312B"/>
    <w:rsid w:val="00144885"/>
    <w:rsid w:val="00145CEA"/>
    <w:rsid w:val="0015100A"/>
    <w:rsid w:val="001542F1"/>
    <w:rsid w:val="001550AF"/>
    <w:rsid w:val="00155176"/>
    <w:rsid w:val="00155A6A"/>
    <w:rsid w:val="00156332"/>
    <w:rsid w:val="00156426"/>
    <w:rsid w:val="00160025"/>
    <w:rsid w:val="00160EA4"/>
    <w:rsid w:val="0016321F"/>
    <w:rsid w:val="00166895"/>
    <w:rsid w:val="001701CA"/>
    <w:rsid w:val="00172E23"/>
    <w:rsid w:val="0017361B"/>
    <w:rsid w:val="00181D50"/>
    <w:rsid w:val="00192273"/>
    <w:rsid w:val="0019286E"/>
    <w:rsid w:val="0019347C"/>
    <w:rsid w:val="0019577D"/>
    <w:rsid w:val="00196387"/>
    <w:rsid w:val="00197239"/>
    <w:rsid w:val="001973D3"/>
    <w:rsid w:val="001A1FE0"/>
    <w:rsid w:val="001A3646"/>
    <w:rsid w:val="001A5CAD"/>
    <w:rsid w:val="001A7515"/>
    <w:rsid w:val="001B160F"/>
    <w:rsid w:val="001B1ED3"/>
    <w:rsid w:val="001B3D3A"/>
    <w:rsid w:val="001B5043"/>
    <w:rsid w:val="001C668B"/>
    <w:rsid w:val="001C6B19"/>
    <w:rsid w:val="001C7F1C"/>
    <w:rsid w:val="001D014E"/>
    <w:rsid w:val="001D169F"/>
    <w:rsid w:val="001D579D"/>
    <w:rsid w:val="001D5E0D"/>
    <w:rsid w:val="001E00A3"/>
    <w:rsid w:val="001E0D8E"/>
    <w:rsid w:val="001E3285"/>
    <w:rsid w:val="001E51C7"/>
    <w:rsid w:val="001E55F8"/>
    <w:rsid w:val="001F0BA1"/>
    <w:rsid w:val="001F1036"/>
    <w:rsid w:val="001F2112"/>
    <w:rsid w:val="001F21CD"/>
    <w:rsid w:val="001F21F5"/>
    <w:rsid w:val="001F2FE7"/>
    <w:rsid w:val="001F4A87"/>
    <w:rsid w:val="0020047F"/>
    <w:rsid w:val="0020357D"/>
    <w:rsid w:val="0020413F"/>
    <w:rsid w:val="0020666F"/>
    <w:rsid w:val="00206E4E"/>
    <w:rsid w:val="00212FDD"/>
    <w:rsid w:val="0021722E"/>
    <w:rsid w:val="0022027A"/>
    <w:rsid w:val="002203D9"/>
    <w:rsid w:val="00222FE7"/>
    <w:rsid w:val="0023114E"/>
    <w:rsid w:val="00234C96"/>
    <w:rsid w:val="00235245"/>
    <w:rsid w:val="00236169"/>
    <w:rsid w:val="002370E0"/>
    <w:rsid w:val="002410B7"/>
    <w:rsid w:val="00244285"/>
    <w:rsid w:val="00244D23"/>
    <w:rsid w:val="002465BD"/>
    <w:rsid w:val="00246A94"/>
    <w:rsid w:val="00247860"/>
    <w:rsid w:val="002546FB"/>
    <w:rsid w:val="0025667C"/>
    <w:rsid w:val="002621C0"/>
    <w:rsid w:val="00262A58"/>
    <w:rsid w:val="00262B09"/>
    <w:rsid w:val="0026380C"/>
    <w:rsid w:val="002650A2"/>
    <w:rsid w:val="00266469"/>
    <w:rsid w:val="00266CCA"/>
    <w:rsid w:val="00267994"/>
    <w:rsid w:val="00273DB1"/>
    <w:rsid w:val="00274FF8"/>
    <w:rsid w:val="002757A6"/>
    <w:rsid w:val="00276E87"/>
    <w:rsid w:val="00276F1D"/>
    <w:rsid w:val="0027789E"/>
    <w:rsid w:val="00280EDD"/>
    <w:rsid w:val="002835D0"/>
    <w:rsid w:val="0028433E"/>
    <w:rsid w:val="002867FC"/>
    <w:rsid w:val="00290872"/>
    <w:rsid w:val="00292A75"/>
    <w:rsid w:val="00294A56"/>
    <w:rsid w:val="00295AF9"/>
    <w:rsid w:val="002A092A"/>
    <w:rsid w:val="002A6DE6"/>
    <w:rsid w:val="002A75C7"/>
    <w:rsid w:val="002B2085"/>
    <w:rsid w:val="002B5D94"/>
    <w:rsid w:val="002B6EDD"/>
    <w:rsid w:val="002C18C8"/>
    <w:rsid w:val="002C3713"/>
    <w:rsid w:val="002C3DC8"/>
    <w:rsid w:val="002D55E0"/>
    <w:rsid w:val="002D6662"/>
    <w:rsid w:val="002D6DB8"/>
    <w:rsid w:val="002D7CBD"/>
    <w:rsid w:val="002E0539"/>
    <w:rsid w:val="002E4878"/>
    <w:rsid w:val="002E4D4A"/>
    <w:rsid w:val="002E584A"/>
    <w:rsid w:val="002F1D1C"/>
    <w:rsid w:val="002F339A"/>
    <w:rsid w:val="002F3B48"/>
    <w:rsid w:val="002F5437"/>
    <w:rsid w:val="002F7C27"/>
    <w:rsid w:val="00303F37"/>
    <w:rsid w:val="00305DDD"/>
    <w:rsid w:val="00307D38"/>
    <w:rsid w:val="003104CB"/>
    <w:rsid w:val="00311E48"/>
    <w:rsid w:val="00312BA1"/>
    <w:rsid w:val="00313EFB"/>
    <w:rsid w:val="003142AF"/>
    <w:rsid w:val="00315DA1"/>
    <w:rsid w:val="00316157"/>
    <w:rsid w:val="0031681A"/>
    <w:rsid w:val="0031755A"/>
    <w:rsid w:val="00317E6E"/>
    <w:rsid w:val="00320407"/>
    <w:rsid w:val="00320859"/>
    <w:rsid w:val="003210B5"/>
    <w:rsid w:val="00321BA0"/>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4F4A"/>
    <w:rsid w:val="0035529C"/>
    <w:rsid w:val="00355937"/>
    <w:rsid w:val="00356696"/>
    <w:rsid w:val="003610F4"/>
    <w:rsid w:val="00364D51"/>
    <w:rsid w:val="003702AD"/>
    <w:rsid w:val="0037154B"/>
    <w:rsid w:val="00371A7D"/>
    <w:rsid w:val="00372146"/>
    <w:rsid w:val="0037367E"/>
    <w:rsid w:val="00375947"/>
    <w:rsid w:val="00376CFC"/>
    <w:rsid w:val="00377837"/>
    <w:rsid w:val="00382463"/>
    <w:rsid w:val="003829D4"/>
    <w:rsid w:val="0038422A"/>
    <w:rsid w:val="00385A96"/>
    <w:rsid w:val="00385B3E"/>
    <w:rsid w:val="003867C5"/>
    <w:rsid w:val="003870E4"/>
    <w:rsid w:val="00391B62"/>
    <w:rsid w:val="00393B89"/>
    <w:rsid w:val="00395260"/>
    <w:rsid w:val="003953A4"/>
    <w:rsid w:val="00396BF2"/>
    <w:rsid w:val="003A1FE4"/>
    <w:rsid w:val="003A235D"/>
    <w:rsid w:val="003A279E"/>
    <w:rsid w:val="003A6173"/>
    <w:rsid w:val="003A7C69"/>
    <w:rsid w:val="003B42A6"/>
    <w:rsid w:val="003B4B76"/>
    <w:rsid w:val="003B76F3"/>
    <w:rsid w:val="003C0050"/>
    <w:rsid w:val="003C1B39"/>
    <w:rsid w:val="003C350F"/>
    <w:rsid w:val="003C4644"/>
    <w:rsid w:val="003C6B38"/>
    <w:rsid w:val="003C7067"/>
    <w:rsid w:val="003D01B8"/>
    <w:rsid w:val="003D24F8"/>
    <w:rsid w:val="003E023D"/>
    <w:rsid w:val="003E060B"/>
    <w:rsid w:val="003E0862"/>
    <w:rsid w:val="003E4620"/>
    <w:rsid w:val="003F0A31"/>
    <w:rsid w:val="003F1B73"/>
    <w:rsid w:val="003F1CF4"/>
    <w:rsid w:val="003F2CA6"/>
    <w:rsid w:val="003F6B6D"/>
    <w:rsid w:val="0040002B"/>
    <w:rsid w:val="004007FB"/>
    <w:rsid w:val="00400B3F"/>
    <w:rsid w:val="00400C77"/>
    <w:rsid w:val="0040411F"/>
    <w:rsid w:val="004073F3"/>
    <w:rsid w:val="00407B88"/>
    <w:rsid w:val="004116D9"/>
    <w:rsid w:val="00412728"/>
    <w:rsid w:val="004137EC"/>
    <w:rsid w:val="00413C3B"/>
    <w:rsid w:val="00417A8D"/>
    <w:rsid w:val="00425CA0"/>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67A"/>
    <w:rsid w:val="00454C1E"/>
    <w:rsid w:val="00457483"/>
    <w:rsid w:val="00461578"/>
    <w:rsid w:val="00462122"/>
    <w:rsid w:val="004636E0"/>
    <w:rsid w:val="004662C1"/>
    <w:rsid w:val="004665D9"/>
    <w:rsid w:val="004708A3"/>
    <w:rsid w:val="004720FF"/>
    <w:rsid w:val="00472517"/>
    <w:rsid w:val="00472B99"/>
    <w:rsid w:val="00474FA1"/>
    <w:rsid w:val="00481474"/>
    <w:rsid w:val="004829AD"/>
    <w:rsid w:val="004867F2"/>
    <w:rsid w:val="004963B0"/>
    <w:rsid w:val="004A0C2B"/>
    <w:rsid w:val="004A2FA1"/>
    <w:rsid w:val="004A33E3"/>
    <w:rsid w:val="004A6DF7"/>
    <w:rsid w:val="004B2DEB"/>
    <w:rsid w:val="004B3167"/>
    <w:rsid w:val="004B3476"/>
    <w:rsid w:val="004B569C"/>
    <w:rsid w:val="004B7BD5"/>
    <w:rsid w:val="004C1C33"/>
    <w:rsid w:val="004C27EC"/>
    <w:rsid w:val="004C4C02"/>
    <w:rsid w:val="004C59A9"/>
    <w:rsid w:val="004C6033"/>
    <w:rsid w:val="004D28D9"/>
    <w:rsid w:val="004D4519"/>
    <w:rsid w:val="004D76E8"/>
    <w:rsid w:val="004E3799"/>
    <w:rsid w:val="004E5663"/>
    <w:rsid w:val="004E587A"/>
    <w:rsid w:val="004E76CB"/>
    <w:rsid w:val="004F1086"/>
    <w:rsid w:val="004F654F"/>
    <w:rsid w:val="00502CA4"/>
    <w:rsid w:val="005058EF"/>
    <w:rsid w:val="0050640C"/>
    <w:rsid w:val="005069B7"/>
    <w:rsid w:val="0051003B"/>
    <w:rsid w:val="00511ACE"/>
    <w:rsid w:val="005121D0"/>
    <w:rsid w:val="005134AE"/>
    <w:rsid w:val="00513F21"/>
    <w:rsid w:val="00517622"/>
    <w:rsid w:val="00521AC0"/>
    <w:rsid w:val="00525649"/>
    <w:rsid w:val="005278E3"/>
    <w:rsid w:val="0053012B"/>
    <w:rsid w:val="005313ED"/>
    <w:rsid w:val="005334E6"/>
    <w:rsid w:val="0053491D"/>
    <w:rsid w:val="00537953"/>
    <w:rsid w:val="00543797"/>
    <w:rsid w:val="00543C45"/>
    <w:rsid w:val="00545362"/>
    <w:rsid w:val="005463B4"/>
    <w:rsid w:val="00546A01"/>
    <w:rsid w:val="00546BD3"/>
    <w:rsid w:val="00550397"/>
    <w:rsid w:val="005537BE"/>
    <w:rsid w:val="00554FCF"/>
    <w:rsid w:val="00556AB7"/>
    <w:rsid w:val="00556CD2"/>
    <w:rsid w:val="00560087"/>
    <w:rsid w:val="00562968"/>
    <w:rsid w:val="00564FB9"/>
    <w:rsid w:val="005728E1"/>
    <w:rsid w:val="00573E27"/>
    <w:rsid w:val="005745BF"/>
    <w:rsid w:val="005752B3"/>
    <w:rsid w:val="00584231"/>
    <w:rsid w:val="005867C9"/>
    <w:rsid w:val="00587EA0"/>
    <w:rsid w:val="00594698"/>
    <w:rsid w:val="00596212"/>
    <w:rsid w:val="005A1C22"/>
    <w:rsid w:val="005A43E5"/>
    <w:rsid w:val="005B0EC6"/>
    <w:rsid w:val="005B14B2"/>
    <w:rsid w:val="005B384E"/>
    <w:rsid w:val="005B39BF"/>
    <w:rsid w:val="005B3CB1"/>
    <w:rsid w:val="005B4080"/>
    <w:rsid w:val="005B441F"/>
    <w:rsid w:val="005C00F9"/>
    <w:rsid w:val="005C100F"/>
    <w:rsid w:val="005C3112"/>
    <w:rsid w:val="005C6135"/>
    <w:rsid w:val="005D1A3C"/>
    <w:rsid w:val="005D2019"/>
    <w:rsid w:val="005D20C7"/>
    <w:rsid w:val="005D539E"/>
    <w:rsid w:val="005E470A"/>
    <w:rsid w:val="005E57D6"/>
    <w:rsid w:val="005F3331"/>
    <w:rsid w:val="005F5944"/>
    <w:rsid w:val="00604DB8"/>
    <w:rsid w:val="0060579D"/>
    <w:rsid w:val="006058DF"/>
    <w:rsid w:val="00605C2C"/>
    <w:rsid w:val="00607049"/>
    <w:rsid w:val="00611C84"/>
    <w:rsid w:val="00614569"/>
    <w:rsid w:val="0061555F"/>
    <w:rsid w:val="006169DA"/>
    <w:rsid w:val="00626DC2"/>
    <w:rsid w:val="00630222"/>
    <w:rsid w:val="0063265B"/>
    <w:rsid w:val="00641F05"/>
    <w:rsid w:val="00643074"/>
    <w:rsid w:val="00644AD1"/>
    <w:rsid w:val="00645FB0"/>
    <w:rsid w:val="006465AC"/>
    <w:rsid w:val="00646C99"/>
    <w:rsid w:val="0064789F"/>
    <w:rsid w:val="00652125"/>
    <w:rsid w:val="006534EE"/>
    <w:rsid w:val="00657CB5"/>
    <w:rsid w:val="00660C19"/>
    <w:rsid w:val="006610BD"/>
    <w:rsid w:val="00663EA4"/>
    <w:rsid w:val="00664E56"/>
    <w:rsid w:val="0067670D"/>
    <w:rsid w:val="00676C2D"/>
    <w:rsid w:val="00677721"/>
    <w:rsid w:val="006908AF"/>
    <w:rsid w:val="0069300C"/>
    <w:rsid w:val="006952A1"/>
    <w:rsid w:val="00696C59"/>
    <w:rsid w:val="0069743E"/>
    <w:rsid w:val="00697780"/>
    <w:rsid w:val="006A2383"/>
    <w:rsid w:val="006B040D"/>
    <w:rsid w:val="006B0534"/>
    <w:rsid w:val="006B06C7"/>
    <w:rsid w:val="006B205F"/>
    <w:rsid w:val="006B2DE3"/>
    <w:rsid w:val="006B5BAD"/>
    <w:rsid w:val="006B698E"/>
    <w:rsid w:val="006B7A35"/>
    <w:rsid w:val="006C0631"/>
    <w:rsid w:val="006C16B7"/>
    <w:rsid w:val="006C25DE"/>
    <w:rsid w:val="006C3AE8"/>
    <w:rsid w:val="006C3B5B"/>
    <w:rsid w:val="006C410B"/>
    <w:rsid w:val="006C67CE"/>
    <w:rsid w:val="006C730C"/>
    <w:rsid w:val="006D1233"/>
    <w:rsid w:val="006D16C0"/>
    <w:rsid w:val="006D1DF5"/>
    <w:rsid w:val="006D42CA"/>
    <w:rsid w:val="006D43D6"/>
    <w:rsid w:val="006D4B52"/>
    <w:rsid w:val="006D4E4D"/>
    <w:rsid w:val="006D66D3"/>
    <w:rsid w:val="006D7111"/>
    <w:rsid w:val="006E01E2"/>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1D30"/>
    <w:rsid w:val="007135B5"/>
    <w:rsid w:val="00714D49"/>
    <w:rsid w:val="00715151"/>
    <w:rsid w:val="0071587F"/>
    <w:rsid w:val="00716EA5"/>
    <w:rsid w:val="00717176"/>
    <w:rsid w:val="00717AA6"/>
    <w:rsid w:val="00726234"/>
    <w:rsid w:val="00726BB2"/>
    <w:rsid w:val="007301A5"/>
    <w:rsid w:val="00731374"/>
    <w:rsid w:val="00734358"/>
    <w:rsid w:val="00736654"/>
    <w:rsid w:val="007374F5"/>
    <w:rsid w:val="007402D6"/>
    <w:rsid w:val="0074401A"/>
    <w:rsid w:val="007444BB"/>
    <w:rsid w:val="007477FE"/>
    <w:rsid w:val="007533F2"/>
    <w:rsid w:val="007566AD"/>
    <w:rsid w:val="007568B5"/>
    <w:rsid w:val="007620D3"/>
    <w:rsid w:val="00763584"/>
    <w:rsid w:val="00766606"/>
    <w:rsid w:val="007704C1"/>
    <w:rsid w:val="00771994"/>
    <w:rsid w:val="00772E52"/>
    <w:rsid w:val="00774750"/>
    <w:rsid w:val="007748BD"/>
    <w:rsid w:val="00774EA0"/>
    <w:rsid w:val="00780EF8"/>
    <w:rsid w:val="00781A67"/>
    <w:rsid w:val="0079555C"/>
    <w:rsid w:val="007A07E6"/>
    <w:rsid w:val="007A09E8"/>
    <w:rsid w:val="007A13A0"/>
    <w:rsid w:val="007A48A1"/>
    <w:rsid w:val="007A52B4"/>
    <w:rsid w:val="007A5F2D"/>
    <w:rsid w:val="007A6F08"/>
    <w:rsid w:val="007B017F"/>
    <w:rsid w:val="007B0517"/>
    <w:rsid w:val="007B1A4D"/>
    <w:rsid w:val="007B4AAC"/>
    <w:rsid w:val="007B4CC3"/>
    <w:rsid w:val="007B6D7A"/>
    <w:rsid w:val="007C14A7"/>
    <w:rsid w:val="007C18F9"/>
    <w:rsid w:val="007C285C"/>
    <w:rsid w:val="007C28C6"/>
    <w:rsid w:val="007C7B14"/>
    <w:rsid w:val="007D476C"/>
    <w:rsid w:val="007D5580"/>
    <w:rsid w:val="007D648E"/>
    <w:rsid w:val="007E3FC4"/>
    <w:rsid w:val="007E48AE"/>
    <w:rsid w:val="007E5291"/>
    <w:rsid w:val="007E52AC"/>
    <w:rsid w:val="007E7488"/>
    <w:rsid w:val="007E7504"/>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361"/>
    <w:rsid w:val="00826A17"/>
    <w:rsid w:val="00827064"/>
    <w:rsid w:val="0082778E"/>
    <w:rsid w:val="0083524B"/>
    <w:rsid w:val="008402CD"/>
    <w:rsid w:val="00841BDF"/>
    <w:rsid w:val="00843CDF"/>
    <w:rsid w:val="00844316"/>
    <w:rsid w:val="008443B3"/>
    <w:rsid w:val="00847A78"/>
    <w:rsid w:val="008541B6"/>
    <w:rsid w:val="008542DD"/>
    <w:rsid w:val="00854A55"/>
    <w:rsid w:val="0085536F"/>
    <w:rsid w:val="008559E5"/>
    <w:rsid w:val="00860639"/>
    <w:rsid w:val="00862579"/>
    <w:rsid w:val="00862F9B"/>
    <w:rsid w:val="00863607"/>
    <w:rsid w:val="00865122"/>
    <w:rsid w:val="0087011C"/>
    <w:rsid w:val="008702BA"/>
    <w:rsid w:val="008708B7"/>
    <w:rsid w:val="00872D96"/>
    <w:rsid w:val="008735D0"/>
    <w:rsid w:val="0087674C"/>
    <w:rsid w:val="00876B78"/>
    <w:rsid w:val="00886DB2"/>
    <w:rsid w:val="00887EAD"/>
    <w:rsid w:val="00890AB8"/>
    <w:rsid w:val="00890D5F"/>
    <w:rsid w:val="0089254A"/>
    <w:rsid w:val="00893807"/>
    <w:rsid w:val="00893FDF"/>
    <w:rsid w:val="008951CE"/>
    <w:rsid w:val="008958AC"/>
    <w:rsid w:val="00896007"/>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E5822"/>
    <w:rsid w:val="008E6740"/>
    <w:rsid w:val="008F10C7"/>
    <w:rsid w:val="008F2A92"/>
    <w:rsid w:val="008F6E0C"/>
    <w:rsid w:val="00900252"/>
    <w:rsid w:val="009040A2"/>
    <w:rsid w:val="0090501B"/>
    <w:rsid w:val="0090557C"/>
    <w:rsid w:val="00913406"/>
    <w:rsid w:val="0091442D"/>
    <w:rsid w:val="0091503C"/>
    <w:rsid w:val="00915041"/>
    <w:rsid w:val="00920086"/>
    <w:rsid w:val="0092073B"/>
    <w:rsid w:val="0092111A"/>
    <w:rsid w:val="009212E1"/>
    <w:rsid w:val="0092155C"/>
    <w:rsid w:val="00923B7E"/>
    <w:rsid w:val="00924576"/>
    <w:rsid w:val="00931650"/>
    <w:rsid w:val="009346BA"/>
    <w:rsid w:val="009364CA"/>
    <w:rsid w:val="009365AC"/>
    <w:rsid w:val="009418A5"/>
    <w:rsid w:val="0094506A"/>
    <w:rsid w:val="009470FC"/>
    <w:rsid w:val="009527E4"/>
    <w:rsid w:val="009540D3"/>
    <w:rsid w:val="00957674"/>
    <w:rsid w:val="00961511"/>
    <w:rsid w:val="00962D13"/>
    <w:rsid w:val="00965B3A"/>
    <w:rsid w:val="009705BB"/>
    <w:rsid w:val="00973209"/>
    <w:rsid w:val="00973B51"/>
    <w:rsid w:val="00975452"/>
    <w:rsid w:val="009768EB"/>
    <w:rsid w:val="00977BC1"/>
    <w:rsid w:val="009825C2"/>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1BD4"/>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8BD"/>
    <w:rsid w:val="009D6BD7"/>
    <w:rsid w:val="009E01CD"/>
    <w:rsid w:val="009F0A44"/>
    <w:rsid w:val="009F4002"/>
    <w:rsid w:val="009F4296"/>
    <w:rsid w:val="009F532D"/>
    <w:rsid w:val="009F5860"/>
    <w:rsid w:val="009F5A81"/>
    <w:rsid w:val="009F5CFA"/>
    <w:rsid w:val="009F6528"/>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17555"/>
    <w:rsid w:val="00A201B3"/>
    <w:rsid w:val="00A21241"/>
    <w:rsid w:val="00A21B3D"/>
    <w:rsid w:val="00A2369A"/>
    <w:rsid w:val="00A23905"/>
    <w:rsid w:val="00A304AD"/>
    <w:rsid w:val="00A35D5B"/>
    <w:rsid w:val="00A40E2D"/>
    <w:rsid w:val="00A412E5"/>
    <w:rsid w:val="00A55358"/>
    <w:rsid w:val="00A55366"/>
    <w:rsid w:val="00A56676"/>
    <w:rsid w:val="00A57951"/>
    <w:rsid w:val="00A57C30"/>
    <w:rsid w:val="00A57E21"/>
    <w:rsid w:val="00A62877"/>
    <w:rsid w:val="00A63DA3"/>
    <w:rsid w:val="00A72632"/>
    <w:rsid w:val="00A76855"/>
    <w:rsid w:val="00A80110"/>
    <w:rsid w:val="00A83C01"/>
    <w:rsid w:val="00A844C4"/>
    <w:rsid w:val="00A86314"/>
    <w:rsid w:val="00A87BEE"/>
    <w:rsid w:val="00A9127E"/>
    <w:rsid w:val="00A94591"/>
    <w:rsid w:val="00A977C8"/>
    <w:rsid w:val="00AB36B6"/>
    <w:rsid w:val="00AB60D9"/>
    <w:rsid w:val="00AC4174"/>
    <w:rsid w:val="00AC4FE9"/>
    <w:rsid w:val="00AC5A39"/>
    <w:rsid w:val="00AC7146"/>
    <w:rsid w:val="00AD027E"/>
    <w:rsid w:val="00AD17DB"/>
    <w:rsid w:val="00AD1AB6"/>
    <w:rsid w:val="00AD41E4"/>
    <w:rsid w:val="00AE248B"/>
    <w:rsid w:val="00AE28AE"/>
    <w:rsid w:val="00AE3552"/>
    <w:rsid w:val="00AE3B13"/>
    <w:rsid w:val="00AE485F"/>
    <w:rsid w:val="00AF2BAE"/>
    <w:rsid w:val="00AF4235"/>
    <w:rsid w:val="00AF632D"/>
    <w:rsid w:val="00AF664B"/>
    <w:rsid w:val="00B0166A"/>
    <w:rsid w:val="00B0338C"/>
    <w:rsid w:val="00B036EA"/>
    <w:rsid w:val="00B05ACC"/>
    <w:rsid w:val="00B12676"/>
    <w:rsid w:val="00B139B2"/>
    <w:rsid w:val="00B203A3"/>
    <w:rsid w:val="00B204B3"/>
    <w:rsid w:val="00B213A1"/>
    <w:rsid w:val="00B23573"/>
    <w:rsid w:val="00B24B11"/>
    <w:rsid w:val="00B31811"/>
    <w:rsid w:val="00B325AF"/>
    <w:rsid w:val="00B3326A"/>
    <w:rsid w:val="00B347CE"/>
    <w:rsid w:val="00B40B39"/>
    <w:rsid w:val="00B41C7A"/>
    <w:rsid w:val="00B44948"/>
    <w:rsid w:val="00B44A82"/>
    <w:rsid w:val="00B44C63"/>
    <w:rsid w:val="00B46CB5"/>
    <w:rsid w:val="00B470BB"/>
    <w:rsid w:val="00B637D2"/>
    <w:rsid w:val="00B67F77"/>
    <w:rsid w:val="00B70E91"/>
    <w:rsid w:val="00B71F0A"/>
    <w:rsid w:val="00B726EB"/>
    <w:rsid w:val="00B742C2"/>
    <w:rsid w:val="00B74E3B"/>
    <w:rsid w:val="00B76425"/>
    <w:rsid w:val="00B76F53"/>
    <w:rsid w:val="00B82D1D"/>
    <w:rsid w:val="00B864D6"/>
    <w:rsid w:val="00B93A8D"/>
    <w:rsid w:val="00B951F2"/>
    <w:rsid w:val="00B97CE2"/>
    <w:rsid w:val="00BA0AE4"/>
    <w:rsid w:val="00BA187E"/>
    <w:rsid w:val="00BA4004"/>
    <w:rsid w:val="00BA6009"/>
    <w:rsid w:val="00BA6AA2"/>
    <w:rsid w:val="00BB316B"/>
    <w:rsid w:val="00BB5FFC"/>
    <w:rsid w:val="00BB6897"/>
    <w:rsid w:val="00BC51F1"/>
    <w:rsid w:val="00BD0CEC"/>
    <w:rsid w:val="00BD5A6F"/>
    <w:rsid w:val="00BD5ED5"/>
    <w:rsid w:val="00BD6A2B"/>
    <w:rsid w:val="00BD777F"/>
    <w:rsid w:val="00BD7B31"/>
    <w:rsid w:val="00BE065B"/>
    <w:rsid w:val="00BE260D"/>
    <w:rsid w:val="00BF021D"/>
    <w:rsid w:val="00BF25F4"/>
    <w:rsid w:val="00BF4336"/>
    <w:rsid w:val="00BF5A68"/>
    <w:rsid w:val="00C007D7"/>
    <w:rsid w:val="00C01A8D"/>
    <w:rsid w:val="00C032FA"/>
    <w:rsid w:val="00C04F58"/>
    <w:rsid w:val="00C06297"/>
    <w:rsid w:val="00C06CEC"/>
    <w:rsid w:val="00C1122A"/>
    <w:rsid w:val="00C12608"/>
    <w:rsid w:val="00C15870"/>
    <w:rsid w:val="00C1625F"/>
    <w:rsid w:val="00C167F8"/>
    <w:rsid w:val="00C20A90"/>
    <w:rsid w:val="00C21998"/>
    <w:rsid w:val="00C24E6D"/>
    <w:rsid w:val="00C30F2F"/>
    <w:rsid w:val="00C37069"/>
    <w:rsid w:val="00C43F7C"/>
    <w:rsid w:val="00C45497"/>
    <w:rsid w:val="00C45EFF"/>
    <w:rsid w:val="00C46B18"/>
    <w:rsid w:val="00C46BF7"/>
    <w:rsid w:val="00C4791F"/>
    <w:rsid w:val="00C5071C"/>
    <w:rsid w:val="00C52029"/>
    <w:rsid w:val="00C52F53"/>
    <w:rsid w:val="00C559FC"/>
    <w:rsid w:val="00C55E13"/>
    <w:rsid w:val="00C60930"/>
    <w:rsid w:val="00C63119"/>
    <w:rsid w:val="00C63632"/>
    <w:rsid w:val="00C654D9"/>
    <w:rsid w:val="00C667F5"/>
    <w:rsid w:val="00C67F8C"/>
    <w:rsid w:val="00C71E40"/>
    <w:rsid w:val="00C71F83"/>
    <w:rsid w:val="00C756E0"/>
    <w:rsid w:val="00C76716"/>
    <w:rsid w:val="00C807B0"/>
    <w:rsid w:val="00C81076"/>
    <w:rsid w:val="00C81CF0"/>
    <w:rsid w:val="00C85E83"/>
    <w:rsid w:val="00C9043C"/>
    <w:rsid w:val="00C924A9"/>
    <w:rsid w:val="00C93063"/>
    <w:rsid w:val="00C9506B"/>
    <w:rsid w:val="00C95355"/>
    <w:rsid w:val="00C967B4"/>
    <w:rsid w:val="00C97555"/>
    <w:rsid w:val="00CA42F4"/>
    <w:rsid w:val="00CB0C0E"/>
    <w:rsid w:val="00CB0E51"/>
    <w:rsid w:val="00CB1595"/>
    <w:rsid w:val="00CB5A82"/>
    <w:rsid w:val="00CC3129"/>
    <w:rsid w:val="00CC4095"/>
    <w:rsid w:val="00CC4815"/>
    <w:rsid w:val="00CC4EB3"/>
    <w:rsid w:val="00CC714B"/>
    <w:rsid w:val="00CC747F"/>
    <w:rsid w:val="00CD12DB"/>
    <w:rsid w:val="00CD1FFB"/>
    <w:rsid w:val="00CD23C7"/>
    <w:rsid w:val="00CD2B86"/>
    <w:rsid w:val="00CD2D44"/>
    <w:rsid w:val="00CD5952"/>
    <w:rsid w:val="00CD6196"/>
    <w:rsid w:val="00CD683B"/>
    <w:rsid w:val="00CF21BD"/>
    <w:rsid w:val="00CF27BB"/>
    <w:rsid w:val="00CF4D94"/>
    <w:rsid w:val="00D025EC"/>
    <w:rsid w:val="00D05326"/>
    <w:rsid w:val="00D05D53"/>
    <w:rsid w:val="00D06B51"/>
    <w:rsid w:val="00D078B3"/>
    <w:rsid w:val="00D1236F"/>
    <w:rsid w:val="00D13E49"/>
    <w:rsid w:val="00D1491D"/>
    <w:rsid w:val="00D14CB4"/>
    <w:rsid w:val="00D20437"/>
    <w:rsid w:val="00D2190E"/>
    <w:rsid w:val="00D21B76"/>
    <w:rsid w:val="00D23208"/>
    <w:rsid w:val="00D26A0D"/>
    <w:rsid w:val="00D34A5D"/>
    <w:rsid w:val="00D354FA"/>
    <w:rsid w:val="00D35635"/>
    <w:rsid w:val="00D371F4"/>
    <w:rsid w:val="00D419AF"/>
    <w:rsid w:val="00D41BD8"/>
    <w:rsid w:val="00D43237"/>
    <w:rsid w:val="00D4411E"/>
    <w:rsid w:val="00D45FFD"/>
    <w:rsid w:val="00D50AFB"/>
    <w:rsid w:val="00D5474B"/>
    <w:rsid w:val="00D5574A"/>
    <w:rsid w:val="00D56CA2"/>
    <w:rsid w:val="00D6088A"/>
    <w:rsid w:val="00D62647"/>
    <w:rsid w:val="00D62C94"/>
    <w:rsid w:val="00D73FBC"/>
    <w:rsid w:val="00D7400F"/>
    <w:rsid w:val="00D74DB3"/>
    <w:rsid w:val="00D81E5B"/>
    <w:rsid w:val="00D8604C"/>
    <w:rsid w:val="00D91EC8"/>
    <w:rsid w:val="00D93EB9"/>
    <w:rsid w:val="00D95F6B"/>
    <w:rsid w:val="00D97105"/>
    <w:rsid w:val="00D97FF7"/>
    <w:rsid w:val="00DA07F3"/>
    <w:rsid w:val="00DA13D9"/>
    <w:rsid w:val="00DA318B"/>
    <w:rsid w:val="00DA372D"/>
    <w:rsid w:val="00DB16A5"/>
    <w:rsid w:val="00DB45DC"/>
    <w:rsid w:val="00DB51CA"/>
    <w:rsid w:val="00DB5576"/>
    <w:rsid w:val="00DB587E"/>
    <w:rsid w:val="00DC1453"/>
    <w:rsid w:val="00DC7CC6"/>
    <w:rsid w:val="00DD50DE"/>
    <w:rsid w:val="00DD68DE"/>
    <w:rsid w:val="00DD7A6B"/>
    <w:rsid w:val="00DE1D4C"/>
    <w:rsid w:val="00DE29EB"/>
    <w:rsid w:val="00DE6D2B"/>
    <w:rsid w:val="00DE7249"/>
    <w:rsid w:val="00DF02C5"/>
    <w:rsid w:val="00DF1E56"/>
    <w:rsid w:val="00DF3130"/>
    <w:rsid w:val="00DF4665"/>
    <w:rsid w:val="00DF5BB0"/>
    <w:rsid w:val="00DF6DE0"/>
    <w:rsid w:val="00E006F1"/>
    <w:rsid w:val="00E02864"/>
    <w:rsid w:val="00E06A3D"/>
    <w:rsid w:val="00E073F4"/>
    <w:rsid w:val="00E07540"/>
    <w:rsid w:val="00E14B0C"/>
    <w:rsid w:val="00E1744A"/>
    <w:rsid w:val="00E17DD1"/>
    <w:rsid w:val="00E213E1"/>
    <w:rsid w:val="00E21723"/>
    <w:rsid w:val="00E23067"/>
    <w:rsid w:val="00E23264"/>
    <w:rsid w:val="00E2364B"/>
    <w:rsid w:val="00E2370B"/>
    <w:rsid w:val="00E30F24"/>
    <w:rsid w:val="00E36420"/>
    <w:rsid w:val="00E432E8"/>
    <w:rsid w:val="00E44F2C"/>
    <w:rsid w:val="00E457BB"/>
    <w:rsid w:val="00E5054B"/>
    <w:rsid w:val="00E5158E"/>
    <w:rsid w:val="00E5202C"/>
    <w:rsid w:val="00E522CD"/>
    <w:rsid w:val="00E534BB"/>
    <w:rsid w:val="00E53598"/>
    <w:rsid w:val="00E55AA2"/>
    <w:rsid w:val="00E56A40"/>
    <w:rsid w:val="00E60868"/>
    <w:rsid w:val="00E62B07"/>
    <w:rsid w:val="00E63A0E"/>
    <w:rsid w:val="00E63B8B"/>
    <w:rsid w:val="00E6439F"/>
    <w:rsid w:val="00E667D8"/>
    <w:rsid w:val="00E6723D"/>
    <w:rsid w:val="00E71797"/>
    <w:rsid w:val="00E7325D"/>
    <w:rsid w:val="00E74412"/>
    <w:rsid w:val="00E75075"/>
    <w:rsid w:val="00E764B4"/>
    <w:rsid w:val="00E76F02"/>
    <w:rsid w:val="00E84094"/>
    <w:rsid w:val="00E86A1C"/>
    <w:rsid w:val="00E92A19"/>
    <w:rsid w:val="00E93DD3"/>
    <w:rsid w:val="00E94838"/>
    <w:rsid w:val="00E94A99"/>
    <w:rsid w:val="00E9754D"/>
    <w:rsid w:val="00EA003C"/>
    <w:rsid w:val="00EA245C"/>
    <w:rsid w:val="00EA575F"/>
    <w:rsid w:val="00EB161C"/>
    <w:rsid w:val="00EB1DBF"/>
    <w:rsid w:val="00EB2411"/>
    <w:rsid w:val="00EB32BF"/>
    <w:rsid w:val="00EB66C4"/>
    <w:rsid w:val="00EC0083"/>
    <w:rsid w:val="00EC11DC"/>
    <w:rsid w:val="00EC429E"/>
    <w:rsid w:val="00EC5476"/>
    <w:rsid w:val="00ED2577"/>
    <w:rsid w:val="00ED55F2"/>
    <w:rsid w:val="00EE1EA1"/>
    <w:rsid w:val="00EE6D46"/>
    <w:rsid w:val="00EE7141"/>
    <w:rsid w:val="00EF19AD"/>
    <w:rsid w:val="00EF2C3C"/>
    <w:rsid w:val="00EF432A"/>
    <w:rsid w:val="00EF57A8"/>
    <w:rsid w:val="00EF701E"/>
    <w:rsid w:val="00EF70EC"/>
    <w:rsid w:val="00F00588"/>
    <w:rsid w:val="00F04819"/>
    <w:rsid w:val="00F05314"/>
    <w:rsid w:val="00F06CDD"/>
    <w:rsid w:val="00F128A6"/>
    <w:rsid w:val="00F13E1E"/>
    <w:rsid w:val="00F14E3E"/>
    <w:rsid w:val="00F16C48"/>
    <w:rsid w:val="00F17E55"/>
    <w:rsid w:val="00F21F79"/>
    <w:rsid w:val="00F2234C"/>
    <w:rsid w:val="00F22795"/>
    <w:rsid w:val="00F24A20"/>
    <w:rsid w:val="00F24ABC"/>
    <w:rsid w:val="00F2691F"/>
    <w:rsid w:val="00F2752E"/>
    <w:rsid w:val="00F30C0A"/>
    <w:rsid w:val="00F3173F"/>
    <w:rsid w:val="00F33EBD"/>
    <w:rsid w:val="00F37E69"/>
    <w:rsid w:val="00F37FFA"/>
    <w:rsid w:val="00F40435"/>
    <w:rsid w:val="00F4282D"/>
    <w:rsid w:val="00F42A6F"/>
    <w:rsid w:val="00F44924"/>
    <w:rsid w:val="00F44EDE"/>
    <w:rsid w:val="00F4666D"/>
    <w:rsid w:val="00F46AE1"/>
    <w:rsid w:val="00F51FED"/>
    <w:rsid w:val="00F53387"/>
    <w:rsid w:val="00F537D7"/>
    <w:rsid w:val="00F60A9F"/>
    <w:rsid w:val="00F60F70"/>
    <w:rsid w:val="00F646A8"/>
    <w:rsid w:val="00F66F1C"/>
    <w:rsid w:val="00F71872"/>
    <w:rsid w:val="00F7482E"/>
    <w:rsid w:val="00F75371"/>
    <w:rsid w:val="00F81F11"/>
    <w:rsid w:val="00F90F70"/>
    <w:rsid w:val="00F967CA"/>
    <w:rsid w:val="00FA06C3"/>
    <w:rsid w:val="00FA1A45"/>
    <w:rsid w:val="00FA1DEA"/>
    <w:rsid w:val="00FA3596"/>
    <w:rsid w:val="00FA3673"/>
    <w:rsid w:val="00FA4397"/>
    <w:rsid w:val="00FA6BCA"/>
    <w:rsid w:val="00FB1ED8"/>
    <w:rsid w:val="00FB2D69"/>
    <w:rsid w:val="00FB3415"/>
    <w:rsid w:val="00FB4302"/>
    <w:rsid w:val="00FB4A99"/>
    <w:rsid w:val="00FB59B1"/>
    <w:rsid w:val="00FB5F56"/>
    <w:rsid w:val="00FB62D5"/>
    <w:rsid w:val="00FC0382"/>
    <w:rsid w:val="00FC0CA5"/>
    <w:rsid w:val="00FC460F"/>
    <w:rsid w:val="00FC52E5"/>
    <w:rsid w:val="00FC53A0"/>
    <w:rsid w:val="00FC76EE"/>
    <w:rsid w:val="00FD29DC"/>
    <w:rsid w:val="00FD2E94"/>
    <w:rsid w:val="00FD300E"/>
    <w:rsid w:val="00FD391F"/>
    <w:rsid w:val="00FD3F49"/>
    <w:rsid w:val="00FE1E54"/>
    <w:rsid w:val="00FE311B"/>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3">
    <w:name w:val="heading 3"/>
    <w:basedOn w:val="Normal"/>
    <w:next w:val="Normal"/>
    <w:link w:val="Ttulo3Car"/>
    <w:uiPriority w:val="9"/>
    <w:semiHidden/>
    <w:unhideWhenUsed/>
    <w:qFormat/>
    <w:rsid w:val="00E7179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paragraph" w:customStyle="1" w:styleId="bodytext2">
    <w:name w:val="bodytext2"/>
    <w:basedOn w:val="Normal"/>
    <w:rsid w:val="00C46BF7"/>
    <w:pPr>
      <w:spacing w:before="100" w:beforeAutospacing="1" w:after="100" w:afterAutospacing="1"/>
    </w:pPr>
    <w:rPr>
      <w:lang w:val="es-CO" w:eastAsia="es-ES_tradnl"/>
    </w:rPr>
  </w:style>
  <w:style w:type="character" w:customStyle="1" w:styleId="Ttulo3Car">
    <w:name w:val="Título 3 Car"/>
    <w:basedOn w:val="Fuentedeprrafopredeter"/>
    <w:link w:val="Ttulo3"/>
    <w:uiPriority w:val="9"/>
    <w:semiHidden/>
    <w:rsid w:val="00E71797"/>
    <w:rPr>
      <w:rFonts w:asciiTheme="majorHAnsi" w:eastAsiaTheme="majorEastAsia" w:hAnsiTheme="majorHAnsi" w:cstheme="majorBidi"/>
      <w:color w:val="1F3763" w:themeColor="accent1" w:themeShade="7F"/>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tecltda@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150_2007.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4.xml><?xml version="1.0" encoding="utf-8"?>
<ds:datastoreItem xmlns:ds="http://schemas.openxmlformats.org/officeDocument/2006/customXml" ds:itemID="{A8B7F1C0-1756-4140-9A45-94FD109DB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16</Pages>
  <Words>5568</Words>
  <Characters>30629</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90</cp:revision>
  <cp:lastPrinted>2022-09-23T06:38:00Z</cp:lastPrinted>
  <dcterms:created xsi:type="dcterms:W3CDTF">2022-10-07T21:12:00Z</dcterms:created>
  <dcterms:modified xsi:type="dcterms:W3CDTF">2022-11-09T23:10:00Z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