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2A74C8" w14:textId="77777777" w:rsidR="000400F4" w:rsidRPr="0004784B" w:rsidRDefault="000400F4" w:rsidP="000400F4">
      <w:pPr>
        <w:contextualSpacing/>
        <w:jc w:val="both"/>
        <w:rPr>
          <w:rFonts w:ascii="Verdana" w:eastAsia="Calibri" w:hAnsi="Verdana" w:cs="Arial"/>
          <w:b/>
          <w:lang w:val="es-ES_tradnl"/>
        </w:rPr>
      </w:pPr>
      <w:bookmarkStart w:id="0" w:name="_Hlk67491171"/>
      <w:bookmarkStart w:id="1" w:name="_Hlk143780582"/>
      <w:r w:rsidRPr="0004784B">
        <w:rPr>
          <w:rFonts w:ascii="Verdana" w:eastAsia="Calibri" w:hAnsi="Verdana" w:cs="Arial"/>
          <w:b/>
          <w:lang w:val="es-ES_tradnl"/>
        </w:rPr>
        <w:t>SELECCIÓN OBJETIVA – Contratación estatal – Concepto</w:t>
      </w:r>
    </w:p>
    <w:bookmarkEnd w:id="0"/>
    <w:p w14:paraId="74CEF046" w14:textId="77777777" w:rsidR="000400F4" w:rsidRPr="0004784B" w:rsidRDefault="000400F4" w:rsidP="000400F4">
      <w:pPr>
        <w:tabs>
          <w:tab w:val="left" w:pos="2235"/>
        </w:tabs>
        <w:contextualSpacing/>
        <w:jc w:val="both"/>
        <w:rPr>
          <w:rFonts w:ascii="Verdana" w:eastAsia="Calibri" w:hAnsi="Verdana" w:cs="Arial"/>
          <w:b/>
          <w:sz w:val="20"/>
          <w:szCs w:val="20"/>
          <w:lang w:val="es-ES_tradnl"/>
        </w:rPr>
      </w:pPr>
      <w:r w:rsidRPr="0004784B">
        <w:rPr>
          <w:rFonts w:ascii="Verdana" w:eastAsia="Calibri" w:hAnsi="Verdana" w:cs="Arial"/>
          <w:b/>
          <w:sz w:val="20"/>
          <w:szCs w:val="20"/>
          <w:lang w:val="es-ES_tradnl"/>
        </w:rPr>
        <w:tab/>
      </w:r>
    </w:p>
    <w:p w14:paraId="41E4A28B" w14:textId="77777777" w:rsidR="000400F4" w:rsidRPr="0004784B" w:rsidRDefault="000400F4" w:rsidP="000400F4">
      <w:pPr>
        <w:contextualSpacing/>
        <w:jc w:val="both"/>
        <w:rPr>
          <w:rFonts w:ascii="Verdana" w:eastAsia="Calibri" w:hAnsi="Verdana" w:cs="Arial"/>
          <w:sz w:val="20"/>
          <w:szCs w:val="20"/>
          <w:lang w:val="es-ES_tradnl"/>
        </w:rPr>
      </w:pPr>
      <w:r w:rsidRPr="0004784B">
        <w:rPr>
          <w:rFonts w:ascii="Verdana" w:eastAsia="Calibri" w:hAnsi="Verdana"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al indicar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7B3C84BC" w14:textId="77777777" w:rsidR="000400F4" w:rsidRPr="0004784B" w:rsidRDefault="000400F4" w:rsidP="000400F4">
      <w:pPr>
        <w:contextualSpacing/>
        <w:jc w:val="both"/>
        <w:rPr>
          <w:rFonts w:ascii="Verdana" w:eastAsia="Calibri" w:hAnsi="Verdana" w:cs="Arial"/>
          <w:b/>
          <w:sz w:val="20"/>
          <w:szCs w:val="20"/>
          <w:lang w:val="es-ES_tradnl"/>
        </w:rPr>
      </w:pPr>
    </w:p>
    <w:p w14:paraId="5BBD231F" w14:textId="77777777" w:rsidR="000400F4" w:rsidRPr="0004784B" w:rsidRDefault="000400F4" w:rsidP="000400F4">
      <w:pPr>
        <w:contextualSpacing/>
        <w:jc w:val="both"/>
        <w:rPr>
          <w:rFonts w:ascii="Verdana" w:eastAsia="Calibri" w:hAnsi="Verdana" w:cs="Arial"/>
          <w:b/>
          <w:lang w:val="es-ES_tradnl"/>
        </w:rPr>
      </w:pPr>
      <w:bookmarkStart w:id="2" w:name="_Hlk67491186"/>
      <w:r w:rsidRPr="0004784B">
        <w:rPr>
          <w:rFonts w:ascii="Verdana" w:eastAsia="Calibri" w:hAnsi="Verdana" w:cs="Arial"/>
          <w:b/>
          <w:lang w:val="es-ES_tradnl"/>
        </w:rPr>
        <w:t>EMPATE – Procedimiento de selección – Concepto</w:t>
      </w:r>
    </w:p>
    <w:bookmarkEnd w:id="2"/>
    <w:p w14:paraId="01F93BCD" w14:textId="77777777" w:rsidR="000400F4" w:rsidRPr="0004784B" w:rsidRDefault="000400F4" w:rsidP="000400F4">
      <w:pPr>
        <w:contextualSpacing/>
        <w:jc w:val="both"/>
        <w:rPr>
          <w:rFonts w:ascii="Verdana" w:eastAsia="Calibri" w:hAnsi="Verdana" w:cs="Arial"/>
          <w:b/>
          <w:sz w:val="20"/>
          <w:szCs w:val="20"/>
          <w:lang w:val="es-ES_tradnl"/>
        </w:rPr>
      </w:pPr>
    </w:p>
    <w:p w14:paraId="5177CB4A" w14:textId="77777777" w:rsidR="000400F4" w:rsidRPr="0004784B" w:rsidRDefault="000400F4" w:rsidP="0CA6595D">
      <w:pPr>
        <w:contextualSpacing/>
        <w:jc w:val="both"/>
        <w:rPr>
          <w:rFonts w:ascii="Verdana" w:eastAsia="Calibri" w:hAnsi="Verdana" w:cs="Arial"/>
          <w:sz w:val="20"/>
          <w:szCs w:val="20"/>
          <w:lang w:val="es-ES"/>
        </w:rPr>
      </w:pPr>
      <w:r w:rsidRPr="0CA6595D">
        <w:rPr>
          <w:rFonts w:ascii="Verdana" w:eastAsia="Calibri" w:hAnsi="Verdana" w:cs="Arial"/>
          <w:sz w:val="20"/>
          <w:szCs w:val="20"/>
          <w:lang w:val="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7BBEA8FA" w14:textId="77777777" w:rsidR="000400F4" w:rsidRPr="0004784B" w:rsidRDefault="000400F4" w:rsidP="000400F4">
      <w:pPr>
        <w:contextualSpacing/>
        <w:jc w:val="both"/>
        <w:rPr>
          <w:rFonts w:ascii="Verdana" w:hAnsi="Verdana" w:cs="Arial"/>
          <w:noProof/>
          <w:sz w:val="20"/>
          <w:szCs w:val="20"/>
          <w:lang w:val="es-ES_tradnl"/>
        </w:rPr>
      </w:pPr>
    </w:p>
    <w:p w14:paraId="5C658085" w14:textId="77777777" w:rsidR="000400F4" w:rsidRPr="0004784B" w:rsidRDefault="000400F4" w:rsidP="000400F4">
      <w:pPr>
        <w:contextualSpacing/>
        <w:jc w:val="both"/>
        <w:rPr>
          <w:rFonts w:ascii="Verdana" w:eastAsia="Calibri" w:hAnsi="Verdana" w:cs="Arial"/>
          <w:b/>
          <w:lang w:val="es-ES_tradnl"/>
        </w:rPr>
      </w:pPr>
      <w:bookmarkStart w:id="3" w:name="_Hlk67491199"/>
      <w:r w:rsidRPr="0004784B">
        <w:rPr>
          <w:rFonts w:ascii="Verdana" w:eastAsia="Calibri" w:hAnsi="Verdana" w:cs="Arial"/>
          <w:b/>
          <w:lang w:val="es-ES_tradnl"/>
        </w:rPr>
        <w:t>FACTORES DE DESEMPATE – Características – Límites</w:t>
      </w:r>
    </w:p>
    <w:bookmarkEnd w:id="3"/>
    <w:p w14:paraId="3D005857" w14:textId="77777777" w:rsidR="000400F4" w:rsidRPr="0004784B" w:rsidRDefault="000400F4" w:rsidP="000400F4">
      <w:pPr>
        <w:contextualSpacing/>
        <w:jc w:val="both"/>
        <w:rPr>
          <w:rFonts w:ascii="Verdana" w:hAnsi="Verdana" w:cs="Arial"/>
          <w:noProof/>
          <w:sz w:val="20"/>
          <w:szCs w:val="20"/>
          <w:lang w:val="es-ES_tradnl"/>
        </w:rPr>
      </w:pPr>
    </w:p>
    <w:p w14:paraId="5149DC45" w14:textId="77777777" w:rsidR="000400F4" w:rsidRPr="0004784B" w:rsidRDefault="000400F4" w:rsidP="000400F4">
      <w:pPr>
        <w:contextualSpacing/>
        <w:jc w:val="both"/>
        <w:rPr>
          <w:rFonts w:ascii="Verdana" w:eastAsia="Calibri" w:hAnsi="Verdana" w:cs="Arial"/>
          <w:sz w:val="20"/>
          <w:szCs w:val="20"/>
          <w:lang w:val="es-ES_tradnl"/>
        </w:rPr>
      </w:pPr>
      <w:r w:rsidRPr="0004784B">
        <w:rPr>
          <w:rFonts w:ascii="Verdana" w:eastAsia="Calibri" w:hAnsi="Verdana" w:cs="Arial"/>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encuentra el artículo 35 de la Ley 2069 de 2020. La jurisprudencia comparte la idea de que los criterios de desempate deben estar establecidos de antemano y constituyen un límite a la discrecionalidad administrativa en los procedimientos de selección. </w:t>
      </w:r>
    </w:p>
    <w:p w14:paraId="199414AA" w14:textId="77777777" w:rsidR="000400F4" w:rsidRPr="0004784B" w:rsidRDefault="000400F4" w:rsidP="000400F4">
      <w:pPr>
        <w:contextualSpacing/>
        <w:jc w:val="both"/>
        <w:rPr>
          <w:rFonts w:ascii="Verdana" w:eastAsia="Calibri" w:hAnsi="Verdana" w:cs="Arial"/>
          <w:sz w:val="20"/>
          <w:szCs w:val="20"/>
          <w:lang w:val="es-ES_tradnl"/>
        </w:rPr>
      </w:pPr>
    </w:p>
    <w:p w14:paraId="60E9902D" w14:textId="77777777" w:rsidR="000400F4" w:rsidRPr="0004784B" w:rsidRDefault="000400F4" w:rsidP="0CA6595D">
      <w:pPr>
        <w:contextualSpacing/>
        <w:jc w:val="both"/>
        <w:rPr>
          <w:rFonts w:ascii="Verdana" w:eastAsia="Calibri" w:hAnsi="Verdana" w:cs="Arial"/>
          <w:sz w:val="20"/>
          <w:szCs w:val="20"/>
          <w:lang w:val="es-ES"/>
        </w:rPr>
      </w:pPr>
      <w:r w:rsidRPr="0CA6595D">
        <w:rPr>
          <w:rFonts w:ascii="Verdana" w:eastAsia="Calibri" w:hAnsi="Verdana" w:cs="Arial"/>
          <w:sz w:val="20"/>
          <w:szCs w:val="20"/>
          <w:lang w:val="es-ES"/>
        </w:rPr>
        <w:t xml:space="preserve">En tal sentido, la Corte Constitucional explica que cuando la ley establece factores de desempate obligatorios, las entidades estatales no pueden </w:t>
      </w:r>
      <w:proofErr w:type="spellStart"/>
      <w:r w:rsidRPr="0CA6595D">
        <w:rPr>
          <w:rFonts w:ascii="Verdana" w:eastAsia="Calibri" w:hAnsi="Verdana" w:cs="Arial"/>
          <w:sz w:val="20"/>
          <w:szCs w:val="20"/>
          <w:lang w:val="es-ES"/>
        </w:rPr>
        <w:t>inaplicarlos</w:t>
      </w:r>
      <w:proofErr w:type="spellEnd"/>
      <w:r w:rsidRPr="0CA6595D">
        <w:rPr>
          <w:rFonts w:ascii="Verdana" w:eastAsia="Calibri" w:hAnsi="Verdana" w:cs="Arial"/>
          <w:sz w:val="20"/>
          <w:szCs w:val="20"/>
          <w:lang w:val="es-ES"/>
        </w:rPr>
        <w:t xml:space="preserve">, porque ello </w:t>
      </w:r>
      <w:r w:rsidRPr="0CA6595D">
        <w:rPr>
          <w:rFonts w:ascii="Verdana" w:eastAsia="Calibri" w:hAnsi="Verdana" w:cs="Arial"/>
          <w:sz w:val="20"/>
          <w:szCs w:val="20"/>
          <w:lang w:val="es-ES"/>
        </w:rPr>
        <w:lastRenderedPageBreak/>
        <w:t>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7B4D070E" w14:textId="77777777" w:rsidR="000400F4" w:rsidRPr="0004784B" w:rsidRDefault="000400F4" w:rsidP="000400F4">
      <w:pPr>
        <w:contextualSpacing/>
        <w:jc w:val="both"/>
        <w:rPr>
          <w:rFonts w:ascii="Verdana" w:eastAsia="Calibri" w:hAnsi="Verdana" w:cs="Arial"/>
          <w:b/>
          <w:sz w:val="20"/>
          <w:szCs w:val="20"/>
          <w:lang w:val="es-ES_tradnl"/>
        </w:rPr>
      </w:pPr>
    </w:p>
    <w:p w14:paraId="551495D3" w14:textId="77777777" w:rsidR="000400F4" w:rsidRPr="0004784B" w:rsidRDefault="000400F4" w:rsidP="000400F4">
      <w:pPr>
        <w:contextualSpacing/>
        <w:jc w:val="both"/>
        <w:rPr>
          <w:rFonts w:ascii="Verdana" w:eastAsia="Calibri" w:hAnsi="Verdana" w:cs="Arial"/>
          <w:b/>
          <w:lang w:val="es-ES_tradnl"/>
        </w:rPr>
      </w:pPr>
      <w:bookmarkStart w:id="4" w:name="_Hlk67491213"/>
      <w:r w:rsidRPr="0004784B">
        <w:rPr>
          <w:rFonts w:ascii="Verdana" w:eastAsia="Calibri" w:hAnsi="Verdana" w:cs="Arial"/>
          <w:b/>
          <w:lang w:val="es-ES_tradnl"/>
        </w:rPr>
        <w:t xml:space="preserve">LEY DE EMPRENDIMIENTO – Ley 2069 de 2020 – Contenido </w:t>
      </w:r>
    </w:p>
    <w:bookmarkEnd w:id="4"/>
    <w:p w14:paraId="11C4B5AB" w14:textId="77777777" w:rsidR="000400F4" w:rsidRPr="0004784B" w:rsidRDefault="000400F4" w:rsidP="000400F4">
      <w:pPr>
        <w:contextualSpacing/>
        <w:jc w:val="both"/>
        <w:rPr>
          <w:rFonts w:ascii="Verdana" w:eastAsia="Calibri" w:hAnsi="Verdana" w:cs="Arial"/>
          <w:b/>
          <w:sz w:val="20"/>
          <w:szCs w:val="20"/>
          <w:lang w:val="es-ES_tradnl"/>
        </w:rPr>
      </w:pPr>
    </w:p>
    <w:p w14:paraId="427A17D2" w14:textId="77777777" w:rsidR="000400F4" w:rsidRPr="0004784B" w:rsidRDefault="000400F4" w:rsidP="000400F4">
      <w:pPr>
        <w:contextualSpacing/>
        <w:jc w:val="both"/>
        <w:rPr>
          <w:rFonts w:ascii="Verdana" w:eastAsia="Calibri" w:hAnsi="Verdana" w:cs="Arial"/>
          <w:sz w:val="20"/>
          <w:szCs w:val="20"/>
          <w:lang w:val="es-ES_tradnl"/>
        </w:rPr>
      </w:pPr>
      <w:r w:rsidRPr="0004784B">
        <w:rPr>
          <w:rFonts w:ascii="Verdana" w:eastAsia="Calibri" w:hAnsi="Verdana" w:cs="Arial"/>
          <w:sz w:val="20"/>
          <w:szCs w:val="20"/>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60F09DB1" w14:textId="77777777" w:rsidR="000400F4" w:rsidRPr="0004784B" w:rsidRDefault="000400F4" w:rsidP="000400F4">
      <w:pPr>
        <w:contextualSpacing/>
        <w:jc w:val="both"/>
        <w:rPr>
          <w:rFonts w:ascii="Verdana" w:eastAsia="Calibri" w:hAnsi="Verdana" w:cs="Arial"/>
          <w:sz w:val="20"/>
          <w:szCs w:val="20"/>
          <w:lang w:val="es-ES_tradnl"/>
        </w:rPr>
      </w:pPr>
    </w:p>
    <w:p w14:paraId="09DE774E" w14:textId="77777777" w:rsidR="000400F4" w:rsidRPr="0004784B" w:rsidRDefault="000400F4" w:rsidP="0CA6595D">
      <w:pPr>
        <w:contextualSpacing/>
        <w:jc w:val="both"/>
        <w:rPr>
          <w:rFonts w:ascii="Verdana" w:eastAsia="Calibri" w:hAnsi="Verdana" w:cs="Arial"/>
          <w:sz w:val="20"/>
          <w:szCs w:val="20"/>
          <w:lang w:val="es-ES"/>
        </w:rPr>
      </w:pPr>
      <w:r w:rsidRPr="0CA6595D">
        <w:rPr>
          <w:rFonts w:ascii="Verdana" w:eastAsia="Calibri" w:hAnsi="Verdana" w:cs="Arial"/>
          <w:sz w:val="20"/>
          <w:szCs w:val="20"/>
          <w:lang w:val="es-ES"/>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CA6595D">
        <w:rPr>
          <w:rFonts w:ascii="Verdana" w:eastAsia="Calibri" w:hAnsi="Verdana" w:cs="Arial"/>
          <w:sz w:val="20"/>
          <w:szCs w:val="20"/>
          <w:lang w:val="es-ES"/>
        </w:rPr>
        <w:t>Mipymes</w:t>
      </w:r>
      <w:proofErr w:type="spellEnd"/>
      <w:r w:rsidRPr="0CA6595D">
        <w:rPr>
          <w:rFonts w:ascii="Verdana" w:eastAsia="Calibri" w:hAnsi="Verdana" w:cs="Arial"/>
          <w:sz w:val="20"/>
          <w:szCs w:val="20"/>
          <w:lang w:val="es-ES"/>
        </w:rPr>
        <w:t xml:space="preserve">–,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 </w:t>
      </w:r>
    </w:p>
    <w:p w14:paraId="3693A34F" w14:textId="77777777" w:rsidR="000400F4" w:rsidRPr="0004784B" w:rsidRDefault="000400F4" w:rsidP="000400F4">
      <w:pPr>
        <w:contextualSpacing/>
        <w:jc w:val="both"/>
        <w:rPr>
          <w:rFonts w:ascii="Verdana" w:eastAsia="Calibri" w:hAnsi="Verdana" w:cs="Arial"/>
          <w:b/>
          <w:sz w:val="20"/>
          <w:szCs w:val="20"/>
          <w:lang w:val="es-ES_tradnl"/>
        </w:rPr>
      </w:pPr>
    </w:p>
    <w:p w14:paraId="58ECDB79" w14:textId="77777777" w:rsidR="000400F4" w:rsidRPr="0004784B" w:rsidRDefault="000400F4" w:rsidP="000400F4">
      <w:pPr>
        <w:tabs>
          <w:tab w:val="left" w:pos="709"/>
        </w:tabs>
        <w:contextualSpacing/>
        <w:jc w:val="both"/>
        <w:rPr>
          <w:rFonts w:ascii="Verdana" w:eastAsia="Calibri" w:hAnsi="Verdana" w:cs="Arial"/>
          <w:lang w:val="es-ES_tradnl"/>
        </w:rPr>
      </w:pPr>
      <w:r w:rsidRPr="0004784B">
        <w:rPr>
          <w:rFonts w:ascii="Verdana" w:hAnsi="Verdana" w:cs="Arial"/>
          <w:b/>
          <w:bCs/>
          <w:noProof/>
          <w:lang w:val="es-ES_tradnl"/>
        </w:rPr>
        <w:t xml:space="preserve">FACTORES DE DESEMPATE </w:t>
      </w:r>
      <w:r w:rsidRPr="0004784B">
        <w:rPr>
          <w:rFonts w:ascii="Verdana" w:hAnsi="Verdana" w:cs="Arial"/>
          <w:b/>
          <w:bCs/>
          <w:noProof/>
          <w:lang w:val="es-ES_tradnl"/>
        </w:rPr>
        <w:softHyphen/>
        <w:t xml:space="preserve">– Ley 2069 de 2020 – Artículo 35 </w:t>
      </w:r>
    </w:p>
    <w:p w14:paraId="11AC9FA1" w14:textId="77777777" w:rsidR="000400F4" w:rsidRPr="0004784B" w:rsidRDefault="000400F4" w:rsidP="000400F4">
      <w:pPr>
        <w:tabs>
          <w:tab w:val="left" w:pos="709"/>
        </w:tabs>
        <w:contextualSpacing/>
        <w:jc w:val="both"/>
        <w:rPr>
          <w:rFonts w:ascii="Verdana" w:eastAsia="Calibri" w:hAnsi="Verdana" w:cs="Arial"/>
          <w:sz w:val="20"/>
          <w:szCs w:val="20"/>
          <w:lang w:val="es-ES_tradnl"/>
        </w:rPr>
      </w:pPr>
    </w:p>
    <w:p w14:paraId="2674A1D5" w14:textId="77777777" w:rsidR="000400F4" w:rsidRPr="0004784B" w:rsidRDefault="000400F4" w:rsidP="000400F4">
      <w:pPr>
        <w:tabs>
          <w:tab w:val="left" w:pos="709"/>
        </w:tabs>
        <w:contextualSpacing/>
        <w:jc w:val="both"/>
        <w:rPr>
          <w:rFonts w:ascii="Verdana" w:eastAsia="Calibri" w:hAnsi="Verdana" w:cs="Arial"/>
          <w:sz w:val="20"/>
          <w:szCs w:val="20"/>
          <w:lang w:val="es-ES_tradnl"/>
        </w:rPr>
      </w:pPr>
      <w:r w:rsidRPr="0004784B">
        <w:rPr>
          <w:rFonts w:ascii="Verdana" w:eastAsia="Calibri" w:hAnsi="Verdana" w:cs="Arial"/>
          <w:sz w:val="20"/>
          <w:szCs w:val="20"/>
          <w:lang w:val="es-ES_tradnl"/>
        </w:rPr>
        <w:t>El artículo 35 de la Ley 2069 de 2020 define un nuevo marco jurídico en relación con los criterios de desempate previstos en los procesos de contratación realizados con cargo a recursos públicos, los procesos de contratación efectuados por las entidades estatales indistintamente de su régimen de contratación, así como los procesos de contratación adelantados por patrimonios autónomos constituidos por entidades estatales. […]</w:t>
      </w:r>
    </w:p>
    <w:p w14:paraId="637120A6" w14:textId="77777777" w:rsidR="000400F4" w:rsidRPr="0004784B" w:rsidRDefault="000400F4" w:rsidP="000400F4">
      <w:pPr>
        <w:tabs>
          <w:tab w:val="left" w:pos="709"/>
        </w:tabs>
        <w:contextualSpacing/>
        <w:jc w:val="both"/>
        <w:rPr>
          <w:rFonts w:ascii="Verdana" w:eastAsia="Calibri" w:hAnsi="Verdana" w:cs="Arial"/>
          <w:sz w:val="20"/>
          <w:szCs w:val="20"/>
          <w:lang w:val="es-ES_tradnl"/>
        </w:rPr>
      </w:pPr>
    </w:p>
    <w:p w14:paraId="05FE69F5" w14:textId="77777777" w:rsidR="000400F4" w:rsidRPr="0004784B" w:rsidRDefault="000400F4" w:rsidP="000400F4">
      <w:pPr>
        <w:tabs>
          <w:tab w:val="left" w:pos="709"/>
        </w:tabs>
        <w:contextualSpacing/>
        <w:jc w:val="both"/>
        <w:rPr>
          <w:rFonts w:ascii="Verdana" w:hAnsi="Verdana" w:cs="Arial"/>
          <w:b/>
          <w:bCs/>
          <w:noProof/>
          <w:lang w:val="es-ES_tradnl"/>
        </w:rPr>
      </w:pPr>
      <w:r w:rsidRPr="0004784B">
        <w:rPr>
          <w:rFonts w:ascii="Verdana" w:hAnsi="Verdana" w:cs="Arial"/>
          <w:b/>
          <w:bCs/>
          <w:noProof/>
          <w:lang w:val="es-ES_tradnl"/>
        </w:rPr>
        <w:t xml:space="preserve">FACTORES DE DESEMPATE </w:t>
      </w:r>
      <w:r w:rsidRPr="0004784B">
        <w:rPr>
          <w:rFonts w:ascii="Verdana" w:hAnsi="Verdana" w:cs="Arial"/>
          <w:b/>
          <w:bCs/>
          <w:noProof/>
          <w:lang w:val="es-ES_tradnl"/>
        </w:rPr>
        <w:softHyphen/>
        <w:t>– Decreto 1860 de 2021</w:t>
      </w:r>
    </w:p>
    <w:p w14:paraId="0C3393D4" w14:textId="77777777" w:rsidR="000400F4" w:rsidRPr="0004784B" w:rsidRDefault="000400F4" w:rsidP="000400F4">
      <w:pPr>
        <w:tabs>
          <w:tab w:val="left" w:pos="709"/>
        </w:tabs>
        <w:contextualSpacing/>
        <w:jc w:val="both"/>
        <w:rPr>
          <w:rFonts w:ascii="Verdana" w:eastAsia="Calibri" w:hAnsi="Verdana" w:cs="Arial"/>
          <w:sz w:val="20"/>
          <w:szCs w:val="20"/>
          <w:lang w:val="es-ES_tradnl"/>
        </w:rPr>
      </w:pPr>
    </w:p>
    <w:p w14:paraId="31BAEBDB" w14:textId="77777777" w:rsidR="000400F4" w:rsidRPr="0004784B" w:rsidRDefault="000400F4" w:rsidP="0CA6595D">
      <w:pPr>
        <w:contextualSpacing/>
        <w:jc w:val="both"/>
        <w:rPr>
          <w:rFonts w:ascii="Verdana" w:eastAsia="Calibri" w:hAnsi="Verdana" w:cs="Arial"/>
          <w:sz w:val="20"/>
          <w:szCs w:val="20"/>
          <w:lang w:val="es-ES"/>
        </w:rPr>
      </w:pPr>
      <w:r w:rsidRPr="0CA6595D">
        <w:rPr>
          <w:rFonts w:ascii="Verdana" w:eastAsia="Calibri" w:hAnsi="Verdana" w:cs="Arial"/>
          <w:sz w:val="20"/>
          <w:szCs w:val="20"/>
          <w:lang w:val="es-ES"/>
        </w:rPr>
        <w:t xml:space="preserve">Si bien esta norma es de aplicación directa, como se mencionó en los párrafos anteriores, no establece la forma de acreditar las circunstancias a las que se refieren cada uno de sus numerales, por lo que se consideró necesario la intervención del reglamento para la debida aplicación de los factores de desempate, de manera que se estandarizara la forma en que se acreditan los mismos. En consecuencia, conforme la potestad reglamentaria asignada al gobierno nacional, el artículo 3 del Decreto 1860 de 2021, mediante el cual se adicionó el artículo 2.2.1.2.4.2.17. al Decreto 1082 de 2015, reglamentó el artículo 35 de la Ley 2069 de 2020 y determinó la forma en la cual se deben acreditar las </w:t>
      </w:r>
      <w:r w:rsidRPr="0CA6595D">
        <w:rPr>
          <w:rFonts w:ascii="Verdana" w:eastAsia="Calibri" w:hAnsi="Verdana" w:cs="Arial"/>
          <w:sz w:val="20"/>
          <w:szCs w:val="20"/>
          <w:lang w:val="es-ES"/>
        </w:rPr>
        <w:lastRenderedPageBreak/>
        <w:t>circunstancias a las que se refieren cada uno de los numerales del citado artículo. De esta forma, a través del artículo en mención se permite la debida aplicación de los factores de desempate previstos y se garantiza la selección objetiva de los contratistas. Esta regulación impide que la forma de acreditación de los factores de desempate dependa de la discrecionalidad administrativa, por lo que pretende una regulación uniforme de la materia conforme al alcance de cada una de las causales contenidas en el artículo 35 de la Ley 2069 de 2021.</w:t>
      </w:r>
    </w:p>
    <w:p w14:paraId="6AF7011B" w14:textId="77777777" w:rsidR="000400F4" w:rsidRPr="0004784B" w:rsidRDefault="000400F4" w:rsidP="000400F4">
      <w:pPr>
        <w:tabs>
          <w:tab w:val="left" w:pos="709"/>
        </w:tabs>
        <w:contextualSpacing/>
        <w:jc w:val="both"/>
        <w:rPr>
          <w:rFonts w:ascii="Verdana" w:eastAsia="Calibri" w:hAnsi="Verdana" w:cs="Arial"/>
          <w:sz w:val="20"/>
          <w:szCs w:val="20"/>
          <w:lang w:val="es-ES_tradnl"/>
        </w:rPr>
      </w:pPr>
      <w:r w:rsidRPr="0004784B">
        <w:rPr>
          <w:rFonts w:ascii="Verdana" w:eastAsia="Calibri" w:hAnsi="Verdana" w:cs="Arial"/>
          <w:sz w:val="20"/>
          <w:szCs w:val="20"/>
          <w:lang w:val="es-ES_tradnl"/>
        </w:rPr>
        <w:tab/>
      </w:r>
    </w:p>
    <w:p w14:paraId="20F24CC4" w14:textId="77777777" w:rsidR="000400F4" w:rsidRPr="0004784B" w:rsidRDefault="000400F4" w:rsidP="000400F4">
      <w:pPr>
        <w:contextualSpacing/>
        <w:jc w:val="both"/>
        <w:rPr>
          <w:rFonts w:ascii="Verdana" w:hAnsi="Verdana" w:cs="Arial"/>
          <w:b/>
          <w:bCs/>
          <w:noProof/>
          <w:lang w:val="es-ES_tradnl"/>
        </w:rPr>
      </w:pPr>
      <w:r w:rsidRPr="0004784B">
        <w:rPr>
          <w:rFonts w:ascii="Verdana" w:hAnsi="Verdana" w:cs="Arial"/>
          <w:b/>
          <w:bCs/>
          <w:noProof/>
          <w:lang w:val="es-ES_tradnl"/>
        </w:rPr>
        <w:t xml:space="preserve">FACTORES DE DESEMPATE </w:t>
      </w:r>
      <w:r w:rsidRPr="0004784B">
        <w:rPr>
          <w:rFonts w:ascii="Verdana" w:hAnsi="Verdana" w:cs="Arial"/>
          <w:b/>
          <w:bCs/>
          <w:noProof/>
          <w:lang w:val="es-ES_tradnl"/>
        </w:rPr>
        <w:softHyphen/>
        <w:t xml:space="preserve">– Mínima cuantía – Ley 2069 de 2020 – Artículo 35 –– Aplicación – Puntaje </w:t>
      </w:r>
    </w:p>
    <w:p w14:paraId="0A77BAAC" w14:textId="77777777" w:rsidR="000400F4" w:rsidRPr="0004784B" w:rsidRDefault="000400F4" w:rsidP="000400F4">
      <w:pPr>
        <w:tabs>
          <w:tab w:val="left" w:pos="709"/>
        </w:tabs>
        <w:contextualSpacing/>
        <w:jc w:val="both"/>
        <w:rPr>
          <w:rFonts w:ascii="Verdana" w:eastAsia="Calibri" w:hAnsi="Verdana" w:cs="Arial"/>
          <w:sz w:val="20"/>
          <w:szCs w:val="20"/>
          <w:lang w:val="es-ES_tradnl"/>
        </w:rPr>
      </w:pPr>
    </w:p>
    <w:p w14:paraId="2E410631" w14:textId="77777777" w:rsidR="000400F4" w:rsidRPr="0004784B" w:rsidRDefault="000400F4" w:rsidP="000400F4">
      <w:pPr>
        <w:tabs>
          <w:tab w:val="left" w:pos="0"/>
        </w:tabs>
        <w:contextualSpacing/>
        <w:jc w:val="both"/>
        <w:rPr>
          <w:rFonts w:ascii="Verdana" w:hAnsi="Verdana" w:cs="Arial"/>
          <w:sz w:val="20"/>
          <w:szCs w:val="20"/>
        </w:rPr>
      </w:pPr>
      <w:r w:rsidRPr="0004784B">
        <w:rPr>
          <w:rFonts w:ascii="Verdana" w:eastAsia="Calibri" w:hAnsi="Verdana" w:cs="Arial"/>
          <w:sz w:val="20"/>
          <w:szCs w:val="20"/>
          <w:lang w:val="es-ES_tradnl"/>
        </w:rPr>
        <w:t>En ese sentido, la Agencia ha estimado que la aplicación del artículo 35 de la Ley 2069 de 2020</w:t>
      </w:r>
      <w:r w:rsidRPr="0004784B">
        <w:rPr>
          <w:rFonts w:ascii="Verdana" w:hAnsi="Verdana" w:cs="Arial"/>
          <w:sz w:val="20"/>
          <w:szCs w:val="20"/>
        </w:rPr>
        <w:t xml:space="preserve"> es transversal a los diferentes actores del sistema de compras públicas, quienes –indistintamente del régimen de contractual y el proceso de selección– deben aplicar los criterios de desempate de esta norma, lo cual aplica a los procedimientos de subasta inversa y de mínima cuantía. </w:t>
      </w:r>
    </w:p>
    <w:p w14:paraId="0F975800" w14:textId="77777777" w:rsidR="000400F4" w:rsidRPr="0004784B" w:rsidRDefault="000400F4" w:rsidP="000400F4">
      <w:pPr>
        <w:tabs>
          <w:tab w:val="left" w:pos="0"/>
        </w:tabs>
        <w:contextualSpacing/>
        <w:jc w:val="both"/>
        <w:rPr>
          <w:rFonts w:ascii="Verdana" w:eastAsia="Calibri" w:hAnsi="Verdana" w:cs="Arial"/>
          <w:sz w:val="20"/>
          <w:szCs w:val="20"/>
          <w:lang w:val="es-ES_tradnl"/>
        </w:rPr>
      </w:pPr>
    </w:p>
    <w:p w14:paraId="3C17B571" w14:textId="77777777" w:rsidR="000400F4" w:rsidRPr="0004784B" w:rsidRDefault="000400F4" w:rsidP="000400F4">
      <w:pPr>
        <w:tabs>
          <w:tab w:val="left" w:pos="0"/>
        </w:tabs>
        <w:contextualSpacing/>
        <w:jc w:val="both"/>
        <w:rPr>
          <w:rFonts w:ascii="Verdana" w:eastAsia="Calibri" w:hAnsi="Verdana" w:cs="Arial"/>
          <w:bCs/>
          <w:sz w:val="20"/>
          <w:szCs w:val="20"/>
        </w:rPr>
      </w:pPr>
      <w:r w:rsidRPr="0004784B">
        <w:rPr>
          <w:rFonts w:ascii="Verdana" w:eastAsia="Calibri" w:hAnsi="Verdana" w:cs="Arial"/>
          <w:sz w:val="20"/>
          <w:szCs w:val="20"/>
          <w:lang w:val="es-ES_tradnl"/>
        </w:rPr>
        <w:t>El hecho de que en este procedimiento la determinación de la oferta más favorable no esté mediada por el uso de “puntaje” y que el artículo 35 de la Ley 2069 de 2020 sea aplicable en “</w:t>
      </w:r>
      <w:r w:rsidRPr="0004784B">
        <w:rPr>
          <w:rFonts w:ascii="Verdana" w:hAnsi="Verdana" w:cs="Arial"/>
          <w:sz w:val="20"/>
          <w:szCs w:val="20"/>
        </w:rPr>
        <w:t>[..] caso de empate en el puntaje total de dos o más ofertas […]”,</w:t>
      </w:r>
      <w:r w:rsidRPr="0004784B">
        <w:rPr>
          <w:rFonts w:ascii="Verdana" w:eastAsia="Calibri" w:hAnsi="Verdana" w:cs="Arial"/>
          <w:sz w:val="20"/>
          <w:szCs w:val="20"/>
          <w:lang w:val="es-ES_tradnl"/>
        </w:rPr>
        <w:t xml:space="preserve"> no significa la inaplicación de dicha noma</w:t>
      </w:r>
      <w:r w:rsidRPr="0004784B">
        <w:rPr>
          <w:rFonts w:ascii="Verdana" w:eastAsia="Calibri" w:hAnsi="Verdana" w:cs="Arial"/>
          <w:bCs/>
          <w:sz w:val="20"/>
          <w:szCs w:val="20"/>
        </w:rPr>
        <w:t xml:space="preserve">. </w:t>
      </w:r>
      <w:r w:rsidRPr="0004784B">
        <w:rPr>
          <w:rFonts w:ascii="Verdana" w:eastAsia="Calibri" w:hAnsi="Verdana" w:cs="Arial"/>
          <w:sz w:val="20"/>
          <w:szCs w:val="20"/>
          <w:lang w:val="es-ES_tradnl"/>
        </w:rPr>
        <w:t xml:space="preserve">Esto dado que una interpretación exegética del artículo 35, según la cual este solo es aplicable en los procedimientos en los que se use el “puntaje” como mecanismo de evaluación, no corresponde con la finalidad transversal de la norma, puesto que los factores de desempate de la Ley de Emprendimiento están concebidos para </w:t>
      </w:r>
      <w:r w:rsidRPr="0004784B">
        <w:rPr>
          <w:rFonts w:ascii="Verdana" w:eastAsia="Calibri" w:hAnsi="Verdana" w:cs="Arial"/>
          <w:bCs/>
          <w:sz w:val="20"/>
          <w:szCs w:val="20"/>
        </w:rPr>
        <w:t>“[…]</w:t>
      </w:r>
      <w:r w:rsidRPr="0004784B">
        <w:rPr>
          <w:rFonts w:ascii="Verdana" w:hAnsi="Verdana" w:cs="Arial"/>
          <w:sz w:val="20"/>
          <w:szCs w:val="20"/>
        </w:rPr>
        <w:t xml:space="preserve">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w:t>
      </w:r>
      <w:r w:rsidRPr="0004784B">
        <w:rPr>
          <w:rFonts w:ascii="Verdana" w:eastAsia="Calibri" w:hAnsi="Verdana" w:cs="Arial"/>
          <w:bCs/>
          <w:sz w:val="20"/>
          <w:szCs w:val="20"/>
        </w:rPr>
        <w:t>”.</w:t>
      </w:r>
    </w:p>
    <w:p w14:paraId="749887CA" w14:textId="77777777" w:rsidR="000400F4" w:rsidRPr="0004784B" w:rsidRDefault="000400F4" w:rsidP="000400F4">
      <w:pPr>
        <w:tabs>
          <w:tab w:val="left" w:pos="0"/>
        </w:tabs>
        <w:contextualSpacing/>
        <w:jc w:val="both"/>
        <w:rPr>
          <w:rFonts w:ascii="Verdana" w:eastAsia="Calibri" w:hAnsi="Verdana" w:cs="Arial"/>
          <w:bCs/>
          <w:sz w:val="20"/>
          <w:szCs w:val="20"/>
        </w:rPr>
      </w:pPr>
    </w:p>
    <w:p w14:paraId="1A9E4520" w14:textId="77777777" w:rsidR="000400F4" w:rsidRPr="0004784B" w:rsidRDefault="000400F4" w:rsidP="000400F4">
      <w:pPr>
        <w:tabs>
          <w:tab w:val="left" w:pos="0"/>
        </w:tabs>
        <w:contextualSpacing/>
        <w:jc w:val="both"/>
        <w:rPr>
          <w:rFonts w:ascii="Verdana" w:eastAsia="Calibri" w:hAnsi="Verdana" w:cs="Arial"/>
          <w:bCs/>
          <w:sz w:val="20"/>
          <w:szCs w:val="20"/>
        </w:rPr>
      </w:pPr>
      <w:r w:rsidRPr="0004784B">
        <w:rPr>
          <w:rFonts w:ascii="Verdana" w:eastAsia="Calibri" w:hAnsi="Verdana" w:cs="Arial"/>
          <w:bCs/>
          <w:sz w:val="20"/>
          <w:szCs w:val="20"/>
        </w:rPr>
        <w:t xml:space="preserve">Por lo anterior, se considera que el alcance de la expresión </w:t>
      </w:r>
      <w:r w:rsidRPr="0004784B">
        <w:rPr>
          <w:rFonts w:ascii="Verdana" w:eastAsia="Calibri" w:hAnsi="Verdana" w:cs="Arial"/>
          <w:bCs/>
          <w:i/>
          <w:iCs/>
          <w:sz w:val="20"/>
          <w:szCs w:val="20"/>
        </w:rPr>
        <w:t xml:space="preserve">puntaje total, </w:t>
      </w:r>
      <w:r w:rsidRPr="0004784B">
        <w:rPr>
          <w:rFonts w:ascii="Verdana" w:eastAsia="Calibri" w:hAnsi="Verdana" w:cs="Arial"/>
          <w:bCs/>
          <w:sz w:val="20"/>
          <w:szCs w:val="20"/>
        </w:rPr>
        <w:t>contenida en el artículo 35 de la Ley 2069 de 2020, debe interpretarse sistemáticamente, propiciando una aplicación normativa coherente con otras disposiciones del sistema de compra pública y que satisfaga la finalidad transversal de la norma. Con este propósito, es necesario acudir al artículo 5 de la Ley 1150 de 2007, el cual regula el deber de selección objetiva, conforme al cual debe determinarse cuál es la oferta más favorable para la entidad y los fines de la contratación.</w:t>
      </w:r>
    </w:p>
    <w:p w14:paraId="44CE901A" w14:textId="77777777" w:rsidR="000400F4" w:rsidRPr="0004784B" w:rsidRDefault="000400F4" w:rsidP="000400F4">
      <w:pPr>
        <w:contextualSpacing/>
        <w:jc w:val="both"/>
        <w:rPr>
          <w:rFonts w:ascii="Verdana" w:hAnsi="Verdana" w:cs="Arial"/>
          <w:b/>
          <w:bCs/>
          <w:noProof/>
          <w:sz w:val="20"/>
          <w:szCs w:val="20"/>
          <w:lang w:val="es-ES_tradnl"/>
        </w:rPr>
      </w:pPr>
    </w:p>
    <w:p w14:paraId="437B071E" w14:textId="77777777" w:rsidR="000400F4" w:rsidRPr="0004784B" w:rsidRDefault="000400F4" w:rsidP="000400F4">
      <w:pPr>
        <w:contextualSpacing/>
        <w:jc w:val="both"/>
        <w:rPr>
          <w:rFonts w:ascii="Verdana" w:hAnsi="Verdana" w:cs="Arial"/>
          <w:b/>
          <w:bCs/>
          <w:noProof/>
          <w:lang w:val="es-ES_tradnl"/>
        </w:rPr>
      </w:pPr>
      <w:r w:rsidRPr="0004784B">
        <w:rPr>
          <w:rFonts w:ascii="Verdana" w:hAnsi="Verdana" w:cs="Arial"/>
          <w:b/>
          <w:bCs/>
          <w:noProof/>
          <w:lang w:val="es-ES_tradnl"/>
        </w:rPr>
        <w:t xml:space="preserve">FACTORES DE DESEMPATE </w:t>
      </w:r>
      <w:r w:rsidRPr="0004784B">
        <w:rPr>
          <w:rFonts w:ascii="Verdana" w:hAnsi="Verdana" w:cs="Arial"/>
          <w:b/>
          <w:bCs/>
          <w:noProof/>
          <w:lang w:val="es-ES_tradnl"/>
        </w:rPr>
        <w:softHyphen/>
        <w:t>– Mínima cuantía – Ley 2069 de 2020 – Artículo 35 – Factores de desempate – Aplicación – Decreto 1860 de 2021</w:t>
      </w:r>
    </w:p>
    <w:p w14:paraId="61CCE349" w14:textId="77777777" w:rsidR="000400F4" w:rsidRPr="0004784B" w:rsidRDefault="000400F4" w:rsidP="000400F4">
      <w:pPr>
        <w:contextualSpacing/>
        <w:jc w:val="both"/>
        <w:rPr>
          <w:rFonts w:ascii="Verdana" w:eastAsia="Calibri" w:hAnsi="Verdana" w:cs="Arial"/>
          <w:bCs/>
          <w:sz w:val="20"/>
          <w:szCs w:val="20"/>
        </w:rPr>
      </w:pPr>
    </w:p>
    <w:p w14:paraId="0C385C1D" w14:textId="77777777" w:rsidR="000400F4" w:rsidRPr="0004784B" w:rsidRDefault="000400F4" w:rsidP="0CA6595D">
      <w:pPr>
        <w:contextualSpacing/>
        <w:jc w:val="both"/>
        <w:rPr>
          <w:rFonts w:ascii="Verdana" w:eastAsia="Calibri" w:hAnsi="Verdana" w:cs="Arial"/>
          <w:sz w:val="20"/>
          <w:szCs w:val="20"/>
          <w:lang w:val="es-ES"/>
        </w:rPr>
      </w:pPr>
      <w:r w:rsidRPr="0CA6595D">
        <w:rPr>
          <w:rFonts w:ascii="Verdana" w:eastAsia="Calibri" w:hAnsi="Verdana" w:cs="Arial"/>
          <w:sz w:val="20"/>
          <w:szCs w:val="20"/>
          <w:lang w:val="es-ES"/>
        </w:rPr>
        <w:t xml:space="preserve">Sumado a los argumentos antes expuestos, se debe tener en cuenta que el Decreto 1860 de 2021, mediante el cual se reglamentó la Ley 2069 de 2020, dispuso de forma </w:t>
      </w:r>
      <w:r w:rsidRPr="0CA6595D">
        <w:rPr>
          <w:rFonts w:ascii="Verdana" w:eastAsia="Calibri" w:hAnsi="Verdana" w:cs="Arial"/>
          <w:sz w:val="20"/>
          <w:szCs w:val="20"/>
          <w:lang w:val="es-ES"/>
        </w:rPr>
        <w:lastRenderedPageBreak/>
        <w:t xml:space="preserve">expresa la aplicación de los factores de desempate dispuesto en el artículo 35 a los procedimientos de mínima cuantía. Así las cosas, el artículo 2.2.1.2.1.5.2 del Decreto 1082 de 2015, modificado por el artículo 2 del Decreto 1860 de 2021, regula el procedimiento aplicable para la modalidad de mínima cuantía y </w:t>
      </w:r>
      <w:r w:rsidRPr="0CA6595D">
        <w:rPr>
          <w:rFonts w:ascii="Verdana" w:eastAsia="Calibri" w:hAnsi="Verdana" w:cs="Arial"/>
          <w:sz w:val="20"/>
          <w:szCs w:val="20"/>
          <w:lang w:val="es-ES" w:eastAsia="es-CO"/>
        </w:rPr>
        <w:t>dispone, en su numeral 8, un factor de desempate aplicable a este procedimiento</w:t>
      </w:r>
      <w:r w:rsidRPr="0CA6595D">
        <w:rPr>
          <w:rFonts w:ascii="Verdana" w:eastAsia="Calibri" w:hAnsi="Verdana" w:cs="Arial"/>
          <w:sz w:val="20"/>
          <w:szCs w:val="20"/>
          <w:lang w:val="es-ES"/>
        </w:rPr>
        <w:t xml:space="preserve">, al indicar que en caso de empate se aplicaran los criterios de que trata el artículo 35 de la Ley 2069 de 2020, conforme lo medios de acreditación dispuestos en el artículo 2.2.1.2.4.2.17. del mismo Decreto. </w:t>
      </w:r>
    </w:p>
    <w:p w14:paraId="57953915" w14:textId="77777777" w:rsidR="00E02A3F" w:rsidRDefault="000400F4" w:rsidP="003C6383">
      <w:pPr>
        <w:spacing w:after="0" w:line="240" w:lineRule="auto"/>
        <w:jc w:val="both"/>
        <w:rPr>
          <w:rFonts w:ascii="Verdana" w:eastAsia="Calibri" w:hAnsi="Verdana" w:cs="Arial"/>
          <w:lang w:val="es-ES_tradnl"/>
        </w:rPr>
      </w:pPr>
      <w:r w:rsidRPr="0004784B">
        <w:rPr>
          <w:rFonts w:ascii="Verdana" w:eastAsia="Calibri" w:hAnsi="Verdana" w:cs="Arial"/>
          <w:lang w:val="es-ES_tradnl"/>
        </w:rPr>
        <w:br w:type="page"/>
      </w:r>
    </w:p>
    <w:p w14:paraId="5A1F80FF" w14:textId="59B48C5D" w:rsidR="00E02A3F" w:rsidRPr="0004784B" w:rsidRDefault="00E02A3F" w:rsidP="00E02A3F">
      <w:pPr>
        <w:rPr>
          <w:rFonts w:ascii="Arial" w:eastAsia="Calibri" w:hAnsi="Arial" w:cs="Arial"/>
          <w:lang w:val="es-ES_tradnl"/>
        </w:rPr>
      </w:pPr>
      <w:r w:rsidRPr="0004784B">
        <w:rPr>
          <w:rFonts w:ascii="Verdana" w:eastAsia="Geomanist Light" w:hAnsi="Verdana" w:cs="Arial"/>
          <w:color w:val="000000" w:themeColor="text1"/>
        </w:rPr>
        <w:lastRenderedPageBreak/>
        <w:t xml:space="preserve">Bogotá D.C., </w:t>
      </w:r>
      <w:r>
        <w:rPr>
          <w:rFonts w:ascii="Verdana" w:eastAsia="Geomanist Light" w:hAnsi="Verdana" w:cs="Arial"/>
          <w:color w:val="000000" w:themeColor="text1"/>
        </w:rPr>
        <w:t xml:space="preserve">08 </w:t>
      </w:r>
      <w:r w:rsidRPr="0004784B">
        <w:rPr>
          <w:rFonts w:ascii="Verdana" w:eastAsia="Geomanist Light" w:hAnsi="Verdana" w:cs="Arial"/>
          <w:color w:val="000000" w:themeColor="text1"/>
        </w:rPr>
        <w:t xml:space="preserve">de </w:t>
      </w:r>
      <w:r>
        <w:rPr>
          <w:rFonts w:ascii="Verdana" w:eastAsia="Geomanist Light" w:hAnsi="Verdana" w:cs="Arial"/>
          <w:color w:val="000000" w:themeColor="text1"/>
        </w:rPr>
        <w:t xml:space="preserve">Julio </w:t>
      </w:r>
      <w:r w:rsidRPr="0004784B">
        <w:rPr>
          <w:rFonts w:ascii="Verdana" w:eastAsia="Geomanist Light" w:hAnsi="Verdana" w:cs="Arial"/>
          <w:color w:val="000000" w:themeColor="text1"/>
        </w:rPr>
        <w:t xml:space="preserve">de </w:t>
      </w:r>
      <w:r>
        <w:rPr>
          <w:rFonts w:ascii="Verdana" w:eastAsia="Geomanist Light" w:hAnsi="Verdana" w:cs="Arial"/>
          <w:color w:val="000000" w:themeColor="text1"/>
        </w:rPr>
        <w:t>2025</w:t>
      </w:r>
      <w:r w:rsidRPr="0004784B">
        <w:rPr>
          <w:rFonts w:ascii="Verdana" w:eastAsia="Geomanist Light" w:hAnsi="Verdana" w:cs="Arial"/>
          <w:color w:val="000000" w:themeColor="text1"/>
        </w:rPr>
        <w:t xml:space="preserve"> </w:t>
      </w:r>
    </w:p>
    <w:p w14:paraId="456BF840" w14:textId="2AECB8CA" w:rsidR="00E02A3F" w:rsidRDefault="00E837CB" w:rsidP="00E837CB">
      <w:pPr>
        <w:spacing w:after="0" w:line="240" w:lineRule="auto"/>
        <w:ind w:left="5664"/>
        <w:jc w:val="both"/>
        <w:rPr>
          <w:rFonts w:ascii="Verdana" w:eastAsia="Calibri" w:hAnsi="Verdana" w:cs="Arial"/>
          <w:lang w:val="es-ES_tradnl"/>
        </w:rPr>
      </w:pPr>
      <w:r>
        <w:rPr>
          <w:noProof/>
        </w:rPr>
        <w:drawing>
          <wp:inline distT="0" distB="0" distL="0" distR="0" wp14:anchorId="5679F5A6" wp14:editId="36D5340F">
            <wp:extent cx="1962150" cy="714375"/>
            <wp:effectExtent l="0" t="0" r="0" b="9525"/>
            <wp:docPr id="16154180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18033" name=""/>
                    <pic:cNvPicPr/>
                  </pic:nvPicPr>
                  <pic:blipFill>
                    <a:blip r:embed="rId10"/>
                    <a:stretch>
                      <a:fillRect/>
                    </a:stretch>
                  </pic:blipFill>
                  <pic:spPr>
                    <a:xfrm>
                      <a:off x="0" y="0"/>
                      <a:ext cx="1962150" cy="714375"/>
                    </a:xfrm>
                    <a:prstGeom prst="rect">
                      <a:avLst/>
                    </a:prstGeom>
                  </pic:spPr>
                </pic:pic>
              </a:graphicData>
            </a:graphic>
          </wp:inline>
        </w:drawing>
      </w:r>
    </w:p>
    <w:p w14:paraId="45A75B8D" w14:textId="12BBB06D" w:rsidR="003C6383" w:rsidRPr="0004784B" w:rsidRDefault="003C6383" w:rsidP="003C6383">
      <w:pPr>
        <w:spacing w:after="0" w:line="240"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Señor</w:t>
      </w:r>
    </w:p>
    <w:p w14:paraId="407001E5" w14:textId="77777777" w:rsidR="003C6383" w:rsidRPr="0004784B" w:rsidRDefault="003C6383" w:rsidP="003C6383">
      <w:pPr>
        <w:spacing w:after="0" w:line="240" w:lineRule="auto"/>
        <w:rPr>
          <w:rFonts w:ascii="Verdana" w:eastAsia="Calibri" w:hAnsi="Verdana" w:cs="Arial"/>
          <w:b/>
          <w:color w:val="000000" w:themeColor="text1"/>
          <w:lang w:val="es-ES" w:eastAsia="es-ES"/>
        </w:rPr>
      </w:pPr>
      <w:r w:rsidRPr="0004784B">
        <w:rPr>
          <w:rFonts w:ascii="Verdana" w:eastAsia="Calibri" w:hAnsi="Verdana" w:cs="Arial"/>
          <w:b/>
          <w:color w:val="000000" w:themeColor="text1"/>
          <w:lang w:val="es-ES" w:eastAsia="es-ES"/>
        </w:rPr>
        <w:t xml:space="preserve">Carlos Andrés Pinedo Meneses </w:t>
      </w:r>
    </w:p>
    <w:p w14:paraId="24058795" w14:textId="77777777" w:rsidR="003C6383" w:rsidRPr="0004784B" w:rsidRDefault="003C6383" w:rsidP="003C6383">
      <w:pPr>
        <w:spacing w:after="0" w:line="240" w:lineRule="auto"/>
        <w:rPr>
          <w:rFonts w:ascii="Verdana" w:eastAsia="Calibri" w:hAnsi="Verdana" w:cs="Arial"/>
          <w:color w:val="000000" w:themeColor="text1"/>
          <w:u w:val="single"/>
          <w:lang w:eastAsia="es-ES"/>
        </w:rPr>
      </w:pPr>
      <w:r w:rsidRPr="0004784B">
        <w:rPr>
          <w:rFonts w:ascii="Verdana" w:eastAsia="Calibri" w:hAnsi="Verdana" w:cs="Arial"/>
          <w:color w:val="000000" w:themeColor="text1"/>
          <w:u w:val="single"/>
          <w:lang w:eastAsia="es-ES"/>
        </w:rPr>
        <w:t xml:space="preserve">capfire49@hotmail.com </w:t>
      </w:r>
    </w:p>
    <w:p w14:paraId="032F2D5C" w14:textId="77777777" w:rsidR="003C6383" w:rsidRPr="0004784B" w:rsidRDefault="003C6383" w:rsidP="003C6383">
      <w:pPr>
        <w:spacing w:after="0" w:line="240" w:lineRule="auto"/>
        <w:rPr>
          <w:rFonts w:ascii="Verdana" w:eastAsia="Calibri" w:hAnsi="Verdana" w:cs="Arial"/>
          <w:color w:val="000000" w:themeColor="text1"/>
          <w:lang w:eastAsia="es-ES"/>
        </w:rPr>
      </w:pPr>
      <w:r w:rsidRPr="0004784B">
        <w:rPr>
          <w:rFonts w:ascii="Verdana" w:eastAsia="Calibri" w:hAnsi="Verdana" w:cs="Arial"/>
          <w:color w:val="000000" w:themeColor="text1"/>
          <w:lang w:eastAsia="es-ES"/>
        </w:rPr>
        <w:t xml:space="preserve">Bogotá D.C </w:t>
      </w:r>
    </w:p>
    <w:p w14:paraId="43EBC7D0" w14:textId="77777777" w:rsidR="003C6383" w:rsidRPr="0004784B" w:rsidRDefault="003C6383" w:rsidP="003C6383">
      <w:pPr>
        <w:spacing w:after="0" w:line="240" w:lineRule="auto"/>
        <w:rPr>
          <w:rFonts w:ascii="Verdana" w:eastAsia="Calibri" w:hAnsi="Verdana" w:cs="Arial"/>
          <w:b/>
          <w:bCs/>
          <w:color w:val="000000" w:themeColor="text1"/>
          <w:lang w:eastAsia="es-ES_tradnl"/>
        </w:rPr>
      </w:pPr>
    </w:p>
    <w:p w14:paraId="475D428B" w14:textId="77777777" w:rsidR="003C6383" w:rsidRPr="0004784B" w:rsidRDefault="003C6383" w:rsidP="003C6383">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C6383" w:rsidRPr="0004784B" w14:paraId="17004C89" w14:textId="77777777" w:rsidTr="003C375A">
        <w:trPr>
          <w:trHeight w:val="884"/>
        </w:trPr>
        <w:tc>
          <w:tcPr>
            <w:tcW w:w="2689" w:type="dxa"/>
          </w:tcPr>
          <w:p w14:paraId="5FCEA004" w14:textId="77777777" w:rsidR="003C6383" w:rsidRPr="0004784B" w:rsidRDefault="003C6383" w:rsidP="003C375A">
            <w:pPr>
              <w:jc w:val="both"/>
              <w:rPr>
                <w:rFonts w:ascii="Verdana" w:eastAsia="Calibri" w:hAnsi="Verdana" w:cs="Arial"/>
                <w:b/>
                <w:bCs/>
                <w:color w:val="000000" w:themeColor="text1"/>
                <w:lang w:eastAsia="es-ES_tradnl"/>
              </w:rPr>
            </w:pPr>
          </w:p>
        </w:tc>
        <w:tc>
          <w:tcPr>
            <w:tcW w:w="6100" w:type="dxa"/>
          </w:tcPr>
          <w:p w14:paraId="14DDAB46" w14:textId="77777777" w:rsidR="003C6383" w:rsidRPr="0004784B" w:rsidRDefault="003C6383" w:rsidP="003C375A">
            <w:pPr>
              <w:jc w:val="both"/>
              <w:rPr>
                <w:rFonts w:ascii="Verdana" w:eastAsia="Calibri" w:hAnsi="Verdana" w:cs="Arial"/>
                <w:b/>
                <w:bCs/>
                <w:color w:val="000000" w:themeColor="text1"/>
                <w:lang w:val="es-ES" w:eastAsia="es-ES"/>
              </w:rPr>
            </w:pPr>
            <w:r w:rsidRPr="0004784B">
              <w:rPr>
                <w:rFonts w:ascii="Verdana" w:eastAsia="Calibri" w:hAnsi="Verdana" w:cs="Arial"/>
                <w:b/>
                <w:bCs/>
                <w:color w:val="000000" w:themeColor="text1"/>
                <w:lang w:val="es-ES" w:eastAsia="es-ES"/>
              </w:rPr>
              <w:t>Concepto C- 668 de 2025</w:t>
            </w:r>
          </w:p>
        </w:tc>
      </w:tr>
      <w:tr w:rsidR="003C6383" w:rsidRPr="0004784B" w14:paraId="0E7612F7" w14:textId="77777777" w:rsidTr="003C375A">
        <w:trPr>
          <w:trHeight w:val="884"/>
        </w:trPr>
        <w:tc>
          <w:tcPr>
            <w:tcW w:w="2689" w:type="dxa"/>
          </w:tcPr>
          <w:p w14:paraId="0184EEC7" w14:textId="77777777" w:rsidR="003C6383" w:rsidRPr="0004784B" w:rsidRDefault="003C6383" w:rsidP="003C375A">
            <w:pPr>
              <w:jc w:val="both"/>
              <w:rPr>
                <w:rFonts w:ascii="Verdana" w:eastAsia="Calibri" w:hAnsi="Verdana" w:cs="Arial"/>
                <w:color w:val="000000" w:themeColor="text1"/>
                <w:lang w:val="es-ES_tradnl" w:eastAsia="es-ES_tradnl"/>
              </w:rPr>
            </w:pPr>
            <w:r w:rsidRPr="0004784B">
              <w:rPr>
                <w:rFonts w:ascii="Verdana" w:eastAsia="Calibri" w:hAnsi="Verdana" w:cs="Arial"/>
                <w:b/>
                <w:color w:val="000000" w:themeColor="text1"/>
                <w:lang w:val="es-ES_tradnl" w:eastAsia="es-ES_tradnl"/>
              </w:rPr>
              <w:t>Temas:</w:t>
            </w:r>
            <w:r w:rsidRPr="0004784B">
              <w:rPr>
                <w:rFonts w:ascii="Verdana" w:eastAsia="Calibri" w:hAnsi="Verdana" w:cs="Arial"/>
                <w:color w:val="000000" w:themeColor="text1"/>
                <w:lang w:val="es-ES_tradnl" w:eastAsia="es-ES_tradnl"/>
              </w:rPr>
              <w:t xml:space="preserve">                   </w:t>
            </w:r>
          </w:p>
        </w:tc>
        <w:tc>
          <w:tcPr>
            <w:tcW w:w="6100" w:type="dxa"/>
          </w:tcPr>
          <w:p w14:paraId="63C8F4F3" w14:textId="77777777" w:rsidR="003C6383" w:rsidRPr="0004784B" w:rsidRDefault="003C6383" w:rsidP="003C375A">
            <w:pPr>
              <w:contextualSpacing/>
              <w:jc w:val="both"/>
              <w:rPr>
                <w:rFonts w:ascii="Verdana" w:hAnsi="Verdana" w:cs="Arial"/>
                <w:bCs/>
                <w:noProof/>
                <w:lang w:val="es-ES_tradnl"/>
              </w:rPr>
            </w:pPr>
            <w:r w:rsidRPr="0004784B">
              <w:rPr>
                <w:rFonts w:ascii="Verdana" w:eastAsia="Calibri" w:hAnsi="Verdana" w:cs="Arial"/>
                <w:bCs/>
                <w:lang w:val="es-ES_tradnl"/>
              </w:rPr>
              <w:t xml:space="preserve">SELECCIÓN OBJETIVA – Contratación estatal – Concepto / EMPATE – Procedimiento de selección – Concepto / FACTORES DE DESEMPATE – Características – Límites / LEY DE EMPRENDIMIENTO – Ley 2069 de 2020 – Contenido / </w:t>
            </w:r>
            <w:r w:rsidRPr="0004784B">
              <w:rPr>
                <w:rFonts w:ascii="Verdana" w:hAnsi="Verdana" w:cs="Arial"/>
                <w:bCs/>
                <w:noProof/>
                <w:lang w:val="es-ES_tradnl"/>
              </w:rPr>
              <w:t xml:space="preserve">FACTORES DE DESEMPATE </w:t>
            </w:r>
            <w:r w:rsidRPr="0004784B">
              <w:rPr>
                <w:rFonts w:ascii="Verdana" w:hAnsi="Verdana" w:cs="Arial"/>
                <w:bCs/>
                <w:noProof/>
                <w:lang w:val="es-ES_tradnl"/>
              </w:rPr>
              <w:softHyphen/>
              <w:t xml:space="preserve">– Ley 2069 de 2020 – Artículo 35 / FACTORES DE DESEMPATE </w:t>
            </w:r>
            <w:r w:rsidRPr="0004784B">
              <w:rPr>
                <w:rFonts w:ascii="Verdana" w:hAnsi="Verdana" w:cs="Arial"/>
                <w:bCs/>
                <w:noProof/>
                <w:lang w:val="es-ES_tradnl"/>
              </w:rPr>
              <w:softHyphen/>
              <w:t xml:space="preserve">– Decreto 1860 de 2021 / FACTORES DE DESEMPATE </w:t>
            </w:r>
            <w:r w:rsidRPr="0004784B">
              <w:rPr>
                <w:rFonts w:ascii="Verdana" w:hAnsi="Verdana" w:cs="Arial"/>
                <w:bCs/>
                <w:noProof/>
                <w:lang w:val="es-ES_tradnl"/>
              </w:rPr>
              <w:softHyphen/>
              <w:t xml:space="preserve">– Mínima cuantía – Ley 2069 de 2020 – Artículo 35 –– Aplicación – Puntaje / FACTORES DE DESEMPATE </w:t>
            </w:r>
            <w:r w:rsidRPr="0004784B">
              <w:rPr>
                <w:rFonts w:ascii="Verdana" w:hAnsi="Verdana" w:cs="Arial"/>
                <w:bCs/>
                <w:noProof/>
                <w:lang w:val="es-ES_tradnl"/>
              </w:rPr>
              <w:softHyphen/>
              <w:t>– Mínima cuantía – Ley 2069 de 2020 – Artículo 35 – Factores de desempate – Aplicación – Decreto 1860 de 2021</w:t>
            </w:r>
          </w:p>
          <w:p w14:paraId="2F69F202" w14:textId="77777777" w:rsidR="003C6383" w:rsidRPr="0004784B" w:rsidRDefault="003C6383" w:rsidP="003C375A">
            <w:pPr>
              <w:jc w:val="both"/>
              <w:rPr>
                <w:rFonts w:ascii="Verdana" w:eastAsia="Calibri" w:hAnsi="Verdana" w:cs="Arial"/>
                <w:color w:val="000000" w:themeColor="text1"/>
                <w:lang w:val="es-MX" w:eastAsia="es-ES"/>
              </w:rPr>
            </w:pPr>
          </w:p>
        </w:tc>
      </w:tr>
      <w:tr w:rsidR="003C6383" w:rsidRPr="0004784B" w14:paraId="3879DCEC" w14:textId="77777777" w:rsidTr="003C375A">
        <w:tc>
          <w:tcPr>
            <w:tcW w:w="2689" w:type="dxa"/>
          </w:tcPr>
          <w:p w14:paraId="62C25835" w14:textId="77777777" w:rsidR="003C6383" w:rsidRPr="0004784B" w:rsidRDefault="003C6383" w:rsidP="003C375A">
            <w:pPr>
              <w:jc w:val="both"/>
              <w:rPr>
                <w:rFonts w:ascii="Verdana" w:eastAsia="Calibri" w:hAnsi="Verdana" w:cs="Arial"/>
                <w:b/>
                <w:color w:val="000000" w:themeColor="text1"/>
                <w:lang w:val="es-ES_tradnl" w:eastAsia="es-ES_tradnl"/>
              </w:rPr>
            </w:pPr>
            <w:r w:rsidRPr="0004784B">
              <w:rPr>
                <w:rFonts w:ascii="Verdana" w:eastAsia="Calibri" w:hAnsi="Verdana" w:cs="Arial"/>
                <w:b/>
                <w:color w:val="000000" w:themeColor="text1"/>
                <w:lang w:val="es-ES_tradnl" w:eastAsia="es-ES_tradnl"/>
              </w:rPr>
              <w:t>Radicación:</w:t>
            </w:r>
            <w:r w:rsidRPr="0004784B">
              <w:rPr>
                <w:rFonts w:ascii="Verdana" w:eastAsia="Calibri" w:hAnsi="Verdana" w:cs="Arial"/>
                <w:color w:val="000000" w:themeColor="text1"/>
                <w:lang w:val="es-ES_tradnl" w:eastAsia="es-ES_tradnl"/>
              </w:rPr>
              <w:t xml:space="preserve">               </w:t>
            </w:r>
          </w:p>
        </w:tc>
        <w:tc>
          <w:tcPr>
            <w:tcW w:w="6100" w:type="dxa"/>
          </w:tcPr>
          <w:p w14:paraId="54BED839" w14:textId="77777777" w:rsidR="003C6383" w:rsidRPr="0004784B" w:rsidRDefault="003C6383" w:rsidP="003C375A">
            <w:pPr>
              <w:jc w:val="both"/>
              <w:rPr>
                <w:rFonts w:ascii="Verdana" w:eastAsia="Calibri" w:hAnsi="Verdana" w:cs="Arial"/>
                <w:color w:val="000000" w:themeColor="text1"/>
                <w:lang w:val="es-ES_tradnl" w:eastAsia="es-ES_tradnl"/>
              </w:rPr>
            </w:pPr>
            <w:r w:rsidRPr="0004784B">
              <w:rPr>
                <w:rFonts w:ascii="Verdana" w:eastAsia="Calibri" w:hAnsi="Verdana" w:cs="Arial"/>
                <w:color w:val="000000" w:themeColor="text1"/>
                <w:lang w:val="es-ES_tradnl" w:eastAsia="es-ES_tradnl"/>
              </w:rPr>
              <w:t xml:space="preserve">Respuesta a consulta con radicado No. </w:t>
            </w:r>
            <w:r w:rsidRPr="0004784B">
              <w:rPr>
                <w:rFonts w:ascii="Verdana" w:eastAsia="Calibri" w:hAnsi="Verdana" w:cs="Arial"/>
                <w:color w:val="000000" w:themeColor="text1"/>
                <w:lang w:eastAsia="es-ES_tradnl"/>
              </w:rPr>
              <w:t xml:space="preserve">P20250527005113 </w:t>
            </w:r>
          </w:p>
        </w:tc>
      </w:tr>
    </w:tbl>
    <w:p w14:paraId="361D17E3" w14:textId="77777777" w:rsidR="003C6383" w:rsidRPr="0004784B" w:rsidRDefault="003C6383" w:rsidP="003C6383">
      <w:pPr>
        <w:spacing w:after="0" w:line="240" w:lineRule="auto"/>
        <w:jc w:val="both"/>
        <w:rPr>
          <w:rFonts w:ascii="Verdana" w:eastAsia="Calibri" w:hAnsi="Verdana" w:cs="Arial"/>
          <w:color w:val="000000" w:themeColor="text1"/>
          <w:lang w:val="es-ES_tradnl" w:eastAsia="es-ES_tradnl"/>
        </w:rPr>
      </w:pPr>
    </w:p>
    <w:p w14:paraId="152A2441" w14:textId="77777777" w:rsidR="003C6383" w:rsidRPr="0004784B" w:rsidRDefault="003C6383" w:rsidP="003C6383">
      <w:pPr>
        <w:spacing w:after="0" w:line="240" w:lineRule="auto"/>
        <w:jc w:val="both"/>
        <w:rPr>
          <w:rFonts w:ascii="Verdana" w:eastAsia="Calibri" w:hAnsi="Verdana" w:cs="Arial"/>
          <w:color w:val="000000" w:themeColor="text1"/>
          <w:lang w:val="es-ES_tradnl" w:eastAsia="es-ES_tradnl"/>
        </w:rPr>
      </w:pPr>
    </w:p>
    <w:p w14:paraId="0CBD7B5A" w14:textId="77777777" w:rsidR="003C6383" w:rsidRPr="0004784B" w:rsidRDefault="003C6383" w:rsidP="003C6383">
      <w:pPr>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04784B">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Pinedo;</w:t>
      </w:r>
      <w:r w:rsidRPr="0004784B">
        <w:rPr>
          <w:rFonts w:ascii="Verdana" w:eastAsia="Calibri" w:hAnsi="Verdana" w:cs="Arial"/>
          <w:color w:val="000000" w:themeColor="text1"/>
          <w:lang w:val="es-ES" w:eastAsia="es-ES"/>
        </w:rPr>
        <w:t xml:space="preserve"> </w:t>
      </w:r>
    </w:p>
    <w:p w14:paraId="5C31E5D7" w14:textId="77777777" w:rsidR="003C6383" w:rsidRPr="0004784B" w:rsidRDefault="003C6383" w:rsidP="003C6383">
      <w:pPr>
        <w:tabs>
          <w:tab w:val="left" w:pos="3768"/>
        </w:tabs>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ab/>
      </w:r>
    </w:p>
    <w:p w14:paraId="014B4126" w14:textId="77777777" w:rsidR="003C6383" w:rsidRPr="0004784B" w:rsidRDefault="003C6383" w:rsidP="003C6383">
      <w:pPr>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En ejercicio de la competencia otorgada por los artículos 3, numeral 5º, y 11, numeral 8º, del Decreto Ley 4170 de 2011,</w:t>
      </w:r>
      <w:r w:rsidRPr="0004784B">
        <w:rPr>
          <w:rFonts w:ascii="Verdana" w:eastAsia="Arial MT" w:hAnsi="Verdana" w:cs="Arial MT"/>
          <w:color w:val="000000" w:themeColor="text1"/>
          <w:lang w:val="es-ES" w:eastAsia="es-ES"/>
        </w:rPr>
        <w:t xml:space="preserve"> </w:t>
      </w:r>
      <w:r w:rsidRPr="0004784B">
        <w:rPr>
          <w:rFonts w:ascii="Verdana" w:hAnsi="Verdana" w:cs="Arial"/>
          <w:color w:val="000000" w:themeColor="text1"/>
        </w:rPr>
        <w:t xml:space="preserve">así como lo establecido en el artículo 4 de la Resolución 1707 de 2018 expedida por esta Entidad, </w:t>
      </w:r>
      <w:r w:rsidRPr="0004784B">
        <w:rPr>
          <w:rFonts w:ascii="Verdana" w:eastAsia="Calibri" w:hAnsi="Verdana" w:cs="Arial"/>
          <w:color w:val="000000" w:themeColor="text1"/>
          <w:lang w:val="es-ES" w:eastAsia="es-ES"/>
        </w:rPr>
        <w:t xml:space="preserve">la Agencia Nacional de Contratación Pública – Colombia Compra Eficiente– responde su solicitud de consulta de fecha 25 de abril de 2025, en la cual manifiesta lo siguiente: </w:t>
      </w:r>
    </w:p>
    <w:p w14:paraId="3F0F12B1" w14:textId="77777777" w:rsidR="003C6383" w:rsidRPr="0004784B" w:rsidRDefault="003C6383" w:rsidP="003C6383">
      <w:pPr>
        <w:pStyle w:val="Prrafodelista"/>
        <w:tabs>
          <w:tab w:val="left" w:pos="142"/>
          <w:tab w:val="left" w:pos="284"/>
        </w:tabs>
        <w:spacing w:after="0" w:line="276" w:lineRule="auto"/>
        <w:jc w:val="both"/>
        <w:rPr>
          <w:rFonts w:ascii="Verdana" w:eastAsia="Century Gothic" w:hAnsi="Verdana" w:cs="Century Gothic"/>
          <w:b/>
          <w:color w:val="000000" w:themeColor="text1"/>
        </w:rPr>
      </w:pPr>
    </w:p>
    <w:p w14:paraId="404CD982" w14:textId="77777777" w:rsidR="003C6383" w:rsidRPr="0004784B" w:rsidRDefault="003C6383" w:rsidP="003C6383">
      <w:pPr>
        <w:spacing w:after="0" w:line="240" w:lineRule="auto"/>
        <w:ind w:left="709" w:right="709"/>
        <w:jc w:val="both"/>
        <w:rPr>
          <w:rFonts w:ascii="Verdana" w:eastAsia="Century Gothic" w:hAnsi="Verdana" w:cs="Century Gothic"/>
          <w:i/>
          <w:iCs/>
          <w:color w:val="000000" w:themeColor="text1"/>
          <w:sz w:val="20"/>
          <w:szCs w:val="20"/>
          <w:lang w:val="es-ES"/>
        </w:rPr>
      </w:pPr>
      <w:bookmarkStart w:id="5" w:name="_Hlk95313578"/>
      <w:r w:rsidRPr="0004784B">
        <w:rPr>
          <w:rFonts w:ascii="Verdana" w:eastAsia="Century Gothic" w:hAnsi="Verdana" w:cs="Century Gothic"/>
          <w:i/>
          <w:iCs/>
          <w:color w:val="000000" w:themeColor="text1"/>
          <w:sz w:val="20"/>
          <w:szCs w:val="20"/>
          <w:lang w:val="es-ES"/>
        </w:rPr>
        <w:lastRenderedPageBreak/>
        <w:t>“</w:t>
      </w:r>
      <w:bookmarkEnd w:id="5"/>
      <w:r w:rsidRPr="0004784B">
        <w:rPr>
          <w:rFonts w:ascii="Verdana" w:eastAsia="Century Gothic" w:hAnsi="Verdana" w:cs="Century Gothic"/>
          <w:i/>
          <w:iCs/>
          <w:color w:val="000000" w:themeColor="text1"/>
          <w:sz w:val="20"/>
          <w:szCs w:val="20"/>
          <w:lang w:val="es-ES"/>
        </w:rPr>
        <w:t xml:space="preserve">¿En los procesos de selección de mínima cuantía, la aplicación de los criterios de desempate consagrados en el artículo 35 de la Ley 2069 de 2020, se realizan luego de realizar la verificación de los criterios habilitantes de todas las ofertas que Se encuentren empatadas o, el desempate es realizado para determinar la oferta sobre la cual se realiza la verificación de la misma?:.” </w:t>
      </w:r>
    </w:p>
    <w:p w14:paraId="5F4120EC" w14:textId="77777777" w:rsidR="003C6383" w:rsidRPr="0004784B" w:rsidRDefault="003C6383" w:rsidP="003C6383">
      <w:pPr>
        <w:spacing w:after="0" w:line="240" w:lineRule="auto"/>
        <w:ind w:left="709" w:right="709"/>
        <w:jc w:val="both"/>
        <w:rPr>
          <w:rFonts w:ascii="Verdana" w:eastAsia="Century Gothic" w:hAnsi="Verdana" w:cs="Century Gothic"/>
          <w:i/>
          <w:iCs/>
          <w:color w:val="000000" w:themeColor="text1"/>
          <w:sz w:val="20"/>
          <w:szCs w:val="20"/>
          <w:lang w:val="es-ES"/>
        </w:rPr>
      </w:pPr>
    </w:p>
    <w:p w14:paraId="6098EFA0" w14:textId="77777777" w:rsidR="003C6383" w:rsidRPr="0004784B" w:rsidRDefault="003C6383" w:rsidP="003C6383">
      <w:pPr>
        <w:spacing w:after="120" w:line="276" w:lineRule="auto"/>
        <w:ind w:firstLine="709"/>
        <w:jc w:val="both"/>
        <w:rPr>
          <w:rFonts w:ascii="Verdana" w:eastAsia="Calibri" w:hAnsi="Verdana" w:cs="Arial"/>
          <w:color w:val="000000" w:themeColor="text1"/>
          <w:szCs w:val="24"/>
          <w:lang w:val="es-ES_tradnl" w:eastAsia="es-ES_tradnl"/>
        </w:rPr>
      </w:pPr>
      <w:r w:rsidRPr="0004784B">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4784B">
        <w:rPr>
          <w:rFonts w:ascii="Verdana" w:eastAsia="Calibri" w:hAnsi="Verdana" w:cs="Arial"/>
          <w:color w:val="000000" w:themeColor="text1"/>
          <w:szCs w:val="24"/>
          <w:lang w:val="es-ES_tradnl" w:eastAsia="es-ES_tradnl"/>
        </w:rPr>
        <w:tab/>
      </w:r>
    </w:p>
    <w:p w14:paraId="662DAA8F" w14:textId="77777777" w:rsidR="003C6383" w:rsidRPr="0004784B" w:rsidRDefault="003C6383" w:rsidP="003C6383">
      <w:pPr>
        <w:spacing w:after="0" w:line="276" w:lineRule="auto"/>
        <w:ind w:firstLine="709"/>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0F51D33" w14:textId="77777777" w:rsidR="003C6383" w:rsidRPr="0004784B" w:rsidRDefault="003C6383" w:rsidP="003C6383">
      <w:pPr>
        <w:spacing w:after="0" w:line="276" w:lineRule="auto"/>
        <w:ind w:firstLine="709"/>
        <w:jc w:val="both"/>
        <w:rPr>
          <w:rFonts w:ascii="Verdana" w:eastAsia="Calibri" w:hAnsi="Verdana" w:cs="Arial"/>
          <w:color w:val="000000" w:themeColor="text1"/>
          <w:lang w:val="es-ES" w:eastAsia="es-ES"/>
        </w:rPr>
      </w:pPr>
    </w:p>
    <w:p w14:paraId="566DDA8F" w14:textId="77777777" w:rsidR="003C6383" w:rsidRPr="0004784B" w:rsidRDefault="003C6383" w:rsidP="003C638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Problema planteado:</w:t>
      </w:r>
    </w:p>
    <w:p w14:paraId="4F668028" w14:textId="77777777" w:rsidR="003C6383" w:rsidRPr="0004784B" w:rsidRDefault="003C6383" w:rsidP="003C6383">
      <w:pPr>
        <w:tabs>
          <w:tab w:val="left" w:pos="426"/>
        </w:tabs>
        <w:spacing w:after="0" w:line="276" w:lineRule="auto"/>
        <w:jc w:val="both"/>
        <w:rPr>
          <w:rFonts w:ascii="Verdana" w:eastAsia="Century Gothic" w:hAnsi="Verdana" w:cs="Century Gothic"/>
          <w:color w:val="000000" w:themeColor="text1"/>
          <w:lang w:val="es-ES"/>
        </w:rPr>
      </w:pPr>
    </w:p>
    <w:p w14:paraId="2A4F6C87" w14:textId="31A2EF27" w:rsidR="003C6383" w:rsidRPr="0004784B" w:rsidRDefault="003C6383" w:rsidP="003C6383">
      <w:pPr>
        <w:spacing w:after="0" w:line="276" w:lineRule="auto"/>
        <w:jc w:val="both"/>
        <w:rPr>
          <w:rFonts w:ascii="Verdana" w:eastAsia="Century Gothic" w:hAnsi="Verdana" w:cs="Century Gothic"/>
          <w:color w:val="000000" w:themeColor="text1"/>
        </w:rPr>
      </w:pPr>
      <w:r w:rsidRPr="7A13BCB1">
        <w:rPr>
          <w:rFonts w:ascii="Verdana" w:eastAsia="Century Gothic" w:hAnsi="Verdana" w:cs="Century Gothic"/>
          <w:color w:val="000000" w:themeColor="text1"/>
        </w:rPr>
        <w:t>De acuerdo con el contenido de su solicitud, esta Agencia resolverá el siguiente problema jurídico: ¿Cómo se aplica</w:t>
      </w:r>
      <w:r w:rsidR="5CDE1192" w:rsidRPr="7A13BCB1">
        <w:rPr>
          <w:rFonts w:ascii="Verdana" w:eastAsia="Century Gothic" w:hAnsi="Verdana" w:cs="Century Gothic"/>
          <w:color w:val="000000" w:themeColor="text1"/>
        </w:rPr>
        <w:t>n</w:t>
      </w:r>
      <w:r w:rsidRPr="7A13BCB1">
        <w:rPr>
          <w:rFonts w:ascii="Verdana" w:eastAsia="Century Gothic" w:hAnsi="Verdana" w:cs="Century Gothic"/>
          <w:color w:val="000000" w:themeColor="text1"/>
        </w:rPr>
        <w:t xml:space="preserve"> los criterios de desempate en los procesos de mínima de cuantía?</w:t>
      </w:r>
    </w:p>
    <w:p w14:paraId="44034365" w14:textId="77777777" w:rsidR="003C6383" w:rsidRPr="0004784B" w:rsidRDefault="003C6383" w:rsidP="003C6383">
      <w:pPr>
        <w:spacing w:after="0" w:line="276" w:lineRule="auto"/>
        <w:jc w:val="both"/>
        <w:rPr>
          <w:rFonts w:ascii="Verdana" w:eastAsia="Calibri" w:hAnsi="Verdana" w:cs="Arial"/>
          <w:color w:val="000000" w:themeColor="text1"/>
          <w:lang w:val="es-ES"/>
        </w:rPr>
      </w:pPr>
    </w:p>
    <w:p w14:paraId="4C3D570D" w14:textId="77777777" w:rsidR="003C6383" w:rsidRPr="0004784B" w:rsidRDefault="003C6383" w:rsidP="003C63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Respuesta:</w:t>
      </w:r>
    </w:p>
    <w:p w14:paraId="684173FF" w14:textId="77777777" w:rsidR="003C6383" w:rsidRPr="0004784B" w:rsidRDefault="003C6383" w:rsidP="003C638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C6383" w:rsidRPr="0004784B" w14:paraId="0D902BEC" w14:textId="77777777" w:rsidTr="7A13BCB1">
        <w:tc>
          <w:tcPr>
            <w:tcW w:w="8828" w:type="dxa"/>
          </w:tcPr>
          <w:p w14:paraId="320BFB84" w14:textId="17D7E09C" w:rsidR="003C6383" w:rsidRPr="0004784B" w:rsidRDefault="003C6383" w:rsidP="003C375A">
            <w:pPr>
              <w:spacing w:after="120" w:line="276" w:lineRule="auto"/>
              <w:jc w:val="both"/>
              <w:rPr>
                <w:rFonts w:ascii="Verdana" w:eastAsia="Calibri" w:hAnsi="Verdana" w:cs="Arial"/>
                <w:color w:val="000000" w:themeColor="text1"/>
              </w:rPr>
            </w:pPr>
            <w:r w:rsidRPr="7A13BCB1">
              <w:rPr>
                <w:rFonts w:ascii="Verdana" w:eastAsia="Calibri" w:hAnsi="Verdana" w:cs="Arial"/>
                <w:color w:val="000000" w:themeColor="text1"/>
              </w:rPr>
              <w:t>De manera preliminar es pertinente indica</w:t>
            </w:r>
            <w:r w:rsidR="716D2420" w:rsidRPr="7A13BCB1">
              <w:rPr>
                <w:rFonts w:ascii="Verdana" w:eastAsia="Calibri" w:hAnsi="Verdana" w:cs="Arial"/>
                <w:color w:val="000000" w:themeColor="text1"/>
              </w:rPr>
              <w:t>r</w:t>
            </w:r>
            <w:r w:rsidRPr="7A13BCB1">
              <w:rPr>
                <w:rFonts w:ascii="Verdana" w:eastAsia="Calibri" w:hAnsi="Verdana" w:cs="Arial"/>
                <w:color w:val="000000" w:themeColor="text1"/>
              </w:rPr>
              <w:t xml:space="preserve"> que cuando se presente un empate en los procesos de selección adelantados bajo la modalidad de mínima cuantía deben aplicarse las causales dispuestas en el artículo 35 de la Ley 2069 de 2020 – también conocida como Ley de Emprendimiento-. Esta disposición </w:t>
            </w:r>
            <w:r w:rsidRPr="7A13BCB1">
              <w:rPr>
                <w:rFonts w:ascii="Verdana" w:eastAsia="Calibri" w:hAnsi="Verdana" w:cs="Arial"/>
                <w:color w:val="000000" w:themeColor="text1"/>
              </w:rPr>
              <w:lastRenderedPageBreak/>
              <w:t xml:space="preserve">establece factores de desempate orientados a fomentar la participación de micro, pequeñas y medianas empresas, empresas lideradas por mujeres, emprendimientos rurales, entre otros actores. </w:t>
            </w:r>
          </w:p>
          <w:p w14:paraId="10BCD6CA" w14:textId="77777777" w:rsidR="003C6383" w:rsidRPr="0004784B" w:rsidRDefault="003C6383" w:rsidP="003C375A">
            <w:pPr>
              <w:spacing w:after="120" w:line="276" w:lineRule="auto"/>
              <w:ind w:firstLine="709"/>
              <w:jc w:val="both"/>
              <w:rPr>
                <w:rFonts w:ascii="Verdana" w:eastAsia="Calibri" w:hAnsi="Verdana" w:cs="Arial"/>
                <w:color w:val="000000" w:themeColor="text1"/>
              </w:rPr>
            </w:pPr>
            <w:r w:rsidRPr="0004784B">
              <w:rPr>
                <w:rFonts w:ascii="Verdana" w:eastAsia="Calibri" w:hAnsi="Verdana" w:cs="Arial"/>
                <w:color w:val="000000" w:themeColor="text1"/>
              </w:rPr>
              <w:t xml:space="preserve">La anterior regla resulta aplicable en virtud de la remisión expresa contenida en el artículo 2.2.1.2.1.5.2 del Decreto 1082 de 2015, modificado por el artículo 2 del Decreto 1860 de 2021, que regula el procedimiento aplicable a la mínima cuantía y que establece que, en caso de empate, deberán aplicarse los criterios previstos en la citada Ley de Emprendimiento. </w:t>
            </w:r>
          </w:p>
          <w:p w14:paraId="3788C313" w14:textId="77777777" w:rsidR="003C6383" w:rsidRDefault="003C6383" w:rsidP="003C375A">
            <w:pPr>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Así las cosas, </w:t>
            </w:r>
            <w:r w:rsidRPr="00EE3E7B">
              <w:rPr>
                <w:rFonts w:ascii="Verdana" w:eastAsia="Calibri" w:hAnsi="Verdana" w:cs="Arial"/>
                <w:color w:val="000000" w:themeColor="text1"/>
              </w:rPr>
              <w:t>el artículo 35 de la Ley 2069 de 2020 y su reglamentación mediante el Decreto 1860 de 2021 establecen una herramienta normativa clara y obligatoria para resolver empates en los procesos de contratación pública, incluso en modalidades como la mínima cuantía. La aplicación sucesiva de los criterios definidos —que priorizan la inclusión, el desarrollo regional, el emprendimiento y la equidad de género— permite a las entidades garantizar una selección objetiva, transparente y alineada con los principios constitucionales que rigen la función administrativa</w:t>
            </w:r>
            <w:r>
              <w:rPr>
                <w:rFonts w:ascii="Verdana" w:eastAsia="Calibri" w:hAnsi="Verdana" w:cs="Arial"/>
                <w:color w:val="000000" w:themeColor="text1"/>
              </w:rPr>
              <w:t>.</w:t>
            </w:r>
          </w:p>
          <w:p w14:paraId="14B07284" w14:textId="77777777" w:rsidR="003C6383" w:rsidRDefault="003C6383" w:rsidP="003C375A">
            <w:pPr>
              <w:spacing w:line="276" w:lineRule="auto"/>
              <w:ind w:firstLine="709"/>
              <w:jc w:val="both"/>
              <w:rPr>
                <w:rFonts w:ascii="Verdana" w:eastAsia="Calibri" w:hAnsi="Verdana" w:cs="Arial"/>
                <w:color w:val="000000" w:themeColor="text1"/>
              </w:rPr>
            </w:pPr>
          </w:p>
          <w:p w14:paraId="5025F7C9" w14:textId="77777777" w:rsidR="003C6383" w:rsidRPr="00DD1B58" w:rsidRDefault="003C6383" w:rsidP="003C375A">
            <w:pPr>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igual manera, p</w:t>
            </w:r>
            <w:r w:rsidRPr="00DD1B58">
              <w:rPr>
                <w:rFonts w:ascii="Verdana" w:eastAsia="Calibri" w:hAnsi="Verdana" w:cs="Arial"/>
                <w:color w:val="000000" w:themeColor="text1"/>
              </w:rPr>
              <w:t xml:space="preserve">ara una correcta aplicación de los criterios de desempate en los procesos de mínima cuantía, se recomienda consultar el </w:t>
            </w:r>
            <w:r>
              <w:rPr>
                <w:rFonts w:ascii="Verdana" w:eastAsia="Calibri" w:hAnsi="Verdana" w:cs="Arial"/>
                <w:color w:val="000000" w:themeColor="text1"/>
              </w:rPr>
              <w:t>“</w:t>
            </w:r>
            <w:r w:rsidRPr="00DD1B58">
              <w:rPr>
                <w:rFonts w:ascii="Verdana" w:eastAsia="Calibri" w:hAnsi="Verdana" w:cs="Arial"/>
                <w:color w:val="000000" w:themeColor="text1"/>
              </w:rPr>
              <w:t>Manual de la Modalidad de Selección de Mínima Cuantía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1"/>
            </w:r>
            <w:r w:rsidRPr="00DD1B58">
              <w:rPr>
                <w:rFonts w:ascii="Verdana" w:eastAsia="Calibri" w:hAnsi="Verdana" w:cs="Arial"/>
                <w:color w:val="000000" w:themeColor="text1"/>
              </w:rPr>
              <w:t>, publicado por Colombia Compra Eficiente. Este documento ofrece una guía práctica y actualizada sobre el procedimiento que deben seguir las entidades estatales en caso de empate entre ofertas, con base en lo dispuesto por el artículo 35 de la Ley 2069 de 2020 y su reglamentación en el Decreto 1860 de 2021</w:t>
            </w:r>
          </w:p>
          <w:p w14:paraId="5B9FBEF2" w14:textId="77777777" w:rsidR="003C6383" w:rsidRDefault="003C6383" w:rsidP="003C375A">
            <w:pPr>
              <w:spacing w:line="276" w:lineRule="auto"/>
              <w:ind w:firstLine="709"/>
              <w:jc w:val="both"/>
              <w:rPr>
                <w:rFonts w:ascii="Verdana" w:eastAsia="Calibri" w:hAnsi="Verdana" w:cs="Arial"/>
                <w:color w:val="000000" w:themeColor="text1"/>
              </w:rPr>
            </w:pPr>
          </w:p>
          <w:p w14:paraId="1A6D3D75" w14:textId="77777777" w:rsidR="003C6383" w:rsidRPr="00DB4737" w:rsidRDefault="003C6383" w:rsidP="003C375A">
            <w:pPr>
              <w:spacing w:line="276" w:lineRule="auto"/>
              <w:contextualSpacing/>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Finalmente debe advertirse, que el análisis para resolver problemas específicos en torno </w:t>
            </w:r>
            <w:r>
              <w:rPr>
                <w:rFonts w:ascii="Verdana" w:eastAsia="Calibri" w:hAnsi="Verdana" w:cs="Times New Roman"/>
                <w:lang w:val="es-ES"/>
              </w:rPr>
              <w:t xml:space="preserve">a los procesos de contratación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BDB686D" w14:textId="77777777" w:rsidR="003C6383" w:rsidRDefault="003C6383" w:rsidP="003C375A">
            <w:pPr>
              <w:spacing w:line="276" w:lineRule="auto"/>
              <w:contextualSpacing/>
              <w:jc w:val="both"/>
              <w:rPr>
                <w:rFonts w:ascii="Verdana" w:eastAsia="Calibri" w:hAnsi="Verdana" w:cs="Times New Roman"/>
                <w:lang w:val="es-ES"/>
              </w:rPr>
            </w:pPr>
          </w:p>
          <w:p w14:paraId="5B41FCE8" w14:textId="77777777" w:rsidR="003C6383" w:rsidRPr="0004784B" w:rsidRDefault="003C6383" w:rsidP="003C375A">
            <w:pPr>
              <w:spacing w:line="276" w:lineRule="auto"/>
              <w:ind w:firstLine="709"/>
              <w:jc w:val="both"/>
              <w:rPr>
                <w:rFonts w:ascii="Verdana" w:eastAsia="Calibri" w:hAnsi="Verdana" w:cs="Arial"/>
                <w:color w:val="000000" w:themeColor="text1"/>
              </w:rPr>
            </w:pPr>
            <w:r w:rsidRPr="00DB4737">
              <w:rPr>
                <w:rFonts w:ascii="Verdana" w:eastAsia="Calibri" w:hAnsi="Verdana" w:cs="Times New Roman"/>
                <w:lang w:val="es-ES"/>
              </w:rPr>
              <w:lastRenderedPageBreak/>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3C6383" w:rsidRPr="0004784B" w14:paraId="49D96F97" w14:textId="77777777" w:rsidTr="7A13BCB1">
        <w:tc>
          <w:tcPr>
            <w:tcW w:w="8828" w:type="dxa"/>
          </w:tcPr>
          <w:p w14:paraId="6EF1B5D4" w14:textId="77777777" w:rsidR="003C6383" w:rsidRDefault="003C6383" w:rsidP="003C375A">
            <w:pPr>
              <w:spacing w:after="120" w:line="276" w:lineRule="auto"/>
              <w:jc w:val="both"/>
              <w:rPr>
                <w:rFonts w:ascii="Verdana" w:eastAsia="Calibri" w:hAnsi="Verdana" w:cs="Arial"/>
                <w:color w:val="000000" w:themeColor="text1"/>
              </w:rPr>
            </w:pPr>
          </w:p>
        </w:tc>
      </w:tr>
    </w:tbl>
    <w:p w14:paraId="359ACB26" w14:textId="77777777" w:rsidR="003C6383" w:rsidRPr="0004784B" w:rsidRDefault="003C6383" w:rsidP="003C638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E703BBD" w14:textId="77777777" w:rsidR="003C6383" w:rsidRPr="0004784B" w:rsidRDefault="003C6383" w:rsidP="003C63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Razones de la respuesta:</w:t>
      </w:r>
    </w:p>
    <w:p w14:paraId="02B0675A" w14:textId="77777777" w:rsidR="003C6383" w:rsidRPr="0004784B" w:rsidRDefault="003C6383" w:rsidP="003C6383">
      <w:pPr>
        <w:spacing w:after="0" w:line="276" w:lineRule="auto"/>
        <w:jc w:val="both"/>
        <w:rPr>
          <w:rFonts w:ascii="Verdana" w:eastAsia="Calibri" w:hAnsi="Verdana" w:cs="Arial"/>
          <w:color w:val="000000" w:themeColor="text1"/>
          <w:lang w:val="es-ES"/>
        </w:rPr>
      </w:pPr>
    </w:p>
    <w:p w14:paraId="4479A92F" w14:textId="77777777" w:rsidR="003C6383" w:rsidRDefault="003C6383" w:rsidP="003C6383">
      <w:pPr>
        <w:spacing w:after="0" w:line="276" w:lineRule="auto"/>
        <w:ind w:firstLine="708"/>
        <w:jc w:val="both"/>
        <w:rPr>
          <w:rFonts w:ascii="Verdana" w:eastAsia="Calibri" w:hAnsi="Verdana" w:cs="Arial"/>
          <w:lang w:val="es-ES"/>
        </w:rPr>
      </w:pPr>
      <w:bookmarkStart w:id="6" w:name="_Hlk102388074"/>
      <w:bookmarkStart w:id="7" w:name="_Hlk102983874"/>
      <w:r w:rsidRPr="0004784B">
        <w:rPr>
          <w:rFonts w:ascii="Verdana" w:eastAsia="Calibri" w:hAnsi="Verdana" w:cs="Arial"/>
          <w:lang w:val="es-ES_tradnl"/>
        </w:rPr>
        <w:t xml:space="preserve">El 31 de diciembre de 2020 se promulgó la Ley 2069, “Por medio de la cual se impulsa el emprendimiento en Colombia”. </w:t>
      </w:r>
      <w:bookmarkStart w:id="8" w:name="_Hlk102388095"/>
      <w:bookmarkEnd w:id="6"/>
      <w:r w:rsidRPr="0004784B">
        <w:rPr>
          <w:rFonts w:ascii="Verdana" w:eastAsia="Calibri" w:hAnsi="Verdana" w:cs="Arial"/>
          <w:lang w:val="es-ES"/>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w:t>
      </w:r>
    </w:p>
    <w:p w14:paraId="0A5C407A" w14:textId="77777777" w:rsidR="003C6383" w:rsidRPr="00AE52F5" w:rsidRDefault="003C6383" w:rsidP="003C6383">
      <w:pPr>
        <w:spacing w:after="0" w:line="276" w:lineRule="auto"/>
        <w:ind w:firstLine="708"/>
        <w:jc w:val="both"/>
        <w:rPr>
          <w:rFonts w:ascii="Verdana" w:eastAsia="Calibri" w:hAnsi="Verdana" w:cs="Arial"/>
          <w:color w:val="000000" w:themeColor="text1"/>
          <w:lang w:val="es-ES"/>
        </w:rPr>
      </w:pPr>
    </w:p>
    <w:p w14:paraId="10224EFB" w14:textId="77777777" w:rsidR="003C6383" w:rsidRPr="0004784B" w:rsidRDefault="003C6383" w:rsidP="003C6383">
      <w:pPr>
        <w:spacing w:after="120" w:line="276" w:lineRule="auto"/>
        <w:ind w:firstLine="708"/>
        <w:jc w:val="both"/>
        <w:rPr>
          <w:rFonts w:ascii="Verdana" w:eastAsia="Calibri" w:hAnsi="Verdana" w:cs="Arial"/>
          <w:lang w:val="es-ES"/>
        </w:rPr>
      </w:pPr>
      <w:r w:rsidRPr="0004784B">
        <w:rPr>
          <w:rFonts w:ascii="Verdana" w:eastAsia="Calibri" w:hAnsi="Verdana" w:cs="Arial"/>
          <w:lang w:val="es-ES"/>
        </w:rPr>
        <w:t>En desarrollo de esta finalidad, se establecen medidas de apoyo para las micro, pequeñas y medianas empresas –</w:t>
      </w:r>
      <w:proofErr w:type="spellStart"/>
      <w:r w:rsidRPr="0004784B">
        <w:rPr>
          <w:rFonts w:ascii="Verdana" w:eastAsia="Calibri" w:hAnsi="Verdana" w:cs="Arial"/>
          <w:lang w:val="es-ES"/>
        </w:rPr>
        <w:t>Mipymes</w:t>
      </w:r>
      <w:proofErr w:type="spellEnd"/>
      <w:r w:rsidRPr="0004784B">
        <w:rPr>
          <w:rFonts w:ascii="Verdana" w:eastAsia="Calibri" w:hAnsi="Verdana" w:cs="Arial"/>
          <w:lang w:val="es-ES"/>
        </w:rPr>
        <w:t>–, mediante la racionalización y simplificación de los trámites y tarifas</w:t>
      </w:r>
      <w:r w:rsidRPr="0004784B">
        <w:rPr>
          <w:rStyle w:val="Refdenotaalpie"/>
          <w:rFonts w:ascii="Verdana" w:eastAsia="Calibri" w:hAnsi="Verdana" w:cs="Arial"/>
          <w:lang w:val="es-ES"/>
        </w:rPr>
        <w:footnoteReference w:id="2"/>
      </w:r>
      <w:r w:rsidRPr="0004784B">
        <w:rPr>
          <w:rFonts w:ascii="Verdana" w:eastAsia="Calibri" w:hAnsi="Verdana" w:cs="Arial"/>
          <w:lang w:val="es-ES"/>
        </w:rPr>
        <w:t>, así como incentivos a favor de aquellas dentro del sistema de compras y contratación pública</w:t>
      </w:r>
      <w:r w:rsidRPr="0004784B">
        <w:rPr>
          <w:rStyle w:val="Refdenotaalpie"/>
          <w:rFonts w:ascii="Verdana" w:eastAsia="Calibri" w:hAnsi="Verdana" w:cs="Arial"/>
          <w:lang w:val="es-ES"/>
        </w:rPr>
        <w:footnoteReference w:id="3"/>
      </w:r>
      <w:r w:rsidRPr="0004784B">
        <w:rPr>
          <w:rFonts w:ascii="Verdana" w:eastAsia="Calibri" w:hAnsi="Verdana" w:cs="Arial"/>
          <w:lang w:val="es-ES"/>
        </w:rPr>
        <w:t>. También se consagran mecanismos de acceso al financiamiento</w:t>
      </w:r>
      <w:r w:rsidRPr="0004784B">
        <w:rPr>
          <w:rStyle w:val="Refdenotaalpie"/>
          <w:rFonts w:ascii="Verdana" w:eastAsia="Calibri" w:hAnsi="Verdana" w:cs="Arial"/>
          <w:lang w:val="es-ES"/>
        </w:rPr>
        <w:footnoteReference w:id="4"/>
      </w:r>
      <w:r w:rsidRPr="0004784B">
        <w:rPr>
          <w:rFonts w:ascii="Verdana" w:eastAsia="Calibri" w:hAnsi="Verdana" w:cs="Arial"/>
          <w:lang w:val="es-ES"/>
        </w:rPr>
        <w:t>, se unifican las fuentes de emprendimiento y de desarrollo empresarial, para fortalecer y promover los distintos sectores de la economía</w:t>
      </w:r>
      <w:r w:rsidRPr="0004784B">
        <w:rPr>
          <w:rStyle w:val="Refdenotaalpie"/>
          <w:rFonts w:ascii="Verdana" w:eastAsia="Calibri" w:hAnsi="Verdana" w:cs="Arial"/>
          <w:lang w:val="es-ES"/>
        </w:rPr>
        <w:footnoteReference w:id="5"/>
      </w:r>
      <w:r w:rsidRPr="0004784B">
        <w:rPr>
          <w:rFonts w:ascii="Verdana" w:eastAsia="Calibri" w:hAnsi="Verdana" w:cs="Arial"/>
          <w:lang w:val="es-ES"/>
        </w:rPr>
        <w:t xml:space="preserve"> y se prevén medidas de educación para el emprendimiento y la innovación</w:t>
      </w:r>
      <w:bookmarkEnd w:id="7"/>
      <w:r w:rsidRPr="0004784B">
        <w:rPr>
          <w:rStyle w:val="Refdenotaalpie"/>
          <w:rFonts w:ascii="Verdana" w:eastAsia="Calibri" w:hAnsi="Verdana" w:cs="Arial"/>
          <w:lang w:val="es-ES"/>
        </w:rPr>
        <w:footnoteReference w:id="6"/>
      </w:r>
      <w:r w:rsidRPr="0004784B">
        <w:rPr>
          <w:rFonts w:ascii="Verdana" w:eastAsia="Calibri" w:hAnsi="Verdana" w:cs="Arial"/>
          <w:lang w:val="es-ES"/>
        </w:rPr>
        <w:t>.</w:t>
      </w:r>
      <w:bookmarkEnd w:id="8"/>
    </w:p>
    <w:p w14:paraId="0F3CB1AD" w14:textId="77777777" w:rsidR="003C6383" w:rsidRPr="0004784B" w:rsidRDefault="003C6383" w:rsidP="003C6383">
      <w:pPr>
        <w:spacing w:before="120" w:after="120" w:line="276" w:lineRule="auto"/>
        <w:ind w:firstLine="709"/>
        <w:jc w:val="both"/>
        <w:rPr>
          <w:rFonts w:ascii="Verdana" w:eastAsia="Calibri" w:hAnsi="Verdana" w:cs="Arial"/>
          <w:lang w:val="es-ES_tradnl"/>
        </w:rPr>
      </w:pPr>
      <w:bookmarkStart w:id="9" w:name="_Hlk63883948"/>
      <w:r w:rsidRPr="0004784B">
        <w:rPr>
          <w:rFonts w:ascii="Verdana" w:eastAsia="Calibri" w:hAnsi="Verdana" w:cs="Arial"/>
          <w:lang w:val="es-ES_tradnl"/>
        </w:rPr>
        <w:t xml:space="preserve">La Ley 2069 de 2020 guarda </w:t>
      </w:r>
      <w:r w:rsidRPr="0004784B">
        <w:rPr>
          <w:rFonts w:ascii="Verdana" w:eastAsia="Calibri" w:hAnsi="Verdana" w:cs="Arial"/>
          <w:bCs/>
        </w:rPr>
        <w:t xml:space="preserve">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w:t>
      </w:r>
      <w:r w:rsidRPr="0004784B">
        <w:rPr>
          <w:rFonts w:ascii="Verdana" w:eastAsia="Calibri" w:hAnsi="Verdana" w:cs="Arial"/>
          <w:bCs/>
        </w:rPr>
        <w:lastRenderedPageBreak/>
        <w:t xml:space="preserve">emprendedora,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10" w:name="_Hlk63692496"/>
      <w:r w:rsidRPr="0004784B">
        <w:rPr>
          <w:rFonts w:ascii="Verdana" w:eastAsia="Calibri" w:hAnsi="Verdana" w:cs="Arial"/>
          <w:bCs/>
        </w:rPr>
        <w:t>“Política de formalización empresarial</w:t>
      </w:r>
      <w:bookmarkEnd w:id="10"/>
      <w:r w:rsidRPr="0004784B">
        <w:rPr>
          <w:rFonts w:ascii="Verdana" w:eastAsia="Calibri" w:hAnsi="Verdana" w:cs="Arial"/>
          <w:bCs/>
        </w:rPr>
        <w:t>” del Documento CONPES 3956 del 8 de enero de 2019</w:t>
      </w:r>
      <w:r w:rsidRPr="0004784B">
        <w:rPr>
          <w:rStyle w:val="Refdenotaalpie"/>
          <w:rFonts w:ascii="Verdana" w:eastAsia="Calibri" w:hAnsi="Verdana" w:cs="Arial"/>
          <w:bCs/>
        </w:rPr>
        <w:footnoteReference w:id="7"/>
      </w:r>
      <w:r w:rsidRPr="0004784B">
        <w:rPr>
          <w:rFonts w:ascii="Verdana" w:eastAsia="Calibri" w:hAnsi="Verdana" w:cs="Arial"/>
          <w:bCs/>
        </w:rPr>
        <w:t>.</w:t>
      </w:r>
      <w:bookmarkEnd w:id="9"/>
    </w:p>
    <w:p w14:paraId="2679000F" w14:textId="77777777" w:rsidR="003C6383" w:rsidRPr="0004784B" w:rsidRDefault="003C6383" w:rsidP="003C6383">
      <w:pPr>
        <w:tabs>
          <w:tab w:val="left" w:pos="709"/>
        </w:tabs>
        <w:spacing w:before="120" w:after="120" w:line="276" w:lineRule="auto"/>
        <w:jc w:val="both"/>
        <w:rPr>
          <w:rFonts w:ascii="Verdana" w:eastAsia="Calibri" w:hAnsi="Verdana" w:cs="Arial"/>
          <w:bCs/>
        </w:rPr>
      </w:pPr>
      <w:r w:rsidRPr="0004784B">
        <w:rPr>
          <w:rFonts w:ascii="Verdana" w:eastAsia="Calibri" w:hAnsi="Verdana" w:cs="Arial"/>
          <w:bCs/>
        </w:rPr>
        <w:tab/>
        <w:t xml:space="preserve">De esta manera, la Ley impulsa medidas para: i) reducir cargas y trámites para los emprendedores del país, </w:t>
      </w:r>
      <w:proofErr w:type="spellStart"/>
      <w:r w:rsidRPr="0004784B">
        <w:rPr>
          <w:rFonts w:ascii="Verdana" w:eastAsia="Calibri" w:hAnsi="Verdana" w:cs="Arial"/>
          <w:bCs/>
        </w:rPr>
        <w:t>ii</w:t>
      </w:r>
      <w:proofErr w:type="spellEnd"/>
      <w:r w:rsidRPr="0004784B">
        <w:rPr>
          <w:rFonts w:ascii="Verdana" w:eastAsia="Calibri" w:hAnsi="Verdana" w:cs="Arial"/>
          <w:bCs/>
        </w:rPr>
        <w:t xml:space="preserve">) facilitar su acceso al sistema de compras y contratación pública, </w:t>
      </w:r>
      <w:proofErr w:type="spellStart"/>
      <w:r w:rsidRPr="0004784B">
        <w:rPr>
          <w:rFonts w:ascii="Verdana" w:eastAsia="Calibri" w:hAnsi="Verdana" w:cs="Arial"/>
          <w:bCs/>
        </w:rPr>
        <w:t>iii</w:t>
      </w:r>
      <w:proofErr w:type="spellEnd"/>
      <w:r w:rsidRPr="0004784B">
        <w:rPr>
          <w:rFonts w:ascii="Verdana" w:eastAsia="Calibri" w:hAnsi="Verdana" w:cs="Arial"/>
          <w:bCs/>
        </w:rPr>
        <w:t xml:space="preserve">) incentivar el crecimiento económico con la llegada de más actores al ecosistema de inversión y financiación, </w:t>
      </w:r>
      <w:proofErr w:type="spellStart"/>
      <w:r w:rsidRPr="0004784B">
        <w:rPr>
          <w:rFonts w:ascii="Verdana" w:eastAsia="Calibri" w:hAnsi="Verdana" w:cs="Arial"/>
          <w:bCs/>
        </w:rPr>
        <w:t>iv</w:t>
      </w:r>
      <w:proofErr w:type="spellEnd"/>
      <w:r w:rsidRPr="0004784B">
        <w:rPr>
          <w:rFonts w:ascii="Verdana" w:eastAsia="Calibri" w:hAnsi="Verdana" w:cs="Arial"/>
          <w:bCs/>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04784B">
        <w:rPr>
          <w:rStyle w:val="Refdenotaalpie"/>
          <w:rFonts w:ascii="Verdana" w:eastAsia="Calibri" w:hAnsi="Verdana" w:cs="Arial"/>
          <w:bCs/>
        </w:rPr>
        <w:footnoteReference w:id="8"/>
      </w:r>
      <w:r w:rsidRPr="0004784B">
        <w:rPr>
          <w:rFonts w:ascii="Verdana" w:eastAsia="Calibri" w:hAnsi="Verdana" w:cs="Arial"/>
          <w:bCs/>
        </w:rPr>
        <w:t>.</w:t>
      </w:r>
    </w:p>
    <w:p w14:paraId="0B03FA7F" w14:textId="77777777" w:rsidR="003C6383" w:rsidRPr="0004784B" w:rsidRDefault="003C6383" w:rsidP="003C6383">
      <w:pPr>
        <w:spacing w:before="120" w:line="276" w:lineRule="auto"/>
        <w:ind w:firstLine="709"/>
        <w:jc w:val="both"/>
        <w:rPr>
          <w:rFonts w:ascii="Verdana" w:eastAsia="Calibri" w:hAnsi="Verdana" w:cs="Arial"/>
          <w:lang w:val="es-ES"/>
        </w:rPr>
      </w:pPr>
      <w:r w:rsidRPr="0004784B">
        <w:rPr>
          <w:rFonts w:ascii="Verdana" w:eastAsia="Calibri" w:hAnsi="Verdana" w:cs="Arial"/>
          <w:lang w:val="es-ES"/>
        </w:rPr>
        <w:t xml:space="preserve">Además, parte de la Ley 2069 de 2020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04784B">
        <w:rPr>
          <w:rFonts w:ascii="Verdana" w:eastAsia="Calibri" w:hAnsi="Verdana" w:cs="Arial"/>
          <w:lang w:val="es-ES"/>
        </w:rPr>
        <w:t>Mipymes</w:t>
      </w:r>
      <w:proofErr w:type="spellEnd"/>
      <w:r w:rsidRPr="0004784B">
        <w:rPr>
          <w:rFonts w:ascii="Verdana" w:eastAsia="Calibri" w:hAnsi="Verdana" w:cs="Arial"/>
          <w:lang w:val="es-ES"/>
        </w:rPr>
        <w:t xml:space="preserve"> en el procedimiento de mínima cuantía, </w:t>
      </w:r>
      <w:proofErr w:type="spellStart"/>
      <w:r w:rsidRPr="0004784B">
        <w:rPr>
          <w:rFonts w:ascii="Verdana" w:eastAsia="Calibri" w:hAnsi="Verdana" w:cs="Arial"/>
          <w:lang w:val="es-ES"/>
        </w:rPr>
        <w:t>ii</w:t>
      </w:r>
      <w:proofErr w:type="spellEnd"/>
      <w:r w:rsidRPr="0004784B">
        <w:rPr>
          <w:rFonts w:ascii="Verdana" w:eastAsia="Calibri" w:hAnsi="Verdana" w:cs="Arial"/>
          <w:lang w:val="es-ES"/>
        </w:rPr>
        <w:t xml:space="preserve">) criterios diferenciales para </w:t>
      </w:r>
      <w:proofErr w:type="spellStart"/>
      <w:r w:rsidRPr="0004784B">
        <w:rPr>
          <w:rFonts w:ascii="Verdana" w:eastAsia="Calibri" w:hAnsi="Verdana" w:cs="Arial"/>
          <w:lang w:val="es-ES"/>
        </w:rPr>
        <w:t>Mipymes</w:t>
      </w:r>
      <w:proofErr w:type="spellEnd"/>
      <w:r w:rsidRPr="0004784B">
        <w:rPr>
          <w:rFonts w:ascii="Verdana" w:eastAsia="Calibri" w:hAnsi="Verdana" w:cs="Arial"/>
          <w:lang w:val="es-ES"/>
        </w:rPr>
        <w:t xml:space="preserve"> en el sistema de compras públicas, </w:t>
      </w:r>
      <w:proofErr w:type="spellStart"/>
      <w:r w:rsidRPr="0004784B">
        <w:rPr>
          <w:rFonts w:ascii="Verdana" w:eastAsia="Calibri" w:hAnsi="Verdana" w:cs="Arial"/>
          <w:lang w:val="es-ES"/>
        </w:rPr>
        <w:t>iii</w:t>
      </w:r>
      <w:proofErr w:type="spellEnd"/>
      <w:r w:rsidRPr="0004784B">
        <w:rPr>
          <w:rFonts w:ascii="Verdana" w:eastAsia="Calibri" w:hAnsi="Verdana" w:cs="Arial"/>
          <w:lang w:val="es-ES"/>
        </w:rPr>
        <w:t xml:space="preserve">) criterios diferenciales para emprendimientos y empresas de mujeres en el sistema de compras públicas, </w:t>
      </w:r>
      <w:proofErr w:type="spellStart"/>
      <w:r w:rsidRPr="0004784B">
        <w:rPr>
          <w:rFonts w:ascii="Verdana" w:eastAsia="Calibri" w:hAnsi="Verdana" w:cs="Arial"/>
          <w:lang w:val="es-ES"/>
        </w:rPr>
        <w:t>iv</w:t>
      </w:r>
      <w:proofErr w:type="spellEnd"/>
      <w:r w:rsidRPr="0004784B">
        <w:rPr>
          <w:rFonts w:ascii="Verdana" w:eastAsia="Calibri" w:hAnsi="Verdana" w:cs="Arial"/>
          <w:lang w:val="es-ES"/>
        </w:rPr>
        <w:t xml:space="preserve">) promoción del acceso de las </w:t>
      </w:r>
      <w:proofErr w:type="spellStart"/>
      <w:r w:rsidRPr="0004784B">
        <w:rPr>
          <w:rFonts w:ascii="Verdana" w:eastAsia="Calibri" w:hAnsi="Verdana" w:cs="Arial"/>
          <w:lang w:val="es-ES"/>
        </w:rPr>
        <w:t>Mipymes</w:t>
      </w:r>
      <w:proofErr w:type="spellEnd"/>
      <w:r w:rsidRPr="0004784B">
        <w:rPr>
          <w:rFonts w:ascii="Verdana" w:eastAsia="Calibri" w:hAnsi="Verdana" w:cs="Arial"/>
          <w:lang w:val="es-ES"/>
        </w:rPr>
        <w:t xml:space="preserve"> al mercado de compras públicas, v) promoción del desarrollo en la contratación pública, </w:t>
      </w:r>
      <w:r w:rsidRPr="0004784B">
        <w:rPr>
          <w:rFonts w:ascii="Verdana" w:eastAsia="Calibri" w:hAnsi="Verdana" w:cs="Arial"/>
          <w:i/>
          <w:lang w:val="es-ES"/>
        </w:rPr>
        <w:t xml:space="preserve">vi) un nuevo régimen de factores de desempate </w:t>
      </w:r>
      <w:r w:rsidRPr="0004784B">
        <w:rPr>
          <w:rFonts w:ascii="Verdana" w:eastAsia="Calibri" w:hAnsi="Verdana" w:cs="Arial"/>
          <w:lang w:val="es-ES"/>
        </w:rPr>
        <w:t xml:space="preserve">y vi) un llamado a las entidades estatales para que promuevan compras públicas en el marco de la tecnología y la innovación. </w:t>
      </w:r>
    </w:p>
    <w:p w14:paraId="32AD92B5" w14:textId="77777777" w:rsidR="003C6383" w:rsidRPr="0004784B" w:rsidRDefault="003C6383" w:rsidP="003C6383">
      <w:pPr>
        <w:spacing w:after="120" w:line="276" w:lineRule="auto"/>
        <w:ind w:firstLine="708"/>
        <w:jc w:val="both"/>
        <w:rPr>
          <w:rFonts w:ascii="Verdana" w:eastAsia="Calibri" w:hAnsi="Verdana" w:cs="Arial"/>
          <w:lang w:val="es-ES_tradnl"/>
        </w:rPr>
      </w:pPr>
      <w:bookmarkStart w:id="12" w:name="_Hlk102388186"/>
      <w:r w:rsidRPr="0004784B">
        <w:rPr>
          <w:rFonts w:ascii="Verdana" w:eastAsia="Calibri" w:hAnsi="Verdana" w:cs="Arial"/>
          <w:lang w:val="es-ES_tradnl"/>
        </w:rPr>
        <w:lastRenderedPageBreak/>
        <w:t xml:space="preserve">El artículo </w:t>
      </w:r>
      <w:r w:rsidRPr="0004784B">
        <w:rPr>
          <w:rFonts w:ascii="Verdana" w:eastAsia="Calibri" w:hAnsi="Verdana" w:cs="Arial"/>
          <w:b/>
          <w:bCs/>
          <w:lang w:val="es-ES_tradnl"/>
        </w:rPr>
        <w:t>35 de la Ley 2069 de 2020</w:t>
      </w:r>
      <w:r w:rsidRPr="0004784B">
        <w:rPr>
          <w:rFonts w:ascii="Verdana" w:eastAsia="Calibri" w:hAnsi="Verdana" w:cs="Arial"/>
          <w:lang w:val="es-ES_tradnl"/>
        </w:rPr>
        <w:t xml:space="preserve"> define un nuevo marco jurídico en relación con los criterios de desempate previstos en los procesos de contratación realizados con cargo a recursos públicos, los procesos de contratación efectuados por las entidades estatales indistintamente de su régimen de contratación, así como los procesos de contratación adelantados por patrimonios autónomos constituidos por entidades estatales. </w:t>
      </w:r>
      <w:bookmarkEnd w:id="12"/>
      <w:r w:rsidRPr="0004784B">
        <w:rPr>
          <w:rFonts w:ascii="Verdana" w:eastAsia="Calibri" w:hAnsi="Verdana" w:cs="Arial"/>
          <w:lang w:val="es-ES_tradnl"/>
        </w:rPr>
        <w:t>En consideración a que en la consulta se le solicita a la Agencia Nacional de Contratación Pública – Colombia Compra Eficiente que efectúe ciertas precisiones hermenéuticas sobre la aplicación de dicho artículo a los procedimientos de mínima cuantía, la Agencia se pronunciará sobre el alcance que otorga a tales disposiciones, sin pasar por alto la novedad de la Ley 2069 de 2020.</w:t>
      </w:r>
    </w:p>
    <w:p w14:paraId="47E208EA" w14:textId="77777777" w:rsidR="003C6383" w:rsidRPr="0004784B" w:rsidRDefault="003C6383" w:rsidP="003C6383">
      <w:pPr>
        <w:spacing w:before="120" w:after="120" w:line="276" w:lineRule="auto"/>
        <w:ind w:firstLine="708"/>
        <w:jc w:val="both"/>
        <w:rPr>
          <w:rFonts w:ascii="Verdana" w:eastAsia="Calibri" w:hAnsi="Verdana" w:cs="Arial"/>
          <w:lang w:val="es-ES"/>
        </w:rPr>
      </w:pPr>
      <w:r w:rsidRPr="0004784B">
        <w:rPr>
          <w:rFonts w:ascii="Verdana" w:eastAsia="Calibri" w:hAnsi="Verdana" w:cs="Arial"/>
          <w:lang w:val="es-ES"/>
        </w:rPr>
        <w:t xml:space="preserve">Al respecto, debe señalarse que, </w:t>
      </w:r>
      <w:r w:rsidRPr="0004784B">
        <w:rPr>
          <w:rFonts w:ascii="Verdana" w:hAnsi="Verdana" w:cs="Arial"/>
          <w:lang w:val="es-ES"/>
        </w:rPr>
        <w:t xml:space="preserve">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04784B">
        <w:rPr>
          <w:rFonts w:ascii="Verdana" w:eastAsia="Calibri" w:hAnsi="Verdana" w:cs="Arial"/>
          <w:lang w:val="es-ES"/>
        </w:rPr>
        <w:t xml:space="preserve"> </w:t>
      </w:r>
    </w:p>
    <w:p w14:paraId="457CC6B5" w14:textId="77777777" w:rsidR="003C6383" w:rsidRPr="0004784B" w:rsidRDefault="003C6383" w:rsidP="003C6383">
      <w:pPr>
        <w:spacing w:before="120" w:after="120" w:line="276" w:lineRule="auto"/>
        <w:ind w:firstLine="709"/>
        <w:jc w:val="both"/>
        <w:rPr>
          <w:rFonts w:ascii="Verdana" w:eastAsia="Calibri" w:hAnsi="Verdana" w:cs="Arial"/>
          <w:lang w:val="es-ES_tradnl"/>
        </w:rPr>
      </w:pPr>
      <w:r w:rsidRPr="0004784B">
        <w:rPr>
          <w:rFonts w:ascii="Verdana" w:eastAsia="Calibri" w:hAnsi="Verdana" w:cs="Arial"/>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04784B">
        <w:rPr>
          <w:rFonts w:ascii="Verdana" w:eastAsia="Calibri" w:hAnsi="Verdana" w:cs="Arial"/>
          <w:i/>
          <w:iCs/>
          <w:lang w:val="es-ES_tradnl"/>
        </w:rPr>
        <w:t>podrá reglamentar</w:t>
      </w:r>
      <w:r w:rsidRPr="0004784B">
        <w:rPr>
          <w:rFonts w:ascii="Verdana" w:eastAsia="Calibri" w:hAnsi="Verdana" w:cs="Arial"/>
          <w:lang w:val="es-ES_tradnl"/>
        </w:rPr>
        <w:t xml:space="preserve"> la aplicación de factores de desempate en casos en que concurran dos o más de los factores aquí previstos” (Énfasis fuera de texto).</w:t>
      </w:r>
    </w:p>
    <w:p w14:paraId="5EDFF574" w14:textId="77777777" w:rsidR="003C6383" w:rsidRPr="0004784B" w:rsidRDefault="003C6383" w:rsidP="003C6383">
      <w:pPr>
        <w:spacing w:before="120" w:after="120" w:line="276" w:lineRule="auto"/>
        <w:ind w:firstLine="709"/>
        <w:jc w:val="both"/>
        <w:rPr>
          <w:rFonts w:ascii="Verdana" w:eastAsia="Calibri" w:hAnsi="Verdana" w:cs="Arial"/>
          <w:lang w:val="es-ES"/>
        </w:rPr>
      </w:pPr>
      <w:bookmarkStart w:id="13" w:name="_Hlk102388229"/>
      <w:r w:rsidRPr="0004784B">
        <w:rPr>
          <w:rFonts w:ascii="Verdana" w:eastAsia="Calibri" w:hAnsi="Verdana" w:cs="Arial"/>
          <w:lang w:val="es-ES"/>
        </w:rPr>
        <w:t xml:space="preserve">Si bien esta norma es de aplicación directa, no establece la forma de acreditar las circunstancias a las que se refieren cada uno de sus numerales, por lo que se consideró necesario la intervención del reglamento para la debida aplicación de los factores de desempate, de manera que se estandarizara la forma en que se acreditan los mismos. En consecuencia, conforme la potestad reglamentaria asignada al gobierno nacional, el </w:t>
      </w:r>
      <w:r w:rsidRPr="0004784B">
        <w:rPr>
          <w:rFonts w:ascii="Verdana" w:eastAsia="Calibri" w:hAnsi="Verdana" w:cs="Arial"/>
          <w:b/>
          <w:bCs/>
          <w:lang w:val="es-ES"/>
        </w:rPr>
        <w:t>artículo 3 del Decreto 1860 de 2021</w:t>
      </w:r>
      <w:r w:rsidRPr="0004784B">
        <w:rPr>
          <w:rFonts w:ascii="Verdana" w:eastAsia="Calibri" w:hAnsi="Verdana" w:cs="Arial"/>
          <w:lang w:val="es-ES"/>
        </w:rPr>
        <w:t xml:space="preserve">, mediante el cual se adicionó el artículo 2.2.1.2.4.2.17. al Decreto 1082 </w:t>
      </w:r>
      <w:r w:rsidRPr="0004784B">
        <w:rPr>
          <w:rFonts w:ascii="Verdana" w:eastAsia="Calibri" w:hAnsi="Verdana" w:cs="Arial"/>
          <w:lang w:val="es-ES"/>
        </w:rPr>
        <w:lastRenderedPageBreak/>
        <w:t xml:space="preserve">de 2015, reglamentó el artículo 35 de la Ley 2069 de 2020 y determinó la forma en la cual se deben acreditar las circunstancias a las que se refieren cada uno de los numerales del citado artículo. </w:t>
      </w:r>
    </w:p>
    <w:p w14:paraId="50D84BF7" w14:textId="77777777" w:rsidR="003C6383" w:rsidRPr="0004784B" w:rsidRDefault="003C6383" w:rsidP="003C6383">
      <w:pPr>
        <w:spacing w:before="120" w:after="120" w:line="276" w:lineRule="auto"/>
        <w:ind w:firstLine="709"/>
        <w:jc w:val="both"/>
        <w:rPr>
          <w:rFonts w:ascii="Verdana" w:eastAsia="Calibri" w:hAnsi="Verdana" w:cs="Arial"/>
          <w:lang w:val="es-ES"/>
        </w:rPr>
      </w:pPr>
      <w:r w:rsidRPr="0004784B">
        <w:rPr>
          <w:rFonts w:ascii="Verdana" w:eastAsia="Calibri" w:hAnsi="Verdana" w:cs="Arial"/>
          <w:lang w:val="es-ES"/>
        </w:rPr>
        <w:t>De esta forma, a través del artículo en mención se permite la debida aplicación de los factores de desempate previstos y se garantiza la selección objetiva de los contratistas. Esta regulación impide que la forma de acreditación de los factores de desempate dependa de la discrecionalidad administrativa, por lo que pretende una regulación uniforme de la materia conforme al alcance de cada una de las causales contenidas en el artículo 35 de la Ley 2069 de 2021.</w:t>
      </w:r>
    </w:p>
    <w:bookmarkEnd w:id="13"/>
    <w:p w14:paraId="14E720FE" w14:textId="77777777" w:rsidR="003C6383" w:rsidRPr="0004784B" w:rsidRDefault="003C6383" w:rsidP="003C6383">
      <w:pPr>
        <w:spacing w:before="120" w:after="120" w:line="276" w:lineRule="auto"/>
        <w:ind w:firstLine="709"/>
        <w:jc w:val="both"/>
        <w:rPr>
          <w:rFonts w:ascii="Verdana" w:hAnsi="Verdana" w:cs="Arial"/>
          <w:lang w:val="es-ES_tradnl"/>
        </w:rPr>
      </w:pPr>
      <w:r w:rsidRPr="0004784B">
        <w:rPr>
          <w:rFonts w:ascii="Verdana" w:eastAsia="Calibri" w:hAnsi="Verdana" w:cs="Arial"/>
          <w:lang w:val="es-ES_tradnl"/>
        </w:rPr>
        <w:t xml:space="preserve">El parágrafo primero del artículo 2.2.1.2.4.2.17 reitera, en línea con lo dispuesto en el artículo 35 de la Ley 2069 de 2020, que la aplicación de los factores de desempate debe darse en armonía con los Acuerdos Comerciales vigentes suscritos por Colombia y señala que </w:t>
      </w:r>
      <w:r w:rsidRPr="0004784B">
        <w:rPr>
          <w:rFonts w:ascii="Verdana" w:hAnsi="Verdana" w:cs="Arial"/>
          <w:lang w:val="es-ES_tradnl"/>
        </w:rPr>
        <w:t xml:space="preserve">en el evento en que el empate se presente entre ofertas cubiertas por un Acuerdo Comercial se aplicarán los factores de desempate que sean compatibles con los mencionados Acuerdos. Además, indica que, si el empate se presenta con un proponente, bien o servicio extranjero cuyo país de origen no tiene Acuerdo Comercial con Colombia, ni trato nacional por reciprocidad o con ocasión de la normativa comunitaria, se dará aplicación a todos los criterios de desempate previstos en el Decreto. </w:t>
      </w:r>
    </w:p>
    <w:p w14:paraId="01E97716" w14:textId="77777777" w:rsidR="003C6383" w:rsidRPr="0004784B" w:rsidRDefault="003C6383" w:rsidP="003C6383">
      <w:pPr>
        <w:spacing w:before="120" w:line="276" w:lineRule="auto"/>
        <w:ind w:firstLine="709"/>
        <w:jc w:val="both"/>
        <w:rPr>
          <w:rFonts w:ascii="Verdana" w:hAnsi="Verdana" w:cs="Arial"/>
          <w:lang w:val="es-ES"/>
        </w:rPr>
      </w:pPr>
      <w:r w:rsidRPr="0004784B">
        <w:rPr>
          <w:rFonts w:ascii="Verdana" w:hAnsi="Verdana" w:cs="Arial"/>
          <w:lang w:val="es-ES"/>
        </w:rPr>
        <w:t xml:space="preserve">Finalmente, el parágrafo tercero del artículo objeto de estudio consagra la obligación de las entidades estatales de garantizar el derecho a la reserva legal de toda la información que acredite el cumplimiento de los factores de desempate de: i) mujeres víctimas de violencia intrafamiliar; </w:t>
      </w:r>
      <w:proofErr w:type="spellStart"/>
      <w:r w:rsidRPr="0004784B">
        <w:rPr>
          <w:rFonts w:ascii="Verdana" w:hAnsi="Verdana" w:cs="Arial"/>
          <w:lang w:val="es-ES"/>
        </w:rPr>
        <w:t>ii</w:t>
      </w:r>
      <w:proofErr w:type="spellEnd"/>
      <w:r w:rsidRPr="0004784B">
        <w:rPr>
          <w:rFonts w:ascii="Verdana" w:hAnsi="Verdana" w:cs="Arial"/>
          <w:lang w:val="es-ES"/>
        </w:rPr>
        <w:t xml:space="preserve">) las personas en proceso de reincorporación y/o reintegración y; </w:t>
      </w:r>
      <w:proofErr w:type="spellStart"/>
      <w:r w:rsidRPr="0004784B">
        <w:rPr>
          <w:rFonts w:ascii="Verdana" w:hAnsi="Verdana" w:cs="Arial"/>
          <w:lang w:val="es-ES"/>
        </w:rPr>
        <w:t>iii</w:t>
      </w:r>
      <w:proofErr w:type="spellEnd"/>
      <w:r w:rsidRPr="0004784B">
        <w:rPr>
          <w:rFonts w:ascii="Verdana" w:hAnsi="Verdana" w:cs="Arial"/>
          <w:lang w:val="es-ES"/>
        </w:rPr>
        <w:t xml:space="preserve">) la población indígena, negra, afrocolombiana, raizal, palenquera, </w:t>
      </w:r>
      <w:proofErr w:type="spellStart"/>
      <w:r w:rsidRPr="0004784B">
        <w:rPr>
          <w:rFonts w:ascii="Verdana" w:hAnsi="Verdana" w:cs="Arial"/>
          <w:lang w:val="es-ES"/>
        </w:rPr>
        <w:t>Rrom</w:t>
      </w:r>
      <w:proofErr w:type="spellEnd"/>
      <w:r w:rsidRPr="0004784B">
        <w:rPr>
          <w:rFonts w:ascii="Verdana" w:hAnsi="Verdana" w:cs="Arial"/>
          <w:lang w:val="es-ES"/>
        </w:rPr>
        <w:t xml:space="preserve"> o gitana. En consonancia con lo anterior, dispone que en la plataforma del SECOP no se publicará para el conocimiento de terceros la información relacionada con los factores de desempate de personas en procesos de reincorporación o reintegración o mujeres víctimas de violencia intrafamiliar o la población indígena, negra, afrocolombiana, raizal, palenquera, </w:t>
      </w:r>
      <w:proofErr w:type="spellStart"/>
      <w:r w:rsidRPr="0004784B">
        <w:rPr>
          <w:rFonts w:ascii="Verdana" w:hAnsi="Verdana" w:cs="Arial"/>
          <w:lang w:val="es-ES"/>
        </w:rPr>
        <w:t>Rrom</w:t>
      </w:r>
      <w:proofErr w:type="spellEnd"/>
      <w:r w:rsidRPr="0004784B">
        <w:rPr>
          <w:rFonts w:ascii="Verdana" w:hAnsi="Verdana" w:cs="Arial"/>
          <w:lang w:val="es-ES"/>
        </w:rPr>
        <w:t xml:space="preserve"> o gitana, puesto que su público conocimiento puede afectar el derecho a la intimidad de los oferentes o de sus trabajadores o socios o accionistas.</w:t>
      </w:r>
    </w:p>
    <w:p w14:paraId="748A2D0E" w14:textId="77777777" w:rsidR="003C6383" w:rsidRPr="0004784B" w:rsidRDefault="003C6383" w:rsidP="003C6383">
      <w:pPr>
        <w:spacing w:after="120" w:line="276" w:lineRule="auto"/>
        <w:ind w:firstLine="708"/>
        <w:jc w:val="both"/>
        <w:rPr>
          <w:rFonts w:ascii="Verdana" w:hAnsi="Verdana" w:cs="Arial"/>
          <w:lang w:val="es-ES_tradnl"/>
        </w:rPr>
      </w:pPr>
      <w:r w:rsidRPr="0004784B">
        <w:rPr>
          <w:rFonts w:ascii="Verdana" w:hAnsi="Verdana" w:cs="Arial"/>
          <w:lang w:val="es-ES_tradnl"/>
        </w:rPr>
        <w:t xml:space="preserve">Lo explicado en los párrafos precedentes también aplica </w:t>
      </w:r>
      <w:r w:rsidRPr="0004784B">
        <w:rPr>
          <w:rFonts w:ascii="Verdana" w:hAnsi="Verdana" w:cs="Arial"/>
          <w:i/>
          <w:iCs/>
          <w:lang w:val="es-ES_tradnl"/>
        </w:rPr>
        <w:t>mutatis mutandis</w:t>
      </w:r>
      <w:r w:rsidRPr="0004784B">
        <w:rPr>
          <w:rFonts w:ascii="Verdana" w:hAnsi="Verdana" w:cs="Arial"/>
          <w:lang w:val="es-ES_tradnl"/>
        </w:rPr>
        <w:t xml:space="preserve"> a los factores de desempate previstos en el Decreto Único Reglamentario del Sector Administrativo de Planeación Nacional para los procedimientos de mínima </w:t>
      </w:r>
      <w:r w:rsidRPr="0004784B">
        <w:rPr>
          <w:rFonts w:ascii="Verdana" w:hAnsi="Verdana" w:cs="Arial"/>
          <w:lang w:val="es-ES_tradnl"/>
        </w:rPr>
        <w:lastRenderedPageBreak/>
        <w:t xml:space="preserve">cuantía, a los que se refiere en su consulta.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73EF566A" w14:textId="77777777" w:rsidR="003C6383" w:rsidRPr="0004784B" w:rsidRDefault="003C6383" w:rsidP="003C6383">
      <w:pPr>
        <w:pStyle w:val="NormalWeb"/>
        <w:spacing w:before="0" w:beforeAutospacing="0" w:after="120" w:afterAutospacing="0" w:line="276" w:lineRule="auto"/>
        <w:ind w:firstLine="708"/>
        <w:jc w:val="both"/>
        <w:rPr>
          <w:rFonts w:ascii="Verdana" w:eastAsia="Calibri" w:hAnsi="Verdana" w:cs="Arial"/>
          <w:sz w:val="22"/>
          <w:szCs w:val="22"/>
          <w:lang w:val="es-ES_tradnl"/>
        </w:rPr>
      </w:pPr>
      <w:r w:rsidRPr="0004784B">
        <w:rPr>
          <w:rFonts w:ascii="Verdana" w:eastAsia="Calibri" w:hAnsi="Verdana" w:cs="Arial"/>
          <w:sz w:val="22"/>
          <w:szCs w:val="22"/>
          <w:lang w:val="es-ES_tradnl"/>
        </w:rPr>
        <w:t>Como se precisó anteriormente, los factores de desempate del artículo 35 de la Ley de Emprendimiento</w:t>
      </w:r>
      <w:r w:rsidRPr="0004784B">
        <w:rPr>
          <w:rFonts w:ascii="Verdana" w:eastAsia="Calibri" w:hAnsi="Verdana" w:cs="Arial"/>
          <w:i/>
          <w:iCs/>
          <w:sz w:val="22"/>
          <w:szCs w:val="22"/>
          <w:lang w:val="es-ES_tradnl"/>
        </w:rPr>
        <w:t xml:space="preserve"> </w:t>
      </w:r>
      <w:r w:rsidRPr="0004784B">
        <w:rPr>
          <w:rFonts w:ascii="Verdana" w:eastAsia="Calibri" w:hAnsi="Verdana" w:cs="Arial"/>
          <w:sz w:val="22"/>
          <w:szCs w:val="22"/>
          <w:lang w:val="es-ES_tradnl"/>
        </w:rPr>
        <w:t>no solo son aplicables a la contratación de las entidades regidas por el EGCAP, sino también a los procesos de selección de las entidades exceptuadas, a los que realicen los patrimonios autónomos constituidos por entidades estatales, y en general, en los procesos de selección realizados con cargo a recursos públicos. Debido a que la norma no distingue entre modalidades o procedimientos, los factores de desempate son aplicables en todos los procesos de selección que celebren los sujetos mencionados.</w:t>
      </w:r>
    </w:p>
    <w:p w14:paraId="3FD319AB" w14:textId="77777777" w:rsidR="003C6383" w:rsidRPr="0004784B" w:rsidRDefault="003C6383" w:rsidP="003C6383">
      <w:pPr>
        <w:tabs>
          <w:tab w:val="left" w:pos="0"/>
        </w:tabs>
        <w:spacing w:after="120" w:line="276" w:lineRule="auto"/>
        <w:jc w:val="both"/>
        <w:rPr>
          <w:rFonts w:ascii="Verdana" w:eastAsia="Calibri" w:hAnsi="Verdana" w:cs="Arial"/>
          <w:lang w:val="es-ES_tradnl"/>
        </w:rPr>
      </w:pPr>
      <w:r w:rsidRPr="0004784B">
        <w:rPr>
          <w:rFonts w:ascii="Verdana" w:eastAsia="Calibri" w:hAnsi="Verdana" w:cs="Arial"/>
          <w:lang w:val="es-ES_tradnl"/>
        </w:rPr>
        <w:tab/>
      </w:r>
      <w:bookmarkStart w:id="14" w:name="_Hlk102388390"/>
      <w:bookmarkStart w:id="15" w:name="_Hlk102984001"/>
      <w:r w:rsidRPr="0004784B">
        <w:rPr>
          <w:rFonts w:ascii="Verdana" w:eastAsia="Calibri" w:hAnsi="Verdana" w:cs="Arial"/>
          <w:lang w:val="es-ES_tradnl"/>
        </w:rPr>
        <w:t>En ese sentido, la Agencia ha estimado que la aplicación del artículo 35 de la Ley 2069 de 2020</w:t>
      </w:r>
      <w:r w:rsidRPr="0004784B">
        <w:rPr>
          <w:rFonts w:ascii="Verdana" w:hAnsi="Verdana" w:cs="Arial"/>
        </w:rPr>
        <w:t xml:space="preserve"> es transversal a los diferentes actores del sistema de compras públicas, quienes –indistintamente del régimen de contractual y el proceso de selección– deben aplicar los criterios de desempate de esta norma, lo cual aplica a los procedimientos de subasta inversa y de mínima cuantía. </w:t>
      </w:r>
    </w:p>
    <w:p w14:paraId="208C8406" w14:textId="77777777" w:rsidR="003C6383" w:rsidRPr="0004784B" w:rsidRDefault="003C6383" w:rsidP="003C6383">
      <w:pPr>
        <w:tabs>
          <w:tab w:val="left" w:pos="0"/>
        </w:tabs>
        <w:spacing w:after="120" w:line="276" w:lineRule="auto"/>
        <w:jc w:val="both"/>
        <w:rPr>
          <w:rFonts w:ascii="Verdana" w:eastAsia="Calibri" w:hAnsi="Verdana" w:cs="Arial"/>
          <w:bCs/>
        </w:rPr>
      </w:pPr>
      <w:r w:rsidRPr="0004784B">
        <w:rPr>
          <w:rFonts w:ascii="Verdana" w:eastAsia="Calibri" w:hAnsi="Verdana" w:cs="Arial"/>
          <w:lang w:val="es-ES_tradnl"/>
        </w:rPr>
        <w:tab/>
        <w:t>El hecho de que en este procedimiento la determinación de la oferta más favorable no esté mediada por el uso de “puntaje” y que el artículo 35 de la Ley 2069 de 2020 sea aplicable en “</w:t>
      </w:r>
      <w:r w:rsidRPr="0004784B">
        <w:rPr>
          <w:rFonts w:ascii="Verdana" w:hAnsi="Verdana" w:cs="Arial"/>
        </w:rPr>
        <w:t>[…] caso de empate en el puntaje total de dos o más ofertas […]”,</w:t>
      </w:r>
      <w:r w:rsidRPr="0004784B">
        <w:rPr>
          <w:rFonts w:ascii="Verdana" w:eastAsia="Calibri" w:hAnsi="Verdana" w:cs="Arial"/>
          <w:lang w:val="es-ES_tradnl"/>
        </w:rPr>
        <w:t xml:space="preserve"> no significa la inaplicación de dicha noma</w:t>
      </w:r>
      <w:r w:rsidRPr="0004784B">
        <w:rPr>
          <w:rFonts w:ascii="Verdana" w:eastAsia="Calibri" w:hAnsi="Verdana" w:cs="Arial"/>
          <w:bCs/>
        </w:rPr>
        <w:t xml:space="preserve">. </w:t>
      </w:r>
      <w:r w:rsidRPr="0004784B">
        <w:rPr>
          <w:rFonts w:ascii="Verdana" w:eastAsia="Calibri" w:hAnsi="Verdana" w:cs="Arial"/>
          <w:lang w:val="es-ES_tradnl"/>
        </w:rPr>
        <w:t xml:space="preserve">Esto dado que una interpretación exegética del artículo 35, según la cual este solo es aplicable en los procedimientos en los que se use el “puntaje” como mecanismo de evaluación, no corresponde con la finalidad transversal de la norma, puesto que los factores de desempate de la Ley de Emprendimiento están concebidos para </w:t>
      </w:r>
      <w:r w:rsidRPr="0004784B">
        <w:rPr>
          <w:rFonts w:ascii="Verdana" w:eastAsia="Calibri" w:hAnsi="Verdana" w:cs="Arial"/>
          <w:bCs/>
        </w:rPr>
        <w:t>“[…]</w:t>
      </w:r>
      <w:r w:rsidRPr="0004784B">
        <w:rPr>
          <w:rFonts w:ascii="Verdana" w:hAnsi="Verdana" w:cs="Arial"/>
        </w:rPr>
        <w:t xml:space="preserve">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w:t>
      </w:r>
      <w:r w:rsidRPr="0004784B">
        <w:rPr>
          <w:rFonts w:ascii="Verdana" w:eastAsia="Calibri" w:hAnsi="Verdana" w:cs="Arial"/>
          <w:bCs/>
        </w:rPr>
        <w:t>”.</w:t>
      </w:r>
    </w:p>
    <w:bookmarkEnd w:id="14"/>
    <w:p w14:paraId="49B197EC" w14:textId="77777777" w:rsidR="003C6383" w:rsidRPr="0004784B" w:rsidRDefault="003C6383" w:rsidP="003C6383">
      <w:pPr>
        <w:tabs>
          <w:tab w:val="left" w:pos="0"/>
        </w:tabs>
        <w:spacing w:after="120" w:line="276" w:lineRule="auto"/>
        <w:jc w:val="both"/>
        <w:rPr>
          <w:rFonts w:ascii="Verdana" w:eastAsia="Calibri" w:hAnsi="Verdana" w:cs="Arial"/>
          <w:bCs/>
        </w:rPr>
      </w:pPr>
      <w:r w:rsidRPr="0004784B">
        <w:rPr>
          <w:rFonts w:ascii="Verdana" w:eastAsia="Calibri" w:hAnsi="Verdana" w:cs="Arial"/>
          <w:bCs/>
        </w:rPr>
        <w:lastRenderedPageBreak/>
        <w:tab/>
      </w:r>
      <w:bookmarkStart w:id="16" w:name="_Hlk102388416"/>
      <w:r w:rsidRPr="0004784B">
        <w:rPr>
          <w:rFonts w:ascii="Verdana" w:eastAsia="Calibri" w:hAnsi="Verdana" w:cs="Arial"/>
          <w:bCs/>
        </w:rPr>
        <w:t xml:space="preserve">Por lo anterior, se considera que el alcance de la expresión </w:t>
      </w:r>
      <w:r w:rsidRPr="0004784B">
        <w:rPr>
          <w:rFonts w:ascii="Verdana" w:eastAsia="Calibri" w:hAnsi="Verdana" w:cs="Arial"/>
          <w:bCs/>
          <w:i/>
          <w:iCs/>
        </w:rPr>
        <w:t xml:space="preserve">puntaje total, </w:t>
      </w:r>
      <w:r w:rsidRPr="0004784B">
        <w:rPr>
          <w:rFonts w:ascii="Verdana" w:eastAsia="Calibri" w:hAnsi="Verdana" w:cs="Arial"/>
          <w:bCs/>
        </w:rPr>
        <w:t>contenida en el artículo 35 de la Ley 2069 de 2020, debe interpretarse sistemáticamente, propiciando una aplicación normativa coherente con otras disposiciones del sistema de compra pública y que satisfaga la finalidad transversal de la norma. Con este propósito, es necesario acudir al artículo 5 de la Ley 1150 de 2007, el cual regula el deber de selección objetiva, conforme al cual debe determinarse cuál es la oferta más favorable para la entidad y los fines de la contratación.</w:t>
      </w:r>
    </w:p>
    <w:bookmarkEnd w:id="15"/>
    <w:bookmarkEnd w:id="16"/>
    <w:p w14:paraId="3D1E05FC" w14:textId="77777777" w:rsidR="003C6383" w:rsidRPr="0004784B" w:rsidRDefault="003C6383" w:rsidP="003C6383">
      <w:pPr>
        <w:spacing w:after="120" w:line="276" w:lineRule="auto"/>
        <w:jc w:val="both"/>
        <w:rPr>
          <w:rFonts w:ascii="Verdana" w:eastAsia="Calibri" w:hAnsi="Verdana" w:cs="Arial"/>
          <w:lang w:val="es-ES_tradnl"/>
        </w:rPr>
      </w:pPr>
      <w:r w:rsidRPr="0004784B">
        <w:rPr>
          <w:rFonts w:ascii="Verdana" w:eastAsia="Calibri" w:hAnsi="Verdana" w:cs="Arial"/>
          <w:bCs/>
        </w:rPr>
        <w:tab/>
      </w:r>
      <w:r w:rsidRPr="0004784B">
        <w:rPr>
          <w:rFonts w:ascii="Verdana" w:eastAsia="Calibri" w:hAnsi="Verdana" w:cs="Arial"/>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al indicar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3D878CD" w14:textId="77777777" w:rsidR="003C6383" w:rsidRPr="0004784B" w:rsidRDefault="003C6383" w:rsidP="003C6383">
      <w:pPr>
        <w:spacing w:before="120" w:after="120" w:line="276" w:lineRule="auto"/>
        <w:ind w:firstLine="709"/>
        <w:jc w:val="both"/>
        <w:rPr>
          <w:rFonts w:ascii="Verdana" w:eastAsia="Calibri" w:hAnsi="Verdana" w:cs="Arial"/>
          <w:lang w:val="es-ES"/>
        </w:rPr>
      </w:pPr>
      <w:r w:rsidRPr="0004784B">
        <w:rPr>
          <w:rFonts w:ascii="Verdana" w:eastAsia="Calibri" w:hAnsi="Verdana" w:cs="Arial"/>
          <w:lang w:val="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629F2BA9" w14:textId="77777777" w:rsidR="003C6383" w:rsidRPr="0004784B" w:rsidRDefault="003C6383" w:rsidP="003C6383">
      <w:pPr>
        <w:spacing w:before="120" w:after="120" w:line="276" w:lineRule="auto"/>
        <w:ind w:firstLine="709"/>
        <w:jc w:val="both"/>
        <w:rPr>
          <w:rFonts w:ascii="Verdana" w:eastAsia="Calibri" w:hAnsi="Verdana" w:cs="Arial"/>
          <w:lang w:val="es-ES_tradnl"/>
        </w:rPr>
      </w:pPr>
      <w:r w:rsidRPr="0004784B">
        <w:rPr>
          <w:rFonts w:ascii="Verdana" w:eastAsia="Calibri" w:hAnsi="Verdana" w:cs="Arial"/>
          <w:lang w:val="es-ES_tradnl"/>
        </w:rPr>
        <w:t xml:space="preserve">Sin embargo, ni siquiera los casos de empate limitan el alcance de la selección objetiva en la contratación estatal. Por el contrario, en estos supuestos </w:t>
      </w:r>
      <w:r w:rsidRPr="0004784B">
        <w:rPr>
          <w:rFonts w:ascii="Verdana" w:eastAsia="Calibri" w:hAnsi="Verdana" w:cs="Arial"/>
          <w:lang w:val="es-ES_tradnl"/>
        </w:rPr>
        <w:lastRenderedPageBreak/>
        <w:t>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encuentra el artículo 35 de la Ley 2069 de 2020. La jurisprudencia comparte la idea de que los criterios de desempate deben estar establecidos de antemano y constituyen un límite a la discrecionalidad administrativa en los procedimientos de selección</w:t>
      </w:r>
      <w:r w:rsidRPr="0004784B">
        <w:rPr>
          <w:rFonts w:ascii="Verdana" w:hAnsi="Verdana" w:cs="Arial"/>
          <w:vertAlign w:val="superscript"/>
          <w:lang w:val="es-ES_tradnl"/>
        </w:rPr>
        <w:footnoteReference w:id="9"/>
      </w:r>
      <w:r w:rsidRPr="0004784B">
        <w:rPr>
          <w:rFonts w:ascii="Verdana" w:eastAsia="Calibri" w:hAnsi="Verdana" w:cs="Arial"/>
          <w:lang w:val="es-ES_tradnl"/>
        </w:rPr>
        <w:t xml:space="preserve">. </w:t>
      </w:r>
    </w:p>
    <w:p w14:paraId="0F5ACE69" w14:textId="77777777" w:rsidR="003C6383" w:rsidRPr="0004784B" w:rsidRDefault="003C6383" w:rsidP="003C6383">
      <w:pPr>
        <w:spacing w:before="120" w:after="120" w:line="276" w:lineRule="auto"/>
        <w:ind w:firstLine="709"/>
        <w:jc w:val="both"/>
        <w:rPr>
          <w:rFonts w:ascii="Verdana" w:eastAsia="Calibri" w:hAnsi="Verdana" w:cs="Arial"/>
          <w:lang w:val="es-ES"/>
        </w:rPr>
      </w:pPr>
      <w:r w:rsidRPr="0004784B">
        <w:rPr>
          <w:rFonts w:ascii="Verdana" w:eastAsia="Calibri" w:hAnsi="Verdana" w:cs="Arial"/>
          <w:lang w:val="es-ES"/>
        </w:rPr>
        <w:t xml:space="preserve">En tal sentido, la Corte Constitucional explica que cuando la ley establece factores de desempate obligatorios, las entidades estatales no pueden </w:t>
      </w:r>
      <w:proofErr w:type="spellStart"/>
      <w:r w:rsidRPr="0004784B">
        <w:rPr>
          <w:rFonts w:ascii="Verdana" w:eastAsia="Calibri" w:hAnsi="Verdana" w:cs="Arial"/>
          <w:lang w:val="es-ES"/>
        </w:rPr>
        <w:t>inaplicarlos</w:t>
      </w:r>
      <w:proofErr w:type="spellEnd"/>
      <w:r w:rsidRPr="0004784B">
        <w:rPr>
          <w:rFonts w:ascii="Verdana" w:eastAsia="Calibri" w:hAnsi="Verdana" w:cs="Arial"/>
          <w:lang w:val="es-ES"/>
        </w:rPr>
        <w:t>, porque ello podría vulnerar el principio de igualdad, especialmente, cuando algunos de estos criterios surgen como acciones afirmativas para ciertos sectores de la población</w:t>
      </w:r>
      <w:r w:rsidRPr="0004784B">
        <w:rPr>
          <w:rFonts w:ascii="Verdana" w:eastAsia="Calibri" w:hAnsi="Verdana" w:cs="Arial"/>
          <w:vertAlign w:val="superscript"/>
          <w:lang w:val="es-ES"/>
        </w:rPr>
        <w:footnoteReference w:id="10"/>
      </w:r>
      <w:r w:rsidRPr="0004784B">
        <w:rPr>
          <w:rFonts w:ascii="Verdana" w:eastAsia="Calibri" w:hAnsi="Verdana" w:cs="Arial"/>
          <w:lang w:val="es-ES"/>
        </w:rPr>
        <w:t>. Más aún, el Consejo de Estado ha señalado que contrariar los factores de desempate genera la nulidad del contrato, conforme al artículo 44, inciso 1º de la Ley 80 de 1993</w:t>
      </w:r>
      <w:r w:rsidRPr="0004784B">
        <w:rPr>
          <w:rFonts w:ascii="Verdana" w:eastAsia="Calibri" w:hAnsi="Verdana" w:cs="Arial"/>
          <w:vertAlign w:val="superscript"/>
          <w:lang w:val="es-ES"/>
        </w:rPr>
        <w:footnoteReference w:id="11"/>
      </w:r>
      <w:r w:rsidRPr="0004784B">
        <w:rPr>
          <w:rFonts w:ascii="Verdana" w:eastAsia="Calibri" w:hAnsi="Verdana" w:cs="Arial"/>
          <w:lang w:val="es-ES"/>
        </w:rPr>
        <w:t>.</w:t>
      </w:r>
    </w:p>
    <w:p w14:paraId="29AD47B8" w14:textId="77777777" w:rsidR="003C6383" w:rsidRPr="0004784B" w:rsidRDefault="003C6383" w:rsidP="003C6383">
      <w:pPr>
        <w:spacing w:before="120" w:line="276" w:lineRule="auto"/>
        <w:ind w:firstLine="709"/>
        <w:jc w:val="both"/>
        <w:rPr>
          <w:rFonts w:ascii="Verdana" w:eastAsia="Calibri" w:hAnsi="Verdana" w:cs="Arial"/>
          <w:lang w:val="es-ES_tradnl"/>
        </w:rPr>
      </w:pPr>
      <w:r w:rsidRPr="0004784B">
        <w:rPr>
          <w:rFonts w:ascii="Verdana" w:eastAsia="Calibri" w:hAnsi="Verdana" w:cs="Arial"/>
          <w:lang w:val="es-ES"/>
        </w:rPr>
        <w:t xml:space="preserve">Ahora bien, en cumplimiento de los principios de reciprocidad y de </w:t>
      </w:r>
      <w:r w:rsidRPr="0004784B">
        <w:rPr>
          <w:rFonts w:ascii="Verdana" w:eastAsia="Calibri" w:hAnsi="Verdana" w:cs="Arial"/>
          <w:i/>
          <w:iCs/>
          <w:lang w:val="es-ES"/>
        </w:rPr>
        <w:t xml:space="preserve">pacta sunt </w:t>
      </w:r>
      <w:proofErr w:type="spellStart"/>
      <w:r w:rsidRPr="0004784B">
        <w:rPr>
          <w:rFonts w:ascii="Verdana" w:eastAsia="Calibri" w:hAnsi="Verdana" w:cs="Arial"/>
          <w:i/>
          <w:iCs/>
          <w:lang w:val="es-ES"/>
        </w:rPr>
        <w:t>servanda</w:t>
      </w:r>
      <w:proofErr w:type="spellEnd"/>
      <w:r w:rsidRPr="0004784B">
        <w:rPr>
          <w:rFonts w:ascii="Verdana" w:eastAsia="Calibri" w:hAnsi="Verdana" w:cs="Arial"/>
          <w:lang w:val="es-ES"/>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77A532CF" w14:textId="77777777" w:rsidR="003C6383" w:rsidRPr="0004784B" w:rsidRDefault="003C6383" w:rsidP="003C6383">
      <w:pPr>
        <w:tabs>
          <w:tab w:val="left" w:pos="0"/>
        </w:tabs>
        <w:spacing w:after="120" w:line="276" w:lineRule="auto"/>
        <w:jc w:val="both"/>
        <w:rPr>
          <w:rFonts w:ascii="Verdana" w:eastAsia="Calibri" w:hAnsi="Verdana" w:cs="Arial"/>
          <w:bCs/>
          <w:lang w:val="es-ES_tradnl"/>
        </w:rPr>
      </w:pPr>
      <w:r w:rsidRPr="0004784B">
        <w:rPr>
          <w:rFonts w:ascii="Verdana" w:eastAsia="Calibri" w:hAnsi="Verdana" w:cs="Arial"/>
          <w:b/>
          <w:lang w:val="es-ES_tradnl"/>
        </w:rPr>
        <w:tab/>
      </w:r>
      <w:r w:rsidRPr="0004784B">
        <w:rPr>
          <w:rFonts w:ascii="Verdana" w:eastAsia="Calibri" w:hAnsi="Verdana" w:cs="Arial"/>
          <w:bCs/>
          <w:lang w:val="es-ES_tradnl"/>
        </w:rPr>
        <w:t xml:space="preserve">En gracia de discusión, asumir que los factores de desempate del artículo 35 de la Ley 2069 de 2020 únicamente son aplicables a los procesos de selección en los que se empleen sistemas de asignación de puntaje para determinar la oferta más favorable, conduciría a entender que estos no rigen en otros procedimientos de selección. Esto dado que no habría lugar a aplicar los referidos factores de desempate en procedimientos en los que no se comparen las ofertas </w:t>
      </w:r>
      <w:r w:rsidRPr="0004784B">
        <w:rPr>
          <w:rFonts w:ascii="Verdana" w:eastAsia="Calibri" w:hAnsi="Verdana" w:cs="Arial"/>
          <w:bCs/>
          <w:lang w:val="es-ES_tradnl"/>
        </w:rPr>
        <w:lastRenderedPageBreak/>
        <w:t xml:space="preserve">usando puntajes, como es el caso de los procesos en los que ponderan condiciones técnicas y económicas mínimas y adicionales para escoger la oferta que represente la mejor relación costo beneficio, procedimientos en los que también es posible que se presenten empates. </w:t>
      </w:r>
    </w:p>
    <w:p w14:paraId="179B2EA8" w14:textId="77777777" w:rsidR="003C6383" w:rsidRPr="0004784B" w:rsidRDefault="003C6383" w:rsidP="003C6383">
      <w:pPr>
        <w:spacing w:after="120" w:line="276" w:lineRule="auto"/>
        <w:jc w:val="both"/>
        <w:rPr>
          <w:rFonts w:ascii="Verdana" w:eastAsia="Calibri" w:hAnsi="Verdana" w:cs="Arial"/>
          <w:lang w:val="es-ES"/>
        </w:rPr>
      </w:pPr>
      <w:r w:rsidRPr="0004784B">
        <w:rPr>
          <w:rFonts w:ascii="Verdana" w:eastAsia="Calibri" w:hAnsi="Verdana" w:cs="Arial"/>
          <w:bCs/>
          <w:lang w:val="es-ES_tradnl"/>
        </w:rPr>
        <w:tab/>
      </w:r>
      <w:r w:rsidRPr="0004784B">
        <w:rPr>
          <w:rFonts w:ascii="Verdana" w:eastAsia="Calibri" w:hAnsi="Verdana" w:cs="Arial"/>
          <w:lang w:val="es-ES"/>
        </w:rPr>
        <w:t>Las entidades estatales tendrían a su alcance la posibilidad de determinar si aplica o no el artículo 35 de la Ley de Emprendimiento, pues al elaborar los pliegos de condiciones están facultadas para prescindir de la asignación de puntaje, optando, por ejemplo, por alternativas en las que se valore la relación costo beneficio, lo que relevaría a la entidad de aplicar los factores de desempate. Esta consecuencia también se aprecia en el caso de las entidades exceptuadas, quienes, al no estar sujetas al artículo 5 de la Ley 1150 de 2007, tendrían la posibilidad de configurar procesos de selección en los que no se utilicen puntajes para escoger la oferta ganadora, inaplicando los factores de desempate del artículo 35 de la Ley 2069 de 2020.</w:t>
      </w:r>
    </w:p>
    <w:p w14:paraId="37599575" w14:textId="77777777" w:rsidR="003C6383" w:rsidRPr="0004784B" w:rsidRDefault="003C6383" w:rsidP="003C6383">
      <w:pPr>
        <w:tabs>
          <w:tab w:val="left" w:pos="0"/>
        </w:tabs>
        <w:spacing w:after="120" w:line="276" w:lineRule="auto"/>
        <w:jc w:val="both"/>
        <w:rPr>
          <w:rFonts w:ascii="Verdana" w:eastAsia="Calibri" w:hAnsi="Verdana" w:cs="Arial"/>
          <w:bCs/>
          <w:lang w:val="es-ES_tradnl"/>
        </w:rPr>
      </w:pPr>
      <w:r w:rsidRPr="0004784B">
        <w:rPr>
          <w:rFonts w:ascii="Verdana" w:eastAsia="Calibri" w:hAnsi="Verdana" w:cs="Arial"/>
          <w:bCs/>
          <w:lang w:val="es-ES_tradnl"/>
        </w:rPr>
        <w:tab/>
        <w:t xml:space="preserve">Conforme a estas consideraciones, con el entendimiento literal de la expresión </w:t>
      </w:r>
      <w:r w:rsidRPr="0004784B">
        <w:rPr>
          <w:rFonts w:ascii="Verdana" w:eastAsia="Calibri" w:hAnsi="Verdana" w:cs="Arial"/>
          <w:bCs/>
          <w:i/>
          <w:iCs/>
          <w:lang w:val="es-ES_tradnl"/>
        </w:rPr>
        <w:t>puntaje total</w:t>
      </w:r>
      <w:r w:rsidRPr="0004784B">
        <w:rPr>
          <w:rFonts w:ascii="Verdana" w:eastAsia="Calibri" w:hAnsi="Verdana" w:cs="Arial"/>
          <w:bCs/>
          <w:lang w:val="es-ES_tradnl"/>
        </w:rPr>
        <w:t xml:space="preserve"> contenida en el artículo 35 de la 2069 de 2020 se restringiría el alcance y los efectos de la norma referida, al permitir que los destinatarios eludan su aplicación. Esto implicaría que la finalidad transversal del artículo 35 de la Ley 2069 de 2020 quedaría cercenada por su interpretación exegética, generando consecuencias absurdas como las descritas en el párrafo precedente.  </w:t>
      </w:r>
    </w:p>
    <w:p w14:paraId="02C78CB7" w14:textId="77777777" w:rsidR="003C6383" w:rsidRPr="0004784B" w:rsidRDefault="003C6383" w:rsidP="003C6383">
      <w:pPr>
        <w:tabs>
          <w:tab w:val="left" w:pos="0"/>
        </w:tabs>
        <w:spacing w:after="120" w:line="276" w:lineRule="auto"/>
        <w:jc w:val="both"/>
        <w:rPr>
          <w:rFonts w:ascii="Verdana" w:eastAsia="Calibri" w:hAnsi="Verdana" w:cs="Arial"/>
          <w:lang w:val="es-ES"/>
        </w:rPr>
      </w:pPr>
      <w:r w:rsidRPr="0004784B">
        <w:rPr>
          <w:rFonts w:ascii="Verdana" w:eastAsia="Calibri" w:hAnsi="Verdana" w:cs="Arial"/>
          <w:bCs/>
          <w:lang w:val="es-ES_tradnl"/>
        </w:rPr>
        <w:tab/>
      </w:r>
      <w:bookmarkStart w:id="17" w:name="_Hlk102388433"/>
      <w:r w:rsidRPr="0004784B">
        <w:rPr>
          <w:rFonts w:ascii="Verdana" w:eastAsia="Calibri" w:hAnsi="Verdana" w:cs="Arial"/>
          <w:lang w:val="es-ES"/>
        </w:rPr>
        <w:t xml:space="preserve">Sumado a los argumentos antes expuestos, y en relación con el objeto de su consulta, se debe tener en cuenta que el Decreto 1860 de 2021, mediante el cual se reglamentó la Ley 2069 de 2020, dispuso de forma expresa la aplicación de los factores de desempate dispuesto en el artículo 35 a los procedimientos de mínima cuantía. Así las cosas, el artículo 2.2.1.2.1.5.2 del Decreto 1082 de 2015, modificado por el artículo 2 del Decreto 1860 de 2021, regula el procedimiento aplicable para la modalidad de mínima cuantía y </w:t>
      </w:r>
      <w:r w:rsidRPr="0004784B">
        <w:rPr>
          <w:rFonts w:ascii="Verdana" w:eastAsia="Calibri" w:hAnsi="Verdana" w:cs="Arial"/>
          <w:lang w:val="es-ES" w:eastAsia="es-CO"/>
        </w:rPr>
        <w:t>dispone, en su numeral 8</w:t>
      </w:r>
      <w:r w:rsidRPr="0004784B">
        <w:rPr>
          <w:rStyle w:val="Refdenotaalpie"/>
          <w:rFonts w:ascii="Verdana" w:eastAsia="Calibri" w:hAnsi="Verdana" w:cs="Arial"/>
          <w:lang w:val="es-ES" w:eastAsia="es-CO"/>
        </w:rPr>
        <w:footnoteReference w:id="12"/>
      </w:r>
      <w:r w:rsidRPr="0004784B">
        <w:rPr>
          <w:rFonts w:ascii="Verdana" w:eastAsia="Calibri" w:hAnsi="Verdana" w:cs="Arial"/>
          <w:lang w:val="es-ES" w:eastAsia="es-CO"/>
        </w:rPr>
        <w:t>, un factor de desempate aplicable a este procedimiento</w:t>
      </w:r>
      <w:r w:rsidRPr="0004784B">
        <w:rPr>
          <w:rFonts w:ascii="Verdana" w:eastAsia="Calibri" w:hAnsi="Verdana" w:cs="Arial"/>
          <w:lang w:val="es-ES"/>
        </w:rPr>
        <w:t xml:space="preserve">, al indicar que en caso de empate se aplicaran los criterios de que trata el artículo 35 de la </w:t>
      </w:r>
      <w:r w:rsidRPr="0004784B">
        <w:rPr>
          <w:rFonts w:ascii="Verdana" w:eastAsia="Calibri" w:hAnsi="Verdana" w:cs="Arial"/>
          <w:lang w:val="es-ES"/>
        </w:rPr>
        <w:lastRenderedPageBreak/>
        <w:t xml:space="preserve">Ley 2069 de 2020, conforme lo medios de acreditación dispuestos en el artículo 2.2.1.2.4.2.17. del mismo Decreto. </w:t>
      </w:r>
      <w:bookmarkEnd w:id="17"/>
    </w:p>
    <w:p w14:paraId="3C6DE87A" w14:textId="77777777" w:rsidR="003C6383" w:rsidRPr="0004784B" w:rsidRDefault="003C6383" w:rsidP="003C6383">
      <w:pPr>
        <w:spacing w:after="120" w:line="276" w:lineRule="auto"/>
        <w:ind w:firstLine="709"/>
        <w:jc w:val="both"/>
        <w:rPr>
          <w:rFonts w:ascii="Verdana" w:hAnsi="Verdana" w:cs="Arial"/>
          <w:lang w:val="es-ES_tradnl"/>
        </w:rPr>
      </w:pPr>
      <w:bookmarkStart w:id="18" w:name="_Hlk69487468"/>
      <w:bookmarkStart w:id="19" w:name="_Hlk79145750"/>
      <w:r w:rsidRPr="0004784B">
        <w:rPr>
          <w:rFonts w:ascii="Verdana" w:eastAsia="Calibri" w:hAnsi="Verdana" w:cs="Arial"/>
          <w:lang w:val="es-ES_tradnl"/>
        </w:rPr>
        <w:t xml:space="preserve">En conclusión, mediante el artículo 35 de la Ley 2069 de 2020, “Por medio de la cual se impulsa el emprendimiento en Colombia”, se modificó el régimen de los factores de desempate en la contratación estatal. Los criterios de desempate consagrados en el citado artículo son aplicables </w:t>
      </w:r>
      <w:r w:rsidRPr="0004784B">
        <w:rPr>
          <w:rFonts w:ascii="Verdana" w:hAnsi="Verdana" w:cs="Arial"/>
          <w:lang w:val="es-ES_tradnl"/>
        </w:rPr>
        <w:t xml:space="preserve">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w:t>
      </w:r>
      <w:r w:rsidRPr="0004784B">
        <w:rPr>
          <w:rFonts w:ascii="Verdana" w:eastAsia="Calibri" w:hAnsi="Verdana" w:cs="Arial"/>
          <w:lang w:val="es-ES_tradnl"/>
        </w:rPr>
        <w:t xml:space="preserve">independientemente de su régimen de contratación y </w:t>
      </w:r>
      <w:r w:rsidRPr="0004784B">
        <w:rPr>
          <w:rFonts w:ascii="Verdana" w:hAnsi="Verdana" w:cs="Arial"/>
          <w:lang w:val="es-ES_tradnl"/>
        </w:rPr>
        <w:t>sin distinguir entre modalidades de selección.</w:t>
      </w:r>
    </w:p>
    <w:p w14:paraId="5F7C594D" w14:textId="77777777" w:rsidR="003C6383" w:rsidRPr="0004784B" w:rsidRDefault="003C6383" w:rsidP="003C6383">
      <w:pPr>
        <w:tabs>
          <w:tab w:val="left" w:pos="0"/>
        </w:tabs>
        <w:spacing w:after="120" w:line="276" w:lineRule="auto"/>
        <w:jc w:val="both"/>
        <w:rPr>
          <w:rFonts w:ascii="Verdana" w:eastAsia="Calibri" w:hAnsi="Verdana" w:cs="Arial"/>
          <w:lang w:val="es-ES_tradnl"/>
        </w:rPr>
      </w:pPr>
      <w:r w:rsidRPr="0004784B">
        <w:rPr>
          <w:rFonts w:ascii="Verdana" w:eastAsia="Calibri" w:hAnsi="Verdana" w:cs="Arial"/>
          <w:lang w:val="es-ES_tradnl"/>
        </w:rPr>
        <w:tab/>
        <w:t>El artículo 35 de la Ley 2069 de 2020 regula la institución de los factores de desempate en los procesos de contratación estatal de manera integral, sin hacer distinción entre las modalidades de selección. En consecuencia, por tratarse de una norma transversal al sistema de compras y contratación pública, el citado artículo es aplicable a los procedimientos de mínima cuantía, aun cuando en este procedimiento la determinación de la oferta más favorable no esté mediada por el uso de “puntaje”. Lo anterior, dado que una interpretación exegética del artículo 35, según la cual este solo es aplicable en los procedimientos en los que se use el “puntaje” como mecanismo de evaluación, no corresponde con la finalidad transversal de la norma</w:t>
      </w:r>
    </w:p>
    <w:p w14:paraId="407ACCAB" w14:textId="77777777" w:rsidR="003C6383" w:rsidRPr="0004784B" w:rsidRDefault="003C6383" w:rsidP="003C6383">
      <w:pPr>
        <w:spacing w:before="120" w:after="120" w:line="276" w:lineRule="auto"/>
        <w:ind w:firstLine="709"/>
        <w:jc w:val="both"/>
        <w:rPr>
          <w:rFonts w:ascii="Verdana" w:hAnsi="Verdana" w:cs="Arial"/>
        </w:rPr>
      </w:pPr>
      <w:r w:rsidRPr="0004784B">
        <w:rPr>
          <w:rFonts w:ascii="Verdana" w:eastAsia="Calibri" w:hAnsi="Verdana" w:cs="Arial"/>
          <w:bCs/>
        </w:rPr>
        <w:t xml:space="preserve">Así las cosas, esta Agencia considera que el alcance de la expresión </w:t>
      </w:r>
      <w:r w:rsidRPr="0004784B">
        <w:rPr>
          <w:rFonts w:ascii="Verdana" w:eastAsia="Calibri" w:hAnsi="Verdana" w:cs="Arial"/>
          <w:bCs/>
          <w:i/>
          <w:iCs/>
        </w:rPr>
        <w:t xml:space="preserve">puntaje total, </w:t>
      </w:r>
      <w:r w:rsidRPr="0004784B">
        <w:rPr>
          <w:rFonts w:ascii="Verdana" w:eastAsia="Calibri" w:hAnsi="Verdana" w:cs="Arial"/>
          <w:bCs/>
        </w:rPr>
        <w:t xml:space="preserve">contenida en el artículo 35 de la Ley 2069 de 2020, debe interpretarse sistemáticamente, propiciando una aplicación normativa coherente con otras disposiciones del sistema de compra pública y que satisfaga la finalidad transversal de la norma. </w:t>
      </w:r>
      <w:r w:rsidRPr="0004784B">
        <w:rPr>
          <w:rFonts w:ascii="Verdana" w:eastAsia="Calibri" w:hAnsi="Verdana" w:cs="Arial"/>
          <w:bCs/>
          <w:lang w:val="es-ES_tradnl"/>
        </w:rPr>
        <w:t xml:space="preserve">Conforme a esta interpretación, la expresión </w:t>
      </w:r>
      <w:r w:rsidRPr="0004784B">
        <w:rPr>
          <w:rFonts w:ascii="Verdana" w:hAnsi="Verdana" w:cs="Arial"/>
          <w:i/>
          <w:iCs/>
        </w:rPr>
        <w:t>empate en el puntaje total</w:t>
      </w:r>
      <w:r w:rsidRPr="0004784B">
        <w:rPr>
          <w:rFonts w:ascii="Verdana" w:hAnsi="Verdana" w:cs="Arial"/>
        </w:rPr>
        <w:t xml:space="preserve"> apunta a las situaciones en la evaluación final de las ofertas, en las que, realizándose la comparación de acuerdo con los factores de calificación, evaluación o ponderación aplicables al respectivo procedimiento, se presenta un empate entre dos o más propuestas. En ese entendido, con independencia de que la ponderación emplee puntajes,  fórmulas, criterios de relación costo – beneficio o de que el único criterio de evaluación sea el menor precio, deben aplicarse los factores de desempate del artículo 35 de la Ley 2069 de 2020 en los procesos de contratación realizados con cargo a recursos públicos, los procesos de contratación realizados por las entidades estatales </w:t>
      </w:r>
      <w:r w:rsidRPr="0004784B">
        <w:rPr>
          <w:rFonts w:ascii="Verdana" w:hAnsi="Verdana" w:cs="Arial"/>
        </w:rPr>
        <w:lastRenderedPageBreak/>
        <w:t>indistintamente de su régimen de contratación, así como los celebrados por los procesos de contratación de los patrimonios autónomos constituidos por entidades estatales.</w:t>
      </w:r>
    </w:p>
    <w:p w14:paraId="420A92F7" w14:textId="77777777" w:rsidR="003C6383" w:rsidRDefault="003C6383" w:rsidP="003C6383">
      <w:pPr>
        <w:spacing w:after="0" w:line="276" w:lineRule="auto"/>
        <w:ind w:firstLine="709"/>
        <w:jc w:val="both"/>
        <w:rPr>
          <w:rFonts w:ascii="Verdana" w:eastAsia="Calibri" w:hAnsi="Verdana" w:cs="Arial"/>
          <w:lang w:val="es-ES_tradnl"/>
        </w:rPr>
      </w:pPr>
      <w:r w:rsidRPr="0004784B">
        <w:rPr>
          <w:rFonts w:ascii="Verdana" w:eastAsia="Calibri" w:hAnsi="Verdana" w:cs="Arial"/>
          <w:lang w:val="es-ES_tradnl"/>
        </w:rPr>
        <w:t xml:space="preserve">Sumado a lo anterior, el numeral 8 del artículo 2.2.1.2.1.5.2 del Decreto 1082 de 2015, modificado por el artículo 2 del Decreto 1860 de 2021, </w:t>
      </w:r>
      <w:r w:rsidRPr="0004784B">
        <w:rPr>
          <w:rFonts w:ascii="Verdana" w:eastAsia="Calibri" w:hAnsi="Verdana" w:cs="Arial"/>
          <w:lang w:val="es-ES_tradnl" w:eastAsia="es-CO"/>
        </w:rPr>
        <w:t xml:space="preserve">realiza una remisión expresa a los factores de desempate consagrados en el artículo 35 de la Ley </w:t>
      </w:r>
      <w:r w:rsidRPr="0004784B">
        <w:rPr>
          <w:rFonts w:ascii="Verdana" w:eastAsia="Calibri" w:hAnsi="Verdana" w:cs="Arial"/>
          <w:lang w:val="es-ES_tradnl"/>
        </w:rPr>
        <w:t xml:space="preserve">2069 de 2020 para los procedimientos de mínima cuantía, con lo cual se reafirma la conclusión según la cual que el régimen de los factores de desempate consagrado en el artículo 35 de la Ley de Emprendimiento es aplicable a la modalidad de mínima cuantía. </w:t>
      </w:r>
    </w:p>
    <w:p w14:paraId="2AB4D537" w14:textId="77777777" w:rsidR="003C6383" w:rsidRDefault="003C6383" w:rsidP="003C6383">
      <w:pPr>
        <w:spacing w:after="0" w:line="276" w:lineRule="auto"/>
        <w:ind w:firstLine="709"/>
        <w:jc w:val="both"/>
        <w:rPr>
          <w:rFonts w:ascii="Verdana" w:eastAsia="Calibri" w:hAnsi="Verdana" w:cs="Arial"/>
          <w:lang w:val="es-ES_tradnl"/>
        </w:rPr>
      </w:pPr>
    </w:p>
    <w:p w14:paraId="76645D65" w14:textId="77777777" w:rsidR="003C6383" w:rsidRPr="0004784B" w:rsidRDefault="003C6383" w:rsidP="003C6383">
      <w:pPr>
        <w:spacing w:after="120" w:line="276" w:lineRule="auto"/>
        <w:ind w:firstLine="709"/>
        <w:jc w:val="both"/>
        <w:rPr>
          <w:rFonts w:ascii="Verdana" w:eastAsia="Calibri" w:hAnsi="Verdana" w:cs="Arial"/>
          <w:color w:val="000000" w:themeColor="text1"/>
        </w:rPr>
      </w:pPr>
      <w:r w:rsidRPr="0004784B">
        <w:rPr>
          <w:rFonts w:ascii="Verdana" w:eastAsia="Calibri" w:hAnsi="Verdana" w:cs="Arial"/>
          <w:color w:val="000000" w:themeColor="text1"/>
        </w:rPr>
        <w:t xml:space="preserve">La anterior regla resulta aplicable en virtud de la remisión expresa contenida en el artículo 2.2.1.2.1.5.2 del Decreto 1082 de 2015, modificado por el artículo 2 del Decreto 1860 de 2021, que regula el procedimiento aplicable a la mínima cuantía y que establece que, en caso de empate, deberán aplicarse los criterios previstos en la citada Ley de Emprendimiento. </w:t>
      </w:r>
    </w:p>
    <w:p w14:paraId="0DED0FC7" w14:textId="597AFCBF" w:rsidR="003C6383" w:rsidRDefault="003C6383" w:rsidP="00E837CB">
      <w:pPr>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Así las cosas, </w:t>
      </w:r>
      <w:r w:rsidRPr="00EE3E7B">
        <w:rPr>
          <w:rFonts w:ascii="Verdana" w:eastAsia="Calibri" w:hAnsi="Verdana" w:cs="Arial"/>
          <w:color w:val="000000" w:themeColor="text1"/>
        </w:rPr>
        <w:t>el artículo 35 de la Ley 2069 de 2020 y su reglamentación mediante el Decreto 1860 de 2021 establecen una herramienta normativa clara y obligatoria para resolver empates en los procesos de contratación pública, incluso en modalidades como la mínima cuantía. La aplicación sucesiva de los criterios definidos —que priorizan la inclusión, el desarrollo regional, el emprendimiento y la equidad de género— permite a las entidades garantizar una selección objetiva, transparente y alineada con los principios constitucionales que rigen la función administrativa</w:t>
      </w:r>
      <w:r>
        <w:rPr>
          <w:rFonts w:ascii="Verdana" w:eastAsia="Calibri" w:hAnsi="Verdana" w:cs="Arial"/>
          <w:color w:val="000000" w:themeColor="text1"/>
        </w:rPr>
        <w:t>.</w:t>
      </w:r>
    </w:p>
    <w:p w14:paraId="6E438717" w14:textId="5E3F19C1" w:rsidR="003C6383" w:rsidRDefault="003C6383" w:rsidP="00E837CB">
      <w:pPr>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igual manera, p</w:t>
      </w:r>
      <w:r w:rsidRPr="00DD1B58">
        <w:rPr>
          <w:rFonts w:ascii="Verdana" w:eastAsia="Calibri" w:hAnsi="Verdana" w:cs="Arial"/>
          <w:color w:val="000000" w:themeColor="text1"/>
        </w:rPr>
        <w:t xml:space="preserve">ara una correcta aplicación de los criterios de desempate en los procesos de mínima cuantía, se recomienda consultar el </w:t>
      </w:r>
      <w:r>
        <w:rPr>
          <w:rFonts w:ascii="Verdana" w:eastAsia="Calibri" w:hAnsi="Verdana" w:cs="Arial"/>
          <w:color w:val="000000" w:themeColor="text1"/>
        </w:rPr>
        <w:t>“</w:t>
      </w:r>
      <w:r w:rsidRPr="00DD1B58">
        <w:rPr>
          <w:rFonts w:ascii="Verdana" w:eastAsia="Calibri" w:hAnsi="Verdana" w:cs="Arial"/>
          <w:color w:val="000000" w:themeColor="text1"/>
        </w:rPr>
        <w:t>Manual de la Modalidad de Selección de Mínima Cuantía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13"/>
      </w:r>
      <w:r w:rsidRPr="00DD1B58">
        <w:rPr>
          <w:rFonts w:ascii="Verdana" w:eastAsia="Calibri" w:hAnsi="Verdana" w:cs="Arial"/>
          <w:color w:val="000000" w:themeColor="text1"/>
        </w:rPr>
        <w:t>, publicado por Colombia Compra Eficiente. Este documento ofrece una guía práctica y actualizada sobre el procedimiento que deben seguir las entidades estatales en caso de empate entre ofertas, con base en lo dispuesto por el artículo 35 de la Ley 2069 de 2020 y su reglamentación en el Decreto 1860 de 2021</w:t>
      </w:r>
    </w:p>
    <w:p w14:paraId="2FA25FAA" w14:textId="77777777" w:rsidR="003C6383" w:rsidRPr="00DB4737" w:rsidRDefault="003C6383" w:rsidP="003C6383">
      <w:pPr>
        <w:spacing w:line="276" w:lineRule="auto"/>
        <w:contextualSpacing/>
        <w:jc w:val="both"/>
        <w:rPr>
          <w:rFonts w:ascii="Verdana" w:eastAsia="Calibri" w:hAnsi="Verdana" w:cs="Times New Roman"/>
          <w:lang w:val="es-ES"/>
        </w:rPr>
      </w:pPr>
      <w:r w:rsidRPr="00DB4737">
        <w:rPr>
          <w:rFonts w:ascii="Verdana" w:eastAsia="Calibri" w:hAnsi="Verdana" w:cs="Times New Roman"/>
          <w:lang w:val="es-ES"/>
        </w:rPr>
        <w:t xml:space="preserve">Finalmente debe advertirse, que el análisis para resolver problemas específicos en torno </w:t>
      </w:r>
      <w:r>
        <w:rPr>
          <w:rFonts w:ascii="Verdana" w:eastAsia="Calibri" w:hAnsi="Verdana" w:cs="Times New Roman"/>
          <w:lang w:val="es-ES"/>
        </w:rPr>
        <w:t xml:space="preserve">a los procesos de contratación </w:t>
      </w:r>
      <w:r w:rsidRPr="00DB4737">
        <w:rPr>
          <w:rFonts w:ascii="Verdana" w:eastAsia="Calibri" w:hAnsi="Verdana" w:cs="Times New Roman"/>
          <w:lang w:val="es-ES"/>
        </w:rPr>
        <w:t xml:space="preserve">debe ser realizado por quienes tengan </w:t>
      </w:r>
      <w:r w:rsidRPr="00DB4737">
        <w:rPr>
          <w:rFonts w:ascii="Verdana" w:eastAsia="Calibri" w:hAnsi="Verdana" w:cs="Times New Roman"/>
          <w:lang w:val="es-ES"/>
        </w:rPr>
        <w:lastRenderedPageBreak/>
        <w:t>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033CBC3A" w14:textId="77777777" w:rsidR="003C6383" w:rsidRDefault="003C6383" w:rsidP="003C6383">
      <w:pPr>
        <w:spacing w:line="276" w:lineRule="auto"/>
        <w:contextualSpacing/>
        <w:jc w:val="both"/>
        <w:rPr>
          <w:rFonts w:ascii="Verdana" w:eastAsia="Calibri" w:hAnsi="Verdana" w:cs="Times New Roman"/>
          <w:lang w:val="es-ES"/>
        </w:rPr>
      </w:pPr>
    </w:p>
    <w:p w14:paraId="4C0DAAC7" w14:textId="77777777" w:rsidR="003C6383" w:rsidRPr="0004784B" w:rsidRDefault="003C6383" w:rsidP="003C6383">
      <w:pPr>
        <w:spacing w:after="0" w:line="276" w:lineRule="auto"/>
        <w:ind w:firstLine="709"/>
        <w:jc w:val="both"/>
        <w:rPr>
          <w:rFonts w:ascii="Verdana" w:eastAsia="Calibri" w:hAnsi="Verdana" w:cs="Arial"/>
          <w:lang w:val="es-ES_tradnl" w:eastAsia="es-CO"/>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bookmarkEnd w:id="18"/>
    <w:bookmarkEnd w:id="19"/>
    <w:p w14:paraId="435D667E" w14:textId="77777777" w:rsidR="003C6383" w:rsidRPr="0004784B" w:rsidRDefault="003C6383" w:rsidP="003C6383">
      <w:pPr>
        <w:widowControl w:val="0"/>
        <w:autoSpaceDE w:val="0"/>
        <w:autoSpaceDN w:val="0"/>
        <w:spacing w:after="0" w:line="276" w:lineRule="auto"/>
        <w:jc w:val="both"/>
        <w:rPr>
          <w:rFonts w:ascii="Verdana" w:hAnsi="Verdana" w:cs="Arial"/>
          <w:color w:val="000000" w:themeColor="text1"/>
          <w:lang w:val="es-ES"/>
        </w:rPr>
      </w:pPr>
    </w:p>
    <w:p w14:paraId="7131C437" w14:textId="77777777" w:rsidR="003C6383" w:rsidRPr="0004784B" w:rsidRDefault="003C6383" w:rsidP="003C63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Referencias normativas, jurisprudenciales y otras fuentes:</w:t>
      </w:r>
    </w:p>
    <w:p w14:paraId="1D416705" w14:textId="77777777" w:rsidR="003C6383" w:rsidRPr="0004784B" w:rsidRDefault="003C6383" w:rsidP="003C6383">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C6383" w:rsidRPr="0004784B" w14:paraId="5C004BE3" w14:textId="77777777" w:rsidTr="003C375A">
        <w:trPr>
          <w:trHeight w:val="870"/>
        </w:trPr>
        <w:tc>
          <w:tcPr>
            <w:tcW w:w="8647" w:type="dxa"/>
          </w:tcPr>
          <w:p w14:paraId="7119FA2A" w14:textId="77777777" w:rsidR="003C6383" w:rsidRDefault="003C6383" w:rsidP="003C6383">
            <w:pPr>
              <w:pStyle w:val="Prrafodelista"/>
              <w:numPr>
                <w:ilvl w:val="0"/>
                <w:numId w:val="17"/>
              </w:numPr>
              <w:rPr>
                <w:rFonts w:ascii="Verdana" w:hAnsi="Verdana" w:cs="Arial"/>
              </w:rPr>
            </w:pPr>
            <w:r w:rsidRPr="0004784B">
              <w:rPr>
                <w:rFonts w:ascii="Verdana" w:hAnsi="Verdana" w:cs="Arial"/>
              </w:rPr>
              <w:t>Ley 1150 de 2007: artículo 2, numeral 5, literal d.</w:t>
            </w:r>
          </w:p>
          <w:p w14:paraId="0C9F04D0" w14:textId="77777777" w:rsidR="003C6383" w:rsidRPr="0004784B" w:rsidRDefault="003C6383" w:rsidP="003C375A">
            <w:pPr>
              <w:pStyle w:val="Prrafodelista"/>
              <w:rPr>
                <w:rFonts w:ascii="Verdana" w:hAnsi="Verdana" w:cs="Arial"/>
              </w:rPr>
            </w:pPr>
          </w:p>
          <w:p w14:paraId="4B88543D" w14:textId="77777777" w:rsidR="003C6383" w:rsidRDefault="003C6383" w:rsidP="003C6383">
            <w:pPr>
              <w:pStyle w:val="Prrafodelista"/>
              <w:numPr>
                <w:ilvl w:val="0"/>
                <w:numId w:val="17"/>
              </w:numPr>
              <w:rPr>
                <w:rFonts w:ascii="Verdana" w:hAnsi="Verdana" w:cs="Arial"/>
              </w:rPr>
            </w:pPr>
            <w:r w:rsidRPr="0004784B">
              <w:rPr>
                <w:rFonts w:ascii="Verdana" w:hAnsi="Verdana" w:cs="Arial"/>
              </w:rPr>
              <w:t>Ley 2069 de 2020: artículo 30 y 35.</w:t>
            </w:r>
          </w:p>
          <w:p w14:paraId="4814763C" w14:textId="77777777" w:rsidR="003C6383" w:rsidRPr="00AE52F5" w:rsidRDefault="003C6383" w:rsidP="003C375A">
            <w:pPr>
              <w:rPr>
                <w:rFonts w:ascii="Verdana" w:hAnsi="Verdana" w:cs="Arial"/>
              </w:rPr>
            </w:pPr>
          </w:p>
          <w:p w14:paraId="5408BFFA" w14:textId="77777777" w:rsidR="003C6383" w:rsidRDefault="003C6383" w:rsidP="003C6383">
            <w:pPr>
              <w:pStyle w:val="Prrafodelista"/>
              <w:numPr>
                <w:ilvl w:val="0"/>
                <w:numId w:val="17"/>
              </w:numPr>
              <w:contextualSpacing w:val="0"/>
              <w:rPr>
                <w:rFonts w:ascii="Verdana" w:hAnsi="Verdana" w:cs="Arial"/>
              </w:rPr>
            </w:pPr>
            <w:r w:rsidRPr="0004784B">
              <w:rPr>
                <w:rFonts w:ascii="Verdana" w:hAnsi="Verdana" w:cs="Arial"/>
              </w:rPr>
              <w:t xml:space="preserve">Decreto 1082 del 2015: artículos 2.2.1.2.1.5.1. al 2.2.1.2.1.5.4 y 2.2.1.2.3.1.6 </w:t>
            </w:r>
          </w:p>
          <w:p w14:paraId="6EB9AE0A" w14:textId="77777777" w:rsidR="003C6383" w:rsidRPr="00AE52F5" w:rsidRDefault="003C6383" w:rsidP="003C375A">
            <w:pPr>
              <w:rPr>
                <w:rFonts w:ascii="Verdana" w:hAnsi="Verdana" w:cs="Arial"/>
              </w:rPr>
            </w:pPr>
          </w:p>
          <w:p w14:paraId="1D1C2691" w14:textId="57C6E668" w:rsidR="003C6383" w:rsidRPr="003C6383" w:rsidRDefault="003C6383" w:rsidP="003C6383">
            <w:pPr>
              <w:pStyle w:val="Prrafodelista"/>
              <w:numPr>
                <w:ilvl w:val="0"/>
                <w:numId w:val="17"/>
              </w:numPr>
              <w:contextualSpacing w:val="0"/>
              <w:rPr>
                <w:rFonts w:ascii="Verdana" w:hAnsi="Verdana" w:cs="Arial"/>
              </w:rPr>
            </w:pPr>
            <w:r w:rsidRPr="0004784B">
              <w:rPr>
                <w:rFonts w:ascii="Verdana" w:hAnsi="Verdana" w:cs="Arial"/>
              </w:rPr>
              <w:t xml:space="preserve">Decreto 1860 de 2021: Artículo 2. </w:t>
            </w:r>
          </w:p>
        </w:tc>
      </w:tr>
    </w:tbl>
    <w:p w14:paraId="126C1AAF" w14:textId="77777777" w:rsidR="003C6383" w:rsidRPr="0004784B" w:rsidRDefault="003C6383" w:rsidP="003C6383">
      <w:pPr>
        <w:widowControl w:val="0"/>
        <w:autoSpaceDE w:val="0"/>
        <w:autoSpaceDN w:val="0"/>
        <w:spacing w:after="0" w:line="276" w:lineRule="auto"/>
        <w:jc w:val="both"/>
        <w:rPr>
          <w:rFonts w:ascii="Verdana" w:hAnsi="Verdana" w:cs="Arial"/>
          <w:color w:val="000000" w:themeColor="text1"/>
        </w:rPr>
      </w:pPr>
    </w:p>
    <w:p w14:paraId="58486F88" w14:textId="77777777" w:rsidR="003C6383" w:rsidRPr="0004784B" w:rsidRDefault="003C6383" w:rsidP="003C63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Doctrina de la Agencia Nacional de Contratación Pública:</w:t>
      </w:r>
    </w:p>
    <w:p w14:paraId="6DEBAAF1" w14:textId="77777777" w:rsidR="003C6383" w:rsidRPr="0004784B" w:rsidRDefault="003C6383" w:rsidP="003C6383">
      <w:pPr>
        <w:widowControl w:val="0"/>
        <w:autoSpaceDE w:val="0"/>
        <w:autoSpaceDN w:val="0"/>
        <w:spacing w:after="0" w:line="276" w:lineRule="auto"/>
        <w:jc w:val="both"/>
        <w:rPr>
          <w:rFonts w:ascii="Verdana" w:hAnsi="Verdana" w:cs="Arial"/>
          <w:color w:val="000000" w:themeColor="text1"/>
        </w:rPr>
      </w:pPr>
    </w:p>
    <w:p w14:paraId="0509C708" w14:textId="77777777" w:rsidR="003C6383" w:rsidRPr="0004784B" w:rsidRDefault="003C6383" w:rsidP="003C6383">
      <w:pPr>
        <w:spacing w:after="0" w:line="276" w:lineRule="auto"/>
        <w:contextualSpacing/>
        <w:jc w:val="both"/>
        <w:rPr>
          <w:rFonts w:ascii="Verdana" w:eastAsia="Calibri" w:hAnsi="Verdana" w:cs="Arial"/>
          <w:lang w:val="es-ES_tradnl"/>
        </w:rPr>
      </w:pPr>
      <w:r w:rsidRPr="0004784B">
        <w:rPr>
          <w:rFonts w:ascii="Verdana" w:eastAsia="Calibri" w:hAnsi="Verdana" w:cs="Arial"/>
          <w:lang w:val="es-ES_tradnl"/>
        </w:rPr>
        <w:t xml:space="preserve">Es importante destacar que esta Agencia ha estudiado, en términos generales,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w:t>
      </w:r>
      <w:r w:rsidRPr="0004784B">
        <w:rPr>
          <w:rFonts w:ascii="Verdana" w:eastAsia="Calibri" w:hAnsi="Verdana" w:cs="Arial"/>
          <w:lang w:val="es-ES_tradnl"/>
        </w:rPr>
        <w:lastRenderedPageBreak/>
        <w:t xml:space="preserve">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w:t>
      </w:r>
      <w:r>
        <w:rPr>
          <w:rFonts w:ascii="Verdana" w:eastAsia="Calibri" w:hAnsi="Verdana" w:cs="Arial"/>
          <w:lang w:val="es-ES_tradnl"/>
        </w:rPr>
        <w:t xml:space="preserve">C-514 del 10 de junio de 2025 </w:t>
      </w:r>
      <w:r w:rsidRPr="0004784B">
        <w:rPr>
          <w:rFonts w:ascii="Verdana" w:eastAsia="Calibri" w:hAnsi="Verdana" w:cs="Arial"/>
          <w:lang w:val="es-ES_tradnl"/>
        </w:rPr>
        <w:t>entre otros.</w:t>
      </w:r>
      <w:r w:rsidRPr="0004784B">
        <w:rPr>
          <w:rFonts w:ascii="Verdana" w:hAnsi="Verdana" w:cs="Arial"/>
          <w:shd w:val="clear" w:color="auto" w:fill="FFFFFF"/>
          <w:lang w:val="es-ES"/>
        </w:rPr>
        <w:t xml:space="preserve"> Estos</w:t>
      </w:r>
      <w:r w:rsidRPr="0004784B">
        <w:rPr>
          <w:rFonts w:ascii="Verdana" w:hAnsi="Verdana"/>
        </w:rPr>
        <w:t xml:space="preserve"> y otros conceptos se encuentran disponibles para consulta en el Sistema de relatoría de la Agencia, al cual se puede acceder a través del siguiente enlace:</w:t>
      </w:r>
      <w:r w:rsidRPr="0004784B">
        <w:rPr>
          <w:rFonts w:ascii="Verdana" w:hAnsi="Verdana" w:cs="Arial"/>
          <w:shd w:val="clear" w:color="auto" w:fill="FFFFFF"/>
          <w:lang w:val="es-ES"/>
        </w:rPr>
        <w:t xml:space="preserve"> </w:t>
      </w:r>
      <w:hyperlink r:id="rId11" w:history="1">
        <w:r w:rsidRPr="007946E5">
          <w:rPr>
            <w:rStyle w:val="Hipervnculo"/>
            <w:rFonts w:ascii="Verdana" w:hAnsi="Verdana" w:cs="Arial"/>
            <w:shd w:val="clear" w:color="auto" w:fill="FFFFFF"/>
            <w:lang w:val="es-ES"/>
          </w:rPr>
          <w:t>https://relatoria.colombiacompra.gov.co/busqueda/concept os</w:t>
        </w:r>
      </w:hyperlink>
      <w:r w:rsidRPr="0004784B">
        <w:rPr>
          <w:rFonts w:ascii="Verdana" w:hAnsi="Verdana" w:cs="Arial"/>
          <w:shd w:val="clear" w:color="auto" w:fill="FFFFFF"/>
          <w:lang w:val="es-ES"/>
        </w:rPr>
        <w:t>.</w:t>
      </w:r>
      <w:r w:rsidRPr="0004784B">
        <w:rPr>
          <w:rFonts w:ascii="Verdana" w:hAnsi="Verdana" w:cs="Arial"/>
          <w:color w:val="FF0000"/>
          <w:shd w:val="clear" w:color="auto" w:fill="FFFFFF"/>
          <w:lang w:val="es-ES"/>
        </w:rPr>
        <w:t xml:space="preserve"> </w:t>
      </w:r>
      <w:r w:rsidRPr="0004784B">
        <w:rPr>
          <w:rFonts w:ascii="Verdana" w:hAnsi="Verdana" w:cs="Arial"/>
          <w:color w:val="000000" w:themeColor="text1"/>
          <w:shd w:val="clear" w:color="auto" w:fill="FFFFFF"/>
        </w:rPr>
        <w:t>  </w:t>
      </w:r>
    </w:p>
    <w:p w14:paraId="63252B89" w14:textId="77777777" w:rsidR="003C6383" w:rsidRPr="0004784B" w:rsidRDefault="003C6383" w:rsidP="003C6383">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2404185D" w14:textId="77777777" w:rsidR="003C6383" w:rsidRDefault="003C6383" w:rsidP="003C6383">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2"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4C276959" w14:textId="77777777" w:rsidR="003C6383" w:rsidRDefault="003C6383" w:rsidP="003C6383">
      <w:pPr>
        <w:widowControl w:val="0"/>
        <w:autoSpaceDE w:val="0"/>
        <w:autoSpaceDN w:val="0"/>
        <w:spacing w:after="0" w:line="276" w:lineRule="auto"/>
        <w:jc w:val="both"/>
      </w:pPr>
    </w:p>
    <w:p w14:paraId="1F0152B3" w14:textId="77777777" w:rsidR="003C6383" w:rsidRPr="00505CD6" w:rsidRDefault="003C6383" w:rsidP="003C6383">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10CE6EED" w14:textId="77777777" w:rsidR="003C6383" w:rsidRPr="0004784B" w:rsidRDefault="003C6383" w:rsidP="003C6383">
      <w:pPr>
        <w:widowControl w:val="0"/>
        <w:autoSpaceDE w:val="0"/>
        <w:autoSpaceDN w:val="0"/>
        <w:spacing w:after="0" w:line="276" w:lineRule="auto"/>
        <w:jc w:val="both"/>
        <w:rPr>
          <w:rFonts w:ascii="Verdana" w:hAnsi="Verdana" w:cs="Arial"/>
        </w:rPr>
      </w:pPr>
    </w:p>
    <w:p w14:paraId="5A824207" w14:textId="77777777" w:rsidR="003C6383" w:rsidRPr="0004784B" w:rsidRDefault="003C6383" w:rsidP="003C6383">
      <w:pPr>
        <w:spacing w:after="0" w:line="276" w:lineRule="auto"/>
        <w:jc w:val="both"/>
        <w:rPr>
          <w:rFonts w:ascii="Verdana" w:hAnsi="Verdana" w:cs="Arial"/>
          <w:lang w:eastAsia="es-CO"/>
        </w:rPr>
      </w:pPr>
      <w:r w:rsidRPr="0004784B">
        <w:rPr>
          <w:rFonts w:ascii="Verdana" w:eastAsia="Times New Roman" w:hAnsi="Verdana" w:cs="Arial"/>
          <w:lang w:eastAsia="es-CO"/>
        </w:rPr>
        <w:t>Atentamente,</w:t>
      </w:r>
      <w:r w:rsidRPr="0004784B">
        <w:rPr>
          <w:rFonts w:ascii="Verdana" w:hAnsi="Verdana" w:cs="Arial"/>
          <w:lang w:eastAsia="es-CO"/>
        </w:rPr>
        <w:t xml:space="preserve"> </w:t>
      </w:r>
    </w:p>
    <w:p w14:paraId="522BEEC4" w14:textId="77777777" w:rsidR="003C6383" w:rsidRPr="0004784B" w:rsidRDefault="003C6383" w:rsidP="003C6383">
      <w:pPr>
        <w:spacing w:line="276" w:lineRule="auto"/>
        <w:jc w:val="center"/>
        <w:rPr>
          <w:noProof/>
          <w:color w:val="000000"/>
        </w:rPr>
      </w:pPr>
    </w:p>
    <w:p w14:paraId="7A73C871" w14:textId="6BCECF74" w:rsidR="003C6383" w:rsidRDefault="00E837CB" w:rsidP="003C6383">
      <w:pPr>
        <w:spacing w:line="276" w:lineRule="auto"/>
        <w:jc w:val="center"/>
        <w:rPr>
          <w:noProof/>
          <w:color w:val="000000"/>
        </w:rPr>
      </w:pPr>
      <w:r>
        <w:rPr>
          <w:noProof/>
          <w:color w:val="000000"/>
        </w:rPr>
        <w:lastRenderedPageBreak/>
        <w:drawing>
          <wp:inline distT="0" distB="0" distL="0" distR="0" wp14:anchorId="77F97D4A" wp14:editId="1C2108E3">
            <wp:extent cx="4248743" cy="1781424"/>
            <wp:effectExtent l="0" t="0" r="0" b="9525"/>
            <wp:docPr id="7303903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90379" name="Imagen 730390379"/>
                    <pic:cNvPicPr/>
                  </pic:nvPicPr>
                  <pic:blipFill>
                    <a:blip r:embed="rId13">
                      <a:extLst>
                        <a:ext uri="{28A0092B-C50C-407E-A947-70E740481C1C}">
                          <a14:useLocalDpi xmlns:a14="http://schemas.microsoft.com/office/drawing/2010/main" val="0"/>
                        </a:ext>
                      </a:extLst>
                    </a:blip>
                    <a:stretch>
                      <a:fillRect/>
                    </a:stretch>
                  </pic:blipFill>
                  <pic:spPr>
                    <a:xfrm>
                      <a:off x="0" y="0"/>
                      <a:ext cx="4248743" cy="178142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6383" w:rsidRPr="0004784B" w14:paraId="48573FA9" w14:textId="77777777" w:rsidTr="003C375A">
        <w:trPr>
          <w:trHeight w:val="315"/>
        </w:trPr>
        <w:tc>
          <w:tcPr>
            <w:tcW w:w="893" w:type="dxa"/>
            <w:vAlign w:val="center"/>
            <w:hideMark/>
          </w:tcPr>
          <w:p w14:paraId="46DD7ED4" w14:textId="77777777" w:rsidR="003C6383" w:rsidRPr="0004784B" w:rsidRDefault="003C6383" w:rsidP="003C375A">
            <w:pPr>
              <w:contextualSpacing/>
              <w:rPr>
                <w:rFonts w:ascii="Verdana" w:hAnsi="Verdana" w:cs="Arial"/>
                <w:sz w:val="16"/>
                <w:szCs w:val="16"/>
                <w:lang w:val="es-ES" w:eastAsia="es-ES"/>
              </w:rPr>
            </w:pPr>
            <w:r w:rsidRPr="0004784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A575485" w14:textId="77777777" w:rsidR="003C6383" w:rsidRPr="0004784B" w:rsidRDefault="003C6383" w:rsidP="003C375A">
            <w:pPr>
              <w:pStyle w:val="paragraph"/>
              <w:spacing w:before="0" w:beforeAutospacing="0" w:after="0" w:afterAutospacing="0"/>
              <w:contextualSpacing/>
              <w:textAlignment w:val="baseline"/>
              <w:rPr>
                <w:rStyle w:val="normaltextrun"/>
                <w:rFonts w:ascii="Verdana" w:hAnsi="Verdana" w:cstheme="minorHAnsi"/>
                <w:sz w:val="16"/>
                <w:szCs w:val="16"/>
              </w:rPr>
            </w:pPr>
            <w:r w:rsidRPr="0004784B">
              <w:rPr>
                <w:rStyle w:val="normaltextrun"/>
                <w:rFonts w:ascii="Verdana" w:hAnsi="Verdana" w:cstheme="minorHAnsi"/>
                <w:sz w:val="16"/>
                <w:szCs w:val="16"/>
              </w:rPr>
              <w:t>Karol Andrea González Marín.</w:t>
            </w:r>
          </w:p>
          <w:p w14:paraId="4352536C" w14:textId="77777777" w:rsidR="003C6383" w:rsidRPr="0004784B" w:rsidRDefault="003C6383" w:rsidP="003C375A">
            <w:pPr>
              <w:contextualSpacing/>
              <w:rPr>
                <w:rFonts w:ascii="Verdana" w:eastAsia="Arial" w:hAnsi="Verdana" w:cs="Arial"/>
                <w:sz w:val="16"/>
                <w:szCs w:val="16"/>
              </w:rPr>
            </w:pPr>
            <w:r w:rsidRPr="0004784B">
              <w:rPr>
                <w:rFonts w:ascii="Verdana" w:hAnsi="Verdana"/>
                <w:sz w:val="16"/>
                <w:szCs w:val="16"/>
              </w:rPr>
              <w:t>Contratista de la Subdirección de Gestión Contractual</w:t>
            </w:r>
          </w:p>
        </w:tc>
      </w:tr>
      <w:tr w:rsidR="003C6383" w:rsidRPr="0004784B" w14:paraId="7A692FF5" w14:textId="77777777" w:rsidTr="003C375A">
        <w:trPr>
          <w:trHeight w:val="330"/>
        </w:trPr>
        <w:tc>
          <w:tcPr>
            <w:tcW w:w="893" w:type="dxa"/>
            <w:vAlign w:val="center"/>
            <w:hideMark/>
          </w:tcPr>
          <w:p w14:paraId="5631FFAC" w14:textId="77777777" w:rsidR="003C6383" w:rsidRPr="0004784B" w:rsidRDefault="003C6383" w:rsidP="003C375A">
            <w:pPr>
              <w:contextualSpacing/>
              <w:rPr>
                <w:rFonts w:ascii="Verdana" w:hAnsi="Verdana" w:cs="Arial"/>
                <w:sz w:val="16"/>
                <w:szCs w:val="16"/>
                <w:lang w:val="es-ES" w:eastAsia="es-ES"/>
              </w:rPr>
            </w:pPr>
            <w:r w:rsidRPr="0004784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2A5C0C" w14:textId="77777777" w:rsidR="003C6383" w:rsidRPr="0004784B" w:rsidRDefault="003C6383" w:rsidP="003C375A">
            <w:pPr>
              <w:pStyle w:val="paragraph"/>
              <w:spacing w:before="0" w:beforeAutospacing="0" w:after="0" w:afterAutospacing="0"/>
              <w:contextualSpacing/>
              <w:textAlignment w:val="baseline"/>
              <w:rPr>
                <w:rStyle w:val="normaltextrun"/>
                <w:rFonts w:ascii="Verdana" w:hAnsi="Verdana" w:cstheme="minorHAnsi"/>
                <w:sz w:val="16"/>
                <w:szCs w:val="16"/>
              </w:rPr>
            </w:pPr>
            <w:r w:rsidRPr="0004784B">
              <w:rPr>
                <w:rStyle w:val="normaltextrun"/>
                <w:rFonts w:ascii="Verdana" w:hAnsi="Verdana" w:cstheme="minorHAnsi"/>
                <w:sz w:val="16"/>
                <w:szCs w:val="16"/>
              </w:rPr>
              <w:t>Juan Carlos González.</w:t>
            </w:r>
          </w:p>
          <w:p w14:paraId="0F1A2E26" w14:textId="77777777" w:rsidR="003C6383" w:rsidRPr="0004784B" w:rsidRDefault="003C6383" w:rsidP="003C375A">
            <w:pPr>
              <w:pStyle w:val="paragraph"/>
              <w:spacing w:before="0" w:beforeAutospacing="0" w:after="0" w:afterAutospacing="0"/>
              <w:contextualSpacing/>
              <w:textAlignment w:val="baseline"/>
              <w:rPr>
                <w:rFonts w:ascii="Verdana" w:hAnsi="Verdana" w:cstheme="minorHAnsi"/>
                <w:sz w:val="16"/>
                <w:szCs w:val="16"/>
              </w:rPr>
            </w:pPr>
            <w:r w:rsidRPr="0004784B">
              <w:rPr>
                <w:rStyle w:val="normaltextrun"/>
                <w:rFonts w:ascii="Verdana" w:eastAsia="Arial" w:hAnsi="Verdana" w:cs="Arial"/>
                <w:sz w:val="16"/>
                <w:szCs w:val="16"/>
              </w:rPr>
              <w:t>Contratista Subdirección de Gestión Contractual</w:t>
            </w:r>
          </w:p>
        </w:tc>
      </w:tr>
      <w:tr w:rsidR="003C6383" w:rsidRPr="00593A5F" w14:paraId="2912921B" w14:textId="77777777" w:rsidTr="003C375A">
        <w:trPr>
          <w:trHeight w:val="300"/>
        </w:trPr>
        <w:tc>
          <w:tcPr>
            <w:tcW w:w="893" w:type="dxa"/>
            <w:vAlign w:val="center"/>
          </w:tcPr>
          <w:p w14:paraId="3061C723" w14:textId="77777777" w:rsidR="003C6383" w:rsidRPr="0004784B" w:rsidRDefault="003C6383" w:rsidP="003C375A">
            <w:pPr>
              <w:contextualSpacing/>
              <w:rPr>
                <w:rFonts w:ascii="Verdana" w:hAnsi="Verdana" w:cs="Arial"/>
                <w:sz w:val="16"/>
                <w:szCs w:val="16"/>
                <w:lang w:val="es-ES" w:eastAsia="es-ES"/>
              </w:rPr>
            </w:pPr>
            <w:r w:rsidRPr="0004784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DA817F8" w14:textId="486C1392" w:rsidR="001F00E8" w:rsidRPr="001F00E8" w:rsidRDefault="001F00E8" w:rsidP="001F00E8">
            <w:pPr>
              <w:contextualSpacing/>
              <w:rPr>
                <w:rFonts w:ascii="Verdana" w:eastAsia="Calibri" w:hAnsi="Verdana" w:cs="Arial"/>
                <w:sz w:val="16"/>
                <w:szCs w:val="16"/>
                <w:lang w:val="pt-BR" w:eastAsia="es-ES"/>
              </w:rPr>
            </w:pPr>
            <w:r w:rsidRPr="001F00E8">
              <w:rPr>
                <w:rFonts w:ascii="Verdana" w:eastAsia="Calibri" w:hAnsi="Verdana" w:cs="Arial"/>
                <w:sz w:val="16"/>
                <w:szCs w:val="16"/>
                <w:lang w:val="pt-BR" w:eastAsia="es-ES"/>
              </w:rPr>
              <w:t xml:space="preserve">Ana Maria Tolosa Rico </w:t>
            </w:r>
          </w:p>
          <w:p w14:paraId="422F3BB6" w14:textId="721088FE" w:rsidR="003C6383" w:rsidRPr="000015E6" w:rsidRDefault="001F00E8" w:rsidP="001F00E8">
            <w:pPr>
              <w:contextualSpacing/>
              <w:rPr>
                <w:rFonts w:ascii="Verdana" w:eastAsia="Calibri" w:hAnsi="Verdana" w:cs="Arial"/>
                <w:sz w:val="16"/>
                <w:szCs w:val="16"/>
                <w:lang w:val="pt-BR" w:eastAsia="es-ES"/>
              </w:rPr>
            </w:pPr>
            <w:r w:rsidRPr="001F00E8">
              <w:rPr>
                <w:rFonts w:ascii="Verdana" w:eastAsia="Calibri" w:hAnsi="Verdana" w:cs="Arial"/>
                <w:sz w:val="16"/>
                <w:szCs w:val="16"/>
                <w:lang w:val="pt-BR" w:eastAsia="es-ES"/>
              </w:rPr>
              <w:t>Subdiretora de Gestión Contratual ANCP – CCE (E)</w:t>
            </w:r>
          </w:p>
        </w:tc>
      </w:tr>
    </w:tbl>
    <w:p w14:paraId="487BD93E" w14:textId="77777777" w:rsidR="003C6383" w:rsidRPr="0044528D" w:rsidRDefault="003C6383" w:rsidP="003C6383">
      <w:pPr>
        <w:spacing w:after="0"/>
        <w:rPr>
          <w:rFonts w:ascii="Verdana" w:hAnsi="Verdana"/>
        </w:rPr>
      </w:pPr>
    </w:p>
    <w:p w14:paraId="524A0BA5" w14:textId="77777777" w:rsidR="003C6383" w:rsidRPr="00303BD4" w:rsidRDefault="003C6383" w:rsidP="003C6383"/>
    <w:p w14:paraId="67DD3F8C" w14:textId="7DAD96E6" w:rsidR="002707A2" w:rsidRPr="0044528D" w:rsidRDefault="002707A2" w:rsidP="003C6383">
      <w:pPr>
        <w:rPr>
          <w:rStyle w:val="Hipervnculo"/>
          <w:rFonts w:ascii="Verdana" w:hAnsi="Verdana"/>
        </w:rPr>
      </w:pPr>
    </w:p>
    <w:bookmarkEnd w:id="1"/>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899C2" w14:textId="77777777" w:rsidR="000A6878" w:rsidRDefault="000A6878" w:rsidP="004A1847">
      <w:pPr>
        <w:spacing w:after="0" w:line="240" w:lineRule="auto"/>
      </w:pPr>
      <w:r>
        <w:separator/>
      </w:r>
    </w:p>
  </w:endnote>
  <w:endnote w:type="continuationSeparator" w:id="0">
    <w:p w14:paraId="7BEEF575" w14:textId="77777777" w:rsidR="000A6878" w:rsidRDefault="000A687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1D3FEA" w14:textId="77777777" w:rsidR="000A6878" w:rsidRDefault="000A6878" w:rsidP="004A1847">
      <w:pPr>
        <w:spacing w:after="0" w:line="240" w:lineRule="auto"/>
      </w:pPr>
      <w:r>
        <w:separator/>
      </w:r>
    </w:p>
  </w:footnote>
  <w:footnote w:type="continuationSeparator" w:id="0">
    <w:p w14:paraId="0869C1F2" w14:textId="77777777" w:rsidR="000A6878" w:rsidRDefault="000A6878" w:rsidP="004A1847">
      <w:pPr>
        <w:spacing w:after="0" w:line="240" w:lineRule="auto"/>
      </w:pPr>
      <w:r>
        <w:continuationSeparator/>
      </w:r>
    </w:p>
  </w:footnote>
  <w:footnote w:id="1">
    <w:p w14:paraId="757D7487" w14:textId="77777777" w:rsidR="003C6383" w:rsidRPr="00AE52F5" w:rsidRDefault="003C6383" w:rsidP="003C6383">
      <w:pPr>
        <w:pStyle w:val="Textonotapie"/>
        <w:rPr>
          <w:rFonts w:ascii="Verdana" w:hAnsi="Verdana"/>
          <w:sz w:val="16"/>
          <w:szCs w:val="16"/>
          <w:lang w:val="es-ES"/>
        </w:rPr>
      </w:pPr>
      <w:r w:rsidRPr="00AE52F5">
        <w:rPr>
          <w:rStyle w:val="Refdenotaalpie"/>
          <w:rFonts w:ascii="Verdana" w:hAnsi="Verdana"/>
          <w:sz w:val="16"/>
          <w:szCs w:val="16"/>
        </w:rPr>
        <w:footnoteRef/>
      </w:r>
      <w:hyperlink r:id="rId1" w:history="1">
        <w:r w:rsidRPr="007946E5">
          <w:rPr>
            <w:rStyle w:val="Hipervnculo"/>
            <w:rFonts w:ascii="Verdana" w:hAnsi="Verdana"/>
            <w:sz w:val="16"/>
            <w:szCs w:val="16"/>
          </w:rPr>
          <w:t>www.colombiacompra.gov.co/wpcontent/uploads/2024/08/manual_de_la_modalidad_de_seleccion_de_minima_cuantia.pdf</w:t>
        </w:r>
      </w:hyperlink>
      <w:r>
        <w:rPr>
          <w:rFonts w:ascii="Verdana" w:hAnsi="Verdana"/>
          <w:sz w:val="16"/>
          <w:szCs w:val="16"/>
        </w:rPr>
        <w:t xml:space="preserve"> </w:t>
      </w:r>
    </w:p>
  </w:footnote>
  <w:footnote w:id="2">
    <w:p w14:paraId="68EC4B2A" w14:textId="77777777" w:rsidR="003C6383" w:rsidRPr="00486E4E" w:rsidRDefault="003C6383" w:rsidP="003C6383">
      <w:pPr>
        <w:pStyle w:val="Textonotapie"/>
        <w:ind w:firstLine="709"/>
        <w:contextualSpacing/>
        <w:jc w:val="both"/>
        <w:rPr>
          <w:rFonts w:ascii="Verdana" w:hAnsi="Verdana" w:cs="Arial"/>
          <w:sz w:val="14"/>
          <w:szCs w:val="14"/>
          <w:lang w:val="es-ES"/>
        </w:rPr>
      </w:pPr>
      <w:r w:rsidRPr="00486E4E">
        <w:rPr>
          <w:rStyle w:val="Refdenotaalpie"/>
          <w:rFonts w:ascii="Verdana" w:hAnsi="Verdana" w:cs="Arial"/>
          <w:sz w:val="14"/>
          <w:szCs w:val="14"/>
        </w:rPr>
        <w:footnoteRef/>
      </w:r>
      <w:r w:rsidRPr="00486E4E">
        <w:rPr>
          <w:rFonts w:ascii="Verdana" w:hAnsi="Verdana" w:cs="Arial"/>
          <w:sz w:val="14"/>
          <w:szCs w:val="14"/>
        </w:rPr>
        <w:t xml:space="preserve"> </w:t>
      </w:r>
      <w:r w:rsidRPr="00486E4E">
        <w:rPr>
          <w:rFonts w:ascii="Verdana" w:hAnsi="Verdana" w:cs="Arial"/>
          <w:sz w:val="14"/>
          <w:szCs w:val="14"/>
          <w:lang w:val="es-ES"/>
        </w:rPr>
        <w:t>Artículos 2 al 29.</w:t>
      </w:r>
    </w:p>
  </w:footnote>
  <w:footnote w:id="3">
    <w:p w14:paraId="4C0C684B" w14:textId="77777777" w:rsidR="003C6383" w:rsidRPr="00486E4E" w:rsidRDefault="003C6383" w:rsidP="003C6383">
      <w:pPr>
        <w:pStyle w:val="Textonotapie"/>
        <w:ind w:firstLine="709"/>
        <w:contextualSpacing/>
        <w:jc w:val="both"/>
        <w:rPr>
          <w:rFonts w:ascii="Verdana" w:hAnsi="Verdana" w:cs="Arial"/>
          <w:sz w:val="14"/>
          <w:szCs w:val="14"/>
          <w:lang w:val="es-ES"/>
        </w:rPr>
      </w:pPr>
      <w:r w:rsidRPr="00486E4E">
        <w:rPr>
          <w:rStyle w:val="Refdenotaalpie"/>
          <w:rFonts w:ascii="Verdana" w:hAnsi="Verdana" w:cs="Arial"/>
          <w:sz w:val="14"/>
          <w:szCs w:val="14"/>
        </w:rPr>
        <w:footnoteRef/>
      </w:r>
      <w:r w:rsidRPr="00486E4E">
        <w:rPr>
          <w:rFonts w:ascii="Verdana" w:hAnsi="Verdana" w:cs="Arial"/>
          <w:sz w:val="14"/>
          <w:szCs w:val="14"/>
        </w:rPr>
        <w:t xml:space="preserve"> </w:t>
      </w:r>
      <w:r w:rsidRPr="00486E4E">
        <w:rPr>
          <w:rFonts w:ascii="Verdana" w:hAnsi="Verdana" w:cs="Arial"/>
          <w:sz w:val="14"/>
          <w:szCs w:val="14"/>
          <w:lang w:val="es-ES"/>
        </w:rPr>
        <w:t>Artículos 30 al 36.</w:t>
      </w:r>
    </w:p>
  </w:footnote>
  <w:footnote w:id="4">
    <w:p w14:paraId="1309DD84" w14:textId="77777777" w:rsidR="003C6383" w:rsidRPr="00486E4E" w:rsidRDefault="003C6383" w:rsidP="003C6383">
      <w:pPr>
        <w:pStyle w:val="Textonotapie"/>
        <w:ind w:firstLine="709"/>
        <w:contextualSpacing/>
        <w:jc w:val="both"/>
        <w:rPr>
          <w:rFonts w:ascii="Verdana" w:hAnsi="Verdana" w:cs="Arial"/>
          <w:sz w:val="14"/>
          <w:szCs w:val="14"/>
          <w:lang w:val="es-ES"/>
        </w:rPr>
      </w:pPr>
      <w:r w:rsidRPr="00486E4E">
        <w:rPr>
          <w:rStyle w:val="Refdenotaalpie"/>
          <w:rFonts w:ascii="Verdana" w:hAnsi="Verdana" w:cs="Arial"/>
          <w:sz w:val="14"/>
          <w:szCs w:val="14"/>
        </w:rPr>
        <w:footnoteRef/>
      </w:r>
      <w:r w:rsidRPr="00486E4E">
        <w:rPr>
          <w:rFonts w:ascii="Verdana" w:hAnsi="Verdana" w:cs="Arial"/>
          <w:sz w:val="14"/>
          <w:szCs w:val="14"/>
        </w:rPr>
        <w:t xml:space="preserve"> </w:t>
      </w:r>
      <w:r w:rsidRPr="00486E4E">
        <w:rPr>
          <w:rFonts w:ascii="Verdana" w:hAnsi="Verdana" w:cs="Arial"/>
          <w:sz w:val="14"/>
          <w:szCs w:val="14"/>
          <w:lang w:val="es-ES"/>
        </w:rPr>
        <w:t>Artículos 37 al 45.</w:t>
      </w:r>
    </w:p>
  </w:footnote>
  <w:footnote w:id="5">
    <w:p w14:paraId="7C83C360" w14:textId="77777777" w:rsidR="003C6383" w:rsidRPr="00486E4E" w:rsidRDefault="003C6383" w:rsidP="003C6383">
      <w:pPr>
        <w:pStyle w:val="Textonotapie"/>
        <w:ind w:firstLine="709"/>
        <w:contextualSpacing/>
        <w:jc w:val="both"/>
        <w:rPr>
          <w:rFonts w:ascii="Verdana" w:hAnsi="Verdana" w:cs="Arial"/>
          <w:sz w:val="14"/>
          <w:szCs w:val="14"/>
          <w:lang w:val="es-ES"/>
        </w:rPr>
      </w:pPr>
      <w:r w:rsidRPr="00486E4E">
        <w:rPr>
          <w:rStyle w:val="Refdenotaalpie"/>
          <w:rFonts w:ascii="Verdana" w:hAnsi="Verdana" w:cs="Arial"/>
          <w:sz w:val="14"/>
          <w:szCs w:val="14"/>
        </w:rPr>
        <w:footnoteRef/>
      </w:r>
      <w:r w:rsidRPr="00486E4E">
        <w:rPr>
          <w:rFonts w:ascii="Verdana" w:hAnsi="Verdana" w:cs="Arial"/>
          <w:sz w:val="14"/>
          <w:szCs w:val="14"/>
        </w:rPr>
        <w:t xml:space="preserve"> </w:t>
      </w:r>
      <w:r w:rsidRPr="00486E4E">
        <w:rPr>
          <w:rFonts w:ascii="Verdana" w:hAnsi="Verdana" w:cs="Arial"/>
          <w:sz w:val="14"/>
          <w:szCs w:val="14"/>
          <w:lang w:val="es-ES"/>
        </w:rPr>
        <w:t>Artículos 46 al 73.</w:t>
      </w:r>
    </w:p>
  </w:footnote>
  <w:footnote w:id="6">
    <w:p w14:paraId="65EB4371" w14:textId="77777777" w:rsidR="003C6383" w:rsidRPr="00E15CB6" w:rsidRDefault="003C6383" w:rsidP="003C6383">
      <w:pPr>
        <w:pStyle w:val="Textonotapie"/>
        <w:ind w:firstLine="709"/>
        <w:contextualSpacing/>
        <w:jc w:val="both"/>
        <w:rPr>
          <w:rFonts w:ascii="Arial" w:hAnsi="Arial" w:cs="Arial"/>
          <w:sz w:val="19"/>
          <w:szCs w:val="19"/>
          <w:lang w:val="es-ES"/>
        </w:rPr>
      </w:pPr>
      <w:r w:rsidRPr="00486E4E">
        <w:rPr>
          <w:rStyle w:val="Refdenotaalpie"/>
          <w:rFonts w:ascii="Verdana" w:hAnsi="Verdana" w:cs="Arial"/>
          <w:sz w:val="14"/>
          <w:szCs w:val="14"/>
        </w:rPr>
        <w:footnoteRef/>
      </w:r>
      <w:r w:rsidRPr="00486E4E">
        <w:rPr>
          <w:rFonts w:ascii="Verdana" w:hAnsi="Verdana" w:cs="Arial"/>
          <w:sz w:val="14"/>
          <w:szCs w:val="14"/>
        </w:rPr>
        <w:t xml:space="preserve"> </w:t>
      </w:r>
      <w:r w:rsidRPr="00486E4E">
        <w:rPr>
          <w:rFonts w:ascii="Verdana" w:hAnsi="Verdana" w:cs="Arial"/>
          <w:sz w:val="14"/>
          <w:szCs w:val="14"/>
          <w:lang w:val="es-ES"/>
        </w:rPr>
        <w:t>Artículos 74 al 83.</w:t>
      </w:r>
    </w:p>
  </w:footnote>
  <w:footnote w:id="7">
    <w:p w14:paraId="0D8732C6" w14:textId="77777777" w:rsidR="003C6383" w:rsidRPr="00486E4E" w:rsidRDefault="003C6383" w:rsidP="003C6383">
      <w:pPr>
        <w:pStyle w:val="Textonotapie"/>
        <w:ind w:firstLine="708"/>
        <w:contextualSpacing/>
        <w:jc w:val="both"/>
        <w:rPr>
          <w:rFonts w:ascii="Verdana" w:hAnsi="Verdana" w:cs="Arial"/>
          <w:bCs/>
          <w:color w:val="000000" w:themeColor="text1"/>
          <w:sz w:val="14"/>
          <w:szCs w:val="14"/>
        </w:rPr>
      </w:pPr>
      <w:r w:rsidRPr="00486E4E">
        <w:rPr>
          <w:rStyle w:val="Refdenotaalpie"/>
          <w:rFonts w:ascii="Verdana" w:hAnsi="Verdana" w:cs="Arial"/>
          <w:color w:val="000000" w:themeColor="text1"/>
          <w:sz w:val="14"/>
          <w:szCs w:val="14"/>
        </w:rPr>
        <w:footnoteRef/>
      </w:r>
      <w:r w:rsidRPr="00486E4E">
        <w:rPr>
          <w:rFonts w:ascii="Verdana" w:hAnsi="Verdana" w:cs="Arial"/>
          <w:color w:val="000000" w:themeColor="text1"/>
          <w:sz w:val="14"/>
          <w:szCs w:val="14"/>
        </w:rPr>
        <w:t xml:space="preserve"> </w:t>
      </w:r>
      <w:r w:rsidRPr="00486E4E">
        <w:rPr>
          <w:rFonts w:ascii="Verdana" w:hAnsi="Verdana" w:cs="Arial"/>
          <w:bCs/>
          <w:color w:val="000000" w:themeColor="text1"/>
          <w:sz w:val="14"/>
          <w:szCs w:val="14"/>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486E4E">
        <w:rPr>
          <w:rFonts w:ascii="Verdana" w:hAnsi="Verdana" w:cs="Arial"/>
          <w:color w:val="000000" w:themeColor="text1"/>
          <w:sz w:val="14"/>
          <w:szCs w:val="14"/>
        </w:rPr>
        <w:t xml:space="preserve">CONSEJO NACIONAL DE POLÍTICA ECONÓMICA Y SOCIAL. Documento 3956 del 8 de enero de 2019: </w:t>
      </w:r>
      <w:r>
        <w:rPr>
          <w:rFonts w:ascii="Verdana" w:hAnsi="Verdana" w:cs="Arial"/>
          <w:color w:val="000000" w:themeColor="text1"/>
          <w:sz w:val="14"/>
          <w:szCs w:val="14"/>
        </w:rPr>
        <w:t>“</w:t>
      </w:r>
      <w:r w:rsidRPr="00486E4E">
        <w:rPr>
          <w:rFonts w:ascii="Verdana" w:hAnsi="Verdana" w:cs="Arial"/>
          <w:color w:val="000000" w:themeColor="text1"/>
          <w:sz w:val="14"/>
          <w:szCs w:val="14"/>
        </w:rPr>
        <w:t xml:space="preserve">Política de formalización empresarial”. Archivo consultado el 8 de febrero de 2021 en la página web </w:t>
      </w:r>
      <w:hyperlink r:id="rId2" w:history="1">
        <w:r w:rsidRPr="00486E4E">
          <w:rPr>
            <w:rStyle w:val="Hipervnculo"/>
            <w:rFonts w:ascii="Verdana" w:hAnsi="Verdana" w:cs="Arial"/>
            <w:color w:val="000000" w:themeColor="text1"/>
            <w:sz w:val="14"/>
            <w:szCs w:val="14"/>
          </w:rPr>
          <w:t>https://colaboracion.dnp.gov.co/CDT/Conpes/Econ%C3%B3micos/3956.pdf</w:t>
        </w:r>
      </w:hyperlink>
      <w:r w:rsidRPr="00486E4E">
        <w:rPr>
          <w:rFonts w:ascii="Verdana" w:hAnsi="Verdana" w:cs="Arial"/>
          <w:color w:val="000000" w:themeColor="text1"/>
          <w:sz w:val="14"/>
          <w:szCs w:val="14"/>
        </w:rPr>
        <w:t xml:space="preserve">).  </w:t>
      </w:r>
      <w:r w:rsidRPr="00486E4E">
        <w:rPr>
          <w:rFonts w:ascii="Verdana" w:hAnsi="Verdana" w:cs="Arial"/>
          <w:bCs/>
          <w:color w:val="000000" w:themeColor="text1"/>
          <w:sz w:val="14"/>
          <w:szCs w:val="14"/>
        </w:rPr>
        <w:t xml:space="preserve"> </w:t>
      </w:r>
    </w:p>
  </w:footnote>
  <w:footnote w:id="8">
    <w:p w14:paraId="16B39EEA" w14:textId="77777777" w:rsidR="003C6383" w:rsidRPr="00E15CB6" w:rsidRDefault="003C6383" w:rsidP="003C6383">
      <w:pPr>
        <w:pStyle w:val="Textonotapie"/>
        <w:ind w:firstLine="708"/>
        <w:contextualSpacing/>
        <w:jc w:val="both"/>
        <w:rPr>
          <w:rFonts w:ascii="Arial" w:hAnsi="Arial" w:cs="Arial"/>
          <w:sz w:val="19"/>
          <w:szCs w:val="19"/>
          <w:lang w:val="es-ES"/>
        </w:rPr>
      </w:pPr>
      <w:r w:rsidRPr="00486E4E">
        <w:rPr>
          <w:rStyle w:val="Refdenotaalpie"/>
          <w:rFonts w:ascii="Verdana" w:hAnsi="Verdana" w:cs="Arial"/>
          <w:sz w:val="14"/>
          <w:szCs w:val="14"/>
        </w:rPr>
        <w:footnoteRef/>
      </w:r>
      <w:r w:rsidRPr="00486E4E">
        <w:rPr>
          <w:rFonts w:ascii="Verdana" w:hAnsi="Verdana" w:cs="Arial"/>
          <w:sz w:val="14"/>
          <w:szCs w:val="14"/>
        </w:rPr>
        <w:t xml:space="preserve"> </w:t>
      </w:r>
      <w:bookmarkStart w:id="11" w:name="_Hlk63862868"/>
      <w:r w:rsidRPr="00486E4E">
        <w:rPr>
          <w:rFonts w:ascii="Verdana" w:hAnsi="Verdana" w:cs="Arial"/>
          <w:sz w:val="14"/>
          <w:szCs w:val="14"/>
        </w:rPr>
        <w:t xml:space="preserve">CONGRESO DE LA REPÚBLICA. Gaceta No. 670 del 11 de agosto de 2020. Exposición de motivos del Proyecto de Ley No. 122 de 2020 Cámara. p. 13. </w:t>
      </w:r>
      <w:bookmarkEnd w:id="11"/>
    </w:p>
  </w:footnote>
  <w:footnote w:id="9">
    <w:p w14:paraId="03E42757" w14:textId="77777777" w:rsidR="003C6383" w:rsidRPr="00AE52F5" w:rsidRDefault="003C6383" w:rsidP="003C6383">
      <w:pPr>
        <w:pStyle w:val="Car1"/>
        <w:ind w:firstLine="709"/>
        <w:contextualSpacing/>
        <w:jc w:val="both"/>
        <w:rPr>
          <w:rFonts w:ascii="Verdana" w:hAnsi="Verdana" w:cs="Arial"/>
          <w:sz w:val="14"/>
          <w:szCs w:val="14"/>
          <w:lang w:val="es-ES"/>
        </w:rPr>
      </w:pPr>
      <w:r w:rsidRPr="00AE52F5">
        <w:rPr>
          <w:rStyle w:val="Refdenotaalpie"/>
          <w:rFonts w:ascii="Verdana" w:hAnsi="Verdana" w:cs="Arial"/>
          <w:sz w:val="14"/>
          <w:szCs w:val="14"/>
        </w:rPr>
        <w:footnoteRef/>
      </w:r>
      <w:r w:rsidRPr="00AE52F5">
        <w:rPr>
          <w:rFonts w:ascii="Verdana" w:hAnsi="Verdana" w:cs="Arial"/>
          <w:sz w:val="14"/>
          <w:szCs w:val="14"/>
        </w:rPr>
        <w:t xml:space="preserve"> </w:t>
      </w:r>
      <w:r w:rsidRPr="00AE52F5">
        <w:rPr>
          <w:rFonts w:ascii="Verdana" w:hAnsi="Verdana" w:cs="Arial"/>
          <w:sz w:val="14"/>
          <w:szCs w:val="14"/>
          <w:lang w:val="es-ES"/>
        </w:rPr>
        <w:t>Consejo de Estado. Sección Tercera. Sentencia del 29 de octubre de 2.015. Consejera Ponente: Stella Conto Díaz Del Castillo. Expediente: 31.918.</w:t>
      </w:r>
    </w:p>
  </w:footnote>
  <w:footnote w:id="10">
    <w:p w14:paraId="62C5EE26" w14:textId="77777777" w:rsidR="003C6383" w:rsidRPr="00AE52F5" w:rsidRDefault="003C6383" w:rsidP="003C6383">
      <w:pPr>
        <w:pStyle w:val="Car1"/>
        <w:ind w:firstLine="709"/>
        <w:contextualSpacing/>
        <w:jc w:val="both"/>
        <w:rPr>
          <w:rFonts w:ascii="Verdana" w:hAnsi="Verdana" w:cs="Arial"/>
          <w:sz w:val="14"/>
          <w:szCs w:val="14"/>
          <w:lang w:val="es-ES"/>
        </w:rPr>
      </w:pPr>
      <w:r w:rsidRPr="00AE52F5">
        <w:rPr>
          <w:rStyle w:val="Refdenotaalpie"/>
          <w:rFonts w:ascii="Verdana" w:hAnsi="Verdana" w:cs="Arial"/>
          <w:sz w:val="14"/>
          <w:szCs w:val="14"/>
        </w:rPr>
        <w:footnoteRef/>
      </w:r>
      <w:r w:rsidRPr="00AE52F5">
        <w:rPr>
          <w:rFonts w:ascii="Verdana" w:hAnsi="Verdana" w:cs="Arial"/>
          <w:sz w:val="14"/>
          <w:szCs w:val="14"/>
        </w:rPr>
        <w:t xml:space="preserve"> </w:t>
      </w:r>
      <w:r w:rsidRPr="00AE52F5">
        <w:rPr>
          <w:rFonts w:ascii="Verdana" w:hAnsi="Verdana" w:cs="Arial"/>
          <w:sz w:val="14"/>
          <w:szCs w:val="14"/>
          <w:lang w:val="es-ES"/>
        </w:rPr>
        <w:t>Corte Constitucional. Sentencia T-684A del 14 de septiembre de 2011. Magistrado Ponente: Mauricio González Cuervo.</w:t>
      </w:r>
    </w:p>
    <w:p w14:paraId="5E4E14D3" w14:textId="77777777" w:rsidR="003C6383" w:rsidRPr="00AE52F5" w:rsidRDefault="003C6383" w:rsidP="003C6383">
      <w:pPr>
        <w:pStyle w:val="Textonotapie"/>
        <w:rPr>
          <w:rFonts w:ascii="Verdana" w:hAnsi="Verdana"/>
          <w:sz w:val="14"/>
          <w:szCs w:val="14"/>
          <w:lang w:val="es-ES"/>
        </w:rPr>
      </w:pPr>
    </w:p>
  </w:footnote>
  <w:footnote w:id="11">
    <w:p w14:paraId="7481C781" w14:textId="77777777" w:rsidR="003C6383" w:rsidRPr="00486E4E" w:rsidRDefault="003C6383" w:rsidP="003C6383">
      <w:pPr>
        <w:pStyle w:val="Car1"/>
        <w:ind w:firstLine="709"/>
        <w:contextualSpacing/>
        <w:jc w:val="both"/>
        <w:rPr>
          <w:rFonts w:ascii="Verdana" w:hAnsi="Verdana" w:cs="Arial"/>
          <w:sz w:val="14"/>
          <w:szCs w:val="14"/>
          <w:lang w:val="es-ES"/>
        </w:rPr>
      </w:pPr>
      <w:r w:rsidRPr="00AE52F5">
        <w:rPr>
          <w:rStyle w:val="Refdenotaalpie"/>
          <w:rFonts w:ascii="Verdana" w:hAnsi="Verdana" w:cs="Arial"/>
          <w:sz w:val="14"/>
          <w:szCs w:val="14"/>
        </w:rPr>
        <w:footnoteRef/>
      </w:r>
      <w:r w:rsidRPr="00AE52F5">
        <w:rPr>
          <w:rFonts w:ascii="Verdana" w:hAnsi="Verdana" w:cs="Arial"/>
          <w:sz w:val="14"/>
          <w:szCs w:val="14"/>
        </w:rPr>
        <w:t xml:space="preserve"> </w:t>
      </w:r>
      <w:r w:rsidRPr="00AE52F5">
        <w:rPr>
          <w:rFonts w:ascii="Verdana" w:hAnsi="Verdana" w:cs="Arial"/>
          <w:sz w:val="14"/>
          <w:szCs w:val="14"/>
          <w:lang w:val="es-ES"/>
        </w:rPr>
        <w:t>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w:t>
      </w:r>
      <w:r w:rsidRPr="00486E4E">
        <w:rPr>
          <w:rFonts w:ascii="Verdana" w:hAnsi="Verdana" w:cs="Arial"/>
          <w:sz w:val="14"/>
          <w:szCs w:val="14"/>
          <w:lang w:val="es-ES"/>
        </w:rPr>
        <w:t xml:space="preserve"> </w:t>
      </w:r>
    </w:p>
  </w:footnote>
  <w:footnote w:id="12">
    <w:p w14:paraId="31CF8C70" w14:textId="77777777" w:rsidR="003C6383" w:rsidRPr="000619FA" w:rsidRDefault="003C6383" w:rsidP="003C6383">
      <w:pPr>
        <w:pStyle w:val="NormalWeb"/>
        <w:spacing w:before="0" w:beforeAutospacing="0" w:after="0" w:afterAutospacing="0"/>
        <w:ind w:firstLine="708"/>
        <w:contextualSpacing/>
        <w:jc w:val="both"/>
        <w:rPr>
          <w:rFonts w:ascii="Verdana" w:hAnsi="Verdana" w:cs="Arial"/>
          <w:sz w:val="14"/>
          <w:szCs w:val="14"/>
        </w:rPr>
      </w:pPr>
      <w:r w:rsidRPr="000619FA">
        <w:rPr>
          <w:rStyle w:val="Refdenotaalpie"/>
          <w:rFonts w:ascii="Verdana" w:eastAsiaTheme="minorHAnsi" w:hAnsi="Verdana" w:cs="Arial"/>
          <w:sz w:val="14"/>
          <w:szCs w:val="14"/>
          <w:lang w:val="es-MX" w:eastAsia="en-US"/>
        </w:rPr>
        <w:footnoteRef/>
      </w:r>
      <w:r w:rsidRPr="000619FA">
        <w:rPr>
          <w:rFonts w:ascii="Verdana" w:hAnsi="Verdana" w:cs="Arial"/>
          <w:sz w:val="14"/>
          <w:szCs w:val="14"/>
        </w:rPr>
        <w:t xml:space="preserve"> Decreto 1082 de 2015, modificado por el Decreto 1860 de 2021: “Artículo 2.2.1.2.1.5.2. Procedimiento para la contratación de mínima cuantía. La Entidad Estatal debe elaborar unos estudios previos que deben contener, como mínimo, lo siguiente:</w:t>
      </w:r>
    </w:p>
    <w:p w14:paraId="024B5FCF" w14:textId="77777777" w:rsidR="003C6383" w:rsidRPr="000619FA" w:rsidRDefault="003C6383" w:rsidP="003C6383">
      <w:pPr>
        <w:pStyle w:val="NormalWeb"/>
        <w:spacing w:before="0" w:beforeAutospacing="0" w:after="0" w:afterAutospacing="0"/>
        <w:ind w:firstLine="708"/>
        <w:contextualSpacing/>
        <w:jc w:val="both"/>
        <w:rPr>
          <w:rFonts w:ascii="Verdana" w:hAnsi="Verdana" w:cs="Arial"/>
          <w:sz w:val="14"/>
          <w:szCs w:val="14"/>
        </w:rPr>
      </w:pPr>
      <w:proofErr w:type="gramStart"/>
      <w:r w:rsidRPr="000619FA">
        <w:rPr>
          <w:rFonts w:ascii="Verdana" w:hAnsi="Verdana" w:cs="Arial"/>
          <w:sz w:val="14"/>
          <w:szCs w:val="14"/>
        </w:rPr>
        <w:t>“ [</w:t>
      </w:r>
      <w:proofErr w:type="gramEnd"/>
      <w:r w:rsidRPr="000619FA">
        <w:rPr>
          <w:rFonts w:ascii="Verdana" w:hAnsi="Verdana" w:cs="Arial"/>
          <w:sz w:val="14"/>
          <w:szCs w:val="14"/>
        </w:rPr>
        <w:t>…] 8. En caso de empate, la Entidad Estatal aplicará los criterios de que trata el artículo </w:t>
      </w:r>
      <w:hyperlink r:id="rId3" w:anchor="35" w:history="1">
        <w:r w:rsidRPr="000619FA">
          <w:rPr>
            <w:rFonts w:ascii="Verdana" w:hAnsi="Verdana" w:cs="Arial"/>
            <w:sz w:val="14"/>
            <w:szCs w:val="14"/>
          </w:rPr>
          <w:t>35 </w:t>
        </w:r>
      </w:hyperlink>
      <w:r w:rsidRPr="000619FA">
        <w:rPr>
          <w:rFonts w:ascii="Verdana" w:hAnsi="Verdana" w:cs="Arial"/>
          <w:sz w:val="14"/>
          <w:szCs w:val="14"/>
        </w:rPr>
        <w:t>de la Ley 2069 de 2020, conforme a los medíos de acreditación del artículo 2.2.1.2.4.2.17. del presente Decreto o las normas que los modifiquen, adicionen o sustituyan.”</w:t>
      </w:r>
    </w:p>
  </w:footnote>
  <w:footnote w:id="13">
    <w:p w14:paraId="20A747BE" w14:textId="77777777" w:rsidR="003C6383" w:rsidRPr="00AE52F5" w:rsidRDefault="003C6383" w:rsidP="003C6383">
      <w:pPr>
        <w:pStyle w:val="Textonotapie"/>
        <w:rPr>
          <w:rFonts w:ascii="Verdana" w:hAnsi="Verdana"/>
          <w:sz w:val="16"/>
          <w:szCs w:val="16"/>
          <w:lang w:val="es-ES"/>
        </w:rPr>
      </w:pPr>
      <w:r w:rsidRPr="00AE52F5">
        <w:rPr>
          <w:rStyle w:val="Refdenotaalpie"/>
          <w:rFonts w:ascii="Verdana" w:hAnsi="Verdana"/>
          <w:sz w:val="16"/>
          <w:szCs w:val="16"/>
        </w:rPr>
        <w:footnoteRef/>
      </w:r>
      <w:hyperlink r:id="rId4" w:history="1">
        <w:r w:rsidRPr="007946E5">
          <w:rPr>
            <w:rStyle w:val="Hipervnculo"/>
            <w:rFonts w:ascii="Verdana" w:hAnsi="Verdana"/>
            <w:sz w:val="16"/>
            <w:szCs w:val="16"/>
          </w:rPr>
          <w:t>www.colombiacompra.gov.co/wpcontent/uploads/2024/08/manual_de_la_modalidad_de_seleccion_de_minima_cuantia.pdf</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C885D69" w:rsidR="004A305D" w:rsidRPr="00DC39FC" w:rsidRDefault="004A305D"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1982299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70D"/>
    <w:rsid w:val="00016F78"/>
    <w:rsid w:val="000400F4"/>
    <w:rsid w:val="00046945"/>
    <w:rsid w:val="00061B2A"/>
    <w:rsid w:val="00082362"/>
    <w:rsid w:val="000A683E"/>
    <w:rsid w:val="000A6878"/>
    <w:rsid w:val="000B19B9"/>
    <w:rsid w:val="000D0334"/>
    <w:rsid w:val="000F6486"/>
    <w:rsid w:val="00125105"/>
    <w:rsid w:val="00127233"/>
    <w:rsid w:val="001511A0"/>
    <w:rsid w:val="0019372F"/>
    <w:rsid w:val="001E4177"/>
    <w:rsid w:val="001F00E8"/>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C6383"/>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919AA"/>
    <w:rsid w:val="00CB6357"/>
    <w:rsid w:val="00CC1B26"/>
    <w:rsid w:val="00D423A2"/>
    <w:rsid w:val="00D520D8"/>
    <w:rsid w:val="00D63AC2"/>
    <w:rsid w:val="00D7383B"/>
    <w:rsid w:val="00DA231B"/>
    <w:rsid w:val="00DC39FC"/>
    <w:rsid w:val="00DF5254"/>
    <w:rsid w:val="00E02A3F"/>
    <w:rsid w:val="00E16408"/>
    <w:rsid w:val="00E20894"/>
    <w:rsid w:val="00E245AB"/>
    <w:rsid w:val="00E2764C"/>
    <w:rsid w:val="00E27F2E"/>
    <w:rsid w:val="00E50AFE"/>
    <w:rsid w:val="00E75C92"/>
    <w:rsid w:val="00E771DC"/>
    <w:rsid w:val="00E837CB"/>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00FF6785"/>
    <w:rsid w:val="0CA6595D"/>
    <w:rsid w:val="165E9519"/>
    <w:rsid w:val="382536D9"/>
    <w:rsid w:val="5CDE1192"/>
    <w:rsid w:val="6EFDAB80"/>
    <w:rsid w:val="716D2420"/>
    <w:rsid w:val="7A13BCB1"/>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400F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400F4"/>
    <w:rPr>
      <w:rFonts w:ascii="Geomanist Light" w:hAnsi="Geomanist Light"/>
      <w:lang w:val="es-ES"/>
    </w:rPr>
  </w:style>
  <w:style w:type="character" w:customStyle="1" w:styleId="NormalWebCar">
    <w:name w:val="Normal (Web) Car"/>
    <w:link w:val="NormalWeb"/>
    <w:uiPriority w:val="99"/>
    <w:rsid w:val="000400F4"/>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0400F4"/>
    <w:pPr>
      <w:spacing w:after="0" w:line="240" w:lineRule="auto"/>
    </w:pPr>
    <w:rPr>
      <w:rFonts w:ascii="Calibri" w:eastAsia="Calibri" w:hAnsi="Calibri" w:cs="Times New Roman"/>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20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160966" TargetMode="External"/><Relationship Id="rId2" Type="http://schemas.openxmlformats.org/officeDocument/2006/relationships/hyperlink" Target="https://colaboracion.dnp.gov.co/CDT/Conpes/Econ%C3%B3micos/3956.pdf" TargetMode="External"/><Relationship Id="rId1" Type="http://schemas.openxmlformats.org/officeDocument/2006/relationships/hyperlink" Target="http://www.colombiacompra.gov.co/wpcontent/uploads/2024/08/manual_de_la_modalidad_de_seleccion_de_minima_cuantia.pdf" TargetMode="External"/><Relationship Id="rId4" Type="http://schemas.openxmlformats.org/officeDocument/2006/relationships/hyperlink" Target="http://www.colombiacompra.gov.co/wpcontent/uploads/2024/08/manual_de_la_modalidad_de_seleccion_de_minima_cuanti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48AC269-11D8-475C-A1E9-D301F513B4D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6728</Words>
  <Characters>37004</Characters>
  <Application>Microsoft Office Word</Application>
  <DocSecurity>0</DocSecurity>
  <Lines>308</Lines>
  <Paragraphs>87</Paragraphs>
  <ScaleCrop>false</ScaleCrop>
  <Company/>
  <LinksUpToDate>false</LinksUpToDate>
  <CharactersWithSpaces>43645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2</cp:revision>
  <cp:lastPrinted>2023-01-10T21:18:00Z</cp:lastPrinted>
  <dcterms:created xsi:type="dcterms:W3CDTF">2025-07-10T13:45:00Z</dcterms:created>
  <dcterms:modified xsi:type="dcterms:W3CDTF">2025-07-10T13:45:00Z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