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0C695E" w14:textId="4C3FC108" w:rsidR="003661DD" w:rsidRPr="00A415AA" w:rsidRDefault="002411DE" w:rsidP="00193B52">
      <w:pPr>
        <w:jc w:val="right"/>
        <w:rPr>
          <w:rFonts w:ascii="Arial" w:hAnsi="Arial" w:cs="Arial"/>
          <w:b/>
          <w:color w:val="000000" w:themeColor="text1"/>
          <w:sz w:val="16"/>
          <w:szCs w:val="16"/>
          <w:lang w:val="es-ES_tradnl" w:eastAsia="es-ES"/>
        </w:rPr>
      </w:pPr>
      <w:bookmarkStart w:id="0" w:name="_Hlk28946138"/>
      <w:bookmarkStart w:id="1" w:name="_Hlk29548183"/>
      <w:r>
        <w:rPr>
          <w:rFonts w:ascii="Arial" w:hAnsi="Arial" w:cs="Arial"/>
          <w:b/>
          <w:color w:val="000000" w:themeColor="text1"/>
          <w:sz w:val="16"/>
          <w:szCs w:val="16"/>
          <w:lang w:val="es-ES_tradnl" w:eastAsia="es-ES"/>
        </w:rPr>
        <w:t xml:space="preserve"> </w:t>
      </w:r>
      <w:r w:rsidR="00B55C69" w:rsidRPr="00A415AA">
        <w:rPr>
          <w:rFonts w:ascii="Arial" w:hAnsi="Arial" w:cs="Arial"/>
          <w:b/>
          <w:color w:val="000000" w:themeColor="text1"/>
          <w:sz w:val="16"/>
          <w:szCs w:val="16"/>
          <w:lang w:val="es-ES_tradnl" w:eastAsia="es-ES"/>
        </w:rPr>
        <w:t>CCE-DES-FM-17</w:t>
      </w:r>
      <w:bookmarkStart w:id="2" w:name="_Hlk50481752"/>
      <w:bookmarkEnd w:id="0"/>
      <w:bookmarkEnd w:id="1"/>
    </w:p>
    <w:p w14:paraId="44DD3549" w14:textId="77777777" w:rsidR="00385131" w:rsidRPr="00A415AA" w:rsidRDefault="00385131" w:rsidP="00193B52">
      <w:pPr>
        <w:jc w:val="right"/>
        <w:rPr>
          <w:rFonts w:ascii="Arial" w:hAnsi="Arial" w:cs="Arial"/>
          <w:b/>
          <w:color w:val="000000" w:themeColor="text1"/>
          <w:sz w:val="20"/>
          <w:szCs w:val="20"/>
          <w:lang w:val="es-ES_tradnl" w:eastAsia="es-ES"/>
        </w:rPr>
      </w:pPr>
    </w:p>
    <w:p w14:paraId="61128224" w14:textId="58890EFA" w:rsidR="00385131" w:rsidRPr="00CC3F5F" w:rsidRDefault="00A415AA" w:rsidP="00385131">
      <w:pPr>
        <w:jc w:val="both"/>
        <w:rPr>
          <w:rFonts w:ascii="Arial" w:eastAsia="Calibri" w:hAnsi="Arial" w:cs="Arial"/>
          <w:b/>
          <w:color w:val="000000" w:themeColor="text1"/>
          <w:sz w:val="22"/>
          <w:szCs w:val="22"/>
          <w:lang w:val="es-MX" w:eastAsia="en-US"/>
        </w:rPr>
      </w:pPr>
      <w:r w:rsidRPr="00CC3F5F">
        <w:rPr>
          <w:rFonts w:ascii="Arial" w:eastAsia="Calibri" w:hAnsi="Arial" w:cs="Arial"/>
          <w:b/>
          <w:color w:val="000000" w:themeColor="text1"/>
          <w:sz w:val="22"/>
          <w:szCs w:val="22"/>
          <w:lang w:val="es-MX" w:eastAsia="en-US"/>
        </w:rPr>
        <w:t>CAPACIDAD RESIDUAL</w:t>
      </w:r>
      <w:r w:rsidR="00385131" w:rsidRPr="00CC3F5F">
        <w:rPr>
          <w:rFonts w:ascii="Arial" w:eastAsia="Calibri" w:hAnsi="Arial" w:cs="Arial"/>
          <w:b/>
          <w:color w:val="000000" w:themeColor="text1"/>
          <w:sz w:val="22"/>
          <w:szCs w:val="22"/>
          <w:lang w:val="es-MX" w:eastAsia="en-US"/>
        </w:rPr>
        <w:t xml:space="preserve"> – </w:t>
      </w:r>
      <w:r w:rsidR="0016226D" w:rsidRPr="00CC3F5F">
        <w:rPr>
          <w:rFonts w:ascii="Arial" w:eastAsia="Calibri" w:hAnsi="Arial" w:cs="Arial"/>
          <w:b/>
          <w:color w:val="000000" w:themeColor="text1"/>
          <w:sz w:val="22"/>
          <w:szCs w:val="22"/>
          <w:lang w:val="es-ES_tradnl" w:eastAsia="en-US"/>
        </w:rPr>
        <w:t>C</w:t>
      </w:r>
      <w:r w:rsidRPr="00CC3F5F">
        <w:rPr>
          <w:rFonts w:ascii="Arial" w:eastAsia="Calibri" w:hAnsi="Arial" w:cs="Arial"/>
          <w:b/>
          <w:color w:val="000000" w:themeColor="text1"/>
          <w:sz w:val="22"/>
          <w:szCs w:val="22"/>
          <w:lang w:val="es-ES_tradnl" w:eastAsia="en-US"/>
        </w:rPr>
        <w:t>apacidad para para asumir nuevas obligaciones</w:t>
      </w:r>
    </w:p>
    <w:p w14:paraId="1E1799D0" w14:textId="77777777" w:rsidR="00385131" w:rsidRPr="006B47F2" w:rsidRDefault="00385131" w:rsidP="00385131">
      <w:pPr>
        <w:jc w:val="both"/>
        <w:rPr>
          <w:rFonts w:ascii="Arial" w:eastAsia="Calibri" w:hAnsi="Arial" w:cs="Arial"/>
          <w:b/>
          <w:color w:val="000000" w:themeColor="text1"/>
          <w:sz w:val="20"/>
          <w:szCs w:val="20"/>
          <w:highlight w:val="yellow"/>
          <w:lang w:val="es-MX" w:eastAsia="en-US"/>
        </w:rPr>
      </w:pPr>
    </w:p>
    <w:p w14:paraId="0A748846" w14:textId="4EF6CD8C" w:rsidR="00385131" w:rsidRPr="00F2520A" w:rsidRDefault="00A415AA" w:rsidP="00385131">
      <w:pPr>
        <w:jc w:val="both"/>
        <w:rPr>
          <w:rFonts w:ascii="Arial" w:eastAsiaTheme="minorHAnsi" w:hAnsi="Arial" w:cs="Arial"/>
          <w:color w:val="000000" w:themeColor="text1"/>
          <w:sz w:val="20"/>
          <w:szCs w:val="20"/>
          <w:lang w:val="es-MX" w:eastAsia="en-US"/>
        </w:rPr>
      </w:pPr>
      <w:r w:rsidRPr="00A415AA">
        <w:rPr>
          <w:rFonts w:ascii="Arial" w:hAnsi="Arial" w:cs="Arial"/>
          <w:sz w:val="20"/>
          <w:szCs w:val="20"/>
          <w:shd w:val="clear" w:color="auto" w:fill="FFFFFF"/>
          <w:lang w:val="es-ES_tradnl"/>
        </w:rPr>
        <w:t xml:space="preserve">La capacidad residual es una aptitud que se exige a los oferentes con el objetivo de establecer o determinar si estos pueden o no cumplir de manera oportuna y a cabalidad con las obligaciones derivadas del contrato de obra pública, sin que los demás compromisos contractuales que hubieran adquirido les afecte la habilidad de cumplir con el objeto del contrato que está en proceso de selección. El </w:t>
      </w:r>
      <w:r w:rsidRPr="00F2520A">
        <w:rPr>
          <w:rFonts w:ascii="Arial" w:hAnsi="Arial" w:cs="Arial"/>
          <w:sz w:val="20"/>
          <w:szCs w:val="20"/>
          <w:shd w:val="clear" w:color="auto" w:fill="FFFFFF"/>
          <w:lang w:val="es-ES_tradnl"/>
        </w:rPr>
        <w:t xml:space="preserve">Consejo de Estado ha definido la capacidad residual como «la diferencia que existe entre el potencial de contratación que se tiene y los compromisos que haya adquirido y que se encuentren en ejecución, para la fecha de presentación de la oferta». Teniendo en cuenta lo dicho antes, la Agencia Nacional de Contratación Pública considera que la capacidad residual hace referencia a la suficiencia que se predica del proponente para asumir nuevas obligaciones que se derivan del contrato objeto del proceso de contratación, en relación con las obligaciones que ha adquirido </w:t>
      </w:r>
      <w:r w:rsidR="0077368F" w:rsidRPr="00F2520A">
        <w:rPr>
          <w:rFonts w:ascii="Arial" w:hAnsi="Arial" w:cs="Arial"/>
          <w:sz w:val="20"/>
          <w:szCs w:val="20"/>
          <w:shd w:val="clear" w:color="auto" w:fill="FFFFFF"/>
          <w:lang w:val="es-ES_tradnl"/>
        </w:rPr>
        <w:t>simultáneamente.</w:t>
      </w:r>
    </w:p>
    <w:p w14:paraId="529D9785" w14:textId="02CA9D17" w:rsidR="000E3C5A" w:rsidRPr="00CC3F5F" w:rsidRDefault="000E3C5A" w:rsidP="00385131">
      <w:pPr>
        <w:jc w:val="both"/>
        <w:rPr>
          <w:rFonts w:ascii="Arial" w:eastAsiaTheme="minorHAnsi" w:hAnsi="Arial" w:cs="Arial"/>
          <w:color w:val="000000" w:themeColor="text1"/>
          <w:sz w:val="22"/>
          <w:szCs w:val="22"/>
          <w:lang w:val="es-MX" w:eastAsia="en-US"/>
        </w:rPr>
      </w:pPr>
    </w:p>
    <w:p w14:paraId="026C61F7" w14:textId="05432F50" w:rsidR="000E3C5A" w:rsidRPr="00CC3F5F" w:rsidRDefault="00A415AA" w:rsidP="00385131">
      <w:pPr>
        <w:jc w:val="both"/>
        <w:rPr>
          <w:rFonts w:ascii="Arial" w:eastAsiaTheme="minorHAnsi" w:hAnsi="Arial" w:cs="Arial"/>
          <w:b/>
          <w:bCs/>
          <w:color w:val="000000" w:themeColor="text1"/>
          <w:sz w:val="22"/>
          <w:szCs w:val="22"/>
          <w:lang w:val="es-MX" w:eastAsia="en-US"/>
        </w:rPr>
      </w:pPr>
      <w:r w:rsidRPr="00CC3F5F">
        <w:rPr>
          <w:rFonts w:ascii="Arial" w:eastAsiaTheme="minorHAnsi" w:hAnsi="Arial" w:cs="Arial"/>
          <w:b/>
          <w:bCs/>
          <w:color w:val="000000" w:themeColor="text1"/>
          <w:sz w:val="22"/>
          <w:szCs w:val="22"/>
          <w:lang w:val="es-MX" w:eastAsia="en-US"/>
        </w:rPr>
        <w:t>CAPACIDAD RESIDUAL</w:t>
      </w:r>
      <w:r w:rsidR="000E3C5A" w:rsidRPr="00CC3F5F">
        <w:rPr>
          <w:rFonts w:ascii="Arial" w:eastAsiaTheme="minorHAnsi" w:hAnsi="Arial" w:cs="Arial"/>
          <w:b/>
          <w:bCs/>
          <w:color w:val="000000" w:themeColor="text1"/>
          <w:sz w:val="22"/>
          <w:szCs w:val="22"/>
          <w:lang w:val="es-MX" w:eastAsia="en-US"/>
        </w:rPr>
        <w:t xml:space="preserve"> – </w:t>
      </w:r>
      <w:r w:rsidR="00F2520A" w:rsidRPr="00CC3F5F">
        <w:rPr>
          <w:rFonts w:ascii="Arial" w:eastAsiaTheme="minorHAnsi" w:hAnsi="Arial" w:cs="Arial"/>
          <w:b/>
          <w:bCs/>
          <w:color w:val="000000" w:themeColor="text1"/>
          <w:sz w:val="22"/>
          <w:szCs w:val="22"/>
          <w:lang w:val="es-MX" w:eastAsia="en-US"/>
        </w:rPr>
        <w:t xml:space="preserve">Procesos de selección por lotes cálculo de la capacidad residual </w:t>
      </w:r>
    </w:p>
    <w:p w14:paraId="2F492DB0" w14:textId="2722C41E" w:rsidR="000E3C5A" w:rsidRPr="00F2520A" w:rsidRDefault="000E3C5A" w:rsidP="00385131">
      <w:pPr>
        <w:jc w:val="both"/>
        <w:rPr>
          <w:rFonts w:ascii="Arial" w:eastAsiaTheme="minorHAnsi" w:hAnsi="Arial" w:cs="Arial"/>
          <w:b/>
          <w:bCs/>
          <w:color w:val="000000" w:themeColor="text1"/>
          <w:sz w:val="20"/>
          <w:szCs w:val="20"/>
          <w:lang w:val="es-MX" w:eastAsia="en-US"/>
        </w:rPr>
      </w:pPr>
    </w:p>
    <w:p w14:paraId="7BCA7788" w14:textId="62F5FB44" w:rsidR="000E3C5A" w:rsidRPr="006B47F2" w:rsidRDefault="000E3C5A" w:rsidP="00385131">
      <w:pPr>
        <w:jc w:val="both"/>
        <w:rPr>
          <w:rFonts w:ascii="Arial" w:hAnsi="Arial" w:cs="Arial"/>
          <w:sz w:val="20"/>
          <w:szCs w:val="20"/>
          <w:highlight w:val="yellow"/>
          <w:shd w:val="clear" w:color="auto" w:fill="FFFFFF"/>
          <w:lang w:val="es-ES_tradnl"/>
        </w:rPr>
      </w:pPr>
      <w:r w:rsidRPr="00F2520A">
        <w:rPr>
          <w:rFonts w:ascii="Arial" w:hAnsi="Arial" w:cs="Arial"/>
          <w:sz w:val="20"/>
          <w:szCs w:val="20"/>
          <w:shd w:val="clear" w:color="auto" w:fill="FFFFFF"/>
          <w:lang w:val="es-ES_tradnl"/>
        </w:rPr>
        <w:t>[…]</w:t>
      </w:r>
      <w:r w:rsidR="00F2520A">
        <w:rPr>
          <w:rFonts w:ascii="Arial" w:hAnsi="Arial" w:cs="Arial"/>
          <w:sz w:val="20"/>
          <w:szCs w:val="20"/>
          <w:shd w:val="clear" w:color="auto" w:fill="FFFFFF"/>
          <w:lang w:val="es-ES_tradnl"/>
        </w:rPr>
        <w:t xml:space="preserve"> </w:t>
      </w:r>
      <w:r w:rsidR="00F2520A" w:rsidRPr="00F2520A">
        <w:rPr>
          <w:rFonts w:ascii="Arial" w:hAnsi="Arial" w:cs="Arial"/>
          <w:sz w:val="20"/>
          <w:szCs w:val="20"/>
          <w:shd w:val="clear" w:color="auto" w:fill="FFFFFF"/>
          <w:lang w:val="es-ES_tradnl"/>
        </w:rPr>
        <w:t>En este contexto, en ejercicio del deber de planificar la actividad contractual, también le corresponde a cada entidad estatal determinar si el proceso de selección lo estructura por lotes o grupos y, de ser así, a efectos de su consulta, es necesario aclarar que el presupuesto oficial del proceso de selección corresponderá a la sumatoria del valor de los lotes o grupos a contratar. Es decir, no sólo cada uno de estos debe estar dentro del valor del presupuesto oficial, sino que el valor total de la sumatoria de los lotes es el que corresponde al presupuesto oficial del proceso contractual.</w:t>
      </w:r>
    </w:p>
    <w:p w14:paraId="0E294A42" w14:textId="77777777" w:rsidR="00385131" w:rsidRPr="006B47F2" w:rsidRDefault="00385131" w:rsidP="00385131">
      <w:pPr>
        <w:rPr>
          <w:rFonts w:ascii="Arial" w:hAnsi="Arial" w:cs="Arial"/>
          <w:b/>
          <w:color w:val="000000" w:themeColor="text1"/>
          <w:sz w:val="16"/>
          <w:szCs w:val="16"/>
          <w:highlight w:val="yellow"/>
          <w:lang w:val="es-ES_tradnl" w:eastAsia="es-ES"/>
        </w:rPr>
      </w:pPr>
    </w:p>
    <w:p w14:paraId="60379D49" w14:textId="5099EE68" w:rsidR="00464278" w:rsidRPr="006B47F2" w:rsidRDefault="00464278" w:rsidP="00193B52">
      <w:pPr>
        <w:jc w:val="right"/>
        <w:rPr>
          <w:rFonts w:ascii="Arial" w:hAnsi="Arial" w:cs="Arial"/>
          <w:b/>
          <w:color w:val="000000" w:themeColor="text1"/>
          <w:sz w:val="16"/>
          <w:szCs w:val="16"/>
          <w:highlight w:val="yellow"/>
          <w:lang w:val="es-ES_tradnl" w:eastAsia="es-ES"/>
        </w:rPr>
      </w:pPr>
    </w:p>
    <w:p w14:paraId="31E2C132" w14:textId="631A5E4C" w:rsidR="00464278" w:rsidRPr="006B47F2" w:rsidRDefault="00464278" w:rsidP="00C25DCC">
      <w:pPr>
        <w:jc w:val="both"/>
        <w:rPr>
          <w:rFonts w:ascii="Arial" w:hAnsi="Arial" w:cs="Arial"/>
          <w:b/>
          <w:color w:val="000000" w:themeColor="text1"/>
          <w:sz w:val="16"/>
          <w:szCs w:val="16"/>
          <w:highlight w:val="yellow"/>
          <w:lang w:val="es-ES_tradnl" w:eastAsia="es-ES"/>
        </w:rPr>
      </w:pPr>
    </w:p>
    <w:p w14:paraId="05A0803A" w14:textId="7963D2C9" w:rsidR="00464278" w:rsidRPr="006B47F2" w:rsidRDefault="00464278" w:rsidP="00193B52">
      <w:pPr>
        <w:jc w:val="right"/>
        <w:rPr>
          <w:rFonts w:ascii="Arial" w:hAnsi="Arial" w:cs="Arial"/>
          <w:b/>
          <w:color w:val="000000" w:themeColor="text1"/>
          <w:sz w:val="16"/>
          <w:szCs w:val="16"/>
          <w:highlight w:val="yellow"/>
          <w:lang w:val="es-ES_tradnl" w:eastAsia="es-ES"/>
        </w:rPr>
      </w:pPr>
    </w:p>
    <w:p w14:paraId="059A5F2F" w14:textId="0E4252C9" w:rsidR="00464278" w:rsidRPr="006B47F2" w:rsidRDefault="00464278" w:rsidP="00193B52">
      <w:pPr>
        <w:jc w:val="right"/>
        <w:rPr>
          <w:rFonts w:ascii="Arial" w:hAnsi="Arial" w:cs="Arial"/>
          <w:b/>
          <w:color w:val="000000" w:themeColor="text1"/>
          <w:sz w:val="16"/>
          <w:szCs w:val="16"/>
          <w:highlight w:val="yellow"/>
          <w:lang w:val="es-ES_tradnl" w:eastAsia="es-ES"/>
        </w:rPr>
      </w:pPr>
    </w:p>
    <w:p w14:paraId="216EB227" w14:textId="2EB5406F" w:rsidR="00464278" w:rsidRPr="006B47F2" w:rsidRDefault="00464278" w:rsidP="00193B52">
      <w:pPr>
        <w:jc w:val="right"/>
        <w:rPr>
          <w:rFonts w:ascii="Arial" w:hAnsi="Arial" w:cs="Arial"/>
          <w:b/>
          <w:color w:val="000000" w:themeColor="text1"/>
          <w:sz w:val="16"/>
          <w:szCs w:val="16"/>
          <w:highlight w:val="yellow"/>
          <w:lang w:val="es-ES_tradnl" w:eastAsia="es-ES"/>
        </w:rPr>
      </w:pPr>
    </w:p>
    <w:p w14:paraId="7A75B9FD" w14:textId="116D0CAF" w:rsidR="00464278" w:rsidRPr="006B47F2" w:rsidRDefault="00464278" w:rsidP="00193B52">
      <w:pPr>
        <w:jc w:val="right"/>
        <w:rPr>
          <w:rFonts w:ascii="Arial" w:hAnsi="Arial" w:cs="Arial"/>
          <w:b/>
          <w:color w:val="000000" w:themeColor="text1"/>
          <w:sz w:val="16"/>
          <w:szCs w:val="16"/>
          <w:highlight w:val="yellow"/>
          <w:lang w:val="es-ES_tradnl" w:eastAsia="es-ES"/>
        </w:rPr>
      </w:pPr>
    </w:p>
    <w:p w14:paraId="765EC121" w14:textId="2C23F4F8" w:rsidR="00464278" w:rsidRPr="006B47F2" w:rsidRDefault="00464278" w:rsidP="00193B52">
      <w:pPr>
        <w:jc w:val="right"/>
        <w:rPr>
          <w:rFonts w:ascii="Arial" w:hAnsi="Arial" w:cs="Arial"/>
          <w:b/>
          <w:color w:val="000000" w:themeColor="text1"/>
          <w:sz w:val="16"/>
          <w:szCs w:val="16"/>
          <w:highlight w:val="yellow"/>
          <w:lang w:val="es-ES_tradnl" w:eastAsia="es-ES"/>
        </w:rPr>
      </w:pPr>
    </w:p>
    <w:p w14:paraId="7A7989CF" w14:textId="23A8C17D" w:rsidR="00464278" w:rsidRPr="006B47F2" w:rsidRDefault="00464278" w:rsidP="00193B52">
      <w:pPr>
        <w:jc w:val="right"/>
        <w:rPr>
          <w:rFonts w:ascii="Arial" w:hAnsi="Arial" w:cs="Arial"/>
          <w:b/>
          <w:color w:val="000000" w:themeColor="text1"/>
          <w:sz w:val="16"/>
          <w:szCs w:val="16"/>
          <w:highlight w:val="yellow"/>
          <w:lang w:val="es-ES_tradnl" w:eastAsia="es-ES"/>
        </w:rPr>
      </w:pPr>
    </w:p>
    <w:p w14:paraId="1C13927B" w14:textId="35E749C2" w:rsidR="00464278" w:rsidRPr="006B47F2" w:rsidRDefault="00464278" w:rsidP="00193B52">
      <w:pPr>
        <w:jc w:val="right"/>
        <w:rPr>
          <w:rFonts w:ascii="Arial" w:hAnsi="Arial" w:cs="Arial"/>
          <w:b/>
          <w:color w:val="000000" w:themeColor="text1"/>
          <w:sz w:val="16"/>
          <w:szCs w:val="16"/>
          <w:highlight w:val="yellow"/>
          <w:lang w:val="es-ES_tradnl" w:eastAsia="es-ES"/>
        </w:rPr>
      </w:pPr>
    </w:p>
    <w:p w14:paraId="05055F7D" w14:textId="3A2CE0E1" w:rsidR="00464278" w:rsidRPr="006B47F2" w:rsidRDefault="00464278" w:rsidP="00193B52">
      <w:pPr>
        <w:jc w:val="right"/>
        <w:rPr>
          <w:rFonts w:ascii="Arial" w:hAnsi="Arial" w:cs="Arial"/>
          <w:b/>
          <w:color w:val="000000" w:themeColor="text1"/>
          <w:sz w:val="16"/>
          <w:szCs w:val="16"/>
          <w:highlight w:val="yellow"/>
          <w:lang w:val="es-ES_tradnl" w:eastAsia="es-ES"/>
        </w:rPr>
      </w:pPr>
    </w:p>
    <w:p w14:paraId="66BBE07E" w14:textId="50A029EC" w:rsidR="00464278" w:rsidRPr="006B47F2" w:rsidRDefault="00464278" w:rsidP="00193B52">
      <w:pPr>
        <w:jc w:val="right"/>
        <w:rPr>
          <w:rFonts w:ascii="Arial" w:hAnsi="Arial" w:cs="Arial"/>
          <w:b/>
          <w:color w:val="000000" w:themeColor="text1"/>
          <w:sz w:val="16"/>
          <w:szCs w:val="16"/>
          <w:highlight w:val="yellow"/>
          <w:lang w:val="es-ES_tradnl" w:eastAsia="es-ES"/>
        </w:rPr>
      </w:pPr>
    </w:p>
    <w:p w14:paraId="2B752F02" w14:textId="49992542" w:rsidR="00464278" w:rsidRPr="006B47F2" w:rsidRDefault="00464278" w:rsidP="00193B52">
      <w:pPr>
        <w:jc w:val="right"/>
        <w:rPr>
          <w:rFonts w:ascii="Arial" w:hAnsi="Arial" w:cs="Arial"/>
          <w:b/>
          <w:color w:val="000000" w:themeColor="text1"/>
          <w:sz w:val="16"/>
          <w:szCs w:val="16"/>
          <w:highlight w:val="yellow"/>
          <w:lang w:val="es-ES_tradnl" w:eastAsia="es-ES"/>
        </w:rPr>
      </w:pPr>
    </w:p>
    <w:p w14:paraId="13374466" w14:textId="77777777" w:rsidR="00464278" w:rsidRPr="006B47F2" w:rsidRDefault="00464278" w:rsidP="00193B52">
      <w:pPr>
        <w:jc w:val="right"/>
        <w:rPr>
          <w:rFonts w:ascii="Arial" w:hAnsi="Arial" w:cs="Arial"/>
          <w:b/>
          <w:color w:val="000000" w:themeColor="text1"/>
          <w:sz w:val="16"/>
          <w:szCs w:val="16"/>
          <w:highlight w:val="yellow"/>
          <w:lang w:val="es-ES_tradnl" w:eastAsia="es-ES"/>
        </w:rPr>
      </w:pPr>
    </w:p>
    <w:p w14:paraId="3F0526AF" w14:textId="43A9F0B3" w:rsidR="00464278" w:rsidRPr="006B47F2" w:rsidRDefault="00464278" w:rsidP="00193B52">
      <w:pPr>
        <w:jc w:val="right"/>
        <w:rPr>
          <w:rFonts w:ascii="Arial" w:hAnsi="Arial" w:cs="Arial"/>
          <w:b/>
          <w:color w:val="000000" w:themeColor="text1"/>
          <w:sz w:val="16"/>
          <w:szCs w:val="16"/>
          <w:highlight w:val="yellow"/>
          <w:lang w:val="es-ES_tradnl" w:eastAsia="es-ES"/>
        </w:rPr>
      </w:pPr>
    </w:p>
    <w:p w14:paraId="6983D6CC" w14:textId="01D42CCD" w:rsidR="00464278" w:rsidRPr="006B47F2" w:rsidRDefault="00464278" w:rsidP="00193B52">
      <w:pPr>
        <w:jc w:val="right"/>
        <w:rPr>
          <w:rFonts w:ascii="Arial" w:hAnsi="Arial" w:cs="Arial"/>
          <w:b/>
          <w:color w:val="000000" w:themeColor="text1"/>
          <w:sz w:val="16"/>
          <w:szCs w:val="16"/>
          <w:highlight w:val="yellow"/>
          <w:lang w:val="es-ES_tradnl" w:eastAsia="es-ES"/>
        </w:rPr>
      </w:pPr>
    </w:p>
    <w:p w14:paraId="43C75C09" w14:textId="30084363" w:rsidR="00464278" w:rsidRPr="006B47F2" w:rsidRDefault="00464278" w:rsidP="00193B52">
      <w:pPr>
        <w:jc w:val="right"/>
        <w:rPr>
          <w:rFonts w:ascii="Arial" w:eastAsia="Calibri" w:hAnsi="Arial" w:cs="Arial"/>
          <w:b/>
          <w:color w:val="000000" w:themeColor="text1"/>
          <w:sz w:val="20"/>
          <w:szCs w:val="20"/>
          <w:highlight w:val="yellow"/>
          <w:lang w:val="es-ES_tradnl"/>
        </w:rPr>
      </w:pPr>
    </w:p>
    <w:p w14:paraId="480DFFE9" w14:textId="5C1F6A68" w:rsidR="00486C85" w:rsidRPr="006B47F2" w:rsidRDefault="00486C85" w:rsidP="00193B52">
      <w:pPr>
        <w:jc w:val="right"/>
        <w:rPr>
          <w:rFonts w:ascii="Arial" w:eastAsia="Calibri" w:hAnsi="Arial" w:cs="Arial"/>
          <w:b/>
          <w:color w:val="000000" w:themeColor="text1"/>
          <w:sz w:val="20"/>
          <w:szCs w:val="20"/>
          <w:highlight w:val="yellow"/>
          <w:lang w:val="es-ES_tradnl"/>
        </w:rPr>
      </w:pPr>
    </w:p>
    <w:p w14:paraId="3C41ECAD" w14:textId="48217AF8" w:rsidR="00486C85" w:rsidRPr="006B47F2" w:rsidRDefault="00486C85" w:rsidP="00193B52">
      <w:pPr>
        <w:jc w:val="right"/>
        <w:rPr>
          <w:rFonts w:ascii="Arial" w:eastAsia="Calibri" w:hAnsi="Arial" w:cs="Arial"/>
          <w:b/>
          <w:color w:val="000000" w:themeColor="text1"/>
          <w:sz w:val="20"/>
          <w:szCs w:val="20"/>
          <w:highlight w:val="yellow"/>
          <w:lang w:val="es-ES_tradnl"/>
        </w:rPr>
      </w:pPr>
    </w:p>
    <w:p w14:paraId="477758EE" w14:textId="489B7E53" w:rsidR="00486C85" w:rsidRPr="006B47F2" w:rsidRDefault="00486C85" w:rsidP="00193B52">
      <w:pPr>
        <w:jc w:val="right"/>
        <w:rPr>
          <w:rFonts w:ascii="Arial" w:eastAsia="Calibri" w:hAnsi="Arial" w:cs="Arial"/>
          <w:b/>
          <w:color w:val="000000" w:themeColor="text1"/>
          <w:sz w:val="20"/>
          <w:szCs w:val="20"/>
          <w:highlight w:val="yellow"/>
          <w:lang w:val="es-ES_tradnl"/>
        </w:rPr>
      </w:pPr>
    </w:p>
    <w:p w14:paraId="104A0428" w14:textId="028E2962" w:rsidR="00486C85" w:rsidRPr="006B47F2" w:rsidRDefault="00486C85" w:rsidP="00193B52">
      <w:pPr>
        <w:jc w:val="right"/>
        <w:rPr>
          <w:rFonts w:ascii="Arial" w:eastAsia="Calibri" w:hAnsi="Arial" w:cs="Arial"/>
          <w:b/>
          <w:color w:val="000000" w:themeColor="text1"/>
          <w:sz w:val="20"/>
          <w:szCs w:val="20"/>
          <w:highlight w:val="yellow"/>
          <w:lang w:val="es-ES_tradnl"/>
        </w:rPr>
      </w:pPr>
    </w:p>
    <w:p w14:paraId="22D64695" w14:textId="115E7B88" w:rsidR="00486C85" w:rsidRPr="006B47F2" w:rsidRDefault="00486C85" w:rsidP="00193B52">
      <w:pPr>
        <w:jc w:val="right"/>
        <w:rPr>
          <w:rFonts w:ascii="Arial" w:eastAsia="Calibri" w:hAnsi="Arial" w:cs="Arial"/>
          <w:b/>
          <w:color w:val="000000" w:themeColor="text1"/>
          <w:sz w:val="20"/>
          <w:szCs w:val="20"/>
          <w:highlight w:val="yellow"/>
          <w:lang w:val="es-ES_tradnl"/>
        </w:rPr>
      </w:pPr>
    </w:p>
    <w:p w14:paraId="70B5B9C4" w14:textId="06A4783C" w:rsidR="00486C85" w:rsidRPr="006B47F2" w:rsidRDefault="00486C85" w:rsidP="00193B52">
      <w:pPr>
        <w:jc w:val="right"/>
        <w:rPr>
          <w:rFonts w:ascii="Arial" w:eastAsia="Calibri" w:hAnsi="Arial" w:cs="Arial"/>
          <w:b/>
          <w:color w:val="000000" w:themeColor="text1"/>
          <w:sz w:val="20"/>
          <w:szCs w:val="20"/>
          <w:highlight w:val="yellow"/>
          <w:lang w:val="es-ES_tradnl"/>
        </w:rPr>
      </w:pPr>
    </w:p>
    <w:bookmarkEnd w:id="2"/>
    <w:p w14:paraId="4A701961" w14:textId="77777777" w:rsidR="00523E23" w:rsidRPr="006B47F2" w:rsidRDefault="00523E23" w:rsidP="00C118DB">
      <w:pPr>
        <w:spacing w:line="276" w:lineRule="auto"/>
        <w:jc w:val="both"/>
        <w:rPr>
          <w:rFonts w:ascii="Arial" w:hAnsi="Arial" w:cs="Arial"/>
          <w:noProof/>
          <w:color w:val="000000" w:themeColor="text1"/>
          <w:sz w:val="22"/>
          <w:highlight w:val="yellow"/>
          <w:lang w:val="pt-BR"/>
        </w:rPr>
      </w:pPr>
    </w:p>
    <w:p w14:paraId="498A7814" w14:textId="77777777" w:rsidR="00523E23" w:rsidRPr="006B47F2" w:rsidRDefault="00523E23" w:rsidP="00C118DB">
      <w:pPr>
        <w:spacing w:line="276" w:lineRule="auto"/>
        <w:jc w:val="both"/>
        <w:rPr>
          <w:rFonts w:ascii="Arial" w:hAnsi="Arial" w:cs="Arial"/>
          <w:noProof/>
          <w:color w:val="000000" w:themeColor="text1"/>
          <w:sz w:val="22"/>
          <w:highlight w:val="yellow"/>
          <w:lang w:val="pt-BR"/>
        </w:rPr>
      </w:pPr>
    </w:p>
    <w:p w14:paraId="3A2EACAD" w14:textId="77777777" w:rsidR="00CC3F5F" w:rsidRPr="00A415AA" w:rsidRDefault="00CC3F5F" w:rsidP="00CC3F5F">
      <w:pPr>
        <w:spacing w:line="276" w:lineRule="auto"/>
        <w:jc w:val="both"/>
        <w:rPr>
          <w:rFonts w:ascii="Arial" w:hAnsi="Arial" w:cs="Arial"/>
          <w:noProof/>
          <w:color w:val="000000" w:themeColor="text1"/>
          <w:sz w:val="22"/>
          <w:lang w:val="pt-BR"/>
        </w:rPr>
      </w:pPr>
      <w:r w:rsidRPr="00A415AA">
        <w:rPr>
          <w:rFonts w:ascii="Arial" w:hAnsi="Arial" w:cs="Arial"/>
          <w:noProof/>
          <w:color w:val="000000" w:themeColor="text1"/>
          <w:sz w:val="22"/>
          <w:lang w:val="pt-BR"/>
        </w:rPr>
        <w:lastRenderedPageBreak/>
        <w:t>Bogotá</w:t>
      </w:r>
      <w:r>
        <w:rPr>
          <w:rFonts w:ascii="Arial" w:hAnsi="Arial" w:cs="Arial"/>
          <w:noProof/>
          <w:color w:val="000000" w:themeColor="text1"/>
          <w:sz w:val="22"/>
          <w:lang w:val="pt-BR"/>
        </w:rPr>
        <w:t>, D.C, 19  Octubre de 2022</w:t>
      </w:r>
    </w:p>
    <w:p w14:paraId="602D68F0" w14:textId="77777777" w:rsidR="00523E23" w:rsidRPr="006B47F2" w:rsidRDefault="00523E23" w:rsidP="00C118DB">
      <w:pPr>
        <w:spacing w:line="276" w:lineRule="auto"/>
        <w:jc w:val="both"/>
        <w:rPr>
          <w:rFonts w:ascii="Arial" w:hAnsi="Arial" w:cs="Arial"/>
          <w:noProof/>
          <w:color w:val="000000" w:themeColor="text1"/>
          <w:sz w:val="22"/>
          <w:highlight w:val="yellow"/>
          <w:lang w:val="pt-BR"/>
        </w:rPr>
      </w:pPr>
    </w:p>
    <w:p w14:paraId="491F9894" w14:textId="36633227" w:rsidR="00523E23" w:rsidRPr="006B47F2" w:rsidRDefault="0077368F" w:rsidP="00C118DB">
      <w:pPr>
        <w:spacing w:line="276" w:lineRule="auto"/>
        <w:jc w:val="both"/>
        <w:rPr>
          <w:rFonts w:ascii="Arial" w:hAnsi="Arial" w:cs="Arial"/>
          <w:noProof/>
          <w:color w:val="000000" w:themeColor="text1"/>
          <w:sz w:val="22"/>
          <w:highlight w:val="yellow"/>
          <w:lang w:val="pt-BR"/>
        </w:rPr>
      </w:pPr>
      <w:r>
        <w:rPr>
          <w:noProof/>
          <w:lang w:eastAsia="es-CO"/>
        </w:rPr>
        <w:drawing>
          <wp:anchor distT="0" distB="0" distL="114300" distR="114300" simplePos="0" relativeHeight="251660288" behindDoc="1" locked="0" layoutInCell="1" allowOverlap="1" wp14:anchorId="13713DDB" wp14:editId="65E28923">
            <wp:simplePos x="0" y="0"/>
            <wp:positionH relativeFrom="margin">
              <wp:posOffset>3019425</wp:posOffset>
            </wp:positionH>
            <wp:positionV relativeFrom="paragraph">
              <wp:posOffset>41275</wp:posOffset>
            </wp:positionV>
            <wp:extent cx="2710815" cy="730009"/>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2710815" cy="730009"/>
                    </a:xfrm>
                    <a:prstGeom prst="rect">
                      <a:avLst/>
                    </a:prstGeom>
                  </pic:spPr>
                </pic:pic>
              </a:graphicData>
            </a:graphic>
            <wp14:sizeRelH relativeFrom="margin">
              <wp14:pctWidth>0</wp14:pctWidth>
            </wp14:sizeRelH>
            <wp14:sizeRelV relativeFrom="margin">
              <wp14:pctHeight>0</wp14:pctHeight>
            </wp14:sizeRelV>
          </wp:anchor>
        </w:drawing>
      </w:r>
    </w:p>
    <w:p w14:paraId="5C2D33FD" w14:textId="3B513B78" w:rsidR="00523E23" w:rsidRPr="00A415AA" w:rsidRDefault="00523E23" w:rsidP="00C118DB">
      <w:pPr>
        <w:spacing w:line="276" w:lineRule="auto"/>
        <w:jc w:val="both"/>
        <w:rPr>
          <w:rFonts w:ascii="Arial" w:hAnsi="Arial" w:cs="Arial"/>
          <w:noProof/>
          <w:color w:val="000000" w:themeColor="text1"/>
          <w:sz w:val="22"/>
          <w:lang w:val="pt-BR"/>
        </w:rPr>
      </w:pPr>
    </w:p>
    <w:p w14:paraId="40FCB7BD" w14:textId="77777777" w:rsidR="00C25DCC" w:rsidRPr="00A415AA" w:rsidRDefault="00C25DCC" w:rsidP="00C118DB">
      <w:pPr>
        <w:spacing w:line="276" w:lineRule="auto"/>
        <w:jc w:val="both"/>
        <w:rPr>
          <w:rFonts w:ascii="Arial" w:hAnsi="Arial" w:cs="Arial"/>
          <w:noProof/>
          <w:color w:val="000000" w:themeColor="text1"/>
          <w:sz w:val="22"/>
          <w:lang w:val="pt-BR"/>
        </w:rPr>
      </w:pPr>
    </w:p>
    <w:p w14:paraId="5F5AE9EF" w14:textId="2E4D0233" w:rsidR="00B95C30" w:rsidRPr="00A415AA" w:rsidRDefault="00B95C30" w:rsidP="00B95C30">
      <w:pPr>
        <w:jc w:val="both"/>
        <w:rPr>
          <w:rFonts w:ascii="Arial" w:eastAsia="Calibri" w:hAnsi="Arial" w:cs="Arial"/>
          <w:color w:val="000000" w:themeColor="text1"/>
          <w:sz w:val="22"/>
          <w:lang w:val="es-ES_tradnl"/>
        </w:rPr>
      </w:pPr>
      <w:bookmarkStart w:id="3" w:name="_Hlk95237798"/>
      <w:r w:rsidRPr="00A415AA">
        <w:rPr>
          <w:rFonts w:ascii="Arial" w:eastAsia="Calibri" w:hAnsi="Arial" w:cs="Arial"/>
          <w:color w:val="000000" w:themeColor="text1"/>
          <w:sz w:val="22"/>
          <w:lang w:val="es-ES_tradnl"/>
        </w:rPr>
        <w:t>Señor</w:t>
      </w:r>
    </w:p>
    <w:p w14:paraId="09FFA147" w14:textId="43824269" w:rsidR="006B47F2" w:rsidRPr="00A415AA" w:rsidRDefault="006B47F2" w:rsidP="00B95C30">
      <w:pPr>
        <w:jc w:val="both"/>
        <w:rPr>
          <w:rFonts w:ascii="Arial" w:hAnsi="Arial" w:cs="Arial"/>
          <w:noProof/>
          <w:color w:val="000000" w:themeColor="text1"/>
          <w:sz w:val="22"/>
          <w:lang w:val="pt-BR"/>
        </w:rPr>
      </w:pPr>
      <w:r w:rsidRPr="00A415AA">
        <w:rPr>
          <w:rFonts w:ascii="Arial" w:eastAsia="Calibri" w:hAnsi="Arial" w:cs="Arial"/>
          <w:b/>
          <w:bCs/>
          <w:color w:val="000000" w:themeColor="text1"/>
          <w:sz w:val="22"/>
          <w:lang w:val="es-ES_tradnl"/>
        </w:rPr>
        <w:t>Guillermo Rodríguez Muñoz</w:t>
      </w:r>
    </w:p>
    <w:p w14:paraId="6F1EED12" w14:textId="4D1D97EB" w:rsidR="00F96D27" w:rsidRPr="006B47F2" w:rsidRDefault="00523E23" w:rsidP="00B95C30">
      <w:pPr>
        <w:jc w:val="both"/>
        <w:rPr>
          <w:rFonts w:ascii="Arial" w:hAnsi="Arial" w:cs="Arial"/>
          <w:noProof/>
          <w:color w:val="000000" w:themeColor="text1"/>
          <w:sz w:val="22"/>
          <w:lang w:val="pt-BR"/>
        </w:rPr>
      </w:pPr>
      <w:r w:rsidRPr="00A415AA">
        <w:rPr>
          <w:rFonts w:ascii="Arial" w:hAnsi="Arial" w:cs="Arial"/>
          <w:noProof/>
          <w:color w:val="000000" w:themeColor="text1"/>
          <w:sz w:val="22"/>
          <w:lang w:val="pt-BR"/>
        </w:rPr>
        <w:t>Bogotá, D.C</w:t>
      </w:r>
    </w:p>
    <w:p w14:paraId="035A0098" w14:textId="77777777" w:rsidR="00523E23" w:rsidRPr="006B47F2" w:rsidRDefault="00523E23" w:rsidP="00B95C30">
      <w:pPr>
        <w:jc w:val="both"/>
        <w:rPr>
          <w:rFonts w:ascii="Arial" w:eastAsia="Calibri" w:hAnsi="Arial" w:cs="Arial"/>
          <w:color w:val="000000" w:themeColor="text1"/>
          <w:sz w:val="22"/>
          <w:lang w:val="es-ES_tradnl"/>
        </w:rPr>
      </w:pPr>
    </w:p>
    <w:p w14:paraId="1BD594F9" w14:textId="79F69D9C" w:rsidR="00B95C30" w:rsidRPr="00F2520A" w:rsidRDefault="007F1C42" w:rsidP="003C0791">
      <w:pPr>
        <w:rPr>
          <w:rFonts w:ascii="Arial" w:eastAsia="Calibri" w:hAnsi="Arial" w:cs="Arial"/>
          <w:b/>
          <w:bCs/>
          <w:color w:val="000000" w:themeColor="text1"/>
          <w:sz w:val="22"/>
          <w:lang w:val="es-ES_tradnl"/>
        </w:rPr>
      </w:pPr>
      <w:r w:rsidRPr="006B47F2">
        <w:rPr>
          <w:rFonts w:ascii="Arial" w:eastAsia="Calibri" w:hAnsi="Arial" w:cs="Arial"/>
          <w:b/>
          <w:bCs/>
          <w:color w:val="000000" w:themeColor="text1"/>
          <w:sz w:val="22"/>
          <w:lang w:val="es-ES_tradnl"/>
        </w:rPr>
        <w:t xml:space="preserve">                                            </w:t>
      </w:r>
      <w:r w:rsidR="00023FA5" w:rsidRPr="00F2520A">
        <w:rPr>
          <w:rFonts w:ascii="Arial" w:eastAsia="Calibri" w:hAnsi="Arial" w:cs="Arial"/>
          <w:b/>
          <w:bCs/>
          <w:color w:val="000000" w:themeColor="text1"/>
          <w:sz w:val="22"/>
          <w:lang w:val="es-ES_tradnl"/>
        </w:rPr>
        <w:t xml:space="preserve">Concepto C ‒ </w:t>
      </w:r>
      <w:r w:rsidR="006B47F2" w:rsidRPr="00F2520A">
        <w:rPr>
          <w:rFonts w:ascii="Arial" w:eastAsia="Calibri" w:hAnsi="Arial" w:cs="Arial"/>
          <w:b/>
          <w:bCs/>
          <w:color w:val="000000" w:themeColor="text1"/>
          <w:sz w:val="22"/>
          <w:lang w:val="es-ES_tradnl"/>
        </w:rPr>
        <w:t xml:space="preserve">670 </w:t>
      </w:r>
      <w:r w:rsidR="00275FBF" w:rsidRPr="00F2520A">
        <w:rPr>
          <w:rFonts w:ascii="Arial" w:eastAsia="Calibri" w:hAnsi="Arial" w:cs="Arial"/>
          <w:b/>
          <w:bCs/>
          <w:color w:val="000000" w:themeColor="text1"/>
          <w:sz w:val="22"/>
          <w:lang w:val="es-ES_tradnl"/>
        </w:rPr>
        <w:t>de 202</w:t>
      </w:r>
      <w:r w:rsidR="0092085F" w:rsidRPr="00F2520A">
        <w:rPr>
          <w:rFonts w:ascii="Arial" w:eastAsia="Calibri" w:hAnsi="Arial" w:cs="Arial"/>
          <w:b/>
          <w:bCs/>
          <w:color w:val="000000" w:themeColor="text1"/>
          <w:sz w:val="22"/>
          <w:lang w:val="es-ES_tradnl"/>
        </w:rPr>
        <w:t>2</w:t>
      </w:r>
    </w:p>
    <w:p w14:paraId="1E43C8B9" w14:textId="77777777" w:rsidR="009A52E4" w:rsidRPr="00F2520A" w:rsidRDefault="009A52E4" w:rsidP="003C0791">
      <w:pPr>
        <w:rPr>
          <w:rFonts w:ascii="Arial" w:eastAsia="Calibri" w:hAnsi="Arial" w:cs="Arial"/>
          <w:b/>
          <w:bCs/>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95C30" w:rsidRPr="00F2520A" w14:paraId="19DFC051" w14:textId="77777777" w:rsidTr="00A415AA">
        <w:tc>
          <w:tcPr>
            <w:tcW w:w="2689" w:type="dxa"/>
          </w:tcPr>
          <w:p w14:paraId="6BC0D1AC" w14:textId="77777777" w:rsidR="00B95C30" w:rsidRPr="00F2520A" w:rsidRDefault="00B95C30" w:rsidP="00D15356">
            <w:pPr>
              <w:jc w:val="both"/>
              <w:rPr>
                <w:rFonts w:ascii="Arial" w:eastAsia="Calibri" w:hAnsi="Arial" w:cs="Arial"/>
                <w:color w:val="000000" w:themeColor="text1"/>
                <w:sz w:val="22"/>
                <w:szCs w:val="22"/>
                <w:lang w:val="es-ES_tradnl"/>
              </w:rPr>
            </w:pPr>
            <w:r w:rsidRPr="00F2520A">
              <w:rPr>
                <w:rFonts w:ascii="Arial" w:eastAsia="Calibri" w:hAnsi="Arial" w:cs="Arial"/>
                <w:b/>
                <w:color w:val="000000" w:themeColor="text1"/>
                <w:sz w:val="22"/>
                <w:szCs w:val="22"/>
                <w:lang w:val="es-ES_tradnl"/>
              </w:rPr>
              <w:t>Temas:</w:t>
            </w:r>
            <w:r w:rsidRPr="00F2520A">
              <w:rPr>
                <w:rFonts w:ascii="Arial" w:eastAsia="Calibri" w:hAnsi="Arial" w:cs="Arial"/>
                <w:color w:val="000000" w:themeColor="text1"/>
                <w:sz w:val="22"/>
                <w:szCs w:val="22"/>
                <w:lang w:val="es-ES_tradnl"/>
              </w:rPr>
              <w:t xml:space="preserve">                                      </w:t>
            </w:r>
          </w:p>
        </w:tc>
        <w:tc>
          <w:tcPr>
            <w:tcW w:w="6237" w:type="dxa"/>
          </w:tcPr>
          <w:p w14:paraId="7A5D02C3" w14:textId="396C71E0" w:rsidR="00523E23" w:rsidRPr="00F2520A" w:rsidRDefault="00A415AA" w:rsidP="00316FC7">
            <w:pPr>
              <w:spacing w:line="276" w:lineRule="auto"/>
              <w:jc w:val="both"/>
              <w:rPr>
                <w:rFonts w:ascii="Arial" w:eastAsiaTheme="minorHAnsi" w:hAnsi="Arial" w:cs="Arial"/>
                <w:bCs/>
                <w:color w:val="000000" w:themeColor="text1"/>
                <w:sz w:val="20"/>
                <w:szCs w:val="20"/>
                <w:lang w:val="es-MX" w:eastAsia="en-US"/>
              </w:rPr>
            </w:pPr>
            <w:r w:rsidRPr="00F2520A">
              <w:rPr>
                <w:rFonts w:ascii="Arial" w:eastAsia="Calibri" w:hAnsi="Arial" w:cs="Arial"/>
                <w:bCs/>
                <w:color w:val="000000" w:themeColor="text1"/>
                <w:sz w:val="22"/>
                <w:szCs w:val="22"/>
                <w:lang w:val="es-MX" w:eastAsia="en-US"/>
              </w:rPr>
              <w:t xml:space="preserve">CAPACIDAD RESIDUAL </w:t>
            </w:r>
            <w:r w:rsidR="00523E23" w:rsidRPr="00F2520A">
              <w:rPr>
                <w:rFonts w:ascii="Arial" w:eastAsia="Calibri" w:hAnsi="Arial" w:cs="Arial"/>
                <w:bCs/>
                <w:color w:val="000000" w:themeColor="text1"/>
                <w:sz w:val="22"/>
                <w:szCs w:val="22"/>
                <w:lang w:val="es-MX" w:eastAsia="en-US"/>
              </w:rPr>
              <w:t>–</w:t>
            </w:r>
            <w:r w:rsidRPr="00F2520A">
              <w:t xml:space="preserve"> </w:t>
            </w:r>
            <w:r w:rsidRPr="00F2520A">
              <w:rPr>
                <w:rFonts w:ascii="Arial" w:eastAsia="Calibri" w:hAnsi="Arial" w:cs="Arial"/>
                <w:bCs/>
                <w:color w:val="000000" w:themeColor="text1"/>
                <w:sz w:val="22"/>
                <w:szCs w:val="22"/>
                <w:lang w:val="es-MX" w:eastAsia="en-US"/>
              </w:rPr>
              <w:t xml:space="preserve">capacidad para para asumir nuevas obligaciones </w:t>
            </w:r>
            <w:r w:rsidR="000E3C5A" w:rsidRPr="00F2520A">
              <w:rPr>
                <w:rFonts w:ascii="Arial" w:eastAsia="Calibri" w:hAnsi="Arial" w:cs="Arial"/>
                <w:bCs/>
                <w:color w:val="000000" w:themeColor="text1"/>
                <w:sz w:val="22"/>
                <w:szCs w:val="22"/>
                <w:lang w:val="es-MX" w:eastAsia="en-US"/>
              </w:rPr>
              <w:t xml:space="preserve">/ </w:t>
            </w:r>
            <w:r w:rsidR="00F2520A" w:rsidRPr="00F2520A">
              <w:rPr>
                <w:rFonts w:ascii="Arial" w:eastAsiaTheme="minorHAnsi" w:hAnsi="Arial" w:cs="Arial"/>
                <w:bCs/>
                <w:color w:val="000000" w:themeColor="text1"/>
                <w:sz w:val="20"/>
                <w:szCs w:val="20"/>
                <w:lang w:val="es-MX" w:eastAsia="en-US"/>
              </w:rPr>
              <w:t>CAPACIDAD RESIDUAL – Procesos de selección por lotes cálculo de la capacidad residual</w:t>
            </w:r>
          </w:p>
          <w:p w14:paraId="5F389CAF" w14:textId="02E519A8" w:rsidR="00284007" w:rsidRPr="00F2520A" w:rsidRDefault="00284007" w:rsidP="00316FC7">
            <w:pPr>
              <w:tabs>
                <w:tab w:val="left" w:pos="6551"/>
              </w:tabs>
              <w:spacing w:line="276" w:lineRule="auto"/>
              <w:jc w:val="both"/>
              <w:rPr>
                <w:rFonts w:ascii="Arial" w:eastAsia="Calibri" w:hAnsi="Arial" w:cs="Arial"/>
                <w:b/>
                <w:color w:val="000000" w:themeColor="text1"/>
                <w:sz w:val="22"/>
                <w:szCs w:val="22"/>
                <w:lang w:val="es-ES_tradnl"/>
              </w:rPr>
            </w:pPr>
          </w:p>
        </w:tc>
      </w:tr>
      <w:tr w:rsidR="00B95C30" w:rsidRPr="006B47F2" w14:paraId="27CD52AB" w14:textId="77777777" w:rsidTr="00A415AA">
        <w:tc>
          <w:tcPr>
            <w:tcW w:w="2689" w:type="dxa"/>
          </w:tcPr>
          <w:p w14:paraId="37E195A1" w14:textId="65D3E02B" w:rsidR="00B95C30" w:rsidRPr="006B47F2" w:rsidRDefault="00B95C30" w:rsidP="00D15356">
            <w:pPr>
              <w:spacing w:before="120"/>
              <w:jc w:val="both"/>
              <w:rPr>
                <w:rFonts w:ascii="Arial" w:eastAsia="Calibri" w:hAnsi="Arial" w:cs="Arial"/>
                <w:b/>
                <w:color w:val="000000" w:themeColor="text1"/>
                <w:sz w:val="22"/>
                <w:szCs w:val="22"/>
                <w:lang w:val="es-ES_tradnl"/>
              </w:rPr>
            </w:pPr>
            <w:r w:rsidRPr="006B47F2">
              <w:rPr>
                <w:rFonts w:ascii="Arial" w:eastAsia="Calibri" w:hAnsi="Arial" w:cs="Arial"/>
                <w:b/>
                <w:color w:val="000000" w:themeColor="text1"/>
                <w:sz w:val="22"/>
                <w:szCs w:val="22"/>
                <w:lang w:val="es-ES_tradnl"/>
              </w:rPr>
              <w:t>Radicación:</w:t>
            </w:r>
            <w:r w:rsidRPr="006B47F2">
              <w:rPr>
                <w:rFonts w:ascii="Arial" w:eastAsia="Calibri" w:hAnsi="Arial" w:cs="Arial"/>
                <w:color w:val="000000" w:themeColor="text1"/>
                <w:sz w:val="22"/>
                <w:szCs w:val="22"/>
                <w:lang w:val="es-ES_tradnl"/>
              </w:rPr>
              <w:t xml:space="preserve">                              </w:t>
            </w:r>
          </w:p>
        </w:tc>
        <w:tc>
          <w:tcPr>
            <w:tcW w:w="6237" w:type="dxa"/>
          </w:tcPr>
          <w:p w14:paraId="09088B1B" w14:textId="0509648F" w:rsidR="00B95C30" w:rsidRPr="006B47F2" w:rsidRDefault="00B95C30" w:rsidP="000052C4">
            <w:pPr>
              <w:spacing w:line="276" w:lineRule="auto"/>
              <w:rPr>
                <w:rFonts w:ascii="Arial" w:eastAsia="Calibri" w:hAnsi="Arial" w:cs="Arial"/>
                <w:color w:val="000000" w:themeColor="text1"/>
                <w:sz w:val="22"/>
                <w:szCs w:val="22"/>
                <w:lang w:val="es-ES_tradnl"/>
              </w:rPr>
            </w:pPr>
            <w:r w:rsidRPr="006B47F2">
              <w:rPr>
                <w:rFonts w:ascii="Arial" w:eastAsia="Calibri" w:hAnsi="Arial" w:cs="Arial"/>
                <w:color w:val="000000" w:themeColor="text1"/>
                <w:sz w:val="22"/>
                <w:szCs w:val="22"/>
                <w:lang w:val="es-ES_tradnl"/>
              </w:rPr>
              <w:t>Respuesta a consulta</w:t>
            </w:r>
            <w:r w:rsidR="00F21D6D" w:rsidRPr="006B47F2">
              <w:rPr>
                <w:rFonts w:ascii="Arial" w:eastAsia="Calibri" w:hAnsi="Arial" w:cs="Arial"/>
                <w:color w:val="000000" w:themeColor="text1"/>
                <w:sz w:val="22"/>
                <w:szCs w:val="22"/>
                <w:lang w:val="es-ES_tradnl"/>
              </w:rPr>
              <w:t xml:space="preserve"> </w:t>
            </w:r>
            <w:r w:rsidR="006B47F2" w:rsidRPr="006B47F2">
              <w:rPr>
                <w:rFonts w:ascii="Arial" w:hAnsi="Arial" w:cs="Arial"/>
                <w:sz w:val="22"/>
                <w:szCs w:val="22"/>
              </w:rPr>
              <w:t>P20220906008914</w:t>
            </w:r>
          </w:p>
        </w:tc>
      </w:tr>
    </w:tbl>
    <w:p w14:paraId="7F7926D6" w14:textId="77777777" w:rsidR="009A52E4" w:rsidRPr="006B47F2" w:rsidRDefault="009A52E4" w:rsidP="003C3339">
      <w:pPr>
        <w:jc w:val="both"/>
        <w:rPr>
          <w:rFonts w:ascii="Arial" w:eastAsia="Calibri" w:hAnsi="Arial" w:cs="Arial"/>
          <w:color w:val="000000" w:themeColor="text1"/>
          <w:sz w:val="22"/>
          <w:lang w:val="es-ES_tradnl"/>
        </w:rPr>
      </w:pPr>
    </w:p>
    <w:p w14:paraId="1CF4AEA0" w14:textId="7E88CBB0" w:rsidR="003C3339" w:rsidRPr="006B47F2" w:rsidRDefault="003C3339" w:rsidP="003C3339">
      <w:pPr>
        <w:jc w:val="both"/>
        <w:rPr>
          <w:rFonts w:ascii="Arial" w:eastAsia="Calibri" w:hAnsi="Arial" w:cs="Arial"/>
          <w:color w:val="000000" w:themeColor="text1"/>
          <w:sz w:val="22"/>
          <w:lang w:val="es-ES_tradnl"/>
        </w:rPr>
      </w:pPr>
      <w:r w:rsidRPr="006B47F2">
        <w:rPr>
          <w:rFonts w:ascii="Arial" w:eastAsia="Calibri" w:hAnsi="Arial" w:cs="Arial"/>
          <w:color w:val="000000" w:themeColor="text1"/>
          <w:sz w:val="22"/>
          <w:lang w:val="es-ES_tradnl"/>
        </w:rPr>
        <w:t>Estimad</w:t>
      </w:r>
      <w:r w:rsidR="00207C1E" w:rsidRPr="006B47F2">
        <w:rPr>
          <w:rFonts w:ascii="Arial" w:eastAsia="Calibri" w:hAnsi="Arial" w:cs="Arial"/>
          <w:color w:val="000000" w:themeColor="text1"/>
          <w:sz w:val="22"/>
          <w:lang w:val="es-ES_tradnl"/>
        </w:rPr>
        <w:t>o</w:t>
      </w:r>
      <w:r w:rsidR="00523E23" w:rsidRPr="006B47F2">
        <w:rPr>
          <w:rFonts w:ascii="Arial" w:eastAsia="Calibri" w:hAnsi="Arial" w:cs="Arial"/>
          <w:color w:val="000000" w:themeColor="text1"/>
          <w:sz w:val="22"/>
          <w:lang w:val="es-ES_tradnl"/>
        </w:rPr>
        <w:t>s Señor</w:t>
      </w:r>
      <w:r w:rsidR="000052C4" w:rsidRPr="006B47F2">
        <w:rPr>
          <w:rFonts w:ascii="Arial" w:eastAsia="Calibri" w:hAnsi="Arial" w:cs="Arial"/>
          <w:color w:val="000000" w:themeColor="text1"/>
          <w:sz w:val="22"/>
          <w:lang w:val="es-ES_tradnl"/>
        </w:rPr>
        <w:t xml:space="preserve"> </w:t>
      </w:r>
      <w:r w:rsidR="00523E23" w:rsidRPr="006B47F2">
        <w:rPr>
          <w:rFonts w:ascii="Arial" w:eastAsia="Calibri" w:hAnsi="Arial" w:cs="Arial"/>
          <w:color w:val="000000" w:themeColor="text1"/>
          <w:sz w:val="22"/>
          <w:lang w:val="es-ES_tradnl"/>
        </w:rPr>
        <w:t>Guillermo:</w:t>
      </w:r>
    </w:p>
    <w:p w14:paraId="1EAE5543" w14:textId="37990AD8" w:rsidR="00DD5B04" w:rsidRPr="006B47F2" w:rsidRDefault="00DD5B04" w:rsidP="00DF76A2">
      <w:pPr>
        <w:jc w:val="both"/>
        <w:rPr>
          <w:rFonts w:ascii="Arial" w:eastAsia="Calibri" w:hAnsi="Arial" w:cs="Arial"/>
          <w:color w:val="000000" w:themeColor="text1"/>
          <w:sz w:val="22"/>
          <w:lang w:val="es-ES_tradnl"/>
        </w:rPr>
      </w:pPr>
    </w:p>
    <w:p w14:paraId="2109B2D3" w14:textId="0AF95EDB" w:rsidR="00DD5B04" w:rsidRPr="006B47F2" w:rsidRDefault="00DD5B04" w:rsidP="006B47F2">
      <w:pPr>
        <w:spacing w:line="276" w:lineRule="auto"/>
        <w:jc w:val="both"/>
        <w:rPr>
          <w:rFonts w:ascii="Arial" w:eastAsia="Calibri" w:hAnsi="Arial" w:cs="Arial"/>
          <w:color w:val="000000" w:themeColor="text1"/>
          <w:sz w:val="22"/>
          <w:lang w:val="es-ES_tradnl"/>
        </w:rPr>
      </w:pPr>
      <w:r w:rsidRPr="006B47F2">
        <w:rPr>
          <w:rFonts w:ascii="Arial" w:eastAsia="Calibri" w:hAnsi="Arial" w:cs="Arial"/>
          <w:color w:val="000000" w:themeColor="text1"/>
          <w:sz w:val="22"/>
          <w:lang w:val="es-ES_tradnl"/>
        </w:rPr>
        <w:t>En ejercicio de la competencia otorgada por el numeral 8 del artículo 11 y el numeral 5 del artículo 3 del Decreto Ley 4170 de 2011, la Agencia Nacional de Contratación Pública ― Colombia Compra Eficiente</w:t>
      </w:r>
      <w:r w:rsidR="00CE69CC" w:rsidRPr="006B47F2">
        <w:rPr>
          <w:rFonts w:ascii="Arial" w:eastAsia="Calibri" w:hAnsi="Arial" w:cs="Arial"/>
          <w:color w:val="000000" w:themeColor="text1"/>
          <w:sz w:val="22"/>
          <w:lang w:val="es-ES_tradnl"/>
        </w:rPr>
        <w:t>,</w:t>
      </w:r>
      <w:r w:rsidRPr="006B47F2">
        <w:rPr>
          <w:rFonts w:ascii="Arial" w:eastAsia="Calibri" w:hAnsi="Arial" w:cs="Arial"/>
          <w:color w:val="000000" w:themeColor="text1"/>
          <w:sz w:val="22"/>
          <w:lang w:val="es-ES_tradnl"/>
        </w:rPr>
        <w:t xml:space="preserve"> responde su consulta</w:t>
      </w:r>
      <w:r w:rsidR="00E8414B" w:rsidRPr="006B47F2">
        <w:rPr>
          <w:rFonts w:ascii="Arial" w:eastAsia="Calibri" w:hAnsi="Arial" w:cs="Arial"/>
          <w:color w:val="000000" w:themeColor="text1"/>
          <w:sz w:val="22"/>
          <w:lang w:val="es-ES_tradnl"/>
        </w:rPr>
        <w:t xml:space="preserve"> </w:t>
      </w:r>
      <w:r w:rsidRPr="006B47F2">
        <w:rPr>
          <w:rFonts w:ascii="Arial" w:eastAsia="Calibri" w:hAnsi="Arial" w:cs="Arial"/>
          <w:color w:val="000000" w:themeColor="text1"/>
          <w:sz w:val="22"/>
          <w:lang w:val="es-ES_tradnl"/>
        </w:rPr>
        <w:t>del</w:t>
      </w:r>
      <w:r w:rsidR="00846DBE" w:rsidRPr="006B47F2">
        <w:rPr>
          <w:rFonts w:ascii="Arial" w:eastAsia="Calibri" w:hAnsi="Arial" w:cs="Arial"/>
          <w:color w:val="000000" w:themeColor="text1"/>
          <w:sz w:val="22"/>
          <w:lang w:val="es-ES_tradnl"/>
        </w:rPr>
        <w:t xml:space="preserve"> </w:t>
      </w:r>
      <w:r w:rsidR="006B47F2" w:rsidRPr="006B47F2">
        <w:rPr>
          <w:rFonts w:ascii="Arial" w:eastAsia="Calibri" w:hAnsi="Arial" w:cs="Arial"/>
          <w:color w:val="000000" w:themeColor="text1"/>
          <w:sz w:val="22"/>
          <w:lang w:val="es-ES_tradnl"/>
        </w:rPr>
        <w:t>06</w:t>
      </w:r>
      <w:r w:rsidR="000052C4" w:rsidRPr="006B47F2">
        <w:rPr>
          <w:rFonts w:ascii="Arial" w:eastAsia="Calibri" w:hAnsi="Arial" w:cs="Arial"/>
          <w:color w:val="000000" w:themeColor="text1"/>
          <w:sz w:val="22"/>
          <w:lang w:val="es-ES_tradnl"/>
        </w:rPr>
        <w:t xml:space="preserve"> </w:t>
      </w:r>
      <w:r w:rsidR="00C52FB1" w:rsidRPr="006B47F2">
        <w:rPr>
          <w:rFonts w:ascii="Arial" w:eastAsia="Calibri" w:hAnsi="Arial" w:cs="Arial"/>
          <w:color w:val="000000" w:themeColor="text1"/>
          <w:sz w:val="22"/>
          <w:lang w:val="es-ES_tradnl"/>
        </w:rPr>
        <w:t xml:space="preserve">de </w:t>
      </w:r>
      <w:r w:rsidR="0077368F" w:rsidRPr="006B47F2">
        <w:rPr>
          <w:rFonts w:ascii="Arial" w:eastAsia="Calibri" w:hAnsi="Arial" w:cs="Arial"/>
          <w:color w:val="000000" w:themeColor="text1"/>
          <w:sz w:val="22"/>
          <w:lang w:val="es-ES_tradnl"/>
        </w:rPr>
        <w:t>septiembre</w:t>
      </w:r>
      <w:r w:rsidR="006B47F2" w:rsidRPr="006B47F2">
        <w:rPr>
          <w:rFonts w:ascii="Arial" w:eastAsia="Calibri" w:hAnsi="Arial" w:cs="Arial"/>
          <w:color w:val="000000" w:themeColor="text1"/>
          <w:sz w:val="22"/>
          <w:lang w:val="es-ES_tradnl"/>
        </w:rPr>
        <w:t xml:space="preserve"> </w:t>
      </w:r>
      <w:r w:rsidR="00207C1E" w:rsidRPr="006B47F2">
        <w:rPr>
          <w:rFonts w:ascii="Arial" w:eastAsia="Calibri" w:hAnsi="Arial" w:cs="Arial"/>
          <w:color w:val="000000" w:themeColor="text1"/>
          <w:sz w:val="22"/>
          <w:lang w:val="es-ES_tradnl"/>
        </w:rPr>
        <w:t>de 2022</w:t>
      </w:r>
      <w:r w:rsidR="00F21D6D" w:rsidRPr="006B47F2">
        <w:rPr>
          <w:rFonts w:ascii="Arial" w:eastAsia="Calibri" w:hAnsi="Arial" w:cs="Arial"/>
          <w:color w:val="000000" w:themeColor="text1"/>
          <w:sz w:val="22"/>
          <w:lang w:val="es-ES_tradnl"/>
        </w:rPr>
        <w:t>.</w:t>
      </w:r>
    </w:p>
    <w:p w14:paraId="0C1E0712" w14:textId="77777777" w:rsidR="00DD5B04" w:rsidRPr="006B47F2" w:rsidRDefault="00DD5B04" w:rsidP="00DF76A2">
      <w:pPr>
        <w:spacing w:line="276" w:lineRule="auto"/>
        <w:jc w:val="both"/>
        <w:rPr>
          <w:rFonts w:ascii="Arial" w:eastAsia="Calibri" w:hAnsi="Arial" w:cs="Arial"/>
          <w:b/>
          <w:color w:val="000000" w:themeColor="text1"/>
          <w:sz w:val="22"/>
          <w:lang w:val="es-ES_tradnl"/>
        </w:rPr>
      </w:pPr>
    </w:p>
    <w:p w14:paraId="7701FCC7" w14:textId="77777777" w:rsidR="00DD5B04" w:rsidRPr="006B47F2"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6B47F2">
        <w:rPr>
          <w:rFonts w:ascii="Arial" w:eastAsia="Calibri" w:hAnsi="Arial" w:cs="Arial"/>
          <w:b/>
          <w:color w:val="000000" w:themeColor="text1"/>
          <w:sz w:val="22"/>
          <w:lang w:val="es-ES_tradnl"/>
        </w:rPr>
        <w:t xml:space="preserve">Problema planteado </w:t>
      </w:r>
    </w:p>
    <w:p w14:paraId="3D22AAE5" w14:textId="77777777" w:rsidR="00384466" w:rsidRPr="006B47F2" w:rsidRDefault="00384466" w:rsidP="00384466">
      <w:pPr>
        <w:pStyle w:val="NormalWeb"/>
        <w:spacing w:before="0" w:beforeAutospacing="0" w:after="0" w:afterAutospacing="0" w:line="276" w:lineRule="auto"/>
        <w:jc w:val="both"/>
        <w:rPr>
          <w:rFonts w:ascii="Arial" w:hAnsi="Arial" w:cs="Arial"/>
          <w:color w:val="000000" w:themeColor="text1"/>
          <w:sz w:val="22"/>
          <w:lang w:val="es-ES_tradnl"/>
        </w:rPr>
      </w:pPr>
    </w:p>
    <w:p w14:paraId="6988BFF7" w14:textId="1D3E514D" w:rsidR="005C69F7" w:rsidRPr="006B47F2" w:rsidRDefault="005C69F7" w:rsidP="00384466">
      <w:pPr>
        <w:pStyle w:val="NormalWeb"/>
        <w:spacing w:before="0" w:beforeAutospacing="0" w:after="0" w:afterAutospacing="0" w:line="276" w:lineRule="auto"/>
        <w:jc w:val="both"/>
        <w:rPr>
          <w:rFonts w:ascii="Arial" w:hAnsi="Arial" w:cs="Arial"/>
          <w:color w:val="000000" w:themeColor="text1"/>
          <w:sz w:val="22"/>
          <w:lang w:val="es-ES_tradnl"/>
        </w:rPr>
      </w:pPr>
      <w:r w:rsidRPr="006B47F2">
        <w:rPr>
          <w:rFonts w:ascii="Arial" w:hAnsi="Arial" w:cs="Arial"/>
          <w:color w:val="000000" w:themeColor="text1"/>
          <w:sz w:val="22"/>
          <w:lang w:val="es-ES_tradnl"/>
        </w:rPr>
        <w:t xml:space="preserve">En relación </w:t>
      </w:r>
      <w:r w:rsidR="006B47F2" w:rsidRPr="006B47F2">
        <w:rPr>
          <w:rFonts w:ascii="Arial" w:hAnsi="Arial" w:cs="Arial"/>
          <w:color w:val="000000" w:themeColor="text1"/>
          <w:sz w:val="22"/>
          <w:lang w:val="es-ES_tradnl"/>
        </w:rPr>
        <w:t>con el cálculo de la capacidad residual,</w:t>
      </w:r>
      <w:r w:rsidR="00486C85" w:rsidRPr="006B47F2">
        <w:rPr>
          <w:rFonts w:ascii="Arial" w:hAnsi="Arial" w:cs="Arial"/>
          <w:color w:val="000000" w:themeColor="text1"/>
          <w:sz w:val="22"/>
          <w:lang w:val="es-ES_tradnl"/>
        </w:rPr>
        <w:t xml:space="preserve"> específicamente en lo que tiene que ver con </w:t>
      </w:r>
      <w:r w:rsidR="006B47F2" w:rsidRPr="006B47F2">
        <w:rPr>
          <w:rFonts w:ascii="Arial" w:hAnsi="Arial" w:cs="Arial"/>
          <w:color w:val="000000" w:themeColor="text1"/>
          <w:sz w:val="22"/>
          <w:lang w:val="es-ES_tradnl"/>
        </w:rPr>
        <w:t>los procesos de selección que se adelantan por lotes</w:t>
      </w:r>
      <w:r w:rsidR="00486C85" w:rsidRPr="006B47F2">
        <w:rPr>
          <w:rFonts w:ascii="Arial" w:hAnsi="Arial" w:cs="Arial"/>
          <w:color w:val="000000" w:themeColor="text1"/>
          <w:sz w:val="22"/>
          <w:lang w:val="es-ES_tradnl"/>
        </w:rPr>
        <w:t>,</w:t>
      </w:r>
      <w:r w:rsidRPr="006B47F2">
        <w:rPr>
          <w:rFonts w:ascii="Arial" w:hAnsi="Arial" w:cs="Arial"/>
          <w:color w:val="000000" w:themeColor="text1"/>
          <w:sz w:val="22"/>
          <w:lang w:val="es-ES_tradnl"/>
        </w:rPr>
        <w:t xml:space="preserve"> usted </w:t>
      </w:r>
      <w:r w:rsidR="000841A2" w:rsidRPr="006B47F2">
        <w:rPr>
          <w:rFonts w:ascii="Arial" w:hAnsi="Arial" w:cs="Arial"/>
          <w:color w:val="000000" w:themeColor="text1"/>
          <w:sz w:val="22"/>
          <w:lang w:val="es-ES_tradnl"/>
        </w:rPr>
        <w:t>realiza</w:t>
      </w:r>
      <w:r w:rsidR="00827203" w:rsidRPr="006B47F2">
        <w:rPr>
          <w:rFonts w:ascii="Arial" w:hAnsi="Arial" w:cs="Arial"/>
          <w:color w:val="000000" w:themeColor="text1"/>
          <w:sz w:val="22"/>
          <w:lang w:val="es-ES_tradnl"/>
        </w:rPr>
        <w:t xml:space="preserve"> </w:t>
      </w:r>
      <w:r w:rsidR="00026092" w:rsidRPr="006B47F2">
        <w:rPr>
          <w:rFonts w:ascii="Arial" w:hAnsi="Arial" w:cs="Arial"/>
          <w:color w:val="000000" w:themeColor="text1"/>
          <w:sz w:val="22"/>
          <w:lang w:val="es-ES_tradnl"/>
        </w:rPr>
        <w:t>la siguiente</w:t>
      </w:r>
      <w:r w:rsidR="00AC4D8F" w:rsidRPr="006B47F2">
        <w:rPr>
          <w:rFonts w:ascii="Arial" w:hAnsi="Arial" w:cs="Arial"/>
          <w:color w:val="000000" w:themeColor="text1"/>
          <w:sz w:val="22"/>
          <w:lang w:val="es-ES_tradnl"/>
        </w:rPr>
        <w:t xml:space="preserve"> consulta</w:t>
      </w:r>
      <w:r w:rsidR="007577DA" w:rsidRPr="006B47F2">
        <w:rPr>
          <w:rFonts w:ascii="Arial" w:hAnsi="Arial" w:cs="Arial"/>
          <w:color w:val="000000" w:themeColor="text1"/>
          <w:sz w:val="22"/>
          <w:lang w:val="es-ES_tradnl"/>
        </w:rPr>
        <w:t xml:space="preserve">: </w:t>
      </w:r>
      <w:bookmarkStart w:id="4" w:name="_Hlk103091320"/>
    </w:p>
    <w:p w14:paraId="23FE62E9" w14:textId="77777777" w:rsidR="005C69F7" w:rsidRPr="006B47F2" w:rsidRDefault="005C69F7" w:rsidP="00384466">
      <w:pPr>
        <w:pStyle w:val="NormalWeb"/>
        <w:spacing w:before="0" w:beforeAutospacing="0" w:after="0" w:afterAutospacing="0" w:line="276" w:lineRule="auto"/>
        <w:jc w:val="both"/>
        <w:rPr>
          <w:rFonts w:ascii="Arial" w:hAnsi="Arial" w:cs="Arial"/>
          <w:color w:val="000000" w:themeColor="text1"/>
          <w:sz w:val="22"/>
          <w:highlight w:val="yellow"/>
          <w:lang w:val="es-ES_tradnl"/>
        </w:rPr>
      </w:pPr>
    </w:p>
    <w:bookmarkEnd w:id="4"/>
    <w:p w14:paraId="25E0F5BD" w14:textId="69B1C088" w:rsidR="006B47F2" w:rsidRDefault="00F0351E" w:rsidP="00B261F8">
      <w:pPr>
        <w:ind w:left="708" w:right="900"/>
        <w:jc w:val="both"/>
        <w:rPr>
          <w:rFonts w:ascii="Arial" w:eastAsia="Calibri" w:hAnsi="Arial" w:cs="Arial"/>
          <w:sz w:val="21"/>
          <w:szCs w:val="21"/>
          <w:lang w:eastAsia="en-US"/>
        </w:rPr>
      </w:pPr>
      <w:r w:rsidRPr="006B47F2">
        <w:rPr>
          <w:rFonts w:ascii="Arial" w:eastAsia="Calibri" w:hAnsi="Arial" w:cs="Arial"/>
          <w:sz w:val="21"/>
          <w:szCs w:val="21"/>
          <w:lang w:eastAsia="en-US"/>
        </w:rPr>
        <w:t>«</w:t>
      </w:r>
      <w:r w:rsidR="006B47F2" w:rsidRPr="006B47F2">
        <w:rPr>
          <w:rFonts w:ascii="Arial" w:eastAsia="Calibri" w:hAnsi="Arial" w:cs="Arial"/>
          <w:sz w:val="21"/>
          <w:szCs w:val="21"/>
          <w:lang w:eastAsia="en-US"/>
        </w:rPr>
        <w:t xml:space="preserve">En un proceso de selección, bajo la Modalidad de Licitación Pública, respecto al Cálculo de CAPACIDAD RESIDUAL, tengo la siguiente duda/pregunta: </w:t>
      </w:r>
    </w:p>
    <w:p w14:paraId="648B5E7B" w14:textId="77777777" w:rsidR="00B261F8" w:rsidRPr="006B47F2" w:rsidRDefault="00B261F8" w:rsidP="0077368F">
      <w:pPr>
        <w:ind w:left="708" w:right="900"/>
        <w:jc w:val="both"/>
        <w:rPr>
          <w:rFonts w:ascii="Arial" w:eastAsia="Calibri" w:hAnsi="Arial" w:cs="Arial"/>
          <w:sz w:val="21"/>
          <w:szCs w:val="21"/>
          <w:lang w:eastAsia="en-US"/>
        </w:rPr>
      </w:pPr>
    </w:p>
    <w:p w14:paraId="42401E97" w14:textId="77777777" w:rsidR="006B47F2" w:rsidRPr="006B47F2" w:rsidRDefault="006B47F2" w:rsidP="0077368F">
      <w:pPr>
        <w:ind w:left="708" w:right="900"/>
        <w:jc w:val="both"/>
        <w:rPr>
          <w:rFonts w:ascii="Arial" w:eastAsia="Calibri" w:hAnsi="Arial" w:cs="Arial"/>
          <w:sz w:val="21"/>
          <w:szCs w:val="21"/>
          <w:lang w:eastAsia="en-US"/>
        </w:rPr>
      </w:pPr>
      <w:r w:rsidRPr="006B47F2">
        <w:rPr>
          <w:rFonts w:ascii="Arial" w:eastAsia="Calibri" w:hAnsi="Arial" w:cs="Arial"/>
          <w:sz w:val="21"/>
          <w:szCs w:val="21"/>
          <w:lang w:eastAsia="en-US"/>
        </w:rPr>
        <w:t xml:space="preserve">El cálculo / puntaje por el FACTOR EXPERIENCIA (E) se determina por medio de la relación entre: i) el valor total en Pesos de los contratos relacionados con la actividad de la construcción inscritos por el Proponente en el RUP, en el segmento 72 “Servicios de Edificación, Construcción de Instalaciones y Mantenimiento” del Clasificador de Bienes y Servicios; y ii) el Presupuesto Oficial del Proceso de Contratación. </w:t>
      </w:r>
    </w:p>
    <w:p w14:paraId="768356D0" w14:textId="77777777" w:rsidR="00B261F8" w:rsidRDefault="00B261F8" w:rsidP="00B261F8">
      <w:pPr>
        <w:ind w:left="708" w:right="900"/>
        <w:jc w:val="both"/>
        <w:rPr>
          <w:rFonts w:ascii="Arial" w:eastAsia="Calibri" w:hAnsi="Arial" w:cs="Arial"/>
          <w:sz w:val="21"/>
          <w:szCs w:val="21"/>
          <w:lang w:eastAsia="en-US"/>
        </w:rPr>
      </w:pPr>
    </w:p>
    <w:p w14:paraId="20E7D16A" w14:textId="63340895" w:rsidR="00F0351E" w:rsidRPr="006B47F2" w:rsidRDefault="006B47F2" w:rsidP="00B261F8">
      <w:pPr>
        <w:ind w:left="708" w:right="900"/>
        <w:jc w:val="both"/>
        <w:rPr>
          <w:rFonts w:ascii="Arial" w:hAnsi="Arial" w:cs="Arial"/>
          <w:sz w:val="22"/>
          <w:szCs w:val="22"/>
          <w:lang w:eastAsia="es-MX"/>
        </w:rPr>
      </w:pPr>
      <w:r w:rsidRPr="006B47F2">
        <w:rPr>
          <w:rFonts w:ascii="Arial" w:eastAsia="Calibri" w:hAnsi="Arial" w:cs="Arial"/>
          <w:sz w:val="21"/>
          <w:szCs w:val="21"/>
          <w:lang w:eastAsia="en-US"/>
        </w:rPr>
        <w:lastRenderedPageBreak/>
        <w:t>¿Cuándo el Proceso de Selección, en este caso Licitación Pública está estructurado en LOTES y/o GRUPOS, ese valor de ́PRESUPUESTO OFICIAL, corresponde al valor del PRESUPUESTO OFICIAL DEL GRUPO al cual presento oferta o al valor de la sumatoria de los PRESUPUESTOS OFICIALES de los GRUPOS a los cuales presento oferta?</w:t>
      </w:r>
      <w:bookmarkStart w:id="5" w:name="_Hlk103091300"/>
      <w:r w:rsidR="00F0351E" w:rsidRPr="006B47F2">
        <w:rPr>
          <w:rFonts w:ascii="Arial" w:eastAsia="Calibri" w:hAnsi="Arial" w:cs="Arial"/>
          <w:sz w:val="21"/>
          <w:szCs w:val="21"/>
          <w:lang w:eastAsia="en-US"/>
        </w:rPr>
        <w:t>»</w:t>
      </w:r>
      <w:bookmarkEnd w:id="5"/>
      <w:r w:rsidR="00A64026" w:rsidRPr="006B47F2">
        <w:rPr>
          <w:rFonts w:ascii="Arial" w:eastAsia="Calibri" w:hAnsi="Arial" w:cs="Arial"/>
          <w:sz w:val="21"/>
          <w:szCs w:val="21"/>
          <w:lang w:eastAsia="en-US"/>
        </w:rPr>
        <w:t>.</w:t>
      </w:r>
      <w:r w:rsidR="00F0351E" w:rsidRPr="006B47F2">
        <w:rPr>
          <w:rFonts w:ascii="Arial" w:hAnsi="Arial" w:cs="Arial"/>
          <w:sz w:val="22"/>
          <w:szCs w:val="22"/>
          <w:lang w:eastAsia="es-MX"/>
        </w:rPr>
        <w:t xml:space="preserve"> </w:t>
      </w:r>
    </w:p>
    <w:p w14:paraId="53BFB9F0" w14:textId="77777777" w:rsidR="00A64026" w:rsidRPr="006B47F2" w:rsidRDefault="00A64026" w:rsidP="00316FC7">
      <w:pPr>
        <w:ind w:left="708" w:right="900"/>
        <w:jc w:val="both"/>
        <w:rPr>
          <w:rFonts w:ascii="Arial" w:hAnsi="Arial" w:cs="Arial"/>
          <w:sz w:val="22"/>
          <w:szCs w:val="22"/>
          <w:lang w:eastAsia="es-MX"/>
        </w:rPr>
      </w:pPr>
    </w:p>
    <w:p w14:paraId="4A54C3B6" w14:textId="22E01109" w:rsidR="00AC6C90" w:rsidRPr="006B47F2" w:rsidRDefault="00AC6C90" w:rsidP="00384466">
      <w:pPr>
        <w:pStyle w:val="NormalWeb"/>
        <w:numPr>
          <w:ilvl w:val="0"/>
          <w:numId w:val="8"/>
        </w:numPr>
        <w:spacing w:before="0" w:beforeAutospacing="0" w:after="0" w:afterAutospacing="0" w:line="276" w:lineRule="auto"/>
        <w:jc w:val="both"/>
        <w:rPr>
          <w:rFonts w:ascii="Arial" w:hAnsi="Arial" w:cs="Arial"/>
          <w:sz w:val="22"/>
          <w:szCs w:val="22"/>
        </w:rPr>
      </w:pPr>
      <w:r w:rsidRPr="006B47F2">
        <w:rPr>
          <w:rFonts w:ascii="Arial" w:eastAsia="Calibri" w:hAnsi="Arial" w:cs="Arial"/>
          <w:b/>
          <w:color w:val="000000" w:themeColor="text1"/>
          <w:sz w:val="22"/>
          <w:lang w:val="es-ES_tradnl"/>
        </w:rPr>
        <w:t>Consideraciones</w:t>
      </w:r>
    </w:p>
    <w:p w14:paraId="14C799C5" w14:textId="77777777" w:rsidR="00AC6C90" w:rsidRPr="006B47F2" w:rsidRDefault="00AC6C90" w:rsidP="00AC6C90">
      <w:pPr>
        <w:spacing w:line="276" w:lineRule="auto"/>
        <w:jc w:val="both"/>
        <w:rPr>
          <w:rFonts w:ascii="Arial" w:eastAsia="Calibri" w:hAnsi="Arial" w:cs="Arial"/>
          <w:sz w:val="22"/>
          <w:szCs w:val="22"/>
          <w:highlight w:val="yellow"/>
          <w:lang w:val="es-ES_tradnl"/>
        </w:rPr>
      </w:pPr>
    </w:p>
    <w:p w14:paraId="2273091F" w14:textId="7379DA52" w:rsidR="009D0B5D" w:rsidRPr="003F690B" w:rsidRDefault="009D0B5D" w:rsidP="00316FC7">
      <w:pPr>
        <w:spacing w:after="120" w:line="276" w:lineRule="auto"/>
        <w:jc w:val="both"/>
        <w:rPr>
          <w:rFonts w:ascii="Arial" w:hAnsi="Arial" w:cs="Arial"/>
          <w:sz w:val="22"/>
          <w:lang w:val="es-ES"/>
        </w:rPr>
      </w:pPr>
      <w:r w:rsidRPr="003F690B">
        <w:rPr>
          <w:rFonts w:ascii="Arial" w:hAnsi="Arial" w:cs="Arial"/>
          <w:bCs/>
          <w:sz w:val="22"/>
        </w:rPr>
        <w:t>En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w:t>
      </w:r>
      <w:r w:rsidR="00E02F61" w:rsidRPr="003F690B">
        <w:rPr>
          <w:rFonts w:ascii="Arial" w:hAnsi="Arial" w:cs="Arial"/>
          <w:bCs/>
          <w:sz w:val="22"/>
        </w:rPr>
        <w:t xml:space="preserve"> </w:t>
      </w:r>
      <w:bookmarkStart w:id="6" w:name="_Hlk61701014"/>
      <w:bookmarkStart w:id="7" w:name="_Hlk62136649"/>
      <w:r w:rsidRPr="003F690B">
        <w:rPr>
          <w:rFonts w:ascii="Arial" w:hAnsi="Arial" w:cs="Arial"/>
          <w:sz w:val="22"/>
          <w:lang w:val="es-ES"/>
        </w:rPr>
        <w:t xml:space="preserve">Es necesario tener en cuenta que </w:t>
      </w:r>
      <w:bookmarkStart w:id="8" w:name="_Hlk61026958"/>
      <w:r w:rsidRPr="003F690B">
        <w:rPr>
          <w:rFonts w:ascii="Arial" w:hAnsi="Arial" w:cs="Arial"/>
          <w:sz w:val="22"/>
          <w:lang w:val="es-ES"/>
        </w:rPr>
        <w:t>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3F690B">
        <w:rPr>
          <w:rFonts w:ascii="Arial" w:hAnsi="Arial" w:cs="Arial"/>
          <w:bCs/>
          <w:sz w:val="22"/>
        </w:rPr>
        <w:t xml:space="preserve"> de todos los partícipes de la contratación estatal.</w:t>
      </w:r>
    </w:p>
    <w:p w14:paraId="3231BBDC" w14:textId="77777777" w:rsidR="009D0B5D" w:rsidRPr="00D62F13" w:rsidRDefault="009D0B5D" w:rsidP="009D0B5D">
      <w:pPr>
        <w:spacing w:after="120" w:line="276" w:lineRule="auto"/>
        <w:ind w:firstLine="708"/>
        <w:jc w:val="both"/>
        <w:rPr>
          <w:rFonts w:ascii="Arial" w:hAnsi="Arial" w:cs="Arial"/>
          <w:sz w:val="22"/>
          <w:lang w:val="es-ES"/>
        </w:rPr>
      </w:pPr>
      <w:r w:rsidRPr="003F690B">
        <w:rPr>
          <w:rFonts w:ascii="Arial" w:hAnsi="Arial" w:cs="Arial"/>
          <w:sz w:val="22"/>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3F690B">
        <w:rPr>
          <w:rFonts w:ascii="Arial" w:hAnsi="Arial" w:cs="Arial"/>
          <w:sz w:val="22"/>
          <w:vertAlign w:val="superscript"/>
          <w:lang w:val="es-ES"/>
        </w:rPr>
        <w:footnoteReference w:id="2"/>
      </w:r>
      <w:r w:rsidRPr="003F690B">
        <w:rPr>
          <w:rFonts w:ascii="Arial" w:hAnsi="Arial" w:cs="Arial"/>
          <w:sz w:val="22"/>
          <w:lang w:val="es-ES"/>
        </w:rPr>
        <w:t xml:space="preserve">. Esta competencia de interpretación de normas generales, por definición, no puede extenderse a la resolución de controversias, ni a brindar asesorías sobre casos puntuales. Esto en la medida en que, para resolver una consulta de carácter particular, además de conocer un sinnúmero de detalles de la actuación administrativa, es necesario acceder al expediente y a los </w:t>
      </w:r>
      <w:r w:rsidRPr="00D62F13">
        <w:rPr>
          <w:rFonts w:ascii="Arial" w:hAnsi="Arial" w:cs="Arial"/>
          <w:sz w:val="22"/>
          <w:lang w:val="es-ES"/>
        </w:rPr>
        <w:t>documentos del procedimiento contractual donde surge la inquietud</w:t>
      </w:r>
      <w:bookmarkEnd w:id="8"/>
      <w:r w:rsidRPr="00D62F13">
        <w:rPr>
          <w:rFonts w:ascii="Arial" w:hAnsi="Arial" w:cs="Arial"/>
          <w:sz w:val="22"/>
          <w:lang w:val="es-ES"/>
        </w:rPr>
        <w:t xml:space="preserve">. Por lo anterior, previo concepto de sus órganos asesores, la solución de estos temas corresponde a la entidad que adelanta el procedimiento de selección y, en caso de conflicto, a las autoridades judiciales, fiscales y disciplinarias. </w:t>
      </w:r>
      <w:bookmarkEnd w:id="6"/>
    </w:p>
    <w:bookmarkEnd w:id="7"/>
    <w:p w14:paraId="0E7E36F4" w14:textId="588828AF" w:rsidR="00AC6C90" w:rsidRPr="00D62F13" w:rsidRDefault="009D0B5D" w:rsidP="009D0B5D">
      <w:pPr>
        <w:spacing w:line="276" w:lineRule="auto"/>
        <w:ind w:firstLine="708"/>
        <w:jc w:val="both"/>
        <w:rPr>
          <w:rFonts w:ascii="Arial" w:eastAsia="Calibri" w:hAnsi="Arial" w:cs="Arial"/>
          <w:sz w:val="22"/>
          <w:szCs w:val="22"/>
          <w:lang w:val="es-ES_tradnl"/>
        </w:rPr>
      </w:pPr>
      <w:r w:rsidRPr="00D62F13">
        <w:rPr>
          <w:rFonts w:ascii="Arial" w:eastAsia="Calibri" w:hAnsi="Arial" w:cs="Arial"/>
          <w:color w:val="000000" w:themeColor="text1"/>
          <w:sz w:val="22"/>
        </w:rPr>
        <w:lastRenderedPageBreak/>
        <w:t xml:space="preserve">Sin perjuicio de lo anterior, </w:t>
      </w:r>
      <w:r w:rsidRPr="00D62F13">
        <w:rPr>
          <w:rFonts w:ascii="Arial" w:eastAsia="Calibri" w:hAnsi="Arial" w:cs="Arial"/>
          <w:color w:val="000000" w:themeColor="text1"/>
          <w:sz w:val="22"/>
          <w:lang w:val="es-ES"/>
        </w:rPr>
        <w:t xml:space="preserve">la Subdirección –dentro de los límites de sus atribuciones– resolverá la consulta conforme a las normas generales en materia de contratación estatal. </w:t>
      </w:r>
      <w:r w:rsidR="00906E31" w:rsidRPr="00D62F13">
        <w:rPr>
          <w:rFonts w:ascii="Arial" w:eastAsia="Calibri" w:hAnsi="Arial" w:cs="Arial"/>
          <w:color w:val="000000" w:themeColor="text1"/>
          <w:sz w:val="22"/>
          <w:lang w:val="es-ES"/>
        </w:rPr>
        <w:t xml:space="preserve">Con este objeto se analizarán </w:t>
      </w:r>
      <w:r w:rsidR="00B66316">
        <w:rPr>
          <w:rFonts w:ascii="Arial" w:eastAsia="Calibri" w:hAnsi="Arial" w:cs="Arial"/>
          <w:sz w:val="22"/>
          <w:szCs w:val="22"/>
          <w:lang w:val="es-ES_tradnl"/>
        </w:rPr>
        <w:t>los</w:t>
      </w:r>
      <w:r w:rsidR="00906E31" w:rsidRPr="00D62F13">
        <w:rPr>
          <w:rFonts w:ascii="Arial" w:eastAsia="Calibri" w:hAnsi="Arial" w:cs="Arial"/>
          <w:sz w:val="22"/>
          <w:szCs w:val="22"/>
          <w:lang w:val="es-ES_tradnl"/>
        </w:rPr>
        <w:t xml:space="preserve"> </w:t>
      </w:r>
      <w:r w:rsidR="00486C85" w:rsidRPr="00D62F13">
        <w:rPr>
          <w:rFonts w:ascii="Arial" w:eastAsia="Calibri" w:hAnsi="Arial" w:cs="Arial"/>
          <w:sz w:val="22"/>
          <w:szCs w:val="22"/>
          <w:lang w:val="es-ES_tradnl"/>
        </w:rPr>
        <w:t>siguiente</w:t>
      </w:r>
      <w:r w:rsidR="00B66316">
        <w:rPr>
          <w:rFonts w:ascii="Arial" w:eastAsia="Calibri" w:hAnsi="Arial" w:cs="Arial"/>
          <w:sz w:val="22"/>
          <w:szCs w:val="22"/>
          <w:lang w:val="es-ES_tradnl"/>
        </w:rPr>
        <w:t>s</w:t>
      </w:r>
      <w:r w:rsidR="00486C85" w:rsidRPr="00D62F13">
        <w:rPr>
          <w:rFonts w:ascii="Arial" w:eastAsia="Calibri" w:hAnsi="Arial" w:cs="Arial"/>
          <w:sz w:val="22"/>
          <w:szCs w:val="22"/>
          <w:lang w:val="es-ES_tradnl"/>
        </w:rPr>
        <w:t xml:space="preserve"> tema</w:t>
      </w:r>
      <w:r w:rsidR="00B66316">
        <w:rPr>
          <w:rFonts w:ascii="Arial" w:eastAsia="Calibri" w:hAnsi="Arial" w:cs="Arial"/>
          <w:sz w:val="22"/>
          <w:szCs w:val="22"/>
          <w:lang w:val="es-ES_tradnl"/>
        </w:rPr>
        <w:t>s</w:t>
      </w:r>
      <w:r w:rsidR="00486C85" w:rsidRPr="00D62F13">
        <w:rPr>
          <w:rFonts w:ascii="Arial" w:eastAsia="Calibri" w:hAnsi="Arial" w:cs="Arial"/>
          <w:sz w:val="22"/>
          <w:szCs w:val="22"/>
          <w:lang w:val="es-ES_tradnl"/>
        </w:rPr>
        <w:t xml:space="preserve">: </w:t>
      </w:r>
      <w:proofErr w:type="gramStart"/>
      <w:r w:rsidR="00486C85" w:rsidRPr="00D62F13">
        <w:rPr>
          <w:rFonts w:ascii="Arial" w:eastAsia="Calibri" w:hAnsi="Arial" w:cs="Arial"/>
          <w:sz w:val="22"/>
          <w:szCs w:val="22"/>
          <w:lang w:val="es-ES_tradnl"/>
        </w:rPr>
        <w:t>i)</w:t>
      </w:r>
      <w:r w:rsidR="00B66316">
        <w:rPr>
          <w:rFonts w:ascii="Arial" w:eastAsia="Calibri" w:hAnsi="Arial" w:cs="Arial"/>
          <w:sz w:val="22"/>
          <w:szCs w:val="22"/>
          <w:lang w:val="es-ES_tradnl"/>
        </w:rPr>
        <w:t>l</w:t>
      </w:r>
      <w:r w:rsidR="00B66316" w:rsidRPr="00B66316">
        <w:rPr>
          <w:rFonts w:ascii="Arial" w:eastAsia="Calibri" w:hAnsi="Arial" w:cs="Arial"/>
          <w:sz w:val="22"/>
          <w:szCs w:val="22"/>
          <w:lang w:val="es-ES_tradnl"/>
        </w:rPr>
        <w:t>a</w:t>
      </w:r>
      <w:proofErr w:type="gramEnd"/>
      <w:r w:rsidR="00B66316" w:rsidRPr="00B66316">
        <w:rPr>
          <w:rFonts w:ascii="Arial" w:eastAsia="Calibri" w:hAnsi="Arial" w:cs="Arial"/>
          <w:sz w:val="22"/>
          <w:szCs w:val="22"/>
          <w:lang w:val="es-ES_tradnl"/>
        </w:rPr>
        <w:t xml:space="preserve"> capacidad residual como requisito habilitante en los procesos de contratación de obra pública</w:t>
      </w:r>
      <w:r w:rsidR="00DD7E17" w:rsidRPr="00D62F13">
        <w:rPr>
          <w:rFonts w:ascii="Arial" w:eastAsia="Calibri" w:hAnsi="Arial" w:cs="Arial"/>
          <w:sz w:val="22"/>
          <w:szCs w:val="22"/>
          <w:lang w:val="es-ES_tradnl"/>
        </w:rPr>
        <w:t>,</w:t>
      </w:r>
      <w:r w:rsidR="00F0351E" w:rsidRPr="00D62F13">
        <w:rPr>
          <w:rFonts w:ascii="Arial" w:eastAsia="Calibri" w:hAnsi="Arial" w:cs="Arial"/>
          <w:sz w:val="22"/>
          <w:szCs w:val="22"/>
          <w:lang w:val="es-ES_tradnl"/>
        </w:rPr>
        <w:t xml:space="preserve"> ii) </w:t>
      </w:r>
      <w:r w:rsidR="00B66316" w:rsidRPr="00B66316">
        <w:rPr>
          <w:rFonts w:ascii="Arial" w:eastAsia="Calibri" w:hAnsi="Arial" w:cs="Arial"/>
          <w:sz w:val="22"/>
          <w:szCs w:val="22"/>
          <w:lang w:val="es-ES_tradnl"/>
        </w:rPr>
        <w:t xml:space="preserve">Saldos de Contratos en Ejecución (SCE) y reglas para determinar la Capacidad Residual del Proponente (CRP) en procesos estructurados por lotes </w:t>
      </w:r>
      <w:r w:rsidR="00DD7E17" w:rsidRPr="00D62F13">
        <w:rPr>
          <w:rFonts w:ascii="Arial" w:eastAsia="Calibri" w:hAnsi="Arial" w:cs="Arial"/>
          <w:sz w:val="22"/>
          <w:szCs w:val="22"/>
          <w:lang w:val="es-ES_tradnl"/>
        </w:rPr>
        <w:t xml:space="preserve">y </w:t>
      </w:r>
      <w:r w:rsidR="00F0351E" w:rsidRPr="00D62F13">
        <w:rPr>
          <w:rFonts w:ascii="Arial" w:eastAsia="Calibri" w:hAnsi="Arial" w:cs="Arial"/>
          <w:sz w:val="22"/>
          <w:szCs w:val="22"/>
          <w:lang w:val="es-ES_tradnl"/>
        </w:rPr>
        <w:t xml:space="preserve"> iii) </w:t>
      </w:r>
      <w:r w:rsidR="00B66316" w:rsidRPr="00B66316">
        <w:rPr>
          <w:rFonts w:ascii="Arial" w:eastAsia="Calibri" w:hAnsi="Arial" w:cs="Arial"/>
          <w:sz w:val="22"/>
          <w:szCs w:val="22"/>
          <w:lang w:val="es-ES_tradnl"/>
        </w:rPr>
        <w:t>reglas para la acreditación de la capacidad residual en los documentos tipo para la contratación de obra pública</w:t>
      </w:r>
      <w:r w:rsidR="00B66316">
        <w:rPr>
          <w:rFonts w:ascii="Arial" w:eastAsia="Calibri" w:hAnsi="Arial" w:cs="Arial"/>
          <w:sz w:val="22"/>
          <w:szCs w:val="22"/>
          <w:lang w:val="es-ES_tradnl"/>
        </w:rPr>
        <w:t>.</w:t>
      </w:r>
      <w:r w:rsidR="00B66316" w:rsidRPr="00B66316">
        <w:rPr>
          <w:rFonts w:ascii="Arial" w:eastAsia="Calibri" w:hAnsi="Arial" w:cs="Arial"/>
          <w:sz w:val="22"/>
          <w:szCs w:val="22"/>
          <w:lang w:val="es-ES_tradnl"/>
        </w:rPr>
        <w:t xml:space="preserve"> </w:t>
      </w:r>
    </w:p>
    <w:p w14:paraId="1AA19627" w14:textId="6CE7C867" w:rsidR="00385131" w:rsidRPr="0077368F" w:rsidRDefault="00AA2899" w:rsidP="007C7F6F">
      <w:pPr>
        <w:spacing w:before="120" w:line="276" w:lineRule="auto"/>
        <w:ind w:firstLine="709"/>
        <w:jc w:val="both"/>
        <w:rPr>
          <w:rFonts w:ascii="Arial" w:hAnsi="Arial" w:cs="Arial"/>
          <w:bCs/>
          <w:color w:val="000000" w:themeColor="text1"/>
          <w:sz w:val="22"/>
        </w:rPr>
      </w:pPr>
      <w:r w:rsidRPr="007C7F6F">
        <w:rPr>
          <w:rFonts w:ascii="Arial" w:hAnsi="Arial" w:cs="Arial"/>
          <w:bCs/>
          <w:color w:val="161616" w:themeColor="background1" w:themeShade="1A"/>
          <w:sz w:val="22"/>
          <w:szCs w:val="22"/>
        </w:rPr>
        <w:t xml:space="preserve">La Agencia Nacional de Contratación Pública − Colombia Compra Eficiente se ha pronunciado sobre la capacidad residual, y la forma como esta se debe acreditar, en los conceptos </w:t>
      </w:r>
      <w:r w:rsidRPr="0077368F">
        <w:rPr>
          <w:rStyle w:val="normaltextrun"/>
          <w:rFonts w:ascii="Arial" w:eastAsia="Arial" w:hAnsi="Arial" w:cs="Arial"/>
          <w:sz w:val="22"/>
        </w:rPr>
        <w:t>2201913000006275 del 27 de agosto de 2019, 2201913000009465 del 20 de diciembre de 2019, 2201913000009642 y 2201913000009640 del 26 de diciembre de 2019; así como en los conceptos C–022 del 20 de febrero de 2020, C–089 del 4 de marzo de 2020, C–112 del 16 de marzo de 2020, C–133 del 25 de marzo de 2020, C–194 del 21 de abril de 2020, C–326 del 9 de junio de 2020, C–446 del 6 de julio de 2020,</w:t>
      </w:r>
      <w:r w:rsidRPr="0077368F">
        <w:rPr>
          <w:rStyle w:val="normaltextrun"/>
          <w:rFonts w:ascii="Arial" w:eastAsia="Arial" w:hAnsi="Arial" w:cs="Arial"/>
        </w:rPr>
        <w:t xml:space="preserve"> </w:t>
      </w:r>
      <w:r w:rsidRPr="0077368F">
        <w:rPr>
          <w:rStyle w:val="normaltextrun"/>
          <w:rFonts w:ascii="Arial" w:eastAsia="Arial" w:hAnsi="Arial" w:cs="Arial"/>
          <w:sz w:val="22"/>
        </w:rPr>
        <w:t xml:space="preserve">C-461 del 13 de julio de 2020, C–668 del 20 de noviembre de 2020, C–742 del 16 de diciembre de 2020, C–045 del 5 de marzo de 2021, C–003 del 26 de marzo de 2021, C–121 del 31 de marzo de 2021, C–143 del 9 de abril de 2021, C–202 del 7 de mayo de 2021, C–219 del 19 de mayo de 2021, C–368 del 28 de julio de 2021, C–392 del 5 de agosto de 2021, C–513 del 23 de septiembre de 2021, C–590 del 12 de octubre de 2021, </w:t>
      </w:r>
      <w:r w:rsidRPr="007C7F6F">
        <w:rPr>
          <w:rFonts w:ascii="Arial" w:hAnsi="Arial" w:cs="Arial"/>
          <w:bCs/>
          <w:color w:val="161616" w:themeColor="background1" w:themeShade="1A"/>
          <w:sz w:val="22"/>
          <w:szCs w:val="22"/>
        </w:rPr>
        <w:t xml:space="preserve">C-068 del 9 de marzo de 2022, </w:t>
      </w:r>
      <w:r w:rsidRPr="007C7F6F">
        <w:rPr>
          <w:rFonts w:ascii="Arial" w:eastAsia="Calibri" w:hAnsi="Arial" w:cs="Arial"/>
          <w:bCs/>
          <w:sz w:val="22"/>
          <w:szCs w:val="22"/>
          <w:lang w:val="es-ES"/>
        </w:rPr>
        <w:t>C-220 del 22 de abril de 2022, C-306 de 16 de mayo de 2022, C-351 de 23 de mayo de 2022</w:t>
      </w:r>
      <w:r w:rsidR="00CA6FDF" w:rsidRPr="0077368F">
        <w:rPr>
          <w:rStyle w:val="normaltextrun"/>
          <w:rFonts w:ascii="Arial" w:hAnsi="Arial" w:cs="Arial"/>
          <w:sz w:val="22"/>
          <w:szCs w:val="22"/>
          <w:shd w:val="clear" w:color="auto" w:fill="FFFFFF"/>
        </w:rPr>
        <w:t>, entre otros</w:t>
      </w:r>
      <w:r w:rsidR="007C7F6F" w:rsidRPr="0077368F">
        <w:rPr>
          <w:rStyle w:val="Refdenotaalpie"/>
          <w:rFonts w:ascii="Arial" w:hAnsi="Arial" w:cs="Arial"/>
          <w:sz w:val="22"/>
          <w:szCs w:val="22"/>
          <w:shd w:val="clear" w:color="auto" w:fill="FFFFFF"/>
        </w:rPr>
        <w:footnoteReference w:id="3"/>
      </w:r>
      <w:r w:rsidR="00CA6FDF" w:rsidRPr="0077368F">
        <w:rPr>
          <w:rFonts w:ascii="Arial" w:eastAsia="Calibri" w:hAnsi="Arial" w:cs="Arial"/>
          <w:sz w:val="22"/>
          <w:szCs w:val="22"/>
          <w:lang w:val="es-ES_tradnl"/>
        </w:rPr>
        <w:t>.</w:t>
      </w:r>
      <w:r w:rsidR="00385131" w:rsidRPr="0077368F">
        <w:rPr>
          <w:rFonts w:ascii="Arial" w:hAnsi="Arial" w:cs="Arial"/>
          <w:sz w:val="22"/>
        </w:rPr>
        <w:t xml:space="preserve"> Las tesis propuestas en tales conceptos se reiteran a continuación y se complementan en l</w:t>
      </w:r>
      <w:r w:rsidR="00385131" w:rsidRPr="0077368F">
        <w:rPr>
          <w:rFonts w:ascii="Arial" w:hAnsi="Arial" w:cs="Arial"/>
          <w:bCs/>
          <w:color w:val="000000" w:themeColor="text1"/>
          <w:sz w:val="22"/>
        </w:rPr>
        <w:t>o pertinente.</w:t>
      </w:r>
    </w:p>
    <w:p w14:paraId="2104CAFA" w14:textId="0263C572" w:rsidR="00D62F13" w:rsidRPr="008605E8" w:rsidRDefault="008605E8" w:rsidP="00D62F13">
      <w:pPr>
        <w:pStyle w:val="NormalWeb"/>
        <w:jc w:val="both"/>
        <w:rPr>
          <w:rFonts w:ascii="Arial" w:hAnsi="Arial" w:cs="Arial"/>
          <w:b/>
          <w:bCs/>
          <w:sz w:val="22"/>
          <w:lang w:eastAsia="es-MX"/>
        </w:rPr>
      </w:pPr>
      <w:bookmarkStart w:id="9" w:name="_Hlk113291715"/>
      <w:r w:rsidRPr="008605E8">
        <w:rPr>
          <w:rFonts w:ascii="Arial" w:eastAsia="Arial" w:hAnsi="Arial" w:cs="Arial"/>
          <w:b/>
          <w:bCs/>
          <w:color w:val="000000"/>
          <w:sz w:val="22"/>
          <w:szCs w:val="22"/>
          <w:lang w:val="es-ES_tradnl" w:eastAsia="en-US"/>
        </w:rPr>
        <w:t xml:space="preserve">2.1. </w:t>
      </w:r>
      <w:r w:rsidR="00834DF1">
        <w:rPr>
          <w:rFonts w:ascii="Arial" w:hAnsi="Arial" w:cs="Arial"/>
          <w:b/>
          <w:bCs/>
          <w:sz w:val="22"/>
          <w:lang w:eastAsia="es-MX"/>
        </w:rPr>
        <w:t>La capacidad residual como requisito</w:t>
      </w:r>
      <w:r w:rsidR="007130F7">
        <w:rPr>
          <w:rFonts w:ascii="Arial" w:hAnsi="Arial" w:cs="Arial"/>
          <w:b/>
          <w:bCs/>
          <w:sz w:val="22"/>
          <w:lang w:eastAsia="es-MX"/>
        </w:rPr>
        <w:t xml:space="preserve"> habilitante en los procesos de contratación de obra pública</w:t>
      </w:r>
    </w:p>
    <w:p w14:paraId="4FEB8BB2" w14:textId="77777777" w:rsidR="00D62F13" w:rsidRPr="00D62F13" w:rsidRDefault="00D62F13" w:rsidP="00D62F13">
      <w:pPr>
        <w:widowControl w:val="0"/>
        <w:autoSpaceDE w:val="0"/>
        <w:autoSpaceDN w:val="0"/>
        <w:spacing w:before="120" w:line="276" w:lineRule="auto"/>
        <w:ind w:right="51"/>
        <w:jc w:val="both"/>
        <w:rPr>
          <w:rFonts w:ascii="Arial" w:eastAsia="Arial" w:hAnsi="Arial" w:cs="Arial"/>
          <w:sz w:val="22"/>
          <w:szCs w:val="22"/>
          <w:lang w:eastAsia="es-ES" w:bidi="es-ES"/>
        </w:rPr>
      </w:pPr>
      <w:r w:rsidRPr="00D62F13">
        <w:rPr>
          <w:rFonts w:ascii="Arial" w:eastAsia="Arial" w:hAnsi="Arial" w:cs="Arial"/>
          <w:sz w:val="22"/>
          <w:szCs w:val="22"/>
          <w:lang w:eastAsia="es-ES" w:bidi="es-ES"/>
        </w:rPr>
        <w:t>La capacidad residual es una aptitud que se exige a los oferentes con el objetivo de establecer o determinar si estos pueden o no cumplir de manera oportuna y a cabalidad con las obligaciones derivadas del contrato de obra pública, sin que los demás compromisos contractuales que hubieran adquirido les afecte la habilidad de cumplir con el objeto del contrato que está en proceso de selección</w:t>
      </w:r>
      <w:r w:rsidRPr="00D62F13">
        <w:rPr>
          <w:rFonts w:ascii="Arial" w:eastAsia="Arial" w:hAnsi="Arial" w:cs="Arial"/>
          <w:sz w:val="22"/>
          <w:szCs w:val="22"/>
          <w:vertAlign w:val="superscript"/>
          <w:lang w:eastAsia="es-ES" w:bidi="es-ES"/>
        </w:rPr>
        <w:footnoteReference w:id="4"/>
      </w:r>
      <w:r w:rsidRPr="00D62F13">
        <w:rPr>
          <w:rFonts w:ascii="Arial" w:eastAsia="Arial" w:hAnsi="Arial" w:cs="Arial"/>
          <w:sz w:val="22"/>
          <w:szCs w:val="22"/>
          <w:lang w:eastAsia="es-ES" w:bidi="es-ES"/>
        </w:rPr>
        <w:t xml:space="preserve">. El Consejo de Estado ha definido la capacidad </w:t>
      </w:r>
      <w:r w:rsidRPr="00D62F13">
        <w:rPr>
          <w:rFonts w:ascii="Arial" w:eastAsia="Arial" w:hAnsi="Arial" w:cs="Arial"/>
          <w:sz w:val="22"/>
          <w:szCs w:val="22"/>
          <w:lang w:eastAsia="es-ES" w:bidi="es-ES"/>
        </w:rPr>
        <w:lastRenderedPageBreak/>
        <w:t>residual como «la diferencia que existe entre el potencial de contratación que se tiene y los compromisos que haya adquirido y que se encuentren en ejecución, para la fecha de presentación de la oferta»</w:t>
      </w:r>
      <w:r w:rsidRPr="00D62F13">
        <w:rPr>
          <w:rFonts w:ascii="Arial" w:eastAsia="Arial" w:hAnsi="Arial" w:cs="Arial"/>
          <w:sz w:val="22"/>
          <w:szCs w:val="22"/>
          <w:vertAlign w:val="superscript"/>
          <w:lang w:eastAsia="es-ES" w:bidi="es-ES"/>
        </w:rPr>
        <w:footnoteReference w:id="5"/>
      </w:r>
      <w:r w:rsidRPr="00D62F13">
        <w:rPr>
          <w:rFonts w:ascii="Arial" w:eastAsia="Arial" w:hAnsi="Arial" w:cs="Arial"/>
          <w:sz w:val="22"/>
          <w:szCs w:val="22"/>
          <w:lang w:eastAsia="es-ES" w:bidi="es-ES"/>
        </w:rPr>
        <w:t>. Teniendo en cuenta lo dicho antes, la Agencia Nacional de Contratación Pública considera que la capacidad residual hace referencia a la suficiencia que se predica del proponente para asumir nuevas obligaciones que se derivan del contrato objeto del proceso de contratación, en relación con las obligaciones que ha adquirido simultáneamente.</w:t>
      </w:r>
    </w:p>
    <w:p w14:paraId="1A5B1252" w14:textId="77777777" w:rsidR="00D62F13" w:rsidRPr="00D62F13" w:rsidRDefault="00D62F13" w:rsidP="00D62F13">
      <w:pPr>
        <w:widowControl w:val="0"/>
        <w:autoSpaceDE w:val="0"/>
        <w:autoSpaceDN w:val="0"/>
        <w:spacing w:before="120" w:line="276" w:lineRule="auto"/>
        <w:ind w:right="51" w:firstLine="709"/>
        <w:jc w:val="both"/>
        <w:rPr>
          <w:rFonts w:ascii="Arial" w:eastAsia="Arial" w:hAnsi="Arial" w:cs="Arial"/>
          <w:sz w:val="22"/>
          <w:szCs w:val="22"/>
          <w:lang w:eastAsia="es-ES" w:bidi="es-ES"/>
        </w:rPr>
      </w:pPr>
      <w:r w:rsidRPr="00D62F13">
        <w:rPr>
          <w:rFonts w:ascii="Arial" w:eastAsia="Arial" w:hAnsi="Arial" w:cs="Arial"/>
          <w:sz w:val="22"/>
          <w:szCs w:val="22"/>
          <w:lang w:eastAsia="es-ES" w:bidi="es-ES"/>
        </w:rPr>
        <w:t>La Ley 1150 de 2007 establece que la capacidad residual de los interesados en participar en procesos de selección para contratos de obra deberá ser igual o superior al que la entidad ha establecido en los pliegos de condiciones, en los siguientes términos:</w:t>
      </w:r>
    </w:p>
    <w:p w14:paraId="32DA816C" w14:textId="77777777" w:rsidR="00D62F13" w:rsidRPr="00D62F13" w:rsidRDefault="00D62F13" w:rsidP="00D62F13">
      <w:pPr>
        <w:widowControl w:val="0"/>
        <w:autoSpaceDE w:val="0"/>
        <w:autoSpaceDN w:val="0"/>
        <w:ind w:right="49"/>
        <w:rPr>
          <w:rFonts w:ascii="Arial" w:eastAsia="Arial" w:hAnsi="Arial" w:cs="Arial"/>
          <w:sz w:val="22"/>
          <w:szCs w:val="22"/>
          <w:lang w:eastAsia="es-ES" w:bidi="es-ES"/>
        </w:rPr>
      </w:pPr>
    </w:p>
    <w:p w14:paraId="03A3D777" w14:textId="77777777" w:rsidR="00D62F13" w:rsidRPr="00D62F13" w:rsidRDefault="00D62F13" w:rsidP="00D62F13">
      <w:pPr>
        <w:widowControl w:val="0"/>
        <w:autoSpaceDE w:val="0"/>
        <w:autoSpaceDN w:val="0"/>
        <w:ind w:left="709" w:right="758"/>
        <w:jc w:val="both"/>
        <w:rPr>
          <w:rFonts w:ascii="Arial" w:eastAsia="Arial" w:hAnsi="Arial" w:cs="Arial"/>
          <w:sz w:val="22"/>
          <w:szCs w:val="22"/>
          <w:lang w:eastAsia="es-ES" w:bidi="es-ES"/>
        </w:rPr>
      </w:pPr>
      <w:r w:rsidRPr="00D62F13">
        <w:rPr>
          <w:rFonts w:ascii="Arial" w:eastAsia="Arial" w:hAnsi="Arial" w:cs="Arial"/>
          <w:sz w:val="22"/>
          <w:szCs w:val="22"/>
          <w:lang w:eastAsia="es-ES" w:bidi="es-ES"/>
        </w:rPr>
        <w:t>Artículo 6. De la verificación de las condiciones de los proponentes.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w:t>
      </w:r>
      <w:r w:rsidRPr="00D62F13">
        <w:rPr>
          <w:rFonts w:ascii="Arial" w:eastAsia="Arial" w:hAnsi="Arial" w:cs="Arial"/>
          <w:spacing w:val="-3"/>
          <w:sz w:val="22"/>
          <w:szCs w:val="22"/>
          <w:lang w:eastAsia="es-ES" w:bidi="es-ES"/>
        </w:rPr>
        <w:t xml:space="preserve"> </w:t>
      </w:r>
      <w:r w:rsidRPr="00D62F13">
        <w:rPr>
          <w:rFonts w:ascii="Arial" w:eastAsia="Arial" w:hAnsi="Arial" w:cs="Arial"/>
          <w:sz w:val="22"/>
          <w:szCs w:val="22"/>
          <w:lang w:eastAsia="es-ES" w:bidi="es-ES"/>
        </w:rPr>
        <w:t>principal.</w:t>
      </w:r>
    </w:p>
    <w:p w14:paraId="3F8DB1CB" w14:textId="77777777" w:rsidR="00D62F13" w:rsidRPr="00D62F13" w:rsidRDefault="00D62F13" w:rsidP="00D62F13">
      <w:pPr>
        <w:widowControl w:val="0"/>
        <w:autoSpaceDE w:val="0"/>
        <w:autoSpaceDN w:val="0"/>
        <w:ind w:left="709" w:right="758"/>
        <w:rPr>
          <w:rFonts w:ascii="Arial" w:eastAsia="Arial" w:hAnsi="Arial" w:cs="Arial"/>
          <w:sz w:val="22"/>
          <w:szCs w:val="22"/>
          <w:lang w:eastAsia="es-ES" w:bidi="es-ES"/>
        </w:rPr>
      </w:pPr>
      <w:r w:rsidRPr="00D62F13">
        <w:rPr>
          <w:rFonts w:ascii="Arial" w:eastAsia="Arial" w:hAnsi="Arial" w:cs="Arial"/>
          <w:sz w:val="22"/>
          <w:szCs w:val="22"/>
          <w:lang w:eastAsia="es-ES" w:bidi="es-ES"/>
        </w:rPr>
        <w:t>(…)</w:t>
      </w:r>
    </w:p>
    <w:p w14:paraId="39EA901D" w14:textId="77777777" w:rsidR="00D62F13" w:rsidRPr="00D62F13" w:rsidRDefault="00D62F13" w:rsidP="00D62F13">
      <w:pPr>
        <w:widowControl w:val="0"/>
        <w:autoSpaceDE w:val="0"/>
        <w:autoSpaceDN w:val="0"/>
        <w:spacing w:before="2"/>
        <w:ind w:left="709" w:right="758"/>
        <w:rPr>
          <w:rFonts w:ascii="Arial" w:eastAsia="Arial" w:hAnsi="Arial" w:cs="Arial"/>
          <w:sz w:val="22"/>
          <w:szCs w:val="22"/>
          <w:lang w:eastAsia="es-ES" w:bidi="es-ES"/>
        </w:rPr>
      </w:pPr>
    </w:p>
    <w:p w14:paraId="76A77A6E" w14:textId="77777777" w:rsidR="00D62F13" w:rsidRPr="00D62F13" w:rsidRDefault="00D62F13" w:rsidP="00D62F13">
      <w:pPr>
        <w:widowControl w:val="0"/>
        <w:autoSpaceDE w:val="0"/>
        <w:autoSpaceDN w:val="0"/>
        <w:ind w:left="709" w:right="758"/>
        <w:jc w:val="both"/>
        <w:rPr>
          <w:rFonts w:ascii="Arial" w:eastAsia="Arial" w:hAnsi="Arial" w:cs="Arial"/>
          <w:sz w:val="22"/>
          <w:szCs w:val="22"/>
          <w:lang w:eastAsia="es-ES" w:bidi="es-ES"/>
        </w:rPr>
      </w:pPr>
      <w:r w:rsidRPr="00D62F13">
        <w:rPr>
          <w:rFonts w:ascii="Arial" w:eastAsia="Arial" w:hAnsi="Arial" w:cs="Arial"/>
          <w:sz w:val="22"/>
          <w:szCs w:val="22"/>
          <w:lang w:eastAsia="es-ES" w:bidi="es-ES"/>
        </w:rPr>
        <w:t>Parágrafo 1°. Para poder participar en los procesos de selección de los contratos de obra y demás que señale el reglamento, la capacidad residual del proponente o K de contratación deberá ser igual o superior al que la entidad haya establecido para el efecto en los pliegos de condiciones.</w:t>
      </w:r>
    </w:p>
    <w:p w14:paraId="2544A179" w14:textId="77777777" w:rsidR="00A415AA" w:rsidRDefault="00A415AA" w:rsidP="00D62F13">
      <w:pPr>
        <w:widowControl w:val="0"/>
        <w:autoSpaceDE w:val="0"/>
        <w:autoSpaceDN w:val="0"/>
        <w:spacing w:before="1" w:line="276" w:lineRule="auto"/>
        <w:ind w:right="49" w:firstLine="708"/>
        <w:jc w:val="both"/>
        <w:rPr>
          <w:rFonts w:ascii="Arial" w:eastAsia="Arial" w:hAnsi="Arial" w:cs="Arial"/>
          <w:sz w:val="22"/>
          <w:szCs w:val="22"/>
          <w:lang w:eastAsia="es-ES" w:bidi="es-ES"/>
        </w:rPr>
      </w:pPr>
      <w:bookmarkStart w:id="10" w:name="_Hlk97644217"/>
    </w:p>
    <w:p w14:paraId="2712F1D7" w14:textId="77777777" w:rsidR="00D62F13" w:rsidRPr="00D62F13" w:rsidRDefault="00D62F13" w:rsidP="00D62F13">
      <w:pPr>
        <w:widowControl w:val="0"/>
        <w:autoSpaceDE w:val="0"/>
        <w:autoSpaceDN w:val="0"/>
        <w:spacing w:before="1" w:line="276" w:lineRule="auto"/>
        <w:ind w:right="49" w:firstLine="708"/>
        <w:jc w:val="both"/>
        <w:rPr>
          <w:rFonts w:ascii="Arial" w:eastAsia="Arial" w:hAnsi="Arial" w:cs="Arial"/>
          <w:sz w:val="22"/>
          <w:szCs w:val="22"/>
          <w:lang w:eastAsia="es-ES" w:bidi="es-ES"/>
        </w:rPr>
      </w:pPr>
      <w:r w:rsidRPr="00D62F13">
        <w:rPr>
          <w:rFonts w:ascii="Arial" w:eastAsia="Arial" w:hAnsi="Arial" w:cs="Arial"/>
          <w:sz w:val="22"/>
          <w:szCs w:val="22"/>
          <w:lang w:eastAsia="es-ES" w:bidi="es-ES"/>
        </w:rPr>
        <w:t xml:space="preserve">El artículo 72 de la Ley 1682 de 2013, por la cual se adoptan medidas y disposiciones para los proyectos de infraestructura de transporte, establece que la «capacidad residual de contratación cuando se realicen contratos de obra pública se obtendrá de sustraer de la capacidad de contratación, el saldo del valor de los contratos en ejecución». La «capacidad </w:t>
      </w:r>
      <w:r w:rsidRPr="00D62F13">
        <w:rPr>
          <w:rFonts w:ascii="Arial" w:eastAsia="Arial" w:hAnsi="Arial" w:cs="Arial"/>
          <w:sz w:val="22"/>
          <w:szCs w:val="22"/>
          <w:lang w:eastAsia="es-ES" w:bidi="es-ES"/>
        </w:rPr>
        <w:lastRenderedPageBreak/>
        <w:t>de contratación», según se lee en la misma disposición, «[…] se deberá calcular mediante la evaluación de los siguientes factores: Experiencia (E), Capacidad Financiera (CF), Capacidad Técnica (CT), y Capacidad de Organización (CO)».</w:t>
      </w:r>
    </w:p>
    <w:bookmarkEnd w:id="10"/>
    <w:p w14:paraId="1CD491FC" w14:textId="77777777" w:rsidR="00D62F13" w:rsidRPr="00D62F13" w:rsidRDefault="00D62F13" w:rsidP="00D62F13">
      <w:pPr>
        <w:widowControl w:val="0"/>
        <w:autoSpaceDE w:val="0"/>
        <w:autoSpaceDN w:val="0"/>
        <w:spacing w:before="120" w:line="276" w:lineRule="auto"/>
        <w:ind w:right="51" w:firstLine="709"/>
        <w:jc w:val="both"/>
        <w:rPr>
          <w:rFonts w:ascii="Arial" w:eastAsia="Arial" w:hAnsi="Arial" w:cs="Arial"/>
          <w:sz w:val="22"/>
          <w:szCs w:val="22"/>
          <w:lang w:eastAsia="es-ES" w:bidi="es-ES"/>
        </w:rPr>
      </w:pPr>
      <w:r w:rsidRPr="00D62F13">
        <w:rPr>
          <w:rFonts w:ascii="Arial" w:eastAsia="Arial" w:hAnsi="Arial" w:cs="Arial"/>
          <w:sz w:val="22"/>
          <w:szCs w:val="22"/>
          <w:lang w:eastAsia="es-ES" w:bidi="es-ES"/>
        </w:rPr>
        <w:t>El artículo 2.2.1.1.1.6.4 del Decreto 1082 de 2015, por su parte, establece que las entidades estatales deben calcular la capacidad residual conforme a la metodología definida por Colombia Compre Eficiente y precisó que, para tales fines, resulta necesario tener en cuenta los factores de: i) experiencia; ii) capacidad financiera; iii) capacidad técnica; iv) capacidad de organización; y v) los saldos de los contratos en ejecución, así:</w:t>
      </w:r>
    </w:p>
    <w:p w14:paraId="21F131F6" w14:textId="77777777" w:rsidR="00D62F13" w:rsidRPr="00D62F13" w:rsidRDefault="00D62F13" w:rsidP="00D62F13">
      <w:pPr>
        <w:widowControl w:val="0"/>
        <w:autoSpaceDE w:val="0"/>
        <w:autoSpaceDN w:val="0"/>
        <w:spacing w:before="8"/>
        <w:ind w:right="49"/>
        <w:rPr>
          <w:rFonts w:ascii="Arial" w:eastAsia="Arial" w:hAnsi="Arial" w:cs="Arial"/>
          <w:sz w:val="22"/>
          <w:szCs w:val="22"/>
          <w:lang w:eastAsia="es-ES" w:bidi="es-ES"/>
        </w:rPr>
      </w:pPr>
    </w:p>
    <w:p w14:paraId="3D1673CC" w14:textId="77777777" w:rsidR="00D62F13" w:rsidRPr="00D62F13" w:rsidRDefault="00D62F13" w:rsidP="00D62F13">
      <w:pPr>
        <w:widowControl w:val="0"/>
        <w:autoSpaceDE w:val="0"/>
        <w:autoSpaceDN w:val="0"/>
        <w:ind w:left="709" w:right="760" w:firstLine="2"/>
        <w:rPr>
          <w:rFonts w:ascii="Arial" w:eastAsia="Arial" w:hAnsi="Arial" w:cs="Arial"/>
          <w:sz w:val="22"/>
          <w:szCs w:val="22"/>
          <w:lang w:eastAsia="es-ES" w:bidi="es-ES"/>
        </w:rPr>
      </w:pPr>
      <w:r w:rsidRPr="00D62F13">
        <w:rPr>
          <w:rFonts w:ascii="Arial" w:eastAsia="Arial" w:hAnsi="Arial" w:cs="Arial"/>
          <w:sz w:val="22"/>
          <w:szCs w:val="22"/>
          <w:lang w:eastAsia="es-ES" w:bidi="es-ES"/>
        </w:rPr>
        <w:t xml:space="preserve">Artículo 2.2.1.1.1.6.4. Capacidad Residual. El interesado en celebrar contratos de obra pública con Entidades Estatales debe acreditar su Capacidad Residual o K de Contratación con los siguientes documentos: </w:t>
      </w:r>
    </w:p>
    <w:p w14:paraId="21653340" w14:textId="77777777" w:rsidR="00D62F13" w:rsidRPr="00D62F13" w:rsidRDefault="00D62F13" w:rsidP="00D62F13">
      <w:pPr>
        <w:widowControl w:val="0"/>
        <w:autoSpaceDE w:val="0"/>
        <w:autoSpaceDN w:val="0"/>
        <w:ind w:left="709" w:right="760" w:firstLine="2"/>
        <w:rPr>
          <w:rFonts w:ascii="Arial" w:eastAsia="Arial" w:hAnsi="Arial" w:cs="Arial"/>
          <w:b/>
          <w:bCs/>
          <w:sz w:val="22"/>
          <w:szCs w:val="22"/>
          <w:lang w:eastAsia="es-ES" w:bidi="es-ES"/>
        </w:rPr>
      </w:pPr>
    </w:p>
    <w:p w14:paraId="426BE56F" w14:textId="77777777" w:rsidR="00D62F13" w:rsidRPr="00D62F13" w:rsidRDefault="00D62F13" w:rsidP="00D62F13">
      <w:pPr>
        <w:widowControl w:val="0"/>
        <w:autoSpaceDE w:val="0"/>
        <w:autoSpaceDN w:val="0"/>
        <w:ind w:left="709" w:right="760" w:firstLine="2"/>
        <w:jc w:val="both"/>
        <w:rPr>
          <w:rFonts w:ascii="Arial" w:eastAsia="Arial" w:hAnsi="Arial" w:cs="Arial"/>
          <w:sz w:val="22"/>
          <w:szCs w:val="22"/>
          <w:lang w:eastAsia="es-ES" w:bidi="es-ES"/>
        </w:rPr>
      </w:pPr>
      <w:r w:rsidRPr="00D62F13">
        <w:rPr>
          <w:rFonts w:ascii="Arial" w:eastAsia="Arial" w:hAnsi="Arial" w:cs="Arial"/>
          <w:sz w:val="22"/>
          <w:szCs w:val="22"/>
          <w:lang w:eastAsia="es-ES" w:bidi="es-ES"/>
        </w:rPr>
        <w:t xml:space="preserve">1. La lista de los contratos de obras civiles en ejecución suscritos con Entidades Estatales y con entidades privadas, así como el valor y plazo de tales contratos, incluyendo contratos de concesión y los contratos de obra suscritos con concesionarios. </w:t>
      </w:r>
    </w:p>
    <w:p w14:paraId="404D9C3B" w14:textId="77777777" w:rsidR="00D62F13" w:rsidRPr="00D62F13" w:rsidRDefault="00D62F13" w:rsidP="00D62F13">
      <w:pPr>
        <w:widowControl w:val="0"/>
        <w:autoSpaceDE w:val="0"/>
        <w:autoSpaceDN w:val="0"/>
        <w:ind w:left="709" w:right="760" w:firstLine="2"/>
        <w:jc w:val="both"/>
        <w:rPr>
          <w:rFonts w:ascii="Arial" w:eastAsia="Arial" w:hAnsi="Arial" w:cs="Arial"/>
          <w:sz w:val="22"/>
          <w:szCs w:val="22"/>
          <w:lang w:eastAsia="es-ES" w:bidi="es-ES"/>
        </w:rPr>
      </w:pPr>
    </w:p>
    <w:p w14:paraId="7C6F5327" w14:textId="77777777" w:rsidR="00D62F13" w:rsidRPr="00D62F13" w:rsidRDefault="00D62F13" w:rsidP="00D62F13">
      <w:pPr>
        <w:widowControl w:val="0"/>
        <w:autoSpaceDE w:val="0"/>
        <w:autoSpaceDN w:val="0"/>
        <w:ind w:left="709" w:right="760" w:firstLine="2"/>
        <w:jc w:val="both"/>
        <w:rPr>
          <w:rFonts w:ascii="Arial" w:eastAsia="Arial" w:hAnsi="Arial" w:cs="Arial"/>
          <w:sz w:val="22"/>
          <w:szCs w:val="22"/>
          <w:lang w:eastAsia="es-ES" w:bidi="es-ES"/>
        </w:rPr>
      </w:pPr>
      <w:r w:rsidRPr="00D62F13">
        <w:rPr>
          <w:rFonts w:ascii="Arial" w:eastAsia="Arial" w:hAnsi="Arial" w:cs="Arial"/>
          <w:sz w:val="22"/>
          <w:szCs w:val="22"/>
          <w:lang w:eastAsia="es-ES" w:bidi="es-ES"/>
        </w:rPr>
        <w:t>2. La lista de los contratos de obras civiles en ejecución, suscritos por sociedades, consorcios o uniones temporales, en los cuales el proponente tenga participación, con Entidades Estatales y con entidades privadas, así como el valor y plazo de tales contratos, incluyendo los contratos de concesión y los contratos de obra suscritos con concesionarios.</w:t>
      </w:r>
    </w:p>
    <w:p w14:paraId="55D6098F" w14:textId="77777777" w:rsidR="00D62F13" w:rsidRPr="00D62F13" w:rsidRDefault="00D62F13" w:rsidP="00D62F13">
      <w:pPr>
        <w:widowControl w:val="0"/>
        <w:autoSpaceDE w:val="0"/>
        <w:autoSpaceDN w:val="0"/>
        <w:ind w:left="709" w:right="760" w:firstLine="2"/>
        <w:jc w:val="both"/>
        <w:rPr>
          <w:rFonts w:ascii="Arial" w:eastAsia="Arial" w:hAnsi="Arial" w:cs="Arial"/>
          <w:sz w:val="22"/>
          <w:szCs w:val="22"/>
          <w:lang w:eastAsia="es-ES" w:bidi="es-ES"/>
        </w:rPr>
      </w:pPr>
    </w:p>
    <w:p w14:paraId="0F399FAC" w14:textId="77777777" w:rsidR="00D62F13" w:rsidRPr="00D62F13" w:rsidRDefault="00D62F13" w:rsidP="00D62F13">
      <w:pPr>
        <w:widowControl w:val="0"/>
        <w:autoSpaceDE w:val="0"/>
        <w:autoSpaceDN w:val="0"/>
        <w:ind w:left="709" w:right="760" w:firstLine="2"/>
        <w:jc w:val="both"/>
        <w:rPr>
          <w:rFonts w:ascii="Arial" w:eastAsia="Arial" w:hAnsi="Arial" w:cs="Arial"/>
          <w:sz w:val="22"/>
          <w:szCs w:val="22"/>
          <w:lang w:eastAsia="es-ES" w:bidi="es-ES"/>
        </w:rPr>
      </w:pPr>
      <w:r w:rsidRPr="00D62F13">
        <w:rPr>
          <w:rFonts w:ascii="Arial" w:eastAsia="Arial" w:hAnsi="Arial" w:cs="Arial"/>
          <w:sz w:val="22"/>
          <w:szCs w:val="22"/>
          <w:lang w:eastAsia="es-ES" w:bidi="es-ES"/>
        </w:rPr>
        <w:t xml:space="preserve">3. Balance general auditado del año inmediatamente anterior y estado de resultados auditado del año en que haya obtenido el mayor ingreso operacional en los últimos cinco (5) años. Los estados financieros deben estar suscritos por el interesado o su representante legal y el revisor fiscal si está obligado a tenerlo, o el auditor o contador si no está obligado a tener revisor fiscal. Si se trata de proponentes obligados a tener RUP, las Entidades Estatales solo deben solicitar como documento adicional el estado de resultados del año en que el proponente obtuvo el mayor ingreso operacional en los últimos cinco (5) años. </w:t>
      </w:r>
    </w:p>
    <w:p w14:paraId="30AF5277" w14:textId="77777777" w:rsidR="00D62F13" w:rsidRPr="00D62F13" w:rsidRDefault="00D62F13" w:rsidP="00D62F13">
      <w:pPr>
        <w:widowControl w:val="0"/>
        <w:autoSpaceDE w:val="0"/>
        <w:autoSpaceDN w:val="0"/>
        <w:ind w:left="709" w:right="760" w:firstLine="2"/>
        <w:rPr>
          <w:rFonts w:ascii="Arial" w:eastAsia="Arial" w:hAnsi="Arial" w:cs="Arial"/>
          <w:sz w:val="22"/>
          <w:szCs w:val="22"/>
          <w:lang w:eastAsia="es-ES" w:bidi="es-ES"/>
        </w:rPr>
      </w:pPr>
    </w:p>
    <w:p w14:paraId="50FB75EC" w14:textId="77777777" w:rsidR="00D62F13" w:rsidRPr="00D62F13" w:rsidRDefault="00D62F13" w:rsidP="00D62F13">
      <w:pPr>
        <w:widowControl w:val="0"/>
        <w:autoSpaceDE w:val="0"/>
        <w:autoSpaceDN w:val="0"/>
        <w:ind w:left="709" w:right="760" w:firstLine="2"/>
        <w:rPr>
          <w:rFonts w:ascii="Arial" w:eastAsia="Arial" w:hAnsi="Arial" w:cs="Arial"/>
          <w:sz w:val="22"/>
          <w:szCs w:val="22"/>
          <w:lang w:eastAsia="es-ES" w:bidi="es-ES"/>
        </w:rPr>
      </w:pPr>
      <w:r w:rsidRPr="00D62F13">
        <w:rPr>
          <w:rFonts w:ascii="Arial" w:eastAsia="Arial" w:hAnsi="Arial" w:cs="Arial"/>
          <w:sz w:val="22"/>
          <w:szCs w:val="22"/>
          <w:lang w:eastAsia="es-ES" w:bidi="es-ES"/>
        </w:rPr>
        <w:t>[…]</w:t>
      </w:r>
    </w:p>
    <w:p w14:paraId="59E7BEA4" w14:textId="77777777" w:rsidR="00D62F13" w:rsidRPr="00D62F13" w:rsidRDefault="00D62F13" w:rsidP="00D62F13">
      <w:pPr>
        <w:widowControl w:val="0"/>
        <w:autoSpaceDE w:val="0"/>
        <w:autoSpaceDN w:val="0"/>
        <w:ind w:left="709" w:right="760"/>
        <w:rPr>
          <w:rFonts w:ascii="Arial" w:eastAsia="Arial" w:hAnsi="Arial" w:cs="Arial"/>
          <w:sz w:val="22"/>
          <w:szCs w:val="22"/>
          <w:lang w:eastAsia="es-ES" w:bidi="es-ES"/>
        </w:rPr>
      </w:pPr>
    </w:p>
    <w:p w14:paraId="2A89869A" w14:textId="77777777" w:rsidR="00D62F13" w:rsidRPr="00D62F13" w:rsidRDefault="00D62F13" w:rsidP="00D62F13">
      <w:pPr>
        <w:widowControl w:val="0"/>
        <w:autoSpaceDE w:val="0"/>
        <w:autoSpaceDN w:val="0"/>
        <w:ind w:left="709" w:right="760" w:firstLine="2"/>
        <w:jc w:val="both"/>
        <w:rPr>
          <w:rFonts w:ascii="Arial" w:eastAsia="Arial" w:hAnsi="Arial" w:cs="Arial"/>
          <w:sz w:val="22"/>
          <w:szCs w:val="22"/>
          <w:lang w:eastAsia="es-ES" w:bidi="es-ES"/>
        </w:rPr>
      </w:pPr>
      <w:r w:rsidRPr="00D62F13">
        <w:rPr>
          <w:rFonts w:ascii="Arial" w:eastAsia="Arial" w:hAnsi="Arial" w:cs="Arial"/>
          <w:sz w:val="22"/>
          <w:szCs w:val="22"/>
          <w:lang w:eastAsia="es-ES" w:bidi="es-ES"/>
        </w:rPr>
        <w:t xml:space="preserve">La Entidad Estatal debe calcular la Capacidad Residual del proponente de acuerdo con la metodología que defina Colombia Compra Eficiente, teniendo en cuenta los factores de: Experiencia (E), Capacidad Financiera (CF), Capacidad Técnica (CT), Capacidad de Organización (CO), y los saldos de </w:t>
      </w:r>
      <w:r w:rsidRPr="00D62F13">
        <w:rPr>
          <w:rFonts w:ascii="Arial" w:eastAsia="Arial" w:hAnsi="Arial" w:cs="Arial"/>
          <w:sz w:val="22"/>
          <w:szCs w:val="22"/>
          <w:lang w:eastAsia="es-ES" w:bidi="es-ES"/>
        </w:rPr>
        <w:lastRenderedPageBreak/>
        <w:t>los contratos en ejecución (SCE).</w:t>
      </w:r>
    </w:p>
    <w:p w14:paraId="78FD806F" w14:textId="77777777" w:rsidR="00D62F13" w:rsidRPr="00D62F13" w:rsidRDefault="00D62F13" w:rsidP="00D62F13">
      <w:pPr>
        <w:widowControl w:val="0"/>
        <w:autoSpaceDE w:val="0"/>
        <w:autoSpaceDN w:val="0"/>
        <w:ind w:right="49"/>
        <w:rPr>
          <w:rFonts w:ascii="Arial" w:eastAsia="Arial" w:hAnsi="Arial" w:cs="Arial"/>
          <w:sz w:val="22"/>
          <w:szCs w:val="22"/>
          <w:lang w:eastAsia="es-ES" w:bidi="es-ES"/>
        </w:rPr>
      </w:pPr>
    </w:p>
    <w:p w14:paraId="30350EE6" w14:textId="77777777" w:rsidR="00D62F13" w:rsidRPr="00D62F13" w:rsidRDefault="00D62F13" w:rsidP="00D62F13">
      <w:pPr>
        <w:widowControl w:val="0"/>
        <w:autoSpaceDE w:val="0"/>
        <w:autoSpaceDN w:val="0"/>
        <w:spacing w:line="276" w:lineRule="auto"/>
        <w:ind w:right="49" w:firstLine="709"/>
        <w:jc w:val="both"/>
        <w:rPr>
          <w:rFonts w:ascii="Arial" w:eastAsia="Arial" w:hAnsi="Arial" w:cs="Arial"/>
          <w:sz w:val="22"/>
          <w:szCs w:val="22"/>
          <w:lang w:eastAsia="es-ES" w:bidi="es-ES"/>
        </w:rPr>
      </w:pPr>
      <w:r w:rsidRPr="00D62F13">
        <w:rPr>
          <w:rFonts w:ascii="Arial" w:eastAsia="Arial" w:hAnsi="Arial" w:cs="Arial"/>
          <w:sz w:val="22"/>
          <w:szCs w:val="22"/>
          <w:lang w:eastAsia="es-ES" w:bidi="es-ES"/>
        </w:rPr>
        <w:t>De conformidad con lo anterior, la Agencia Nacional de Contratación Pública – Colombia Compra Eficiente expidió la «Guía para Determinar y Verificar la Capacidad Residual del Proponente en los Procesos de Contratación de Obra Pública». Este documento establece, entre otras cuestiones, que a la entidad contratante le corresponde, en primer lugar, establecer la capacidad residual del proceso de contratación CRPC y, en segundo término, determinar si los proponentes cumplen con la capacidad residual del proceso de contratación, claro está, teniendo en cuenta la siguiente información aportada por el proponente:</w:t>
      </w:r>
    </w:p>
    <w:p w14:paraId="7E8948AB" w14:textId="77777777" w:rsidR="00D62F13" w:rsidRPr="00D62F13" w:rsidRDefault="00D62F13" w:rsidP="00D62F13">
      <w:pPr>
        <w:widowControl w:val="0"/>
        <w:autoSpaceDE w:val="0"/>
        <w:autoSpaceDN w:val="0"/>
        <w:ind w:left="709" w:right="760"/>
        <w:jc w:val="both"/>
        <w:rPr>
          <w:rFonts w:ascii="Arial" w:eastAsia="Arial" w:hAnsi="Arial" w:cs="Arial"/>
          <w:sz w:val="22"/>
          <w:szCs w:val="22"/>
          <w:lang w:eastAsia="es-ES" w:bidi="es-ES"/>
        </w:rPr>
      </w:pPr>
    </w:p>
    <w:p w14:paraId="73B5D462" w14:textId="77777777" w:rsidR="00D62F13" w:rsidRPr="00D62F13" w:rsidRDefault="00D62F13" w:rsidP="00D62F13">
      <w:pPr>
        <w:widowControl w:val="0"/>
        <w:numPr>
          <w:ilvl w:val="0"/>
          <w:numId w:val="42"/>
        </w:numPr>
        <w:tabs>
          <w:tab w:val="left" w:pos="993"/>
        </w:tabs>
        <w:autoSpaceDE w:val="0"/>
        <w:autoSpaceDN w:val="0"/>
        <w:ind w:left="709" w:right="760" w:firstLine="0"/>
        <w:jc w:val="both"/>
        <w:rPr>
          <w:rFonts w:ascii="Arial" w:eastAsia="Arial" w:hAnsi="Arial" w:cs="Arial"/>
          <w:sz w:val="22"/>
          <w:szCs w:val="22"/>
          <w:lang w:eastAsia="es-ES" w:bidi="es-ES"/>
        </w:rPr>
      </w:pPr>
      <w:r w:rsidRPr="00D62F13">
        <w:rPr>
          <w:rFonts w:ascii="Arial" w:eastAsia="Arial" w:hAnsi="Arial" w:cs="Arial"/>
          <w:sz w:val="22"/>
          <w:szCs w:val="22"/>
          <w:lang w:eastAsia="es-ES" w:bidi="es-ES"/>
        </w:rPr>
        <w:t>La lista de los Contratos en Ejecución, así como el valor y plazo de tales contratos.</w:t>
      </w:r>
    </w:p>
    <w:p w14:paraId="21A1B501" w14:textId="77777777" w:rsidR="00D62F13" w:rsidRPr="00D62F13" w:rsidRDefault="00D62F13" w:rsidP="00D62F13">
      <w:pPr>
        <w:widowControl w:val="0"/>
        <w:tabs>
          <w:tab w:val="left" w:pos="993"/>
        </w:tabs>
        <w:autoSpaceDE w:val="0"/>
        <w:autoSpaceDN w:val="0"/>
        <w:ind w:left="709" w:right="760"/>
        <w:jc w:val="both"/>
        <w:rPr>
          <w:rFonts w:ascii="Arial" w:eastAsia="Arial" w:hAnsi="Arial" w:cs="Arial"/>
          <w:sz w:val="22"/>
          <w:szCs w:val="22"/>
          <w:lang w:eastAsia="es-ES" w:bidi="es-ES"/>
        </w:rPr>
      </w:pPr>
    </w:p>
    <w:p w14:paraId="53A9B583" w14:textId="77777777" w:rsidR="00D62F13" w:rsidRPr="00D62F13" w:rsidRDefault="00D62F13" w:rsidP="00D62F13">
      <w:pPr>
        <w:widowControl w:val="0"/>
        <w:numPr>
          <w:ilvl w:val="0"/>
          <w:numId w:val="42"/>
        </w:numPr>
        <w:tabs>
          <w:tab w:val="left" w:pos="993"/>
        </w:tabs>
        <w:autoSpaceDE w:val="0"/>
        <w:autoSpaceDN w:val="0"/>
        <w:ind w:left="709" w:right="760" w:firstLine="0"/>
        <w:jc w:val="both"/>
        <w:rPr>
          <w:rFonts w:ascii="Arial" w:eastAsia="Arial" w:hAnsi="Arial" w:cs="Arial"/>
          <w:sz w:val="22"/>
          <w:szCs w:val="22"/>
          <w:lang w:eastAsia="es-ES" w:bidi="es-ES"/>
        </w:rPr>
      </w:pPr>
      <w:r w:rsidRPr="00D62F13">
        <w:rPr>
          <w:rFonts w:ascii="Arial" w:eastAsia="Arial" w:hAnsi="Arial" w:cs="Arial"/>
          <w:sz w:val="22"/>
          <w:szCs w:val="22"/>
          <w:lang w:eastAsia="es-ES" w:bidi="es-ES"/>
        </w:rPr>
        <w:t>La lista de los Contratos en Ejecución, suscritos por sociedades, consorcios o uniones temporales, en los cuales el proponente tenga participación, así como el valor y plazo de tales contratos.</w:t>
      </w:r>
    </w:p>
    <w:p w14:paraId="30A54DBD" w14:textId="77777777" w:rsidR="00D62F13" w:rsidRPr="00D62F13" w:rsidRDefault="00D62F13" w:rsidP="00D62F13">
      <w:pPr>
        <w:widowControl w:val="0"/>
        <w:tabs>
          <w:tab w:val="left" w:pos="993"/>
        </w:tabs>
        <w:autoSpaceDE w:val="0"/>
        <w:autoSpaceDN w:val="0"/>
        <w:ind w:right="760"/>
        <w:jc w:val="both"/>
        <w:rPr>
          <w:rFonts w:ascii="Arial" w:eastAsia="Arial" w:hAnsi="Arial" w:cs="Arial"/>
          <w:sz w:val="22"/>
          <w:szCs w:val="22"/>
          <w:lang w:eastAsia="es-ES" w:bidi="es-ES"/>
        </w:rPr>
      </w:pPr>
    </w:p>
    <w:p w14:paraId="50A41BC2" w14:textId="77777777" w:rsidR="00D62F13" w:rsidRPr="00D62F13" w:rsidRDefault="00D62F13" w:rsidP="00D62F13">
      <w:pPr>
        <w:widowControl w:val="0"/>
        <w:numPr>
          <w:ilvl w:val="0"/>
          <w:numId w:val="42"/>
        </w:numPr>
        <w:tabs>
          <w:tab w:val="left" w:pos="993"/>
        </w:tabs>
        <w:autoSpaceDE w:val="0"/>
        <w:autoSpaceDN w:val="0"/>
        <w:ind w:left="709" w:right="760" w:firstLine="0"/>
        <w:jc w:val="both"/>
        <w:rPr>
          <w:rFonts w:ascii="Arial" w:eastAsia="Arial" w:hAnsi="Arial" w:cs="Arial"/>
          <w:sz w:val="22"/>
          <w:szCs w:val="22"/>
          <w:lang w:eastAsia="es-ES" w:bidi="es-ES"/>
        </w:rPr>
      </w:pPr>
      <w:r w:rsidRPr="00D62F13">
        <w:rPr>
          <w:rFonts w:ascii="Arial" w:eastAsia="Arial" w:hAnsi="Arial" w:cs="Arial"/>
          <w:sz w:val="22"/>
          <w:szCs w:val="22"/>
          <w:lang w:eastAsia="es-ES" w:bidi="es-ES"/>
        </w:rPr>
        <w:t>El estado de resultados auditado que contiene el mejor ingreso operacional de los últimos cinco (5) años y el balance general auditado del último año, suscrito por el interesado o su representante legal y el revisor fiscal si está obligado a tenerlo, o el auditor o contador si no está obligado a tener revisor fiscal. Si se trata de proponentes obligados a tener RUP, las Entidades Estatales solo deben solicitar como documento adicional el estado de resultados que contiene el mejor ingreso operacional de los últimos cinco (5) años puesto que la información de la liquidez se encuentra en el RUP.</w:t>
      </w:r>
    </w:p>
    <w:p w14:paraId="42C9C1FC" w14:textId="77777777" w:rsidR="00D62F13" w:rsidRPr="00D62F13" w:rsidRDefault="00D62F13" w:rsidP="00D62F13">
      <w:pPr>
        <w:widowControl w:val="0"/>
        <w:autoSpaceDE w:val="0"/>
        <w:autoSpaceDN w:val="0"/>
        <w:spacing w:line="276" w:lineRule="auto"/>
        <w:ind w:right="51" w:firstLine="709"/>
        <w:jc w:val="both"/>
        <w:rPr>
          <w:rFonts w:ascii="Arial" w:eastAsia="Arial" w:hAnsi="Arial" w:cs="Arial"/>
          <w:sz w:val="22"/>
          <w:szCs w:val="22"/>
          <w:lang w:eastAsia="es-ES" w:bidi="es-ES"/>
        </w:rPr>
      </w:pPr>
    </w:p>
    <w:p w14:paraId="5123B896" w14:textId="77777777" w:rsidR="00D62F13" w:rsidRPr="00D62F13" w:rsidRDefault="00D62F13" w:rsidP="00D62F13">
      <w:pPr>
        <w:widowControl w:val="0"/>
        <w:autoSpaceDE w:val="0"/>
        <w:autoSpaceDN w:val="0"/>
        <w:spacing w:line="276" w:lineRule="auto"/>
        <w:ind w:right="51" w:firstLine="709"/>
        <w:jc w:val="both"/>
        <w:rPr>
          <w:rFonts w:ascii="Arial" w:eastAsia="Arial" w:hAnsi="Arial" w:cs="Arial"/>
          <w:sz w:val="22"/>
          <w:szCs w:val="22"/>
          <w:lang w:eastAsia="es-ES" w:bidi="es-ES"/>
        </w:rPr>
      </w:pPr>
      <w:r w:rsidRPr="00D62F13">
        <w:rPr>
          <w:rFonts w:ascii="Arial" w:eastAsia="Arial" w:hAnsi="Arial" w:cs="Arial"/>
          <w:sz w:val="22"/>
          <w:szCs w:val="22"/>
          <w:lang w:eastAsia="es-ES" w:bidi="es-ES"/>
        </w:rPr>
        <w:t>Para establecer la capacidad residual del proceso de contratación CRPC se debe determinar si el plazo del contrato es superior a 12 meses. Si no lo es, la CRPC equivale al presupuesto oficial estimado del Proceso de Contratación menos el anticipo o pago anticipado cuando haya lugar. Si lo es, equivale a la proporción lineal de 12 meses del presupuesto oficial estimado menos el anticipo o pago anticipado.</w:t>
      </w:r>
    </w:p>
    <w:p w14:paraId="626D3CBD" w14:textId="77777777" w:rsidR="00D62F13" w:rsidRPr="00D62F13" w:rsidRDefault="00D62F13" w:rsidP="00D62F13">
      <w:pPr>
        <w:widowControl w:val="0"/>
        <w:autoSpaceDE w:val="0"/>
        <w:autoSpaceDN w:val="0"/>
        <w:spacing w:before="120" w:line="276" w:lineRule="auto"/>
        <w:ind w:right="51" w:firstLine="709"/>
        <w:jc w:val="both"/>
        <w:rPr>
          <w:rFonts w:ascii="Arial" w:eastAsia="Arial" w:hAnsi="Arial" w:cs="Arial"/>
          <w:sz w:val="22"/>
          <w:szCs w:val="22"/>
          <w:lang w:eastAsia="es-ES" w:bidi="es-ES"/>
        </w:rPr>
      </w:pPr>
      <w:r w:rsidRPr="00D62F13">
        <w:rPr>
          <w:rFonts w:ascii="Arial" w:eastAsia="Arial" w:hAnsi="Arial" w:cs="Arial"/>
          <w:sz w:val="22"/>
          <w:szCs w:val="22"/>
          <w:lang w:eastAsia="es-ES" w:bidi="es-ES"/>
        </w:rPr>
        <w:t>Para lo segundo, es decir, verificar que cada proponente cumple con la CRPC, la entidad pública debe verificar que la capacidad residual del proponente CRP sea igual o superior a la capacidad referida en el párrafo precedente. De todas formas, previamente debe establecer la CRP, con fundamento en los siguientes factores: i) experiencia «E»; ii) capacidad financiera «CF»; iii) capacidad técnica «CT», iv) capacidad de organización «CO»; y v) los saldos de los contratos en ejecución «SCE», y según la siguiente fórmula:</w:t>
      </w:r>
    </w:p>
    <w:p w14:paraId="13C00E3B" w14:textId="77777777" w:rsidR="00D62F13" w:rsidRPr="00D62F13" w:rsidRDefault="00D62F13" w:rsidP="00D62F13">
      <w:pPr>
        <w:widowControl w:val="0"/>
        <w:tabs>
          <w:tab w:val="left" w:pos="709"/>
          <w:tab w:val="left" w:pos="8080"/>
        </w:tabs>
        <w:autoSpaceDE w:val="0"/>
        <w:autoSpaceDN w:val="0"/>
        <w:spacing w:before="10"/>
        <w:ind w:right="49"/>
        <w:rPr>
          <w:rFonts w:ascii="Arial" w:eastAsia="Arial" w:hAnsi="Arial" w:cs="Arial"/>
          <w:sz w:val="22"/>
          <w:szCs w:val="22"/>
          <w:lang w:eastAsia="es-ES" w:bidi="es-ES"/>
        </w:rPr>
      </w:pPr>
      <w:r w:rsidRPr="00D62F13">
        <w:rPr>
          <w:rFonts w:ascii="Arial" w:eastAsia="Arial" w:hAnsi="Arial" w:cs="Arial"/>
          <w:noProof/>
          <w:sz w:val="22"/>
          <w:szCs w:val="22"/>
          <w:lang w:eastAsia="es-CO"/>
        </w:rPr>
        <w:lastRenderedPageBreak/>
        <w:drawing>
          <wp:anchor distT="0" distB="0" distL="0" distR="0" simplePos="0" relativeHeight="251659264" behindDoc="0" locked="0" layoutInCell="1" allowOverlap="1" wp14:anchorId="6C3FD42C" wp14:editId="67BB7E10">
            <wp:simplePos x="0" y="0"/>
            <wp:positionH relativeFrom="page">
              <wp:posOffset>1545590</wp:posOffset>
            </wp:positionH>
            <wp:positionV relativeFrom="paragraph">
              <wp:posOffset>160655</wp:posOffset>
            </wp:positionV>
            <wp:extent cx="4638040" cy="674370"/>
            <wp:effectExtent l="0" t="0" r="0" b="0"/>
            <wp:wrapTopAndBottom/>
            <wp:docPr id="2"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2" cstate="print"/>
                    <a:stretch>
                      <a:fillRect/>
                    </a:stretch>
                  </pic:blipFill>
                  <pic:spPr>
                    <a:xfrm>
                      <a:off x="0" y="0"/>
                      <a:ext cx="4638040" cy="674370"/>
                    </a:xfrm>
                    <a:prstGeom prst="rect">
                      <a:avLst/>
                    </a:prstGeom>
                  </pic:spPr>
                </pic:pic>
              </a:graphicData>
            </a:graphic>
            <wp14:sizeRelH relativeFrom="margin">
              <wp14:pctWidth>0</wp14:pctWidth>
            </wp14:sizeRelH>
          </wp:anchor>
        </w:drawing>
      </w:r>
    </w:p>
    <w:p w14:paraId="65491DAA" w14:textId="77777777" w:rsidR="00D62F13" w:rsidRPr="00D62F13" w:rsidRDefault="00D62F13" w:rsidP="00D62F13">
      <w:pPr>
        <w:widowControl w:val="0"/>
        <w:autoSpaceDE w:val="0"/>
        <w:autoSpaceDN w:val="0"/>
        <w:spacing w:before="120" w:line="276" w:lineRule="auto"/>
        <w:ind w:right="51" w:firstLine="709"/>
        <w:jc w:val="both"/>
        <w:rPr>
          <w:rFonts w:ascii="Arial" w:eastAsia="Arial" w:hAnsi="Arial" w:cs="Arial"/>
          <w:sz w:val="22"/>
          <w:szCs w:val="22"/>
          <w:lang w:eastAsia="es-ES" w:bidi="es-ES"/>
        </w:rPr>
      </w:pPr>
      <w:r w:rsidRPr="00D62F13">
        <w:rPr>
          <w:rFonts w:ascii="Arial" w:eastAsia="Arial" w:hAnsi="Arial" w:cs="Arial"/>
          <w:sz w:val="22"/>
          <w:szCs w:val="22"/>
          <w:lang w:eastAsia="es-ES" w:bidi="es-ES"/>
        </w:rPr>
        <w:t>A cada uno de estos factores se les debe asignar el siguiente puntaje máximo: i) «E» 120; ii) «CF» 40; y iii) «CT» 40. La «CO» no tiene asignación de puntaje en la fórmula, por un lado, porque su unidad de medida es en pesos colombianos «COP» y, por el otro, debido a que el mismo constituye un factor multiplicador de los demás factores en la fórmula. A continuación, se explicará, en términos generales, cómo calcular cada factor:</w:t>
      </w:r>
    </w:p>
    <w:p w14:paraId="4103F0E7" w14:textId="77777777" w:rsidR="00D62F13" w:rsidRPr="00D62F13" w:rsidRDefault="00D62F13" w:rsidP="00D62F13">
      <w:pPr>
        <w:widowControl w:val="0"/>
        <w:numPr>
          <w:ilvl w:val="0"/>
          <w:numId w:val="43"/>
        </w:numPr>
        <w:tabs>
          <w:tab w:val="left" w:pos="993"/>
        </w:tabs>
        <w:autoSpaceDE w:val="0"/>
        <w:autoSpaceDN w:val="0"/>
        <w:spacing w:before="120" w:line="276" w:lineRule="auto"/>
        <w:ind w:left="0" w:right="51" w:firstLine="709"/>
        <w:jc w:val="both"/>
        <w:rPr>
          <w:rFonts w:ascii="Arial" w:eastAsia="Arial" w:hAnsi="Arial" w:cs="Arial"/>
          <w:i/>
          <w:iCs/>
          <w:sz w:val="22"/>
          <w:szCs w:val="22"/>
          <w:lang w:eastAsia="es-ES" w:bidi="es-ES"/>
        </w:rPr>
      </w:pPr>
      <w:r w:rsidRPr="00D62F13">
        <w:rPr>
          <w:rFonts w:ascii="Arial" w:eastAsia="Arial" w:hAnsi="Arial" w:cs="Arial"/>
          <w:i/>
          <w:iCs/>
          <w:sz w:val="22"/>
          <w:szCs w:val="22"/>
          <w:lang w:eastAsia="es-ES" w:bidi="es-ES"/>
        </w:rPr>
        <w:t>Capacidad financiera.</w:t>
      </w:r>
      <w:r w:rsidRPr="00D62F13">
        <w:rPr>
          <w:rFonts w:ascii="Arial" w:eastAsia="Arial" w:hAnsi="Arial" w:cs="Arial"/>
          <w:sz w:val="22"/>
          <w:szCs w:val="22"/>
          <w:lang w:eastAsia="es-ES" w:bidi="es-ES"/>
        </w:rPr>
        <w:t xml:space="preserve"> Se mide por el «índice de liquidez» y este, a su vez, corresponde al resultado de dividir el «activo corriente» sobre el «pasivo corriente». El resultado puede ser calificado entre 20 y cuarenta puntos, según se explica en la Guía.</w:t>
      </w:r>
    </w:p>
    <w:p w14:paraId="4F3DA835" w14:textId="77777777" w:rsidR="00D62F13" w:rsidRPr="00D62F13" w:rsidRDefault="00D62F13" w:rsidP="00D62F13">
      <w:pPr>
        <w:widowControl w:val="0"/>
        <w:numPr>
          <w:ilvl w:val="0"/>
          <w:numId w:val="43"/>
        </w:numPr>
        <w:tabs>
          <w:tab w:val="left" w:pos="993"/>
        </w:tabs>
        <w:autoSpaceDE w:val="0"/>
        <w:autoSpaceDN w:val="0"/>
        <w:spacing w:before="120" w:line="276" w:lineRule="auto"/>
        <w:ind w:left="0" w:right="51" w:firstLine="709"/>
        <w:jc w:val="both"/>
        <w:rPr>
          <w:rFonts w:ascii="Arial" w:eastAsia="Arial" w:hAnsi="Arial" w:cs="Arial"/>
          <w:i/>
          <w:iCs/>
          <w:sz w:val="22"/>
          <w:szCs w:val="22"/>
          <w:lang w:eastAsia="es-ES" w:bidi="es-ES"/>
        </w:rPr>
      </w:pPr>
      <w:r w:rsidRPr="00D62F13">
        <w:rPr>
          <w:rFonts w:ascii="Arial" w:eastAsia="Arial" w:hAnsi="Arial" w:cs="Arial"/>
          <w:i/>
          <w:iCs/>
          <w:sz w:val="22"/>
          <w:szCs w:val="22"/>
          <w:lang w:eastAsia="es-ES" w:bidi="es-ES"/>
        </w:rPr>
        <w:t>Capacidad técnica</w:t>
      </w:r>
      <w:r w:rsidRPr="00D62F13">
        <w:rPr>
          <w:rFonts w:ascii="Arial" w:eastAsia="Arial" w:hAnsi="Arial" w:cs="Arial"/>
          <w:sz w:val="22"/>
          <w:szCs w:val="22"/>
          <w:lang w:eastAsia="es-ES" w:bidi="es-ES"/>
        </w:rPr>
        <w:t>. Se determina teniendo en cuenta el número de socios y profesionales de la arquitectura, ingeniería y geología vinculados mediante una relación laboral o contractual. El puntaje a asignar, según la Guía, oscila entre 20 y 40 puntos. Para tales fines, se aclara, el proponente debe diligenciar el Anexo 2 de la «Guía para Determinar y Verificar la Capacidad Residual del Proponente en los Procesos de Contratación de Obra Pública» −este es diferente al Anexo 2 de los Documentos Tipo−.</w:t>
      </w:r>
    </w:p>
    <w:p w14:paraId="0B6ACE60" w14:textId="77777777" w:rsidR="00D62F13" w:rsidRPr="00D62F13" w:rsidRDefault="00D62F13" w:rsidP="00D62F13">
      <w:pPr>
        <w:widowControl w:val="0"/>
        <w:numPr>
          <w:ilvl w:val="0"/>
          <w:numId w:val="43"/>
        </w:numPr>
        <w:tabs>
          <w:tab w:val="left" w:pos="993"/>
        </w:tabs>
        <w:autoSpaceDE w:val="0"/>
        <w:autoSpaceDN w:val="0"/>
        <w:spacing w:before="120" w:line="276" w:lineRule="auto"/>
        <w:ind w:left="0" w:right="51" w:firstLine="709"/>
        <w:jc w:val="both"/>
        <w:rPr>
          <w:rFonts w:ascii="Arial" w:eastAsia="Arial" w:hAnsi="Arial" w:cs="Arial"/>
          <w:i/>
          <w:iCs/>
          <w:sz w:val="22"/>
          <w:szCs w:val="22"/>
          <w:lang w:eastAsia="es-ES" w:bidi="es-ES"/>
        </w:rPr>
      </w:pPr>
      <w:r w:rsidRPr="00D62F13">
        <w:rPr>
          <w:rFonts w:ascii="Arial" w:eastAsia="Arial" w:hAnsi="Arial" w:cs="Arial"/>
          <w:i/>
          <w:iCs/>
          <w:sz w:val="22"/>
          <w:szCs w:val="22"/>
          <w:lang w:eastAsia="es-ES" w:bidi="es-ES"/>
        </w:rPr>
        <w:t>Capacidad de organización</w:t>
      </w:r>
      <w:r w:rsidRPr="00D62F13">
        <w:rPr>
          <w:rFonts w:ascii="Arial" w:eastAsia="Arial" w:hAnsi="Arial" w:cs="Arial"/>
          <w:sz w:val="22"/>
          <w:szCs w:val="22"/>
          <w:lang w:eastAsia="es-ES" w:bidi="es-ES"/>
        </w:rPr>
        <w:t>. Corresponde a los ingresos operacionales, según el siguiente cuadro:</w:t>
      </w:r>
    </w:p>
    <w:p w14:paraId="1B7BF98A" w14:textId="77777777" w:rsidR="00D62F13" w:rsidRPr="00D62F13" w:rsidRDefault="00D62F13" w:rsidP="00D62F13">
      <w:pPr>
        <w:widowControl w:val="0"/>
        <w:tabs>
          <w:tab w:val="left" w:pos="993"/>
        </w:tabs>
        <w:autoSpaceDE w:val="0"/>
        <w:autoSpaceDN w:val="0"/>
        <w:spacing w:before="120" w:line="276" w:lineRule="auto"/>
        <w:ind w:left="709" w:right="51"/>
        <w:jc w:val="both"/>
        <w:rPr>
          <w:rFonts w:ascii="Arial" w:eastAsia="Arial" w:hAnsi="Arial" w:cs="Arial"/>
          <w:i/>
          <w:iCs/>
          <w:sz w:val="22"/>
          <w:szCs w:val="22"/>
          <w:lang w:eastAsia="es-ES" w:bidi="es-ES"/>
        </w:rPr>
      </w:pPr>
    </w:p>
    <w:tbl>
      <w:tblPr>
        <w:tblStyle w:val="Tablaconcuadrcula4"/>
        <w:tblW w:w="7366" w:type="dxa"/>
        <w:tblInd w:w="709" w:type="dxa"/>
        <w:tblLook w:val="04A0" w:firstRow="1" w:lastRow="0" w:firstColumn="1" w:lastColumn="0" w:noHBand="0" w:noVBand="1"/>
      </w:tblPr>
      <w:tblGrid>
        <w:gridCol w:w="4053"/>
        <w:gridCol w:w="3313"/>
      </w:tblGrid>
      <w:tr w:rsidR="00D62F13" w:rsidRPr="00D62F13" w14:paraId="7AE44D1E" w14:textId="77777777" w:rsidTr="00247A66">
        <w:tc>
          <w:tcPr>
            <w:tcW w:w="4053" w:type="dxa"/>
            <w:shd w:val="clear" w:color="auto" w:fill="D9D9D9"/>
          </w:tcPr>
          <w:p w14:paraId="7E20F39A" w14:textId="77777777" w:rsidR="00D62F13" w:rsidRPr="00D62F13" w:rsidRDefault="00D62F13" w:rsidP="00D62F13">
            <w:pPr>
              <w:widowControl w:val="0"/>
              <w:tabs>
                <w:tab w:val="left" w:pos="993"/>
              </w:tabs>
              <w:autoSpaceDE w:val="0"/>
              <w:autoSpaceDN w:val="0"/>
              <w:spacing w:before="120" w:line="276" w:lineRule="auto"/>
              <w:ind w:right="51"/>
              <w:jc w:val="center"/>
              <w:rPr>
                <w:rFonts w:ascii="Arial" w:eastAsia="Arial" w:hAnsi="Arial" w:cs="Arial"/>
                <w:b/>
                <w:bCs/>
                <w:sz w:val="22"/>
                <w:szCs w:val="22"/>
                <w:lang w:eastAsia="es-ES" w:bidi="es-ES"/>
              </w:rPr>
            </w:pPr>
            <w:r w:rsidRPr="00D62F13">
              <w:rPr>
                <w:rFonts w:ascii="Arial" w:eastAsia="Arial" w:hAnsi="Arial" w:cs="Arial"/>
                <w:b/>
                <w:bCs/>
                <w:sz w:val="22"/>
                <w:szCs w:val="22"/>
                <w:lang w:eastAsia="es-ES" w:bidi="es-ES"/>
              </w:rPr>
              <w:t>Años de información financiera</w:t>
            </w:r>
          </w:p>
        </w:tc>
        <w:tc>
          <w:tcPr>
            <w:tcW w:w="3313" w:type="dxa"/>
            <w:shd w:val="clear" w:color="auto" w:fill="D9D9D9"/>
          </w:tcPr>
          <w:p w14:paraId="512E5E4B" w14:textId="77777777" w:rsidR="00D62F13" w:rsidRPr="00D62F13" w:rsidRDefault="00D62F13" w:rsidP="00D62F13">
            <w:pPr>
              <w:widowControl w:val="0"/>
              <w:tabs>
                <w:tab w:val="left" w:pos="993"/>
              </w:tabs>
              <w:autoSpaceDE w:val="0"/>
              <w:autoSpaceDN w:val="0"/>
              <w:spacing w:before="120" w:line="276" w:lineRule="auto"/>
              <w:ind w:right="51"/>
              <w:jc w:val="center"/>
              <w:rPr>
                <w:rFonts w:ascii="Arial" w:eastAsia="Arial" w:hAnsi="Arial" w:cs="Arial"/>
                <w:b/>
                <w:bCs/>
                <w:sz w:val="22"/>
                <w:szCs w:val="22"/>
                <w:lang w:eastAsia="es-ES" w:bidi="es-ES"/>
              </w:rPr>
            </w:pPr>
            <w:r w:rsidRPr="00D62F13">
              <w:rPr>
                <w:rFonts w:ascii="Arial" w:eastAsia="Arial" w:hAnsi="Arial" w:cs="Arial"/>
                <w:b/>
                <w:bCs/>
                <w:sz w:val="22"/>
                <w:szCs w:val="22"/>
                <w:lang w:eastAsia="es-ES" w:bidi="es-ES"/>
              </w:rPr>
              <w:t>Capacidad de organización</w:t>
            </w:r>
          </w:p>
        </w:tc>
      </w:tr>
      <w:tr w:rsidR="00D62F13" w:rsidRPr="00D62F13" w14:paraId="2F48A86C" w14:textId="77777777" w:rsidTr="00247A66">
        <w:tc>
          <w:tcPr>
            <w:tcW w:w="4053" w:type="dxa"/>
          </w:tcPr>
          <w:p w14:paraId="236F6AFE" w14:textId="77777777" w:rsidR="00D62F13" w:rsidRPr="00D62F13" w:rsidRDefault="00D62F13" w:rsidP="00D62F13">
            <w:pPr>
              <w:widowControl w:val="0"/>
              <w:tabs>
                <w:tab w:val="left" w:pos="993"/>
              </w:tabs>
              <w:autoSpaceDE w:val="0"/>
              <w:autoSpaceDN w:val="0"/>
              <w:spacing w:before="120" w:line="276" w:lineRule="auto"/>
              <w:ind w:right="51"/>
              <w:jc w:val="both"/>
              <w:rPr>
                <w:rFonts w:ascii="Arial" w:eastAsia="Arial" w:hAnsi="Arial" w:cs="Arial"/>
                <w:sz w:val="22"/>
                <w:szCs w:val="22"/>
                <w:lang w:eastAsia="es-ES" w:bidi="es-ES"/>
              </w:rPr>
            </w:pPr>
            <w:r w:rsidRPr="00D62F13">
              <w:rPr>
                <w:rFonts w:ascii="Arial" w:eastAsia="Arial" w:hAnsi="Arial" w:cs="Arial"/>
                <w:sz w:val="22"/>
                <w:szCs w:val="22"/>
                <w:lang w:eastAsia="es-ES" w:bidi="es-ES"/>
              </w:rPr>
              <w:t>Cinco (5) años o más</w:t>
            </w:r>
          </w:p>
        </w:tc>
        <w:tc>
          <w:tcPr>
            <w:tcW w:w="3313" w:type="dxa"/>
          </w:tcPr>
          <w:p w14:paraId="046845C1" w14:textId="77777777" w:rsidR="00D62F13" w:rsidRPr="00D62F13" w:rsidRDefault="00D62F13" w:rsidP="00D62F13">
            <w:pPr>
              <w:widowControl w:val="0"/>
              <w:tabs>
                <w:tab w:val="left" w:pos="993"/>
              </w:tabs>
              <w:autoSpaceDE w:val="0"/>
              <w:autoSpaceDN w:val="0"/>
              <w:spacing w:before="120" w:line="276" w:lineRule="auto"/>
              <w:ind w:right="51"/>
              <w:jc w:val="both"/>
              <w:rPr>
                <w:rFonts w:ascii="Arial" w:eastAsia="Arial" w:hAnsi="Arial" w:cs="Arial"/>
                <w:sz w:val="22"/>
                <w:szCs w:val="22"/>
                <w:lang w:eastAsia="es-ES" w:bidi="es-ES"/>
              </w:rPr>
            </w:pPr>
            <w:r w:rsidRPr="00D62F13">
              <w:rPr>
                <w:rFonts w:ascii="Arial" w:eastAsia="Arial" w:hAnsi="Arial" w:cs="Arial"/>
                <w:sz w:val="22"/>
                <w:szCs w:val="22"/>
                <w:lang w:eastAsia="es-ES" w:bidi="es-ES"/>
              </w:rPr>
              <w:t>Mayor ingreso operacional de los últimos cinco años</w:t>
            </w:r>
          </w:p>
        </w:tc>
      </w:tr>
      <w:tr w:rsidR="00D62F13" w:rsidRPr="00D62F13" w14:paraId="45858073" w14:textId="77777777" w:rsidTr="00247A66">
        <w:tc>
          <w:tcPr>
            <w:tcW w:w="4053" w:type="dxa"/>
          </w:tcPr>
          <w:p w14:paraId="117210A1" w14:textId="77777777" w:rsidR="00D62F13" w:rsidRPr="00D62F13" w:rsidRDefault="00D62F13" w:rsidP="00D62F13">
            <w:pPr>
              <w:widowControl w:val="0"/>
              <w:tabs>
                <w:tab w:val="left" w:pos="993"/>
              </w:tabs>
              <w:autoSpaceDE w:val="0"/>
              <w:autoSpaceDN w:val="0"/>
              <w:spacing w:before="120" w:line="276" w:lineRule="auto"/>
              <w:ind w:right="51"/>
              <w:jc w:val="both"/>
              <w:rPr>
                <w:rFonts w:ascii="Arial" w:eastAsia="Arial" w:hAnsi="Arial" w:cs="Arial"/>
                <w:sz w:val="22"/>
                <w:szCs w:val="22"/>
                <w:lang w:eastAsia="es-ES" w:bidi="es-ES"/>
              </w:rPr>
            </w:pPr>
            <w:r w:rsidRPr="00D62F13">
              <w:rPr>
                <w:rFonts w:ascii="Arial" w:eastAsia="Arial" w:hAnsi="Arial" w:cs="Arial"/>
                <w:sz w:val="22"/>
                <w:szCs w:val="22"/>
                <w:lang w:eastAsia="es-ES" w:bidi="es-ES"/>
              </w:rPr>
              <w:t>Entre uno (1) y cinco (5) años</w:t>
            </w:r>
          </w:p>
        </w:tc>
        <w:tc>
          <w:tcPr>
            <w:tcW w:w="3313" w:type="dxa"/>
          </w:tcPr>
          <w:p w14:paraId="5FF49859" w14:textId="77777777" w:rsidR="00D62F13" w:rsidRPr="00D62F13" w:rsidRDefault="00D62F13" w:rsidP="00D62F13">
            <w:pPr>
              <w:widowControl w:val="0"/>
              <w:tabs>
                <w:tab w:val="left" w:pos="993"/>
              </w:tabs>
              <w:autoSpaceDE w:val="0"/>
              <w:autoSpaceDN w:val="0"/>
              <w:spacing w:before="120" w:line="276" w:lineRule="auto"/>
              <w:ind w:right="51"/>
              <w:jc w:val="both"/>
              <w:rPr>
                <w:rFonts w:ascii="Arial" w:eastAsia="Arial" w:hAnsi="Arial" w:cs="Arial"/>
                <w:sz w:val="22"/>
                <w:szCs w:val="22"/>
                <w:lang w:eastAsia="es-ES" w:bidi="es-ES"/>
              </w:rPr>
            </w:pPr>
            <w:r w:rsidRPr="00D62F13">
              <w:rPr>
                <w:rFonts w:ascii="Arial" w:eastAsia="Arial" w:hAnsi="Arial" w:cs="Arial"/>
                <w:sz w:val="22"/>
                <w:szCs w:val="22"/>
                <w:lang w:eastAsia="es-ES" w:bidi="es-ES"/>
              </w:rPr>
              <w:t>Mayor ingreso operacional de los años de vida del oferente</w:t>
            </w:r>
          </w:p>
        </w:tc>
      </w:tr>
      <w:tr w:rsidR="00D62F13" w:rsidRPr="00D62F13" w14:paraId="04042629" w14:textId="77777777" w:rsidTr="00247A66">
        <w:tc>
          <w:tcPr>
            <w:tcW w:w="4053" w:type="dxa"/>
          </w:tcPr>
          <w:p w14:paraId="2D9D87C2" w14:textId="77777777" w:rsidR="00D62F13" w:rsidRPr="00D62F13" w:rsidRDefault="00D62F13" w:rsidP="00D62F13">
            <w:pPr>
              <w:widowControl w:val="0"/>
              <w:tabs>
                <w:tab w:val="left" w:pos="993"/>
              </w:tabs>
              <w:autoSpaceDE w:val="0"/>
              <w:autoSpaceDN w:val="0"/>
              <w:spacing w:before="120" w:line="276" w:lineRule="auto"/>
              <w:ind w:right="51"/>
              <w:jc w:val="both"/>
              <w:rPr>
                <w:rFonts w:ascii="Arial" w:eastAsia="Arial" w:hAnsi="Arial" w:cs="Arial"/>
                <w:sz w:val="22"/>
                <w:szCs w:val="22"/>
                <w:lang w:eastAsia="es-ES" w:bidi="es-ES"/>
              </w:rPr>
            </w:pPr>
            <w:r w:rsidRPr="00D62F13">
              <w:rPr>
                <w:rFonts w:ascii="Arial" w:eastAsia="Arial" w:hAnsi="Arial" w:cs="Arial"/>
                <w:sz w:val="22"/>
                <w:szCs w:val="22"/>
                <w:lang w:eastAsia="es-ES" w:bidi="es-ES"/>
              </w:rPr>
              <w:t>Menos de un (1) año</w:t>
            </w:r>
          </w:p>
        </w:tc>
        <w:tc>
          <w:tcPr>
            <w:tcW w:w="3313" w:type="dxa"/>
          </w:tcPr>
          <w:p w14:paraId="0F6DD800" w14:textId="77777777" w:rsidR="00D62F13" w:rsidRPr="00D62F13" w:rsidRDefault="00D62F13" w:rsidP="00D62F13">
            <w:pPr>
              <w:widowControl w:val="0"/>
              <w:tabs>
                <w:tab w:val="left" w:pos="993"/>
              </w:tabs>
              <w:autoSpaceDE w:val="0"/>
              <w:autoSpaceDN w:val="0"/>
              <w:spacing w:before="120" w:line="276" w:lineRule="auto"/>
              <w:ind w:right="51"/>
              <w:jc w:val="both"/>
              <w:rPr>
                <w:rFonts w:ascii="Arial" w:eastAsia="Arial" w:hAnsi="Arial" w:cs="Arial"/>
                <w:sz w:val="22"/>
                <w:szCs w:val="22"/>
                <w:lang w:eastAsia="es-ES" w:bidi="es-ES"/>
              </w:rPr>
            </w:pPr>
            <w:r w:rsidRPr="00D62F13">
              <w:rPr>
                <w:rFonts w:ascii="Arial" w:eastAsia="Arial" w:hAnsi="Arial" w:cs="Arial"/>
                <w:sz w:val="22"/>
                <w:szCs w:val="22"/>
                <w:lang w:eastAsia="es-ES" w:bidi="es-ES"/>
              </w:rPr>
              <w:t>USD 125.000</w:t>
            </w:r>
          </w:p>
        </w:tc>
      </w:tr>
    </w:tbl>
    <w:p w14:paraId="2E38A22D" w14:textId="77777777" w:rsidR="00D62F13" w:rsidRPr="00D62F13" w:rsidRDefault="00D62F13" w:rsidP="00D62F13">
      <w:pPr>
        <w:widowControl w:val="0"/>
        <w:tabs>
          <w:tab w:val="left" w:pos="993"/>
        </w:tabs>
        <w:autoSpaceDE w:val="0"/>
        <w:autoSpaceDN w:val="0"/>
        <w:spacing w:before="120" w:line="276" w:lineRule="auto"/>
        <w:ind w:left="709" w:right="51"/>
        <w:jc w:val="both"/>
        <w:rPr>
          <w:rFonts w:ascii="Arial" w:eastAsia="Arial" w:hAnsi="Arial" w:cs="Arial"/>
          <w:i/>
          <w:iCs/>
          <w:sz w:val="22"/>
          <w:szCs w:val="22"/>
          <w:lang w:eastAsia="es-ES" w:bidi="es-ES"/>
        </w:rPr>
      </w:pPr>
    </w:p>
    <w:p w14:paraId="4DB2636D" w14:textId="77777777" w:rsidR="00D62F13" w:rsidRPr="00D62F13" w:rsidRDefault="00D62F13" w:rsidP="00D62F13">
      <w:pPr>
        <w:widowControl w:val="0"/>
        <w:numPr>
          <w:ilvl w:val="0"/>
          <w:numId w:val="43"/>
        </w:numPr>
        <w:tabs>
          <w:tab w:val="left" w:pos="993"/>
        </w:tabs>
        <w:autoSpaceDE w:val="0"/>
        <w:autoSpaceDN w:val="0"/>
        <w:spacing w:before="120" w:line="276" w:lineRule="auto"/>
        <w:ind w:left="0" w:right="51" w:firstLine="709"/>
        <w:jc w:val="both"/>
        <w:rPr>
          <w:rFonts w:ascii="Arial" w:eastAsia="Arial" w:hAnsi="Arial" w:cs="Arial"/>
          <w:sz w:val="22"/>
          <w:szCs w:val="22"/>
          <w:lang w:eastAsia="es-ES" w:bidi="es-ES"/>
        </w:rPr>
      </w:pPr>
      <w:bookmarkStart w:id="11" w:name="_Hlk97644511"/>
      <w:r w:rsidRPr="00D62F13">
        <w:rPr>
          <w:rFonts w:ascii="Arial" w:eastAsia="Arial" w:hAnsi="Arial" w:cs="Arial"/>
          <w:i/>
          <w:iCs/>
          <w:sz w:val="22"/>
          <w:szCs w:val="22"/>
          <w:lang w:eastAsia="es-ES" w:bidi="es-ES"/>
        </w:rPr>
        <w:t>Saldos de los contratos en ejecución</w:t>
      </w:r>
      <w:r w:rsidRPr="00D62F13">
        <w:rPr>
          <w:rFonts w:ascii="Arial" w:eastAsia="Arial" w:hAnsi="Arial" w:cs="Arial"/>
          <w:sz w:val="22"/>
          <w:szCs w:val="22"/>
          <w:lang w:eastAsia="es-ES" w:bidi="es-ES"/>
        </w:rPr>
        <w:t xml:space="preserve">. Debe hacerse linealmente y calculando una «ejecución diaria equivalente al valor del contrato dividido por el plazo del contrato expresado en días». El resultado obtenido se debe multiplicar por el número de días pendientes para </w:t>
      </w:r>
      <w:r w:rsidRPr="00D62F13">
        <w:rPr>
          <w:rFonts w:ascii="Arial" w:eastAsia="Arial" w:hAnsi="Arial" w:cs="Arial"/>
          <w:sz w:val="22"/>
          <w:szCs w:val="22"/>
          <w:lang w:eastAsia="es-ES" w:bidi="es-ES"/>
        </w:rPr>
        <w:lastRenderedPageBreak/>
        <w:t>cumplir el plazo del contrato. Si el número de días por ejecutar un contrato es superior a 360 días, solo se tendrá en cuenta la proporción lineal de 12 meses</w:t>
      </w:r>
      <w:bookmarkEnd w:id="11"/>
      <w:r w:rsidRPr="00D62F13">
        <w:rPr>
          <w:rFonts w:ascii="Arial" w:eastAsia="Arial" w:hAnsi="Arial" w:cs="Arial"/>
          <w:sz w:val="22"/>
          <w:szCs w:val="22"/>
          <w:lang w:eastAsia="es-ES" w:bidi="es-ES"/>
        </w:rPr>
        <w:t>.</w:t>
      </w:r>
    </w:p>
    <w:p w14:paraId="4F9D2696" w14:textId="644673B3" w:rsidR="00D62F13" w:rsidRDefault="00D62F13" w:rsidP="00D62F13">
      <w:pPr>
        <w:widowControl w:val="0"/>
        <w:numPr>
          <w:ilvl w:val="0"/>
          <w:numId w:val="43"/>
        </w:numPr>
        <w:tabs>
          <w:tab w:val="left" w:pos="993"/>
        </w:tabs>
        <w:autoSpaceDE w:val="0"/>
        <w:autoSpaceDN w:val="0"/>
        <w:spacing w:before="120" w:line="276" w:lineRule="auto"/>
        <w:ind w:left="0" w:right="51" w:firstLine="709"/>
        <w:jc w:val="both"/>
        <w:rPr>
          <w:rFonts w:ascii="Arial" w:eastAsia="Arial" w:hAnsi="Arial" w:cs="Arial"/>
          <w:sz w:val="22"/>
          <w:szCs w:val="22"/>
          <w:lang w:eastAsia="es-ES" w:bidi="es-ES"/>
        </w:rPr>
      </w:pPr>
      <w:r w:rsidRPr="00D62F13">
        <w:rPr>
          <w:rFonts w:ascii="Arial" w:eastAsia="Arial" w:hAnsi="Arial" w:cs="Arial"/>
          <w:i/>
          <w:iCs/>
          <w:sz w:val="22"/>
          <w:szCs w:val="22"/>
          <w:lang w:eastAsia="es-ES" w:bidi="es-ES"/>
        </w:rPr>
        <w:t>Experiencia</w:t>
      </w:r>
      <w:r w:rsidRPr="00D62F13">
        <w:rPr>
          <w:rFonts w:ascii="Arial" w:eastAsia="Arial" w:hAnsi="Arial" w:cs="Arial"/>
          <w:sz w:val="22"/>
          <w:szCs w:val="22"/>
          <w:lang w:eastAsia="es-ES" w:bidi="es-ES"/>
        </w:rPr>
        <w:t>. Para los efectos de la capacidad residual corresponde</w:t>
      </w:r>
      <w:r w:rsidR="00DF57B3">
        <w:rPr>
          <w:rFonts w:ascii="Arial" w:eastAsia="Arial" w:hAnsi="Arial" w:cs="Arial"/>
          <w:sz w:val="22"/>
          <w:szCs w:val="22"/>
          <w:lang w:eastAsia="es-ES" w:bidi="es-ES"/>
        </w:rPr>
        <w:t>,</w:t>
      </w:r>
      <w:r w:rsidRPr="00D62F13">
        <w:rPr>
          <w:rFonts w:ascii="Arial" w:eastAsia="Arial" w:hAnsi="Arial" w:cs="Arial"/>
          <w:sz w:val="22"/>
          <w:szCs w:val="22"/>
          <w:lang w:eastAsia="es-ES" w:bidi="es-ES"/>
        </w:rPr>
        <w:t xml:space="preserve"> de un lado, a la relación entre «el valor total en pesos de los contratos relacionados con la actividad de la construcción inscritos por el proponente en el Registro Único de Proponentes “RUP” en el segmento 72 […] del Clasificador de Bienes y Servicios», y del otro, al presupuesto oficial estimado del Proceso de Contratación. La relación indica el número de veces que el proponente ha ejecutado contratos equivalentes a la cuantía del proceso de contratación.</w:t>
      </w:r>
    </w:p>
    <w:p w14:paraId="2D33E63E" w14:textId="61C33DC4" w:rsidR="00406A42" w:rsidRDefault="00406A42" w:rsidP="00406A42">
      <w:pPr>
        <w:widowControl w:val="0"/>
        <w:autoSpaceDE w:val="0"/>
        <w:autoSpaceDN w:val="0"/>
        <w:spacing w:before="120" w:line="276" w:lineRule="auto"/>
        <w:ind w:firstLine="708"/>
        <w:jc w:val="both"/>
        <w:rPr>
          <w:rFonts w:ascii="Arial" w:eastAsia="Arial" w:hAnsi="Arial" w:cs="Arial"/>
          <w:sz w:val="22"/>
        </w:rPr>
      </w:pPr>
      <w:r w:rsidRPr="0077368F">
        <w:rPr>
          <w:rFonts w:ascii="Arial" w:eastAsia="Arial" w:hAnsi="Arial" w:cs="Arial"/>
          <w:sz w:val="22"/>
        </w:rPr>
        <w:t>En este contexto, resulta oportuno precisar que, si bien es cierto la entidad estatal es la que debe calcular la capacidad residual de los proponentes, también lo es que estos últimos, como se referenció, tienen la carga de aportar los documentos para acreditar su capacidad residual</w:t>
      </w:r>
      <w:r w:rsidRPr="0077368F">
        <w:rPr>
          <w:rFonts w:ascii="Arial" w:eastAsia="Arial" w:hAnsi="Arial" w:cs="Arial"/>
          <w:vertAlign w:val="superscript"/>
        </w:rPr>
        <w:footnoteReference w:id="6"/>
      </w:r>
      <w:r w:rsidRPr="0077368F">
        <w:rPr>
          <w:rFonts w:ascii="Arial" w:eastAsia="Arial" w:hAnsi="Arial" w:cs="Arial"/>
          <w:sz w:val="22"/>
        </w:rPr>
        <w:t xml:space="preserve">. </w:t>
      </w:r>
    </w:p>
    <w:p w14:paraId="6BC17BA2" w14:textId="64A9C79D" w:rsidR="0042187B" w:rsidRPr="003D4D1F" w:rsidRDefault="0042187B" w:rsidP="0042187B">
      <w:pPr>
        <w:spacing w:line="276" w:lineRule="auto"/>
        <w:jc w:val="both"/>
        <w:rPr>
          <w:rFonts w:ascii="Arial" w:hAnsi="Arial" w:cs="Arial"/>
          <w:b/>
          <w:bCs/>
          <w:sz w:val="22"/>
          <w:szCs w:val="22"/>
        </w:rPr>
      </w:pPr>
      <w:r w:rsidRPr="003D4D1F">
        <w:rPr>
          <w:rFonts w:ascii="Arial" w:hAnsi="Arial" w:cs="Arial"/>
          <w:b/>
          <w:bCs/>
          <w:sz w:val="22"/>
          <w:szCs w:val="22"/>
        </w:rPr>
        <w:t xml:space="preserve">2.2. Saldos de Contratos en Ejecución (SCE) </w:t>
      </w:r>
      <w:r w:rsidR="00B66316">
        <w:rPr>
          <w:rFonts w:ascii="Arial" w:hAnsi="Arial" w:cs="Arial"/>
          <w:b/>
          <w:bCs/>
          <w:sz w:val="22"/>
          <w:szCs w:val="22"/>
        </w:rPr>
        <w:t xml:space="preserve">y reglas para </w:t>
      </w:r>
      <w:r w:rsidRPr="003D4D1F">
        <w:rPr>
          <w:rFonts w:ascii="Arial" w:hAnsi="Arial" w:cs="Arial"/>
          <w:b/>
          <w:bCs/>
          <w:sz w:val="22"/>
          <w:szCs w:val="22"/>
        </w:rPr>
        <w:t>determinar la Capacidad Residual del Proponente (CRP)</w:t>
      </w:r>
      <w:r w:rsidR="00B66316">
        <w:rPr>
          <w:rFonts w:ascii="Arial" w:hAnsi="Arial" w:cs="Arial"/>
          <w:b/>
          <w:bCs/>
          <w:sz w:val="22"/>
          <w:szCs w:val="22"/>
        </w:rPr>
        <w:t xml:space="preserve"> en procesos estructurados por lotes</w:t>
      </w:r>
      <w:r>
        <w:rPr>
          <w:rFonts w:ascii="Arial" w:hAnsi="Arial" w:cs="Arial"/>
          <w:b/>
          <w:bCs/>
          <w:sz w:val="22"/>
          <w:szCs w:val="22"/>
        </w:rPr>
        <w:t xml:space="preserve"> </w:t>
      </w:r>
    </w:p>
    <w:p w14:paraId="78B0D528" w14:textId="77777777" w:rsidR="0042187B" w:rsidRPr="003D4D1F" w:rsidRDefault="0042187B" w:rsidP="0042187B">
      <w:pPr>
        <w:jc w:val="both"/>
        <w:rPr>
          <w:rFonts w:ascii="Arial" w:hAnsi="Arial" w:cs="Arial"/>
          <w:b/>
          <w:bCs/>
          <w:sz w:val="22"/>
          <w:szCs w:val="22"/>
        </w:rPr>
      </w:pPr>
    </w:p>
    <w:p w14:paraId="32EE6188" w14:textId="77777777" w:rsidR="0042187B" w:rsidRPr="003D4D1F" w:rsidRDefault="0042187B" w:rsidP="0042187B">
      <w:pPr>
        <w:spacing w:after="120" w:line="276" w:lineRule="auto"/>
        <w:jc w:val="both"/>
        <w:rPr>
          <w:rFonts w:ascii="Arial" w:hAnsi="Arial" w:cs="Arial"/>
          <w:sz w:val="22"/>
          <w:szCs w:val="22"/>
        </w:rPr>
      </w:pPr>
      <w:bookmarkStart w:id="12" w:name="_Hlk114820468"/>
      <w:r w:rsidRPr="003D4D1F">
        <w:rPr>
          <w:rFonts w:ascii="Arial" w:hAnsi="Arial" w:cs="Arial"/>
          <w:sz w:val="22"/>
          <w:szCs w:val="22"/>
        </w:rPr>
        <w:t xml:space="preserve">A efectos del cálculo de la Capacidad Residual del Proponente (CRP), conforme a la metodología descrita </w:t>
      </w:r>
      <w:r w:rsidRPr="003D4D1F">
        <w:rPr>
          <w:rFonts w:ascii="Arial" w:hAnsi="Arial" w:cs="Arial"/>
          <w:i/>
          <w:iCs/>
          <w:sz w:val="22"/>
          <w:szCs w:val="22"/>
        </w:rPr>
        <w:t>supra</w:t>
      </w:r>
      <w:r w:rsidRPr="003D4D1F">
        <w:rPr>
          <w:rFonts w:ascii="Arial" w:hAnsi="Arial" w:cs="Arial"/>
          <w:sz w:val="22"/>
          <w:szCs w:val="22"/>
        </w:rPr>
        <w:t xml:space="preserve">, es necesario tener en cuenta la lista de los contratos en ejecución en cabeza del proponente, que son aquellos que, a la fecha de presentación de la oferta, obligan al proponente con entidades estatales y con entidades privadas para ejecutar obras públicas. Es decir, los saldos pendientes se derivan de las obligaciones que se encuentran vigentes al momento de la presentación de la oferta. </w:t>
      </w:r>
    </w:p>
    <w:bookmarkEnd w:id="12"/>
    <w:p w14:paraId="7E207DF0" w14:textId="77777777" w:rsidR="0042187B" w:rsidRPr="003D4D1F" w:rsidRDefault="0042187B" w:rsidP="0042187B">
      <w:pPr>
        <w:spacing w:line="276" w:lineRule="auto"/>
        <w:jc w:val="both"/>
        <w:rPr>
          <w:rFonts w:ascii="Arial" w:hAnsi="Arial" w:cs="Arial"/>
          <w:sz w:val="22"/>
          <w:szCs w:val="22"/>
        </w:rPr>
      </w:pPr>
      <w:r w:rsidRPr="003D4D1F">
        <w:rPr>
          <w:rFonts w:ascii="Arial" w:hAnsi="Arial" w:cs="Arial"/>
          <w:sz w:val="22"/>
          <w:szCs w:val="22"/>
        </w:rPr>
        <w:lastRenderedPageBreak/>
        <w:tab/>
        <w:t xml:space="preserve">Para acreditar tales valores, correspondientes al factor Saldos de Contratos en Ejecución (SCE), la </w:t>
      </w:r>
      <w:r w:rsidRPr="006337DF">
        <w:rPr>
          <w:rFonts w:ascii="Arial" w:hAnsi="Arial" w:cs="Arial"/>
          <w:sz w:val="21"/>
          <w:szCs w:val="21"/>
        </w:rPr>
        <w:t>«</w:t>
      </w:r>
      <w:r w:rsidRPr="003D4D1F">
        <w:rPr>
          <w:rFonts w:ascii="Arial" w:hAnsi="Arial" w:cs="Arial"/>
          <w:i/>
          <w:iCs/>
          <w:sz w:val="22"/>
          <w:szCs w:val="22"/>
        </w:rPr>
        <w:t>Guía para Determinar y Verificar la Capacidad Residual del Proponente en los Procesos de Contratación de Obra Pública</w:t>
      </w:r>
      <w:r w:rsidRPr="006337DF">
        <w:rPr>
          <w:rFonts w:ascii="Arial" w:hAnsi="Arial" w:cs="Arial"/>
          <w:sz w:val="21"/>
          <w:szCs w:val="21"/>
        </w:rPr>
        <w:t>»</w:t>
      </w:r>
      <w:r w:rsidRPr="003D4D1F">
        <w:rPr>
          <w:rFonts w:ascii="Arial" w:hAnsi="Arial" w:cs="Arial"/>
          <w:i/>
          <w:iCs/>
          <w:sz w:val="22"/>
          <w:szCs w:val="22"/>
        </w:rPr>
        <w:t xml:space="preserve"> </w:t>
      </w:r>
      <w:r w:rsidRPr="003D4D1F">
        <w:rPr>
          <w:rFonts w:ascii="Arial" w:hAnsi="Arial" w:cs="Arial"/>
          <w:sz w:val="22"/>
          <w:szCs w:val="22"/>
        </w:rPr>
        <w:t xml:space="preserve">establece lo siguiente: </w:t>
      </w:r>
    </w:p>
    <w:p w14:paraId="3F8C50BB" w14:textId="77777777" w:rsidR="0042187B" w:rsidRPr="003D4D1F" w:rsidRDefault="0042187B" w:rsidP="0042187B">
      <w:pPr>
        <w:spacing w:line="276" w:lineRule="auto"/>
        <w:jc w:val="both"/>
        <w:rPr>
          <w:rFonts w:ascii="Arial" w:hAnsi="Arial" w:cs="Arial"/>
          <w:sz w:val="22"/>
          <w:szCs w:val="22"/>
        </w:rPr>
      </w:pPr>
    </w:p>
    <w:p w14:paraId="0501E92F" w14:textId="53D4C006" w:rsidR="0042187B" w:rsidRPr="003D4D1F" w:rsidRDefault="0042187B" w:rsidP="0077368F">
      <w:pPr>
        <w:ind w:left="709" w:right="709"/>
        <w:jc w:val="both"/>
        <w:rPr>
          <w:rFonts w:ascii="Arial" w:hAnsi="Arial" w:cs="Arial"/>
          <w:sz w:val="21"/>
          <w:szCs w:val="21"/>
        </w:rPr>
      </w:pPr>
      <w:r w:rsidRPr="003D4D1F">
        <w:rPr>
          <w:rFonts w:ascii="Arial" w:hAnsi="Arial" w:cs="Arial"/>
          <w:sz w:val="21"/>
          <w:szCs w:val="21"/>
        </w:rPr>
        <w:t>El proponente debe presentar un certificado suscrito por su representante legal y su revisor fiscal, si el proponente está obligado a tenerlo, o por el contador o su auditor independiente, el cual contenga la lista de los Contratos en Ejecución, tanto a nivel nacional como internacional, indicando: (i) el valor del contrato; (ii) el plazo del contrato en meses; (iii) la fecha de inicio de las obras objeto del contrato, día, mes, año; (iv) si la obra la ejecuta un consorcio, unión temporal o sociedad de propósito especial, junto con el porcentaje de participación del oferente que presenta el certificado; (v) si el contrato se encuentra suspendido, y si es así, la fecha de suspensión. Si el proponente no tiene Contratos en Ejecución, en el certificado debe constar expresamente esa circunstancia.</w:t>
      </w:r>
    </w:p>
    <w:p w14:paraId="355B5BFC" w14:textId="77777777" w:rsidR="0042187B" w:rsidRPr="003D4D1F" w:rsidRDefault="0042187B" w:rsidP="0042187B">
      <w:pPr>
        <w:spacing w:line="276" w:lineRule="auto"/>
        <w:ind w:left="709" w:right="709"/>
        <w:jc w:val="both"/>
        <w:rPr>
          <w:rFonts w:ascii="Arial" w:hAnsi="Arial" w:cs="Arial"/>
          <w:sz w:val="21"/>
          <w:szCs w:val="21"/>
        </w:rPr>
      </w:pPr>
    </w:p>
    <w:p w14:paraId="0CE496F6" w14:textId="77777777" w:rsidR="0042187B" w:rsidRPr="002F69A0" w:rsidRDefault="0042187B" w:rsidP="0042187B">
      <w:pPr>
        <w:spacing w:line="276" w:lineRule="auto"/>
        <w:ind w:firstLine="708"/>
        <w:jc w:val="both"/>
        <w:rPr>
          <w:rFonts w:ascii="Arial" w:hAnsi="Arial" w:cs="Arial"/>
          <w:i/>
          <w:iCs/>
          <w:sz w:val="22"/>
          <w:szCs w:val="22"/>
        </w:rPr>
      </w:pPr>
      <w:r w:rsidRPr="002F69A0">
        <w:rPr>
          <w:rFonts w:ascii="Arial" w:hAnsi="Arial" w:cs="Arial"/>
          <w:sz w:val="22"/>
          <w:szCs w:val="22"/>
        </w:rPr>
        <w:t xml:space="preserve">Teniendo en cuenta que los contratos en ejecución son aquellos que a la fecha de presentación de la oferta obligan al proponente, se aclara que deben tenerse en cuenta los contratos que </w:t>
      </w:r>
      <w:proofErr w:type="spellStart"/>
      <w:r w:rsidRPr="002F69A0">
        <w:rPr>
          <w:rFonts w:ascii="Arial" w:hAnsi="Arial" w:cs="Arial"/>
          <w:sz w:val="22"/>
          <w:szCs w:val="22"/>
        </w:rPr>
        <w:t>aun</w:t>
      </w:r>
      <w:proofErr w:type="spellEnd"/>
      <w:r w:rsidRPr="002F69A0">
        <w:rPr>
          <w:rFonts w:ascii="Arial" w:hAnsi="Arial" w:cs="Arial"/>
          <w:sz w:val="22"/>
          <w:szCs w:val="22"/>
        </w:rPr>
        <w:t xml:space="preserve"> no tengan acta de inicio, esto en la medida que el criterio determinante para establecer si un contrato se encuentra en ejecución no lo determina el acta de inicio, sino que el mismo obligue al proponente.</w:t>
      </w:r>
      <w:r w:rsidRPr="00EE2854">
        <w:rPr>
          <w:rFonts w:ascii="Arial" w:hAnsi="Arial" w:cs="Arial"/>
          <w:sz w:val="22"/>
          <w:szCs w:val="22"/>
        </w:rPr>
        <w:t xml:space="preserve"> </w:t>
      </w:r>
      <w:r w:rsidRPr="002F69A0">
        <w:rPr>
          <w:rFonts w:ascii="Arial" w:hAnsi="Arial" w:cs="Arial"/>
          <w:sz w:val="22"/>
          <w:szCs w:val="22"/>
        </w:rPr>
        <w:t xml:space="preserve">En este sentido, la </w:t>
      </w:r>
      <w:r w:rsidRPr="00EE2854">
        <w:rPr>
          <w:rFonts w:ascii="Arial" w:hAnsi="Arial" w:cs="Arial"/>
          <w:sz w:val="22"/>
          <w:szCs w:val="22"/>
        </w:rPr>
        <w:t>«</w:t>
      </w:r>
      <w:r w:rsidRPr="002F69A0">
        <w:rPr>
          <w:rFonts w:ascii="Arial" w:hAnsi="Arial" w:cs="Arial"/>
          <w:i/>
          <w:iCs/>
          <w:sz w:val="22"/>
          <w:szCs w:val="22"/>
        </w:rPr>
        <w:t>Guía para Determinar y Verificar la Capacidad Residual del Proponente en los Procesos de Contratación de Obra Pública</w:t>
      </w:r>
      <w:r w:rsidRPr="00EE2854">
        <w:rPr>
          <w:rFonts w:ascii="Arial" w:hAnsi="Arial" w:cs="Arial"/>
          <w:sz w:val="22"/>
          <w:szCs w:val="22"/>
        </w:rPr>
        <w:t>»</w:t>
      </w:r>
      <w:r w:rsidRPr="002F69A0">
        <w:rPr>
          <w:rFonts w:ascii="Arial" w:hAnsi="Arial" w:cs="Arial"/>
          <w:i/>
          <w:iCs/>
          <w:sz w:val="22"/>
          <w:szCs w:val="22"/>
        </w:rPr>
        <w:t xml:space="preserve"> </w:t>
      </w:r>
      <w:r w:rsidRPr="002F69A0">
        <w:rPr>
          <w:rFonts w:ascii="Arial" w:hAnsi="Arial" w:cs="Arial"/>
          <w:sz w:val="22"/>
          <w:szCs w:val="22"/>
        </w:rPr>
        <w:t xml:space="preserve">define los </w:t>
      </w:r>
      <w:r w:rsidRPr="002F69A0">
        <w:rPr>
          <w:rFonts w:ascii="Arial" w:hAnsi="Arial" w:cs="Arial"/>
          <w:i/>
          <w:iCs/>
          <w:sz w:val="22"/>
          <w:szCs w:val="22"/>
        </w:rPr>
        <w:t xml:space="preserve">Contratos en ejecución, </w:t>
      </w:r>
      <w:r w:rsidRPr="002F69A0">
        <w:rPr>
          <w:rFonts w:ascii="Arial" w:hAnsi="Arial" w:cs="Arial"/>
          <w:sz w:val="22"/>
          <w:szCs w:val="22"/>
        </w:rPr>
        <w:t xml:space="preserve">para efectos de calcular la capacidad residual, de la siguiente manera: </w:t>
      </w:r>
      <w:r w:rsidRPr="002F69A0">
        <w:rPr>
          <w:rFonts w:ascii="Arial" w:hAnsi="Arial" w:cs="Arial"/>
          <w:i/>
          <w:iCs/>
          <w:sz w:val="22"/>
          <w:szCs w:val="22"/>
        </w:rPr>
        <w:t xml:space="preserve"> </w:t>
      </w:r>
    </w:p>
    <w:p w14:paraId="388008A0" w14:textId="77777777" w:rsidR="0042187B" w:rsidRPr="003D4D1F" w:rsidRDefault="0042187B" w:rsidP="0042187B">
      <w:pPr>
        <w:ind w:left="709" w:right="709"/>
        <w:jc w:val="both"/>
        <w:rPr>
          <w:rFonts w:ascii="Arial" w:hAnsi="Arial" w:cs="Arial"/>
          <w:sz w:val="22"/>
          <w:szCs w:val="22"/>
        </w:rPr>
      </w:pPr>
    </w:p>
    <w:p w14:paraId="22D7B0E0" w14:textId="03DA344A" w:rsidR="0042187B" w:rsidRDefault="0042187B" w:rsidP="0042187B">
      <w:pPr>
        <w:ind w:left="709" w:right="709"/>
        <w:jc w:val="both"/>
        <w:rPr>
          <w:rFonts w:ascii="Arial" w:hAnsi="Arial" w:cs="Arial"/>
          <w:sz w:val="22"/>
          <w:szCs w:val="22"/>
        </w:rPr>
      </w:pPr>
      <w:r w:rsidRPr="003D4D1F">
        <w:rPr>
          <w:rFonts w:ascii="Arial" w:hAnsi="Arial" w:cs="Arial"/>
          <w:sz w:val="21"/>
          <w:szCs w:val="21"/>
        </w:rPr>
        <w:t xml:space="preserve">Son los contratos que a la fecha de presentación de la oferta obligan al proponente con Entidades Estatales y con entidades privadas para ejecutar obras civiles, incluyendo la ejecución de obras civiles en los contratos de concesión y los contratos de obra suscritos con concesionarios, </w:t>
      </w:r>
      <w:r w:rsidRPr="003D4D1F">
        <w:rPr>
          <w:rFonts w:ascii="Arial" w:hAnsi="Arial" w:cs="Arial"/>
          <w:sz w:val="21"/>
          <w:szCs w:val="21"/>
          <w:u w:val="single"/>
        </w:rPr>
        <w:t xml:space="preserve">incluyendo los contratos suspendidos y aquellos que no tengan acta de inicio. </w:t>
      </w:r>
      <w:r w:rsidRPr="003D4D1F">
        <w:rPr>
          <w:rFonts w:ascii="Arial" w:hAnsi="Arial" w:cs="Arial"/>
          <w:sz w:val="21"/>
          <w:szCs w:val="21"/>
        </w:rPr>
        <w:t>No se entenderán como contratos en ejecución los que se encuentren en liquidación. (Subrayas fuera del texto)</w:t>
      </w:r>
      <w:r>
        <w:rPr>
          <w:rFonts w:ascii="Arial" w:hAnsi="Arial" w:cs="Arial"/>
          <w:sz w:val="21"/>
          <w:szCs w:val="21"/>
        </w:rPr>
        <w:t>.</w:t>
      </w:r>
      <w:r w:rsidRPr="003D4D1F">
        <w:rPr>
          <w:rFonts w:ascii="Arial" w:hAnsi="Arial" w:cs="Arial"/>
          <w:sz w:val="22"/>
          <w:szCs w:val="22"/>
          <w:vertAlign w:val="superscript"/>
        </w:rPr>
        <w:footnoteReference w:id="7"/>
      </w:r>
    </w:p>
    <w:p w14:paraId="47A9578B" w14:textId="77777777" w:rsidR="0042187B" w:rsidRPr="003D4D1F" w:rsidRDefault="0042187B" w:rsidP="0042187B">
      <w:pPr>
        <w:ind w:left="709" w:right="709"/>
        <w:jc w:val="both"/>
        <w:rPr>
          <w:rFonts w:ascii="Arial" w:hAnsi="Arial" w:cs="Arial"/>
          <w:sz w:val="22"/>
          <w:szCs w:val="22"/>
        </w:rPr>
      </w:pPr>
    </w:p>
    <w:p w14:paraId="469044FD" w14:textId="77777777" w:rsidR="0042187B" w:rsidRDefault="0042187B" w:rsidP="0042187B">
      <w:pPr>
        <w:spacing w:before="120" w:after="120" w:line="276" w:lineRule="auto"/>
        <w:ind w:firstLine="567"/>
        <w:jc w:val="both"/>
        <w:rPr>
          <w:rFonts w:ascii="Arial" w:hAnsi="Arial" w:cs="Arial"/>
          <w:bCs/>
          <w:sz w:val="22"/>
          <w:szCs w:val="22"/>
          <w:lang w:val="es-ES" w:eastAsia="es-CO"/>
        </w:rPr>
      </w:pPr>
      <w:r>
        <w:rPr>
          <w:rFonts w:ascii="Arial" w:hAnsi="Arial" w:cs="Arial"/>
          <w:bCs/>
          <w:sz w:val="22"/>
          <w:szCs w:val="22"/>
          <w:lang w:val="es-ES" w:eastAsia="es-CO"/>
        </w:rPr>
        <w:t xml:space="preserve">Conforme a lo anterior, los «Contratos en ejecución» que deben ser tenidos en cuenta para el cálculo del factor (SCE) son aquellos que, al momento de presentarse la oferta, obligan al proponente a ejecutar obras civiles. En ese sentido, lo determinante para </w:t>
      </w:r>
      <w:r>
        <w:rPr>
          <w:rFonts w:ascii="Arial" w:hAnsi="Arial" w:cs="Arial"/>
          <w:bCs/>
          <w:sz w:val="22"/>
          <w:szCs w:val="22"/>
          <w:lang w:val="es-ES" w:eastAsia="es-CO"/>
        </w:rPr>
        <w:lastRenderedPageBreak/>
        <w:t>establecer si un contrato está en ejecución es que del contrato se derive un compromiso vinculante de ejecutar obras civiles, por lo que se requiere que el contrato se encuentre en ejecución en estricto sentido, razón por la que la propia definición establece que cobija a aquellos contratos suspendidos y a los que no cuenten con un acta de inicio.</w:t>
      </w:r>
    </w:p>
    <w:p w14:paraId="27B3816B" w14:textId="77777777" w:rsidR="0042187B" w:rsidRDefault="0042187B" w:rsidP="0042187B">
      <w:pPr>
        <w:spacing w:before="120" w:after="120" w:line="276" w:lineRule="auto"/>
        <w:ind w:firstLine="567"/>
        <w:jc w:val="both"/>
        <w:rPr>
          <w:rFonts w:ascii="Arial" w:hAnsi="Arial" w:cs="Arial"/>
          <w:sz w:val="22"/>
          <w:szCs w:val="22"/>
        </w:rPr>
      </w:pPr>
      <w:r>
        <w:rPr>
          <w:rFonts w:ascii="Arial" w:hAnsi="Arial" w:cs="Arial"/>
          <w:bCs/>
          <w:sz w:val="22"/>
          <w:szCs w:val="22"/>
          <w:lang w:val="es-ES" w:eastAsia="es-CO"/>
        </w:rPr>
        <w:t>La tesis según la cual la definición de contratos en ejecución, para efetos del cálculo de la capacidad residual, incluye a aquellos contratos que no cuentan con acta de inicio ha sido incluida en instrumentos expedidos por esta Agencia como es el caso de los documentos. En ese contexto, e</w:t>
      </w:r>
      <w:r w:rsidRPr="00BB1324">
        <w:rPr>
          <w:rFonts w:ascii="Arial" w:hAnsi="Arial" w:cs="Arial"/>
          <w:bCs/>
          <w:sz w:val="22"/>
          <w:szCs w:val="22"/>
          <w:lang w:val="es-ES" w:eastAsia="es-CO"/>
        </w:rPr>
        <w:t>n los documentos tipo de licitación de obra pública de infraestructura de transporte –versión 3– los aspectos relativos a Cálculo de la Capacidad Residual</w:t>
      </w:r>
      <w:r>
        <w:rPr>
          <w:rFonts w:ascii="Arial" w:hAnsi="Arial" w:cs="Arial"/>
          <w:bCs/>
          <w:sz w:val="22"/>
          <w:szCs w:val="22"/>
          <w:lang w:val="es-ES" w:eastAsia="es-CO"/>
        </w:rPr>
        <w:t xml:space="preserve"> se encuentran </w:t>
      </w:r>
      <w:r w:rsidRPr="00BB1324">
        <w:rPr>
          <w:rFonts w:ascii="Arial" w:hAnsi="Arial" w:cs="Arial"/>
          <w:bCs/>
          <w:sz w:val="22"/>
          <w:szCs w:val="22"/>
          <w:lang w:val="es-ES" w:eastAsia="es-CO"/>
        </w:rPr>
        <w:t xml:space="preserve">regulados de manera en el numeral 3.10.2 del Documento Base o Pliego Tipo, cuyo literal E se refiere al factor saldo de contratos en ejecución (SCE). El numeral II de dicho literal reproduce la definición citada </w:t>
      </w:r>
      <w:r w:rsidRPr="0029516E">
        <w:rPr>
          <w:rFonts w:ascii="Arial" w:hAnsi="Arial" w:cs="Arial"/>
          <w:bCs/>
          <w:i/>
          <w:iCs/>
          <w:sz w:val="22"/>
          <w:szCs w:val="22"/>
          <w:lang w:val="es-ES" w:eastAsia="es-CO"/>
        </w:rPr>
        <w:t>supra</w:t>
      </w:r>
      <w:r w:rsidRPr="00BB1324">
        <w:rPr>
          <w:rFonts w:ascii="Arial" w:hAnsi="Arial" w:cs="Arial"/>
          <w:bCs/>
          <w:sz w:val="22"/>
          <w:szCs w:val="22"/>
          <w:lang w:val="es-ES" w:eastAsia="es-CO"/>
        </w:rPr>
        <w:t xml:space="preserve"> según la cual </w:t>
      </w:r>
      <w:r>
        <w:rPr>
          <w:rFonts w:ascii="Arial" w:hAnsi="Arial" w:cs="Arial"/>
          <w:bCs/>
          <w:sz w:val="22"/>
          <w:szCs w:val="22"/>
          <w:lang w:val="es-ES" w:eastAsia="es-CO"/>
        </w:rPr>
        <w:t>«</w:t>
      </w:r>
      <w:r w:rsidRPr="0029516E">
        <w:rPr>
          <w:rFonts w:ascii="Arial" w:hAnsi="Arial" w:cs="Arial"/>
          <w:sz w:val="22"/>
          <w:szCs w:val="22"/>
        </w:rPr>
        <w:t>Los contratos de obras civiles en ejecución son aquellos que a la fecha de presentación de la oferta obligan al proponente con entidades estatales y con entidades privadas para ejecutar obras civiles».</w:t>
      </w:r>
      <w:r w:rsidRPr="00BB1324">
        <w:rPr>
          <w:rFonts w:ascii="Arial" w:hAnsi="Arial" w:cs="Arial"/>
          <w:sz w:val="22"/>
          <w:szCs w:val="22"/>
        </w:rPr>
        <w:t xml:space="preserve"> Asimismo, el </w:t>
      </w:r>
      <w:r>
        <w:rPr>
          <w:rFonts w:ascii="Arial" w:hAnsi="Arial" w:cs="Arial"/>
          <w:sz w:val="22"/>
          <w:szCs w:val="22"/>
        </w:rPr>
        <w:t xml:space="preserve">citado </w:t>
      </w:r>
      <w:r w:rsidRPr="00BB1324">
        <w:rPr>
          <w:rFonts w:ascii="Arial" w:hAnsi="Arial" w:cs="Arial"/>
          <w:sz w:val="22"/>
          <w:szCs w:val="22"/>
        </w:rPr>
        <w:t xml:space="preserve">numeral </w:t>
      </w:r>
      <w:r>
        <w:rPr>
          <w:rFonts w:ascii="Arial" w:hAnsi="Arial" w:cs="Arial"/>
          <w:sz w:val="22"/>
          <w:szCs w:val="22"/>
        </w:rPr>
        <w:t xml:space="preserve">indica </w:t>
      </w:r>
      <w:r w:rsidRPr="00BB1324">
        <w:rPr>
          <w:rFonts w:ascii="Arial" w:hAnsi="Arial" w:cs="Arial"/>
          <w:sz w:val="22"/>
          <w:szCs w:val="22"/>
        </w:rPr>
        <w:t>que</w:t>
      </w:r>
      <w:r>
        <w:rPr>
          <w:rFonts w:ascii="Arial" w:hAnsi="Arial" w:cs="Arial"/>
          <w:sz w:val="22"/>
          <w:szCs w:val="22"/>
        </w:rPr>
        <w:t>,</w:t>
      </w:r>
      <w:r w:rsidRPr="00BB1324">
        <w:rPr>
          <w:rFonts w:ascii="Arial" w:hAnsi="Arial" w:cs="Arial"/>
          <w:sz w:val="22"/>
          <w:szCs w:val="22"/>
        </w:rPr>
        <w:t xml:space="preserve"> dentro de estas</w:t>
      </w:r>
      <w:r w:rsidRPr="0029516E">
        <w:rPr>
          <w:rFonts w:ascii="Arial" w:hAnsi="Arial" w:cs="Arial"/>
          <w:sz w:val="22"/>
          <w:szCs w:val="22"/>
        </w:rPr>
        <w:t xml:space="preserve"> obras civiles</w:t>
      </w:r>
      <w:r w:rsidRPr="00BB1324">
        <w:rPr>
          <w:rFonts w:ascii="Arial" w:hAnsi="Arial" w:cs="Arial"/>
          <w:sz w:val="22"/>
          <w:szCs w:val="22"/>
        </w:rPr>
        <w:t xml:space="preserve"> se encuentran «</w:t>
      </w:r>
      <w:r w:rsidRPr="0029516E">
        <w:rPr>
          <w:rFonts w:ascii="Arial" w:hAnsi="Arial" w:cs="Arial"/>
          <w:sz w:val="22"/>
          <w:szCs w:val="22"/>
        </w:rPr>
        <w:t xml:space="preserve">[…]los contratos de concesión y los contratos de obra suscritos con concesionarios, así como, los contratos suspendidos y </w:t>
      </w:r>
      <w:r w:rsidRPr="00EE2854">
        <w:rPr>
          <w:rFonts w:ascii="Arial" w:hAnsi="Arial" w:cs="Arial"/>
          <w:i/>
          <w:iCs/>
          <w:sz w:val="22"/>
          <w:szCs w:val="22"/>
        </w:rPr>
        <w:t>aquellos que no tengan acta de inicio</w:t>
      </w:r>
      <w:r w:rsidRPr="0029516E">
        <w:rPr>
          <w:rFonts w:ascii="Arial" w:hAnsi="Arial" w:cs="Arial"/>
          <w:sz w:val="22"/>
          <w:szCs w:val="22"/>
        </w:rPr>
        <w:t>. No se entenderán como contratos en ejecución los que se encuentren en liquidación».</w:t>
      </w:r>
    </w:p>
    <w:p w14:paraId="2C78A1BE" w14:textId="2D271635" w:rsidR="0042187B" w:rsidRDefault="0042187B" w:rsidP="0077368F">
      <w:pPr>
        <w:spacing w:after="120" w:line="276" w:lineRule="auto"/>
        <w:ind w:firstLine="567"/>
        <w:jc w:val="both"/>
        <w:rPr>
          <w:rFonts w:ascii="Arial" w:eastAsia="Calibri" w:hAnsi="Arial" w:cs="Arial"/>
          <w:sz w:val="21"/>
          <w:szCs w:val="21"/>
        </w:rPr>
      </w:pPr>
      <w:r>
        <w:rPr>
          <w:rFonts w:ascii="Arial" w:hAnsi="Arial" w:cs="Arial"/>
          <w:bCs/>
          <w:sz w:val="22"/>
          <w:szCs w:val="22"/>
          <w:lang w:val="es-ES" w:eastAsia="es-CO"/>
        </w:rPr>
        <w:t xml:space="preserve">De acuerdo con lo anterior, en relación con el objeto de la consulta, se concluye que, son contratos en ejecución, para efectos de calcular la capacidad residual del proponente, aquellos contratos que </w:t>
      </w:r>
      <w:r w:rsidRPr="00F71A07">
        <w:rPr>
          <w:rFonts w:ascii="Arial" w:hAnsi="Arial" w:cs="Arial"/>
          <w:sz w:val="22"/>
          <w:szCs w:val="22"/>
        </w:rPr>
        <w:t xml:space="preserve">a la fecha de presentación de la oferta obligan al proponente con Entidades Estatales y con entidades privadas para ejecutar obras civiles, incluyendo </w:t>
      </w:r>
      <w:r>
        <w:rPr>
          <w:rFonts w:ascii="Arial" w:hAnsi="Arial" w:cs="Arial"/>
          <w:sz w:val="22"/>
          <w:szCs w:val="22"/>
        </w:rPr>
        <w:t xml:space="preserve">los </w:t>
      </w:r>
      <w:r w:rsidRPr="000B71F5">
        <w:rPr>
          <w:rFonts w:ascii="Arial" w:hAnsi="Arial" w:cs="Arial"/>
          <w:sz w:val="22"/>
          <w:szCs w:val="22"/>
        </w:rPr>
        <w:t>que no tengan acta de inicio</w:t>
      </w:r>
      <w:r>
        <w:rPr>
          <w:rFonts w:ascii="Arial" w:hAnsi="Arial" w:cs="Arial"/>
          <w:sz w:val="22"/>
          <w:szCs w:val="22"/>
        </w:rPr>
        <w:t xml:space="preserve">. Ahora bien, resulta pertinente </w:t>
      </w:r>
      <w:proofErr w:type="gramStart"/>
      <w:r>
        <w:rPr>
          <w:rFonts w:ascii="Arial" w:hAnsi="Arial" w:cs="Arial"/>
          <w:bCs/>
          <w:sz w:val="22"/>
          <w:szCs w:val="22"/>
          <w:lang w:val="es-ES" w:eastAsia="es-CO"/>
        </w:rPr>
        <w:t>poner  de</w:t>
      </w:r>
      <w:proofErr w:type="gramEnd"/>
      <w:r>
        <w:rPr>
          <w:rFonts w:ascii="Arial" w:hAnsi="Arial" w:cs="Arial"/>
          <w:bCs/>
          <w:sz w:val="22"/>
          <w:szCs w:val="22"/>
          <w:lang w:val="es-ES" w:eastAsia="es-CO"/>
        </w:rPr>
        <w:t xml:space="preserve"> presente que, ciertamente, el hecho de que en el marco de un proceso de contratación se expida un acto administrativo adjudicando uno de los proponentes un contrato de obra pública permite colegir que la ejecución del mismo deberá ser asumida por dicho proponente, quien presentó una oferta con dicho propósito. No obstante, también es cierto que la adjudicación del contrato es un acto que precede a la suscripción del mismo, el cual, por regla general</w:t>
      </w:r>
      <w:r>
        <w:rPr>
          <w:rStyle w:val="Refdenotaalpie"/>
          <w:rFonts w:ascii="Arial" w:hAnsi="Arial" w:cs="Arial"/>
          <w:bCs/>
          <w:sz w:val="22"/>
          <w:szCs w:val="22"/>
          <w:lang w:val="es-ES" w:eastAsia="es-CO"/>
        </w:rPr>
        <w:footnoteReference w:id="8"/>
      </w:r>
      <w:r>
        <w:rPr>
          <w:rFonts w:ascii="Arial" w:hAnsi="Arial" w:cs="Arial"/>
          <w:bCs/>
          <w:sz w:val="22"/>
          <w:szCs w:val="22"/>
          <w:lang w:val="es-ES" w:eastAsia="es-CO"/>
        </w:rPr>
        <w:t xml:space="preserve">, es un acto requerido </w:t>
      </w:r>
      <w:r>
        <w:rPr>
          <w:rFonts w:ascii="Arial" w:hAnsi="Arial" w:cs="Arial"/>
          <w:bCs/>
          <w:sz w:val="22"/>
          <w:szCs w:val="22"/>
          <w:lang w:val="es-ES" w:eastAsia="es-CO"/>
        </w:rPr>
        <w:lastRenderedPageBreak/>
        <w:t>para su perfeccionamiento, dado el carácter solemne del contrato estatal</w:t>
      </w:r>
      <w:r>
        <w:rPr>
          <w:rFonts w:ascii="Arial" w:eastAsia="Calibri" w:hAnsi="Arial" w:cs="Arial"/>
          <w:sz w:val="22"/>
        </w:rPr>
        <w:t xml:space="preserve">, conforme se desprende del inciso primero del artículo 41 de la Ley 80 de 1993 </w:t>
      </w:r>
      <w:r>
        <w:rPr>
          <w:rStyle w:val="Refdenotaalpie"/>
          <w:rFonts w:ascii="Arial" w:eastAsia="Calibri" w:hAnsi="Arial" w:cs="Arial"/>
          <w:sz w:val="22"/>
        </w:rPr>
        <w:footnoteReference w:id="9"/>
      </w:r>
      <w:r>
        <w:rPr>
          <w:rFonts w:ascii="Arial" w:eastAsia="Calibri" w:hAnsi="Arial" w:cs="Arial"/>
          <w:sz w:val="22"/>
          <w:vertAlign w:val="superscript"/>
        </w:rPr>
        <w:t xml:space="preserve">- </w:t>
      </w:r>
      <w:r>
        <w:rPr>
          <w:rStyle w:val="Refdenotaalpie"/>
          <w:rFonts w:ascii="Arial" w:eastAsia="Calibri" w:hAnsi="Arial" w:cs="Arial"/>
          <w:sz w:val="21"/>
          <w:szCs w:val="21"/>
        </w:rPr>
        <w:footnoteReference w:id="10"/>
      </w:r>
      <w:r>
        <w:rPr>
          <w:rFonts w:ascii="Arial" w:eastAsia="Calibri" w:hAnsi="Arial" w:cs="Arial"/>
          <w:sz w:val="21"/>
          <w:szCs w:val="21"/>
        </w:rPr>
        <w:t>.</w:t>
      </w:r>
    </w:p>
    <w:p w14:paraId="2AE1AE85" w14:textId="77777777" w:rsidR="0042187B" w:rsidRDefault="0042187B" w:rsidP="0042187B">
      <w:pPr>
        <w:spacing w:before="120" w:line="276" w:lineRule="auto"/>
        <w:ind w:firstLine="709"/>
        <w:jc w:val="both"/>
        <w:rPr>
          <w:rFonts w:ascii="Arial" w:eastAsia="Calibri" w:hAnsi="Arial" w:cs="Arial"/>
          <w:sz w:val="22"/>
        </w:rPr>
      </w:pPr>
      <w:r>
        <w:rPr>
          <w:rFonts w:ascii="Arial" w:eastAsia="Calibri" w:hAnsi="Arial" w:cs="Arial"/>
          <w:sz w:val="22"/>
        </w:rPr>
        <w:t xml:space="preserve">En consideración a lo anterior, en la medida en que un contrato estatal requiere de su elevación a escrito como presupuesto para su perfeccionamiento, no puede decirse que de un proceso de contratación adjudicado derive el compromiso de ejecutar obras civiles para el proponente, comoquiera que ello es una obligación que surge a partir del contrato, el cual, por regla general, requiere de su suscripción y elevación a escrito para su perfeccionamiento. En ese sentido, contratos estatales no perfeccionados al momento de la presentación de la oferta no pueden ser tenidos en cuenta para cálculo del factor (SCE) en eventuales procesos de contratación a los que se presente el proponente, comoquiera que no encajan dentro de la noción de Contratos en ejecución establecida en la guía.   </w:t>
      </w:r>
    </w:p>
    <w:p w14:paraId="6D596EDF" w14:textId="10FC19AB" w:rsidR="00D62F13" w:rsidRDefault="00D62F13" w:rsidP="005A1199">
      <w:pPr>
        <w:spacing w:before="120" w:after="120" w:line="276" w:lineRule="auto"/>
        <w:ind w:firstLine="708"/>
        <w:jc w:val="both"/>
        <w:rPr>
          <w:rFonts w:ascii="Arial" w:eastAsia="Arial" w:hAnsi="Arial" w:cs="Arial"/>
          <w:sz w:val="22"/>
          <w:szCs w:val="22"/>
          <w:lang w:eastAsia="es-ES" w:bidi="es-ES"/>
        </w:rPr>
      </w:pPr>
      <w:r w:rsidRPr="0004416B">
        <w:rPr>
          <w:rFonts w:ascii="Arial" w:eastAsia="Arial" w:hAnsi="Arial" w:cs="Arial"/>
          <w:sz w:val="22"/>
          <w:szCs w:val="22"/>
          <w:lang w:eastAsia="es-ES" w:bidi="es-ES"/>
        </w:rPr>
        <w:lastRenderedPageBreak/>
        <w:t>Ahora bien, su consulta se refiere a la forma de calcular el presupuesto oficial en aquellos eventos donde el proceso de selección sea estructurado por lotes o grupos. Al respecto, sea lo primero precisar que</w:t>
      </w:r>
      <w:r w:rsidR="00201962" w:rsidRPr="0004416B">
        <w:rPr>
          <w:rFonts w:ascii="Arial" w:eastAsia="Arial" w:hAnsi="Arial" w:cs="Arial"/>
          <w:sz w:val="22"/>
          <w:szCs w:val="22"/>
          <w:lang w:eastAsia="es-ES" w:bidi="es-ES"/>
        </w:rPr>
        <w:t xml:space="preserve">, ni el Decreto 1082 de 2015 y </w:t>
      </w:r>
      <w:r w:rsidR="009D0627" w:rsidRPr="0004416B">
        <w:rPr>
          <w:rFonts w:ascii="Arial" w:eastAsia="Arial" w:hAnsi="Arial" w:cs="Arial"/>
          <w:sz w:val="22"/>
          <w:szCs w:val="22"/>
          <w:lang w:eastAsia="es-ES" w:bidi="es-ES"/>
        </w:rPr>
        <w:t xml:space="preserve">ni </w:t>
      </w:r>
      <w:r w:rsidR="00201962" w:rsidRPr="0004416B">
        <w:rPr>
          <w:rFonts w:ascii="Arial" w:eastAsia="Arial" w:hAnsi="Arial" w:cs="Arial"/>
          <w:sz w:val="22"/>
          <w:szCs w:val="22"/>
          <w:lang w:eastAsia="es-ES" w:bidi="es-ES"/>
        </w:rPr>
        <w:t xml:space="preserve">la </w:t>
      </w:r>
      <w:r w:rsidR="009D0627" w:rsidRPr="0004416B">
        <w:rPr>
          <w:rFonts w:ascii="Arial" w:eastAsia="Arial" w:hAnsi="Arial" w:cs="Arial"/>
          <w:sz w:val="22"/>
          <w:szCs w:val="22"/>
          <w:lang w:eastAsia="es-ES" w:bidi="es-ES"/>
        </w:rPr>
        <w:t>«</w:t>
      </w:r>
      <w:r w:rsidR="00201962" w:rsidRPr="0004416B">
        <w:rPr>
          <w:rFonts w:ascii="Arial" w:eastAsia="Calibri" w:hAnsi="Arial" w:cs="Arial"/>
          <w:color w:val="0D0D0D"/>
          <w:sz w:val="22"/>
          <w:szCs w:val="22"/>
          <w:bdr w:val="none" w:sz="0" w:space="0" w:color="auto" w:frame="1"/>
          <w:lang w:eastAsia="es-CO"/>
        </w:rPr>
        <w:t>Guía para Determinar y Verificar la Capacidad Residual del Proponente en los Procesos de Contratación de Obra Pública</w:t>
      </w:r>
      <w:r w:rsidR="00201962" w:rsidRPr="0077368F">
        <w:rPr>
          <w:rFonts w:ascii="Arial" w:eastAsia="Calibri" w:hAnsi="Arial" w:cs="Arial"/>
          <w:sz w:val="22"/>
          <w:szCs w:val="22"/>
          <w:lang w:eastAsia="en-US"/>
        </w:rPr>
        <w:t>»</w:t>
      </w:r>
      <w:r w:rsidR="009D0627" w:rsidRPr="0077368F">
        <w:rPr>
          <w:rFonts w:ascii="Arial" w:eastAsia="Calibri" w:hAnsi="Arial" w:cs="Arial"/>
          <w:sz w:val="22"/>
          <w:szCs w:val="22"/>
          <w:lang w:eastAsia="en-US"/>
        </w:rPr>
        <w:t>, contemplan</w:t>
      </w:r>
      <w:r w:rsidR="00005A32" w:rsidRPr="0077368F">
        <w:rPr>
          <w:rFonts w:ascii="Arial" w:eastAsia="Calibri" w:hAnsi="Arial" w:cs="Arial"/>
          <w:sz w:val="22"/>
          <w:szCs w:val="22"/>
          <w:lang w:eastAsia="en-US"/>
        </w:rPr>
        <w:t xml:space="preserve"> una regla especial para la acreditación de la capacidad residual en procesos estructurados por lotes, por lo que, </w:t>
      </w:r>
      <w:r w:rsidRPr="0004416B">
        <w:rPr>
          <w:rFonts w:ascii="Arial" w:eastAsia="Arial" w:hAnsi="Arial" w:cs="Arial"/>
          <w:sz w:val="22"/>
          <w:szCs w:val="22"/>
          <w:lang w:eastAsia="es-ES" w:bidi="es-ES"/>
        </w:rPr>
        <w:t xml:space="preserve"> corresponde a la </w:t>
      </w:r>
      <w:r w:rsidR="00005A32" w:rsidRPr="0004416B">
        <w:rPr>
          <w:rFonts w:ascii="Arial" w:eastAsia="Arial" w:hAnsi="Arial" w:cs="Arial"/>
          <w:sz w:val="22"/>
          <w:szCs w:val="22"/>
          <w:lang w:eastAsia="es-ES" w:bidi="es-ES"/>
        </w:rPr>
        <w:t>entidades estatales</w:t>
      </w:r>
      <w:r w:rsidR="00E93AA1" w:rsidRPr="0004416B">
        <w:rPr>
          <w:rFonts w:ascii="Arial" w:eastAsia="Arial" w:hAnsi="Arial" w:cs="Arial"/>
          <w:sz w:val="22"/>
          <w:szCs w:val="22"/>
          <w:lang w:eastAsia="es-ES" w:bidi="es-ES"/>
        </w:rPr>
        <w:t>,</w:t>
      </w:r>
      <w:r w:rsidR="00005A32" w:rsidRPr="0004416B">
        <w:rPr>
          <w:rFonts w:ascii="Arial" w:eastAsia="Arial" w:hAnsi="Arial" w:cs="Arial"/>
          <w:sz w:val="22"/>
          <w:szCs w:val="22"/>
          <w:lang w:eastAsia="es-ES" w:bidi="es-ES"/>
        </w:rPr>
        <w:t xml:space="preserve"> en ejercicio de la autonomía</w:t>
      </w:r>
      <w:r w:rsidR="00E93AA1" w:rsidRPr="0004416B">
        <w:rPr>
          <w:rFonts w:ascii="Arial" w:eastAsia="Arial" w:hAnsi="Arial" w:cs="Arial"/>
          <w:sz w:val="22"/>
          <w:szCs w:val="22"/>
          <w:lang w:eastAsia="es-ES" w:bidi="es-ES"/>
        </w:rPr>
        <w:t xml:space="preserve"> y discrecionalidad</w:t>
      </w:r>
      <w:r w:rsidR="00005A32" w:rsidRPr="0004416B">
        <w:rPr>
          <w:rFonts w:ascii="Arial" w:eastAsia="Arial" w:hAnsi="Arial" w:cs="Arial"/>
          <w:sz w:val="22"/>
          <w:szCs w:val="22"/>
          <w:lang w:eastAsia="es-ES" w:bidi="es-ES"/>
        </w:rPr>
        <w:t xml:space="preserve"> que les corresponde para regular los requisitos habilitantes aplicables en sus</w:t>
      </w:r>
      <w:r w:rsidR="00E93AA1" w:rsidRPr="0004416B">
        <w:rPr>
          <w:rFonts w:ascii="Arial" w:eastAsia="Arial" w:hAnsi="Arial" w:cs="Arial"/>
          <w:sz w:val="22"/>
          <w:szCs w:val="22"/>
          <w:lang w:eastAsia="es-ES" w:bidi="es-ES"/>
        </w:rPr>
        <w:t xml:space="preserve"> procesos de selección, determinar </w:t>
      </w:r>
      <w:r w:rsidR="0060216B" w:rsidRPr="0004416B">
        <w:rPr>
          <w:rFonts w:ascii="Arial" w:eastAsia="Arial" w:hAnsi="Arial" w:cs="Arial"/>
          <w:sz w:val="22"/>
          <w:szCs w:val="22"/>
          <w:lang w:eastAsia="es-ES" w:bidi="es-ES"/>
        </w:rPr>
        <w:t xml:space="preserve">en los pliegos de condiciones determinar la forma en la que se verificará </w:t>
      </w:r>
      <w:r w:rsidR="0004416B" w:rsidRPr="0004416B">
        <w:rPr>
          <w:rFonts w:ascii="Arial" w:eastAsia="Arial" w:hAnsi="Arial" w:cs="Arial"/>
          <w:sz w:val="22"/>
          <w:szCs w:val="22"/>
          <w:lang w:eastAsia="es-ES" w:bidi="es-ES"/>
        </w:rPr>
        <w:t xml:space="preserve">la capacidad residual en los procesos estructurados por lotes. </w:t>
      </w:r>
      <w:r w:rsidR="00E93AA1" w:rsidRPr="0004416B">
        <w:rPr>
          <w:rFonts w:ascii="Arial" w:eastAsia="Arial" w:hAnsi="Arial" w:cs="Arial"/>
          <w:sz w:val="22"/>
          <w:szCs w:val="22"/>
          <w:lang w:eastAsia="es-ES" w:bidi="es-ES"/>
        </w:rPr>
        <w:t xml:space="preserve"> </w:t>
      </w:r>
      <w:r w:rsidR="00005A32" w:rsidRPr="0004416B">
        <w:rPr>
          <w:rFonts w:ascii="Arial" w:eastAsia="Arial" w:hAnsi="Arial" w:cs="Arial"/>
          <w:sz w:val="22"/>
          <w:szCs w:val="22"/>
          <w:lang w:eastAsia="es-ES" w:bidi="es-ES"/>
        </w:rPr>
        <w:t xml:space="preserve"> </w:t>
      </w:r>
    </w:p>
    <w:p w14:paraId="2110A91B" w14:textId="77777777" w:rsidR="00964742" w:rsidRDefault="0004416B" w:rsidP="00B27386">
      <w:pPr>
        <w:spacing w:before="120" w:after="120" w:line="276" w:lineRule="auto"/>
        <w:ind w:firstLine="708"/>
        <w:jc w:val="both"/>
        <w:rPr>
          <w:rFonts w:ascii="Arial" w:eastAsia="Arial" w:hAnsi="Arial" w:cs="Arial"/>
          <w:sz w:val="22"/>
          <w:szCs w:val="22"/>
          <w:lang w:eastAsia="es-ES" w:bidi="es-ES"/>
        </w:rPr>
      </w:pPr>
      <w:r>
        <w:rPr>
          <w:rFonts w:ascii="Arial" w:eastAsia="Arial" w:hAnsi="Arial" w:cs="Arial"/>
          <w:sz w:val="22"/>
          <w:szCs w:val="22"/>
          <w:lang w:eastAsia="es-ES" w:bidi="es-ES"/>
        </w:rPr>
        <w:t xml:space="preserve">Sin perjuicio de lo anterior, las reglas que sean incluidas en los pliegos de condiciones deberán </w:t>
      </w:r>
      <w:r w:rsidR="00C76DCA">
        <w:rPr>
          <w:rFonts w:ascii="Arial" w:eastAsia="Arial" w:hAnsi="Arial" w:cs="Arial"/>
          <w:sz w:val="22"/>
          <w:szCs w:val="22"/>
          <w:lang w:eastAsia="es-ES" w:bidi="es-ES"/>
        </w:rPr>
        <w:t>ser planteadas con sujeción a l</w:t>
      </w:r>
      <w:r w:rsidR="00304EE4">
        <w:rPr>
          <w:rFonts w:ascii="Arial" w:eastAsia="Arial" w:hAnsi="Arial" w:cs="Arial"/>
          <w:sz w:val="22"/>
          <w:szCs w:val="22"/>
          <w:lang w:eastAsia="es-ES" w:bidi="es-ES"/>
        </w:rPr>
        <w:t xml:space="preserve">o </w:t>
      </w:r>
      <w:r w:rsidR="00947824">
        <w:rPr>
          <w:rFonts w:ascii="Arial" w:eastAsia="Arial" w:hAnsi="Arial" w:cs="Arial"/>
          <w:sz w:val="22"/>
          <w:szCs w:val="22"/>
          <w:lang w:eastAsia="es-ES" w:bidi="es-ES"/>
        </w:rPr>
        <w:t>establecid</w:t>
      </w:r>
      <w:r w:rsidR="00304EE4">
        <w:rPr>
          <w:rFonts w:ascii="Arial" w:eastAsia="Arial" w:hAnsi="Arial" w:cs="Arial"/>
          <w:sz w:val="22"/>
          <w:szCs w:val="22"/>
          <w:lang w:eastAsia="es-ES" w:bidi="es-ES"/>
        </w:rPr>
        <w:t>o</w:t>
      </w:r>
      <w:r w:rsidR="00947824">
        <w:rPr>
          <w:rFonts w:ascii="Arial" w:eastAsia="Arial" w:hAnsi="Arial" w:cs="Arial"/>
          <w:sz w:val="22"/>
          <w:szCs w:val="22"/>
          <w:lang w:eastAsia="es-ES" w:bidi="es-ES"/>
        </w:rPr>
        <w:t xml:space="preserve"> en la mencionada guía, en la medida en esta contiene la </w:t>
      </w:r>
      <w:r w:rsidR="00304EE4">
        <w:rPr>
          <w:rFonts w:ascii="Arial" w:eastAsia="Arial" w:hAnsi="Arial" w:cs="Arial"/>
          <w:sz w:val="22"/>
          <w:szCs w:val="22"/>
          <w:lang w:eastAsia="es-ES" w:bidi="es-ES"/>
        </w:rPr>
        <w:t xml:space="preserve">metodología que aplica de manera general para el </w:t>
      </w:r>
      <w:r w:rsidR="00100AF1">
        <w:rPr>
          <w:rFonts w:ascii="Arial" w:eastAsia="Arial" w:hAnsi="Arial" w:cs="Arial"/>
          <w:sz w:val="22"/>
          <w:szCs w:val="22"/>
          <w:lang w:eastAsia="es-ES" w:bidi="es-ES"/>
        </w:rPr>
        <w:t>cálculo</w:t>
      </w:r>
      <w:r w:rsidR="00304EE4">
        <w:rPr>
          <w:rFonts w:ascii="Arial" w:eastAsia="Arial" w:hAnsi="Arial" w:cs="Arial"/>
          <w:sz w:val="22"/>
          <w:szCs w:val="22"/>
          <w:lang w:eastAsia="es-ES" w:bidi="es-ES"/>
        </w:rPr>
        <w:t xml:space="preserve"> de la capacidad residual en los procesos de contratación de obra pública, de </w:t>
      </w:r>
      <w:r w:rsidR="00100AF1">
        <w:rPr>
          <w:rFonts w:ascii="Arial" w:eastAsia="Arial" w:hAnsi="Arial" w:cs="Arial"/>
          <w:sz w:val="22"/>
          <w:szCs w:val="22"/>
          <w:lang w:eastAsia="es-ES" w:bidi="es-ES"/>
        </w:rPr>
        <w:t xml:space="preserve">la cual no se encuentran exceptuados los procesos estructurados por lotes o módulos. </w:t>
      </w:r>
      <w:r w:rsidR="00816E85">
        <w:rPr>
          <w:rFonts w:ascii="Arial" w:eastAsia="Arial" w:hAnsi="Arial" w:cs="Arial"/>
          <w:sz w:val="22"/>
          <w:szCs w:val="22"/>
          <w:lang w:eastAsia="es-ES" w:bidi="es-ES"/>
        </w:rPr>
        <w:t xml:space="preserve">En ese sentido, el margen de discrecionalidad para establecer </w:t>
      </w:r>
      <w:r w:rsidR="00154DC3">
        <w:rPr>
          <w:rFonts w:ascii="Arial" w:eastAsia="Arial" w:hAnsi="Arial" w:cs="Arial"/>
          <w:sz w:val="22"/>
          <w:szCs w:val="22"/>
          <w:lang w:eastAsia="es-ES" w:bidi="es-ES"/>
        </w:rPr>
        <w:t>regular</w:t>
      </w:r>
      <w:r w:rsidR="00816E85">
        <w:rPr>
          <w:rFonts w:ascii="Arial" w:eastAsia="Arial" w:hAnsi="Arial" w:cs="Arial"/>
          <w:sz w:val="22"/>
          <w:szCs w:val="22"/>
          <w:lang w:eastAsia="es-ES" w:bidi="es-ES"/>
        </w:rPr>
        <w:t xml:space="preserve"> </w:t>
      </w:r>
      <w:r w:rsidR="004C3358">
        <w:rPr>
          <w:rFonts w:ascii="Arial" w:eastAsia="Arial" w:hAnsi="Arial" w:cs="Arial"/>
          <w:sz w:val="22"/>
          <w:szCs w:val="22"/>
          <w:lang w:eastAsia="es-ES" w:bidi="es-ES"/>
        </w:rPr>
        <w:t xml:space="preserve">la acreditación de la capacidad residual en estos eventos está determinada </w:t>
      </w:r>
      <w:r w:rsidR="00154DC3">
        <w:rPr>
          <w:rFonts w:ascii="Arial" w:eastAsia="Arial" w:hAnsi="Arial" w:cs="Arial"/>
          <w:sz w:val="22"/>
          <w:szCs w:val="22"/>
          <w:lang w:eastAsia="es-ES" w:bidi="es-ES"/>
        </w:rPr>
        <w:t>adecuación y proporcionalidad de las reglas</w:t>
      </w:r>
      <w:r w:rsidR="00934FD7">
        <w:rPr>
          <w:rFonts w:ascii="Arial" w:eastAsia="Arial" w:hAnsi="Arial" w:cs="Arial"/>
          <w:sz w:val="22"/>
          <w:szCs w:val="22"/>
          <w:lang w:eastAsia="es-ES" w:bidi="es-ES"/>
        </w:rPr>
        <w:t xml:space="preserve"> que se incluyan para aplicar la metodología explicada </w:t>
      </w:r>
      <w:r w:rsidR="00934FD7" w:rsidRPr="0077368F">
        <w:rPr>
          <w:rFonts w:ascii="Arial" w:eastAsia="Arial" w:hAnsi="Arial" w:cs="Arial"/>
          <w:i/>
          <w:iCs/>
          <w:sz w:val="22"/>
          <w:szCs w:val="22"/>
          <w:lang w:eastAsia="es-ES" w:bidi="es-ES"/>
        </w:rPr>
        <w:t>supra</w:t>
      </w:r>
      <w:r w:rsidR="00F349AD">
        <w:rPr>
          <w:rFonts w:ascii="Arial" w:eastAsia="Arial" w:hAnsi="Arial" w:cs="Arial"/>
          <w:i/>
          <w:iCs/>
          <w:sz w:val="22"/>
          <w:szCs w:val="22"/>
          <w:lang w:eastAsia="es-ES" w:bidi="es-ES"/>
        </w:rPr>
        <w:t>,</w:t>
      </w:r>
      <w:r w:rsidR="00B27386">
        <w:rPr>
          <w:rFonts w:ascii="Arial" w:eastAsia="Arial" w:hAnsi="Arial" w:cs="Arial"/>
          <w:i/>
          <w:iCs/>
          <w:sz w:val="22"/>
          <w:szCs w:val="22"/>
          <w:lang w:eastAsia="es-ES" w:bidi="es-ES"/>
        </w:rPr>
        <w:t xml:space="preserve"> </w:t>
      </w:r>
      <w:r w:rsidR="00B27386" w:rsidRPr="0077368F">
        <w:rPr>
          <w:rFonts w:ascii="Arial" w:eastAsia="Arial" w:hAnsi="Arial" w:cs="Arial"/>
          <w:sz w:val="22"/>
          <w:szCs w:val="22"/>
          <w:lang w:eastAsia="es-ES" w:bidi="es-ES"/>
        </w:rPr>
        <w:t>en</w:t>
      </w:r>
      <w:r w:rsidR="00F349AD">
        <w:rPr>
          <w:rFonts w:ascii="Arial" w:eastAsia="Arial" w:hAnsi="Arial" w:cs="Arial"/>
          <w:i/>
          <w:iCs/>
          <w:sz w:val="22"/>
          <w:szCs w:val="22"/>
          <w:lang w:eastAsia="es-ES" w:bidi="es-ES"/>
        </w:rPr>
        <w:t xml:space="preserve"> </w:t>
      </w:r>
      <w:r w:rsidR="00F349AD">
        <w:rPr>
          <w:rFonts w:ascii="Arial" w:eastAsia="Arial" w:hAnsi="Arial" w:cs="Arial"/>
          <w:sz w:val="22"/>
          <w:szCs w:val="22"/>
          <w:lang w:eastAsia="es-ES" w:bidi="es-ES"/>
        </w:rPr>
        <w:t>consideración a las particularidades del proceso de contratación</w:t>
      </w:r>
      <w:r w:rsidR="00B27386">
        <w:rPr>
          <w:rFonts w:ascii="Arial" w:eastAsia="Arial" w:hAnsi="Arial" w:cs="Arial"/>
          <w:sz w:val="22"/>
          <w:szCs w:val="22"/>
          <w:lang w:eastAsia="es-ES" w:bidi="es-ES"/>
        </w:rPr>
        <w:t xml:space="preserve"> no reguladas por dicho instrumento. </w:t>
      </w:r>
    </w:p>
    <w:p w14:paraId="777A4979" w14:textId="7ECA4ED5" w:rsidR="004D141D" w:rsidRDefault="00E673DC" w:rsidP="00B27386">
      <w:pPr>
        <w:spacing w:before="120" w:after="120" w:line="276" w:lineRule="auto"/>
        <w:ind w:firstLine="708"/>
        <w:jc w:val="both"/>
        <w:rPr>
          <w:rFonts w:ascii="Arial" w:eastAsia="Arial" w:hAnsi="Arial" w:cs="Arial"/>
          <w:sz w:val="22"/>
          <w:szCs w:val="22"/>
          <w:lang w:eastAsia="es-ES" w:bidi="es-ES"/>
        </w:rPr>
      </w:pPr>
      <w:r>
        <w:rPr>
          <w:rFonts w:ascii="Arial" w:eastAsia="Arial" w:hAnsi="Arial" w:cs="Arial"/>
          <w:sz w:val="22"/>
          <w:szCs w:val="22"/>
          <w:lang w:eastAsia="es-ES" w:bidi="es-ES"/>
        </w:rPr>
        <w:t xml:space="preserve">Conforme a lo anterior, </w:t>
      </w:r>
      <w:r w:rsidR="00AF0577">
        <w:rPr>
          <w:rFonts w:ascii="Arial" w:eastAsia="Arial" w:hAnsi="Arial" w:cs="Arial"/>
          <w:sz w:val="22"/>
          <w:szCs w:val="22"/>
          <w:lang w:eastAsia="es-ES" w:bidi="es-ES"/>
        </w:rPr>
        <w:t xml:space="preserve">no resultaría válido que una entidad estatal </w:t>
      </w:r>
      <w:r w:rsidR="0048187D">
        <w:rPr>
          <w:rFonts w:ascii="Arial" w:eastAsia="Arial" w:hAnsi="Arial" w:cs="Arial"/>
          <w:sz w:val="22"/>
          <w:szCs w:val="22"/>
          <w:lang w:eastAsia="es-ES" w:bidi="es-ES"/>
        </w:rPr>
        <w:t>verifique la capacidad residual tomando e</w:t>
      </w:r>
      <w:r w:rsidR="00A45728">
        <w:rPr>
          <w:rFonts w:ascii="Arial" w:eastAsia="Arial" w:hAnsi="Arial" w:cs="Arial"/>
          <w:sz w:val="22"/>
          <w:szCs w:val="22"/>
          <w:lang w:eastAsia="es-ES" w:bidi="es-ES"/>
        </w:rPr>
        <w:t xml:space="preserve">n consideraciones actuaciones que no corresponden </w:t>
      </w:r>
      <w:r w:rsidR="002079CB">
        <w:rPr>
          <w:rFonts w:ascii="Arial" w:eastAsia="Arial" w:hAnsi="Arial" w:cs="Arial"/>
          <w:sz w:val="22"/>
          <w:szCs w:val="22"/>
          <w:lang w:eastAsia="es-ES" w:bidi="es-ES"/>
        </w:rPr>
        <w:t xml:space="preserve">con la noción de </w:t>
      </w:r>
      <w:r w:rsidR="002079CB" w:rsidRPr="0077368F">
        <w:rPr>
          <w:rFonts w:ascii="Arial" w:eastAsia="Arial" w:hAnsi="Arial" w:cs="Arial"/>
          <w:i/>
          <w:iCs/>
          <w:sz w:val="22"/>
          <w:szCs w:val="22"/>
          <w:lang w:eastAsia="es-ES" w:bidi="es-ES"/>
        </w:rPr>
        <w:t>contratos en ejecución</w:t>
      </w:r>
      <w:r w:rsidR="006507BF">
        <w:rPr>
          <w:rFonts w:ascii="Arial" w:eastAsia="Arial" w:hAnsi="Arial" w:cs="Arial"/>
          <w:i/>
          <w:iCs/>
          <w:sz w:val="22"/>
          <w:szCs w:val="22"/>
          <w:lang w:eastAsia="es-ES" w:bidi="es-ES"/>
        </w:rPr>
        <w:t xml:space="preserve"> </w:t>
      </w:r>
      <w:r w:rsidR="006507BF" w:rsidRPr="0077368F">
        <w:rPr>
          <w:rFonts w:ascii="Arial" w:eastAsia="Arial" w:hAnsi="Arial" w:cs="Arial"/>
          <w:sz w:val="22"/>
          <w:szCs w:val="22"/>
          <w:lang w:eastAsia="es-ES" w:bidi="es-ES"/>
        </w:rPr>
        <w:t>antes explicada</w:t>
      </w:r>
      <w:r w:rsidR="000A45B0">
        <w:rPr>
          <w:rFonts w:ascii="Arial" w:eastAsia="Arial" w:hAnsi="Arial" w:cs="Arial"/>
          <w:sz w:val="22"/>
          <w:szCs w:val="22"/>
          <w:lang w:eastAsia="es-ES" w:bidi="es-ES"/>
        </w:rPr>
        <w:t>, como</w:t>
      </w:r>
      <w:r w:rsidR="006D4AD1">
        <w:rPr>
          <w:rFonts w:ascii="Arial" w:eastAsia="Arial" w:hAnsi="Arial" w:cs="Arial"/>
          <w:sz w:val="22"/>
          <w:szCs w:val="22"/>
          <w:lang w:eastAsia="es-ES" w:bidi="es-ES"/>
        </w:rPr>
        <w:t xml:space="preserve"> podrían ser</w:t>
      </w:r>
      <w:r w:rsidR="001A368A">
        <w:rPr>
          <w:rFonts w:ascii="Arial" w:eastAsia="Arial" w:hAnsi="Arial" w:cs="Arial"/>
          <w:sz w:val="22"/>
          <w:szCs w:val="22"/>
          <w:lang w:eastAsia="es-ES" w:bidi="es-ES"/>
        </w:rPr>
        <w:t>, por ejemplo,</w:t>
      </w:r>
      <w:r w:rsidR="006D4AD1">
        <w:rPr>
          <w:rFonts w:ascii="Arial" w:eastAsia="Arial" w:hAnsi="Arial" w:cs="Arial"/>
          <w:sz w:val="22"/>
          <w:szCs w:val="22"/>
          <w:lang w:eastAsia="es-ES" w:bidi="es-ES"/>
        </w:rPr>
        <w:t xml:space="preserve"> aquellos contratos </w:t>
      </w:r>
      <w:r w:rsidR="001A368A">
        <w:rPr>
          <w:rFonts w:ascii="Arial" w:eastAsia="Arial" w:hAnsi="Arial" w:cs="Arial"/>
          <w:sz w:val="22"/>
          <w:szCs w:val="22"/>
          <w:lang w:eastAsia="es-ES" w:bidi="es-ES"/>
        </w:rPr>
        <w:t xml:space="preserve">adjudicados pero </w:t>
      </w:r>
      <w:r w:rsidR="006A76BA">
        <w:rPr>
          <w:rFonts w:ascii="Arial" w:eastAsia="Arial" w:hAnsi="Arial" w:cs="Arial"/>
          <w:sz w:val="22"/>
          <w:szCs w:val="22"/>
          <w:lang w:eastAsia="es-ES" w:bidi="es-ES"/>
        </w:rPr>
        <w:t xml:space="preserve">que </w:t>
      </w:r>
      <w:proofErr w:type="spellStart"/>
      <w:r w:rsidR="006A76BA">
        <w:rPr>
          <w:rFonts w:ascii="Arial" w:eastAsia="Arial" w:hAnsi="Arial" w:cs="Arial"/>
          <w:sz w:val="22"/>
          <w:szCs w:val="22"/>
          <w:lang w:eastAsia="es-ES" w:bidi="es-ES"/>
        </w:rPr>
        <w:t>aun</w:t>
      </w:r>
      <w:proofErr w:type="spellEnd"/>
      <w:r w:rsidR="006A76BA">
        <w:rPr>
          <w:rFonts w:ascii="Arial" w:eastAsia="Arial" w:hAnsi="Arial" w:cs="Arial"/>
          <w:sz w:val="22"/>
          <w:szCs w:val="22"/>
          <w:lang w:eastAsia="es-ES" w:bidi="es-ES"/>
        </w:rPr>
        <w:t xml:space="preserve"> no han sido elevados a escrito con la suscripción de las partes. </w:t>
      </w:r>
      <w:r w:rsidR="0091755C">
        <w:rPr>
          <w:rFonts w:ascii="Arial" w:eastAsia="Arial" w:hAnsi="Arial" w:cs="Arial"/>
          <w:sz w:val="22"/>
          <w:szCs w:val="22"/>
          <w:lang w:eastAsia="es-ES" w:bidi="es-ES"/>
        </w:rPr>
        <w:t xml:space="preserve">Esto comoquiera que esta definición </w:t>
      </w:r>
      <w:r w:rsidR="006614DC">
        <w:rPr>
          <w:rFonts w:ascii="Arial" w:eastAsia="Arial" w:hAnsi="Arial" w:cs="Arial"/>
          <w:sz w:val="22"/>
          <w:szCs w:val="22"/>
          <w:lang w:eastAsia="es-ES" w:bidi="es-ES"/>
        </w:rPr>
        <w:t xml:space="preserve">se encuentra reglada </w:t>
      </w:r>
      <w:r w:rsidR="006507BF">
        <w:rPr>
          <w:rFonts w:ascii="Arial" w:eastAsia="Arial" w:hAnsi="Arial" w:cs="Arial"/>
          <w:sz w:val="22"/>
          <w:szCs w:val="22"/>
          <w:lang w:eastAsia="es-ES" w:bidi="es-ES"/>
        </w:rPr>
        <w:t xml:space="preserve">por </w:t>
      </w:r>
      <w:r w:rsidR="00867C5D">
        <w:rPr>
          <w:rFonts w:ascii="Arial" w:eastAsia="Arial" w:hAnsi="Arial" w:cs="Arial"/>
          <w:sz w:val="22"/>
          <w:szCs w:val="22"/>
          <w:lang w:eastAsia="es-ES" w:bidi="es-ES"/>
        </w:rPr>
        <w:t xml:space="preserve">la </w:t>
      </w:r>
      <w:r w:rsidR="006507BF">
        <w:rPr>
          <w:rFonts w:ascii="Arial" w:eastAsia="Arial" w:hAnsi="Arial" w:cs="Arial"/>
          <w:sz w:val="22"/>
          <w:szCs w:val="22"/>
          <w:lang w:eastAsia="es-ES" w:bidi="es-ES"/>
        </w:rPr>
        <w:t xml:space="preserve">guía y </w:t>
      </w:r>
      <w:r w:rsidR="0091755C">
        <w:rPr>
          <w:rFonts w:ascii="Arial" w:eastAsia="Arial" w:hAnsi="Arial" w:cs="Arial"/>
          <w:sz w:val="22"/>
          <w:szCs w:val="22"/>
          <w:lang w:eastAsia="es-ES" w:bidi="es-ES"/>
        </w:rPr>
        <w:t>aplicaría de manera igual en procesos por</w:t>
      </w:r>
      <w:r w:rsidR="00333F6C">
        <w:rPr>
          <w:rFonts w:ascii="Arial" w:eastAsia="Arial" w:hAnsi="Arial" w:cs="Arial"/>
          <w:sz w:val="22"/>
          <w:szCs w:val="22"/>
          <w:lang w:eastAsia="es-ES" w:bidi="es-ES"/>
        </w:rPr>
        <w:t xml:space="preserve"> lotes al no haber distinción alguna en el instrumento</w:t>
      </w:r>
      <w:r w:rsidR="009E1AC8">
        <w:rPr>
          <w:rFonts w:ascii="Arial" w:eastAsia="Arial" w:hAnsi="Arial" w:cs="Arial"/>
          <w:sz w:val="22"/>
          <w:szCs w:val="22"/>
          <w:lang w:eastAsia="es-ES" w:bidi="es-ES"/>
        </w:rPr>
        <w:t>.</w:t>
      </w:r>
    </w:p>
    <w:p w14:paraId="665A3FB1" w14:textId="77777777" w:rsidR="003C5405" w:rsidRDefault="00F002D7" w:rsidP="00B27386">
      <w:pPr>
        <w:spacing w:before="120" w:after="120" w:line="276" w:lineRule="auto"/>
        <w:ind w:firstLine="708"/>
        <w:jc w:val="both"/>
        <w:rPr>
          <w:rFonts w:ascii="Arial" w:eastAsia="Arial" w:hAnsi="Arial" w:cs="Arial"/>
          <w:sz w:val="22"/>
          <w:szCs w:val="22"/>
          <w:lang w:eastAsia="es-ES" w:bidi="es-ES"/>
        </w:rPr>
      </w:pPr>
      <w:r>
        <w:rPr>
          <w:rFonts w:ascii="Arial" w:eastAsia="Arial" w:hAnsi="Arial" w:cs="Arial"/>
          <w:sz w:val="22"/>
          <w:szCs w:val="22"/>
          <w:lang w:eastAsia="es-ES" w:bidi="es-ES"/>
        </w:rPr>
        <w:t xml:space="preserve">Por el contrario, se estima </w:t>
      </w:r>
      <w:r w:rsidR="009E1AC8">
        <w:rPr>
          <w:rFonts w:ascii="Arial" w:eastAsia="Arial" w:hAnsi="Arial" w:cs="Arial"/>
          <w:sz w:val="22"/>
          <w:szCs w:val="22"/>
          <w:lang w:eastAsia="es-ES" w:bidi="es-ES"/>
        </w:rPr>
        <w:t>que,</w:t>
      </w:r>
      <w:r>
        <w:rPr>
          <w:rFonts w:ascii="Arial" w:eastAsia="Arial" w:hAnsi="Arial" w:cs="Arial"/>
          <w:sz w:val="22"/>
          <w:szCs w:val="22"/>
          <w:lang w:eastAsia="es-ES" w:bidi="es-ES"/>
        </w:rPr>
        <w:t xml:space="preserve"> si resulta valido, y apenas razonable, que la entidad estatal establezca reglas sobre </w:t>
      </w:r>
      <w:r w:rsidR="00F5502D">
        <w:rPr>
          <w:rFonts w:ascii="Arial" w:eastAsia="Arial" w:hAnsi="Arial" w:cs="Arial"/>
          <w:sz w:val="22"/>
          <w:szCs w:val="22"/>
          <w:lang w:eastAsia="es-ES" w:bidi="es-ES"/>
        </w:rPr>
        <w:t>cuál</w:t>
      </w:r>
      <w:r w:rsidR="00F25D1F">
        <w:rPr>
          <w:rFonts w:ascii="Arial" w:eastAsia="Arial" w:hAnsi="Arial" w:cs="Arial"/>
          <w:sz w:val="22"/>
          <w:szCs w:val="22"/>
          <w:lang w:eastAsia="es-ES" w:bidi="es-ES"/>
        </w:rPr>
        <w:t xml:space="preserve"> </w:t>
      </w:r>
      <w:r w:rsidR="00F5502D">
        <w:rPr>
          <w:rFonts w:ascii="Arial" w:eastAsia="Arial" w:hAnsi="Arial" w:cs="Arial"/>
          <w:sz w:val="22"/>
          <w:szCs w:val="22"/>
          <w:lang w:eastAsia="es-ES" w:bidi="es-ES"/>
        </w:rPr>
        <w:t xml:space="preserve">es </w:t>
      </w:r>
      <w:r w:rsidR="00F25D1F">
        <w:rPr>
          <w:rFonts w:ascii="Arial" w:eastAsia="Arial" w:hAnsi="Arial" w:cs="Arial"/>
          <w:sz w:val="22"/>
          <w:szCs w:val="22"/>
          <w:lang w:eastAsia="es-ES" w:bidi="es-ES"/>
        </w:rPr>
        <w:t>la CR</w:t>
      </w:r>
      <w:r w:rsidR="00D12E87">
        <w:rPr>
          <w:rFonts w:ascii="Arial" w:eastAsia="Arial" w:hAnsi="Arial" w:cs="Arial"/>
          <w:sz w:val="22"/>
          <w:szCs w:val="22"/>
          <w:lang w:eastAsia="es-ES" w:bidi="es-ES"/>
        </w:rPr>
        <w:t>P que deberá acreditarse</w:t>
      </w:r>
      <w:r w:rsidR="003B11C3">
        <w:rPr>
          <w:rFonts w:ascii="Arial" w:eastAsia="Arial" w:hAnsi="Arial" w:cs="Arial"/>
          <w:sz w:val="22"/>
          <w:szCs w:val="22"/>
          <w:lang w:eastAsia="es-ES" w:bidi="es-ES"/>
        </w:rPr>
        <w:t xml:space="preserve"> a efectos de participar en uno o </w:t>
      </w:r>
      <w:r w:rsidR="004D141D">
        <w:rPr>
          <w:rFonts w:ascii="Arial" w:eastAsia="Arial" w:hAnsi="Arial" w:cs="Arial"/>
          <w:sz w:val="22"/>
          <w:szCs w:val="22"/>
          <w:lang w:eastAsia="es-ES" w:bidi="es-ES"/>
        </w:rPr>
        <w:t>varios de los lotes en los que se divide el proceso de contratación</w:t>
      </w:r>
      <w:r w:rsidR="009E1AC8">
        <w:rPr>
          <w:rFonts w:ascii="Arial" w:eastAsia="Arial" w:hAnsi="Arial" w:cs="Arial"/>
          <w:sz w:val="22"/>
          <w:szCs w:val="22"/>
          <w:lang w:eastAsia="es-ES" w:bidi="es-ES"/>
        </w:rPr>
        <w:t xml:space="preserve">. Esto además debe ser planteado en </w:t>
      </w:r>
      <w:r w:rsidR="001526F3">
        <w:rPr>
          <w:rFonts w:ascii="Arial" w:eastAsia="Arial" w:hAnsi="Arial" w:cs="Arial"/>
          <w:sz w:val="22"/>
          <w:szCs w:val="22"/>
          <w:lang w:eastAsia="es-ES" w:bidi="es-ES"/>
        </w:rPr>
        <w:t>concordancia con la posibilidad de presentar oferta a uno o varios lotes</w:t>
      </w:r>
      <w:r w:rsidR="00F836E0">
        <w:rPr>
          <w:rFonts w:ascii="Arial" w:eastAsia="Arial" w:hAnsi="Arial" w:cs="Arial"/>
          <w:sz w:val="22"/>
          <w:szCs w:val="22"/>
          <w:lang w:eastAsia="es-ES" w:bidi="es-ES"/>
        </w:rPr>
        <w:t xml:space="preserve">, </w:t>
      </w:r>
      <w:r w:rsidR="00896244">
        <w:rPr>
          <w:rFonts w:ascii="Arial" w:eastAsia="Arial" w:hAnsi="Arial" w:cs="Arial"/>
          <w:sz w:val="22"/>
          <w:szCs w:val="22"/>
          <w:lang w:eastAsia="es-ES" w:bidi="es-ES"/>
        </w:rPr>
        <w:t xml:space="preserve">la cual debe ser determinada por la entidad en el pliego de condiciones. </w:t>
      </w:r>
      <w:r w:rsidR="00850AAB">
        <w:rPr>
          <w:rFonts w:ascii="Arial" w:eastAsia="Arial" w:hAnsi="Arial" w:cs="Arial"/>
          <w:sz w:val="22"/>
          <w:szCs w:val="22"/>
          <w:lang w:eastAsia="es-ES" w:bidi="es-ES"/>
        </w:rPr>
        <w:t xml:space="preserve">Asimismo, debe considerarse </w:t>
      </w:r>
      <w:r w:rsidR="00AF1130">
        <w:rPr>
          <w:rFonts w:ascii="Arial" w:eastAsia="Arial" w:hAnsi="Arial" w:cs="Arial"/>
          <w:sz w:val="22"/>
          <w:szCs w:val="22"/>
          <w:lang w:eastAsia="es-ES" w:bidi="es-ES"/>
        </w:rPr>
        <w:t xml:space="preserve">la cantidad de lotes que la entidad determine </w:t>
      </w:r>
      <w:r w:rsidR="00B0134C">
        <w:rPr>
          <w:rFonts w:ascii="Arial" w:eastAsia="Arial" w:hAnsi="Arial" w:cs="Arial"/>
          <w:sz w:val="22"/>
          <w:szCs w:val="22"/>
          <w:lang w:eastAsia="es-ES" w:bidi="es-ES"/>
        </w:rPr>
        <w:t>que</w:t>
      </w:r>
      <w:r w:rsidR="001F267C">
        <w:rPr>
          <w:rFonts w:ascii="Arial" w:eastAsia="Arial" w:hAnsi="Arial" w:cs="Arial"/>
          <w:sz w:val="22"/>
          <w:szCs w:val="22"/>
          <w:lang w:eastAsia="es-ES" w:bidi="es-ES"/>
        </w:rPr>
        <w:t xml:space="preserve"> puede ser adjudicada</w:t>
      </w:r>
      <w:r w:rsidR="00B0134C">
        <w:rPr>
          <w:rFonts w:ascii="Arial" w:eastAsia="Arial" w:hAnsi="Arial" w:cs="Arial"/>
          <w:sz w:val="22"/>
          <w:szCs w:val="22"/>
          <w:lang w:eastAsia="es-ES" w:bidi="es-ES"/>
        </w:rPr>
        <w:t xml:space="preserve"> </w:t>
      </w:r>
      <w:r w:rsidR="003C5405">
        <w:rPr>
          <w:rFonts w:ascii="Arial" w:eastAsia="Arial" w:hAnsi="Arial" w:cs="Arial"/>
          <w:sz w:val="22"/>
          <w:szCs w:val="22"/>
          <w:lang w:eastAsia="es-ES" w:bidi="es-ES"/>
        </w:rPr>
        <w:t xml:space="preserve">a </w:t>
      </w:r>
      <w:r w:rsidR="00B0134C">
        <w:rPr>
          <w:rFonts w:ascii="Arial" w:eastAsia="Arial" w:hAnsi="Arial" w:cs="Arial"/>
          <w:sz w:val="22"/>
          <w:szCs w:val="22"/>
          <w:lang w:eastAsia="es-ES" w:bidi="es-ES"/>
        </w:rPr>
        <w:t xml:space="preserve">un </w:t>
      </w:r>
      <w:r w:rsidR="001F267C">
        <w:rPr>
          <w:rFonts w:ascii="Arial" w:eastAsia="Arial" w:hAnsi="Arial" w:cs="Arial"/>
          <w:sz w:val="22"/>
          <w:szCs w:val="22"/>
          <w:lang w:eastAsia="es-ES" w:bidi="es-ES"/>
        </w:rPr>
        <w:t xml:space="preserve">único </w:t>
      </w:r>
      <w:r w:rsidR="00B0134C">
        <w:rPr>
          <w:rFonts w:ascii="Arial" w:eastAsia="Arial" w:hAnsi="Arial" w:cs="Arial"/>
          <w:sz w:val="22"/>
          <w:szCs w:val="22"/>
          <w:lang w:eastAsia="es-ES" w:bidi="es-ES"/>
        </w:rPr>
        <w:t>proponente</w:t>
      </w:r>
      <w:r w:rsidR="001F267C">
        <w:rPr>
          <w:rFonts w:ascii="Arial" w:eastAsia="Arial" w:hAnsi="Arial" w:cs="Arial"/>
          <w:sz w:val="22"/>
          <w:szCs w:val="22"/>
          <w:lang w:eastAsia="es-ES" w:bidi="es-ES"/>
        </w:rPr>
        <w:t xml:space="preserve">, comoquiera que </w:t>
      </w:r>
      <w:r w:rsidR="00D72146">
        <w:rPr>
          <w:rFonts w:ascii="Arial" w:eastAsia="Arial" w:hAnsi="Arial" w:cs="Arial"/>
          <w:sz w:val="22"/>
          <w:szCs w:val="22"/>
          <w:lang w:eastAsia="es-ES" w:bidi="es-ES"/>
        </w:rPr>
        <w:t>bien podría la entidad estatal limitar</w:t>
      </w:r>
      <w:r w:rsidR="003C5405">
        <w:rPr>
          <w:rFonts w:ascii="Arial" w:eastAsia="Arial" w:hAnsi="Arial" w:cs="Arial"/>
          <w:sz w:val="22"/>
          <w:szCs w:val="22"/>
          <w:lang w:eastAsia="es-ES" w:bidi="es-ES"/>
        </w:rPr>
        <w:t xml:space="preserve">los a un número determinado, sin perjuicio de que se haya permitido presentar oferta para varios o todos los lotes. </w:t>
      </w:r>
    </w:p>
    <w:p w14:paraId="390D546A" w14:textId="0AB36913" w:rsidR="00824EDA" w:rsidRDefault="00493E9C" w:rsidP="008940B2">
      <w:pPr>
        <w:spacing w:before="120" w:after="120" w:line="276" w:lineRule="auto"/>
        <w:ind w:firstLine="708"/>
        <w:jc w:val="both"/>
        <w:rPr>
          <w:rFonts w:ascii="Arial" w:eastAsia="Arial" w:hAnsi="Arial" w:cs="Arial"/>
          <w:sz w:val="22"/>
          <w:szCs w:val="22"/>
          <w:lang w:eastAsia="es-ES" w:bidi="es-ES"/>
        </w:rPr>
      </w:pPr>
      <w:r>
        <w:rPr>
          <w:rFonts w:ascii="Arial" w:eastAsia="Arial" w:hAnsi="Arial" w:cs="Arial"/>
          <w:sz w:val="22"/>
          <w:szCs w:val="22"/>
          <w:lang w:eastAsia="es-ES" w:bidi="es-ES"/>
        </w:rPr>
        <w:lastRenderedPageBreak/>
        <w:t xml:space="preserve">Lo anterior reviste de particular relevancia </w:t>
      </w:r>
      <w:r w:rsidR="00A11A98">
        <w:rPr>
          <w:rFonts w:ascii="Arial" w:eastAsia="Arial" w:hAnsi="Arial" w:cs="Arial"/>
          <w:sz w:val="22"/>
          <w:szCs w:val="22"/>
          <w:lang w:eastAsia="es-ES" w:bidi="es-ES"/>
        </w:rPr>
        <w:t xml:space="preserve">por cuanto, </w:t>
      </w:r>
      <w:r w:rsidR="006A4287">
        <w:rPr>
          <w:rFonts w:ascii="Arial" w:eastAsia="Arial" w:hAnsi="Arial" w:cs="Arial"/>
          <w:sz w:val="22"/>
          <w:szCs w:val="22"/>
          <w:lang w:eastAsia="es-ES" w:bidi="es-ES"/>
        </w:rPr>
        <w:t xml:space="preserve">en principio, el valor de un proceso de contratación </w:t>
      </w:r>
      <w:r w:rsidR="00807037">
        <w:rPr>
          <w:rFonts w:ascii="Arial" w:eastAsia="Arial" w:hAnsi="Arial" w:cs="Arial"/>
          <w:sz w:val="22"/>
          <w:szCs w:val="22"/>
          <w:lang w:eastAsia="es-ES" w:bidi="es-ES"/>
        </w:rPr>
        <w:t>estructurado por lotes</w:t>
      </w:r>
      <w:r w:rsidR="00602FA6">
        <w:rPr>
          <w:rFonts w:ascii="Arial" w:eastAsia="Arial" w:hAnsi="Arial" w:cs="Arial"/>
          <w:sz w:val="22"/>
          <w:szCs w:val="22"/>
          <w:lang w:eastAsia="es-ES" w:bidi="es-ES"/>
        </w:rPr>
        <w:t xml:space="preserve"> lo constituyen </w:t>
      </w:r>
      <w:r w:rsidR="00602FA6" w:rsidRPr="00D62F13">
        <w:rPr>
          <w:rFonts w:ascii="Arial" w:eastAsia="Arial" w:hAnsi="Arial" w:cs="Arial"/>
          <w:sz w:val="22"/>
          <w:szCs w:val="22"/>
          <w:lang w:eastAsia="es-ES" w:bidi="es-ES"/>
        </w:rPr>
        <w:t>la sumatoria del valor de los lotes o grupos a contratar</w:t>
      </w:r>
      <w:r w:rsidR="00824EDA">
        <w:rPr>
          <w:rFonts w:ascii="Arial" w:eastAsia="Arial" w:hAnsi="Arial" w:cs="Arial"/>
          <w:sz w:val="22"/>
          <w:szCs w:val="22"/>
          <w:lang w:eastAsia="es-ES" w:bidi="es-ES"/>
        </w:rPr>
        <w:t xml:space="preserve">, lo cual sugiere que </w:t>
      </w:r>
      <w:r w:rsidR="00D648A0">
        <w:rPr>
          <w:rFonts w:ascii="Arial" w:eastAsia="Arial" w:hAnsi="Arial" w:cs="Arial"/>
          <w:sz w:val="22"/>
          <w:szCs w:val="22"/>
          <w:lang w:eastAsia="es-ES" w:bidi="es-ES"/>
        </w:rPr>
        <w:t>la CRPC debería se</w:t>
      </w:r>
      <w:r w:rsidR="000B19E4">
        <w:rPr>
          <w:rFonts w:ascii="Arial" w:eastAsia="Arial" w:hAnsi="Arial" w:cs="Arial"/>
          <w:sz w:val="22"/>
          <w:szCs w:val="22"/>
          <w:lang w:eastAsia="es-ES" w:bidi="es-ES"/>
        </w:rPr>
        <w:t>r</w:t>
      </w:r>
      <w:r w:rsidR="00D648A0">
        <w:rPr>
          <w:rFonts w:ascii="Arial" w:eastAsia="Arial" w:hAnsi="Arial" w:cs="Arial"/>
          <w:sz w:val="22"/>
          <w:szCs w:val="22"/>
          <w:lang w:eastAsia="es-ES" w:bidi="es-ES"/>
        </w:rPr>
        <w:t xml:space="preserve"> determinada </w:t>
      </w:r>
      <w:r w:rsidR="000B19E4">
        <w:rPr>
          <w:rFonts w:ascii="Arial" w:eastAsia="Arial" w:hAnsi="Arial" w:cs="Arial"/>
          <w:sz w:val="22"/>
          <w:szCs w:val="22"/>
          <w:lang w:eastAsia="es-ES" w:bidi="es-ES"/>
        </w:rPr>
        <w:t xml:space="preserve">tomando en cuenta dicho valor. </w:t>
      </w:r>
      <w:r w:rsidR="008F5EDC">
        <w:rPr>
          <w:rFonts w:ascii="Arial" w:eastAsia="Arial" w:hAnsi="Arial" w:cs="Arial"/>
          <w:sz w:val="22"/>
          <w:szCs w:val="22"/>
          <w:lang w:eastAsia="es-ES" w:bidi="es-ES"/>
        </w:rPr>
        <w:t>En ese sen</w:t>
      </w:r>
      <w:r w:rsidR="00C008B4">
        <w:rPr>
          <w:rFonts w:ascii="Arial" w:eastAsia="Arial" w:hAnsi="Arial" w:cs="Arial"/>
          <w:sz w:val="22"/>
          <w:szCs w:val="22"/>
          <w:lang w:eastAsia="es-ES" w:bidi="es-ES"/>
        </w:rPr>
        <w:t>tido, e</w:t>
      </w:r>
      <w:r w:rsidR="00BF5111">
        <w:rPr>
          <w:rFonts w:ascii="Arial" w:eastAsia="Arial" w:hAnsi="Arial" w:cs="Arial"/>
          <w:sz w:val="22"/>
          <w:szCs w:val="22"/>
          <w:lang w:eastAsia="es-ES" w:bidi="es-ES"/>
        </w:rPr>
        <w:t>xigir a los proponentes acreditar un CRP superior a</w:t>
      </w:r>
      <w:r w:rsidR="008C3CB5">
        <w:rPr>
          <w:rFonts w:ascii="Arial" w:eastAsia="Arial" w:hAnsi="Arial" w:cs="Arial"/>
          <w:sz w:val="22"/>
          <w:szCs w:val="22"/>
          <w:lang w:eastAsia="es-ES" w:bidi="es-ES"/>
        </w:rPr>
        <w:t xml:space="preserve"> la CRPC calculada</w:t>
      </w:r>
      <w:r w:rsidR="003777E7">
        <w:rPr>
          <w:rFonts w:ascii="Arial" w:eastAsia="Arial" w:hAnsi="Arial" w:cs="Arial"/>
          <w:sz w:val="22"/>
          <w:szCs w:val="22"/>
          <w:lang w:eastAsia="es-ES" w:bidi="es-ES"/>
        </w:rPr>
        <w:t xml:space="preserve"> en consideración</w:t>
      </w:r>
      <w:r w:rsidR="00BF5111">
        <w:rPr>
          <w:rFonts w:ascii="Arial" w:eastAsia="Arial" w:hAnsi="Arial" w:cs="Arial"/>
          <w:sz w:val="22"/>
          <w:szCs w:val="22"/>
          <w:lang w:eastAsia="es-ES" w:bidi="es-ES"/>
        </w:rPr>
        <w:t xml:space="preserve"> dich</w:t>
      </w:r>
      <w:r w:rsidR="003777E7">
        <w:rPr>
          <w:rFonts w:ascii="Arial" w:eastAsia="Arial" w:hAnsi="Arial" w:cs="Arial"/>
          <w:sz w:val="22"/>
          <w:szCs w:val="22"/>
          <w:lang w:eastAsia="es-ES" w:bidi="es-ES"/>
        </w:rPr>
        <w:t>a sumatoria</w:t>
      </w:r>
      <w:r w:rsidR="00994426">
        <w:rPr>
          <w:rFonts w:ascii="Arial" w:eastAsia="Arial" w:hAnsi="Arial" w:cs="Arial"/>
          <w:sz w:val="22"/>
          <w:szCs w:val="22"/>
          <w:lang w:eastAsia="es-ES" w:bidi="es-ES"/>
        </w:rPr>
        <w:t xml:space="preserve"> podría</w:t>
      </w:r>
      <w:r w:rsidR="00BF5111">
        <w:rPr>
          <w:rFonts w:ascii="Arial" w:eastAsia="Arial" w:hAnsi="Arial" w:cs="Arial"/>
          <w:sz w:val="22"/>
          <w:szCs w:val="22"/>
          <w:lang w:eastAsia="es-ES" w:bidi="es-ES"/>
        </w:rPr>
        <w:t xml:space="preserve"> resulta</w:t>
      </w:r>
      <w:r w:rsidR="00994426">
        <w:rPr>
          <w:rFonts w:ascii="Arial" w:eastAsia="Arial" w:hAnsi="Arial" w:cs="Arial"/>
          <w:sz w:val="22"/>
          <w:szCs w:val="22"/>
          <w:lang w:eastAsia="es-ES" w:bidi="es-ES"/>
        </w:rPr>
        <w:t>r</w:t>
      </w:r>
      <w:r w:rsidR="00BF5111">
        <w:rPr>
          <w:rFonts w:ascii="Arial" w:eastAsia="Arial" w:hAnsi="Arial" w:cs="Arial"/>
          <w:sz w:val="22"/>
          <w:szCs w:val="22"/>
          <w:lang w:eastAsia="es-ES" w:bidi="es-ES"/>
        </w:rPr>
        <w:t xml:space="preserve"> </w:t>
      </w:r>
      <w:r w:rsidR="0037751F">
        <w:rPr>
          <w:rFonts w:ascii="Arial" w:eastAsia="Arial" w:hAnsi="Arial" w:cs="Arial"/>
          <w:sz w:val="22"/>
          <w:szCs w:val="22"/>
          <w:lang w:eastAsia="es-ES" w:bidi="es-ES"/>
        </w:rPr>
        <w:t>razonable en procesos estructurados por lotes en los que se haya permitido que un proponente presente oferta a más de un lote</w:t>
      </w:r>
      <w:r w:rsidR="00E5201F">
        <w:rPr>
          <w:rFonts w:ascii="Arial" w:eastAsia="Arial" w:hAnsi="Arial" w:cs="Arial"/>
          <w:sz w:val="22"/>
          <w:szCs w:val="22"/>
          <w:lang w:eastAsia="es-ES" w:bidi="es-ES"/>
        </w:rPr>
        <w:t xml:space="preserve"> y</w:t>
      </w:r>
      <w:r w:rsidR="008A7577">
        <w:rPr>
          <w:rFonts w:ascii="Arial" w:eastAsia="Arial" w:hAnsi="Arial" w:cs="Arial"/>
          <w:sz w:val="22"/>
          <w:szCs w:val="22"/>
          <w:lang w:eastAsia="es-ES" w:bidi="es-ES"/>
        </w:rPr>
        <w:t xml:space="preserve"> </w:t>
      </w:r>
      <w:r w:rsidR="00CA6882">
        <w:rPr>
          <w:rFonts w:ascii="Arial" w:eastAsia="Arial" w:hAnsi="Arial" w:cs="Arial"/>
          <w:sz w:val="22"/>
          <w:szCs w:val="22"/>
          <w:lang w:eastAsia="es-ES" w:bidi="es-ES"/>
        </w:rPr>
        <w:t>no se haya</w:t>
      </w:r>
      <w:r w:rsidR="00E5201F">
        <w:rPr>
          <w:rFonts w:ascii="Arial" w:eastAsia="Arial" w:hAnsi="Arial" w:cs="Arial"/>
          <w:sz w:val="22"/>
          <w:szCs w:val="22"/>
          <w:lang w:eastAsia="es-ES" w:bidi="es-ES"/>
        </w:rPr>
        <w:t>n</w:t>
      </w:r>
      <w:r w:rsidR="00CA6882">
        <w:rPr>
          <w:rFonts w:ascii="Arial" w:eastAsia="Arial" w:hAnsi="Arial" w:cs="Arial"/>
          <w:sz w:val="22"/>
          <w:szCs w:val="22"/>
          <w:lang w:eastAsia="es-ES" w:bidi="es-ES"/>
        </w:rPr>
        <w:t xml:space="preserve"> establecido limitaci</w:t>
      </w:r>
      <w:r w:rsidR="00E5201F">
        <w:rPr>
          <w:rFonts w:ascii="Arial" w:eastAsia="Arial" w:hAnsi="Arial" w:cs="Arial"/>
          <w:sz w:val="22"/>
          <w:szCs w:val="22"/>
          <w:lang w:eastAsia="es-ES" w:bidi="es-ES"/>
        </w:rPr>
        <w:t>ones</w:t>
      </w:r>
      <w:r w:rsidR="00CA6882">
        <w:rPr>
          <w:rFonts w:ascii="Arial" w:eastAsia="Arial" w:hAnsi="Arial" w:cs="Arial"/>
          <w:sz w:val="22"/>
          <w:szCs w:val="22"/>
          <w:lang w:eastAsia="es-ES" w:bidi="es-ES"/>
        </w:rPr>
        <w:t xml:space="preserve"> al n</w:t>
      </w:r>
      <w:r w:rsidR="00E5201F">
        <w:rPr>
          <w:rFonts w:ascii="Arial" w:eastAsia="Arial" w:hAnsi="Arial" w:cs="Arial"/>
          <w:sz w:val="22"/>
          <w:szCs w:val="22"/>
          <w:lang w:eastAsia="es-ES" w:bidi="es-ES"/>
        </w:rPr>
        <w:t>ú</w:t>
      </w:r>
      <w:r w:rsidR="00CA6882">
        <w:rPr>
          <w:rFonts w:ascii="Arial" w:eastAsia="Arial" w:hAnsi="Arial" w:cs="Arial"/>
          <w:sz w:val="22"/>
          <w:szCs w:val="22"/>
          <w:lang w:eastAsia="es-ES" w:bidi="es-ES"/>
        </w:rPr>
        <w:t>mero de lotes que pueden ser ad</w:t>
      </w:r>
      <w:r w:rsidR="00E5201F">
        <w:rPr>
          <w:rFonts w:ascii="Arial" w:eastAsia="Arial" w:hAnsi="Arial" w:cs="Arial"/>
          <w:sz w:val="22"/>
          <w:szCs w:val="22"/>
          <w:lang w:eastAsia="es-ES" w:bidi="es-ES"/>
        </w:rPr>
        <w:t xml:space="preserve">judicados a un mismo proponente. </w:t>
      </w:r>
      <w:r w:rsidR="00CA6882">
        <w:rPr>
          <w:rFonts w:ascii="Arial" w:eastAsia="Arial" w:hAnsi="Arial" w:cs="Arial"/>
          <w:sz w:val="22"/>
          <w:szCs w:val="22"/>
          <w:lang w:eastAsia="es-ES" w:bidi="es-ES"/>
        </w:rPr>
        <w:t xml:space="preserve"> </w:t>
      </w:r>
    </w:p>
    <w:p w14:paraId="16BB1A9C" w14:textId="1421867D" w:rsidR="00824EDA" w:rsidRDefault="00CF4E5A" w:rsidP="003D6A6D">
      <w:pPr>
        <w:spacing w:before="120" w:after="120" w:line="276" w:lineRule="auto"/>
        <w:ind w:firstLine="708"/>
        <w:jc w:val="both"/>
        <w:rPr>
          <w:rFonts w:ascii="Arial" w:eastAsia="Arial" w:hAnsi="Arial" w:cs="Arial"/>
          <w:sz w:val="22"/>
          <w:szCs w:val="22"/>
          <w:lang w:eastAsia="es-ES" w:bidi="es-ES"/>
        </w:rPr>
      </w:pPr>
      <w:r>
        <w:rPr>
          <w:rFonts w:ascii="Arial" w:eastAsia="Arial" w:hAnsi="Arial" w:cs="Arial"/>
          <w:sz w:val="22"/>
          <w:szCs w:val="22"/>
          <w:lang w:eastAsia="es-ES" w:bidi="es-ES"/>
        </w:rPr>
        <w:t xml:space="preserve">No podría decirse lo mismo tratándose de procesos </w:t>
      </w:r>
      <w:r w:rsidR="00927D0E">
        <w:rPr>
          <w:rFonts w:ascii="Arial" w:eastAsia="Arial" w:hAnsi="Arial" w:cs="Arial"/>
          <w:sz w:val="22"/>
          <w:szCs w:val="22"/>
          <w:lang w:eastAsia="es-ES" w:bidi="es-ES"/>
        </w:rPr>
        <w:t>de contratación en los que solo se permit</w:t>
      </w:r>
      <w:r w:rsidR="00B03540">
        <w:rPr>
          <w:rFonts w:ascii="Arial" w:eastAsia="Arial" w:hAnsi="Arial" w:cs="Arial"/>
          <w:sz w:val="22"/>
          <w:szCs w:val="22"/>
          <w:lang w:eastAsia="es-ES" w:bidi="es-ES"/>
        </w:rPr>
        <w:t>a</w:t>
      </w:r>
      <w:r w:rsidR="00927D0E">
        <w:rPr>
          <w:rFonts w:ascii="Arial" w:eastAsia="Arial" w:hAnsi="Arial" w:cs="Arial"/>
          <w:sz w:val="22"/>
          <w:szCs w:val="22"/>
          <w:lang w:eastAsia="es-ES" w:bidi="es-ES"/>
        </w:rPr>
        <w:t xml:space="preserve"> que el proponente presente oferta </w:t>
      </w:r>
      <w:r w:rsidR="00B03540">
        <w:rPr>
          <w:rFonts w:ascii="Arial" w:eastAsia="Arial" w:hAnsi="Arial" w:cs="Arial"/>
          <w:sz w:val="22"/>
          <w:szCs w:val="22"/>
          <w:lang w:eastAsia="es-ES" w:bidi="es-ES"/>
        </w:rPr>
        <w:t>y/o</w:t>
      </w:r>
      <w:r w:rsidR="002E0494">
        <w:rPr>
          <w:rFonts w:ascii="Arial" w:eastAsia="Arial" w:hAnsi="Arial" w:cs="Arial"/>
          <w:sz w:val="22"/>
          <w:szCs w:val="22"/>
          <w:lang w:eastAsia="es-ES" w:bidi="es-ES"/>
        </w:rPr>
        <w:t xml:space="preserve"> se</w:t>
      </w:r>
      <w:r w:rsidR="00B03540">
        <w:rPr>
          <w:rFonts w:ascii="Arial" w:eastAsia="Arial" w:hAnsi="Arial" w:cs="Arial"/>
          <w:sz w:val="22"/>
          <w:szCs w:val="22"/>
          <w:lang w:eastAsia="es-ES" w:bidi="es-ES"/>
        </w:rPr>
        <w:t>a</w:t>
      </w:r>
      <w:r w:rsidR="002E0494">
        <w:rPr>
          <w:rFonts w:ascii="Arial" w:eastAsia="Arial" w:hAnsi="Arial" w:cs="Arial"/>
          <w:sz w:val="22"/>
          <w:szCs w:val="22"/>
          <w:lang w:eastAsia="es-ES" w:bidi="es-ES"/>
        </w:rPr>
        <w:t xml:space="preserve"> adjudicatario de un </w:t>
      </w:r>
      <w:r w:rsidR="00B03540">
        <w:rPr>
          <w:rFonts w:ascii="Arial" w:eastAsia="Arial" w:hAnsi="Arial" w:cs="Arial"/>
          <w:sz w:val="22"/>
          <w:szCs w:val="22"/>
          <w:lang w:eastAsia="es-ES" w:bidi="es-ES"/>
        </w:rPr>
        <w:t>número</w:t>
      </w:r>
      <w:r w:rsidR="002E0494">
        <w:rPr>
          <w:rFonts w:ascii="Arial" w:eastAsia="Arial" w:hAnsi="Arial" w:cs="Arial"/>
          <w:sz w:val="22"/>
          <w:szCs w:val="22"/>
          <w:lang w:eastAsia="es-ES" w:bidi="es-ES"/>
        </w:rPr>
        <w:t xml:space="preserve"> </w:t>
      </w:r>
      <w:r w:rsidR="00833592">
        <w:rPr>
          <w:rFonts w:ascii="Arial" w:eastAsia="Arial" w:hAnsi="Arial" w:cs="Arial"/>
          <w:sz w:val="22"/>
          <w:szCs w:val="22"/>
          <w:lang w:eastAsia="es-ES" w:bidi="es-ES"/>
        </w:rPr>
        <w:t>determinado</w:t>
      </w:r>
      <w:r w:rsidR="00B03540">
        <w:rPr>
          <w:rFonts w:ascii="Arial" w:eastAsia="Arial" w:hAnsi="Arial" w:cs="Arial"/>
          <w:sz w:val="22"/>
          <w:szCs w:val="22"/>
          <w:lang w:eastAsia="es-ES" w:bidi="es-ES"/>
        </w:rPr>
        <w:t xml:space="preserve"> de lotes</w:t>
      </w:r>
      <w:r w:rsidR="00F66491">
        <w:rPr>
          <w:rFonts w:ascii="Arial" w:eastAsia="Arial" w:hAnsi="Arial" w:cs="Arial"/>
          <w:sz w:val="22"/>
          <w:szCs w:val="22"/>
          <w:lang w:eastAsia="es-ES" w:bidi="es-ES"/>
        </w:rPr>
        <w:t>. Esto en atención a que,</w:t>
      </w:r>
      <w:r w:rsidR="001C424B">
        <w:rPr>
          <w:rFonts w:ascii="Arial" w:eastAsia="Arial" w:hAnsi="Arial" w:cs="Arial"/>
          <w:sz w:val="22"/>
          <w:szCs w:val="22"/>
          <w:lang w:eastAsia="es-ES" w:bidi="es-ES"/>
        </w:rPr>
        <w:t xml:space="preserve"> limitándose </w:t>
      </w:r>
      <w:r w:rsidR="00F66491">
        <w:rPr>
          <w:rFonts w:ascii="Arial" w:eastAsia="Arial" w:hAnsi="Arial" w:cs="Arial"/>
          <w:sz w:val="22"/>
          <w:szCs w:val="22"/>
          <w:lang w:eastAsia="es-ES" w:bidi="es-ES"/>
        </w:rPr>
        <w:t>el</w:t>
      </w:r>
      <w:r w:rsidR="003B1359">
        <w:rPr>
          <w:rFonts w:ascii="Arial" w:eastAsia="Arial" w:hAnsi="Arial" w:cs="Arial"/>
          <w:sz w:val="22"/>
          <w:szCs w:val="22"/>
          <w:lang w:eastAsia="es-ES" w:bidi="es-ES"/>
        </w:rPr>
        <w:t xml:space="preserve"> ofrecimiento</w:t>
      </w:r>
      <w:r w:rsidR="00F66491">
        <w:rPr>
          <w:rFonts w:ascii="Arial" w:eastAsia="Arial" w:hAnsi="Arial" w:cs="Arial"/>
          <w:sz w:val="22"/>
          <w:szCs w:val="22"/>
          <w:lang w:eastAsia="es-ES" w:bidi="es-ES"/>
        </w:rPr>
        <w:t xml:space="preserve"> y la posibilidad </w:t>
      </w:r>
      <w:r w:rsidR="00B6440F">
        <w:rPr>
          <w:rFonts w:ascii="Arial" w:eastAsia="Arial" w:hAnsi="Arial" w:cs="Arial"/>
          <w:sz w:val="22"/>
          <w:szCs w:val="22"/>
          <w:lang w:eastAsia="es-ES" w:bidi="es-ES"/>
        </w:rPr>
        <w:t>de ser adjudicatario</w:t>
      </w:r>
      <w:r w:rsidR="003B1359">
        <w:rPr>
          <w:rFonts w:ascii="Arial" w:eastAsia="Arial" w:hAnsi="Arial" w:cs="Arial"/>
          <w:sz w:val="22"/>
          <w:szCs w:val="22"/>
          <w:lang w:eastAsia="es-ES" w:bidi="es-ES"/>
        </w:rPr>
        <w:t xml:space="preserve"> a un número determinado de lotes,</w:t>
      </w:r>
      <w:r w:rsidR="00B6440F">
        <w:rPr>
          <w:rFonts w:ascii="Arial" w:eastAsia="Arial" w:hAnsi="Arial" w:cs="Arial"/>
          <w:sz w:val="22"/>
          <w:szCs w:val="22"/>
          <w:lang w:eastAsia="es-ES" w:bidi="es-ES"/>
        </w:rPr>
        <w:t xml:space="preserve"> </w:t>
      </w:r>
      <w:r w:rsidR="00001F5D">
        <w:rPr>
          <w:rFonts w:ascii="Arial" w:eastAsia="Arial" w:hAnsi="Arial" w:cs="Arial"/>
          <w:sz w:val="22"/>
          <w:szCs w:val="22"/>
          <w:lang w:eastAsia="es-ES" w:bidi="es-ES"/>
        </w:rPr>
        <w:t>la capacidad</w:t>
      </w:r>
      <w:r w:rsidR="003B1359">
        <w:rPr>
          <w:rFonts w:ascii="Arial" w:eastAsia="Arial" w:hAnsi="Arial" w:cs="Arial"/>
          <w:sz w:val="22"/>
          <w:szCs w:val="22"/>
          <w:lang w:eastAsia="es-ES" w:bidi="es-ES"/>
        </w:rPr>
        <w:t xml:space="preserve"> para </w:t>
      </w:r>
      <w:r w:rsidR="00E74A1E">
        <w:rPr>
          <w:rFonts w:ascii="Arial" w:eastAsia="Arial" w:hAnsi="Arial" w:cs="Arial"/>
          <w:sz w:val="22"/>
          <w:szCs w:val="22"/>
          <w:lang w:eastAsia="es-ES" w:bidi="es-ES"/>
        </w:rPr>
        <w:t xml:space="preserve">cumplir con los compromisos vigentes </w:t>
      </w:r>
      <w:r w:rsidR="00B6440F">
        <w:rPr>
          <w:rFonts w:ascii="Arial" w:eastAsia="Arial" w:hAnsi="Arial" w:cs="Arial"/>
          <w:sz w:val="22"/>
          <w:szCs w:val="22"/>
          <w:lang w:eastAsia="es-ES" w:bidi="es-ES"/>
        </w:rPr>
        <w:t>del proponente solo podría verse afectada por</w:t>
      </w:r>
      <w:r w:rsidR="00A1759E">
        <w:rPr>
          <w:rFonts w:ascii="Arial" w:eastAsia="Arial" w:hAnsi="Arial" w:cs="Arial"/>
          <w:sz w:val="22"/>
          <w:szCs w:val="22"/>
          <w:lang w:eastAsia="es-ES" w:bidi="es-ES"/>
        </w:rPr>
        <w:t xml:space="preserve"> la ejecución de las obras correspondientes a los lotes en los que presentó oferta y tiene </w:t>
      </w:r>
      <w:r w:rsidR="00001F5D">
        <w:rPr>
          <w:rFonts w:ascii="Arial" w:eastAsia="Arial" w:hAnsi="Arial" w:cs="Arial"/>
          <w:sz w:val="22"/>
          <w:szCs w:val="22"/>
          <w:lang w:eastAsia="es-ES" w:bidi="es-ES"/>
        </w:rPr>
        <w:t xml:space="preserve">la posibilidad de ser adjudicatario. Es por esto </w:t>
      </w:r>
      <w:r w:rsidR="001D7905">
        <w:rPr>
          <w:rFonts w:ascii="Arial" w:eastAsia="Arial" w:hAnsi="Arial" w:cs="Arial"/>
          <w:sz w:val="22"/>
          <w:szCs w:val="22"/>
          <w:lang w:eastAsia="es-ES" w:bidi="es-ES"/>
        </w:rPr>
        <w:t>por lo que</w:t>
      </w:r>
      <w:r w:rsidR="00001F5D">
        <w:rPr>
          <w:rFonts w:ascii="Arial" w:eastAsia="Arial" w:hAnsi="Arial" w:cs="Arial"/>
          <w:sz w:val="22"/>
          <w:szCs w:val="22"/>
          <w:lang w:eastAsia="es-ES" w:bidi="es-ES"/>
        </w:rPr>
        <w:t xml:space="preserve"> en est</w:t>
      </w:r>
      <w:r w:rsidR="00703737">
        <w:rPr>
          <w:rFonts w:ascii="Arial" w:eastAsia="Arial" w:hAnsi="Arial" w:cs="Arial"/>
          <w:sz w:val="22"/>
          <w:szCs w:val="22"/>
          <w:lang w:eastAsia="es-ES" w:bidi="es-ES"/>
        </w:rPr>
        <w:t xml:space="preserve">a hipótesis no resultaría adecuado ni proporcional </w:t>
      </w:r>
      <w:r w:rsidR="00474870">
        <w:rPr>
          <w:rFonts w:ascii="Arial" w:eastAsia="Arial" w:hAnsi="Arial" w:cs="Arial"/>
          <w:sz w:val="22"/>
          <w:szCs w:val="22"/>
          <w:lang w:eastAsia="es-ES" w:bidi="es-ES"/>
        </w:rPr>
        <w:t xml:space="preserve">verificar la CRP </w:t>
      </w:r>
      <w:r w:rsidR="00632DEE">
        <w:rPr>
          <w:rFonts w:ascii="Arial" w:eastAsia="Arial" w:hAnsi="Arial" w:cs="Arial"/>
          <w:sz w:val="22"/>
          <w:szCs w:val="22"/>
          <w:lang w:eastAsia="es-ES" w:bidi="es-ES"/>
        </w:rPr>
        <w:t>respecto de una CRPC</w:t>
      </w:r>
      <w:r w:rsidR="00001F5D">
        <w:rPr>
          <w:rFonts w:ascii="Arial" w:eastAsia="Arial" w:hAnsi="Arial" w:cs="Arial"/>
          <w:sz w:val="22"/>
          <w:szCs w:val="22"/>
          <w:lang w:eastAsia="es-ES" w:bidi="es-ES"/>
        </w:rPr>
        <w:t xml:space="preserve"> </w:t>
      </w:r>
      <w:r w:rsidR="00632DEE">
        <w:rPr>
          <w:rFonts w:ascii="Arial" w:eastAsia="Arial" w:hAnsi="Arial" w:cs="Arial"/>
          <w:sz w:val="22"/>
          <w:szCs w:val="22"/>
          <w:lang w:eastAsia="es-ES" w:bidi="es-ES"/>
        </w:rPr>
        <w:t xml:space="preserve">calculada en consideración a la sumatoria de todos los lotes en los que se dividió el </w:t>
      </w:r>
      <w:r w:rsidR="002473B8">
        <w:rPr>
          <w:rFonts w:ascii="Arial" w:eastAsia="Arial" w:hAnsi="Arial" w:cs="Arial"/>
          <w:sz w:val="22"/>
          <w:szCs w:val="22"/>
          <w:lang w:eastAsia="es-ES" w:bidi="es-ES"/>
        </w:rPr>
        <w:t xml:space="preserve">proceso, toda vez que ello </w:t>
      </w:r>
      <w:r w:rsidR="001D7905">
        <w:rPr>
          <w:rFonts w:ascii="Arial" w:eastAsia="Arial" w:hAnsi="Arial" w:cs="Arial"/>
          <w:sz w:val="22"/>
          <w:szCs w:val="22"/>
          <w:lang w:eastAsia="es-ES" w:bidi="es-ES"/>
        </w:rPr>
        <w:t>significaría</w:t>
      </w:r>
      <w:r w:rsidR="002473B8">
        <w:rPr>
          <w:rFonts w:ascii="Arial" w:eastAsia="Arial" w:hAnsi="Arial" w:cs="Arial"/>
          <w:sz w:val="22"/>
          <w:szCs w:val="22"/>
          <w:lang w:eastAsia="es-ES" w:bidi="es-ES"/>
        </w:rPr>
        <w:t xml:space="preserve"> </w:t>
      </w:r>
      <w:r w:rsidR="00BB58AB">
        <w:rPr>
          <w:rFonts w:ascii="Arial" w:eastAsia="Arial" w:hAnsi="Arial" w:cs="Arial"/>
          <w:sz w:val="22"/>
          <w:szCs w:val="22"/>
          <w:lang w:eastAsia="es-ES" w:bidi="es-ES"/>
        </w:rPr>
        <w:t xml:space="preserve">exigir a una capacidad residual mayor a la que materialmente </w:t>
      </w:r>
      <w:r w:rsidR="00310074">
        <w:rPr>
          <w:rFonts w:ascii="Arial" w:eastAsia="Arial" w:hAnsi="Arial" w:cs="Arial"/>
          <w:sz w:val="22"/>
          <w:szCs w:val="22"/>
          <w:lang w:eastAsia="es-ES" w:bidi="es-ES"/>
        </w:rPr>
        <w:t xml:space="preserve">requerida para ejecutar las obras </w:t>
      </w:r>
      <w:r w:rsidR="007F3973">
        <w:rPr>
          <w:rFonts w:ascii="Arial" w:eastAsia="Arial" w:hAnsi="Arial" w:cs="Arial"/>
          <w:sz w:val="22"/>
          <w:szCs w:val="22"/>
          <w:lang w:eastAsia="es-ES" w:bidi="es-ES"/>
        </w:rPr>
        <w:t xml:space="preserve">en </w:t>
      </w:r>
      <w:r w:rsidR="006761E5">
        <w:rPr>
          <w:rFonts w:ascii="Arial" w:eastAsia="Arial" w:hAnsi="Arial" w:cs="Arial"/>
          <w:sz w:val="22"/>
          <w:szCs w:val="22"/>
          <w:lang w:eastAsia="es-ES" w:bidi="es-ES"/>
        </w:rPr>
        <w:t xml:space="preserve">las </w:t>
      </w:r>
      <w:r w:rsidR="007F3973">
        <w:rPr>
          <w:rFonts w:ascii="Arial" w:eastAsia="Arial" w:hAnsi="Arial" w:cs="Arial"/>
          <w:sz w:val="22"/>
          <w:szCs w:val="22"/>
          <w:lang w:eastAsia="es-ES" w:bidi="es-ES"/>
        </w:rPr>
        <w:t xml:space="preserve">que el </w:t>
      </w:r>
      <w:r w:rsidR="001C4D2A">
        <w:rPr>
          <w:rFonts w:ascii="Arial" w:eastAsia="Arial" w:hAnsi="Arial" w:cs="Arial"/>
          <w:sz w:val="22"/>
          <w:szCs w:val="22"/>
          <w:lang w:eastAsia="es-ES" w:bidi="es-ES"/>
        </w:rPr>
        <w:t>propon</w:t>
      </w:r>
      <w:r w:rsidR="007F3973">
        <w:rPr>
          <w:rFonts w:ascii="Arial" w:eastAsia="Arial" w:hAnsi="Arial" w:cs="Arial"/>
          <w:sz w:val="22"/>
          <w:szCs w:val="22"/>
          <w:lang w:eastAsia="es-ES" w:bidi="es-ES"/>
        </w:rPr>
        <w:t>ente</w:t>
      </w:r>
      <w:r w:rsidR="001C4D2A">
        <w:rPr>
          <w:rFonts w:ascii="Arial" w:eastAsia="Arial" w:hAnsi="Arial" w:cs="Arial"/>
          <w:sz w:val="22"/>
          <w:szCs w:val="22"/>
          <w:lang w:eastAsia="es-ES" w:bidi="es-ES"/>
        </w:rPr>
        <w:t xml:space="preserve"> estaría interesado y tiene la posibilidad </w:t>
      </w:r>
      <w:r w:rsidR="007F3973">
        <w:rPr>
          <w:rFonts w:ascii="Arial" w:eastAsia="Arial" w:hAnsi="Arial" w:cs="Arial"/>
          <w:sz w:val="22"/>
          <w:szCs w:val="22"/>
          <w:lang w:eastAsia="es-ES" w:bidi="es-ES"/>
        </w:rPr>
        <w:t xml:space="preserve">resultar elegido. </w:t>
      </w:r>
      <w:r w:rsidR="001C4D2A">
        <w:rPr>
          <w:rFonts w:ascii="Arial" w:eastAsia="Arial" w:hAnsi="Arial" w:cs="Arial"/>
          <w:sz w:val="22"/>
          <w:szCs w:val="22"/>
          <w:lang w:eastAsia="es-ES" w:bidi="es-ES"/>
        </w:rPr>
        <w:t xml:space="preserve"> </w:t>
      </w:r>
    </w:p>
    <w:p w14:paraId="7FB5C541" w14:textId="6B7E42B6" w:rsidR="003D6A6D" w:rsidRDefault="00151CB7" w:rsidP="006E4B43">
      <w:pPr>
        <w:spacing w:before="120" w:line="276" w:lineRule="auto"/>
        <w:ind w:firstLine="708"/>
        <w:jc w:val="both"/>
        <w:rPr>
          <w:rFonts w:ascii="Arial" w:eastAsia="Arial" w:hAnsi="Arial" w:cs="Arial"/>
          <w:sz w:val="22"/>
          <w:szCs w:val="22"/>
          <w:lang w:eastAsia="es-ES" w:bidi="es-ES"/>
        </w:rPr>
      </w:pPr>
      <w:r>
        <w:rPr>
          <w:rFonts w:ascii="Arial" w:eastAsia="Arial" w:hAnsi="Arial" w:cs="Arial"/>
          <w:sz w:val="22"/>
          <w:szCs w:val="22"/>
          <w:lang w:eastAsia="es-ES" w:bidi="es-ES"/>
        </w:rPr>
        <w:t xml:space="preserve">En </w:t>
      </w:r>
      <w:r w:rsidR="00900C70">
        <w:rPr>
          <w:rFonts w:ascii="Arial" w:eastAsia="Arial" w:hAnsi="Arial" w:cs="Arial"/>
          <w:sz w:val="22"/>
          <w:szCs w:val="22"/>
          <w:lang w:eastAsia="es-ES" w:bidi="es-ES"/>
        </w:rPr>
        <w:t xml:space="preserve">consideración a lo anterior, estima esta Agencia que la adecuación y proporcionalidad de las reglas que se incluyan </w:t>
      </w:r>
      <w:r w:rsidR="0098697F">
        <w:rPr>
          <w:rFonts w:ascii="Arial" w:eastAsia="Arial" w:hAnsi="Arial" w:cs="Arial"/>
          <w:sz w:val="22"/>
          <w:szCs w:val="22"/>
          <w:lang w:eastAsia="es-ES" w:bidi="es-ES"/>
        </w:rPr>
        <w:t xml:space="preserve">para evaluar </w:t>
      </w:r>
      <w:r w:rsidR="00671229">
        <w:rPr>
          <w:rFonts w:ascii="Arial" w:eastAsia="Arial" w:hAnsi="Arial" w:cs="Arial"/>
          <w:sz w:val="22"/>
          <w:szCs w:val="22"/>
          <w:lang w:eastAsia="es-ES" w:bidi="es-ES"/>
        </w:rPr>
        <w:t>la capacidad residual</w:t>
      </w:r>
      <w:r w:rsidR="00900C70">
        <w:rPr>
          <w:rFonts w:ascii="Arial" w:eastAsia="Arial" w:hAnsi="Arial" w:cs="Arial"/>
          <w:sz w:val="22"/>
          <w:szCs w:val="22"/>
          <w:lang w:eastAsia="es-ES" w:bidi="es-ES"/>
        </w:rPr>
        <w:t xml:space="preserve"> en este tipo de procesos</w:t>
      </w:r>
      <w:r w:rsidR="00671229">
        <w:rPr>
          <w:rFonts w:ascii="Arial" w:eastAsia="Arial" w:hAnsi="Arial" w:cs="Arial"/>
          <w:sz w:val="22"/>
          <w:szCs w:val="22"/>
          <w:lang w:eastAsia="es-ES" w:bidi="es-ES"/>
        </w:rPr>
        <w:t xml:space="preserve">, </w:t>
      </w:r>
      <w:r w:rsidR="002A075F">
        <w:rPr>
          <w:rFonts w:ascii="Arial" w:eastAsia="Arial" w:hAnsi="Arial" w:cs="Arial"/>
          <w:sz w:val="22"/>
          <w:szCs w:val="22"/>
          <w:lang w:eastAsia="es-ES" w:bidi="es-ES"/>
        </w:rPr>
        <w:t xml:space="preserve">en gran medida se encuentran determinadas por la </w:t>
      </w:r>
      <w:r w:rsidR="0054009B">
        <w:rPr>
          <w:rFonts w:ascii="Arial" w:eastAsia="Arial" w:hAnsi="Arial" w:cs="Arial"/>
          <w:sz w:val="22"/>
          <w:szCs w:val="22"/>
          <w:lang w:eastAsia="es-ES" w:bidi="es-ES"/>
        </w:rPr>
        <w:t>aptitud de las mismas para cumplir el cometido o finalidad del requisito habilitante de capacidad residual en la situación concreta del procedimiento</w:t>
      </w:r>
      <w:r w:rsidR="00711954">
        <w:rPr>
          <w:rFonts w:ascii="Arial" w:eastAsia="Arial" w:hAnsi="Arial" w:cs="Arial"/>
          <w:sz w:val="22"/>
          <w:szCs w:val="22"/>
          <w:lang w:eastAsia="es-ES" w:bidi="es-ES"/>
        </w:rPr>
        <w:t xml:space="preserve"> que se adelanta. Al respecto, debe recordarse que dicho requisito tiene</w:t>
      </w:r>
      <w:r w:rsidR="00671229">
        <w:rPr>
          <w:rFonts w:ascii="Arial" w:eastAsia="Arial" w:hAnsi="Arial" w:cs="Arial"/>
          <w:sz w:val="22"/>
          <w:szCs w:val="22"/>
          <w:lang w:eastAsia="es-ES" w:bidi="es-ES"/>
        </w:rPr>
        <w:t xml:space="preserve"> </w:t>
      </w:r>
      <w:r w:rsidR="00711954">
        <w:rPr>
          <w:rFonts w:ascii="Arial" w:eastAsia="Arial" w:hAnsi="Arial" w:cs="Arial"/>
          <w:sz w:val="22"/>
          <w:szCs w:val="22"/>
          <w:lang w:eastAsia="es-ES" w:bidi="es-ES"/>
        </w:rPr>
        <w:t>por</w:t>
      </w:r>
      <w:r w:rsidR="00671229">
        <w:rPr>
          <w:rFonts w:ascii="Arial" w:eastAsia="Arial" w:hAnsi="Arial" w:cs="Arial"/>
          <w:sz w:val="22"/>
          <w:szCs w:val="22"/>
          <w:lang w:eastAsia="es-ES" w:bidi="es-ES"/>
        </w:rPr>
        <w:t xml:space="preserve"> finalidad establecer </w:t>
      </w:r>
      <w:r w:rsidR="00671229" w:rsidRPr="00D62F13">
        <w:rPr>
          <w:rFonts w:ascii="Arial" w:eastAsia="Arial" w:hAnsi="Arial" w:cs="Arial"/>
          <w:sz w:val="22"/>
          <w:szCs w:val="22"/>
          <w:lang w:eastAsia="es-ES" w:bidi="es-ES"/>
        </w:rPr>
        <w:t>la suficiencia que se predica del proponente para asumir nuevas obligaciones que se derivan del contrato objeto del proceso de contratación, en relación con las obligaciones que ha adquirido simultáneamente</w:t>
      </w:r>
      <w:r w:rsidR="003D6A6D">
        <w:rPr>
          <w:rFonts w:ascii="Arial" w:eastAsia="Arial" w:hAnsi="Arial" w:cs="Arial"/>
          <w:sz w:val="22"/>
          <w:szCs w:val="22"/>
          <w:lang w:eastAsia="es-ES" w:bidi="es-ES"/>
        </w:rPr>
        <w:t xml:space="preserve">. </w:t>
      </w:r>
    </w:p>
    <w:p w14:paraId="65D2209F" w14:textId="77777777" w:rsidR="006E4B43" w:rsidRDefault="006E4B43" w:rsidP="0077368F">
      <w:pPr>
        <w:spacing w:line="276" w:lineRule="auto"/>
        <w:ind w:firstLine="708"/>
        <w:jc w:val="both"/>
        <w:rPr>
          <w:rFonts w:ascii="Arial" w:eastAsia="Arial" w:hAnsi="Arial" w:cs="Arial"/>
          <w:sz w:val="22"/>
          <w:szCs w:val="22"/>
          <w:lang w:eastAsia="es-ES" w:bidi="es-ES"/>
        </w:rPr>
      </w:pPr>
    </w:p>
    <w:p w14:paraId="17A08521" w14:textId="485A9493" w:rsidR="005F300C" w:rsidRPr="0077368F" w:rsidRDefault="005F300C" w:rsidP="0077368F">
      <w:pPr>
        <w:spacing w:line="276" w:lineRule="auto"/>
        <w:jc w:val="both"/>
        <w:rPr>
          <w:rFonts w:ascii="Arial" w:eastAsia="Arial" w:hAnsi="Arial" w:cs="Arial"/>
          <w:b/>
          <w:bCs/>
          <w:sz w:val="22"/>
          <w:szCs w:val="22"/>
          <w:lang w:eastAsia="es-ES" w:bidi="es-ES"/>
        </w:rPr>
      </w:pPr>
      <w:r w:rsidRPr="0077368F">
        <w:rPr>
          <w:rFonts w:ascii="Arial" w:eastAsia="Arial" w:hAnsi="Arial" w:cs="Arial"/>
          <w:b/>
          <w:bCs/>
          <w:sz w:val="22"/>
          <w:szCs w:val="22"/>
          <w:lang w:eastAsia="es-ES" w:bidi="es-ES"/>
        </w:rPr>
        <w:t xml:space="preserve">2.3. Reglas para la acreditación de la capacidad residual en </w:t>
      </w:r>
      <w:r w:rsidR="00F90D0F">
        <w:rPr>
          <w:rFonts w:ascii="Arial" w:eastAsia="Arial" w:hAnsi="Arial" w:cs="Arial"/>
          <w:b/>
          <w:bCs/>
          <w:sz w:val="22"/>
          <w:szCs w:val="22"/>
          <w:lang w:eastAsia="es-ES" w:bidi="es-ES"/>
        </w:rPr>
        <w:t>los documentos tipo para</w:t>
      </w:r>
      <w:r w:rsidR="006E4B43" w:rsidRPr="0077368F">
        <w:rPr>
          <w:rFonts w:ascii="Arial" w:eastAsia="Arial" w:hAnsi="Arial" w:cs="Arial"/>
          <w:b/>
          <w:bCs/>
          <w:sz w:val="22"/>
          <w:szCs w:val="22"/>
          <w:lang w:eastAsia="es-ES" w:bidi="es-ES"/>
        </w:rPr>
        <w:t xml:space="preserve"> </w:t>
      </w:r>
      <w:r w:rsidR="00F90D0F">
        <w:rPr>
          <w:rFonts w:ascii="Arial" w:eastAsia="Arial" w:hAnsi="Arial" w:cs="Arial"/>
          <w:b/>
          <w:bCs/>
          <w:sz w:val="22"/>
          <w:szCs w:val="22"/>
          <w:lang w:eastAsia="es-ES" w:bidi="es-ES"/>
        </w:rPr>
        <w:t xml:space="preserve">la contratación de </w:t>
      </w:r>
      <w:r w:rsidR="006E4B43" w:rsidRPr="0077368F">
        <w:rPr>
          <w:rFonts w:ascii="Arial" w:eastAsia="Arial" w:hAnsi="Arial" w:cs="Arial"/>
          <w:b/>
          <w:bCs/>
          <w:sz w:val="22"/>
          <w:szCs w:val="22"/>
          <w:lang w:eastAsia="es-ES" w:bidi="es-ES"/>
        </w:rPr>
        <w:t xml:space="preserve">obra pública </w:t>
      </w:r>
    </w:p>
    <w:p w14:paraId="384B772E" w14:textId="546B3B2A" w:rsidR="00310B04" w:rsidRPr="00C95062" w:rsidRDefault="00486B08" w:rsidP="0077368F">
      <w:pPr>
        <w:spacing w:before="120" w:after="120" w:line="276" w:lineRule="auto"/>
        <w:jc w:val="both"/>
        <w:rPr>
          <w:rFonts w:ascii="Arial" w:eastAsia="Arial" w:hAnsi="Arial" w:cs="Arial"/>
          <w:sz w:val="22"/>
          <w:szCs w:val="22"/>
          <w:lang w:eastAsia="es-ES" w:bidi="es-ES"/>
        </w:rPr>
      </w:pPr>
      <w:r>
        <w:rPr>
          <w:rFonts w:ascii="Arial" w:eastAsia="Arial" w:hAnsi="Arial" w:cs="Arial"/>
          <w:sz w:val="22"/>
          <w:szCs w:val="22"/>
          <w:lang w:eastAsia="es-ES" w:bidi="es-ES"/>
        </w:rPr>
        <w:t xml:space="preserve">En virtud de potestad otorgada </w:t>
      </w:r>
      <w:r w:rsidR="00F90D0F">
        <w:rPr>
          <w:rFonts w:ascii="Arial" w:eastAsia="Arial" w:hAnsi="Arial" w:cs="Arial"/>
          <w:sz w:val="22"/>
          <w:szCs w:val="22"/>
          <w:lang w:eastAsia="es-ES" w:bidi="es-ES"/>
        </w:rPr>
        <w:t xml:space="preserve">por la Ley 2022 de 2020 </w:t>
      </w:r>
      <w:r>
        <w:rPr>
          <w:rFonts w:ascii="Arial" w:eastAsia="Arial" w:hAnsi="Arial" w:cs="Arial"/>
          <w:sz w:val="22"/>
          <w:szCs w:val="22"/>
          <w:lang w:eastAsia="es-ES" w:bidi="es-ES"/>
        </w:rPr>
        <w:t>para la expedición de documentos tipo con alcance obligatorio</w:t>
      </w:r>
      <w:r w:rsidR="00F90D0F">
        <w:rPr>
          <w:rFonts w:ascii="Arial" w:eastAsia="Arial" w:hAnsi="Arial" w:cs="Arial"/>
          <w:sz w:val="22"/>
          <w:szCs w:val="22"/>
          <w:lang w:eastAsia="es-ES" w:bidi="es-ES"/>
        </w:rPr>
        <w:t xml:space="preserve"> para las en</w:t>
      </w:r>
      <w:r w:rsidR="00607A9C">
        <w:rPr>
          <w:rFonts w:ascii="Arial" w:eastAsia="Arial" w:hAnsi="Arial" w:cs="Arial"/>
          <w:sz w:val="22"/>
          <w:szCs w:val="22"/>
          <w:lang w:eastAsia="es-ES" w:bidi="es-ES"/>
        </w:rPr>
        <w:t>tidades estatales sometidas al Estatuto General de Contratación de la Administración Pública</w:t>
      </w:r>
      <w:r w:rsidR="005A0A2D">
        <w:rPr>
          <w:rFonts w:ascii="Arial" w:eastAsia="Arial" w:hAnsi="Arial" w:cs="Arial"/>
          <w:sz w:val="22"/>
          <w:szCs w:val="22"/>
          <w:lang w:eastAsia="es-ES" w:bidi="es-ES"/>
        </w:rPr>
        <w:t>, la Agencia Nacional de Contratación Pública ha expedidos disti</w:t>
      </w:r>
      <w:r w:rsidR="00D86089">
        <w:rPr>
          <w:rFonts w:ascii="Arial" w:eastAsia="Arial" w:hAnsi="Arial" w:cs="Arial"/>
          <w:sz w:val="22"/>
          <w:szCs w:val="22"/>
          <w:lang w:eastAsia="es-ES" w:bidi="es-ES"/>
        </w:rPr>
        <w:t xml:space="preserve">ntos grupos de pliegos tipo aplicables </w:t>
      </w:r>
      <w:r w:rsidR="00B12CD5">
        <w:rPr>
          <w:rFonts w:ascii="Arial" w:eastAsia="Arial" w:hAnsi="Arial" w:cs="Arial"/>
          <w:sz w:val="22"/>
          <w:szCs w:val="22"/>
          <w:lang w:eastAsia="es-ES" w:bidi="es-ES"/>
        </w:rPr>
        <w:t>a</w:t>
      </w:r>
      <w:r w:rsidR="00D86089">
        <w:rPr>
          <w:rFonts w:ascii="Arial" w:eastAsia="Arial" w:hAnsi="Arial" w:cs="Arial"/>
          <w:sz w:val="22"/>
          <w:szCs w:val="22"/>
          <w:lang w:eastAsia="es-ES" w:bidi="es-ES"/>
        </w:rPr>
        <w:t xml:space="preserve"> la contratación de obra públic</w:t>
      </w:r>
      <w:r w:rsidR="00B12CD5">
        <w:rPr>
          <w:rFonts w:ascii="Arial" w:eastAsia="Arial" w:hAnsi="Arial" w:cs="Arial"/>
          <w:sz w:val="22"/>
          <w:szCs w:val="22"/>
          <w:lang w:eastAsia="es-ES" w:bidi="es-ES"/>
        </w:rPr>
        <w:t xml:space="preserve">a en varios sectores y modalidades de selección. Entre estos encontramos los documentos tipo </w:t>
      </w:r>
      <w:r w:rsidR="00B12CD5">
        <w:rPr>
          <w:rFonts w:ascii="Arial" w:eastAsia="Arial" w:hAnsi="Arial" w:cs="Arial"/>
          <w:sz w:val="22"/>
          <w:szCs w:val="22"/>
          <w:lang w:eastAsia="es-ES" w:bidi="es-ES"/>
        </w:rPr>
        <w:lastRenderedPageBreak/>
        <w:t xml:space="preserve">para licitación de obra pública de infraestructura de transporte –Versión 3– expedidos mediante la Resolución </w:t>
      </w:r>
      <w:r w:rsidR="002748D9">
        <w:rPr>
          <w:rFonts w:ascii="Arial" w:eastAsia="Arial" w:hAnsi="Arial" w:cs="Arial"/>
          <w:sz w:val="22"/>
          <w:szCs w:val="22"/>
          <w:lang w:eastAsia="es-ES" w:bidi="es-ES"/>
        </w:rPr>
        <w:t xml:space="preserve">240 de 2020, </w:t>
      </w:r>
      <w:r w:rsidR="00371CB5">
        <w:rPr>
          <w:rFonts w:ascii="Arial" w:eastAsia="Arial" w:hAnsi="Arial" w:cs="Arial"/>
          <w:sz w:val="22"/>
          <w:szCs w:val="22"/>
          <w:lang w:eastAsia="es-ES" w:bidi="es-ES"/>
        </w:rPr>
        <w:t xml:space="preserve">los de licitación de obra </w:t>
      </w:r>
      <w:r w:rsidR="00371CB5" w:rsidRPr="00C95062">
        <w:rPr>
          <w:rFonts w:ascii="Arial" w:eastAsia="Arial" w:hAnsi="Arial" w:cs="Arial"/>
          <w:sz w:val="22"/>
          <w:szCs w:val="22"/>
          <w:lang w:eastAsia="es-ES" w:bidi="es-ES"/>
        </w:rPr>
        <w:t xml:space="preserve">pública de agua potable y saneamiento básico </w:t>
      </w:r>
      <w:r w:rsidR="00AE69D4" w:rsidRPr="00C95062">
        <w:rPr>
          <w:rFonts w:ascii="Arial" w:eastAsia="Arial" w:hAnsi="Arial" w:cs="Arial"/>
          <w:sz w:val="22"/>
          <w:szCs w:val="22"/>
          <w:lang w:eastAsia="es-ES" w:bidi="es-ES"/>
        </w:rPr>
        <w:t>adoptados mediante la Resol</w:t>
      </w:r>
      <w:r w:rsidR="00DC3B79" w:rsidRPr="00C95062">
        <w:rPr>
          <w:rFonts w:ascii="Arial" w:eastAsia="Arial" w:hAnsi="Arial" w:cs="Arial"/>
          <w:sz w:val="22"/>
          <w:szCs w:val="22"/>
          <w:lang w:eastAsia="es-ES" w:bidi="es-ES"/>
        </w:rPr>
        <w:t>uc</w:t>
      </w:r>
      <w:r w:rsidR="00AE69D4" w:rsidRPr="00C95062">
        <w:rPr>
          <w:rFonts w:ascii="Arial" w:eastAsia="Arial" w:hAnsi="Arial" w:cs="Arial"/>
          <w:sz w:val="22"/>
          <w:szCs w:val="22"/>
          <w:lang w:eastAsia="es-ES" w:bidi="es-ES"/>
        </w:rPr>
        <w:t>ión 248 de 2020</w:t>
      </w:r>
      <w:r w:rsidR="0045658D" w:rsidRPr="00C95062">
        <w:rPr>
          <w:rFonts w:ascii="Arial" w:eastAsia="Arial" w:hAnsi="Arial" w:cs="Arial"/>
          <w:sz w:val="22"/>
          <w:szCs w:val="22"/>
          <w:lang w:eastAsia="es-ES" w:bidi="es-ES"/>
        </w:rPr>
        <w:t>, los licitación obra pública de infraestructura social expedidos mediante Resolución 219 de 2021, entre otros</w:t>
      </w:r>
      <w:r w:rsidR="00674878" w:rsidRPr="00C95062">
        <w:rPr>
          <w:rStyle w:val="Refdenotaalpie"/>
          <w:rFonts w:ascii="Arial" w:eastAsia="Arial" w:hAnsi="Arial" w:cs="Arial"/>
          <w:sz w:val="22"/>
          <w:szCs w:val="22"/>
          <w:lang w:eastAsia="es-ES" w:bidi="es-ES"/>
        </w:rPr>
        <w:footnoteReference w:id="11"/>
      </w:r>
      <w:r w:rsidR="0045658D" w:rsidRPr="00C95062">
        <w:rPr>
          <w:rFonts w:ascii="Arial" w:eastAsia="Arial" w:hAnsi="Arial" w:cs="Arial"/>
          <w:sz w:val="22"/>
          <w:szCs w:val="22"/>
          <w:lang w:eastAsia="es-ES" w:bidi="es-ES"/>
        </w:rPr>
        <w:t>.</w:t>
      </w:r>
    </w:p>
    <w:p w14:paraId="728B71E7" w14:textId="47859FE0" w:rsidR="00EB45E4" w:rsidRPr="00C95062" w:rsidRDefault="002B4FEC" w:rsidP="00EB45E4">
      <w:pPr>
        <w:tabs>
          <w:tab w:val="left" w:pos="426"/>
        </w:tabs>
        <w:spacing w:line="276" w:lineRule="auto"/>
        <w:ind w:firstLine="709"/>
        <w:jc w:val="both"/>
        <w:rPr>
          <w:rFonts w:ascii="Arial" w:hAnsi="Arial" w:cs="Arial"/>
          <w:sz w:val="22"/>
          <w:szCs w:val="22"/>
        </w:rPr>
      </w:pPr>
      <w:r w:rsidRPr="00C95062">
        <w:rPr>
          <w:rFonts w:ascii="Arial" w:hAnsi="Arial" w:cs="Arial"/>
          <w:sz w:val="22"/>
          <w:szCs w:val="22"/>
        </w:rPr>
        <w:t>En los</w:t>
      </w:r>
      <w:r w:rsidR="00736B78" w:rsidRPr="00C95062">
        <w:rPr>
          <w:rFonts w:ascii="Arial" w:hAnsi="Arial" w:cs="Arial"/>
          <w:sz w:val="22"/>
          <w:szCs w:val="22"/>
        </w:rPr>
        <w:t xml:space="preserve"> documentos base o pliegos tipo adoptados por</w:t>
      </w:r>
      <w:r w:rsidR="00BD1945" w:rsidRPr="00C95062">
        <w:rPr>
          <w:rFonts w:ascii="Arial" w:hAnsi="Arial" w:cs="Arial"/>
          <w:sz w:val="22"/>
          <w:szCs w:val="22"/>
        </w:rPr>
        <w:t xml:space="preserve"> las anteriores resoluciones</w:t>
      </w:r>
      <w:r w:rsidRPr="00C95062">
        <w:rPr>
          <w:rFonts w:ascii="Arial" w:hAnsi="Arial" w:cs="Arial"/>
          <w:sz w:val="22"/>
          <w:szCs w:val="22"/>
        </w:rPr>
        <w:t xml:space="preserve">, la Agencia Nacional de Contratación Pública unas reglas </w:t>
      </w:r>
      <w:r w:rsidR="008D028B" w:rsidRPr="00C95062">
        <w:rPr>
          <w:rFonts w:ascii="Arial" w:hAnsi="Arial" w:cs="Arial"/>
          <w:sz w:val="22"/>
          <w:szCs w:val="22"/>
        </w:rPr>
        <w:t>comunes</w:t>
      </w:r>
      <w:r w:rsidRPr="00C95062">
        <w:rPr>
          <w:rFonts w:ascii="Arial" w:hAnsi="Arial" w:cs="Arial"/>
          <w:sz w:val="22"/>
          <w:szCs w:val="22"/>
        </w:rPr>
        <w:t xml:space="preserve"> aplicables a la</w:t>
      </w:r>
      <w:r w:rsidR="00A53864" w:rsidRPr="00C95062">
        <w:rPr>
          <w:rFonts w:ascii="Arial" w:hAnsi="Arial" w:cs="Arial"/>
          <w:sz w:val="22"/>
          <w:szCs w:val="22"/>
        </w:rPr>
        <w:t xml:space="preserve"> evaluación de la capacidad residual</w:t>
      </w:r>
      <w:r w:rsidR="00FD6300" w:rsidRPr="00C95062">
        <w:rPr>
          <w:rFonts w:ascii="Arial" w:hAnsi="Arial" w:cs="Arial"/>
          <w:sz w:val="22"/>
          <w:szCs w:val="22"/>
        </w:rPr>
        <w:t xml:space="preserve"> en procesos estructurados por lotes</w:t>
      </w:r>
      <w:r w:rsidR="00A53864" w:rsidRPr="00C95062">
        <w:rPr>
          <w:rFonts w:ascii="Arial" w:hAnsi="Arial" w:cs="Arial"/>
          <w:sz w:val="22"/>
          <w:szCs w:val="22"/>
        </w:rPr>
        <w:t xml:space="preserve">, las cuales </w:t>
      </w:r>
      <w:r w:rsidR="00FD6300" w:rsidRPr="00C95062">
        <w:rPr>
          <w:rFonts w:ascii="Arial" w:hAnsi="Arial" w:cs="Arial"/>
          <w:sz w:val="22"/>
          <w:szCs w:val="22"/>
        </w:rPr>
        <w:t>deben ser aplicadas las entidades estatales sometidas al régimen contractual público en los procesos</w:t>
      </w:r>
      <w:r w:rsidR="008D028B" w:rsidRPr="00C95062">
        <w:rPr>
          <w:rFonts w:ascii="Arial" w:hAnsi="Arial" w:cs="Arial"/>
          <w:sz w:val="22"/>
          <w:szCs w:val="22"/>
        </w:rPr>
        <w:t xml:space="preserve"> cuyos objetos estén cobijados por los documentos tipo correspondientes. En e</w:t>
      </w:r>
      <w:r w:rsidR="00EB45E4" w:rsidRPr="00C95062">
        <w:rPr>
          <w:rFonts w:ascii="Arial" w:hAnsi="Arial" w:cs="Arial"/>
          <w:sz w:val="22"/>
          <w:szCs w:val="22"/>
        </w:rPr>
        <w:t>l numeral 3.11 del documento base</w:t>
      </w:r>
      <w:r w:rsidR="008D028B" w:rsidRPr="00C95062">
        <w:rPr>
          <w:rFonts w:ascii="Arial" w:hAnsi="Arial" w:cs="Arial"/>
          <w:sz w:val="22"/>
          <w:szCs w:val="22"/>
        </w:rPr>
        <w:t xml:space="preserve"> de licitación de obra pública de infraestructura de transporte</w:t>
      </w:r>
      <w:r w:rsidR="00EB45E4" w:rsidRPr="00C95062">
        <w:rPr>
          <w:rFonts w:ascii="Arial" w:hAnsi="Arial" w:cs="Arial"/>
          <w:sz w:val="22"/>
          <w:szCs w:val="22"/>
        </w:rPr>
        <w:t>,</w:t>
      </w:r>
      <w:r w:rsidR="008D028B" w:rsidRPr="00C95062">
        <w:rPr>
          <w:rFonts w:ascii="Arial" w:hAnsi="Arial" w:cs="Arial"/>
          <w:sz w:val="22"/>
          <w:szCs w:val="22"/>
        </w:rPr>
        <w:t xml:space="preserve"> se</w:t>
      </w:r>
      <w:r w:rsidR="00EB45E4" w:rsidRPr="00C95062">
        <w:rPr>
          <w:rFonts w:ascii="Arial" w:hAnsi="Arial" w:cs="Arial"/>
          <w:sz w:val="22"/>
          <w:szCs w:val="22"/>
        </w:rPr>
        <w:t xml:space="preserve"> una regla establecida entre corchetes y resaltado gris, la cual reza lo siguiente:</w:t>
      </w:r>
    </w:p>
    <w:p w14:paraId="6A9DA712" w14:textId="77777777" w:rsidR="00EB45E4" w:rsidRPr="00C95062" w:rsidRDefault="00EB45E4" w:rsidP="00EB45E4">
      <w:pPr>
        <w:tabs>
          <w:tab w:val="left" w:pos="426"/>
        </w:tabs>
        <w:spacing w:line="276" w:lineRule="auto"/>
        <w:ind w:firstLine="709"/>
        <w:jc w:val="both"/>
        <w:rPr>
          <w:rFonts w:ascii="Arial" w:hAnsi="Arial" w:cs="Arial"/>
          <w:sz w:val="19"/>
          <w:szCs w:val="19"/>
        </w:rPr>
      </w:pPr>
    </w:p>
    <w:p w14:paraId="39615568" w14:textId="77777777" w:rsidR="005E1F61" w:rsidRPr="00C95062" w:rsidRDefault="005E1F61" w:rsidP="0077368F">
      <w:pPr>
        <w:ind w:left="709" w:right="709"/>
        <w:jc w:val="both"/>
        <w:rPr>
          <w:rFonts w:ascii="Arial" w:hAnsi="Arial" w:cs="Arial"/>
          <w:sz w:val="21"/>
          <w:szCs w:val="21"/>
          <w:lang w:val="es-MX"/>
        </w:rPr>
      </w:pPr>
      <w:r w:rsidRPr="00C95062">
        <w:rPr>
          <w:rFonts w:ascii="Arial" w:hAnsi="Arial" w:cs="Arial"/>
          <w:sz w:val="21"/>
          <w:szCs w:val="21"/>
          <w:lang w:val="es-MX"/>
        </w:rPr>
        <w:t>[En los procesos de contratación estructurados por lotes o grupos, el proponente debe acreditar una capacidad residual mayor o igual a la capacidad residual del lote al cual presentó oferta o de la sumatoria de los lotes a los cuales presentó oferta. Si la capacidad residual del proponente no es suficiente para la totalidad de lotes a los cuales presentó oferta, la entidad lo habilitará únicamente en aquellos de mayor valor en los que cumpla con la capacidad residual requerida]</w:t>
      </w:r>
    </w:p>
    <w:p w14:paraId="773F54FC" w14:textId="77777777" w:rsidR="00EB45E4" w:rsidRPr="00C95062" w:rsidRDefault="00EB45E4" w:rsidP="00EB45E4">
      <w:pPr>
        <w:widowControl w:val="0"/>
        <w:ind w:firstLine="708"/>
        <w:jc w:val="both"/>
        <w:rPr>
          <w:rFonts w:ascii="Arial" w:hAnsi="Arial" w:cs="Arial"/>
          <w:sz w:val="19"/>
          <w:szCs w:val="19"/>
        </w:rPr>
      </w:pPr>
    </w:p>
    <w:p w14:paraId="53AC4A25" w14:textId="1658AAEF" w:rsidR="00EB45E4" w:rsidRPr="00C95062" w:rsidRDefault="00EB45E4" w:rsidP="00EB45E4">
      <w:pPr>
        <w:widowControl w:val="0"/>
        <w:spacing w:after="120" w:line="276" w:lineRule="auto"/>
        <w:ind w:firstLine="709"/>
        <w:jc w:val="both"/>
        <w:rPr>
          <w:rFonts w:ascii="Arial" w:hAnsi="Arial" w:cs="Arial"/>
          <w:sz w:val="22"/>
          <w:szCs w:val="22"/>
        </w:rPr>
      </w:pPr>
      <w:r w:rsidRPr="00C95062">
        <w:rPr>
          <w:rFonts w:ascii="Arial" w:hAnsi="Arial" w:cs="Arial"/>
          <w:sz w:val="22"/>
          <w:szCs w:val="22"/>
        </w:rPr>
        <w:t>En concordancia con esto, el numeral 3.1</w:t>
      </w:r>
      <w:r w:rsidR="00846531" w:rsidRPr="00C95062">
        <w:rPr>
          <w:rFonts w:ascii="Arial" w:hAnsi="Arial" w:cs="Arial"/>
          <w:sz w:val="22"/>
          <w:szCs w:val="22"/>
        </w:rPr>
        <w:t>0</w:t>
      </w:r>
      <w:r w:rsidRPr="00C95062">
        <w:rPr>
          <w:rFonts w:ascii="Arial" w:hAnsi="Arial" w:cs="Arial"/>
          <w:sz w:val="22"/>
          <w:szCs w:val="22"/>
        </w:rPr>
        <w:t>.1 al regular el cálculo de la capacidad residual del proceso de contratación –CRPC–, establece que «</w:t>
      </w:r>
      <w:r w:rsidR="00846531" w:rsidRPr="00C95062">
        <w:rPr>
          <w:rFonts w:ascii="Arial" w:hAnsi="Arial" w:cs="Arial"/>
          <w:sz w:val="22"/>
          <w:szCs w:val="22"/>
          <w:lang w:val="es-MX"/>
        </w:rPr>
        <w:t>En los procesos de contratación estructurados por lotes, el presupuesto oficial estimado (POE) corresponderá al presupuesto oficial del lote al cual se presenta oferta</w:t>
      </w:r>
      <w:r w:rsidRPr="00C95062">
        <w:rPr>
          <w:rFonts w:ascii="Arial" w:hAnsi="Arial" w:cs="Arial"/>
          <w:sz w:val="22"/>
          <w:szCs w:val="22"/>
        </w:rPr>
        <w:t xml:space="preserve">».  Esto significa que para evaluar la capacidad residual de los proponentes en los procesos estructurados por lotes o grupos se debe calcular la CRPC para cada lote o grupo y, en principio, calcular la capacidad residual respecto de la sumatoria de los CRPC en los que se presentó oferta. </w:t>
      </w:r>
    </w:p>
    <w:p w14:paraId="13A55E5D" w14:textId="185FE39A" w:rsidR="00EB45E4" w:rsidRPr="00C95062" w:rsidRDefault="00EB45E4" w:rsidP="00EB45E4">
      <w:pPr>
        <w:widowControl w:val="0"/>
        <w:spacing w:line="276" w:lineRule="auto"/>
        <w:ind w:firstLine="709"/>
        <w:jc w:val="both"/>
        <w:rPr>
          <w:rFonts w:ascii="Arial" w:hAnsi="Arial" w:cs="Arial"/>
          <w:sz w:val="22"/>
          <w:szCs w:val="22"/>
        </w:rPr>
      </w:pPr>
      <w:r w:rsidRPr="00C95062">
        <w:rPr>
          <w:rFonts w:ascii="Arial" w:hAnsi="Arial" w:cs="Arial"/>
          <w:sz w:val="22"/>
          <w:szCs w:val="22"/>
        </w:rPr>
        <w:t xml:space="preserve">Debe </w:t>
      </w:r>
      <w:r w:rsidR="001A2ADC" w:rsidRPr="00C95062">
        <w:rPr>
          <w:rFonts w:ascii="Arial" w:hAnsi="Arial" w:cs="Arial"/>
          <w:sz w:val="22"/>
          <w:szCs w:val="22"/>
        </w:rPr>
        <w:t xml:space="preserve">además mencionarse que </w:t>
      </w:r>
      <w:r w:rsidRPr="00C95062">
        <w:rPr>
          <w:rFonts w:ascii="Arial" w:hAnsi="Arial" w:cs="Arial"/>
          <w:sz w:val="22"/>
          <w:szCs w:val="22"/>
        </w:rPr>
        <w:t xml:space="preserve">el documento base de </w:t>
      </w:r>
      <w:proofErr w:type="gramStart"/>
      <w:r w:rsidRPr="00C95062">
        <w:rPr>
          <w:rFonts w:ascii="Arial" w:hAnsi="Arial" w:cs="Arial"/>
          <w:sz w:val="22"/>
          <w:szCs w:val="22"/>
        </w:rPr>
        <w:t>los  de</w:t>
      </w:r>
      <w:proofErr w:type="gramEnd"/>
      <w:r w:rsidRPr="00C95062">
        <w:rPr>
          <w:rFonts w:ascii="Arial" w:hAnsi="Arial" w:cs="Arial"/>
          <w:sz w:val="22"/>
          <w:szCs w:val="22"/>
        </w:rPr>
        <w:t xml:space="preserve"> licitación de obra pública de infraestructura de transporte no establece que en los procesos estructurados por lotes o grupos deba existir un adjudicatario diferente para cada lote o grupo. Por el contrario, conforme al numeral 2.10, literal A, del documento base, es una cuestión que determinan las entidades estatales al momento de aplicar los documentos tipo, quienes además deben establecer la posibilidad de que un proponente presente ofertas para varios lotes. Este literal dispone lo siguiente: </w:t>
      </w:r>
    </w:p>
    <w:p w14:paraId="4A21BEFF" w14:textId="77777777" w:rsidR="00EB45E4" w:rsidRPr="00C95062" w:rsidRDefault="00EB45E4" w:rsidP="00EB45E4">
      <w:pPr>
        <w:widowControl w:val="0"/>
        <w:spacing w:line="276" w:lineRule="auto"/>
        <w:ind w:firstLine="709"/>
        <w:jc w:val="both"/>
        <w:rPr>
          <w:rFonts w:ascii="Arial" w:hAnsi="Arial" w:cs="Arial"/>
          <w:sz w:val="19"/>
          <w:szCs w:val="19"/>
        </w:rPr>
      </w:pPr>
    </w:p>
    <w:p w14:paraId="0BA912BC" w14:textId="77777777" w:rsidR="00EB45E4" w:rsidRPr="00C95062" w:rsidRDefault="00EB45E4" w:rsidP="00EB45E4">
      <w:pPr>
        <w:widowControl w:val="0"/>
        <w:spacing w:after="120"/>
        <w:ind w:left="709" w:right="709"/>
        <w:jc w:val="both"/>
        <w:rPr>
          <w:rFonts w:ascii="Arial" w:hAnsi="Arial" w:cs="Arial"/>
          <w:sz w:val="21"/>
          <w:szCs w:val="21"/>
        </w:rPr>
      </w:pPr>
      <w:r w:rsidRPr="00C95062">
        <w:rPr>
          <w:rFonts w:ascii="Arial" w:hAnsi="Arial" w:cs="Arial"/>
          <w:sz w:val="21"/>
          <w:szCs w:val="21"/>
        </w:rPr>
        <w:lastRenderedPageBreak/>
        <w:t>2.10.</w:t>
      </w:r>
      <w:r w:rsidRPr="00C95062">
        <w:rPr>
          <w:rFonts w:ascii="Arial" w:hAnsi="Arial" w:cs="Arial"/>
          <w:sz w:val="21"/>
          <w:szCs w:val="21"/>
        </w:rPr>
        <w:tab/>
        <w:t xml:space="preserve">REGLAS PARA LOS PROCESOS ESTRUCTURADOS POR LOTES O GRUPOS  </w:t>
      </w:r>
    </w:p>
    <w:p w14:paraId="70405E75" w14:textId="77777777" w:rsidR="00EB45E4" w:rsidRPr="00C95062" w:rsidRDefault="00EB45E4" w:rsidP="00EB45E4">
      <w:pPr>
        <w:widowControl w:val="0"/>
        <w:spacing w:after="120"/>
        <w:ind w:left="709" w:right="709"/>
        <w:jc w:val="both"/>
        <w:rPr>
          <w:rFonts w:ascii="Arial" w:hAnsi="Arial" w:cs="Arial"/>
          <w:sz w:val="21"/>
          <w:szCs w:val="21"/>
        </w:rPr>
      </w:pPr>
      <w:r w:rsidRPr="00C95062">
        <w:rPr>
          <w:rFonts w:ascii="Arial" w:hAnsi="Arial" w:cs="Arial"/>
          <w:sz w:val="21"/>
          <w:szCs w:val="21"/>
        </w:rPr>
        <w:t>[La Entidad deberá incluir esta sección y aplicar las reglas aquí señaladas cuando estructure el Proceso de Contratación por lotes o grupos]</w:t>
      </w:r>
    </w:p>
    <w:p w14:paraId="70749621" w14:textId="77777777" w:rsidR="00EB45E4" w:rsidRPr="00C95062" w:rsidRDefault="00EB45E4" w:rsidP="00EB45E4">
      <w:pPr>
        <w:widowControl w:val="0"/>
        <w:spacing w:after="120"/>
        <w:ind w:left="709" w:right="709"/>
        <w:jc w:val="both"/>
        <w:rPr>
          <w:rFonts w:ascii="Arial" w:hAnsi="Arial" w:cs="Arial"/>
          <w:sz w:val="21"/>
          <w:szCs w:val="21"/>
        </w:rPr>
      </w:pPr>
      <w:r w:rsidRPr="00C95062">
        <w:rPr>
          <w:rFonts w:ascii="Arial" w:hAnsi="Arial" w:cs="Arial"/>
          <w:sz w:val="21"/>
          <w:szCs w:val="21"/>
        </w:rPr>
        <w:t xml:space="preserve">Cuando el Proceso de Contratación se estructure por lotes o grupos se aplicarán las siguientes reglas además de las previstas en otros numerales del presente documento: </w:t>
      </w:r>
    </w:p>
    <w:p w14:paraId="43B051EB" w14:textId="77777777" w:rsidR="00EB45E4" w:rsidRPr="00C95062" w:rsidRDefault="00EB45E4" w:rsidP="00EB45E4">
      <w:pPr>
        <w:widowControl w:val="0"/>
        <w:ind w:left="709" w:right="709"/>
        <w:jc w:val="both"/>
        <w:rPr>
          <w:rFonts w:ascii="Arial" w:hAnsi="Arial" w:cs="Arial"/>
          <w:sz w:val="21"/>
          <w:szCs w:val="21"/>
        </w:rPr>
      </w:pPr>
      <w:r w:rsidRPr="00C95062">
        <w:rPr>
          <w:rFonts w:ascii="Arial" w:hAnsi="Arial" w:cs="Arial"/>
          <w:sz w:val="21"/>
          <w:szCs w:val="21"/>
        </w:rPr>
        <w:t>A.</w:t>
      </w:r>
      <w:r w:rsidRPr="00C95062">
        <w:rPr>
          <w:rFonts w:ascii="Arial" w:hAnsi="Arial" w:cs="Arial"/>
          <w:sz w:val="21"/>
          <w:szCs w:val="21"/>
        </w:rPr>
        <w:tab/>
        <w:t>[En este literal la Entidad debe señalar si es posible presentar oferta a más de un lote o grupo. Cuando lo establezca, debe indicar si es posible resultar adjudicatario de más de uno]</w:t>
      </w:r>
    </w:p>
    <w:p w14:paraId="5E438DCB" w14:textId="77777777" w:rsidR="00EB45E4" w:rsidRPr="00C95062" w:rsidRDefault="00EB45E4" w:rsidP="00EB45E4">
      <w:pPr>
        <w:widowControl w:val="0"/>
        <w:spacing w:line="276" w:lineRule="auto"/>
        <w:ind w:firstLine="708"/>
        <w:jc w:val="both"/>
        <w:rPr>
          <w:rFonts w:ascii="Arial" w:hAnsi="Arial" w:cs="Arial"/>
          <w:sz w:val="19"/>
          <w:szCs w:val="19"/>
        </w:rPr>
      </w:pPr>
    </w:p>
    <w:p w14:paraId="60A39463" w14:textId="77777777" w:rsidR="00EB45E4" w:rsidRPr="00C95062" w:rsidRDefault="00EB45E4" w:rsidP="00EE77C3">
      <w:pPr>
        <w:tabs>
          <w:tab w:val="left" w:pos="426"/>
        </w:tabs>
        <w:spacing w:line="276" w:lineRule="auto"/>
        <w:jc w:val="both"/>
        <w:rPr>
          <w:rFonts w:ascii="Arial" w:hAnsi="Arial" w:cs="Arial"/>
          <w:sz w:val="22"/>
          <w:szCs w:val="22"/>
          <w:shd w:val="clear" w:color="auto" w:fill="FFFFFF"/>
        </w:rPr>
      </w:pPr>
      <w:r w:rsidRPr="00C95062">
        <w:rPr>
          <w:rFonts w:ascii="Arial" w:hAnsi="Arial" w:cs="Arial"/>
          <w:sz w:val="22"/>
          <w:szCs w:val="22"/>
          <w:shd w:val="clear" w:color="auto" w:fill="FFFFFF"/>
        </w:rPr>
        <w:tab/>
      </w:r>
      <w:r w:rsidRPr="00C95062">
        <w:rPr>
          <w:rFonts w:ascii="Arial" w:hAnsi="Arial" w:cs="Arial"/>
          <w:sz w:val="22"/>
          <w:szCs w:val="22"/>
          <w:shd w:val="clear" w:color="auto" w:fill="FFFFFF"/>
        </w:rPr>
        <w:tab/>
        <w:t xml:space="preserve">En función de lo anterior, el literal H del numeral 2.10 del documento base incluye una regla aplicable a los procesos en los que la entidad contratante permita que un proponente sea adjudicatario de más de un lote o grupo, la cual consiste en lo siguiente: </w:t>
      </w:r>
    </w:p>
    <w:p w14:paraId="7E808C87" w14:textId="77777777" w:rsidR="00EB45E4" w:rsidRPr="00C95062" w:rsidRDefault="00EB45E4" w:rsidP="00EB45E4">
      <w:pPr>
        <w:tabs>
          <w:tab w:val="left" w:pos="426"/>
        </w:tabs>
        <w:jc w:val="both"/>
        <w:rPr>
          <w:rFonts w:ascii="Calibri" w:hAnsi="Calibri" w:cs="Calibri"/>
          <w:sz w:val="19"/>
          <w:szCs w:val="19"/>
          <w:shd w:val="clear" w:color="auto" w:fill="FFFFFF"/>
        </w:rPr>
      </w:pPr>
    </w:p>
    <w:p w14:paraId="249C0CD5" w14:textId="77777777" w:rsidR="00EB45E4" w:rsidRPr="00C95062" w:rsidRDefault="00EB45E4" w:rsidP="00EB45E4">
      <w:pPr>
        <w:tabs>
          <w:tab w:val="left" w:pos="426"/>
        </w:tabs>
        <w:ind w:left="709" w:right="709"/>
        <w:jc w:val="both"/>
        <w:rPr>
          <w:rFonts w:ascii="Arial" w:hAnsi="Arial" w:cs="Arial"/>
          <w:sz w:val="21"/>
          <w:szCs w:val="21"/>
          <w:shd w:val="clear" w:color="auto" w:fill="FFFFFF"/>
        </w:rPr>
      </w:pPr>
      <w:r w:rsidRPr="00C95062">
        <w:rPr>
          <w:rFonts w:ascii="Arial" w:hAnsi="Arial" w:cs="Arial"/>
          <w:sz w:val="21"/>
          <w:szCs w:val="21"/>
          <w:shd w:val="clear" w:color="auto" w:fill="FFFFFF"/>
        </w:rPr>
        <w:t>H.</w:t>
      </w:r>
      <w:r w:rsidRPr="00C95062">
        <w:rPr>
          <w:rFonts w:ascii="Arial" w:hAnsi="Arial" w:cs="Arial"/>
          <w:sz w:val="21"/>
          <w:szCs w:val="21"/>
          <w:shd w:val="clear" w:color="auto" w:fill="FFFFFF"/>
        </w:rPr>
        <w:tab/>
        <w:t>[Incluir cuando la Entidad haya establecido la posibilidad de resultar adjudicatario de más de un lote o grupo] El Proponente deberá acreditar una capacidad residual mayor o igual a la capacidad residual del lote al cual presentó oferta o de la sumatoria de los lotes a los cuales presentó oferta. Si la capacidad residual del Proponente no es suficiente para la totalidad de los lotes a los cuales presentó oferta, la Entidad lo habilitará únicamente en los que cumpla con la capacidad residual requerida, empezando con el lote de mayor valor al cual presentó oferta, y así en forma descendente.</w:t>
      </w:r>
    </w:p>
    <w:p w14:paraId="11A50F8A" w14:textId="77777777" w:rsidR="00EB45E4" w:rsidRPr="00C95062" w:rsidRDefault="00EB45E4" w:rsidP="00EB45E4">
      <w:pPr>
        <w:tabs>
          <w:tab w:val="left" w:pos="426"/>
        </w:tabs>
        <w:jc w:val="both"/>
        <w:rPr>
          <w:rFonts w:ascii="Calibri" w:hAnsi="Calibri" w:cs="Calibri"/>
          <w:sz w:val="19"/>
          <w:szCs w:val="19"/>
          <w:shd w:val="clear" w:color="auto" w:fill="FFFFFF"/>
        </w:rPr>
      </w:pPr>
      <w:r w:rsidRPr="00C95062">
        <w:rPr>
          <w:rFonts w:ascii="Calibri" w:hAnsi="Calibri" w:cs="Calibri"/>
          <w:sz w:val="19"/>
          <w:szCs w:val="19"/>
          <w:shd w:val="clear" w:color="auto" w:fill="FFFFFF"/>
        </w:rPr>
        <w:tab/>
      </w:r>
      <w:r w:rsidRPr="00C95062">
        <w:rPr>
          <w:rFonts w:ascii="Calibri" w:hAnsi="Calibri" w:cs="Calibri"/>
          <w:sz w:val="19"/>
          <w:szCs w:val="19"/>
          <w:shd w:val="clear" w:color="auto" w:fill="FFFFFF"/>
        </w:rPr>
        <w:tab/>
      </w:r>
    </w:p>
    <w:p w14:paraId="0451D18A" w14:textId="77777777" w:rsidR="00EB45E4" w:rsidRPr="00C95062" w:rsidRDefault="00EB45E4" w:rsidP="00EB45E4">
      <w:pPr>
        <w:tabs>
          <w:tab w:val="left" w:pos="426"/>
        </w:tabs>
        <w:spacing w:after="120" w:line="276" w:lineRule="auto"/>
        <w:jc w:val="both"/>
        <w:rPr>
          <w:rFonts w:ascii="Arial" w:hAnsi="Arial" w:cs="Arial"/>
          <w:sz w:val="22"/>
          <w:szCs w:val="22"/>
          <w:shd w:val="clear" w:color="auto" w:fill="FFFFFF"/>
        </w:rPr>
      </w:pPr>
      <w:r w:rsidRPr="00C95062">
        <w:rPr>
          <w:rFonts w:ascii="Arial" w:hAnsi="Arial" w:cs="Arial"/>
          <w:sz w:val="22"/>
          <w:szCs w:val="22"/>
          <w:shd w:val="clear" w:color="auto" w:fill="FFFFFF"/>
        </w:rPr>
        <w:tab/>
      </w:r>
      <w:r w:rsidRPr="00C95062">
        <w:rPr>
          <w:rFonts w:ascii="Arial" w:hAnsi="Arial" w:cs="Arial"/>
          <w:sz w:val="22"/>
          <w:szCs w:val="22"/>
          <w:shd w:val="clear" w:color="auto" w:fill="FFFFFF"/>
        </w:rPr>
        <w:tab/>
        <w:t>Lo dicho en estos apartes del documento base deriva en dos subreglas para la acreditación de la capacidad residual en procesos de selección estructurados por lotes en los que se permita que un proponente presente oferta para varios grupos, a saber:</w:t>
      </w:r>
    </w:p>
    <w:p w14:paraId="51E05BA5" w14:textId="77777777" w:rsidR="00EB45E4" w:rsidRPr="0077368F" w:rsidRDefault="00EB45E4" w:rsidP="00EB45E4">
      <w:pPr>
        <w:tabs>
          <w:tab w:val="left" w:pos="426"/>
        </w:tabs>
        <w:spacing w:after="120" w:line="276" w:lineRule="auto"/>
        <w:jc w:val="both"/>
        <w:rPr>
          <w:rFonts w:ascii="Arial" w:hAnsi="Arial" w:cs="Arial"/>
          <w:sz w:val="22"/>
          <w:szCs w:val="22"/>
          <w:shd w:val="clear" w:color="auto" w:fill="FFFFFF"/>
        </w:rPr>
      </w:pPr>
      <w:r w:rsidRPr="00C95062">
        <w:rPr>
          <w:rFonts w:ascii="Arial" w:hAnsi="Arial" w:cs="Arial"/>
          <w:sz w:val="22"/>
          <w:szCs w:val="22"/>
          <w:shd w:val="clear" w:color="auto" w:fill="FFFFFF"/>
        </w:rPr>
        <w:tab/>
      </w:r>
      <w:r w:rsidRPr="00C95062">
        <w:rPr>
          <w:rFonts w:ascii="Arial" w:hAnsi="Arial" w:cs="Arial"/>
          <w:sz w:val="22"/>
          <w:szCs w:val="22"/>
          <w:shd w:val="clear" w:color="auto" w:fill="FFFFFF"/>
        </w:rPr>
        <w:tab/>
        <w:t>i) La capacidad residual del proponente –CRP– debe verificarse respecto a la sumatoria de la CRPC de cada uno de los lotes a los que presentó oferta. Si el coeficiente de la CRP es superior a la sumatoria la CRPC de los</w:t>
      </w:r>
      <w:r w:rsidRPr="0077368F">
        <w:rPr>
          <w:rFonts w:ascii="Arial" w:hAnsi="Arial" w:cs="Arial"/>
          <w:sz w:val="22"/>
          <w:szCs w:val="22"/>
          <w:shd w:val="clear" w:color="auto" w:fill="FFFFFF"/>
        </w:rPr>
        <w:t xml:space="preserve"> lotes a los que presentó oferta, el proponente cumpliría con la capacidad residual exigida para cada lote. Si la CRP es inferior a la sumatoria de la CRPC de los lotes a los que el proponente presentó oferta, no será posible que este se habilite para todos estos.</w:t>
      </w:r>
    </w:p>
    <w:p w14:paraId="2728B1D8" w14:textId="77777777" w:rsidR="00EB45E4" w:rsidRPr="00C95062" w:rsidRDefault="00EB45E4" w:rsidP="00EB45E4">
      <w:pPr>
        <w:tabs>
          <w:tab w:val="left" w:pos="426"/>
        </w:tabs>
        <w:spacing w:after="120" w:line="276" w:lineRule="auto"/>
        <w:jc w:val="both"/>
        <w:rPr>
          <w:rFonts w:ascii="Arial" w:hAnsi="Arial" w:cs="Arial"/>
          <w:sz w:val="22"/>
          <w:szCs w:val="22"/>
          <w:shd w:val="clear" w:color="auto" w:fill="FFFFFF"/>
        </w:rPr>
      </w:pPr>
      <w:r w:rsidRPr="0077368F">
        <w:rPr>
          <w:rFonts w:ascii="Arial" w:hAnsi="Arial" w:cs="Arial"/>
          <w:sz w:val="22"/>
          <w:szCs w:val="22"/>
          <w:shd w:val="clear" w:color="auto" w:fill="FFFFFF"/>
        </w:rPr>
        <w:tab/>
      </w:r>
      <w:r w:rsidRPr="0077368F">
        <w:rPr>
          <w:rFonts w:ascii="Arial" w:hAnsi="Arial" w:cs="Arial"/>
          <w:sz w:val="22"/>
          <w:szCs w:val="22"/>
          <w:shd w:val="clear" w:color="auto" w:fill="FFFFFF"/>
        </w:rPr>
        <w:tab/>
        <w:t xml:space="preserve">ii) Al no ser posible habilitar al proponente para todos los lotes en los que presentó oferta, la entidad deberá habilitarlo para los de mayor valor en los que cumple con la CPRC. Esto no significa que deba prescindirse de la sumatoria, sino que para determinar cuáles son los lotes de mayor valor respecto de los que el proponente cumpliría con la capacidad residual exigida, la entidad debe descontar de la sumatoria todos los lotes en los que se </w:t>
      </w:r>
      <w:r w:rsidRPr="0077368F">
        <w:rPr>
          <w:rFonts w:ascii="Arial" w:hAnsi="Arial" w:cs="Arial"/>
          <w:sz w:val="22"/>
          <w:szCs w:val="22"/>
          <w:shd w:val="clear" w:color="auto" w:fill="FFFFFF"/>
        </w:rPr>
        <w:lastRenderedPageBreak/>
        <w:t xml:space="preserve">presentó oferta la CRPC de los lotes de menor valor, hasta llegar a un CPRC total inferior a la CRP acreditado por el </w:t>
      </w:r>
      <w:r w:rsidRPr="00C95062">
        <w:rPr>
          <w:rFonts w:ascii="Arial" w:hAnsi="Arial" w:cs="Arial"/>
          <w:sz w:val="22"/>
          <w:szCs w:val="22"/>
          <w:shd w:val="clear" w:color="auto" w:fill="FFFFFF"/>
        </w:rPr>
        <w:t xml:space="preserve">proponente, quedando este únicamente habilitado para los lotes cuyo CPRC haya sido considerado en la evaluación de la capacidad residual. </w:t>
      </w:r>
    </w:p>
    <w:p w14:paraId="5F3B6A55" w14:textId="77777777" w:rsidR="00EB45E4" w:rsidRPr="00C95062" w:rsidRDefault="00EB45E4" w:rsidP="00EB45E4">
      <w:pPr>
        <w:tabs>
          <w:tab w:val="left" w:pos="426"/>
        </w:tabs>
        <w:spacing w:line="276" w:lineRule="auto"/>
        <w:jc w:val="both"/>
        <w:rPr>
          <w:rFonts w:ascii="Arial" w:hAnsi="Arial" w:cs="Arial"/>
          <w:sz w:val="22"/>
          <w:szCs w:val="22"/>
          <w:shd w:val="clear" w:color="auto" w:fill="FFFFFF"/>
        </w:rPr>
      </w:pPr>
      <w:r w:rsidRPr="00C95062">
        <w:rPr>
          <w:rFonts w:ascii="Arial" w:hAnsi="Arial" w:cs="Arial"/>
          <w:sz w:val="22"/>
          <w:szCs w:val="22"/>
          <w:shd w:val="clear" w:color="auto" w:fill="FFFFFF"/>
        </w:rPr>
        <w:tab/>
      </w:r>
      <w:r w:rsidRPr="00C95062">
        <w:rPr>
          <w:rFonts w:ascii="Arial" w:hAnsi="Arial" w:cs="Arial"/>
          <w:sz w:val="22"/>
          <w:szCs w:val="22"/>
          <w:shd w:val="clear" w:color="auto" w:fill="FFFFFF"/>
        </w:rPr>
        <w:tab/>
        <w:t>Ahora, si de acuerdo con el literal A del numeral 2.10 del documento base, la entidad determina, en principio, la posibilidad de que los proponentes presenten ofertas para varios lotes, pero solo de ser adjudicatarios en uno, deberá incluir en el pliego de condiciones el literal F del referido numeral, el cual establece lo siguiente:</w:t>
      </w:r>
    </w:p>
    <w:p w14:paraId="056B27EF" w14:textId="77777777" w:rsidR="00EB45E4" w:rsidRPr="00C95062" w:rsidRDefault="00EB45E4" w:rsidP="00EB45E4">
      <w:pPr>
        <w:tabs>
          <w:tab w:val="left" w:pos="426"/>
        </w:tabs>
        <w:spacing w:line="276" w:lineRule="auto"/>
        <w:jc w:val="both"/>
        <w:rPr>
          <w:rFonts w:ascii="Arial" w:hAnsi="Arial" w:cs="Arial"/>
          <w:sz w:val="19"/>
          <w:szCs w:val="19"/>
          <w:shd w:val="clear" w:color="auto" w:fill="FFFFFF"/>
        </w:rPr>
      </w:pPr>
    </w:p>
    <w:p w14:paraId="7AE7A242" w14:textId="77777777" w:rsidR="00EB45E4" w:rsidRPr="00C95062" w:rsidRDefault="00EB45E4" w:rsidP="00EB45E4">
      <w:pPr>
        <w:tabs>
          <w:tab w:val="left" w:pos="426"/>
        </w:tabs>
        <w:ind w:left="709" w:right="709"/>
        <w:jc w:val="both"/>
        <w:rPr>
          <w:rFonts w:ascii="Arial" w:hAnsi="Arial" w:cs="Arial"/>
          <w:sz w:val="21"/>
          <w:szCs w:val="21"/>
          <w:shd w:val="clear" w:color="auto" w:fill="FFFFFF"/>
        </w:rPr>
      </w:pPr>
      <w:r w:rsidRPr="00C95062">
        <w:rPr>
          <w:rFonts w:ascii="Arial" w:hAnsi="Arial" w:cs="Arial"/>
          <w:sz w:val="21"/>
          <w:szCs w:val="21"/>
          <w:shd w:val="clear" w:color="auto" w:fill="FFFFFF"/>
        </w:rPr>
        <w:t>F.</w:t>
      </w:r>
      <w:r w:rsidRPr="00C95062">
        <w:rPr>
          <w:rFonts w:ascii="Arial" w:hAnsi="Arial" w:cs="Arial"/>
          <w:sz w:val="21"/>
          <w:szCs w:val="21"/>
          <w:shd w:val="clear" w:color="auto" w:fill="FFFFFF"/>
        </w:rPr>
        <w:tab/>
        <w:t>[Incluir cuando la Entidad no haya establecido la posibilidad de resultar adjudicatario de más de un lote o grupo] El Proponente ganador deberá incluirse en los demás ordenes de elegibilidad en los cuales se encuentre habilitado y de resultar ubicado en el primer orden de elegibilidad de estos lotes se adjudicará al Proponente ubicado en el segundo orden de elegibilidad, y así sucesivamente. En los eventos en los cuales no existan Proponentes a quienes adjudicar los lotes o grupos restantes del Proceso de Contratación se podrá adjudicar a un mismo Proponente más de dos (2) lotes o grupos, siempre y cuando cumpla con los requisitos establecidos en el pliego de condiciones.</w:t>
      </w:r>
    </w:p>
    <w:p w14:paraId="2348C526" w14:textId="77777777" w:rsidR="00EB45E4" w:rsidRPr="00C95062" w:rsidRDefault="00EB45E4" w:rsidP="00EB45E4">
      <w:pPr>
        <w:tabs>
          <w:tab w:val="left" w:pos="426"/>
        </w:tabs>
        <w:spacing w:line="276" w:lineRule="auto"/>
        <w:jc w:val="both"/>
        <w:rPr>
          <w:rFonts w:ascii="Arial" w:hAnsi="Arial" w:cs="Arial"/>
          <w:sz w:val="19"/>
          <w:szCs w:val="19"/>
          <w:shd w:val="clear" w:color="auto" w:fill="FFFFFF"/>
        </w:rPr>
      </w:pPr>
    </w:p>
    <w:p w14:paraId="39C0105B" w14:textId="77777777" w:rsidR="00EB45E4" w:rsidRPr="00C95062" w:rsidRDefault="00EB45E4" w:rsidP="00EB45E4">
      <w:pPr>
        <w:tabs>
          <w:tab w:val="left" w:pos="426"/>
        </w:tabs>
        <w:spacing w:after="120" w:line="276" w:lineRule="auto"/>
        <w:jc w:val="both"/>
        <w:rPr>
          <w:rFonts w:ascii="Arial" w:hAnsi="Arial" w:cs="Arial"/>
          <w:sz w:val="22"/>
          <w:szCs w:val="22"/>
        </w:rPr>
      </w:pPr>
      <w:r w:rsidRPr="00C95062">
        <w:rPr>
          <w:rFonts w:ascii="Arial" w:hAnsi="Arial" w:cs="Arial"/>
          <w:sz w:val="19"/>
          <w:szCs w:val="19"/>
          <w:shd w:val="clear" w:color="auto" w:fill="FFFFFF"/>
        </w:rPr>
        <w:tab/>
      </w:r>
      <w:r w:rsidRPr="00C95062">
        <w:rPr>
          <w:rFonts w:ascii="Arial" w:hAnsi="Arial" w:cs="Arial"/>
          <w:sz w:val="19"/>
          <w:szCs w:val="19"/>
          <w:shd w:val="clear" w:color="auto" w:fill="FFFFFF"/>
        </w:rPr>
        <w:tab/>
      </w:r>
      <w:r w:rsidRPr="00C95062">
        <w:rPr>
          <w:rFonts w:ascii="Arial" w:hAnsi="Arial" w:cs="Arial"/>
          <w:sz w:val="22"/>
          <w:szCs w:val="22"/>
          <w:shd w:val="clear" w:color="auto" w:fill="FFFFFF"/>
        </w:rPr>
        <w:t>Conforme se desprende del literal transcrito, a pesar de que la entidad haya determinado en principio que solo podrá adjudicarse un lote por proponente, eventualmente, el proponente que resulte adjudicatario de un lote podrá ser adjudicatario de otro lote en el que se encuentre «habilitado» si no existen más proponentes a los cuales adjudicar, «</w:t>
      </w:r>
      <w:r w:rsidRPr="00C95062">
        <w:rPr>
          <w:rFonts w:ascii="Arial" w:hAnsi="Arial" w:cs="Arial"/>
          <w:sz w:val="22"/>
          <w:szCs w:val="22"/>
        </w:rPr>
        <w:t>siempre y cuando cumpla con los requisitos establecidos en el pliego de condiciones».</w:t>
      </w:r>
    </w:p>
    <w:p w14:paraId="18404CD3" w14:textId="77777777" w:rsidR="00EB45E4" w:rsidRPr="00C95062" w:rsidRDefault="00EB45E4" w:rsidP="00EB45E4">
      <w:pPr>
        <w:tabs>
          <w:tab w:val="left" w:pos="426"/>
        </w:tabs>
        <w:spacing w:after="120" w:line="276" w:lineRule="auto"/>
        <w:jc w:val="both"/>
        <w:rPr>
          <w:rFonts w:ascii="Arial" w:hAnsi="Arial" w:cs="Arial"/>
          <w:sz w:val="22"/>
          <w:szCs w:val="22"/>
        </w:rPr>
      </w:pPr>
      <w:r w:rsidRPr="00C95062">
        <w:rPr>
          <w:rFonts w:ascii="Arial" w:hAnsi="Arial" w:cs="Arial"/>
          <w:sz w:val="22"/>
          <w:szCs w:val="22"/>
        </w:rPr>
        <w:tab/>
      </w:r>
      <w:r w:rsidRPr="00C95062">
        <w:rPr>
          <w:rFonts w:ascii="Arial" w:hAnsi="Arial" w:cs="Arial"/>
          <w:sz w:val="22"/>
          <w:szCs w:val="22"/>
        </w:rPr>
        <w:tab/>
        <w:t xml:space="preserve">Tales requisitos suponen que para que el proponente pueda ser adjudicatario de ese lote adicional, tenga que estar habilitado para dicho lote, lo que implica presentar la oferta y cumplir con los requisitos habilitantes, entre estos la capacidad residual. Al respecto, si bien no es aplicable el literal H del numeral 2.10, es exigible la regla contenida en el inciso final del numeral 3.11, la cual contiene las dos subreglas antes explicadas. </w:t>
      </w:r>
    </w:p>
    <w:p w14:paraId="75D0055A" w14:textId="77777777" w:rsidR="00EB45E4" w:rsidRPr="00C95062" w:rsidRDefault="00EB45E4" w:rsidP="00EB45E4">
      <w:pPr>
        <w:tabs>
          <w:tab w:val="left" w:pos="426"/>
        </w:tabs>
        <w:spacing w:after="120" w:line="276" w:lineRule="auto"/>
        <w:jc w:val="both"/>
        <w:rPr>
          <w:rFonts w:ascii="Arial" w:hAnsi="Arial" w:cs="Arial"/>
          <w:sz w:val="22"/>
          <w:szCs w:val="22"/>
        </w:rPr>
      </w:pPr>
      <w:r w:rsidRPr="00C95062">
        <w:rPr>
          <w:rFonts w:ascii="Arial" w:hAnsi="Arial" w:cs="Arial"/>
          <w:sz w:val="22"/>
          <w:szCs w:val="22"/>
        </w:rPr>
        <w:tab/>
      </w:r>
      <w:r w:rsidRPr="00C95062">
        <w:rPr>
          <w:rFonts w:ascii="Arial" w:hAnsi="Arial" w:cs="Arial"/>
          <w:sz w:val="22"/>
          <w:szCs w:val="22"/>
        </w:rPr>
        <w:tab/>
        <w:t xml:space="preserve">Esto significa que para que un proponente, en virtud de lo dispuesto en el numeral 2.10, literal F, pueda ser adjudicatario de un lote adicional, debe estar habilitado en lo que a la capacidad residual de ese lote respecta. Esto supone que su CRP sea mayor a la sumatoria de los CRPC del lote inicialmente adjudicado y la del lote en el que se ha determinado la inexistencia de otros proponentes a los cuales adjudicar, independientemente de que haya sido habilitado o no en otros lotes en los que haya presentado oferta, conforme se desprende de la aplicación de la segunda subregla. </w:t>
      </w:r>
    </w:p>
    <w:p w14:paraId="5B59E205" w14:textId="327166F3" w:rsidR="00B66316" w:rsidRPr="00C95062" w:rsidRDefault="00EB45E4" w:rsidP="0077368F">
      <w:pPr>
        <w:tabs>
          <w:tab w:val="left" w:pos="426"/>
        </w:tabs>
        <w:spacing w:line="276" w:lineRule="auto"/>
        <w:ind w:firstLine="709"/>
        <w:jc w:val="both"/>
        <w:rPr>
          <w:rFonts w:ascii="Arial" w:eastAsia="Arial" w:hAnsi="Arial" w:cs="Arial"/>
          <w:sz w:val="22"/>
          <w:szCs w:val="22"/>
          <w:lang w:eastAsia="es-ES" w:bidi="es-ES"/>
        </w:rPr>
      </w:pPr>
      <w:r w:rsidRPr="00C95062">
        <w:rPr>
          <w:rFonts w:ascii="Arial" w:hAnsi="Arial" w:cs="Arial"/>
          <w:sz w:val="22"/>
          <w:szCs w:val="22"/>
          <w:shd w:val="clear" w:color="auto" w:fill="FFFFFF"/>
        </w:rPr>
        <w:t xml:space="preserve">De acuerdo con lo anterior, independientemente de que la entidad estatal disponga que solo se puede ser adjudicatario de un lote, de permitirse la presentación de ofertas para </w:t>
      </w:r>
      <w:r w:rsidRPr="00C95062">
        <w:rPr>
          <w:rFonts w:ascii="Arial" w:hAnsi="Arial" w:cs="Arial"/>
          <w:sz w:val="22"/>
          <w:szCs w:val="22"/>
          <w:shd w:val="clear" w:color="auto" w:fill="FFFFFF"/>
        </w:rPr>
        <w:lastRenderedPageBreak/>
        <w:t xml:space="preserve">varios lotes o en el caso que un proponente presente ofertas para varios lotes, para determinar si este se encuentra habilitado, en lo que se refiere a la capacidad residual, deberá determinarse si la CRP es superior a la sumatoria de los coeficientes de CRPC de los lotes a los que haya presentado oferta. De no cumplirse con lo anterior, la entidad estatal deberá descontar los lotes de menor valor, y habilitar al proponente para los lotes de mayor valor cuyos CRPC sumados sean inferiores al CRP del oferente. </w:t>
      </w:r>
    </w:p>
    <w:p w14:paraId="7F57FD24" w14:textId="7F807822" w:rsidR="00D50414" w:rsidRPr="00C95062" w:rsidRDefault="00D50414" w:rsidP="0077368F">
      <w:pPr>
        <w:spacing w:line="276" w:lineRule="auto"/>
        <w:ind w:firstLine="709"/>
        <w:jc w:val="both"/>
        <w:rPr>
          <w:rFonts w:ascii="Arial" w:eastAsia="Arial" w:hAnsi="Arial" w:cs="Arial"/>
          <w:sz w:val="22"/>
          <w:szCs w:val="22"/>
          <w:lang w:eastAsia="es-ES" w:bidi="es-ES"/>
        </w:rPr>
      </w:pPr>
    </w:p>
    <w:p w14:paraId="1ED03E71" w14:textId="7E8DBCEA" w:rsidR="00D62F13" w:rsidRPr="00C95062" w:rsidRDefault="00D62F13" w:rsidP="0077368F">
      <w:pPr>
        <w:pStyle w:val="Prrafodelista"/>
        <w:numPr>
          <w:ilvl w:val="0"/>
          <w:numId w:val="8"/>
        </w:numPr>
        <w:spacing w:after="120" w:line="276" w:lineRule="auto"/>
        <w:jc w:val="both"/>
        <w:rPr>
          <w:rFonts w:ascii="Arial" w:eastAsia="Arial" w:hAnsi="Arial" w:cs="Arial"/>
          <w:b/>
          <w:bCs/>
          <w:sz w:val="22"/>
          <w:lang w:eastAsia="es-ES" w:bidi="es-ES"/>
        </w:rPr>
      </w:pPr>
      <w:r w:rsidRPr="00C95062">
        <w:rPr>
          <w:rFonts w:ascii="Arial" w:eastAsia="Arial" w:hAnsi="Arial" w:cs="Arial"/>
          <w:b/>
          <w:bCs/>
          <w:sz w:val="22"/>
          <w:lang w:eastAsia="es-ES" w:bidi="es-ES"/>
        </w:rPr>
        <w:t>Respuesta</w:t>
      </w:r>
    </w:p>
    <w:p w14:paraId="680C653A" w14:textId="77777777" w:rsidR="003B0CB0" w:rsidRPr="00C95062" w:rsidRDefault="003B0CB0" w:rsidP="0077368F">
      <w:pPr>
        <w:ind w:left="709" w:right="709"/>
        <w:jc w:val="both"/>
        <w:rPr>
          <w:rFonts w:ascii="Arial" w:eastAsia="Arial" w:hAnsi="Arial" w:cs="Arial"/>
          <w:sz w:val="21"/>
          <w:szCs w:val="21"/>
          <w:lang w:eastAsia="es-ES" w:bidi="es-ES"/>
        </w:rPr>
      </w:pPr>
      <w:r w:rsidRPr="00C95062">
        <w:rPr>
          <w:rFonts w:ascii="Arial" w:eastAsia="Arial" w:hAnsi="Arial" w:cs="Arial"/>
          <w:sz w:val="21"/>
          <w:szCs w:val="21"/>
          <w:lang w:eastAsia="es-ES" w:bidi="es-ES"/>
        </w:rPr>
        <w:t xml:space="preserve">«En un proceso de selección, bajo la Modalidad de Licitación Pública, respecto al Cálculo de CAPACIDAD RESIDUAL, tengo la siguiente duda/pregunta: </w:t>
      </w:r>
    </w:p>
    <w:p w14:paraId="3E9461AC" w14:textId="77777777" w:rsidR="003B0CB0" w:rsidRPr="00C95062" w:rsidRDefault="003B0CB0" w:rsidP="0077368F">
      <w:pPr>
        <w:ind w:left="709" w:right="709"/>
        <w:jc w:val="both"/>
        <w:rPr>
          <w:rFonts w:ascii="Arial" w:eastAsia="Arial" w:hAnsi="Arial" w:cs="Arial"/>
          <w:sz w:val="21"/>
          <w:szCs w:val="21"/>
          <w:lang w:eastAsia="es-ES" w:bidi="es-ES"/>
        </w:rPr>
      </w:pPr>
    </w:p>
    <w:p w14:paraId="5D73EA22" w14:textId="77777777" w:rsidR="003B0CB0" w:rsidRPr="00C95062" w:rsidRDefault="003B0CB0" w:rsidP="0077368F">
      <w:pPr>
        <w:ind w:left="709" w:right="709"/>
        <w:jc w:val="both"/>
        <w:rPr>
          <w:rFonts w:ascii="Arial" w:eastAsia="Arial" w:hAnsi="Arial" w:cs="Arial"/>
          <w:sz w:val="21"/>
          <w:szCs w:val="21"/>
          <w:lang w:eastAsia="es-ES" w:bidi="es-ES"/>
        </w:rPr>
      </w:pPr>
      <w:r w:rsidRPr="00C95062">
        <w:rPr>
          <w:rFonts w:ascii="Arial" w:eastAsia="Arial" w:hAnsi="Arial" w:cs="Arial"/>
          <w:sz w:val="21"/>
          <w:szCs w:val="21"/>
          <w:lang w:eastAsia="es-ES" w:bidi="es-ES"/>
        </w:rPr>
        <w:t xml:space="preserve">El cálculo / puntaje por el FACTOR EXPERIENCIA (E) se determina por medio de la relación entre: i) el valor total en Pesos de los contratos relacionados con la actividad de la construcción inscritos por el Proponente en el RUP, en el segmento 72 “Servicios de Edificación, Construcción de Instalaciones y Mantenimiento” del Clasificador de Bienes y Servicios; y ii) el Presupuesto Oficial del Proceso de Contratación. </w:t>
      </w:r>
    </w:p>
    <w:p w14:paraId="42EA14B6" w14:textId="77777777" w:rsidR="003B0CB0" w:rsidRPr="00C95062" w:rsidRDefault="003B0CB0" w:rsidP="0077368F">
      <w:pPr>
        <w:ind w:left="709" w:right="709"/>
        <w:jc w:val="both"/>
        <w:rPr>
          <w:rFonts w:ascii="Arial" w:eastAsia="Arial" w:hAnsi="Arial" w:cs="Arial"/>
          <w:sz w:val="21"/>
          <w:szCs w:val="21"/>
          <w:lang w:eastAsia="es-ES" w:bidi="es-ES"/>
        </w:rPr>
      </w:pPr>
    </w:p>
    <w:p w14:paraId="6F17F5B5" w14:textId="20055B24" w:rsidR="003B0CB0" w:rsidRPr="00C95062" w:rsidRDefault="003B0CB0" w:rsidP="0077368F">
      <w:pPr>
        <w:ind w:left="709" w:right="709"/>
        <w:jc w:val="both"/>
        <w:rPr>
          <w:rFonts w:ascii="Arial" w:eastAsia="Arial" w:hAnsi="Arial" w:cs="Arial"/>
          <w:sz w:val="21"/>
          <w:szCs w:val="21"/>
          <w:lang w:eastAsia="es-ES" w:bidi="es-ES"/>
        </w:rPr>
      </w:pPr>
      <w:r w:rsidRPr="00C95062">
        <w:rPr>
          <w:rFonts w:ascii="Arial" w:eastAsia="Arial" w:hAnsi="Arial" w:cs="Arial"/>
          <w:sz w:val="21"/>
          <w:szCs w:val="21"/>
          <w:lang w:eastAsia="es-ES" w:bidi="es-ES"/>
        </w:rPr>
        <w:t>¿Cuándo el Proceso de Selección, en este caso Licitación Pública está estructurado en LOTES y/o GRUPOS, ese valor de ́</w:t>
      </w:r>
      <w:r w:rsidR="0077368F" w:rsidRPr="00C95062">
        <w:rPr>
          <w:rFonts w:ascii="Arial" w:eastAsia="Arial" w:hAnsi="Arial" w:cs="Arial"/>
          <w:sz w:val="21"/>
          <w:szCs w:val="21"/>
          <w:lang w:eastAsia="es-ES" w:bidi="es-ES"/>
        </w:rPr>
        <w:t>¿PRESUPUESTO OFICIAL, corresponde al valor del PRESUPUESTO OFICIAL DEL GRUPO al cual presento oferta o al valor de la sumatoria de los PRESUPUESTOS OFICIALES de los GRUPOS a los cuales presento oferta?</w:t>
      </w:r>
      <w:r w:rsidRPr="00C95062">
        <w:rPr>
          <w:rFonts w:ascii="Arial" w:eastAsia="Arial" w:hAnsi="Arial" w:cs="Arial"/>
          <w:sz w:val="21"/>
          <w:szCs w:val="21"/>
          <w:lang w:eastAsia="es-ES" w:bidi="es-ES"/>
        </w:rPr>
        <w:t>».</w:t>
      </w:r>
    </w:p>
    <w:p w14:paraId="5399FB13" w14:textId="6A679C5E" w:rsidR="003B0CB0" w:rsidRPr="00C95062" w:rsidRDefault="003B0CB0" w:rsidP="0077368F">
      <w:pPr>
        <w:spacing w:line="276" w:lineRule="auto"/>
        <w:jc w:val="both"/>
        <w:rPr>
          <w:rFonts w:ascii="Arial" w:eastAsia="Arial" w:hAnsi="Arial" w:cs="Arial"/>
          <w:b/>
          <w:bCs/>
          <w:sz w:val="22"/>
          <w:lang w:eastAsia="es-ES" w:bidi="es-ES"/>
        </w:rPr>
      </w:pPr>
    </w:p>
    <w:p w14:paraId="29A613D4" w14:textId="77777777" w:rsidR="009838E9" w:rsidRPr="00C95062" w:rsidRDefault="003B0CB0" w:rsidP="0077368F">
      <w:pPr>
        <w:spacing w:after="120" w:line="276" w:lineRule="auto"/>
        <w:jc w:val="both"/>
        <w:rPr>
          <w:rFonts w:ascii="Arial" w:eastAsia="Calibri" w:hAnsi="Arial" w:cs="Arial"/>
          <w:sz w:val="22"/>
          <w:szCs w:val="22"/>
          <w:lang w:eastAsia="en-US"/>
        </w:rPr>
      </w:pPr>
      <w:r w:rsidRPr="00C95062">
        <w:rPr>
          <w:rFonts w:ascii="Arial" w:eastAsia="Arial" w:hAnsi="Arial" w:cs="Arial"/>
          <w:sz w:val="22"/>
          <w:szCs w:val="22"/>
          <w:lang w:eastAsia="es-ES" w:bidi="es-ES"/>
        </w:rPr>
        <w:t>Con</w:t>
      </w:r>
      <w:r w:rsidR="000953A2" w:rsidRPr="00C95062">
        <w:rPr>
          <w:rFonts w:ascii="Arial" w:eastAsia="Arial" w:hAnsi="Arial" w:cs="Arial"/>
          <w:sz w:val="22"/>
          <w:szCs w:val="22"/>
          <w:lang w:eastAsia="es-ES" w:bidi="es-ES"/>
        </w:rPr>
        <w:t xml:space="preserve">forme a lo expuesto, en la generalidad de procesos de contratación de obra pública </w:t>
      </w:r>
      <w:r w:rsidR="008958BD" w:rsidRPr="00C95062">
        <w:rPr>
          <w:rFonts w:ascii="Arial" w:eastAsia="Arial" w:hAnsi="Arial" w:cs="Arial"/>
          <w:sz w:val="22"/>
          <w:szCs w:val="22"/>
          <w:lang w:eastAsia="es-ES" w:bidi="es-ES"/>
        </w:rPr>
        <w:t xml:space="preserve">debe ser verificada en aplicación de la metodología de establecida en la </w:t>
      </w:r>
      <w:r w:rsidR="008958BD" w:rsidRPr="00C95062">
        <w:rPr>
          <w:rFonts w:ascii="Arial" w:eastAsia="Calibri" w:hAnsi="Arial" w:cs="Arial"/>
          <w:color w:val="0D0D0D"/>
          <w:sz w:val="22"/>
          <w:szCs w:val="22"/>
          <w:bdr w:val="none" w:sz="0" w:space="0" w:color="auto" w:frame="1"/>
          <w:lang w:eastAsia="es-CO"/>
        </w:rPr>
        <w:t>«Guía para Determinar y Verificar la Capacidad Residual del Proponente en los Procesos de Contratación de Obra Pública</w:t>
      </w:r>
      <w:r w:rsidR="008958BD" w:rsidRPr="00C95062">
        <w:rPr>
          <w:rFonts w:ascii="Arial" w:eastAsia="Calibri" w:hAnsi="Arial" w:cs="Arial"/>
          <w:sz w:val="22"/>
          <w:szCs w:val="22"/>
          <w:lang w:eastAsia="en-US"/>
        </w:rPr>
        <w:t>» expedida por la Agencia Nacional de Contratación Pública.</w:t>
      </w:r>
      <w:r w:rsidR="00256635" w:rsidRPr="00C95062">
        <w:rPr>
          <w:rFonts w:ascii="Arial" w:eastAsia="Calibri" w:hAnsi="Arial" w:cs="Arial"/>
          <w:sz w:val="22"/>
          <w:szCs w:val="22"/>
          <w:lang w:eastAsia="en-US"/>
        </w:rPr>
        <w:t xml:space="preserve"> Tratándose de procesos estructurados por lotes, corresponde a las entidades incluir en los pliegos de condiciones las reglas que resulten adecuadas y proporcionadas para </w:t>
      </w:r>
      <w:r w:rsidR="00E03114" w:rsidRPr="00C95062">
        <w:rPr>
          <w:rFonts w:ascii="Arial" w:eastAsia="Calibri" w:hAnsi="Arial" w:cs="Arial"/>
          <w:sz w:val="22"/>
          <w:szCs w:val="22"/>
          <w:lang w:eastAsia="en-US"/>
        </w:rPr>
        <w:t xml:space="preserve">evaluar la capacidad residual de los proponentes </w:t>
      </w:r>
      <w:r w:rsidR="009838E9" w:rsidRPr="00C95062">
        <w:rPr>
          <w:rFonts w:ascii="Arial" w:eastAsia="Calibri" w:hAnsi="Arial" w:cs="Arial"/>
          <w:sz w:val="22"/>
          <w:szCs w:val="22"/>
          <w:lang w:eastAsia="en-US"/>
        </w:rPr>
        <w:t xml:space="preserve">en consideración a las condiciones particulares </w:t>
      </w:r>
      <w:proofErr w:type="gramStart"/>
      <w:r w:rsidR="009838E9" w:rsidRPr="00C95062">
        <w:rPr>
          <w:rFonts w:ascii="Arial" w:eastAsia="Calibri" w:hAnsi="Arial" w:cs="Arial"/>
          <w:sz w:val="22"/>
          <w:szCs w:val="22"/>
          <w:lang w:eastAsia="en-US"/>
        </w:rPr>
        <w:t>del procesos</w:t>
      </w:r>
      <w:proofErr w:type="gramEnd"/>
      <w:r w:rsidR="009838E9" w:rsidRPr="00C95062">
        <w:rPr>
          <w:rFonts w:ascii="Arial" w:eastAsia="Calibri" w:hAnsi="Arial" w:cs="Arial"/>
          <w:sz w:val="22"/>
          <w:szCs w:val="22"/>
          <w:lang w:eastAsia="en-US"/>
        </w:rPr>
        <w:t xml:space="preserve"> de contratación, y con sujeción </w:t>
      </w:r>
      <w:r w:rsidR="00E03114" w:rsidRPr="00C95062">
        <w:rPr>
          <w:rFonts w:ascii="Arial" w:eastAsia="Calibri" w:hAnsi="Arial" w:cs="Arial"/>
          <w:sz w:val="22"/>
          <w:szCs w:val="22"/>
          <w:lang w:eastAsia="en-US"/>
        </w:rPr>
        <w:t>la metod</w:t>
      </w:r>
      <w:r w:rsidR="009838E9" w:rsidRPr="00C95062">
        <w:rPr>
          <w:rFonts w:ascii="Arial" w:eastAsia="Calibri" w:hAnsi="Arial" w:cs="Arial"/>
          <w:sz w:val="22"/>
          <w:szCs w:val="22"/>
          <w:lang w:eastAsia="en-US"/>
        </w:rPr>
        <w:t>ología estandarizada en la guía.</w:t>
      </w:r>
    </w:p>
    <w:p w14:paraId="25A07FAE" w14:textId="0AEAFF2D" w:rsidR="002354ED" w:rsidRPr="002D5DF5" w:rsidRDefault="002354ED" w:rsidP="0077368F">
      <w:pPr>
        <w:spacing w:after="120" w:line="276" w:lineRule="auto"/>
        <w:ind w:firstLine="708"/>
        <w:jc w:val="both"/>
        <w:rPr>
          <w:rFonts w:ascii="Arial" w:eastAsia="Calibri" w:hAnsi="Arial" w:cs="Arial"/>
          <w:sz w:val="22"/>
          <w:szCs w:val="22"/>
        </w:rPr>
      </w:pPr>
      <w:r w:rsidRPr="00C95062">
        <w:rPr>
          <w:rFonts w:ascii="Arial" w:eastAsia="Calibri" w:hAnsi="Arial" w:cs="Arial"/>
          <w:sz w:val="22"/>
          <w:szCs w:val="22"/>
        </w:rPr>
        <w:t>De otra parte</w:t>
      </w:r>
      <w:r w:rsidR="00E83171" w:rsidRPr="00C95062">
        <w:rPr>
          <w:rFonts w:ascii="Arial" w:eastAsia="Calibri" w:hAnsi="Arial" w:cs="Arial"/>
          <w:sz w:val="22"/>
          <w:szCs w:val="22"/>
        </w:rPr>
        <w:t>,</w:t>
      </w:r>
      <w:r w:rsidRPr="00C95062">
        <w:rPr>
          <w:rFonts w:ascii="Arial" w:eastAsia="Calibri" w:hAnsi="Arial" w:cs="Arial"/>
          <w:sz w:val="22"/>
          <w:szCs w:val="22"/>
        </w:rPr>
        <w:t xml:space="preserve"> en los procesos de contratación de obra pública adelantados con </w:t>
      </w:r>
      <w:r w:rsidR="00E83171" w:rsidRPr="00C95062">
        <w:rPr>
          <w:rFonts w:ascii="Arial" w:eastAsia="Calibri" w:hAnsi="Arial" w:cs="Arial"/>
          <w:sz w:val="22"/>
          <w:szCs w:val="22"/>
        </w:rPr>
        <w:t>documentos tipo</w:t>
      </w:r>
      <w:r w:rsidRPr="00C95062">
        <w:rPr>
          <w:rFonts w:ascii="Arial" w:eastAsia="Calibri" w:hAnsi="Arial" w:cs="Arial"/>
          <w:sz w:val="22"/>
          <w:szCs w:val="22"/>
        </w:rPr>
        <w:t>, en los que en virtud de lo dispuesto en numeral 2.10, literal A del documento base, se determi</w:t>
      </w:r>
      <w:r w:rsidR="00E83171" w:rsidRPr="00C95062">
        <w:rPr>
          <w:rFonts w:ascii="Arial" w:eastAsia="Calibri" w:hAnsi="Arial" w:cs="Arial"/>
          <w:sz w:val="22"/>
          <w:szCs w:val="22"/>
        </w:rPr>
        <w:t>ne</w:t>
      </w:r>
      <w:r w:rsidRPr="00C95062">
        <w:rPr>
          <w:rFonts w:ascii="Arial" w:eastAsia="Calibri" w:hAnsi="Arial" w:cs="Arial"/>
          <w:sz w:val="22"/>
          <w:szCs w:val="22"/>
        </w:rPr>
        <w:t xml:space="preserve"> que, en principio, un proponente solo pueda ser adjudicatario de un lote, la capacidad residual debe calcularse conforme a la regla del inciso final del numeral 3.1</w:t>
      </w:r>
      <w:r w:rsidR="00E83171" w:rsidRPr="00C95062">
        <w:rPr>
          <w:rFonts w:ascii="Arial" w:eastAsia="Calibri" w:hAnsi="Arial" w:cs="Arial"/>
          <w:sz w:val="22"/>
          <w:szCs w:val="22"/>
        </w:rPr>
        <w:t>0</w:t>
      </w:r>
      <w:r w:rsidRPr="00C95062">
        <w:rPr>
          <w:rFonts w:ascii="Arial" w:eastAsia="Calibri" w:hAnsi="Arial" w:cs="Arial"/>
          <w:sz w:val="22"/>
          <w:szCs w:val="22"/>
        </w:rPr>
        <w:t>. De acuerdo con dicha regla, para que un proponente cumpla con la capacidad residual exigible, su CRP deberá ser superior a la sumatoria</w:t>
      </w:r>
      <w:r w:rsidRPr="002D5DF5">
        <w:rPr>
          <w:rFonts w:ascii="Arial" w:eastAsia="Calibri" w:hAnsi="Arial" w:cs="Arial"/>
          <w:sz w:val="22"/>
          <w:szCs w:val="22"/>
        </w:rPr>
        <w:t xml:space="preserve"> de las CRPC de los lotes a los que </w:t>
      </w:r>
      <w:r w:rsidRPr="002D5DF5">
        <w:rPr>
          <w:rFonts w:ascii="Arial" w:eastAsia="Calibri" w:hAnsi="Arial" w:cs="Arial"/>
          <w:sz w:val="22"/>
          <w:szCs w:val="22"/>
        </w:rPr>
        <w:lastRenderedPageBreak/>
        <w:t xml:space="preserve">presentó oferta. De no cumplirse lo anterior, la entidad deberá habilitar al proponente únicamente en los lotes de mayor valor cuya sumatoria de CRPC, sea inferior a la CRP del proponente. </w:t>
      </w:r>
    </w:p>
    <w:p w14:paraId="194EF8AD" w14:textId="7C47853B" w:rsidR="002354ED" w:rsidRPr="002D5DF5" w:rsidRDefault="002354ED" w:rsidP="002D5DF5">
      <w:pPr>
        <w:spacing w:line="276" w:lineRule="auto"/>
        <w:ind w:firstLine="709"/>
        <w:jc w:val="both"/>
        <w:rPr>
          <w:rFonts w:ascii="Arial" w:eastAsia="Calibri" w:hAnsi="Arial" w:cs="Arial"/>
          <w:sz w:val="22"/>
          <w:szCs w:val="22"/>
        </w:rPr>
      </w:pPr>
      <w:r w:rsidRPr="002D5DF5">
        <w:rPr>
          <w:rFonts w:ascii="Arial" w:eastAsia="Calibri" w:hAnsi="Arial" w:cs="Arial"/>
          <w:sz w:val="22"/>
          <w:szCs w:val="22"/>
        </w:rPr>
        <w:t xml:space="preserve">En concordancia con esto, en este tipo de procesos, para que un proponente pueda, eventualmente, ser adjudicatario de un lote adicional en virtud de lo dispuesto en el literal F del numeral 2.10 del </w:t>
      </w:r>
      <w:r w:rsidR="00B66316" w:rsidRPr="002D5DF5">
        <w:rPr>
          <w:rFonts w:ascii="Arial" w:eastAsia="Calibri" w:hAnsi="Arial" w:cs="Arial"/>
          <w:sz w:val="22"/>
          <w:szCs w:val="22"/>
        </w:rPr>
        <w:t>documento base</w:t>
      </w:r>
      <w:r w:rsidRPr="002D5DF5">
        <w:rPr>
          <w:rFonts w:ascii="Arial" w:eastAsia="Calibri" w:hAnsi="Arial" w:cs="Arial"/>
          <w:sz w:val="22"/>
          <w:szCs w:val="22"/>
        </w:rPr>
        <w:t>, debe estar habilitado conforme a la mencionada regla para la evaluación de la capacidad residual, lo que implica que la CRP sea al menos superior a la sumatoria de las CRPC del lote inicialmente adjudicado y la del lote adicional, independientemente de que haya sido o no habilitado para los demás lotes en los que presentó ofertas.</w:t>
      </w:r>
      <w:r w:rsidRPr="002D5DF5">
        <w:rPr>
          <w:rFonts w:ascii="Arial" w:eastAsia="Calibri" w:hAnsi="Arial" w:cs="Arial"/>
          <w:sz w:val="22"/>
          <w:szCs w:val="22"/>
        </w:rPr>
        <w:tab/>
      </w:r>
    </w:p>
    <w:p w14:paraId="39B998C9" w14:textId="06990A93" w:rsidR="00E83171" w:rsidRPr="002D5DF5" w:rsidRDefault="00E03114" w:rsidP="002D5DF5">
      <w:pPr>
        <w:spacing w:after="120" w:line="276" w:lineRule="auto"/>
        <w:jc w:val="both"/>
        <w:rPr>
          <w:rFonts w:ascii="Arial" w:hAnsi="Arial" w:cs="Arial"/>
          <w:color w:val="000000" w:themeColor="text1"/>
          <w:sz w:val="22"/>
          <w:szCs w:val="22"/>
          <w:lang w:val="es-ES_tradnl"/>
        </w:rPr>
      </w:pPr>
      <w:r w:rsidRPr="002D5DF5">
        <w:rPr>
          <w:rFonts w:ascii="Arial" w:eastAsia="Calibri" w:hAnsi="Arial" w:cs="Arial"/>
          <w:sz w:val="22"/>
          <w:szCs w:val="22"/>
          <w:lang w:eastAsia="en-US"/>
        </w:rPr>
        <w:t xml:space="preserve"> </w:t>
      </w:r>
      <w:bookmarkEnd w:id="9"/>
    </w:p>
    <w:p w14:paraId="056816F7" w14:textId="3692D31C" w:rsidR="00D40F8B" w:rsidRPr="002D5DF5" w:rsidRDefault="00DD5B04" w:rsidP="002D5DF5">
      <w:pPr>
        <w:spacing w:after="120" w:line="276" w:lineRule="auto"/>
        <w:jc w:val="both"/>
        <w:rPr>
          <w:rFonts w:ascii="Arial" w:hAnsi="Arial" w:cs="Arial"/>
          <w:color w:val="000000" w:themeColor="text1"/>
          <w:sz w:val="22"/>
          <w:szCs w:val="22"/>
          <w:lang w:val="es-ES_tradnl"/>
        </w:rPr>
      </w:pPr>
      <w:r w:rsidRPr="002D5DF5">
        <w:rPr>
          <w:rFonts w:ascii="Arial" w:hAnsi="Arial" w:cs="Arial"/>
          <w:color w:val="000000" w:themeColor="text1"/>
          <w:sz w:val="22"/>
          <w:szCs w:val="22"/>
          <w:lang w:val="es-ES_tradnl"/>
        </w:rPr>
        <w:t>Este concepto tiene el alcance previsto en el artículo 28 del Código de Procedimiento Administrativo y de</w:t>
      </w:r>
      <w:r w:rsidR="00D40F8B" w:rsidRPr="002D5DF5">
        <w:rPr>
          <w:rFonts w:ascii="Arial" w:hAnsi="Arial" w:cs="Arial"/>
          <w:color w:val="000000" w:themeColor="text1"/>
          <w:sz w:val="22"/>
          <w:szCs w:val="22"/>
          <w:lang w:val="es-ES_tradnl"/>
        </w:rPr>
        <w:t xml:space="preserve"> lo Contencioso Administrativo.</w:t>
      </w:r>
    </w:p>
    <w:p w14:paraId="6F54E9C9" w14:textId="77777777" w:rsidR="00003233" w:rsidRPr="0005138F" w:rsidRDefault="00003233" w:rsidP="00D40F8B">
      <w:pPr>
        <w:spacing w:before="120" w:line="276" w:lineRule="auto"/>
        <w:jc w:val="both"/>
        <w:rPr>
          <w:rFonts w:ascii="Arial" w:hAnsi="Arial" w:cs="Arial"/>
          <w:color w:val="000000" w:themeColor="text1"/>
          <w:sz w:val="22"/>
          <w:lang w:val="es-ES_tradnl"/>
        </w:rPr>
      </w:pPr>
    </w:p>
    <w:p w14:paraId="349855C9" w14:textId="12261EAB" w:rsidR="00D40F8B" w:rsidRPr="0005138F" w:rsidRDefault="00861F0F"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r w:rsidRPr="0005138F">
        <w:rPr>
          <w:rFonts w:ascii="Arial" w:hAnsi="Arial" w:cs="Arial"/>
          <w:color w:val="000000" w:themeColor="text1"/>
          <w:sz w:val="22"/>
          <w:szCs w:val="22"/>
          <w:lang w:val="es-ES_tradnl"/>
        </w:rPr>
        <w:t>Atentamente,</w:t>
      </w:r>
    </w:p>
    <w:p w14:paraId="7C5FF5E4" w14:textId="2CC34AEE" w:rsidR="00523E23" w:rsidRDefault="00523E23" w:rsidP="00411715">
      <w:pPr>
        <w:pStyle w:val="NormalWeb"/>
        <w:spacing w:before="0" w:beforeAutospacing="0" w:after="0" w:afterAutospacing="0" w:line="276" w:lineRule="auto"/>
        <w:jc w:val="center"/>
        <w:rPr>
          <w:rFonts w:ascii="Geomanist Light" w:hAnsi="Geomanist Light"/>
          <w:noProof/>
          <w:color w:val="000000" w:themeColor="text1"/>
        </w:rPr>
      </w:pPr>
    </w:p>
    <w:p w14:paraId="4F1326C6" w14:textId="2F68D0FB" w:rsidR="000A6FE9" w:rsidRPr="0005138F" w:rsidRDefault="000A6FE9" w:rsidP="00411715">
      <w:pPr>
        <w:pStyle w:val="NormalWeb"/>
        <w:spacing w:before="0" w:beforeAutospacing="0" w:after="0" w:afterAutospacing="0" w:line="276" w:lineRule="auto"/>
        <w:jc w:val="center"/>
        <w:rPr>
          <w:rFonts w:ascii="Geomanist Light" w:hAnsi="Geomanist Light"/>
          <w:noProof/>
          <w:color w:val="000000" w:themeColor="text1"/>
        </w:rPr>
      </w:pPr>
      <w:r>
        <w:rPr>
          <w:noProof/>
        </w:rPr>
        <w:drawing>
          <wp:inline distT="0" distB="0" distL="0" distR="0" wp14:anchorId="351BB228" wp14:editId="028E7D47">
            <wp:extent cx="2534004" cy="981212"/>
            <wp:effectExtent l="0" t="0" r="0" b="9525"/>
            <wp:docPr id="5" name="Imagen 5"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Texto, Carta&#10;&#10;Descripción generada automáticamente"/>
                    <pic:cNvPicPr/>
                  </pic:nvPicPr>
                  <pic:blipFill>
                    <a:blip r:embed="rId13"/>
                    <a:stretch>
                      <a:fillRect/>
                    </a:stretch>
                  </pic:blipFill>
                  <pic:spPr>
                    <a:xfrm>
                      <a:off x="0" y="0"/>
                      <a:ext cx="2534004" cy="981212"/>
                    </a:xfrm>
                    <a:prstGeom prst="rect">
                      <a:avLst/>
                    </a:prstGeom>
                  </pic:spPr>
                </pic:pic>
              </a:graphicData>
            </a:graphic>
          </wp:inline>
        </w:drawing>
      </w:r>
    </w:p>
    <w:p w14:paraId="6D40A493" w14:textId="77777777" w:rsidR="00411715" w:rsidRPr="0005138F" w:rsidRDefault="00411715"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8"/>
        <w:gridCol w:w="4502"/>
      </w:tblGrid>
      <w:tr w:rsidR="00DD5B04" w:rsidRPr="0005138F" w14:paraId="0C7DC5F7" w14:textId="77777777" w:rsidTr="003B5586">
        <w:trPr>
          <w:trHeight w:val="124"/>
        </w:trPr>
        <w:tc>
          <w:tcPr>
            <w:tcW w:w="828" w:type="dxa"/>
            <w:vAlign w:val="center"/>
            <w:hideMark/>
          </w:tcPr>
          <w:p w14:paraId="5BDB1AC9" w14:textId="77777777" w:rsidR="00DD5B04" w:rsidRPr="0005138F" w:rsidRDefault="00DD5B04" w:rsidP="00DF76A2">
            <w:pPr>
              <w:jc w:val="both"/>
              <w:rPr>
                <w:rFonts w:ascii="Arial" w:hAnsi="Arial" w:cs="Arial"/>
                <w:color w:val="000000" w:themeColor="text1"/>
                <w:sz w:val="16"/>
                <w:szCs w:val="16"/>
                <w:lang w:val="es-ES_tradnl" w:eastAsia="es-ES"/>
              </w:rPr>
            </w:pPr>
            <w:r w:rsidRPr="0005138F">
              <w:rPr>
                <w:rFonts w:ascii="Arial" w:hAnsi="Arial" w:cs="Arial"/>
                <w:color w:val="000000" w:themeColor="text1"/>
                <w:sz w:val="16"/>
                <w:szCs w:val="16"/>
                <w:lang w:val="es-ES_tradnl" w:eastAsia="es-ES"/>
              </w:rPr>
              <w:t>Elaboró:</w:t>
            </w:r>
          </w:p>
        </w:tc>
        <w:tc>
          <w:tcPr>
            <w:tcW w:w="4502" w:type="dxa"/>
            <w:tcBorders>
              <w:top w:val="nil"/>
              <w:left w:val="nil"/>
              <w:bottom w:val="dotted" w:sz="4" w:space="0" w:color="7F7F7F" w:themeColor="text1" w:themeTint="80"/>
              <w:right w:val="nil"/>
            </w:tcBorders>
            <w:vAlign w:val="center"/>
            <w:hideMark/>
          </w:tcPr>
          <w:p w14:paraId="42488358" w14:textId="42FA6CF4" w:rsidR="00DD5B04" w:rsidRPr="0005138F" w:rsidRDefault="00523E23" w:rsidP="00DF76A2">
            <w:pPr>
              <w:jc w:val="both"/>
              <w:rPr>
                <w:rFonts w:ascii="Arial" w:hAnsi="Arial" w:cs="Arial"/>
                <w:color w:val="000000" w:themeColor="text1"/>
                <w:sz w:val="16"/>
                <w:szCs w:val="16"/>
                <w:lang w:val="es-ES_tradnl" w:eastAsia="es-ES"/>
              </w:rPr>
            </w:pPr>
            <w:r w:rsidRPr="0005138F">
              <w:rPr>
                <w:rFonts w:ascii="Arial" w:hAnsi="Arial" w:cs="Arial"/>
                <w:color w:val="000000" w:themeColor="text1"/>
                <w:sz w:val="16"/>
                <w:szCs w:val="16"/>
                <w:lang w:val="es-ES_tradnl" w:eastAsia="es-ES"/>
              </w:rPr>
              <w:t>Daniela Zapata Arboleda</w:t>
            </w:r>
          </w:p>
          <w:p w14:paraId="240C71FD" w14:textId="7AE5F422" w:rsidR="00411715" w:rsidRPr="0005138F" w:rsidRDefault="00411715" w:rsidP="00DF76A2">
            <w:pPr>
              <w:jc w:val="both"/>
              <w:rPr>
                <w:rFonts w:ascii="Arial" w:hAnsi="Arial" w:cs="Arial"/>
                <w:color w:val="000000" w:themeColor="text1"/>
                <w:sz w:val="16"/>
                <w:szCs w:val="16"/>
                <w:lang w:val="es-ES_tradnl" w:eastAsia="es-ES"/>
              </w:rPr>
            </w:pPr>
            <w:r w:rsidRPr="0005138F">
              <w:rPr>
                <w:rFonts w:ascii="Arial" w:hAnsi="Arial" w:cs="Arial"/>
                <w:color w:val="000000" w:themeColor="text1"/>
                <w:sz w:val="16"/>
                <w:szCs w:val="16"/>
                <w:lang w:val="es-ES_tradnl" w:eastAsia="es-ES"/>
              </w:rPr>
              <w:t xml:space="preserve">Contratista de la Subdirección de Gestión Contractual </w:t>
            </w:r>
          </w:p>
        </w:tc>
      </w:tr>
      <w:tr w:rsidR="00DD5B04" w:rsidRPr="0005138F" w14:paraId="2F8FD650" w14:textId="77777777" w:rsidTr="003B5586">
        <w:trPr>
          <w:trHeight w:val="256"/>
        </w:trPr>
        <w:tc>
          <w:tcPr>
            <w:tcW w:w="828" w:type="dxa"/>
            <w:vAlign w:val="center"/>
            <w:hideMark/>
          </w:tcPr>
          <w:p w14:paraId="50203A0B" w14:textId="77777777" w:rsidR="00DD5B04" w:rsidRPr="0005138F" w:rsidRDefault="00DD5B04" w:rsidP="00DF76A2">
            <w:pPr>
              <w:jc w:val="both"/>
              <w:rPr>
                <w:rFonts w:ascii="Arial" w:hAnsi="Arial" w:cs="Arial"/>
                <w:color w:val="000000" w:themeColor="text1"/>
                <w:sz w:val="16"/>
                <w:szCs w:val="16"/>
                <w:lang w:val="es-ES_tradnl" w:eastAsia="es-ES"/>
              </w:rPr>
            </w:pPr>
            <w:r w:rsidRPr="0005138F">
              <w:rPr>
                <w:rFonts w:ascii="Arial" w:hAnsi="Arial" w:cs="Arial"/>
                <w:color w:val="000000" w:themeColor="text1"/>
                <w:sz w:val="16"/>
                <w:szCs w:val="16"/>
                <w:lang w:val="es-ES_tradnl" w:eastAsia="es-ES"/>
              </w:rPr>
              <w:t>Revisó:</w:t>
            </w:r>
          </w:p>
        </w:tc>
        <w:tc>
          <w:tcPr>
            <w:tcW w:w="4502" w:type="dxa"/>
            <w:tcBorders>
              <w:top w:val="dotted" w:sz="4" w:space="0" w:color="7F7F7F" w:themeColor="text1" w:themeTint="80"/>
              <w:left w:val="nil"/>
              <w:bottom w:val="dotted" w:sz="4" w:space="0" w:color="7F7F7F" w:themeColor="text1" w:themeTint="80"/>
              <w:right w:val="nil"/>
            </w:tcBorders>
            <w:vAlign w:val="center"/>
            <w:hideMark/>
          </w:tcPr>
          <w:p w14:paraId="03A262D0" w14:textId="72BBA8AE" w:rsidR="00384466" w:rsidRPr="0005138F" w:rsidRDefault="00AF400A" w:rsidP="00F412DF">
            <w:pPr>
              <w:jc w:val="both"/>
              <w:rPr>
                <w:rFonts w:ascii="Arial" w:hAnsi="Arial" w:cs="Arial"/>
                <w:color w:val="000000" w:themeColor="text1"/>
                <w:sz w:val="16"/>
                <w:szCs w:val="16"/>
                <w:lang w:val="es-ES_tradnl" w:eastAsia="es-ES"/>
              </w:rPr>
            </w:pPr>
            <w:r w:rsidRPr="0005138F">
              <w:rPr>
                <w:rFonts w:ascii="Arial" w:hAnsi="Arial" w:cs="Arial"/>
                <w:color w:val="000000" w:themeColor="text1"/>
                <w:sz w:val="16"/>
                <w:szCs w:val="16"/>
                <w:lang w:val="es-ES_tradnl" w:eastAsia="es-ES"/>
              </w:rPr>
              <w:t xml:space="preserve">Alejandro Sarmiento Cantillo </w:t>
            </w:r>
          </w:p>
          <w:p w14:paraId="130B3228" w14:textId="1333639D" w:rsidR="0070439B" w:rsidRPr="0005138F" w:rsidRDefault="00AF400A" w:rsidP="00AF400A">
            <w:pPr>
              <w:jc w:val="both"/>
              <w:rPr>
                <w:rFonts w:ascii="Arial" w:hAnsi="Arial" w:cs="Arial"/>
                <w:color w:val="000000" w:themeColor="text1"/>
                <w:sz w:val="16"/>
                <w:szCs w:val="16"/>
                <w:lang w:val="es-ES" w:eastAsia="es-ES"/>
              </w:rPr>
            </w:pPr>
            <w:r w:rsidRPr="0005138F">
              <w:rPr>
                <w:rFonts w:ascii="Arial" w:hAnsi="Arial" w:cs="Arial"/>
                <w:color w:val="000000" w:themeColor="text1"/>
                <w:sz w:val="16"/>
                <w:szCs w:val="16"/>
                <w:lang w:val="es-ES_tradnl" w:eastAsia="es-ES"/>
              </w:rPr>
              <w:t xml:space="preserve">Gestor T1-15 </w:t>
            </w:r>
            <w:r w:rsidR="00B22D35" w:rsidRPr="0005138F">
              <w:rPr>
                <w:rFonts w:ascii="Arial" w:hAnsi="Arial" w:cs="Arial"/>
                <w:color w:val="000000" w:themeColor="text1"/>
                <w:sz w:val="16"/>
                <w:szCs w:val="16"/>
                <w:lang w:val="es-ES_tradnl" w:eastAsia="es-ES"/>
              </w:rPr>
              <w:t>de la Subdirección de Gestión Contractual</w:t>
            </w:r>
            <w:r w:rsidR="00B22D35" w:rsidRPr="0005138F" w:rsidDel="00B22D35">
              <w:rPr>
                <w:rFonts w:ascii="Arial" w:hAnsi="Arial" w:cs="Arial"/>
                <w:color w:val="000000"/>
                <w:sz w:val="16"/>
                <w:szCs w:val="16"/>
                <w:shd w:val="clear" w:color="auto" w:fill="FFFFFF"/>
              </w:rPr>
              <w:t xml:space="preserve"> </w:t>
            </w:r>
          </w:p>
        </w:tc>
      </w:tr>
      <w:tr w:rsidR="00DD5B04" w:rsidRPr="00D40F8B" w14:paraId="0FCBCA4A" w14:textId="77777777" w:rsidTr="003B5586">
        <w:trPr>
          <w:trHeight w:val="233"/>
        </w:trPr>
        <w:tc>
          <w:tcPr>
            <w:tcW w:w="828" w:type="dxa"/>
            <w:vAlign w:val="center"/>
            <w:hideMark/>
          </w:tcPr>
          <w:p w14:paraId="3C1D943A" w14:textId="77777777" w:rsidR="00DD5B04" w:rsidRPr="0005138F" w:rsidRDefault="00DD5B04" w:rsidP="00DF76A2">
            <w:pPr>
              <w:jc w:val="both"/>
              <w:rPr>
                <w:rFonts w:ascii="Arial" w:hAnsi="Arial" w:cs="Arial"/>
                <w:color w:val="000000" w:themeColor="text1"/>
                <w:sz w:val="16"/>
                <w:szCs w:val="16"/>
                <w:lang w:val="es-ES_tradnl" w:eastAsia="es-ES"/>
              </w:rPr>
            </w:pPr>
            <w:r w:rsidRPr="0005138F">
              <w:rPr>
                <w:rFonts w:ascii="Arial" w:hAnsi="Arial" w:cs="Arial"/>
                <w:color w:val="000000" w:themeColor="text1"/>
                <w:sz w:val="16"/>
                <w:szCs w:val="16"/>
                <w:lang w:val="es-ES_tradnl" w:eastAsia="es-ES"/>
              </w:rPr>
              <w:t>Aprobó:</w:t>
            </w:r>
          </w:p>
        </w:tc>
        <w:tc>
          <w:tcPr>
            <w:tcW w:w="4502" w:type="dxa"/>
            <w:tcBorders>
              <w:top w:val="dotted" w:sz="4" w:space="0" w:color="7F7F7F" w:themeColor="text1" w:themeTint="80"/>
              <w:left w:val="nil"/>
              <w:bottom w:val="dotted" w:sz="4" w:space="0" w:color="7F7F7F" w:themeColor="text1" w:themeTint="80"/>
              <w:right w:val="nil"/>
            </w:tcBorders>
            <w:vAlign w:val="center"/>
            <w:hideMark/>
          </w:tcPr>
          <w:p w14:paraId="04486817" w14:textId="77777777" w:rsidR="00573788" w:rsidRPr="0005138F" w:rsidRDefault="00573788" w:rsidP="00573788">
            <w:r w:rsidRPr="0005138F">
              <w:rPr>
                <w:rFonts w:ascii="Arial" w:eastAsia="Arial" w:hAnsi="Arial" w:cs="Arial"/>
                <w:color w:val="000000"/>
                <w:sz w:val="16"/>
                <w:szCs w:val="16"/>
              </w:rPr>
              <w:t>Juan David Marín López</w:t>
            </w:r>
          </w:p>
          <w:p w14:paraId="1ADC483B" w14:textId="6E3ED0C2" w:rsidR="00DD5B04" w:rsidRPr="00D40F8B" w:rsidRDefault="00573788" w:rsidP="00DF76A2">
            <w:pPr>
              <w:jc w:val="both"/>
              <w:rPr>
                <w:rFonts w:ascii="Arial" w:hAnsi="Arial" w:cs="Arial"/>
                <w:color w:val="000000" w:themeColor="text1"/>
                <w:sz w:val="16"/>
                <w:szCs w:val="16"/>
                <w:lang w:val="es-ES_tradnl" w:eastAsia="es-ES"/>
              </w:rPr>
            </w:pPr>
            <w:r w:rsidRPr="0005138F">
              <w:rPr>
                <w:rFonts w:ascii="Arial" w:eastAsia="Arial" w:hAnsi="Arial" w:cs="Arial"/>
                <w:color w:val="000000"/>
                <w:sz w:val="16"/>
                <w:szCs w:val="16"/>
              </w:rPr>
              <w:t xml:space="preserve">Subdirector de Gestión </w:t>
            </w:r>
            <w:r w:rsidR="00AF400A" w:rsidRPr="0005138F">
              <w:rPr>
                <w:rFonts w:ascii="Arial" w:eastAsia="Arial" w:hAnsi="Arial" w:cs="Arial"/>
                <w:color w:val="000000"/>
                <w:sz w:val="16"/>
                <w:szCs w:val="16"/>
              </w:rPr>
              <w:t xml:space="preserve">Contractual </w:t>
            </w:r>
            <w:r w:rsidR="00B174FD" w:rsidRPr="0005138F">
              <w:rPr>
                <w:rFonts w:ascii="Arial" w:eastAsia="Arial" w:hAnsi="Arial" w:cs="Arial"/>
                <w:color w:val="000000"/>
                <w:sz w:val="16"/>
                <w:szCs w:val="16"/>
              </w:rPr>
              <w:t>(E)</w:t>
            </w:r>
          </w:p>
        </w:tc>
      </w:tr>
      <w:bookmarkEnd w:id="3"/>
    </w:tbl>
    <w:p w14:paraId="407E8F17" w14:textId="77777777" w:rsidR="00DD118B" w:rsidRPr="00E23980" w:rsidRDefault="00DD118B" w:rsidP="00947454">
      <w:pPr>
        <w:jc w:val="both"/>
        <w:rPr>
          <w:rFonts w:ascii="Arial" w:hAnsi="Arial" w:cs="Arial"/>
          <w:lang w:val="es-ES_tradnl"/>
        </w:rPr>
      </w:pPr>
    </w:p>
    <w:sectPr w:rsidR="00DD118B" w:rsidRPr="00E23980" w:rsidSect="006F436D">
      <w:headerReference w:type="default" r:id="rId14"/>
      <w:footerReference w:type="default" r:id="rId15"/>
      <w:pgSz w:w="12240" w:h="15840"/>
      <w:pgMar w:top="2410" w:right="1701" w:bottom="2694" w:left="1560"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AD3326" w14:textId="77777777" w:rsidR="00B560B1" w:rsidRDefault="00B560B1">
      <w:r>
        <w:separator/>
      </w:r>
    </w:p>
  </w:endnote>
  <w:endnote w:type="continuationSeparator" w:id="0">
    <w:p w14:paraId="5E8C5A11" w14:textId="77777777" w:rsidR="00B560B1" w:rsidRDefault="00B560B1">
      <w:r>
        <w:continuationSeparator/>
      </w:r>
    </w:p>
  </w:endnote>
  <w:endnote w:type="continuationNotice" w:id="1">
    <w:p w14:paraId="3A0C3C03" w14:textId="77777777" w:rsidR="00B560B1" w:rsidRDefault="00B560B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Narrow">
    <w:panose1 w:val="020B0606020202030204"/>
    <w:charset w:val="00"/>
    <w:family w:val="swiss"/>
    <w:pitch w:val="variable"/>
    <w:sig w:usb0="00000287" w:usb1="00000800" w:usb2="00000000" w:usb3="00000000" w:csb0="0000009F" w:csb1="00000000"/>
  </w:font>
  <w:font w:name="Geomanist Light">
    <w:altName w:val="Corbel"/>
    <w:panose1 w:val="02000503000000020004"/>
    <w:charset w:val="00"/>
    <w:family w:val="modern"/>
    <w:notTrueType/>
    <w:pitch w:val="variable"/>
    <w:sig w:usb0="A000002F" w:usb1="1000004A"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785F3" w14:textId="7B9A8E1F" w:rsidR="00E2520A" w:rsidRPr="00EC6D8D" w:rsidRDefault="00E2520A" w:rsidP="00FE42ED">
    <w:pPr>
      <w:pStyle w:val="Piedepgina"/>
      <w:jc w:val="right"/>
      <w:rPr>
        <w:rFonts w:ascii="Arial" w:hAnsi="Arial" w:cs="Arial"/>
        <w:color w:val="7F7F7F"/>
        <w:sz w:val="16"/>
        <w:szCs w:val="16"/>
      </w:rPr>
    </w:pPr>
    <w:r w:rsidRPr="00EC6D8D">
      <w:rPr>
        <w:rFonts w:ascii="Arial" w:hAnsi="Arial" w:cs="Arial"/>
        <w:bCs/>
        <w:color w:val="7F7F7F"/>
        <w:sz w:val="16"/>
        <w:szCs w:val="16"/>
      </w:rPr>
      <w:t xml:space="preserve">Página </w:t>
    </w:r>
    <w:r w:rsidRPr="00EC6D8D">
      <w:rPr>
        <w:rFonts w:ascii="Arial" w:hAnsi="Arial" w:cs="Arial"/>
        <w:b/>
        <w:bCs/>
        <w:color w:val="7F7F7F"/>
        <w:sz w:val="16"/>
        <w:szCs w:val="16"/>
      </w:rPr>
      <w:fldChar w:fldCharType="begin"/>
    </w:r>
    <w:r w:rsidRPr="00EC6D8D">
      <w:rPr>
        <w:rFonts w:ascii="Arial" w:hAnsi="Arial" w:cs="Arial"/>
        <w:b/>
        <w:bCs/>
        <w:color w:val="7F7F7F"/>
        <w:sz w:val="16"/>
        <w:szCs w:val="16"/>
      </w:rPr>
      <w:instrText>PAGE  \* Arabic  \* MERGEFORMAT</w:instrText>
    </w:r>
    <w:r w:rsidRPr="00EC6D8D">
      <w:rPr>
        <w:rFonts w:ascii="Arial" w:hAnsi="Arial" w:cs="Arial"/>
        <w:b/>
        <w:bCs/>
        <w:color w:val="7F7F7F"/>
        <w:sz w:val="16"/>
        <w:szCs w:val="16"/>
      </w:rPr>
      <w:fldChar w:fldCharType="separate"/>
    </w:r>
    <w:r w:rsidR="00067313">
      <w:rPr>
        <w:rFonts w:ascii="Arial" w:hAnsi="Arial" w:cs="Arial"/>
        <w:b/>
        <w:bCs/>
        <w:noProof/>
        <w:color w:val="7F7F7F"/>
        <w:sz w:val="16"/>
        <w:szCs w:val="16"/>
      </w:rPr>
      <w:t>18</w:t>
    </w:r>
    <w:r w:rsidRPr="00EC6D8D">
      <w:rPr>
        <w:rFonts w:ascii="Arial" w:hAnsi="Arial" w:cs="Arial"/>
        <w:b/>
        <w:bCs/>
        <w:color w:val="7F7F7F"/>
        <w:sz w:val="16"/>
        <w:szCs w:val="16"/>
      </w:rPr>
      <w:fldChar w:fldCharType="end"/>
    </w:r>
    <w:r w:rsidRPr="00EC6D8D">
      <w:rPr>
        <w:rFonts w:ascii="Arial" w:hAnsi="Arial" w:cs="Arial"/>
        <w:color w:val="7F7F7F"/>
        <w:sz w:val="16"/>
        <w:szCs w:val="16"/>
      </w:rPr>
      <w:t xml:space="preserve"> de </w:t>
    </w:r>
    <w:r w:rsidRPr="00EC6D8D">
      <w:rPr>
        <w:rFonts w:ascii="Arial" w:hAnsi="Arial" w:cs="Arial"/>
        <w:b/>
        <w:bCs/>
        <w:color w:val="7F7F7F"/>
        <w:sz w:val="16"/>
        <w:szCs w:val="16"/>
      </w:rPr>
      <w:fldChar w:fldCharType="begin"/>
    </w:r>
    <w:r w:rsidRPr="00EC6D8D">
      <w:rPr>
        <w:rFonts w:ascii="Arial" w:hAnsi="Arial" w:cs="Arial"/>
        <w:b/>
        <w:bCs/>
        <w:color w:val="7F7F7F"/>
        <w:sz w:val="16"/>
        <w:szCs w:val="16"/>
      </w:rPr>
      <w:instrText>NUMPAGES  \* Arabic  \* MERGEFORMAT</w:instrText>
    </w:r>
    <w:r w:rsidRPr="00EC6D8D">
      <w:rPr>
        <w:rFonts w:ascii="Arial" w:hAnsi="Arial" w:cs="Arial"/>
        <w:b/>
        <w:bCs/>
        <w:color w:val="7F7F7F"/>
        <w:sz w:val="16"/>
        <w:szCs w:val="16"/>
      </w:rPr>
      <w:fldChar w:fldCharType="separate"/>
    </w:r>
    <w:r w:rsidR="00067313">
      <w:rPr>
        <w:rFonts w:ascii="Arial" w:hAnsi="Arial" w:cs="Arial"/>
        <w:b/>
        <w:bCs/>
        <w:noProof/>
        <w:color w:val="7F7F7F"/>
        <w:sz w:val="16"/>
        <w:szCs w:val="16"/>
      </w:rPr>
      <w:t>19</w:t>
    </w:r>
    <w:r w:rsidRPr="00EC6D8D">
      <w:rPr>
        <w:rFonts w:ascii="Arial" w:hAnsi="Arial" w:cs="Arial"/>
        <w:b/>
        <w:bCs/>
        <w:color w:val="7F7F7F"/>
        <w:sz w:val="16"/>
        <w:szCs w:val="16"/>
      </w:rPr>
      <w:fldChar w:fldCharType="end"/>
    </w:r>
  </w:p>
  <w:p w14:paraId="48FC6A04" w14:textId="187BB681" w:rsidR="00E2520A" w:rsidRDefault="00207C1E" w:rsidP="00322937">
    <w:pPr>
      <w:pStyle w:val="Piedepgina"/>
      <w:jc w:val="center"/>
      <w:rPr>
        <w:lang w:val="es-ES"/>
      </w:rPr>
    </w:pPr>
    <w:r w:rsidRPr="00207C1E">
      <w:rPr>
        <w:noProof/>
        <w:lang w:val="es-CO" w:eastAsia="es-CO"/>
      </w:rPr>
      <w:drawing>
        <wp:inline distT="0" distB="0" distL="0" distR="0" wp14:anchorId="5D151EC5" wp14:editId="37D9D648">
          <wp:extent cx="5778385" cy="856615"/>
          <wp:effectExtent l="0" t="0" r="635" b="0"/>
          <wp:docPr id="47" name="Imagen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5781669" cy="857102"/>
                  </a:xfrm>
                  <a:prstGeom prst="rect">
                    <a:avLst/>
                  </a:prstGeom>
                </pic:spPr>
              </pic:pic>
            </a:graphicData>
          </a:graphic>
        </wp:inline>
      </w:drawing>
    </w:r>
  </w:p>
  <w:p w14:paraId="6C0EFC49" w14:textId="77777777" w:rsidR="00E2520A" w:rsidRPr="007B0854" w:rsidRDefault="00E2520A" w:rsidP="007B0854">
    <w:pPr>
      <w:pStyle w:val="Piedepgina"/>
      <w:jc w:val="center"/>
      <w:rPr>
        <w:lang w:val="es-ES"/>
      </w:rPr>
    </w:pPr>
  </w:p>
  <w:p w14:paraId="2CCD54A3" w14:textId="77777777" w:rsidR="00E2520A" w:rsidRDefault="00E2520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8CF8BE" w14:textId="77777777" w:rsidR="00B560B1" w:rsidRDefault="00B560B1">
      <w:r>
        <w:separator/>
      </w:r>
    </w:p>
  </w:footnote>
  <w:footnote w:type="continuationSeparator" w:id="0">
    <w:p w14:paraId="306EB120" w14:textId="77777777" w:rsidR="00B560B1" w:rsidRDefault="00B560B1">
      <w:r>
        <w:continuationSeparator/>
      </w:r>
    </w:p>
  </w:footnote>
  <w:footnote w:type="continuationNotice" w:id="1">
    <w:p w14:paraId="5CE6790C" w14:textId="77777777" w:rsidR="00B560B1" w:rsidRDefault="00B560B1"/>
  </w:footnote>
  <w:footnote w:id="2">
    <w:p w14:paraId="6BD33750" w14:textId="77777777" w:rsidR="009D0B5D" w:rsidRPr="00DC3B79" w:rsidRDefault="009D0B5D" w:rsidP="009D0B5D">
      <w:pPr>
        <w:pStyle w:val="Textonotapie"/>
        <w:ind w:firstLine="708"/>
        <w:jc w:val="both"/>
        <w:rPr>
          <w:rFonts w:ascii="Arial" w:hAnsi="Arial" w:cs="Arial"/>
          <w:sz w:val="19"/>
          <w:szCs w:val="19"/>
          <w:lang w:val="es-ES"/>
        </w:rPr>
      </w:pPr>
      <w:r w:rsidRPr="00DC3B79">
        <w:rPr>
          <w:rStyle w:val="Refdenotaalpie"/>
          <w:rFonts w:ascii="Arial" w:hAnsi="Arial" w:cs="Arial"/>
          <w:sz w:val="19"/>
          <w:szCs w:val="19"/>
        </w:rPr>
        <w:footnoteRef/>
      </w:r>
      <w:r w:rsidRPr="00DC3B79">
        <w:rPr>
          <w:rFonts w:ascii="Arial" w:hAnsi="Arial" w:cs="Arial"/>
          <w:sz w:val="19"/>
          <w:szCs w:val="19"/>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DC3B79">
        <w:rPr>
          <w:rFonts w:ascii="Arial" w:hAnsi="Arial" w:cs="Arial"/>
          <w:i/>
          <w:iCs/>
          <w:sz w:val="19"/>
          <w:szCs w:val="19"/>
        </w:rPr>
        <w:t xml:space="preserve">ibidem </w:t>
      </w:r>
      <w:r w:rsidRPr="00DC3B79">
        <w:rPr>
          <w:rFonts w:ascii="Arial" w:hAnsi="Arial" w:cs="Arial"/>
          <w:sz w:val="19"/>
          <w:szCs w:val="19"/>
        </w:rPr>
        <w:t>señala, de manera precisa, las funciones de Colombia Compra Eficiente. Concretamente, el numeral 5º de este artículo establece que le corresponde a esta entidad: «[a]</w:t>
      </w:r>
      <w:proofErr w:type="spellStart"/>
      <w:r w:rsidRPr="00DC3B79">
        <w:rPr>
          <w:rFonts w:ascii="Arial" w:hAnsi="Arial" w:cs="Arial"/>
          <w:sz w:val="19"/>
          <w:szCs w:val="19"/>
        </w:rPr>
        <w:t>bsolver</w:t>
      </w:r>
      <w:proofErr w:type="spellEnd"/>
      <w:r w:rsidRPr="00DC3B79">
        <w:rPr>
          <w:rFonts w:ascii="Arial" w:hAnsi="Arial" w:cs="Arial"/>
          <w:sz w:val="19"/>
          <w:szCs w:val="19"/>
        </w:rPr>
        <w:t xml:space="preserve"> consultas sobre la aplicación de normas de carácter general y expedir circulares externas en materia de compras y contratación pública». Seguidamente, el numeral 8º del artículo 11 ibidem señala que es función de la Subdirección de Gestión Contractual: «[a]</w:t>
      </w:r>
      <w:proofErr w:type="spellStart"/>
      <w:r w:rsidRPr="00DC3B79">
        <w:rPr>
          <w:rFonts w:ascii="Arial" w:hAnsi="Arial" w:cs="Arial"/>
          <w:sz w:val="19"/>
          <w:szCs w:val="19"/>
        </w:rPr>
        <w:t>bsolver</w:t>
      </w:r>
      <w:proofErr w:type="spellEnd"/>
      <w:r w:rsidRPr="00DC3B79">
        <w:rPr>
          <w:rFonts w:ascii="Arial" w:hAnsi="Arial" w:cs="Arial"/>
          <w:sz w:val="19"/>
          <w:szCs w:val="19"/>
        </w:rPr>
        <w:t xml:space="preserve"> consultas sobre la aplicación de normas de carácter general».</w:t>
      </w:r>
    </w:p>
  </w:footnote>
  <w:footnote w:id="3">
    <w:p w14:paraId="752D493A" w14:textId="77777777" w:rsidR="007C7F6F" w:rsidRPr="00E90498" w:rsidRDefault="007C7F6F" w:rsidP="007C7F6F">
      <w:pPr>
        <w:pStyle w:val="Textonotapie"/>
        <w:ind w:firstLine="708"/>
        <w:rPr>
          <w:rFonts w:ascii="Arial" w:hAnsi="Arial" w:cs="Arial"/>
          <w:sz w:val="19"/>
          <w:szCs w:val="19"/>
          <w:lang w:val="es-ES"/>
        </w:rPr>
      </w:pPr>
      <w:r w:rsidRPr="00E90498">
        <w:rPr>
          <w:rStyle w:val="Refdenotaalpie"/>
          <w:rFonts w:ascii="Arial" w:hAnsi="Arial" w:cs="Arial"/>
          <w:sz w:val="19"/>
          <w:szCs w:val="19"/>
        </w:rPr>
        <w:footnoteRef/>
      </w:r>
      <w:r w:rsidRPr="00E90498">
        <w:rPr>
          <w:rFonts w:ascii="Arial" w:hAnsi="Arial" w:cs="Arial"/>
          <w:sz w:val="19"/>
          <w:szCs w:val="19"/>
        </w:rPr>
        <w:t xml:space="preserve"> </w:t>
      </w:r>
      <w:r w:rsidRPr="00DC3B79">
        <w:rPr>
          <w:rFonts w:ascii="Arial" w:hAnsi="Arial" w:cs="Arial"/>
          <w:sz w:val="19"/>
          <w:szCs w:val="19"/>
        </w:rPr>
        <w:t xml:space="preserve">Estos conceptos pueden ser consultados en la relatoría de Colombia Compra Eficiente en el siguiente enlace:  </w:t>
      </w:r>
      <w:hyperlink r:id="rId1" w:history="1">
        <w:r w:rsidRPr="00DC3B79">
          <w:rPr>
            <w:rStyle w:val="Hipervnculo"/>
            <w:rFonts w:ascii="Arial" w:hAnsi="Arial" w:cs="Arial"/>
            <w:color w:val="auto"/>
            <w:sz w:val="19"/>
            <w:szCs w:val="19"/>
            <w:lang w:val="es-ES"/>
          </w:rPr>
          <w:t>http://relatoria.colombiacompra.gov.co/busqueda/conceptos</w:t>
        </w:r>
      </w:hyperlink>
    </w:p>
  </w:footnote>
  <w:footnote w:id="4">
    <w:p w14:paraId="1EE0232D" w14:textId="77777777" w:rsidR="00D62F13" w:rsidRPr="0077368F" w:rsidRDefault="00D62F13" w:rsidP="00D62F13">
      <w:pPr>
        <w:ind w:right="49" w:firstLine="720"/>
        <w:jc w:val="both"/>
        <w:rPr>
          <w:rFonts w:ascii="Arial" w:hAnsi="Arial" w:cs="Arial"/>
          <w:sz w:val="19"/>
          <w:szCs w:val="19"/>
        </w:rPr>
      </w:pPr>
      <w:r w:rsidRPr="0077368F">
        <w:rPr>
          <w:rStyle w:val="Refdenotaalpie"/>
          <w:rFonts w:ascii="Arial" w:hAnsi="Arial" w:cs="Arial"/>
          <w:sz w:val="19"/>
          <w:szCs w:val="19"/>
        </w:rPr>
        <w:footnoteRef/>
      </w:r>
      <w:r w:rsidRPr="0077368F">
        <w:rPr>
          <w:rFonts w:ascii="Arial" w:hAnsi="Arial" w:cs="Arial"/>
          <w:sz w:val="19"/>
          <w:szCs w:val="19"/>
        </w:rPr>
        <w:t xml:space="preserve"> Decreto 1082 de 2015: «Articulo 2.2.1.1.1.3.1. Definiciones. 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w:t>
      </w:r>
      <w:r w:rsidRPr="0077368F">
        <w:rPr>
          <w:rFonts w:ascii="Arial" w:hAnsi="Arial" w:cs="Arial"/>
          <w:spacing w:val="-14"/>
          <w:sz w:val="19"/>
          <w:szCs w:val="19"/>
        </w:rPr>
        <w:t xml:space="preserve"> </w:t>
      </w:r>
      <w:r w:rsidRPr="0077368F">
        <w:rPr>
          <w:rFonts w:ascii="Arial" w:hAnsi="Arial" w:cs="Arial"/>
          <w:sz w:val="19"/>
          <w:szCs w:val="19"/>
        </w:rPr>
        <w:t>utilizados.</w:t>
      </w:r>
    </w:p>
    <w:p w14:paraId="17B23663" w14:textId="77777777" w:rsidR="00D62F13" w:rsidRPr="0077368F" w:rsidRDefault="00D62F13" w:rsidP="00D62F13">
      <w:pPr>
        <w:ind w:right="49" w:firstLine="708"/>
        <w:jc w:val="both"/>
        <w:rPr>
          <w:rFonts w:ascii="Arial" w:hAnsi="Arial" w:cs="Arial"/>
          <w:sz w:val="19"/>
          <w:szCs w:val="19"/>
        </w:rPr>
      </w:pPr>
      <w:r w:rsidRPr="0077368F">
        <w:rPr>
          <w:rFonts w:ascii="Arial" w:hAnsi="Arial" w:cs="Arial"/>
          <w:sz w:val="19"/>
          <w:szCs w:val="19"/>
        </w:rPr>
        <w:t>[…]</w:t>
      </w:r>
    </w:p>
    <w:p w14:paraId="2ADD40EB" w14:textId="77777777" w:rsidR="00D62F13" w:rsidRPr="0077368F" w:rsidRDefault="00D62F13" w:rsidP="00D62F13">
      <w:pPr>
        <w:ind w:right="49" w:firstLine="708"/>
        <w:jc w:val="both"/>
        <w:rPr>
          <w:rFonts w:ascii="Arial" w:hAnsi="Arial" w:cs="Arial"/>
          <w:sz w:val="19"/>
          <w:szCs w:val="19"/>
        </w:rPr>
      </w:pPr>
      <w:r w:rsidRPr="0077368F">
        <w:rPr>
          <w:rFonts w:ascii="Arial" w:hAnsi="Arial" w:cs="Arial"/>
          <w:sz w:val="19"/>
          <w:szCs w:val="19"/>
        </w:rPr>
        <w:t>»Capacidad Residual o K de Contratación: Aptitud de un oferente para cumplir oportuna y cabalmente con el objeto de un contrato de obra, sin que sus otros compromisos contractuales afecten su habilidad de cumplir con el contrato que está en proceso de selección».</w:t>
      </w:r>
    </w:p>
    <w:p w14:paraId="05103FC1" w14:textId="77777777" w:rsidR="00D62F13" w:rsidRPr="0077368F" w:rsidRDefault="00D62F13" w:rsidP="00D62F13">
      <w:pPr>
        <w:ind w:right="49" w:firstLine="708"/>
        <w:jc w:val="both"/>
        <w:rPr>
          <w:rFonts w:ascii="Arial" w:hAnsi="Arial" w:cs="Arial"/>
          <w:sz w:val="19"/>
          <w:szCs w:val="19"/>
        </w:rPr>
      </w:pPr>
    </w:p>
  </w:footnote>
  <w:footnote w:id="5">
    <w:p w14:paraId="5B6A946C" w14:textId="77777777" w:rsidR="00D62F13" w:rsidRPr="0077368F" w:rsidRDefault="00D62F13" w:rsidP="00D62F13">
      <w:pPr>
        <w:ind w:right="49" w:firstLine="720"/>
        <w:jc w:val="both"/>
        <w:rPr>
          <w:rFonts w:ascii="Arial" w:hAnsi="Arial" w:cs="Arial"/>
          <w:sz w:val="19"/>
          <w:szCs w:val="19"/>
        </w:rPr>
      </w:pPr>
      <w:r w:rsidRPr="0077368F">
        <w:rPr>
          <w:rStyle w:val="Refdenotaalpie"/>
          <w:rFonts w:ascii="Arial" w:hAnsi="Arial" w:cs="Arial"/>
          <w:sz w:val="19"/>
          <w:szCs w:val="19"/>
        </w:rPr>
        <w:footnoteRef/>
      </w:r>
      <w:r w:rsidRPr="0077368F">
        <w:rPr>
          <w:rFonts w:ascii="Arial" w:hAnsi="Arial" w:cs="Arial"/>
          <w:sz w:val="19"/>
          <w:szCs w:val="19"/>
        </w:rPr>
        <w:t xml:space="preserve"> Consejo de Estado. Sección Tercera. Providencia del 26 de junio de 2003. </w:t>
      </w:r>
      <w:proofErr w:type="spellStart"/>
      <w:r w:rsidRPr="0077368F">
        <w:rPr>
          <w:rFonts w:ascii="Arial" w:hAnsi="Arial" w:cs="Arial"/>
          <w:sz w:val="19"/>
          <w:szCs w:val="19"/>
        </w:rPr>
        <w:t>Exp</w:t>
      </w:r>
      <w:proofErr w:type="spellEnd"/>
      <w:r w:rsidRPr="0077368F">
        <w:rPr>
          <w:rFonts w:ascii="Arial" w:hAnsi="Arial" w:cs="Arial"/>
          <w:sz w:val="19"/>
          <w:szCs w:val="19"/>
        </w:rPr>
        <w:t>. 13.354. M.P. María Elena Giraldo Gómez.</w:t>
      </w:r>
    </w:p>
    <w:p w14:paraId="22CCCDC0" w14:textId="77777777" w:rsidR="00D62F13" w:rsidRPr="0077368F" w:rsidRDefault="00D62F13" w:rsidP="00D62F13">
      <w:pPr>
        <w:pStyle w:val="Textonotapie"/>
        <w:ind w:right="49"/>
        <w:jc w:val="both"/>
        <w:rPr>
          <w:rFonts w:ascii="Arial" w:hAnsi="Arial" w:cs="Arial"/>
          <w:sz w:val="19"/>
          <w:szCs w:val="19"/>
          <w:lang w:val="es-CO"/>
        </w:rPr>
      </w:pPr>
    </w:p>
  </w:footnote>
  <w:footnote w:id="6">
    <w:p w14:paraId="3B1496F0" w14:textId="77777777" w:rsidR="00406A42" w:rsidRPr="0077368F" w:rsidRDefault="00406A42" w:rsidP="00406A42">
      <w:pPr>
        <w:ind w:right="49" w:firstLine="708"/>
        <w:jc w:val="both"/>
        <w:rPr>
          <w:rFonts w:ascii="Arial" w:hAnsi="Arial" w:cs="Arial"/>
          <w:sz w:val="19"/>
          <w:szCs w:val="19"/>
        </w:rPr>
      </w:pPr>
      <w:r w:rsidRPr="0077368F">
        <w:rPr>
          <w:rStyle w:val="Refdenotaalpie"/>
          <w:rFonts w:ascii="Arial" w:hAnsi="Arial" w:cs="Arial"/>
          <w:sz w:val="19"/>
          <w:szCs w:val="19"/>
        </w:rPr>
        <w:footnoteRef/>
      </w:r>
      <w:r w:rsidRPr="0077368F">
        <w:rPr>
          <w:rFonts w:ascii="Arial" w:hAnsi="Arial" w:cs="Arial"/>
          <w:sz w:val="19"/>
          <w:szCs w:val="19"/>
        </w:rPr>
        <w:t xml:space="preserve"> Decreto 1082 de 2015. «Artículo 2.2.1.1.1.6.4. Capacidad Residual. El interesado en celebrar contratos de obra pública con Entidades Estatales debe acreditar su Capacidad Residual o K de Contratación con los siguientes</w:t>
      </w:r>
      <w:r w:rsidRPr="0077368F">
        <w:rPr>
          <w:rFonts w:ascii="Arial" w:hAnsi="Arial" w:cs="Arial"/>
          <w:spacing w:val="-3"/>
          <w:sz w:val="19"/>
          <w:szCs w:val="19"/>
        </w:rPr>
        <w:t xml:space="preserve"> </w:t>
      </w:r>
      <w:r w:rsidRPr="0077368F">
        <w:rPr>
          <w:rFonts w:ascii="Arial" w:hAnsi="Arial" w:cs="Arial"/>
          <w:sz w:val="19"/>
          <w:szCs w:val="19"/>
        </w:rPr>
        <w:t>documentos:</w:t>
      </w:r>
    </w:p>
    <w:p w14:paraId="1FEF5ACB" w14:textId="77777777" w:rsidR="00406A42" w:rsidRPr="0077368F" w:rsidRDefault="00406A42" w:rsidP="00406A42">
      <w:pPr>
        <w:ind w:right="49" w:firstLine="708"/>
        <w:jc w:val="both"/>
        <w:rPr>
          <w:rFonts w:ascii="Arial" w:hAnsi="Arial" w:cs="Arial"/>
          <w:sz w:val="19"/>
          <w:szCs w:val="19"/>
        </w:rPr>
      </w:pPr>
      <w:r w:rsidRPr="0077368F">
        <w:rPr>
          <w:rFonts w:ascii="Arial" w:hAnsi="Arial" w:cs="Arial"/>
          <w:sz w:val="19"/>
          <w:szCs w:val="19"/>
        </w:rPr>
        <w:t>»1. La lista de los contratos de obras civiles en ejecución suscritos con Entidades Estatales y con entidades privadas, así como el valor y plazo de tales contratos, incluyendo contratos de concesión y los contratos de obra suscritos con</w:t>
      </w:r>
      <w:r w:rsidRPr="0077368F">
        <w:rPr>
          <w:rFonts w:ascii="Arial" w:hAnsi="Arial" w:cs="Arial"/>
          <w:spacing w:val="-4"/>
          <w:sz w:val="19"/>
          <w:szCs w:val="19"/>
        </w:rPr>
        <w:t xml:space="preserve"> </w:t>
      </w:r>
      <w:r w:rsidRPr="0077368F">
        <w:rPr>
          <w:rFonts w:ascii="Arial" w:hAnsi="Arial" w:cs="Arial"/>
          <w:sz w:val="19"/>
          <w:szCs w:val="19"/>
        </w:rPr>
        <w:t>concesionarios.</w:t>
      </w:r>
    </w:p>
    <w:p w14:paraId="3C7ADCE9" w14:textId="77777777" w:rsidR="00406A42" w:rsidRPr="0077368F" w:rsidRDefault="00406A42" w:rsidP="00406A42">
      <w:pPr>
        <w:ind w:right="49" w:firstLine="708"/>
        <w:jc w:val="both"/>
        <w:rPr>
          <w:rFonts w:ascii="Arial" w:hAnsi="Arial" w:cs="Arial"/>
          <w:sz w:val="19"/>
          <w:szCs w:val="19"/>
        </w:rPr>
      </w:pPr>
      <w:r w:rsidRPr="0077368F">
        <w:rPr>
          <w:rFonts w:ascii="Arial" w:hAnsi="Arial" w:cs="Arial"/>
          <w:sz w:val="19"/>
          <w:szCs w:val="19"/>
        </w:rPr>
        <w:t>»2. La lista de los contratos de obras civiles en ejecución, suscritos por sociedades, consorcios o uniones temporales, en los cuales el proponente tenga participación, con Entidades Estatales y con entidades privadas, así como el valor y plazo de tales contratos, incluyendo los contratos de concesión y los contratos de obra suscritos con concesionarios.</w:t>
      </w:r>
    </w:p>
    <w:p w14:paraId="5079B534" w14:textId="77777777" w:rsidR="00406A42" w:rsidRPr="0077368F" w:rsidRDefault="00406A42" w:rsidP="00406A42">
      <w:pPr>
        <w:ind w:right="49" w:firstLine="708"/>
        <w:jc w:val="both"/>
        <w:rPr>
          <w:rFonts w:ascii="Arial" w:hAnsi="Arial" w:cs="Arial"/>
          <w:sz w:val="19"/>
          <w:szCs w:val="19"/>
        </w:rPr>
      </w:pPr>
      <w:r w:rsidRPr="0077368F">
        <w:rPr>
          <w:rFonts w:ascii="Arial" w:hAnsi="Arial" w:cs="Arial"/>
          <w:sz w:val="19"/>
          <w:szCs w:val="19"/>
        </w:rPr>
        <w:t>»3. Balance general auditado del año inmediatamente anterior y estado de resultados auditado del año en que haya obtenido el mayor ingreso operacional en los últimos cinco (5) años. Los estados financieros deben estar suscritos por el interesado o su representante legal y el revisor fiscal si está obligado a tenerlo, o el auditor o contador si no está obligado a tener revisor fiscal. Si se trata de proponentes obligados a tener RUP, las Entidades Estatales solo deben solicitar como documento adicional el estado de resultados del año en que el proponente obtuvo el mayor ingreso operacional en los últimos cinco (5) años.</w:t>
      </w:r>
    </w:p>
  </w:footnote>
  <w:footnote w:id="7">
    <w:p w14:paraId="2EF0FC82" w14:textId="77777777" w:rsidR="0042187B" w:rsidRPr="0077368F" w:rsidRDefault="0042187B" w:rsidP="0042187B">
      <w:pPr>
        <w:pStyle w:val="Textonotapie"/>
        <w:ind w:firstLine="708"/>
        <w:jc w:val="both"/>
        <w:rPr>
          <w:rFonts w:ascii="Arial" w:hAnsi="Arial" w:cs="Arial"/>
          <w:sz w:val="19"/>
          <w:szCs w:val="19"/>
          <w:lang w:val="es-CO"/>
        </w:rPr>
      </w:pPr>
      <w:r w:rsidRPr="0077368F">
        <w:rPr>
          <w:rStyle w:val="Refdenotaalpie"/>
          <w:rFonts w:ascii="Arial" w:hAnsi="Arial" w:cs="Arial"/>
          <w:sz w:val="19"/>
          <w:szCs w:val="19"/>
        </w:rPr>
        <w:footnoteRef/>
      </w:r>
      <w:r w:rsidRPr="0077368F">
        <w:rPr>
          <w:rFonts w:ascii="Arial" w:hAnsi="Arial" w:cs="Arial"/>
          <w:sz w:val="19"/>
          <w:szCs w:val="19"/>
        </w:rPr>
        <w:t xml:space="preserve"> Agencia Nacional de Contratación Pública – Colombia Compra Eficiente. Guía para Determinar y Verificar la Capacidad Residual del Proponente en los Procesos de Contratación de Obra Pública. 2017. </w:t>
      </w:r>
      <w:proofErr w:type="spellStart"/>
      <w:r w:rsidRPr="0077368F">
        <w:rPr>
          <w:rFonts w:ascii="Arial" w:hAnsi="Arial" w:cs="Arial"/>
          <w:sz w:val="19"/>
          <w:szCs w:val="19"/>
        </w:rPr>
        <w:t>Pág</w:t>
      </w:r>
      <w:proofErr w:type="spellEnd"/>
      <w:r w:rsidRPr="0077368F">
        <w:rPr>
          <w:rFonts w:ascii="Arial" w:hAnsi="Arial" w:cs="Arial"/>
          <w:sz w:val="19"/>
          <w:szCs w:val="19"/>
        </w:rPr>
        <w:t xml:space="preserve"> 4. Disponible en: </w:t>
      </w:r>
      <w:hyperlink r:id="rId2" w:history="1">
        <w:r w:rsidRPr="0077368F">
          <w:rPr>
            <w:rStyle w:val="Hipervnculo"/>
            <w:rFonts w:ascii="Arial" w:hAnsi="Arial" w:cs="Arial"/>
            <w:color w:val="auto"/>
            <w:sz w:val="19"/>
            <w:szCs w:val="19"/>
          </w:rPr>
          <w:t>https://colombiacompra.gov.co/sites/cce_public/files/cce_documents/cce_guia_capacidad_residual.pdf</w:t>
        </w:r>
      </w:hyperlink>
      <w:r w:rsidRPr="0077368F">
        <w:rPr>
          <w:rFonts w:ascii="Arial" w:hAnsi="Arial" w:cs="Arial"/>
          <w:sz w:val="19"/>
          <w:szCs w:val="19"/>
        </w:rPr>
        <w:t xml:space="preserve"> </w:t>
      </w:r>
    </w:p>
  </w:footnote>
  <w:footnote w:id="8">
    <w:p w14:paraId="6E13D90C" w14:textId="77777777" w:rsidR="0042187B" w:rsidRPr="0077368F" w:rsidRDefault="0042187B" w:rsidP="0042187B">
      <w:pPr>
        <w:pStyle w:val="Textonotapie"/>
        <w:ind w:firstLine="708"/>
        <w:jc w:val="both"/>
        <w:rPr>
          <w:rFonts w:ascii="Arial" w:hAnsi="Arial" w:cs="Arial"/>
          <w:sz w:val="19"/>
          <w:szCs w:val="19"/>
        </w:rPr>
      </w:pPr>
      <w:r w:rsidRPr="00DC3B79">
        <w:rPr>
          <w:rStyle w:val="Refdenotaalpie"/>
          <w:rFonts w:ascii="Arial" w:hAnsi="Arial" w:cs="Arial"/>
          <w:sz w:val="19"/>
          <w:szCs w:val="19"/>
        </w:rPr>
        <w:footnoteRef/>
      </w:r>
      <w:r w:rsidRPr="00DC3B79">
        <w:rPr>
          <w:rFonts w:ascii="Arial" w:hAnsi="Arial" w:cs="Arial"/>
          <w:sz w:val="19"/>
          <w:szCs w:val="19"/>
        </w:rPr>
        <w:t xml:space="preserve"> Con excepción de los procesos de mínima cuantía en los que según el literal d</w:t>
      </w:r>
      <w:r w:rsidRPr="0077368F">
        <w:rPr>
          <w:rFonts w:ascii="Arial" w:hAnsi="Arial" w:cs="Arial"/>
          <w:sz w:val="19"/>
          <w:szCs w:val="19"/>
        </w:rPr>
        <w:t>) del artículo 2-.5 de la Ley 1150 de 2007: «La comunicación de aceptación junto con la oferta constituye para todos los efectos el contrato celebrado, con base en lo cual se efectuará el respectivo registro presupuestal […]».</w:t>
      </w:r>
    </w:p>
    <w:p w14:paraId="0A7A88B0" w14:textId="77777777" w:rsidR="0042187B" w:rsidRPr="0077368F" w:rsidRDefault="0042187B" w:rsidP="0042187B">
      <w:pPr>
        <w:pStyle w:val="Textonotapie"/>
        <w:ind w:firstLine="708"/>
        <w:rPr>
          <w:rFonts w:ascii="Arial" w:hAnsi="Arial" w:cs="Arial"/>
          <w:sz w:val="19"/>
          <w:szCs w:val="19"/>
        </w:rPr>
      </w:pPr>
      <w:r w:rsidRPr="0077368F">
        <w:rPr>
          <w:rFonts w:ascii="Arial" w:hAnsi="Arial" w:cs="Arial"/>
          <w:sz w:val="19"/>
          <w:szCs w:val="19"/>
        </w:rPr>
        <w:t xml:space="preserve">  </w:t>
      </w:r>
    </w:p>
  </w:footnote>
  <w:footnote w:id="9">
    <w:p w14:paraId="19DA8E00" w14:textId="77777777" w:rsidR="0042187B" w:rsidRPr="0077368F" w:rsidRDefault="0042187B" w:rsidP="0042187B">
      <w:pPr>
        <w:pStyle w:val="Textonotapie"/>
        <w:ind w:firstLine="708"/>
        <w:jc w:val="both"/>
        <w:rPr>
          <w:rFonts w:ascii="Arial" w:hAnsi="Arial" w:cs="Arial"/>
          <w:sz w:val="19"/>
          <w:szCs w:val="19"/>
        </w:rPr>
      </w:pPr>
      <w:r w:rsidRPr="0077368F">
        <w:rPr>
          <w:rStyle w:val="Refdenotaalpie"/>
          <w:rFonts w:ascii="Arial" w:hAnsi="Arial" w:cs="Arial"/>
          <w:sz w:val="19"/>
          <w:szCs w:val="19"/>
        </w:rPr>
        <w:footnoteRef/>
      </w:r>
      <w:r w:rsidRPr="0077368F">
        <w:rPr>
          <w:rFonts w:ascii="Arial" w:hAnsi="Arial" w:cs="Arial"/>
          <w:sz w:val="19"/>
          <w:szCs w:val="19"/>
        </w:rPr>
        <w:t xml:space="preserve"> Ley 80 de 1993: «Artículo 41. Del perfeccionamiento del contrato. Los contratos del Estado se perfeccionan cuando se logre acuerdo sobre el objeto y la contraprestación y éste se eleve a escrito.</w:t>
      </w:r>
    </w:p>
    <w:p w14:paraId="7086431B" w14:textId="77777777" w:rsidR="0042187B" w:rsidRPr="0077368F" w:rsidRDefault="0042187B" w:rsidP="0042187B">
      <w:pPr>
        <w:pStyle w:val="Textonotapie"/>
        <w:ind w:firstLine="708"/>
        <w:jc w:val="both"/>
        <w:rPr>
          <w:rFonts w:ascii="Arial" w:hAnsi="Arial" w:cs="Arial"/>
          <w:sz w:val="19"/>
          <w:szCs w:val="19"/>
        </w:rPr>
      </w:pPr>
      <w:r w:rsidRPr="0077368F">
        <w:rPr>
          <w:rFonts w:ascii="Arial" w:hAnsi="Arial" w:cs="Arial"/>
          <w:sz w:val="19"/>
          <w:szCs w:val="19"/>
        </w:rPr>
        <w:t>»Para la ejecución se requerirá de la aprobación de la garantía y de la existencia de las disponibilidades presupuestales correspondientes, salvo que se trate de la contratación con recursos de vigencias fiscales futuras de conformidad con lo previsto en la ley orgánica del presupuesto. El proponente y el contratista deberán acreditar que se encuentran al día en el pago de aportes parafiscales relativos al Sistema de Seguridad Social Integral, así como los propios del Sena, ICBF y Cajas de Compensación Familiar, cuando corresponda.</w:t>
      </w:r>
    </w:p>
    <w:p w14:paraId="69C949FC" w14:textId="77777777" w:rsidR="0042187B" w:rsidRPr="0077368F" w:rsidRDefault="0042187B" w:rsidP="0042187B">
      <w:pPr>
        <w:pStyle w:val="Textonotapie"/>
        <w:ind w:firstLine="708"/>
        <w:jc w:val="both"/>
        <w:rPr>
          <w:rFonts w:ascii="Arial" w:hAnsi="Arial" w:cs="Arial"/>
          <w:sz w:val="19"/>
          <w:szCs w:val="19"/>
        </w:rPr>
      </w:pPr>
      <w:r w:rsidRPr="0077368F">
        <w:rPr>
          <w:rFonts w:ascii="Arial" w:hAnsi="Arial" w:cs="Arial"/>
          <w:sz w:val="19"/>
          <w:szCs w:val="19"/>
        </w:rPr>
        <w:t xml:space="preserve">»Los contratos estatales son intuito </w:t>
      </w:r>
      <w:proofErr w:type="spellStart"/>
      <w:r w:rsidRPr="0077368F">
        <w:rPr>
          <w:rFonts w:ascii="Arial" w:hAnsi="Arial" w:cs="Arial"/>
          <w:sz w:val="19"/>
          <w:szCs w:val="19"/>
        </w:rPr>
        <w:t>personae</w:t>
      </w:r>
      <w:proofErr w:type="spellEnd"/>
      <w:r w:rsidRPr="0077368F">
        <w:rPr>
          <w:rFonts w:ascii="Arial" w:hAnsi="Arial" w:cs="Arial"/>
          <w:sz w:val="19"/>
          <w:szCs w:val="19"/>
        </w:rPr>
        <w:t xml:space="preserve"> &lt;sic&gt; y, en consecuencia, una vez celebrados no podrán cederse sin previa autorización escrita de la entidad contratante.</w:t>
      </w:r>
    </w:p>
    <w:p w14:paraId="6A282707" w14:textId="77777777" w:rsidR="0042187B" w:rsidRPr="0077368F" w:rsidRDefault="0042187B" w:rsidP="0042187B">
      <w:pPr>
        <w:pStyle w:val="Textonotapie"/>
        <w:ind w:firstLine="708"/>
        <w:jc w:val="both"/>
        <w:rPr>
          <w:rFonts w:ascii="Arial" w:hAnsi="Arial" w:cs="Arial"/>
          <w:sz w:val="19"/>
          <w:szCs w:val="19"/>
        </w:rPr>
      </w:pPr>
      <w:r w:rsidRPr="0077368F">
        <w:rPr>
          <w:rFonts w:ascii="Arial" w:hAnsi="Arial" w:cs="Arial"/>
          <w:sz w:val="19"/>
          <w:szCs w:val="19"/>
        </w:rPr>
        <w:t>»En caso de situaciones de urgencia manifiesta a que se refiere el artículo 42 de esta ley que no permitan la suscripción de contrato escrito, se prescindirá de éste y aún del acuerdo acerca de la remuneración, no obstante, deberá dejarse constancia escrita de la autorización impartida por la entidad estatal contratante.</w:t>
      </w:r>
    </w:p>
    <w:p w14:paraId="216E399F" w14:textId="77777777" w:rsidR="0042187B" w:rsidRPr="0077368F" w:rsidRDefault="0042187B" w:rsidP="0042187B">
      <w:pPr>
        <w:pStyle w:val="Textonotapie"/>
        <w:ind w:firstLine="708"/>
        <w:jc w:val="both"/>
        <w:rPr>
          <w:rFonts w:ascii="Arial" w:hAnsi="Arial" w:cs="Arial"/>
          <w:sz w:val="19"/>
          <w:szCs w:val="19"/>
        </w:rPr>
      </w:pPr>
      <w:r w:rsidRPr="0077368F">
        <w:rPr>
          <w:rFonts w:ascii="Arial" w:hAnsi="Arial" w:cs="Arial"/>
          <w:sz w:val="19"/>
          <w:szCs w:val="19"/>
        </w:rPr>
        <w:t>»A falta de acuerdo previo sobre la remuneración de que trata el inciso anterior, la contraprestación económica se acordará con posterioridad al inicio de la ejecución de lo contratado. Si no se lograre el acuerdo, la contraprestación será determinada por el justiprecio objetivo de la entidad u organismo respectivo que tenga el carácter de cuerpo consultivo del Gobierno y, a falta de éste, por un perito designado por las partes».</w:t>
      </w:r>
    </w:p>
    <w:p w14:paraId="1CA548D4" w14:textId="77777777" w:rsidR="0042187B" w:rsidRPr="0077368F" w:rsidRDefault="0042187B" w:rsidP="0042187B">
      <w:pPr>
        <w:pStyle w:val="Textonotapie"/>
        <w:ind w:firstLine="708"/>
        <w:jc w:val="both"/>
        <w:rPr>
          <w:rFonts w:ascii="Arial" w:hAnsi="Arial" w:cs="Arial"/>
          <w:sz w:val="19"/>
          <w:szCs w:val="19"/>
          <w:lang w:val="es-ES"/>
        </w:rPr>
      </w:pPr>
    </w:p>
  </w:footnote>
  <w:footnote w:id="10">
    <w:p w14:paraId="0BE7AC1C" w14:textId="77777777" w:rsidR="0042187B" w:rsidRPr="0077368F" w:rsidRDefault="0042187B" w:rsidP="0042187B">
      <w:pPr>
        <w:ind w:firstLine="708"/>
        <w:contextualSpacing/>
        <w:jc w:val="both"/>
        <w:rPr>
          <w:rFonts w:ascii="Arial" w:hAnsi="Arial" w:cs="Arial"/>
          <w:sz w:val="19"/>
          <w:szCs w:val="19"/>
          <w:lang w:val="es-ES"/>
        </w:rPr>
      </w:pPr>
      <w:r w:rsidRPr="0077368F">
        <w:rPr>
          <w:rStyle w:val="Refdenotaalpie"/>
          <w:rFonts w:ascii="Arial" w:hAnsi="Arial" w:cs="Arial"/>
          <w:sz w:val="19"/>
          <w:szCs w:val="19"/>
        </w:rPr>
        <w:footnoteRef/>
      </w:r>
      <w:r w:rsidRPr="0077368F">
        <w:rPr>
          <w:rFonts w:ascii="Arial" w:hAnsi="Arial" w:cs="Arial"/>
          <w:sz w:val="19"/>
          <w:szCs w:val="19"/>
        </w:rPr>
        <w:t xml:space="preserve"> </w:t>
      </w:r>
      <w:r w:rsidRPr="0077368F">
        <w:rPr>
          <w:rFonts w:ascii="Arial" w:eastAsia="Calibri" w:hAnsi="Arial" w:cs="Arial"/>
          <w:sz w:val="19"/>
          <w:szCs w:val="19"/>
        </w:rPr>
        <w:t xml:space="preserve">El Consejo de Estado se pronunció sobre la solemnidad del contrato estatal y la imposibilidad de modificarla por voluntad de sus destinatarios: ”Pues bien, de acuerdo con lo dispuesto en los artículos 39 y 41 de la Ley 80 de 1993 los contratos estatales son solemnes puesto que su perfeccionamiento exige la solemnidad del escrito, excepción hecha de ciertos eventos de urgencia manifiesta en que el contrato se torna consensual ante la imposibilidad de cumplir con la exigencia de la solemnidad del escrito (Ley 80 de 1993 artículo 41 inciso 4º). En los demás casos de urgencia manifiesta, que no queden comprendidos en esta hipótesis, la solemnidad del escrito se sujeta a la regla general expuesta. No se olvide que las normas que exigen solemnidades constitutivas son de orden público e imperativas y por lo tanto inmodificables e inderogables por el querer de sus destinatarios. En consecuencia, sus destinatarios, es decir todos los que pretendan intervenir en la celebración de un contrato estatal, tienen el deber de acatar la exigencia legal del escrito para perfeccionar». </w:t>
      </w:r>
      <w:r w:rsidRPr="0077368F">
        <w:rPr>
          <w:rFonts w:ascii="Arial" w:hAnsi="Arial" w:cs="Arial"/>
          <w:sz w:val="19"/>
          <w:szCs w:val="19"/>
        </w:rPr>
        <w:t xml:space="preserve">Consejo de Estado. Sección tercera. Sentencia del 18 de mayo de 2017. </w:t>
      </w:r>
      <w:proofErr w:type="spellStart"/>
      <w:r w:rsidRPr="0077368F">
        <w:rPr>
          <w:rFonts w:ascii="Arial" w:hAnsi="Arial" w:cs="Arial"/>
          <w:sz w:val="19"/>
          <w:szCs w:val="19"/>
        </w:rPr>
        <w:t>Exp</w:t>
      </w:r>
      <w:proofErr w:type="spellEnd"/>
      <w:r w:rsidRPr="0077368F">
        <w:rPr>
          <w:rFonts w:ascii="Arial" w:hAnsi="Arial" w:cs="Arial"/>
          <w:sz w:val="19"/>
          <w:szCs w:val="19"/>
        </w:rPr>
        <w:t xml:space="preserve">. 48.396. C.P. Jaime Orlando Santofimio Gamboa. </w:t>
      </w:r>
    </w:p>
  </w:footnote>
  <w:footnote w:id="11">
    <w:p w14:paraId="76A35187" w14:textId="1F6D190B" w:rsidR="00674878" w:rsidRPr="0077368F" w:rsidRDefault="00674878" w:rsidP="0077368F">
      <w:pPr>
        <w:pStyle w:val="Textonotapie"/>
        <w:ind w:firstLine="708"/>
        <w:jc w:val="both"/>
        <w:rPr>
          <w:rFonts w:ascii="Arial" w:hAnsi="Arial" w:cs="Arial"/>
          <w:sz w:val="19"/>
          <w:szCs w:val="19"/>
        </w:rPr>
      </w:pPr>
      <w:r w:rsidRPr="0077368F">
        <w:rPr>
          <w:rStyle w:val="Refdenotaalpie"/>
          <w:rFonts w:ascii="Arial" w:hAnsi="Arial" w:cs="Arial"/>
          <w:sz w:val="19"/>
          <w:szCs w:val="19"/>
        </w:rPr>
        <w:footnoteRef/>
      </w:r>
      <w:r w:rsidRPr="0077368F">
        <w:rPr>
          <w:rFonts w:ascii="Arial" w:hAnsi="Arial" w:cs="Arial"/>
          <w:sz w:val="19"/>
          <w:szCs w:val="19"/>
        </w:rPr>
        <w:t xml:space="preserve"> Los mencionados y los demás documentos tipo expedidos por la Agencia Nacional de Contratación Pública –Colombia Compra Eficiente–</w:t>
      </w:r>
      <w:r w:rsidR="00983697" w:rsidRPr="0077368F">
        <w:rPr>
          <w:rFonts w:ascii="Arial" w:hAnsi="Arial" w:cs="Arial"/>
          <w:sz w:val="19"/>
          <w:szCs w:val="19"/>
        </w:rPr>
        <w:t xml:space="preserve"> pueden ser consultados en el siguiente enlace: </w:t>
      </w:r>
      <w:hyperlink r:id="rId3" w:history="1">
        <w:r w:rsidR="00983697" w:rsidRPr="0077368F">
          <w:rPr>
            <w:rStyle w:val="Hipervnculo"/>
            <w:rFonts w:ascii="Arial" w:hAnsi="Arial" w:cs="Arial"/>
            <w:color w:val="auto"/>
            <w:sz w:val="19"/>
            <w:szCs w:val="19"/>
          </w:rPr>
          <w:t>https://www.colombiacompra.gov.co/documentos-tipo/documentos-tipo</w:t>
        </w:r>
      </w:hyperlink>
      <w:r w:rsidRPr="0077368F">
        <w:rPr>
          <w:rFonts w:ascii="Arial" w:hAnsi="Arial" w:cs="Arial"/>
          <w:sz w:val="19"/>
          <w:szCs w:val="19"/>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3AFE6A3D" w:rsidR="00E2520A" w:rsidRDefault="00E2520A">
    <w:pPr>
      <w:pStyle w:val="Encabezado"/>
    </w:pPr>
  </w:p>
  <w:p w14:paraId="2A80E31D" w14:textId="77777777" w:rsidR="00E2520A" w:rsidRDefault="00E2520A"/>
  <w:p w14:paraId="5DBE9C96" w14:textId="4EE0D645" w:rsidR="00E2520A" w:rsidRDefault="00207C1E" w:rsidP="00207C1E">
    <w:pPr>
      <w:jc w:val="right"/>
    </w:pPr>
    <w:r w:rsidRPr="00207C1E">
      <w:rPr>
        <w:noProof/>
        <w:lang w:eastAsia="es-CO"/>
      </w:rPr>
      <w:drawing>
        <wp:inline distT="0" distB="0" distL="0" distR="0" wp14:anchorId="2288FA4C" wp14:editId="7BF6F84B">
          <wp:extent cx="1752600" cy="711200"/>
          <wp:effectExtent l="0" t="0" r="0" b="0"/>
          <wp:docPr id="46" name="Imagen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752600" cy="7112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E51AD"/>
    <w:multiLevelType w:val="hybridMultilevel"/>
    <w:tmpl w:val="BA722234"/>
    <w:lvl w:ilvl="0" w:tplc="1D4060DE">
      <w:start w:val="1"/>
      <w:numFmt w:val="decimal"/>
      <w:pStyle w:val="Capitulo8"/>
      <w:lvlText w:val="8.%1."/>
      <w:lvlJc w:val="left"/>
      <w:pPr>
        <w:ind w:left="1004" w:hanging="360"/>
      </w:pPr>
    </w:lvl>
    <w:lvl w:ilvl="1" w:tplc="240A0019">
      <w:start w:val="1"/>
      <w:numFmt w:val="lowerLetter"/>
      <w:lvlText w:val="%2."/>
      <w:lvlJc w:val="left"/>
      <w:pPr>
        <w:ind w:left="1724" w:hanging="360"/>
      </w:pPr>
    </w:lvl>
    <w:lvl w:ilvl="2" w:tplc="240A001B">
      <w:start w:val="1"/>
      <w:numFmt w:val="lowerRoman"/>
      <w:lvlText w:val="%3."/>
      <w:lvlJc w:val="right"/>
      <w:pPr>
        <w:ind w:left="2444" w:hanging="180"/>
      </w:pPr>
    </w:lvl>
    <w:lvl w:ilvl="3" w:tplc="240A000F">
      <w:start w:val="1"/>
      <w:numFmt w:val="decimal"/>
      <w:lvlText w:val="%4."/>
      <w:lvlJc w:val="left"/>
      <w:pPr>
        <w:ind w:left="3164" w:hanging="360"/>
      </w:pPr>
    </w:lvl>
    <w:lvl w:ilvl="4" w:tplc="240A0019">
      <w:start w:val="1"/>
      <w:numFmt w:val="lowerLetter"/>
      <w:lvlText w:val="%5."/>
      <w:lvlJc w:val="left"/>
      <w:pPr>
        <w:ind w:left="3884" w:hanging="360"/>
      </w:pPr>
    </w:lvl>
    <w:lvl w:ilvl="5" w:tplc="240A001B">
      <w:start w:val="1"/>
      <w:numFmt w:val="lowerRoman"/>
      <w:lvlText w:val="%6."/>
      <w:lvlJc w:val="right"/>
      <w:pPr>
        <w:ind w:left="4604" w:hanging="180"/>
      </w:pPr>
    </w:lvl>
    <w:lvl w:ilvl="6" w:tplc="240A000F">
      <w:start w:val="1"/>
      <w:numFmt w:val="decimal"/>
      <w:lvlText w:val="%7."/>
      <w:lvlJc w:val="left"/>
      <w:pPr>
        <w:ind w:left="5324" w:hanging="360"/>
      </w:pPr>
    </w:lvl>
    <w:lvl w:ilvl="7" w:tplc="240A0019">
      <w:start w:val="1"/>
      <w:numFmt w:val="lowerLetter"/>
      <w:lvlText w:val="%8."/>
      <w:lvlJc w:val="left"/>
      <w:pPr>
        <w:ind w:left="6044" w:hanging="360"/>
      </w:pPr>
    </w:lvl>
    <w:lvl w:ilvl="8" w:tplc="240A001B">
      <w:start w:val="1"/>
      <w:numFmt w:val="lowerRoman"/>
      <w:lvlText w:val="%9."/>
      <w:lvlJc w:val="right"/>
      <w:pPr>
        <w:ind w:left="6764" w:hanging="180"/>
      </w:pPr>
    </w:lvl>
  </w:abstractNum>
  <w:abstractNum w:abstractNumId="1" w15:restartNumberingAfterBreak="0">
    <w:nsid w:val="00BB42F9"/>
    <w:multiLevelType w:val="hybridMultilevel"/>
    <w:tmpl w:val="F52E8786"/>
    <w:lvl w:ilvl="0" w:tplc="240A0013">
      <w:start w:val="1"/>
      <w:numFmt w:val="upperRoman"/>
      <w:lvlText w:val="%1."/>
      <w:lvlJc w:val="righ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171731F"/>
    <w:multiLevelType w:val="multilevel"/>
    <w:tmpl w:val="583EADE0"/>
    <w:lvl w:ilvl="0">
      <w:start w:val="2"/>
      <w:numFmt w:val="decimal"/>
      <w:lvlText w:val="%1."/>
      <w:lvlJc w:val="left"/>
      <w:pPr>
        <w:ind w:left="367" w:hanging="367"/>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1C06310"/>
    <w:multiLevelType w:val="multilevel"/>
    <w:tmpl w:val="25FEEF8E"/>
    <w:lvl w:ilvl="0">
      <w:start w:val="1"/>
      <w:numFmt w:val="decimal"/>
      <w:lvlText w:val="%1."/>
      <w:lvlJc w:val="left"/>
      <w:pPr>
        <w:ind w:left="360"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4" w15:restartNumberingAfterBreak="0">
    <w:nsid w:val="083C191B"/>
    <w:multiLevelType w:val="hybridMultilevel"/>
    <w:tmpl w:val="915E5EF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09540ACA"/>
    <w:multiLevelType w:val="hybridMultilevel"/>
    <w:tmpl w:val="57327B6C"/>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6" w15:restartNumberingAfterBreak="0">
    <w:nsid w:val="0D827428"/>
    <w:multiLevelType w:val="hybridMultilevel"/>
    <w:tmpl w:val="C5828120"/>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7"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8"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9"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12"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2EDC5E4E"/>
    <w:multiLevelType w:val="hybridMultilevel"/>
    <w:tmpl w:val="B32A09AC"/>
    <w:lvl w:ilvl="0" w:tplc="240A0019">
      <w:start w:val="1"/>
      <w:numFmt w:val="lowerLetter"/>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14"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35221FE2"/>
    <w:multiLevelType w:val="hybridMultilevel"/>
    <w:tmpl w:val="D9B8E200"/>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37876856"/>
    <w:multiLevelType w:val="hybridMultilevel"/>
    <w:tmpl w:val="5C1C2D84"/>
    <w:lvl w:ilvl="0" w:tplc="83561260">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9" w15:restartNumberingAfterBreak="0">
    <w:nsid w:val="38042E47"/>
    <w:multiLevelType w:val="hybridMultilevel"/>
    <w:tmpl w:val="E162306E"/>
    <w:lvl w:ilvl="0" w:tplc="D248C2F6">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0"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21" w15:restartNumberingAfterBreak="0">
    <w:nsid w:val="3FF56725"/>
    <w:multiLevelType w:val="hybridMultilevel"/>
    <w:tmpl w:val="CD9EC042"/>
    <w:lvl w:ilvl="0" w:tplc="4B7C50CA">
      <w:start w:val="1"/>
      <w:numFmt w:val="upperLetter"/>
      <w:lvlText w:val="%1."/>
      <w:lvlJc w:val="left"/>
      <w:pPr>
        <w:ind w:left="710" w:hanging="71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22" w15:restartNumberingAfterBreak="0">
    <w:nsid w:val="405413EB"/>
    <w:multiLevelType w:val="hybridMultilevel"/>
    <w:tmpl w:val="58A4F990"/>
    <w:lvl w:ilvl="0" w:tplc="C3CAD0BC">
      <w:start w:val="1"/>
      <w:numFmt w:val="lowerRoman"/>
      <w:lvlText w:val="%1)"/>
      <w:lvlJc w:val="left"/>
      <w:pPr>
        <w:ind w:left="1430" w:hanging="720"/>
      </w:pPr>
      <w:rPr>
        <w:rFonts w:hint="default"/>
      </w:rPr>
    </w:lvl>
    <w:lvl w:ilvl="1" w:tplc="240A0019" w:tentative="1">
      <w:start w:val="1"/>
      <w:numFmt w:val="lowerLetter"/>
      <w:lvlText w:val="%2."/>
      <w:lvlJc w:val="left"/>
      <w:pPr>
        <w:ind w:left="1790" w:hanging="360"/>
      </w:pPr>
    </w:lvl>
    <w:lvl w:ilvl="2" w:tplc="240A001B" w:tentative="1">
      <w:start w:val="1"/>
      <w:numFmt w:val="lowerRoman"/>
      <w:lvlText w:val="%3."/>
      <w:lvlJc w:val="right"/>
      <w:pPr>
        <w:ind w:left="2510" w:hanging="180"/>
      </w:pPr>
    </w:lvl>
    <w:lvl w:ilvl="3" w:tplc="240A000F" w:tentative="1">
      <w:start w:val="1"/>
      <w:numFmt w:val="decimal"/>
      <w:lvlText w:val="%4."/>
      <w:lvlJc w:val="left"/>
      <w:pPr>
        <w:ind w:left="3230" w:hanging="360"/>
      </w:pPr>
    </w:lvl>
    <w:lvl w:ilvl="4" w:tplc="240A0019" w:tentative="1">
      <w:start w:val="1"/>
      <w:numFmt w:val="lowerLetter"/>
      <w:lvlText w:val="%5."/>
      <w:lvlJc w:val="left"/>
      <w:pPr>
        <w:ind w:left="3950" w:hanging="360"/>
      </w:pPr>
    </w:lvl>
    <w:lvl w:ilvl="5" w:tplc="240A001B" w:tentative="1">
      <w:start w:val="1"/>
      <w:numFmt w:val="lowerRoman"/>
      <w:lvlText w:val="%6."/>
      <w:lvlJc w:val="right"/>
      <w:pPr>
        <w:ind w:left="4670" w:hanging="180"/>
      </w:pPr>
    </w:lvl>
    <w:lvl w:ilvl="6" w:tplc="240A000F" w:tentative="1">
      <w:start w:val="1"/>
      <w:numFmt w:val="decimal"/>
      <w:lvlText w:val="%7."/>
      <w:lvlJc w:val="left"/>
      <w:pPr>
        <w:ind w:left="5390" w:hanging="360"/>
      </w:pPr>
    </w:lvl>
    <w:lvl w:ilvl="7" w:tplc="240A0019" w:tentative="1">
      <w:start w:val="1"/>
      <w:numFmt w:val="lowerLetter"/>
      <w:lvlText w:val="%8."/>
      <w:lvlJc w:val="left"/>
      <w:pPr>
        <w:ind w:left="6110" w:hanging="360"/>
      </w:pPr>
    </w:lvl>
    <w:lvl w:ilvl="8" w:tplc="240A001B" w:tentative="1">
      <w:start w:val="1"/>
      <w:numFmt w:val="lowerRoman"/>
      <w:lvlText w:val="%9."/>
      <w:lvlJc w:val="right"/>
      <w:pPr>
        <w:ind w:left="6830" w:hanging="180"/>
      </w:pPr>
    </w:lvl>
  </w:abstractNum>
  <w:abstractNum w:abstractNumId="23"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42D93A5B"/>
    <w:multiLevelType w:val="hybridMultilevel"/>
    <w:tmpl w:val="24AADEA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5"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7" w15:restartNumberingAfterBreak="0">
    <w:nsid w:val="4CB8710A"/>
    <w:multiLevelType w:val="hybridMultilevel"/>
    <w:tmpl w:val="8F52BE52"/>
    <w:lvl w:ilvl="0" w:tplc="A1721734">
      <w:start w:val="1"/>
      <w:numFmt w:val="lowerRoman"/>
      <w:lvlText w:val="%1)"/>
      <w:lvlJc w:val="left"/>
      <w:pPr>
        <w:ind w:left="1428" w:hanging="72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28"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89102F8"/>
    <w:multiLevelType w:val="hybridMultilevel"/>
    <w:tmpl w:val="13E22D70"/>
    <w:lvl w:ilvl="0" w:tplc="B84854D0">
      <w:start w:val="1"/>
      <w:numFmt w:val="bullet"/>
      <w:lvlText w:val="-"/>
      <w:lvlJc w:val="left"/>
      <w:pPr>
        <w:ind w:left="1069" w:hanging="360"/>
      </w:pPr>
      <w:rPr>
        <w:rFonts w:ascii="Arial" w:eastAsia="Calibri" w:hAnsi="Arial" w:cs="Arial" w:hint="default"/>
      </w:rPr>
    </w:lvl>
    <w:lvl w:ilvl="1" w:tplc="240A0003" w:tentative="1">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30"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31"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2" w15:restartNumberingAfterBreak="0">
    <w:nsid w:val="5B6D321F"/>
    <w:multiLevelType w:val="hybridMultilevel"/>
    <w:tmpl w:val="CA3C115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3" w15:restartNumberingAfterBreak="0">
    <w:nsid w:val="60090DB1"/>
    <w:multiLevelType w:val="hybridMultilevel"/>
    <w:tmpl w:val="078E2E72"/>
    <w:lvl w:ilvl="0" w:tplc="30687C90">
      <w:start w:val="1"/>
      <w:numFmt w:val="lowerRoman"/>
      <w:lvlText w:val="%1)"/>
      <w:lvlJc w:val="left"/>
      <w:pPr>
        <w:ind w:left="1427" w:hanging="720"/>
      </w:pPr>
      <w:rPr>
        <w:rFonts w:hint="default"/>
      </w:rPr>
    </w:lvl>
    <w:lvl w:ilvl="1" w:tplc="080A0019" w:tentative="1">
      <w:start w:val="1"/>
      <w:numFmt w:val="lowerLetter"/>
      <w:lvlText w:val="%2."/>
      <w:lvlJc w:val="left"/>
      <w:pPr>
        <w:ind w:left="1787" w:hanging="360"/>
      </w:pPr>
    </w:lvl>
    <w:lvl w:ilvl="2" w:tplc="080A001B" w:tentative="1">
      <w:start w:val="1"/>
      <w:numFmt w:val="lowerRoman"/>
      <w:lvlText w:val="%3."/>
      <w:lvlJc w:val="right"/>
      <w:pPr>
        <w:ind w:left="2507" w:hanging="180"/>
      </w:pPr>
    </w:lvl>
    <w:lvl w:ilvl="3" w:tplc="080A000F" w:tentative="1">
      <w:start w:val="1"/>
      <w:numFmt w:val="decimal"/>
      <w:lvlText w:val="%4."/>
      <w:lvlJc w:val="left"/>
      <w:pPr>
        <w:ind w:left="3227" w:hanging="360"/>
      </w:pPr>
    </w:lvl>
    <w:lvl w:ilvl="4" w:tplc="080A0019" w:tentative="1">
      <w:start w:val="1"/>
      <w:numFmt w:val="lowerLetter"/>
      <w:lvlText w:val="%5."/>
      <w:lvlJc w:val="left"/>
      <w:pPr>
        <w:ind w:left="3947" w:hanging="360"/>
      </w:pPr>
    </w:lvl>
    <w:lvl w:ilvl="5" w:tplc="080A001B" w:tentative="1">
      <w:start w:val="1"/>
      <w:numFmt w:val="lowerRoman"/>
      <w:lvlText w:val="%6."/>
      <w:lvlJc w:val="right"/>
      <w:pPr>
        <w:ind w:left="4667" w:hanging="180"/>
      </w:pPr>
    </w:lvl>
    <w:lvl w:ilvl="6" w:tplc="080A000F" w:tentative="1">
      <w:start w:val="1"/>
      <w:numFmt w:val="decimal"/>
      <w:lvlText w:val="%7."/>
      <w:lvlJc w:val="left"/>
      <w:pPr>
        <w:ind w:left="5387" w:hanging="360"/>
      </w:pPr>
    </w:lvl>
    <w:lvl w:ilvl="7" w:tplc="080A0019" w:tentative="1">
      <w:start w:val="1"/>
      <w:numFmt w:val="lowerLetter"/>
      <w:lvlText w:val="%8."/>
      <w:lvlJc w:val="left"/>
      <w:pPr>
        <w:ind w:left="6107" w:hanging="360"/>
      </w:pPr>
    </w:lvl>
    <w:lvl w:ilvl="8" w:tplc="080A001B" w:tentative="1">
      <w:start w:val="1"/>
      <w:numFmt w:val="lowerRoman"/>
      <w:lvlText w:val="%9."/>
      <w:lvlJc w:val="right"/>
      <w:pPr>
        <w:ind w:left="6827" w:hanging="180"/>
      </w:pPr>
    </w:lvl>
  </w:abstractNum>
  <w:abstractNum w:abstractNumId="34" w15:restartNumberingAfterBreak="0">
    <w:nsid w:val="67032B02"/>
    <w:multiLevelType w:val="hybridMultilevel"/>
    <w:tmpl w:val="593E1724"/>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35"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6"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37" w15:restartNumberingAfterBreak="0">
    <w:nsid w:val="6E521755"/>
    <w:multiLevelType w:val="hybridMultilevel"/>
    <w:tmpl w:val="4DCE2F3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8" w15:restartNumberingAfterBreak="0">
    <w:nsid w:val="6FE85965"/>
    <w:multiLevelType w:val="hybridMultilevel"/>
    <w:tmpl w:val="FC64532E"/>
    <w:lvl w:ilvl="0" w:tplc="AFC6ADA2">
      <w:start w:val="1"/>
      <w:numFmt w:val="decimal"/>
      <w:lvlText w:val="%1."/>
      <w:lvlJc w:val="left"/>
      <w:pPr>
        <w:ind w:left="7449" w:hanging="360"/>
      </w:pPr>
      <w:rPr>
        <w:rFonts w:hint="default"/>
      </w:rPr>
    </w:lvl>
    <w:lvl w:ilvl="1" w:tplc="240A0019">
      <w:start w:val="1"/>
      <w:numFmt w:val="lowerLetter"/>
      <w:lvlText w:val="%2."/>
      <w:lvlJc w:val="left"/>
      <w:pPr>
        <w:ind w:left="1364" w:hanging="360"/>
      </w:pPr>
    </w:lvl>
    <w:lvl w:ilvl="2" w:tplc="240A001B" w:tentative="1">
      <w:start w:val="1"/>
      <w:numFmt w:val="lowerRoman"/>
      <w:lvlText w:val="%3."/>
      <w:lvlJc w:val="right"/>
      <w:pPr>
        <w:ind w:left="2084" w:hanging="180"/>
      </w:pPr>
    </w:lvl>
    <w:lvl w:ilvl="3" w:tplc="240A000F" w:tentative="1">
      <w:start w:val="1"/>
      <w:numFmt w:val="decimal"/>
      <w:lvlText w:val="%4."/>
      <w:lvlJc w:val="left"/>
      <w:pPr>
        <w:ind w:left="2804" w:hanging="360"/>
      </w:pPr>
    </w:lvl>
    <w:lvl w:ilvl="4" w:tplc="240A0019" w:tentative="1">
      <w:start w:val="1"/>
      <w:numFmt w:val="lowerLetter"/>
      <w:lvlText w:val="%5."/>
      <w:lvlJc w:val="left"/>
      <w:pPr>
        <w:ind w:left="3524" w:hanging="360"/>
      </w:pPr>
    </w:lvl>
    <w:lvl w:ilvl="5" w:tplc="240A001B" w:tentative="1">
      <w:start w:val="1"/>
      <w:numFmt w:val="lowerRoman"/>
      <w:lvlText w:val="%6."/>
      <w:lvlJc w:val="right"/>
      <w:pPr>
        <w:ind w:left="4244" w:hanging="180"/>
      </w:pPr>
    </w:lvl>
    <w:lvl w:ilvl="6" w:tplc="240A000F" w:tentative="1">
      <w:start w:val="1"/>
      <w:numFmt w:val="decimal"/>
      <w:lvlText w:val="%7."/>
      <w:lvlJc w:val="left"/>
      <w:pPr>
        <w:ind w:left="4964" w:hanging="360"/>
      </w:pPr>
    </w:lvl>
    <w:lvl w:ilvl="7" w:tplc="240A0019" w:tentative="1">
      <w:start w:val="1"/>
      <w:numFmt w:val="lowerLetter"/>
      <w:lvlText w:val="%8."/>
      <w:lvlJc w:val="left"/>
      <w:pPr>
        <w:ind w:left="5684" w:hanging="360"/>
      </w:pPr>
    </w:lvl>
    <w:lvl w:ilvl="8" w:tplc="240A001B" w:tentative="1">
      <w:start w:val="1"/>
      <w:numFmt w:val="lowerRoman"/>
      <w:lvlText w:val="%9."/>
      <w:lvlJc w:val="right"/>
      <w:pPr>
        <w:ind w:left="6404" w:hanging="180"/>
      </w:pPr>
    </w:lvl>
  </w:abstractNum>
  <w:abstractNum w:abstractNumId="39"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40"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1" w15:restartNumberingAfterBreak="0">
    <w:nsid w:val="75434B71"/>
    <w:multiLevelType w:val="hybridMultilevel"/>
    <w:tmpl w:val="5E8A4876"/>
    <w:lvl w:ilvl="0" w:tplc="7C6481CE">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42" w15:restartNumberingAfterBreak="0">
    <w:nsid w:val="79B72D8C"/>
    <w:multiLevelType w:val="hybridMultilevel"/>
    <w:tmpl w:val="5EA43C4A"/>
    <w:lvl w:ilvl="0" w:tplc="C054F186">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43"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722679942">
    <w:abstractNumId w:val="16"/>
  </w:num>
  <w:num w:numId="2" w16cid:durableId="119080539">
    <w:abstractNumId w:val="14"/>
  </w:num>
  <w:num w:numId="3" w16cid:durableId="1441530593">
    <w:abstractNumId w:val="25"/>
  </w:num>
  <w:num w:numId="4" w16cid:durableId="1169295861">
    <w:abstractNumId w:val="30"/>
  </w:num>
  <w:num w:numId="5" w16cid:durableId="142627826">
    <w:abstractNumId w:val="36"/>
  </w:num>
  <w:num w:numId="6" w16cid:durableId="1701475106">
    <w:abstractNumId w:val="3"/>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28655389">
    <w:abstractNumId w:val="31"/>
  </w:num>
  <w:num w:numId="8" w16cid:durableId="1781292878">
    <w:abstractNumId w:val="3"/>
  </w:num>
  <w:num w:numId="9" w16cid:durableId="158889343">
    <w:abstractNumId w:val="9"/>
  </w:num>
  <w:num w:numId="10" w16cid:durableId="121172345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1311012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48739413">
    <w:abstractNumId w:val="15"/>
  </w:num>
  <w:num w:numId="13" w16cid:durableId="695811229">
    <w:abstractNumId w:val="23"/>
  </w:num>
  <w:num w:numId="14" w16cid:durableId="610934177">
    <w:abstractNumId w:val="12"/>
  </w:num>
  <w:num w:numId="15" w16cid:durableId="1305617514">
    <w:abstractNumId w:val="3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27940741">
    <w:abstractNumId w:val="4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19669796">
    <w:abstractNumId w:val="39"/>
  </w:num>
  <w:num w:numId="18" w16cid:durableId="1146973764">
    <w:abstractNumId w:val="26"/>
  </w:num>
  <w:num w:numId="19" w16cid:durableId="549264390">
    <w:abstractNumId w:val="8"/>
  </w:num>
  <w:num w:numId="20" w16cid:durableId="1866282227">
    <w:abstractNumId w:val="40"/>
  </w:num>
  <w:num w:numId="21" w16cid:durableId="1378698374">
    <w:abstractNumId w:val="28"/>
  </w:num>
  <w:num w:numId="22" w16cid:durableId="406072373">
    <w:abstractNumId w:val="11"/>
  </w:num>
  <w:num w:numId="23" w16cid:durableId="1415783004">
    <w:abstractNumId w:val="10"/>
  </w:num>
  <w:num w:numId="24" w16cid:durableId="807472355">
    <w:abstractNumId w:val="32"/>
  </w:num>
  <w:num w:numId="25" w16cid:durableId="162864425">
    <w:abstractNumId w:val="18"/>
  </w:num>
  <w:num w:numId="26" w16cid:durableId="832912129">
    <w:abstractNumId w:val="37"/>
  </w:num>
  <w:num w:numId="27" w16cid:durableId="75445714">
    <w:abstractNumId w:val="42"/>
  </w:num>
  <w:num w:numId="28" w16cid:durableId="458257235">
    <w:abstractNumId w:val="24"/>
  </w:num>
  <w:num w:numId="29" w16cid:durableId="986938113">
    <w:abstractNumId w:val="2"/>
  </w:num>
  <w:num w:numId="30" w16cid:durableId="1669399854">
    <w:abstractNumId w:val="27"/>
  </w:num>
  <w:num w:numId="31" w16cid:durableId="1899903193">
    <w:abstractNumId w:val="19"/>
  </w:num>
  <w:num w:numId="32" w16cid:durableId="1654943969">
    <w:abstractNumId w:val="29"/>
  </w:num>
  <w:num w:numId="33" w16cid:durableId="599721905">
    <w:abstractNumId w:val="41"/>
  </w:num>
  <w:num w:numId="34" w16cid:durableId="697042826">
    <w:abstractNumId w:val="17"/>
  </w:num>
  <w:num w:numId="35" w16cid:durableId="431978364">
    <w:abstractNumId w:val="1"/>
  </w:num>
  <w:num w:numId="36" w16cid:durableId="146272489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18759560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5194737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734767801">
    <w:abstractNumId w:val="6"/>
  </w:num>
  <w:num w:numId="40" w16cid:durableId="671371439">
    <w:abstractNumId w:val="22"/>
  </w:num>
  <w:num w:numId="41" w16cid:durableId="438524525">
    <w:abstractNumId w:val="0"/>
  </w:num>
  <w:num w:numId="42" w16cid:durableId="993950491">
    <w:abstractNumId w:val="34"/>
  </w:num>
  <w:num w:numId="43" w16cid:durableId="439031703">
    <w:abstractNumId w:val="33"/>
  </w:num>
  <w:num w:numId="44" w16cid:durableId="1539584378">
    <w:abstractNumId w:val="21"/>
  </w:num>
  <w:num w:numId="45" w16cid:durableId="615259259">
    <w:abstractNumId w:val="4"/>
  </w:num>
  <w:num w:numId="46" w16cid:durableId="299849860">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activeWritingStyle w:appName="MSWord" w:lang="pt-BR" w:vendorID="64" w:dllVersion="6" w:nlCheck="1" w:checkStyle="0"/>
  <w:activeWritingStyle w:appName="MSWord" w:lang="es-ES_tradnl" w:vendorID="64" w:dllVersion="6" w:nlCheck="1" w:checkStyle="0"/>
  <w:activeWritingStyle w:appName="MSWord" w:lang="es-CO" w:vendorID="64" w:dllVersion="6" w:nlCheck="1" w:checkStyle="0"/>
  <w:activeWritingStyle w:appName="MSWord" w:lang="es-MX" w:vendorID="64" w:dllVersion="6" w:nlCheck="1" w:checkStyle="0"/>
  <w:activeWritingStyle w:appName="MSWord" w:lang="es-ES" w:vendorID="64" w:dllVersion="6" w:nlCheck="1" w:checkStyle="0"/>
  <w:activeWritingStyle w:appName="MSWord" w:lang="es-ES" w:vendorID="64" w:dllVersion="0" w:nlCheck="1" w:checkStyle="0"/>
  <w:activeWritingStyle w:appName="MSWord" w:lang="es-MX" w:vendorID="64" w:dllVersion="0" w:nlCheck="1" w:checkStyle="0"/>
  <w:activeWritingStyle w:appName="MSWord" w:lang="es-ES_tradnl" w:vendorID="64" w:dllVersion="0" w:nlCheck="1" w:checkStyle="0"/>
  <w:activeWritingStyle w:appName="MSWord" w:lang="es-CO" w:vendorID="64" w:dllVersion="0" w:nlCheck="1" w:checkStyle="0"/>
  <w:activeWritingStyle w:appName="MSWord" w:lang="pt-BR" w:vendorID="64" w:dllVersion="0" w:nlCheck="1" w:checkStyle="0"/>
  <w:activeWritingStyle w:appName="MSWord" w:lang="es-ES_tradnl" w:vendorID="64" w:dllVersion="4096" w:nlCheck="1" w:checkStyle="0"/>
  <w:activeWritingStyle w:appName="MSWord" w:lang="es-ES" w:vendorID="64" w:dllVersion="4096" w:nlCheck="1" w:checkStyle="0"/>
  <w:activeWritingStyle w:appName="MSWord" w:lang="es-CO" w:vendorID="64" w:dllVersion="4096" w:nlCheck="1" w:checkStyle="0"/>
  <w:activeWritingStyle w:appName="MSWord" w:lang="es-MX" w:vendorID="64" w:dllVersion="4096"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162E"/>
    <w:rsid w:val="00001A1C"/>
    <w:rsid w:val="00001F5D"/>
    <w:rsid w:val="00001FFD"/>
    <w:rsid w:val="00002027"/>
    <w:rsid w:val="000020FE"/>
    <w:rsid w:val="000031A8"/>
    <w:rsid w:val="00003233"/>
    <w:rsid w:val="00003C5C"/>
    <w:rsid w:val="000040D7"/>
    <w:rsid w:val="00004556"/>
    <w:rsid w:val="000051AF"/>
    <w:rsid w:val="000052C4"/>
    <w:rsid w:val="00005958"/>
    <w:rsid w:val="000059D3"/>
    <w:rsid w:val="00005A32"/>
    <w:rsid w:val="00005C48"/>
    <w:rsid w:val="0000600A"/>
    <w:rsid w:val="00006081"/>
    <w:rsid w:val="000060D0"/>
    <w:rsid w:val="00006FBE"/>
    <w:rsid w:val="00007011"/>
    <w:rsid w:val="000074C3"/>
    <w:rsid w:val="000075C0"/>
    <w:rsid w:val="000075EA"/>
    <w:rsid w:val="00007750"/>
    <w:rsid w:val="000077FD"/>
    <w:rsid w:val="00007E37"/>
    <w:rsid w:val="00010408"/>
    <w:rsid w:val="00010C40"/>
    <w:rsid w:val="000112B4"/>
    <w:rsid w:val="00011DCC"/>
    <w:rsid w:val="00012532"/>
    <w:rsid w:val="00012B9E"/>
    <w:rsid w:val="00012FBA"/>
    <w:rsid w:val="00013C6B"/>
    <w:rsid w:val="00013F1F"/>
    <w:rsid w:val="0001406B"/>
    <w:rsid w:val="000143F8"/>
    <w:rsid w:val="00014624"/>
    <w:rsid w:val="000147ED"/>
    <w:rsid w:val="00015B44"/>
    <w:rsid w:val="00015B5A"/>
    <w:rsid w:val="00016081"/>
    <w:rsid w:val="000165AC"/>
    <w:rsid w:val="00016651"/>
    <w:rsid w:val="00016881"/>
    <w:rsid w:val="000171A2"/>
    <w:rsid w:val="00017913"/>
    <w:rsid w:val="00017B65"/>
    <w:rsid w:val="00020158"/>
    <w:rsid w:val="000207E0"/>
    <w:rsid w:val="00020F8F"/>
    <w:rsid w:val="00021A95"/>
    <w:rsid w:val="00021C0A"/>
    <w:rsid w:val="0002256F"/>
    <w:rsid w:val="000232FF"/>
    <w:rsid w:val="00023DAE"/>
    <w:rsid w:val="00023FA5"/>
    <w:rsid w:val="00024592"/>
    <w:rsid w:val="00024896"/>
    <w:rsid w:val="000258A6"/>
    <w:rsid w:val="00026092"/>
    <w:rsid w:val="000263F0"/>
    <w:rsid w:val="00026407"/>
    <w:rsid w:val="000264F6"/>
    <w:rsid w:val="00026608"/>
    <w:rsid w:val="0002738B"/>
    <w:rsid w:val="00027545"/>
    <w:rsid w:val="00027787"/>
    <w:rsid w:val="000278D2"/>
    <w:rsid w:val="000278DF"/>
    <w:rsid w:val="00031136"/>
    <w:rsid w:val="00031384"/>
    <w:rsid w:val="000315E1"/>
    <w:rsid w:val="0003236E"/>
    <w:rsid w:val="00032D18"/>
    <w:rsid w:val="000331FB"/>
    <w:rsid w:val="00033295"/>
    <w:rsid w:val="0003339A"/>
    <w:rsid w:val="00034134"/>
    <w:rsid w:val="000341F2"/>
    <w:rsid w:val="000342EA"/>
    <w:rsid w:val="00034651"/>
    <w:rsid w:val="000351F2"/>
    <w:rsid w:val="00035224"/>
    <w:rsid w:val="00036E03"/>
    <w:rsid w:val="000404DB"/>
    <w:rsid w:val="000406DB"/>
    <w:rsid w:val="0004094D"/>
    <w:rsid w:val="00041029"/>
    <w:rsid w:val="0004149B"/>
    <w:rsid w:val="00041717"/>
    <w:rsid w:val="00041CA0"/>
    <w:rsid w:val="000427F7"/>
    <w:rsid w:val="00042961"/>
    <w:rsid w:val="00042C25"/>
    <w:rsid w:val="00042D03"/>
    <w:rsid w:val="00043086"/>
    <w:rsid w:val="000430A0"/>
    <w:rsid w:val="000434E8"/>
    <w:rsid w:val="0004386D"/>
    <w:rsid w:val="00043A33"/>
    <w:rsid w:val="00043D3B"/>
    <w:rsid w:val="00043D4D"/>
    <w:rsid w:val="00043F5D"/>
    <w:rsid w:val="0004416B"/>
    <w:rsid w:val="0004418C"/>
    <w:rsid w:val="00044204"/>
    <w:rsid w:val="000449D4"/>
    <w:rsid w:val="00046717"/>
    <w:rsid w:val="00046A63"/>
    <w:rsid w:val="00046C09"/>
    <w:rsid w:val="0004716A"/>
    <w:rsid w:val="00047385"/>
    <w:rsid w:val="000473E8"/>
    <w:rsid w:val="000504DE"/>
    <w:rsid w:val="00051074"/>
    <w:rsid w:val="0005138F"/>
    <w:rsid w:val="0005163D"/>
    <w:rsid w:val="00052B79"/>
    <w:rsid w:val="00052EA0"/>
    <w:rsid w:val="00052FE6"/>
    <w:rsid w:val="000536E3"/>
    <w:rsid w:val="00054252"/>
    <w:rsid w:val="0005474D"/>
    <w:rsid w:val="00055CB9"/>
    <w:rsid w:val="00056F66"/>
    <w:rsid w:val="0005702F"/>
    <w:rsid w:val="00057661"/>
    <w:rsid w:val="0005779C"/>
    <w:rsid w:val="00060C3F"/>
    <w:rsid w:val="00061D06"/>
    <w:rsid w:val="000621CB"/>
    <w:rsid w:val="0006294B"/>
    <w:rsid w:val="00062CDD"/>
    <w:rsid w:val="00063FA5"/>
    <w:rsid w:val="00064078"/>
    <w:rsid w:val="000640AF"/>
    <w:rsid w:val="00064940"/>
    <w:rsid w:val="00064CAE"/>
    <w:rsid w:val="00064DB7"/>
    <w:rsid w:val="00064FA7"/>
    <w:rsid w:val="00065195"/>
    <w:rsid w:val="00065A8B"/>
    <w:rsid w:val="00067313"/>
    <w:rsid w:val="00067B6F"/>
    <w:rsid w:val="00070AF1"/>
    <w:rsid w:val="000712FD"/>
    <w:rsid w:val="00071417"/>
    <w:rsid w:val="0007147D"/>
    <w:rsid w:val="000714DE"/>
    <w:rsid w:val="00071982"/>
    <w:rsid w:val="00071C5C"/>
    <w:rsid w:val="0007254F"/>
    <w:rsid w:val="00072A7E"/>
    <w:rsid w:val="00073C30"/>
    <w:rsid w:val="00074305"/>
    <w:rsid w:val="00074B2A"/>
    <w:rsid w:val="00075870"/>
    <w:rsid w:val="00075B3E"/>
    <w:rsid w:val="00076456"/>
    <w:rsid w:val="00076604"/>
    <w:rsid w:val="00077554"/>
    <w:rsid w:val="0007779B"/>
    <w:rsid w:val="000777E7"/>
    <w:rsid w:val="0007790A"/>
    <w:rsid w:val="00077B8F"/>
    <w:rsid w:val="0008017B"/>
    <w:rsid w:val="00080287"/>
    <w:rsid w:val="00080ACD"/>
    <w:rsid w:val="000811ED"/>
    <w:rsid w:val="00081284"/>
    <w:rsid w:val="00081D62"/>
    <w:rsid w:val="000820A1"/>
    <w:rsid w:val="000820CE"/>
    <w:rsid w:val="00082B74"/>
    <w:rsid w:val="00083099"/>
    <w:rsid w:val="00083EDC"/>
    <w:rsid w:val="00083EE6"/>
    <w:rsid w:val="000841A2"/>
    <w:rsid w:val="000847C0"/>
    <w:rsid w:val="00084B97"/>
    <w:rsid w:val="00084C21"/>
    <w:rsid w:val="0008510E"/>
    <w:rsid w:val="000856DE"/>
    <w:rsid w:val="00085F17"/>
    <w:rsid w:val="00085FB3"/>
    <w:rsid w:val="0008686B"/>
    <w:rsid w:val="000868FC"/>
    <w:rsid w:val="00086B2A"/>
    <w:rsid w:val="00086ED2"/>
    <w:rsid w:val="000875FD"/>
    <w:rsid w:val="00087604"/>
    <w:rsid w:val="00087A95"/>
    <w:rsid w:val="000903F6"/>
    <w:rsid w:val="00091114"/>
    <w:rsid w:val="000914D6"/>
    <w:rsid w:val="00091569"/>
    <w:rsid w:val="00091897"/>
    <w:rsid w:val="000918E2"/>
    <w:rsid w:val="00092DCA"/>
    <w:rsid w:val="00093C51"/>
    <w:rsid w:val="000942EB"/>
    <w:rsid w:val="000953A2"/>
    <w:rsid w:val="00095B70"/>
    <w:rsid w:val="00095C0D"/>
    <w:rsid w:val="0009617E"/>
    <w:rsid w:val="00096489"/>
    <w:rsid w:val="000979CF"/>
    <w:rsid w:val="00097A00"/>
    <w:rsid w:val="000A03C8"/>
    <w:rsid w:val="000A05F2"/>
    <w:rsid w:val="000A06C4"/>
    <w:rsid w:val="000A0861"/>
    <w:rsid w:val="000A0ED1"/>
    <w:rsid w:val="000A12DB"/>
    <w:rsid w:val="000A17C8"/>
    <w:rsid w:val="000A1AEE"/>
    <w:rsid w:val="000A20D7"/>
    <w:rsid w:val="000A2128"/>
    <w:rsid w:val="000A2DB8"/>
    <w:rsid w:val="000A362F"/>
    <w:rsid w:val="000A3B49"/>
    <w:rsid w:val="000A41BA"/>
    <w:rsid w:val="000A446A"/>
    <w:rsid w:val="000A45B0"/>
    <w:rsid w:val="000A5AAF"/>
    <w:rsid w:val="000A5F97"/>
    <w:rsid w:val="000A648E"/>
    <w:rsid w:val="000A6CC4"/>
    <w:rsid w:val="000A6E35"/>
    <w:rsid w:val="000A6FE9"/>
    <w:rsid w:val="000A73BB"/>
    <w:rsid w:val="000A7EF4"/>
    <w:rsid w:val="000B0A15"/>
    <w:rsid w:val="000B0DF3"/>
    <w:rsid w:val="000B103F"/>
    <w:rsid w:val="000B1437"/>
    <w:rsid w:val="000B1470"/>
    <w:rsid w:val="000B19E4"/>
    <w:rsid w:val="000B2B86"/>
    <w:rsid w:val="000B3051"/>
    <w:rsid w:val="000B419B"/>
    <w:rsid w:val="000B4716"/>
    <w:rsid w:val="000B56E7"/>
    <w:rsid w:val="000B5781"/>
    <w:rsid w:val="000B5891"/>
    <w:rsid w:val="000C0185"/>
    <w:rsid w:val="000C0444"/>
    <w:rsid w:val="000C0960"/>
    <w:rsid w:val="000C0F81"/>
    <w:rsid w:val="000C128D"/>
    <w:rsid w:val="000C17A3"/>
    <w:rsid w:val="000C1D4B"/>
    <w:rsid w:val="000C1E0D"/>
    <w:rsid w:val="000C2028"/>
    <w:rsid w:val="000C3260"/>
    <w:rsid w:val="000C3616"/>
    <w:rsid w:val="000C3803"/>
    <w:rsid w:val="000C3B77"/>
    <w:rsid w:val="000C3ED5"/>
    <w:rsid w:val="000C45E8"/>
    <w:rsid w:val="000C4F49"/>
    <w:rsid w:val="000C5861"/>
    <w:rsid w:val="000C639D"/>
    <w:rsid w:val="000C6462"/>
    <w:rsid w:val="000C6C31"/>
    <w:rsid w:val="000C6DBC"/>
    <w:rsid w:val="000C6F79"/>
    <w:rsid w:val="000C7211"/>
    <w:rsid w:val="000C7476"/>
    <w:rsid w:val="000C7711"/>
    <w:rsid w:val="000C7AA2"/>
    <w:rsid w:val="000D0462"/>
    <w:rsid w:val="000D053D"/>
    <w:rsid w:val="000D0CD9"/>
    <w:rsid w:val="000D0ED2"/>
    <w:rsid w:val="000D1CEB"/>
    <w:rsid w:val="000D215D"/>
    <w:rsid w:val="000D2563"/>
    <w:rsid w:val="000D25BF"/>
    <w:rsid w:val="000D3FDC"/>
    <w:rsid w:val="000D4E38"/>
    <w:rsid w:val="000D50DB"/>
    <w:rsid w:val="000D5ABA"/>
    <w:rsid w:val="000D6288"/>
    <w:rsid w:val="000D6516"/>
    <w:rsid w:val="000D65A4"/>
    <w:rsid w:val="000D6CAF"/>
    <w:rsid w:val="000D7541"/>
    <w:rsid w:val="000D75E1"/>
    <w:rsid w:val="000D776B"/>
    <w:rsid w:val="000D7E45"/>
    <w:rsid w:val="000E1323"/>
    <w:rsid w:val="000E22CF"/>
    <w:rsid w:val="000E2977"/>
    <w:rsid w:val="000E2B36"/>
    <w:rsid w:val="000E30AC"/>
    <w:rsid w:val="000E3B46"/>
    <w:rsid w:val="000E3C5A"/>
    <w:rsid w:val="000E3E11"/>
    <w:rsid w:val="000E44C8"/>
    <w:rsid w:val="000E4596"/>
    <w:rsid w:val="000E5768"/>
    <w:rsid w:val="000E5843"/>
    <w:rsid w:val="000E6139"/>
    <w:rsid w:val="000E6BE1"/>
    <w:rsid w:val="000E7E0B"/>
    <w:rsid w:val="000F078A"/>
    <w:rsid w:val="000F122D"/>
    <w:rsid w:val="000F1450"/>
    <w:rsid w:val="000F14E8"/>
    <w:rsid w:val="000F1BBD"/>
    <w:rsid w:val="000F2632"/>
    <w:rsid w:val="000F2739"/>
    <w:rsid w:val="000F3138"/>
    <w:rsid w:val="000F3259"/>
    <w:rsid w:val="000F3D39"/>
    <w:rsid w:val="000F4403"/>
    <w:rsid w:val="000F4C3F"/>
    <w:rsid w:val="000F4E17"/>
    <w:rsid w:val="000F6578"/>
    <w:rsid w:val="000F70CD"/>
    <w:rsid w:val="000F726B"/>
    <w:rsid w:val="000F79F9"/>
    <w:rsid w:val="000F7A5A"/>
    <w:rsid w:val="000F7ABD"/>
    <w:rsid w:val="000F7E8F"/>
    <w:rsid w:val="000F7FBB"/>
    <w:rsid w:val="001000FB"/>
    <w:rsid w:val="00100AF1"/>
    <w:rsid w:val="00102109"/>
    <w:rsid w:val="00102605"/>
    <w:rsid w:val="00102686"/>
    <w:rsid w:val="00102745"/>
    <w:rsid w:val="001032E3"/>
    <w:rsid w:val="00103361"/>
    <w:rsid w:val="00103855"/>
    <w:rsid w:val="00103915"/>
    <w:rsid w:val="00103EA0"/>
    <w:rsid w:val="00104F1C"/>
    <w:rsid w:val="001051E5"/>
    <w:rsid w:val="00105A74"/>
    <w:rsid w:val="00105ACB"/>
    <w:rsid w:val="00105AEF"/>
    <w:rsid w:val="00106259"/>
    <w:rsid w:val="001068EB"/>
    <w:rsid w:val="001078CE"/>
    <w:rsid w:val="0011020F"/>
    <w:rsid w:val="00110548"/>
    <w:rsid w:val="00110CEB"/>
    <w:rsid w:val="00110F61"/>
    <w:rsid w:val="001111BD"/>
    <w:rsid w:val="0011165A"/>
    <w:rsid w:val="00111B2B"/>
    <w:rsid w:val="00111ED9"/>
    <w:rsid w:val="00112609"/>
    <w:rsid w:val="00112774"/>
    <w:rsid w:val="001127AC"/>
    <w:rsid w:val="00112B2E"/>
    <w:rsid w:val="00113003"/>
    <w:rsid w:val="00113062"/>
    <w:rsid w:val="00113705"/>
    <w:rsid w:val="00113975"/>
    <w:rsid w:val="00113CFC"/>
    <w:rsid w:val="00113FEA"/>
    <w:rsid w:val="00114324"/>
    <w:rsid w:val="00114A22"/>
    <w:rsid w:val="00114BF5"/>
    <w:rsid w:val="00114E9D"/>
    <w:rsid w:val="0011507B"/>
    <w:rsid w:val="00115D13"/>
    <w:rsid w:val="00116328"/>
    <w:rsid w:val="001169FD"/>
    <w:rsid w:val="001174C9"/>
    <w:rsid w:val="00117C82"/>
    <w:rsid w:val="00117E69"/>
    <w:rsid w:val="00121103"/>
    <w:rsid w:val="0012156A"/>
    <w:rsid w:val="00121BAB"/>
    <w:rsid w:val="00121E3C"/>
    <w:rsid w:val="0012232E"/>
    <w:rsid w:val="00122B23"/>
    <w:rsid w:val="00122B7E"/>
    <w:rsid w:val="00123D64"/>
    <w:rsid w:val="00123FB5"/>
    <w:rsid w:val="0012400F"/>
    <w:rsid w:val="001246C9"/>
    <w:rsid w:val="001249DC"/>
    <w:rsid w:val="0012572D"/>
    <w:rsid w:val="00125BED"/>
    <w:rsid w:val="00125C59"/>
    <w:rsid w:val="00125D4F"/>
    <w:rsid w:val="00125FDE"/>
    <w:rsid w:val="00126F9A"/>
    <w:rsid w:val="00126F9B"/>
    <w:rsid w:val="00127004"/>
    <w:rsid w:val="00127AF2"/>
    <w:rsid w:val="00127EDC"/>
    <w:rsid w:val="00127F6D"/>
    <w:rsid w:val="00130355"/>
    <w:rsid w:val="00131A8C"/>
    <w:rsid w:val="00131B5A"/>
    <w:rsid w:val="00132C30"/>
    <w:rsid w:val="00132EFD"/>
    <w:rsid w:val="00133AED"/>
    <w:rsid w:val="001341DD"/>
    <w:rsid w:val="00134FF9"/>
    <w:rsid w:val="001352AA"/>
    <w:rsid w:val="00135451"/>
    <w:rsid w:val="00135E88"/>
    <w:rsid w:val="0013695C"/>
    <w:rsid w:val="00136BF7"/>
    <w:rsid w:val="001378B9"/>
    <w:rsid w:val="00137FD1"/>
    <w:rsid w:val="00137FFA"/>
    <w:rsid w:val="00140109"/>
    <w:rsid w:val="0014029B"/>
    <w:rsid w:val="001403E0"/>
    <w:rsid w:val="00140A4F"/>
    <w:rsid w:val="001413AB"/>
    <w:rsid w:val="00141DBC"/>
    <w:rsid w:val="001425E4"/>
    <w:rsid w:val="001432AF"/>
    <w:rsid w:val="00144335"/>
    <w:rsid w:val="0014502F"/>
    <w:rsid w:val="00145282"/>
    <w:rsid w:val="001453B0"/>
    <w:rsid w:val="001454D9"/>
    <w:rsid w:val="00145D8E"/>
    <w:rsid w:val="00146083"/>
    <w:rsid w:val="001462F7"/>
    <w:rsid w:val="001466F0"/>
    <w:rsid w:val="001476D3"/>
    <w:rsid w:val="00147798"/>
    <w:rsid w:val="00150005"/>
    <w:rsid w:val="00150F55"/>
    <w:rsid w:val="00151B99"/>
    <w:rsid w:val="00151CB7"/>
    <w:rsid w:val="001521B2"/>
    <w:rsid w:val="00152288"/>
    <w:rsid w:val="001526F3"/>
    <w:rsid w:val="00152EDD"/>
    <w:rsid w:val="00153491"/>
    <w:rsid w:val="0015361C"/>
    <w:rsid w:val="0015372F"/>
    <w:rsid w:val="00153A18"/>
    <w:rsid w:val="00153BFB"/>
    <w:rsid w:val="0015407E"/>
    <w:rsid w:val="0015448E"/>
    <w:rsid w:val="00154690"/>
    <w:rsid w:val="00154A6F"/>
    <w:rsid w:val="00154DC3"/>
    <w:rsid w:val="0015591B"/>
    <w:rsid w:val="00155D08"/>
    <w:rsid w:val="00156BE5"/>
    <w:rsid w:val="00157232"/>
    <w:rsid w:val="00160401"/>
    <w:rsid w:val="00160D4E"/>
    <w:rsid w:val="00161E62"/>
    <w:rsid w:val="00161F1C"/>
    <w:rsid w:val="0016200B"/>
    <w:rsid w:val="0016226D"/>
    <w:rsid w:val="00163CD0"/>
    <w:rsid w:val="00163D7A"/>
    <w:rsid w:val="00164281"/>
    <w:rsid w:val="00164AF1"/>
    <w:rsid w:val="001654DF"/>
    <w:rsid w:val="00165ED5"/>
    <w:rsid w:val="001668A7"/>
    <w:rsid w:val="00167503"/>
    <w:rsid w:val="001676A9"/>
    <w:rsid w:val="00167A15"/>
    <w:rsid w:val="00167A50"/>
    <w:rsid w:val="00167D12"/>
    <w:rsid w:val="00167DF5"/>
    <w:rsid w:val="00170001"/>
    <w:rsid w:val="0017043A"/>
    <w:rsid w:val="0017145A"/>
    <w:rsid w:val="00172198"/>
    <w:rsid w:val="001723DA"/>
    <w:rsid w:val="00172612"/>
    <w:rsid w:val="00172817"/>
    <w:rsid w:val="001734E3"/>
    <w:rsid w:val="0017350E"/>
    <w:rsid w:val="0017391B"/>
    <w:rsid w:val="001742BF"/>
    <w:rsid w:val="001749DF"/>
    <w:rsid w:val="0017593F"/>
    <w:rsid w:val="00175E49"/>
    <w:rsid w:val="00176470"/>
    <w:rsid w:val="0017659F"/>
    <w:rsid w:val="00177076"/>
    <w:rsid w:val="001805C1"/>
    <w:rsid w:val="00180A2E"/>
    <w:rsid w:val="001813AF"/>
    <w:rsid w:val="001829CD"/>
    <w:rsid w:val="00182F01"/>
    <w:rsid w:val="00182FBD"/>
    <w:rsid w:val="0018499F"/>
    <w:rsid w:val="00184F27"/>
    <w:rsid w:val="0018519B"/>
    <w:rsid w:val="00185AFE"/>
    <w:rsid w:val="00185E78"/>
    <w:rsid w:val="00187177"/>
    <w:rsid w:val="00187443"/>
    <w:rsid w:val="00187A32"/>
    <w:rsid w:val="00187ABD"/>
    <w:rsid w:val="00187AC0"/>
    <w:rsid w:val="001904E3"/>
    <w:rsid w:val="0019087A"/>
    <w:rsid w:val="00191395"/>
    <w:rsid w:val="00191C5A"/>
    <w:rsid w:val="00191CEB"/>
    <w:rsid w:val="00191E63"/>
    <w:rsid w:val="00192D68"/>
    <w:rsid w:val="0019388B"/>
    <w:rsid w:val="00193B52"/>
    <w:rsid w:val="00193B9A"/>
    <w:rsid w:val="001943BA"/>
    <w:rsid w:val="001946AE"/>
    <w:rsid w:val="001946D5"/>
    <w:rsid w:val="00194E8C"/>
    <w:rsid w:val="00195B71"/>
    <w:rsid w:val="001962EC"/>
    <w:rsid w:val="001963DD"/>
    <w:rsid w:val="001965DB"/>
    <w:rsid w:val="00196DC9"/>
    <w:rsid w:val="0019734E"/>
    <w:rsid w:val="001A0236"/>
    <w:rsid w:val="001A08E1"/>
    <w:rsid w:val="001A0AF8"/>
    <w:rsid w:val="001A16A5"/>
    <w:rsid w:val="001A18D5"/>
    <w:rsid w:val="001A1D4A"/>
    <w:rsid w:val="001A2426"/>
    <w:rsid w:val="001A2ADC"/>
    <w:rsid w:val="001A2D40"/>
    <w:rsid w:val="001A3011"/>
    <w:rsid w:val="001A325B"/>
    <w:rsid w:val="001A368A"/>
    <w:rsid w:val="001A4A08"/>
    <w:rsid w:val="001A4DAF"/>
    <w:rsid w:val="001A54FD"/>
    <w:rsid w:val="001A59FB"/>
    <w:rsid w:val="001A66DF"/>
    <w:rsid w:val="001A67D0"/>
    <w:rsid w:val="001A6BF1"/>
    <w:rsid w:val="001A6C2B"/>
    <w:rsid w:val="001A7591"/>
    <w:rsid w:val="001A75B1"/>
    <w:rsid w:val="001A7ADF"/>
    <w:rsid w:val="001B0366"/>
    <w:rsid w:val="001B0444"/>
    <w:rsid w:val="001B096B"/>
    <w:rsid w:val="001B0F9F"/>
    <w:rsid w:val="001B123C"/>
    <w:rsid w:val="001B1A0D"/>
    <w:rsid w:val="001B1BF1"/>
    <w:rsid w:val="001B2456"/>
    <w:rsid w:val="001B449C"/>
    <w:rsid w:val="001B4AA2"/>
    <w:rsid w:val="001B4ADE"/>
    <w:rsid w:val="001B5C86"/>
    <w:rsid w:val="001B5EF8"/>
    <w:rsid w:val="001B622B"/>
    <w:rsid w:val="001B6973"/>
    <w:rsid w:val="001B69FF"/>
    <w:rsid w:val="001B7679"/>
    <w:rsid w:val="001C07C6"/>
    <w:rsid w:val="001C08B2"/>
    <w:rsid w:val="001C19CD"/>
    <w:rsid w:val="001C1F3C"/>
    <w:rsid w:val="001C22D5"/>
    <w:rsid w:val="001C2515"/>
    <w:rsid w:val="001C2550"/>
    <w:rsid w:val="001C26FB"/>
    <w:rsid w:val="001C33C1"/>
    <w:rsid w:val="001C3E30"/>
    <w:rsid w:val="001C3E5C"/>
    <w:rsid w:val="001C424B"/>
    <w:rsid w:val="001C4D2A"/>
    <w:rsid w:val="001C5072"/>
    <w:rsid w:val="001C5B2A"/>
    <w:rsid w:val="001C600B"/>
    <w:rsid w:val="001C6407"/>
    <w:rsid w:val="001C6898"/>
    <w:rsid w:val="001C6DD8"/>
    <w:rsid w:val="001C7C7B"/>
    <w:rsid w:val="001D068D"/>
    <w:rsid w:val="001D0A71"/>
    <w:rsid w:val="001D12D1"/>
    <w:rsid w:val="001D15DF"/>
    <w:rsid w:val="001D2970"/>
    <w:rsid w:val="001D2F4A"/>
    <w:rsid w:val="001D30F3"/>
    <w:rsid w:val="001D31A0"/>
    <w:rsid w:val="001D338E"/>
    <w:rsid w:val="001D3D3F"/>
    <w:rsid w:val="001D4141"/>
    <w:rsid w:val="001D4E70"/>
    <w:rsid w:val="001D56E9"/>
    <w:rsid w:val="001D57F0"/>
    <w:rsid w:val="001D7905"/>
    <w:rsid w:val="001D7923"/>
    <w:rsid w:val="001D796A"/>
    <w:rsid w:val="001D7A84"/>
    <w:rsid w:val="001D7C79"/>
    <w:rsid w:val="001E0E15"/>
    <w:rsid w:val="001E0EFD"/>
    <w:rsid w:val="001E15F0"/>
    <w:rsid w:val="001E1CC4"/>
    <w:rsid w:val="001E1D38"/>
    <w:rsid w:val="001E1DEE"/>
    <w:rsid w:val="001E250D"/>
    <w:rsid w:val="001E4207"/>
    <w:rsid w:val="001E4258"/>
    <w:rsid w:val="001E44F0"/>
    <w:rsid w:val="001E455B"/>
    <w:rsid w:val="001E4587"/>
    <w:rsid w:val="001E56FF"/>
    <w:rsid w:val="001E5A69"/>
    <w:rsid w:val="001E5B84"/>
    <w:rsid w:val="001E5D6A"/>
    <w:rsid w:val="001E70FB"/>
    <w:rsid w:val="001E780A"/>
    <w:rsid w:val="001F0372"/>
    <w:rsid w:val="001F039A"/>
    <w:rsid w:val="001F07D6"/>
    <w:rsid w:val="001F0FA0"/>
    <w:rsid w:val="001F1349"/>
    <w:rsid w:val="001F1863"/>
    <w:rsid w:val="001F232D"/>
    <w:rsid w:val="001F2356"/>
    <w:rsid w:val="001F267C"/>
    <w:rsid w:val="001F2A68"/>
    <w:rsid w:val="001F39EA"/>
    <w:rsid w:val="001F4773"/>
    <w:rsid w:val="001F5008"/>
    <w:rsid w:val="001F512D"/>
    <w:rsid w:val="001F56AA"/>
    <w:rsid w:val="001F58AA"/>
    <w:rsid w:val="001F5EF6"/>
    <w:rsid w:val="001F657F"/>
    <w:rsid w:val="001F6FB6"/>
    <w:rsid w:val="001F7978"/>
    <w:rsid w:val="001F7A0E"/>
    <w:rsid w:val="0020022E"/>
    <w:rsid w:val="0020054E"/>
    <w:rsid w:val="00200B51"/>
    <w:rsid w:val="002014EF"/>
    <w:rsid w:val="00201962"/>
    <w:rsid w:val="00201F1E"/>
    <w:rsid w:val="0020299B"/>
    <w:rsid w:val="00202E44"/>
    <w:rsid w:val="002037AA"/>
    <w:rsid w:val="00203FE3"/>
    <w:rsid w:val="002042D8"/>
    <w:rsid w:val="00204515"/>
    <w:rsid w:val="00204BF5"/>
    <w:rsid w:val="00204D82"/>
    <w:rsid w:val="00204D91"/>
    <w:rsid w:val="00204E6B"/>
    <w:rsid w:val="002058D4"/>
    <w:rsid w:val="002058DC"/>
    <w:rsid w:val="00205BAA"/>
    <w:rsid w:val="0020632A"/>
    <w:rsid w:val="0020697F"/>
    <w:rsid w:val="0020785A"/>
    <w:rsid w:val="002079CB"/>
    <w:rsid w:val="00207C1E"/>
    <w:rsid w:val="002110EB"/>
    <w:rsid w:val="00211338"/>
    <w:rsid w:val="00211388"/>
    <w:rsid w:val="0021148C"/>
    <w:rsid w:val="00211694"/>
    <w:rsid w:val="0021201A"/>
    <w:rsid w:val="00212A83"/>
    <w:rsid w:val="00213A1F"/>
    <w:rsid w:val="00213C63"/>
    <w:rsid w:val="00214502"/>
    <w:rsid w:val="00214741"/>
    <w:rsid w:val="002149F8"/>
    <w:rsid w:val="0021539A"/>
    <w:rsid w:val="00215793"/>
    <w:rsid w:val="00215852"/>
    <w:rsid w:val="00215B8E"/>
    <w:rsid w:val="00215BE9"/>
    <w:rsid w:val="00216264"/>
    <w:rsid w:val="002168B8"/>
    <w:rsid w:val="002176B6"/>
    <w:rsid w:val="0021792D"/>
    <w:rsid w:val="00217DB8"/>
    <w:rsid w:val="0022032A"/>
    <w:rsid w:val="002221CE"/>
    <w:rsid w:val="00222BE8"/>
    <w:rsid w:val="00223102"/>
    <w:rsid w:val="002232CB"/>
    <w:rsid w:val="002233EA"/>
    <w:rsid w:val="00224022"/>
    <w:rsid w:val="00224626"/>
    <w:rsid w:val="00224D93"/>
    <w:rsid w:val="00226055"/>
    <w:rsid w:val="0022613F"/>
    <w:rsid w:val="00226236"/>
    <w:rsid w:val="00226DF9"/>
    <w:rsid w:val="002270C9"/>
    <w:rsid w:val="00227A8B"/>
    <w:rsid w:val="002305F6"/>
    <w:rsid w:val="002308BA"/>
    <w:rsid w:val="0023146B"/>
    <w:rsid w:val="00231540"/>
    <w:rsid w:val="002315A0"/>
    <w:rsid w:val="00231CE0"/>
    <w:rsid w:val="00231EC7"/>
    <w:rsid w:val="002321E0"/>
    <w:rsid w:val="00232A6C"/>
    <w:rsid w:val="00232A82"/>
    <w:rsid w:val="00232E15"/>
    <w:rsid w:val="00233079"/>
    <w:rsid w:val="0023382C"/>
    <w:rsid w:val="00233977"/>
    <w:rsid w:val="00233C58"/>
    <w:rsid w:val="00233C71"/>
    <w:rsid w:val="00233D9C"/>
    <w:rsid w:val="002345B6"/>
    <w:rsid w:val="00234B84"/>
    <w:rsid w:val="002354ED"/>
    <w:rsid w:val="00236016"/>
    <w:rsid w:val="00236B18"/>
    <w:rsid w:val="00236E24"/>
    <w:rsid w:val="00237065"/>
    <w:rsid w:val="00237492"/>
    <w:rsid w:val="00237589"/>
    <w:rsid w:val="0023758D"/>
    <w:rsid w:val="002375A7"/>
    <w:rsid w:val="0024019A"/>
    <w:rsid w:val="002411DE"/>
    <w:rsid w:val="0024131D"/>
    <w:rsid w:val="002413B5"/>
    <w:rsid w:val="002415B8"/>
    <w:rsid w:val="00241618"/>
    <w:rsid w:val="00241ACD"/>
    <w:rsid w:val="00242D62"/>
    <w:rsid w:val="002431D7"/>
    <w:rsid w:val="00243257"/>
    <w:rsid w:val="00243434"/>
    <w:rsid w:val="00244058"/>
    <w:rsid w:val="00244E90"/>
    <w:rsid w:val="00244F9A"/>
    <w:rsid w:val="00245718"/>
    <w:rsid w:val="00245E07"/>
    <w:rsid w:val="00246CD4"/>
    <w:rsid w:val="0024729C"/>
    <w:rsid w:val="002473B8"/>
    <w:rsid w:val="00247712"/>
    <w:rsid w:val="00247780"/>
    <w:rsid w:val="00250D54"/>
    <w:rsid w:val="00250EC6"/>
    <w:rsid w:val="00250F11"/>
    <w:rsid w:val="00251866"/>
    <w:rsid w:val="00251A9F"/>
    <w:rsid w:val="00252492"/>
    <w:rsid w:val="00252B35"/>
    <w:rsid w:val="0025316D"/>
    <w:rsid w:val="002532F4"/>
    <w:rsid w:val="00253A02"/>
    <w:rsid w:val="00253B81"/>
    <w:rsid w:val="0025431A"/>
    <w:rsid w:val="002554DE"/>
    <w:rsid w:val="00255E11"/>
    <w:rsid w:val="00256635"/>
    <w:rsid w:val="00256835"/>
    <w:rsid w:val="002569F0"/>
    <w:rsid w:val="00256A62"/>
    <w:rsid w:val="00256ECF"/>
    <w:rsid w:val="00257730"/>
    <w:rsid w:val="00257999"/>
    <w:rsid w:val="002604AA"/>
    <w:rsid w:val="0026129B"/>
    <w:rsid w:val="00261560"/>
    <w:rsid w:val="00261715"/>
    <w:rsid w:val="00261CF9"/>
    <w:rsid w:val="00261EC0"/>
    <w:rsid w:val="0026231B"/>
    <w:rsid w:val="00262422"/>
    <w:rsid w:val="00263101"/>
    <w:rsid w:val="00263201"/>
    <w:rsid w:val="00263A37"/>
    <w:rsid w:val="002653A6"/>
    <w:rsid w:val="0026608D"/>
    <w:rsid w:val="002661F1"/>
    <w:rsid w:val="002663BA"/>
    <w:rsid w:val="002664B7"/>
    <w:rsid w:val="00266CB5"/>
    <w:rsid w:val="002711A4"/>
    <w:rsid w:val="00271201"/>
    <w:rsid w:val="00271F13"/>
    <w:rsid w:val="002721E2"/>
    <w:rsid w:val="00274787"/>
    <w:rsid w:val="002748D9"/>
    <w:rsid w:val="00274DB5"/>
    <w:rsid w:val="002753FD"/>
    <w:rsid w:val="00275BB1"/>
    <w:rsid w:val="00275FBF"/>
    <w:rsid w:val="00276373"/>
    <w:rsid w:val="0027783B"/>
    <w:rsid w:val="00277933"/>
    <w:rsid w:val="00277EC3"/>
    <w:rsid w:val="00277F13"/>
    <w:rsid w:val="00277F8D"/>
    <w:rsid w:val="00277FA7"/>
    <w:rsid w:val="00280F3D"/>
    <w:rsid w:val="0028106A"/>
    <w:rsid w:val="00281662"/>
    <w:rsid w:val="00281EB4"/>
    <w:rsid w:val="002823FE"/>
    <w:rsid w:val="00282BCD"/>
    <w:rsid w:val="0028308E"/>
    <w:rsid w:val="002834E9"/>
    <w:rsid w:val="0028396F"/>
    <w:rsid w:val="00283A52"/>
    <w:rsid w:val="00283C5E"/>
    <w:rsid w:val="00283E26"/>
    <w:rsid w:val="00283EF2"/>
    <w:rsid w:val="00284007"/>
    <w:rsid w:val="0028428F"/>
    <w:rsid w:val="00284CFC"/>
    <w:rsid w:val="00285832"/>
    <w:rsid w:val="00285969"/>
    <w:rsid w:val="0028663B"/>
    <w:rsid w:val="00286CEC"/>
    <w:rsid w:val="002871A9"/>
    <w:rsid w:val="002873A0"/>
    <w:rsid w:val="00287B7E"/>
    <w:rsid w:val="00290781"/>
    <w:rsid w:val="00291784"/>
    <w:rsid w:val="002929BB"/>
    <w:rsid w:val="00292E53"/>
    <w:rsid w:val="00292E64"/>
    <w:rsid w:val="002932BA"/>
    <w:rsid w:val="002934B9"/>
    <w:rsid w:val="00293669"/>
    <w:rsid w:val="00294368"/>
    <w:rsid w:val="00294B78"/>
    <w:rsid w:val="0029580A"/>
    <w:rsid w:val="00295949"/>
    <w:rsid w:val="00296150"/>
    <w:rsid w:val="0029624A"/>
    <w:rsid w:val="00296922"/>
    <w:rsid w:val="00297098"/>
    <w:rsid w:val="0029770B"/>
    <w:rsid w:val="002A05D4"/>
    <w:rsid w:val="002A075F"/>
    <w:rsid w:val="002A09FF"/>
    <w:rsid w:val="002A0E60"/>
    <w:rsid w:val="002A15C5"/>
    <w:rsid w:val="002A1A58"/>
    <w:rsid w:val="002A1B02"/>
    <w:rsid w:val="002A1C53"/>
    <w:rsid w:val="002A28FC"/>
    <w:rsid w:val="002A2B44"/>
    <w:rsid w:val="002A2EA5"/>
    <w:rsid w:val="002A39C3"/>
    <w:rsid w:val="002A3D94"/>
    <w:rsid w:val="002A4736"/>
    <w:rsid w:val="002A4B1C"/>
    <w:rsid w:val="002A4BDD"/>
    <w:rsid w:val="002A4CC8"/>
    <w:rsid w:val="002A6AFB"/>
    <w:rsid w:val="002A733D"/>
    <w:rsid w:val="002A774A"/>
    <w:rsid w:val="002A7E5C"/>
    <w:rsid w:val="002A7F6D"/>
    <w:rsid w:val="002A7FC5"/>
    <w:rsid w:val="002B020D"/>
    <w:rsid w:val="002B1342"/>
    <w:rsid w:val="002B27C8"/>
    <w:rsid w:val="002B2A7F"/>
    <w:rsid w:val="002B330B"/>
    <w:rsid w:val="002B35DF"/>
    <w:rsid w:val="002B39BE"/>
    <w:rsid w:val="002B438C"/>
    <w:rsid w:val="002B48DB"/>
    <w:rsid w:val="002B4B34"/>
    <w:rsid w:val="002B4FEC"/>
    <w:rsid w:val="002B508E"/>
    <w:rsid w:val="002B541A"/>
    <w:rsid w:val="002B59AB"/>
    <w:rsid w:val="002B6407"/>
    <w:rsid w:val="002B6416"/>
    <w:rsid w:val="002B6459"/>
    <w:rsid w:val="002B64D2"/>
    <w:rsid w:val="002B73B0"/>
    <w:rsid w:val="002C1143"/>
    <w:rsid w:val="002C226B"/>
    <w:rsid w:val="002C24B4"/>
    <w:rsid w:val="002C2B3A"/>
    <w:rsid w:val="002C2B87"/>
    <w:rsid w:val="002C3CF4"/>
    <w:rsid w:val="002C40BA"/>
    <w:rsid w:val="002C441A"/>
    <w:rsid w:val="002C4A73"/>
    <w:rsid w:val="002C4B84"/>
    <w:rsid w:val="002C4C0C"/>
    <w:rsid w:val="002C5016"/>
    <w:rsid w:val="002C5186"/>
    <w:rsid w:val="002C5C2F"/>
    <w:rsid w:val="002C5D0F"/>
    <w:rsid w:val="002C5E87"/>
    <w:rsid w:val="002C60B9"/>
    <w:rsid w:val="002C6F77"/>
    <w:rsid w:val="002C704D"/>
    <w:rsid w:val="002C711C"/>
    <w:rsid w:val="002C7C24"/>
    <w:rsid w:val="002D05FD"/>
    <w:rsid w:val="002D0845"/>
    <w:rsid w:val="002D0933"/>
    <w:rsid w:val="002D19BB"/>
    <w:rsid w:val="002D1A9B"/>
    <w:rsid w:val="002D22C5"/>
    <w:rsid w:val="002D2407"/>
    <w:rsid w:val="002D301F"/>
    <w:rsid w:val="002D302A"/>
    <w:rsid w:val="002D36C6"/>
    <w:rsid w:val="002D37C1"/>
    <w:rsid w:val="002D4156"/>
    <w:rsid w:val="002D444B"/>
    <w:rsid w:val="002D4A45"/>
    <w:rsid w:val="002D4A73"/>
    <w:rsid w:val="002D4AB1"/>
    <w:rsid w:val="002D4B42"/>
    <w:rsid w:val="002D4DBA"/>
    <w:rsid w:val="002D4F5F"/>
    <w:rsid w:val="002D5A1B"/>
    <w:rsid w:val="002D5DF5"/>
    <w:rsid w:val="002D61DC"/>
    <w:rsid w:val="002D65BC"/>
    <w:rsid w:val="002D6D7E"/>
    <w:rsid w:val="002D780B"/>
    <w:rsid w:val="002D7EDD"/>
    <w:rsid w:val="002E0494"/>
    <w:rsid w:val="002E055C"/>
    <w:rsid w:val="002E0A6C"/>
    <w:rsid w:val="002E1050"/>
    <w:rsid w:val="002E18E5"/>
    <w:rsid w:val="002E1953"/>
    <w:rsid w:val="002E268C"/>
    <w:rsid w:val="002E29A0"/>
    <w:rsid w:val="002E2D7D"/>
    <w:rsid w:val="002E3AB5"/>
    <w:rsid w:val="002E3D76"/>
    <w:rsid w:val="002E3F87"/>
    <w:rsid w:val="002E40A1"/>
    <w:rsid w:val="002E48EC"/>
    <w:rsid w:val="002E4B44"/>
    <w:rsid w:val="002E4ECB"/>
    <w:rsid w:val="002E4F23"/>
    <w:rsid w:val="002E5B53"/>
    <w:rsid w:val="002E5D05"/>
    <w:rsid w:val="002E6E80"/>
    <w:rsid w:val="002E7847"/>
    <w:rsid w:val="002E7FCF"/>
    <w:rsid w:val="002F0073"/>
    <w:rsid w:val="002F0544"/>
    <w:rsid w:val="002F0618"/>
    <w:rsid w:val="002F0643"/>
    <w:rsid w:val="002F0795"/>
    <w:rsid w:val="002F170E"/>
    <w:rsid w:val="002F1D41"/>
    <w:rsid w:val="002F240B"/>
    <w:rsid w:val="002F2F50"/>
    <w:rsid w:val="002F3601"/>
    <w:rsid w:val="002F3C13"/>
    <w:rsid w:val="002F45F6"/>
    <w:rsid w:val="002F692F"/>
    <w:rsid w:val="002F6986"/>
    <w:rsid w:val="002F69A0"/>
    <w:rsid w:val="002F69BE"/>
    <w:rsid w:val="002F7B66"/>
    <w:rsid w:val="00300CB4"/>
    <w:rsid w:val="00300E24"/>
    <w:rsid w:val="0030101C"/>
    <w:rsid w:val="003033BA"/>
    <w:rsid w:val="003043A3"/>
    <w:rsid w:val="00304BD4"/>
    <w:rsid w:val="00304EE4"/>
    <w:rsid w:val="0030500A"/>
    <w:rsid w:val="0030517B"/>
    <w:rsid w:val="003052EB"/>
    <w:rsid w:val="00305FCB"/>
    <w:rsid w:val="0030600C"/>
    <w:rsid w:val="003063C3"/>
    <w:rsid w:val="003068A3"/>
    <w:rsid w:val="00306B44"/>
    <w:rsid w:val="00306E41"/>
    <w:rsid w:val="003075B4"/>
    <w:rsid w:val="00307C44"/>
    <w:rsid w:val="00310074"/>
    <w:rsid w:val="0031088E"/>
    <w:rsid w:val="00310A35"/>
    <w:rsid w:val="00310B04"/>
    <w:rsid w:val="00310CAF"/>
    <w:rsid w:val="00310D01"/>
    <w:rsid w:val="00311376"/>
    <w:rsid w:val="00311551"/>
    <w:rsid w:val="00311A1F"/>
    <w:rsid w:val="00311B47"/>
    <w:rsid w:val="00311D52"/>
    <w:rsid w:val="00312190"/>
    <w:rsid w:val="00312343"/>
    <w:rsid w:val="003125E0"/>
    <w:rsid w:val="00312606"/>
    <w:rsid w:val="0031271D"/>
    <w:rsid w:val="00313447"/>
    <w:rsid w:val="00313748"/>
    <w:rsid w:val="00313EA3"/>
    <w:rsid w:val="003150C6"/>
    <w:rsid w:val="00315457"/>
    <w:rsid w:val="00315AA6"/>
    <w:rsid w:val="003161A4"/>
    <w:rsid w:val="00316955"/>
    <w:rsid w:val="00316E52"/>
    <w:rsid w:val="00316FC7"/>
    <w:rsid w:val="0031720A"/>
    <w:rsid w:val="003173CF"/>
    <w:rsid w:val="0031749B"/>
    <w:rsid w:val="003174E5"/>
    <w:rsid w:val="00317C9D"/>
    <w:rsid w:val="00317CD2"/>
    <w:rsid w:val="00317D99"/>
    <w:rsid w:val="0032078D"/>
    <w:rsid w:val="00320A6E"/>
    <w:rsid w:val="00320F34"/>
    <w:rsid w:val="0032137B"/>
    <w:rsid w:val="003214F7"/>
    <w:rsid w:val="00321BD6"/>
    <w:rsid w:val="00321F66"/>
    <w:rsid w:val="00321FA3"/>
    <w:rsid w:val="003227D3"/>
    <w:rsid w:val="00322937"/>
    <w:rsid w:val="00322A46"/>
    <w:rsid w:val="00322A84"/>
    <w:rsid w:val="003231D0"/>
    <w:rsid w:val="00323881"/>
    <w:rsid w:val="00323B73"/>
    <w:rsid w:val="00324006"/>
    <w:rsid w:val="00324650"/>
    <w:rsid w:val="00325D98"/>
    <w:rsid w:val="0032664F"/>
    <w:rsid w:val="0032682A"/>
    <w:rsid w:val="00327A5C"/>
    <w:rsid w:val="0033092C"/>
    <w:rsid w:val="0033122A"/>
    <w:rsid w:val="003315AC"/>
    <w:rsid w:val="00331932"/>
    <w:rsid w:val="00333A88"/>
    <w:rsid w:val="00333DAF"/>
    <w:rsid w:val="00333F6C"/>
    <w:rsid w:val="00333FFB"/>
    <w:rsid w:val="00334104"/>
    <w:rsid w:val="00335B15"/>
    <w:rsid w:val="00335B21"/>
    <w:rsid w:val="00335D3F"/>
    <w:rsid w:val="00336104"/>
    <w:rsid w:val="00336729"/>
    <w:rsid w:val="003367CC"/>
    <w:rsid w:val="00336AB1"/>
    <w:rsid w:val="0033726D"/>
    <w:rsid w:val="00337362"/>
    <w:rsid w:val="00337CA8"/>
    <w:rsid w:val="0034125B"/>
    <w:rsid w:val="0034177C"/>
    <w:rsid w:val="00341A53"/>
    <w:rsid w:val="00342345"/>
    <w:rsid w:val="00342C27"/>
    <w:rsid w:val="003430C8"/>
    <w:rsid w:val="003432C8"/>
    <w:rsid w:val="003433BB"/>
    <w:rsid w:val="003434B3"/>
    <w:rsid w:val="00343536"/>
    <w:rsid w:val="00343EFB"/>
    <w:rsid w:val="003443DF"/>
    <w:rsid w:val="00344760"/>
    <w:rsid w:val="00344A64"/>
    <w:rsid w:val="0034680A"/>
    <w:rsid w:val="00346C62"/>
    <w:rsid w:val="003474F7"/>
    <w:rsid w:val="0034778E"/>
    <w:rsid w:val="003501E2"/>
    <w:rsid w:val="00350A59"/>
    <w:rsid w:val="00351E10"/>
    <w:rsid w:val="0035273A"/>
    <w:rsid w:val="00352D59"/>
    <w:rsid w:val="003533F4"/>
    <w:rsid w:val="003536F6"/>
    <w:rsid w:val="00353DD5"/>
    <w:rsid w:val="0035496B"/>
    <w:rsid w:val="003549CD"/>
    <w:rsid w:val="00354E96"/>
    <w:rsid w:val="00355131"/>
    <w:rsid w:val="00356438"/>
    <w:rsid w:val="00361A04"/>
    <w:rsid w:val="00361A59"/>
    <w:rsid w:val="003631CC"/>
    <w:rsid w:val="00363348"/>
    <w:rsid w:val="00363857"/>
    <w:rsid w:val="00363D59"/>
    <w:rsid w:val="003640F7"/>
    <w:rsid w:val="00364300"/>
    <w:rsid w:val="00365D3A"/>
    <w:rsid w:val="00365ED1"/>
    <w:rsid w:val="003661DD"/>
    <w:rsid w:val="003664FF"/>
    <w:rsid w:val="00366B70"/>
    <w:rsid w:val="00366BD2"/>
    <w:rsid w:val="003670B8"/>
    <w:rsid w:val="0036776E"/>
    <w:rsid w:val="003704A3"/>
    <w:rsid w:val="003706F2"/>
    <w:rsid w:val="0037124F"/>
    <w:rsid w:val="00371CB5"/>
    <w:rsid w:val="00372C0A"/>
    <w:rsid w:val="00373827"/>
    <w:rsid w:val="00373F04"/>
    <w:rsid w:val="0037401C"/>
    <w:rsid w:val="00374A1E"/>
    <w:rsid w:val="00374A64"/>
    <w:rsid w:val="0037507B"/>
    <w:rsid w:val="00375C7C"/>
    <w:rsid w:val="003762F6"/>
    <w:rsid w:val="00377027"/>
    <w:rsid w:val="00377135"/>
    <w:rsid w:val="0037751F"/>
    <w:rsid w:val="003777E7"/>
    <w:rsid w:val="0038006E"/>
    <w:rsid w:val="00380272"/>
    <w:rsid w:val="00380576"/>
    <w:rsid w:val="003805DB"/>
    <w:rsid w:val="003813F4"/>
    <w:rsid w:val="0038152A"/>
    <w:rsid w:val="00382AEF"/>
    <w:rsid w:val="00382BAD"/>
    <w:rsid w:val="003830E3"/>
    <w:rsid w:val="00383A8D"/>
    <w:rsid w:val="00383FF1"/>
    <w:rsid w:val="00384466"/>
    <w:rsid w:val="00384DF1"/>
    <w:rsid w:val="00384FF3"/>
    <w:rsid w:val="00385131"/>
    <w:rsid w:val="00386456"/>
    <w:rsid w:val="003865A9"/>
    <w:rsid w:val="00387642"/>
    <w:rsid w:val="00390BD6"/>
    <w:rsid w:val="00390F32"/>
    <w:rsid w:val="0039135E"/>
    <w:rsid w:val="0039200F"/>
    <w:rsid w:val="003926C1"/>
    <w:rsid w:val="0039319C"/>
    <w:rsid w:val="00393CAE"/>
    <w:rsid w:val="00393E4C"/>
    <w:rsid w:val="003945DC"/>
    <w:rsid w:val="003945F4"/>
    <w:rsid w:val="00394EB5"/>
    <w:rsid w:val="003952C5"/>
    <w:rsid w:val="003953B4"/>
    <w:rsid w:val="0039615F"/>
    <w:rsid w:val="00396A29"/>
    <w:rsid w:val="00397E1D"/>
    <w:rsid w:val="00397FF0"/>
    <w:rsid w:val="003A0878"/>
    <w:rsid w:val="003A1561"/>
    <w:rsid w:val="003A1D25"/>
    <w:rsid w:val="003A22A2"/>
    <w:rsid w:val="003A2447"/>
    <w:rsid w:val="003A2AA1"/>
    <w:rsid w:val="003A31A5"/>
    <w:rsid w:val="003A3851"/>
    <w:rsid w:val="003A39DD"/>
    <w:rsid w:val="003A4A8E"/>
    <w:rsid w:val="003A51B0"/>
    <w:rsid w:val="003A563C"/>
    <w:rsid w:val="003A581E"/>
    <w:rsid w:val="003A6160"/>
    <w:rsid w:val="003A65A5"/>
    <w:rsid w:val="003A6D3F"/>
    <w:rsid w:val="003A72F5"/>
    <w:rsid w:val="003A78E5"/>
    <w:rsid w:val="003B0341"/>
    <w:rsid w:val="003B0CB0"/>
    <w:rsid w:val="003B11C3"/>
    <w:rsid w:val="003B120F"/>
    <w:rsid w:val="003B1359"/>
    <w:rsid w:val="003B1E57"/>
    <w:rsid w:val="003B2885"/>
    <w:rsid w:val="003B2EF3"/>
    <w:rsid w:val="003B3676"/>
    <w:rsid w:val="003B4053"/>
    <w:rsid w:val="003B4B1C"/>
    <w:rsid w:val="003B4CB2"/>
    <w:rsid w:val="003B534F"/>
    <w:rsid w:val="003B5391"/>
    <w:rsid w:val="003B5586"/>
    <w:rsid w:val="003B5952"/>
    <w:rsid w:val="003B5E48"/>
    <w:rsid w:val="003B65D7"/>
    <w:rsid w:val="003B65E0"/>
    <w:rsid w:val="003B6BD4"/>
    <w:rsid w:val="003B6F4D"/>
    <w:rsid w:val="003B6FE7"/>
    <w:rsid w:val="003C0271"/>
    <w:rsid w:val="003C0791"/>
    <w:rsid w:val="003C0A42"/>
    <w:rsid w:val="003C0D1F"/>
    <w:rsid w:val="003C116A"/>
    <w:rsid w:val="003C1AF4"/>
    <w:rsid w:val="003C1B63"/>
    <w:rsid w:val="003C1CB8"/>
    <w:rsid w:val="003C2550"/>
    <w:rsid w:val="003C287F"/>
    <w:rsid w:val="003C3339"/>
    <w:rsid w:val="003C375A"/>
    <w:rsid w:val="003C43F6"/>
    <w:rsid w:val="003C4D9F"/>
    <w:rsid w:val="003C5405"/>
    <w:rsid w:val="003C5C83"/>
    <w:rsid w:val="003C5F0C"/>
    <w:rsid w:val="003C60BB"/>
    <w:rsid w:val="003C622C"/>
    <w:rsid w:val="003C73C7"/>
    <w:rsid w:val="003D03F3"/>
    <w:rsid w:val="003D050B"/>
    <w:rsid w:val="003D0652"/>
    <w:rsid w:val="003D0B98"/>
    <w:rsid w:val="003D0C3C"/>
    <w:rsid w:val="003D0DE5"/>
    <w:rsid w:val="003D1351"/>
    <w:rsid w:val="003D21C1"/>
    <w:rsid w:val="003D2442"/>
    <w:rsid w:val="003D29BB"/>
    <w:rsid w:val="003D3707"/>
    <w:rsid w:val="003D3B15"/>
    <w:rsid w:val="003D3B2E"/>
    <w:rsid w:val="003D4337"/>
    <w:rsid w:val="003D484D"/>
    <w:rsid w:val="003D49CB"/>
    <w:rsid w:val="003D4BD6"/>
    <w:rsid w:val="003D6A6D"/>
    <w:rsid w:val="003D6B8F"/>
    <w:rsid w:val="003D7566"/>
    <w:rsid w:val="003D79D3"/>
    <w:rsid w:val="003E08B3"/>
    <w:rsid w:val="003E09BB"/>
    <w:rsid w:val="003E159D"/>
    <w:rsid w:val="003E1E35"/>
    <w:rsid w:val="003E20EA"/>
    <w:rsid w:val="003E210C"/>
    <w:rsid w:val="003E2913"/>
    <w:rsid w:val="003E2F55"/>
    <w:rsid w:val="003E317C"/>
    <w:rsid w:val="003E34DB"/>
    <w:rsid w:val="003E3833"/>
    <w:rsid w:val="003E3902"/>
    <w:rsid w:val="003E3AF9"/>
    <w:rsid w:val="003E43ED"/>
    <w:rsid w:val="003E4A70"/>
    <w:rsid w:val="003E4C48"/>
    <w:rsid w:val="003E4CD9"/>
    <w:rsid w:val="003E4E8A"/>
    <w:rsid w:val="003E54B3"/>
    <w:rsid w:val="003E5780"/>
    <w:rsid w:val="003E5B9F"/>
    <w:rsid w:val="003E6072"/>
    <w:rsid w:val="003E65AF"/>
    <w:rsid w:val="003E6AB6"/>
    <w:rsid w:val="003E6E0B"/>
    <w:rsid w:val="003E71CD"/>
    <w:rsid w:val="003E74E5"/>
    <w:rsid w:val="003E76DF"/>
    <w:rsid w:val="003E78DA"/>
    <w:rsid w:val="003E7A8B"/>
    <w:rsid w:val="003F04B0"/>
    <w:rsid w:val="003F0BFA"/>
    <w:rsid w:val="003F0F14"/>
    <w:rsid w:val="003F0F7F"/>
    <w:rsid w:val="003F300D"/>
    <w:rsid w:val="003F3506"/>
    <w:rsid w:val="003F391F"/>
    <w:rsid w:val="003F4599"/>
    <w:rsid w:val="003F45E1"/>
    <w:rsid w:val="003F4F6C"/>
    <w:rsid w:val="003F516A"/>
    <w:rsid w:val="003F52D4"/>
    <w:rsid w:val="003F559E"/>
    <w:rsid w:val="003F5DB7"/>
    <w:rsid w:val="003F6181"/>
    <w:rsid w:val="003F690B"/>
    <w:rsid w:val="003F6CF0"/>
    <w:rsid w:val="003F7343"/>
    <w:rsid w:val="00400002"/>
    <w:rsid w:val="00400048"/>
    <w:rsid w:val="00400054"/>
    <w:rsid w:val="0040047E"/>
    <w:rsid w:val="004006DC"/>
    <w:rsid w:val="004006E8"/>
    <w:rsid w:val="004012EE"/>
    <w:rsid w:val="004016A3"/>
    <w:rsid w:val="00401B31"/>
    <w:rsid w:val="0040202B"/>
    <w:rsid w:val="00402B70"/>
    <w:rsid w:val="00402DE1"/>
    <w:rsid w:val="00402EEB"/>
    <w:rsid w:val="00402F4B"/>
    <w:rsid w:val="004037C2"/>
    <w:rsid w:val="00403D55"/>
    <w:rsid w:val="00404041"/>
    <w:rsid w:val="00404103"/>
    <w:rsid w:val="00404B43"/>
    <w:rsid w:val="00404C61"/>
    <w:rsid w:val="00405328"/>
    <w:rsid w:val="00405487"/>
    <w:rsid w:val="0040602B"/>
    <w:rsid w:val="00406A42"/>
    <w:rsid w:val="00407A7A"/>
    <w:rsid w:val="00407ABC"/>
    <w:rsid w:val="00407F1E"/>
    <w:rsid w:val="00410A88"/>
    <w:rsid w:val="00411317"/>
    <w:rsid w:val="00411715"/>
    <w:rsid w:val="00411A9E"/>
    <w:rsid w:val="0041259F"/>
    <w:rsid w:val="00412B4D"/>
    <w:rsid w:val="00412BBF"/>
    <w:rsid w:val="00412C51"/>
    <w:rsid w:val="00413262"/>
    <w:rsid w:val="0041329C"/>
    <w:rsid w:val="00413809"/>
    <w:rsid w:val="004139F4"/>
    <w:rsid w:val="00413FFA"/>
    <w:rsid w:val="00414246"/>
    <w:rsid w:val="0041475B"/>
    <w:rsid w:val="00414760"/>
    <w:rsid w:val="00414D9A"/>
    <w:rsid w:val="00415194"/>
    <w:rsid w:val="00415816"/>
    <w:rsid w:val="00415B88"/>
    <w:rsid w:val="00415D32"/>
    <w:rsid w:val="004160A2"/>
    <w:rsid w:val="00417089"/>
    <w:rsid w:val="004170D7"/>
    <w:rsid w:val="004177A6"/>
    <w:rsid w:val="00417EFD"/>
    <w:rsid w:val="004200EE"/>
    <w:rsid w:val="004209D2"/>
    <w:rsid w:val="00420B82"/>
    <w:rsid w:val="00420D6E"/>
    <w:rsid w:val="0042187B"/>
    <w:rsid w:val="00421BD2"/>
    <w:rsid w:val="00421E00"/>
    <w:rsid w:val="00421FCB"/>
    <w:rsid w:val="00421FF6"/>
    <w:rsid w:val="004222E3"/>
    <w:rsid w:val="00422DCA"/>
    <w:rsid w:val="00422F42"/>
    <w:rsid w:val="00423F9F"/>
    <w:rsid w:val="00425C43"/>
    <w:rsid w:val="00426C69"/>
    <w:rsid w:val="004273FA"/>
    <w:rsid w:val="00430186"/>
    <w:rsid w:val="00430740"/>
    <w:rsid w:val="0043269A"/>
    <w:rsid w:val="00432D09"/>
    <w:rsid w:val="00432E14"/>
    <w:rsid w:val="0043318B"/>
    <w:rsid w:val="004333C2"/>
    <w:rsid w:val="00433ACB"/>
    <w:rsid w:val="00434787"/>
    <w:rsid w:val="004347DA"/>
    <w:rsid w:val="00434C13"/>
    <w:rsid w:val="00436323"/>
    <w:rsid w:val="0043683F"/>
    <w:rsid w:val="00436E45"/>
    <w:rsid w:val="00436F40"/>
    <w:rsid w:val="004370FA"/>
    <w:rsid w:val="00437266"/>
    <w:rsid w:val="004372AC"/>
    <w:rsid w:val="00440096"/>
    <w:rsid w:val="004403DD"/>
    <w:rsid w:val="00440DB0"/>
    <w:rsid w:val="00440FAD"/>
    <w:rsid w:val="0044105D"/>
    <w:rsid w:val="00441291"/>
    <w:rsid w:val="004420AB"/>
    <w:rsid w:val="004422D6"/>
    <w:rsid w:val="004427AC"/>
    <w:rsid w:val="00442D4D"/>
    <w:rsid w:val="00443613"/>
    <w:rsid w:val="0044374D"/>
    <w:rsid w:val="00443865"/>
    <w:rsid w:val="00443B55"/>
    <w:rsid w:val="00443D27"/>
    <w:rsid w:val="0044581A"/>
    <w:rsid w:val="00445AC2"/>
    <w:rsid w:val="00446037"/>
    <w:rsid w:val="0044642F"/>
    <w:rsid w:val="00447043"/>
    <w:rsid w:val="0044772C"/>
    <w:rsid w:val="00450846"/>
    <w:rsid w:val="00451A52"/>
    <w:rsid w:val="00451FC8"/>
    <w:rsid w:val="0045271D"/>
    <w:rsid w:val="00452755"/>
    <w:rsid w:val="00452803"/>
    <w:rsid w:val="004529C6"/>
    <w:rsid w:val="00452EAD"/>
    <w:rsid w:val="004533D1"/>
    <w:rsid w:val="004534D1"/>
    <w:rsid w:val="00453A53"/>
    <w:rsid w:val="00454548"/>
    <w:rsid w:val="00454582"/>
    <w:rsid w:val="00454717"/>
    <w:rsid w:val="00455047"/>
    <w:rsid w:val="00455354"/>
    <w:rsid w:val="0045558D"/>
    <w:rsid w:val="00455DEE"/>
    <w:rsid w:val="004564C7"/>
    <w:rsid w:val="0045658D"/>
    <w:rsid w:val="00456970"/>
    <w:rsid w:val="00456BB1"/>
    <w:rsid w:val="00456DDB"/>
    <w:rsid w:val="0045796D"/>
    <w:rsid w:val="004602D6"/>
    <w:rsid w:val="0046080F"/>
    <w:rsid w:val="00460915"/>
    <w:rsid w:val="00460946"/>
    <w:rsid w:val="004613D2"/>
    <w:rsid w:val="004614A9"/>
    <w:rsid w:val="00461B6F"/>
    <w:rsid w:val="00461E97"/>
    <w:rsid w:val="0046268F"/>
    <w:rsid w:val="0046284F"/>
    <w:rsid w:val="00462B10"/>
    <w:rsid w:val="00462C04"/>
    <w:rsid w:val="0046320A"/>
    <w:rsid w:val="0046361D"/>
    <w:rsid w:val="004638E2"/>
    <w:rsid w:val="00463CE6"/>
    <w:rsid w:val="00464030"/>
    <w:rsid w:val="00464278"/>
    <w:rsid w:val="00464526"/>
    <w:rsid w:val="004647F8"/>
    <w:rsid w:val="004647FB"/>
    <w:rsid w:val="00465456"/>
    <w:rsid w:val="00465677"/>
    <w:rsid w:val="00465AC3"/>
    <w:rsid w:val="00466616"/>
    <w:rsid w:val="00466A0C"/>
    <w:rsid w:val="00470A6A"/>
    <w:rsid w:val="00470D92"/>
    <w:rsid w:val="004712D1"/>
    <w:rsid w:val="00471DF7"/>
    <w:rsid w:val="00471F6B"/>
    <w:rsid w:val="0047295C"/>
    <w:rsid w:val="00472D8E"/>
    <w:rsid w:val="00472DA2"/>
    <w:rsid w:val="004734CF"/>
    <w:rsid w:val="00474870"/>
    <w:rsid w:val="00474889"/>
    <w:rsid w:val="00475C5A"/>
    <w:rsid w:val="00475C9C"/>
    <w:rsid w:val="0047676B"/>
    <w:rsid w:val="0047773C"/>
    <w:rsid w:val="00477C5F"/>
    <w:rsid w:val="00480050"/>
    <w:rsid w:val="004808DE"/>
    <w:rsid w:val="0048187D"/>
    <w:rsid w:val="00481AC4"/>
    <w:rsid w:val="00481CAF"/>
    <w:rsid w:val="00481DC1"/>
    <w:rsid w:val="00482507"/>
    <w:rsid w:val="0048268A"/>
    <w:rsid w:val="00483020"/>
    <w:rsid w:val="00483356"/>
    <w:rsid w:val="004835CA"/>
    <w:rsid w:val="004836F8"/>
    <w:rsid w:val="004836FE"/>
    <w:rsid w:val="00484074"/>
    <w:rsid w:val="004843F9"/>
    <w:rsid w:val="00484F0F"/>
    <w:rsid w:val="00484F40"/>
    <w:rsid w:val="00485396"/>
    <w:rsid w:val="0048540C"/>
    <w:rsid w:val="0048592F"/>
    <w:rsid w:val="0048605E"/>
    <w:rsid w:val="004861B4"/>
    <w:rsid w:val="00486AB4"/>
    <w:rsid w:val="00486B08"/>
    <w:rsid w:val="00486BD0"/>
    <w:rsid w:val="00486C85"/>
    <w:rsid w:val="00486D00"/>
    <w:rsid w:val="00487263"/>
    <w:rsid w:val="0048734F"/>
    <w:rsid w:val="004875F1"/>
    <w:rsid w:val="0049029D"/>
    <w:rsid w:val="0049030C"/>
    <w:rsid w:val="004903C0"/>
    <w:rsid w:val="0049114B"/>
    <w:rsid w:val="004912A8"/>
    <w:rsid w:val="00491577"/>
    <w:rsid w:val="0049196E"/>
    <w:rsid w:val="00491ECA"/>
    <w:rsid w:val="0049241A"/>
    <w:rsid w:val="00492C1F"/>
    <w:rsid w:val="00492E4C"/>
    <w:rsid w:val="00493B2C"/>
    <w:rsid w:val="00493E04"/>
    <w:rsid w:val="00493E9C"/>
    <w:rsid w:val="004940E3"/>
    <w:rsid w:val="0049530F"/>
    <w:rsid w:val="00496664"/>
    <w:rsid w:val="00496786"/>
    <w:rsid w:val="0049695B"/>
    <w:rsid w:val="00496D8F"/>
    <w:rsid w:val="00497463"/>
    <w:rsid w:val="00497B15"/>
    <w:rsid w:val="004A054C"/>
    <w:rsid w:val="004A08D1"/>
    <w:rsid w:val="004A16C1"/>
    <w:rsid w:val="004A1CE2"/>
    <w:rsid w:val="004A2069"/>
    <w:rsid w:val="004A2800"/>
    <w:rsid w:val="004A34D2"/>
    <w:rsid w:val="004A41BA"/>
    <w:rsid w:val="004A4301"/>
    <w:rsid w:val="004A4E65"/>
    <w:rsid w:val="004A58EE"/>
    <w:rsid w:val="004A59B7"/>
    <w:rsid w:val="004A623B"/>
    <w:rsid w:val="004A6A04"/>
    <w:rsid w:val="004A6A52"/>
    <w:rsid w:val="004A6C78"/>
    <w:rsid w:val="004A6D7A"/>
    <w:rsid w:val="004B01B9"/>
    <w:rsid w:val="004B0D62"/>
    <w:rsid w:val="004B0F0B"/>
    <w:rsid w:val="004B12C3"/>
    <w:rsid w:val="004B13EE"/>
    <w:rsid w:val="004B163F"/>
    <w:rsid w:val="004B2197"/>
    <w:rsid w:val="004B298A"/>
    <w:rsid w:val="004B578D"/>
    <w:rsid w:val="004B5BE7"/>
    <w:rsid w:val="004B5E2D"/>
    <w:rsid w:val="004B6793"/>
    <w:rsid w:val="004B69FD"/>
    <w:rsid w:val="004B6C07"/>
    <w:rsid w:val="004B74D3"/>
    <w:rsid w:val="004B76D3"/>
    <w:rsid w:val="004B788E"/>
    <w:rsid w:val="004B7E5D"/>
    <w:rsid w:val="004C0DD8"/>
    <w:rsid w:val="004C22F7"/>
    <w:rsid w:val="004C2B27"/>
    <w:rsid w:val="004C334F"/>
    <w:rsid w:val="004C3358"/>
    <w:rsid w:val="004C3929"/>
    <w:rsid w:val="004C4DCB"/>
    <w:rsid w:val="004C5212"/>
    <w:rsid w:val="004C5B3B"/>
    <w:rsid w:val="004C5EF0"/>
    <w:rsid w:val="004C7226"/>
    <w:rsid w:val="004C74C9"/>
    <w:rsid w:val="004C79B2"/>
    <w:rsid w:val="004C7D70"/>
    <w:rsid w:val="004D02F9"/>
    <w:rsid w:val="004D03FE"/>
    <w:rsid w:val="004D0446"/>
    <w:rsid w:val="004D0A4F"/>
    <w:rsid w:val="004D0F95"/>
    <w:rsid w:val="004D106A"/>
    <w:rsid w:val="004D141D"/>
    <w:rsid w:val="004D2E24"/>
    <w:rsid w:val="004D31EE"/>
    <w:rsid w:val="004D36AF"/>
    <w:rsid w:val="004D3BD1"/>
    <w:rsid w:val="004D41A2"/>
    <w:rsid w:val="004D4BA1"/>
    <w:rsid w:val="004D532C"/>
    <w:rsid w:val="004D5451"/>
    <w:rsid w:val="004D584D"/>
    <w:rsid w:val="004D6826"/>
    <w:rsid w:val="004D68E0"/>
    <w:rsid w:val="004D7ADB"/>
    <w:rsid w:val="004E023F"/>
    <w:rsid w:val="004E0742"/>
    <w:rsid w:val="004E0C64"/>
    <w:rsid w:val="004E0F36"/>
    <w:rsid w:val="004E0F6B"/>
    <w:rsid w:val="004E1545"/>
    <w:rsid w:val="004E199A"/>
    <w:rsid w:val="004E1F1C"/>
    <w:rsid w:val="004E2A35"/>
    <w:rsid w:val="004E32E1"/>
    <w:rsid w:val="004E38A2"/>
    <w:rsid w:val="004E40CE"/>
    <w:rsid w:val="004E4465"/>
    <w:rsid w:val="004E507A"/>
    <w:rsid w:val="004E518D"/>
    <w:rsid w:val="004E5736"/>
    <w:rsid w:val="004E5B36"/>
    <w:rsid w:val="004E6045"/>
    <w:rsid w:val="004E6F43"/>
    <w:rsid w:val="004E7200"/>
    <w:rsid w:val="004E7815"/>
    <w:rsid w:val="004F034D"/>
    <w:rsid w:val="004F091D"/>
    <w:rsid w:val="004F0960"/>
    <w:rsid w:val="004F0A5C"/>
    <w:rsid w:val="004F163F"/>
    <w:rsid w:val="004F18A0"/>
    <w:rsid w:val="004F1A08"/>
    <w:rsid w:val="004F2B64"/>
    <w:rsid w:val="004F3613"/>
    <w:rsid w:val="004F3764"/>
    <w:rsid w:val="004F3EEF"/>
    <w:rsid w:val="004F4B65"/>
    <w:rsid w:val="004F548C"/>
    <w:rsid w:val="004F5930"/>
    <w:rsid w:val="004F5970"/>
    <w:rsid w:val="004F5F0C"/>
    <w:rsid w:val="004F6121"/>
    <w:rsid w:val="004F6161"/>
    <w:rsid w:val="004F66BC"/>
    <w:rsid w:val="004F67B2"/>
    <w:rsid w:val="004F6C26"/>
    <w:rsid w:val="004F7AC9"/>
    <w:rsid w:val="004F7E5A"/>
    <w:rsid w:val="0050062F"/>
    <w:rsid w:val="00500887"/>
    <w:rsid w:val="005012E2"/>
    <w:rsid w:val="00501481"/>
    <w:rsid w:val="0050160F"/>
    <w:rsid w:val="00501C4F"/>
    <w:rsid w:val="005024C8"/>
    <w:rsid w:val="0050284E"/>
    <w:rsid w:val="00503BB0"/>
    <w:rsid w:val="00504E0C"/>
    <w:rsid w:val="00505DCB"/>
    <w:rsid w:val="005075CA"/>
    <w:rsid w:val="0051074C"/>
    <w:rsid w:val="00510DE9"/>
    <w:rsid w:val="005111E2"/>
    <w:rsid w:val="00511231"/>
    <w:rsid w:val="00511598"/>
    <w:rsid w:val="00512779"/>
    <w:rsid w:val="00512C4F"/>
    <w:rsid w:val="00513042"/>
    <w:rsid w:val="0051334F"/>
    <w:rsid w:val="00513399"/>
    <w:rsid w:val="00513AA0"/>
    <w:rsid w:val="00513AF2"/>
    <w:rsid w:val="00514575"/>
    <w:rsid w:val="00514C03"/>
    <w:rsid w:val="00514D67"/>
    <w:rsid w:val="00515515"/>
    <w:rsid w:val="00515F54"/>
    <w:rsid w:val="00516338"/>
    <w:rsid w:val="0051635C"/>
    <w:rsid w:val="00516C5B"/>
    <w:rsid w:val="00517612"/>
    <w:rsid w:val="00517CFB"/>
    <w:rsid w:val="00517F85"/>
    <w:rsid w:val="00520899"/>
    <w:rsid w:val="00520922"/>
    <w:rsid w:val="005209FC"/>
    <w:rsid w:val="00520E50"/>
    <w:rsid w:val="005224E5"/>
    <w:rsid w:val="005226BE"/>
    <w:rsid w:val="00523903"/>
    <w:rsid w:val="005239B6"/>
    <w:rsid w:val="00523C45"/>
    <w:rsid w:val="00523E23"/>
    <w:rsid w:val="00524165"/>
    <w:rsid w:val="005242BA"/>
    <w:rsid w:val="005246E7"/>
    <w:rsid w:val="00524FD2"/>
    <w:rsid w:val="00525621"/>
    <w:rsid w:val="00526431"/>
    <w:rsid w:val="005265D8"/>
    <w:rsid w:val="0052701B"/>
    <w:rsid w:val="005279FC"/>
    <w:rsid w:val="00527C6B"/>
    <w:rsid w:val="00527E57"/>
    <w:rsid w:val="00530405"/>
    <w:rsid w:val="00530522"/>
    <w:rsid w:val="005305E5"/>
    <w:rsid w:val="00530F38"/>
    <w:rsid w:val="00531F26"/>
    <w:rsid w:val="0053277C"/>
    <w:rsid w:val="005327C0"/>
    <w:rsid w:val="00533101"/>
    <w:rsid w:val="00533CA9"/>
    <w:rsid w:val="00533DA7"/>
    <w:rsid w:val="005346AD"/>
    <w:rsid w:val="00534C97"/>
    <w:rsid w:val="00534EFB"/>
    <w:rsid w:val="00534F60"/>
    <w:rsid w:val="00535083"/>
    <w:rsid w:val="0053543B"/>
    <w:rsid w:val="005357F1"/>
    <w:rsid w:val="00536053"/>
    <w:rsid w:val="005369E6"/>
    <w:rsid w:val="00536E62"/>
    <w:rsid w:val="005371AC"/>
    <w:rsid w:val="00537672"/>
    <w:rsid w:val="0053772F"/>
    <w:rsid w:val="00537B77"/>
    <w:rsid w:val="0054009B"/>
    <w:rsid w:val="005409B6"/>
    <w:rsid w:val="00540C4C"/>
    <w:rsid w:val="00541571"/>
    <w:rsid w:val="0054245B"/>
    <w:rsid w:val="0054271D"/>
    <w:rsid w:val="0054275A"/>
    <w:rsid w:val="005428B8"/>
    <w:rsid w:val="00542BD7"/>
    <w:rsid w:val="00542E67"/>
    <w:rsid w:val="00543084"/>
    <w:rsid w:val="00543CA5"/>
    <w:rsid w:val="0054413A"/>
    <w:rsid w:val="00544288"/>
    <w:rsid w:val="005446BB"/>
    <w:rsid w:val="00545E30"/>
    <w:rsid w:val="00545EA3"/>
    <w:rsid w:val="00546293"/>
    <w:rsid w:val="0054694C"/>
    <w:rsid w:val="00546C9B"/>
    <w:rsid w:val="00547BF6"/>
    <w:rsid w:val="00547D73"/>
    <w:rsid w:val="005502F9"/>
    <w:rsid w:val="00550CB1"/>
    <w:rsid w:val="00551098"/>
    <w:rsid w:val="00551581"/>
    <w:rsid w:val="00551598"/>
    <w:rsid w:val="0055162B"/>
    <w:rsid w:val="00551BFF"/>
    <w:rsid w:val="00551D68"/>
    <w:rsid w:val="00552B3E"/>
    <w:rsid w:val="00552DE3"/>
    <w:rsid w:val="005551AA"/>
    <w:rsid w:val="005564CA"/>
    <w:rsid w:val="005568EA"/>
    <w:rsid w:val="00557140"/>
    <w:rsid w:val="00557368"/>
    <w:rsid w:val="005578E6"/>
    <w:rsid w:val="0056058C"/>
    <w:rsid w:val="00560C87"/>
    <w:rsid w:val="00560EF9"/>
    <w:rsid w:val="00560F51"/>
    <w:rsid w:val="00561249"/>
    <w:rsid w:val="00561472"/>
    <w:rsid w:val="0056182B"/>
    <w:rsid w:val="005619D3"/>
    <w:rsid w:val="00561AF3"/>
    <w:rsid w:val="00561E0B"/>
    <w:rsid w:val="00562141"/>
    <w:rsid w:val="00562D86"/>
    <w:rsid w:val="005642EC"/>
    <w:rsid w:val="00564704"/>
    <w:rsid w:val="00564712"/>
    <w:rsid w:val="005657A8"/>
    <w:rsid w:val="00565952"/>
    <w:rsid w:val="00566866"/>
    <w:rsid w:val="00566D8F"/>
    <w:rsid w:val="005670A5"/>
    <w:rsid w:val="00567106"/>
    <w:rsid w:val="00567723"/>
    <w:rsid w:val="00567AB8"/>
    <w:rsid w:val="005707F7"/>
    <w:rsid w:val="00570A26"/>
    <w:rsid w:val="0057221F"/>
    <w:rsid w:val="00572539"/>
    <w:rsid w:val="0057293F"/>
    <w:rsid w:val="00573137"/>
    <w:rsid w:val="0057337D"/>
    <w:rsid w:val="00573504"/>
    <w:rsid w:val="00573788"/>
    <w:rsid w:val="00574708"/>
    <w:rsid w:val="00574932"/>
    <w:rsid w:val="00574D81"/>
    <w:rsid w:val="005756AA"/>
    <w:rsid w:val="0057582D"/>
    <w:rsid w:val="00576233"/>
    <w:rsid w:val="0057696F"/>
    <w:rsid w:val="005774FE"/>
    <w:rsid w:val="0058040C"/>
    <w:rsid w:val="00580D6D"/>
    <w:rsid w:val="00580FB3"/>
    <w:rsid w:val="005813DE"/>
    <w:rsid w:val="00581796"/>
    <w:rsid w:val="00581B45"/>
    <w:rsid w:val="005820E6"/>
    <w:rsid w:val="00582480"/>
    <w:rsid w:val="005825D7"/>
    <w:rsid w:val="0058290E"/>
    <w:rsid w:val="00582CAB"/>
    <w:rsid w:val="005831B5"/>
    <w:rsid w:val="0058375E"/>
    <w:rsid w:val="00584233"/>
    <w:rsid w:val="005842D0"/>
    <w:rsid w:val="0058439F"/>
    <w:rsid w:val="005855AE"/>
    <w:rsid w:val="00585829"/>
    <w:rsid w:val="00585BDB"/>
    <w:rsid w:val="00585CA8"/>
    <w:rsid w:val="00586412"/>
    <w:rsid w:val="005864B9"/>
    <w:rsid w:val="005866C4"/>
    <w:rsid w:val="00586BDB"/>
    <w:rsid w:val="00590A6C"/>
    <w:rsid w:val="00590F1A"/>
    <w:rsid w:val="00591C03"/>
    <w:rsid w:val="00591E2A"/>
    <w:rsid w:val="005923C4"/>
    <w:rsid w:val="00593527"/>
    <w:rsid w:val="00593F75"/>
    <w:rsid w:val="005940A0"/>
    <w:rsid w:val="0059429A"/>
    <w:rsid w:val="0059546C"/>
    <w:rsid w:val="00595FDD"/>
    <w:rsid w:val="00596AF7"/>
    <w:rsid w:val="00596CCE"/>
    <w:rsid w:val="00597E38"/>
    <w:rsid w:val="005A0122"/>
    <w:rsid w:val="005A0A2D"/>
    <w:rsid w:val="005A1100"/>
    <w:rsid w:val="005A1199"/>
    <w:rsid w:val="005A1976"/>
    <w:rsid w:val="005A2120"/>
    <w:rsid w:val="005A2501"/>
    <w:rsid w:val="005A2860"/>
    <w:rsid w:val="005A2C80"/>
    <w:rsid w:val="005A3066"/>
    <w:rsid w:val="005A3457"/>
    <w:rsid w:val="005A3B35"/>
    <w:rsid w:val="005A3C4B"/>
    <w:rsid w:val="005A3E5A"/>
    <w:rsid w:val="005A43F3"/>
    <w:rsid w:val="005A496F"/>
    <w:rsid w:val="005A4A56"/>
    <w:rsid w:val="005A5725"/>
    <w:rsid w:val="005A5A3D"/>
    <w:rsid w:val="005A5B87"/>
    <w:rsid w:val="005A6035"/>
    <w:rsid w:val="005A6B75"/>
    <w:rsid w:val="005A6E00"/>
    <w:rsid w:val="005A718A"/>
    <w:rsid w:val="005B09BE"/>
    <w:rsid w:val="005B12B2"/>
    <w:rsid w:val="005B143B"/>
    <w:rsid w:val="005B174F"/>
    <w:rsid w:val="005B1A49"/>
    <w:rsid w:val="005B1E45"/>
    <w:rsid w:val="005B21C4"/>
    <w:rsid w:val="005B2A28"/>
    <w:rsid w:val="005B33B6"/>
    <w:rsid w:val="005B3621"/>
    <w:rsid w:val="005B4948"/>
    <w:rsid w:val="005B4B5B"/>
    <w:rsid w:val="005B4FE5"/>
    <w:rsid w:val="005B501D"/>
    <w:rsid w:val="005B5086"/>
    <w:rsid w:val="005B54CC"/>
    <w:rsid w:val="005B5E48"/>
    <w:rsid w:val="005B74AD"/>
    <w:rsid w:val="005B7E96"/>
    <w:rsid w:val="005C01C1"/>
    <w:rsid w:val="005C0429"/>
    <w:rsid w:val="005C084F"/>
    <w:rsid w:val="005C0CE0"/>
    <w:rsid w:val="005C0EE9"/>
    <w:rsid w:val="005C1716"/>
    <w:rsid w:val="005C1954"/>
    <w:rsid w:val="005C1C0B"/>
    <w:rsid w:val="005C1D53"/>
    <w:rsid w:val="005C2011"/>
    <w:rsid w:val="005C2BCC"/>
    <w:rsid w:val="005C36CF"/>
    <w:rsid w:val="005C3EA3"/>
    <w:rsid w:val="005C5011"/>
    <w:rsid w:val="005C529E"/>
    <w:rsid w:val="005C57BA"/>
    <w:rsid w:val="005C5C52"/>
    <w:rsid w:val="005C5D3D"/>
    <w:rsid w:val="005C5D59"/>
    <w:rsid w:val="005C5E66"/>
    <w:rsid w:val="005C5F05"/>
    <w:rsid w:val="005C69F7"/>
    <w:rsid w:val="005C7F3E"/>
    <w:rsid w:val="005D0E1C"/>
    <w:rsid w:val="005D1051"/>
    <w:rsid w:val="005D119F"/>
    <w:rsid w:val="005D2044"/>
    <w:rsid w:val="005D2472"/>
    <w:rsid w:val="005D24C7"/>
    <w:rsid w:val="005D27DC"/>
    <w:rsid w:val="005D2917"/>
    <w:rsid w:val="005D2EB2"/>
    <w:rsid w:val="005D2F48"/>
    <w:rsid w:val="005D3811"/>
    <w:rsid w:val="005D3BEE"/>
    <w:rsid w:val="005D45F9"/>
    <w:rsid w:val="005D464B"/>
    <w:rsid w:val="005D466F"/>
    <w:rsid w:val="005D49E1"/>
    <w:rsid w:val="005D49F0"/>
    <w:rsid w:val="005D51FA"/>
    <w:rsid w:val="005D53E8"/>
    <w:rsid w:val="005D5A26"/>
    <w:rsid w:val="005D5A9D"/>
    <w:rsid w:val="005D6651"/>
    <w:rsid w:val="005D691D"/>
    <w:rsid w:val="005D6A72"/>
    <w:rsid w:val="005D749F"/>
    <w:rsid w:val="005D7725"/>
    <w:rsid w:val="005D791B"/>
    <w:rsid w:val="005D7CF2"/>
    <w:rsid w:val="005D7F92"/>
    <w:rsid w:val="005E049F"/>
    <w:rsid w:val="005E0D7B"/>
    <w:rsid w:val="005E1595"/>
    <w:rsid w:val="005E1F1D"/>
    <w:rsid w:val="005E1F61"/>
    <w:rsid w:val="005E273D"/>
    <w:rsid w:val="005E2C4E"/>
    <w:rsid w:val="005E3278"/>
    <w:rsid w:val="005E363B"/>
    <w:rsid w:val="005E3B0D"/>
    <w:rsid w:val="005E3FB1"/>
    <w:rsid w:val="005E456A"/>
    <w:rsid w:val="005E4DEF"/>
    <w:rsid w:val="005E6EA5"/>
    <w:rsid w:val="005E7FB5"/>
    <w:rsid w:val="005F0081"/>
    <w:rsid w:val="005F041F"/>
    <w:rsid w:val="005F073E"/>
    <w:rsid w:val="005F0AF6"/>
    <w:rsid w:val="005F0F06"/>
    <w:rsid w:val="005F1216"/>
    <w:rsid w:val="005F1819"/>
    <w:rsid w:val="005F1D7D"/>
    <w:rsid w:val="005F1D89"/>
    <w:rsid w:val="005F2558"/>
    <w:rsid w:val="005F271F"/>
    <w:rsid w:val="005F2BED"/>
    <w:rsid w:val="005F300C"/>
    <w:rsid w:val="005F305B"/>
    <w:rsid w:val="005F3361"/>
    <w:rsid w:val="005F3B47"/>
    <w:rsid w:val="005F4481"/>
    <w:rsid w:val="005F49AF"/>
    <w:rsid w:val="005F4A58"/>
    <w:rsid w:val="005F54DF"/>
    <w:rsid w:val="005F5888"/>
    <w:rsid w:val="005F5984"/>
    <w:rsid w:val="005F6CE2"/>
    <w:rsid w:val="005F72E9"/>
    <w:rsid w:val="005F730E"/>
    <w:rsid w:val="005F780B"/>
    <w:rsid w:val="00600195"/>
    <w:rsid w:val="00600473"/>
    <w:rsid w:val="006013C9"/>
    <w:rsid w:val="006016EA"/>
    <w:rsid w:val="0060216B"/>
    <w:rsid w:val="00602B45"/>
    <w:rsid w:val="00602FA6"/>
    <w:rsid w:val="00603499"/>
    <w:rsid w:val="006035F5"/>
    <w:rsid w:val="00603CC2"/>
    <w:rsid w:val="006047D1"/>
    <w:rsid w:val="00604A55"/>
    <w:rsid w:val="00604D3F"/>
    <w:rsid w:val="00605AC3"/>
    <w:rsid w:val="00606908"/>
    <w:rsid w:val="00606B23"/>
    <w:rsid w:val="00607996"/>
    <w:rsid w:val="00607A37"/>
    <w:rsid w:val="00607A9C"/>
    <w:rsid w:val="00607E9F"/>
    <w:rsid w:val="0061085E"/>
    <w:rsid w:val="00611398"/>
    <w:rsid w:val="0061155F"/>
    <w:rsid w:val="00612322"/>
    <w:rsid w:val="006123C0"/>
    <w:rsid w:val="00613191"/>
    <w:rsid w:val="006133F9"/>
    <w:rsid w:val="006134B3"/>
    <w:rsid w:val="00613659"/>
    <w:rsid w:val="00613DE1"/>
    <w:rsid w:val="0061401F"/>
    <w:rsid w:val="00614166"/>
    <w:rsid w:val="006145B9"/>
    <w:rsid w:val="00614817"/>
    <w:rsid w:val="006149CC"/>
    <w:rsid w:val="006157A9"/>
    <w:rsid w:val="0061591D"/>
    <w:rsid w:val="00615ED0"/>
    <w:rsid w:val="0061604C"/>
    <w:rsid w:val="0061610B"/>
    <w:rsid w:val="00616C2B"/>
    <w:rsid w:val="006174FA"/>
    <w:rsid w:val="00617572"/>
    <w:rsid w:val="006178D1"/>
    <w:rsid w:val="00620236"/>
    <w:rsid w:val="00620719"/>
    <w:rsid w:val="006212C9"/>
    <w:rsid w:val="00621459"/>
    <w:rsid w:val="00621D0C"/>
    <w:rsid w:val="00622470"/>
    <w:rsid w:val="0062264E"/>
    <w:rsid w:val="00622725"/>
    <w:rsid w:val="00622AB4"/>
    <w:rsid w:val="006231AA"/>
    <w:rsid w:val="00623482"/>
    <w:rsid w:val="00623822"/>
    <w:rsid w:val="00623AC2"/>
    <w:rsid w:val="00623FF7"/>
    <w:rsid w:val="00624332"/>
    <w:rsid w:val="00625A26"/>
    <w:rsid w:val="00625F38"/>
    <w:rsid w:val="006266D7"/>
    <w:rsid w:val="00626D42"/>
    <w:rsid w:val="00626EE3"/>
    <w:rsid w:val="006274AD"/>
    <w:rsid w:val="00627532"/>
    <w:rsid w:val="006302AA"/>
    <w:rsid w:val="006310C3"/>
    <w:rsid w:val="0063161E"/>
    <w:rsid w:val="0063167C"/>
    <w:rsid w:val="00631A31"/>
    <w:rsid w:val="00631BB5"/>
    <w:rsid w:val="00631DD0"/>
    <w:rsid w:val="006322CE"/>
    <w:rsid w:val="0063295C"/>
    <w:rsid w:val="00632DEE"/>
    <w:rsid w:val="00633367"/>
    <w:rsid w:val="0063367B"/>
    <w:rsid w:val="00633B5E"/>
    <w:rsid w:val="00633DBF"/>
    <w:rsid w:val="00634029"/>
    <w:rsid w:val="00634122"/>
    <w:rsid w:val="006355B6"/>
    <w:rsid w:val="00635E32"/>
    <w:rsid w:val="006365DE"/>
    <w:rsid w:val="00636BE4"/>
    <w:rsid w:val="0063746C"/>
    <w:rsid w:val="00637802"/>
    <w:rsid w:val="00637836"/>
    <w:rsid w:val="00637C26"/>
    <w:rsid w:val="00637F44"/>
    <w:rsid w:val="00640659"/>
    <w:rsid w:val="00641078"/>
    <w:rsid w:val="006411B0"/>
    <w:rsid w:val="00641242"/>
    <w:rsid w:val="00641762"/>
    <w:rsid w:val="006423A3"/>
    <w:rsid w:val="00642A32"/>
    <w:rsid w:val="006433D5"/>
    <w:rsid w:val="0064369C"/>
    <w:rsid w:val="00644156"/>
    <w:rsid w:val="00645D41"/>
    <w:rsid w:val="00646B20"/>
    <w:rsid w:val="00646D0F"/>
    <w:rsid w:val="0064708F"/>
    <w:rsid w:val="00647936"/>
    <w:rsid w:val="00647A36"/>
    <w:rsid w:val="00647DCC"/>
    <w:rsid w:val="00647EFA"/>
    <w:rsid w:val="00647F14"/>
    <w:rsid w:val="00647FD1"/>
    <w:rsid w:val="00650027"/>
    <w:rsid w:val="006507BF"/>
    <w:rsid w:val="00650B46"/>
    <w:rsid w:val="0065120E"/>
    <w:rsid w:val="00651389"/>
    <w:rsid w:val="0065188F"/>
    <w:rsid w:val="00651B9C"/>
    <w:rsid w:val="00651C47"/>
    <w:rsid w:val="00651D98"/>
    <w:rsid w:val="00652783"/>
    <w:rsid w:val="00652854"/>
    <w:rsid w:val="00652D2C"/>
    <w:rsid w:val="00652E70"/>
    <w:rsid w:val="0065303A"/>
    <w:rsid w:val="0065339A"/>
    <w:rsid w:val="00653469"/>
    <w:rsid w:val="00653F4A"/>
    <w:rsid w:val="00654A38"/>
    <w:rsid w:val="00654B4B"/>
    <w:rsid w:val="00655301"/>
    <w:rsid w:val="00655371"/>
    <w:rsid w:val="00655876"/>
    <w:rsid w:val="00655FB1"/>
    <w:rsid w:val="00656A0F"/>
    <w:rsid w:val="00656C4B"/>
    <w:rsid w:val="006573EA"/>
    <w:rsid w:val="00661029"/>
    <w:rsid w:val="00661042"/>
    <w:rsid w:val="0066135A"/>
    <w:rsid w:val="006614DC"/>
    <w:rsid w:val="00661639"/>
    <w:rsid w:val="0066272D"/>
    <w:rsid w:val="00662E58"/>
    <w:rsid w:val="00662F39"/>
    <w:rsid w:val="006635A0"/>
    <w:rsid w:val="00664351"/>
    <w:rsid w:val="0066553F"/>
    <w:rsid w:val="00665968"/>
    <w:rsid w:val="00665BF7"/>
    <w:rsid w:val="00666178"/>
    <w:rsid w:val="0066639E"/>
    <w:rsid w:val="00666473"/>
    <w:rsid w:val="00666611"/>
    <w:rsid w:val="00666C72"/>
    <w:rsid w:val="00666E5A"/>
    <w:rsid w:val="00666E6C"/>
    <w:rsid w:val="0066707F"/>
    <w:rsid w:val="0066731F"/>
    <w:rsid w:val="00667ED8"/>
    <w:rsid w:val="0067064C"/>
    <w:rsid w:val="00670B20"/>
    <w:rsid w:val="00670E12"/>
    <w:rsid w:val="00671229"/>
    <w:rsid w:val="00671E7D"/>
    <w:rsid w:val="00671F94"/>
    <w:rsid w:val="006720A1"/>
    <w:rsid w:val="00672E80"/>
    <w:rsid w:val="006735A4"/>
    <w:rsid w:val="006739E4"/>
    <w:rsid w:val="00673ECF"/>
    <w:rsid w:val="0067419A"/>
    <w:rsid w:val="0067426B"/>
    <w:rsid w:val="00674878"/>
    <w:rsid w:val="00674A1B"/>
    <w:rsid w:val="006754F8"/>
    <w:rsid w:val="00676127"/>
    <w:rsid w:val="006761E5"/>
    <w:rsid w:val="00676AED"/>
    <w:rsid w:val="00677981"/>
    <w:rsid w:val="00677F26"/>
    <w:rsid w:val="006802A7"/>
    <w:rsid w:val="006811C9"/>
    <w:rsid w:val="00681266"/>
    <w:rsid w:val="006812CE"/>
    <w:rsid w:val="006823DC"/>
    <w:rsid w:val="0068277A"/>
    <w:rsid w:val="00682791"/>
    <w:rsid w:val="00682C89"/>
    <w:rsid w:val="006832B8"/>
    <w:rsid w:val="006837B2"/>
    <w:rsid w:val="00683800"/>
    <w:rsid w:val="00684283"/>
    <w:rsid w:val="00684411"/>
    <w:rsid w:val="00684434"/>
    <w:rsid w:val="00684BF1"/>
    <w:rsid w:val="00684C8A"/>
    <w:rsid w:val="00684CF5"/>
    <w:rsid w:val="006853EA"/>
    <w:rsid w:val="0068553E"/>
    <w:rsid w:val="00685E7B"/>
    <w:rsid w:val="0068628A"/>
    <w:rsid w:val="00686551"/>
    <w:rsid w:val="0068730C"/>
    <w:rsid w:val="00687332"/>
    <w:rsid w:val="00687504"/>
    <w:rsid w:val="00687A14"/>
    <w:rsid w:val="00687A8C"/>
    <w:rsid w:val="006906FA"/>
    <w:rsid w:val="00690839"/>
    <w:rsid w:val="006908DB"/>
    <w:rsid w:val="00690DE9"/>
    <w:rsid w:val="00690FF7"/>
    <w:rsid w:val="00691308"/>
    <w:rsid w:val="00691DE9"/>
    <w:rsid w:val="00691EAA"/>
    <w:rsid w:val="00692245"/>
    <w:rsid w:val="00692FFA"/>
    <w:rsid w:val="00693772"/>
    <w:rsid w:val="00694160"/>
    <w:rsid w:val="006959A5"/>
    <w:rsid w:val="00695C0C"/>
    <w:rsid w:val="00695C9B"/>
    <w:rsid w:val="00695EBF"/>
    <w:rsid w:val="00696A05"/>
    <w:rsid w:val="00696E17"/>
    <w:rsid w:val="00697665"/>
    <w:rsid w:val="00697C9A"/>
    <w:rsid w:val="00697E68"/>
    <w:rsid w:val="006A0274"/>
    <w:rsid w:val="006A228F"/>
    <w:rsid w:val="006A2A43"/>
    <w:rsid w:val="006A2BF1"/>
    <w:rsid w:val="006A2EEA"/>
    <w:rsid w:val="006A2F9A"/>
    <w:rsid w:val="006A34E4"/>
    <w:rsid w:val="006A3A5A"/>
    <w:rsid w:val="006A4287"/>
    <w:rsid w:val="006A44CF"/>
    <w:rsid w:val="006A457D"/>
    <w:rsid w:val="006A544E"/>
    <w:rsid w:val="006A55EE"/>
    <w:rsid w:val="006A575B"/>
    <w:rsid w:val="006A59DE"/>
    <w:rsid w:val="006A6655"/>
    <w:rsid w:val="006A6B0B"/>
    <w:rsid w:val="006A6BF9"/>
    <w:rsid w:val="006A76BA"/>
    <w:rsid w:val="006A7CB5"/>
    <w:rsid w:val="006A7FD0"/>
    <w:rsid w:val="006B025C"/>
    <w:rsid w:val="006B0ECC"/>
    <w:rsid w:val="006B2534"/>
    <w:rsid w:val="006B2CB2"/>
    <w:rsid w:val="006B347D"/>
    <w:rsid w:val="006B3B7C"/>
    <w:rsid w:val="006B3C50"/>
    <w:rsid w:val="006B3E19"/>
    <w:rsid w:val="006B3FB6"/>
    <w:rsid w:val="006B40A8"/>
    <w:rsid w:val="006B4488"/>
    <w:rsid w:val="006B47F2"/>
    <w:rsid w:val="006B4CB2"/>
    <w:rsid w:val="006B671C"/>
    <w:rsid w:val="006B67AC"/>
    <w:rsid w:val="006B6A25"/>
    <w:rsid w:val="006B70FB"/>
    <w:rsid w:val="006B786A"/>
    <w:rsid w:val="006B78B9"/>
    <w:rsid w:val="006B7BA0"/>
    <w:rsid w:val="006B7E4E"/>
    <w:rsid w:val="006C003A"/>
    <w:rsid w:val="006C2454"/>
    <w:rsid w:val="006C2551"/>
    <w:rsid w:val="006C37CA"/>
    <w:rsid w:val="006C40B7"/>
    <w:rsid w:val="006C40D2"/>
    <w:rsid w:val="006C5B15"/>
    <w:rsid w:val="006C5D32"/>
    <w:rsid w:val="006C5D6C"/>
    <w:rsid w:val="006C5DCB"/>
    <w:rsid w:val="006C70C4"/>
    <w:rsid w:val="006C7270"/>
    <w:rsid w:val="006C775C"/>
    <w:rsid w:val="006C789C"/>
    <w:rsid w:val="006D04DA"/>
    <w:rsid w:val="006D0686"/>
    <w:rsid w:val="006D10F6"/>
    <w:rsid w:val="006D1544"/>
    <w:rsid w:val="006D1688"/>
    <w:rsid w:val="006D1FF3"/>
    <w:rsid w:val="006D2C65"/>
    <w:rsid w:val="006D32C6"/>
    <w:rsid w:val="006D360E"/>
    <w:rsid w:val="006D3697"/>
    <w:rsid w:val="006D39D2"/>
    <w:rsid w:val="006D3BB6"/>
    <w:rsid w:val="006D3F2A"/>
    <w:rsid w:val="006D4370"/>
    <w:rsid w:val="006D46A3"/>
    <w:rsid w:val="006D4AD1"/>
    <w:rsid w:val="006D658F"/>
    <w:rsid w:val="006D67A4"/>
    <w:rsid w:val="006D6988"/>
    <w:rsid w:val="006D69FA"/>
    <w:rsid w:val="006D6A12"/>
    <w:rsid w:val="006D6AAB"/>
    <w:rsid w:val="006D712D"/>
    <w:rsid w:val="006D7687"/>
    <w:rsid w:val="006D7D1F"/>
    <w:rsid w:val="006D7D8A"/>
    <w:rsid w:val="006E0572"/>
    <w:rsid w:val="006E05D8"/>
    <w:rsid w:val="006E08EE"/>
    <w:rsid w:val="006E155A"/>
    <w:rsid w:val="006E3452"/>
    <w:rsid w:val="006E39D1"/>
    <w:rsid w:val="006E437F"/>
    <w:rsid w:val="006E4B43"/>
    <w:rsid w:val="006E4D5B"/>
    <w:rsid w:val="006E602F"/>
    <w:rsid w:val="006E6720"/>
    <w:rsid w:val="006E68FA"/>
    <w:rsid w:val="006E7275"/>
    <w:rsid w:val="006E77B8"/>
    <w:rsid w:val="006F15CC"/>
    <w:rsid w:val="006F25C8"/>
    <w:rsid w:val="006F3BDD"/>
    <w:rsid w:val="006F3E7B"/>
    <w:rsid w:val="006F4147"/>
    <w:rsid w:val="006F4315"/>
    <w:rsid w:val="006F436D"/>
    <w:rsid w:val="006F4478"/>
    <w:rsid w:val="006F458D"/>
    <w:rsid w:val="006F4A6D"/>
    <w:rsid w:val="006F4CB0"/>
    <w:rsid w:val="006F4F78"/>
    <w:rsid w:val="006F547E"/>
    <w:rsid w:val="006F5656"/>
    <w:rsid w:val="006F5CA8"/>
    <w:rsid w:val="006F5CCF"/>
    <w:rsid w:val="006F5D99"/>
    <w:rsid w:val="006F688D"/>
    <w:rsid w:val="006F772B"/>
    <w:rsid w:val="006F78DC"/>
    <w:rsid w:val="00700D5F"/>
    <w:rsid w:val="007012DC"/>
    <w:rsid w:val="0070138A"/>
    <w:rsid w:val="0070157E"/>
    <w:rsid w:val="007030D4"/>
    <w:rsid w:val="0070317C"/>
    <w:rsid w:val="00703279"/>
    <w:rsid w:val="00703737"/>
    <w:rsid w:val="00703B61"/>
    <w:rsid w:val="00703E11"/>
    <w:rsid w:val="00703FB4"/>
    <w:rsid w:val="00704102"/>
    <w:rsid w:val="0070439B"/>
    <w:rsid w:val="0070461C"/>
    <w:rsid w:val="00705631"/>
    <w:rsid w:val="00705818"/>
    <w:rsid w:val="00705F62"/>
    <w:rsid w:val="0070773F"/>
    <w:rsid w:val="00707ED3"/>
    <w:rsid w:val="007101B7"/>
    <w:rsid w:val="00710549"/>
    <w:rsid w:val="00710668"/>
    <w:rsid w:val="00710AB5"/>
    <w:rsid w:val="007110F4"/>
    <w:rsid w:val="007112B1"/>
    <w:rsid w:val="0071130F"/>
    <w:rsid w:val="00711954"/>
    <w:rsid w:val="00712714"/>
    <w:rsid w:val="00712720"/>
    <w:rsid w:val="007128E3"/>
    <w:rsid w:val="007129AB"/>
    <w:rsid w:val="00712B63"/>
    <w:rsid w:val="007130F7"/>
    <w:rsid w:val="00713526"/>
    <w:rsid w:val="00713FC5"/>
    <w:rsid w:val="00715265"/>
    <w:rsid w:val="00715944"/>
    <w:rsid w:val="00715BBF"/>
    <w:rsid w:val="00715C29"/>
    <w:rsid w:val="00715CBD"/>
    <w:rsid w:val="00715E86"/>
    <w:rsid w:val="00715EAA"/>
    <w:rsid w:val="00716CAD"/>
    <w:rsid w:val="00716F18"/>
    <w:rsid w:val="00717363"/>
    <w:rsid w:val="00717786"/>
    <w:rsid w:val="00717ACB"/>
    <w:rsid w:val="00720159"/>
    <w:rsid w:val="00721BFF"/>
    <w:rsid w:val="007223E8"/>
    <w:rsid w:val="00722FD8"/>
    <w:rsid w:val="007236C4"/>
    <w:rsid w:val="00723B59"/>
    <w:rsid w:val="00724635"/>
    <w:rsid w:val="0072554B"/>
    <w:rsid w:val="00725AFD"/>
    <w:rsid w:val="00726603"/>
    <w:rsid w:val="00726772"/>
    <w:rsid w:val="00727DDC"/>
    <w:rsid w:val="00730CD6"/>
    <w:rsid w:val="00730F74"/>
    <w:rsid w:val="0073114B"/>
    <w:rsid w:val="007318A7"/>
    <w:rsid w:val="00732109"/>
    <w:rsid w:val="00734414"/>
    <w:rsid w:val="00734952"/>
    <w:rsid w:val="00734990"/>
    <w:rsid w:val="00734FF5"/>
    <w:rsid w:val="00735B78"/>
    <w:rsid w:val="00735DA7"/>
    <w:rsid w:val="007368B4"/>
    <w:rsid w:val="0073698D"/>
    <w:rsid w:val="00736A76"/>
    <w:rsid w:val="00736B78"/>
    <w:rsid w:val="007378E0"/>
    <w:rsid w:val="00737BF4"/>
    <w:rsid w:val="00737C5C"/>
    <w:rsid w:val="00740529"/>
    <w:rsid w:val="00740A6C"/>
    <w:rsid w:val="00741358"/>
    <w:rsid w:val="00741626"/>
    <w:rsid w:val="00742332"/>
    <w:rsid w:val="00742886"/>
    <w:rsid w:val="007429DB"/>
    <w:rsid w:val="00742DD2"/>
    <w:rsid w:val="007437C6"/>
    <w:rsid w:val="007439EE"/>
    <w:rsid w:val="007441A2"/>
    <w:rsid w:val="00744915"/>
    <w:rsid w:val="00744E80"/>
    <w:rsid w:val="00745035"/>
    <w:rsid w:val="0074531C"/>
    <w:rsid w:val="00745452"/>
    <w:rsid w:val="00745547"/>
    <w:rsid w:val="007459D0"/>
    <w:rsid w:val="00745BA1"/>
    <w:rsid w:val="0074623A"/>
    <w:rsid w:val="00746420"/>
    <w:rsid w:val="00746E04"/>
    <w:rsid w:val="00746E08"/>
    <w:rsid w:val="00746E3D"/>
    <w:rsid w:val="007473B9"/>
    <w:rsid w:val="007473EF"/>
    <w:rsid w:val="007474ED"/>
    <w:rsid w:val="00747529"/>
    <w:rsid w:val="007476EE"/>
    <w:rsid w:val="00747C96"/>
    <w:rsid w:val="00750075"/>
    <w:rsid w:val="007502EC"/>
    <w:rsid w:val="00750382"/>
    <w:rsid w:val="0075094E"/>
    <w:rsid w:val="00750FA8"/>
    <w:rsid w:val="00750FB5"/>
    <w:rsid w:val="00751B4C"/>
    <w:rsid w:val="007522E8"/>
    <w:rsid w:val="007524D4"/>
    <w:rsid w:val="0075264C"/>
    <w:rsid w:val="007533E7"/>
    <w:rsid w:val="00753BAC"/>
    <w:rsid w:val="007541FD"/>
    <w:rsid w:val="00754A0B"/>
    <w:rsid w:val="007552DB"/>
    <w:rsid w:val="00755B08"/>
    <w:rsid w:val="00755C31"/>
    <w:rsid w:val="00755DD0"/>
    <w:rsid w:val="0075647A"/>
    <w:rsid w:val="007566BE"/>
    <w:rsid w:val="00756A2F"/>
    <w:rsid w:val="007573E1"/>
    <w:rsid w:val="0075749E"/>
    <w:rsid w:val="007577DA"/>
    <w:rsid w:val="00757B2D"/>
    <w:rsid w:val="00757BAD"/>
    <w:rsid w:val="00757D62"/>
    <w:rsid w:val="00760672"/>
    <w:rsid w:val="00760844"/>
    <w:rsid w:val="00760867"/>
    <w:rsid w:val="00760EB6"/>
    <w:rsid w:val="007616DB"/>
    <w:rsid w:val="007620FC"/>
    <w:rsid w:val="0076228A"/>
    <w:rsid w:val="00762440"/>
    <w:rsid w:val="007629B7"/>
    <w:rsid w:val="00762E60"/>
    <w:rsid w:val="007634AD"/>
    <w:rsid w:val="00766E57"/>
    <w:rsid w:val="00766ECC"/>
    <w:rsid w:val="007672F3"/>
    <w:rsid w:val="007677B5"/>
    <w:rsid w:val="007678B1"/>
    <w:rsid w:val="00770317"/>
    <w:rsid w:val="007708A8"/>
    <w:rsid w:val="00772275"/>
    <w:rsid w:val="007734E4"/>
    <w:rsid w:val="0077368F"/>
    <w:rsid w:val="0077380D"/>
    <w:rsid w:val="00773BC8"/>
    <w:rsid w:val="0077466F"/>
    <w:rsid w:val="007752B7"/>
    <w:rsid w:val="0077566B"/>
    <w:rsid w:val="007759A8"/>
    <w:rsid w:val="00775D98"/>
    <w:rsid w:val="00776FE5"/>
    <w:rsid w:val="00777101"/>
    <w:rsid w:val="007774E7"/>
    <w:rsid w:val="0077768C"/>
    <w:rsid w:val="00777696"/>
    <w:rsid w:val="00777FF4"/>
    <w:rsid w:val="00780251"/>
    <w:rsid w:val="007804FE"/>
    <w:rsid w:val="00780F32"/>
    <w:rsid w:val="0078122E"/>
    <w:rsid w:val="00781939"/>
    <w:rsid w:val="00781D29"/>
    <w:rsid w:val="007825EF"/>
    <w:rsid w:val="007827B0"/>
    <w:rsid w:val="0078286B"/>
    <w:rsid w:val="00782D2C"/>
    <w:rsid w:val="00782FC2"/>
    <w:rsid w:val="00784714"/>
    <w:rsid w:val="00784FC4"/>
    <w:rsid w:val="00785783"/>
    <w:rsid w:val="00785BBB"/>
    <w:rsid w:val="00786FAD"/>
    <w:rsid w:val="007873C9"/>
    <w:rsid w:val="00787A7F"/>
    <w:rsid w:val="00787D90"/>
    <w:rsid w:val="00787F5E"/>
    <w:rsid w:val="00790164"/>
    <w:rsid w:val="007906E2"/>
    <w:rsid w:val="007907E8"/>
    <w:rsid w:val="00790A24"/>
    <w:rsid w:val="00790A37"/>
    <w:rsid w:val="00790A60"/>
    <w:rsid w:val="0079146D"/>
    <w:rsid w:val="00791C32"/>
    <w:rsid w:val="00791E08"/>
    <w:rsid w:val="00791FF0"/>
    <w:rsid w:val="007923D0"/>
    <w:rsid w:val="0079302C"/>
    <w:rsid w:val="007930D3"/>
    <w:rsid w:val="0079381F"/>
    <w:rsid w:val="00793B2E"/>
    <w:rsid w:val="007948F5"/>
    <w:rsid w:val="00795647"/>
    <w:rsid w:val="00795B0E"/>
    <w:rsid w:val="007963F6"/>
    <w:rsid w:val="00796418"/>
    <w:rsid w:val="00796576"/>
    <w:rsid w:val="00796E80"/>
    <w:rsid w:val="007979AD"/>
    <w:rsid w:val="00797A9C"/>
    <w:rsid w:val="007A0EAB"/>
    <w:rsid w:val="007A1948"/>
    <w:rsid w:val="007A1C21"/>
    <w:rsid w:val="007A2341"/>
    <w:rsid w:val="007A31A9"/>
    <w:rsid w:val="007A38A1"/>
    <w:rsid w:val="007A3967"/>
    <w:rsid w:val="007A3BBE"/>
    <w:rsid w:val="007A4766"/>
    <w:rsid w:val="007A5581"/>
    <w:rsid w:val="007A5816"/>
    <w:rsid w:val="007A5947"/>
    <w:rsid w:val="007A7DF2"/>
    <w:rsid w:val="007B0313"/>
    <w:rsid w:val="007B05FB"/>
    <w:rsid w:val="007B0854"/>
    <w:rsid w:val="007B0E48"/>
    <w:rsid w:val="007B18FD"/>
    <w:rsid w:val="007B1D1B"/>
    <w:rsid w:val="007B29F1"/>
    <w:rsid w:val="007B303E"/>
    <w:rsid w:val="007B32C0"/>
    <w:rsid w:val="007B32F7"/>
    <w:rsid w:val="007B3659"/>
    <w:rsid w:val="007B4263"/>
    <w:rsid w:val="007B4558"/>
    <w:rsid w:val="007B4632"/>
    <w:rsid w:val="007B46A2"/>
    <w:rsid w:val="007B4828"/>
    <w:rsid w:val="007B4B2D"/>
    <w:rsid w:val="007B4D4A"/>
    <w:rsid w:val="007B5428"/>
    <w:rsid w:val="007B54FE"/>
    <w:rsid w:val="007B57A5"/>
    <w:rsid w:val="007B699E"/>
    <w:rsid w:val="007B6C64"/>
    <w:rsid w:val="007B6EC8"/>
    <w:rsid w:val="007B6F81"/>
    <w:rsid w:val="007B787F"/>
    <w:rsid w:val="007B7992"/>
    <w:rsid w:val="007B7EA2"/>
    <w:rsid w:val="007C025A"/>
    <w:rsid w:val="007C081B"/>
    <w:rsid w:val="007C097D"/>
    <w:rsid w:val="007C13FA"/>
    <w:rsid w:val="007C1672"/>
    <w:rsid w:val="007C1F3C"/>
    <w:rsid w:val="007C312A"/>
    <w:rsid w:val="007C3570"/>
    <w:rsid w:val="007C3F2C"/>
    <w:rsid w:val="007C3F3B"/>
    <w:rsid w:val="007C4241"/>
    <w:rsid w:val="007C55FF"/>
    <w:rsid w:val="007C581D"/>
    <w:rsid w:val="007C5B11"/>
    <w:rsid w:val="007C6339"/>
    <w:rsid w:val="007C7C43"/>
    <w:rsid w:val="007C7F0D"/>
    <w:rsid w:val="007C7F6F"/>
    <w:rsid w:val="007D1134"/>
    <w:rsid w:val="007D20CF"/>
    <w:rsid w:val="007D23F7"/>
    <w:rsid w:val="007D2566"/>
    <w:rsid w:val="007D2C18"/>
    <w:rsid w:val="007D2D74"/>
    <w:rsid w:val="007D3395"/>
    <w:rsid w:val="007D3693"/>
    <w:rsid w:val="007D379C"/>
    <w:rsid w:val="007D3C6D"/>
    <w:rsid w:val="007D409B"/>
    <w:rsid w:val="007D481A"/>
    <w:rsid w:val="007D55AC"/>
    <w:rsid w:val="007D5648"/>
    <w:rsid w:val="007D58C5"/>
    <w:rsid w:val="007D5DE8"/>
    <w:rsid w:val="007D62DE"/>
    <w:rsid w:val="007D7503"/>
    <w:rsid w:val="007D7CFC"/>
    <w:rsid w:val="007D7FFC"/>
    <w:rsid w:val="007E0812"/>
    <w:rsid w:val="007E16A4"/>
    <w:rsid w:val="007E18DF"/>
    <w:rsid w:val="007E1C35"/>
    <w:rsid w:val="007E1D27"/>
    <w:rsid w:val="007E20FC"/>
    <w:rsid w:val="007E2A04"/>
    <w:rsid w:val="007E2C36"/>
    <w:rsid w:val="007E350D"/>
    <w:rsid w:val="007E3D3F"/>
    <w:rsid w:val="007E5659"/>
    <w:rsid w:val="007E5C4A"/>
    <w:rsid w:val="007E635C"/>
    <w:rsid w:val="007E64D4"/>
    <w:rsid w:val="007E66E9"/>
    <w:rsid w:val="007E66FF"/>
    <w:rsid w:val="007E69F2"/>
    <w:rsid w:val="007E7432"/>
    <w:rsid w:val="007E74BF"/>
    <w:rsid w:val="007F14D3"/>
    <w:rsid w:val="007F1C42"/>
    <w:rsid w:val="007F1D9D"/>
    <w:rsid w:val="007F1E28"/>
    <w:rsid w:val="007F1F37"/>
    <w:rsid w:val="007F1F63"/>
    <w:rsid w:val="007F21D8"/>
    <w:rsid w:val="007F22A0"/>
    <w:rsid w:val="007F280B"/>
    <w:rsid w:val="007F2F90"/>
    <w:rsid w:val="007F3320"/>
    <w:rsid w:val="007F392A"/>
    <w:rsid w:val="007F3973"/>
    <w:rsid w:val="007F3A85"/>
    <w:rsid w:val="007F3AC1"/>
    <w:rsid w:val="007F48FA"/>
    <w:rsid w:val="007F4976"/>
    <w:rsid w:val="007F5830"/>
    <w:rsid w:val="007F5A56"/>
    <w:rsid w:val="007F616E"/>
    <w:rsid w:val="007F665F"/>
    <w:rsid w:val="007F6B46"/>
    <w:rsid w:val="007F72CB"/>
    <w:rsid w:val="007F736A"/>
    <w:rsid w:val="007F7635"/>
    <w:rsid w:val="007F785F"/>
    <w:rsid w:val="007F7AF6"/>
    <w:rsid w:val="007F7E36"/>
    <w:rsid w:val="00800681"/>
    <w:rsid w:val="00800E6D"/>
    <w:rsid w:val="008014D9"/>
    <w:rsid w:val="0080150F"/>
    <w:rsid w:val="0080153A"/>
    <w:rsid w:val="00801A2A"/>
    <w:rsid w:val="00802041"/>
    <w:rsid w:val="008022C9"/>
    <w:rsid w:val="00802C0C"/>
    <w:rsid w:val="00802F9E"/>
    <w:rsid w:val="00803700"/>
    <w:rsid w:val="00803AB5"/>
    <w:rsid w:val="00803D9D"/>
    <w:rsid w:val="008059C6"/>
    <w:rsid w:val="00805AD7"/>
    <w:rsid w:val="00805BD6"/>
    <w:rsid w:val="00805DE3"/>
    <w:rsid w:val="00807037"/>
    <w:rsid w:val="00807666"/>
    <w:rsid w:val="00807C35"/>
    <w:rsid w:val="00807F69"/>
    <w:rsid w:val="008100EC"/>
    <w:rsid w:val="008100F7"/>
    <w:rsid w:val="00810206"/>
    <w:rsid w:val="00810711"/>
    <w:rsid w:val="00811898"/>
    <w:rsid w:val="00811C0F"/>
    <w:rsid w:val="008124D8"/>
    <w:rsid w:val="00813A7B"/>
    <w:rsid w:val="00813F04"/>
    <w:rsid w:val="00814B72"/>
    <w:rsid w:val="00815DA5"/>
    <w:rsid w:val="00816221"/>
    <w:rsid w:val="00816E85"/>
    <w:rsid w:val="0081766B"/>
    <w:rsid w:val="00820705"/>
    <w:rsid w:val="00820CBF"/>
    <w:rsid w:val="00820FA8"/>
    <w:rsid w:val="008212FD"/>
    <w:rsid w:val="00821489"/>
    <w:rsid w:val="008217B7"/>
    <w:rsid w:val="00821F5E"/>
    <w:rsid w:val="0082239B"/>
    <w:rsid w:val="0082282A"/>
    <w:rsid w:val="0082292E"/>
    <w:rsid w:val="00822D06"/>
    <w:rsid w:val="00822D87"/>
    <w:rsid w:val="0082348D"/>
    <w:rsid w:val="008234E0"/>
    <w:rsid w:val="008236BE"/>
    <w:rsid w:val="008241CE"/>
    <w:rsid w:val="00824EDA"/>
    <w:rsid w:val="00825240"/>
    <w:rsid w:val="00825B43"/>
    <w:rsid w:val="00826E06"/>
    <w:rsid w:val="00827203"/>
    <w:rsid w:val="0082767A"/>
    <w:rsid w:val="00827CC0"/>
    <w:rsid w:val="00831026"/>
    <w:rsid w:val="008310CC"/>
    <w:rsid w:val="0083119B"/>
    <w:rsid w:val="00831BAE"/>
    <w:rsid w:val="00832216"/>
    <w:rsid w:val="00832CD0"/>
    <w:rsid w:val="00833430"/>
    <w:rsid w:val="00833592"/>
    <w:rsid w:val="00834128"/>
    <w:rsid w:val="0083417F"/>
    <w:rsid w:val="00834DF1"/>
    <w:rsid w:val="00835143"/>
    <w:rsid w:val="00835741"/>
    <w:rsid w:val="00836BCD"/>
    <w:rsid w:val="00836E74"/>
    <w:rsid w:val="00836EAB"/>
    <w:rsid w:val="0083747B"/>
    <w:rsid w:val="00837673"/>
    <w:rsid w:val="00837937"/>
    <w:rsid w:val="00837D82"/>
    <w:rsid w:val="00840893"/>
    <w:rsid w:val="00840E88"/>
    <w:rsid w:val="0084195A"/>
    <w:rsid w:val="008423EC"/>
    <w:rsid w:val="008426E0"/>
    <w:rsid w:val="0084332E"/>
    <w:rsid w:val="00843615"/>
    <w:rsid w:val="00843698"/>
    <w:rsid w:val="00843A4B"/>
    <w:rsid w:val="00843B57"/>
    <w:rsid w:val="00843B60"/>
    <w:rsid w:val="00843D33"/>
    <w:rsid w:val="00844D4F"/>
    <w:rsid w:val="0084532A"/>
    <w:rsid w:val="00845AE3"/>
    <w:rsid w:val="00845DD0"/>
    <w:rsid w:val="00846531"/>
    <w:rsid w:val="008466A0"/>
    <w:rsid w:val="00846D1D"/>
    <w:rsid w:val="00846DBE"/>
    <w:rsid w:val="00847535"/>
    <w:rsid w:val="00847B6D"/>
    <w:rsid w:val="00847FFA"/>
    <w:rsid w:val="008501B7"/>
    <w:rsid w:val="0085059A"/>
    <w:rsid w:val="0085092D"/>
    <w:rsid w:val="00850AAB"/>
    <w:rsid w:val="00850D82"/>
    <w:rsid w:val="00850F79"/>
    <w:rsid w:val="0085100B"/>
    <w:rsid w:val="0085304C"/>
    <w:rsid w:val="0085457D"/>
    <w:rsid w:val="008548CA"/>
    <w:rsid w:val="0085587C"/>
    <w:rsid w:val="008562E4"/>
    <w:rsid w:val="00856C06"/>
    <w:rsid w:val="0085790B"/>
    <w:rsid w:val="00857C95"/>
    <w:rsid w:val="00857E78"/>
    <w:rsid w:val="008605E8"/>
    <w:rsid w:val="00860AEF"/>
    <w:rsid w:val="0086122C"/>
    <w:rsid w:val="00861310"/>
    <w:rsid w:val="0086184B"/>
    <w:rsid w:val="00861B7B"/>
    <w:rsid w:val="00861F0F"/>
    <w:rsid w:val="00861F53"/>
    <w:rsid w:val="0086289E"/>
    <w:rsid w:val="00863413"/>
    <w:rsid w:val="0086394E"/>
    <w:rsid w:val="008639B6"/>
    <w:rsid w:val="00863F8A"/>
    <w:rsid w:val="00863FE3"/>
    <w:rsid w:val="00864241"/>
    <w:rsid w:val="0086468A"/>
    <w:rsid w:val="00864CD5"/>
    <w:rsid w:val="008650BE"/>
    <w:rsid w:val="0086633B"/>
    <w:rsid w:val="00866495"/>
    <w:rsid w:val="00866511"/>
    <w:rsid w:val="00866931"/>
    <w:rsid w:val="00866FEF"/>
    <w:rsid w:val="00867512"/>
    <w:rsid w:val="00867C5D"/>
    <w:rsid w:val="0087033C"/>
    <w:rsid w:val="00870B44"/>
    <w:rsid w:val="008715ED"/>
    <w:rsid w:val="008717D8"/>
    <w:rsid w:val="00871E3C"/>
    <w:rsid w:val="0087213A"/>
    <w:rsid w:val="00872F97"/>
    <w:rsid w:val="00873323"/>
    <w:rsid w:val="00873863"/>
    <w:rsid w:val="00874607"/>
    <w:rsid w:val="00874915"/>
    <w:rsid w:val="00874B89"/>
    <w:rsid w:val="00875403"/>
    <w:rsid w:val="00875434"/>
    <w:rsid w:val="008760BD"/>
    <w:rsid w:val="00876158"/>
    <w:rsid w:val="00876215"/>
    <w:rsid w:val="0087646C"/>
    <w:rsid w:val="008765B1"/>
    <w:rsid w:val="00876815"/>
    <w:rsid w:val="00877932"/>
    <w:rsid w:val="00877CDD"/>
    <w:rsid w:val="008808C7"/>
    <w:rsid w:val="00880DB3"/>
    <w:rsid w:val="0088106B"/>
    <w:rsid w:val="0088107D"/>
    <w:rsid w:val="008812E2"/>
    <w:rsid w:val="0088168A"/>
    <w:rsid w:val="00881E64"/>
    <w:rsid w:val="0088230E"/>
    <w:rsid w:val="00882D20"/>
    <w:rsid w:val="00882E39"/>
    <w:rsid w:val="008850E3"/>
    <w:rsid w:val="008850EB"/>
    <w:rsid w:val="00885D01"/>
    <w:rsid w:val="00886B32"/>
    <w:rsid w:val="00886DF2"/>
    <w:rsid w:val="00886FB9"/>
    <w:rsid w:val="00887080"/>
    <w:rsid w:val="00887BC5"/>
    <w:rsid w:val="00887C79"/>
    <w:rsid w:val="008907CC"/>
    <w:rsid w:val="00890998"/>
    <w:rsid w:val="0089107B"/>
    <w:rsid w:val="008913CC"/>
    <w:rsid w:val="00891411"/>
    <w:rsid w:val="008914AE"/>
    <w:rsid w:val="00891838"/>
    <w:rsid w:val="008919CF"/>
    <w:rsid w:val="008919EB"/>
    <w:rsid w:val="00891F84"/>
    <w:rsid w:val="0089211C"/>
    <w:rsid w:val="008928EC"/>
    <w:rsid w:val="00892E5D"/>
    <w:rsid w:val="008935CF"/>
    <w:rsid w:val="008940B2"/>
    <w:rsid w:val="00894436"/>
    <w:rsid w:val="00894BB1"/>
    <w:rsid w:val="008950CB"/>
    <w:rsid w:val="008951D0"/>
    <w:rsid w:val="0089582D"/>
    <w:rsid w:val="008958BD"/>
    <w:rsid w:val="008959C6"/>
    <w:rsid w:val="0089606D"/>
    <w:rsid w:val="00896129"/>
    <w:rsid w:val="00896244"/>
    <w:rsid w:val="008965DF"/>
    <w:rsid w:val="0089774F"/>
    <w:rsid w:val="00897875"/>
    <w:rsid w:val="00897B8F"/>
    <w:rsid w:val="008A00D8"/>
    <w:rsid w:val="008A00D9"/>
    <w:rsid w:val="008A07D5"/>
    <w:rsid w:val="008A1F7E"/>
    <w:rsid w:val="008A2527"/>
    <w:rsid w:val="008A25E2"/>
    <w:rsid w:val="008A295B"/>
    <w:rsid w:val="008A2A23"/>
    <w:rsid w:val="008A2AF5"/>
    <w:rsid w:val="008A2B5A"/>
    <w:rsid w:val="008A2DD1"/>
    <w:rsid w:val="008A3F9D"/>
    <w:rsid w:val="008A4E4C"/>
    <w:rsid w:val="008A5474"/>
    <w:rsid w:val="008A590B"/>
    <w:rsid w:val="008A59F0"/>
    <w:rsid w:val="008A5C9A"/>
    <w:rsid w:val="008A6A55"/>
    <w:rsid w:val="008A6DF0"/>
    <w:rsid w:val="008A6F6E"/>
    <w:rsid w:val="008A7577"/>
    <w:rsid w:val="008A7888"/>
    <w:rsid w:val="008A796E"/>
    <w:rsid w:val="008B0862"/>
    <w:rsid w:val="008B088C"/>
    <w:rsid w:val="008B1BF5"/>
    <w:rsid w:val="008B2268"/>
    <w:rsid w:val="008B263F"/>
    <w:rsid w:val="008B3A83"/>
    <w:rsid w:val="008B3EBB"/>
    <w:rsid w:val="008B47A6"/>
    <w:rsid w:val="008B672C"/>
    <w:rsid w:val="008B7C3F"/>
    <w:rsid w:val="008C036D"/>
    <w:rsid w:val="008C0743"/>
    <w:rsid w:val="008C0B4C"/>
    <w:rsid w:val="008C11F0"/>
    <w:rsid w:val="008C1DBA"/>
    <w:rsid w:val="008C24E7"/>
    <w:rsid w:val="008C2500"/>
    <w:rsid w:val="008C2CAC"/>
    <w:rsid w:val="008C3392"/>
    <w:rsid w:val="008C3CB5"/>
    <w:rsid w:val="008C3E2A"/>
    <w:rsid w:val="008C42F5"/>
    <w:rsid w:val="008C45BD"/>
    <w:rsid w:val="008C4B19"/>
    <w:rsid w:val="008C568F"/>
    <w:rsid w:val="008C62D4"/>
    <w:rsid w:val="008C6B89"/>
    <w:rsid w:val="008D028B"/>
    <w:rsid w:val="008D077E"/>
    <w:rsid w:val="008D18AA"/>
    <w:rsid w:val="008D1A16"/>
    <w:rsid w:val="008D1A2A"/>
    <w:rsid w:val="008D29B1"/>
    <w:rsid w:val="008D35D9"/>
    <w:rsid w:val="008D3B25"/>
    <w:rsid w:val="008D3B85"/>
    <w:rsid w:val="008D4527"/>
    <w:rsid w:val="008D462D"/>
    <w:rsid w:val="008D4869"/>
    <w:rsid w:val="008D51F2"/>
    <w:rsid w:val="008D66CA"/>
    <w:rsid w:val="008D69B1"/>
    <w:rsid w:val="008D6E07"/>
    <w:rsid w:val="008D70AD"/>
    <w:rsid w:val="008D7150"/>
    <w:rsid w:val="008D7338"/>
    <w:rsid w:val="008D7773"/>
    <w:rsid w:val="008D7A33"/>
    <w:rsid w:val="008E0012"/>
    <w:rsid w:val="008E0649"/>
    <w:rsid w:val="008E0DF7"/>
    <w:rsid w:val="008E0FAD"/>
    <w:rsid w:val="008E1347"/>
    <w:rsid w:val="008E16E0"/>
    <w:rsid w:val="008E1C15"/>
    <w:rsid w:val="008E1C9A"/>
    <w:rsid w:val="008E28BD"/>
    <w:rsid w:val="008E38B4"/>
    <w:rsid w:val="008E3BA4"/>
    <w:rsid w:val="008E3E84"/>
    <w:rsid w:val="008E41C4"/>
    <w:rsid w:val="008E44AB"/>
    <w:rsid w:val="008E4D97"/>
    <w:rsid w:val="008E5179"/>
    <w:rsid w:val="008E5CD3"/>
    <w:rsid w:val="008E6598"/>
    <w:rsid w:val="008E6A17"/>
    <w:rsid w:val="008E7214"/>
    <w:rsid w:val="008E7348"/>
    <w:rsid w:val="008E7884"/>
    <w:rsid w:val="008E7D6E"/>
    <w:rsid w:val="008F1056"/>
    <w:rsid w:val="008F1D7D"/>
    <w:rsid w:val="008F2E8D"/>
    <w:rsid w:val="008F387B"/>
    <w:rsid w:val="008F3C67"/>
    <w:rsid w:val="008F3DD9"/>
    <w:rsid w:val="008F4814"/>
    <w:rsid w:val="008F4DA6"/>
    <w:rsid w:val="008F538E"/>
    <w:rsid w:val="008F5A20"/>
    <w:rsid w:val="008F5ABA"/>
    <w:rsid w:val="008F5EDC"/>
    <w:rsid w:val="008F6CF9"/>
    <w:rsid w:val="008F7905"/>
    <w:rsid w:val="008F7989"/>
    <w:rsid w:val="00900C70"/>
    <w:rsid w:val="009026AF"/>
    <w:rsid w:val="009028E8"/>
    <w:rsid w:val="00902E5C"/>
    <w:rsid w:val="0090350D"/>
    <w:rsid w:val="009039EB"/>
    <w:rsid w:val="00903CD2"/>
    <w:rsid w:val="009046E5"/>
    <w:rsid w:val="009047C5"/>
    <w:rsid w:val="00904FA5"/>
    <w:rsid w:val="00906C7F"/>
    <w:rsid w:val="00906E31"/>
    <w:rsid w:val="00910683"/>
    <w:rsid w:val="00910E00"/>
    <w:rsid w:val="009116CE"/>
    <w:rsid w:val="00911714"/>
    <w:rsid w:val="0091194A"/>
    <w:rsid w:val="00911A5B"/>
    <w:rsid w:val="00911B95"/>
    <w:rsid w:val="009136D4"/>
    <w:rsid w:val="00913706"/>
    <w:rsid w:val="00914B9A"/>
    <w:rsid w:val="00914C3F"/>
    <w:rsid w:val="00914F33"/>
    <w:rsid w:val="0091535A"/>
    <w:rsid w:val="009153F6"/>
    <w:rsid w:val="00915FCE"/>
    <w:rsid w:val="00916AFE"/>
    <w:rsid w:val="00916FC8"/>
    <w:rsid w:val="009170D3"/>
    <w:rsid w:val="0091755C"/>
    <w:rsid w:val="0091759C"/>
    <w:rsid w:val="00917910"/>
    <w:rsid w:val="00920026"/>
    <w:rsid w:val="009203E2"/>
    <w:rsid w:val="0092085F"/>
    <w:rsid w:val="00920DCB"/>
    <w:rsid w:val="00921304"/>
    <w:rsid w:val="00921805"/>
    <w:rsid w:val="00921BA7"/>
    <w:rsid w:val="00922CB5"/>
    <w:rsid w:val="00923396"/>
    <w:rsid w:val="00923F56"/>
    <w:rsid w:val="0092411F"/>
    <w:rsid w:val="009246C4"/>
    <w:rsid w:val="00924710"/>
    <w:rsid w:val="00925743"/>
    <w:rsid w:val="0092579F"/>
    <w:rsid w:val="0092770D"/>
    <w:rsid w:val="00927D0E"/>
    <w:rsid w:val="00927E8D"/>
    <w:rsid w:val="00927F23"/>
    <w:rsid w:val="00930698"/>
    <w:rsid w:val="009307CD"/>
    <w:rsid w:val="00930E7C"/>
    <w:rsid w:val="00931451"/>
    <w:rsid w:val="009314FA"/>
    <w:rsid w:val="0093194F"/>
    <w:rsid w:val="00931BF3"/>
    <w:rsid w:val="00931C55"/>
    <w:rsid w:val="00932C11"/>
    <w:rsid w:val="00933333"/>
    <w:rsid w:val="0093349A"/>
    <w:rsid w:val="009337B2"/>
    <w:rsid w:val="00933AF1"/>
    <w:rsid w:val="00933FCB"/>
    <w:rsid w:val="00934E69"/>
    <w:rsid w:val="00934FD7"/>
    <w:rsid w:val="009367D5"/>
    <w:rsid w:val="00937401"/>
    <w:rsid w:val="00937561"/>
    <w:rsid w:val="009376FB"/>
    <w:rsid w:val="00937D6B"/>
    <w:rsid w:val="0094029D"/>
    <w:rsid w:val="00940477"/>
    <w:rsid w:val="00940876"/>
    <w:rsid w:val="00940A53"/>
    <w:rsid w:val="00940F3C"/>
    <w:rsid w:val="00940FC1"/>
    <w:rsid w:val="009410E0"/>
    <w:rsid w:val="00942BB9"/>
    <w:rsid w:val="009444B4"/>
    <w:rsid w:val="00944644"/>
    <w:rsid w:val="00945242"/>
    <w:rsid w:val="009460F9"/>
    <w:rsid w:val="00946A24"/>
    <w:rsid w:val="009470D4"/>
    <w:rsid w:val="00947337"/>
    <w:rsid w:val="00947454"/>
    <w:rsid w:val="00947824"/>
    <w:rsid w:val="00950242"/>
    <w:rsid w:val="009512FA"/>
    <w:rsid w:val="00951E57"/>
    <w:rsid w:val="00953018"/>
    <w:rsid w:val="009533E2"/>
    <w:rsid w:val="009534AD"/>
    <w:rsid w:val="00953554"/>
    <w:rsid w:val="0095385A"/>
    <w:rsid w:val="00953928"/>
    <w:rsid w:val="00955906"/>
    <w:rsid w:val="00955978"/>
    <w:rsid w:val="00957010"/>
    <w:rsid w:val="0095780A"/>
    <w:rsid w:val="009579E4"/>
    <w:rsid w:val="00957AA4"/>
    <w:rsid w:val="00957ACB"/>
    <w:rsid w:val="00957E21"/>
    <w:rsid w:val="00957F27"/>
    <w:rsid w:val="009609F0"/>
    <w:rsid w:val="00960BDB"/>
    <w:rsid w:val="0096147D"/>
    <w:rsid w:val="00961E25"/>
    <w:rsid w:val="00961E5F"/>
    <w:rsid w:val="009625C6"/>
    <w:rsid w:val="009629B5"/>
    <w:rsid w:val="00962A50"/>
    <w:rsid w:val="00962F47"/>
    <w:rsid w:val="009631BD"/>
    <w:rsid w:val="00963955"/>
    <w:rsid w:val="00963CC9"/>
    <w:rsid w:val="00964138"/>
    <w:rsid w:val="00964742"/>
    <w:rsid w:val="00964B3F"/>
    <w:rsid w:val="00964C98"/>
    <w:rsid w:val="00964E0A"/>
    <w:rsid w:val="00965717"/>
    <w:rsid w:val="00966214"/>
    <w:rsid w:val="00966FB8"/>
    <w:rsid w:val="0096799B"/>
    <w:rsid w:val="00970572"/>
    <w:rsid w:val="00971441"/>
    <w:rsid w:val="009715D4"/>
    <w:rsid w:val="00971D7B"/>
    <w:rsid w:val="00972470"/>
    <w:rsid w:val="009739A9"/>
    <w:rsid w:val="00973AA2"/>
    <w:rsid w:val="0097494E"/>
    <w:rsid w:val="00974B58"/>
    <w:rsid w:val="00975229"/>
    <w:rsid w:val="009761ED"/>
    <w:rsid w:val="009801E7"/>
    <w:rsid w:val="0098022F"/>
    <w:rsid w:val="009808B5"/>
    <w:rsid w:val="009810DE"/>
    <w:rsid w:val="009816A2"/>
    <w:rsid w:val="009820E1"/>
    <w:rsid w:val="009822D7"/>
    <w:rsid w:val="009827E6"/>
    <w:rsid w:val="00982E70"/>
    <w:rsid w:val="00982F84"/>
    <w:rsid w:val="00983697"/>
    <w:rsid w:val="009838E9"/>
    <w:rsid w:val="0098427D"/>
    <w:rsid w:val="00984567"/>
    <w:rsid w:val="00985102"/>
    <w:rsid w:val="009865D5"/>
    <w:rsid w:val="0098697F"/>
    <w:rsid w:val="009876F2"/>
    <w:rsid w:val="00987A68"/>
    <w:rsid w:val="00987C77"/>
    <w:rsid w:val="00990345"/>
    <w:rsid w:val="00990701"/>
    <w:rsid w:val="0099090B"/>
    <w:rsid w:val="0099119C"/>
    <w:rsid w:val="0099137A"/>
    <w:rsid w:val="00991805"/>
    <w:rsid w:val="00992064"/>
    <w:rsid w:val="0099211C"/>
    <w:rsid w:val="00993B78"/>
    <w:rsid w:val="00994426"/>
    <w:rsid w:val="0099483A"/>
    <w:rsid w:val="00995119"/>
    <w:rsid w:val="00995265"/>
    <w:rsid w:val="009953AD"/>
    <w:rsid w:val="009955BC"/>
    <w:rsid w:val="0099583D"/>
    <w:rsid w:val="0099656E"/>
    <w:rsid w:val="00996992"/>
    <w:rsid w:val="00996E1E"/>
    <w:rsid w:val="00997392"/>
    <w:rsid w:val="0099747C"/>
    <w:rsid w:val="0099771C"/>
    <w:rsid w:val="009A01E4"/>
    <w:rsid w:val="009A0917"/>
    <w:rsid w:val="009A0A33"/>
    <w:rsid w:val="009A10A6"/>
    <w:rsid w:val="009A1351"/>
    <w:rsid w:val="009A2435"/>
    <w:rsid w:val="009A35DC"/>
    <w:rsid w:val="009A38AB"/>
    <w:rsid w:val="009A3A3D"/>
    <w:rsid w:val="009A3CFB"/>
    <w:rsid w:val="009A3D41"/>
    <w:rsid w:val="009A3D47"/>
    <w:rsid w:val="009A4D63"/>
    <w:rsid w:val="009A52E4"/>
    <w:rsid w:val="009A5356"/>
    <w:rsid w:val="009A5468"/>
    <w:rsid w:val="009A59FD"/>
    <w:rsid w:val="009A5D99"/>
    <w:rsid w:val="009A608C"/>
    <w:rsid w:val="009A63B7"/>
    <w:rsid w:val="009A6CA7"/>
    <w:rsid w:val="009A6CE6"/>
    <w:rsid w:val="009A6FDF"/>
    <w:rsid w:val="009A7006"/>
    <w:rsid w:val="009A76D6"/>
    <w:rsid w:val="009B199E"/>
    <w:rsid w:val="009B2E29"/>
    <w:rsid w:val="009B2FF3"/>
    <w:rsid w:val="009B3163"/>
    <w:rsid w:val="009B39C2"/>
    <w:rsid w:val="009B4100"/>
    <w:rsid w:val="009B422F"/>
    <w:rsid w:val="009B46BC"/>
    <w:rsid w:val="009B4D1A"/>
    <w:rsid w:val="009B558B"/>
    <w:rsid w:val="009B634C"/>
    <w:rsid w:val="009B6801"/>
    <w:rsid w:val="009B68DD"/>
    <w:rsid w:val="009B6D21"/>
    <w:rsid w:val="009B7779"/>
    <w:rsid w:val="009B78ED"/>
    <w:rsid w:val="009C181C"/>
    <w:rsid w:val="009C1C7F"/>
    <w:rsid w:val="009C28A2"/>
    <w:rsid w:val="009C2B9B"/>
    <w:rsid w:val="009C3239"/>
    <w:rsid w:val="009C3828"/>
    <w:rsid w:val="009C3D2C"/>
    <w:rsid w:val="009C41E9"/>
    <w:rsid w:val="009C4987"/>
    <w:rsid w:val="009C523F"/>
    <w:rsid w:val="009C59BF"/>
    <w:rsid w:val="009C5E4F"/>
    <w:rsid w:val="009C5F64"/>
    <w:rsid w:val="009C5F82"/>
    <w:rsid w:val="009C692B"/>
    <w:rsid w:val="009C70F8"/>
    <w:rsid w:val="009C756F"/>
    <w:rsid w:val="009C78A3"/>
    <w:rsid w:val="009C7F08"/>
    <w:rsid w:val="009D0156"/>
    <w:rsid w:val="009D05DA"/>
    <w:rsid w:val="009D0627"/>
    <w:rsid w:val="009D0B5D"/>
    <w:rsid w:val="009D11F6"/>
    <w:rsid w:val="009D13B9"/>
    <w:rsid w:val="009D1A14"/>
    <w:rsid w:val="009D1E2A"/>
    <w:rsid w:val="009D1FA0"/>
    <w:rsid w:val="009D2BDF"/>
    <w:rsid w:val="009D361F"/>
    <w:rsid w:val="009D3736"/>
    <w:rsid w:val="009D40B8"/>
    <w:rsid w:val="009D4529"/>
    <w:rsid w:val="009D4B03"/>
    <w:rsid w:val="009D5EB1"/>
    <w:rsid w:val="009D604F"/>
    <w:rsid w:val="009D61BB"/>
    <w:rsid w:val="009D6410"/>
    <w:rsid w:val="009D65FF"/>
    <w:rsid w:val="009D66B2"/>
    <w:rsid w:val="009D68BB"/>
    <w:rsid w:val="009D6E3A"/>
    <w:rsid w:val="009D70C2"/>
    <w:rsid w:val="009D7278"/>
    <w:rsid w:val="009D75EA"/>
    <w:rsid w:val="009D773A"/>
    <w:rsid w:val="009D7ADB"/>
    <w:rsid w:val="009D7B33"/>
    <w:rsid w:val="009D7C08"/>
    <w:rsid w:val="009E0703"/>
    <w:rsid w:val="009E16DA"/>
    <w:rsid w:val="009E1AC8"/>
    <w:rsid w:val="009E1CD4"/>
    <w:rsid w:val="009E20DC"/>
    <w:rsid w:val="009E2391"/>
    <w:rsid w:val="009E241B"/>
    <w:rsid w:val="009E299D"/>
    <w:rsid w:val="009E2E11"/>
    <w:rsid w:val="009E474E"/>
    <w:rsid w:val="009E476A"/>
    <w:rsid w:val="009E4E05"/>
    <w:rsid w:val="009E56FF"/>
    <w:rsid w:val="009E5CB1"/>
    <w:rsid w:val="009E5E56"/>
    <w:rsid w:val="009E61EA"/>
    <w:rsid w:val="009E6990"/>
    <w:rsid w:val="009E6FCA"/>
    <w:rsid w:val="009E6FEE"/>
    <w:rsid w:val="009F060F"/>
    <w:rsid w:val="009F0781"/>
    <w:rsid w:val="009F0850"/>
    <w:rsid w:val="009F11B2"/>
    <w:rsid w:val="009F151C"/>
    <w:rsid w:val="009F1BDF"/>
    <w:rsid w:val="009F1C47"/>
    <w:rsid w:val="009F1EAE"/>
    <w:rsid w:val="009F369D"/>
    <w:rsid w:val="009F36FE"/>
    <w:rsid w:val="009F3ADB"/>
    <w:rsid w:val="009F4386"/>
    <w:rsid w:val="009F46A9"/>
    <w:rsid w:val="009F4F25"/>
    <w:rsid w:val="009F4FA7"/>
    <w:rsid w:val="009F59C2"/>
    <w:rsid w:val="009F5B00"/>
    <w:rsid w:val="009F7263"/>
    <w:rsid w:val="009F76EA"/>
    <w:rsid w:val="009F78EB"/>
    <w:rsid w:val="009F7F32"/>
    <w:rsid w:val="009F7FEB"/>
    <w:rsid w:val="00A004CE"/>
    <w:rsid w:val="00A01852"/>
    <w:rsid w:val="00A0188B"/>
    <w:rsid w:val="00A01E73"/>
    <w:rsid w:val="00A023E7"/>
    <w:rsid w:val="00A02B88"/>
    <w:rsid w:val="00A02F3C"/>
    <w:rsid w:val="00A03160"/>
    <w:rsid w:val="00A036AC"/>
    <w:rsid w:val="00A03C54"/>
    <w:rsid w:val="00A041BC"/>
    <w:rsid w:val="00A0447F"/>
    <w:rsid w:val="00A046D2"/>
    <w:rsid w:val="00A04A54"/>
    <w:rsid w:val="00A05B4B"/>
    <w:rsid w:val="00A066C3"/>
    <w:rsid w:val="00A06754"/>
    <w:rsid w:val="00A06942"/>
    <w:rsid w:val="00A069E0"/>
    <w:rsid w:val="00A06BD7"/>
    <w:rsid w:val="00A06E4A"/>
    <w:rsid w:val="00A071B0"/>
    <w:rsid w:val="00A078FB"/>
    <w:rsid w:val="00A102E0"/>
    <w:rsid w:val="00A1036D"/>
    <w:rsid w:val="00A1069F"/>
    <w:rsid w:val="00A10919"/>
    <w:rsid w:val="00A10ACA"/>
    <w:rsid w:val="00A10D04"/>
    <w:rsid w:val="00A10D08"/>
    <w:rsid w:val="00A10EB0"/>
    <w:rsid w:val="00A11A98"/>
    <w:rsid w:val="00A12355"/>
    <w:rsid w:val="00A12384"/>
    <w:rsid w:val="00A127B7"/>
    <w:rsid w:val="00A127D2"/>
    <w:rsid w:val="00A12ADA"/>
    <w:rsid w:val="00A143EC"/>
    <w:rsid w:val="00A14A60"/>
    <w:rsid w:val="00A14C64"/>
    <w:rsid w:val="00A14F69"/>
    <w:rsid w:val="00A1500F"/>
    <w:rsid w:val="00A15621"/>
    <w:rsid w:val="00A15670"/>
    <w:rsid w:val="00A157A0"/>
    <w:rsid w:val="00A1585B"/>
    <w:rsid w:val="00A1595B"/>
    <w:rsid w:val="00A15C19"/>
    <w:rsid w:val="00A16809"/>
    <w:rsid w:val="00A1759E"/>
    <w:rsid w:val="00A176FA"/>
    <w:rsid w:val="00A17721"/>
    <w:rsid w:val="00A17769"/>
    <w:rsid w:val="00A17EA2"/>
    <w:rsid w:val="00A20264"/>
    <w:rsid w:val="00A20997"/>
    <w:rsid w:val="00A21454"/>
    <w:rsid w:val="00A22025"/>
    <w:rsid w:val="00A22498"/>
    <w:rsid w:val="00A22571"/>
    <w:rsid w:val="00A23023"/>
    <w:rsid w:val="00A23A08"/>
    <w:rsid w:val="00A24560"/>
    <w:rsid w:val="00A251AE"/>
    <w:rsid w:val="00A25B0F"/>
    <w:rsid w:val="00A25BBB"/>
    <w:rsid w:val="00A25D87"/>
    <w:rsid w:val="00A25F8E"/>
    <w:rsid w:val="00A27F18"/>
    <w:rsid w:val="00A27F20"/>
    <w:rsid w:val="00A27FB6"/>
    <w:rsid w:val="00A30121"/>
    <w:rsid w:val="00A30356"/>
    <w:rsid w:val="00A30368"/>
    <w:rsid w:val="00A3043A"/>
    <w:rsid w:val="00A30E02"/>
    <w:rsid w:val="00A30F6A"/>
    <w:rsid w:val="00A31BA2"/>
    <w:rsid w:val="00A31C3E"/>
    <w:rsid w:val="00A34538"/>
    <w:rsid w:val="00A34677"/>
    <w:rsid w:val="00A34BA0"/>
    <w:rsid w:val="00A3540F"/>
    <w:rsid w:val="00A35630"/>
    <w:rsid w:val="00A35914"/>
    <w:rsid w:val="00A36189"/>
    <w:rsid w:val="00A3622F"/>
    <w:rsid w:val="00A37E73"/>
    <w:rsid w:val="00A37FB6"/>
    <w:rsid w:val="00A404C6"/>
    <w:rsid w:val="00A41003"/>
    <w:rsid w:val="00A4104A"/>
    <w:rsid w:val="00A41081"/>
    <w:rsid w:val="00A411CA"/>
    <w:rsid w:val="00A413AD"/>
    <w:rsid w:val="00A415AA"/>
    <w:rsid w:val="00A4169F"/>
    <w:rsid w:val="00A42096"/>
    <w:rsid w:val="00A421E7"/>
    <w:rsid w:val="00A426F3"/>
    <w:rsid w:val="00A42BBA"/>
    <w:rsid w:val="00A42FDF"/>
    <w:rsid w:val="00A430A9"/>
    <w:rsid w:val="00A431FE"/>
    <w:rsid w:val="00A434E9"/>
    <w:rsid w:val="00A439E5"/>
    <w:rsid w:val="00A43D1B"/>
    <w:rsid w:val="00A4497A"/>
    <w:rsid w:val="00A44BE8"/>
    <w:rsid w:val="00A44C96"/>
    <w:rsid w:val="00A44F54"/>
    <w:rsid w:val="00A45728"/>
    <w:rsid w:val="00A45F9B"/>
    <w:rsid w:val="00A461BF"/>
    <w:rsid w:val="00A46574"/>
    <w:rsid w:val="00A4657A"/>
    <w:rsid w:val="00A467C4"/>
    <w:rsid w:val="00A46EE4"/>
    <w:rsid w:val="00A47D53"/>
    <w:rsid w:val="00A500B1"/>
    <w:rsid w:val="00A51593"/>
    <w:rsid w:val="00A52D3F"/>
    <w:rsid w:val="00A52EE5"/>
    <w:rsid w:val="00A53037"/>
    <w:rsid w:val="00A532B9"/>
    <w:rsid w:val="00A5351D"/>
    <w:rsid w:val="00A53864"/>
    <w:rsid w:val="00A53D84"/>
    <w:rsid w:val="00A53E79"/>
    <w:rsid w:val="00A53F14"/>
    <w:rsid w:val="00A54031"/>
    <w:rsid w:val="00A5426D"/>
    <w:rsid w:val="00A54FC2"/>
    <w:rsid w:val="00A55122"/>
    <w:rsid w:val="00A5696C"/>
    <w:rsid w:val="00A56C67"/>
    <w:rsid w:val="00A56DE7"/>
    <w:rsid w:val="00A57892"/>
    <w:rsid w:val="00A57AF7"/>
    <w:rsid w:val="00A57EB2"/>
    <w:rsid w:val="00A6009E"/>
    <w:rsid w:val="00A605F9"/>
    <w:rsid w:val="00A60762"/>
    <w:rsid w:val="00A60B1F"/>
    <w:rsid w:val="00A61C60"/>
    <w:rsid w:val="00A62589"/>
    <w:rsid w:val="00A62C3A"/>
    <w:rsid w:val="00A62FCD"/>
    <w:rsid w:val="00A63505"/>
    <w:rsid w:val="00A63812"/>
    <w:rsid w:val="00A63DF7"/>
    <w:rsid w:val="00A64026"/>
    <w:rsid w:val="00A64198"/>
    <w:rsid w:val="00A64505"/>
    <w:rsid w:val="00A668BA"/>
    <w:rsid w:val="00A66FA7"/>
    <w:rsid w:val="00A674AA"/>
    <w:rsid w:val="00A677F6"/>
    <w:rsid w:val="00A67E16"/>
    <w:rsid w:val="00A703CC"/>
    <w:rsid w:val="00A70C5C"/>
    <w:rsid w:val="00A71EA7"/>
    <w:rsid w:val="00A730AD"/>
    <w:rsid w:val="00A73855"/>
    <w:rsid w:val="00A73D64"/>
    <w:rsid w:val="00A73FEA"/>
    <w:rsid w:val="00A74216"/>
    <w:rsid w:val="00A744B4"/>
    <w:rsid w:val="00A74D61"/>
    <w:rsid w:val="00A751E3"/>
    <w:rsid w:val="00A75504"/>
    <w:rsid w:val="00A75CD9"/>
    <w:rsid w:val="00A76438"/>
    <w:rsid w:val="00A77168"/>
    <w:rsid w:val="00A7723B"/>
    <w:rsid w:val="00A7793C"/>
    <w:rsid w:val="00A77D21"/>
    <w:rsid w:val="00A80085"/>
    <w:rsid w:val="00A8043B"/>
    <w:rsid w:val="00A81323"/>
    <w:rsid w:val="00A81AC0"/>
    <w:rsid w:val="00A81D1E"/>
    <w:rsid w:val="00A820CB"/>
    <w:rsid w:val="00A82342"/>
    <w:rsid w:val="00A829EE"/>
    <w:rsid w:val="00A83BEF"/>
    <w:rsid w:val="00A84443"/>
    <w:rsid w:val="00A8487F"/>
    <w:rsid w:val="00A848FC"/>
    <w:rsid w:val="00A849A3"/>
    <w:rsid w:val="00A84A0E"/>
    <w:rsid w:val="00A851FD"/>
    <w:rsid w:val="00A86461"/>
    <w:rsid w:val="00A86B00"/>
    <w:rsid w:val="00A86E0B"/>
    <w:rsid w:val="00A90F12"/>
    <w:rsid w:val="00A9110D"/>
    <w:rsid w:val="00A9121D"/>
    <w:rsid w:val="00A93101"/>
    <w:rsid w:val="00A94293"/>
    <w:rsid w:val="00A94760"/>
    <w:rsid w:val="00A9496E"/>
    <w:rsid w:val="00A949F0"/>
    <w:rsid w:val="00A94BDE"/>
    <w:rsid w:val="00A94FCA"/>
    <w:rsid w:val="00A951D1"/>
    <w:rsid w:val="00A95E4C"/>
    <w:rsid w:val="00A964A2"/>
    <w:rsid w:val="00A96C60"/>
    <w:rsid w:val="00A9740B"/>
    <w:rsid w:val="00A9766C"/>
    <w:rsid w:val="00A977F8"/>
    <w:rsid w:val="00A97C93"/>
    <w:rsid w:val="00AA08E7"/>
    <w:rsid w:val="00AA0A06"/>
    <w:rsid w:val="00AA1351"/>
    <w:rsid w:val="00AA1859"/>
    <w:rsid w:val="00AA1C84"/>
    <w:rsid w:val="00AA2899"/>
    <w:rsid w:val="00AA30E4"/>
    <w:rsid w:val="00AA3D7B"/>
    <w:rsid w:val="00AA42A0"/>
    <w:rsid w:val="00AA442B"/>
    <w:rsid w:val="00AA46A4"/>
    <w:rsid w:val="00AA5779"/>
    <w:rsid w:val="00AA58A1"/>
    <w:rsid w:val="00AA61C7"/>
    <w:rsid w:val="00AA669D"/>
    <w:rsid w:val="00AA66ED"/>
    <w:rsid w:val="00AA6BE1"/>
    <w:rsid w:val="00AA6E80"/>
    <w:rsid w:val="00AA7416"/>
    <w:rsid w:val="00AA7A60"/>
    <w:rsid w:val="00AA7B42"/>
    <w:rsid w:val="00AB041C"/>
    <w:rsid w:val="00AB0483"/>
    <w:rsid w:val="00AB05A8"/>
    <w:rsid w:val="00AB14E8"/>
    <w:rsid w:val="00AB17EC"/>
    <w:rsid w:val="00AB1B1D"/>
    <w:rsid w:val="00AB2216"/>
    <w:rsid w:val="00AB2901"/>
    <w:rsid w:val="00AB2C0A"/>
    <w:rsid w:val="00AB358D"/>
    <w:rsid w:val="00AB37A1"/>
    <w:rsid w:val="00AB3BAD"/>
    <w:rsid w:val="00AB3CFD"/>
    <w:rsid w:val="00AB40C6"/>
    <w:rsid w:val="00AB49BC"/>
    <w:rsid w:val="00AB4DEE"/>
    <w:rsid w:val="00AB4E32"/>
    <w:rsid w:val="00AB4F86"/>
    <w:rsid w:val="00AB579A"/>
    <w:rsid w:val="00AB60A3"/>
    <w:rsid w:val="00AB724B"/>
    <w:rsid w:val="00AB726C"/>
    <w:rsid w:val="00AB72B4"/>
    <w:rsid w:val="00AC02AA"/>
    <w:rsid w:val="00AC0537"/>
    <w:rsid w:val="00AC0A84"/>
    <w:rsid w:val="00AC2A0B"/>
    <w:rsid w:val="00AC2BEC"/>
    <w:rsid w:val="00AC2BEE"/>
    <w:rsid w:val="00AC2E53"/>
    <w:rsid w:val="00AC30DB"/>
    <w:rsid w:val="00AC484F"/>
    <w:rsid w:val="00AC4B20"/>
    <w:rsid w:val="00AC4D8F"/>
    <w:rsid w:val="00AC56F2"/>
    <w:rsid w:val="00AC5B83"/>
    <w:rsid w:val="00AC5D30"/>
    <w:rsid w:val="00AC5E8D"/>
    <w:rsid w:val="00AC6886"/>
    <w:rsid w:val="00AC6C90"/>
    <w:rsid w:val="00AC71C3"/>
    <w:rsid w:val="00AD0DA5"/>
    <w:rsid w:val="00AD1497"/>
    <w:rsid w:val="00AD1499"/>
    <w:rsid w:val="00AD1EFA"/>
    <w:rsid w:val="00AD2072"/>
    <w:rsid w:val="00AD2808"/>
    <w:rsid w:val="00AD2DBD"/>
    <w:rsid w:val="00AD2FBF"/>
    <w:rsid w:val="00AD455D"/>
    <w:rsid w:val="00AD463C"/>
    <w:rsid w:val="00AD46A2"/>
    <w:rsid w:val="00AD47E8"/>
    <w:rsid w:val="00AD4F60"/>
    <w:rsid w:val="00AD5044"/>
    <w:rsid w:val="00AD5114"/>
    <w:rsid w:val="00AD523A"/>
    <w:rsid w:val="00AD6236"/>
    <w:rsid w:val="00AD7619"/>
    <w:rsid w:val="00AD7770"/>
    <w:rsid w:val="00AD7BF3"/>
    <w:rsid w:val="00AE0588"/>
    <w:rsid w:val="00AE05F9"/>
    <w:rsid w:val="00AE1772"/>
    <w:rsid w:val="00AE1990"/>
    <w:rsid w:val="00AE1BB9"/>
    <w:rsid w:val="00AE2523"/>
    <w:rsid w:val="00AE25E8"/>
    <w:rsid w:val="00AE2AD4"/>
    <w:rsid w:val="00AE2CA7"/>
    <w:rsid w:val="00AE2F1D"/>
    <w:rsid w:val="00AE4B2B"/>
    <w:rsid w:val="00AE586F"/>
    <w:rsid w:val="00AE6582"/>
    <w:rsid w:val="00AE69D4"/>
    <w:rsid w:val="00AE6BC7"/>
    <w:rsid w:val="00AE6DC5"/>
    <w:rsid w:val="00AE7003"/>
    <w:rsid w:val="00AE7686"/>
    <w:rsid w:val="00AE799A"/>
    <w:rsid w:val="00AF00B6"/>
    <w:rsid w:val="00AF0492"/>
    <w:rsid w:val="00AF0577"/>
    <w:rsid w:val="00AF0E81"/>
    <w:rsid w:val="00AF0F32"/>
    <w:rsid w:val="00AF1130"/>
    <w:rsid w:val="00AF117A"/>
    <w:rsid w:val="00AF186E"/>
    <w:rsid w:val="00AF19DF"/>
    <w:rsid w:val="00AF1F4F"/>
    <w:rsid w:val="00AF26CF"/>
    <w:rsid w:val="00AF2AD1"/>
    <w:rsid w:val="00AF343A"/>
    <w:rsid w:val="00AF35A8"/>
    <w:rsid w:val="00AF362F"/>
    <w:rsid w:val="00AF400A"/>
    <w:rsid w:val="00AF4E92"/>
    <w:rsid w:val="00AF554B"/>
    <w:rsid w:val="00AF5C9B"/>
    <w:rsid w:val="00AF5D53"/>
    <w:rsid w:val="00AF5E2D"/>
    <w:rsid w:val="00AF644B"/>
    <w:rsid w:val="00AF6CA6"/>
    <w:rsid w:val="00AF6EB6"/>
    <w:rsid w:val="00AF72E3"/>
    <w:rsid w:val="00AF7367"/>
    <w:rsid w:val="00AF7796"/>
    <w:rsid w:val="00B011A9"/>
    <w:rsid w:val="00B0134C"/>
    <w:rsid w:val="00B015CF"/>
    <w:rsid w:val="00B015F3"/>
    <w:rsid w:val="00B01BA5"/>
    <w:rsid w:val="00B01D84"/>
    <w:rsid w:val="00B024ED"/>
    <w:rsid w:val="00B02E66"/>
    <w:rsid w:val="00B02EB3"/>
    <w:rsid w:val="00B02FCB"/>
    <w:rsid w:val="00B033F8"/>
    <w:rsid w:val="00B03540"/>
    <w:rsid w:val="00B03C1E"/>
    <w:rsid w:val="00B04400"/>
    <w:rsid w:val="00B04835"/>
    <w:rsid w:val="00B05A55"/>
    <w:rsid w:val="00B05DE1"/>
    <w:rsid w:val="00B06595"/>
    <w:rsid w:val="00B0722B"/>
    <w:rsid w:val="00B07D11"/>
    <w:rsid w:val="00B10109"/>
    <w:rsid w:val="00B1085E"/>
    <w:rsid w:val="00B10FD0"/>
    <w:rsid w:val="00B10FD1"/>
    <w:rsid w:val="00B11896"/>
    <w:rsid w:val="00B11B55"/>
    <w:rsid w:val="00B12735"/>
    <w:rsid w:val="00B129C6"/>
    <w:rsid w:val="00B12CD5"/>
    <w:rsid w:val="00B131C4"/>
    <w:rsid w:val="00B13386"/>
    <w:rsid w:val="00B13533"/>
    <w:rsid w:val="00B13C48"/>
    <w:rsid w:val="00B13E35"/>
    <w:rsid w:val="00B13EC0"/>
    <w:rsid w:val="00B13FA5"/>
    <w:rsid w:val="00B14102"/>
    <w:rsid w:val="00B14D32"/>
    <w:rsid w:val="00B1557C"/>
    <w:rsid w:val="00B155DC"/>
    <w:rsid w:val="00B15766"/>
    <w:rsid w:val="00B159AA"/>
    <w:rsid w:val="00B1666A"/>
    <w:rsid w:val="00B1686D"/>
    <w:rsid w:val="00B17037"/>
    <w:rsid w:val="00B1741D"/>
    <w:rsid w:val="00B17447"/>
    <w:rsid w:val="00B174FD"/>
    <w:rsid w:val="00B17563"/>
    <w:rsid w:val="00B1771D"/>
    <w:rsid w:val="00B1792E"/>
    <w:rsid w:val="00B17B91"/>
    <w:rsid w:val="00B20209"/>
    <w:rsid w:val="00B203AF"/>
    <w:rsid w:val="00B203C9"/>
    <w:rsid w:val="00B2088D"/>
    <w:rsid w:val="00B208FF"/>
    <w:rsid w:val="00B228D1"/>
    <w:rsid w:val="00B22C58"/>
    <w:rsid w:val="00B22D35"/>
    <w:rsid w:val="00B22E22"/>
    <w:rsid w:val="00B22F5F"/>
    <w:rsid w:val="00B23813"/>
    <w:rsid w:val="00B23FD9"/>
    <w:rsid w:val="00B24591"/>
    <w:rsid w:val="00B245D5"/>
    <w:rsid w:val="00B24C36"/>
    <w:rsid w:val="00B24F17"/>
    <w:rsid w:val="00B24F94"/>
    <w:rsid w:val="00B25126"/>
    <w:rsid w:val="00B25A52"/>
    <w:rsid w:val="00B25B0A"/>
    <w:rsid w:val="00B25FC3"/>
    <w:rsid w:val="00B261F8"/>
    <w:rsid w:val="00B26852"/>
    <w:rsid w:val="00B26C61"/>
    <w:rsid w:val="00B26CC4"/>
    <w:rsid w:val="00B27026"/>
    <w:rsid w:val="00B27386"/>
    <w:rsid w:val="00B27875"/>
    <w:rsid w:val="00B27BEC"/>
    <w:rsid w:val="00B27C18"/>
    <w:rsid w:val="00B27E51"/>
    <w:rsid w:val="00B3008D"/>
    <w:rsid w:val="00B30E11"/>
    <w:rsid w:val="00B30EEB"/>
    <w:rsid w:val="00B30FD0"/>
    <w:rsid w:val="00B31423"/>
    <w:rsid w:val="00B31710"/>
    <w:rsid w:val="00B323E0"/>
    <w:rsid w:val="00B32DC0"/>
    <w:rsid w:val="00B33137"/>
    <w:rsid w:val="00B3346C"/>
    <w:rsid w:val="00B335E4"/>
    <w:rsid w:val="00B33C23"/>
    <w:rsid w:val="00B345B4"/>
    <w:rsid w:val="00B348B1"/>
    <w:rsid w:val="00B34A28"/>
    <w:rsid w:val="00B34EB2"/>
    <w:rsid w:val="00B34FFD"/>
    <w:rsid w:val="00B35046"/>
    <w:rsid w:val="00B35B6A"/>
    <w:rsid w:val="00B35EB4"/>
    <w:rsid w:val="00B37657"/>
    <w:rsid w:val="00B3788D"/>
    <w:rsid w:val="00B37AFD"/>
    <w:rsid w:val="00B37B07"/>
    <w:rsid w:val="00B4046F"/>
    <w:rsid w:val="00B40B47"/>
    <w:rsid w:val="00B41D39"/>
    <w:rsid w:val="00B42031"/>
    <w:rsid w:val="00B422C0"/>
    <w:rsid w:val="00B426CA"/>
    <w:rsid w:val="00B426E1"/>
    <w:rsid w:val="00B437F8"/>
    <w:rsid w:val="00B4387A"/>
    <w:rsid w:val="00B43F4E"/>
    <w:rsid w:val="00B44260"/>
    <w:rsid w:val="00B44746"/>
    <w:rsid w:val="00B44854"/>
    <w:rsid w:val="00B4487B"/>
    <w:rsid w:val="00B44A23"/>
    <w:rsid w:val="00B45419"/>
    <w:rsid w:val="00B455A8"/>
    <w:rsid w:val="00B458C1"/>
    <w:rsid w:val="00B458D0"/>
    <w:rsid w:val="00B4792C"/>
    <w:rsid w:val="00B47A25"/>
    <w:rsid w:val="00B50CAE"/>
    <w:rsid w:val="00B512AD"/>
    <w:rsid w:val="00B5196C"/>
    <w:rsid w:val="00B52237"/>
    <w:rsid w:val="00B523B9"/>
    <w:rsid w:val="00B525CB"/>
    <w:rsid w:val="00B52697"/>
    <w:rsid w:val="00B53E7C"/>
    <w:rsid w:val="00B54D8F"/>
    <w:rsid w:val="00B55857"/>
    <w:rsid w:val="00B55C2B"/>
    <w:rsid w:val="00B55C69"/>
    <w:rsid w:val="00B560B1"/>
    <w:rsid w:val="00B56851"/>
    <w:rsid w:val="00B56D6E"/>
    <w:rsid w:val="00B572F7"/>
    <w:rsid w:val="00B57B9D"/>
    <w:rsid w:val="00B57DAF"/>
    <w:rsid w:val="00B60094"/>
    <w:rsid w:val="00B6022C"/>
    <w:rsid w:val="00B614F8"/>
    <w:rsid w:val="00B61994"/>
    <w:rsid w:val="00B61FD4"/>
    <w:rsid w:val="00B62880"/>
    <w:rsid w:val="00B63872"/>
    <w:rsid w:val="00B63CB2"/>
    <w:rsid w:val="00B63F51"/>
    <w:rsid w:val="00B6416D"/>
    <w:rsid w:val="00B64246"/>
    <w:rsid w:val="00B6440F"/>
    <w:rsid w:val="00B64709"/>
    <w:rsid w:val="00B64EDB"/>
    <w:rsid w:val="00B6501B"/>
    <w:rsid w:val="00B65379"/>
    <w:rsid w:val="00B654D3"/>
    <w:rsid w:val="00B65938"/>
    <w:rsid w:val="00B6596B"/>
    <w:rsid w:val="00B65C8A"/>
    <w:rsid w:val="00B65CE2"/>
    <w:rsid w:val="00B65CED"/>
    <w:rsid w:val="00B660AD"/>
    <w:rsid w:val="00B660CB"/>
    <w:rsid w:val="00B66109"/>
    <w:rsid w:val="00B66316"/>
    <w:rsid w:val="00B66349"/>
    <w:rsid w:val="00B67286"/>
    <w:rsid w:val="00B67630"/>
    <w:rsid w:val="00B67BD4"/>
    <w:rsid w:val="00B67FBF"/>
    <w:rsid w:val="00B7024E"/>
    <w:rsid w:val="00B71F5F"/>
    <w:rsid w:val="00B71FA7"/>
    <w:rsid w:val="00B72110"/>
    <w:rsid w:val="00B72B91"/>
    <w:rsid w:val="00B72DE3"/>
    <w:rsid w:val="00B73019"/>
    <w:rsid w:val="00B7315F"/>
    <w:rsid w:val="00B7323A"/>
    <w:rsid w:val="00B73356"/>
    <w:rsid w:val="00B7345C"/>
    <w:rsid w:val="00B7353B"/>
    <w:rsid w:val="00B7358A"/>
    <w:rsid w:val="00B737FB"/>
    <w:rsid w:val="00B73EDA"/>
    <w:rsid w:val="00B7423D"/>
    <w:rsid w:val="00B74605"/>
    <w:rsid w:val="00B74D05"/>
    <w:rsid w:val="00B75937"/>
    <w:rsid w:val="00B777FA"/>
    <w:rsid w:val="00B77850"/>
    <w:rsid w:val="00B7796B"/>
    <w:rsid w:val="00B80C72"/>
    <w:rsid w:val="00B81964"/>
    <w:rsid w:val="00B81E6F"/>
    <w:rsid w:val="00B82123"/>
    <w:rsid w:val="00B8225B"/>
    <w:rsid w:val="00B82BB5"/>
    <w:rsid w:val="00B83182"/>
    <w:rsid w:val="00B84684"/>
    <w:rsid w:val="00B848DF"/>
    <w:rsid w:val="00B851E4"/>
    <w:rsid w:val="00B854CE"/>
    <w:rsid w:val="00B85681"/>
    <w:rsid w:val="00B857EB"/>
    <w:rsid w:val="00B86162"/>
    <w:rsid w:val="00B86877"/>
    <w:rsid w:val="00B8695D"/>
    <w:rsid w:val="00B86E66"/>
    <w:rsid w:val="00B873BA"/>
    <w:rsid w:val="00B8746F"/>
    <w:rsid w:val="00B8760D"/>
    <w:rsid w:val="00B87706"/>
    <w:rsid w:val="00B87F98"/>
    <w:rsid w:val="00B90A49"/>
    <w:rsid w:val="00B90C2B"/>
    <w:rsid w:val="00B910A5"/>
    <w:rsid w:val="00B91851"/>
    <w:rsid w:val="00B91B8E"/>
    <w:rsid w:val="00B91E13"/>
    <w:rsid w:val="00B92531"/>
    <w:rsid w:val="00B92618"/>
    <w:rsid w:val="00B92751"/>
    <w:rsid w:val="00B92B69"/>
    <w:rsid w:val="00B92CC6"/>
    <w:rsid w:val="00B935C9"/>
    <w:rsid w:val="00B93E3D"/>
    <w:rsid w:val="00B94033"/>
    <w:rsid w:val="00B95018"/>
    <w:rsid w:val="00B95464"/>
    <w:rsid w:val="00B95C30"/>
    <w:rsid w:val="00B95CB7"/>
    <w:rsid w:val="00B95E3D"/>
    <w:rsid w:val="00B9691F"/>
    <w:rsid w:val="00B969E0"/>
    <w:rsid w:val="00B96EEC"/>
    <w:rsid w:val="00B97392"/>
    <w:rsid w:val="00B974B5"/>
    <w:rsid w:val="00B97691"/>
    <w:rsid w:val="00B976C7"/>
    <w:rsid w:val="00BA0C54"/>
    <w:rsid w:val="00BA1382"/>
    <w:rsid w:val="00BA20D8"/>
    <w:rsid w:val="00BA22FC"/>
    <w:rsid w:val="00BA2F30"/>
    <w:rsid w:val="00BA4575"/>
    <w:rsid w:val="00BA4771"/>
    <w:rsid w:val="00BA4DBB"/>
    <w:rsid w:val="00BA5027"/>
    <w:rsid w:val="00BA665B"/>
    <w:rsid w:val="00BA7370"/>
    <w:rsid w:val="00BA778B"/>
    <w:rsid w:val="00BB0888"/>
    <w:rsid w:val="00BB0DF1"/>
    <w:rsid w:val="00BB0E9B"/>
    <w:rsid w:val="00BB10EB"/>
    <w:rsid w:val="00BB139D"/>
    <w:rsid w:val="00BB2729"/>
    <w:rsid w:val="00BB2841"/>
    <w:rsid w:val="00BB300F"/>
    <w:rsid w:val="00BB32C9"/>
    <w:rsid w:val="00BB35C5"/>
    <w:rsid w:val="00BB43A7"/>
    <w:rsid w:val="00BB4C8E"/>
    <w:rsid w:val="00BB57ED"/>
    <w:rsid w:val="00BB58AB"/>
    <w:rsid w:val="00BB65C3"/>
    <w:rsid w:val="00BB662E"/>
    <w:rsid w:val="00BB67A9"/>
    <w:rsid w:val="00BB6C01"/>
    <w:rsid w:val="00BB6C96"/>
    <w:rsid w:val="00BB75CB"/>
    <w:rsid w:val="00BB7942"/>
    <w:rsid w:val="00BB7CD1"/>
    <w:rsid w:val="00BC07E4"/>
    <w:rsid w:val="00BC0F33"/>
    <w:rsid w:val="00BC14A7"/>
    <w:rsid w:val="00BC1611"/>
    <w:rsid w:val="00BC17CC"/>
    <w:rsid w:val="00BC229E"/>
    <w:rsid w:val="00BC2898"/>
    <w:rsid w:val="00BC2928"/>
    <w:rsid w:val="00BC2AA9"/>
    <w:rsid w:val="00BC2BB1"/>
    <w:rsid w:val="00BC34A3"/>
    <w:rsid w:val="00BC377C"/>
    <w:rsid w:val="00BC3FF9"/>
    <w:rsid w:val="00BC4834"/>
    <w:rsid w:val="00BC4A97"/>
    <w:rsid w:val="00BC5A25"/>
    <w:rsid w:val="00BC5E28"/>
    <w:rsid w:val="00BC5FDD"/>
    <w:rsid w:val="00BC68B4"/>
    <w:rsid w:val="00BC6C2D"/>
    <w:rsid w:val="00BC7B9A"/>
    <w:rsid w:val="00BD0140"/>
    <w:rsid w:val="00BD02CC"/>
    <w:rsid w:val="00BD1675"/>
    <w:rsid w:val="00BD1945"/>
    <w:rsid w:val="00BD2063"/>
    <w:rsid w:val="00BD23F8"/>
    <w:rsid w:val="00BD33D9"/>
    <w:rsid w:val="00BD38C5"/>
    <w:rsid w:val="00BD3A71"/>
    <w:rsid w:val="00BD3CF1"/>
    <w:rsid w:val="00BD3DEA"/>
    <w:rsid w:val="00BD3E97"/>
    <w:rsid w:val="00BD40E4"/>
    <w:rsid w:val="00BD503A"/>
    <w:rsid w:val="00BD52D7"/>
    <w:rsid w:val="00BD52FE"/>
    <w:rsid w:val="00BD62CF"/>
    <w:rsid w:val="00BD67B2"/>
    <w:rsid w:val="00BD6A07"/>
    <w:rsid w:val="00BD78AB"/>
    <w:rsid w:val="00BD78FE"/>
    <w:rsid w:val="00BE0149"/>
    <w:rsid w:val="00BE0767"/>
    <w:rsid w:val="00BE12B8"/>
    <w:rsid w:val="00BE12D7"/>
    <w:rsid w:val="00BE1372"/>
    <w:rsid w:val="00BE1775"/>
    <w:rsid w:val="00BE17A2"/>
    <w:rsid w:val="00BE18DA"/>
    <w:rsid w:val="00BE1A31"/>
    <w:rsid w:val="00BE223B"/>
    <w:rsid w:val="00BE26C0"/>
    <w:rsid w:val="00BE3442"/>
    <w:rsid w:val="00BE45DF"/>
    <w:rsid w:val="00BE47B2"/>
    <w:rsid w:val="00BE48C7"/>
    <w:rsid w:val="00BE4F66"/>
    <w:rsid w:val="00BE5238"/>
    <w:rsid w:val="00BE5D35"/>
    <w:rsid w:val="00BE6074"/>
    <w:rsid w:val="00BE67A2"/>
    <w:rsid w:val="00BE7257"/>
    <w:rsid w:val="00BF020D"/>
    <w:rsid w:val="00BF1DD2"/>
    <w:rsid w:val="00BF23A3"/>
    <w:rsid w:val="00BF28DB"/>
    <w:rsid w:val="00BF2A7E"/>
    <w:rsid w:val="00BF3331"/>
    <w:rsid w:val="00BF3A45"/>
    <w:rsid w:val="00BF436F"/>
    <w:rsid w:val="00BF45A6"/>
    <w:rsid w:val="00BF4E02"/>
    <w:rsid w:val="00BF5111"/>
    <w:rsid w:val="00BF5723"/>
    <w:rsid w:val="00BF592A"/>
    <w:rsid w:val="00BF5C05"/>
    <w:rsid w:val="00BF60C8"/>
    <w:rsid w:val="00BF6FC6"/>
    <w:rsid w:val="00BF7C52"/>
    <w:rsid w:val="00BF7F99"/>
    <w:rsid w:val="00BF7FD6"/>
    <w:rsid w:val="00C004F6"/>
    <w:rsid w:val="00C00540"/>
    <w:rsid w:val="00C00713"/>
    <w:rsid w:val="00C008B4"/>
    <w:rsid w:val="00C009A0"/>
    <w:rsid w:val="00C01F74"/>
    <w:rsid w:val="00C02558"/>
    <w:rsid w:val="00C0285F"/>
    <w:rsid w:val="00C02F35"/>
    <w:rsid w:val="00C03305"/>
    <w:rsid w:val="00C03515"/>
    <w:rsid w:val="00C03738"/>
    <w:rsid w:val="00C037A6"/>
    <w:rsid w:val="00C043F5"/>
    <w:rsid w:val="00C044E3"/>
    <w:rsid w:val="00C047A8"/>
    <w:rsid w:val="00C04BDB"/>
    <w:rsid w:val="00C052C6"/>
    <w:rsid w:val="00C059D4"/>
    <w:rsid w:val="00C05A61"/>
    <w:rsid w:val="00C06CCF"/>
    <w:rsid w:val="00C07D95"/>
    <w:rsid w:val="00C108B8"/>
    <w:rsid w:val="00C10BFE"/>
    <w:rsid w:val="00C11503"/>
    <w:rsid w:val="00C1159D"/>
    <w:rsid w:val="00C11683"/>
    <w:rsid w:val="00C11798"/>
    <w:rsid w:val="00C118DB"/>
    <w:rsid w:val="00C11D21"/>
    <w:rsid w:val="00C1233E"/>
    <w:rsid w:val="00C125C1"/>
    <w:rsid w:val="00C12F05"/>
    <w:rsid w:val="00C12FB3"/>
    <w:rsid w:val="00C138BC"/>
    <w:rsid w:val="00C13D85"/>
    <w:rsid w:val="00C14639"/>
    <w:rsid w:val="00C14E82"/>
    <w:rsid w:val="00C14FF6"/>
    <w:rsid w:val="00C15A85"/>
    <w:rsid w:val="00C1641B"/>
    <w:rsid w:val="00C165FC"/>
    <w:rsid w:val="00C173B1"/>
    <w:rsid w:val="00C176D5"/>
    <w:rsid w:val="00C2082C"/>
    <w:rsid w:val="00C20832"/>
    <w:rsid w:val="00C20EB0"/>
    <w:rsid w:val="00C21005"/>
    <w:rsid w:val="00C220B6"/>
    <w:rsid w:val="00C22206"/>
    <w:rsid w:val="00C227AF"/>
    <w:rsid w:val="00C22D7C"/>
    <w:rsid w:val="00C22DDE"/>
    <w:rsid w:val="00C2338B"/>
    <w:rsid w:val="00C233CE"/>
    <w:rsid w:val="00C23661"/>
    <w:rsid w:val="00C236AE"/>
    <w:rsid w:val="00C237DD"/>
    <w:rsid w:val="00C238F4"/>
    <w:rsid w:val="00C23A99"/>
    <w:rsid w:val="00C245EE"/>
    <w:rsid w:val="00C24AE1"/>
    <w:rsid w:val="00C24B8D"/>
    <w:rsid w:val="00C24BD7"/>
    <w:rsid w:val="00C2542B"/>
    <w:rsid w:val="00C25813"/>
    <w:rsid w:val="00C25A04"/>
    <w:rsid w:val="00C25DCC"/>
    <w:rsid w:val="00C27143"/>
    <w:rsid w:val="00C27490"/>
    <w:rsid w:val="00C27A55"/>
    <w:rsid w:val="00C27D37"/>
    <w:rsid w:val="00C27FB2"/>
    <w:rsid w:val="00C302E5"/>
    <w:rsid w:val="00C309E8"/>
    <w:rsid w:val="00C32017"/>
    <w:rsid w:val="00C325CD"/>
    <w:rsid w:val="00C3322E"/>
    <w:rsid w:val="00C337F5"/>
    <w:rsid w:val="00C33907"/>
    <w:rsid w:val="00C33B90"/>
    <w:rsid w:val="00C34B5F"/>
    <w:rsid w:val="00C356AF"/>
    <w:rsid w:val="00C358D4"/>
    <w:rsid w:val="00C35A19"/>
    <w:rsid w:val="00C36785"/>
    <w:rsid w:val="00C36845"/>
    <w:rsid w:val="00C3711C"/>
    <w:rsid w:val="00C37256"/>
    <w:rsid w:val="00C37A7B"/>
    <w:rsid w:val="00C37CFF"/>
    <w:rsid w:val="00C37FFE"/>
    <w:rsid w:val="00C40B50"/>
    <w:rsid w:val="00C41858"/>
    <w:rsid w:val="00C419E3"/>
    <w:rsid w:val="00C419F4"/>
    <w:rsid w:val="00C41E6A"/>
    <w:rsid w:val="00C42247"/>
    <w:rsid w:val="00C439BE"/>
    <w:rsid w:val="00C44E61"/>
    <w:rsid w:val="00C4539B"/>
    <w:rsid w:val="00C45466"/>
    <w:rsid w:val="00C455C1"/>
    <w:rsid w:val="00C4581D"/>
    <w:rsid w:val="00C46D21"/>
    <w:rsid w:val="00C47472"/>
    <w:rsid w:val="00C47EA5"/>
    <w:rsid w:val="00C500F0"/>
    <w:rsid w:val="00C502BB"/>
    <w:rsid w:val="00C504A7"/>
    <w:rsid w:val="00C506C9"/>
    <w:rsid w:val="00C50A16"/>
    <w:rsid w:val="00C5122B"/>
    <w:rsid w:val="00C51C9A"/>
    <w:rsid w:val="00C52428"/>
    <w:rsid w:val="00C52C68"/>
    <w:rsid w:val="00C52D98"/>
    <w:rsid w:val="00C52FB1"/>
    <w:rsid w:val="00C5325C"/>
    <w:rsid w:val="00C53D24"/>
    <w:rsid w:val="00C54640"/>
    <w:rsid w:val="00C547A6"/>
    <w:rsid w:val="00C54A3A"/>
    <w:rsid w:val="00C5503F"/>
    <w:rsid w:val="00C55C32"/>
    <w:rsid w:val="00C55DB4"/>
    <w:rsid w:val="00C56A67"/>
    <w:rsid w:val="00C56CC2"/>
    <w:rsid w:val="00C56FC3"/>
    <w:rsid w:val="00C57498"/>
    <w:rsid w:val="00C5763C"/>
    <w:rsid w:val="00C57761"/>
    <w:rsid w:val="00C577CA"/>
    <w:rsid w:val="00C5780C"/>
    <w:rsid w:val="00C5796B"/>
    <w:rsid w:val="00C619A1"/>
    <w:rsid w:val="00C62370"/>
    <w:rsid w:val="00C62545"/>
    <w:rsid w:val="00C62A11"/>
    <w:rsid w:val="00C62BBB"/>
    <w:rsid w:val="00C6305F"/>
    <w:rsid w:val="00C6325B"/>
    <w:rsid w:val="00C63E99"/>
    <w:rsid w:val="00C64161"/>
    <w:rsid w:val="00C641BD"/>
    <w:rsid w:val="00C64689"/>
    <w:rsid w:val="00C649B8"/>
    <w:rsid w:val="00C64A64"/>
    <w:rsid w:val="00C64C72"/>
    <w:rsid w:val="00C65151"/>
    <w:rsid w:val="00C657F4"/>
    <w:rsid w:val="00C6599D"/>
    <w:rsid w:val="00C66119"/>
    <w:rsid w:val="00C66292"/>
    <w:rsid w:val="00C672A3"/>
    <w:rsid w:val="00C672F1"/>
    <w:rsid w:val="00C673D0"/>
    <w:rsid w:val="00C6742E"/>
    <w:rsid w:val="00C677BE"/>
    <w:rsid w:val="00C70012"/>
    <w:rsid w:val="00C706CA"/>
    <w:rsid w:val="00C7185F"/>
    <w:rsid w:val="00C71CBB"/>
    <w:rsid w:val="00C71E2A"/>
    <w:rsid w:val="00C722A3"/>
    <w:rsid w:val="00C733BA"/>
    <w:rsid w:val="00C755EF"/>
    <w:rsid w:val="00C760DC"/>
    <w:rsid w:val="00C76DCA"/>
    <w:rsid w:val="00C8082B"/>
    <w:rsid w:val="00C80B24"/>
    <w:rsid w:val="00C80F3E"/>
    <w:rsid w:val="00C81A88"/>
    <w:rsid w:val="00C81AEC"/>
    <w:rsid w:val="00C81D46"/>
    <w:rsid w:val="00C820AD"/>
    <w:rsid w:val="00C82298"/>
    <w:rsid w:val="00C831D4"/>
    <w:rsid w:val="00C833B4"/>
    <w:rsid w:val="00C83449"/>
    <w:rsid w:val="00C84284"/>
    <w:rsid w:val="00C84E33"/>
    <w:rsid w:val="00C85FFC"/>
    <w:rsid w:val="00C86123"/>
    <w:rsid w:val="00C861FC"/>
    <w:rsid w:val="00C86C87"/>
    <w:rsid w:val="00C8705B"/>
    <w:rsid w:val="00C87090"/>
    <w:rsid w:val="00C9005E"/>
    <w:rsid w:val="00C90111"/>
    <w:rsid w:val="00C902BA"/>
    <w:rsid w:val="00C90CA9"/>
    <w:rsid w:val="00C915F2"/>
    <w:rsid w:val="00C917B1"/>
    <w:rsid w:val="00C9193C"/>
    <w:rsid w:val="00C91B77"/>
    <w:rsid w:val="00C91E5F"/>
    <w:rsid w:val="00C920E2"/>
    <w:rsid w:val="00C923AA"/>
    <w:rsid w:val="00C93154"/>
    <w:rsid w:val="00C93765"/>
    <w:rsid w:val="00C93877"/>
    <w:rsid w:val="00C93D8C"/>
    <w:rsid w:val="00C946CC"/>
    <w:rsid w:val="00C95062"/>
    <w:rsid w:val="00C959BD"/>
    <w:rsid w:val="00C95EC4"/>
    <w:rsid w:val="00C95F44"/>
    <w:rsid w:val="00C96908"/>
    <w:rsid w:val="00C96D1B"/>
    <w:rsid w:val="00C97106"/>
    <w:rsid w:val="00C97684"/>
    <w:rsid w:val="00CA0031"/>
    <w:rsid w:val="00CA00F8"/>
    <w:rsid w:val="00CA0413"/>
    <w:rsid w:val="00CA043A"/>
    <w:rsid w:val="00CA0459"/>
    <w:rsid w:val="00CA04F8"/>
    <w:rsid w:val="00CA1691"/>
    <w:rsid w:val="00CA2E65"/>
    <w:rsid w:val="00CA2EA1"/>
    <w:rsid w:val="00CA3665"/>
    <w:rsid w:val="00CA3FC7"/>
    <w:rsid w:val="00CA41E7"/>
    <w:rsid w:val="00CA4B2B"/>
    <w:rsid w:val="00CA5520"/>
    <w:rsid w:val="00CA5812"/>
    <w:rsid w:val="00CA5BD4"/>
    <w:rsid w:val="00CA5C14"/>
    <w:rsid w:val="00CA6882"/>
    <w:rsid w:val="00CA6FDF"/>
    <w:rsid w:val="00CA76FC"/>
    <w:rsid w:val="00CA77EF"/>
    <w:rsid w:val="00CA7DB5"/>
    <w:rsid w:val="00CA7E7B"/>
    <w:rsid w:val="00CB0236"/>
    <w:rsid w:val="00CB19E3"/>
    <w:rsid w:val="00CB2C3A"/>
    <w:rsid w:val="00CB2D38"/>
    <w:rsid w:val="00CB31D6"/>
    <w:rsid w:val="00CB4137"/>
    <w:rsid w:val="00CB52D0"/>
    <w:rsid w:val="00CB5578"/>
    <w:rsid w:val="00CB5671"/>
    <w:rsid w:val="00CB591C"/>
    <w:rsid w:val="00CB5943"/>
    <w:rsid w:val="00CB5E6C"/>
    <w:rsid w:val="00CB61B3"/>
    <w:rsid w:val="00CB6F83"/>
    <w:rsid w:val="00CB72AE"/>
    <w:rsid w:val="00CB78AD"/>
    <w:rsid w:val="00CC00CD"/>
    <w:rsid w:val="00CC02EB"/>
    <w:rsid w:val="00CC0579"/>
    <w:rsid w:val="00CC0AF3"/>
    <w:rsid w:val="00CC0BC6"/>
    <w:rsid w:val="00CC0E68"/>
    <w:rsid w:val="00CC21AC"/>
    <w:rsid w:val="00CC2514"/>
    <w:rsid w:val="00CC2756"/>
    <w:rsid w:val="00CC2F69"/>
    <w:rsid w:val="00CC315F"/>
    <w:rsid w:val="00CC3D38"/>
    <w:rsid w:val="00CC3F5F"/>
    <w:rsid w:val="00CC404B"/>
    <w:rsid w:val="00CC40C3"/>
    <w:rsid w:val="00CC4E5D"/>
    <w:rsid w:val="00CC50AE"/>
    <w:rsid w:val="00CC518A"/>
    <w:rsid w:val="00CC5D9A"/>
    <w:rsid w:val="00CC5ED4"/>
    <w:rsid w:val="00CC61B7"/>
    <w:rsid w:val="00CC61CA"/>
    <w:rsid w:val="00CC6668"/>
    <w:rsid w:val="00CC69EC"/>
    <w:rsid w:val="00CC71D3"/>
    <w:rsid w:val="00CC743D"/>
    <w:rsid w:val="00CC7E86"/>
    <w:rsid w:val="00CD02AB"/>
    <w:rsid w:val="00CD050A"/>
    <w:rsid w:val="00CD1675"/>
    <w:rsid w:val="00CD205D"/>
    <w:rsid w:val="00CD2A22"/>
    <w:rsid w:val="00CD2B50"/>
    <w:rsid w:val="00CD2BAF"/>
    <w:rsid w:val="00CD4506"/>
    <w:rsid w:val="00CD4AF9"/>
    <w:rsid w:val="00CD4C90"/>
    <w:rsid w:val="00CD520B"/>
    <w:rsid w:val="00CD592E"/>
    <w:rsid w:val="00CD5982"/>
    <w:rsid w:val="00CD5A1A"/>
    <w:rsid w:val="00CD77E1"/>
    <w:rsid w:val="00CD7EFA"/>
    <w:rsid w:val="00CE020E"/>
    <w:rsid w:val="00CE0566"/>
    <w:rsid w:val="00CE12A4"/>
    <w:rsid w:val="00CE1CD4"/>
    <w:rsid w:val="00CE23FE"/>
    <w:rsid w:val="00CE2761"/>
    <w:rsid w:val="00CE314E"/>
    <w:rsid w:val="00CE3D5C"/>
    <w:rsid w:val="00CE3E14"/>
    <w:rsid w:val="00CE44C7"/>
    <w:rsid w:val="00CE53CC"/>
    <w:rsid w:val="00CE626A"/>
    <w:rsid w:val="00CE65A7"/>
    <w:rsid w:val="00CE68FE"/>
    <w:rsid w:val="00CE69CC"/>
    <w:rsid w:val="00CE6E98"/>
    <w:rsid w:val="00CE6EC4"/>
    <w:rsid w:val="00CE7A77"/>
    <w:rsid w:val="00CE7F26"/>
    <w:rsid w:val="00CE7FBF"/>
    <w:rsid w:val="00CF0CEA"/>
    <w:rsid w:val="00CF108D"/>
    <w:rsid w:val="00CF1226"/>
    <w:rsid w:val="00CF16C0"/>
    <w:rsid w:val="00CF1ABB"/>
    <w:rsid w:val="00CF1E1D"/>
    <w:rsid w:val="00CF24FE"/>
    <w:rsid w:val="00CF27E9"/>
    <w:rsid w:val="00CF35D0"/>
    <w:rsid w:val="00CF3DD5"/>
    <w:rsid w:val="00CF41D5"/>
    <w:rsid w:val="00CF4AF7"/>
    <w:rsid w:val="00CF4D20"/>
    <w:rsid w:val="00CF4E5A"/>
    <w:rsid w:val="00CF73F8"/>
    <w:rsid w:val="00CF7928"/>
    <w:rsid w:val="00CF7A07"/>
    <w:rsid w:val="00CF7CA2"/>
    <w:rsid w:val="00D0027C"/>
    <w:rsid w:val="00D00A8E"/>
    <w:rsid w:val="00D00DE0"/>
    <w:rsid w:val="00D00F79"/>
    <w:rsid w:val="00D012BF"/>
    <w:rsid w:val="00D01760"/>
    <w:rsid w:val="00D018B9"/>
    <w:rsid w:val="00D0350D"/>
    <w:rsid w:val="00D0368E"/>
    <w:rsid w:val="00D039F1"/>
    <w:rsid w:val="00D03D2D"/>
    <w:rsid w:val="00D03E7B"/>
    <w:rsid w:val="00D0401A"/>
    <w:rsid w:val="00D047E0"/>
    <w:rsid w:val="00D04B9F"/>
    <w:rsid w:val="00D04C7E"/>
    <w:rsid w:val="00D04FFB"/>
    <w:rsid w:val="00D05153"/>
    <w:rsid w:val="00D058E9"/>
    <w:rsid w:val="00D0612A"/>
    <w:rsid w:val="00D06A0E"/>
    <w:rsid w:val="00D06A99"/>
    <w:rsid w:val="00D1060D"/>
    <w:rsid w:val="00D10E7C"/>
    <w:rsid w:val="00D11182"/>
    <w:rsid w:val="00D1137B"/>
    <w:rsid w:val="00D11807"/>
    <w:rsid w:val="00D11DB3"/>
    <w:rsid w:val="00D12D82"/>
    <w:rsid w:val="00D12E87"/>
    <w:rsid w:val="00D1306E"/>
    <w:rsid w:val="00D134CD"/>
    <w:rsid w:val="00D14B5F"/>
    <w:rsid w:val="00D14E13"/>
    <w:rsid w:val="00D14F23"/>
    <w:rsid w:val="00D15356"/>
    <w:rsid w:val="00D160AA"/>
    <w:rsid w:val="00D16740"/>
    <w:rsid w:val="00D16A8B"/>
    <w:rsid w:val="00D16E39"/>
    <w:rsid w:val="00D17951"/>
    <w:rsid w:val="00D17AD8"/>
    <w:rsid w:val="00D17B53"/>
    <w:rsid w:val="00D17FC5"/>
    <w:rsid w:val="00D205AF"/>
    <w:rsid w:val="00D2104A"/>
    <w:rsid w:val="00D213F1"/>
    <w:rsid w:val="00D21BB5"/>
    <w:rsid w:val="00D21FFC"/>
    <w:rsid w:val="00D223A3"/>
    <w:rsid w:val="00D223B6"/>
    <w:rsid w:val="00D223E8"/>
    <w:rsid w:val="00D22DC8"/>
    <w:rsid w:val="00D243D3"/>
    <w:rsid w:val="00D24788"/>
    <w:rsid w:val="00D247D4"/>
    <w:rsid w:val="00D24ECD"/>
    <w:rsid w:val="00D24FAD"/>
    <w:rsid w:val="00D2522A"/>
    <w:rsid w:val="00D2531C"/>
    <w:rsid w:val="00D255F3"/>
    <w:rsid w:val="00D26C21"/>
    <w:rsid w:val="00D2742F"/>
    <w:rsid w:val="00D2754F"/>
    <w:rsid w:val="00D279D9"/>
    <w:rsid w:val="00D3030A"/>
    <w:rsid w:val="00D312CE"/>
    <w:rsid w:val="00D312DC"/>
    <w:rsid w:val="00D31B84"/>
    <w:rsid w:val="00D31C6A"/>
    <w:rsid w:val="00D31EDF"/>
    <w:rsid w:val="00D31FF9"/>
    <w:rsid w:val="00D32149"/>
    <w:rsid w:val="00D32256"/>
    <w:rsid w:val="00D32A27"/>
    <w:rsid w:val="00D32ABC"/>
    <w:rsid w:val="00D34B25"/>
    <w:rsid w:val="00D34F4E"/>
    <w:rsid w:val="00D357F3"/>
    <w:rsid w:val="00D35C0E"/>
    <w:rsid w:val="00D373A8"/>
    <w:rsid w:val="00D375FF"/>
    <w:rsid w:val="00D379A5"/>
    <w:rsid w:val="00D401BE"/>
    <w:rsid w:val="00D4043A"/>
    <w:rsid w:val="00D40A8E"/>
    <w:rsid w:val="00D40DB0"/>
    <w:rsid w:val="00D40E05"/>
    <w:rsid w:val="00D40F8B"/>
    <w:rsid w:val="00D4106A"/>
    <w:rsid w:val="00D41858"/>
    <w:rsid w:val="00D422DB"/>
    <w:rsid w:val="00D42A83"/>
    <w:rsid w:val="00D42AC2"/>
    <w:rsid w:val="00D43517"/>
    <w:rsid w:val="00D4498E"/>
    <w:rsid w:val="00D4515F"/>
    <w:rsid w:val="00D451E8"/>
    <w:rsid w:val="00D4636B"/>
    <w:rsid w:val="00D466C9"/>
    <w:rsid w:val="00D467D8"/>
    <w:rsid w:val="00D47275"/>
    <w:rsid w:val="00D4767B"/>
    <w:rsid w:val="00D50414"/>
    <w:rsid w:val="00D50AEF"/>
    <w:rsid w:val="00D50C39"/>
    <w:rsid w:val="00D50F9C"/>
    <w:rsid w:val="00D51E15"/>
    <w:rsid w:val="00D52B7E"/>
    <w:rsid w:val="00D52E2F"/>
    <w:rsid w:val="00D52F59"/>
    <w:rsid w:val="00D53E3E"/>
    <w:rsid w:val="00D53F9B"/>
    <w:rsid w:val="00D555FE"/>
    <w:rsid w:val="00D55904"/>
    <w:rsid w:val="00D5616F"/>
    <w:rsid w:val="00D57940"/>
    <w:rsid w:val="00D579DE"/>
    <w:rsid w:val="00D60327"/>
    <w:rsid w:val="00D61526"/>
    <w:rsid w:val="00D61A0B"/>
    <w:rsid w:val="00D61F81"/>
    <w:rsid w:val="00D623A9"/>
    <w:rsid w:val="00D62BE6"/>
    <w:rsid w:val="00D62F13"/>
    <w:rsid w:val="00D633AC"/>
    <w:rsid w:val="00D63766"/>
    <w:rsid w:val="00D63912"/>
    <w:rsid w:val="00D63923"/>
    <w:rsid w:val="00D6417A"/>
    <w:rsid w:val="00D6451B"/>
    <w:rsid w:val="00D648A0"/>
    <w:rsid w:val="00D64B57"/>
    <w:rsid w:val="00D659EA"/>
    <w:rsid w:val="00D65DEA"/>
    <w:rsid w:val="00D65DFE"/>
    <w:rsid w:val="00D67BC7"/>
    <w:rsid w:val="00D701F1"/>
    <w:rsid w:val="00D705D3"/>
    <w:rsid w:val="00D70A52"/>
    <w:rsid w:val="00D70E00"/>
    <w:rsid w:val="00D715AC"/>
    <w:rsid w:val="00D71851"/>
    <w:rsid w:val="00D718CF"/>
    <w:rsid w:val="00D72146"/>
    <w:rsid w:val="00D728F5"/>
    <w:rsid w:val="00D72E9D"/>
    <w:rsid w:val="00D73249"/>
    <w:rsid w:val="00D73419"/>
    <w:rsid w:val="00D73C19"/>
    <w:rsid w:val="00D73CA9"/>
    <w:rsid w:val="00D7481A"/>
    <w:rsid w:val="00D751B7"/>
    <w:rsid w:val="00D7524B"/>
    <w:rsid w:val="00D75396"/>
    <w:rsid w:val="00D759C0"/>
    <w:rsid w:val="00D75BA7"/>
    <w:rsid w:val="00D75C05"/>
    <w:rsid w:val="00D75E99"/>
    <w:rsid w:val="00D766C7"/>
    <w:rsid w:val="00D7692B"/>
    <w:rsid w:val="00D7734F"/>
    <w:rsid w:val="00D8044C"/>
    <w:rsid w:val="00D805D6"/>
    <w:rsid w:val="00D8075E"/>
    <w:rsid w:val="00D80860"/>
    <w:rsid w:val="00D8090E"/>
    <w:rsid w:val="00D80D4C"/>
    <w:rsid w:val="00D810DB"/>
    <w:rsid w:val="00D8184D"/>
    <w:rsid w:val="00D81A7B"/>
    <w:rsid w:val="00D81FE9"/>
    <w:rsid w:val="00D820E8"/>
    <w:rsid w:val="00D8223C"/>
    <w:rsid w:val="00D82B57"/>
    <w:rsid w:val="00D82CE5"/>
    <w:rsid w:val="00D8342C"/>
    <w:rsid w:val="00D853FE"/>
    <w:rsid w:val="00D85494"/>
    <w:rsid w:val="00D8582C"/>
    <w:rsid w:val="00D85D61"/>
    <w:rsid w:val="00D86089"/>
    <w:rsid w:val="00D8616D"/>
    <w:rsid w:val="00D8711B"/>
    <w:rsid w:val="00D87384"/>
    <w:rsid w:val="00D9014A"/>
    <w:rsid w:val="00D90683"/>
    <w:rsid w:val="00D91251"/>
    <w:rsid w:val="00D915C8"/>
    <w:rsid w:val="00D91C0A"/>
    <w:rsid w:val="00D9261C"/>
    <w:rsid w:val="00D9310B"/>
    <w:rsid w:val="00D93726"/>
    <w:rsid w:val="00D93DD3"/>
    <w:rsid w:val="00D93F3E"/>
    <w:rsid w:val="00D9405B"/>
    <w:rsid w:val="00D94942"/>
    <w:rsid w:val="00D95145"/>
    <w:rsid w:val="00D95381"/>
    <w:rsid w:val="00D95AB3"/>
    <w:rsid w:val="00D967CB"/>
    <w:rsid w:val="00D96EE0"/>
    <w:rsid w:val="00D96EE5"/>
    <w:rsid w:val="00D97BD1"/>
    <w:rsid w:val="00DA06B8"/>
    <w:rsid w:val="00DA1CA8"/>
    <w:rsid w:val="00DA2343"/>
    <w:rsid w:val="00DA286D"/>
    <w:rsid w:val="00DA2969"/>
    <w:rsid w:val="00DA29B7"/>
    <w:rsid w:val="00DA4842"/>
    <w:rsid w:val="00DA5989"/>
    <w:rsid w:val="00DA5AB1"/>
    <w:rsid w:val="00DA5F9D"/>
    <w:rsid w:val="00DA69B2"/>
    <w:rsid w:val="00DA6A7B"/>
    <w:rsid w:val="00DA7462"/>
    <w:rsid w:val="00DA777E"/>
    <w:rsid w:val="00DA7AD0"/>
    <w:rsid w:val="00DB02D7"/>
    <w:rsid w:val="00DB03CC"/>
    <w:rsid w:val="00DB12D4"/>
    <w:rsid w:val="00DB14F0"/>
    <w:rsid w:val="00DB1745"/>
    <w:rsid w:val="00DB1AFF"/>
    <w:rsid w:val="00DB219A"/>
    <w:rsid w:val="00DB3165"/>
    <w:rsid w:val="00DB4292"/>
    <w:rsid w:val="00DB48C4"/>
    <w:rsid w:val="00DB5196"/>
    <w:rsid w:val="00DB54BC"/>
    <w:rsid w:val="00DB5C03"/>
    <w:rsid w:val="00DB68BB"/>
    <w:rsid w:val="00DB6DBE"/>
    <w:rsid w:val="00DB6E46"/>
    <w:rsid w:val="00DB7117"/>
    <w:rsid w:val="00DB75D9"/>
    <w:rsid w:val="00DB7760"/>
    <w:rsid w:val="00DB7DD4"/>
    <w:rsid w:val="00DB7E44"/>
    <w:rsid w:val="00DC00B4"/>
    <w:rsid w:val="00DC037A"/>
    <w:rsid w:val="00DC0954"/>
    <w:rsid w:val="00DC15BA"/>
    <w:rsid w:val="00DC18CD"/>
    <w:rsid w:val="00DC1A68"/>
    <w:rsid w:val="00DC229A"/>
    <w:rsid w:val="00DC30B8"/>
    <w:rsid w:val="00DC32C6"/>
    <w:rsid w:val="00DC3720"/>
    <w:rsid w:val="00DC3804"/>
    <w:rsid w:val="00DC3B79"/>
    <w:rsid w:val="00DC478F"/>
    <w:rsid w:val="00DC52AB"/>
    <w:rsid w:val="00DC5AC6"/>
    <w:rsid w:val="00DC62E5"/>
    <w:rsid w:val="00DC67EB"/>
    <w:rsid w:val="00DC6AB9"/>
    <w:rsid w:val="00DC6F33"/>
    <w:rsid w:val="00DC7349"/>
    <w:rsid w:val="00DD0B21"/>
    <w:rsid w:val="00DD118B"/>
    <w:rsid w:val="00DD14D8"/>
    <w:rsid w:val="00DD1599"/>
    <w:rsid w:val="00DD177F"/>
    <w:rsid w:val="00DD1B03"/>
    <w:rsid w:val="00DD2A62"/>
    <w:rsid w:val="00DD2F2F"/>
    <w:rsid w:val="00DD2F7A"/>
    <w:rsid w:val="00DD3885"/>
    <w:rsid w:val="00DD4938"/>
    <w:rsid w:val="00DD5056"/>
    <w:rsid w:val="00DD5808"/>
    <w:rsid w:val="00DD5946"/>
    <w:rsid w:val="00DD5B04"/>
    <w:rsid w:val="00DD5DAE"/>
    <w:rsid w:val="00DD5EC6"/>
    <w:rsid w:val="00DD605F"/>
    <w:rsid w:val="00DD6657"/>
    <w:rsid w:val="00DD6D71"/>
    <w:rsid w:val="00DD72A0"/>
    <w:rsid w:val="00DD735D"/>
    <w:rsid w:val="00DD7E17"/>
    <w:rsid w:val="00DE0159"/>
    <w:rsid w:val="00DE064A"/>
    <w:rsid w:val="00DE082D"/>
    <w:rsid w:val="00DE1410"/>
    <w:rsid w:val="00DE1FD8"/>
    <w:rsid w:val="00DE3119"/>
    <w:rsid w:val="00DE3FF0"/>
    <w:rsid w:val="00DE4105"/>
    <w:rsid w:val="00DE5189"/>
    <w:rsid w:val="00DE5680"/>
    <w:rsid w:val="00DE6230"/>
    <w:rsid w:val="00DE6EA5"/>
    <w:rsid w:val="00DE7108"/>
    <w:rsid w:val="00DE78D1"/>
    <w:rsid w:val="00DF0263"/>
    <w:rsid w:val="00DF04FB"/>
    <w:rsid w:val="00DF0EB4"/>
    <w:rsid w:val="00DF1E36"/>
    <w:rsid w:val="00DF1FDB"/>
    <w:rsid w:val="00DF236B"/>
    <w:rsid w:val="00DF2A91"/>
    <w:rsid w:val="00DF2F82"/>
    <w:rsid w:val="00DF3889"/>
    <w:rsid w:val="00DF3B50"/>
    <w:rsid w:val="00DF3CC9"/>
    <w:rsid w:val="00DF4451"/>
    <w:rsid w:val="00DF49FF"/>
    <w:rsid w:val="00DF4FFB"/>
    <w:rsid w:val="00DF5236"/>
    <w:rsid w:val="00DF57B3"/>
    <w:rsid w:val="00DF651F"/>
    <w:rsid w:val="00DF67DF"/>
    <w:rsid w:val="00DF6E10"/>
    <w:rsid w:val="00DF6F43"/>
    <w:rsid w:val="00DF752F"/>
    <w:rsid w:val="00DF76A2"/>
    <w:rsid w:val="00DF7B33"/>
    <w:rsid w:val="00E00B7A"/>
    <w:rsid w:val="00E00DB0"/>
    <w:rsid w:val="00E02186"/>
    <w:rsid w:val="00E0264A"/>
    <w:rsid w:val="00E026BB"/>
    <w:rsid w:val="00E027C5"/>
    <w:rsid w:val="00E02F61"/>
    <w:rsid w:val="00E03114"/>
    <w:rsid w:val="00E03124"/>
    <w:rsid w:val="00E031EB"/>
    <w:rsid w:val="00E03951"/>
    <w:rsid w:val="00E03DB8"/>
    <w:rsid w:val="00E051B3"/>
    <w:rsid w:val="00E05E70"/>
    <w:rsid w:val="00E064BC"/>
    <w:rsid w:val="00E06564"/>
    <w:rsid w:val="00E06734"/>
    <w:rsid w:val="00E07225"/>
    <w:rsid w:val="00E07AAA"/>
    <w:rsid w:val="00E100CA"/>
    <w:rsid w:val="00E109DD"/>
    <w:rsid w:val="00E11229"/>
    <w:rsid w:val="00E114CA"/>
    <w:rsid w:val="00E1185C"/>
    <w:rsid w:val="00E11CF0"/>
    <w:rsid w:val="00E120F9"/>
    <w:rsid w:val="00E132D5"/>
    <w:rsid w:val="00E1397F"/>
    <w:rsid w:val="00E13AB8"/>
    <w:rsid w:val="00E1482E"/>
    <w:rsid w:val="00E16382"/>
    <w:rsid w:val="00E16572"/>
    <w:rsid w:val="00E1699C"/>
    <w:rsid w:val="00E16E75"/>
    <w:rsid w:val="00E17282"/>
    <w:rsid w:val="00E1746D"/>
    <w:rsid w:val="00E2012A"/>
    <w:rsid w:val="00E205A2"/>
    <w:rsid w:val="00E20BA4"/>
    <w:rsid w:val="00E226F9"/>
    <w:rsid w:val="00E23137"/>
    <w:rsid w:val="00E2324A"/>
    <w:rsid w:val="00E23980"/>
    <w:rsid w:val="00E241E9"/>
    <w:rsid w:val="00E24D6A"/>
    <w:rsid w:val="00E2520A"/>
    <w:rsid w:val="00E257C3"/>
    <w:rsid w:val="00E25CB3"/>
    <w:rsid w:val="00E25DA4"/>
    <w:rsid w:val="00E26CB8"/>
    <w:rsid w:val="00E26FCF"/>
    <w:rsid w:val="00E27165"/>
    <w:rsid w:val="00E27226"/>
    <w:rsid w:val="00E27C3F"/>
    <w:rsid w:val="00E3039F"/>
    <w:rsid w:val="00E3044A"/>
    <w:rsid w:val="00E31A4A"/>
    <w:rsid w:val="00E31C43"/>
    <w:rsid w:val="00E32DD5"/>
    <w:rsid w:val="00E32FA8"/>
    <w:rsid w:val="00E3344A"/>
    <w:rsid w:val="00E337CE"/>
    <w:rsid w:val="00E33B29"/>
    <w:rsid w:val="00E33B62"/>
    <w:rsid w:val="00E3403D"/>
    <w:rsid w:val="00E34E6C"/>
    <w:rsid w:val="00E350D8"/>
    <w:rsid w:val="00E3522B"/>
    <w:rsid w:val="00E353E2"/>
    <w:rsid w:val="00E35B65"/>
    <w:rsid w:val="00E36345"/>
    <w:rsid w:val="00E36C86"/>
    <w:rsid w:val="00E36CEB"/>
    <w:rsid w:val="00E37660"/>
    <w:rsid w:val="00E37A28"/>
    <w:rsid w:val="00E40430"/>
    <w:rsid w:val="00E40690"/>
    <w:rsid w:val="00E40AEB"/>
    <w:rsid w:val="00E4143A"/>
    <w:rsid w:val="00E424C8"/>
    <w:rsid w:val="00E4251D"/>
    <w:rsid w:val="00E42F2B"/>
    <w:rsid w:val="00E431B0"/>
    <w:rsid w:val="00E43D00"/>
    <w:rsid w:val="00E445E4"/>
    <w:rsid w:val="00E45740"/>
    <w:rsid w:val="00E457CB"/>
    <w:rsid w:val="00E45D47"/>
    <w:rsid w:val="00E45DE4"/>
    <w:rsid w:val="00E45E63"/>
    <w:rsid w:val="00E46D10"/>
    <w:rsid w:val="00E472AD"/>
    <w:rsid w:val="00E50A7B"/>
    <w:rsid w:val="00E50B0B"/>
    <w:rsid w:val="00E510FE"/>
    <w:rsid w:val="00E511D6"/>
    <w:rsid w:val="00E51C89"/>
    <w:rsid w:val="00E51E25"/>
    <w:rsid w:val="00E5201F"/>
    <w:rsid w:val="00E5205B"/>
    <w:rsid w:val="00E521AE"/>
    <w:rsid w:val="00E52C99"/>
    <w:rsid w:val="00E53BCA"/>
    <w:rsid w:val="00E53F02"/>
    <w:rsid w:val="00E540D5"/>
    <w:rsid w:val="00E54534"/>
    <w:rsid w:val="00E548C3"/>
    <w:rsid w:val="00E54F27"/>
    <w:rsid w:val="00E55552"/>
    <w:rsid w:val="00E556F5"/>
    <w:rsid w:val="00E55FF1"/>
    <w:rsid w:val="00E56090"/>
    <w:rsid w:val="00E565B9"/>
    <w:rsid w:val="00E5733B"/>
    <w:rsid w:val="00E57403"/>
    <w:rsid w:val="00E5756C"/>
    <w:rsid w:val="00E601BE"/>
    <w:rsid w:val="00E60B5F"/>
    <w:rsid w:val="00E613AE"/>
    <w:rsid w:val="00E61429"/>
    <w:rsid w:val="00E61ABB"/>
    <w:rsid w:val="00E61FD7"/>
    <w:rsid w:val="00E623E6"/>
    <w:rsid w:val="00E630C0"/>
    <w:rsid w:val="00E63107"/>
    <w:rsid w:val="00E634E6"/>
    <w:rsid w:val="00E63DCE"/>
    <w:rsid w:val="00E64700"/>
    <w:rsid w:val="00E64E0B"/>
    <w:rsid w:val="00E65074"/>
    <w:rsid w:val="00E65E70"/>
    <w:rsid w:val="00E65EE9"/>
    <w:rsid w:val="00E66087"/>
    <w:rsid w:val="00E66091"/>
    <w:rsid w:val="00E66D79"/>
    <w:rsid w:val="00E66FF9"/>
    <w:rsid w:val="00E673DC"/>
    <w:rsid w:val="00E67856"/>
    <w:rsid w:val="00E679C8"/>
    <w:rsid w:val="00E67E59"/>
    <w:rsid w:val="00E70314"/>
    <w:rsid w:val="00E70355"/>
    <w:rsid w:val="00E709C1"/>
    <w:rsid w:val="00E71238"/>
    <w:rsid w:val="00E724E7"/>
    <w:rsid w:val="00E72B41"/>
    <w:rsid w:val="00E7301D"/>
    <w:rsid w:val="00E7347B"/>
    <w:rsid w:val="00E73D03"/>
    <w:rsid w:val="00E7471C"/>
    <w:rsid w:val="00E7498A"/>
    <w:rsid w:val="00E74A1E"/>
    <w:rsid w:val="00E7514E"/>
    <w:rsid w:val="00E75B34"/>
    <w:rsid w:val="00E76D8A"/>
    <w:rsid w:val="00E77AF5"/>
    <w:rsid w:val="00E8029A"/>
    <w:rsid w:val="00E8050F"/>
    <w:rsid w:val="00E81653"/>
    <w:rsid w:val="00E823F9"/>
    <w:rsid w:val="00E82C1F"/>
    <w:rsid w:val="00E83171"/>
    <w:rsid w:val="00E83671"/>
    <w:rsid w:val="00E8414B"/>
    <w:rsid w:val="00E84A71"/>
    <w:rsid w:val="00E85409"/>
    <w:rsid w:val="00E8544B"/>
    <w:rsid w:val="00E859E8"/>
    <w:rsid w:val="00E85A3A"/>
    <w:rsid w:val="00E86556"/>
    <w:rsid w:val="00E86798"/>
    <w:rsid w:val="00E86D35"/>
    <w:rsid w:val="00E86DC2"/>
    <w:rsid w:val="00E86E32"/>
    <w:rsid w:val="00E8732E"/>
    <w:rsid w:val="00E9011F"/>
    <w:rsid w:val="00E90370"/>
    <w:rsid w:val="00E906EB"/>
    <w:rsid w:val="00E913F9"/>
    <w:rsid w:val="00E9241E"/>
    <w:rsid w:val="00E92460"/>
    <w:rsid w:val="00E92E62"/>
    <w:rsid w:val="00E937BB"/>
    <w:rsid w:val="00E93804"/>
    <w:rsid w:val="00E93A86"/>
    <w:rsid w:val="00E93AA1"/>
    <w:rsid w:val="00E94889"/>
    <w:rsid w:val="00E95434"/>
    <w:rsid w:val="00E96467"/>
    <w:rsid w:val="00E966DA"/>
    <w:rsid w:val="00E96948"/>
    <w:rsid w:val="00E9737B"/>
    <w:rsid w:val="00E97A3F"/>
    <w:rsid w:val="00E97F0A"/>
    <w:rsid w:val="00EA0100"/>
    <w:rsid w:val="00EA010D"/>
    <w:rsid w:val="00EA04DC"/>
    <w:rsid w:val="00EA0886"/>
    <w:rsid w:val="00EA0BCE"/>
    <w:rsid w:val="00EA14AC"/>
    <w:rsid w:val="00EA2726"/>
    <w:rsid w:val="00EA2744"/>
    <w:rsid w:val="00EA2937"/>
    <w:rsid w:val="00EA3626"/>
    <w:rsid w:val="00EA37B9"/>
    <w:rsid w:val="00EA39F7"/>
    <w:rsid w:val="00EA3B27"/>
    <w:rsid w:val="00EA3B95"/>
    <w:rsid w:val="00EA3DC2"/>
    <w:rsid w:val="00EA434E"/>
    <w:rsid w:val="00EA4757"/>
    <w:rsid w:val="00EA519E"/>
    <w:rsid w:val="00EA53D3"/>
    <w:rsid w:val="00EA560B"/>
    <w:rsid w:val="00EA5669"/>
    <w:rsid w:val="00EA5C05"/>
    <w:rsid w:val="00EA63EF"/>
    <w:rsid w:val="00EA6750"/>
    <w:rsid w:val="00EB0A89"/>
    <w:rsid w:val="00EB1573"/>
    <w:rsid w:val="00EB1650"/>
    <w:rsid w:val="00EB1910"/>
    <w:rsid w:val="00EB1D24"/>
    <w:rsid w:val="00EB1E66"/>
    <w:rsid w:val="00EB2E97"/>
    <w:rsid w:val="00EB3416"/>
    <w:rsid w:val="00EB3C38"/>
    <w:rsid w:val="00EB4424"/>
    <w:rsid w:val="00EB45E4"/>
    <w:rsid w:val="00EB4A3B"/>
    <w:rsid w:val="00EB4AE1"/>
    <w:rsid w:val="00EB52F4"/>
    <w:rsid w:val="00EB5694"/>
    <w:rsid w:val="00EB5779"/>
    <w:rsid w:val="00EB57A4"/>
    <w:rsid w:val="00EB6098"/>
    <w:rsid w:val="00EB65ED"/>
    <w:rsid w:val="00EB67F1"/>
    <w:rsid w:val="00EB72CD"/>
    <w:rsid w:val="00EB749A"/>
    <w:rsid w:val="00EB76B6"/>
    <w:rsid w:val="00EB7D8A"/>
    <w:rsid w:val="00EC05E2"/>
    <w:rsid w:val="00EC08AF"/>
    <w:rsid w:val="00EC0B29"/>
    <w:rsid w:val="00EC0E84"/>
    <w:rsid w:val="00EC16E2"/>
    <w:rsid w:val="00EC1CE7"/>
    <w:rsid w:val="00EC1F3F"/>
    <w:rsid w:val="00EC2676"/>
    <w:rsid w:val="00EC26F1"/>
    <w:rsid w:val="00EC36B1"/>
    <w:rsid w:val="00EC3C94"/>
    <w:rsid w:val="00EC44DF"/>
    <w:rsid w:val="00EC48D5"/>
    <w:rsid w:val="00EC4AB1"/>
    <w:rsid w:val="00EC4FB9"/>
    <w:rsid w:val="00EC51FA"/>
    <w:rsid w:val="00EC5393"/>
    <w:rsid w:val="00EC5741"/>
    <w:rsid w:val="00EC5ACE"/>
    <w:rsid w:val="00EC5AE3"/>
    <w:rsid w:val="00EC5DA3"/>
    <w:rsid w:val="00EC6014"/>
    <w:rsid w:val="00EC6B3E"/>
    <w:rsid w:val="00EC6D8D"/>
    <w:rsid w:val="00EC73DE"/>
    <w:rsid w:val="00EC7637"/>
    <w:rsid w:val="00EC7CF2"/>
    <w:rsid w:val="00ED046B"/>
    <w:rsid w:val="00ED046C"/>
    <w:rsid w:val="00ED053A"/>
    <w:rsid w:val="00ED1F03"/>
    <w:rsid w:val="00ED2D27"/>
    <w:rsid w:val="00ED3347"/>
    <w:rsid w:val="00ED3954"/>
    <w:rsid w:val="00ED43A2"/>
    <w:rsid w:val="00ED4967"/>
    <w:rsid w:val="00ED4EC8"/>
    <w:rsid w:val="00ED510D"/>
    <w:rsid w:val="00ED5140"/>
    <w:rsid w:val="00ED538C"/>
    <w:rsid w:val="00ED5771"/>
    <w:rsid w:val="00ED587F"/>
    <w:rsid w:val="00ED5964"/>
    <w:rsid w:val="00ED623F"/>
    <w:rsid w:val="00ED69BA"/>
    <w:rsid w:val="00ED72E9"/>
    <w:rsid w:val="00ED732E"/>
    <w:rsid w:val="00ED77F0"/>
    <w:rsid w:val="00ED7FBC"/>
    <w:rsid w:val="00EE0253"/>
    <w:rsid w:val="00EE0297"/>
    <w:rsid w:val="00EE0789"/>
    <w:rsid w:val="00EE0B63"/>
    <w:rsid w:val="00EE1258"/>
    <w:rsid w:val="00EE13DA"/>
    <w:rsid w:val="00EE15E2"/>
    <w:rsid w:val="00EE162F"/>
    <w:rsid w:val="00EE1668"/>
    <w:rsid w:val="00EE1B27"/>
    <w:rsid w:val="00EE2854"/>
    <w:rsid w:val="00EE341D"/>
    <w:rsid w:val="00EE34D4"/>
    <w:rsid w:val="00EE366D"/>
    <w:rsid w:val="00EE5350"/>
    <w:rsid w:val="00EE5454"/>
    <w:rsid w:val="00EE58B8"/>
    <w:rsid w:val="00EE59B5"/>
    <w:rsid w:val="00EE5CF6"/>
    <w:rsid w:val="00EE5D1D"/>
    <w:rsid w:val="00EE5FB7"/>
    <w:rsid w:val="00EE6A1A"/>
    <w:rsid w:val="00EE77C3"/>
    <w:rsid w:val="00EE7B54"/>
    <w:rsid w:val="00EE7C88"/>
    <w:rsid w:val="00EE7C8B"/>
    <w:rsid w:val="00EF000B"/>
    <w:rsid w:val="00EF0209"/>
    <w:rsid w:val="00EF0EA4"/>
    <w:rsid w:val="00EF1A3D"/>
    <w:rsid w:val="00EF1E97"/>
    <w:rsid w:val="00EF2436"/>
    <w:rsid w:val="00EF2547"/>
    <w:rsid w:val="00EF2B2B"/>
    <w:rsid w:val="00EF2E1C"/>
    <w:rsid w:val="00EF2FD6"/>
    <w:rsid w:val="00EF326A"/>
    <w:rsid w:val="00EF427A"/>
    <w:rsid w:val="00EF45DF"/>
    <w:rsid w:val="00EF4952"/>
    <w:rsid w:val="00EF498F"/>
    <w:rsid w:val="00EF4A42"/>
    <w:rsid w:val="00EF510C"/>
    <w:rsid w:val="00EF55C4"/>
    <w:rsid w:val="00EF57BC"/>
    <w:rsid w:val="00EF5FD2"/>
    <w:rsid w:val="00EF6784"/>
    <w:rsid w:val="00EF688A"/>
    <w:rsid w:val="00EF6A03"/>
    <w:rsid w:val="00EF6DC2"/>
    <w:rsid w:val="00EF7BF4"/>
    <w:rsid w:val="00F002D7"/>
    <w:rsid w:val="00F0030F"/>
    <w:rsid w:val="00F00674"/>
    <w:rsid w:val="00F00694"/>
    <w:rsid w:val="00F01657"/>
    <w:rsid w:val="00F01E67"/>
    <w:rsid w:val="00F02704"/>
    <w:rsid w:val="00F02744"/>
    <w:rsid w:val="00F02BFD"/>
    <w:rsid w:val="00F02D25"/>
    <w:rsid w:val="00F0351E"/>
    <w:rsid w:val="00F0435D"/>
    <w:rsid w:val="00F04580"/>
    <w:rsid w:val="00F04ECA"/>
    <w:rsid w:val="00F05089"/>
    <w:rsid w:val="00F05DC2"/>
    <w:rsid w:val="00F0640E"/>
    <w:rsid w:val="00F06E19"/>
    <w:rsid w:val="00F06F84"/>
    <w:rsid w:val="00F076E7"/>
    <w:rsid w:val="00F07AA1"/>
    <w:rsid w:val="00F105AE"/>
    <w:rsid w:val="00F10618"/>
    <w:rsid w:val="00F1108B"/>
    <w:rsid w:val="00F116EC"/>
    <w:rsid w:val="00F11768"/>
    <w:rsid w:val="00F11951"/>
    <w:rsid w:val="00F11BA8"/>
    <w:rsid w:val="00F12262"/>
    <w:rsid w:val="00F12AF8"/>
    <w:rsid w:val="00F12C52"/>
    <w:rsid w:val="00F148B7"/>
    <w:rsid w:val="00F14EA9"/>
    <w:rsid w:val="00F151DA"/>
    <w:rsid w:val="00F15505"/>
    <w:rsid w:val="00F15BFF"/>
    <w:rsid w:val="00F16974"/>
    <w:rsid w:val="00F17105"/>
    <w:rsid w:val="00F20A0B"/>
    <w:rsid w:val="00F213A0"/>
    <w:rsid w:val="00F217AB"/>
    <w:rsid w:val="00F21A51"/>
    <w:rsid w:val="00F21D54"/>
    <w:rsid w:val="00F21D6D"/>
    <w:rsid w:val="00F21EF4"/>
    <w:rsid w:val="00F23113"/>
    <w:rsid w:val="00F23255"/>
    <w:rsid w:val="00F23393"/>
    <w:rsid w:val="00F23759"/>
    <w:rsid w:val="00F23CB5"/>
    <w:rsid w:val="00F23D19"/>
    <w:rsid w:val="00F24644"/>
    <w:rsid w:val="00F250F6"/>
    <w:rsid w:val="00F2520A"/>
    <w:rsid w:val="00F256FD"/>
    <w:rsid w:val="00F259F1"/>
    <w:rsid w:val="00F25D1F"/>
    <w:rsid w:val="00F26F33"/>
    <w:rsid w:val="00F277F0"/>
    <w:rsid w:val="00F27E74"/>
    <w:rsid w:val="00F300A8"/>
    <w:rsid w:val="00F30265"/>
    <w:rsid w:val="00F30400"/>
    <w:rsid w:val="00F3079E"/>
    <w:rsid w:val="00F326BD"/>
    <w:rsid w:val="00F32C50"/>
    <w:rsid w:val="00F32EBA"/>
    <w:rsid w:val="00F32EE9"/>
    <w:rsid w:val="00F33980"/>
    <w:rsid w:val="00F3399B"/>
    <w:rsid w:val="00F33C1A"/>
    <w:rsid w:val="00F3461B"/>
    <w:rsid w:val="00F346ED"/>
    <w:rsid w:val="00F34945"/>
    <w:rsid w:val="00F349AD"/>
    <w:rsid w:val="00F34E1E"/>
    <w:rsid w:val="00F3570C"/>
    <w:rsid w:val="00F368FF"/>
    <w:rsid w:val="00F37068"/>
    <w:rsid w:val="00F37CE4"/>
    <w:rsid w:val="00F37F3F"/>
    <w:rsid w:val="00F407DF"/>
    <w:rsid w:val="00F40992"/>
    <w:rsid w:val="00F40AEC"/>
    <w:rsid w:val="00F40EA1"/>
    <w:rsid w:val="00F40EDD"/>
    <w:rsid w:val="00F412DF"/>
    <w:rsid w:val="00F413A2"/>
    <w:rsid w:val="00F41596"/>
    <w:rsid w:val="00F41883"/>
    <w:rsid w:val="00F41D8B"/>
    <w:rsid w:val="00F42121"/>
    <w:rsid w:val="00F424B3"/>
    <w:rsid w:val="00F428B1"/>
    <w:rsid w:val="00F428B4"/>
    <w:rsid w:val="00F4345D"/>
    <w:rsid w:val="00F4387B"/>
    <w:rsid w:val="00F449DA"/>
    <w:rsid w:val="00F4518D"/>
    <w:rsid w:val="00F45878"/>
    <w:rsid w:val="00F45B2C"/>
    <w:rsid w:val="00F45B91"/>
    <w:rsid w:val="00F46639"/>
    <w:rsid w:val="00F46692"/>
    <w:rsid w:val="00F46BD5"/>
    <w:rsid w:val="00F474BD"/>
    <w:rsid w:val="00F47AAA"/>
    <w:rsid w:val="00F50183"/>
    <w:rsid w:val="00F50D92"/>
    <w:rsid w:val="00F51765"/>
    <w:rsid w:val="00F51A51"/>
    <w:rsid w:val="00F51CB4"/>
    <w:rsid w:val="00F52324"/>
    <w:rsid w:val="00F52950"/>
    <w:rsid w:val="00F52C9D"/>
    <w:rsid w:val="00F52E39"/>
    <w:rsid w:val="00F533F1"/>
    <w:rsid w:val="00F53B74"/>
    <w:rsid w:val="00F53BA6"/>
    <w:rsid w:val="00F5502D"/>
    <w:rsid w:val="00F55679"/>
    <w:rsid w:val="00F561E3"/>
    <w:rsid w:val="00F56318"/>
    <w:rsid w:val="00F565E6"/>
    <w:rsid w:val="00F56AFA"/>
    <w:rsid w:val="00F575E2"/>
    <w:rsid w:val="00F579FF"/>
    <w:rsid w:val="00F600E0"/>
    <w:rsid w:val="00F600FD"/>
    <w:rsid w:val="00F605EC"/>
    <w:rsid w:val="00F60F60"/>
    <w:rsid w:val="00F612CE"/>
    <w:rsid w:val="00F61E71"/>
    <w:rsid w:val="00F624A7"/>
    <w:rsid w:val="00F62AB6"/>
    <w:rsid w:val="00F62E1B"/>
    <w:rsid w:val="00F6392E"/>
    <w:rsid w:val="00F63984"/>
    <w:rsid w:val="00F643C7"/>
    <w:rsid w:val="00F65A3C"/>
    <w:rsid w:val="00F66135"/>
    <w:rsid w:val="00F66282"/>
    <w:rsid w:val="00F66491"/>
    <w:rsid w:val="00F67D8B"/>
    <w:rsid w:val="00F70961"/>
    <w:rsid w:val="00F70A8F"/>
    <w:rsid w:val="00F71397"/>
    <w:rsid w:val="00F72389"/>
    <w:rsid w:val="00F72516"/>
    <w:rsid w:val="00F72FB4"/>
    <w:rsid w:val="00F735E5"/>
    <w:rsid w:val="00F73DD9"/>
    <w:rsid w:val="00F73E80"/>
    <w:rsid w:val="00F7469C"/>
    <w:rsid w:val="00F747E9"/>
    <w:rsid w:val="00F7492E"/>
    <w:rsid w:val="00F74945"/>
    <w:rsid w:val="00F749A3"/>
    <w:rsid w:val="00F74A04"/>
    <w:rsid w:val="00F74AE8"/>
    <w:rsid w:val="00F74F57"/>
    <w:rsid w:val="00F76C11"/>
    <w:rsid w:val="00F77021"/>
    <w:rsid w:val="00F7748C"/>
    <w:rsid w:val="00F77E61"/>
    <w:rsid w:val="00F814B2"/>
    <w:rsid w:val="00F815AC"/>
    <w:rsid w:val="00F82E79"/>
    <w:rsid w:val="00F83200"/>
    <w:rsid w:val="00F83621"/>
    <w:rsid w:val="00F836E0"/>
    <w:rsid w:val="00F8389F"/>
    <w:rsid w:val="00F83B33"/>
    <w:rsid w:val="00F83CAE"/>
    <w:rsid w:val="00F840BF"/>
    <w:rsid w:val="00F8415D"/>
    <w:rsid w:val="00F8427A"/>
    <w:rsid w:val="00F843DF"/>
    <w:rsid w:val="00F84899"/>
    <w:rsid w:val="00F84A0A"/>
    <w:rsid w:val="00F84B9D"/>
    <w:rsid w:val="00F853A5"/>
    <w:rsid w:val="00F85585"/>
    <w:rsid w:val="00F859F0"/>
    <w:rsid w:val="00F85CC1"/>
    <w:rsid w:val="00F86A41"/>
    <w:rsid w:val="00F86B5D"/>
    <w:rsid w:val="00F86F93"/>
    <w:rsid w:val="00F87464"/>
    <w:rsid w:val="00F87634"/>
    <w:rsid w:val="00F87765"/>
    <w:rsid w:val="00F87C13"/>
    <w:rsid w:val="00F87C5A"/>
    <w:rsid w:val="00F87E29"/>
    <w:rsid w:val="00F87F18"/>
    <w:rsid w:val="00F87F68"/>
    <w:rsid w:val="00F90C4D"/>
    <w:rsid w:val="00F90D0F"/>
    <w:rsid w:val="00F9167D"/>
    <w:rsid w:val="00F91CB2"/>
    <w:rsid w:val="00F9289C"/>
    <w:rsid w:val="00F93DBC"/>
    <w:rsid w:val="00F93E41"/>
    <w:rsid w:val="00F94644"/>
    <w:rsid w:val="00F94B13"/>
    <w:rsid w:val="00F95075"/>
    <w:rsid w:val="00F95252"/>
    <w:rsid w:val="00F9537B"/>
    <w:rsid w:val="00F95567"/>
    <w:rsid w:val="00F963FC"/>
    <w:rsid w:val="00F96D27"/>
    <w:rsid w:val="00FA015F"/>
    <w:rsid w:val="00FA0687"/>
    <w:rsid w:val="00FA0FAC"/>
    <w:rsid w:val="00FA1DA2"/>
    <w:rsid w:val="00FA2EC7"/>
    <w:rsid w:val="00FA310E"/>
    <w:rsid w:val="00FA3414"/>
    <w:rsid w:val="00FA347A"/>
    <w:rsid w:val="00FA39D7"/>
    <w:rsid w:val="00FA3CDE"/>
    <w:rsid w:val="00FA4691"/>
    <w:rsid w:val="00FA49B7"/>
    <w:rsid w:val="00FA5043"/>
    <w:rsid w:val="00FA6F8B"/>
    <w:rsid w:val="00FA7A30"/>
    <w:rsid w:val="00FB033F"/>
    <w:rsid w:val="00FB12E3"/>
    <w:rsid w:val="00FB1570"/>
    <w:rsid w:val="00FB193B"/>
    <w:rsid w:val="00FB1FBC"/>
    <w:rsid w:val="00FB27B7"/>
    <w:rsid w:val="00FB2C36"/>
    <w:rsid w:val="00FB3483"/>
    <w:rsid w:val="00FB35E3"/>
    <w:rsid w:val="00FB4D3F"/>
    <w:rsid w:val="00FB583C"/>
    <w:rsid w:val="00FB630E"/>
    <w:rsid w:val="00FB6738"/>
    <w:rsid w:val="00FB691B"/>
    <w:rsid w:val="00FB731C"/>
    <w:rsid w:val="00FB7DF8"/>
    <w:rsid w:val="00FC05A0"/>
    <w:rsid w:val="00FC0811"/>
    <w:rsid w:val="00FC1196"/>
    <w:rsid w:val="00FC15EB"/>
    <w:rsid w:val="00FC18DC"/>
    <w:rsid w:val="00FC2AC4"/>
    <w:rsid w:val="00FC2B08"/>
    <w:rsid w:val="00FC2F73"/>
    <w:rsid w:val="00FC3A9B"/>
    <w:rsid w:val="00FC3AE1"/>
    <w:rsid w:val="00FC3DFC"/>
    <w:rsid w:val="00FC3EF4"/>
    <w:rsid w:val="00FC431B"/>
    <w:rsid w:val="00FC434C"/>
    <w:rsid w:val="00FC4FDF"/>
    <w:rsid w:val="00FC5CF4"/>
    <w:rsid w:val="00FC6A39"/>
    <w:rsid w:val="00FC6E50"/>
    <w:rsid w:val="00FC79AB"/>
    <w:rsid w:val="00FC7BE7"/>
    <w:rsid w:val="00FC7D93"/>
    <w:rsid w:val="00FC7DAC"/>
    <w:rsid w:val="00FD04AE"/>
    <w:rsid w:val="00FD1890"/>
    <w:rsid w:val="00FD1994"/>
    <w:rsid w:val="00FD269A"/>
    <w:rsid w:val="00FD2AC8"/>
    <w:rsid w:val="00FD2CA6"/>
    <w:rsid w:val="00FD3508"/>
    <w:rsid w:val="00FD36B5"/>
    <w:rsid w:val="00FD393C"/>
    <w:rsid w:val="00FD43BB"/>
    <w:rsid w:val="00FD4618"/>
    <w:rsid w:val="00FD4A85"/>
    <w:rsid w:val="00FD4AF3"/>
    <w:rsid w:val="00FD556A"/>
    <w:rsid w:val="00FD6300"/>
    <w:rsid w:val="00FD798D"/>
    <w:rsid w:val="00FD7FB9"/>
    <w:rsid w:val="00FE10F6"/>
    <w:rsid w:val="00FE1418"/>
    <w:rsid w:val="00FE141E"/>
    <w:rsid w:val="00FE144E"/>
    <w:rsid w:val="00FE1768"/>
    <w:rsid w:val="00FE24F4"/>
    <w:rsid w:val="00FE2560"/>
    <w:rsid w:val="00FE35D0"/>
    <w:rsid w:val="00FE39DD"/>
    <w:rsid w:val="00FE41AC"/>
    <w:rsid w:val="00FE42ED"/>
    <w:rsid w:val="00FE4371"/>
    <w:rsid w:val="00FE4C6D"/>
    <w:rsid w:val="00FE502D"/>
    <w:rsid w:val="00FE51FD"/>
    <w:rsid w:val="00FE55A7"/>
    <w:rsid w:val="00FE55E6"/>
    <w:rsid w:val="00FE56D5"/>
    <w:rsid w:val="00FE5C5A"/>
    <w:rsid w:val="00FE6432"/>
    <w:rsid w:val="00FE72A0"/>
    <w:rsid w:val="00FF0050"/>
    <w:rsid w:val="00FF045F"/>
    <w:rsid w:val="00FF0712"/>
    <w:rsid w:val="00FF11D3"/>
    <w:rsid w:val="00FF13D4"/>
    <w:rsid w:val="00FF2053"/>
    <w:rsid w:val="00FF2C63"/>
    <w:rsid w:val="00FF3B37"/>
    <w:rsid w:val="00FF3D6F"/>
    <w:rsid w:val="00FF3FE5"/>
    <w:rsid w:val="00FF40FA"/>
    <w:rsid w:val="00FF4BD8"/>
    <w:rsid w:val="00FF4D11"/>
    <w:rsid w:val="00FF50BD"/>
    <w:rsid w:val="00FF5214"/>
    <w:rsid w:val="00FF5403"/>
    <w:rsid w:val="00FF596E"/>
    <w:rsid w:val="00FF5B59"/>
    <w:rsid w:val="00FF5BFD"/>
    <w:rsid w:val="00FF5C01"/>
    <w:rsid w:val="00FF5F9D"/>
    <w:rsid w:val="00FF6095"/>
    <w:rsid w:val="00FF628B"/>
    <w:rsid w:val="00FF62FE"/>
    <w:rsid w:val="00FF6553"/>
    <w:rsid w:val="00FF7134"/>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E7B7A6D8-5071-43F7-8E26-9CBF3DE87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6988"/>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paragraph" w:styleId="Ttulo2">
    <w:name w:val="heading 2"/>
    <w:basedOn w:val="Normal"/>
    <w:next w:val="Normal"/>
    <w:link w:val="Ttulo2Car"/>
    <w:uiPriority w:val="9"/>
    <w:semiHidden/>
    <w:unhideWhenUsed/>
    <w:qFormat/>
    <w:rsid w:val="00E00DB0"/>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1,Foot"/>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Mencinsinresolver3">
    <w:name w:val="Mención sin resolver3"/>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paragraph" w:customStyle="1" w:styleId="InviasNormal">
    <w:name w:val="Invias Normal"/>
    <w:basedOn w:val="Normal"/>
    <w:link w:val="InviasNormalCar"/>
    <w:qFormat/>
    <w:rsid w:val="00433ACB"/>
    <w:pPr>
      <w:tabs>
        <w:tab w:val="left" w:pos="-142"/>
      </w:tabs>
      <w:autoSpaceDE w:val="0"/>
      <w:autoSpaceDN w:val="0"/>
      <w:adjustRightInd w:val="0"/>
      <w:spacing w:before="120" w:after="240"/>
      <w:jc w:val="both"/>
    </w:pPr>
    <w:rPr>
      <w:rFonts w:ascii="Arial Narrow" w:hAnsi="Arial Narrow"/>
      <w:color w:val="3C3C3C" w:themeColor="background2" w:themeShade="40"/>
      <w:lang w:val="x-none" w:eastAsia="es-ES"/>
    </w:rPr>
  </w:style>
  <w:style w:type="character" w:customStyle="1" w:styleId="InviasNormalCar">
    <w:name w:val="Invias Normal Car"/>
    <w:link w:val="InviasNormal"/>
    <w:locked/>
    <w:rsid w:val="00433ACB"/>
    <w:rPr>
      <w:rFonts w:ascii="Arial Narrow" w:eastAsia="Times New Roman" w:hAnsi="Arial Narrow" w:cs="Times New Roman"/>
      <w:color w:val="3C3C3C" w:themeColor="background2" w:themeShade="40"/>
      <w:sz w:val="24"/>
      <w:szCs w:val="24"/>
      <w:lang w:val="x-none" w:eastAsia="es-ES"/>
    </w:rPr>
  </w:style>
  <w:style w:type="table" w:customStyle="1" w:styleId="Tablaconcuadrcula2">
    <w:name w:val="Tabla con cuadrícula2"/>
    <w:basedOn w:val="Tablanormal"/>
    <w:next w:val="Tablaconcuadrcula"/>
    <w:uiPriority w:val="39"/>
    <w:rsid w:val="001E25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spacing">
    <w:name w:val="x_msonospacing"/>
    <w:basedOn w:val="Normal"/>
    <w:rsid w:val="00292E64"/>
    <w:pPr>
      <w:spacing w:before="100" w:beforeAutospacing="1" w:after="100" w:afterAutospacing="1"/>
    </w:pPr>
    <w:rPr>
      <w:lang w:eastAsia="es-MX"/>
    </w:rPr>
  </w:style>
  <w:style w:type="paragraph" w:customStyle="1" w:styleId="Capitulo8">
    <w:name w:val="Capitulo 8"/>
    <w:basedOn w:val="Normal"/>
    <w:qFormat/>
    <w:rsid w:val="00DB5196"/>
    <w:pPr>
      <w:numPr>
        <w:numId w:val="36"/>
      </w:numPr>
      <w:spacing w:after="200" w:line="276" w:lineRule="auto"/>
      <w:ind w:left="1020" w:hanging="680"/>
      <w:contextualSpacing/>
      <w:jc w:val="both"/>
    </w:pPr>
    <w:rPr>
      <w:rFonts w:ascii="Arial" w:eastAsia="Calibri" w:hAnsi="Arial" w:cs="Arial"/>
      <w:b/>
      <w:bCs/>
      <w:color w:val="1C1C1C"/>
      <w:sz w:val="20"/>
      <w:szCs w:val="20"/>
      <w:lang w:eastAsia="en-US"/>
    </w:rPr>
  </w:style>
  <w:style w:type="paragraph" w:customStyle="1" w:styleId="Normal11pt">
    <w:name w:val="Normal + 11 pt"/>
    <w:aliases w:val="Negro,Justificado,Izquierda:  -0,95 cm,Derecha:  0,04 cm"/>
    <w:basedOn w:val="Normal"/>
    <w:uiPriority w:val="99"/>
    <w:rsid w:val="008A2527"/>
    <w:pPr>
      <w:ind w:left="-540"/>
      <w:jc w:val="both"/>
    </w:pPr>
    <w:rPr>
      <w:rFonts w:ascii="Arial" w:hAnsi="Arial" w:cs="Arial"/>
      <w:color w:val="000000"/>
      <w:sz w:val="22"/>
      <w:szCs w:val="22"/>
      <w:lang w:val="es-ES_tradnl" w:eastAsia="es-ES"/>
    </w:rPr>
  </w:style>
  <w:style w:type="paragraph" w:styleId="Revisin">
    <w:name w:val="Revision"/>
    <w:hidden/>
    <w:uiPriority w:val="99"/>
    <w:semiHidden/>
    <w:rsid w:val="004222E3"/>
    <w:pPr>
      <w:spacing w:after="0" w:line="240" w:lineRule="auto"/>
    </w:pPr>
    <w:rPr>
      <w:rFonts w:ascii="Times New Roman" w:eastAsia="Times New Roman" w:hAnsi="Times New Roman" w:cs="Times New Roman"/>
      <w:sz w:val="24"/>
      <w:szCs w:val="24"/>
      <w:lang w:eastAsia="es-ES_tradnl"/>
    </w:rPr>
  </w:style>
  <w:style w:type="character" w:customStyle="1" w:styleId="Mencinsinresolver4">
    <w:name w:val="Mención sin resolver4"/>
    <w:basedOn w:val="Fuentedeprrafopredeter"/>
    <w:uiPriority w:val="99"/>
    <w:semiHidden/>
    <w:unhideWhenUsed/>
    <w:rsid w:val="00755C31"/>
    <w:rPr>
      <w:color w:val="605E5C"/>
      <w:shd w:val="clear" w:color="auto" w:fill="E1DFDD"/>
    </w:rPr>
  </w:style>
  <w:style w:type="table" w:customStyle="1" w:styleId="Tablaconcuadrcula3">
    <w:name w:val="Tabla con cuadrícula3"/>
    <w:basedOn w:val="Tablanormal"/>
    <w:next w:val="Tablaconcuadrcula"/>
    <w:uiPriority w:val="39"/>
    <w:qFormat/>
    <w:rsid w:val="003844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semiHidden/>
    <w:rsid w:val="00E00DB0"/>
    <w:rPr>
      <w:rFonts w:asciiTheme="majorHAnsi" w:eastAsiaTheme="majorEastAsia" w:hAnsiTheme="majorHAnsi" w:cstheme="majorBidi"/>
      <w:color w:val="365F91" w:themeColor="accent1" w:themeShade="BF"/>
      <w:sz w:val="26"/>
      <w:szCs w:val="26"/>
      <w:lang w:eastAsia="es-ES_tradnl"/>
    </w:rPr>
  </w:style>
  <w:style w:type="table" w:customStyle="1" w:styleId="Tablaconcuadrcula4">
    <w:name w:val="Tabla con cuadrícula4"/>
    <w:basedOn w:val="Tablanormal"/>
    <w:next w:val="Tablaconcuadrcula"/>
    <w:uiPriority w:val="39"/>
    <w:qFormat/>
    <w:rsid w:val="00D62F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5">
    <w:name w:val="Mención sin resolver5"/>
    <w:basedOn w:val="Fuentedeprrafopredeter"/>
    <w:uiPriority w:val="99"/>
    <w:semiHidden/>
    <w:unhideWhenUsed/>
    <w:rsid w:val="009836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1099634">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55342837">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92500427">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3496267">
      <w:bodyDiv w:val="1"/>
      <w:marLeft w:val="0"/>
      <w:marRight w:val="0"/>
      <w:marTop w:val="0"/>
      <w:marBottom w:val="0"/>
      <w:divBdr>
        <w:top w:val="none" w:sz="0" w:space="0" w:color="auto"/>
        <w:left w:val="none" w:sz="0" w:space="0" w:color="auto"/>
        <w:bottom w:val="none" w:sz="0" w:space="0" w:color="auto"/>
        <w:right w:val="none" w:sz="0" w:space="0" w:color="auto"/>
      </w:divBdr>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368787">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64672525">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3383649">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21301682">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074164726">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18734532">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701324343">
          <w:marLeft w:val="0"/>
          <w:marRight w:val="0"/>
          <w:marTop w:val="0"/>
          <w:marBottom w:val="0"/>
          <w:divBdr>
            <w:top w:val="none" w:sz="0" w:space="0" w:color="auto"/>
            <w:left w:val="none" w:sz="0" w:space="0" w:color="auto"/>
            <w:bottom w:val="none" w:sz="0" w:space="0" w:color="auto"/>
            <w:right w:val="none" w:sz="0" w:space="0" w:color="auto"/>
          </w:divBdr>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4945414">
      <w:bodyDiv w:val="1"/>
      <w:marLeft w:val="0"/>
      <w:marRight w:val="0"/>
      <w:marTop w:val="0"/>
      <w:marBottom w:val="0"/>
      <w:divBdr>
        <w:top w:val="none" w:sz="0" w:space="0" w:color="auto"/>
        <w:left w:val="none" w:sz="0" w:space="0" w:color="auto"/>
        <w:bottom w:val="none" w:sz="0" w:space="0" w:color="auto"/>
        <w:right w:val="none" w:sz="0" w:space="0" w:color="auto"/>
      </w:divBdr>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08723210">
      <w:bodyDiv w:val="1"/>
      <w:marLeft w:val="0"/>
      <w:marRight w:val="0"/>
      <w:marTop w:val="0"/>
      <w:marBottom w:val="0"/>
      <w:divBdr>
        <w:top w:val="none" w:sz="0" w:space="0" w:color="auto"/>
        <w:left w:val="none" w:sz="0" w:space="0" w:color="auto"/>
        <w:bottom w:val="none" w:sz="0" w:space="0" w:color="auto"/>
        <w:right w:val="none" w:sz="0" w:space="0" w:color="auto"/>
      </w:divBdr>
    </w:div>
    <w:div w:id="70968980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37901838">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34757641">
          <w:marLeft w:val="0"/>
          <w:marRight w:val="0"/>
          <w:marTop w:val="0"/>
          <w:marBottom w:val="0"/>
          <w:divBdr>
            <w:top w:val="none" w:sz="0" w:space="0" w:color="auto"/>
            <w:left w:val="none" w:sz="0" w:space="0" w:color="auto"/>
            <w:bottom w:val="none" w:sz="0" w:space="0" w:color="auto"/>
            <w:right w:val="none" w:sz="0" w:space="0" w:color="auto"/>
          </w:divBdr>
        </w:div>
        <w:div w:id="183327756">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315379722">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 w:id="1640528279">
              <w:marLeft w:val="0"/>
              <w:marRight w:val="0"/>
              <w:marTop w:val="0"/>
              <w:marBottom w:val="0"/>
              <w:divBdr>
                <w:top w:val="none" w:sz="0" w:space="0" w:color="auto"/>
                <w:left w:val="none" w:sz="0" w:space="0" w:color="auto"/>
                <w:bottom w:val="none" w:sz="0" w:space="0" w:color="auto"/>
                <w:right w:val="none" w:sz="0" w:space="0" w:color="auto"/>
              </w:divBdr>
            </w:div>
          </w:divsChild>
        </w:div>
        <w:div w:id="1856578142">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sChild>
    </w:div>
    <w:div w:id="800001770">
      <w:bodyDiv w:val="1"/>
      <w:marLeft w:val="0"/>
      <w:marRight w:val="0"/>
      <w:marTop w:val="0"/>
      <w:marBottom w:val="0"/>
      <w:divBdr>
        <w:top w:val="none" w:sz="0" w:space="0" w:color="auto"/>
        <w:left w:val="none" w:sz="0" w:space="0" w:color="auto"/>
        <w:bottom w:val="none" w:sz="0" w:space="0" w:color="auto"/>
        <w:right w:val="none" w:sz="0" w:space="0" w:color="auto"/>
      </w:divBdr>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20536661">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430862631">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149979592">
              <w:marLeft w:val="0"/>
              <w:marRight w:val="0"/>
              <w:marTop w:val="0"/>
              <w:marBottom w:val="0"/>
              <w:divBdr>
                <w:top w:val="none" w:sz="0" w:space="0" w:color="auto"/>
                <w:left w:val="none" w:sz="0" w:space="0" w:color="auto"/>
                <w:bottom w:val="none" w:sz="0" w:space="0" w:color="auto"/>
                <w:right w:val="none" w:sz="0" w:space="0" w:color="auto"/>
              </w:divBdr>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587085">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617834">
          <w:marLeft w:val="0"/>
          <w:marRight w:val="0"/>
          <w:marTop w:val="0"/>
          <w:marBottom w:val="0"/>
          <w:divBdr>
            <w:top w:val="none" w:sz="0" w:space="0" w:color="auto"/>
            <w:left w:val="none" w:sz="0" w:space="0" w:color="auto"/>
            <w:bottom w:val="none" w:sz="0" w:space="0" w:color="auto"/>
            <w:right w:val="none" w:sz="0" w:space="0" w:color="auto"/>
          </w:divBdr>
        </w:div>
        <w:div w:id="2016032639">
          <w:marLeft w:val="0"/>
          <w:marRight w:val="0"/>
          <w:marTop w:val="0"/>
          <w:marBottom w:val="0"/>
          <w:divBdr>
            <w:top w:val="none" w:sz="0" w:space="0" w:color="auto"/>
            <w:left w:val="none" w:sz="0" w:space="0" w:color="auto"/>
            <w:bottom w:val="none" w:sz="0" w:space="0" w:color="auto"/>
            <w:right w:val="none" w:sz="0" w:space="0" w:color="auto"/>
          </w:divBdr>
        </w:div>
      </w:divsChild>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50629527">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3829159">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97680798">
              <w:marLeft w:val="0"/>
              <w:marRight w:val="0"/>
              <w:marTop w:val="0"/>
              <w:marBottom w:val="0"/>
              <w:divBdr>
                <w:top w:val="none" w:sz="0" w:space="0" w:color="auto"/>
                <w:left w:val="none" w:sz="0" w:space="0" w:color="auto"/>
                <w:bottom w:val="none" w:sz="0" w:space="0" w:color="auto"/>
                <w:right w:val="none" w:sz="0" w:space="0" w:color="auto"/>
              </w:divBdr>
            </w:div>
            <w:div w:id="1104544632">
              <w:marLeft w:val="0"/>
              <w:marRight w:val="0"/>
              <w:marTop w:val="0"/>
              <w:marBottom w:val="0"/>
              <w:divBdr>
                <w:top w:val="none" w:sz="0" w:space="0" w:color="auto"/>
                <w:left w:val="none" w:sz="0" w:space="0" w:color="auto"/>
                <w:bottom w:val="none" w:sz="0" w:space="0" w:color="auto"/>
                <w:right w:val="none" w:sz="0" w:space="0" w:color="auto"/>
              </w:divBdr>
              <w:divsChild>
                <w:div w:id="244340040">
                  <w:marLeft w:val="0"/>
                  <w:marRight w:val="0"/>
                  <w:marTop w:val="0"/>
                  <w:marBottom w:val="0"/>
                  <w:divBdr>
                    <w:top w:val="none" w:sz="0" w:space="0" w:color="auto"/>
                    <w:left w:val="none" w:sz="0" w:space="0" w:color="auto"/>
                    <w:bottom w:val="none" w:sz="0" w:space="0" w:color="auto"/>
                    <w:right w:val="none" w:sz="0" w:space="0" w:color="auto"/>
                  </w:divBdr>
                </w:div>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30421742">
                  <w:marLeft w:val="0"/>
                  <w:marRight w:val="0"/>
                  <w:marTop w:val="0"/>
                  <w:marBottom w:val="0"/>
                  <w:divBdr>
                    <w:top w:val="none" w:sz="0" w:space="0" w:color="auto"/>
                    <w:left w:val="none" w:sz="0" w:space="0" w:color="auto"/>
                    <w:bottom w:val="none" w:sz="0" w:space="0" w:color="auto"/>
                    <w:right w:val="none" w:sz="0" w:space="0" w:color="auto"/>
                  </w:divBdr>
                </w:div>
                <w:div w:id="544874625">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91754144">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7260892">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sChild>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65756435">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52080136">
      <w:bodyDiv w:val="1"/>
      <w:marLeft w:val="0"/>
      <w:marRight w:val="0"/>
      <w:marTop w:val="0"/>
      <w:marBottom w:val="0"/>
      <w:divBdr>
        <w:top w:val="none" w:sz="0" w:space="0" w:color="auto"/>
        <w:left w:val="none" w:sz="0" w:space="0" w:color="auto"/>
        <w:bottom w:val="none" w:sz="0" w:space="0" w:color="auto"/>
        <w:right w:val="none" w:sz="0" w:space="0" w:color="auto"/>
      </w:divBdr>
    </w:div>
    <w:div w:id="1255087140">
      <w:bodyDiv w:val="1"/>
      <w:marLeft w:val="0"/>
      <w:marRight w:val="0"/>
      <w:marTop w:val="0"/>
      <w:marBottom w:val="0"/>
      <w:divBdr>
        <w:top w:val="none" w:sz="0" w:space="0" w:color="auto"/>
        <w:left w:val="none" w:sz="0" w:space="0" w:color="auto"/>
        <w:bottom w:val="none" w:sz="0" w:space="0" w:color="auto"/>
        <w:right w:val="none" w:sz="0" w:space="0" w:color="auto"/>
      </w:divBdr>
    </w:div>
    <w:div w:id="1278172304">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17761268">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7346258">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135342158">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631448889">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01537589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266958615">
              <w:marLeft w:val="0"/>
              <w:marRight w:val="0"/>
              <w:marTop w:val="0"/>
              <w:marBottom w:val="0"/>
              <w:divBdr>
                <w:top w:val="none" w:sz="0" w:space="0" w:color="auto"/>
                <w:left w:val="none" w:sz="0" w:space="0" w:color="auto"/>
                <w:bottom w:val="none" w:sz="0" w:space="0" w:color="auto"/>
                <w:right w:val="none" w:sz="0" w:space="0" w:color="auto"/>
              </w:divBdr>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sChild>
    </w:div>
    <w:div w:id="1393574512">
      <w:bodyDiv w:val="1"/>
      <w:marLeft w:val="0"/>
      <w:marRight w:val="0"/>
      <w:marTop w:val="0"/>
      <w:marBottom w:val="0"/>
      <w:divBdr>
        <w:top w:val="none" w:sz="0" w:space="0" w:color="auto"/>
        <w:left w:val="none" w:sz="0" w:space="0" w:color="auto"/>
        <w:bottom w:val="none" w:sz="0" w:space="0" w:color="auto"/>
        <w:right w:val="none" w:sz="0" w:space="0" w:color="auto"/>
      </w:divBdr>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2109097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627735588">
                  <w:marLeft w:val="0"/>
                  <w:marRight w:val="0"/>
                  <w:marTop w:val="0"/>
                  <w:marBottom w:val="0"/>
                  <w:divBdr>
                    <w:top w:val="none" w:sz="0" w:space="0" w:color="auto"/>
                    <w:left w:val="none" w:sz="0" w:space="0" w:color="auto"/>
                    <w:bottom w:val="none" w:sz="0" w:space="0" w:color="auto"/>
                    <w:right w:val="none" w:sz="0" w:space="0" w:color="auto"/>
                  </w:divBdr>
                </w:div>
                <w:div w:id="1980762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121466798">
                  <w:marLeft w:val="0"/>
                  <w:marRight w:val="0"/>
                  <w:marTop w:val="0"/>
                  <w:marBottom w:val="0"/>
                  <w:divBdr>
                    <w:top w:val="none" w:sz="0" w:space="0" w:color="auto"/>
                    <w:left w:val="none" w:sz="0" w:space="0" w:color="auto"/>
                    <w:bottom w:val="none" w:sz="0" w:space="0" w:color="auto"/>
                    <w:right w:val="none" w:sz="0" w:space="0" w:color="auto"/>
                  </w:divBdr>
                </w:div>
                <w:div w:id="31977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36527277">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8027276">
      <w:bodyDiv w:val="1"/>
      <w:marLeft w:val="0"/>
      <w:marRight w:val="0"/>
      <w:marTop w:val="0"/>
      <w:marBottom w:val="0"/>
      <w:divBdr>
        <w:top w:val="none" w:sz="0" w:space="0" w:color="auto"/>
        <w:left w:val="none" w:sz="0" w:space="0" w:color="auto"/>
        <w:bottom w:val="none" w:sz="0" w:space="0" w:color="auto"/>
        <w:right w:val="none" w:sz="0" w:space="0" w:color="auto"/>
      </w:divBdr>
    </w:div>
    <w:div w:id="1659378249">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74529961">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9502989">
      <w:bodyDiv w:val="1"/>
      <w:marLeft w:val="0"/>
      <w:marRight w:val="0"/>
      <w:marTop w:val="0"/>
      <w:marBottom w:val="0"/>
      <w:divBdr>
        <w:top w:val="none" w:sz="0" w:space="0" w:color="auto"/>
        <w:left w:val="none" w:sz="0" w:space="0" w:color="auto"/>
        <w:bottom w:val="none" w:sz="0" w:space="0" w:color="auto"/>
        <w:right w:val="none" w:sz="0" w:space="0" w:color="auto"/>
      </w:divBdr>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139924342">
              <w:marLeft w:val="0"/>
              <w:marRight w:val="0"/>
              <w:marTop w:val="0"/>
              <w:marBottom w:val="0"/>
              <w:divBdr>
                <w:top w:val="none" w:sz="0" w:space="0" w:color="auto"/>
                <w:left w:val="none" w:sz="0" w:space="0" w:color="auto"/>
                <w:bottom w:val="none" w:sz="0" w:space="0" w:color="auto"/>
                <w:right w:val="none" w:sz="0" w:space="0" w:color="auto"/>
              </w:divBdr>
            </w:div>
            <w:div w:id="258952796">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sChild>
        </w:div>
        <w:div w:id="1479225221">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51349580">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8235734">
      <w:bodyDiv w:val="1"/>
      <w:marLeft w:val="0"/>
      <w:marRight w:val="0"/>
      <w:marTop w:val="0"/>
      <w:marBottom w:val="0"/>
      <w:divBdr>
        <w:top w:val="none" w:sz="0" w:space="0" w:color="auto"/>
        <w:left w:val="none" w:sz="0" w:space="0" w:color="auto"/>
        <w:bottom w:val="none" w:sz="0" w:space="0" w:color="auto"/>
        <w:right w:val="none" w:sz="0" w:space="0" w:color="auto"/>
      </w:divBdr>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327903512">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252204489">
          <w:marLeft w:val="0"/>
          <w:marRight w:val="0"/>
          <w:marTop w:val="0"/>
          <w:marBottom w:val="0"/>
          <w:divBdr>
            <w:top w:val="none" w:sz="0" w:space="0" w:color="auto"/>
            <w:left w:val="none" w:sz="0" w:space="0" w:color="auto"/>
            <w:bottom w:val="none" w:sz="0" w:space="0" w:color="auto"/>
            <w:right w:val="none" w:sz="0" w:space="0" w:color="auto"/>
          </w:divBdr>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159733033">
          <w:marLeft w:val="0"/>
          <w:marRight w:val="0"/>
          <w:marTop w:val="0"/>
          <w:marBottom w:val="0"/>
          <w:divBdr>
            <w:top w:val="none" w:sz="0" w:space="0" w:color="auto"/>
            <w:left w:val="none" w:sz="0" w:space="0" w:color="auto"/>
            <w:bottom w:val="none" w:sz="0" w:space="0" w:color="auto"/>
            <w:right w:val="none" w:sz="0" w:space="0" w:color="auto"/>
          </w:divBdr>
        </w:div>
        <w:div w:id="643392868">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749620085">
              <w:marLeft w:val="0"/>
              <w:marRight w:val="0"/>
              <w:marTop w:val="0"/>
              <w:marBottom w:val="0"/>
              <w:divBdr>
                <w:top w:val="none" w:sz="0" w:space="0" w:color="auto"/>
                <w:left w:val="none" w:sz="0" w:space="0" w:color="auto"/>
                <w:bottom w:val="none" w:sz="0" w:space="0" w:color="auto"/>
                <w:right w:val="none" w:sz="0" w:space="0" w:color="auto"/>
              </w:divBdr>
            </w:div>
            <w:div w:id="1985967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12874366">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285818572">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541938974">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31392902">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69962719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sChild>
        </w:div>
        <w:div w:id="2124106103">
          <w:marLeft w:val="0"/>
          <w:marRight w:val="0"/>
          <w:marTop w:val="0"/>
          <w:marBottom w:val="0"/>
          <w:divBdr>
            <w:top w:val="none" w:sz="0" w:space="0" w:color="auto"/>
            <w:left w:val="none" w:sz="0" w:space="0" w:color="auto"/>
            <w:bottom w:val="none" w:sz="0" w:space="0" w:color="auto"/>
            <w:right w:val="none" w:sz="0" w:space="0" w:color="auto"/>
          </w:divBdr>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203182">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570193454">
          <w:marLeft w:val="0"/>
          <w:marRight w:val="0"/>
          <w:marTop w:val="0"/>
          <w:marBottom w:val="0"/>
          <w:divBdr>
            <w:top w:val="none" w:sz="0" w:space="0" w:color="auto"/>
            <w:left w:val="none" w:sz="0" w:space="0" w:color="auto"/>
            <w:bottom w:val="none" w:sz="0" w:space="0" w:color="auto"/>
            <w:right w:val="none" w:sz="0" w:space="0" w:color="auto"/>
          </w:divBdr>
        </w:div>
        <w:div w:id="610279058">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footnotes.xml.rels><?xml version="1.0" encoding="UTF-8" standalone="yes"?>
<Relationships xmlns="http://schemas.openxmlformats.org/package/2006/relationships"><Relationship Id="rId3" Type="http://schemas.openxmlformats.org/officeDocument/2006/relationships/hyperlink" Target="https://www.colombiacompra.gov.co/documentos-tipo/documentos-tipo%20" TargetMode="External"/><Relationship Id="rId2" Type="http://schemas.openxmlformats.org/officeDocument/2006/relationships/hyperlink" Target="https://colombiacompra.gov.co/sites/cce_public/files/cce_documents/cce_guia_capacidad_residual.pdf" TargetMode="External"/><Relationship Id="rId1" Type="http://schemas.openxmlformats.org/officeDocument/2006/relationships/hyperlink" Target="http://relatoria.colombiacompra.gov.co/busqueda/concepto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6F8C7892-493E-4B0B-A6E7-213F4A895BD0}">
  <ds:schemaRefs>
    <ds:schemaRef ds:uri="http://schemas.openxmlformats.org/officeDocument/2006/bibliography"/>
  </ds:schemaRefs>
</ds:datastoreItem>
</file>

<file path=customXml/itemProps3.xml><?xml version="1.0" encoding="utf-8"?>
<ds:datastoreItem xmlns:ds="http://schemas.openxmlformats.org/officeDocument/2006/customXml" ds:itemID="{DE22AD38-1995-46B9-9577-28F2B48294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5</TotalTime>
  <Pages>19</Pages>
  <Words>6377</Words>
  <Characters>35079</Characters>
  <Application>Microsoft Office Word</Application>
  <DocSecurity>0</DocSecurity>
  <Lines>292</Lines>
  <Paragraphs>82</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41374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subject/>
  <dc:creator>Ximena Alejandra Cabezas Valencia</dc:creator>
  <cp:keywords/>
  <dc:description/>
  <cp:lastModifiedBy>Jorge Eliecer Moran Buitrón</cp:lastModifiedBy>
  <cp:revision>9</cp:revision>
  <cp:lastPrinted>2020-01-30T15:05:00Z</cp:lastPrinted>
  <dcterms:created xsi:type="dcterms:W3CDTF">2022-10-27T21:44:00Z</dcterms:created>
  <dcterms:modified xsi:type="dcterms:W3CDTF">2022-10-28T21:14:00Z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