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4CCF7" w14:textId="77777777" w:rsidR="008D4359" w:rsidRPr="00DE2AC7" w:rsidRDefault="008D4359" w:rsidP="008D4359">
      <w:pPr>
        <w:spacing w:after="0" w:line="240" w:lineRule="auto"/>
        <w:rPr>
          <w:rFonts w:ascii="Verdana" w:eastAsia="Calibri" w:hAnsi="Verdana" w:cs="Arial"/>
          <w:b/>
          <w:sz w:val="20"/>
          <w:szCs w:val="20"/>
          <w:lang w:val="es-ES_tradnl" w:eastAsia="es-ES_tradnl"/>
        </w:rPr>
      </w:pPr>
    </w:p>
    <w:p w14:paraId="0837F826" w14:textId="77777777" w:rsidR="008D4359" w:rsidRPr="007D0816" w:rsidRDefault="008D4359" w:rsidP="008D4359">
      <w:pPr>
        <w:spacing w:after="0" w:line="240" w:lineRule="auto"/>
        <w:rPr>
          <w:rFonts w:ascii="Verdana" w:eastAsia="Calibri" w:hAnsi="Verdana" w:cs="Arial"/>
          <w:b/>
          <w:lang w:val="es-ES_tradnl" w:eastAsia="es-ES_tradnl"/>
        </w:rPr>
      </w:pPr>
      <w:r w:rsidRPr="007D0816">
        <w:rPr>
          <w:rFonts w:ascii="Verdana" w:eastAsia="Calibri" w:hAnsi="Verdana" w:cs="Arial"/>
          <w:b/>
          <w:lang w:val="es-ES_tradnl" w:eastAsia="es-ES_tradnl"/>
        </w:rPr>
        <w:t xml:space="preserve">CESIÓN DEL CONTRATO ESTATAL – Noción </w:t>
      </w:r>
    </w:p>
    <w:p w14:paraId="66378A2B" w14:textId="77777777" w:rsidR="008D4359" w:rsidRPr="00DE2AC7" w:rsidRDefault="008D4359" w:rsidP="008D4359">
      <w:pPr>
        <w:spacing w:after="0" w:line="240" w:lineRule="auto"/>
        <w:rPr>
          <w:rFonts w:ascii="Verdana" w:eastAsia="Calibri" w:hAnsi="Verdana" w:cs="Arial"/>
          <w:bCs/>
          <w:sz w:val="20"/>
          <w:szCs w:val="20"/>
          <w:lang w:val="es-ES_tradnl" w:eastAsia="es-ES_tradnl"/>
        </w:rPr>
      </w:pPr>
    </w:p>
    <w:p w14:paraId="7BBC6E95" w14:textId="77777777" w:rsidR="008D4359" w:rsidRPr="00DE2AC7" w:rsidRDefault="008D4359" w:rsidP="008D4359">
      <w:pPr>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w:t>
      </w:r>
      <w:proofErr w:type="spellStart"/>
      <w:r w:rsidRPr="00DE2AC7">
        <w:rPr>
          <w:rFonts w:ascii="Verdana" w:eastAsia="Calibri" w:hAnsi="Verdana" w:cs="Arial"/>
          <w:color w:val="000000" w:themeColor="text1"/>
          <w:sz w:val="20"/>
          <w:szCs w:val="20"/>
        </w:rPr>
        <w:t>subentra</w:t>
      </w:r>
      <w:proofErr w:type="spellEnd"/>
      <w:r w:rsidRPr="00DE2AC7">
        <w:rPr>
          <w:rFonts w:ascii="Verdana" w:eastAsia="Calibri" w:hAnsi="Verdana" w:cs="Arial"/>
          <w:color w:val="000000" w:themeColor="text1"/>
          <w:sz w:val="20"/>
          <w:szCs w:val="20"/>
        </w:rPr>
        <w:t xml:space="preserve"> en la relación con el cedido […]”. Por otro, “[…] es la transferencia de la posición contractual de un contratante a otro sujeto, que le </w:t>
      </w:r>
      <w:proofErr w:type="spellStart"/>
      <w:r w:rsidRPr="00DE2AC7">
        <w:rPr>
          <w:rFonts w:ascii="Verdana" w:eastAsia="Calibri" w:hAnsi="Verdana" w:cs="Arial"/>
          <w:color w:val="000000" w:themeColor="text1"/>
          <w:sz w:val="20"/>
          <w:szCs w:val="20"/>
        </w:rPr>
        <w:t>subentra</w:t>
      </w:r>
      <w:proofErr w:type="spellEnd"/>
      <w:r w:rsidRPr="00DE2AC7">
        <w:rPr>
          <w:rFonts w:ascii="Verdana" w:eastAsia="Calibri" w:hAnsi="Verdana" w:cs="Arial"/>
          <w:color w:val="000000" w:themeColor="text1"/>
          <w:sz w:val="20"/>
          <w:szCs w:val="20"/>
        </w:rPr>
        <w:t xml:space="preserve"> en la relación con la contraparte […]”. De esta manera, </w:t>
      </w:r>
      <w:r w:rsidRPr="00DE2AC7">
        <w:rPr>
          <w:rFonts w:ascii="Verdana" w:hAnsi="Verdana" w:cs="Arial"/>
          <w:color w:val="000000" w:themeColor="text1"/>
          <w:sz w:val="20"/>
          <w:szCs w:val="20"/>
        </w:rPr>
        <w:t xml:space="preserve">concurren tres (3) sujetos: i) el cedente, esto es, el contratista inicial; </w:t>
      </w:r>
      <w:proofErr w:type="spellStart"/>
      <w:r w:rsidRPr="00DE2AC7">
        <w:rPr>
          <w:rFonts w:ascii="Verdana" w:hAnsi="Verdana" w:cs="Arial"/>
          <w:color w:val="000000" w:themeColor="text1"/>
          <w:sz w:val="20"/>
          <w:szCs w:val="20"/>
        </w:rPr>
        <w:t>ii</w:t>
      </w:r>
      <w:proofErr w:type="spellEnd"/>
      <w:r w:rsidRPr="00DE2AC7">
        <w:rPr>
          <w:rFonts w:ascii="Verdana" w:hAnsi="Verdana" w:cs="Arial"/>
          <w:color w:val="000000" w:themeColor="text1"/>
          <w:sz w:val="20"/>
          <w:szCs w:val="20"/>
        </w:rPr>
        <w:t xml:space="preserve">) el cesionario, es decir, quien asume total o parcialmente los derechos y obligaciones de este último; y </w:t>
      </w:r>
      <w:proofErr w:type="spellStart"/>
      <w:r w:rsidRPr="00DE2AC7">
        <w:rPr>
          <w:rFonts w:ascii="Verdana" w:hAnsi="Verdana" w:cs="Arial"/>
          <w:color w:val="000000" w:themeColor="text1"/>
          <w:sz w:val="20"/>
          <w:szCs w:val="20"/>
        </w:rPr>
        <w:t>iii</w:t>
      </w:r>
      <w:proofErr w:type="spellEnd"/>
      <w:r w:rsidRPr="00DE2AC7">
        <w:rPr>
          <w:rFonts w:ascii="Verdana" w:hAnsi="Verdana" w:cs="Arial"/>
          <w:color w:val="000000" w:themeColor="text1"/>
          <w:sz w:val="20"/>
          <w:szCs w:val="20"/>
        </w:rPr>
        <w:t xml:space="preserve">) el cedido que, en el caso de los contratos estatales, sería la entidad que suscribió el contrato. </w:t>
      </w:r>
      <w:r w:rsidRPr="00DE2AC7">
        <w:rPr>
          <w:rFonts w:ascii="Verdana" w:eastAsia="Calibri" w:hAnsi="Verdana" w:cs="Arial"/>
          <w:color w:val="000000" w:themeColor="text1"/>
          <w:sz w:val="20"/>
          <w:szCs w:val="20"/>
        </w:rPr>
        <w:t>Por tanto, la cesión de contrato es una figura jurídica por la que terceros ajenos a los contratantes iniciales participan en negocios que están ejecutando cuando no se hayan cumplido la totalidad de las obligaciones, permitiendo que sean éstos quienes realicen las prestaciones faltantes.</w:t>
      </w:r>
    </w:p>
    <w:p w14:paraId="06EB379A" w14:textId="77777777" w:rsidR="008D4359" w:rsidRPr="00DE2AC7" w:rsidRDefault="008D4359" w:rsidP="008D4359">
      <w:pPr>
        <w:spacing w:after="0" w:line="240" w:lineRule="auto"/>
        <w:jc w:val="both"/>
        <w:rPr>
          <w:rFonts w:ascii="Verdana" w:eastAsia="Calibri" w:hAnsi="Verdana" w:cs="Arial"/>
          <w:color w:val="000000" w:themeColor="text1"/>
          <w:sz w:val="20"/>
          <w:szCs w:val="20"/>
        </w:rPr>
      </w:pPr>
    </w:p>
    <w:p w14:paraId="08C0D0F6" w14:textId="77777777" w:rsidR="008D4359" w:rsidRPr="007D0816" w:rsidRDefault="008D4359" w:rsidP="008D4359">
      <w:pPr>
        <w:spacing w:after="0" w:line="240" w:lineRule="auto"/>
        <w:jc w:val="both"/>
        <w:rPr>
          <w:rFonts w:ascii="Verdana" w:eastAsia="Calibri" w:hAnsi="Verdana" w:cs="Arial"/>
          <w:b/>
          <w:lang w:val="es-ES_tradnl" w:eastAsia="es-ES_tradnl"/>
        </w:rPr>
      </w:pPr>
      <w:r w:rsidRPr="007D0816">
        <w:rPr>
          <w:rFonts w:ascii="Verdana" w:eastAsia="Calibri" w:hAnsi="Verdana" w:cs="Arial"/>
          <w:b/>
          <w:lang w:val="es-ES_tradnl" w:eastAsia="es-ES_tradnl"/>
        </w:rPr>
        <w:t xml:space="preserve">CESIÓN DEL CONTRATO ESTATAL – Régimen jurídico aplicable – EGCAP – Código de </w:t>
      </w:r>
      <w:r>
        <w:rPr>
          <w:rFonts w:ascii="Verdana" w:eastAsia="Calibri" w:hAnsi="Verdana" w:cs="Arial"/>
          <w:b/>
          <w:lang w:val="es-ES_tradnl" w:eastAsia="es-ES_tradnl"/>
        </w:rPr>
        <w:t>C</w:t>
      </w:r>
      <w:r w:rsidRPr="007D0816">
        <w:rPr>
          <w:rFonts w:ascii="Verdana" w:eastAsia="Calibri" w:hAnsi="Verdana" w:cs="Arial"/>
          <w:b/>
          <w:lang w:val="es-ES_tradnl" w:eastAsia="es-ES_tradnl"/>
        </w:rPr>
        <w:t>omercio</w:t>
      </w:r>
    </w:p>
    <w:p w14:paraId="681D21D1" w14:textId="77777777" w:rsidR="008D4359" w:rsidRPr="00DE2AC7" w:rsidRDefault="008D4359" w:rsidP="008D4359">
      <w:pPr>
        <w:spacing w:after="0" w:line="240" w:lineRule="auto"/>
        <w:jc w:val="both"/>
        <w:rPr>
          <w:rFonts w:ascii="Verdana" w:eastAsia="Calibri" w:hAnsi="Verdana" w:cs="Arial"/>
          <w:bCs/>
          <w:sz w:val="20"/>
          <w:szCs w:val="20"/>
          <w:lang w:val="es-ES_tradnl" w:eastAsia="es-ES_tradnl"/>
        </w:rPr>
      </w:pPr>
    </w:p>
    <w:p w14:paraId="40A72E76" w14:textId="77777777" w:rsidR="008D4359" w:rsidRPr="00DE2AC7" w:rsidRDefault="008D4359" w:rsidP="008D4359">
      <w:pPr>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w:t>
      </w:r>
      <w:proofErr w:type="spellStart"/>
      <w:r w:rsidRPr="00DE2AC7">
        <w:rPr>
          <w:rFonts w:ascii="Verdana" w:eastAsia="Calibri" w:hAnsi="Verdana" w:cs="Arial"/>
          <w:color w:val="000000" w:themeColor="text1"/>
          <w:sz w:val="20"/>
          <w:szCs w:val="20"/>
        </w:rPr>
        <w:t>ii</w:t>
      </w:r>
      <w:proofErr w:type="spellEnd"/>
      <w:r w:rsidRPr="00DE2AC7">
        <w:rPr>
          <w:rFonts w:ascii="Verdana" w:eastAsia="Calibri" w:hAnsi="Verdana" w:cs="Arial"/>
          <w:color w:val="000000" w:themeColor="text1"/>
          <w:sz w:val="20"/>
          <w:szCs w:val="20"/>
        </w:rPr>
        <w:t xml:space="preserve">) corresponderán como actos jurídicos bilaterales generadores de obligaciones, entre otros, a los previstos en el derecho privado, en los términos del artículo 32 </w:t>
      </w:r>
      <w:r w:rsidRPr="00DE2AC7">
        <w:rPr>
          <w:rFonts w:ascii="Verdana" w:eastAsia="Calibri" w:hAnsi="Verdana" w:cs="Arial"/>
          <w:i/>
          <w:iCs/>
          <w:color w:val="000000" w:themeColor="text1"/>
          <w:sz w:val="20"/>
          <w:szCs w:val="20"/>
        </w:rPr>
        <w:t>ibidem</w:t>
      </w:r>
      <w:r w:rsidRPr="00DE2AC7">
        <w:rPr>
          <w:rFonts w:ascii="Verdana" w:eastAsia="Calibri" w:hAnsi="Verdana" w:cs="Arial"/>
          <w:color w:val="000000" w:themeColor="text1"/>
          <w:sz w:val="20"/>
          <w:szCs w:val="20"/>
        </w:rPr>
        <w:t xml:space="preserve">; y </w:t>
      </w:r>
      <w:proofErr w:type="spellStart"/>
      <w:r w:rsidRPr="00DE2AC7">
        <w:rPr>
          <w:rFonts w:ascii="Verdana" w:eastAsia="Calibri" w:hAnsi="Verdana" w:cs="Arial"/>
          <w:color w:val="000000" w:themeColor="text1"/>
          <w:sz w:val="20"/>
          <w:szCs w:val="20"/>
        </w:rPr>
        <w:t>iii</w:t>
      </w:r>
      <w:proofErr w:type="spellEnd"/>
      <w:r w:rsidRPr="00DE2AC7">
        <w:rPr>
          <w:rFonts w:ascii="Verdana" w:eastAsia="Calibri" w:hAnsi="Verdana" w:cs="Arial"/>
          <w:color w:val="000000" w:themeColor="text1"/>
          <w:sz w:val="20"/>
          <w:szCs w:val="20"/>
        </w:rPr>
        <w:t xml:space="preserve">) contendrán las estipulaciones que, de acuerdo con las normas civiles, comerciales y las previstas en esta ley, correspondan a su esencia y naturaleza, conforme a lo dispuesto por el artículo 40 </w:t>
      </w:r>
      <w:r w:rsidRPr="00DE2AC7">
        <w:rPr>
          <w:rFonts w:ascii="Verdana" w:eastAsia="Calibri" w:hAnsi="Verdana" w:cs="Arial"/>
          <w:i/>
          <w:iCs/>
          <w:color w:val="000000" w:themeColor="text1"/>
          <w:sz w:val="20"/>
          <w:szCs w:val="20"/>
        </w:rPr>
        <w:t>ibidem</w:t>
      </w:r>
      <w:r w:rsidRPr="00DE2AC7">
        <w:rPr>
          <w:rFonts w:ascii="Verdana" w:eastAsia="Calibri" w:hAnsi="Verdana" w:cs="Arial"/>
          <w:color w:val="000000" w:themeColor="text1"/>
          <w:sz w:val="20"/>
          <w:szCs w:val="20"/>
        </w:rPr>
        <w:t xml:space="preserve">. </w:t>
      </w:r>
    </w:p>
    <w:p w14:paraId="68AE2F0B" w14:textId="77777777" w:rsidR="008D4359" w:rsidRPr="00DE2AC7" w:rsidRDefault="008D4359" w:rsidP="008D4359">
      <w:pPr>
        <w:spacing w:after="0" w:line="240" w:lineRule="auto"/>
        <w:jc w:val="both"/>
        <w:rPr>
          <w:rFonts w:ascii="Verdana" w:eastAsia="Calibri" w:hAnsi="Verdana" w:cs="Arial"/>
          <w:color w:val="000000" w:themeColor="text1"/>
          <w:sz w:val="20"/>
          <w:szCs w:val="20"/>
        </w:rPr>
      </w:pPr>
    </w:p>
    <w:p w14:paraId="7D4FB274" w14:textId="77777777" w:rsidR="008D4359" w:rsidRPr="007D0816" w:rsidRDefault="008D4359" w:rsidP="008D4359">
      <w:pPr>
        <w:spacing w:after="0" w:line="240" w:lineRule="auto"/>
        <w:jc w:val="both"/>
        <w:rPr>
          <w:rFonts w:ascii="Verdana" w:eastAsia="Calibri" w:hAnsi="Verdana" w:cs="Arial"/>
          <w:b/>
          <w:lang w:val="es-ES_tradnl" w:eastAsia="es-ES_tradnl"/>
        </w:rPr>
      </w:pPr>
      <w:r w:rsidRPr="007D0816">
        <w:rPr>
          <w:rFonts w:ascii="Verdana" w:eastAsia="Calibri" w:hAnsi="Verdana" w:cs="Arial"/>
          <w:b/>
          <w:lang w:val="es-ES_tradnl" w:eastAsia="es-ES_tradnl"/>
        </w:rPr>
        <w:t>CESIÓN DEL CONTRATO ESTATAL – Requisitos – Restricciones</w:t>
      </w:r>
    </w:p>
    <w:p w14:paraId="757DF6D6" w14:textId="77777777" w:rsidR="008D4359" w:rsidRPr="00DE2AC7" w:rsidRDefault="008D4359" w:rsidP="008D4359">
      <w:pPr>
        <w:spacing w:after="0" w:line="240" w:lineRule="auto"/>
        <w:jc w:val="both"/>
        <w:rPr>
          <w:rFonts w:ascii="Verdana" w:eastAsia="Calibri" w:hAnsi="Verdana" w:cs="Arial"/>
          <w:color w:val="000000" w:themeColor="text1"/>
          <w:sz w:val="20"/>
          <w:szCs w:val="20"/>
        </w:rPr>
      </w:pPr>
    </w:p>
    <w:p w14:paraId="7C7362C1" w14:textId="77777777" w:rsidR="008D4359" w:rsidRPr="00DE2AC7" w:rsidRDefault="008D4359" w:rsidP="008D4359">
      <w:pPr>
        <w:tabs>
          <w:tab w:val="left" w:pos="709"/>
        </w:tabs>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 el Consejo de Estado ha precisado como requisitos de la cesión del contrato estatal los siguientes: i) debe recaer en un tercero; </w:t>
      </w:r>
      <w:proofErr w:type="spellStart"/>
      <w:r w:rsidRPr="00DE2AC7">
        <w:rPr>
          <w:rFonts w:ascii="Verdana" w:eastAsia="Calibri" w:hAnsi="Verdana" w:cs="Arial"/>
          <w:color w:val="000000" w:themeColor="text1"/>
          <w:sz w:val="20"/>
          <w:szCs w:val="20"/>
        </w:rPr>
        <w:t>ii</w:t>
      </w:r>
      <w:proofErr w:type="spellEnd"/>
      <w:r w:rsidRPr="00DE2AC7">
        <w:rPr>
          <w:rFonts w:ascii="Verdana" w:eastAsia="Calibri" w:hAnsi="Verdana" w:cs="Arial"/>
          <w:color w:val="000000" w:themeColor="text1"/>
          <w:sz w:val="20"/>
          <w:szCs w:val="20"/>
        </w:rPr>
        <w:t xml:space="preserve">) el cesionario debe tener capacidad jurídica para continuar con la ejecución del objeto contractual y no estar incurso en causales de inhabilidad e incompatibilidad para contratar; y </w:t>
      </w:r>
      <w:proofErr w:type="spellStart"/>
      <w:r w:rsidRPr="00DE2AC7">
        <w:rPr>
          <w:rFonts w:ascii="Verdana" w:eastAsia="Calibri" w:hAnsi="Verdana" w:cs="Arial"/>
          <w:color w:val="000000" w:themeColor="text1"/>
          <w:sz w:val="20"/>
          <w:szCs w:val="20"/>
        </w:rPr>
        <w:t>iii</w:t>
      </w:r>
      <w:proofErr w:type="spellEnd"/>
      <w:r w:rsidRPr="00DE2AC7">
        <w:rPr>
          <w:rFonts w:ascii="Verdana" w:eastAsia="Calibri" w:hAnsi="Verdana" w:cs="Arial"/>
          <w:color w:val="000000" w:themeColor="text1"/>
          <w:sz w:val="20"/>
          <w:szCs w:val="20"/>
        </w:rPr>
        <w:t xml:space="preserve">)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 ya que “[…] el proceso cesión del contrato y las exigencias que se le impongan al tercero, no pueden alterar ni burlar los procedimientos de selección del contratista, en otras palabras, la figura de la cesión de contrato no puede servir como </w:t>
      </w:r>
      <w:r w:rsidRPr="00DE2AC7">
        <w:rPr>
          <w:rFonts w:ascii="Verdana" w:eastAsia="Calibri" w:hAnsi="Verdana" w:cs="Arial"/>
          <w:color w:val="000000" w:themeColor="text1"/>
          <w:sz w:val="20"/>
          <w:szCs w:val="20"/>
        </w:rPr>
        <w:lastRenderedPageBreak/>
        <w:t>instrumento para desviar las obligaciones que tiene la entidad contratante de cumplimiento de los parámetros de la selección objetiva”.</w:t>
      </w:r>
    </w:p>
    <w:p w14:paraId="71A07F6B" w14:textId="77777777" w:rsidR="008D4359" w:rsidRPr="00DE2AC7" w:rsidRDefault="008D4359" w:rsidP="008D4359">
      <w:pPr>
        <w:tabs>
          <w:tab w:val="left" w:pos="709"/>
        </w:tabs>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w:t>
      </w:r>
    </w:p>
    <w:p w14:paraId="35452F12" w14:textId="77777777" w:rsidR="008D4359" w:rsidRPr="00DE2AC7" w:rsidRDefault="008D4359" w:rsidP="008D4359">
      <w:pPr>
        <w:tabs>
          <w:tab w:val="left" w:pos="709"/>
        </w:tabs>
        <w:spacing w:after="0" w:line="240" w:lineRule="auto"/>
        <w:jc w:val="both"/>
        <w:rPr>
          <w:rFonts w:ascii="Verdana" w:eastAsia="Calibri" w:hAnsi="Verdana" w:cs="Arial"/>
          <w:color w:val="000000" w:themeColor="text1"/>
          <w:sz w:val="20"/>
          <w:szCs w:val="20"/>
        </w:rPr>
      </w:pPr>
    </w:p>
    <w:p w14:paraId="3A2BA17A" w14:textId="77777777" w:rsidR="008D4359" w:rsidRPr="00DE2AC7" w:rsidRDefault="008D4359" w:rsidP="008D4359">
      <w:pPr>
        <w:tabs>
          <w:tab w:val="left" w:pos="709"/>
        </w:tabs>
        <w:spacing w:after="0" w:line="240" w:lineRule="auto"/>
        <w:jc w:val="both"/>
        <w:rPr>
          <w:rFonts w:ascii="Verdana" w:eastAsia="Calibri" w:hAnsi="Verdana" w:cs="Arial"/>
          <w:color w:val="000000" w:themeColor="text1"/>
          <w:sz w:val="20"/>
          <w:szCs w:val="20"/>
        </w:rPr>
      </w:pPr>
      <w:r w:rsidRPr="00DE2AC7">
        <w:rPr>
          <w:rFonts w:ascii="Verdana" w:eastAsia="Calibri" w:hAnsi="Verdana" w:cs="Arial"/>
          <w:color w:val="000000" w:themeColor="text1"/>
          <w:sz w:val="20"/>
          <w:szCs w:val="20"/>
        </w:rPr>
        <w:t xml:space="preserve">Además, 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w:t>
      </w:r>
    </w:p>
    <w:p w14:paraId="36DE9A4A" w14:textId="77777777" w:rsidR="008D4359" w:rsidRPr="00DE2AC7" w:rsidRDefault="008D4359" w:rsidP="008D4359">
      <w:pPr>
        <w:spacing w:after="0" w:line="240" w:lineRule="auto"/>
        <w:rPr>
          <w:rFonts w:ascii="Verdana" w:eastAsia="Geomanist Light" w:hAnsi="Verdana" w:cs="Arial"/>
          <w:color w:val="000000" w:themeColor="text1"/>
        </w:rPr>
      </w:pPr>
    </w:p>
    <w:p w14:paraId="14D1E1FA" w14:textId="77777777" w:rsidR="008D4359" w:rsidRDefault="008D4359" w:rsidP="008D4359">
      <w:pPr>
        <w:spacing w:after="0" w:line="240" w:lineRule="auto"/>
        <w:rPr>
          <w:rFonts w:ascii="Verdana" w:eastAsia="Geomanist Light" w:hAnsi="Verdana" w:cs="Arial"/>
          <w:color w:val="000000" w:themeColor="text1"/>
          <w:lang w:val="es-MX"/>
        </w:rPr>
      </w:pPr>
    </w:p>
    <w:p w14:paraId="52D6E62C" w14:textId="77777777" w:rsidR="008D4359" w:rsidRDefault="008D4359" w:rsidP="008D4359">
      <w:pPr>
        <w:spacing w:after="0" w:line="240" w:lineRule="auto"/>
        <w:rPr>
          <w:rFonts w:ascii="Verdana" w:eastAsia="Geomanist Light" w:hAnsi="Verdana" w:cs="Arial"/>
          <w:color w:val="000000" w:themeColor="text1"/>
          <w:lang w:val="es-MX"/>
        </w:rPr>
      </w:pPr>
    </w:p>
    <w:p w14:paraId="19490239" w14:textId="77777777" w:rsidR="008D4359" w:rsidRDefault="008D4359" w:rsidP="008D4359">
      <w:pPr>
        <w:spacing w:after="0" w:line="240" w:lineRule="auto"/>
        <w:rPr>
          <w:rFonts w:ascii="Verdana" w:eastAsia="Geomanist Light" w:hAnsi="Verdana" w:cs="Arial"/>
          <w:color w:val="000000" w:themeColor="text1"/>
          <w:lang w:val="es-MX"/>
        </w:rPr>
      </w:pPr>
    </w:p>
    <w:p w14:paraId="20E70F30" w14:textId="77777777" w:rsidR="008D4359" w:rsidRDefault="008D4359" w:rsidP="008D4359">
      <w:pPr>
        <w:spacing w:after="0" w:line="240" w:lineRule="auto"/>
        <w:rPr>
          <w:rFonts w:ascii="Verdana" w:eastAsia="Geomanist Light" w:hAnsi="Verdana" w:cs="Arial"/>
          <w:color w:val="000000" w:themeColor="text1"/>
          <w:lang w:val="es-MX"/>
        </w:rPr>
      </w:pPr>
    </w:p>
    <w:p w14:paraId="5B3E6D0B" w14:textId="77777777" w:rsidR="008D4359" w:rsidRDefault="008D4359" w:rsidP="008D4359">
      <w:pPr>
        <w:spacing w:after="0" w:line="240" w:lineRule="auto"/>
        <w:rPr>
          <w:rFonts w:ascii="Verdana" w:eastAsia="Geomanist Light" w:hAnsi="Verdana" w:cs="Arial"/>
          <w:color w:val="000000" w:themeColor="text1"/>
          <w:lang w:val="es-MX"/>
        </w:rPr>
      </w:pPr>
    </w:p>
    <w:p w14:paraId="04EA1937" w14:textId="77777777" w:rsidR="008D4359" w:rsidRDefault="008D4359" w:rsidP="008D4359">
      <w:pPr>
        <w:spacing w:after="0" w:line="240" w:lineRule="auto"/>
        <w:rPr>
          <w:rFonts w:ascii="Verdana" w:eastAsia="Geomanist Light" w:hAnsi="Verdana" w:cs="Arial"/>
          <w:color w:val="000000" w:themeColor="text1"/>
          <w:lang w:val="es-MX"/>
        </w:rPr>
      </w:pPr>
    </w:p>
    <w:p w14:paraId="23D5FAC5" w14:textId="77777777" w:rsidR="008D4359" w:rsidRDefault="008D4359" w:rsidP="008D4359">
      <w:pPr>
        <w:spacing w:after="0" w:line="240" w:lineRule="auto"/>
        <w:rPr>
          <w:rFonts w:ascii="Verdana" w:eastAsia="Geomanist Light" w:hAnsi="Verdana" w:cs="Arial"/>
          <w:color w:val="000000" w:themeColor="text1"/>
          <w:lang w:val="es-MX"/>
        </w:rPr>
      </w:pPr>
    </w:p>
    <w:p w14:paraId="63021C59" w14:textId="77777777" w:rsidR="008D4359" w:rsidRDefault="008D4359" w:rsidP="008D4359">
      <w:pPr>
        <w:spacing w:after="0" w:line="240" w:lineRule="auto"/>
        <w:rPr>
          <w:rFonts w:ascii="Verdana" w:eastAsia="Geomanist Light" w:hAnsi="Verdana" w:cs="Arial"/>
          <w:color w:val="000000" w:themeColor="text1"/>
          <w:lang w:val="es-MX"/>
        </w:rPr>
      </w:pPr>
    </w:p>
    <w:p w14:paraId="630678CB" w14:textId="77777777" w:rsidR="008D4359" w:rsidRDefault="008D4359" w:rsidP="008D4359">
      <w:pPr>
        <w:spacing w:after="0" w:line="240" w:lineRule="auto"/>
        <w:rPr>
          <w:rFonts w:ascii="Verdana" w:eastAsia="Geomanist Light" w:hAnsi="Verdana" w:cs="Arial"/>
          <w:color w:val="000000" w:themeColor="text1"/>
          <w:lang w:val="es-MX"/>
        </w:rPr>
      </w:pPr>
    </w:p>
    <w:p w14:paraId="0A54E442" w14:textId="77777777" w:rsidR="008D4359" w:rsidRDefault="008D4359" w:rsidP="008D4359">
      <w:pPr>
        <w:spacing w:after="0" w:line="240" w:lineRule="auto"/>
        <w:rPr>
          <w:rFonts w:ascii="Verdana" w:eastAsia="Geomanist Light" w:hAnsi="Verdana" w:cs="Arial"/>
          <w:color w:val="000000" w:themeColor="text1"/>
          <w:lang w:val="es-MX"/>
        </w:rPr>
      </w:pPr>
    </w:p>
    <w:p w14:paraId="75C569A7" w14:textId="77777777" w:rsidR="008D4359" w:rsidRDefault="008D4359" w:rsidP="008D4359">
      <w:pPr>
        <w:spacing w:after="0" w:line="240" w:lineRule="auto"/>
        <w:rPr>
          <w:rFonts w:ascii="Verdana" w:eastAsia="Geomanist Light" w:hAnsi="Verdana" w:cs="Arial"/>
          <w:color w:val="000000" w:themeColor="text1"/>
          <w:lang w:val="es-MX"/>
        </w:rPr>
      </w:pPr>
    </w:p>
    <w:p w14:paraId="317315EB" w14:textId="77777777" w:rsidR="008D4359" w:rsidRDefault="008D4359" w:rsidP="008D4359">
      <w:pPr>
        <w:spacing w:after="0" w:line="240" w:lineRule="auto"/>
        <w:rPr>
          <w:rFonts w:ascii="Verdana" w:eastAsia="Geomanist Light" w:hAnsi="Verdana" w:cs="Arial"/>
          <w:color w:val="000000" w:themeColor="text1"/>
          <w:lang w:val="es-MX"/>
        </w:rPr>
      </w:pPr>
    </w:p>
    <w:p w14:paraId="271CA194" w14:textId="77777777" w:rsidR="008D4359" w:rsidRDefault="008D4359" w:rsidP="008D4359">
      <w:pPr>
        <w:spacing w:after="0" w:line="240" w:lineRule="auto"/>
        <w:rPr>
          <w:rFonts w:ascii="Verdana" w:eastAsia="Geomanist Light" w:hAnsi="Verdana" w:cs="Arial"/>
          <w:color w:val="000000" w:themeColor="text1"/>
          <w:lang w:val="es-MX"/>
        </w:rPr>
      </w:pPr>
    </w:p>
    <w:p w14:paraId="106F7001" w14:textId="77777777" w:rsidR="008D4359" w:rsidRDefault="008D4359" w:rsidP="008D4359">
      <w:pPr>
        <w:spacing w:after="0" w:line="240" w:lineRule="auto"/>
        <w:rPr>
          <w:rFonts w:ascii="Verdana" w:eastAsia="Geomanist Light" w:hAnsi="Verdana" w:cs="Arial"/>
          <w:color w:val="000000" w:themeColor="text1"/>
          <w:lang w:val="es-MX"/>
        </w:rPr>
      </w:pPr>
    </w:p>
    <w:p w14:paraId="1E28838C" w14:textId="77777777" w:rsidR="008D4359" w:rsidRDefault="008D4359" w:rsidP="008D4359">
      <w:pPr>
        <w:spacing w:after="0" w:line="240" w:lineRule="auto"/>
        <w:rPr>
          <w:rFonts w:ascii="Verdana" w:eastAsia="Geomanist Light" w:hAnsi="Verdana" w:cs="Arial"/>
          <w:color w:val="000000" w:themeColor="text1"/>
          <w:lang w:val="es-MX"/>
        </w:rPr>
      </w:pPr>
    </w:p>
    <w:p w14:paraId="134B59A5" w14:textId="77777777" w:rsidR="008D4359" w:rsidRDefault="008D4359" w:rsidP="008D4359">
      <w:pPr>
        <w:spacing w:after="0" w:line="240" w:lineRule="auto"/>
        <w:rPr>
          <w:rFonts w:ascii="Verdana" w:eastAsia="Geomanist Light" w:hAnsi="Verdana" w:cs="Arial"/>
          <w:color w:val="000000" w:themeColor="text1"/>
          <w:lang w:val="es-MX"/>
        </w:rPr>
      </w:pPr>
    </w:p>
    <w:p w14:paraId="4CBAC2DE" w14:textId="77777777" w:rsidR="008D4359" w:rsidRDefault="008D4359" w:rsidP="008D4359">
      <w:pPr>
        <w:spacing w:after="0" w:line="240" w:lineRule="auto"/>
        <w:rPr>
          <w:rFonts w:ascii="Verdana" w:eastAsia="Geomanist Light" w:hAnsi="Verdana" w:cs="Arial"/>
          <w:color w:val="000000" w:themeColor="text1"/>
          <w:lang w:val="es-MX"/>
        </w:rPr>
      </w:pPr>
    </w:p>
    <w:p w14:paraId="33D293C5" w14:textId="77777777" w:rsidR="008D4359" w:rsidRDefault="008D4359" w:rsidP="008D4359">
      <w:pPr>
        <w:spacing w:after="0" w:line="240" w:lineRule="auto"/>
        <w:rPr>
          <w:rFonts w:ascii="Verdana" w:eastAsia="Geomanist Light" w:hAnsi="Verdana" w:cs="Arial"/>
          <w:color w:val="000000" w:themeColor="text1"/>
          <w:lang w:val="es-MX"/>
        </w:rPr>
      </w:pPr>
    </w:p>
    <w:p w14:paraId="307BAD3B" w14:textId="77777777" w:rsidR="008D4359" w:rsidRDefault="008D4359" w:rsidP="008D4359">
      <w:pPr>
        <w:spacing w:after="0" w:line="240" w:lineRule="auto"/>
        <w:rPr>
          <w:rFonts w:ascii="Verdana" w:eastAsia="Geomanist Light" w:hAnsi="Verdana" w:cs="Arial"/>
          <w:color w:val="000000" w:themeColor="text1"/>
          <w:lang w:val="es-MX"/>
        </w:rPr>
      </w:pPr>
    </w:p>
    <w:p w14:paraId="13B180E9" w14:textId="77777777" w:rsidR="008D4359" w:rsidRDefault="008D4359" w:rsidP="008D4359">
      <w:pPr>
        <w:spacing w:after="0" w:line="240" w:lineRule="auto"/>
        <w:rPr>
          <w:rFonts w:ascii="Verdana" w:eastAsia="Geomanist Light" w:hAnsi="Verdana" w:cs="Arial"/>
          <w:color w:val="000000" w:themeColor="text1"/>
          <w:lang w:val="es-MX"/>
        </w:rPr>
      </w:pPr>
    </w:p>
    <w:p w14:paraId="1BAB2145" w14:textId="77777777" w:rsidR="008D4359" w:rsidRDefault="008D4359" w:rsidP="008D4359">
      <w:pPr>
        <w:spacing w:after="0" w:line="240" w:lineRule="auto"/>
        <w:rPr>
          <w:rFonts w:ascii="Verdana" w:eastAsia="Geomanist Light" w:hAnsi="Verdana" w:cs="Arial"/>
          <w:color w:val="000000" w:themeColor="text1"/>
          <w:lang w:val="es-MX"/>
        </w:rPr>
      </w:pPr>
    </w:p>
    <w:p w14:paraId="0F281781" w14:textId="77777777" w:rsidR="008D4359" w:rsidRDefault="008D4359" w:rsidP="008D4359">
      <w:pPr>
        <w:spacing w:after="0" w:line="240" w:lineRule="auto"/>
        <w:rPr>
          <w:rFonts w:ascii="Verdana" w:eastAsia="Geomanist Light" w:hAnsi="Verdana" w:cs="Arial"/>
          <w:color w:val="000000" w:themeColor="text1"/>
          <w:lang w:val="es-MX"/>
        </w:rPr>
      </w:pPr>
    </w:p>
    <w:p w14:paraId="101A75A0" w14:textId="77777777" w:rsidR="008D4359" w:rsidRDefault="008D4359" w:rsidP="008D4359">
      <w:pPr>
        <w:spacing w:after="0" w:line="240" w:lineRule="auto"/>
        <w:rPr>
          <w:rFonts w:ascii="Verdana" w:eastAsia="Geomanist Light" w:hAnsi="Verdana" w:cs="Arial"/>
          <w:color w:val="000000" w:themeColor="text1"/>
          <w:lang w:val="es-MX"/>
        </w:rPr>
      </w:pPr>
    </w:p>
    <w:p w14:paraId="621F32B8" w14:textId="77777777" w:rsidR="008D4359" w:rsidRDefault="008D4359" w:rsidP="008D4359">
      <w:pPr>
        <w:spacing w:after="0" w:line="240" w:lineRule="auto"/>
        <w:rPr>
          <w:rFonts w:ascii="Verdana" w:eastAsia="Geomanist Light" w:hAnsi="Verdana" w:cs="Arial"/>
          <w:color w:val="000000" w:themeColor="text1"/>
          <w:lang w:val="es-MX"/>
        </w:rPr>
      </w:pPr>
    </w:p>
    <w:p w14:paraId="61E9B481" w14:textId="77777777" w:rsidR="008D4359" w:rsidRDefault="008D4359" w:rsidP="008D4359">
      <w:pPr>
        <w:spacing w:after="0" w:line="240" w:lineRule="auto"/>
        <w:rPr>
          <w:rFonts w:ascii="Verdana" w:eastAsia="Geomanist Light" w:hAnsi="Verdana" w:cs="Arial"/>
          <w:color w:val="000000" w:themeColor="text1"/>
          <w:lang w:val="es-MX"/>
        </w:rPr>
      </w:pPr>
    </w:p>
    <w:p w14:paraId="5DBE95C6" w14:textId="77777777" w:rsidR="008D4359" w:rsidRDefault="008D4359" w:rsidP="008D4359">
      <w:pPr>
        <w:spacing w:after="0" w:line="240" w:lineRule="auto"/>
        <w:rPr>
          <w:rFonts w:ascii="Verdana" w:eastAsia="Geomanist Light" w:hAnsi="Verdana" w:cs="Arial"/>
          <w:color w:val="000000" w:themeColor="text1"/>
          <w:lang w:val="es-MX"/>
        </w:rPr>
      </w:pPr>
    </w:p>
    <w:p w14:paraId="7384AFC2" w14:textId="77777777" w:rsidR="008D4359" w:rsidRDefault="008D4359" w:rsidP="008D4359">
      <w:pPr>
        <w:spacing w:after="0" w:line="240" w:lineRule="auto"/>
        <w:rPr>
          <w:rFonts w:ascii="Verdana" w:eastAsia="Geomanist Light" w:hAnsi="Verdana" w:cs="Arial"/>
          <w:color w:val="000000" w:themeColor="text1"/>
          <w:lang w:val="es-MX"/>
        </w:rPr>
      </w:pPr>
    </w:p>
    <w:p w14:paraId="445795B8" w14:textId="77777777" w:rsidR="008D4359" w:rsidRDefault="008D4359" w:rsidP="008D4359">
      <w:pPr>
        <w:spacing w:after="0" w:line="240" w:lineRule="auto"/>
        <w:rPr>
          <w:rFonts w:ascii="Verdana" w:eastAsia="Geomanist Light" w:hAnsi="Verdana" w:cs="Arial"/>
          <w:color w:val="000000" w:themeColor="text1"/>
          <w:lang w:val="es-MX"/>
        </w:rPr>
      </w:pPr>
    </w:p>
    <w:p w14:paraId="6F17916D" w14:textId="77777777" w:rsidR="008D4359" w:rsidRDefault="008D4359" w:rsidP="008D4359">
      <w:pPr>
        <w:spacing w:after="0" w:line="240" w:lineRule="auto"/>
        <w:rPr>
          <w:rFonts w:ascii="Verdana" w:eastAsia="Geomanist Light" w:hAnsi="Verdana" w:cs="Arial"/>
          <w:color w:val="000000" w:themeColor="text1"/>
          <w:lang w:val="es-MX"/>
        </w:rPr>
      </w:pPr>
    </w:p>
    <w:p w14:paraId="7632FDC7" w14:textId="77777777" w:rsidR="008D4359" w:rsidRDefault="008D4359" w:rsidP="008D4359">
      <w:pPr>
        <w:spacing w:after="0" w:line="240" w:lineRule="auto"/>
        <w:rPr>
          <w:rFonts w:ascii="Verdana" w:eastAsia="Geomanist Light" w:hAnsi="Verdana" w:cs="Arial"/>
          <w:color w:val="000000" w:themeColor="text1"/>
          <w:lang w:val="es-MX"/>
        </w:rPr>
      </w:pPr>
    </w:p>
    <w:p w14:paraId="1D3EACD0" w14:textId="37258ACF" w:rsidR="008D4359" w:rsidRPr="00593A5F" w:rsidRDefault="008D4359" w:rsidP="008D4359">
      <w:pPr>
        <w:spacing w:after="0" w:line="240" w:lineRule="auto"/>
        <w:rPr>
          <w:rFonts w:ascii="Verdana" w:eastAsia="Geomanist Light" w:hAnsi="Verdana" w:cs="Arial"/>
          <w:color w:val="201F1E"/>
          <w:lang w:val="es-MX"/>
        </w:rPr>
      </w:pPr>
      <w:r w:rsidRPr="00593A5F">
        <w:rPr>
          <w:rFonts w:ascii="Verdana" w:eastAsia="Geomanist Light" w:hAnsi="Verdana" w:cs="Arial"/>
          <w:color w:val="000000" w:themeColor="text1"/>
          <w:lang w:val="es-MX"/>
        </w:rPr>
        <w:t>Bogotá D.C., </w:t>
      </w:r>
      <w:r w:rsidR="00B76BCF" w:rsidRPr="00B76BCF">
        <w:rPr>
          <w:rFonts w:ascii="Verdana" w:eastAsia="Geomanist Light" w:hAnsi="Verdana" w:cs="Arial"/>
          <w:color w:val="000000" w:themeColor="text1"/>
          <w:lang w:val="es-MX"/>
        </w:rPr>
        <w:t>04 de Junio de 2025</w:t>
      </w:r>
    </w:p>
    <w:p w14:paraId="0878623C" w14:textId="77777777" w:rsidR="008D4359" w:rsidRDefault="008D4359" w:rsidP="008D4359">
      <w:pPr>
        <w:spacing w:after="0" w:line="240" w:lineRule="auto"/>
        <w:jc w:val="both"/>
        <w:rPr>
          <w:rFonts w:ascii="Verdana" w:eastAsia="Calibri" w:hAnsi="Verdana" w:cs="Arial"/>
          <w:color w:val="000000"/>
          <w:lang w:val="es-MX"/>
        </w:rPr>
      </w:pPr>
    </w:p>
    <w:p w14:paraId="742948AF" w14:textId="5390D73B" w:rsidR="00B76BCF" w:rsidRPr="00B76BCF" w:rsidRDefault="00B76BCF" w:rsidP="00B76BCF">
      <w:pPr>
        <w:spacing w:after="0" w:line="240" w:lineRule="auto"/>
        <w:jc w:val="right"/>
        <w:rPr>
          <w:rFonts w:ascii="Verdana" w:eastAsia="Calibri" w:hAnsi="Verdana" w:cs="Arial"/>
          <w:color w:val="000000"/>
          <w:lang w:val="es-MX"/>
        </w:rPr>
      </w:pPr>
      <w:r w:rsidRPr="00B76BCF">
        <w:rPr>
          <w:rFonts w:ascii="Verdana" w:eastAsia="Calibri" w:hAnsi="Verdana" w:cs="Arial"/>
          <w:color w:val="000000"/>
          <w:lang w:val="es-MX"/>
        </w:rPr>
        <w:drawing>
          <wp:inline distT="0" distB="0" distL="0" distR="0" wp14:anchorId="769DD8A2" wp14:editId="208CB5C4">
            <wp:extent cx="2400300" cy="622300"/>
            <wp:effectExtent l="0" t="0" r="0" b="0"/>
            <wp:docPr id="207785214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852147" name=""/>
                    <pic:cNvPicPr/>
                  </pic:nvPicPr>
                  <pic:blipFill>
                    <a:blip r:embed="rId10"/>
                    <a:stretch>
                      <a:fillRect/>
                    </a:stretch>
                  </pic:blipFill>
                  <pic:spPr>
                    <a:xfrm>
                      <a:off x="0" y="0"/>
                      <a:ext cx="2400300" cy="622300"/>
                    </a:xfrm>
                    <a:prstGeom prst="rect">
                      <a:avLst/>
                    </a:prstGeom>
                  </pic:spPr>
                </pic:pic>
              </a:graphicData>
            </a:graphic>
          </wp:inline>
        </w:drawing>
      </w:r>
    </w:p>
    <w:p w14:paraId="0D5D53E5" w14:textId="77777777" w:rsidR="008D4359" w:rsidRPr="00593A5F" w:rsidRDefault="008D4359" w:rsidP="008D4359">
      <w:pPr>
        <w:spacing w:after="0" w:line="240" w:lineRule="auto"/>
        <w:jc w:val="both"/>
        <w:rPr>
          <w:rFonts w:ascii="Verdana" w:eastAsia="Calibri" w:hAnsi="Verdana" w:cs="Arial"/>
          <w:color w:val="000000"/>
          <w:lang w:val="es-ES"/>
        </w:rPr>
      </w:pPr>
    </w:p>
    <w:p w14:paraId="50681F3A" w14:textId="77777777" w:rsidR="008D4359" w:rsidRPr="00B96799" w:rsidRDefault="008D4359" w:rsidP="008D4359">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4582E643" w14:textId="77777777" w:rsidR="008D4359" w:rsidRPr="0085423D" w:rsidRDefault="008D4359" w:rsidP="008D4359">
      <w:pPr>
        <w:spacing w:after="0" w:line="240" w:lineRule="auto"/>
        <w:rPr>
          <w:rFonts w:ascii="Verdana" w:eastAsia="Calibri" w:hAnsi="Verdana" w:cs="Arial"/>
          <w:b/>
          <w:lang w:val="es-ES_tradnl" w:eastAsia="es-ES_tradnl"/>
        </w:rPr>
      </w:pPr>
      <w:r w:rsidRPr="0007041F">
        <w:rPr>
          <w:rFonts w:ascii="Verdana" w:eastAsia="Calibri" w:hAnsi="Verdana" w:cs="Arial"/>
          <w:b/>
          <w:lang w:val="es-ES_tradnl" w:eastAsia="es-ES_tradnl"/>
        </w:rPr>
        <w:t>Carlos Alberto Rodríguez Casas</w:t>
      </w:r>
      <w:r>
        <w:rPr>
          <w:rFonts w:ascii="Verdana" w:eastAsia="Calibri" w:hAnsi="Verdana" w:cs="Arial"/>
          <w:b/>
          <w:lang w:val="es-ES_tradnl" w:eastAsia="es-ES_tradnl"/>
        </w:rPr>
        <w:t xml:space="preserve"> </w:t>
      </w:r>
    </w:p>
    <w:p w14:paraId="49C86B49" w14:textId="77777777" w:rsidR="008D4359" w:rsidRPr="00DC4B3B" w:rsidRDefault="008D4359" w:rsidP="008D4359">
      <w:pPr>
        <w:spacing w:after="0" w:line="240" w:lineRule="auto"/>
        <w:rPr>
          <w:rFonts w:ascii="Verdana" w:eastAsia="Calibri" w:hAnsi="Verdana" w:cs="Arial"/>
          <w:lang w:val="es-ES" w:eastAsia="es-ES"/>
        </w:rPr>
      </w:pPr>
      <w:hyperlink r:id="rId11" w:history="1">
        <w:r w:rsidRPr="00245993">
          <w:rPr>
            <w:rStyle w:val="Hipervnculo"/>
            <w:rFonts w:ascii="Verdana" w:hAnsi="Verdana"/>
          </w:rPr>
          <w:t>carlosalbert2024@outlook.com</w:t>
        </w:r>
      </w:hyperlink>
      <w:r>
        <w:rPr>
          <w:rFonts w:ascii="Verdana" w:hAnsi="Verdana"/>
        </w:rPr>
        <w:t xml:space="preserve"> </w:t>
      </w:r>
      <w:r w:rsidRPr="00DC4B3B">
        <w:rPr>
          <w:rFonts w:ascii="Verdana" w:hAnsi="Verdana"/>
        </w:rPr>
        <w:t xml:space="preserve">        </w:t>
      </w:r>
      <w:r w:rsidRPr="00DC4B3B">
        <w:rPr>
          <w:rFonts w:ascii="Verdana" w:eastAsia="Calibri" w:hAnsi="Verdana" w:cs="Arial"/>
          <w:lang w:val="es-ES" w:eastAsia="es-ES"/>
        </w:rPr>
        <w:t xml:space="preserve">    </w:t>
      </w:r>
    </w:p>
    <w:p w14:paraId="28C8AC48" w14:textId="77777777" w:rsidR="008D4359" w:rsidRDefault="008D4359" w:rsidP="008D4359">
      <w:pPr>
        <w:spacing w:after="0" w:line="240" w:lineRule="auto"/>
        <w:rPr>
          <w:rFonts w:ascii="Verdana" w:eastAsia="Calibri" w:hAnsi="Verdana" w:cs="Arial"/>
          <w:lang w:val="es-ES" w:eastAsia="es-ES"/>
        </w:rPr>
      </w:pPr>
      <w:r w:rsidRPr="001F5E1C">
        <w:rPr>
          <w:rFonts w:ascii="Verdana" w:eastAsia="Calibri" w:hAnsi="Verdana" w:cs="Arial"/>
          <w:lang w:val="es-ES" w:eastAsia="es-ES"/>
        </w:rPr>
        <w:t>Bogotá D.C.</w:t>
      </w:r>
      <w:r>
        <w:rPr>
          <w:rFonts w:ascii="Verdana" w:eastAsia="Calibri" w:hAnsi="Verdana" w:cs="Arial"/>
          <w:lang w:val="es-ES" w:eastAsia="es-ES"/>
        </w:rPr>
        <w:t xml:space="preserve"> </w:t>
      </w:r>
    </w:p>
    <w:p w14:paraId="35861B0D" w14:textId="77777777" w:rsidR="008D4359" w:rsidRPr="00593A5F" w:rsidRDefault="008D4359" w:rsidP="008D4359">
      <w:pPr>
        <w:spacing w:after="0" w:line="240" w:lineRule="auto"/>
        <w:rPr>
          <w:rFonts w:ascii="Verdana" w:eastAsia="Calibri" w:hAnsi="Verdana" w:cs="Arial"/>
          <w:b/>
          <w:bCs/>
          <w:color w:val="000000"/>
          <w:lang w:val="es-ES_tradnl" w:eastAsia="es-ES_tradnl"/>
        </w:rPr>
      </w:pPr>
    </w:p>
    <w:p w14:paraId="74C893D7" w14:textId="77777777" w:rsidR="008D4359" w:rsidRPr="00593A5F" w:rsidRDefault="008D4359" w:rsidP="008D4359">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8D4359" w:rsidRPr="00593A5F" w14:paraId="7B9F6065" w14:textId="77777777" w:rsidTr="009B7FDB">
        <w:trPr>
          <w:trHeight w:val="884"/>
        </w:trPr>
        <w:tc>
          <w:tcPr>
            <w:tcW w:w="2689" w:type="dxa"/>
          </w:tcPr>
          <w:p w14:paraId="4DDCA24E" w14:textId="77777777" w:rsidR="008D4359" w:rsidRPr="00C00976" w:rsidRDefault="008D4359" w:rsidP="009B7FDB">
            <w:pPr>
              <w:jc w:val="both"/>
              <w:rPr>
                <w:rFonts w:ascii="Verdana" w:eastAsia="Calibri" w:hAnsi="Verdana" w:cs="Arial"/>
                <w:b/>
                <w:bCs/>
                <w:color w:val="7030A0"/>
                <w:lang w:val="es-ES_tradnl" w:eastAsia="es-ES_tradnl"/>
              </w:rPr>
            </w:pPr>
          </w:p>
        </w:tc>
        <w:tc>
          <w:tcPr>
            <w:tcW w:w="6100" w:type="dxa"/>
          </w:tcPr>
          <w:p w14:paraId="244B6646" w14:textId="1BCFB6D7" w:rsidR="008D4359" w:rsidRPr="00C00976" w:rsidRDefault="008D4359" w:rsidP="009B7FDB">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 xml:space="preserve">Concepto C – </w:t>
            </w:r>
            <w:r w:rsidR="00AD0CA2">
              <w:rPr>
                <w:rFonts w:ascii="Verdana" w:eastAsia="Calibri" w:hAnsi="Verdana" w:cs="Arial"/>
                <w:b/>
                <w:bCs/>
                <w:lang w:val="es-ES" w:eastAsia="es-ES"/>
              </w:rPr>
              <w:t>675</w:t>
            </w:r>
            <w:r>
              <w:rPr>
                <w:rFonts w:ascii="Verdana" w:eastAsia="Calibri" w:hAnsi="Verdana" w:cs="Arial"/>
                <w:b/>
                <w:bCs/>
                <w:lang w:val="es-ES" w:eastAsia="es-ES"/>
              </w:rPr>
              <w:t xml:space="preserve"> </w:t>
            </w:r>
            <w:r w:rsidRPr="008E6AD9">
              <w:rPr>
                <w:rFonts w:ascii="Verdana" w:eastAsia="Calibri" w:hAnsi="Verdana" w:cs="Arial"/>
                <w:b/>
                <w:bCs/>
                <w:lang w:val="es-ES" w:eastAsia="es-ES"/>
              </w:rPr>
              <w:t>de 202</w:t>
            </w:r>
            <w:r>
              <w:rPr>
                <w:rFonts w:ascii="Verdana" w:eastAsia="Calibri" w:hAnsi="Verdana" w:cs="Arial"/>
                <w:b/>
                <w:bCs/>
                <w:lang w:val="es-ES" w:eastAsia="es-ES"/>
              </w:rPr>
              <w:t>5</w:t>
            </w:r>
          </w:p>
        </w:tc>
      </w:tr>
      <w:tr w:rsidR="008D4359" w:rsidRPr="00593A5F" w14:paraId="31C479F0" w14:textId="77777777" w:rsidTr="009B7FDB">
        <w:trPr>
          <w:trHeight w:val="884"/>
        </w:trPr>
        <w:tc>
          <w:tcPr>
            <w:tcW w:w="2689" w:type="dxa"/>
          </w:tcPr>
          <w:p w14:paraId="2C420225" w14:textId="77777777" w:rsidR="008D4359" w:rsidRPr="00593A5F" w:rsidRDefault="008D4359" w:rsidP="009B7FDB">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7B591E3A" w14:textId="77777777" w:rsidR="008D4359" w:rsidRPr="00A11406" w:rsidRDefault="008D4359" w:rsidP="009B7FDB">
            <w:pPr>
              <w:spacing w:line="276" w:lineRule="auto"/>
              <w:jc w:val="both"/>
              <w:rPr>
                <w:rFonts w:ascii="Verdana" w:eastAsia="Calibri" w:hAnsi="Verdana" w:cs="Arial"/>
                <w:lang w:val="es-ES" w:eastAsia="es-ES"/>
              </w:rPr>
            </w:pPr>
            <w:r w:rsidRPr="00DD7928">
              <w:rPr>
                <w:rFonts w:ascii="Verdana" w:eastAsia="Calibri" w:hAnsi="Verdana" w:cs="Arial"/>
                <w:lang w:val="es-ES" w:eastAsia="es-ES"/>
              </w:rPr>
              <w:t>CESIÓN DEL CONTRATO ESTATAL – Noción / CESIÓN DEL CONTRATO ESTATAL – Régimen jurídico aplicable – EGCAP – Código de comercio / CESIÓN DEL CONTRATO ESTATAL – Requisitos – Restricciones</w:t>
            </w:r>
            <w:r w:rsidRPr="006A662D">
              <w:rPr>
                <w:rFonts w:ascii="Verdana" w:eastAsia="Calibri" w:hAnsi="Verdana" w:cs="Arial"/>
                <w:lang w:val="es-ES" w:eastAsia="es-ES"/>
              </w:rPr>
              <w:t xml:space="preserve">  </w:t>
            </w:r>
            <w:r w:rsidRPr="009673B4">
              <w:rPr>
                <w:rFonts w:ascii="Verdana" w:eastAsia="Calibri" w:hAnsi="Verdana" w:cs="Arial"/>
                <w:lang w:val="es-ES" w:eastAsia="es-ES"/>
              </w:rPr>
              <w:t xml:space="preserve">  </w:t>
            </w:r>
            <w:r w:rsidRPr="00B24DBE">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r w:rsidRPr="00BE364D">
              <w:rPr>
                <w:rFonts w:ascii="Verdana" w:eastAsia="Calibri" w:hAnsi="Verdana" w:cs="Arial"/>
                <w:lang w:val="es-ES" w:eastAsia="es-ES"/>
              </w:rPr>
              <w:t xml:space="preserve">  </w:t>
            </w:r>
            <w:r w:rsidRPr="00E23D97">
              <w:rPr>
                <w:rFonts w:ascii="Verdana" w:eastAsia="Calibri" w:hAnsi="Verdana" w:cs="Arial"/>
                <w:lang w:val="es-ES" w:eastAsia="es-ES"/>
              </w:rPr>
              <w:t xml:space="preserve"> </w:t>
            </w:r>
            <w:r w:rsidRPr="009E03E6">
              <w:rPr>
                <w:rFonts w:ascii="Verdana" w:eastAsia="Calibri" w:hAnsi="Verdana" w:cs="Arial"/>
                <w:lang w:val="es-ES" w:eastAsia="es-ES"/>
              </w:rPr>
              <w:t xml:space="preserve">  </w:t>
            </w:r>
            <w:r w:rsidRPr="006E6F30">
              <w:rPr>
                <w:rFonts w:ascii="Verdana" w:eastAsia="Calibri" w:hAnsi="Verdana" w:cs="Arial"/>
                <w:lang w:val="es-ES" w:eastAsia="es-ES"/>
              </w:rPr>
              <w:t xml:space="preserve"> </w:t>
            </w:r>
            <w:r w:rsidRPr="00FA3A97">
              <w:rPr>
                <w:rFonts w:ascii="Verdana" w:eastAsia="Calibri" w:hAnsi="Verdana" w:cs="Arial"/>
                <w:lang w:val="es-ES" w:eastAsia="es-ES"/>
              </w:rPr>
              <w:t xml:space="preserve">  </w:t>
            </w:r>
          </w:p>
          <w:p w14:paraId="24E9A0A4" w14:textId="77777777" w:rsidR="008D4359" w:rsidRPr="00593A5F" w:rsidRDefault="008D4359" w:rsidP="009B7FDB">
            <w:pPr>
              <w:spacing w:line="276" w:lineRule="auto"/>
              <w:jc w:val="both"/>
              <w:rPr>
                <w:rFonts w:ascii="Verdana" w:eastAsia="Calibri" w:hAnsi="Verdana" w:cs="Arial"/>
                <w:lang w:val="es-ES" w:eastAsia="es-ES"/>
              </w:rPr>
            </w:pPr>
            <w:r w:rsidRPr="00A11406">
              <w:rPr>
                <w:rFonts w:ascii="Verdana" w:eastAsia="Calibri" w:hAnsi="Verdana" w:cs="Arial"/>
                <w:lang w:val="es-ES" w:eastAsia="es-ES"/>
              </w:rPr>
              <w:t xml:space="preserve"> </w:t>
            </w:r>
            <w:r w:rsidRPr="00D1484F">
              <w:rPr>
                <w:rFonts w:ascii="Verdana" w:eastAsia="Calibri" w:hAnsi="Verdana" w:cs="Arial"/>
                <w:lang w:val="es-ES" w:eastAsia="es-ES"/>
              </w:rPr>
              <w:t xml:space="preserve"> </w:t>
            </w:r>
          </w:p>
        </w:tc>
      </w:tr>
      <w:tr w:rsidR="008D4359" w:rsidRPr="008E6AD9" w14:paraId="172F21F9" w14:textId="77777777" w:rsidTr="009B7FDB">
        <w:tc>
          <w:tcPr>
            <w:tcW w:w="2689" w:type="dxa"/>
          </w:tcPr>
          <w:p w14:paraId="5986B52B" w14:textId="77777777" w:rsidR="008D4359" w:rsidRPr="008E6AD9" w:rsidRDefault="008D4359" w:rsidP="009B7FDB">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1FE10951" w14:textId="77777777" w:rsidR="008D4359" w:rsidRPr="00B92340" w:rsidRDefault="008D4359" w:rsidP="009B7FDB">
            <w:pPr>
              <w:spacing w:line="276" w:lineRule="auto"/>
              <w:jc w:val="both"/>
              <w:rPr>
                <w:rFonts w:ascii="Verdana" w:eastAsia="Calibri" w:hAnsi="Verdana" w:cs="Arial"/>
                <w:lang w:val="es-ES_tradnl"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consulta con radicado No.</w:t>
            </w:r>
            <w:r>
              <w:rPr>
                <w:rFonts w:ascii="Verdana" w:eastAsia="Calibri" w:hAnsi="Verdana" w:cs="Arial"/>
                <w:lang w:val="es-ES_tradnl" w:eastAsia="es-ES_tradnl"/>
              </w:rPr>
              <w:t xml:space="preserve"> </w:t>
            </w:r>
            <w:r w:rsidRPr="00A460EA">
              <w:rPr>
                <w:rFonts w:ascii="Verdana" w:eastAsia="Calibri" w:hAnsi="Verdana" w:cs="Arial"/>
                <w:lang w:val="es-ES_tradnl" w:eastAsia="es-ES_tradnl"/>
              </w:rPr>
              <w:t>P20250527005150</w:t>
            </w:r>
            <w:r w:rsidRPr="0085423D">
              <w:rPr>
                <w:rFonts w:ascii="Verdana" w:eastAsia="Calibri" w:hAnsi="Verdana" w:cs="Arial"/>
                <w:lang w:val="es-ES_tradnl" w:eastAsia="es-ES_tradnl"/>
              </w:rPr>
              <w:t xml:space="preserve"> </w:t>
            </w:r>
            <w:r w:rsidRPr="008E6AD9">
              <w:rPr>
                <w:rFonts w:ascii="Verdana" w:eastAsia="Calibri" w:hAnsi="Verdana" w:cs="Arial"/>
                <w:lang w:val="es-ES_tradnl" w:eastAsia="es-ES_tradnl"/>
              </w:rPr>
              <w:t xml:space="preserve"> </w:t>
            </w:r>
            <w:r>
              <w:rPr>
                <w:rFonts w:ascii="Verdana" w:eastAsia="Calibri" w:hAnsi="Verdana" w:cs="Arial"/>
                <w:lang w:val="es-ES_tradnl" w:eastAsia="es-ES_tradnl"/>
              </w:rPr>
              <w:t xml:space="preserve">                                   </w:t>
            </w:r>
          </w:p>
        </w:tc>
      </w:tr>
    </w:tbl>
    <w:p w14:paraId="0637141E" w14:textId="77777777" w:rsidR="008D4359" w:rsidRPr="00593A5F" w:rsidRDefault="008D4359" w:rsidP="008D4359">
      <w:pPr>
        <w:spacing w:after="0" w:line="240" w:lineRule="auto"/>
        <w:jc w:val="both"/>
        <w:rPr>
          <w:rFonts w:ascii="Verdana" w:eastAsia="Calibri" w:hAnsi="Verdana" w:cs="Arial"/>
          <w:color w:val="000000"/>
          <w:lang w:val="es-ES_tradnl" w:eastAsia="es-ES_tradnl"/>
        </w:rPr>
      </w:pPr>
    </w:p>
    <w:p w14:paraId="0A0B8164" w14:textId="77777777" w:rsidR="008D4359" w:rsidRPr="00593A5F" w:rsidRDefault="008D4359" w:rsidP="008D4359">
      <w:pPr>
        <w:spacing w:after="0" w:line="240" w:lineRule="auto"/>
        <w:jc w:val="both"/>
        <w:rPr>
          <w:rFonts w:ascii="Verdana" w:eastAsia="Calibri" w:hAnsi="Verdana" w:cs="Arial"/>
          <w:color w:val="000000"/>
          <w:lang w:val="es-ES_tradnl" w:eastAsia="es-ES_tradnl"/>
        </w:rPr>
      </w:pPr>
    </w:p>
    <w:p w14:paraId="766F9F88" w14:textId="77777777" w:rsidR="008D4359" w:rsidRPr="008E6AD9" w:rsidRDefault="008D4359" w:rsidP="008D4359">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w:t>
      </w:r>
      <w:r>
        <w:rPr>
          <w:rFonts w:ascii="Verdana" w:eastAsia="Calibri" w:hAnsi="Verdana" w:cs="Arial"/>
          <w:lang w:val="es-ES" w:eastAsia="es-ES"/>
        </w:rPr>
        <w:t xml:space="preserve">señor </w:t>
      </w:r>
      <w:r w:rsidRPr="00AF70E5">
        <w:rPr>
          <w:rFonts w:ascii="Verdana" w:eastAsia="Calibri" w:hAnsi="Verdana" w:cs="Arial"/>
          <w:lang w:val="es-ES" w:eastAsia="es-ES"/>
        </w:rPr>
        <w:t xml:space="preserve">Gómez </w:t>
      </w:r>
      <w:r w:rsidRPr="00DC4B3B">
        <w:rPr>
          <w:rFonts w:ascii="Verdana" w:eastAsia="Calibri" w:hAnsi="Verdana" w:cs="Arial"/>
          <w:lang w:val="es-ES" w:eastAsia="es-ES"/>
        </w:rPr>
        <w:t>Rodríguez Casas</w:t>
      </w:r>
      <w:r w:rsidRPr="008E6AD9">
        <w:rPr>
          <w:rFonts w:ascii="Verdana" w:eastAsia="Calibri" w:hAnsi="Verdana" w:cs="Arial"/>
          <w:lang w:val="es-ES" w:eastAsia="es-ES"/>
        </w:rPr>
        <w:t xml:space="preserve">: </w:t>
      </w:r>
    </w:p>
    <w:p w14:paraId="33482C2D" w14:textId="77777777" w:rsidR="008D4359" w:rsidRDefault="008D4359" w:rsidP="008D4359">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2D39947" w14:textId="77777777" w:rsidR="008D4359" w:rsidRPr="00593A5F" w:rsidRDefault="008D4359" w:rsidP="008D4359">
      <w:pPr>
        <w:spacing w:after="0" w:line="276" w:lineRule="auto"/>
        <w:jc w:val="both"/>
        <w:rPr>
          <w:rFonts w:ascii="Verdana" w:eastAsia="Calibri" w:hAnsi="Verdana" w:cs="Arial"/>
          <w:color w:val="7030A0"/>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Pr>
          <w:rFonts w:ascii="Verdana" w:eastAsia="Calibri" w:hAnsi="Verdana" w:cs="Arial"/>
          <w:color w:val="000000" w:themeColor="text1"/>
          <w:lang w:val="es-ES" w:eastAsia="es-ES"/>
        </w:rPr>
        <w:t xml:space="preserve"> consulta de </w:t>
      </w:r>
      <w:r w:rsidRPr="008E6AD9">
        <w:rPr>
          <w:rFonts w:ascii="Verdana" w:eastAsia="Calibri" w:hAnsi="Verdana" w:cs="Arial"/>
          <w:lang w:val="es-ES" w:eastAsia="es-ES"/>
        </w:rPr>
        <w:t>fecha</w:t>
      </w:r>
      <w:r>
        <w:rPr>
          <w:rFonts w:ascii="Verdana" w:eastAsia="Calibri" w:hAnsi="Verdana" w:cs="Arial"/>
          <w:lang w:val="es-ES" w:eastAsia="es-ES"/>
        </w:rPr>
        <w:t xml:space="preserve"> 27 de mayo de 2025</w:t>
      </w:r>
      <w:r w:rsidRPr="008E6AD9">
        <w:rPr>
          <w:rFonts w:ascii="Verdana" w:eastAsia="Calibri" w:hAnsi="Verdana" w:cs="Arial"/>
          <w:lang w:val="es-ES" w:eastAsia="es-ES"/>
        </w:rPr>
        <w:t>,</w:t>
      </w:r>
      <w:r>
        <w:rPr>
          <w:rFonts w:ascii="Verdana" w:eastAsia="Calibri" w:hAnsi="Verdana" w:cs="Arial"/>
          <w:lang w:val="es-ES" w:eastAsia="es-ES"/>
        </w:rPr>
        <w:t xml:space="preserve"> </w:t>
      </w:r>
      <w:r w:rsidRPr="008E6AD9">
        <w:rPr>
          <w:rFonts w:ascii="Verdana" w:eastAsia="Calibri" w:hAnsi="Verdana" w:cs="Arial"/>
          <w:lang w:val="es-ES" w:eastAsia="es-ES"/>
        </w:rPr>
        <w:t>en la cua</w:t>
      </w:r>
      <w:r>
        <w:rPr>
          <w:rFonts w:ascii="Verdana" w:eastAsia="Calibri" w:hAnsi="Verdana" w:cs="Arial"/>
          <w:lang w:val="es-ES" w:eastAsia="es-ES"/>
        </w:rPr>
        <w:t>l solicita</w:t>
      </w:r>
      <w:r w:rsidRPr="008E6AD9">
        <w:rPr>
          <w:rFonts w:ascii="Verdana" w:eastAsia="Calibri" w:hAnsi="Verdana" w:cs="Arial"/>
          <w:lang w:val="es-ES" w:eastAsia="es-ES"/>
        </w:rPr>
        <w:t xml:space="preserve">: </w:t>
      </w:r>
    </w:p>
    <w:p w14:paraId="3AAC3E51" w14:textId="77777777" w:rsidR="008D4359" w:rsidRPr="00272A7B" w:rsidRDefault="008D4359" w:rsidP="008D4359">
      <w:pPr>
        <w:pStyle w:val="Prrafodelista"/>
        <w:tabs>
          <w:tab w:val="left" w:pos="142"/>
          <w:tab w:val="left" w:pos="284"/>
        </w:tabs>
        <w:spacing w:after="0" w:line="276" w:lineRule="auto"/>
        <w:ind w:left="0"/>
        <w:jc w:val="both"/>
        <w:rPr>
          <w:rFonts w:ascii="Verdana" w:eastAsia="Century Gothic" w:hAnsi="Verdana" w:cs="Century Gothic"/>
          <w:b/>
          <w:bCs/>
        </w:rPr>
      </w:pPr>
    </w:p>
    <w:p w14:paraId="7CDF771F" w14:textId="77777777" w:rsidR="008D4359" w:rsidRPr="005B7798" w:rsidRDefault="008D4359" w:rsidP="008D4359">
      <w:pPr>
        <w:spacing w:after="0" w:line="240" w:lineRule="auto"/>
        <w:ind w:left="709" w:right="709"/>
        <w:jc w:val="both"/>
        <w:rPr>
          <w:rFonts w:ascii="Verdana" w:eastAsia="Century Gothic" w:hAnsi="Verdana" w:cs="Century Gothic"/>
          <w:sz w:val="21"/>
          <w:szCs w:val="21"/>
          <w:lang w:val="es-ES"/>
        </w:rPr>
      </w:pPr>
      <w:bookmarkStart w:id="0" w:name="_Hlk95313578"/>
      <w:r w:rsidRPr="006E7258">
        <w:rPr>
          <w:rFonts w:ascii="Verdana" w:eastAsia="Century Gothic" w:hAnsi="Verdana" w:cs="Century Gothic"/>
          <w:sz w:val="21"/>
          <w:szCs w:val="21"/>
          <w:lang w:val="es-ES"/>
        </w:rPr>
        <w:t>“</w:t>
      </w:r>
      <w:bookmarkEnd w:id="0"/>
      <w:r>
        <w:rPr>
          <w:rFonts w:ascii="Verdana" w:eastAsia="Century Gothic" w:hAnsi="Verdana" w:cs="Century Gothic"/>
          <w:sz w:val="21"/>
          <w:szCs w:val="21"/>
          <w:lang w:val="es-ES"/>
        </w:rPr>
        <w:t xml:space="preserve">[…] </w:t>
      </w:r>
      <w:r w:rsidRPr="00DC4B3B">
        <w:rPr>
          <w:rFonts w:ascii="Verdana" w:eastAsia="Century Gothic" w:hAnsi="Verdana" w:cs="Century Gothic"/>
          <w:sz w:val="21"/>
          <w:szCs w:val="21"/>
          <w:lang w:val="es-ES"/>
        </w:rPr>
        <w:t xml:space="preserve">clarificar si </w:t>
      </w:r>
      <w:r w:rsidRPr="00DC4B3B">
        <w:rPr>
          <w:rFonts w:ascii="Verdana" w:eastAsia="Century Gothic" w:hAnsi="Verdana" w:cs="Century Gothic"/>
          <w:b/>
          <w:bCs/>
          <w:sz w:val="21"/>
          <w:szCs w:val="21"/>
          <w:lang w:val="es-ES"/>
        </w:rPr>
        <w:t>es posible que un integrante de un consorcio o una unión temporal ceda su participación a otro u otros de los integrantes de esa figura plural (Cumpliendo con los requisitos determinados en el pliego y en materia jurídica, técnica y financiera) y si la prohibición de hacerlo en esas condiciones sólo se aplica al caso de la inhabilidad sobreviniente ya referida</w:t>
      </w:r>
      <w:r w:rsidRPr="006040CE">
        <w:rPr>
          <w:rFonts w:ascii="Verdana" w:eastAsia="Century Gothic" w:hAnsi="Verdana" w:cs="Century Gothic"/>
          <w:sz w:val="21"/>
          <w:szCs w:val="21"/>
          <w:lang w:val="es-ES"/>
        </w:rPr>
        <w:t>”.</w:t>
      </w:r>
      <w:r>
        <w:rPr>
          <w:rFonts w:ascii="Verdana" w:eastAsia="Century Gothic" w:hAnsi="Verdana" w:cs="Century Gothic"/>
          <w:sz w:val="21"/>
          <w:szCs w:val="21"/>
          <w:lang w:val="es-ES"/>
        </w:rPr>
        <w:t xml:space="preserve"> (Énfasis dentro del texto)</w:t>
      </w:r>
      <w:r>
        <w:rPr>
          <w:rFonts w:ascii="Verdana" w:eastAsia="Century Gothic" w:hAnsi="Verdana" w:cs="Century Gothic"/>
          <w:sz w:val="20"/>
          <w:szCs w:val="20"/>
          <w:lang w:val="es-ES"/>
        </w:rPr>
        <w:t xml:space="preserve"> </w:t>
      </w:r>
    </w:p>
    <w:p w14:paraId="23E9EE54" w14:textId="77777777" w:rsidR="008D4359" w:rsidRPr="008E6AD9" w:rsidRDefault="008D4359" w:rsidP="008D4359">
      <w:pPr>
        <w:pStyle w:val="Prrafodelista"/>
        <w:tabs>
          <w:tab w:val="left" w:pos="142"/>
          <w:tab w:val="left" w:pos="284"/>
        </w:tabs>
        <w:spacing w:after="0" w:line="276" w:lineRule="auto"/>
        <w:ind w:left="0"/>
        <w:jc w:val="both"/>
        <w:rPr>
          <w:rFonts w:ascii="Verdana" w:eastAsia="Century Gothic" w:hAnsi="Verdana" w:cs="Century Gothic"/>
          <w:b/>
          <w:bCs/>
        </w:rPr>
      </w:pPr>
    </w:p>
    <w:p w14:paraId="6068CEFA" w14:textId="77777777" w:rsidR="008D4359" w:rsidRPr="00A652FF" w:rsidRDefault="008D4359" w:rsidP="008D4359">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resulta necesario acotar que esta entidad s</w:t>
      </w:r>
      <w:r>
        <w:rPr>
          <w:rFonts w:ascii="Verdana" w:eastAsia="Calibri" w:hAnsi="Verdana" w:cs="Arial"/>
          <w:color w:val="000000"/>
          <w:lang w:val="es-ES" w:eastAsia="es-ES"/>
        </w:rPr>
        <w:t>ó</w:t>
      </w:r>
      <w:r w:rsidRPr="00593A5F">
        <w:rPr>
          <w:rFonts w:ascii="Verdana" w:eastAsia="Calibri" w:hAnsi="Verdana" w:cs="Arial"/>
          <w:color w:val="000000"/>
          <w:lang w:val="es-ES" w:eastAsia="es-ES"/>
        </w:rPr>
        <w:t xml:space="preserve">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w:t>
      </w:r>
      <w:r>
        <w:rPr>
          <w:rFonts w:ascii="Verdana" w:eastAsia="Calibri" w:hAnsi="Verdana" w:cs="Arial"/>
          <w:color w:val="000000"/>
          <w:lang w:val="es-ES" w:eastAsia="es-ES"/>
        </w:rPr>
        <w:t>concretos</w:t>
      </w:r>
      <w:r w:rsidRPr="00593A5F">
        <w:rPr>
          <w:rFonts w:ascii="Verdana" w:eastAsia="Calibri" w:hAnsi="Verdana" w:cs="Arial"/>
          <w:color w:val="000000"/>
          <w:lang w:val="es-ES" w:eastAsia="es-ES"/>
        </w:rPr>
        <w:t xml:space="preserve">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2FD92B15" w14:textId="77777777" w:rsidR="008D4359" w:rsidRDefault="008D4359" w:rsidP="008D4359">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específicas que la hayan motivado</w:t>
      </w:r>
      <w:r w:rsidRPr="00593A5F">
        <w:rPr>
          <w:rFonts w:ascii="Verdana" w:eastAsia="Calibri" w:hAnsi="Verdana" w:cs="Arial"/>
          <w:color w:val="000000"/>
          <w:lang w:val="es-ES" w:eastAsia="es-ES"/>
        </w:rPr>
        <w:t xml:space="preserve">, pero haciendo unas consideraciones 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 </w:t>
      </w:r>
    </w:p>
    <w:p w14:paraId="39568B70" w14:textId="77777777" w:rsidR="008D4359" w:rsidRPr="00593A5F" w:rsidRDefault="008D4359" w:rsidP="008D4359">
      <w:pPr>
        <w:spacing w:after="0" w:line="276" w:lineRule="auto"/>
        <w:ind w:firstLine="709"/>
        <w:jc w:val="both"/>
        <w:rPr>
          <w:rFonts w:ascii="Verdana" w:eastAsia="Calibri" w:hAnsi="Verdana" w:cs="Arial"/>
          <w:color w:val="000000"/>
          <w:lang w:val="es-ES" w:eastAsia="es-ES"/>
        </w:rPr>
      </w:pPr>
    </w:p>
    <w:p w14:paraId="4830141D" w14:textId="77777777" w:rsidR="008D4359" w:rsidRPr="00593A5F" w:rsidRDefault="008D4359" w:rsidP="008D4359">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 planteado:</w:t>
      </w:r>
    </w:p>
    <w:p w14:paraId="778080DC" w14:textId="77777777" w:rsidR="008D4359" w:rsidRPr="00593A5F" w:rsidRDefault="008D4359" w:rsidP="008D4359">
      <w:pPr>
        <w:tabs>
          <w:tab w:val="left" w:pos="426"/>
        </w:tabs>
        <w:spacing w:after="0" w:line="276" w:lineRule="auto"/>
        <w:jc w:val="both"/>
        <w:rPr>
          <w:rFonts w:ascii="Verdana" w:eastAsia="Century Gothic" w:hAnsi="Verdana" w:cs="Century Gothic"/>
          <w:lang w:val="es-ES"/>
        </w:rPr>
      </w:pPr>
    </w:p>
    <w:p w14:paraId="17DC8072" w14:textId="77777777" w:rsidR="008D4359" w:rsidRPr="00593A5F" w:rsidRDefault="008D4359" w:rsidP="008D4359">
      <w:pPr>
        <w:spacing w:after="0" w:line="276" w:lineRule="auto"/>
        <w:jc w:val="both"/>
        <w:rPr>
          <w:rFonts w:ascii="Verdana" w:eastAsia="Century Gothic" w:hAnsi="Verdana" w:cs="Century Gothic"/>
        </w:rPr>
      </w:pPr>
      <w:r w:rsidRPr="00906BE9">
        <w:rPr>
          <w:rFonts w:ascii="Verdana" w:eastAsia="Century Gothic" w:hAnsi="Verdana" w:cs="Century Gothic"/>
        </w:rPr>
        <w:t xml:space="preserve">De acuerdo con el contenido de su solicitud, esta Agencia resolverá </w:t>
      </w:r>
      <w:r>
        <w:rPr>
          <w:rFonts w:ascii="Verdana" w:eastAsia="Century Gothic" w:hAnsi="Verdana" w:cs="Century Gothic"/>
        </w:rPr>
        <w:t>el</w:t>
      </w:r>
      <w:r w:rsidRPr="00906BE9">
        <w:rPr>
          <w:rFonts w:ascii="Verdana" w:eastAsia="Century Gothic" w:hAnsi="Verdana" w:cs="Century Gothic"/>
        </w:rPr>
        <w:t xml:space="preserve"> siguiente</w:t>
      </w:r>
      <w:r>
        <w:rPr>
          <w:rFonts w:ascii="Verdana" w:eastAsia="Century Gothic" w:hAnsi="Verdana" w:cs="Century Gothic"/>
        </w:rPr>
        <w:t xml:space="preserve"> </w:t>
      </w:r>
      <w:r w:rsidRPr="00906BE9">
        <w:rPr>
          <w:rFonts w:ascii="Verdana" w:eastAsia="Century Gothic" w:hAnsi="Verdana" w:cs="Century Gothic"/>
        </w:rPr>
        <w:t xml:space="preserve">problema jurídico: ¿cuál </w:t>
      </w:r>
      <w:r>
        <w:rPr>
          <w:rFonts w:ascii="Verdana" w:eastAsia="Century Gothic" w:hAnsi="Verdana" w:cs="Century Gothic"/>
        </w:rPr>
        <w:t xml:space="preserve">es marco jurídico y las restricciones para la cesión de la posición contractual en el sistema de compras públicas? </w:t>
      </w:r>
      <w:r w:rsidRPr="00906BE9">
        <w:rPr>
          <w:rFonts w:ascii="Verdana" w:eastAsia="Century Gothic" w:hAnsi="Verdana" w:cs="Century Gothic"/>
        </w:rPr>
        <w:t xml:space="preserve">       </w:t>
      </w:r>
      <w:r>
        <w:rPr>
          <w:rFonts w:ascii="Verdana" w:eastAsia="Century Gothic" w:hAnsi="Verdana" w:cs="Century Gothic"/>
        </w:rPr>
        <w:t xml:space="preserve">       </w:t>
      </w:r>
      <w:r w:rsidRPr="00C00976">
        <w:rPr>
          <w:rFonts w:ascii="Verdana" w:eastAsia="Century Gothic" w:hAnsi="Verdana" w:cs="Century Gothic"/>
          <w:color w:val="7030A0"/>
        </w:rPr>
        <w:t xml:space="preserve"> </w:t>
      </w:r>
    </w:p>
    <w:p w14:paraId="013846F2" w14:textId="77777777" w:rsidR="008D4359" w:rsidRPr="004B140F" w:rsidRDefault="008D4359" w:rsidP="008D4359">
      <w:pPr>
        <w:spacing w:after="0" w:line="276" w:lineRule="auto"/>
        <w:jc w:val="both"/>
        <w:rPr>
          <w:rFonts w:ascii="Verdana" w:eastAsia="Calibri" w:hAnsi="Verdana" w:cs="Arial"/>
          <w:color w:val="7030A0"/>
        </w:rPr>
      </w:pPr>
    </w:p>
    <w:p w14:paraId="670667DC" w14:textId="77777777" w:rsidR="008D4359" w:rsidRPr="00593A5F" w:rsidRDefault="008D4359" w:rsidP="008D43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7BCB5ABB" w14:textId="77777777" w:rsidR="008D4359" w:rsidRPr="00593A5F" w:rsidRDefault="008D4359" w:rsidP="008D4359">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D4359" w:rsidRPr="00593A5F" w14:paraId="50AC3DA8" w14:textId="77777777" w:rsidTr="009B7FDB">
        <w:trPr>
          <w:jc w:val="center"/>
        </w:trPr>
        <w:tc>
          <w:tcPr>
            <w:tcW w:w="8828" w:type="dxa"/>
            <w:shd w:val="clear" w:color="auto" w:fill="auto"/>
          </w:tcPr>
          <w:p w14:paraId="4364AE3F" w14:textId="77777777" w:rsidR="008D4359" w:rsidRPr="009B1432" w:rsidRDefault="008D4359" w:rsidP="009B7FDB">
            <w:pPr>
              <w:spacing w:after="120" w:line="276" w:lineRule="auto"/>
              <w:ind w:right="51"/>
              <w:jc w:val="both"/>
              <w:rPr>
                <w:rFonts w:ascii="Verdana" w:eastAsia="Calibri" w:hAnsi="Verdana" w:cs="Arial"/>
                <w:color w:val="000000" w:themeColor="text1"/>
              </w:rPr>
            </w:pPr>
            <w:bookmarkStart w:id="1" w:name="_Hlk171694685"/>
            <w:r>
              <w:rPr>
                <w:rFonts w:ascii="Verdana" w:eastAsia="Calibri" w:hAnsi="Verdana" w:cs="Arial"/>
                <w:bCs/>
                <w:color w:val="000000" w:themeColor="text1"/>
              </w:rPr>
              <w:t>Conforme a la interpretación general de las normas del sistema de compras públicas,</w:t>
            </w:r>
            <w:r w:rsidRPr="00185EE9">
              <w:rPr>
                <w:rFonts w:ascii="Verdana" w:eastAsia="Calibri" w:hAnsi="Verdana" w:cs="Arial"/>
                <w:bCs/>
                <w:color w:val="000000" w:themeColor="text1"/>
              </w:rPr>
              <w:t xml:space="preserve"> </w:t>
            </w:r>
            <w:r w:rsidRPr="004C544B">
              <w:rPr>
                <w:rFonts w:ascii="Verdana" w:eastAsia="Calibri" w:hAnsi="Verdana" w:cs="Arial"/>
                <w:color w:val="000000" w:themeColor="text1"/>
              </w:rPr>
              <w:t xml:space="preserve">el artículo 9 de la Ley 80 de 1993 </w:t>
            </w:r>
            <w:r>
              <w:rPr>
                <w:rFonts w:ascii="Verdana" w:eastAsia="Calibri" w:hAnsi="Verdana" w:cs="Arial"/>
                <w:color w:val="000000" w:themeColor="text1"/>
              </w:rPr>
              <w:t>dispone</w:t>
            </w:r>
            <w:r w:rsidRPr="004C544B">
              <w:rPr>
                <w:rFonts w:ascii="Verdana" w:eastAsia="Calibri" w:hAnsi="Verdana" w:cs="Arial"/>
                <w:color w:val="000000" w:themeColor="text1"/>
              </w:rPr>
              <w:t xml:space="preserve"> que “[…] En ningún caso, podrá haber cesión del contrato entre quienes integran el consorcio o unión temporal”</w:t>
            </w:r>
            <w:r>
              <w:rPr>
                <w:rFonts w:ascii="Verdana" w:eastAsia="Calibri" w:hAnsi="Verdana" w:cs="Arial"/>
                <w:color w:val="000000" w:themeColor="text1"/>
              </w:rPr>
              <w:t>, pues e</w:t>
            </w:r>
            <w:r w:rsidRPr="004C544B">
              <w:rPr>
                <w:rFonts w:ascii="Verdana" w:eastAsia="Calibri" w:hAnsi="Verdana" w:cs="Arial"/>
                <w:color w:val="000000" w:themeColor="text1"/>
              </w:rPr>
              <w:t>n esta hipótesis no existe un tercero como requisito de la cesión</w:t>
            </w:r>
            <w:r>
              <w:rPr>
                <w:rFonts w:ascii="Verdana" w:eastAsia="Calibri" w:hAnsi="Verdana" w:cs="Arial"/>
                <w:color w:val="000000" w:themeColor="text1"/>
              </w:rPr>
              <w:t xml:space="preserve">. De esta manera, si está prohibida la cesión entre quienes integren el proponente plural, significa que está permitida la cesión de sus integrantes a un tercero distinto a los miembros del consorcio o la unión temporal. Por tanto, si dicho tercero cumple los requisitos de capacidad jurídica, no está incurso en causales de inhabilidad o incompatibilidad y, de acuerdo con los criterios previstos en el pliego de condiciones, es idóneo desde el punto de </w:t>
            </w:r>
            <w:r>
              <w:rPr>
                <w:rFonts w:ascii="Verdana" w:eastAsia="Calibri" w:hAnsi="Verdana" w:cs="Arial"/>
                <w:color w:val="000000" w:themeColor="text1"/>
              </w:rPr>
              <w:lastRenderedPageBreak/>
              <w:t xml:space="preserve">vista técnico, económico y financiero para cumplir con las obligaciones, la entidad podrá analizar la posibilidad de autorizar la cesión.    </w:t>
            </w:r>
          </w:p>
          <w:p w14:paraId="087D7989" w14:textId="77777777" w:rsidR="008D4359" w:rsidRPr="001941FD" w:rsidRDefault="008D4359" w:rsidP="009B7FDB">
            <w:pPr>
              <w:spacing w:line="276" w:lineRule="auto"/>
              <w:ind w:firstLine="709"/>
              <w:jc w:val="both"/>
              <w:rPr>
                <w:rFonts w:ascii="Verdana" w:eastAsia="Calibri" w:hAnsi="Verdana" w:cs="Arial"/>
                <w:bCs/>
                <w:color w:val="000000" w:themeColor="text1"/>
              </w:rPr>
            </w:pPr>
            <w:r w:rsidRPr="001941FD">
              <w:rPr>
                <w:rStyle w:val="s15"/>
                <w:rFonts w:ascii="Verdana" w:hAnsi="Verdana"/>
                <w:color w:val="000000"/>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w:t>
            </w:r>
            <w:r w:rsidRPr="001941FD">
              <w:rPr>
                <w:rStyle w:val="apple-converted-space"/>
                <w:rFonts w:ascii="Verdana" w:hAnsi="Verdana"/>
                <w:color w:val="000000"/>
              </w:rPr>
              <w:t> </w:t>
            </w:r>
            <w:r w:rsidRPr="001941FD">
              <w:rPr>
                <w:rStyle w:val="s15"/>
                <w:rFonts w:ascii="Verdana" w:hAnsi="Verdana"/>
                <w:color w:val="000000"/>
              </w:rPr>
              <w:t>Por lo anterior, previo</w:t>
            </w:r>
            <w:r w:rsidRPr="001941FD">
              <w:rPr>
                <w:rStyle w:val="apple-converted-space"/>
                <w:rFonts w:ascii="Verdana" w:hAnsi="Verdana"/>
                <w:color w:val="000000"/>
              </w:rPr>
              <w:t> </w:t>
            </w:r>
            <w:r w:rsidRPr="001941FD">
              <w:rPr>
                <w:rStyle w:val="s15"/>
                <w:rFonts w:ascii="Verdana" w:hAnsi="Verdana"/>
                <w:color w:val="000000"/>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7AC63B68" w14:textId="77777777" w:rsidR="008D4359" w:rsidRPr="00593A5F" w:rsidRDefault="008D4359" w:rsidP="008D4359">
      <w:pPr>
        <w:tabs>
          <w:tab w:val="left" w:pos="142"/>
          <w:tab w:val="left" w:pos="284"/>
        </w:tabs>
        <w:spacing w:after="0" w:line="276" w:lineRule="auto"/>
        <w:jc w:val="both"/>
        <w:rPr>
          <w:rFonts w:ascii="Verdana" w:eastAsia="Century Gothic" w:hAnsi="Verdana" w:cs="Century Gothic"/>
          <w:b/>
          <w:bCs/>
          <w:lang w:val="es-ES"/>
        </w:rPr>
      </w:pPr>
    </w:p>
    <w:bookmarkEnd w:id="1"/>
    <w:p w14:paraId="21E1FBC5" w14:textId="77777777" w:rsidR="008D4359" w:rsidRPr="00593A5F" w:rsidRDefault="008D4359" w:rsidP="008D43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7584791F" w14:textId="77777777" w:rsidR="008D4359" w:rsidRPr="00593A5F" w:rsidRDefault="008D4359" w:rsidP="008D4359">
      <w:pPr>
        <w:spacing w:after="0" w:line="276" w:lineRule="auto"/>
        <w:jc w:val="both"/>
        <w:rPr>
          <w:rFonts w:ascii="Verdana" w:eastAsia="Calibri" w:hAnsi="Verdana" w:cs="Arial"/>
          <w:color w:val="7030A0"/>
          <w:lang w:val="es-ES"/>
        </w:rPr>
      </w:pPr>
    </w:p>
    <w:p w14:paraId="7627A22E" w14:textId="77777777" w:rsidR="008D4359" w:rsidRDefault="008D4359" w:rsidP="008D4359">
      <w:pPr>
        <w:spacing w:after="0" w:line="276" w:lineRule="auto"/>
        <w:jc w:val="both"/>
        <w:rPr>
          <w:rFonts w:ascii="Verdana" w:eastAsia="Calibri" w:hAnsi="Verdana" w:cs="Arial"/>
          <w:lang w:val="es-ES"/>
        </w:rPr>
      </w:pPr>
      <w:r w:rsidRPr="00B96799">
        <w:rPr>
          <w:rFonts w:ascii="Verdana" w:eastAsia="Calibri" w:hAnsi="Verdana" w:cs="Arial"/>
          <w:lang w:val="es-ES"/>
        </w:rPr>
        <w:t>Lo anterior se sustenta en las siguientes consideraciones:</w:t>
      </w:r>
    </w:p>
    <w:p w14:paraId="6985AB94" w14:textId="77777777" w:rsidR="008D4359" w:rsidRPr="00415608" w:rsidRDefault="008D4359" w:rsidP="008D4359">
      <w:pPr>
        <w:spacing w:after="0" w:line="276" w:lineRule="auto"/>
        <w:jc w:val="both"/>
        <w:rPr>
          <w:rFonts w:ascii="Verdana" w:eastAsia="Calibri" w:hAnsi="Verdana" w:cs="Arial"/>
          <w:lang w:val="es-ES"/>
        </w:rPr>
      </w:pPr>
    </w:p>
    <w:p w14:paraId="48144A1F" w14:textId="77777777" w:rsidR="008D4359" w:rsidRPr="004C544B" w:rsidRDefault="008D4359" w:rsidP="008D4359">
      <w:pPr>
        <w:spacing w:after="0" w:line="276" w:lineRule="auto"/>
        <w:jc w:val="both"/>
        <w:rPr>
          <w:rFonts w:ascii="Verdana" w:hAnsi="Verdana" w:cs="Arial"/>
        </w:rPr>
      </w:pPr>
      <w:r w:rsidRPr="004C544B">
        <w:rPr>
          <w:rFonts w:ascii="Verdana" w:eastAsia="Calibri" w:hAnsi="Verdana" w:cs="Arial"/>
          <w:bCs/>
          <w:color w:val="000000" w:themeColor="text1"/>
        </w:rPr>
        <w:t>Conforme a los artículos 887 y siguientes del Código de Comercio, la cesión de los contratos juega un papel importante en la gestión de los intereses patrimoniales de los sujetos de derecho privado, ya que –a diferencia de la regulada en los artículos 1959 y siguientes del Código Civil– facilita el tráfico jurídico tanto de los derechos como de las obligaciones surgidos con ocasión del acuerdo de voluntades, lo que permite su transferencia total o parcial a terceros como negocio generador de riqueza</w:t>
      </w:r>
      <w:r w:rsidRPr="004C544B">
        <w:rPr>
          <w:rStyle w:val="Refdenotaalpie"/>
          <w:rFonts w:ascii="Verdana" w:eastAsia="Calibri" w:hAnsi="Verdana" w:cs="Arial"/>
          <w:bCs/>
          <w:color w:val="000000" w:themeColor="text1"/>
        </w:rPr>
        <w:footnoteReference w:id="1"/>
      </w:r>
      <w:r w:rsidRPr="004C544B">
        <w:rPr>
          <w:rFonts w:ascii="Verdana" w:eastAsia="Calibri" w:hAnsi="Verdana" w:cs="Arial"/>
          <w:bCs/>
          <w:color w:val="000000" w:themeColor="text1"/>
        </w:rPr>
        <w:t>.</w:t>
      </w:r>
      <w:r w:rsidRPr="004C544B">
        <w:rPr>
          <w:rFonts w:ascii="Verdana" w:eastAsia="Calibri" w:hAnsi="Verdana" w:cs="Arial"/>
          <w:color w:val="000000" w:themeColor="text1"/>
        </w:rPr>
        <w:t xml:space="preserve"> </w:t>
      </w:r>
      <w:r w:rsidRPr="004C544B">
        <w:rPr>
          <w:rFonts w:ascii="Verdana" w:hAnsi="Verdana" w:cs="Arial"/>
        </w:rPr>
        <w:t>Para la doctrina:</w:t>
      </w:r>
    </w:p>
    <w:p w14:paraId="4D6C5CAE" w14:textId="77777777" w:rsidR="008D4359" w:rsidRPr="004C544B" w:rsidRDefault="008D4359" w:rsidP="008D4359">
      <w:pPr>
        <w:spacing w:after="0" w:line="276" w:lineRule="auto"/>
        <w:ind w:firstLine="708"/>
        <w:jc w:val="both"/>
        <w:rPr>
          <w:rFonts w:ascii="Verdana" w:hAnsi="Verdana" w:cs="Arial"/>
        </w:rPr>
      </w:pPr>
    </w:p>
    <w:p w14:paraId="512C5BBF" w14:textId="77777777" w:rsidR="008D4359" w:rsidRPr="004C544B" w:rsidRDefault="008D4359" w:rsidP="008D4359">
      <w:pPr>
        <w:spacing w:after="120" w:line="240" w:lineRule="auto"/>
        <w:ind w:left="709" w:right="709"/>
        <w:jc w:val="both"/>
        <w:rPr>
          <w:rFonts w:ascii="Verdana" w:eastAsia="Calibri" w:hAnsi="Verdana" w:cs="Arial"/>
          <w:color w:val="000000" w:themeColor="text1"/>
          <w:sz w:val="21"/>
          <w:szCs w:val="21"/>
        </w:rPr>
      </w:pPr>
      <w:r w:rsidRPr="004C544B">
        <w:rPr>
          <w:rFonts w:ascii="Verdana" w:hAnsi="Verdana" w:cs="Arial"/>
          <w:sz w:val="21"/>
          <w:szCs w:val="21"/>
        </w:rPr>
        <w:t xml:space="preserve">“La cesión de contrato (presupuesto éste último como </w:t>
      </w:r>
      <w:r w:rsidRPr="004C544B">
        <w:rPr>
          <w:rFonts w:ascii="Verdana" w:hAnsi="Verdana" w:cs="Arial"/>
          <w:i/>
          <w:iCs/>
          <w:sz w:val="21"/>
          <w:szCs w:val="21"/>
        </w:rPr>
        <w:t>bilateral</w:t>
      </w:r>
      <w:r w:rsidRPr="004C544B">
        <w:rPr>
          <w:rFonts w:ascii="Verdana" w:hAnsi="Verdana" w:cs="Arial"/>
          <w:sz w:val="21"/>
          <w:szCs w:val="21"/>
        </w:rPr>
        <w:t xml:space="preserve">, al menos en la configuración típica de la institución) es el instrumento que permite realizar la llamada </w:t>
      </w:r>
      <w:r w:rsidRPr="004C544B">
        <w:rPr>
          <w:rFonts w:ascii="Verdana" w:hAnsi="Verdana" w:cs="Arial"/>
          <w:i/>
          <w:iCs/>
          <w:sz w:val="21"/>
          <w:szCs w:val="21"/>
        </w:rPr>
        <w:t>circulación del contrato</w:t>
      </w:r>
      <w:r w:rsidRPr="004C544B">
        <w:rPr>
          <w:rFonts w:ascii="Verdana" w:hAnsi="Verdana" w:cs="Arial"/>
          <w:sz w:val="21"/>
          <w:szCs w:val="21"/>
        </w:rPr>
        <w:t xml:space="preserve">, es decir, la </w:t>
      </w:r>
      <w:r w:rsidRPr="004C544B">
        <w:rPr>
          <w:rFonts w:ascii="Verdana" w:hAnsi="Verdana" w:cs="Arial"/>
          <w:sz w:val="21"/>
          <w:szCs w:val="21"/>
        </w:rPr>
        <w:lastRenderedPageBreak/>
        <w:t xml:space="preserve">transferencia negocial a un tercero (llamado </w:t>
      </w:r>
      <w:r w:rsidRPr="004C544B">
        <w:rPr>
          <w:rFonts w:ascii="Verdana" w:hAnsi="Verdana" w:cs="Arial"/>
          <w:i/>
          <w:iCs/>
          <w:sz w:val="21"/>
          <w:szCs w:val="21"/>
        </w:rPr>
        <w:t>cesionario</w:t>
      </w:r>
      <w:r w:rsidRPr="004C544B">
        <w:rPr>
          <w:rFonts w:ascii="Verdana" w:hAnsi="Verdana" w:cs="Arial"/>
          <w:sz w:val="21"/>
          <w:szCs w:val="21"/>
        </w:rPr>
        <w:t xml:space="preserve">) del conjunto de posiciones contractuales (entendido como resultante unitario de derechos y obligaciones orgánicamente interdependientes), constituida en la persona de uno de los originarios contratantes (llamado </w:t>
      </w:r>
      <w:r w:rsidRPr="004C544B">
        <w:rPr>
          <w:rFonts w:ascii="Verdana" w:hAnsi="Verdana" w:cs="Arial"/>
          <w:i/>
          <w:iCs/>
          <w:sz w:val="21"/>
          <w:szCs w:val="21"/>
        </w:rPr>
        <w:t>cedente</w:t>
      </w:r>
      <w:r w:rsidRPr="004C544B">
        <w:rPr>
          <w:rFonts w:ascii="Verdana" w:hAnsi="Verdana" w:cs="Arial"/>
          <w:sz w:val="21"/>
          <w:szCs w:val="21"/>
        </w:rPr>
        <w:t xml:space="preserve">); de tal forma que, a través de esa sustitución </w:t>
      </w:r>
      <w:r w:rsidRPr="004C544B">
        <w:rPr>
          <w:rFonts w:ascii="Verdana" w:hAnsi="Verdana" w:cs="Arial"/>
          <w:i/>
          <w:iCs/>
          <w:sz w:val="21"/>
          <w:szCs w:val="21"/>
        </w:rPr>
        <w:t>negocial</w:t>
      </w:r>
      <w:r w:rsidRPr="004C544B">
        <w:rPr>
          <w:rFonts w:ascii="Verdana" w:hAnsi="Verdana" w:cs="Arial"/>
          <w:sz w:val="21"/>
          <w:szCs w:val="21"/>
        </w:rPr>
        <w:t xml:space="preserve"> del tercero en la posición de ‘parte’ del contrato, en lugar del cedente, dicho tercero </w:t>
      </w:r>
      <w:proofErr w:type="spellStart"/>
      <w:r w:rsidRPr="004C544B">
        <w:rPr>
          <w:rFonts w:ascii="Verdana" w:hAnsi="Verdana" w:cs="Arial"/>
          <w:sz w:val="21"/>
          <w:szCs w:val="21"/>
        </w:rPr>
        <w:t>subentra</w:t>
      </w:r>
      <w:proofErr w:type="spellEnd"/>
      <w:r w:rsidRPr="004C544B">
        <w:rPr>
          <w:rFonts w:ascii="Verdana" w:hAnsi="Verdana" w:cs="Arial"/>
          <w:sz w:val="21"/>
          <w:szCs w:val="21"/>
        </w:rPr>
        <w:t xml:space="preserve"> en la totalidad de los derechos y obligaciones que en su orgánica interdependencia se derivan del contrato estipulado por el cedente.</w:t>
      </w:r>
    </w:p>
    <w:p w14:paraId="2DC894BD" w14:textId="77777777" w:rsidR="008D4359" w:rsidRPr="004C544B" w:rsidRDefault="008D4359" w:rsidP="008D4359">
      <w:pPr>
        <w:spacing w:after="0" w:line="240" w:lineRule="auto"/>
        <w:ind w:left="709" w:right="709"/>
        <w:jc w:val="both"/>
        <w:rPr>
          <w:rFonts w:ascii="Verdana" w:hAnsi="Verdana" w:cs="Arial"/>
          <w:sz w:val="21"/>
          <w:szCs w:val="21"/>
        </w:rPr>
      </w:pPr>
      <w:r w:rsidRPr="004C544B">
        <w:rPr>
          <w:rFonts w:ascii="Verdana" w:hAnsi="Verdana" w:cs="Arial"/>
          <w:sz w:val="21"/>
          <w:szCs w:val="21"/>
        </w:rPr>
        <w:t xml:space="preserve">A este respecto justamente se ha notado que el tráfico considera aquí los contratos sobre todo como </w:t>
      </w:r>
      <w:r w:rsidRPr="004C544B">
        <w:rPr>
          <w:rFonts w:ascii="Verdana" w:hAnsi="Verdana" w:cs="Arial"/>
          <w:i/>
          <w:iCs/>
          <w:sz w:val="21"/>
          <w:szCs w:val="21"/>
        </w:rPr>
        <w:t>valores económicos</w:t>
      </w:r>
      <w:r w:rsidRPr="004C544B">
        <w:rPr>
          <w:rFonts w:ascii="Verdana" w:hAnsi="Verdana" w:cs="Arial"/>
          <w:sz w:val="21"/>
          <w:szCs w:val="21"/>
        </w:rPr>
        <w:t xml:space="preserve">, idóneos como tales para una determinada forma de circulación: en consideración a la utilidad futura a que el contrato está encaminado a procurar, la práctica atribuye al mismo contrato un valor económico actual, considerándolo, por tanto, como un bien capaz de circular. Ahora bien; el Derecho apresta, precisamente, el instrumento para tal circulación en cuanto admite que uno de los originarios contratantes pueda transferir a un tercero, con el consentimiento imprescindible del otro contratante original (llamado </w:t>
      </w:r>
      <w:r w:rsidRPr="004C544B">
        <w:rPr>
          <w:rFonts w:ascii="Verdana" w:hAnsi="Verdana" w:cs="Arial"/>
          <w:i/>
          <w:iCs/>
          <w:sz w:val="21"/>
          <w:szCs w:val="21"/>
        </w:rPr>
        <w:t>contratante cedido</w:t>
      </w:r>
      <w:r w:rsidRPr="004C544B">
        <w:rPr>
          <w:rFonts w:ascii="Verdana" w:hAnsi="Verdana" w:cs="Arial"/>
          <w:sz w:val="21"/>
          <w:szCs w:val="21"/>
        </w:rPr>
        <w:t>), la relación contractual entera, como conjunto de derecho y obligaciones, como única resultante de elementos activos y pasivos […]”</w:t>
      </w:r>
      <w:r w:rsidRPr="004C544B">
        <w:rPr>
          <w:rStyle w:val="Refdenotaalpie"/>
          <w:rFonts w:ascii="Verdana" w:hAnsi="Verdana" w:cs="Arial"/>
          <w:color w:val="000000" w:themeColor="text1"/>
          <w:sz w:val="21"/>
          <w:szCs w:val="21"/>
        </w:rPr>
        <w:footnoteReference w:id="2"/>
      </w:r>
      <w:r w:rsidRPr="004C544B">
        <w:rPr>
          <w:rFonts w:ascii="Verdana" w:hAnsi="Verdana" w:cs="Arial"/>
          <w:sz w:val="21"/>
          <w:szCs w:val="21"/>
        </w:rPr>
        <w:t>.</w:t>
      </w:r>
    </w:p>
    <w:p w14:paraId="02FEF526" w14:textId="77777777" w:rsidR="008D4359" w:rsidRPr="004C544B" w:rsidRDefault="008D4359" w:rsidP="008D4359">
      <w:pPr>
        <w:spacing w:after="0" w:line="276" w:lineRule="auto"/>
        <w:ind w:left="709" w:right="709"/>
        <w:jc w:val="both"/>
        <w:rPr>
          <w:rFonts w:ascii="Verdana" w:eastAsia="Calibri" w:hAnsi="Verdana" w:cs="Arial"/>
          <w:color w:val="000000" w:themeColor="text1"/>
        </w:rPr>
      </w:pPr>
    </w:p>
    <w:p w14:paraId="0A0F6828" w14:textId="77777777" w:rsidR="008D4359" w:rsidRPr="004C544B" w:rsidRDefault="008D4359" w:rsidP="008D4359">
      <w:pPr>
        <w:spacing w:after="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La cesión de la posición contractual puede entenderse como un acto y como un efecto. Por un lado, “[…] es el contrato con el cual el cedente, parte de otro contrato ya en curso con otro sujeto (cedido), transfiere la relativa posición contractual (en sus componentes activos y pasivos) al cesionario, el cual le </w:t>
      </w:r>
      <w:proofErr w:type="spellStart"/>
      <w:r w:rsidRPr="004C544B">
        <w:rPr>
          <w:rFonts w:ascii="Verdana" w:eastAsia="Calibri" w:hAnsi="Verdana" w:cs="Arial"/>
          <w:color w:val="000000" w:themeColor="text1"/>
        </w:rPr>
        <w:t>subentra</w:t>
      </w:r>
      <w:proofErr w:type="spellEnd"/>
      <w:r w:rsidRPr="004C544B">
        <w:rPr>
          <w:rFonts w:ascii="Verdana" w:eastAsia="Calibri" w:hAnsi="Verdana" w:cs="Arial"/>
          <w:color w:val="000000" w:themeColor="text1"/>
        </w:rPr>
        <w:t xml:space="preserve"> en la relación con el cedido […]”</w:t>
      </w:r>
      <w:r w:rsidRPr="004C544B">
        <w:rPr>
          <w:rStyle w:val="Refdenotaalpie"/>
          <w:rFonts w:ascii="Verdana" w:eastAsia="Calibri" w:hAnsi="Verdana" w:cs="Arial"/>
          <w:color w:val="000000" w:themeColor="text1"/>
        </w:rPr>
        <w:footnoteReference w:id="3"/>
      </w:r>
      <w:r w:rsidRPr="004C544B">
        <w:rPr>
          <w:rFonts w:ascii="Verdana" w:eastAsia="Calibri" w:hAnsi="Verdana" w:cs="Arial"/>
          <w:color w:val="000000" w:themeColor="text1"/>
        </w:rPr>
        <w:t xml:space="preserve">. Por otro, “[…] es la transferencia de la posición contractual de un contratante a otro sujeto, que le </w:t>
      </w:r>
      <w:proofErr w:type="spellStart"/>
      <w:r w:rsidRPr="004C544B">
        <w:rPr>
          <w:rFonts w:ascii="Verdana" w:eastAsia="Calibri" w:hAnsi="Verdana" w:cs="Arial"/>
          <w:color w:val="000000" w:themeColor="text1"/>
        </w:rPr>
        <w:t>subentra</w:t>
      </w:r>
      <w:proofErr w:type="spellEnd"/>
      <w:r w:rsidRPr="004C544B">
        <w:rPr>
          <w:rFonts w:ascii="Verdana" w:eastAsia="Calibri" w:hAnsi="Verdana" w:cs="Arial"/>
          <w:color w:val="000000" w:themeColor="text1"/>
        </w:rPr>
        <w:t xml:space="preserve"> en la relación con la contraparte […]”</w:t>
      </w:r>
      <w:r w:rsidRPr="004C544B">
        <w:rPr>
          <w:rStyle w:val="Refdenotaalpie"/>
          <w:rFonts w:ascii="Verdana" w:eastAsia="Calibri" w:hAnsi="Verdana" w:cs="Arial"/>
          <w:color w:val="000000" w:themeColor="text1"/>
        </w:rPr>
        <w:footnoteReference w:id="4"/>
      </w:r>
      <w:r w:rsidRPr="004C544B">
        <w:rPr>
          <w:rFonts w:ascii="Verdana" w:eastAsia="Calibri" w:hAnsi="Verdana" w:cs="Arial"/>
          <w:color w:val="000000" w:themeColor="text1"/>
        </w:rPr>
        <w:t xml:space="preserve">. De esta manera, </w:t>
      </w:r>
      <w:r w:rsidRPr="004C544B">
        <w:rPr>
          <w:rFonts w:ascii="Verdana" w:hAnsi="Verdana" w:cs="Arial"/>
          <w:color w:val="000000" w:themeColor="text1"/>
        </w:rPr>
        <w:t xml:space="preserve">concurren tres (3) sujetos: i) el cedente, esto es, el contratista inicial; </w:t>
      </w:r>
      <w:proofErr w:type="spellStart"/>
      <w:r w:rsidRPr="004C544B">
        <w:rPr>
          <w:rFonts w:ascii="Verdana" w:hAnsi="Verdana" w:cs="Arial"/>
          <w:color w:val="000000" w:themeColor="text1"/>
        </w:rPr>
        <w:t>ii</w:t>
      </w:r>
      <w:proofErr w:type="spellEnd"/>
      <w:r w:rsidRPr="004C544B">
        <w:rPr>
          <w:rFonts w:ascii="Verdana" w:hAnsi="Verdana" w:cs="Arial"/>
          <w:color w:val="000000" w:themeColor="text1"/>
        </w:rPr>
        <w:t xml:space="preserve">) el cesionario, es decir, quien asume total o parcialmente los derechos y obligaciones de este último; y </w:t>
      </w:r>
      <w:proofErr w:type="spellStart"/>
      <w:r w:rsidRPr="004C544B">
        <w:rPr>
          <w:rFonts w:ascii="Verdana" w:hAnsi="Verdana" w:cs="Arial"/>
          <w:color w:val="000000" w:themeColor="text1"/>
        </w:rPr>
        <w:t>iii</w:t>
      </w:r>
      <w:proofErr w:type="spellEnd"/>
      <w:r w:rsidRPr="004C544B">
        <w:rPr>
          <w:rFonts w:ascii="Verdana" w:hAnsi="Verdana" w:cs="Arial"/>
          <w:color w:val="000000" w:themeColor="text1"/>
        </w:rPr>
        <w:t xml:space="preserve">) el cedido que, en el caso de los contratos estatales, sería la entidad que suscribió el contrato. </w:t>
      </w:r>
      <w:r w:rsidRPr="004C544B">
        <w:rPr>
          <w:rFonts w:ascii="Verdana" w:eastAsia="Calibri" w:hAnsi="Verdana" w:cs="Arial"/>
          <w:color w:val="000000" w:themeColor="text1"/>
        </w:rPr>
        <w:t xml:space="preserve">Por tanto, la cesión de contrato es una figura jurídica por la que terceros ajenos a los contratantes iniciales participan en negocios que están ejecutando cuando no se hayan cumplido la totalidad de las obligaciones, </w:t>
      </w:r>
      <w:r w:rsidRPr="004C544B">
        <w:rPr>
          <w:rFonts w:ascii="Verdana" w:eastAsia="Calibri" w:hAnsi="Verdana" w:cs="Arial"/>
          <w:color w:val="000000" w:themeColor="text1"/>
        </w:rPr>
        <w:lastRenderedPageBreak/>
        <w:t>permitiendo que sean éstos quienes realicen las prestaciones faltantes. En efecto:</w:t>
      </w:r>
    </w:p>
    <w:p w14:paraId="0C1B869A" w14:textId="77777777" w:rsidR="008D4359" w:rsidRPr="004C544B" w:rsidRDefault="008D4359" w:rsidP="008D4359">
      <w:pPr>
        <w:spacing w:after="0" w:line="276" w:lineRule="auto"/>
        <w:ind w:firstLine="708"/>
        <w:jc w:val="both"/>
        <w:rPr>
          <w:rFonts w:ascii="Verdana" w:hAnsi="Verdana" w:cs="Arial"/>
          <w:color w:val="000000" w:themeColor="text1"/>
        </w:rPr>
      </w:pPr>
    </w:p>
    <w:p w14:paraId="170771AB" w14:textId="77777777" w:rsidR="008D4359" w:rsidRPr="004C544B" w:rsidRDefault="008D4359" w:rsidP="008D4359">
      <w:pPr>
        <w:tabs>
          <w:tab w:val="left" w:pos="709"/>
        </w:tabs>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t>“[…] cuando lo que se cede (o asume) es un contrato, el punto de partida es la presencia de uno o varios créditos y otras tantas obligaciones, entrelazadas en términos de correlatividad y consideradas, tratadas y dispuestas como una unidad, o sea: el objeto de la operación es el traspaso simultáneo de unos créditos y de las obligaciones recíprocas, surgidos a una de un mismo contrato, por parte de uno de los contratantes a un tercero, esto es, en últimas, la transferencia de una posición o relación contractual, cuyo resultado es la sustitución de una de las partes (acreedora-deudora) […]”</w:t>
      </w:r>
      <w:r w:rsidRPr="004C544B">
        <w:rPr>
          <w:rStyle w:val="Refdenotaalpie"/>
          <w:rFonts w:ascii="Verdana" w:eastAsia="Calibri" w:hAnsi="Verdana" w:cs="Arial"/>
          <w:color w:val="000000" w:themeColor="text1"/>
          <w:sz w:val="21"/>
          <w:szCs w:val="21"/>
        </w:rPr>
        <w:footnoteReference w:id="5"/>
      </w:r>
      <w:r w:rsidRPr="004C544B">
        <w:rPr>
          <w:rFonts w:ascii="Verdana" w:eastAsia="Calibri" w:hAnsi="Verdana" w:cs="Arial"/>
          <w:color w:val="000000" w:themeColor="text1"/>
          <w:sz w:val="21"/>
          <w:szCs w:val="21"/>
        </w:rPr>
        <w:t>.</w:t>
      </w:r>
    </w:p>
    <w:p w14:paraId="13A06C64" w14:textId="77777777" w:rsidR="008D4359" w:rsidRPr="004C544B" w:rsidRDefault="008D4359" w:rsidP="008D4359">
      <w:pPr>
        <w:tabs>
          <w:tab w:val="left" w:pos="709"/>
        </w:tabs>
        <w:spacing w:after="0" w:line="276" w:lineRule="auto"/>
        <w:ind w:left="709" w:right="709"/>
        <w:jc w:val="both"/>
        <w:rPr>
          <w:rFonts w:ascii="Verdana" w:eastAsia="Calibri" w:hAnsi="Verdana" w:cs="Arial"/>
          <w:color w:val="000000" w:themeColor="text1"/>
        </w:rPr>
      </w:pPr>
    </w:p>
    <w:p w14:paraId="0C6AFEEA" w14:textId="77777777" w:rsidR="008D4359" w:rsidRPr="004C544B" w:rsidRDefault="008D4359" w:rsidP="008D4359">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Tratándose de la cesión de contratos estatales, conforme a la regulación del EGCAP, confluyen una mixtura entre el derecho público y privado en su regulación. En efecto, i) los contratos estatales se regirán por las normas comerciales y civiles pertinentes, salvo en lo concerniente a las materias particularmente reguladas en dicha ley, de acuerdo con lo prescrito en el inciso primero del artículo 13 de la Ley 80 de 1993, por lo que deben observarse en primer término las disposiciones establecidas en el EGCAP; </w:t>
      </w:r>
      <w:proofErr w:type="spellStart"/>
      <w:r w:rsidRPr="004C544B">
        <w:rPr>
          <w:rFonts w:ascii="Verdana" w:eastAsia="Calibri" w:hAnsi="Verdana" w:cs="Arial"/>
          <w:color w:val="000000" w:themeColor="text1"/>
        </w:rPr>
        <w:t>ii</w:t>
      </w:r>
      <w:proofErr w:type="spellEnd"/>
      <w:r w:rsidRPr="004C544B">
        <w:rPr>
          <w:rFonts w:ascii="Verdana" w:eastAsia="Calibri" w:hAnsi="Verdana" w:cs="Arial"/>
          <w:color w:val="000000" w:themeColor="text1"/>
        </w:rPr>
        <w:t xml:space="preserve">) corresponderán como actos jurídicos bilaterales generadores de obligaciones, entre otros, a los previstos en el derecho privado, en los términos del artículo 32 </w:t>
      </w:r>
      <w:r w:rsidRPr="004C544B">
        <w:rPr>
          <w:rFonts w:ascii="Verdana" w:eastAsia="Calibri" w:hAnsi="Verdana" w:cs="Arial"/>
          <w:i/>
          <w:iCs/>
          <w:color w:val="000000" w:themeColor="text1"/>
        </w:rPr>
        <w:t>ibidem</w:t>
      </w:r>
      <w:r w:rsidRPr="004C544B">
        <w:rPr>
          <w:rFonts w:ascii="Verdana" w:eastAsia="Calibri" w:hAnsi="Verdana" w:cs="Arial"/>
          <w:color w:val="000000" w:themeColor="text1"/>
        </w:rPr>
        <w:t xml:space="preserve">; y </w:t>
      </w:r>
      <w:proofErr w:type="spellStart"/>
      <w:r w:rsidRPr="004C544B">
        <w:rPr>
          <w:rFonts w:ascii="Verdana" w:eastAsia="Calibri" w:hAnsi="Verdana" w:cs="Arial"/>
          <w:color w:val="000000" w:themeColor="text1"/>
        </w:rPr>
        <w:t>iii</w:t>
      </w:r>
      <w:proofErr w:type="spellEnd"/>
      <w:r w:rsidRPr="004C544B">
        <w:rPr>
          <w:rFonts w:ascii="Verdana" w:eastAsia="Calibri" w:hAnsi="Verdana" w:cs="Arial"/>
          <w:color w:val="000000" w:themeColor="text1"/>
        </w:rPr>
        <w:t xml:space="preserve">) contendrán las estipulaciones que, de acuerdo con las normas civiles, comerciales y las previstas en esta ley, correspondan a su esencia y naturaleza, conforme a lo dispuesto por el artículo 40 </w:t>
      </w:r>
      <w:r w:rsidRPr="004C544B">
        <w:rPr>
          <w:rFonts w:ascii="Verdana" w:eastAsia="Calibri" w:hAnsi="Verdana" w:cs="Arial"/>
          <w:i/>
          <w:iCs/>
          <w:color w:val="000000" w:themeColor="text1"/>
        </w:rPr>
        <w:t>ibidem</w:t>
      </w:r>
      <w:r w:rsidRPr="004C544B">
        <w:rPr>
          <w:rFonts w:ascii="Verdana" w:eastAsia="Calibri" w:hAnsi="Verdana" w:cs="Arial"/>
          <w:color w:val="000000" w:themeColor="text1"/>
        </w:rPr>
        <w:t xml:space="preserve">. </w:t>
      </w:r>
    </w:p>
    <w:p w14:paraId="7FC20E87" w14:textId="77777777" w:rsidR="008D4359" w:rsidRPr="004C544B" w:rsidRDefault="008D4359" w:rsidP="008D4359">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En este sentido, el Estatuto General de Contratación de la Administración Pública establece disposiciones específicas relativas a la figura de la cesión contractual. En principio, si bien rigen las normas relativas a la cesión del contrato contenidas en sus artículos 887 y siguientes del Código de Comercio, su aplicación procede ante la ausencia de norma que de manera particular regule el asunto frente a la categoría especial del contrato estatal.</w:t>
      </w:r>
    </w:p>
    <w:p w14:paraId="52B441BC" w14:textId="77777777" w:rsidR="008D4359" w:rsidRPr="004C544B" w:rsidRDefault="008D4359" w:rsidP="008D4359">
      <w:pPr>
        <w:tabs>
          <w:tab w:val="left" w:pos="709"/>
        </w:tabs>
        <w:spacing w:after="120" w:line="276" w:lineRule="auto"/>
        <w:jc w:val="both"/>
        <w:rPr>
          <w:rFonts w:ascii="Verdana" w:eastAsia="Calibri" w:hAnsi="Verdana" w:cs="Arial"/>
          <w:color w:val="000000" w:themeColor="text1"/>
        </w:rPr>
      </w:pPr>
      <w:r w:rsidRPr="004C544B">
        <w:rPr>
          <w:rFonts w:ascii="Verdana" w:eastAsia="Calibri" w:hAnsi="Verdana" w:cs="Arial"/>
          <w:color w:val="000000" w:themeColor="text1"/>
        </w:rPr>
        <w:lastRenderedPageBreak/>
        <w:tab/>
        <w:t>Por ello, es pertinente indicar que el Decreto Ley 410 de 1971 contempla ciertas disposiciones que no se encuentran en la Ley 80 de 1993, lo que conlleva su aplicación en materia de contratos estatales. Por ejemplo, el artículo 890 establece lo relativo a la responsabilidad del cedente frente al cesionario y en torno a la existencia, validez y garantías del contrato cedido</w:t>
      </w:r>
      <w:r w:rsidRPr="004C544B">
        <w:rPr>
          <w:rStyle w:val="Refdenotaalpie"/>
          <w:rFonts w:ascii="Verdana" w:eastAsia="Calibri" w:hAnsi="Verdana" w:cs="Arial"/>
          <w:color w:val="000000" w:themeColor="text1"/>
        </w:rPr>
        <w:footnoteReference w:id="6"/>
      </w:r>
      <w:r w:rsidRPr="004C544B">
        <w:rPr>
          <w:rFonts w:ascii="Verdana" w:eastAsia="Calibri" w:hAnsi="Verdana" w:cs="Arial"/>
          <w:color w:val="000000" w:themeColor="text1"/>
        </w:rPr>
        <w:t>. Por otra parte, el artículo 891 obliga al cesionario a avisar al cedente de la mora o el incumplimiento dentro de los 10 días siguientes, siempre y cuando este se haya obligado a garantizar el cumplimiento por parte del contratante cedido</w:t>
      </w:r>
      <w:r w:rsidRPr="004C544B">
        <w:rPr>
          <w:rStyle w:val="Refdenotaalpie"/>
          <w:rFonts w:ascii="Verdana" w:eastAsia="Calibri" w:hAnsi="Verdana" w:cs="Arial"/>
          <w:color w:val="000000" w:themeColor="text1"/>
        </w:rPr>
        <w:footnoteReference w:id="7"/>
      </w:r>
      <w:r w:rsidRPr="004C544B">
        <w:rPr>
          <w:rFonts w:ascii="Verdana" w:eastAsia="Calibri" w:hAnsi="Verdana" w:cs="Arial"/>
          <w:color w:val="000000" w:themeColor="text1"/>
        </w:rPr>
        <w:t>. Asimismo, los artículos 895 y 896 disponen que la cesión de un contrato implica la transferencia de las acciones, privilegios y beneficios legales inherentes a la naturaleza y condiciones del contrato, excluyendo a aquellas que sean extrañas al mismo o que se funden en el estado o calidad particular de las partes, pudiendo, el contratante cedido, oponer contra el cesionario todas las excepciones que se deriven del contrato</w:t>
      </w:r>
      <w:r w:rsidRPr="004C544B">
        <w:rPr>
          <w:rStyle w:val="Refdenotaalpie"/>
          <w:rFonts w:ascii="Verdana" w:eastAsia="Calibri" w:hAnsi="Verdana" w:cs="Arial"/>
          <w:color w:val="000000" w:themeColor="text1"/>
        </w:rPr>
        <w:footnoteReference w:id="8"/>
      </w:r>
      <w:r w:rsidRPr="004C544B">
        <w:rPr>
          <w:rFonts w:ascii="Verdana" w:eastAsia="Calibri" w:hAnsi="Verdana" w:cs="Arial"/>
          <w:color w:val="000000" w:themeColor="text1"/>
        </w:rPr>
        <w:t xml:space="preserve">. </w:t>
      </w:r>
    </w:p>
    <w:p w14:paraId="684AAA54" w14:textId="77777777" w:rsidR="008D4359" w:rsidRPr="004C544B" w:rsidRDefault="008D4359" w:rsidP="008D4359">
      <w:pPr>
        <w:tabs>
          <w:tab w:val="left" w:pos="709"/>
        </w:tabs>
        <w:spacing w:after="120" w:line="276" w:lineRule="auto"/>
        <w:jc w:val="both"/>
        <w:rPr>
          <w:rFonts w:ascii="Verdana" w:eastAsia="Calibri" w:hAnsi="Verdana" w:cs="Arial"/>
          <w:color w:val="000000" w:themeColor="text1"/>
        </w:rPr>
      </w:pPr>
      <w:r w:rsidRPr="004C544B">
        <w:rPr>
          <w:rFonts w:ascii="Verdana" w:eastAsia="Calibri" w:hAnsi="Verdana" w:cs="Arial"/>
          <w:color w:val="000000" w:themeColor="text1"/>
        </w:rPr>
        <w:tab/>
        <w:t xml:space="preserve">Al margen de estas y otras disposiciones que de manera particular consagra el Código de Comercio sobre la cesión del contrato, esta figura cuenta con algunas normas especiales en la Ley 80 de 1993. Por ejemplo, </w:t>
      </w:r>
      <w:bookmarkStart w:id="2" w:name="_Hlk79822251"/>
      <w:r w:rsidRPr="004C544B">
        <w:rPr>
          <w:rFonts w:ascii="Verdana" w:eastAsia="Calibri" w:hAnsi="Verdana" w:cs="Arial"/>
          <w:color w:val="000000" w:themeColor="text1"/>
        </w:rPr>
        <w:t>el artículo 41, inciso tercero</w:t>
      </w:r>
      <w:bookmarkEnd w:id="2"/>
      <w:r w:rsidRPr="004C544B">
        <w:rPr>
          <w:rFonts w:ascii="Verdana" w:eastAsia="Calibri" w:hAnsi="Verdana" w:cs="Arial"/>
          <w:color w:val="000000" w:themeColor="text1"/>
        </w:rPr>
        <w:t xml:space="preserve">, del EGCAP prescribe que “Los contratos estatales son </w:t>
      </w:r>
      <w:r w:rsidRPr="004C544B">
        <w:rPr>
          <w:rFonts w:ascii="Verdana" w:eastAsia="Calibri" w:hAnsi="Verdana" w:cs="Arial"/>
          <w:i/>
          <w:iCs/>
          <w:color w:val="000000" w:themeColor="text1"/>
        </w:rPr>
        <w:t xml:space="preserve">intuito </w:t>
      </w:r>
      <w:proofErr w:type="spellStart"/>
      <w:r w:rsidRPr="004C544B">
        <w:rPr>
          <w:rFonts w:ascii="Verdana" w:eastAsia="Calibri" w:hAnsi="Verdana" w:cs="Arial"/>
          <w:i/>
          <w:iCs/>
          <w:color w:val="000000" w:themeColor="text1"/>
        </w:rPr>
        <w:t>personae</w:t>
      </w:r>
      <w:proofErr w:type="spellEnd"/>
      <w:r w:rsidRPr="004C544B">
        <w:rPr>
          <w:rFonts w:ascii="Verdana" w:eastAsia="Calibri" w:hAnsi="Verdana" w:cs="Arial"/>
          <w:color w:val="000000" w:themeColor="text1"/>
        </w:rPr>
        <w:t xml:space="preserve"> y, en consecuencia, una vez celebrados no podrán cederse sin previa autorización escrita de la entidad contratante”. Esta norma contiene una prohibición general –</w:t>
      </w:r>
      <w:r w:rsidRPr="004C544B">
        <w:rPr>
          <w:rFonts w:ascii="Verdana" w:eastAsia="Calibri" w:hAnsi="Verdana" w:cs="Arial"/>
          <w:i/>
          <w:iCs/>
          <w:color w:val="000000" w:themeColor="text1"/>
        </w:rPr>
        <w:t>faceta negativa</w:t>
      </w:r>
      <w:r w:rsidRPr="004C544B">
        <w:rPr>
          <w:rFonts w:ascii="Verdana" w:eastAsia="Calibri" w:hAnsi="Verdana" w:cs="Arial"/>
          <w:color w:val="000000" w:themeColor="text1"/>
        </w:rPr>
        <w:t>– y una autorización excepcional –</w:t>
      </w:r>
      <w:r w:rsidRPr="004C544B">
        <w:rPr>
          <w:rFonts w:ascii="Verdana" w:eastAsia="Calibri" w:hAnsi="Verdana" w:cs="Arial"/>
          <w:i/>
          <w:iCs/>
          <w:color w:val="000000" w:themeColor="text1"/>
        </w:rPr>
        <w:t>faceta positiva</w:t>
      </w:r>
      <w:r w:rsidRPr="004C544B">
        <w:rPr>
          <w:rFonts w:ascii="Verdana" w:eastAsia="Calibri" w:hAnsi="Verdana" w:cs="Arial"/>
          <w:color w:val="000000" w:themeColor="text1"/>
        </w:rPr>
        <w:t>–.</w:t>
      </w:r>
    </w:p>
    <w:p w14:paraId="13753AF9" w14:textId="77777777" w:rsidR="008D4359" w:rsidRPr="004C544B" w:rsidRDefault="008D4359" w:rsidP="008D4359">
      <w:pPr>
        <w:tabs>
          <w:tab w:val="left" w:pos="709"/>
        </w:tabs>
        <w:spacing w:after="120" w:line="276" w:lineRule="auto"/>
        <w:jc w:val="both"/>
        <w:rPr>
          <w:rFonts w:ascii="Verdana" w:eastAsia="Calibri" w:hAnsi="Verdana" w:cs="Arial"/>
          <w:bCs/>
          <w:color w:val="000000" w:themeColor="text1"/>
        </w:rPr>
      </w:pPr>
      <w:r w:rsidRPr="004C544B">
        <w:rPr>
          <w:rFonts w:ascii="Verdana" w:eastAsia="Calibri" w:hAnsi="Verdana" w:cs="Arial"/>
          <w:bCs/>
          <w:color w:val="000000" w:themeColor="text1"/>
        </w:rPr>
        <w:tab/>
        <w:t xml:space="preserve">En lo que respecta a la </w:t>
      </w:r>
      <w:r w:rsidRPr="004C544B">
        <w:rPr>
          <w:rFonts w:ascii="Verdana" w:eastAsia="Calibri" w:hAnsi="Verdana" w:cs="Arial"/>
          <w:bCs/>
          <w:i/>
          <w:iCs/>
          <w:color w:val="000000" w:themeColor="text1"/>
        </w:rPr>
        <w:t>faceta negativa</w:t>
      </w:r>
      <w:r w:rsidRPr="004C544B">
        <w:rPr>
          <w:rFonts w:ascii="Verdana" w:eastAsia="Calibri" w:hAnsi="Verdana" w:cs="Arial"/>
          <w:bCs/>
          <w:color w:val="000000" w:themeColor="text1"/>
        </w:rPr>
        <w:t xml:space="preserve">, el artículo 41 del Estatuto General ordena que el contrato se ejecute con quien inicialmente se celebró el acuerdo de voluntades, pues es la persona que –de acuerdo con los criterios definidos por la entidad para la selección del contratista– resulta idónea para cumplir con las obligaciones. De esta manera, la prohibición contenida en la norma citada es </w:t>
      </w:r>
      <w:r w:rsidRPr="004C544B">
        <w:rPr>
          <w:rFonts w:ascii="Verdana" w:eastAsia="Calibri" w:hAnsi="Verdana" w:cs="Arial"/>
          <w:bCs/>
          <w:color w:val="000000" w:themeColor="text1"/>
        </w:rPr>
        <w:lastRenderedPageBreak/>
        <w:t>uno de los elementos de la naturaleza del contrato estatal, pues –conforme a lo previsto en el artículo 1501 del Código Civil– es de aquellos “[…] que no siendo esenciales en él, se entienden pertenecerle, sin necesidad de una cláusula especial […]”</w:t>
      </w:r>
      <w:r w:rsidRPr="004C544B">
        <w:rPr>
          <w:rStyle w:val="Refdenotaalpie"/>
          <w:rFonts w:ascii="Verdana" w:eastAsia="Calibri" w:hAnsi="Verdana" w:cs="Arial"/>
          <w:bCs/>
          <w:color w:val="000000" w:themeColor="text1"/>
        </w:rPr>
        <w:footnoteReference w:id="9"/>
      </w:r>
      <w:r w:rsidRPr="004C544B">
        <w:rPr>
          <w:rFonts w:ascii="Verdana" w:eastAsia="Calibri" w:hAnsi="Verdana" w:cs="Arial"/>
          <w:bCs/>
          <w:color w:val="000000" w:themeColor="text1"/>
        </w:rPr>
        <w:t xml:space="preserve">.  </w:t>
      </w:r>
    </w:p>
    <w:p w14:paraId="13642FDC" w14:textId="77777777" w:rsidR="008D4359" w:rsidRPr="004C544B" w:rsidRDefault="008D4359" w:rsidP="008D4359">
      <w:pPr>
        <w:spacing w:after="0" w:line="276" w:lineRule="auto"/>
        <w:ind w:firstLine="708"/>
        <w:jc w:val="both"/>
        <w:rPr>
          <w:rFonts w:ascii="Verdana" w:eastAsia="Calibri" w:hAnsi="Verdana" w:cs="Arial"/>
          <w:bCs/>
          <w:color w:val="000000" w:themeColor="text1"/>
        </w:rPr>
      </w:pPr>
      <w:r w:rsidRPr="004C544B">
        <w:rPr>
          <w:rFonts w:ascii="Verdana" w:eastAsia="Calibri" w:hAnsi="Verdana" w:cs="Arial"/>
          <w:bCs/>
          <w:color w:val="000000" w:themeColor="text1"/>
        </w:rPr>
        <w:t xml:space="preserve">En su </w:t>
      </w:r>
      <w:r w:rsidRPr="004C544B">
        <w:rPr>
          <w:rFonts w:ascii="Verdana" w:eastAsia="Calibri" w:hAnsi="Verdana" w:cs="Arial"/>
          <w:bCs/>
          <w:i/>
          <w:iCs/>
          <w:color w:val="000000" w:themeColor="text1"/>
        </w:rPr>
        <w:t>faceta positiva</w:t>
      </w:r>
      <w:r w:rsidRPr="004C544B">
        <w:rPr>
          <w:rFonts w:ascii="Verdana" w:eastAsia="Calibri" w:hAnsi="Verdana" w:cs="Arial"/>
          <w:bCs/>
          <w:color w:val="000000" w:themeColor="text1"/>
        </w:rPr>
        <w:t xml:space="preserve">, la Ley 80 de 1993 permite excepcionalmente la cesión del contrato estatal siempre que exista autorización previa escrita de la entidad contratante. Por ello, “[…] El cocontratante que </w:t>
      </w:r>
      <w:r w:rsidRPr="00DE5DE4">
        <w:rPr>
          <w:rFonts w:ascii="Verdana" w:eastAsia="Calibri" w:hAnsi="Verdana" w:cs="Arial"/>
          <w:bCs/>
          <w:color w:val="000000" w:themeColor="text1"/>
          <w:sz w:val="24"/>
          <w:szCs w:val="24"/>
        </w:rPr>
        <w:t>‘</w:t>
      </w:r>
      <w:r w:rsidRPr="004C544B">
        <w:rPr>
          <w:rFonts w:ascii="Verdana" w:eastAsia="Calibri" w:hAnsi="Verdana" w:cs="Arial"/>
          <w:bCs/>
          <w:i/>
          <w:iCs/>
          <w:color w:val="000000" w:themeColor="text1"/>
        </w:rPr>
        <w:t>ceda</w:t>
      </w:r>
      <w:r w:rsidRPr="00DE5DE4">
        <w:rPr>
          <w:rFonts w:ascii="Verdana" w:eastAsia="Calibri" w:hAnsi="Verdana" w:cs="Arial"/>
          <w:bCs/>
          <w:color w:val="000000" w:themeColor="text1"/>
        </w:rPr>
        <w:t>’</w:t>
      </w:r>
      <w:r w:rsidRPr="004C544B">
        <w:rPr>
          <w:rFonts w:ascii="Verdana" w:eastAsia="Calibri" w:hAnsi="Verdana" w:cs="Arial"/>
          <w:bCs/>
          <w:color w:val="000000" w:themeColor="text1"/>
        </w:rPr>
        <w:t xml:space="preserve"> el contrato sin estar autorizado para ello incurre en grave responsabilidad: su actitud implica </w:t>
      </w:r>
      <w:r>
        <w:rPr>
          <w:rFonts w:ascii="Verdana" w:eastAsia="Calibri" w:hAnsi="Verdana" w:cs="Arial"/>
          <w:bCs/>
          <w:color w:val="000000" w:themeColor="text1"/>
        </w:rPr>
        <w:t>‘</w:t>
      </w:r>
      <w:r w:rsidRPr="004C544B">
        <w:rPr>
          <w:rFonts w:ascii="Verdana" w:eastAsia="Calibri" w:hAnsi="Verdana" w:cs="Arial"/>
          <w:bCs/>
          <w:i/>
          <w:iCs/>
          <w:color w:val="000000" w:themeColor="text1"/>
        </w:rPr>
        <w:t>incumplimiento</w:t>
      </w:r>
      <w:r>
        <w:rPr>
          <w:rFonts w:ascii="Verdana" w:eastAsia="Calibri" w:hAnsi="Verdana" w:cs="Arial"/>
          <w:bCs/>
          <w:color w:val="000000" w:themeColor="text1"/>
        </w:rPr>
        <w:t>’</w:t>
      </w:r>
      <w:r w:rsidRPr="004C544B">
        <w:rPr>
          <w:rFonts w:ascii="Verdana" w:eastAsia="Calibri" w:hAnsi="Verdana" w:cs="Arial"/>
          <w:bCs/>
          <w:color w:val="000000" w:themeColor="text1"/>
        </w:rPr>
        <w:t xml:space="preserve"> del contrato; de ahí que esa cesión ilícita no resulte oponible a la Administración Pública […]”</w:t>
      </w:r>
      <w:r w:rsidRPr="004C544B">
        <w:rPr>
          <w:rStyle w:val="Refdenotaalpie"/>
          <w:rFonts w:ascii="Verdana" w:eastAsia="Calibri" w:hAnsi="Verdana" w:cs="Arial"/>
          <w:bCs/>
          <w:color w:val="000000" w:themeColor="text1"/>
        </w:rPr>
        <w:footnoteReference w:id="10"/>
      </w:r>
      <w:r w:rsidRPr="004C544B">
        <w:rPr>
          <w:rFonts w:ascii="Verdana" w:eastAsia="Calibri" w:hAnsi="Verdana" w:cs="Arial"/>
          <w:bCs/>
          <w:color w:val="000000" w:themeColor="text1"/>
        </w:rPr>
        <w:t xml:space="preserve">. Este requisito introduce un elemento especial que no está previsto en el Código de Comercio, pues en el derecho privado –salvo las excepciones previstas en la ley– la cesión requiere el acuerdo de voluntades entre el cedente y el cesionario, sin que medie la aceptación del contratante cedido. </w:t>
      </w:r>
      <w:r w:rsidRPr="004C544B">
        <w:rPr>
          <w:rFonts w:ascii="Verdana" w:eastAsia="Calibri" w:hAnsi="Verdana" w:cs="Arial"/>
          <w:color w:val="000000" w:themeColor="text1"/>
        </w:rPr>
        <w:t>En relación con lo anterior la doctrina define la cesión en los contratos estatales de la siguiente manera:</w:t>
      </w:r>
    </w:p>
    <w:p w14:paraId="058CD6C1" w14:textId="77777777" w:rsidR="008D4359" w:rsidRPr="004C544B" w:rsidRDefault="008D4359" w:rsidP="008D4359">
      <w:pPr>
        <w:spacing w:after="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 </w:t>
      </w:r>
    </w:p>
    <w:p w14:paraId="071756B3" w14:textId="77777777" w:rsidR="008D4359" w:rsidRPr="004C544B" w:rsidRDefault="008D4359" w:rsidP="008D4359">
      <w:pPr>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t xml:space="preserve">“La cesión en la contratación estatal supone, previa autorización de la entidad contratante, la sustitución </w:t>
      </w:r>
      <w:r w:rsidRPr="004C544B">
        <w:rPr>
          <w:rFonts w:ascii="Verdana" w:eastAsia="Calibri" w:hAnsi="Verdana" w:cs="Arial"/>
          <w:i/>
          <w:iCs/>
          <w:color w:val="000000" w:themeColor="text1"/>
          <w:sz w:val="21"/>
          <w:szCs w:val="21"/>
        </w:rPr>
        <w:t>in genere</w:t>
      </w:r>
      <w:r w:rsidRPr="004C544B">
        <w:rPr>
          <w:rFonts w:ascii="Verdana" w:eastAsia="Calibri" w:hAnsi="Verdana" w:cs="Arial"/>
          <w:color w:val="000000" w:themeColor="text1"/>
          <w:sz w:val="21"/>
          <w:szCs w:val="21"/>
        </w:rPr>
        <w:t>, total o parcial, de una de las partes de la relación jurídica (contratante o contratista) por un tercero, que se subroga en los derechos y obligaciones de aquella, por medio de la modificación del contrato estatal originario. La cesión posibilita el reemplazo total o parcial de una parte en su posición contractual originaria, sin que sea precisa la transferencia individual de cuantos derechos y obligaciones conforman la universalidad jurídica a ceder […]”</w:t>
      </w:r>
      <w:r w:rsidRPr="004C544B">
        <w:rPr>
          <w:rStyle w:val="Refdenotaalpie"/>
          <w:rFonts w:ascii="Verdana" w:hAnsi="Verdana" w:cs="Arial"/>
          <w:color w:val="000000" w:themeColor="text1"/>
          <w:sz w:val="21"/>
          <w:szCs w:val="21"/>
        </w:rPr>
        <w:footnoteReference w:id="11"/>
      </w:r>
      <w:r w:rsidRPr="004C544B">
        <w:rPr>
          <w:rFonts w:ascii="Verdana" w:eastAsia="Calibri" w:hAnsi="Verdana" w:cs="Arial"/>
          <w:color w:val="000000" w:themeColor="text1"/>
          <w:sz w:val="21"/>
          <w:szCs w:val="21"/>
        </w:rPr>
        <w:t>.</w:t>
      </w:r>
    </w:p>
    <w:p w14:paraId="2565C76D" w14:textId="77777777" w:rsidR="008D4359" w:rsidRPr="004C544B" w:rsidRDefault="008D4359" w:rsidP="008D4359">
      <w:pPr>
        <w:spacing w:after="0" w:line="276" w:lineRule="auto"/>
        <w:jc w:val="both"/>
        <w:rPr>
          <w:rFonts w:ascii="Verdana" w:eastAsia="Calibri" w:hAnsi="Verdana" w:cs="Arial"/>
          <w:color w:val="000000" w:themeColor="text1"/>
        </w:rPr>
      </w:pPr>
    </w:p>
    <w:p w14:paraId="4CA0757E" w14:textId="77777777" w:rsidR="008D4359" w:rsidRPr="004C544B" w:rsidRDefault="008D4359" w:rsidP="008D4359">
      <w:pPr>
        <w:spacing w:after="120" w:line="276" w:lineRule="auto"/>
        <w:ind w:firstLine="709"/>
        <w:jc w:val="both"/>
        <w:rPr>
          <w:rFonts w:ascii="Verdana" w:eastAsia="Calibri" w:hAnsi="Verdana" w:cs="Arial"/>
          <w:bCs/>
          <w:color w:val="000000" w:themeColor="text1"/>
        </w:rPr>
      </w:pPr>
      <w:r w:rsidRPr="004C544B">
        <w:rPr>
          <w:rFonts w:ascii="Verdana" w:eastAsia="Calibri" w:hAnsi="Verdana" w:cs="Arial"/>
          <w:bCs/>
          <w:color w:val="000000" w:themeColor="text1"/>
        </w:rPr>
        <w:t xml:space="preserve">Autorizada previamente por la entidad cedida, esta forma de cesión requiere la suscripción de un contrato entre el cedente y el cesionario, por lo que es bilateral en la medida en que requiere un acuerdo voluntades. Con </w:t>
      </w:r>
      <w:r w:rsidRPr="004C544B">
        <w:rPr>
          <w:rFonts w:ascii="Verdana" w:eastAsia="Calibri" w:hAnsi="Verdana" w:cs="Arial"/>
          <w:bCs/>
          <w:color w:val="000000" w:themeColor="text1"/>
        </w:rPr>
        <w:lastRenderedPageBreak/>
        <w:t>fundamento en el mismo, el cesionario reemplaza –en todo o en parte– al contratista cedente en la ejecución del contrato estatal, respondiendo por el cumplimiento de las obligaciones frente a la Administración.</w:t>
      </w:r>
      <w:r w:rsidRPr="004C544B">
        <w:rPr>
          <w:rFonts w:ascii="Verdana" w:hAnsi="Verdana"/>
        </w:rPr>
        <w:t xml:space="preserve"> </w:t>
      </w:r>
      <w:r w:rsidRPr="004C544B">
        <w:rPr>
          <w:rFonts w:ascii="Verdana" w:eastAsia="Calibri" w:hAnsi="Verdana" w:cs="Arial"/>
          <w:bCs/>
          <w:color w:val="000000" w:themeColor="text1"/>
        </w:rPr>
        <w:t>El inciso primero del artículo 888 del Código de Comercio señala que “La sustitución podrá hacerse por escrito o verbalmente, según que el contrato conste o no por escrito”. Como el contrato estatal es solemne en los términos de los artículos 39 y 41 de la Ley 80 de 1993, se impone la forma escrita para cederlo</w:t>
      </w:r>
      <w:r w:rsidRPr="004C544B">
        <w:rPr>
          <w:rFonts w:ascii="Verdana" w:eastAsia="Calibri" w:hAnsi="Verdana" w:cs="Arial"/>
          <w:color w:val="000000" w:themeColor="text1"/>
        </w:rPr>
        <w:t xml:space="preserve">. </w:t>
      </w:r>
    </w:p>
    <w:p w14:paraId="42C834E5" w14:textId="77777777" w:rsidR="008D4359" w:rsidRPr="004C544B" w:rsidRDefault="008D4359" w:rsidP="008D4359">
      <w:pPr>
        <w:tabs>
          <w:tab w:val="left" w:pos="709"/>
        </w:tabs>
        <w:spacing w:after="120" w:line="276" w:lineRule="auto"/>
        <w:jc w:val="both"/>
        <w:rPr>
          <w:rFonts w:ascii="Verdana" w:eastAsia="Calibri" w:hAnsi="Verdana" w:cs="Arial"/>
          <w:color w:val="000000" w:themeColor="text1"/>
        </w:rPr>
      </w:pPr>
      <w:bookmarkStart w:id="3" w:name="_Hlk80369799"/>
      <w:r w:rsidRPr="004C544B">
        <w:rPr>
          <w:rFonts w:ascii="Verdana" w:eastAsia="Calibri" w:hAnsi="Verdana" w:cs="Arial"/>
          <w:color w:val="000000" w:themeColor="text1"/>
        </w:rPr>
        <w:tab/>
        <w:t xml:space="preserve">Por lo demás, el Consejo de Estado ha precisado como requisitos de la cesión del contrato estatal los siguientes: i) debe recaer en un tercero; </w:t>
      </w:r>
      <w:proofErr w:type="spellStart"/>
      <w:r w:rsidRPr="004C544B">
        <w:rPr>
          <w:rFonts w:ascii="Verdana" w:eastAsia="Calibri" w:hAnsi="Verdana" w:cs="Arial"/>
          <w:color w:val="000000" w:themeColor="text1"/>
        </w:rPr>
        <w:t>ii</w:t>
      </w:r>
      <w:proofErr w:type="spellEnd"/>
      <w:r w:rsidRPr="004C544B">
        <w:rPr>
          <w:rFonts w:ascii="Verdana" w:eastAsia="Calibri" w:hAnsi="Verdana" w:cs="Arial"/>
          <w:color w:val="000000" w:themeColor="text1"/>
        </w:rPr>
        <w:t xml:space="preserve">) el cesionario debe tener capacidad jurídica para continuar con la ejecución del objeto contractual y no estar incurso en causales de inhabilidad e incompatibilidad para contratar; y </w:t>
      </w:r>
      <w:proofErr w:type="spellStart"/>
      <w:r w:rsidRPr="004C544B">
        <w:rPr>
          <w:rFonts w:ascii="Verdana" w:eastAsia="Calibri" w:hAnsi="Verdana" w:cs="Arial"/>
          <w:color w:val="000000" w:themeColor="text1"/>
        </w:rPr>
        <w:t>iii</w:t>
      </w:r>
      <w:proofErr w:type="spellEnd"/>
      <w:r w:rsidRPr="004C544B">
        <w:rPr>
          <w:rFonts w:ascii="Verdana" w:eastAsia="Calibri" w:hAnsi="Verdana" w:cs="Arial"/>
          <w:color w:val="000000" w:themeColor="text1"/>
        </w:rPr>
        <w:t>) el cesionario debe contar con capacidad técnica, económica y financiera suficientes para el cumplimiento de las obligaciones emanadas del contrato cedido. Al respecto, la Sección Tercera del Consejo de Estado ha explicado que, en la medida que el tercero cesionario asume la posición contractual del contratista cedente, las disposiciones, los pliegos de condiciones y el contrato mismo serán aplicables a quien asuma la nueva posición contractual. De esta manera, la capacidad jurídica, económica y técnica del contratista cedente se exigirá también al cesionario</w:t>
      </w:r>
      <w:bookmarkStart w:id="4" w:name="_Hlk80369829"/>
      <w:bookmarkEnd w:id="3"/>
      <w:r w:rsidRPr="004C544B">
        <w:rPr>
          <w:rFonts w:ascii="Verdana" w:eastAsia="Calibri" w:hAnsi="Verdana" w:cs="Arial"/>
          <w:color w:val="000000" w:themeColor="text1"/>
        </w:rPr>
        <w:t>, ya que “[…] el proceso cesión del contrato y las exigencias que se le impongan al tercero, no pueden alterar ni burlar los procedimientos de selección del contratista, en otras palabras, la figura de la cesión de contrato no puede servir como instrumento para desviar las obligaciones que tiene la entidad contratante de cumplimiento de los parámetros de la selección objetiva</w:t>
      </w:r>
      <w:bookmarkEnd w:id="4"/>
      <w:r w:rsidRPr="004C544B">
        <w:rPr>
          <w:rFonts w:ascii="Verdana" w:eastAsia="Calibri" w:hAnsi="Verdana" w:cs="Arial"/>
          <w:color w:val="000000" w:themeColor="text1"/>
        </w:rPr>
        <w:t>”</w:t>
      </w:r>
      <w:r w:rsidRPr="004C544B">
        <w:rPr>
          <w:rStyle w:val="Refdenotaalpie"/>
          <w:rFonts w:ascii="Verdana" w:eastAsia="Calibri" w:hAnsi="Verdana" w:cs="Arial"/>
          <w:color w:val="000000" w:themeColor="text1"/>
        </w:rPr>
        <w:footnoteReference w:id="12"/>
      </w:r>
      <w:r w:rsidRPr="004C544B">
        <w:rPr>
          <w:rFonts w:ascii="Verdana" w:eastAsia="Calibri" w:hAnsi="Verdana" w:cs="Arial"/>
          <w:color w:val="000000" w:themeColor="text1"/>
        </w:rPr>
        <w:t>.</w:t>
      </w:r>
    </w:p>
    <w:p w14:paraId="15A21208" w14:textId="77777777" w:rsidR="008D4359" w:rsidRPr="004C544B" w:rsidRDefault="008D4359" w:rsidP="008D4359">
      <w:pPr>
        <w:tabs>
          <w:tab w:val="left" w:pos="709"/>
        </w:tabs>
        <w:spacing w:after="120" w:line="276" w:lineRule="auto"/>
        <w:ind w:firstLine="709"/>
        <w:jc w:val="both"/>
        <w:rPr>
          <w:rFonts w:ascii="Verdana" w:eastAsia="Calibri" w:hAnsi="Verdana" w:cs="Arial"/>
          <w:color w:val="000000" w:themeColor="text1"/>
        </w:rPr>
      </w:pPr>
      <w:bookmarkStart w:id="5" w:name="_Hlk80369857"/>
      <w:r w:rsidRPr="004C544B">
        <w:rPr>
          <w:rFonts w:ascii="Verdana" w:eastAsia="Calibri" w:hAnsi="Verdana" w:cs="Arial"/>
          <w:color w:val="000000" w:themeColor="text1"/>
        </w:rPr>
        <w:t>Por lo tanto, la entidad estatal en el trámite de autorización de una cesión de posición contractual está obligada a respetar y dar cabal cumplimiento a los principios y normas rectoras de la contratación pública que resulten aplicables al proceso de contratación, entre otros, los principios de transparencia, selección objetiva e igualdad. En otros términos, so pretexto de una cesión contractual, no pueden vulnerarse las reglas y principios de la contratación estatal.</w:t>
      </w:r>
    </w:p>
    <w:bookmarkEnd w:id="5"/>
    <w:p w14:paraId="059A7269" w14:textId="77777777" w:rsidR="008D4359" w:rsidRPr="004C544B" w:rsidRDefault="008D4359" w:rsidP="008D4359">
      <w:pPr>
        <w:tabs>
          <w:tab w:val="left" w:pos="709"/>
        </w:tabs>
        <w:spacing w:after="0" w:line="276" w:lineRule="auto"/>
        <w:ind w:firstLine="709"/>
        <w:jc w:val="both"/>
        <w:rPr>
          <w:rFonts w:ascii="Verdana" w:eastAsia="Calibri" w:hAnsi="Verdana" w:cs="Arial"/>
          <w:color w:val="000000" w:themeColor="text1"/>
        </w:rPr>
      </w:pPr>
      <w:r w:rsidRPr="004C544B">
        <w:rPr>
          <w:rFonts w:ascii="Verdana" w:eastAsia="Calibri" w:hAnsi="Verdana" w:cs="Arial"/>
          <w:color w:val="000000" w:themeColor="text1"/>
        </w:rPr>
        <w:t xml:space="preserve">Además, el inciso primero del artículo 9 de la Ley 80 de 1993, establece una importante previsión en materia de cesión del contrato estatal, conforme a la cual “Si llegare a sobrevenir inhabilidad o incompatibilidad en el contratista, este cederá el contrato previa autorización escrita de la entidad contratante o, </w:t>
      </w:r>
      <w:r w:rsidRPr="004C544B">
        <w:rPr>
          <w:rFonts w:ascii="Verdana" w:eastAsia="Calibri" w:hAnsi="Verdana" w:cs="Arial"/>
          <w:color w:val="000000" w:themeColor="text1"/>
        </w:rPr>
        <w:lastRenderedPageBreak/>
        <w:t>si ello no fuere posible, renunciará a su ejecución”. Además, en el inciso tercero del artículo citado impone una limitación a la cesión dentro del contrato estatal, que consiste en que, si la inhabilidad o incompatibilidad sobreviene a uno de los miembros del consorcio o unión temporal, “[…] este cederá su participación a un tercero previa autorización escrita de la entidad contratante […]”, y establece que “[…] En ningún caso, podrá haber cesión del contrato entre quienes integran el consorcio o unión temporal”. En esta última hipótesis, para la doctrina no existe un tercero como requisito de la cesión, y agrega lo siguiente:</w:t>
      </w:r>
    </w:p>
    <w:p w14:paraId="1123CDC9" w14:textId="77777777" w:rsidR="008D4359" w:rsidRPr="004C544B" w:rsidRDefault="008D4359" w:rsidP="008D4359">
      <w:pPr>
        <w:tabs>
          <w:tab w:val="left" w:pos="709"/>
        </w:tabs>
        <w:spacing w:after="0" w:line="276" w:lineRule="auto"/>
        <w:jc w:val="both"/>
        <w:rPr>
          <w:rFonts w:ascii="Verdana" w:eastAsia="Calibri" w:hAnsi="Verdana" w:cs="Arial"/>
          <w:color w:val="000000" w:themeColor="text1"/>
        </w:rPr>
      </w:pPr>
    </w:p>
    <w:p w14:paraId="259A4EDE" w14:textId="77777777" w:rsidR="008D4359" w:rsidRPr="004C544B" w:rsidRDefault="008D4359" w:rsidP="008D4359">
      <w:pPr>
        <w:tabs>
          <w:tab w:val="left" w:pos="709"/>
        </w:tabs>
        <w:spacing w:after="0" w:line="240" w:lineRule="auto"/>
        <w:ind w:left="709" w:right="709"/>
        <w:jc w:val="both"/>
        <w:rPr>
          <w:rFonts w:ascii="Verdana" w:eastAsia="Calibri" w:hAnsi="Verdana" w:cs="Arial"/>
          <w:color w:val="000000" w:themeColor="text1"/>
          <w:sz w:val="21"/>
          <w:szCs w:val="21"/>
        </w:rPr>
      </w:pPr>
      <w:r w:rsidRPr="004C544B">
        <w:rPr>
          <w:rFonts w:ascii="Verdana" w:eastAsia="Calibri" w:hAnsi="Verdana" w:cs="Arial"/>
          <w:color w:val="000000" w:themeColor="text1"/>
          <w:sz w:val="21"/>
          <w:szCs w:val="21"/>
        </w:rPr>
        <w:t>“[…] supóngase que no existiera la restricción aludida; en este caso tampoco es válida la cesión en un integrante de un consorcio o unión temporal dado que los consorcios o uniones temporales no tienen personalidad jurídica, sino solo capacidad para celebrar contratos estatales, en virtud de la habilitación contenida en el artículo 6 de la Ley 80 de 1993. En estos casos se está en presencia, por tanto, de un contratista plural; esto es, la calidad de contratista se predica de cada uno de los integrantes del consorcio o unión temporal, de allí que […] no es válida la cesión en el propio contratista”</w:t>
      </w:r>
      <w:r w:rsidRPr="004C544B">
        <w:rPr>
          <w:rStyle w:val="Refdenotaalpie"/>
          <w:rFonts w:ascii="Verdana" w:eastAsia="Calibri" w:hAnsi="Verdana" w:cs="Arial"/>
          <w:color w:val="000000" w:themeColor="text1"/>
          <w:sz w:val="21"/>
          <w:szCs w:val="21"/>
        </w:rPr>
        <w:footnoteReference w:id="13"/>
      </w:r>
      <w:r w:rsidRPr="004C544B">
        <w:rPr>
          <w:rFonts w:ascii="Verdana" w:eastAsia="Calibri" w:hAnsi="Verdana" w:cs="Arial"/>
          <w:color w:val="000000" w:themeColor="text1"/>
          <w:sz w:val="21"/>
          <w:szCs w:val="21"/>
        </w:rPr>
        <w:t xml:space="preserve">.   </w:t>
      </w:r>
    </w:p>
    <w:p w14:paraId="2BD072FE" w14:textId="77777777" w:rsidR="008D4359" w:rsidRPr="004C544B" w:rsidRDefault="008D4359" w:rsidP="008D4359">
      <w:pPr>
        <w:tabs>
          <w:tab w:val="left" w:pos="709"/>
        </w:tabs>
        <w:spacing w:after="0" w:line="276" w:lineRule="auto"/>
        <w:ind w:firstLine="709"/>
        <w:jc w:val="both"/>
        <w:rPr>
          <w:rFonts w:ascii="Verdana" w:eastAsia="Calibri" w:hAnsi="Verdana" w:cs="Arial"/>
          <w:color w:val="000000" w:themeColor="text1"/>
        </w:rPr>
      </w:pPr>
    </w:p>
    <w:p w14:paraId="76D833AA" w14:textId="77777777" w:rsidR="008D4359" w:rsidRPr="003A34AF" w:rsidRDefault="008D4359" w:rsidP="008D4359">
      <w:pPr>
        <w:spacing w:line="276" w:lineRule="auto"/>
        <w:ind w:right="51" w:firstLine="709"/>
        <w:jc w:val="both"/>
        <w:rPr>
          <w:rFonts w:ascii="Verdana" w:eastAsia="Calibri" w:hAnsi="Verdana" w:cs="Arial"/>
          <w:color w:val="000000" w:themeColor="text1"/>
          <w:sz w:val="20"/>
          <w:szCs w:val="20"/>
        </w:rPr>
      </w:pPr>
      <w:bookmarkStart w:id="6" w:name="_Hlk79797430"/>
      <w:r>
        <w:rPr>
          <w:rFonts w:ascii="Verdana" w:eastAsia="Calibri" w:hAnsi="Verdana" w:cs="Arial"/>
          <w:color w:val="000000" w:themeColor="text1"/>
        </w:rPr>
        <w:t xml:space="preserve">De esta manera, si está prohibida la cesión entre quienes integren el proponente plural, significa que está permitida la cesión de sus integrantes a un tercero distinto a los miembros del consorcio o la unión temporal. Esto no es más que la aplicación del argumento </w:t>
      </w:r>
      <w:r w:rsidRPr="00E377B4">
        <w:rPr>
          <w:rFonts w:ascii="Verdana" w:eastAsia="Calibri" w:hAnsi="Verdana" w:cs="Arial"/>
          <w:i/>
          <w:iCs/>
          <w:color w:val="000000" w:themeColor="text1"/>
        </w:rPr>
        <w:t>a contrario</w:t>
      </w:r>
      <w:r>
        <w:rPr>
          <w:rFonts w:ascii="Verdana" w:eastAsia="Calibri" w:hAnsi="Verdana" w:cs="Arial"/>
          <w:color w:val="000000" w:themeColor="text1"/>
        </w:rPr>
        <w:t xml:space="preserve">, criterio hermenéutico por el cual </w:t>
      </w:r>
      <w:r w:rsidRPr="003A34AF">
        <w:rPr>
          <w:rFonts w:ascii="Verdana" w:eastAsia="Calibri" w:hAnsi="Verdana" w:cs="Arial"/>
          <w:color w:val="000000" w:themeColor="text1"/>
        </w:rPr>
        <w:t>“[…] dado un enunciado normativo que predica una cualificación normativa respecto a un término en él incluido que está por un sujeto o una clase de sujetos, debe evitarse extender el significado de ese término de modo tal que llegue a comprender a sujetos o clases de sujetos no estricta y literalmente incluidos en él de conformidad con el primer enunciado normativo</w:t>
      </w:r>
      <w:r>
        <w:rPr>
          <w:rFonts w:ascii="Verdana" w:eastAsia="Calibri" w:hAnsi="Verdana" w:cs="Arial"/>
          <w:color w:val="000000" w:themeColor="text1"/>
        </w:rPr>
        <w:t>”</w:t>
      </w:r>
      <w:r>
        <w:rPr>
          <w:rStyle w:val="Refdenotaalpie"/>
          <w:rFonts w:ascii="Verdana" w:eastAsia="Calibri" w:hAnsi="Verdana" w:cs="Arial"/>
          <w:color w:val="000000" w:themeColor="text1"/>
        </w:rPr>
        <w:footnoteReference w:id="14"/>
      </w:r>
      <w:r w:rsidRPr="003A34AF">
        <w:rPr>
          <w:rFonts w:ascii="Verdana" w:eastAsia="Calibri" w:hAnsi="Verdana" w:cs="Arial"/>
          <w:color w:val="000000" w:themeColor="text1"/>
        </w:rPr>
        <w:t>.</w:t>
      </w:r>
      <w:r>
        <w:rPr>
          <w:rFonts w:ascii="Verdana" w:eastAsia="Calibri" w:hAnsi="Verdana" w:cs="Arial"/>
          <w:color w:val="000000" w:themeColor="text1"/>
        </w:rPr>
        <w:t xml:space="preserve"> Por tanto, si dicho tercero cumple los requisitos de capacidad jurídica, no está incurso en causales de inhabilidad o incompatibilidad y, de acuerdo con los criterios previstos en el pliego de condiciones, es idóneo desde el punto de vista técnico, económico y financiero para cumplir con las obligaciones, la entidad podrá analizar la posibilidad de autorizar la cesión.    </w:t>
      </w:r>
    </w:p>
    <w:p w14:paraId="5F430634" w14:textId="77777777" w:rsidR="008D4359" w:rsidRPr="004C544B" w:rsidRDefault="008D4359" w:rsidP="008D4359">
      <w:pPr>
        <w:spacing w:line="276" w:lineRule="auto"/>
        <w:ind w:right="51" w:firstLine="709"/>
        <w:jc w:val="both"/>
        <w:rPr>
          <w:rFonts w:ascii="Verdana" w:eastAsia="Calibri" w:hAnsi="Verdana" w:cs="Arial"/>
          <w:color w:val="000000" w:themeColor="text1"/>
        </w:rPr>
      </w:pPr>
      <w:r w:rsidRPr="004C544B">
        <w:rPr>
          <w:rFonts w:ascii="Verdana" w:eastAsia="Calibri" w:hAnsi="Verdana" w:cs="Arial"/>
          <w:color w:val="000000" w:themeColor="text1"/>
        </w:rPr>
        <w:t xml:space="preserve">En suma, la Ley 80 de 1993 no reguló en su integridad la cesión del contrato, como tampoco lo hizo el Código Civil en el que se consagra la figura de la cesión de créditos –arts. 1959 y ss.–. En cambio, </w:t>
      </w:r>
      <w:bookmarkStart w:id="7" w:name="_Hlk79799730"/>
      <w:r w:rsidRPr="004C544B">
        <w:rPr>
          <w:rFonts w:ascii="Verdana" w:eastAsia="Calibri" w:hAnsi="Verdana" w:cs="Arial"/>
          <w:color w:val="000000" w:themeColor="text1"/>
        </w:rPr>
        <w:t xml:space="preserve">los artículos 887 a 896 </w:t>
      </w:r>
      <w:bookmarkEnd w:id="7"/>
      <w:r w:rsidRPr="004C544B">
        <w:rPr>
          <w:rFonts w:ascii="Verdana" w:eastAsia="Calibri" w:hAnsi="Verdana" w:cs="Arial"/>
          <w:color w:val="000000" w:themeColor="text1"/>
        </w:rPr>
        <w:lastRenderedPageBreak/>
        <w:t>del Código de Comercio definen la cesión del contrato. Por consiguiente, resultan aplicables las normas del derecho civil y comercial pertinentes, sobre cesión del crédito y cesión de contratos respectivamente, salvo en las materias particularmente reguladas por el Estatuto General de Contratación de la Administración Pública, como lo señala el artículo 13 de la Ley 80 de 1993.</w:t>
      </w:r>
      <w:r w:rsidRPr="004C544B">
        <w:rPr>
          <w:rFonts w:ascii="Verdana" w:hAnsi="Verdana" w:cs="Arial"/>
          <w:color w:val="000000" w:themeColor="text1"/>
        </w:rPr>
        <w:t xml:space="preserve"> </w:t>
      </w:r>
    </w:p>
    <w:bookmarkEnd w:id="6"/>
    <w:p w14:paraId="2951E610" w14:textId="77777777" w:rsidR="008D4359" w:rsidRPr="00DE5DE4" w:rsidRDefault="008D4359" w:rsidP="008D4359">
      <w:pPr>
        <w:spacing w:after="120" w:line="276" w:lineRule="auto"/>
        <w:ind w:firstLine="708"/>
        <w:jc w:val="both"/>
        <w:rPr>
          <w:rFonts w:ascii="Verdana" w:eastAsia="Calibri" w:hAnsi="Verdana" w:cs="Arial"/>
          <w:color w:val="000000" w:themeColor="text1"/>
        </w:rPr>
      </w:pPr>
      <w:r w:rsidRPr="004C544B">
        <w:rPr>
          <w:rFonts w:ascii="Verdana" w:eastAsia="Calibri" w:hAnsi="Verdana" w:cs="Arial"/>
          <w:color w:val="000000" w:themeColor="text1"/>
        </w:rPr>
        <w:t xml:space="preserve">De conformidad con los requisitos y las restricciones explicadas </w:t>
      </w:r>
      <w:r w:rsidRPr="004C544B">
        <w:rPr>
          <w:rFonts w:ascii="Verdana" w:eastAsia="Calibri" w:hAnsi="Verdana" w:cs="Arial"/>
          <w:i/>
          <w:iCs/>
          <w:color w:val="000000" w:themeColor="text1"/>
        </w:rPr>
        <w:t>ut supra</w:t>
      </w:r>
      <w:r w:rsidRPr="004C544B">
        <w:rPr>
          <w:rFonts w:ascii="Verdana" w:eastAsia="Calibri" w:hAnsi="Verdana" w:cs="Arial"/>
          <w:color w:val="000000" w:themeColor="text1"/>
        </w:rPr>
        <w:t>, en los contratos estatales cuya ejecución aún no haya sido cumplida en todo o en parte, el contratista podrá hacerse sustituir por un tercero en la relación derivada del contrato, quien en adelante ocupará su posición jurídica.</w:t>
      </w:r>
      <w:r w:rsidRPr="004C544B">
        <w:rPr>
          <w:rFonts w:ascii="Verdana" w:hAnsi="Verdana" w:cs="Arial"/>
          <w:color w:val="000000" w:themeColor="text1"/>
        </w:rPr>
        <w:t xml:space="preserve"> Es una de las posibilidades en las cuales existe una modificación de uno de los extremos de la relación contractual, es decir de uno de los sujetos, siempre que sea autorizada previamente por la entidad cedida, en cuyo caso requiere la suscripción de un contrato entre el cedente y el cesionario, de manera que es de carácter bilateral en la medida en que es el resultado de un acuerdo voluntades. Con fundamento en el contrato de cesión, el cesionario reemplaza –en todo o en parte– al contratista cedente en la ejecución del contrato estatal, respondiendo por el cumplimiento de las obligaciones frente a la Administración.</w:t>
      </w:r>
    </w:p>
    <w:p w14:paraId="45F3C03D" w14:textId="77777777" w:rsidR="008D4359" w:rsidRDefault="008D4359" w:rsidP="008D4359">
      <w:pPr>
        <w:spacing w:after="12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3322C87E" w14:textId="77777777" w:rsidR="008D4359" w:rsidRPr="00185EE9" w:rsidRDefault="008D4359" w:rsidP="008D4359">
      <w:pPr>
        <w:spacing w:after="0" w:line="276" w:lineRule="auto"/>
        <w:ind w:firstLine="708"/>
        <w:jc w:val="both"/>
        <w:rPr>
          <w:rFonts w:ascii="Verdana" w:eastAsia="Calibri" w:hAnsi="Verdana" w:cs="Arial"/>
          <w:bCs/>
          <w:color w:val="000000" w:themeColor="text1"/>
        </w:rPr>
      </w:pPr>
      <w:r w:rsidRPr="00E853DE">
        <w:rPr>
          <w:rFonts w:ascii="Verdana" w:eastAsia="Calibri" w:hAnsi="Verdana" w:cs="Arial"/>
          <w:bCs/>
          <w:color w:val="000000" w:themeColor="text1"/>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r w:rsidRPr="00185EE9">
        <w:rPr>
          <w:rFonts w:ascii="Verdana" w:eastAsia="Calibri" w:hAnsi="Verdana" w:cs="Arial"/>
          <w:bCs/>
          <w:color w:val="000000" w:themeColor="text1"/>
        </w:rPr>
        <w:t xml:space="preserve"> </w:t>
      </w:r>
    </w:p>
    <w:p w14:paraId="58724591" w14:textId="77777777" w:rsidR="008D4359" w:rsidRPr="00182C89" w:rsidRDefault="008D4359" w:rsidP="008D4359">
      <w:pPr>
        <w:tabs>
          <w:tab w:val="left" w:pos="709"/>
        </w:tabs>
        <w:spacing w:after="0" w:line="276" w:lineRule="auto"/>
        <w:jc w:val="both"/>
        <w:rPr>
          <w:rFonts w:ascii="Verdana" w:eastAsia="Calibri" w:hAnsi="Verdana" w:cs="Arial"/>
          <w:color w:val="000000" w:themeColor="text1"/>
        </w:rPr>
      </w:pPr>
    </w:p>
    <w:p w14:paraId="32E3A391" w14:textId="77777777" w:rsidR="008D4359" w:rsidRPr="00593A5F" w:rsidRDefault="008D4359" w:rsidP="008D43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p>
    <w:p w14:paraId="6206CDFC" w14:textId="77777777" w:rsidR="008D4359" w:rsidRPr="00593A5F" w:rsidRDefault="008D4359" w:rsidP="008D4359">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D4359" w:rsidRPr="002407CE" w14:paraId="50FE54B7" w14:textId="77777777" w:rsidTr="009B7FDB">
        <w:trPr>
          <w:trHeight w:val="870"/>
          <w:jc w:val="center"/>
        </w:trPr>
        <w:tc>
          <w:tcPr>
            <w:tcW w:w="8647" w:type="dxa"/>
          </w:tcPr>
          <w:p w14:paraId="3A19345C" w14:textId="77777777" w:rsidR="008D4359" w:rsidRPr="00185EE9" w:rsidRDefault="008D4359" w:rsidP="009B7FD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rPr>
            </w:pPr>
            <w:r>
              <w:rPr>
                <w:rFonts w:ascii="Verdana" w:hAnsi="Verdana" w:cs="Arial"/>
              </w:rPr>
              <w:t>Ley 80 de 1993, artículos 13, 32, 40 y 41.</w:t>
            </w:r>
          </w:p>
          <w:p w14:paraId="73FA71E7" w14:textId="77777777" w:rsidR="008D4359" w:rsidRPr="004923A3" w:rsidRDefault="008D4359" w:rsidP="009B7FDB">
            <w:pPr>
              <w:pStyle w:val="Prrafodelista"/>
              <w:widowControl w:val="0"/>
              <w:numPr>
                <w:ilvl w:val="0"/>
                <w:numId w:val="17"/>
              </w:numPr>
              <w:autoSpaceDE w:val="0"/>
              <w:autoSpaceDN w:val="0"/>
              <w:spacing w:after="120" w:line="276" w:lineRule="auto"/>
              <w:ind w:left="714" w:hanging="357"/>
              <w:contextualSpacing w:val="0"/>
              <w:jc w:val="both"/>
              <w:rPr>
                <w:rFonts w:ascii="Verdana" w:hAnsi="Verdana" w:cs="Arial"/>
                <w:color w:val="000000" w:themeColor="text1"/>
                <w:lang w:val="es-ES_tradnl"/>
              </w:rPr>
            </w:pPr>
            <w:r w:rsidRPr="00185EE9">
              <w:rPr>
                <w:rFonts w:ascii="Verdana" w:hAnsi="Verdana" w:cs="Arial"/>
              </w:rPr>
              <w:t xml:space="preserve">Código Civil, artículos </w:t>
            </w:r>
            <w:r>
              <w:rPr>
                <w:rFonts w:ascii="Verdana" w:hAnsi="Verdana" w:cs="Arial"/>
              </w:rPr>
              <w:t>1501, 1959 y ss</w:t>
            </w:r>
            <w:r w:rsidRPr="00185EE9">
              <w:rPr>
                <w:rFonts w:ascii="Verdana" w:hAnsi="Verdana" w:cs="Arial"/>
              </w:rPr>
              <w:t>.</w:t>
            </w:r>
          </w:p>
          <w:p w14:paraId="69F0ABDE" w14:textId="77777777" w:rsidR="008D4359" w:rsidRPr="00DA543F" w:rsidRDefault="008D4359" w:rsidP="009B7FDB">
            <w:pPr>
              <w:pStyle w:val="Prrafodelista"/>
              <w:widowControl w:val="0"/>
              <w:numPr>
                <w:ilvl w:val="0"/>
                <w:numId w:val="17"/>
              </w:numPr>
              <w:autoSpaceDE w:val="0"/>
              <w:autoSpaceDN w:val="0"/>
              <w:spacing w:line="276" w:lineRule="auto"/>
              <w:ind w:left="714" w:hanging="357"/>
              <w:contextualSpacing w:val="0"/>
              <w:jc w:val="both"/>
              <w:rPr>
                <w:rFonts w:ascii="Verdana" w:hAnsi="Verdana" w:cs="Arial"/>
                <w:color w:val="000000" w:themeColor="text1"/>
                <w:lang w:val="es-ES_tradnl"/>
              </w:rPr>
            </w:pPr>
            <w:r>
              <w:rPr>
                <w:rFonts w:ascii="Verdana" w:hAnsi="Verdana" w:cs="Arial"/>
                <w:color w:val="000000" w:themeColor="text1"/>
                <w:lang w:val="es-ES_tradnl"/>
              </w:rPr>
              <w:t>Código de Comercio, artículos 887 y ss.</w:t>
            </w:r>
          </w:p>
        </w:tc>
      </w:tr>
    </w:tbl>
    <w:p w14:paraId="4804CDFE" w14:textId="77777777" w:rsidR="008D4359" w:rsidRPr="002407CE" w:rsidRDefault="008D4359" w:rsidP="008D4359">
      <w:pPr>
        <w:widowControl w:val="0"/>
        <w:autoSpaceDE w:val="0"/>
        <w:autoSpaceDN w:val="0"/>
        <w:spacing w:after="0" w:line="276" w:lineRule="auto"/>
        <w:jc w:val="both"/>
        <w:rPr>
          <w:rFonts w:ascii="Verdana" w:hAnsi="Verdana" w:cs="Arial"/>
        </w:rPr>
      </w:pPr>
    </w:p>
    <w:p w14:paraId="7B5F571F" w14:textId="77777777" w:rsidR="008D4359" w:rsidRPr="00593A5F" w:rsidRDefault="008D4359" w:rsidP="008D4359">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139E35E7" w14:textId="77777777" w:rsidR="008D4359" w:rsidRPr="00593A5F" w:rsidRDefault="008D4359" w:rsidP="008D4359">
      <w:pPr>
        <w:widowControl w:val="0"/>
        <w:autoSpaceDE w:val="0"/>
        <w:autoSpaceDN w:val="0"/>
        <w:spacing w:after="0" w:line="276" w:lineRule="auto"/>
        <w:jc w:val="both"/>
        <w:rPr>
          <w:rFonts w:ascii="Verdana" w:hAnsi="Verdana" w:cs="Arial"/>
        </w:rPr>
      </w:pPr>
    </w:p>
    <w:p w14:paraId="37869923" w14:textId="77777777" w:rsidR="008D4359" w:rsidRPr="00ED0098" w:rsidRDefault="008D4359" w:rsidP="008D4359">
      <w:pPr>
        <w:widowControl w:val="0"/>
        <w:autoSpaceDE w:val="0"/>
        <w:autoSpaceDN w:val="0"/>
        <w:spacing w:after="0" w:line="276" w:lineRule="auto"/>
        <w:jc w:val="both"/>
        <w:rPr>
          <w:rStyle w:val="normaltextrun"/>
          <w:rFonts w:ascii="Verdana" w:hAnsi="Verdana" w:cs="Arial"/>
          <w:shd w:val="clear" w:color="auto" w:fill="FFFFFF"/>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la cesión de contratos en los Conceptos </w:t>
      </w:r>
      <w:r w:rsidRPr="00DE2AC7">
        <w:rPr>
          <w:rFonts w:ascii="Verdana" w:hAnsi="Verdana" w:cs="Arial"/>
          <w:shd w:val="clear" w:color="auto" w:fill="FFFFFF"/>
        </w:rPr>
        <w:t>4201913000007643 y 4201913000007669 del 26 de diciembre de 2019, así como en los Conceptos C-551 del 24 de septiembre de 2020, C-572 del 27 de agosto de 2020, C-582 del 28 de agosto de 2020, C-385 del 20 de agosto de 2021, C-069 del 24 de abril de 2023</w:t>
      </w:r>
      <w:r>
        <w:rPr>
          <w:rFonts w:ascii="Verdana" w:hAnsi="Verdana" w:cs="Arial"/>
          <w:shd w:val="clear" w:color="auto" w:fill="FFFFFF"/>
        </w:rPr>
        <w:t>,</w:t>
      </w:r>
      <w:r w:rsidRPr="00DE2AC7">
        <w:rPr>
          <w:rFonts w:ascii="Verdana" w:hAnsi="Verdana" w:cs="Arial"/>
          <w:shd w:val="clear" w:color="auto" w:fill="FFFFFF"/>
        </w:rPr>
        <w:t xml:space="preserve"> C-868 del 20 de diciembre de 2024</w:t>
      </w:r>
      <w:r>
        <w:rPr>
          <w:rFonts w:ascii="Verdana" w:hAnsi="Verdana" w:cs="Arial"/>
          <w:shd w:val="clear" w:color="auto" w:fill="FFFFFF"/>
        </w:rPr>
        <w:t>, C-880 del 30 de diciembre de 2024 y C-214 del 25 de marzo de 2025</w:t>
      </w:r>
      <w:r>
        <w:rPr>
          <w:rFonts w:ascii="Verdana" w:hAnsi="Verdana"/>
        </w:rPr>
        <w:t>.</w:t>
      </w:r>
      <w:r>
        <w:rPr>
          <w:rFonts w:ascii="Verdana" w:hAnsi="Verdana" w:cs="Arial"/>
          <w:shd w:val="clear" w:color="auto" w:fill="FFFFFF"/>
        </w:rPr>
        <w:t xml:space="preserve"> </w:t>
      </w:r>
      <w:r w:rsidRPr="00DD0AFF">
        <w:rPr>
          <w:rFonts w:ascii="Verdana" w:hAnsi="Verdana" w:cs="Arial"/>
          <w:shd w:val="clear" w:color="auto" w:fill="FFFFFF"/>
        </w:rPr>
        <w:t>Est</w:t>
      </w:r>
      <w:r>
        <w:rPr>
          <w:rFonts w:ascii="Verdana" w:hAnsi="Verdana" w:cs="Arial"/>
          <w:shd w:val="clear" w:color="auto" w:fill="FFFFFF"/>
        </w:rPr>
        <w:t>os</w:t>
      </w:r>
      <w:r w:rsidRPr="00DD0AFF">
        <w:rPr>
          <w:rFonts w:ascii="Verdana" w:hAnsi="Verdana" w:cs="Arial"/>
          <w:shd w:val="clear" w:color="auto" w:fill="FFFFFF"/>
        </w:rPr>
        <w:t xml:space="preserve"> y otros </w:t>
      </w:r>
      <w:r w:rsidRPr="008D0AB0">
        <w:rPr>
          <w:rStyle w:val="normaltextrun"/>
          <w:rFonts w:ascii="Verdana" w:hAnsi="Verdana" w:cs="Arial"/>
          <w:shd w:val="clear" w:color="auto" w:fill="FFFFFF"/>
        </w:rPr>
        <w:t xml:space="preserve">se encuentran disponibles para consulta en el Sistema de relatoría de la Agencia, al cual puede accederse a través del siguiente enlace: </w:t>
      </w:r>
      <w:hyperlink r:id="rId12" w:history="1">
        <w:r w:rsidRPr="00186F77">
          <w:rPr>
            <w:rStyle w:val="Hipervnculo"/>
            <w:rFonts w:ascii="Verdana" w:hAnsi="Verdana" w:cs="Arial"/>
            <w:shd w:val="clear" w:color="auto" w:fill="FFFFFF"/>
          </w:rPr>
          <w:t>https://relatoria.colombiacompra.gov.co/busqueda/conceptos</w:t>
        </w:r>
      </w:hyperlink>
      <w:r>
        <w:rPr>
          <w:rStyle w:val="normaltextrun"/>
          <w:rFonts w:ascii="Verdana" w:hAnsi="Verdana" w:cs="Arial"/>
          <w:shd w:val="clear" w:color="auto" w:fill="FFFFFF"/>
        </w:rPr>
        <w:t>.</w:t>
      </w:r>
      <w:r w:rsidRPr="008D0AB0">
        <w:rPr>
          <w:rStyle w:val="normaltextrun"/>
          <w:rFonts w:ascii="Verdana" w:hAnsi="Verdana" w:cs="Arial"/>
          <w:shd w:val="clear" w:color="auto" w:fill="FFFFFF"/>
        </w:rPr>
        <w:t xml:space="preserve"> </w:t>
      </w:r>
      <w:r>
        <w:rPr>
          <w:rStyle w:val="normaltextrun"/>
          <w:rFonts w:ascii="Verdana" w:hAnsi="Verdana" w:cs="Arial"/>
          <w:color w:val="FF0000"/>
          <w:shd w:val="clear" w:color="auto" w:fill="FFFFFF"/>
          <w:lang w:val="es-ES"/>
        </w:rPr>
        <w:t xml:space="preserve"> </w:t>
      </w:r>
    </w:p>
    <w:p w14:paraId="41ADB2B9" w14:textId="77777777" w:rsidR="008D4359" w:rsidRPr="00096788" w:rsidRDefault="008D4359" w:rsidP="008D4359">
      <w:pPr>
        <w:widowControl w:val="0"/>
        <w:autoSpaceDE w:val="0"/>
        <w:autoSpaceDN w:val="0"/>
        <w:spacing w:after="0" w:line="276" w:lineRule="auto"/>
        <w:jc w:val="both"/>
        <w:rPr>
          <w:rFonts w:ascii="Verdana" w:hAnsi="Verdana" w:cs="Arial"/>
          <w:color w:val="000000" w:themeColor="text1"/>
          <w:shd w:val="clear" w:color="auto" w:fill="FFFFFF"/>
        </w:rPr>
      </w:pPr>
    </w:p>
    <w:p w14:paraId="3FAE4956" w14:textId="77777777" w:rsidR="008D4359" w:rsidRPr="001205D1" w:rsidRDefault="008D4359" w:rsidP="008D4359">
      <w:pPr>
        <w:shd w:val="clear" w:color="auto" w:fill="FFFFFF"/>
        <w:spacing w:after="0" w:line="276" w:lineRule="auto"/>
        <w:jc w:val="both"/>
        <w:rPr>
          <w:rFonts w:ascii="Verdana" w:hAnsi="Verdana"/>
          <w:color w:val="467886"/>
          <w:u w:val="single"/>
        </w:rPr>
      </w:pPr>
      <w:r w:rsidRPr="00B83C56">
        <w:rPr>
          <w:rFonts w:ascii="Verdana" w:hAnsi="Verdana"/>
          <w:color w:val="000000"/>
        </w:rPr>
        <w:t>Te informamos que ya se encuentra disponible la </w:t>
      </w:r>
      <w:r w:rsidRPr="00B83C56">
        <w:rPr>
          <w:rFonts w:ascii="Verdana" w:hAnsi="Verdana"/>
          <w:b/>
          <w:bCs/>
          <w:color w:val="000000"/>
        </w:rPr>
        <w:t>Cartilla para incentivar y fortalecer el acceso a las compras y contratación pública de los pueblos y comunidades étnicas en Colombia.</w:t>
      </w:r>
      <w:r w:rsidRPr="00B83C56">
        <w:rPr>
          <w:rFonts w:ascii="Verdana" w:hAnsi="Verdana"/>
          <w:color w:val="000000"/>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3" w:tooltip="Original URL:&#10;https://www.colombiacompra.gov.co/manuales-guias-y-pliegos-tipo/manuales-y-guias/cartilla-para-incentivar-y-fortalecer-el-acceso-las&#10;&#10;Click to follow link." w:history="1">
        <w:r w:rsidRPr="00B83C56">
          <w:rPr>
            <w:rFonts w:ascii="Verdana" w:hAnsi="Verdana"/>
            <w:color w:val="467886"/>
            <w:u w:val="single"/>
          </w:rPr>
          <w:t>Cartilla para incentivar y fortalecer el acceso a las compras y contratación pública de los pueblos y comunidades étnicas en Colombia | Colombia Compra Eficiente | Agencia Nacional de Contratación Pública</w:t>
        </w:r>
      </w:hyperlink>
    </w:p>
    <w:p w14:paraId="1C4031D3" w14:textId="77777777" w:rsidR="008D4359" w:rsidRPr="00B83C56" w:rsidRDefault="008D4359" w:rsidP="008D4359">
      <w:pPr>
        <w:shd w:val="clear" w:color="auto" w:fill="FFFFFF"/>
        <w:spacing w:after="0" w:line="276" w:lineRule="auto"/>
        <w:jc w:val="both"/>
        <w:rPr>
          <w:rFonts w:ascii="Verdana" w:hAnsi="Verdana"/>
          <w:color w:val="212121"/>
        </w:rPr>
      </w:pPr>
    </w:p>
    <w:p w14:paraId="65C42D5D" w14:textId="77777777" w:rsidR="008D4359" w:rsidRPr="001205D1" w:rsidRDefault="008D4359" w:rsidP="008D4359">
      <w:pPr>
        <w:spacing w:after="0" w:line="276" w:lineRule="auto"/>
        <w:jc w:val="both"/>
        <w:rPr>
          <w:rFonts w:ascii="Verdana" w:hAnsi="Verdana"/>
          <w:color w:val="467886"/>
          <w:u w:val="single"/>
        </w:rPr>
      </w:pPr>
      <w:r w:rsidRPr="00B83C56">
        <w:rPr>
          <w:rFonts w:ascii="Verdana" w:hAnsi="Verdana"/>
          <w:color w:val="000000"/>
        </w:rPr>
        <w:t>De otra parte, te informamos que, con el objetivo de garantizar un conocimiento adecuado de las </w:t>
      </w:r>
      <w:r w:rsidRPr="00B83C56">
        <w:rPr>
          <w:rFonts w:ascii="Verdana" w:hAnsi="Verdana"/>
          <w:b/>
          <w:bCs/>
          <w:color w:val="000000"/>
        </w:rPr>
        <w:t>modificaciones y/o actualizaciones realizadas a los Documentos Tipo</w:t>
      </w:r>
      <w:r w:rsidRPr="00B83C56">
        <w:rPr>
          <w:rFonts w:ascii="Verdana" w:hAnsi="Verdana"/>
          <w:color w:val="000000"/>
        </w:rPr>
        <w:t>, hemos programado una serie de </w:t>
      </w:r>
      <w:r w:rsidRPr="00B83C56">
        <w:rPr>
          <w:rFonts w:ascii="Verdana" w:hAnsi="Verdana"/>
          <w:b/>
          <w:bCs/>
          <w:color w:val="000000"/>
        </w:rPr>
        <w:t>capacitaciones </w:t>
      </w:r>
      <w:r w:rsidRPr="00B83C56">
        <w:rPr>
          <w:rFonts w:ascii="Verdana" w:hAnsi="Verdana"/>
          <w:color w:val="000000"/>
        </w:rPr>
        <w:t xml:space="preserve">dirigidas a todos los actores involucrados en los procesos de selección. Podrás conocer la programación y realizar tu inscripción a estas capacitaciones a través del </w:t>
      </w:r>
      <w:r w:rsidRPr="00B83C56">
        <w:rPr>
          <w:rFonts w:ascii="Verdana" w:hAnsi="Verdana"/>
          <w:color w:val="000000"/>
        </w:rPr>
        <w:lastRenderedPageBreak/>
        <w:t>siguiente enlace: </w:t>
      </w:r>
      <w:hyperlink r:id="rId14" w:tooltip="Original URL:&#10;https://www.colombiacompra.gov.co/ciudadanos/calendario&#10;&#10;Click to follow link." w:history="1">
        <w:r w:rsidRPr="00B83C56">
          <w:rPr>
            <w:rFonts w:ascii="Verdana" w:hAnsi="Verdana"/>
            <w:color w:val="467886"/>
            <w:u w:val="single"/>
          </w:rPr>
          <w:t>Calendario | Colombia Compra Eficiente | Agencia Nacional de Contratación Pública</w:t>
        </w:r>
      </w:hyperlink>
    </w:p>
    <w:p w14:paraId="320D2E17" w14:textId="77777777" w:rsidR="008D4359" w:rsidRPr="00B83C56" w:rsidRDefault="008D4359" w:rsidP="008D4359">
      <w:pPr>
        <w:spacing w:after="0" w:line="276" w:lineRule="auto"/>
        <w:jc w:val="both"/>
        <w:rPr>
          <w:rFonts w:ascii="Verdana" w:hAnsi="Verdana"/>
          <w:color w:val="212121"/>
        </w:rPr>
      </w:pPr>
    </w:p>
    <w:p w14:paraId="3EADF203" w14:textId="77777777" w:rsidR="008D4359" w:rsidRPr="00B83C56" w:rsidRDefault="008D4359" w:rsidP="008D4359">
      <w:pPr>
        <w:spacing w:after="0" w:line="276" w:lineRule="auto"/>
        <w:jc w:val="both"/>
        <w:rPr>
          <w:rFonts w:ascii="Verdana" w:hAnsi="Verdana"/>
          <w:color w:val="212121"/>
        </w:rPr>
      </w:pPr>
      <w:r w:rsidRPr="00B83C56">
        <w:rPr>
          <w:rFonts w:ascii="Verdana" w:hAnsi="Verdana"/>
          <w:color w:val="000000"/>
        </w:rPr>
        <w:t>También, te contamos que ya publicamos </w:t>
      </w:r>
      <w:r w:rsidRPr="00B83C56">
        <w:rPr>
          <w:rFonts w:ascii="Verdana" w:hAnsi="Verdana"/>
          <w:b/>
          <w:bCs/>
          <w:color w:val="000000"/>
        </w:rPr>
        <w:t>la nueva Guía de Contratación Pública Sostenible y Socialmente Responsable</w:t>
      </w:r>
      <w:r w:rsidRPr="00B83C56">
        <w:rPr>
          <w:rFonts w:ascii="Verdana" w:hAnsi="Verdana"/>
          <w:color w:val="000000"/>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ooltip="Original URL:&#10;https://www.colombiacompra.gov.co/manuales-guias-y-pliegos-tipo/manuales-y-guias/guia-de-contratacion-publica-sostenible-y-socialmente&#10;&#10;Click to follow link." w:history="1">
        <w:r w:rsidRPr="00B83C56">
          <w:rPr>
            <w:rFonts w:ascii="Verdana" w:hAnsi="Verdana"/>
            <w:color w:val="467886"/>
            <w:u w:val="single"/>
          </w:rPr>
          <w:t>Guía de Contratación Pública Sostenible y Socialmente Responsable | Colombia Compra Eficiente | Agencia Nacional de Contratación Pública</w:t>
        </w:r>
      </w:hyperlink>
    </w:p>
    <w:p w14:paraId="322A25C5" w14:textId="77777777" w:rsidR="008D4359" w:rsidRPr="009C4035" w:rsidRDefault="008D4359" w:rsidP="008D4359">
      <w:pPr>
        <w:widowControl w:val="0"/>
        <w:autoSpaceDE w:val="0"/>
        <w:autoSpaceDN w:val="0"/>
        <w:spacing w:after="0" w:line="276" w:lineRule="auto"/>
        <w:jc w:val="both"/>
        <w:rPr>
          <w:rFonts w:ascii="Verdana" w:hAnsi="Verdana" w:cs="Arial"/>
          <w:color w:val="FF0000"/>
          <w:shd w:val="clear" w:color="auto" w:fill="FFFFFF"/>
          <w:lang w:val="es-ES_tradnl"/>
        </w:rPr>
      </w:pPr>
      <w:r w:rsidRPr="004A73EC">
        <w:rPr>
          <w:rFonts w:ascii="Verdana" w:hAnsi="Verdana" w:cs="Arial"/>
          <w:color w:val="000000" w:themeColor="text1"/>
          <w:shd w:val="clear" w:color="auto" w:fill="FFFFFF"/>
          <w:lang w:val="es-ES_tradnl"/>
        </w:rPr>
        <w:t xml:space="preserve"> </w:t>
      </w:r>
      <w:r w:rsidRPr="004A73EC">
        <w:rPr>
          <w:rStyle w:val="normaltextrun"/>
          <w:rFonts w:ascii="Verdana" w:hAnsi="Verdana" w:cs="Arial"/>
          <w:color w:val="FF0000"/>
          <w:shd w:val="clear" w:color="auto" w:fill="FFFFFF"/>
          <w:lang w:val="es-ES_tradnl"/>
        </w:rPr>
        <w:t xml:space="preserve">        </w:t>
      </w:r>
    </w:p>
    <w:p w14:paraId="15F7D7C0" w14:textId="77777777" w:rsidR="008D4359" w:rsidRPr="00593A5F" w:rsidRDefault="008D4359" w:rsidP="008D4359">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601CAAC7" w14:textId="77777777" w:rsidR="008D4359" w:rsidRPr="00593A5F" w:rsidRDefault="008D4359" w:rsidP="008D4359">
      <w:pPr>
        <w:widowControl w:val="0"/>
        <w:autoSpaceDE w:val="0"/>
        <w:autoSpaceDN w:val="0"/>
        <w:spacing w:after="0" w:line="276" w:lineRule="auto"/>
        <w:jc w:val="both"/>
        <w:rPr>
          <w:rFonts w:ascii="Verdana" w:hAnsi="Verdana" w:cs="Arial"/>
        </w:rPr>
      </w:pPr>
    </w:p>
    <w:p w14:paraId="46D07FD1" w14:textId="77777777" w:rsidR="008D4359" w:rsidRPr="00593A5F" w:rsidRDefault="008D4359" w:rsidP="008D4359">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47C44181" w14:textId="0119DD05" w:rsidR="008D4359" w:rsidRPr="00593A5F" w:rsidRDefault="00486F58" w:rsidP="008D4359">
      <w:pPr>
        <w:spacing w:line="276" w:lineRule="auto"/>
        <w:jc w:val="center"/>
        <w:rPr>
          <w:rFonts w:ascii="Verdana" w:hAnsi="Verdana" w:cs="Arial"/>
          <w:color w:val="000000"/>
          <w:lang w:val="es-ES_tradnl" w:eastAsia="es-CO"/>
        </w:rPr>
      </w:pPr>
      <w:r>
        <w:rPr>
          <w:noProof/>
        </w:rPr>
        <w:drawing>
          <wp:inline distT="0" distB="0" distL="0" distR="0" wp14:anchorId="5840C7AE" wp14:editId="48394743">
            <wp:extent cx="3771900" cy="1400175"/>
            <wp:effectExtent l="0" t="0" r="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D4359" w:rsidRPr="00593A5F" w14:paraId="3894907A" w14:textId="77777777" w:rsidTr="009B7FDB">
        <w:trPr>
          <w:trHeight w:val="315"/>
        </w:trPr>
        <w:tc>
          <w:tcPr>
            <w:tcW w:w="893" w:type="dxa"/>
            <w:vAlign w:val="center"/>
            <w:hideMark/>
          </w:tcPr>
          <w:p w14:paraId="4F11BDC4" w14:textId="77777777" w:rsidR="008D4359" w:rsidRPr="003751C7" w:rsidRDefault="008D4359" w:rsidP="009B7FDB">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6A9E21D" w14:textId="77777777" w:rsidR="008D4359" w:rsidRPr="00254A7A" w:rsidRDefault="008D4359" w:rsidP="009B7FDB">
            <w:pPr>
              <w:contextualSpacing/>
              <w:rPr>
                <w:rStyle w:val="normaltextrun"/>
                <w:rFonts w:ascii="Verdana" w:hAnsi="Verdana"/>
                <w:sz w:val="16"/>
                <w:szCs w:val="16"/>
              </w:rPr>
            </w:pPr>
            <w:r w:rsidRPr="00254A7A">
              <w:rPr>
                <w:rStyle w:val="normaltextrun"/>
                <w:rFonts w:ascii="Verdana" w:hAnsi="Verdana"/>
                <w:sz w:val="16"/>
                <w:szCs w:val="16"/>
              </w:rPr>
              <w:t>Juan David Montoya Penagos</w:t>
            </w:r>
          </w:p>
          <w:p w14:paraId="6E547189" w14:textId="77777777" w:rsidR="008D4359" w:rsidRPr="00254A7A" w:rsidRDefault="008D4359" w:rsidP="009B7FDB">
            <w:pPr>
              <w:contextualSpacing/>
              <w:rPr>
                <w:rFonts w:ascii="Verdana" w:eastAsia="Arial" w:hAnsi="Verdana" w:cs="Arial"/>
                <w:sz w:val="16"/>
                <w:szCs w:val="16"/>
              </w:rPr>
            </w:pPr>
            <w:r w:rsidRPr="00254A7A">
              <w:rPr>
                <w:rStyle w:val="normaltextrun"/>
                <w:rFonts w:ascii="Verdana" w:hAnsi="Verdana"/>
                <w:sz w:val="16"/>
                <w:szCs w:val="16"/>
              </w:rPr>
              <w:t>Contratista de la Subdirección de Gestión Contractual</w:t>
            </w:r>
          </w:p>
        </w:tc>
      </w:tr>
      <w:tr w:rsidR="008D4359" w:rsidRPr="00593A5F" w14:paraId="02CBF30D" w14:textId="77777777" w:rsidTr="009B7FDB">
        <w:trPr>
          <w:trHeight w:val="330"/>
        </w:trPr>
        <w:tc>
          <w:tcPr>
            <w:tcW w:w="893" w:type="dxa"/>
            <w:vAlign w:val="center"/>
            <w:hideMark/>
          </w:tcPr>
          <w:p w14:paraId="36776DF7" w14:textId="77777777" w:rsidR="008D4359" w:rsidRPr="003751C7" w:rsidRDefault="008D4359" w:rsidP="009B7FDB">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EC267D0" w14:textId="77777777" w:rsidR="008D4359" w:rsidRPr="001B6B73" w:rsidRDefault="008D4359" w:rsidP="009B7FDB">
            <w:pPr>
              <w:pStyle w:val="paragraph"/>
              <w:spacing w:after="0"/>
              <w:contextualSpacing/>
              <w:textAlignment w:val="baseline"/>
              <w:rPr>
                <w:rStyle w:val="normaltextrun"/>
                <w:rFonts w:ascii="Verdana" w:hAnsi="Verdana" w:cs="Arial"/>
                <w:sz w:val="16"/>
                <w:szCs w:val="16"/>
                <w:lang w:val="es-ES_tradnl"/>
              </w:rPr>
            </w:pPr>
            <w:r w:rsidRPr="001B6B73">
              <w:rPr>
                <w:rStyle w:val="normaltextrun"/>
                <w:rFonts w:ascii="Verdana" w:hAnsi="Verdana" w:cs="Arial"/>
                <w:sz w:val="16"/>
                <w:szCs w:val="16"/>
                <w:lang w:val="es-ES_tradnl"/>
              </w:rPr>
              <w:t>Alejandro Sarmiento Cantillo</w:t>
            </w:r>
          </w:p>
          <w:p w14:paraId="23154A31" w14:textId="77777777" w:rsidR="008D4359" w:rsidRPr="00254A7A" w:rsidRDefault="008D4359" w:rsidP="009B7FDB">
            <w:pPr>
              <w:pStyle w:val="paragraph"/>
              <w:spacing w:before="0" w:beforeAutospacing="0" w:after="0" w:afterAutospacing="0"/>
              <w:contextualSpacing/>
              <w:textAlignment w:val="baseline"/>
              <w:rPr>
                <w:rFonts w:ascii="Verdana" w:hAnsi="Verdana" w:cs="Segoe UI"/>
                <w:sz w:val="16"/>
                <w:szCs w:val="16"/>
              </w:rPr>
            </w:pPr>
            <w:r w:rsidRPr="001B6B73">
              <w:rPr>
                <w:rStyle w:val="normaltextrun"/>
                <w:rFonts w:ascii="Verdana" w:hAnsi="Verdana" w:cs="Arial"/>
                <w:sz w:val="16"/>
                <w:szCs w:val="16"/>
                <w:lang w:val="es-ES_tradnl"/>
              </w:rPr>
              <w:t>Gestor T1 ‒ 15 de la Subdirección de Gestión Contractual</w:t>
            </w:r>
          </w:p>
        </w:tc>
      </w:tr>
      <w:tr w:rsidR="008D4359" w:rsidRPr="00593A5F" w14:paraId="6B7BD65F" w14:textId="77777777" w:rsidTr="009B7FDB">
        <w:trPr>
          <w:trHeight w:val="300"/>
        </w:trPr>
        <w:tc>
          <w:tcPr>
            <w:tcW w:w="893" w:type="dxa"/>
            <w:vAlign w:val="center"/>
          </w:tcPr>
          <w:p w14:paraId="6537E481" w14:textId="77777777" w:rsidR="008D4359" w:rsidRPr="003751C7" w:rsidRDefault="008D4359" w:rsidP="009B7FDB">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C461E34" w14:textId="77777777" w:rsidR="008D4359" w:rsidRPr="003751C7" w:rsidRDefault="008D4359" w:rsidP="009B7FDB">
            <w:pPr>
              <w:contextualSpacing/>
              <w:rPr>
                <w:rFonts w:ascii="Verdana" w:eastAsia="Calibri" w:hAnsi="Verdana" w:cs="Arial"/>
                <w:sz w:val="16"/>
                <w:szCs w:val="16"/>
                <w:lang w:val="pt-BR" w:eastAsia="es-ES"/>
              </w:rPr>
            </w:pPr>
            <w:r w:rsidRPr="003751C7">
              <w:rPr>
                <w:rFonts w:ascii="Verdana" w:eastAsia="Calibri" w:hAnsi="Verdana" w:cs="Arial"/>
                <w:sz w:val="16"/>
                <w:szCs w:val="16"/>
                <w:lang w:val="pt-BR" w:eastAsia="es-ES"/>
              </w:rPr>
              <w:t xml:space="preserve">Carolina Quintero </w:t>
            </w:r>
            <w:proofErr w:type="spellStart"/>
            <w:r w:rsidRPr="003751C7">
              <w:rPr>
                <w:rFonts w:ascii="Verdana" w:eastAsia="Calibri" w:hAnsi="Verdana" w:cs="Arial"/>
                <w:sz w:val="16"/>
                <w:szCs w:val="16"/>
                <w:lang w:val="pt-BR" w:eastAsia="es-ES"/>
              </w:rPr>
              <w:t>Gacharná</w:t>
            </w:r>
            <w:proofErr w:type="spellEnd"/>
          </w:p>
          <w:p w14:paraId="19018C9B" w14:textId="77777777" w:rsidR="008D4359" w:rsidRPr="003751C7" w:rsidRDefault="008D4359" w:rsidP="009B7FDB">
            <w:pPr>
              <w:contextualSpacing/>
              <w:rPr>
                <w:rFonts w:ascii="Verdana" w:eastAsia="Calibri" w:hAnsi="Verdana" w:cs="Arial"/>
                <w:sz w:val="16"/>
                <w:szCs w:val="16"/>
                <w:lang w:val="pt-BR" w:eastAsia="es-ES"/>
              </w:rPr>
            </w:pPr>
            <w:r w:rsidRPr="003751C7">
              <w:rPr>
                <w:rFonts w:ascii="Verdana" w:eastAsia="Calibri" w:hAnsi="Verdana" w:cs="Arial"/>
                <w:sz w:val="16"/>
                <w:szCs w:val="16"/>
                <w:lang w:eastAsia="es-ES"/>
              </w:rPr>
              <w:t>Subdirectora</w:t>
            </w:r>
            <w:r w:rsidRPr="003751C7">
              <w:rPr>
                <w:rFonts w:ascii="Verdana" w:eastAsia="Calibri" w:hAnsi="Verdana" w:cs="Arial"/>
                <w:sz w:val="16"/>
                <w:szCs w:val="16"/>
                <w:lang w:val="pt-BR" w:eastAsia="es-ES"/>
              </w:rPr>
              <w:t xml:space="preserve"> de Gestión </w:t>
            </w:r>
            <w:proofErr w:type="spellStart"/>
            <w:r w:rsidRPr="003751C7">
              <w:rPr>
                <w:rFonts w:ascii="Verdana" w:eastAsia="Calibri" w:hAnsi="Verdana" w:cs="Arial"/>
                <w:sz w:val="16"/>
                <w:szCs w:val="16"/>
                <w:lang w:val="pt-BR" w:eastAsia="es-ES"/>
              </w:rPr>
              <w:t>Contractual</w:t>
            </w:r>
            <w:proofErr w:type="spellEnd"/>
            <w:r w:rsidRPr="003751C7">
              <w:rPr>
                <w:rFonts w:ascii="Verdana" w:eastAsia="Calibri" w:hAnsi="Verdana" w:cs="Arial"/>
                <w:sz w:val="16"/>
                <w:szCs w:val="16"/>
                <w:lang w:val="pt-BR" w:eastAsia="es-ES"/>
              </w:rPr>
              <w:t xml:space="preserve"> ANCP – CCE</w:t>
            </w:r>
          </w:p>
        </w:tc>
      </w:tr>
    </w:tbl>
    <w:p w14:paraId="08DBDFF8" w14:textId="77777777" w:rsidR="008D4359" w:rsidRPr="00543BFE" w:rsidRDefault="008D4359" w:rsidP="008D4359"/>
    <w:p w14:paraId="3900974D" w14:textId="77777777" w:rsidR="003D5B0D" w:rsidRPr="00C6273F" w:rsidRDefault="003D5B0D" w:rsidP="00C6273F"/>
    <w:sectPr w:rsidR="003D5B0D" w:rsidRPr="00C6273F"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5B53DC" w14:textId="77777777" w:rsidR="00643C9A" w:rsidRDefault="00643C9A" w:rsidP="004A1847">
      <w:pPr>
        <w:spacing w:after="0" w:line="240" w:lineRule="auto"/>
      </w:pPr>
      <w:r>
        <w:separator/>
      </w:r>
    </w:p>
  </w:endnote>
  <w:endnote w:type="continuationSeparator" w:id="0">
    <w:p w14:paraId="3BD17E98" w14:textId="77777777" w:rsidR="00643C9A" w:rsidRDefault="00643C9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Arial Nova">
    <w:panose1 w:val="020B0504020202020204"/>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98A1F" w14:textId="77777777" w:rsidR="00643C9A" w:rsidRDefault="00643C9A" w:rsidP="004A1847">
      <w:pPr>
        <w:spacing w:after="0" w:line="240" w:lineRule="auto"/>
      </w:pPr>
      <w:r>
        <w:separator/>
      </w:r>
    </w:p>
  </w:footnote>
  <w:footnote w:type="continuationSeparator" w:id="0">
    <w:p w14:paraId="34BE0564" w14:textId="77777777" w:rsidR="00643C9A" w:rsidRDefault="00643C9A" w:rsidP="004A1847">
      <w:pPr>
        <w:spacing w:after="0" w:line="240" w:lineRule="auto"/>
      </w:pPr>
      <w:r>
        <w:continuationSeparator/>
      </w:r>
    </w:p>
  </w:footnote>
  <w:footnote w:id="1">
    <w:p w14:paraId="7DC140C9" w14:textId="77777777" w:rsidR="008D4359" w:rsidRPr="004C544B" w:rsidRDefault="008D4359" w:rsidP="008D4359">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Al respecto, el artículo 887 del Código de Comercio dispone lo siguiente: “En los contratos mercantiles de ejecución periódica o sucesiva cada una de las partes podrá hacerse sustituir por un tercero, en la totalidad o en parte de las relaciones derivadas del contrato, sin necesidad de aceptación expresa del contratante cedido, si por la ley o por estipulación de las mismas partes no se ha prohibido o limitado dicha sustitución.</w:t>
      </w:r>
    </w:p>
    <w:p w14:paraId="79DF485E" w14:textId="77777777" w:rsidR="008D4359" w:rsidRPr="004C544B" w:rsidRDefault="008D4359" w:rsidP="008D4359">
      <w:pPr>
        <w:pStyle w:val="Textonotapie"/>
        <w:ind w:firstLine="708"/>
        <w:jc w:val="both"/>
        <w:rPr>
          <w:rFonts w:ascii="Verdana" w:hAnsi="Verdana" w:cs="Arial"/>
          <w:sz w:val="16"/>
          <w:szCs w:val="16"/>
        </w:rPr>
      </w:pPr>
      <w:r w:rsidRPr="004C544B">
        <w:rPr>
          <w:rFonts w:ascii="Verdana" w:hAnsi="Verdana" w:cs="Arial"/>
          <w:sz w:val="16"/>
          <w:szCs w:val="16"/>
        </w:rPr>
        <w:t xml:space="preserve">La misma sustitución podrá hacerse en los contratos mercantiles de ejecución instantánea que aún no hayan sido cumplidos en todo o en parte, y en los celebrados </w:t>
      </w:r>
      <w:r w:rsidRPr="004C544B">
        <w:rPr>
          <w:rFonts w:ascii="Verdana" w:hAnsi="Verdana" w:cs="Arial"/>
          <w:i/>
          <w:iCs/>
          <w:sz w:val="16"/>
          <w:szCs w:val="16"/>
        </w:rPr>
        <w:t>intuitu personae</w:t>
      </w:r>
      <w:r w:rsidRPr="004C544B">
        <w:rPr>
          <w:rFonts w:ascii="Verdana" w:hAnsi="Verdana" w:cs="Arial"/>
          <w:sz w:val="16"/>
          <w:szCs w:val="16"/>
        </w:rPr>
        <w:t>, pero en estos casos será necesaria la aceptación del contratante cedido”.</w:t>
      </w:r>
    </w:p>
    <w:p w14:paraId="05E826D4" w14:textId="77777777" w:rsidR="008D4359" w:rsidRPr="004C544B" w:rsidRDefault="008D4359" w:rsidP="008D4359">
      <w:pPr>
        <w:pStyle w:val="Textonotapie"/>
        <w:ind w:firstLine="708"/>
        <w:jc w:val="both"/>
        <w:rPr>
          <w:rFonts w:ascii="Verdana" w:hAnsi="Verdana" w:cs="Arial"/>
          <w:sz w:val="16"/>
          <w:szCs w:val="16"/>
        </w:rPr>
      </w:pPr>
      <w:r w:rsidRPr="004C544B">
        <w:rPr>
          <w:rFonts w:ascii="Verdana" w:hAnsi="Verdana" w:cs="Arial"/>
          <w:sz w:val="16"/>
          <w:szCs w:val="16"/>
        </w:rPr>
        <w:t>En contraste, el artículo 1959 del Código Civil prescribe que “La cesión de un crédito, a cualquier título que se haga, no tendrá efecto entre el cedente y el cesionario sino en virtud de la entrega del título. Pero si el crédito que se cede no consta en documento, la cesión puede hacerse otorgándose uno por el cedente al cesionario, y en este caso la notificación de que trata el artículo 1961 debe hacerse con exhibición de dicho documento”.</w:t>
      </w:r>
    </w:p>
  </w:footnote>
  <w:footnote w:id="2">
    <w:p w14:paraId="36263D0D" w14:textId="77777777" w:rsidR="008D4359" w:rsidRPr="004C544B" w:rsidRDefault="008D4359" w:rsidP="008D4359">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ANDREOLI, Marcello. La cesión del contrato. Santiago: Ediciones Olejnik, 2019. p. 12. Énfasis dentro del texto. En este contexto, “La cesión del contrato sirve para hacer posible la </w:t>
      </w:r>
      <w:r w:rsidRPr="004C544B">
        <w:rPr>
          <w:rFonts w:ascii="Verdana" w:hAnsi="Verdana" w:cs="Arial"/>
          <w:i/>
          <w:iCs/>
          <w:sz w:val="16"/>
          <w:szCs w:val="16"/>
        </w:rPr>
        <w:t>circulación del contrato en su integridad</w:t>
      </w:r>
      <w:r w:rsidRPr="004C544B">
        <w:rPr>
          <w:rFonts w:ascii="Verdana" w:hAnsi="Verdana" w:cs="Arial"/>
          <w:sz w:val="16"/>
          <w:szCs w:val="16"/>
        </w:rPr>
        <w:t xml:space="preserve">, es decir, para hacer </w:t>
      </w:r>
      <w:r w:rsidRPr="004C544B">
        <w:rPr>
          <w:rFonts w:ascii="Verdana" w:hAnsi="Verdana" w:cs="Arial"/>
          <w:i/>
          <w:iCs/>
          <w:sz w:val="16"/>
          <w:szCs w:val="16"/>
        </w:rPr>
        <w:t>subintrar</w:t>
      </w:r>
      <w:r w:rsidRPr="004C544B">
        <w:rPr>
          <w:rFonts w:ascii="Verdana" w:hAnsi="Verdana" w:cs="Arial"/>
          <w:sz w:val="16"/>
          <w:szCs w:val="16"/>
        </w:rPr>
        <w:t xml:space="preserve"> un extraño en la categoría de </w:t>
      </w:r>
      <w:r w:rsidRPr="004C544B">
        <w:rPr>
          <w:rFonts w:ascii="Verdana" w:hAnsi="Verdana" w:cs="Arial"/>
          <w:i/>
          <w:iCs/>
          <w:sz w:val="16"/>
          <w:szCs w:val="16"/>
        </w:rPr>
        <w:t>parte</w:t>
      </w:r>
      <w:r w:rsidRPr="004C544B">
        <w:rPr>
          <w:rFonts w:ascii="Verdana" w:hAnsi="Verdana" w:cs="Arial"/>
          <w:sz w:val="16"/>
          <w:szCs w:val="16"/>
        </w:rPr>
        <w:t xml:space="preserve"> contractual, </w:t>
      </w:r>
      <w:r w:rsidRPr="004C544B">
        <w:rPr>
          <w:rFonts w:ascii="Verdana" w:hAnsi="Verdana" w:cs="Arial"/>
          <w:i/>
          <w:iCs/>
          <w:sz w:val="16"/>
          <w:szCs w:val="16"/>
        </w:rPr>
        <w:t>en lugar</w:t>
      </w:r>
      <w:r w:rsidRPr="004C544B">
        <w:rPr>
          <w:rFonts w:ascii="Verdana" w:hAnsi="Verdana" w:cs="Arial"/>
          <w:sz w:val="16"/>
          <w:szCs w:val="16"/>
        </w:rPr>
        <w:t xml:space="preserve"> de uno de los contratantes originarios” (MESSINEO, Francesco. Doctrina general del contrato. Santiago: Olejnik, 2018. p. 633. Énfasis dentro del texto).</w:t>
      </w:r>
    </w:p>
  </w:footnote>
  <w:footnote w:id="3">
    <w:p w14:paraId="7400F1BD" w14:textId="77777777" w:rsidR="008D4359" w:rsidRPr="004C544B" w:rsidRDefault="008D4359" w:rsidP="008D4359">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ROPPO, Vincenzo. El contrato. Lima: Gaceta Jurídica, 2009. p. 547.</w:t>
      </w:r>
    </w:p>
  </w:footnote>
  <w:footnote w:id="4">
    <w:p w14:paraId="6346CD94" w14:textId="77777777" w:rsidR="008D4359" w:rsidRPr="004C544B" w:rsidRDefault="008D4359" w:rsidP="008D4359">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w:t>
      </w:r>
      <w:r w:rsidRPr="004C544B">
        <w:rPr>
          <w:rFonts w:ascii="Verdana" w:hAnsi="Verdana" w:cs="Arial"/>
          <w:i/>
          <w:iCs/>
          <w:sz w:val="16"/>
          <w:szCs w:val="16"/>
        </w:rPr>
        <w:t>Ibidem</w:t>
      </w:r>
      <w:r w:rsidRPr="004C544B">
        <w:rPr>
          <w:rFonts w:ascii="Verdana" w:hAnsi="Verdana" w:cs="Arial"/>
          <w:sz w:val="16"/>
          <w:szCs w:val="16"/>
        </w:rPr>
        <w:t>.</w:t>
      </w:r>
    </w:p>
  </w:footnote>
  <w:footnote w:id="5">
    <w:p w14:paraId="2E499297" w14:textId="77777777" w:rsidR="008D4359" w:rsidRPr="004C544B" w:rsidRDefault="008D4359" w:rsidP="008D4359">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HINESTROSA, Fernando. Tratado de las obligaciones: concepto, estructura y vicisitudes. Tercera Edición. Bogotá: Universidad Externado de Colombia, 2007. Libro en formato EPUB. En contraste con la cesión de créditos, “La cesión de contrato […] al permitir la sustitución de una de las partes en el contrato que se ejecuta, valida al tercero cesionario para que adquiera los derechos y las obligaciones que correspondían al contratante cedente como efectos del contrato. Es decir, lo que en realidad se cede, es mucho más que las posiciones o lados activos de las relaciones obligacionales. se cede también el lado pasivo, pues del contrato surgen como efecto obligaciones y derechos para las partes y la cesión de la posición contractual de una de ellas coloca al tercero cesionario en su lugar, en las mismas circunstancias frente al otro contratante” (ARRUBLA PAUCAR, Jaime Alberto. Contratos mercantiles: teoría general del negocio mercantil. Decimocuarta Edición. Bogotá: Legis, 2021. p. 251).   </w:t>
      </w:r>
    </w:p>
  </w:footnote>
  <w:footnote w:id="6">
    <w:p w14:paraId="57896CF1" w14:textId="77777777" w:rsidR="008D4359" w:rsidRPr="004C544B" w:rsidRDefault="008D4359" w:rsidP="008D4359">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Código de Comercio: “Artículo 890. El que cede un contrato se obliga a responder de la existencia y validez del mismo y de sus garantías, pero, salvo estipulación expresa en contrario, no responderá de su cumplimiento por parte del otro contratante y de los garantes”.</w:t>
      </w:r>
    </w:p>
  </w:footnote>
  <w:footnote w:id="7">
    <w:p w14:paraId="4E253B55" w14:textId="77777777" w:rsidR="008D4359" w:rsidRPr="004C544B" w:rsidRDefault="008D4359" w:rsidP="008D4359">
      <w:pPr>
        <w:pStyle w:val="Textonotapie"/>
        <w:ind w:firstLine="709"/>
        <w:jc w:val="both"/>
        <w:rPr>
          <w:rFonts w:ascii="Verdana" w:hAnsi="Verdana" w:cs="Arial"/>
          <w:sz w:val="16"/>
          <w:szCs w:val="16"/>
          <w:lang w:val="es-CO"/>
        </w:rPr>
      </w:pPr>
      <w:r w:rsidRPr="004C544B">
        <w:rPr>
          <w:rStyle w:val="Refdenotaalpie"/>
          <w:rFonts w:ascii="Verdana" w:hAnsi="Verdana" w:cs="Arial"/>
          <w:sz w:val="16"/>
          <w:szCs w:val="16"/>
        </w:rPr>
        <w:footnoteRef/>
      </w:r>
      <w:r w:rsidRPr="004C544B">
        <w:rPr>
          <w:rFonts w:ascii="Verdana" w:hAnsi="Verdana" w:cs="Arial"/>
          <w:sz w:val="16"/>
          <w:szCs w:val="16"/>
        </w:rPr>
        <w:t xml:space="preserve"> Código de Comercio: “Artículo 891: Cuando el cedente se obliga a responder del cumplimiento del contrato por parte del contratante cedido, el cesionario deberá darle aviso dentro de los diez días siguientes a la mora o al incumplimiento, so pena de ser exonerado el cedente de la obligación de la garantía contraída con el cesionario”.</w:t>
      </w:r>
    </w:p>
  </w:footnote>
  <w:footnote w:id="8">
    <w:p w14:paraId="0562074C" w14:textId="77777777" w:rsidR="008D4359" w:rsidRPr="004C544B" w:rsidRDefault="008D4359" w:rsidP="008D4359">
      <w:pPr>
        <w:pStyle w:val="Textonotapie"/>
        <w:ind w:firstLine="709"/>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Código de Comercio: “Artículo 895. La cesión de un contrato implica la de las acciones, privilegios y beneficios legales inherentes a la naturaleza y condiciones del contrato; pero no transfiere los que se funden en causas ajenas al mismo, o en la calidad o estado de la persona de los contratantes”.</w:t>
      </w:r>
    </w:p>
    <w:p w14:paraId="1CBE92CD" w14:textId="77777777" w:rsidR="008D4359" w:rsidRPr="004C544B" w:rsidRDefault="008D4359" w:rsidP="008D4359">
      <w:pPr>
        <w:pStyle w:val="Textonotapie"/>
        <w:ind w:firstLine="709"/>
        <w:jc w:val="both"/>
        <w:rPr>
          <w:rFonts w:ascii="Verdana" w:hAnsi="Verdana" w:cs="Arial"/>
          <w:sz w:val="16"/>
          <w:szCs w:val="16"/>
        </w:rPr>
      </w:pPr>
      <w:r w:rsidRPr="004C544B">
        <w:rPr>
          <w:rFonts w:ascii="Verdana" w:hAnsi="Verdana" w:cs="Arial"/>
          <w:sz w:val="16"/>
          <w:szCs w:val="16"/>
        </w:rPr>
        <w:t>“Artículo 896. El contratante cedido podrá oponer al cesionario todas las excepciones que se deriven del contrato. Podrá también oponer aquellas que se funden sobre otras relaciones con el cedente, respecto de las cuales haya hecho expresa reserva al momento de notificársele o aceptar la cesión”.</w:t>
      </w:r>
    </w:p>
  </w:footnote>
  <w:footnote w:id="9">
    <w:p w14:paraId="5612920C" w14:textId="77777777" w:rsidR="008D4359" w:rsidRPr="004C544B" w:rsidRDefault="008D4359" w:rsidP="008D4359">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No en vano, “Quien contrata con la administración debe reunir condiciones previas, acreditadas por muy distintos medios, relativas a su capacidad técnica, financiera e incluso moral. De esas personas se ha seleccionado aquella que resulta la más conveniente para el caso, y esa persona no puede ser reemplazada por otra, por la sola decisión de ese cocontratante.</w:t>
      </w:r>
    </w:p>
    <w:p w14:paraId="2179AC74" w14:textId="77777777" w:rsidR="008D4359" w:rsidRPr="004C544B" w:rsidRDefault="008D4359" w:rsidP="008D4359">
      <w:pPr>
        <w:pStyle w:val="Textonotapie"/>
        <w:ind w:firstLine="708"/>
        <w:jc w:val="both"/>
        <w:rPr>
          <w:rFonts w:ascii="Verdana" w:hAnsi="Verdana" w:cs="Arial"/>
          <w:sz w:val="16"/>
          <w:szCs w:val="16"/>
        </w:rPr>
      </w:pPr>
      <w:r w:rsidRPr="004C544B">
        <w:rPr>
          <w:rFonts w:ascii="Verdana" w:hAnsi="Verdana" w:cs="Arial"/>
          <w:sz w:val="16"/>
          <w:szCs w:val="16"/>
        </w:rPr>
        <w:t>De ahí que el principio del cumplimiento personal de sus obligaciones por el cocontratante particular es una exigencia del contrato administrativo que resulta de su naturaleza, por lo que su aplicación es ineludible, aun en los casos en que no existen cláusulas expresas que impongan esa prestación personal o que prohíban la cesión o trasferencia del contrato o la subcontratación” (ESCOLA, Jorge. Tratado integral de los contratos administrativos. Volumen I. Buenos Aires: Depalma, 2012. p. 424).</w:t>
      </w:r>
    </w:p>
  </w:footnote>
  <w:footnote w:id="10">
    <w:p w14:paraId="53D9ACAA" w14:textId="77777777" w:rsidR="008D4359" w:rsidRPr="004C544B" w:rsidRDefault="008D4359" w:rsidP="008D4359">
      <w:pPr>
        <w:pStyle w:val="Textonotapie"/>
        <w:ind w:firstLine="708"/>
        <w:jc w:val="both"/>
        <w:rPr>
          <w:rFonts w:ascii="Verdana" w:hAnsi="Verdana" w:cs="Arial"/>
          <w:sz w:val="16"/>
          <w:szCs w:val="16"/>
          <w:lang w:val="es-ES"/>
        </w:rPr>
      </w:pPr>
      <w:r w:rsidRPr="004C544B">
        <w:rPr>
          <w:rStyle w:val="Refdenotaalpie"/>
          <w:rFonts w:ascii="Verdana" w:hAnsi="Verdana" w:cs="Arial"/>
          <w:sz w:val="16"/>
          <w:szCs w:val="16"/>
        </w:rPr>
        <w:footnoteRef/>
      </w:r>
      <w:r w:rsidRPr="004C544B">
        <w:rPr>
          <w:rFonts w:ascii="Verdana" w:hAnsi="Verdana" w:cs="Arial"/>
          <w:sz w:val="16"/>
          <w:szCs w:val="16"/>
        </w:rPr>
        <w:t xml:space="preserve"> MARIENHOFF, Miguel S. Tratado de derecho administrativo. Tomo IIIA. Cuarta Edición. Buenos Aires: Abeledo Perrot, 1998. p. 318. Énfasis dentro del texto.</w:t>
      </w:r>
    </w:p>
  </w:footnote>
  <w:footnote w:id="11">
    <w:p w14:paraId="60C1DD62" w14:textId="77777777" w:rsidR="008D4359" w:rsidRPr="004C544B" w:rsidRDefault="008D4359" w:rsidP="008D4359">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RAMÍREZ GRISALES, Richard. La cesión. Serie: Las cláusulas del contrato estatal. Medellín: Centro de Estudios de Derecho Administrativo –CEDA– y Librería Jurídica Sánchez R., 2014. pp. 71-72.</w:t>
      </w:r>
    </w:p>
  </w:footnote>
  <w:footnote w:id="12">
    <w:p w14:paraId="0856DA76" w14:textId="77777777" w:rsidR="008D4359" w:rsidRPr="004C544B" w:rsidRDefault="008D4359" w:rsidP="008D4359">
      <w:pPr>
        <w:pStyle w:val="Textonotapie"/>
        <w:ind w:firstLine="709"/>
        <w:jc w:val="both"/>
        <w:rPr>
          <w:rFonts w:ascii="Verdana" w:hAnsi="Verdana" w:cs="Arial"/>
          <w:sz w:val="16"/>
          <w:szCs w:val="16"/>
          <w:lang w:val="es-ES"/>
        </w:rPr>
      </w:pPr>
      <w:r w:rsidRPr="004C544B">
        <w:rPr>
          <w:rStyle w:val="Refdenotaalpie"/>
          <w:rFonts w:ascii="Verdana" w:hAnsi="Verdana" w:cs="Arial"/>
          <w:sz w:val="16"/>
          <w:szCs w:val="16"/>
        </w:rPr>
        <w:footnoteRef/>
      </w:r>
      <w:r w:rsidRPr="004C544B">
        <w:rPr>
          <w:rFonts w:ascii="Verdana" w:hAnsi="Verdana" w:cs="Arial"/>
          <w:sz w:val="16"/>
          <w:szCs w:val="16"/>
        </w:rPr>
        <w:t xml:space="preserve"> </w:t>
      </w:r>
      <w:r w:rsidRPr="004C544B">
        <w:rPr>
          <w:rFonts w:ascii="Verdana" w:hAnsi="Verdana" w:cs="Arial"/>
          <w:sz w:val="16"/>
          <w:szCs w:val="16"/>
          <w:lang w:val="es-ES"/>
        </w:rPr>
        <w:t>CONSEJO DE ESTADO</w:t>
      </w:r>
      <w:r>
        <w:rPr>
          <w:rFonts w:ascii="Verdana" w:hAnsi="Verdana" w:cs="Arial"/>
          <w:sz w:val="16"/>
          <w:szCs w:val="16"/>
          <w:lang w:val="es-ES"/>
        </w:rPr>
        <w:t>.</w:t>
      </w:r>
      <w:r w:rsidRPr="004C544B">
        <w:rPr>
          <w:rFonts w:ascii="Verdana" w:hAnsi="Verdana" w:cs="Arial"/>
          <w:sz w:val="16"/>
          <w:szCs w:val="16"/>
          <w:lang w:val="es-ES"/>
        </w:rPr>
        <w:t xml:space="preserve"> Sección Tercera</w:t>
      </w:r>
      <w:r>
        <w:rPr>
          <w:rFonts w:ascii="Verdana" w:hAnsi="Verdana" w:cs="Arial"/>
          <w:sz w:val="16"/>
          <w:szCs w:val="16"/>
          <w:lang w:val="es-ES"/>
        </w:rPr>
        <w:t>.</w:t>
      </w:r>
      <w:r w:rsidRPr="004C544B">
        <w:rPr>
          <w:rFonts w:ascii="Verdana" w:hAnsi="Verdana" w:cs="Arial"/>
          <w:sz w:val="16"/>
          <w:szCs w:val="16"/>
          <w:lang w:val="es-ES"/>
        </w:rPr>
        <w:t xml:space="preserve"> Sentencia del 16 de marzo de 2015</w:t>
      </w:r>
      <w:r>
        <w:rPr>
          <w:rFonts w:ascii="Verdana" w:hAnsi="Verdana" w:cs="Arial"/>
          <w:sz w:val="16"/>
          <w:szCs w:val="16"/>
          <w:lang w:val="es-ES"/>
        </w:rPr>
        <w:t>.</w:t>
      </w:r>
      <w:r w:rsidRPr="004C544B">
        <w:rPr>
          <w:rFonts w:ascii="Verdana" w:hAnsi="Verdana" w:cs="Arial"/>
          <w:sz w:val="16"/>
          <w:szCs w:val="16"/>
          <w:lang w:val="es-ES"/>
        </w:rPr>
        <w:t xml:space="preserve"> Rad. 1999-03028, M.P. Jaime Orlando Santofimio Gamboa.</w:t>
      </w:r>
    </w:p>
  </w:footnote>
  <w:footnote w:id="13">
    <w:p w14:paraId="07079CE3" w14:textId="77777777" w:rsidR="008D4359" w:rsidRPr="004C544B" w:rsidRDefault="008D4359" w:rsidP="008D4359">
      <w:pPr>
        <w:pStyle w:val="Textonotapie"/>
        <w:ind w:firstLine="708"/>
        <w:jc w:val="both"/>
        <w:rPr>
          <w:rFonts w:ascii="Verdana" w:hAnsi="Verdana" w:cs="Arial"/>
          <w:sz w:val="16"/>
          <w:szCs w:val="16"/>
        </w:rPr>
      </w:pPr>
      <w:r w:rsidRPr="004C544B">
        <w:rPr>
          <w:rStyle w:val="Refdenotaalpie"/>
          <w:rFonts w:ascii="Verdana" w:hAnsi="Verdana" w:cs="Arial"/>
          <w:sz w:val="16"/>
          <w:szCs w:val="16"/>
        </w:rPr>
        <w:footnoteRef/>
      </w:r>
      <w:r w:rsidRPr="004C544B">
        <w:rPr>
          <w:rFonts w:ascii="Verdana" w:hAnsi="Verdana" w:cs="Arial"/>
          <w:sz w:val="16"/>
          <w:szCs w:val="16"/>
        </w:rPr>
        <w:t xml:space="preserve"> RAMÍREZ GRISALES, La cesión… Op. cit., pp.162-163. </w:t>
      </w:r>
    </w:p>
  </w:footnote>
  <w:footnote w:id="14">
    <w:p w14:paraId="4A1A76E6" w14:textId="77777777" w:rsidR="008D4359" w:rsidRPr="003A34AF" w:rsidRDefault="008D4359" w:rsidP="008D4359">
      <w:pPr>
        <w:pStyle w:val="Textonotapie"/>
        <w:ind w:firstLine="708"/>
        <w:jc w:val="both"/>
        <w:rPr>
          <w:rFonts w:ascii="Verdana" w:hAnsi="Verdana"/>
          <w:sz w:val="16"/>
          <w:szCs w:val="16"/>
          <w:lang w:val="es-CO"/>
        </w:rPr>
      </w:pPr>
      <w:r w:rsidRPr="003A34AF">
        <w:rPr>
          <w:rStyle w:val="Refdenotaalpie"/>
          <w:rFonts w:ascii="Verdana" w:hAnsi="Verdana"/>
          <w:sz w:val="16"/>
          <w:szCs w:val="16"/>
        </w:rPr>
        <w:footnoteRef/>
      </w:r>
      <w:r w:rsidRPr="003A34AF">
        <w:rPr>
          <w:rFonts w:ascii="Verdana" w:hAnsi="Verdana"/>
          <w:sz w:val="16"/>
          <w:szCs w:val="16"/>
        </w:rPr>
        <w:t xml:space="preserve"> </w:t>
      </w:r>
      <w:r>
        <w:rPr>
          <w:rFonts w:ascii="Verdana" w:hAnsi="Verdana"/>
          <w:sz w:val="16"/>
          <w:szCs w:val="16"/>
        </w:rPr>
        <w:t>TARELLO, Govanni. La interpretación de la ley. Lima: Palestra Editores, 2013. p. 313.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35843B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98690343" o:spid="_x0000_i1025" type="#_x0000_t75" style="width:11.45pt;height:11.45pt;visibility:visible;mso-wrap-style:square">
            <v:imagedata r:id="rId1" o:title=""/>
          </v:shape>
        </w:pict>
      </mc:Choice>
      <mc:Fallback>
        <w:drawing>
          <wp:inline distT="0" distB="0" distL="0" distR="0" wp14:anchorId="1BA09421" wp14:editId="7A5F6C02">
            <wp:extent cx="145415" cy="145415"/>
            <wp:effectExtent l="0" t="0" r="0" b="0"/>
            <wp:docPr id="198690343" name="Imagen 198690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5415" cy="14541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1330140246">
    <w:abstractNumId w:val="0"/>
  </w:num>
  <w:num w:numId="17"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4"/>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AD5"/>
    <w:rsid w:val="00046945"/>
    <w:rsid w:val="00061B2A"/>
    <w:rsid w:val="00082362"/>
    <w:rsid w:val="00090BA3"/>
    <w:rsid w:val="000A683E"/>
    <w:rsid w:val="000B19B9"/>
    <w:rsid w:val="000D0334"/>
    <w:rsid w:val="000F6486"/>
    <w:rsid w:val="00125105"/>
    <w:rsid w:val="00127233"/>
    <w:rsid w:val="001511A0"/>
    <w:rsid w:val="001E4177"/>
    <w:rsid w:val="001F7DC6"/>
    <w:rsid w:val="00200658"/>
    <w:rsid w:val="002421BB"/>
    <w:rsid w:val="0025796E"/>
    <w:rsid w:val="002707A2"/>
    <w:rsid w:val="002951A0"/>
    <w:rsid w:val="002962BC"/>
    <w:rsid w:val="002A093D"/>
    <w:rsid w:val="002A0DD0"/>
    <w:rsid w:val="002A49AC"/>
    <w:rsid w:val="002A64FD"/>
    <w:rsid w:val="002C7A84"/>
    <w:rsid w:val="002D1623"/>
    <w:rsid w:val="002E4FD9"/>
    <w:rsid w:val="00322A85"/>
    <w:rsid w:val="00324168"/>
    <w:rsid w:val="003448F4"/>
    <w:rsid w:val="00374F5E"/>
    <w:rsid w:val="00377E3E"/>
    <w:rsid w:val="003A779E"/>
    <w:rsid w:val="003D0F4D"/>
    <w:rsid w:val="003D5B0D"/>
    <w:rsid w:val="003E0499"/>
    <w:rsid w:val="003E7248"/>
    <w:rsid w:val="003F3941"/>
    <w:rsid w:val="00406575"/>
    <w:rsid w:val="00414C74"/>
    <w:rsid w:val="0042722E"/>
    <w:rsid w:val="0044528D"/>
    <w:rsid w:val="00486F58"/>
    <w:rsid w:val="004A1847"/>
    <w:rsid w:val="004A305D"/>
    <w:rsid w:val="004B1402"/>
    <w:rsid w:val="004F21C4"/>
    <w:rsid w:val="004F685F"/>
    <w:rsid w:val="005566E8"/>
    <w:rsid w:val="00574867"/>
    <w:rsid w:val="00591460"/>
    <w:rsid w:val="005B3816"/>
    <w:rsid w:val="005C3777"/>
    <w:rsid w:val="005C5CDC"/>
    <w:rsid w:val="005D476C"/>
    <w:rsid w:val="006219F8"/>
    <w:rsid w:val="00643C9A"/>
    <w:rsid w:val="006502D1"/>
    <w:rsid w:val="00665D70"/>
    <w:rsid w:val="006900D9"/>
    <w:rsid w:val="00706C16"/>
    <w:rsid w:val="00756841"/>
    <w:rsid w:val="007649AB"/>
    <w:rsid w:val="00771D0C"/>
    <w:rsid w:val="007833AC"/>
    <w:rsid w:val="007B268C"/>
    <w:rsid w:val="007B7171"/>
    <w:rsid w:val="007C0C0F"/>
    <w:rsid w:val="007C3DC2"/>
    <w:rsid w:val="007E5497"/>
    <w:rsid w:val="00806F5F"/>
    <w:rsid w:val="00820278"/>
    <w:rsid w:val="00867F95"/>
    <w:rsid w:val="00876518"/>
    <w:rsid w:val="008843B6"/>
    <w:rsid w:val="00891928"/>
    <w:rsid w:val="008A446D"/>
    <w:rsid w:val="008D180B"/>
    <w:rsid w:val="008D4359"/>
    <w:rsid w:val="008F0EA7"/>
    <w:rsid w:val="00923EEF"/>
    <w:rsid w:val="009419F9"/>
    <w:rsid w:val="0095685E"/>
    <w:rsid w:val="00961B09"/>
    <w:rsid w:val="00965334"/>
    <w:rsid w:val="0097093E"/>
    <w:rsid w:val="009809DA"/>
    <w:rsid w:val="00986AC5"/>
    <w:rsid w:val="009A0DFA"/>
    <w:rsid w:val="009B2D26"/>
    <w:rsid w:val="009C71FA"/>
    <w:rsid w:val="009C72E7"/>
    <w:rsid w:val="009D3058"/>
    <w:rsid w:val="009F3A13"/>
    <w:rsid w:val="00A122D3"/>
    <w:rsid w:val="00A17F13"/>
    <w:rsid w:val="00A20739"/>
    <w:rsid w:val="00A33C78"/>
    <w:rsid w:val="00AB0ADB"/>
    <w:rsid w:val="00AD0CA2"/>
    <w:rsid w:val="00B01B1A"/>
    <w:rsid w:val="00B66319"/>
    <w:rsid w:val="00B72CD3"/>
    <w:rsid w:val="00B72FFF"/>
    <w:rsid w:val="00B76BCF"/>
    <w:rsid w:val="00BC3D36"/>
    <w:rsid w:val="00BD7F72"/>
    <w:rsid w:val="00C04FB3"/>
    <w:rsid w:val="00C330EB"/>
    <w:rsid w:val="00C41061"/>
    <w:rsid w:val="00C6273F"/>
    <w:rsid w:val="00C754BE"/>
    <w:rsid w:val="00C76B1C"/>
    <w:rsid w:val="00CA5A76"/>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6127"/>
    <w:rsid w:val="00E8772A"/>
    <w:rsid w:val="00E90F6B"/>
    <w:rsid w:val="00E92C27"/>
    <w:rsid w:val="00EA0E3D"/>
    <w:rsid w:val="00EC38A7"/>
    <w:rsid w:val="00ED7384"/>
    <w:rsid w:val="00EE1AA8"/>
    <w:rsid w:val="00F31EDC"/>
    <w:rsid w:val="00F462B3"/>
    <w:rsid w:val="00F5664F"/>
    <w:rsid w:val="00F666C4"/>
    <w:rsid w:val="00F76AFC"/>
    <w:rsid w:val="00FA47C0"/>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8D4359"/>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8D4359"/>
    <w:rPr>
      <w:rFonts w:ascii="Geomanist Light" w:hAnsi="Geomanist Light"/>
      <w:lang w:val="es-ES"/>
    </w:rPr>
  </w:style>
  <w:style w:type="character" w:customStyle="1" w:styleId="s15">
    <w:name w:val="s15"/>
    <w:basedOn w:val="Fuentedeprrafopredeter"/>
    <w:rsid w:val="008D4359"/>
  </w:style>
  <w:style w:type="character" w:customStyle="1" w:styleId="apple-converted-space">
    <w:name w:val="apple-converted-space"/>
    <w:basedOn w:val="Fuentedeprrafopredeter"/>
    <w:rsid w:val="008D4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manuales-guias-y-pliegos-tipo%2Fmanuales-y-guias%2Fcartilla-para-incentivar-y-fortalecer-el-acceso-las&amp;data=05%7C02%7Cjuan.montoya%40colombiacompra.gov.co%7Ceb0fd05604104aa4d3bc08dd4c4ad35e%7C7b09041e245149d08cb179d5e3d8c1be%7C0%7C0%7C638750606446805443%7CUnknown%7CTWFpbGZsb3d8eyJFbXB0eU1hcGkiOnRydWUsIlYiOiIwLjAuMDAwMCIsIlAiOiJXaW4zMiIsIkFOIjoiTWFpbCIsIldUIjoyfQ%3D%3D%7C0%7C%7C%7C&amp;sdata=aNKgiDSBCbWJOeTv6tQWQstEy2hc8AFY0zDQCYvu25I%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carlosalbert2024@outlook.com"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juan.montoya%40colombiacompra.gov.co%7Ceb0fd05604104aa4d3bc08dd4c4ad35e%7C7b09041e245149d08cb179d5e3d8c1be%7C0%7C0%7C638750606446845819%7CUnknown%7CTWFpbGZsb3d8eyJFbXB0eU1hcGkiOnRydWUsIlYiOiIwLjAuMDAwMCIsIlAiOiJXaW4zMiIsIkFOIjoiTWFpbCIsIldUIjoyfQ%3D%3D%7C0%7C%7C%7C&amp;sdata=KytnSM1zbLq%2BmYOhRHdk77F%2Bxj6KqJMZh%2FiXoPvcoW4%3D&amp;reserved=0"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ciudadanos%2Fcalendario&amp;data=05%7C02%7Cjuan.montoya%40colombiacompra.gov.co%7Ceb0fd05604104aa4d3bc08dd4c4ad35e%7C7b09041e245149d08cb179d5e3d8c1be%7C0%7C0%7C638750606446827566%7CUnknown%7CTWFpbGZsb3d8eyJFbXB0eU1hcGkiOnRydWUsIlYiOiIwLjAuMDAwMCIsIlAiOiJXaW4zMiIsIkFOIjoiTWFpbCIsIldUIjoyfQ%3D%3D%7C0%7C%7C%7C&amp;sdata=sjhVaeK%2F2kWlw27KYSrZxbZhdbXyWT7upgntlR76IXE%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c086ebc9-8fd5-442b-abc4-722db14db030"/>
    <ds:schemaRef ds:uri="8ae15d26-076e-464e-81a7-6f76a0fb3917"/>
  </ds:schemaRefs>
</ds:datastoreItem>
</file>

<file path=customXml/itemProps3.xml><?xml version="1.0" encoding="utf-8"?>
<ds:datastoreItem xmlns:ds="http://schemas.openxmlformats.org/officeDocument/2006/customXml" ds:itemID="{670A8D02-09AA-496F-BF6B-D99914885BAC}"/>
</file>

<file path=docProps/app.xml><?xml version="1.0" encoding="utf-8"?>
<Properties xmlns="http://schemas.openxmlformats.org/officeDocument/2006/extended-properties" xmlns:vt="http://schemas.openxmlformats.org/officeDocument/2006/docPropsVTypes">
  <Template>Normal.dotm</Template>
  <TotalTime>1</TotalTime>
  <Pages>14</Pages>
  <Words>4797</Words>
  <Characters>26384</Characters>
  <Application>Microsoft Office Word</Application>
  <DocSecurity>0</DocSecurity>
  <Lines>219</Lines>
  <Paragraphs>62</Paragraphs>
  <ScaleCrop>false</ScaleCrop>
  <Company/>
  <LinksUpToDate>false</LinksUpToDate>
  <CharactersWithSpaces>31119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Joan Montoya Penagos</cp:lastModifiedBy>
  <cp:revision>4</cp:revision>
  <cp:lastPrinted>2023-01-10T21:18:00Z</cp:lastPrinted>
  <dcterms:created xsi:type="dcterms:W3CDTF">2025-06-04T19:15:00Z</dcterms:created>
  <dcterms:modified xsi:type="dcterms:W3CDTF">2025-06-05T21:55:00Z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