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B7ADB" w14:textId="77777777" w:rsidR="00E27BDF" w:rsidRPr="007A6367" w:rsidRDefault="006C0DA8">
      <w:pPr>
        <w:jc w:val="right"/>
        <w:rPr>
          <w:rFonts w:ascii="Arial" w:eastAsia="Arial" w:hAnsi="Arial" w:cs="Arial"/>
          <w:b/>
          <w:sz w:val="16"/>
          <w:szCs w:val="16"/>
        </w:rPr>
      </w:pPr>
      <w:bookmarkStart w:id="0" w:name="_gjdgxs" w:colFirst="0" w:colLast="0"/>
      <w:bookmarkEnd w:id="0"/>
      <w:r w:rsidRPr="007A6367">
        <w:rPr>
          <w:rFonts w:ascii="Arial" w:eastAsia="Arial" w:hAnsi="Arial" w:cs="Arial"/>
          <w:b/>
          <w:sz w:val="16"/>
          <w:szCs w:val="16"/>
        </w:rPr>
        <w:t xml:space="preserve"> </w:t>
      </w:r>
    </w:p>
    <w:p w14:paraId="72B4F0CF" w14:textId="77777777" w:rsidR="00E27BDF" w:rsidRPr="007A6367" w:rsidRDefault="006C0DA8">
      <w:pPr>
        <w:jc w:val="right"/>
        <w:rPr>
          <w:rFonts w:ascii="Arial" w:eastAsia="Arial" w:hAnsi="Arial" w:cs="Arial"/>
          <w:b/>
          <w:sz w:val="16"/>
          <w:szCs w:val="16"/>
        </w:rPr>
      </w:pPr>
      <w:r w:rsidRPr="007A6367">
        <w:rPr>
          <w:rFonts w:ascii="Arial" w:eastAsia="Arial" w:hAnsi="Arial" w:cs="Arial"/>
          <w:b/>
          <w:sz w:val="16"/>
          <w:szCs w:val="16"/>
        </w:rPr>
        <w:tab/>
        <w:t>CCE-DES-FM-17</w:t>
      </w:r>
    </w:p>
    <w:p w14:paraId="22871975" w14:textId="77777777" w:rsidR="00E27BDF" w:rsidRPr="007A6367" w:rsidRDefault="00E27BDF">
      <w:pPr>
        <w:jc w:val="right"/>
        <w:rPr>
          <w:rFonts w:ascii="Arial" w:eastAsia="Arial" w:hAnsi="Arial" w:cs="Arial"/>
          <w:b/>
          <w:sz w:val="16"/>
          <w:szCs w:val="16"/>
        </w:rPr>
      </w:pPr>
    </w:p>
    <w:p w14:paraId="1999BABD" w14:textId="77777777" w:rsidR="00BB394E" w:rsidRPr="003D62ED" w:rsidRDefault="00BB394E" w:rsidP="00BB394E">
      <w:pPr>
        <w:jc w:val="both"/>
        <w:rPr>
          <w:rFonts w:ascii="Arial" w:eastAsia="Arial" w:hAnsi="Arial" w:cs="Arial"/>
          <w:b/>
          <w:bCs/>
          <w:sz w:val="22"/>
          <w:szCs w:val="22"/>
          <w:lang w:val="es-MX" w:bidi="es-ES"/>
        </w:rPr>
      </w:pPr>
      <w:r w:rsidRPr="003D62ED">
        <w:rPr>
          <w:rFonts w:ascii="Arial" w:eastAsia="Arial" w:hAnsi="Arial" w:cs="Arial"/>
          <w:b/>
          <w:bCs/>
          <w:sz w:val="22"/>
          <w:szCs w:val="22"/>
          <w:lang w:val="es-MX" w:bidi="es-ES"/>
        </w:rPr>
        <w:t xml:space="preserve">CONTRATO O CONVENIO INTERADMINISTRATIVO – Noción – Normativa – Criterio orgánico – Elementos </w:t>
      </w:r>
    </w:p>
    <w:p w14:paraId="399D9F1B" w14:textId="77777777" w:rsidR="00BB394E" w:rsidRPr="00BB394E" w:rsidRDefault="00BB394E" w:rsidP="00BB394E">
      <w:pPr>
        <w:jc w:val="both"/>
        <w:rPr>
          <w:rFonts w:ascii="Arial" w:eastAsia="Arial" w:hAnsi="Arial" w:cs="Arial"/>
          <w:b/>
          <w:bCs/>
          <w:sz w:val="20"/>
          <w:szCs w:val="20"/>
          <w:lang w:val="es-MX" w:bidi="es-ES"/>
        </w:rPr>
      </w:pPr>
    </w:p>
    <w:p w14:paraId="6D0198D8" w14:textId="4127DB41" w:rsidR="003955E8" w:rsidRDefault="003955E8" w:rsidP="003955E8">
      <w:pPr>
        <w:jc w:val="both"/>
        <w:rPr>
          <w:rFonts w:ascii="Arial" w:eastAsia="Arial" w:hAnsi="Arial" w:cs="Arial"/>
          <w:bCs/>
          <w:sz w:val="20"/>
          <w:szCs w:val="20"/>
          <w:lang w:val="es-MX" w:bidi="es-ES"/>
        </w:rPr>
      </w:pPr>
      <w:r w:rsidRPr="003955E8">
        <w:rPr>
          <w:rFonts w:ascii="Arial" w:eastAsia="Arial" w:hAnsi="Arial" w:cs="Arial"/>
          <w:bCs/>
          <w:sz w:val="20"/>
          <w:szCs w:val="20"/>
          <w:lang w:val="es-MX"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normatividad, deba adelantarse un procedimiento amplio. Nótese que, en este caso, lo que cambia es la modalidad de selección y no la naturaleza de contrato interadministrativo.</w:t>
      </w:r>
    </w:p>
    <w:p w14:paraId="31132AF3" w14:textId="13A48F1F" w:rsidR="003955E8" w:rsidRPr="003955E8" w:rsidRDefault="003955E8" w:rsidP="003955E8">
      <w:pPr>
        <w:spacing w:after="120"/>
        <w:jc w:val="both"/>
        <w:rPr>
          <w:rFonts w:ascii="Arial" w:eastAsia="Arial" w:hAnsi="Arial" w:cs="Arial"/>
          <w:bCs/>
          <w:sz w:val="20"/>
          <w:szCs w:val="20"/>
          <w:lang w:val="es-MX" w:bidi="es-ES"/>
        </w:rPr>
      </w:pPr>
      <w:r>
        <w:rPr>
          <w:rFonts w:ascii="Arial" w:eastAsia="Arial" w:hAnsi="Arial" w:cs="Arial"/>
          <w:bCs/>
          <w:sz w:val="20"/>
          <w:szCs w:val="20"/>
          <w:lang w:val="es-MX" w:bidi="es-ES"/>
        </w:rPr>
        <w:t xml:space="preserve">[…] </w:t>
      </w:r>
    </w:p>
    <w:p w14:paraId="5DC127B0" w14:textId="77777777" w:rsidR="003955E8" w:rsidRPr="003955E8" w:rsidRDefault="003955E8" w:rsidP="003955E8">
      <w:pPr>
        <w:spacing w:after="120"/>
        <w:jc w:val="both"/>
        <w:rPr>
          <w:rFonts w:ascii="Arial" w:eastAsia="Arial" w:hAnsi="Arial" w:cs="Arial"/>
          <w:bCs/>
          <w:sz w:val="20"/>
          <w:szCs w:val="20"/>
          <w:lang w:val="es-MX" w:bidi="es-ES"/>
        </w:rPr>
      </w:pPr>
      <w:r w:rsidRPr="003955E8">
        <w:rPr>
          <w:rFonts w:ascii="Arial" w:eastAsia="Arial" w:hAnsi="Arial" w:cs="Arial"/>
          <w:bCs/>
          <w:sz w:val="20"/>
          <w:szCs w:val="20"/>
          <w:lang w:val="es-MX" w:bidi="es-ES"/>
        </w:rPr>
        <w:t xml:space="preserve">La Corte Constitucional expresó en la Sentencia C–671 de 2015, con ponencia del Magistrado Alberto Rojas Ríos  ̶ en control automático de constitucionalidad del Decreto Legislativo 1773 de 2015, «Por el cual se autoriza la celebración de convenios administrativos para la ejecución de recursos públicos por parte de algunas entidades territoriales» ̶  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2C944F30" w14:textId="21D1B9A8" w:rsidR="00BB394E" w:rsidRPr="00BB394E" w:rsidRDefault="003955E8" w:rsidP="003955E8">
      <w:pPr>
        <w:jc w:val="both"/>
        <w:rPr>
          <w:rFonts w:ascii="Arial" w:eastAsia="Arial" w:hAnsi="Arial" w:cs="Arial"/>
          <w:bCs/>
          <w:sz w:val="20"/>
          <w:szCs w:val="20"/>
          <w:lang w:val="es-MX" w:bidi="es-ES"/>
        </w:rPr>
      </w:pPr>
      <w:r w:rsidRPr="003955E8">
        <w:rPr>
          <w:rFonts w:ascii="Arial" w:eastAsia="Arial" w:hAnsi="Arial" w:cs="Arial"/>
          <w:bCs/>
          <w:sz w:val="20"/>
          <w:szCs w:val="20"/>
          <w:lang w:val="es-MX" w:bidi="es-ES"/>
        </w:rPr>
        <w:t>Así las cosas, atendiendo a la literalidad de las normas enunciadas, no cabe una interpretación diferente, pues de acuerdo con lo anotado esta clase de acuerdos de voluntades se definen por un criterio orgánico, por lo que uno de sus elementos esenciales es que en los extremos de la relación jurídico negocial concurran personas de derecho público</w:t>
      </w:r>
      <w:r>
        <w:rPr>
          <w:rFonts w:ascii="Arial" w:eastAsia="Arial" w:hAnsi="Arial" w:cs="Arial"/>
          <w:bCs/>
          <w:sz w:val="20"/>
          <w:szCs w:val="20"/>
          <w:lang w:val="es-MX" w:bidi="es-ES"/>
        </w:rPr>
        <w:t xml:space="preserve"> […].</w:t>
      </w:r>
      <w:r w:rsidR="00BB394E" w:rsidRPr="00BB394E">
        <w:rPr>
          <w:rFonts w:ascii="Arial" w:eastAsia="Arial" w:hAnsi="Arial" w:cs="Arial"/>
          <w:bCs/>
          <w:sz w:val="20"/>
          <w:szCs w:val="20"/>
          <w:lang w:val="es-MX" w:bidi="es-ES"/>
        </w:rPr>
        <w:t xml:space="preserve"> </w:t>
      </w:r>
    </w:p>
    <w:p w14:paraId="7568731D" w14:textId="0DA62743" w:rsidR="004060C9" w:rsidRDefault="004060C9" w:rsidP="004060C9">
      <w:pPr>
        <w:jc w:val="both"/>
        <w:rPr>
          <w:rFonts w:ascii="Arial" w:eastAsia="Arial" w:hAnsi="Arial" w:cs="Arial"/>
          <w:b/>
          <w:bCs/>
          <w:sz w:val="20"/>
          <w:szCs w:val="20"/>
          <w:lang w:val="es-MX" w:bidi="es-ES"/>
        </w:rPr>
      </w:pPr>
    </w:p>
    <w:p w14:paraId="66BE6012" w14:textId="08EEC60F" w:rsidR="00BB394E" w:rsidRPr="003D62ED" w:rsidRDefault="00BB394E" w:rsidP="00BB394E">
      <w:pPr>
        <w:rPr>
          <w:rFonts w:ascii="Arial" w:eastAsia="Arial" w:hAnsi="Arial" w:cs="Arial"/>
          <w:b/>
          <w:bCs/>
          <w:sz w:val="22"/>
          <w:szCs w:val="22"/>
          <w:lang w:val="es-MX"/>
        </w:rPr>
      </w:pPr>
      <w:r w:rsidRPr="003D62ED">
        <w:rPr>
          <w:rFonts w:ascii="Arial" w:eastAsia="Arial" w:hAnsi="Arial" w:cs="Arial"/>
          <w:b/>
          <w:bCs/>
          <w:sz w:val="22"/>
          <w:szCs w:val="22"/>
          <w:lang w:val="es-MX"/>
        </w:rPr>
        <w:t xml:space="preserve">CONTRATOS O CONVENIOS INTERADMINISTRATIVOS – Modalidad de selección </w:t>
      </w:r>
    </w:p>
    <w:p w14:paraId="3078712D" w14:textId="77777777" w:rsidR="00BB394E" w:rsidRPr="00BB394E" w:rsidRDefault="00BB394E" w:rsidP="00BB394E">
      <w:pPr>
        <w:rPr>
          <w:rFonts w:ascii="Arial" w:eastAsia="Arial" w:hAnsi="Arial" w:cs="Arial"/>
          <w:bCs/>
          <w:sz w:val="20"/>
          <w:szCs w:val="20"/>
          <w:lang w:val="es-MX"/>
        </w:rPr>
      </w:pPr>
    </w:p>
    <w:p w14:paraId="2E35348A" w14:textId="77777777" w:rsidR="003955E8" w:rsidRPr="003955E8" w:rsidRDefault="003955E8" w:rsidP="003955E8">
      <w:pPr>
        <w:spacing w:after="120"/>
        <w:jc w:val="both"/>
        <w:rPr>
          <w:rFonts w:ascii="Arial" w:eastAsia="Arial" w:hAnsi="Arial" w:cs="Arial"/>
          <w:bCs/>
          <w:sz w:val="20"/>
          <w:szCs w:val="20"/>
          <w:lang w:val="es-MX"/>
        </w:rPr>
      </w:pPr>
      <w:r w:rsidRPr="003955E8">
        <w:rPr>
          <w:rFonts w:ascii="Arial" w:eastAsia="Arial" w:hAnsi="Arial" w:cs="Arial"/>
          <w:bCs/>
          <w:sz w:val="20"/>
          <w:szCs w:val="20"/>
          <w:lang w:val="es-MX"/>
        </w:rP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«Estarán exceptuados de la figura del contrato interadministrativo, los contratos de seguro de las entidades estatales».</w:t>
      </w:r>
    </w:p>
    <w:p w14:paraId="1F5EBB0A" w14:textId="412141EC" w:rsidR="003955E8" w:rsidRDefault="003955E8" w:rsidP="003955E8">
      <w:pPr>
        <w:jc w:val="both"/>
        <w:rPr>
          <w:rFonts w:ascii="Arial" w:eastAsia="Arial" w:hAnsi="Arial" w:cs="Arial"/>
          <w:bCs/>
          <w:sz w:val="20"/>
          <w:szCs w:val="20"/>
          <w:lang w:val="es-MX"/>
        </w:rPr>
      </w:pPr>
      <w:r w:rsidRPr="003955E8">
        <w:rPr>
          <w:rFonts w:ascii="Arial" w:eastAsia="Arial" w:hAnsi="Arial" w:cs="Arial"/>
          <w:bCs/>
          <w:sz w:val="20"/>
          <w:szCs w:val="20"/>
          <w:lang w:val="es-MX"/>
        </w:rPr>
        <w:t>Así las cosas, la Ley no limitó la celebración de contratos interadministrativos a la modalidad de selección de contratación directa,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en el que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r w:rsidR="006C3826">
        <w:rPr>
          <w:rFonts w:ascii="Arial" w:eastAsia="Arial" w:hAnsi="Arial" w:cs="Arial"/>
          <w:bCs/>
          <w:sz w:val="20"/>
          <w:szCs w:val="20"/>
          <w:lang w:val="es-MX"/>
        </w:rPr>
        <w:t>.</w:t>
      </w:r>
      <w:r w:rsidR="00BB394E" w:rsidRPr="00BB394E">
        <w:rPr>
          <w:rFonts w:ascii="Arial" w:eastAsia="Arial" w:hAnsi="Arial" w:cs="Arial"/>
          <w:bCs/>
          <w:sz w:val="20"/>
          <w:szCs w:val="20"/>
          <w:lang w:val="es-MX"/>
        </w:rPr>
        <w:t xml:space="preserve"> </w:t>
      </w:r>
    </w:p>
    <w:p w14:paraId="33EAE163" w14:textId="77777777" w:rsidR="003955E8" w:rsidRDefault="003955E8">
      <w:pPr>
        <w:rPr>
          <w:rFonts w:ascii="Arial" w:eastAsia="Arial" w:hAnsi="Arial" w:cs="Arial"/>
          <w:bCs/>
          <w:sz w:val="20"/>
          <w:szCs w:val="20"/>
          <w:lang w:val="es-MX"/>
        </w:rPr>
      </w:pPr>
      <w:r>
        <w:rPr>
          <w:rFonts w:ascii="Arial" w:eastAsia="Arial" w:hAnsi="Arial" w:cs="Arial"/>
          <w:bCs/>
          <w:sz w:val="20"/>
          <w:szCs w:val="20"/>
          <w:lang w:val="es-MX"/>
        </w:rPr>
        <w:br w:type="page"/>
      </w:r>
    </w:p>
    <w:p w14:paraId="032A0FC9" w14:textId="5DC0A282" w:rsidR="00E27BDF" w:rsidRPr="007A6367" w:rsidRDefault="006C0DA8" w:rsidP="0036269D">
      <w:pPr>
        <w:rPr>
          <w:rFonts w:ascii="Arial" w:eastAsia="Arial" w:hAnsi="Arial" w:cs="Arial"/>
          <w:sz w:val="22"/>
          <w:szCs w:val="22"/>
        </w:rPr>
      </w:pPr>
      <w:r w:rsidRPr="007A6367">
        <w:rPr>
          <w:rFonts w:ascii="Arial" w:eastAsia="Arial" w:hAnsi="Arial" w:cs="Arial"/>
          <w:sz w:val="22"/>
          <w:szCs w:val="22"/>
        </w:rPr>
        <w:lastRenderedPageBreak/>
        <w:t xml:space="preserve">Bogotá D.C., </w:t>
      </w:r>
      <w:r w:rsidR="00F26028">
        <w:rPr>
          <w:rFonts w:ascii="Arial" w:eastAsia="Arial" w:hAnsi="Arial" w:cs="Arial"/>
          <w:b/>
          <w:sz w:val="22"/>
          <w:szCs w:val="22"/>
          <w:lang w:val="es-MX"/>
        </w:rPr>
        <w:t>19</w:t>
      </w:r>
      <w:r w:rsidR="00F26028" w:rsidRPr="00F26028">
        <w:rPr>
          <w:rFonts w:ascii="Arial" w:eastAsia="Arial" w:hAnsi="Arial" w:cs="Arial"/>
          <w:b/>
          <w:sz w:val="22"/>
          <w:szCs w:val="22"/>
          <w:lang w:val="es-MX"/>
        </w:rPr>
        <w:t xml:space="preserve">/11/2020 </w:t>
      </w:r>
      <w:r w:rsidR="00F26028">
        <w:rPr>
          <w:rFonts w:ascii="Arial" w:eastAsia="Arial" w:hAnsi="Arial" w:cs="Arial"/>
          <w:b/>
          <w:sz w:val="22"/>
          <w:szCs w:val="22"/>
          <w:lang w:val="es-MX"/>
        </w:rPr>
        <w:t>14</w:t>
      </w:r>
      <w:r w:rsidR="00F26028" w:rsidRPr="00F26028">
        <w:rPr>
          <w:rFonts w:ascii="Arial" w:eastAsia="Arial" w:hAnsi="Arial" w:cs="Arial"/>
          <w:b/>
          <w:sz w:val="22"/>
          <w:szCs w:val="22"/>
          <w:lang w:val="es-MX"/>
        </w:rPr>
        <w:t>:54:</w:t>
      </w:r>
      <w:r w:rsidR="00F26028">
        <w:rPr>
          <w:rFonts w:ascii="Arial" w:eastAsia="Arial" w:hAnsi="Arial" w:cs="Arial"/>
          <w:b/>
          <w:sz w:val="22"/>
          <w:szCs w:val="22"/>
          <w:lang w:val="es-MX"/>
        </w:rPr>
        <w:t>10</w:t>
      </w:r>
      <w:r w:rsidR="00F26028" w:rsidRPr="00F26028">
        <w:rPr>
          <w:rFonts w:ascii="Arial" w:eastAsia="Arial" w:hAnsi="Arial" w:cs="Arial"/>
          <w:b/>
          <w:sz w:val="22"/>
          <w:szCs w:val="22"/>
          <w:lang w:val="es-MX"/>
        </w:rPr>
        <w:t>s</w:t>
      </w:r>
    </w:p>
    <w:p w14:paraId="222118A1" w14:textId="77777777" w:rsidR="003D5501" w:rsidRPr="007A6367" w:rsidRDefault="003D5501" w:rsidP="0036269D">
      <w:pPr>
        <w:rPr>
          <w:rFonts w:ascii="Arial" w:eastAsia="Arial" w:hAnsi="Arial" w:cs="Arial"/>
          <w:b/>
          <w:sz w:val="22"/>
          <w:szCs w:val="22"/>
        </w:rPr>
      </w:pPr>
    </w:p>
    <w:p w14:paraId="7FAC49B0" w14:textId="7DF3C169" w:rsidR="00E27BDF" w:rsidRPr="007A6367" w:rsidRDefault="006C0DA8" w:rsidP="003D5501">
      <w:pPr>
        <w:jc w:val="right"/>
        <w:rPr>
          <w:rFonts w:ascii="Arial" w:eastAsia="Arial" w:hAnsi="Arial" w:cs="Arial"/>
          <w:b/>
          <w:sz w:val="22"/>
          <w:szCs w:val="22"/>
        </w:rPr>
      </w:pPr>
      <w:proofErr w:type="spellStart"/>
      <w:r w:rsidRPr="007A6367">
        <w:rPr>
          <w:rFonts w:ascii="Arial" w:eastAsia="Arial" w:hAnsi="Arial" w:cs="Arial"/>
          <w:b/>
          <w:sz w:val="22"/>
          <w:szCs w:val="22"/>
        </w:rPr>
        <w:t>N°</w:t>
      </w:r>
      <w:proofErr w:type="spellEnd"/>
      <w:r w:rsidRPr="007A6367">
        <w:rPr>
          <w:rFonts w:ascii="Arial" w:eastAsia="Arial" w:hAnsi="Arial" w:cs="Arial"/>
          <w:b/>
          <w:sz w:val="22"/>
          <w:szCs w:val="22"/>
        </w:rPr>
        <w:t xml:space="preserve"> Radicado: </w:t>
      </w:r>
      <w:r w:rsidR="00F26028">
        <w:rPr>
          <w:rFonts w:ascii="Arial" w:eastAsia="Arial" w:hAnsi="Arial" w:cs="Arial"/>
          <w:b/>
          <w:sz w:val="22"/>
          <w:szCs w:val="22"/>
        </w:rPr>
        <w:t>22020013000011451</w:t>
      </w:r>
    </w:p>
    <w:p w14:paraId="0F93E392" w14:textId="77777777" w:rsidR="00E27BDF" w:rsidRPr="007A6367" w:rsidRDefault="00E27BDF">
      <w:pPr>
        <w:rPr>
          <w:rFonts w:ascii="Arial" w:eastAsia="Arial" w:hAnsi="Arial" w:cs="Arial"/>
          <w:sz w:val="22"/>
          <w:szCs w:val="22"/>
        </w:rPr>
      </w:pPr>
    </w:p>
    <w:p w14:paraId="14D1F3D3" w14:textId="7B6A83A7" w:rsidR="00B57AE8" w:rsidRDefault="006C0DA8">
      <w:pPr>
        <w:rPr>
          <w:rFonts w:ascii="Arial" w:eastAsia="Arial" w:hAnsi="Arial" w:cs="Arial"/>
          <w:sz w:val="22"/>
          <w:szCs w:val="22"/>
        </w:rPr>
      </w:pPr>
      <w:r w:rsidRPr="007A6367">
        <w:rPr>
          <w:rFonts w:ascii="Arial" w:eastAsia="Arial" w:hAnsi="Arial" w:cs="Arial"/>
          <w:sz w:val="22"/>
          <w:szCs w:val="22"/>
        </w:rPr>
        <w:t>Señor</w:t>
      </w:r>
    </w:p>
    <w:p w14:paraId="4C1159E6" w14:textId="101AEC19" w:rsidR="00FA74D2" w:rsidRPr="00FA74D2" w:rsidRDefault="00987639">
      <w:pPr>
        <w:rPr>
          <w:rFonts w:ascii="Arial" w:eastAsia="Arial" w:hAnsi="Arial" w:cs="Arial"/>
          <w:b/>
          <w:sz w:val="22"/>
          <w:szCs w:val="22"/>
        </w:rPr>
      </w:pPr>
      <w:r>
        <w:rPr>
          <w:rFonts w:ascii="Arial" w:eastAsia="Arial" w:hAnsi="Arial" w:cs="Arial"/>
          <w:b/>
          <w:sz w:val="22"/>
          <w:szCs w:val="22"/>
        </w:rPr>
        <w:t>Nilton Javie</w:t>
      </w:r>
      <w:r w:rsidR="006C3826">
        <w:rPr>
          <w:rFonts w:ascii="Arial" w:eastAsia="Arial" w:hAnsi="Arial" w:cs="Arial"/>
          <w:b/>
          <w:sz w:val="22"/>
          <w:szCs w:val="22"/>
        </w:rPr>
        <w:t>r C</w:t>
      </w:r>
      <w:r>
        <w:rPr>
          <w:rFonts w:ascii="Arial" w:eastAsia="Arial" w:hAnsi="Arial" w:cs="Arial"/>
          <w:b/>
          <w:sz w:val="22"/>
          <w:szCs w:val="22"/>
        </w:rPr>
        <w:t>aicedo</w:t>
      </w:r>
    </w:p>
    <w:p w14:paraId="2335A75F" w14:textId="16C5E29F" w:rsidR="00E27BDF" w:rsidRPr="007A6367" w:rsidRDefault="00FA74D2">
      <w:pPr>
        <w:rPr>
          <w:rFonts w:ascii="Arial" w:eastAsia="Arial" w:hAnsi="Arial" w:cs="Arial"/>
          <w:b/>
          <w:sz w:val="22"/>
          <w:szCs w:val="22"/>
        </w:rPr>
      </w:pPr>
      <w:r>
        <w:rPr>
          <w:rFonts w:ascii="Arial" w:eastAsia="Arial" w:hAnsi="Arial" w:cs="Arial"/>
          <w:sz w:val="22"/>
          <w:szCs w:val="22"/>
        </w:rPr>
        <w:t>Bogotá</w:t>
      </w:r>
      <w:r w:rsidR="00F81193">
        <w:rPr>
          <w:rFonts w:ascii="Arial" w:eastAsia="Arial" w:hAnsi="Arial" w:cs="Arial"/>
          <w:sz w:val="22"/>
          <w:szCs w:val="22"/>
        </w:rPr>
        <w:t xml:space="preserve"> D.C.</w:t>
      </w:r>
    </w:p>
    <w:p w14:paraId="5C62B0CA" w14:textId="77777777" w:rsidR="00E27BDF" w:rsidRPr="007A6367" w:rsidRDefault="00E27BDF">
      <w:pPr>
        <w:rPr>
          <w:rFonts w:ascii="Arial" w:eastAsia="Arial" w:hAnsi="Arial" w:cs="Arial"/>
          <w:sz w:val="22"/>
          <w:szCs w:val="22"/>
        </w:rPr>
      </w:pPr>
    </w:p>
    <w:p w14:paraId="197A64B4" w14:textId="3FA6FDDE" w:rsidR="00E27BDF" w:rsidRPr="007A6367" w:rsidRDefault="006C0DA8">
      <w:pPr>
        <w:ind w:firstLine="2694"/>
        <w:rPr>
          <w:rFonts w:ascii="Arial" w:eastAsia="Arial" w:hAnsi="Arial" w:cs="Arial"/>
          <w:b/>
          <w:sz w:val="22"/>
          <w:szCs w:val="22"/>
        </w:rPr>
      </w:pPr>
      <w:r w:rsidRPr="007A6367">
        <w:rPr>
          <w:rFonts w:ascii="Arial" w:eastAsia="Arial" w:hAnsi="Arial" w:cs="Arial"/>
          <w:b/>
          <w:sz w:val="22"/>
          <w:szCs w:val="22"/>
        </w:rPr>
        <w:t xml:space="preserve">Concepto C – </w:t>
      </w:r>
      <w:r w:rsidR="009D2F14">
        <w:rPr>
          <w:rFonts w:ascii="Arial" w:eastAsia="Arial" w:hAnsi="Arial" w:cs="Arial"/>
          <w:b/>
          <w:sz w:val="22"/>
          <w:szCs w:val="22"/>
        </w:rPr>
        <w:t>681</w:t>
      </w:r>
      <w:r w:rsidR="001E3DE8" w:rsidRPr="007A6367">
        <w:rPr>
          <w:rFonts w:ascii="Arial" w:eastAsia="Arial" w:hAnsi="Arial" w:cs="Arial"/>
          <w:b/>
          <w:sz w:val="22"/>
          <w:szCs w:val="22"/>
        </w:rPr>
        <w:t xml:space="preserve"> </w:t>
      </w:r>
      <w:r w:rsidRPr="007A6367">
        <w:rPr>
          <w:rFonts w:ascii="Arial" w:eastAsia="Arial" w:hAnsi="Arial" w:cs="Arial"/>
          <w:b/>
          <w:sz w:val="22"/>
          <w:szCs w:val="22"/>
        </w:rPr>
        <w:t>de 2020</w:t>
      </w:r>
    </w:p>
    <w:p w14:paraId="0776158D" w14:textId="77777777" w:rsidR="00E27BDF" w:rsidRPr="007A6367" w:rsidRDefault="00E27BDF">
      <w:pPr>
        <w:rPr>
          <w:rFonts w:ascii="Arial" w:eastAsia="Arial" w:hAnsi="Arial" w:cs="Arial"/>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7A6367" w:rsidRPr="007A6367" w14:paraId="322C87C9" w14:textId="77777777">
        <w:tc>
          <w:tcPr>
            <w:tcW w:w="2689" w:type="dxa"/>
          </w:tcPr>
          <w:p w14:paraId="582572A0" w14:textId="77777777" w:rsidR="00E27BDF" w:rsidRPr="007A6367" w:rsidRDefault="006C0DA8">
            <w:pPr>
              <w:rPr>
                <w:rFonts w:ascii="Arial" w:eastAsia="Arial" w:hAnsi="Arial" w:cs="Arial"/>
                <w:sz w:val="22"/>
                <w:szCs w:val="22"/>
              </w:rPr>
            </w:pPr>
            <w:r w:rsidRPr="007A6367">
              <w:rPr>
                <w:rFonts w:ascii="Arial" w:eastAsia="Arial" w:hAnsi="Arial" w:cs="Arial"/>
                <w:b/>
                <w:sz w:val="22"/>
                <w:szCs w:val="22"/>
              </w:rPr>
              <w:t>Temas:</w:t>
            </w:r>
            <w:r w:rsidRPr="007A6367">
              <w:rPr>
                <w:rFonts w:ascii="Arial" w:eastAsia="Arial" w:hAnsi="Arial" w:cs="Arial"/>
                <w:sz w:val="22"/>
                <w:szCs w:val="22"/>
              </w:rPr>
              <w:t xml:space="preserve">           </w:t>
            </w:r>
          </w:p>
          <w:p w14:paraId="2FAB4B01" w14:textId="77777777" w:rsidR="00E27BDF" w:rsidRPr="007A6367" w:rsidRDefault="006C0DA8">
            <w:pPr>
              <w:rPr>
                <w:rFonts w:ascii="Arial" w:eastAsia="Arial" w:hAnsi="Arial" w:cs="Arial"/>
                <w:sz w:val="22"/>
                <w:szCs w:val="22"/>
              </w:rPr>
            </w:pPr>
            <w:r w:rsidRPr="007A6367">
              <w:rPr>
                <w:rFonts w:ascii="Arial" w:eastAsia="Arial" w:hAnsi="Arial" w:cs="Arial"/>
                <w:sz w:val="22"/>
                <w:szCs w:val="22"/>
              </w:rPr>
              <w:t xml:space="preserve">                           </w:t>
            </w:r>
          </w:p>
        </w:tc>
        <w:tc>
          <w:tcPr>
            <w:tcW w:w="6237" w:type="dxa"/>
          </w:tcPr>
          <w:p w14:paraId="596927E6" w14:textId="7E13FD64" w:rsidR="00E27BDF" w:rsidRPr="00987639" w:rsidRDefault="00987639" w:rsidP="005F355D">
            <w:pPr>
              <w:jc w:val="both"/>
              <w:rPr>
                <w:rFonts w:ascii="Arial" w:eastAsia="Arial" w:hAnsi="Arial" w:cs="Arial"/>
                <w:bCs/>
                <w:sz w:val="22"/>
                <w:szCs w:val="22"/>
                <w:lang w:val="es-MX"/>
              </w:rPr>
            </w:pPr>
            <w:r w:rsidRPr="00987639">
              <w:rPr>
                <w:rFonts w:ascii="Arial" w:eastAsia="Arial" w:hAnsi="Arial" w:cs="Arial"/>
                <w:bCs/>
                <w:sz w:val="22"/>
                <w:szCs w:val="22"/>
                <w:lang w:val="es-MX"/>
              </w:rPr>
              <w:t xml:space="preserve">CONTRATO O CONVENIO INTERADMINISTRATIVO – Noción – Normativa – Criterio orgánico – Elementos </w:t>
            </w:r>
            <w:r w:rsidR="006C0DA8" w:rsidRPr="00987639">
              <w:rPr>
                <w:rFonts w:ascii="Arial" w:eastAsia="Arial" w:hAnsi="Arial" w:cs="Arial"/>
                <w:sz w:val="22"/>
                <w:szCs w:val="22"/>
              </w:rPr>
              <w:t>/</w:t>
            </w:r>
            <w:r w:rsidRPr="00987639">
              <w:rPr>
                <w:rFonts w:ascii="Arial" w:eastAsia="Arial" w:hAnsi="Arial" w:cs="Arial"/>
                <w:sz w:val="22"/>
                <w:szCs w:val="22"/>
              </w:rPr>
              <w:t xml:space="preserve"> </w:t>
            </w:r>
            <w:r w:rsidRPr="00987639">
              <w:rPr>
                <w:rFonts w:ascii="Arial" w:eastAsia="Arial" w:hAnsi="Arial" w:cs="Arial"/>
                <w:bCs/>
                <w:sz w:val="22"/>
                <w:szCs w:val="22"/>
                <w:lang w:val="es-MX"/>
              </w:rPr>
              <w:t>CONTRATOS O CONVENIOS INTERADMINISTRATIVOS – Modalidad de selección</w:t>
            </w:r>
            <w:r w:rsidR="0006160F" w:rsidRPr="00987639">
              <w:rPr>
                <w:rFonts w:ascii="Arial" w:eastAsia="Arial" w:hAnsi="Arial" w:cs="Arial"/>
                <w:bCs/>
                <w:sz w:val="22"/>
                <w:szCs w:val="22"/>
                <w:lang w:val="es-MX"/>
              </w:rPr>
              <w:t>.</w:t>
            </w:r>
          </w:p>
        </w:tc>
      </w:tr>
      <w:tr w:rsidR="00E27BDF" w:rsidRPr="007A6367" w14:paraId="2355401D" w14:textId="77777777">
        <w:tc>
          <w:tcPr>
            <w:tcW w:w="2689" w:type="dxa"/>
          </w:tcPr>
          <w:p w14:paraId="7161ECB4" w14:textId="77777777" w:rsidR="00E27BDF" w:rsidRPr="007A6367" w:rsidRDefault="006C0DA8">
            <w:pPr>
              <w:spacing w:before="60"/>
              <w:rPr>
                <w:rFonts w:ascii="Arial" w:eastAsia="Arial" w:hAnsi="Arial" w:cs="Arial"/>
                <w:b/>
                <w:sz w:val="22"/>
                <w:szCs w:val="22"/>
              </w:rPr>
            </w:pPr>
            <w:r w:rsidRPr="007A6367">
              <w:rPr>
                <w:rFonts w:ascii="Arial" w:eastAsia="Arial" w:hAnsi="Arial" w:cs="Arial"/>
                <w:b/>
                <w:sz w:val="22"/>
                <w:szCs w:val="22"/>
              </w:rPr>
              <w:t>Radicación:</w:t>
            </w:r>
            <w:r w:rsidRPr="007A6367">
              <w:rPr>
                <w:rFonts w:ascii="Arial" w:eastAsia="Arial" w:hAnsi="Arial" w:cs="Arial"/>
                <w:sz w:val="22"/>
                <w:szCs w:val="22"/>
              </w:rPr>
              <w:t xml:space="preserve">                              </w:t>
            </w:r>
          </w:p>
        </w:tc>
        <w:tc>
          <w:tcPr>
            <w:tcW w:w="6237" w:type="dxa"/>
          </w:tcPr>
          <w:p w14:paraId="54C2A88E" w14:textId="7E0DCC28" w:rsidR="00E27BDF" w:rsidRPr="007A6367" w:rsidRDefault="006C0DA8" w:rsidP="003D5501">
            <w:pPr>
              <w:spacing w:before="60"/>
              <w:rPr>
                <w:rFonts w:ascii="Arial" w:eastAsia="Arial" w:hAnsi="Arial" w:cs="Arial"/>
                <w:sz w:val="22"/>
                <w:szCs w:val="22"/>
              </w:rPr>
            </w:pPr>
            <w:r w:rsidRPr="007A6367">
              <w:rPr>
                <w:rFonts w:ascii="Arial" w:eastAsia="Arial" w:hAnsi="Arial" w:cs="Arial"/>
                <w:sz w:val="22"/>
                <w:szCs w:val="22"/>
              </w:rPr>
              <w:t xml:space="preserve">Respuesta a consulta # </w:t>
            </w:r>
            <w:r w:rsidR="00987639" w:rsidRPr="00987639">
              <w:rPr>
                <w:rFonts w:ascii="Arial" w:eastAsia="Arial" w:hAnsi="Arial" w:cs="Arial"/>
                <w:sz w:val="22"/>
                <w:szCs w:val="22"/>
              </w:rPr>
              <w:t>4202013000009248</w:t>
            </w:r>
          </w:p>
          <w:p w14:paraId="4AC93078" w14:textId="77777777" w:rsidR="00E27BDF" w:rsidRPr="007A6367" w:rsidRDefault="00E27BDF">
            <w:pPr>
              <w:spacing w:before="60"/>
              <w:jc w:val="both"/>
              <w:rPr>
                <w:rFonts w:ascii="Arial" w:eastAsia="Arial" w:hAnsi="Arial" w:cs="Arial"/>
                <w:sz w:val="22"/>
                <w:szCs w:val="22"/>
              </w:rPr>
            </w:pPr>
          </w:p>
        </w:tc>
      </w:tr>
    </w:tbl>
    <w:p w14:paraId="18896E2E" w14:textId="77777777" w:rsidR="00E27BDF" w:rsidRPr="007A6367" w:rsidRDefault="00E27BDF">
      <w:pPr>
        <w:jc w:val="both"/>
        <w:rPr>
          <w:rFonts w:ascii="Arial" w:eastAsia="Arial" w:hAnsi="Arial" w:cs="Arial"/>
          <w:sz w:val="22"/>
          <w:szCs w:val="22"/>
        </w:rPr>
      </w:pPr>
    </w:p>
    <w:p w14:paraId="6B54A5C9" w14:textId="170ED689" w:rsidR="00E27BDF" w:rsidRPr="007A6367" w:rsidRDefault="006C0DA8">
      <w:pPr>
        <w:rPr>
          <w:rFonts w:ascii="Arial" w:eastAsia="Arial" w:hAnsi="Arial" w:cs="Arial"/>
          <w:sz w:val="22"/>
          <w:szCs w:val="22"/>
        </w:rPr>
      </w:pPr>
      <w:r w:rsidRPr="007A6367">
        <w:rPr>
          <w:rFonts w:ascii="Arial" w:eastAsia="Arial" w:hAnsi="Arial" w:cs="Arial"/>
          <w:sz w:val="22"/>
          <w:szCs w:val="22"/>
        </w:rPr>
        <w:t>Estimad</w:t>
      </w:r>
      <w:r w:rsidR="000C6478">
        <w:rPr>
          <w:rFonts w:ascii="Arial" w:eastAsia="Arial" w:hAnsi="Arial" w:cs="Arial"/>
          <w:sz w:val="22"/>
          <w:szCs w:val="22"/>
        </w:rPr>
        <w:t xml:space="preserve">o </w:t>
      </w:r>
      <w:r w:rsidRPr="007A6367">
        <w:rPr>
          <w:rFonts w:ascii="Arial" w:eastAsia="Arial" w:hAnsi="Arial" w:cs="Arial"/>
          <w:sz w:val="22"/>
          <w:szCs w:val="22"/>
        </w:rPr>
        <w:t>señor</w:t>
      </w:r>
      <w:r w:rsidR="00CE148F">
        <w:rPr>
          <w:rFonts w:ascii="Arial" w:eastAsia="Arial" w:hAnsi="Arial" w:cs="Arial"/>
          <w:sz w:val="22"/>
          <w:szCs w:val="22"/>
        </w:rPr>
        <w:t xml:space="preserve"> </w:t>
      </w:r>
      <w:r w:rsidR="000C6478">
        <w:rPr>
          <w:rFonts w:ascii="Arial" w:eastAsia="Arial" w:hAnsi="Arial" w:cs="Arial"/>
          <w:sz w:val="22"/>
          <w:szCs w:val="22"/>
        </w:rPr>
        <w:t>Caicedo</w:t>
      </w:r>
      <w:r w:rsidRPr="007A6367">
        <w:rPr>
          <w:rFonts w:ascii="Arial" w:eastAsia="Arial" w:hAnsi="Arial" w:cs="Arial"/>
          <w:sz w:val="22"/>
          <w:szCs w:val="22"/>
        </w:rPr>
        <w:t>:</w:t>
      </w:r>
    </w:p>
    <w:p w14:paraId="29691060" w14:textId="77777777" w:rsidR="00E27BDF" w:rsidRPr="007A6367" w:rsidRDefault="00E27BDF">
      <w:pPr>
        <w:rPr>
          <w:rFonts w:ascii="Arial" w:eastAsia="Arial" w:hAnsi="Arial" w:cs="Arial"/>
          <w:sz w:val="22"/>
          <w:szCs w:val="22"/>
        </w:rPr>
      </w:pPr>
    </w:p>
    <w:p w14:paraId="3EA5EC32" w14:textId="09FA8E54" w:rsidR="00E27BDF" w:rsidRPr="007A6367" w:rsidRDefault="006C0DA8">
      <w:pPr>
        <w:spacing w:line="276" w:lineRule="auto"/>
        <w:jc w:val="both"/>
        <w:rPr>
          <w:rFonts w:ascii="Arial" w:eastAsia="Arial" w:hAnsi="Arial" w:cs="Arial"/>
          <w:sz w:val="22"/>
          <w:szCs w:val="22"/>
        </w:rPr>
      </w:pPr>
      <w:r w:rsidRPr="007A6367">
        <w:rPr>
          <w:rFonts w:ascii="Arial" w:eastAsia="Arial" w:hAnsi="Arial" w:cs="Arial"/>
          <w:sz w:val="22"/>
          <w:szCs w:val="22"/>
        </w:rPr>
        <w:t xml:space="preserve">En ejercicio de la competencia otorgada por los artículos 11, numeral 8º, y 3º, numeral 5º, del Decreto Ley 4170 de 2011, la Agencia Nacional de Contratación Pública―Colombia Compra Eficiente responde su consulta del </w:t>
      </w:r>
      <w:r w:rsidR="00FA74D2">
        <w:rPr>
          <w:rFonts w:ascii="Arial" w:eastAsia="Arial" w:hAnsi="Arial" w:cs="Arial"/>
          <w:sz w:val="22"/>
          <w:szCs w:val="22"/>
        </w:rPr>
        <w:t>14 de octubre</w:t>
      </w:r>
      <w:r w:rsidRPr="007A6367">
        <w:rPr>
          <w:rFonts w:ascii="Arial" w:eastAsia="Arial" w:hAnsi="Arial" w:cs="Arial"/>
          <w:sz w:val="22"/>
          <w:szCs w:val="22"/>
        </w:rPr>
        <w:t xml:space="preserve"> de 2020. </w:t>
      </w:r>
    </w:p>
    <w:p w14:paraId="7E631247" w14:textId="77777777" w:rsidR="00E27BDF" w:rsidRPr="007A6367" w:rsidRDefault="00E27BDF">
      <w:pPr>
        <w:spacing w:line="276" w:lineRule="auto"/>
        <w:jc w:val="both"/>
        <w:rPr>
          <w:rFonts w:ascii="Arial" w:eastAsia="Arial" w:hAnsi="Arial" w:cs="Arial"/>
          <w:sz w:val="22"/>
          <w:szCs w:val="22"/>
        </w:rPr>
      </w:pPr>
    </w:p>
    <w:p w14:paraId="39C11F03" w14:textId="77777777" w:rsidR="00E27BDF" w:rsidRPr="007A6367" w:rsidRDefault="006C0DA8">
      <w:pPr>
        <w:numPr>
          <w:ilvl w:val="0"/>
          <w:numId w:val="1"/>
        </w:numPr>
        <w:pBdr>
          <w:top w:val="nil"/>
          <w:left w:val="nil"/>
          <w:bottom w:val="nil"/>
          <w:right w:val="nil"/>
          <w:between w:val="nil"/>
        </w:pBdr>
        <w:tabs>
          <w:tab w:val="left" w:pos="284"/>
        </w:tabs>
        <w:spacing w:line="276" w:lineRule="auto"/>
        <w:ind w:left="0" w:firstLine="0"/>
        <w:jc w:val="both"/>
        <w:rPr>
          <w:rFonts w:ascii="Arial" w:eastAsia="Arial" w:hAnsi="Arial" w:cs="Arial"/>
          <w:sz w:val="22"/>
          <w:szCs w:val="22"/>
        </w:rPr>
      </w:pPr>
      <w:r w:rsidRPr="007A6367">
        <w:rPr>
          <w:rFonts w:ascii="Arial" w:eastAsia="Arial" w:hAnsi="Arial" w:cs="Arial"/>
          <w:b/>
          <w:sz w:val="22"/>
          <w:szCs w:val="22"/>
        </w:rPr>
        <w:t xml:space="preserve">Problemas planteados </w:t>
      </w:r>
    </w:p>
    <w:p w14:paraId="40CF7B40" w14:textId="77777777" w:rsidR="00E27BDF" w:rsidRPr="007A6367" w:rsidRDefault="00E27BDF">
      <w:pPr>
        <w:tabs>
          <w:tab w:val="left" w:pos="426"/>
        </w:tabs>
        <w:spacing w:line="276" w:lineRule="auto"/>
        <w:jc w:val="both"/>
        <w:rPr>
          <w:rFonts w:ascii="Arial" w:eastAsia="Arial" w:hAnsi="Arial" w:cs="Arial"/>
          <w:b/>
          <w:sz w:val="22"/>
          <w:szCs w:val="22"/>
        </w:rPr>
      </w:pPr>
    </w:p>
    <w:p w14:paraId="693C3530" w14:textId="68099D6B" w:rsidR="00717570" w:rsidRPr="007A6367" w:rsidRDefault="002F19EF" w:rsidP="00005D92">
      <w:pPr>
        <w:spacing w:line="276" w:lineRule="auto"/>
        <w:jc w:val="both"/>
        <w:rPr>
          <w:rFonts w:ascii="Arial" w:eastAsia="Arial" w:hAnsi="Arial" w:cs="Arial"/>
          <w:sz w:val="22"/>
          <w:szCs w:val="22"/>
        </w:rPr>
      </w:pPr>
      <w:r>
        <w:rPr>
          <w:rFonts w:ascii="Arial" w:eastAsia="Arial" w:hAnsi="Arial" w:cs="Arial"/>
          <w:sz w:val="22"/>
          <w:szCs w:val="22"/>
        </w:rPr>
        <w:t>Usted eleva la siguiente inquietud</w:t>
      </w:r>
      <w:r w:rsidR="00717570" w:rsidRPr="007A6367">
        <w:rPr>
          <w:rFonts w:ascii="Arial" w:eastAsia="Arial" w:hAnsi="Arial" w:cs="Arial"/>
          <w:sz w:val="22"/>
          <w:szCs w:val="22"/>
        </w:rPr>
        <w:t>, «</w:t>
      </w:r>
      <w:r w:rsidRPr="002F19EF">
        <w:rPr>
          <w:rFonts w:ascii="Arial" w:eastAsia="Arial" w:hAnsi="Arial" w:cs="Arial"/>
          <w:sz w:val="22"/>
          <w:szCs w:val="22"/>
        </w:rPr>
        <w:t>¿Puede una entidad pública celebrar contrato interadministrativo o convenio interadministrativo cuyo objeto es la ejecución de una obra públic</w:t>
      </w:r>
      <w:r w:rsidR="006C3826">
        <w:rPr>
          <w:rFonts w:ascii="Arial" w:eastAsia="Arial" w:hAnsi="Arial" w:cs="Arial"/>
          <w:sz w:val="22"/>
          <w:szCs w:val="22"/>
        </w:rPr>
        <w:t>a?</w:t>
      </w:r>
      <w:r w:rsidR="00717570" w:rsidRPr="007A6367">
        <w:rPr>
          <w:rFonts w:ascii="Arial" w:eastAsia="Arial" w:hAnsi="Arial" w:cs="Arial"/>
          <w:sz w:val="22"/>
          <w:szCs w:val="22"/>
        </w:rPr>
        <w:t>»</w:t>
      </w:r>
    </w:p>
    <w:p w14:paraId="1AB71AEC" w14:textId="543890C5" w:rsidR="00E27BDF" w:rsidRPr="007A6367" w:rsidRDefault="00E27BDF">
      <w:pPr>
        <w:jc w:val="both"/>
        <w:rPr>
          <w:rFonts w:ascii="Arial" w:eastAsia="Arial" w:hAnsi="Arial" w:cs="Arial"/>
          <w:sz w:val="22"/>
          <w:szCs w:val="22"/>
        </w:rPr>
      </w:pPr>
    </w:p>
    <w:p w14:paraId="7D90835B" w14:textId="77777777" w:rsidR="00E27BDF" w:rsidRPr="007A6367" w:rsidRDefault="006C0DA8">
      <w:pPr>
        <w:numPr>
          <w:ilvl w:val="0"/>
          <w:numId w:val="1"/>
        </w:numPr>
        <w:pBdr>
          <w:top w:val="nil"/>
          <w:left w:val="nil"/>
          <w:bottom w:val="nil"/>
          <w:right w:val="nil"/>
          <w:between w:val="nil"/>
        </w:pBdr>
        <w:tabs>
          <w:tab w:val="left" w:pos="426"/>
        </w:tabs>
        <w:spacing w:line="276" w:lineRule="auto"/>
        <w:ind w:left="284" w:hanging="284"/>
        <w:jc w:val="both"/>
        <w:rPr>
          <w:rFonts w:ascii="Arial" w:eastAsia="Arial" w:hAnsi="Arial" w:cs="Arial"/>
          <w:sz w:val="22"/>
          <w:szCs w:val="22"/>
        </w:rPr>
      </w:pPr>
      <w:r w:rsidRPr="007A6367">
        <w:rPr>
          <w:rFonts w:ascii="Arial" w:eastAsia="Arial" w:hAnsi="Arial" w:cs="Arial"/>
          <w:b/>
          <w:sz w:val="22"/>
          <w:szCs w:val="22"/>
        </w:rPr>
        <w:t>Consideraciones</w:t>
      </w:r>
    </w:p>
    <w:p w14:paraId="2C0C4008" w14:textId="66936546" w:rsidR="00E27BDF" w:rsidRDefault="00E27BDF">
      <w:pPr>
        <w:spacing w:line="276" w:lineRule="auto"/>
        <w:jc w:val="both"/>
        <w:rPr>
          <w:rFonts w:ascii="Arial" w:eastAsia="Arial" w:hAnsi="Arial" w:cs="Arial"/>
          <w:sz w:val="22"/>
          <w:szCs w:val="22"/>
        </w:rPr>
      </w:pPr>
    </w:p>
    <w:p w14:paraId="6E5DC2F4" w14:textId="6248F6A1" w:rsidR="00522425" w:rsidRPr="00D25F84" w:rsidRDefault="00D25F84" w:rsidP="003D62ED">
      <w:pPr>
        <w:spacing w:after="120" w:line="276" w:lineRule="auto"/>
        <w:jc w:val="both"/>
        <w:rPr>
          <w:rFonts w:ascii="Arial" w:eastAsia="Arial" w:hAnsi="Arial" w:cs="Arial"/>
          <w:sz w:val="22"/>
          <w:szCs w:val="22"/>
          <w:lang w:val="es-ES" w:bidi="es-ES"/>
        </w:rPr>
      </w:pPr>
      <w:r w:rsidRPr="00D25F84">
        <w:rPr>
          <w:rFonts w:ascii="Arial" w:eastAsia="Arial" w:hAnsi="Arial" w:cs="Arial"/>
          <w:sz w:val="22"/>
          <w:szCs w:val="22"/>
          <w:lang w:bidi="es-ES"/>
        </w:rPr>
        <w:t xml:space="preserve">La Agencia Nacional de Contratación Pública </w:t>
      </w:r>
      <w:r w:rsidR="008F6584">
        <w:rPr>
          <w:rFonts w:ascii="Arial" w:eastAsia="Arial" w:hAnsi="Arial" w:cs="Arial"/>
          <w:sz w:val="22"/>
          <w:szCs w:val="22"/>
          <w:lang w:bidi="es-ES"/>
        </w:rPr>
        <w:t>–</w:t>
      </w:r>
      <w:r w:rsidRPr="00D25F84">
        <w:rPr>
          <w:rFonts w:ascii="Arial" w:eastAsia="Arial" w:hAnsi="Arial" w:cs="Arial"/>
          <w:sz w:val="22"/>
          <w:szCs w:val="22"/>
          <w:lang w:bidi="es-ES"/>
        </w:rPr>
        <w:t xml:space="preserve"> Colombia Compra Eficiente, </w:t>
      </w:r>
      <w:r w:rsidR="008F6584">
        <w:rPr>
          <w:rFonts w:ascii="Arial" w:eastAsia="Arial" w:hAnsi="Arial" w:cs="Arial"/>
          <w:sz w:val="22"/>
          <w:szCs w:val="22"/>
          <w:lang w:bidi="es-ES"/>
        </w:rPr>
        <w:t xml:space="preserve">en los Conceptos </w:t>
      </w:r>
      <w:r w:rsidR="008F6584" w:rsidRPr="008F6584">
        <w:rPr>
          <w:rFonts w:ascii="Arial" w:eastAsia="Arial" w:hAnsi="Arial" w:cs="Arial"/>
          <w:sz w:val="22"/>
          <w:szCs w:val="22"/>
          <w:lang w:bidi="es-ES"/>
        </w:rPr>
        <w:t>4201913000004536 de 17</w:t>
      </w:r>
      <w:r w:rsidR="008F6584">
        <w:rPr>
          <w:rFonts w:ascii="Arial" w:eastAsia="Arial" w:hAnsi="Arial" w:cs="Arial"/>
          <w:sz w:val="22"/>
          <w:szCs w:val="22"/>
          <w:lang w:bidi="es-ES"/>
        </w:rPr>
        <w:t xml:space="preserve"> de julio de </w:t>
      </w:r>
      <w:r w:rsidR="008F6584" w:rsidRPr="008F6584">
        <w:rPr>
          <w:rFonts w:ascii="Arial" w:eastAsia="Arial" w:hAnsi="Arial" w:cs="Arial"/>
          <w:sz w:val="22"/>
          <w:szCs w:val="22"/>
          <w:lang w:bidi="es-ES"/>
        </w:rPr>
        <w:t>2019, 4201913000006540 del 21</w:t>
      </w:r>
      <w:r w:rsidR="008F6584">
        <w:rPr>
          <w:rFonts w:ascii="Arial" w:eastAsia="Arial" w:hAnsi="Arial" w:cs="Arial"/>
          <w:sz w:val="22"/>
          <w:szCs w:val="22"/>
          <w:lang w:bidi="es-ES"/>
        </w:rPr>
        <w:t xml:space="preserve"> de octubre de </w:t>
      </w:r>
      <w:r w:rsidR="008F6584" w:rsidRPr="008F6584">
        <w:rPr>
          <w:rFonts w:ascii="Arial" w:eastAsia="Arial" w:hAnsi="Arial" w:cs="Arial"/>
          <w:sz w:val="22"/>
          <w:szCs w:val="22"/>
          <w:lang w:bidi="es-ES"/>
        </w:rPr>
        <w:t>2019, C−023 del 13</w:t>
      </w:r>
      <w:r w:rsidR="008F6584">
        <w:rPr>
          <w:rFonts w:ascii="Arial" w:eastAsia="Arial" w:hAnsi="Arial" w:cs="Arial"/>
          <w:sz w:val="22"/>
          <w:szCs w:val="22"/>
          <w:lang w:bidi="es-ES"/>
        </w:rPr>
        <w:t xml:space="preserve"> de febrero de </w:t>
      </w:r>
      <w:r w:rsidR="008F6584" w:rsidRPr="008F6584">
        <w:rPr>
          <w:rFonts w:ascii="Arial" w:eastAsia="Arial" w:hAnsi="Arial" w:cs="Arial"/>
          <w:sz w:val="22"/>
          <w:szCs w:val="22"/>
          <w:lang w:bidi="es-ES"/>
        </w:rPr>
        <w:t>2020, C−086 del 16</w:t>
      </w:r>
      <w:r w:rsidR="008F6584">
        <w:rPr>
          <w:rFonts w:ascii="Arial" w:eastAsia="Arial" w:hAnsi="Arial" w:cs="Arial"/>
          <w:sz w:val="22"/>
          <w:szCs w:val="22"/>
          <w:lang w:bidi="es-ES"/>
        </w:rPr>
        <w:t xml:space="preserve"> de marzo de </w:t>
      </w:r>
      <w:r w:rsidR="008F6584" w:rsidRPr="008F6584">
        <w:rPr>
          <w:rFonts w:ascii="Arial" w:eastAsia="Arial" w:hAnsi="Arial" w:cs="Arial"/>
          <w:sz w:val="22"/>
          <w:szCs w:val="22"/>
          <w:lang w:bidi="es-ES"/>
        </w:rPr>
        <w:t>2020, C−101 del 16</w:t>
      </w:r>
      <w:r w:rsidR="008F6584">
        <w:rPr>
          <w:rFonts w:ascii="Arial" w:eastAsia="Arial" w:hAnsi="Arial" w:cs="Arial"/>
          <w:sz w:val="22"/>
          <w:szCs w:val="22"/>
          <w:lang w:bidi="es-ES"/>
        </w:rPr>
        <w:t xml:space="preserve"> de marzo de </w:t>
      </w:r>
      <w:r w:rsidR="008F6584" w:rsidRPr="008F6584">
        <w:rPr>
          <w:rFonts w:ascii="Arial" w:eastAsia="Arial" w:hAnsi="Arial" w:cs="Arial"/>
          <w:sz w:val="22"/>
          <w:szCs w:val="22"/>
          <w:lang w:bidi="es-ES"/>
        </w:rPr>
        <w:t>2020, C−157 del 16</w:t>
      </w:r>
      <w:r w:rsidR="008F6584">
        <w:rPr>
          <w:rFonts w:ascii="Arial" w:eastAsia="Arial" w:hAnsi="Arial" w:cs="Arial"/>
          <w:sz w:val="22"/>
          <w:szCs w:val="22"/>
          <w:lang w:bidi="es-ES"/>
        </w:rPr>
        <w:t xml:space="preserve"> de marzo de </w:t>
      </w:r>
      <w:r w:rsidR="008F6584" w:rsidRPr="008F6584">
        <w:rPr>
          <w:rFonts w:ascii="Arial" w:eastAsia="Arial" w:hAnsi="Arial" w:cs="Arial"/>
          <w:sz w:val="22"/>
          <w:szCs w:val="22"/>
          <w:lang w:bidi="es-ES"/>
        </w:rPr>
        <w:t>2020, C−220 del 13</w:t>
      </w:r>
      <w:r w:rsidR="008F6584">
        <w:rPr>
          <w:rFonts w:ascii="Arial" w:eastAsia="Arial" w:hAnsi="Arial" w:cs="Arial"/>
          <w:sz w:val="22"/>
          <w:szCs w:val="22"/>
          <w:lang w:bidi="es-ES"/>
        </w:rPr>
        <w:t xml:space="preserve"> de marzo de </w:t>
      </w:r>
      <w:r w:rsidR="008F6584" w:rsidRPr="008F6584">
        <w:rPr>
          <w:rFonts w:ascii="Arial" w:eastAsia="Arial" w:hAnsi="Arial" w:cs="Arial"/>
          <w:sz w:val="22"/>
          <w:szCs w:val="22"/>
          <w:lang w:bidi="es-ES"/>
        </w:rPr>
        <w:t>2020, C−227 del 07</w:t>
      </w:r>
      <w:r w:rsidR="008F6584">
        <w:rPr>
          <w:rFonts w:ascii="Arial" w:eastAsia="Arial" w:hAnsi="Arial" w:cs="Arial"/>
          <w:sz w:val="22"/>
          <w:szCs w:val="22"/>
          <w:lang w:bidi="es-ES"/>
        </w:rPr>
        <w:t xml:space="preserve"> de abril de </w:t>
      </w:r>
      <w:r w:rsidR="008F6584" w:rsidRPr="008F6584">
        <w:rPr>
          <w:rFonts w:ascii="Arial" w:eastAsia="Arial" w:hAnsi="Arial" w:cs="Arial"/>
          <w:sz w:val="22"/>
          <w:szCs w:val="22"/>
          <w:lang w:bidi="es-ES"/>
        </w:rPr>
        <w:t>2020</w:t>
      </w:r>
      <w:r>
        <w:rPr>
          <w:rFonts w:ascii="Arial" w:eastAsia="Arial" w:hAnsi="Arial" w:cs="Arial"/>
          <w:sz w:val="22"/>
          <w:szCs w:val="22"/>
          <w:lang w:bidi="es-ES"/>
        </w:rPr>
        <w:t xml:space="preserve">, </w:t>
      </w:r>
      <w:r w:rsidRPr="00D25F84">
        <w:rPr>
          <w:rFonts w:ascii="Arial" w:eastAsia="Arial" w:hAnsi="Arial" w:cs="Arial"/>
          <w:sz w:val="22"/>
          <w:szCs w:val="22"/>
          <w:lang w:bidi="es-ES"/>
        </w:rPr>
        <w:t>estudió</w:t>
      </w:r>
      <w:r w:rsidR="008F6584">
        <w:rPr>
          <w:rFonts w:ascii="Arial" w:eastAsia="Arial" w:hAnsi="Arial" w:cs="Arial"/>
          <w:sz w:val="22"/>
          <w:szCs w:val="22"/>
          <w:lang w:bidi="es-ES"/>
        </w:rPr>
        <w:t xml:space="preserve"> el régimen de </w:t>
      </w:r>
      <w:r w:rsidRPr="00D25F84">
        <w:rPr>
          <w:rFonts w:ascii="Arial" w:eastAsia="Arial" w:hAnsi="Arial" w:cs="Arial"/>
          <w:sz w:val="22"/>
          <w:szCs w:val="22"/>
          <w:lang w:bidi="es-ES"/>
        </w:rPr>
        <w:t>los convenios interadministrativos</w:t>
      </w:r>
      <w:r w:rsidR="0008195D">
        <w:rPr>
          <w:rFonts w:ascii="Arial" w:eastAsia="Arial" w:hAnsi="Arial" w:cs="Arial"/>
          <w:sz w:val="22"/>
          <w:szCs w:val="22"/>
          <w:lang w:bidi="es-ES"/>
        </w:rPr>
        <w:t xml:space="preserve"> previsto en el artículo 2, literal c) del numeral 4, de la Ley 1150 de 2007</w:t>
      </w:r>
      <w:r w:rsidRPr="00D25F84">
        <w:rPr>
          <w:rFonts w:ascii="Arial" w:eastAsia="Arial" w:hAnsi="Arial" w:cs="Arial"/>
          <w:sz w:val="22"/>
          <w:szCs w:val="22"/>
          <w:lang w:bidi="es-ES"/>
        </w:rPr>
        <w:t xml:space="preserve">. La tesis desarrollada </w:t>
      </w:r>
      <w:r w:rsidR="0008195D">
        <w:rPr>
          <w:rFonts w:ascii="Arial" w:eastAsia="Arial" w:hAnsi="Arial" w:cs="Arial"/>
          <w:sz w:val="22"/>
          <w:szCs w:val="22"/>
          <w:lang w:bidi="es-ES"/>
        </w:rPr>
        <w:t xml:space="preserve">en estos conceptos </w:t>
      </w:r>
      <w:r w:rsidRPr="00D25F84">
        <w:rPr>
          <w:rFonts w:ascii="Arial" w:eastAsia="Arial" w:hAnsi="Arial" w:cs="Arial"/>
          <w:sz w:val="22"/>
          <w:szCs w:val="22"/>
          <w:lang w:bidi="es-ES"/>
        </w:rPr>
        <w:t>se expone a continuación.</w:t>
      </w:r>
    </w:p>
    <w:p w14:paraId="4444C88F" w14:textId="0CCCAC0B" w:rsidR="00970F4F" w:rsidRPr="0070578D" w:rsidRDefault="00970F4F" w:rsidP="003D62ED">
      <w:pPr>
        <w:spacing w:line="276" w:lineRule="auto"/>
        <w:ind w:firstLine="708"/>
        <w:jc w:val="both"/>
        <w:rPr>
          <w:rFonts w:ascii="Arial" w:hAnsi="Arial" w:cs="Arial"/>
          <w:color w:val="000000" w:themeColor="text1"/>
          <w:sz w:val="22"/>
        </w:rPr>
      </w:pPr>
      <w:r w:rsidRPr="0070578D">
        <w:rPr>
          <w:rFonts w:ascii="Arial" w:hAnsi="Arial" w:cs="Arial"/>
          <w:color w:val="000000" w:themeColor="text1"/>
          <w:sz w:val="22"/>
        </w:rPr>
        <w:t>Los procedimientos contractuales mediante los cuales las entidades ejecutan recursos públicos y satisfacen el interés general se rigen por la</w:t>
      </w:r>
      <w:r w:rsidR="007906CB">
        <w:rPr>
          <w:rFonts w:ascii="Arial" w:hAnsi="Arial" w:cs="Arial"/>
          <w:color w:val="000000" w:themeColor="text1"/>
          <w:sz w:val="22"/>
        </w:rPr>
        <w:t>s</w:t>
      </w:r>
      <w:r w:rsidRPr="0070578D">
        <w:rPr>
          <w:rFonts w:ascii="Arial" w:hAnsi="Arial" w:cs="Arial"/>
          <w:color w:val="000000" w:themeColor="text1"/>
          <w:sz w:val="22"/>
        </w:rPr>
        <w:t xml:space="preserve"> norma</w:t>
      </w:r>
      <w:r>
        <w:rPr>
          <w:rFonts w:ascii="Arial" w:hAnsi="Arial" w:cs="Arial"/>
          <w:color w:val="000000" w:themeColor="text1"/>
          <w:sz w:val="22"/>
        </w:rPr>
        <w:t>s</w:t>
      </w:r>
      <w:r w:rsidRPr="0070578D">
        <w:rPr>
          <w:rFonts w:ascii="Arial" w:hAnsi="Arial" w:cs="Arial"/>
          <w:color w:val="000000" w:themeColor="text1"/>
          <w:sz w:val="22"/>
        </w:rPr>
        <w:t xml:space="preserve"> de contratación pública </w:t>
      </w:r>
      <w:r w:rsidR="005F355D">
        <w:rPr>
          <w:rFonts w:ascii="Arial" w:hAnsi="Arial" w:cs="Arial"/>
          <w:color w:val="000000" w:themeColor="text1"/>
          <w:sz w:val="22"/>
        </w:rPr>
        <w:t>–</w:t>
      </w:r>
      <w:r w:rsidRPr="0070578D">
        <w:rPr>
          <w:rFonts w:ascii="Arial" w:hAnsi="Arial" w:cs="Arial"/>
          <w:color w:val="000000" w:themeColor="text1"/>
          <w:sz w:val="22"/>
        </w:rPr>
        <w:t>Ley 80 de 1993, Ley 1150 de 2007 y Decreto 1082 de 2015</w:t>
      </w:r>
      <w:r w:rsidR="005F355D">
        <w:rPr>
          <w:rFonts w:ascii="Arial" w:hAnsi="Arial" w:cs="Arial"/>
          <w:color w:val="000000" w:themeColor="text1"/>
          <w:sz w:val="22"/>
        </w:rPr>
        <w:t>–</w:t>
      </w:r>
      <w:r w:rsidRPr="0070578D">
        <w:rPr>
          <w:rFonts w:ascii="Arial" w:hAnsi="Arial" w:cs="Arial"/>
          <w:color w:val="000000" w:themeColor="text1"/>
          <w:sz w:val="22"/>
        </w:rPr>
        <w:t>, que contiene</w:t>
      </w:r>
      <w:r>
        <w:rPr>
          <w:rFonts w:ascii="Arial" w:hAnsi="Arial" w:cs="Arial"/>
          <w:color w:val="000000" w:themeColor="text1"/>
          <w:sz w:val="22"/>
        </w:rPr>
        <w:t>n</w:t>
      </w:r>
      <w:r w:rsidRPr="0070578D">
        <w:rPr>
          <w:rFonts w:ascii="Arial" w:hAnsi="Arial" w:cs="Arial"/>
          <w:color w:val="000000" w:themeColor="text1"/>
          <w:sz w:val="22"/>
        </w:rPr>
        <w:t xml:space="preserve"> los </w:t>
      </w:r>
      <w:r w:rsidRPr="0070578D">
        <w:rPr>
          <w:rFonts w:ascii="Arial" w:hAnsi="Arial" w:cs="Arial"/>
          <w:color w:val="000000" w:themeColor="text1"/>
          <w:sz w:val="22"/>
        </w:rPr>
        <w:lastRenderedPageBreak/>
        <w:t xml:space="preserve">principios, reglas y procedimientos que rigen los contratos de las entidades estatales. Específicamente, el Estatuto General de Contratación de la Contratación Pública </w:t>
      </w:r>
      <w:r>
        <w:rPr>
          <w:rFonts w:ascii="Arial" w:hAnsi="Arial" w:cs="Arial"/>
          <w:color w:val="000000" w:themeColor="text1"/>
          <w:sz w:val="22"/>
        </w:rPr>
        <w:t>–</w:t>
      </w:r>
      <w:r w:rsidRPr="0070578D">
        <w:rPr>
          <w:rFonts w:ascii="Arial" w:hAnsi="Arial" w:cs="Arial"/>
          <w:color w:val="000000" w:themeColor="text1"/>
          <w:sz w:val="22"/>
        </w:rPr>
        <w:t>Ley 80 de 1993</w:t>
      </w:r>
      <w:r>
        <w:rPr>
          <w:rFonts w:ascii="Arial" w:hAnsi="Arial" w:cs="Arial"/>
          <w:color w:val="000000" w:themeColor="text1"/>
          <w:sz w:val="22"/>
        </w:rPr>
        <w:t>–</w:t>
      </w:r>
      <w:r w:rsidRPr="0070578D">
        <w:rPr>
          <w:rFonts w:ascii="Arial" w:hAnsi="Arial" w:cs="Arial"/>
          <w:color w:val="000000" w:themeColor="text1"/>
          <w:sz w:val="22"/>
        </w:rPr>
        <w:t xml:space="preserve"> se aplica a las entidades estatales relacionadas en el artículo 2</w:t>
      </w:r>
      <w:r w:rsidRPr="0070578D">
        <w:rPr>
          <w:rStyle w:val="Refdenotaalpie"/>
          <w:rFonts w:ascii="Arial" w:hAnsi="Arial" w:cs="Arial"/>
          <w:color w:val="000000" w:themeColor="text1"/>
          <w:sz w:val="22"/>
        </w:rPr>
        <w:footnoteReference w:id="1"/>
      </w:r>
      <w:r w:rsidRPr="0070578D">
        <w:rPr>
          <w:rFonts w:ascii="Arial" w:hAnsi="Arial" w:cs="Arial"/>
          <w:color w:val="000000" w:themeColor="text1"/>
          <w:sz w:val="22"/>
        </w:rPr>
        <w:t xml:space="preserve">, con lo cual se puede determinar quiénes deben cumplir los principios y obligaciones señalados en las normas citadas. </w:t>
      </w:r>
    </w:p>
    <w:p w14:paraId="25595B00" w14:textId="637A5679" w:rsidR="00970F4F" w:rsidRPr="0070578D" w:rsidRDefault="00970F4F" w:rsidP="00A93886">
      <w:pPr>
        <w:spacing w:before="120" w:after="120" w:line="276" w:lineRule="auto"/>
        <w:ind w:firstLine="708"/>
        <w:jc w:val="both"/>
        <w:rPr>
          <w:rFonts w:ascii="Arial" w:hAnsi="Arial" w:cs="Arial"/>
          <w:color w:val="000000" w:themeColor="text1"/>
          <w:sz w:val="22"/>
        </w:rPr>
      </w:pPr>
      <w:r w:rsidRPr="0070578D">
        <w:rPr>
          <w:rFonts w:ascii="Arial" w:hAnsi="Arial" w:cs="Arial"/>
          <w:color w:val="000000" w:themeColor="text1"/>
          <w:sz w:val="22"/>
        </w:rPr>
        <w:t>Los procedimientos de contratación se estructuran a partir de las modalidades de selección, y al hacer una revisión de las normas citadas se observa que contienen los procedimientos para adelantarlas y las reglas de cada modalidad: licitación pública, selección abreviada, concurso de méritos, contratación directa y mínima cuantía</w:t>
      </w:r>
      <w:r w:rsidRPr="0070578D">
        <w:rPr>
          <w:rStyle w:val="Refdenotaalpie"/>
          <w:rFonts w:ascii="Arial" w:hAnsi="Arial" w:cs="Arial"/>
          <w:color w:val="000000" w:themeColor="text1"/>
          <w:sz w:val="22"/>
        </w:rPr>
        <w:footnoteReference w:id="2"/>
      </w:r>
      <w:r w:rsidRPr="0070578D">
        <w:rPr>
          <w:rFonts w:ascii="Arial" w:hAnsi="Arial" w:cs="Arial"/>
          <w:color w:val="000000" w:themeColor="text1"/>
          <w:sz w:val="22"/>
        </w:rPr>
        <w:t xml:space="preserve">. 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eficiente, es el de modular las modalidades de selección en razón a las características del objeto». </w:t>
      </w:r>
    </w:p>
    <w:p w14:paraId="7004C4CC" w14:textId="7B793B33" w:rsidR="00970F4F" w:rsidRPr="0070578D" w:rsidRDefault="00EB0C98" w:rsidP="00970F4F">
      <w:pPr>
        <w:spacing w:before="120" w:after="120" w:line="276" w:lineRule="auto"/>
        <w:ind w:firstLine="709"/>
        <w:jc w:val="both"/>
        <w:rPr>
          <w:rFonts w:ascii="Arial" w:hAnsi="Arial" w:cs="Arial"/>
          <w:color w:val="000000" w:themeColor="text1"/>
          <w:sz w:val="22"/>
        </w:rPr>
      </w:pPr>
      <w:r>
        <w:rPr>
          <w:rFonts w:ascii="Arial" w:hAnsi="Arial" w:cs="Arial"/>
          <w:color w:val="000000" w:themeColor="text1"/>
          <w:sz w:val="22"/>
        </w:rPr>
        <w:t>En relación con</w:t>
      </w:r>
      <w:r w:rsidR="00970F4F" w:rsidRPr="0070578D">
        <w:rPr>
          <w:rFonts w:ascii="Arial" w:hAnsi="Arial" w:cs="Arial"/>
          <w:color w:val="000000" w:themeColor="text1"/>
          <w:sz w:val="22"/>
        </w:rPr>
        <w:t xml:space="preserve"> la tipología de convenio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00970F4F" w:rsidRPr="0070578D">
        <w:rPr>
          <w:rStyle w:val="Refdenotaalpie"/>
          <w:rFonts w:ascii="Arial" w:hAnsi="Arial" w:cs="Arial"/>
          <w:color w:val="000000" w:themeColor="text1"/>
          <w:sz w:val="22"/>
        </w:rPr>
        <w:footnoteReference w:id="3"/>
      </w:r>
      <w:r w:rsidR="00970F4F" w:rsidRPr="0070578D">
        <w:rPr>
          <w:rFonts w:ascii="Arial" w:hAnsi="Arial" w:cs="Arial"/>
          <w:color w:val="000000" w:themeColor="text1"/>
          <w:sz w:val="22"/>
        </w:rPr>
        <w:t>.</w:t>
      </w:r>
    </w:p>
    <w:p w14:paraId="01FEAFFD" w14:textId="77777777" w:rsidR="00970F4F" w:rsidRPr="0070578D" w:rsidRDefault="00970F4F" w:rsidP="00970F4F">
      <w:pPr>
        <w:spacing w:before="120" w:after="120" w:line="276" w:lineRule="auto"/>
        <w:jc w:val="both"/>
        <w:rPr>
          <w:rFonts w:ascii="Arial" w:hAnsi="Arial" w:cs="Arial"/>
          <w:color w:val="000000" w:themeColor="text1"/>
          <w:sz w:val="22"/>
        </w:rPr>
      </w:pPr>
      <w:r w:rsidRPr="0070578D">
        <w:rPr>
          <w:rFonts w:ascii="Arial" w:hAnsi="Arial" w:cs="Arial"/>
          <w:color w:val="000000" w:themeColor="text1"/>
          <w:sz w:val="22"/>
        </w:rPr>
        <w:lastRenderedPageBreak/>
        <w:tab/>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22B2235A" w14:textId="2E43BC9D" w:rsidR="00970F4F" w:rsidRPr="0070578D" w:rsidRDefault="00970F4F" w:rsidP="00970F4F">
      <w:pPr>
        <w:spacing w:before="120" w:after="120" w:line="276" w:lineRule="auto"/>
        <w:ind w:firstLine="708"/>
        <w:jc w:val="both"/>
        <w:rPr>
          <w:rFonts w:ascii="Arial" w:hAnsi="Arial" w:cs="Arial"/>
          <w:color w:val="000000" w:themeColor="text1"/>
          <w:sz w:val="22"/>
        </w:rPr>
      </w:pPr>
      <w:r w:rsidRPr="0070578D">
        <w:rPr>
          <w:rFonts w:ascii="Arial" w:hAnsi="Arial" w:cs="Arial"/>
          <w:color w:val="000000" w:themeColor="text1"/>
          <w:sz w:val="22"/>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w:t>
      </w:r>
      <w:r w:rsidR="00CB524F">
        <w:rPr>
          <w:rFonts w:ascii="Arial" w:hAnsi="Arial" w:cs="Arial"/>
          <w:color w:val="000000" w:themeColor="text1"/>
          <w:sz w:val="22"/>
        </w:rPr>
        <w:t>. En ese</w:t>
      </w:r>
      <w:r w:rsidRPr="0070578D">
        <w:rPr>
          <w:rFonts w:ascii="Arial" w:hAnsi="Arial" w:cs="Arial"/>
          <w:color w:val="000000" w:themeColor="text1"/>
          <w:sz w:val="22"/>
        </w:rPr>
        <w:t xml:space="preserve"> caso</w:t>
      </w:r>
      <w:r w:rsidR="005D589E">
        <w:rPr>
          <w:rFonts w:ascii="Arial" w:hAnsi="Arial" w:cs="Arial"/>
          <w:color w:val="000000" w:themeColor="text1"/>
          <w:sz w:val="22"/>
        </w:rPr>
        <w:t>,</w:t>
      </w:r>
      <w:r w:rsidRPr="0070578D">
        <w:rPr>
          <w:rFonts w:ascii="Arial" w:hAnsi="Arial" w:cs="Arial"/>
          <w:color w:val="000000" w:themeColor="text1"/>
          <w:sz w:val="22"/>
        </w:rPr>
        <w:t xml:space="preserve"> su ejecución estará sometida a la Ley 80 de 1993</w:t>
      </w:r>
      <w:r w:rsidR="00CB524F">
        <w:rPr>
          <w:rFonts w:ascii="Arial" w:hAnsi="Arial" w:cs="Arial"/>
          <w:color w:val="000000" w:themeColor="text1"/>
          <w:sz w:val="22"/>
        </w:rPr>
        <w:t>,</w:t>
      </w:r>
      <w:r w:rsidRPr="0070578D">
        <w:rPr>
          <w:rFonts w:ascii="Arial" w:hAnsi="Arial" w:cs="Arial"/>
          <w:color w:val="000000" w:themeColor="text1"/>
          <w:sz w:val="22"/>
        </w:rPr>
        <w:t xml:space="preserve"> a menos que la entidad ejecutora</w:t>
      </w:r>
      <w:r w:rsidR="003D62ED">
        <w:rPr>
          <w:rFonts w:ascii="Arial" w:hAnsi="Arial" w:cs="Arial"/>
          <w:color w:val="000000" w:themeColor="text1"/>
          <w:sz w:val="22"/>
        </w:rPr>
        <w:t xml:space="preserve"> </w:t>
      </w:r>
      <w:r w:rsidRPr="0070578D">
        <w:rPr>
          <w:rFonts w:ascii="Arial" w:hAnsi="Arial" w:cs="Arial"/>
          <w:color w:val="000000" w:themeColor="text1"/>
          <w:sz w:val="22"/>
        </w:rPr>
        <w:t xml:space="preserve"> ̶ entidad con régimen especial ̶  desarrolle su actividad en competencia con el sector privado o que la ejecución del contrato interadministrativo tenga relación directa con el desarrollo de su actividad</w:t>
      </w:r>
      <w:r w:rsidRPr="0070578D">
        <w:rPr>
          <w:rStyle w:val="Refdenotaalpie"/>
          <w:rFonts w:ascii="Arial" w:hAnsi="Arial" w:cs="Arial"/>
          <w:color w:val="000000" w:themeColor="text1"/>
          <w:sz w:val="22"/>
        </w:rPr>
        <w:footnoteReference w:id="4"/>
      </w:r>
      <w:r w:rsidRPr="0070578D">
        <w:rPr>
          <w:rFonts w:ascii="Arial" w:hAnsi="Arial" w:cs="Arial"/>
          <w:color w:val="000000" w:themeColor="text1"/>
          <w:sz w:val="22"/>
        </w:rPr>
        <w:t>.</w:t>
      </w:r>
    </w:p>
    <w:p w14:paraId="2702EE25" w14:textId="2DB82031" w:rsidR="00970F4F" w:rsidRPr="0070578D" w:rsidRDefault="00970F4F" w:rsidP="00970F4F">
      <w:pPr>
        <w:spacing w:before="120" w:after="120" w:line="276" w:lineRule="auto"/>
        <w:ind w:firstLine="708"/>
        <w:jc w:val="both"/>
        <w:rPr>
          <w:rFonts w:ascii="Arial" w:hAnsi="Arial" w:cs="Arial"/>
          <w:color w:val="000000" w:themeColor="text1"/>
          <w:sz w:val="22"/>
        </w:rPr>
      </w:pPr>
      <w:bookmarkStart w:id="1" w:name="_Hlk56666638"/>
      <w:r w:rsidRPr="0070578D">
        <w:rPr>
          <w:rFonts w:ascii="Arial" w:hAnsi="Arial" w:cs="Arial"/>
          <w:color w:val="000000" w:themeColor="text1"/>
          <w:sz w:val="22"/>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w:t>
      </w:r>
      <w:r w:rsidR="005D589E">
        <w:rPr>
          <w:rFonts w:ascii="Arial" w:hAnsi="Arial" w:cs="Arial"/>
          <w:color w:val="000000" w:themeColor="text1"/>
          <w:sz w:val="22"/>
        </w:rPr>
        <w:t>normatividad</w:t>
      </w:r>
      <w:r w:rsidRPr="0070578D">
        <w:rPr>
          <w:rFonts w:ascii="Arial" w:hAnsi="Arial" w:cs="Arial"/>
          <w:color w:val="000000" w:themeColor="text1"/>
          <w:sz w:val="22"/>
        </w:rPr>
        <w:t>, deba adelantarse un procedimiento amplio</w:t>
      </w:r>
      <w:r w:rsidRPr="0070578D">
        <w:rPr>
          <w:rStyle w:val="Refdenotaalpie"/>
          <w:rFonts w:ascii="Arial" w:hAnsi="Arial" w:cs="Arial"/>
          <w:color w:val="000000" w:themeColor="text1"/>
          <w:sz w:val="22"/>
        </w:rPr>
        <w:footnoteReference w:id="5"/>
      </w:r>
      <w:r w:rsidRPr="0070578D">
        <w:rPr>
          <w:rFonts w:ascii="Arial" w:hAnsi="Arial" w:cs="Arial"/>
          <w:color w:val="000000" w:themeColor="text1"/>
          <w:sz w:val="22"/>
        </w:rPr>
        <w:t>. Nótese que, en este caso, lo que cambia es la modalidad de selección y no la naturaleza de contrato interadministrativo.</w:t>
      </w:r>
    </w:p>
    <w:p w14:paraId="3676BFA2" w14:textId="77777777" w:rsidR="00970F4F" w:rsidRPr="0070578D" w:rsidRDefault="00970F4F" w:rsidP="00970F4F">
      <w:pPr>
        <w:spacing w:before="120" w:after="120" w:line="276" w:lineRule="auto"/>
        <w:ind w:firstLine="708"/>
        <w:jc w:val="both"/>
        <w:rPr>
          <w:rFonts w:ascii="Arial" w:hAnsi="Arial" w:cs="Arial"/>
          <w:color w:val="000000" w:themeColor="text1"/>
          <w:sz w:val="22"/>
        </w:rPr>
      </w:pPr>
      <w:r w:rsidRPr="0070578D">
        <w:rPr>
          <w:rFonts w:ascii="Arial" w:hAnsi="Arial" w:cs="Arial"/>
          <w:color w:val="000000" w:themeColor="text1"/>
          <w:sz w:val="22"/>
        </w:rPr>
        <w:t xml:space="preserve">Además, es necesario tener en cuenta que para que un contrato o convenio interadministrativo exista debe cumplir con los siguientes elementos: acuerdo sobre el </w:t>
      </w:r>
      <w:r w:rsidRPr="0070578D">
        <w:rPr>
          <w:rFonts w:ascii="Arial" w:hAnsi="Arial" w:cs="Arial"/>
          <w:color w:val="000000" w:themeColor="text1"/>
          <w:sz w:val="22"/>
        </w:rPr>
        <w:lastRenderedPageBreak/>
        <w:t>objeto y la contraprestación y que conste por escrito</w:t>
      </w:r>
      <w:r w:rsidRPr="0070578D">
        <w:rPr>
          <w:rStyle w:val="Refdenotaalpie"/>
          <w:rFonts w:ascii="Arial" w:hAnsi="Arial" w:cs="Arial"/>
          <w:color w:val="000000" w:themeColor="text1"/>
          <w:sz w:val="22"/>
        </w:rPr>
        <w:footnoteReference w:id="6"/>
      </w:r>
      <w:r w:rsidRPr="0070578D">
        <w:rPr>
          <w:rFonts w:ascii="Arial" w:hAnsi="Arial" w:cs="Arial"/>
          <w:color w:val="000000" w:themeColor="text1"/>
          <w:sz w:val="22"/>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04A27A8E" w14:textId="77777777" w:rsidR="00970F4F" w:rsidRPr="0070578D" w:rsidRDefault="00970F4F" w:rsidP="00970F4F">
      <w:pPr>
        <w:spacing w:before="120" w:after="120" w:line="276" w:lineRule="auto"/>
        <w:ind w:firstLine="708"/>
        <w:jc w:val="both"/>
        <w:rPr>
          <w:rFonts w:ascii="Arial" w:hAnsi="Arial" w:cs="Arial"/>
          <w:color w:val="000000" w:themeColor="text1"/>
          <w:sz w:val="22"/>
        </w:rPr>
      </w:pPr>
      <w:r w:rsidRPr="0070578D">
        <w:rPr>
          <w:rFonts w:ascii="Arial" w:hAnsi="Arial" w:cs="Arial"/>
          <w:color w:val="000000" w:themeColor="text1"/>
          <w:sz w:val="22"/>
        </w:rPr>
        <w:t xml:space="preserve">La Corte Constitucional expresó en la Sentencia C–671 de 2015, con ponencia del Magistrado Alberto Rojas Ríos  ̶ en control automático de constitucionalidad del Decreto Legislativo 1773 de 2015, «Por el cual se autoriza la celebración de convenios administrativos para la ejecución de recursos públicos por parte de algunas entidades territoriales» ̶  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68443EC0" w14:textId="0BB7CD5F" w:rsidR="00970F4F" w:rsidRPr="0070578D" w:rsidRDefault="00970F4F" w:rsidP="00970F4F">
      <w:pPr>
        <w:spacing w:before="120" w:line="276" w:lineRule="auto"/>
        <w:ind w:firstLine="709"/>
        <w:jc w:val="both"/>
        <w:rPr>
          <w:rFonts w:ascii="Arial" w:hAnsi="Arial" w:cs="Arial"/>
          <w:color w:val="000000" w:themeColor="text1"/>
          <w:sz w:val="22"/>
        </w:rPr>
      </w:pPr>
      <w:r w:rsidRPr="0070578D">
        <w:rPr>
          <w:rFonts w:ascii="Arial" w:hAnsi="Arial" w:cs="Arial"/>
          <w:color w:val="000000" w:themeColor="text1"/>
          <w:sz w:val="22"/>
        </w:rPr>
        <w:t>Así las cosas, atendiendo a la literalidad de las normas enunciadas, no cabe una interpretación diferente</w:t>
      </w:r>
      <w:r w:rsidRPr="0070578D">
        <w:rPr>
          <w:rStyle w:val="Refdenotaalpie"/>
          <w:rFonts w:ascii="Arial" w:hAnsi="Arial" w:cs="Arial"/>
          <w:color w:val="000000" w:themeColor="text1"/>
          <w:sz w:val="22"/>
        </w:rPr>
        <w:footnoteReference w:id="7"/>
      </w:r>
      <w:r w:rsidRPr="0070578D">
        <w:rPr>
          <w:rFonts w:ascii="Arial" w:hAnsi="Arial" w:cs="Arial"/>
          <w:color w:val="000000" w:themeColor="text1"/>
          <w:sz w:val="22"/>
        </w:rPr>
        <w:t>, pues de acuerdo con lo anotado esta clase de acuerdos de voluntades se definen por un criterio orgánico, por lo que uno de sus elementos esenciales es que en los extremos de la relación jurídico negocial concurran personas de derecho público</w:t>
      </w:r>
      <w:bookmarkEnd w:id="1"/>
      <w:r w:rsidRPr="0070578D">
        <w:rPr>
          <w:rFonts w:ascii="Arial" w:hAnsi="Arial" w:cs="Arial"/>
          <w:color w:val="000000" w:themeColor="text1"/>
          <w:sz w:val="22"/>
        </w:rPr>
        <w:t>. Adicionalmente, el Consejo de Estado ha indicado, frente al convenio interadministrativo y sus características, que:</w:t>
      </w:r>
    </w:p>
    <w:p w14:paraId="1D282930" w14:textId="77777777" w:rsidR="00970F4F" w:rsidRPr="0070578D" w:rsidRDefault="00970F4F" w:rsidP="00970F4F">
      <w:pPr>
        <w:ind w:left="709" w:right="709"/>
        <w:jc w:val="both"/>
        <w:rPr>
          <w:rFonts w:ascii="Arial" w:hAnsi="Arial" w:cs="Arial"/>
          <w:color w:val="000000" w:themeColor="text1"/>
          <w:sz w:val="21"/>
          <w:szCs w:val="21"/>
        </w:rPr>
      </w:pPr>
    </w:p>
    <w:p w14:paraId="28C0DD52" w14:textId="67545345" w:rsidR="00970F4F" w:rsidRPr="0070578D" w:rsidRDefault="00970F4F" w:rsidP="00970F4F">
      <w:pPr>
        <w:ind w:left="709" w:right="709"/>
        <w:jc w:val="both"/>
        <w:rPr>
          <w:rFonts w:ascii="Arial" w:hAnsi="Arial" w:cs="Arial"/>
          <w:color w:val="000000" w:themeColor="text1"/>
          <w:sz w:val="22"/>
        </w:rPr>
      </w:pPr>
      <w:r w:rsidRPr="0070578D">
        <w:rPr>
          <w:rFonts w:ascii="Arial" w:hAnsi="Arial" w:cs="Arial"/>
          <w:color w:val="000000" w:themeColor="text1"/>
          <w:sz w:val="21"/>
          <w:szCs w:val="21"/>
        </w:rPr>
        <w:t>[…]</w:t>
      </w:r>
      <w:r>
        <w:rPr>
          <w:rFonts w:ascii="Arial" w:hAnsi="Arial" w:cs="Arial"/>
          <w:color w:val="000000" w:themeColor="text1"/>
          <w:sz w:val="21"/>
          <w:szCs w:val="21"/>
        </w:rPr>
        <w:t xml:space="preserve"> </w:t>
      </w:r>
      <w:r w:rsidRPr="0070578D">
        <w:rPr>
          <w:rFonts w:ascii="Arial" w:hAnsi="Arial" w:cs="Arial"/>
          <w:color w:val="000000" w:themeColor="text1"/>
          <w:sz w:val="21"/>
          <w:szCs w:val="21"/>
        </w:rPr>
        <w:t>se puede señalar que los convenios o contratos interadministrativos tienen como características principales las siguientes:</w:t>
      </w:r>
    </w:p>
    <w:p w14:paraId="09F76630" w14:textId="77777777" w:rsidR="00970F4F" w:rsidRPr="0070578D" w:rsidRDefault="00970F4F" w:rsidP="00970F4F">
      <w:pPr>
        <w:ind w:left="709" w:right="709" w:firstLine="708"/>
        <w:jc w:val="both"/>
        <w:rPr>
          <w:rFonts w:ascii="Arial" w:hAnsi="Arial" w:cs="Arial"/>
          <w:color w:val="000000" w:themeColor="text1"/>
          <w:sz w:val="21"/>
          <w:szCs w:val="21"/>
        </w:rPr>
      </w:pPr>
    </w:p>
    <w:p w14:paraId="7317F948" w14:textId="77777777" w:rsidR="00970F4F" w:rsidRPr="0070578D" w:rsidRDefault="00970F4F" w:rsidP="00970F4F">
      <w:pPr>
        <w:ind w:left="709" w:right="709"/>
        <w:jc w:val="both"/>
        <w:rPr>
          <w:rFonts w:ascii="Arial" w:hAnsi="Arial" w:cs="Arial"/>
          <w:color w:val="000000" w:themeColor="text1"/>
          <w:sz w:val="21"/>
          <w:szCs w:val="21"/>
        </w:rPr>
      </w:pPr>
      <w:r w:rsidRPr="0070578D">
        <w:rPr>
          <w:rFonts w:ascii="Arial" w:hAnsi="Arial" w:cs="Arial"/>
          <w:color w:val="000000" w:themeColor="text1"/>
          <w:sz w:val="21"/>
          <w:szCs w:val="21"/>
        </w:rPr>
        <w:t xml:space="preserve">(i)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w:t>
      </w:r>
      <w:r w:rsidRPr="0070578D">
        <w:rPr>
          <w:rFonts w:ascii="Arial" w:hAnsi="Arial" w:cs="Arial"/>
          <w:color w:val="000000" w:themeColor="text1"/>
          <w:sz w:val="21"/>
          <w:szCs w:val="21"/>
        </w:rPr>
        <w:lastRenderedPageBreak/>
        <w:t>entidades vinculadas; (viii) la acción mediante la cual se deben ventilar las diferencias que sobre el particular surjan es la de controversias contractuales</w:t>
      </w:r>
      <w:r w:rsidRPr="0070578D">
        <w:rPr>
          <w:rStyle w:val="Refdenotaalpie"/>
          <w:rFonts w:ascii="Arial" w:hAnsi="Arial" w:cs="Arial"/>
          <w:color w:val="000000" w:themeColor="text1"/>
          <w:sz w:val="21"/>
          <w:szCs w:val="21"/>
        </w:rPr>
        <w:footnoteReference w:id="8"/>
      </w:r>
      <w:r w:rsidRPr="0070578D">
        <w:rPr>
          <w:rFonts w:ascii="Arial" w:hAnsi="Arial" w:cs="Arial"/>
          <w:color w:val="000000" w:themeColor="text1"/>
          <w:sz w:val="21"/>
          <w:szCs w:val="21"/>
        </w:rPr>
        <w:t>.</w:t>
      </w:r>
    </w:p>
    <w:p w14:paraId="79C321AF" w14:textId="77777777" w:rsidR="00970F4F" w:rsidRPr="0070578D" w:rsidRDefault="00970F4F" w:rsidP="00970F4F">
      <w:pPr>
        <w:ind w:right="709"/>
        <w:jc w:val="both"/>
        <w:rPr>
          <w:rFonts w:ascii="Arial" w:hAnsi="Arial" w:cs="Arial"/>
          <w:color w:val="000000" w:themeColor="text1"/>
          <w:sz w:val="21"/>
          <w:szCs w:val="21"/>
        </w:rPr>
      </w:pPr>
    </w:p>
    <w:p w14:paraId="4DF03162" w14:textId="77777777" w:rsidR="00970F4F" w:rsidRPr="0070578D" w:rsidRDefault="00970F4F" w:rsidP="00970F4F">
      <w:pPr>
        <w:spacing w:after="120" w:line="276" w:lineRule="auto"/>
        <w:ind w:firstLine="709"/>
        <w:jc w:val="both"/>
        <w:rPr>
          <w:rFonts w:ascii="Arial" w:hAnsi="Arial" w:cs="Arial"/>
          <w:color w:val="000000" w:themeColor="text1"/>
          <w:sz w:val="22"/>
        </w:rPr>
      </w:pPr>
      <w:r w:rsidRPr="0070578D">
        <w:rPr>
          <w:rFonts w:ascii="Arial" w:hAnsi="Arial" w:cs="Arial"/>
          <w:color w:val="000000" w:themeColor="text1"/>
          <w:sz w:val="22"/>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w:t>
      </w:r>
    </w:p>
    <w:p w14:paraId="12A34B5B" w14:textId="77777777" w:rsidR="00970F4F" w:rsidRPr="0070578D" w:rsidRDefault="00970F4F" w:rsidP="00970F4F">
      <w:pPr>
        <w:spacing w:before="120" w:after="120" w:line="276" w:lineRule="auto"/>
        <w:ind w:firstLine="708"/>
        <w:jc w:val="both"/>
        <w:rPr>
          <w:rFonts w:ascii="Arial" w:hAnsi="Arial" w:cs="Arial"/>
          <w:color w:val="000000" w:themeColor="text1"/>
          <w:sz w:val="22"/>
        </w:rPr>
      </w:pPr>
      <w:r w:rsidRPr="0070578D">
        <w:rPr>
          <w:rFonts w:ascii="Arial" w:hAnsi="Arial" w:cs="Arial"/>
          <w:color w:val="000000" w:themeColor="text1"/>
          <w:sz w:val="22"/>
        </w:rPr>
        <w:t xml:space="preserve">El Estatuto General de Contratación de la Administración Pública establece la contratación directa como la modalidad de selección aplicable para la celebración de los contratos interadministrativos. </w:t>
      </w:r>
    </w:p>
    <w:p w14:paraId="1D8E91DE" w14:textId="77777777" w:rsidR="00970F4F" w:rsidRPr="0070578D" w:rsidRDefault="00970F4F" w:rsidP="00970F4F">
      <w:pPr>
        <w:spacing w:before="120" w:after="120" w:line="276" w:lineRule="auto"/>
        <w:ind w:firstLine="708"/>
        <w:jc w:val="both"/>
        <w:rPr>
          <w:rFonts w:ascii="Arial" w:hAnsi="Arial" w:cs="Arial"/>
          <w:color w:val="000000" w:themeColor="text1"/>
          <w:sz w:val="22"/>
        </w:rPr>
      </w:pPr>
      <w:r w:rsidRPr="0070578D">
        <w:rPr>
          <w:rFonts w:ascii="Arial" w:hAnsi="Arial" w:cs="Arial"/>
          <w:color w:val="000000" w:themeColor="text1"/>
          <w:sz w:val="22"/>
        </w:rPr>
        <w:t>La contratación directa es una modalidad de aplicación restrictiva, esto es, solo procede por las causales señaladas taxativamente en el numeral 4 del artículo 2 de la Ley 1150 de 2007, ya que es una excepción al principio de libre concurrencia y libre competencia que aplica a los procedimientos de contratación, para que cualquier persona interesada en satisfacer la necesidad de una entidad pueda presentar una oferta. En la contratación directa no es necesario que la entidad reciba más de una oferta, la cual proviene de la persona que la entidad señala directamente y la invita a ofertar el servicio que se requiere.</w:t>
      </w:r>
    </w:p>
    <w:p w14:paraId="017EA0C8" w14:textId="77777777" w:rsidR="00970F4F" w:rsidRPr="0070578D" w:rsidRDefault="00970F4F" w:rsidP="00970F4F">
      <w:pPr>
        <w:spacing w:before="120" w:after="120" w:line="276" w:lineRule="auto"/>
        <w:ind w:firstLine="708"/>
        <w:jc w:val="both"/>
        <w:rPr>
          <w:rFonts w:ascii="Arial" w:hAnsi="Arial" w:cs="Arial"/>
          <w:color w:val="000000" w:themeColor="text1"/>
          <w:sz w:val="22"/>
        </w:rPr>
      </w:pPr>
      <w:r w:rsidRPr="0070578D">
        <w:rPr>
          <w:rFonts w:ascii="Arial" w:hAnsi="Arial" w:cs="Arial"/>
          <w:color w:val="000000" w:themeColor="text1"/>
          <w:sz w:val="22"/>
        </w:rPr>
        <w:t>Lo anterior puede obedecer a que el proponente es único, o a que el legislador privilegió algunos objetos contractuales u oferentes para contratarlos de manera directa, lo cual implica que el procedimiento es simplificado, corto, ágil y expedito, por no exigir una convocatoria pública, sin que esto obvie garantizar los principios rectores de la contratación pública.</w:t>
      </w:r>
    </w:p>
    <w:p w14:paraId="71EAD5CC" w14:textId="4E9CA6DF" w:rsidR="00970F4F" w:rsidRPr="0070578D" w:rsidRDefault="00970F4F" w:rsidP="00970F4F">
      <w:pPr>
        <w:spacing w:before="120" w:line="276" w:lineRule="auto"/>
        <w:ind w:firstLine="709"/>
        <w:jc w:val="both"/>
        <w:rPr>
          <w:rFonts w:ascii="Arial" w:hAnsi="Arial" w:cs="Arial"/>
          <w:color w:val="000000" w:themeColor="text1"/>
          <w:sz w:val="22"/>
        </w:rPr>
      </w:pPr>
      <w:r w:rsidRPr="0070578D">
        <w:rPr>
          <w:rFonts w:ascii="Arial" w:hAnsi="Arial" w:cs="Arial"/>
          <w:color w:val="000000" w:themeColor="text1"/>
          <w:sz w:val="22"/>
        </w:rPr>
        <w:t>En todo caso, las entidades deben escoger a sus contratistas a través de procesos en los que participe una pluralidad de oferentes, prevaleciendo entre ellos, como regla general, la licitación pública, y dependiendo de las características o especialidad del bien o servicio o su cuantía, adelantarán un proceso en el que existan varias ofertas por las modalidades de selección de abreviada, concurso de méritos o mínima cuantía</w:t>
      </w:r>
      <w:r w:rsidR="00C3077A">
        <w:rPr>
          <w:rFonts w:ascii="Arial" w:hAnsi="Arial" w:cs="Arial"/>
          <w:color w:val="000000" w:themeColor="text1"/>
          <w:sz w:val="22"/>
        </w:rPr>
        <w:t>.</w:t>
      </w:r>
      <w:r w:rsidRPr="0070578D">
        <w:rPr>
          <w:rFonts w:ascii="Arial" w:hAnsi="Arial" w:cs="Arial"/>
          <w:color w:val="000000" w:themeColor="text1"/>
          <w:sz w:val="22"/>
        </w:rPr>
        <w:t xml:space="preserve"> </w:t>
      </w:r>
      <w:r w:rsidR="00C3077A">
        <w:rPr>
          <w:rFonts w:ascii="Arial" w:hAnsi="Arial" w:cs="Arial"/>
          <w:color w:val="000000" w:themeColor="text1"/>
          <w:sz w:val="22"/>
        </w:rPr>
        <w:t xml:space="preserve">Debe aclararse que </w:t>
      </w:r>
      <w:r w:rsidRPr="0070578D">
        <w:rPr>
          <w:rFonts w:ascii="Arial" w:hAnsi="Arial" w:cs="Arial"/>
          <w:color w:val="000000" w:themeColor="text1"/>
          <w:sz w:val="22"/>
        </w:rPr>
        <w:t>solo de manera excepcional escogerán al contratista a través de la modalidad de selección de contratación directa. Al respecto, el Consejo de Estado indicó frente a la modalidad de selección de contratación directa que:</w:t>
      </w:r>
    </w:p>
    <w:p w14:paraId="5918D557" w14:textId="77777777" w:rsidR="00970F4F" w:rsidRPr="0070578D" w:rsidRDefault="00970F4F" w:rsidP="00970F4F">
      <w:pPr>
        <w:ind w:left="709" w:right="709"/>
        <w:jc w:val="both"/>
        <w:rPr>
          <w:rFonts w:ascii="Arial" w:hAnsi="Arial" w:cs="Arial"/>
          <w:color w:val="000000" w:themeColor="text1"/>
          <w:sz w:val="21"/>
          <w:szCs w:val="21"/>
        </w:rPr>
      </w:pPr>
    </w:p>
    <w:p w14:paraId="28BD5515" w14:textId="77777777" w:rsidR="00970F4F" w:rsidRPr="0070578D" w:rsidRDefault="00970F4F" w:rsidP="00970F4F">
      <w:pPr>
        <w:ind w:left="709" w:right="709"/>
        <w:jc w:val="both"/>
        <w:rPr>
          <w:rFonts w:ascii="Arial" w:hAnsi="Arial" w:cs="Arial"/>
          <w:color w:val="000000" w:themeColor="text1"/>
          <w:sz w:val="21"/>
          <w:szCs w:val="21"/>
        </w:rPr>
      </w:pPr>
      <w:r w:rsidRPr="0070578D">
        <w:rPr>
          <w:rFonts w:ascii="Arial" w:hAnsi="Arial" w:cs="Arial"/>
          <w:color w:val="000000" w:themeColor="text1"/>
          <w:sz w:val="21"/>
          <w:szCs w:val="21"/>
        </w:rPr>
        <w:t xml:space="preserve">[...] No obstante, si bien la administración tiene la posibilidad de celebrar este tipo de contratos, sin acudir a licitación o concurso público, tal libertad no es absoluta, toda vez que en la selección del contratista se “deberá garantizar el </w:t>
      </w:r>
      <w:r w:rsidRPr="0070578D">
        <w:rPr>
          <w:rFonts w:ascii="Arial" w:hAnsi="Arial" w:cs="Arial"/>
          <w:color w:val="000000" w:themeColor="text1"/>
          <w:sz w:val="21"/>
          <w:szCs w:val="21"/>
        </w:rPr>
        <w:lastRenderedPageBreak/>
        <w:t>cumplimiento de los principios de economía, transparencia y en especial el deber de selección objetiva, establecidos en la Ley 80 de 1993”. En efecto, en la contratación, ya sea de manera directa o a través de licitación o concurso públicos, la administración está obligada a respetar principios que rigen la contratación estatal y, especialmente, ciertos criterios de selección objetiva a la hora de escoger el contratista al que se le adjudicará el contrato. Respecto a la contratación directa, en interpretación de la norma precitada, la Sala observa que con anterioridad a la suscripción del contrato, es deber de la administración hacer un análisis previo a la suscripción del contrato, análisis en el cual se deberán examinar factores tales como experiencia, equipos, capacidad económica, precios, entre otros, con el fin de determinar si la propuesta presentada resulta ser la más ventajosa para la entidad que contrata [...]</w:t>
      </w:r>
      <w:r w:rsidRPr="003D62ED">
        <w:rPr>
          <w:rFonts w:ascii="Arial" w:hAnsi="Arial" w:cs="Arial"/>
          <w:color w:val="000000" w:themeColor="text1"/>
          <w:vertAlign w:val="superscript"/>
        </w:rPr>
        <w:footnoteReference w:id="9"/>
      </w:r>
      <w:r w:rsidRPr="0070578D">
        <w:rPr>
          <w:rFonts w:ascii="Arial" w:hAnsi="Arial" w:cs="Arial"/>
          <w:color w:val="000000" w:themeColor="text1"/>
          <w:sz w:val="21"/>
          <w:szCs w:val="21"/>
        </w:rPr>
        <w:t>.</w:t>
      </w:r>
    </w:p>
    <w:p w14:paraId="0275BE61" w14:textId="77777777" w:rsidR="00970F4F" w:rsidRPr="0070578D" w:rsidRDefault="00970F4F" w:rsidP="00970F4F">
      <w:pPr>
        <w:spacing w:line="276" w:lineRule="auto"/>
        <w:ind w:firstLine="709"/>
        <w:jc w:val="both"/>
        <w:rPr>
          <w:rFonts w:ascii="Arial" w:hAnsi="Arial" w:cs="Arial"/>
          <w:color w:val="000000" w:themeColor="text1"/>
          <w:sz w:val="22"/>
          <w:lang w:val="es-ES"/>
        </w:rPr>
      </w:pPr>
    </w:p>
    <w:p w14:paraId="7A15481B" w14:textId="77777777" w:rsidR="00970F4F" w:rsidRPr="0070578D" w:rsidRDefault="00970F4F" w:rsidP="00970F4F">
      <w:pPr>
        <w:spacing w:line="276" w:lineRule="auto"/>
        <w:ind w:firstLine="709"/>
        <w:jc w:val="both"/>
        <w:rPr>
          <w:rFonts w:ascii="Arial" w:hAnsi="Arial" w:cs="Arial"/>
          <w:color w:val="000000" w:themeColor="text1"/>
          <w:sz w:val="22"/>
        </w:rPr>
      </w:pPr>
      <w:r w:rsidRPr="0070578D">
        <w:rPr>
          <w:rFonts w:ascii="Arial" w:hAnsi="Arial" w:cs="Arial"/>
          <w:color w:val="000000" w:themeColor="text1"/>
          <w:sz w:val="22"/>
        </w:rPr>
        <w:t xml:space="preserve">Existe una diferencia fundamental con otras modalidades de selección, y es que en la contratación directa no se otorga puntaje a las ofertas para ponderarlas y elegir el ofrecimiento más favorable, ya que la entidad recibe solo una. Lo anterior es complementado por el Consejo de Estado, al definir qué significa contratación directa: </w:t>
      </w:r>
    </w:p>
    <w:p w14:paraId="1D7C2ED8" w14:textId="77777777" w:rsidR="00970F4F" w:rsidRPr="0070578D" w:rsidRDefault="00970F4F" w:rsidP="00970F4F">
      <w:pPr>
        <w:spacing w:line="276" w:lineRule="auto"/>
        <w:ind w:firstLine="709"/>
        <w:jc w:val="both"/>
        <w:rPr>
          <w:rFonts w:ascii="Arial" w:hAnsi="Arial" w:cs="Arial"/>
          <w:color w:val="000000" w:themeColor="text1"/>
          <w:sz w:val="20"/>
          <w:szCs w:val="20"/>
        </w:rPr>
      </w:pPr>
    </w:p>
    <w:p w14:paraId="401DE8C3" w14:textId="77777777" w:rsidR="00970F4F" w:rsidRPr="0070578D" w:rsidRDefault="00970F4F" w:rsidP="00970F4F">
      <w:pPr>
        <w:ind w:left="709" w:right="709"/>
        <w:jc w:val="both"/>
        <w:rPr>
          <w:rFonts w:ascii="Arial" w:hAnsi="Arial" w:cs="Arial"/>
          <w:color w:val="000000" w:themeColor="text1"/>
          <w:sz w:val="21"/>
          <w:szCs w:val="21"/>
        </w:rPr>
      </w:pPr>
      <w:r w:rsidRPr="0070578D">
        <w:rPr>
          <w:rFonts w:ascii="Arial" w:hAnsi="Arial" w:cs="Arial"/>
          <w:color w:val="000000" w:themeColor="text1"/>
          <w:sz w:val="21"/>
          <w:szCs w:val="21"/>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Pr="0070578D">
        <w:rPr>
          <w:rStyle w:val="Refdenotaalpie"/>
          <w:rFonts w:ascii="Arial" w:hAnsi="Arial" w:cs="Arial"/>
          <w:color w:val="000000" w:themeColor="text1"/>
          <w:sz w:val="21"/>
          <w:szCs w:val="21"/>
        </w:rPr>
        <w:footnoteReference w:id="10"/>
      </w:r>
      <w:r w:rsidRPr="0070578D">
        <w:rPr>
          <w:rFonts w:ascii="Arial" w:hAnsi="Arial" w:cs="Arial"/>
          <w:color w:val="000000" w:themeColor="text1"/>
          <w:sz w:val="21"/>
          <w:szCs w:val="21"/>
        </w:rPr>
        <w:t>.</w:t>
      </w:r>
    </w:p>
    <w:p w14:paraId="567767F1" w14:textId="77777777" w:rsidR="00970F4F" w:rsidRPr="0070578D" w:rsidRDefault="00970F4F" w:rsidP="00970F4F">
      <w:pPr>
        <w:spacing w:line="276" w:lineRule="auto"/>
        <w:ind w:firstLine="709"/>
        <w:jc w:val="both"/>
        <w:rPr>
          <w:rFonts w:ascii="Arial" w:hAnsi="Arial" w:cs="Arial"/>
          <w:color w:val="000000" w:themeColor="text1"/>
          <w:sz w:val="20"/>
          <w:szCs w:val="20"/>
        </w:rPr>
      </w:pPr>
    </w:p>
    <w:p w14:paraId="3DDB5FFE" w14:textId="77777777" w:rsidR="00970F4F" w:rsidRPr="0070578D" w:rsidRDefault="00970F4F" w:rsidP="003D62ED">
      <w:pPr>
        <w:spacing w:after="120" w:line="276" w:lineRule="auto"/>
        <w:ind w:firstLine="708"/>
        <w:jc w:val="both"/>
        <w:rPr>
          <w:rFonts w:ascii="Arial" w:hAnsi="Arial" w:cs="Arial"/>
          <w:color w:val="000000" w:themeColor="text1"/>
          <w:sz w:val="22"/>
        </w:rPr>
      </w:pPr>
      <w:r w:rsidRPr="0070578D">
        <w:rPr>
          <w:rFonts w:ascii="Arial" w:hAnsi="Arial" w:cs="Arial"/>
          <w:color w:val="000000" w:themeColor="text1"/>
          <w:sz w:val="22"/>
        </w:rPr>
        <w:t xml:space="preserve">Por su parte, el artículo 2, numeral 4, literal c) de la Ley 1150 de 2007, señala que, de manera excepcional, las entidades estatales pueden contratar directamente, entre otras, los «Contratos interadministrativos, siempre que las obligaciones derivadas del mismo tengan relación directa con el objeto de la entidad ejecutora señalado en la ley o en sus reglamentos». 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w:t>
      </w:r>
      <w:r w:rsidRPr="0070578D">
        <w:rPr>
          <w:rFonts w:ascii="Arial" w:hAnsi="Arial" w:cs="Arial"/>
          <w:color w:val="000000" w:themeColor="text1"/>
          <w:sz w:val="22"/>
        </w:rPr>
        <w:lastRenderedPageBreak/>
        <w:t>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o selección abreviada</w:t>
      </w:r>
      <w:r w:rsidRPr="0070578D">
        <w:rPr>
          <w:rStyle w:val="Refdenotaalpie"/>
          <w:rFonts w:ascii="Arial" w:hAnsi="Arial" w:cs="Arial"/>
          <w:color w:val="000000" w:themeColor="text1"/>
          <w:sz w:val="22"/>
        </w:rPr>
        <w:footnoteReference w:id="11"/>
      </w:r>
      <w:r w:rsidRPr="0070578D">
        <w:rPr>
          <w:rFonts w:ascii="Arial" w:hAnsi="Arial" w:cs="Arial"/>
          <w:color w:val="000000" w:themeColor="text1"/>
          <w:sz w:val="22"/>
        </w:rPr>
        <w:t>.</w:t>
      </w:r>
    </w:p>
    <w:p w14:paraId="23FE6C24" w14:textId="77777777" w:rsidR="00970F4F" w:rsidRPr="0070578D" w:rsidRDefault="00970F4F" w:rsidP="00970F4F">
      <w:pPr>
        <w:spacing w:before="120" w:after="120" w:line="276" w:lineRule="auto"/>
        <w:ind w:firstLine="708"/>
        <w:jc w:val="both"/>
        <w:rPr>
          <w:rFonts w:ascii="Arial" w:hAnsi="Arial" w:cs="Arial"/>
          <w:color w:val="000000" w:themeColor="text1"/>
          <w:sz w:val="22"/>
        </w:rPr>
      </w:pPr>
      <w:r w:rsidRPr="0070578D">
        <w:rPr>
          <w:rFonts w:ascii="Arial" w:hAnsi="Arial" w:cs="Arial"/>
          <w:color w:val="000000" w:themeColor="text1"/>
          <w:sz w:val="22"/>
        </w:rP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«Estarán exceptuados de la figura del contrato interadministrativo, los contratos de seguro de las entidades estatales».</w:t>
      </w:r>
    </w:p>
    <w:p w14:paraId="728764E3" w14:textId="77777777" w:rsidR="00970F4F" w:rsidRPr="0070578D" w:rsidRDefault="00970F4F" w:rsidP="003D62ED">
      <w:pPr>
        <w:spacing w:before="120" w:line="276" w:lineRule="auto"/>
        <w:ind w:firstLine="708"/>
        <w:jc w:val="both"/>
        <w:rPr>
          <w:rFonts w:ascii="Arial" w:hAnsi="Arial" w:cs="Arial"/>
          <w:color w:val="000000" w:themeColor="text1"/>
          <w:sz w:val="22"/>
        </w:rPr>
      </w:pPr>
      <w:r w:rsidRPr="0070578D">
        <w:rPr>
          <w:rFonts w:ascii="Arial" w:hAnsi="Arial" w:cs="Arial"/>
          <w:color w:val="000000" w:themeColor="text1"/>
          <w:sz w:val="22"/>
        </w:rPr>
        <w:t>Así las cosas, la Ley no limitó la celebración de contratos interadministrativos a la modalidad de selección d</w:t>
      </w:r>
      <w:bookmarkStart w:id="2" w:name="_GoBack"/>
      <w:bookmarkEnd w:id="2"/>
      <w:r w:rsidRPr="0070578D">
        <w:rPr>
          <w:rFonts w:ascii="Arial" w:hAnsi="Arial" w:cs="Arial"/>
          <w:color w:val="000000" w:themeColor="text1"/>
          <w:sz w:val="22"/>
        </w:rPr>
        <w:t>e contratación directa,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en el que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14:paraId="747993BD" w14:textId="77777777" w:rsidR="00E27BDF" w:rsidRPr="007A6367" w:rsidRDefault="00E27BDF">
      <w:pPr>
        <w:spacing w:line="276" w:lineRule="auto"/>
        <w:ind w:right="709"/>
        <w:jc w:val="both"/>
        <w:rPr>
          <w:rFonts w:ascii="Arial" w:eastAsia="Arial" w:hAnsi="Arial" w:cs="Arial"/>
          <w:sz w:val="21"/>
          <w:szCs w:val="21"/>
        </w:rPr>
      </w:pPr>
    </w:p>
    <w:p w14:paraId="7725B6CA" w14:textId="3BFCA5F2" w:rsidR="00E27BDF" w:rsidRPr="007A7AB5" w:rsidRDefault="006C0DA8" w:rsidP="007A7AB5">
      <w:pPr>
        <w:numPr>
          <w:ilvl w:val="0"/>
          <w:numId w:val="1"/>
        </w:numPr>
        <w:pBdr>
          <w:top w:val="nil"/>
          <w:left w:val="nil"/>
          <w:bottom w:val="nil"/>
          <w:right w:val="nil"/>
          <w:between w:val="nil"/>
        </w:pBdr>
        <w:tabs>
          <w:tab w:val="left" w:pos="284"/>
        </w:tabs>
        <w:spacing w:line="276" w:lineRule="auto"/>
        <w:ind w:left="0" w:firstLine="0"/>
        <w:rPr>
          <w:rFonts w:ascii="Arial" w:eastAsia="Arial" w:hAnsi="Arial" w:cs="Arial"/>
          <w:sz w:val="22"/>
          <w:szCs w:val="22"/>
        </w:rPr>
      </w:pPr>
      <w:r w:rsidRPr="007A7AB5">
        <w:rPr>
          <w:rFonts w:ascii="Arial" w:eastAsia="Arial" w:hAnsi="Arial" w:cs="Arial"/>
          <w:b/>
          <w:sz w:val="22"/>
          <w:szCs w:val="22"/>
        </w:rPr>
        <w:t xml:space="preserve">Respuesta </w:t>
      </w:r>
    </w:p>
    <w:p w14:paraId="2E990D94" w14:textId="77777777" w:rsidR="007A7AB5" w:rsidRDefault="007A7AB5" w:rsidP="00527029">
      <w:pPr>
        <w:ind w:left="709" w:right="758"/>
        <w:jc w:val="both"/>
        <w:rPr>
          <w:rFonts w:ascii="Arial" w:eastAsia="Arial" w:hAnsi="Arial" w:cs="Arial"/>
          <w:sz w:val="21"/>
          <w:szCs w:val="21"/>
        </w:rPr>
      </w:pPr>
    </w:p>
    <w:p w14:paraId="0FFA14EF" w14:textId="08152780" w:rsidR="00527029" w:rsidRPr="00527029" w:rsidRDefault="00527029" w:rsidP="00527029">
      <w:pPr>
        <w:ind w:left="709" w:right="758"/>
        <w:jc w:val="both"/>
        <w:rPr>
          <w:rFonts w:ascii="Arial" w:eastAsia="Arial" w:hAnsi="Arial" w:cs="Arial"/>
          <w:sz w:val="21"/>
          <w:szCs w:val="21"/>
        </w:rPr>
      </w:pPr>
      <w:r w:rsidRPr="00527029">
        <w:rPr>
          <w:rFonts w:ascii="Arial" w:eastAsia="Arial" w:hAnsi="Arial" w:cs="Arial"/>
          <w:sz w:val="21"/>
          <w:szCs w:val="21"/>
        </w:rPr>
        <w:lastRenderedPageBreak/>
        <w:t>«¿Puede una entidad pública celebrar contrato interadministrativo o convenio interadministrativo cuyo objeto es la ejecución de una obra pública?»</w:t>
      </w:r>
    </w:p>
    <w:p w14:paraId="2CBA0195" w14:textId="77777777" w:rsidR="00D616D1" w:rsidRPr="007A6367" w:rsidRDefault="00D616D1" w:rsidP="003D62ED">
      <w:pPr>
        <w:spacing w:line="276" w:lineRule="auto"/>
        <w:ind w:left="709" w:right="758"/>
        <w:jc w:val="both"/>
        <w:rPr>
          <w:rFonts w:ascii="Arial" w:eastAsia="Arial" w:hAnsi="Arial" w:cs="Arial"/>
          <w:sz w:val="22"/>
          <w:szCs w:val="22"/>
        </w:rPr>
      </w:pPr>
    </w:p>
    <w:p w14:paraId="2FD73D88" w14:textId="138F4E2C" w:rsidR="00A55EC0" w:rsidRDefault="00A55EC0" w:rsidP="003D62ED">
      <w:pPr>
        <w:spacing w:after="120" w:line="276" w:lineRule="auto"/>
        <w:jc w:val="both"/>
        <w:rPr>
          <w:rFonts w:ascii="Arial" w:eastAsia="Arial" w:hAnsi="Arial" w:cs="Arial"/>
          <w:sz w:val="22"/>
          <w:szCs w:val="22"/>
          <w:lang w:val="es-MX"/>
        </w:rPr>
      </w:pPr>
      <w:r w:rsidRPr="00A55EC0">
        <w:rPr>
          <w:rFonts w:ascii="Arial" w:eastAsia="Arial" w:hAnsi="Arial" w:cs="Arial"/>
          <w:sz w:val="22"/>
          <w:szCs w:val="22"/>
          <w:lang w:val="es-MX"/>
        </w:rPr>
        <w:t>El artículo 2, numeral 4º, literal c) de la Ley 1150 de 2007 permite que las entidades estatales sometidas al Estatuto General de Contratación de la Administración Pública celebren, de manera directa, contratos con otras entidades estatales. A estos contratos se les denomina interadministrativos, ya que actualmente rige un criterio orgánico para su caracterización conceptual. El requisito establecido por el mencionado literal es «que las obligaciones derivadas del mismo tengan relación directa con el objeto de la entidad ejecutora señalado en la ley o en sus reglamentos».</w:t>
      </w:r>
      <w:r w:rsidR="00E176C3" w:rsidRPr="00E176C3">
        <w:rPr>
          <w:rFonts w:ascii="Arial" w:eastAsia="Arial" w:hAnsi="Arial" w:cs="Arial"/>
          <w:sz w:val="22"/>
          <w:szCs w:val="22"/>
          <w:lang w:val="es-MX"/>
        </w:rPr>
        <w:t xml:space="preserve"> </w:t>
      </w:r>
    </w:p>
    <w:p w14:paraId="46BF77D7" w14:textId="6F7AC858" w:rsidR="00E176C3" w:rsidRDefault="00E176C3" w:rsidP="003D62ED">
      <w:pPr>
        <w:spacing w:line="276" w:lineRule="auto"/>
        <w:ind w:firstLine="720"/>
        <w:jc w:val="both"/>
        <w:rPr>
          <w:rFonts w:ascii="Arial" w:eastAsia="Arial" w:hAnsi="Arial" w:cs="Arial"/>
          <w:sz w:val="22"/>
          <w:szCs w:val="22"/>
          <w:lang w:val="es-MX"/>
        </w:rPr>
      </w:pPr>
      <w:r w:rsidRPr="00E176C3">
        <w:rPr>
          <w:rFonts w:ascii="Arial" w:eastAsia="Arial" w:hAnsi="Arial" w:cs="Arial"/>
          <w:sz w:val="22"/>
          <w:szCs w:val="22"/>
          <w:lang w:val="es-MX"/>
        </w:rPr>
        <w:t xml:space="preserve">No obstante, es posible </w:t>
      </w:r>
      <w:r w:rsidR="00F81193">
        <w:rPr>
          <w:rFonts w:ascii="Arial" w:eastAsia="Arial" w:hAnsi="Arial" w:cs="Arial"/>
          <w:sz w:val="22"/>
          <w:szCs w:val="22"/>
          <w:lang w:val="es-MX"/>
        </w:rPr>
        <w:t>la celebración de estos contratos</w:t>
      </w:r>
      <w:r w:rsidRPr="00E176C3">
        <w:rPr>
          <w:rFonts w:ascii="Arial" w:eastAsia="Arial" w:hAnsi="Arial" w:cs="Arial"/>
          <w:sz w:val="22"/>
          <w:szCs w:val="22"/>
          <w:lang w:val="es-MX"/>
        </w:rPr>
        <w:t xml:space="preserve"> a través de otras modalidades de selección previstas en la Ley 1150 de 2007 diferentes a la de contratación directa, </w:t>
      </w:r>
      <w:r w:rsidR="00F81193">
        <w:rPr>
          <w:rFonts w:ascii="Arial" w:eastAsia="Arial" w:hAnsi="Arial" w:cs="Arial"/>
          <w:sz w:val="22"/>
          <w:szCs w:val="22"/>
          <w:lang w:val="es-MX"/>
        </w:rPr>
        <w:t>especialmente, cuando</w:t>
      </w:r>
      <w:r w:rsidRPr="00E176C3">
        <w:rPr>
          <w:rFonts w:ascii="Arial" w:eastAsia="Arial" w:hAnsi="Arial" w:cs="Arial"/>
          <w:sz w:val="22"/>
          <w:szCs w:val="22"/>
          <w:lang w:val="es-MX"/>
        </w:rPr>
        <w:t xml:space="preserve"> </w:t>
      </w:r>
      <w:r w:rsidR="00295CDB">
        <w:rPr>
          <w:rFonts w:ascii="Arial" w:eastAsia="Arial" w:hAnsi="Arial" w:cs="Arial"/>
          <w:sz w:val="22"/>
          <w:szCs w:val="22"/>
          <w:lang w:val="es-MX"/>
        </w:rPr>
        <w:t>la</w:t>
      </w:r>
      <w:r w:rsidRPr="00E176C3">
        <w:rPr>
          <w:rFonts w:ascii="Arial" w:eastAsia="Arial" w:hAnsi="Arial" w:cs="Arial"/>
          <w:sz w:val="22"/>
          <w:szCs w:val="22"/>
          <w:lang w:val="es-MX"/>
        </w:rPr>
        <w:t xml:space="preserve"> existencia de un contrato interadministrativo no está </w:t>
      </w:r>
      <w:r w:rsidR="008F301E">
        <w:rPr>
          <w:rFonts w:ascii="Arial" w:eastAsia="Arial" w:hAnsi="Arial" w:cs="Arial"/>
          <w:sz w:val="22"/>
          <w:szCs w:val="22"/>
          <w:lang w:val="es-MX"/>
        </w:rPr>
        <w:t>condicionada por</w:t>
      </w:r>
      <w:r w:rsidRPr="00E176C3">
        <w:rPr>
          <w:rFonts w:ascii="Arial" w:eastAsia="Arial" w:hAnsi="Arial" w:cs="Arial"/>
          <w:sz w:val="22"/>
          <w:szCs w:val="22"/>
          <w:lang w:val="es-MX"/>
        </w:rPr>
        <w:t xml:space="preserve"> </w:t>
      </w:r>
      <w:r w:rsidR="008F301E">
        <w:rPr>
          <w:rFonts w:ascii="Arial" w:eastAsia="Arial" w:hAnsi="Arial" w:cs="Arial"/>
          <w:sz w:val="22"/>
          <w:szCs w:val="22"/>
          <w:lang w:val="es-MX"/>
        </w:rPr>
        <w:t>el procedimiento</w:t>
      </w:r>
      <w:r w:rsidRPr="00E176C3">
        <w:rPr>
          <w:rFonts w:ascii="Arial" w:eastAsia="Arial" w:hAnsi="Arial" w:cs="Arial"/>
          <w:sz w:val="22"/>
          <w:szCs w:val="22"/>
          <w:lang w:val="es-MX"/>
        </w:rPr>
        <w:t xml:space="preserve"> de selección sino</w:t>
      </w:r>
      <w:r w:rsidR="008F301E">
        <w:rPr>
          <w:rFonts w:ascii="Arial" w:eastAsia="Arial" w:hAnsi="Arial" w:cs="Arial"/>
          <w:sz w:val="22"/>
          <w:szCs w:val="22"/>
          <w:lang w:val="es-MX"/>
        </w:rPr>
        <w:t xml:space="preserve"> por</w:t>
      </w:r>
      <w:r w:rsidRPr="00E176C3">
        <w:rPr>
          <w:rFonts w:ascii="Arial" w:eastAsia="Arial" w:hAnsi="Arial" w:cs="Arial"/>
          <w:sz w:val="22"/>
          <w:szCs w:val="22"/>
          <w:lang w:val="es-MX"/>
        </w:rPr>
        <w:t xml:space="preserve"> la calidad de las partes que lo suscriben, </w:t>
      </w:r>
      <w:r w:rsidR="008F301E">
        <w:rPr>
          <w:rFonts w:ascii="Arial" w:eastAsia="Arial" w:hAnsi="Arial" w:cs="Arial"/>
          <w:sz w:val="22"/>
          <w:szCs w:val="22"/>
          <w:lang w:val="es-MX"/>
        </w:rPr>
        <w:t>las cuales</w:t>
      </w:r>
      <w:r w:rsidRPr="00E176C3">
        <w:rPr>
          <w:rFonts w:ascii="Arial" w:eastAsia="Arial" w:hAnsi="Arial" w:cs="Arial"/>
          <w:sz w:val="22"/>
          <w:szCs w:val="22"/>
          <w:lang w:val="es-MX"/>
        </w:rPr>
        <w:t xml:space="preserve"> deben ser entidades estatales. </w:t>
      </w:r>
    </w:p>
    <w:p w14:paraId="19020B99" w14:textId="5BCD51C0" w:rsidR="0006771A" w:rsidRPr="005F355D" w:rsidRDefault="00A55EC0" w:rsidP="005F355D">
      <w:pPr>
        <w:spacing w:before="120" w:line="276" w:lineRule="auto"/>
        <w:ind w:firstLine="720"/>
        <w:jc w:val="both"/>
        <w:rPr>
          <w:rFonts w:ascii="Arial" w:eastAsia="Arial" w:hAnsi="Arial" w:cs="Arial"/>
          <w:sz w:val="22"/>
          <w:szCs w:val="22"/>
          <w:lang w:val="es-MX"/>
        </w:rPr>
      </w:pPr>
      <w:r>
        <w:rPr>
          <w:rFonts w:ascii="Arial" w:eastAsia="Arial" w:hAnsi="Arial" w:cs="Arial"/>
          <w:sz w:val="22"/>
          <w:szCs w:val="22"/>
          <w:lang w:val="es-MX"/>
        </w:rPr>
        <w:t>Para estos efectos</w:t>
      </w:r>
      <w:r w:rsidR="00295CDB">
        <w:rPr>
          <w:rFonts w:ascii="Arial" w:eastAsia="Arial" w:hAnsi="Arial" w:cs="Arial"/>
          <w:sz w:val="22"/>
          <w:szCs w:val="22"/>
          <w:lang w:val="es-MX"/>
        </w:rPr>
        <w:t>,</w:t>
      </w:r>
      <w:r w:rsidR="008F301E">
        <w:rPr>
          <w:rFonts w:ascii="Arial" w:eastAsia="Arial" w:hAnsi="Arial" w:cs="Arial"/>
          <w:sz w:val="22"/>
          <w:szCs w:val="22"/>
          <w:lang w:val="es-MX"/>
        </w:rPr>
        <w:t xml:space="preserve"> conforme </w:t>
      </w:r>
      <w:r w:rsidR="00262F84">
        <w:rPr>
          <w:rFonts w:ascii="Arial" w:eastAsia="Arial" w:hAnsi="Arial" w:cs="Arial"/>
          <w:sz w:val="22"/>
          <w:szCs w:val="22"/>
          <w:lang w:val="es-MX"/>
        </w:rPr>
        <w:t>a</w:t>
      </w:r>
      <w:r w:rsidR="008F301E">
        <w:rPr>
          <w:rFonts w:ascii="Arial" w:eastAsia="Arial" w:hAnsi="Arial" w:cs="Arial"/>
          <w:sz w:val="22"/>
          <w:szCs w:val="22"/>
          <w:lang w:val="es-MX"/>
        </w:rPr>
        <w:t>l</w:t>
      </w:r>
      <w:r w:rsidR="00F81193">
        <w:rPr>
          <w:rFonts w:ascii="Arial" w:eastAsia="Arial" w:hAnsi="Arial" w:cs="Arial"/>
          <w:sz w:val="22"/>
          <w:szCs w:val="22"/>
          <w:lang w:val="es-MX"/>
        </w:rPr>
        <w:t xml:space="preserve"> texto modificado por el</w:t>
      </w:r>
      <w:r w:rsidR="008F301E">
        <w:rPr>
          <w:rFonts w:ascii="Arial" w:eastAsia="Arial" w:hAnsi="Arial" w:cs="Arial"/>
          <w:sz w:val="22"/>
          <w:szCs w:val="22"/>
          <w:lang w:val="es-MX"/>
        </w:rPr>
        <w:t xml:space="preserve"> artículo 92 de la ley 1474 de 2011, </w:t>
      </w:r>
      <w:r w:rsidR="00295CDB">
        <w:rPr>
          <w:rFonts w:ascii="Arial" w:eastAsia="Arial" w:hAnsi="Arial" w:cs="Arial"/>
          <w:sz w:val="22"/>
          <w:szCs w:val="22"/>
          <w:lang w:val="es-MX"/>
        </w:rPr>
        <w:t xml:space="preserve">una entidad pública puede celebrar </w:t>
      </w:r>
      <w:r w:rsidR="008F301E">
        <w:rPr>
          <w:rFonts w:ascii="Arial" w:eastAsia="Arial" w:hAnsi="Arial" w:cs="Arial"/>
          <w:sz w:val="22"/>
          <w:szCs w:val="22"/>
          <w:lang w:val="es-MX"/>
        </w:rPr>
        <w:t xml:space="preserve">un </w:t>
      </w:r>
      <w:r w:rsidR="00295CDB">
        <w:rPr>
          <w:rFonts w:ascii="Arial" w:eastAsia="Arial" w:hAnsi="Arial" w:cs="Arial"/>
          <w:sz w:val="22"/>
          <w:szCs w:val="22"/>
          <w:lang w:val="es-MX"/>
        </w:rPr>
        <w:t xml:space="preserve">contrato o convenio interadministrativo </w:t>
      </w:r>
      <w:r w:rsidR="008F301E">
        <w:rPr>
          <w:rFonts w:ascii="Arial" w:eastAsia="Arial" w:hAnsi="Arial" w:cs="Arial"/>
          <w:sz w:val="22"/>
          <w:szCs w:val="22"/>
          <w:lang w:val="es-MX"/>
        </w:rPr>
        <w:t>para</w:t>
      </w:r>
      <w:r w:rsidR="00295CDB">
        <w:rPr>
          <w:rFonts w:ascii="Arial" w:eastAsia="Arial" w:hAnsi="Arial" w:cs="Arial"/>
          <w:sz w:val="22"/>
          <w:szCs w:val="22"/>
          <w:lang w:val="es-MX"/>
        </w:rPr>
        <w:t xml:space="preserve"> la ejecución de una obra pública, siempre y cuando la entidad ejecutora sea adjudicatari</w:t>
      </w:r>
      <w:r w:rsidR="00262F84">
        <w:rPr>
          <w:rFonts w:ascii="Arial" w:eastAsia="Arial" w:hAnsi="Arial" w:cs="Arial"/>
          <w:sz w:val="22"/>
          <w:szCs w:val="22"/>
          <w:lang w:val="es-MX"/>
        </w:rPr>
        <w:t>a</w:t>
      </w:r>
      <w:r w:rsidR="00295CDB">
        <w:rPr>
          <w:rFonts w:ascii="Arial" w:eastAsia="Arial" w:hAnsi="Arial" w:cs="Arial"/>
          <w:sz w:val="22"/>
          <w:szCs w:val="22"/>
          <w:lang w:val="es-MX"/>
        </w:rPr>
        <w:t xml:space="preserve"> </w:t>
      </w:r>
      <w:r w:rsidR="008F301E">
        <w:rPr>
          <w:rFonts w:ascii="Arial" w:eastAsia="Arial" w:hAnsi="Arial" w:cs="Arial"/>
          <w:sz w:val="22"/>
          <w:szCs w:val="22"/>
          <w:lang w:val="es-MX"/>
        </w:rPr>
        <w:t>dentro de un proce</w:t>
      </w:r>
      <w:r w:rsidR="00F81193">
        <w:rPr>
          <w:rFonts w:ascii="Arial" w:eastAsia="Arial" w:hAnsi="Arial" w:cs="Arial"/>
          <w:sz w:val="22"/>
          <w:szCs w:val="22"/>
          <w:lang w:val="es-MX"/>
        </w:rPr>
        <w:t>dimiento</w:t>
      </w:r>
      <w:r w:rsidR="008F301E">
        <w:rPr>
          <w:rFonts w:ascii="Arial" w:eastAsia="Arial" w:hAnsi="Arial" w:cs="Arial"/>
          <w:sz w:val="22"/>
          <w:szCs w:val="22"/>
          <w:lang w:val="es-MX"/>
        </w:rPr>
        <w:t xml:space="preserve"> de selección</w:t>
      </w:r>
      <w:r w:rsidR="00E176C3" w:rsidRPr="00E176C3">
        <w:rPr>
          <w:rFonts w:ascii="Arial" w:eastAsia="Arial" w:hAnsi="Arial" w:cs="Arial"/>
          <w:sz w:val="22"/>
          <w:szCs w:val="22"/>
          <w:lang w:val="es-MX"/>
        </w:rPr>
        <w:t xml:space="preserve"> </w:t>
      </w:r>
      <w:r>
        <w:rPr>
          <w:rFonts w:ascii="Arial" w:eastAsia="Arial" w:hAnsi="Arial" w:cs="Arial"/>
          <w:sz w:val="22"/>
          <w:szCs w:val="22"/>
          <w:lang w:val="es-MX"/>
        </w:rPr>
        <w:t>con pluralidad de oferentes</w:t>
      </w:r>
      <w:r w:rsidR="00E176C3" w:rsidRPr="00E176C3">
        <w:rPr>
          <w:rFonts w:ascii="Arial" w:eastAsia="Arial" w:hAnsi="Arial" w:cs="Arial"/>
          <w:sz w:val="22"/>
          <w:szCs w:val="22"/>
          <w:lang w:val="es-MX"/>
        </w:rPr>
        <w:t xml:space="preserve"> adelantado</w:t>
      </w:r>
      <w:r w:rsidR="00F81193">
        <w:rPr>
          <w:rFonts w:ascii="Arial" w:eastAsia="Arial" w:hAnsi="Arial" w:cs="Arial"/>
          <w:sz w:val="22"/>
          <w:szCs w:val="22"/>
          <w:lang w:val="es-MX"/>
        </w:rPr>
        <w:t>, según corresponda, a través de las modalidades de</w:t>
      </w:r>
      <w:r w:rsidR="00E176C3" w:rsidRPr="00E176C3">
        <w:rPr>
          <w:rFonts w:ascii="Arial" w:eastAsia="Arial" w:hAnsi="Arial" w:cs="Arial"/>
          <w:sz w:val="22"/>
          <w:szCs w:val="22"/>
          <w:lang w:val="es-MX"/>
        </w:rPr>
        <w:t xml:space="preserve"> licitación pública</w:t>
      </w:r>
      <w:r>
        <w:rPr>
          <w:rFonts w:ascii="Arial" w:eastAsia="Arial" w:hAnsi="Arial" w:cs="Arial"/>
          <w:sz w:val="22"/>
          <w:szCs w:val="22"/>
          <w:lang w:val="es-MX"/>
        </w:rPr>
        <w:t xml:space="preserve">, </w:t>
      </w:r>
      <w:r w:rsidR="00E176C3" w:rsidRPr="00E176C3">
        <w:rPr>
          <w:rFonts w:ascii="Arial" w:eastAsia="Arial" w:hAnsi="Arial" w:cs="Arial"/>
          <w:sz w:val="22"/>
          <w:szCs w:val="22"/>
          <w:lang w:val="es-MX"/>
        </w:rPr>
        <w:t>selección ab</w:t>
      </w:r>
      <w:r w:rsidR="00295CDB">
        <w:rPr>
          <w:rFonts w:ascii="Arial" w:eastAsia="Arial" w:hAnsi="Arial" w:cs="Arial"/>
          <w:sz w:val="22"/>
          <w:szCs w:val="22"/>
          <w:lang w:val="es-MX"/>
        </w:rPr>
        <w:t>reviada</w:t>
      </w:r>
      <w:r>
        <w:rPr>
          <w:rFonts w:ascii="Arial" w:eastAsia="Arial" w:hAnsi="Arial" w:cs="Arial"/>
          <w:sz w:val="22"/>
          <w:szCs w:val="22"/>
          <w:lang w:val="es-MX"/>
        </w:rPr>
        <w:t xml:space="preserve"> o mínima cuantía</w:t>
      </w:r>
      <w:r w:rsidR="00295CDB">
        <w:rPr>
          <w:rFonts w:ascii="Arial" w:eastAsia="Arial" w:hAnsi="Arial" w:cs="Arial"/>
          <w:sz w:val="22"/>
          <w:szCs w:val="22"/>
          <w:lang w:val="es-MX"/>
        </w:rPr>
        <w:t>.</w:t>
      </w:r>
    </w:p>
    <w:p w14:paraId="1DEA64EA" w14:textId="75AAC902" w:rsidR="00E27BDF" w:rsidRPr="007A6367" w:rsidRDefault="006C0DA8" w:rsidP="003D62ED">
      <w:pPr>
        <w:spacing w:before="120" w:line="276" w:lineRule="auto"/>
        <w:jc w:val="both"/>
        <w:rPr>
          <w:rFonts w:ascii="Arial" w:eastAsia="Arial" w:hAnsi="Arial" w:cs="Arial"/>
          <w:sz w:val="22"/>
          <w:szCs w:val="22"/>
        </w:rPr>
      </w:pPr>
      <w:r w:rsidRPr="007A6367">
        <w:rPr>
          <w:rFonts w:ascii="Arial" w:eastAsia="Arial" w:hAnsi="Arial" w:cs="Arial"/>
          <w:sz w:val="22"/>
          <w:szCs w:val="22"/>
        </w:rPr>
        <w:t>Este concepto tiene el alcance previsto en el artículo 28 del Código de Procedimiento Administrativo y de lo Contencioso Administrativo.</w:t>
      </w:r>
    </w:p>
    <w:p w14:paraId="442E1470" w14:textId="77777777" w:rsidR="00E27BDF" w:rsidRPr="007A6367" w:rsidRDefault="00E27BDF">
      <w:pPr>
        <w:ind w:firstLine="709"/>
        <w:jc w:val="both"/>
        <w:rPr>
          <w:rFonts w:ascii="Arial" w:eastAsia="Arial" w:hAnsi="Arial" w:cs="Arial"/>
          <w:sz w:val="22"/>
          <w:szCs w:val="22"/>
        </w:rPr>
      </w:pPr>
    </w:p>
    <w:p w14:paraId="17B24C02" w14:textId="6EC612F5" w:rsidR="00D616D1" w:rsidRDefault="00D616D1" w:rsidP="00D616D1">
      <w:pPr>
        <w:spacing w:line="276" w:lineRule="auto"/>
        <w:rPr>
          <w:rFonts w:ascii="Arial" w:hAnsi="Arial" w:cs="Arial"/>
          <w:sz w:val="22"/>
          <w:lang w:val="es-ES_tradnl" w:eastAsia="es-CO"/>
        </w:rPr>
      </w:pPr>
      <w:r w:rsidRPr="007A6367">
        <w:rPr>
          <w:rFonts w:ascii="Arial" w:hAnsi="Arial" w:cs="Arial"/>
          <w:sz w:val="22"/>
          <w:lang w:val="es-ES_tradnl" w:eastAsia="es-CO"/>
        </w:rPr>
        <w:t>Atentamente,</w:t>
      </w:r>
    </w:p>
    <w:p w14:paraId="55EF8751" w14:textId="77777777" w:rsidR="00E176C3" w:rsidRPr="007A6367" w:rsidRDefault="00E176C3" w:rsidP="00D616D1">
      <w:pPr>
        <w:spacing w:line="276" w:lineRule="auto"/>
        <w:rPr>
          <w:rFonts w:ascii="Arial" w:hAnsi="Arial" w:cs="Arial"/>
          <w:sz w:val="18"/>
          <w:szCs w:val="20"/>
          <w:lang w:val="es-ES_tradnl" w:eastAsia="es-CO"/>
        </w:rPr>
      </w:pPr>
    </w:p>
    <w:p w14:paraId="21084871" w14:textId="2BF7F42F" w:rsidR="001377BF" w:rsidRDefault="00F26028" w:rsidP="00D616D1">
      <w:pPr>
        <w:spacing w:line="276" w:lineRule="auto"/>
        <w:jc w:val="center"/>
        <w:rPr>
          <w:rFonts w:ascii="Arial" w:hAnsi="Arial" w:cs="Arial"/>
          <w:b/>
          <w:sz w:val="20"/>
          <w:szCs w:val="20"/>
          <w:lang w:val="es-ES_tradnl" w:eastAsia="es-CO"/>
        </w:rPr>
      </w:pPr>
      <w:r>
        <w:rPr>
          <w:noProof/>
          <w:lang w:eastAsia="es-CO"/>
        </w:rPr>
        <w:drawing>
          <wp:inline distT="0" distB="0" distL="0" distR="0" wp14:anchorId="625F8A2F" wp14:editId="0645287C">
            <wp:extent cx="2514600" cy="1112520"/>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p w14:paraId="31D5AD9C" w14:textId="77777777" w:rsidR="00B766BE" w:rsidRPr="007A6367" w:rsidRDefault="00B766BE" w:rsidP="00D616D1">
      <w:pPr>
        <w:spacing w:line="276" w:lineRule="auto"/>
        <w:jc w:val="center"/>
        <w:rPr>
          <w:rFonts w:ascii="Arial" w:hAnsi="Arial" w:cs="Arial"/>
          <w:b/>
          <w:sz w:val="20"/>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33887" w:rsidRPr="003F6D32" w14:paraId="107A2F65" w14:textId="77777777" w:rsidTr="00257EA0">
        <w:trPr>
          <w:trHeight w:val="315"/>
        </w:trPr>
        <w:tc>
          <w:tcPr>
            <w:tcW w:w="812" w:type="dxa"/>
            <w:vAlign w:val="center"/>
            <w:hideMark/>
          </w:tcPr>
          <w:p w14:paraId="6E2E56F0" w14:textId="77777777" w:rsidR="00433887" w:rsidRPr="006C15D5" w:rsidRDefault="00433887" w:rsidP="00257EA0">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2CA194C" w14:textId="77777777" w:rsidR="00433887" w:rsidRPr="006C15D5" w:rsidRDefault="00433887" w:rsidP="00257EA0">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Deisy Joanna Forero </w:t>
            </w:r>
            <w:proofErr w:type="spellStart"/>
            <w:r>
              <w:rPr>
                <w:rFonts w:ascii="Arial" w:eastAsia="Times New Roman" w:hAnsi="Arial" w:cs="Arial"/>
                <w:color w:val="000000" w:themeColor="text1"/>
                <w:sz w:val="16"/>
                <w:szCs w:val="16"/>
                <w:lang w:eastAsia="es-ES"/>
              </w:rPr>
              <w:t>Forero</w:t>
            </w:r>
            <w:proofErr w:type="spellEnd"/>
          </w:p>
          <w:p w14:paraId="1E391F80" w14:textId="77777777" w:rsidR="00433887" w:rsidRPr="006C15D5" w:rsidRDefault="00433887" w:rsidP="00257EA0">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433887" w:rsidRPr="003F6D32" w14:paraId="53063357" w14:textId="77777777" w:rsidTr="00257EA0">
        <w:trPr>
          <w:trHeight w:val="330"/>
        </w:trPr>
        <w:tc>
          <w:tcPr>
            <w:tcW w:w="812" w:type="dxa"/>
            <w:vAlign w:val="center"/>
            <w:hideMark/>
          </w:tcPr>
          <w:p w14:paraId="3A790185" w14:textId="77777777" w:rsidR="00433887" w:rsidRPr="006C15D5" w:rsidRDefault="00433887" w:rsidP="00257EA0">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F3C1E43" w14:textId="77777777" w:rsidR="00433887" w:rsidRPr="0066393D" w:rsidRDefault="00433887" w:rsidP="00257EA0">
            <w:pPr>
              <w:rPr>
                <w:rFonts w:ascii="Arial" w:eastAsia="Times New Roman" w:hAnsi="Arial" w:cs="Arial"/>
                <w:color w:val="000000" w:themeColor="text1"/>
                <w:sz w:val="16"/>
                <w:szCs w:val="16"/>
                <w:lang w:eastAsia="es-ES"/>
              </w:rPr>
            </w:pPr>
            <w:r w:rsidRPr="0066393D">
              <w:rPr>
                <w:rFonts w:ascii="Arial" w:eastAsia="Times New Roman" w:hAnsi="Arial" w:cs="Arial"/>
                <w:color w:val="000000" w:themeColor="text1"/>
                <w:sz w:val="16"/>
                <w:szCs w:val="16"/>
                <w:lang w:eastAsia="es-ES"/>
              </w:rPr>
              <w:t>J</w:t>
            </w:r>
            <w:r w:rsidRPr="00257EA0">
              <w:rPr>
                <w:rFonts w:ascii="Arial" w:eastAsia="Times New Roman" w:hAnsi="Arial" w:cs="Arial"/>
                <w:sz w:val="16"/>
                <w:szCs w:val="16"/>
                <w:lang w:eastAsia="es-ES"/>
              </w:rPr>
              <w:t>uan David Montoya Penagos</w:t>
            </w:r>
          </w:p>
          <w:p w14:paraId="5061CD1A" w14:textId="77777777" w:rsidR="00433887" w:rsidRPr="006C15D5" w:rsidRDefault="00433887" w:rsidP="00257EA0">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Gestor T1-15 de la </w:t>
            </w:r>
            <w:r w:rsidRPr="006C15D5">
              <w:rPr>
                <w:rFonts w:ascii="Arial" w:eastAsia="Times New Roman" w:hAnsi="Arial" w:cs="Arial"/>
                <w:color w:val="000000" w:themeColor="text1"/>
                <w:sz w:val="16"/>
                <w:szCs w:val="16"/>
                <w:lang w:eastAsia="es-ES"/>
              </w:rPr>
              <w:t>Subdirección de Gestión Contractual</w:t>
            </w:r>
            <w:r w:rsidRPr="006C15D5" w:rsidDel="0066393D">
              <w:rPr>
                <w:rFonts w:ascii="Arial" w:eastAsia="Times New Roman" w:hAnsi="Arial" w:cs="Arial"/>
                <w:color w:val="000000" w:themeColor="text1"/>
                <w:sz w:val="16"/>
                <w:szCs w:val="16"/>
                <w:lang w:eastAsia="es-ES"/>
              </w:rPr>
              <w:t xml:space="preserve"> </w:t>
            </w:r>
          </w:p>
        </w:tc>
      </w:tr>
      <w:tr w:rsidR="00433887" w:rsidRPr="003F6D32" w14:paraId="39361AF1" w14:textId="77777777" w:rsidTr="00257EA0">
        <w:trPr>
          <w:trHeight w:val="300"/>
        </w:trPr>
        <w:tc>
          <w:tcPr>
            <w:tcW w:w="812" w:type="dxa"/>
            <w:vAlign w:val="center"/>
            <w:hideMark/>
          </w:tcPr>
          <w:p w14:paraId="2FEC62BA" w14:textId="77777777" w:rsidR="00433887" w:rsidRPr="006C15D5" w:rsidRDefault="00433887" w:rsidP="00257EA0">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A945669" w14:textId="77777777" w:rsidR="00433887" w:rsidRPr="006C15D5" w:rsidRDefault="00433887" w:rsidP="00257EA0">
            <w:pPr>
              <w:rPr>
                <w:rFonts w:ascii="Arial" w:eastAsia="Times New Roman" w:hAnsi="Arial" w:cs="Arial"/>
                <w:color w:val="000000" w:themeColor="text1"/>
                <w:sz w:val="16"/>
                <w:szCs w:val="16"/>
                <w:lang w:eastAsia="es-ES"/>
              </w:rPr>
            </w:pPr>
            <w:r w:rsidRPr="0066393D">
              <w:rPr>
                <w:rFonts w:ascii="Arial" w:eastAsia="Times New Roman" w:hAnsi="Arial" w:cs="Arial"/>
                <w:color w:val="000000" w:themeColor="text1"/>
                <w:sz w:val="16"/>
                <w:szCs w:val="16"/>
                <w:lang w:eastAsia="es-ES"/>
              </w:rPr>
              <w:t>Jorge Augusto Tirado Navarro</w:t>
            </w:r>
          </w:p>
          <w:p w14:paraId="47C3AFA5" w14:textId="77777777" w:rsidR="00433887" w:rsidRPr="006C15D5" w:rsidRDefault="00433887" w:rsidP="00257EA0">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37F16664" w14:textId="5FA57C02" w:rsidR="007E1569" w:rsidRDefault="007E1569" w:rsidP="005F355D">
      <w:pPr>
        <w:jc w:val="both"/>
        <w:rPr>
          <w:lang w:val="es-MX"/>
        </w:rPr>
      </w:pPr>
    </w:p>
    <w:sectPr w:rsidR="007E1569">
      <w:headerReference w:type="default" r:id="rId12"/>
      <w:footerReference w:type="default" r:id="rId13"/>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0A920" w14:textId="77777777" w:rsidR="001A3897" w:rsidRDefault="001A3897">
      <w:r>
        <w:separator/>
      </w:r>
    </w:p>
  </w:endnote>
  <w:endnote w:type="continuationSeparator" w:id="0">
    <w:p w14:paraId="783382F3" w14:textId="77777777" w:rsidR="001A3897" w:rsidRDefault="001A3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1E0B4" w14:textId="41751187" w:rsidR="00E27BDF" w:rsidRDefault="00E27BDF">
    <w:pPr>
      <w:pBdr>
        <w:top w:val="nil"/>
        <w:left w:val="nil"/>
        <w:bottom w:val="nil"/>
        <w:right w:val="nil"/>
        <w:between w:val="nil"/>
      </w:pBdr>
      <w:jc w:val="right"/>
      <w:rPr>
        <w:rFonts w:ascii="Arial" w:eastAsia="Arial" w:hAnsi="Arial" w:cs="Arial"/>
        <w:color w:val="000000"/>
        <w:sz w:val="18"/>
        <w:szCs w:val="18"/>
      </w:rPr>
    </w:pPr>
  </w:p>
  <w:p w14:paraId="432E397D" w14:textId="77777777" w:rsidR="002034E6" w:rsidRDefault="002034E6">
    <w:pPr>
      <w:pBdr>
        <w:top w:val="nil"/>
        <w:left w:val="nil"/>
        <w:bottom w:val="nil"/>
        <w:right w:val="nil"/>
        <w:between w:val="nil"/>
      </w:pBdr>
      <w:jc w:val="right"/>
      <w:rPr>
        <w:rFonts w:ascii="Arial" w:eastAsia="Arial" w:hAnsi="Arial" w:cs="Arial"/>
        <w:color w:val="000000"/>
        <w:sz w:val="18"/>
        <w:szCs w:val="18"/>
      </w:rPr>
    </w:pPr>
  </w:p>
  <w:p w14:paraId="1E263B40" w14:textId="1ADCA85D" w:rsidR="00E27BDF" w:rsidRDefault="006C0DA8" w:rsidP="002034E6">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7A7AB5">
      <w:rPr>
        <w:rFonts w:ascii="Arial" w:eastAsia="Arial" w:hAnsi="Arial" w:cs="Arial"/>
        <w:b/>
        <w:noProof/>
        <w:color w:val="7F7F7F"/>
        <w:sz w:val="16"/>
        <w:szCs w:val="16"/>
      </w:rPr>
      <w:t>8</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7A7AB5">
      <w:rPr>
        <w:rFonts w:ascii="Arial" w:eastAsia="Arial" w:hAnsi="Arial" w:cs="Arial"/>
        <w:b/>
        <w:noProof/>
        <w:color w:val="7F7F7F"/>
        <w:sz w:val="16"/>
        <w:szCs w:val="16"/>
      </w:rPr>
      <w:t>9</w:t>
    </w:r>
    <w:r>
      <w:rPr>
        <w:rFonts w:ascii="Arial" w:eastAsia="Arial" w:hAnsi="Arial" w:cs="Arial"/>
        <w:b/>
        <w:color w:val="7F7F7F"/>
        <w:sz w:val="16"/>
        <w:szCs w:val="16"/>
      </w:rPr>
      <w:fldChar w:fldCharType="end"/>
    </w:r>
  </w:p>
  <w:p w14:paraId="3BBBC245" w14:textId="5F605B42" w:rsidR="00E27BDF" w:rsidRDefault="006C0DA8">
    <w:pPr>
      <w:pBdr>
        <w:top w:val="nil"/>
        <w:left w:val="nil"/>
        <w:bottom w:val="nil"/>
        <w:right w:val="nil"/>
        <w:between w:val="nil"/>
      </w:pBdr>
      <w:tabs>
        <w:tab w:val="center" w:pos="4419"/>
        <w:tab w:val="right" w:pos="8838"/>
      </w:tabs>
      <w:jc w:val="center"/>
      <w:rPr>
        <w:color w:val="000000"/>
      </w:rPr>
    </w:pPr>
    <w:r>
      <w:rPr>
        <w:noProof/>
        <w:color w:val="000000"/>
        <w:lang w:eastAsia="es-CO"/>
      </w:rPr>
      <w:drawing>
        <wp:inline distT="0" distB="0" distL="0" distR="0" wp14:anchorId="30E83ACA" wp14:editId="5824278E">
          <wp:extent cx="3700130" cy="519139"/>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700130" cy="519139"/>
                  </a:xfrm>
                  <a:prstGeom prst="rect">
                    <a:avLst/>
                  </a:prstGeom>
                  <a:ln/>
                </pic:spPr>
              </pic:pic>
            </a:graphicData>
          </a:graphic>
        </wp:inline>
      </w:drawing>
    </w:r>
  </w:p>
  <w:p w14:paraId="0E99CD91" w14:textId="77777777" w:rsidR="002034E6" w:rsidRDefault="002034E6">
    <w:pPr>
      <w:pBdr>
        <w:top w:val="nil"/>
        <w:left w:val="nil"/>
        <w:bottom w:val="nil"/>
        <w:right w:val="nil"/>
        <w:between w:val="nil"/>
      </w:pBdr>
      <w:tabs>
        <w:tab w:val="center" w:pos="4419"/>
        <w:tab w:val="right" w:pos="8838"/>
      </w:tabs>
      <w:jc w:val="center"/>
      <w:rPr>
        <w:color w:val="000000"/>
      </w:rPr>
    </w:pPr>
  </w:p>
  <w:p w14:paraId="2378D973" w14:textId="77777777" w:rsidR="00E27BDF" w:rsidRDefault="00E27BDF" w:rsidP="00E737A2">
    <w:pPr>
      <w:pBdr>
        <w:top w:val="nil"/>
        <w:left w:val="nil"/>
        <w:bottom w:val="nil"/>
        <w:right w:val="nil"/>
        <w:between w:val="nil"/>
      </w:pBdr>
      <w:tabs>
        <w:tab w:val="center" w:pos="4419"/>
        <w:tab w:val="right" w:pos="8838"/>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5CAFE" w14:textId="77777777" w:rsidR="001A3897" w:rsidRDefault="001A3897">
      <w:r>
        <w:separator/>
      </w:r>
    </w:p>
  </w:footnote>
  <w:footnote w:type="continuationSeparator" w:id="0">
    <w:p w14:paraId="63EE6C15" w14:textId="77777777" w:rsidR="001A3897" w:rsidRDefault="001A3897">
      <w:r>
        <w:continuationSeparator/>
      </w:r>
    </w:p>
  </w:footnote>
  <w:footnote w:id="1">
    <w:p w14:paraId="6F6AF287"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Ley 80 de 1993: «Artículo 2. De la definición de entidades, servidores y servicios públicos. Para los solos efectos de esta ley:</w:t>
      </w:r>
    </w:p>
    <w:p w14:paraId="74E71E93"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»1. Se denominan entidades estatales:</w:t>
      </w:r>
    </w:p>
    <w:p w14:paraId="618CDF37"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745C3DE2"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11BEFF71" w14:textId="77777777" w:rsidR="00970F4F" w:rsidRPr="0070578D" w:rsidRDefault="00970F4F" w:rsidP="00970F4F">
      <w:pPr>
        <w:pStyle w:val="Textonotapie"/>
        <w:ind w:firstLine="709"/>
        <w:jc w:val="both"/>
        <w:rPr>
          <w:rFonts w:ascii="Arial" w:hAnsi="Arial" w:cs="Arial"/>
          <w:color w:val="000000" w:themeColor="text1"/>
          <w:sz w:val="19"/>
          <w:szCs w:val="19"/>
        </w:rPr>
      </w:pPr>
    </w:p>
  </w:footnote>
  <w:footnote w:id="2">
    <w:p w14:paraId="675A3ABC"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0B8C3057" w14:textId="77777777" w:rsidR="00970F4F" w:rsidRPr="0070578D" w:rsidRDefault="00970F4F" w:rsidP="00970F4F">
      <w:pPr>
        <w:pStyle w:val="Textonotapie"/>
        <w:ind w:firstLine="709"/>
        <w:jc w:val="both"/>
        <w:rPr>
          <w:rFonts w:ascii="Arial" w:hAnsi="Arial" w:cs="Arial"/>
          <w:color w:val="000000" w:themeColor="text1"/>
          <w:sz w:val="19"/>
          <w:szCs w:val="19"/>
          <w:lang w:val="es-ES"/>
        </w:rPr>
      </w:pPr>
    </w:p>
  </w:footnote>
  <w:footnote w:id="3">
    <w:p w14:paraId="1C273E9E"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70578D">
        <w:rPr>
          <w:rFonts w:ascii="Arial" w:hAnsi="Arial" w:cs="Arial"/>
          <w:color w:val="000000" w:themeColor="text1"/>
          <w:sz w:val="19"/>
          <w:szCs w:val="19"/>
        </w:rPr>
        <w:t>y</w:t>
      </w:r>
      <w:proofErr w:type="gramEnd"/>
      <w:r w:rsidRPr="0070578D">
        <w:rPr>
          <w:rFonts w:ascii="Arial" w:hAnsi="Arial" w:cs="Arial"/>
          <w:color w:val="000000" w:themeColor="text1"/>
          <w:sz w:val="19"/>
          <w:szCs w:val="19"/>
        </w:rPr>
        <w:t xml:space="preserve"> en consecuencia, le es aplicable lo establecido en el artículo 2.2.1.2.1.4.1 del presente decreto.</w:t>
      </w:r>
    </w:p>
    <w:p w14:paraId="2899F20A"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34E73DC7" w14:textId="77777777" w:rsidR="00970F4F" w:rsidRPr="0070578D" w:rsidRDefault="00970F4F" w:rsidP="00970F4F">
      <w:pPr>
        <w:pStyle w:val="Textonotapie"/>
        <w:ind w:firstLine="709"/>
        <w:jc w:val="both"/>
        <w:rPr>
          <w:rFonts w:ascii="Arial" w:hAnsi="Arial" w:cs="Arial"/>
          <w:color w:val="000000" w:themeColor="text1"/>
          <w:sz w:val="19"/>
          <w:szCs w:val="19"/>
        </w:rPr>
      </w:pPr>
    </w:p>
  </w:footnote>
  <w:footnote w:id="4">
    <w:p w14:paraId="2639D476" w14:textId="77777777" w:rsidR="00970F4F" w:rsidRPr="0070578D" w:rsidRDefault="00970F4F" w:rsidP="00970F4F">
      <w:pPr>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Style w:val="Refdenotaalpie"/>
          <w:rFonts w:ascii="Arial" w:hAnsi="Arial" w:cs="Arial"/>
          <w:color w:val="000000" w:themeColor="text1"/>
          <w:sz w:val="19"/>
          <w:szCs w:val="19"/>
        </w:rPr>
        <w:t xml:space="preserve"> </w:t>
      </w:r>
      <w:r w:rsidRPr="0070578D">
        <w:rPr>
          <w:rFonts w:ascii="Arial" w:hAnsi="Arial" w:cs="Arial"/>
          <w:color w:val="000000" w:themeColor="text1"/>
          <w:sz w:val="19"/>
          <w:szCs w:val="19"/>
        </w:rPr>
        <w:t>Ley 1150 de 2007, artículo 2, literal 4, numeral c, modificada por el artículo 92 de la Ley 1474 de 2011.</w:t>
      </w:r>
    </w:p>
    <w:p w14:paraId="13986C31" w14:textId="77777777" w:rsidR="00970F4F" w:rsidRPr="0070578D" w:rsidRDefault="00970F4F" w:rsidP="00970F4F">
      <w:pPr>
        <w:ind w:firstLine="709"/>
        <w:jc w:val="both"/>
        <w:rPr>
          <w:rFonts w:ascii="Arial" w:hAnsi="Arial" w:cs="Arial"/>
          <w:color w:val="000000" w:themeColor="text1"/>
          <w:sz w:val="19"/>
          <w:szCs w:val="19"/>
        </w:rPr>
      </w:pPr>
    </w:p>
  </w:footnote>
  <w:footnote w:id="5">
    <w:p w14:paraId="597B458D" w14:textId="77777777" w:rsidR="00970F4F" w:rsidRPr="0070578D" w:rsidRDefault="00970F4F" w:rsidP="00970F4F">
      <w:pPr>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Style w:val="Refdenotaalpie"/>
          <w:rFonts w:ascii="Arial" w:hAnsi="Arial" w:cs="Arial"/>
          <w:color w:val="000000" w:themeColor="text1"/>
          <w:sz w:val="19"/>
          <w:szCs w:val="19"/>
        </w:rPr>
        <w:t xml:space="preserve"> </w:t>
      </w:r>
      <w:r w:rsidRPr="0070578D">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9282370" w14:textId="77777777" w:rsidR="00970F4F" w:rsidRPr="0070578D" w:rsidRDefault="00970F4F" w:rsidP="00970F4F">
      <w:pPr>
        <w:ind w:firstLine="709"/>
        <w:jc w:val="both"/>
        <w:rPr>
          <w:rFonts w:ascii="Arial" w:hAnsi="Arial" w:cs="Arial"/>
          <w:color w:val="000000" w:themeColor="text1"/>
          <w:sz w:val="19"/>
          <w:szCs w:val="19"/>
        </w:rPr>
      </w:pPr>
    </w:p>
  </w:footnote>
  <w:footnote w:id="6">
    <w:p w14:paraId="43E46B22"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2CEEE353"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w:t>
      </w:r>
    </w:p>
    <w:p w14:paraId="6393B72D" w14:textId="77777777" w:rsidR="00970F4F" w:rsidRPr="0070578D" w:rsidRDefault="00970F4F" w:rsidP="00970F4F">
      <w:pPr>
        <w:pStyle w:val="Textonotapie"/>
        <w:ind w:firstLine="709"/>
        <w:jc w:val="both"/>
        <w:rPr>
          <w:rFonts w:ascii="Arial" w:hAnsi="Arial" w:cs="Arial"/>
          <w:color w:val="000000" w:themeColor="text1"/>
          <w:sz w:val="19"/>
          <w:szCs w:val="19"/>
          <w:lang w:val="es-ES"/>
        </w:rPr>
      </w:pPr>
    </w:p>
  </w:footnote>
  <w:footnote w:id="7">
    <w:p w14:paraId="34E712E3"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1FCC6AA1" w14:textId="77777777" w:rsidR="00970F4F" w:rsidRPr="0070578D" w:rsidRDefault="00970F4F" w:rsidP="00970F4F">
      <w:pPr>
        <w:pStyle w:val="Textonotapie"/>
        <w:ind w:firstLine="709"/>
        <w:jc w:val="both"/>
        <w:rPr>
          <w:rFonts w:ascii="Arial" w:hAnsi="Arial" w:cs="Arial"/>
          <w:color w:val="000000" w:themeColor="text1"/>
          <w:sz w:val="19"/>
          <w:szCs w:val="19"/>
          <w:lang w:val="es-ES"/>
        </w:rPr>
      </w:pPr>
    </w:p>
  </w:footnote>
  <w:footnote w:id="8">
    <w:p w14:paraId="00236601"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690CDAB9" w14:textId="77777777" w:rsidR="00970F4F" w:rsidRPr="0070578D" w:rsidRDefault="00970F4F" w:rsidP="00970F4F">
      <w:pPr>
        <w:pStyle w:val="Textonotapie"/>
        <w:ind w:firstLine="709"/>
        <w:jc w:val="both"/>
        <w:rPr>
          <w:rFonts w:ascii="Arial" w:hAnsi="Arial" w:cs="Arial"/>
          <w:color w:val="000000" w:themeColor="text1"/>
          <w:sz w:val="19"/>
          <w:szCs w:val="19"/>
          <w:lang w:val="es-ES"/>
        </w:rPr>
      </w:pPr>
    </w:p>
  </w:footnote>
  <w:footnote w:id="9">
    <w:p w14:paraId="2D2FEB6A"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Consejo de Estado. Sentencia del 29 de agosto de 2007. Radicado No. 15.305. Consejero Ponente: Mauricio Fajardo Gómez.</w:t>
      </w:r>
    </w:p>
    <w:p w14:paraId="2266FB34" w14:textId="77777777" w:rsidR="00970F4F" w:rsidRPr="0070578D" w:rsidRDefault="00970F4F" w:rsidP="00970F4F">
      <w:pPr>
        <w:pStyle w:val="Textonotapie"/>
        <w:ind w:firstLine="709"/>
        <w:jc w:val="both"/>
        <w:rPr>
          <w:rFonts w:ascii="Arial" w:hAnsi="Arial" w:cs="Arial"/>
          <w:color w:val="000000" w:themeColor="text1"/>
          <w:sz w:val="19"/>
          <w:szCs w:val="19"/>
        </w:rPr>
      </w:pPr>
    </w:p>
  </w:footnote>
  <w:footnote w:id="10">
    <w:p w14:paraId="506147A8" w14:textId="1B3201A7" w:rsidR="00970F4F" w:rsidRPr="0070578D" w:rsidRDefault="00970F4F">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Consejo de Estado. Sala de consulta y servicio civil. Sentencia del 20 de febrero de 2006. Radicado No. 1.727. Consejero Ponente: Enrique José Arboleda Perdomo.</w:t>
      </w:r>
    </w:p>
  </w:footnote>
  <w:footnote w:id="11">
    <w:p w14:paraId="3F06E55A" w14:textId="77777777" w:rsidR="00970F4F" w:rsidRPr="0070578D" w:rsidRDefault="00970F4F" w:rsidP="00970F4F">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4B058389" w14:textId="06483550" w:rsidR="00970F4F" w:rsidRPr="0070578D" w:rsidRDefault="00970F4F">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ED637" w14:textId="77777777" w:rsidR="00E27BDF" w:rsidRDefault="006C0DA8">
    <w:pPr>
      <w:pBdr>
        <w:top w:val="nil"/>
        <w:left w:val="nil"/>
        <w:bottom w:val="nil"/>
        <w:right w:val="nil"/>
        <w:between w:val="nil"/>
      </w:pBdr>
      <w:tabs>
        <w:tab w:val="center" w:pos="4252"/>
        <w:tab w:val="right" w:pos="8504"/>
      </w:tabs>
      <w:rPr>
        <w:color w:val="000000"/>
      </w:rPr>
    </w:pPr>
    <w:r>
      <w:rPr>
        <w:noProof/>
        <w:lang w:eastAsia="es-CO"/>
      </w:rPr>
      <w:drawing>
        <wp:anchor distT="0" distB="0" distL="114300" distR="114300" simplePos="0" relativeHeight="251658240" behindDoc="0" locked="0" layoutInCell="1" hidden="0" allowOverlap="1" wp14:anchorId="3A81499C" wp14:editId="0CF1BCE4">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11DDC"/>
    <w:multiLevelType w:val="multilevel"/>
    <w:tmpl w:val="6DDE7706"/>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abstractNum w:abstractNumId="1" w15:restartNumberingAfterBreak="0">
    <w:nsid w:val="5F690CE7"/>
    <w:multiLevelType w:val="multilevel"/>
    <w:tmpl w:val="A5A669A6"/>
    <w:lvl w:ilvl="0">
      <w:start w:val="1"/>
      <w:numFmt w:val="decimal"/>
      <w:lvlText w:val="%1."/>
      <w:lvlJc w:val="left"/>
      <w:pPr>
        <w:ind w:left="48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88" w:hanging="578"/>
      </w:pPr>
      <w:rPr>
        <w:rFonts w:hint="default"/>
        <w:b/>
        <w:bCs/>
        <w:spacing w:val="-30"/>
        <w:w w:val="100"/>
        <w:lang w:val="es-ES" w:eastAsia="en-US" w:bidi="ar-SA"/>
      </w:rPr>
    </w:lvl>
    <w:lvl w:ilvl="2">
      <w:start w:val="1"/>
      <w:numFmt w:val="lowerLetter"/>
      <w:lvlText w:val="%3)"/>
      <w:lvlJc w:val="left"/>
      <w:pPr>
        <w:ind w:left="828" w:hanging="308"/>
      </w:pPr>
      <w:rPr>
        <w:rFonts w:ascii="Arial" w:eastAsia="Arial" w:hAnsi="Arial" w:cs="Arial" w:hint="default"/>
        <w:color w:val="4E4D4D"/>
        <w:spacing w:val="-21"/>
        <w:w w:val="100"/>
        <w:sz w:val="22"/>
        <w:szCs w:val="22"/>
        <w:lang w:val="es-ES" w:eastAsia="en-US" w:bidi="ar-SA"/>
      </w:rPr>
    </w:lvl>
    <w:lvl w:ilvl="3">
      <w:numFmt w:val="bullet"/>
      <w:lvlText w:val="•"/>
      <w:lvlJc w:val="left"/>
      <w:pPr>
        <w:ind w:left="840" w:hanging="308"/>
      </w:pPr>
      <w:rPr>
        <w:rFonts w:hint="default"/>
        <w:lang w:val="es-ES" w:eastAsia="en-US" w:bidi="ar-SA"/>
      </w:rPr>
    </w:lvl>
    <w:lvl w:ilvl="4">
      <w:numFmt w:val="bullet"/>
      <w:lvlText w:val="•"/>
      <w:lvlJc w:val="left"/>
      <w:pPr>
        <w:ind w:left="2017" w:hanging="308"/>
      </w:pPr>
      <w:rPr>
        <w:rFonts w:hint="default"/>
        <w:lang w:val="es-ES" w:eastAsia="en-US" w:bidi="ar-SA"/>
      </w:rPr>
    </w:lvl>
    <w:lvl w:ilvl="5">
      <w:numFmt w:val="bullet"/>
      <w:lvlText w:val="•"/>
      <w:lvlJc w:val="left"/>
      <w:pPr>
        <w:ind w:left="3194" w:hanging="308"/>
      </w:pPr>
      <w:rPr>
        <w:rFonts w:hint="default"/>
        <w:lang w:val="es-ES" w:eastAsia="en-US" w:bidi="ar-SA"/>
      </w:rPr>
    </w:lvl>
    <w:lvl w:ilvl="6">
      <w:numFmt w:val="bullet"/>
      <w:lvlText w:val="•"/>
      <w:lvlJc w:val="left"/>
      <w:pPr>
        <w:ind w:left="4371" w:hanging="308"/>
      </w:pPr>
      <w:rPr>
        <w:rFonts w:hint="default"/>
        <w:lang w:val="es-ES" w:eastAsia="en-US" w:bidi="ar-SA"/>
      </w:rPr>
    </w:lvl>
    <w:lvl w:ilvl="7">
      <w:numFmt w:val="bullet"/>
      <w:lvlText w:val="•"/>
      <w:lvlJc w:val="left"/>
      <w:pPr>
        <w:ind w:left="5548" w:hanging="308"/>
      </w:pPr>
      <w:rPr>
        <w:rFonts w:hint="default"/>
        <w:lang w:val="es-ES" w:eastAsia="en-US" w:bidi="ar-SA"/>
      </w:rPr>
    </w:lvl>
    <w:lvl w:ilvl="8">
      <w:numFmt w:val="bullet"/>
      <w:lvlText w:val="•"/>
      <w:lvlJc w:val="left"/>
      <w:pPr>
        <w:ind w:left="6725" w:hanging="308"/>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BDF"/>
    <w:rsid w:val="00005D92"/>
    <w:rsid w:val="00010490"/>
    <w:rsid w:val="00023405"/>
    <w:rsid w:val="00060D52"/>
    <w:rsid w:val="0006160F"/>
    <w:rsid w:val="0006771A"/>
    <w:rsid w:val="0008195D"/>
    <w:rsid w:val="00096B16"/>
    <w:rsid w:val="000973C9"/>
    <w:rsid w:val="000B6A1E"/>
    <w:rsid w:val="000C5143"/>
    <w:rsid w:val="000C6478"/>
    <w:rsid w:val="000D390F"/>
    <w:rsid w:val="000D686F"/>
    <w:rsid w:val="000E0F9B"/>
    <w:rsid w:val="000F3337"/>
    <w:rsid w:val="001377BF"/>
    <w:rsid w:val="00143364"/>
    <w:rsid w:val="00156DC9"/>
    <w:rsid w:val="00164F0F"/>
    <w:rsid w:val="0016722F"/>
    <w:rsid w:val="001851BE"/>
    <w:rsid w:val="00187ED0"/>
    <w:rsid w:val="001A0F38"/>
    <w:rsid w:val="001A3897"/>
    <w:rsid w:val="001B218A"/>
    <w:rsid w:val="001C67D8"/>
    <w:rsid w:val="001D7A22"/>
    <w:rsid w:val="001E2D51"/>
    <w:rsid w:val="001E3DE8"/>
    <w:rsid w:val="002034E6"/>
    <w:rsid w:val="0020643E"/>
    <w:rsid w:val="00222410"/>
    <w:rsid w:val="00224A59"/>
    <w:rsid w:val="002349EB"/>
    <w:rsid w:val="00234CD2"/>
    <w:rsid w:val="00246E9A"/>
    <w:rsid w:val="0025079D"/>
    <w:rsid w:val="00262F84"/>
    <w:rsid w:val="00265428"/>
    <w:rsid w:val="002717B5"/>
    <w:rsid w:val="00283D9B"/>
    <w:rsid w:val="00295480"/>
    <w:rsid w:val="00295CDB"/>
    <w:rsid w:val="0029757A"/>
    <w:rsid w:val="002B3AEF"/>
    <w:rsid w:val="002B56D0"/>
    <w:rsid w:val="002B5B62"/>
    <w:rsid w:val="002B7261"/>
    <w:rsid w:val="002C4921"/>
    <w:rsid w:val="002D241D"/>
    <w:rsid w:val="002D73B2"/>
    <w:rsid w:val="002F19EF"/>
    <w:rsid w:val="00301E58"/>
    <w:rsid w:val="003241F3"/>
    <w:rsid w:val="003375B2"/>
    <w:rsid w:val="00340E1E"/>
    <w:rsid w:val="00342184"/>
    <w:rsid w:val="00342AEE"/>
    <w:rsid w:val="00344A58"/>
    <w:rsid w:val="00345C31"/>
    <w:rsid w:val="0036125E"/>
    <w:rsid w:val="0036269D"/>
    <w:rsid w:val="00380953"/>
    <w:rsid w:val="00392F65"/>
    <w:rsid w:val="003955E8"/>
    <w:rsid w:val="003B3252"/>
    <w:rsid w:val="003D371F"/>
    <w:rsid w:val="003D5501"/>
    <w:rsid w:val="003D62ED"/>
    <w:rsid w:val="003D6437"/>
    <w:rsid w:val="003D6EAA"/>
    <w:rsid w:val="003E308C"/>
    <w:rsid w:val="003E4B1D"/>
    <w:rsid w:val="003F3B45"/>
    <w:rsid w:val="003F7DCB"/>
    <w:rsid w:val="00400462"/>
    <w:rsid w:val="004060C9"/>
    <w:rsid w:val="00410227"/>
    <w:rsid w:val="00415F68"/>
    <w:rsid w:val="00416571"/>
    <w:rsid w:val="004278E5"/>
    <w:rsid w:val="00433887"/>
    <w:rsid w:val="00444BF9"/>
    <w:rsid w:val="00465328"/>
    <w:rsid w:val="00471720"/>
    <w:rsid w:val="0047757C"/>
    <w:rsid w:val="00487C57"/>
    <w:rsid w:val="004A44CD"/>
    <w:rsid w:val="004A4724"/>
    <w:rsid w:val="004B05C4"/>
    <w:rsid w:val="004B224F"/>
    <w:rsid w:val="004E7A93"/>
    <w:rsid w:val="004F0B25"/>
    <w:rsid w:val="00513E2D"/>
    <w:rsid w:val="00522425"/>
    <w:rsid w:val="0052351E"/>
    <w:rsid w:val="00527029"/>
    <w:rsid w:val="005322A2"/>
    <w:rsid w:val="00574D6F"/>
    <w:rsid w:val="005751F3"/>
    <w:rsid w:val="00577C31"/>
    <w:rsid w:val="005817F2"/>
    <w:rsid w:val="0059190D"/>
    <w:rsid w:val="005B1D18"/>
    <w:rsid w:val="005C244E"/>
    <w:rsid w:val="005D589E"/>
    <w:rsid w:val="005E2988"/>
    <w:rsid w:val="005E5574"/>
    <w:rsid w:val="005F355D"/>
    <w:rsid w:val="005F3C5A"/>
    <w:rsid w:val="006230BC"/>
    <w:rsid w:val="00626BB8"/>
    <w:rsid w:val="00667293"/>
    <w:rsid w:val="0067791D"/>
    <w:rsid w:val="006A1655"/>
    <w:rsid w:val="006B1BA1"/>
    <w:rsid w:val="006B2D89"/>
    <w:rsid w:val="006C0DA8"/>
    <w:rsid w:val="006C3826"/>
    <w:rsid w:val="007041E6"/>
    <w:rsid w:val="0070426A"/>
    <w:rsid w:val="007152C8"/>
    <w:rsid w:val="00717570"/>
    <w:rsid w:val="00724E50"/>
    <w:rsid w:val="007526E2"/>
    <w:rsid w:val="00752C35"/>
    <w:rsid w:val="00782647"/>
    <w:rsid w:val="00782A3B"/>
    <w:rsid w:val="00787B01"/>
    <w:rsid w:val="007906CB"/>
    <w:rsid w:val="007A4140"/>
    <w:rsid w:val="007A6367"/>
    <w:rsid w:val="007A7AB5"/>
    <w:rsid w:val="007E0402"/>
    <w:rsid w:val="007E1569"/>
    <w:rsid w:val="007E2F69"/>
    <w:rsid w:val="007E53E7"/>
    <w:rsid w:val="007E5498"/>
    <w:rsid w:val="007F5838"/>
    <w:rsid w:val="00813E74"/>
    <w:rsid w:val="00835144"/>
    <w:rsid w:val="00842E07"/>
    <w:rsid w:val="00843C86"/>
    <w:rsid w:val="0087003C"/>
    <w:rsid w:val="00874E85"/>
    <w:rsid w:val="00880AB4"/>
    <w:rsid w:val="0088290F"/>
    <w:rsid w:val="008A1FA9"/>
    <w:rsid w:val="008B50CA"/>
    <w:rsid w:val="008C630B"/>
    <w:rsid w:val="008D39B7"/>
    <w:rsid w:val="008D4BCF"/>
    <w:rsid w:val="008F301E"/>
    <w:rsid w:val="008F6584"/>
    <w:rsid w:val="0091566F"/>
    <w:rsid w:val="00923D7E"/>
    <w:rsid w:val="00941FE1"/>
    <w:rsid w:val="0096344F"/>
    <w:rsid w:val="009660DB"/>
    <w:rsid w:val="00970F4F"/>
    <w:rsid w:val="009731A7"/>
    <w:rsid w:val="00974544"/>
    <w:rsid w:val="00985CA0"/>
    <w:rsid w:val="00987639"/>
    <w:rsid w:val="009D2F14"/>
    <w:rsid w:val="009D4AB7"/>
    <w:rsid w:val="009F117A"/>
    <w:rsid w:val="009F3571"/>
    <w:rsid w:val="00A30582"/>
    <w:rsid w:val="00A327F9"/>
    <w:rsid w:val="00A35A1A"/>
    <w:rsid w:val="00A54A41"/>
    <w:rsid w:val="00A55EC0"/>
    <w:rsid w:val="00A567C0"/>
    <w:rsid w:val="00A67F5F"/>
    <w:rsid w:val="00A73B12"/>
    <w:rsid w:val="00A93886"/>
    <w:rsid w:val="00A95585"/>
    <w:rsid w:val="00AA1772"/>
    <w:rsid w:val="00AB186F"/>
    <w:rsid w:val="00AB36DA"/>
    <w:rsid w:val="00AB3DE9"/>
    <w:rsid w:val="00AB4013"/>
    <w:rsid w:val="00AB780C"/>
    <w:rsid w:val="00AC3EE9"/>
    <w:rsid w:val="00AC5716"/>
    <w:rsid w:val="00AD3756"/>
    <w:rsid w:val="00AF5DE1"/>
    <w:rsid w:val="00B076A4"/>
    <w:rsid w:val="00B10C9C"/>
    <w:rsid w:val="00B1576F"/>
    <w:rsid w:val="00B413A4"/>
    <w:rsid w:val="00B45CA9"/>
    <w:rsid w:val="00B46C78"/>
    <w:rsid w:val="00B47BC7"/>
    <w:rsid w:val="00B54624"/>
    <w:rsid w:val="00B57AE8"/>
    <w:rsid w:val="00B766BE"/>
    <w:rsid w:val="00BB394E"/>
    <w:rsid w:val="00BB77BF"/>
    <w:rsid w:val="00BC2B94"/>
    <w:rsid w:val="00BC45E7"/>
    <w:rsid w:val="00BD6F08"/>
    <w:rsid w:val="00BE060B"/>
    <w:rsid w:val="00BE7EBA"/>
    <w:rsid w:val="00C10209"/>
    <w:rsid w:val="00C3077A"/>
    <w:rsid w:val="00C35978"/>
    <w:rsid w:val="00C422FF"/>
    <w:rsid w:val="00C467F7"/>
    <w:rsid w:val="00C47C86"/>
    <w:rsid w:val="00C5309F"/>
    <w:rsid w:val="00C53FAF"/>
    <w:rsid w:val="00C60E66"/>
    <w:rsid w:val="00C8437A"/>
    <w:rsid w:val="00C84475"/>
    <w:rsid w:val="00CA0309"/>
    <w:rsid w:val="00CB18CE"/>
    <w:rsid w:val="00CB3C3A"/>
    <w:rsid w:val="00CB524F"/>
    <w:rsid w:val="00CD52F4"/>
    <w:rsid w:val="00CE148F"/>
    <w:rsid w:val="00D004E3"/>
    <w:rsid w:val="00D00AC2"/>
    <w:rsid w:val="00D25F84"/>
    <w:rsid w:val="00D35515"/>
    <w:rsid w:val="00D41651"/>
    <w:rsid w:val="00D616D1"/>
    <w:rsid w:val="00D62C2A"/>
    <w:rsid w:val="00D63EFA"/>
    <w:rsid w:val="00D65FA5"/>
    <w:rsid w:val="00D73C8F"/>
    <w:rsid w:val="00D849B4"/>
    <w:rsid w:val="00DB3E6A"/>
    <w:rsid w:val="00DC63BB"/>
    <w:rsid w:val="00DD4145"/>
    <w:rsid w:val="00DF2561"/>
    <w:rsid w:val="00E15F80"/>
    <w:rsid w:val="00E176C3"/>
    <w:rsid w:val="00E24AD8"/>
    <w:rsid w:val="00E27BDF"/>
    <w:rsid w:val="00E40FB2"/>
    <w:rsid w:val="00E4260B"/>
    <w:rsid w:val="00E54CD2"/>
    <w:rsid w:val="00E558BB"/>
    <w:rsid w:val="00E62548"/>
    <w:rsid w:val="00E65FCF"/>
    <w:rsid w:val="00E7018A"/>
    <w:rsid w:val="00E737A2"/>
    <w:rsid w:val="00E745F5"/>
    <w:rsid w:val="00E76E11"/>
    <w:rsid w:val="00E9062B"/>
    <w:rsid w:val="00E920DC"/>
    <w:rsid w:val="00EA2D8B"/>
    <w:rsid w:val="00EB04D0"/>
    <w:rsid w:val="00EB0C98"/>
    <w:rsid w:val="00EB5093"/>
    <w:rsid w:val="00ED3D3F"/>
    <w:rsid w:val="00F13257"/>
    <w:rsid w:val="00F22099"/>
    <w:rsid w:val="00F26028"/>
    <w:rsid w:val="00F53136"/>
    <w:rsid w:val="00F81193"/>
    <w:rsid w:val="00F82631"/>
    <w:rsid w:val="00F878C8"/>
    <w:rsid w:val="00F95C56"/>
    <w:rsid w:val="00FA0370"/>
    <w:rsid w:val="00FA74D2"/>
    <w:rsid w:val="00FB180B"/>
    <w:rsid w:val="00FB4B32"/>
    <w:rsid w:val="00FC253D"/>
    <w:rsid w:val="00FD49F0"/>
    <w:rsid w:val="00FF0DA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BB1D8"/>
  <w15:docId w15:val="{17415381-3A80-9F4C-A81C-951A17DE5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0973C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0973C9"/>
    <w:rPr>
      <w:rFonts w:ascii="Times New Roman" w:hAnsi="Times New Roman" w:cs="Times New Roman"/>
      <w:sz w:val="18"/>
      <w:szCs w:val="18"/>
    </w:rPr>
  </w:style>
  <w:style w:type="paragraph" w:styleId="Asuntodelcomentario">
    <w:name w:val="annotation subject"/>
    <w:basedOn w:val="Textocomentario"/>
    <w:next w:val="Textocomentario"/>
    <w:link w:val="AsuntodelcomentarioCar"/>
    <w:uiPriority w:val="99"/>
    <w:semiHidden/>
    <w:unhideWhenUsed/>
    <w:rsid w:val="00400462"/>
    <w:rPr>
      <w:b/>
      <w:bCs/>
    </w:rPr>
  </w:style>
  <w:style w:type="character" w:customStyle="1" w:styleId="AsuntodelcomentarioCar">
    <w:name w:val="Asunto del comentario Car"/>
    <w:basedOn w:val="TextocomentarioCar"/>
    <w:link w:val="Asuntodelcomentario"/>
    <w:uiPriority w:val="99"/>
    <w:semiHidden/>
    <w:rsid w:val="00400462"/>
    <w:rPr>
      <w:b/>
      <w:bCs/>
      <w:sz w:val="20"/>
      <w:szCs w:val="20"/>
    </w:rPr>
  </w:style>
  <w:style w:type="paragraph" w:styleId="Encabezado">
    <w:name w:val="header"/>
    <w:basedOn w:val="Normal"/>
    <w:link w:val="EncabezadoCar"/>
    <w:uiPriority w:val="99"/>
    <w:unhideWhenUsed/>
    <w:rsid w:val="00E737A2"/>
    <w:pPr>
      <w:tabs>
        <w:tab w:val="center" w:pos="4419"/>
        <w:tab w:val="right" w:pos="8838"/>
      </w:tabs>
    </w:pPr>
  </w:style>
  <w:style w:type="character" w:customStyle="1" w:styleId="EncabezadoCar">
    <w:name w:val="Encabezado Car"/>
    <w:basedOn w:val="Fuentedeprrafopredeter"/>
    <w:link w:val="Encabezado"/>
    <w:uiPriority w:val="99"/>
    <w:rsid w:val="00E737A2"/>
  </w:style>
  <w:style w:type="paragraph" w:styleId="Piedepgina">
    <w:name w:val="footer"/>
    <w:basedOn w:val="Normal"/>
    <w:link w:val="PiedepginaCar"/>
    <w:uiPriority w:val="99"/>
    <w:unhideWhenUsed/>
    <w:rsid w:val="00E737A2"/>
    <w:pPr>
      <w:tabs>
        <w:tab w:val="center" w:pos="4419"/>
        <w:tab w:val="right" w:pos="8838"/>
      </w:tabs>
    </w:pPr>
  </w:style>
  <w:style w:type="character" w:customStyle="1" w:styleId="PiedepginaCar">
    <w:name w:val="Pie de página Car"/>
    <w:basedOn w:val="Fuentedeprrafopredeter"/>
    <w:link w:val="Piedepgina"/>
    <w:uiPriority w:val="99"/>
    <w:rsid w:val="00E737A2"/>
  </w:style>
  <w:style w:type="table" w:styleId="Tablaconcuadrcula">
    <w:name w:val="Table Grid"/>
    <w:basedOn w:val="Tablanormal"/>
    <w:uiPriority w:val="39"/>
    <w:rsid w:val="00D616D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D5501"/>
    <w:rPr>
      <w:rFonts w:ascii="Times New Roman" w:hAnsi="Times New Roman" w:cs="Times New Roman"/>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82A3B"/>
    <w:rPr>
      <w:rFonts w:asciiTheme="minorHAnsi" w:eastAsiaTheme="minorHAnsi" w:hAnsiTheme="minorHAnsi" w:cstheme="minorBidi"/>
      <w:sz w:val="20"/>
      <w:szCs w:val="20"/>
      <w:lang w:val="es-MX"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rsid w:val="00782A3B"/>
    <w:rPr>
      <w:rFonts w:asciiTheme="minorHAnsi" w:eastAsiaTheme="minorHAnsi" w:hAnsiTheme="minorHAnsi" w:cstheme="minorBidi"/>
      <w:sz w:val="20"/>
      <w:szCs w:val="20"/>
      <w:lang w:val="es-MX" w:eastAsia="en-US"/>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82A3B"/>
    <w:rPr>
      <w:vertAlign w:val="superscript"/>
    </w:rPr>
  </w:style>
  <w:style w:type="paragraph" w:styleId="Sinespaciado">
    <w:name w:val="No Spacing"/>
    <w:uiPriority w:val="1"/>
    <w:qFormat/>
    <w:rsid w:val="00E7018A"/>
  </w:style>
  <w:style w:type="character" w:styleId="Hipervnculo">
    <w:name w:val="Hyperlink"/>
    <w:basedOn w:val="Fuentedeprrafopredeter"/>
    <w:uiPriority w:val="99"/>
    <w:unhideWhenUsed/>
    <w:rsid w:val="00D004E3"/>
    <w:rPr>
      <w:color w:val="0000FF" w:themeColor="hyperlink"/>
      <w:u w:val="single"/>
    </w:rPr>
  </w:style>
  <w:style w:type="paragraph" w:styleId="Textoindependiente">
    <w:name w:val="Body Text"/>
    <w:basedOn w:val="Normal"/>
    <w:link w:val="TextoindependienteCar"/>
    <w:uiPriority w:val="99"/>
    <w:semiHidden/>
    <w:unhideWhenUsed/>
    <w:rsid w:val="00880AB4"/>
    <w:pPr>
      <w:spacing w:after="120"/>
    </w:pPr>
  </w:style>
  <w:style w:type="character" w:customStyle="1" w:styleId="TextoindependienteCar">
    <w:name w:val="Texto independiente Car"/>
    <w:basedOn w:val="Fuentedeprrafopredeter"/>
    <w:link w:val="Textoindependiente"/>
    <w:uiPriority w:val="99"/>
    <w:semiHidden/>
    <w:rsid w:val="00880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8355">
      <w:bodyDiv w:val="1"/>
      <w:marLeft w:val="0"/>
      <w:marRight w:val="0"/>
      <w:marTop w:val="0"/>
      <w:marBottom w:val="0"/>
      <w:divBdr>
        <w:top w:val="none" w:sz="0" w:space="0" w:color="auto"/>
        <w:left w:val="none" w:sz="0" w:space="0" w:color="auto"/>
        <w:bottom w:val="none" w:sz="0" w:space="0" w:color="auto"/>
        <w:right w:val="none" w:sz="0" w:space="0" w:color="auto"/>
      </w:divBdr>
      <w:divsChild>
        <w:div w:id="1551696032">
          <w:marLeft w:val="0"/>
          <w:marRight w:val="0"/>
          <w:marTop w:val="0"/>
          <w:marBottom w:val="0"/>
          <w:divBdr>
            <w:top w:val="none" w:sz="0" w:space="0" w:color="auto"/>
            <w:left w:val="none" w:sz="0" w:space="0" w:color="auto"/>
            <w:bottom w:val="none" w:sz="0" w:space="0" w:color="auto"/>
            <w:right w:val="none" w:sz="0" w:space="0" w:color="auto"/>
          </w:divBdr>
          <w:divsChild>
            <w:div w:id="279841929">
              <w:marLeft w:val="0"/>
              <w:marRight w:val="0"/>
              <w:marTop w:val="0"/>
              <w:marBottom w:val="0"/>
              <w:divBdr>
                <w:top w:val="none" w:sz="0" w:space="0" w:color="auto"/>
                <w:left w:val="none" w:sz="0" w:space="0" w:color="auto"/>
                <w:bottom w:val="none" w:sz="0" w:space="0" w:color="auto"/>
                <w:right w:val="none" w:sz="0" w:space="0" w:color="auto"/>
              </w:divBdr>
              <w:divsChild>
                <w:div w:id="12406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914">
      <w:bodyDiv w:val="1"/>
      <w:marLeft w:val="0"/>
      <w:marRight w:val="0"/>
      <w:marTop w:val="0"/>
      <w:marBottom w:val="0"/>
      <w:divBdr>
        <w:top w:val="none" w:sz="0" w:space="0" w:color="auto"/>
        <w:left w:val="none" w:sz="0" w:space="0" w:color="auto"/>
        <w:bottom w:val="none" w:sz="0" w:space="0" w:color="auto"/>
        <w:right w:val="none" w:sz="0" w:space="0" w:color="auto"/>
      </w:divBdr>
    </w:div>
    <w:div w:id="290282217">
      <w:bodyDiv w:val="1"/>
      <w:marLeft w:val="0"/>
      <w:marRight w:val="0"/>
      <w:marTop w:val="0"/>
      <w:marBottom w:val="0"/>
      <w:divBdr>
        <w:top w:val="none" w:sz="0" w:space="0" w:color="auto"/>
        <w:left w:val="none" w:sz="0" w:space="0" w:color="auto"/>
        <w:bottom w:val="none" w:sz="0" w:space="0" w:color="auto"/>
        <w:right w:val="none" w:sz="0" w:space="0" w:color="auto"/>
      </w:divBdr>
    </w:div>
    <w:div w:id="337536051">
      <w:bodyDiv w:val="1"/>
      <w:marLeft w:val="0"/>
      <w:marRight w:val="0"/>
      <w:marTop w:val="0"/>
      <w:marBottom w:val="0"/>
      <w:divBdr>
        <w:top w:val="none" w:sz="0" w:space="0" w:color="auto"/>
        <w:left w:val="none" w:sz="0" w:space="0" w:color="auto"/>
        <w:bottom w:val="none" w:sz="0" w:space="0" w:color="auto"/>
        <w:right w:val="none" w:sz="0" w:space="0" w:color="auto"/>
      </w:divBdr>
      <w:divsChild>
        <w:div w:id="1229417840">
          <w:marLeft w:val="0"/>
          <w:marRight w:val="0"/>
          <w:marTop w:val="0"/>
          <w:marBottom w:val="0"/>
          <w:divBdr>
            <w:top w:val="none" w:sz="0" w:space="0" w:color="auto"/>
            <w:left w:val="none" w:sz="0" w:space="0" w:color="auto"/>
            <w:bottom w:val="none" w:sz="0" w:space="0" w:color="auto"/>
            <w:right w:val="none" w:sz="0" w:space="0" w:color="auto"/>
          </w:divBdr>
          <w:divsChild>
            <w:div w:id="618335925">
              <w:marLeft w:val="0"/>
              <w:marRight w:val="0"/>
              <w:marTop w:val="0"/>
              <w:marBottom w:val="0"/>
              <w:divBdr>
                <w:top w:val="none" w:sz="0" w:space="0" w:color="auto"/>
                <w:left w:val="none" w:sz="0" w:space="0" w:color="auto"/>
                <w:bottom w:val="none" w:sz="0" w:space="0" w:color="auto"/>
                <w:right w:val="none" w:sz="0" w:space="0" w:color="auto"/>
              </w:divBdr>
              <w:divsChild>
                <w:div w:id="165683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696871">
      <w:bodyDiv w:val="1"/>
      <w:marLeft w:val="0"/>
      <w:marRight w:val="0"/>
      <w:marTop w:val="0"/>
      <w:marBottom w:val="0"/>
      <w:divBdr>
        <w:top w:val="none" w:sz="0" w:space="0" w:color="auto"/>
        <w:left w:val="none" w:sz="0" w:space="0" w:color="auto"/>
        <w:bottom w:val="none" w:sz="0" w:space="0" w:color="auto"/>
        <w:right w:val="none" w:sz="0" w:space="0" w:color="auto"/>
      </w:divBdr>
      <w:divsChild>
        <w:div w:id="828060976">
          <w:marLeft w:val="0"/>
          <w:marRight w:val="0"/>
          <w:marTop w:val="0"/>
          <w:marBottom w:val="0"/>
          <w:divBdr>
            <w:top w:val="none" w:sz="0" w:space="0" w:color="auto"/>
            <w:left w:val="none" w:sz="0" w:space="0" w:color="auto"/>
            <w:bottom w:val="none" w:sz="0" w:space="0" w:color="auto"/>
            <w:right w:val="none" w:sz="0" w:space="0" w:color="auto"/>
          </w:divBdr>
          <w:divsChild>
            <w:div w:id="1271665293">
              <w:marLeft w:val="0"/>
              <w:marRight w:val="0"/>
              <w:marTop w:val="0"/>
              <w:marBottom w:val="0"/>
              <w:divBdr>
                <w:top w:val="none" w:sz="0" w:space="0" w:color="auto"/>
                <w:left w:val="none" w:sz="0" w:space="0" w:color="auto"/>
                <w:bottom w:val="none" w:sz="0" w:space="0" w:color="auto"/>
                <w:right w:val="none" w:sz="0" w:space="0" w:color="auto"/>
              </w:divBdr>
              <w:divsChild>
                <w:div w:id="81075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17383">
      <w:bodyDiv w:val="1"/>
      <w:marLeft w:val="0"/>
      <w:marRight w:val="0"/>
      <w:marTop w:val="0"/>
      <w:marBottom w:val="0"/>
      <w:divBdr>
        <w:top w:val="none" w:sz="0" w:space="0" w:color="auto"/>
        <w:left w:val="none" w:sz="0" w:space="0" w:color="auto"/>
        <w:bottom w:val="none" w:sz="0" w:space="0" w:color="auto"/>
        <w:right w:val="none" w:sz="0" w:space="0" w:color="auto"/>
      </w:divBdr>
    </w:div>
    <w:div w:id="415713623">
      <w:bodyDiv w:val="1"/>
      <w:marLeft w:val="0"/>
      <w:marRight w:val="0"/>
      <w:marTop w:val="0"/>
      <w:marBottom w:val="0"/>
      <w:divBdr>
        <w:top w:val="none" w:sz="0" w:space="0" w:color="auto"/>
        <w:left w:val="none" w:sz="0" w:space="0" w:color="auto"/>
        <w:bottom w:val="none" w:sz="0" w:space="0" w:color="auto"/>
        <w:right w:val="none" w:sz="0" w:space="0" w:color="auto"/>
      </w:divBdr>
    </w:div>
    <w:div w:id="471100613">
      <w:bodyDiv w:val="1"/>
      <w:marLeft w:val="0"/>
      <w:marRight w:val="0"/>
      <w:marTop w:val="0"/>
      <w:marBottom w:val="0"/>
      <w:divBdr>
        <w:top w:val="none" w:sz="0" w:space="0" w:color="auto"/>
        <w:left w:val="none" w:sz="0" w:space="0" w:color="auto"/>
        <w:bottom w:val="none" w:sz="0" w:space="0" w:color="auto"/>
        <w:right w:val="none" w:sz="0" w:space="0" w:color="auto"/>
      </w:divBdr>
    </w:div>
    <w:div w:id="605043729">
      <w:bodyDiv w:val="1"/>
      <w:marLeft w:val="0"/>
      <w:marRight w:val="0"/>
      <w:marTop w:val="0"/>
      <w:marBottom w:val="0"/>
      <w:divBdr>
        <w:top w:val="none" w:sz="0" w:space="0" w:color="auto"/>
        <w:left w:val="none" w:sz="0" w:space="0" w:color="auto"/>
        <w:bottom w:val="none" w:sz="0" w:space="0" w:color="auto"/>
        <w:right w:val="none" w:sz="0" w:space="0" w:color="auto"/>
      </w:divBdr>
    </w:div>
    <w:div w:id="617296866">
      <w:bodyDiv w:val="1"/>
      <w:marLeft w:val="0"/>
      <w:marRight w:val="0"/>
      <w:marTop w:val="0"/>
      <w:marBottom w:val="0"/>
      <w:divBdr>
        <w:top w:val="none" w:sz="0" w:space="0" w:color="auto"/>
        <w:left w:val="none" w:sz="0" w:space="0" w:color="auto"/>
        <w:bottom w:val="none" w:sz="0" w:space="0" w:color="auto"/>
        <w:right w:val="none" w:sz="0" w:space="0" w:color="auto"/>
      </w:divBdr>
    </w:div>
    <w:div w:id="684944772">
      <w:bodyDiv w:val="1"/>
      <w:marLeft w:val="0"/>
      <w:marRight w:val="0"/>
      <w:marTop w:val="0"/>
      <w:marBottom w:val="0"/>
      <w:divBdr>
        <w:top w:val="none" w:sz="0" w:space="0" w:color="auto"/>
        <w:left w:val="none" w:sz="0" w:space="0" w:color="auto"/>
        <w:bottom w:val="none" w:sz="0" w:space="0" w:color="auto"/>
        <w:right w:val="none" w:sz="0" w:space="0" w:color="auto"/>
      </w:divBdr>
    </w:div>
    <w:div w:id="697270173">
      <w:bodyDiv w:val="1"/>
      <w:marLeft w:val="0"/>
      <w:marRight w:val="0"/>
      <w:marTop w:val="0"/>
      <w:marBottom w:val="0"/>
      <w:divBdr>
        <w:top w:val="none" w:sz="0" w:space="0" w:color="auto"/>
        <w:left w:val="none" w:sz="0" w:space="0" w:color="auto"/>
        <w:bottom w:val="none" w:sz="0" w:space="0" w:color="auto"/>
        <w:right w:val="none" w:sz="0" w:space="0" w:color="auto"/>
      </w:divBdr>
    </w:div>
    <w:div w:id="1030882860">
      <w:bodyDiv w:val="1"/>
      <w:marLeft w:val="0"/>
      <w:marRight w:val="0"/>
      <w:marTop w:val="0"/>
      <w:marBottom w:val="0"/>
      <w:divBdr>
        <w:top w:val="none" w:sz="0" w:space="0" w:color="auto"/>
        <w:left w:val="none" w:sz="0" w:space="0" w:color="auto"/>
        <w:bottom w:val="none" w:sz="0" w:space="0" w:color="auto"/>
        <w:right w:val="none" w:sz="0" w:space="0" w:color="auto"/>
      </w:divBdr>
    </w:div>
    <w:div w:id="1101491220">
      <w:bodyDiv w:val="1"/>
      <w:marLeft w:val="0"/>
      <w:marRight w:val="0"/>
      <w:marTop w:val="0"/>
      <w:marBottom w:val="0"/>
      <w:divBdr>
        <w:top w:val="none" w:sz="0" w:space="0" w:color="auto"/>
        <w:left w:val="none" w:sz="0" w:space="0" w:color="auto"/>
        <w:bottom w:val="none" w:sz="0" w:space="0" w:color="auto"/>
        <w:right w:val="none" w:sz="0" w:space="0" w:color="auto"/>
      </w:divBdr>
    </w:div>
    <w:div w:id="1106191924">
      <w:bodyDiv w:val="1"/>
      <w:marLeft w:val="0"/>
      <w:marRight w:val="0"/>
      <w:marTop w:val="0"/>
      <w:marBottom w:val="0"/>
      <w:divBdr>
        <w:top w:val="none" w:sz="0" w:space="0" w:color="auto"/>
        <w:left w:val="none" w:sz="0" w:space="0" w:color="auto"/>
        <w:bottom w:val="none" w:sz="0" w:space="0" w:color="auto"/>
        <w:right w:val="none" w:sz="0" w:space="0" w:color="auto"/>
      </w:divBdr>
    </w:div>
    <w:div w:id="1151825085">
      <w:bodyDiv w:val="1"/>
      <w:marLeft w:val="0"/>
      <w:marRight w:val="0"/>
      <w:marTop w:val="0"/>
      <w:marBottom w:val="0"/>
      <w:divBdr>
        <w:top w:val="none" w:sz="0" w:space="0" w:color="auto"/>
        <w:left w:val="none" w:sz="0" w:space="0" w:color="auto"/>
        <w:bottom w:val="none" w:sz="0" w:space="0" w:color="auto"/>
        <w:right w:val="none" w:sz="0" w:space="0" w:color="auto"/>
      </w:divBdr>
    </w:div>
    <w:div w:id="1181698861">
      <w:bodyDiv w:val="1"/>
      <w:marLeft w:val="0"/>
      <w:marRight w:val="0"/>
      <w:marTop w:val="0"/>
      <w:marBottom w:val="0"/>
      <w:divBdr>
        <w:top w:val="none" w:sz="0" w:space="0" w:color="auto"/>
        <w:left w:val="none" w:sz="0" w:space="0" w:color="auto"/>
        <w:bottom w:val="none" w:sz="0" w:space="0" w:color="auto"/>
        <w:right w:val="none" w:sz="0" w:space="0" w:color="auto"/>
      </w:divBdr>
    </w:div>
    <w:div w:id="1290819625">
      <w:bodyDiv w:val="1"/>
      <w:marLeft w:val="0"/>
      <w:marRight w:val="0"/>
      <w:marTop w:val="0"/>
      <w:marBottom w:val="0"/>
      <w:divBdr>
        <w:top w:val="none" w:sz="0" w:space="0" w:color="auto"/>
        <w:left w:val="none" w:sz="0" w:space="0" w:color="auto"/>
        <w:bottom w:val="none" w:sz="0" w:space="0" w:color="auto"/>
        <w:right w:val="none" w:sz="0" w:space="0" w:color="auto"/>
      </w:divBdr>
    </w:div>
    <w:div w:id="1353458076">
      <w:bodyDiv w:val="1"/>
      <w:marLeft w:val="0"/>
      <w:marRight w:val="0"/>
      <w:marTop w:val="0"/>
      <w:marBottom w:val="0"/>
      <w:divBdr>
        <w:top w:val="none" w:sz="0" w:space="0" w:color="auto"/>
        <w:left w:val="none" w:sz="0" w:space="0" w:color="auto"/>
        <w:bottom w:val="none" w:sz="0" w:space="0" w:color="auto"/>
        <w:right w:val="none" w:sz="0" w:space="0" w:color="auto"/>
      </w:divBdr>
    </w:div>
    <w:div w:id="1487235615">
      <w:bodyDiv w:val="1"/>
      <w:marLeft w:val="0"/>
      <w:marRight w:val="0"/>
      <w:marTop w:val="0"/>
      <w:marBottom w:val="0"/>
      <w:divBdr>
        <w:top w:val="none" w:sz="0" w:space="0" w:color="auto"/>
        <w:left w:val="none" w:sz="0" w:space="0" w:color="auto"/>
        <w:bottom w:val="none" w:sz="0" w:space="0" w:color="auto"/>
        <w:right w:val="none" w:sz="0" w:space="0" w:color="auto"/>
      </w:divBdr>
    </w:div>
    <w:div w:id="1575893545">
      <w:bodyDiv w:val="1"/>
      <w:marLeft w:val="0"/>
      <w:marRight w:val="0"/>
      <w:marTop w:val="0"/>
      <w:marBottom w:val="0"/>
      <w:divBdr>
        <w:top w:val="none" w:sz="0" w:space="0" w:color="auto"/>
        <w:left w:val="none" w:sz="0" w:space="0" w:color="auto"/>
        <w:bottom w:val="none" w:sz="0" w:space="0" w:color="auto"/>
        <w:right w:val="none" w:sz="0" w:space="0" w:color="auto"/>
      </w:divBdr>
    </w:div>
    <w:div w:id="1668971330">
      <w:bodyDiv w:val="1"/>
      <w:marLeft w:val="0"/>
      <w:marRight w:val="0"/>
      <w:marTop w:val="0"/>
      <w:marBottom w:val="0"/>
      <w:divBdr>
        <w:top w:val="none" w:sz="0" w:space="0" w:color="auto"/>
        <w:left w:val="none" w:sz="0" w:space="0" w:color="auto"/>
        <w:bottom w:val="none" w:sz="0" w:space="0" w:color="auto"/>
        <w:right w:val="none" w:sz="0" w:space="0" w:color="auto"/>
      </w:divBdr>
      <w:divsChild>
        <w:div w:id="1688866603">
          <w:marLeft w:val="0"/>
          <w:marRight w:val="0"/>
          <w:marTop w:val="0"/>
          <w:marBottom w:val="0"/>
          <w:divBdr>
            <w:top w:val="none" w:sz="0" w:space="0" w:color="auto"/>
            <w:left w:val="none" w:sz="0" w:space="0" w:color="auto"/>
            <w:bottom w:val="none" w:sz="0" w:space="0" w:color="auto"/>
            <w:right w:val="none" w:sz="0" w:space="0" w:color="auto"/>
          </w:divBdr>
          <w:divsChild>
            <w:div w:id="1611862924">
              <w:marLeft w:val="0"/>
              <w:marRight w:val="0"/>
              <w:marTop w:val="0"/>
              <w:marBottom w:val="0"/>
              <w:divBdr>
                <w:top w:val="none" w:sz="0" w:space="0" w:color="auto"/>
                <w:left w:val="none" w:sz="0" w:space="0" w:color="auto"/>
                <w:bottom w:val="none" w:sz="0" w:space="0" w:color="auto"/>
                <w:right w:val="none" w:sz="0" w:space="0" w:color="auto"/>
              </w:divBdr>
              <w:divsChild>
                <w:div w:id="4138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57924">
      <w:bodyDiv w:val="1"/>
      <w:marLeft w:val="0"/>
      <w:marRight w:val="0"/>
      <w:marTop w:val="0"/>
      <w:marBottom w:val="0"/>
      <w:divBdr>
        <w:top w:val="none" w:sz="0" w:space="0" w:color="auto"/>
        <w:left w:val="none" w:sz="0" w:space="0" w:color="auto"/>
        <w:bottom w:val="none" w:sz="0" w:space="0" w:color="auto"/>
        <w:right w:val="none" w:sz="0" w:space="0" w:color="auto"/>
      </w:divBdr>
    </w:div>
    <w:div w:id="1762683321">
      <w:bodyDiv w:val="1"/>
      <w:marLeft w:val="0"/>
      <w:marRight w:val="0"/>
      <w:marTop w:val="0"/>
      <w:marBottom w:val="0"/>
      <w:divBdr>
        <w:top w:val="none" w:sz="0" w:space="0" w:color="auto"/>
        <w:left w:val="none" w:sz="0" w:space="0" w:color="auto"/>
        <w:bottom w:val="none" w:sz="0" w:space="0" w:color="auto"/>
        <w:right w:val="none" w:sz="0" w:space="0" w:color="auto"/>
      </w:divBdr>
    </w:div>
    <w:div w:id="1763598047">
      <w:bodyDiv w:val="1"/>
      <w:marLeft w:val="0"/>
      <w:marRight w:val="0"/>
      <w:marTop w:val="0"/>
      <w:marBottom w:val="0"/>
      <w:divBdr>
        <w:top w:val="none" w:sz="0" w:space="0" w:color="auto"/>
        <w:left w:val="none" w:sz="0" w:space="0" w:color="auto"/>
        <w:bottom w:val="none" w:sz="0" w:space="0" w:color="auto"/>
        <w:right w:val="none" w:sz="0" w:space="0" w:color="auto"/>
      </w:divBdr>
    </w:div>
    <w:div w:id="1778872142">
      <w:bodyDiv w:val="1"/>
      <w:marLeft w:val="0"/>
      <w:marRight w:val="0"/>
      <w:marTop w:val="0"/>
      <w:marBottom w:val="0"/>
      <w:divBdr>
        <w:top w:val="none" w:sz="0" w:space="0" w:color="auto"/>
        <w:left w:val="none" w:sz="0" w:space="0" w:color="auto"/>
        <w:bottom w:val="none" w:sz="0" w:space="0" w:color="auto"/>
        <w:right w:val="none" w:sz="0" w:space="0" w:color="auto"/>
      </w:divBdr>
    </w:div>
    <w:div w:id="2110538210">
      <w:bodyDiv w:val="1"/>
      <w:marLeft w:val="0"/>
      <w:marRight w:val="0"/>
      <w:marTop w:val="0"/>
      <w:marBottom w:val="0"/>
      <w:divBdr>
        <w:top w:val="none" w:sz="0" w:space="0" w:color="auto"/>
        <w:left w:val="none" w:sz="0" w:space="0" w:color="auto"/>
        <w:bottom w:val="none" w:sz="0" w:space="0" w:color="auto"/>
        <w:right w:val="none" w:sz="0" w:space="0" w:color="auto"/>
      </w:divBdr>
      <w:divsChild>
        <w:div w:id="975376308">
          <w:marLeft w:val="0"/>
          <w:marRight w:val="0"/>
          <w:marTop w:val="0"/>
          <w:marBottom w:val="0"/>
          <w:divBdr>
            <w:top w:val="none" w:sz="0" w:space="0" w:color="auto"/>
            <w:left w:val="none" w:sz="0" w:space="0" w:color="auto"/>
            <w:bottom w:val="none" w:sz="0" w:space="0" w:color="auto"/>
            <w:right w:val="none" w:sz="0" w:space="0" w:color="auto"/>
          </w:divBdr>
          <w:divsChild>
            <w:div w:id="151871156">
              <w:marLeft w:val="0"/>
              <w:marRight w:val="0"/>
              <w:marTop w:val="0"/>
              <w:marBottom w:val="0"/>
              <w:divBdr>
                <w:top w:val="none" w:sz="0" w:space="0" w:color="auto"/>
                <w:left w:val="none" w:sz="0" w:space="0" w:color="auto"/>
                <w:bottom w:val="none" w:sz="0" w:space="0" w:color="auto"/>
                <w:right w:val="none" w:sz="0" w:space="0" w:color="auto"/>
              </w:divBdr>
              <w:divsChild>
                <w:div w:id="7762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22728-7626-4372-B140-6B167425CE29}">
  <ds:schemaRefs>
    <ds:schemaRef ds:uri="http://schemas.microsoft.com/sharepoint/v3/contenttype/forms"/>
  </ds:schemaRefs>
</ds:datastoreItem>
</file>

<file path=customXml/itemProps2.xml><?xml version="1.0" encoding="utf-8"?>
<ds:datastoreItem xmlns:ds="http://schemas.openxmlformats.org/officeDocument/2006/customXml" ds:itemID="{170413F4-9A6B-4B0B-BAC7-717D233065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3645B5A-C581-4D11-8027-A3D3C8B27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D6F26D-D031-4461-8F6F-62C4F05E5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3251</Words>
  <Characters>17881</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Equipo</dc:creator>
  <cp:lastModifiedBy>Deisy Joanna Forero Forero</cp:lastModifiedBy>
  <cp:revision>2</cp:revision>
  <dcterms:created xsi:type="dcterms:W3CDTF">2020-12-01T22:47:00Z</dcterms:created>
  <dcterms:modified xsi:type="dcterms:W3CDTF">2020-12-01T22:47:00Z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