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0632E" w14:textId="182A5289" w:rsidR="00E0164D" w:rsidRDefault="00E0164D" w:rsidP="00E0164D">
      <w:pPr>
        <w:spacing w:after="0" w:line="240" w:lineRule="auto"/>
        <w:jc w:val="both"/>
        <w:rPr>
          <w:rFonts w:ascii="Verdana" w:hAnsi="Verdana" w:cs="Arial"/>
          <w:b/>
          <w:bCs/>
          <w:color w:val="000000"/>
          <w:kern w:val="2"/>
          <w:lang w:val="es-MX"/>
          <w14:ligatures w14:val="standardContextual"/>
        </w:rPr>
      </w:pPr>
      <w:bookmarkStart w:id="0" w:name="_Hlk143780582"/>
      <w:r w:rsidRPr="00E0164D">
        <w:rPr>
          <w:rFonts w:ascii="Verdana" w:hAnsi="Verdana" w:cs="Arial"/>
          <w:b/>
          <w:color w:val="000000"/>
          <w:kern w:val="2"/>
          <w14:ligatures w14:val="standardContextual"/>
        </w:rPr>
        <w:t xml:space="preserve">CONVENIOS SOLIDARIOS – </w:t>
      </w:r>
      <w:r w:rsidRPr="00E0164D">
        <w:rPr>
          <w:rFonts w:ascii="Verdana" w:hAnsi="Verdana" w:cs="Arial"/>
          <w:b/>
          <w:bCs/>
          <w:color w:val="000000"/>
          <w:kern w:val="2"/>
          <w:lang w:val="es-MX"/>
          <w14:ligatures w14:val="standardContextual"/>
        </w:rPr>
        <w:t xml:space="preserve">Marco normativo </w:t>
      </w:r>
    </w:p>
    <w:p w14:paraId="2AAD1F79" w14:textId="06B1CB29" w:rsidR="00E0164D" w:rsidRDefault="00E0164D" w:rsidP="00E0164D">
      <w:pPr>
        <w:spacing w:after="0" w:line="240" w:lineRule="auto"/>
        <w:jc w:val="both"/>
        <w:rPr>
          <w:rFonts w:ascii="Verdana" w:hAnsi="Verdana" w:cs="Arial"/>
          <w:b/>
          <w:bCs/>
          <w:color w:val="000000"/>
          <w:kern w:val="2"/>
          <w:lang w:val="es-MX"/>
          <w14:ligatures w14:val="standardContextual"/>
        </w:rPr>
      </w:pPr>
    </w:p>
    <w:p w14:paraId="68994CB5" w14:textId="7B71467E" w:rsidR="00E0164D" w:rsidRDefault="00E0164D" w:rsidP="00E0164D">
      <w:pPr>
        <w:spacing w:after="0" w:line="240" w:lineRule="auto"/>
        <w:jc w:val="both"/>
        <w:rPr>
          <w:rFonts w:ascii="Verdana" w:hAnsi="Verdana" w:cs="Arial"/>
          <w:bCs/>
          <w:color w:val="000000"/>
          <w:kern w:val="2"/>
          <w:sz w:val="20"/>
          <w:lang w:val="es-MX"/>
          <w14:ligatures w14:val="standardContextual"/>
        </w:rPr>
      </w:pPr>
      <w:r w:rsidRPr="00E0164D">
        <w:rPr>
          <w:rFonts w:ascii="Verdana" w:hAnsi="Verdana" w:cs="Arial"/>
          <w:bCs/>
          <w:color w:val="000000"/>
          <w:kern w:val="2"/>
          <w:sz w:val="20"/>
          <w:lang w:val="es-MX"/>
          <w14:ligatures w14:val="standardContextual"/>
        </w:rPr>
        <w:t xml:space="preserve">El artículo 38 de la Constitución Política, estableció la obligación de </w:t>
      </w:r>
      <w:r w:rsidRPr="00E0164D">
        <w:rPr>
          <w:rFonts w:ascii="Verdana" w:hAnsi="Verdana" w:cs="Arial"/>
          <w:bCs/>
          <w:color w:val="000000"/>
          <w:kern w:val="2"/>
          <w:sz w:val="20"/>
          <w14:ligatures w14:val="standardContextual"/>
        </w:rPr>
        <w:t>“</w:t>
      </w:r>
      <w:r w:rsidRPr="00E0164D">
        <w:rPr>
          <w:rFonts w:ascii="Verdana" w:hAnsi="Verdana" w:cs="Arial"/>
          <w:bCs/>
          <w:color w:val="000000"/>
          <w:kern w:val="2"/>
          <w:sz w:val="20"/>
          <w:lang w:val="es-MX"/>
          <w14:ligatures w14:val="standardContextual"/>
        </w:rPr>
        <w:t>garantizar el derecho de libre asociación para el desarrollo de las distintas actividades que las personas realizan en sociedad</w:t>
      </w:r>
      <w:r w:rsidRPr="00E0164D">
        <w:rPr>
          <w:rFonts w:ascii="Verdana" w:hAnsi="Verdana" w:cs="Arial"/>
          <w:bCs/>
          <w:color w:val="000000"/>
          <w:kern w:val="2"/>
          <w:sz w:val="20"/>
          <w:lang w:val="es-ES_tradnl"/>
          <w14:ligatures w14:val="standardContextual"/>
        </w:rPr>
        <w:t>”</w:t>
      </w:r>
      <w:r w:rsidRPr="00E0164D">
        <w:rPr>
          <w:rFonts w:ascii="Verdana" w:hAnsi="Verdana" w:cs="Arial"/>
          <w:bCs/>
          <w:i/>
          <w:iCs/>
          <w:color w:val="000000"/>
          <w:kern w:val="2"/>
          <w:sz w:val="20"/>
          <w:lang w:val="es-MX"/>
          <w14:ligatures w14:val="standardContextual"/>
        </w:rPr>
        <w:t>,</w:t>
      </w:r>
      <w:r w:rsidRPr="00E0164D">
        <w:rPr>
          <w:rFonts w:ascii="Verdana" w:hAnsi="Verdana" w:cs="Arial"/>
          <w:bCs/>
          <w:color w:val="000000"/>
          <w:kern w:val="2"/>
          <w:sz w:val="20"/>
          <w:lang w:val="es-MX"/>
          <w14:ligatures w14:val="standardContextual"/>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p>
    <w:p w14:paraId="43AA4869" w14:textId="77777777" w:rsidR="00E0164D" w:rsidRPr="00E0164D" w:rsidRDefault="00E0164D" w:rsidP="00E0164D">
      <w:pPr>
        <w:spacing w:after="0" w:line="240" w:lineRule="auto"/>
        <w:jc w:val="both"/>
        <w:rPr>
          <w:rFonts w:ascii="Verdana" w:hAnsi="Verdana" w:cs="Arial"/>
          <w:bCs/>
          <w:color w:val="000000"/>
          <w:kern w:val="2"/>
          <w:sz w:val="20"/>
          <w:lang w:val="es-MX"/>
          <w14:ligatures w14:val="standardContextual"/>
        </w:rPr>
      </w:pPr>
    </w:p>
    <w:p w14:paraId="5C20B80F" w14:textId="7AF19E9F" w:rsidR="00E0164D" w:rsidRPr="00E0164D" w:rsidRDefault="00E0164D" w:rsidP="00E0164D">
      <w:pPr>
        <w:spacing w:after="0" w:line="240" w:lineRule="auto"/>
        <w:jc w:val="both"/>
        <w:rPr>
          <w:rFonts w:ascii="Verdana" w:hAnsi="Verdana" w:cs="Arial"/>
          <w:bCs/>
          <w:color w:val="000000"/>
          <w:kern w:val="2"/>
          <w:sz w:val="20"/>
          <w:lang w:val="es-MX"/>
          <w14:ligatures w14:val="standardContextual"/>
        </w:rPr>
      </w:pPr>
      <w:r w:rsidRPr="00E0164D">
        <w:rPr>
          <w:rFonts w:ascii="Verdana" w:hAnsi="Verdana" w:cs="Arial"/>
          <w:bCs/>
          <w:color w:val="000000"/>
          <w:kern w:val="2"/>
          <w:sz w:val="20"/>
          <w:lang w:val="es-MX"/>
          <w14:ligatures w14:val="standardContextual"/>
        </w:rPr>
        <w:t xml:space="preserve">Es así como, en desarrollo del principio de participación, el artículo 7 de la Ley 2166 de 2021 definió cuatro grados de Organismos de Acción Comunal. En el primer grado se clasifican las Juntas de Acción Comunal y las Juntas de Vivienda Comunal. Las primeras de ellas fueron definidas como </w:t>
      </w:r>
      <w:r w:rsidRPr="00E0164D">
        <w:rPr>
          <w:rFonts w:ascii="Verdana" w:hAnsi="Verdana" w:cs="Arial"/>
          <w:bCs/>
          <w:i/>
          <w:color w:val="000000"/>
          <w:kern w:val="2"/>
          <w:sz w:val="20"/>
          <w:lang w:val="es-MX"/>
          <w14:ligatures w14:val="standardContextual"/>
        </w:rPr>
        <w:t>“una organización cívica, social y comunitaria de gestión social, sin ánimo de lucro, de naturaleza solidaria, con personería jurídica y patrimonio propio […]</w:t>
      </w:r>
      <w:r w:rsidRPr="00E0164D">
        <w:rPr>
          <w:rFonts w:ascii="Verdana" w:hAnsi="Verdana" w:cs="Arial"/>
          <w:bCs/>
          <w:color w:val="000000"/>
          <w:kern w:val="2"/>
          <w:sz w:val="20"/>
          <w:lang w:val="es-MX"/>
          <w14:ligatures w14:val="standardContextual"/>
        </w:rPr>
        <w:t xml:space="preserve">”, que se encuentra integrada voluntariamente por los residentes de un lugar que aúnan esfuerzos y recursos para </w:t>
      </w:r>
      <w:r w:rsidRPr="00E0164D">
        <w:rPr>
          <w:rFonts w:ascii="Verdana" w:hAnsi="Verdana" w:cs="Arial"/>
          <w:bCs/>
          <w:i/>
          <w:color w:val="000000"/>
          <w:kern w:val="2"/>
          <w:sz w:val="20"/>
          <w:lang w:val="es-MX"/>
          <w14:ligatures w14:val="standardContextual"/>
        </w:rPr>
        <w:t>“procurar un desarrollo integral, sostenible y sustentable con fundamento en el ejercicio de la democracia participativa.”</w:t>
      </w:r>
      <w:r w:rsidRPr="00E0164D">
        <w:rPr>
          <w:rFonts w:ascii="Verdana" w:hAnsi="Verdana" w:cs="Arial"/>
          <w:bCs/>
          <w:color w:val="000000"/>
          <w:kern w:val="2"/>
          <w:sz w:val="20"/>
          <w:lang w:val="es-MX"/>
          <w14:ligatures w14:val="standardContextual"/>
        </w:rPr>
        <w:t xml:space="preserve"> Por su parte, las Juntas de Vivienda Comunal, fueron definidas como “</w:t>
      </w:r>
      <w:r w:rsidRPr="00E0164D">
        <w:rPr>
          <w:rFonts w:ascii="Verdana" w:hAnsi="Verdana" w:cs="Arial"/>
          <w:bCs/>
          <w:i/>
          <w:color w:val="000000"/>
          <w:kern w:val="2"/>
          <w:sz w:val="20"/>
          <w:lang w:val="es-MX"/>
          <w14:ligatures w14:val="standardContextual"/>
        </w:rPr>
        <w:t>una organización cívica sin ánimo de lucro, integrada por familias que se reúnen con el propósito de adelantar programas de mejoramiento o de autoconstrucción de vivienda”</w:t>
      </w:r>
      <w:r w:rsidRPr="00E0164D">
        <w:rPr>
          <w:rFonts w:ascii="Verdana" w:hAnsi="Verdana" w:cs="Arial"/>
          <w:bCs/>
          <w:color w:val="000000"/>
          <w:kern w:val="2"/>
          <w:sz w:val="20"/>
          <w:lang w:val="es-MX"/>
          <w14:ligatures w14:val="standardContextual"/>
        </w:rPr>
        <w:t xml:space="preserve"> y una vez concluido el programa podrán asimilarse a una Junta de Acción Comunal, siempre y cuando cumplan los requisitos de Ley.</w:t>
      </w:r>
    </w:p>
    <w:p w14:paraId="6DCB8563" w14:textId="77777777" w:rsidR="00E0164D" w:rsidRPr="00E0164D" w:rsidRDefault="00E0164D" w:rsidP="00E0164D">
      <w:pPr>
        <w:spacing w:after="0" w:line="240" w:lineRule="auto"/>
        <w:jc w:val="both"/>
        <w:rPr>
          <w:rFonts w:ascii="Verdana" w:hAnsi="Verdana" w:cs="Arial"/>
          <w:b/>
          <w:bCs/>
          <w:color w:val="000000"/>
          <w:kern w:val="2"/>
          <w:lang w:val="es-MX"/>
          <w14:ligatures w14:val="standardContextual"/>
        </w:rPr>
      </w:pPr>
    </w:p>
    <w:p w14:paraId="7F39FB62" w14:textId="2FC5227F" w:rsidR="00E0164D" w:rsidRDefault="00E0164D" w:rsidP="00E0164D">
      <w:pPr>
        <w:spacing w:after="0" w:line="240" w:lineRule="auto"/>
        <w:jc w:val="both"/>
        <w:rPr>
          <w:rFonts w:ascii="Verdana" w:hAnsi="Verdana" w:cs="Arial"/>
          <w:b/>
          <w:bCs/>
          <w:color w:val="000000"/>
          <w:kern w:val="2"/>
          <w:lang w:val="es-MX"/>
          <w14:ligatures w14:val="standardContextual"/>
        </w:rPr>
      </w:pPr>
      <w:r w:rsidRPr="00E0164D">
        <w:rPr>
          <w:rFonts w:ascii="Verdana" w:hAnsi="Verdana" w:cs="Arial"/>
          <w:b/>
          <w:bCs/>
          <w:color w:val="000000"/>
          <w:kern w:val="2"/>
          <w:lang w:val="es-MX"/>
          <w14:ligatures w14:val="standardContextual"/>
        </w:rPr>
        <w:t xml:space="preserve">LEY 136 DE 1994 – Convenios Solidarios – Ámbito de aplicación – Organismos de acción comunal – Régimen jurídico </w:t>
      </w:r>
    </w:p>
    <w:p w14:paraId="38C93169" w14:textId="7173C49A" w:rsidR="00E0164D" w:rsidRDefault="00E0164D" w:rsidP="00E0164D">
      <w:pPr>
        <w:spacing w:after="0" w:line="240" w:lineRule="auto"/>
        <w:jc w:val="both"/>
        <w:rPr>
          <w:rFonts w:ascii="Verdana" w:hAnsi="Verdana" w:cs="Arial"/>
          <w:b/>
          <w:bCs/>
          <w:color w:val="000000"/>
          <w:kern w:val="2"/>
          <w:lang w:val="es-MX"/>
          <w14:ligatures w14:val="standardContextual"/>
        </w:rPr>
      </w:pPr>
    </w:p>
    <w:p w14:paraId="30606049" w14:textId="412C7C27" w:rsidR="00E0164D" w:rsidRPr="00D47296" w:rsidRDefault="00E0164D" w:rsidP="00E0164D">
      <w:pPr>
        <w:spacing w:after="0" w:line="240" w:lineRule="auto"/>
        <w:jc w:val="both"/>
        <w:rPr>
          <w:rFonts w:ascii="Verdana" w:hAnsi="Verdana" w:cs="Arial"/>
          <w:bCs/>
          <w:color w:val="000000"/>
          <w:kern w:val="2"/>
          <w:sz w:val="20"/>
          <w:lang w:val="es-ES"/>
          <w14:ligatures w14:val="standardContextual"/>
        </w:rPr>
      </w:pPr>
      <w:r w:rsidRPr="00D47296">
        <w:rPr>
          <w:rFonts w:ascii="Verdana" w:hAnsi="Verdana" w:cs="Arial"/>
          <w:bCs/>
          <w:color w:val="000000"/>
          <w:kern w:val="2"/>
          <w:sz w:val="20"/>
          <w:lang w:val="es-ES"/>
          <w14:ligatures w14:val="standardContextual"/>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el artículo 3° de la Ley 136 de 1994, modificado por la Ley 1551 de 2012, determina tres alternativas mediante las cuales las entidades territoriales pueden celebrar convenios solidarios con organismos de acción comunal, las cuales se enlistan a continuación:</w:t>
      </w:r>
      <w:r w:rsidR="00D47296">
        <w:rPr>
          <w:rFonts w:ascii="Verdana" w:hAnsi="Verdana" w:cs="Arial"/>
          <w:bCs/>
          <w:color w:val="000000"/>
          <w:kern w:val="2"/>
          <w:sz w:val="20"/>
          <w:lang w:val="es-ES"/>
          <w14:ligatures w14:val="standardContextual"/>
        </w:rPr>
        <w:t xml:space="preserve"> </w:t>
      </w:r>
      <w:r w:rsidRPr="00D47296">
        <w:rPr>
          <w:rFonts w:ascii="Verdana" w:hAnsi="Verdana" w:cs="Arial"/>
          <w:bCs/>
          <w:color w:val="000000"/>
          <w:kern w:val="2"/>
          <w:sz w:val="20"/>
          <w:lang w:val="es-ES"/>
          <w14:ligatures w14:val="standardContextual"/>
        </w:rPr>
        <w:t>a)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00D47296">
        <w:rPr>
          <w:rFonts w:ascii="Verdana" w:hAnsi="Verdana" w:cs="Arial"/>
          <w:bCs/>
          <w:color w:val="000000"/>
          <w:kern w:val="2"/>
          <w:sz w:val="20"/>
          <w:lang w:val="es-ES"/>
          <w14:ligatures w14:val="standardContextual"/>
        </w:rPr>
        <w:t xml:space="preserve"> </w:t>
      </w:r>
      <w:r w:rsidRPr="00D47296">
        <w:rPr>
          <w:rFonts w:ascii="Verdana" w:hAnsi="Verdana" w:cs="Arial"/>
          <w:bCs/>
          <w:color w:val="000000"/>
          <w:kern w:val="2"/>
          <w:sz w:val="20"/>
          <w:lang w:val="es-ES"/>
          <w14:ligatures w14:val="standardContextual"/>
        </w:rPr>
        <w:t xml:space="preserve">b)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c) En tercer lugar, la </w:t>
      </w:r>
      <w:r w:rsidRPr="00D47296">
        <w:rPr>
          <w:rFonts w:ascii="Verdana" w:hAnsi="Verdana" w:cs="Arial"/>
          <w:bCs/>
          <w:color w:val="000000"/>
          <w:kern w:val="2"/>
          <w:sz w:val="20"/>
          <w:lang w:val="es-ES"/>
          <w14:ligatures w14:val="standardContextual"/>
        </w:rPr>
        <w:lastRenderedPageBreak/>
        <w:t xml:space="preserve">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62391C76" w14:textId="77777777" w:rsidR="00D47296" w:rsidRDefault="00D47296" w:rsidP="00E0164D">
      <w:pPr>
        <w:spacing w:after="0" w:line="240" w:lineRule="auto"/>
        <w:jc w:val="both"/>
        <w:rPr>
          <w:rFonts w:ascii="Verdana" w:hAnsi="Verdana" w:cs="Arial"/>
          <w:b/>
          <w:bCs/>
          <w:color w:val="000000"/>
          <w:kern w:val="2"/>
          <w:lang w:val="es-MX"/>
          <w14:ligatures w14:val="standardContextual"/>
        </w:rPr>
      </w:pPr>
    </w:p>
    <w:p w14:paraId="5B87665B" w14:textId="06902070" w:rsidR="00E0164D" w:rsidRDefault="00E0164D" w:rsidP="00E0164D">
      <w:pPr>
        <w:spacing w:after="0" w:line="240" w:lineRule="auto"/>
        <w:jc w:val="both"/>
        <w:rPr>
          <w:rFonts w:ascii="Verdana" w:hAnsi="Verdana" w:cs="Arial"/>
          <w:b/>
          <w:bCs/>
          <w:color w:val="000000"/>
          <w:kern w:val="2"/>
          <w:lang w:val="es-MX"/>
          <w14:ligatures w14:val="standardContextual"/>
        </w:rPr>
      </w:pPr>
      <w:r w:rsidRPr="00E0164D">
        <w:rPr>
          <w:rFonts w:ascii="Verdana" w:hAnsi="Verdana" w:cs="Arial"/>
          <w:b/>
          <w:bCs/>
          <w:color w:val="000000"/>
          <w:kern w:val="2"/>
          <w:lang w:val="es-MX"/>
          <w14:ligatures w14:val="standardContextual"/>
        </w:rPr>
        <w:t xml:space="preserve">CONVENIOS SOLIDARIOS – Regímenes de contratación – Organismos de acción comunal </w:t>
      </w:r>
    </w:p>
    <w:p w14:paraId="2E2F6ED1" w14:textId="2C575B61" w:rsidR="00E0164D" w:rsidRDefault="00E0164D" w:rsidP="00E0164D">
      <w:pPr>
        <w:spacing w:after="0" w:line="240" w:lineRule="auto"/>
        <w:jc w:val="both"/>
        <w:rPr>
          <w:rFonts w:ascii="Verdana" w:hAnsi="Verdana" w:cs="Arial"/>
          <w:b/>
          <w:bCs/>
          <w:color w:val="000000"/>
          <w:kern w:val="2"/>
          <w:lang w:val="es-MX"/>
          <w14:ligatures w14:val="standardContextual"/>
        </w:rPr>
      </w:pPr>
    </w:p>
    <w:p w14:paraId="497CE5A6" w14:textId="77777777" w:rsidR="00D47296" w:rsidRPr="00D47296" w:rsidRDefault="00D47296" w:rsidP="00D47296">
      <w:pPr>
        <w:spacing w:after="0" w:line="240" w:lineRule="auto"/>
        <w:jc w:val="both"/>
        <w:rPr>
          <w:rFonts w:ascii="Verdana" w:eastAsia="Times New Roman" w:hAnsi="Verdana" w:cs="Arial"/>
          <w:sz w:val="20"/>
          <w:szCs w:val="24"/>
          <w:lang w:val="es-ES" w:eastAsia="es-ES_tradnl"/>
        </w:rPr>
      </w:pPr>
      <w:r w:rsidRPr="00D47296">
        <w:rPr>
          <w:rFonts w:ascii="Verdana" w:eastAsia="Times New Roman" w:hAnsi="Verdana" w:cs="Arial"/>
          <w:sz w:val="20"/>
          <w:szCs w:val="24"/>
          <w:lang w:val="es-ES" w:eastAsia="es-ES_tradnl"/>
        </w:rPr>
        <w:t xml:space="preserve">De esta manera, habiendo abordado las características generales aplicables a la celebración de cualquier convenio solidario, debe destacarse </w:t>
      </w:r>
      <w:proofErr w:type="gramStart"/>
      <w:r w:rsidRPr="00D47296">
        <w:rPr>
          <w:rFonts w:ascii="Verdana" w:eastAsia="Times New Roman" w:hAnsi="Verdana" w:cs="Arial"/>
          <w:sz w:val="20"/>
          <w:szCs w:val="24"/>
          <w:lang w:val="es-ES" w:eastAsia="es-ES_tradnl"/>
        </w:rPr>
        <w:t>que</w:t>
      </w:r>
      <w:proofErr w:type="gramEnd"/>
      <w:r w:rsidRPr="00D47296">
        <w:rPr>
          <w:rFonts w:ascii="Verdana" w:eastAsia="Times New Roman" w:hAnsi="Verdana" w:cs="Arial"/>
          <w:sz w:val="20"/>
          <w:szCs w:val="24"/>
          <w:lang w:val="es-ES" w:eastAsia="es-ES_tradnl"/>
        </w:rPr>
        <w:t xml:space="preserve"> en los diferentes conceptos expedidos por la Agencia, así como en la “Guía para la celebración de convenios solidarios” se hallan tres regímenes de contratación, teniendo en orden jurídico vigente: </w:t>
      </w:r>
    </w:p>
    <w:p w14:paraId="051D26BC" w14:textId="77777777" w:rsidR="00D47296" w:rsidRDefault="00D47296" w:rsidP="00D47296">
      <w:pPr>
        <w:spacing w:after="0" w:line="240" w:lineRule="auto"/>
        <w:jc w:val="both"/>
        <w:rPr>
          <w:rFonts w:ascii="Verdana" w:eastAsia="Times New Roman" w:hAnsi="Verdana" w:cs="Arial"/>
          <w:sz w:val="20"/>
          <w:szCs w:val="24"/>
          <w:lang w:val="es-ES" w:eastAsia="es-ES_tradnl"/>
        </w:rPr>
      </w:pPr>
    </w:p>
    <w:p w14:paraId="4C912B11" w14:textId="00638620" w:rsidR="00D47296" w:rsidRPr="00D47296" w:rsidRDefault="00D47296" w:rsidP="00D47296">
      <w:pPr>
        <w:spacing w:after="0" w:line="240" w:lineRule="auto"/>
        <w:jc w:val="both"/>
        <w:rPr>
          <w:rFonts w:ascii="Verdana" w:eastAsia="Times New Roman" w:hAnsi="Verdana" w:cs="Arial"/>
          <w:sz w:val="20"/>
          <w:szCs w:val="24"/>
          <w:lang w:val="es-ES" w:eastAsia="es-ES_tradnl"/>
        </w:rPr>
      </w:pPr>
      <w:r w:rsidRPr="00D47296">
        <w:rPr>
          <w:rFonts w:ascii="Verdana" w:eastAsia="Times New Roman" w:hAnsi="Verdana" w:cs="Arial"/>
          <w:sz w:val="20"/>
          <w:szCs w:val="24"/>
          <w:lang w:val="es-ES" w:eastAsia="es-ES_tradnl"/>
        </w:rPr>
        <w:t xml:space="preserve">a. </w:t>
      </w:r>
      <w:r w:rsidRPr="00D47296">
        <w:rPr>
          <w:rFonts w:ascii="Verdana" w:eastAsia="Times New Roman" w:hAnsi="Verdana" w:cs="Arial"/>
          <w:i/>
          <w:sz w:val="20"/>
          <w:szCs w:val="24"/>
          <w:lang w:val="es-ES" w:eastAsia="es-ES_tradnl"/>
        </w:rPr>
        <w:t>P</w:t>
      </w:r>
      <w:r w:rsidRPr="00D47296">
        <w:rPr>
          <w:rFonts w:ascii="Verdana" w:eastAsia="Times New Roman" w:hAnsi="Verdana" w:cs="Arial"/>
          <w:i/>
          <w:iCs/>
          <w:sz w:val="20"/>
          <w:szCs w:val="24"/>
          <w:lang w:val="es-ES" w:eastAsia="es-ES_tradnl"/>
        </w:rPr>
        <w:t>rimer régimen.</w:t>
      </w:r>
      <w:r w:rsidRPr="00D47296">
        <w:rPr>
          <w:rFonts w:ascii="Verdana" w:eastAsia="Times New Roman" w:hAnsi="Verdana" w:cs="Arial"/>
          <w:sz w:val="20"/>
          <w:szCs w:val="24"/>
          <w:lang w:val="es-ES" w:eastAsia="es-ES_tradnl"/>
        </w:rPr>
        <w:t xml:space="preserve"> </w:t>
      </w:r>
      <w:r w:rsidRPr="00D47296">
        <w:rPr>
          <w:rFonts w:ascii="Verdana" w:eastAsia="Calibri" w:hAnsi="Verdana" w:cs="Arial"/>
          <w:bCs/>
          <w:sz w:val="20"/>
          <w:szCs w:val="24"/>
          <w:lang w:val="es-ES" w:eastAsia="es-ES_tradnl"/>
        </w:rPr>
        <w:t>Este régimen se fundamenta</w:t>
      </w:r>
      <w:r w:rsidRPr="00D47296">
        <w:rPr>
          <w:rFonts w:ascii="Verdana" w:eastAsia="Calibri" w:hAnsi="Verdana" w:cs="Arial"/>
          <w:sz w:val="20"/>
          <w:szCs w:val="24"/>
          <w:lang w:eastAsia="es-ES_tradnl"/>
        </w:rPr>
        <w:t xml:space="preserve"> en la Ley 2166 de 2021 “</w:t>
      </w:r>
      <w:r w:rsidRPr="00D47296">
        <w:rPr>
          <w:rFonts w:ascii="Verdana" w:eastAsia="Calibri" w:hAnsi="Verdana" w:cs="Arial"/>
          <w:i/>
          <w:iCs/>
          <w:sz w:val="20"/>
          <w:szCs w:val="24"/>
          <w:lang w:eastAsia="es-ES_tradnl"/>
        </w:rPr>
        <w:t>por la cual se desarrolla el artículo 38 de la Constitución Política de Colombia en lo referente a los Organismos de Acción Comunal”.</w:t>
      </w:r>
      <w:r w:rsidRPr="00D47296">
        <w:rPr>
          <w:rFonts w:ascii="Verdana" w:eastAsia="Calibri" w:hAnsi="Verdana" w:cs="Arial"/>
          <w:sz w:val="20"/>
          <w:szCs w:val="24"/>
          <w:lang w:eastAsia="es-ES_tradnl"/>
        </w:rPr>
        <w:t xml:space="preserve"> En su artículo 95 contempla la </w:t>
      </w:r>
      <w:r w:rsidRPr="00D47296">
        <w:rPr>
          <w:rFonts w:ascii="Verdana" w:eastAsia="Calibri" w:hAnsi="Verdana" w:cs="Arial"/>
          <w:bCs/>
          <w:iCs/>
          <w:sz w:val="20"/>
          <w:szCs w:val="24"/>
          <w:lang w:eastAsia="es-ES_tradnl"/>
        </w:rPr>
        <w:t>celebración directa de convenios solidarios para ejecutar obras hasta por la menor cuantía entre Organismos de Acción Comunal y los entes del orden Nacional, Departamental, Distrital y municipal</w:t>
      </w:r>
      <w:r w:rsidRPr="00D47296">
        <w:rPr>
          <w:rFonts w:ascii="Verdana" w:eastAsia="Calibri" w:hAnsi="Verdana" w:cs="Arial"/>
          <w:sz w:val="20"/>
          <w:szCs w:val="24"/>
          <w:lang w:eastAsia="es-ES_tradnl"/>
        </w:rPr>
        <w:t xml:space="preserve">. </w:t>
      </w:r>
      <w:r w:rsidRPr="00D47296">
        <w:rPr>
          <w:rFonts w:ascii="Verdana" w:eastAsia="Calibri" w:hAnsi="Verdana" w:cs="Arial"/>
          <w:bCs/>
          <w:sz w:val="20"/>
          <w:szCs w:val="24"/>
          <w:lang w:eastAsia="es-ES_tradnl"/>
        </w:rPr>
        <w:t>El artículo 95 de dicha ley –derogado parcialmente por el artículo 372 de la Ley 2294 de 2023 en lo que respecta a la expresión “territoriales”– dispone la celebración directa de convenios solidarios entre Organismos de Acción Comunal y “los entes territoriales del orden Nacional, Departamental, Distrital y municipal”.</w:t>
      </w:r>
      <w:r w:rsidRPr="00D47296">
        <w:rPr>
          <w:rFonts w:ascii="Verdana" w:eastAsia="Calibri" w:hAnsi="Verdana" w:cs="Arial"/>
          <w:sz w:val="20"/>
          <w:szCs w:val="24"/>
          <w:lang w:eastAsia="es-ES_tradnl"/>
        </w:rPr>
        <w:t xml:space="preserve"> </w:t>
      </w:r>
    </w:p>
    <w:p w14:paraId="28CB85E5" w14:textId="77777777" w:rsidR="00D47296" w:rsidRDefault="00D47296" w:rsidP="00D47296">
      <w:pPr>
        <w:spacing w:after="0" w:line="240" w:lineRule="auto"/>
        <w:jc w:val="both"/>
        <w:rPr>
          <w:rFonts w:ascii="Verdana" w:eastAsia="Calibri" w:hAnsi="Verdana" w:cs="Arial"/>
          <w:sz w:val="20"/>
          <w:szCs w:val="24"/>
          <w:lang w:eastAsia="es-ES_tradnl"/>
        </w:rPr>
      </w:pPr>
    </w:p>
    <w:p w14:paraId="1B493C2F" w14:textId="32DECF82" w:rsidR="00D47296" w:rsidRPr="00D47296" w:rsidRDefault="00D47296" w:rsidP="00D47296">
      <w:pPr>
        <w:spacing w:after="0" w:line="240" w:lineRule="auto"/>
        <w:jc w:val="both"/>
        <w:rPr>
          <w:rFonts w:ascii="Verdana" w:eastAsia="Calibri" w:hAnsi="Verdana" w:cs="Arial"/>
          <w:bCs/>
          <w:sz w:val="20"/>
          <w:szCs w:val="24"/>
          <w:lang w:val="es-ES" w:eastAsia="es-ES_tradnl"/>
        </w:rPr>
      </w:pPr>
      <w:r w:rsidRPr="00D47296">
        <w:rPr>
          <w:rFonts w:ascii="Verdana" w:eastAsia="Calibri" w:hAnsi="Verdana" w:cs="Arial"/>
          <w:sz w:val="20"/>
          <w:szCs w:val="24"/>
          <w:lang w:eastAsia="es-ES_tradnl"/>
        </w:rPr>
        <w:t xml:space="preserve">b. </w:t>
      </w:r>
      <w:r w:rsidRPr="00D47296">
        <w:rPr>
          <w:rFonts w:ascii="Verdana" w:eastAsia="Calibri" w:hAnsi="Verdana" w:cs="Arial"/>
          <w:i/>
          <w:sz w:val="20"/>
          <w:szCs w:val="24"/>
          <w:lang w:eastAsia="es-ES_tradnl"/>
        </w:rPr>
        <w:t>Segundo régimen</w:t>
      </w:r>
      <w:r w:rsidRPr="00D47296">
        <w:rPr>
          <w:rFonts w:ascii="Verdana" w:eastAsia="Calibri" w:hAnsi="Verdana" w:cs="Arial"/>
          <w:sz w:val="20"/>
          <w:szCs w:val="24"/>
          <w:lang w:eastAsia="es-ES_tradnl"/>
        </w:rPr>
        <w:t xml:space="preserve">. Dicho sistema normativo está previsto en el Decreto 092 de 2017, con excepción a lo prescrito </w:t>
      </w:r>
      <w:r w:rsidRPr="00D47296">
        <w:rPr>
          <w:rFonts w:ascii="Verdana" w:eastAsia="Calibri" w:hAnsi="Verdana" w:cs="Arial"/>
          <w:sz w:val="20"/>
          <w:szCs w:val="24"/>
          <w:lang w:val="es-ES" w:eastAsia="es-ES_tradnl"/>
        </w:rPr>
        <w:t>en su artículo 5</w:t>
      </w:r>
      <w:r w:rsidRPr="00D47296">
        <w:rPr>
          <w:rFonts w:ascii="Verdana" w:eastAsia="Calibri" w:hAnsi="Verdana" w:cs="Arial"/>
          <w:bCs/>
          <w:sz w:val="20"/>
          <w:szCs w:val="24"/>
          <w:lang w:val="es-ES" w:eastAsia="es-ES_tradnl"/>
        </w:rPr>
        <w:t xml:space="preserve">, que </w:t>
      </w:r>
      <w:r w:rsidRPr="00D47296">
        <w:rPr>
          <w:rFonts w:ascii="Verdana" w:eastAsia="Calibri" w:hAnsi="Verdana" w:cs="Arial"/>
          <w:sz w:val="20"/>
          <w:szCs w:val="24"/>
          <w:lang w:val="es-ES" w:eastAsia="es-ES_tradnl"/>
        </w:rPr>
        <w:t>reglamenta otro tipo contractual, como son los convenios de asociación. Este Decreto reguló, en términos generales, la contratación autorizada por el artículo 355 de la Constitución Política, la cual puede manifestarse mediante convenios solidarios, en atención a lo prescrito en el numeral 16 y el parágrafo tercero del artículo 3 de la Ley 136 de 1994.</w:t>
      </w:r>
      <w:r w:rsidRPr="00D47296">
        <w:rPr>
          <w:rFonts w:ascii="Verdana" w:eastAsia="Calibri" w:hAnsi="Verdana" w:cs="Arial"/>
          <w:bCs/>
          <w:sz w:val="20"/>
          <w:szCs w:val="24"/>
          <w:lang w:val="es-ES" w:eastAsia="es-ES_tradnl"/>
        </w:rPr>
        <w:t xml:space="preserve"> Ahora bien, para celebrar los convenios solidarios de este régimen se requiere: i) los sujetos deben ser, de un lado, municipios y distritos y, de otro, </w:t>
      </w:r>
      <w:r w:rsidRPr="00D47296">
        <w:rPr>
          <w:rFonts w:ascii="Verdana" w:eastAsia="Calibri" w:hAnsi="Verdana" w:cs="Arial"/>
          <w:bCs/>
          <w:sz w:val="20"/>
          <w:szCs w:val="24"/>
          <w:lang w:eastAsia="es-ES_tradnl"/>
        </w:rPr>
        <w:t xml:space="preserve">los cabildos, las autoridades y organizaciones indígenas, los organismos de acción comunal y demás organizaciones civiles y asociaciones residentes en el territorio; </w:t>
      </w:r>
      <w:proofErr w:type="spellStart"/>
      <w:r w:rsidRPr="00D47296">
        <w:rPr>
          <w:rFonts w:ascii="Verdana" w:eastAsia="Calibri" w:hAnsi="Verdana" w:cs="Arial"/>
          <w:bCs/>
          <w:sz w:val="20"/>
          <w:szCs w:val="24"/>
          <w:lang w:eastAsia="es-ES_tradnl"/>
        </w:rPr>
        <w:t>ii</w:t>
      </w:r>
      <w:proofErr w:type="spellEnd"/>
      <w:r w:rsidRPr="00D47296">
        <w:rPr>
          <w:rFonts w:ascii="Verdana" w:eastAsia="Calibri" w:hAnsi="Verdana" w:cs="Arial"/>
          <w:bCs/>
          <w:sz w:val="20"/>
          <w:szCs w:val="24"/>
          <w:lang w:val="es-ES" w:eastAsia="es-ES_tradnl"/>
        </w:rPr>
        <w:t xml:space="preserve">) el </w:t>
      </w:r>
      <w:r w:rsidRPr="00D47296">
        <w:rPr>
          <w:rFonts w:ascii="Verdana" w:eastAsia="Calibri" w:hAnsi="Verdana" w:cs="Arial"/>
          <w:bCs/>
          <w:i/>
          <w:iCs/>
          <w:sz w:val="20"/>
          <w:szCs w:val="24"/>
          <w:lang w:val="es-ES" w:eastAsia="es-ES_tradnl"/>
        </w:rPr>
        <w:t>objeto</w:t>
      </w:r>
      <w:r w:rsidRPr="00D47296">
        <w:rPr>
          <w:rFonts w:ascii="Verdana" w:eastAsia="Calibri" w:hAnsi="Verdana" w:cs="Arial"/>
          <w:bCs/>
          <w:sz w:val="20"/>
          <w:szCs w:val="24"/>
          <w:lang w:val="es-ES" w:eastAsia="es-ES_tradnl"/>
        </w:rPr>
        <w:t xml:space="preserve"> debe centrarse programas y actividades de interés público acordes con el plan de desarrollo aplicable a la entidad municipio o distrito–; </w:t>
      </w:r>
      <w:proofErr w:type="spellStart"/>
      <w:r w:rsidRPr="00D47296">
        <w:rPr>
          <w:rFonts w:ascii="Verdana" w:eastAsia="Calibri" w:hAnsi="Verdana" w:cs="Arial"/>
          <w:bCs/>
          <w:sz w:val="20"/>
          <w:szCs w:val="24"/>
          <w:lang w:val="es-ES" w:eastAsia="es-ES_tradnl"/>
        </w:rPr>
        <w:t>iii</w:t>
      </w:r>
      <w:proofErr w:type="spellEnd"/>
      <w:r w:rsidRPr="00D47296">
        <w:rPr>
          <w:rFonts w:ascii="Verdana" w:eastAsia="Calibri" w:hAnsi="Verdana" w:cs="Arial"/>
          <w:bCs/>
          <w:sz w:val="20"/>
          <w:szCs w:val="24"/>
          <w:lang w:val="es-ES" w:eastAsia="es-ES_tradnl"/>
        </w:rPr>
        <w:t xml:space="preserve">) el convenio, independiente de su cuantía, no puede implicar relaciones conmutativas, que impliquen contraprestaciones para la entidad del Estado, por tanto, por la naturaleza del convenio no es compatible que en dichos convenios emanen intereses onerosos; </w:t>
      </w:r>
      <w:proofErr w:type="spellStart"/>
      <w:r w:rsidRPr="00D47296">
        <w:rPr>
          <w:rFonts w:ascii="Verdana" w:eastAsia="Calibri" w:hAnsi="Verdana" w:cs="Arial"/>
          <w:bCs/>
          <w:sz w:val="20"/>
          <w:szCs w:val="24"/>
          <w:lang w:val="es-ES" w:eastAsia="es-ES_tradnl"/>
        </w:rPr>
        <w:t>iv</w:t>
      </w:r>
      <w:proofErr w:type="spellEnd"/>
      <w:r w:rsidRPr="00D47296">
        <w:rPr>
          <w:rFonts w:ascii="Verdana" w:eastAsia="Calibri" w:hAnsi="Verdana" w:cs="Arial"/>
          <w:bCs/>
          <w:sz w:val="20"/>
          <w:szCs w:val="24"/>
          <w:lang w:val="es-ES" w:eastAsia="es-ES_tradnl"/>
        </w:rPr>
        <w:t xml:space="preserve">) la entidad no puede impartir instrucciones precisas para la ejecución del objeto convenido. </w:t>
      </w:r>
    </w:p>
    <w:p w14:paraId="0A9CFA5B" w14:textId="77777777" w:rsidR="00D47296" w:rsidRDefault="00D47296" w:rsidP="00D47296">
      <w:pPr>
        <w:spacing w:after="0" w:line="240" w:lineRule="auto"/>
        <w:jc w:val="both"/>
        <w:rPr>
          <w:rFonts w:ascii="Verdana" w:eastAsia="Calibri" w:hAnsi="Verdana" w:cs="Arial"/>
          <w:bCs/>
          <w:sz w:val="20"/>
          <w:szCs w:val="24"/>
          <w:lang w:val="es-ES" w:eastAsia="es-ES_tradnl"/>
        </w:rPr>
      </w:pPr>
    </w:p>
    <w:p w14:paraId="63969C15" w14:textId="57B66065" w:rsidR="00D47296" w:rsidRPr="00D47296" w:rsidRDefault="00D47296" w:rsidP="00D47296">
      <w:pPr>
        <w:spacing w:after="0" w:line="240" w:lineRule="auto"/>
        <w:jc w:val="both"/>
        <w:rPr>
          <w:rFonts w:ascii="Verdana" w:eastAsia="Calibri" w:hAnsi="Verdana" w:cs="Arial"/>
          <w:bCs/>
          <w:sz w:val="20"/>
          <w:szCs w:val="24"/>
          <w:lang w:val="es-ES" w:eastAsia="es-ES_tradnl"/>
        </w:rPr>
      </w:pPr>
      <w:r w:rsidRPr="00D47296">
        <w:rPr>
          <w:rFonts w:ascii="Verdana" w:eastAsia="Calibri" w:hAnsi="Verdana" w:cs="Arial"/>
          <w:bCs/>
          <w:sz w:val="20"/>
          <w:szCs w:val="24"/>
          <w:lang w:val="es-ES" w:eastAsia="es-ES_tradnl"/>
        </w:rPr>
        <w:t xml:space="preserve">c. </w:t>
      </w:r>
      <w:r w:rsidRPr="00D47296">
        <w:rPr>
          <w:rFonts w:ascii="Verdana" w:eastAsia="Calibri" w:hAnsi="Verdana" w:cs="Arial"/>
          <w:bCs/>
          <w:i/>
          <w:sz w:val="20"/>
          <w:szCs w:val="24"/>
          <w:lang w:val="es-ES" w:eastAsia="es-ES_tradnl"/>
        </w:rPr>
        <w:t>Tercer régimen</w:t>
      </w:r>
      <w:r w:rsidRPr="00D47296">
        <w:rPr>
          <w:rFonts w:ascii="Verdana" w:eastAsia="Calibri" w:hAnsi="Verdana" w:cs="Arial"/>
          <w:bCs/>
          <w:sz w:val="20"/>
          <w:szCs w:val="24"/>
          <w:lang w:val="es-ES" w:eastAsia="es-ES_tradnl"/>
        </w:rPr>
        <w:t xml:space="preserve">. Su régimen se fundamenta en el artículo 63 de la Ley 2166 de 2021 y el artículo 141 de la Ley 136 de 1994. En efecto, el parágrafo 2 del artículo 63 </w:t>
      </w:r>
      <w:r w:rsidRPr="00D47296">
        <w:rPr>
          <w:rFonts w:ascii="Verdana" w:eastAsia="Calibri" w:hAnsi="Verdana" w:cs="Arial"/>
          <w:bCs/>
          <w:i/>
          <w:iCs/>
          <w:sz w:val="20"/>
          <w:szCs w:val="24"/>
          <w:lang w:val="es-ES" w:eastAsia="es-ES_tradnl"/>
        </w:rPr>
        <w:t xml:space="preserve">ibidem </w:t>
      </w:r>
      <w:r w:rsidRPr="00D47296">
        <w:rPr>
          <w:rFonts w:ascii="Verdana" w:eastAsia="Calibri" w:hAnsi="Verdana" w:cs="Arial"/>
          <w:bCs/>
          <w:sz w:val="20"/>
          <w:szCs w:val="24"/>
          <w:lang w:val="es-ES" w:eastAsia="es-ES_tradnl"/>
        </w:rPr>
        <w:t xml:space="preserve">permite la celebración de convenios solidarios con </w:t>
      </w:r>
      <w:r w:rsidRPr="00D47296">
        <w:rPr>
          <w:rFonts w:ascii="Verdana" w:eastAsia="Calibri" w:hAnsi="Verdana" w:cs="Arial"/>
          <w:bCs/>
          <w:sz w:val="20"/>
          <w:szCs w:val="24"/>
          <w:lang w:eastAsia="es-ES_tradnl"/>
        </w:rPr>
        <w:t xml:space="preserve">organismos de acción comunal con el fin de que estos se vinculen al desarrollo y mejoramiento municipal mediante: i) su participación en el ejercicio de sus funciones, </w:t>
      </w:r>
      <w:proofErr w:type="spellStart"/>
      <w:r w:rsidRPr="00D47296">
        <w:rPr>
          <w:rFonts w:ascii="Verdana" w:eastAsia="Calibri" w:hAnsi="Verdana" w:cs="Arial"/>
          <w:bCs/>
          <w:sz w:val="20"/>
          <w:szCs w:val="24"/>
          <w:lang w:eastAsia="es-ES_tradnl"/>
        </w:rPr>
        <w:t>ii</w:t>
      </w:r>
      <w:proofErr w:type="spellEnd"/>
      <w:r w:rsidRPr="00D47296">
        <w:rPr>
          <w:rFonts w:ascii="Verdana" w:eastAsia="Calibri" w:hAnsi="Verdana" w:cs="Arial"/>
          <w:bCs/>
          <w:sz w:val="20"/>
          <w:szCs w:val="24"/>
          <w:lang w:eastAsia="es-ES_tradnl"/>
        </w:rPr>
        <w:t xml:space="preserve">) la prestación de bienes y servicios o </w:t>
      </w:r>
      <w:proofErr w:type="spellStart"/>
      <w:r w:rsidRPr="00D47296">
        <w:rPr>
          <w:rFonts w:ascii="Verdana" w:eastAsia="Calibri" w:hAnsi="Verdana" w:cs="Arial"/>
          <w:bCs/>
          <w:sz w:val="20"/>
          <w:szCs w:val="24"/>
          <w:lang w:eastAsia="es-ES_tradnl"/>
        </w:rPr>
        <w:t>iii</w:t>
      </w:r>
      <w:proofErr w:type="spellEnd"/>
      <w:r w:rsidRPr="00D47296">
        <w:rPr>
          <w:rFonts w:ascii="Verdana" w:eastAsia="Calibri" w:hAnsi="Verdana" w:cs="Arial"/>
          <w:bCs/>
          <w:sz w:val="20"/>
          <w:szCs w:val="24"/>
          <w:lang w:eastAsia="es-ES_tradnl"/>
        </w:rPr>
        <w:t xml:space="preserve">) la ejecución de obras públicas a cargo de la administración central o descentralizada. Así mismo, las entidades del orden nacional, departamental, distrital, local y municipal y los </w:t>
      </w:r>
      <w:r w:rsidRPr="00D47296">
        <w:rPr>
          <w:rFonts w:ascii="Verdana" w:eastAsia="Calibri" w:hAnsi="Verdana" w:cs="Arial"/>
          <w:bCs/>
          <w:sz w:val="20"/>
          <w:szCs w:val="24"/>
          <w:lang w:eastAsia="es-ES_tradnl"/>
        </w:rPr>
        <w:lastRenderedPageBreak/>
        <w:t xml:space="preserve">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No obstante, este artículo fue derogado por el artículo 372 de la Ley 2294 de 2023. </w:t>
      </w:r>
    </w:p>
    <w:p w14:paraId="2E595FA5" w14:textId="77777777" w:rsidR="00E0164D" w:rsidRPr="00D47296" w:rsidRDefault="00E0164D" w:rsidP="00E0164D">
      <w:pPr>
        <w:spacing w:after="0" w:line="240" w:lineRule="auto"/>
        <w:jc w:val="both"/>
        <w:rPr>
          <w:rFonts w:ascii="Verdana" w:hAnsi="Verdana" w:cs="Arial"/>
          <w:b/>
          <w:bCs/>
          <w:color w:val="000000"/>
          <w:kern w:val="2"/>
          <w:lang w:val="es-ES"/>
          <w14:ligatures w14:val="standardContextual"/>
        </w:rPr>
      </w:pPr>
    </w:p>
    <w:p w14:paraId="6CD17101" w14:textId="304ED67E" w:rsidR="00E0164D" w:rsidRPr="00E0164D" w:rsidRDefault="00E0164D" w:rsidP="00E0164D">
      <w:pPr>
        <w:spacing w:after="0" w:line="240" w:lineRule="auto"/>
        <w:jc w:val="both"/>
        <w:rPr>
          <w:rFonts w:ascii="Verdana" w:hAnsi="Verdana" w:cs="Arial"/>
          <w:b/>
          <w:bCs/>
          <w:color w:val="000000"/>
          <w:kern w:val="2"/>
          <w:lang w:val="es-MX"/>
          <w14:ligatures w14:val="standardContextual"/>
        </w:rPr>
      </w:pPr>
      <w:r w:rsidRPr="00E0164D">
        <w:rPr>
          <w:rFonts w:ascii="Verdana" w:hAnsi="Verdana" w:cs="Arial"/>
          <w:b/>
          <w:bCs/>
          <w:color w:val="000000"/>
          <w:kern w:val="2"/>
          <w:lang w:val="es-MX"/>
          <w14:ligatures w14:val="standardContextual"/>
        </w:rPr>
        <w:t xml:space="preserve">CONVENIOS SOLIDARIOS – Convenios tripartitos. </w:t>
      </w:r>
    </w:p>
    <w:p w14:paraId="0FE1DAE3" w14:textId="4D674775" w:rsidR="00E0164D" w:rsidRDefault="00E0164D" w:rsidP="009563E7">
      <w:pPr>
        <w:spacing w:after="0"/>
        <w:rPr>
          <w:rFonts w:ascii="Verdana" w:hAnsi="Verdana"/>
          <w:lang w:val="es-MX"/>
        </w:rPr>
      </w:pPr>
    </w:p>
    <w:p w14:paraId="34D88CF6" w14:textId="1382785F" w:rsidR="00D47296" w:rsidRDefault="00D47296" w:rsidP="00D47296">
      <w:pPr>
        <w:spacing w:after="0" w:line="240" w:lineRule="auto"/>
        <w:jc w:val="both"/>
        <w:rPr>
          <w:rFonts w:ascii="Verdana" w:eastAsia="Calibri" w:hAnsi="Verdana" w:cs="Arial"/>
          <w:sz w:val="20"/>
          <w:szCs w:val="24"/>
          <w:lang w:eastAsia="es-ES_tradnl"/>
        </w:rPr>
      </w:pPr>
      <w:r w:rsidRPr="00D47296">
        <w:rPr>
          <w:rFonts w:ascii="Verdana" w:eastAsia="Calibri" w:hAnsi="Verdana" w:cs="Arial"/>
          <w:sz w:val="20"/>
          <w:szCs w:val="24"/>
          <w:lang w:val="es-ES" w:eastAsia="es-ES_tradnl"/>
        </w:rPr>
        <w:t xml:space="preserve">Teniendo en cuenta la explicación de estos tres regímenes para la suscripción de los convenios solidarios, es pertinente, revisar si hay una restricción o prohibición para que participen tres o más partes. Para ello, se señala que dentro de los tres regímenes de contratación no se </w:t>
      </w:r>
      <w:r w:rsidRPr="00D47296">
        <w:rPr>
          <w:rFonts w:ascii="Verdana" w:eastAsia="Calibri" w:hAnsi="Verdana" w:cs="Arial"/>
          <w:sz w:val="20"/>
          <w:szCs w:val="24"/>
          <w:lang w:eastAsia="es-ES_tradnl"/>
        </w:rPr>
        <w:t xml:space="preserve">imponen límites en cuanto al número de integrantes que pueden configurar cada una de las partes de la </w:t>
      </w:r>
      <w:r w:rsidRPr="00D47296">
        <w:rPr>
          <w:rFonts w:ascii="Verdana" w:eastAsia="Calibri" w:hAnsi="Verdana" w:cs="Arial"/>
          <w:i/>
          <w:iCs/>
          <w:sz w:val="20"/>
          <w:szCs w:val="24"/>
          <w:lang w:eastAsia="es-ES_tradnl"/>
        </w:rPr>
        <w:t>relación de colaboración</w:t>
      </w:r>
      <w:r w:rsidRPr="00D47296">
        <w:rPr>
          <w:rFonts w:ascii="Verdana" w:eastAsia="Calibri" w:hAnsi="Verdana" w:cs="Arial"/>
          <w:sz w:val="20"/>
          <w:szCs w:val="24"/>
          <w:lang w:eastAsia="es-ES_tradnl"/>
        </w:rPr>
        <w:t xml:space="preserve">. Sobre el particular, es necesario advertir que de la remisión de los convenios solidarios al Estatuto de General de Contratación de la Administración Pública –EGCAP- no existe una restricción o limitación para ello. Ante esto, es necesario acudir a lo dispuesto en el Código Civil, a propósito de la definición de contrato o convención: </w:t>
      </w:r>
      <w:r w:rsidRPr="00D47296">
        <w:rPr>
          <w:rFonts w:ascii="Verdana" w:eastAsia="Calibri" w:hAnsi="Verdana" w:cs="Arial"/>
          <w:i/>
          <w:iCs/>
          <w:sz w:val="20"/>
          <w:szCs w:val="24"/>
          <w:lang w:eastAsia="es-ES_tradnl"/>
        </w:rPr>
        <w:t>“</w:t>
      </w:r>
      <w:r w:rsidRPr="00D47296">
        <w:rPr>
          <w:rFonts w:ascii="Verdana" w:eastAsia="Calibri" w:hAnsi="Verdana" w:cs="Arial"/>
          <w:iCs/>
          <w:sz w:val="20"/>
          <w:szCs w:val="24"/>
          <w:lang w:eastAsia="es-ES_tradnl"/>
        </w:rPr>
        <w:t>[c]</w:t>
      </w:r>
      <w:proofErr w:type="spellStart"/>
      <w:r w:rsidRPr="00D47296">
        <w:rPr>
          <w:rFonts w:ascii="Verdana" w:eastAsia="Calibri" w:hAnsi="Verdana" w:cs="Arial"/>
          <w:iCs/>
          <w:sz w:val="20"/>
          <w:szCs w:val="24"/>
          <w:lang w:eastAsia="es-ES_tradnl"/>
        </w:rPr>
        <w:t>ontrato</w:t>
      </w:r>
      <w:proofErr w:type="spellEnd"/>
      <w:r w:rsidRPr="00D47296">
        <w:rPr>
          <w:rFonts w:ascii="Verdana" w:eastAsia="Calibri" w:hAnsi="Verdana" w:cs="Arial"/>
          <w:iCs/>
          <w:sz w:val="20"/>
          <w:szCs w:val="24"/>
          <w:lang w:eastAsia="es-ES_tradnl"/>
        </w:rPr>
        <w:t xml:space="preserve"> o convención es un acto por el cual una parte se obliga para con otra a dar, hacer o no hacer alguna cosa. </w:t>
      </w:r>
      <w:r w:rsidRPr="00D47296">
        <w:rPr>
          <w:rFonts w:ascii="Verdana" w:eastAsia="Calibri" w:hAnsi="Verdana" w:cs="Arial"/>
          <w:i/>
          <w:iCs/>
          <w:sz w:val="20"/>
          <w:szCs w:val="24"/>
          <w:lang w:eastAsia="es-ES_tradnl"/>
        </w:rPr>
        <w:t>Cada parte puede ser de una o de muchas personas.”</w:t>
      </w:r>
      <w:r w:rsidRPr="00D47296">
        <w:rPr>
          <w:rFonts w:ascii="Verdana" w:eastAsia="Calibri" w:hAnsi="Verdana" w:cs="Arial"/>
          <w:sz w:val="20"/>
          <w:szCs w:val="24"/>
          <w:lang w:eastAsia="es-ES_tradnl"/>
        </w:rPr>
        <w:t xml:space="preserve"> (Énfasis fuera del texto original).</w:t>
      </w:r>
    </w:p>
    <w:p w14:paraId="0F509AF3" w14:textId="77777777" w:rsidR="00D47296" w:rsidRPr="00D47296" w:rsidRDefault="00D47296" w:rsidP="00D47296">
      <w:pPr>
        <w:spacing w:after="0" w:line="240" w:lineRule="auto"/>
        <w:jc w:val="both"/>
        <w:rPr>
          <w:rFonts w:ascii="Verdana" w:eastAsia="Calibri" w:hAnsi="Verdana" w:cs="Arial"/>
          <w:sz w:val="20"/>
          <w:szCs w:val="24"/>
          <w:lang w:eastAsia="es-ES_tradnl"/>
        </w:rPr>
      </w:pPr>
    </w:p>
    <w:p w14:paraId="72A47A8D" w14:textId="77777777" w:rsidR="00D47296" w:rsidRPr="00D47296" w:rsidRDefault="00D47296" w:rsidP="00D47296">
      <w:pPr>
        <w:spacing w:after="0" w:line="240" w:lineRule="auto"/>
        <w:jc w:val="both"/>
        <w:rPr>
          <w:rFonts w:ascii="Verdana" w:eastAsia="Calibri" w:hAnsi="Verdana" w:cs="Arial"/>
          <w:sz w:val="20"/>
          <w:szCs w:val="24"/>
          <w:lang w:eastAsia="es-ES_tradnl"/>
        </w:rPr>
      </w:pPr>
      <w:r w:rsidRPr="00D47296">
        <w:rPr>
          <w:rFonts w:ascii="Verdana" w:eastAsia="Calibri" w:hAnsi="Verdana" w:cs="Arial"/>
          <w:sz w:val="20"/>
          <w:szCs w:val="24"/>
          <w:lang w:eastAsia="es-ES_tradnl"/>
        </w:rPr>
        <w:t xml:space="preserve">En virtud de lo anterior, debe concluirse que la pluralidad de partes en los contratos celebrados por Entidades Estatales es plenamente válida y encuentra su fundamento en el artículo 1495 del Código Civil, lo cual es aplicable, también, a los convenios solidarios regulados en los diferentes regímenes, amparados bajo el principio de autonomía de la voluntad privada. Esto significa que puede haber más de una Entidad Estatal u Organismo de Acción Comunal en ambos extremos de la relación, siempre y cuando no se desnaturalice el objeto de este tipo de convenios y se cumplan los presupuestos y requisitos para su celebración y ejecución, es decir, que se respeten las normas de orden público. Así, es importante que las tres o más partes del convenio solidario cumplan con los requisitos establecidos por los diferentes regímenes jurídicos expuestos. </w:t>
      </w:r>
    </w:p>
    <w:p w14:paraId="0E2D2900" w14:textId="77777777" w:rsidR="00D47296" w:rsidRPr="00D47296" w:rsidRDefault="00D47296" w:rsidP="009563E7">
      <w:pPr>
        <w:spacing w:after="0"/>
        <w:rPr>
          <w:rFonts w:ascii="Verdana" w:hAnsi="Verdana"/>
        </w:rPr>
      </w:pPr>
    </w:p>
    <w:p w14:paraId="5559D8B7" w14:textId="2627F4BF" w:rsidR="00E0164D" w:rsidRDefault="00E0164D" w:rsidP="009563E7">
      <w:pPr>
        <w:spacing w:after="0"/>
        <w:rPr>
          <w:rFonts w:ascii="Verdana" w:hAnsi="Verdana"/>
        </w:rPr>
      </w:pPr>
    </w:p>
    <w:p w14:paraId="65E505EC" w14:textId="65FD4FD4" w:rsidR="00D47296" w:rsidRDefault="00D47296" w:rsidP="009563E7">
      <w:pPr>
        <w:spacing w:after="0"/>
        <w:rPr>
          <w:rFonts w:ascii="Verdana" w:hAnsi="Verdana"/>
        </w:rPr>
      </w:pPr>
    </w:p>
    <w:p w14:paraId="41EC7359" w14:textId="19985AB6" w:rsidR="00D47296" w:rsidRDefault="00D47296" w:rsidP="009563E7">
      <w:pPr>
        <w:spacing w:after="0"/>
        <w:rPr>
          <w:rFonts w:ascii="Verdana" w:hAnsi="Verdana"/>
        </w:rPr>
      </w:pPr>
    </w:p>
    <w:p w14:paraId="04DCAEBE" w14:textId="0DE3C31E" w:rsidR="00D47296" w:rsidRDefault="00D47296" w:rsidP="009563E7">
      <w:pPr>
        <w:spacing w:after="0"/>
        <w:rPr>
          <w:rFonts w:ascii="Verdana" w:hAnsi="Verdana"/>
        </w:rPr>
      </w:pPr>
    </w:p>
    <w:p w14:paraId="75C10EC4" w14:textId="371103D5" w:rsidR="00D47296" w:rsidRDefault="00D47296" w:rsidP="009563E7">
      <w:pPr>
        <w:spacing w:after="0"/>
        <w:rPr>
          <w:rFonts w:ascii="Verdana" w:hAnsi="Verdana"/>
        </w:rPr>
      </w:pPr>
    </w:p>
    <w:p w14:paraId="22CCD52D" w14:textId="19EA0758" w:rsidR="00D47296" w:rsidRDefault="00D47296" w:rsidP="009563E7">
      <w:pPr>
        <w:spacing w:after="0"/>
        <w:rPr>
          <w:rFonts w:ascii="Verdana" w:hAnsi="Verdana"/>
        </w:rPr>
      </w:pPr>
    </w:p>
    <w:p w14:paraId="42286CCC" w14:textId="1F27A890" w:rsidR="00D47296" w:rsidRDefault="00D47296" w:rsidP="009563E7">
      <w:pPr>
        <w:spacing w:after="0"/>
        <w:rPr>
          <w:rFonts w:ascii="Verdana" w:hAnsi="Verdana"/>
        </w:rPr>
      </w:pPr>
    </w:p>
    <w:p w14:paraId="4F7A5E66" w14:textId="080BCD6F" w:rsidR="00D47296" w:rsidRDefault="00D47296" w:rsidP="009563E7">
      <w:pPr>
        <w:spacing w:after="0"/>
        <w:rPr>
          <w:rFonts w:ascii="Verdana" w:hAnsi="Verdana"/>
        </w:rPr>
      </w:pPr>
    </w:p>
    <w:p w14:paraId="47D4C330" w14:textId="3A842391" w:rsidR="00D47296" w:rsidRDefault="00D47296" w:rsidP="009563E7">
      <w:pPr>
        <w:spacing w:after="0"/>
        <w:rPr>
          <w:rFonts w:ascii="Verdana" w:hAnsi="Verdana"/>
        </w:rPr>
      </w:pPr>
    </w:p>
    <w:p w14:paraId="7A55461E" w14:textId="77777777" w:rsidR="00D47296" w:rsidRDefault="00D47296" w:rsidP="009563E7">
      <w:pPr>
        <w:spacing w:after="0"/>
        <w:rPr>
          <w:rFonts w:ascii="Verdana" w:hAnsi="Verdana"/>
        </w:rPr>
      </w:pPr>
    </w:p>
    <w:p w14:paraId="74BB8D0F" w14:textId="27391EA8" w:rsidR="009563E7" w:rsidRPr="009563E7" w:rsidRDefault="00E0164D" w:rsidP="009563E7">
      <w:pPr>
        <w:spacing w:after="0"/>
        <w:rPr>
          <w:rFonts w:ascii="Verdana" w:hAnsi="Verdana"/>
        </w:rPr>
      </w:pPr>
      <w:r w:rsidRPr="00E0164D">
        <w:rPr>
          <w:rFonts w:ascii="Verdana" w:hAnsi="Verdana"/>
          <w:noProof/>
          <w:lang w:val="en-US"/>
        </w:rPr>
        <w:lastRenderedPageBreak/>
        <w:drawing>
          <wp:anchor distT="0" distB="0" distL="114300" distR="114300" simplePos="0" relativeHeight="251658240" behindDoc="0" locked="0" layoutInCell="1" allowOverlap="1" wp14:anchorId="124BA2E2" wp14:editId="76FD6181">
            <wp:simplePos x="0" y="0"/>
            <wp:positionH relativeFrom="column">
              <wp:posOffset>2567305</wp:posOffset>
            </wp:positionH>
            <wp:positionV relativeFrom="paragraph">
              <wp:posOffset>86995</wp:posOffset>
            </wp:positionV>
            <wp:extent cx="3086100" cy="853440"/>
            <wp:effectExtent l="0" t="0" r="0"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3E7" w:rsidRPr="009563E7">
        <w:rPr>
          <w:rFonts w:ascii="Verdana" w:hAnsi="Verdana"/>
        </w:rPr>
        <w:t>Bogotá D.C.,</w:t>
      </w:r>
      <w:r>
        <w:rPr>
          <w:rFonts w:ascii="Verdana" w:hAnsi="Verdana"/>
        </w:rPr>
        <w:t xml:space="preserve"> 1 de julio de 2025</w:t>
      </w:r>
      <w:r w:rsidR="009563E7" w:rsidRPr="009563E7">
        <w:rPr>
          <w:rFonts w:ascii="Verdana" w:hAnsi="Verdana"/>
        </w:rPr>
        <w:tab/>
      </w:r>
    </w:p>
    <w:p w14:paraId="5A1F7E1F" w14:textId="7C810A40" w:rsidR="009563E7" w:rsidRPr="009563E7" w:rsidRDefault="009563E7" w:rsidP="009563E7">
      <w:pPr>
        <w:spacing w:after="0" w:line="240" w:lineRule="auto"/>
        <w:rPr>
          <w:rFonts w:ascii="Verdana" w:hAnsi="Verdana"/>
        </w:rPr>
      </w:pPr>
    </w:p>
    <w:p w14:paraId="053646E7" w14:textId="0DE00050" w:rsidR="009563E7" w:rsidRPr="009563E7" w:rsidRDefault="009563E7" w:rsidP="009563E7">
      <w:pPr>
        <w:spacing w:after="0" w:line="240" w:lineRule="auto"/>
        <w:rPr>
          <w:rFonts w:ascii="Verdana" w:hAnsi="Verdana"/>
        </w:rPr>
      </w:pPr>
    </w:p>
    <w:p w14:paraId="0E4AC504" w14:textId="77777777" w:rsidR="009563E7" w:rsidRPr="009563E7" w:rsidRDefault="009563E7" w:rsidP="009563E7">
      <w:pPr>
        <w:spacing w:after="0" w:line="240" w:lineRule="auto"/>
        <w:rPr>
          <w:rFonts w:ascii="Verdana" w:eastAsia="Calibri" w:hAnsi="Verdana" w:cs="Times New Roman"/>
          <w:lang w:val="es-MX"/>
        </w:rPr>
      </w:pPr>
      <w:r w:rsidRPr="009563E7">
        <w:rPr>
          <w:rFonts w:ascii="Verdana" w:eastAsia="Calibri" w:hAnsi="Verdana" w:cs="Times New Roman"/>
          <w:lang w:val="es-MX"/>
        </w:rPr>
        <w:t>Señor</w:t>
      </w:r>
    </w:p>
    <w:p w14:paraId="6574EDA9" w14:textId="77777777" w:rsidR="009563E7" w:rsidRPr="009563E7" w:rsidRDefault="009563E7" w:rsidP="009563E7">
      <w:pPr>
        <w:spacing w:after="0" w:line="240" w:lineRule="auto"/>
        <w:rPr>
          <w:rFonts w:ascii="Verdana" w:eastAsia="Calibri" w:hAnsi="Verdana" w:cs="Times New Roman"/>
          <w:b/>
        </w:rPr>
      </w:pPr>
      <w:r w:rsidRPr="009563E7">
        <w:rPr>
          <w:rFonts w:ascii="Verdana" w:eastAsia="Calibri" w:hAnsi="Verdana" w:cs="Times New Roman"/>
          <w:b/>
        </w:rPr>
        <w:t xml:space="preserve">Luis René Tapia </w:t>
      </w:r>
      <w:proofErr w:type="spellStart"/>
      <w:r w:rsidRPr="009563E7">
        <w:rPr>
          <w:rFonts w:ascii="Verdana" w:eastAsia="Calibri" w:hAnsi="Verdana" w:cs="Times New Roman"/>
          <w:b/>
        </w:rPr>
        <w:t>Alandete</w:t>
      </w:r>
      <w:proofErr w:type="spellEnd"/>
    </w:p>
    <w:p w14:paraId="51CE69F9" w14:textId="77777777" w:rsidR="009563E7" w:rsidRPr="009563E7" w:rsidRDefault="009563E7" w:rsidP="009563E7">
      <w:pPr>
        <w:spacing w:after="0" w:line="240" w:lineRule="auto"/>
        <w:rPr>
          <w:rFonts w:ascii="Verdana" w:hAnsi="Verdana"/>
        </w:rPr>
      </w:pPr>
      <w:hyperlink r:id="rId12" w:history="1">
        <w:r w:rsidRPr="009563E7">
          <w:rPr>
            <w:rFonts w:ascii="Verdana" w:hAnsi="Verdana"/>
            <w:color w:val="0000FF"/>
            <w:u w:val="single"/>
          </w:rPr>
          <w:t>luiret2126@hotmail.com</w:t>
        </w:r>
      </w:hyperlink>
      <w:r w:rsidRPr="009563E7">
        <w:rPr>
          <w:rFonts w:ascii="Verdana" w:hAnsi="Verdana"/>
        </w:rPr>
        <w:t xml:space="preserve"> </w:t>
      </w:r>
    </w:p>
    <w:p w14:paraId="76C45FC7" w14:textId="77777777" w:rsidR="009563E7" w:rsidRPr="009563E7" w:rsidRDefault="009563E7" w:rsidP="009563E7">
      <w:pPr>
        <w:spacing w:after="0" w:line="240" w:lineRule="auto"/>
        <w:rPr>
          <w:rFonts w:ascii="Verdana" w:eastAsia="Calibri" w:hAnsi="Verdana" w:cs="Times New Roman"/>
        </w:rPr>
      </w:pPr>
      <w:r w:rsidRPr="009563E7">
        <w:rPr>
          <w:rFonts w:ascii="Verdana" w:eastAsia="Calibri" w:hAnsi="Verdana" w:cs="Times New Roman"/>
        </w:rPr>
        <w:t xml:space="preserve">Bogotá D.C. </w:t>
      </w:r>
    </w:p>
    <w:p w14:paraId="669B4BD4" w14:textId="77777777" w:rsidR="009563E7" w:rsidRPr="009563E7" w:rsidRDefault="009563E7" w:rsidP="009563E7">
      <w:pPr>
        <w:spacing w:after="0" w:line="240" w:lineRule="auto"/>
        <w:rPr>
          <w:rFonts w:ascii="Verdana" w:eastAsia="Calibri" w:hAnsi="Verdana" w:cs="Times New Roman"/>
        </w:rPr>
      </w:pPr>
    </w:p>
    <w:p w14:paraId="6EB8EBA4" w14:textId="77777777" w:rsidR="009563E7" w:rsidRPr="009563E7" w:rsidRDefault="009563E7" w:rsidP="009563E7">
      <w:pPr>
        <w:spacing w:after="0" w:line="240" w:lineRule="auto"/>
        <w:rPr>
          <w:rFonts w:ascii="Verdana" w:eastAsia="Calibri" w:hAnsi="Verdana" w:cs="Times New Roman"/>
        </w:rPr>
      </w:pPr>
    </w:p>
    <w:p w14:paraId="4734D46F" w14:textId="77777777" w:rsidR="009563E7" w:rsidRPr="009563E7" w:rsidRDefault="009563E7" w:rsidP="009563E7">
      <w:pPr>
        <w:spacing w:after="0" w:line="240" w:lineRule="auto"/>
        <w:rPr>
          <w:rFonts w:ascii="Verdana" w:eastAsia="Calibri" w:hAnsi="Verdana" w:cs="Times New Roman"/>
          <w:b/>
          <w:bCs/>
          <w:lang w:val="es-ES"/>
        </w:rPr>
      </w:pPr>
      <w:r w:rsidRPr="009563E7">
        <w:rPr>
          <w:rFonts w:ascii="Verdana" w:eastAsia="Calibri" w:hAnsi="Verdana" w:cs="Times New Roman"/>
          <w:b/>
          <w:bCs/>
          <w:lang w:val="es-ES"/>
        </w:rPr>
        <w:t xml:space="preserve">                                    Concepto C–681 de 2025</w:t>
      </w:r>
    </w:p>
    <w:p w14:paraId="50C688DB" w14:textId="77777777" w:rsidR="009563E7" w:rsidRPr="009563E7" w:rsidRDefault="009563E7" w:rsidP="009563E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9563E7" w:rsidRPr="009563E7" w14:paraId="6E682EEC" w14:textId="77777777" w:rsidTr="00231963">
        <w:trPr>
          <w:trHeight w:val="80"/>
        </w:trPr>
        <w:tc>
          <w:tcPr>
            <w:tcW w:w="2685" w:type="dxa"/>
            <w:hideMark/>
          </w:tcPr>
          <w:p w14:paraId="6B7D0DED" w14:textId="77777777" w:rsidR="009563E7" w:rsidRPr="009563E7" w:rsidRDefault="009563E7" w:rsidP="009563E7">
            <w:pPr>
              <w:rPr>
                <w:rFonts w:ascii="Verdana" w:hAnsi="Verdana"/>
                <w:b/>
                <w:bCs/>
                <w:lang w:val="es-ES_tradnl"/>
              </w:rPr>
            </w:pPr>
            <w:r w:rsidRPr="009563E7">
              <w:rPr>
                <w:rFonts w:ascii="Verdana" w:hAnsi="Verdana"/>
                <w:b/>
                <w:bCs/>
                <w:lang w:val="es-ES_tradnl"/>
              </w:rPr>
              <w:t xml:space="preserve">Temas:                   </w:t>
            </w:r>
          </w:p>
        </w:tc>
        <w:tc>
          <w:tcPr>
            <w:tcW w:w="6241" w:type="dxa"/>
            <w:hideMark/>
          </w:tcPr>
          <w:p w14:paraId="378C2B2B" w14:textId="77777777" w:rsidR="009563E7" w:rsidRPr="009563E7" w:rsidRDefault="009563E7" w:rsidP="009563E7">
            <w:pPr>
              <w:spacing w:line="276" w:lineRule="auto"/>
              <w:jc w:val="both"/>
              <w:rPr>
                <w:rFonts w:ascii="Verdana" w:hAnsi="Verdana" w:cs="Arial"/>
                <w:bCs/>
                <w:color w:val="000000"/>
                <w:kern w:val="2"/>
                <w:lang w:val="es-MX"/>
                <w14:ligatures w14:val="standardContextual"/>
              </w:rPr>
            </w:pPr>
            <w:r w:rsidRPr="009563E7">
              <w:rPr>
                <w:rFonts w:ascii="Verdana" w:hAnsi="Verdana" w:cs="Arial"/>
                <w:color w:val="000000"/>
                <w:kern w:val="2"/>
                <w14:ligatures w14:val="standardContextual"/>
              </w:rPr>
              <w:t xml:space="preserve">CONVENIOS SOLIDARIOS – </w:t>
            </w:r>
            <w:r w:rsidRPr="009563E7">
              <w:rPr>
                <w:rFonts w:ascii="Verdana" w:hAnsi="Verdana" w:cs="Arial"/>
                <w:bCs/>
                <w:color w:val="000000"/>
                <w:kern w:val="2"/>
                <w:lang w:val="es-MX"/>
                <w14:ligatures w14:val="standardContextual"/>
              </w:rPr>
              <w:t xml:space="preserve">Marco normativo / LEY 136 DE 1994 – Convenios Solidarios – Ámbito de aplicación – Organismos de acción comunal – Régimen jurídico / CONVENIOS SOLIDARIOS – Regímenes de contratación – Organismos de acción comunal / CONVENIOS SOLIDARIOS – Convenios tripartitos. </w:t>
            </w:r>
          </w:p>
          <w:p w14:paraId="1760E405" w14:textId="77777777" w:rsidR="009563E7" w:rsidRPr="009563E7" w:rsidRDefault="009563E7" w:rsidP="009563E7">
            <w:pPr>
              <w:spacing w:line="276" w:lineRule="auto"/>
              <w:jc w:val="both"/>
              <w:rPr>
                <w:rFonts w:ascii="Verdana" w:hAnsi="Verdana"/>
                <w:lang w:val="es-MX"/>
              </w:rPr>
            </w:pPr>
          </w:p>
        </w:tc>
        <w:tc>
          <w:tcPr>
            <w:tcW w:w="6237" w:type="dxa"/>
          </w:tcPr>
          <w:p w14:paraId="7B184DA8" w14:textId="77777777" w:rsidR="009563E7" w:rsidRPr="009563E7" w:rsidRDefault="009563E7" w:rsidP="009563E7">
            <w:pPr>
              <w:rPr>
                <w:rFonts w:ascii="Verdana" w:hAnsi="Verdana"/>
              </w:rPr>
            </w:pPr>
          </w:p>
        </w:tc>
      </w:tr>
      <w:tr w:rsidR="009563E7" w:rsidRPr="009563E7" w14:paraId="0CDD3279" w14:textId="77777777" w:rsidTr="00231963">
        <w:tc>
          <w:tcPr>
            <w:tcW w:w="2685" w:type="dxa"/>
          </w:tcPr>
          <w:p w14:paraId="2DDD0E8B" w14:textId="77777777" w:rsidR="009563E7" w:rsidRPr="009563E7" w:rsidRDefault="009563E7" w:rsidP="009563E7">
            <w:pPr>
              <w:rPr>
                <w:rFonts w:ascii="Verdana" w:hAnsi="Verdana"/>
                <w:lang w:val="es-ES_tradnl"/>
              </w:rPr>
            </w:pPr>
          </w:p>
          <w:p w14:paraId="1483B940" w14:textId="77777777" w:rsidR="009563E7" w:rsidRPr="009563E7" w:rsidRDefault="009563E7" w:rsidP="009563E7">
            <w:pPr>
              <w:rPr>
                <w:rFonts w:ascii="Verdana" w:hAnsi="Verdana"/>
                <w:b/>
                <w:bCs/>
                <w:lang w:val="es-ES_tradnl"/>
              </w:rPr>
            </w:pPr>
            <w:r w:rsidRPr="009563E7">
              <w:rPr>
                <w:rFonts w:ascii="Verdana" w:hAnsi="Verdana"/>
                <w:b/>
                <w:bCs/>
                <w:lang w:val="es-ES_tradnl"/>
              </w:rPr>
              <w:t xml:space="preserve">Radicación:               </w:t>
            </w:r>
          </w:p>
        </w:tc>
        <w:tc>
          <w:tcPr>
            <w:tcW w:w="6241" w:type="dxa"/>
          </w:tcPr>
          <w:p w14:paraId="1C667C0F" w14:textId="77777777" w:rsidR="009563E7" w:rsidRPr="009563E7" w:rsidRDefault="009563E7" w:rsidP="009563E7">
            <w:pPr>
              <w:rPr>
                <w:rFonts w:ascii="Verdana" w:hAnsi="Verdana"/>
                <w:lang w:val="es-ES_tradnl"/>
              </w:rPr>
            </w:pPr>
          </w:p>
          <w:p w14:paraId="22B1FA95" w14:textId="77777777" w:rsidR="009563E7" w:rsidRPr="009563E7" w:rsidRDefault="009563E7" w:rsidP="009563E7">
            <w:pPr>
              <w:jc w:val="both"/>
              <w:rPr>
                <w:rFonts w:ascii="Verdana" w:hAnsi="Verdana"/>
              </w:rPr>
            </w:pPr>
            <w:r w:rsidRPr="009563E7">
              <w:rPr>
                <w:rFonts w:ascii="Verdana" w:hAnsi="Verdana"/>
                <w:lang w:val="es-ES_tradnl"/>
              </w:rPr>
              <w:t xml:space="preserve">Respuesta a consulta con radicado No. </w:t>
            </w:r>
            <w:r w:rsidRPr="009563E7">
              <w:rPr>
                <w:rFonts w:ascii="Verdana" w:hAnsi="Verdana"/>
              </w:rPr>
              <w:t>P20250528005170</w:t>
            </w:r>
          </w:p>
          <w:p w14:paraId="20E6E346" w14:textId="77777777" w:rsidR="009563E7" w:rsidRPr="009563E7" w:rsidRDefault="009563E7" w:rsidP="009563E7">
            <w:pPr>
              <w:jc w:val="both"/>
              <w:rPr>
                <w:rFonts w:ascii="Verdana" w:hAnsi="Verdana"/>
              </w:rPr>
            </w:pPr>
          </w:p>
        </w:tc>
        <w:tc>
          <w:tcPr>
            <w:tcW w:w="6237" w:type="dxa"/>
          </w:tcPr>
          <w:p w14:paraId="54A9B04C" w14:textId="77777777" w:rsidR="009563E7" w:rsidRPr="009563E7" w:rsidRDefault="009563E7" w:rsidP="009563E7">
            <w:pPr>
              <w:rPr>
                <w:rFonts w:ascii="Verdana" w:hAnsi="Verdana"/>
                <w:lang w:val="es-ES_tradnl"/>
              </w:rPr>
            </w:pPr>
          </w:p>
        </w:tc>
      </w:tr>
    </w:tbl>
    <w:p w14:paraId="1CE5FDC9" w14:textId="77777777" w:rsidR="009563E7" w:rsidRPr="009563E7" w:rsidRDefault="009563E7" w:rsidP="009563E7">
      <w:pPr>
        <w:spacing w:after="0" w:line="240" w:lineRule="auto"/>
        <w:rPr>
          <w:rFonts w:ascii="Verdana" w:eastAsia="Calibri" w:hAnsi="Verdana" w:cs="Times New Roman"/>
          <w:lang w:val="es-ES_tradnl"/>
        </w:rPr>
      </w:pPr>
    </w:p>
    <w:p w14:paraId="3E45D9D7" w14:textId="77777777" w:rsidR="009563E7" w:rsidRPr="009563E7" w:rsidRDefault="009563E7" w:rsidP="009563E7">
      <w:pPr>
        <w:spacing w:after="0" w:line="256" w:lineRule="auto"/>
        <w:rPr>
          <w:rFonts w:ascii="Verdana" w:eastAsia="Calibri" w:hAnsi="Verdana" w:cs="Times New Roman"/>
          <w:lang w:val="es-ES"/>
        </w:rPr>
      </w:pPr>
      <w:r w:rsidRPr="009563E7">
        <w:rPr>
          <w:rFonts w:ascii="Verdana" w:eastAsia="Calibri" w:hAnsi="Verdana" w:cs="Times New Roman"/>
          <w:lang w:val="es-ES"/>
        </w:rPr>
        <w:t xml:space="preserve">Estimado Señor Luis René: </w:t>
      </w:r>
    </w:p>
    <w:p w14:paraId="18C2F46F" w14:textId="77777777" w:rsidR="009563E7" w:rsidRPr="009563E7" w:rsidRDefault="009563E7" w:rsidP="009563E7">
      <w:pPr>
        <w:spacing w:after="0" w:line="276" w:lineRule="auto"/>
        <w:rPr>
          <w:rFonts w:ascii="Verdana" w:eastAsia="Calibri" w:hAnsi="Verdana" w:cs="Times New Roman"/>
          <w:lang w:val="es-ES"/>
        </w:rPr>
      </w:pPr>
    </w:p>
    <w:p w14:paraId="0A280C50" w14:textId="77777777" w:rsidR="009563E7" w:rsidRPr="009563E7" w:rsidRDefault="009563E7" w:rsidP="009563E7">
      <w:pPr>
        <w:spacing w:after="120" w:line="276" w:lineRule="auto"/>
        <w:jc w:val="both"/>
        <w:rPr>
          <w:rFonts w:ascii="Verdana" w:eastAsia="Calibri" w:hAnsi="Verdana" w:cs="Times New Roman"/>
          <w:i/>
          <w:iCs/>
        </w:rPr>
      </w:pPr>
      <w:r w:rsidRPr="009563E7">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28 de mayo de 2025, en la cual manifiesta:</w:t>
      </w:r>
      <w:r w:rsidRPr="009563E7">
        <w:rPr>
          <w:rFonts w:ascii="Verdana" w:eastAsia="Calibri" w:hAnsi="Verdana" w:cs="Times New Roman"/>
        </w:rPr>
        <w:t xml:space="preserve"> </w:t>
      </w:r>
      <w:r w:rsidRPr="009563E7">
        <w:rPr>
          <w:rFonts w:ascii="Verdana" w:eastAsia="Calibri" w:hAnsi="Verdana" w:cs="Times New Roman"/>
          <w:i/>
          <w:iCs/>
        </w:rPr>
        <w:t>“¿Puede suscribir un convenio solidario tripartito, es decir, gobernación, alcaldía y junta de acción comunal?”.</w:t>
      </w:r>
    </w:p>
    <w:p w14:paraId="3D6CFF34" w14:textId="77777777" w:rsidR="009563E7" w:rsidRPr="009563E7" w:rsidRDefault="009563E7" w:rsidP="009563E7">
      <w:pPr>
        <w:spacing w:after="120" w:line="276" w:lineRule="auto"/>
        <w:ind w:firstLine="709"/>
        <w:jc w:val="both"/>
        <w:rPr>
          <w:rFonts w:ascii="Verdana" w:eastAsia="Calibri" w:hAnsi="Verdana" w:cs="Times New Roman"/>
          <w:lang w:val="es-ES"/>
        </w:rPr>
      </w:pPr>
      <w:r w:rsidRPr="009563E7">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9563E7">
        <w:rPr>
          <w:rFonts w:ascii="Verdana" w:eastAsia="Calibri" w:hAnsi="Verdana" w:cs="Times New Roman"/>
          <w:lang w:val="es-ES"/>
        </w:rPr>
        <w:lastRenderedPageBreak/>
        <w:t>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98732D4" w14:textId="77777777" w:rsidR="009563E7" w:rsidRPr="009563E7" w:rsidRDefault="009563E7" w:rsidP="009563E7">
      <w:pPr>
        <w:spacing w:after="0" w:line="276" w:lineRule="auto"/>
        <w:ind w:firstLine="708"/>
        <w:jc w:val="both"/>
        <w:rPr>
          <w:rFonts w:ascii="Verdana" w:eastAsia="Calibri" w:hAnsi="Verdana" w:cs="Times New Roman"/>
          <w:lang w:val="es-ES"/>
        </w:rPr>
      </w:pPr>
      <w:r w:rsidRPr="009563E7">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72B5A6AF" w14:textId="77777777" w:rsidR="009563E7" w:rsidRPr="009563E7" w:rsidRDefault="009563E7" w:rsidP="009563E7">
      <w:pPr>
        <w:spacing w:after="0" w:line="256" w:lineRule="auto"/>
        <w:rPr>
          <w:rFonts w:ascii="Verdana" w:eastAsia="Calibri" w:hAnsi="Verdana" w:cs="Times New Roman"/>
          <w:lang w:val="es-ES"/>
        </w:rPr>
      </w:pPr>
    </w:p>
    <w:p w14:paraId="3DC88634" w14:textId="77777777" w:rsidR="009563E7" w:rsidRPr="009563E7" w:rsidRDefault="009563E7" w:rsidP="009563E7">
      <w:pPr>
        <w:numPr>
          <w:ilvl w:val="0"/>
          <w:numId w:val="19"/>
        </w:numPr>
        <w:spacing w:after="0" w:line="256" w:lineRule="auto"/>
        <w:contextualSpacing/>
        <w:rPr>
          <w:rFonts w:ascii="Verdana" w:eastAsia="Calibri" w:hAnsi="Verdana" w:cs="Times New Roman"/>
          <w:b/>
          <w:bCs/>
          <w:lang w:val="es-ES"/>
        </w:rPr>
      </w:pPr>
      <w:r w:rsidRPr="009563E7">
        <w:rPr>
          <w:rFonts w:ascii="Verdana" w:eastAsia="Calibri" w:hAnsi="Verdana" w:cs="Times New Roman"/>
          <w:b/>
          <w:bCs/>
          <w:lang w:val="es-ES"/>
        </w:rPr>
        <w:t>Problema planteado:</w:t>
      </w:r>
    </w:p>
    <w:p w14:paraId="50D151D4" w14:textId="77777777" w:rsidR="009563E7" w:rsidRPr="009563E7" w:rsidRDefault="009563E7" w:rsidP="009563E7">
      <w:pPr>
        <w:spacing w:after="0" w:line="256" w:lineRule="auto"/>
        <w:rPr>
          <w:rFonts w:ascii="Verdana" w:eastAsia="Calibri" w:hAnsi="Verdana" w:cs="Times New Roman"/>
        </w:rPr>
      </w:pPr>
    </w:p>
    <w:p w14:paraId="093D2329" w14:textId="77777777" w:rsidR="009563E7" w:rsidRPr="009563E7" w:rsidRDefault="009563E7" w:rsidP="009563E7">
      <w:pPr>
        <w:spacing w:after="0" w:line="276" w:lineRule="auto"/>
        <w:jc w:val="both"/>
        <w:rPr>
          <w:rFonts w:ascii="Verdana" w:eastAsia="Calibri" w:hAnsi="Verdana" w:cs="Times New Roman"/>
        </w:rPr>
      </w:pPr>
      <w:r w:rsidRPr="009563E7">
        <w:rPr>
          <w:rFonts w:ascii="Verdana" w:eastAsia="Calibri" w:hAnsi="Verdana" w:cs="Times New Roman"/>
        </w:rPr>
        <w:t>De acuerdo con el contenido de su solicitud, esta Agencia procede a resolver el siguiente problema jurídico: ¿Es procedente la celebración de convenios solidarios tripartitos?</w:t>
      </w:r>
    </w:p>
    <w:p w14:paraId="097A9A04" w14:textId="77777777" w:rsidR="009563E7" w:rsidRPr="009563E7" w:rsidRDefault="009563E7" w:rsidP="009563E7">
      <w:pPr>
        <w:spacing w:after="0" w:line="256" w:lineRule="auto"/>
        <w:rPr>
          <w:rFonts w:ascii="Verdana" w:eastAsia="Calibri" w:hAnsi="Verdana" w:cs="Times New Roman"/>
        </w:rPr>
      </w:pPr>
    </w:p>
    <w:p w14:paraId="3F732ED2" w14:textId="77777777" w:rsidR="009563E7" w:rsidRPr="009563E7" w:rsidRDefault="009563E7" w:rsidP="009563E7">
      <w:pPr>
        <w:numPr>
          <w:ilvl w:val="0"/>
          <w:numId w:val="19"/>
        </w:numPr>
        <w:spacing w:after="0" w:line="256" w:lineRule="auto"/>
        <w:contextualSpacing/>
        <w:rPr>
          <w:rFonts w:ascii="Verdana" w:eastAsia="Calibri" w:hAnsi="Verdana" w:cs="Times New Roman"/>
          <w:b/>
          <w:bCs/>
          <w:lang w:val="es-ES"/>
        </w:rPr>
      </w:pPr>
      <w:r w:rsidRPr="009563E7">
        <w:rPr>
          <w:rFonts w:ascii="Verdana" w:eastAsia="Calibri" w:hAnsi="Verdana" w:cs="Times New Roman"/>
          <w:b/>
          <w:bCs/>
          <w:lang w:val="es-ES"/>
        </w:rPr>
        <w:t>Respuesta:</w:t>
      </w:r>
    </w:p>
    <w:p w14:paraId="40D7FDF0" w14:textId="77777777" w:rsidR="009563E7" w:rsidRPr="009563E7" w:rsidRDefault="009563E7" w:rsidP="009563E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563E7" w:rsidRPr="009563E7" w14:paraId="2325CE75" w14:textId="77777777" w:rsidTr="00231963">
        <w:trPr>
          <w:trHeight w:val="870"/>
          <w:jc w:val="center"/>
        </w:trPr>
        <w:tc>
          <w:tcPr>
            <w:tcW w:w="8784" w:type="dxa"/>
          </w:tcPr>
          <w:p w14:paraId="3935BD40" w14:textId="77777777" w:rsidR="009563E7" w:rsidRPr="009563E7" w:rsidRDefault="009563E7" w:rsidP="009563E7">
            <w:pPr>
              <w:spacing w:before="120" w:after="120" w:line="276" w:lineRule="auto"/>
              <w:jc w:val="both"/>
              <w:rPr>
                <w:rFonts w:ascii="Verdana" w:hAnsi="Verdana" w:cs="Arial"/>
                <w:szCs w:val="24"/>
                <w:lang w:eastAsia="es-ES_tradnl"/>
              </w:rPr>
            </w:pPr>
            <w:r w:rsidRPr="009563E7">
              <w:rPr>
                <w:rFonts w:ascii="Verdana" w:hAnsi="Verdana" w:cs="Arial"/>
                <w:bCs/>
              </w:rPr>
              <w:t xml:space="preserve">Para responder el problema jurídico, objeto de consulta, se precisa que es </w:t>
            </w:r>
            <w:r w:rsidRPr="009563E7">
              <w:rPr>
                <w:rFonts w:ascii="Verdana" w:hAnsi="Verdana" w:cs="Arial"/>
                <w:lang w:eastAsia="es-MX"/>
              </w:rPr>
              <w:t xml:space="preserve">importante señalar </w:t>
            </w:r>
            <w:r w:rsidRPr="009563E7">
              <w:rPr>
                <w:rFonts w:ascii="Verdana" w:hAnsi="Verdana" w:cs="Arial"/>
                <w:szCs w:val="24"/>
                <w:lang w:val="es-ES" w:eastAsia="es-ES_tradnl"/>
              </w:rPr>
              <w:t xml:space="preserve">que dentro de los tres regímenes de contratación para la suscripción de convenios solidarios no se </w:t>
            </w:r>
            <w:r w:rsidRPr="009563E7">
              <w:rPr>
                <w:rFonts w:ascii="Verdana" w:hAnsi="Verdana" w:cs="Arial"/>
                <w:szCs w:val="24"/>
                <w:lang w:eastAsia="es-ES_tradnl"/>
              </w:rPr>
              <w:t xml:space="preserve">imponen límites en cuanto al número de integrantes que pueden configurar cada una de las partes de la </w:t>
            </w:r>
            <w:r w:rsidRPr="009563E7">
              <w:rPr>
                <w:rFonts w:ascii="Verdana" w:hAnsi="Verdana" w:cs="Arial"/>
                <w:i/>
                <w:iCs/>
                <w:szCs w:val="24"/>
                <w:lang w:eastAsia="es-ES_tradnl"/>
              </w:rPr>
              <w:t>relación de colaboración</w:t>
            </w:r>
            <w:r w:rsidRPr="009563E7">
              <w:rPr>
                <w:rFonts w:ascii="Verdana" w:hAnsi="Verdana" w:cs="Arial"/>
                <w:szCs w:val="24"/>
                <w:lang w:eastAsia="es-ES_tradnl"/>
              </w:rPr>
              <w:t xml:space="preserve">. Sobre el particular, es necesario advertir que de la remisión de los convenios solidarios al Estatuto de General de Contratación de la Administración Pública –EGCAP- no existe una restricción o limitación para ello. Ante esto, es necesario acudir a lo dispuesto en el Código Civil, a propósito de la definición de contrato o convención: </w:t>
            </w:r>
            <w:r w:rsidRPr="009563E7">
              <w:rPr>
                <w:rFonts w:ascii="Verdana" w:hAnsi="Verdana" w:cs="Arial"/>
                <w:i/>
                <w:iCs/>
                <w:szCs w:val="24"/>
                <w:lang w:eastAsia="es-ES_tradnl"/>
              </w:rPr>
              <w:t>“</w:t>
            </w:r>
            <w:r w:rsidRPr="009563E7">
              <w:rPr>
                <w:rFonts w:ascii="Verdana" w:hAnsi="Verdana" w:cs="Arial"/>
                <w:iCs/>
                <w:szCs w:val="24"/>
                <w:lang w:eastAsia="es-ES_tradnl"/>
              </w:rPr>
              <w:t>[c]</w:t>
            </w:r>
            <w:proofErr w:type="spellStart"/>
            <w:r w:rsidRPr="009563E7">
              <w:rPr>
                <w:rFonts w:ascii="Verdana" w:hAnsi="Verdana" w:cs="Arial"/>
                <w:iCs/>
                <w:szCs w:val="24"/>
                <w:lang w:eastAsia="es-ES_tradnl"/>
              </w:rPr>
              <w:t>ontrato</w:t>
            </w:r>
            <w:proofErr w:type="spellEnd"/>
            <w:r w:rsidRPr="009563E7">
              <w:rPr>
                <w:rFonts w:ascii="Verdana" w:hAnsi="Verdana" w:cs="Arial"/>
                <w:iCs/>
                <w:szCs w:val="24"/>
                <w:lang w:eastAsia="es-ES_tradnl"/>
              </w:rPr>
              <w:t xml:space="preserve"> o convención es un acto por el cual una parte se obliga para con otra a dar, hacer o no hacer alguna cosa. </w:t>
            </w:r>
            <w:r w:rsidRPr="009563E7">
              <w:rPr>
                <w:rFonts w:ascii="Verdana" w:hAnsi="Verdana" w:cs="Arial"/>
                <w:i/>
                <w:iCs/>
                <w:szCs w:val="24"/>
                <w:lang w:eastAsia="es-ES_tradnl"/>
              </w:rPr>
              <w:t>Cada parte puede ser de una o de muchas personas.”</w:t>
            </w:r>
            <w:r w:rsidRPr="009563E7">
              <w:rPr>
                <w:rFonts w:ascii="Verdana" w:hAnsi="Verdana" w:cs="Arial"/>
                <w:szCs w:val="24"/>
                <w:lang w:eastAsia="es-ES_tradnl"/>
              </w:rPr>
              <w:t xml:space="preserve"> (Énfasis fuera del texto original).</w:t>
            </w:r>
          </w:p>
          <w:p w14:paraId="5DAA0AA7" w14:textId="77777777" w:rsidR="009563E7" w:rsidRPr="009563E7" w:rsidRDefault="009563E7" w:rsidP="009563E7">
            <w:pPr>
              <w:spacing w:before="120" w:after="120" w:line="276" w:lineRule="auto"/>
              <w:ind w:firstLine="709"/>
              <w:jc w:val="both"/>
              <w:rPr>
                <w:rFonts w:ascii="Verdana" w:hAnsi="Verdana" w:cs="Arial"/>
                <w:szCs w:val="24"/>
                <w:lang w:eastAsia="es-ES_tradnl"/>
              </w:rPr>
            </w:pPr>
            <w:r w:rsidRPr="009563E7">
              <w:rPr>
                <w:rFonts w:ascii="Verdana" w:hAnsi="Verdana" w:cs="Arial"/>
                <w:szCs w:val="24"/>
                <w:lang w:eastAsia="es-ES_tradnl"/>
              </w:rPr>
              <w:t xml:space="preserve">En virtud de lo anterior, debe concluirse que la pluralidad de partes en los contratos celebrados por Entidades Estatales es plenamente válida y encuentra su fundamento en el artículo 1495 del Código Civil, lo cual es aplicable, también, a los convenios solidarios regulados en los diferentes regímenes, amparados bajo el principio de autonomía de la voluntad privada. Esto significa que puede haber más de una Entidad Estatal u Organismo de Acción Comunal en ambos extremos de la relación, siempre y cuando no se </w:t>
            </w:r>
            <w:r w:rsidRPr="009563E7">
              <w:rPr>
                <w:rFonts w:ascii="Verdana" w:hAnsi="Verdana" w:cs="Arial"/>
                <w:szCs w:val="24"/>
                <w:lang w:eastAsia="es-ES_tradnl"/>
              </w:rPr>
              <w:lastRenderedPageBreak/>
              <w:t xml:space="preserve">desnaturalice el objeto de este tipo de convenios y se cumplan los presupuestos y requisitos para su celebración y ejecución, es decir, que se respeten las normas de orden público. </w:t>
            </w:r>
          </w:p>
          <w:p w14:paraId="5F6790AB" w14:textId="77777777" w:rsidR="009563E7" w:rsidRPr="009563E7" w:rsidRDefault="009563E7" w:rsidP="009563E7">
            <w:pPr>
              <w:spacing w:before="120" w:after="120" w:line="276" w:lineRule="auto"/>
              <w:ind w:firstLine="709"/>
              <w:jc w:val="both"/>
              <w:rPr>
                <w:rFonts w:ascii="Verdana" w:hAnsi="Verdana" w:cs="Arial"/>
                <w:szCs w:val="24"/>
                <w:lang w:eastAsia="es-ES_tradnl"/>
              </w:rPr>
            </w:pPr>
            <w:r w:rsidRPr="009563E7">
              <w:rPr>
                <w:rFonts w:ascii="Verdana" w:hAnsi="Verdana" w:cs="Arial"/>
                <w:szCs w:val="24"/>
                <w:lang w:eastAsia="es-ES_tradnl"/>
              </w:rPr>
              <w:t xml:space="preserve">Así, es importante que las tres o más partes del convenio solidario cumplan con los requisitos establecidos por los diferentes regímenes jurídicos expuestos. En todo caso, la entidad pública definirá en cada caso concreto lo relacionado con el tema objeto de consulta y teniendo en cuenta lo dispuesto en las normas previamente citadas en las razones de la respuesta. </w:t>
            </w:r>
          </w:p>
        </w:tc>
      </w:tr>
    </w:tbl>
    <w:p w14:paraId="7C6E2C47" w14:textId="77777777" w:rsidR="009563E7" w:rsidRPr="009563E7" w:rsidRDefault="009563E7" w:rsidP="009563E7">
      <w:pPr>
        <w:spacing w:after="0" w:line="276" w:lineRule="auto"/>
        <w:jc w:val="both"/>
        <w:rPr>
          <w:rFonts w:ascii="Verdana" w:eastAsia="Calibri" w:hAnsi="Verdana" w:cs="Arial"/>
          <w:bCs/>
          <w:color w:val="000000" w:themeColor="text1"/>
        </w:rPr>
      </w:pPr>
    </w:p>
    <w:p w14:paraId="29A58E77" w14:textId="77777777" w:rsidR="009563E7" w:rsidRPr="009563E7" w:rsidRDefault="009563E7" w:rsidP="009563E7">
      <w:pPr>
        <w:numPr>
          <w:ilvl w:val="0"/>
          <w:numId w:val="19"/>
        </w:numPr>
        <w:spacing w:after="0" w:line="256" w:lineRule="auto"/>
        <w:rPr>
          <w:rFonts w:ascii="Verdana" w:eastAsia="Calibri" w:hAnsi="Verdana" w:cs="Times New Roman"/>
          <w:b/>
          <w:bCs/>
          <w:lang w:val="es-ES"/>
        </w:rPr>
      </w:pPr>
      <w:r w:rsidRPr="009563E7">
        <w:rPr>
          <w:rFonts w:ascii="Verdana" w:eastAsia="Calibri" w:hAnsi="Verdana" w:cs="Times New Roman"/>
          <w:b/>
          <w:bCs/>
          <w:lang w:val="es-ES"/>
        </w:rPr>
        <w:t>Razones de la respuesta:</w:t>
      </w:r>
    </w:p>
    <w:p w14:paraId="4F5729A5" w14:textId="77777777" w:rsidR="009563E7" w:rsidRPr="009563E7" w:rsidRDefault="009563E7" w:rsidP="009563E7">
      <w:pPr>
        <w:spacing w:after="0" w:line="276" w:lineRule="auto"/>
        <w:rPr>
          <w:rFonts w:ascii="Verdana" w:eastAsia="Calibri" w:hAnsi="Verdana" w:cs="Times New Roman"/>
          <w:b/>
          <w:bCs/>
          <w:lang w:val="es-ES"/>
        </w:rPr>
      </w:pPr>
    </w:p>
    <w:p w14:paraId="5DE5848B" w14:textId="77777777" w:rsidR="009563E7" w:rsidRPr="009563E7" w:rsidRDefault="009563E7" w:rsidP="009563E7">
      <w:pPr>
        <w:shd w:val="clear" w:color="auto" w:fill="FFFFFF"/>
        <w:spacing w:after="120" w:line="276" w:lineRule="auto"/>
        <w:jc w:val="both"/>
        <w:rPr>
          <w:rFonts w:ascii="Verdana" w:eastAsia="Calibri" w:hAnsi="Verdana" w:cs="Arial"/>
          <w:bCs/>
          <w:color w:val="000000"/>
          <w:lang w:val="es-MX"/>
        </w:rPr>
      </w:pPr>
      <w:r w:rsidRPr="009563E7">
        <w:rPr>
          <w:rFonts w:ascii="Verdana" w:eastAsia="Calibri" w:hAnsi="Verdana" w:cs="Arial"/>
          <w:lang w:val="es-ES"/>
        </w:rPr>
        <w:t xml:space="preserve">i. </w:t>
      </w:r>
      <w:r w:rsidRPr="009563E7">
        <w:rPr>
          <w:rFonts w:ascii="Verdana" w:eastAsia="Calibri" w:hAnsi="Verdana" w:cs="Arial"/>
          <w:bCs/>
          <w:color w:val="000000"/>
          <w:lang w:val="es-MX"/>
        </w:rPr>
        <w:t xml:space="preserve">El artículo 38 de la Constitución Política, estableció la obligación de </w:t>
      </w:r>
      <w:r w:rsidRPr="009563E7">
        <w:rPr>
          <w:rFonts w:ascii="Verdana" w:eastAsia="Calibri" w:hAnsi="Verdana" w:cs="Arial"/>
          <w:color w:val="000000"/>
        </w:rPr>
        <w:t>“</w:t>
      </w:r>
      <w:r w:rsidRPr="009563E7">
        <w:rPr>
          <w:rFonts w:ascii="Verdana" w:eastAsia="Calibri" w:hAnsi="Verdana" w:cs="Arial"/>
          <w:bCs/>
          <w:color w:val="000000"/>
          <w:lang w:val="es-MX"/>
        </w:rPr>
        <w:t>garantizar el derecho de libre asociación para el desarrollo de las distintas actividades que las personas realizan en sociedad</w:t>
      </w:r>
      <w:r w:rsidRPr="009563E7">
        <w:rPr>
          <w:rFonts w:ascii="Verdana" w:eastAsia="Calibri" w:hAnsi="Verdana" w:cs="Arial"/>
          <w:color w:val="000000"/>
          <w:lang w:val="es-ES_tradnl"/>
        </w:rPr>
        <w:t>”</w:t>
      </w:r>
      <w:r w:rsidRPr="009563E7">
        <w:rPr>
          <w:rFonts w:ascii="Verdana" w:eastAsia="Calibri" w:hAnsi="Verdana" w:cs="Arial"/>
          <w:bCs/>
          <w:i/>
          <w:iCs/>
          <w:color w:val="000000"/>
          <w:lang w:val="es-MX"/>
        </w:rPr>
        <w:t>,</w:t>
      </w:r>
      <w:r w:rsidRPr="009563E7">
        <w:rPr>
          <w:rFonts w:ascii="Verdana" w:eastAsia="Calibri" w:hAnsi="Verdana"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9563E7">
        <w:rPr>
          <w:rFonts w:ascii="Verdana" w:eastAsia="Calibri" w:hAnsi="Verdana" w:cs="Arial"/>
          <w:bCs/>
          <w:color w:val="000000"/>
          <w:vertAlign w:val="superscript"/>
          <w:lang w:val="es-MX"/>
        </w:rPr>
        <w:footnoteReference w:id="2"/>
      </w:r>
      <w:r w:rsidRPr="009563E7">
        <w:rPr>
          <w:rFonts w:ascii="Verdana" w:eastAsia="Calibri" w:hAnsi="Verdana" w:cs="Arial"/>
          <w:bCs/>
          <w:color w:val="000000"/>
          <w:lang w:val="es-MX"/>
        </w:rPr>
        <w:t>.</w:t>
      </w:r>
    </w:p>
    <w:p w14:paraId="491AAE06" w14:textId="77777777" w:rsidR="009563E7" w:rsidRPr="009563E7" w:rsidRDefault="009563E7" w:rsidP="009563E7">
      <w:pPr>
        <w:shd w:val="clear" w:color="auto" w:fill="FFFFFF"/>
        <w:spacing w:after="120" w:line="276" w:lineRule="auto"/>
        <w:ind w:firstLine="708"/>
        <w:jc w:val="both"/>
        <w:rPr>
          <w:rFonts w:ascii="Verdana" w:eastAsia="Calibri" w:hAnsi="Verdana" w:cs="Arial"/>
          <w:bCs/>
          <w:color w:val="000000"/>
          <w:lang w:val="es-MX"/>
        </w:rPr>
      </w:pPr>
      <w:r w:rsidRPr="009563E7">
        <w:rPr>
          <w:rFonts w:ascii="Verdana" w:eastAsia="Calibri" w:hAnsi="Verdana" w:cs="Arial"/>
          <w:color w:val="000000"/>
          <w:lang w:val="es-MX"/>
        </w:rPr>
        <w:t>Es así como, en desarrollo del principio de participación, el artículo 7 de la Ley 2166 de 2021 definió cuatro grados de Organismos de Acción Comunal</w:t>
      </w:r>
      <w:r w:rsidRPr="009563E7">
        <w:rPr>
          <w:rFonts w:ascii="Verdana" w:eastAsia="Calibri" w:hAnsi="Verdana" w:cs="Arial"/>
          <w:color w:val="000000"/>
          <w:vertAlign w:val="superscript"/>
          <w:lang w:val="es-MX"/>
        </w:rPr>
        <w:footnoteReference w:id="3"/>
      </w:r>
      <w:r w:rsidRPr="009563E7">
        <w:rPr>
          <w:rFonts w:ascii="Verdana" w:eastAsia="Calibri" w:hAnsi="Verdana" w:cs="Arial"/>
          <w:color w:val="000000"/>
          <w:lang w:val="es-MX"/>
        </w:rPr>
        <w:t xml:space="preserve">. En el primer grado se clasifican las Juntas de Acción Comunal y las Juntas de Vivienda Comunal. Las primeras de ellas fueron definidas como </w:t>
      </w:r>
      <w:r w:rsidRPr="009563E7">
        <w:rPr>
          <w:rFonts w:ascii="Verdana" w:eastAsia="Calibri" w:hAnsi="Verdana" w:cs="Arial"/>
          <w:i/>
          <w:color w:val="000000"/>
          <w:lang w:val="es-MX"/>
        </w:rPr>
        <w:t>“una organización cívica, social y comunitaria de gestión social, sin ánimo de lucro, de naturaleza solidaria, con personería jurídica y patrimonio propio […]</w:t>
      </w:r>
      <w:r w:rsidRPr="009563E7">
        <w:rPr>
          <w:rFonts w:ascii="Verdana" w:eastAsia="Calibri" w:hAnsi="Verdana" w:cs="Arial"/>
          <w:color w:val="000000"/>
          <w:lang w:val="es-MX"/>
        </w:rPr>
        <w:t xml:space="preserve">”, que se encuentra integrada voluntariamente por los residentes de un lugar que aúnan esfuerzos y recursos para </w:t>
      </w:r>
      <w:r w:rsidRPr="009563E7">
        <w:rPr>
          <w:rFonts w:ascii="Verdana" w:eastAsia="Calibri" w:hAnsi="Verdana" w:cs="Arial"/>
          <w:i/>
          <w:color w:val="000000"/>
          <w:lang w:val="es-MX"/>
        </w:rPr>
        <w:t>“procurar un desarrollo integral, sostenible y sustentable con fundamento en el ejercicio de la democracia participativa.”</w:t>
      </w:r>
      <w:r w:rsidRPr="009563E7">
        <w:rPr>
          <w:rFonts w:ascii="Verdana" w:eastAsia="Calibri" w:hAnsi="Verdana" w:cs="Arial"/>
          <w:color w:val="000000"/>
          <w:lang w:val="es-MX"/>
        </w:rPr>
        <w:t xml:space="preserve"> Por su parte, las Juntas de Vivienda Comunal, fueron definidas como “</w:t>
      </w:r>
      <w:r w:rsidRPr="009563E7">
        <w:rPr>
          <w:rFonts w:ascii="Verdana" w:eastAsia="Calibri" w:hAnsi="Verdana" w:cs="Arial"/>
          <w:i/>
          <w:color w:val="000000"/>
          <w:lang w:val="es-MX"/>
        </w:rPr>
        <w:t xml:space="preserve">una </w:t>
      </w:r>
      <w:r w:rsidRPr="009563E7">
        <w:rPr>
          <w:rFonts w:ascii="Verdana" w:eastAsia="Calibri" w:hAnsi="Verdana" w:cs="Arial"/>
          <w:i/>
          <w:color w:val="000000"/>
          <w:lang w:val="es-MX"/>
        </w:rPr>
        <w:lastRenderedPageBreak/>
        <w:t>organización cívica sin ánimo de lucro, integrada por familias que se reúnen con el propósito de adelantar programas de mejoramiento o de autoconstrucción de vivienda”</w:t>
      </w:r>
      <w:r w:rsidRPr="009563E7">
        <w:rPr>
          <w:rFonts w:ascii="Verdana" w:eastAsia="Calibri" w:hAnsi="Verdana" w:cs="Arial"/>
          <w:color w:val="000000"/>
          <w:lang w:val="es-MX"/>
        </w:rPr>
        <w:t xml:space="preserve"> y una vez concluido el programa podrán asimilarse a una Junta de Acción Comunal, siempre y cuando cumplan los requisitos de Ley.</w:t>
      </w:r>
    </w:p>
    <w:p w14:paraId="1F92FABE" w14:textId="77777777" w:rsidR="009563E7" w:rsidRPr="009563E7" w:rsidRDefault="009563E7" w:rsidP="009563E7">
      <w:pPr>
        <w:shd w:val="clear" w:color="auto" w:fill="FFFFFF"/>
        <w:spacing w:after="120" w:line="276" w:lineRule="auto"/>
        <w:ind w:firstLine="708"/>
        <w:jc w:val="both"/>
        <w:rPr>
          <w:rFonts w:ascii="Verdana" w:eastAsia="Calibri" w:hAnsi="Verdana" w:cs="Arial"/>
          <w:bCs/>
          <w:color w:val="000000"/>
          <w:lang w:val="es-MX"/>
        </w:rPr>
      </w:pPr>
      <w:r w:rsidRPr="009563E7">
        <w:rPr>
          <w:rFonts w:ascii="Verdana" w:eastAsia="Calibri" w:hAnsi="Verdana" w:cs="Arial"/>
          <w:color w:val="000000"/>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de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64AA0757" w14:textId="77777777" w:rsidR="009563E7" w:rsidRPr="009563E7" w:rsidRDefault="009563E7" w:rsidP="009563E7">
      <w:pPr>
        <w:shd w:val="clear" w:color="auto" w:fill="FFFFFF"/>
        <w:spacing w:after="120" w:line="276" w:lineRule="auto"/>
        <w:ind w:firstLine="708"/>
        <w:jc w:val="both"/>
        <w:rPr>
          <w:rFonts w:ascii="Verdana" w:eastAsia="Calibri" w:hAnsi="Verdana" w:cs="Arial"/>
          <w:bCs/>
          <w:color w:val="000000"/>
          <w:lang w:val="es-MX"/>
        </w:rPr>
      </w:pPr>
      <w:r w:rsidRPr="009563E7">
        <w:rPr>
          <w:rFonts w:ascii="Verdana" w:eastAsia="Calibri" w:hAnsi="Verdana" w:cs="Arial"/>
          <w:bCs/>
          <w:color w:val="000000"/>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9563E7">
        <w:rPr>
          <w:rFonts w:ascii="Verdana" w:eastAsia="Calibri" w:hAnsi="Verdana" w:cs="Arial"/>
          <w:bCs/>
          <w:color w:val="000000"/>
          <w:vertAlign w:val="superscript"/>
          <w:lang w:val="es-MX" w:eastAsia="es-MX"/>
        </w:rPr>
        <w:footnoteReference w:id="4"/>
      </w:r>
      <w:r w:rsidRPr="009563E7">
        <w:rPr>
          <w:rFonts w:ascii="Verdana" w:eastAsia="Calibri" w:hAnsi="Verdana" w:cs="Arial"/>
          <w:bCs/>
          <w:color w:val="000000"/>
          <w:lang w:val="es-MX"/>
        </w:rPr>
        <w:t>.</w:t>
      </w:r>
    </w:p>
    <w:p w14:paraId="69E876E9" w14:textId="77777777" w:rsidR="009563E7" w:rsidRPr="009563E7" w:rsidRDefault="009563E7" w:rsidP="009563E7">
      <w:pPr>
        <w:shd w:val="clear" w:color="auto" w:fill="FFFFFF"/>
        <w:spacing w:after="120" w:line="276" w:lineRule="auto"/>
        <w:ind w:firstLine="708"/>
        <w:jc w:val="both"/>
        <w:rPr>
          <w:rFonts w:ascii="Verdana" w:eastAsia="Calibri" w:hAnsi="Verdana" w:cs="Arial"/>
          <w:color w:val="000000"/>
          <w:lang w:val="es-ES"/>
        </w:rPr>
      </w:pPr>
      <w:r w:rsidRPr="009563E7">
        <w:rPr>
          <w:rFonts w:ascii="Verdana" w:eastAsia="Calibri" w:hAnsi="Verdana" w:cs="Arial"/>
          <w:color w:val="000000"/>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1626AE7A" w14:textId="77777777" w:rsidR="009563E7" w:rsidRPr="009563E7" w:rsidRDefault="009563E7" w:rsidP="009563E7">
      <w:pPr>
        <w:spacing w:after="120" w:line="276" w:lineRule="auto"/>
        <w:jc w:val="both"/>
        <w:textAlignment w:val="baseline"/>
        <w:rPr>
          <w:rFonts w:ascii="Verdana" w:eastAsia="Calibri" w:hAnsi="Verdana" w:cs="Arial"/>
          <w:lang w:val="es-ES"/>
        </w:rPr>
      </w:pPr>
    </w:p>
    <w:p w14:paraId="65002C06" w14:textId="77777777" w:rsidR="009563E7" w:rsidRPr="009563E7" w:rsidRDefault="009563E7" w:rsidP="009563E7">
      <w:pPr>
        <w:spacing w:after="120" w:line="276" w:lineRule="auto"/>
        <w:jc w:val="both"/>
        <w:textAlignment w:val="baseline"/>
        <w:rPr>
          <w:rFonts w:ascii="Verdana" w:eastAsia="Calibri" w:hAnsi="Verdana" w:cs="Arial"/>
          <w:lang w:val="es-ES"/>
        </w:rPr>
      </w:pPr>
      <w:proofErr w:type="spellStart"/>
      <w:r w:rsidRPr="009563E7">
        <w:rPr>
          <w:rFonts w:ascii="Verdana" w:eastAsia="Calibri" w:hAnsi="Verdana" w:cs="Arial"/>
          <w:lang w:val="es-ES"/>
        </w:rPr>
        <w:t>ii</w:t>
      </w:r>
      <w:proofErr w:type="spellEnd"/>
      <w:r w:rsidRPr="009563E7">
        <w:rPr>
          <w:rFonts w:ascii="Verdana" w:eastAsia="Calibri" w:hAnsi="Verdana" w:cs="Arial"/>
          <w:lang w:val="es-ES"/>
        </w:rPr>
        <w:t xml:space="preserve">. </w:t>
      </w:r>
      <w:r w:rsidRPr="009563E7">
        <w:rPr>
          <w:rFonts w:ascii="Verdana" w:eastAsia="Calibri" w:hAnsi="Verdana" w:cs="Arial"/>
          <w:szCs w:val="24"/>
          <w:lang w:val="es-ES" w:eastAsia="es-ES_tradnl"/>
        </w:rPr>
        <w:t xml:space="preserve">En concordancia con lo establecido en el artículo 355, la Ley 136 de 1994 introdujo un tipo especial de contratación cuyo objetivo consiste en la </w:t>
      </w:r>
      <w:r w:rsidRPr="009563E7">
        <w:rPr>
          <w:rFonts w:ascii="Verdana" w:eastAsia="Calibri" w:hAnsi="Verdana" w:cs="Arial"/>
          <w:szCs w:val="24"/>
          <w:lang w:val="es-ES" w:eastAsia="es-ES_tradnl"/>
        </w:rPr>
        <w:lastRenderedPageBreak/>
        <w:t>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el artículo 3° de la Ley 136 de 1994, modificado por la Ley 1551 de 2012, determina tres alternativas mediante las cuales las entidades territoriales pueden celebrar convenios solidarios con organismos de acción comunal, las cuales se enlistan a continuación:</w:t>
      </w:r>
    </w:p>
    <w:p w14:paraId="52A5DABD" w14:textId="77777777" w:rsidR="009563E7" w:rsidRPr="009563E7" w:rsidRDefault="009563E7" w:rsidP="009563E7">
      <w:pPr>
        <w:spacing w:after="120" w:line="276" w:lineRule="auto"/>
        <w:ind w:firstLine="708"/>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a)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9563E7">
        <w:rPr>
          <w:rFonts w:ascii="Verdana" w:eastAsia="Calibri" w:hAnsi="Verdana" w:cs="Arial"/>
          <w:szCs w:val="24"/>
          <w:vertAlign w:val="superscript"/>
          <w:lang w:eastAsia="es-ES_tradnl"/>
        </w:rPr>
        <w:footnoteReference w:id="5"/>
      </w:r>
      <w:r w:rsidRPr="009563E7">
        <w:rPr>
          <w:rFonts w:ascii="Verdana" w:eastAsia="Calibri" w:hAnsi="Verdana" w:cs="Arial"/>
          <w:szCs w:val="24"/>
          <w:lang w:val="es-ES" w:eastAsia="es-ES_tradnl"/>
        </w:rPr>
        <w:t>.</w:t>
      </w:r>
    </w:p>
    <w:p w14:paraId="3FC56877" w14:textId="77777777" w:rsidR="009563E7" w:rsidRPr="009563E7" w:rsidRDefault="009563E7" w:rsidP="009563E7">
      <w:pPr>
        <w:spacing w:after="120" w:line="276" w:lineRule="auto"/>
        <w:ind w:firstLine="708"/>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 xml:space="preserve">b)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134574F9" w14:textId="77777777" w:rsidR="009563E7" w:rsidRPr="009563E7" w:rsidRDefault="009563E7" w:rsidP="009563E7">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 xml:space="preserve">c)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6AA542D4" w14:textId="77777777" w:rsidR="009563E7" w:rsidRPr="009563E7" w:rsidRDefault="009563E7" w:rsidP="009563E7">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w:t>
      </w:r>
      <w:r w:rsidRPr="009563E7">
        <w:rPr>
          <w:rFonts w:ascii="Verdana" w:eastAsia="Calibri" w:hAnsi="Verdana" w:cs="Arial"/>
          <w:szCs w:val="24"/>
          <w:lang w:val="es-ES" w:eastAsia="es-ES_tradnl"/>
        </w:rPr>
        <w:lastRenderedPageBreak/>
        <w:t xml:space="preserve">estar encaminados a la satisfacción del interés público, y ser concordantes con el Plan Nacional o los planes seccionales de desarrollo, según el caso. </w:t>
      </w:r>
    </w:p>
    <w:p w14:paraId="6101BF11" w14:textId="77777777" w:rsidR="009563E7" w:rsidRPr="009563E7" w:rsidRDefault="009563E7" w:rsidP="009563E7">
      <w:pPr>
        <w:spacing w:after="120" w:line="276" w:lineRule="auto"/>
        <w:ind w:firstLine="709"/>
        <w:jc w:val="both"/>
        <w:rPr>
          <w:rFonts w:ascii="Verdana" w:eastAsia="Times New Roman" w:hAnsi="Verdana" w:cs="Arial"/>
          <w:szCs w:val="24"/>
          <w:lang w:val="es-ES" w:eastAsia="es-ES_tradnl"/>
        </w:rPr>
      </w:pPr>
      <w:r w:rsidRPr="009563E7">
        <w:rPr>
          <w:rFonts w:ascii="Verdana" w:eastAsia="Times New Roman" w:hAnsi="Verdana" w:cs="Arial"/>
          <w:szCs w:val="24"/>
          <w:lang w:val="es-ES" w:eastAsia="es-ES_tradnl"/>
        </w:rPr>
        <w:t xml:space="preserve">De esta manera, habiendo abordado las características generales aplicables a la celebración de cualquier convenio solidario, debe destacarse </w:t>
      </w:r>
      <w:proofErr w:type="gramStart"/>
      <w:r w:rsidRPr="009563E7">
        <w:rPr>
          <w:rFonts w:ascii="Verdana" w:eastAsia="Times New Roman" w:hAnsi="Verdana" w:cs="Arial"/>
          <w:szCs w:val="24"/>
          <w:lang w:val="es-ES" w:eastAsia="es-ES_tradnl"/>
        </w:rPr>
        <w:t>que</w:t>
      </w:r>
      <w:proofErr w:type="gramEnd"/>
      <w:r w:rsidRPr="009563E7">
        <w:rPr>
          <w:rFonts w:ascii="Verdana" w:eastAsia="Times New Roman" w:hAnsi="Verdana" w:cs="Arial"/>
          <w:szCs w:val="24"/>
          <w:lang w:val="es-ES" w:eastAsia="es-ES_tradnl"/>
        </w:rPr>
        <w:t xml:space="preserve"> en los diferentes conceptos expedidos por la Agencia, así como en la “Guía para la celebración de convenios solidarios”</w:t>
      </w:r>
      <w:r w:rsidRPr="009563E7">
        <w:rPr>
          <w:rFonts w:ascii="Verdana" w:eastAsia="Times New Roman" w:hAnsi="Verdana" w:cs="Arial"/>
          <w:szCs w:val="24"/>
          <w:vertAlign w:val="superscript"/>
          <w:lang w:val="es-ES" w:eastAsia="es-ES_tradnl"/>
        </w:rPr>
        <w:footnoteReference w:id="6"/>
      </w:r>
      <w:r w:rsidRPr="009563E7">
        <w:rPr>
          <w:rFonts w:ascii="Verdana" w:eastAsia="Times New Roman" w:hAnsi="Verdana" w:cs="Arial"/>
          <w:szCs w:val="24"/>
          <w:lang w:val="es-ES" w:eastAsia="es-ES_tradnl"/>
        </w:rPr>
        <w:t xml:space="preserve"> se hallan tres regímenes de contratación, teniendo en orden jurídico vigente: </w:t>
      </w:r>
    </w:p>
    <w:p w14:paraId="1B0BD947" w14:textId="77777777" w:rsidR="009563E7" w:rsidRPr="009563E7" w:rsidRDefault="009563E7" w:rsidP="009563E7">
      <w:pPr>
        <w:spacing w:after="120" w:line="276" w:lineRule="auto"/>
        <w:ind w:firstLine="709"/>
        <w:jc w:val="both"/>
        <w:rPr>
          <w:rFonts w:ascii="Verdana" w:eastAsia="Calibri" w:hAnsi="Verdana" w:cs="Arial"/>
          <w:szCs w:val="24"/>
          <w:lang w:eastAsia="es-ES_tradnl"/>
        </w:rPr>
      </w:pPr>
      <w:r w:rsidRPr="009563E7">
        <w:rPr>
          <w:rFonts w:ascii="Verdana" w:eastAsia="Times New Roman" w:hAnsi="Verdana" w:cs="Arial"/>
          <w:szCs w:val="24"/>
          <w:lang w:val="es-ES" w:eastAsia="es-ES_tradnl"/>
        </w:rPr>
        <w:t xml:space="preserve">a. </w:t>
      </w:r>
      <w:r w:rsidRPr="009563E7">
        <w:rPr>
          <w:rFonts w:ascii="Verdana" w:eastAsia="Times New Roman" w:hAnsi="Verdana" w:cs="Arial"/>
          <w:i/>
          <w:szCs w:val="24"/>
          <w:lang w:val="es-ES" w:eastAsia="es-ES_tradnl"/>
        </w:rPr>
        <w:t>P</w:t>
      </w:r>
      <w:r w:rsidRPr="009563E7">
        <w:rPr>
          <w:rFonts w:ascii="Verdana" w:eastAsia="Times New Roman" w:hAnsi="Verdana" w:cs="Arial"/>
          <w:i/>
          <w:iCs/>
          <w:szCs w:val="24"/>
          <w:lang w:val="es-ES" w:eastAsia="es-ES_tradnl"/>
        </w:rPr>
        <w:t>rimer régimen.</w:t>
      </w:r>
      <w:r w:rsidRPr="009563E7">
        <w:rPr>
          <w:rFonts w:ascii="Verdana" w:eastAsia="Times New Roman" w:hAnsi="Verdana" w:cs="Arial"/>
          <w:szCs w:val="24"/>
          <w:lang w:val="es-ES" w:eastAsia="es-ES_tradnl"/>
        </w:rPr>
        <w:t xml:space="preserve"> </w:t>
      </w:r>
      <w:r w:rsidRPr="009563E7">
        <w:rPr>
          <w:rFonts w:ascii="Verdana" w:eastAsia="Calibri" w:hAnsi="Verdana" w:cs="Arial"/>
          <w:bCs/>
          <w:szCs w:val="24"/>
          <w:lang w:val="es-ES" w:eastAsia="es-ES_tradnl"/>
        </w:rPr>
        <w:t>Este régimen se fundamenta</w:t>
      </w:r>
      <w:r w:rsidRPr="009563E7">
        <w:rPr>
          <w:rFonts w:ascii="Verdana" w:eastAsia="Calibri" w:hAnsi="Verdana" w:cs="Arial"/>
          <w:szCs w:val="24"/>
          <w:lang w:eastAsia="es-ES_tradnl"/>
        </w:rPr>
        <w:t xml:space="preserve"> en la Ley 2166 de 2021 “</w:t>
      </w:r>
      <w:r w:rsidRPr="009563E7">
        <w:rPr>
          <w:rFonts w:ascii="Verdana" w:eastAsia="Calibri" w:hAnsi="Verdana" w:cs="Arial"/>
          <w:i/>
          <w:iCs/>
          <w:szCs w:val="24"/>
          <w:lang w:eastAsia="es-ES_tradnl"/>
        </w:rPr>
        <w:t>por la cual se desarrolla el artículo 38 de la Constitución Política de Colombia en lo referente a los Organismos de Acción Comunal”.</w:t>
      </w:r>
      <w:r w:rsidRPr="009563E7">
        <w:rPr>
          <w:rFonts w:ascii="Verdana" w:eastAsia="Calibri" w:hAnsi="Verdana" w:cs="Arial"/>
          <w:szCs w:val="24"/>
          <w:lang w:eastAsia="es-ES_tradnl"/>
        </w:rPr>
        <w:t xml:space="preserve"> En su artículo 95 contempla la </w:t>
      </w:r>
      <w:r w:rsidRPr="009563E7">
        <w:rPr>
          <w:rFonts w:ascii="Verdana" w:eastAsia="Calibri" w:hAnsi="Verdana" w:cs="Arial"/>
          <w:bCs/>
          <w:iCs/>
          <w:szCs w:val="24"/>
          <w:lang w:eastAsia="es-ES_tradnl"/>
        </w:rPr>
        <w:t>celebración directa de convenios solidarios para ejecutar obras hasta por la menor cuantía entre Organismos de Acción Comunal y los entes del orden Nacional, Departamental, Distrital y municipal</w:t>
      </w:r>
      <w:r w:rsidRPr="009563E7">
        <w:rPr>
          <w:rFonts w:ascii="Verdana" w:eastAsia="Calibri" w:hAnsi="Verdana" w:cs="Arial"/>
          <w:bCs/>
          <w:szCs w:val="24"/>
          <w:vertAlign w:val="superscript"/>
          <w:lang w:eastAsia="es-ES_tradnl"/>
        </w:rPr>
        <w:footnoteReference w:id="7"/>
      </w:r>
      <w:r w:rsidRPr="009563E7">
        <w:rPr>
          <w:rFonts w:ascii="Verdana" w:eastAsia="Calibri" w:hAnsi="Verdana" w:cs="Arial"/>
          <w:szCs w:val="24"/>
          <w:lang w:eastAsia="es-ES_tradnl"/>
        </w:rPr>
        <w:t xml:space="preserve">. </w:t>
      </w:r>
      <w:r w:rsidRPr="009563E7">
        <w:rPr>
          <w:rFonts w:ascii="Verdana" w:eastAsia="Calibri" w:hAnsi="Verdana" w:cs="Arial"/>
          <w:bCs/>
          <w:szCs w:val="24"/>
          <w:lang w:eastAsia="es-ES_tradnl"/>
        </w:rPr>
        <w:t>El artículo 95 de dicha ley –derogado parcialmente por el artículo 372 de la Ley 2294 de 2023 en lo que respecta a la expresión “territoriales”– dispone la celebración directa de convenios solidarios entre Organismos de Acción Comunal y “los entes territoriales del orden Nacional, Departamental, Distrital y municipal”.</w:t>
      </w:r>
      <w:r w:rsidRPr="009563E7">
        <w:rPr>
          <w:rFonts w:ascii="Verdana" w:eastAsia="Calibri" w:hAnsi="Verdana" w:cs="Arial"/>
          <w:szCs w:val="24"/>
          <w:lang w:eastAsia="es-ES_tradnl"/>
        </w:rPr>
        <w:t xml:space="preserve"> </w:t>
      </w:r>
    </w:p>
    <w:p w14:paraId="309B3410" w14:textId="77777777" w:rsidR="009563E7" w:rsidRPr="009563E7" w:rsidRDefault="009563E7" w:rsidP="009563E7">
      <w:pPr>
        <w:spacing w:after="120" w:line="276" w:lineRule="auto"/>
        <w:ind w:firstLine="709"/>
        <w:jc w:val="both"/>
        <w:rPr>
          <w:rFonts w:ascii="Verdana" w:eastAsia="Calibri" w:hAnsi="Verdana" w:cs="Arial"/>
          <w:szCs w:val="24"/>
          <w:lang w:eastAsia="es-ES_tradnl"/>
        </w:rPr>
      </w:pPr>
      <w:r w:rsidRPr="009563E7">
        <w:rPr>
          <w:rFonts w:ascii="Verdana" w:eastAsia="Calibri" w:hAnsi="Verdana" w:cs="Arial"/>
          <w:szCs w:val="24"/>
          <w:lang w:eastAsia="es-ES_tradnl"/>
        </w:rPr>
        <w:t>En tal sentido</w:t>
      </w:r>
      <w:r w:rsidRPr="009563E7">
        <w:rPr>
          <w:rFonts w:ascii="Verdana" w:eastAsia="Calibri" w:hAnsi="Verdana" w:cs="Arial"/>
          <w:bCs/>
          <w:szCs w:val="24"/>
          <w:lang w:eastAsia="es-ES_tradnl"/>
        </w:rPr>
        <w:t>, las Entidades Estatales deben tener en cuenta los siguientes criterios para la suscripción de los convenios solidarios bajo este régimen:</w:t>
      </w:r>
      <w:r w:rsidRPr="009563E7">
        <w:rPr>
          <w:rFonts w:ascii="Verdana" w:eastAsia="Calibri" w:hAnsi="Verdana" w:cs="Arial"/>
          <w:szCs w:val="24"/>
          <w:lang w:eastAsia="es-ES_tradnl"/>
        </w:rPr>
        <w:t xml:space="preserve"> i) Estos convenios solidarios deben celebrarse entre </w:t>
      </w:r>
      <w:r w:rsidRPr="009563E7">
        <w:rPr>
          <w:rFonts w:ascii="Verdana" w:eastAsia="Calibri" w:hAnsi="Verdana" w:cs="Arial"/>
          <w:i/>
          <w:iCs/>
          <w:szCs w:val="24"/>
          <w:lang w:eastAsia="es-ES_tradnl"/>
        </w:rPr>
        <w:t xml:space="preserve">sujetos </w:t>
      </w:r>
      <w:r w:rsidRPr="009563E7">
        <w:rPr>
          <w:rFonts w:ascii="Verdana" w:eastAsia="Calibri" w:hAnsi="Verdana" w:cs="Arial"/>
          <w:szCs w:val="24"/>
          <w:lang w:eastAsia="es-ES_tradnl"/>
        </w:rPr>
        <w:t>específicos, es decir, se funda bajo un criterio orgánico: por una parte, entidades que sean del</w:t>
      </w:r>
      <w:r w:rsidRPr="009563E7">
        <w:rPr>
          <w:rFonts w:ascii="Verdana" w:eastAsia="Calibri" w:hAnsi="Verdana" w:cs="Arial"/>
          <w:szCs w:val="24"/>
          <w:lang w:val="es-ES" w:eastAsia="es-ES_tradnl"/>
        </w:rPr>
        <w:t xml:space="preserve"> </w:t>
      </w:r>
      <w:r w:rsidRPr="009563E7">
        <w:rPr>
          <w:rFonts w:ascii="Verdana" w:eastAsia="Calibri" w:hAnsi="Verdana" w:cs="Arial"/>
          <w:szCs w:val="24"/>
          <w:lang w:eastAsia="es-ES_tradnl"/>
        </w:rPr>
        <w:t>orden Nacional, Departamental, Distrital y/o municipal</w:t>
      </w:r>
      <w:r w:rsidRPr="009563E7">
        <w:rPr>
          <w:rFonts w:ascii="Verdana" w:eastAsia="Calibri" w:hAnsi="Verdana" w:cs="Arial"/>
          <w:szCs w:val="24"/>
          <w:lang w:val="es-ES" w:eastAsia="es-ES_tradnl"/>
        </w:rPr>
        <w:t>, y por el otro, los Organismos de Acción Comunal. Dichas entidades pueden celebrar estos convenios con cualquiera de los Organismos de Acción Comunal que se encuentran enlistados en el artículo 7 de la Ley 2166 de 2021</w:t>
      </w:r>
      <w:r w:rsidRPr="009563E7">
        <w:rPr>
          <w:rFonts w:ascii="Verdana" w:eastAsia="Calibri" w:hAnsi="Verdana" w:cs="Arial"/>
          <w:szCs w:val="24"/>
          <w:vertAlign w:val="superscript"/>
          <w:lang w:val="es-ES" w:eastAsia="es-ES_tradnl"/>
        </w:rPr>
        <w:footnoteReference w:id="8"/>
      </w:r>
      <w:r w:rsidRPr="009563E7">
        <w:rPr>
          <w:rFonts w:ascii="Verdana" w:eastAsia="Calibri" w:hAnsi="Verdana" w:cs="Arial"/>
          <w:szCs w:val="24"/>
          <w:lang w:val="es-ES" w:eastAsia="es-ES_tradnl"/>
        </w:rPr>
        <w:t xml:space="preserve">, es decir, con las </w:t>
      </w:r>
      <w:r w:rsidRPr="009563E7">
        <w:rPr>
          <w:rFonts w:ascii="Verdana" w:eastAsia="Calibri" w:hAnsi="Verdana" w:cs="Arial"/>
          <w:szCs w:val="24"/>
          <w:lang w:val="es-ES" w:eastAsia="es-ES_tradnl"/>
        </w:rPr>
        <w:lastRenderedPageBreak/>
        <w:t xml:space="preserve">juntas de acción comunal y juntas de vivienda comunal, las asociaciones de juntas de acción comunal, la federación de acción comunal y la confederación nacional de acción comunal; </w:t>
      </w:r>
      <w:proofErr w:type="spellStart"/>
      <w:r w:rsidRPr="009563E7">
        <w:rPr>
          <w:rFonts w:ascii="Verdana" w:eastAsia="Calibri" w:hAnsi="Verdana" w:cs="Arial"/>
          <w:szCs w:val="24"/>
          <w:lang w:val="es-ES" w:eastAsia="es-ES_tradnl"/>
        </w:rPr>
        <w:t>ii</w:t>
      </w:r>
      <w:proofErr w:type="spellEnd"/>
      <w:r w:rsidRPr="009563E7">
        <w:rPr>
          <w:rFonts w:ascii="Verdana" w:eastAsia="Calibri" w:hAnsi="Verdana" w:cs="Arial"/>
          <w:szCs w:val="24"/>
          <w:lang w:val="es-ES" w:eastAsia="es-ES_tradnl"/>
        </w:rPr>
        <w:t xml:space="preserve">) el </w:t>
      </w:r>
      <w:r w:rsidRPr="009563E7">
        <w:rPr>
          <w:rFonts w:ascii="Verdana" w:eastAsia="Calibri" w:hAnsi="Verdana" w:cs="Arial"/>
          <w:i/>
          <w:iCs/>
          <w:szCs w:val="24"/>
          <w:lang w:val="es-ES" w:eastAsia="es-ES_tradnl"/>
        </w:rPr>
        <w:t>objeto</w:t>
      </w:r>
      <w:r w:rsidRPr="009563E7">
        <w:rPr>
          <w:rFonts w:ascii="Verdana" w:eastAsia="Calibri" w:hAnsi="Verdana" w:cs="Arial"/>
          <w:szCs w:val="24"/>
          <w:lang w:val="es-ES" w:eastAsia="es-ES_tradnl"/>
        </w:rPr>
        <w:t xml:space="preserve"> contractual de los convenios solidarios solamente para la ejecución de obras; </w:t>
      </w:r>
      <w:proofErr w:type="spellStart"/>
      <w:r w:rsidRPr="009563E7">
        <w:rPr>
          <w:rFonts w:ascii="Verdana" w:eastAsia="Calibri" w:hAnsi="Verdana" w:cs="Arial"/>
          <w:szCs w:val="24"/>
          <w:lang w:val="es-ES" w:eastAsia="es-ES_tradnl"/>
        </w:rPr>
        <w:t>iii</w:t>
      </w:r>
      <w:proofErr w:type="spellEnd"/>
      <w:r w:rsidRPr="009563E7">
        <w:rPr>
          <w:rFonts w:ascii="Verdana" w:eastAsia="Calibri" w:hAnsi="Verdana" w:cs="Arial"/>
          <w:szCs w:val="24"/>
          <w:lang w:val="es-ES" w:eastAsia="es-ES_tradnl"/>
        </w:rPr>
        <w:t>) el</w:t>
      </w:r>
      <w:r w:rsidRPr="009563E7">
        <w:rPr>
          <w:rFonts w:ascii="Verdana" w:eastAsia="Calibri" w:hAnsi="Verdana" w:cs="Arial"/>
          <w:i/>
          <w:szCs w:val="24"/>
          <w:lang w:val="es-ES" w:eastAsia="es-ES_tradnl"/>
        </w:rPr>
        <w:t xml:space="preserve"> valor</w:t>
      </w:r>
      <w:r w:rsidRPr="009563E7">
        <w:rPr>
          <w:rFonts w:ascii="Verdana" w:eastAsia="Calibri" w:hAnsi="Verdana" w:cs="Arial"/>
          <w:szCs w:val="24"/>
          <w:lang w:val="es-ES" w:eastAsia="es-ES_tradnl"/>
        </w:rPr>
        <w:t xml:space="preserve"> del convenio no puede superar la menor cuantía de la entidad, la cual </w:t>
      </w:r>
      <w:r w:rsidRPr="009563E7">
        <w:rPr>
          <w:rFonts w:ascii="Verdana" w:eastAsia="Calibri" w:hAnsi="Verdana" w:cs="Arial"/>
          <w:szCs w:val="24"/>
          <w:lang w:eastAsia="es-ES_tradnl"/>
        </w:rPr>
        <w:t>se define en función de los presupuestos anuales de las entidades públicas expresados en salarios mínimos legales mensuales, teniendo en cuenta los rangos</w:t>
      </w:r>
      <w:r w:rsidRPr="009563E7">
        <w:rPr>
          <w:rFonts w:ascii="Verdana" w:eastAsia="Calibri" w:hAnsi="Verdana" w:cs="Arial"/>
          <w:szCs w:val="24"/>
          <w:lang w:val="es-ES" w:eastAsia="es-ES_tradnl"/>
        </w:rPr>
        <w:t xml:space="preserve"> establecidos en el literal b) del artículo 2.2 de la Ley 1150 de 2007</w:t>
      </w:r>
      <w:r w:rsidRPr="009563E7">
        <w:rPr>
          <w:rFonts w:ascii="Verdana" w:eastAsia="Calibri" w:hAnsi="Verdana" w:cs="Arial"/>
          <w:szCs w:val="24"/>
          <w:vertAlign w:val="superscript"/>
          <w:lang w:val="es-ES" w:eastAsia="es-ES_tradnl"/>
        </w:rPr>
        <w:footnoteReference w:id="9"/>
      </w:r>
      <w:r w:rsidRPr="009563E7">
        <w:rPr>
          <w:rFonts w:ascii="Verdana" w:eastAsia="Calibri" w:hAnsi="Verdana" w:cs="Arial"/>
          <w:szCs w:val="24"/>
          <w:lang w:val="es-ES" w:eastAsia="es-ES_tradnl"/>
        </w:rPr>
        <w:t xml:space="preserve">; </w:t>
      </w:r>
      <w:proofErr w:type="spellStart"/>
      <w:r w:rsidRPr="009563E7">
        <w:rPr>
          <w:rFonts w:ascii="Verdana" w:eastAsia="Calibri" w:hAnsi="Verdana" w:cs="Arial"/>
          <w:szCs w:val="24"/>
          <w:lang w:val="es-ES" w:eastAsia="es-ES_tradnl"/>
        </w:rPr>
        <w:t>iv</w:t>
      </w:r>
      <w:proofErr w:type="spellEnd"/>
      <w:r w:rsidRPr="009563E7">
        <w:rPr>
          <w:rFonts w:ascii="Verdana" w:eastAsia="Calibri" w:hAnsi="Verdana" w:cs="Arial"/>
          <w:szCs w:val="24"/>
          <w:lang w:val="es-ES" w:eastAsia="es-ES_tradnl"/>
        </w:rPr>
        <w:t xml:space="preserve">) el convenio debe tener en cuenta a los </w:t>
      </w:r>
      <w:r w:rsidRPr="009563E7">
        <w:rPr>
          <w:rFonts w:ascii="Verdana" w:eastAsia="Calibri" w:hAnsi="Verdana" w:cs="Arial"/>
          <w:i/>
          <w:szCs w:val="24"/>
          <w:lang w:val="es-ES" w:eastAsia="es-ES_tradnl"/>
        </w:rPr>
        <w:t>habitantes de la comunidad</w:t>
      </w:r>
      <w:r w:rsidRPr="009563E7">
        <w:rPr>
          <w:rFonts w:ascii="Verdana" w:eastAsia="Calibri" w:hAnsi="Verdana" w:cs="Arial"/>
          <w:szCs w:val="24"/>
          <w:lang w:val="es-ES" w:eastAsia="es-ES_tradnl"/>
        </w:rPr>
        <w:t xml:space="preserve"> para la ejecución de las obras, es decir, no deben vincular a personas que sean ajenas a la población que se impacta; v) en el </w:t>
      </w:r>
      <w:r w:rsidRPr="009563E7">
        <w:rPr>
          <w:rFonts w:ascii="Verdana" w:eastAsia="Calibri" w:hAnsi="Verdana" w:cs="Arial"/>
          <w:i/>
          <w:szCs w:val="24"/>
          <w:lang w:val="es-ES" w:eastAsia="es-ES_tradnl"/>
        </w:rPr>
        <w:t>valor</w:t>
      </w:r>
      <w:r w:rsidRPr="009563E7">
        <w:rPr>
          <w:rFonts w:ascii="Verdana" w:eastAsia="Calibri" w:hAnsi="Verdana" w:cs="Arial"/>
          <w:szCs w:val="24"/>
          <w:lang w:val="es-ES" w:eastAsia="es-ES_tradnl"/>
        </w:rPr>
        <w:t xml:space="preserve"> del convenio la entidad puede incluirse los costos directos, los costos administrativos y el subsidio </w:t>
      </w:r>
      <w:r w:rsidRPr="009563E7">
        <w:rPr>
          <w:rFonts w:ascii="Verdana" w:eastAsia="Calibri" w:hAnsi="Verdana" w:cs="Arial"/>
          <w:szCs w:val="24"/>
          <w:lang w:eastAsia="es-ES_tradnl"/>
        </w:rPr>
        <w:t xml:space="preserve">al dignatario representante legal para transportes </w:t>
      </w:r>
      <w:r w:rsidRPr="009563E7">
        <w:rPr>
          <w:rFonts w:ascii="Verdana" w:eastAsia="Calibri" w:hAnsi="Verdana" w:cs="Arial"/>
          <w:szCs w:val="24"/>
          <w:lang w:eastAsia="es-ES_tradnl"/>
        </w:rPr>
        <w:lastRenderedPageBreak/>
        <w:t>regulado en el literal c) del artículo 39 de la Ley 2166 de 2022</w:t>
      </w:r>
      <w:r w:rsidRPr="009563E7">
        <w:rPr>
          <w:rFonts w:ascii="Verdana" w:eastAsia="Calibri" w:hAnsi="Verdana" w:cs="Arial"/>
          <w:szCs w:val="24"/>
          <w:vertAlign w:val="superscript"/>
          <w:lang w:eastAsia="es-ES_tradnl"/>
        </w:rPr>
        <w:footnoteReference w:id="10"/>
      </w:r>
      <w:r w:rsidRPr="009563E7">
        <w:rPr>
          <w:rFonts w:ascii="Verdana" w:eastAsia="Calibri" w:hAnsi="Verdana" w:cs="Arial"/>
          <w:szCs w:val="24"/>
          <w:lang w:eastAsia="es-ES_tradnl"/>
        </w:rPr>
        <w:t>; vi) Las entidades deben disponer de personal técnico y administrativo-contable para apoyar y supervisar a los Organismos de Acción Comunal durante la ejecución de las obras. El costo que se genera para garantizar este personal de apoyo es independiente a los comprendidos dentro del valor del Convenio Solidario.</w:t>
      </w:r>
    </w:p>
    <w:p w14:paraId="4D29174A" w14:textId="77777777" w:rsidR="009563E7" w:rsidRPr="009563E7" w:rsidRDefault="009563E7" w:rsidP="009563E7">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szCs w:val="24"/>
          <w:lang w:eastAsia="es-ES_tradnl"/>
        </w:rPr>
        <w:t xml:space="preserve">b. </w:t>
      </w:r>
      <w:r w:rsidRPr="009563E7">
        <w:rPr>
          <w:rFonts w:ascii="Verdana" w:eastAsia="Calibri" w:hAnsi="Verdana" w:cs="Arial"/>
          <w:i/>
          <w:szCs w:val="24"/>
          <w:lang w:eastAsia="es-ES_tradnl"/>
        </w:rPr>
        <w:t>Segundo régimen</w:t>
      </w:r>
      <w:r w:rsidRPr="009563E7">
        <w:rPr>
          <w:rFonts w:ascii="Verdana" w:eastAsia="Calibri" w:hAnsi="Verdana" w:cs="Arial"/>
          <w:szCs w:val="24"/>
          <w:lang w:eastAsia="es-ES_tradnl"/>
        </w:rPr>
        <w:t xml:space="preserve">. Dicho sistema normativo está previsto en el Decreto 092 de 2017, con excepción a lo prescrito </w:t>
      </w:r>
      <w:r w:rsidRPr="009563E7">
        <w:rPr>
          <w:rFonts w:ascii="Verdana" w:eastAsia="Calibri" w:hAnsi="Verdana" w:cs="Arial"/>
          <w:szCs w:val="24"/>
          <w:lang w:val="es-ES" w:eastAsia="es-ES_tradnl"/>
        </w:rPr>
        <w:t>en su artículo 5</w:t>
      </w:r>
      <w:r w:rsidRPr="009563E7">
        <w:rPr>
          <w:rFonts w:ascii="Verdana" w:eastAsia="Calibri" w:hAnsi="Verdana" w:cs="Arial"/>
          <w:bCs/>
          <w:szCs w:val="24"/>
          <w:lang w:val="es-ES" w:eastAsia="es-ES_tradnl"/>
        </w:rPr>
        <w:t xml:space="preserve">, que </w:t>
      </w:r>
      <w:r w:rsidRPr="009563E7">
        <w:rPr>
          <w:rFonts w:ascii="Verdana" w:eastAsia="Calibri" w:hAnsi="Verdana" w:cs="Arial"/>
          <w:szCs w:val="24"/>
          <w:lang w:val="es-ES" w:eastAsia="es-ES_tradnl"/>
        </w:rPr>
        <w:t>reglamenta otro tipo contractual, como son los convenios de asociación. Este Decreto reguló, en términos generales, la contratación autorizada por el artículo 355 de la Constitución Política, la cual puede manifestarse mediante convenios solidarios, en atención a lo prescrito en el numeral 16 y el parágrafo tercero del artículo 3 de la Ley 136 de 1994.</w:t>
      </w:r>
      <w:r w:rsidRPr="009563E7">
        <w:rPr>
          <w:rFonts w:ascii="Verdana" w:eastAsia="Calibri" w:hAnsi="Verdana" w:cs="Arial"/>
          <w:bCs/>
          <w:szCs w:val="24"/>
          <w:lang w:val="es-ES" w:eastAsia="es-ES_tradnl"/>
        </w:rPr>
        <w:t xml:space="preserve"> Ahora bien, para celebrar los convenios solidarios de este régimen se requiere: i) los sujetos deben ser, de un lado, municipios y distritos y, de otro, </w:t>
      </w:r>
      <w:r w:rsidRPr="009563E7">
        <w:rPr>
          <w:rFonts w:ascii="Verdana" w:eastAsia="Calibri" w:hAnsi="Verdana" w:cs="Arial"/>
          <w:bCs/>
          <w:szCs w:val="24"/>
          <w:lang w:eastAsia="es-ES_tradnl"/>
        </w:rPr>
        <w:t xml:space="preserve">los cabildos, las autoridades y organizaciones indígenas, los organismos de acción comunal y demás organizaciones civiles y asociaciones residentes en el territorio; </w:t>
      </w:r>
      <w:proofErr w:type="spellStart"/>
      <w:r w:rsidRPr="009563E7">
        <w:rPr>
          <w:rFonts w:ascii="Verdana" w:eastAsia="Calibri" w:hAnsi="Verdana" w:cs="Arial"/>
          <w:bCs/>
          <w:szCs w:val="24"/>
          <w:lang w:eastAsia="es-ES_tradnl"/>
        </w:rPr>
        <w:t>ii</w:t>
      </w:r>
      <w:proofErr w:type="spellEnd"/>
      <w:r w:rsidRPr="009563E7">
        <w:rPr>
          <w:rFonts w:ascii="Verdana" w:eastAsia="Calibri" w:hAnsi="Verdana" w:cs="Arial"/>
          <w:bCs/>
          <w:szCs w:val="24"/>
          <w:lang w:val="es-ES" w:eastAsia="es-ES_tradnl"/>
        </w:rPr>
        <w:t xml:space="preserve">) el </w:t>
      </w:r>
      <w:r w:rsidRPr="009563E7">
        <w:rPr>
          <w:rFonts w:ascii="Verdana" w:eastAsia="Calibri" w:hAnsi="Verdana" w:cs="Arial"/>
          <w:bCs/>
          <w:i/>
          <w:iCs/>
          <w:szCs w:val="24"/>
          <w:lang w:val="es-ES" w:eastAsia="es-ES_tradnl"/>
        </w:rPr>
        <w:t>objeto</w:t>
      </w:r>
      <w:r w:rsidRPr="009563E7">
        <w:rPr>
          <w:rFonts w:ascii="Verdana" w:eastAsia="Calibri" w:hAnsi="Verdana" w:cs="Arial"/>
          <w:bCs/>
          <w:szCs w:val="24"/>
          <w:lang w:val="es-ES" w:eastAsia="es-ES_tradnl"/>
        </w:rPr>
        <w:t xml:space="preserve"> debe centrarse programas y actividades de interés público acordes con el plan de desarrollo aplicable a la entidad municipio o distrito–; </w:t>
      </w:r>
      <w:proofErr w:type="spellStart"/>
      <w:r w:rsidRPr="009563E7">
        <w:rPr>
          <w:rFonts w:ascii="Verdana" w:eastAsia="Calibri" w:hAnsi="Verdana" w:cs="Arial"/>
          <w:bCs/>
          <w:szCs w:val="24"/>
          <w:lang w:val="es-ES" w:eastAsia="es-ES_tradnl"/>
        </w:rPr>
        <w:t>iii</w:t>
      </w:r>
      <w:proofErr w:type="spellEnd"/>
      <w:r w:rsidRPr="009563E7">
        <w:rPr>
          <w:rFonts w:ascii="Verdana" w:eastAsia="Calibri" w:hAnsi="Verdana" w:cs="Arial"/>
          <w:bCs/>
          <w:szCs w:val="24"/>
          <w:lang w:val="es-ES" w:eastAsia="es-ES_tradnl"/>
        </w:rPr>
        <w:t xml:space="preserve">) el convenio, independiente de su cuantía, no puede implicar relaciones conmutativas, que impliquen contraprestaciones para la entidad del Estado, por tanto, por la naturaleza del convenio no es compatible </w:t>
      </w:r>
      <w:r w:rsidRPr="009563E7">
        <w:rPr>
          <w:rFonts w:ascii="Verdana" w:eastAsia="Calibri" w:hAnsi="Verdana" w:cs="Arial"/>
          <w:bCs/>
          <w:szCs w:val="24"/>
          <w:lang w:val="es-ES" w:eastAsia="es-ES_tradnl"/>
        </w:rPr>
        <w:lastRenderedPageBreak/>
        <w:t xml:space="preserve">que en dichos convenios emanen intereses onerosos; </w:t>
      </w:r>
      <w:proofErr w:type="spellStart"/>
      <w:r w:rsidRPr="009563E7">
        <w:rPr>
          <w:rFonts w:ascii="Verdana" w:eastAsia="Calibri" w:hAnsi="Verdana" w:cs="Arial"/>
          <w:bCs/>
          <w:szCs w:val="24"/>
          <w:lang w:val="es-ES" w:eastAsia="es-ES_tradnl"/>
        </w:rPr>
        <w:t>iv</w:t>
      </w:r>
      <w:proofErr w:type="spellEnd"/>
      <w:r w:rsidRPr="009563E7">
        <w:rPr>
          <w:rFonts w:ascii="Verdana" w:eastAsia="Calibri" w:hAnsi="Verdana" w:cs="Arial"/>
          <w:bCs/>
          <w:szCs w:val="24"/>
          <w:lang w:val="es-ES" w:eastAsia="es-ES_tradnl"/>
        </w:rPr>
        <w:t>) la entidad no puede impartir instrucciones precisas para la ejecución del objeto convenido. En todo caso</w:t>
      </w:r>
      <w:r w:rsidRPr="009563E7">
        <w:rPr>
          <w:rFonts w:ascii="Verdana" w:eastAsia="Calibri" w:hAnsi="Verdana" w:cs="Arial"/>
          <w:bCs/>
          <w:szCs w:val="24"/>
          <w:lang w:eastAsia="es-ES_tradnl"/>
        </w:rPr>
        <w:t>, no establecer instrucciones precisas no significa que deje de realizar un seguimiento y control a la ejecución del convenio de colaboración.</w:t>
      </w:r>
      <w:r w:rsidRPr="009563E7">
        <w:rPr>
          <w:rFonts w:ascii="Verdana" w:eastAsia="Calibri" w:hAnsi="Verdana" w:cs="Arial"/>
          <w:bCs/>
          <w:szCs w:val="24"/>
          <w:lang w:val="es-ES" w:eastAsia="es-ES_tradnl"/>
        </w:rPr>
        <w:t xml:space="preserve"> Por último, se recuerda que cuando se cumplan los requisitos de este régimen, las entidades aplicarán en el proceso de planeación, selección y contratación el procedimiento previsto en el Decreto 092 de 2017 y, en lo no previsto en este, las normas previstas en el Estatuto General de Contratación de la Administración Pública -EGCAP-, según la remisión de los artículos 7 y 8 del Decreto. De esta manera, </w:t>
      </w:r>
      <w:r w:rsidRPr="009563E7">
        <w:rPr>
          <w:rFonts w:ascii="Verdana" w:eastAsia="Calibri" w:hAnsi="Verdana" w:cs="Arial"/>
          <w:bCs/>
          <w:szCs w:val="24"/>
          <w:lang w:eastAsia="es-ES_tradnl"/>
        </w:rPr>
        <w:t xml:space="preserve">para la celebración de convenios de acuerdo con este régimen debe surtirse proceso de selección plural y competitiva, cuando en los estudios del sector se identifique que existen más organizaciones comunales que pueden ejecutar el objeto.  </w:t>
      </w:r>
    </w:p>
    <w:p w14:paraId="3C6F44AE" w14:textId="77777777" w:rsidR="009563E7" w:rsidRPr="009563E7" w:rsidRDefault="009563E7" w:rsidP="009563E7">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bCs/>
          <w:szCs w:val="24"/>
          <w:lang w:val="es-ES" w:eastAsia="es-ES_tradnl"/>
        </w:rPr>
        <w:t xml:space="preserve">c. </w:t>
      </w:r>
      <w:r w:rsidRPr="009563E7">
        <w:rPr>
          <w:rFonts w:ascii="Verdana" w:eastAsia="Calibri" w:hAnsi="Verdana" w:cs="Arial"/>
          <w:bCs/>
          <w:i/>
          <w:szCs w:val="24"/>
          <w:lang w:val="es-ES" w:eastAsia="es-ES_tradnl"/>
        </w:rPr>
        <w:t>Tercer régimen</w:t>
      </w:r>
      <w:r w:rsidRPr="009563E7">
        <w:rPr>
          <w:rFonts w:ascii="Verdana" w:eastAsia="Calibri" w:hAnsi="Verdana" w:cs="Arial"/>
          <w:bCs/>
          <w:szCs w:val="24"/>
          <w:lang w:val="es-ES" w:eastAsia="es-ES_tradnl"/>
        </w:rPr>
        <w:t>. Su régimen se fundamenta en el artículo 63 de la Ley 2166 de 2021</w:t>
      </w:r>
      <w:r w:rsidRPr="009563E7">
        <w:rPr>
          <w:rFonts w:ascii="Verdana" w:eastAsia="Calibri" w:hAnsi="Verdana" w:cs="Arial"/>
          <w:bCs/>
          <w:szCs w:val="24"/>
          <w:vertAlign w:val="superscript"/>
          <w:lang w:val="es-ES" w:eastAsia="es-ES_tradnl"/>
        </w:rPr>
        <w:footnoteReference w:id="11"/>
      </w:r>
      <w:r w:rsidRPr="009563E7">
        <w:rPr>
          <w:rFonts w:ascii="Verdana" w:eastAsia="Calibri" w:hAnsi="Verdana" w:cs="Arial"/>
          <w:bCs/>
          <w:szCs w:val="24"/>
          <w:lang w:val="es-ES" w:eastAsia="es-ES_tradnl"/>
        </w:rPr>
        <w:t xml:space="preserve"> y el artículo 141 de la Ley 136 de 1994</w:t>
      </w:r>
      <w:r w:rsidRPr="009563E7">
        <w:rPr>
          <w:rFonts w:ascii="Verdana" w:eastAsia="Calibri" w:hAnsi="Verdana" w:cs="Arial"/>
          <w:bCs/>
          <w:szCs w:val="24"/>
          <w:vertAlign w:val="superscript"/>
          <w:lang w:val="es-ES" w:eastAsia="es-ES_tradnl"/>
        </w:rPr>
        <w:footnoteReference w:id="12"/>
      </w:r>
      <w:r w:rsidRPr="009563E7">
        <w:rPr>
          <w:rFonts w:ascii="Verdana" w:eastAsia="Calibri" w:hAnsi="Verdana" w:cs="Arial"/>
          <w:bCs/>
          <w:szCs w:val="24"/>
          <w:lang w:val="es-ES" w:eastAsia="es-ES_tradnl"/>
        </w:rPr>
        <w:t xml:space="preserve">. En efecto, el parágrafo 2 del artículo 63 </w:t>
      </w:r>
      <w:r w:rsidRPr="009563E7">
        <w:rPr>
          <w:rFonts w:ascii="Verdana" w:eastAsia="Calibri" w:hAnsi="Verdana" w:cs="Arial"/>
          <w:bCs/>
          <w:i/>
          <w:iCs/>
          <w:szCs w:val="24"/>
          <w:lang w:val="es-ES" w:eastAsia="es-ES_tradnl"/>
        </w:rPr>
        <w:t xml:space="preserve">ibidem </w:t>
      </w:r>
      <w:r w:rsidRPr="009563E7">
        <w:rPr>
          <w:rFonts w:ascii="Verdana" w:eastAsia="Calibri" w:hAnsi="Verdana" w:cs="Arial"/>
          <w:bCs/>
          <w:szCs w:val="24"/>
          <w:lang w:val="es-ES" w:eastAsia="es-ES_tradnl"/>
        </w:rPr>
        <w:t xml:space="preserve">permite la celebración de convenios solidarios con </w:t>
      </w:r>
      <w:r w:rsidRPr="009563E7">
        <w:rPr>
          <w:rFonts w:ascii="Verdana" w:eastAsia="Calibri" w:hAnsi="Verdana" w:cs="Arial"/>
          <w:bCs/>
          <w:szCs w:val="24"/>
          <w:lang w:eastAsia="es-ES_tradnl"/>
        </w:rPr>
        <w:t xml:space="preserve">organismos de acción comunal con el fin de que estos se vinculen al desarrollo y mejoramiento municipal mediante: i) su participación en el ejercicio de sus funciones, </w:t>
      </w:r>
      <w:proofErr w:type="spellStart"/>
      <w:r w:rsidRPr="009563E7">
        <w:rPr>
          <w:rFonts w:ascii="Verdana" w:eastAsia="Calibri" w:hAnsi="Verdana" w:cs="Arial"/>
          <w:bCs/>
          <w:szCs w:val="24"/>
          <w:lang w:eastAsia="es-ES_tradnl"/>
        </w:rPr>
        <w:t>ii</w:t>
      </w:r>
      <w:proofErr w:type="spellEnd"/>
      <w:r w:rsidRPr="009563E7">
        <w:rPr>
          <w:rFonts w:ascii="Verdana" w:eastAsia="Calibri" w:hAnsi="Verdana" w:cs="Arial"/>
          <w:bCs/>
          <w:szCs w:val="24"/>
          <w:lang w:eastAsia="es-ES_tradnl"/>
        </w:rPr>
        <w:t xml:space="preserve">) la prestación de bienes y servicios o </w:t>
      </w:r>
      <w:proofErr w:type="spellStart"/>
      <w:r w:rsidRPr="009563E7">
        <w:rPr>
          <w:rFonts w:ascii="Verdana" w:eastAsia="Calibri" w:hAnsi="Verdana" w:cs="Arial"/>
          <w:bCs/>
          <w:szCs w:val="24"/>
          <w:lang w:eastAsia="es-ES_tradnl"/>
        </w:rPr>
        <w:t>iii</w:t>
      </w:r>
      <w:proofErr w:type="spellEnd"/>
      <w:r w:rsidRPr="009563E7">
        <w:rPr>
          <w:rFonts w:ascii="Verdana" w:eastAsia="Calibri" w:hAnsi="Verdana" w:cs="Arial"/>
          <w:bCs/>
          <w:szCs w:val="24"/>
          <w:lang w:eastAsia="es-ES_tradnl"/>
        </w:rPr>
        <w:t xml:space="preserve">) la ejecución de obras públicas a cargo de la administración central o descentralizada. Así mismo,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w:t>
      </w:r>
      <w:r w:rsidRPr="009563E7">
        <w:rPr>
          <w:rFonts w:ascii="Verdana" w:eastAsia="Calibri" w:hAnsi="Verdana" w:cs="Arial"/>
          <w:bCs/>
          <w:szCs w:val="24"/>
          <w:lang w:eastAsia="es-ES_tradnl"/>
        </w:rPr>
        <w:lastRenderedPageBreak/>
        <w:t xml:space="preserve">(PATR) o la Hoja de Ruta Única de que trata el artículo 281 de la Ley 1955 de 2019. No obstante, este artículo fue derogado por el artículo 372 de la Ley 2294 de 2023. </w:t>
      </w:r>
    </w:p>
    <w:p w14:paraId="13AA960A" w14:textId="77777777" w:rsidR="009563E7" w:rsidRPr="009563E7" w:rsidRDefault="009563E7" w:rsidP="009563E7">
      <w:pPr>
        <w:spacing w:after="120" w:line="276" w:lineRule="auto"/>
        <w:ind w:firstLine="709"/>
        <w:jc w:val="both"/>
        <w:rPr>
          <w:rFonts w:ascii="Verdana" w:eastAsia="Calibri" w:hAnsi="Verdana" w:cs="Arial"/>
          <w:bCs/>
          <w:szCs w:val="24"/>
          <w:lang w:val="es-ES" w:eastAsia="es-ES_tradnl"/>
        </w:rPr>
      </w:pPr>
      <w:r w:rsidRPr="009563E7">
        <w:rPr>
          <w:rFonts w:ascii="Verdana" w:eastAsia="Calibri" w:hAnsi="Verdana" w:cs="Arial"/>
          <w:bCs/>
          <w:szCs w:val="24"/>
          <w:lang w:eastAsia="es-ES_tradnl"/>
        </w:rPr>
        <w:t>Este régimen cumple las siguientes condiciones:</w:t>
      </w:r>
      <w:r w:rsidRPr="009563E7">
        <w:rPr>
          <w:rFonts w:ascii="Verdana" w:eastAsia="Calibri" w:hAnsi="Verdana" w:cs="Arial"/>
          <w:bCs/>
          <w:szCs w:val="24"/>
          <w:lang w:val="es-ES" w:eastAsia="es-ES_tradnl"/>
        </w:rPr>
        <w:t xml:space="preserve"> i) se trata de entidades del orden municipal</w:t>
      </w:r>
      <w:r w:rsidRPr="009563E7">
        <w:rPr>
          <w:rFonts w:ascii="Verdana" w:eastAsia="Calibri" w:hAnsi="Verdana" w:cs="Arial"/>
          <w:szCs w:val="24"/>
          <w:lang w:val="es-ES" w:eastAsia="es-ES_tradnl"/>
        </w:rPr>
        <w:t>,</w:t>
      </w:r>
      <w:r w:rsidRPr="009563E7">
        <w:rPr>
          <w:rFonts w:ascii="Verdana" w:eastAsia="Calibri" w:hAnsi="Verdana" w:cs="Arial"/>
          <w:bCs/>
          <w:szCs w:val="24"/>
          <w:lang w:val="es-ES" w:eastAsia="es-ES_tradnl"/>
        </w:rPr>
        <w:t xml:space="preserve"> distrital</w:t>
      </w:r>
      <w:r w:rsidRPr="009563E7">
        <w:rPr>
          <w:rFonts w:ascii="Verdana" w:eastAsia="Calibri" w:hAnsi="Verdana" w:cs="Arial"/>
          <w:szCs w:val="24"/>
          <w:lang w:val="es-ES" w:eastAsia="es-ES_tradnl"/>
        </w:rPr>
        <w:t>, o nacional,</w:t>
      </w:r>
      <w:r w:rsidRPr="009563E7">
        <w:rPr>
          <w:rFonts w:ascii="Verdana" w:eastAsia="Calibri" w:hAnsi="Verdana" w:cs="Arial"/>
          <w:bCs/>
          <w:szCs w:val="24"/>
          <w:lang w:val="es-ES" w:eastAsia="es-ES_tradnl"/>
        </w:rPr>
        <w:t xml:space="preserve"> y por otro, los organismos comunales, de acuerdo con lo dispuesto en el artículo 63 de la Ley 2166 de 2021 y artículo 141 de la Ley 136 de 1994; </w:t>
      </w:r>
      <w:proofErr w:type="spellStart"/>
      <w:r w:rsidRPr="009563E7">
        <w:rPr>
          <w:rFonts w:ascii="Verdana" w:eastAsia="Calibri" w:hAnsi="Verdana" w:cs="Arial"/>
          <w:bCs/>
          <w:szCs w:val="24"/>
          <w:lang w:val="es-ES" w:eastAsia="es-ES_tradnl"/>
        </w:rPr>
        <w:t>ii</w:t>
      </w:r>
      <w:proofErr w:type="spellEnd"/>
      <w:r w:rsidRPr="009563E7">
        <w:rPr>
          <w:rFonts w:ascii="Verdana" w:eastAsia="Calibri" w:hAnsi="Verdana" w:cs="Arial"/>
          <w:bCs/>
          <w:szCs w:val="24"/>
          <w:lang w:val="es-ES" w:eastAsia="es-ES_tradnl"/>
        </w:rPr>
        <w:t xml:space="preserve">) el </w:t>
      </w:r>
      <w:r w:rsidRPr="009563E7">
        <w:rPr>
          <w:rFonts w:ascii="Verdana" w:eastAsia="Calibri" w:hAnsi="Verdana" w:cs="Arial"/>
          <w:bCs/>
          <w:i/>
          <w:iCs/>
          <w:szCs w:val="24"/>
          <w:lang w:val="es-ES" w:eastAsia="es-ES_tradnl"/>
        </w:rPr>
        <w:t>objeto</w:t>
      </w:r>
      <w:r w:rsidRPr="009563E7">
        <w:rPr>
          <w:rFonts w:ascii="Verdana" w:eastAsia="Calibri" w:hAnsi="Verdana" w:cs="Arial"/>
          <w:bCs/>
          <w:szCs w:val="24"/>
          <w:lang w:val="es-ES" w:eastAsia="es-ES_tradnl"/>
        </w:rPr>
        <w:t xml:space="preserve"> tiene como fin </w:t>
      </w:r>
      <w:r w:rsidRPr="009563E7">
        <w:rPr>
          <w:rFonts w:ascii="Verdana" w:eastAsia="Calibri" w:hAnsi="Verdana" w:cs="Arial"/>
          <w:bCs/>
          <w:szCs w:val="24"/>
          <w:lang w:eastAsia="es-ES_tradnl"/>
        </w:rPr>
        <w:t xml:space="preserve">la prestación de bienes y servicios o la ejecución de obras públicas cargo de la administración central o descentralizada, cuyos organismos comunales podrán vincularse al desarrollo y mejoramiento municipal, mediante su participación en el ejercicio de sus funciones; </w:t>
      </w:r>
      <w:proofErr w:type="spellStart"/>
      <w:r w:rsidRPr="009563E7">
        <w:rPr>
          <w:rFonts w:ascii="Verdana" w:eastAsia="Calibri" w:hAnsi="Verdana" w:cs="Arial"/>
          <w:bCs/>
          <w:szCs w:val="24"/>
          <w:lang w:eastAsia="es-ES_tradnl"/>
        </w:rPr>
        <w:t>iii</w:t>
      </w:r>
      <w:proofErr w:type="spellEnd"/>
      <w:r w:rsidRPr="009563E7">
        <w:rPr>
          <w:rFonts w:ascii="Verdana" w:eastAsia="Calibri" w:hAnsi="Verdana" w:cs="Arial"/>
          <w:bCs/>
          <w:szCs w:val="24"/>
          <w:lang w:eastAsia="es-ES_tradnl"/>
        </w:rPr>
        <w:t>) en torno</w:t>
      </w:r>
      <w:r w:rsidRPr="009563E7">
        <w:rPr>
          <w:rFonts w:ascii="Verdana" w:eastAsia="Calibri" w:hAnsi="Verdana" w:cs="Arial"/>
          <w:bCs/>
          <w:szCs w:val="24"/>
          <w:lang w:val="es-ES" w:eastAsia="es-ES_tradnl"/>
        </w:rPr>
        <w:t xml:space="preserve"> a sus objetivos</w:t>
      </w:r>
      <w:r w:rsidRPr="009563E7">
        <w:rPr>
          <w:rFonts w:ascii="Verdana" w:eastAsia="Calibri" w:hAnsi="Verdana" w:cs="Arial"/>
          <w:bCs/>
          <w:szCs w:val="24"/>
          <w:lang w:eastAsia="es-ES_tradnl"/>
        </w:rPr>
        <w:t xml:space="preserve">, las entidades del orden nacional, departamental, distrital, local y municipal y los organismos de acción comunal podrán ejecutar los proyectos incluidos en el respectivo Plan Nacional de Desarrollo; </w:t>
      </w:r>
      <w:proofErr w:type="spellStart"/>
      <w:r w:rsidRPr="009563E7">
        <w:rPr>
          <w:rFonts w:ascii="Verdana" w:eastAsia="Calibri" w:hAnsi="Verdana" w:cs="Arial"/>
          <w:bCs/>
          <w:szCs w:val="24"/>
          <w:lang w:eastAsia="es-ES_tradnl"/>
        </w:rPr>
        <w:t>iv</w:t>
      </w:r>
      <w:proofErr w:type="spellEnd"/>
      <w:r w:rsidRPr="009563E7">
        <w:rPr>
          <w:rFonts w:ascii="Verdana" w:eastAsia="Calibri" w:hAnsi="Verdana" w:cs="Arial"/>
          <w:bCs/>
          <w:szCs w:val="24"/>
          <w:lang w:val="es-ES" w:eastAsia="es-ES_tradnl"/>
        </w:rPr>
        <w:t xml:space="preserve">) en referencia a la cuantía, se precisa que el parágrafo primero del artículo 63 de la Ley 2166 de 2021 dispone que </w:t>
      </w:r>
      <w:r w:rsidRPr="009563E7">
        <w:rPr>
          <w:rFonts w:ascii="Verdana" w:eastAsia="Calibri" w:hAnsi="Verdana" w:cs="Arial"/>
          <w:bCs/>
          <w:szCs w:val="24"/>
          <w:lang w:eastAsia="es-ES_tradnl"/>
        </w:rPr>
        <w:t xml:space="preserve">los organismos de acción comunal podrán contratar con las entidades territoriales hasta por la menor cuantía de dicha entidad de conformidad con la ley. </w:t>
      </w:r>
    </w:p>
    <w:p w14:paraId="124AB469" w14:textId="77777777" w:rsidR="009563E7" w:rsidRPr="009563E7" w:rsidRDefault="009563E7" w:rsidP="009563E7">
      <w:pPr>
        <w:spacing w:after="120" w:line="276" w:lineRule="auto"/>
        <w:ind w:firstLine="709"/>
        <w:jc w:val="both"/>
        <w:rPr>
          <w:rFonts w:ascii="Verdana" w:eastAsia="Calibri" w:hAnsi="Verdana" w:cs="Arial"/>
          <w:szCs w:val="24"/>
          <w:lang w:val="es-ES" w:eastAsia="es-ES_tradnl"/>
        </w:rPr>
      </w:pPr>
      <w:r w:rsidRPr="009563E7">
        <w:rPr>
          <w:rFonts w:ascii="Verdana" w:eastAsia="Calibri" w:hAnsi="Verdana" w:cs="Arial"/>
          <w:bCs/>
          <w:szCs w:val="24"/>
          <w:lang w:val="es-ES" w:eastAsia="es-ES_tradnl"/>
        </w:rPr>
        <w:t xml:space="preserve">De este régimen se resalta para la suscripción de dichos convenios el inciso primero del artículo 63 remita al </w:t>
      </w:r>
      <w:r w:rsidRPr="009563E7">
        <w:rPr>
          <w:rFonts w:ascii="Verdana" w:eastAsia="Calibri" w:hAnsi="Verdana" w:cs="Arial"/>
          <w:szCs w:val="24"/>
          <w:lang w:eastAsia="es-ES_tradnl"/>
        </w:rPr>
        <w:t xml:space="preserve">artículo 141 de la Ley 136 de 1994, en virtud del cual </w:t>
      </w:r>
      <w:r w:rsidRPr="009563E7">
        <w:rPr>
          <w:rFonts w:ascii="Verdana" w:eastAsia="Calibri" w:hAnsi="Verdana" w:cs="Arial"/>
          <w:szCs w:val="24"/>
          <w:lang w:val="es-ES_tradnl" w:eastAsia="es-ES_tradnl"/>
        </w:rPr>
        <w:t>“</w:t>
      </w:r>
      <w:r w:rsidRPr="009563E7">
        <w:rPr>
          <w:rFonts w:ascii="Verdana" w:eastAsia="Calibri" w:hAnsi="Verdana" w:cs="Arial"/>
          <w:szCs w:val="24"/>
          <w:lang w:eastAsia="es-ES_tradnl"/>
        </w:rPr>
        <w:t>Los contratos o convenios que se celebren en desarrollo del artículo anterior, se sujetarán a lo dispuesto por los artículos 375 al 378 del Decreto 1333 de 1986 y la Ley 80 de 1993</w:t>
      </w:r>
      <w:r w:rsidRPr="009563E7">
        <w:rPr>
          <w:rFonts w:ascii="Verdana" w:eastAsia="Calibri" w:hAnsi="Verdana" w:cs="Arial"/>
          <w:szCs w:val="24"/>
          <w:lang w:val="es-ES_tradnl" w:eastAsia="es-ES_tradnl"/>
        </w:rPr>
        <w:t>”</w:t>
      </w:r>
      <w:r w:rsidRPr="009563E7">
        <w:rPr>
          <w:rFonts w:ascii="Verdana" w:eastAsia="Calibri" w:hAnsi="Verdana" w:cs="Arial"/>
          <w:szCs w:val="24"/>
          <w:lang w:eastAsia="es-ES_tradnl"/>
        </w:rPr>
        <w:t>.</w:t>
      </w:r>
      <w:r w:rsidRPr="009563E7">
        <w:rPr>
          <w:rFonts w:ascii="Verdana" w:eastAsia="Calibri" w:hAnsi="Verdana" w:cs="Arial"/>
          <w:szCs w:val="24"/>
          <w:lang w:val="es-ES" w:eastAsia="es-ES_tradnl"/>
        </w:rPr>
        <w:t xml:space="preserve"> Sin embargo, que, en el evento, en que el objeto del convenio sea solo la ejecución una obra por parte de la organización comunal, sin superar el monto de la menor cuantía, la entidad puede aplicar el régimen previsto en el artículo 95 de la Ley 2166 de 2021, con el cumplimiento de los presupuestos contemplados en dicho régimen. </w:t>
      </w:r>
    </w:p>
    <w:p w14:paraId="56F7CB27" w14:textId="77777777" w:rsidR="009563E7" w:rsidRPr="009563E7" w:rsidRDefault="009563E7" w:rsidP="009563E7">
      <w:pPr>
        <w:spacing w:after="120" w:line="276" w:lineRule="auto"/>
        <w:ind w:firstLine="709"/>
        <w:jc w:val="both"/>
        <w:rPr>
          <w:rFonts w:ascii="Verdana" w:eastAsia="Calibri" w:hAnsi="Verdana" w:cs="Arial"/>
          <w:szCs w:val="24"/>
          <w:lang w:eastAsia="es-ES_tradnl"/>
        </w:rPr>
      </w:pPr>
      <w:r w:rsidRPr="009563E7">
        <w:rPr>
          <w:rFonts w:ascii="Verdana" w:eastAsia="Calibri" w:hAnsi="Verdana" w:cs="Arial"/>
          <w:szCs w:val="24"/>
          <w:lang w:val="es-ES" w:eastAsia="es-ES_tradnl"/>
        </w:rPr>
        <w:t xml:space="preserve">Teniendo en cuenta la explicación de estos tres regímenes para la suscripción de los convenios solidarios, es pertinente, revisar si hay una restricción o prohibición para que participen tres o más partes. Para ello, se señala que dentro de los tres regímenes de contratación no se </w:t>
      </w:r>
      <w:r w:rsidRPr="009563E7">
        <w:rPr>
          <w:rFonts w:ascii="Verdana" w:eastAsia="Calibri" w:hAnsi="Verdana" w:cs="Arial"/>
          <w:szCs w:val="24"/>
          <w:lang w:eastAsia="es-ES_tradnl"/>
        </w:rPr>
        <w:t xml:space="preserve">imponen límites en cuanto al número de integrantes que pueden configurar cada una de las partes de la </w:t>
      </w:r>
      <w:r w:rsidRPr="009563E7">
        <w:rPr>
          <w:rFonts w:ascii="Verdana" w:eastAsia="Calibri" w:hAnsi="Verdana" w:cs="Arial"/>
          <w:i/>
          <w:iCs/>
          <w:szCs w:val="24"/>
          <w:lang w:eastAsia="es-ES_tradnl"/>
        </w:rPr>
        <w:t>relación de colaboración</w:t>
      </w:r>
      <w:r w:rsidRPr="009563E7">
        <w:rPr>
          <w:rFonts w:ascii="Verdana" w:eastAsia="Calibri" w:hAnsi="Verdana" w:cs="Arial"/>
          <w:szCs w:val="24"/>
          <w:lang w:eastAsia="es-ES_tradnl"/>
        </w:rPr>
        <w:t xml:space="preserve">. Sobre el particular, es necesario advertir que de la remisión de los convenios solidarios al Estatuto de General de Contratación de la Administración Pública –EGCAP- no existe una restricción o limitación para ello. Ante esto, es necesario acudir a lo dispuesto en el Código Civil, a propósito de la definición de contrato o convención: </w:t>
      </w:r>
      <w:r w:rsidRPr="009563E7">
        <w:rPr>
          <w:rFonts w:ascii="Verdana" w:eastAsia="Calibri" w:hAnsi="Verdana" w:cs="Arial"/>
          <w:i/>
          <w:iCs/>
          <w:szCs w:val="24"/>
          <w:lang w:eastAsia="es-ES_tradnl"/>
        </w:rPr>
        <w:t>“</w:t>
      </w:r>
      <w:r w:rsidRPr="009563E7">
        <w:rPr>
          <w:rFonts w:ascii="Verdana" w:eastAsia="Calibri" w:hAnsi="Verdana" w:cs="Arial"/>
          <w:iCs/>
          <w:szCs w:val="24"/>
          <w:lang w:eastAsia="es-ES_tradnl"/>
        </w:rPr>
        <w:t>[c]</w:t>
      </w:r>
      <w:proofErr w:type="spellStart"/>
      <w:r w:rsidRPr="009563E7">
        <w:rPr>
          <w:rFonts w:ascii="Verdana" w:eastAsia="Calibri" w:hAnsi="Verdana" w:cs="Arial"/>
          <w:iCs/>
          <w:szCs w:val="24"/>
          <w:lang w:eastAsia="es-ES_tradnl"/>
        </w:rPr>
        <w:t>ontrato</w:t>
      </w:r>
      <w:proofErr w:type="spellEnd"/>
      <w:r w:rsidRPr="009563E7">
        <w:rPr>
          <w:rFonts w:ascii="Verdana" w:eastAsia="Calibri" w:hAnsi="Verdana" w:cs="Arial"/>
          <w:iCs/>
          <w:szCs w:val="24"/>
          <w:lang w:eastAsia="es-ES_tradnl"/>
        </w:rPr>
        <w:t xml:space="preserve"> o convención es un acto por el cual una parte se obliga para con otra a dar, hacer </w:t>
      </w:r>
      <w:r w:rsidRPr="009563E7">
        <w:rPr>
          <w:rFonts w:ascii="Verdana" w:eastAsia="Calibri" w:hAnsi="Verdana" w:cs="Arial"/>
          <w:iCs/>
          <w:szCs w:val="24"/>
          <w:lang w:eastAsia="es-ES_tradnl"/>
        </w:rPr>
        <w:lastRenderedPageBreak/>
        <w:t xml:space="preserve">o no hacer alguna cosa. </w:t>
      </w:r>
      <w:r w:rsidRPr="009563E7">
        <w:rPr>
          <w:rFonts w:ascii="Verdana" w:eastAsia="Calibri" w:hAnsi="Verdana" w:cs="Arial"/>
          <w:i/>
          <w:iCs/>
          <w:szCs w:val="24"/>
          <w:lang w:eastAsia="es-ES_tradnl"/>
        </w:rPr>
        <w:t>Cada parte puede ser de una o de muchas personas.”</w:t>
      </w:r>
      <w:r w:rsidRPr="009563E7">
        <w:rPr>
          <w:rFonts w:ascii="Verdana" w:eastAsia="Calibri" w:hAnsi="Verdana" w:cs="Arial"/>
          <w:szCs w:val="24"/>
          <w:lang w:eastAsia="es-ES_tradnl"/>
        </w:rPr>
        <w:t xml:space="preserve"> (Énfasis fuera del texto original).</w:t>
      </w:r>
    </w:p>
    <w:p w14:paraId="7B397B0B" w14:textId="77777777" w:rsidR="009563E7" w:rsidRPr="009563E7" w:rsidRDefault="009563E7" w:rsidP="009563E7">
      <w:pPr>
        <w:spacing w:after="120" w:line="276" w:lineRule="auto"/>
        <w:ind w:firstLine="709"/>
        <w:jc w:val="both"/>
        <w:rPr>
          <w:rFonts w:ascii="Verdana" w:eastAsia="Calibri" w:hAnsi="Verdana" w:cs="Arial"/>
          <w:szCs w:val="24"/>
          <w:lang w:eastAsia="es-ES_tradnl"/>
        </w:rPr>
      </w:pPr>
      <w:r w:rsidRPr="009563E7">
        <w:rPr>
          <w:rFonts w:ascii="Verdana" w:eastAsia="Calibri" w:hAnsi="Verdana" w:cs="Arial"/>
          <w:szCs w:val="24"/>
          <w:lang w:eastAsia="es-ES_tradnl"/>
        </w:rPr>
        <w:t xml:space="preserve">En virtud de lo anterior, debe concluirse que la pluralidad de partes en los contratos celebrados por Entidades Estatales es plenamente válida y encuentra su fundamento en el artículo 1495 del Código Civil, lo cual es aplicable, también, a los convenios solidarios regulados en los diferentes regímenes, amparados bajo el principio de autonomía de la voluntad privada. Esto significa que puede haber más de una Entidad Estatal u Organismo de Acción Comunal en ambos extremos de la relación, siempre y cuando no se desnaturalice el objeto de este tipo de convenios y se cumplan los presupuestos y requisitos para su celebración y ejecución, es decir, que se respeten las normas de orden público. Así, es importante que las tres o más partes del convenio solidario cumplan con los requisitos establecidos por los diferentes regímenes jurídicos expuestos. </w:t>
      </w:r>
    </w:p>
    <w:p w14:paraId="67325A11" w14:textId="77777777" w:rsidR="009563E7" w:rsidRPr="009563E7" w:rsidRDefault="009563E7" w:rsidP="009563E7">
      <w:pPr>
        <w:spacing w:after="120" w:line="276" w:lineRule="auto"/>
        <w:jc w:val="both"/>
        <w:textAlignment w:val="baseline"/>
        <w:rPr>
          <w:rFonts w:ascii="Verdana" w:eastAsia="Calibri" w:hAnsi="Verdana" w:cs="Arial"/>
          <w:lang w:val="es-ES_tradnl"/>
        </w:rPr>
      </w:pPr>
    </w:p>
    <w:p w14:paraId="11B62ECC" w14:textId="77777777" w:rsidR="009563E7" w:rsidRPr="009563E7" w:rsidRDefault="009563E7" w:rsidP="009563E7">
      <w:pPr>
        <w:numPr>
          <w:ilvl w:val="0"/>
          <w:numId w:val="19"/>
        </w:numPr>
        <w:spacing w:after="0" w:line="276" w:lineRule="auto"/>
        <w:rPr>
          <w:rFonts w:ascii="Verdana" w:eastAsia="Calibri" w:hAnsi="Verdana" w:cs="Times New Roman"/>
          <w:b/>
          <w:bCs/>
          <w:lang w:val="es-ES"/>
        </w:rPr>
      </w:pPr>
      <w:r w:rsidRPr="009563E7">
        <w:rPr>
          <w:rFonts w:ascii="Verdana" w:eastAsia="Calibri" w:hAnsi="Verdana" w:cs="Times New Roman"/>
          <w:b/>
          <w:bCs/>
          <w:lang w:val="es-ES"/>
        </w:rPr>
        <w:t>Referencias normativas, jurisprudenciales y doctrinales</w:t>
      </w:r>
    </w:p>
    <w:p w14:paraId="152DFBD0" w14:textId="77777777" w:rsidR="009563E7" w:rsidRPr="009563E7" w:rsidRDefault="009563E7" w:rsidP="009563E7">
      <w:pPr>
        <w:spacing w:after="0" w:line="276" w:lineRule="auto"/>
        <w:jc w:val="both"/>
        <w:rPr>
          <w:rFonts w:ascii="Verdana" w:eastAsia="Calibri" w:hAnsi="Verdana" w:cs="Arial"/>
          <w:color w:val="000000"/>
          <w:szCs w:val="24"/>
          <w:lang w:eastAsia="es-ES_tradnl"/>
        </w:rPr>
      </w:pPr>
      <w:r w:rsidRPr="009563E7">
        <w:rPr>
          <w:rFonts w:ascii="Verdana" w:eastAsia="Calibri" w:hAnsi="Verdana" w:cs="Arial"/>
          <w:color w:val="000000"/>
          <w:lang w:eastAsia="es-ES_tradnl"/>
        </w:rPr>
        <w:t xml:space="preserve">   </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63E7" w:rsidRPr="009563E7" w14:paraId="42FEA832" w14:textId="77777777" w:rsidTr="00231963">
        <w:trPr>
          <w:trHeight w:val="870"/>
          <w:jc w:val="center"/>
        </w:trPr>
        <w:tc>
          <w:tcPr>
            <w:tcW w:w="8647" w:type="dxa"/>
          </w:tcPr>
          <w:p w14:paraId="20221AC7" w14:textId="77777777" w:rsidR="009563E7" w:rsidRPr="009563E7" w:rsidRDefault="009563E7" w:rsidP="009563E7">
            <w:pPr>
              <w:numPr>
                <w:ilvl w:val="0"/>
                <w:numId w:val="24"/>
              </w:numPr>
              <w:spacing w:before="120" w:after="120" w:line="276" w:lineRule="auto"/>
              <w:ind w:left="714" w:hanging="357"/>
              <w:jc w:val="both"/>
              <w:rPr>
                <w:rFonts w:ascii="Verdana" w:hAnsi="Verdana"/>
                <w:bCs/>
                <w:color w:val="000000"/>
                <w:lang w:val="es-ES_tradnl" w:eastAsia="es-ES_tradnl" w:bidi="es-ES"/>
              </w:rPr>
            </w:pPr>
            <w:r w:rsidRPr="009563E7">
              <w:rPr>
                <w:rFonts w:ascii="Verdana" w:hAnsi="Verdana"/>
                <w:bCs/>
                <w:color w:val="000000"/>
                <w:lang w:val="es-ES_tradnl" w:eastAsia="es-ES_tradnl" w:bidi="es-ES"/>
              </w:rPr>
              <w:t>Constitución Política de Colombia 1991, artículos 38, 209 y 355</w:t>
            </w:r>
          </w:p>
          <w:p w14:paraId="576A1151" w14:textId="77777777" w:rsidR="009563E7" w:rsidRPr="009563E7" w:rsidRDefault="009563E7" w:rsidP="009563E7">
            <w:pPr>
              <w:widowControl w:val="0"/>
              <w:numPr>
                <w:ilvl w:val="0"/>
                <w:numId w:val="24"/>
              </w:numPr>
              <w:autoSpaceDE w:val="0"/>
              <w:autoSpaceDN w:val="0"/>
              <w:spacing w:before="120" w:after="120" w:line="276" w:lineRule="auto"/>
              <w:ind w:left="714" w:hanging="357"/>
              <w:jc w:val="both"/>
              <w:rPr>
                <w:rFonts w:ascii="Verdana" w:hAnsi="Verdana" w:cs="Arial"/>
                <w:lang w:val="es-ES"/>
              </w:rPr>
            </w:pPr>
            <w:r w:rsidRPr="009563E7">
              <w:rPr>
                <w:rFonts w:ascii="Verdana" w:hAnsi="Verdana" w:cs="Arial"/>
                <w:lang w:val="es-ES"/>
              </w:rPr>
              <w:t xml:space="preserve">Ley 136 de 1994, artículos 3 y 141. </w:t>
            </w:r>
          </w:p>
          <w:p w14:paraId="1B274624" w14:textId="77777777" w:rsidR="009563E7" w:rsidRPr="009563E7" w:rsidRDefault="009563E7" w:rsidP="009563E7">
            <w:pPr>
              <w:widowControl w:val="0"/>
              <w:numPr>
                <w:ilvl w:val="0"/>
                <w:numId w:val="24"/>
              </w:numPr>
              <w:autoSpaceDE w:val="0"/>
              <w:autoSpaceDN w:val="0"/>
              <w:spacing w:before="120" w:after="120" w:line="276" w:lineRule="auto"/>
              <w:ind w:left="714" w:hanging="357"/>
              <w:jc w:val="both"/>
              <w:rPr>
                <w:rFonts w:ascii="Verdana" w:hAnsi="Verdana" w:cs="Arial"/>
                <w:lang w:val="es-ES"/>
              </w:rPr>
            </w:pPr>
            <w:r w:rsidRPr="009563E7">
              <w:rPr>
                <w:rFonts w:ascii="Verdana" w:hAnsi="Verdana" w:cs="Arial"/>
                <w:lang w:val="es-ES"/>
              </w:rPr>
              <w:t xml:space="preserve">Ley 1150 de 2007, artículo 2. </w:t>
            </w:r>
          </w:p>
          <w:p w14:paraId="4CBA9444" w14:textId="77777777" w:rsidR="009563E7" w:rsidRPr="009563E7" w:rsidRDefault="009563E7" w:rsidP="009563E7">
            <w:pPr>
              <w:widowControl w:val="0"/>
              <w:numPr>
                <w:ilvl w:val="0"/>
                <w:numId w:val="24"/>
              </w:numPr>
              <w:autoSpaceDE w:val="0"/>
              <w:autoSpaceDN w:val="0"/>
              <w:spacing w:before="120" w:after="120" w:line="276" w:lineRule="auto"/>
              <w:ind w:left="714" w:hanging="357"/>
              <w:jc w:val="both"/>
              <w:rPr>
                <w:rFonts w:ascii="Verdana" w:hAnsi="Verdana" w:cs="Arial"/>
                <w:lang w:val="es-ES"/>
              </w:rPr>
            </w:pPr>
            <w:r w:rsidRPr="009563E7">
              <w:rPr>
                <w:rFonts w:ascii="Verdana" w:hAnsi="Verdana" w:cs="Arial"/>
                <w:lang w:val="es-ES"/>
              </w:rPr>
              <w:t>Ley 2166 de 2021, artículos 7, 39, 63 y 95.</w:t>
            </w:r>
          </w:p>
          <w:p w14:paraId="2CD6CF98" w14:textId="77777777" w:rsidR="009563E7" w:rsidRPr="009563E7" w:rsidRDefault="009563E7" w:rsidP="009563E7">
            <w:pPr>
              <w:widowControl w:val="0"/>
              <w:numPr>
                <w:ilvl w:val="0"/>
                <w:numId w:val="24"/>
              </w:numPr>
              <w:autoSpaceDE w:val="0"/>
              <w:autoSpaceDN w:val="0"/>
              <w:spacing w:before="120" w:after="120" w:line="276" w:lineRule="auto"/>
              <w:ind w:left="714" w:hanging="357"/>
              <w:jc w:val="both"/>
              <w:rPr>
                <w:rFonts w:ascii="Verdana" w:hAnsi="Verdana"/>
                <w:bCs/>
                <w:color w:val="000000"/>
                <w:lang w:val="es-ES_tradnl" w:eastAsia="es-ES_tradnl" w:bidi="es-ES"/>
              </w:rPr>
            </w:pPr>
            <w:r w:rsidRPr="009563E7">
              <w:rPr>
                <w:rFonts w:ascii="Verdana" w:hAnsi="Verdana" w:cs="Arial"/>
                <w:lang w:val="es-ES"/>
              </w:rPr>
              <w:t>Ley 2294 del 2023, artículo 372.</w:t>
            </w:r>
          </w:p>
          <w:p w14:paraId="47E6BA5B" w14:textId="77777777" w:rsidR="009563E7" w:rsidRPr="009563E7" w:rsidRDefault="009563E7" w:rsidP="009563E7">
            <w:pPr>
              <w:widowControl w:val="0"/>
              <w:numPr>
                <w:ilvl w:val="0"/>
                <w:numId w:val="24"/>
              </w:numPr>
              <w:autoSpaceDE w:val="0"/>
              <w:autoSpaceDN w:val="0"/>
              <w:spacing w:before="120" w:after="120" w:line="276" w:lineRule="auto"/>
              <w:ind w:left="714" w:hanging="357"/>
              <w:jc w:val="both"/>
              <w:rPr>
                <w:rFonts w:ascii="Verdana" w:hAnsi="Verdana"/>
                <w:bCs/>
                <w:color w:val="000000"/>
                <w:lang w:val="es-ES_tradnl" w:eastAsia="es-ES_tradnl" w:bidi="es-ES"/>
              </w:rPr>
            </w:pPr>
            <w:r w:rsidRPr="009563E7">
              <w:rPr>
                <w:rFonts w:ascii="Verdana" w:hAnsi="Verdana"/>
                <w:bCs/>
                <w:color w:val="000000"/>
                <w:lang w:val="es-ES_tradnl" w:eastAsia="es-ES_tradnl" w:bidi="es-ES"/>
              </w:rPr>
              <w:t>Decreto 092 de 2017.</w:t>
            </w:r>
          </w:p>
          <w:p w14:paraId="7988217A" w14:textId="77777777" w:rsidR="009563E7" w:rsidRPr="009563E7" w:rsidRDefault="009563E7" w:rsidP="009563E7">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9563E7">
              <w:rPr>
                <w:rFonts w:ascii="Verdana" w:hAnsi="Verdana"/>
                <w:bCs/>
                <w:color w:val="000000"/>
                <w:lang w:val="es-ES_tradnl" w:eastAsia="es-ES_tradnl" w:bidi="es-ES"/>
              </w:rPr>
              <w:t xml:space="preserve">Corte Constitucional. Sentencia C-580 del 2001. M.P. Clara Inés Vargas Hernández. </w:t>
            </w:r>
          </w:p>
          <w:p w14:paraId="76793F27" w14:textId="77777777" w:rsidR="009563E7" w:rsidRPr="009563E7" w:rsidRDefault="009563E7" w:rsidP="009563E7">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9563E7">
              <w:rPr>
                <w:rFonts w:ascii="Verdana" w:hAnsi="Verdana"/>
                <w:bCs/>
                <w:color w:val="000000"/>
                <w:lang w:val="es-ES_tradnl" w:eastAsia="es-ES_tradnl" w:bidi="es-ES"/>
              </w:rPr>
              <w:t xml:space="preserve">Corte Constitucional. Sentencia C-106 de 2016. M.P. Jorge Ignacio Pretelt Chaljub. </w:t>
            </w:r>
          </w:p>
          <w:p w14:paraId="2478A27F" w14:textId="77777777" w:rsidR="009563E7" w:rsidRPr="009563E7" w:rsidRDefault="009563E7" w:rsidP="009563E7">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9563E7">
              <w:rPr>
                <w:rFonts w:ascii="Verdana" w:hAnsi="Verdana"/>
                <w:bCs/>
                <w:color w:val="000000"/>
                <w:lang w:val="es-ES_tradnl" w:eastAsia="es-ES_tradnl" w:bidi="es-ES"/>
              </w:rPr>
              <w:t xml:space="preserve">Agencia Nacional de Contratación Pública –Colombia Compra Eficiente. Guía para la celebración de convenios solidarios, 2025. Disponible en línea: </w:t>
            </w:r>
            <w:hyperlink r:id="rId13" w:history="1">
              <w:r w:rsidRPr="009563E7">
                <w:rPr>
                  <w:rFonts w:ascii="Verdana" w:hAnsi="Verdana"/>
                  <w:bCs/>
                  <w:color w:val="0000FF"/>
                  <w:u w:val="single"/>
                  <w:lang w:val="es-ES_tradnl" w:eastAsia="es-ES_tradnl" w:bidi="es-ES"/>
                </w:rPr>
                <w:t>https://www.colombiacompra.gov.co/archivos/manual/guia-para-la-celebracion-de-convenios-solidarios</w:t>
              </w:r>
            </w:hyperlink>
            <w:r w:rsidRPr="009563E7">
              <w:rPr>
                <w:rFonts w:ascii="Verdana" w:hAnsi="Verdana"/>
                <w:bCs/>
                <w:color w:val="000000"/>
                <w:lang w:val="es-ES_tradnl" w:eastAsia="es-ES_tradnl" w:bidi="es-ES"/>
              </w:rPr>
              <w:t xml:space="preserve"> </w:t>
            </w:r>
          </w:p>
        </w:tc>
      </w:tr>
    </w:tbl>
    <w:p w14:paraId="3E8759A2" w14:textId="77777777" w:rsidR="009563E7" w:rsidRPr="009563E7" w:rsidRDefault="009563E7" w:rsidP="009563E7">
      <w:pPr>
        <w:spacing w:after="0" w:line="276" w:lineRule="auto"/>
        <w:ind w:right="709"/>
        <w:jc w:val="both"/>
        <w:rPr>
          <w:rFonts w:ascii="Verdana" w:hAnsi="Verdana" w:cs="Arial"/>
          <w:color w:val="000000" w:themeColor="text1"/>
        </w:rPr>
      </w:pPr>
    </w:p>
    <w:p w14:paraId="69868307" w14:textId="77777777" w:rsidR="009563E7" w:rsidRPr="009563E7" w:rsidRDefault="009563E7" w:rsidP="009563E7">
      <w:pPr>
        <w:numPr>
          <w:ilvl w:val="0"/>
          <w:numId w:val="19"/>
        </w:numPr>
        <w:spacing w:after="0" w:line="276" w:lineRule="auto"/>
        <w:rPr>
          <w:rFonts w:ascii="Verdana" w:eastAsia="Calibri" w:hAnsi="Verdana" w:cs="Times New Roman"/>
          <w:b/>
          <w:bCs/>
          <w:lang w:val="es-ES"/>
        </w:rPr>
      </w:pPr>
      <w:r w:rsidRPr="009563E7">
        <w:rPr>
          <w:rFonts w:ascii="Verdana" w:eastAsia="Calibri" w:hAnsi="Verdana" w:cs="Times New Roman"/>
          <w:b/>
          <w:bCs/>
          <w:lang w:val="es-ES"/>
        </w:rPr>
        <w:t>Doctrina de la Agencia Nacional de Contratación Pública:</w:t>
      </w:r>
    </w:p>
    <w:p w14:paraId="685D81F3" w14:textId="77777777" w:rsidR="009563E7" w:rsidRPr="009563E7" w:rsidRDefault="009563E7" w:rsidP="009563E7">
      <w:pPr>
        <w:spacing w:after="0" w:line="276" w:lineRule="auto"/>
        <w:rPr>
          <w:rFonts w:ascii="Verdana" w:eastAsia="Calibri" w:hAnsi="Verdana" w:cs="Times New Roman"/>
          <w:lang w:val="es-ES"/>
        </w:rPr>
      </w:pPr>
    </w:p>
    <w:p w14:paraId="664F4262" w14:textId="77777777" w:rsidR="009563E7" w:rsidRPr="009563E7" w:rsidRDefault="009563E7" w:rsidP="009563E7">
      <w:pPr>
        <w:widowControl w:val="0"/>
        <w:autoSpaceDE w:val="0"/>
        <w:autoSpaceDN w:val="0"/>
        <w:spacing w:after="0" w:line="276" w:lineRule="auto"/>
        <w:jc w:val="both"/>
        <w:rPr>
          <w:rFonts w:ascii="Verdana" w:hAnsi="Verdana" w:cs="Arial"/>
          <w:shd w:val="clear" w:color="auto" w:fill="FFFFFF"/>
        </w:rPr>
      </w:pPr>
      <w:r w:rsidRPr="009563E7">
        <w:rPr>
          <w:rFonts w:ascii="Verdana" w:hAnsi="Verdana" w:cs="Arial"/>
          <w:shd w:val="clear" w:color="auto" w:fill="FFFFFF"/>
        </w:rPr>
        <w:lastRenderedPageBreak/>
        <w:t xml:space="preserve">La Subdirección de Gestión Contractual ha expedido los siguientes conceptos con respecto a los Convenios Solidarios: </w:t>
      </w:r>
      <w:r w:rsidRPr="009563E7">
        <w:rPr>
          <w:rFonts w:ascii="Verdana" w:eastAsia="Aptos" w:hAnsi="Verdana" w:cs="Arial"/>
          <w:shd w:val="clear" w:color="auto" w:fill="FFFFFF"/>
          <w:lang w:val="es-ES"/>
        </w:rPr>
        <w:t xml:space="preserve">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C-051 del 3 de mayo de 2024, C- 214  del 05 de agosto de 2024, C-261 del 03 de octubre del 2024, C-722 del 26 de noviembre del 2024, C-703 del 20 de noviembre del 2024, C-666 del 31 de noviembre del 2024, C-605 del 10 de diciembre de 2024 y C-027 del 30 de enero de 2025, C-356 del 2 de mayo de 2025, C-373 del 6 de mayo de 2025, C-428 del 7 de mayo de 2025, C-539 del 22 de mayo de 2025, entre otros. </w:t>
      </w:r>
      <w:r w:rsidRPr="009563E7">
        <w:rPr>
          <w:rFonts w:ascii="Verdana" w:hAnsi="Verdana" w:cs="Arial"/>
          <w:shd w:val="clear" w:color="auto" w:fill="FFFFFF"/>
        </w:rPr>
        <w:t xml:space="preserve">Estos y otros se encuentran disponibles para consulta en el Sistema de relatoría de la Agencia, al cual puede accederse a través del siguiente enlace: </w:t>
      </w:r>
      <w:hyperlink r:id="rId14" w:history="1">
        <w:r w:rsidRPr="009563E7">
          <w:rPr>
            <w:rFonts w:ascii="Verdana" w:hAnsi="Verdana" w:cs="Arial"/>
            <w:color w:val="0000FF"/>
            <w:u w:val="single"/>
            <w:shd w:val="clear" w:color="auto" w:fill="FFFFFF"/>
          </w:rPr>
          <w:t>https://relatoria.colombiacompra.gov.co/busqueda/conceptos</w:t>
        </w:r>
      </w:hyperlink>
      <w:r w:rsidRPr="009563E7">
        <w:rPr>
          <w:rFonts w:ascii="Verdana" w:hAnsi="Verdana" w:cs="Arial"/>
          <w:shd w:val="clear" w:color="auto" w:fill="FFFFFF"/>
        </w:rPr>
        <w:t xml:space="preserve">. </w:t>
      </w:r>
      <w:r w:rsidRPr="009563E7">
        <w:rPr>
          <w:rFonts w:ascii="Verdana" w:hAnsi="Verdana" w:cs="Arial"/>
          <w:shd w:val="clear" w:color="auto" w:fill="FFFFFF"/>
          <w:lang w:val="es-ES"/>
        </w:rPr>
        <w:t xml:space="preserve"> </w:t>
      </w:r>
    </w:p>
    <w:p w14:paraId="09B29427" w14:textId="77777777" w:rsidR="009563E7" w:rsidRPr="009563E7" w:rsidRDefault="009563E7" w:rsidP="009563E7">
      <w:pPr>
        <w:spacing w:after="0" w:line="276" w:lineRule="auto"/>
        <w:jc w:val="both"/>
        <w:rPr>
          <w:rFonts w:ascii="Verdana" w:hAnsi="Verdana"/>
        </w:rPr>
      </w:pPr>
    </w:p>
    <w:p w14:paraId="22EA5AE3" w14:textId="77777777" w:rsidR="009563E7" w:rsidRPr="009563E7" w:rsidRDefault="009563E7" w:rsidP="009563E7">
      <w:pPr>
        <w:spacing w:after="0" w:line="276" w:lineRule="auto"/>
        <w:jc w:val="both"/>
        <w:rPr>
          <w:rFonts w:ascii="Verdana" w:hAnsi="Verdana"/>
        </w:rPr>
      </w:pPr>
      <w:r w:rsidRPr="009563E7">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3AD6B38" w14:textId="77777777" w:rsidR="009563E7" w:rsidRPr="009563E7" w:rsidRDefault="009563E7" w:rsidP="009563E7">
      <w:pPr>
        <w:spacing w:after="0" w:line="276" w:lineRule="auto"/>
        <w:jc w:val="both"/>
        <w:rPr>
          <w:rFonts w:ascii="Verdana" w:hAnsi="Verdana"/>
        </w:rPr>
      </w:pPr>
    </w:p>
    <w:p w14:paraId="7EF6F205" w14:textId="77777777" w:rsidR="009563E7" w:rsidRPr="009563E7" w:rsidRDefault="009563E7" w:rsidP="009563E7">
      <w:pPr>
        <w:numPr>
          <w:ilvl w:val="0"/>
          <w:numId w:val="15"/>
        </w:numPr>
        <w:spacing w:after="0" w:line="276" w:lineRule="auto"/>
        <w:jc w:val="both"/>
        <w:rPr>
          <w:rFonts w:ascii="Verdana" w:hAnsi="Verdana"/>
          <w:lang w:val="es-ES"/>
        </w:rPr>
      </w:pPr>
      <w:r w:rsidRPr="009563E7">
        <w:rPr>
          <w:rFonts w:ascii="Verdana" w:hAnsi="Verdana"/>
          <w:lang w:val="es-ES"/>
        </w:rPr>
        <w:t>Línea nacional gratuita o servicio a la ciudadanía: 01800 0520808</w:t>
      </w:r>
    </w:p>
    <w:p w14:paraId="62AFB03C" w14:textId="77777777" w:rsidR="009563E7" w:rsidRPr="009563E7" w:rsidRDefault="009563E7" w:rsidP="009563E7">
      <w:pPr>
        <w:numPr>
          <w:ilvl w:val="0"/>
          <w:numId w:val="15"/>
        </w:numPr>
        <w:spacing w:after="0" w:line="276" w:lineRule="auto"/>
        <w:jc w:val="both"/>
        <w:rPr>
          <w:rFonts w:ascii="Verdana" w:hAnsi="Verdana"/>
          <w:lang w:val="es-ES"/>
        </w:rPr>
      </w:pPr>
      <w:r w:rsidRPr="009563E7">
        <w:rPr>
          <w:rFonts w:ascii="Verdana" w:hAnsi="Verdana"/>
          <w:lang w:val="es-ES"/>
        </w:rPr>
        <w:t>Línea en Bogotá (Mesa de servicio): +57 601 7456788</w:t>
      </w:r>
    </w:p>
    <w:p w14:paraId="0908E8E8" w14:textId="77777777" w:rsidR="009563E7" w:rsidRPr="009563E7" w:rsidRDefault="009563E7" w:rsidP="009563E7">
      <w:pPr>
        <w:numPr>
          <w:ilvl w:val="0"/>
          <w:numId w:val="15"/>
        </w:numPr>
        <w:spacing w:after="0" w:line="276" w:lineRule="auto"/>
        <w:jc w:val="both"/>
        <w:rPr>
          <w:rFonts w:ascii="Verdana" w:hAnsi="Verdana"/>
          <w:lang w:val="es-ES"/>
        </w:rPr>
      </w:pPr>
      <w:r w:rsidRPr="009563E7">
        <w:rPr>
          <w:rFonts w:ascii="Verdana" w:hAnsi="Verdana"/>
          <w:lang w:val="es-ES"/>
        </w:rPr>
        <w:t>Línea de servicio y atención al ciudadano: +57 601 7956600</w:t>
      </w:r>
    </w:p>
    <w:p w14:paraId="35DBD078" w14:textId="77777777" w:rsidR="009563E7" w:rsidRPr="009563E7" w:rsidRDefault="009563E7" w:rsidP="009563E7">
      <w:pPr>
        <w:numPr>
          <w:ilvl w:val="0"/>
          <w:numId w:val="15"/>
        </w:numPr>
        <w:spacing w:after="0" w:line="276" w:lineRule="auto"/>
        <w:jc w:val="both"/>
        <w:rPr>
          <w:rFonts w:ascii="Verdana" w:hAnsi="Verdana"/>
          <w:lang w:val="es-ES"/>
        </w:rPr>
      </w:pPr>
      <w:r w:rsidRPr="009563E7">
        <w:rPr>
          <w:rFonts w:ascii="Verdana" w:hAnsi="Verdana"/>
          <w:lang w:val="es-ES"/>
        </w:rPr>
        <w:t xml:space="preserve">Página web: </w:t>
      </w:r>
      <w:hyperlink r:id="rId15" w:history="1">
        <w:r w:rsidRPr="009563E7">
          <w:rPr>
            <w:rFonts w:ascii="Verdana" w:hAnsi="Verdana"/>
            <w:color w:val="0000FF"/>
            <w:u w:val="single"/>
            <w:lang w:val="es-ES"/>
          </w:rPr>
          <w:t>www.colombiacompra.gov.co</w:t>
        </w:r>
      </w:hyperlink>
    </w:p>
    <w:p w14:paraId="4CD94A4F" w14:textId="77777777" w:rsidR="009563E7" w:rsidRPr="009563E7" w:rsidRDefault="009563E7" w:rsidP="009563E7">
      <w:pPr>
        <w:spacing w:after="0" w:line="276" w:lineRule="auto"/>
        <w:ind w:left="785"/>
        <w:jc w:val="both"/>
        <w:rPr>
          <w:rFonts w:ascii="Verdana" w:hAnsi="Verdana"/>
          <w:lang w:val="es-ES"/>
        </w:rPr>
      </w:pPr>
    </w:p>
    <w:p w14:paraId="470493D0" w14:textId="77777777" w:rsidR="009563E7" w:rsidRPr="009563E7" w:rsidRDefault="009563E7" w:rsidP="009563E7">
      <w:pPr>
        <w:spacing w:after="0" w:line="276" w:lineRule="auto"/>
        <w:jc w:val="both"/>
        <w:rPr>
          <w:rFonts w:ascii="Verdana" w:hAnsi="Verdana"/>
        </w:rPr>
      </w:pPr>
      <w:r w:rsidRPr="009563E7">
        <w:rPr>
          <w:rFonts w:ascii="Verdana" w:hAnsi="Verdana"/>
        </w:rPr>
        <w:t xml:space="preserve">Por último, lo invitamos a seguirnos en las redes sociales en las cuales se difunde información institucional: </w:t>
      </w:r>
    </w:p>
    <w:p w14:paraId="15A7679C" w14:textId="77777777" w:rsidR="009563E7" w:rsidRPr="009563E7" w:rsidRDefault="009563E7" w:rsidP="009563E7">
      <w:pPr>
        <w:spacing w:after="0" w:line="276" w:lineRule="auto"/>
        <w:jc w:val="both"/>
        <w:rPr>
          <w:rFonts w:ascii="Verdana" w:hAnsi="Verdana"/>
        </w:rPr>
      </w:pPr>
    </w:p>
    <w:p w14:paraId="523E855E" w14:textId="77777777" w:rsidR="009563E7" w:rsidRPr="009563E7" w:rsidRDefault="009563E7" w:rsidP="009563E7">
      <w:pPr>
        <w:spacing w:after="0" w:line="276" w:lineRule="auto"/>
        <w:jc w:val="both"/>
        <w:rPr>
          <w:rFonts w:ascii="Verdana" w:hAnsi="Verdana"/>
        </w:rPr>
      </w:pPr>
      <w:r w:rsidRPr="009563E7">
        <w:rPr>
          <w:rFonts w:ascii="Verdana" w:hAnsi="Verdana"/>
        </w:rPr>
        <w:t xml:space="preserve">Twitter: </w:t>
      </w:r>
      <w:r w:rsidRPr="009563E7">
        <w:rPr>
          <w:rFonts w:ascii="Verdana" w:hAnsi="Verdana"/>
          <w:color w:val="0000FF"/>
          <w:u w:val="single"/>
        </w:rPr>
        <w:t>@colombiacompra</w:t>
      </w:r>
      <w:r w:rsidRPr="009563E7">
        <w:rPr>
          <w:rFonts w:ascii="Verdana" w:hAnsi="Verdana"/>
        </w:rPr>
        <w:t xml:space="preserve"> </w:t>
      </w:r>
    </w:p>
    <w:p w14:paraId="438F3BBE" w14:textId="77777777" w:rsidR="009563E7" w:rsidRPr="009563E7" w:rsidRDefault="009563E7" w:rsidP="009563E7">
      <w:pPr>
        <w:spacing w:after="0" w:line="276" w:lineRule="auto"/>
        <w:jc w:val="both"/>
        <w:rPr>
          <w:rFonts w:ascii="Verdana" w:hAnsi="Verdana"/>
        </w:rPr>
      </w:pPr>
      <w:r w:rsidRPr="009563E7">
        <w:rPr>
          <w:rFonts w:ascii="Verdana" w:hAnsi="Verdana"/>
        </w:rPr>
        <w:t xml:space="preserve">Facebook: </w:t>
      </w:r>
      <w:proofErr w:type="spellStart"/>
      <w:r w:rsidRPr="009563E7">
        <w:rPr>
          <w:rFonts w:ascii="Verdana" w:hAnsi="Verdana"/>
          <w:color w:val="0000FF"/>
          <w:u w:val="single"/>
        </w:rPr>
        <w:t>ColombiaCompraEficiente</w:t>
      </w:r>
      <w:proofErr w:type="spellEnd"/>
    </w:p>
    <w:p w14:paraId="68F3C4A2" w14:textId="77777777" w:rsidR="009563E7" w:rsidRPr="009563E7" w:rsidRDefault="009563E7" w:rsidP="009563E7">
      <w:pPr>
        <w:spacing w:after="0" w:line="276" w:lineRule="auto"/>
        <w:jc w:val="both"/>
        <w:rPr>
          <w:rFonts w:ascii="Verdana" w:hAnsi="Verdana"/>
        </w:rPr>
      </w:pPr>
      <w:r w:rsidRPr="009563E7">
        <w:rPr>
          <w:rFonts w:ascii="Verdana" w:hAnsi="Verdana"/>
        </w:rPr>
        <w:t xml:space="preserve">LinkedIn: </w:t>
      </w:r>
      <w:r w:rsidRPr="009563E7">
        <w:rPr>
          <w:rFonts w:ascii="Verdana" w:hAnsi="Verdana"/>
          <w:color w:val="0000FF"/>
          <w:u w:val="single"/>
        </w:rPr>
        <w:t>Agencia Nacional de Contratación Pública - Colombia Compra Eficiente</w:t>
      </w:r>
      <w:r w:rsidRPr="009563E7">
        <w:rPr>
          <w:rFonts w:ascii="Verdana" w:hAnsi="Verdana"/>
        </w:rPr>
        <w:t xml:space="preserve"> Instagram: </w:t>
      </w:r>
      <w:r w:rsidRPr="009563E7">
        <w:rPr>
          <w:rFonts w:ascii="Verdana" w:hAnsi="Verdana"/>
          <w:color w:val="0000FF"/>
          <w:u w:val="single"/>
        </w:rPr>
        <w:t>@colombiacompraeficiente_cce</w:t>
      </w:r>
    </w:p>
    <w:p w14:paraId="6ACB682B" w14:textId="77777777" w:rsidR="009563E7" w:rsidRPr="009563E7" w:rsidRDefault="009563E7" w:rsidP="009563E7">
      <w:pPr>
        <w:spacing w:after="0" w:line="276" w:lineRule="auto"/>
        <w:jc w:val="both"/>
        <w:rPr>
          <w:rFonts w:ascii="Verdana" w:hAnsi="Verdana"/>
        </w:rPr>
      </w:pPr>
    </w:p>
    <w:p w14:paraId="18683A5A" w14:textId="77777777" w:rsidR="009563E7" w:rsidRPr="009563E7" w:rsidRDefault="009563E7" w:rsidP="009563E7">
      <w:pPr>
        <w:spacing w:after="0" w:line="276" w:lineRule="auto"/>
        <w:jc w:val="both"/>
        <w:rPr>
          <w:rFonts w:ascii="Verdana" w:eastAsia="Calibri" w:hAnsi="Verdana" w:cs="Times New Roman"/>
          <w:bCs/>
          <w:lang w:val="es-ES_tradnl"/>
        </w:rPr>
      </w:pPr>
      <w:r w:rsidRPr="009563E7">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9563E7">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71934491" w14:textId="77777777" w:rsidR="009563E7" w:rsidRPr="009563E7" w:rsidRDefault="009563E7" w:rsidP="009563E7">
      <w:pPr>
        <w:spacing w:after="0" w:line="276" w:lineRule="auto"/>
        <w:jc w:val="both"/>
        <w:rPr>
          <w:rFonts w:ascii="Verdana" w:hAnsi="Verdana"/>
        </w:rPr>
      </w:pPr>
    </w:p>
    <w:p w14:paraId="3DEF3A12" w14:textId="1CA5E0B4" w:rsidR="009563E7" w:rsidRDefault="009563E7" w:rsidP="00D47296">
      <w:pPr>
        <w:spacing w:after="0" w:line="276" w:lineRule="auto"/>
        <w:jc w:val="both"/>
        <w:rPr>
          <w:rFonts w:ascii="Verdana" w:hAnsi="Verdana"/>
          <w:lang w:val="es-MX"/>
        </w:rPr>
      </w:pPr>
      <w:r w:rsidRPr="009563E7">
        <w:rPr>
          <w:rFonts w:ascii="Verdana" w:hAnsi="Verdana"/>
          <w:lang w:val="es-MX"/>
        </w:rPr>
        <w:t>Cordialmente,</w:t>
      </w:r>
    </w:p>
    <w:p w14:paraId="22AA1243" w14:textId="77777777" w:rsidR="00D47296" w:rsidRPr="00D47296" w:rsidRDefault="00D47296" w:rsidP="00D47296">
      <w:pPr>
        <w:spacing w:after="0" w:line="276" w:lineRule="auto"/>
        <w:jc w:val="both"/>
        <w:rPr>
          <w:rFonts w:ascii="Verdana" w:hAnsi="Verdana"/>
          <w:lang w:val="es-MX"/>
        </w:rPr>
      </w:pPr>
    </w:p>
    <w:p w14:paraId="1D93ACB1" w14:textId="14C16FD3" w:rsidR="009563E7" w:rsidRPr="009563E7" w:rsidRDefault="00D47296" w:rsidP="009563E7">
      <w:pPr>
        <w:spacing w:after="0" w:line="27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5BEBB28A" wp14:editId="7C2D3D82">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4554C835" w14:textId="77777777" w:rsidR="009563E7" w:rsidRPr="009563E7" w:rsidRDefault="009563E7" w:rsidP="009563E7">
      <w:pPr>
        <w:spacing w:after="0" w:line="276" w:lineRule="auto"/>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563E7" w:rsidRPr="009563E7" w14:paraId="728EBBEF" w14:textId="77777777" w:rsidTr="00231963">
        <w:trPr>
          <w:trHeight w:val="409"/>
        </w:trPr>
        <w:tc>
          <w:tcPr>
            <w:tcW w:w="817" w:type="dxa"/>
            <w:tcBorders>
              <w:top w:val="nil"/>
              <w:left w:val="nil"/>
              <w:bottom w:val="nil"/>
              <w:right w:val="nil"/>
            </w:tcBorders>
            <w:vAlign w:val="center"/>
            <w:hideMark/>
          </w:tcPr>
          <w:p w14:paraId="60918526"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9ADF239"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José Luis Sánchez Cardona</w:t>
            </w:r>
          </w:p>
          <w:p w14:paraId="3132525E"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Contratista de la Subdirección de Gestión Contractual</w:t>
            </w:r>
          </w:p>
        </w:tc>
      </w:tr>
      <w:tr w:rsidR="009563E7" w:rsidRPr="009563E7" w14:paraId="3624D0D8" w14:textId="77777777" w:rsidTr="00231963">
        <w:trPr>
          <w:trHeight w:val="409"/>
        </w:trPr>
        <w:tc>
          <w:tcPr>
            <w:tcW w:w="817" w:type="dxa"/>
            <w:tcBorders>
              <w:top w:val="nil"/>
              <w:left w:val="nil"/>
              <w:bottom w:val="nil"/>
              <w:right w:val="nil"/>
            </w:tcBorders>
            <w:vAlign w:val="center"/>
            <w:hideMark/>
          </w:tcPr>
          <w:p w14:paraId="68CCAD38"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1E1EAE"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Alejandro Sarmiento Cantillo</w:t>
            </w:r>
          </w:p>
          <w:p w14:paraId="118BAAD1"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Gestor T1-15 de la Subdirección de Gestión Contractual </w:t>
            </w:r>
          </w:p>
        </w:tc>
      </w:tr>
      <w:tr w:rsidR="009563E7" w:rsidRPr="009563E7" w14:paraId="2C1F8B48" w14:textId="77777777" w:rsidTr="00231963">
        <w:trPr>
          <w:trHeight w:val="389"/>
        </w:trPr>
        <w:tc>
          <w:tcPr>
            <w:tcW w:w="817" w:type="dxa"/>
            <w:tcBorders>
              <w:top w:val="nil"/>
              <w:left w:val="nil"/>
              <w:bottom w:val="nil"/>
              <w:right w:val="nil"/>
            </w:tcBorders>
            <w:vAlign w:val="center"/>
            <w:hideMark/>
          </w:tcPr>
          <w:p w14:paraId="3D6CBBCC"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6D45F9"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 xml:space="preserve">Carolina Quintero </w:t>
            </w:r>
            <w:proofErr w:type="spellStart"/>
            <w:r w:rsidRPr="009563E7">
              <w:rPr>
                <w:rFonts w:ascii="Verdana" w:eastAsia="Calibri" w:hAnsi="Verdana" w:cs="Times New Roman"/>
                <w:sz w:val="16"/>
                <w:szCs w:val="16"/>
              </w:rPr>
              <w:t>Gacharná</w:t>
            </w:r>
            <w:proofErr w:type="spellEnd"/>
          </w:p>
          <w:p w14:paraId="6E221228" w14:textId="77777777" w:rsidR="009563E7" w:rsidRPr="009563E7" w:rsidRDefault="009563E7" w:rsidP="009563E7">
            <w:pPr>
              <w:spacing w:after="0" w:line="256" w:lineRule="auto"/>
              <w:rPr>
                <w:rFonts w:ascii="Verdana" w:eastAsia="Calibri" w:hAnsi="Verdana" w:cs="Times New Roman"/>
                <w:sz w:val="16"/>
                <w:szCs w:val="16"/>
              </w:rPr>
            </w:pPr>
            <w:r w:rsidRPr="009563E7">
              <w:rPr>
                <w:rFonts w:ascii="Verdana" w:eastAsia="Calibri" w:hAnsi="Verdana" w:cs="Times New Roman"/>
                <w:sz w:val="16"/>
                <w:szCs w:val="16"/>
              </w:rPr>
              <w:t>Subdirectora de Gestión Contractual ANCP – CCE</w:t>
            </w:r>
          </w:p>
        </w:tc>
      </w:tr>
    </w:tbl>
    <w:p w14:paraId="512F21A5" w14:textId="77777777" w:rsidR="009563E7" w:rsidRPr="009563E7" w:rsidRDefault="009563E7" w:rsidP="009563E7"/>
    <w:bookmarkEnd w:id="0"/>
    <w:p w14:paraId="182AA4A4" w14:textId="77777777" w:rsidR="009563E7" w:rsidRPr="009563E7" w:rsidRDefault="009563E7" w:rsidP="009563E7">
      <w:pPr>
        <w:spacing w:after="0" w:line="240" w:lineRule="auto"/>
        <w:textAlignment w:val="baseline"/>
        <w:rPr>
          <w:rFonts w:ascii="Verdana" w:eastAsia="Times New Roman" w:hAnsi="Verdana" w:cs="Segoe UI"/>
          <w:b/>
          <w:bCs/>
          <w:color w:val="46589C"/>
          <w:lang w:val="es-ES" w:eastAsia="es-CO"/>
        </w:rPr>
      </w:pPr>
    </w:p>
    <w:p w14:paraId="0F293BF4" w14:textId="786808B8" w:rsidR="00127233" w:rsidRPr="009563E7" w:rsidRDefault="00127233" w:rsidP="009563E7">
      <w:pPr>
        <w:rPr>
          <w:lang w:val="es-ES"/>
        </w:rPr>
      </w:pPr>
    </w:p>
    <w:sectPr w:rsidR="00127233" w:rsidRPr="009563E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D429B" w14:textId="77777777" w:rsidR="004443A2" w:rsidRDefault="004443A2" w:rsidP="004A1847">
      <w:pPr>
        <w:spacing w:after="0" w:line="240" w:lineRule="auto"/>
      </w:pPr>
      <w:r>
        <w:separator/>
      </w:r>
    </w:p>
  </w:endnote>
  <w:endnote w:type="continuationSeparator" w:id="0">
    <w:p w14:paraId="25654DC8" w14:textId="77777777" w:rsidR="004443A2" w:rsidRDefault="004443A2" w:rsidP="004A1847">
      <w:pPr>
        <w:spacing w:after="0" w:line="240" w:lineRule="auto"/>
      </w:pPr>
      <w:r>
        <w:continuationSeparator/>
      </w:r>
    </w:p>
  </w:endnote>
  <w:endnote w:type="continuationNotice" w:id="1">
    <w:p w14:paraId="6D67E260" w14:textId="77777777" w:rsidR="004443A2" w:rsidRDefault="00444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3783B" w:rsidRDefault="00A3783B">
    <w:pPr>
      <w:pStyle w:val="Piedepgina"/>
    </w:pPr>
  </w:p>
  <w:p w14:paraId="594D6D9F" w14:textId="64A4B078" w:rsidR="00A3783B" w:rsidRPr="00174B77" w:rsidRDefault="00A3783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47296" w:rsidRPr="00D47296">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3783B" w:rsidRDefault="00A3783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3783B" w:rsidRPr="00E41027" w:rsidRDefault="00A3783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3783B" w:rsidRDefault="00A3783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3E352" w14:textId="77777777" w:rsidR="004443A2" w:rsidRDefault="004443A2" w:rsidP="004A1847">
      <w:pPr>
        <w:spacing w:after="0" w:line="240" w:lineRule="auto"/>
      </w:pPr>
      <w:r>
        <w:separator/>
      </w:r>
    </w:p>
  </w:footnote>
  <w:footnote w:type="continuationSeparator" w:id="0">
    <w:p w14:paraId="2F3945D9" w14:textId="77777777" w:rsidR="004443A2" w:rsidRDefault="004443A2" w:rsidP="004A1847">
      <w:pPr>
        <w:spacing w:after="0" w:line="240" w:lineRule="auto"/>
      </w:pPr>
      <w:r>
        <w:continuationSeparator/>
      </w:r>
    </w:p>
  </w:footnote>
  <w:footnote w:type="continuationNotice" w:id="1">
    <w:p w14:paraId="0A6D2E77" w14:textId="77777777" w:rsidR="004443A2" w:rsidRDefault="004443A2">
      <w:pPr>
        <w:spacing w:after="0" w:line="240" w:lineRule="auto"/>
      </w:pPr>
    </w:p>
  </w:footnote>
  <w:footnote w:id="2">
    <w:p w14:paraId="2EF5553E" w14:textId="77777777" w:rsidR="009563E7" w:rsidRPr="006D1F4A" w:rsidRDefault="009563E7" w:rsidP="009563E7">
      <w:pPr>
        <w:pStyle w:val="Textonotapie"/>
        <w:ind w:firstLine="708"/>
        <w:jc w:val="both"/>
        <w:rPr>
          <w:rFonts w:ascii="Verdana" w:hAnsi="Verdana" w:cs="Arial"/>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w:t>
      </w:r>
      <w:r>
        <w:rPr>
          <w:rFonts w:ascii="Verdana" w:hAnsi="Verdana" w:cs="Arial"/>
          <w:sz w:val="16"/>
          <w:szCs w:val="16"/>
          <w:lang w:val="es-CO"/>
        </w:rPr>
        <w:t>Corte Constitucional. Sentencia C-580 del 2001.</w:t>
      </w:r>
      <w:r w:rsidRPr="006D1F4A">
        <w:rPr>
          <w:rFonts w:ascii="Verdana" w:hAnsi="Verdana" w:cs="Arial"/>
          <w:sz w:val="16"/>
          <w:szCs w:val="16"/>
          <w:lang w:val="es-CO"/>
        </w:rPr>
        <w:t xml:space="preserve"> M.P. Clara Inés Vargas Hernández</w:t>
      </w:r>
      <w:r>
        <w:rPr>
          <w:rFonts w:ascii="Verdana" w:hAnsi="Verdana" w:cs="Arial"/>
          <w:sz w:val="16"/>
          <w:szCs w:val="16"/>
          <w:lang w:val="es-CO"/>
        </w:rPr>
        <w:t>.</w:t>
      </w:r>
      <w:r w:rsidRPr="006D1F4A">
        <w:rPr>
          <w:rFonts w:ascii="Verdana" w:hAnsi="Verdana" w:cs="Arial"/>
          <w:sz w:val="16"/>
          <w:szCs w:val="16"/>
          <w:lang w:val="es-CO"/>
        </w:rPr>
        <w:t xml:space="preserve"> </w:t>
      </w:r>
    </w:p>
  </w:footnote>
  <w:footnote w:id="3">
    <w:p w14:paraId="14D3EAC4" w14:textId="77777777" w:rsidR="009563E7" w:rsidRPr="006D1F4A" w:rsidRDefault="009563E7" w:rsidP="009563E7">
      <w:pPr>
        <w:pStyle w:val="Textonotapie"/>
        <w:ind w:firstLine="708"/>
        <w:jc w:val="both"/>
        <w:rPr>
          <w:rFonts w:ascii="Verdana" w:hAnsi="Verdana" w:cs="Arial"/>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4">
    <w:p w14:paraId="20E2205F" w14:textId="77777777" w:rsidR="009563E7" w:rsidRPr="006D1F4A" w:rsidRDefault="009563E7" w:rsidP="009563E7">
      <w:pPr>
        <w:pStyle w:val="Textonotapie"/>
        <w:spacing w:before="120" w:after="120"/>
        <w:ind w:firstLine="708"/>
        <w:jc w:val="both"/>
        <w:rPr>
          <w:rFonts w:ascii="Verdana" w:hAnsi="Verdana" w:cs="Arial"/>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w:t>
      </w:r>
      <w:r>
        <w:rPr>
          <w:rFonts w:ascii="Verdana" w:hAnsi="Verdana" w:cs="Arial"/>
          <w:sz w:val="16"/>
          <w:szCs w:val="16"/>
          <w:lang w:val="es-CO"/>
        </w:rPr>
        <w:t xml:space="preserve">Corte Constitucional. Sentencia C-106 de 2016. </w:t>
      </w:r>
      <w:r w:rsidRPr="006D1F4A">
        <w:rPr>
          <w:rFonts w:ascii="Verdana" w:hAnsi="Verdana" w:cs="Arial"/>
          <w:sz w:val="16"/>
          <w:szCs w:val="16"/>
          <w:lang w:val="es-CO"/>
        </w:rPr>
        <w:t>M.P. Jorge Igna</w:t>
      </w:r>
      <w:r>
        <w:rPr>
          <w:rFonts w:ascii="Verdana" w:hAnsi="Verdana" w:cs="Arial"/>
          <w:sz w:val="16"/>
          <w:szCs w:val="16"/>
          <w:lang w:val="es-CO"/>
        </w:rPr>
        <w:t xml:space="preserve">cio Pretelt Chaljub. </w:t>
      </w:r>
    </w:p>
  </w:footnote>
  <w:footnote w:id="5">
    <w:p w14:paraId="1E0094B6" w14:textId="77777777" w:rsidR="009563E7" w:rsidRPr="006D1F4A" w:rsidRDefault="009563E7" w:rsidP="009563E7">
      <w:pPr>
        <w:pStyle w:val="Textonotapie"/>
        <w:ind w:firstLine="709"/>
        <w:jc w:val="both"/>
        <w:rPr>
          <w:rFonts w:ascii="Verdana" w:hAnsi="Verdana" w:cs="Arial"/>
          <w:color w:val="000000"/>
          <w:sz w:val="16"/>
          <w:szCs w:val="16"/>
          <w:lang w:val="es-CO"/>
        </w:rPr>
      </w:pPr>
      <w:r w:rsidRPr="006D1F4A">
        <w:rPr>
          <w:rStyle w:val="Refdenotaalpie"/>
          <w:rFonts w:ascii="Verdana" w:hAnsi="Verdana" w:cs="Arial"/>
          <w:sz w:val="16"/>
          <w:szCs w:val="16"/>
        </w:rPr>
        <w:footnoteRef/>
      </w:r>
      <w:r w:rsidRPr="006D1F4A">
        <w:rPr>
          <w:rFonts w:ascii="Verdana" w:hAnsi="Verdana" w:cs="Arial"/>
          <w:sz w:val="16"/>
          <w:szCs w:val="16"/>
        </w:rPr>
        <w:t xml:space="preserve"> </w:t>
      </w:r>
      <w:r w:rsidRPr="006D1F4A">
        <w:rPr>
          <w:rFonts w:ascii="Verdana" w:hAnsi="Verdana" w:cs="Arial"/>
          <w:sz w:val="16"/>
          <w:szCs w:val="16"/>
          <w:lang w:val="es-ES"/>
        </w:rPr>
        <w:t>El numeral 16 del artículo tercero de la Ley 136 de 1994 dispone:</w:t>
      </w:r>
      <w:r w:rsidRPr="006D1F4A">
        <w:rPr>
          <w:rFonts w:ascii="Verdana" w:hAnsi="Verdana" w:cs="Arial"/>
          <w:color w:val="000000"/>
          <w:sz w:val="16"/>
          <w:szCs w:val="16"/>
          <w:lang w:val="es-CO"/>
        </w:rPr>
        <w:t xml:space="preserve"> “[…] </w:t>
      </w:r>
      <w:r w:rsidRPr="006D1F4A">
        <w:rPr>
          <w:rFonts w:ascii="Verdana" w:hAnsi="Verdana"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6D1F4A">
        <w:rPr>
          <w:rFonts w:ascii="Verdana" w:hAnsi="Verdana" w:cs="Arial"/>
          <w:color w:val="000000"/>
          <w:sz w:val="16"/>
          <w:szCs w:val="16"/>
          <w:lang w:val="es-CO"/>
        </w:rPr>
        <w:t xml:space="preserve"> […]”.</w:t>
      </w:r>
    </w:p>
    <w:p w14:paraId="1755C670" w14:textId="77777777" w:rsidR="009563E7" w:rsidRPr="006D1F4A" w:rsidRDefault="009563E7" w:rsidP="009563E7">
      <w:pPr>
        <w:pStyle w:val="Textonotapie"/>
        <w:ind w:firstLine="709"/>
        <w:jc w:val="both"/>
        <w:rPr>
          <w:rFonts w:ascii="Verdana" w:hAnsi="Verdana" w:cs="Arial"/>
          <w:sz w:val="16"/>
          <w:szCs w:val="16"/>
          <w:lang w:val="es-ES"/>
        </w:rPr>
      </w:pPr>
    </w:p>
  </w:footnote>
  <w:footnote w:id="6">
    <w:p w14:paraId="50AA72A1" w14:textId="77777777" w:rsidR="009563E7" w:rsidRPr="00FB675F" w:rsidRDefault="009563E7" w:rsidP="009563E7">
      <w:pPr>
        <w:pStyle w:val="Textonotapie"/>
        <w:ind w:firstLine="708"/>
        <w:jc w:val="both"/>
        <w:rPr>
          <w:rFonts w:ascii="Verdana" w:hAnsi="Verdana"/>
          <w:sz w:val="16"/>
          <w:szCs w:val="16"/>
          <w:lang w:val="es-ES"/>
        </w:rPr>
      </w:pPr>
      <w:r w:rsidRPr="00FB675F">
        <w:rPr>
          <w:rStyle w:val="Refdenotaalpie"/>
          <w:rFonts w:ascii="Verdana" w:hAnsi="Verdana"/>
          <w:sz w:val="16"/>
          <w:szCs w:val="16"/>
        </w:rPr>
        <w:footnoteRef/>
      </w:r>
      <w:r w:rsidRPr="00FB675F">
        <w:rPr>
          <w:rFonts w:ascii="Verdana" w:hAnsi="Verdana"/>
          <w:sz w:val="16"/>
          <w:szCs w:val="16"/>
        </w:rPr>
        <w:t xml:space="preserve"> Agencia Nacional de Contratación Pública –Colombia Compra Eficiente. Guía para la celebración de convenios solidarios, 2025. Disponible en línea: </w:t>
      </w:r>
      <w:hyperlink r:id="rId1" w:history="1">
        <w:r w:rsidRPr="00FB675F">
          <w:rPr>
            <w:rStyle w:val="Hipervnculo"/>
            <w:rFonts w:ascii="Verdana" w:hAnsi="Verdana"/>
            <w:sz w:val="16"/>
            <w:szCs w:val="16"/>
          </w:rPr>
          <w:t>https://www.colombiacompra.gov.co/archivos/manual/guia-para-la-celebracion-de-convenios-solidarios</w:t>
        </w:r>
      </w:hyperlink>
      <w:r w:rsidRPr="00FB675F">
        <w:rPr>
          <w:rFonts w:ascii="Verdana" w:hAnsi="Verdana"/>
          <w:sz w:val="16"/>
          <w:szCs w:val="16"/>
        </w:rPr>
        <w:t xml:space="preserve"> </w:t>
      </w:r>
    </w:p>
  </w:footnote>
  <w:footnote w:id="7">
    <w:p w14:paraId="35FC7051" w14:textId="77777777" w:rsidR="009563E7" w:rsidRPr="00FB675F" w:rsidRDefault="009563E7" w:rsidP="009563E7">
      <w:pPr>
        <w:pStyle w:val="Textonotapie"/>
        <w:ind w:firstLine="708"/>
        <w:contextualSpacing/>
        <w:jc w:val="both"/>
        <w:rPr>
          <w:rFonts w:ascii="Verdana" w:hAnsi="Verdana"/>
          <w:sz w:val="16"/>
          <w:szCs w:val="16"/>
        </w:rPr>
      </w:pPr>
      <w:r w:rsidRPr="00FB675F">
        <w:rPr>
          <w:rStyle w:val="Refdenotaalpie"/>
          <w:rFonts w:ascii="Verdana" w:hAnsi="Verdana"/>
          <w:sz w:val="16"/>
          <w:szCs w:val="16"/>
        </w:rPr>
        <w:footnoteRef/>
      </w:r>
      <w:r w:rsidRPr="00FB675F">
        <w:rPr>
          <w:rFonts w:ascii="Verdana" w:hAnsi="Verdana"/>
          <w:sz w:val="16"/>
          <w:szCs w:val="16"/>
        </w:rPr>
        <w:t xml:space="preserve"> Ley 2166 de 2021, 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06DA77F" w14:textId="77777777" w:rsidR="009563E7" w:rsidRPr="00FB675F" w:rsidRDefault="009563E7" w:rsidP="009563E7">
      <w:pPr>
        <w:pStyle w:val="Textonotapie"/>
        <w:ind w:firstLine="708"/>
        <w:contextualSpacing/>
        <w:jc w:val="both"/>
        <w:rPr>
          <w:rFonts w:ascii="Verdana" w:hAnsi="Verdana"/>
          <w:sz w:val="16"/>
          <w:szCs w:val="16"/>
        </w:rPr>
      </w:pPr>
      <w:r w:rsidRPr="00FB675F">
        <w:rPr>
          <w:rFonts w:ascii="Verdana" w:hAnsi="Verdana"/>
          <w:sz w:val="16"/>
          <w:szCs w:val="16"/>
        </w:rPr>
        <w:t xml:space="preserve">Parágrafo 1. Los entes podrán incluir en el monto total de los Convenios Solidarios los costos directos, los costos administrativos y el Subsidio al dignatario representante legal para transportes de que trata el literal c) del artículo 38 de la presente ley. </w:t>
      </w:r>
    </w:p>
    <w:p w14:paraId="79BF8554" w14:textId="77777777" w:rsidR="009563E7" w:rsidRPr="00FB675F" w:rsidRDefault="009563E7" w:rsidP="009563E7">
      <w:pPr>
        <w:pStyle w:val="Textonotapie"/>
        <w:ind w:firstLine="708"/>
        <w:contextualSpacing/>
        <w:jc w:val="both"/>
        <w:rPr>
          <w:rFonts w:ascii="Verdana" w:hAnsi="Verdana"/>
          <w:sz w:val="16"/>
          <w:szCs w:val="16"/>
          <w:lang w:val="es-ES"/>
        </w:rPr>
      </w:pPr>
      <w:r w:rsidRPr="00FB675F">
        <w:rPr>
          <w:rFonts w:ascii="Verdana" w:hAnsi="Verdana"/>
          <w:sz w:val="16"/>
          <w:szCs w:val="16"/>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8">
    <w:p w14:paraId="436AF1AF" w14:textId="77777777" w:rsidR="009563E7" w:rsidRPr="00FB675F" w:rsidRDefault="009563E7" w:rsidP="009563E7">
      <w:pPr>
        <w:pStyle w:val="Textonotapie"/>
        <w:ind w:firstLine="708"/>
        <w:jc w:val="both"/>
        <w:rPr>
          <w:rFonts w:ascii="Verdana" w:hAnsi="Verdana"/>
          <w:sz w:val="16"/>
          <w:szCs w:val="16"/>
          <w:lang w:val="es-CO"/>
        </w:rPr>
      </w:pPr>
      <w:r w:rsidRPr="00FB675F">
        <w:rPr>
          <w:rStyle w:val="Refdenotaalpie"/>
          <w:rFonts w:ascii="Verdana" w:hAnsi="Verdana"/>
          <w:sz w:val="16"/>
          <w:szCs w:val="16"/>
        </w:rPr>
        <w:footnoteRef/>
      </w:r>
      <w:r w:rsidRPr="00FB675F">
        <w:rPr>
          <w:rFonts w:ascii="Verdana" w:hAnsi="Verdana"/>
          <w:sz w:val="16"/>
          <w:szCs w:val="16"/>
        </w:rPr>
        <w:t xml:space="preserve"> </w:t>
      </w:r>
      <w:r w:rsidRPr="00FB675F">
        <w:rPr>
          <w:rFonts w:ascii="Verdana" w:hAnsi="Verdana"/>
          <w:bCs/>
          <w:sz w:val="16"/>
          <w:szCs w:val="16"/>
          <w:lang w:val="es-CO"/>
        </w:rPr>
        <w:t>Artículo 7</w:t>
      </w:r>
      <w:r w:rsidRPr="00FB675F">
        <w:rPr>
          <w:rFonts w:ascii="Verdana" w:hAnsi="Verdana"/>
          <w:b/>
          <w:bCs/>
          <w:sz w:val="16"/>
          <w:szCs w:val="16"/>
          <w:lang w:val="es-CO"/>
        </w:rPr>
        <w:t>.</w:t>
      </w:r>
      <w:r w:rsidRPr="00FB675F">
        <w:rPr>
          <w:rFonts w:ascii="Verdana" w:hAnsi="Verdana"/>
          <w:sz w:val="16"/>
          <w:szCs w:val="16"/>
          <w:lang w:val="es-CO"/>
        </w:rPr>
        <w:t> Organismos de la Acción Comunal.  </w:t>
      </w:r>
    </w:p>
    <w:p w14:paraId="78C69E50"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w:t>
      </w:r>
    </w:p>
    <w:p w14:paraId="76B457CC"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  </w:t>
      </w:r>
    </w:p>
    <w:p w14:paraId="7F992D4F"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  </w:t>
      </w:r>
    </w:p>
    <w:p w14:paraId="326C27CF"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  </w:t>
      </w:r>
    </w:p>
    <w:p w14:paraId="7A4010A1"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  </w:t>
      </w:r>
    </w:p>
    <w:p w14:paraId="06CAE7EE" w14:textId="77777777" w:rsidR="009563E7" w:rsidRPr="006D1F4A" w:rsidRDefault="009563E7" w:rsidP="009563E7">
      <w:pPr>
        <w:pStyle w:val="Textonotapie"/>
        <w:jc w:val="both"/>
        <w:rPr>
          <w:rFonts w:ascii="Verdana" w:hAnsi="Verdana"/>
          <w:sz w:val="16"/>
          <w:szCs w:val="16"/>
          <w:lang w:val="es-CO"/>
        </w:rPr>
      </w:pPr>
      <w:r w:rsidRPr="006D1F4A">
        <w:rPr>
          <w:rFonts w:ascii="Verdana" w:hAnsi="Verdana"/>
          <w:bCs/>
          <w:sz w:val="16"/>
          <w:szCs w:val="16"/>
          <w:lang w:val="es-CO"/>
        </w:rPr>
        <w:t>Parágrafo 1</w:t>
      </w:r>
      <w:r w:rsidRPr="006D1F4A">
        <w:rPr>
          <w:rFonts w:ascii="Verdana" w:hAnsi="Verdana"/>
          <w:b/>
          <w:bCs/>
          <w:sz w:val="16"/>
          <w:szCs w:val="16"/>
          <w:lang w:val="es-CO"/>
        </w:rPr>
        <w:t>.</w:t>
      </w:r>
      <w:r w:rsidRPr="006D1F4A">
        <w:rPr>
          <w:rFonts w:ascii="Verdana" w:hAnsi="Verdana"/>
          <w:sz w:val="16"/>
          <w:szCs w:val="16"/>
          <w:lang w:val="es-CO"/>
        </w:rPr>
        <w:t> Cada organismo de acción comunal, se dará su propio reglamento conforme al marco brindado por esta ley enunciado en el artículo 1 y las normas que le sucedan.  </w:t>
      </w:r>
    </w:p>
    <w:p w14:paraId="31303741"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bCs/>
          <w:sz w:val="16"/>
          <w:szCs w:val="16"/>
          <w:lang w:val="es-CO"/>
        </w:rPr>
        <w:t>Parágrafo 2</w:t>
      </w:r>
      <w:r w:rsidRPr="006D1F4A">
        <w:rPr>
          <w:rFonts w:ascii="Verdana" w:hAnsi="Verdana"/>
          <w:b/>
          <w:bCs/>
          <w:sz w:val="16"/>
          <w:szCs w:val="16"/>
          <w:lang w:val="es-CO"/>
        </w:rPr>
        <w:t>.</w:t>
      </w:r>
      <w:r w:rsidRPr="006D1F4A">
        <w:rPr>
          <w:rFonts w:ascii="Verdana" w:hAnsi="Verdana"/>
          <w:sz w:val="16"/>
          <w:szCs w:val="16"/>
          <w:lang w:val="es-CO"/>
        </w:rPr>
        <w:t> Dentro del año siguiente a la expedición de la presente Ley en concertación con la organización social de la Acción Comunal, el Gobierno Nacional expedirá una reglamentación para las Juntas de Vivienda Comunal.  </w:t>
      </w:r>
    </w:p>
    <w:p w14:paraId="21C48F62" w14:textId="77777777" w:rsidR="009563E7" w:rsidRPr="006D1F4A" w:rsidRDefault="009563E7" w:rsidP="009563E7">
      <w:pPr>
        <w:pStyle w:val="Textonotapie"/>
        <w:jc w:val="both"/>
        <w:rPr>
          <w:rFonts w:ascii="Verdana" w:hAnsi="Verdana"/>
          <w:sz w:val="16"/>
          <w:szCs w:val="16"/>
          <w:lang w:val="es-CO"/>
        </w:rPr>
      </w:pPr>
    </w:p>
  </w:footnote>
  <w:footnote w:id="9">
    <w:p w14:paraId="0CBD631E" w14:textId="77777777" w:rsidR="009563E7" w:rsidRPr="006D1F4A" w:rsidRDefault="009563E7" w:rsidP="009563E7">
      <w:pPr>
        <w:pStyle w:val="Textonotapie"/>
        <w:contextualSpacing/>
        <w:jc w:val="both"/>
        <w:rPr>
          <w:rFonts w:ascii="Verdana" w:hAnsi="Verdana"/>
          <w:sz w:val="16"/>
          <w:szCs w:val="16"/>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sz w:val="16"/>
          <w:szCs w:val="16"/>
        </w:rPr>
        <w:tab/>
        <w:t>Ley 1150 de 2007, Artículo 2.2, literal b): “Se entenderá por menor cuantía los valores que a continuación se relacionan, determinados en función de los presupuestos anuales de las entidades públicas expresados en salarios mínimos legales mensuales.</w:t>
      </w:r>
    </w:p>
    <w:p w14:paraId="5890386F" w14:textId="77777777" w:rsidR="009563E7" w:rsidRPr="006D1F4A" w:rsidRDefault="009563E7" w:rsidP="009563E7">
      <w:pPr>
        <w:pStyle w:val="Textonotapie"/>
        <w:ind w:firstLine="708"/>
        <w:contextualSpacing/>
        <w:jc w:val="both"/>
        <w:rPr>
          <w:rFonts w:ascii="Verdana" w:hAnsi="Verdana"/>
          <w:sz w:val="16"/>
          <w:szCs w:val="16"/>
        </w:rPr>
      </w:pPr>
      <w:r w:rsidRPr="006D1F4A">
        <w:rPr>
          <w:rFonts w:ascii="Verdana" w:hAnsi="Verdana"/>
          <w:sz w:val="16"/>
          <w:szCs w:val="16"/>
        </w:rPr>
        <w:t>|Para las entidades que tengan un presupuesto anual superior o igual a 1.200.000 salarios mínimos legales mensuales, la menor cuantía será hasta 1.000 salarios mínimos legales mensuales.</w:t>
      </w:r>
    </w:p>
    <w:p w14:paraId="2FD1DF8E" w14:textId="77777777" w:rsidR="009563E7" w:rsidRPr="006D1F4A" w:rsidRDefault="009563E7" w:rsidP="009563E7">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850.000 salarios mínimos legales mensuales e inferiores a 1.200.000 salarios mínimos legales mensuales, la menor cuantía será hasta 850 salarios mínimos legales mensuales.</w:t>
      </w:r>
    </w:p>
    <w:p w14:paraId="217A0D46" w14:textId="77777777" w:rsidR="009563E7" w:rsidRPr="006D1F4A" w:rsidRDefault="009563E7" w:rsidP="009563E7">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400.000 salarios mínimos legales mensuales e inferior a 850.000 salarios mínimos legales mensuales, la menor cuantía será hasta 650 salarios mínimos legales mensuales.</w:t>
      </w:r>
    </w:p>
    <w:p w14:paraId="625C033B" w14:textId="77777777" w:rsidR="009563E7" w:rsidRPr="006D1F4A" w:rsidRDefault="009563E7" w:rsidP="009563E7">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superior o igual a 120.000 salarios mínimos legales mensuales e inferior a 400.000 salarios mínimos legales mensuales, la menor cuantía será hasta 450 salarios mínimos legales mensuales.</w:t>
      </w:r>
    </w:p>
    <w:p w14:paraId="7EF4CF3D" w14:textId="77777777" w:rsidR="009563E7" w:rsidRPr="006D1F4A" w:rsidRDefault="009563E7" w:rsidP="009563E7">
      <w:pPr>
        <w:pStyle w:val="Textonotapie"/>
        <w:ind w:firstLine="708"/>
        <w:contextualSpacing/>
        <w:jc w:val="both"/>
        <w:rPr>
          <w:rFonts w:ascii="Verdana" w:hAnsi="Verdana"/>
          <w:sz w:val="16"/>
          <w:szCs w:val="16"/>
        </w:rPr>
      </w:pPr>
      <w:r w:rsidRPr="006D1F4A">
        <w:rPr>
          <w:rFonts w:ascii="Verdana" w:hAnsi="Verdana"/>
          <w:sz w:val="16"/>
          <w:szCs w:val="16"/>
        </w:rPr>
        <w:t>Las que tengan un presupuesto anual inferior a 120.000 salarios mínimos legales mensuales, la menor cuantía será hasta 280 salarios mínimos legales mensuales”.</w:t>
      </w:r>
    </w:p>
    <w:p w14:paraId="10BF4B14" w14:textId="77777777" w:rsidR="009563E7" w:rsidRPr="006D1F4A" w:rsidRDefault="009563E7" w:rsidP="009563E7">
      <w:pPr>
        <w:pStyle w:val="Textonotapie"/>
        <w:contextualSpacing/>
        <w:jc w:val="both"/>
        <w:rPr>
          <w:rFonts w:ascii="Verdana" w:hAnsi="Verdana"/>
          <w:sz w:val="16"/>
          <w:szCs w:val="16"/>
          <w:lang w:val="es-ES"/>
        </w:rPr>
      </w:pPr>
    </w:p>
  </w:footnote>
  <w:footnote w:id="10">
    <w:p w14:paraId="15AFF1BF" w14:textId="77777777" w:rsidR="009563E7" w:rsidRPr="006D1F4A" w:rsidRDefault="009563E7" w:rsidP="009563E7">
      <w:pPr>
        <w:pStyle w:val="Textonotapie"/>
        <w:ind w:firstLine="708"/>
        <w:jc w:val="both"/>
        <w:rPr>
          <w:rFonts w:ascii="Verdana" w:hAnsi="Verdana"/>
          <w:sz w:val="16"/>
          <w:szCs w:val="16"/>
          <w:lang w:val="es-CO"/>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lang w:val="es-CO"/>
        </w:rPr>
        <w:t>Artículo 39.</w:t>
      </w:r>
      <w:r w:rsidRPr="006D1F4A">
        <w:rPr>
          <w:rFonts w:ascii="Verdana" w:hAnsi="Verdana"/>
          <w:sz w:val="16"/>
          <w:szCs w:val="16"/>
          <w:lang w:val="es-CO"/>
        </w:rPr>
        <w:t> Beneficios para los Dignatarios. Adicional a los que señalen los estatutos, los dignatarios de los organismos de acción comunal podrán tener los siguientes beneficios:  </w:t>
      </w:r>
    </w:p>
    <w:p w14:paraId="19D9D7B3"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a) Quien ejerza la representación legal de un organismo de acción comunal podrá percibir ingresos provenientes de los recursos propios generados por el organismo, para gastos de representación previa reglamentación en estatutos y autorización de la asamblea respectiva;  </w:t>
      </w:r>
    </w:p>
    <w:p w14:paraId="5534A10D"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b) El Sena, la Escuela Superior de Administración Pública (ESAP), la Universidad Nacional Abierta y a Distancia UNAD y las demás Universidades Públicas, podrán crear programas gratuitos, presenciales y/o virtuales, y de acceso prioritario de capacitación y formación técnica, tecnológica, profesional, posgrado o de formación continua destinados a los dignatarios de los organismos de acción comunal que contribuyan al desarrollo económico y productivo de las comunidades;  </w:t>
      </w:r>
    </w:p>
    <w:p w14:paraId="5F13644F"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c) Las entidades territoriales podrán entregar a quienes ejerzan la representación legal o sean miembros de la junta directiva de un organismo de acción comunal, un subsidio en el sistema integrado de transporte o intermunicipal del municipio o distrito en el que resida o su equivalente, correspondiente al 50% del valor de hasta 60 pasajes, con el fin de garantizar el óptimo desarrollo de sus funciones, aplicando también para transporte veredal. En todo caso será solo para una persona por Junta de Acción Comunal. Las entidades territoriales que establezcan este subsidio reglamentarán previamente la fuente presupuestal que lo financia y la garantía de su efectividad;  </w:t>
      </w:r>
    </w:p>
    <w:p w14:paraId="05FC1CD2"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I d) Las entidades territoriales certificadas en educación podrán diseñar y promover programas de beneficios e incentivos que promuevan la incursión de jóvenes entre los 14 y 28 años en los organismos comunales;  </w:t>
      </w:r>
    </w:p>
    <w:p w14:paraId="33EA49E7" w14:textId="77777777" w:rsidR="009563E7" w:rsidRPr="006D1F4A" w:rsidRDefault="009563E7" w:rsidP="009563E7">
      <w:pPr>
        <w:pStyle w:val="Textonotapie"/>
        <w:ind w:firstLine="708"/>
        <w:jc w:val="both"/>
        <w:rPr>
          <w:rFonts w:ascii="Verdana" w:hAnsi="Verdana"/>
          <w:sz w:val="16"/>
          <w:szCs w:val="16"/>
          <w:lang w:val="es-CO"/>
        </w:rPr>
      </w:pPr>
      <w:r w:rsidRPr="006D1F4A">
        <w:rPr>
          <w:rFonts w:ascii="Verdana" w:hAnsi="Verdana"/>
          <w:sz w:val="16"/>
          <w:szCs w:val="16"/>
          <w:lang w:val="es-CO"/>
        </w:rPr>
        <w:t>f) En caso de desplazamiento o amenaza que dificulte el desarrollo de su función como dignatario este podrá mantener su dignidad a pesar de no estar en su territorio. Por lo anterior, ningún dignatario que se encuentre bajo esta situación podrá ser sancionado por incumplir el deber contemplado en el literal c) del artículo 28 de la presente ley, siempre y cuando certifique por la autoridad competente que su vida e integridad se encuentra ante un peligro efectivo y eminente.  </w:t>
      </w:r>
    </w:p>
    <w:p w14:paraId="3E2203CD" w14:textId="77777777" w:rsidR="009563E7" w:rsidRPr="006D1F4A" w:rsidRDefault="009563E7" w:rsidP="009563E7">
      <w:pPr>
        <w:pStyle w:val="Textonotapie"/>
        <w:jc w:val="both"/>
        <w:rPr>
          <w:rFonts w:ascii="Verdana" w:hAnsi="Verdana"/>
          <w:sz w:val="16"/>
          <w:szCs w:val="16"/>
          <w:lang w:val="es-CO"/>
        </w:rPr>
      </w:pPr>
    </w:p>
  </w:footnote>
  <w:footnote w:id="11">
    <w:p w14:paraId="39F8A3FE" w14:textId="77777777" w:rsidR="009563E7" w:rsidRPr="006D1F4A" w:rsidRDefault="009563E7" w:rsidP="009563E7">
      <w:pPr>
        <w:pStyle w:val="Textonotapie"/>
        <w:ind w:firstLine="708"/>
        <w:jc w:val="both"/>
        <w:rPr>
          <w:rFonts w:ascii="Verdana" w:hAnsi="Verdana"/>
          <w:sz w:val="16"/>
          <w:szCs w:val="16"/>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rPr>
        <w:t>Artículo 63.</w:t>
      </w:r>
      <w:r w:rsidRPr="006D1F4A">
        <w:rPr>
          <w:rFonts w:ascii="Verdana" w:hAnsi="Verdana"/>
          <w:sz w:val="16"/>
          <w:szCs w:val="16"/>
        </w:rPr>
        <w:t>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  </w:t>
      </w:r>
    </w:p>
    <w:p w14:paraId="12B81CEB" w14:textId="77777777" w:rsidR="009563E7" w:rsidRPr="006D1F4A" w:rsidRDefault="009563E7" w:rsidP="009563E7">
      <w:pPr>
        <w:pStyle w:val="Textonotapie"/>
        <w:ind w:firstLine="708"/>
        <w:jc w:val="both"/>
        <w:rPr>
          <w:rFonts w:ascii="Verdana" w:hAnsi="Verdana"/>
          <w:sz w:val="16"/>
          <w:szCs w:val="16"/>
        </w:rPr>
      </w:pPr>
      <w:r w:rsidRPr="006D1F4A">
        <w:rPr>
          <w:rFonts w:ascii="Verdana" w:hAnsi="Verdana"/>
          <w:bCs/>
          <w:sz w:val="16"/>
          <w:szCs w:val="16"/>
        </w:rPr>
        <w:t>Parágrafo 1.</w:t>
      </w:r>
      <w:r w:rsidRPr="006D1F4A">
        <w:rPr>
          <w:rFonts w:ascii="Verdana" w:hAnsi="Verdana"/>
          <w:sz w:val="16"/>
          <w:szCs w:val="16"/>
        </w:rPr>
        <w:t> Los organismos de Acción Comunal podrán contratar con las entidades territoriales hasta por la menor cuantía de dicha entidad de conformidad con la ley.  </w:t>
      </w:r>
    </w:p>
    <w:p w14:paraId="3C3A2E73" w14:textId="77777777" w:rsidR="009563E7" w:rsidRPr="006D1F4A" w:rsidRDefault="009563E7" w:rsidP="009563E7">
      <w:pPr>
        <w:pStyle w:val="Textonotapie"/>
        <w:ind w:firstLine="708"/>
        <w:jc w:val="both"/>
        <w:rPr>
          <w:rFonts w:ascii="Verdana" w:hAnsi="Verdana"/>
          <w:sz w:val="16"/>
          <w:szCs w:val="16"/>
        </w:rPr>
      </w:pPr>
      <w:r w:rsidRPr="006D1F4A">
        <w:rPr>
          <w:rFonts w:ascii="Verdana" w:hAnsi="Verdana"/>
          <w:bCs/>
          <w:sz w:val="16"/>
          <w:szCs w:val="16"/>
        </w:rPr>
        <w:t>Parágrafo 2.</w:t>
      </w:r>
      <w:r w:rsidRPr="006D1F4A">
        <w:rPr>
          <w:rFonts w:ascii="Verdana" w:hAnsi="Verdana"/>
          <w:sz w:val="16"/>
          <w:szCs w:val="16"/>
        </w:rPr>
        <w:t> Los denominados convenios solidarios y contratos interadministrativos de mínima, que trata el presente artículo también podrán ser celebrados entre las entidades del orden nacional, departamental, distrital, local y municipal 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  </w:t>
      </w:r>
    </w:p>
  </w:footnote>
  <w:footnote w:id="12">
    <w:p w14:paraId="1F14CBC5" w14:textId="77777777" w:rsidR="009563E7" w:rsidRPr="006D1F4A" w:rsidRDefault="009563E7" w:rsidP="009563E7">
      <w:pPr>
        <w:pStyle w:val="Textonotapie"/>
        <w:ind w:firstLine="708"/>
        <w:jc w:val="both"/>
        <w:rPr>
          <w:rFonts w:ascii="Verdana" w:hAnsi="Verdana"/>
          <w:sz w:val="16"/>
          <w:szCs w:val="16"/>
          <w:lang w:val="es-ES"/>
        </w:rPr>
      </w:pPr>
      <w:r w:rsidRPr="006D1F4A">
        <w:rPr>
          <w:rStyle w:val="Refdenotaalpie"/>
          <w:rFonts w:ascii="Verdana" w:hAnsi="Verdana"/>
          <w:sz w:val="16"/>
          <w:szCs w:val="16"/>
        </w:rPr>
        <w:footnoteRef/>
      </w:r>
      <w:r w:rsidRPr="006D1F4A">
        <w:rPr>
          <w:rFonts w:ascii="Verdana" w:hAnsi="Verdana"/>
          <w:sz w:val="16"/>
          <w:szCs w:val="16"/>
        </w:rPr>
        <w:t xml:space="preserve"> </w:t>
      </w:r>
      <w:r w:rsidRPr="006D1F4A">
        <w:rPr>
          <w:rFonts w:ascii="Verdana" w:hAnsi="Verdana"/>
          <w:bCs/>
          <w:sz w:val="16"/>
          <w:szCs w:val="16"/>
        </w:rPr>
        <w:t>Articulo 141.</w:t>
      </w:r>
      <w:r>
        <w:rPr>
          <w:rFonts w:ascii="Verdana" w:hAnsi="Verdana"/>
          <w:sz w:val="16"/>
          <w:szCs w:val="16"/>
        </w:rPr>
        <w:t> Vinculación al D</w:t>
      </w:r>
      <w:r w:rsidRPr="006D1F4A">
        <w:rPr>
          <w:rFonts w:ascii="Verdana" w:hAnsi="Verdana"/>
          <w:sz w:val="16"/>
          <w:szCs w:val="16"/>
        </w:rPr>
        <w:t>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él ejercicio de las funciones, la prestación de servicios o la ejecución de obras públicas a cargo de la administración central o descentralizada.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3783B" w:rsidRDefault="00A3783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3783B" w:rsidRDefault="00A3783B">
    <w:pPr>
      <w:pStyle w:val="Encabezado"/>
    </w:pPr>
  </w:p>
  <w:p w14:paraId="3079FC11" w14:textId="77777777" w:rsidR="00A3783B" w:rsidRDefault="00A3783B" w:rsidP="004A305D">
    <w:pPr>
      <w:spacing w:after="0"/>
      <w:rPr>
        <w:rFonts w:ascii="Verdana" w:hAnsi="Verdana"/>
        <w:b/>
        <w:bCs/>
      </w:rPr>
    </w:pPr>
  </w:p>
  <w:p w14:paraId="5E18350A" w14:textId="705F7B76" w:rsidR="00A3783B" w:rsidRPr="004A305D" w:rsidRDefault="00A3783B" w:rsidP="00B01B1A">
    <w:pPr>
      <w:spacing w:after="0" w:line="120" w:lineRule="auto"/>
      <w:rPr>
        <w:rFonts w:ascii="Century Gothic" w:eastAsia="Geo" w:hAnsi="Century Gothic" w:cs="Geo"/>
        <w:sz w:val="16"/>
        <w:szCs w:val="16"/>
        <w:lang w:eastAsia="es-CO"/>
      </w:rPr>
    </w:pPr>
  </w:p>
  <w:p w14:paraId="1FD1C243" w14:textId="6D74A3CF" w:rsidR="00A3783B" w:rsidRDefault="00A3783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42640675">
    <w:abstractNumId w:val="10"/>
  </w:num>
  <w:num w:numId="2" w16cid:durableId="1826966227">
    <w:abstractNumId w:val="3"/>
  </w:num>
  <w:num w:numId="3" w16cid:durableId="1016227729">
    <w:abstractNumId w:val="8"/>
  </w:num>
  <w:num w:numId="4" w16cid:durableId="1678456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0599530">
    <w:abstractNumId w:val="3"/>
  </w:num>
  <w:num w:numId="6" w16cid:durableId="1593121767">
    <w:abstractNumId w:val="20"/>
  </w:num>
  <w:num w:numId="7" w16cid:durableId="2115055374">
    <w:abstractNumId w:val="9"/>
  </w:num>
  <w:num w:numId="8" w16cid:durableId="1498498347">
    <w:abstractNumId w:val="19"/>
  </w:num>
  <w:num w:numId="9" w16cid:durableId="717051887">
    <w:abstractNumId w:val="11"/>
  </w:num>
  <w:num w:numId="10" w16cid:durableId="770975263">
    <w:abstractNumId w:val="18"/>
  </w:num>
  <w:num w:numId="11" w16cid:durableId="1177964398">
    <w:abstractNumId w:val="12"/>
  </w:num>
  <w:num w:numId="12" w16cid:durableId="697120675">
    <w:abstractNumId w:val="1"/>
  </w:num>
  <w:num w:numId="13" w16cid:durableId="838692340">
    <w:abstractNumId w:val="6"/>
  </w:num>
  <w:num w:numId="14" w16cid:durableId="418646604">
    <w:abstractNumId w:val="21"/>
  </w:num>
  <w:num w:numId="15" w16cid:durableId="1000425691">
    <w:abstractNumId w:val="17"/>
  </w:num>
  <w:num w:numId="16" w16cid:durableId="2373301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404743">
    <w:abstractNumId w:val="4"/>
  </w:num>
  <w:num w:numId="18" w16cid:durableId="25717672">
    <w:abstractNumId w:val="16"/>
  </w:num>
  <w:num w:numId="19" w16cid:durableId="835416992">
    <w:abstractNumId w:val="7"/>
  </w:num>
  <w:num w:numId="20" w16cid:durableId="1997226438">
    <w:abstractNumId w:val="13"/>
  </w:num>
  <w:num w:numId="21" w16cid:durableId="564993075">
    <w:abstractNumId w:val="22"/>
  </w:num>
  <w:num w:numId="22" w16cid:durableId="1897201716">
    <w:abstractNumId w:val="15"/>
  </w:num>
  <w:num w:numId="23" w16cid:durableId="1688290033">
    <w:abstractNumId w:val="5"/>
  </w:num>
  <w:num w:numId="24" w16cid:durableId="2088381008">
    <w:abstractNumId w:val="14"/>
  </w:num>
  <w:num w:numId="25" w16cid:durableId="1068574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224F2"/>
    <w:rsid w:val="00023C3E"/>
    <w:rsid w:val="0002653B"/>
    <w:rsid w:val="00034682"/>
    <w:rsid w:val="00035E21"/>
    <w:rsid w:val="0004434A"/>
    <w:rsid w:val="0005281E"/>
    <w:rsid w:val="0005682C"/>
    <w:rsid w:val="00056D71"/>
    <w:rsid w:val="00061B2A"/>
    <w:rsid w:val="000626A0"/>
    <w:rsid w:val="00062BAF"/>
    <w:rsid w:val="000630B9"/>
    <w:rsid w:val="000643B2"/>
    <w:rsid w:val="00065E80"/>
    <w:rsid w:val="0007022C"/>
    <w:rsid w:val="00071DE6"/>
    <w:rsid w:val="0007235A"/>
    <w:rsid w:val="000754B0"/>
    <w:rsid w:val="00075C16"/>
    <w:rsid w:val="00077439"/>
    <w:rsid w:val="000774B8"/>
    <w:rsid w:val="00082362"/>
    <w:rsid w:val="0008328D"/>
    <w:rsid w:val="0009387A"/>
    <w:rsid w:val="0009387B"/>
    <w:rsid w:val="000963C6"/>
    <w:rsid w:val="0009762F"/>
    <w:rsid w:val="000A31B9"/>
    <w:rsid w:val="000A3330"/>
    <w:rsid w:val="000A3D63"/>
    <w:rsid w:val="000A683A"/>
    <w:rsid w:val="000A683E"/>
    <w:rsid w:val="000B0B05"/>
    <w:rsid w:val="000B19B9"/>
    <w:rsid w:val="000C2889"/>
    <w:rsid w:val="000C3673"/>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1D60"/>
    <w:rsid w:val="001240BD"/>
    <w:rsid w:val="00125105"/>
    <w:rsid w:val="00127233"/>
    <w:rsid w:val="00130189"/>
    <w:rsid w:val="001372FC"/>
    <w:rsid w:val="00143E81"/>
    <w:rsid w:val="00143FD9"/>
    <w:rsid w:val="00145047"/>
    <w:rsid w:val="00146C57"/>
    <w:rsid w:val="00150ADA"/>
    <w:rsid w:val="0016332F"/>
    <w:rsid w:val="0016642E"/>
    <w:rsid w:val="00166C52"/>
    <w:rsid w:val="001717E9"/>
    <w:rsid w:val="0017238A"/>
    <w:rsid w:val="001800BA"/>
    <w:rsid w:val="00180A30"/>
    <w:rsid w:val="001820D4"/>
    <w:rsid w:val="00185EE9"/>
    <w:rsid w:val="00187F79"/>
    <w:rsid w:val="00197274"/>
    <w:rsid w:val="001A237A"/>
    <w:rsid w:val="001A26CF"/>
    <w:rsid w:val="001A2919"/>
    <w:rsid w:val="001B2CFE"/>
    <w:rsid w:val="001C222E"/>
    <w:rsid w:val="001C22F9"/>
    <w:rsid w:val="001D1C29"/>
    <w:rsid w:val="001E3C06"/>
    <w:rsid w:val="001E4177"/>
    <w:rsid w:val="001F0A0F"/>
    <w:rsid w:val="001F4EFD"/>
    <w:rsid w:val="001F5E13"/>
    <w:rsid w:val="001F6D11"/>
    <w:rsid w:val="001F7DC6"/>
    <w:rsid w:val="0020188E"/>
    <w:rsid w:val="00202886"/>
    <w:rsid w:val="002047E7"/>
    <w:rsid w:val="00205784"/>
    <w:rsid w:val="00213510"/>
    <w:rsid w:val="0021372A"/>
    <w:rsid w:val="00215CEF"/>
    <w:rsid w:val="00217A08"/>
    <w:rsid w:val="00220B77"/>
    <w:rsid w:val="00221D27"/>
    <w:rsid w:val="00237233"/>
    <w:rsid w:val="002421BB"/>
    <w:rsid w:val="00246A81"/>
    <w:rsid w:val="00251A5F"/>
    <w:rsid w:val="0025796E"/>
    <w:rsid w:val="002603E5"/>
    <w:rsid w:val="00260981"/>
    <w:rsid w:val="002638B2"/>
    <w:rsid w:val="00263BAB"/>
    <w:rsid w:val="00264E91"/>
    <w:rsid w:val="002660F2"/>
    <w:rsid w:val="002664BB"/>
    <w:rsid w:val="002707A2"/>
    <w:rsid w:val="00272EAF"/>
    <w:rsid w:val="002835A6"/>
    <w:rsid w:val="002844ED"/>
    <w:rsid w:val="00286C70"/>
    <w:rsid w:val="002951A0"/>
    <w:rsid w:val="002962BC"/>
    <w:rsid w:val="002A093D"/>
    <w:rsid w:val="002A0DD0"/>
    <w:rsid w:val="002A1D2F"/>
    <w:rsid w:val="002A3B6F"/>
    <w:rsid w:val="002A49AC"/>
    <w:rsid w:val="002A64FD"/>
    <w:rsid w:val="002A6BBF"/>
    <w:rsid w:val="002B1E57"/>
    <w:rsid w:val="002B1F7F"/>
    <w:rsid w:val="002B290B"/>
    <w:rsid w:val="002C110E"/>
    <w:rsid w:val="002C379A"/>
    <w:rsid w:val="002C765E"/>
    <w:rsid w:val="002C7A84"/>
    <w:rsid w:val="002D13A1"/>
    <w:rsid w:val="002D3F0D"/>
    <w:rsid w:val="002E1D98"/>
    <w:rsid w:val="002E2C3F"/>
    <w:rsid w:val="002E4FD9"/>
    <w:rsid w:val="002E6F15"/>
    <w:rsid w:val="002F13FD"/>
    <w:rsid w:val="002F53FB"/>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2B4"/>
    <w:rsid w:val="003528DF"/>
    <w:rsid w:val="00352C12"/>
    <w:rsid w:val="00354BCA"/>
    <w:rsid w:val="00362DEE"/>
    <w:rsid w:val="0036594E"/>
    <w:rsid w:val="003665EE"/>
    <w:rsid w:val="0037010E"/>
    <w:rsid w:val="003734F4"/>
    <w:rsid w:val="00374F5E"/>
    <w:rsid w:val="00377E3E"/>
    <w:rsid w:val="003815B3"/>
    <w:rsid w:val="003815E8"/>
    <w:rsid w:val="00386D13"/>
    <w:rsid w:val="00392A49"/>
    <w:rsid w:val="003A26D1"/>
    <w:rsid w:val="003A3B30"/>
    <w:rsid w:val="003A477B"/>
    <w:rsid w:val="003A629F"/>
    <w:rsid w:val="003A6CF9"/>
    <w:rsid w:val="003A779E"/>
    <w:rsid w:val="003B005A"/>
    <w:rsid w:val="003B0636"/>
    <w:rsid w:val="003B3775"/>
    <w:rsid w:val="003B78C4"/>
    <w:rsid w:val="003C3FA5"/>
    <w:rsid w:val="003D0F4D"/>
    <w:rsid w:val="003D1B5E"/>
    <w:rsid w:val="003D5B0D"/>
    <w:rsid w:val="003E0499"/>
    <w:rsid w:val="003E40F2"/>
    <w:rsid w:val="003F3941"/>
    <w:rsid w:val="00400676"/>
    <w:rsid w:val="004008A9"/>
    <w:rsid w:val="0040480E"/>
    <w:rsid w:val="00406575"/>
    <w:rsid w:val="004069AB"/>
    <w:rsid w:val="00410906"/>
    <w:rsid w:val="0041655A"/>
    <w:rsid w:val="00426FD7"/>
    <w:rsid w:val="0042722E"/>
    <w:rsid w:val="00427DA0"/>
    <w:rsid w:val="00440391"/>
    <w:rsid w:val="004426AD"/>
    <w:rsid w:val="00442C7F"/>
    <w:rsid w:val="004443A2"/>
    <w:rsid w:val="0044528D"/>
    <w:rsid w:val="00450920"/>
    <w:rsid w:val="004530EA"/>
    <w:rsid w:val="00454D48"/>
    <w:rsid w:val="004554F9"/>
    <w:rsid w:val="0046004D"/>
    <w:rsid w:val="00461A6A"/>
    <w:rsid w:val="004633DE"/>
    <w:rsid w:val="00465E71"/>
    <w:rsid w:val="004734BD"/>
    <w:rsid w:val="00480BAF"/>
    <w:rsid w:val="00482608"/>
    <w:rsid w:val="00483749"/>
    <w:rsid w:val="00484809"/>
    <w:rsid w:val="00484BB1"/>
    <w:rsid w:val="004A0980"/>
    <w:rsid w:val="004A0B8B"/>
    <w:rsid w:val="004A1847"/>
    <w:rsid w:val="004A305D"/>
    <w:rsid w:val="004A3312"/>
    <w:rsid w:val="004B740F"/>
    <w:rsid w:val="004C045A"/>
    <w:rsid w:val="004C4B37"/>
    <w:rsid w:val="004C6074"/>
    <w:rsid w:val="004D026D"/>
    <w:rsid w:val="004D36F1"/>
    <w:rsid w:val="004E221E"/>
    <w:rsid w:val="004E2892"/>
    <w:rsid w:val="004E4C0B"/>
    <w:rsid w:val="004E505B"/>
    <w:rsid w:val="004F21C4"/>
    <w:rsid w:val="004F3012"/>
    <w:rsid w:val="004F3B9E"/>
    <w:rsid w:val="004F5559"/>
    <w:rsid w:val="004F685F"/>
    <w:rsid w:val="004F7EC9"/>
    <w:rsid w:val="00504CBE"/>
    <w:rsid w:val="005129DE"/>
    <w:rsid w:val="00514598"/>
    <w:rsid w:val="005150A0"/>
    <w:rsid w:val="005163B5"/>
    <w:rsid w:val="0052543A"/>
    <w:rsid w:val="00525FDB"/>
    <w:rsid w:val="0052785C"/>
    <w:rsid w:val="005339E3"/>
    <w:rsid w:val="00533E1B"/>
    <w:rsid w:val="00534765"/>
    <w:rsid w:val="00540C2D"/>
    <w:rsid w:val="00552502"/>
    <w:rsid w:val="005566E8"/>
    <w:rsid w:val="00560CB5"/>
    <w:rsid w:val="00564F8B"/>
    <w:rsid w:val="00574122"/>
    <w:rsid w:val="00574867"/>
    <w:rsid w:val="00577D09"/>
    <w:rsid w:val="0058087F"/>
    <w:rsid w:val="005900B0"/>
    <w:rsid w:val="00591460"/>
    <w:rsid w:val="00592628"/>
    <w:rsid w:val="00597C75"/>
    <w:rsid w:val="005A0868"/>
    <w:rsid w:val="005A0CFB"/>
    <w:rsid w:val="005A282F"/>
    <w:rsid w:val="005A2AC9"/>
    <w:rsid w:val="005B2CCE"/>
    <w:rsid w:val="005B58C1"/>
    <w:rsid w:val="005B6033"/>
    <w:rsid w:val="005C2488"/>
    <w:rsid w:val="005C3777"/>
    <w:rsid w:val="005C5CDC"/>
    <w:rsid w:val="005D17C8"/>
    <w:rsid w:val="005D2B2B"/>
    <w:rsid w:val="005D476C"/>
    <w:rsid w:val="005D5F91"/>
    <w:rsid w:val="005D7B25"/>
    <w:rsid w:val="005F7C43"/>
    <w:rsid w:val="00601DFC"/>
    <w:rsid w:val="00605A00"/>
    <w:rsid w:val="00610812"/>
    <w:rsid w:val="00612CE7"/>
    <w:rsid w:val="006219F8"/>
    <w:rsid w:val="0063165E"/>
    <w:rsid w:val="00632C08"/>
    <w:rsid w:val="00650FF7"/>
    <w:rsid w:val="00656421"/>
    <w:rsid w:val="00660F6A"/>
    <w:rsid w:val="00665D70"/>
    <w:rsid w:val="00671DAC"/>
    <w:rsid w:val="00673531"/>
    <w:rsid w:val="006747C7"/>
    <w:rsid w:val="006827AC"/>
    <w:rsid w:val="006859A3"/>
    <w:rsid w:val="006900D9"/>
    <w:rsid w:val="00693B52"/>
    <w:rsid w:val="0069492E"/>
    <w:rsid w:val="00697B17"/>
    <w:rsid w:val="006A0008"/>
    <w:rsid w:val="006A10DF"/>
    <w:rsid w:val="006A3147"/>
    <w:rsid w:val="006A5470"/>
    <w:rsid w:val="006B25DE"/>
    <w:rsid w:val="006C0173"/>
    <w:rsid w:val="006C0240"/>
    <w:rsid w:val="006C5595"/>
    <w:rsid w:val="006D12F8"/>
    <w:rsid w:val="006D1F4A"/>
    <w:rsid w:val="006D4E33"/>
    <w:rsid w:val="006F0D40"/>
    <w:rsid w:val="006F2501"/>
    <w:rsid w:val="00701D2C"/>
    <w:rsid w:val="00704D9B"/>
    <w:rsid w:val="00705E5F"/>
    <w:rsid w:val="00706C16"/>
    <w:rsid w:val="00711C85"/>
    <w:rsid w:val="0071458F"/>
    <w:rsid w:val="0071627C"/>
    <w:rsid w:val="00723A7F"/>
    <w:rsid w:val="007312C3"/>
    <w:rsid w:val="00737C53"/>
    <w:rsid w:val="00737DFA"/>
    <w:rsid w:val="00741D10"/>
    <w:rsid w:val="00756841"/>
    <w:rsid w:val="00762AA9"/>
    <w:rsid w:val="007649AB"/>
    <w:rsid w:val="007670E3"/>
    <w:rsid w:val="00771D0C"/>
    <w:rsid w:val="00771FD2"/>
    <w:rsid w:val="007820ED"/>
    <w:rsid w:val="007821FD"/>
    <w:rsid w:val="007833AC"/>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43C9"/>
    <w:rsid w:val="007D6299"/>
    <w:rsid w:val="007E5497"/>
    <w:rsid w:val="007E7637"/>
    <w:rsid w:val="007F28CA"/>
    <w:rsid w:val="007F52A4"/>
    <w:rsid w:val="007F60FB"/>
    <w:rsid w:val="007F7B94"/>
    <w:rsid w:val="00800789"/>
    <w:rsid w:val="00804981"/>
    <w:rsid w:val="00806F5F"/>
    <w:rsid w:val="008163D7"/>
    <w:rsid w:val="00820278"/>
    <w:rsid w:val="00834554"/>
    <w:rsid w:val="00834B31"/>
    <w:rsid w:val="00840ADC"/>
    <w:rsid w:val="00843BF7"/>
    <w:rsid w:val="008449B3"/>
    <w:rsid w:val="00846276"/>
    <w:rsid w:val="00850E23"/>
    <w:rsid w:val="00851137"/>
    <w:rsid w:val="00853978"/>
    <w:rsid w:val="0085432F"/>
    <w:rsid w:val="00864209"/>
    <w:rsid w:val="0087325B"/>
    <w:rsid w:val="00877EBA"/>
    <w:rsid w:val="00881ABA"/>
    <w:rsid w:val="0088243A"/>
    <w:rsid w:val="008843B6"/>
    <w:rsid w:val="00886C89"/>
    <w:rsid w:val="00887569"/>
    <w:rsid w:val="00891928"/>
    <w:rsid w:val="00894B8B"/>
    <w:rsid w:val="008961BA"/>
    <w:rsid w:val="00896E8A"/>
    <w:rsid w:val="008A00A4"/>
    <w:rsid w:val="008A446D"/>
    <w:rsid w:val="008A7A64"/>
    <w:rsid w:val="008A7F08"/>
    <w:rsid w:val="008B2F0E"/>
    <w:rsid w:val="008B5A2E"/>
    <w:rsid w:val="008C43AD"/>
    <w:rsid w:val="008D180B"/>
    <w:rsid w:val="008D40A5"/>
    <w:rsid w:val="008D7227"/>
    <w:rsid w:val="008E1F92"/>
    <w:rsid w:val="008E7333"/>
    <w:rsid w:val="008E7B09"/>
    <w:rsid w:val="008F0EA7"/>
    <w:rsid w:val="008F7395"/>
    <w:rsid w:val="008F7BB9"/>
    <w:rsid w:val="00904692"/>
    <w:rsid w:val="00910097"/>
    <w:rsid w:val="00911C7C"/>
    <w:rsid w:val="0091561E"/>
    <w:rsid w:val="0091757F"/>
    <w:rsid w:val="00923EEF"/>
    <w:rsid w:val="009411F5"/>
    <w:rsid w:val="009419F9"/>
    <w:rsid w:val="00953AA4"/>
    <w:rsid w:val="00955305"/>
    <w:rsid w:val="009563E7"/>
    <w:rsid w:val="0095685E"/>
    <w:rsid w:val="009572D9"/>
    <w:rsid w:val="009600D2"/>
    <w:rsid w:val="00961409"/>
    <w:rsid w:val="00961B09"/>
    <w:rsid w:val="00962300"/>
    <w:rsid w:val="00965334"/>
    <w:rsid w:val="0097093E"/>
    <w:rsid w:val="00976025"/>
    <w:rsid w:val="00976F04"/>
    <w:rsid w:val="009800BE"/>
    <w:rsid w:val="00982E41"/>
    <w:rsid w:val="00984649"/>
    <w:rsid w:val="009858BE"/>
    <w:rsid w:val="009A0DFA"/>
    <w:rsid w:val="009A3C2C"/>
    <w:rsid w:val="009A4A40"/>
    <w:rsid w:val="009B0AEB"/>
    <w:rsid w:val="009B2D26"/>
    <w:rsid w:val="009B3595"/>
    <w:rsid w:val="009B5228"/>
    <w:rsid w:val="009B780F"/>
    <w:rsid w:val="009C2DD0"/>
    <w:rsid w:val="009C3AC7"/>
    <w:rsid w:val="009C71FA"/>
    <w:rsid w:val="009C72E7"/>
    <w:rsid w:val="009D0555"/>
    <w:rsid w:val="009D3058"/>
    <w:rsid w:val="009D3A11"/>
    <w:rsid w:val="009D44C4"/>
    <w:rsid w:val="009D6427"/>
    <w:rsid w:val="009D67FD"/>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45FA"/>
    <w:rsid w:val="00A74DE6"/>
    <w:rsid w:val="00A758B6"/>
    <w:rsid w:val="00A75D19"/>
    <w:rsid w:val="00A8086A"/>
    <w:rsid w:val="00A80F32"/>
    <w:rsid w:val="00A828F1"/>
    <w:rsid w:val="00A868C2"/>
    <w:rsid w:val="00A87F7D"/>
    <w:rsid w:val="00A9244C"/>
    <w:rsid w:val="00A94D14"/>
    <w:rsid w:val="00A95106"/>
    <w:rsid w:val="00AA23BB"/>
    <w:rsid w:val="00AB0ADB"/>
    <w:rsid w:val="00AB3FD1"/>
    <w:rsid w:val="00AB75FF"/>
    <w:rsid w:val="00AC0DF9"/>
    <w:rsid w:val="00AC0EAB"/>
    <w:rsid w:val="00AC4701"/>
    <w:rsid w:val="00AC49A2"/>
    <w:rsid w:val="00AD73E2"/>
    <w:rsid w:val="00AE2631"/>
    <w:rsid w:val="00AE3D6C"/>
    <w:rsid w:val="00AF03EA"/>
    <w:rsid w:val="00AF1BEC"/>
    <w:rsid w:val="00B009B8"/>
    <w:rsid w:val="00B01B1A"/>
    <w:rsid w:val="00B07DDD"/>
    <w:rsid w:val="00B14E03"/>
    <w:rsid w:val="00B26B98"/>
    <w:rsid w:val="00B35201"/>
    <w:rsid w:val="00B35ADC"/>
    <w:rsid w:val="00B36B39"/>
    <w:rsid w:val="00B37C24"/>
    <w:rsid w:val="00B40FBC"/>
    <w:rsid w:val="00B43248"/>
    <w:rsid w:val="00B46F27"/>
    <w:rsid w:val="00B47FD7"/>
    <w:rsid w:val="00B51F75"/>
    <w:rsid w:val="00B52169"/>
    <w:rsid w:val="00B53E27"/>
    <w:rsid w:val="00B558AF"/>
    <w:rsid w:val="00B615BA"/>
    <w:rsid w:val="00B62D8B"/>
    <w:rsid w:val="00B72CD3"/>
    <w:rsid w:val="00B72FFF"/>
    <w:rsid w:val="00B76CEB"/>
    <w:rsid w:val="00B8257D"/>
    <w:rsid w:val="00B82B8B"/>
    <w:rsid w:val="00B86FE2"/>
    <w:rsid w:val="00B91186"/>
    <w:rsid w:val="00B93423"/>
    <w:rsid w:val="00B948E8"/>
    <w:rsid w:val="00BA0A22"/>
    <w:rsid w:val="00BA2EF4"/>
    <w:rsid w:val="00BB22DA"/>
    <w:rsid w:val="00BB2C9D"/>
    <w:rsid w:val="00BC0036"/>
    <w:rsid w:val="00BC05A6"/>
    <w:rsid w:val="00BC3D36"/>
    <w:rsid w:val="00BC4B34"/>
    <w:rsid w:val="00BD37EA"/>
    <w:rsid w:val="00BD7F72"/>
    <w:rsid w:val="00BE03BC"/>
    <w:rsid w:val="00BE0A18"/>
    <w:rsid w:val="00BE5F4C"/>
    <w:rsid w:val="00BF0D99"/>
    <w:rsid w:val="00BF1201"/>
    <w:rsid w:val="00BF1D4A"/>
    <w:rsid w:val="00BF230F"/>
    <w:rsid w:val="00C002E3"/>
    <w:rsid w:val="00C012CC"/>
    <w:rsid w:val="00C04FB3"/>
    <w:rsid w:val="00C147D0"/>
    <w:rsid w:val="00C159C1"/>
    <w:rsid w:val="00C16346"/>
    <w:rsid w:val="00C21B15"/>
    <w:rsid w:val="00C21B8C"/>
    <w:rsid w:val="00C32062"/>
    <w:rsid w:val="00C32523"/>
    <w:rsid w:val="00C3281B"/>
    <w:rsid w:val="00C330EB"/>
    <w:rsid w:val="00C36000"/>
    <w:rsid w:val="00C371C9"/>
    <w:rsid w:val="00C40E9F"/>
    <w:rsid w:val="00C41481"/>
    <w:rsid w:val="00C42469"/>
    <w:rsid w:val="00C46D91"/>
    <w:rsid w:val="00C47A07"/>
    <w:rsid w:val="00C47B74"/>
    <w:rsid w:val="00C50855"/>
    <w:rsid w:val="00C57281"/>
    <w:rsid w:val="00C65D65"/>
    <w:rsid w:val="00C67703"/>
    <w:rsid w:val="00C7173F"/>
    <w:rsid w:val="00C730B6"/>
    <w:rsid w:val="00C754BE"/>
    <w:rsid w:val="00C76466"/>
    <w:rsid w:val="00C76B1C"/>
    <w:rsid w:val="00C915DD"/>
    <w:rsid w:val="00C91B94"/>
    <w:rsid w:val="00C92665"/>
    <w:rsid w:val="00C9305E"/>
    <w:rsid w:val="00CA538F"/>
    <w:rsid w:val="00CA6A9D"/>
    <w:rsid w:val="00CA7F6B"/>
    <w:rsid w:val="00CB6357"/>
    <w:rsid w:val="00CC0FA3"/>
    <w:rsid w:val="00CC1B26"/>
    <w:rsid w:val="00CC49F7"/>
    <w:rsid w:val="00CC54DB"/>
    <w:rsid w:val="00CC7787"/>
    <w:rsid w:val="00CD087D"/>
    <w:rsid w:val="00CD41CB"/>
    <w:rsid w:val="00CD5EE0"/>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4556B"/>
    <w:rsid w:val="00D47296"/>
    <w:rsid w:val="00D520D8"/>
    <w:rsid w:val="00D52961"/>
    <w:rsid w:val="00D53A84"/>
    <w:rsid w:val="00D55048"/>
    <w:rsid w:val="00D57EB1"/>
    <w:rsid w:val="00D57FA4"/>
    <w:rsid w:val="00D62DE7"/>
    <w:rsid w:val="00D63AC2"/>
    <w:rsid w:val="00D665B4"/>
    <w:rsid w:val="00D7383B"/>
    <w:rsid w:val="00D7609E"/>
    <w:rsid w:val="00D81A63"/>
    <w:rsid w:val="00D81D25"/>
    <w:rsid w:val="00D85C60"/>
    <w:rsid w:val="00D91C0D"/>
    <w:rsid w:val="00D91F8B"/>
    <w:rsid w:val="00D94C40"/>
    <w:rsid w:val="00D962BC"/>
    <w:rsid w:val="00DA231B"/>
    <w:rsid w:val="00DA23A0"/>
    <w:rsid w:val="00DA7F66"/>
    <w:rsid w:val="00DB186F"/>
    <w:rsid w:val="00DC39FC"/>
    <w:rsid w:val="00DC4385"/>
    <w:rsid w:val="00DC484F"/>
    <w:rsid w:val="00DC4C27"/>
    <w:rsid w:val="00DC51BC"/>
    <w:rsid w:val="00DC78A7"/>
    <w:rsid w:val="00DC793F"/>
    <w:rsid w:val="00DD0891"/>
    <w:rsid w:val="00DE3BDD"/>
    <w:rsid w:val="00DE4629"/>
    <w:rsid w:val="00DE6EAA"/>
    <w:rsid w:val="00DF11FD"/>
    <w:rsid w:val="00DF5254"/>
    <w:rsid w:val="00E0164D"/>
    <w:rsid w:val="00E05B31"/>
    <w:rsid w:val="00E12426"/>
    <w:rsid w:val="00E16408"/>
    <w:rsid w:val="00E20894"/>
    <w:rsid w:val="00E23B70"/>
    <w:rsid w:val="00E245AB"/>
    <w:rsid w:val="00E26239"/>
    <w:rsid w:val="00E2764C"/>
    <w:rsid w:val="00E27F2E"/>
    <w:rsid w:val="00E35539"/>
    <w:rsid w:val="00E413EA"/>
    <w:rsid w:val="00E47F28"/>
    <w:rsid w:val="00E50AFE"/>
    <w:rsid w:val="00E52E49"/>
    <w:rsid w:val="00E52F44"/>
    <w:rsid w:val="00E561D3"/>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29F8"/>
    <w:rsid w:val="00EA393B"/>
    <w:rsid w:val="00EA39A5"/>
    <w:rsid w:val="00EB2C4B"/>
    <w:rsid w:val="00EB3B79"/>
    <w:rsid w:val="00EB7E00"/>
    <w:rsid w:val="00EC1A2C"/>
    <w:rsid w:val="00EC1FE1"/>
    <w:rsid w:val="00EC38A7"/>
    <w:rsid w:val="00ED042A"/>
    <w:rsid w:val="00ED0D4A"/>
    <w:rsid w:val="00ED501A"/>
    <w:rsid w:val="00ED5B3A"/>
    <w:rsid w:val="00EE1AA8"/>
    <w:rsid w:val="00EF26C3"/>
    <w:rsid w:val="00EF419E"/>
    <w:rsid w:val="00EF489F"/>
    <w:rsid w:val="00EF5E27"/>
    <w:rsid w:val="00F11213"/>
    <w:rsid w:val="00F11BAA"/>
    <w:rsid w:val="00F177C1"/>
    <w:rsid w:val="00F17EB6"/>
    <w:rsid w:val="00F238B3"/>
    <w:rsid w:val="00F238F2"/>
    <w:rsid w:val="00F260AA"/>
    <w:rsid w:val="00F27B26"/>
    <w:rsid w:val="00F31EDC"/>
    <w:rsid w:val="00F34D02"/>
    <w:rsid w:val="00F34E84"/>
    <w:rsid w:val="00F40BAD"/>
    <w:rsid w:val="00F462B3"/>
    <w:rsid w:val="00F5184B"/>
    <w:rsid w:val="00F5491E"/>
    <w:rsid w:val="00F55081"/>
    <w:rsid w:val="00F55168"/>
    <w:rsid w:val="00F558D9"/>
    <w:rsid w:val="00F5664F"/>
    <w:rsid w:val="00F626C4"/>
    <w:rsid w:val="00F64D9E"/>
    <w:rsid w:val="00F666C4"/>
    <w:rsid w:val="00F7684C"/>
    <w:rsid w:val="00F76AFC"/>
    <w:rsid w:val="00F80CBE"/>
    <w:rsid w:val="00F85198"/>
    <w:rsid w:val="00F85237"/>
    <w:rsid w:val="00F86F45"/>
    <w:rsid w:val="00F92BB4"/>
    <w:rsid w:val="00F939CB"/>
    <w:rsid w:val="00F94459"/>
    <w:rsid w:val="00F9479C"/>
    <w:rsid w:val="00F965EE"/>
    <w:rsid w:val="00F97949"/>
    <w:rsid w:val="00FA1110"/>
    <w:rsid w:val="00FA1361"/>
    <w:rsid w:val="00FA358D"/>
    <w:rsid w:val="00FA47C0"/>
    <w:rsid w:val="00FB4425"/>
    <w:rsid w:val="00FB5615"/>
    <w:rsid w:val="00FB5CB7"/>
    <w:rsid w:val="00FB5DD1"/>
    <w:rsid w:val="00FB5F87"/>
    <w:rsid w:val="00FB675F"/>
    <w:rsid w:val="00FC07B5"/>
    <w:rsid w:val="00FC2B5D"/>
    <w:rsid w:val="00FD00BB"/>
    <w:rsid w:val="00FD00E9"/>
    <w:rsid w:val="00FD03E3"/>
    <w:rsid w:val="00FD108E"/>
    <w:rsid w:val="00FE06C8"/>
    <w:rsid w:val="00FE122A"/>
    <w:rsid w:val="00FE20E6"/>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B0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table" w:customStyle="1" w:styleId="Tablaconcuadrcula11">
    <w:name w:val="Tabla con cuadrícula11"/>
    <w:basedOn w:val="Tablanormal"/>
    <w:next w:val="Tablaconcuadrcula"/>
    <w:uiPriority w:val="39"/>
    <w:qFormat/>
    <w:rsid w:val="00956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563E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5736660">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76298735">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96797806">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elebracion-de-convenios-solidari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iret2126@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la-celebracion-de-convenios-solidar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34A84A5C-C440-4275-BB91-5854C7A472B0}">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5165</Words>
  <Characters>28411</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2025-02-25T15:45:00Z</cp:lastPrinted>
  <dcterms:created xsi:type="dcterms:W3CDTF">2025-07-02T03:31:00Z</dcterms:created>
  <dcterms:modified xsi:type="dcterms:W3CDTF">2025-07-02T03:31:00Z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