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E1F1A" w14:textId="77777777" w:rsidR="005D5CDA" w:rsidRDefault="005D5CDA" w:rsidP="005D5CDA">
      <w:pPr>
        <w:jc w:val="both"/>
        <w:rPr>
          <w:rFonts w:ascii="Verdana" w:eastAsia="Calibri" w:hAnsi="Verdana" w:cs="Arial"/>
          <w:b/>
          <w:bCs/>
          <w:lang w:eastAsia="es-ES"/>
        </w:rPr>
      </w:pPr>
      <w:bookmarkStart w:id="0" w:name="_Hlk143780582"/>
      <w:r w:rsidRPr="005D5CDA">
        <w:rPr>
          <w:rFonts w:ascii="Verdana" w:eastAsia="Calibri" w:hAnsi="Verdana" w:cs="Arial"/>
          <w:b/>
          <w:bCs/>
          <w:lang w:eastAsia="es-ES"/>
        </w:rPr>
        <w:t xml:space="preserve">SELECCIÓN OBJETIVA – Ley 1150 de 2007 artículo 5 </w:t>
      </w:r>
    </w:p>
    <w:p w14:paraId="3EF312F7" w14:textId="77777777" w:rsidR="005D5CDA" w:rsidRDefault="005D5CDA" w:rsidP="005D5CDA">
      <w:pPr>
        <w:spacing w:after="0" w:line="240" w:lineRule="auto"/>
        <w:jc w:val="both"/>
        <w:rPr>
          <w:rFonts w:ascii="Verdana" w:eastAsia="Calibri" w:hAnsi="Verdana" w:cs="Arial"/>
          <w:color w:val="000000" w:themeColor="text1"/>
          <w:sz w:val="20"/>
          <w:szCs w:val="20"/>
          <w:lang w:val="es-ES_tradnl"/>
        </w:rPr>
      </w:pPr>
      <w:r w:rsidRPr="005D5CDA">
        <w:rPr>
          <w:rFonts w:ascii="Verdana" w:eastAsia="Calibri" w:hAnsi="Verdana" w:cs="Arial"/>
          <w:color w:val="000000" w:themeColor="text1"/>
          <w:sz w:val="20"/>
          <w:szCs w:val="20"/>
          <w:lang w:val="es-ES_tradnl"/>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1E25796E" w14:textId="77777777" w:rsidR="005D5CDA" w:rsidRPr="005D5CDA" w:rsidRDefault="005D5CDA" w:rsidP="005D5CDA">
      <w:pPr>
        <w:spacing w:after="0" w:line="240" w:lineRule="auto"/>
        <w:jc w:val="both"/>
        <w:rPr>
          <w:rFonts w:ascii="Verdana" w:eastAsia="Calibri" w:hAnsi="Verdana" w:cs="Arial"/>
          <w:color w:val="000000" w:themeColor="text1"/>
          <w:sz w:val="20"/>
          <w:szCs w:val="20"/>
          <w:lang w:val="es-ES_tradnl"/>
        </w:rPr>
      </w:pPr>
    </w:p>
    <w:p w14:paraId="53DF3CF7" w14:textId="77777777" w:rsidR="005D5CDA" w:rsidRDefault="005D5CDA" w:rsidP="005D5CDA">
      <w:pPr>
        <w:jc w:val="both"/>
        <w:rPr>
          <w:rFonts w:ascii="Verdana" w:eastAsia="Calibri" w:hAnsi="Verdana" w:cs="Arial"/>
          <w:b/>
          <w:bCs/>
          <w:lang w:eastAsia="es-ES"/>
        </w:rPr>
      </w:pPr>
      <w:r w:rsidRPr="005D5CDA">
        <w:rPr>
          <w:rFonts w:ascii="Verdana" w:eastAsia="Calibri" w:hAnsi="Verdana" w:cs="Arial"/>
          <w:b/>
          <w:bCs/>
          <w:lang w:eastAsia="es-ES"/>
        </w:rPr>
        <w:t xml:space="preserve">CAPACIDAD FINANCIERA – Finalidad </w:t>
      </w:r>
    </w:p>
    <w:p w14:paraId="0D677AD7" w14:textId="77777777" w:rsidR="005D5CDA" w:rsidRDefault="005D5CDA" w:rsidP="005D5CDA">
      <w:pPr>
        <w:spacing w:after="0" w:line="240" w:lineRule="auto"/>
        <w:jc w:val="both"/>
        <w:rPr>
          <w:rFonts w:ascii="Verdana" w:eastAsia="Calibri" w:hAnsi="Verdana" w:cs="Arial"/>
          <w:color w:val="000000" w:themeColor="text1"/>
          <w:sz w:val="20"/>
          <w:szCs w:val="20"/>
          <w:lang w:val="es-ES_tradnl"/>
        </w:rPr>
      </w:pPr>
      <w:r w:rsidRPr="005D5CDA">
        <w:rPr>
          <w:rFonts w:ascii="Verdana" w:eastAsia="Calibri" w:hAnsi="Verdana" w:cs="Arial"/>
          <w:color w:val="000000" w:themeColor="text1"/>
          <w:sz w:val="20"/>
          <w:szCs w:val="20"/>
          <w:lang w:val="es-ES_tradnl"/>
        </w:rPr>
        <w:t xml:space="preserve">La </w:t>
      </w:r>
      <w:r w:rsidRPr="005D5CDA">
        <w:rPr>
          <w:rFonts w:ascii="Verdana" w:eastAsia="Calibri" w:hAnsi="Verdana" w:cs="Arial"/>
          <w:bCs/>
          <w:i/>
          <w:iCs/>
          <w:color w:val="000000" w:themeColor="text1"/>
          <w:sz w:val="20"/>
          <w:szCs w:val="20"/>
          <w:lang w:val="es-ES_tradnl"/>
        </w:rPr>
        <w:t xml:space="preserve">capacidad financiera, </w:t>
      </w:r>
      <w:r w:rsidRPr="005D5CDA">
        <w:rPr>
          <w:rFonts w:ascii="Verdana" w:eastAsia="Calibri" w:hAnsi="Verdana" w:cs="Arial"/>
          <w:bCs/>
          <w:color w:val="000000" w:themeColor="text1"/>
          <w:sz w:val="20"/>
          <w:szCs w:val="20"/>
          <w:lang w:val="es-ES_tradnl"/>
        </w:rPr>
        <w:t>objeto de su consulta,</w:t>
      </w:r>
      <w:r w:rsidRPr="005D5CDA">
        <w:rPr>
          <w:rFonts w:ascii="Verdana" w:eastAsia="Calibri" w:hAnsi="Verdana" w:cs="Arial"/>
          <w:i/>
          <w:iCs/>
          <w:color w:val="000000" w:themeColor="text1"/>
          <w:sz w:val="20"/>
          <w:szCs w:val="20"/>
          <w:lang w:val="es-ES_tradnl"/>
        </w:rPr>
        <w:t xml:space="preserve"> </w:t>
      </w:r>
      <w:r w:rsidRPr="005D5CDA">
        <w:rPr>
          <w:rFonts w:ascii="Verdana" w:eastAsia="Calibri" w:hAnsi="Verdana" w:cs="Arial"/>
          <w:color w:val="000000" w:themeColor="text1"/>
          <w:sz w:val="20"/>
          <w:szCs w:val="20"/>
          <w:lang w:val="es-ES_tradnl"/>
        </w:rPr>
        <w:t>se determina a través de la liquidez y el endeudamiento de los proponentes. Busca establecer condiciones mínimas en relación con la “salud financiera”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2A25474E" w14:textId="77777777" w:rsidR="00687CCD" w:rsidRDefault="00687CCD" w:rsidP="005D5CDA">
      <w:pPr>
        <w:spacing w:after="0" w:line="240" w:lineRule="auto"/>
        <w:jc w:val="both"/>
        <w:rPr>
          <w:rFonts w:ascii="Verdana" w:eastAsia="Calibri" w:hAnsi="Verdana" w:cs="Arial"/>
          <w:color w:val="000000" w:themeColor="text1"/>
          <w:sz w:val="20"/>
          <w:szCs w:val="20"/>
          <w:lang w:val="es-ES_tradnl"/>
        </w:rPr>
      </w:pPr>
    </w:p>
    <w:p w14:paraId="41901D26" w14:textId="1E471643" w:rsidR="005D5CDA" w:rsidRDefault="005D5CDA" w:rsidP="005D5CDA">
      <w:pPr>
        <w:jc w:val="both"/>
        <w:rPr>
          <w:rFonts w:ascii="Verdana" w:eastAsia="Calibri" w:hAnsi="Verdana" w:cs="Arial"/>
          <w:b/>
          <w:bCs/>
          <w:lang w:eastAsia="es-ES"/>
        </w:rPr>
      </w:pPr>
      <w:r w:rsidRPr="005D5CDA">
        <w:rPr>
          <w:rFonts w:ascii="Verdana" w:eastAsia="Calibri" w:hAnsi="Verdana" w:cs="Arial"/>
          <w:b/>
          <w:bCs/>
          <w:lang w:eastAsia="es-ES"/>
        </w:rPr>
        <w:t xml:space="preserve">REQUISITOS HABILITANTES – Autonomía de la entidad </w:t>
      </w:r>
    </w:p>
    <w:p w14:paraId="581E4A28" w14:textId="77777777" w:rsidR="00B75152" w:rsidRDefault="00B75152" w:rsidP="00B75152">
      <w:pPr>
        <w:spacing w:after="0" w:line="240" w:lineRule="auto"/>
        <w:jc w:val="both"/>
        <w:rPr>
          <w:rFonts w:ascii="Verdana" w:eastAsia="Calibri" w:hAnsi="Verdana" w:cs="Arial"/>
          <w:color w:val="000000" w:themeColor="text1"/>
          <w:sz w:val="20"/>
          <w:szCs w:val="20"/>
          <w:lang w:val="es-ES_tradnl"/>
        </w:rPr>
      </w:pPr>
      <w:r w:rsidRPr="00B75152">
        <w:rPr>
          <w:rFonts w:ascii="Verdana" w:eastAsia="Calibri" w:hAnsi="Verdana" w:cs="Arial"/>
          <w:color w:val="000000" w:themeColor="text1"/>
          <w:sz w:val="20"/>
          <w:szCs w:val="20"/>
          <w:lang w:val="es-ES_tradnl"/>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B75152">
        <w:rPr>
          <w:rFonts w:ascii="Verdana" w:eastAsia="Calibri" w:hAnsi="Verdana" w:cs="Arial"/>
          <w:i/>
          <w:iCs/>
          <w:color w:val="000000" w:themeColor="text1"/>
          <w:sz w:val="20"/>
          <w:szCs w:val="20"/>
          <w:lang w:val="es-ES_tradnl"/>
        </w:rPr>
        <w:t>índice de liquidez</w:t>
      </w:r>
      <w:r w:rsidRPr="00B75152">
        <w:rPr>
          <w:rFonts w:ascii="Verdana" w:eastAsia="Calibri" w:hAnsi="Verdana" w:cs="Arial"/>
          <w:color w:val="000000" w:themeColor="text1"/>
          <w:sz w:val="20"/>
          <w:szCs w:val="20"/>
          <w:lang w:val="es-ES_tradnl"/>
        </w:rPr>
        <w:t xml:space="preserve">, que corresponde a la división entre el activo corriente y el pasivo corriente, y que determina la capacidad que tiene el proponente para cumplir con sus obligaciones de corto plazo; </w:t>
      </w:r>
      <w:proofErr w:type="spellStart"/>
      <w:r w:rsidRPr="00B75152">
        <w:rPr>
          <w:rFonts w:ascii="Verdana" w:eastAsia="Calibri" w:hAnsi="Verdana" w:cs="Arial"/>
          <w:color w:val="000000" w:themeColor="text1"/>
          <w:sz w:val="20"/>
          <w:szCs w:val="20"/>
          <w:lang w:val="es-ES_tradnl"/>
        </w:rPr>
        <w:t>ii</w:t>
      </w:r>
      <w:proofErr w:type="spellEnd"/>
      <w:r w:rsidRPr="00B75152">
        <w:rPr>
          <w:rFonts w:ascii="Verdana" w:eastAsia="Calibri" w:hAnsi="Verdana" w:cs="Arial"/>
          <w:color w:val="000000" w:themeColor="text1"/>
          <w:sz w:val="20"/>
          <w:szCs w:val="20"/>
          <w:lang w:val="es-ES_tradnl"/>
        </w:rPr>
        <w:t xml:space="preserve">) el </w:t>
      </w:r>
      <w:r w:rsidRPr="00B75152">
        <w:rPr>
          <w:rFonts w:ascii="Verdana" w:eastAsia="Calibri" w:hAnsi="Verdana" w:cs="Arial"/>
          <w:i/>
          <w:iCs/>
          <w:color w:val="000000" w:themeColor="text1"/>
          <w:sz w:val="20"/>
          <w:szCs w:val="20"/>
          <w:lang w:val="es-ES_tradnl"/>
        </w:rPr>
        <w:t>índice de endeudamiento</w:t>
      </w:r>
      <w:r w:rsidRPr="00B75152">
        <w:rPr>
          <w:rFonts w:ascii="Verdana" w:eastAsia="Calibri" w:hAnsi="Verdana" w:cs="Arial"/>
          <w:color w:val="000000" w:themeColor="text1"/>
          <w:sz w:val="20"/>
          <w:szCs w:val="20"/>
          <w:lang w:val="es-ES_tradnl"/>
        </w:rPr>
        <w:t xml:space="preserve">, que se calcula dividiendo el pasivo total por el activo total, el cual determina el grado de endeudamiento en la estructura de financiación del proponente; y </w:t>
      </w:r>
      <w:proofErr w:type="spellStart"/>
      <w:r w:rsidRPr="00B75152">
        <w:rPr>
          <w:rFonts w:ascii="Verdana" w:eastAsia="Calibri" w:hAnsi="Verdana" w:cs="Arial"/>
          <w:color w:val="000000" w:themeColor="text1"/>
          <w:sz w:val="20"/>
          <w:szCs w:val="20"/>
          <w:lang w:val="es-ES_tradnl"/>
        </w:rPr>
        <w:t>iii</w:t>
      </w:r>
      <w:proofErr w:type="spellEnd"/>
      <w:r w:rsidRPr="00B75152">
        <w:rPr>
          <w:rFonts w:ascii="Verdana" w:eastAsia="Calibri" w:hAnsi="Verdana" w:cs="Arial"/>
          <w:color w:val="000000" w:themeColor="text1"/>
          <w:sz w:val="20"/>
          <w:szCs w:val="20"/>
          <w:lang w:val="es-ES_tradnl"/>
        </w:rPr>
        <w:t xml:space="preserve">) la </w:t>
      </w:r>
      <w:r w:rsidRPr="00B75152">
        <w:rPr>
          <w:rFonts w:ascii="Verdana" w:eastAsia="Calibri" w:hAnsi="Verdana" w:cs="Arial"/>
          <w:i/>
          <w:iCs/>
          <w:color w:val="000000" w:themeColor="text1"/>
          <w:sz w:val="20"/>
          <w:szCs w:val="20"/>
          <w:lang w:val="es-ES_tradnl"/>
        </w:rPr>
        <w:t>razón de cobertura de intereses</w:t>
      </w:r>
      <w:r w:rsidRPr="00B75152">
        <w:rPr>
          <w:rFonts w:ascii="Verdana" w:eastAsia="Calibri" w:hAnsi="Verdana" w:cs="Arial"/>
          <w:color w:val="000000" w:themeColor="text1"/>
          <w:sz w:val="20"/>
          <w:szCs w:val="20"/>
          <w:lang w:val="es-ES_tradnl"/>
        </w:rPr>
        <w:t>, que es igual a la utilidad operacional, sobre los gastos de intereses, y que refleja la capacidad del proponente para cumplir con sus obligaciones financieras.</w:t>
      </w:r>
    </w:p>
    <w:p w14:paraId="1C8F29F2" w14:textId="77777777" w:rsidR="00B75152" w:rsidRDefault="00B75152" w:rsidP="00B75152">
      <w:pPr>
        <w:spacing w:after="0" w:line="240" w:lineRule="auto"/>
        <w:jc w:val="both"/>
        <w:rPr>
          <w:rFonts w:ascii="Verdana" w:eastAsia="Calibri" w:hAnsi="Verdana" w:cs="Arial"/>
          <w:b/>
          <w:bCs/>
          <w:lang w:eastAsia="es-ES"/>
        </w:rPr>
      </w:pPr>
    </w:p>
    <w:p w14:paraId="1942FF78" w14:textId="41029EB4" w:rsidR="005D5CDA" w:rsidRPr="00B75152" w:rsidRDefault="005D5CDA" w:rsidP="005D5CDA">
      <w:pPr>
        <w:jc w:val="both"/>
        <w:rPr>
          <w:rFonts w:ascii="Verdana" w:eastAsia="Calibri" w:hAnsi="Verdana" w:cs="Arial"/>
          <w:color w:val="000000" w:themeColor="text1"/>
          <w:sz w:val="20"/>
          <w:szCs w:val="20"/>
          <w:lang w:val="es-ES_tradnl"/>
        </w:rPr>
      </w:pPr>
      <w:r w:rsidRPr="005D5CDA">
        <w:rPr>
          <w:rFonts w:ascii="Verdana" w:eastAsia="Calibri" w:hAnsi="Verdana" w:cs="Arial"/>
          <w:b/>
          <w:bCs/>
          <w:lang w:eastAsia="es-ES"/>
        </w:rPr>
        <w:t xml:space="preserve">DECRETO 399 DE 2021 – Finalidad – Reactivación económica </w:t>
      </w:r>
    </w:p>
    <w:p w14:paraId="48B447E0" w14:textId="6713DC69" w:rsidR="00B75152" w:rsidRPr="00B75152" w:rsidRDefault="00B75152" w:rsidP="00B75152">
      <w:pPr>
        <w:spacing w:after="0" w:line="240" w:lineRule="auto"/>
        <w:jc w:val="both"/>
        <w:rPr>
          <w:rFonts w:ascii="Verdana" w:hAnsi="Verdana" w:cs="Arial"/>
          <w:color w:val="000000"/>
          <w:sz w:val="20"/>
          <w:szCs w:val="20"/>
          <w:lang w:val="es-ES_tradnl"/>
        </w:rPr>
      </w:pPr>
      <w:r w:rsidRPr="00B75152">
        <w:rPr>
          <w:rFonts w:ascii="Verdana" w:hAnsi="Verdana" w:cs="Arial"/>
          <w:color w:val="000000"/>
          <w:sz w:val="20"/>
          <w:szCs w:val="20"/>
          <w:lang w:val="es-ES_tradnl"/>
        </w:rPr>
        <w:t xml:space="preserve">Para lograr la reactivación económica, ante la crisis generada por la pandemia del COVID-19, el gobierno nacional expidió el Decreto 399 de 2021, mediante el cual se establecieron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w:t>
      </w:r>
      <w:r w:rsidRPr="00B75152">
        <w:rPr>
          <w:rFonts w:ascii="Verdana" w:hAnsi="Verdana" w:cs="Arial"/>
          <w:color w:val="000000"/>
          <w:sz w:val="20"/>
          <w:szCs w:val="20"/>
          <w:lang w:val="es-ES_tradnl"/>
        </w:rPr>
        <w:lastRenderedPageBreak/>
        <w:t xml:space="preserve">tener en cuenta los datos sobre la capacidad financiera y organizacional de los últimos tres años, consignada en el RUP. </w:t>
      </w:r>
    </w:p>
    <w:p w14:paraId="57E3F9EB" w14:textId="77777777" w:rsidR="00B75152" w:rsidRDefault="00B75152" w:rsidP="00B75152">
      <w:pPr>
        <w:spacing w:after="0" w:line="240" w:lineRule="auto"/>
        <w:jc w:val="both"/>
        <w:rPr>
          <w:rFonts w:ascii="Verdana" w:eastAsia="Calibri" w:hAnsi="Verdana" w:cs="Arial"/>
          <w:b/>
          <w:bCs/>
          <w:lang w:eastAsia="es-ES"/>
        </w:rPr>
      </w:pPr>
    </w:p>
    <w:p w14:paraId="0EE85624" w14:textId="77777777" w:rsidR="00B75152" w:rsidRDefault="005D5CDA" w:rsidP="00B75152">
      <w:pPr>
        <w:jc w:val="both"/>
        <w:rPr>
          <w:rFonts w:ascii="Verdana" w:eastAsia="Calibri" w:hAnsi="Verdana" w:cs="Arial"/>
          <w:b/>
          <w:bCs/>
          <w:lang w:eastAsia="es-ES"/>
        </w:rPr>
      </w:pPr>
      <w:r w:rsidRPr="005D5CDA">
        <w:rPr>
          <w:rFonts w:ascii="Verdana" w:eastAsia="Calibri" w:hAnsi="Verdana" w:cs="Arial"/>
          <w:b/>
          <w:bCs/>
          <w:lang w:eastAsia="es-ES"/>
        </w:rPr>
        <w:t xml:space="preserve">DECRETO 399 DE 2021 – Capacidad financiera y organizacional – Reporte de información de los estados financieros de los últimos tres (3) años fiscales </w:t>
      </w:r>
    </w:p>
    <w:p w14:paraId="0CE487A1" w14:textId="332D9991" w:rsidR="001A0E78" w:rsidRPr="001A0E78" w:rsidRDefault="001A0E78" w:rsidP="00B75152">
      <w:pPr>
        <w:jc w:val="both"/>
        <w:rPr>
          <w:rFonts w:ascii="Verdana" w:eastAsia="Calibri" w:hAnsi="Verdana" w:cs="Arial"/>
          <w:sz w:val="20"/>
          <w:szCs w:val="20"/>
          <w:lang w:val="es-ES_tradnl" w:eastAsia="es-ES"/>
        </w:rPr>
      </w:pPr>
      <w:r w:rsidRPr="001A0E78">
        <w:rPr>
          <w:rFonts w:ascii="Verdana" w:eastAsia="Calibri" w:hAnsi="Verdana" w:cs="Arial"/>
          <w:sz w:val="20"/>
          <w:szCs w:val="20"/>
          <w:lang w:val="es-ES_tradnl" w:eastAsia="es-ES"/>
        </w:rPr>
        <w:t>Para lograr la reactivación económica, ante la crisis generada por la pandemia del COVID-19, el gobierno nacional expidió el Decreto 399 de 2021, mediante el cual se establecieron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tener en cuenta los datos sobre la capacidad financiera y organizacional de los últimos tres años, consignada en el RUP.</w:t>
      </w:r>
    </w:p>
    <w:p w14:paraId="2404F482" w14:textId="023D6ED6" w:rsidR="005D5CDA" w:rsidRDefault="005D5CDA" w:rsidP="005D5CDA">
      <w:pPr>
        <w:jc w:val="both"/>
        <w:rPr>
          <w:rFonts w:ascii="Verdana" w:eastAsia="Calibri" w:hAnsi="Verdana" w:cs="Arial"/>
          <w:b/>
          <w:bCs/>
          <w:lang w:eastAsia="es-ES"/>
        </w:rPr>
      </w:pPr>
      <w:r w:rsidRPr="005D5CDA">
        <w:rPr>
          <w:rFonts w:ascii="Verdana" w:eastAsia="Calibri" w:hAnsi="Verdana" w:cs="Arial"/>
          <w:b/>
          <w:bCs/>
          <w:lang w:eastAsia="es-ES"/>
        </w:rPr>
        <w:t xml:space="preserve">DECRETOS 399 Y 579 DE 2021 – Indicadores – Capacidad financiera – Capacidad organizacional – Período </w:t>
      </w:r>
    </w:p>
    <w:p w14:paraId="31210237" w14:textId="6BCA1D3A" w:rsidR="00215B2D" w:rsidRPr="00215B2D" w:rsidRDefault="00215B2D" w:rsidP="00215B2D">
      <w:pPr>
        <w:spacing w:after="0" w:line="240" w:lineRule="auto"/>
        <w:jc w:val="both"/>
        <w:rPr>
          <w:rFonts w:ascii="Verdana" w:hAnsi="Verdana" w:cs="Arial"/>
          <w:i/>
          <w:iCs/>
          <w:color w:val="000000"/>
          <w:sz w:val="20"/>
          <w:szCs w:val="20"/>
          <w:lang w:val="es-ES_tradnl"/>
        </w:rPr>
      </w:pPr>
      <w:r w:rsidRPr="00215B2D">
        <w:rPr>
          <w:rFonts w:ascii="Verdana" w:hAnsi="Verdana" w:cs="Arial"/>
          <w:color w:val="000000"/>
          <w:sz w:val="20"/>
          <w:szCs w:val="20"/>
          <w:lang w:val="es-ES_tradnl"/>
        </w:rPr>
        <w:t xml:space="preserve">En tal sentido, el artículo 4 del Decreto 399 de 2021 adicionó dos parágrafos transitorios al artículo 2.2.1.1.1.5.2 del Decreto 1082 de 2015, que a su vez fueron sustituidos por el artículo 1 del Decreto 579 del 31 de mayo de 2021 y posteriormente se adicionó un parágrafo transitorio adicional al artículo 2.2.1.1.1.5.2 del Decreto 1082 de 2015 por el artículo 1 del </w:t>
      </w:r>
      <w:r w:rsidRPr="00215B2D">
        <w:rPr>
          <w:rFonts w:ascii="Verdana" w:hAnsi="Verdana" w:cs="Arial"/>
          <w:sz w:val="20"/>
          <w:szCs w:val="20"/>
        </w:rPr>
        <w:t>Decreto 1041 de 2022.</w:t>
      </w:r>
    </w:p>
    <w:p w14:paraId="6E1D0EB5" w14:textId="77777777" w:rsidR="00215B2D" w:rsidRDefault="00215B2D" w:rsidP="00215B2D">
      <w:pPr>
        <w:spacing w:after="0" w:line="240" w:lineRule="auto"/>
        <w:jc w:val="both"/>
        <w:rPr>
          <w:rFonts w:ascii="Verdana" w:hAnsi="Verdana" w:cs="Arial"/>
          <w:color w:val="000000"/>
          <w:sz w:val="20"/>
          <w:szCs w:val="20"/>
          <w:lang w:val="es-ES_tradnl"/>
        </w:rPr>
      </w:pPr>
    </w:p>
    <w:p w14:paraId="5A5EC12F" w14:textId="65F11E1C" w:rsidR="00215B2D" w:rsidRPr="00215B2D" w:rsidRDefault="00215B2D" w:rsidP="00215B2D">
      <w:pPr>
        <w:spacing w:after="0" w:line="240" w:lineRule="auto"/>
        <w:jc w:val="both"/>
        <w:rPr>
          <w:rFonts w:ascii="Verdana" w:hAnsi="Verdana" w:cs="Arial"/>
          <w:i/>
          <w:iCs/>
          <w:color w:val="000000"/>
          <w:sz w:val="20"/>
          <w:szCs w:val="20"/>
          <w:lang w:val="es-ES_tradnl"/>
        </w:rPr>
      </w:pPr>
      <w:r w:rsidRPr="00215B2D">
        <w:rPr>
          <w:rFonts w:ascii="Verdana" w:hAnsi="Verdana" w:cs="Arial"/>
          <w:color w:val="000000"/>
          <w:sz w:val="20"/>
          <w:szCs w:val="20"/>
          <w:lang w:val="es-ES_tradnl"/>
        </w:rPr>
        <w:t xml:space="preserve">El </w:t>
      </w:r>
      <w:r w:rsidRPr="00215B2D">
        <w:rPr>
          <w:rFonts w:ascii="Verdana" w:hAnsi="Verdana" w:cs="Arial"/>
          <w:i/>
          <w:iCs/>
          <w:color w:val="000000"/>
          <w:sz w:val="20"/>
          <w:szCs w:val="20"/>
          <w:lang w:val="es-ES_tradnl"/>
        </w:rPr>
        <w:t>parágrafo transitorio 1</w:t>
      </w:r>
      <w:r w:rsidRPr="00215B2D">
        <w:rPr>
          <w:rFonts w:ascii="Verdana" w:hAnsi="Verdana" w:cs="Arial"/>
          <w:color w:val="000000"/>
          <w:sz w:val="20"/>
          <w:szCs w:val="20"/>
          <w:lang w:val="es-ES_tradnl"/>
        </w:rPr>
        <w:t xml:space="preserve">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25782B44" w14:textId="77777777" w:rsidR="00215B2D" w:rsidRDefault="00215B2D" w:rsidP="00215B2D">
      <w:pPr>
        <w:spacing w:after="0" w:line="240" w:lineRule="auto"/>
        <w:jc w:val="both"/>
        <w:rPr>
          <w:rFonts w:ascii="Verdana" w:hAnsi="Verdana" w:cs="Arial"/>
          <w:color w:val="000000"/>
          <w:sz w:val="20"/>
          <w:szCs w:val="20"/>
          <w:lang w:val="es-ES_tradnl"/>
        </w:rPr>
      </w:pPr>
    </w:p>
    <w:p w14:paraId="002613AD" w14:textId="43D0346E" w:rsidR="00215B2D" w:rsidRPr="00215B2D" w:rsidRDefault="00215B2D" w:rsidP="00215B2D">
      <w:pPr>
        <w:spacing w:after="0" w:line="240" w:lineRule="auto"/>
        <w:jc w:val="both"/>
        <w:rPr>
          <w:rFonts w:ascii="Verdana" w:hAnsi="Verdana" w:cs="Arial"/>
          <w:i/>
          <w:color w:val="000000"/>
          <w:sz w:val="20"/>
          <w:szCs w:val="20"/>
          <w:lang w:val="es-ES_tradnl"/>
        </w:rPr>
      </w:pPr>
      <w:r w:rsidRPr="00215B2D">
        <w:rPr>
          <w:rFonts w:ascii="Verdana" w:hAnsi="Verdana" w:cs="Arial"/>
          <w:color w:val="000000"/>
          <w:sz w:val="20"/>
          <w:szCs w:val="20"/>
          <w:lang w:val="es-ES_tradnl"/>
        </w:rPr>
        <w:t xml:space="preserve">El </w:t>
      </w:r>
      <w:r w:rsidRPr="00215B2D">
        <w:rPr>
          <w:rFonts w:ascii="Verdana" w:hAnsi="Verdana" w:cs="Arial"/>
          <w:i/>
          <w:iCs/>
          <w:color w:val="000000"/>
          <w:sz w:val="20"/>
          <w:szCs w:val="20"/>
          <w:lang w:val="es-ES_tradnl"/>
        </w:rPr>
        <w:t>parágrafo transitorio 2</w:t>
      </w:r>
      <w:r w:rsidRPr="00215B2D">
        <w:rPr>
          <w:rFonts w:ascii="Verdana" w:hAnsi="Verdana" w:cs="Arial"/>
          <w:color w:val="000000"/>
          <w:sz w:val="20"/>
          <w:szCs w:val="20"/>
          <w:lang w:val="es-ES_tradnl"/>
        </w:rPr>
        <w:t xml:space="preserve"> señala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14:paraId="137D090C" w14:textId="77777777" w:rsidR="00215B2D" w:rsidRDefault="00215B2D" w:rsidP="00215B2D">
      <w:pPr>
        <w:spacing w:after="0" w:line="240" w:lineRule="auto"/>
        <w:jc w:val="both"/>
        <w:rPr>
          <w:rFonts w:ascii="Verdana" w:eastAsia="Calibri" w:hAnsi="Verdana" w:cs="Arial"/>
          <w:b/>
          <w:bCs/>
          <w:lang w:val="es-ES_tradnl" w:eastAsia="es-ES"/>
        </w:rPr>
      </w:pPr>
    </w:p>
    <w:p w14:paraId="1B47D6E8" w14:textId="25858481" w:rsidR="00B13A11" w:rsidRDefault="005D5CDA" w:rsidP="005D5CDA">
      <w:pPr>
        <w:jc w:val="both"/>
        <w:rPr>
          <w:rFonts w:ascii="Verdana" w:eastAsia="Calibri" w:hAnsi="Verdana" w:cs="Arial"/>
          <w:b/>
          <w:bCs/>
          <w:lang w:eastAsia="es-ES"/>
        </w:rPr>
      </w:pPr>
      <w:r w:rsidRPr="005D5CDA">
        <w:rPr>
          <w:rFonts w:ascii="Verdana" w:eastAsia="Calibri" w:hAnsi="Verdana" w:cs="Arial"/>
          <w:b/>
          <w:bCs/>
          <w:lang w:eastAsia="es-ES"/>
        </w:rPr>
        <w:t>DECRETO 1041 DE 2022 - Información – Capacidad financiera – Capacidad organizacional – Últimos tres (3) años fiscales anteriores</w:t>
      </w:r>
    </w:p>
    <w:p w14:paraId="0C5174EE" w14:textId="77777777" w:rsidR="00B13A11" w:rsidRPr="00B13A11" w:rsidRDefault="00B13A11" w:rsidP="00B13A11">
      <w:pPr>
        <w:spacing w:after="0" w:line="240" w:lineRule="auto"/>
        <w:jc w:val="both"/>
        <w:rPr>
          <w:rFonts w:ascii="Verdana" w:hAnsi="Verdana" w:cs="Arial"/>
          <w:i/>
          <w:iCs/>
          <w:color w:val="000000"/>
          <w:sz w:val="20"/>
          <w:szCs w:val="20"/>
          <w:lang w:val="es-ES_tradnl"/>
        </w:rPr>
      </w:pPr>
      <w:r w:rsidRPr="00B13A11">
        <w:rPr>
          <w:rFonts w:ascii="Verdana" w:hAnsi="Verdana" w:cs="Arial"/>
          <w:color w:val="000000"/>
          <w:sz w:val="20"/>
          <w:szCs w:val="20"/>
          <w:lang w:val="es-ES_tradnl"/>
        </w:rPr>
        <w:t xml:space="preserve">Posteriormente, el segundo parágrafo transitorio del artículo 2.2.1.1.1.5.6 del Decreto 1082 de 2015, modificado por el artículo 2 del Decreto 1041 del 21 de junio 2022 dispone que </w:t>
      </w:r>
      <w:r w:rsidRPr="00B13A11">
        <w:rPr>
          <w:rFonts w:ascii="Verdana" w:hAnsi="Verdana" w:cs="Arial"/>
          <w:i/>
          <w:iCs/>
          <w:color w:val="000000"/>
          <w:sz w:val="20"/>
          <w:szCs w:val="20"/>
          <w:lang w:val="es-ES_tradnl"/>
        </w:rPr>
        <w:t>“</w:t>
      </w:r>
      <w:r w:rsidRPr="00B13A11">
        <w:rPr>
          <w:rFonts w:ascii="Verdana" w:hAnsi="Verdana" w:cs="Arial"/>
          <w:color w:val="000000"/>
          <w:sz w:val="20"/>
          <w:szCs w:val="20"/>
          <w:lang w:val="es-ES_tradnl"/>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r w:rsidRPr="00B13A11">
        <w:rPr>
          <w:rFonts w:ascii="Verdana" w:hAnsi="Verdana" w:cs="Arial"/>
          <w:i/>
          <w:iCs/>
          <w:color w:val="000000"/>
          <w:sz w:val="20"/>
          <w:szCs w:val="20"/>
          <w:lang w:val="es-ES_tradnl"/>
        </w:rPr>
        <w:t xml:space="preserve">”. </w:t>
      </w:r>
      <w:r w:rsidRPr="00B13A11">
        <w:rPr>
          <w:rFonts w:ascii="Verdana" w:hAnsi="Verdana" w:cs="Arial"/>
          <w:color w:val="000000"/>
          <w:sz w:val="20"/>
          <w:szCs w:val="20"/>
          <w:lang w:val="es-ES_tradnl"/>
        </w:rPr>
        <w:t>Como se observa, las normas anteriormente transcritas disponen que:</w:t>
      </w:r>
    </w:p>
    <w:p w14:paraId="5C60A22D" w14:textId="77777777" w:rsidR="00B13A11" w:rsidRDefault="00B13A11" w:rsidP="00B13A11">
      <w:pPr>
        <w:spacing w:after="0" w:line="240" w:lineRule="auto"/>
        <w:jc w:val="both"/>
        <w:rPr>
          <w:rFonts w:ascii="Verdana" w:hAnsi="Verdana" w:cs="Arial"/>
          <w:color w:val="000000"/>
          <w:sz w:val="20"/>
          <w:szCs w:val="20"/>
          <w:lang w:val="es-ES_tradnl"/>
        </w:rPr>
      </w:pPr>
    </w:p>
    <w:p w14:paraId="2BFF8024" w14:textId="45DA223F" w:rsidR="00B13A11" w:rsidRPr="00B13A11" w:rsidRDefault="00B13A11" w:rsidP="00B13A11">
      <w:pPr>
        <w:spacing w:after="0" w:line="240" w:lineRule="auto"/>
        <w:jc w:val="both"/>
        <w:rPr>
          <w:rFonts w:ascii="Verdana" w:hAnsi="Verdana" w:cs="Arial"/>
          <w:i/>
          <w:iCs/>
          <w:color w:val="000000"/>
          <w:sz w:val="20"/>
          <w:szCs w:val="20"/>
          <w:lang w:val="es-ES_tradnl"/>
        </w:rPr>
      </w:pPr>
      <w:r w:rsidRPr="00B13A11">
        <w:rPr>
          <w:rFonts w:ascii="Verdana" w:hAnsi="Verdana" w:cs="Arial"/>
          <w:color w:val="000000"/>
          <w:sz w:val="20"/>
          <w:szCs w:val="20"/>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1ABF24A2" w14:textId="77777777" w:rsidR="00B13A11" w:rsidRDefault="00B13A11" w:rsidP="00B13A11">
      <w:pPr>
        <w:spacing w:after="0" w:line="240" w:lineRule="auto"/>
        <w:jc w:val="both"/>
        <w:rPr>
          <w:rFonts w:ascii="Verdana" w:hAnsi="Verdana" w:cs="Arial"/>
          <w:color w:val="000000"/>
          <w:sz w:val="20"/>
          <w:szCs w:val="20"/>
          <w:lang w:val="es-ES_tradnl"/>
        </w:rPr>
      </w:pPr>
    </w:p>
    <w:p w14:paraId="03E3A8F8" w14:textId="023A89A5" w:rsidR="00B13A11" w:rsidRPr="00B13A11" w:rsidRDefault="00B13A11" w:rsidP="00B13A11">
      <w:pPr>
        <w:spacing w:after="0" w:line="240" w:lineRule="auto"/>
        <w:jc w:val="both"/>
        <w:rPr>
          <w:rFonts w:ascii="Verdana" w:hAnsi="Verdana" w:cs="Arial"/>
          <w:i/>
          <w:color w:val="000000"/>
          <w:sz w:val="20"/>
          <w:szCs w:val="20"/>
          <w:lang w:val="es-ES_tradnl"/>
        </w:rPr>
      </w:pPr>
      <w:proofErr w:type="spellStart"/>
      <w:r w:rsidRPr="00B13A11">
        <w:rPr>
          <w:rFonts w:ascii="Verdana" w:hAnsi="Verdana" w:cs="Arial"/>
          <w:color w:val="000000"/>
          <w:sz w:val="20"/>
          <w:szCs w:val="20"/>
          <w:lang w:val="es-ES_tradnl"/>
        </w:rPr>
        <w:t>ii</w:t>
      </w:r>
      <w:proofErr w:type="spellEnd"/>
      <w:r w:rsidRPr="00B13A11">
        <w:rPr>
          <w:rFonts w:ascii="Verdana" w:hAnsi="Verdana" w:cs="Arial"/>
          <w:color w:val="000000"/>
          <w:sz w:val="20"/>
          <w:szCs w:val="20"/>
          <w:lang w:val="es-ES_tradnl"/>
        </w:rPr>
        <w:t>)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014E5852" w14:textId="77777777" w:rsidR="00B13A11" w:rsidRDefault="00B13A11" w:rsidP="00B13A11">
      <w:pPr>
        <w:spacing w:after="0" w:line="240" w:lineRule="auto"/>
        <w:jc w:val="both"/>
        <w:rPr>
          <w:rFonts w:ascii="Verdana" w:hAnsi="Verdana" w:cs="Arial"/>
          <w:color w:val="000000"/>
          <w:sz w:val="20"/>
          <w:szCs w:val="20"/>
          <w:lang w:val="es-ES_tradnl"/>
        </w:rPr>
      </w:pPr>
    </w:p>
    <w:p w14:paraId="4FD5D4EF" w14:textId="64252D79" w:rsidR="00B13A11" w:rsidRPr="00B13A11" w:rsidRDefault="00B13A11" w:rsidP="00B13A11">
      <w:pPr>
        <w:spacing w:after="0" w:line="240" w:lineRule="auto"/>
        <w:jc w:val="both"/>
        <w:rPr>
          <w:rFonts w:ascii="Verdana" w:hAnsi="Verdana" w:cs="Arial"/>
          <w:i/>
          <w:color w:val="000000"/>
          <w:sz w:val="20"/>
          <w:szCs w:val="20"/>
          <w:lang w:val="es-ES_tradnl"/>
        </w:rPr>
      </w:pPr>
      <w:proofErr w:type="spellStart"/>
      <w:r w:rsidRPr="00B13A11">
        <w:rPr>
          <w:rFonts w:ascii="Verdana" w:hAnsi="Verdana" w:cs="Arial"/>
          <w:color w:val="000000"/>
          <w:sz w:val="20"/>
          <w:szCs w:val="20"/>
          <w:lang w:val="es-ES_tradnl"/>
        </w:rPr>
        <w:t>iii</w:t>
      </w:r>
      <w:proofErr w:type="spellEnd"/>
      <w:r w:rsidRPr="00B13A11">
        <w:rPr>
          <w:rFonts w:ascii="Verdana" w:hAnsi="Verdana" w:cs="Arial"/>
          <w:color w:val="000000"/>
          <w:sz w:val="20"/>
          <w:szCs w:val="20"/>
          <w:lang w:val="es-ES_tradnl"/>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696BB5AA" w14:textId="77777777" w:rsidR="00B13A11" w:rsidRDefault="00B13A11" w:rsidP="00B13A11">
      <w:pPr>
        <w:spacing w:after="0" w:line="240" w:lineRule="auto"/>
        <w:jc w:val="both"/>
        <w:rPr>
          <w:rFonts w:ascii="Verdana" w:hAnsi="Verdana" w:cs="Arial"/>
          <w:color w:val="000000"/>
          <w:sz w:val="20"/>
          <w:szCs w:val="20"/>
          <w:lang w:val="es-ES_tradnl"/>
        </w:rPr>
      </w:pPr>
    </w:p>
    <w:p w14:paraId="5956C06C" w14:textId="7216A2AD" w:rsidR="00B13A11" w:rsidRPr="00B13A11" w:rsidRDefault="00B13A11" w:rsidP="00B13A11">
      <w:pPr>
        <w:spacing w:after="0" w:line="240" w:lineRule="auto"/>
        <w:jc w:val="both"/>
        <w:rPr>
          <w:rFonts w:ascii="Verdana" w:hAnsi="Verdana" w:cs="Arial"/>
          <w:i/>
          <w:iCs/>
          <w:color w:val="000000"/>
          <w:sz w:val="20"/>
          <w:szCs w:val="20"/>
          <w:lang w:val="es-ES_tradnl"/>
        </w:rPr>
      </w:pPr>
      <w:proofErr w:type="spellStart"/>
      <w:r w:rsidRPr="00B13A11">
        <w:rPr>
          <w:rFonts w:ascii="Verdana" w:hAnsi="Verdana" w:cs="Arial"/>
          <w:color w:val="000000"/>
          <w:sz w:val="20"/>
          <w:szCs w:val="20"/>
          <w:lang w:val="es-ES_tradnl"/>
        </w:rPr>
        <w:t>iv</w:t>
      </w:r>
      <w:proofErr w:type="spellEnd"/>
      <w:r w:rsidRPr="00B13A11">
        <w:rPr>
          <w:rFonts w:ascii="Verdana" w:hAnsi="Verdana" w:cs="Arial"/>
          <w:color w:val="000000"/>
          <w:sz w:val="20"/>
          <w:szCs w:val="20"/>
          <w:lang w:val="es-ES_tradnl"/>
        </w:rPr>
        <w:t xml:space="preserve">) A partir de la fecha establecida anteriormente, la evaluación de los indicadores de capacidad financiera –índice de liquidez, índice de endeudamiento y razón de cobertura de intereses– y organizacional –rentabilidad del patrimonio y rentabilidad del activo–, se deberá realizar por parte de las entidades estatales “teniendo en cuenta </w:t>
      </w:r>
      <w:r w:rsidRPr="00B13A11">
        <w:rPr>
          <w:rFonts w:ascii="Verdana" w:hAnsi="Verdana" w:cs="Arial"/>
          <w:i/>
          <w:iCs/>
          <w:color w:val="000000"/>
          <w:sz w:val="20"/>
          <w:szCs w:val="20"/>
          <w:lang w:val="es-ES_tradnl"/>
        </w:rPr>
        <w:t>el mejor año fiscal que se refleje en el registro</w:t>
      </w:r>
      <w:r w:rsidRPr="00B13A11">
        <w:rPr>
          <w:rFonts w:ascii="Verdana" w:hAnsi="Verdana" w:cs="Arial"/>
          <w:color w:val="000000"/>
          <w:sz w:val="20"/>
          <w:szCs w:val="20"/>
          <w:lang w:val="es-ES_tradnl"/>
        </w:rPr>
        <w:t xml:space="preserve"> de cada proponente” (Énfasis fuera de texto). </w:t>
      </w:r>
    </w:p>
    <w:p w14:paraId="70651D01" w14:textId="77777777" w:rsidR="00B13A11" w:rsidRDefault="00B13A11" w:rsidP="00B13A11">
      <w:pPr>
        <w:spacing w:after="0" w:line="240" w:lineRule="auto"/>
        <w:jc w:val="both"/>
        <w:rPr>
          <w:rFonts w:ascii="Verdana" w:hAnsi="Verdana" w:cs="Arial"/>
          <w:color w:val="000000"/>
          <w:sz w:val="20"/>
          <w:szCs w:val="20"/>
          <w:lang w:val="es-ES_tradnl"/>
        </w:rPr>
      </w:pPr>
    </w:p>
    <w:p w14:paraId="1E1B0895" w14:textId="77777777" w:rsidR="00B13A11" w:rsidRDefault="00B13A11" w:rsidP="00B13A11">
      <w:pPr>
        <w:spacing w:after="0" w:line="240" w:lineRule="auto"/>
        <w:jc w:val="both"/>
        <w:rPr>
          <w:rFonts w:ascii="Verdana" w:hAnsi="Verdana" w:cs="Arial"/>
          <w:i/>
          <w:iCs/>
          <w:color w:val="000000"/>
          <w:sz w:val="20"/>
          <w:szCs w:val="20"/>
          <w:lang w:val="es-ES_tradnl"/>
        </w:rPr>
      </w:pPr>
      <w:r w:rsidRPr="00B13A11">
        <w:rPr>
          <w:rFonts w:ascii="Verdana" w:hAnsi="Verdana" w:cs="Arial"/>
          <w:color w:val="000000"/>
          <w:sz w:val="20"/>
          <w:szCs w:val="20"/>
          <w:lang w:val="es-ES_tradnl"/>
        </w:rPr>
        <w:t>v) Dichas medidas se mantuvieron hasta el año 2023 en virtud de lo consagrado en el Decreto 1041 de 2022.</w:t>
      </w:r>
    </w:p>
    <w:p w14:paraId="3AA9D7BD" w14:textId="77777777" w:rsidR="00B13A11" w:rsidRDefault="00B13A11" w:rsidP="00B13A11">
      <w:pPr>
        <w:spacing w:after="0" w:line="240" w:lineRule="auto"/>
        <w:jc w:val="both"/>
        <w:rPr>
          <w:rFonts w:ascii="Verdana" w:hAnsi="Verdana" w:cs="Arial"/>
          <w:i/>
          <w:iCs/>
          <w:color w:val="000000"/>
          <w:sz w:val="20"/>
          <w:szCs w:val="20"/>
          <w:lang w:val="es-ES_tradnl"/>
        </w:rPr>
      </w:pPr>
    </w:p>
    <w:p w14:paraId="22A93C51" w14:textId="0E24F3CE" w:rsidR="005D5CDA" w:rsidRDefault="005D5CDA" w:rsidP="00B13A11">
      <w:pPr>
        <w:spacing w:after="0" w:line="240" w:lineRule="auto"/>
        <w:jc w:val="both"/>
        <w:rPr>
          <w:rFonts w:ascii="Verdana" w:eastAsia="Calibri" w:hAnsi="Verdana" w:cs="Arial"/>
          <w:b/>
          <w:bCs/>
          <w:lang w:eastAsia="es-ES"/>
        </w:rPr>
      </w:pPr>
      <w:r w:rsidRPr="005D5CDA">
        <w:rPr>
          <w:rFonts w:ascii="Verdana" w:eastAsia="Calibri" w:hAnsi="Verdana" w:cs="Arial"/>
          <w:b/>
          <w:bCs/>
          <w:lang w:eastAsia="es-ES"/>
        </w:rPr>
        <w:t xml:space="preserve">MEJOR AÑO FISCAL – Decreto 399 de 2021– Capacidad financiera – Capacidad organizacional – Interpretación </w:t>
      </w:r>
    </w:p>
    <w:p w14:paraId="223C3E57" w14:textId="77777777" w:rsidR="00B13A11" w:rsidRDefault="00B13A11" w:rsidP="00B13A11">
      <w:pPr>
        <w:spacing w:after="0" w:line="240" w:lineRule="auto"/>
        <w:jc w:val="both"/>
        <w:rPr>
          <w:rFonts w:ascii="Verdana" w:eastAsia="Calibri" w:hAnsi="Verdana" w:cs="Arial"/>
          <w:b/>
          <w:bCs/>
          <w:lang w:eastAsia="es-ES"/>
        </w:rPr>
      </w:pPr>
    </w:p>
    <w:p w14:paraId="631CE7B4" w14:textId="660CCD38" w:rsidR="00B13A11" w:rsidRPr="00B13A11" w:rsidRDefault="00B13A11" w:rsidP="00B13A11">
      <w:pPr>
        <w:spacing w:after="0" w:line="240" w:lineRule="auto"/>
        <w:jc w:val="both"/>
        <w:rPr>
          <w:rFonts w:ascii="Verdana" w:hAnsi="Verdana" w:cs="Arial"/>
          <w:i/>
          <w:iCs/>
          <w:color w:val="000000"/>
          <w:sz w:val="20"/>
          <w:szCs w:val="20"/>
          <w:lang w:val="es-ES_tradnl"/>
        </w:rPr>
      </w:pPr>
      <w:r w:rsidRPr="00B13A11">
        <w:rPr>
          <w:rFonts w:ascii="Verdana" w:hAnsi="Verdana" w:cs="Arial"/>
          <w:color w:val="000000"/>
          <w:sz w:val="20"/>
          <w:szCs w:val="20"/>
          <w:lang w:val="es-ES_tradnl"/>
        </w:rPr>
        <w:t>De la explicación anterior, se desprende que los parágrafos adicionados por los Decretos 399 de 2021, 579 de 2021 y 1041 de 2022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w:t>
      </w:r>
    </w:p>
    <w:p w14:paraId="71898CFB" w14:textId="77777777" w:rsidR="00B13A11" w:rsidRDefault="00B13A11" w:rsidP="005D5CDA">
      <w:pPr>
        <w:spacing w:after="0" w:line="240" w:lineRule="auto"/>
        <w:jc w:val="both"/>
        <w:rPr>
          <w:rFonts w:ascii="Verdana" w:eastAsia="Calibri" w:hAnsi="Verdana" w:cs="Arial"/>
          <w:b/>
          <w:bCs/>
          <w:lang w:eastAsia="es-ES"/>
        </w:rPr>
      </w:pPr>
    </w:p>
    <w:p w14:paraId="49B60AF9" w14:textId="20C64674" w:rsidR="005D5CDA" w:rsidRPr="005D5CDA" w:rsidRDefault="005D5CDA" w:rsidP="005D5CDA">
      <w:pPr>
        <w:spacing w:after="0" w:line="240" w:lineRule="auto"/>
        <w:jc w:val="both"/>
        <w:rPr>
          <w:rFonts w:ascii="Verdana" w:eastAsia="Calibri" w:hAnsi="Verdana" w:cs="Arial"/>
          <w:b/>
          <w:bCs/>
          <w:lang w:eastAsia="es-ES"/>
        </w:rPr>
      </w:pPr>
      <w:r w:rsidRPr="005D5CDA">
        <w:rPr>
          <w:rFonts w:ascii="Verdana" w:eastAsia="Calibri" w:hAnsi="Verdana" w:cs="Arial"/>
          <w:b/>
          <w:bCs/>
          <w:lang w:eastAsia="es-ES"/>
        </w:rPr>
        <w:t>NORMAS TRANSITORIAS – Pérdida de vigencia – Efectos</w:t>
      </w:r>
    </w:p>
    <w:p w14:paraId="32A7A390" w14:textId="77777777" w:rsidR="005D5CDA" w:rsidRDefault="005D5CDA" w:rsidP="00DD2E5C">
      <w:pPr>
        <w:spacing w:after="0"/>
        <w:rPr>
          <w:rFonts w:ascii="Verdana" w:eastAsia="Verdana" w:hAnsi="Verdana" w:cs="Verdana"/>
        </w:rPr>
      </w:pPr>
    </w:p>
    <w:p w14:paraId="022F0D37" w14:textId="77777777" w:rsidR="00B13A11" w:rsidRDefault="00B13A11" w:rsidP="00B13A11">
      <w:pPr>
        <w:spacing w:after="0" w:line="240" w:lineRule="auto"/>
        <w:jc w:val="both"/>
        <w:rPr>
          <w:rFonts w:ascii="Verdana" w:hAnsi="Verdana" w:cs="Arial"/>
          <w:iCs/>
          <w:color w:val="000000"/>
          <w:sz w:val="20"/>
          <w:szCs w:val="20"/>
          <w:lang w:val="es-ES_tradnl"/>
        </w:rPr>
      </w:pPr>
      <w:r w:rsidRPr="00B13A11">
        <w:rPr>
          <w:rFonts w:ascii="Verdana" w:hAnsi="Verdana" w:cs="Arial"/>
          <w:iCs/>
          <w:color w:val="000000"/>
          <w:sz w:val="20"/>
          <w:szCs w:val="20"/>
          <w:lang w:val="es-ES_tradnl"/>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00B13A11">
        <w:rPr>
          <w:rFonts w:ascii="Verdana" w:hAnsi="Verdana" w:cs="Arial"/>
          <w:i/>
          <w:color w:val="000000"/>
          <w:sz w:val="20"/>
          <w:szCs w:val="20"/>
          <w:lang w:val="es-ES_tradnl"/>
        </w:rPr>
        <w:t>ibidem</w:t>
      </w:r>
      <w:r w:rsidRPr="00B13A11">
        <w:rPr>
          <w:rFonts w:ascii="Verdana" w:hAnsi="Verdana" w:cs="Arial"/>
          <w:iCs/>
          <w:color w:val="000000"/>
          <w:sz w:val="20"/>
          <w:szCs w:val="20"/>
          <w:lang w:val="es-ES_tradnl"/>
        </w:rPr>
        <w:t xml:space="preserve"> –adicionados por el art. 6 del Decreto 399 de 2021 y sustituido por el art. 3 del Decreto 579 de 2021– es inaplicable por sustracción de materia. En consecuencia, cesa la posibilidad de acreditar los indicadores de los numerales 3 y 4 artículo 2.2.1.1.1.5.3 </w:t>
      </w:r>
      <w:r w:rsidRPr="00B13A11">
        <w:rPr>
          <w:rFonts w:ascii="Verdana" w:hAnsi="Verdana" w:cs="Arial"/>
          <w:i/>
          <w:color w:val="000000"/>
          <w:sz w:val="20"/>
          <w:szCs w:val="20"/>
          <w:lang w:val="es-ES_tradnl"/>
        </w:rPr>
        <w:t>ibidem</w:t>
      </w:r>
      <w:r w:rsidRPr="00B13A11">
        <w:rPr>
          <w:rFonts w:ascii="Verdana" w:hAnsi="Verdana" w:cs="Arial"/>
          <w:iCs/>
          <w:color w:val="000000"/>
          <w:sz w:val="20"/>
          <w:szCs w:val="20"/>
          <w:lang w:val="es-ES_tradnl"/>
        </w:rPr>
        <w:t xml:space="preserve"> teniendo en cuenta el mejor año fiscal que se refleje en el registro de cada proponente.</w:t>
      </w:r>
    </w:p>
    <w:p w14:paraId="2F6185D5" w14:textId="77777777" w:rsidR="00B13A11" w:rsidRDefault="00B13A11" w:rsidP="00B13A11">
      <w:pPr>
        <w:spacing w:after="0" w:line="240" w:lineRule="auto"/>
        <w:jc w:val="both"/>
        <w:rPr>
          <w:rFonts w:ascii="Verdana" w:hAnsi="Verdana" w:cs="Arial"/>
          <w:iCs/>
          <w:color w:val="000000"/>
          <w:sz w:val="20"/>
          <w:szCs w:val="20"/>
          <w:lang w:val="es-ES_tradnl"/>
        </w:rPr>
      </w:pPr>
    </w:p>
    <w:p w14:paraId="0DBC1365" w14:textId="1BB2A49B" w:rsidR="00B13A11" w:rsidRPr="00B13A11" w:rsidRDefault="00B13A11" w:rsidP="00B13A11">
      <w:pPr>
        <w:spacing w:after="0" w:line="240" w:lineRule="auto"/>
        <w:jc w:val="both"/>
        <w:rPr>
          <w:rFonts w:ascii="Verdana" w:eastAsia="Calibri" w:hAnsi="Verdana" w:cs="Arial"/>
          <w:color w:val="000000"/>
          <w:sz w:val="20"/>
          <w:szCs w:val="20"/>
          <w:lang w:val="es-ES_tradnl" w:eastAsia="es-ES_tradnl"/>
        </w:rPr>
      </w:pPr>
      <w:r w:rsidRPr="00B13A11">
        <w:rPr>
          <w:rFonts w:ascii="Verdana" w:eastAsia="Calibri" w:hAnsi="Verdana" w:cs="Arial"/>
          <w:color w:val="000000"/>
          <w:sz w:val="20"/>
          <w:szCs w:val="20"/>
          <w:lang w:val="es-ES_tradnl" w:eastAsia="es-ES_tradnl"/>
        </w:rPr>
        <w:t>Estas normas transitorias no perdieron su vigencia con la finalización de la emergencia sanitaria, pues el Decreto 1041 de 2022 –al prorrogar las medidas de los Decretos 399 y 579 de 2021– las extendió durante el 2023, vigencia fiscal que finalizó el 31 de diciembre de la mencionada anualidad. En consecuencia, una interpretación razonable permite concluir que a partir de 2024 los indicadores deben acreditarse frete a la Cámara de Comercio conforme a las reglas de generales del Decreto Único Reglamentario del Sector de Planeación Nacional.</w:t>
      </w:r>
    </w:p>
    <w:p w14:paraId="0B062ECA" w14:textId="77777777" w:rsidR="00B13A11" w:rsidRDefault="00B13A11" w:rsidP="00B13A11">
      <w:pPr>
        <w:spacing w:after="0" w:line="240" w:lineRule="auto"/>
        <w:jc w:val="both"/>
        <w:rPr>
          <w:rFonts w:ascii="Verdana" w:eastAsia="Calibri" w:hAnsi="Verdana" w:cs="Arial"/>
          <w:color w:val="000000"/>
          <w:sz w:val="20"/>
          <w:szCs w:val="20"/>
          <w:lang w:val="es-ES_tradnl" w:eastAsia="es-ES_tradnl"/>
        </w:rPr>
      </w:pPr>
    </w:p>
    <w:p w14:paraId="4F0A5F9E" w14:textId="77777777" w:rsidR="00B13A11" w:rsidRDefault="00B13A11" w:rsidP="00B13A11">
      <w:pPr>
        <w:spacing w:after="0" w:line="240" w:lineRule="auto"/>
        <w:jc w:val="both"/>
        <w:rPr>
          <w:rFonts w:ascii="Verdana" w:hAnsi="Verdana" w:cs="Arial"/>
          <w:iCs/>
          <w:color w:val="000000"/>
          <w:sz w:val="20"/>
          <w:szCs w:val="20"/>
          <w:lang w:val="es-ES_tradnl"/>
        </w:rPr>
      </w:pPr>
      <w:r w:rsidRPr="00B13A11">
        <w:rPr>
          <w:rFonts w:ascii="Verdana" w:eastAsia="Calibri" w:hAnsi="Verdana" w:cs="Arial"/>
          <w:color w:val="000000"/>
          <w:sz w:val="20"/>
          <w:szCs w:val="20"/>
          <w:lang w:val="es-ES_tradnl" w:eastAsia="es-ES_tradnl"/>
        </w:rPr>
        <w:t>En ese sentido, debe tenerse en cuenta que –por no existir una norma que amplié a la vigencia 2024, 2025 y 2026 las medidas adoptadas en los Decretos 399 y 579 de 2021 y el Decreto 1041 de 2022– aquellas personas que realicen la inscripción o renovación del Registro Único de Proponentes durante el presente año sólo podrán reportar ante las Cámaras de Comercio la información contable y los estados financieros del último año fiscal. Por tanto, la posibilidad que tenían los oferentes de acreditar el mejor año fiscal de los tres últimos registrados en el RUP finalizó el 2023. En consecuencia, las entidades deben estructurar la solicitud de indicadores financieros para sus procesos con referencia a lo dispuesto en los numerales 1.3 y 2.3 del artículo 2.2.1.1.1.5.2 del Decreto 1082 de 2015</w:t>
      </w:r>
      <w:r w:rsidRPr="00B13A11">
        <w:rPr>
          <w:rFonts w:ascii="Verdana" w:eastAsia="Calibri" w:hAnsi="Verdana" w:cs="Arial"/>
          <w:color w:val="000000"/>
          <w:sz w:val="20"/>
          <w:szCs w:val="20"/>
          <w:lang w:val="es-ES_tradnl" w:eastAsia="es-ES_tradnl"/>
        </w:rPr>
        <w:t>.</w:t>
      </w:r>
    </w:p>
    <w:p w14:paraId="7CE5E9BB" w14:textId="77777777" w:rsidR="00B13A11" w:rsidRDefault="00B13A11" w:rsidP="00B13A11">
      <w:pPr>
        <w:spacing w:after="0" w:line="240" w:lineRule="auto"/>
        <w:jc w:val="both"/>
        <w:rPr>
          <w:rFonts w:ascii="Verdana" w:hAnsi="Verdana" w:cs="Arial"/>
          <w:iCs/>
          <w:color w:val="000000"/>
          <w:sz w:val="20"/>
          <w:szCs w:val="20"/>
          <w:lang w:val="es-ES_tradnl"/>
        </w:rPr>
      </w:pPr>
    </w:p>
    <w:p w14:paraId="3ECB53BE" w14:textId="5C031267" w:rsidR="00B13A11" w:rsidRPr="00B13A11" w:rsidRDefault="00B13A11" w:rsidP="00B13A11">
      <w:pPr>
        <w:spacing w:after="0" w:line="240" w:lineRule="auto"/>
        <w:jc w:val="both"/>
        <w:rPr>
          <w:rFonts w:ascii="Verdana" w:hAnsi="Verdana" w:cs="Arial"/>
          <w:iCs/>
          <w:color w:val="000000"/>
          <w:sz w:val="20"/>
          <w:szCs w:val="20"/>
          <w:lang w:val="es-ES_tradnl"/>
        </w:rPr>
      </w:pPr>
      <w:r w:rsidRPr="00B13A11">
        <w:rPr>
          <w:rFonts w:ascii="Verdana" w:hAnsi="Verdana" w:cs="Arial"/>
          <w:iCs/>
          <w:color w:val="000000"/>
          <w:sz w:val="20"/>
          <w:szCs w:val="20"/>
          <w:lang w:val="es-ES_tradnl"/>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00B13A11">
        <w:rPr>
          <w:rFonts w:ascii="Verdana" w:hAnsi="Verdana" w:cs="Arial"/>
          <w:i/>
          <w:color w:val="000000"/>
          <w:sz w:val="20"/>
          <w:szCs w:val="20"/>
          <w:lang w:val="es-ES_tradnl"/>
        </w:rPr>
        <w:t>ibidem</w:t>
      </w:r>
      <w:r w:rsidRPr="00B13A11">
        <w:rPr>
          <w:rFonts w:ascii="Verdana" w:hAnsi="Verdana" w:cs="Arial"/>
          <w:iCs/>
          <w:color w:val="000000"/>
          <w:sz w:val="20"/>
          <w:szCs w:val="20"/>
          <w:lang w:val="es-ES_tradnl"/>
        </w:rPr>
        <w:t xml:space="preserve"> –adicionados por el art. 6 del Decreto 399 de 2021 y sustituido por el art. 3 del Decreto 579 de 2021– es inaplicable por sustracción de materia. En consecuencia, cesa la posibilidad de acreditar los indicadores de los numerales 3 y 4 artículo 2.2.1.1.1.5.3 </w:t>
      </w:r>
      <w:r w:rsidRPr="00B13A11">
        <w:rPr>
          <w:rFonts w:ascii="Verdana" w:hAnsi="Verdana" w:cs="Arial"/>
          <w:i/>
          <w:color w:val="000000"/>
          <w:sz w:val="20"/>
          <w:szCs w:val="20"/>
          <w:lang w:val="es-ES_tradnl"/>
        </w:rPr>
        <w:t>ibidem</w:t>
      </w:r>
      <w:r w:rsidRPr="00B13A11">
        <w:rPr>
          <w:rFonts w:ascii="Verdana" w:hAnsi="Verdana" w:cs="Arial"/>
          <w:iCs/>
          <w:color w:val="000000"/>
          <w:sz w:val="20"/>
          <w:szCs w:val="20"/>
          <w:lang w:val="es-ES_tradnl"/>
        </w:rPr>
        <w:t xml:space="preserve"> teniendo en cuenta el mejor año fiscal que se refleje en el registro de cada proponente.</w:t>
      </w:r>
    </w:p>
    <w:p w14:paraId="15998D38" w14:textId="77777777" w:rsidR="00B13A11" w:rsidRPr="00B13A11" w:rsidRDefault="00B13A11" w:rsidP="00DD2E5C">
      <w:pPr>
        <w:spacing w:after="0"/>
        <w:rPr>
          <w:rFonts w:ascii="Verdana" w:eastAsia="Verdana" w:hAnsi="Verdana" w:cs="Verdana"/>
          <w:lang w:val="es-ES_tradnl"/>
        </w:rPr>
      </w:pPr>
    </w:p>
    <w:p w14:paraId="0BDCB468" w14:textId="77777777" w:rsidR="00B13A11" w:rsidRDefault="00B13A11" w:rsidP="00DD2E5C">
      <w:pPr>
        <w:spacing w:after="0"/>
        <w:rPr>
          <w:rFonts w:ascii="Verdana" w:eastAsia="Verdana" w:hAnsi="Verdana" w:cs="Verdana"/>
        </w:rPr>
      </w:pPr>
    </w:p>
    <w:p w14:paraId="209F8767" w14:textId="6F863CF0" w:rsidR="00DD2E5C" w:rsidRDefault="00C15139" w:rsidP="00DD2E5C">
      <w:pPr>
        <w:spacing w:after="0"/>
        <w:rPr>
          <w:rFonts w:ascii="Verdana" w:eastAsia="Verdana" w:hAnsi="Verdana" w:cs="Verdana"/>
        </w:rPr>
      </w:pPr>
      <w:r w:rsidRPr="30821638">
        <w:rPr>
          <w:rFonts w:ascii="Verdana" w:eastAsia="Verdana" w:hAnsi="Verdana" w:cs="Verdana"/>
        </w:rPr>
        <w:t xml:space="preserve">Bogotá D.C., </w:t>
      </w:r>
      <w:r w:rsidR="00DD2E5C">
        <w:rPr>
          <w:rFonts w:ascii="Verdana" w:eastAsia="Verdana" w:hAnsi="Verdana" w:cs="Verdana"/>
        </w:rPr>
        <w:t xml:space="preserve">04 Junio 2026                       </w:t>
      </w:r>
    </w:p>
    <w:p w14:paraId="27285D82" w14:textId="7BA520E5" w:rsidR="00DD2E5C" w:rsidRDefault="00DD2E5C" w:rsidP="00DD2E5C">
      <w:pPr>
        <w:spacing w:after="0"/>
        <w:jc w:val="right"/>
        <w:rPr>
          <w:rFonts w:ascii="Verdana" w:eastAsia="Verdana" w:hAnsi="Verdana" w:cs="Verdana"/>
        </w:rPr>
      </w:pPr>
      <w:r w:rsidRPr="00DD2E5C">
        <w:rPr>
          <w:noProof/>
        </w:rPr>
        <w:drawing>
          <wp:inline distT="0" distB="0" distL="0" distR="0" wp14:anchorId="08EBDBD1" wp14:editId="5B5CA6AF">
            <wp:extent cx="2444933" cy="513471"/>
            <wp:effectExtent l="0" t="0" r="0" b="1270"/>
            <wp:docPr id="12339124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12411" name=""/>
                    <pic:cNvPicPr/>
                  </pic:nvPicPr>
                  <pic:blipFill>
                    <a:blip r:embed="rId10"/>
                    <a:stretch>
                      <a:fillRect/>
                    </a:stretch>
                  </pic:blipFill>
                  <pic:spPr>
                    <a:xfrm>
                      <a:off x="0" y="0"/>
                      <a:ext cx="2489693" cy="522871"/>
                    </a:xfrm>
                    <a:prstGeom prst="rect">
                      <a:avLst/>
                    </a:prstGeom>
                  </pic:spPr>
                </pic:pic>
              </a:graphicData>
            </a:graphic>
          </wp:inline>
        </w:drawing>
      </w:r>
    </w:p>
    <w:p w14:paraId="525B9945" w14:textId="420B0A11" w:rsidR="00DE32BB" w:rsidRPr="00DD2E5C" w:rsidRDefault="00DE32BB" w:rsidP="00DD2E5C">
      <w:pPr>
        <w:spacing w:after="0"/>
      </w:pPr>
      <w:bookmarkStart w:id="1" w:name="_Hlk214366482"/>
      <w:r>
        <w:rPr>
          <w:rFonts w:ascii="Verdana" w:eastAsia="Calibri" w:hAnsi="Verdana" w:cs="Arial"/>
          <w:b/>
          <w:bCs/>
          <w:lang w:eastAsia="es-ES"/>
        </w:rPr>
        <w:t>Señor</w:t>
      </w:r>
    </w:p>
    <w:p w14:paraId="1F13D5A5" w14:textId="77777777" w:rsidR="00DE32BB" w:rsidRDefault="00DE32BB" w:rsidP="00DE32BB">
      <w:pPr>
        <w:spacing w:after="0" w:line="240" w:lineRule="auto"/>
        <w:jc w:val="both"/>
        <w:rPr>
          <w:rFonts w:ascii="Verdana" w:eastAsia="Calibri" w:hAnsi="Verdana" w:cs="Arial"/>
          <w:b/>
          <w:bCs/>
          <w:lang w:eastAsia="es-ES"/>
        </w:rPr>
      </w:pPr>
      <w:r w:rsidRPr="000E67A3">
        <w:rPr>
          <w:rFonts w:ascii="Verdana" w:eastAsia="Calibri" w:hAnsi="Verdana" w:cs="Arial"/>
          <w:b/>
          <w:bCs/>
          <w:lang w:eastAsia="es-ES"/>
        </w:rPr>
        <w:t>Johan Sebast</w:t>
      </w:r>
      <w:r>
        <w:rPr>
          <w:rFonts w:ascii="Verdana" w:eastAsia="Calibri" w:hAnsi="Verdana" w:cs="Arial"/>
          <w:b/>
          <w:bCs/>
          <w:lang w:eastAsia="es-ES"/>
        </w:rPr>
        <w:t>í</w:t>
      </w:r>
      <w:r w:rsidRPr="000E67A3">
        <w:rPr>
          <w:rFonts w:ascii="Verdana" w:eastAsia="Calibri" w:hAnsi="Verdana" w:cs="Arial"/>
          <w:b/>
          <w:bCs/>
          <w:lang w:eastAsia="es-ES"/>
        </w:rPr>
        <w:t>an</w:t>
      </w:r>
      <w:r>
        <w:rPr>
          <w:rFonts w:ascii="Verdana" w:eastAsia="Calibri" w:hAnsi="Verdana" w:cs="Arial"/>
          <w:b/>
          <w:bCs/>
          <w:lang w:eastAsia="es-ES"/>
        </w:rPr>
        <w:t xml:space="preserve"> </w:t>
      </w:r>
      <w:r w:rsidRPr="000E67A3">
        <w:rPr>
          <w:rFonts w:ascii="Verdana" w:eastAsia="Calibri" w:hAnsi="Verdana" w:cs="Arial"/>
          <w:b/>
          <w:bCs/>
          <w:lang w:eastAsia="es-ES"/>
        </w:rPr>
        <w:t>Herrera Galindo</w:t>
      </w:r>
    </w:p>
    <w:p w14:paraId="56F7CBCB" w14:textId="77777777" w:rsidR="00DE32BB" w:rsidRPr="000E67A3" w:rsidRDefault="00DE32BB" w:rsidP="00DE32BB">
      <w:pPr>
        <w:spacing w:after="0" w:line="240" w:lineRule="auto"/>
        <w:jc w:val="both"/>
        <w:rPr>
          <w:rFonts w:ascii="Verdana" w:hAnsi="Verdana"/>
          <w:b/>
          <w:bCs/>
        </w:rPr>
      </w:pPr>
      <w:hyperlink r:id="rId11" w:history="1">
        <w:r w:rsidRPr="000E67A3">
          <w:rPr>
            <w:rStyle w:val="Hipervnculo"/>
            <w:rFonts w:ascii="Verdana" w:hAnsi="Verdana"/>
            <w:b/>
            <w:bCs/>
          </w:rPr>
          <w:t>johansh07@hotmail.com</w:t>
        </w:r>
      </w:hyperlink>
    </w:p>
    <w:p w14:paraId="7B521511" w14:textId="77777777" w:rsidR="00DE32BB" w:rsidRPr="007F2AEC" w:rsidRDefault="00DE32BB" w:rsidP="00DE32BB">
      <w:pPr>
        <w:spacing w:after="0" w:line="240" w:lineRule="auto"/>
        <w:jc w:val="both"/>
        <w:rPr>
          <w:rFonts w:ascii="Verdana" w:hAnsi="Verdana"/>
        </w:rPr>
      </w:pPr>
      <w:r>
        <w:rPr>
          <w:rFonts w:ascii="Verdana" w:hAnsi="Verdana"/>
        </w:rPr>
        <w:t>Ciudad</w:t>
      </w:r>
    </w:p>
    <w:p w14:paraId="16FF23B7" w14:textId="77777777" w:rsidR="00DE32BB" w:rsidRPr="007F2AEC" w:rsidRDefault="00DE32BB" w:rsidP="00DE32BB">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5103"/>
      </w:tblGrid>
      <w:tr w:rsidR="00DE32BB" w:rsidRPr="005644FE" w14:paraId="36167BC5" w14:textId="77777777" w:rsidTr="00487144">
        <w:trPr>
          <w:trHeight w:val="162"/>
        </w:trPr>
        <w:tc>
          <w:tcPr>
            <w:tcW w:w="3686" w:type="dxa"/>
          </w:tcPr>
          <w:p w14:paraId="5509E4BE" w14:textId="77777777" w:rsidR="00DE32BB" w:rsidRPr="007F2AEC" w:rsidRDefault="00DE32BB" w:rsidP="00487144">
            <w:pPr>
              <w:jc w:val="both"/>
              <w:rPr>
                <w:rFonts w:ascii="Verdana" w:eastAsia="Calibri" w:hAnsi="Verdana" w:cs="Arial"/>
                <w:b/>
                <w:bCs/>
                <w:color w:val="7030A0"/>
                <w:lang w:eastAsia="es-ES_tradnl"/>
              </w:rPr>
            </w:pPr>
          </w:p>
        </w:tc>
        <w:tc>
          <w:tcPr>
            <w:tcW w:w="5103" w:type="dxa"/>
          </w:tcPr>
          <w:p w14:paraId="77992EE0" w14:textId="77777777" w:rsidR="00DE32BB" w:rsidRPr="005644FE" w:rsidRDefault="00DE32BB" w:rsidP="00487144">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683 de 2026</w:t>
            </w:r>
          </w:p>
          <w:p w14:paraId="4AA8501E" w14:textId="77777777" w:rsidR="00DE32BB" w:rsidRPr="005644FE" w:rsidRDefault="00DE32BB" w:rsidP="00487144">
            <w:pPr>
              <w:jc w:val="both"/>
              <w:rPr>
                <w:rFonts w:ascii="Verdana" w:eastAsia="Calibri" w:hAnsi="Verdana" w:cs="Arial"/>
                <w:b/>
                <w:bCs/>
                <w:color w:val="7030A0"/>
                <w:lang w:eastAsia="es-ES"/>
              </w:rPr>
            </w:pPr>
          </w:p>
        </w:tc>
      </w:tr>
      <w:tr w:rsidR="00DE32BB" w:rsidRPr="005644FE" w14:paraId="0E798BBA" w14:textId="77777777" w:rsidTr="00487144">
        <w:trPr>
          <w:trHeight w:val="884"/>
        </w:trPr>
        <w:tc>
          <w:tcPr>
            <w:tcW w:w="3686" w:type="dxa"/>
          </w:tcPr>
          <w:p w14:paraId="17970B7C" w14:textId="77777777" w:rsidR="00DE32BB" w:rsidRPr="005644FE" w:rsidRDefault="00DE32BB" w:rsidP="00487144">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103" w:type="dxa"/>
          </w:tcPr>
          <w:p w14:paraId="18A06280" w14:textId="77777777" w:rsidR="00DE32BB" w:rsidRDefault="00DE32BB" w:rsidP="00487144">
            <w:pPr>
              <w:spacing w:line="276" w:lineRule="auto"/>
              <w:jc w:val="both"/>
              <w:rPr>
                <w:rFonts w:ascii="Verdana" w:eastAsia="Calibri" w:hAnsi="Verdana" w:cs="Arial"/>
                <w:lang w:eastAsia="es-ES"/>
              </w:rPr>
            </w:pPr>
            <w:r>
              <w:rPr>
                <w:rFonts w:ascii="Verdana" w:eastAsia="Calibri" w:hAnsi="Verdana" w:cs="Arial"/>
                <w:lang w:eastAsia="es-ES"/>
              </w:rPr>
              <w:t xml:space="preserve">SELECCIÓN OBJETIVA – Ley 1150 de 2007 artículo 5 / CAPACIDAD FINANCIERA – Finalidad </w:t>
            </w:r>
            <w:r w:rsidRPr="00D93C12">
              <w:rPr>
                <w:rFonts w:ascii="Verdana" w:eastAsia="Calibri" w:hAnsi="Verdana" w:cs="Arial"/>
                <w:lang w:eastAsia="es-ES"/>
              </w:rPr>
              <w:t>REQUISITOS HABILITANTES – Autonomía</w:t>
            </w:r>
            <w:r>
              <w:rPr>
                <w:rFonts w:ascii="Verdana" w:eastAsia="Calibri" w:hAnsi="Verdana" w:cs="Arial"/>
                <w:lang w:eastAsia="es-ES"/>
              </w:rPr>
              <w:t xml:space="preserve"> de la entidad / </w:t>
            </w:r>
            <w:r w:rsidRPr="00D93C12">
              <w:rPr>
                <w:rFonts w:ascii="Verdana" w:eastAsia="Calibri" w:hAnsi="Verdana" w:cs="Arial"/>
                <w:lang w:eastAsia="es-ES"/>
              </w:rPr>
              <w:t xml:space="preserve">DECRETO 399 DE 2021 – Finalidad – Reactivación económica </w:t>
            </w:r>
            <w:r>
              <w:rPr>
                <w:rFonts w:ascii="Verdana" w:eastAsia="Calibri" w:hAnsi="Verdana" w:cs="Arial"/>
                <w:lang w:eastAsia="es-ES"/>
              </w:rPr>
              <w:t xml:space="preserve">/ </w:t>
            </w:r>
            <w:r w:rsidRPr="00D93C12">
              <w:rPr>
                <w:rFonts w:ascii="Verdana" w:eastAsia="Calibri" w:hAnsi="Verdana" w:cs="Arial"/>
                <w:lang w:eastAsia="es-ES"/>
              </w:rPr>
              <w:t xml:space="preserve">DECRETO 399 DE 2021 – Capacidad financiera y organizacional – </w:t>
            </w:r>
            <w:r>
              <w:rPr>
                <w:rFonts w:ascii="Verdana" w:eastAsia="Calibri" w:hAnsi="Verdana" w:cs="Arial"/>
                <w:lang w:eastAsia="es-ES"/>
              </w:rPr>
              <w:t>R</w:t>
            </w:r>
            <w:r w:rsidRPr="00D93C12">
              <w:rPr>
                <w:rFonts w:ascii="Verdana" w:eastAsia="Calibri" w:hAnsi="Verdana" w:cs="Arial"/>
                <w:lang w:eastAsia="es-ES"/>
              </w:rPr>
              <w:t>eporte de información de los estados financieros de los últimos tres (3) años fiscales</w:t>
            </w:r>
            <w:r>
              <w:rPr>
                <w:rFonts w:ascii="Verdana" w:eastAsia="Calibri" w:hAnsi="Verdana" w:cs="Arial"/>
                <w:lang w:eastAsia="es-ES"/>
              </w:rPr>
              <w:t xml:space="preserve"> / </w:t>
            </w:r>
            <w:r w:rsidRPr="00D93C12">
              <w:rPr>
                <w:rFonts w:ascii="Verdana" w:eastAsia="Calibri" w:hAnsi="Verdana" w:cs="Arial"/>
                <w:lang w:eastAsia="es-ES"/>
              </w:rPr>
              <w:t>DECRETOS 399 Y 579 DE 2021 – Indicadores – Capacidad financiera – Capacidad organizacional – Período</w:t>
            </w:r>
            <w:r>
              <w:rPr>
                <w:rFonts w:ascii="Verdana" w:eastAsia="Calibri" w:hAnsi="Verdana" w:cs="Arial"/>
                <w:lang w:eastAsia="es-ES"/>
              </w:rPr>
              <w:t xml:space="preserve"> / </w:t>
            </w:r>
            <w:r w:rsidRPr="00D93C12">
              <w:rPr>
                <w:rFonts w:ascii="Verdana" w:eastAsia="Calibri" w:hAnsi="Verdana" w:cs="Arial"/>
                <w:lang w:eastAsia="es-ES"/>
              </w:rPr>
              <w:t>DECRETO 1041 DE 2022 - Información – Capacidad financiera – Capacidad organizacional – Últimos tres (3) años fiscales anteriores</w:t>
            </w:r>
            <w:r>
              <w:rPr>
                <w:rFonts w:ascii="Verdana" w:eastAsia="Calibri" w:hAnsi="Verdana" w:cs="Arial"/>
                <w:lang w:eastAsia="es-ES"/>
              </w:rPr>
              <w:t xml:space="preserve"> / </w:t>
            </w:r>
            <w:r w:rsidRPr="00D93C12">
              <w:rPr>
                <w:rFonts w:ascii="Verdana" w:eastAsia="Calibri" w:hAnsi="Verdana" w:cs="Arial"/>
                <w:lang w:eastAsia="es-ES"/>
              </w:rPr>
              <w:t>MEJOR AÑO FISCAL – Decreto 399 de 2021– Capacidad financiera – Capacidad organizacional – Interpretación</w:t>
            </w:r>
            <w:r>
              <w:rPr>
                <w:rFonts w:ascii="Verdana" w:eastAsia="Calibri" w:hAnsi="Verdana" w:cs="Arial"/>
                <w:lang w:eastAsia="es-ES"/>
              </w:rPr>
              <w:t xml:space="preserve"> / </w:t>
            </w:r>
            <w:r w:rsidRPr="00D93C12">
              <w:rPr>
                <w:rFonts w:ascii="Verdana" w:eastAsia="Calibri" w:hAnsi="Verdana" w:cs="Arial"/>
                <w:lang w:eastAsia="es-ES"/>
              </w:rPr>
              <w:t>NORMAS TRANSITORIAS – Pérdida de vigencia – Efectos</w:t>
            </w:r>
          </w:p>
          <w:p w14:paraId="5BEF82CB" w14:textId="77777777" w:rsidR="00DE32BB" w:rsidRPr="00847D72" w:rsidRDefault="00DE32BB" w:rsidP="00487144">
            <w:pPr>
              <w:spacing w:line="276" w:lineRule="auto"/>
              <w:jc w:val="both"/>
              <w:rPr>
                <w:rFonts w:ascii="Verdana" w:eastAsia="Calibri" w:hAnsi="Verdana" w:cs="Arial"/>
                <w:lang w:eastAsia="es-ES"/>
              </w:rPr>
            </w:pPr>
          </w:p>
        </w:tc>
      </w:tr>
      <w:tr w:rsidR="00DE32BB" w:rsidRPr="005644FE" w14:paraId="5126AA61" w14:textId="77777777" w:rsidTr="00487144">
        <w:tc>
          <w:tcPr>
            <w:tcW w:w="3686" w:type="dxa"/>
          </w:tcPr>
          <w:p w14:paraId="67F21A36" w14:textId="77777777" w:rsidR="00DE32BB" w:rsidRPr="005644FE" w:rsidRDefault="00DE32BB" w:rsidP="00487144">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103" w:type="dxa"/>
          </w:tcPr>
          <w:p w14:paraId="4DE479EF" w14:textId="77777777" w:rsidR="00DE32BB" w:rsidRPr="00F04657" w:rsidRDefault="00DE32BB" w:rsidP="00487144">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 </w:t>
            </w:r>
            <w:r w:rsidRPr="000E67A3">
              <w:rPr>
                <w:rFonts w:ascii="Verdana" w:eastAsia="Calibri" w:hAnsi="Verdana" w:cs="Arial"/>
                <w:lang w:eastAsia="es-ES"/>
              </w:rPr>
              <w:t>1_2026_04_24_005647</w:t>
            </w:r>
          </w:p>
        </w:tc>
      </w:tr>
    </w:tbl>
    <w:p w14:paraId="53631BEF" w14:textId="77777777" w:rsidR="00DE32BB" w:rsidRPr="005644FE" w:rsidRDefault="00DE32BB" w:rsidP="00DE32BB">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1C3391B8" w14:textId="77777777" w:rsidR="00DE32BB" w:rsidRPr="005644FE" w:rsidRDefault="00DE32BB" w:rsidP="00DE32BB">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Herrera: </w:t>
      </w:r>
    </w:p>
    <w:p w14:paraId="0169F6EC" w14:textId="77777777" w:rsidR="00DE32BB" w:rsidRPr="00E02524" w:rsidRDefault="00DE32BB" w:rsidP="00DE32BB">
      <w:pPr>
        <w:spacing w:after="0" w:line="240" w:lineRule="auto"/>
        <w:jc w:val="both"/>
        <w:rPr>
          <w:rFonts w:ascii="Verdana" w:hAnsi="Verdana"/>
          <w:lang w:val="es-MX"/>
        </w:rPr>
      </w:pPr>
    </w:p>
    <w:p w14:paraId="59325C41" w14:textId="77777777" w:rsidR="00DE32BB" w:rsidRDefault="00DE32BB" w:rsidP="00DE32BB">
      <w:pPr>
        <w:spacing w:after="120" w:line="276" w:lineRule="auto"/>
        <w:jc w:val="both"/>
        <w:rPr>
          <w:rFonts w:ascii="Verdana" w:hAnsi="Verdana"/>
        </w:rPr>
      </w:pPr>
      <w:r w:rsidRPr="0084712D">
        <w:rPr>
          <w:rFonts w:ascii="Verdana" w:hAnsi="Verdana"/>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w:t>
      </w:r>
      <w:proofErr w:type="spellStart"/>
      <w:r w:rsidRPr="0084712D">
        <w:rPr>
          <w:rFonts w:ascii="Verdana" w:hAnsi="Verdana"/>
        </w:rPr>
        <w:t>N°</w:t>
      </w:r>
      <w:proofErr w:type="spellEnd"/>
      <w:r w:rsidRPr="0084712D">
        <w:rPr>
          <w:rFonts w:ascii="Verdana" w:hAnsi="Verdana"/>
        </w:rPr>
        <w:t xml:space="preserve"> 469 del 2025 expedida por esta Agencia, responde la solicitud de consulta de fecha 2</w:t>
      </w:r>
      <w:r>
        <w:rPr>
          <w:rFonts w:ascii="Verdana" w:hAnsi="Verdana"/>
        </w:rPr>
        <w:t>4</w:t>
      </w:r>
      <w:r w:rsidRPr="0084712D">
        <w:rPr>
          <w:rFonts w:ascii="Verdana" w:hAnsi="Verdana"/>
        </w:rPr>
        <w:t xml:space="preserve"> de abril de 2026, en la cual manifiesta lo siguiente:</w:t>
      </w:r>
    </w:p>
    <w:p w14:paraId="7C09FD02" w14:textId="77777777" w:rsidR="00DE32BB" w:rsidRDefault="00DE32BB" w:rsidP="00DE32BB">
      <w:pPr>
        <w:spacing w:after="0" w:line="240" w:lineRule="auto"/>
        <w:ind w:left="709" w:right="709"/>
        <w:jc w:val="both"/>
        <w:rPr>
          <w:rFonts w:ascii="Verdana" w:hAnsi="Verdana"/>
          <w:sz w:val="20"/>
          <w:szCs w:val="20"/>
        </w:rPr>
      </w:pPr>
      <w:r>
        <w:rPr>
          <w:rFonts w:ascii="Verdana" w:hAnsi="Verdana"/>
          <w:sz w:val="20"/>
          <w:szCs w:val="20"/>
        </w:rPr>
        <w:t xml:space="preserve">PETICIÓN REALIZADA: </w:t>
      </w:r>
    </w:p>
    <w:p w14:paraId="263C2167" w14:textId="77777777" w:rsidR="00DE32BB" w:rsidRDefault="00DE32BB" w:rsidP="00DE32BB">
      <w:pPr>
        <w:spacing w:after="0" w:line="240" w:lineRule="auto"/>
        <w:ind w:left="709" w:right="709"/>
        <w:jc w:val="both"/>
        <w:rPr>
          <w:rFonts w:ascii="Verdana" w:hAnsi="Verdana"/>
          <w:sz w:val="20"/>
          <w:szCs w:val="20"/>
        </w:rPr>
      </w:pPr>
    </w:p>
    <w:p w14:paraId="6BDA20A4" w14:textId="77777777" w:rsidR="00DE32BB" w:rsidRDefault="00DE32BB" w:rsidP="00DE32BB">
      <w:pPr>
        <w:spacing w:after="0" w:line="240" w:lineRule="auto"/>
        <w:ind w:left="709" w:right="709"/>
        <w:jc w:val="both"/>
        <w:rPr>
          <w:rFonts w:ascii="Verdana" w:hAnsi="Verdana"/>
          <w:sz w:val="20"/>
          <w:szCs w:val="20"/>
        </w:rPr>
      </w:pPr>
      <w:r>
        <w:rPr>
          <w:rFonts w:ascii="Verdana" w:hAnsi="Verdana"/>
          <w:sz w:val="20"/>
          <w:szCs w:val="20"/>
        </w:rPr>
        <w:t xml:space="preserve">“(…) </w:t>
      </w:r>
      <w:r w:rsidRPr="000E67A3">
        <w:rPr>
          <w:rFonts w:ascii="Verdana" w:hAnsi="Verdana"/>
          <w:sz w:val="20"/>
          <w:szCs w:val="20"/>
        </w:rPr>
        <w:t>¿Cómo debe proceder una Entidad Estatal, en un proceso de selección en el que el Registro Único de Proponentes es exigible, frente a la evaluación de una Unión Temporal o un Consorcio cuyos integrantes presentaron oportunamente la solicitud de renovación o actualización del RUP, cuando al momento del cierre del proceso cada uno de ellos cuenta con información en firme correspondiente a períodos o años distintos, pero sin que se haya producido la cesación de efectos de ninguno de los registros?</w:t>
      </w:r>
    </w:p>
    <w:p w14:paraId="2A232492" w14:textId="77777777" w:rsidR="00DE32BB" w:rsidRPr="000E67A3" w:rsidRDefault="00DE32BB" w:rsidP="00DE32BB">
      <w:pPr>
        <w:spacing w:after="0" w:line="240" w:lineRule="auto"/>
        <w:ind w:left="709" w:right="709"/>
        <w:jc w:val="both"/>
        <w:rPr>
          <w:rFonts w:ascii="Verdana" w:hAnsi="Verdana"/>
          <w:sz w:val="20"/>
          <w:szCs w:val="20"/>
        </w:rPr>
      </w:pPr>
    </w:p>
    <w:p w14:paraId="213ECB95" w14:textId="77777777" w:rsidR="00DE32BB" w:rsidRDefault="00DE32BB" w:rsidP="00DE32BB">
      <w:pPr>
        <w:spacing w:after="0" w:line="240" w:lineRule="auto"/>
        <w:ind w:left="709" w:right="709"/>
        <w:jc w:val="both"/>
        <w:rPr>
          <w:rFonts w:ascii="Verdana" w:hAnsi="Verdana"/>
          <w:sz w:val="20"/>
          <w:szCs w:val="20"/>
        </w:rPr>
      </w:pPr>
      <w:r w:rsidRPr="000E67A3">
        <w:rPr>
          <w:rFonts w:ascii="Verdana" w:hAnsi="Verdana"/>
          <w:sz w:val="20"/>
          <w:szCs w:val="20"/>
        </w:rPr>
        <w:t>Dicho en otras palabras, ¿es válido hacer la evaluación de los indicadores financieros de cada uno de los integrantes del proponente plural con base en la información contenida en el RUP vigente y en firma</w:t>
      </w:r>
      <w:r>
        <w:rPr>
          <w:rFonts w:ascii="Verdana" w:hAnsi="Verdana"/>
          <w:sz w:val="20"/>
          <w:szCs w:val="20"/>
        </w:rPr>
        <w:t xml:space="preserve"> (sic)</w:t>
      </w:r>
      <w:r w:rsidRPr="000E67A3">
        <w:rPr>
          <w:rFonts w:ascii="Verdana" w:hAnsi="Verdana"/>
          <w:sz w:val="20"/>
          <w:szCs w:val="20"/>
        </w:rPr>
        <w:t xml:space="preserve"> al momento del cierre del proceso, así este registro contenga información de años fiscales diferentes para cada uno de los integrantes? </w:t>
      </w:r>
      <w:r>
        <w:rPr>
          <w:rFonts w:ascii="Verdana" w:hAnsi="Verdana"/>
          <w:sz w:val="20"/>
          <w:szCs w:val="20"/>
        </w:rPr>
        <w:t>(…)”.</w:t>
      </w:r>
    </w:p>
    <w:p w14:paraId="0114E51B" w14:textId="77777777" w:rsidR="00DE32BB" w:rsidRPr="00647D77" w:rsidRDefault="00DE32BB" w:rsidP="00DE32BB">
      <w:pPr>
        <w:spacing w:after="0" w:line="240" w:lineRule="auto"/>
        <w:ind w:right="709"/>
        <w:jc w:val="both"/>
        <w:rPr>
          <w:rFonts w:ascii="Verdana" w:hAnsi="Verdana"/>
        </w:rPr>
      </w:pPr>
    </w:p>
    <w:p w14:paraId="19A5E559" w14:textId="77777777" w:rsidR="00DE32BB" w:rsidRPr="00F64722" w:rsidRDefault="00DE32BB" w:rsidP="00DE32BB">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C5C4514" w14:textId="77777777" w:rsidR="00DE32BB" w:rsidRDefault="00DE32BB" w:rsidP="00DE32BB">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pero </w:t>
      </w:r>
      <w:r w:rsidRPr="00841458">
        <w:rPr>
          <w:rFonts w:ascii="Verdana" w:eastAsia="Calibri" w:hAnsi="Verdana" w:cs="Arial"/>
          <w:color w:val="000000"/>
          <w:lang w:eastAsia="es-ES"/>
        </w:rPr>
        <w:t>señalando algunas consideraciones sobre las normas generales relacionadas al problema jurídico de su consulta.</w:t>
      </w:r>
      <w:r w:rsidRPr="00841458">
        <w:rPr>
          <w:rFonts w:ascii="Verdana" w:eastAsia="Calibri" w:hAnsi="Verdana" w:cs="Arial"/>
          <w:lang w:eastAsia="es-ES"/>
        </w:rPr>
        <w:t xml:space="preserve">  </w:t>
      </w:r>
    </w:p>
    <w:p w14:paraId="4AD2C2A8" w14:textId="77777777" w:rsidR="00DE32BB" w:rsidRDefault="00DE32BB" w:rsidP="00DE32BB">
      <w:pPr>
        <w:spacing w:after="120" w:line="276" w:lineRule="auto"/>
        <w:ind w:firstLine="709"/>
        <w:jc w:val="both"/>
        <w:rPr>
          <w:rFonts w:ascii="Verdana" w:eastAsia="Calibri" w:hAnsi="Verdana" w:cs="Arial"/>
          <w:lang w:eastAsia="es-ES"/>
        </w:rPr>
      </w:pPr>
    </w:p>
    <w:p w14:paraId="12827393" w14:textId="77777777" w:rsidR="00DE32BB" w:rsidRPr="00847D72" w:rsidRDefault="00DE32BB" w:rsidP="00DE32BB">
      <w:pPr>
        <w:spacing w:after="120" w:line="276" w:lineRule="auto"/>
        <w:jc w:val="both"/>
        <w:rPr>
          <w:rFonts w:ascii="Verdana" w:eastAsia="Calibri" w:hAnsi="Verdana" w:cs="Arial"/>
          <w:lang w:eastAsia="es-ES"/>
        </w:rPr>
      </w:pPr>
      <w:r w:rsidRPr="00847D72">
        <w:rPr>
          <w:rFonts w:ascii="Verdana" w:eastAsia="Calibri" w:hAnsi="Verdana" w:cs="Arial"/>
          <w:b/>
          <w:bCs/>
          <w:lang w:eastAsia="es-ES"/>
        </w:rPr>
        <w:t xml:space="preserve">1. </w:t>
      </w:r>
      <w:r w:rsidRPr="00841458">
        <w:rPr>
          <w:rFonts w:ascii="Verdana" w:eastAsia="Century Gothic" w:hAnsi="Verdana" w:cs="Century Gothic"/>
          <w:b/>
          <w:bCs/>
        </w:rPr>
        <w:t>Problema planteado:</w:t>
      </w:r>
    </w:p>
    <w:p w14:paraId="3198839A" w14:textId="77777777" w:rsidR="00DE32BB" w:rsidRDefault="00DE32BB" w:rsidP="00DE32BB">
      <w:pPr>
        <w:spacing w:after="0" w:line="276" w:lineRule="auto"/>
        <w:jc w:val="both"/>
        <w:rPr>
          <w:rFonts w:ascii="Verdana" w:eastAsia="Calibri" w:hAnsi="Verdana" w:cs="Arial"/>
          <w:color w:val="000000"/>
          <w:lang w:eastAsia="es-ES"/>
        </w:rPr>
      </w:pPr>
      <w:r w:rsidRPr="00767EB7">
        <w:rPr>
          <w:rFonts w:ascii="Verdana" w:eastAsia="Calibri" w:hAnsi="Verdana" w:cs="Arial"/>
          <w:color w:val="000000"/>
          <w:lang w:eastAsia="es-ES"/>
        </w:rPr>
        <w:t xml:space="preserve">De acuerdo con el contenido de su solicitud, esta Agencia resolverá el siguiente problema jurídico: La evaluación de los indicadores financieros de los miembros de un proponente plural </w:t>
      </w:r>
      <w:r>
        <w:rPr>
          <w:rFonts w:ascii="Verdana" w:eastAsia="Calibri" w:hAnsi="Verdana" w:cs="Arial"/>
          <w:color w:val="000000"/>
          <w:lang w:eastAsia="es-ES"/>
        </w:rPr>
        <w:t>¿</w:t>
      </w:r>
      <w:r w:rsidRPr="00767EB7">
        <w:rPr>
          <w:rFonts w:ascii="Verdana" w:eastAsia="Calibri" w:hAnsi="Verdana" w:cs="Arial"/>
          <w:color w:val="000000"/>
          <w:lang w:eastAsia="es-ES"/>
        </w:rPr>
        <w:t>puede efectuarse teniendo en consideración información de años fiscales anteriores?</w:t>
      </w:r>
      <w:r>
        <w:rPr>
          <w:rFonts w:ascii="Verdana" w:eastAsia="Calibri" w:hAnsi="Verdana" w:cs="Arial"/>
          <w:color w:val="000000"/>
          <w:lang w:eastAsia="es-ES"/>
        </w:rPr>
        <w:t xml:space="preserve"> </w:t>
      </w:r>
    </w:p>
    <w:p w14:paraId="42FD8370" w14:textId="77777777" w:rsidR="00DE32BB" w:rsidRPr="007620A2" w:rsidRDefault="00DE32BB" w:rsidP="00DE32BB">
      <w:pPr>
        <w:spacing w:after="0" w:line="240" w:lineRule="auto"/>
        <w:jc w:val="both"/>
        <w:rPr>
          <w:rFonts w:ascii="Verdana" w:hAnsi="Verdana"/>
        </w:rPr>
      </w:pPr>
    </w:p>
    <w:p w14:paraId="12A82706" w14:textId="77777777" w:rsidR="00DE32BB" w:rsidRPr="00C97CA6" w:rsidRDefault="00DE32BB" w:rsidP="00DE32BB">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57EDC1A8" w14:textId="77777777" w:rsidR="00DE32BB" w:rsidRPr="005644FE" w:rsidRDefault="00DE32BB" w:rsidP="00DE32BB">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DE32BB" w:rsidRPr="005644FE" w14:paraId="41DDB679" w14:textId="77777777" w:rsidTr="00487144">
        <w:tc>
          <w:tcPr>
            <w:tcW w:w="8828" w:type="dxa"/>
          </w:tcPr>
          <w:p w14:paraId="572B37E0" w14:textId="77777777" w:rsidR="00DE32BB" w:rsidRPr="00F047DB" w:rsidRDefault="00DE32BB" w:rsidP="00487144">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E</w:t>
            </w:r>
            <w:r w:rsidRPr="00F047DB">
              <w:rPr>
                <w:rFonts w:ascii="Verdana" w:eastAsia="Calibri" w:hAnsi="Verdana" w:cs="Arial"/>
                <w:color w:val="000000" w:themeColor="text1"/>
                <w:lang w:val="es-ES_tradnl"/>
              </w:rPr>
              <w:t>l numeral 1º del artículo</w:t>
            </w:r>
            <w:r>
              <w:rPr>
                <w:rFonts w:ascii="Verdana" w:eastAsia="Calibri" w:hAnsi="Verdana" w:cs="Arial"/>
                <w:color w:val="000000" w:themeColor="text1"/>
                <w:lang w:val="es-ES_tradnl"/>
              </w:rPr>
              <w:t xml:space="preserve"> 5 de la Ley 1150 de 2007 </w:t>
            </w:r>
            <w:r w:rsidRPr="00F047DB">
              <w:rPr>
                <w:rFonts w:ascii="Verdana" w:eastAsia="Calibri" w:hAnsi="Verdana" w:cs="Arial"/>
                <w:color w:val="000000" w:themeColor="text1"/>
                <w:lang w:val="es-ES_tradnl"/>
              </w:rPr>
              <w:t xml:space="preserve">establece que en los procesos de selección de contratistas serán objeto de verificación, como requisitos habilitantes, </w:t>
            </w:r>
            <w:r w:rsidRPr="00F047DB">
              <w:rPr>
                <w:rFonts w:ascii="Verdana" w:eastAsia="Calibri" w:hAnsi="Verdana" w:cs="Arial"/>
                <w:i/>
                <w:iCs/>
                <w:color w:val="000000" w:themeColor="text1"/>
                <w:lang w:val="es-ES_tradnl"/>
              </w:rPr>
              <w:t>entre otros</w:t>
            </w:r>
            <w:r w:rsidRPr="00F047DB">
              <w:rPr>
                <w:rFonts w:ascii="Verdana" w:eastAsia="Calibri" w:hAnsi="Verdana" w:cs="Arial"/>
                <w:color w:val="000000" w:themeColor="text1"/>
                <w:lang w:val="es-ES_tradnl"/>
              </w:rPr>
              <w:t xml:space="preserve">, los siguientes: i) la capacidad jurídica; </w:t>
            </w:r>
            <w:proofErr w:type="spellStart"/>
            <w:r w:rsidRPr="00F047DB">
              <w:rPr>
                <w:rFonts w:ascii="Verdana" w:eastAsia="Calibri" w:hAnsi="Verdana" w:cs="Arial"/>
                <w:color w:val="000000" w:themeColor="text1"/>
                <w:lang w:val="es-ES_tradnl"/>
              </w:rPr>
              <w:t>ii</w:t>
            </w:r>
            <w:proofErr w:type="spellEnd"/>
            <w:r w:rsidRPr="00F047DB">
              <w:rPr>
                <w:rFonts w:ascii="Verdana" w:eastAsia="Calibri" w:hAnsi="Verdana" w:cs="Arial"/>
                <w:color w:val="000000" w:themeColor="text1"/>
                <w:lang w:val="es-ES_tradnl"/>
              </w:rPr>
              <w:t xml:space="preserve">) la experiencia; </w:t>
            </w:r>
            <w:proofErr w:type="spellStart"/>
            <w:r w:rsidRPr="00F047DB">
              <w:rPr>
                <w:rFonts w:ascii="Verdana" w:eastAsia="Calibri" w:hAnsi="Verdana" w:cs="Arial"/>
                <w:color w:val="000000" w:themeColor="text1"/>
                <w:lang w:val="es-ES_tradnl"/>
              </w:rPr>
              <w:t>iii</w:t>
            </w:r>
            <w:proofErr w:type="spellEnd"/>
            <w:r w:rsidRPr="00F047DB">
              <w:rPr>
                <w:rFonts w:ascii="Verdana" w:eastAsia="Calibri" w:hAnsi="Verdana" w:cs="Arial"/>
                <w:color w:val="000000" w:themeColor="text1"/>
                <w:lang w:val="es-ES_tradnl"/>
              </w:rPr>
              <w:t xml:space="preserve">) la capacidad financiera y </w:t>
            </w:r>
            <w:proofErr w:type="spellStart"/>
            <w:r w:rsidRPr="00F047DB">
              <w:rPr>
                <w:rFonts w:ascii="Verdana" w:eastAsia="Calibri" w:hAnsi="Verdana" w:cs="Arial"/>
                <w:color w:val="000000" w:themeColor="text1"/>
                <w:lang w:val="es-ES_tradnl"/>
              </w:rPr>
              <w:t>iv</w:t>
            </w:r>
            <w:proofErr w:type="spellEnd"/>
            <w:r w:rsidRPr="00F047DB">
              <w:rPr>
                <w:rFonts w:ascii="Verdana" w:eastAsia="Calibri" w:hAnsi="Verdana" w:cs="Arial"/>
                <w:color w:val="000000" w:themeColor="text1"/>
                <w:lang w:val="es-ES_tradnl"/>
              </w:rPr>
              <w:t xml:space="preserve">) la capacidad de organización. En efecto, la norma citada dispone lo siguiente: </w:t>
            </w:r>
          </w:p>
          <w:p w14:paraId="300B7128" w14:textId="77777777" w:rsidR="00DE32BB" w:rsidRPr="002344B9" w:rsidRDefault="00DE32BB" w:rsidP="00487144">
            <w:pPr>
              <w:spacing w:after="120" w:line="276" w:lineRule="auto"/>
              <w:ind w:firstLine="709"/>
              <w:jc w:val="both"/>
              <w:rPr>
                <w:rFonts w:ascii="Verdana" w:hAnsi="Verdana"/>
              </w:rPr>
            </w:pPr>
            <w:r>
              <w:rPr>
                <w:rFonts w:ascii="Verdana" w:hAnsi="Verdana"/>
              </w:rPr>
              <w:t>L</w:t>
            </w:r>
            <w:r w:rsidRPr="002344B9">
              <w:rPr>
                <w:rFonts w:ascii="Verdana" w:hAnsi="Verdana"/>
              </w:rPr>
              <w:t>a capacidad financiera</w:t>
            </w:r>
            <w:r>
              <w:rPr>
                <w:rFonts w:ascii="Verdana" w:hAnsi="Verdana"/>
              </w:rPr>
              <w:t xml:space="preserve">, objeto de su consulta </w:t>
            </w:r>
            <w:r w:rsidRPr="002344B9">
              <w:rPr>
                <w:rFonts w:ascii="Verdana" w:hAnsi="Verdana"/>
              </w:rPr>
              <w:t>es un requisito habilitante cuya acreditación debe realizarse en los términos de los artículos 5 de la Ley 1150 de 2007 y 2.2.1.1.1.5.3 del Decreto 1082 de 2015, a partir de la información consignada en el RUP con base en los estados financieros del proponente, suscritos por el representante legal y, cuando corresponda, por el revisor fiscal.</w:t>
            </w:r>
          </w:p>
          <w:p w14:paraId="4200CAC5" w14:textId="77777777" w:rsidR="00DE32BB" w:rsidRPr="002344B9" w:rsidRDefault="00DE32BB" w:rsidP="00487144">
            <w:pPr>
              <w:spacing w:after="120" w:line="276" w:lineRule="auto"/>
              <w:ind w:firstLine="709"/>
              <w:jc w:val="both"/>
              <w:rPr>
                <w:rFonts w:ascii="Verdana" w:hAnsi="Verdana"/>
              </w:rPr>
            </w:pPr>
            <w:r w:rsidRPr="002344B9">
              <w:rPr>
                <w:rFonts w:ascii="Verdana" w:hAnsi="Verdana"/>
              </w:rPr>
              <w:t xml:space="preserve">Ahora bien, los parágrafos adicionados por los Decretos 399 y 579 de 2021 y 1041 de 2022 tuvieron carácter transitorio, </w:t>
            </w:r>
            <w:r>
              <w:rPr>
                <w:rFonts w:ascii="Verdana" w:hAnsi="Verdana"/>
              </w:rPr>
              <w:t>por</w:t>
            </w:r>
            <w:r w:rsidRPr="002344B9">
              <w:rPr>
                <w:rFonts w:ascii="Verdana" w:hAnsi="Verdana"/>
              </w:rPr>
              <w:t xml:space="preserve"> cuanto habilitaban a los proponentes a acreditar los indicadores financieros y organizacionales con el “mejor año fiscal” de los últimos tres</w:t>
            </w:r>
            <w:r>
              <w:rPr>
                <w:rFonts w:ascii="Verdana" w:hAnsi="Verdana"/>
              </w:rPr>
              <w:t xml:space="preserve"> años</w:t>
            </w:r>
            <w:r w:rsidRPr="002344B9">
              <w:rPr>
                <w:rFonts w:ascii="Verdana" w:hAnsi="Verdana"/>
              </w:rPr>
              <w:t>. Dichas disposiciones fueron prorrogadas únicamente hasta el 31 de diciembre de 2023, por lo cual</w:t>
            </w:r>
            <w:r>
              <w:rPr>
                <w:rFonts w:ascii="Verdana" w:hAnsi="Verdana"/>
              </w:rPr>
              <w:t>,</w:t>
            </w:r>
            <w:r w:rsidRPr="002344B9">
              <w:rPr>
                <w:rFonts w:ascii="Verdana" w:hAnsi="Verdana"/>
              </w:rPr>
              <w:t xml:space="preserve"> desde el 1° de enero de 2024 carecen de vigencia y resulta inaplicable, por sustracción de materia, el parágrafo transitorio del artículo 2.2.1.1.1.6.2 del Decreto 1082 de 2015.</w:t>
            </w:r>
          </w:p>
          <w:p w14:paraId="336FCD18" w14:textId="77777777" w:rsidR="00DE32BB" w:rsidRDefault="00DE32BB" w:rsidP="00487144">
            <w:pPr>
              <w:spacing w:after="120" w:line="276" w:lineRule="auto"/>
              <w:ind w:firstLine="709"/>
              <w:jc w:val="both"/>
              <w:rPr>
                <w:rFonts w:ascii="Verdana" w:hAnsi="Verdana"/>
              </w:rPr>
            </w:pPr>
            <w:r w:rsidRPr="002344B9">
              <w:rPr>
                <w:rFonts w:ascii="Verdana" w:hAnsi="Verdana"/>
              </w:rPr>
              <w:t>En consecuencia, a partir del 1° de enero de 2024, las personas que realicen la inscripción o renovación del RUP únicamente podrán reportar la información contable y los estados financieros correspondientes al último año fiscal, de acuerdo con las siguientes reglas:</w:t>
            </w:r>
            <w:r>
              <w:rPr>
                <w:rFonts w:ascii="Verdana" w:hAnsi="Verdana"/>
              </w:rPr>
              <w:t xml:space="preserve"> i) </w:t>
            </w:r>
            <w:r w:rsidRPr="00110C9C">
              <w:rPr>
                <w:rStyle w:val="Fuerte"/>
                <w:rFonts w:ascii="Verdana" w:hAnsi="Verdana"/>
                <w:i/>
                <w:iCs/>
              </w:rPr>
              <w:t>Personas naturales obligadas a llevar contabilidad</w:t>
            </w:r>
            <w:r w:rsidRPr="00110C9C">
              <w:rPr>
                <w:rStyle w:val="Fuerte"/>
                <w:rFonts w:ascii="Verdana" w:hAnsi="Verdana"/>
              </w:rPr>
              <w:t>:</w:t>
            </w:r>
            <w:r w:rsidRPr="00110C9C">
              <w:rPr>
                <w:rFonts w:ascii="Verdana" w:hAnsi="Verdana"/>
                <w:b/>
                <w:bCs/>
              </w:rPr>
              <w:t xml:space="preserve"> </w:t>
            </w:r>
            <w:r w:rsidRPr="00110C9C">
              <w:rPr>
                <w:rFonts w:ascii="Verdana" w:hAnsi="Verdana"/>
              </w:rPr>
              <w:t xml:space="preserve">deben presentar copia de la información contable exigida por las normas tributarias para el último año fiscal; </w:t>
            </w:r>
            <w:proofErr w:type="spellStart"/>
            <w:r w:rsidRPr="00110C9C">
              <w:rPr>
                <w:rFonts w:ascii="Verdana" w:hAnsi="Verdana"/>
              </w:rPr>
              <w:t>ii</w:t>
            </w:r>
            <w:proofErr w:type="spellEnd"/>
            <w:r w:rsidRPr="00110C9C">
              <w:rPr>
                <w:rFonts w:ascii="Verdana" w:hAnsi="Verdana"/>
              </w:rPr>
              <w:t>)</w:t>
            </w:r>
            <w:r w:rsidRPr="00110C9C">
              <w:rPr>
                <w:rFonts w:ascii="Verdana" w:hAnsi="Verdana"/>
                <w:b/>
                <w:bCs/>
              </w:rPr>
              <w:t xml:space="preserve"> </w:t>
            </w:r>
            <w:r w:rsidRPr="00110C9C">
              <w:rPr>
                <w:rStyle w:val="Fuerte"/>
                <w:rFonts w:ascii="Verdana" w:hAnsi="Verdana"/>
                <w:i/>
                <w:iCs/>
              </w:rPr>
              <w:t>Personas jurídicas</w:t>
            </w:r>
            <w:r w:rsidRPr="00110C9C">
              <w:rPr>
                <w:rStyle w:val="Fuerte"/>
                <w:rFonts w:ascii="Verdana" w:hAnsi="Verdana"/>
              </w:rPr>
              <w:t>:</w:t>
            </w:r>
            <w:r w:rsidRPr="002344B9">
              <w:rPr>
                <w:rFonts w:ascii="Verdana" w:hAnsi="Verdana"/>
              </w:rPr>
              <w:t xml:space="preserve"> deben aportar los estados financieros de la sociedad y, cuando la norma aplicable lo exija, los estados financieros consolidados del grupo empresarial, auditados con sus notas y anexos, suscritos por el representante legal y el revisor fiscal (o por el auditor/contador, cuando no exista obligación de tener revisor fiscal)</w:t>
            </w:r>
            <w:r>
              <w:rPr>
                <w:rFonts w:ascii="Verdana" w:hAnsi="Verdana"/>
              </w:rPr>
              <w:t xml:space="preserve"> y </w:t>
            </w:r>
            <w:proofErr w:type="spellStart"/>
            <w:r>
              <w:rPr>
                <w:rFonts w:ascii="Verdana" w:hAnsi="Verdana"/>
              </w:rPr>
              <w:t>iii</w:t>
            </w:r>
            <w:proofErr w:type="spellEnd"/>
            <w:r>
              <w:rPr>
                <w:rFonts w:ascii="Verdana" w:hAnsi="Verdana"/>
              </w:rPr>
              <w:t xml:space="preserve">) </w:t>
            </w:r>
            <w:r w:rsidRPr="002344B9">
              <w:rPr>
                <w:rFonts w:ascii="Verdana" w:hAnsi="Verdana"/>
              </w:rPr>
              <w:t xml:space="preserve">En todo caso, </w:t>
            </w:r>
            <w:r w:rsidRPr="00795E38">
              <w:rPr>
                <w:rFonts w:ascii="Verdana" w:hAnsi="Verdana"/>
                <w:i/>
                <w:iCs/>
              </w:rPr>
              <w:t>si el proponente no tiene antigüedad suficiente para contar con estados financieros auditados a 31 de diciembre</w:t>
            </w:r>
            <w:r w:rsidRPr="002344B9">
              <w:rPr>
                <w:rFonts w:ascii="Verdana" w:hAnsi="Verdana"/>
              </w:rPr>
              <w:t>, debe inscribirse con estados financieros de corte trimestral suscritos por el representante legal y el auditor o contador, o con estados financieros de apertura.</w:t>
            </w:r>
          </w:p>
          <w:p w14:paraId="631BF047" w14:textId="77777777" w:rsidR="00DE32BB" w:rsidRPr="00F32231" w:rsidRDefault="00DE32BB" w:rsidP="00487144">
            <w:pPr>
              <w:spacing w:after="120" w:line="276" w:lineRule="auto"/>
              <w:ind w:firstLine="709"/>
              <w:jc w:val="both"/>
              <w:rPr>
                <w:rFonts w:ascii="Verdana" w:hAnsi="Verdana"/>
              </w:rPr>
            </w:pPr>
            <w:r w:rsidRPr="002344B9">
              <w:rPr>
                <w:rFonts w:ascii="Verdana" w:hAnsi="Verdana"/>
              </w:rPr>
              <w:t xml:space="preserve">En </w:t>
            </w:r>
            <w:r>
              <w:rPr>
                <w:rFonts w:ascii="Verdana" w:hAnsi="Verdana"/>
              </w:rPr>
              <w:t>conclusión</w:t>
            </w:r>
            <w:r w:rsidRPr="002344B9">
              <w:rPr>
                <w:rFonts w:ascii="Verdana" w:hAnsi="Verdana"/>
              </w:rPr>
              <w:t>, en el caso consultado, la evaluación de la capacidad financiera debe realizarse con base en la información vigente registrada en el RUP con corte al 31 de diciembre del año fiscal inmediatamente anterior, resultando improcedente la acreditación con un “mejor año fiscal” distinto o la presentación de documentos adicionales no incorporados en dicho registro oficial</w:t>
            </w:r>
            <w:r>
              <w:rPr>
                <w:rFonts w:ascii="Verdana" w:hAnsi="Verdana"/>
              </w:rPr>
              <w:t>.</w:t>
            </w:r>
          </w:p>
        </w:tc>
      </w:tr>
    </w:tbl>
    <w:p w14:paraId="71AE2243" w14:textId="77777777" w:rsidR="00DE32BB" w:rsidRDefault="00DE32BB" w:rsidP="00DE32BB">
      <w:pPr>
        <w:tabs>
          <w:tab w:val="left" w:pos="142"/>
          <w:tab w:val="left" w:pos="284"/>
        </w:tabs>
        <w:spacing w:after="0" w:line="276" w:lineRule="auto"/>
        <w:jc w:val="both"/>
        <w:rPr>
          <w:rFonts w:ascii="Verdana" w:eastAsia="Century Gothic" w:hAnsi="Verdana" w:cs="Century Gothic"/>
          <w:b/>
          <w:bCs/>
        </w:rPr>
      </w:pPr>
    </w:p>
    <w:p w14:paraId="40654A2B" w14:textId="77777777" w:rsidR="00DE32BB" w:rsidRPr="005644FE" w:rsidRDefault="00DE32BB" w:rsidP="00DE32BB">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08DB27C5" w14:textId="77777777" w:rsidR="00DE32BB" w:rsidRPr="005644FE" w:rsidRDefault="00DE32BB" w:rsidP="00DE32BB">
      <w:pPr>
        <w:pStyle w:val="Prrafodelista"/>
        <w:tabs>
          <w:tab w:val="left" w:pos="142"/>
          <w:tab w:val="left" w:pos="284"/>
        </w:tabs>
        <w:spacing w:after="0" w:line="240" w:lineRule="auto"/>
        <w:ind w:left="0"/>
        <w:contextualSpacing w:val="0"/>
        <w:jc w:val="both"/>
        <w:rPr>
          <w:rFonts w:ascii="Verdana" w:eastAsia="Calibri" w:hAnsi="Verdana" w:cs="Arial"/>
        </w:rPr>
      </w:pPr>
    </w:p>
    <w:p w14:paraId="5A91635E" w14:textId="77777777" w:rsidR="00DE32BB" w:rsidRDefault="00DE32BB" w:rsidP="00DE32BB">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169DECD6" w14:textId="77777777" w:rsidR="00DE32BB" w:rsidRDefault="00DE32BB" w:rsidP="00DE32BB">
      <w:pPr>
        <w:tabs>
          <w:tab w:val="left" w:pos="142"/>
          <w:tab w:val="left" w:pos="284"/>
          <w:tab w:val="left" w:pos="6975"/>
        </w:tabs>
        <w:spacing w:after="0" w:line="240" w:lineRule="auto"/>
        <w:jc w:val="both"/>
        <w:rPr>
          <w:rFonts w:ascii="Verdana" w:eastAsia="Calibri" w:hAnsi="Verdana" w:cs="Arial"/>
        </w:rPr>
      </w:pPr>
    </w:p>
    <w:p w14:paraId="43937F7F" w14:textId="77777777" w:rsidR="00DE32BB" w:rsidRPr="00F047DB" w:rsidRDefault="00DE32BB" w:rsidP="00DE32BB">
      <w:pPr>
        <w:spacing w:after="120" w:line="276" w:lineRule="auto"/>
        <w:jc w:val="both"/>
        <w:rPr>
          <w:rFonts w:ascii="Verdana" w:eastAsia="Calibri" w:hAnsi="Verdana" w:cs="Arial"/>
          <w:color w:val="000000" w:themeColor="text1"/>
          <w:lang w:val="es-ES_tradnl"/>
        </w:rPr>
      </w:pPr>
      <w:r w:rsidRPr="00F047DB">
        <w:rPr>
          <w:rFonts w:ascii="Verdana" w:eastAsia="Calibri" w:hAnsi="Verdana" w:cs="Arial"/>
          <w:color w:val="000000" w:themeColor="text1"/>
          <w:lang w:val="es-ES_tradnl"/>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0C8EF5FE" w14:textId="77777777" w:rsidR="00DE32BB" w:rsidRPr="00F047DB" w:rsidRDefault="00DE32BB" w:rsidP="00DE32BB">
      <w:pPr>
        <w:spacing w:after="120" w:line="276" w:lineRule="auto"/>
        <w:ind w:firstLine="709"/>
        <w:jc w:val="both"/>
        <w:rPr>
          <w:rFonts w:ascii="Verdana" w:eastAsia="Calibri" w:hAnsi="Verdana" w:cs="Arial"/>
          <w:color w:val="000000" w:themeColor="text1"/>
          <w:lang w:val="es-ES_tradnl"/>
        </w:rPr>
      </w:pPr>
      <w:r w:rsidRPr="00F047DB">
        <w:rPr>
          <w:rFonts w:ascii="Verdana" w:eastAsia="Calibri" w:hAnsi="Verdana" w:cs="Arial"/>
          <w:color w:val="000000" w:themeColor="text1"/>
          <w:lang w:val="es-ES_tradnl"/>
        </w:rPr>
        <w:t xml:space="preserve">Específicamente, el numeral 1º del artículo referido establece que en los procesos de selección de contratistas serán objeto de verificación, como requisitos habilitantes, </w:t>
      </w:r>
      <w:r w:rsidRPr="00F047DB">
        <w:rPr>
          <w:rFonts w:ascii="Verdana" w:eastAsia="Calibri" w:hAnsi="Verdana" w:cs="Arial"/>
          <w:i/>
          <w:iCs/>
          <w:color w:val="000000" w:themeColor="text1"/>
          <w:lang w:val="es-ES_tradnl"/>
        </w:rPr>
        <w:t>entre otros</w:t>
      </w:r>
      <w:r w:rsidRPr="00F047DB">
        <w:rPr>
          <w:rFonts w:ascii="Verdana" w:eastAsia="Calibri" w:hAnsi="Verdana" w:cs="Arial"/>
          <w:color w:val="000000" w:themeColor="text1"/>
          <w:lang w:val="es-ES_tradnl"/>
        </w:rPr>
        <w:t xml:space="preserve">, los siguientes: i) la capacidad jurídica; </w:t>
      </w:r>
      <w:proofErr w:type="spellStart"/>
      <w:r w:rsidRPr="00F047DB">
        <w:rPr>
          <w:rFonts w:ascii="Verdana" w:eastAsia="Calibri" w:hAnsi="Verdana" w:cs="Arial"/>
          <w:color w:val="000000" w:themeColor="text1"/>
          <w:lang w:val="es-ES_tradnl"/>
        </w:rPr>
        <w:t>ii</w:t>
      </w:r>
      <w:proofErr w:type="spellEnd"/>
      <w:r w:rsidRPr="00F047DB">
        <w:rPr>
          <w:rFonts w:ascii="Verdana" w:eastAsia="Calibri" w:hAnsi="Verdana" w:cs="Arial"/>
          <w:color w:val="000000" w:themeColor="text1"/>
          <w:lang w:val="es-ES_tradnl"/>
        </w:rPr>
        <w:t xml:space="preserve">) la experiencia; </w:t>
      </w:r>
      <w:proofErr w:type="spellStart"/>
      <w:r w:rsidRPr="00F047DB">
        <w:rPr>
          <w:rFonts w:ascii="Verdana" w:eastAsia="Calibri" w:hAnsi="Verdana" w:cs="Arial"/>
          <w:color w:val="000000" w:themeColor="text1"/>
          <w:lang w:val="es-ES_tradnl"/>
        </w:rPr>
        <w:t>iii</w:t>
      </w:r>
      <w:proofErr w:type="spellEnd"/>
      <w:r w:rsidRPr="00F047DB">
        <w:rPr>
          <w:rFonts w:ascii="Verdana" w:eastAsia="Calibri" w:hAnsi="Verdana" w:cs="Arial"/>
          <w:color w:val="000000" w:themeColor="text1"/>
          <w:lang w:val="es-ES_tradnl"/>
        </w:rPr>
        <w:t xml:space="preserve">) la capacidad financiera y </w:t>
      </w:r>
      <w:proofErr w:type="spellStart"/>
      <w:r w:rsidRPr="00F047DB">
        <w:rPr>
          <w:rFonts w:ascii="Verdana" w:eastAsia="Calibri" w:hAnsi="Verdana" w:cs="Arial"/>
          <w:color w:val="000000" w:themeColor="text1"/>
          <w:lang w:val="es-ES_tradnl"/>
        </w:rPr>
        <w:t>iv</w:t>
      </w:r>
      <w:proofErr w:type="spellEnd"/>
      <w:r w:rsidRPr="00F047DB">
        <w:rPr>
          <w:rFonts w:ascii="Verdana" w:eastAsia="Calibri" w:hAnsi="Verdana" w:cs="Arial"/>
          <w:color w:val="000000" w:themeColor="text1"/>
          <w:lang w:val="es-ES_tradnl"/>
        </w:rPr>
        <w:t xml:space="preserve">) la capacidad de organización. En efecto, la norma citada dispone lo siguiente: </w:t>
      </w:r>
    </w:p>
    <w:p w14:paraId="637FD65B" w14:textId="77777777" w:rsidR="00DE32BB" w:rsidRDefault="00DE32BB" w:rsidP="00DE32BB">
      <w:pPr>
        <w:spacing w:after="0" w:line="240" w:lineRule="auto"/>
        <w:ind w:left="709" w:right="709"/>
        <w:jc w:val="both"/>
        <w:rPr>
          <w:rFonts w:ascii="Verdana" w:eastAsia="Calibri" w:hAnsi="Verdana" w:cs="Arial"/>
          <w:color w:val="000000" w:themeColor="text1"/>
          <w:sz w:val="20"/>
          <w:szCs w:val="20"/>
          <w:lang w:val="es-ES_tradnl"/>
        </w:rPr>
      </w:pPr>
      <w:r w:rsidRPr="00F047DB">
        <w:rPr>
          <w:rFonts w:ascii="Verdana" w:eastAsia="Calibri" w:hAnsi="Verdana" w:cs="Arial"/>
          <w:color w:val="000000" w:themeColor="text1"/>
          <w:sz w:val="20"/>
          <w:szCs w:val="20"/>
          <w:lang w:val="es-ES_tradnl"/>
        </w:rPr>
        <w:t xml:space="preserve">“Artículo 5. De la Selección Objetiva. </w:t>
      </w:r>
    </w:p>
    <w:p w14:paraId="3A4F4D08" w14:textId="77777777" w:rsidR="00DE32BB" w:rsidRDefault="00DE32BB" w:rsidP="00DE32BB">
      <w:pPr>
        <w:spacing w:after="0" w:line="240" w:lineRule="auto"/>
        <w:ind w:left="709" w:right="709"/>
        <w:jc w:val="both"/>
        <w:rPr>
          <w:rFonts w:ascii="Verdana" w:eastAsia="Calibri" w:hAnsi="Verdana" w:cs="Arial"/>
          <w:color w:val="000000" w:themeColor="text1"/>
          <w:sz w:val="20"/>
          <w:szCs w:val="20"/>
          <w:lang w:val="es-ES_tradnl"/>
        </w:rPr>
      </w:pPr>
    </w:p>
    <w:p w14:paraId="0F4AFBEF" w14:textId="77777777" w:rsidR="00DE32BB" w:rsidRPr="00F047DB" w:rsidRDefault="00DE32BB" w:rsidP="00DE32BB">
      <w:pPr>
        <w:spacing w:after="0" w:line="240" w:lineRule="auto"/>
        <w:ind w:left="709" w:right="709"/>
        <w:jc w:val="both"/>
        <w:rPr>
          <w:rFonts w:ascii="Verdana" w:eastAsia="Calibri" w:hAnsi="Verdana" w:cs="Arial"/>
          <w:color w:val="000000" w:themeColor="text1"/>
          <w:sz w:val="20"/>
          <w:szCs w:val="20"/>
          <w:lang w:val="es-ES_tradnl"/>
        </w:rPr>
      </w:pPr>
      <w:r w:rsidRPr="00F047DB">
        <w:rPr>
          <w:rFonts w:ascii="Verdana" w:eastAsia="Calibri" w:hAnsi="Verdana" w:cs="Arial"/>
          <w:color w:val="000000" w:themeColor="text1"/>
          <w:sz w:val="20"/>
          <w:szCs w:val="20"/>
          <w:lang w:val="es-ES_tradnl"/>
        </w:rPr>
        <w:t>[…]</w:t>
      </w:r>
    </w:p>
    <w:p w14:paraId="4AAFB300" w14:textId="77777777" w:rsidR="00DE32BB" w:rsidRDefault="00DE32BB" w:rsidP="00DE32BB">
      <w:pPr>
        <w:spacing w:after="0" w:line="240" w:lineRule="auto"/>
        <w:ind w:left="709" w:right="709"/>
        <w:jc w:val="both"/>
        <w:rPr>
          <w:rFonts w:ascii="Verdana" w:eastAsia="Calibri" w:hAnsi="Verdana" w:cs="Arial"/>
          <w:color w:val="000000" w:themeColor="text1"/>
          <w:sz w:val="20"/>
          <w:szCs w:val="20"/>
          <w:lang w:val="es-ES_tradnl"/>
        </w:rPr>
      </w:pPr>
    </w:p>
    <w:p w14:paraId="5172E329" w14:textId="77777777" w:rsidR="00DE32BB" w:rsidRDefault="00DE32BB" w:rsidP="00DE32BB">
      <w:pPr>
        <w:spacing w:after="0" w:line="240" w:lineRule="auto"/>
        <w:ind w:left="709" w:right="709"/>
        <w:jc w:val="both"/>
        <w:rPr>
          <w:rFonts w:ascii="Verdana" w:eastAsia="Calibri" w:hAnsi="Verdana" w:cs="Arial"/>
          <w:color w:val="000000" w:themeColor="text1"/>
          <w:sz w:val="21"/>
          <w:szCs w:val="21"/>
          <w:lang w:val="es-ES_tradnl"/>
        </w:rPr>
      </w:pPr>
      <w:r w:rsidRPr="00F047DB">
        <w:rPr>
          <w:rFonts w:ascii="Verdana" w:eastAsia="Calibri" w:hAnsi="Verdana" w:cs="Arial"/>
          <w:color w:val="000000" w:themeColor="text1"/>
          <w:sz w:val="20"/>
          <w:szCs w:val="20"/>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F8185C5" w14:textId="77777777" w:rsidR="00DE32BB" w:rsidRPr="00767EB7" w:rsidRDefault="00DE32BB" w:rsidP="00DE32BB">
      <w:pPr>
        <w:spacing w:after="0" w:line="240" w:lineRule="auto"/>
        <w:ind w:left="709" w:right="709"/>
        <w:jc w:val="both"/>
        <w:rPr>
          <w:rFonts w:ascii="Verdana" w:eastAsia="Calibri" w:hAnsi="Verdana" w:cs="Arial"/>
          <w:color w:val="000000" w:themeColor="text1"/>
          <w:sz w:val="21"/>
          <w:szCs w:val="21"/>
          <w:lang w:val="es-ES_tradnl"/>
        </w:rPr>
      </w:pPr>
    </w:p>
    <w:p w14:paraId="66F5A34A" w14:textId="77777777" w:rsidR="00DE32BB" w:rsidRPr="00F047DB" w:rsidRDefault="00DE32BB" w:rsidP="00DE32BB">
      <w:pPr>
        <w:spacing w:after="120" w:line="276" w:lineRule="auto"/>
        <w:ind w:firstLine="709"/>
        <w:jc w:val="both"/>
        <w:rPr>
          <w:rFonts w:ascii="Verdana" w:eastAsia="Calibri" w:hAnsi="Verdana" w:cs="Arial"/>
          <w:color w:val="000000" w:themeColor="text1"/>
          <w:lang w:val="es-ES_tradnl"/>
        </w:rPr>
      </w:pPr>
      <w:r w:rsidRPr="00F047DB">
        <w:rPr>
          <w:rFonts w:ascii="Verdana" w:eastAsia="Calibri" w:hAnsi="Verdana" w:cs="Arial"/>
          <w:color w:val="000000" w:themeColor="text1"/>
          <w:lang w:val="es-ES_tradnl"/>
        </w:rPr>
        <w:t xml:space="preserve">La </w:t>
      </w:r>
      <w:r w:rsidRPr="00F047DB">
        <w:rPr>
          <w:rFonts w:ascii="Verdana" w:eastAsia="Calibri" w:hAnsi="Verdana" w:cs="Arial"/>
          <w:bCs/>
          <w:i/>
          <w:iCs/>
          <w:color w:val="000000" w:themeColor="text1"/>
          <w:lang w:val="es-ES_tradnl"/>
        </w:rPr>
        <w:t>capacidad financiera</w:t>
      </w:r>
      <w:r>
        <w:rPr>
          <w:rFonts w:ascii="Verdana" w:eastAsia="Calibri" w:hAnsi="Verdana" w:cs="Arial"/>
          <w:bCs/>
          <w:i/>
          <w:iCs/>
          <w:color w:val="000000" w:themeColor="text1"/>
          <w:lang w:val="es-ES_tradnl"/>
        </w:rPr>
        <w:t xml:space="preserve">, </w:t>
      </w:r>
      <w:r>
        <w:rPr>
          <w:rFonts w:ascii="Verdana" w:eastAsia="Calibri" w:hAnsi="Verdana" w:cs="Arial"/>
          <w:bCs/>
          <w:color w:val="000000" w:themeColor="text1"/>
          <w:lang w:val="es-ES_tradnl"/>
        </w:rPr>
        <w:t>objeto de su consulta,</w:t>
      </w:r>
      <w:r w:rsidRPr="00F047DB">
        <w:rPr>
          <w:rFonts w:ascii="Verdana" w:eastAsia="Calibri" w:hAnsi="Verdana" w:cs="Arial"/>
          <w:i/>
          <w:iCs/>
          <w:color w:val="000000" w:themeColor="text1"/>
          <w:lang w:val="es-ES_tradnl"/>
        </w:rPr>
        <w:t xml:space="preserve"> </w:t>
      </w:r>
      <w:r w:rsidRPr="00F047DB">
        <w:rPr>
          <w:rFonts w:ascii="Verdana" w:eastAsia="Calibri" w:hAnsi="Verdana" w:cs="Arial"/>
          <w:color w:val="000000" w:themeColor="text1"/>
          <w:lang w:val="es-ES_tradnl"/>
        </w:rPr>
        <w:t>se determina a través de la liquidez y el endeudamiento de los proponentes. Busca establecer condiciones mínimas en relación con la “salud financiera”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78864E15" w14:textId="77777777" w:rsidR="00DE32BB" w:rsidRDefault="00DE32BB" w:rsidP="00DE32BB">
      <w:pPr>
        <w:spacing w:after="120" w:line="276" w:lineRule="auto"/>
        <w:ind w:firstLine="709"/>
        <w:jc w:val="both"/>
        <w:rPr>
          <w:rFonts w:ascii="Verdana" w:eastAsia="Calibri" w:hAnsi="Verdana" w:cs="Arial"/>
          <w:color w:val="000000" w:themeColor="text1"/>
          <w:lang w:val="es-ES_tradnl"/>
        </w:rPr>
      </w:pPr>
      <w:r w:rsidRPr="00F047DB">
        <w:rPr>
          <w:rFonts w:ascii="Verdana" w:eastAsia="Calibri" w:hAnsi="Verdana" w:cs="Arial"/>
          <w:color w:val="000000" w:themeColor="text1"/>
          <w:lang w:val="es-ES_tradnl"/>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F047DB">
        <w:rPr>
          <w:rFonts w:ascii="Verdana" w:eastAsia="Calibri" w:hAnsi="Verdana" w:cs="Arial"/>
          <w:i/>
          <w:iCs/>
          <w:color w:val="000000" w:themeColor="text1"/>
          <w:lang w:val="es-ES_tradnl"/>
        </w:rPr>
        <w:t>índice de liquidez</w:t>
      </w:r>
      <w:r w:rsidRPr="00F047DB">
        <w:rPr>
          <w:rFonts w:ascii="Verdana" w:eastAsia="Calibri" w:hAnsi="Verdana" w:cs="Arial"/>
          <w:color w:val="000000" w:themeColor="text1"/>
          <w:lang w:val="es-ES_tradnl"/>
        </w:rPr>
        <w:t xml:space="preserve">, que corresponde a la división entre el activo corriente y el pasivo corriente, y que determina la capacidad que tiene el proponente para cumplir con sus obligaciones de corto plazo; </w:t>
      </w:r>
      <w:proofErr w:type="spellStart"/>
      <w:r w:rsidRPr="00F047DB">
        <w:rPr>
          <w:rFonts w:ascii="Verdana" w:eastAsia="Calibri" w:hAnsi="Verdana" w:cs="Arial"/>
          <w:color w:val="000000" w:themeColor="text1"/>
          <w:lang w:val="es-ES_tradnl"/>
        </w:rPr>
        <w:t>ii</w:t>
      </w:r>
      <w:proofErr w:type="spellEnd"/>
      <w:r w:rsidRPr="00F047DB">
        <w:rPr>
          <w:rFonts w:ascii="Verdana" w:eastAsia="Calibri" w:hAnsi="Verdana" w:cs="Arial"/>
          <w:color w:val="000000" w:themeColor="text1"/>
          <w:lang w:val="es-ES_tradnl"/>
        </w:rPr>
        <w:t xml:space="preserve">) el </w:t>
      </w:r>
      <w:r w:rsidRPr="00F047DB">
        <w:rPr>
          <w:rFonts w:ascii="Verdana" w:eastAsia="Calibri" w:hAnsi="Verdana" w:cs="Arial"/>
          <w:i/>
          <w:iCs/>
          <w:color w:val="000000" w:themeColor="text1"/>
          <w:lang w:val="es-ES_tradnl"/>
        </w:rPr>
        <w:t>índice de endeudamiento</w:t>
      </w:r>
      <w:r w:rsidRPr="00F047DB">
        <w:rPr>
          <w:rFonts w:ascii="Verdana" w:eastAsia="Calibri" w:hAnsi="Verdana" w:cs="Arial"/>
          <w:color w:val="000000" w:themeColor="text1"/>
          <w:lang w:val="es-ES_tradnl"/>
        </w:rPr>
        <w:t xml:space="preserve">, que se calcula dividiendo el pasivo total por el activo total, el cual determina el grado de endeudamiento en la estructura de financiación del proponente; y </w:t>
      </w:r>
      <w:proofErr w:type="spellStart"/>
      <w:r w:rsidRPr="00F047DB">
        <w:rPr>
          <w:rFonts w:ascii="Verdana" w:eastAsia="Calibri" w:hAnsi="Verdana" w:cs="Arial"/>
          <w:color w:val="000000" w:themeColor="text1"/>
          <w:lang w:val="es-ES_tradnl"/>
        </w:rPr>
        <w:t>iii</w:t>
      </w:r>
      <w:proofErr w:type="spellEnd"/>
      <w:r w:rsidRPr="00F047DB">
        <w:rPr>
          <w:rFonts w:ascii="Verdana" w:eastAsia="Calibri" w:hAnsi="Verdana" w:cs="Arial"/>
          <w:color w:val="000000" w:themeColor="text1"/>
          <w:lang w:val="es-ES_tradnl"/>
        </w:rPr>
        <w:t xml:space="preserve">) la </w:t>
      </w:r>
      <w:r w:rsidRPr="00F047DB">
        <w:rPr>
          <w:rFonts w:ascii="Verdana" w:eastAsia="Calibri" w:hAnsi="Verdana" w:cs="Arial"/>
          <w:i/>
          <w:iCs/>
          <w:color w:val="000000" w:themeColor="text1"/>
          <w:lang w:val="es-ES_tradnl"/>
        </w:rPr>
        <w:t>razón de cobertura de intereses</w:t>
      </w:r>
      <w:r w:rsidRPr="00F047DB">
        <w:rPr>
          <w:rFonts w:ascii="Verdana" w:eastAsia="Calibri" w:hAnsi="Verdana" w:cs="Arial"/>
          <w:color w:val="000000" w:themeColor="text1"/>
          <w:lang w:val="es-ES_tradnl"/>
        </w:rPr>
        <w:t xml:space="preserve">, que es igual a la utilidad operacional, sobre los gastos de intereses, y que refleja la capacidad del proponente para cumplir con sus obligaciones financieras. Adicionalmente, Colombia Compra Eficiente recomienda valorar otro tipo de indicadores como el </w:t>
      </w:r>
      <w:r w:rsidRPr="00F047DB">
        <w:rPr>
          <w:rFonts w:ascii="Verdana" w:eastAsia="Calibri" w:hAnsi="Verdana" w:cs="Arial"/>
          <w:i/>
          <w:iCs/>
          <w:color w:val="000000" w:themeColor="text1"/>
          <w:lang w:val="es-ES_tradnl"/>
        </w:rPr>
        <w:t>capital de trabajo</w:t>
      </w:r>
      <w:r w:rsidRPr="00F047DB">
        <w:rPr>
          <w:rFonts w:ascii="Verdana" w:eastAsia="Calibri" w:hAnsi="Verdana" w:cs="Arial"/>
          <w:color w:val="000000" w:themeColor="text1"/>
          <w:lang w:val="es-ES_tradnl"/>
        </w:rPr>
        <w:t xml:space="preserve">, la </w:t>
      </w:r>
      <w:r w:rsidRPr="00F047DB">
        <w:rPr>
          <w:rFonts w:ascii="Verdana" w:eastAsia="Calibri" w:hAnsi="Verdana" w:cs="Arial"/>
          <w:i/>
          <w:iCs/>
          <w:color w:val="000000" w:themeColor="text1"/>
          <w:lang w:val="es-ES_tradnl"/>
        </w:rPr>
        <w:t>razón de efectivo</w:t>
      </w:r>
      <w:r w:rsidRPr="00F047DB">
        <w:rPr>
          <w:rFonts w:ascii="Verdana" w:eastAsia="Calibri" w:hAnsi="Verdana" w:cs="Arial"/>
          <w:color w:val="000000" w:themeColor="text1"/>
          <w:lang w:val="es-ES_tradnl"/>
        </w:rPr>
        <w:t xml:space="preserve">, la denominada </w:t>
      </w:r>
      <w:r w:rsidRPr="00F047DB">
        <w:rPr>
          <w:rFonts w:ascii="Verdana" w:eastAsia="Calibri" w:hAnsi="Verdana" w:cs="Arial"/>
          <w:i/>
          <w:iCs/>
          <w:color w:val="000000" w:themeColor="text1"/>
          <w:lang w:val="es-ES_tradnl"/>
        </w:rPr>
        <w:t>prueba ácida</w:t>
      </w:r>
      <w:r w:rsidRPr="00F047DB">
        <w:rPr>
          <w:rFonts w:ascii="Verdana" w:eastAsia="Calibri" w:hAnsi="Verdana" w:cs="Arial"/>
          <w:color w:val="000000" w:themeColor="text1"/>
          <w:lang w:val="es-ES_tradnl"/>
        </w:rPr>
        <w:t xml:space="preserve">, la </w:t>
      </w:r>
      <w:r w:rsidRPr="00F047DB">
        <w:rPr>
          <w:rFonts w:ascii="Verdana" w:eastAsia="Calibri" w:hAnsi="Verdana" w:cs="Arial"/>
          <w:i/>
          <w:iCs/>
          <w:color w:val="000000" w:themeColor="text1"/>
          <w:lang w:val="es-ES_tradnl"/>
        </w:rPr>
        <w:t xml:space="preserve">concentración de endeudamiento a corto </w:t>
      </w:r>
      <w:r w:rsidRPr="00F047DB">
        <w:rPr>
          <w:rFonts w:ascii="Verdana" w:eastAsia="Calibri" w:hAnsi="Verdana" w:cs="Arial"/>
          <w:color w:val="000000" w:themeColor="text1"/>
          <w:lang w:val="es-ES_tradnl"/>
        </w:rPr>
        <w:t>y</w:t>
      </w:r>
      <w:r w:rsidRPr="00F047DB">
        <w:rPr>
          <w:rFonts w:ascii="Verdana" w:eastAsia="Calibri" w:hAnsi="Verdana" w:cs="Arial"/>
          <w:i/>
          <w:iCs/>
          <w:color w:val="000000" w:themeColor="text1"/>
          <w:lang w:val="es-ES_tradnl"/>
        </w:rPr>
        <w:t xml:space="preserve"> a largo plazo</w:t>
      </w:r>
      <w:r w:rsidRPr="00F047DB">
        <w:rPr>
          <w:rFonts w:ascii="Verdana" w:eastAsia="Calibri" w:hAnsi="Verdana" w:cs="Arial"/>
          <w:color w:val="000000" w:themeColor="text1"/>
          <w:lang w:val="es-ES_tradnl"/>
        </w:rPr>
        <w:t xml:space="preserve"> y el </w:t>
      </w:r>
      <w:r w:rsidRPr="00F047DB">
        <w:rPr>
          <w:rFonts w:ascii="Verdana" w:eastAsia="Calibri" w:hAnsi="Verdana" w:cs="Arial"/>
          <w:i/>
          <w:iCs/>
          <w:color w:val="000000" w:themeColor="text1"/>
          <w:lang w:val="es-ES_tradnl"/>
        </w:rPr>
        <w:t>patrimonio</w:t>
      </w:r>
      <w:r w:rsidRPr="00F047DB">
        <w:rPr>
          <w:rFonts w:ascii="Verdana" w:eastAsia="Calibri" w:hAnsi="Verdana" w:cs="Arial"/>
          <w:color w:val="000000" w:themeColor="text1"/>
          <w:lang w:val="es-ES_tradnl"/>
        </w:rPr>
        <w:t>.</w:t>
      </w:r>
    </w:p>
    <w:p w14:paraId="536E73AA" w14:textId="77777777" w:rsidR="00DE32BB" w:rsidRDefault="00DE32BB" w:rsidP="00DE32BB">
      <w:pPr>
        <w:spacing w:after="120" w:line="276" w:lineRule="auto"/>
        <w:ind w:firstLine="709"/>
        <w:jc w:val="both"/>
        <w:rPr>
          <w:rFonts w:ascii="Verdana" w:hAnsi="Verdana" w:cs="Arial"/>
          <w:color w:val="000000"/>
          <w:lang w:val="es-ES_tradnl"/>
        </w:rPr>
      </w:pPr>
      <w:r w:rsidRPr="006C0DB0">
        <w:rPr>
          <w:rFonts w:ascii="Verdana" w:hAnsi="Verdana" w:cs="Arial"/>
          <w:color w:val="000000"/>
          <w:lang w:val="es-ES_tradnl"/>
        </w:rPr>
        <w:t>Para lograr la reactivación económica, ante la crisis generada por la pandemia del COVID-19, el gobierno nacional expidió el Decreto 399 de 2021, mediante el cual se establec</w:t>
      </w:r>
      <w:r>
        <w:rPr>
          <w:rFonts w:ascii="Verdana" w:hAnsi="Verdana" w:cs="Arial"/>
          <w:color w:val="000000"/>
          <w:lang w:val="es-ES_tradnl"/>
        </w:rPr>
        <w:t>ieron</w:t>
      </w:r>
      <w:r w:rsidRPr="006C0DB0">
        <w:rPr>
          <w:rFonts w:ascii="Verdana" w:hAnsi="Verdana" w:cs="Arial"/>
          <w:color w:val="000000"/>
          <w:lang w:val="es-ES_tradnl"/>
        </w:rPr>
        <w:t xml:space="preserve">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tener en cuenta los datos sobre la capacidad financiera y organizacional de los últimos tres años, consignada en el RUP</w:t>
      </w:r>
      <w:r w:rsidRPr="006C0DB0">
        <w:rPr>
          <w:rFonts w:ascii="Verdana" w:hAnsi="Verdana" w:cs="Arial"/>
          <w:color w:val="000000"/>
          <w:vertAlign w:val="superscript"/>
          <w:lang w:val="es-ES_tradnl"/>
        </w:rPr>
        <w:footnoteReference w:id="1"/>
      </w:r>
      <w:r w:rsidRPr="006C0DB0">
        <w:rPr>
          <w:rFonts w:ascii="Verdana" w:hAnsi="Verdana" w:cs="Arial"/>
          <w:color w:val="000000"/>
          <w:lang w:val="es-ES_tradnl"/>
        </w:rPr>
        <w:t xml:space="preserve">. </w:t>
      </w:r>
    </w:p>
    <w:p w14:paraId="4F581A4C" w14:textId="77777777" w:rsidR="00DE32BB" w:rsidRPr="00C9273F" w:rsidRDefault="00DE32BB" w:rsidP="00DE32BB">
      <w:pPr>
        <w:spacing w:after="120" w:line="276" w:lineRule="auto"/>
        <w:ind w:firstLine="709"/>
        <w:jc w:val="both"/>
        <w:rPr>
          <w:rFonts w:ascii="Verdana" w:eastAsia="Calibri" w:hAnsi="Verdana" w:cs="Arial"/>
          <w:color w:val="000000" w:themeColor="text1"/>
          <w:lang w:val="es-ES_tradnl"/>
        </w:rPr>
      </w:pPr>
      <w:r w:rsidRPr="006C0DB0">
        <w:rPr>
          <w:rFonts w:ascii="Verdana" w:hAnsi="Verdana" w:cs="Arial"/>
          <w:color w:val="000000"/>
          <w:lang w:val="es-ES_tradnl"/>
        </w:rPr>
        <w:t xml:space="preserve">Así lo justifica textualmente el reglamento mencionado, en sus consideraciones cuando manifiesta que </w:t>
      </w:r>
      <w:r w:rsidRPr="006C0DB0">
        <w:rPr>
          <w:rFonts w:ascii="Verdana" w:hAnsi="Verdana" w:cs="Arial"/>
          <w:i/>
          <w:iCs/>
          <w:color w:val="000000"/>
          <w:lang w:val="es-ES_tradnl"/>
        </w:rPr>
        <w:t>“</w:t>
      </w:r>
      <w:r w:rsidRPr="006C0DB0">
        <w:rPr>
          <w:rFonts w:ascii="Verdana" w:hAnsi="Verdana" w:cs="Arial"/>
          <w:color w:val="000000"/>
          <w:lang w:val="es-ES_tradnl"/>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Pr="006C0DB0">
        <w:rPr>
          <w:rFonts w:ascii="Verdana" w:hAnsi="Verdana" w:cs="Arial"/>
          <w:i/>
          <w:iCs/>
        </w:rPr>
        <w:t xml:space="preserve">”. </w:t>
      </w:r>
    </w:p>
    <w:p w14:paraId="01F5B1C6" w14:textId="77777777" w:rsidR="00DE32BB" w:rsidRPr="006C0DB0" w:rsidRDefault="00DE32BB" w:rsidP="00DE32BB">
      <w:pPr>
        <w:spacing w:after="120" w:line="276" w:lineRule="auto"/>
        <w:ind w:firstLine="708"/>
        <w:jc w:val="both"/>
        <w:rPr>
          <w:rFonts w:ascii="Verdana" w:hAnsi="Verdana" w:cs="Arial"/>
          <w:i/>
          <w:iCs/>
          <w:color w:val="000000"/>
          <w:lang w:val="es-ES_tradnl"/>
        </w:rPr>
      </w:pPr>
      <w:r w:rsidRPr="006C0DB0">
        <w:rPr>
          <w:rFonts w:ascii="Verdana" w:hAnsi="Verdana" w:cs="Arial"/>
          <w:color w:val="000000"/>
          <w:lang w:val="es-ES_tradnl"/>
        </w:rPr>
        <w:t>En tal sentido, el artículo 4 del Decreto 399 de 2021 adicionó dos parágrafos transitorios al artículo 2.2.1.1.1.5.2 del Decreto 1082 de 2015, que a su vez fueron sustituidos por el artículo 1 del Decreto 579 del 31 de mayo de 2021</w:t>
      </w:r>
      <w:r w:rsidRPr="006C0DB0">
        <w:rPr>
          <w:rFonts w:ascii="Verdana" w:hAnsi="Verdana" w:cs="Arial"/>
          <w:color w:val="000000"/>
          <w:vertAlign w:val="superscript"/>
          <w:lang w:val="es-ES_tradnl"/>
        </w:rPr>
        <w:footnoteReference w:id="2"/>
      </w:r>
      <w:r w:rsidRPr="006C0DB0">
        <w:rPr>
          <w:rFonts w:ascii="Verdana" w:hAnsi="Verdana" w:cs="Arial"/>
          <w:color w:val="000000"/>
          <w:lang w:val="es-ES_tradnl"/>
        </w:rPr>
        <w:t xml:space="preserve"> y posteriormente se adicionó un parágrafo transitorio adicional al artículo 2.2.1.1.1.5.2 del Decreto 1082 de 2015 por el artículo 1 del </w:t>
      </w:r>
      <w:r w:rsidRPr="006C0DB0">
        <w:rPr>
          <w:rFonts w:ascii="Verdana" w:hAnsi="Verdana" w:cs="Arial"/>
        </w:rPr>
        <w:t>Decreto 1041 de 2022.</w:t>
      </w:r>
    </w:p>
    <w:p w14:paraId="49B1BC71" w14:textId="77777777" w:rsidR="00DE32BB" w:rsidRPr="006C0DB0" w:rsidRDefault="00DE32BB" w:rsidP="00DE32BB">
      <w:pPr>
        <w:spacing w:after="120" w:line="276" w:lineRule="auto"/>
        <w:ind w:firstLine="709"/>
        <w:jc w:val="both"/>
        <w:rPr>
          <w:rFonts w:ascii="Verdana" w:hAnsi="Verdana" w:cs="Arial"/>
          <w:i/>
          <w:iCs/>
          <w:color w:val="000000"/>
          <w:lang w:val="es-ES_tradnl"/>
        </w:rPr>
      </w:pPr>
      <w:r w:rsidRPr="006C0DB0">
        <w:rPr>
          <w:rFonts w:ascii="Verdana" w:hAnsi="Verdana" w:cs="Arial"/>
          <w:color w:val="000000"/>
          <w:lang w:val="es-ES_tradnl"/>
        </w:rPr>
        <w:t xml:space="preserve">El </w:t>
      </w:r>
      <w:r w:rsidRPr="006C0DB0">
        <w:rPr>
          <w:rFonts w:ascii="Verdana" w:hAnsi="Verdana" w:cs="Arial"/>
          <w:i/>
          <w:iCs/>
          <w:color w:val="000000"/>
          <w:lang w:val="es-ES_tradnl"/>
        </w:rPr>
        <w:t>parágrafo transitorio 1</w:t>
      </w:r>
      <w:r w:rsidRPr="006C0DB0">
        <w:rPr>
          <w:rFonts w:ascii="Verdana" w:hAnsi="Verdana" w:cs="Arial"/>
          <w:color w:val="000000"/>
          <w:lang w:val="es-ES_tradnl"/>
        </w:rPr>
        <w:t xml:space="preserve">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429707C8" w14:textId="77777777" w:rsidR="00DE32BB" w:rsidRPr="006C0DB0" w:rsidRDefault="00DE32BB" w:rsidP="00DE32BB">
      <w:pPr>
        <w:spacing w:after="120" w:line="276" w:lineRule="auto"/>
        <w:ind w:firstLine="709"/>
        <w:jc w:val="both"/>
        <w:rPr>
          <w:rFonts w:ascii="Verdana" w:hAnsi="Verdana" w:cs="Arial"/>
          <w:i/>
          <w:color w:val="000000"/>
          <w:lang w:val="es-ES_tradnl"/>
        </w:rPr>
      </w:pPr>
      <w:r w:rsidRPr="006C0DB0">
        <w:rPr>
          <w:rFonts w:ascii="Verdana" w:hAnsi="Verdana" w:cs="Arial"/>
          <w:color w:val="000000"/>
          <w:lang w:val="es-ES_tradnl"/>
        </w:rPr>
        <w:t xml:space="preserve">El </w:t>
      </w:r>
      <w:r w:rsidRPr="006C0DB0">
        <w:rPr>
          <w:rFonts w:ascii="Verdana" w:hAnsi="Verdana" w:cs="Arial"/>
          <w:i/>
          <w:iCs/>
          <w:color w:val="000000"/>
          <w:lang w:val="es-ES_tradnl"/>
        </w:rPr>
        <w:t>parágrafo transitorio 2</w:t>
      </w:r>
      <w:r w:rsidRPr="006C0DB0">
        <w:rPr>
          <w:rFonts w:ascii="Verdana" w:hAnsi="Verdana" w:cs="Arial"/>
          <w:color w:val="000000"/>
          <w:lang w:val="es-ES_tradnl"/>
        </w:rPr>
        <w:t xml:space="preserve"> señala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14:paraId="37124E23" w14:textId="77777777" w:rsidR="00DE32BB" w:rsidRPr="006C0DB0" w:rsidRDefault="00DE32BB" w:rsidP="00DE32BB">
      <w:pPr>
        <w:spacing w:after="120" w:line="276" w:lineRule="auto"/>
        <w:ind w:firstLine="709"/>
        <w:jc w:val="both"/>
        <w:rPr>
          <w:rFonts w:ascii="Verdana" w:hAnsi="Verdana" w:cs="Arial"/>
          <w:i/>
          <w:color w:val="000000"/>
          <w:lang w:val="es-ES_tradnl"/>
        </w:rPr>
      </w:pPr>
      <w:r w:rsidRPr="006C0DB0">
        <w:rPr>
          <w:rFonts w:ascii="Verdana" w:hAnsi="Verdana" w:cs="Arial"/>
          <w:color w:val="000000"/>
          <w:lang w:val="es-ES_tradnl"/>
        </w:rPr>
        <w:t xml:space="preserve">En igual sentido, </w:t>
      </w:r>
      <w:r w:rsidRPr="006C0DB0">
        <w:rPr>
          <w:rFonts w:ascii="Verdana" w:hAnsi="Verdana" w:cs="Arial"/>
          <w:i/>
          <w:iCs/>
          <w:color w:val="000000"/>
          <w:lang w:val="es-ES_tradnl"/>
        </w:rPr>
        <w:t xml:space="preserve">el parágrafo transitorio 3 </w:t>
      </w:r>
      <w:r w:rsidRPr="006C0DB0">
        <w:rPr>
          <w:rFonts w:ascii="Verdana" w:hAnsi="Verdana" w:cs="Arial"/>
          <w:color w:val="000000"/>
          <w:lang w:val="es-ES_tradnl"/>
        </w:rPr>
        <w:t xml:space="preserve">–incluido por el </w:t>
      </w:r>
      <w:r w:rsidRPr="006C0DB0">
        <w:rPr>
          <w:rFonts w:ascii="Verdana" w:hAnsi="Verdana" w:cs="Arial"/>
        </w:rPr>
        <w:t>Decreto 1041 de 2022–</w:t>
      </w:r>
      <w:r w:rsidRPr="006C0DB0">
        <w:rPr>
          <w:rFonts w:ascii="Verdana" w:hAnsi="Verdana" w:cs="Arial"/>
          <w:i/>
          <w:iCs/>
        </w:rPr>
        <w:t xml:space="preserve"> </w:t>
      </w:r>
      <w:r w:rsidRPr="006C0DB0">
        <w:rPr>
          <w:rFonts w:ascii="Verdana" w:hAnsi="Verdana" w:cs="Arial"/>
        </w:rPr>
        <w:t xml:space="preserve">mantuvo la anterior medida para el año 2023, permitiendo que para </w:t>
      </w:r>
      <w:r w:rsidRPr="006C0DB0">
        <w:rPr>
          <w:rFonts w:ascii="Verdana" w:hAnsi="Verdana" w:cs="Arial"/>
          <w:color w:val="000000"/>
          <w:lang w:val="es-ES_tradnl"/>
        </w:rPr>
        <w:t xml:space="preserve">la inscripción en el RUP o para su renovación, el interesado pueda reportar la información contable y los estados financieros de los tres últimos años fiscales. </w:t>
      </w:r>
    </w:p>
    <w:p w14:paraId="544C5D52" w14:textId="77777777" w:rsidR="00DE32BB" w:rsidRPr="006C0DB0" w:rsidRDefault="00DE32BB" w:rsidP="00DE32BB">
      <w:pPr>
        <w:spacing w:after="120" w:line="276" w:lineRule="auto"/>
        <w:ind w:firstLine="709"/>
        <w:jc w:val="both"/>
        <w:rPr>
          <w:rFonts w:ascii="Verdana" w:hAnsi="Verdana" w:cs="Arial"/>
          <w:color w:val="000000"/>
          <w:lang w:val="es-ES_tradnl"/>
        </w:rPr>
      </w:pPr>
      <w:r w:rsidRPr="006C0DB0">
        <w:rPr>
          <w:rFonts w:ascii="Verdana" w:hAnsi="Verdana" w:cs="Arial"/>
          <w:color w:val="000000"/>
          <w:lang w:val="es-ES_tradnl"/>
        </w:rPr>
        <w:t xml:space="preserve">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6C0DB0">
        <w:rPr>
          <w:rFonts w:ascii="Verdana" w:hAnsi="Verdana" w:cs="Arial"/>
          <w:i/>
          <w:iCs/>
          <w:color w:val="000000"/>
          <w:lang w:val="es-ES_tradnl"/>
        </w:rPr>
        <w:t>“</w:t>
      </w:r>
      <w:r w:rsidRPr="006C0DB0">
        <w:rPr>
          <w:rFonts w:ascii="Verdana" w:hAnsi="Verdana" w:cs="Arial"/>
          <w:color w:val="000000"/>
          <w:lang w:val="es-ES_tradnl"/>
        </w:rPr>
        <w:t>[…]</w:t>
      </w:r>
      <w:r w:rsidRPr="006C0DB0">
        <w:rPr>
          <w:rFonts w:ascii="Verdana" w:hAnsi="Verdana" w:cs="Arial"/>
          <w:i/>
          <w:iCs/>
          <w:color w:val="000000"/>
          <w:lang w:val="es-ES_tradnl"/>
        </w:rPr>
        <w:t xml:space="preserve"> </w:t>
      </w:r>
      <w:r w:rsidRPr="006C0DB0">
        <w:rPr>
          <w:rFonts w:ascii="Verdana" w:hAnsi="Verdana" w:cs="Arial"/>
          <w:color w:val="00000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006C0DB0">
        <w:rPr>
          <w:rFonts w:ascii="Verdana" w:hAnsi="Verdana" w:cs="Arial"/>
          <w:i/>
          <w:iCs/>
          <w:color w:val="000000"/>
          <w:lang w:val="es-ES_tradnl"/>
        </w:rPr>
        <w:t>”</w:t>
      </w:r>
      <w:r w:rsidRPr="006C0DB0">
        <w:rPr>
          <w:rFonts w:ascii="Verdana" w:hAnsi="Verdana" w:cs="Arial"/>
          <w:color w:val="000000"/>
          <w:lang w:val="es-ES_tradnl"/>
        </w:rPr>
        <w:t>. Para esto, las cámaras de comercio, a partir del 1 de julio de 2021, “certificarán la información de que tratan los parágrafos transitorios 1 y 2 del artículo 2.2.1.1.1.5.2. de este Decreto</w:t>
      </w:r>
      <w:r w:rsidRPr="006C0DB0">
        <w:rPr>
          <w:rFonts w:ascii="Verdana" w:hAnsi="Verdana" w:cs="Arial"/>
          <w:i/>
          <w:iCs/>
          <w:color w:val="000000"/>
          <w:lang w:val="es-ES_tradnl"/>
        </w:rPr>
        <w:t>”.</w:t>
      </w:r>
      <w:r w:rsidRPr="006C0DB0">
        <w:rPr>
          <w:rFonts w:ascii="Verdana" w:hAnsi="Verdana" w:cs="Arial"/>
          <w:color w:val="000000"/>
          <w:lang w:val="es-ES_tradnl"/>
        </w:rPr>
        <w:t xml:space="preserve"> Los requisitos e indicadores de la capacidad financiera consagrados en el literal b) del artículo 2.2.1.1.1.5.6 del Decreto 1082 de 2015 son: i) el índice de liquidez, </w:t>
      </w:r>
      <w:proofErr w:type="spellStart"/>
      <w:r w:rsidRPr="006C0DB0">
        <w:rPr>
          <w:rFonts w:ascii="Verdana" w:hAnsi="Verdana" w:cs="Arial"/>
          <w:color w:val="000000"/>
          <w:lang w:val="es-ES_tradnl"/>
        </w:rPr>
        <w:t>ii</w:t>
      </w:r>
      <w:proofErr w:type="spellEnd"/>
      <w:r w:rsidRPr="006C0DB0">
        <w:rPr>
          <w:rFonts w:ascii="Verdana" w:hAnsi="Verdana" w:cs="Arial"/>
          <w:color w:val="000000"/>
          <w:lang w:val="es-ES_tradnl"/>
        </w:rPr>
        <w:t xml:space="preserve">) el índice de endeudamiento y </w:t>
      </w:r>
      <w:proofErr w:type="spellStart"/>
      <w:r w:rsidRPr="006C0DB0">
        <w:rPr>
          <w:rFonts w:ascii="Verdana" w:hAnsi="Verdana" w:cs="Arial"/>
          <w:color w:val="000000"/>
          <w:lang w:val="es-ES_tradnl"/>
        </w:rPr>
        <w:t>iii</w:t>
      </w:r>
      <w:proofErr w:type="spellEnd"/>
      <w:r w:rsidRPr="006C0DB0">
        <w:rPr>
          <w:rFonts w:ascii="Verdana" w:hAnsi="Verdana" w:cs="Arial"/>
          <w:color w:val="000000"/>
          <w:lang w:val="es-ES_tradnl"/>
        </w:rPr>
        <w:t xml:space="preserve">) la razón de cobertura de intereses. Los requisitos e indicadores de capacidad organizacional son: i) la rentabilidad del patrimonio y </w:t>
      </w:r>
      <w:proofErr w:type="spellStart"/>
      <w:r w:rsidRPr="006C0DB0">
        <w:rPr>
          <w:rFonts w:ascii="Verdana" w:hAnsi="Verdana" w:cs="Arial"/>
          <w:color w:val="000000"/>
          <w:lang w:val="es-ES_tradnl"/>
        </w:rPr>
        <w:t>ii</w:t>
      </w:r>
      <w:proofErr w:type="spellEnd"/>
      <w:r w:rsidRPr="006C0DB0">
        <w:rPr>
          <w:rFonts w:ascii="Verdana" w:hAnsi="Verdana" w:cs="Arial"/>
          <w:color w:val="000000"/>
          <w:lang w:val="es-ES_tradnl"/>
        </w:rPr>
        <w:t>) la rentabilidad del activo.</w:t>
      </w:r>
    </w:p>
    <w:p w14:paraId="10A4ED02" w14:textId="77777777" w:rsidR="00DE32BB" w:rsidRPr="006C0DB0" w:rsidRDefault="00DE32BB" w:rsidP="00DE32BB">
      <w:pPr>
        <w:spacing w:after="120" w:line="276" w:lineRule="auto"/>
        <w:ind w:firstLine="709"/>
        <w:jc w:val="both"/>
        <w:rPr>
          <w:rFonts w:ascii="Verdana" w:hAnsi="Verdana" w:cs="Arial"/>
          <w:i/>
          <w:iCs/>
          <w:color w:val="000000"/>
          <w:lang w:val="es-ES_tradnl"/>
        </w:rPr>
      </w:pPr>
      <w:r w:rsidRPr="006C0DB0">
        <w:rPr>
          <w:rFonts w:ascii="Verdana" w:hAnsi="Verdana" w:cs="Arial"/>
          <w:color w:val="000000"/>
          <w:lang w:val="es-ES_tradnl"/>
        </w:rPr>
        <w:t xml:space="preserve">Posteriormente, el segundo parágrafo transitorio del artículo 2.2.1.1.1.5.6 del Decreto 1082 de 2015, modificado por el artículo 2 del Decreto 1041 del 21 de junio 2022 dispone que </w:t>
      </w:r>
      <w:r w:rsidRPr="006C0DB0">
        <w:rPr>
          <w:rFonts w:ascii="Verdana" w:hAnsi="Verdana" w:cs="Arial"/>
          <w:i/>
          <w:iCs/>
          <w:color w:val="000000"/>
          <w:lang w:val="es-ES_tradnl"/>
        </w:rPr>
        <w:t>“</w:t>
      </w:r>
      <w:r w:rsidRPr="006C0DB0">
        <w:rPr>
          <w:rFonts w:ascii="Verdana" w:hAnsi="Verdana" w:cs="Arial"/>
          <w:color w:val="000000"/>
          <w:lang w:val="es-ES_tradnl"/>
        </w:rPr>
        <w:t xml:space="preserve">El proponente que cuente con inscripción activa y vigente en el RUP, que reporte la información de la capacidad financiera y organizacional, señalada en los parágrafos transitorios 1, 2 </w:t>
      </w:r>
      <w:r>
        <w:rPr>
          <w:rFonts w:ascii="Verdana" w:hAnsi="Verdana" w:cs="Arial"/>
          <w:color w:val="000000"/>
          <w:lang w:val="es-ES_tradnl"/>
        </w:rPr>
        <w:t>y</w:t>
      </w:r>
      <w:r w:rsidRPr="006C0DB0">
        <w:rPr>
          <w:rFonts w:ascii="Verdana" w:hAnsi="Verdana" w:cs="Arial"/>
          <w:color w:val="000000"/>
          <w:lang w:val="es-ES_tradnl"/>
        </w:rPr>
        <w:t xml:space="preserve"> 3 del artículo 2.2.1.1.1.5.2 del presente Decreto, deberá presentarla en el formato unificado que las cámaras de comercio dispongan para tal efecto</w:t>
      </w:r>
      <w:r w:rsidRPr="006C0DB0">
        <w:rPr>
          <w:rFonts w:ascii="Verdana" w:hAnsi="Verdana" w:cs="Arial"/>
          <w:i/>
          <w:iCs/>
          <w:color w:val="000000"/>
          <w:lang w:val="es-ES_tradnl"/>
        </w:rPr>
        <w:t xml:space="preserve">”. </w:t>
      </w:r>
      <w:r w:rsidRPr="006C0DB0">
        <w:rPr>
          <w:rFonts w:ascii="Verdana" w:hAnsi="Verdana" w:cs="Arial"/>
          <w:color w:val="000000"/>
          <w:lang w:val="es-ES_tradnl"/>
        </w:rPr>
        <w:t>Como se observa, las normas anteriormente transcritas disponen que:</w:t>
      </w:r>
    </w:p>
    <w:p w14:paraId="22250D84" w14:textId="77777777" w:rsidR="00DE32BB" w:rsidRPr="006C0DB0" w:rsidRDefault="00DE32BB" w:rsidP="00DE32BB">
      <w:pPr>
        <w:spacing w:after="120" w:line="276" w:lineRule="auto"/>
        <w:ind w:firstLine="708"/>
        <w:jc w:val="both"/>
        <w:rPr>
          <w:rFonts w:ascii="Verdana" w:hAnsi="Verdana" w:cs="Arial"/>
          <w:i/>
          <w:iCs/>
          <w:color w:val="000000"/>
          <w:lang w:val="es-ES_tradnl"/>
        </w:rPr>
      </w:pPr>
      <w:r w:rsidRPr="006C0DB0">
        <w:rPr>
          <w:rFonts w:ascii="Verdana" w:hAnsi="Verdana" w:cs="Arial"/>
          <w:color w:val="000000"/>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028445BE" w14:textId="77777777" w:rsidR="00DE32BB" w:rsidRPr="006C0DB0" w:rsidRDefault="00DE32BB" w:rsidP="00DE32BB">
      <w:pPr>
        <w:spacing w:after="120" w:line="276" w:lineRule="auto"/>
        <w:ind w:firstLine="709"/>
        <w:jc w:val="both"/>
        <w:rPr>
          <w:rFonts w:ascii="Verdana" w:hAnsi="Verdana" w:cs="Arial"/>
          <w:i/>
          <w:color w:val="000000"/>
          <w:lang w:val="es-ES_tradnl"/>
        </w:rPr>
      </w:pPr>
      <w:proofErr w:type="spellStart"/>
      <w:r w:rsidRPr="006C0DB0">
        <w:rPr>
          <w:rFonts w:ascii="Verdana" w:hAnsi="Verdana" w:cs="Arial"/>
          <w:color w:val="000000"/>
          <w:lang w:val="es-ES_tradnl"/>
        </w:rPr>
        <w:t>ii</w:t>
      </w:r>
      <w:proofErr w:type="spellEnd"/>
      <w:r w:rsidRPr="006C0DB0">
        <w:rPr>
          <w:rFonts w:ascii="Verdana" w:hAnsi="Verdana" w:cs="Arial"/>
          <w:color w:val="000000"/>
          <w:lang w:val="es-ES_tradnl"/>
        </w:rPr>
        <w:t>)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277433C3" w14:textId="77777777" w:rsidR="00DE32BB" w:rsidRPr="006C0DB0" w:rsidRDefault="00DE32BB" w:rsidP="00DE32BB">
      <w:pPr>
        <w:spacing w:after="120" w:line="276" w:lineRule="auto"/>
        <w:ind w:firstLine="708"/>
        <w:jc w:val="both"/>
        <w:rPr>
          <w:rFonts w:ascii="Verdana" w:hAnsi="Verdana" w:cs="Arial"/>
          <w:i/>
          <w:color w:val="000000"/>
          <w:lang w:val="es-ES_tradnl"/>
        </w:rPr>
      </w:pPr>
      <w:proofErr w:type="spellStart"/>
      <w:r w:rsidRPr="006C0DB0">
        <w:rPr>
          <w:rFonts w:ascii="Verdana" w:hAnsi="Verdana" w:cs="Arial"/>
          <w:color w:val="000000"/>
          <w:lang w:val="es-ES_tradnl"/>
        </w:rPr>
        <w:t>iii</w:t>
      </w:r>
      <w:proofErr w:type="spellEnd"/>
      <w:r w:rsidRPr="006C0DB0">
        <w:rPr>
          <w:rFonts w:ascii="Verdana" w:hAnsi="Verdana" w:cs="Arial"/>
          <w:color w:val="000000"/>
          <w:lang w:val="es-ES_tradnl"/>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2FF279FD" w14:textId="77777777" w:rsidR="00DE32BB" w:rsidRPr="006C0DB0" w:rsidRDefault="00DE32BB" w:rsidP="00DE32BB">
      <w:pPr>
        <w:spacing w:after="120" w:line="276" w:lineRule="auto"/>
        <w:ind w:firstLine="708"/>
        <w:jc w:val="both"/>
        <w:rPr>
          <w:rFonts w:ascii="Verdana" w:hAnsi="Verdana" w:cs="Arial"/>
          <w:i/>
          <w:iCs/>
          <w:color w:val="000000"/>
          <w:lang w:val="es-ES_tradnl"/>
        </w:rPr>
      </w:pPr>
      <w:proofErr w:type="spellStart"/>
      <w:r w:rsidRPr="006C0DB0">
        <w:rPr>
          <w:rFonts w:ascii="Verdana" w:hAnsi="Verdana" w:cs="Arial"/>
          <w:color w:val="000000"/>
          <w:lang w:val="es-ES_tradnl"/>
        </w:rPr>
        <w:t>iv</w:t>
      </w:r>
      <w:proofErr w:type="spellEnd"/>
      <w:r w:rsidRPr="006C0DB0">
        <w:rPr>
          <w:rFonts w:ascii="Verdana" w:hAnsi="Verdana" w:cs="Arial"/>
          <w:color w:val="000000"/>
          <w:lang w:val="es-ES_tradnl"/>
        </w:rPr>
        <w:t xml:space="preserve">) A partir de la fecha establecida anteriormente, la evaluación de los indicadores de capacidad financiera –índice de liquidez, índice de endeudamiento y razón de cobertura de intereses– y organizacional –rentabilidad del patrimonio y rentabilidad del activo–, se deberá realizar por parte de las entidades estatales “teniendo en cuenta </w:t>
      </w:r>
      <w:r w:rsidRPr="006C0DB0">
        <w:rPr>
          <w:rFonts w:ascii="Verdana" w:hAnsi="Verdana" w:cs="Arial"/>
          <w:i/>
          <w:iCs/>
          <w:color w:val="000000"/>
          <w:lang w:val="es-ES_tradnl"/>
        </w:rPr>
        <w:t>el mejor año fiscal que se refleje en el registro</w:t>
      </w:r>
      <w:r w:rsidRPr="006C0DB0">
        <w:rPr>
          <w:rFonts w:ascii="Verdana" w:hAnsi="Verdana" w:cs="Arial"/>
          <w:color w:val="000000"/>
          <w:lang w:val="es-ES_tradnl"/>
        </w:rPr>
        <w:t xml:space="preserve"> de cada proponente” (Énfasis fuera de texto). </w:t>
      </w:r>
    </w:p>
    <w:p w14:paraId="043EA798" w14:textId="77777777" w:rsidR="00DE32BB" w:rsidRPr="006C0DB0" w:rsidRDefault="00DE32BB" w:rsidP="00DE32BB">
      <w:pPr>
        <w:spacing w:after="120" w:line="276" w:lineRule="auto"/>
        <w:ind w:firstLine="708"/>
        <w:jc w:val="both"/>
        <w:rPr>
          <w:rFonts w:ascii="Verdana" w:hAnsi="Verdana" w:cs="Arial"/>
          <w:i/>
          <w:iCs/>
          <w:color w:val="000000"/>
          <w:lang w:val="es-ES_tradnl"/>
        </w:rPr>
      </w:pPr>
      <w:r w:rsidRPr="006C0DB0">
        <w:rPr>
          <w:rFonts w:ascii="Verdana" w:hAnsi="Verdana" w:cs="Arial"/>
          <w:color w:val="000000"/>
          <w:lang w:val="es-ES_tradnl"/>
        </w:rPr>
        <w:t>v) Dichas medidas se mant</w:t>
      </w:r>
      <w:r>
        <w:rPr>
          <w:rFonts w:ascii="Verdana" w:hAnsi="Verdana" w:cs="Arial"/>
          <w:color w:val="000000"/>
          <w:lang w:val="es-ES_tradnl"/>
        </w:rPr>
        <w:t xml:space="preserve">uvieron </w:t>
      </w:r>
      <w:r w:rsidRPr="006C0DB0">
        <w:rPr>
          <w:rFonts w:ascii="Verdana" w:hAnsi="Verdana" w:cs="Arial"/>
          <w:color w:val="000000"/>
          <w:lang w:val="es-ES_tradnl"/>
        </w:rPr>
        <w:t>hasta el año 2023 en virtud de lo consagrado en el Decreto 1041 de 2022.</w:t>
      </w:r>
    </w:p>
    <w:p w14:paraId="72B02D09" w14:textId="77777777" w:rsidR="00DE32BB" w:rsidRPr="006C0DB0" w:rsidRDefault="00DE32BB" w:rsidP="00DE32BB">
      <w:pPr>
        <w:spacing w:after="120" w:line="276" w:lineRule="auto"/>
        <w:ind w:firstLine="709"/>
        <w:jc w:val="both"/>
        <w:rPr>
          <w:rFonts w:ascii="Verdana" w:hAnsi="Verdana" w:cs="Arial"/>
          <w:color w:val="000000"/>
          <w:lang w:val="es-ES_tradnl"/>
        </w:rPr>
      </w:pPr>
      <w:r w:rsidRPr="006C0DB0">
        <w:rPr>
          <w:rFonts w:ascii="Verdana" w:hAnsi="Verdana" w:cs="Arial"/>
          <w:color w:val="000000"/>
          <w:lang w:val="es-ES_tradnl"/>
        </w:rPr>
        <w:t xml:space="preserve">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6C0DB0">
        <w:rPr>
          <w:rFonts w:ascii="Verdana" w:hAnsi="Verdana" w:cs="Arial"/>
        </w:rPr>
        <w:t>Decreto 1041 de 2022</w:t>
      </w:r>
      <w:r w:rsidRPr="006C0DB0">
        <w:rPr>
          <w:rFonts w:ascii="Verdana" w:hAnsi="Verdana" w:cs="Arial"/>
          <w:color w:val="000000"/>
          <w:lang w:val="es-ES_tradnl"/>
        </w:rPr>
        <w:t>, establece que “[…] las Entidades Estatales evaluarán estos indicadores, teniendo en cuenta el mejor año fiscal que se refleje en el registro de cada proponente</w:t>
      </w:r>
      <w:r w:rsidRPr="006C0DB0">
        <w:rPr>
          <w:rFonts w:ascii="Verdana" w:hAnsi="Verdana" w:cs="Arial"/>
          <w:i/>
          <w:iCs/>
          <w:color w:val="000000"/>
          <w:lang w:val="es-ES_tradnl"/>
        </w:rPr>
        <w:t xml:space="preserve">”, </w:t>
      </w:r>
      <w:r w:rsidRPr="006C0DB0">
        <w:rPr>
          <w:rFonts w:ascii="Verdana" w:hAnsi="Verdana" w:cs="Arial"/>
          <w:color w:val="000000"/>
          <w:lang w:val="es-ES_tradnl"/>
        </w:rPr>
        <w:t>significa que deben examinar los años certificados en el RUP y escoger para ser evaluado el que refleje mejores indicadores de capacidad financiera y organizacional, que permita al proponente cumplir con dichos requisitos habilitantes.</w:t>
      </w:r>
    </w:p>
    <w:p w14:paraId="6BBCA2A9" w14:textId="77777777" w:rsidR="00DE32BB" w:rsidRPr="006C0DB0" w:rsidRDefault="00DE32BB" w:rsidP="00DE32BB">
      <w:pPr>
        <w:spacing w:after="0" w:line="276" w:lineRule="auto"/>
        <w:ind w:firstLine="708"/>
        <w:jc w:val="both"/>
        <w:rPr>
          <w:rFonts w:ascii="Verdana" w:hAnsi="Verdana" w:cs="Arial"/>
          <w:color w:val="000000"/>
          <w:lang w:val="es-ES_tradnl"/>
        </w:rPr>
      </w:pPr>
      <w:r w:rsidRPr="006C0DB0">
        <w:rPr>
          <w:rFonts w:ascii="Verdana" w:hAnsi="Verdana" w:cs="Arial"/>
          <w:color w:val="000000"/>
          <w:lang w:val="es-ES_tradnl"/>
        </w:rPr>
        <w:t xml:space="preserve">De la explicación anterior, se desprende que los parágrafos adicionados por </w:t>
      </w:r>
      <w:bookmarkStart w:id="2" w:name="_Hlk159846711"/>
      <w:r w:rsidRPr="006C0DB0">
        <w:rPr>
          <w:rFonts w:ascii="Verdana" w:hAnsi="Verdana" w:cs="Arial"/>
          <w:color w:val="000000"/>
          <w:lang w:val="es-ES_tradnl"/>
        </w:rPr>
        <w:t>los Decretos 399 de 2021, 579 de 2021 y 1041 de 2022</w:t>
      </w:r>
      <w:bookmarkEnd w:id="2"/>
      <w:r w:rsidRPr="006C0DB0">
        <w:rPr>
          <w:rFonts w:ascii="Verdana" w:hAnsi="Verdana" w:cs="Arial"/>
          <w:color w:val="000000"/>
          <w:lang w:val="es-ES_tradnl"/>
        </w:rPr>
        <w:t xml:space="preserve">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 Como explica la doctrina:</w:t>
      </w:r>
    </w:p>
    <w:p w14:paraId="3EB918EB" w14:textId="77777777" w:rsidR="00DE32BB" w:rsidRPr="006C0DB0" w:rsidRDefault="00DE32BB" w:rsidP="00DE32BB">
      <w:pPr>
        <w:spacing w:after="0" w:line="240" w:lineRule="auto"/>
        <w:ind w:firstLine="709"/>
        <w:jc w:val="both"/>
        <w:rPr>
          <w:rFonts w:ascii="Verdana" w:hAnsi="Verdana" w:cs="Arial"/>
          <w:color w:val="000000"/>
          <w:lang w:val="es-ES_tradnl"/>
        </w:rPr>
      </w:pPr>
    </w:p>
    <w:p w14:paraId="5DFDBC05" w14:textId="77777777" w:rsidR="00DE32BB" w:rsidRPr="006C0DB0" w:rsidRDefault="00DE32BB" w:rsidP="00DE32BB">
      <w:pPr>
        <w:spacing w:after="0" w:line="240" w:lineRule="auto"/>
        <w:ind w:left="709" w:right="709"/>
        <w:jc w:val="both"/>
        <w:rPr>
          <w:rFonts w:ascii="Verdana" w:hAnsi="Verdana" w:cs="Arial"/>
          <w:color w:val="000000"/>
          <w:sz w:val="20"/>
          <w:szCs w:val="20"/>
          <w:lang w:val="es-ES_tradnl"/>
        </w:rPr>
      </w:pPr>
      <w:r w:rsidRPr="006C0DB0">
        <w:rPr>
          <w:rFonts w:ascii="Verdana" w:hAnsi="Verdana" w:cs="Arial"/>
          <w:color w:val="000000"/>
          <w:sz w:val="20"/>
          <w:szCs w:val="20"/>
          <w:lang w:val="es-ES_tradnl"/>
        </w:rPr>
        <w:t xml:space="preserve">“Las normas temporales […] son aquéllas cuya vigencia expira automáticamente por el acaecimiento de un hecho futuro pero cierto o por el transcurso de un plazo, sin necesidad de acto alguno de contrario imperio, esto es, de declaración o producción de tales efectos extintivos, porque tienen acotada su vigencia por imperio de la disposición que la prescribe o de otra previa y de superior rango. Ello no </w:t>
      </w:r>
      <w:proofErr w:type="spellStart"/>
      <w:r w:rsidRPr="006C0DB0">
        <w:rPr>
          <w:rFonts w:ascii="Verdana" w:hAnsi="Verdana" w:cs="Arial"/>
          <w:color w:val="000000"/>
          <w:sz w:val="20"/>
          <w:szCs w:val="20"/>
          <w:lang w:val="es-ES_tradnl"/>
        </w:rPr>
        <w:t>empece</w:t>
      </w:r>
      <w:proofErr w:type="spellEnd"/>
      <w:r w:rsidRPr="006C0DB0">
        <w:rPr>
          <w:rFonts w:ascii="Verdana" w:hAnsi="Verdana" w:cs="Arial"/>
          <w:color w:val="000000"/>
          <w:sz w:val="20"/>
          <w:szCs w:val="20"/>
          <w:lang w:val="es-ES_tradnl"/>
        </w:rPr>
        <w:t xml:space="preserve"> para que estas normas vean prorrogada su vigencia más allá de dicho momento, pero es tal prórroga la que requerirá, en su caso, ser expresamente adoptada mediante disposición posterior y de igual o superior rango”</w:t>
      </w:r>
      <w:r w:rsidRPr="006C0DB0">
        <w:rPr>
          <w:rStyle w:val="Refdenotaalpie"/>
          <w:rFonts w:ascii="Verdana" w:hAnsi="Verdana" w:cs="Arial"/>
          <w:color w:val="000000"/>
          <w:sz w:val="20"/>
          <w:szCs w:val="20"/>
          <w:lang w:val="es-ES_tradnl"/>
        </w:rPr>
        <w:footnoteReference w:id="3"/>
      </w:r>
      <w:r w:rsidRPr="006C0DB0">
        <w:rPr>
          <w:rFonts w:ascii="Verdana" w:hAnsi="Verdana" w:cs="Arial"/>
          <w:color w:val="000000"/>
          <w:sz w:val="20"/>
          <w:szCs w:val="20"/>
          <w:lang w:val="es-ES_tradnl"/>
        </w:rPr>
        <w:t xml:space="preserve">.  </w:t>
      </w:r>
    </w:p>
    <w:p w14:paraId="6A23050C" w14:textId="77777777" w:rsidR="00DE32BB" w:rsidRPr="006C0DB0" w:rsidRDefault="00DE32BB" w:rsidP="00DE32BB">
      <w:pPr>
        <w:spacing w:after="0" w:line="276" w:lineRule="auto"/>
        <w:ind w:left="709" w:right="709"/>
        <w:jc w:val="both"/>
        <w:rPr>
          <w:rFonts w:ascii="Verdana" w:hAnsi="Verdana" w:cs="Arial"/>
          <w:color w:val="000000"/>
          <w:lang w:val="es-ES_tradnl"/>
        </w:rPr>
      </w:pPr>
    </w:p>
    <w:p w14:paraId="5C859984" w14:textId="77777777" w:rsidR="00DE32BB" w:rsidRPr="006C0DB0" w:rsidRDefault="00DE32BB" w:rsidP="00DE32BB">
      <w:pPr>
        <w:spacing w:after="120" w:line="276" w:lineRule="auto"/>
        <w:ind w:firstLine="708"/>
        <w:jc w:val="both"/>
        <w:rPr>
          <w:rFonts w:ascii="Verdana" w:hAnsi="Verdana" w:cs="Arial"/>
          <w:color w:val="000000"/>
          <w:lang w:val="es-ES_tradnl"/>
        </w:rPr>
      </w:pPr>
      <w:bookmarkStart w:id="3" w:name="_Hlk159847867"/>
      <w:r w:rsidRPr="006C0DB0">
        <w:rPr>
          <w:rFonts w:ascii="Verdana" w:hAnsi="Verdana" w:cs="Arial"/>
          <w:color w:val="000000"/>
          <w:lang w:val="es-ES_tradnl"/>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0C5F35F9" w14:textId="77777777" w:rsidR="00DE32BB" w:rsidRPr="006C0DB0" w:rsidRDefault="00DE32BB" w:rsidP="00DE32BB">
      <w:pPr>
        <w:spacing w:after="120" w:line="276" w:lineRule="auto"/>
        <w:ind w:firstLine="708"/>
        <w:jc w:val="both"/>
        <w:rPr>
          <w:rFonts w:ascii="Verdana" w:hAnsi="Verdana" w:cs="Arial"/>
          <w:iCs/>
          <w:color w:val="000000"/>
          <w:lang w:val="es-ES_tradnl"/>
        </w:rPr>
      </w:pPr>
      <w:r w:rsidRPr="006C0DB0">
        <w:rPr>
          <w:rFonts w:ascii="Verdana" w:hAnsi="Verdana" w:cs="Arial"/>
          <w:iCs/>
          <w:color w:val="000000"/>
          <w:lang w:val="es-ES_tradnl"/>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006C0DB0">
        <w:rPr>
          <w:rFonts w:ascii="Verdana" w:hAnsi="Verdana" w:cs="Arial"/>
          <w:i/>
          <w:color w:val="000000"/>
          <w:lang w:val="es-ES_tradnl"/>
        </w:rPr>
        <w:t>ibidem</w:t>
      </w:r>
      <w:r w:rsidRPr="006C0DB0">
        <w:rPr>
          <w:rFonts w:ascii="Verdana" w:hAnsi="Verdana" w:cs="Arial"/>
          <w:iCs/>
          <w:color w:val="000000"/>
          <w:lang w:val="es-ES_tradnl"/>
        </w:rPr>
        <w:t xml:space="preserve"> –adicionados por el art. 6 del Decreto 399 de 2021 y sustituido por el art. 3 del Decreto 579 de 2021– es inaplicable por sustracción de materia. En consecuencia, cesa la posibilidad de acreditar los indicadores de los numerales 3 y 4 artículo 2.2.1.1.1.5.3 </w:t>
      </w:r>
      <w:r w:rsidRPr="006C0DB0">
        <w:rPr>
          <w:rFonts w:ascii="Verdana" w:hAnsi="Verdana" w:cs="Arial"/>
          <w:i/>
          <w:color w:val="000000"/>
          <w:lang w:val="es-ES_tradnl"/>
        </w:rPr>
        <w:t>ibidem</w:t>
      </w:r>
      <w:r w:rsidRPr="006C0DB0">
        <w:rPr>
          <w:rFonts w:ascii="Verdana" w:hAnsi="Verdana" w:cs="Arial"/>
          <w:iCs/>
          <w:color w:val="000000"/>
          <w:lang w:val="es-ES_tradnl"/>
        </w:rPr>
        <w:t xml:space="preserve"> teniendo en cuenta el mejor año fiscal que se refleje en el registro de cada proponente.</w:t>
      </w:r>
    </w:p>
    <w:p w14:paraId="3BA63CD7" w14:textId="77777777" w:rsidR="00DE32BB" w:rsidRPr="006C0DB0" w:rsidRDefault="00DE32BB" w:rsidP="00DE32BB">
      <w:pPr>
        <w:spacing w:after="120" w:line="276" w:lineRule="auto"/>
        <w:ind w:firstLine="708"/>
        <w:jc w:val="both"/>
        <w:rPr>
          <w:rFonts w:ascii="Verdana" w:eastAsia="Calibri" w:hAnsi="Verdana" w:cs="Arial"/>
          <w:color w:val="000000"/>
          <w:lang w:val="es-ES_tradnl" w:eastAsia="es-ES_tradnl"/>
        </w:rPr>
      </w:pPr>
      <w:r w:rsidRPr="006C0DB0">
        <w:rPr>
          <w:rFonts w:ascii="Verdana" w:eastAsia="Calibri" w:hAnsi="Verdana" w:cs="Arial"/>
          <w:color w:val="000000"/>
          <w:lang w:val="es-ES_tradnl" w:eastAsia="es-ES_tradnl"/>
        </w:rPr>
        <w:t xml:space="preserve">Estas normas transitorias no perdieron su vigencia con la finalización de la emergencia sanitaria, pues el Decreto 1041 de 2022 –al prorrogar las medidas de los Decretos 399 y 579 de 2021– las extendió durante el 2023, vigencia fiscal que finalizó el 31 de diciembre </w:t>
      </w:r>
      <w:r>
        <w:rPr>
          <w:rFonts w:ascii="Verdana" w:eastAsia="Calibri" w:hAnsi="Verdana" w:cs="Arial"/>
          <w:color w:val="000000"/>
          <w:lang w:val="es-ES_tradnl" w:eastAsia="es-ES_tradnl"/>
        </w:rPr>
        <w:t>de la mencionada anualidad</w:t>
      </w:r>
      <w:r w:rsidRPr="006C0DB0">
        <w:rPr>
          <w:rFonts w:ascii="Verdana" w:eastAsia="Calibri" w:hAnsi="Verdana" w:cs="Arial"/>
          <w:color w:val="000000"/>
          <w:lang w:val="es-ES_tradnl" w:eastAsia="es-ES_tradnl"/>
        </w:rPr>
        <w:t>. En consecuencia, una interpretación razonable permite concluir que a partir de 2024 los indicadores deben acreditarse frete a la Cámara de Comercio conforme a las reglas de generales del Decreto Único Reglamentario del Sector de Planeación Nacional.</w:t>
      </w:r>
    </w:p>
    <w:bookmarkEnd w:id="3"/>
    <w:p w14:paraId="7378E476" w14:textId="77777777" w:rsidR="00DE32BB" w:rsidRDefault="00DE32BB" w:rsidP="00DE32BB">
      <w:pPr>
        <w:spacing w:after="120" w:line="276" w:lineRule="auto"/>
        <w:ind w:firstLine="709"/>
        <w:jc w:val="both"/>
        <w:rPr>
          <w:rFonts w:ascii="Verdana" w:eastAsia="Calibri" w:hAnsi="Verdana" w:cs="Arial"/>
          <w:color w:val="000000"/>
          <w:lang w:val="es-ES_tradnl" w:eastAsia="es-ES_tradnl"/>
        </w:rPr>
      </w:pPr>
      <w:r w:rsidRPr="006C0DB0">
        <w:rPr>
          <w:rFonts w:ascii="Verdana" w:eastAsia="Calibri" w:hAnsi="Verdana" w:cs="Arial"/>
          <w:color w:val="000000"/>
          <w:lang w:val="es-ES_tradnl" w:eastAsia="es-ES_tradnl"/>
        </w:rPr>
        <w:t>En ese sentido, debe tenerse en cuenta que –por no existir una norma que amplié a la vigencia 2024</w:t>
      </w:r>
      <w:r>
        <w:rPr>
          <w:rFonts w:ascii="Verdana" w:eastAsia="Calibri" w:hAnsi="Verdana" w:cs="Arial"/>
          <w:color w:val="000000"/>
          <w:lang w:val="es-ES_tradnl" w:eastAsia="es-ES_tradnl"/>
        </w:rPr>
        <w:t>, 2025 y 2026</w:t>
      </w:r>
      <w:r w:rsidRPr="006C0DB0">
        <w:rPr>
          <w:rFonts w:ascii="Verdana" w:eastAsia="Calibri" w:hAnsi="Verdana" w:cs="Arial"/>
          <w:color w:val="000000"/>
          <w:lang w:val="es-ES_tradnl" w:eastAsia="es-ES_tradnl"/>
        </w:rPr>
        <w:t xml:space="preserve"> las medidas adoptadas en los Decretos 399 y 579 de 2021 y el Decreto 1041 de 2022– aquellas personas que realicen la inscripción o renovación del Registro Único de Proponentes durante el presente año sólo podrán reportar ante las Cámaras de Comercio la información contable y los estados financieros del último año fiscal. Por tanto, la posibilidad que tenían los oferentes de acreditar el mejor año fiscal de los tres últimos registrados en el RUP finalizó el 2023. En consecuencia, las entidades deben estructurar la solicitud de indicadores financieros para sus procesos con referencia a lo dispuesto en los numerales 1.3 y 2.3 del artículo 2.2.1.1.1.5.2 del Decreto 1082 de 2015.</w:t>
      </w:r>
    </w:p>
    <w:p w14:paraId="7FE17355" w14:textId="77777777" w:rsidR="00DE32BB" w:rsidRPr="005A59B7" w:rsidRDefault="00DE32BB" w:rsidP="00DE32BB">
      <w:pPr>
        <w:spacing w:after="120" w:line="276" w:lineRule="auto"/>
        <w:ind w:firstLine="709"/>
        <w:jc w:val="both"/>
        <w:rPr>
          <w:rFonts w:ascii="Verdana" w:eastAsia="Calibri" w:hAnsi="Verdana" w:cs="Arial"/>
          <w:color w:val="000000"/>
          <w:lang w:val="es-ES_tradnl" w:eastAsia="es-ES_tradnl"/>
        </w:rPr>
      </w:pPr>
      <w:r>
        <w:rPr>
          <w:rFonts w:ascii="Verdana" w:eastAsia="Arial" w:hAnsi="Verdana" w:cs="Arial"/>
          <w:color w:val="000000"/>
        </w:rPr>
        <w:t>Ahora bien, e</w:t>
      </w:r>
      <w:r w:rsidRPr="00DD16FF">
        <w:rPr>
          <w:rFonts w:ascii="Verdana" w:eastAsia="Arial" w:hAnsi="Verdana" w:cs="Arial"/>
          <w:color w:val="000000"/>
        </w:rPr>
        <w:t xml:space="preserve">n el escenario consultado, </w:t>
      </w:r>
      <w:r>
        <w:rPr>
          <w:rFonts w:ascii="Verdana" w:eastAsia="Arial" w:hAnsi="Verdana" w:cs="Arial"/>
          <w:color w:val="000000"/>
        </w:rPr>
        <w:t xml:space="preserve">aun cuando las Entidades Estatales </w:t>
      </w:r>
      <w:r w:rsidRPr="002048F5">
        <w:rPr>
          <w:rFonts w:ascii="Verdana" w:eastAsia="Century Gothic" w:hAnsi="Verdana" w:cs="Century Gothic"/>
          <w:color w:val="000000" w:themeColor="text1"/>
        </w:rPr>
        <w:t>conserva</w:t>
      </w:r>
      <w:r>
        <w:rPr>
          <w:rFonts w:ascii="Verdana" w:eastAsia="Century Gothic" w:hAnsi="Verdana" w:cs="Century Gothic"/>
          <w:color w:val="000000" w:themeColor="text1"/>
        </w:rPr>
        <w:t>n</w:t>
      </w:r>
      <w:r w:rsidRPr="002048F5">
        <w:rPr>
          <w:rFonts w:ascii="Verdana" w:eastAsia="Century Gothic" w:hAnsi="Verdana" w:cs="Century Gothic"/>
          <w:color w:val="000000" w:themeColor="text1"/>
        </w:rPr>
        <w:t xml:space="preserve"> su discrecionalidad administrativa para determinar los requisitos habilitantes de capacidad financiera</w:t>
      </w:r>
      <w:r>
        <w:rPr>
          <w:rFonts w:ascii="Verdana" w:eastAsia="Century Gothic" w:hAnsi="Verdana" w:cs="Century Gothic"/>
          <w:color w:val="000000" w:themeColor="text1"/>
        </w:rPr>
        <w:t>, además de que deben observar e</w:t>
      </w:r>
      <w:r w:rsidRPr="002048F5">
        <w:rPr>
          <w:rFonts w:ascii="Verdana" w:eastAsia="Century Gothic" w:hAnsi="Verdana" w:cs="Century Gothic"/>
          <w:color w:val="000000" w:themeColor="text1"/>
        </w:rPr>
        <w:t xml:space="preserve">l principio de proporcionalidad </w:t>
      </w:r>
      <w:r>
        <w:rPr>
          <w:rFonts w:ascii="Verdana" w:eastAsia="Century Gothic" w:hAnsi="Verdana" w:cs="Century Gothic"/>
          <w:color w:val="000000" w:themeColor="text1"/>
        </w:rPr>
        <w:t xml:space="preserve">el cual exige que </w:t>
      </w:r>
      <w:r w:rsidRPr="002048F5">
        <w:rPr>
          <w:rFonts w:ascii="Verdana" w:eastAsia="Century Gothic" w:hAnsi="Verdana" w:cs="Century Gothic"/>
          <w:color w:val="000000" w:themeColor="text1"/>
        </w:rPr>
        <w:t xml:space="preserve">dichos indicadores </w:t>
      </w:r>
      <w:r>
        <w:rPr>
          <w:rFonts w:ascii="Verdana" w:eastAsia="Century Gothic" w:hAnsi="Verdana" w:cs="Century Gothic"/>
          <w:color w:val="000000" w:themeColor="text1"/>
        </w:rPr>
        <w:t>sean</w:t>
      </w:r>
      <w:r w:rsidRPr="002048F5">
        <w:rPr>
          <w:rFonts w:ascii="Verdana" w:eastAsia="Century Gothic" w:hAnsi="Verdana" w:cs="Century Gothic"/>
          <w:color w:val="000000" w:themeColor="text1"/>
        </w:rPr>
        <w:t xml:space="preserve"> razonables</w:t>
      </w:r>
      <w:r>
        <w:rPr>
          <w:rFonts w:ascii="Verdana" w:eastAsia="Century Gothic" w:hAnsi="Verdana" w:cs="Century Gothic"/>
          <w:color w:val="000000" w:themeColor="text1"/>
        </w:rPr>
        <w:t xml:space="preserve"> y guarden </w:t>
      </w:r>
      <w:r w:rsidRPr="002048F5">
        <w:rPr>
          <w:rFonts w:ascii="Verdana" w:eastAsia="Century Gothic" w:hAnsi="Verdana" w:cs="Century Gothic"/>
          <w:color w:val="000000" w:themeColor="text1"/>
        </w:rPr>
        <w:t xml:space="preserve">congruencia con el objeto, alcance, valor y plazo del contrato, </w:t>
      </w:r>
      <w:r>
        <w:rPr>
          <w:rFonts w:ascii="Verdana" w:eastAsia="Century Gothic" w:hAnsi="Verdana" w:cs="Century Gothic"/>
          <w:color w:val="000000" w:themeColor="text1"/>
        </w:rPr>
        <w:t>también resulta obligatorio que dicha fijación respete las reglas y</w:t>
      </w:r>
      <w:r w:rsidRPr="002048F5">
        <w:rPr>
          <w:rFonts w:ascii="Verdana" w:eastAsia="Century Gothic" w:hAnsi="Verdana" w:cs="Century Gothic"/>
          <w:color w:val="000000" w:themeColor="text1"/>
        </w:rPr>
        <w:t xml:space="preserve"> condiciones descritas en los numerales 1.3 y 2.3 del artículo 2.2.1.1.1.5.2 del Decreto 1082 de 2015</w:t>
      </w:r>
      <w:r>
        <w:rPr>
          <w:rFonts w:ascii="Verdana" w:eastAsia="Century Gothic" w:hAnsi="Verdana" w:cs="Century Gothic"/>
          <w:color w:val="000000" w:themeColor="text1"/>
        </w:rPr>
        <w:t xml:space="preserve"> actualmente vigentes, por lo que la acreditación de los indicadores financieros deben evaluarse con base en la información </w:t>
      </w:r>
      <w:r w:rsidRPr="00AD33EB">
        <w:rPr>
          <w:rFonts w:ascii="Verdana" w:eastAsia="Century Gothic" w:hAnsi="Verdana" w:cs="Century Gothic"/>
          <w:color w:val="000000" w:themeColor="text1"/>
        </w:rPr>
        <w:t>contenida en el RUP vigente y en firme</w:t>
      </w:r>
      <w:r>
        <w:rPr>
          <w:rFonts w:ascii="Verdana" w:eastAsia="Century Gothic" w:hAnsi="Verdana" w:cs="Century Gothic"/>
          <w:color w:val="000000" w:themeColor="text1"/>
        </w:rPr>
        <w:t xml:space="preserve"> del último año fiscal del proponente, sin que se habilite la posibilidad de elección del mejor año fiscal entre los </w:t>
      </w:r>
      <w:r w:rsidRPr="002048F5">
        <w:rPr>
          <w:rFonts w:ascii="Verdana" w:eastAsia="Century Gothic" w:hAnsi="Verdana" w:cs="Century Gothic"/>
          <w:color w:val="000000" w:themeColor="text1"/>
        </w:rPr>
        <w:t>últimos tres (3) años</w:t>
      </w:r>
      <w:r>
        <w:rPr>
          <w:rFonts w:ascii="Verdana" w:eastAsia="Century Gothic" w:hAnsi="Verdana" w:cs="Century Gothic"/>
          <w:color w:val="000000" w:themeColor="text1"/>
        </w:rPr>
        <w:t>, como ocurría en el pasado, en vigencia de las normas transitorias aquí estudiadas.</w:t>
      </w:r>
    </w:p>
    <w:p w14:paraId="07127673" w14:textId="77777777" w:rsidR="00DE32BB" w:rsidRPr="00DD16FF" w:rsidRDefault="00DE32BB" w:rsidP="00DE32BB">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En ese sentido, </w:t>
      </w:r>
      <w:r w:rsidRPr="00DD16FF">
        <w:rPr>
          <w:rFonts w:ascii="Verdana" w:eastAsia="Arial" w:hAnsi="Verdana" w:cs="Arial"/>
          <w:color w:val="000000"/>
        </w:rPr>
        <w:t xml:space="preserve">el punto de partida es que, </w:t>
      </w:r>
      <w:r>
        <w:rPr>
          <w:rFonts w:ascii="Verdana" w:eastAsia="Arial" w:hAnsi="Verdana" w:cs="Arial"/>
          <w:color w:val="000000"/>
        </w:rPr>
        <w:t xml:space="preserve">si </w:t>
      </w:r>
      <w:r w:rsidRPr="00DD16FF">
        <w:rPr>
          <w:rFonts w:ascii="Verdana" w:eastAsia="Arial" w:hAnsi="Verdana" w:cs="Arial"/>
          <w:color w:val="000000"/>
        </w:rPr>
        <w:t xml:space="preserve">a partir del 1° de enero de 2024, el Registro Único de Proponentes únicamente refleja la información contable correspondiente al último año fiscal reportado por el proponente, en virtud de la finalización de la medida transitoria prevista en los Decretos 399 y 579 de 2021 y 1041 de 2022, </w:t>
      </w:r>
      <w:r>
        <w:rPr>
          <w:rFonts w:ascii="Verdana" w:eastAsia="Arial" w:hAnsi="Verdana" w:cs="Arial"/>
          <w:color w:val="000000"/>
        </w:rPr>
        <w:t xml:space="preserve">esto implica que </w:t>
      </w:r>
      <w:r w:rsidRPr="00DD16FF">
        <w:rPr>
          <w:rFonts w:ascii="Verdana" w:eastAsia="Arial" w:hAnsi="Verdana" w:cs="Arial"/>
          <w:color w:val="000000"/>
        </w:rPr>
        <w:t>el RUP vigente al año 2025 solo contiene estados financieros con corte al 31 de diciembre de 2024.</w:t>
      </w:r>
    </w:p>
    <w:p w14:paraId="6A56C2E9" w14:textId="77777777" w:rsidR="00DE32BB" w:rsidRPr="005A59B7" w:rsidRDefault="00DE32BB" w:rsidP="00DE32BB">
      <w:pPr>
        <w:spacing w:after="120" w:line="276" w:lineRule="auto"/>
        <w:ind w:firstLine="709"/>
        <w:jc w:val="both"/>
        <w:rPr>
          <w:rFonts w:ascii="Verdana" w:eastAsia="Arial" w:hAnsi="Verdana" w:cs="Arial"/>
          <w:color w:val="000000"/>
        </w:rPr>
      </w:pPr>
      <w:r>
        <w:rPr>
          <w:rFonts w:ascii="Verdana" w:eastAsia="Arial" w:hAnsi="Verdana" w:cs="Arial"/>
          <w:color w:val="000000"/>
        </w:rPr>
        <w:t>En otras palabras</w:t>
      </w:r>
      <w:r w:rsidRPr="00DD16FF">
        <w:rPr>
          <w:rFonts w:ascii="Verdana" w:eastAsia="Arial" w:hAnsi="Verdana" w:cs="Arial"/>
          <w:color w:val="000000"/>
        </w:rPr>
        <w:t>, la entidad estatal debe estructurar la evaluación de la capacidad financiera y organizacional de los proponentes con base en la información efectivamente contenida en el RUP</w:t>
      </w:r>
      <w:r>
        <w:rPr>
          <w:rFonts w:ascii="Verdana" w:eastAsia="Arial" w:hAnsi="Verdana" w:cs="Arial"/>
          <w:color w:val="000000"/>
        </w:rPr>
        <w:t xml:space="preserve"> y, no </w:t>
      </w:r>
      <w:r w:rsidRPr="00DD16FF">
        <w:rPr>
          <w:rFonts w:ascii="Verdana" w:eastAsia="Arial" w:hAnsi="Verdana" w:cs="Arial"/>
          <w:color w:val="000000"/>
        </w:rPr>
        <w:t>resulta procedente admitir la acreditación de estados contables de 2021, 2022 o 2023, pues ello equivaldría a incorporar al proceso datos que no se encuentran registrados en el instrumento oficial de verificación, desconociendo el principio de igualdad frente a aquellos oferentes que únicamente cuentan con la información del último año fiscal.</w:t>
      </w:r>
    </w:p>
    <w:p w14:paraId="1D805A22" w14:textId="77777777" w:rsidR="00DE32BB" w:rsidRDefault="00DE32BB" w:rsidP="00DE32BB">
      <w:pPr>
        <w:spacing w:before="120" w:after="0" w:line="276" w:lineRule="auto"/>
        <w:ind w:firstLine="709"/>
        <w:jc w:val="both"/>
        <w:rPr>
          <w:rFonts w:ascii="Verdana" w:eastAsia="Calibri" w:hAnsi="Verdana" w:cs="Arial"/>
        </w:rPr>
      </w:pPr>
      <w:r>
        <w:rPr>
          <w:rFonts w:ascii="Verdana" w:eastAsia="Calibri" w:hAnsi="Verdana" w:cs="Arial"/>
        </w:rPr>
        <w:t>A</w:t>
      </w:r>
      <w:r w:rsidRPr="00E853DE">
        <w:rPr>
          <w:rFonts w:ascii="Verdana" w:eastAsia="Calibri" w:hAnsi="Verdana" w:cs="Arial"/>
          <w:bCs/>
          <w:color w:val="000000" w:themeColor="text1"/>
        </w:rPr>
        <w:t>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00E9CFF" w14:textId="77777777" w:rsidR="00DE32BB" w:rsidRDefault="00DE32BB" w:rsidP="00DE32BB">
      <w:pPr>
        <w:spacing w:before="120" w:after="0" w:line="276" w:lineRule="auto"/>
        <w:ind w:firstLine="709"/>
        <w:jc w:val="both"/>
        <w:rPr>
          <w:rFonts w:ascii="Verdana" w:eastAsia="Calibri" w:hAnsi="Verdana" w:cs="Arial"/>
        </w:rPr>
      </w:pPr>
      <w:r w:rsidRPr="00E853DE">
        <w:rPr>
          <w:rFonts w:ascii="Verdana" w:eastAsia="Calibri" w:hAnsi="Verdana" w:cs="Arial"/>
          <w:bCs/>
          <w:color w:val="000000" w:themeColor="text1"/>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2BA9C9E4" w14:textId="77777777" w:rsidR="00DE32BB" w:rsidRDefault="00DE32BB" w:rsidP="00DE32BB">
      <w:pPr>
        <w:spacing w:after="0" w:line="240" w:lineRule="auto"/>
        <w:jc w:val="both"/>
        <w:rPr>
          <w:rFonts w:ascii="Verdana" w:hAnsi="Verdana" w:cs="Arial"/>
          <w:b/>
          <w:color w:val="000000" w:themeColor="text1"/>
        </w:rPr>
      </w:pPr>
      <w:bookmarkStart w:id="4" w:name="_Hlk204854194"/>
    </w:p>
    <w:p w14:paraId="2BB2EED8" w14:textId="77777777" w:rsidR="00DE32BB" w:rsidRDefault="00DE32BB" w:rsidP="00DE32BB">
      <w:pPr>
        <w:spacing w:after="0" w:line="276" w:lineRule="auto"/>
        <w:jc w:val="both"/>
        <w:rPr>
          <w:rFonts w:ascii="Verdana" w:eastAsia="Century Gothic" w:hAnsi="Verdana" w:cs="Century Gothic"/>
          <w:b/>
          <w:bCs/>
        </w:rPr>
      </w:pPr>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4"/>
    </w:p>
    <w:p w14:paraId="0A81A518" w14:textId="77777777" w:rsidR="00DE32BB" w:rsidRPr="00E5656D" w:rsidRDefault="00DE32BB" w:rsidP="00DE32BB">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E32BB" w:rsidRPr="002D2C18" w14:paraId="7CA2158B" w14:textId="77777777" w:rsidTr="00487144">
        <w:trPr>
          <w:trHeight w:val="56"/>
          <w:jc w:val="center"/>
        </w:trPr>
        <w:tc>
          <w:tcPr>
            <w:tcW w:w="8647" w:type="dxa"/>
          </w:tcPr>
          <w:p w14:paraId="2AA74E48" w14:textId="77777777" w:rsidR="00DE32BB" w:rsidRDefault="00DE32BB" w:rsidP="00DE32BB">
            <w:pPr>
              <w:pStyle w:val="Prrafodelista"/>
              <w:numPr>
                <w:ilvl w:val="0"/>
                <w:numId w:val="16"/>
              </w:numPr>
              <w:spacing w:before="120" w:line="276" w:lineRule="auto"/>
              <w:rPr>
                <w:rFonts w:ascii="Verdana" w:eastAsia="Calibri" w:hAnsi="Verdana" w:cs="Arial"/>
                <w:bCs/>
                <w:color w:val="000000" w:themeColor="text1"/>
              </w:rPr>
            </w:pPr>
            <w:r w:rsidRPr="00947DD3">
              <w:rPr>
                <w:rFonts w:ascii="Verdana" w:eastAsia="Calibri" w:hAnsi="Verdana" w:cs="Arial"/>
                <w:bCs/>
                <w:color w:val="000000" w:themeColor="text1"/>
              </w:rPr>
              <w:t>Ley 1150 de 2007. Artículo 5.</w:t>
            </w:r>
          </w:p>
          <w:p w14:paraId="6F72DB59" w14:textId="77777777" w:rsidR="00DE32BB" w:rsidRDefault="00DE32BB" w:rsidP="00DE32BB">
            <w:pPr>
              <w:pStyle w:val="Prrafodelista"/>
              <w:numPr>
                <w:ilvl w:val="0"/>
                <w:numId w:val="16"/>
              </w:numPr>
              <w:spacing w:before="120" w:line="276" w:lineRule="auto"/>
              <w:rPr>
                <w:rFonts w:ascii="Verdana" w:eastAsia="Calibri" w:hAnsi="Verdana" w:cs="Arial"/>
                <w:bCs/>
                <w:color w:val="000000" w:themeColor="text1"/>
              </w:rPr>
            </w:pPr>
            <w:r w:rsidRPr="00947DD3">
              <w:rPr>
                <w:rFonts w:ascii="Verdana" w:eastAsia="Calibri" w:hAnsi="Verdana" w:cs="Arial"/>
                <w:bCs/>
                <w:color w:val="000000" w:themeColor="text1"/>
              </w:rPr>
              <w:t>Decreto 1082 de 2015. Artículos 2.2.1.1.1.5.2, 2.2.1.1.1.5.3, 2.2.1.1.1.5.6, 2.2.1.1.1.6.2</w:t>
            </w:r>
          </w:p>
          <w:p w14:paraId="2455D234" w14:textId="77777777" w:rsidR="00DE32BB" w:rsidRDefault="00DE32BB" w:rsidP="00DE32BB">
            <w:pPr>
              <w:pStyle w:val="Prrafodelista"/>
              <w:numPr>
                <w:ilvl w:val="0"/>
                <w:numId w:val="16"/>
              </w:numPr>
              <w:spacing w:before="120" w:line="276" w:lineRule="auto"/>
              <w:rPr>
                <w:rFonts w:ascii="Verdana" w:eastAsia="Calibri" w:hAnsi="Verdana" w:cs="Arial"/>
                <w:bCs/>
                <w:color w:val="000000" w:themeColor="text1"/>
              </w:rPr>
            </w:pPr>
            <w:r w:rsidRPr="00947DD3">
              <w:rPr>
                <w:rFonts w:ascii="Verdana" w:eastAsia="Calibri" w:hAnsi="Verdana" w:cs="Arial"/>
                <w:bCs/>
                <w:color w:val="000000" w:themeColor="text1"/>
              </w:rPr>
              <w:t xml:space="preserve">Decreto 399 de 2021. Artículos 4, 5, 6.  </w:t>
            </w:r>
          </w:p>
          <w:p w14:paraId="0B6DEBE3" w14:textId="77777777" w:rsidR="00DE32BB" w:rsidRPr="00947DD3" w:rsidRDefault="00DE32BB" w:rsidP="00DE32BB">
            <w:pPr>
              <w:pStyle w:val="Prrafodelista"/>
              <w:numPr>
                <w:ilvl w:val="0"/>
                <w:numId w:val="16"/>
              </w:numPr>
              <w:spacing w:before="120" w:line="276" w:lineRule="auto"/>
              <w:rPr>
                <w:rFonts w:ascii="Verdana" w:eastAsia="Calibri" w:hAnsi="Verdana" w:cs="Arial"/>
                <w:bCs/>
                <w:color w:val="000000" w:themeColor="text1"/>
              </w:rPr>
            </w:pPr>
            <w:r w:rsidRPr="00947DD3">
              <w:rPr>
                <w:rFonts w:ascii="Verdana" w:eastAsia="Calibri" w:hAnsi="Verdana" w:cs="Arial"/>
                <w:bCs/>
                <w:color w:val="000000" w:themeColor="text1"/>
              </w:rPr>
              <w:t xml:space="preserve">Decreto 579 de 2021. Artículos 1, 2, 3. </w:t>
            </w:r>
          </w:p>
          <w:p w14:paraId="12FF1286" w14:textId="77777777" w:rsidR="00DE32BB" w:rsidRDefault="00DE32BB" w:rsidP="00DE32BB">
            <w:pPr>
              <w:pStyle w:val="Prrafodelista"/>
              <w:numPr>
                <w:ilvl w:val="0"/>
                <w:numId w:val="16"/>
              </w:numPr>
              <w:spacing w:before="120" w:line="276" w:lineRule="auto"/>
              <w:jc w:val="both"/>
              <w:rPr>
                <w:rFonts w:ascii="Verdana" w:eastAsia="Calibri" w:hAnsi="Verdana" w:cs="Arial"/>
                <w:bCs/>
                <w:color w:val="000000" w:themeColor="text1"/>
              </w:rPr>
            </w:pPr>
            <w:r w:rsidRPr="00947DD3">
              <w:rPr>
                <w:rFonts w:ascii="Verdana" w:eastAsia="Calibri" w:hAnsi="Verdana" w:cs="Arial"/>
                <w:bCs/>
                <w:color w:val="000000" w:themeColor="text1"/>
              </w:rPr>
              <w:t xml:space="preserve">Decreto 1041 de 2022. </w:t>
            </w:r>
          </w:p>
          <w:p w14:paraId="5E7654DA" w14:textId="77777777" w:rsidR="00DE32BB" w:rsidRPr="00947DD3" w:rsidRDefault="00DE32BB" w:rsidP="00DE32BB">
            <w:pPr>
              <w:pStyle w:val="Prrafodelista"/>
              <w:numPr>
                <w:ilvl w:val="0"/>
                <w:numId w:val="16"/>
              </w:numPr>
              <w:spacing w:before="120" w:line="276" w:lineRule="auto"/>
              <w:jc w:val="both"/>
              <w:rPr>
                <w:rFonts w:ascii="Verdana" w:eastAsia="Calibri" w:hAnsi="Verdana" w:cs="Arial"/>
                <w:bCs/>
                <w:color w:val="000000" w:themeColor="text1"/>
              </w:rPr>
            </w:pPr>
            <w:r w:rsidRPr="00947DD3">
              <w:rPr>
                <w:rFonts w:ascii="Verdana" w:eastAsia="Calibri" w:hAnsi="Verdana" w:cs="Arial"/>
                <w:bCs/>
                <w:color w:val="000000" w:themeColor="text1"/>
              </w:rPr>
              <w:t>VAQUER CABALLERÍA, Marcos. Eficacia territorial y temporal de las normas. Valencia: Tirant lo Blanch, 2010.</w:t>
            </w:r>
          </w:p>
        </w:tc>
      </w:tr>
    </w:tbl>
    <w:p w14:paraId="71217A57" w14:textId="77777777" w:rsidR="00DE32BB" w:rsidRDefault="00DE32BB" w:rsidP="00DE32BB">
      <w:pPr>
        <w:tabs>
          <w:tab w:val="left" w:pos="142"/>
          <w:tab w:val="left" w:pos="284"/>
          <w:tab w:val="left" w:pos="3828"/>
        </w:tabs>
        <w:spacing w:after="0" w:line="276" w:lineRule="auto"/>
        <w:jc w:val="both"/>
        <w:rPr>
          <w:rFonts w:ascii="Verdana" w:eastAsia="Century Gothic" w:hAnsi="Verdana" w:cs="Century Gothic"/>
          <w:b/>
          <w:bCs/>
        </w:rPr>
      </w:pPr>
    </w:p>
    <w:p w14:paraId="2C5F5DC2" w14:textId="77777777" w:rsidR="00DE32BB" w:rsidRPr="0091091D" w:rsidRDefault="00DE32BB" w:rsidP="00DE32BB">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619CA295" w14:textId="77777777" w:rsidR="00DE32BB" w:rsidRPr="007A3DD4" w:rsidRDefault="00DE32BB" w:rsidP="00DE32BB">
      <w:pPr>
        <w:widowControl w:val="0"/>
        <w:autoSpaceDE w:val="0"/>
        <w:autoSpaceDN w:val="0"/>
        <w:spacing w:after="0" w:line="240" w:lineRule="auto"/>
        <w:jc w:val="both"/>
        <w:rPr>
          <w:rStyle w:val="normaltextrun"/>
          <w:rFonts w:ascii="Verdana" w:hAnsi="Verdana" w:cs="Arial"/>
          <w:shd w:val="clear" w:color="auto" w:fill="FFFFFF"/>
        </w:rPr>
      </w:pPr>
    </w:p>
    <w:p w14:paraId="5116166E" w14:textId="77777777" w:rsidR="00DE32BB" w:rsidRDefault="00DE32BB" w:rsidP="00DE32BB">
      <w:pPr>
        <w:widowControl w:val="0"/>
        <w:autoSpaceDE w:val="0"/>
        <w:autoSpaceDN w:val="0"/>
        <w:spacing w:after="120" w:line="276" w:lineRule="auto"/>
        <w:jc w:val="both"/>
        <w:rPr>
          <w:rFonts w:ascii="Verdana" w:eastAsia="Calibri" w:hAnsi="Verdana" w:cs="Arial"/>
          <w:shd w:val="clear" w:color="auto" w:fill="FFFFFF"/>
          <w:lang w:val="es-ES_tradnl"/>
        </w:rPr>
      </w:pPr>
      <w:r w:rsidRPr="001764C3">
        <w:rPr>
          <w:rFonts w:ascii="Verdana" w:eastAsia="Calibri" w:hAnsi="Verdana" w:cs="Arial"/>
          <w:lang w:eastAsia="es-ES"/>
        </w:rPr>
        <w:t xml:space="preserve">La Agencia Nacional de Contratación Pública – Colombia Compra Eficiente se ha pronunciado sobre </w:t>
      </w:r>
      <w:r w:rsidRPr="001764C3">
        <w:rPr>
          <w:rFonts w:ascii="Verdana" w:eastAsia="Calibri" w:hAnsi="Verdana" w:cs="Arial"/>
          <w:shd w:val="clear" w:color="auto" w:fill="FFFFFF"/>
          <w:lang w:val="es-ES_tradnl"/>
        </w:rPr>
        <w:t>la acreditación de los indicadores de capacidad financiera y organizacional de los oferentes mediante el RUP en los conceptos No. 4201912000006798 del 24 de octubre de 2019, C-002 del 12 de febrero de</w:t>
      </w:r>
      <w:r w:rsidRPr="005440CD">
        <w:rPr>
          <w:rFonts w:ascii="Verdana" w:eastAsia="Calibri" w:hAnsi="Verdana" w:cs="Arial"/>
          <w:shd w:val="clear" w:color="auto" w:fill="FFFFFF"/>
          <w:lang w:val="es-ES_tradnl"/>
        </w:rPr>
        <w:t xml:space="preserve"> 2020, C-089 del 4 de marzo de 2020, C-099 del 06 de abril de 2020, C-166 del 14 de abril de 2020, C-233 del 16 de abril de 2020, C-326 del 9 de junio de 2020, C-140 del 9 de abril de 202, entre otros. </w:t>
      </w:r>
    </w:p>
    <w:p w14:paraId="57674DCE" w14:textId="77777777" w:rsidR="00DE32BB" w:rsidRPr="00847D72" w:rsidRDefault="00DE32BB" w:rsidP="00DE32BB">
      <w:pPr>
        <w:widowControl w:val="0"/>
        <w:autoSpaceDE w:val="0"/>
        <w:autoSpaceDN w:val="0"/>
        <w:spacing w:after="120" w:line="276" w:lineRule="auto"/>
        <w:jc w:val="both"/>
        <w:rPr>
          <w:rFonts w:ascii="Verdana" w:eastAsia="Calibri" w:hAnsi="Verdana" w:cs="Arial"/>
          <w:shd w:val="clear" w:color="auto" w:fill="FFFFFF"/>
          <w:lang w:val="es-ES_tradnl"/>
        </w:rPr>
      </w:pPr>
      <w:r w:rsidRPr="005440CD">
        <w:rPr>
          <w:rFonts w:ascii="Verdana" w:eastAsia="Calibri" w:hAnsi="Verdana" w:cs="Arial"/>
          <w:shd w:val="clear" w:color="auto" w:fill="FFFFFF"/>
          <w:lang w:val="es-ES_tradnl"/>
        </w:rPr>
        <w:t>Respecto a la reglamentación establecida en los Decretos 399 y 579 de 2021 y 1041 de 2022, se pronunció en los conceptos C-288 de 17 de junio de 2021, C-353 del 19 de julio de 2021, C-366 del 26 de julio de 2021 y C-372 del 28 de julio de 2021, C-406 del 8 de agosto de 2021, C-407 del 25 de agosto de 2021, C-439 de 5 de julio de 2022, C-831 del 28 de noviembre del 2022, C-005 de 21 de febrero de 2023, C-050 de 22 de marzo de 2023, C-185 de 8 de junio de 2023, C-277 de 14 de julio de 2023, C-350 del 28 de agosto de 2023</w:t>
      </w:r>
      <w:r>
        <w:rPr>
          <w:rFonts w:ascii="Verdana" w:eastAsia="Calibri" w:hAnsi="Verdana" w:cs="Arial"/>
          <w:shd w:val="clear" w:color="auto" w:fill="FFFFFF"/>
          <w:lang w:val="es-ES_tradnl"/>
        </w:rPr>
        <w:t>,</w:t>
      </w:r>
      <w:r w:rsidRPr="005440CD">
        <w:rPr>
          <w:rFonts w:ascii="Verdana" w:eastAsia="Calibri" w:hAnsi="Verdana" w:cs="Arial"/>
          <w:shd w:val="clear" w:color="auto" w:fill="FFFFFF"/>
          <w:lang w:val="es-ES_tradnl"/>
        </w:rPr>
        <w:t xml:space="preserve"> C-355 del 30 de agosto de 2023</w:t>
      </w:r>
      <w:r>
        <w:rPr>
          <w:rFonts w:ascii="Verdana" w:eastAsia="Calibri" w:hAnsi="Verdana" w:cs="Arial"/>
          <w:shd w:val="clear" w:color="auto" w:fill="FFFFFF"/>
          <w:lang w:val="es-ES_tradnl"/>
        </w:rPr>
        <w:t>, C-102 del 6 de marzo de 2025 y C-571 del 19 de junio de 2025, C-1156 del 29 de septiembre de 2025,</w:t>
      </w:r>
      <w:r>
        <w:rPr>
          <w:rFonts w:ascii="Verdana" w:eastAsia="Calibri" w:hAnsi="Verdana" w:cs="Arial"/>
          <w:lang w:eastAsia="es-ES"/>
        </w:rPr>
        <w:t xml:space="preserve"> </w:t>
      </w:r>
      <w:r>
        <w:rPr>
          <w:rFonts w:ascii="Verdana" w:eastAsia="Calibri" w:hAnsi="Verdana" w:cs="Arial"/>
          <w:shd w:val="clear" w:color="auto" w:fill="FFFFFF"/>
          <w:lang w:val="es-ES_tradnl"/>
        </w:rPr>
        <w:t xml:space="preserve">C-751 del 15 de mayo de 2026, </w:t>
      </w:r>
      <w:r w:rsidRPr="00622C01">
        <w:rPr>
          <w:rFonts w:ascii="Verdana" w:hAnsi="Verdana" w:cs="Arial"/>
          <w:shd w:val="clear" w:color="auto" w:fill="FFFFFF"/>
          <w:lang w:val="es-ES"/>
        </w:rPr>
        <w:t xml:space="preserve">entre otros. </w:t>
      </w:r>
      <w:r w:rsidRPr="00622C01">
        <w:rPr>
          <w:rFonts w:ascii="Verdana" w:hAnsi="Verdana" w:cs="Arial"/>
        </w:rPr>
        <w:t xml:space="preserve">Estos y otros </w:t>
      </w:r>
      <w:r w:rsidRPr="00622C01">
        <w:rPr>
          <w:rFonts w:ascii="Verdana" w:hAnsi="Verdana"/>
        </w:rPr>
        <w:t>conceptos se encuentran disponibles para consulta en el Sistema de relatoría de la Agencia, al cual se puede acceder a través del siguiente enlace:</w:t>
      </w:r>
      <w:r w:rsidRPr="00622C01">
        <w:rPr>
          <w:rFonts w:ascii="Verdana" w:hAnsi="Verdana" w:cs="Arial"/>
          <w:shd w:val="clear" w:color="auto" w:fill="FFFFFF"/>
        </w:rPr>
        <w:t xml:space="preserve"> </w:t>
      </w:r>
      <w:hyperlink r:id="rId12" w:history="1">
        <w:r w:rsidRPr="00622C01">
          <w:rPr>
            <w:rFonts w:ascii="Verdana" w:hAnsi="Verdana" w:cs="Arial"/>
            <w:color w:val="0563C1" w:themeColor="hyperlink"/>
            <w:u w:val="single"/>
            <w:shd w:val="clear" w:color="auto" w:fill="FFFFFF"/>
          </w:rPr>
          <w:t>https://relatoria.colombiacompra.gov.co/busqueda/conceptos</w:t>
        </w:r>
      </w:hyperlink>
      <w:r w:rsidRPr="00622C01">
        <w:rPr>
          <w:rFonts w:ascii="Verdana" w:hAnsi="Verdana" w:cs="Arial"/>
          <w:shd w:val="clear" w:color="auto" w:fill="FFFFFF"/>
        </w:rPr>
        <w:t>.</w:t>
      </w:r>
      <w:r w:rsidRPr="00147D6A">
        <w:rPr>
          <w:rFonts w:ascii="Verdana" w:hAnsi="Verdana" w:cs="Arial"/>
          <w:color w:val="FF0000"/>
          <w:shd w:val="clear" w:color="auto" w:fill="FFFFFF"/>
        </w:rPr>
        <w:t xml:space="preserve"> </w:t>
      </w:r>
    </w:p>
    <w:p w14:paraId="3120BB7E" w14:textId="77777777" w:rsidR="00DE32BB" w:rsidRDefault="00DE32BB" w:rsidP="00DE32BB">
      <w:pPr>
        <w:widowControl w:val="0"/>
        <w:autoSpaceDE w:val="0"/>
        <w:autoSpaceDN w:val="0"/>
        <w:spacing w:after="120" w:line="276" w:lineRule="auto"/>
        <w:jc w:val="both"/>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8746BD">
          <w:rPr>
            <w:rStyle w:val="Hipervnculo"/>
            <w:rFonts w:ascii="Verdana" w:hAnsi="Verdana"/>
          </w:rPr>
          <w:t>https://formacionvirtual.colombiacompra.gov.co/mod/page/view.php?id=3718</w:t>
        </w:r>
      </w:hyperlink>
    </w:p>
    <w:p w14:paraId="4FC59A94" w14:textId="77777777" w:rsidR="00DE32BB" w:rsidRDefault="00DE32BB" w:rsidP="00DE32BB">
      <w:pPr>
        <w:widowControl w:val="0"/>
        <w:autoSpaceDE w:val="0"/>
        <w:autoSpaceDN w:val="0"/>
        <w:spacing w:after="120" w:line="276" w:lineRule="auto"/>
        <w:jc w:val="both"/>
        <w:rPr>
          <w:rStyle w:val="Hipervnculo"/>
          <w:rFonts w:ascii="Verdana" w:hAnsi="Verdana" w:cs="Arial"/>
          <w:color w:val="auto"/>
          <w:u w:val="none"/>
          <w:shd w:val="clear" w:color="auto" w:fill="FFFFFF"/>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0E1EA7">
        <w:rPr>
          <w:rFonts w:ascii="Verdana" w:hAnsi="Verdana"/>
          <w:b/>
          <w:bCs/>
        </w:rPr>
        <w:t>Resoluciones 539, 540, 541, 952 y 953 de 2025</w:t>
      </w:r>
      <w:r w:rsidRPr="000E1EA7">
        <w:rPr>
          <w:rFonts w:ascii="Verdana" w:hAnsi="Verdana"/>
        </w:rPr>
        <w:t xml:space="preserve">, </w:t>
      </w:r>
      <w:r w:rsidRPr="000E1EA7">
        <w:rPr>
          <w:rFonts w:ascii="Verdana" w:hAnsi="Verdana"/>
          <w:b/>
          <w:bCs/>
        </w:rPr>
        <w:t>mediante las cuales adoptó Documentos Tipo</w:t>
      </w:r>
      <w:r w:rsidRPr="000E1EA7">
        <w:rPr>
          <w:rFonts w:ascii="Verdana" w:hAnsi="Verdana"/>
        </w:rPr>
        <w:t xml:space="preserve"> para las modalidades de selección de</w:t>
      </w:r>
      <w:r w:rsidRPr="000E1EA7">
        <w:rPr>
          <w:rFonts w:ascii="Verdana" w:hAnsi="Verdana"/>
          <w:b/>
          <w:bCs/>
        </w:rPr>
        <w:t xml:space="preserve"> licitación pública (versión 2), selección abreviada de menor cuantía, mínima cuantía, consultoría e interventoría</w:t>
      </w:r>
      <w:r w:rsidRPr="000E1EA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0E1EA7">
          <w:rPr>
            <w:rStyle w:val="Hipervnculo"/>
            <w:rFonts w:ascii="Verdana" w:hAnsi="Verdana"/>
          </w:rPr>
          <w:t>https://www.colombiacompra.gov.co/normativa-y-relatoria/documentos-tipo</w:t>
        </w:r>
      </w:hyperlink>
    </w:p>
    <w:p w14:paraId="6AC7F661" w14:textId="77777777" w:rsidR="00DE32BB" w:rsidRPr="00847D72" w:rsidRDefault="00DE32BB" w:rsidP="00DE32BB">
      <w:pPr>
        <w:widowControl w:val="0"/>
        <w:autoSpaceDE w:val="0"/>
        <w:autoSpaceDN w:val="0"/>
        <w:spacing w:after="120" w:line="276" w:lineRule="auto"/>
        <w:jc w:val="both"/>
        <w:rPr>
          <w:rStyle w:val="Hipervnculo"/>
          <w:rFonts w:ascii="Verdana" w:hAnsi="Verdana" w:cs="Arial"/>
          <w:color w:val="auto"/>
          <w:u w:val="none"/>
          <w:shd w:val="clear" w:color="auto" w:fill="FFFFFF"/>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5"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443E68B" w14:textId="77777777" w:rsidR="00DE32BB" w:rsidRPr="007A3DD4" w:rsidRDefault="00DE32BB" w:rsidP="00DE32BB">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0BF02D5A" w14:textId="77777777" w:rsidR="00DE32BB" w:rsidRPr="00116940" w:rsidRDefault="00DE32BB" w:rsidP="00DE32BB">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8089AC8" w14:textId="77777777" w:rsidR="00DE32BB" w:rsidRPr="00116940" w:rsidRDefault="00DE32BB" w:rsidP="00DE32BB">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1D26B044" w14:textId="77777777" w:rsidR="00DE32BB" w:rsidRPr="00116940" w:rsidRDefault="00DE32BB" w:rsidP="00DE32BB">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7044F0B9" w14:textId="77777777" w:rsidR="00DE32BB" w:rsidRPr="00DD2E5C" w:rsidRDefault="00DE32BB" w:rsidP="00DE32BB">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1FD3E91D" w14:textId="77777777" w:rsidR="00DE32BB" w:rsidRDefault="00DE32BB" w:rsidP="00DE32BB">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1FA2B369" w14:textId="77777777" w:rsidR="00DE32BB" w:rsidRDefault="00DE32BB" w:rsidP="00DE32BB">
      <w:pPr>
        <w:spacing w:after="0" w:line="240" w:lineRule="auto"/>
        <w:jc w:val="both"/>
        <w:rPr>
          <w:rFonts w:ascii="Verdana" w:hAnsi="Verdana"/>
        </w:rPr>
      </w:pPr>
    </w:p>
    <w:p w14:paraId="3FC98DA0" w14:textId="77777777" w:rsidR="00DE32BB" w:rsidRPr="00116940" w:rsidRDefault="00DE32BB" w:rsidP="00DE32BB">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24AFBBB" w14:textId="77777777" w:rsidR="00DE32BB" w:rsidRPr="00116940" w:rsidRDefault="00DE32BB" w:rsidP="00DE32BB">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1A80F27" w14:textId="77777777" w:rsidR="00DE32BB" w:rsidRPr="00116940" w:rsidRDefault="00DE32BB" w:rsidP="00DE32BB">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759F2F5" w14:textId="77777777" w:rsidR="00DE32BB" w:rsidRPr="00116940" w:rsidRDefault="00DE32BB" w:rsidP="00DE32BB">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0CA65CA" w14:textId="77777777" w:rsidR="00DE32BB" w:rsidRDefault="00DE32BB" w:rsidP="00DE32BB">
      <w:pPr>
        <w:spacing w:after="0" w:line="240" w:lineRule="auto"/>
        <w:jc w:val="both"/>
        <w:rPr>
          <w:rFonts w:ascii="Century Gothic" w:eastAsia="Century Gothic" w:hAnsi="Century Gothic" w:cs="Century Gothic"/>
          <w:lang w:val="es-ES" w:eastAsia="es-ES_tradnl"/>
        </w:rPr>
      </w:pPr>
    </w:p>
    <w:p w14:paraId="2FAFD1FC" w14:textId="77777777" w:rsidR="00DE32BB" w:rsidRPr="00842775" w:rsidRDefault="00DE32BB" w:rsidP="00DE32BB">
      <w:pPr>
        <w:spacing w:after="120" w:line="276" w:lineRule="auto"/>
        <w:jc w:val="both"/>
        <w:rPr>
          <w:rFonts w:ascii="Verdana" w:hAnsi="Verdana"/>
          <w:lang w:val="es-MX"/>
        </w:rPr>
      </w:pPr>
      <w:r w:rsidRPr="00842775">
        <w:rPr>
          <w:rFonts w:ascii="Verdana" w:eastAsia="Century Gothic" w:hAnsi="Verdana"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r>
        <w:rPr>
          <w:rFonts w:ascii="Verdana" w:eastAsia="Century Gothic" w:hAnsi="Verdana" w:cs="Century Gothic"/>
          <w:lang w:val="es-ES" w:eastAsia="es-ES_tradnl"/>
        </w:rPr>
        <w:t>.</w:t>
      </w:r>
    </w:p>
    <w:p w14:paraId="07177962" w14:textId="77777777" w:rsidR="00DE32BB" w:rsidRPr="00330029" w:rsidRDefault="00DE32BB" w:rsidP="00DE32BB">
      <w:pPr>
        <w:spacing w:after="0" w:line="276" w:lineRule="auto"/>
        <w:jc w:val="both"/>
        <w:rPr>
          <w:rFonts w:ascii="Verdana" w:hAnsi="Verdana"/>
          <w:lang w:val="es-MX"/>
        </w:rPr>
      </w:pPr>
      <w:r w:rsidRPr="00E02524">
        <w:rPr>
          <w:rFonts w:ascii="Verdana" w:hAnsi="Verdana"/>
          <w:lang w:val="es-MX"/>
        </w:rPr>
        <w:t>Cordialmente,</w:t>
      </w:r>
    </w:p>
    <w:p w14:paraId="2A9846FF" w14:textId="1F1571E0" w:rsidR="00DE32BB" w:rsidRDefault="00DD2E5C" w:rsidP="00DE32BB">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14BE6F3A" wp14:editId="69584580">
            <wp:extent cx="3369212" cy="1587418"/>
            <wp:effectExtent l="0" t="0" r="3175"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3405296" cy="1604419"/>
                    </a:xfrm>
                    <a:prstGeom prst="rect">
                      <a:avLst/>
                    </a:prstGeom>
                  </pic:spPr>
                </pic:pic>
              </a:graphicData>
            </a:graphic>
          </wp:inline>
        </w:drawing>
      </w:r>
    </w:p>
    <w:p w14:paraId="2EE8666D" w14:textId="565B0BF0" w:rsidR="00DE32BB" w:rsidRDefault="00DE32BB" w:rsidP="00DE32BB">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DE32BB" w:rsidRPr="005644FE" w14:paraId="239898DB" w14:textId="77777777" w:rsidTr="00487144">
        <w:trPr>
          <w:trHeight w:val="288"/>
        </w:trPr>
        <w:tc>
          <w:tcPr>
            <w:tcW w:w="893" w:type="dxa"/>
            <w:vAlign w:val="center"/>
            <w:hideMark/>
          </w:tcPr>
          <w:p w14:paraId="24AE2982" w14:textId="77777777" w:rsidR="00DE32BB" w:rsidRPr="005644FE" w:rsidRDefault="00DE32BB" w:rsidP="00487144">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87B25C3" w14:textId="77777777" w:rsidR="00DE32BB" w:rsidRPr="005644FE" w:rsidRDefault="00DE32BB" w:rsidP="00487144">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376472E5" w14:textId="77777777" w:rsidR="00DE32BB" w:rsidRPr="005644FE" w:rsidRDefault="00DE32BB" w:rsidP="00487144">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DE32BB" w:rsidRPr="005644FE" w14:paraId="4AE71A0C" w14:textId="77777777" w:rsidTr="00487144">
        <w:trPr>
          <w:trHeight w:val="330"/>
        </w:trPr>
        <w:tc>
          <w:tcPr>
            <w:tcW w:w="893" w:type="dxa"/>
            <w:vAlign w:val="center"/>
            <w:hideMark/>
          </w:tcPr>
          <w:p w14:paraId="302CBEFC" w14:textId="77777777" w:rsidR="00DE32BB" w:rsidRPr="005644FE" w:rsidRDefault="00DE32BB" w:rsidP="00487144">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FA79094" w14:textId="77777777" w:rsidR="00DE32BB" w:rsidRPr="00147D6A" w:rsidRDefault="00DE32BB" w:rsidP="00487144">
            <w:pPr>
              <w:pStyle w:val="paragraph"/>
              <w:spacing w:before="0" w:beforeAutospacing="0" w:after="0" w:afterAutospacing="0"/>
              <w:contextualSpacing/>
              <w:textAlignment w:val="baseline"/>
              <w:rPr>
                <w:rStyle w:val="normaltextrun"/>
                <w:rFonts w:ascii="Verdana" w:hAnsi="Verdana"/>
                <w:sz w:val="16"/>
                <w:szCs w:val="16"/>
              </w:rPr>
            </w:pPr>
            <w:r w:rsidRPr="00147D6A">
              <w:rPr>
                <w:rStyle w:val="normaltextrun"/>
                <w:rFonts w:ascii="Verdana" w:hAnsi="Verdana"/>
                <w:sz w:val="16"/>
                <w:szCs w:val="16"/>
              </w:rPr>
              <w:t xml:space="preserve">Adriana </w:t>
            </w:r>
            <w:proofErr w:type="spellStart"/>
            <w:r w:rsidRPr="00147D6A">
              <w:rPr>
                <w:rStyle w:val="normaltextrun"/>
                <w:rFonts w:ascii="Verdana" w:hAnsi="Verdana"/>
                <w:sz w:val="16"/>
                <w:szCs w:val="16"/>
              </w:rPr>
              <w:t>Katerine</w:t>
            </w:r>
            <w:proofErr w:type="spellEnd"/>
            <w:r w:rsidRPr="00147D6A">
              <w:rPr>
                <w:rStyle w:val="normaltextrun"/>
                <w:rFonts w:ascii="Verdana" w:hAnsi="Verdana"/>
                <w:sz w:val="16"/>
                <w:szCs w:val="16"/>
              </w:rPr>
              <w:t xml:space="preserve"> López</w:t>
            </w:r>
            <w:r>
              <w:rPr>
                <w:rStyle w:val="normaltextrun"/>
                <w:rFonts w:ascii="Verdana" w:hAnsi="Verdana"/>
                <w:sz w:val="16"/>
                <w:szCs w:val="16"/>
              </w:rPr>
              <w:t xml:space="preserve"> Rodríguez. </w:t>
            </w:r>
          </w:p>
          <w:p w14:paraId="1A625F1A" w14:textId="77777777" w:rsidR="00DE32BB" w:rsidRPr="00147D6A" w:rsidRDefault="00DE32BB" w:rsidP="00487144">
            <w:pPr>
              <w:pStyle w:val="paragraph"/>
              <w:spacing w:before="0" w:beforeAutospacing="0" w:after="0" w:afterAutospacing="0"/>
              <w:contextualSpacing/>
              <w:textAlignment w:val="baseline"/>
              <w:rPr>
                <w:rFonts w:ascii="Verdana" w:hAnsi="Verdana" w:cs="Segoe UI"/>
                <w:sz w:val="16"/>
                <w:szCs w:val="16"/>
              </w:rPr>
            </w:pPr>
            <w:r w:rsidRPr="00147D6A">
              <w:rPr>
                <w:rStyle w:val="normaltextrun"/>
                <w:rFonts w:ascii="Verdana" w:hAnsi="Verdana"/>
                <w:sz w:val="16"/>
                <w:szCs w:val="16"/>
              </w:rPr>
              <w:t xml:space="preserve">Contratista Subdirección Gestión Contractual  </w:t>
            </w:r>
          </w:p>
        </w:tc>
      </w:tr>
      <w:tr w:rsidR="00DE32BB" w:rsidRPr="005644FE" w14:paraId="31090639" w14:textId="77777777" w:rsidTr="00487144">
        <w:trPr>
          <w:trHeight w:val="300"/>
        </w:trPr>
        <w:tc>
          <w:tcPr>
            <w:tcW w:w="893" w:type="dxa"/>
            <w:vAlign w:val="center"/>
          </w:tcPr>
          <w:p w14:paraId="1EDF21A4" w14:textId="77777777" w:rsidR="00DE32BB" w:rsidRPr="005644FE" w:rsidRDefault="00DE32BB" w:rsidP="00487144">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711A5DE7" w14:textId="77777777" w:rsidR="00DE32BB" w:rsidRPr="00147D6A" w:rsidRDefault="00DE32BB" w:rsidP="00487144">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Carolina Quintero Gacharná</w:t>
            </w:r>
          </w:p>
          <w:p w14:paraId="1B915225" w14:textId="77777777" w:rsidR="00DE32BB" w:rsidRPr="00147D6A" w:rsidRDefault="00DE32BB" w:rsidP="00487144">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Subdirectora de Gestión Contractual ANCP – CCE</w:t>
            </w:r>
          </w:p>
        </w:tc>
      </w:tr>
      <w:bookmarkEnd w:id="1"/>
    </w:tbl>
    <w:p w14:paraId="424075B3" w14:textId="77777777" w:rsidR="00DE32BB" w:rsidRPr="0024624F" w:rsidRDefault="00DE32BB" w:rsidP="00DE32BB">
      <w:pPr>
        <w:spacing w:after="0"/>
        <w:rPr>
          <w:rFonts w:ascii="Verdana" w:eastAsia="Verdana" w:hAnsi="Verdana" w:cs="Verdana"/>
        </w:rPr>
      </w:pPr>
    </w:p>
    <w:p w14:paraId="3DF02852" w14:textId="77777777" w:rsidR="00DE32BB" w:rsidRPr="00A374FD" w:rsidRDefault="00DE32BB" w:rsidP="00DE32BB"/>
    <w:p w14:paraId="4147B8E4" w14:textId="77777777" w:rsidR="00DE32BB" w:rsidRPr="00A35A17" w:rsidRDefault="00DE32BB" w:rsidP="00DE32BB"/>
    <w:p w14:paraId="778CDA44" w14:textId="77777777" w:rsidR="00DE32BB" w:rsidRPr="0024624F" w:rsidRDefault="00DE32BB" w:rsidP="00DE32BB">
      <w:pPr>
        <w:spacing w:after="0"/>
        <w:rPr>
          <w:rFonts w:ascii="Verdana" w:eastAsia="Verdana" w:hAnsi="Verdana" w:cs="Verdana"/>
        </w:rPr>
      </w:pPr>
    </w:p>
    <w:bookmarkEnd w:id="0"/>
    <w:p w14:paraId="348BFBD8" w14:textId="77777777" w:rsidR="00DE32BB" w:rsidRPr="0024624F" w:rsidRDefault="00DE32BB" w:rsidP="30821638">
      <w:pPr>
        <w:spacing w:after="0"/>
        <w:rPr>
          <w:rFonts w:ascii="Verdana" w:eastAsia="Verdana" w:hAnsi="Verdana" w:cs="Verdana"/>
        </w:rPr>
      </w:pPr>
    </w:p>
    <w:sectPr w:rsidR="00DE32BB" w:rsidRPr="0024624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D22D0" w14:textId="77777777" w:rsidR="0093790F" w:rsidRDefault="0093790F" w:rsidP="004A1847">
      <w:pPr>
        <w:spacing w:after="0" w:line="240" w:lineRule="auto"/>
      </w:pPr>
      <w:r>
        <w:separator/>
      </w:r>
    </w:p>
  </w:endnote>
  <w:endnote w:type="continuationSeparator" w:id="0">
    <w:p w14:paraId="320C8B22" w14:textId="77777777" w:rsidR="0093790F" w:rsidRDefault="0093790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A488E" w14:textId="77777777" w:rsidR="0093790F" w:rsidRDefault="0093790F" w:rsidP="004A1847">
      <w:pPr>
        <w:spacing w:after="0" w:line="240" w:lineRule="auto"/>
      </w:pPr>
      <w:r>
        <w:separator/>
      </w:r>
    </w:p>
  </w:footnote>
  <w:footnote w:type="continuationSeparator" w:id="0">
    <w:p w14:paraId="414C6B2A" w14:textId="77777777" w:rsidR="0093790F" w:rsidRDefault="0093790F" w:rsidP="004A1847">
      <w:pPr>
        <w:spacing w:after="0" w:line="240" w:lineRule="auto"/>
      </w:pPr>
      <w:r>
        <w:continuationSeparator/>
      </w:r>
    </w:p>
  </w:footnote>
  <w:footnote w:id="1">
    <w:p w14:paraId="4C22809A" w14:textId="77777777" w:rsidR="00DE32BB" w:rsidRPr="00847D72" w:rsidRDefault="00DE32BB" w:rsidP="00DE32BB">
      <w:pPr>
        <w:pStyle w:val="Textonotapie"/>
        <w:ind w:firstLine="709"/>
        <w:jc w:val="both"/>
        <w:rPr>
          <w:rFonts w:ascii="Verdana" w:hAnsi="Verdana" w:cs="Arial"/>
          <w:sz w:val="14"/>
          <w:szCs w:val="14"/>
          <w:lang w:val="es-ES"/>
        </w:rPr>
      </w:pPr>
      <w:r w:rsidRPr="00847D72">
        <w:rPr>
          <w:rStyle w:val="Refdenotaalpie"/>
          <w:rFonts w:ascii="Verdana" w:hAnsi="Verdana" w:cs="Arial"/>
          <w:sz w:val="14"/>
          <w:szCs w:val="14"/>
        </w:rPr>
        <w:footnoteRef/>
      </w:r>
      <w:r w:rsidRPr="00847D72">
        <w:rPr>
          <w:rFonts w:ascii="Verdana" w:hAnsi="Verdana" w:cs="Arial"/>
          <w:sz w:val="14"/>
          <w:szCs w:val="14"/>
        </w:rPr>
        <w:t xml:space="preserve"> En efecto</w:t>
      </w:r>
      <w:r w:rsidRPr="00847D72">
        <w:rPr>
          <w:rFonts w:ascii="Verdana" w:hAnsi="Verdana" w:cs="Arial"/>
          <w:sz w:val="14"/>
          <w:szCs w:val="14"/>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847D72">
        <w:rPr>
          <w:rFonts w:ascii="Verdana" w:hAnsi="Verdana" w:cs="Arial"/>
          <w:i/>
          <w:iCs/>
          <w:sz w:val="14"/>
          <w:szCs w:val="14"/>
          <w:lang w:val="es-ES"/>
        </w:rPr>
        <w:t>julio</w:t>
      </w:r>
      <w:r w:rsidRPr="00847D72">
        <w:rPr>
          <w:rFonts w:ascii="Verdana" w:hAnsi="Verdana" w:cs="Arial"/>
          <w:sz w:val="14"/>
          <w:szCs w:val="14"/>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p w14:paraId="62AC7EF1" w14:textId="77777777" w:rsidR="00DE32BB" w:rsidRPr="00847D72" w:rsidRDefault="00DE32BB" w:rsidP="00DE32BB">
      <w:pPr>
        <w:pStyle w:val="Textonotapie"/>
        <w:ind w:firstLine="709"/>
        <w:jc w:val="both"/>
        <w:rPr>
          <w:rFonts w:ascii="Verdana" w:hAnsi="Verdana" w:cs="Arial"/>
          <w:sz w:val="14"/>
          <w:szCs w:val="14"/>
          <w:lang w:val="es-ES"/>
        </w:rPr>
      </w:pPr>
    </w:p>
  </w:footnote>
  <w:footnote w:id="2">
    <w:p w14:paraId="0E8ECC14" w14:textId="77777777" w:rsidR="00DE32BB" w:rsidRPr="00847D72" w:rsidRDefault="00DE32BB" w:rsidP="00DE32BB">
      <w:pPr>
        <w:pStyle w:val="Textonotapie"/>
        <w:ind w:firstLine="709"/>
        <w:jc w:val="both"/>
        <w:rPr>
          <w:rFonts w:ascii="Verdana" w:hAnsi="Verdana" w:cs="Arial"/>
          <w:sz w:val="14"/>
          <w:szCs w:val="14"/>
          <w:lang w:val="es-ES"/>
        </w:rPr>
      </w:pPr>
      <w:r w:rsidRPr="00847D72">
        <w:rPr>
          <w:rStyle w:val="Refdenotaalpie"/>
          <w:rFonts w:ascii="Verdana" w:hAnsi="Verdana" w:cs="Arial"/>
          <w:sz w:val="14"/>
          <w:szCs w:val="14"/>
        </w:rPr>
        <w:footnoteRef/>
      </w:r>
      <w:r w:rsidRPr="00847D72">
        <w:rPr>
          <w:rFonts w:ascii="Verdana" w:hAnsi="Verdana" w:cs="Arial"/>
          <w:sz w:val="14"/>
          <w:szCs w:val="14"/>
        </w:rPr>
        <w:t xml:space="preserve"> </w:t>
      </w:r>
      <w:r w:rsidRPr="00847D72">
        <w:rPr>
          <w:rFonts w:ascii="Verdana" w:hAnsi="Verdana" w:cs="Arial"/>
          <w:sz w:val="14"/>
          <w:szCs w:val="14"/>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1737DDA8" w14:textId="77777777" w:rsidR="00DE32BB" w:rsidRPr="00847D72" w:rsidRDefault="00DE32BB" w:rsidP="00DE32BB">
      <w:pPr>
        <w:pStyle w:val="Textonotapie"/>
        <w:ind w:firstLine="709"/>
        <w:jc w:val="both"/>
        <w:rPr>
          <w:rFonts w:ascii="Verdana" w:hAnsi="Verdana" w:cs="Arial"/>
          <w:sz w:val="14"/>
          <w:szCs w:val="14"/>
          <w:lang w:val="es-ES"/>
        </w:rPr>
      </w:pPr>
      <w:r w:rsidRPr="00847D72">
        <w:rPr>
          <w:rFonts w:ascii="Verdana" w:eastAsia="Calibri" w:hAnsi="Verdana" w:cs="Arial"/>
          <w:i/>
          <w:iCs/>
          <w:color w:val="000000"/>
          <w:sz w:val="14"/>
          <w:szCs w:val="14"/>
          <w:lang w:val="es-ES_tradnl"/>
        </w:rPr>
        <w:t>“</w:t>
      </w:r>
      <w:r w:rsidRPr="00847D72">
        <w:rPr>
          <w:rFonts w:ascii="Verdana" w:hAnsi="Verdana" w:cs="Arial"/>
          <w:sz w:val="14"/>
          <w:szCs w:val="14"/>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553F26F5" w14:textId="77777777" w:rsidR="00DE32BB" w:rsidRPr="00847D72" w:rsidRDefault="00DE32BB" w:rsidP="00DE32BB">
      <w:pPr>
        <w:pStyle w:val="Textonotapie"/>
        <w:ind w:firstLine="709"/>
        <w:jc w:val="both"/>
        <w:rPr>
          <w:rFonts w:ascii="Verdana" w:hAnsi="Verdana" w:cs="Arial"/>
          <w:sz w:val="14"/>
          <w:szCs w:val="14"/>
          <w:lang w:val="es-ES"/>
        </w:rPr>
      </w:pPr>
      <w:r w:rsidRPr="00847D72">
        <w:rPr>
          <w:rFonts w:ascii="Verdana" w:hAnsi="Verdana" w:cs="Arial"/>
          <w:sz w:val="14"/>
          <w:szCs w:val="14"/>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72C6764B" w14:textId="77777777" w:rsidR="00DE32BB" w:rsidRPr="00847D72" w:rsidRDefault="00DE32BB" w:rsidP="00DE32BB">
      <w:pPr>
        <w:pStyle w:val="Textonotapie"/>
        <w:ind w:firstLine="709"/>
        <w:jc w:val="both"/>
        <w:rPr>
          <w:rFonts w:ascii="Verdana" w:hAnsi="Verdana" w:cs="Arial"/>
          <w:sz w:val="14"/>
          <w:szCs w:val="14"/>
          <w:lang w:val="es-ES"/>
        </w:rPr>
      </w:pPr>
      <w:r w:rsidRPr="00847D72">
        <w:rPr>
          <w:rFonts w:ascii="Verdana" w:hAnsi="Verdana" w:cs="Arial"/>
          <w:sz w:val="14"/>
          <w:szCs w:val="14"/>
          <w:lang w:val="es-ES"/>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14:paraId="42B50DA9" w14:textId="77777777" w:rsidR="00DE32BB" w:rsidRPr="00847D72" w:rsidRDefault="00DE32BB" w:rsidP="00DE32BB">
      <w:pPr>
        <w:pStyle w:val="Textonotapie"/>
        <w:ind w:firstLine="709"/>
        <w:jc w:val="both"/>
        <w:rPr>
          <w:rFonts w:ascii="Verdana" w:hAnsi="Verdana" w:cs="Arial"/>
          <w:sz w:val="14"/>
          <w:szCs w:val="14"/>
          <w:lang w:val="es-ES"/>
        </w:rPr>
      </w:pPr>
      <w:r w:rsidRPr="00847D72">
        <w:rPr>
          <w:rFonts w:ascii="Verdana" w:hAnsi="Verdana" w:cs="Arial"/>
          <w:sz w:val="14"/>
          <w:szCs w:val="14"/>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36D9F452" w14:textId="77777777" w:rsidR="00DE32BB" w:rsidRPr="00847D72" w:rsidRDefault="00DE32BB" w:rsidP="00DE32BB">
      <w:pPr>
        <w:pStyle w:val="Textonotapie"/>
        <w:ind w:firstLine="709"/>
        <w:jc w:val="both"/>
        <w:rPr>
          <w:rFonts w:ascii="Verdana" w:hAnsi="Verdana" w:cs="Arial"/>
          <w:sz w:val="14"/>
          <w:szCs w:val="14"/>
          <w:lang w:val="es-ES"/>
        </w:rPr>
      </w:pPr>
      <w:r w:rsidRPr="00847D72">
        <w:rPr>
          <w:rFonts w:ascii="Verdana" w:hAnsi="Verdana" w:cs="Arial"/>
          <w:sz w:val="14"/>
          <w:szCs w:val="14"/>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627EC527" w14:textId="77777777" w:rsidR="00DE32BB" w:rsidRPr="00847D72" w:rsidRDefault="00DE32BB" w:rsidP="00DE32BB">
      <w:pPr>
        <w:pStyle w:val="Textonotapie"/>
        <w:ind w:firstLine="709"/>
        <w:jc w:val="both"/>
        <w:rPr>
          <w:rFonts w:ascii="Verdana" w:hAnsi="Verdana" w:cs="Arial"/>
          <w:sz w:val="14"/>
          <w:szCs w:val="14"/>
          <w:lang w:val="es-ES"/>
        </w:rPr>
      </w:pPr>
      <w:r w:rsidRPr="00847D72">
        <w:rPr>
          <w:rFonts w:ascii="Verdana" w:hAnsi="Verdana" w:cs="Arial"/>
          <w:sz w:val="14"/>
          <w:szCs w:val="14"/>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45E616E" w14:textId="77777777" w:rsidR="00DE32BB" w:rsidRPr="00847D72" w:rsidRDefault="00DE32BB" w:rsidP="00DE32BB">
      <w:pPr>
        <w:pStyle w:val="Textonotapie"/>
        <w:ind w:firstLine="709"/>
        <w:jc w:val="both"/>
        <w:rPr>
          <w:rFonts w:ascii="Verdana" w:hAnsi="Verdana" w:cs="Arial"/>
          <w:sz w:val="14"/>
          <w:szCs w:val="14"/>
          <w:lang w:val="es-CO"/>
        </w:rPr>
      </w:pPr>
      <w:r w:rsidRPr="00847D72">
        <w:rPr>
          <w:rFonts w:ascii="Verdana" w:hAnsi="Verdana" w:cs="Arial"/>
          <w:sz w:val="14"/>
          <w:szCs w:val="14"/>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3">
    <w:p w14:paraId="23CC80E5" w14:textId="77777777" w:rsidR="00DE32BB" w:rsidRPr="00847D72" w:rsidRDefault="00DE32BB" w:rsidP="00DE32BB">
      <w:pPr>
        <w:pStyle w:val="Textonotapie"/>
        <w:ind w:firstLine="708"/>
        <w:jc w:val="both"/>
        <w:rPr>
          <w:rFonts w:ascii="Verdana" w:hAnsi="Verdana"/>
          <w:sz w:val="14"/>
          <w:szCs w:val="14"/>
        </w:rPr>
      </w:pPr>
      <w:r w:rsidRPr="00847D72">
        <w:rPr>
          <w:rStyle w:val="Refdenotaalpie"/>
          <w:rFonts w:ascii="Verdana" w:hAnsi="Verdana"/>
          <w:sz w:val="14"/>
          <w:szCs w:val="14"/>
        </w:rPr>
        <w:footnoteRef/>
      </w:r>
      <w:r w:rsidRPr="00847D72">
        <w:rPr>
          <w:rFonts w:ascii="Verdana" w:hAnsi="Verdana"/>
          <w:sz w:val="14"/>
          <w:szCs w:val="14"/>
        </w:rPr>
        <w:t xml:space="preserve"> VAQUER CABALLERÍA, Marcos. Eficacia territorial y temporal de las normas. Valencia: Tirant lo Blanch, 2010. pp. 44-45.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C425CC"/>
    <w:multiLevelType w:val="hybridMultilevel"/>
    <w:tmpl w:val="CAD007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8"/>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20967836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ADD"/>
    <w:rsid w:val="00082362"/>
    <w:rsid w:val="000A683E"/>
    <w:rsid w:val="000B19B9"/>
    <w:rsid w:val="000D0334"/>
    <w:rsid w:val="000D5DA7"/>
    <w:rsid w:val="000F3F18"/>
    <w:rsid w:val="000F6486"/>
    <w:rsid w:val="00116940"/>
    <w:rsid w:val="00125105"/>
    <w:rsid w:val="00127233"/>
    <w:rsid w:val="0015699B"/>
    <w:rsid w:val="001A0E78"/>
    <w:rsid w:val="001A33BF"/>
    <w:rsid w:val="001E4177"/>
    <w:rsid w:val="001F0B24"/>
    <w:rsid w:val="001F7DC6"/>
    <w:rsid w:val="00215B2D"/>
    <w:rsid w:val="0022400B"/>
    <w:rsid w:val="002421BB"/>
    <w:rsid w:val="0025796E"/>
    <w:rsid w:val="002707A2"/>
    <w:rsid w:val="002951A0"/>
    <w:rsid w:val="002962BC"/>
    <w:rsid w:val="002A093D"/>
    <w:rsid w:val="002A0DD0"/>
    <w:rsid w:val="002A49AC"/>
    <w:rsid w:val="002A64FD"/>
    <w:rsid w:val="002C7A84"/>
    <w:rsid w:val="002E2BF8"/>
    <w:rsid w:val="002E4FD9"/>
    <w:rsid w:val="00300867"/>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5FC9"/>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D5CDA"/>
    <w:rsid w:val="006200BF"/>
    <w:rsid w:val="006219F8"/>
    <w:rsid w:val="006302F7"/>
    <w:rsid w:val="00646B9F"/>
    <w:rsid w:val="00665D70"/>
    <w:rsid w:val="00687CCD"/>
    <w:rsid w:val="006900D9"/>
    <w:rsid w:val="00706C16"/>
    <w:rsid w:val="007340C3"/>
    <w:rsid w:val="0075235A"/>
    <w:rsid w:val="00756841"/>
    <w:rsid w:val="007649AB"/>
    <w:rsid w:val="00771D0C"/>
    <w:rsid w:val="007833AC"/>
    <w:rsid w:val="007B268C"/>
    <w:rsid w:val="007B7171"/>
    <w:rsid w:val="007C0C0F"/>
    <w:rsid w:val="007C3DC2"/>
    <w:rsid w:val="007C52E5"/>
    <w:rsid w:val="007E5497"/>
    <w:rsid w:val="007E68E9"/>
    <w:rsid w:val="00806F5F"/>
    <w:rsid w:val="00820278"/>
    <w:rsid w:val="008258C9"/>
    <w:rsid w:val="00844AE9"/>
    <w:rsid w:val="00867F95"/>
    <w:rsid w:val="008843B6"/>
    <w:rsid w:val="00891928"/>
    <w:rsid w:val="008A446D"/>
    <w:rsid w:val="008B25F1"/>
    <w:rsid w:val="008D180B"/>
    <w:rsid w:val="008F0EA7"/>
    <w:rsid w:val="00915B5D"/>
    <w:rsid w:val="00923236"/>
    <w:rsid w:val="00923EEF"/>
    <w:rsid w:val="0093790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13A11"/>
    <w:rsid w:val="00B44A47"/>
    <w:rsid w:val="00B72CD3"/>
    <w:rsid w:val="00B72FFF"/>
    <w:rsid w:val="00B75152"/>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6B84"/>
    <w:rsid w:val="00D361FD"/>
    <w:rsid w:val="00D423A2"/>
    <w:rsid w:val="00D44E26"/>
    <w:rsid w:val="00D520D8"/>
    <w:rsid w:val="00D63AC2"/>
    <w:rsid w:val="00D7383B"/>
    <w:rsid w:val="00D7788A"/>
    <w:rsid w:val="00DA231B"/>
    <w:rsid w:val="00DC39FC"/>
    <w:rsid w:val="00DD2E5C"/>
    <w:rsid w:val="00DE32BB"/>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E32BB"/>
    <w:rPr>
      <w:rFonts w:ascii="Geomanist Light" w:hAnsi="Geomanist Light"/>
      <w:lang w:val="es-ES"/>
    </w:rPr>
  </w:style>
  <w:style w:type="paragraph" w:customStyle="1" w:styleId="Appelnotedebasde">
    <w:name w:val="Appel note de bas de..."/>
    <w:basedOn w:val="Normal"/>
    <w:link w:val="Refdenotaalpie"/>
    <w:uiPriority w:val="99"/>
    <w:rsid w:val="00DE32BB"/>
    <w:pPr>
      <w:spacing w:line="240" w:lineRule="exact"/>
    </w:pPr>
    <w:rPr>
      <w:vertAlign w:val="superscript"/>
    </w:rPr>
  </w:style>
  <w:style w:type="character" w:styleId="Fuerte">
    <w:name w:val="Strong"/>
    <w:basedOn w:val="Fuentedeprrafopredeter"/>
    <w:uiPriority w:val="22"/>
    <w:qFormat/>
    <w:rsid w:val="00DE32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hansh07@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7EE88-F611-42BC-9BD0-C771B4C662BD}"/>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19</Pages>
  <Words>6825</Words>
  <Characters>37541</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7</cp:revision>
  <cp:lastPrinted>2023-01-10T21:18:00Z</cp:lastPrinted>
  <dcterms:created xsi:type="dcterms:W3CDTF">2026-06-04T18:34:00Z</dcterms:created>
  <dcterms:modified xsi:type="dcterms:W3CDTF">2026-06-05T22:06:00Z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