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D0E92D" w14:textId="77777777" w:rsidR="00EA7FDB" w:rsidRPr="00EA7FDB" w:rsidRDefault="00EA7FDB" w:rsidP="00EA7FDB">
      <w:pPr>
        <w:spacing w:after="0"/>
        <w:jc w:val="both"/>
        <w:rPr>
          <w:rFonts w:ascii="Verdana" w:eastAsia="Calibri" w:hAnsi="Verdana" w:cs="Times New Roman"/>
        </w:rPr>
      </w:pPr>
      <w:bookmarkStart w:id="0" w:name="_Hlk143780582"/>
      <w:r w:rsidRPr="00EA7FDB">
        <w:rPr>
          <w:rFonts w:ascii="Verdana" w:eastAsia="Calibri" w:hAnsi="Verdana" w:cs="Arial"/>
          <w:b/>
          <w:bCs/>
          <w:lang w:val="es-ES_tradnl" w:eastAsia="es-ES"/>
        </w:rPr>
        <w:t xml:space="preserve">DOCUMENTOS TIPO – </w:t>
      </w:r>
      <w:r w:rsidRPr="00EA7FDB">
        <w:rPr>
          <w:rFonts w:ascii="Verdana" w:eastAsia="Aptos" w:hAnsi="Verdana" w:cs="Times New Roman"/>
          <w:b/>
          <w:bCs/>
          <w:kern w:val="2"/>
          <w:lang w:val="es-ES_tradnl" w:eastAsia="es-ES"/>
          <w14:ligatures w14:val="standardContextual"/>
        </w:rPr>
        <w:t xml:space="preserve">Generalidades </w:t>
      </w:r>
    </w:p>
    <w:p w14:paraId="738E1E2A" w14:textId="77777777" w:rsidR="00EA7FDB" w:rsidRPr="00EA7FDB" w:rsidRDefault="00EA7FDB" w:rsidP="00EA7FDB">
      <w:pPr>
        <w:spacing w:after="0" w:line="276" w:lineRule="auto"/>
        <w:jc w:val="both"/>
        <w:rPr>
          <w:rFonts w:ascii="Verdana" w:eastAsia="Calibri" w:hAnsi="Verdana" w:cs="Arial"/>
          <w:b/>
          <w:bCs/>
          <w:lang w:val="es-ES_tradnl" w:eastAsia="es-ES"/>
        </w:rPr>
      </w:pPr>
    </w:p>
    <w:p w14:paraId="2E2821A7" w14:textId="054BB439" w:rsidR="00EA7FDB" w:rsidRPr="00EA7FDB" w:rsidRDefault="00AE1D1F" w:rsidP="00EA7FDB">
      <w:pPr>
        <w:spacing w:after="0" w:line="240" w:lineRule="auto"/>
        <w:jc w:val="both"/>
        <w:rPr>
          <w:rFonts w:ascii="Verdana" w:eastAsia="Calibri" w:hAnsi="Verdana" w:cs="Arial"/>
          <w:sz w:val="20"/>
          <w:szCs w:val="20"/>
          <w:lang w:val="es-ES_tradnl"/>
        </w:rPr>
      </w:pPr>
      <w:r w:rsidRPr="00AE1D1F">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549FC8D3" w14:textId="77777777" w:rsidR="00EA7FDB" w:rsidRPr="00EA7FDB" w:rsidRDefault="00EA7FDB" w:rsidP="00EA7FDB">
      <w:pPr>
        <w:spacing w:after="0" w:line="240" w:lineRule="auto"/>
        <w:rPr>
          <w:rFonts w:ascii="Verdana" w:eastAsia="Geomanist Light" w:hAnsi="Verdana" w:cs="Arial"/>
          <w:lang w:val="es-ES_tradnl"/>
        </w:rPr>
      </w:pPr>
    </w:p>
    <w:p w14:paraId="10E83998" w14:textId="77777777" w:rsidR="00EA7FDB" w:rsidRPr="00EA7FDB" w:rsidRDefault="00EA7FDB" w:rsidP="00EA7FDB">
      <w:pPr>
        <w:spacing w:after="0" w:line="276" w:lineRule="auto"/>
        <w:jc w:val="both"/>
        <w:rPr>
          <w:rFonts w:ascii="Verdana" w:eastAsia="Geomanist Light" w:hAnsi="Verdana" w:cs="Arial"/>
          <w:b/>
          <w:bCs/>
          <w:lang w:val="es-ES_tradnl"/>
        </w:rPr>
      </w:pPr>
      <w:r w:rsidRPr="00EA7FDB">
        <w:rPr>
          <w:rFonts w:ascii="Verdana" w:eastAsia="Geomanist Light" w:hAnsi="Verdana" w:cs="Arial"/>
          <w:b/>
          <w:bCs/>
          <w:lang w:val="es-ES_tradnl"/>
        </w:rPr>
        <w:t>INDICADORES FINANCIEROS Y ORGANIZACIONALES – Proponentes plurales – Metodología para el cálculo de indicadores – Sumatoria simple – Suma de los componentes de los indicadores – Documentos Tipo</w:t>
      </w:r>
    </w:p>
    <w:p w14:paraId="22893E48" w14:textId="77777777" w:rsidR="00AE1D1F" w:rsidRDefault="00AE1D1F" w:rsidP="00AE1D1F">
      <w:pPr>
        <w:snapToGrid w:val="0"/>
        <w:spacing w:after="0" w:line="276" w:lineRule="auto"/>
        <w:contextualSpacing/>
        <w:jc w:val="both"/>
        <w:rPr>
          <w:rFonts w:ascii="Verdana" w:eastAsia="Geomanist Light" w:hAnsi="Verdana" w:cs="Arial"/>
          <w:lang w:val="es-ES_tradnl"/>
        </w:rPr>
      </w:pPr>
    </w:p>
    <w:p w14:paraId="2DB0E438" w14:textId="2132523A" w:rsidR="00AE1D1F" w:rsidRPr="00AE1D1F" w:rsidRDefault="00AE1D1F" w:rsidP="00AE1D1F">
      <w:pPr>
        <w:snapToGrid w:val="0"/>
        <w:spacing w:after="0" w:line="240" w:lineRule="auto"/>
        <w:contextualSpacing/>
        <w:jc w:val="both"/>
        <w:rPr>
          <w:rFonts w:ascii="Verdana" w:eastAsia="Aptos" w:hAnsi="Verdana" w:cs="Arial"/>
          <w:kern w:val="2"/>
          <w:sz w:val="20"/>
          <w:szCs w:val="20"/>
          <w:shd w:val="clear" w:color="auto" w:fill="FFFFFF"/>
          <w:lang w:val="es-ES"/>
          <w14:ligatures w14:val="standardContextual"/>
        </w:rPr>
      </w:pPr>
      <w:r w:rsidRPr="00AE1D1F">
        <w:rPr>
          <w:rFonts w:ascii="Verdana" w:eastAsia="Aptos" w:hAnsi="Verdana" w:cs="Arial"/>
          <w:kern w:val="2"/>
          <w:sz w:val="20"/>
          <w:szCs w:val="20"/>
          <w:shd w:val="clear" w:color="auto" w:fill="FFFFFF"/>
          <w:lang w:val="es-ES"/>
          <w14:ligatures w14:val="standardContextual"/>
        </w:rPr>
        <w:t>Inicialmente, como puede evidenciarse, el Manual en comento propone las dos metodologías –sumatoria o ponderación– como opciones válidas para el cálculo de los indicadores de proponentes plurales; por otro lado, la diferencia radica fundamentalmente en el nivel de precisión con el que se evalúa la solvencia del proponente plural dependiendo de su porcentaje de participación, lo que hace que las metodologías ponderadas sean más rigurosas de cara al análisis.</w:t>
      </w:r>
    </w:p>
    <w:p w14:paraId="76300451" w14:textId="77777777" w:rsidR="00AE1D1F" w:rsidRPr="00AE1D1F" w:rsidRDefault="00AE1D1F" w:rsidP="00AE1D1F">
      <w:pPr>
        <w:snapToGrid w:val="0"/>
        <w:spacing w:after="0" w:line="240" w:lineRule="auto"/>
        <w:ind w:left="720"/>
        <w:contextualSpacing/>
        <w:jc w:val="both"/>
        <w:rPr>
          <w:rFonts w:ascii="Verdana" w:eastAsia="Aptos" w:hAnsi="Verdana" w:cs="Arial"/>
          <w:kern w:val="2"/>
          <w:sz w:val="20"/>
          <w:szCs w:val="20"/>
          <w:shd w:val="clear" w:color="auto" w:fill="FFFFFF"/>
          <w:lang w:val="es-ES"/>
          <w14:ligatures w14:val="standardContextual"/>
        </w:rPr>
      </w:pPr>
    </w:p>
    <w:p w14:paraId="2B229EAC" w14:textId="77777777" w:rsidR="00AE1D1F" w:rsidRPr="00AE1D1F" w:rsidRDefault="00AE1D1F" w:rsidP="00AE1D1F">
      <w:pPr>
        <w:snapToGrid w:val="0"/>
        <w:spacing w:after="0" w:line="240" w:lineRule="auto"/>
        <w:contextualSpacing/>
        <w:jc w:val="both"/>
        <w:rPr>
          <w:rFonts w:ascii="Verdana" w:eastAsia="Aptos" w:hAnsi="Verdana" w:cs="Arial"/>
          <w:kern w:val="2"/>
          <w:sz w:val="20"/>
          <w:szCs w:val="20"/>
          <w:shd w:val="clear" w:color="auto" w:fill="FFFFFF"/>
          <w:lang w:val="es-ES"/>
          <w14:ligatures w14:val="standardContextual"/>
        </w:rPr>
      </w:pPr>
      <w:r w:rsidRPr="00AE1D1F">
        <w:rPr>
          <w:rFonts w:ascii="Verdana" w:eastAsia="Aptos" w:hAnsi="Verdana" w:cs="Arial"/>
          <w:kern w:val="2"/>
          <w:sz w:val="20"/>
          <w:szCs w:val="20"/>
          <w:shd w:val="clear" w:color="auto" w:fill="FFFFFF"/>
          <w:lang w:val="es-ES"/>
          <w14:ligatures w14:val="standardContextual"/>
        </w:rPr>
        <w:t xml:space="preserve">Sin embargo, y en el marco de los principales objetivos de la aplicación de los documentos tipo –que buscan promover la participación y aumentar la pluralidad de oferentes en los procesos de selección–, desde la Agencia Nacional de Contratación Pública se ha considerado utilizar las metodologías de </w:t>
      </w:r>
      <w:r w:rsidRPr="00AE1D1F">
        <w:rPr>
          <w:rFonts w:ascii="Verdana" w:eastAsia="Aptos" w:hAnsi="Verdana" w:cs="Arial"/>
          <w:i/>
          <w:iCs/>
          <w:kern w:val="2"/>
          <w:sz w:val="20"/>
          <w:szCs w:val="20"/>
          <w:shd w:val="clear" w:color="auto" w:fill="FFFFFF"/>
          <w:lang w:val="es-ES"/>
          <w14:ligatures w14:val="standardContextual"/>
        </w:rPr>
        <w:t>sumatoria simple</w:t>
      </w:r>
      <w:r w:rsidRPr="00AE1D1F">
        <w:rPr>
          <w:rFonts w:ascii="Verdana" w:eastAsia="Aptos" w:hAnsi="Verdana" w:cs="Arial"/>
          <w:kern w:val="2"/>
          <w:sz w:val="20"/>
          <w:szCs w:val="20"/>
          <w:shd w:val="clear" w:color="auto" w:fill="FFFFFF"/>
          <w:lang w:val="es-ES"/>
          <w14:ligatures w14:val="standardContextual"/>
        </w:rPr>
        <w:t xml:space="preserve"> para efectos de calcular los indicadores de proponentes plurales, toda vez que dicha metodología facilita la habilitación de las diferentes estructuras plurales sin requerir necesariamente que </w:t>
      </w:r>
      <w:r w:rsidRPr="00AE1D1F">
        <w:rPr>
          <w:rFonts w:ascii="Verdana" w:eastAsia="Aptos" w:hAnsi="Verdana" w:cs="Arial"/>
          <w:kern w:val="2"/>
          <w:sz w:val="20"/>
          <w:szCs w:val="20"/>
          <w:shd w:val="clear" w:color="auto" w:fill="FFFFFF"/>
          <w14:ligatures w14:val="standardContextual"/>
        </w:rPr>
        <w:t>el integrante del proponente plural con los mejores indicadores tenga una mayor participación en el mismo.</w:t>
      </w:r>
    </w:p>
    <w:p w14:paraId="6A2E0113" w14:textId="77777777" w:rsidR="00AE1D1F" w:rsidRPr="00EA7FDB" w:rsidRDefault="00AE1D1F" w:rsidP="00AE1D1F">
      <w:pPr>
        <w:spacing w:after="0" w:line="240" w:lineRule="auto"/>
        <w:ind w:left="720"/>
        <w:contextualSpacing/>
        <w:rPr>
          <w:rFonts w:ascii="Verdana" w:eastAsia="Aptos" w:hAnsi="Verdana" w:cs="Arial"/>
          <w:kern w:val="2"/>
          <w:shd w:val="clear" w:color="auto" w:fill="FFFFFF"/>
          <w14:ligatures w14:val="standardContextual"/>
        </w:rPr>
      </w:pPr>
    </w:p>
    <w:p w14:paraId="4D96FF2E" w14:textId="77777777" w:rsidR="00EA7FDB" w:rsidRPr="00EA7FDB" w:rsidRDefault="00EA7FDB" w:rsidP="00EA7FDB">
      <w:pPr>
        <w:spacing w:after="0" w:line="240" w:lineRule="auto"/>
        <w:rPr>
          <w:rFonts w:ascii="Verdana" w:eastAsia="Geomanist Light" w:hAnsi="Verdana" w:cs="Arial"/>
          <w:lang w:val="es-ES_tradnl"/>
        </w:rPr>
      </w:pPr>
    </w:p>
    <w:p w14:paraId="34C8722F" w14:textId="77777777" w:rsidR="00EA7FDB" w:rsidRPr="00EA7FDB" w:rsidRDefault="00EA7FDB" w:rsidP="00EA7FDB">
      <w:pPr>
        <w:spacing w:after="0" w:line="240" w:lineRule="auto"/>
        <w:rPr>
          <w:rFonts w:ascii="Verdana" w:eastAsia="Geomanist Light" w:hAnsi="Verdana" w:cs="Arial"/>
          <w:lang w:val="es-ES_tradnl"/>
        </w:rPr>
      </w:pPr>
    </w:p>
    <w:p w14:paraId="08D15330" w14:textId="77777777" w:rsidR="00EA7FDB" w:rsidRPr="00EA7FDB" w:rsidRDefault="00EA7FDB" w:rsidP="00EA7FDB">
      <w:pPr>
        <w:spacing w:after="0" w:line="240" w:lineRule="auto"/>
        <w:rPr>
          <w:rFonts w:ascii="Verdana" w:eastAsia="Geomanist Light" w:hAnsi="Verdana" w:cs="Arial"/>
          <w:lang w:val="es-ES_tradnl"/>
        </w:rPr>
      </w:pPr>
    </w:p>
    <w:p w14:paraId="6171114E" w14:textId="77777777" w:rsidR="00EA7FDB" w:rsidRPr="00EA7FDB" w:rsidRDefault="00EA7FDB" w:rsidP="00EA7FDB">
      <w:pPr>
        <w:spacing w:after="0" w:line="240" w:lineRule="auto"/>
        <w:rPr>
          <w:rFonts w:ascii="Verdana" w:eastAsia="Geomanist Light" w:hAnsi="Verdana" w:cs="Arial"/>
          <w:lang w:val="es-ES_tradnl"/>
        </w:rPr>
      </w:pPr>
    </w:p>
    <w:p w14:paraId="4605D5C5" w14:textId="77777777" w:rsidR="00EA7FDB" w:rsidRDefault="00EA7FDB" w:rsidP="00EA7FDB">
      <w:pPr>
        <w:spacing w:after="0" w:line="240" w:lineRule="auto"/>
        <w:rPr>
          <w:rFonts w:ascii="Verdana" w:eastAsia="Geomanist Light" w:hAnsi="Verdana" w:cs="Arial"/>
          <w:lang w:val="es-ES_tradnl"/>
        </w:rPr>
      </w:pPr>
    </w:p>
    <w:p w14:paraId="5BBDC4DC" w14:textId="77777777" w:rsidR="00AE1D1F" w:rsidRPr="00EA7FDB" w:rsidRDefault="00AE1D1F" w:rsidP="00EA7FDB">
      <w:pPr>
        <w:spacing w:after="0" w:line="240" w:lineRule="auto"/>
        <w:rPr>
          <w:rFonts w:ascii="Verdana" w:eastAsia="Geomanist Light" w:hAnsi="Verdana" w:cs="Arial"/>
          <w:lang w:val="es-ES_tradnl"/>
        </w:rPr>
      </w:pPr>
    </w:p>
    <w:p w14:paraId="68E6C14D" w14:textId="77777777" w:rsidR="00EA7FDB" w:rsidRPr="00EA7FDB" w:rsidRDefault="00EA7FDB" w:rsidP="00EA7FDB">
      <w:pPr>
        <w:spacing w:after="0" w:line="240" w:lineRule="auto"/>
        <w:rPr>
          <w:rFonts w:ascii="Verdana" w:eastAsia="Geomanist Light" w:hAnsi="Verdana" w:cs="Arial"/>
          <w:lang w:val="es-ES_tradnl"/>
        </w:rPr>
      </w:pPr>
    </w:p>
    <w:p w14:paraId="7792A5E6" w14:textId="77777777" w:rsidR="00EA7FDB" w:rsidRPr="00EA7FDB" w:rsidRDefault="00EA7FDB" w:rsidP="00EA7FDB">
      <w:pPr>
        <w:spacing w:after="0" w:line="240" w:lineRule="auto"/>
        <w:rPr>
          <w:rFonts w:ascii="Verdana" w:eastAsia="Geomanist Light" w:hAnsi="Verdana" w:cs="Arial"/>
          <w:lang w:val="es-ES_tradnl"/>
        </w:rPr>
      </w:pPr>
    </w:p>
    <w:p w14:paraId="4FF35D38" w14:textId="77777777" w:rsidR="00EA7FDB" w:rsidRPr="00EA7FDB" w:rsidRDefault="00EA7FDB" w:rsidP="00EA7FDB">
      <w:pPr>
        <w:spacing w:after="0" w:line="240" w:lineRule="auto"/>
        <w:rPr>
          <w:rFonts w:ascii="Verdana" w:eastAsia="Geomanist Light" w:hAnsi="Verdana" w:cs="Arial"/>
          <w:lang w:val="es-ES_tradnl"/>
        </w:rPr>
      </w:pPr>
    </w:p>
    <w:p w14:paraId="464C0024" w14:textId="77777777" w:rsidR="00EA7FDB" w:rsidRPr="00EA7FDB" w:rsidRDefault="00EA7FDB" w:rsidP="00EA7FDB">
      <w:pPr>
        <w:spacing w:after="0" w:line="240" w:lineRule="auto"/>
        <w:rPr>
          <w:rFonts w:ascii="Verdana" w:eastAsia="Geomanist Light" w:hAnsi="Verdana" w:cs="Arial"/>
          <w:lang w:val="es-ES_tradnl"/>
        </w:rPr>
      </w:pPr>
    </w:p>
    <w:p w14:paraId="6CAE33E6" w14:textId="77777777" w:rsidR="00EA7FDB" w:rsidRPr="00EA7FDB" w:rsidRDefault="00EA7FDB" w:rsidP="00EA7FDB">
      <w:pPr>
        <w:spacing w:after="0" w:line="240" w:lineRule="auto"/>
        <w:rPr>
          <w:rFonts w:ascii="Verdana" w:eastAsia="Geomanist Light" w:hAnsi="Verdana" w:cs="Arial"/>
          <w:lang w:val="es-ES_tradnl"/>
        </w:rPr>
      </w:pPr>
    </w:p>
    <w:p w14:paraId="720A020D" w14:textId="77777777" w:rsidR="00EA7FDB" w:rsidRPr="00EA7FDB" w:rsidRDefault="00EA7FDB" w:rsidP="00EA7FDB">
      <w:pPr>
        <w:spacing w:after="0" w:line="240" w:lineRule="auto"/>
        <w:rPr>
          <w:rFonts w:ascii="Verdana" w:eastAsia="Geomanist Light" w:hAnsi="Verdana" w:cs="Arial"/>
          <w:lang w:val="es-ES_tradnl"/>
        </w:rPr>
      </w:pPr>
    </w:p>
    <w:p w14:paraId="04FDA489" w14:textId="77777777" w:rsidR="00EA7FDB" w:rsidRPr="00EA7FDB" w:rsidRDefault="00EA7FDB" w:rsidP="00EA7FDB">
      <w:pPr>
        <w:spacing w:after="0" w:line="240" w:lineRule="auto"/>
        <w:rPr>
          <w:rFonts w:ascii="Verdana" w:eastAsia="Calibri" w:hAnsi="Verdana" w:cs="Times New Roman"/>
          <w:lang w:val="es-ES_tradnl"/>
        </w:rPr>
      </w:pPr>
    </w:p>
    <w:p w14:paraId="119DE055" w14:textId="77777777" w:rsidR="00EA7FDB" w:rsidRPr="00EA7FDB" w:rsidRDefault="00EA7FDB" w:rsidP="00EA7FDB">
      <w:pPr>
        <w:spacing w:after="0" w:line="240" w:lineRule="auto"/>
        <w:rPr>
          <w:rFonts w:ascii="Verdana" w:eastAsia="Calibri" w:hAnsi="Verdana" w:cs="Times New Roman"/>
          <w:lang w:val="es-ES_tradnl"/>
        </w:rPr>
      </w:pPr>
    </w:p>
    <w:p w14:paraId="70B3D812" w14:textId="77777777" w:rsidR="00EA7FDB" w:rsidRPr="00EA7FDB" w:rsidRDefault="00EA7FDB" w:rsidP="00EA7FDB">
      <w:pPr>
        <w:spacing w:after="0" w:line="240" w:lineRule="auto"/>
        <w:jc w:val="both"/>
        <w:rPr>
          <w:rFonts w:ascii="Verdana" w:eastAsia="Calibri" w:hAnsi="Verdana" w:cs="Times New Roman"/>
        </w:rPr>
      </w:pPr>
    </w:p>
    <w:p w14:paraId="2B01F5EF" w14:textId="172F4A0F" w:rsidR="00EA7FDB" w:rsidRPr="0044528D" w:rsidRDefault="00EA7FDB" w:rsidP="00EA7FDB">
      <w:pPr>
        <w:spacing w:after="0"/>
        <w:rPr>
          <w:rFonts w:ascii="Verdana" w:hAnsi="Verdana"/>
        </w:rPr>
      </w:pPr>
      <w:r w:rsidRPr="0044528D">
        <w:rPr>
          <w:rFonts w:ascii="Verdana" w:hAnsi="Verdana"/>
        </w:rPr>
        <w:lastRenderedPageBreak/>
        <w:t>Bogotá D.C.</w:t>
      </w:r>
      <w:r w:rsidRPr="0044528D">
        <w:rPr>
          <w:rFonts w:ascii="Verdana" w:hAnsi="Verdana"/>
        </w:rPr>
        <w:tab/>
      </w:r>
    </w:p>
    <w:p w14:paraId="2D0FEE23" w14:textId="77777777" w:rsidR="00EA7FDB" w:rsidRPr="00EA7FDB" w:rsidRDefault="00EA7FDB" w:rsidP="00EA7FDB">
      <w:pPr>
        <w:spacing w:after="0" w:line="240" w:lineRule="auto"/>
        <w:jc w:val="both"/>
        <w:rPr>
          <w:rFonts w:ascii="Verdana" w:eastAsia="Calibri" w:hAnsi="Verdana" w:cs="Arial"/>
          <w:lang w:val="es-ES_tradnl" w:eastAsia="es-ES"/>
        </w:rPr>
      </w:pPr>
    </w:p>
    <w:p w14:paraId="572F8A22" w14:textId="16BB6FAF" w:rsidR="00EA7FDB" w:rsidRPr="00EA7FDB" w:rsidRDefault="00977E20" w:rsidP="00977E20">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2FB858ED" wp14:editId="22228A71">
            <wp:extent cx="3684104" cy="1101619"/>
            <wp:effectExtent l="0" t="0" r="0" b="3810"/>
            <wp:docPr id="19861698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169868" name="Imagen 1986169868"/>
                    <pic:cNvPicPr/>
                  </pic:nvPicPr>
                  <pic:blipFill>
                    <a:blip r:embed="rId10">
                      <a:extLst>
                        <a:ext uri="{28A0092B-C50C-407E-A947-70E740481C1C}">
                          <a14:useLocalDpi xmlns:a14="http://schemas.microsoft.com/office/drawing/2010/main" val="0"/>
                        </a:ext>
                      </a:extLst>
                    </a:blip>
                    <a:stretch>
                      <a:fillRect/>
                    </a:stretch>
                  </pic:blipFill>
                  <pic:spPr>
                    <a:xfrm>
                      <a:off x="0" y="0"/>
                      <a:ext cx="3694018" cy="1104583"/>
                    </a:xfrm>
                    <a:prstGeom prst="rect">
                      <a:avLst/>
                    </a:prstGeom>
                  </pic:spPr>
                </pic:pic>
              </a:graphicData>
            </a:graphic>
          </wp:inline>
        </w:drawing>
      </w:r>
    </w:p>
    <w:p w14:paraId="55D316E3" w14:textId="77777777" w:rsidR="00EA7FDB" w:rsidRPr="00EA7FDB" w:rsidRDefault="00EA7FDB" w:rsidP="00EA7FDB">
      <w:pPr>
        <w:spacing w:after="0" w:line="240" w:lineRule="auto"/>
        <w:jc w:val="both"/>
        <w:rPr>
          <w:rFonts w:ascii="Verdana" w:eastAsia="Calibri" w:hAnsi="Verdana" w:cs="Arial"/>
          <w:lang w:val="es-ES_tradnl" w:eastAsia="es-ES"/>
        </w:rPr>
      </w:pPr>
      <w:r w:rsidRPr="00EA7FDB">
        <w:rPr>
          <w:rFonts w:ascii="Verdana" w:eastAsia="Calibri" w:hAnsi="Verdana" w:cs="Arial"/>
          <w:lang w:val="es-ES_tradnl" w:eastAsia="es-ES"/>
        </w:rPr>
        <w:t>Señor</w:t>
      </w:r>
    </w:p>
    <w:p w14:paraId="1E21E8D2" w14:textId="77777777" w:rsidR="00EA7FDB" w:rsidRPr="00EA7FDB" w:rsidRDefault="00EA7FDB" w:rsidP="00EA7FDB">
      <w:pPr>
        <w:spacing w:after="0" w:line="240" w:lineRule="auto"/>
        <w:rPr>
          <w:rFonts w:ascii="Verdana" w:eastAsia="Calibri" w:hAnsi="Verdana" w:cs="Arial"/>
          <w:b/>
          <w:lang w:val="es-ES" w:eastAsia="es-ES"/>
        </w:rPr>
      </w:pPr>
      <w:r w:rsidRPr="5B8C306E">
        <w:rPr>
          <w:rFonts w:ascii="Verdana" w:eastAsia="Calibri" w:hAnsi="Verdana" w:cs="Arial"/>
          <w:b/>
          <w:lang w:val="es-ES" w:eastAsia="es-ES"/>
        </w:rPr>
        <w:t xml:space="preserve">Mario Fernando </w:t>
      </w:r>
      <w:proofErr w:type="spellStart"/>
      <w:r w:rsidRPr="5B8C306E">
        <w:rPr>
          <w:rFonts w:ascii="Verdana" w:eastAsia="Calibri" w:hAnsi="Verdana" w:cs="Arial"/>
          <w:b/>
          <w:lang w:val="es-ES" w:eastAsia="es-ES"/>
        </w:rPr>
        <w:t>Gamez</w:t>
      </w:r>
      <w:proofErr w:type="spellEnd"/>
      <w:r w:rsidRPr="5B8C306E">
        <w:rPr>
          <w:rFonts w:ascii="Verdana" w:eastAsia="Calibri" w:hAnsi="Verdana" w:cs="Arial"/>
          <w:b/>
          <w:lang w:val="es-ES" w:eastAsia="es-ES"/>
        </w:rPr>
        <w:t xml:space="preserve"> Moncada</w:t>
      </w:r>
    </w:p>
    <w:p w14:paraId="15ED786A" w14:textId="77777777" w:rsidR="00EA7FDB" w:rsidRPr="00EA7FDB" w:rsidRDefault="00EA7FDB" w:rsidP="00EA7FDB">
      <w:pPr>
        <w:spacing w:after="0" w:line="240" w:lineRule="auto"/>
        <w:rPr>
          <w:rFonts w:ascii="Verdana" w:eastAsia="Calibri" w:hAnsi="Verdana" w:cs="Arial"/>
          <w:lang w:val="es-ES_tradnl" w:eastAsia="es-ES"/>
        </w:rPr>
      </w:pPr>
      <w:r w:rsidRPr="00EA7FDB">
        <w:rPr>
          <w:rFonts w:ascii="Verdana" w:eastAsia="Calibri" w:hAnsi="Verdana" w:cs="Arial"/>
          <w:lang w:val="es-ES_tradnl" w:eastAsia="es-ES"/>
        </w:rPr>
        <w:t>Ciudad</w:t>
      </w:r>
    </w:p>
    <w:p w14:paraId="52312FDB" w14:textId="77777777" w:rsidR="00EA7FDB" w:rsidRPr="00EA7FDB" w:rsidRDefault="00EA7FDB" w:rsidP="00EA7FDB">
      <w:pPr>
        <w:spacing w:after="0" w:line="240" w:lineRule="auto"/>
        <w:rPr>
          <w:rFonts w:ascii="Verdana" w:eastAsia="Calibri" w:hAnsi="Verdana" w:cs="Arial"/>
          <w:b/>
          <w:bCs/>
          <w:lang w:val="es-ES_tradnl" w:eastAsia="es-ES_tradnl"/>
        </w:rPr>
      </w:pPr>
    </w:p>
    <w:p w14:paraId="4405CAFC" w14:textId="77777777" w:rsidR="00EA7FDB" w:rsidRPr="00EA7FDB" w:rsidRDefault="00EA7FDB" w:rsidP="00EA7FDB">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A7FDB" w:rsidRPr="00EA7FDB" w14:paraId="073045A9" w14:textId="77777777" w:rsidTr="00491BBF">
        <w:trPr>
          <w:trHeight w:val="884"/>
        </w:trPr>
        <w:tc>
          <w:tcPr>
            <w:tcW w:w="2689" w:type="dxa"/>
          </w:tcPr>
          <w:p w14:paraId="2D490B00" w14:textId="77777777" w:rsidR="00EA7FDB" w:rsidRPr="00EA7FDB" w:rsidRDefault="00EA7FDB" w:rsidP="00EA7FDB">
            <w:pPr>
              <w:jc w:val="both"/>
              <w:rPr>
                <w:rFonts w:ascii="Verdana" w:eastAsia="Calibri" w:hAnsi="Verdana" w:cs="Arial"/>
                <w:b/>
                <w:bCs/>
                <w:lang w:val="es-ES_tradnl" w:eastAsia="es-ES_tradnl"/>
              </w:rPr>
            </w:pPr>
          </w:p>
        </w:tc>
        <w:tc>
          <w:tcPr>
            <w:tcW w:w="6100" w:type="dxa"/>
          </w:tcPr>
          <w:p w14:paraId="6637D697" w14:textId="77777777" w:rsidR="00EA7FDB" w:rsidRPr="00EA7FDB" w:rsidRDefault="00EA7FDB" w:rsidP="00EA7FDB">
            <w:pPr>
              <w:jc w:val="both"/>
              <w:rPr>
                <w:rFonts w:ascii="Verdana" w:eastAsia="Calibri" w:hAnsi="Verdana" w:cs="Arial"/>
                <w:b/>
                <w:bCs/>
                <w:lang w:val="es-ES_tradnl" w:eastAsia="es-ES"/>
              </w:rPr>
            </w:pPr>
            <w:r w:rsidRPr="00EA7FDB">
              <w:rPr>
                <w:rFonts w:ascii="Verdana" w:eastAsia="Calibri" w:hAnsi="Verdana" w:cs="Arial"/>
                <w:b/>
                <w:bCs/>
                <w:lang w:val="es-ES_tradnl" w:eastAsia="es-ES"/>
              </w:rPr>
              <w:t>Concepto C – 688 de 2024</w:t>
            </w:r>
          </w:p>
        </w:tc>
      </w:tr>
      <w:tr w:rsidR="00EA7FDB" w:rsidRPr="00EA7FDB" w14:paraId="7F73C0DA" w14:textId="77777777" w:rsidTr="00491BBF">
        <w:trPr>
          <w:trHeight w:val="884"/>
        </w:trPr>
        <w:tc>
          <w:tcPr>
            <w:tcW w:w="2689" w:type="dxa"/>
          </w:tcPr>
          <w:p w14:paraId="61ED1FF6" w14:textId="77777777" w:rsidR="00EA7FDB" w:rsidRPr="00EA7FDB" w:rsidRDefault="00EA7FDB" w:rsidP="00EA7FDB">
            <w:pPr>
              <w:jc w:val="both"/>
              <w:rPr>
                <w:rFonts w:ascii="Verdana" w:eastAsia="Calibri" w:hAnsi="Verdana" w:cs="Arial"/>
                <w:lang w:val="es-ES_tradnl" w:eastAsia="es-ES_tradnl"/>
              </w:rPr>
            </w:pPr>
            <w:r w:rsidRPr="00EA7FDB">
              <w:rPr>
                <w:rFonts w:ascii="Verdana" w:eastAsia="Calibri" w:hAnsi="Verdana" w:cs="Arial"/>
                <w:b/>
                <w:lang w:val="es-ES_tradnl" w:eastAsia="es-ES_tradnl"/>
              </w:rPr>
              <w:t>Temas:</w:t>
            </w:r>
            <w:r w:rsidRPr="00EA7FDB">
              <w:rPr>
                <w:rFonts w:ascii="Verdana" w:eastAsia="Calibri" w:hAnsi="Verdana" w:cs="Arial"/>
                <w:lang w:val="es-ES_tradnl" w:eastAsia="es-ES_tradnl"/>
              </w:rPr>
              <w:t xml:space="preserve">                   </w:t>
            </w:r>
          </w:p>
        </w:tc>
        <w:tc>
          <w:tcPr>
            <w:tcW w:w="6100" w:type="dxa"/>
          </w:tcPr>
          <w:p w14:paraId="60F009B7" w14:textId="77777777" w:rsidR="00EA7FDB" w:rsidRPr="00EA7FDB" w:rsidRDefault="00EA7FDB" w:rsidP="00EA7FDB">
            <w:pPr>
              <w:spacing w:line="276" w:lineRule="auto"/>
              <w:jc w:val="both"/>
              <w:rPr>
                <w:rFonts w:ascii="Verdana" w:eastAsia="Geomanist Light" w:hAnsi="Verdana" w:cs="Arial"/>
                <w:lang w:val="es-ES_tradnl"/>
              </w:rPr>
            </w:pPr>
            <w:r w:rsidRPr="00EA7FDB">
              <w:rPr>
                <w:rFonts w:ascii="Verdana" w:eastAsia="Calibri" w:hAnsi="Verdana" w:cs="Arial"/>
                <w:lang w:val="es-ES_tradnl" w:eastAsia="es-ES"/>
              </w:rPr>
              <w:t xml:space="preserve">DOCUMENTOS TIPO – </w:t>
            </w:r>
            <w:r w:rsidRPr="00EA7FDB">
              <w:rPr>
                <w:rFonts w:ascii="Verdana" w:eastAsia="Aptos" w:hAnsi="Verdana" w:cs="Times New Roman"/>
                <w:lang w:val="es-ES_tradnl" w:eastAsia="es-ES"/>
              </w:rPr>
              <w:t xml:space="preserve">Generalidades / </w:t>
            </w:r>
            <w:r w:rsidRPr="00EA7FDB">
              <w:rPr>
                <w:rFonts w:ascii="Verdana" w:eastAsia="Geomanist Light" w:hAnsi="Verdana" w:cs="Arial"/>
                <w:lang w:val="es-ES_tradnl"/>
              </w:rPr>
              <w:t>INDICADORES FINANCIEROS Y ORGANIZACIONALES – Proponentes plurales – Metodología para el cálculo de indicadores – Sumatoria simple – Suma de los componentes de los indicadores – Documentos Tipo</w:t>
            </w:r>
            <w:r w:rsidRPr="00EA7FDB">
              <w:rPr>
                <w:rFonts w:ascii="Verdana" w:eastAsia="Aptos" w:hAnsi="Verdana" w:cs="Times New Roman"/>
                <w:lang w:val="es-ES_tradnl" w:eastAsia="es-ES"/>
              </w:rPr>
              <w:t xml:space="preserve"> </w:t>
            </w:r>
          </w:p>
          <w:p w14:paraId="73B19A27" w14:textId="77777777" w:rsidR="00EA7FDB" w:rsidRPr="00EA7FDB" w:rsidRDefault="00EA7FDB" w:rsidP="00EA7FDB">
            <w:pPr>
              <w:spacing w:line="276" w:lineRule="auto"/>
              <w:jc w:val="both"/>
              <w:rPr>
                <w:rFonts w:ascii="Verdana" w:eastAsia="Calibri" w:hAnsi="Verdana" w:cs="Arial"/>
                <w:highlight w:val="yellow"/>
                <w:lang w:val="es-ES_tradnl" w:eastAsia="es-ES"/>
              </w:rPr>
            </w:pPr>
          </w:p>
        </w:tc>
      </w:tr>
      <w:tr w:rsidR="00EA7FDB" w:rsidRPr="00EA7FDB" w14:paraId="66FE7D93" w14:textId="77777777" w:rsidTr="00491BBF">
        <w:tc>
          <w:tcPr>
            <w:tcW w:w="2689" w:type="dxa"/>
          </w:tcPr>
          <w:p w14:paraId="16BA609C" w14:textId="77777777" w:rsidR="00EA7FDB" w:rsidRPr="00EA7FDB" w:rsidRDefault="00EA7FDB" w:rsidP="00EA7FDB">
            <w:pPr>
              <w:jc w:val="both"/>
              <w:rPr>
                <w:rFonts w:ascii="Verdana" w:eastAsia="Calibri" w:hAnsi="Verdana" w:cs="Arial"/>
                <w:b/>
                <w:lang w:val="es-ES_tradnl" w:eastAsia="es-ES_tradnl"/>
              </w:rPr>
            </w:pPr>
            <w:r w:rsidRPr="00EA7FDB">
              <w:rPr>
                <w:rFonts w:ascii="Verdana" w:eastAsia="Calibri" w:hAnsi="Verdana" w:cs="Arial"/>
                <w:b/>
                <w:lang w:val="es-ES_tradnl" w:eastAsia="es-ES_tradnl"/>
              </w:rPr>
              <w:t>Radicación:</w:t>
            </w:r>
            <w:r w:rsidRPr="00EA7FDB">
              <w:rPr>
                <w:rFonts w:ascii="Verdana" w:eastAsia="Calibri" w:hAnsi="Verdana" w:cs="Arial"/>
                <w:lang w:val="es-ES_tradnl" w:eastAsia="es-ES_tradnl"/>
              </w:rPr>
              <w:t xml:space="preserve">               </w:t>
            </w:r>
          </w:p>
        </w:tc>
        <w:tc>
          <w:tcPr>
            <w:tcW w:w="6100" w:type="dxa"/>
          </w:tcPr>
          <w:p w14:paraId="07190C6E" w14:textId="77777777" w:rsidR="00EA7FDB" w:rsidRPr="00EA7FDB" w:rsidRDefault="00EA7FDB" w:rsidP="00EA7FDB">
            <w:pPr>
              <w:jc w:val="both"/>
              <w:rPr>
                <w:rFonts w:ascii="Verdana" w:eastAsia="Calibri" w:hAnsi="Verdana" w:cs="Arial"/>
                <w:lang w:val="es-ES_tradnl" w:eastAsia="es-ES_tradnl"/>
              </w:rPr>
            </w:pPr>
            <w:r w:rsidRPr="00EA7FDB">
              <w:rPr>
                <w:rFonts w:ascii="Verdana" w:eastAsia="Calibri" w:hAnsi="Verdana" w:cs="Arial"/>
                <w:lang w:val="es-ES_tradnl" w:eastAsia="es-ES_tradnl"/>
              </w:rPr>
              <w:t>Respuesta a consultas con radicados acumulados No. P20241003010075 y P20241009010280</w:t>
            </w:r>
          </w:p>
        </w:tc>
      </w:tr>
    </w:tbl>
    <w:p w14:paraId="4C245149" w14:textId="77777777" w:rsidR="00EA7FDB" w:rsidRPr="00EA7FDB" w:rsidRDefault="00EA7FDB" w:rsidP="00EA7FDB">
      <w:pPr>
        <w:spacing w:after="0" w:line="240" w:lineRule="auto"/>
        <w:jc w:val="both"/>
        <w:rPr>
          <w:rFonts w:ascii="Verdana" w:eastAsia="Calibri" w:hAnsi="Verdana" w:cs="Arial"/>
          <w:lang w:val="es-ES_tradnl" w:eastAsia="es-ES_tradnl"/>
        </w:rPr>
      </w:pPr>
    </w:p>
    <w:p w14:paraId="284F320A" w14:textId="77777777" w:rsidR="00EA7FDB" w:rsidRPr="00EA7FDB" w:rsidRDefault="00EA7FDB" w:rsidP="00EA7FDB">
      <w:pPr>
        <w:spacing w:after="0" w:line="240" w:lineRule="auto"/>
        <w:jc w:val="both"/>
        <w:rPr>
          <w:rFonts w:ascii="Verdana" w:eastAsia="Calibri" w:hAnsi="Verdana" w:cs="Arial"/>
          <w:lang w:val="es-ES_tradnl" w:eastAsia="es-ES_tradnl"/>
        </w:rPr>
      </w:pPr>
    </w:p>
    <w:p w14:paraId="013F7F48" w14:textId="77777777" w:rsidR="00EA7FDB" w:rsidRPr="00EA7FDB" w:rsidRDefault="00EA7FDB" w:rsidP="00EA7FDB">
      <w:pPr>
        <w:spacing w:after="0" w:line="276" w:lineRule="auto"/>
        <w:jc w:val="both"/>
        <w:rPr>
          <w:rFonts w:ascii="Verdana" w:eastAsia="Calibri" w:hAnsi="Verdana" w:cs="Arial"/>
          <w:lang w:val="es-ES" w:eastAsia="es-ES"/>
        </w:rPr>
      </w:pPr>
      <w:r w:rsidRPr="5B8C306E">
        <w:rPr>
          <w:rFonts w:ascii="Verdana" w:eastAsia="Calibri" w:hAnsi="Verdana" w:cs="Arial"/>
          <w:lang w:val="es-ES" w:eastAsia="es-ES"/>
        </w:rPr>
        <w:t xml:space="preserve">Estimado señor </w:t>
      </w:r>
      <w:proofErr w:type="spellStart"/>
      <w:r w:rsidRPr="5B8C306E">
        <w:rPr>
          <w:rFonts w:ascii="Verdana" w:eastAsia="Calibri" w:hAnsi="Verdana" w:cs="Arial"/>
          <w:lang w:val="es-ES" w:eastAsia="es-ES"/>
        </w:rPr>
        <w:t>Gamez</w:t>
      </w:r>
      <w:proofErr w:type="spellEnd"/>
      <w:r w:rsidRPr="5B8C306E">
        <w:rPr>
          <w:rFonts w:ascii="Verdana" w:eastAsia="Calibri" w:hAnsi="Verdana" w:cs="Arial"/>
          <w:lang w:val="es-ES" w:eastAsia="es-ES"/>
        </w:rPr>
        <w:t xml:space="preserve"> Moncada: </w:t>
      </w:r>
    </w:p>
    <w:p w14:paraId="7C0291DE" w14:textId="77777777" w:rsidR="00EA7FDB" w:rsidRPr="00EA7FDB" w:rsidRDefault="00EA7FDB" w:rsidP="00EA7FDB">
      <w:pPr>
        <w:tabs>
          <w:tab w:val="left" w:pos="3768"/>
        </w:tabs>
        <w:spacing w:after="0" w:line="276" w:lineRule="auto"/>
        <w:jc w:val="both"/>
        <w:rPr>
          <w:rFonts w:ascii="Verdana" w:eastAsia="Calibri" w:hAnsi="Verdana" w:cs="Arial"/>
          <w:lang w:val="es-ES_tradnl" w:eastAsia="es-ES"/>
        </w:rPr>
      </w:pPr>
      <w:r w:rsidRPr="00EA7FDB">
        <w:rPr>
          <w:rFonts w:ascii="Verdana" w:eastAsia="Calibri" w:hAnsi="Verdana" w:cs="Arial"/>
          <w:lang w:val="es-ES_tradnl" w:eastAsia="es-ES"/>
        </w:rPr>
        <w:tab/>
      </w:r>
    </w:p>
    <w:p w14:paraId="09A2F201" w14:textId="77777777" w:rsidR="00EA7FDB" w:rsidRPr="00EA7FDB" w:rsidRDefault="00EA7FDB" w:rsidP="00EA7FDB">
      <w:pPr>
        <w:snapToGrid w:val="0"/>
        <w:spacing w:after="0" w:line="276" w:lineRule="auto"/>
        <w:jc w:val="both"/>
        <w:rPr>
          <w:rFonts w:ascii="Verdana" w:eastAsia="Calibri" w:hAnsi="Verdana" w:cs="Arial"/>
          <w:lang w:val="es-ES_tradnl" w:eastAsia="es-ES"/>
        </w:rPr>
      </w:pPr>
      <w:r w:rsidRPr="00EA7FDB">
        <w:rPr>
          <w:rFonts w:ascii="Verdana" w:eastAsia="Calibri" w:hAnsi="Verdana" w:cs="Arial"/>
          <w:lang w:val="es-ES_tradnl" w:eastAsia="es-ES"/>
        </w:rPr>
        <w:t>En ejercicio de la competencia otorgada por los artículos 3, numeral 5º, y 11, numeral 8º, del Decreto Ley 4170 de 2011,</w:t>
      </w:r>
      <w:r w:rsidRPr="00EA7FDB">
        <w:rPr>
          <w:rFonts w:ascii="Verdana" w:eastAsia="Arial MT" w:hAnsi="Verdana" w:cs="Arial MT"/>
          <w:lang w:val="es-ES_tradnl" w:eastAsia="es-ES"/>
        </w:rPr>
        <w:t xml:space="preserve"> </w:t>
      </w:r>
      <w:r w:rsidRPr="00EA7FDB">
        <w:rPr>
          <w:rFonts w:ascii="Verdana" w:eastAsia="Calibri" w:hAnsi="Verdana" w:cs="Arial"/>
          <w:lang w:val="es-ES_tradnl"/>
        </w:rPr>
        <w:t xml:space="preserve">así como lo establecido en el artículo 4 de la Resolución 1707 de 2018 expedida por esta Entidad, </w:t>
      </w:r>
      <w:r w:rsidRPr="00EA7FDB">
        <w:rPr>
          <w:rFonts w:ascii="Verdana" w:eastAsia="Calibri" w:hAnsi="Verdana" w:cs="Arial"/>
          <w:lang w:val="es-ES_tradnl" w:eastAsia="es-ES"/>
        </w:rPr>
        <w:t>la Agencia Nacional de Contratación Pública – Colombia Compra Eficiente– responde sus solicitudes de consulta acumuladas de fechas 3 y 9 de octubre, respectivamente. La consulta con radicado No. P20241009010280 fue remitida por la Presidencia de la República, mediante oficio con radicado No. OFI24-00201149 / GFPU del 9 de octubre de 2024. En relación con los documentos tipo, usted manifiesta lo siguiente:</w:t>
      </w:r>
    </w:p>
    <w:p w14:paraId="4B2AD539" w14:textId="77777777" w:rsidR="00EA7FDB" w:rsidRPr="00EA7FDB" w:rsidRDefault="00EA7FDB" w:rsidP="00EA7FDB">
      <w:pPr>
        <w:tabs>
          <w:tab w:val="left" w:pos="142"/>
          <w:tab w:val="left" w:pos="284"/>
        </w:tabs>
        <w:snapToGrid w:val="0"/>
        <w:spacing w:after="0" w:line="240" w:lineRule="auto"/>
        <w:jc w:val="both"/>
        <w:rPr>
          <w:rFonts w:ascii="Verdana" w:eastAsia="Century Gothic" w:hAnsi="Verdana" w:cs="Century Gothic"/>
          <w:b/>
          <w:bCs/>
          <w:sz w:val="21"/>
          <w:szCs w:val="21"/>
          <w:lang w:val="es-ES_tradnl"/>
        </w:rPr>
      </w:pPr>
    </w:p>
    <w:p w14:paraId="4542C2C6" w14:textId="77777777" w:rsidR="00EA7FDB" w:rsidRPr="00EA7FDB" w:rsidRDefault="00EA7FDB" w:rsidP="00EA7FDB">
      <w:pPr>
        <w:snapToGrid w:val="0"/>
        <w:spacing w:after="0" w:line="240" w:lineRule="auto"/>
        <w:ind w:left="720" w:right="709"/>
        <w:jc w:val="both"/>
        <w:rPr>
          <w:rFonts w:ascii="Verdana" w:eastAsia="Century Gothic" w:hAnsi="Verdana" w:cs="Century Gothic"/>
          <w:sz w:val="21"/>
          <w:szCs w:val="21"/>
          <w:lang w:val="es-ES_tradnl"/>
        </w:rPr>
      </w:pPr>
      <w:r w:rsidRPr="00EA7FDB">
        <w:rPr>
          <w:rFonts w:ascii="Verdana" w:eastAsia="Century Gothic" w:hAnsi="Verdana" w:cs="Century Gothic"/>
          <w:sz w:val="21"/>
          <w:szCs w:val="21"/>
          <w:lang w:val="es-ES_tradnl"/>
        </w:rPr>
        <w:t>“[…]</w:t>
      </w:r>
    </w:p>
    <w:p w14:paraId="2D370251" w14:textId="77777777" w:rsidR="00EA7FDB" w:rsidRPr="00EA7FDB" w:rsidRDefault="00EA7FDB" w:rsidP="00EA7FDB">
      <w:pPr>
        <w:snapToGrid w:val="0"/>
        <w:spacing w:after="0" w:line="240" w:lineRule="auto"/>
        <w:ind w:left="720" w:right="709"/>
        <w:jc w:val="both"/>
        <w:rPr>
          <w:rFonts w:ascii="Verdana" w:eastAsia="Century Gothic" w:hAnsi="Verdana" w:cs="Century Gothic"/>
          <w:sz w:val="21"/>
          <w:szCs w:val="21"/>
          <w:lang w:val="es-ES_tradnl"/>
        </w:rPr>
      </w:pPr>
      <w:r w:rsidRPr="00EA7FDB">
        <w:rPr>
          <w:rFonts w:ascii="Verdana" w:eastAsia="Century Gothic" w:hAnsi="Verdana" w:cs="Century Gothic"/>
          <w:sz w:val="21"/>
          <w:szCs w:val="21"/>
          <w:lang w:val="es-ES_tradnl"/>
        </w:rPr>
        <w:lastRenderedPageBreak/>
        <w:t>Solicito a la entidad explicar la razón por la cual en la MATRIZ 2 – INDICADORES FINANCIEROS Y ORGANIZACIONALES de los diferentes documentos tipo NO ponderan los indicadores financieros en caso de proponentes plurales.</w:t>
      </w:r>
    </w:p>
    <w:p w14:paraId="3260B5D8" w14:textId="77777777" w:rsidR="00EA7FDB" w:rsidRPr="00EA7FDB" w:rsidRDefault="00EA7FDB" w:rsidP="00EA7FDB">
      <w:pPr>
        <w:snapToGrid w:val="0"/>
        <w:spacing w:after="0" w:line="240" w:lineRule="auto"/>
        <w:ind w:left="720" w:right="709"/>
        <w:jc w:val="both"/>
        <w:rPr>
          <w:rFonts w:ascii="Verdana" w:eastAsia="Century Gothic" w:hAnsi="Verdana" w:cs="Century Gothic"/>
          <w:sz w:val="21"/>
          <w:szCs w:val="21"/>
          <w:lang w:val="es-ES_tradnl"/>
        </w:rPr>
      </w:pPr>
    </w:p>
    <w:p w14:paraId="432CDFD5" w14:textId="77777777" w:rsidR="00EA7FDB" w:rsidRPr="00EA7FDB" w:rsidRDefault="00EA7FDB" w:rsidP="48B6FD72">
      <w:pPr>
        <w:snapToGrid w:val="0"/>
        <w:spacing w:after="0" w:line="240" w:lineRule="auto"/>
        <w:ind w:left="720" w:right="709"/>
        <w:jc w:val="both"/>
        <w:rPr>
          <w:rFonts w:ascii="Verdana" w:eastAsia="Century Gothic" w:hAnsi="Verdana" w:cs="Century Gothic"/>
          <w:sz w:val="21"/>
          <w:szCs w:val="21"/>
          <w:lang w:val="es-ES"/>
        </w:rPr>
      </w:pPr>
      <w:r w:rsidRPr="48B6FD72">
        <w:rPr>
          <w:rFonts w:ascii="Verdana" w:eastAsia="Century Gothic" w:hAnsi="Verdana" w:cs="Century Gothic"/>
          <w:sz w:val="21"/>
          <w:szCs w:val="21"/>
          <w:lang w:val="es-ES"/>
        </w:rPr>
        <w:t xml:space="preserve">Lo anterior teniendo en cuenta que al establecerse </w:t>
      </w:r>
      <w:proofErr w:type="gramStart"/>
      <w:r w:rsidRPr="48B6FD72">
        <w:rPr>
          <w:rFonts w:ascii="Verdana" w:eastAsia="Century Gothic" w:hAnsi="Verdana" w:cs="Century Gothic"/>
          <w:sz w:val="21"/>
          <w:szCs w:val="21"/>
          <w:lang w:val="es-ES"/>
        </w:rPr>
        <w:t>proponente plurales</w:t>
      </w:r>
      <w:proofErr w:type="gramEnd"/>
      <w:r w:rsidRPr="48B6FD72">
        <w:rPr>
          <w:rFonts w:ascii="Verdana" w:eastAsia="Century Gothic" w:hAnsi="Verdana" w:cs="Century Gothic"/>
          <w:sz w:val="21"/>
          <w:szCs w:val="21"/>
          <w:lang w:val="es-ES"/>
        </w:rPr>
        <w:t xml:space="preserve"> los indicadores deberían ponderarse ya que al establecerse la sumatoria sin ponderación ese proponente plural estarían en desventaja en caso que uno de los integrantes tengan indicadores negativos que los demás oferentes deban arrastrar.</w:t>
      </w:r>
    </w:p>
    <w:p w14:paraId="2B93C958" w14:textId="77777777" w:rsidR="00EA7FDB" w:rsidRPr="00EA7FDB" w:rsidRDefault="00EA7FDB" w:rsidP="00EA7FDB">
      <w:pPr>
        <w:snapToGrid w:val="0"/>
        <w:spacing w:after="0" w:line="240" w:lineRule="auto"/>
        <w:ind w:left="720" w:right="709"/>
        <w:jc w:val="both"/>
        <w:rPr>
          <w:rFonts w:ascii="Verdana" w:eastAsia="Century Gothic" w:hAnsi="Verdana" w:cs="Century Gothic"/>
          <w:sz w:val="21"/>
          <w:szCs w:val="21"/>
          <w:lang w:val="es-ES_tradnl"/>
        </w:rPr>
      </w:pPr>
    </w:p>
    <w:p w14:paraId="5F9FFC13" w14:textId="77777777" w:rsidR="00EA7FDB" w:rsidRPr="00EA7FDB" w:rsidRDefault="00EA7FDB" w:rsidP="00EA7FDB">
      <w:pPr>
        <w:snapToGrid w:val="0"/>
        <w:spacing w:after="0" w:line="240" w:lineRule="auto"/>
        <w:ind w:left="720" w:right="709"/>
        <w:jc w:val="both"/>
        <w:rPr>
          <w:rFonts w:ascii="Verdana" w:eastAsia="Century Gothic" w:hAnsi="Verdana" w:cs="Century Gothic"/>
          <w:sz w:val="21"/>
          <w:szCs w:val="21"/>
          <w:lang w:val="es-ES_tradnl"/>
        </w:rPr>
      </w:pPr>
      <w:r w:rsidRPr="00EA7FDB">
        <w:rPr>
          <w:rFonts w:ascii="Verdana" w:eastAsia="Century Gothic" w:hAnsi="Verdana" w:cs="Century Gothic"/>
          <w:sz w:val="21"/>
          <w:szCs w:val="21"/>
          <w:lang w:val="es-ES_tradnl"/>
        </w:rPr>
        <w:t>Por todo lo anterior, sugiero revisar la normatividad actual para el cálculo de la capacidad financiera y organizacional en caso de proponentes plurales ya que siempre debería ponderarse ya que se busca unir esfuerzos entre diferentes empresas para cumplir requisitos financieros.”</w:t>
      </w:r>
    </w:p>
    <w:p w14:paraId="17964D35" w14:textId="77777777" w:rsidR="00EA7FDB" w:rsidRPr="00EA7FDB" w:rsidRDefault="00EA7FDB" w:rsidP="00EA7FDB">
      <w:pPr>
        <w:tabs>
          <w:tab w:val="left" w:pos="142"/>
          <w:tab w:val="left" w:pos="284"/>
        </w:tabs>
        <w:spacing w:line="276" w:lineRule="auto"/>
        <w:contextualSpacing/>
        <w:jc w:val="both"/>
        <w:rPr>
          <w:rFonts w:ascii="Verdana" w:eastAsia="Century Gothic" w:hAnsi="Verdana" w:cs="Century Gothic"/>
          <w:b/>
          <w:bCs/>
          <w:lang w:val="es-ES_tradnl"/>
        </w:rPr>
      </w:pPr>
    </w:p>
    <w:p w14:paraId="7C1C97BB" w14:textId="77777777" w:rsidR="00EA7FDB" w:rsidRPr="00EA7FDB" w:rsidRDefault="00EA7FDB" w:rsidP="00EA7FDB">
      <w:pPr>
        <w:spacing w:after="120" w:line="276" w:lineRule="auto"/>
        <w:ind w:firstLine="709"/>
        <w:jc w:val="both"/>
        <w:rPr>
          <w:rFonts w:ascii="Verdana" w:eastAsia="Calibri" w:hAnsi="Verdana" w:cs="Arial"/>
          <w:lang w:val="es-ES" w:eastAsia="es-ES"/>
        </w:rPr>
      </w:pPr>
      <w:r w:rsidRPr="00EA7FD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7FDB">
        <w:rPr>
          <w:rFonts w:ascii="Calibri" w:eastAsia="Calibri" w:hAnsi="Calibri" w:cs="Times New Roman"/>
        </w:rPr>
        <w:tab/>
      </w:r>
    </w:p>
    <w:p w14:paraId="6FF5EAF3" w14:textId="77777777" w:rsidR="00EA7FDB" w:rsidRPr="00EA7FDB" w:rsidRDefault="00EA7FDB" w:rsidP="00EA7FDB">
      <w:pPr>
        <w:snapToGrid w:val="0"/>
        <w:spacing w:after="0" w:line="276" w:lineRule="auto"/>
        <w:ind w:firstLine="709"/>
        <w:jc w:val="both"/>
        <w:rPr>
          <w:rFonts w:ascii="Verdana" w:eastAsia="Calibri" w:hAnsi="Verdana" w:cs="Arial"/>
          <w:lang w:val="es-ES_tradnl" w:eastAsia="es-ES"/>
        </w:rPr>
      </w:pPr>
      <w:r w:rsidRPr="00EA7FDB">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8435C98" w14:textId="77777777" w:rsidR="00EA7FDB" w:rsidRPr="00EA7FDB" w:rsidRDefault="00EA7FDB" w:rsidP="00EA7FDB">
      <w:pPr>
        <w:snapToGrid w:val="0"/>
        <w:spacing w:after="0" w:line="276" w:lineRule="auto"/>
        <w:ind w:firstLine="709"/>
        <w:jc w:val="both"/>
        <w:rPr>
          <w:rFonts w:ascii="Verdana" w:eastAsia="Calibri" w:hAnsi="Verdana" w:cs="Arial"/>
          <w:lang w:val="es-ES_tradnl" w:eastAsia="es-ES"/>
        </w:rPr>
      </w:pPr>
    </w:p>
    <w:p w14:paraId="5B4417D9" w14:textId="77777777" w:rsidR="00EA7FDB" w:rsidRPr="00EA7FDB" w:rsidRDefault="00EA7FDB" w:rsidP="00EA7FD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EA7FDB">
        <w:rPr>
          <w:rFonts w:ascii="Verdana" w:eastAsia="Century Gothic" w:hAnsi="Verdana" w:cs="Century Gothic"/>
          <w:b/>
          <w:bCs/>
          <w:lang w:val="es-ES_tradnl"/>
        </w:rPr>
        <w:t>Problema planteado:</w:t>
      </w:r>
    </w:p>
    <w:p w14:paraId="5E53B77F" w14:textId="77777777" w:rsidR="00EA7FDB" w:rsidRPr="00EA7FDB" w:rsidRDefault="00EA7FDB" w:rsidP="00EA7FDB">
      <w:pPr>
        <w:tabs>
          <w:tab w:val="left" w:pos="426"/>
        </w:tabs>
        <w:snapToGrid w:val="0"/>
        <w:spacing w:after="0" w:line="276" w:lineRule="auto"/>
        <w:jc w:val="both"/>
        <w:rPr>
          <w:rFonts w:ascii="Verdana" w:eastAsia="Century Gothic" w:hAnsi="Verdana" w:cs="Century Gothic"/>
          <w:lang w:val="es-ES_tradnl"/>
        </w:rPr>
      </w:pPr>
    </w:p>
    <w:p w14:paraId="4CB370E8" w14:textId="77777777" w:rsidR="00EA7FDB" w:rsidRPr="00EA7FDB" w:rsidRDefault="00EA7FDB" w:rsidP="00EA7FDB">
      <w:pPr>
        <w:snapToGrid w:val="0"/>
        <w:spacing w:after="0" w:line="276" w:lineRule="auto"/>
        <w:jc w:val="both"/>
        <w:rPr>
          <w:rFonts w:ascii="Verdana" w:eastAsia="Century Gothic" w:hAnsi="Verdana" w:cs="Century Gothic"/>
          <w:lang w:val="es-ES_tradnl"/>
        </w:rPr>
      </w:pPr>
      <w:r w:rsidRPr="00EA7FDB">
        <w:rPr>
          <w:rFonts w:ascii="Verdana" w:eastAsia="Century Gothic" w:hAnsi="Verdana" w:cs="Century Gothic"/>
          <w:lang w:val="es-ES_tradnl"/>
        </w:rPr>
        <w:t>De acuerdo con el contenido de su solicitud, esta Agencia resolverá el siguiente problema jurídico: tratándose de proponentes plurales,</w:t>
      </w:r>
      <w:r w:rsidRPr="00EA7FDB">
        <w:rPr>
          <w:rFonts w:ascii="Verdana" w:eastAsia="Aptos" w:hAnsi="Verdana" w:cs="Times New Roman"/>
          <w:kern w:val="2"/>
          <w14:ligatures w14:val="standardContextual"/>
        </w:rPr>
        <w:t xml:space="preserve"> ¿por qué no se ponderan los indicadores financieros en los documentos tipo?</w:t>
      </w:r>
    </w:p>
    <w:p w14:paraId="1AFF5218" w14:textId="77777777" w:rsidR="00EA7FDB" w:rsidRPr="00EA7FDB" w:rsidRDefault="00EA7FDB" w:rsidP="00EA7FDB">
      <w:pPr>
        <w:snapToGrid w:val="0"/>
        <w:spacing w:after="0" w:line="276" w:lineRule="auto"/>
        <w:jc w:val="both"/>
        <w:rPr>
          <w:rFonts w:ascii="Verdana" w:eastAsia="Calibri" w:hAnsi="Verdana" w:cs="Arial"/>
          <w:lang w:val="es-ES_tradnl"/>
        </w:rPr>
      </w:pPr>
    </w:p>
    <w:p w14:paraId="4FFD2614" w14:textId="77777777" w:rsidR="00EA7FDB" w:rsidRPr="00EA7FDB" w:rsidRDefault="00EA7FDB" w:rsidP="00EA7FD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EA7FDB">
        <w:rPr>
          <w:rFonts w:ascii="Verdana" w:eastAsia="Century Gothic" w:hAnsi="Verdana" w:cs="Century Gothic"/>
          <w:b/>
          <w:bCs/>
          <w:lang w:val="es-ES_tradnl"/>
        </w:rPr>
        <w:t>Respuesta:</w:t>
      </w:r>
    </w:p>
    <w:p w14:paraId="3DAAB26B" w14:textId="77777777" w:rsidR="00EA7FDB" w:rsidRPr="00EA7FDB" w:rsidRDefault="00EA7FDB" w:rsidP="00EA7FDB">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A7FDB" w:rsidRPr="00EA7FDB" w14:paraId="762C073E" w14:textId="77777777" w:rsidTr="00491BBF">
        <w:tc>
          <w:tcPr>
            <w:tcW w:w="8828" w:type="dxa"/>
            <w:shd w:val="clear" w:color="auto" w:fill="auto"/>
          </w:tcPr>
          <w:p w14:paraId="588B94F3" w14:textId="77777777" w:rsidR="00EA7FDB" w:rsidRPr="00EA7FDB" w:rsidRDefault="00EA7FDB" w:rsidP="00EA7FDB">
            <w:pPr>
              <w:snapToGrid w:val="0"/>
              <w:spacing w:line="276" w:lineRule="auto"/>
              <w:jc w:val="both"/>
              <w:rPr>
                <w:rFonts w:ascii="Verdana" w:eastAsia="Aptos" w:hAnsi="Verdana" w:cs="Arial"/>
                <w:shd w:val="clear" w:color="auto" w:fill="FFFFFF"/>
                <w:lang w:val="es-ES"/>
              </w:rPr>
            </w:pPr>
            <w:r w:rsidRPr="00EA7FDB">
              <w:rPr>
                <w:rFonts w:ascii="Verdana" w:eastAsia="Aptos" w:hAnsi="Verdana" w:cs="Arial"/>
                <w:shd w:val="clear" w:color="auto" w:fill="FFFFFF"/>
                <w:lang w:val="es-ES"/>
              </w:rPr>
              <w:t>El “MANUAL PARA DETERMINAR Y VERIFICAR LOS REQUISITOS HABILITANTES EN LOS PROCESOS DE CONTRATACIÓN” – versión 3 del 29 de septiembre de 2023, expedido por la Agencia Nacional de Contratación Pública – Colombia Compra Eficiente, propone dos metodologías –sumatoria o ponderación– como opciones válidas para el cálculo de los indicadores de proponentes plurales; por otro lado, la diferencia radica fundamentalmente en el nivel de precisión con el que se evalúa la solvencia del proponente plural dependiendo de su porcentaje de participación, lo que hace que las metodologías ponderadas sean más rigurosas de cara al análisis.</w:t>
            </w:r>
          </w:p>
          <w:p w14:paraId="7DDE258F" w14:textId="77777777" w:rsidR="00EA7FDB" w:rsidRPr="00EA7FDB" w:rsidRDefault="00EA7FDB" w:rsidP="00EA7FDB">
            <w:pPr>
              <w:snapToGrid w:val="0"/>
              <w:spacing w:line="276" w:lineRule="auto"/>
              <w:ind w:left="720"/>
              <w:contextualSpacing/>
              <w:jc w:val="both"/>
              <w:rPr>
                <w:rFonts w:ascii="Verdana" w:eastAsia="Aptos" w:hAnsi="Verdana" w:cs="Arial"/>
                <w:shd w:val="clear" w:color="auto" w:fill="FFFFFF"/>
                <w:lang w:val="es-ES"/>
              </w:rPr>
            </w:pPr>
          </w:p>
          <w:p w14:paraId="4E53E5BF" w14:textId="77777777" w:rsidR="00EA7FDB" w:rsidRPr="00EA7FDB" w:rsidRDefault="00EA7FDB" w:rsidP="00EA7FDB">
            <w:pPr>
              <w:snapToGrid w:val="0"/>
              <w:spacing w:line="276" w:lineRule="auto"/>
              <w:jc w:val="both"/>
              <w:rPr>
                <w:rFonts w:ascii="Verdana" w:eastAsia="Aptos" w:hAnsi="Verdana" w:cs="Arial"/>
                <w:shd w:val="clear" w:color="auto" w:fill="FFFFFF"/>
                <w:lang w:val="es-ES"/>
              </w:rPr>
            </w:pPr>
            <w:r w:rsidRPr="00EA7FDB">
              <w:rPr>
                <w:rFonts w:ascii="Verdana" w:eastAsia="Aptos" w:hAnsi="Verdana" w:cs="Arial"/>
                <w:shd w:val="clear" w:color="auto" w:fill="FFFFFF"/>
                <w:lang w:val="es-ES"/>
              </w:rPr>
              <w:t xml:space="preserve">Sin embargo, y en el marco de los principales objetivos de la aplicación de los documentos tipo –que buscan promover la participación y aumentar la pluralidad de oferentes en los procesos de selección–, desde la Agencia Nacional de Contratación Pública se ha considerado utilizar las metodologías de </w:t>
            </w:r>
            <w:r w:rsidRPr="00EA7FDB">
              <w:rPr>
                <w:rFonts w:ascii="Verdana" w:eastAsia="Aptos" w:hAnsi="Verdana" w:cs="Arial"/>
                <w:i/>
                <w:iCs/>
                <w:shd w:val="clear" w:color="auto" w:fill="FFFFFF"/>
                <w:lang w:val="es-ES"/>
              </w:rPr>
              <w:t>sumatoria simple</w:t>
            </w:r>
            <w:r w:rsidRPr="00EA7FDB">
              <w:rPr>
                <w:rFonts w:ascii="Verdana" w:eastAsia="Aptos" w:hAnsi="Verdana" w:cs="Arial"/>
                <w:shd w:val="clear" w:color="auto" w:fill="FFFFFF"/>
                <w:lang w:val="es-ES"/>
              </w:rPr>
              <w:t xml:space="preserve"> para efectos de calcular los indicadores de proponentes plurales, toda vez que dicha metodología facilita la habilitación de las diferentes estructuras plurales sin requerir necesariamente que </w:t>
            </w:r>
            <w:r w:rsidRPr="00EA7FDB">
              <w:rPr>
                <w:rFonts w:ascii="Verdana" w:eastAsia="Aptos" w:hAnsi="Verdana" w:cs="Arial"/>
                <w:shd w:val="clear" w:color="auto" w:fill="FFFFFF"/>
              </w:rPr>
              <w:t>el integrante del proponente plural con los mejores indicadores tenga una mayor participación en el mismo.</w:t>
            </w:r>
          </w:p>
          <w:p w14:paraId="03A1A18A" w14:textId="77777777" w:rsidR="00EA7FDB" w:rsidRPr="00EA7FDB" w:rsidRDefault="00EA7FDB" w:rsidP="00EA7FDB">
            <w:pPr>
              <w:snapToGrid w:val="0"/>
              <w:spacing w:line="276" w:lineRule="auto"/>
              <w:jc w:val="both"/>
              <w:rPr>
                <w:rFonts w:ascii="Verdana" w:eastAsia="Calibri" w:hAnsi="Verdana" w:cs="Calibri"/>
                <w:lang w:val="es-MX" w:eastAsia="es-ES_tradnl"/>
              </w:rPr>
            </w:pPr>
          </w:p>
          <w:p w14:paraId="6ABED3BE" w14:textId="77777777" w:rsidR="00EA7FDB" w:rsidRPr="00EA7FDB" w:rsidRDefault="00EA7FDB" w:rsidP="00EA7FDB">
            <w:pPr>
              <w:snapToGrid w:val="0"/>
              <w:spacing w:line="276" w:lineRule="auto"/>
              <w:jc w:val="both"/>
              <w:rPr>
                <w:rFonts w:ascii="Verdana" w:eastAsia="Calibri" w:hAnsi="Verdana" w:cs="Calibri"/>
                <w:lang w:val="es-MX" w:eastAsia="es-ES_tradnl"/>
              </w:rPr>
            </w:pPr>
            <w:r w:rsidRPr="00EA7FDB">
              <w:rPr>
                <w:rFonts w:ascii="Verdana" w:eastAsia="Calibri" w:hAnsi="Verdana" w:cs="Calibri"/>
                <w:lang w:val="es-MX" w:eastAsia="es-ES_tradnl"/>
              </w:rPr>
              <w:t xml:space="preserve">La aludida </w:t>
            </w:r>
            <w:proofErr w:type="spellStart"/>
            <w:r w:rsidRPr="00EA7FDB">
              <w:rPr>
                <w:rFonts w:ascii="Verdana" w:eastAsia="Calibri" w:hAnsi="Verdana" w:cs="Calibri"/>
                <w:lang w:val="es-MX" w:eastAsia="es-ES_tradnl"/>
              </w:rPr>
              <w:t>metolodología</w:t>
            </w:r>
            <w:proofErr w:type="spellEnd"/>
            <w:r w:rsidRPr="00EA7FDB">
              <w:rPr>
                <w:rFonts w:ascii="Verdana" w:eastAsia="Calibri" w:hAnsi="Verdana" w:cs="Calibri"/>
                <w:lang w:val="es-MX" w:eastAsia="es-ES_tradnl"/>
              </w:rPr>
              <w:t xml:space="preserve"> corresponde con la siguiente fórmula:</w:t>
            </w:r>
          </w:p>
          <w:p w14:paraId="35CE0B19" w14:textId="77777777" w:rsidR="00EA7FDB" w:rsidRPr="00EA7FDB" w:rsidRDefault="00EA7FDB" w:rsidP="00EA7FDB">
            <w:pPr>
              <w:snapToGrid w:val="0"/>
              <w:spacing w:line="276" w:lineRule="auto"/>
              <w:jc w:val="both"/>
              <w:rPr>
                <w:rFonts w:ascii="Verdana" w:eastAsia="Calibri" w:hAnsi="Verdana" w:cs="Calibri"/>
                <w:lang w:val="es-MX" w:eastAsia="es-ES_tradnl"/>
              </w:rPr>
            </w:pPr>
          </w:p>
          <w:p w14:paraId="3C8C8736" w14:textId="77777777" w:rsidR="00EA7FDB" w:rsidRPr="00EA7FDB" w:rsidRDefault="00EA7FDB" w:rsidP="00EA7FDB">
            <w:pPr>
              <w:snapToGrid w:val="0"/>
              <w:spacing w:line="276" w:lineRule="auto"/>
              <w:jc w:val="both"/>
              <w:rPr>
                <w:rFonts w:ascii="Verdana" w:eastAsia="Calibri" w:hAnsi="Verdana" w:cs="Calibri"/>
                <w:lang w:val="es-MX" w:eastAsia="es-ES_tradnl"/>
              </w:rPr>
            </w:pPr>
            <w:r w:rsidRPr="00EA7FDB">
              <w:rPr>
                <w:rFonts w:ascii="Verdana" w:eastAsia="Aptos" w:hAnsi="Verdana" w:cs="Times New Roman"/>
                <w:noProof/>
              </w:rPr>
              <w:drawing>
                <wp:inline distT="0" distB="0" distL="0" distR="0" wp14:anchorId="64757B20" wp14:editId="0A015B83">
                  <wp:extent cx="5121177" cy="593767"/>
                  <wp:effectExtent l="0" t="0" r="3810" b="0"/>
                  <wp:docPr id="1150042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27419" name=""/>
                          <pic:cNvPicPr/>
                        </pic:nvPicPr>
                        <pic:blipFill rotWithShape="1">
                          <a:blip r:embed="rId11"/>
                          <a:srcRect l="36224" t="45917" r="15866" b="46180"/>
                          <a:stretch/>
                        </pic:blipFill>
                        <pic:spPr bwMode="auto">
                          <a:xfrm>
                            <a:off x="0" y="0"/>
                            <a:ext cx="5195247" cy="602355"/>
                          </a:xfrm>
                          <a:prstGeom prst="rect">
                            <a:avLst/>
                          </a:prstGeom>
                          <a:ln>
                            <a:noFill/>
                          </a:ln>
                          <a:extLst>
                            <a:ext uri="{53640926-AAD7-44D8-BBD7-CCE9431645EC}">
                              <a14:shadowObscured xmlns:a14="http://schemas.microsoft.com/office/drawing/2010/main"/>
                            </a:ext>
                          </a:extLst>
                        </pic:spPr>
                      </pic:pic>
                    </a:graphicData>
                  </a:graphic>
                </wp:inline>
              </w:drawing>
            </w:r>
          </w:p>
        </w:tc>
      </w:tr>
    </w:tbl>
    <w:p w14:paraId="121ED38E" w14:textId="77777777" w:rsidR="00EA7FDB" w:rsidRPr="00EA7FDB" w:rsidRDefault="00EA7FDB" w:rsidP="00EA7FDB">
      <w:pPr>
        <w:tabs>
          <w:tab w:val="left" w:pos="142"/>
          <w:tab w:val="left" w:pos="284"/>
        </w:tabs>
        <w:snapToGrid w:val="0"/>
        <w:spacing w:after="0" w:line="276" w:lineRule="auto"/>
        <w:jc w:val="both"/>
        <w:rPr>
          <w:rFonts w:ascii="Verdana" w:eastAsia="Century Gothic" w:hAnsi="Verdana" w:cs="Century Gothic"/>
          <w:b/>
          <w:bCs/>
          <w:lang w:val="es-ES_tradnl"/>
        </w:rPr>
      </w:pPr>
    </w:p>
    <w:p w14:paraId="43A6B624" w14:textId="77777777" w:rsidR="00EA7FDB" w:rsidRPr="00EA7FDB" w:rsidRDefault="00EA7FDB" w:rsidP="00EA7FD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EA7FDB">
        <w:rPr>
          <w:rFonts w:ascii="Verdana" w:eastAsia="Century Gothic" w:hAnsi="Verdana" w:cs="Century Gothic"/>
          <w:b/>
          <w:bCs/>
          <w:lang w:val="es-ES_tradnl"/>
        </w:rPr>
        <w:t>Razones de la respuesta:</w:t>
      </w:r>
    </w:p>
    <w:p w14:paraId="6DA66ED3" w14:textId="77777777" w:rsidR="00EA7FDB" w:rsidRPr="00EA7FDB" w:rsidRDefault="00EA7FDB" w:rsidP="00EA7FDB">
      <w:pPr>
        <w:snapToGrid w:val="0"/>
        <w:spacing w:after="0" w:line="276" w:lineRule="auto"/>
        <w:jc w:val="both"/>
        <w:rPr>
          <w:rFonts w:ascii="Verdana" w:eastAsia="Calibri" w:hAnsi="Verdana" w:cs="Arial"/>
          <w:lang w:val="es-ES_tradnl"/>
        </w:rPr>
      </w:pPr>
    </w:p>
    <w:p w14:paraId="24F67623" w14:textId="77777777" w:rsidR="00EA7FDB" w:rsidRPr="00EA7FDB" w:rsidRDefault="00EA7FDB" w:rsidP="00EA7FDB">
      <w:pPr>
        <w:snapToGrid w:val="0"/>
        <w:spacing w:after="0" w:line="276" w:lineRule="auto"/>
        <w:jc w:val="both"/>
        <w:rPr>
          <w:rFonts w:ascii="Verdana" w:eastAsia="Calibri" w:hAnsi="Verdana" w:cs="Arial"/>
          <w:lang w:val="es-ES_tradnl"/>
        </w:rPr>
      </w:pPr>
      <w:r w:rsidRPr="00EA7FDB">
        <w:rPr>
          <w:rFonts w:ascii="Verdana" w:eastAsia="Calibri" w:hAnsi="Verdana" w:cs="Arial"/>
          <w:lang w:val="es-ES_tradnl"/>
        </w:rPr>
        <w:t xml:space="preserve">Lo anterior se sustenta en las siguientes consideraciones: </w:t>
      </w:r>
    </w:p>
    <w:p w14:paraId="1E1EDC55" w14:textId="77777777" w:rsidR="00EA7FDB" w:rsidRPr="00EA7FDB" w:rsidRDefault="00EA7FDB" w:rsidP="00EA7FDB">
      <w:pPr>
        <w:snapToGrid w:val="0"/>
        <w:spacing w:after="0" w:line="276" w:lineRule="auto"/>
        <w:jc w:val="both"/>
        <w:rPr>
          <w:rFonts w:ascii="Verdana" w:eastAsia="Calibri" w:hAnsi="Verdana" w:cs="Arial"/>
          <w:lang w:val="es-ES_tradnl"/>
        </w:rPr>
      </w:pPr>
    </w:p>
    <w:p w14:paraId="20F76486" w14:textId="77777777" w:rsidR="00EA7FDB" w:rsidRPr="00EA7FDB" w:rsidRDefault="00EA7FDB" w:rsidP="00EA7FDB">
      <w:pPr>
        <w:numPr>
          <w:ilvl w:val="0"/>
          <w:numId w:val="17"/>
        </w:numPr>
        <w:snapToGrid w:val="0"/>
        <w:spacing w:after="0" w:line="276" w:lineRule="auto"/>
        <w:jc w:val="both"/>
        <w:rPr>
          <w:rFonts w:ascii="Verdana" w:eastAsia="Calibri" w:hAnsi="Verdana" w:cs="Arial"/>
          <w:lang w:val="es-ES_tradnl"/>
        </w:rPr>
      </w:pPr>
      <w:r w:rsidRPr="00EA7FDB">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w:t>
      </w:r>
      <w:r w:rsidRPr="00EA7FDB">
        <w:rPr>
          <w:rFonts w:ascii="Verdana" w:eastAsia="Calibri" w:hAnsi="Verdana" w:cs="Arial"/>
          <w:lang w:val="es-ES_tradnl"/>
        </w:rPr>
        <w:lastRenderedPageBreak/>
        <w:t xml:space="preserve">desarrollar los Procesos de Contratación en los objetos y modalidades cobijadas por los Documentos Tipo. </w:t>
      </w:r>
    </w:p>
    <w:p w14:paraId="4DD832A2" w14:textId="77777777" w:rsidR="00EA7FDB" w:rsidRPr="00EA7FDB" w:rsidRDefault="00EA7FDB" w:rsidP="00EA7FDB">
      <w:pPr>
        <w:snapToGrid w:val="0"/>
        <w:spacing w:after="0" w:line="276" w:lineRule="auto"/>
        <w:ind w:left="720"/>
        <w:jc w:val="both"/>
        <w:rPr>
          <w:rFonts w:ascii="Verdana" w:eastAsia="Calibri" w:hAnsi="Verdana" w:cs="Arial"/>
          <w:lang w:val="es-ES_tradnl"/>
        </w:rPr>
      </w:pPr>
    </w:p>
    <w:p w14:paraId="7A1B5567" w14:textId="77777777" w:rsidR="00EA7FDB" w:rsidRPr="00EA7FDB" w:rsidRDefault="00EA7FDB" w:rsidP="00EA7FDB">
      <w:pPr>
        <w:numPr>
          <w:ilvl w:val="0"/>
          <w:numId w:val="17"/>
        </w:numPr>
        <w:snapToGrid w:val="0"/>
        <w:spacing w:after="0" w:line="276" w:lineRule="auto"/>
        <w:jc w:val="both"/>
        <w:rPr>
          <w:rFonts w:ascii="Verdana" w:eastAsia="Calibri" w:hAnsi="Verdana" w:cs="Arial"/>
          <w:lang w:val="es-ES"/>
        </w:rPr>
      </w:pPr>
      <w:r w:rsidRPr="00EA7FDB">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05A8477C" w14:textId="77777777" w:rsidR="00EA7FDB" w:rsidRPr="00EA7FDB" w:rsidRDefault="00EA7FDB" w:rsidP="00EA7FDB">
      <w:pPr>
        <w:snapToGrid w:val="0"/>
        <w:spacing w:after="0" w:line="276" w:lineRule="auto"/>
        <w:ind w:left="720"/>
        <w:rPr>
          <w:rFonts w:ascii="Verdana" w:eastAsia="Calibri" w:hAnsi="Verdana" w:cs="Times New Roman"/>
          <w:lang w:val="es-ES_tradnl"/>
        </w:rPr>
      </w:pPr>
    </w:p>
    <w:p w14:paraId="23CB054A" w14:textId="77777777" w:rsidR="00EA7FDB" w:rsidRPr="00EA7FDB" w:rsidRDefault="00EA7FDB" w:rsidP="00EA7FDB">
      <w:pPr>
        <w:numPr>
          <w:ilvl w:val="0"/>
          <w:numId w:val="17"/>
        </w:numPr>
        <w:snapToGrid w:val="0"/>
        <w:spacing w:after="0" w:line="276" w:lineRule="auto"/>
        <w:jc w:val="both"/>
        <w:rPr>
          <w:rFonts w:ascii="Verdana" w:eastAsia="Calibri" w:hAnsi="Verdana" w:cs="Arial"/>
          <w:lang w:val="es-ES_tradnl"/>
        </w:rPr>
      </w:pPr>
      <w:r w:rsidRPr="00EA7FDB">
        <w:rPr>
          <w:rFonts w:ascii="Verdana" w:eastAsia="Calibri" w:hAnsi="Verdana" w:cs="Times New Roman"/>
          <w:lang w:val="es-ES_tradnl"/>
        </w:rPr>
        <w:t>La Agencia Nacional de Contratación Pública – Colombia Compra Eficiente ha adoptado documentos tipo para los sectores de infraestructura de i) transporte, ii) agua potable y saneamiento básico y iii) social. Así mismo, esta Agencia expidió los documentos tipo de gestión catastral con enfoque multipropósito y los de convenios solidarios para la contratación directa de obras hasta la menor cuantía con Organismos de Acción Comunal.</w:t>
      </w:r>
      <w:r w:rsidRPr="00EA7FDB">
        <w:rPr>
          <w:rFonts w:ascii="Verdana" w:eastAsia="Calibri" w:hAnsi="Verdana" w:cs="Times New Roman"/>
          <w:vertAlign w:val="superscript"/>
          <w:lang w:val="es-ES_tradnl"/>
        </w:rPr>
        <w:footnoteReference w:id="2"/>
      </w:r>
    </w:p>
    <w:p w14:paraId="3E96A5ED" w14:textId="77777777" w:rsidR="00EA7FDB" w:rsidRPr="00EA7FDB" w:rsidRDefault="00EA7FDB" w:rsidP="00EA7FDB">
      <w:pPr>
        <w:spacing w:after="0" w:line="240" w:lineRule="auto"/>
        <w:ind w:left="720"/>
        <w:contextualSpacing/>
        <w:rPr>
          <w:rFonts w:ascii="Verdana" w:eastAsia="Aptos" w:hAnsi="Verdana" w:cs="Arial"/>
          <w:kern w:val="2"/>
          <w:shd w:val="clear" w:color="auto" w:fill="FFFFFF"/>
          <w:lang w:val="es-ES"/>
          <w14:ligatures w14:val="standardContextual"/>
        </w:rPr>
      </w:pPr>
    </w:p>
    <w:p w14:paraId="346837DC" w14:textId="77777777" w:rsidR="00EA7FDB" w:rsidRPr="00EA7FDB" w:rsidRDefault="00EA7FDB" w:rsidP="00EA7FDB">
      <w:pPr>
        <w:numPr>
          <w:ilvl w:val="0"/>
          <w:numId w:val="17"/>
        </w:numPr>
        <w:snapToGrid w:val="0"/>
        <w:spacing w:after="0" w:line="276" w:lineRule="auto"/>
        <w:jc w:val="both"/>
        <w:rPr>
          <w:rFonts w:ascii="Verdana" w:eastAsia="Calibri" w:hAnsi="Verdana" w:cs="Arial"/>
          <w:lang w:val="es-ES_tradnl"/>
        </w:rPr>
      </w:pPr>
      <w:r w:rsidRPr="00EA7FDB">
        <w:rPr>
          <w:rFonts w:ascii="Verdana" w:eastAsia="Aptos" w:hAnsi="Verdana" w:cs="Arial"/>
          <w:kern w:val="2"/>
          <w:shd w:val="clear" w:color="auto" w:fill="FFFFFF"/>
          <w:lang w:val="es-ES"/>
          <w14:ligatures w14:val="standardContextual"/>
        </w:rPr>
        <w:t>Para dar respuesta a su petición, es importante recordar, de manera preliminar, las metodologías definidas en el “MANUAL PARA DETERMINAR Y VERIFICAR LOS REQUISITOS HABILITANTES EN LOS PROCESOS DE CONTRATACIÓN” – versión 3 del 29 de septiembre de 2023, expedido por la Agencia Nacional de Contratación Pública – Colombia Compra Eficiente.</w:t>
      </w:r>
    </w:p>
    <w:p w14:paraId="1D33C6B2" w14:textId="77777777" w:rsidR="00EA7FDB" w:rsidRPr="00EA7FDB" w:rsidRDefault="00EA7FDB" w:rsidP="00EA7FDB">
      <w:pPr>
        <w:spacing w:after="0" w:line="240" w:lineRule="auto"/>
        <w:ind w:left="720"/>
        <w:contextualSpacing/>
        <w:rPr>
          <w:rFonts w:ascii="Verdana" w:eastAsia="Aptos" w:hAnsi="Verdana" w:cs="Arial"/>
          <w:kern w:val="2"/>
          <w:shd w:val="clear" w:color="auto" w:fill="FFFFFF"/>
          <w:lang w:val="es-ES"/>
          <w14:ligatures w14:val="standardContextual"/>
        </w:rPr>
      </w:pPr>
    </w:p>
    <w:p w14:paraId="665A50FC" w14:textId="77777777" w:rsidR="00EA7FDB" w:rsidRPr="00EA7FDB" w:rsidRDefault="00EA7FDB" w:rsidP="00EA7FDB">
      <w:pPr>
        <w:numPr>
          <w:ilvl w:val="0"/>
          <w:numId w:val="17"/>
        </w:numPr>
        <w:snapToGrid w:val="0"/>
        <w:spacing w:after="0" w:line="276" w:lineRule="auto"/>
        <w:jc w:val="both"/>
        <w:rPr>
          <w:rFonts w:ascii="Verdana" w:eastAsia="Calibri" w:hAnsi="Verdana" w:cs="Arial"/>
          <w:lang w:val="es-ES_tradnl"/>
        </w:rPr>
      </w:pPr>
      <w:r w:rsidRPr="00EA7FDB">
        <w:rPr>
          <w:rFonts w:ascii="Verdana" w:eastAsia="Aptos" w:hAnsi="Verdana" w:cs="Arial"/>
          <w:kern w:val="2"/>
          <w:shd w:val="clear" w:color="auto" w:fill="FFFFFF"/>
          <w:lang w:val="es-ES"/>
          <w14:ligatures w14:val="standardContextual"/>
        </w:rPr>
        <w:t>De acuerdo con lo definido en el numeral 5.4. “Metodologías para el cálculo de indicadores de proponentes plurales” del mencionado Manual, se establece que las Entidades Estatales interesadas en calcular indicadores expresados en valores monetarios, como el capital de trabajo, lo podrán hacer aplicando las siguientes alternativas:</w:t>
      </w:r>
    </w:p>
    <w:p w14:paraId="31E1C7D6" w14:textId="77777777" w:rsidR="00EA7FDB" w:rsidRPr="00EA7FDB" w:rsidRDefault="00EA7FDB" w:rsidP="00EA7FDB">
      <w:pPr>
        <w:snapToGrid w:val="0"/>
        <w:spacing w:after="0" w:line="276" w:lineRule="auto"/>
        <w:jc w:val="both"/>
        <w:rPr>
          <w:rFonts w:ascii="Verdana" w:eastAsia="Calibri" w:hAnsi="Verdana" w:cs="Arial"/>
          <w:lang w:val="es-ES_tradnl"/>
        </w:rPr>
      </w:pPr>
    </w:p>
    <w:p w14:paraId="3DBC32FC" w14:textId="77777777" w:rsidR="00EA7FDB" w:rsidRPr="00EA7FDB" w:rsidRDefault="00EA7FDB" w:rsidP="00EA7FDB">
      <w:pPr>
        <w:numPr>
          <w:ilvl w:val="0"/>
          <w:numId w:val="19"/>
        </w:numPr>
        <w:spacing w:after="0" w:line="276" w:lineRule="auto"/>
        <w:contextualSpacing/>
        <w:jc w:val="both"/>
        <w:rPr>
          <w:rFonts w:ascii="Verdana" w:eastAsia="Aptos" w:hAnsi="Verdana" w:cs="Arial"/>
          <w:b/>
          <w:bCs/>
          <w:kern w:val="2"/>
          <w:shd w:val="clear" w:color="auto" w:fill="FFFFFF"/>
          <w:lang w:val="es-ES"/>
          <w14:ligatures w14:val="standardContextual"/>
        </w:rPr>
      </w:pPr>
      <w:r w:rsidRPr="00EA7FDB">
        <w:rPr>
          <w:rFonts w:ascii="Verdana" w:eastAsia="Aptos" w:hAnsi="Verdana" w:cs="Arial"/>
          <w:b/>
          <w:bCs/>
          <w:kern w:val="2"/>
          <w:shd w:val="clear" w:color="auto" w:fill="FFFFFF"/>
          <w:lang w:val="es-ES"/>
          <w14:ligatures w14:val="standardContextual"/>
        </w:rPr>
        <w:t>Sumatoria ponderada</w:t>
      </w:r>
    </w:p>
    <w:p w14:paraId="77FCCA01"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lang w:val="es-ES"/>
          <w14:ligatures w14:val="standardContextual"/>
        </w:rPr>
      </w:pPr>
    </w:p>
    <w:p w14:paraId="37DE8E1C"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lang w:val="es-ES"/>
          <w14:ligatures w14:val="standardContextual"/>
        </w:rPr>
      </w:pPr>
      <w:r w:rsidRPr="00EA7FDB">
        <w:rPr>
          <w:rFonts w:ascii="Verdana" w:eastAsia="Aptos" w:hAnsi="Verdana" w:cs="Times New Roman"/>
          <w:noProof/>
          <w:kern w:val="2"/>
          <w14:ligatures w14:val="standardContextual"/>
        </w:rPr>
        <w:lastRenderedPageBreak/>
        <w:drawing>
          <wp:inline distT="0" distB="0" distL="0" distR="0" wp14:anchorId="71205EBE" wp14:editId="01DF9B09">
            <wp:extent cx="4749800" cy="1128156"/>
            <wp:effectExtent l="0" t="0" r="0" b="0"/>
            <wp:docPr id="93656484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64846" name="Imagen 1" descr="Texto&#10;&#10;Descripción generada automáticamente"/>
                    <pic:cNvPicPr/>
                  </pic:nvPicPr>
                  <pic:blipFill rotWithShape="1">
                    <a:blip r:embed="rId12"/>
                    <a:srcRect l="25613" t="39518" r="14694" b="35639"/>
                    <a:stretch/>
                  </pic:blipFill>
                  <pic:spPr bwMode="auto">
                    <a:xfrm>
                      <a:off x="0" y="0"/>
                      <a:ext cx="4773942" cy="1133890"/>
                    </a:xfrm>
                    <a:prstGeom prst="rect">
                      <a:avLst/>
                    </a:prstGeom>
                    <a:ln>
                      <a:noFill/>
                    </a:ln>
                    <a:extLst>
                      <a:ext uri="{53640926-AAD7-44D8-BBD7-CCE9431645EC}">
                        <a14:shadowObscured xmlns:a14="http://schemas.microsoft.com/office/drawing/2010/main"/>
                      </a:ext>
                    </a:extLst>
                  </pic:spPr>
                </pic:pic>
              </a:graphicData>
            </a:graphic>
          </wp:inline>
        </w:drawing>
      </w:r>
    </w:p>
    <w:p w14:paraId="6FFEAADA"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lang w:val="es-ES"/>
          <w14:ligatures w14:val="standardContextual"/>
        </w:rPr>
      </w:pPr>
      <w:r w:rsidRPr="00EA7FDB">
        <w:rPr>
          <w:rFonts w:ascii="Verdana" w:eastAsia="Aptos" w:hAnsi="Verdana" w:cs="Arial"/>
          <w:kern w:val="2"/>
          <w:shd w:val="clear" w:color="auto" w:fill="FFFFFF"/>
          <w:lang w:val="es-ES"/>
          <w14:ligatures w14:val="standardContextual"/>
        </w:rPr>
        <w:t xml:space="preserve">Donde </w:t>
      </w:r>
      <w:r w:rsidRPr="00EA7FDB">
        <w:rPr>
          <w:rFonts w:ascii="Cambria Math" w:eastAsia="Aptos" w:hAnsi="Cambria Math" w:cs="Cambria Math"/>
          <w:kern w:val="2"/>
          <w:shd w:val="clear" w:color="auto" w:fill="FFFFFF"/>
          <w:lang w:val="es-ES"/>
          <w14:ligatures w14:val="standardContextual"/>
        </w:rPr>
        <w:t>𝑖</w:t>
      </w:r>
      <w:r w:rsidRPr="00EA7FDB">
        <w:rPr>
          <w:rFonts w:ascii="Verdana" w:eastAsia="Aptos" w:hAnsi="Verdana" w:cs="Arial"/>
          <w:kern w:val="2"/>
          <w:shd w:val="clear" w:color="auto" w:fill="FFFFFF"/>
          <w:lang w:val="es-ES"/>
          <w14:ligatures w14:val="standardContextual"/>
        </w:rPr>
        <w:t xml:space="preserve"> representa a una empresa que conforma el oferente plural y </w:t>
      </w:r>
      <w:r w:rsidRPr="00EA7FDB">
        <w:rPr>
          <w:rFonts w:ascii="Cambria Math" w:eastAsia="Aptos" w:hAnsi="Cambria Math" w:cs="Cambria Math"/>
          <w:kern w:val="2"/>
          <w:shd w:val="clear" w:color="auto" w:fill="FFFFFF"/>
          <w:lang w:val="es-ES"/>
          <w14:ligatures w14:val="standardContextual"/>
        </w:rPr>
        <w:t>𝑛</w:t>
      </w:r>
      <w:r w:rsidRPr="00EA7FDB">
        <w:rPr>
          <w:rFonts w:ascii="Verdana" w:eastAsia="Aptos" w:hAnsi="Verdana" w:cs="Arial"/>
          <w:kern w:val="2"/>
          <w:shd w:val="clear" w:color="auto" w:fill="FFFFFF"/>
          <w:lang w:val="es-ES"/>
          <w14:ligatures w14:val="standardContextual"/>
        </w:rPr>
        <w:t xml:space="preserve"> es el número total de empresas integrantes del oferente plural (unión temporal o consorcio).</w:t>
      </w:r>
    </w:p>
    <w:p w14:paraId="17ED4F81"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lang w:val="es-ES"/>
          <w14:ligatures w14:val="standardContextual"/>
        </w:rPr>
      </w:pPr>
    </w:p>
    <w:p w14:paraId="060FC755"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lang w:val="es-ES"/>
          <w14:ligatures w14:val="standardContextual"/>
        </w:rPr>
      </w:pPr>
      <w:r w:rsidRPr="00EA7FDB">
        <w:rPr>
          <w:rFonts w:ascii="Verdana" w:eastAsia="Aptos" w:hAnsi="Verdana" w:cs="Arial"/>
          <w:kern w:val="2"/>
          <w:shd w:val="clear" w:color="auto" w:fill="FFFFFF"/>
          <w:lang w:val="es-ES"/>
          <w14:ligatures w14:val="standardContextual"/>
        </w:rPr>
        <w:t>Esta opción incentiva a que el integrante del proponente plural con los mejores indicadores tenga una mayor participación en dicho proponente plural.</w:t>
      </w:r>
    </w:p>
    <w:p w14:paraId="265EB596"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lang w:val="es-ES"/>
          <w14:ligatures w14:val="standardContextual"/>
        </w:rPr>
      </w:pPr>
    </w:p>
    <w:p w14:paraId="1A690DB1"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lang w:val="es-ES"/>
          <w14:ligatures w14:val="standardContextual"/>
        </w:rPr>
      </w:pPr>
      <w:r w:rsidRPr="00EA7FDB">
        <w:rPr>
          <w:rFonts w:ascii="Verdana" w:eastAsia="Aptos" w:hAnsi="Verdana" w:cs="Arial"/>
          <w:kern w:val="2"/>
          <w:shd w:val="clear" w:color="auto" w:fill="FFFFFF"/>
          <w:lang w:val="es-ES"/>
          <w14:ligatures w14:val="standardContextual"/>
        </w:rPr>
        <w:t>Nota: Las opciones que incluyen la ponderación según la participación de cada miembro de la estructura plural permiten una evaluación más precisa del nivel de solvencia financiera del proponente plural en su conjunto, puesto que cada miembro es evaluado en función de su participación, lo que significa que su contribución financiera es valorada proporcionalmente a su involucramiento en el objeto contractual.</w:t>
      </w:r>
    </w:p>
    <w:p w14:paraId="4B3EFCBE"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lang w:val="es-ES"/>
          <w14:ligatures w14:val="standardContextual"/>
        </w:rPr>
      </w:pPr>
    </w:p>
    <w:p w14:paraId="4A72DCC4" w14:textId="77777777" w:rsidR="00EA7FDB" w:rsidRPr="00EA7FDB" w:rsidRDefault="00EA7FDB" w:rsidP="00EA7FDB">
      <w:pPr>
        <w:numPr>
          <w:ilvl w:val="0"/>
          <w:numId w:val="19"/>
        </w:numPr>
        <w:spacing w:after="0" w:line="276" w:lineRule="auto"/>
        <w:contextualSpacing/>
        <w:jc w:val="both"/>
        <w:rPr>
          <w:rFonts w:ascii="Verdana" w:eastAsia="Aptos" w:hAnsi="Verdana" w:cs="Arial"/>
          <w:b/>
          <w:bCs/>
          <w:kern w:val="2"/>
          <w:shd w:val="clear" w:color="auto" w:fill="FFFFFF"/>
          <w:lang w:val="es-ES"/>
          <w14:ligatures w14:val="standardContextual"/>
        </w:rPr>
      </w:pPr>
      <w:r w:rsidRPr="00EA7FDB">
        <w:rPr>
          <w:rFonts w:ascii="Verdana" w:eastAsia="Aptos" w:hAnsi="Verdana" w:cs="Arial"/>
          <w:b/>
          <w:bCs/>
          <w:kern w:val="2"/>
          <w:shd w:val="clear" w:color="auto" w:fill="FFFFFF"/>
          <w:lang w:val="es-ES"/>
          <w14:ligatures w14:val="standardContextual"/>
        </w:rPr>
        <w:t>Sumatoria simple</w:t>
      </w:r>
    </w:p>
    <w:p w14:paraId="338C1994" w14:textId="77777777" w:rsidR="00EA7FDB" w:rsidRPr="00EA7FDB" w:rsidRDefault="00EA7FDB" w:rsidP="00EA7FDB">
      <w:pPr>
        <w:spacing w:line="276" w:lineRule="auto"/>
        <w:ind w:left="720"/>
        <w:contextualSpacing/>
        <w:jc w:val="both"/>
        <w:rPr>
          <w:rFonts w:ascii="Verdana" w:eastAsia="Aptos" w:hAnsi="Verdana" w:cs="Arial"/>
          <w:b/>
          <w:bCs/>
          <w:kern w:val="2"/>
          <w:shd w:val="clear" w:color="auto" w:fill="FFFFFF"/>
          <w:lang w:val="es-ES"/>
          <w14:ligatures w14:val="standardContextual"/>
        </w:rPr>
      </w:pPr>
    </w:p>
    <w:p w14:paraId="20BE1C75" w14:textId="77777777" w:rsidR="00EA7FDB" w:rsidRPr="00EA7FDB" w:rsidRDefault="00EA7FDB" w:rsidP="00EA7FDB">
      <w:pPr>
        <w:spacing w:line="276" w:lineRule="auto"/>
        <w:ind w:left="720"/>
        <w:contextualSpacing/>
        <w:jc w:val="both"/>
        <w:rPr>
          <w:rFonts w:ascii="Verdana" w:eastAsia="Aptos" w:hAnsi="Verdana" w:cs="Arial"/>
          <w:b/>
          <w:bCs/>
          <w:kern w:val="2"/>
          <w:shd w:val="clear" w:color="auto" w:fill="FFFFFF"/>
          <w:lang w:val="es-ES"/>
          <w14:ligatures w14:val="standardContextual"/>
        </w:rPr>
      </w:pPr>
      <w:r w:rsidRPr="00EA7FDB">
        <w:rPr>
          <w:rFonts w:ascii="Verdana" w:eastAsia="Aptos" w:hAnsi="Verdana" w:cs="Times New Roman"/>
          <w:noProof/>
          <w:kern w:val="2"/>
          <w14:ligatures w14:val="standardContextual"/>
        </w:rPr>
        <w:drawing>
          <wp:inline distT="0" distB="0" distL="0" distR="0" wp14:anchorId="7A4B4D0E" wp14:editId="35D81969">
            <wp:extent cx="5191216" cy="807522"/>
            <wp:effectExtent l="0" t="0" r="0" b="0"/>
            <wp:docPr id="110268600"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68600" name="Imagen 1" descr="Interfaz de usuario gráfica, Texto, Aplicación&#10;&#10;Descripción generada automáticamente"/>
                    <pic:cNvPicPr/>
                  </pic:nvPicPr>
                  <pic:blipFill rotWithShape="1">
                    <a:blip r:embed="rId13"/>
                    <a:srcRect l="36419" t="47798" r="15901" b="39010"/>
                    <a:stretch/>
                  </pic:blipFill>
                  <pic:spPr bwMode="auto">
                    <a:xfrm>
                      <a:off x="0" y="0"/>
                      <a:ext cx="5255832" cy="817573"/>
                    </a:xfrm>
                    <a:prstGeom prst="rect">
                      <a:avLst/>
                    </a:prstGeom>
                    <a:ln>
                      <a:noFill/>
                    </a:ln>
                    <a:extLst>
                      <a:ext uri="{53640926-AAD7-44D8-BBD7-CCE9431645EC}">
                        <a14:shadowObscured xmlns:a14="http://schemas.microsoft.com/office/drawing/2010/main"/>
                      </a:ext>
                    </a:extLst>
                  </pic:spPr>
                </pic:pic>
              </a:graphicData>
            </a:graphic>
          </wp:inline>
        </w:drawing>
      </w:r>
    </w:p>
    <w:p w14:paraId="3856783D"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lang w:val="es-ES"/>
          <w14:ligatures w14:val="standardContextual"/>
        </w:rPr>
      </w:pPr>
      <w:r w:rsidRPr="00EA7FDB">
        <w:rPr>
          <w:rFonts w:ascii="Verdana" w:eastAsia="Aptos" w:hAnsi="Verdana" w:cs="Arial"/>
          <w:kern w:val="2"/>
          <w:shd w:val="clear" w:color="auto" w:fill="FFFFFF"/>
          <w:lang w:val="es-ES"/>
          <w14:ligatures w14:val="standardContextual"/>
        </w:rPr>
        <w:t xml:space="preserve">Donde </w:t>
      </w:r>
      <w:r w:rsidRPr="00EA7FDB">
        <w:rPr>
          <w:rFonts w:ascii="Cambria Math" w:eastAsia="Aptos" w:hAnsi="Cambria Math" w:cs="Cambria Math"/>
          <w:kern w:val="2"/>
          <w:shd w:val="clear" w:color="auto" w:fill="FFFFFF"/>
          <w:lang w:val="es-ES"/>
          <w14:ligatures w14:val="standardContextual"/>
        </w:rPr>
        <w:t>𝑖</w:t>
      </w:r>
      <w:r w:rsidRPr="00EA7FDB">
        <w:rPr>
          <w:rFonts w:ascii="Verdana" w:eastAsia="Aptos" w:hAnsi="Verdana" w:cs="Arial"/>
          <w:kern w:val="2"/>
          <w:shd w:val="clear" w:color="auto" w:fill="FFFFFF"/>
          <w:lang w:val="es-ES"/>
          <w14:ligatures w14:val="standardContextual"/>
        </w:rPr>
        <w:t xml:space="preserve"> representa a una empresa que conforma el oferente plural y </w:t>
      </w:r>
      <w:r w:rsidRPr="00EA7FDB">
        <w:rPr>
          <w:rFonts w:ascii="Cambria Math" w:eastAsia="Aptos" w:hAnsi="Cambria Math" w:cs="Cambria Math"/>
          <w:kern w:val="2"/>
          <w:shd w:val="clear" w:color="auto" w:fill="FFFFFF"/>
          <w:lang w:val="es-ES"/>
          <w14:ligatures w14:val="standardContextual"/>
        </w:rPr>
        <w:t>𝑛</w:t>
      </w:r>
      <w:r w:rsidRPr="00EA7FDB">
        <w:rPr>
          <w:rFonts w:ascii="Verdana" w:eastAsia="Aptos" w:hAnsi="Verdana" w:cs="Arial"/>
          <w:kern w:val="2"/>
          <w:shd w:val="clear" w:color="auto" w:fill="FFFFFF"/>
          <w:lang w:val="es-ES"/>
          <w14:ligatures w14:val="standardContextual"/>
        </w:rPr>
        <w:t xml:space="preserve"> es el número total de empresas integrantes del oferente plural (unión temporal o consorcio).</w:t>
      </w:r>
      <w:r w:rsidRPr="00EA7FDB">
        <w:rPr>
          <w:rFonts w:ascii="Verdana" w:eastAsia="Aptos" w:hAnsi="Verdana" w:cs="Arial"/>
          <w:kern w:val="2"/>
          <w:shd w:val="clear" w:color="auto" w:fill="FFFFFF"/>
          <w:lang w:val="es-ES"/>
          <w14:ligatures w14:val="standardContextual"/>
        </w:rPr>
        <w:cr/>
      </w:r>
    </w:p>
    <w:p w14:paraId="684F9DCA"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14:ligatures w14:val="standardContextual"/>
        </w:rPr>
      </w:pPr>
      <w:r w:rsidRPr="00EA7FDB">
        <w:rPr>
          <w:rFonts w:ascii="Verdana" w:eastAsia="Aptos" w:hAnsi="Verdana" w:cs="Arial"/>
          <w:kern w:val="2"/>
          <w:shd w:val="clear" w:color="auto" w:fill="FFFFFF"/>
          <w14:ligatures w14:val="standardContextual"/>
        </w:rPr>
        <w:t>Para los indicadores que provienen de la división de cuentas de los estados financieros, la Agencia Nacional de Contratación Pública - Colombia Compra Eficiente sugiere las siguientes opciones:</w:t>
      </w:r>
    </w:p>
    <w:p w14:paraId="51654239"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14:ligatures w14:val="standardContextual"/>
        </w:rPr>
      </w:pPr>
    </w:p>
    <w:p w14:paraId="34AA5781" w14:textId="77777777" w:rsidR="00EA7FDB" w:rsidRPr="00EA7FDB" w:rsidRDefault="00EA7FDB" w:rsidP="00EA7FDB">
      <w:pPr>
        <w:numPr>
          <w:ilvl w:val="0"/>
          <w:numId w:val="19"/>
        </w:numPr>
        <w:spacing w:after="0" w:line="276" w:lineRule="auto"/>
        <w:contextualSpacing/>
        <w:jc w:val="both"/>
        <w:rPr>
          <w:rFonts w:ascii="Verdana" w:eastAsia="Aptos" w:hAnsi="Verdana" w:cs="Arial"/>
          <w:b/>
          <w:bCs/>
          <w:kern w:val="2"/>
          <w:shd w:val="clear" w:color="auto" w:fill="FFFFFF"/>
          <w:lang w:val="es-ES"/>
          <w14:ligatures w14:val="standardContextual"/>
        </w:rPr>
      </w:pPr>
      <w:r w:rsidRPr="00EA7FDB">
        <w:rPr>
          <w:rFonts w:ascii="Verdana" w:eastAsia="Aptos" w:hAnsi="Verdana" w:cs="Arial"/>
          <w:b/>
          <w:bCs/>
          <w:kern w:val="2"/>
          <w:shd w:val="clear" w:color="auto" w:fill="FFFFFF"/>
          <w:lang w:val="es-ES"/>
          <w14:ligatures w14:val="standardContextual"/>
        </w:rPr>
        <w:t>Suma de los componentes de los indicadores</w:t>
      </w:r>
    </w:p>
    <w:p w14:paraId="05EBBEB1" w14:textId="77777777" w:rsidR="00EA7FDB" w:rsidRPr="00EA7FDB" w:rsidRDefault="00EA7FDB" w:rsidP="00EA7FDB">
      <w:pPr>
        <w:spacing w:line="276" w:lineRule="auto"/>
        <w:ind w:left="720"/>
        <w:contextualSpacing/>
        <w:jc w:val="both"/>
        <w:rPr>
          <w:rFonts w:ascii="Verdana" w:eastAsia="Aptos" w:hAnsi="Verdana" w:cs="Arial"/>
          <w:b/>
          <w:bCs/>
          <w:kern w:val="2"/>
          <w:shd w:val="clear" w:color="auto" w:fill="FFFFFF"/>
          <w:lang w:val="es-ES"/>
          <w14:ligatures w14:val="standardContextual"/>
        </w:rPr>
      </w:pPr>
    </w:p>
    <w:p w14:paraId="3FFF4313"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14:ligatures w14:val="standardContextual"/>
        </w:rPr>
      </w:pPr>
      <w:r w:rsidRPr="00EA7FDB">
        <w:rPr>
          <w:rFonts w:ascii="Verdana" w:eastAsia="Aptos" w:hAnsi="Verdana" w:cs="Arial"/>
          <w:kern w:val="2"/>
          <w:shd w:val="clear" w:color="auto" w:fill="FFFFFF"/>
          <w14:ligatures w14:val="standardContextual"/>
        </w:rPr>
        <w:lastRenderedPageBreak/>
        <w:t>En esta opción cada uno de los integrantes del oferente aporta al valor total de cada componente del indicador en la misma proporción. En los indicadores que se calculan por medio de una división, los componentes son el numerador y el denominador de la operación, como se muestra en la siguiente expresión:</w:t>
      </w:r>
    </w:p>
    <w:p w14:paraId="3EBD0146" w14:textId="77777777" w:rsidR="00EA7FDB" w:rsidRPr="00EA7FDB" w:rsidRDefault="00EA7FDB" w:rsidP="00EA7FDB">
      <w:pPr>
        <w:spacing w:line="276" w:lineRule="auto"/>
        <w:ind w:left="720"/>
        <w:contextualSpacing/>
        <w:jc w:val="both"/>
        <w:rPr>
          <w:rFonts w:ascii="Verdana" w:eastAsia="Aptos" w:hAnsi="Verdana" w:cs="Times New Roman"/>
          <w:kern w:val="2"/>
          <w14:ligatures w14:val="standardContextual"/>
        </w:rPr>
      </w:pPr>
    </w:p>
    <w:p w14:paraId="73E6BE4E" w14:textId="77777777" w:rsidR="00EA7FDB" w:rsidRPr="00EA7FDB" w:rsidRDefault="00EA7FDB" w:rsidP="00EA7FDB">
      <w:pPr>
        <w:spacing w:line="276" w:lineRule="auto"/>
        <w:ind w:left="720"/>
        <w:contextualSpacing/>
        <w:jc w:val="both"/>
        <w:rPr>
          <w:rFonts w:ascii="Verdana" w:eastAsia="Aptos" w:hAnsi="Verdana" w:cs="Times New Roman"/>
          <w:kern w:val="2"/>
          <w14:ligatures w14:val="standardContextual"/>
        </w:rPr>
      </w:pPr>
      <w:r w:rsidRPr="00EA7FDB">
        <w:rPr>
          <w:rFonts w:ascii="Verdana" w:eastAsia="Aptos" w:hAnsi="Verdana" w:cs="Times New Roman"/>
          <w:noProof/>
          <w:kern w:val="2"/>
          <w14:ligatures w14:val="standardContextual"/>
        </w:rPr>
        <w:drawing>
          <wp:inline distT="0" distB="0" distL="0" distR="0" wp14:anchorId="3E539D59" wp14:editId="28C82EC2">
            <wp:extent cx="5121177" cy="593767"/>
            <wp:effectExtent l="0" t="0" r="3810" b="0"/>
            <wp:docPr id="4856274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27419" name=""/>
                    <pic:cNvPicPr/>
                  </pic:nvPicPr>
                  <pic:blipFill rotWithShape="1">
                    <a:blip r:embed="rId11"/>
                    <a:srcRect l="36224" t="45917" r="15866" b="46180"/>
                    <a:stretch/>
                  </pic:blipFill>
                  <pic:spPr bwMode="auto">
                    <a:xfrm>
                      <a:off x="0" y="0"/>
                      <a:ext cx="5195247" cy="602355"/>
                    </a:xfrm>
                    <a:prstGeom prst="rect">
                      <a:avLst/>
                    </a:prstGeom>
                    <a:ln>
                      <a:noFill/>
                    </a:ln>
                    <a:extLst>
                      <a:ext uri="{53640926-AAD7-44D8-BBD7-CCE9431645EC}">
                        <a14:shadowObscured xmlns:a14="http://schemas.microsoft.com/office/drawing/2010/main"/>
                      </a:ext>
                    </a:extLst>
                  </pic:spPr>
                </pic:pic>
              </a:graphicData>
            </a:graphic>
          </wp:inline>
        </w:drawing>
      </w:r>
    </w:p>
    <w:p w14:paraId="761FBB68"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14:ligatures w14:val="standardContextual"/>
        </w:rPr>
      </w:pPr>
      <w:r w:rsidRPr="00EA7FDB">
        <w:rPr>
          <w:rFonts w:ascii="Verdana" w:eastAsia="Aptos" w:hAnsi="Verdana" w:cs="Arial"/>
          <w:kern w:val="2"/>
          <w:shd w:val="clear" w:color="auto" w:fill="FFFFFF"/>
          <w14:ligatures w14:val="standardContextual"/>
        </w:rPr>
        <w:t xml:space="preserve">Donde </w:t>
      </w:r>
      <w:r w:rsidRPr="00EA7FDB">
        <w:rPr>
          <w:rFonts w:ascii="Cambria Math" w:eastAsia="Aptos" w:hAnsi="Cambria Math" w:cs="Cambria Math"/>
          <w:kern w:val="2"/>
          <w:shd w:val="clear" w:color="auto" w:fill="FFFFFF"/>
          <w14:ligatures w14:val="standardContextual"/>
        </w:rPr>
        <w:t>𝑖</w:t>
      </w:r>
      <w:r w:rsidRPr="00EA7FDB">
        <w:rPr>
          <w:rFonts w:ascii="Verdana" w:eastAsia="Aptos" w:hAnsi="Verdana" w:cs="Arial"/>
          <w:kern w:val="2"/>
          <w:shd w:val="clear" w:color="auto" w:fill="FFFFFF"/>
          <w14:ligatures w14:val="standardContextual"/>
        </w:rPr>
        <w:t xml:space="preserve"> representa a una empresa que conforma el oferente plural y </w:t>
      </w:r>
      <w:r w:rsidRPr="00EA7FDB">
        <w:rPr>
          <w:rFonts w:ascii="Cambria Math" w:eastAsia="Aptos" w:hAnsi="Cambria Math" w:cs="Cambria Math"/>
          <w:kern w:val="2"/>
          <w:shd w:val="clear" w:color="auto" w:fill="FFFFFF"/>
          <w14:ligatures w14:val="standardContextual"/>
        </w:rPr>
        <w:t>𝑛</w:t>
      </w:r>
      <w:r w:rsidRPr="00EA7FDB">
        <w:rPr>
          <w:rFonts w:ascii="Verdana" w:eastAsia="Aptos" w:hAnsi="Verdana" w:cs="Arial"/>
          <w:kern w:val="2"/>
          <w:shd w:val="clear" w:color="auto" w:fill="FFFFFF"/>
          <w14:ligatures w14:val="standardContextual"/>
        </w:rPr>
        <w:t xml:space="preserve"> es el número total de empresas integrantes del oferente plural (unión temporal o consorcio).</w:t>
      </w:r>
    </w:p>
    <w:p w14:paraId="3A657566"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14:ligatures w14:val="standardContextual"/>
        </w:rPr>
      </w:pPr>
    </w:p>
    <w:p w14:paraId="6155A431"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14:ligatures w14:val="standardContextual"/>
        </w:rPr>
      </w:pPr>
      <w:r w:rsidRPr="00EA7FDB">
        <w:rPr>
          <w:rFonts w:ascii="Verdana" w:eastAsia="Aptos" w:hAnsi="Verdana" w:cs="Arial"/>
          <w:kern w:val="2"/>
          <w:shd w:val="clear" w:color="auto" w:fill="FFFFFF"/>
          <w14:ligatures w14:val="standardContextual"/>
        </w:rPr>
        <w:t>En esta opción, el indicador es el mismo independientemente de la participación de los integrantes del oferente plural.</w:t>
      </w:r>
    </w:p>
    <w:p w14:paraId="2D88D959"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14:ligatures w14:val="standardContextual"/>
        </w:rPr>
      </w:pPr>
    </w:p>
    <w:p w14:paraId="7606F43C" w14:textId="77777777" w:rsidR="00EA7FDB" w:rsidRPr="00EA7FDB" w:rsidRDefault="00EA7FDB" w:rsidP="00EA7FDB">
      <w:pPr>
        <w:numPr>
          <w:ilvl w:val="0"/>
          <w:numId w:val="19"/>
        </w:numPr>
        <w:spacing w:after="0" w:line="276" w:lineRule="auto"/>
        <w:contextualSpacing/>
        <w:jc w:val="both"/>
        <w:rPr>
          <w:rFonts w:ascii="Verdana" w:eastAsia="Aptos" w:hAnsi="Verdana" w:cs="Arial"/>
          <w:b/>
          <w:bCs/>
          <w:kern w:val="2"/>
          <w:shd w:val="clear" w:color="auto" w:fill="FFFFFF"/>
          <w:lang w:val="es-ES"/>
          <w14:ligatures w14:val="standardContextual"/>
        </w:rPr>
      </w:pPr>
      <w:r w:rsidRPr="00EA7FDB">
        <w:rPr>
          <w:rFonts w:ascii="Verdana" w:eastAsia="Aptos" w:hAnsi="Verdana" w:cs="Arial"/>
          <w:b/>
          <w:bCs/>
          <w:kern w:val="2"/>
          <w:shd w:val="clear" w:color="auto" w:fill="FFFFFF"/>
          <w:lang w:val="es-ES"/>
          <w14:ligatures w14:val="standardContextual"/>
        </w:rPr>
        <w:t>Ponderación de los componentes de los indicadores</w:t>
      </w:r>
    </w:p>
    <w:p w14:paraId="03D497E3" w14:textId="77777777" w:rsidR="00EA7FDB" w:rsidRPr="00EA7FDB" w:rsidRDefault="00EA7FDB" w:rsidP="00EA7FDB">
      <w:pPr>
        <w:spacing w:line="276" w:lineRule="auto"/>
        <w:ind w:left="720"/>
        <w:contextualSpacing/>
        <w:jc w:val="both"/>
        <w:rPr>
          <w:rFonts w:ascii="Verdana" w:eastAsia="Aptos" w:hAnsi="Verdana" w:cs="Arial"/>
          <w:b/>
          <w:bCs/>
          <w:kern w:val="2"/>
          <w:shd w:val="clear" w:color="auto" w:fill="FFFFFF"/>
          <w:lang w:val="es-ES"/>
          <w14:ligatures w14:val="standardContextual"/>
        </w:rPr>
      </w:pPr>
    </w:p>
    <w:p w14:paraId="0DD39D22"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14:ligatures w14:val="standardContextual"/>
        </w:rPr>
      </w:pPr>
      <w:r w:rsidRPr="00EA7FDB">
        <w:rPr>
          <w:rFonts w:ascii="Verdana" w:eastAsia="Aptos" w:hAnsi="Verdana" w:cs="Arial"/>
          <w:kern w:val="2"/>
          <w:shd w:val="clear" w:color="auto" w:fill="FFFFFF"/>
          <w14:ligatures w14:val="standardContextual"/>
        </w:rPr>
        <w:t>En esta opción cada uno de los integrantes del oferente aporta al valor total del componente del indicador proporcionalmente con su participación en la figura, esto es, unión temporal o consorcio.</w:t>
      </w:r>
    </w:p>
    <w:p w14:paraId="0A3FE7A3"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14:ligatures w14:val="standardContextual"/>
        </w:rPr>
      </w:pPr>
    </w:p>
    <w:p w14:paraId="50A61A3A"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14:ligatures w14:val="standardContextual"/>
        </w:rPr>
      </w:pPr>
      <w:r w:rsidRPr="00EA7FDB">
        <w:rPr>
          <w:rFonts w:ascii="Verdana" w:eastAsia="Aptos" w:hAnsi="Verdana" w:cs="Arial"/>
          <w:kern w:val="2"/>
          <w:shd w:val="clear" w:color="auto" w:fill="FFFFFF"/>
          <w14:ligatures w14:val="standardContextual"/>
        </w:rPr>
        <w:t>La siguiente es la fórmula aplicable:</w:t>
      </w:r>
    </w:p>
    <w:p w14:paraId="0F48FDE3"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14:ligatures w14:val="standardContextual"/>
        </w:rPr>
      </w:pPr>
    </w:p>
    <w:p w14:paraId="7E40A6A2"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14:ligatures w14:val="standardContextual"/>
        </w:rPr>
      </w:pPr>
      <w:r w:rsidRPr="00EA7FDB">
        <w:rPr>
          <w:rFonts w:ascii="Verdana" w:eastAsia="Aptos" w:hAnsi="Verdana" w:cs="Times New Roman"/>
          <w:noProof/>
          <w:kern w:val="2"/>
          <w14:ligatures w14:val="standardContextual"/>
        </w:rPr>
        <w:drawing>
          <wp:inline distT="0" distB="0" distL="0" distR="0" wp14:anchorId="22B690A2" wp14:editId="50D76D9E">
            <wp:extent cx="5177641" cy="1032510"/>
            <wp:effectExtent l="0" t="0" r="4445" b="0"/>
            <wp:docPr id="811244535"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244535" name="Imagen 1" descr="Interfaz de usuario gráfica, Texto, Aplicación&#10;&#10;Descripción generada automáticamente"/>
                    <pic:cNvPicPr/>
                  </pic:nvPicPr>
                  <pic:blipFill rotWithShape="1">
                    <a:blip r:embed="rId14"/>
                    <a:srcRect l="37059" t="36507" r="15502" b="48809"/>
                    <a:stretch/>
                  </pic:blipFill>
                  <pic:spPr bwMode="auto">
                    <a:xfrm>
                      <a:off x="0" y="0"/>
                      <a:ext cx="5266621" cy="1050254"/>
                    </a:xfrm>
                    <a:prstGeom prst="rect">
                      <a:avLst/>
                    </a:prstGeom>
                    <a:ln>
                      <a:noFill/>
                    </a:ln>
                    <a:extLst>
                      <a:ext uri="{53640926-AAD7-44D8-BBD7-CCE9431645EC}">
                        <a14:shadowObscured xmlns:a14="http://schemas.microsoft.com/office/drawing/2010/main"/>
                      </a:ext>
                    </a:extLst>
                  </pic:spPr>
                </pic:pic>
              </a:graphicData>
            </a:graphic>
          </wp:inline>
        </w:drawing>
      </w:r>
    </w:p>
    <w:p w14:paraId="11458566" w14:textId="77777777" w:rsidR="00EA7FDB" w:rsidRPr="00EA7FDB" w:rsidRDefault="00EA7FDB" w:rsidP="00EA7FDB">
      <w:pPr>
        <w:spacing w:line="276" w:lineRule="auto"/>
        <w:ind w:left="720"/>
        <w:contextualSpacing/>
        <w:jc w:val="both"/>
        <w:rPr>
          <w:rFonts w:ascii="Verdana" w:eastAsia="Aptos" w:hAnsi="Verdana" w:cs="Arial"/>
          <w:kern w:val="2"/>
          <w:shd w:val="clear" w:color="auto" w:fill="FFFFFF"/>
          <w:lang w:val="es-ES"/>
          <w14:ligatures w14:val="standardContextual"/>
        </w:rPr>
      </w:pPr>
    </w:p>
    <w:p w14:paraId="331B46F0" w14:textId="77777777" w:rsidR="00EA7FDB" w:rsidRPr="00EA7FDB" w:rsidRDefault="00EA7FDB" w:rsidP="00EA7FDB">
      <w:pPr>
        <w:snapToGrid w:val="0"/>
        <w:spacing w:after="0" w:line="276" w:lineRule="auto"/>
        <w:ind w:left="720"/>
        <w:jc w:val="both"/>
        <w:rPr>
          <w:rFonts w:ascii="Verdana" w:eastAsia="Aptos" w:hAnsi="Verdana" w:cs="Arial"/>
          <w:kern w:val="2"/>
          <w:shd w:val="clear" w:color="auto" w:fill="FFFFFF"/>
          <w14:ligatures w14:val="standardContextual"/>
        </w:rPr>
      </w:pPr>
      <w:r w:rsidRPr="00EA7FDB">
        <w:rPr>
          <w:rFonts w:ascii="Verdana" w:eastAsia="Aptos" w:hAnsi="Verdana" w:cs="Arial"/>
          <w:kern w:val="2"/>
          <w:shd w:val="clear" w:color="auto" w:fill="FFFFFF"/>
          <w14:ligatures w14:val="standardContextual"/>
        </w:rPr>
        <w:t xml:space="preserve">Donde </w:t>
      </w:r>
      <w:r w:rsidRPr="00EA7FDB">
        <w:rPr>
          <w:rFonts w:ascii="Cambria Math" w:eastAsia="Aptos" w:hAnsi="Cambria Math" w:cs="Cambria Math"/>
          <w:kern w:val="2"/>
          <w:shd w:val="clear" w:color="auto" w:fill="FFFFFF"/>
          <w14:ligatures w14:val="standardContextual"/>
        </w:rPr>
        <w:t>𝑖</w:t>
      </w:r>
      <w:r w:rsidRPr="00EA7FDB">
        <w:rPr>
          <w:rFonts w:ascii="Verdana" w:eastAsia="Aptos" w:hAnsi="Verdana" w:cs="Arial"/>
          <w:kern w:val="2"/>
          <w:shd w:val="clear" w:color="auto" w:fill="FFFFFF"/>
          <w14:ligatures w14:val="standardContextual"/>
        </w:rPr>
        <w:t xml:space="preserve"> representa a una empresa que conforma el oferente plural y </w:t>
      </w:r>
      <w:r w:rsidRPr="00EA7FDB">
        <w:rPr>
          <w:rFonts w:ascii="Cambria Math" w:eastAsia="Aptos" w:hAnsi="Cambria Math" w:cs="Cambria Math"/>
          <w:kern w:val="2"/>
          <w:shd w:val="clear" w:color="auto" w:fill="FFFFFF"/>
          <w14:ligatures w14:val="standardContextual"/>
        </w:rPr>
        <w:t>𝑛</w:t>
      </w:r>
      <w:r w:rsidRPr="00EA7FDB">
        <w:rPr>
          <w:rFonts w:ascii="Verdana" w:eastAsia="Aptos" w:hAnsi="Verdana" w:cs="Arial"/>
          <w:kern w:val="2"/>
          <w:shd w:val="clear" w:color="auto" w:fill="FFFFFF"/>
          <w14:ligatures w14:val="standardContextual"/>
        </w:rPr>
        <w:t xml:space="preserve"> es el número total de empresas integrantes del oferente plural (unión temporal o consorcio).</w:t>
      </w:r>
    </w:p>
    <w:p w14:paraId="387D3776" w14:textId="77777777" w:rsidR="00EA7FDB" w:rsidRPr="00EA7FDB" w:rsidRDefault="00EA7FDB" w:rsidP="00EA7FDB">
      <w:pPr>
        <w:snapToGrid w:val="0"/>
        <w:spacing w:after="0" w:line="276" w:lineRule="auto"/>
        <w:ind w:left="720"/>
        <w:jc w:val="both"/>
        <w:rPr>
          <w:rFonts w:ascii="Verdana" w:eastAsia="Aptos" w:hAnsi="Verdana" w:cs="Arial"/>
          <w:kern w:val="2"/>
          <w:shd w:val="clear" w:color="auto" w:fill="FFFFFF"/>
          <w14:ligatures w14:val="standardContextual"/>
        </w:rPr>
      </w:pPr>
    </w:p>
    <w:p w14:paraId="36C56E47" w14:textId="77777777" w:rsidR="00EA7FDB" w:rsidRPr="00EA7FDB" w:rsidRDefault="00EA7FDB" w:rsidP="00EA7FDB">
      <w:pPr>
        <w:snapToGrid w:val="0"/>
        <w:spacing w:after="0" w:line="276" w:lineRule="auto"/>
        <w:ind w:left="720"/>
        <w:jc w:val="both"/>
        <w:rPr>
          <w:rFonts w:ascii="Verdana" w:eastAsia="Aptos" w:hAnsi="Verdana" w:cs="Arial"/>
          <w:kern w:val="2"/>
          <w:shd w:val="clear" w:color="auto" w:fill="FFFFFF"/>
          <w14:ligatures w14:val="standardContextual"/>
        </w:rPr>
      </w:pPr>
      <w:r w:rsidRPr="00EA7FDB">
        <w:rPr>
          <w:rFonts w:ascii="Verdana" w:eastAsia="Aptos" w:hAnsi="Verdana" w:cs="Arial"/>
          <w:kern w:val="2"/>
          <w:shd w:val="clear" w:color="auto" w:fill="FFFFFF"/>
          <w14:ligatures w14:val="standardContextual"/>
        </w:rPr>
        <w:t>Esta opción incentiva a que el integrante del proponente plural con los mejores indicadores tenga una mayor participación en dicho proponente plural.</w:t>
      </w:r>
    </w:p>
    <w:p w14:paraId="4F246D6A" w14:textId="77777777" w:rsidR="00EA7FDB" w:rsidRPr="00EA7FDB" w:rsidRDefault="00EA7FDB" w:rsidP="00EA7FDB">
      <w:pPr>
        <w:snapToGrid w:val="0"/>
        <w:spacing w:after="0" w:line="276" w:lineRule="auto"/>
        <w:ind w:left="720"/>
        <w:jc w:val="both"/>
        <w:rPr>
          <w:rFonts w:ascii="Verdana" w:eastAsia="Aptos" w:hAnsi="Verdana" w:cs="Arial"/>
          <w:kern w:val="2"/>
          <w:shd w:val="clear" w:color="auto" w:fill="FFFFFF"/>
          <w14:ligatures w14:val="standardContextual"/>
        </w:rPr>
      </w:pPr>
    </w:p>
    <w:p w14:paraId="43864A42" w14:textId="77777777" w:rsidR="00EA7FDB" w:rsidRPr="00EA7FDB" w:rsidRDefault="00EA7FDB" w:rsidP="00EA7FDB">
      <w:pPr>
        <w:numPr>
          <w:ilvl w:val="0"/>
          <w:numId w:val="20"/>
        </w:numPr>
        <w:snapToGrid w:val="0"/>
        <w:spacing w:after="0" w:line="276" w:lineRule="auto"/>
        <w:contextualSpacing/>
        <w:jc w:val="both"/>
        <w:rPr>
          <w:rFonts w:ascii="Verdana" w:eastAsia="Aptos" w:hAnsi="Verdana" w:cs="Arial"/>
          <w:kern w:val="2"/>
          <w:shd w:val="clear" w:color="auto" w:fill="FFFFFF"/>
          <w:lang w:val="es-ES"/>
          <w14:ligatures w14:val="standardContextual"/>
        </w:rPr>
      </w:pPr>
      <w:r w:rsidRPr="00EA7FDB">
        <w:rPr>
          <w:rFonts w:ascii="Verdana" w:eastAsia="Aptos" w:hAnsi="Verdana" w:cs="Arial"/>
          <w:kern w:val="2"/>
          <w:shd w:val="clear" w:color="auto" w:fill="FFFFFF"/>
          <w:lang w:val="es-ES"/>
          <w14:ligatures w14:val="standardContextual"/>
        </w:rPr>
        <w:lastRenderedPageBreak/>
        <w:t>Inicialmente, como puede evidenciarse, el Manual en comento propone las dos metodologías –sumatoria o ponderación– como opciones válidas para el cálculo de los indicadores de proponentes plurales; por otro lado, la diferencia radica fundamentalmente en el nivel de precisión con el que se evalúa la solvencia del proponente plural dependiendo de su porcentaje de participación, lo que hace que las metodologías ponderadas sean más rigurosas de cara al análisis.</w:t>
      </w:r>
    </w:p>
    <w:p w14:paraId="11DB9C26" w14:textId="77777777" w:rsidR="00EA7FDB" w:rsidRPr="00EA7FDB" w:rsidRDefault="00EA7FDB" w:rsidP="00EA7FDB">
      <w:pPr>
        <w:snapToGrid w:val="0"/>
        <w:spacing w:after="0" w:line="276" w:lineRule="auto"/>
        <w:ind w:left="720"/>
        <w:contextualSpacing/>
        <w:jc w:val="both"/>
        <w:rPr>
          <w:rFonts w:ascii="Verdana" w:eastAsia="Aptos" w:hAnsi="Verdana" w:cs="Arial"/>
          <w:kern w:val="2"/>
          <w:shd w:val="clear" w:color="auto" w:fill="FFFFFF"/>
          <w:lang w:val="es-ES"/>
          <w14:ligatures w14:val="standardContextual"/>
        </w:rPr>
      </w:pPr>
    </w:p>
    <w:p w14:paraId="31020CF0" w14:textId="77777777" w:rsidR="00EA7FDB" w:rsidRPr="00EA7FDB" w:rsidRDefault="00EA7FDB" w:rsidP="00EA7FDB">
      <w:pPr>
        <w:numPr>
          <w:ilvl w:val="0"/>
          <w:numId w:val="20"/>
        </w:numPr>
        <w:snapToGrid w:val="0"/>
        <w:spacing w:after="0" w:line="276" w:lineRule="auto"/>
        <w:contextualSpacing/>
        <w:jc w:val="both"/>
        <w:rPr>
          <w:rFonts w:ascii="Verdana" w:eastAsia="Aptos" w:hAnsi="Verdana" w:cs="Arial"/>
          <w:kern w:val="2"/>
          <w:shd w:val="clear" w:color="auto" w:fill="FFFFFF"/>
          <w:lang w:val="es-ES"/>
          <w14:ligatures w14:val="standardContextual"/>
        </w:rPr>
      </w:pPr>
      <w:r w:rsidRPr="00EA7FDB">
        <w:rPr>
          <w:rFonts w:ascii="Verdana" w:eastAsia="Aptos" w:hAnsi="Verdana" w:cs="Arial"/>
          <w:kern w:val="2"/>
          <w:shd w:val="clear" w:color="auto" w:fill="FFFFFF"/>
          <w:lang w:val="es-ES"/>
          <w14:ligatures w14:val="standardContextual"/>
        </w:rPr>
        <w:t xml:space="preserve">Sin embargo, y en el marco de los principales objetivos de la aplicación de los documentos tipo –que buscan promover la participación y aumentar la pluralidad de oferentes en los procesos de selección–, desde la Agencia Nacional de Contratación Pública se ha considerado utilizar las metodologías de </w:t>
      </w:r>
      <w:r w:rsidRPr="00EA7FDB">
        <w:rPr>
          <w:rFonts w:ascii="Verdana" w:eastAsia="Aptos" w:hAnsi="Verdana" w:cs="Arial"/>
          <w:i/>
          <w:iCs/>
          <w:kern w:val="2"/>
          <w:shd w:val="clear" w:color="auto" w:fill="FFFFFF"/>
          <w:lang w:val="es-ES"/>
          <w14:ligatures w14:val="standardContextual"/>
        </w:rPr>
        <w:t>sumatoria simple</w:t>
      </w:r>
      <w:r w:rsidRPr="00EA7FDB">
        <w:rPr>
          <w:rFonts w:ascii="Verdana" w:eastAsia="Aptos" w:hAnsi="Verdana" w:cs="Arial"/>
          <w:kern w:val="2"/>
          <w:shd w:val="clear" w:color="auto" w:fill="FFFFFF"/>
          <w:lang w:val="es-ES"/>
          <w14:ligatures w14:val="standardContextual"/>
        </w:rPr>
        <w:t xml:space="preserve"> para efectos de calcular los indicadores de proponentes plurales, toda vez que dicha metodología facilita la habilitación de las diferentes estructuras plurales sin requerir necesariamente que </w:t>
      </w:r>
      <w:r w:rsidRPr="00EA7FDB">
        <w:rPr>
          <w:rFonts w:ascii="Verdana" w:eastAsia="Aptos" w:hAnsi="Verdana" w:cs="Arial"/>
          <w:kern w:val="2"/>
          <w:shd w:val="clear" w:color="auto" w:fill="FFFFFF"/>
          <w14:ligatures w14:val="standardContextual"/>
        </w:rPr>
        <w:t>el integrante del proponente plural con los mejores indicadores tenga una mayor participación en el mismo.</w:t>
      </w:r>
    </w:p>
    <w:p w14:paraId="36B71054" w14:textId="77777777" w:rsidR="00EA7FDB" w:rsidRPr="00EA7FDB" w:rsidRDefault="00EA7FDB" w:rsidP="00EA7FDB">
      <w:pPr>
        <w:spacing w:after="0" w:line="240" w:lineRule="auto"/>
        <w:ind w:left="720"/>
        <w:contextualSpacing/>
        <w:rPr>
          <w:rFonts w:ascii="Verdana" w:eastAsia="Aptos" w:hAnsi="Verdana" w:cs="Arial"/>
          <w:kern w:val="2"/>
          <w:shd w:val="clear" w:color="auto" w:fill="FFFFFF"/>
          <w14:ligatures w14:val="standardContextual"/>
        </w:rPr>
      </w:pPr>
    </w:p>
    <w:p w14:paraId="27FA48C0" w14:textId="77777777" w:rsidR="00EA7FDB" w:rsidRPr="00EA7FDB" w:rsidRDefault="00EA7FDB" w:rsidP="00EA7FDB">
      <w:pPr>
        <w:numPr>
          <w:ilvl w:val="0"/>
          <w:numId w:val="20"/>
        </w:numPr>
        <w:snapToGrid w:val="0"/>
        <w:spacing w:after="0" w:line="276" w:lineRule="auto"/>
        <w:jc w:val="both"/>
        <w:rPr>
          <w:rFonts w:ascii="Verdana" w:eastAsia="Aptos" w:hAnsi="Verdana" w:cs="Arial"/>
          <w:kern w:val="2"/>
          <w:shd w:val="clear" w:color="auto" w:fill="FFFFFF"/>
          <w:lang w:val="es-ES"/>
          <w14:ligatures w14:val="standardContextual"/>
        </w:rPr>
      </w:pPr>
      <w:r w:rsidRPr="00EA7FDB">
        <w:rPr>
          <w:rFonts w:ascii="Verdana" w:eastAsia="Aptos" w:hAnsi="Verdana" w:cs="Arial"/>
          <w:kern w:val="2"/>
          <w:shd w:val="clear" w:color="auto" w:fill="FFFFFF"/>
          <w14:ligatures w14:val="standardContextual"/>
        </w:rPr>
        <w:t xml:space="preserve">En todo caso, es necesario advertir que, en el marco de la actualización de los documentos tipo del sector de infraestructura de transporte en las modalidades de licitación pública y selección abreviada de menor cuantía adelantada durante el segundo semestre del año 2024, varios gremios del sector manifestaron la importancia de mantener esta metodología de ponderación en </w:t>
      </w:r>
      <w:r w:rsidRPr="00EA7FDB">
        <w:rPr>
          <w:rFonts w:ascii="Verdana" w:eastAsia="Aptos" w:hAnsi="Verdana" w:cs="Arial"/>
          <w:i/>
          <w:iCs/>
          <w:kern w:val="2"/>
          <w:shd w:val="clear" w:color="auto" w:fill="FFFFFF"/>
          <w14:ligatures w14:val="standardContextual"/>
        </w:rPr>
        <w:t>pro</w:t>
      </w:r>
      <w:r w:rsidRPr="00EA7FDB">
        <w:rPr>
          <w:rFonts w:ascii="Verdana" w:eastAsia="Aptos" w:hAnsi="Verdana" w:cs="Arial"/>
          <w:kern w:val="2"/>
          <w:shd w:val="clear" w:color="auto" w:fill="FFFFFF"/>
          <w14:ligatures w14:val="standardContextual"/>
        </w:rPr>
        <w:t xml:space="preserve"> de preservar la pluralidad de oferentes en los procesos de selección para este tipo de proyectos.</w:t>
      </w:r>
    </w:p>
    <w:p w14:paraId="47C5A63F" w14:textId="77777777" w:rsidR="00EA7FDB" w:rsidRPr="00EA7FDB" w:rsidRDefault="00EA7FDB" w:rsidP="00EA7FDB">
      <w:pPr>
        <w:snapToGrid w:val="0"/>
        <w:spacing w:after="0" w:line="276" w:lineRule="auto"/>
        <w:ind w:left="720"/>
        <w:jc w:val="both"/>
        <w:rPr>
          <w:rFonts w:ascii="Verdana" w:eastAsia="Calibri" w:hAnsi="Verdana" w:cs="Arial"/>
          <w:lang w:val="es-ES_tradnl"/>
        </w:rPr>
      </w:pPr>
    </w:p>
    <w:p w14:paraId="04879715" w14:textId="77777777" w:rsidR="00EA7FDB" w:rsidRPr="00EA7FDB" w:rsidRDefault="00EA7FDB" w:rsidP="00EA7FD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EA7FDB">
        <w:rPr>
          <w:rFonts w:ascii="Verdana" w:eastAsia="Century Gothic" w:hAnsi="Verdana" w:cs="Century Gothic"/>
          <w:b/>
          <w:bCs/>
          <w:lang w:val="es-ES_tradnl"/>
        </w:rPr>
        <w:t>Referencias normativas, jurisprudenciales y otras fuentes:</w:t>
      </w:r>
    </w:p>
    <w:p w14:paraId="60BBAC16" w14:textId="77777777" w:rsidR="00EA7FDB" w:rsidRPr="00EA7FDB" w:rsidRDefault="00EA7FDB" w:rsidP="00EA7FDB">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EA7FDB" w:rsidRPr="00EA7FDB" w14:paraId="33E8526F" w14:textId="77777777" w:rsidTr="00491BBF">
        <w:trPr>
          <w:trHeight w:val="870"/>
        </w:trPr>
        <w:tc>
          <w:tcPr>
            <w:tcW w:w="8647" w:type="dxa"/>
          </w:tcPr>
          <w:p w14:paraId="1AC5AF52" w14:textId="77777777" w:rsidR="00EA7FDB" w:rsidRPr="00EA7FDB" w:rsidRDefault="00EA7FDB" w:rsidP="00EA7FDB">
            <w:pPr>
              <w:widowControl w:val="0"/>
              <w:numPr>
                <w:ilvl w:val="0"/>
                <w:numId w:val="18"/>
              </w:numPr>
              <w:autoSpaceDE w:val="0"/>
              <w:autoSpaceDN w:val="0"/>
              <w:snapToGrid w:val="0"/>
              <w:spacing w:after="120" w:line="276" w:lineRule="auto"/>
              <w:ind w:left="714" w:hanging="357"/>
              <w:jc w:val="both"/>
              <w:rPr>
                <w:rFonts w:ascii="Verdana" w:eastAsia="Calibri" w:hAnsi="Verdana" w:cs="Arial"/>
                <w:lang w:val="es-ES_tradnl"/>
              </w:rPr>
            </w:pPr>
            <w:r w:rsidRPr="00EA7FDB">
              <w:rPr>
                <w:rFonts w:ascii="Verdana" w:eastAsia="Calibri" w:hAnsi="Verdana" w:cs="Arial"/>
                <w:lang w:val="es-ES_tradnl"/>
              </w:rPr>
              <w:t xml:space="preserve">Ley 2022 de 2020, artículo 1. </w:t>
            </w:r>
          </w:p>
          <w:p w14:paraId="2CE3A2C6" w14:textId="77777777" w:rsidR="00EA7FDB" w:rsidRPr="00EA7FDB" w:rsidRDefault="00EA7FDB" w:rsidP="00EA7FDB">
            <w:pPr>
              <w:widowControl w:val="0"/>
              <w:numPr>
                <w:ilvl w:val="0"/>
                <w:numId w:val="18"/>
              </w:numPr>
              <w:autoSpaceDE w:val="0"/>
              <w:autoSpaceDN w:val="0"/>
              <w:snapToGrid w:val="0"/>
              <w:spacing w:line="276" w:lineRule="auto"/>
              <w:ind w:left="714" w:hanging="357"/>
              <w:jc w:val="both"/>
              <w:rPr>
                <w:rFonts w:ascii="Verdana" w:eastAsia="Calibri" w:hAnsi="Verdana" w:cs="Arial"/>
                <w:lang w:val="es-ES_tradnl"/>
              </w:rPr>
            </w:pPr>
            <w:r w:rsidRPr="00EA7FDB">
              <w:rPr>
                <w:rFonts w:ascii="Verdana" w:eastAsia="Calibri" w:hAnsi="Verdana" w:cs="Arial"/>
                <w:lang w:val="es-ES_tradnl"/>
              </w:rPr>
              <w:t xml:space="preserve">Documentos Tipo. Disponibles en: </w:t>
            </w:r>
            <w:hyperlink r:id="rId15" w:history="1">
              <w:r w:rsidRPr="00EA7FDB">
                <w:rPr>
                  <w:rFonts w:ascii="Verdana" w:eastAsia="Calibri" w:hAnsi="Verdana" w:cs="Arial"/>
                  <w:color w:val="0000FF"/>
                  <w:u w:val="single"/>
                  <w:lang w:val="es-ES_tradnl"/>
                </w:rPr>
                <w:t>https://www.colombiacompra.gov.co/documentos-tipo/documentos-tipo</w:t>
              </w:r>
            </w:hyperlink>
            <w:r w:rsidRPr="00EA7FDB">
              <w:rPr>
                <w:rFonts w:ascii="Verdana" w:eastAsia="Calibri" w:hAnsi="Verdana" w:cs="Arial"/>
                <w:lang w:val="es-ES_tradnl"/>
              </w:rPr>
              <w:t xml:space="preserve">. </w:t>
            </w:r>
          </w:p>
        </w:tc>
      </w:tr>
    </w:tbl>
    <w:p w14:paraId="72AF3141" w14:textId="77777777" w:rsidR="00EA7FDB" w:rsidRPr="00EA7FDB" w:rsidRDefault="00EA7FDB" w:rsidP="00EA7FDB">
      <w:pPr>
        <w:widowControl w:val="0"/>
        <w:autoSpaceDE w:val="0"/>
        <w:autoSpaceDN w:val="0"/>
        <w:snapToGrid w:val="0"/>
        <w:spacing w:after="0" w:line="276" w:lineRule="auto"/>
        <w:jc w:val="both"/>
        <w:rPr>
          <w:rFonts w:ascii="Verdana" w:eastAsia="Calibri" w:hAnsi="Verdana" w:cs="Arial"/>
          <w:lang w:val="es-ES_tradnl"/>
        </w:rPr>
      </w:pPr>
    </w:p>
    <w:p w14:paraId="46018F03" w14:textId="77777777" w:rsidR="00EA7FDB" w:rsidRPr="00EA7FDB" w:rsidRDefault="00EA7FDB" w:rsidP="00EA7FD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EA7FDB">
        <w:rPr>
          <w:rFonts w:ascii="Verdana" w:eastAsia="Century Gothic" w:hAnsi="Verdana" w:cs="Century Gothic"/>
          <w:b/>
          <w:bCs/>
          <w:lang w:val="es-ES_tradnl"/>
        </w:rPr>
        <w:t>Doctrina de la Agencia Nacional de Contratación Pública:</w:t>
      </w:r>
    </w:p>
    <w:p w14:paraId="44D83E6E" w14:textId="77777777" w:rsidR="00EA7FDB" w:rsidRPr="00EA7FDB" w:rsidRDefault="00EA7FDB" w:rsidP="00EA7FDB">
      <w:pPr>
        <w:widowControl w:val="0"/>
        <w:autoSpaceDE w:val="0"/>
        <w:autoSpaceDN w:val="0"/>
        <w:snapToGrid w:val="0"/>
        <w:spacing w:after="0" w:line="276" w:lineRule="auto"/>
        <w:jc w:val="both"/>
        <w:rPr>
          <w:rFonts w:ascii="Verdana" w:eastAsia="Calibri" w:hAnsi="Verdana" w:cs="Arial"/>
          <w:lang w:val="es-ES_tradnl"/>
        </w:rPr>
      </w:pPr>
    </w:p>
    <w:p w14:paraId="36DFE1B8" w14:textId="77777777" w:rsidR="00EA7FDB" w:rsidRPr="00EA7FDB" w:rsidRDefault="00EA7FDB" w:rsidP="00EA7FDB">
      <w:pPr>
        <w:widowControl w:val="0"/>
        <w:autoSpaceDE w:val="0"/>
        <w:autoSpaceDN w:val="0"/>
        <w:snapToGrid w:val="0"/>
        <w:spacing w:after="0" w:line="276" w:lineRule="auto"/>
        <w:jc w:val="both"/>
        <w:rPr>
          <w:rFonts w:ascii="Verdana" w:eastAsia="Calibri" w:hAnsi="Verdana" w:cs="Arial"/>
          <w:kern w:val="2"/>
          <w:shd w:val="clear" w:color="auto" w:fill="FFFFFF"/>
          <w:lang w:val="es-ES"/>
          <w14:ligatures w14:val="standardContextual"/>
        </w:rPr>
      </w:pPr>
      <w:r w:rsidRPr="00EA7FDB">
        <w:rPr>
          <w:rFonts w:ascii="Verdana" w:eastAsia="Calibri" w:hAnsi="Verdana" w:cs="Arial"/>
          <w:shd w:val="clear" w:color="auto" w:fill="FFFFFF"/>
          <w:lang w:val="es-ES_tradnl"/>
        </w:rPr>
        <w:t xml:space="preserve">La Agencia Nacional de Contratación Pública – Colombia Compra Eficiente analizó el fundamento normativo de los documentos tipo en la contratación estatal, entre otros, en los siguientes conceptos: C-144 del 2 de marzo de 2020, C-174 </w:t>
      </w:r>
      <w:r w:rsidRPr="00EA7FDB">
        <w:rPr>
          <w:rFonts w:ascii="Verdana" w:eastAsia="Calibri" w:hAnsi="Verdana" w:cs="Arial"/>
          <w:shd w:val="clear" w:color="auto" w:fill="FFFFFF"/>
          <w:lang w:val="es-ES_tradnl"/>
        </w:rPr>
        <w:lastRenderedPageBreak/>
        <w:t xml:space="preserve">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C-290 del 28 de julio de 2023, etc. </w:t>
      </w:r>
      <w:r w:rsidRPr="00EA7FDB">
        <w:rPr>
          <w:rFonts w:ascii="Verdana" w:eastAsia="Calibri"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45E32EED" w14:textId="77777777" w:rsidR="00EA7FDB" w:rsidRPr="00EA7FDB" w:rsidRDefault="00EA7FDB" w:rsidP="00EA7FDB">
      <w:pPr>
        <w:widowControl w:val="0"/>
        <w:autoSpaceDE w:val="0"/>
        <w:autoSpaceDN w:val="0"/>
        <w:spacing w:after="0" w:line="276" w:lineRule="auto"/>
        <w:jc w:val="both"/>
        <w:rPr>
          <w:rFonts w:ascii="Verdana" w:eastAsia="Calibri" w:hAnsi="Verdana" w:cs="Arial"/>
          <w:shd w:val="clear" w:color="auto" w:fill="FFFFFF"/>
          <w:lang w:val="es-ES_tradnl"/>
        </w:rPr>
      </w:pPr>
    </w:p>
    <w:p w14:paraId="378C2732" w14:textId="77777777" w:rsidR="00EA7FDB" w:rsidRPr="00EA7FDB" w:rsidRDefault="00EA7FDB" w:rsidP="00EA7FDB">
      <w:pPr>
        <w:widowControl w:val="0"/>
        <w:autoSpaceDE w:val="0"/>
        <w:autoSpaceDN w:val="0"/>
        <w:spacing w:after="0" w:line="276" w:lineRule="auto"/>
        <w:jc w:val="both"/>
        <w:rPr>
          <w:rFonts w:ascii="Verdana" w:eastAsia="Calibri" w:hAnsi="Verdana" w:cs="Arial"/>
          <w:shd w:val="clear" w:color="auto" w:fill="FFFFFF"/>
          <w:lang w:val="es-ES_tradnl"/>
        </w:rPr>
      </w:pPr>
      <w:r w:rsidRPr="00EA7FDB">
        <w:rPr>
          <w:rFonts w:ascii="Verdana" w:eastAsia="Calibri" w:hAnsi="Verdana" w:cs="Arial"/>
          <w:shd w:val="clear" w:color="auto" w:fill="FFFFFF"/>
          <w:lang w:val="es-ES_tradnl"/>
        </w:rPr>
        <w:t xml:space="preserve">Le invitamos a consultar las versiones V y VI de 2024 del Boletín de Relatoría de la Subdirección de Gestión Contractual relacionados con las guías de Plan Anual de Adquisiciones y la modalidad de selección de mínima cuantía, los cuales se </w:t>
      </w:r>
      <w:r w:rsidRPr="00EA7FDB">
        <w:rPr>
          <w:rFonts w:ascii="Verdana" w:eastAsia="Calibri" w:hAnsi="Verdana" w:cs="Arial"/>
          <w:shd w:val="clear" w:color="auto" w:fill="FFFFFF"/>
          <w:lang w:val="es-ES_tradnl"/>
        </w:rPr>
        <w:lastRenderedPageBreak/>
        <w:t>pueden descargar en la página web de la Agencia: </w:t>
      </w:r>
      <w:hyperlink r:id="rId16" w:tgtFrame="_blank" w:tooltip="Original URL:&#10;https://www.colombiacompra.gov.co/sala-de-prensa/boletin-digital&#10;&#10;Click to follow link." w:history="1">
        <w:r w:rsidRPr="00EA7FDB">
          <w:rPr>
            <w:rFonts w:ascii="Verdana" w:eastAsia="Calibri" w:hAnsi="Verdana" w:cs="Arial"/>
            <w:color w:val="0000FF"/>
            <w:u w:val="single"/>
            <w:shd w:val="clear" w:color="auto" w:fill="FFFFFF"/>
            <w:lang w:val="es-ES_tradnl"/>
          </w:rPr>
          <w:t>https://www.colombiacompra.gov.co/sala-de-prensa/boletin-digital</w:t>
        </w:r>
      </w:hyperlink>
      <w:r w:rsidRPr="00EA7FDB">
        <w:rPr>
          <w:rFonts w:ascii="Verdana" w:eastAsia="Calibri" w:hAnsi="Verdana" w:cs="Arial"/>
          <w:shd w:val="clear" w:color="auto" w:fill="FFFFFF"/>
          <w:lang w:val="es-ES_tradnl"/>
        </w:rPr>
        <w:t>.</w:t>
      </w:r>
    </w:p>
    <w:p w14:paraId="16C86EA0" w14:textId="77777777" w:rsidR="00EA7FDB" w:rsidRPr="00EA7FDB" w:rsidRDefault="00EA7FDB" w:rsidP="00EA7FDB">
      <w:pPr>
        <w:widowControl w:val="0"/>
        <w:autoSpaceDE w:val="0"/>
        <w:autoSpaceDN w:val="0"/>
        <w:spacing w:after="0" w:line="276" w:lineRule="auto"/>
        <w:jc w:val="both"/>
        <w:rPr>
          <w:rFonts w:ascii="Verdana" w:eastAsia="Calibri" w:hAnsi="Verdana" w:cs="Arial"/>
          <w:shd w:val="clear" w:color="auto" w:fill="FFFFFF"/>
          <w:lang w:val="es-ES_tradnl"/>
        </w:rPr>
      </w:pPr>
    </w:p>
    <w:p w14:paraId="2248B237" w14:textId="77777777" w:rsidR="00EA7FDB" w:rsidRPr="00EA7FDB" w:rsidRDefault="00EA7FDB" w:rsidP="00EA7FDB">
      <w:pPr>
        <w:spacing w:after="0" w:line="240" w:lineRule="auto"/>
        <w:jc w:val="both"/>
        <w:rPr>
          <w:rFonts w:ascii="Verdana" w:eastAsia="Calibri" w:hAnsi="Verdana" w:cs="Times New Roman"/>
          <w:lang w:val="es-ES_tradnl"/>
        </w:rPr>
      </w:pPr>
      <w:r w:rsidRPr="00EA7FDB">
        <w:rPr>
          <w:rFonts w:ascii="Verdana" w:eastAsia="Calibri" w:hAnsi="Verdana" w:cs="Times New Roman"/>
          <w:lang w:val="es-ES_tradnl"/>
        </w:rPr>
        <w:t xml:space="preserve">También, los invitamos a seguirnos en las redes sociales, en las cuales se difunde información institucional: </w:t>
      </w:r>
    </w:p>
    <w:p w14:paraId="59E9A366" w14:textId="77777777" w:rsidR="00EA7FDB" w:rsidRPr="00EA7FDB" w:rsidRDefault="00EA7FDB" w:rsidP="00EA7FDB">
      <w:pPr>
        <w:spacing w:after="0" w:line="240" w:lineRule="auto"/>
        <w:jc w:val="both"/>
        <w:rPr>
          <w:rFonts w:ascii="Verdana" w:eastAsia="Calibri" w:hAnsi="Verdana" w:cs="Times New Roman"/>
          <w:lang w:val="es-ES_tradnl"/>
        </w:rPr>
      </w:pPr>
    </w:p>
    <w:p w14:paraId="732E5B77" w14:textId="77777777" w:rsidR="00EA7FDB" w:rsidRPr="00EA7FDB" w:rsidRDefault="00EA7FDB" w:rsidP="00EA7FDB">
      <w:pPr>
        <w:spacing w:after="0" w:line="240" w:lineRule="auto"/>
        <w:jc w:val="both"/>
        <w:rPr>
          <w:rFonts w:ascii="Verdana" w:eastAsia="Calibri" w:hAnsi="Verdana" w:cs="Times New Roman"/>
          <w:lang w:val="es-ES_tradnl"/>
        </w:rPr>
      </w:pPr>
      <w:r w:rsidRPr="00EA7FDB">
        <w:rPr>
          <w:rFonts w:ascii="Verdana" w:eastAsia="Calibri" w:hAnsi="Verdana" w:cs="Times New Roman"/>
          <w:lang w:val="es-ES_tradnl"/>
        </w:rPr>
        <w:t xml:space="preserve">Twitter: </w:t>
      </w:r>
      <w:r w:rsidRPr="00EA7FDB">
        <w:rPr>
          <w:rFonts w:ascii="Verdana" w:eastAsia="Calibri" w:hAnsi="Verdana" w:cs="Times New Roman"/>
          <w:u w:val="single"/>
          <w:lang w:val="es-ES_tradnl"/>
        </w:rPr>
        <w:t>@colombiacompra</w:t>
      </w:r>
      <w:r w:rsidRPr="00EA7FDB">
        <w:rPr>
          <w:rFonts w:ascii="Verdana" w:eastAsia="Calibri" w:hAnsi="Verdana" w:cs="Times New Roman"/>
          <w:lang w:val="es-ES_tradnl"/>
        </w:rPr>
        <w:t xml:space="preserve"> </w:t>
      </w:r>
    </w:p>
    <w:p w14:paraId="5477D526" w14:textId="77777777" w:rsidR="00EA7FDB" w:rsidRPr="00EA7FDB" w:rsidRDefault="00EA7FDB" w:rsidP="00EA7FDB">
      <w:pPr>
        <w:spacing w:after="0" w:line="240" w:lineRule="auto"/>
        <w:jc w:val="both"/>
        <w:rPr>
          <w:rFonts w:ascii="Verdana" w:eastAsia="Calibri" w:hAnsi="Verdana" w:cs="Times New Roman"/>
          <w:lang w:val="es-ES"/>
        </w:rPr>
      </w:pPr>
      <w:r w:rsidRPr="00EA7FDB">
        <w:rPr>
          <w:rFonts w:ascii="Verdana" w:eastAsia="Calibri" w:hAnsi="Verdana" w:cs="Times New Roman"/>
          <w:lang w:val="es-ES"/>
        </w:rPr>
        <w:t xml:space="preserve">Facebook: </w:t>
      </w:r>
      <w:r w:rsidRPr="00EA7FDB">
        <w:rPr>
          <w:rFonts w:ascii="Verdana" w:eastAsia="Calibri" w:hAnsi="Verdana" w:cs="Times New Roman"/>
          <w:u w:val="single"/>
          <w:lang w:val="es-ES"/>
        </w:rPr>
        <w:t>ColombiaCompraEficiente</w:t>
      </w:r>
    </w:p>
    <w:p w14:paraId="1438E275" w14:textId="77777777" w:rsidR="00EA7FDB" w:rsidRPr="00EA7FDB" w:rsidRDefault="00EA7FDB" w:rsidP="00EA7FDB">
      <w:pPr>
        <w:spacing w:after="0" w:line="240" w:lineRule="auto"/>
        <w:jc w:val="both"/>
        <w:rPr>
          <w:rFonts w:ascii="Verdana" w:eastAsia="Calibri" w:hAnsi="Verdana" w:cs="Times New Roman"/>
          <w:lang w:val="es-ES_tradnl"/>
        </w:rPr>
      </w:pPr>
      <w:r w:rsidRPr="00EA7FDB">
        <w:rPr>
          <w:rFonts w:ascii="Verdana" w:eastAsia="Calibri" w:hAnsi="Verdana" w:cs="Times New Roman"/>
          <w:lang w:val="es-ES_tradnl"/>
        </w:rPr>
        <w:t xml:space="preserve">LinkedIn: </w:t>
      </w:r>
      <w:r w:rsidRPr="00EA7FDB">
        <w:rPr>
          <w:rFonts w:ascii="Verdana" w:eastAsia="Calibri" w:hAnsi="Verdana" w:cs="Times New Roman"/>
          <w:u w:val="single"/>
          <w:lang w:val="es-ES_tradnl"/>
        </w:rPr>
        <w:t>Agencia Nacional de Contratación Pública - Colombia Compra Eficiente</w:t>
      </w:r>
      <w:r w:rsidRPr="00EA7FDB">
        <w:rPr>
          <w:rFonts w:ascii="Verdana" w:eastAsia="Calibri" w:hAnsi="Verdana" w:cs="Times New Roman"/>
          <w:lang w:val="es-ES_tradnl"/>
        </w:rPr>
        <w:t xml:space="preserve"> Instagram: </w:t>
      </w:r>
      <w:r w:rsidRPr="00EA7FDB">
        <w:rPr>
          <w:rFonts w:ascii="Verdana" w:eastAsia="Calibri" w:hAnsi="Verdana" w:cs="Times New Roman"/>
          <w:u w:val="single"/>
          <w:lang w:val="es-ES_tradnl"/>
        </w:rPr>
        <w:t>@colombiacompraeficiente_cce</w:t>
      </w:r>
    </w:p>
    <w:p w14:paraId="65545933" w14:textId="77777777" w:rsidR="00EA7FDB" w:rsidRPr="00EA7FDB" w:rsidRDefault="00EA7FDB" w:rsidP="00EA7FDB">
      <w:pPr>
        <w:widowControl w:val="0"/>
        <w:autoSpaceDE w:val="0"/>
        <w:autoSpaceDN w:val="0"/>
        <w:spacing w:after="0" w:line="276" w:lineRule="auto"/>
        <w:jc w:val="both"/>
        <w:rPr>
          <w:rFonts w:ascii="Verdana" w:eastAsia="Calibri" w:hAnsi="Verdana" w:cs="Arial"/>
          <w:lang w:val="es-ES_tradnl"/>
        </w:rPr>
      </w:pPr>
    </w:p>
    <w:p w14:paraId="6FEEEA4B" w14:textId="77777777" w:rsidR="00EA7FDB" w:rsidRPr="00EA7FDB" w:rsidRDefault="00EA7FDB" w:rsidP="00EA7FDB">
      <w:pPr>
        <w:widowControl w:val="0"/>
        <w:autoSpaceDE w:val="0"/>
        <w:autoSpaceDN w:val="0"/>
        <w:spacing w:after="0" w:line="276" w:lineRule="auto"/>
        <w:jc w:val="both"/>
        <w:rPr>
          <w:rFonts w:ascii="Verdana" w:eastAsia="Calibri" w:hAnsi="Verdana" w:cs="Arial"/>
          <w:lang w:val="es-ES_tradnl"/>
        </w:rPr>
      </w:pPr>
      <w:r w:rsidRPr="00EA7FDB">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B9F273F" w14:textId="77777777" w:rsidR="00EA7FDB" w:rsidRPr="00EA7FDB" w:rsidRDefault="00EA7FDB" w:rsidP="00EA7FDB">
      <w:pPr>
        <w:widowControl w:val="0"/>
        <w:autoSpaceDE w:val="0"/>
        <w:autoSpaceDN w:val="0"/>
        <w:spacing w:after="0" w:line="276" w:lineRule="auto"/>
        <w:jc w:val="both"/>
        <w:rPr>
          <w:rFonts w:ascii="Verdana" w:eastAsia="Calibri" w:hAnsi="Verdana" w:cs="Arial"/>
          <w:lang w:val="es-ES_tradnl"/>
        </w:rPr>
      </w:pPr>
    </w:p>
    <w:p w14:paraId="63B17A38" w14:textId="77777777" w:rsidR="00EA7FDB" w:rsidRPr="00EA7FDB" w:rsidRDefault="00EA7FDB" w:rsidP="00EA7FDB">
      <w:pPr>
        <w:spacing w:after="0" w:line="240" w:lineRule="auto"/>
        <w:rPr>
          <w:rFonts w:ascii="Verdana" w:eastAsia="Calibri" w:hAnsi="Verdana" w:cs="Arial"/>
          <w:lang w:val="es-ES_tradnl" w:eastAsia="es-CO"/>
        </w:rPr>
      </w:pPr>
      <w:r w:rsidRPr="00EA7FDB">
        <w:rPr>
          <w:rFonts w:ascii="Verdana" w:eastAsia="Times New Roman" w:hAnsi="Verdana" w:cs="Arial"/>
          <w:lang w:val="es-ES_tradnl" w:eastAsia="es-CO"/>
        </w:rPr>
        <w:t>Atentamente,</w:t>
      </w:r>
      <w:r w:rsidRPr="00EA7FDB">
        <w:rPr>
          <w:rFonts w:ascii="Verdana" w:eastAsia="Calibri" w:hAnsi="Verdana" w:cs="Arial"/>
          <w:lang w:val="es-ES_tradnl" w:eastAsia="es-CO"/>
        </w:rPr>
        <w:t xml:space="preserve"> </w:t>
      </w:r>
    </w:p>
    <w:p w14:paraId="2AAAAA7C" w14:textId="73F75B5C" w:rsidR="00EA7FDB" w:rsidRPr="00EA7FDB" w:rsidRDefault="000B4FD3" w:rsidP="00EA7FDB">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7378E13D" wp14:editId="3B313481">
            <wp:extent cx="3577282" cy="1327930"/>
            <wp:effectExtent l="0" t="0" r="4445" b="571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590793" cy="133294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A7FDB" w:rsidRPr="00EA7FDB" w14:paraId="77C90CCF" w14:textId="77777777" w:rsidTr="00491BBF">
        <w:trPr>
          <w:trHeight w:val="315"/>
        </w:trPr>
        <w:tc>
          <w:tcPr>
            <w:tcW w:w="893" w:type="dxa"/>
            <w:vAlign w:val="center"/>
            <w:hideMark/>
          </w:tcPr>
          <w:p w14:paraId="705B1F5A" w14:textId="77777777" w:rsidR="00EA7FDB" w:rsidRPr="00EA7FDB" w:rsidRDefault="00EA7FDB" w:rsidP="00EA7FDB">
            <w:pPr>
              <w:rPr>
                <w:rFonts w:ascii="Verdana" w:eastAsia="Calibri" w:hAnsi="Verdana" w:cs="Arial"/>
                <w:sz w:val="16"/>
                <w:szCs w:val="16"/>
                <w:lang w:val="es-ES_tradnl" w:eastAsia="es-ES"/>
              </w:rPr>
            </w:pPr>
            <w:r w:rsidRPr="00EA7FDB">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72CEA465" w14:textId="77777777" w:rsidR="00EA7FDB" w:rsidRPr="00EA7FDB" w:rsidRDefault="00EA7FDB" w:rsidP="00EA7FDB">
            <w:pPr>
              <w:rPr>
                <w:rFonts w:ascii="Verdana" w:eastAsia="Arial" w:hAnsi="Verdana" w:cs="Arial"/>
                <w:sz w:val="16"/>
                <w:szCs w:val="16"/>
                <w:lang w:val="es-ES"/>
              </w:rPr>
            </w:pPr>
            <w:r w:rsidRPr="00EA7FDB">
              <w:rPr>
                <w:rFonts w:ascii="Verdana" w:eastAsia="Arial" w:hAnsi="Verdana" w:cs="Arial"/>
                <w:sz w:val="16"/>
                <w:szCs w:val="16"/>
                <w:lang w:val="es-ES"/>
              </w:rPr>
              <w:t>Kevin Arlid Herrera Santa</w:t>
            </w:r>
          </w:p>
          <w:p w14:paraId="7C85BBB0" w14:textId="77777777" w:rsidR="00EA7FDB" w:rsidRPr="00EA7FDB" w:rsidRDefault="00EA7FDB" w:rsidP="00EA7FDB">
            <w:pPr>
              <w:rPr>
                <w:rFonts w:ascii="Verdana" w:eastAsia="Arial" w:hAnsi="Verdana" w:cs="Arial"/>
                <w:sz w:val="16"/>
                <w:szCs w:val="16"/>
                <w:lang w:val="es-ES_tradnl"/>
              </w:rPr>
            </w:pPr>
            <w:r w:rsidRPr="00EA7FDB">
              <w:rPr>
                <w:rFonts w:ascii="Verdana" w:eastAsia="Arial" w:hAnsi="Verdana" w:cs="Arial"/>
                <w:sz w:val="16"/>
                <w:szCs w:val="16"/>
                <w:lang w:val="es-ES_tradnl"/>
              </w:rPr>
              <w:t>Contratista de la Subdirección de Gestión Contractual</w:t>
            </w:r>
          </w:p>
          <w:p w14:paraId="317E38AA" w14:textId="77777777" w:rsidR="00EA7FDB" w:rsidRPr="00EA7FDB" w:rsidRDefault="00EA7FDB" w:rsidP="00EA7FDB">
            <w:pPr>
              <w:rPr>
                <w:rFonts w:ascii="Verdana" w:eastAsia="Arial" w:hAnsi="Verdana" w:cs="Arial"/>
                <w:sz w:val="16"/>
                <w:szCs w:val="16"/>
                <w:lang w:val="es-ES"/>
              </w:rPr>
            </w:pPr>
            <w:r w:rsidRPr="00EA7FDB">
              <w:rPr>
                <w:rFonts w:ascii="Verdana" w:eastAsia="Arial" w:hAnsi="Verdana" w:cs="Arial"/>
                <w:sz w:val="16"/>
                <w:szCs w:val="16"/>
                <w:lang w:val="es-ES"/>
              </w:rPr>
              <w:t>Alejandro Gamboa Cárdenas</w:t>
            </w:r>
          </w:p>
          <w:p w14:paraId="5250909F" w14:textId="77777777" w:rsidR="00EA7FDB" w:rsidRPr="00EA7FDB" w:rsidRDefault="00EA7FDB" w:rsidP="00EA7FDB">
            <w:pPr>
              <w:rPr>
                <w:rFonts w:ascii="Verdana" w:eastAsia="Arial" w:hAnsi="Verdana" w:cs="Arial"/>
                <w:sz w:val="16"/>
                <w:szCs w:val="16"/>
                <w:lang w:val="es-ES_tradnl"/>
              </w:rPr>
            </w:pPr>
            <w:r w:rsidRPr="00EA7FDB">
              <w:rPr>
                <w:rFonts w:ascii="Verdana" w:eastAsia="Arial" w:hAnsi="Verdana" w:cs="Arial"/>
                <w:sz w:val="16"/>
                <w:szCs w:val="16"/>
                <w:lang w:val="es-ES_tradnl"/>
              </w:rPr>
              <w:t xml:space="preserve">Contratista de la Subdirección de Gestión Contractual </w:t>
            </w:r>
          </w:p>
        </w:tc>
      </w:tr>
      <w:tr w:rsidR="00EA7FDB" w:rsidRPr="00EA7FDB" w14:paraId="6988612A" w14:textId="77777777" w:rsidTr="00491BBF">
        <w:trPr>
          <w:trHeight w:val="330"/>
        </w:trPr>
        <w:tc>
          <w:tcPr>
            <w:tcW w:w="893" w:type="dxa"/>
            <w:vAlign w:val="center"/>
            <w:hideMark/>
          </w:tcPr>
          <w:p w14:paraId="76FD545C" w14:textId="77777777" w:rsidR="00EA7FDB" w:rsidRPr="00EA7FDB" w:rsidRDefault="00EA7FDB" w:rsidP="00EA7FDB">
            <w:pPr>
              <w:rPr>
                <w:rFonts w:ascii="Verdana" w:eastAsia="Calibri" w:hAnsi="Verdana" w:cs="Arial"/>
                <w:sz w:val="16"/>
                <w:szCs w:val="16"/>
                <w:lang w:val="es-ES_tradnl" w:eastAsia="es-ES"/>
              </w:rPr>
            </w:pPr>
            <w:r w:rsidRPr="00EA7FDB">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6F9A54AA" w14:textId="77777777" w:rsidR="00EA7FDB" w:rsidRPr="00EA7FDB" w:rsidRDefault="00EA7FDB" w:rsidP="00EA7FDB">
            <w:pPr>
              <w:textAlignment w:val="baseline"/>
              <w:rPr>
                <w:rFonts w:ascii="Verdana" w:eastAsia="Times New Roman" w:hAnsi="Verdana" w:cs="Segoe UI"/>
                <w:sz w:val="16"/>
                <w:szCs w:val="16"/>
                <w:lang w:val="es-ES_tradnl" w:eastAsia="es-ES_tradnl"/>
              </w:rPr>
            </w:pPr>
            <w:r w:rsidRPr="00EA7FDB">
              <w:rPr>
                <w:rFonts w:ascii="Verdana" w:eastAsia="Times New Roman" w:hAnsi="Verdana" w:cs="Segoe UI"/>
                <w:sz w:val="16"/>
                <w:szCs w:val="16"/>
                <w:lang w:val="es-ES_tradnl" w:eastAsia="es-ES_tradnl"/>
              </w:rPr>
              <w:t>Juan David Cárdenas Cabeza</w:t>
            </w:r>
          </w:p>
          <w:p w14:paraId="0EAEF8B8" w14:textId="77777777" w:rsidR="00EA7FDB" w:rsidRPr="00EA7FDB" w:rsidRDefault="00EA7FDB" w:rsidP="00EA7FDB">
            <w:pPr>
              <w:textAlignment w:val="baseline"/>
              <w:rPr>
                <w:rFonts w:ascii="Verdana" w:eastAsia="Times New Roman" w:hAnsi="Verdana" w:cs="Segoe UI"/>
                <w:sz w:val="16"/>
                <w:szCs w:val="16"/>
                <w:lang w:val="es-ES_tradnl" w:eastAsia="es-ES_tradnl"/>
              </w:rPr>
            </w:pPr>
            <w:r w:rsidRPr="00EA7FDB">
              <w:rPr>
                <w:rFonts w:ascii="Verdana" w:eastAsia="Times New Roman" w:hAnsi="Verdana" w:cs="Arial"/>
                <w:sz w:val="16"/>
                <w:szCs w:val="16"/>
                <w:lang w:val="es-ES_tradnl" w:eastAsia="es-ES_tradnl"/>
              </w:rPr>
              <w:t>Contratista de la Subdirección de Gestión Contractual </w:t>
            </w:r>
          </w:p>
        </w:tc>
      </w:tr>
      <w:tr w:rsidR="00EA7FDB" w:rsidRPr="00EA7FDB" w14:paraId="45BC45AA" w14:textId="77777777" w:rsidTr="00491BBF">
        <w:trPr>
          <w:trHeight w:val="300"/>
        </w:trPr>
        <w:tc>
          <w:tcPr>
            <w:tcW w:w="893" w:type="dxa"/>
            <w:vAlign w:val="center"/>
          </w:tcPr>
          <w:p w14:paraId="30047C8C" w14:textId="77777777" w:rsidR="00EA7FDB" w:rsidRPr="00EA7FDB" w:rsidRDefault="00EA7FDB" w:rsidP="00EA7FDB">
            <w:pPr>
              <w:rPr>
                <w:rFonts w:ascii="Verdana" w:eastAsia="Calibri" w:hAnsi="Verdana" w:cs="Arial"/>
                <w:sz w:val="16"/>
                <w:szCs w:val="16"/>
                <w:lang w:val="es-ES_tradnl" w:eastAsia="es-ES"/>
              </w:rPr>
            </w:pPr>
            <w:r w:rsidRPr="00EA7FDB">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372ADD1A" w14:textId="77777777" w:rsidR="00EA7FDB" w:rsidRPr="00EA7FDB" w:rsidRDefault="00EA7FDB" w:rsidP="00EA7FDB">
            <w:pPr>
              <w:rPr>
                <w:rFonts w:ascii="Verdana" w:eastAsia="Calibri" w:hAnsi="Verdana" w:cs="Arial"/>
                <w:sz w:val="16"/>
                <w:szCs w:val="16"/>
                <w:lang w:val="es-ES" w:eastAsia="es-ES"/>
              </w:rPr>
            </w:pPr>
            <w:r w:rsidRPr="00EA7FDB">
              <w:rPr>
                <w:rFonts w:ascii="Verdana" w:eastAsia="Calibri" w:hAnsi="Verdana" w:cs="Arial"/>
                <w:sz w:val="16"/>
                <w:szCs w:val="16"/>
                <w:lang w:val="es-ES" w:eastAsia="es-ES"/>
              </w:rPr>
              <w:t>Carolina Quintero Gacharná</w:t>
            </w:r>
          </w:p>
          <w:p w14:paraId="02710AE9" w14:textId="77777777" w:rsidR="00EA7FDB" w:rsidRPr="00EA7FDB" w:rsidRDefault="00EA7FDB" w:rsidP="00EA7FDB">
            <w:pPr>
              <w:rPr>
                <w:rFonts w:ascii="Verdana" w:eastAsia="Calibri" w:hAnsi="Verdana" w:cs="Arial"/>
                <w:sz w:val="16"/>
                <w:szCs w:val="16"/>
                <w:lang w:val="es-ES_tradnl" w:eastAsia="es-ES"/>
              </w:rPr>
            </w:pPr>
            <w:r w:rsidRPr="00EA7FDB">
              <w:rPr>
                <w:rFonts w:ascii="Verdana" w:eastAsia="Calibri" w:hAnsi="Verdana" w:cs="Arial"/>
                <w:sz w:val="16"/>
                <w:szCs w:val="16"/>
                <w:lang w:val="es-ES_tradnl" w:eastAsia="es-ES"/>
              </w:rPr>
              <w:t>Subdirectora de Gestión Contractual ANCP – CCE</w:t>
            </w:r>
          </w:p>
        </w:tc>
      </w:tr>
    </w:tbl>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E8E42B" w14:textId="77777777" w:rsidR="003A26D1" w:rsidRDefault="003A26D1" w:rsidP="004A1847">
      <w:pPr>
        <w:spacing w:after="0" w:line="240" w:lineRule="auto"/>
      </w:pPr>
      <w:r>
        <w:separator/>
      </w:r>
    </w:p>
  </w:endnote>
  <w:endnote w:type="continuationSeparator" w:id="0">
    <w:p w14:paraId="430A73B4" w14:textId="77777777" w:rsidR="003A26D1" w:rsidRDefault="003A26D1" w:rsidP="004A1847">
      <w:pPr>
        <w:spacing w:after="0" w:line="240" w:lineRule="auto"/>
      </w:pPr>
      <w:r>
        <w:continuationSeparator/>
      </w:r>
    </w:p>
  </w:endnote>
  <w:endnote w:type="continuationNotice" w:id="1">
    <w:p w14:paraId="40ED30EE" w14:textId="77777777" w:rsidR="00BF2D02" w:rsidRDefault="00BF2D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1F77B" w14:textId="77777777" w:rsidR="003A26D1" w:rsidRDefault="003A26D1" w:rsidP="004A1847">
      <w:pPr>
        <w:spacing w:after="0" w:line="240" w:lineRule="auto"/>
      </w:pPr>
      <w:r>
        <w:separator/>
      </w:r>
    </w:p>
  </w:footnote>
  <w:footnote w:type="continuationSeparator" w:id="0">
    <w:p w14:paraId="665EFA4D" w14:textId="77777777" w:rsidR="003A26D1" w:rsidRDefault="003A26D1" w:rsidP="004A1847">
      <w:pPr>
        <w:spacing w:after="0" w:line="240" w:lineRule="auto"/>
      </w:pPr>
      <w:r>
        <w:continuationSeparator/>
      </w:r>
    </w:p>
  </w:footnote>
  <w:footnote w:type="continuationNotice" w:id="1">
    <w:p w14:paraId="2CCD90CA" w14:textId="77777777" w:rsidR="00BF2D02" w:rsidRDefault="00BF2D02">
      <w:pPr>
        <w:spacing w:after="0" w:line="240" w:lineRule="auto"/>
      </w:pPr>
    </w:p>
  </w:footnote>
  <w:footnote w:id="2">
    <w:p w14:paraId="6116DEBE" w14:textId="77777777" w:rsidR="00EA7FDB" w:rsidRPr="00590BB7" w:rsidRDefault="00EA7FDB" w:rsidP="00EA7FDB">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w:t>
      </w:r>
      <w:r>
        <w:rPr>
          <w:rFonts w:ascii="Verdana" w:hAnsi="Verdana"/>
          <w:sz w:val="18"/>
          <w:szCs w:val="18"/>
        </w:rPr>
        <w:t>Los</w:t>
      </w:r>
      <w:r w:rsidRPr="00590BB7">
        <w:rPr>
          <w:rFonts w:ascii="Verdana" w:hAnsi="Verdana"/>
          <w:sz w:val="18"/>
          <w:szCs w:val="18"/>
        </w:rPr>
        <w:t xml:space="preserve"> Documentos Tipo</w:t>
      </w:r>
      <w:r>
        <w:rPr>
          <w:rFonts w:ascii="Verdana" w:hAnsi="Verdana"/>
          <w:sz w:val="18"/>
          <w:szCs w:val="18"/>
        </w:rPr>
        <w:t xml:space="preserve"> adoptdo spor la Agencia Nacional de Contratación Pública</w:t>
      </w:r>
      <w:r w:rsidRPr="00590BB7">
        <w:rPr>
          <w:rFonts w:ascii="Verdana" w:hAnsi="Verdana"/>
          <w:sz w:val="18"/>
          <w:szCs w:val="18"/>
        </w:rPr>
        <w:t xml:space="preserve"> pueden ser consultados en la página web de Colombia Compra Eficiente, a </w:t>
      </w:r>
      <w:r>
        <w:rPr>
          <w:rFonts w:ascii="Verdana" w:hAnsi="Verdana"/>
          <w:sz w:val="18"/>
          <w:szCs w:val="18"/>
        </w:rPr>
        <w:t>t</w:t>
      </w:r>
      <w:r w:rsidRPr="00590BB7">
        <w:rPr>
          <w:rFonts w:ascii="Verdana" w:hAnsi="Verdana"/>
          <w:sz w:val="18"/>
          <w:szCs w:val="18"/>
        </w:rPr>
        <w:t xml:space="preserve">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C76A0B"/>
    <w:multiLevelType w:val="hybridMultilevel"/>
    <w:tmpl w:val="E1809C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6B5070"/>
    <w:multiLevelType w:val="hybridMultilevel"/>
    <w:tmpl w:val="43F09B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2"/>
  </w:num>
  <w:num w:numId="13" w16cid:durableId="1512908409">
    <w:abstractNumId w:val="4"/>
  </w:num>
  <w:num w:numId="14" w16cid:durableId="895897244">
    <w:abstractNumId w:val="17"/>
  </w:num>
  <w:num w:numId="15" w16cid:durableId="390349800">
    <w:abstractNumId w:val="13"/>
  </w:num>
  <w:num w:numId="16" w16cid:durableId="341274352">
    <w:abstractNumId w:val="0"/>
  </w:num>
  <w:num w:numId="17" w16cid:durableId="1492209491">
    <w:abstractNumId w:val="7"/>
  </w:num>
  <w:num w:numId="18" w16cid:durableId="679089576">
    <w:abstractNumId w:val="12"/>
  </w:num>
  <w:num w:numId="19" w16cid:durableId="2069063814">
    <w:abstractNumId w:val="5"/>
  </w:num>
  <w:num w:numId="20" w16cid:durableId="221215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B4FD3"/>
    <w:rsid w:val="000C489A"/>
    <w:rsid w:val="000D0334"/>
    <w:rsid w:val="000F6486"/>
    <w:rsid w:val="00125105"/>
    <w:rsid w:val="00127233"/>
    <w:rsid w:val="00144A18"/>
    <w:rsid w:val="00196824"/>
    <w:rsid w:val="001D7928"/>
    <w:rsid w:val="001E4177"/>
    <w:rsid w:val="001F119C"/>
    <w:rsid w:val="001F7DC6"/>
    <w:rsid w:val="00222F21"/>
    <w:rsid w:val="002421BB"/>
    <w:rsid w:val="00250531"/>
    <w:rsid w:val="0025796E"/>
    <w:rsid w:val="002707A2"/>
    <w:rsid w:val="002951A0"/>
    <w:rsid w:val="002962BC"/>
    <w:rsid w:val="002A093D"/>
    <w:rsid w:val="002A0DD0"/>
    <w:rsid w:val="002A49AC"/>
    <w:rsid w:val="002A64FD"/>
    <w:rsid w:val="002C7A84"/>
    <w:rsid w:val="002E4FD9"/>
    <w:rsid w:val="002F74EE"/>
    <w:rsid w:val="00322A85"/>
    <w:rsid w:val="00324168"/>
    <w:rsid w:val="003448F4"/>
    <w:rsid w:val="00374F5E"/>
    <w:rsid w:val="00377E3E"/>
    <w:rsid w:val="003A26D1"/>
    <w:rsid w:val="003A6DBE"/>
    <w:rsid w:val="003A779E"/>
    <w:rsid w:val="003D0F4D"/>
    <w:rsid w:val="003D5B0D"/>
    <w:rsid w:val="003E0499"/>
    <w:rsid w:val="003F3941"/>
    <w:rsid w:val="00406575"/>
    <w:rsid w:val="0042722E"/>
    <w:rsid w:val="0044528D"/>
    <w:rsid w:val="00475540"/>
    <w:rsid w:val="004A1847"/>
    <w:rsid w:val="004A305D"/>
    <w:rsid w:val="004F21C4"/>
    <w:rsid w:val="004F685F"/>
    <w:rsid w:val="00536264"/>
    <w:rsid w:val="005566E8"/>
    <w:rsid w:val="00574867"/>
    <w:rsid w:val="00591460"/>
    <w:rsid w:val="00592628"/>
    <w:rsid w:val="005C3777"/>
    <w:rsid w:val="005C5CDC"/>
    <w:rsid w:val="005D476C"/>
    <w:rsid w:val="00610812"/>
    <w:rsid w:val="006219F8"/>
    <w:rsid w:val="00650FF7"/>
    <w:rsid w:val="00665D70"/>
    <w:rsid w:val="00671DAC"/>
    <w:rsid w:val="006900D9"/>
    <w:rsid w:val="006D12F8"/>
    <w:rsid w:val="00706C16"/>
    <w:rsid w:val="007203DF"/>
    <w:rsid w:val="00756841"/>
    <w:rsid w:val="007649AB"/>
    <w:rsid w:val="00771D0C"/>
    <w:rsid w:val="007833AC"/>
    <w:rsid w:val="007B268C"/>
    <w:rsid w:val="007B7171"/>
    <w:rsid w:val="007C0C0F"/>
    <w:rsid w:val="007C3DC2"/>
    <w:rsid w:val="007E5497"/>
    <w:rsid w:val="00806F5F"/>
    <w:rsid w:val="00820278"/>
    <w:rsid w:val="008843B6"/>
    <w:rsid w:val="00891928"/>
    <w:rsid w:val="008A446D"/>
    <w:rsid w:val="008D180B"/>
    <w:rsid w:val="008F0EA7"/>
    <w:rsid w:val="00923EEF"/>
    <w:rsid w:val="009255B6"/>
    <w:rsid w:val="009419F9"/>
    <w:rsid w:val="0095685E"/>
    <w:rsid w:val="00961B09"/>
    <w:rsid w:val="00965334"/>
    <w:rsid w:val="0097093E"/>
    <w:rsid w:val="00977E20"/>
    <w:rsid w:val="009A0DFA"/>
    <w:rsid w:val="009A2E38"/>
    <w:rsid w:val="009B2D26"/>
    <w:rsid w:val="009C71FA"/>
    <w:rsid w:val="009C72E7"/>
    <w:rsid w:val="009D3058"/>
    <w:rsid w:val="009F0B10"/>
    <w:rsid w:val="009F3A13"/>
    <w:rsid w:val="00A122D3"/>
    <w:rsid w:val="00A17F13"/>
    <w:rsid w:val="00A20739"/>
    <w:rsid w:val="00A33C78"/>
    <w:rsid w:val="00AB0ADB"/>
    <w:rsid w:val="00AD568C"/>
    <w:rsid w:val="00AE1D1F"/>
    <w:rsid w:val="00B01B1A"/>
    <w:rsid w:val="00B1196D"/>
    <w:rsid w:val="00B72CD3"/>
    <w:rsid w:val="00B72FFF"/>
    <w:rsid w:val="00BC3D36"/>
    <w:rsid w:val="00BD2957"/>
    <w:rsid w:val="00BD7F72"/>
    <w:rsid w:val="00BF2D02"/>
    <w:rsid w:val="00C04FB3"/>
    <w:rsid w:val="00C330EB"/>
    <w:rsid w:val="00C51E77"/>
    <w:rsid w:val="00C754BE"/>
    <w:rsid w:val="00C76B1C"/>
    <w:rsid w:val="00CA4FA9"/>
    <w:rsid w:val="00CB6357"/>
    <w:rsid w:val="00CC1B26"/>
    <w:rsid w:val="00CF5E78"/>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67C81"/>
    <w:rsid w:val="00E75C92"/>
    <w:rsid w:val="00E771DC"/>
    <w:rsid w:val="00E8772A"/>
    <w:rsid w:val="00E90D60"/>
    <w:rsid w:val="00E90F6B"/>
    <w:rsid w:val="00E92C27"/>
    <w:rsid w:val="00E94B8C"/>
    <w:rsid w:val="00EA0E3D"/>
    <w:rsid w:val="00EA7FDB"/>
    <w:rsid w:val="00EC38A7"/>
    <w:rsid w:val="00EE1AA8"/>
    <w:rsid w:val="00F31EDC"/>
    <w:rsid w:val="00F462B3"/>
    <w:rsid w:val="00F5664F"/>
    <w:rsid w:val="00F666C4"/>
    <w:rsid w:val="00F76AFC"/>
    <w:rsid w:val="00FA47C0"/>
    <w:rsid w:val="00FB5DD1"/>
    <w:rsid w:val="00FC2B5D"/>
    <w:rsid w:val="00FF1449"/>
    <w:rsid w:val="48B6FD72"/>
    <w:rsid w:val="5B8C306E"/>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A7FDB"/>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kevin.herrera%40colombiacompra.gov.co%7C096eca3fdcca424ff1c708dcf932f947%7C7b09041e245149d08cb179d5e3d8c1be%7C0%7C0%7C638659244551636688%7CUnknown%7CTWFpbGZsb3d8eyJWIjoiMC4wLjAwMDAiLCJQIjoiV2luMzIiLCJBTiI6Ik1haWwiLCJXVCI6Mn0%3D%7C0%7C%7C%7C&amp;sdata=LaZ7bwO%2Ff2Yqrf%2BPk6mWxRZIUvBgGLgkBu6Y4JUnOLs%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www.colombiacompra.gov.co/documentos-tipo/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4493C025-6E87-417D-8501-C99AA0FFB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purl.org/dc/elements/1.1/"/>
    <ds:schemaRef ds:uri="http://purl.org/dc/terms/"/>
    <ds:schemaRef ds:uri="9d85dbaf-23eb-4e57-a637-93dcacc8b1a1"/>
    <ds:schemaRef ds:uri="a6cb9e4b-f1d1-4245-83ec-6cad768d538a"/>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2741</Words>
  <Characters>15078</Characters>
  <Application>Microsoft Office Word</Application>
  <DocSecurity>0</DocSecurity>
  <Lines>125</Lines>
  <Paragraphs>35</Paragraphs>
  <ScaleCrop>false</ScaleCrop>
  <Company/>
  <LinksUpToDate>false</LinksUpToDate>
  <CharactersWithSpaces>17784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2024-11-26T16:11:00Z</dcterms:created>
  <dcterms:modified xsi:type="dcterms:W3CDTF">2024-11-26T16:11:00Z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