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54508" w14:textId="77777777" w:rsidR="00842184" w:rsidRPr="0060442F" w:rsidRDefault="00842184" w:rsidP="00842184">
      <w:pPr>
        <w:spacing w:after="0" w:line="240" w:lineRule="auto"/>
        <w:jc w:val="both"/>
        <w:rPr>
          <w:rFonts w:ascii="Verdana" w:eastAsia="Calibri" w:hAnsi="Verdana" w:cs="Arial"/>
          <w:sz w:val="20"/>
          <w:szCs w:val="20"/>
          <w:lang w:val="es-ES_tradnl" w:eastAsia="es-ES"/>
        </w:rPr>
      </w:pPr>
      <w:bookmarkStart w:id="0" w:name="_Hlk143780582"/>
    </w:p>
    <w:p w14:paraId="72B6454E" w14:textId="77777777" w:rsidR="00842184" w:rsidRPr="0060442F" w:rsidRDefault="00842184" w:rsidP="00842184">
      <w:pPr>
        <w:spacing w:after="0" w:line="240" w:lineRule="auto"/>
        <w:jc w:val="both"/>
        <w:rPr>
          <w:rFonts w:ascii="Verdana" w:eastAsia="Aptos" w:hAnsi="Verdana" w:cs="Times New Roman"/>
        </w:rPr>
      </w:pPr>
      <w:r w:rsidRPr="0060442F">
        <w:rPr>
          <w:rFonts w:ascii="Verdana" w:eastAsia="Calibri" w:hAnsi="Verdana" w:cs="Arial"/>
          <w:b/>
          <w:bCs/>
          <w:lang w:val="es-ES_tradnl" w:eastAsia="es-ES"/>
        </w:rPr>
        <w:t xml:space="preserve">DOCUMENTOS TIPO – Generalidades – </w:t>
      </w:r>
      <w:r w:rsidRPr="0060442F">
        <w:rPr>
          <w:rFonts w:ascii="Verdana" w:eastAsia="Aptos" w:hAnsi="Verdana" w:cs="Times New Roman"/>
          <w:b/>
          <w:bCs/>
          <w:kern w:val="2"/>
          <w:lang w:val="es-ES_tradnl" w:eastAsia="es-ES"/>
          <w14:ligatures w14:val="standardContextual"/>
        </w:rPr>
        <w:t xml:space="preserve">Obligatoriedad </w:t>
      </w:r>
    </w:p>
    <w:p w14:paraId="558DB5D9" w14:textId="77777777" w:rsidR="00842184" w:rsidRPr="0060442F" w:rsidRDefault="00842184" w:rsidP="00842184">
      <w:pPr>
        <w:snapToGrid w:val="0"/>
        <w:spacing w:after="0" w:line="240" w:lineRule="auto"/>
        <w:jc w:val="both"/>
        <w:rPr>
          <w:rFonts w:ascii="Verdana" w:eastAsia="Calibri" w:hAnsi="Verdana" w:cs="Arial"/>
          <w:b/>
          <w:bCs/>
          <w:sz w:val="20"/>
          <w:szCs w:val="20"/>
          <w:lang w:val="es-ES_tradnl" w:eastAsia="es-ES"/>
        </w:rPr>
      </w:pPr>
    </w:p>
    <w:p w14:paraId="3886310E" w14:textId="77777777" w:rsidR="00842184" w:rsidRPr="0060442F" w:rsidRDefault="00842184" w:rsidP="00842184">
      <w:pPr>
        <w:snapToGrid w:val="0"/>
        <w:spacing w:after="0" w:line="240" w:lineRule="auto"/>
        <w:jc w:val="both"/>
        <w:rPr>
          <w:rFonts w:ascii="Verdana" w:eastAsia="Calibri" w:hAnsi="Verdana" w:cs="Arial"/>
          <w:sz w:val="20"/>
          <w:szCs w:val="20"/>
          <w:lang w:val="es-ES_tradnl"/>
        </w:rPr>
      </w:pPr>
      <w:r w:rsidRPr="0060442F">
        <w:rPr>
          <w:rFonts w:ascii="Verdana" w:eastAsia="Calibri" w:hAnsi="Verdana" w:cs="Arial"/>
          <w:sz w:val="20"/>
          <w:szCs w:val="20"/>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F14BD28" w14:textId="77777777" w:rsidR="00842184" w:rsidRPr="0060442F" w:rsidRDefault="00842184" w:rsidP="00842184">
      <w:pPr>
        <w:snapToGrid w:val="0"/>
        <w:spacing w:after="0" w:line="240" w:lineRule="auto"/>
        <w:rPr>
          <w:rFonts w:ascii="Verdana" w:eastAsia="Geomanist Light" w:hAnsi="Verdana" w:cs="Arial"/>
          <w:sz w:val="20"/>
          <w:szCs w:val="20"/>
          <w:lang w:val="es-ES_tradnl"/>
        </w:rPr>
      </w:pPr>
    </w:p>
    <w:p w14:paraId="29A95D8E" w14:textId="77777777" w:rsidR="00842184" w:rsidRPr="0060442F" w:rsidRDefault="00842184" w:rsidP="00842184">
      <w:pPr>
        <w:spacing w:after="0" w:line="240" w:lineRule="auto"/>
        <w:jc w:val="both"/>
        <w:rPr>
          <w:rFonts w:ascii="Verdana" w:eastAsia="Calibri" w:hAnsi="Verdana" w:cs="Times New Roman"/>
        </w:rPr>
      </w:pPr>
      <w:r w:rsidRPr="0060442F">
        <w:rPr>
          <w:rFonts w:ascii="Verdana" w:eastAsia="Aptos" w:hAnsi="Verdana" w:cs="Arial"/>
          <w:b/>
          <w:bCs/>
          <w:kern w:val="2"/>
          <w:lang w:val="es-MX"/>
          <w14:ligatures w14:val="standardContextual"/>
        </w:rPr>
        <w:t>INALTERABILIDAD – Documentos Tipo – Alcance</w:t>
      </w:r>
    </w:p>
    <w:p w14:paraId="6176E900" w14:textId="77777777" w:rsidR="00842184" w:rsidRPr="0060442F" w:rsidRDefault="00842184" w:rsidP="00842184">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29D58BBA" w14:textId="77777777" w:rsidR="00842184" w:rsidRPr="0060442F" w:rsidRDefault="00842184" w:rsidP="00842184">
      <w:pPr>
        <w:snapToGrid w:val="0"/>
        <w:spacing w:after="0" w:line="240" w:lineRule="auto"/>
        <w:jc w:val="both"/>
        <w:rPr>
          <w:rFonts w:ascii="Verdana" w:eastAsia="Calibri" w:hAnsi="Verdana" w:cs="Arial"/>
          <w:sz w:val="20"/>
          <w:szCs w:val="20"/>
          <w:lang w:val="es-ES" w:eastAsia="es-ES"/>
        </w:rPr>
      </w:pPr>
      <w:r w:rsidRPr="0060442F">
        <w:rPr>
          <w:rFonts w:ascii="Verdana" w:eastAsia="Times New Roman" w:hAnsi="Verdana"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0442F">
        <w:rPr>
          <w:rFonts w:ascii="Verdana" w:eastAsia="Times New Roman" w:hAnsi="Verdana" w:cs="Arial"/>
          <w:i/>
          <w:iCs/>
          <w:sz w:val="20"/>
          <w:szCs w:val="20"/>
          <w:shd w:val="clear" w:color="auto" w:fill="FFFFFF"/>
          <w:lang w:val="es-ES_tradnl" w:eastAsia="es-ES_tradnl"/>
        </w:rPr>
        <w:t>Documentos del Proceso</w:t>
      </w:r>
      <w:r w:rsidRPr="0060442F">
        <w:rPr>
          <w:rFonts w:ascii="Verdana" w:eastAsia="Times New Roman" w:hAnsi="Verdana" w:cs="Arial"/>
          <w:sz w:val="20"/>
          <w:szCs w:val="20"/>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05E398A" w14:textId="77777777" w:rsidR="00842184" w:rsidRPr="00370C45" w:rsidRDefault="00842184" w:rsidP="00842184">
      <w:pPr>
        <w:spacing w:after="0" w:line="240" w:lineRule="auto"/>
        <w:jc w:val="both"/>
        <w:textAlignment w:val="baseline"/>
        <w:rPr>
          <w:rFonts w:ascii="Verdana" w:hAnsi="Verdana" w:cs="Arial"/>
          <w:bCs/>
          <w:sz w:val="20"/>
          <w:szCs w:val="20"/>
          <w:lang w:val="es-ES_tradnl" w:eastAsia="es-CO"/>
        </w:rPr>
      </w:pPr>
      <w:r w:rsidRPr="00370C45">
        <w:rPr>
          <w:rFonts w:ascii="Verdana" w:hAnsi="Verdana" w:cs="Arial"/>
          <w:bCs/>
          <w:sz w:val="20"/>
          <w:szCs w:val="20"/>
          <w:lang w:val="es-ES_tradnl" w:eastAsia="es-CO"/>
        </w:rPr>
        <w:t xml:space="preserve">  </w:t>
      </w:r>
    </w:p>
    <w:p w14:paraId="39D203E1" w14:textId="77777777" w:rsidR="00842184" w:rsidRPr="00370C45" w:rsidRDefault="00842184" w:rsidP="00842184">
      <w:pPr>
        <w:spacing w:after="0" w:line="240" w:lineRule="auto"/>
        <w:jc w:val="both"/>
        <w:rPr>
          <w:rFonts w:ascii="Verdana" w:eastAsia="Geomanist Light" w:hAnsi="Verdana" w:cs="Arial"/>
          <w:b/>
          <w:bCs/>
          <w:color w:val="000000" w:themeColor="text1"/>
          <w:lang w:val="es-MX"/>
        </w:rPr>
      </w:pPr>
      <w:r w:rsidRPr="00370C45">
        <w:rPr>
          <w:rFonts w:ascii="Verdana" w:eastAsia="Geomanist Light" w:hAnsi="Verdana" w:cs="Arial"/>
          <w:b/>
          <w:bCs/>
          <w:color w:val="000000" w:themeColor="text1"/>
          <w:lang w:val="es-MX"/>
        </w:rPr>
        <w:t>CONTRATO DE OBRA PÚBLICA – Definición</w:t>
      </w:r>
    </w:p>
    <w:p w14:paraId="48EB90AD" w14:textId="77777777" w:rsidR="00842184" w:rsidRPr="00370C45" w:rsidRDefault="00842184" w:rsidP="00842184">
      <w:pPr>
        <w:spacing w:after="0" w:line="240" w:lineRule="auto"/>
        <w:jc w:val="both"/>
        <w:rPr>
          <w:rFonts w:ascii="Verdana" w:eastAsia="Geomanist Light" w:hAnsi="Verdana" w:cs="Arial"/>
          <w:color w:val="000000" w:themeColor="text1"/>
          <w:sz w:val="20"/>
          <w:szCs w:val="20"/>
          <w:lang w:val="es-MX"/>
        </w:rPr>
      </w:pPr>
    </w:p>
    <w:p w14:paraId="101A1F15" w14:textId="77777777" w:rsidR="00842184" w:rsidRPr="00370C45" w:rsidRDefault="00842184" w:rsidP="00842184">
      <w:pPr>
        <w:spacing w:after="0" w:line="240" w:lineRule="auto"/>
        <w:jc w:val="both"/>
        <w:rPr>
          <w:rFonts w:ascii="Verdana" w:eastAsia="Calibri" w:hAnsi="Verdana" w:cs="Arial"/>
          <w:color w:val="000000"/>
          <w:sz w:val="20"/>
          <w:szCs w:val="20"/>
          <w:lang w:val="es-ES_tradnl" w:eastAsia="es-ES" w:bidi="es-ES"/>
        </w:rPr>
      </w:pPr>
      <w:r w:rsidRPr="00370C45">
        <w:rPr>
          <w:rFonts w:ascii="Verdana" w:eastAsia="Calibri" w:hAnsi="Verdana" w:cs="Arial"/>
          <w:color w:val="000000"/>
          <w:sz w:val="20"/>
          <w:szCs w:val="20"/>
          <w:lang w:val="es-ES_tradnl" w:eastAsia="es-ES" w:bidi="es-ES"/>
        </w:rPr>
        <w:t xml:space="preserve">En </w:t>
      </w:r>
      <w:r w:rsidRPr="00370C45">
        <w:rPr>
          <w:rFonts w:ascii="Verdana" w:eastAsia="Calibri" w:hAnsi="Verdana" w:cs="Arial"/>
          <w:i/>
          <w:iCs/>
          <w:color w:val="000000"/>
          <w:sz w:val="20"/>
          <w:szCs w:val="20"/>
          <w:lang w:val="es-ES_tradnl" w:eastAsia="es-ES" w:bidi="es-ES"/>
        </w:rPr>
        <w:t>sentido amplio</w:t>
      </w:r>
      <w:r w:rsidRPr="00370C45">
        <w:rPr>
          <w:rFonts w:ascii="Verdana" w:eastAsia="Calibri" w:hAnsi="Verdana" w:cs="Arial"/>
          <w:color w:val="000000"/>
          <w:sz w:val="20"/>
          <w:szCs w:val="20"/>
          <w:lang w:val="es-ES_tradnl" w:eastAsia="es-ES" w:bidi="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370C45">
        <w:rPr>
          <w:rFonts w:ascii="Verdana" w:eastAsia="Calibri" w:hAnsi="Verdana" w:cs="Arial"/>
          <w:i/>
          <w:iCs/>
          <w:color w:val="000000"/>
          <w:sz w:val="20"/>
          <w:szCs w:val="20"/>
          <w:lang w:val="es-ES_tradnl" w:eastAsia="es-ES" w:bidi="es-ES"/>
        </w:rPr>
        <w:t>sentido restringido</w:t>
      </w:r>
      <w:r w:rsidRPr="00370C45">
        <w:rPr>
          <w:rFonts w:ascii="Verdana" w:eastAsia="Calibri" w:hAnsi="Verdana" w:cs="Arial"/>
          <w:color w:val="000000"/>
          <w:sz w:val="20"/>
          <w:szCs w:val="2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55272120" w14:textId="77777777" w:rsidR="00842184" w:rsidRPr="00370C45" w:rsidRDefault="00842184" w:rsidP="00842184">
      <w:pPr>
        <w:spacing w:after="0" w:line="240" w:lineRule="auto"/>
        <w:jc w:val="both"/>
        <w:rPr>
          <w:rFonts w:ascii="Verdana" w:eastAsia="Geomanist Light" w:hAnsi="Verdana" w:cs="Arial"/>
          <w:color w:val="000000" w:themeColor="text1"/>
          <w:sz w:val="20"/>
          <w:szCs w:val="20"/>
          <w:lang w:val="es-MX"/>
        </w:rPr>
      </w:pPr>
    </w:p>
    <w:p w14:paraId="592EA0D0" w14:textId="77777777" w:rsidR="00842184" w:rsidRPr="00370C45" w:rsidRDefault="00842184" w:rsidP="00842184">
      <w:pPr>
        <w:spacing w:after="0" w:line="240" w:lineRule="auto"/>
        <w:jc w:val="both"/>
        <w:rPr>
          <w:rFonts w:ascii="Verdana" w:eastAsia="Geomanist Light" w:hAnsi="Verdana" w:cs="Arial"/>
          <w:b/>
          <w:bCs/>
          <w:color w:val="000000" w:themeColor="text1"/>
          <w:lang w:val="es-MX"/>
        </w:rPr>
      </w:pPr>
      <w:r w:rsidRPr="00370C45">
        <w:rPr>
          <w:rFonts w:ascii="Verdana" w:eastAsia="Geomanist Light" w:hAnsi="Verdana" w:cs="Arial"/>
          <w:b/>
          <w:bCs/>
          <w:color w:val="000000" w:themeColor="text1"/>
          <w:lang w:val="es-MX"/>
        </w:rPr>
        <w:t xml:space="preserve">MODALIDAD LLAVE EN MANO – Contrato EPC – Definición  </w:t>
      </w:r>
    </w:p>
    <w:p w14:paraId="6CDC43BF" w14:textId="77777777" w:rsidR="00842184" w:rsidRPr="00370C45" w:rsidRDefault="00842184" w:rsidP="00842184">
      <w:pPr>
        <w:spacing w:after="0" w:line="240" w:lineRule="auto"/>
        <w:jc w:val="both"/>
        <w:rPr>
          <w:rFonts w:ascii="Verdana" w:eastAsia="Geomanist Light" w:hAnsi="Verdana" w:cs="Arial"/>
          <w:color w:val="000000" w:themeColor="text1"/>
          <w:sz w:val="20"/>
          <w:szCs w:val="20"/>
          <w:lang w:val="es-MX"/>
        </w:rPr>
      </w:pPr>
    </w:p>
    <w:p w14:paraId="591FDDB6" w14:textId="77777777" w:rsidR="00842184" w:rsidRPr="00370C45" w:rsidRDefault="00842184" w:rsidP="00842184">
      <w:pPr>
        <w:spacing w:after="0" w:line="240" w:lineRule="auto"/>
        <w:jc w:val="both"/>
        <w:rPr>
          <w:rFonts w:ascii="Verdana" w:hAnsi="Verdana" w:cs="Arial"/>
          <w:sz w:val="20"/>
          <w:szCs w:val="20"/>
          <w:lang w:eastAsia="es-MX"/>
        </w:rPr>
      </w:pPr>
      <w:r w:rsidRPr="00370C45">
        <w:rPr>
          <w:rFonts w:ascii="Verdana" w:hAnsi="Verdana" w:cs="Arial"/>
          <w:bCs/>
          <w:color w:val="000000" w:themeColor="text1"/>
          <w:sz w:val="20"/>
          <w:szCs w:val="20"/>
          <w:lang w:val="es-ES_tradnl"/>
        </w:rPr>
        <w:t xml:space="preserve">Cuando el contratista se obliga a ejecutar la obra desde la fase inicial de diseño y hasta la puesta en marcha, podemos afirmar que se trata de un contrato de obra bajo la </w:t>
      </w:r>
      <w:r w:rsidRPr="00370C45">
        <w:rPr>
          <w:rFonts w:ascii="Verdana" w:hAnsi="Verdana" w:cs="Arial"/>
          <w:bCs/>
          <w:color w:val="000000" w:themeColor="text1"/>
          <w:sz w:val="20"/>
          <w:szCs w:val="20"/>
          <w:lang w:val="es-ES_tradnl"/>
        </w:rPr>
        <w:lastRenderedPageBreak/>
        <w:t xml:space="preserve">modalidad de llave en mano, también denominado contrato de Engineering, Procurement and Construction –EPC–. </w:t>
      </w:r>
      <w:r w:rsidRPr="00370C45">
        <w:rPr>
          <w:rFonts w:ascii="Verdana" w:hAnsi="Verdana" w:cs="Arial"/>
          <w:bCs/>
          <w:color w:val="000000"/>
          <w:sz w:val="20"/>
          <w:szCs w:val="20"/>
          <w:lang w:val="es-ES_tradnl" w:eastAsia="es-MX"/>
        </w:rPr>
        <w:t>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sidRPr="00370C45">
        <w:rPr>
          <w:rFonts w:ascii="Verdana" w:eastAsia="Calibri" w:hAnsi="Verdana" w:cs="Arial"/>
          <w:color w:val="000000"/>
          <w:sz w:val="20"/>
          <w:szCs w:val="20"/>
          <w:lang w:val="es-ES" w:eastAsia="es-MX"/>
        </w:rPr>
        <w:t>”.</w:t>
      </w:r>
      <w:r w:rsidRPr="00370C45">
        <w:rPr>
          <w:rFonts w:ascii="Verdana" w:hAnsi="Verdana"/>
          <w:sz w:val="20"/>
          <w:szCs w:val="20"/>
          <w:lang w:eastAsia="es-MX"/>
        </w:rPr>
        <w:t xml:space="preserve"> </w:t>
      </w:r>
      <w:r w:rsidRPr="00370C45">
        <w:rPr>
          <w:rFonts w:ascii="Verdana" w:hAnsi="Verdana" w:cs="Arial"/>
          <w:sz w:val="20"/>
          <w:szCs w:val="20"/>
          <w:lang w:eastAsia="es-MX"/>
        </w:rPr>
        <w:t>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w:t>
      </w:r>
      <w:r w:rsidRPr="00370C45">
        <w:rPr>
          <w:rFonts w:ascii="Verdana" w:hAnsi="Verdana" w:cs="Arial"/>
          <w:spacing w:val="-16"/>
          <w:sz w:val="20"/>
          <w:szCs w:val="20"/>
          <w:lang w:eastAsia="es-MX"/>
        </w:rPr>
        <w:t xml:space="preserve"> </w:t>
      </w:r>
      <w:r w:rsidRPr="00370C45">
        <w:rPr>
          <w:rFonts w:ascii="Verdana" w:hAnsi="Verdana" w:cs="Arial"/>
          <w:sz w:val="20"/>
          <w:szCs w:val="20"/>
          <w:lang w:eastAsia="es-MX"/>
        </w:rPr>
        <w:t>entrega”.</w:t>
      </w:r>
    </w:p>
    <w:p w14:paraId="36897B8A" w14:textId="77777777" w:rsidR="00842184" w:rsidRPr="00370C45" w:rsidRDefault="00842184" w:rsidP="00842184">
      <w:pPr>
        <w:spacing w:after="0" w:line="240" w:lineRule="auto"/>
        <w:jc w:val="both"/>
        <w:rPr>
          <w:rFonts w:ascii="Verdana" w:eastAsia="Calibri" w:hAnsi="Verdana" w:cs="Arial"/>
          <w:sz w:val="20"/>
          <w:szCs w:val="20"/>
          <w:lang w:val="es-ES_tradnl"/>
        </w:rPr>
      </w:pPr>
    </w:p>
    <w:p w14:paraId="5355309A" w14:textId="77777777" w:rsidR="00842184" w:rsidRDefault="00842184" w:rsidP="00842184">
      <w:pPr>
        <w:spacing w:after="0" w:line="240" w:lineRule="auto"/>
        <w:jc w:val="both"/>
        <w:rPr>
          <w:rFonts w:ascii="Verdana" w:eastAsia="Calibri" w:hAnsi="Verdana" w:cs="Arial"/>
          <w:b/>
        </w:rPr>
      </w:pPr>
      <w:r w:rsidRPr="00370C45">
        <w:rPr>
          <w:rFonts w:ascii="Verdana" w:eastAsia="Calibri" w:hAnsi="Verdana" w:cs="Arial"/>
          <w:b/>
        </w:rPr>
        <w:t>PRINCIPIO DE INALTERABILIDAD – Alcance</w:t>
      </w:r>
    </w:p>
    <w:p w14:paraId="06366B20" w14:textId="77777777" w:rsidR="00842184" w:rsidRPr="00AA3441" w:rsidRDefault="00842184" w:rsidP="00842184">
      <w:pPr>
        <w:spacing w:after="0" w:line="240" w:lineRule="auto"/>
        <w:jc w:val="both"/>
        <w:rPr>
          <w:rFonts w:ascii="Verdana" w:eastAsia="Calibri" w:hAnsi="Verdana" w:cs="Arial"/>
          <w:b/>
        </w:rPr>
      </w:pPr>
    </w:p>
    <w:p w14:paraId="70B862AB" w14:textId="77777777" w:rsidR="00842184" w:rsidRPr="00370C45" w:rsidRDefault="00842184" w:rsidP="00842184">
      <w:pPr>
        <w:tabs>
          <w:tab w:val="left" w:pos="6551"/>
        </w:tabs>
        <w:spacing w:after="0" w:line="240" w:lineRule="auto"/>
        <w:jc w:val="both"/>
        <w:rPr>
          <w:rFonts w:ascii="Verdana" w:eastAsia="Calibri" w:hAnsi="Verdana" w:cs="Arial"/>
          <w:bCs/>
          <w:sz w:val="20"/>
          <w:szCs w:val="20"/>
        </w:rPr>
      </w:pPr>
      <w:r w:rsidRPr="00370C45">
        <w:rPr>
          <w:rFonts w:ascii="Verdana" w:eastAsia="Calibri" w:hAnsi="Verdana" w:cs="Arial"/>
          <w:bCs/>
          <w:sz w:val="20"/>
          <w:szCs w:val="20"/>
        </w:rPr>
        <w:t xml:space="preserve">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w:t>
      </w:r>
      <w:r>
        <w:rPr>
          <w:rFonts w:ascii="Verdana" w:eastAsia="Calibri" w:hAnsi="Verdana" w:cs="Arial"/>
          <w:bCs/>
          <w:sz w:val="20"/>
          <w:szCs w:val="20"/>
        </w:rPr>
        <w:t>de transporte</w:t>
      </w:r>
      <w:r w:rsidRPr="00370C45">
        <w:rPr>
          <w:rFonts w:ascii="Verdana" w:eastAsia="Calibri" w:hAnsi="Verdana" w:cs="Arial"/>
          <w:bCs/>
          <w:sz w:val="20"/>
          <w:szCs w:val="20"/>
        </w:rPr>
        <w:t xml:space="preserve">, caso en el que se podrá incluir experiencia adicional de manera excepcional; y, además, cuando el pliego tipo de forma expresa lo permita, es decir, en los aspectos incluidos en corchetes y resaltados en gris. </w:t>
      </w:r>
    </w:p>
    <w:p w14:paraId="6CAE353A" w14:textId="77777777" w:rsidR="00842184" w:rsidRPr="00370C45" w:rsidRDefault="00842184" w:rsidP="00842184">
      <w:pPr>
        <w:tabs>
          <w:tab w:val="left" w:pos="6551"/>
        </w:tabs>
        <w:spacing w:after="0" w:line="240" w:lineRule="auto"/>
        <w:jc w:val="both"/>
        <w:rPr>
          <w:rFonts w:ascii="Verdana" w:eastAsia="Calibri" w:hAnsi="Verdana" w:cs="Arial"/>
          <w:bCs/>
          <w:sz w:val="20"/>
          <w:szCs w:val="20"/>
        </w:rPr>
      </w:pPr>
    </w:p>
    <w:p w14:paraId="723CDCB1" w14:textId="77777777" w:rsidR="00842184" w:rsidRPr="00370C45" w:rsidRDefault="00842184" w:rsidP="00842184">
      <w:pPr>
        <w:tabs>
          <w:tab w:val="left" w:pos="6551"/>
        </w:tabs>
        <w:spacing w:after="0" w:line="240" w:lineRule="auto"/>
        <w:jc w:val="both"/>
        <w:rPr>
          <w:rFonts w:ascii="Verdana" w:eastAsia="Calibri" w:hAnsi="Verdana" w:cs="Arial"/>
          <w:bCs/>
          <w:sz w:val="20"/>
          <w:szCs w:val="20"/>
        </w:rPr>
      </w:pPr>
      <w:r w:rsidRPr="00370C45">
        <w:rPr>
          <w:rFonts w:ascii="Verdana" w:eastAsia="Calibri" w:hAnsi="Verdana" w:cs="Arial"/>
          <w:bCs/>
          <w:sz w:val="20"/>
          <w:szCs w:val="20"/>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23EB5E6D" w14:textId="77777777" w:rsidR="00842184" w:rsidRPr="00370C45" w:rsidRDefault="00842184" w:rsidP="00842184">
      <w:pPr>
        <w:tabs>
          <w:tab w:val="left" w:pos="6551"/>
        </w:tabs>
        <w:spacing w:after="0" w:line="240" w:lineRule="auto"/>
        <w:jc w:val="both"/>
        <w:rPr>
          <w:rFonts w:ascii="Verdana" w:eastAsia="Calibri" w:hAnsi="Verdana" w:cs="Arial"/>
          <w:bCs/>
          <w:sz w:val="20"/>
          <w:szCs w:val="20"/>
        </w:rPr>
      </w:pPr>
    </w:p>
    <w:p w14:paraId="17923346" w14:textId="77777777" w:rsidR="00842184" w:rsidRDefault="00842184" w:rsidP="00842184">
      <w:pPr>
        <w:spacing w:after="0" w:line="240" w:lineRule="auto"/>
        <w:jc w:val="both"/>
        <w:rPr>
          <w:rFonts w:ascii="Verdana" w:eastAsia="Calibri" w:hAnsi="Verdana" w:cs="Arial"/>
          <w:b/>
          <w:color w:val="000000" w:themeColor="text1"/>
          <w:lang w:val="es-ES"/>
        </w:rPr>
      </w:pPr>
      <w:r w:rsidRPr="00370C45">
        <w:rPr>
          <w:rFonts w:ascii="Verdana" w:eastAsia="Calibri" w:hAnsi="Verdana" w:cs="Arial"/>
          <w:bCs/>
          <w:sz w:val="20"/>
          <w:szCs w:val="20"/>
        </w:rPr>
        <w:t>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p>
    <w:p w14:paraId="5EC5B655" w14:textId="77777777" w:rsidR="00842184" w:rsidRDefault="00842184" w:rsidP="00842184">
      <w:pPr>
        <w:spacing w:after="0"/>
        <w:rPr>
          <w:rFonts w:ascii="Verdana" w:hAnsi="Verdana"/>
          <w:sz w:val="20"/>
          <w:szCs w:val="20"/>
        </w:rPr>
      </w:pPr>
    </w:p>
    <w:p w14:paraId="328C205B" w14:textId="42482A6F" w:rsidR="00842184" w:rsidRPr="00E31648" w:rsidRDefault="00842184" w:rsidP="00842184">
      <w:pPr>
        <w:spacing w:after="0" w:line="240" w:lineRule="auto"/>
      </w:pPr>
      <w:r w:rsidRPr="00C562D4">
        <w:rPr>
          <w:rFonts w:ascii="Verdana" w:eastAsia="Calibri" w:hAnsi="Verdana" w:cs="Arial"/>
          <w:color w:val="000000" w:themeColor="text1"/>
        </w:rPr>
        <w:lastRenderedPageBreak/>
        <w:t xml:space="preserve">Bogotá D.C., </w:t>
      </w:r>
      <w:r>
        <w:rPr>
          <w:rFonts w:ascii="Verdana" w:eastAsia="Calibri" w:hAnsi="Verdana" w:cs="Arial"/>
          <w:color w:val="000000" w:themeColor="text1"/>
        </w:rPr>
        <w:t>0</w:t>
      </w:r>
      <w:r w:rsidR="004F24EA">
        <w:rPr>
          <w:rFonts w:ascii="Verdana" w:eastAsia="Calibri" w:hAnsi="Verdana" w:cs="Arial"/>
          <w:color w:val="000000" w:themeColor="text1"/>
        </w:rPr>
        <w:t>5</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junio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44C219C0" w14:textId="77777777" w:rsidR="00842184" w:rsidRDefault="00842184" w:rsidP="00842184">
      <w:pPr>
        <w:spacing w:after="0" w:line="240" w:lineRule="auto"/>
        <w:jc w:val="both"/>
        <w:rPr>
          <w:rFonts w:ascii="Verdana" w:eastAsia="Calibri" w:hAnsi="Verdana" w:cs="Arial"/>
          <w:color w:val="000000" w:themeColor="text1"/>
          <w:lang w:val="es-ES"/>
        </w:rPr>
      </w:pPr>
    </w:p>
    <w:p w14:paraId="6562BAA8" w14:textId="5E4E9D31" w:rsidR="00842184" w:rsidRDefault="00B0674C" w:rsidP="00B0674C">
      <w:pPr>
        <w:spacing w:after="0" w:line="240" w:lineRule="auto"/>
        <w:jc w:val="right"/>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inline distT="0" distB="0" distL="0" distR="0" wp14:anchorId="67C3E989" wp14:editId="3A4759D9">
            <wp:extent cx="2676525" cy="790575"/>
            <wp:effectExtent l="0" t="0" r="9525" b="9525"/>
            <wp:docPr id="1242246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790575"/>
                    </a:xfrm>
                    <a:prstGeom prst="rect">
                      <a:avLst/>
                    </a:prstGeom>
                    <a:noFill/>
                    <a:ln>
                      <a:noFill/>
                    </a:ln>
                  </pic:spPr>
                </pic:pic>
              </a:graphicData>
            </a:graphic>
          </wp:inline>
        </w:drawing>
      </w:r>
    </w:p>
    <w:p w14:paraId="7C18543C" w14:textId="77777777" w:rsidR="00B0674C" w:rsidRDefault="00B0674C" w:rsidP="00842184">
      <w:pPr>
        <w:spacing w:after="0" w:line="240" w:lineRule="auto"/>
        <w:jc w:val="both"/>
        <w:rPr>
          <w:rFonts w:ascii="Verdana" w:eastAsia="Calibri" w:hAnsi="Verdana" w:cs="Arial"/>
          <w:color w:val="000000" w:themeColor="text1"/>
          <w:lang w:val="es-ES" w:eastAsia="es-ES"/>
        </w:rPr>
      </w:pPr>
    </w:p>
    <w:p w14:paraId="179FAC0E" w14:textId="77777777" w:rsidR="00842184" w:rsidRPr="0046108F" w:rsidRDefault="00842184" w:rsidP="00842184">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63985393" w14:textId="77777777" w:rsidR="00842184" w:rsidRDefault="00842184" w:rsidP="00842184">
      <w:pPr>
        <w:spacing w:after="0" w:line="240" w:lineRule="auto"/>
        <w:rPr>
          <w:rFonts w:ascii="Verdana" w:eastAsia="Calibri" w:hAnsi="Verdana" w:cs="Arial"/>
          <w:b/>
          <w:bCs/>
          <w:lang w:eastAsia="es-ES"/>
        </w:rPr>
      </w:pPr>
      <w:r w:rsidRPr="00310F02">
        <w:rPr>
          <w:rFonts w:ascii="Verdana" w:eastAsia="Calibri" w:hAnsi="Verdana" w:cs="Arial"/>
          <w:b/>
          <w:bCs/>
          <w:lang w:eastAsia="es-ES"/>
        </w:rPr>
        <w:t xml:space="preserve">HECTOR ORLANDO MORENO MORA </w:t>
      </w:r>
    </w:p>
    <w:p w14:paraId="65CB1AF9" w14:textId="77777777" w:rsidR="00842184" w:rsidRPr="00D57FE3" w:rsidRDefault="00DA324E" w:rsidP="00842184">
      <w:pPr>
        <w:spacing w:after="0" w:line="240" w:lineRule="auto"/>
        <w:rPr>
          <w:rFonts w:ascii="Verdana" w:eastAsia="Calibri" w:hAnsi="Verdana" w:cs="Arial"/>
          <w:lang w:val="es-ES" w:eastAsia="es-ES"/>
        </w:rPr>
      </w:pPr>
      <w:hyperlink r:id="rId11" w:history="1">
        <w:r w:rsidR="00842184" w:rsidRPr="00677C71">
          <w:rPr>
            <w:rStyle w:val="Hipervnculo"/>
            <w:rFonts w:ascii="Verdana" w:eastAsia="Calibri" w:hAnsi="Verdana" w:cs="Arial"/>
            <w:lang w:eastAsia="es-ES"/>
          </w:rPr>
          <w:t>electromecanicossaszomac@gmail.com</w:t>
        </w:r>
      </w:hyperlink>
      <w:r w:rsidR="00842184">
        <w:rPr>
          <w:rFonts w:ascii="Verdana" w:eastAsia="Calibri" w:hAnsi="Verdana" w:cs="Arial"/>
          <w:lang w:eastAsia="es-ES"/>
        </w:rPr>
        <w:t xml:space="preserve"> </w:t>
      </w:r>
    </w:p>
    <w:p w14:paraId="3BD6A3DD" w14:textId="77777777" w:rsidR="00842184" w:rsidRPr="006B17A7" w:rsidRDefault="00842184" w:rsidP="00842184">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34593438" w14:textId="77777777" w:rsidR="00842184" w:rsidRPr="00CB7ABE" w:rsidRDefault="00842184" w:rsidP="00842184">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842184" w:rsidRPr="00115E3D" w14:paraId="40617503" w14:textId="77777777" w:rsidTr="0076623F">
        <w:trPr>
          <w:trHeight w:val="615"/>
        </w:trPr>
        <w:tc>
          <w:tcPr>
            <w:tcW w:w="2270" w:type="dxa"/>
          </w:tcPr>
          <w:p w14:paraId="5D352780" w14:textId="77777777" w:rsidR="00842184" w:rsidRPr="00CB7ABE" w:rsidRDefault="00842184" w:rsidP="0076623F">
            <w:pPr>
              <w:jc w:val="both"/>
              <w:rPr>
                <w:rFonts w:ascii="Verdana" w:eastAsia="Calibri" w:hAnsi="Verdana" w:cs="Arial"/>
                <w:b/>
                <w:bCs/>
                <w:color w:val="000000" w:themeColor="text1"/>
                <w:lang w:eastAsia="es-ES_tradnl"/>
              </w:rPr>
            </w:pPr>
          </w:p>
        </w:tc>
        <w:tc>
          <w:tcPr>
            <w:tcW w:w="6547" w:type="dxa"/>
          </w:tcPr>
          <w:p w14:paraId="5B394D90" w14:textId="77777777" w:rsidR="00842184" w:rsidRPr="008A209A" w:rsidRDefault="00842184" w:rsidP="0076623F">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689</w:t>
            </w:r>
            <w:r w:rsidRPr="008A209A">
              <w:rPr>
                <w:rFonts w:ascii="Verdana" w:eastAsia="Calibri" w:hAnsi="Verdana" w:cs="Arial"/>
                <w:b/>
                <w:bCs/>
                <w:color w:val="000000" w:themeColor="text1"/>
                <w:lang w:val="es-ES" w:eastAsia="es-ES"/>
              </w:rPr>
              <w:t xml:space="preserve"> de 2026</w:t>
            </w:r>
          </w:p>
        </w:tc>
      </w:tr>
      <w:tr w:rsidR="00842184" w:rsidRPr="007E403E" w14:paraId="313E45BC" w14:textId="77777777" w:rsidTr="0076623F">
        <w:trPr>
          <w:trHeight w:val="1071"/>
        </w:trPr>
        <w:tc>
          <w:tcPr>
            <w:tcW w:w="2270" w:type="dxa"/>
          </w:tcPr>
          <w:p w14:paraId="75D2DCE9" w14:textId="77777777" w:rsidR="00842184" w:rsidRPr="001B36DA" w:rsidRDefault="00842184" w:rsidP="0076623F">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3571DB45" w14:textId="77777777" w:rsidR="00842184" w:rsidRPr="0060442F" w:rsidRDefault="00842184" w:rsidP="0076623F">
            <w:pPr>
              <w:spacing w:line="276" w:lineRule="auto"/>
              <w:jc w:val="both"/>
              <w:rPr>
                <w:rFonts w:ascii="Verdana" w:eastAsia="Calibri" w:hAnsi="Verdana" w:cs="Arial"/>
                <w:lang w:val="es-ES" w:eastAsia="es-ES"/>
              </w:rPr>
            </w:pPr>
            <w:r w:rsidRPr="0060442F">
              <w:rPr>
                <w:rFonts w:ascii="Verdana" w:eastAsia="Calibri" w:hAnsi="Verdana" w:cs="Arial"/>
                <w:lang w:val="es-ES" w:eastAsia="es-ES"/>
              </w:rPr>
              <w:t xml:space="preserve">DOCUMENTOS TIPO – Generalidades – Obligatoriedad </w:t>
            </w:r>
          </w:p>
          <w:p w14:paraId="6BF5AD05" w14:textId="77777777" w:rsidR="00842184" w:rsidRPr="00103B36" w:rsidRDefault="00842184" w:rsidP="0076623F">
            <w:pPr>
              <w:spacing w:line="276" w:lineRule="auto"/>
              <w:jc w:val="both"/>
              <w:rPr>
                <w:rFonts w:ascii="Verdana" w:eastAsia="Calibri" w:hAnsi="Verdana" w:cs="Arial"/>
                <w:lang w:val="es-ES" w:eastAsia="es-ES"/>
              </w:rPr>
            </w:pPr>
            <w:r w:rsidRPr="0060442F">
              <w:rPr>
                <w:rFonts w:ascii="Verdana" w:eastAsia="Calibri" w:hAnsi="Verdana" w:cs="Arial"/>
                <w:lang w:val="es-ES" w:eastAsia="es-ES"/>
              </w:rPr>
              <w:t>INALTERABILIDAD – Documentos Tipo – Alcance</w:t>
            </w:r>
            <w:r>
              <w:rPr>
                <w:rFonts w:ascii="Verdana" w:eastAsia="Calibri" w:hAnsi="Verdana" w:cs="Arial"/>
                <w:lang w:val="es-ES" w:eastAsia="es-ES"/>
              </w:rPr>
              <w:t xml:space="preserve"> / </w:t>
            </w:r>
            <w:r w:rsidRPr="00370C45">
              <w:rPr>
                <w:rFonts w:ascii="Verdana" w:eastAsia="Calibri" w:hAnsi="Verdana" w:cs="Arial"/>
                <w:lang w:val="es-ES" w:eastAsia="es-ES"/>
              </w:rPr>
              <w:t>CONTRATO DE OBRA PÚBLICA – Definición</w:t>
            </w:r>
            <w:r>
              <w:rPr>
                <w:rFonts w:ascii="Verdana" w:eastAsia="Calibri" w:hAnsi="Verdana" w:cs="Arial"/>
                <w:lang w:val="es-ES" w:eastAsia="es-ES"/>
              </w:rPr>
              <w:t xml:space="preserve"> / </w:t>
            </w:r>
            <w:r w:rsidRPr="00370C45">
              <w:rPr>
                <w:rFonts w:ascii="Verdana" w:eastAsia="Calibri" w:hAnsi="Verdana" w:cs="Arial"/>
                <w:lang w:val="es-ES" w:eastAsia="es-ES"/>
              </w:rPr>
              <w:t>MODALIDAD LLAVE EN MANO – Contrato EPC – Definición</w:t>
            </w:r>
            <w:r>
              <w:rPr>
                <w:rFonts w:ascii="Verdana" w:eastAsia="Calibri" w:hAnsi="Verdana" w:cs="Arial"/>
                <w:lang w:val="es-ES" w:eastAsia="es-ES"/>
              </w:rPr>
              <w:t xml:space="preserve"> / </w:t>
            </w:r>
            <w:r w:rsidRPr="00370C45">
              <w:rPr>
                <w:rFonts w:ascii="Verdana" w:eastAsia="Calibri" w:hAnsi="Verdana" w:cs="Arial"/>
                <w:lang w:val="es-ES" w:eastAsia="es-ES"/>
              </w:rPr>
              <w:t>PRINCIPIO DE INALTERABILIDAD – Alcance –</w:t>
            </w:r>
          </w:p>
          <w:p w14:paraId="4AFB998B" w14:textId="77777777" w:rsidR="00842184" w:rsidRPr="00103B36" w:rsidRDefault="00842184" w:rsidP="0076623F">
            <w:pPr>
              <w:spacing w:line="276" w:lineRule="auto"/>
              <w:jc w:val="both"/>
              <w:rPr>
                <w:rFonts w:ascii="Verdana" w:eastAsia="Calibri" w:hAnsi="Verdana" w:cs="Arial"/>
                <w:color w:val="000000" w:themeColor="text1"/>
                <w:highlight w:val="yellow"/>
                <w:lang w:val="es-ES" w:eastAsia="es-ES"/>
              </w:rPr>
            </w:pPr>
            <w:r w:rsidRPr="00103B36">
              <w:rPr>
                <w:rFonts w:ascii="Verdana" w:eastAsia="Calibri" w:hAnsi="Verdana" w:cs="Arial"/>
                <w:highlight w:val="yellow"/>
                <w:lang w:val="es-ES" w:eastAsia="es-ES"/>
              </w:rPr>
              <w:t xml:space="preserve"> </w:t>
            </w:r>
          </w:p>
        </w:tc>
      </w:tr>
      <w:tr w:rsidR="00842184" w:rsidRPr="00115E3D" w14:paraId="626BC2C4" w14:textId="77777777" w:rsidTr="0076623F">
        <w:trPr>
          <w:trHeight w:val="653"/>
        </w:trPr>
        <w:tc>
          <w:tcPr>
            <w:tcW w:w="2270" w:type="dxa"/>
          </w:tcPr>
          <w:p w14:paraId="3D0607C7" w14:textId="77777777" w:rsidR="00842184" w:rsidRPr="00CB7ABE" w:rsidRDefault="00842184" w:rsidP="0076623F">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2B6525E6" w14:textId="09CDA72D" w:rsidR="00842184" w:rsidRPr="00CB7ABE" w:rsidRDefault="00842184" w:rsidP="0076623F">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310F02">
              <w:rPr>
                <w:rFonts w:ascii="Verdana" w:eastAsia="Calibri" w:hAnsi="Verdana" w:cs="Arial"/>
                <w:color w:val="000000" w:themeColor="text1"/>
                <w:lang w:val="es-ES_tradnl" w:eastAsia="es-ES_tradnl"/>
              </w:rPr>
              <w:t>1_2026_04_27_005699</w:t>
            </w:r>
            <w:r w:rsidR="007F69CF">
              <w:rPr>
                <w:rFonts w:ascii="Verdana" w:eastAsia="Calibri" w:hAnsi="Verdana" w:cs="Arial"/>
                <w:color w:val="000000" w:themeColor="text1"/>
                <w:lang w:val="es-ES_tradnl" w:eastAsia="es-ES_tradnl"/>
              </w:rPr>
              <w:t>.</w:t>
            </w:r>
          </w:p>
        </w:tc>
      </w:tr>
      <w:tr w:rsidR="00842184" w:rsidRPr="00115E3D" w14:paraId="77E38095" w14:textId="77777777" w:rsidTr="0076623F">
        <w:trPr>
          <w:trHeight w:val="278"/>
        </w:trPr>
        <w:tc>
          <w:tcPr>
            <w:tcW w:w="2270" w:type="dxa"/>
          </w:tcPr>
          <w:p w14:paraId="5B1BCDB7" w14:textId="77777777" w:rsidR="00842184" w:rsidRPr="00CB7ABE" w:rsidRDefault="00842184" w:rsidP="0076623F">
            <w:pPr>
              <w:jc w:val="both"/>
              <w:rPr>
                <w:rFonts w:ascii="Verdana" w:eastAsia="Calibri" w:hAnsi="Verdana" w:cs="Arial"/>
                <w:b/>
                <w:color w:val="000000" w:themeColor="text1"/>
                <w:lang w:val="es-ES_tradnl" w:eastAsia="es-ES_tradnl"/>
              </w:rPr>
            </w:pPr>
          </w:p>
        </w:tc>
        <w:tc>
          <w:tcPr>
            <w:tcW w:w="6547" w:type="dxa"/>
          </w:tcPr>
          <w:p w14:paraId="54AFD0A1" w14:textId="77777777" w:rsidR="00842184" w:rsidRPr="00CB7ABE" w:rsidRDefault="00842184" w:rsidP="0076623F">
            <w:pPr>
              <w:ind w:right="1"/>
              <w:jc w:val="both"/>
              <w:rPr>
                <w:rFonts w:ascii="Verdana" w:eastAsia="Calibri" w:hAnsi="Verdana" w:cs="Arial"/>
                <w:color w:val="000000" w:themeColor="text1"/>
                <w:lang w:val="es-ES_tradnl" w:eastAsia="es-ES_tradnl"/>
              </w:rPr>
            </w:pPr>
          </w:p>
        </w:tc>
      </w:tr>
    </w:tbl>
    <w:p w14:paraId="6DC8DAFF" w14:textId="77777777" w:rsidR="00842184" w:rsidRPr="00115E3D" w:rsidRDefault="00842184" w:rsidP="00842184">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Moreno;</w:t>
      </w:r>
    </w:p>
    <w:p w14:paraId="4D86670A" w14:textId="77777777" w:rsidR="00842184" w:rsidRPr="00115E3D" w:rsidRDefault="00842184" w:rsidP="00842184">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82BD4F5" w14:textId="77777777" w:rsidR="00842184" w:rsidRPr="00115E3D" w:rsidRDefault="00842184" w:rsidP="00842184">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a su solicitud  radicada ante esta entidad el 27 de abril de 2026 </w:t>
      </w:r>
      <w:r w:rsidRPr="00115E3D">
        <w:rPr>
          <w:rFonts w:ascii="Verdana" w:eastAsia="Calibri" w:hAnsi="Verdana" w:cs="Arial"/>
          <w:color w:val="000000" w:themeColor="text1"/>
          <w:lang w:val="es-ES" w:eastAsia="es-ES"/>
        </w:rPr>
        <w:t xml:space="preserve">en la cual manifiesta lo siguiente: </w:t>
      </w:r>
    </w:p>
    <w:p w14:paraId="04958B2E"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780924D2"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r w:rsidRPr="00104557">
        <w:rPr>
          <w:rFonts w:ascii="Verdana" w:eastAsia="Century Gothic" w:hAnsi="Verdana" w:cs="Century Gothic"/>
          <w:i/>
          <w:iCs/>
          <w:color w:val="000000" w:themeColor="text1"/>
          <w:sz w:val="20"/>
          <w:szCs w:val="20"/>
          <w:lang w:val="es-ES"/>
        </w:rPr>
        <w:t>“</w:t>
      </w:r>
    </w:p>
    <w:p w14:paraId="11D68693" w14:textId="77777777" w:rsidR="00842184" w:rsidRPr="00AC00FA" w:rsidRDefault="00842184" w:rsidP="00842184">
      <w:pPr>
        <w:numPr>
          <w:ilvl w:val="0"/>
          <w:numId w:val="18"/>
        </w:numPr>
        <w:spacing w:after="0" w:line="240" w:lineRule="auto"/>
        <w:ind w:right="709"/>
        <w:jc w:val="both"/>
        <w:rPr>
          <w:rFonts w:ascii="Verdana" w:eastAsia="Century Gothic" w:hAnsi="Verdana" w:cs="Century Gothic"/>
          <w:i/>
          <w:iCs/>
          <w:color w:val="000000" w:themeColor="text1"/>
          <w:sz w:val="20"/>
          <w:szCs w:val="20"/>
        </w:rPr>
      </w:pPr>
      <w:r w:rsidRPr="00AC00FA">
        <w:rPr>
          <w:rFonts w:ascii="Verdana" w:eastAsia="Century Gothic" w:hAnsi="Verdana" w:cs="Century Gothic"/>
          <w:i/>
          <w:iCs/>
          <w:color w:val="000000" w:themeColor="text1"/>
          <w:sz w:val="20"/>
          <w:szCs w:val="20"/>
        </w:rPr>
        <w:t xml:space="preserve">Consideraciones que sustentan la consulta </w:t>
      </w:r>
    </w:p>
    <w:p w14:paraId="6DF579A9"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p>
    <w:p w14:paraId="7D493470" w14:textId="77777777" w:rsidR="00842184" w:rsidRDefault="00842184" w:rsidP="00842184">
      <w:pPr>
        <w:spacing w:after="0" w:line="240" w:lineRule="auto"/>
        <w:ind w:left="709" w:right="709"/>
        <w:jc w:val="both"/>
        <w:rPr>
          <w:rFonts w:ascii="Verdana" w:eastAsia="Century Gothic" w:hAnsi="Verdana" w:cs="Century Gothic"/>
          <w:b/>
          <w:bCs/>
          <w:i/>
          <w:iCs/>
          <w:color w:val="000000" w:themeColor="text1"/>
          <w:sz w:val="20"/>
          <w:szCs w:val="20"/>
        </w:rPr>
      </w:pPr>
      <w:r w:rsidRPr="00AC00FA">
        <w:rPr>
          <w:rFonts w:ascii="Verdana" w:eastAsia="Century Gothic" w:hAnsi="Verdana" w:cs="Century Gothic"/>
          <w:i/>
          <w:iCs/>
          <w:color w:val="000000" w:themeColor="text1"/>
          <w:sz w:val="20"/>
          <w:szCs w:val="20"/>
        </w:rPr>
        <w:t>Según el Principio de inalterabilidad previsto en el artículo 3 de la Resolución 539 de 2025, los obligados a la aplicación de los documentos tipo al adelantar sus procesos de selección, “</w:t>
      </w:r>
      <w:r w:rsidRPr="00AC00FA">
        <w:rPr>
          <w:rFonts w:ascii="Verdana" w:eastAsia="Century Gothic" w:hAnsi="Verdana" w:cs="Century Gothic"/>
          <w:b/>
          <w:bCs/>
          <w:i/>
          <w:iCs/>
          <w:color w:val="000000" w:themeColor="text1"/>
          <w:sz w:val="20"/>
          <w:szCs w:val="20"/>
        </w:rPr>
        <w:t>solo podrán modificarlos en los aspectos en que los documentos tipo lo permitan</w:t>
      </w:r>
      <w:r w:rsidRPr="00AC00FA">
        <w:rPr>
          <w:rFonts w:ascii="Verdana" w:eastAsia="Century Gothic" w:hAnsi="Verdana" w:cs="Century Gothic"/>
          <w:i/>
          <w:iCs/>
          <w:color w:val="000000" w:themeColor="text1"/>
          <w:sz w:val="20"/>
          <w:szCs w:val="20"/>
        </w:rPr>
        <w:t xml:space="preserve">”. Al </w:t>
      </w:r>
      <w:r w:rsidRPr="00AC00FA">
        <w:rPr>
          <w:rFonts w:ascii="Verdana" w:eastAsia="Century Gothic" w:hAnsi="Verdana" w:cs="Century Gothic"/>
          <w:i/>
          <w:iCs/>
          <w:color w:val="000000" w:themeColor="text1"/>
          <w:sz w:val="20"/>
          <w:szCs w:val="20"/>
        </w:rPr>
        <w:lastRenderedPageBreak/>
        <w:t>respecto, para el suscrito peticionario, en el evento en que una entidad modifique el documento base previamente definido para adelantar procesos de contratación de infraestructura social y ajustarlo a una modalidad “</w:t>
      </w:r>
      <w:r w:rsidRPr="00AC00FA">
        <w:rPr>
          <w:rFonts w:ascii="Verdana" w:eastAsia="Century Gothic" w:hAnsi="Verdana" w:cs="Century Gothic"/>
          <w:b/>
          <w:bCs/>
          <w:i/>
          <w:iCs/>
          <w:color w:val="000000" w:themeColor="text1"/>
          <w:sz w:val="20"/>
          <w:szCs w:val="20"/>
        </w:rPr>
        <w:t>Llave en mano</w:t>
      </w:r>
      <w:r w:rsidRPr="00AC00FA">
        <w:rPr>
          <w:rFonts w:ascii="Verdana" w:eastAsia="Century Gothic" w:hAnsi="Verdana" w:cs="Century Gothic"/>
          <w:i/>
          <w:iCs/>
          <w:color w:val="000000" w:themeColor="text1"/>
          <w:sz w:val="20"/>
          <w:szCs w:val="20"/>
        </w:rPr>
        <w:t xml:space="preserve">”; verbigracia, cuando el objeto del proceso no está estandarizado, es decir; se pretende construir instalaciones para prestar servicios básicos de salud a través de estructuras modulares, que incluyen a cargo del contratista los estudios y diseños, suministros de mobiliarios; aspectos sustanciales que no están incorporados de forma primigenia en el documento tipo transversal versión 2, </w:t>
      </w:r>
      <w:r w:rsidRPr="00AC00FA">
        <w:rPr>
          <w:rFonts w:ascii="Verdana" w:eastAsia="Century Gothic" w:hAnsi="Verdana" w:cs="Century Gothic"/>
          <w:b/>
          <w:bCs/>
          <w:i/>
          <w:iCs/>
          <w:color w:val="000000" w:themeColor="text1"/>
          <w:sz w:val="20"/>
          <w:szCs w:val="20"/>
        </w:rPr>
        <w:t xml:space="preserve">se vulnera el referido principio, constituyéndose una excepción legal para que la entidad obligada se aparte del documento base y en el marco de su competencia, diseñe un pliego que se ajuste de forma suficiente a las necesidades que se pretenden satisfacer. </w:t>
      </w:r>
    </w:p>
    <w:p w14:paraId="7C6DAA30" w14:textId="77777777" w:rsidR="00842184" w:rsidRPr="00AC00FA"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p>
    <w:p w14:paraId="1626FD3C" w14:textId="77777777" w:rsidR="00842184" w:rsidRDefault="00842184" w:rsidP="00842184">
      <w:pPr>
        <w:spacing w:after="0" w:line="240" w:lineRule="auto"/>
        <w:ind w:left="709" w:right="709"/>
        <w:jc w:val="both"/>
        <w:rPr>
          <w:rFonts w:ascii="Verdana" w:eastAsia="Century Gothic" w:hAnsi="Verdana" w:cs="Century Gothic"/>
          <w:b/>
          <w:bCs/>
          <w:i/>
          <w:iCs/>
          <w:color w:val="000000" w:themeColor="text1"/>
          <w:sz w:val="20"/>
          <w:szCs w:val="20"/>
        </w:rPr>
      </w:pPr>
      <w:r w:rsidRPr="00AC00FA">
        <w:rPr>
          <w:rFonts w:ascii="Verdana" w:eastAsia="Century Gothic" w:hAnsi="Verdana" w:cs="Century Gothic"/>
          <w:i/>
          <w:iCs/>
          <w:color w:val="000000" w:themeColor="text1"/>
          <w:sz w:val="20"/>
          <w:szCs w:val="20"/>
        </w:rPr>
        <w:t>Bajo el mismo hilo conductor, podría considerarse que, cuando el objeto contractual no está estandarizado, al tratarse de un contrato estructurado bajo la modalidad “</w:t>
      </w:r>
      <w:r w:rsidRPr="00AC00FA">
        <w:rPr>
          <w:rFonts w:ascii="Verdana" w:eastAsia="Century Gothic" w:hAnsi="Verdana" w:cs="Century Gothic"/>
          <w:b/>
          <w:bCs/>
          <w:i/>
          <w:iCs/>
          <w:color w:val="000000" w:themeColor="text1"/>
          <w:sz w:val="20"/>
          <w:szCs w:val="20"/>
        </w:rPr>
        <w:t>Llave en Mano</w:t>
      </w:r>
      <w:r w:rsidRPr="00AC00FA">
        <w:rPr>
          <w:rFonts w:ascii="Verdana" w:eastAsia="Century Gothic" w:hAnsi="Verdana" w:cs="Century Gothic"/>
          <w:i/>
          <w:iCs/>
          <w:color w:val="000000" w:themeColor="text1"/>
          <w:sz w:val="20"/>
          <w:szCs w:val="20"/>
        </w:rPr>
        <w:t xml:space="preserve">” con sistemas constructivos modulares prefabricados móviles, que comprende simultáneamente actividades de consultoría en diseño, suministro industrial y obra pública en menor proporción. Según la distribución presupuestal, el componente de suministro representa más del 85% del valor total, lo que evidencia que el objeto excede el alcance de los pliegos tipo diseñados para obra pública tradicional de infraestructura social, generando un riesgo elevado adelantarlo bajo los requisitos prestablecidos en los documentos base. </w:t>
      </w:r>
      <w:r w:rsidRPr="00AC00FA">
        <w:rPr>
          <w:rFonts w:ascii="Verdana" w:eastAsia="Century Gothic" w:hAnsi="Verdana" w:cs="Century Gothic"/>
          <w:b/>
          <w:bCs/>
          <w:i/>
          <w:iCs/>
          <w:color w:val="000000" w:themeColor="text1"/>
          <w:sz w:val="20"/>
          <w:szCs w:val="20"/>
        </w:rPr>
        <w:t xml:space="preserve">En este escenario, considera el suscrito que la entidad debería estructurar el pliego de condiciones. </w:t>
      </w:r>
    </w:p>
    <w:p w14:paraId="70CD9BC5" w14:textId="77777777" w:rsidR="00842184" w:rsidRPr="00AC00FA"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p>
    <w:p w14:paraId="1ADDBE85" w14:textId="77777777" w:rsidR="00842184" w:rsidRDefault="00842184" w:rsidP="00842184">
      <w:pPr>
        <w:spacing w:after="0" w:line="240" w:lineRule="auto"/>
        <w:ind w:left="709" w:right="709"/>
        <w:jc w:val="both"/>
        <w:rPr>
          <w:rFonts w:ascii="Verdana" w:eastAsia="Century Gothic" w:hAnsi="Verdana" w:cs="Century Gothic"/>
          <w:b/>
          <w:bCs/>
          <w:i/>
          <w:iCs/>
          <w:color w:val="000000" w:themeColor="text1"/>
          <w:sz w:val="20"/>
          <w:szCs w:val="20"/>
        </w:rPr>
      </w:pPr>
      <w:r w:rsidRPr="00AC00FA">
        <w:rPr>
          <w:rFonts w:ascii="Verdana" w:eastAsia="Century Gothic" w:hAnsi="Verdana" w:cs="Century Gothic"/>
          <w:i/>
          <w:iCs/>
          <w:color w:val="000000" w:themeColor="text1"/>
          <w:sz w:val="20"/>
          <w:szCs w:val="20"/>
        </w:rPr>
        <w:t>Adicionalmente, de acuerdo con lo ejemplo planteado, se configura una incompatibilidad técnica con la Matriz de Experiencia sectorial, puesto que, la Matriz de Experiencia del sector salud prevista en el Documento Tipo mide</w:t>
      </w:r>
      <w:r>
        <w:rPr>
          <w:rFonts w:ascii="Verdana" w:eastAsia="Century Gothic" w:hAnsi="Verdana" w:cs="Century Gothic"/>
          <w:i/>
          <w:iCs/>
          <w:color w:val="000000" w:themeColor="text1"/>
          <w:sz w:val="20"/>
          <w:szCs w:val="20"/>
        </w:rPr>
        <w:t xml:space="preserve"> </w:t>
      </w:r>
      <w:r w:rsidRPr="00AC00FA">
        <w:rPr>
          <w:rFonts w:ascii="Verdana" w:eastAsia="Century Gothic" w:hAnsi="Verdana" w:cs="Century Gothic"/>
          <w:i/>
          <w:iCs/>
          <w:color w:val="000000" w:themeColor="text1"/>
          <w:sz w:val="20"/>
          <w:szCs w:val="20"/>
        </w:rPr>
        <w:t xml:space="preserve">únicamente experiencia en construcción fija (m² de obra), sin contemplar la capacidad de diseño, fabricación e integración modular requerida para este proceso. </w:t>
      </w:r>
      <w:r w:rsidRPr="00AC00FA">
        <w:rPr>
          <w:rFonts w:ascii="Verdana" w:eastAsia="Century Gothic" w:hAnsi="Verdana" w:cs="Century Gothic"/>
          <w:b/>
          <w:bCs/>
          <w:i/>
          <w:iCs/>
          <w:color w:val="000000" w:themeColor="text1"/>
          <w:sz w:val="20"/>
          <w:szCs w:val="20"/>
        </w:rPr>
        <w:t>Forzar su aplicación impediría evaluar la idoneidad técnica de los proponentes y pondría en riesgo la finalidad de la contratación estatal prevista en el artículo 3 de la Ley 80 de 1993.</w:t>
      </w:r>
    </w:p>
    <w:p w14:paraId="47E2A1CC" w14:textId="77777777" w:rsidR="00842184" w:rsidRPr="00AC00FA"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r w:rsidRPr="00AC00FA">
        <w:rPr>
          <w:rFonts w:ascii="Verdana" w:eastAsia="Century Gothic" w:hAnsi="Verdana" w:cs="Century Gothic"/>
          <w:b/>
          <w:bCs/>
          <w:i/>
          <w:iCs/>
          <w:color w:val="000000" w:themeColor="text1"/>
          <w:sz w:val="20"/>
          <w:szCs w:val="20"/>
        </w:rPr>
        <w:t xml:space="preserve"> </w:t>
      </w:r>
    </w:p>
    <w:p w14:paraId="5C65F2C3"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r w:rsidRPr="00AC00FA">
        <w:rPr>
          <w:rFonts w:ascii="Verdana" w:eastAsia="Century Gothic" w:hAnsi="Verdana" w:cs="Century Gothic"/>
          <w:b/>
          <w:bCs/>
          <w:i/>
          <w:iCs/>
          <w:color w:val="000000" w:themeColor="text1"/>
          <w:sz w:val="20"/>
          <w:szCs w:val="20"/>
        </w:rPr>
        <w:t xml:space="preserve">Finalmente, </w:t>
      </w:r>
      <w:r w:rsidRPr="00AC00FA">
        <w:rPr>
          <w:rFonts w:ascii="Verdana" w:eastAsia="Century Gothic" w:hAnsi="Verdana" w:cs="Century Gothic"/>
          <w:i/>
          <w:iCs/>
          <w:color w:val="000000" w:themeColor="text1"/>
          <w:sz w:val="20"/>
          <w:szCs w:val="20"/>
        </w:rPr>
        <w:t xml:space="preserve">conforme al marco normativo vigente (Ley 2022 de 2020 y Resolución 539 de 2025), cuando el objeto contractual no se adecúa de forma suficiente al Documento Tipo, </w:t>
      </w:r>
      <w:r w:rsidRPr="00AC00FA">
        <w:rPr>
          <w:rFonts w:ascii="Verdana" w:eastAsia="Century Gothic" w:hAnsi="Verdana" w:cs="Century Gothic"/>
          <w:b/>
          <w:bCs/>
          <w:i/>
          <w:iCs/>
          <w:color w:val="000000" w:themeColor="text1"/>
          <w:sz w:val="20"/>
          <w:szCs w:val="20"/>
        </w:rPr>
        <w:t>considera el suscrito que se configura una excepción legal que, permite a la entidad contratante de apartarse de su aplicación, recuperando su autonomía para estructurar un pliego ajustado a la necesidad, siempre bajo los principios de transparencia y economía.</w:t>
      </w:r>
    </w:p>
    <w:p w14:paraId="4E1F1302"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p>
    <w:p w14:paraId="19290A59"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r>
        <w:rPr>
          <w:rFonts w:ascii="Verdana" w:eastAsia="Century Gothic" w:hAnsi="Verdana" w:cs="Century Gothic"/>
          <w:i/>
          <w:iCs/>
          <w:color w:val="000000" w:themeColor="text1"/>
          <w:sz w:val="20"/>
          <w:szCs w:val="20"/>
        </w:rPr>
        <w:lastRenderedPageBreak/>
        <w:t>S</w:t>
      </w:r>
      <w:r w:rsidRPr="00AC00FA">
        <w:rPr>
          <w:rFonts w:ascii="Verdana" w:eastAsia="Century Gothic" w:hAnsi="Verdana" w:cs="Century Gothic"/>
          <w:i/>
          <w:iCs/>
          <w:color w:val="000000" w:themeColor="text1"/>
          <w:sz w:val="20"/>
          <w:szCs w:val="20"/>
        </w:rPr>
        <w:t>olicitar un concepto técnico-jurídico respecto de la procedencia de apartarse de la aplicación obligatoria del Documento Tipo de Infraestructura Social – Versión 2, adoptado mediante Resolución 539 de 2025, de acuerdo con los siguientes:</w:t>
      </w:r>
    </w:p>
    <w:p w14:paraId="567EAAE8"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p>
    <w:p w14:paraId="546F776C"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r w:rsidRPr="00AC00FA">
        <w:rPr>
          <w:rFonts w:ascii="Verdana" w:eastAsia="Century Gothic" w:hAnsi="Verdana" w:cs="Century Gothic"/>
          <w:i/>
          <w:iCs/>
          <w:color w:val="000000" w:themeColor="text1"/>
          <w:sz w:val="20"/>
          <w:szCs w:val="20"/>
        </w:rPr>
        <w:t xml:space="preserve">¿Deben las entidades estatales sujetas al Estatuto General de Contratación Pública apartarse del empleo de los Documento Tipo de Infraestructura Social – ¿Versión 2, cuando el proceso licitatorio que se pretende contratar tiene objeto no estandarizado y contempla modalidad de “Llave en mano” para su ejecución? </w:t>
      </w:r>
    </w:p>
    <w:p w14:paraId="53454EB6" w14:textId="77777777" w:rsidR="00842184" w:rsidRPr="00AC00FA"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p>
    <w:p w14:paraId="24E98C36"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r w:rsidRPr="00AC00FA">
        <w:rPr>
          <w:rFonts w:ascii="Verdana" w:eastAsia="Century Gothic" w:hAnsi="Verdana" w:cs="Century Gothic"/>
          <w:i/>
          <w:iCs/>
          <w:color w:val="000000" w:themeColor="text1"/>
          <w:sz w:val="20"/>
          <w:szCs w:val="20"/>
        </w:rPr>
        <w:t>¿Se vulnera el principio de inalterabilidad regulado en el artículo 3 de la Resolución 539 de 2025 cuando las entidades estatales modifican los Documento Tipo de Infraestructura Social – ¿Versión 2, para adecuarlos a un proceso licitatorio con objeto no estandarizado bajo la modalidad “Llave en mano”?</w:t>
      </w:r>
    </w:p>
    <w:p w14:paraId="2EB4C344"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rPr>
      </w:pPr>
    </w:p>
    <w:p w14:paraId="67B3E4C3" w14:textId="77777777" w:rsidR="00842184" w:rsidRPr="00AC00FA" w:rsidRDefault="00842184" w:rsidP="00842184">
      <w:pPr>
        <w:spacing w:after="0" w:line="240" w:lineRule="auto"/>
        <w:ind w:left="709" w:right="709"/>
        <w:jc w:val="both"/>
        <w:rPr>
          <w:rFonts w:ascii="Verdana" w:eastAsia="Century Gothic" w:hAnsi="Verdana" w:cs="Century Gothic"/>
          <w:b/>
          <w:bCs/>
          <w:i/>
          <w:iCs/>
          <w:color w:val="000000" w:themeColor="text1"/>
          <w:sz w:val="20"/>
          <w:szCs w:val="20"/>
          <w:lang w:val="es-ES"/>
        </w:rPr>
      </w:pPr>
      <w:r w:rsidRPr="00AC00FA">
        <w:rPr>
          <w:rFonts w:ascii="Verdana" w:eastAsia="Century Gothic" w:hAnsi="Verdana" w:cs="Century Gothic"/>
          <w:b/>
          <w:bCs/>
          <w:i/>
          <w:iCs/>
          <w:color w:val="000000" w:themeColor="text1"/>
          <w:sz w:val="20"/>
          <w:szCs w:val="20"/>
        </w:rPr>
        <w:t>Petición:</w:t>
      </w:r>
    </w:p>
    <w:p w14:paraId="7B5BFD9B"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p>
    <w:p w14:paraId="131D0B50" w14:textId="77777777" w:rsidR="00842184" w:rsidRPr="00AC00FA"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r w:rsidRPr="00AC00FA">
        <w:rPr>
          <w:rFonts w:ascii="Verdana" w:eastAsia="Century Gothic" w:hAnsi="Verdana" w:cs="Century Gothic"/>
          <w:i/>
          <w:iCs/>
          <w:color w:val="000000" w:themeColor="text1"/>
          <w:sz w:val="20"/>
          <w:szCs w:val="20"/>
        </w:rPr>
        <w:t xml:space="preserve">Con fundamento en lo anterior, respetuosamente solicito a esa Agencia emitir un </w:t>
      </w:r>
      <w:r w:rsidRPr="00AC00FA">
        <w:rPr>
          <w:rFonts w:ascii="Verdana" w:eastAsia="Century Gothic" w:hAnsi="Verdana" w:cs="Century Gothic"/>
          <w:b/>
          <w:bCs/>
          <w:i/>
          <w:iCs/>
          <w:color w:val="000000" w:themeColor="text1"/>
          <w:sz w:val="20"/>
          <w:szCs w:val="20"/>
        </w:rPr>
        <w:t xml:space="preserve">concepto oficial </w:t>
      </w:r>
      <w:r w:rsidRPr="00AC00FA">
        <w:rPr>
          <w:rFonts w:ascii="Verdana" w:eastAsia="Century Gothic" w:hAnsi="Verdana" w:cs="Century Gothic"/>
          <w:i/>
          <w:iCs/>
          <w:color w:val="000000" w:themeColor="text1"/>
          <w:sz w:val="20"/>
          <w:szCs w:val="20"/>
        </w:rPr>
        <w:t>en el que se precise si, en el caso planteado como ejemplo, resulta procedente apartarse del empleo del pliego tipo transversal de infraestructura social, en atención a que, el objeto contractual corresponde a un contrato mixto con prevalencia del suministro y la fabricación modular, la modalidad “Llave en Mano” exige autonomía en la estructuración del pliego para garantizar la correcta evaluación de la capacidad técnica de los proponentes y la aplicación del Documento Tipo en este caso podría vulnerar el principio de inalterabilidad (Artículo 3, Resolución 539 de 2025) y restringir la selección objetiva</w:t>
      </w:r>
      <w:r w:rsidRPr="00AC00FA">
        <w:rPr>
          <w:rFonts w:ascii="Verdana" w:eastAsia="Century Gothic" w:hAnsi="Verdana" w:cs="Century Gothic"/>
          <w:i/>
          <w:iCs/>
          <w:color w:val="000000" w:themeColor="text1"/>
          <w:sz w:val="20"/>
          <w:szCs w:val="20"/>
          <w:lang w:val="es-MX"/>
        </w:rPr>
        <w:t>“</w:t>
      </w:r>
    </w:p>
    <w:p w14:paraId="5C47B408" w14:textId="77777777" w:rsidR="00842184" w:rsidRDefault="00842184" w:rsidP="00842184">
      <w:pPr>
        <w:spacing w:after="0" w:line="240" w:lineRule="auto"/>
        <w:ind w:left="709" w:right="709"/>
        <w:jc w:val="both"/>
        <w:rPr>
          <w:rFonts w:ascii="Verdana" w:eastAsia="Century Gothic" w:hAnsi="Verdana" w:cs="Century Gothic"/>
          <w:i/>
          <w:iCs/>
          <w:color w:val="000000" w:themeColor="text1"/>
          <w:sz w:val="20"/>
          <w:szCs w:val="20"/>
          <w:lang w:val="es-ES"/>
        </w:rPr>
      </w:pPr>
    </w:p>
    <w:p w14:paraId="45D28B0C" w14:textId="77777777" w:rsidR="00842184" w:rsidRDefault="00842184" w:rsidP="00842184">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392D13AA" w14:textId="77777777" w:rsidR="00842184" w:rsidRPr="00115E3D" w:rsidRDefault="00842184" w:rsidP="00842184">
      <w:pPr>
        <w:spacing w:after="0" w:line="240" w:lineRule="auto"/>
        <w:ind w:right="49"/>
        <w:jc w:val="both"/>
        <w:rPr>
          <w:rFonts w:ascii="Verdana" w:eastAsia="Calibri" w:hAnsi="Verdana" w:cs="Arial"/>
          <w:color w:val="000000" w:themeColor="text1"/>
          <w:szCs w:val="24"/>
          <w:lang w:val="es-ES_tradnl" w:eastAsia="es-ES_tradnl"/>
        </w:rPr>
      </w:pPr>
    </w:p>
    <w:p w14:paraId="11584577" w14:textId="77777777" w:rsidR="00842184" w:rsidRPr="00115E3D" w:rsidRDefault="00842184" w:rsidP="00842184">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026D9E81" w14:textId="77777777" w:rsidR="00842184" w:rsidRPr="00115E3D" w:rsidRDefault="00842184" w:rsidP="00842184">
      <w:pPr>
        <w:spacing w:after="0" w:line="276" w:lineRule="auto"/>
        <w:ind w:firstLine="709"/>
        <w:jc w:val="both"/>
        <w:rPr>
          <w:rFonts w:ascii="Verdana" w:eastAsia="Calibri" w:hAnsi="Verdana" w:cs="Arial"/>
          <w:color w:val="000000" w:themeColor="text1"/>
          <w:lang w:val="es-ES" w:eastAsia="es-ES"/>
        </w:rPr>
      </w:pPr>
    </w:p>
    <w:p w14:paraId="42667E26" w14:textId="77777777" w:rsidR="00842184" w:rsidRPr="00115E3D" w:rsidRDefault="00842184" w:rsidP="008421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10255FD" w14:textId="77777777" w:rsidR="00842184" w:rsidRPr="00115E3D" w:rsidRDefault="00842184" w:rsidP="00842184">
      <w:pPr>
        <w:tabs>
          <w:tab w:val="left" w:pos="426"/>
        </w:tabs>
        <w:spacing w:after="0" w:line="276" w:lineRule="auto"/>
        <w:jc w:val="both"/>
        <w:rPr>
          <w:rFonts w:ascii="Verdana" w:eastAsia="Century Gothic" w:hAnsi="Verdana" w:cs="Century Gothic"/>
          <w:color w:val="000000" w:themeColor="text1"/>
          <w:lang w:val="es-ES"/>
        </w:rPr>
      </w:pPr>
    </w:p>
    <w:p w14:paraId="01A9C81F" w14:textId="77777777" w:rsidR="00842184" w:rsidRPr="00D23F68" w:rsidRDefault="00842184" w:rsidP="00842184">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Pr>
          <w:rFonts w:ascii="Verdana" w:eastAsia="Century Gothic" w:hAnsi="Verdana" w:cs="Century Gothic"/>
          <w:color w:val="000000" w:themeColor="text1"/>
        </w:rPr>
        <w:t xml:space="preserve"> </w:t>
      </w:r>
      <w:r w:rsidRPr="00AB08E1">
        <w:rPr>
          <w:rFonts w:ascii="Verdana" w:hAnsi="Verdana"/>
        </w:rPr>
        <w:t>¿La modalidad contractual "llave en mano" y la existencia de características técnicas no estandarizadas permiten a una entidad estatal apartarse de la aplicación de los Documentos Tipo de Infraestructura Social – Versión 2 o incorporar requisitos adicionales sin vulnerar el principio de inalterabilidad previsto en la Resolución 539 de 2025?</w:t>
      </w:r>
    </w:p>
    <w:p w14:paraId="696EEE74" w14:textId="77777777" w:rsidR="00842184" w:rsidRPr="00B511C1" w:rsidRDefault="00842184" w:rsidP="00842184">
      <w:pPr>
        <w:spacing w:after="0" w:line="276" w:lineRule="auto"/>
        <w:jc w:val="both"/>
        <w:rPr>
          <w:rFonts w:ascii="Verdana" w:eastAsia="Century Gothic" w:hAnsi="Verdana" w:cs="Century Gothic"/>
          <w:color w:val="000000" w:themeColor="text1"/>
        </w:rPr>
      </w:pPr>
    </w:p>
    <w:p w14:paraId="5FBEC3E3" w14:textId="77777777" w:rsidR="00842184" w:rsidRPr="00115E3D" w:rsidRDefault="00842184" w:rsidP="008421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46DC869" w14:textId="77777777" w:rsidR="00842184" w:rsidRPr="00115E3D" w:rsidRDefault="00842184" w:rsidP="0084218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2184" w:rsidRPr="00115E3D" w14:paraId="611043FD" w14:textId="77777777" w:rsidTr="0076623F">
        <w:trPr>
          <w:trHeight w:val="774"/>
        </w:trPr>
        <w:tc>
          <w:tcPr>
            <w:tcW w:w="8828" w:type="dxa"/>
          </w:tcPr>
          <w:p w14:paraId="72AE4207" w14:textId="77777777" w:rsidR="00842184" w:rsidRPr="00AB08E1" w:rsidRDefault="00842184" w:rsidP="0076623F">
            <w:pPr>
              <w:spacing w:after="120" w:line="276" w:lineRule="auto"/>
              <w:jc w:val="both"/>
              <w:rPr>
                <w:rFonts w:ascii="Verdana" w:eastAsia="Arial" w:hAnsi="Verdana" w:cs="Arial"/>
              </w:rPr>
            </w:pPr>
            <w:r>
              <w:rPr>
                <w:rFonts w:ascii="Verdana" w:eastAsia="Arial" w:hAnsi="Verdana" w:cs="Arial"/>
              </w:rPr>
              <w:t xml:space="preserve">          </w:t>
            </w:r>
            <w:r w:rsidRPr="00AB08E1">
              <w:rPr>
                <w:rFonts w:ascii="Verdana" w:eastAsia="Arial" w:hAnsi="Verdana" w:cs="Arial"/>
              </w:rPr>
              <w:t xml:space="preserve">De conformidad con el criterio expuesto por </w:t>
            </w:r>
            <w:r>
              <w:rPr>
                <w:rFonts w:ascii="Verdana" w:eastAsia="Arial" w:hAnsi="Verdana" w:cs="Arial"/>
              </w:rPr>
              <w:t xml:space="preserve">esta Subdirección Contractual </w:t>
            </w:r>
            <w:r w:rsidRPr="00AB08E1">
              <w:rPr>
                <w:rFonts w:ascii="Verdana" w:eastAsia="Arial" w:hAnsi="Verdana" w:cs="Arial"/>
              </w:rPr>
              <w:t>en el Concepto C-619 del 28 de abril de 202</w:t>
            </w:r>
            <w:r>
              <w:rPr>
                <w:rFonts w:ascii="Verdana" w:eastAsia="Arial" w:hAnsi="Verdana" w:cs="Arial"/>
              </w:rPr>
              <w:t xml:space="preserve">6 </w:t>
            </w:r>
            <w:r w:rsidRPr="00AB08E1">
              <w:rPr>
                <w:rFonts w:ascii="Verdana" w:eastAsia="Arial" w:hAnsi="Verdana" w:cs="Arial"/>
              </w:rPr>
              <w:t>la modalidad contractual “llave en mano” y la inclusión de actividades complementarias a la ejecución de la obra, como estudios y diseños, no constituyen una excepción a la aplicación obligatoria de los Documentos Tipo. En consecuencia, cuando el proyecto se encuentre comprendido dentro del ámbito de aplicación de los Documentos Tipo de Infraestructura Social – Versión 2, la entidad estatal debe utilizarlos, sin perjuicio de la posibilidad de incorporar exigencias relacionadas con dichas actividades adicionales en los términos permitidos por la regulación aplicable.</w:t>
            </w:r>
          </w:p>
          <w:p w14:paraId="2227F73D" w14:textId="77777777" w:rsidR="00842184" w:rsidRPr="00AB08E1" w:rsidRDefault="00842184" w:rsidP="0076623F">
            <w:pPr>
              <w:spacing w:after="120" w:line="276" w:lineRule="auto"/>
              <w:jc w:val="both"/>
              <w:rPr>
                <w:rFonts w:ascii="Verdana" w:eastAsia="Arial" w:hAnsi="Verdana" w:cs="Arial"/>
              </w:rPr>
            </w:pPr>
            <w:r>
              <w:rPr>
                <w:rFonts w:ascii="Verdana" w:eastAsia="Arial" w:hAnsi="Verdana" w:cs="Arial"/>
              </w:rPr>
              <w:t xml:space="preserve">         Asi las cosas</w:t>
            </w:r>
            <w:r w:rsidRPr="00AB08E1">
              <w:rPr>
                <w:rFonts w:ascii="Verdana" w:eastAsia="Arial" w:hAnsi="Verdana" w:cs="Arial"/>
              </w:rPr>
              <w:t>, la inclusión de requisitos orientados a verificar la idoneidad de los proponentes respecto de actividades adicionales a la obra pública no constituye per se una modificación prohibida de los Documentos Tipo ni una vulneración del principio de inalterabilidad, siempre que dicha incorporación se realice dentro de los espacios normativamente habilitados y sin alterar los requisitos habilitantes, factores de evaluación y demás condiciones obligatorias previstas en los Documentos Tipo.</w:t>
            </w:r>
          </w:p>
          <w:p w14:paraId="724499D4" w14:textId="77777777" w:rsidR="00842184" w:rsidRPr="00AB08E1" w:rsidRDefault="00842184" w:rsidP="0076623F">
            <w:pPr>
              <w:spacing w:after="120" w:line="276" w:lineRule="auto"/>
              <w:jc w:val="both"/>
              <w:rPr>
                <w:rFonts w:ascii="Verdana" w:eastAsia="Arial" w:hAnsi="Verdana" w:cs="Arial"/>
              </w:rPr>
            </w:pPr>
            <w:r>
              <w:rPr>
                <w:rFonts w:ascii="Verdana" w:eastAsia="Arial" w:hAnsi="Verdana" w:cs="Arial"/>
              </w:rPr>
              <w:lastRenderedPageBreak/>
              <w:t xml:space="preserve">          </w:t>
            </w:r>
            <w:r w:rsidRPr="00AB08E1">
              <w:rPr>
                <w:rFonts w:ascii="Verdana" w:eastAsia="Arial" w:hAnsi="Verdana" w:cs="Arial"/>
              </w:rPr>
              <w:t>En consecuencia, la entidad no puede sustituir o modificar las reglas obligatorias de los Documentos Tipo, pero sí puede exigir experiencia adicional relacionada con bienes o servicios complementarios al objeto principal de obra, cuando ello resulte necesario para garantizar la adecuada ejecución del proyecto y exista habilitación normativa para ello.</w:t>
            </w:r>
          </w:p>
          <w:p w14:paraId="4CCE3C79" w14:textId="77777777" w:rsidR="00842184" w:rsidRPr="00B643B2" w:rsidRDefault="00842184" w:rsidP="0076623F">
            <w:pPr>
              <w:spacing w:after="120" w:line="276" w:lineRule="auto"/>
              <w:jc w:val="both"/>
              <w:rPr>
                <w:rFonts w:ascii="Verdana" w:eastAsia="Calibri" w:hAnsi="Verdana"/>
              </w:rPr>
            </w:pPr>
            <w:r w:rsidRPr="005E0DA4">
              <w:rPr>
                <w:rFonts w:ascii="Verdana" w:eastAsia="Arial" w:hAnsi="Verdana" w:cs="Arial"/>
              </w:rPr>
              <w:t xml:space="preserve"> </w:t>
            </w:r>
            <w:r w:rsidRPr="009924B0">
              <w:rPr>
                <w:rFonts w:ascii="Verdana" w:eastAsia="Arial" w:hAnsi="Verdana" w:cs="Arial"/>
              </w:rPr>
              <w:t xml:space="preserve"> </w:t>
            </w: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1EF2BB83" w14:textId="77777777" w:rsidR="00842184" w:rsidRPr="0029110A" w:rsidRDefault="00842184" w:rsidP="0076623F">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42184" w:rsidRPr="00115E3D" w14:paraId="3D432155" w14:textId="77777777" w:rsidTr="0076623F">
        <w:trPr>
          <w:trHeight w:val="162"/>
        </w:trPr>
        <w:tc>
          <w:tcPr>
            <w:tcW w:w="8828" w:type="dxa"/>
          </w:tcPr>
          <w:p w14:paraId="480D31FA" w14:textId="77777777" w:rsidR="00842184" w:rsidRDefault="00842184" w:rsidP="0076623F">
            <w:pPr>
              <w:spacing w:line="276" w:lineRule="auto"/>
              <w:jc w:val="both"/>
              <w:rPr>
                <w:rFonts w:ascii="Verdana" w:eastAsia="Calibri" w:hAnsi="Verdana" w:cs="Arial"/>
              </w:rPr>
            </w:pPr>
          </w:p>
        </w:tc>
      </w:tr>
    </w:tbl>
    <w:p w14:paraId="536287BB" w14:textId="77777777" w:rsidR="00842184" w:rsidRDefault="00842184" w:rsidP="00842184">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5FDE036" w14:textId="77777777" w:rsidR="00842184" w:rsidRDefault="00842184" w:rsidP="008421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778F31D5" w14:textId="77777777" w:rsidR="00842184" w:rsidRDefault="00842184" w:rsidP="00842184">
      <w:pPr>
        <w:spacing w:after="120" w:line="276" w:lineRule="auto"/>
        <w:ind w:firstLine="708"/>
        <w:jc w:val="both"/>
        <w:rPr>
          <w:rFonts w:ascii="Verdana" w:eastAsia="Aptos" w:hAnsi="Verdana" w:cs="Arial"/>
        </w:rPr>
      </w:pPr>
    </w:p>
    <w:p w14:paraId="4B77BDC0" w14:textId="77777777" w:rsidR="00842184" w:rsidRPr="006C1C39" w:rsidRDefault="00842184" w:rsidP="00842184">
      <w:pPr>
        <w:spacing w:after="120" w:line="276" w:lineRule="auto"/>
        <w:ind w:firstLine="708"/>
        <w:jc w:val="both"/>
        <w:rPr>
          <w:rFonts w:ascii="Verdana" w:eastAsia="Aptos" w:hAnsi="Verdana" w:cs="ArialMT"/>
        </w:rPr>
      </w:pPr>
      <w:r w:rsidRPr="006C1C39">
        <w:rPr>
          <w:rFonts w:ascii="Verdana" w:eastAsia="Aptos" w:hAnsi="Verdana" w:cs="Arial"/>
        </w:rPr>
        <w:t xml:space="preserve">Los documentos tipo expedidos por la Agencia Nacional de Contratación Pública </w:t>
      </w:r>
      <w:r w:rsidRPr="006C1C39">
        <w:rPr>
          <w:rFonts w:ascii="Verdana" w:eastAsia="Aptos" w:hAnsi="Verdana" w:cs="ArialMT"/>
        </w:rPr>
        <w:t xml:space="preserve">– Colombia Compra Eficiente </w:t>
      </w:r>
      <w:r w:rsidRPr="006C1C39">
        <w:rPr>
          <w:rFonts w:ascii="Verdana" w:eastAsia="Aptos" w:hAnsi="Verdana" w:cs="Arial"/>
        </w:rPr>
        <w:t>en ejercicio de la potestad otorgada</w:t>
      </w:r>
      <w:r w:rsidRPr="006C1C39">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w:t>
      </w:r>
      <w:r>
        <w:rPr>
          <w:rFonts w:ascii="Verdana" w:eastAsia="Aptos" w:hAnsi="Verdana" w:cs="ArialMT"/>
        </w:rPr>
        <w:t>i</w:t>
      </w:r>
      <w:r w:rsidRPr="006C1C39">
        <w:rPr>
          <w:rFonts w:ascii="Verdana" w:eastAsia="Aptos" w:hAnsi="Verdana" w:cs="ArialMT"/>
        </w:rPr>
        <w:t>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4BB754E0" w14:textId="77777777" w:rsidR="00842184" w:rsidRPr="006C1C39" w:rsidRDefault="00842184" w:rsidP="00842184">
      <w:pPr>
        <w:spacing w:after="120" w:line="276" w:lineRule="auto"/>
        <w:ind w:firstLine="708"/>
        <w:jc w:val="both"/>
        <w:rPr>
          <w:rFonts w:ascii="Verdana" w:eastAsia="Aptos" w:hAnsi="Verdana" w:cs="ArialMT"/>
        </w:rPr>
      </w:pPr>
      <w:r w:rsidRPr="006C1C39">
        <w:rPr>
          <w:rFonts w:ascii="Verdana" w:eastAsia="Aptos" w:hAnsi="Verdana" w:cs="ArialMT"/>
        </w:rPr>
        <w:lastRenderedPageBreak/>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6C1C39">
        <w:rPr>
          <w:rFonts w:ascii="Verdana" w:eastAsia="Calibri" w:hAnsi="Verdana" w:cs="Times New Roman"/>
          <w:vertAlign w:val="superscript"/>
        </w:rPr>
        <w:footnoteReference w:id="1"/>
      </w:r>
      <w:r w:rsidRPr="006C1C39">
        <w:rPr>
          <w:rFonts w:ascii="Verdana" w:eastAsia="Aptos" w:hAnsi="Verdana" w:cs="ArialMT"/>
        </w:rPr>
        <w:t xml:space="preserve">. </w:t>
      </w:r>
    </w:p>
    <w:p w14:paraId="53400551" w14:textId="77777777" w:rsidR="00842184" w:rsidRPr="006C1C39" w:rsidRDefault="00842184" w:rsidP="00842184">
      <w:pPr>
        <w:spacing w:after="120" w:line="276" w:lineRule="auto"/>
        <w:ind w:firstLine="708"/>
        <w:jc w:val="both"/>
        <w:rPr>
          <w:rFonts w:ascii="Verdana" w:eastAsia="Aptos" w:hAnsi="Verdana" w:cs="ArialMT"/>
        </w:rPr>
      </w:pPr>
      <w:r w:rsidRPr="006C1C39">
        <w:rPr>
          <w:rFonts w:ascii="Verdana" w:eastAsia="Aptos" w:hAnsi="Verdana" w:cs="ArialMT"/>
        </w:rPr>
        <w:t xml:space="preserve">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w:t>
      </w:r>
      <w:r>
        <w:rPr>
          <w:rFonts w:ascii="Verdana" w:eastAsia="Aptos" w:hAnsi="Verdana" w:cs="ArialMT"/>
        </w:rPr>
        <w:t>Además</w:t>
      </w:r>
      <w:r w:rsidRPr="006C1C39">
        <w:rPr>
          <w:rFonts w:ascii="Verdana" w:eastAsia="Aptos" w:hAnsi="Verdana" w:cs="ArialMT"/>
        </w:rPr>
        <w:t>, esta Agencia expidió documentos tipo de concurso de méritos para contratar la interventoría y la consultoría de estudios de ingeniería de infraestructura de transporte</w:t>
      </w:r>
      <w:r w:rsidRPr="006C1C39">
        <w:rPr>
          <w:rFonts w:ascii="Verdana" w:eastAsia="Calibri" w:hAnsi="Verdana" w:cs="Times New Roman"/>
          <w:vertAlign w:val="superscript"/>
        </w:rPr>
        <w:footnoteReference w:id="2"/>
      </w:r>
      <w:r w:rsidRPr="006C1C39">
        <w:rPr>
          <w:rFonts w:ascii="Verdana" w:eastAsia="Aptos" w:hAnsi="Verdana" w:cs="ArialMT"/>
        </w:rPr>
        <w:t xml:space="preserve">. </w:t>
      </w:r>
    </w:p>
    <w:p w14:paraId="5A18DC80" w14:textId="77777777" w:rsidR="00842184" w:rsidRPr="006C1C39" w:rsidRDefault="00842184" w:rsidP="00842184">
      <w:pPr>
        <w:spacing w:after="120" w:line="276" w:lineRule="auto"/>
        <w:ind w:firstLine="708"/>
        <w:jc w:val="both"/>
        <w:rPr>
          <w:rFonts w:ascii="Verdana" w:eastAsia="Aptos" w:hAnsi="Verdana" w:cs="ArialMT"/>
        </w:rPr>
      </w:pPr>
      <w:r w:rsidRPr="006C1C39">
        <w:rPr>
          <w:rFonts w:ascii="Verdana" w:eastAsia="Aptos" w:hAnsi="Verdana" w:cs="ArialMT"/>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06CFFFCF"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lastRenderedPageBreak/>
        <w:t>La finalidad de este régimen es garantizar la uniformidad de las condiciones de participación en los procesos de contratación pública, promover la pluralidad de oferentes, fortalecer la transparencia y reducir los espacios de discrecionalidad en la elaboración de los pliegos de condiciones. Por esta razón, la posibilidad de modificar los Documentos Tipo constituye una excepción y no la regla general. En consecuencia, cuando una entidad estatal adelanta un proceso que se encuentra comprendido dentro del ámbito de aplicación de los Documentos Tipo de Infraestructura Social – Versión 2, debe sujetarse a las condiciones allí establecidas, sin que le sea posible introducir requisitos diferentes a los previstos por Colombia Compra Eficiente bajo el argumento de las particularidades técnicas del proyecto.</w:t>
      </w:r>
    </w:p>
    <w:p w14:paraId="74954B7D" w14:textId="77777777" w:rsidR="00842184" w:rsidRPr="00AF523C" w:rsidRDefault="00842184" w:rsidP="00842184">
      <w:pPr>
        <w:spacing w:after="0" w:line="276" w:lineRule="auto"/>
        <w:ind w:firstLine="708"/>
        <w:jc w:val="both"/>
        <w:rPr>
          <w:rFonts w:ascii="Verdana" w:hAnsi="Verdana" w:cs="Arial"/>
          <w:color w:val="000000" w:themeColor="text1"/>
        </w:rPr>
      </w:pPr>
    </w:p>
    <w:p w14:paraId="1E7DE975" w14:textId="77777777" w:rsidR="00842184" w:rsidRDefault="00842184" w:rsidP="00842184">
      <w:pPr>
        <w:spacing w:after="0" w:line="276" w:lineRule="auto"/>
        <w:ind w:firstLine="708"/>
        <w:jc w:val="both"/>
        <w:rPr>
          <w:rFonts w:ascii="Verdana" w:hAnsi="Verdana" w:cs="Arial"/>
          <w:color w:val="000000" w:themeColor="text1"/>
        </w:rPr>
      </w:pPr>
      <w:r>
        <w:rPr>
          <w:rFonts w:ascii="Verdana" w:hAnsi="Verdana" w:cs="Arial"/>
          <w:color w:val="000000" w:themeColor="text1"/>
        </w:rPr>
        <w:t>Ahora bien, en atención al problema jurídico planteado</w:t>
      </w:r>
      <w:r w:rsidRPr="00AF523C">
        <w:rPr>
          <w:rFonts w:ascii="Verdana" w:hAnsi="Verdana" w:cs="Arial"/>
          <w:color w:val="000000" w:themeColor="text1"/>
        </w:rPr>
        <w:t>, resulta necesario precisar que la modalidad contractual denominada “llave en mano” no constituye una categoría contractual autónoma ni una excepción al régimen de los Documentos Tipo. Por el contrario, se trata de una modalidad de ejecución del contrato de obra en la cual el contratista asume, además de la construcción de la infraestructura, otras prestaciones asociadas a la elaboración de estudios y diseños, suministro de equipos, pruebas, puesta en funcionamiento y demás actividades requeridas para la entrega integral del proyecto. Así lo reconoció Colombia Compra Eficiente en el Concepto C-619 del 28 de abril de 2026, al señalar que el hecho de que en un mismo contrato se integren actividades de diseño y construcción no modifica la naturaleza jurídica del contrato de obra ni excluye la aplicación de los Documentos Tipo cuando la obra corresponde a una de las tipologías cobijadas por estos instrumentos.</w:t>
      </w:r>
    </w:p>
    <w:p w14:paraId="5F71E879" w14:textId="77777777" w:rsidR="00842184" w:rsidRPr="00AF523C" w:rsidRDefault="00842184" w:rsidP="00842184">
      <w:pPr>
        <w:spacing w:after="0" w:line="276" w:lineRule="auto"/>
        <w:ind w:firstLine="708"/>
        <w:jc w:val="both"/>
        <w:rPr>
          <w:rFonts w:ascii="Verdana" w:hAnsi="Verdana" w:cs="Arial"/>
          <w:color w:val="000000" w:themeColor="text1"/>
        </w:rPr>
      </w:pPr>
    </w:p>
    <w:p w14:paraId="2FF041ED"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 xml:space="preserve">Esta conclusión guarda armonía con el numeral 12 del artículo 25 de la Ley 80 de 1993, modificado por el artículo 87 de la Ley 1474 de 2011. De acuerdo con dicha disposición, antes de la apertura del procedimiento de selección la entidad estatal debe contar con los estudios y diseños que permitan establecer la viabilidad del proyecto y su impacto social, económico y ambiental. Sin embargo, tal exigencia no implica que la totalidad de los estudios y diseños definitivos deban encontrarse culminados antes de la contratación, ni prohíbe que dentro del objeto contractual se incluyan actividades relacionadas con su elaboración, ajuste, revisión o complementación. Por el contrario, como lo precisó Colombia Compra Eficiente en el Concepto C-619 de 2026, la finalidad </w:t>
      </w:r>
      <w:r w:rsidRPr="00AF523C">
        <w:rPr>
          <w:rFonts w:ascii="Verdana" w:hAnsi="Verdana" w:cs="Arial"/>
          <w:color w:val="000000" w:themeColor="text1"/>
        </w:rPr>
        <w:lastRenderedPageBreak/>
        <w:t>de la norma consiste en garantizar la adecuada maduración del proyecto y evitar la improvisación en la contratación pública, más no impedir la celebración de contratos integrales de diseño y construcción.</w:t>
      </w:r>
    </w:p>
    <w:p w14:paraId="2F1DDE04" w14:textId="77777777" w:rsidR="00842184" w:rsidRPr="00AF523C" w:rsidRDefault="00842184" w:rsidP="00842184">
      <w:pPr>
        <w:spacing w:after="0" w:line="276" w:lineRule="auto"/>
        <w:ind w:firstLine="708"/>
        <w:jc w:val="both"/>
        <w:rPr>
          <w:rFonts w:ascii="Verdana" w:hAnsi="Verdana" w:cs="Arial"/>
          <w:color w:val="000000" w:themeColor="text1"/>
        </w:rPr>
      </w:pPr>
    </w:p>
    <w:p w14:paraId="27DB0CC8"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De igual forma, la existencia de características técnicas particulares, innovadoras o no estandarizadas tampoco constituye una circunstancia que permita a la entidad estatal apartarse de la aplicación de los Documentos Tipo. En efecto, la obligación de aplicar estos instrumentos depende de que el objeto contractual corresponda a las tipologías de infraestructura para las cuales fueron adoptados, y no de que todas las actividades o especificaciones técnicas del proyecto se encuentren expresamente descritas en ellos. Por ello, la presencia de componentes especializados, tecnologías específicas o actividades complementarias debe abordarse mediante los mecanismos de configuración previstos en los propios Documentos Tipo y a través del ejercicio del deber de planeación, sin que ello implique alterar las condiciones obligatorias definidas por la Agencia.</w:t>
      </w:r>
    </w:p>
    <w:p w14:paraId="19861985" w14:textId="77777777" w:rsidR="00842184" w:rsidRPr="00AF523C" w:rsidRDefault="00842184" w:rsidP="00842184">
      <w:pPr>
        <w:spacing w:after="0" w:line="276" w:lineRule="auto"/>
        <w:ind w:firstLine="708"/>
        <w:jc w:val="both"/>
        <w:rPr>
          <w:rFonts w:ascii="Verdana" w:hAnsi="Verdana" w:cs="Arial"/>
          <w:color w:val="000000" w:themeColor="text1"/>
        </w:rPr>
      </w:pPr>
    </w:p>
    <w:p w14:paraId="488DB405"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 xml:space="preserve">En este sentido, resulta relevante el razonamiento desarrollado por Colombia Compra Eficiente en </w:t>
      </w:r>
      <w:r>
        <w:rPr>
          <w:rFonts w:ascii="Verdana" w:hAnsi="Verdana" w:cs="Arial"/>
          <w:color w:val="000000" w:themeColor="text1"/>
        </w:rPr>
        <w:t>el mencionado concepto</w:t>
      </w:r>
      <w:r w:rsidRPr="00AF523C">
        <w:rPr>
          <w:rFonts w:ascii="Verdana" w:hAnsi="Verdana" w:cs="Arial"/>
          <w:color w:val="000000" w:themeColor="text1"/>
        </w:rPr>
        <w:t xml:space="preserve"> respecto de los Documentos Tipo de Infraestructura de Transporte. En dicho pronunciamiento se concluyó que, aun cuando el objeto contractual incluya bienes o servicios adicionales a la obra pública, ello no excluye la aplicación de los Documentos Tipo ni habilita a la entidad para modificar sus reglas obligatorias. Por el contrario, la Agencia explicó que, en determinados eventos, es posible incorporar exigencias orientadas a verificar la idoneidad de los proponentes respecto de actividades complementarias al componente principal de obra, siempre que se mantengan las condiciones obligatorias de los Documentos Tipo y que dichas exigencias se encuentren debidamente justificadas en los estudios y documentos previos.</w:t>
      </w:r>
    </w:p>
    <w:p w14:paraId="7F400033" w14:textId="77777777" w:rsidR="00842184" w:rsidRPr="00AF523C" w:rsidRDefault="00842184" w:rsidP="00842184">
      <w:pPr>
        <w:spacing w:after="0" w:line="276" w:lineRule="auto"/>
        <w:ind w:firstLine="708"/>
        <w:jc w:val="both"/>
        <w:rPr>
          <w:rFonts w:ascii="Verdana" w:hAnsi="Verdana" w:cs="Arial"/>
          <w:color w:val="000000" w:themeColor="text1"/>
        </w:rPr>
      </w:pPr>
    </w:p>
    <w:p w14:paraId="5554A34E"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 xml:space="preserve">Este criterio resulta pertinente para el análisis de los Documentos Tipo de Infraestructura Social, pues permite concluir que la inclusión de actividades adicionales como estudios, diseños, puesta en funcionamiento, dotaciones especializadas u otras prestaciones complementarias no implica, por sí misma, una modificación indebida de los Documentos Tipo. Lo que el ordenamiento jurídico proscribe es la alteración de las condiciones habilitantes, de los factores </w:t>
      </w:r>
      <w:r w:rsidRPr="00AF523C">
        <w:rPr>
          <w:rFonts w:ascii="Verdana" w:hAnsi="Verdana" w:cs="Arial"/>
          <w:color w:val="000000" w:themeColor="text1"/>
        </w:rPr>
        <w:lastRenderedPageBreak/>
        <w:t>de evaluación o de los sistemas de ponderación definidos por Colombia Compra Eficiente. En consecuencia, la entidad conserva la posibilidad de estructurar técnicamente el proyecto, definir su alcance, establecer obligaciones específicas y desarrollar las condiciones particulares requeridas para su adecuada ejecución, pero siempre dentro del marco previsto por los Documentos Tipo y respetando su contenido obligatorio.</w:t>
      </w:r>
    </w:p>
    <w:p w14:paraId="2B09CE10" w14:textId="77777777" w:rsidR="00842184" w:rsidRDefault="00842184" w:rsidP="00842184">
      <w:pPr>
        <w:spacing w:after="0" w:line="276" w:lineRule="auto"/>
        <w:ind w:firstLine="708"/>
        <w:jc w:val="both"/>
        <w:rPr>
          <w:rFonts w:ascii="Verdana" w:hAnsi="Verdana" w:cs="Arial"/>
          <w:color w:val="000000" w:themeColor="text1"/>
        </w:rPr>
      </w:pPr>
    </w:p>
    <w:p w14:paraId="323316C7"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Asimismo, debe tenerse en cuenta que el principio de inalterabilidad</w:t>
      </w:r>
      <w:r>
        <w:rPr>
          <w:rStyle w:val="Refdenotaalpie"/>
          <w:rFonts w:ascii="Verdana" w:hAnsi="Verdana" w:cs="Arial"/>
          <w:color w:val="000000" w:themeColor="text1"/>
        </w:rPr>
        <w:footnoteReference w:id="3"/>
      </w:r>
      <w:r w:rsidRPr="00AF523C">
        <w:rPr>
          <w:rFonts w:ascii="Verdana" w:hAnsi="Verdana" w:cs="Arial"/>
          <w:color w:val="000000" w:themeColor="text1"/>
        </w:rPr>
        <w:t xml:space="preserve"> no puede interpretarse de manera aislada ni absoluta, sino en armonía con el deber de planeación que orienta la actividad contractual de las entidades estatales. Corresponde a la entidad identificar adecuadamente la necesidad que pretende satisfacer, determinar el alcance técnico del proyecto, establecer las especificaciones requeridas para su ejecución, realizar el análisis de riesgos y definir las condiciones necesarias para garantizar el cumplimiento del objeto contractual. Sin embargo, el ejercicio de estas facultades no autoriza a desconocer las reglas estandarizadas adoptadas por Colombia Compra Eficiente, sino que debe desarrollarse dentro de los espacios de configuración que los propios Documentos Tipo contemplan.</w:t>
      </w:r>
    </w:p>
    <w:p w14:paraId="6CFD9766" w14:textId="77777777" w:rsidR="00842184" w:rsidRPr="00AF523C" w:rsidRDefault="00842184" w:rsidP="00842184">
      <w:pPr>
        <w:spacing w:after="0" w:line="276" w:lineRule="auto"/>
        <w:ind w:firstLine="708"/>
        <w:jc w:val="both"/>
        <w:rPr>
          <w:rFonts w:ascii="Verdana" w:hAnsi="Verdana" w:cs="Arial"/>
          <w:color w:val="000000" w:themeColor="text1"/>
        </w:rPr>
      </w:pPr>
    </w:p>
    <w:p w14:paraId="57A60C5B" w14:textId="77777777" w:rsidR="00842184" w:rsidRDefault="00842184" w:rsidP="00842184">
      <w:pPr>
        <w:spacing w:after="0" w:line="276" w:lineRule="auto"/>
        <w:ind w:firstLine="708"/>
        <w:jc w:val="both"/>
        <w:rPr>
          <w:rFonts w:ascii="Verdana" w:hAnsi="Verdana" w:cs="Arial"/>
          <w:color w:val="000000" w:themeColor="text1"/>
        </w:rPr>
      </w:pPr>
      <w:r w:rsidRPr="00AF523C">
        <w:rPr>
          <w:rFonts w:ascii="Verdana" w:hAnsi="Verdana" w:cs="Arial"/>
          <w:color w:val="000000" w:themeColor="text1"/>
        </w:rPr>
        <w:t xml:space="preserve">En consecuencia, cuando un proyecto de infraestructura social se encuentre comprendido dentro del ámbito de aplicación de los Documentos Tipo adoptados mediante la Resolución 539 de 2025, la entidad estatal debe adelantar el proceso de selección utilizando dichos documentos, aun cuando el contrato se estructure bajo la modalidad “llave en mano” y contemple actividades adicionales a la ejecución material de la obra. Por tanto, no resulta procedente apartarse de su aplicación ni modificar sus contenidos obligatorios con fundamento en las particularidades técnicas del proyecto. Estas deberán ser </w:t>
      </w:r>
      <w:r w:rsidRPr="00AF523C">
        <w:rPr>
          <w:rFonts w:ascii="Verdana" w:hAnsi="Verdana" w:cs="Arial"/>
          <w:color w:val="000000" w:themeColor="text1"/>
        </w:rPr>
        <w:lastRenderedPageBreak/>
        <w:t>incorporadas a través de las especificaciones técnicas, obligaciones contractuales y demás aspectos que los Documentos Tipo permiten desarrollar, preservando en todo caso la integridad de las condiciones obligatorias establecidas por Colombia Compra Eficiente y el principio de inalterabilidad que rige este régimen especial de estandarización contractual.</w:t>
      </w:r>
    </w:p>
    <w:p w14:paraId="1834D2E8" w14:textId="77777777" w:rsidR="00842184" w:rsidRPr="00AF523C" w:rsidRDefault="00842184" w:rsidP="00842184">
      <w:pPr>
        <w:spacing w:after="0" w:line="276" w:lineRule="auto"/>
        <w:ind w:firstLine="708"/>
        <w:jc w:val="both"/>
        <w:rPr>
          <w:rFonts w:ascii="Verdana" w:hAnsi="Verdana" w:cs="Arial"/>
          <w:color w:val="000000" w:themeColor="text1"/>
        </w:rPr>
      </w:pPr>
    </w:p>
    <w:p w14:paraId="3D8BCB93" w14:textId="77777777" w:rsidR="00842184" w:rsidRPr="00AF523C" w:rsidRDefault="00842184" w:rsidP="00842184">
      <w:pPr>
        <w:spacing w:after="0" w:line="276" w:lineRule="auto"/>
        <w:ind w:firstLine="708"/>
        <w:jc w:val="both"/>
        <w:rPr>
          <w:rFonts w:ascii="Verdana" w:hAnsi="Verdana" w:cs="Arial"/>
          <w:color w:val="000000" w:themeColor="text1"/>
        </w:rPr>
      </w:pPr>
      <w:r>
        <w:rPr>
          <w:rFonts w:ascii="Verdana" w:hAnsi="Verdana" w:cs="Arial"/>
          <w:color w:val="000000" w:themeColor="text1"/>
        </w:rPr>
        <w:t>Asi las cosas,</w:t>
      </w:r>
      <w:r w:rsidRPr="00AF523C">
        <w:rPr>
          <w:rFonts w:ascii="Verdana" w:hAnsi="Verdana" w:cs="Arial"/>
          <w:color w:val="000000" w:themeColor="text1"/>
        </w:rPr>
        <w:t xml:space="preserve"> debe advertirse que la determinación de las condiciones específicas de cada proceso de contratación corresponde a la entidad estatal en ejercicio de su función de planeación. Por esta razón, la valoración de las circunstancias particulares del proyecto, la definición de las exigencias técnicas necesarias y la forma concreta de estructurar el proceso constituyen aspectos que deben ser analizados por la respectiva entidad con el apoyo de sus asesores y conforme a las características propias de cada caso, sin que corresponda a Colombia Compra Eficiente validar previamente las decisiones que se adopten en el marco de un procedimiento contractual específico.</w:t>
      </w:r>
    </w:p>
    <w:p w14:paraId="370D9035" w14:textId="77777777" w:rsidR="00842184" w:rsidRDefault="00842184" w:rsidP="00842184">
      <w:pPr>
        <w:spacing w:after="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 xml:space="preserve"> </w:t>
      </w:r>
    </w:p>
    <w:p w14:paraId="1E6217E0" w14:textId="77777777" w:rsidR="00842184" w:rsidRPr="00920927" w:rsidRDefault="00842184" w:rsidP="00842184">
      <w:pPr>
        <w:spacing w:line="276" w:lineRule="auto"/>
        <w:ind w:firstLine="360"/>
        <w:jc w:val="both"/>
        <w:rPr>
          <w:rFonts w:ascii="Verdana" w:eastAsia="Times New Roman" w:hAnsi="Verdana" w:cs="Arial"/>
          <w:lang w:eastAsia="es-MX"/>
        </w:rPr>
      </w:pPr>
      <w:r>
        <w:rPr>
          <w:rFonts w:ascii="Verdana" w:eastAsia="Calibri" w:hAnsi="Verdana" w:cs="Arial"/>
        </w:rPr>
        <w:t xml:space="preserve">    F</w:t>
      </w:r>
      <w:r w:rsidRPr="006B17A7">
        <w:rPr>
          <w:rFonts w:ascii="Verdana" w:eastAsia="Calibri" w:hAnsi="Verdana" w:cs="Arial"/>
        </w:rPr>
        <w:t xml:space="preserve">inalmente debe advertirse que el análisis requerido para resolver problemas específicos </w:t>
      </w:r>
      <w:r>
        <w:rPr>
          <w:rFonts w:ascii="Verdana" w:eastAsia="Calibri" w:hAnsi="Verdana" w:cs="Arial"/>
        </w:rPr>
        <w:t xml:space="preserve">frente a los requisitos habilitantes en procesos de contratación con sociedad extranjeras </w:t>
      </w:r>
      <w:r w:rsidRPr="006B17A7">
        <w:rPr>
          <w:rFonts w:ascii="Verdana" w:eastAsia="Calibri" w:hAnsi="Verdana" w:cs="Arial"/>
        </w:rPr>
        <w:t xml:space="preserve">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43A9EF4" w14:textId="77777777" w:rsidR="00842184" w:rsidRDefault="00842184" w:rsidP="00842184">
      <w:pPr>
        <w:spacing w:before="120" w:after="0" w:line="276" w:lineRule="auto"/>
        <w:ind w:firstLine="360"/>
        <w:jc w:val="both"/>
        <w:rPr>
          <w:rFonts w:ascii="Verdana" w:eastAsia="Calibri" w:hAnsi="Verdana" w:cs="Arial"/>
        </w:rPr>
      </w:pPr>
      <w:r>
        <w:rPr>
          <w:rFonts w:ascii="Verdana" w:eastAsia="Calibri" w:hAnsi="Verdana" w:cs="Arial"/>
        </w:rPr>
        <w:t xml:space="preserve">    </w:t>
      </w: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7F0C16B" w14:textId="77777777" w:rsidR="00842184" w:rsidRPr="006B17A7" w:rsidRDefault="00842184" w:rsidP="00842184">
      <w:pPr>
        <w:spacing w:after="0" w:line="276" w:lineRule="auto"/>
        <w:ind w:firstLine="708"/>
        <w:jc w:val="both"/>
        <w:rPr>
          <w:rFonts w:ascii="Verdana" w:eastAsia="Calibri" w:hAnsi="Verdana" w:cs="Arial"/>
        </w:rPr>
      </w:pPr>
    </w:p>
    <w:p w14:paraId="7A390A59" w14:textId="77777777" w:rsidR="00842184" w:rsidRPr="006B17A7" w:rsidRDefault="00842184" w:rsidP="00842184">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794EE86C" w14:textId="77777777" w:rsidR="00842184" w:rsidRPr="006B17A7" w:rsidRDefault="00842184" w:rsidP="00842184">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2184" w:rsidRPr="006B17A7" w14:paraId="21D913CA" w14:textId="77777777" w:rsidTr="0076623F">
        <w:trPr>
          <w:trHeight w:val="870"/>
        </w:trPr>
        <w:tc>
          <w:tcPr>
            <w:tcW w:w="8647" w:type="dxa"/>
          </w:tcPr>
          <w:p w14:paraId="63376D3F" w14:textId="77777777" w:rsidR="00842184" w:rsidRDefault="00842184" w:rsidP="008421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2, 25 y 32.</w:t>
            </w:r>
          </w:p>
          <w:p w14:paraId="6066E705" w14:textId="77777777" w:rsidR="00842184" w:rsidRDefault="00842184" w:rsidP="008421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1682 de 2013, </w:t>
            </w:r>
            <w:r w:rsidRPr="00E931C6">
              <w:rPr>
                <w:rFonts w:ascii="Verdana" w:eastAsia="Arial" w:hAnsi="Verdana" w:cs="Arial"/>
              </w:rPr>
              <w:t>artículo 12</w:t>
            </w:r>
            <w:r>
              <w:rPr>
                <w:rFonts w:ascii="Verdana" w:eastAsia="Arial" w:hAnsi="Verdana" w:cs="Arial"/>
              </w:rPr>
              <w:t>.</w:t>
            </w:r>
          </w:p>
          <w:p w14:paraId="66B9A28D" w14:textId="77777777" w:rsidR="00842184" w:rsidRDefault="00842184" w:rsidP="008421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2022 de 2020, artículo 1.</w:t>
            </w:r>
            <w:r w:rsidRPr="00B87E7A">
              <w:rPr>
                <w:rFonts w:ascii="Verdana" w:hAnsi="Verdana" w:cs="Arial"/>
              </w:rPr>
              <w:t xml:space="preserve"> </w:t>
            </w:r>
          </w:p>
          <w:p w14:paraId="7A9DDF19" w14:textId="77777777" w:rsidR="00842184" w:rsidRDefault="00842184" w:rsidP="0084218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w:t>
            </w:r>
            <w:r w:rsidRPr="00E931C6">
              <w:rPr>
                <w:rFonts w:ascii="Verdana" w:eastAsia="Arial" w:hAnsi="Verdana" w:cs="Arial"/>
              </w:rPr>
              <w:t>artículo 2.2.1.1.2.1.1</w:t>
            </w:r>
            <w:r>
              <w:rPr>
                <w:rFonts w:ascii="Verdana" w:eastAsia="Arial" w:hAnsi="Verdana" w:cs="Arial"/>
              </w:rPr>
              <w:t>.</w:t>
            </w:r>
          </w:p>
          <w:p w14:paraId="1584C728" w14:textId="77777777" w:rsidR="00842184" w:rsidRPr="006B17A7" w:rsidRDefault="00842184" w:rsidP="00842184">
            <w:pPr>
              <w:pStyle w:val="Prrafodelista"/>
              <w:widowControl w:val="0"/>
              <w:numPr>
                <w:ilvl w:val="0"/>
                <w:numId w:val="17"/>
              </w:numPr>
              <w:autoSpaceDE w:val="0"/>
              <w:autoSpaceDN w:val="0"/>
              <w:spacing w:after="120" w:line="276" w:lineRule="auto"/>
              <w:contextualSpacing w:val="0"/>
              <w:jc w:val="both"/>
              <w:rPr>
                <w:rFonts w:ascii="Verdana" w:eastAsia="Aptos" w:hAnsi="Verdana" w:cs="Arial"/>
              </w:rPr>
            </w:pPr>
            <w:r>
              <w:rPr>
                <w:rFonts w:ascii="Verdana" w:hAnsi="Verdana" w:cs="Arial"/>
              </w:rPr>
              <w:t>Código Civil, artículos 28, 29, 2053, 2060 y 2061.</w:t>
            </w:r>
          </w:p>
        </w:tc>
      </w:tr>
    </w:tbl>
    <w:p w14:paraId="1FD8E016" w14:textId="77777777" w:rsidR="00842184" w:rsidRPr="006B17A7" w:rsidRDefault="00842184" w:rsidP="00842184">
      <w:pPr>
        <w:widowControl w:val="0"/>
        <w:autoSpaceDE w:val="0"/>
        <w:autoSpaceDN w:val="0"/>
        <w:spacing w:after="0" w:line="276" w:lineRule="auto"/>
        <w:jc w:val="both"/>
        <w:rPr>
          <w:rFonts w:ascii="Verdana" w:eastAsia="Aptos" w:hAnsi="Verdana" w:cs="Arial"/>
        </w:rPr>
      </w:pPr>
    </w:p>
    <w:p w14:paraId="5E196C34" w14:textId="77777777" w:rsidR="00842184" w:rsidRPr="006B17A7" w:rsidRDefault="00842184" w:rsidP="00842184">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1058FA49" w14:textId="77777777" w:rsidR="00842184" w:rsidRPr="006B17A7" w:rsidRDefault="00842184" w:rsidP="00842184">
      <w:pPr>
        <w:widowControl w:val="0"/>
        <w:autoSpaceDE w:val="0"/>
        <w:autoSpaceDN w:val="0"/>
        <w:spacing w:after="0" w:line="276" w:lineRule="auto"/>
        <w:jc w:val="both"/>
        <w:rPr>
          <w:rFonts w:ascii="Verdana" w:eastAsia="Aptos" w:hAnsi="Verdana" w:cs="Arial"/>
        </w:rPr>
      </w:pPr>
    </w:p>
    <w:p w14:paraId="40866B81" w14:textId="77777777" w:rsidR="00842184" w:rsidRPr="00ED0098" w:rsidRDefault="00842184" w:rsidP="00842184">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sidRPr="006C1C39">
        <w:rPr>
          <w:rFonts w:ascii="Verdana" w:eastAsia="Calibri" w:hAnsi="Verdana" w:cs="Arial"/>
          <w:shd w:val="clear" w:color="auto" w:fill="FFFFFF"/>
          <w:lang w:val="es-ES"/>
        </w:rPr>
        <w:t xml:space="preserve">sobre el fundamento normativo de los documentos tipo en los </w:t>
      </w:r>
      <w:r>
        <w:rPr>
          <w:rFonts w:ascii="Verdana" w:eastAsia="Calibri" w:hAnsi="Verdana" w:cs="Arial"/>
          <w:shd w:val="clear" w:color="auto" w:fill="FFFFFF"/>
          <w:lang w:val="es-ES"/>
        </w:rPr>
        <w:t>C</w:t>
      </w:r>
      <w:r w:rsidRPr="006C1C39">
        <w:rPr>
          <w:rFonts w:ascii="Verdana" w:eastAsia="Calibri" w:hAnsi="Verdana" w:cs="Arial"/>
          <w:shd w:val="clear" w:color="auto" w:fill="FFFFFF"/>
          <w:lang w:val="es-ES"/>
        </w:rPr>
        <w:t xml:space="preserve">onceptos </w:t>
      </w:r>
      <w:r w:rsidRPr="006C1C39">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w:t>
      </w:r>
      <w:r>
        <w:rPr>
          <w:rFonts w:ascii="Verdana" w:eastAsia="Times New Roman" w:hAnsi="Verdana" w:cs="Arial"/>
          <w:shd w:val="clear" w:color="auto" w:fill="FFFFFF"/>
          <w:lang w:val="es-ES"/>
        </w:rPr>
        <w:t>,</w:t>
      </w:r>
      <w:r w:rsidRPr="006C1C39">
        <w:rPr>
          <w:rFonts w:ascii="Verdana" w:eastAsia="Times New Roman" w:hAnsi="Verdana" w:cs="Arial"/>
          <w:shd w:val="clear" w:color="auto" w:fill="FFFFFF"/>
          <w:lang w:val="es-ES"/>
        </w:rPr>
        <w:t xml:space="preserve"> C-133 del 10 de marzo de 2025</w:t>
      </w:r>
      <w:r>
        <w:rPr>
          <w:rFonts w:ascii="Verdana" w:eastAsia="Times New Roman" w:hAnsi="Verdana" w:cs="Arial"/>
          <w:shd w:val="clear" w:color="auto" w:fill="FFFFFF"/>
          <w:lang w:val="es-ES"/>
        </w:rPr>
        <w:t xml:space="preserve"> y C-619 del 28 de abril de 2026</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FD71B69" w14:textId="77777777" w:rsidR="00842184" w:rsidRPr="00115E3D" w:rsidRDefault="00842184" w:rsidP="00842184">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7A438C65" w14:textId="77777777" w:rsidR="00842184" w:rsidRPr="009A385A" w:rsidRDefault="00842184" w:rsidP="00842184">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 xml:space="preserve">Curso de Contratación Pública Sostenible y Socialmente </w:t>
      </w:r>
      <w:r w:rsidRPr="009A385A">
        <w:rPr>
          <w:rFonts w:ascii="Verdana" w:hAnsi="Verdana"/>
          <w:b/>
          <w:bCs/>
        </w:rPr>
        <w:lastRenderedPageBreak/>
        <w:t>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C6DE546" w14:textId="77777777" w:rsidR="00842184" w:rsidRDefault="00842184" w:rsidP="00842184">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6F01552A" w14:textId="77777777" w:rsidR="00842184" w:rsidRPr="009A385A" w:rsidRDefault="00842184" w:rsidP="00842184">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12D28F1" w14:textId="77777777" w:rsidR="00842184" w:rsidRPr="00115E3D" w:rsidRDefault="00842184" w:rsidP="00842184">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5C88629E" w14:textId="77777777" w:rsidR="00842184" w:rsidRPr="00115E3D" w:rsidRDefault="00842184" w:rsidP="00842184">
      <w:pPr>
        <w:spacing w:after="0" w:line="240" w:lineRule="auto"/>
        <w:jc w:val="both"/>
        <w:rPr>
          <w:rFonts w:ascii="Verdana" w:hAnsi="Verdana"/>
          <w:color w:val="000000" w:themeColor="text1"/>
        </w:rPr>
      </w:pPr>
    </w:p>
    <w:p w14:paraId="773C22A8" w14:textId="77777777" w:rsidR="00842184" w:rsidRPr="00115E3D" w:rsidRDefault="00842184" w:rsidP="00842184">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90A9060" w14:textId="77777777" w:rsidR="00842184" w:rsidRPr="00115E3D" w:rsidRDefault="00842184" w:rsidP="00842184">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05518AC5" w14:textId="77777777" w:rsidR="00842184" w:rsidRPr="00115E3D" w:rsidRDefault="00842184" w:rsidP="00842184">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24455D84" w14:textId="77777777" w:rsidR="00842184" w:rsidRPr="00115E3D" w:rsidRDefault="00842184" w:rsidP="00842184">
      <w:pPr>
        <w:widowControl w:val="0"/>
        <w:autoSpaceDE w:val="0"/>
        <w:autoSpaceDN w:val="0"/>
        <w:spacing w:after="0" w:line="276" w:lineRule="auto"/>
        <w:jc w:val="both"/>
        <w:rPr>
          <w:rFonts w:ascii="Verdana" w:hAnsi="Verdana" w:cs="Arial"/>
          <w:color w:val="000000" w:themeColor="text1"/>
        </w:rPr>
      </w:pPr>
    </w:p>
    <w:p w14:paraId="14216267" w14:textId="77777777" w:rsidR="00842184" w:rsidRPr="00115E3D" w:rsidRDefault="00842184" w:rsidP="00842184">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w:t>
      </w:r>
      <w:r w:rsidRPr="00115E3D">
        <w:rPr>
          <w:rFonts w:ascii="Verdana" w:hAnsi="Verdana" w:cs="Arial"/>
          <w:color w:val="000000" w:themeColor="text1"/>
        </w:rPr>
        <w:lastRenderedPageBreak/>
        <w:t xml:space="preserve">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5FC8CDE7" w14:textId="77777777" w:rsidR="00842184" w:rsidRDefault="00842184" w:rsidP="00842184">
      <w:pPr>
        <w:spacing w:after="0" w:line="240" w:lineRule="auto"/>
        <w:rPr>
          <w:rFonts w:ascii="Verdana" w:eastAsia="Times New Roman" w:hAnsi="Verdana" w:cs="Arial"/>
          <w:color w:val="000000" w:themeColor="text1"/>
          <w:lang w:eastAsia="es-CO"/>
        </w:rPr>
      </w:pPr>
    </w:p>
    <w:p w14:paraId="358FF182" w14:textId="77777777" w:rsidR="00842184" w:rsidRDefault="00842184" w:rsidP="00842184">
      <w:pPr>
        <w:spacing w:after="0" w:line="240" w:lineRule="auto"/>
        <w:rPr>
          <w:rFonts w:ascii="Verdana" w:eastAsia="Times New Roman" w:hAnsi="Verdana" w:cs="Arial"/>
          <w:color w:val="000000" w:themeColor="text1"/>
          <w:lang w:eastAsia="es-CO"/>
        </w:rPr>
      </w:pPr>
    </w:p>
    <w:p w14:paraId="6E30D2DA" w14:textId="77777777" w:rsidR="00842184" w:rsidRPr="00115E3D" w:rsidRDefault="00842184" w:rsidP="00842184">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21473ADE" w14:textId="77777777" w:rsidR="007F69CF" w:rsidRDefault="007F69CF" w:rsidP="00842184">
      <w:pPr>
        <w:spacing w:line="276" w:lineRule="auto"/>
        <w:jc w:val="center"/>
        <w:rPr>
          <w:noProof/>
        </w:rPr>
      </w:pPr>
    </w:p>
    <w:p w14:paraId="4D9A9988" w14:textId="49DC97DB" w:rsidR="007F69CF" w:rsidRDefault="007F69CF" w:rsidP="00842184">
      <w:pPr>
        <w:spacing w:line="276" w:lineRule="auto"/>
        <w:jc w:val="center"/>
        <w:rPr>
          <w:noProof/>
        </w:rPr>
      </w:pPr>
      <w:r>
        <w:rPr>
          <w:noProof/>
        </w:rPr>
        <w:drawing>
          <wp:inline distT="0" distB="0" distL="0" distR="0" wp14:anchorId="7CAF1A91" wp14:editId="68330EDA">
            <wp:extent cx="3888105" cy="1669096"/>
            <wp:effectExtent l="0" t="0" r="0" b="7620"/>
            <wp:docPr id="1757022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93573" cy="1671443"/>
                    </a:xfrm>
                    <a:prstGeom prst="rect">
                      <a:avLst/>
                    </a:prstGeom>
                    <a:noFill/>
                    <a:ln>
                      <a:noFill/>
                    </a:ln>
                  </pic:spPr>
                </pic:pic>
              </a:graphicData>
            </a:graphic>
          </wp:inline>
        </w:drawing>
      </w:r>
    </w:p>
    <w:p w14:paraId="6215F219" w14:textId="44AA2001" w:rsidR="00842184" w:rsidRDefault="00842184" w:rsidP="00842184">
      <w:pPr>
        <w:spacing w:line="276" w:lineRule="auto"/>
        <w:jc w:val="center"/>
        <w:rPr>
          <w:noProof/>
          <w:color w:val="000000" w:themeColor="text1"/>
          <w:lang w:val="es-ES_tradnl" w:eastAsia="es-CO"/>
        </w:rPr>
      </w:pPr>
      <w:r>
        <w:rPr>
          <w:noProof/>
          <w:color w:val="000000" w:themeColor="text1"/>
          <w:lang w:val="es-ES_tradnl" w:eastAsia="es-CO"/>
        </w:rPr>
        <w:t xml:space="preserve"> </w:t>
      </w:r>
    </w:p>
    <w:p w14:paraId="7EF5A17D" w14:textId="77777777" w:rsidR="00842184" w:rsidRDefault="00842184" w:rsidP="00842184">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42184" w:rsidRPr="00115E3D" w14:paraId="6ED537B3" w14:textId="77777777" w:rsidTr="0076623F">
        <w:trPr>
          <w:trHeight w:val="315"/>
        </w:trPr>
        <w:tc>
          <w:tcPr>
            <w:tcW w:w="893" w:type="dxa"/>
            <w:vAlign w:val="center"/>
            <w:hideMark/>
          </w:tcPr>
          <w:p w14:paraId="304134A4" w14:textId="77777777" w:rsidR="00842184" w:rsidRPr="00115E3D" w:rsidRDefault="00842184"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8D57B6" w14:textId="77777777" w:rsidR="00842184" w:rsidRPr="00115E3D" w:rsidRDefault="00842184" w:rsidP="0076623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596ABCAE" w14:textId="77777777" w:rsidR="00842184" w:rsidRPr="00115E3D" w:rsidRDefault="00842184" w:rsidP="0076623F">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842184" w:rsidRPr="00115E3D" w14:paraId="4F2CF8AB" w14:textId="77777777" w:rsidTr="0076623F">
        <w:trPr>
          <w:trHeight w:val="330"/>
        </w:trPr>
        <w:tc>
          <w:tcPr>
            <w:tcW w:w="893" w:type="dxa"/>
            <w:vAlign w:val="center"/>
            <w:hideMark/>
          </w:tcPr>
          <w:p w14:paraId="04C6BBBA" w14:textId="77777777" w:rsidR="00842184" w:rsidRPr="00115E3D" w:rsidRDefault="00842184"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1C7F0C" w14:textId="77777777" w:rsidR="00842184" w:rsidRDefault="00842184" w:rsidP="0076623F">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7B42DD33" w14:textId="77777777" w:rsidR="00842184" w:rsidRPr="00115E3D" w:rsidRDefault="00842184" w:rsidP="0076623F">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842184" w:rsidRPr="00115E3D" w14:paraId="3F8FC571" w14:textId="77777777" w:rsidTr="0076623F">
        <w:trPr>
          <w:trHeight w:val="300"/>
        </w:trPr>
        <w:tc>
          <w:tcPr>
            <w:tcW w:w="893" w:type="dxa"/>
            <w:vAlign w:val="center"/>
          </w:tcPr>
          <w:p w14:paraId="0B4C9DCD" w14:textId="77777777" w:rsidR="00842184" w:rsidRPr="00115E3D" w:rsidRDefault="00842184" w:rsidP="0076623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4E879C" w14:textId="77777777" w:rsidR="00842184" w:rsidRPr="00115E3D" w:rsidRDefault="00842184" w:rsidP="0076623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00B51FC0" w14:textId="77777777" w:rsidR="00842184" w:rsidRPr="00115E3D" w:rsidRDefault="00842184" w:rsidP="0076623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09965ED7" w14:textId="77777777" w:rsidR="00842184" w:rsidRDefault="00842184" w:rsidP="00842184"/>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DC15D28"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C4CCB" w14:textId="77777777" w:rsidR="00DA324E" w:rsidRDefault="00DA324E" w:rsidP="004A1847">
      <w:pPr>
        <w:spacing w:after="0" w:line="240" w:lineRule="auto"/>
      </w:pPr>
      <w:r>
        <w:separator/>
      </w:r>
    </w:p>
  </w:endnote>
  <w:endnote w:type="continuationSeparator" w:id="0">
    <w:p w14:paraId="27A2B85A" w14:textId="77777777" w:rsidR="00DA324E" w:rsidRDefault="00DA32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4C50C" w14:textId="77777777" w:rsidR="00DA324E" w:rsidRDefault="00DA324E" w:rsidP="004A1847">
      <w:pPr>
        <w:spacing w:after="0" w:line="240" w:lineRule="auto"/>
      </w:pPr>
      <w:r>
        <w:separator/>
      </w:r>
    </w:p>
  </w:footnote>
  <w:footnote w:type="continuationSeparator" w:id="0">
    <w:p w14:paraId="1848D6B5" w14:textId="77777777" w:rsidR="00DA324E" w:rsidRDefault="00DA324E" w:rsidP="004A1847">
      <w:pPr>
        <w:spacing w:after="0" w:line="240" w:lineRule="auto"/>
      </w:pPr>
      <w:r>
        <w:continuationSeparator/>
      </w:r>
    </w:p>
  </w:footnote>
  <w:footnote w:id="1">
    <w:p w14:paraId="050513B6" w14:textId="77777777" w:rsidR="00842184" w:rsidRPr="00C05785" w:rsidRDefault="00842184" w:rsidP="00842184">
      <w:pPr>
        <w:pStyle w:val="Textonotapie"/>
        <w:ind w:firstLine="708"/>
        <w:jc w:val="both"/>
        <w:rPr>
          <w:rFonts w:ascii="Verdana" w:hAnsi="Verdana"/>
          <w:color w:val="000000"/>
          <w:sz w:val="16"/>
          <w:szCs w:val="16"/>
          <w:lang w:val="es-CO"/>
        </w:rPr>
      </w:pPr>
      <w:r w:rsidRPr="00C05785">
        <w:rPr>
          <w:rStyle w:val="Refdenotaalpie"/>
          <w:rFonts w:ascii="Verdana" w:hAnsi="Verdana"/>
          <w:color w:val="000000"/>
          <w:sz w:val="16"/>
          <w:szCs w:val="16"/>
          <w:lang w:val="es-CO"/>
        </w:rPr>
        <w:footnoteRef/>
      </w:r>
      <w:r w:rsidRPr="00C05785">
        <w:rPr>
          <w:rFonts w:ascii="Verdana" w:hAnsi="Verdana"/>
          <w:color w:val="000000"/>
          <w:sz w:val="16"/>
          <w:szCs w:val="16"/>
          <w:lang w:val="es-CO"/>
        </w:rPr>
        <w:t xml:space="preserve"> Estos Documentos Tipo pueden ser consultados en la página web de Colombia Compra Eficiente, a través del siguiente enlace: </w:t>
      </w:r>
      <w:hyperlink r:id="rId1" w:history="1">
        <w:r w:rsidRPr="00C05785">
          <w:rPr>
            <w:rStyle w:val="Hipervnculo"/>
            <w:rFonts w:ascii="Verdana" w:hAnsi="Verdana"/>
            <w:color w:val="000000"/>
            <w:sz w:val="16"/>
            <w:szCs w:val="16"/>
            <w:lang w:val="es-CO"/>
          </w:rPr>
          <w:t>https://www.colombiacompra.gov.co/documentos-tipo/documentos-tipo</w:t>
        </w:r>
      </w:hyperlink>
      <w:r w:rsidRPr="00C05785">
        <w:rPr>
          <w:rFonts w:ascii="Verdana" w:hAnsi="Verdana"/>
          <w:color w:val="000000"/>
          <w:sz w:val="16"/>
          <w:szCs w:val="16"/>
          <w:lang w:val="es-CO"/>
        </w:rPr>
        <w:t xml:space="preserve"> </w:t>
      </w:r>
    </w:p>
  </w:footnote>
  <w:footnote w:id="2">
    <w:p w14:paraId="2ED1E337" w14:textId="77777777" w:rsidR="00842184" w:rsidRPr="00C05785" w:rsidRDefault="00842184" w:rsidP="00842184">
      <w:pPr>
        <w:spacing w:after="0" w:line="240" w:lineRule="auto"/>
        <w:ind w:firstLine="708"/>
        <w:jc w:val="both"/>
        <w:rPr>
          <w:rFonts w:ascii="Verdana" w:eastAsia="Calibri" w:hAnsi="Verdana" w:cs="Arial"/>
          <w:bCs/>
          <w:color w:val="000000"/>
          <w:sz w:val="16"/>
          <w:szCs w:val="16"/>
        </w:rPr>
      </w:pPr>
      <w:r w:rsidRPr="00C05785">
        <w:rPr>
          <w:rStyle w:val="Refdenotaalpie"/>
          <w:rFonts w:ascii="Verdana" w:hAnsi="Verdana"/>
          <w:color w:val="000000"/>
          <w:sz w:val="16"/>
          <w:szCs w:val="16"/>
        </w:rPr>
        <w:footnoteRef/>
      </w:r>
      <w:r w:rsidRPr="00C05785">
        <w:rPr>
          <w:rFonts w:ascii="Verdana" w:hAnsi="Verdana"/>
          <w:color w:val="000000"/>
          <w:sz w:val="16"/>
          <w:szCs w:val="16"/>
        </w:rPr>
        <w:t xml:space="preserve"> </w:t>
      </w:r>
      <w:r w:rsidRPr="00C05785">
        <w:rPr>
          <w:rFonts w:ascii="Verdana" w:eastAsia="Calibri" w:hAnsi="Verdana" w:cs="Arial"/>
          <w:bCs/>
          <w:color w:val="000000"/>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4506945D" w14:textId="77777777" w:rsidR="00842184" w:rsidRPr="00C05785" w:rsidRDefault="00842184" w:rsidP="00842184">
      <w:pPr>
        <w:spacing w:after="0" w:line="240" w:lineRule="auto"/>
        <w:ind w:firstLine="708"/>
        <w:jc w:val="both"/>
        <w:rPr>
          <w:rFonts w:ascii="Verdana" w:eastAsia="Calibri" w:hAnsi="Verdana" w:cs="Arial"/>
          <w:bCs/>
          <w:color w:val="000000"/>
          <w:sz w:val="16"/>
          <w:szCs w:val="16"/>
        </w:rPr>
      </w:pPr>
      <w:r w:rsidRPr="00C05785">
        <w:rPr>
          <w:rFonts w:ascii="Verdana" w:eastAsia="Calibri" w:hAnsi="Verdana" w:cs="Arial"/>
          <w:bCs/>
          <w:color w:val="000000"/>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28769664" w14:textId="77777777" w:rsidR="00842184" w:rsidRPr="00C05785" w:rsidRDefault="00842184" w:rsidP="00842184">
      <w:pPr>
        <w:spacing w:after="0" w:line="240" w:lineRule="auto"/>
        <w:ind w:firstLine="708"/>
        <w:jc w:val="both"/>
        <w:rPr>
          <w:rFonts w:ascii="Verdana" w:eastAsia="Calibri" w:hAnsi="Verdana" w:cs="Arial"/>
          <w:bCs/>
          <w:color w:val="000000"/>
          <w:sz w:val="16"/>
          <w:szCs w:val="16"/>
        </w:rPr>
      </w:pPr>
      <w:r w:rsidRPr="00C05785">
        <w:rPr>
          <w:rFonts w:ascii="Verdana" w:eastAsia="Calibri" w:hAnsi="Verdana" w:cs="Arial"/>
          <w:bCs/>
          <w:color w:val="000000"/>
          <w:sz w:val="16"/>
          <w:szCs w:val="16"/>
        </w:rPr>
        <w:t xml:space="preserve">Resolución 464 del 10 de septiembre de 2024: “Por la cual se actualizan los documentos tipo para los procesos de obra pública de infraestructura de transporte adelantados bajo la modalidad de mínima cuantía”. </w:t>
      </w:r>
    </w:p>
    <w:p w14:paraId="687455AA" w14:textId="77777777" w:rsidR="00842184" w:rsidRPr="00C05785" w:rsidRDefault="00842184" w:rsidP="00842184">
      <w:pPr>
        <w:spacing w:after="0" w:line="240" w:lineRule="auto"/>
        <w:ind w:firstLine="708"/>
        <w:jc w:val="both"/>
        <w:rPr>
          <w:rFonts w:ascii="Verdana" w:eastAsia="Calibri" w:hAnsi="Verdana" w:cs="Arial"/>
          <w:bCs/>
          <w:color w:val="000000"/>
          <w:sz w:val="16"/>
          <w:szCs w:val="16"/>
        </w:rPr>
      </w:pPr>
      <w:r w:rsidRPr="00C05785">
        <w:rPr>
          <w:rFonts w:ascii="Verdana" w:eastAsia="Calibri" w:hAnsi="Verdana" w:cs="Arial"/>
          <w:bCs/>
          <w:color w:val="000000"/>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20744B5" w14:textId="77777777" w:rsidR="00842184" w:rsidRPr="00C05785" w:rsidRDefault="00842184" w:rsidP="00842184">
      <w:pPr>
        <w:spacing w:after="0" w:line="240" w:lineRule="auto"/>
        <w:ind w:firstLine="708"/>
        <w:jc w:val="both"/>
        <w:rPr>
          <w:rFonts w:ascii="Verdana" w:eastAsia="Calibri" w:hAnsi="Verdana" w:cs="Arial"/>
          <w:bCs/>
          <w:color w:val="000000"/>
          <w:sz w:val="16"/>
          <w:szCs w:val="16"/>
        </w:rPr>
      </w:pPr>
      <w:r w:rsidRPr="00C05785">
        <w:rPr>
          <w:rFonts w:ascii="Verdana" w:eastAsia="Calibri" w:hAnsi="Verdana" w:cs="Arial"/>
          <w:bCs/>
          <w:color w:val="000000"/>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footnote>
  <w:footnote w:id="3">
    <w:p w14:paraId="7BE3A772" w14:textId="77777777" w:rsidR="00842184" w:rsidRPr="00C05785" w:rsidRDefault="00842184" w:rsidP="00842184">
      <w:pPr>
        <w:spacing w:after="0" w:line="240" w:lineRule="auto"/>
        <w:ind w:firstLine="708"/>
        <w:jc w:val="both"/>
        <w:rPr>
          <w:rFonts w:ascii="Verdana" w:hAnsi="Verdana" w:cs="Arial"/>
          <w:color w:val="000000" w:themeColor="text1"/>
          <w:sz w:val="16"/>
          <w:szCs w:val="16"/>
        </w:rPr>
      </w:pPr>
      <w:r>
        <w:t xml:space="preserve">    </w:t>
      </w:r>
      <w:r>
        <w:rPr>
          <w:rStyle w:val="Refdenotaalpie"/>
        </w:rPr>
        <w:footnoteRef/>
      </w:r>
      <w:r>
        <w:t xml:space="preserve"> </w:t>
      </w:r>
      <w:r w:rsidRPr="009D6B77">
        <w:rPr>
          <w:rFonts w:ascii="Verdana" w:hAnsi="Verdana" w:cs="Arial"/>
          <w:sz w:val="16"/>
          <w:szCs w:val="16"/>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w:t>
      </w:r>
      <w:r w:rsidRPr="009D6B77">
        <w:rPr>
          <w:rFonts w:ascii="Verdana" w:hAnsi="Verdana" w:cs="Arial"/>
          <w:i/>
          <w:iCs/>
          <w:sz w:val="16"/>
          <w:szCs w:val="16"/>
        </w:rPr>
        <w:t>sub examine</w:t>
      </w:r>
      <w:r w:rsidRPr="009D6B77">
        <w:rPr>
          <w:rFonts w:ascii="Verdana" w:hAnsi="Verdana" w:cs="Arial"/>
          <w:sz w:val="16"/>
          <w:szCs w:val="16"/>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Pr>
          <w:rFonts w:ascii="Verdana" w:hAnsi="Verdana" w:cs="Arial"/>
          <w:sz w:val="16"/>
          <w:szCs w:val="16"/>
        </w:rPr>
        <w:t xml:space="preserve">, </w:t>
      </w:r>
      <w:r w:rsidRPr="00C05785">
        <w:rPr>
          <w:rFonts w:ascii="Verdana" w:hAnsi="Verdana" w:cs="Arial"/>
          <w:color w:val="000000" w:themeColor="text1"/>
          <w:sz w:val="16"/>
          <w:szCs w:val="16"/>
        </w:rPr>
        <w:t>Cita tomada de la providencia del 20 de febrero de 2020, dictada por el Consejo de Estado. Sección Tercera. Subsección A, dentro del expediente 47001-23-33-000-2018-00035-01 (63.854), cuya ponente fue Marta Nubia Velásquez Rico.</w:t>
      </w:r>
    </w:p>
    <w:p w14:paraId="679BBC7E" w14:textId="77777777" w:rsidR="00842184" w:rsidRPr="009D6B77" w:rsidRDefault="00842184" w:rsidP="00842184">
      <w:pPr>
        <w:pStyle w:val="Textonotapie"/>
        <w:jc w:val="both"/>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C101B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5"/>
  </w:num>
  <w:num w:numId="15">
    <w:abstractNumId w:val="10"/>
  </w:num>
  <w:num w:numId="16">
    <w:abstractNumId w:val="0"/>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3A0C"/>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2611"/>
    <w:rsid w:val="0044528D"/>
    <w:rsid w:val="00466E39"/>
    <w:rsid w:val="004A1847"/>
    <w:rsid w:val="004A305D"/>
    <w:rsid w:val="004D04CD"/>
    <w:rsid w:val="004F21C4"/>
    <w:rsid w:val="004F24EA"/>
    <w:rsid w:val="004F685F"/>
    <w:rsid w:val="005566E8"/>
    <w:rsid w:val="00574867"/>
    <w:rsid w:val="00591460"/>
    <w:rsid w:val="005A65E0"/>
    <w:rsid w:val="005C3777"/>
    <w:rsid w:val="005C5CDC"/>
    <w:rsid w:val="005D476C"/>
    <w:rsid w:val="005D5B46"/>
    <w:rsid w:val="006200BF"/>
    <w:rsid w:val="006219F8"/>
    <w:rsid w:val="006302F7"/>
    <w:rsid w:val="00643070"/>
    <w:rsid w:val="00646B9F"/>
    <w:rsid w:val="00665D70"/>
    <w:rsid w:val="006900D9"/>
    <w:rsid w:val="006B3293"/>
    <w:rsid w:val="00706C16"/>
    <w:rsid w:val="007340C3"/>
    <w:rsid w:val="0075235A"/>
    <w:rsid w:val="00756841"/>
    <w:rsid w:val="007649AB"/>
    <w:rsid w:val="00771B30"/>
    <w:rsid w:val="00771D0C"/>
    <w:rsid w:val="007833AC"/>
    <w:rsid w:val="007B268C"/>
    <w:rsid w:val="007B7171"/>
    <w:rsid w:val="007C0C0F"/>
    <w:rsid w:val="007C3DC2"/>
    <w:rsid w:val="007E5497"/>
    <w:rsid w:val="007F69CF"/>
    <w:rsid w:val="00806F5F"/>
    <w:rsid w:val="00820278"/>
    <w:rsid w:val="008258C9"/>
    <w:rsid w:val="00842184"/>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0674C"/>
    <w:rsid w:val="00B44A47"/>
    <w:rsid w:val="00B72CD3"/>
    <w:rsid w:val="00B72FFF"/>
    <w:rsid w:val="00BC33F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A324E"/>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3DB7"/>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4218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218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ectromecanicossaszomac@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4FE9D81-D505-403A-8F1B-54F92D4FA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34</TotalTime>
  <Pages>15</Pages>
  <Words>5137</Words>
  <Characters>28255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5</cp:revision>
  <cp:lastPrinted>2023-01-10T21:18:00Z</cp:lastPrinted>
  <dcterms:created xsi:type="dcterms:W3CDTF">2026-06-04T16:52:00Z</dcterms:created>
  <dcterms:modified xsi:type="dcterms:W3CDTF">2026-06-09T22:29:00Z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