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C4A9B" w14:textId="77777777" w:rsidR="009737DB" w:rsidRDefault="009737DB" w:rsidP="009737DB">
      <w:pPr>
        <w:jc w:val="right"/>
        <w:rPr>
          <w:rFonts w:ascii="Arial" w:hAnsi="Arial" w:cs="Arial"/>
          <w:b/>
          <w:color w:val="000000" w:themeColor="text1"/>
          <w:sz w:val="16"/>
          <w:szCs w:val="16"/>
          <w:lang w:val="es-ES" w:eastAsia="es-ES"/>
        </w:rPr>
      </w:pPr>
      <w:bookmarkStart w:id="0" w:name="_Hlk28946138"/>
      <w:bookmarkStart w:id="1" w:name="_Hlk29548183"/>
      <w:r>
        <w:rPr>
          <w:rFonts w:ascii="Arial" w:hAnsi="Arial" w:cs="Arial"/>
          <w:b/>
          <w:color w:val="000000" w:themeColor="text1"/>
          <w:sz w:val="16"/>
          <w:szCs w:val="16"/>
          <w:lang w:val="es-ES" w:eastAsia="es-ES"/>
        </w:rPr>
        <w:tab/>
      </w:r>
      <w:r>
        <w:rPr>
          <w:rFonts w:ascii="Arial" w:hAnsi="Arial" w:cs="Arial"/>
          <w:b/>
          <w:color w:val="000000" w:themeColor="text1"/>
          <w:sz w:val="16"/>
          <w:szCs w:val="16"/>
          <w:lang w:val="es-ES" w:eastAsia="es-ES"/>
        </w:rPr>
        <w:tab/>
      </w:r>
      <w:r>
        <w:rPr>
          <w:rFonts w:ascii="Arial" w:hAnsi="Arial" w:cs="Arial"/>
          <w:b/>
          <w:color w:val="000000" w:themeColor="text1"/>
          <w:sz w:val="16"/>
          <w:szCs w:val="16"/>
          <w:lang w:val="es-ES" w:eastAsia="es-ES"/>
        </w:rPr>
        <w:tab/>
      </w:r>
      <w:r>
        <w:rPr>
          <w:rFonts w:ascii="Arial" w:hAnsi="Arial" w:cs="Arial"/>
          <w:b/>
          <w:color w:val="000000" w:themeColor="text1"/>
          <w:sz w:val="16"/>
          <w:szCs w:val="16"/>
          <w:lang w:val="es-ES" w:eastAsia="es-ES"/>
        </w:rPr>
        <w:tab/>
        <w:t xml:space="preserve">  CCE-DES-FM-17</w:t>
      </w:r>
    </w:p>
    <w:p w14:paraId="6D370894" w14:textId="77777777" w:rsidR="009737DB" w:rsidRDefault="009737DB" w:rsidP="009737DB">
      <w:pPr>
        <w:jc w:val="right"/>
        <w:rPr>
          <w:rFonts w:ascii="Arial" w:hAnsi="Arial" w:cs="Arial"/>
          <w:b/>
          <w:color w:val="000000" w:themeColor="text1"/>
          <w:sz w:val="16"/>
          <w:szCs w:val="16"/>
          <w:lang w:val="es-ES" w:eastAsia="es-ES"/>
        </w:rPr>
      </w:pPr>
    </w:p>
    <w:p w14:paraId="735101BC" w14:textId="77777777" w:rsidR="009737DB" w:rsidRDefault="009737DB" w:rsidP="009737DB">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 xml:space="preserve">CONTRATACIÓN ESTATAL – Políticas horizontales </w:t>
      </w:r>
    </w:p>
    <w:p w14:paraId="05BC7FC3" w14:textId="77777777" w:rsidR="009737DB" w:rsidRDefault="009737DB" w:rsidP="009737DB">
      <w:pPr>
        <w:jc w:val="both"/>
        <w:rPr>
          <w:rFonts w:ascii="Arial" w:eastAsia="Calibri" w:hAnsi="Arial" w:cs="Arial"/>
          <w:bCs/>
          <w:color w:val="000000" w:themeColor="text1"/>
          <w:sz w:val="20"/>
          <w:szCs w:val="20"/>
          <w:lang w:val="es-ES"/>
        </w:rPr>
      </w:pPr>
    </w:p>
    <w:p w14:paraId="2B7E1610" w14:textId="77777777" w:rsidR="009737DB" w:rsidRPr="004A1778" w:rsidRDefault="009737DB" w:rsidP="009737DB">
      <w:pPr>
        <w:tabs>
          <w:tab w:val="left" w:pos="426"/>
        </w:tabs>
        <w:spacing w:after="120"/>
        <w:jc w:val="both"/>
        <w:rPr>
          <w:rFonts w:ascii="Arial" w:eastAsia="Calibri" w:hAnsi="Arial" w:cs="Arial"/>
          <w:color w:val="000000" w:themeColor="text1"/>
          <w:sz w:val="20"/>
          <w:szCs w:val="20"/>
          <w:lang w:val="es-ES"/>
        </w:rPr>
      </w:pPr>
      <w:r w:rsidRPr="004A1778">
        <w:rPr>
          <w:rFonts w:ascii="Arial" w:eastAsia="Calibri" w:hAnsi="Arial" w:cs="Arial"/>
          <w:color w:val="000000" w:themeColor="text1"/>
          <w:sz w:val="20"/>
          <w:szCs w:val="20"/>
          <w:lang w:val="es-ES"/>
        </w:rPr>
        <w:t>La 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14:paraId="1F211C76" w14:textId="77777777" w:rsidR="009737DB" w:rsidRPr="004A1778" w:rsidRDefault="009737DB" w:rsidP="009737DB">
      <w:pPr>
        <w:tabs>
          <w:tab w:val="left" w:pos="426"/>
        </w:tabs>
        <w:jc w:val="both"/>
        <w:rPr>
          <w:rFonts w:ascii="Arial" w:eastAsia="Calibri" w:hAnsi="Arial" w:cs="Arial"/>
          <w:color w:val="000000" w:themeColor="text1"/>
          <w:sz w:val="20"/>
          <w:szCs w:val="20"/>
          <w:lang w:val="es-ES"/>
        </w:rPr>
      </w:pPr>
      <w:r w:rsidRPr="004A1778">
        <w:rPr>
          <w:rFonts w:ascii="Arial" w:eastAsia="Calibri" w:hAnsi="Arial" w:cs="Arial"/>
          <w:color w:val="000000" w:themeColor="text1"/>
          <w:sz w:val="20"/>
          <w:szCs w:val="20"/>
          <w:lang w:val="es-ES"/>
        </w:rPr>
        <w:t xml:space="preserve">Estas finalidades reciben diferentes nombres en los diversos contextos en los que se utilizan, algunos recurren al nombre de políticas secundarias, finalidades paralelas, o políticas colaterales u horizontales en materia de contratación.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 </w:t>
      </w:r>
    </w:p>
    <w:p w14:paraId="544D9AA1" w14:textId="77777777" w:rsidR="009737DB" w:rsidRDefault="009737DB" w:rsidP="009737DB">
      <w:pPr>
        <w:jc w:val="both"/>
        <w:rPr>
          <w:rFonts w:ascii="Arial" w:eastAsia="Calibri" w:hAnsi="Arial" w:cs="Arial"/>
          <w:bCs/>
          <w:color w:val="000000" w:themeColor="text1"/>
          <w:sz w:val="20"/>
          <w:szCs w:val="20"/>
          <w:lang w:val="es-ES"/>
        </w:rPr>
      </w:pPr>
    </w:p>
    <w:p w14:paraId="4032026E" w14:textId="77777777" w:rsidR="009737DB" w:rsidRDefault="009737DB" w:rsidP="009737DB">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 xml:space="preserve">CONTRATACIÓN ESTATAL – Políticas horizontales – Incentivos contractuales </w:t>
      </w:r>
    </w:p>
    <w:p w14:paraId="59941E09" w14:textId="77777777" w:rsidR="009737DB" w:rsidRDefault="009737DB" w:rsidP="009737DB">
      <w:pPr>
        <w:jc w:val="both"/>
        <w:rPr>
          <w:rFonts w:ascii="Arial" w:eastAsia="Calibri" w:hAnsi="Arial" w:cs="Arial"/>
          <w:bCs/>
          <w:color w:val="000000" w:themeColor="text1"/>
          <w:sz w:val="20"/>
          <w:szCs w:val="20"/>
          <w:lang w:val="es-ES"/>
        </w:rPr>
      </w:pPr>
    </w:p>
    <w:p w14:paraId="22512493" w14:textId="77777777" w:rsidR="009737DB" w:rsidRPr="004A1778" w:rsidRDefault="009737DB" w:rsidP="009737DB">
      <w:pPr>
        <w:tabs>
          <w:tab w:val="left" w:pos="709"/>
        </w:tabs>
        <w:jc w:val="both"/>
        <w:rPr>
          <w:rFonts w:ascii="Arial" w:eastAsia="Calibri" w:hAnsi="Arial" w:cs="Arial"/>
          <w:color w:val="000000" w:themeColor="text1"/>
          <w:sz w:val="20"/>
          <w:szCs w:val="20"/>
          <w:lang w:val="es-ES"/>
        </w:rPr>
      </w:pPr>
      <w:r w:rsidRPr="004A1778">
        <w:rPr>
          <w:rFonts w:ascii="Arial" w:eastAsia="Calibri" w:hAnsi="Arial" w:cs="Arial"/>
          <w:color w:val="000000" w:themeColor="text1"/>
          <w:sz w:val="20"/>
          <w:szCs w:val="20"/>
          <w:lang w:val="es-ES"/>
        </w:rPr>
        <w:t xml:space="preserve">La «política horizontal», como se dijo,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14:paraId="1DF4E50F" w14:textId="77777777" w:rsidR="009737DB" w:rsidRDefault="009737DB" w:rsidP="009737DB">
      <w:pPr>
        <w:jc w:val="both"/>
        <w:rPr>
          <w:rFonts w:ascii="Arial" w:eastAsia="Calibri" w:hAnsi="Arial" w:cs="Arial"/>
          <w:bCs/>
          <w:color w:val="000000" w:themeColor="text1"/>
          <w:sz w:val="20"/>
          <w:szCs w:val="20"/>
          <w:lang w:val="es-ES"/>
        </w:rPr>
      </w:pPr>
    </w:p>
    <w:p w14:paraId="57043921" w14:textId="77777777" w:rsidR="009737DB" w:rsidRDefault="009737DB" w:rsidP="009737DB">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INCENTIVOS CONTRACTUALES – Empleabilidad de adultos mayores – Política horizontal – Criterio de desempate – Ley 2040 de 2020</w:t>
      </w:r>
    </w:p>
    <w:p w14:paraId="5810882B" w14:textId="77777777" w:rsidR="009737DB" w:rsidRDefault="009737DB" w:rsidP="009737DB">
      <w:pPr>
        <w:jc w:val="both"/>
        <w:rPr>
          <w:rFonts w:ascii="Arial" w:eastAsia="Calibri" w:hAnsi="Arial" w:cs="Arial"/>
          <w:bCs/>
          <w:color w:val="000000" w:themeColor="text1"/>
          <w:sz w:val="20"/>
          <w:szCs w:val="20"/>
          <w:lang w:val="es-ES"/>
        </w:rPr>
      </w:pPr>
    </w:p>
    <w:p w14:paraId="0D44CA04" w14:textId="77777777" w:rsidR="009737DB" w:rsidRPr="004A1778" w:rsidRDefault="009737DB" w:rsidP="009737DB">
      <w:pPr>
        <w:spacing w:after="120"/>
        <w:jc w:val="both"/>
        <w:rPr>
          <w:rFonts w:ascii="Arial" w:hAnsi="Arial" w:cs="Arial"/>
          <w:color w:val="000000" w:themeColor="text1"/>
          <w:sz w:val="20"/>
          <w:szCs w:val="20"/>
          <w:lang w:val="es-ES"/>
        </w:rPr>
      </w:pPr>
      <w:r w:rsidRPr="004A1778">
        <w:rPr>
          <w:rFonts w:ascii="Arial" w:hAnsi="Arial" w:cs="Arial"/>
          <w:color w:val="000000" w:themeColor="text1"/>
          <w:sz w:val="20"/>
          <w:szCs w:val="2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14:paraId="2306C09D" w14:textId="77777777" w:rsidR="009737DB" w:rsidRPr="004A1778" w:rsidRDefault="009737DB" w:rsidP="009737DB">
      <w:pPr>
        <w:jc w:val="both"/>
        <w:rPr>
          <w:rFonts w:ascii="Arial" w:hAnsi="Arial" w:cs="Arial"/>
          <w:color w:val="000000" w:themeColor="text1"/>
          <w:sz w:val="20"/>
          <w:szCs w:val="20"/>
          <w:lang w:val="es-ES"/>
        </w:rPr>
      </w:pPr>
      <w:r w:rsidRPr="004A1778">
        <w:rPr>
          <w:rFonts w:ascii="Arial" w:hAnsi="Arial" w:cs="Arial"/>
          <w:color w:val="000000" w:themeColor="text1"/>
          <w:sz w:val="20"/>
          <w:szCs w:val="20"/>
          <w:lang w:val="es-ES"/>
        </w:rPr>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«Ruta para el emprendimiento del adulto mayor» para que los adultos mayores puedan poner en marcha su propia empresa –artículo 10–. Todos estos son mecanismos dirigidos a cumplir su finalidad: incrementar la empleabilidad de los adultos mayores, lo que a la postre, se espera, se traducirá en mayor empleo para este sector vulnerable de la población. </w:t>
      </w:r>
    </w:p>
    <w:p w14:paraId="5518139C" w14:textId="77777777" w:rsidR="009737DB" w:rsidRDefault="009737DB" w:rsidP="009737DB">
      <w:pPr>
        <w:jc w:val="both"/>
        <w:rPr>
          <w:rFonts w:ascii="Arial" w:eastAsia="Calibri" w:hAnsi="Arial" w:cs="Arial"/>
          <w:bCs/>
          <w:color w:val="000000" w:themeColor="text1"/>
          <w:sz w:val="20"/>
          <w:szCs w:val="20"/>
          <w:lang w:val="es-ES"/>
        </w:rPr>
      </w:pPr>
    </w:p>
    <w:p w14:paraId="17B539F1" w14:textId="77777777" w:rsidR="009737DB" w:rsidRDefault="009737DB" w:rsidP="009737DB">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INCENTIVOS CONTRACTUALES – Empleabilidad de adultos mayores – Criterio de desempate – Necesidad del reglamento</w:t>
      </w:r>
    </w:p>
    <w:p w14:paraId="1E7C861B" w14:textId="77777777" w:rsidR="009737DB" w:rsidRDefault="009737DB" w:rsidP="009737DB">
      <w:pPr>
        <w:jc w:val="both"/>
        <w:rPr>
          <w:rFonts w:ascii="Arial" w:eastAsia="Calibri" w:hAnsi="Arial" w:cs="Arial"/>
          <w:bCs/>
          <w:color w:val="000000" w:themeColor="text1"/>
          <w:sz w:val="20"/>
          <w:szCs w:val="20"/>
          <w:lang w:val="es-ES"/>
        </w:rPr>
      </w:pPr>
    </w:p>
    <w:p w14:paraId="2A316C16" w14:textId="77777777" w:rsidR="009737DB" w:rsidRDefault="009737DB" w:rsidP="009737DB">
      <w:pPr>
        <w:jc w:val="both"/>
        <w:rPr>
          <w:rFonts w:ascii="Arial" w:eastAsia="Calibri" w:hAnsi="Arial" w:cs="Arial"/>
          <w:color w:val="000000" w:themeColor="text1"/>
          <w:sz w:val="20"/>
          <w:szCs w:val="20"/>
          <w:lang w:val="es-ES"/>
        </w:rPr>
      </w:pPr>
      <w:r w:rsidRPr="004A1778">
        <w:rPr>
          <w:rFonts w:ascii="Arial" w:eastAsia="Calibri" w:hAnsi="Arial" w:cs="Arial"/>
          <w:color w:val="000000" w:themeColor="text1"/>
          <w:sz w:val="20"/>
          <w:szCs w:val="20"/>
          <w:lang w:val="es-ES"/>
        </w:rPr>
        <w:t>El criterio de desempate creado es una de las «estrategias para la promoción del empleo de personas mayores», y requiere reglamentación previa para establecer qué tipo de 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14:paraId="0662A1F2" w14:textId="77777777" w:rsidR="009737DB" w:rsidRDefault="009737DB" w:rsidP="009737DB">
      <w:pPr>
        <w:jc w:val="both"/>
        <w:rPr>
          <w:rFonts w:ascii="Arial" w:eastAsia="Calibri" w:hAnsi="Arial" w:cs="Arial"/>
          <w:color w:val="000000" w:themeColor="text1"/>
          <w:sz w:val="20"/>
          <w:szCs w:val="20"/>
          <w:lang w:val="es-ES"/>
        </w:rPr>
      </w:pPr>
    </w:p>
    <w:p w14:paraId="10EB62C9" w14:textId="77777777" w:rsidR="009737DB" w:rsidRDefault="009737DB" w:rsidP="009737DB">
      <w:pPr>
        <w:jc w:val="both"/>
        <w:rPr>
          <w:rFonts w:ascii="Arial" w:eastAsia="Calibri" w:hAnsi="Arial" w:cs="Arial"/>
          <w:b/>
          <w:bCs/>
          <w:color w:val="000000" w:themeColor="text1"/>
          <w:sz w:val="22"/>
          <w:szCs w:val="22"/>
          <w:lang w:val="es-ES"/>
        </w:rPr>
      </w:pPr>
      <w:r w:rsidRPr="00CA1085">
        <w:rPr>
          <w:rFonts w:ascii="Arial" w:eastAsia="Calibri" w:hAnsi="Arial" w:cs="Arial"/>
          <w:b/>
          <w:bCs/>
          <w:color w:val="000000" w:themeColor="text1"/>
          <w:sz w:val="22"/>
          <w:szCs w:val="22"/>
          <w:lang w:val="es-ES"/>
        </w:rPr>
        <w:t xml:space="preserve">REGLAMENTO – Necesidad − Efectivo cumplimiento </w:t>
      </w:r>
      <w:r>
        <w:rPr>
          <w:rFonts w:ascii="Arial" w:eastAsia="Calibri" w:hAnsi="Arial" w:cs="Arial"/>
          <w:b/>
          <w:bCs/>
          <w:color w:val="000000" w:themeColor="text1"/>
          <w:sz w:val="22"/>
          <w:szCs w:val="22"/>
          <w:lang w:val="es-ES"/>
        </w:rPr>
        <w:t>–</w:t>
      </w:r>
      <w:r w:rsidRPr="00CA1085">
        <w:rPr>
          <w:rFonts w:ascii="Arial" w:eastAsia="Calibri" w:hAnsi="Arial" w:cs="Arial"/>
          <w:b/>
          <w:bCs/>
          <w:color w:val="000000" w:themeColor="text1"/>
          <w:sz w:val="22"/>
          <w:szCs w:val="22"/>
          <w:lang w:val="es-ES"/>
        </w:rPr>
        <w:t xml:space="preserve"> Ley</w:t>
      </w:r>
      <w:r>
        <w:rPr>
          <w:rFonts w:ascii="Arial" w:eastAsia="Calibri" w:hAnsi="Arial" w:cs="Arial"/>
          <w:b/>
          <w:bCs/>
          <w:color w:val="000000" w:themeColor="text1"/>
          <w:sz w:val="22"/>
          <w:szCs w:val="22"/>
          <w:lang w:val="es-ES"/>
        </w:rPr>
        <w:t xml:space="preserve"> </w:t>
      </w:r>
      <w:r w:rsidRPr="00CA1085">
        <w:rPr>
          <w:rFonts w:ascii="Arial" w:eastAsia="Calibri" w:hAnsi="Arial" w:cs="Arial"/>
          <w:b/>
          <w:bCs/>
          <w:color w:val="000000" w:themeColor="text1"/>
          <w:sz w:val="22"/>
          <w:szCs w:val="22"/>
          <w:lang w:val="es-ES"/>
        </w:rPr>
        <w:t>2040 de 2020</w:t>
      </w:r>
    </w:p>
    <w:p w14:paraId="31397065" w14:textId="77777777" w:rsidR="009737DB" w:rsidRDefault="009737DB" w:rsidP="009737DB">
      <w:pPr>
        <w:jc w:val="both"/>
        <w:rPr>
          <w:rFonts w:ascii="Arial" w:eastAsia="Calibri" w:hAnsi="Arial" w:cs="Arial"/>
          <w:b/>
          <w:bCs/>
          <w:color w:val="000000" w:themeColor="text1"/>
          <w:sz w:val="22"/>
          <w:szCs w:val="22"/>
          <w:lang w:val="es-ES"/>
        </w:rPr>
      </w:pPr>
    </w:p>
    <w:p w14:paraId="57F8991B" w14:textId="77777777" w:rsidR="009A01C7" w:rsidRDefault="009737DB" w:rsidP="009A01C7">
      <w:pPr>
        <w:jc w:val="both"/>
        <w:rPr>
          <w:rFonts w:ascii="Arial" w:eastAsia="Calibri" w:hAnsi="Arial" w:cs="Arial"/>
          <w:color w:val="000000" w:themeColor="text1"/>
          <w:sz w:val="20"/>
          <w:szCs w:val="20"/>
          <w:lang w:val="es-ES"/>
        </w:rPr>
      </w:pPr>
      <w:r w:rsidRPr="00CB63FA">
        <w:rPr>
          <w:rFonts w:ascii="Arial" w:eastAsia="Calibri" w:hAnsi="Arial" w:cs="Arial"/>
          <w:color w:val="000000" w:themeColor="text1"/>
          <w:sz w:val="20"/>
          <w:szCs w:val="20"/>
          <w:lang w:val="es-ES"/>
        </w:rPr>
        <w:lastRenderedPageBreak/>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desempate de que trata el artículo 3. Es decir, nos encontramos frente a un caso donde la norma sometió su vigencia a la expedición de un reglamento, pues así se infiere de su contenido y antecedentes legislativos. Esta conclusión se ajusta a la necesidad de claridad que debe introducir el reglamento, en relación con la articulación y compatibilización del «nuevo criterio de desempate» con los preexistentes en el ordenamiento jurídico. </w:t>
      </w:r>
    </w:p>
    <w:p w14:paraId="371B0512" w14:textId="229E4328" w:rsidR="009A01C7" w:rsidRDefault="009A01C7" w:rsidP="009A01C7">
      <w:pPr>
        <w:jc w:val="both"/>
        <w:rPr>
          <w:rFonts w:ascii="Arial" w:eastAsia="Calibri" w:hAnsi="Arial" w:cs="Arial"/>
          <w:color w:val="000000" w:themeColor="text1"/>
          <w:sz w:val="20"/>
          <w:szCs w:val="20"/>
          <w:lang w:val="es-ES"/>
        </w:rPr>
      </w:pPr>
    </w:p>
    <w:p w14:paraId="2C83112D" w14:textId="77777777" w:rsidR="009A01C7" w:rsidRDefault="009A01C7" w:rsidP="009A01C7">
      <w:pPr>
        <w:jc w:val="both"/>
        <w:rPr>
          <w:rFonts w:ascii="Arial" w:eastAsia="Calibri" w:hAnsi="Arial" w:cs="Arial"/>
          <w:color w:val="000000" w:themeColor="text1"/>
          <w:sz w:val="20"/>
          <w:szCs w:val="20"/>
          <w:lang w:val="es-ES"/>
        </w:rPr>
      </w:pPr>
    </w:p>
    <w:p w14:paraId="494BFE52" w14:textId="77168C8D" w:rsidR="009A01C7" w:rsidRPr="009A01C7" w:rsidRDefault="009A01C7" w:rsidP="009A01C7">
      <w:pPr>
        <w:jc w:val="both"/>
        <w:rPr>
          <w:rFonts w:ascii="Arial" w:hAnsi="Arial" w:cs="Arial"/>
          <w:b/>
          <w:bCs/>
          <w:sz w:val="22"/>
          <w:szCs w:val="22"/>
        </w:rPr>
      </w:pPr>
      <w:r w:rsidRPr="009A01C7">
        <w:rPr>
          <w:rFonts w:ascii="Arial" w:hAnsi="Arial" w:cs="Arial"/>
          <w:sz w:val="22"/>
          <w:szCs w:val="22"/>
        </w:rPr>
        <w:t xml:space="preserve">Bogotá D.C., </w:t>
      </w:r>
      <w:r w:rsidRPr="009A01C7">
        <w:rPr>
          <w:rFonts w:ascii="Arial" w:hAnsi="Arial" w:cs="Arial"/>
          <w:b/>
          <w:bCs/>
          <w:sz w:val="22"/>
          <w:szCs w:val="22"/>
        </w:rPr>
        <w:t xml:space="preserve">20/11/2020 Hora 16:18:56s </w:t>
      </w:r>
    </w:p>
    <w:p w14:paraId="782BA0F4" w14:textId="306C642E" w:rsidR="009737DB" w:rsidRPr="009A01C7" w:rsidRDefault="009A01C7" w:rsidP="009A01C7">
      <w:pPr>
        <w:jc w:val="right"/>
        <w:rPr>
          <w:rFonts w:ascii="Arial" w:hAnsi="Arial" w:cs="Arial"/>
          <w:b/>
          <w:bCs/>
          <w:color w:val="000000" w:themeColor="text1"/>
          <w:sz w:val="22"/>
          <w:szCs w:val="22"/>
          <w:lang w:val="es-MX"/>
        </w:rPr>
      </w:pPr>
      <w:proofErr w:type="spellStart"/>
      <w:r w:rsidRPr="009A01C7">
        <w:rPr>
          <w:rFonts w:ascii="Arial" w:hAnsi="Arial" w:cs="Arial"/>
          <w:b/>
          <w:bCs/>
          <w:sz w:val="22"/>
          <w:szCs w:val="22"/>
        </w:rPr>
        <w:t>N°</w:t>
      </w:r>
      <w:proofErr w:type="spellEnd"/>
      <w:r w:rsidRPr="009A01C7">
        <w:rPr>
          <w:rFonts w:ascii="Arial" w:hAnsi="Arial" w:cs="Arial"/>
          <w:b/>
          <w:bCs/>
          <w:sz w:val="22"/>
          <w:szCs w:val="22"/>
        </w:rPr>
        <w:t xml:space="preserve"> Radicado: 2202013000011498</w:t>
      </w:r>
    </w:p>
    <w:p w14:paraId="6CCF4293" w14:textId="77777777" w:rsidR="009737DB" w:rsidRPr="004A580D" w:rsidRDefault="009737DB" w:rsidP="009737DB">
      <w:pPr>
        <w:jc w:val="right"/>
        <w:rPr>
          <w:rFonts w:ascii="Arial" w:hAnsi="Arial" w:cs="Arial"/>
          <w:color w:val="000000" w:themeColor="text1"/>
          <w:sz w:val="22"/>
          <w:szCs w:val="22"/>
          <w:lang w:val="es-MX"/>
        </w:rPr>
      </w:pPr>
    </w:p>
    <w:p w14:paraId="3CD62F87" w14:textId="77777777" w:rsidR="009A01C7" w:rsidRDefault="009A01C7" w:rsidP="009737DB">
      <w:pPr>
        <w:rPr>
          <w:rFonts w:ascii="Arial" w:eastAsia="Calibri" w:hAnsi="Arial" w:cs="Arial"/>
          <w:color w:val="000000" w:themeColor="text1"/>
          <w:sz w:val="22"/>
          <w:szCs w:val="22"/>
          <w:lang w:val="es-ES"/>
        </w:rPr>
      </w:pPr>
    </w:p>
    <w:p w14:paraId="3CCAA0A9" w14:textId="3B36B54D" w:rsidR="009737DB" w:rsidRPr="009737DB" w:rsidRDefault="009737DB" w:rsidP="009737DB">
      <w:pPr>
        <w:rPr>
          <w:rFonts w:ascii="Arial" w:eastAsia="Calibri" w:hAnsi="Arial" w:cs="Arial"/>
          <w:color w:val="000000" w:themeColor="text1"/>
          <w:sz w:val="22"/>
          <w:szCs w:val="22"/>
          <w:lang w:val="es-ES"/>
        </w:rPr>
      </w:pPr>
      <w:r w:rsidRPr="009737DB">
        <w:rPr>
          <w:rFonts w:ascii="Arial" w:eastAsia="Calibri" w:hAnsi="Arial" w:cs="Arial"/>
          <w:color w:val="000000" w:themeColor="text1"/>
          <w:sz w:val="22"/>
          <w:szCs w:val="22"/>
          <w:lang w:val="es-ES"/>
        </w:rPr>
        <w:t>Señora</w:t>
      </w:r>
    </w:p>
    <w:p w14:paraId="44823C26" w14:textId="77777777" w:rsidR="009737DB" w:rsidRPr="009737DB" w:rsidRDefault="009737DB" w:rsidP="009737DB">
      <w:pPr>
        <w:rPr>
          <w:rFonts w:ascii="Arial" w:hAnsi="Arial" w:cs="Arial"/>
          <w:b/>
          <w:bCs/>
          <w:sz w:val="22"/>
          <w:szCs w:val="22"/>
        </w:rPr>
      </w:pPr>
      <w:r w:rsidRPr="009737DB">
        <w:rPr>
          <w:rFonts w:ascii="Arial" w:hAnsi="Arial" w:cs="Arial"/>
          <w:b/>
          <w:bCs/>
          <w:sz w:val="22"/>
          <w:szCs w:val="22"/>
        </w:rPr>
        <w:t xml:space="preserve">Nancy Coral </w:t>
      </w:r>
    </w:p>
    <w:p w14:paraId="534A65F4" w14:textId="77777777" w:rsidR="009737DB" w:rsidRPr="009737DB" w:rsidRDefault="009737DB" w:rsidP="009737DB">
      <w:pPr>
        <w:rPr>
          <w:rFonts w:ascii="Arial" w:hAnsi="Arial" w:cs="Arial"/>
          <w:sz w:val="22"/>
          <w:szCs w:val="22"/>
        </w:rPr>
      </w:pPr>
      <w:r w:rsidRPr="009737DB">
        <w:rPr>
          <w:rFonts w:ascii="Arial" w:hAnsi="Arial" w:cs="Arial"/>
          <w:sz w:val="22"/>
          <w:szCs w:val="22"/>
        </w:rPr>
        <w:t xml:space="preserve">Directora Ejecutiva – Representante Legal </w:t>
      </w:r>
    </w:p>
    <w:p w14:paraId="68362DE9" w14:textId="77777777" w:rsidR="009737DB" w:rsidRPr="009737DB" w:rsidRDefault="009737DB" w:rsidP="009737DB">
      <w:pPr>
        <w:rPr>
          <w:rFonts w:ascii="Arial" w:hAnsi="Arial" w:cs="Arial"/>
          <w:b/>
          <w:bCs/>
          <w:sz w:val="22"/>
          <w:szCs w:val="22"/>
        </w:rPr>
      </w:pPr>
      <w:r w:rsidRPr="009737DB">
        <w:rPr>
          <w:rFonts w:ascii="Arial" w:hAnsi="Arial" w:cs="Arial"/>
          <w:sz w:val="22"/>
          <w:szCs w:val="22"/>
        </w:rPr>
        <w:t>Fundación Contratación Estatal Transparente</w:t>
      </w:r>
    </w:p>
    <w:p w14:paraId="018C2F8C" w14:textId="77777777" w:rsidR="009737DB" w:rsidRPr="009737DB" w:rsidRDefault="009737DB" w:rsidP="009737DB">
      <w:pPr>
        <w:rPr>
          <w:rFonts w:ascii="Arial" w:eastAsia="Calibri" w:hAnsi="Arial" w:cs="Arial"/>
          <w:color w:val="000000" w:themeColor="text1"/>
          <w:sz w:val="22"/>
          <w:szCs w:val="22"/>
          <w:lang w:val="es-ES"/>
        </w:rPr>
      </w:pPr>
      <w:r w:rsidRPr="009737DB">
        <w:rPr>
          <w:rFonts w:ascii="Arial" w:eastAsia="Calibri" w:hAnsi="Arial" w:cs="Arial"/>
          <w:color w:val="000000" w:themeColor="text1"/>
          <w:sz w:val="22"/>
          <w:szCs w:val="22"/>
          <w:lang w:val="es-ES"/>
        </w:rPr>
        <w:t>Bogotá D.C.</w:t>
      </w:r>
    </w:p>
    <w:p w14:paraId="7A08B08C" w14:textId="74F28803" w:rsidR="009737DB" w:rsidRDefault="009737DB" w:rsidP="009737DB">
      <w:pPr>
        <w:rPr>
          <w:rFonts w:ascii="Arial" w:eastAsia="Calibri" w:hAnsi="Arial" w:cs="Arial"/>
          <w:color w:val="000000" w:themeColor="text1"/>
          <w:sz w:val="22"/>
          <w:lang w:val="es-ES"/>
        </w:rPr>
      </w:pPr>
    </w:p>
    <w:p w14:paraId="1758C0B2" w14:textId="77777777" w:rsidR="009737DB" w:rsidRDefault="009737DB" w:rsidP="009737DB">
      <w:pPr>
        <w:rPr>
          <w:rFonts w:ascii="Arial" w:eastAsia="Calibri" w:hAnsi="Arial" w:cs="Arial"/>
          <w:color w:val="000000" w:themeColor="text1"/>
          <w:sz w:val="22"/>
          <w:lang w:val="es-ES"/>
        </w:rPr>
      </w:pPr>
    </w:p>
    <w:p w14:paraId="3A69EEE3" w14:textId="77777777" w:rsidR="009737DB" w:rsidRDefault="009737DB" w:rsidP="009737DB">
      <w:pPr>
        <w:rPr>
          <w:rFonts w:ascii="Arial" w:eastAsia="Calibri" w:hAnsi="Arial" w:cs="Arial"/>
          <w:color w:val="000000" w:themeColor="text1"/>
          <w:sz w:val="22"/>
          <w:lang w:val="es-ES"/>
        </w:rPr>
      </w:pPr>
    </w:p>
    <w:p w14:paraId="0CFE3B6E" w14:textId="77777777" w:rsidR="009737DB" w:rsidRDefault="009737DB" w:rsidP="009737DB">
      <w:pPr>
        <w:ind w:firstLine="2694"/>
        <w:rPr>
          <w:rFonts w:ascii="Arial" w:eastAsia="Calibri" w:hAnsi="Arial" w:cs="Arial"/>
          <w:b/>
          <w:color w:val="000000" w:themeColor="text1"/>
          <w:sz w:val="22"/>
          <w:lang w:val="es-ES"/>
        </w:rPr>
      </w:pPr>
      <w:r>
        <w:rPr>
          <w:rFonts w:ascii="Arial" w:eastAsia="Calibri" w:hAnsi="Arial" w:cs="Arial"/>
          <w:b/>
          <w:color w:val="000000" w:themeColor="text1"/>
          <w:sz w:val="22"/>
          <w:lang w:val="es-ES"/>
        </w:rPr>
        <w:t>Concepto C – 690 de 2020</w:t>
      </w:r>
    </w:p>
    <w:p w14:paraId="103AB0F2" w14:textId="77777777" w:rsidR="009737DB" w:rsidRDefault="009737DB" w:rsidP="009737DB">
      <w:pPr>
        <w:rPr>
          <w:rFonts w:ascii="Arial" w:eastAsia="Calibri" w:hAnsi="Arial" w:cs="Arial"/>
          <w:color w:val="000000" w:themeColor="text1"/>
          <w:sz w:val="22"/>
          <w:lang w:val="es-ES"/>
        </w:rPr>
      </w:pPr>
    </w:p>
    <w:tbl>
      <w:tblPr>
        <w:tblStyle w:val="Tablaconcuadrcula"/>
        <w:tblW w:w="86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03"/>
        <w:gridCol w:w="6037"/>
      </w:tblGrid>
      <w:tr w:rsidR="009737DB" w14:paraId="611E8447" w14:textId="77777777" w:rsidTr="00027AAF">
        <w:trPr>
          <w:trHeight w:val="2075"/>
        </w:trPr>
        <w:tc>
          <w:tcPr>
            <w:tcW w:w="2603" w:type="dxa"/>
            <w:hideMark/>
          </w:tcPr>
          <w:p w14:paraId="36A3006B" w14:textId="77777777" w:rsidR="009737DB" w:rsidRDefault="009737DB" w:rsidP="00027AAF">
            <w:pPr>
              <w:rPr>
                <w:rFonts w:ascii="Arial" w:eastAsia="Calibri" w:hAnsi="Arial" w:cs="Arial"/>
                <w:color w:val="000000" w:themeColor="text1"/>
                <w:sz w:val="22"/>
                <w:lang w:val="es-ES"/>
              </w:rPr>
            </w:pPr>
            <w:r>
              <w:rPr>
                <w:rFonts w:ascii="Arial" w:eastAsia="Calibri" w:hAnsi="Arial" w:cs="Arial"/>
                <w:b/>
                <w:color w:val="000000" w:themeColor="text1"/>
                <w:sz w:val="22"/>
                <w:lang w:val="es-ES"/>
              </w:rPr>
              <w:t>Temas:</w:t>
            </w:r>
            <w:r>
              <w:rPr>
                <w:rFonts w:ascii="Arial" w:eastAsia="Calibri" w:hAnsi="Arial" w:cs="Arial"/>
                <w:color w:val="000000" w:themeColor="text1"/>
                <w:sz w:val="22"/>
                <w:lang w:val="es-ES"/>
              </w:rPr>
              <w:t xml:space="preserve">           </w:t>
            </w:r>
          </w:p>
          <w:p w14:paraId="2653CDCF" w14:textId="77777777" w:rsidR="009737DB" w:rsidRDefault="009737DB" w:rsidP="00027AAF">
            <w:pPr>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                           </w:t>
            </w:r>
          </w:p>
        </w:tc>
        <w:tc>
          <w:tcPr>
            <w:tcW w:w="6037" w:type="dxa"/>
            <w:hideMark/>
          </w:tcPr>
          <w:p w14:paraId="780B35DE" w14:textId="77777777" w:rsidR="009737DB" w:rsidRDefault="009737DB" w:rsidP="00027AAF">
            <w:pPr>
              <w:spacing w:after="120"/>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CONTRATACIÓN ESTATAL – Políticas horizontales / CONTRATACIÓN ESTATAL – Políticas horizontales – Incentivos contractuales / INCENTIVOS CONTRACTUALES – Empleabilidad de adultos mayores – Política horizontal – Criterio de desempate – Ley 2040 de 2020 / INCENTIVOS CONTRACTUALES – Empleabilidad de adultos mayores – Criterio de desempate – Necesidad del reglamento</w:t>
            </w:r>
          </w:p>
        </w:tc>
      </w:tr>
      <w:tr w:rsidR="009737DB" w14:paraId="36506888" w14:textId="77777777" w:rsidTr="00027AAF">
        <w:trPr>
          <w:trHeight w:val="104"/>
        </w:trPr>
        <w:tc>
          <w:tcPr>
            <w:tcW w:w="2603" w:type="dxa"/>
            <w:hideMark/>
          </w:tcPr>
          <w:p w14:paraId="6AC570BB" w14:textId="77777777" w:rsidR="009737DB" w:rsidRDefault="009737DB" w:rsidP="00027AAF">
            <w:pPr>
              <w:spacing w:before="60"/>
              <w:rPr>
                <w:rFonts w:ascii="Arial" w:eastAsia="Calibri" w:hAnsi="Arial" w:cs="Arial"/>
                <w:b/>
                <w:color w:val="000000" w:themeColor="text1"/>
                <w:sz w:val="22"/>
                <w:lang w:val="es-ES"/>
              </w:rPr>
            </w:pPr>
            <w:r>
              <w:rPr>
                <w:rFonts w:ascii="Arial" w:eastAsia="Calibri" w:hAnsi="Arial" w:cs="Arial"/>
                <w:b/>
                <w:color w:val="000000" w:themeColor="text1"/>
                <w:sz w:val="22"/>
                <w:lang w:val="es-ES"/>
              </w:rPr>
              <w:t>Radicación:</w:t>
            </w:r>
            <w:r>
              <w:rPr>
                <w:rFonts w:ascii="Arial" w:eastAsia="Calibri" w:hAnsi="Arial" w:cs="Arial"/>
                <w:color w:val="000000" w:themeColor="text1"/>
                <w:sz w:val="22"/>
                <w:lang w:val="es-ES"/>
              </w:rPr>
              <w:t xml:space="preserve">                              </w:t>
            </w:r>
          </w:p>
        </w:tc>
        <w:tc>
          <w:tcPr>
            <w:tcW w:w="6037" w:type="dxa"/>
            <w:hideMark/>
          </w:tcPr>
          <w:p w14:paraId="3382A714" w14:textId="77777777" w:rsidR="009737DB" w:rsidRPr="00991473" w:rsidRDefault="009737DB" w:rsidP="00027AAF">
            <w:pPr>
              <w:spacing w:before="60"/>
              <w:rPr>
                <w:rFonts w:ascii="Arial" w:eastAsia="Calibri" w:hAnsi="Arial" w:cs="Arial"/>
                <w:color w:val="000000" w:themeColor="text1"/>
                <w:sz w:val="22"/>
                <w:szCs w:val="22"/>
                <w:lang w:val="es-ES"/>
              </w:rPr>
            </w:pPr>
            <w:r w:rsidRPr="00991473">
              <w:rPr>
                <w:rFonts w:ascii="Arial" w:eastAsia="Calibri" w:hAnsi="Arial" w:cs="Arial"/>
                <w:color w:val="000000" w:themeColor="text1"/>
                <w:sz w:val="22"/>
                <w:szCs w:val="22"/>
                <w:lang w:val="es-ES"/>
              </w:rPr>
              <w:t>Respuesta a la</w:t>
            </w:r>
            <w:r>
              <w:rPr>
                <w:rFonts w:ascii="Arial" w:eastAsia="Calibri" w:hAnsi="Arial" w:cs="Arial"/>
                <w:color w:val="000000" w:themeColor="text1"/>
                <w:sz w:val="22"/>
                <w:szCs w:val="22"/>
                <w:lang w:val="es-ES"/>
              </w:rPr>
              <w:t>s</w:t>
            </w:r>
            <w:r w:rsidRPr="00991473">
              <w:rPr>
                <w:rFonts w:ascii="Arial" w:eastAsia="Calibri" w:hAnsi="Arial" w:cs="Arial"/>
                <w:color w:val="000000" w:themeColor="text1"/>
                <w:sz w:val="22"/>
                <w:szCs w:val="22"/>
                <w:lang w:val="es-ES"/>
              </w:rPr>
              <w:t xml:space="preserve"> consulta</w:t>
            </w:r>
            <w:r>
              <w:rPr>
                <w:rFonts w:ascii="Arial" w:eastAsia="Calibri" w:hAnsi="Arial" w:cs="Arial"/>
                <w:color w:val="000000" w:themeColor="text1"/>
                <w:sz w:val="22"/>
                <w:szCs w:val="22"/>
                <w:lang w:val="es-ES"/>
              </w:rPr>
              <w:t>s acumuladas</w:t>
            </w:r>
            <w:r w:rsidRPr="00991473">
              <w:rPr>
                <w:rFonts w:ascii="Arial" w:eastAsia="Calibri" w:hAnsi="Arial" w:cs="Arial"/>
                <w:color w:val="000000" w:themeColor="text1"/>
                <w:sz w:val="22"/>
                <w:szCs w:val="22"/>
                <w:lang w:val="es-ES"/>
              </w:rPr>
              <w:t xml:space="preserve"> # 4202013000009418</w:t>
            </w:r>
          </w:p>
        </w:tc>
      </w:tr>
    </w:tbl>
    <w:p w14:paraId="45C70113" w14:textId="181E822C" w:rsidR="009737DB" w:rsidRDefault="00121D24" w:rsidP="009737DB">
      <w:pPr>
        <w:ind w:left="6372"/>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  </w:t>
      </w:r>
      <w:r w:rsidR="009737DB">
        <w:rPr>
          <w:rFonts w:ascii="Arial" w:eastAsia="Calibri" w:hAnsi="Arial" w:cs="Arial"/>
          <w:color w:val="000000" w:themeColor="text1"/>
          <w:sz w:val="22"/>
          <w:lang w:val="es-ES"/>
        </w:rPr>
        <w:t xml:space="preserve">y </w:t>
      </w:r>
      <w:r w:rsidR="009737DB" w:rsidRPr="006406AF">
        <w:rPr>
          <w:rFonts w:ascii="Arial" w:eastAsia="Calibri" w:hAnsi="Arial" w:cs="Arial"/>
          <w:color w:val="000000" w:themeColor="text1"/>
          <w:sz w:val="22"/>
          <w:lang w:val="es-ES"/>
        </w:rPr>
        <w:t>4202013000009624</w:t>
      </w:r>
    </w:p>
    <w:p w14:paraId="55EFDC02" w14:textId="77777777" w:rsidR="009737DB" w:rsidRDefault="009737DB" w:rsidP="009737DB">
      <w:pPr>
        <w:ind w:left="6372"/>
        <w:rPr>
          <w:rFonts w:ascii="Arial" w:eastAsia="Calibri" w:hAnsi="Arial" w:cs="Arial"/>
          <w:color w:val="000000" w:themeColor="text1"/>
          <w:sz w:val="22"/>
          <w:lang w:val="es-ES"/>
        </w:rPr>
      </w:pPr>
    </w:p>
    <w:p w14:paraId="7E80FD4E" w14:textId="77777777" w:rsidR="009737DB" w:rsidRDefault="009737DB" w:rsidP="009737DB">
      <w:pPr>
        <w:jc w:val="both"/>
        <w:rPr>
          <w:rFonts w:ascii="Arial" w:eastAsia="Calibri" w:hAnsi="Arial" w:cs="Arial"/>
          <w:color w:val="000000" w:themeColor="text1"/>
          <w:sz w:val="22"/>
          <w:lang w:val="es-ES"/>
        </w:rPr>
      </w:pPr>
    </w:p>
    <w:p w14:paraId="35829D83" w14:textId="77777777" w:rsidR="009737DB" w:rsidRPr="000F3626" w:rsidRDefault="009737DB" w:rsidP="009737DB">
      <w:pPr>
        <w:rPr>
          <w:rFonts w:ascii="Arial" w:hAnsi="Arial" w:cs="Arial"/>
          <w:b/>
          <w:bCs/>
          <w:sz w:val="22"/>
          <w:szCs w:val="22"/>
        </w:rPr>
      </w:pPr>
      <w:r w:rsidRPr="000F3626">
        <w:rPr>
          <w:rFonts w:ascii="Arial" w:eastAsia="Calibri" w:hAnsi="Arial" w:cs="Arial"/>
          <w:color w:val="000000" w:themeColor="text1"/>
          <w:sz w:val="22"/>
          <w:szCs w:val="22"/>
          <w:lang w:val="es-ES"/>
        </w:rPr>
        <w:t>Estimada señora</w:t>
      </w:r>
      <w:r w:rsidRPr="000F3626">
        <w:rPr>
          <w:rFonts w:ascii="Arial" w:hAnsi="Arial" w:cs="Arial"/>
          <w:sz w:val="22"/>
          <w:szCs w:val="22"/>
        </w:rPr>
        <w:t xml:space="preserve"> Coral:</w:t>
      </w:r>
    </w:p>
    <w:p w14:paraId="6EE16DF3" w14:textId="77777777" w:rsidR="009737DB" w:rsidRPr="000F3626" w:rsidRDefault="009737DB" w:rsidP="009737DB">
      <w:pPr>
        <w:rPr>
          <w:rFonts w:ascii="Arial" w:eastAsia="Calibri" w:hAnsi="Arial" w:cs="Arial"/>
          <w:color w:val="000000" w:themeColor="text1"/>
          <w:sz w:val="22"/>
          <w:szCs w:val="22"/>
          <w:lang w:val="es-ES"/>
        </w:rPr>
      </w:pPr>
    </w:p>
    <w:p w14:paraId="5943E86E" w14:textId="49D58A02" w:rsidR="009737DB" w:rsidRDefault="009737DB" w:rsidP="009737DB">
      <w:pPr>
        <w:spacing w:line="276" w:lineRule="auto"/>
        <w:jc w:val="both"/>
        <w:rPr>
          <w:rFonts w:ascii="Arial" w:hAnsi="Arial" w:cs="Arial"/>
          <w:sz w:val="22"/>
          <w:szCs w:val="22"/>
        </w:rPr>
      </w:pPr>
      <w:r w:rsidRPr="006406AF">
        <w:rPr>
          <w:rFonts w:ascii="Arial" w:eastAsia="Calibri" w:hAnsi="Arial" w:cs="Arial"/>
          <w:color w:val="000000" w:themeColor="text1"/>
          <w:sz w:val="22"/>
          <w:szCs w:val="22"/>
          <w:lang w:val="es-ES"/>
        </w:rPr>
        <w:t xml:space="preserve">En ejercicio de la competencia otorgada por los artículos 11, numeral 8º, y 3º, numeral 5º, del Decreto Ley 4170 de 2011, la Agencia Nacional de Contratación Pública – Colombia Compra Eficiente responde sus consultas del 15 y 22 de </w:t>
      </w:r>
      <w:r w:rsidR="00F073C4">
        <w:rPr>
          <w:rFonts w:ascii="Arial" w:eastAsia="Calibri" w:hAnsi="Arial" w:cs="Arial"/>
          <w:color w:val="000000" w:themeColor="text1"/>
          <w:sz w:val="22"/>
          <w:szCs w:val="22"/>
          <w:lang w:val="es-ES"/>
        </w:rPr>
        <w:t>octu</w:t>
      </w:r>
      <w:r w:rsidRPr="006406AF">
        <w:rPr>
          <w:rFonts w:ascii="Arial" w:eastAsia="Calibri" w:hAnsi="Arial" w:cs="Arial"/>
          <w:color w:val="000000" w:themeColor="text1"/>
          <w:sz w:val="22"/>
          <w:szCs w:val="22"/>
          <w:lang w:val="es-ES"/>
        </w:rPr>
        <w:t>bre de 2020. La consulta con radicado de entrada No. 4202013000009418 fue trasladada por la</w:t>
      </w:r>
      <w:r w:rsidRPr="006406AF">
        <w:rPr>
          <w:rFonts w:ascii="Arial" w:hAnsi="Arial" w:cs="Arial"/>
          <w:sz w:val="22"/>
          <w:szCs w:val="22"/>
        </w:rPr>
        <w:t xml:space="preserve"> Procuraduría General de la Nación, mediante radicado No. E-2020-456190 del 13 de octubre de 2020</w:t>
      </w:r>
      <w:r w:rsidR="00AB73C0">
        <w:rPr>
          <w:rFonts w:ascii="Arial" w:hAnsi="Arial" w:cs="Arial"/>
          <w:sz w:val="22"/>
          <w:szCs w:val="22"/>
        </w:rPr>
        <w:t>;</w:t>
      </w:r>
      <w:r w:rsidRPr="006406AF">
        <w:rPr>
          <w:rFonts w:ascii="Arial" w:hAnsi="Arial" w:cs="Arial"/>
          <w:sz w:val="22"/>
          <w:szCs w:val="22"/>
        </w:rPr>
        <w:t xml:space="preserve"> mientras que</w:t>
      </w:r>
      <w:r>
        <w:rPr>
          <w:rFonts w:ascii="Arial" w:hAnsi="Arial" w:cs="Arial"/>
          <w:sz w:val="22"/>
          <w:szCs w:val="22"/>
        </w:rPr>
        <w:t>,</w:t>
      </w:r>
      <w:r w:rsidRPr="006406AF">
        <w:rPr>
          <w:rFonts w:ascii="Arial" w:hAnsi="Arial" w:cs="Arial"/>
          <w:sz w:val="22"/>
          <w:szCs w:val="22"/>
        </w:rPr>
        <w:t xml:space="preserve"> la consulta con radicado de entrada No.</w:t>
      </w:r>
      <w:r w:rsidRPr="006406AF">
        <w:rPr>
          <w:rFonts w:ascii="Arial" w:eastAsia="Calibri" w:hAnsi="Arial" w:cs="Arial"/>
          <w:color w:val="000000" w:themeColor="text1"/>
          <w:sz w:val="22"/>
          <w:szCs w:val="22"/>
          <w:lang w:val="es-ES"/>
        </w:rPr>
        <w:t xml:space="preserve"> 4202013000009624, fue trasladada por el Departamento Nacional de Planeación, mediante radicado No. </w:t>
      </w:r>
      <w:r w:rsidRPr="006406AF">
        <w:rPr>
          <w:rFonts w:ascii="Arial" w:hAnsi="Arial" w:cs="Arial"/>
          <w:sz w:val="22"/>
          <w:szCs w:val="22"/>
        </w:rPr>
        <w:t>20206401495301 del 20 de</w:t>
      </w:r>
      <w:r w:rsidR="00D27D94">
        <w:rPr>
          <w:rFonts w:ascii="Arial" w:hAnsi="Arial" w:cs="Arial"/>
          <w:sz w:val="22"/>
          <w:szCs w:val="22"/>
        </w:rPr>
        <w:t xml:space="preserve"> octu</w:t>
      </w:r>
      <w:r w:rsidRPr="006406AF">
        <w:rPr>
          <w:rFonts w:ascii="Arial" w:hAnsi="Arial" w:cs="Arial"/>
          <w:sz w:val="22"/>
          <w:szCs w:val="22"/>
        </w:rPr>
        <w:t>bre de 2020.</w:t>
      </w:r>
    </w:p>
    <w:p w14:paraId="326C046D" w14:textId="77777777" w:rsidR="009737DB" w:rsidRPr="006406AF" w:rsidRDefault="009737DB" w:rsidP="009737DB">
      <w:pPr>
        <w:spacing w:line="276" w:lineRule="auto"/>
        <w:jc w:val="both"/>
        <w:rPr>
          <w:rFonts w:ascii="Arial" w:eastAsia="Calibri" w:hAnsi="Arial" w:cs="Arial"/>
          <w:color w:val="000000" w:themeColor="text1"/>
          <w:sz w:val="22"/>
          <w:szCs w:val="22"/>
          <w:lang w:val="es-ES"/>
        </w:rPr>
      </w:pPr>
    </w:p>
    <w:p w14:paraId="214C84AA" w14:textId="77777777" w:rsidR="009737DB" w:rsidRDefault="009737DB" w:rsidP="009737DB">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 xml:space="preserve">Problemas planteados </w:t>
      </w:r>
    </w:p>
    <w:p w14:paraId="0F8A1F97" w14:textId="77777777" w:rsidR="009737DB" w:rsidRPr="003949FD" w:rsidRDefault="009737DB" w:rsidP="009737DB">
      <w:pPr>
        <w:tabs>
          <w:tab w:val="left" w:pos="426"/>
        </w:tabs>
        <w:spacing w:line="276" w:lineRule="auto"/>
        <w:jc w:val="both"/>
        <w:rPr>
          <w:rFonts w:ascii="Arial" w:eastAsia="Calibri" w:hAnsi="Arial" w:cs="Arial"/>
          <w:b/>
          <w:color w:val="000000" w:themeColor="text1"/>
          <w:sz w:val="22"/>
          <w:szCs w:val="22"/>
          <w:lang w:val="es-ES"/>
        </w:rPr>
      </w:pPr>
    </w:p>
    <w:p w14:paraId="40EA8F50" w14:textId="77777777" w:rsidR="009737DB" w:rsidRPr="00991473" w:rsidRDefault="009737DB" w:rsidP="009737DB">
      <w:pPr>
        <w:spacing w:line="276" w:lineRule="auto"/>
        <w:jc w:val="both"/>
        <w:rPr>
          <w:rFonts w:ascii="Arial" w:hAnsi="Arial" w:cs="Arial"/>
          <w:sz w:val="22"/>
          <w:szCs w:val="22"/>
        </w:rPr>
      </w:pPr>
      <w:r w:rsidRPr="00991473">
        <w:rPr>
          <w:rFonts w:ascii="Arial" w:hAnsi="Arial" w:cs="Arial"/>
          <w:sz w:val="22"/>
          <w:szCs w:val="22"/>
          <w:lang w:val="es-ES"/>
        </w:rPr>
        <w:t>Usted elevo consulta a la</w:t>
      </w:r>
      <w:r w:rsidRPr="00991473">
        <w:rPr>
          <w:rFonts w:ascii="Arial" w:hAnsi="Arial" w:cs="Arial"/>
          <w:sz w:val="22"/>
          <w:szCs w:val="22"/>
        </w:rPr>
        <w:t xml:space="preserve"> Procuraduría General de la Nación, en la que manifiesta y expone unas consideraciones jurídicas referentes al orden de los criterios de desempate, para solicitar concretamente, «[…] se proceda a establecer el orden señalado el criterio de desempate establecido en el artículo 3º de la Ley 2040 de 2020 dentro de los criterios de desempate de cada uno de los procesos de contratación pública que adelante la Procuraduría General de la Nación»</w:t>
      </w:r>
      <w:r>
        <w:rPr>
          <w:rFonts w:ascii="Arial" w:hAnsi="Arial" w:cs="Arial"/>
          <w:sz w:val="22"/>
          <w:szCs w:val="22"/>
        </w:rPr>
        <w:t>.</w:t>
      </w:r>
    </w:p>
    <w:p w14:paraId="31CB6168" w14:textId="77777777" w:rsidR="009737DB" w:rsidRPr="009A76BA" w:rsidRDefault="009737DB" w:rsidP="009737DB">
      <w:pPr>
        <w:jc w:val="both"/>
        <w:rPr>
          <w:rFonts w:asciiTheme="minorBidi" w:hAnsiTheme="minorBidi" w:cstheme="minorBidi"/>
        </w:rPr>
      </w:pPr>
    </w:p>
    <w:p w14:paraId="62649F0E" w14:textId="77777777" w:rsidR="009737DB" w:rsidRDefault="009737DB" w:rsidP="009737DB">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Consideraciones</w:t>
      </w:r>
    </w:p>
    <w:p w14:paraId="4936D8D7" w14:textId="77777777" w:rsidR="009737DB" w:rsidRDefault="009737DB" w:rsidP="009737DB">
      <w:pPr>
        <w:tabs>
          <w:tab w:val="left" w:pos="426"/>
        </w:tabs>
        <w:spacing w:line="276" w:lineRule="auto"/>
        <w:jc w:val="both"/>
        <w:rPr>
          <w:rFonts w:ascii="Arial" w:eastAsia="Calibri" w:hAnsi="Arial" w:cs="Arial"/>
          <w:b/>
          <w:color w:val="000000" w:themeColor="text1"/>
          <w:sz w:val="22"/>
          <w:lang w:val="es-ES"/>
        </w:rPr>
      </w:pPr>
    </w:p>
    <w:p w14:paraId="58299A81" w14:textId="77777777" w:rsidR="009737DB" w:rsidRDefault="009737DB" w:rsidP="009737DB">
      <w:pPr>
        <w:tabs>
          <w:tab w:val="left" w:pos="426"/>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Para resolver los interrogantes planteados en la consulta, se considera necesario analizar las políticas horizontales en la contratación pública, los incentivos contractuales, los tipos de incentivos reconocidos por el ordenamiento y la nueva opción establecida en el artículo 3 de la Ley 2040 de 2020, que crea un incentivo y criterio de desempate en virtud del cual se preferirá al proponente que demuestre la vinculación del mayor porcentaje de personas mayores que no sean beneficiarios de la pensión de vejez, familiar o de sobrevivencia, y que hayan cumplido el requisito de edad de pensión establecido en la ley.</w:t>
      </w:r>
    </w:p>
    <w:p w14:paraId="4F191E01" w14:textId="77777777" w:rsidR="009737DB" w:rsidRDefault="009737DB" w:rsidP="009737DB">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Agencia Nacional de Contratación Pública – Colombia Compra Eficiente se ha pronunciado sobre la promoción y el fomento de la industria nacional, como uno de los incentivos en materia contractual, en los conceptos C–043 de 15 del enero de 2020, C–029 de 12 del febrero de 2020, C–073 del 28 de febrero de 2020, C–123 del 5 de marzo de 2020, C–114 del 6 de marzo de 2020, C–178 del 16 de marzo de 2020, C–119 del 18 de marzo de 2020, y C–460 de 2020 del 14 de julio de 2020. </w:t>
      </w:r>
    </w:p>
    <w:p w14:paraId="11A0EFB9" w14:textId="77777777" w:rsidR="009737DB" w:rsidRDefault="009737DB" w:rsidP="009737DB">
      <w:pPr>
        <w:spacing w:after="120" w:line="276" w:lineRule="auto"/>
        <w:ind w:firstLine="708"/>
        <w:jc w:val="both"/>
        <w:rPr>
          <w:rFonts w:ascii="Arial" w:eastAsia="Calibri" w:hAnsi="Arial" w:cs="Arial"/>
          <w:sz w:val="22"/>
          <w:lang w:val="es-ES"/>
        </w:rPr>
      </w:pPr>
      <w:r>
        <w:rPr>
          <w:rFonts w:ascii="Arial" w:eastAsia="Calibri" w:hAnsi="Arial" w:cs="Arial"/>
          <w:color w:val="000000" w:themeColor="text1"/>
          <w:sz w:val="22"/>
          <w:lang w:val="es-ES"/>
        </w:rPr>
        <w:t xml:space="preserve">De otro lado, </w:t>
      </w:r>
      <w:r>
        <w:rPr>
          <w:rFonts w:ascii="Arial" w:eastAsia="Calibri" w:hAnsi="Arial" w:cs="Arial"/>
          <w:bCs/>
          <w:sz w:val="22"/>
          <w:lang w:val="es-ES"/>
        </w:rPr>
        <w:t xml:space="preserve">en el concepto con radicado No. 4201912000004631 del 31 de julio de 2019, reiterado y desarrollado en los conceptos No. </w:t>
      </w:r>
      <w:r>
        <w:rPr>
          <w:rFonts w:ascii="Arial" w:eastAsia="Calibri" w:hAnsi="Arial" w:cs="Arial"/>
          <w:sz w:val="22"/>
          <w:lang w:val="es-ES"/>
        </w:rPr>
        <w:t xml:space="preserve">4201913000005084 del 23 de julio de 2019, 4201913000004446 del 13 de agosto de 2019, 4201912000005689 del 16 de septiembre de 2019, </w:t>
      </w:r>
      <w:r>
        <w:rPr>
          <w:rFonts w:ascii="Arial" w:hAnsi="Arial" w:cs="Arial"/>
          <w:sz w:val="22"/>
          <w:lang w:val="es-ES"/>
        </w:rPr>
        <w:t>4201913000006373 del 18 de septiembre de 2019,</w:t>
      </w:r>
      <w:r>
        <w:rPr>
          <w:rFonts w:ascii="Arial" w:eastAsia="Calibri" w:hAnsi="Arial" w:cs="Arial"/>
          <w:sz w:val="22"/>
          <w:lang w:val="es-ES"/>
        </w:rPr>
        <w:t xml:space="preserve"> 4201912000006258 del 3 de octubre de 2019, 4201913000006154 del 10 de octubre de 2019, </w:t>
      </w:r>
      <w:r>
        <w:rPr>
          <w:rFonts w:ascii="Arial" w:hAnsi="Arial" w:cs="Arial"/>
          <w:sz w:val="22"/>
          <w:lang w:val="es-ES"/>
        </w:rPr>
        <w:t>4201912000007756 del 16 de noviembre de 2019,</w:t>
      </w:r>
      <w:r>
        <w:rPr>
          <w:rFonts w:ascii="Arial" w:eastAsia="Calibri" w:hAnsi="Arial" w:cs="Arial"/>
          <w:sz w:val="22"/>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 estudió los requisitos para acreditar la vinculación de personas en condición de discapacidad en la planta de personal, con la finalidad de obtener el incentivo previsto en el Decreto 392 de 2018.</w:t>
      </w:r>
    </w:p>
    <w:p w14:paraId="66193A23" w14:textId="77777777" w:rsidR="009737DB" w:rsidRDefault="009737DB" w:rsidP="009737DB">
      <w:pPr>
        <w:spacing w:after="120" w:line="276" w:lineRule="auto"/>
        <w:ind w:firstLine="708"/>
        <w:jc w:val="both"/>
        <w:rPr>
          <w:rFonts w:ascii="Arial" w:eastAsia="Calibri" w:hAnsi="Arial" w:cs="Arial"/>
          <w:sz w:val="22"/>
          <w:lang w:val="es-ES"/>
        </w:rPr>
      </w:pPr>
      <w:r>
        <w:rPr>
          <w:rFonts w:ascii="Arial" w:eastAsia="Calibri" w:hAnsi="Arial" w:cs="Arial"/>
          <w:color w:val="000000" w:themeColor="text1"/>
          <w:sz w:val="22"/>
          <w:lang w:val="es-ES"/>
        </w:rPr>
        <w:t xml:space="preserve">En similar sentido, esta Agencia ha estudiado los incentivos en materia de </w:t>
      </w:r>
      <w:proofErr w:type="spellStart"/>
      <w:r>
        <w:rPr>
          <w:rFonts w:ascii="Arial" w:eastAsia="Calibri" w:hAnsi="Arial" w:cs="Arial"/>
          <w:color w:val="000000" w:themeColor="text1"/>
          <w:sz w:val="22"/>
          <w:lang w:val="es-ES"/>
        </w:rPr>
        <w:t>Mipymes</w:t>
      </w:r>
      <w:proofErr w:type="spellEnd"/>
      <w:r>
        <w:rPr>
          <w:rFonts w:ascii="Arial" w:eastAsia="Calibri" w:hAnsi="Arial" w:cs="Arial"/>
          <w:color w:val="000000" w:themeColor="text1"/>
          <w:sz w:val="22"/>
          <w:lang w:val="es-ES"/>
        </w:rPr>
        <w:t xml:space="preserve"> en los conceptos del 5 y el 20 de agosto de 2019 –radicados Nos. 2201913000005596 y 2201913000006007–, y recientemente en los conceptos CU–021 del 21 de febrero de 2020, C–050 del 25 de febrero de 2020, C–058 del 25 de febrero de 2018, C–092 del 4 de marzo de 2020, C–083 del 11 de marzo de 2020, C–045 del 17 de marzo de 2020, C–197 del 26 de marzo de </w:t>
      </w:r>
      <w:r>
        <w:rPr>
          <w:rFonts w:ascii="Arial" w:eastAsia="Calibri" w:hAnsi="Arial" w:cs="Arial"/>
          <w:sz w:val="22"/>
          <w:lang w:val="es-ES"/>
        </w:rPr>
        <w:t xml:space="preserve">2020, C–258 del 17 de abril de 2020, C–214 del 21 de abril de 2020, C–302 del 12 de junio de 2020 y C–482 del 27 de julio de 2020. </w:t>
      </w:r>
    </w:p>
    <w:p w14:paraId="70D837D0" w14:textId="71683A1A" w:rsidR="009737DB" w:rsidRDefault="009737DB" w:rsidP="009737DB">
      <w:pPr>
        <w:spacing w:line="276" w:lineRule="auto"/>
        <w:ind w:firstLine="708"/>
        <w:jc w:val="both"/>
        <w:rPr>
          <w:rFonts w:asciiTheme="minorBidi" w:eastAsia="Calibri" w:hAnsiTheme="minorBidi" w:cstheme="minorBidi"/>
          <w:color w:val="000000" w:themeColor="text1"/>
          <w:sz w:val="22"/>
          <w:szCs w:val="22"/>
          <w:lang w:val="es-ES"/>
        </w:rPr>
      </w:pPr>
      <w:r>
        <w:rPr>
          <w:rFonts w:ascii="Arial" w:eastAsia="Calibri" w:hAnsi="Arial" w:cs="Arial"/>
          <w:sz w:val="22"/>
          <w:szCs w:val="22"/>
          <w:lang w:val="es-ES"/>
        </w:rPr>
        <w:lastRenderedPageBreak/>
        <w:t xml:space="preserve">Por último, en los conceptos con radicados </w:t>
      </w:r>
      <w:r>
        <w:rPr>
          <w:rFonts w:ascii="Arial" w:eastAsia="Arial" w:hAnsi="Arial" w:cs="Arial"/>
          <w:sz w:val="22"/>
          <w:szCs w:val="22"/>
          <w:lang w:val="es-ES"/>
        </w:rPr>
        <w:t>C</w:t>
      </w:r>
      <w:r>
        <w:rPr>
          <w:rFonts w:ascii="Arial" w:eastAsia="Calibri" w:hAnsi="Arial" w:cs="Arial"/>
          <w:color w:val="000000" w:themeColor="text1"/>
          <w:sz w:val="22"/>
          <w:szCs w:val="22"/>
          <w:lang w:val="es-ES"/>
        </w:rPr>
        <w:t>–</w:t>
      </w:r>
      <w:r>
        <w:rPr>
          <w:rFonts w:ascii="Arial" w:eastAsia="Arial" w:hAnsi="Arial" w:cs="Arial"/>
          <w:sz w:val="22"/>
          <w:szCs w:val="22"/>
          <w:lang w:val="es-ES"/>
        </w:rPr>
        <w:t>514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516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535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537 del 26 de agosto de 2020, C–538 del 26 de agosto de 2020, C</w:t>
      </w:r>
      <w:r>
        <w:rPr>
          <w:rFonts w:ascii="Arial" w:eastAsia="Calibri" w:hAnsi="Arial" w:cs="Arial"/>
          <w:color w:val="000000" w:themeColor="text1"/>
          <w:sz w:val="22"/>
          <w:szCs w:val="22"/>
          <w:lang w:val="es-ES"/>
        </w:rPr>
        <w:t>–</w:t>
      </w:r>
      <w:r>
        <w:rPr>
          <w:rFonts w:ascii="Arial" w:eastAsia="Arial" w:hAnsi="Arial" w:cs="Arial"/>
          <w:sz w:val="22"/>
          <w:szCs w:val="22"/>
          <w:lang w:val="es-ES"/>
        </w:rPr>
        <w:t xml:space="preserve">568 del 26 de agosto de 2020, </w:t>
      </w:r>
      <w:r>
        <w:rPr>
          <w:rFonts w:ascii="Arial" w:eastAsia="Arial" w:hAnsi="Arial" w:cs="Arial"/>
          <w:sz w:val="22"/>
          <w:szCs w:val="22"/>
        </w:rPr>
        <w:t>C</w:t>
      </w:r>
      <w:r>
        <w:rPr>
          <w:rFonts w:ascii="Arial" w:eastAsia="Calibri" w:hAnsi="Arial" w:cs="Arial"/>
          <w:color w:val="000000" w:themeColor="text1"/>
          <w:sz w:val="22"/>
          <w:szCs w:val="22"/>
          <w:lang w:val="es-ES"/>
        </w:rPr>
        <w:t>–</w:t>
      </w:r>
      <w:r>
        <w:rPr>
          <w:rFonts w:ascii="Arial" w:eastAsia="Arial" w:hAnsi="Arial" w:cs="Arial"/>
          <w:sz w:val="22"/>
          <w:szCs w:val="22"/>
        </w:rPr>
        <w:t xml:space="preserve">572 del 27 de agosto de 2020, </w:t>
      </w:r>
      <w:r>
        <w:rPr>
          <w:rFonts w:ascii="Arial" w:eastAsia="Arial" w:hAnsi="Arial" w:cs="Arial"/>
          <w:sz w:val="22"/>
          <w:szCs w:val="22"/>
          <w:lang w:val="es-MX"/>
        </w:rPr>
        <w:t>C–582 del 28 de agosto de 2020 y</w:t>
      </w:r>
      <w:r w:rsidRPr="009737DB">
        <w:rPr>
          <w:rFonts w:ascii="Arial" w:eastAsia="Arial" w:hAnsi="Arial" w:cs="Arial"/>
          <w:sz w:val="22"/>
          <w:szCs w:val="22"/>
          <w:lang w:val="es-MX"/>
        </w:rPr>
        <w:t xml:space="preserve"> </w:t>
      </w:r>
      <w:r>
        <w:rPr>
          <w:rFonts w:ascii="Arial" w:eastAsia="Arial" w:hAnsi="Arial" w:cs="Arial"/>
          <w:sz w:val="22"/>
          <w:szCs w:val="22"/>
          <w:lang w:val="es-MX"/>
        </w:rPr>
        <w:t>C-624 del 21 de septiembre de 2020 y C-664 del 12 de novi</w:t>
      </w:r>
      <w:r w:rsidRPr="009737DB">
        <w:rPr>
          <w:rFonts w:ascii="Arial" w:eastAsia="Arial" w:hAnsi="Arial" w:cs="Arial"/>
          <w:sz w:val="22"/>
          <w:szCs w:val="22"/>
          <w:lang w:val="es-MX"/>
        </w:rPr>
        <w:t xml:space="preserve">embre de 2020, esta agencia estudió </w:t>
      </w:r>
      <w:r w:rsidRPr="009737DB">
        <w:rPr>
          <w:rFonts w:ascii="Arial" w:eastAsia="Calibri" w:hAnsi="Arial" w:cs="Arial"/>
          <w:color w:val="000000" w:themeColor="text1"/>
          <w:sz w:val="22"/>
          <w:lang w:val="es-ES"/>
        </w:rPr>
        <w:t xml:space="preserve">el artículo 3º de la Ley 2040 de 2020, que adiciona un parágrafo al artículo 12 de la Ley 1150 de 2007, establece un criterio de desempate en los procesos de </w:t>
      </w:r>
      <w:r w:rsidRPr="009737DB">
        <w:rPr>
          <w:rFonts w:ascii="Arial" w:eastAsia="Calibri" w:hAnsi="Arial" w:cs="Arial"/>
          <w:color w:val="000000" w:themeColor="text1"/>
          <w:sz w:val="22"/>
          <w:szCs w:val="22"/>
          <w:lang w:val="es-ES"/>
        </w:rPr>
        <w:t>contratación a favor de los oferentes que tengan vinculado el mayor porcentaje de personas mayores que no sean beneficiarias de la pensión de vejez, familiar o de sobrevivencia y que hayan cumplido el requisito de edad de pensión establecido en la ley. Las tesis desarrolladas en los anteriores conceptos se reiteran a continuación:</w:t>
      </w:r>
    </w:p>
    <w:p w14:paraId="4B9A0317" w14:textId="77777777" w:rsidR="009737DB" w:rsidRDefault="009737DB" w:rsidP="009737DB">
      <w:pPr>
        <w:spacing w:line="276" w:lineRule="auto"/>
        <w:ind w:firstLine="708"/>
        <w:jc w:val="both"/>
        <w:rPr>
          <w:rFonts w:ascii="Arial" w:eastAsia="Calibri" w:hAnsi="Arial" w:cs="Arial"/>
          <w:b/>
          <w:color w:val="000000" w:themeColor="text1"/>
          <w:sz w:val="22"/>
          <w:lang w:val="es-ES"/>
        </w:rPr>
      </w:pPr>
    </w:p>
    <w:p w14:paraId="6E755422" w14:textId="77777777" w:rsidR="009737DB" w:rsidRDefault="009737DB" w:rsidP="009737DB">
      <w:pPr>
        <w:tabs>
          <w:tab w:val="left" w:pos="426"/>
        </w:tabs>
        <w:spacing w:line="276" w:lineRule="auto"/>
        <w:jc w:val="both"/>
        <w:rPr>
          <w:rFonts w:ascii="Arial" w:eastAsia="Calibri" w:hAnsi="Arial" w:cs="Arial"/>
          <w:b/>
          <w:color w:val="000000" w:themeColor="text1"/>
          <w:sz w:val="22"/>
          <w:lang w:val="es-ES"/>
        </w:rPr>
      </w:pPr>
      <w:r>
        <w:rPr>
          <w:rFonts w:ascii="Arial" w:eastAsia="Calibri" w:hAnsi="Arial" w:cs="Arial"/>
          <w:b/>
          <w:color w:val="000000" w:themeColor="text1"/>
          <w:sz w:val="22"/>
          <w:lang w:val="es-ES"/>
        </w:rPr>
        <w:t>2.1. Políticas horizontales e incentivos contractuales</w:t>
      </w:r>
    </w:p>
    <w:p w14:paraId="262980D5" w14:textId="77777777" w:rsidR="009737DB" w:rsidRDefault="009737DB" w:rsidP="009737DB">
      <w:pPr>
        <w:tabs>
          <w:tab w:val="left" w:pos="426"/>
        </w:tabs>
        <w:spacing w:line="276" w:lineRule="auto"/>
        <w:jc w:val="both"/>
        <w:rPr>
          <w:rFonts w:ascii="Arial" w:eastAsia="Calibri" w:hAnsi="Arial" w:cs="Arial"/>
          <w:b/>
          <w:color w:val="000000" w:themeColor="text1"/>
          <w:sz w:val="22"/>
          <w:lang w:val="es-ES"/>
        </w:rPr>
      </w:pPr>
    </w:p>
    <w:p w14:paraId="2140352F" w14:textId="77777777" w:rsidR="009737DB" w:rsidRDefault="009737DB" w:rsidP="009737DB">
      <w:pPr>
        <w:tabs>
          <w:tab w:val="left" w:pos="426"/>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La contratación pública puede utilizarse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r>
        <w:rPr>
          <w:rStyle w:val="Refdenotaalpie"/>
          <w:rFonts w:ascii="Arial" w:eastAsia="Calibri" w:hAnsi="Arial" w:cs="Arial"/>
          <w:color w:val="000000" w:themeColor="text1"/>
          <w:sz w:val="22"/>
          <w:lang w:val="es-ES"/>
        </w:rPr>
        <w:footnoteReference w:id="1"/>
      </w:r>
      <w:r>
        <w:rPr>
          <w:rFonts w:ascii="Arial" w:eastAsia="Calibri" w:hAnsi="Arial" w:cs="Arial"/>
          <w:color w:val="000000" w:themeColor="text1"/>
          <w:sz w:val="22"/>
          <w:lang w:val="es-ES"/>
        </w:rPr>
        <w:t>.</w:t>
      </w:r>
    </w:p>
    <w:p w14:paraId="374522B1" w14:textId="77777777" w:rsidR="009737DB" w:rsidRDefault="009737DB" w:rsidP="009737DB">
      <w:pPr>
        <w:tabs>
          <w:tab w:val="left" w:pos="426"/>
        </w:tabs>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Estas finalidades reciben diferentes nombres en los diversos contextos en los que se utilizan, algunos recurren al nombre de políticas secundarias, finalidades paralelas, o políticas colaterales u horizontales en materia de contratación</w:t>
      </w:r>
      <w:r>
        <w:rPr>
          <w:rStyle w:val="Refdenotaalpie"/>
          <w:rFonts w:ascii="Arial" w:eastAsia="Calibri" w:hAnsi="Arial" w:cs="Arial"/>
          <w:color w:val="000000" w:themeColor="text1"/>
          <w:sz w:val="22"/>
          <w:lang w:val="es-ES"/>
        </w:rPr>
        <w:footnoteReference w:id="2"/>
      </w:r>
      <w:r>
        <w:rPr>
          <w:rFonts w:ascii="Arial" w:eastAsia="Calibri" w:hAnsi="Arial" w:cs="Arial"/>
          <w:color w:val="000000" w:themeColor="text1"/>
          <w:sz w:val="22"/>
          <w:lang w:val="es-ES"/>
        </w:rPr>
        <w:t xml:space="preserve">. El concepto de política o finalidad horizontal o colateral pretende subrayar que se trata de políticas no subordinadas o inferiores, sino que acompañan la finalidad principal de la contratación estatal, que es, de conformidad con el artículo 3º de la Ley 80 de 1993,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el cumplimiento de los fines estatales, la continua y eficiente prestación de los servicios públicos y la efectividad de los derechos e intereses de los administrados que colaboran con ellas en la consecución de dichos fines». </w:t>
      </w:r>
    </w:p>
    <w:p w14:paraId="7250B93D" w14:textId="77777777" w:rsidR="009737DB" w:rsidRDefault="009737DB" w:rsidP="009737DB">
      <w:pPr>
        <w:tabs>
          <w:tab w:val="left" w:pos="426"/>
        </w:tabs>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Existen diversos tipos de políticas o medidas, algunas buscan, simplemente, que se cumplan los parámetros mínimos legales, y otras buscan incentivar ciertos comportamientos para generar beneficios sociales, económicos o ambientales. De igual manera, estas políticas pueden concretarse a través de diferentes medios, por ejemplo: establecer reservas de ciertos contratos para cierto grupo de la población, otorgar puntos adicionales como criterio de ponderación, establecer obligaciones contractuales aplicables a quien resulte adjudicatario, o como criterio de desempate, entre otras</w:t>
      </w:r>
      <w:r>
        <w:rPr>
          <w:rStyle w:val="Refdenotaalpie"/>
          <w:rFonts w:ascii="Arial" w:eastAsia="Calibri" w:hAnsi="Arial" w:cs="Arial"/>
          <w:color w:val="000000" w:themeColor="text1"/>
          <w:sz w:val="22"/>
          <w:lang w:val="es-ES"/>
        </w:rPr>
        <w:footnoteReference w:id="3"/>
      </w:r>
      <w:r>
        <w:rPr>
          <w:rFonts w:ascii="Arial" w:eastAsia="Calibri" w:hAnsi="Arial" w:cs="Arial"/>
          <w:color w:val="000000" w:themeColor="text1"/>
          <w:sz w:val="22"/>
          <w:lang w:val="es-ES"/>
        </w:rPr>
        <w:t xml:space="preserve">. </w:t>
      </w:r>
    </w:p>
    <w:p w14:paraId="1DDF4A4E" w14:textId="77777777" w:rsidR="009737DB" w:rsidRDefault="009737DB" w:rsidP="009737DB">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ab/>
        <w:t xml:space="preserve">Para una mejor comprensión, es necesario distinguir entre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política horizontal</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 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incentivo contractual</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La «política horizontal», como se dijo,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w:t>
      </w:r>
      <w:r>
        <w:rPr>
          <w:rStyle w:val="Refdenotaalpie"/>
          <w:rFonts w:ascii="Arial" w:eastAsia="Calibri" w:hAnsi="Arial" w:cs="Arial"/>
          <w:color w:val="000000" w:themeColor="text1"/>
          <w:sz w:val="22"/>
          <w:lang w:val="es-ES"/>
        </w:rPr>
        <w:footnoteReference w:id="4"/>
      </w:r>
      <w:r>
        <w:rPr>
          <w:rFonts w:ascii="Arial" w:eastAsia="Calibri" w:hAnsi="Arial" w:cs="Arial"/>
          <w:color w:val="000000" w:themeColor="text1"/>
          <w:sz w:val="22"/>
          <w:lang w:val="es-ES"/>
        </w:rPr>
        <w:t xml:space="preserve">, como es el caso, se reitera, de los criterios de desempate, puntaje adicional o convocatorias reservadas.  </w:t>
      </w:r>
    </w:p>
    <w:p w14:paraId="1A32509B" w14:textId="77777777" w:rsidR="009737DB" w:rsidRDefault="009737DB" w:rsidP="009737DB">
      <w:pPr>
        <w:tabs>
          <w:tab w:val="left" w:pos="709"/>
        </w:tabs>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 xml:space="preserve">En relación con este aspecto, interesa decir que la adopción de medidas tendientes a satisfacer necesidades adicionales, o políticas horizontales, no puede contrariar las disposiciones normativas que admiten su implementación. Por esa razón: </w:t>
      </w:r>
    </w:p>
    <w:p w14:paraId="174AFB9D" w14:textId="77777777" w:rsidR="009737DB" w:rsidRDefault="009737DB" w:rsidP="009737DB">
      <w:pPr>
        <w:tabs>
          <w:tab w:val="left" w:pos="709"/>
        </w:tabs>
        <w:ind w:left="709" w:right="758"/>
        <w:jc w:val="both"/>
        <w:rPr>
          <w:rFonts w:ascii="Arial" w:eastAsia="Calibri" w:hAnsi="Arial" w:cs="Arial"/>
          <w:color w:val="000000" w:themeColor="text1"/>
          <w:sz w:val="21"/>
          <w:szCs w:val="21"/>
          <w:lang w:val="es-ES"/>
        </w:rPr>
      </w:pPr>
    </w:p>
    <w:p w14:paraId="32A37D71" w14:textId="77777777" w:rsidR="009737DB" w:rsidRDefault="009737DB" w:rsidP="009737DB">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Pr>
          <w:rStyle w:val="Refdenotaalpie"/>
          <w:rFonts w:ascii="Arial" w:eastAsia="Calibri" w:hAnsi="Arial" w:cs="Arial"/>
          <w:color w:val="000000" w:themeColor="text1"/>
          <w:sz w:val="21"/>
          <w:szCs w:val="21"/>
          <w:lang w:val="es-ES"/>
        </w:rPr>
        <w:footnoteReference w:id="5"/>
      </w:r>
      <w:r>
        <w:rPr>
          <w:rFonts w:ascii="Arial" w:eastAsia="Calibri" w:hAnsi="Arial" w:cs="Arial"/>
          <w:color w:val="000000" w:themeColor="text1"/>
          <w:sz w:val="21"/>
          <w:szCs w:val="21"/>
          <w:lang w:val="es-ES"/>
        </w:rPr>
        <w:t>.</w:t>
      </w:r>
    </w:p>
    <w:p w14:paraId="451035DC" w14:textId="77777777" w:rsidR="009737DB" w:rsidRDefault="009737DB" w:rsidP="009737DB">
      <w:pPr>
        <w:tabs>
          <w:tab w:val="left" w:pos="709"/>
        </w:tabs>
        <w:ind w:left="709" w:right="758"/>
        <w:jc w:val="both"/>
        <w:rPr>
          <w:rFonts w:ascii="Arial" w:eastAsia="Calibri" w:hAnsi="Arial" w:cs="Arial"/>
          <w:color w:val="000000" w:themeColor="text1"/>
          <w:sz w:val="21"/>
          <w:szCs w:val="21"/>
          <w:lang w:val="es-ES"/>
        </w:rPr>
      </w:pPr>
    </w:p>
    <w:p w14:paraId="19EF22A6" w14:textId="77777777" w:rsidR="009737DB" w:rsidRDefault="009737DB" w:rsidP="009737DB">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En otras palabras, no puede haber contradicción entre la satisfacción de la intención primaria, los principios de la función administrativa, y la búsqueda de beneficios sociales, económicos o sociales para ciertos sectores de la población.</w:t>
      </w:r>
      <w:r>
        <w:rPr>
          <w:rFonts w:ascii="Arial" w:eastAsia="Calibri" w:hAnsi="Arial" w:cs="Arial"/>
          <w:color w:val="000000" w:themeColor="text1"/>
          <w:sz w:val="22"/>
          <w:lang w:val="es-ES"/>
        </w:rPr>
        <w:tab/>
        <w:t xml:space="preserve"> </w:t>
      </w:r>
    </w:p>
    <w:p w14:paraId="0610F919" w14:textId="77777777" w:rsidR="009737DB" w:rsidRDefault="009737DB" w:rsidP="009737DB">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 xml:space="preserve">A </w:t>
      </w:r>
      <w:proofErr w:type="gramStart"/>
      <w:r>
        <w:rPr>
          <w:rFonts w:ascii="Arial" w:eastAsia="Calibri" w:hAnsi="Arial" w:cs="Arial"/>
          <w:color w:val="000000" w:themeColor="text1"/>
          <w:sz w:val="22"/>
          <w:lang w:val="es-ES"/>
        </w:rPr>
        <w:t>continuación</w:t>
      </w:r>
      <w:proofErr w:type="gramEnd"/>
      <w:r>
        <w:rPr>
          <w:rFonts w:ascii="Arial" w:eastAsia="Calibri" w:hAnsi="Arial" w:cs="Arial"/>
          <w:color w:val="000000" w:themeColor="text1"/>
          <w:sz w:val="22"/>
          <w:lang w:val="es-ES"/>
        </w:rPr>
        <w:t xml:space="preserve"> se expondrán, brevemente, algunos casos de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políticas horizontales</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 así como los incentivos utilizados para materializarlas en el ordenamiento colombiano, que preexisten a la expedición de la Ley 2040 de 2020. </w:t>
      </w:r>
    </w:p>
    <w:p w14:paraId="5430EFCD" w14:textId="77777777" w:rsidR="009737DB" w:rsidRDefault="009737DB" w:rsidP="009737DB">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Este artículo dispone: </w:t>
      </w:r>
    </w:p>
    <w:p w14:paraId="746C5C64" w14:textId="77777777" w:rsidR="009737DB" w:rsidRDefault="009737DB" w:rsidP="009737DB">
      <w:pPr>
        <w:ind w:left="709" w:right="709"/>
        <w:jc w:val="both"/>
        <w:rPr>
          <w:rFonts w:ascii="Arial" w:hAnsi="Arial" w:cs="Arial"/>
          <w:color w:val="000000" w:themeColor="text1"/>
          <w:sz w:val="21"/>
          <w:szCs w:val="21"/>
          <w:lang w:val="es-ES"/>
        </w:rPr>
      </w:pPr>
    </w:p>
    <w:p w14:paraId="7C216F1F" w14:textId="77777777" w:rsidR="009737DB" w:rsidRDefault="009737DB" w:rsidP="009737DB">
      <w:pPr>
        <w:ind w:left="709" w:right="709"/>
        <w:jc w:val="both"/>
        <w:rPr>
          <w:rFonts w:ascii="Arial" w:hAnsi="Arial" w:cs="Arial"/>
          <w:color w:val="000000" w:themeColor="text1"/>
          <w:sz w:val="22"/>
          <w:lang w:val="es-ES"/>
        </w:rPr>
      </w:pPr>
      <w:r>
        <w:rPr>
          <w:rFonts w:ascii="Arial" w:hAnsi="Arial" w:cs="Arial"/>
          <w:color w:val="000000" w:themeColor="text1"/>
          <w:sz w:val="21"/>
          <w:szCs w:val="21"/>
          <w:lang w:val="es-ES"/>
        </w:rPr>
        <w:t>Artículo 1. 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Pr>
          <w:rFonts w:ascii="Arial" w:hAnsi="Arial" w:cs="Arial"/>
          <w:iCs/>
          <w:color w:val="000000" w:themeColor="text1"/>
          <w:sz w:val="21"/>
          <w:szCs w:val="21"/>
          <w:lang w:val="es-ES"/>
        </w:rPr>
        <w:t> </w:t>
      </w:r>
      <w:r>
        <w:rPr>
          <w:rFonts w:ascii="Arial" w:hAnsi="Arial" w:cs="Arial"/>
          <w:color w:val="000000" w:themeColor="text1"/>
          <w:sz w:val="21"/>
          <w:szCs w:val="21"/>
          <w:lang w:val="es-ES"/>
        </w:rPr>
        <w:t>no obligue a solicitar más de una propuesta, adoptarán criterios objetivos que permitan apoyar a la industria nacional</w:t>
      </w:r>
      <w:r>
        <w:rPr>
          <w:rFonts w:ascii="Arial" w:hAnsi="Arial" w:cs="Arial"/>
          <w:color w:val="000000" w:themeColor="text1"/>
          <w:sz w:val="22"/>
          <w:lang w:val="es-ES"/>
        </w:rPr>
        <w:t xml:space="preserve">. </w:t>
      </w:r>
    </w:p>
    <w:p w14:paraId="29B0EFC6" w14:textId="77777777" w:rsidR="009737DB" w:rsidRDefault="009737DB" w:rsidP="009737DB">
      <w:pPr>
        <w:spacing w:line="276" w:lineRule="auto"/>
        <w:ind w:right="709"/>
        <w:jc w:val="both"/>
        <w:rPr>
          <w:rFonts w:ascii="Arial" w:hAnsi="Arial" w:cs="Arial"/>
          <w:color w:val="000000" w:themeColor="text1"/>
          <w:sz w:val="22"/>
          <w:lang w:val="es-ES"/>
        </w:rPr>
      </w:pPr>
    </w:p>
    <w:p w14:paraId="03EB4DFC" w14:textId="77777777" w:rsidR="009737DB" w:rsidRDefault="009737DB" w:rsidP="009737DB">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En desarrollo de lo anterior, el artículo 2 de la misma ley, de forma expresa, determina los rangos de puntaje que las entidades deben incluir dentro de los criterios de calificación de las propuestas para promover la industria colombiana: </w:t>
      </w:r>
    </w:p>
    <w:p w14:paraId="751B61DC" w14:textId="77777777" w:rsidR="009737DB" w:rsidRDefault="009737DB" w:rsidP="009737DB">
      <w:pPr>
        <w:jc w:val="both"/>
        <w:rPr>
          <w:rFonts w:ascii="Arial" w:hAnsi="Arial" w:cs="Arial"/>
          <w:color w:val="000000" w:themeColor="text1"/>
          <w:sz w:val="22"/>
          <w:lang w:val="es-ES"/>
        </w:rPr>
      </w:pPr>
    </w:p>
    <w:p w14:paraId="3686204C" w14:textId="77777777" w:rsidR="009737DB" w:rsidRDefault="009737DB" w:rsidP="009737DB">
      <w:pPr>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lastRenderedPageBreak/>
        <w:t xml:space="preserve">Artículo 2. Las entidades de que trata el artículo 1º asignarán, dentro de los criterios de calificación de las propuestas, un puntaje comprendido entre el diez </w:t>
      </w:r>
      <w:r>
        <w:rPr>
          <w:rFonts w:ascii="Arial" w:hAnsi="Arial" w:cs="Arial"/>
          <w:color w:val="000000" w:themeColor="text1"/>
          <w:sz w:val="22"/>
          <w:lang w:val="es-ES"/>
        </w:rPr>
        <w:t>[</w:t>
      </w:r>
      <w:r>
        <w:rPr>
          <w:rFonts w:ascii="Arial" w:hAnsi="Arial" w:cs="Arial"/>
          <w:color w:val="000000" w:themeColor="text1"/>
          <w:sz w:val="21"/>
          <w:szCs w:val="21"/>
          <w:lang w:val="es-ES"/>
        </w:rPr>
        <w:t>10</w:t>
      </w:r>
      <w:r>
        <w:rPr>
          <w:rFonts w:ascii="Arial" w:hAnsi="Arial" w:cs="Arial"/>
          <w:color w:val="000000" w:themeColor="text1"/>
          <w:sz w:val="22"/>
          <w:lang w:val="es-ES"/>
        </w:rPr>
        <w:t>]</w:t>
      </w:r>
      <w:r>
        <w:rPr>
          <w:rFonts w:ascii="Arial" w:hAnsi="Arial" w:cs="Arial"/>
          <w:color w:val="000000" w:themeColor="text1"/>
          <w:sz w:val="21"/>
          <w:szCs w:val="21"/>
          <w:lang w:val="es-ES"/>
        </w:rPr>
        <w:t xml:space="preserve"> y el veinte por ciento </w:t>
      </w:r>
      <w:r>
        <w:rPr>
          <w:rFonts w:ascii="Arial" w:hAnsi="Arial" w:cs="Arial"/>
          <w:color w:val="000000" w:themeColor="text1"/>
          <w:sz w:val="22"/>
          <w:lang w:val="es-ES"/>
        </w:rPr>
        <w:t>[</w:t>
      </w:r>
      <w:r>
        <w:rPr>
          <w:rFonts w:ascii="Arial" w:hAnsi="Arial" w:cs="Arial"/>
          <w:color w:val="000000" w:themeColor="text1"/>
          <w:sz w:val="21"/>
          <w:szCs w:val="21"/>
          <w:lang w:val="es-ES"/>
        </w:rPr>
        <w:t>20%</w:t>
      </w:r>
      <w:r>
        <w:rPr>
          <w:rFonts w:ascii="Arial" w:hAnsi="Arial" w:cs="Arial"/>
          <w:color w:val="000000" w:themeColor="text1"/>
          <w:sz w:val="22"/>
          <w:lang w:val="es-ES"/>
        </w:rPr>
        <w:t>]</w:t>
      </w:r>
      <w:r>
        <w:rPr>
          <w:rFonts w:ascii="Arial" w:hAnsi="Arial" w:cs="Arial"/>
          <w:color w:val="000000" w:themeColor="text1"/>
          <w:sz w:val="21"/>
          <w:szCs w:val="21"/>
          <w:lang w:val="es-ES"/>
        </w:rPr>
        <w:t>, para estimular la industria colombiana cuando los proponentes oferten bienes o servicios nacionales.</w:t>
      </w:r>
    </w:p>
    <w:p w14:paraId="5291C253" w14:textId="77777777" w:rsidR="009737DB" w:rsidRDefault="009737DB" w:rsidP="009737DB">
      <w:pPr>
        <w:ind w:left="709" w:right="709"/>
        <w:jc w:val="both"/>
        <w:rPr>
          <w:rFonts w:ascii="Arial" w:hAnsi="Arial" w:cs="Arial"/>
          <w:color w:val="000000" w:themeColor="text1"/>
          <w:sz w:val="21"/>
          <w:szCs w:val="21"/>
          <w:lang w:val="es-ES"/>
        </w:rPr>
      </w:pPr>
    </w:p>
    <w:p w14:paraId="3CD8C544" w14:textId="77777777" w:rsidR="009737DB" w:rsidRDefault="009737DB" w:rsidP="009737DB">
      <w:pPr>
        <w:ind w:left="709" w:right="709"/>
        <w:jc w:val="both"/>
        <w:rPr>
          <w:rFonts w:ascii="Arial" w:hAnsi="Arial" w:cs="Arial"/>
          <w:color w:val="000000" w:themeColor="text1"/>
          <w:sz w:val="22"/>
          <w:lang w:val="es-ES"/>
        </w:rPr>
      </w:pPr>
      <w:r>
        <w:rPr>
          <w:rFonts w:ascii="Arial" w:hAnsi="Arial" w:cs="Arial"/>
          <w:color w:val="000000" w:themeColor="text1"/>
          <w:sz w:val="21"/>
          <w:szCs w:val="21"/>
          <w:lang w:val="es-ES"/>
        </w:rPr>
        <w:t xml:space="preserve">Tratándose de bienes o servicios extranjeros, la entidad contratante establecerá un puntaje comprendido entre el cinco </w:t>
      </w:r>
      <w:r>
        <w:rPr>
          <w:rFonts w:ascii="Arial" w:hAnsi="Arial" w:cs="Arial"/>
          <w:color w:val="000000" w:themeColor="text1"/>
          <w:sz w:val="22"/>
          <w:lang w:val="es-ES"/>
        </w:rPr>
        <w:t>[</w:t>
      </w:r>
      <w:r>
        <w:rPr>
          <w:rFonts w:ascii="Arial" w:hAnsi="Arial" w:cs="Arial"/>
          <w:color w:val="000000" w:themeColor="text1"/>
          <w:sz w:val="21"/>
          <w:szCs w:val="21"/>
          <w:lang w:val="es-ES"/>
        </w:rPr>
        <w:t>5</w:t>
      </w:r>
      <w:r>
        <w:rPr>
          <w:rFonts w:ascii="Arial" w:hAnsi="Arial" w:cs="Arial"/>
          <w:color w:val="000000" w:themeColor="text1"/>
          <w:sz w:val="22"/>
          <w:lang w:val="es-ES"/>
        </w:rPr>
        <w:t>]</w:t>
      </w:r>
      <w:r>
        <w:rPr>
          <w:rFonts w:ascii="Arial" w:hAnsi="Arial" w:cs="Arial"/>
          <w:color w:val="000000" w:themeColor="text1"/>
          <w:sz w:val="21"/>
          <w:szCs w:val="21"/>
          <w:lang w:val="es-ES"/>
        </w:rPr>
        <w:t xml:space="preserve"> y el quince por ciento </w:t>
      </w:r>
      <w:r>
        <w:rPr>
          <w:rFonts w:ascii="Arial" w:hAnsi="Arial" w:cs="Arial"/>
          <w:color w:val="000000" w:themeColor="text1"/>
          <w:sz w:val="22"/>
          <w:lang w:val="es-ES"/>
        </w:rPr>
        <w:t>[</w:t>
      </w:r>
      <w:r>
        <w:rPr>
          <w:rFonts w:ascii="Arial" w:hAnsi="Arial" w:cs="Arial"/>
          <w:color w:val="000000" w:themeColor="text1"/>
          <w:sz w:val="21"/>
          <w:szCs w:val="21"/>
          <w:lang w:val="es-ES"/>
        </w:rPr>
        <w:t>15%</w:t>
      </w:r>
      <w:r>
        <w:rPr>
          <w:rFonts w:ascii="Arial" w:hAnsi="Arial" w:cs="Arial"/>
          <w:color w:val="000000" w:themeColor="text1"/>
          <w:sz w:val="22"/>
          <w:lang w:val="es-ES"/>
        </w:rPr>
        <w:t>]</w:t>
      </w:r>
      <w:r>
        <w:rPr>
          <w:rFonts w:ascii="Arial" w:hAnsi="Arial" w:cs="Arial"/>
          <w:color w:val="000000" w:themeColor="text1"/>
          <w:sz w:val="21"/>
          <w:szCs w:val="21"/>
          <w:lang w:val="es-ES"/>
        </w:rPr>
        <w:t>, para incentivar la incorporación de componente colombiano de bienes y servicios profesionales, técnicos y operativos</w:t>
      </w:r>
      <w:r>
        <w:rPr>
          <w:rFonts w:ascii="Arial" w:hAnsi="Arial" w:cs="Arial"/>
          <w:color w:val="000000" w:themeColor="text1"/>
          <w:sz w:val="22"/>
          <w:lang w:val="es-ES"/>
        </w:rPr>
        <w:t>.</w:t>
      </w:r>
    </w:p>
    <w:p w14:paraId="631496BF" w14:textId="77777777" w:rsidR="009737DB" w:rsidRDefault="009737DB" w:rsidP="009737DB">
      <w:pPr>
        <w:jc w:val="both"/>
        <w:rPr>
          <w:rFonts w:ascii="Arial" w:hAnsi="Arial" w:cs="Arial"/>
          <w:color w:val="000000" w:themeColor="text1"/>
          <w:sz w:val="22"/>
          <w:lang w:val="es-ES"/>
        </w:rPr>
      </w:pPr>
    </w:p>
    <w:p w14:paraId="27E7FD72" w14:textId="77777777" w:rsidR="009737DB" w:rsidRDefault="009737DB" w:rsidP="009737DB">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Como se observa, la norma establece dos supuestos para asignar puntaje. Por un lado, se encuentran los proponentes que oferten bienes o servicios nacionales y los proponentes que tienen trato nacional producto de los acuerdos comerciales suscritos por Colombia con otros Estados</w:t>
      </w:r>
      <w:r>
        <w:rPr>
          <w:rStyle w:val="Refdenotaalpie"/>
          <w:rFonts w:ascii="Arial" w:hAnsi="Arial" w:cs="Arial"/>
          <w:color w:val="000000" w:themeColor="text1"/>
          <w:sz w:val="22"/>
          <w:lang w:val="es-ES"/>
        </w:rPr>
        <w:footnoteReference w:id="6"/>
      </w:r>
      <w:r>
        <w:rPr>
          <w:rFonts w:ascii="Arial" w:hAnsi="Arial" w:cs="Arial"/>
          <w:color w:val="000000" w:themeColor="text1"/>
          <w:sz w:val="22"/>
          <w:lang w:val="es-ES"/>
        </w:rPr>
        <w:t xml:space="preserve">. Por otro lado, están los proponentes extranjeros que no tengan trato nacional y oferten incorporar componente colombiano de bienes o servicios. </w:t>
      </w:r>
    </w:p>
    <w:p w14:paraId="09F2D303" w14:textId="77777777" w:rsidR="009737DB" w:rsidRDefault="009737DB" w:rsidP="009737DB">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En armonía con lo anterior, el Decreto 1082 de 2015 definió los «Servicios Nacionales» como aquellos prestados por personas naturales colombianas o residentes en Colombia, o por personas jurídicas constituidas en Colombia conforme a lo previsto en las disposiciones de la legislación colombiana</w:t>
      </w:r>
      <w:r>
        <w:rPr>
          <w:rStyle w:val="Refdenotaalpie"/>
          <w:rFonts w:ascii="Arial" w:hAnsi="Arial" w:cs="Arial"/>
          <w:color w:val="000000" w:themeColor="text1"/>
          <w:sz w:val="22"/>
          <w:lang w:val="es-ES"/>
        </w:rPr>
        <w:footnoteReference w:id="7"/>
      </w:r>
      <w:r>
        <w:rPr>
          <w:rFonts w:ascii="Arial" w:hAnsi="Arial" w:cs="Arial"/>
          <w:color w:val="000000" w:themeColor="text1"/>
          <w:sz w:val="22"/>
          <w:lang w:val="es-ES"/>
        </w:rPr>
        <w:t xml:space="preserve">. </w:t>
      </w:r>
    </w:p>
    <w:p w14:paraId="4395D057" w14:textId="77777777" w:rsidR="009737DB" w:rsidRDefault="009737DB" w:rsidP="009737DB">
      <w:pPr>
        <w:spacing w:line="276" w:lineRule="auto"/>
        <w:ind w:firstLine="709"/>
        <w:jc w:val="both"/>
        <w:rPr>
          <w:rFonts w:ascii="Arial" w:hAnsi="Arial" w:cs="Arial"/>
          <w:sz w:val="22"/>
          <w:lang w:val="es-ES"/>
        </w:rPr>
      </w:pPr>
      <w:r>
        <w:rPr>
          <w:rFonts w:ascii="Arial" w:hAnsi="Arial" w:cs="Arial"/>
          <w:color w:val="000000" w:themeColor="text1"/>
          <w:sz w:val="22"/>
          <w:lang w:val="es-ES"/>
        </w:rPr>
        <w:t xml:space="preserve">En relación con otro incentivo, </w:t>
      </w:r>
      <w:r>
        <w:rPr>
          <w:rFonts w:ascii="Arial" w:hAnsi="Arial" w:cs="Arial"/>
          <w:sz w:val="22"/>
          <w:lang w:val="es-ES"/>
        </w:rPr>
        <w:t>la Ley 1618 de 2013 estableció disposiciones para garantizar el ejercicio de los derechos de personas en condición de discapacidad</w:t>
      </w:r>
      <w:r>
        <w:rPr>
          <w:rStyle w:val="Refdenotaalpie"/>
          <w:rFonts w:ascii="Arial" w:hAnsi="Arial" w:cs="Arial"/>
          <w:sz w:val="21"/>
          <w:szCs w:val="21"/>
          <w:lang w:val="es-ES"/>
        </w:rPr>
        <w:footnoteReference w:id="8"/>
      </w:r>
      <w:r>
        <w:rPr>
          <w:rFonts w:ascii="Arial" w:hAnsi="Arial" w:cs="Arial"/>
          <w:sz w:val="21"/>
          <w:szCs w:val="21"/>
          <w:lang w:val="es-ES"/>
        </w:rPr>
        <w:t>. El</w:t>
      </w:r>
      <w:r>
        <w:rPr>
          <w:rFonts w:ascii="Arial" w:hAnsi="Arial" w:cs="Arial"/>
          <w:sz w:val="22"/>
          <w:lang w:val="es-ES"/>
        </w:rPr>
        <w:t xml:space="preserve"> artículo 13 </w:t>
      </w:r>
      <w:proofErr w:type="spellStart"/>
      <w:r>
        <w:rPr>
          <w:rFonts w:ascii="Arial" w:hAnsi="Arial" w:cs="Arial"/>
          <w:i/>
          <w:iCs/>
          <w:sz w:val="22"/>
          <w:lang w:val="es-ES"/>
        </w:rPr>
        <w:t>ibídem</w:t>
      </w:r>
      <w:proofErr w:type="spellEnd"/>
      <w:r>
        <w:rPr>
          <w:rFonts w:ascii="Arial" w:hAnsi="Arial" w:cs="Arial"/>
          <w:i/>
          <w:iCs/>
          <w:sz w:val="22"/>
          <w:lang w:val="es-ES"/>
        </w:rPr>
        <w:t xml:space="preserve"> </w:t>
      </w:r>
      <w:r>
        <w:rPr>
          <w:rFonts w:ascii="Arial" w:hAnsi="Arial" w:cs="Arial"/>
          <w:sz w:val="22"/>
          <w:lang w:val="es-ES"/>
        </w:rPr>
        <w:t>ordenó al Gobierno Nacional expedir un reglamento que determinara la metodología mediante la cual se otorgaría el puntaje adicional a las empresas que en su planta de personal cuenten con personal en situación de discapacidad:</w:t>
      </w:r>
    </w:p>
    <w:p w14:paraId="65666090" w14:textId="77777777" w:rsidR="009737DB" w:rsidRDefault="009737DB" w:rsidP="009737DB">
      <w:pPr>
        <w:jc w:val="both"/>
        <w:rPr>
          <w:rFonts w:ascii="Arial" w:hAnsi="Arial" w:cs="Arial"/>
          <w:sz w:val="22"/>
          <w:lang w:val="es-ES"/>
        </w:rPr>
      </w:pPr>
    </w:p>
    <w:p w14:paraId="23934EAE" w14:textId="77777777" w:rsidR="009737DB" w:rsidRDefault="009737DB" w:rsidP="009737DB">
      <w:pPr>
        <w:ind w:left="709" w:right="709"/>
        <w:jc w:val="both"/>
        <w:rPr>
          <w:rFonts w:ascii="Arial" w:hAnsi="Arial" w:cs="Arial"/>
          <w:sz w:val="21"/>
          <w:szCs w:val="21"/>
          <w:lang w:val="es-ES"/>
        </w:rPr>
      </w:pPr>
      <w:r>
        <w:rPr>
          <w:rFonts w:ascii="Arial" w:hAnsi="Arial" w:cs="Arial"/>
          <w:sz w:val="21"/>
          <w:szCs w:val="21"/>
          <w:lang w:val="es-ES"/>
        </w:rPr>
        <w:t xml:space="preserve">Artículo 13. Derecho al trabajo. Todas las personas con discapacidad tienen derecho al trabajo. Para garantizar el ejercicio efectivo del derecho al trabajo de </w:t>
      </w:r>
      <w:r>
        <w:rPr>
          <w:rFonts w:ascii="Arial" w:hAnsi="Arial" w:cs="Arial"/>
          <w:sz w:val="21"/>
          <w:szCs w:val="21"/>
          <w:lang w:val="es-ES"/>
        </w:rPr>
        <w:lastRenderedPageBreak/>
        <w:t xml:space="preserve">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653E1EEF" w14:textId="77777777" w:rsidR="009737DB" w:rsidRDefault="009737DB" w:rsidP="009737DB">
      <w:pPr>
        <w:ind w:left="709" w:right="709"/>
        <w:jc w:val="both"/>
        <w:rPr>
          <w:rFonts w:ascii="Arial" w:hAnsi="Arial" w:cs="Arial"/>
          <w:sz w:val="21"/>
          <w:szCs w:val="21"/>
          <w:lang w:val="es-ES"/>
        </w:rPr>
      </w:pPr>
    </w:p>
    <w:p w14:paraId="1B3599BB" w14:textId="77777777" w:rsidR="009737DB" w:rsidRDefault="009737DB" w:rsidP="009737DB">
      <w:pPr>
        <w:ind w:left="709" w:right="709"/>
        <w:jc w:val="both"/>
        <w:rPr>
          <w:rFonts w:ascii="Arial" w:hAnsi="Arial" w:cs="Arial"/>
          <w:sz w:val="21"/>
          <w:szCs w:val="21"/>
          <w:lang w:val="es-ES"/>
        </w:rPr>
      </w:pPr>
      <w:r>
        <w:rPr>
          <w:rFonts w:ascii="Arial" w:hAnsi="Arial" w:cs="Arial"/>
          <w:sz w:val="21"/>
          <w:szCs w:val="21"/>
          <w:lang w:val="es-E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72576BC7" w14:textId="77777777" w:rsidR="009737DB" w:rsidRDefault="009737DB" w:rsidP="009737DB">
      <w:pPr>
        <w:ind w:left="709" w:right="709"/>
        <w:jc w:val="both"/>
        <w:rPr>
          <w:rFonts w:ascii="Arial" w:hAnsi="Arial" w:cs="Arial"/>
          <w:sz w:val="21"/>
          <w:szCs w:val="21"/>
          <w:lang w:val="es-ES"/>
        </w:rPr>
      </w:pPr>
      <w:r>
        <w:rPr>
          <w:rFonts w:ascii="Arial" w:hAnsi="Arial" w:cs="Arial"/>
          <w:sz w:val="21"/>
          <w:szCs w:val="21"/>
          <w:lang w:val="es-ES"/>
        </w:rPr>
        <w:t>[…]</w:t>
      </w:r>
    </w:p>
    <w:p w14:paraId="1ECEB11F" w14:textId="77777777" w:rsidR="009737DB" w:rsidRDefault="009737DB" w:rsidP="009737DB">
      <w:pPr>
        <w:ind w:left="709" w:right="709"/>
        <w:jc w:val="both"/>
        <w:rPr>
          <w:rFonts w:ascii="Arial" w:hAnsi="Arial" w:cs="Arial"/>
          <w:sz w:val="21"/>
          <w:szCs w:val="21"/>
          <w:lang w:val="es-ES"/>
        </w:rPr>
      </w:pPr>
    </w:p>
    <w:p w14:paraId="7A6DC79A" w14:textId="77777777" w:rsidR="009737DB" w:rsidRDefault="009737DB" w:rsidP="009737DB">
      <w:pPr>
        <w:ind w:left="708" w:right="709"/>
        <w:jc w:val="both"/>
        <w:rPr>
          <w:rFonts w:ascii="Arial" w:hAnsi="Arial" w:cs="Arial"/>
          <w:sz w:val="21"/>
          <w:szCs w:val="21"/>
          <w:lang w:val="es-ES"/>
        </w:rPr>
      </w:pPr>
      <w:r>
        <w:rPr>
          <w:rFonts w:ascii="Arial" w:hAnsi="Arial" w:cs="Arial"/>
          <w:sz w:val="21"/>
          <w:szCs w:val="21"/>
          <w:lang w:val="es-ES"/>
        </w:rPr>
        <w:t xml:space="preserve">8. Los </w:t>
      </w:r>
      <w:proofErr w:type="gramStart"/>
      <w:r>
        <w:rPr>
          <w:rFonts w:ascii="Arial" w:hAnsi="Arial" w:cs="Arial"/>
          <w:sz w:val="21"/>
          <w:szCs w:val="21"/>
          <w:lang w:val="es-ES"/>
        </w:rPr>
        <w:t>gobiernos nacional</w:t>
      </w:r>
      <w:proofErr w:type="gramEnd"/>
      <w:r>
        <w:rPr>
          <w:rFonts w:ascii="Arial" w:hAnsi="Arial" w:cs="Arial"/>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14:paraId="608F5AE0" w14:textId="77777777" w:rsidR="009737DB" w:rsidRDefault="009737DB" w:rsidP="009737DB">
      <w:pPr>
        <w:ind w:left="708" w:right="709"/>
        <w:jc w:val="both"/>
        <w:rPr>
          <w:rFonts w:ascii="Arial" w:hAnsi="Arial" w:cs="Arial"/>
          <w:sz w:val="21"/>
          <w:szCs w:val="21"/>
          <w:lang w:val="es-ES"/>
        </w:rPr>
      </w:pPr>
    </w:p>
    <w:p w14:paraId="769E2DFF" w14:textId="77777777" w:rsidR="009737DB" w:rsidRDefault="009737DB" w:rsidP="009737DB">
      <w:pPr>
        <w:spacing w:after="120" w:line="276" w:lineRule="auto"/>
        <w:ind w:firstLine="708"/>
        <w:jc w:val="both"/>
        <w:rPr>
          <w:rFonts w:ascii="Arial" w:hAnsi="Arial" w:cs="Arial"/>
          <w:sz w:val="22"/>
          <w:lang w:val="es-ES"/>
        </w:rPr>
      </w:pPr>
      <w:r>
        <w:rPr>
          <w:rFonts w:ascii="Arial" w:hAnsi="Arial" w:cs="Arial"/>
          <w:sz w:val="22"/>
          <w:lang w:val="es-ES"/>
        </w:rPr>
        <w:t xml:space="preserve">Como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compilado en el Decreto 1082 de 2015, obliga a las entidades a otorgar un puntaje adicional en los procesos de selección de contratistas del Estado, en las modalidades de licitación pública y concurso de méritos, a quienes acrediten que al menos el diez por ciento (10%) de su nómina la integran personas en situación de discapacidad. </w:t>
      </w:r>
    </w:p>
    <w:p w14:paraId="2D577BAF" w14:textId="77777777" w:rsidR="009737DB" w:rsidRDefault="009737DB" w:rsidP="009737DB">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Finalmente, frente a otro incentivo, el artículo 12 la Ley 1150 de 2007, modificado por el artículo 32 de la Ley 1450 de 2011, estableció las convocatorias limitadas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contratación pública, en los siguientes términos:</w:t>
      </w:r>
    </w:p>
    <w:p w14:paraId="1030BFB8" w14:textId="77777777" w:rsidR="009737DB" w:rsidRDefault="009737DB" w:rsidP="009737DB">
      <w:pPr>
        <w:jc w:val="both"/>
        <w:rPr>
          <w:rFonts w:ascii="Arial" w:hAnsi="Arial" w:cs="Arial"/>
          <w:color w:val="000000" w:themeColor="text1"/>
          <w:sz w:val="22"/>
          <w:lang w:val="es-ES"/>
        </w:rPr>
      </w:pPr>
    </w:p>
    <w:p w14:paraId="3937B2D6" w14:textId="77777777" w:rsidR="009737DB" w:rsidRDefault="009737DB" w:rsidP="009737DB">
      <w:pPr>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Pr>
          <w:rFonts w:ascii="Arial" w:hAnsi="Arial" w:cs="Arial"/>
          <w:i/>
          <w:iCs/>
          <w:color w:val="000000" w:themeColor="text1"/>
          <w:sz w:val="21"/>
          <w:szCs w:val="21"/>
          <w:lang w:val="es-ES"/>
        </w:rPr>
        <w:t xml:space="preserve">las entidades estatales adopten en beneficio de las </w:t>
      </w:r>
      <w:proofErr w:type="spellStart"/>
      <w:r>
        <w:rPr>
          <w:rFonts w:ascii="Arial" w:hAnsi="Arial" w:cs="Arial"/>
          <w:i/>
          <w:iCs/>
          <w:color w:val="000000" w:themeColor="text1"/>
          <w:sz w:val="21"/>
          <w:szCs w:val="21"/>
          <w:lang w:val="es-ES"/>
        </w:rPr>
        <w:t>Mipymes</w:t>
      </w:r>
      <w:proofErr w:type="spellEnd"/>
      <w:r>
        <w:rPr>
          <w:rFonts w:ascii="Arial" w:hAnsi="Arial" w:cs="Arial"/>
          <w:i/>
          <w:iCs/>
          <w:color w:val="000000" w:themeColor="text1"/>
          <w:sz w:val="21"/>
          <w:szCs w:val="21"/>
          <w:lang w:val="es-ES"/>
        </w:rPr>
        <w:t xml:space="preserve">, convocatorias limitadas a estas en las que, previo a la Resolución de apertura del proceso respectivo, se haya manifestado el interés del número plural de </w:t>
      </w:r>
      <w:proofErr w:type="spellStart"/>
      <w:r>
        <w:rPr>
          <w:rFonts w:ascii="Arial" w:hAnsi="Arial" w:cs="Arial"/>
          <w:i/>
          <w:iCs/>
          <w:color w:val="000000" w:themeColor="text1"/>
          <w:sz w:val="21"/>
          <w:szCs w:val="21"/>
          <w:lang w:val="es-ES"/>
        </w:rPr>
        <w:t>Mipymes</w:t>
      </w:r>
      <w:proofErr w:type="spellEnd"/>
      <w:r>
        <w:rPr>
          <w:rFonts w:ascii="Arial" w:hAnsi="Arial" w:cs="Arial"/>
          <w:i/>
          <w:iCs/>
          <w:color w:val="000000" w:themeColor="text1"/>
          <w:sz w:val="21"/>
          <w:szCs w:val="21"/>
          <w:lang w:val="es-ES"/>
        </w:rPr>
        <w:t xml:space="preserve"> que haya sido determinado en el reglamento </w:t>
      </w:r>
      <w:r>
        <w:rPr>
          <w:rFonts w:ascii="Arial" w:hAnsi="Arial" w:cs="Arial"/>
          <w:color w:val="000000" w:themeColor="text1"/>
          <w:sz w:val="21"/>
          <w:szCs w:val="21"/>
          <w:lang w:val="es-ES"/>
        </w:rPr>
        <w:t>[…] (Cursivas fuera de texto).</w:t>
      </w:r>
    </w:p>
    <w:p w14:paraId="28D4900A" w14:textId="77777777" w:rsidR="009737DB" w:rsidRDefault="009737DB" w:rsidP="009737DB">
      <w:pPr>
        <w:ind w:left="709" w:right="709"/>
        <w:jc w:val="both"/>
        <w:rPr>
          <w:rFonts w:ascii="Arial" w:hAnsi="Arial" w:cs="Arial"/>
          <w:color w:val="000000" w:themeColor="text1"/>
          <w:sz w:val="22"/>
          <w:lang w:val="es-ES"/>
        </w:rPr>
      </w:pPr>
    </w:p>
    <w:p w14:paraId="7DA6905E" w14:textId="77777777" w:rsidR="009737DB" w:rsidRDefault="009737DB" w:rsidP="009737DB">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El Decreto 1082 de 2015 reglamentó la norma transcrita, adoptando medidas para incentivar a las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la contratación pública. Dentro de estas medidas se destacan las «convocatorias limitadas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y la «limitación territorial»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contenidas, respectivamente, en los artículos 2.2.1.2.4.2.2. y 2.2.1.2.4.2.3. Este último establece lo siguiente:</w:t>
      </w:r>
    </w:p>
    <w:p w14:paraId="79FD63F3" w14:textId="77777777" w:rsidR="009737DB" w:rsidRDefault="009737DB" w:rsidP="009737DB">
      <w:pPr>
        <w:ind w:firstLine="709"/>
        <w:jc w:val="both"/>
        <w:rPr>
          <w:rFonts w:ascii="Arial" w:hAnsi="Arial" w:cs="Arial"/>
          <w:color w:val="000000" w:themeColor="text1"/>
          <w:sz w:val="22"/>
          <w:lang w:val="es-ES"/>
        </w:rPr>
      </w:pPr>
    </w:p>
    <w:p w14:paraId="08F06096" w14:textId="77777777" w:rsidR="009737DB" w:rsidRDefault="009737DB" w:rsidP="009737DB">
      <w:pPr>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Las Entidades Estatales pueden realizar convocatorias limitadas a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domiciliadas en los departamentos o municipios en donde se va a ejecutar el contrato. La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debe acreditar su domicilio con el registro mercantil o el certificado de existencia y representación legal de la empresa.</w:t>
      </w:r>
    </w:p>
    <w:p w14:paraId="08B5FEFC" w14:textId="77777777" w:rsidR="009737DB" w:rsidRDefault="009737DB" w:rsidP="009737DB">
      <w:pPr>
        <w:ind w:left="709" w:right="760"/>
        <w:jc w:val="both"/>
        <w:rPr>
          <w:rFonts w:ascii="Arial" w:hAnsi="Arial" w:cs="Arial"/>
          <w:color w:val="000000" w:themeColor="text1"/>
          <w:sz w:val="21"/>
          <w:szCs w:val="21"/>
          <w:lang w:val="es-ES"/>
        </w:rPr>
      </w:pPr>
    </w:p>
    <w:p w14:paraId="4903CEA1" w14:textId="77777777" w:rsidR="009737DB" w:rsidRDefault="009737DB" w:rsidP="009737DB">
      <w:pPr>
        <w:ind w:right="760"/>
        <w:jc w:val="both"/>
        <w:rPr>
          <w:rFonts w:ascii="Arial" w:hAnsi="Arial" w:cs="Arial"/>
          <w:color w:val="000000" w:themeColor="text1"/>
          <w:sz w:val="22"/>
          <w:lang w:val="es-ES"/>
        </w:rPr>
      </w:pPr>
      <w:r>
        <w:rPr>
          <w:rFonts w:ascii="Arial" w:hAnsi="Arial" w:cs="Arial"/>
          <w:color w:val="000000" w:themeColor="text1"/>
          <w:sz w:val="22"/>
          <w:lang w:val="es-ES"/>
        </w:rPr>
        <w:t>El artículo 2.2.1.2.4.2.2., por su parte, dispone que:</w:t>
      </w:r>
    </w:p>
    <w:p w14:paraId="321AE276" w14:textId="77777777" w:rsidR="009737DB" w:rsidRDefault="009737DB" w:rsidP="009737DB">
      <w:pPr>
        <w:ind w:left="709" w:right="760"/>
        <w:jc w:val="both"/>
        <w:rPr>
          <w:rFonts w:ascii="Arial" w:hAnsi="Arial" w:cs="Arial"/>
          <w:color w:val="000000" w:themeColor="text1"/>
          <w:sz w:val="21"/>
          <w:szCs w:val="21"/>
          <w:lang w:val="es-ES"/>
        </w:rPr>
      </w:pPr>
    </w:p>
    <w:p w14:paraId="4C6E98E4" w14:textId="77777777" w:rsidR="009737DB" w:rsidRDefault="009737DB" w:rsidP="009737DB">
      <w:pPr>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La Entidad Estatal debe limitar a las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con mínimo un (1) año de existencia la convocatoria del Proceso de Contratación en la modalidad de licitación pública, selección abreviada y concurso de méritos cuando:</w:t>
      </w:r>
    </w:p>
    <w:p w14:paraId="49EC3C5E" w14:textId="77777777" w:rsidR="009737DB" w:rsidRDefault="009737DB" w:rsidP="009737DB">
      <w:pPr>
        <w:ind w:left="709" w:right="760"/>
        <w:jc w:val="both"/>
        <w:rPr>
          <w:rFonts w:ascii="Arial" w:hAnsi="Arial" w:cs="Arial"/>
          <w:color w:val="000000" w:themeColor="text1"/>
          <w:sz w:val="21"/>
          <w:szCs w:val="21"/>
          <w:lang w:val="es-ES"/>
        </w:rPr>
      </w:pPr>
    </w:p>
    <w:p w14:paraId="06D4BE50" w14:textId="77777777" w:rsidR="009737DB" w:rsidRDefault="009737DB" w:rsidP="009737DB">
      <w:pPr>
        <w:pStyle w:val="Prrafodelista"/>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2A95C693" w14:textId="77777777" w:rsidR="009737DB" w:rsidRDefault="009737DB" w:rsidP="009737DB">
      <w:pPr>
        <w:pStyle w:val="Prrafodelista"/>
        <w:ind w:left="709" w:right="760"/>
        <w:jc w:val="both"/>
        <w:rPr>
          <w:rFonts w:ascii="Arial" w:hAnsi="Arial" w:cs="Arial"/>
          <w:color w:val="000000" w:themeColor="text1"/>
          <w:sz w:val="21"/>
          <w:szCs w:val="21"/>
          <w:lang w:val="es-ES"/>
        </w:rPr>
      </w:pPr>
    </w:p>
    <w:p w14:paraId="4EEFC221" w14:textId="77777777" w:rsidR="009737DB" w:rsidRDefault="009737DB" w:rsidP="009737DB">
      <w:pPr>
        <w:pStyle w:val="Prrafodelista"/>
        <w:ind w:left="709" w:right="760"/>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2. La Entidad Estatal ha recibido solicitudes de por lo menos tres (3)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para limitar la convocatoria a </w:t>
      </w:r>
      <w:proofErr w:type="spellStart"/>
      <w:r>
        <w:rPr>
          <w:rFonts w:ascii="Arial" w:hAnsi="Arial" w:cs="Arial"/>
          <w:color w:val="000000" w:themeColor="text1"/>
          <w:sz w:val="21"/>
          <w:szCs w:val="21"/>
          <w:lang w:val="es-ES"/>
        </w:rPr>
        <w:t>Mipyme</w:t>
      </w:r>
      <w:proofErr w:type="spellEnd"/>
      <w:r>
        <w:rPr>
          <w:rFonts w:ascii="Arial" w:hAnsi="Arial" w:cs="Arial"/>
          <w:color w:val="000000" w:themeColor="text1"/>
          <w:sz w:val="21"/>
          <w:szCs w:val="21"/>
          <w:lang w:val="es-ES"/>
        </w:rPr>
        <w:t xml:space="preserve"> nacionales. La Entidad Estatal debe recibir estas solicitudes por lo menos un (1) día hábil antes de la apertura del Proceso de Contratación.</w:t>
      </w:r>
    </w:p>
    <w:p w14:paraId="5EF745D3" w14:textId="77777777" w:rsidR="009737DB" w:rsidRDefault="009737DB" w:rsidP="009737DB">
      <w:pPr>
        <w:jc w:val="both"/>
        <w:rPr>
          <w:rFonts w:ascii="Arial" w:hAnsi="Arial" w:cs="Arial"/>
          <w:color w:val="000000" w:themeColor="text1"/>
          <w:sz w:val="20"/>
          <w:szCs w:val="20"/>
          <w:lang w:val="es-ES"/>
        </w:rPr>
      </w:pPr>
    </w:p>
    <w:p w14:paraId="4F3EA7B0" w14:textId="77777777" w:rsidR="009737DB" w:rsidRDefault="009737DB" w:rsidP="009737DB">
      <w:pPr>
        <w:spacing w:after="120"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 xml:space="preserve">Puede decirse, entonces, que el Decreto 1082 de 2015 regula la limitación de convocatorias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dos normas distintas, las cuales, sin embargo, deben leerse conjunta y armónicamente. Por un lado, una disposición prevé los requisitos generales para que la entidad limite sus convocatorias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nacionales, y por el otro, se establece la posibilidad de regular la convocatoria a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nacionales domiciliadas en los departamentos o municipios donde se ejecutará el contrato. </w:t>
      </w:r>
    </w:p>
    <w:p w14:paraId="31B3E454" w14:textId="77777777" w:rsidR="009737DB" w:rsidRDefault="009737DB" w:rsidP="009737DB">
      <w:pPr>
        <w:spacing w:line="276" w:lineRule="auto"/>
        <w:ind w:firstLine="709"/>
        <w:jc w:val="both"/>
        <w:rPr>
          <w:rFonts w:ascii="Arial" w:eastAsia="Calibri" w:hAnsi="Arial" w:cs="Arial"/>
          <w:color w:val="000000" w:themeColor="text1"/>
          <w:sz w:val="22"/>
          <w:lang w:val="es-ES"/>
        </w:rPr>
      </w:pPr>
      <w:r>
        <w:rPr>
          <w:rFonts w:ascii="Arial" w:hAnsi="Arial" w:cs="Arial"/>
          <w:color w:val="000000" w:themeColor="text1"/>
          <w:sz w:val="22"/>
          <w:lang w:val="es-ES"/>
        </w:rPr>
        <w:t xml:space="preserve">En los ejemplos señalados, a modo enunciativo, las políticas se han materializado otorgando puntos adicionales o mediante la modalidad de contratación reservada o limitada –para el caso de las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No obstante, los incentivos contractuales expuestos a modo de ejemplo no se agotan allí, pues en adición a ellos,</w:t>
      </w:r>
      <w:r>
        <w:rPr>
          <w:rFonts w:ascii="Arial" w:eastAsia="Calibri" w:hAnsi="Arial" w:cs="Arial"/>
          <w:color w:val="000000" w:themeColor="text1"/>
          <w:sz w:val="22"/>
          <w:lang w:val="es-ES"/>
        </w:rPr>
        <w:t xml:space="preserve"> el ordenamiento prevé una modalidad de incentivo distinto: los criterios de desempate. En este sentido, el artículo 2.2.1.1.2.2.9. del Decreto 1082 de 2015 dispone: </w:t>
      </w:r>
    </w:p>
    <w:p w14:paraId="5D4B38BD" w14:textId="77777777" w:rsidR="009737DB" w:rsidRDefault="009737DB" w:rsidP="009737DB">
      <w:pPr>
        <w:spacing w:line="276" w:lineRule="auto"/>
        <w:ind w:firstLine="709"/>
        <w:jc w:val="both"/>
        <w:rPr>
          <w:rFonts w:ascii="Arial" w:eastAsiaTheme="minorHAnsi" w:hAnsi="Arial" w:cs="Arial"/>
          <w:color w:val="000000" w:themeColor="text1"/>
          <w:sz w:val="22"/>
          <w:lang w:val="es-ES"/>
        </w:rPr>
      </w:pPr>
    </w:p>
    <w:p w14:paraId="29CC9CC7" w14:textId="77777777" w:rsidR="009737DB" w:rsidRDefault="009737DB" w:rsidP="009737DB">
      <w:pPr>
        <w:tabs>
          <w:tab w:val="left" w:pos="1276"/>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9A74A46"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p>
    <w:p w14:paraId="11D919F4"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Si persiste el empate, la Entidad Estatal debe utilizar las siguientes reglas de forma sucesiva y excluyente para seleccionar el oferente favorecido, respetando los compromisos adquiridos por Acuerdos Comerciales:</w:t>
      </w:r>
    </w:p>
    <w:p w14:paraId="50C553CC"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p>
    <w:p w14:paraId="3D2C8EC1"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lastRenderedPageBreak/>
        <w:t>1.    Preferir la oferta de bienes o servicios nacionales frente a la oferta de bienes o servicios extranjeros.</w:t>
      </w:r>
    </w:p>
    <w:p w14:paraId="716D4D30"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p>
    <w:p w14:paraId="09372ACB"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2.    Preferir las ofertas presentada por una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xml:space="preserve"> nacional.</w:t>
      </w:r>
    </w:p>
    <w:p w14:paraId="24716711"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p>
    <w:p w14:paraId="2D8BCF4B"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3.    Preferir la oferta presentada por un consorcio, unión temporal o promesa de sociedad futura siempre que: (a) esté conformado por al menos una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xml:space="preserve"> nacional que tenga una participación de por lo menos el veinticinco por ciento (25%); (b) la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xml:space="preserve"> aporte mínimo el veinticinco por ciento (25%) de la experiencia acreditada en la oferta; y (c) ni la </w:t>
      </w:r>
      <w:proofErr w:type="spellStart"/>
      <w:r>
        <w:rPr>
          <w:rFonts w:ascii="Arial" w:eastAsia="Calibri" w:hAnsi="Arial" w:cs="Arial"/>
          <w:color w:val="000000" w:themeColor="text1"/>
          <w:sz w:val="21"/>
          <w:szCs w:val="21"/>
          <w:lang w:val="es-ES"/>
        </w:rPr>
        <w:t>Mipyme</w:t>
      </w:r>
      <w:proofErr w:type="spellEnd"/>
      <w:r>
        <w:rPr>
          <w:rFonts w:ascii="Arial" w:eastAsia="Calibri" w:hAnsi="Arial" w:cs="Arial"/>
          <w:color w:val="000000" w:themeColor="text1"/>
          <w:sz w:val="21"/>
          <w:szCs w:val="21"/>
          <w:lang w:val="es-ES"/>
        </w:rPr>
        <w:t>, ni sus accionistas, socios o representantes legales sean empleados, socios o accionistas de los miembros del consorcio, unión temporal o promesa de sociedad futura.</w:t>
      </w:r>
    </w:p>
    <w:p w14:paraId="679C3B19"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p>
    <w:p w14:paraId="6F941987"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4.    Preferir la propuesta presentada por el oferente que acredite en las condiciones establecidas en la ley que por lo menos el diez por ciento (10%) de su nómina está en condición de discapacidad a la que se refiere la </w:t>
      </w:r>
      <w:r>
        <w:rPr>
          <w:rFonts w:ascii="Arial" w:eastAsia="Calibri" w:hAnsi="Arial" w:cs="Arial"/>
          <w:sz w:val="21"/>
          <w:szCs w:val="21"/>
          <w:lang w:val="es-ES"/>
        </w:rPr>
        <w:t>Ley 361 de 1997</w:t>
      </w:r>
      <w:r>
        <w:rPr>
          <w:rFonts w:ascii="Arial" w:eastAsia="Calibri" w:hAnsi="Arial" w:cs="Arial"/>
          <w:color w:val="000000" w:themeColor="text1"/>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1FA43C04"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p>
    <w:p w14:paraId="7A9F358C" w14:textId="77777777" w:rsidR="009737DB" w:rsidRDefault="009737DB" w:rsidP="009737DB">
      <w:pPr>
        <w:tabs>
          <w:tab w:val="left" w:pos="709"/>
        </w:tabs>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5.    Utilizar un método aleatorio para seleccionar el oferente, método que deberá haber sido previsto en los pliegos de condiciones del Proceso de Contratación.</w:t>
      </w:r>
    </w:p>
    <w:p w14:paraId="48D642BB" w14:textId="77777777" w:rsidR="009737DB" w:rsidRDefault="009737DB" w:rsidP="009737DB">
      <w:pPr>
        <w:spacing w:line="276" w:lineRule="auto"/>
        <w:jc w:val="both"/>
        <w:rPr>
          <w:rFonts w:ascii="Arial" w:hAnsi="Arial" w:cs="Arial"/>
          <w:color w:val="000000" w:themeColor="text1"/>
          <w:sz w:val="22"/>
          <w:lang w:val="es-ES"/>
        </w:rPr>
      </w:pPr>
    </w:p>
    <w:p w14:paraId="5ECAD7F9" w14:textId="77777777" w:rsidR="009737DB" w:rsidRDefault="009737DB" w:rsidP="009737DB">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t>Como se observa, la norma anterior unifica en un artículo los criterios de desempate que aplican en los procesos contractuales. Expuestos los incentivos anteriores, como contexto necesario para responder la pregunta de la peticionaria, se analizará el artículo 3 de la Ley 2040 de 2020.</w:t>
      </w:r>
    </w:p>
    <w:p w14:paraId="26CC55B5" w14:textId="77777777" w:rsidR="009737DB" w:rsidRDefault="009737DB" w:rsidP="009737DB">
      <w:pPr>
        <w:spacing w:line="276" w:lineRule="auto"/>
        <w:jc w:val="both"/>
        <w:rPr>
          <w:rFonts w:ascii="Arial" w:hAnsi="Arial" w:cs="Arial"/>
          <w:color w:val="000000" w:themeColor="text1"/>
          <w:sz w:val="22"/>
          <w:lang w:val="es-ES"/>
        </w:rPr>
      </w:pPr>
    </w:p>
    <w:p w14:paraId="0800C9F6" w14:textId="77777777" w:rsidR="009737DB" w:rsidRDefault="009737DB" w:rsidP="009737DB">
      <w:pPr>
        <w:spacing w:line="276" w:lineRule="auto"/>
        <w:jc w:val="both"/>
        <w:rPr>
          <w:rFonts w:ascii="Arial" w:hAnsi="Arial" w:cs="Arial"/>
          <w:b/>
          <w:color w:val="000000" w:themeColor="text1"/>
          <w:sz w:val="22"/>
          <w:lang w:val="es-ES"/>
        </w:rPr>
      </w:pPr>
      <w:r>
        <w:rPr>
          <w:rFonts w:ascii="Arial" w:hAnsi="Arial" w:cs="Arial"/>
          <w:b/>
          <w:color w:val="000000" w:themeColor="text1"/>
          <w:sz w:val="22"/>
          <w:lang w:val="es-ES"/>
        </w:rPr>
        <w:t>2.2. Criterio de desempate creado por el artículo 3º de la Ley 2040 de 2020: incentivo contractual y política horizontal</w:t>
      </w:r>
    </w:p>
    <w:p w14:paraId="2150A79A" w14:textId="77777777" w:rsidR="009737DB" w:rsidRDefault="009737DB" w:rsidP="009737DB">
      <w:pPr>
        <w:spacing w:line="276" w:lineRule="auto"/>
        <w:jc w:val="both"/>
        <w:rPr>
          <w:rFonts w:ascii="Arial" w:hAnsi="Arial" w:cs="Arial"/>
          <w:color w:val="000000" w:themeColor="text1"/>
          <w:sz w:val="22"/>
          <w:lang w:val="es-ES"/>
        </w:rPr>
      </w:pPr>
    </w:p>
    <w:p w14:paraId="2E3A927E" w14:textId="77777777" w:rsidR="009737DB" w:rsidRDefault="009737DB" w:rsidP="009737DB">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14:paraId="1812B38F" w14:textId="77777777" w:rsidR="009737DB" w:rsidRDefault="009737DB" w:rsidP="009737DB">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ab/>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w:t>
      </w:r>
      <w:r>
        <w:rPr>
          <w:rFonts w:ascii="Verdana" w:hAnsi="Verdana" w:cs="Arial"/>
          <w:color w:val="000000" w:themeColor="text1"/>
          <w:sz w:val="22"/>
          <w:lang w:val="es-ES"/>
        </w:rPr>
        <w:t>«</w:t>
      </w:r>
      <w:r>
        <w:rPr>
          <w:rFonts w:ascii="Arial" w:hAnsi="Arial" w:cs="Arial"/>
          <w:color w:val="000000" w:themeColor="text1"/>
          <w:sz w:val="22"/>
          <w:lang w:val="es-ES"/>
        </w:rPr>
        <w:t xml:space="preserve">Ruta para el emprendimiento del adulto mayor» para que los adultos mayores puedan poner en marcha su propia empresa –artículo 10–. Todos estos son mecanismos dirigidos a cumplir su </w:t>
      </w:r>
      <w:r>
        <w:rPr>
          <w:rFonts w:ascii="Arial" w:hAnsi="Arial" w:cs="Arial"/>
          <w:color w:val="000000" w:themeColor="text1"/>
          <w:sz w:val="22"/>
          <w:lang w:val="es-ES"/>
        </w:rPr>
        <w:lastRenderedPageBreak/>
        <w:t xml:space="preserve">finalidad: incrementar la empleabilidad de los adultos mayores, lo que a la postre, se espera, se traducirá en mayor empleo para este sector vulnerable de la población. </w:t>
      </w:r>
    </w:p>
    <w:p w14:paraId="207F28E0" w14:textId="77777777" w:rsidR="009737DB" w:rsidRDefault="009737DB" w:rsidP="009737DB">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tab/>
        <w:t xml:space="preserve">La Ley 2040 de 2020, además de las estrategias referidas, contiene un mecanismo que forma parte del Estatuto General de Contratación de la Administración </w:t>
      </w:r>
      <w:proofErr w:type="gramStart"/>
      <w:r>
        <w:rPr>
          <w:rFonts w:ascii="Arial" w:hAnsi="Arial" w:cs="Arial"/>
          <w:color w:val="000000" w:themeColor="text1"/>
          <w:sz w:val="22"/>
          <w:lang w:val="es-ES"/>
        </w:rPr>
        <w:t>Pública,  contenido</w:t>
      </w:r>
      <w:proofErr w:type="gramEnd"/>
      <w:r>
        <w:rPr>
          <w:rFonts w:ascii="Arial" w:hAnsi="Arial" w:cs="Arial"/>
          <w:color w:val="000000" w:themeColor="text1"/>
          <w:sz w:val="22"/>
          <w:lang w:val="es-ES"/>
        </w:rPr>
        <w:t xml:space="preserve"> en el artículo 3 de dicha ley, que adiciona un parágrafo al artículo 12 de la Ley 1150 de 2007: </w:t>
      </w:r>
    </w:p>
    <w:p w14:paraId="494FEE7E" w14:textId="77777777" w:rsidR="009737DB" w:rsidRDefault="009737DB" w:rsidP="009737DB">
      <w:pPr>
        <w:tabs>
          <w:tab w:val="left" w:pos="709"/>
        </w:tabs>
        <w:spacing w:line="276" w:lineRule="auto"/>
        <w:jc w:val="both"/>
        <w:rPr>
          <w:rFonts w:ascii="Arial" w:hAnsi="Arial" w:cs="Arial"/>
          <w:color w:val="000000" w:themeColor="text1"/>
          <w:sz w:val="22"/>
          <w:lang w:val="es-ES"/>
        </w:rPr>
      </w:pPr>
    </w:p>
    <w:p w14:paraId="1A7D3ECD" w14:textId="77777777" w:rsidR="009737DB" w:rsidRDefault="009737DB" w:rsidP="009737DB">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 </w:t>
      </w:r>
    </w:p>
    <w:p w14:paraId="51DF0EF2" w14:textId="77777777" w:rsidR="009737DB" w:rsidRDefault="009737DB" w:rsidP="009737DB">
      <w:pPr>
        <w:tabs>
          <w:tab w:val="left" w:pos="709"/>
        </w:tabs>
        <w:ind w:left="709" w:right="758"/>
        <w:jc w:val="both"/>
        <w:rPr>
          <w:rFonts w:ascii="Arial" w:eastAsia="Calibri" w:hAnsi="Arial" w:cs="Arial"/>
          <w:color w:val="000000" w:themeColor="text1"/>
          <w:sz w:val="21"/>
          <w:szCs w:val="21"/>
          <w:lang w:val="es-ES"/>
        </w:rPr>
      </w:pPr>
    </w:p>
    <w:p w14:paraId="754D36E6" w14:textId="77777777" w:rsidR="009737DB" w:rsidRDefault="009737DB" w:rsidP="009737DB">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w:t>
      </w:r>
      <w:proofErr w:type="gramStart"/>
      <w:r>
        <w:rPr>
          <w:rFonts w:ascii="Arial" w:eastAsia="Calibri" w:hAnsi="Arial" w:cs="Arial"/>
          <w:color w:val="000000" w:themeColor="text1"/>
          <w:sz w:val="21"/>
          <w:szCs w:val="21"/>
          <w:lang w:val="es-ES"/>
        </w:rPr>
        <w:t>la misma</w:t>
      </w:r>
      <w:proofErr w:type="gramEnd"/>
      <w:r>
        <w:rPr>
          <w:rFonts w:ascii="Arial" w:eastAsia="Calibri" w:hAnsi="Arial" w:cs="Arial"/>
          <w:color w:val="000000" w:themeColor="text1"/>
          <w:sz w:val="21"/>
          <w:szCs w:val="21"/>
          <w:lang w:val="es-ES"/>
        </w:rPr>
        <w:t xml:space="preserve">. </w:t>
      </w:r>
    </w:p>
    <w:p w14:paraId="2E3FFF5B" w14:textId="77777777" w:rsidR="009737DB" w:rsidRDefault="009737DB" w:rsidP="009737DB">
      <w:pPr>
        <w:tabs>
          <w:tab w:val="left" w:pos="709"/>
        </w:tabs>
        <w:ind w:left="709" w:right="758"/>
        <w:jc w:val="both"/>
        <w:rPr>
          <w:rFonts w:ascii="Arial" w:eastAsia="Calibri" w:hAnsi="Arial" w:cs="Arial"/>
          <w:color w:val="000000" w:themeColor="text1"/>
          <w:sz w:val="21"/>
          <w:szCs w:val="21"/>
          <w:lang w:val="es-ES"/>
        </w:rPr>
      </w:pPr>
    </w:p>
    <w:p w14:paraId="68340BD1" w14:textId="77777777" w:rsidR="009737DB" w:rsidRDefault="009737DB" w:rsidP="009737DB">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14:paraId="2FB62EE3" w14:textId="77777777" w:rsidR="009737DB" w:rsidRDefault="009737DB" w:rsidP="009737DB">
      <w:pPr>
        <w:tabs>
          <w:tab w:val="left" w:pos="709"/>
        </w:tabs>
        <w:ind w:left="709" w:right="758"/>
        <w:jc w:val="both"/>
        <w:rPr>
          <w:rFonts w:ascii="Arial" w:eastAsia="Calibri" w:hAnsi="Arial" w:cs="Arial"/>
          <w:color w:val="000000" w:themeColor="text1"/>
          <w:sz w:val="21"/>
          <w:szCs w:val="21"/>
          <w:lang w:val="es-ES"/>
        </w:rPr>
      </w:pPr>
    </w:p>
    <w:p w14:paraId="7B318BC2" w14:textId="77777777" w:rsidR="009737DB" w:rsidRDefault="009737DB" w:rsidP="009737DB">
      <w:pPr>
        <w:tabs>
          <w:tab w:val="left" w:pos="709"/>
        </w:tabs>
        <w:ind w:left="709" w:right="758"/>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36CB94C0" w14:textId="77777777" w:rsidR="009737DB" w:rsidRDefault="009737DB" w:rsidP="009737DB">
      <w:pPr>
        <w:tabs>
          <w:tab w:val="left" w:pos="426"/>
        </w:tabs>
        <w:spacing w:line="276" w:lineRule="auto"/>
        <w:jc w:val="both"/>
        <w:rPr>
          <w:rFonts w:ascii="Arial" w:eastAsia="Calibri" w:hAnsi="Arial" w:cs="Arial"/>
          <w:color w:val="000000" w:themeColor="text1"/>
          <w:sz w:val="22"/>
          <w:lang w:val="es-ES"/>
        </w:rPr>
      </w:pPr>
    </w:p>
    <w:p w14:paraId="3B166C95"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política horizontal perseguida consiste en maximizar el número de personas vinculadas laboralmente a empresas contratistas del Estado que hayan cumplido con el requisito de edad y no cuenten con una pensión de vejez, familiar o de sobrevivencia. </w:t>
      </w:r>
    </w:p>
    <w:p w14:paraId="66505A02"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De otra parte, el incentivo, en el esquema de la contratación estatal, consiste en crear un criterio de desempate para favorecer a la empresa que tenga un porcentaje mayor –no un número mayor– de adultos mayores contratados que no cuenten con una pensión de vejez, familiar o de sobrevivencia. La norma procura que los potenciales contratistas del Estado incrementen el porcentaje de adultos mayores vinculados a su planta de personal, con el fin de ser beneficiarios de este criterio de desempate en un eventual procedimiento de selección. Es importante reseñar que solamente se podrá tener en cuenta al personal con vinculación mayor o igual a un año, o que esté vinculado desde la constitución del proponente, para aquellos cuya constitución sea inferior al año. </w:t>
      </w:r>
    </w:p>
    <w:p w14:paraId="3399DC50"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Adicionalmente, el inciso 3 de la misma disposición establece que el contratista que haya obtenido un contrato estatal, sirviéndose de este criterio de desempate, debe </w:t>
      </w:r>
      <w:r>
        <w:rPr>
          <w:rFonts w:ascii="Arial" w:eastAsia="Calibri" w:hAnsi="Arial" w:cs="Arial"/>
          <w:color w:val="000000" w:themeColor="text1"/>
          <w:sz w:val="22"/>
          <w:lang w:val="es-ES"/>
        </w:rPr>
        <w:lastRenderedPageBreak/>
        <w:t xml:space="preserve">mantener el mismo porcentaje de personal vinculado en esta condición, en su planta de personal, durante el plazo de ejecución del contrato. Es decir, el criterio de desempate se convierte en una obligación contractual por mandato de la ley –otra forma de materializar políticas horizontales–, en caso de que la adjudicación del contrato se hubiera obtenido con base en este criterio. El mismo inciso establece una sanción para quienes incumplan la obligación durante la etapa de ejecución: no podrán hacer uso de este beneficio durante el término de 5 años.  </w:t>
      </w:r>
    </w:p>
    <w:p w14:paraId="30A5BDE2"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relación con la acreditación del criterio de desempate, el inciso 4 establece que se debe demostrar el porcentaje de adultos mayores contratados con una certificación, expedida bajo la gravedad de juramento, del total de trabajadores que cumplan con lo señalado en la norma y que se encuentren vinculados a la planta de personal del oferente a la fecha de cierre del proceso de selección. Esta certificación debe ser expedida, según el caso, por la persona natural, el representante legal de la persona jurídica o su revisor fiscal. </w:t>
      </w:r>
    </w:p>
    <w:p w14:paraId="61725241"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Es posible afirmar que, desde el punto de vista del mecanismo, el legislador optó por concretar la política horizontal a través de un criterio de desempate. Ello plantea algunas dificultades prácticas, pues se trata de un criterio adicional a los establecidos en el artículo 2.2.1.1.2.2.9. del Decreto 1082 de 2015. Este artículo encuentra soporte en otras normas del ordenamiento y reglamenta estos criterios de desempate, de modo que allí se organizan y jerarquizan los criterios que favorecen los bienes y servicios nacionales, las </w:t>
      </w:r>
      <w:proofErr w:type="spellStart"/>
      <w:r>
        <w:rPr>
          <w:rFonts w:ascii="Arial" w:eastAsia="Calibri" w:hAnsi="Arial" w:cs="Arial"/>
          <w:color w:val="000000" w:themeColor="text1"/>
          <w:sz w:val="22"/>
          <w:lang w:val="es-ES"/>
        </w:rPr>
        <w:t>Mipymes</w:t>
      </w:r>
      <w:proofErr w:type="spellEnd"/>
      <w:r>
        <w:rPr>
          <w:rFonts w:ascii="Arial" w:eastAsia="Calibri" w:hAnsi="Arial" w:cs="Arial"/>
          <w:color w:val="000000" w:themeColor="text1"/>
          <w:sz w:val="22"/>
          <w:lang w:val="es-ES"/>
        </w:rPr>
        <w:t xml:space="preserve"> y los oferentes que hayan vinculado personas en condición de discapacidad, en cierto porcentaje, en su planta de personal.  </w:t>
      </w:r>
    </w:p>
    <w:p w14:paraId="79CA6891"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dificultad práctica, frente a la nueva ley, radica en que, exclusivamente con base en el ordenamiento vigente, no es posible determinar con certeza cómo debe articularse el criterio de desempate de la Ley 2040 de 2020 con los que preexisten en el ordenamiento. </w:t>
      </w:r>
    </w:p>
    <w:p w14:paraId="651A8486"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relación con este aspecto, el nuevo parágrafo 4 del artículo 12 de la Ley 1150 de 2007 simplemente ordena que «se preferirá», lo cual, bajo una interpretación literal y aislada del parágrafo podría llevar a pensar que se ubica en el primer lugar, por tratarse de una ley posterior. Pero otra 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14:paraId="455B00A4"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este asunto debe tenerse en cuenta que las normas jurídicas, por regla general, producen efectos a partir de su promulgación o publicación. De allí se derivan principios tales como la irretroactividad de la ley y su efecto general inmediato</w:t>
      </w:r>
      <w:r>
        <w:rPr>
          <w:rStyle w:val="Refdenotaalpie"/>
          <w:rFonts w:ascii="Arial" w:eastAsia="Calibri" w:hAnsi="Arial" w:cs="Arial"/>
          <w:color w:val="000000" w:themeColor="text1"/>
          <w:sz w:val="22"/>
          <w:lang w:val="es-ES"/>
        </w:rPr>
        <w:footnoteReference w:id="9"/>
      </w:r>
      <w:r>
        <w:rPr>
          <w:rFonts w:ascii="Arial" w:eastAsia="Calibri" w:hAnsi="Arial" w:cs="Arial"/>
          <w:color w:val="000000" w:themeColor="text1"/>
          <w:sz w:val="22"/>
          <w:lang w:val="es-ES"/>
        </w:rPr>
        <w:t>. La Ley 2040 de 2020, en principio, no parece ser la excepción, pues el artículo 12 dispone: «</w:t>
      </w:r>
      <w:r>
        <w:rPr>
          <w:rFonts w:ascii="Arial" w:eastAsia="Calibri" w:hAnsi="Arial" w:cs="Arial"/>
          <w:color w:val="000000" w:themeColor="text1"/>
          <w:sz w:val="22"/>
        </w:rPr>
        <w:t>La presente ley rige a partir del momento de su promulgación y deroga las disposiciones que le sean contrarias</w:t>
      </w:r>
      <w:r>
        <w:rPr>
          <w:rFonts w:ascii="Arial" w:eastAsia="Calibri" w:hAnsi="Arial" w:cs="Arial"/>
          <w:color w:val="000000" w:themeColor="text1"/>
          <w:sz w:val="22"/>
          <w:lang w:val="es-ES"/>
        </w:rPr>
        <w:t>».</w:t>
      </w:r>
    </w:p>
    <w:p w14:paraId="4F346600"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 xml:space="preserve">Sin embargo, las leyes pueden modular sus efectos en el tiempo y establecer para el inicio de su entrada en vigor un plazo o una condición. Ejemplo de una ley que establece un plazo es la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2839E059"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Pero las leyes pueden establecer no un plazo sino una condición para modular sus efectos en el tiempo. La condición más usual es someter la vigencia a la expedición de un reglamento. En este sentido, el parágrafo transitorio del artículo 2 de la Ley 1150 de 2007 estableció «[h]</w:t>
      </w:r>
      <w:proofErr w:type="spellStart"/>
      <w:r>
        <w:rPr>
          <w:rFonts w:ascii="Arial" w:eastAsia="Calibri" w:hAnsi="Arial" w:cs="Arial"/>
          <w:color w:val="000000" w:themeColor="text1"/>
          <w:sz w:val="22"/>
          <w:lang w:val="es-ES"/>
        </w:rPr>
        <w:t>asta</w:t>
      </w:r>
      <w:proofErr w:type="spellEnd"/>
      <w:r>
        <w:rPr>
          <w:rFonts w:ascii="Arial" w:eastAsia="Calibri" w:hAnsi="Arial" w:cs="Arial"/>
          <w:color w:val="000000" w:themeColor="text1"/>
          <w:sz w:val="22"/>
          <w:lang w:val="es-ES"/>
        </w:rPr>
        <w:t xml:space="preserve"> tanto el Gobierno Nacional no expidiere el reglamento respectivo, no se podrá hacer uso de la selección abreviada como modalidad de selección».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14:paraId="4F6081B6" w14:textId="77777777" w:rsidR="009737DB" w:rsidRDefault="009737DB" w:rsidP="009737DB">
      <w:pPr>
        <w:shd w:val="clear" w:color="auto" w:fill="FFFFFF"/>
        <w:spacing w:after="150" w:line="276" w:lineRule="auto"/>
        <w:ind w:right="49" w:firstLine="708"/>
        <w:jc w:val="both"/>
        <w:rPr>
          <w:rFonts w:ascii="Arial" w:eastAsia="Calibri" w:hAnsi="Arial" w:cs="Arial"/>
          <w:color w:val="000000" w:themeColor="text1"/>
          <w:sz w:val="22"/>
          <w:lang w:val="es-ES"/>
        </w:rPr>
      </w:pPr>
      <w:r>
        <w:rPr>
          <w:rFonts w:ascii="Arial" w:eastAsia="Calibri" w:hAnsi="Arial" w:cs="Arial"/>
          <w:color w:val="000000" w:themeColor="text1"/>
          <w:sz w:val="22"/>
          <w:szCs w:val="22"/>
          <w:lang w:val="es-ES"/>
        </w:rPr>
        <w:t xml:space="preserve">En este caso, debe estudiarse si la Ley 2040 de 2020 tiene una condición para empezar a regir, concretamente su criterio de desempate. Hay dos argumentos que dan cuenta de tal condición: el primero </w:t>
      </w:r>
      <w:r>
        <w:rPr>
          <w:rFonts w:ascii="Arial" w:eastAsia="Calibri" w:hAnsi="Arial" w:cs="Arial"/>
          <w:color w:val="000000" w:themeColor="text1"/>
          <w:sz w:val="22"/>
          <w:lang w:val="es-ES"/>
        </w:rPr>
        <w:t>puede encontrarse en los antecedentes legislativos. En ellos</w:t>
      </w:r>
      <w:r>
        <w:rPr>
          <w:rStyle w:val="Refdenotaalpie"/>
          <w:rFonts w:ascii="Arial" w:eastAsia="Calibri" w:hAnsi="Arial" w:cs="Arial"/>
          <w:color w:val="000000" w:themeColor="text1"/>
          <w:sz w:val="22"/>
          <w:lang w:val="es-ES"/>
        </w:rPr>
        <w:footnoteReference w:id="10"/>
      </w:r>
      <w:r>
        <w:rPr>
          <w:rFonts w:ascii="Arial" w:eastAsia="Calibri" w:hAnsi="Arial" w:cs="Arial"/>
          <w:color w:val="000000" w:themeColor="text1"/>
          <w:sz w:val="22"/>
          <w:lang w:val="es-ES"/>
        </w:rPr>
        <w:t xml:space="preserve"> se explica que el proyecto de Ley tenía como objeto incentivar la contratación de adultos mayores a través de varias medidas, y se destaca la «[r]</w:t>
      </w:r>
      <w:proofErr w:type="spellStart"/>
      <w:r>
        <w:rPr>
          <w:rFonts w:ascii="Arial" w:eastAsia="Calibri" w:hAnsi="Arial" w:cs="Arial"/>
          <w:color w:val="000000" w:themeColor="text1"/>
          <w:sz w:val="22"/>
          <w:lang w:val="es-ES"/>
        </w:rPr>
        <w:t>eglamentación</w:t>
      </w:r>
      <w:proofErr w:type="spellEnd"/>
      <w:r>
        <w:rPr>
          <w:rFonts w:ascii="Arial" w:eastAsia="Calibri" w:hAnsi="Arial" w:cs="Arial"/>
          <w:color w:val="000000" w:themeColor="text1"/>
          <w:sz w:val="22"/>
          <w:lang w:val="es-ES"/>
        </w:rPr>
        <w:t xml:space="preserve"> a cargo del gobierno en materia de estrategias de promoción del empleo de adultos mayores en el sector público, tipos de oficios y actividades que pueden realizar, derechos y obligaciones especiales de los empleadores que se acojan a la ley, procedimientos de verificación de los requisitos por parte de los empleadores»</w:t>
      </w:r>
      <w:r>
        <w:rPr>
          <w:rStyle w:val="Refdenotaalpie"/>
          <w:rFonts w:ascii="Arial" w:eastAsia="Calibri" w:hAnsi="Arial" w:cs="Arial"/>
          <w:color w:val="000000" w:themeColor="text1"/>
          <w:sz w:val="22"/>
          <w:lang w:val="es-ES"/>
        </w:rPr>
        <w:footnoteReference w:id="11"/>
      </w:r>
      <w:r>
        <w:rPr>
          <w:rFonts w:ascii="Arial" w:eastAsia="Calibri" w:hAnsi="Arial" w:cs="Arial"/>
          <w:color w:val="000000" w:themeColor="text1"/>
          <w:sz w:val="22"/>
          <w:lang w:val="es-ES"/>
        </w:rPr>
        <w:t>.</w:t>
      </w:r>
      <w:r>
        <w:rPr>
          <w:rFonts w:ascii="Verdana" w:eastAsia="Calibri" w:hAnsi="Verdana" w:cs="Arial"/>
          <w:color w:val="000000" w:themeColor="text1"/>
          <w:sz w:val="22"/>
          <w:lang w:val="es-ES"/>
        </w:rPr>
        <w:t xml:space="preserve"> </w:t>
      </w:r>
      <w:r>
        <w:rPr>
          <w:rFonts w:ascii="Arial" w:eastAsia="Calibri" w:hAnsi="Arial" w:cs="Arial"/>
          <w:color w:val="000000" w:themeColor="text1"/>
          <w:sz w:val="22"/>
          <w:lang w:val="es-ES"/>
        </w:rPr>
        <w:t xml:space="preserve"> </w:t>
      </w:r>
    </w:p>
    <w:p w14:paraId="445CF29E"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El legislador consideró necesaria la reglamentación para determinar los derechos y obligaciones especiales de los empleadores que se acojan a la ley. El derecho a ser adjudicatario en caso de empate es uno de esos derechos especiales, por lo que no hay duda de la intención del legislador, atendiendo a los antecedentes de la ley, para que el criterio de desempate estuviera sometido en su vigencia a la condición de la expedición de la reglamentación. </w:t>
      </w:r>
    </w:p>
    <w:p w14:paraId="3CD46686" w14:textId="77777777" w:rsidR="009737DB" w:rsidRDefault="009737DB" w:rsidP="009737DB">
      <w:pPr>
        <w:shd w:val="clear" w:color="auto" w:fill="FFFFFF"/>
        <w:spacing w:after="150" w:line="276" w:lineRule="auto"/>
        <w:ind w:right="49" w:firstLine="708"/>
        <w:jc w:val="both"/>
        <w:rPr>
          <w:rFonts w:ascii="Arial" w:eastAsia="Calibri" w:hAnsi="Arial" w:cs="Arial"/>
          <w:color w:val="000000" w:themeColor="text1"/>
          <w:sz w:val="22"/>
          <w:lang w:val="es-ES"/>
        </w:rPr>
      </w:pPr>
      <w:r>
        <w:rPr>
          <w:rFonts w:ascii="Arial" w:eastAsia="Calibri" w:hAnsi="Arial" w:cs="Arial"/>
          <w:color w:val="000000" w:themeColor="text1"/>
          <w:sz w:val="22"/>
          <w:szCs w:val="22"/>
          <w:lang w:val="es-ES"/>
        </w:rPr>
        <w:t xml:space="preserve">El segundo argumento procede de la misma ley. El artículo 4 de la Ley </w:t>
      </w:r>
      <w:r>
        <w:rPr>
          <w:rFonts w:ascii="Arial" w:eastAsia="Calibri" w:hAnsi="Arial" w:cs="Arial"/>
          <w:color w:val="000000" w:themeColor="text1"/>
          <w:sz w:val="22"/>
          <w:lang w:val="es-ES"/>
        </w:rPr>
        <w:t>2040 de 2020</w:t>
      </w:r>
      <w:r>
        <w:rPr>
          <w:rStyle w:val="Refdenotaalpie"/>
          <w:rFonts w:ascii="Arial" w:eastAsia="Calibri" w:hAnsi="Arial" w:cs="Arial"/>
          <w:color w:val="000000" w:themeColor="text1"/>
          <w:sz w:val="22"/>
          <w:lang w:val="es-ES"/>
        </w:rPr>
        <w:footnoteReference w:id="12"/>
      </w:r>
      <w:r>
        <w:rPr>
          <w:rFonts w:ascii="Arial" w:eastAsia="Calibri" w:hAnsi="Arial" w:cs="Arial"/>
          <w:color w:val="000000" w:themeColor="text1"/>
          <w:sz w:val="22"/>
          <w:lang w:val="es-ES"/>
        </w:rPr>
        <w:t xml:space="preserve"> establece que el Gobierno Nacional, en consulta con el Consejo Nacional del Adulto </w:t>
      </w:r>
      <w:r>
        <w:rPr>
          <w:rFonts w:ascii="Arial" w:eastAsia="Calibri" w:hAnsi="Arial" w:cs="Arial"/>
          <w:color w:val="000000" w:themeColor="text1"/>
          <w:sz w:val="22"/>
          <w:lang w:val="es-ES"/>
        </w:rPr>
        <w:lastRenderedPageBreak/>
        <w:t xml:space="preserve">Mayor, debe reglamentar esta ley, entre otros aspectos, en relación con las «(i) estrategias para la promoción del empleo de personas mayores que no sean beneficiarios de la pensión de vejez, familiar o de sobrevivencia y que hayan cumplido el requisito de edad de pensión establecido en la Ley en el sector público; </w:t>
      </w:r>
      <w:proofErr w:type="spellStart"/>
      <w:r>
        <w:rPr>
          <w:rFonts w:ascii="Arial" w:eastAsia="Calibri" w:hAnsi="Arial" w:cs="Arial"/>
          <w:color w:val="000000" w:themeColor="text1"/>
          <w:sz w:val="22"/>
          <w:lang w:val="es-ES"/>
        </w:rPr>
        <w:t>ii</w:t>
      </w:r>
      <w:proofErr w:type="spellEnd"/>
      <w:r>
        <w:rPr>
          <w:rFonts w:ascii="Arial" w:eastAsia="Calibri" w:hAnsi="Arial" w:cs="Arial"/>
          <w:color w:val="000000" w:themeColor="text1"/>
          <w:sz w:val="22"/>
          <w:lang w:val="es-ES"/>
        </w:rPr>
        <w:t xml:space="preserve">) tipos de actividades y oficios que pueden asignárseles a los adultos mayores trabajadores cobijados por esta ley; </w:t>
      </w:r>
      <w:proofErr w:type="spellStart"/>
      <w:r>
        <w:rPr>
          <w:rFonts w:ascii="Arial" w:eastAsia="Calibri" w:hAnsi="Arial" w:cs="Arial"/>
          <w:color w:val="000000" w:themeColor="text1"/>
          <w:sz w:val="22"/>
          <w:lang w:val="es-ES"/>
        </w:rPr>
        <w:t>iii</w:t>
      </w:r>
      <w:proofErr w:type="spellEnd"/>
      <w:r>
        <w:rPr>
          <w:rFonts w:ascii="Arial" w:eastAsia="Calibri" w:hAnsi="Arial" w:cs="Arial"/>
          <w:color w:val="000000" w:themeColor="text1"/>
          <w:sz w:val="22"/>
          <w:lang w:val="es-ES"/>
        </w:rPr>
        <w:t xml:space="preserve">) Derechos y obligaciones especiales de las empresas empleadoras que se acojan a esta ley». </w:t>
      </w:r>
    </w:p>
    <w:p w14:paraId="3B6DF554"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El criterio de desempate creado es una de las «estrategias para la promoción del empleo de personas mayores», y requiere reglamentación previa para establecer qué tipo de actividades y oficios pueden desempeñar los adultos mayores, y otorga un derecho especial para las empresas que se acogen a esa ley, por lo que, según el literal del artículo 4, debe ser objeto de reglamentación por el Gobierno Nacional en un término no mayor a 6 meses.</w:t>
      </w:r>
    </w:p>
    <w:p w14:paraId="04695868" w14:textId="77777777" w:rsidR="009737DB" w:rsidRDefault="009737DB" w:rsidP="009737DB">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relación con este aspecto, es preciso llamar la atención sobre la jurisprudencia. En relación con ese aspecto, el Consejo de Estado ha dicho: </w:t>
      </w:r>
    </w:p>
    <w:p w14:paraId="58714CCB" w14:textId="77777777" w:rsidR="009737DB" w:rsidRDefault="009737DB" w:rsidP="009737DB">
      <w:pPr>
        <w:shd w:val="clear" w:color="auto" w:fill="FFFFFF"/>
        <w:ind w:left="709" w:right="760"/>
        <w:jc w:val="both"/>
        <w:rPr>
          <w:rFonts w:ascii="Arial" w:eastAsia="Calibri" w:hAnsi="Arial" w:cs="Arial"/>
          <w:color w:val="000000" w:themeColor="text1"/>
          <w:sz w:val="21"/>
          <w:szCs w:val="21"/>
          <w:lang w:val="es-ES"/>
        </w:rPr>
      </w:pPr>
    </w:p>
    <w:p w14:paraId="0D9BFEBC" w14:textId="77777777" w:rsidR="009737DB" w:rsidRDefault="009737DB" w:rsidP="009737DB">
      <w:pPr>
        <w:shd w:val="clear" w:color="auto" w:fill="FFFFFF"/>
        <w:ind w:left="709" w:right="760"/>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Además,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Pr>
          <w:rStyle w:val="Refdenotaalpie"/>
          <w:rFonts w:ascii="Arial" w:eastAsia="Calibri" w:hAnsi="Arial" w:cs="Arial"/>
          <w:color w:val="000000" w:themeColor="text1"/>
          <w:sz w:val="21"/>
          <w:szCs w:val="21"/>
          <w:lang w:val="es-ES"/>
        </w:rPr>
        <w:footnoteReference w:id="13"/>
      </w:r>
      <w:r>
        <w:rPr>
          <w:rFonts w:ascii="Arial" w:eastAsia="Calibri" w:hAnsi="Arial" w:cs="Arial"/>
          <w:color w:val="000000" w:themeColor="text1"/>
          <w:sz w:val="21"/>
          <w:szCs w:val="21"/>
          <w:lang w:val="es-ES"/>
        </w:rPr>
        <w:t>.</w:t>
      </w:r>
    </w:p>
    <w:p w14:paraId="348836DB" w14:textId="77777777" w:rsidR="009737DB" w:rsidRDefault="009737DB" w:rsidP="009737DB">
      <w:pPr>
        <w:shd w:val="clear" w:color="auto" w:fill="FFFFFF"/>
        <w:ind w:left="709" w:right="760"/>
        <w:jc w:val="both"/>
        <w:rPr>
          <w:rFonts w:ascii="Arial" w:eastAsia="Calibri" w:hAnsi="Arial" w:cs="Arial"/>
          <w:color w:val="000000" w:themeColor="text1"/>
          <w:sz w:val="21"/>
          <w:szCs w:val="21"/>
          <w:lang w:val="es-ES"/>
        </w:rPr>
      </w:pPr>
    </w:p>
    <w:p w14:paraId="68AD511D" w14:textId="77777777" w:rsidR="009737DB" w:rsidRDefault="009737DB" w:rsidP="009737DB">
      <w:pPr>
        <w:shd w:val="clear" w:color="auto" w:fill="FFFFFF"/>
        <w:spacing w:after="120" w:line="276" w:lineRule="auto"/>
        <w:ind w:right="51" w:firstLine="709"/>
        <w:jc w:val="both"/>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t xml:space="preserve">La referencia hecha en una ley a que el Gobierno Nacional reglamentará la materia es un reconocimiento de que el reglamento puede ser indispensable para el cumplimiento de esta. Claro está que tal reconocimiento, por parte del legislador, no siempre implica que la ley se encuentre sometida a condición para entrar a regir, pero cuando ello se analiza con otros elementos que obran en este sentido, como los antecedentes legislativos, sí es posible utilizar la referencia al reglamento como una prueba de que la ley moduló sus efectos en el tiempo y se encuentra sometida a condición. </w:t>
      </w:r>
    </w:p>
    <w:p w14:paraId="5C0DB268" w14:textId="77777777" w:rsidR="009737DB" w:rsidRDefault="009737DB" w:rsidP="009737DB">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desempate de que trata el artículo 3. Es decir, nos encontramos frente a un caso donde la norma sometió su vigencia a la expedición de un reglamento, pues así se infiere de su contenido y antecedentes legislativos. Esta conclusión se ajusta a la necesidad de claridad que debe introducir el reglamento, en relación con la articulación y compatibilización del «nuevo criterio de desempate» con los preexistentes en el ordenamiento jurídico. </w:t>
      </w:r>
    </w:p>
    <w:p w14:paraId="148216B3" w14:textId="77777777" w:rsidR="009737DB" w:rsidRDefault="009737DB" w:rsidP="009737DB">
      <w:pPr>
        <w:spacing w:line="276" w:lineRule="auto"/>
        <w:ind w:firstLine="709"/>
        <w:jc w:val="both"/>
        <w:rPr>
          <w:rFonts w:ascii="Arial" w:eastAsia="Calibri" w:hAnsi="Arial" w:cs="Arial"/>
          <w:color w:val="000000" w:themeColor="text1"/>
          <w:sz w:val="22"/>
          <w:lang w:val="es-ES"/>
        </w:rPr>
      </w:pPr>
    </w:p>
    <w:p w14:paraId="5DAD9F7A" w14:textId="77777777" w:rsidR="009737DB" w:rsidRDefault="009737DB" w:rsidP="009737DB">
      <w:pPr>
        <w:pStyle w:val="Prrafodelista"/>
        <w:numPr>
          <w:ilvl w:val="0"/>
          <w:numId w:val="1"/>
        </w:numPr>
        <w:tabs>
          <w:tab w:val="left" w:pos="284"/>
        </w:tabs>
        <w:spacing w:line="276" w:lineRule="auto"/>
        <w:ind w:left="0" w:firstLine="0"/>
        <w:rPr>
          <w:rFonts w:ascii="Arial" w:hAnsi="Arial" w:cs="Arial"/>
          <w:b/>
          <w:bCs/>
          <w:color w:val="000000" w:themeColor="text1"/>
          <w:sz w:val="22"/>
          <w:lang w:val="es-ES"/>
        </w:rPr>
      </w:pPr>
      <w:r>
        <w:rPr>
          <w:rFonts w:ascii="Arial" w:hAnsi="Arial" w:cs="Arial"/>
          <w:b/>
          <w:bCs/>
          <w:color w:val="000000" w:themeColor="text1"/>
          <w:sz w:val="22"/>
          <w:lang w:val="es-ES"/>
        </w:rPr>
        <w:t xml:space="preserve">Respuestas </w:t>
      </w:r>
    </w:p>
    <w:p w14:paraId="68CBEBFA" w14:textId="77777777" w:rsidR="009737DB" w:rsidRDefault="009737DB" w:rsidP="009737DB">
      <w:pPr>
        <w:ind w:right="709"/>
        <w:jc w:val="both"/>
        <w:rPr>
          <w:rFonts w:ascii="Arial" w:eastAsia="Calibri" w:hAnsi="Arial" w:cs="Arial"/>
          <w:color w:val="000000" w:themeColor="text1"/>
          <w:sz w:val="21"/>
          <w:szCs w:val="21"/>
          <w:lang w:val="es-ES"/>
        </w:rPr>
      </w:pPr>
    </w:p>
    <w:p w14:paraId="23135C19" w14:textId="4C5F6A34" w:rsidR="009737DB" w:rsidRPr="009737DB" w:rsidRDefault="009737DB" w:rsidP="0067002C">
      <w:pPr>
        <w:ind w:left="709" w:right="709"/>
        <w:jc w:val="both"/>
        <w:rPr>
          <w:rFonts w:ascii="Arial" w:hAnsi="Arial" w:cs="Arial"/>
          <w:sz w:val="21"/>
          <w:szCs w:val="21"/>
        </w:rPr>
      </w:pPr>
      <w:r w:rsidRPr="009737DB">
        <w:rPr>
          <w:rFonts w:ascii="Arial" w:hAnsi="Arial" w:cs="Arial"/>
          <w:sz w:val="21"/>
          <w:szCs w:val="21"/>
        </w:rPr>
        <w:t>«el cumplimiento de los artículos 2º, 6º y 13 de la Constitución Nacional y el artículo 3° de la Ley 2040 de 2020 dentro de los criterios de desempate de cada uno de los procesos de contratación pública que adelante la Procuraduría General de la Nación».</w:t>
      </w:r>
    </w:p>
    <w:p w14:paraId="1FB9631E" w14:textId="77777777" w:rsidR="009737DB" w:rsidRPr="00AD0AA9" w:rsidRDefault="009737DB" w:rsidP="009737DB">
      <w:pPr>
        <w:ind w:left="709" w:right="709"/>
        <w:jc w:val="both"/>
        <w:rPr>
          <w:rFonts w:ascii="Arial" w:eastAsia="Calibri" w:hAnsi="Arial" w:cs="Arial"/>
          <w:color w:val="000000" w:themeColor="text1"/>
          <w:sz w:val="22"/>
          <w:szCs w:val="22"/>
        </w:rPr>
      </w:pPr>
    </w:p>
    <w:p w14:paraId="261C3FDB" w14:textId="77777777" w:rsidR="009737DB" w:rsidRDefault="009737DB" w:rsidP="009737DB">
      <w:pPr>
        <w:spacing w:after="120" w:line="276" w:lineRule="auto"/>
        <w:jc w:val="both"/>
        <w:rPr>
          <w:rFonts w:ascii="Arial" w:eastAsia="Calibri" w:hAnsi="Arial" w:cs="Arial"/>
          <w:color w:val="000000" w:themeColor="text1"/>
          <w:sz w:val="22"/>
          <w:lang w:val="es-ES"/>
        </w:rPr>
      </w:pPr>
      <w:r>
        <w:rPr>
          <w:rFonts w:ascii="Arial" w:hAnsi="Arial" w:cs="Arial"/>
          <w:color w:val="000000" w:themeColor="text1"/>
          <w:sz w:val="22"/>
          <w:lang w:val="es-ES"/>
        </w:rPr>
        <w:t xml:space="preserve">En atención a su solicitud, en especial en dar cumplimiento a lo establecido en la Ley 2040 de 2020, «por medio de la cual se adoptan medidas para impulsar el trabajo para adultos mayores y se dictan otras disposiciones», incluyendo el lugar que esta disposición debe ocupar entre los criterios de desempate en los procesos de contratación pública que adelanten las entidades del Estado, </w:t>
      </w:r>
      <w:r>
        <w:rPr>
          <w:rFonts w:ascii="Arial" w:eastAsia="Calibri" w:hAnsi="Arial" w:cs="Arial"/>
          <w:color w:val="000000" w:themeColor="text1"/>
          <w:sz w:val="22"/>
          <w:lang w:val="es-ES"/>
        </w:rPr>
        <w:t xml:space="preserve">se debe manifestar que este criterio de desempate plantea algunas dificultades prácticas, pues se trata de un criterio adicional a los establecidos en el artículo 2.2.1.1.2.2.9. del Decreto 1082 de 2015. Este artículo encuentra soporte en otras normas del ordenamiento y reglamenta estos criterios de desempate, de modo que allí se organizan y jerarquizan los criterios que favorecen los bienes y servicios nacionales, las </w:t>
      </w:r>
      <w:proofErr w:type="spellStart"/>
      <w:r>
        <w:rPr>
          <w:rFonts w:ascii="Arial" w:eastAsia="Calibri" w:hAnsi="Arial" w:cs="Arial"/>
          <w:color w:val="000000" w:themeColor="text1"/>
          <w:sz w:val="22"/>
          <w:lang w:val="es-ES"/>
        </w:rPr>
        <w:t>Mipymes</w:t>
      </w:r>
      <w:proofErr w:type="spellEnd"/>
      <w:r>
        <w:rPr>
          <w:rFonts w:ascii="Arial" w:eastAsia="Calibri" w:hAnsi="Arial" w:cs="Arial"/>
          <w:color w:val="000000" w:themeColor="text1"/>
          <w:sz w:val="22"/>
          <w:lang w:val="es-ES"/>
        </w:rPr>
        <w:t xml:space="preserve"> y los oferentes que hayan vinculado personas en condición de discapacidad, en cierto porcentaje, en su planta de personal.  </w:t>
      </w:r>
    </w:p>
    <w:p w14:paraId="24CA72C0"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dificultad práctica, frente a la nueva ley, radica en que, exclusivamente con base en el ordenamiento vigente, no es posible determinar con certeza cómo debe articularse el criterio de desempate de la Ley 2040 de 2020 con los que preexisten en el ordenamiento. </w:t>
      </w:r>
    </w:p>
    <w:p w14:paraId="05A10074"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relación con este aspecto, el nuevo parágrafo 4 del artículo 12 de la Ley 1150 de 2007 simplemente ordena que «se preferirá», lo cual, bajo una interpretación literal y aislada del parágrafo podría llevar a pensar que se ubica en el primer lugar, por tratarse de una ley posterior. Pero otra 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14:paraId="0C9B074F"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este asunto debe tenerse en cuenta que las normas jurídicas, por regla general, producen efectos a partir de su promulgación o publicación. De allí se derivan principios tales como la irretroactividad de la ley y su efecto general inmediato. La Ley 2040 de 2020, en principio, no parece ser la excepción, pues el artículo 12 dispone: «</w:t>
      </w:r>
      <w:r>
        <w:rPr>
          <w:rFonts w:ascii="Arial" w:eastAsia="Calibri" w:hAnsi="Arial" w:cs="Arial"/>
          <w:color w:val="000000" w:themeColor="text1"/>
          <w:sz w:val="22"/>
        </w:rPr>
        <w:t>La presente ley rige a partir del momento de su promulgación y deroga las disposiciones que le sean contrarias</w:t>
      </w:r>
      <w:r>
        <w:rPr>
          <w:rFonts w:ascii="Arial" w:eastAsia="Calibri" w:hAnsi="Arial" w:cs="Arial"/>
          <w:color w:val="000000" w:themeColor="text1"/>
          <w:sz w:val="22"/>
          <w:lang w:val="es-ES"/>
        </w:rPr>
        <w:t>».</w:t>
      </w:r>
    </w:p>
    <w:p w14:paraId="327418C6"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lastRenderedPageBreak/>
        <w:t>Sin embargo, las leyes pueden establecer un plazo o una condición para modular sus efectos en el tiempo, frente a parte de ella o todo su contenido. La condición más usual es someter la vigencia a la expedición de un reglamento, que es lo que se advierte del artículo 4 de la Ley 2040 de 2020, que expresa la necesidad de contar con un reglamento para cumplir sus disposiciones, sometiendo su vigencia a condición, concretamente para el criterio de desempate de que trata el artículo 3, como se infiere de su contenido y de los antecedentes legislativos desarrollados en las consideraciones. Esta conclusión se ajusta a la necesidad de claridad que debe introducir el reglamento, en relación con la articulación y compatibilización del «nuevo criterio de desempate» con los preexistentes en el ordenamiento jurídico. En tal sentido, para la aplicación de este incentivo es necesario que se expida la reglamentación de que trata dicha ley.</w:t>
      </w:r>
    </w:p>
    <w:p w14:paraId="2AE72AD0" w14:textId="77777777" w:rsidR="009737DB" w:rsidRDefault="009737DB" w:rsidP="009737DB">
      <w:pPr>
        <w:spacing w:after="120" w:line="276" w:lineRule="auto"/>
        <w:ind w:firstLine="709"/>
        <w:jc w:val="both"/>
        <w:rPr>
          <w:rFonts w:ascii="Arial" w:eastAsia="Calibri" w:hAnsi="Arial" w:cs="Arial"/>
          <w:color w:val="000000" w:themeColor="text1"/>
          <w:sz w:val="22"/>
          <w:lang w:val="es-ES"/>
        </w:rPr>
      </w:pPr>
    </w:p>
    <w:p w14:paraId="016240F6" w14:textId="77777777" w:rsidR="009737DB" w:rsidRDefault="009737DB" w:rsidP="009737DB">
      <w:pPr>
        <w:spacing w:before="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3162D737" w14:textId="77777777" w:rsidR="009737DB" w:rsidRDefault="009737DB" w:rsidP="009737DB">
      <w:pPr>
        <w:ind w:firstLine="709"/>
        <w:jc w:val="both"/>
        <w:rPr>
          <w:rFonts w:ascii="Arial" w:eastAsia="Calibri" w:hAnsi="Arial" w:cs="Arial"/>
          <w:color w:val="000000" w:themeColor="text1"/>
          <w:sz w:val="22"/>
          <w:lang w:val="es-ES"/>
        </w:rPr>
      </w:pPr>
    </w:p>
    <w:p w14:paraId="37E71526" w14:textId="77777777" w:rsidR="009737DB" w:rsidRDefault="009737DB" w:rsidP="009737DB">
      <w:pPr>
        <w:jc w:val="both"/>
        <w:rPr>
          <w:rFonts w:ascii="Arial" w:hAnsi="Arial" w:cs="Arial"/>
          <w:color w:val="000000" w:themeColor="text1"/>
          <w:sz w:val="22"/>
          <w:lang w:val="es-ES" w:eastAsia="es-CO"/>
        </w:rPr>
      </w:pPr>
      <w:r>
        <w:rPr>
          <w:rFonts w:ascii="Arial" w:hAnsi="Arial" w:cs="Arial"/>
          <w:color w:val="000000" w:themeColor="text1"/>
          <w:sz w:val="22"/>
          <w:lang w:val="es-ES" w:eastAsia="es-CO"/>
        </w:rPr>
        <w:t>Atentamente,</w:t>
      </w:r>
    </w:p>
    <w:bookmarkEnd w:id="0"/>
    <w:bookmarkEnd w:id="1"/>
    <w:p w14:paraId="372332AD" w14:textId="26F262F1" w:rsidR="009737DB" w:rsidRDefault="009A01C7" w:rsidP="009737DB">
      <w:pPr>
        <w:jc w:val="center"/>
        <w:rPr>
          <w:lang w:val="es-ES"/>
        </w:rPr>
      </w:pPr>
      <w:r>
        <w:rPr>
          <w:rFonts w:ascii="Arial" w:hAnsi="Arial" w:cs="Arial"/>
          <w:noProof/>
          <w:color w:val="000000" w:themeColor="text1"/>
          <w:sz w:val="18"/>
          <w:szCs w:val="20"/>
        </w:rPr>
        <w:drawing>
          <wp:inline distT="0" distB="0" distL="0" distR="0" wp14:anchorId="3BCA8C5F" wp14:editId="6477E3AA">
            <wp:extent cx="2047297" cy="905774"/>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5C5BED2A" w14:textId="77777777" w:rsidR="009737DB" w:rsidRDefault="009737DB" w:rsidP="009737DB">
      <w:pPr>
        <w:jc w:val="center"/>
        <w:rPr>
          <w:lang w:val="es-ES"/>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9737DB" w14:paraId="3BB3141E" w14:textId="77777777" w:rsidTr="00027AAF">
        <w:trPr>
          <w:trHeight w:val="315"/>
        </w:trPr>
        <w:tc>
          <w:tcPr>
            <w:tcW w:w="812" w:type="dxa"/>
            <w:vAlign w:val="center"/>
            <w:hideMark/>
          </w:tcPr>
          <w:p w14:paraId="4DA647B0" w14:textId="77777777" w:rsidR="009737DB" w:rsidRDefault="009737DB" w:rsidP="00027AAF">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Elaboró:</w:t>
            </w:r>
          </w:p>
        </w:tc>
        <w:tc>
          <w:tcPr>
            <w:tcW w:w="4858" w:type="dxa"/>
            <w:tcBorders>
              <w:top w:val="nil"/>
              <w:left w:val="nil"/>
              <w:bottom w:val="dotted" w:sz="4" w:space="0" w:color="7F7F7F" w:themeColor="text1" w:themeTint="80"/>
              <w:right w:val="nil"/>
            </w:tcBorders>
            <w:vAlign w:val="center"/>
            <w:hideMark/>
          </w:tcPr>
          <w:p w14:paraId="7F190632" w14:textId="77777777" w:rsidR="009737DB" w:rsidRDefault="009737DB" w:rsidP="00027AAF">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Carlos Mario Castrillon Endo</w:t>
            </w:r>
          </w:p>
          <w:p w14:paraId="7E0FB581" w14:textId="77777777" w:rsidR="009737DB" w:rsidRDefault="009737DB" w:rsidP="00027AAF">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Contratista de la Subdirección de Gestión Contractual</w:t>
            </w:r>
          </w:p>
        </w:tc>
      </w:tr>
      <w:tr w:rsidR="009737DB" w14:paraId="25009A30" w14:textId="77777777" w:rsidTr="00027AAF">
        <w:trPr>
          <w:trHeight w:val="330"/>
        </w:trPr>
        <w:tc>
          <w:tcPr>
            <w:tcW w:w="812" w:type="dxa"/>
            <w:vAlign w:val="center"/>
            <w:hideMark/>
          </w:tcPr>
          <w:p w14:paraId="60179F49" w14:textId="77777777" w:rsidR="009737DB" w:rsidRDefault="009737DB" w:rsidP="00027AAF">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tcPr>
          <w:p w14:paraId="05468BF0" w14:textId="77777777" w:rsidR="009737DB" w:rsidRDefault="009737DB" w:rsidP="00027AAF">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Sebastián Ramírez Grisales </w:t>
            </w:r>
          </w:p>
          <w:p w14:paraId="7E73368C" w14:textId="77777777" w:rsidR="009737DB" w:rsidRDefault="009737DB" w:rsidP="00027AAF">
            <w:pPr>
              <w:rPr>
                <w:rFonts w:ascii="Arial" w:hAnsi="Arial" w:cs="Arial"/>
                <w:color w:val="000000" w:themeColor="text1"/>
                <w:sz w:val="16"/>
                <w:szCs w:val="16"/>
                <w:lang w:val="es-ES" w:eastAsia="es-ES"/>
              </w:rPr>
            </w:pPr>
            <w:r w:rsidRPr="000906AC">
              <w:rPr>
                <w:rFonts w:ascii="Arial" w:hAnsi="Arial" w:cs="Arial"/>
                <w:sz w:val="16"/>
                <w:szCs w:val="16"/>
                <w:lang w:eastAsia="es-CO"/>
              </w:rPr>
              <w:t>Gestor T</w:t>
            </w:r>
            <w:r>
              <w:rPr>
                <w:rFonts w:ascii="Arial" w:hAnsi="Arial" w:cs="Arial"/>
                <w:sz w:val="16"/>
                <w:szCs w:val="16"/>
                <w:lang w:eastAsia="es-CO"/>
              </w:rPr>
              <w:t xml:space="preserve">1 – Grado 15 </w:t>
            </w:r>
            <w:r>
              <w:rPr>
                <w:rFonts w:ascii="Arial" w:hAnsi="Arial" w:cs="Arial"/>
                <w:color w:val="000000" w:themeColor="text1"/>
                <w:sz w:val="16"/>
                <w:szCs w:val="16"/>
                <w:lang w:val="es-ES" w:eastAsia="es-ES"/>
              </w:rPr>
              <w:t>Subdirección de Gestión Contractual</w:t>
            </w:r>
          </w:p>
        </w:tc>
      </w:tr>
      <w:tr w:rsidR="009737DB" w14:paraId="276BF3B4" w14:textId="77777777" w:rsidTr="00027AAF">
        <w:trPr>
          <w:trHeight w:val="300"/>
        </w:trPr>
        <w:tc>
          <w:tcPr>
            <w:tcW w:w="812" w:type="dxa"/>
            <w:vAlign w:val="center"/>
            <w:hideMark/>
          </w:tcPr>
          <w:p w14:paraId="2327EAB2" w14:textId="77777777" w:rsidR="009737DB" w:rsidRDefault="009737DB" w:rsidP="00027AAF">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4D637E8A" w14:textId="77777777" w:rsidR="009737DB" w:rsidRDefault="009737DB" w:rsidP="00027AAF">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Jorge Augusto Tirado Navarro</w:t>
            </w:r>
          </w:p>
          <w:p w14:paraId="7CFA3FBB" w14:textId="77777777" w:rsidR="009737DB" w:rsidRDefault="009737DB" w:rsidP="00027AAF">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Subdirector de Gestión Contractual ANCP – CCE</w:t>
            </w:r>
          </w:p>
        </w:tc>
      </w:tr>
    </w:tbl>
    <w:p w14:paraId="73710326" w14:textId="77777777" w:rsidR="009737DB" w:rsidRDefault="009737DB" w:rsidP="009737DB">
      <w:pPr>
        <w:rPr>
          <w:color w:val="000000" w:themeColor="text1"/>
          <w:lang w:val="es-ES"/>
        </w:rPr>
      </w:pPr>
    </w:p>
    <w:p w14:paraId="5192C2F0" w14:textId="77777777" w:rsidR="009737DB" w:rsidRPr="003A36B7" w:rsidRDefault="009737DB" w:rsidP="009737DB">
      <w:pPr>
        <w:rPr>
          <w:lang w:val="es-ES"/>
        </w:rPr>
      </w:pPr>
    </w:p>
    <w:p w14:paraId="064D4E07" w14:textId="77777777" w:rsidR="009737DB" w:rsidRPr="000F3626" w:rsidRDefault="009737DB" w:rsidP="009737DB">
      <w:pPr>
        <w:rPr>
          <w:lang w:val="es-ES"/>
        </w:rPr>
      </w:pPr>
    </w:p>
    <w:p w14:paraId="1652AA39" w14:textId="0FAA0972" w:rsidR="00A97F4D" w:rsidRDefault="00A97F4D"/>
    <w:sectPr w:rsidR="00A97F4D">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14DAA" w14:textId="77777777" w:rsidR="00F92A14" w:rsidRDefault="00F92A14" w:rsidP="009737DB">
      <w:r>
        <w:separator/>
      </w:r>
    </w:p>
  </w:endnote>
  <w:endnote w:type="continuationSeparator" w:id="0">
    <w:p w14:paraId="2C9E8F19" w14:textId="77777777" w:rsidR="00F92A14" w:rsidRDefault="00F92A14" w:rsidP="00973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BBE0D" w14:textId="77777777" w:rsidR="003A36B7" w:rsidRPr="008217B7" w:rsidRDefault="009737DB" w:rsidP="003A36B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3876C85F" w14:textId="77777777" w:rsidR="003A36B7" w:rsidRDefault="009737DB" w:rsidP="003A36B7">
    <w:pPr>
      <w:pStyle w:val="Piedepgina"/>
      <w:jc w:val="center"/>
      <w:rPr>
        <w:lang w:val="es-ES"/>
      </w:rPr>
    </w:pPr>
    <w:r>
      <w:rPr>
        <w:noProof/>
        <w:lang w:eastAsia="es-CO"/>
      </w:rPr>
      <w:drawing>
        <wp:inline distT="0" distB="0" distL="0" distR="0" wp14:anchorId="1C9BBC14" wp14:editId="1D8B190B">
          <wp:extent cx="3700130" cy="519139"/>
          <wp:effectExtent l="0" t="0" r="0" b="0"/>
          <wp:docPr id="460002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B4306" w14:textId="77777777" w:rsidR="00F92A14" w:rsidRDefault="00F92A14" w:rsidP="009737DB">
      <w:r>
        <w:separator/>
      </w:r>
    </w:p>
  </w:footnote>
  <w:footnote w:type="continuationSeparator" w:id="0">
    <w:p w14:paraId="2C89EF7B" w14:textId="77777777" w:rsidR="00F92A14" w:rsidRDefault="00F92A14" w:rsidP="009737DB">
      <w:r>
        <w:continuationSeparator/>
      </w:r>
    </w:p>
  </w:footnote>
  <w:footnote w:id="1">
    <w:p w14:paraId="06FEB2DA" w14:textId="77777777" w:rsidR="009737DB" w:rsidRDefault="009737DB" w:rsidP="009737DB">
      <w:pPr>
        <w:pStyle w:val="Textonotapie"/>
        <w:ind w:firstLine="708"/>
        <w:jc w:val="both"/>
        <w:rPr>
          <w:rFonts w:ascii="Arial" w:hAnsi="Arial" w:cs="Arial"/>
          <w:sz w:val="19"/>
          <w:szCs w:val="19"/>
          <w:lang w:val="en-US"/>
        </w:rPr>
      </w:pPr>
      <w:r>
        <w:rPr>
          <w:rStyle w:val="Refdenotaalpie"/>
          <w:rFonts w:ascii="Arial" w:hAnsi="Arial" w:cs="Arial"/>
          <w:sz w:val="19"/>
          <w:szCs w:val="19"/>
        </w:rPr>
        <w:footnoteRef/>
      </w:r>
      <w:r>
        <w:rPr>
          <w:rFonts w:ascii="Arial" w:hAnsi="Arial" w:cs="Arial"/>
          <w:sz w:val="19"/>
          <w:szCs w:val="19"/>
          <w:lang w:val="en-US"/>
        </w:rPr>
        <w:t xml:space="preserve"> EUROPEAN COMMISSION. Buying Green – A handbook on green procurement, 2016, disponible en: https://ec.europa.eu/environment/gpp/pdf/Buying-Green-Handbook-3rd-Edition.pdf  </w:t>
      </w:r>
    </w:p>
    <w:p w14:paraId="7420072B" w14:textId="77777777" w:rsidR="009737DB" w:rsidRDefault="009737DB" w:rsidP="009737DB">
      <w:pPr>
        <w:pStyle w:val="Textonotapie"/>
        <w:ind w:firstLine="708"/>
        <w:jc w:val="both"/>
        <w:rPr>
          <w:rFonts w:ascii="Arial" w:hAnsi="Arial" w:cs="Arial"/>
          <w:sz w:val="19"/>
          <w:szCs w:val="19"/>
          <w:lang w:val="en-US"/>
        </w:rPr>
      </w:pPr>
    </w:p>
  </w:footnote>
  <w:footnote w:id="2">
    <w:p w14:paraId="0BC002BF" w14:textId="77777777" w:rsidR="009737DB" w:rsidRDefault="009737DB" w:rsidP="009737DB">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lang w:val="es-ES"/>
        </w:rPr>
        <w:t xml:space="preserve"> ARROWSMITH, SUE. </w:t>
      </w:r>
      <w:r>
        <w:rPr>
          <w:rFonts w:ascii="Arial" w:hAnsi="Arial" w:cs="Arial"/>
          <w:sz w:val="19"/>
          <w:szCs w:val="19"/>
          <w:lang w:val="es-CO"/>
        </w:rPr>
        <w:t>Políticas horizontales en la contratación pública: una taxonomía, Revista Digital de Derecho Administrativo. Bogotá: Universidad Externado de Colombia, 2019, pp. 224-226.</w:t>
      </w:r>
    </w:p>
    <w:p w14:paraId="60361241" w14:textId="77777777" w:rsidR="009737DB" w:rsidRDefault="009737DB" w:rsidP="009737DB">
      <w:pPr>
        <w:pStyle w:val="Textonotapie"/>
        <w:ind w:firstLine="708"/>
        <w:jc w:val="both"/>
        <w:rPr>
          <w:rFonts w:ascii="Arial" w:hAnsi="Arial" w:cs="Arial"/>
          <w:sz w:val="19"/>
          <w:szCs w:val="19"/>
          <w:lang w:val="es-CO"/>
        </w:rPr>
      </w:pPr>
    </w:p>
  </w:footnote>
  <w:footnote w:id="3">
    <w:p w14:paraId="156742A6" w14:textId="77777777" w:rsidR="009737DB" w:rsidRDefault="009737DB" w:rsidP="009737DB">
      <w:pPr>
        <w:pStyle w:val="Textonotapie"/>
        <w:ind w:firstLine="708"/>
        <w:jc w:val="both"/>
        <w:rPr>
          <w:rFonts w:ascii="Arial" w:hAnsi="Arial" w:cs="Arial"/>
          <w:sz w:val="19"/>
          <w:szCs w:val="19"/>
          <w:lang w:val="es-CO"/>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 xml:space="preserve">Ibídem, p. 227. </w:t>
      </w:r>
    </w:p>
    <w:p w14:paraId="35749786" w14:textId="77777777" w:rsidR="009737DB" w:rsidRDefault="009737DB" w:rsidP="009737DB">
      <w:pPr>
        <w:pStyle w:val="Textonotapie"/>
        <w:ind w:firstLine="708"/>
        <w:jc w:val="both"/>
        <w:rPr>
          <w:rFonts w:ascii="Arial" w:hAnsi="Arial" w:cs="Arial"/>
          <w:sz w:val="19"/>
          <w:szCs w:val="19"/>
          <w:lang w:val="es-CO"/>
        </w:rPr>
      </w:pPr>
    </w:p>
  </w:footnote>
  <w:footnote w:id="4">
    <w:p w14:paraId="54E5B284" w14:textId="77777777" w:rsidR="009737DB" w:rsidRDefault="009737DB" w:rsidP="009737D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CO"/>
        </w:rPr>
        <w:t xml:space="preserve">CONSEJO DE ESTADO, SALA DE CONSULTA Y SERVICIO CIVIL. Concepto del 8 de marzo de 2017, rad. </w:t>
      </w:r>
      <w:r>
        <w:rPr>
          <w:rFonts w:ascii="Arial" w:hAnsi="Arial" w:cs="Arial"/>
          <w:sz w:val="19"/>
          <w:szCs w:val="19"/>
        </w:rPr>
        <w:t xml:space="preserve">11001-03-06-000-2016-00102-00 (2.298). CP. Édgar González López. </w:t>
      </w:r>
    </w:p>
    <w:p w14:paraId="0AFE4CB2" w14:textId="77777777" w:rsidR="009737DB" w:rsidRDefault="009737DB" w:rsidP="009737DB">
      <w:pPr>
        <w:pStyle w:val="Textonotapie"/>
        <w:ind w:firstLine="708"/>
        <w:jc w:val="both"/>
        <w:rPr>
          <w:rFonts w:ascii="Arial" w:hAnsi="Arial" w:cs="Arial"/>
          <w:sz w:val="19"/>
          <w:szCs w:val="19"/>
          <w:lang w:val="es-CO"/>
        </w:rPr>
      </w:pPr>
    </w:p>
  </w:footnote>
  <w:footnote w:id="5">
    <w:p w14:paraId="58D0FADD" w14:textId="77777777" w:rsidR="009737DB" w:rsidRDefault="009737DB" w:rsidP="009737D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DUQUE BOTERO, Juan David. Contratación pública estratégica, socialmente responsable y competitiva. Bogotá: Tirant Lo Blanch, 2018. p. 52. </w:t>
      </w:r>
    </w:p>
  </w:footnote>
  <w:footnote w:id="6">
    <w:p w14:paraId="6434E4F2" w14:textId="77777777" w:rsidR="009737DB" w:rsidRDefault="009737DB" w:rsidP="009737DB">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5C4010FF" w14:textId="77777777" w:rsidR="009737DB" w:rsidRDefault="009737DB" w:rsidP="009737DB">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p>
    <w:p w14:paraId="20D8F4DC" w14:textId="77777777" w:rsidR="009737DB" w:rsidRDefault="009737DB" w:rsidP="009737DB">
      <w:pPr>
        <w:pStyle w:val="Textonotapie"/>
        <w:ind w:firstLine="708"/>
        <w:jc w:val="both"/>
        <w:rPr>
          <w:rFonts w:ascii="Arial" w:hAnsi="Arial" w:cs="Arial"/>
          <w:color w:val="000000" w:themeColor="text1"/>
          <w:sz w:val="19"/>
          <w:szCs w:val="19"/>
        </w:rPr>
      </w:pPr>
      <w:proofErr w:type="gramStart"/>
      <w:r>
        <w:rPr>
          <w:rFonts w:ascii="Arial" w:hAnsi="Arial" w:cs="Arial"/>
          <w:color w:val="000000" w:themeColor="text1"/>
          <w:sz w:val="19"/>
          <w:szCs w:val="19"/>
        </w:rPr>
        <w:t>»La</w:t>
      </w:r>
      <w:proofErr w:type="gramEnd"/>
      <w:r>
        <w:rPr>
          <w:rFonts w:ascii="Arial" w:hAnsi="Arial" w:cs="Arial"/>
          <w:color w:val="000000" w:themeColor="text1"/>
          <w:sz w:val="19"/>
          <w:szCs w:val="19"/>
        </w:rPr>
        <w:t xml:space="preserve">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3E3656D1" w14:textId="77777777" w:rsidR="009737DB" w:rsidRDefault="009737DB" w:rsidP="009737DB">
      <w:pPr>
        <w:pStyle w:val="Textonotapie"/>
        <w:ind w:firstLine="708"/>
        <w:jc w:val="both"/>
        <w:rPr>
          <w:rFonts w:ascii="Arial" w:hAnsi="Arial" w:cs="Arial"/>
          <w:color w:val="000000" w:themeColor="text1"/>
          <w:sz w:val="19"/>
          <w:szCs w:val="19"/>
          <w:lang w:val="es-ES"/>
        </w:rPr>
      </w:pPr>
    </w:p>
  </w:footnote>
  <w:footnote w:id="7">
    <w:p w14:paraId="45AD60EC" w14:textId="77777777" w:rsidR="009737DB" w:rsidRDefault="009737DB" w:rsidP="009737DB">
      <w:pPr>
        <w:pStyle w:val="Textonotapie"/>
        <w:ind w:firstLine="708"/>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276C2523" w14:textId="77777777" w:rsidR="009737DB" w:rsidRDefault="009737DB" w:rsidP="009737DB">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p>
    <w:p w14:paraId="7AD97CAA" w14:textId="77777777" w:rsidR="009737DB" w:rsidRDefault="009737DB" w:rsidP="009737DB">
      <w:pPr>
        <w:pStyle w:val="Textonotapie"/>
        <w:ind w:firstLine="708"/>
        <w:jc w:val="both"/>
        <w:rPr>
          <w:rFonts w:ascii="Arial" w:hAnsi="Arial" w:cs="Arial"/>
          <w:color w:val="000000" w:themeColor="text1"/>
          <w:sz w:val="19"/>
          <w:szCs w:val="19"/>
        </w:rPr>
      </w:pPr>
      <w:proofErr w:type="gramStart"/>
      <w:r>
        <w:rPr>
          <w:rFonts w:ascii="Arial" w:hAnsi="Arial" w:cs="Arial"/>
          <w:color w:val="000000" w:themeColor="text1"/>
          <w:sz w:val="19"/>
          <w:szCs w:val="19"/>
        </w:rPr>
        <w:t>»Servicios</w:t>
      </w:r>
      <w:proofErr w:type="gramEnd"/>
      <w:r>
        <w:rPr>
          <w:rFonts w:ascii="Arial" w:hAnsi="Arial" w:cs="Arial"/>
          <w:color w:val="000000" w:themeColor="text1"/>
          <w:sz w:val="19"/>
          <w:szCs w:val="19"/>
        </w:rPr>
        <w:t xml:space="preserve"> Nacionales: Servicios prestados por personas naturales colombianas o residentes en Colombia o por personas jurídicas constituidas de conformidad con la legislación colombiana».</w:t>
      </w:r>
    </w:p>
    <w:p w14:paraId="04907481" w14:textId="77777777" w:rsidR="009737DB" w:rsidRDefault="009737DB" w:rsidP="009737DB">
      <w:pPr>
        <w:pStyle w:val="Textonotapie"/>
        <w:ind w:firstLine="708"/>
        <w:jc w:val="both"/>
        <w:rPr>
          <w:rFonts w:ascii="Arial" w:hAnsi="Arial" w:cs="Arial"/>
          <w:color w:val="000000" w:themeColor="text1"/>
          <w:sz w:val="19"/>
          <w:szCs w:val="19"/>
        </w:rPr>
      </w:pPr>
    </w:p>
  </w:footnote>
  <w:footnote w:id="8">
    <w:p w14:paraId="34D23E53" w14:textId="77777777" w:rsidR="009737DB" w:rsidRDefault="009737DB" w:rsidP="009737DB">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14:paraId="00ADB83E" w14:textId="77777777" w:rsidR="009737DB" w:rsidRDefault="009737DB" w:rsidP="009737D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En ese sentido, ver CORTE CONSTITUCIONAL. Sentencia C-619 del 14 de junio de 2001. M.P. Marco Gerardo Monroy Cabra. </w:t>
      </w:r>
    </w:p>
    <w:p w14:paraId="2381DDF2" w14:textId="77777777" w:rsidR="009737DB" w:rsidRDefault="009737DB" w:rsidP="009737DB">
      <w:pPr>
        <w:pStyle w:val="Textonotapie"/>
        <w:ind w:firstLine="708"/>
        <w:jc w:val="both"/>
        <w:rPr>
          <w:rFonts w:ascii="Arial" w:hAnsi="Arial" w:cs="Arial"/>
          <w:sz w:val="19"/>
          <w:szCs w:val="19"/>
        </w:rPr>
      </w:pPr>
    </w:p>
  </w:footnote>
  <w:footnote w:id="10">
    <w:p w14:paraId="482C41F7" w14:textId="77777777" w:rsidR="009737DB" w:rsidRDefault="009737DB" w:rsidP="009737DB">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Gacetas del Congreso. 948 de 2018, 192 de 2019, 900 de 2019 y 314 de 2020. </w:t>
      </w:r>
    </w:p>
  </w:footnote>
  <w:footnote w:id="11">
    <w:p w14:paraId="64EB76C9" w14:textId="77777777" w:rsidR="009737DB" w:rsidRDefault="009737DB" w:rsidP="009737DB">
      <w:pPr>
        <w:pStyle w:val="Textonotapie"/>
        <w:ind w:firstLine="708"/>
        <w:jc w:val="both"/>
        <w:rPr>
          <w:rFonts w:ascii="Arial" w:hAnsi="Arial" w:cs="Arial"/>
          <w:sz w:val="19"/>
          <w:szCs w:val="19"/>
        </w:rPr>
      </w:pPr>
    </w:p>
    <w:p w14:paraId="3838DB48" w14:textId="77777777" w:rsidR="009737DB" w:rsidRDefault="009737DB" w:rsidP="009737D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Gaceta del Congreso. 314 del miércoles 10 de junio de 2020, p. 7.</w:t>
      </w:r>
    </w:p>
    <w:p w14:paraId="78411FF6" w14:textId="77777777" w:rsidR="009737DB" w:rsidRDefault="009737DB" w:rsidP="009737DB">
      <w:pPr>
        <w:pStyle w:val="Textonotapie"/>
        <w:ind w:firstLine="708"/>
        <w:jc w:val="both"/>
        <w:rPr>
          <w:rFonts w:ascii="Arial" w:hAnsi="Arial" w:cs="Arial"/>
          <w:sz w:val="19"/>
          <w:szCs w:val="19"/>
          <w:lang w:val="es-ES"/>
        </w:rPr>
      </w:pPr>
    </w:p>
  </w:footnote>
  <w:footnote w:id="12">
    <w:p w14:paraId="75741328" w14:textId="77777777" w:rsidR="009737DB" w:rsidRDefault="009737DB" w:rsidP="009737D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4 de la Ley 2040 de 2020 señala lo siguiente: «Reglamentación y verificación. El Gobierno nacional, en consulta con el Consejo Nacional del Adulto Mayor, deberá reglamentar presente ley en un término no mayor a seis (6) meses contados a partir de la expedición de la presente ley, por lo menos en los siguientes aspectos: i) Estrategias para la promoción del empleo de personas mayores que no sean beneficiarios de la pensión de vejez, familiar o de sobrevivencia y que hayan cumplido el requisito de edad de pensión establecido en la Ley en el sector público; ii) tipos de actividades y oficios que pueden asignárseles a los adultos mayores trabajadores cobijados por esta ley; iii) Derechos y obligaciones especiales de las empresas empleadoras que se acojan a esta ley; iv) Procedimiento de verificación del cumplimiento de requisitos por parte de las empresas empleadoras. </w:t>
      </w:r>
    </w:p>
    <w:p w14:paraId="010FC9DD" w14:textId="77777777" w:rsidR="009737DB" w:rsidRDefault="009737DB" w:rsidP="009737DB">
      <w:pPr>
        <w:pStyle w:val="Textonotapie"/>
        <w:ind w:firstLine="708"/>
        <w:jc w:val="both"/>
        <w:rPr>
          <w:rFonts w:ascii="Arial" w:hAnsi="Arial" w:cs="Arial"/>
          <w:sz w:val="19"/>
          <w:szCs w:val="19"/>
        </w:rPr>
      </w:pPr>
      <w:proofErr w:type="gramStart"/>
      <w:r>
        <w:rPr>
          <w:rFonts w:ascii="Arial" w:hAnsi="Arial" w:cs="Arial"/>
          <w:sz w:val="19"/>
          <w:szCs w:val="19"/>
        </w:rPr>
        <w:t>»Parágrafo</w:t>
      </w:r>
      <w:proofErr w:type="gramEnd"/>
      <w:r>
        <w:rPr>
          <w:rFonts w:ascii="Arial" w:hAnsi="Arial" w:cs="Arial"/>
          <w:sz w:val="19"/>
          <w:szCs w:val="19"/>
        </w:rPr>
        <w:t xml:space="preserve"> 1. Será responsabilidad de las empresas certificar ante el Ministerio del Trabajo el cumplimiento de los requisitos para acceder a los beneficios contemplados por esta ley. </w:t>
      </w:r>
    </w:p>
    <w:p w14:paraId="55BFDF27" w14:textId="77777777" w:rsidR="009737DB" w:rsidRDefault="009737DB" w:rsidP="009737DB">
      <w:pPr>
        <w:pStyle w:val="Textonotapie"/>
        <w:ind w:firstLine="708"/>
        <w:jc w:val="both"/>
        <w:rPr>
          <w:rFonts w:ascii="Arial" w:hAnsi="Arial" w:cs="Arial"/>
          <w:sz w:val="19"/>
          <w:szCs w:val="19"/>
        </w:rPr>
      </w:pPr>
      <w:proofErr w:type="gramStart"/>
      <w:r>
        <w:rPr>
          <w:rFonts w:ascii="Arial" w:hAnsi="Arial" w:cs="Arial"/>
          <w:sz w:val="19"/>
          <w:szCs w:val="19"/>
        </w:rPr>
        <w:t>»Parágrafo</w:t>
      </w:r>
      <w:proofErr w:type="gramEnd"/>
      <w:r>
        <w:rPr>
          <w:rFonts w:ascii="Arial" w:hAnsi="Arial" w:cs="Arial"/>
          <w:sz w:val="19"/>
          <w:szCs w:val="19"/>
        </w:rPr>
        <w:t xml:space="preserve"> 2. Posterior a la reglamentación sobre los tipos de actividades y oficios que se pueden asignar a las personas que no sean beneficiarias de la pensión de vejez, familiar o de sobrevivencia y que hayan cumplido el requisito de edad de pensión establecido en la ley, se determinará cuáles de ellos se enseñan a través de programas de formación del Servicio Nacional de Aprendizaje -SENA- y se dispondrá un número exclusivo de cupos para que las personas adultas no pensionadas objeto de la presente ley puedan formarse».</w:t>
      </w:r>
    </w:p>
    <w:p w14:paraId="3CE0BA07" w14:textId="77777777" w:rsidR="009737DB" w:rsidRDefault="009737DB" w:rsidP="009737DB">
      <w:pPr>
        <w:pStyle w:val="Textonotapie"/>
        <w:ind w:firstLine="708"/>
        <w:jc w:val="both"/>
        <w:rPr>
          <w:rFonts w:ascii="Arial" w:hAnsi="Arial" w:cs="Arial"/>
          <w:sz w:val="19"/>
          <w:szCs w:val="19"/>
          <w:lang w:val="es-CO"/>
        </w:rPr>
      </w:pPr>
    </w:p>
  </w:footnote>
  <w:footnote w:id="13">
    <w:p w14:paraId="144D8233" w14:textId="77777777" w:rsidR="009737DB" w:rsidRDefault="009737DB" w:rsidP="009737DB">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8A854" w14:textId="77777777" w:rsidR="004A580D" w:rsidRDefault="009737DB" w:rsidP="003A36B7">
    <w:pPr>
      <w:pStyle w:val="Encabezado"/>
    </w:pPr>
    <w:r>
      <w:rPr>
        <w:noProof/>
        <w:lang w:eastAsia="es-CO"/>
      </w:rPr>
      <w:drawing>
        <wp:anchor distT="0" distB="0" distL="114300" distR="114300" simplePos="0" relativeHeight="251659264" behindDoc="1" locked="0" layoutInCell="1" allowOverlap="1" wp14:anchorId="389BEECF" wp14:editId="51253CD6">
          <wp:simplePos x="0" y="0"/>
          <wp:positionH relativeFrom="margin">
            <wp:align>right</wp:align>
          </wp:positionH>
          <wp:positionV relativeFrom="paragraph">
            <wp:posOffset>10160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AE9B80" w14:textId="77777777" w:rsidR="003A36B7" w:rsidRDefault="009A01C7" w:rsidP="003A36B7">
    <w:pPr>
      <w:pStyle w:val="Encabezado"/>
    </w:pPr>
  </w:p>
  <w:p w14:paraId="42903014" w14:textId="77777777" w:rsidR="003A36B7" w:rsidRDefault="009A01C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7DB"/>
    <w:rsid w:val="00121D24"/>
    <w:rsid w:val="00241043"/>
    <w:rsid w:val="002F0CF2"/>
    <w:rsid w:val="00627FCE"/>
    <w:rsid w:val="0067002C"/>
    <w:rsid w:val="006C0DE1"/>
    <w:rsid w:val="008A41E4"/>
    <w:rsid w:val="008F75A2"/>
    <w:rsid w:val="009737DB"/>
    <w:rsid w:val="00996B00"/>
    <w:rsid w:val="009A01C7"/>
    <w:rsid w:val="00A97F4D"/>
    <w:rsid w:val="00AB73C0"/>
    <w:rsid w:val="00D27D94"/>
    <w:rsid w:val="00D342A3"/>
    <w:rsid w:val="00F073C4"/>
    <w:rsid w:val="00F13234"/>
    <w:rsid w:val="00F92A14"/>
    <w:rsid w:val="00FA4432"/>
    <w:rsid w:val="00FE770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DE4772E"/>
  <w15:chartTrackingRefBased/>
  <w15:docId w15:val="{107BD249-A7C9-49D0-A310-C856AA64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7DB"/>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9737D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semiHidden/>
    <w:unhideWhenUsed/>
    <w:qFormat/>
    <w:rsid w:val="009737DB"/>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9737DB"/>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737DB"/>
    <w:rPr>
      <w:sz w:val="24"/>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737DB"/>
    <w:pPr>
      <w:ind w:left="720"/>
      <w:contextualSpacing/>
    </w:pPr>
    <w:rPr>
      <w:rFonts w:asciiTheme="minorHAnsi" w:eastAsiaTheme="minorHAnsi" w:hAnsiTheme="minorHAnsi" w:cstheme="minorBidi"/>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semiHidden/>
    <w:unhideWhenUsed/>
    <w:qFormat/>
    <w:rsid w:val="009737DB"/>
    <w:rPr>
      <w:vertAlign w:val="superscript"/>
    </w:rPr>
  </w:style>
  <w:style w:type="table" w:styleId="Tablaconcuadrcula">
    <w:name w:val="Table Grid"/>
    <w:basedOn w:val="Tablanormal"/>
    <w:uiPriority w:val="39"/>
    <w:rsid w:val="009737D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737DB"/>
    <w:pPr>
      <w:tabs>
        <w:tab w:val="center" w:pos="4419"/>
        <w:tab w:val="right" w:pos="8838"/>
      </w:tabs>
    </w:pPr>
  </w:style>
  <w:style w:type="character" w:customStyle="1" w:styleId="EncabezadoCar">
    <w:name w:val="Encabezado Car"/>
    <w:basedOn w:val="Fuentedeprrafopredeter"/>
    <w:link w:val="Encabezado"/>
    <w:uiPriority w:val="99"/>
    <w:rsid w:val="009737DB"/>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9737DB"/>
    <w:pPr>
      <w:tabs>
        <w:tab w:val="center" w:pos="4419"/>
        <w:tab w:val="right" w:pos="8838"/>
      </w:tabs>
    </w:pPr>
  </w:style>
  <w:style w:type="character" w:customStyle="1" w:styleId="PiedepginaCar">
    <w:name w:val="Pie de página Car"/>
    <w:basedOn w:val="Fuentedeprrafopredeter"/>
    <w:link w:val="Piedepgina"/>
    <w:uiPriority w:val="99"/>
    <w:rsid w:val="009737DB"/>
    <w:rPr>
      <w:rFonts w:ascii="Times New Roman" w:eastAsia="Times New Roman" w:hAnsi="Times New Roman" w:cs="Times New Roman"/>
      <w:sz w:val="24"/>
      <w:szCs w:val="24"/>
    </w:rPr>
  </w:style>
  <w:style w:type="paragraph" w:styleId="Sinespaciado">
    <w:name w:val="No Spacing"/>
    <w:uiPriority w:val="1"/>
    <w:qFormat/>
    <w:rsid w:val="009737DB"/>
    <w:pPr>
      <w:spacing w:after="0" w:line="240" w:lineRule="auto"/>
    </w:pPr>
    <w:rPr>
      <w:sz w:val="24"/>
      <w:lang w:val="es-MX"/>
    </w:rPr>
  </w:style>
  <w:style w:type="paragraph" w:styleId="Textodeglobo">
    <w:name w:val="Balloon Text"/>
    <w:basedOn w:val="Normal"/>
    <w:link w:val="TextodegloboCar"/>
    <w:uiPriority w:val="99"/>
    <w:semiHidden/>
    <w:unhideWhenUsed/>
    <w:rsid w:val="009737D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737DB"/>
    <w:rPr>
      <w:rFonts w:ascii="Segoe UI" w:eastAsia="Times New Roman" w:hAnsi="Segoe UI" w:cs="Segoe UI"/>
      <w:sz w:val="18"/>
      <w:szCs w:val="18"/>
    </w:rPr>
  </w:style>
  <w:style w:type="character" w:styleId="Refdecomentario">
    <w:name w:val="annotation reference"/>
    <w:basedOn w:val="Fuentedeprrafopredeter"/>
    <w:uiPriority w:val="99"/>
    <w:semiHidden/>
    <w:unhideWhenUsed/>
    <w:rsid w:val="009737DB"/>
    <w:rPr>
      <w:sz w:val="16"/>
      <w:szCs w:val="16"/>
    </w:rPr>
  </w:style>
  <w:style w:type="paragraph" w:styleId="Textocomentario">
    <w:name w:val="annotation text"/>
    <w:basedOn w:val="Normal"/>
    <w:link w:val="TextocomentarioCar"/>
    <w:uiPriority w:val="99"/>
    <w:semiHidden/>
    <w:unhideWhenUsed/>
    <w:rsid w:val="009737DB"/>
    <w:rPr>
      <w:sz w:val="20"/>
      <w:szCs w:val="20"/>
    </w:rPr>
  </w:style>
  <w:style w:type="character" w:customStyle="1" w:styleId="TextocomentarioCar">
    <w:name w:val="Texto comentario Car"/>
    <w:basedOn w:val="Fuentedeprrafopredeter"/>
    <w:link w:val="Textocomentario"/>
    <w:uiPriority w:val="99"/>
    <w:semiHidden/>
    <w:rsid w:val="009737DB"/>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AB73C0"/>
    <w:rPr>
      <w:b/>
      <w:bCs/>
    </w:rPr>
  </w:style>
  <w:style w:type="character" w:customStyle="1" w:styleId="AsuntodelcomentarioCar">
    <w:name w:val="Asunto del comentario Car"/>
    <w:basedOn w:val="TextocomentarioCar"/>
    <w:link w:val="Asuntodelcomentario"/>
    <w:uiPriority w:val="99"/>
    <w:semiHidden/>
    <w:rsid w:val="00AB73C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6F7DDC5-028F-486C-ABC9-02C23178ED86}">
  <ds:schemaRefs>
    <ds:schemaRef ds:uri="http://schemas.openxmlformats.org/officeDocument/2006/bibliography"/>
  </ds:schemaRefs>
</ds:datastoreItem>
</file>

<file path=customXml/itemProps2.xml><?xml version="1.0" encoding="utf-8"?>
<ds:datastoreItem xmlns:ds="http://schemas.openxmlformats.org/officeDocument/2006/customXml" ds:itemID="{33D346BF-CFC9-4A9E-A423-403F3040539E}"/>
</file>

<file path=customXml/itemProps3.xml><?xml version="1.0" encoding="utf-8"?>
<ds:datastoreItem xmlns:ds="http://schemas.openxmlformats.org/officeDocument/2006/customXml" ds:itemID="{D37D7973-0730-4AEF-BC18-87199473C3A0}"/>
</file>

<file path=customXml/itemProps4.xml><?xml version="1.0" encoding="utf-8"?>
<ds:datastoreItem xmlns:ds="http://schemas.openxmlformats.org/officeDocument/2006/customXml" ds:itemID="{40AAA931-1D60-4A5F-9B43-42FE2BEF9D61}"/>
</file>

<file path=docProps/app.xml><?xml version="1.0" encoding="utf-8"?>
<Properties xmlns="http://schemas.openxmlformats.org/officeDocument/2006/extended-properties" xmlns:vt="http://schemas.openxmlformats.org/officeDocument/2006/docPropsVTypes">
  <Template>Normal</Template>
  <TotalTime>0</TotalTime>
  <Pages>15</Pages>
  <Words>6207</Words>
  <Characters>34141</Characters>
  <Application>Microsoft Office Word</Application>
  <DocSecurity>4</DocSecurity>
  <Lines>284</Lines>
  <Paragraphs>80</Paragraphs>
  <ScaleCrop>false</ScaleCrop>
  <Company/>
  <LinksUpToDate>false</LinksUpToDate>
  <CharactersWithSpaces>40268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2</cp:revision>
  <dcterms:created xsi:type="dcterms:W3CDTF">2020-12-03T13:21:00Z</dcterms:created>
  <dcterms:modified xsi:type="dcterms:W3CDTF">2020-12-03T13:21:00Z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