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1234A" w14:textId="77777777" w:rsidR="00A028C0" w:rsidRPr="007D3840" w:rsidRDefault="00A028C0" w:rsidP="00A028C0">
      <w:pPr>
        <w:pStyle w:val="xmsonospacing"/>
        <w:spacing w:before="0" w:beforeAutospacing="0" w:after="120" w:afterAutospacing="0"/>
        <w:jc w:val="both"/>
        <w:rPr>
          <w:rFonts w:ascii="Geomanist Light" w:hAnsi="Geomanist Light" w:cs="Arial"/>
          <w:b/>
          <w:bCs/>
          <w:color w:val="000000"/>
          <w:sz w:val="22"/>
          <w:szCs w:val="22"/>
          <w:bdr w:val="none" w:sz="0" w:space="0" w:color="auto" w:frame="1"/>
          <w:shd w:val="clear" w:color="auto" w:fill="FFFFFF"/>
        </w:rPr>
      </w:pPr>
      <w:r w:rsidRPr="007D3840">
        <w:rPr>
          <w:rFonts w:ascii="Geomanist Light" w:hAnsi="Geomanist Light" w:cs="Arial"/>
          <w:b/>
          <w:bCs/>
          <w:color w:val="000000"/>
          <w:sz w:val="22"/>
          <w:szCs w:val="22"/>
          <w:bdr w:val="none" w:sz="0" w:space="0" w:color="auto" w:frame="1"/>
          <w:shd w:val="clear" w:color="auto" w:fill="FFFFFF"/>
        </w:rPr>
        <w:t xml:space="preserve">PLIEGO DE CONDICIONES – Contenido – Efectos jurídicos </w:t>
      </w:r>
    </w:p>
    <w:p w14:paraId="510EBD9F" w14:textId="7DF1D75A" w:rsidR="007D3840" w:rsidRPr="007D3840" w:rsidRDefault="00255C5E" w:rsidP="007D3840">
      <w:pPr>
        <w:pStyle w:val="xmsonospacing"/>
        <w:spacing w:before="0" w:beforeAutospacing="0" w:after="120" w:afterAutospacing="0"/>
        <w:jc w:val="both"/>
        <w:rPr>
          <w:rFonts w:ascii="Geomanist Light" w:eastAsia="Calibri" w:hAnsi="Geomanist Light" w:cs="Arial"/>
          <w:color w:val="000000" w:themeColor="text1"/>
          <w:sz w:val="20"/>
          <w:szCs w:val="22"/>
        </w:rPr>
      </w:pPr>
      <w:r w:rsidRPr="007D3840">
        <w:rPr>
          <w:rFonts w:ascii="Geomanist Light" w:hAnsi="Geomanist Light" w:cs="Arial"/>
          <w:color w:val="000000"/>
          <w:sz w:val="20"/>
          <w:szCs w:val="20"/>
          <w:bdr w:val="none" w:sz="0" w:space="0" w:color="auto" w:frame="1"/>
          <w:shd w:val="clear" w:color="auto" w:fill="FFFFFF"/>
        </w:rPr>
        <w:br/>
      </w:r>
      <w:r w:rsidR="00A028C0" w:rsidRPr="007D3840">
        <w:rPr>
          <w:rFonts w:ascii="Geomanist Light" w:eastAsia="Calibri" w:hAnsi="Geomanist Light" w:cs="Arial"/>
          <w:color w:val="000000" w:themeColor="text1"/>
          <w:sz w:val="20"/>
          <w:szCs w:val="22"/>
        </w:rPr>
        <w:t>La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fin de procurar un equilibrio y el cumplimiento de sus principios, entre otros objetivos.</w:t>
      </w:r>
    </w:p>
    <w:p w14:paraId="02C21AF1" w14:textId="561D61C3" w:rsidR="00255C5E" w:rsidRPr="007D3840" w:rsidRDefault="00A028C0" w:rsidP="00A028C0">
      <w:pPr>
        <w:jc w:val="both"/>
        <w:rPr>
          <w:rFonts w:ascii="Geomanist Light" w:hAnsi="Geomanist Light" w:cs="Arial"/>
          <w:color w:val="000000"/>
          <w:sz w:val="18"/>
          <w:szCs w:val="18"/>
          <w:bdr w:val="none" w:sz="0" w:space="0" w:color="auto" w:frame="1"/>
          <w:shd w:val="clear" w:color="auto" w:fill="FFFFFF"/>
        </w:rPr>
      </w:pPr>
      <w:r w:rsidRPr="007D3840">
        <w:rPr>
          <w:rFonts w:ascii="Geomanist Light" w:eastAsia="Calibri" w:hAnsi="Geomanist Light" w:cs="Arial"/>
          <w:color w:val="000000" w:themeColor="text1"/>
          <w:sz w:val="20"/>
          <w:szCs w:val="22"/>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p>
    <w:p w14:paraId="180C395C" w14:textId="77777777" w:rsidR="00255C5E" w:rsidRPr="007D3840" w:rsidRDefault="00255C5E" w:rsidP="00255C5E">
      <w:pPr>
        <w:rPr>
          <w:rFonts w:ascii="Geomanist Light" w:hAnsi="Geomanist Light" w:cs="Arial"/>
          <w:color w:val="000000"/>
          <w:sz w:val="20"/>
          <w:szCs w:val="20"/>
          <w:bdr w:val="none" w:sz="0" w:space="0" w:color="auto" w:frame="1"/>
          <w:shd w:val="clear" w:color="auto" w:fill="FFFFFF"/>
        </w:rPr>
      </w:pPr>
    </w:p>
    <w:p w14:paraId="280132F3" w14:textId="1A21EED3" w:rsidR="00255C5E" w:rsidRPr="007D3840" w:rsidRDefault="00A028C0" w:rsidP="00255C5E">
      <w:pPr>
        <w:rPr>
          <w:rFonts w:ascii="Geomanist Light" w:hAnsi="Geomanist Light" w:cs="Arial"/>
          <w:b/>
          <w:bCs/>
          <w:color w:val="000000"/>
          <w:sz w:val="22"/>
          <w:szCs w:val="22"/>
          <w:bdr w:val="none" w:sz="0" w:space="0" w:color="auto" w:frame="1"/>
          <w:shd w:val="clear" w:color="auto" w:fill="FFFFFF"/>
        </w:rPr>
      </w:pPr>
      <w:r w:rsidRPr="007D3840">
        <w:rPr>
          <w:rFonts w:ascii="Geomanist Light" w:hAnsi="Geomanist Light" w:cs="Arial"/>
          <w:b/>
          <w:bCs/>
          <w:color w:val="000000"/>
          <w:sz w:val="22"/>
          <w:szCs w:val="22"/>
          <w:bdr w:val="none" w:sz="0" w:space="0" w:color="auto" w:frame="1"/>
          <w:shd w:val="clear" w:color="auto" w:fill="FFFFFF"/>
        </w:rPr>
        <w:t>PLIEGO DE CONDICIONES – Modulo de subasta – SECOP II – Subasta inversa</w:t>
      </w:r>
    </w:p>
    <w:p w14:paraId="33E7FB29" w14:textId="659B2138" w:rsidR="00A028C0" w:rsidRPr="007D3840" w:rsidRDefault="00A028C0" w:rsidP="00A028C0">
      <w:pPr>
        <w:rPr>
          <w:rFonts w:ascii="Geomanist Light" w:hAnsi="Geomanist Light" w:cs="Arial"/>
          <w:b/>
          <w:bCs/>
          <w:color w:val="000000"/>
          <w:sz w:val="20"/>
          <w:szCs w:val="20"/>
          <w:bdr w:val="none" w:sz="0" w:space="0" w:color="auto" w:frame="1"/>
          <w:shd w:val="clear" w:color="auto" w:fill="FFFFFF"/>
        </w:rPr>
      </w:pPr>
    </w:p>
    <w:p w14:paraId="7602EDD0" w14:textId="22D3C5BC" w:rsidR="00A028C0" w:rsidRPr="007D3840" w:rsidRDefault="00A028C0" w:rsidP="00A028C0">
      <w:pPr>
        <w:pStyle w:val="xmsonospacing"/>
        <w:spacing w:before="0" w:beforeAutospacing="0" w:after="0" w:afterAutospacing="0"/>
        <w:jc w:val="both"/>
        <w:rPr>
          <w:rFonts w:ascii="Geomanist Light" w:eastAsia="Calibri" w:hAnsi="Geomanist Light" w:cs="Arial"/>
          <w:sz w:val="20"/>
          <w:szCs w:val="22"/>
          <w:lang w:val="es-ES"/>
        </w:rPr>
      </w:pPr>
      <w:r w:rsidRPr="007D3840">
        <w:rPr>
          <w:rFonts w:ascii="Geomanist Light" w:hAnsi="Geomanist Light" w:cs="Arial"/>
          <w:color w:val="000000"/>
          <w:sz w:val="20"/>
          <w:szCs w:val="20"/>
          <w:bdr w:val="none" w:sz="0" w:space="0" w:color="auto" w:frame="1"/>
          <w:shd w:val="clear" w:color="auto" w:fill="FFFFFF"/>
        </w:rPr>
        <w:t xml:space="preserve">[…] los procesos adelantados a través de la SECOP II en los cuales el pliego de condiciones es un documento electrónico el cual se produce, expide y publica al interior de esta versión de la plataforma, la cual tiene carácter transaccional y no meramente publicitario. Este pliego de condiciones electrónico </w:t>
      </w:r>
      <w:r w:rsidRPr="007D3840">
        <w:rPr>
          <w:rFonts w:ascii="Geomanist Light" w:eastAsia="Calibri" w:hAnsi="Geomanist Light" w:cs="Arial"/>
          <w:sz w:val="20"/>
          <w:szCs w:val="22"/>
          <w:lang w:val="es-ES"/>
        </w:rPr>
        <w:t>está compuesto por: i) formulario y ii) documentos anexos que cargue la entidad. Después de elegir la modalidad de selección, el SECOP II la entidad crea el expediente electrónico del procedimiento y habilita la creación del pliego borrador electrónico. Este pliego electrónico es un formulario con seis secciones: i) información general, ii) configuración, iii) cuestionario, iv) evaluación, v) documentos del proceso y vi) documentos de la oferta.</w:t>
      </w:r>
    </w:p>
    <w:p w14:paraId="31556FCD" w14:textId="35AECF49" w:rsidR="00A028C0" w:rsidRPr="007D3840" w:rsidRDefault="00A028C0" w:rsidP="00A028C0">
      <w:pPr>
        <w:pStyle w:val="xmsonospacing"/>
        <w:spacing w:before="0" w:beforeAutospacing="0" w:after="0" w:afterAutospacing="0"/>
        <w:jc w:val="both"/>
        <w:rPr>
          <w:rFonts w:ascii="Geomanist Light" w:eastAsia="Calibri" w:hAnsi="Geomanist Light" w:cs="Arial"/>
          <w:sz w:val="20"/>
          <w:szCs w:val="22"/>
          <w:lang w:val="es-ES"/>
        </w:rPr>
      </w:pPr>
    </w:p>
    <w:p w14:paraId="0E52E5C2" w14:textId="3B4FD07D" w:rsidR="00A028C0" w:rsidRPr="007D3840" w:rsidRDefault="00A028C0" w:rsidP="00A028C0">
      <w:pPr>
        <w:pStyle w:val="xmsonospacing"/>
        <w:spacing w:before="0" w:beforeAutospacing="0" w:after="0" w:afterAutospacing="0"/>
        <w:jc w:val="both"/>
        <w:rPr>
          <w:rFonts w:ascii="Geomanist Light" w:eastAsia="Calibri" w:hAnsi="Geomanist Light" w:cs="Arial"/>
          <w:sz w:val="20"/>
          <w:szCs w:val="22"/>
          <w:lang w:val="es-ES"/>
        </w:rPr>
      </w:pPr>
      <w:r w:rsidRPr="007D3840">
        <w:rPr>
          <w:rFonts w:ascii="Geomanist Light" w:eastAsia="Calibri" w:hAnsi="Geomanist Light" w:cs="Arial"/>
          <w:sz w:val="20"/>
          <w:szCs w:val="22"/>
          <w:lang w:val="es-ES"/>
        </w:rPr>
        <w:t>[…]</w:t>
      </w:r>
    </w:p>
    <w:p w14:paraId="7FFE137D" w14:textId="513E9892" w:rsidR="00A028C0" w:rsidRPr="007D3840" w:rsidRDefault="00A028C0" w:rsidP="00A028C0">
      <w:pPr>
        <w:pStyle w:val="xmsonospacing"/>
        <w:spacing w:before="0" w:beforeAutospacing="0" w:after="0" w:afterAutospacing="0"/>
        <w:jc w:val="both"/>
        <w:rPr>
          <w:rFonts w:ascii="Geomanist Light" w:eastAsia="Calibri" w:hAnsi="Geomanist Light" w:cs="Arial"/>
          <w:sz w:val="20"/>
          <w:szCs w:val="22"/>
          <w:lang w:val="es-ES"/>
        </w:rPr>
      </w:pPr>
    </w:p>
    <w:p w14:paraId="095A95AB" w14:textId="77777777" w:rsidR="00A028C0" w:rsidRPr="007D3840" w:rsidRDefault="00A028C0" w:rsidP="00A028C0">
      <w:pPr>
        <w:spacing w:after="120"/>
        <w:jc w:val="both"/>
        <w:rPr>
          <w:rFonts w:ascii="Geomanist Light" w:hAnsi="Geomanist Light" w:cs="Arial"/>
          <w:color w:val="000000" w:themeColor="text1"/>
          <w:sz w:val="20"/>
          <w:szCs w:val="22"/>
        </w:rPr>
      </w:pPr>
      <w:r w:rsidRPr="007D3840">
        <w:rPr>
          <w:rFonts w:ascii="Geomanist Light" w:hAnsi="Geomanist Light" w:cs="Arial"/>
          <w:color w:val="000000" w:themeColor="text1"/>
          <w:sz w:val="20"/>
          <w:szCs w:val="22"/>
        </w:rPr>
        <w:t xml:space="preserve">Para el desarrollo de procesos de contratación mediante el mecanismo de subasta inversa, el SECOP II cuenta con un módulo de subasta electrónica el cual garantiza la trazabilidad de las acciones que realizan los proponentes mediante el control sobre sus lances y la generación de un informe al detalle del desarrollo de esta. Además, dispone de la herramienta de </w:t>
      </w:r>
      <w:r w:rsidRPr="007D3840">
        <w:rPr>
          <w:rFonts w:ascii="Geomanist Light" w:hAnsi="Geomanist Light" w:cs="Arial"/>
          <w:i/>
          <w:iCs/>
          <w:color w:val="000000" w:themeColor="text1"/>
          <w:sz w:val="20"/>
          <w:szCs w:val="22"/>
        </w:rPr>
        <w:t>Chat</w:t>
      </w:r>
      <w:r w:rsidRPr="007D3840">
        <w:rPr>
          <w:rFonts w:ascii="Geomanist Light" w:hAnsi="Geomanist Light" w:cs="Arial"/>
          <w:color w:val="000000" w:themeColor="text1"/>
          <w:sz w:val="20"/>
          <w:szCs w:val="22"/>
        </w:rPr>
        <w:t xml:space="preserve"> la cual permite la comunicación directa entre la entidad estatal y los proveedores durante el desarrollo del evento de subasta.</w:t>
      </w:r>
    </w:p>
    <w:p w14:paraId="6970041C" w14:textId="77777777" w:rsidR="00A028C0" w:rsidRPr="007D3840" w:rsidRDefault="00A028C0" w:rsidP="00A028C0">
      <w:pPr>
        <w:pStyle w:val="xmsonospacing"/>
        <w:spacing w:before="0" w:beforeAutospacing="0" w:after="0" w:afterAutospacing="0"/>
        <w:jc w:val="both"/>
        <w:rPr>
          <w:rFonts w:ascii="Geomanist Light" w:eastAsia="Calibri" w:hAnsi="Geomanist Light" w:cs="Arial"/>
          <w:sz w:val="20"/>
          <w:szCs w:val="22"/>
          <w:lang w:val="es-ES"/>
        </w:rPr>
      </w:pPr>
    </w:p>
    <w:p w14:paraId="0B564C92" w14:textId="08C42DBF" w:rsidR="00A028C0" w:rsidRPr="007D3840" w:rsidRDefault="00A028C0" w:rsidP="00255C5E">
      <w:pPr>
        <w:rPr>
          <w:rFonts w:ascii="Geomanist Light" w:hAnsi="Geomanist Light" w:cs="Arial"/>
          <w:color w:val="000000"/>
          <w:sz w:val="22"/>
          <w:szCs w:val="22"/>
          <w:bdr w:val="none" w:sz="0" w:space="0" w:color="auto" w:frame="1"/>
          <w:shd w:val="clear" w:color="auto" w:fill="FFFFFF"/>
        </w:rPr>
      </w:pPr>
    </w:p>
    <w:p w14:paraId="691BAE68" w14:textId="65FECA8F" w:rsidR="00A028C0" w:rsidRPr="007D3840" w:rsidRDefault="00A028C0" w:rsidP="00255C5E">
      <w:pPr>
        <w:rPr>
          <w:rFonts w:ascii="Geomanist Light" w:hAnsi="Geomanist Light" w:cs="Arial"/>
          <w:b/>
          <w:bCs/>
          <w:color w:val="000000"/>
          <w:sz w:val="22"/>
          <w:szCs w:val="22"/>
          <w:bdr w:val="none" w:sz="0" w:space="0" w:color="auto" w:frame="1"/>
          <w:shd w:val="clear" w:color="auto" w:fill="FFFFFF"/>
        </w:rPr>
      </w:pPr>
    </w:p>
    <w:p w14:paraId="7AADB6AC" w14:textId="59DC4D37" w:rsidR="00A028C0" w:rsidRPr="007D3840" w:rsidRDefault="00A028C0" w:rsidP="00255C5E">
      <w:pPr>
        <w:rPr>
          <w:rFonts w:ascii="Geomanist Light" w:hAnsi="Geomanist Light" w:cs="Arial"/>
          <w:b/>
          <w:bCs/>
          <w:color w:val="000000"/>
          <w:sz w:val="22"/>
          <w:szCs w:val="22"/>
          <w:bdr w:val="none" w:sz="0" w:space="0" w:color="auto" w:frame="1"/>
          <w:shd w:val="clear" w:color="auto" w:fill="FFFFFF"/>
        </w:rPr>
      </w:pPr>
    </w:p>
    <w:p w14:paraId="738B1038" w14:textId="38FA1AFF"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6DEA7CC7" w14:textId="57C1DDD2"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4367A11F" w14:textId="1AFA50D6" w:rsidR="00146579" w:rsidRDefault="00146579" w:rsidP="00255C5E">
      <w:pPr>
        <w:rPr>
          <w:rFonts w:ascii="Geomanist Light" w:hAnsi="Geomanist Light" w:cs="Arial"/>
          <w:b/>
          <w:bCs/>
          <w:color w:val="000000"/>
          <w:sz w:val="22"/>
          <w:szCs w:val="22"/>
          <w:bdr w:val="none" w:sz="0" w:space="0" w:color="auto" w:frame="1"/>
          <w:shd w:val="clear" w:color="auto" w:fill="FFFFFF"/>
        </w:rPr>
      </w:pPr>
    </w:p>
    <w:p w14:paraId="61925BBA" w14:textId="77777777" w:rsidR="0062433F" w:rsidRPr="007D3840" w:rsidRDefault="0062433F" w:rsidP="00255C5E">
      <w:pPr>
        <w:rPr>
          <w:rFonts w:ascii="Geomanist Light" w:hAnsi="Geomanist Light" w:cs="Arial"/>
          <w:b/>
          <w:bCs/>
          <w:color w:val="000000"/>
          <w:sz w:val="22"/>
          <w:szCs w:val="22"/>
          <w:bdr w:val="none" w:sz="0" w:space="0" w:color="auto" w:frame="1"/>
          <w:shd w:val="clear" w:color="auto" w:fill="FFFFFF"/>
        </w:rPr>
      </w:pPr>
    </w:p>
    <w:p w14:paraId="1854CE0A" w14:textId="08711B8B"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763A6907" w14:textId="39DC20F6"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4CE95B1A" w14:textId="2F58D734"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7E44A8CC" w14:textId="2B0CA22E"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1EB69328" w14:textId="5D383434"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5DAB023E" w14:textId="77777777" w:rsidR="00146579" w:rsidRPr="007D3840" w:rsidRDefault="00146579" w:rsidP="00255C5E">
      <w:pPr>
        <w:rPr>
          <w:rFonts w:ascii="Geomanist Light" w:hAnsi="Geomanist Light" w:cs="Arial"/>
          <w:b/>
          <w:bCs/>
          <w:color w:val="000000"/>
          <w:sz w:val="22"/>
          <w:szCs w:val="22"/>
          <w:bdr w:val="none" w:sz="0" w:space="0" w:color="auto" w:frame="1"/>
          <w:shd w:val="clear" w:color="auto" w:fill="FFFFFF"/>
        </w:rPr>
      </w:pPr>
    </w:p>
    <w:p w14:paraId="158E23D2" w14:textId="77777777" w:rsidR="00A028C0" w:rsidRPr="007D3840" w:rsidRDefault="00A028C0" w:rsidP="00255C5E">
      <w:pPr>
        <w:rPr>
          <w:rFonts w:ascii="Geomanist Light" w:hAnsi="Geomanist Light" w:cs="Arial"/>
          <w:color w:val="000000"/>
          <w:sz w:val="20"/>
          <w:szCs w:val="20"/>
          <w:bdr w:val="none" w:sz="0" w:space="0" w:color="auto" w:frame="1"/>
          <w:shd w:val="clear" w:color="auto" w:fill="FFFFFF"/>
        </w:rPr>
      </w:pPr>
    </w:p>
    <w:p w14:paraId="08B516E9" w14:textId="487915C2" w:rsidR="007619F1" w:rsidRPr="007D3840" w:rsidRDefault="00D71A7D" w:rsidP="007619F1">
      <w:pPr>
        <w:rPr>
          <w:rFonts w:ascii="Geomanist Light" w:hAnsi="Geomanist Light" w:cs="Arial"/>
          <w:color w:val="000000"/>
          <w:sz w:val="22"/>
          <w:szCs w:val="22"/>
          <w:bdr w:val="none" w:sz="0" w:space="0" w:color="auto" w:frame="1"/>
          <w:shd w:val="clear" w:color="auto" w:fill="FFFFFF"/>
        </w:rPr>
      </w:pPr>
      <w:r w:rsidRPr="007D3840">
        <w:rPr>
          <w:rFonts w:ascii="Geomanist Light" w:hAnsi="Geomanist Light"/>
          <w:noProof/>
        </w:rPr>
        <w:lastRenderedPageBreak/>
        <w:drawing>
          <wp:anchor distT="0" distB="0" distL="0" distR="0" simplePos="0" relativeHeight="251659264" behindDoc="0" locked="0" layoutInCell="1" allowOverlap="1" wp14:anchorId="62E30211" wp14:editId="282AB6E5">
            <wp:simplePos x="0" y="0"/>
            <wp:positionH relativeFrom="page">
              <wp:posOffset>4699635</wp:posOffset>
            </wp:positionH>
            <wp:positionV relativeFrom="paragraph">
              <wp:posOffset>7620</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p>
    <w:p w14:paraId="737E5474" w14:textId="6491CD2D" w:rsidR="00D71A7D" w:rsidRPr="007D3840" w:rsidRDefault="00D71A7D" w:rsidP="007619F1">
      <w:pPr>
        <w:rPr>
          <w:rFonts w:ascii="Geomanist Light" w:hAnsi="Geomanist Light" w:cs="Arial"/>
          <w:color w:val="000000"/>
          <w:sz w:val="22"/>
          <w:szCs w:val="22"/>
          <w:bdr w:val="none" w:sz="0" w:space="0" w:color="auto" w:frame="1"/>
          <w:shd w:val="clear" w:color="auto" w:fill="FFFFFF"/>
        </w:rPr>
      </w:pPr>
    </w:p>
    <w:p w14:paraId="128256B8" w14:textId="053BC68B" w:rsidR="00D71A7D" w:rsidRPr="007D3840" w:rsidRDefault="00D71A7D" w:rsidP="007619F1">
      <w:pPr>
        <w:rPr>
          <w:rFonts w:ascii="Geomanist Light" w:hAnsi="Geomanist Light" w:cs="Arial"/>
          <w:color w:val="000000"/>
          <w:sz w:val="22"/>
          <w:szCs w:val="22"/>
          <w:bdr w:val="none" w:sz="0" w:space="0" w:color="auto" w:frame="1"/>
          <w:shd w:val="clear" w:color="auto" w:fill="FFFFFF"/>
        </w:rPr>
      </w:pPr>
    </w:p>
    <w:p w14:paraId="5368F865" w14:textId="77777777" w:rsidR="00D71A7D" w:rsidRPr="007D3840" w:rsidRDefault="00D71A7D" w:rsidP="007619F1">
      <w:pPr>
        <w:rPr>
          <w:rFonts w:ascii="Geomanist Light" w:hAnsi="Geomanist Light" w:cs="Arial"/>
          <w:color w:val="000000"/>
          <w:sz w:val="22"/>
          <w:szCs w:val="22"/>
          <w:bdr w:val="none" w:sz="0" w:space="0" w:color="auto" w:frame="1"/>
          <w:shd w:val="clear" w:color="auto" w:fill="FFFFFF"/>
        </w:rPr>
      </w:pPr>
    </w:p>
    <w:p w14:paraId="7F1B78F9" w14:textId="7D3F8D93" w:rsidR="007619F1" w:rsidRPr="007D3840" w:rsidRDefault="007619F1" w:rsidP="007619F1">
      <w:pPr>
        <w:rPr>
          <w:rFonts w:ascii="Geomanist Light" w:hAnsi="Geomanist Light"/>
          <w:sz w:val="22"/>
          <w:szCs w:val="22"/>
        </w:rPr>
      </w:pPr>
      <w:r w:rsidRPr="007D3840">
        <w:rPr>
          <w:rFonts w:ascii="Geomanist Light" w:hAnsi="Geomanist Light" w:cs="Arial"/>
          <w:color w:val="000000"/>
          <w:sz w:val="22"/>
          <w:szCs w:val="22"/>
          <w:bdr w:val="none" w:sz="0" w:space="0" w:color="auto" w:frame="1"/>
          <w:shd w:val="clear" w:color="auto" w:fill="FFFFFF"/>
        </w:rPr>
        <w:t>Bogotá D.C</w:t>
      </w:r>
      <w:r w:rsidR="00D71A7D" w:rsidRPr="007D3840">
        <w:rPr>
          <w:rFonts w:ascii="Geomanist Light" w:hAnsi="Geomanist Light" w:cs="Arial"/>
          <w:color w:val="000000"/>
          <w:sz w:val="22"/>
          <w:szCs w:val="22"/>
          <w:bdr w:val="none" w:sz="0" w:space="0" w:color="auto" w:frame="1"/>
          <w:shd w:val="clear" w:color="auto" w:fill="FFFFFF"/>
        </w:rPr>
        <w:t xml:space="preserve"> 24  </w:t>
      </w:r>
      <w:r w:rsidR="00C53F92">
        <w:rPr>
          <w:rFonts w:ascii="Geomanist Light" w:hAnsi="Geomanist Light" w:cs="Arial"/>
          <w:color w:val="000000"/>
          <w:sz w:val="22"/>
          <w:szCs w:val="22"/>
          <w:bdr w:val="none" w:sz="0" w:space="0" w:color="auto" w:frame="1"/>
          <w:shd w:val="clear" w:color="auto" w:fill="FFFFFF"/>
        </w:rPr>
        <w:t>O</w:t>
      </w:r>
      <w:r w:rsidR="00D71A7D" w:rsidRPr="007D3840">
        <w:rPr>
          <w:rFonts w:ascii="Geomanist Light" w:hAnsi="Geomanist Light" w:cs="Arial"/>
          <w:color w:val="000000"/>
          <w:sz w:val="22"/>
          <w:szCs w:val="22"/>
          <w:bdr w:val="none" w:sz="0" w:space="0" w:color="auto" w:frame="1"/>
          <w:shd w:val="clear" w:color="auto" w:fill="FFFFFF"/>
        </w:rPr>
        <w:t>ctubre de 2022</w:t>
      </w:r>
    </w:p>
    <w:p w14:paraId="430BF3AF" w14:textId="77777777" w:rsidR="007619F1" w:rsidRPr="007D3840" w:rsidRDefault="007619F1" w:rsidP="00255C5E">
      <w:pPr>
        <w:jc w:val="right"/>
        <w:rPr>
          <w:rFonts w:ascii="Geomanist Light" w:hAnsi="Geomanist Light" w:cs="Arial"/>
          <w:b/>
          <w:color w:val="000000" w:themeColor="text1"/>
          <w:sz w:val="22"/>
          <w:szCs w:val="22"/>
        </w:rPr>
      </w:pPr>
    </w:p>
    <w:p w14:paraId="2DF59810" w14:textId="60BCB8D7" w:rsidR="00255C5E" w:rsidRPr="007D3840" w:rsidRDefault="00255C5E" w:rsidP="00255C5E">
      <w:pPr>
        <w:jc w:val="right"/>
        <w:rPr>
          <w:rFonts w:ascii="Geomanist Light" w:hAnsi="Geomanist Light" w:cs="Arial"/>
          <w:b/>
          <w:color w:val="000000" w:themeColor="text1"/>
          <w:sz w:val="22"/>
          <w:szCs w:val="22"/>
        </w:rPr>
      </w:pPr>
      <w:r w:rsidRPr="007D3840">
        <w:rPr>
          <w:rFonts w:ascii="Geomanist Light" w:hAnsi="Geomanist Light" w:cs="Arial"/>
          <w:b/>
          <w:color w:val="000000" w:themeColor="text1"/>
          <w:sz w:val="22"/>
          <w:szCs w:val="22"/>
        </w:rPr>
        <w:tab/>
      </w:r>
    </w:p>
    <w:p w14:paraId="41D76718" w14:textId="77777777" w:rsidR="00255C5E" w:rsidRPr="007D3840" w:rsidRDefault="00255C5E" w:rsidP="00255C5E">
      <w:pPr>
        <w:rPr>
          <w:rFonts w:ascii="Geomanist Light" w:eastAsia="Calibri" w:hAnsi="Geomanist Light" w:cs="Arial"/>
          <w:color w:val="000000" w:themeColor="text1"/>
          <w:sz w:val="22"/>
          <w:szCs w:val="22"/>
        </w:rPr>
      </w:pPr>
    </w:p>
    <w:p w14:paraId="7F9ACFEB" w14:textId="77777777" w:rsidR="00255C5E" w:rsidRPr="007D3840" w:rsidRDefault="00255C5E" w:rsidP="00255C5E">
      <w:pPr>
        <w:rPr>
          <w:rFonts w:ascii="Geomanist Light" w:eastAsia="Calibri" w:hAnsi="Geomanist Light" w:cs="Arial"/>
          <w:color w:val="000000" w:themeColor="text1"/>
          <w:sz w:val="22"/>
          <w:szCs w:val="22"/>
        </w:rPr>
      </w:pPr>
      <w:bookmarkStart w:id="0" w:name="_Hlk117491858"/>
      <w:r w:rsidRPr="007D3840">
        <w:rPr>
          <w:rFonts w:ascii="Geomanist Light" w:eastAsia="Calibri" w:hAnsi="Geomanist Light" w:cs="Arial"/>
          <w:color w:val="000000" w:themeColor="text1"/>
          <w:sz w:val="22"/>
          <w:szCs w:val="22"/>
        </w:rPr>
        <w:t>Señora</w:t>
      </w:r>
    </w:p>
    <w:p w14:paraId="71276028" w14:textId="0CD6225E" w:rsidR="00255C5E" w:rsidRPr="007D3840" w:rsidRDefault="00256876" w:rsidP="00255C5E">
      <w:pPr>
        <w:rPr>
          <w:rFonts w:ascii="Geomanist Light" w:eastAsia="Calibri" w:hAnsi="Geomanist Light" w:cs="Arial"/>
          <w:b/>
          <w:color w:val="000000" w:themeColor="text1"/>
          <w:sz w:val="22"/>
          <w:szCs w:val="22"/>
        </w:rPr>
      </w:pPr>
      <w:r w:rsidRPr="007D3840">
        <w:rPr>
          <w:rFonts w:ascii="Geomanist Light" w:eastAsia="Calibri" w:hAnsi="Geomanist Light" w:cs="Arial"/>
          <w:b/>
          <w:color w:val="000000" w:themeColor="text1"/>
          <w:sz w:val="22"/>
          <w:szCs w:val="22"/>
        </w:rPr>
        <w:t>Lisbet Sabina Mogollón Orduz</w:t>
      </w:r>
    </w:p>
    <w:p w14:paraId="702DD3C0" w14:textId="5AA3729B" w:rsidR="007619F1" w:rsidRPr="007D3840" w:rsidRDefault="007619F1" w:rsidP="00255C5E">
      <w:pPr>
        <w:rPr>
          <w:rFonts w:ascii="Geomanist Light" w:eastAsia="Calibri" w:hAnsi="Geomanist Light" w:cs="Arial"/>
          <w:bCs/>
          <w:color w:val="000000" w:themeColor="text1"/>
          <w:sz w:val="22"/>
          <w:szCs w:val="22"/>
        </w:rPr>
      </w:pPr>
      <w:r w:rsidRPr="007D3840">
        <w:rPr>
          <w:rFonts w:ascii="Geomanist Light" w:eastAsia="Calibri" w:hAnsi="Geomanist Light" w:cs="Arial"/>
          <w:bCs/>
          <w:color w:val="000000" w:themeColor="text1"/>
          <w:sz w:val="22"/>
          <w:szCs w:val="22"/>
        </w:rPr>
        <w:t>Ciudad</w:t>
      </w:r>
    </w:p>
    <w:p w14:paraId="29A58A5C" w14:textId="77777777" w:rsidR="00256876" w:rsidRPr="007D3840" w:rsidRDefault="00256876" w:rsidP="00255C5E">
      <w:pPr>
        <w:rPr>
          <w:rFonts w:ascii="Geomanist Light" w:eastAsia="Calibri" w:hAnsi="Geomanist Light" w:cs="Arial"/>
          <w:color w:val="000000" w:themeColor="text1"/>
          <w:sz w:val="22"/>
          <w:szCs w:val="22"/>
        </w:rPr>
      </w:pPr>
    </w:p>
    <w:p w14:paraId="49E74290" w14:textId="77777777" w:rsidR="00255C5E" w:rsidRPr="007D3840" w:rsidRDefault="00255C5E" w:rsidP="00255C5E">
      <w:pPr>
        <w:rPr>
          <w:rFonts w:ascii="Geomanist Light" w:eastAsia="Calibri" w:hAnsi="Geomanist Light" w:cs="Arial"/>
          <w:color w:val="000000" w:themeColor="text1"/>
          <w:sz w:val="22"/>
          <w:szCs w:val="22"/>
        </w:rPr>
      </w:pPr>
    </w:p>
    <w:p w14:paraId="47F17C28" w14:textId="77777777" w:rsidR="00255C5E" w:rsidRPr="007D3840" w:rsidRDefault="00255C5E" w:rsidP="00255C5E">
      <w:pPr>
        <w:ind w:firstLine="2552"/>
        <w:rPr>
          <w:rFonts w:ascii="Geomanist Light" w:eastAsia="Calibri" w:hAnsi="Geomanist Light" w:cs="Arial"/>
          <w:b/>
          <w:color w:val="000000" w:themeColor="text1"/>
          <w:sz w:val="22"/>
          <w:szCs w:val="22"/>
        </w:rPr>
      </w:pPr>
    </w:p>
    <w:p w14:paraId="1634EF50" w14:textId="6F90EDD2" w:rsidR="00255C5E" w:rsidRPr="007D3840" w:rsidRDefault="00255C5E" w:rsidP="00255C5E">
      <w:pPr>
        <w:ind w:firstLine="2552"/>
        <w:rPr>
          <w:rFonts w:ascii="Geomanist Light" w:eastAsia="Calibri" w:hAnsi="Geomanist Light" w:cs="Arial"/>
          <w:b/>
          <w:color w:val="000000" w:themeColor="text1"/>
          <w:sz w:val="22"/>
          <w:szCs w:val="22"/>
        </w:rPr>
      </w:pPr>
      <w:r w:rsidRPr="007D3840">
        <w:rPr>
          <w:rFonts w:ascii="Geomanist Light" w:eastAsia="Calibri" w:hAnsi="Geomanist Light" w:cs="Arial"/>
          <w:b/>
          <w:color w:val="000000" w:themeColor="text1"/>
          <w:sz w:val="22"/>
          <w:szCs w:val="22"/>
        </w:rPr>
        <w:t xml:space="preserve">Concepto C – </w:t>
      </w:r>
      <w:r w:rsidR="00E40598" w:rsidRPr="007D3840">
        <w:rPr>
          <w:rFonts w:ascii="Geomanist Light" w:eastAsia="Calibri" w:hAnsi="Geomanist Light" w:cs="Arial"/>
          <w:b/>
          <w:color w:val="000000" w:themeColor="text1"/>
          <w:sz w:val="22"/>
          <w:szCs w:val="22"/>
        </w:rPr>
        <w:t>693 de 2022</w:t>
      </w:r>
    </w:p>
    <w:p w14:paraId="07CD8F4E" w14:textId="77777777" w:rsidR="00255C5E" w:rsidRPr="007D3840" w:rsidRDefault="00255C5E" w:rsidP="00255C5E">
      <w:pPr>
        <w:rPr>
          <w:rFonts w:ascii="Geomanist Light" w:eastAsia="Calibri" w:hAnsi="Geomanist Light"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255C5E" w:rsidRPr="007D3840" w14:paraId="65F30D09" w14:textId="77777777" w:rsidTr="00A31C91">
        <w:tc>
          <w:tcPr>
            <w:tcW w:w="2552" w:type="dxa"/>
            <w:hideMark/>
          </w:tcPr>
          <w:p w14:paraId="73FF627F" w14:textId="77777777" w:rsidR="00255C5E" w:rsidRPr="007D3840" w:rsidRDefault="00255C5E" w:rsidP="00A31C91">
            <w:pPr>
              <w:rPr>
                <w:rFonts w:ascii="Geomanist Light" w:eastAsia="Calibri" w:hAnsi="Geomanist Light" w:cs="Arial"/>
                <w:color w:val="000000" w:themeColor="text1"/>
                <w:sz w:val="22"/>
                <w:szCs w:val="22"/>
              </w:rPr>
            </w:pPr>
            <w:r w:rsidRPr="007D3840">
              <w:rPr>
                <w:rFonts w:ascii="Geomanist Light" w:eastAsia="Calibri" w:hAnsi="Geomanist Light" w:cs="Arial"/>
                <w:b/>
                <w:color w:val="000000" w:themeColor="text1"/>
                <w:sz w:val="22"/>
                <w:szCs w:val="22"/>
              </w:rPr>
              <w:t>Temas:</w:t>
            </w:r>
            <w:r w:rsidRPr="007D3840">
              <w:rPr>
                <w:rFonts w:ascii="Geomanist Light" w:eastAsia="Calibri" w:hAnsi="Geomanist Light" w:cs="Arial"/>
                <w:color w:val="000000" w:themeColor="text1"/>
                <w:sz w:val="22"/>
                <w:szCs w:val="22"/>
              </w:rPr>
              <w:t xml:space="preserve">           </w:t>
            </w:r>
          </w:p>
          <w:p w14:paraId="2772A710" w14:textId="77777777" w:rsidR="00255C5E" w:rsidRPr="007D3840" w:rsidRDefault="00255C5E" w:rsidP="00A31C91">
            <w:pPr>
              <w:rPr>
                <w:rFonts w:ascii="Geomanist Light" w:eastAsia="Calibri" w:hAnsi="Geomanist Light" w:cs="Arial"/>
                <w:color w:val="000000" w:themeColor="text1"/>
                <w:sz w:val="22"/>
                <w:szCs w:val="22"/>
              </w:rPr>
            </w:pPr>
            <w:r w:rsidRPr="007D3840">
              <w:rPr>
                <w:rFonts w:ascii="Geomanist Light" w:eastAsia="Calibri" w:hAnsi="Geomanist Light" w:cs="Arial"/>
                <w:color w:val="000000" w:themeColor="text1"/>
                <w:sz w:val="22"/>
                <w:szCs w:val="22"/>
              </w:rPr>
              <w:t xml:space="preserve">                           </w:t>
            </w:r>
          </w:p>
        </w:tc>
        <w:tc>
          <w:tcPr>
            <w:tcW w:w="6374" w:type="dxa"/>
            <w:hideMark/>
          </w:tcPr>
          <w:p w14:paraId="2E030A01" w14:textId="77777777" w:rsidR="00824ED6" w:rsidRPr="007D3840" w:rsidRDefault="00EA2206" w:rsidP="00824ED6">
            <w:pPr>
              <w:jc w:val="both"/>
              <w:rPr>
                <w:rFonts w:ascii="Geomanist Light" w:hAnsi="Geomanist Light" w:cs="Arial"/>
                <w:color w:val="000000"/>
                <w:sz w:val="22"/>
                <w:szCs w:val="22"/>
                <w:bdr w:val="none" w:sz="0" w:space="0" w:color="auto" w:frame="1"/>
                <w:shd w:val="clear" w:color="auto" w:fill="FFFFFF"/>
              </w:rPr>
            </w:pPr>
            <w:r w:rsidRPr="007D3840">
              <w:rPr>
                <w:rFonts w:ascii="Geomanist Light" w:hAnsi="Geomanist Light" w:cs="Arial"/>
                <w:color w:val="000000"/>
                <w:sz w:val="22"/>
                <w:szCs w:val="22"/>
                <w:bdr w:val="none" w:sz="0" w:space="0" w:color="auto" w:frame="1"/>
                <w:shd w:val="clear" w:color="auto" w:fill="FFFFFF"/>
              </w:rPr>
              <w:t xml:space="preserve">PLIEGO DE CONDICIONES – Contenido – Efectos jurídicos / </w:t>
            </w:r>
            <w:r w:rsidR="00824ED6" w:rsidRPr="007D3840">
              <w:rPr>
                <w:rFonts w:ascii="Geomanist Light" w:hAnsi="Geomanist Light" w:cs="Arial"/>
                <w:color w:val="000000"/>
                <w:sz w:val="22"/>
                <w:szCs w:val="22"/>
                <w:bdr w:val="none" w:sz="0" w:space="0" w:color="auto" w:frame="1"/>
                <w:shd w:val="clear" w:color="auto" w:fill="FFFFFF"/>
              </w:rPr>
              <w:t>Modulo de subasta – SECOP II – Subasta inversa</w:t>
            </w:r>
          </w:p>
          <w:p w14:paraId="22CE038D" w14:textId="45A38222" w:rsidR="00EA2206" w:rsidRPr="007D3840" w:rsidRDefault="00EA2206" w:rsidP="00EA2206">
            <w:pPr>
              <w:pStyle w:val="xmsonospacing"/>
              <w:spacing w:before="0" w:beforeAutospacing="0" w:after="120" w:afterAutospacing="0"/>
              <w:jc w:val="both"/>
              <w:rPr>
                <w:rFonts w:ascii="Geomanist Light" w:hAnsi="Geomanist Light" w:cs="Arial"/>
                <w:color w:val="000000"/>
                <w:sz w:val="22"/>
                <w:szCs w:val="22"/>
                <w:bdr w:val="none" w:sz="0" w:space="0" w:color="auto" w:frame="1"/>
                <w:shd w:val="clear" w:color="auto" w:fill="FFFFFF"/>
              </w:rPr>
            </w:pPr>
          </w:p>
          <w:p w14:paraId="747FCD47" w14:textId="364C2902" w:rsidR="00255C5E" w:rsidRPr="007D3840" w:rsidRDefault="00255C5E" w:rsidP="00A31C91">
            <w:pPr>
              <w:tabs>
                <w:tab w:val="left" w:pos="426"/>
              </w:tabs>
              <w:jc w:val="both"/>
              <w:rPr>
                <w:rFonts w:ascii="Geomanist Light" w:eastAsia="Calibri" w:hAnsi="Geomanist Light" w:cs="Arial"/>
                <w:color w:val="000000" w:themeColor="text1"/>
                <w:sz w:val="22"/>
                <w:szCs w:val="22"/>
                <w:lang w:val="es-ES_tradnl"/>
              </w:rPr>
            </w:pPr>
          </w:p>
        </w:tc>
      </w:tr>
      <w:tr w:rsidR="00255C5E" w:rsidRPr="007D3840" w14:paraId="3ACF1D2C" w14:textId="77777777" w:rsidTr="00A31C91">
        <w:tc>
          <w:tcPr>
            <w:tcW w:w="2552" w:type="dxa"/>
          </w:tcPr>
          <w:p w14:paraId="3847F001" w14:textId="77777777" w:rsidR="00255C5E" w:rsidRPr="007D3840" w:rsidRDefault="00255C5E" w:rsidP="00A31C91">
            <w:pPr>
              <w:spacing w:before="120"/>
              <w:rPr>
                <w:rFonts w:ascii="Geomanist Light" w:eastAsia="Calibri" w:hAnsi="Geomanist Light" w:cs="Arial"/>
                <w:b/>
                <w:color w:val="000000" w:themeColor="text1"/>
                <w:sz w:val="22"/>
                <w:szCs w:val="22"/>
              </w:rPr>
            </w:pPr>
            <w:r w:rsidRPr="007D3840">
              <w:rPr>
                <w:rFonts w:ascii="Geomanist Light" w:eastAsia="Calibri" w:hAnsi="Geomanist Light" w:cs="Arial"/>
                <w:b/>
                <w:color w:val="000000" w:themeColor="text1"/>
                <w:sz w:val="22"/>
                <w:szCs w:val="22"/>
              </w:rPr>
              <w:t>Radicación:</w:t>
            </w:r>
            <w:r w:rsidRPr="007D3840">
              <w:rPr>
                <w:rFonts w:ascii="Geomanist Light" w:eastAsia="Calibri" w:hAnsi="Geomanist Light" w:cs="Arial"/>
                <w:color w:val="000000" w:themeColor="text1"/>
                <w:sz w:val="22"/>
                <w:szCs w:val="22"/>
              </w:rPr>
              <w:t xml:space="preserve">                              </w:t>
            </w:r>
          </w:p>
        </w:tc>
        <w:tc>
          <w:tcPr>
            <w:tcW w:w="6374" w:type="dxa"/>
          </w:tcPr>
          <w:p w14:paraId="3ACF391F" w14:textId="169BE8B4" w:rsidR="00255C5E" w:rsidRPr="007D3840" w:rsidRDefault="00255C5E" w:rsidP="00A31C91">
            <w:pPr>
              <w:spacing w:before="120"/>
              <w:jc w:val="both"/>
              <w:rPr>
                <w:rFonts w:ascii="Geomanist Light" w:eastAsia="Calibri" w:hAnsi="Geomanist Light" w:cs="Arial"/>
                <w:bCs/>
                <w:color w:val="000000" w:themeColor="text1"/>
                <w:sz w:val="22"/>
                <w:szCs w:val="22"/>
              </w:rPr>
            </w:pPr>
            <w:r w:rsidRPr="007D3840">
              <w:rPr>
                <w:rFonts w:ascii="Geomanist Light" w:eastAsia="Calibri" w:hAnsi="Geomanist Light" w:cs="Arial"/>
                <w:bCs/>
                <w:color w:val="000000" w:themeColor="text1"/>
                <w:sz w:val="22"/>
                <w:szCs w:val="22"/>
              </w:rPr>
              <w:t xml:space="preserve">Respuesta a consulta </w:t>
            </w:r>
            <w:r w:rsidR="00E40598" w:rsidRPr="007D3840">
              <w:rPr>
                <w:rFonts w:ascii="Geomanist Light" w:eastAsia="Calibri" w:hAnsi="Geomanist Light" w:cs="Arial"/>
                <w:bCs/>
                <w:color w:val="000000" w:themeColor="text1"/>
                <w:sz w:val="22"/>
                <w:szCs w:val="22"/>
              </w:rPr>
              <w:t>P20220909009062</w:t>
            </w:r>
          </w:p>
        </w:tc>
      </w:tr>
    </w:tbl>
    <w:p w14:paraId="369F02B1" w14:textId="77777777" w:rsidR="00255C5E" w:rsidRPr="007D3840" w:rsidRDefault="00255C5E" w:rsidP="00255C5E">
      <w:pPr>
        <w:jc w:val="both"/>
        <w:rPr>
          <w:rFonts w:ascii="Geomanist Light" w:eastAsia="Calibri" w:hAnsi="Geomanist Light" w:cs="Arial"/>
          <w:color w:val="000000" w:themeColor="text1"/>
          <w:sz w:val="22"/>
        </w:rPr>
      </w:pPr>
    </w:p>
    <w:p w14:paraId="0D3714C0" w14:textId="77777777" w:rsidR="00255C5E" w:rsidRPr="007D3840" w:rsidRDefault="00255C5E" w:rsidP="00255C5E">
      <w:pPr>
        <w:jc w:val="both"/>
        <w:rPr>
          <w:rFonts w:ascii="Geomanist Light" w:eastAsia="Calibri" w:hAnsi="Geomanist Light" w:cs="Arial"/>
          <w:color w:val="000000" w:themeColor="text1"/>
          <w:sz w:val="22"/>
        </w:rPr>
      </w:pPr>
    </w:p>
    <w:p w14:paraId="1523B210" w14:textId="77777777" w:rsidR="00255C5E" w:rsidRPr="007D3840" w:rsidRDefault="00255C5E" w:rsidP="00255C5E">
      <w:pPr>
        <w:rPr>
          <w:rFonts w:ascii="Geomanist Light" w:eastAsia="Calibri" w:hAnsi="Geomanist Light" w:cs="Arial"/>
          <w:color w:val="000000" w:themeColor="text1"/>
          <w:sz w:val="22"/>
        </w:rPr>
      </w:pPr>
      <w:r w:rsidRPr="007D3840">
        <w:rPr>
          <w:rFonts w:ascii="Geomanist Light" w:eastAsia="Calibri" w:hAnsi="Geomanist Light" w:cs="Arial"/>
          <w:color w:val="000000" w:themeColor="text1"/>
          <w:sz w:val="22"/>
        </w:rPr>
        <w:t xml:space="preserve">Estimada señora: </w:t>
      </w:r>
    </w:p>
    <w:p w14:paraId="1572DF04" w14:textId="77777777" w:rsidR="00255C5E" w:rsidRPr="007D3840" w:rsidRDefault="00255C5E" w:rsidP="00255C5E">
      <w:pPr>
        <w:rPr>
          <w:rFonts w:ascii="Geomanist Light" w:eastAsia="Calibri" w:hAnsi="Geomanist Light" w:cs="Arial"/>
          <w:color w:val="000000" w:themeColor="text1"/>
          <w:sz w:val="22"/>
        </w:rPr>
      </w:pPr>
    </w:p>
    <w:p w14:paraId="72E24FB4" w14:textId="175F7AA4" w:rsidR="00255C5E" w:rsidRPr="007D3840" w:rsidRDefault="00255C5E" w:rsidP="00255C5E">
      <w:pPr>
        <w:spacing w:line="276" w:lineRule="auto"/>
        <w:jc w:val="both"/>
        <w:rPr>
          <w:rFonts w:ascii="Geomanist Light" w:eastAsia="Calibri" w:hAnsi="Geomanist Light" w:cs="Arial"/>
          <w:color w:val="000000" w:themeColor="text1"/>
          <w:sz w:val="22"/>
        </w:rPr>
      </w:pPr>
      <w:r w:rsidRPr="007D3840">
        <w:rPr>
          <w:rFonts w:ascii="Geomanist Light" w:eastAsia="Calibri" w:hAnsi="Geomanist Light"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53437F" w:rsidRPr="007D3840">
        <w:rPr>
          <w:rFonts w:ascii="Geomanist Light" w:eastAsia="Calibri" w:hAnsi="Geomanist Light" w:cs="Arial"/>
          <w:color w:val="000000" w:themeColor="text1"/>
          <w:sz w:val="22"/>
        </w:rPr>
        <w:t>9 de septiembre de 2022.</w:t>
      </w:r>
    </w:p>
    <w:p w14:paraId="6F188F85" w14:textId="77777777" w:rsidR="00255C5E" w:rsidRPr="007D3840" w:rsidRDefault="00255C5E" w:rsidP="00255C5E">
      <w:pPr>
        <w:spacing w:line="276" w:lineRule="auto"/>
        <w:jc w:val="both"/>
        <w:rPr>
          <w:rFonts w:ascii="Geomanist Light" w:eastAsia="Calibri" w:hAnsi="Geomanist Light" w:cs="Arial"/>
          <w:color w:val="000000" w:themeColor="text1"/>
          <w:sz w:val="22"/>
        </w:rPr>
      </w:pPr>
    </w:p>
    <w:p w14:paraId="1C46C725" w14:textId="77777777" w:rsidR="00255C5E" w:rsidRPr="007D3840" w:rsidRDefault="00255C5E" w:rsidP="00255C5E">
      <w:pPr>
        <w:pStyle w:val="Prrafodelista"/>
        <w:numPr>
          <w:ilvl w:val="0"/>
          <w:numId w:val="1"/>
        </w:numPr>
        <w:tabs>
          <w:tab w:val="left" w:pos="284"/>
        </w:tabs>
        <w:spacing w:line="276" w:lineRule="auto"/>
        <w:ind w:left="0" w:firstLine="0"/>
        <w:jc w:val="both"/>
        <w:rPr>
          <w:rFonts w:ascii="Geomanist Light" w:eastAsia="Calibri" w:hAnsi="Geomanist Light" w:cs="Arial"/>
          <w:b/>
          <w:color w:val="000000" w:themeColor="text1"/>
          <w:sz w:val="22"/>
        </w:rPr>
      </w:pPr>
      <w:r w:rsidRPr="007D3840">
        <w:rPr>
          <w:rFonts w:ascii="Geomanist Light" w:eastAsia="Calibri" w:hAnsi="Geomanist Light" w:cs="Arial"/>
          <w:b/>
          <w:color w:val="000000" w:themeColor="text1"/>
          <w:sz w:val="22"/>
        </w:rPr>
        <w:t xml:space="preserve">Problema planteado </w:t>
      </w:r>
    </w:p>
    <w:p w14:paraId="6252AA96" w14:textId="77777777" w:rsidR="00255C5E" w:rsidRPr="007D3840" w:rsidRDefault="00255C5E" w:rsidP="00255C5E">
      <w:pPr>
        <w:autoSpaceDE w:val="0"/>
        <w:autoSpaceDN w:val="0"/>
        <w:adjustRightInd w:val="0"/>
        <w:spacing w:line="276" w:lineRule="auto"/>
        <w:jc w:val="both"/>
        <w:rPr>
          <w:rFonts w:ascii="Geomanist Light" w:eastAsia="Calibri" w:hAnsi="Geomanist Light" w:cs="Arial"/>
          <w:color w:val="000000" w:themeColor="text1"/>
          <w:sz w:val="22"/>
          <w:szCs w:val="22"/>
        </w:rPr>
      </w:pPr>
    </w:p>
    <w:p w14:paraId="7F3B3D64" w14:textId="1A0A104D" w:rsidR="00860125" w:rsidRPr="007D3840" w:rsidRDefault="00255C5E" w:rsidP="00255C5E">
      <w:pPr>
        <w:pStyle w:val="xmsonospacing"/>
        <w:spacing w:before="0" w:beforeAutospacing="0" w:after="0" w:afterAutospacing="0" w:line="276" w:lineRule="auto"/>
        <w:jc w:val="both"/>
        <w:rPr>
          <w:rFonts w:ascii="Geomanist Light" w:eastAsia="Calibri" w:hAnsi="Geomanist Light" w:cs="Arial"/>
          <w:color w:val="000000" w:themeColor="text1"/>
          <w:sz w:val="22"/>
          <w:szCs w:val="22"/>
        </w:rPr>
      </w:pPr>
      <w:r w:rsidRPr="007D3840">
        <w:rPr>
          <w:rFonts w:ascii="Geomanist Light" w:eastAsia="Calibri" w:hAnsi="Geomanist Light" w:cs="Arial"/>
          <w:color w:val="000000" w:themeColor="text1"/>
          <w:sz w:val="22"/>
          <w:szCs w:val="22"/>
        </w:rPr>
        <w:t>Usted realiza la</w:t>
      </w:r>
      <w:r w:rsidR="00860125" w:rsidRPr="007D3840">
        <w:rPr>
          <w:rFonts w:ascii="Geomanist Light" w:eastAsia="Calibri" w:hAnsi="Geomanist Light" w:cs="Arial"/>
          <w:color w:val="000000" w:themeColor="text1"/>
          <w:sz w:val="22"/>
          <w:szCs w:val="22"/>
        </w:rPr>
        <w:t>s siguientes preguntas relacionadas con el mecanismo de subasta inversa</w:t>
      </w:r>
      <w:r w:rsidR="00AF0AA3" w:rsidRPr="007D3840">
        <w:rPr>
          <w:rFonts w:ascii="Geomanist Light" w:eastAsia="Calibri" w:hAnsi="Geomanist Light" w:cs="Arial"/>
          <w:color w:val="000000" w:themeColor="text1"/>
          <w:sz w:val="22"/>
          <w:szCs w:val="22"/>
        </w:rPr>
        <w:t>:</w:t>
      </w:r>
    </w:p>
    <w:p w14:paraId="0F200715" w14:textId="5ABC7171" w:rsidR="00AF0AA3" w:rsidRPr="007D3840" w:rsidRDefault="00AF0AA3" w:rsidP="00255C5E">
      <w:pPr>
        <w:pStyle w:val="xmsonospacing"/>
        <w:spacing w:before="0" w:beforeAutospacing="0" w:after="0" w:afterAutospacing="0" w:line="276" w:lineRule="auto"/>
        <w:jc w:val="both"/>
        <w:rPr>
          <w:rFonts w:ascii="Geomanist Light" w:eastAsia="Calibri" w:hAnsi="Geomanist Light" w:cs="Arial"/>
          <w:color w:val="000000" w:themeColor="text1"/>
          <w:sz w:val="22"/>
          <w:szCs w:val="22"/>
        </w:rPr>
      </w:pPr>
    </w:p>
    <w:p w14:paraId="4A0A1369" w14:textId="329C7120" w:rsidR="00AF0AA3" w:rsidRPr="007D3840" w:rsidRDefault="00AF0AA3" w:rsidP="0053437F">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r w:rsidRPr="007D3840">
        <w:rPr>
          <w:rFonts w:ascii="Geomanist Light" w:eastAsia="Calibri" w:hAnsi="Geomanist Light" w:cs="Arial"/>
          <w:color w:val="000000" w:themeColor="text1"/>
          <w:sz w:val="21"/>
          <w:szCs w:val="21"/>
        </w:rPr>
        <w:t>«Si bien es de conocimiento general el Pliego de Condiciones es ley para los procesos contractuales que se desarrollen por medio de la Plataforma SECOP II,</w:t>
      </w:r>
    </w:p>
    <w:p w14:paraId="6FBFB6F1" w14:textId="77777777" w:rsidR="00AF0AA3" w:rsidRPr="007D3840" w:rsidRDefault="00AF0AA3" w:rsidP="0053437F">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p>
    <w:p w14:paraId="3FAC160D" w14:textId="7F8F88CA" w:rsidR="00F66074" w:rsidRPr="007D3840" w:rsidRDefault="00F66074" w:rsidP="006A4159">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r w:rsidRPr="007D3840">
        <w:rPr>
          <w:rFonts w:ascii="Geomanist Light" w:hAnsi="Geomanist Light" w:cs="Arial"/>
          <w:color w:val="000000" w:themeColor="text1"/>
          <w:sz w:val="21"/>
          <w:szCs w:val="21"/>
          <w:lang w:val="es-ES_tradnl"/>
        </w:rPr>
        <w:t xml:space="preserve">» </w:t>
      </w:r>
      <w:r w:rsidR="00AF0AA3" w:rsidRPr="007D3840">
        <w:rPr>
          <w:rFonts w:ascii="Geomanist Light" w:eastAsia="Calibri" w:hAnsi="Geomanist Light" w:cs="Arial"/>
          <w:color w:val="000000" w:themeColor="text1"/>
          <w:sz w:val="21"/>
          <w:szCs w:val="21"/>
        </w:rPr>
        <w:t xml:space="preserve">¿Cuál es el deber ser de las entidades que no cumplen al pie de la letra lo estipulado por ellos mismos en el Pliego de Condiciones? </w:t>
      </w:r>
    </w:p>
    <w:p w14:paraId="407FBAC6" w14:textId="77777777" w:rsidR="006A4159" w:rsidRPr="007D3840" w:rsidRDefault="006A4159" w:rsidP="0053437F">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p>
    <w:p w14:paraId="1D6EDC51" w14:textId="3B72006A" w:rsidR="00AF0AA3" w:rsidRPr="007D3840" w:rsidRDefault="00F66074" w:rsidP="0053437F">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r w:rsidRPr="007D3840">
        <w:rPr>
          <w:rFonts w:ascii="Geomanist Light" w:hAnsi="Geomanist Light" w:cs="Arial"/>
          <w:color w:val="000000" w:themeColor="text1"/>
          <w:sz w:val="21"/>
          <w:szCs w:val="21"/>
          <w:lang w:val="es-ES_tradnl"/>
        </w:rPr>
        <w:t>»</w:t>
      </w:r>
      <w:r w:rsidR="00AF0AA3" w:rsidRPr="007D3840">
        <w:rPr>
          <w:rFonts w:ascii="Geomanist Light" w:eastAsia="Calibri" w:hAnsi="Geomanist Light" w:cs="Arial"/>
          <w:color w:val="000000" w:themeColor="text1"/>
          <w:sz w:val="21"/>
          <w:szCs w:val="21"/>
        </w:rPr>
        <w:t>¿Qué ocurre cuando las mismas entidades públicas con hechos modifican los establecido inicialmente en el Pliego de Condiciones?</w:t>
      </w:r>
    </w:p>
    <w:p w14:paraId="4015F40D" w14:textId="77777777" w:rsidR="00AF0AA3" w:rsidRPr="007D3840" w:rsidRDefault="00AF0AA3" w:rsidP="0053437F">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p>
    <w:p w14:paraId="20034170" w14:textId="6C2FAE81" w:rsidR="00255C5E" w:rsidRPr="007D3840" w:rsidRDefault="00F66074" w:rsidP="0053437F">
      <w:pPr>
        <w:pStyle w:val="xmsonospacing"/>
        <w:spacing w:before="0" w:beforeAutospacing="0" w:after="0" w:afterAutospacing="0"/>
        <w:ind w:left="709" w:right="709"/>
        <w:jc w:val="both"/>
        <w:rPr>
          <w:rFonts w:ascii="Geomanist Light" w:eastAsia="Calibri" w:hAnsi="Geomanist Light" w:cs="Arial"/>
          <w:color w:val="000000" w:themeColor="text1"/>
          <w:sz w:val="21"/>
          <w:szCs w:val="21"/>
        </w:rPr>
      </w:pPr>
      <w:r w:rsidRPr="007D3840">
        <w:rPr>
          <w:rFonts w:ascii="Geomanist Light" w:hAnsi="Geomanist Light" w:cs="Arial"/>
          <w:color w:val="000000" w:themeColor="text1"/>
          <w:sz w:val="21"/>
          <w:szCs w:val="21"/>
          <w:lang w:val="es-ES_tradnl"/>
        </w:rPr>
        <w:t>»</w:t>
      </w:r>
      <w:r w:rsidR="00AF0AA3" w:rsidRPr="007D3840">
        <w:rPr>
          <w:rFonts w:ascii="Geomanist Light" w:eastAsia="Calibri" w:hAnsi="Geomanist Light" w:cs="Arial"/>
          <w:color w:val="000000" w:themeColor="text1"/>
          <w:sz w:val="21"/>
          <w:szCs w:val="21"/>
        </w:rPr>
        <w:t xml:space="preserve">Este es el caso del proceso 108-00-A-COFAC-DILOS-2022 cuyo objeto es ADQUISICIÓN DE ELEMENTOS BORDADOS Y ACCESORIOS PARA EL PERSONAL MILITAR DE LA FUERZA AÉREA COLOMBIANA, cuya subasta se desarrolló el día de </w:t>
      </w:r>
      <w:r w:rsidR="00AF0AA3" w:rsidRPr="007D3840">
        <w:rPr>
          <w:rFonts w:ascii="Geomanist Light" w:eastAsia="Calibri" w:hAnsi="Geomanist Light" w:cs="Arial"/>
          <w:color w:val="000000" w:themeColor="text1"/>
          <w:sz w:val="21"/>
          <w:szCs w:val="21"/>
        </w:rPr>
        <w:lastRenderedPageBreak/>
        <w:t xml:space="preserve">hoy. Inicialmente el pliego de condiciones establece una duración de la subasta electrónica de cuarenta (40) minutos, así mismo la entidad resalta en negrilla que “no se configurará tiempo extra” </w:t>
      </w:r>
      <w:r w:rsidR="00AF0AA3" w:rsidRPr="007D3840">
        <w:rPr>
          <w:rFonts w:ascii="Geomanist Light" w:eastAsia="Calibri" w:hAnsi="Geomanist Light" w:cs="Arial"/>
          <w:color w:val="000000" w:themeColor="text1"/>
          <w:sz w:val="21"/>
          <w:szCs w:val="21"/>
          <w:lang w:val="es-ES"/>
        </w:rPr>
        <w:t>»</w:t>
      </w:r>
      <w:r w:rsidR="009D1C1A" w:rsidRPr="007D3840">
        <w:rPr>
          <w:rFonts w:ascii="Geomanist Light" w:eastAsia="Calibri" w:hAnsi="Geomanist Light" w:cs="Arial"/>
          <w:color w:val="000000" w:themeColor="text1"/>
          <w:sz w:val="21"/>
          <w:szCs w:val="21"/>
        </w:rPr>
        <w:t>(sic)</w:t>
      </w:r>
      <w:r w:rsidR="00AF0AA3" w:rsidRPr="007D3840">
        <w:rPr>
          <w:rFonts w:ascii="Geomanist Light" w:eastAsia="Calibri" w:hAnsi="Geomanist Light" w:cs="Arial"/>
          <w:color w:val="000000" w:themeColor="text1"/>
          <w:sz w:val="21"/>
          <w:szCs w:val="21"/>
          <w:lang w:val="es-ES"/>
        </w:rPr>
        <w:t>.</w:t>
      </w:r>
    </w:p>
    <w:p w14:paraId="3A37323B" w14:textId="77777777" w:rsidR="00F66074" w:rsidRPr="007D3840" w:rsidRDefault="00F66074" w:rsidP="00F66074">
      <w:pPr>
        <w:spacing w:before="240" w:line="276" w:lineRule="auto"/>
        <w:rPr>
          <w:rFonts w:ascii="Geomanist Light" w:hAnsi="Geomanist Light" w:cs="Arial"/>
          <w:b/>
          <w:color w:val="1A1A1A" w:themeColor="background1" w:themeShade="1A"/>
          <w:sz w:val="22"/>
          <w:szCs w:val="22"/>
          <w:lang w:val="es-ES_tradnl" w:eastAsia="en-GB"/>
        </w:rPr>
      </w:pPr>
      <w:r w:rsidRPr="007D3840">
        <w:rPr>
          <w:rFonts w:ascii="Geomanist Light" w:hAnsi="Geomanist Light" w:cs="Arial"/>
          <w:b/>
          <w:color w:val="1A1A1A" w:themeColor="background1" w:themeShade="1A"/>
          <w:sz w:val="22"/>
          <w:szCs w:val="22"/>
          <w:lang w:val="es-ES_tradnl"/>
        </w:rPr>
        <w:t xml:space="preserve">2. Consideraciones </w:t>
      </w:r>
    </w:p>
    <w:p w14:paraId="728EC2D8" w14:textId="77777777" w:rsidR="00F66074" w:rsidRPr="007D3840" w:rsidRDefault="00F66074" w:rsidP="00F66074">
      <w:pPr>
        <w:spacing w:before="240" w:line="276" w:lineRule="auto"/>
        <w:jc w:val="both"/>
        <w:rPr>
          <w:rFonts w:ascii="Geomanist Light" w:hAnsi="Geomanist Light" w:cs="Arial"/>
          <w:bCs/>
          <w:color w:val="1A1A1A" w:themeColor="background1" w:themeShade="1A"/>
          <w:sz w:val="22"/>
          <w:szCs w:val="22"/>
          <w:lang w:val="es-ES"/>
        </w:rPr>
      </w:pPr>
      <w:r w:rsidRPr="007D3840">
        <w:rPr>
          <w:rFonts w:ascii="Geomanist Light" w:hAnsi="Geomanist Light" w:cs="Arial"/>
          <w:bCs/>
          <w:color w:val="1A1A1A" w:themeColor="background1" w:themeShade="1A"/>
          <w:sz w:val="22"/>
          <w:szCs w:val="22"/>
          <w:lang w:val="es-E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69D5C842" w14:textId="77777777" w:rsidR="00F66074" w:rsidRPr="007D3840" w:rsidRDefault="00F66074" w:rsidP="00F66074">
      <w:pPr>
        <w:spacing w:before="120" w:line="276" w:lineRule="auto"/>
        <w:ind w:firstLine="709"/>
        <w:jc w:val="both"/>
        <w:rPr>
          <w:rFonts w:ascii="Geomanist Light" w:hAnsi="Geomanist Light" w:cs="Arial"/>
          <w:bCs/>
          <w:color w:val="1A1A1A" w:themeColor="background1" w:themeShade="1A"/>
          <w:sz w:val="22"/>
          <w:szCs w:val="22"/>
          <w:lang w:val="es-ES"/>
        </w:rPr>
      </w:pPr>
      <w:r w:rsidRPr="007D3840">
        <w:rPr>
          <w:rFonts w:ascii="Geomanist Light" w:hAnsi="Geomanist Light" w:cs="Arial"/>
          <w:bCs/>
          <w:color w:val="1A1A1A" w:themeColor="background1" w:themeShade="1A"/>
          <w:sz w:val="22"/>
          <w:szCs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 </w:t>
      </w:r>
      <w:r w:rsidRPr="007D3840">
        <w:rPr>
          <w:rFonts w:ascii="Geomanist Light" w:hAnsi="Geomanist Light" w:cs="Arial"/>
          <w:sz w:val="22"/>
          <w:lang w:val="es-ES"/>
        </w:rPr>
        <w:t>Esto en la medida en que, para resolver una consulta de carácter particular, además de conocer un sinnúmero de detalles de la actuación administrativa, es necesario acceder al expediente y a los documentos del procedimiento contractual donde surge la inquietud.</w:t>
      </w:r>
      <w:r w:rsidRPr="007D3840">
        <w:rPr>
          <w:rFonts w:ascii="Geomanist Light" w:hAnsi="Geomanist Light" w:cs="Arial"/>
          <w:bCs/>
          <w:color w:val="1A1A1A" w:themeColor="background1" w:themeShade="1A"/>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w:t>
      </w:r>
    </w:p>
    <w:p w14:paraId="05BED461" w14:textId="522A10C8" w:rsidR="00F66074" w:rsidRPr="007D3840" w:rsidRDefault="00F66074" w:rsidP="005C2E98">
      <w:pPr>
        <w:spacing w:before="120" w:line="276" w:lineRule="auto"/>
        <w:ind w:firstLine="709"/>
        <w:jc w:val="both"/>
        <w:rPr>
          <w:rFonts w:ascii="Geomanist Light" w:eastAsia="Calibri" w:hAnsi="Geomanist Light" w:cs="Arial"/>
          <w:b/>
          <w:color w:val="000000" w:themeColor="text1"/>
          <w:sz w:val="22"/>
        </w:rPr>
      </w:pPr>
      <w:r w:rsidRPr="007D3840">
        <w:rPr>
          <w:rFonts w:ascii="Geomanist Light" w:hAnsi="Geomanist Light" w:cs="Arial"/>
          <w:bCs/>
          <w:color w:val="1A1A1A" w:themeColor="background1" w:themeShade="1A"/>
          <w:sz w:val="22"/>
          <w:szCs w:val="22"/>
          <w:lang w:val="es-ES"/>
        </w:rPr>
        <w:t xml:space="preserve">En este contexto, la Subdirección –dentro de los límites de sus atribuciones, esto es, haciendo abstracción del caso particular expuesto por el peticionario– resolverá la consulta conforme a las normas generales en materia de contratación estatal. Para ello, </w:t>
      </w:r>
      <w:r w:rsidRPr="007D3840">
        <w:rPr>
          <w:rFonts w:ascii="Geomanist Light" w:eastAsia="Calibri" w:hAnsi="Geomanist Light" w:cs="Arial"/>
          <w:sz w:val="22"/>
        </w:rPr>
        <w:t xml:space="preserve">esta dependencia analizará los siguientes temas: </w:t>
      </w:r>
      <w:r w:rsidR="00E50C99" w:rsidRPr="007D3840">
        <w:rPr>
          <w:rFonts w:ascii="Geomanist Light" w:eastAsia="Calibri" w:hAnsi="Geomanist Light" w:cs="Arial"/>
          <w:bCs/>
          <w:color w:val="000000" w:themeColor="text1"/>
          <w:sz w:val="22"/>
        </w:rPr>
        <w:t>i</w:t>
      </w:r>
      <w:r w:rsidR="00BE3B6B" w:rsidRPr="007D3840">
        <w:rPr>
          <w:rFonts w:ascii="Geomanist Light" w:hAnsi="Geomanist Light"/>
        </w:rPr>
        <w:t xml:space="preserve">) </w:t>
      </w:r>
      <w:r w:rsidR="00BE3B6B" w:rsidRPr="007D3840">
        <w:rPr>
          <w:rFonts w:ascii="Geomanist Light" w:eastAsia="Calibri" w:hAnsi="Geomanist Light" w:cs="Arial"/>
          <w:bCs/>
          <w:color w:val="000000" w:themeColor="text1"/>
          <w:sz w:val="22"/>
        </w:rPr>
        <w:t>contenido y efectos jurídicos del pliego de condiciones</w:t>
      </w:r>
      <w:r w:rsidR="00E50C99" w:rsidRPr="007D3840">
        <w:rPr>
          <w:rFonts w:ascii="Geomanist Light" w:eastAsia="Calibri" w:hAnsi="Geomanist Light" w:cs="Arial"/>
          <w:bCs/>
          <w:color w:val="000000" w:themeColor="text1"/>
          <w:sz w:val="22"/>
        </w:rPr>
        <w:t xml:space="preserve">, ii) </w:t>
      </w:r>
      <w:r w:rsidR="00375103" w:rsidRPr="007D3840">
        <w:rPr>
          <w:rFonts w:ascii="Geomanist Light" w:eastAsia="Calibri" w:hAnsi="Geomanist Light" w:cs="Arial"/>
          <w:bCs/>
          <w:color w:val="000000" w:themeColor="text1"/>
          <w:sz w:val="22"/>
        </w:rPr>
        <w:t>pliego de condiciones electrónico y su configuración en el módulo de subasta en el SECOP II, y</w:t>
      </w:r>
      <w:r w:rsidR="00E50C99" w:rsidRPr="007D3840">
        <w:rPr>
          <w:rFonts w:ascii="Geomanist Light" w:eastAsiaTheme="minorHAnsi" w:hAnsi="Geomanist Light" w:cs="Arial"/>
          <w:sz w:val="22"/>
          <w:szCs w:val="22"/>
          <w:lang w:val="es-MX" w:eastAsia="en-US"/>
        </w:rPr>
        <w:t xml:space="preserve"> i</w:t>
      </w:r>
      <w:r w:rsidR="00E50C99" w:rsidRPr="007D3840">
        <w:rPr>
          <w:rFonts w:ascii="Geomanist Light" w:eastAsia="Calibri" w:hAnsi="Geomanist Light" w:cs="Arial"/>
          <w:bCs/>
          <w:color w:val="000000" w:themeColor="text1"/>
          <w:sz w:val="22"/>
        </w:rPr>
        <w:t>ii)</w:t>
      </w:r>
      <w:r w:rsidR="00CE5C66" w:rsidRPr="007D3840">
        <w:rPr>
          <w:rFonts w:ascii="Geomanist Light" w:eastAsia="Calibri" w:hAnsi="Geomanist Light" w:cs="Arial"/>
          <w:bCs/>
          <w:color w:val="000000" w:themeColor="text1"/>
          <w:sz w:val="22"/>
        </w:rPr>
        <w:t xml:space="preserve"> régimen de la modificación del pliego de condiciones.</w:t>
      </w:r>
    </w:p>
    <w:p w14:paraId="52778528" w14:textId="77777777" w:rsidR="00255C5E" w:rsidRPr="007D3840" w:rsidRDefault="00255C5E" w:rsidP="00255C5E">
      <w:pPr>
        <w:tabs>
          <w:tab w:val="left" w:pos="426"/>
          <w:tab w:val="left" w:pos="851"/>
        </w:tabs>
        <w:spacing w:line="276" w:lineRule="auto"/>
        <w:jc w:val="both"/>
        <w:rPr>
          <w:rFonts w:ascii="Geomanist Light" w:hAnsi="Geomanist Light" w:cs="Arial"/>
          <w:sz w:val="22"/>
          <w:lang w:val="es-ES_tradnl"/>
        </w:rPr>
      </w:pPr>
    </w:p>
    <w:p w14:paraId="692E00B2" w14:textId="4B22652E" w:rsidR="00926657" w:rsidRPr="007D3840" w:rsidRDefault="00926657" w:rsidP="0053437F">
      <w:pPr>
        <w:pStyle w:val="Prrafodelista"/>
        <w:numPr>
          <w:ilvl w:val="1"/>
          <w:numId w:val="8"/>
        </w:numPr>
        <w:tabs>
          <w:tab w:val="left" w:pos="284"/>
        </w:tabs>
        <w:spacing w:line="276" w:lineRule="auto"/>
        <w:ind w:left="426" w:hanging="437"/>
        <w:jc w:val="both"/>
        <w:rPr>
          <w:rFonts w:ascii="Geomanist Light" w:eastAsia="Calibri" w:hAnsi="Geomanist Light" w:cs="Arial"/>
          <w:b/>
          <w:bCs/>
          <w:color w:val="000000" w:themeColor="text1"/>
          <w:sz w:val="22"/>
        </w:rPr>
      </w:pPr>
      <w:r w:rsidRPr="007D3840">
        <w:rPr>
          <w:rFonts w:ascii="Geomanist Light" w:eastAsia="Calibri" w:hAnsi="Geomanist Light" w:cs="Arial"/>
          <w:b/>
          <w:bCs/>
          <w:color w:val="000000" w:themeColor="text1"/>
          <w:sz w:val="22"/>
        </w:rPr>
        <w:t xml:space="preserve">Contenido y efectos jurídicos del pliego de condiciones </w:t>
      </w:r>
    </w:p>
    <w:p w14:paraId="24DD9EA2" w14:textId="77777777" w:rsidR="00926657" w:rsidRPr="007D3840" w:rsidRDefault="00926657" w:rsidP="00926657">
      <w:pPr>
        <w:spacing w:line="276" w:lineRule="auto"/>
        <w:jc w:val="both"/>
        <w:rPr>
          <w:rFonts w:ascii="Geomanist Light" w:eastAsia="Calibri" w:hAnsi="Geomanist Light" w:cs="Arial"/>
          <w:color w:val="000000" w:themeColor="text1"/>
          <w:sz w:val="22"/>
        </w:rPr>
      </w:pPr>
    </w:p>
    <w:p w14:paraId="651B6AE4" w14:textId="77777777" w:rsidR="00926657" w:rsidRPr="007D3840" w:rsidRDefault="00926657" w:rsidP="00926657">
      <w:pPr>
        <w:spacing w:line="276" w:lineRule="auto"/>
        <w:jc w:val="both"/>
        <w:rPr>
          <w:rFonts w:ascii="Geomanist Light" w:eastAsia="Calibri" w:hAnsi="Geomanist Light" w:cs="Arial"/>
          <w:color w:val="000000" w:themeColor="text1"/>
          <w:sz w:val="22"/>
        </w:rPr>
      </w:pPr>
      <w:bookmarkStart w:id="1" w:name="_Hlk117498166"/>
      <w:r w:rsidRPr="007D3840">
        <w:rPr>
          <w:rFonts w:ascii="Geomanist Light" w:eastAsia="Calibri" w:hAnsi="Geomanist Light" w:cs="Arial"/>
          <w:color w:val="000000" w:themeColor="text1"/>
          <w:sz w:val="22"/>
        </w:rPr>
        <w:t xml:space="preserve">La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w:t>
      </w:r>
      <w:r w:rsidRPr="007D3840">
        <w:rPr>
          <w:rFonts w:ascii="Geomanist Light" w:eastAsia="Calibri" w:hAnsi="Geomanist Light" w:cs="Arial"/>
          <w:color w:val="000000" w:themeColor="text1"/>
          <w:sz w:val="22"/>
        </w:rPr>
        <w:lastRenderedPageBreak/>
        <w:t>establecidas en la normativa de la contratación pública, con el fin de procurar un equilibrio y el cumplimiento de sus principios, entre otros objetivos.</w:t>
      </w:r>
    </w:p>
    <w:p w14:paraId="67E095F3" w14:textId="77777777" w:rsidR="00926657" w:rsidRPr="007D3840" w:rsidRDefault="00926657" w:rsidP="00926657">
      <w:pPr>
        <w:spacing w:before="120" w:line="276" w:lineRule="auto"/>
        <w:ind w:firstLine="708"/>
        <w:jc w:val="both"/>
        <w:rPr>
          <w:rFonts w:ascii="Geomanist Light" w:eastAsia="Calibri" w:hAnsi="Geomanist Light" w:cs="Arial"/>
          <w:color w:val="000000" w:themeColor="text1"/>
          <w:sz w:val="22"/>
        </w:rPr>
      </w:pPr>
      <w:r w:rsidRPr="007D3840">
        <w:rPr>
          <w:rFonts w:ascii="Geomanist Light" w:eastAsia="Calibri" w:hAnsi="Geomanist Light" w:cs="Arial"/>
          <w:color w:val="000000" w:themeColor="text1"/>
          <w:sz w:val="22"/>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bookmarkEnd w:id="1"/>
      <w:r w:rsidRPr="007D3840">
        <w:rPr>
          <w:rStyle w:val="Refdenotaalpie"/>
          <w:rFonts w:ascii="Geomanist Light" w:eastAsia="Calibri" w:hAnsi="Geomanist Light" w:cs="Arial"/>
          <w:color w:val="000000" w:themeColor="text1"/>
          <w:sz w:val="22"/>
        </w:rPr>
        <w:footnoteReference w:id="1"/>
      </w:r>
      <w:r w:rsidRPr="007D3840">
        <w:rPr>
          <w:rFonts w:ascii="Geomanist Light" w:eastAsia="Calibri" w:hAnsi="Geomanist Light" w:cs="Arial"/>
          <w:color w:val="000000" w:themeColor="text1"/>
          <w:sz w:val="22"/>
        </w:rPr>
        <w:t>. La Ley 80 de 1993, en el artículo 24, regula el principio de transparencia, sobre el cual se indican reglas para el contenido del pliego de condiciones:</w:t>
      </w:r>
    </w:p>
    <w:p w14:paraId="2DE58569" w14:textId="77777777" w:rsidR="00926657" w:rsidRPr="007D3840" w:rsidRDefault="00926657" w:rsidP="00926657">
      <w:pPr>
        <w:ind w:left="709" w:right="709"/>
        <w:jc w:val="both"/>
        <w:rPr>
          <w:rFonts w:ascii="Geomanist Light" w:hAnsi="Geomanist Light" w:cs="Arial"/>
          <w:color w:val="000000" w:themeColor="text1"/>
          <w:sz w:val="21"/>
          <w:szCs w:val="21"/>
        </w:rPr>
      </w:pPr>
    </w:p>
    <w:p w14:paraId="593BE9D4"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w:t>
      </w:r>
    </w:p>
    <w:p w14:paraId="6A865E4D"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5o. En los pliegos de condiciones:</w:t>
      </w:r>
    </w:p>
    <w:p w14:paraId="3FDCAC94" w14:textId="77777777" w:rsidR="00926657" w:rsidRPr="007D3840" w:rsidRDefault="00926657" w:rsidP="00926657">
      <w:pPr>
        <w:ind w:left="709" w:right="709"/>
        <w:jc w:val="both"/>
        <w:rPr>
          <w:rFonts w:ascii="Geomanist Light" w:hAnsi="Geomanist Light" w:cs="Arial"/>
          <w:color w:val="000000" w:themeColor="text1"/>
          <w:sz w:val="21"/>
          <w:szCs w:val="21"/>
        </w:rPr>
      </w:pPr>
    </w:p>
    <w:p w14:paraId="0FD5863B" w14:textId="77777777" w:rsidR="00926657" w:rsidRPr="007D3840" w:rsidRDefault="00926657" w:rsidP="00926657">
      <w:pPr>
        <w:pStyle w:val="Prrafodelista"/>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a) Se indicarán los requisitos objetivos necesarios para participar en el correspondiente proceso de selección.</w:t>
      </w:r>
    </w:p>
    <w:p w14:paraId="0D8B3E75" w14:textId="77777777" w:rsidR="00926657" w:rsidRPr="007D3840" w:rsidRDefault="00926657" w:rsidP="00926657">
      <w:pPr>
        <w:pStyle w:val="Prrafodelista"/>
        <w:ind w:left="709" w:right="709"/>
        <w:jc w:val="both"/>
        <w:rPr>
          <w:rFonts w:ascii="Geomanist Light" w:hAnsi="Geomanist Light" w:cs="Arial"/>
          <w:color w:val="000000" w:themeColor="text1"/>
          <w:sz w:val="21"/>
          <w:szCs w:val="21"/>
        </w:rPr>
      </w:pPr>
    </w:p>
    <w:p w14:paraId="31E7CABF"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b) Se definirán reglas objetivas, justas, claras y completas que permitan la confección de ofrecimientos de la misma índole, aseguren una escogencia objetiva y eviten la declaratoria de desierta de la licitación.</w:t>
      </w:r>
    </w:p>
    <w:p w14:paraId="2459DCBA"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w:t>
      </w:r>
    </w:p>
    <w:p w14:paraId="26758F28" w14:textId="77777777" w:rsidR="00926657" w:rsidRPr="007D3840" w:rsidRDefault="00926657" w:rsidP="00926657">
      <w:pPr>
        <w:ind w:left="709" w:right="709"/>
        <w:jc w:val="both"/>
        <w:rPr>
          <w:rFonts w:ascii="Geomanist Light" w:hAnsi="Geomanist Light" w:cs="Arial"/>
          <w:color w:val="000000" w:themeColor="text1"/>
          <w:sz w:val="21"/>
          <w:szCs w:val="21"/>
        </w:rPr>
      </w:pPr>
    </w:p>
    <w:p w14:paraId="0701C53B"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d) No se incluirán condiciones y exigencias de imposible cumplimiento, ni exenciones de la responsabilidad derivada de los datos, informes y documentos que se suministren.</w:t>
      </w:r>
    </w:p>
    <w:p w14:paraId="69F817C9" w14:textId="77777777" w:rsidR="00926657" w:rsidRPr="007D3840" w:rsidRDefault="00926657" w:rsidP="00926657">
      <w:pPr>
        <w:ind w:left="709" w:right="709"/>
        <w:jc w:val="both"/>
        <w:rPr>
          <w:rFonts w:ascii="Geomanist Light" w:hAnsi="Geomanist Light" w:cs="Arial"/>
          <w:color w:val="000000" w:themeColor="text1"/>
          <w:sz w:val="21"/>
          <w:szCs w:val="21"/>
        </w:rPr>
      </w:pPr>
    </w:p>
    <w:p w14:paraId="6DB5726D"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e) Se definirán reglas que no induzcan a error a los proponentes y contratistas y que impidan la formulación de ofrecimientos de extensión ilimitada o que dependan de la voluntad exclusiva de la entidad.</w:t>
      </w:r>
    </w:p>
    <w:p w14:paraId="64F3BBD4"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w:t>
      </w:r>
    </w:p>
    <w:p w14:paraId="75799425" w14:textId="77777777" w:rsidR="00926657" w:rsidRPr="007D3840" w:rsidRDefault="00926657" w:rsidP="00926657">
      <w:pPr>
        <w:spacing w:line="276" w:lineRule="auto"/>
        <w:jc w:val="both"/>
        <w:rPr>
          <w:rFonts w:ascii="Geomanist Light" w:hAnsi="Geomanist Light" w:cs="Arial"/>
          <w:color w:val="000000" w:themeColor="text1"/>
          <w:sz w:val="20"/>
          <w:szCs w:val="20"/>
        </w:rPr>
      </w:pPr>
    </w:p>
    <w:p w14:paraId="5435515E" w14:textId="77777777" w:rsidR="00926657" w:rsidRPr="007D3840" w:rsidRDefault="00926657" w:rsidP="00926657">
      <w:pPr>
        <w:spacing w:line="276" w:lineRule="auto"/>
        <w:ind w:firstLine="708"/>
        <w:jc w:val="both"/>
        <w:rPr>
          <w:rFonts w:ascii="Geomanist Light" w:hAnsi="Geomanist Light" w:cs="Arial"/>
          <w:color w:val="000000" w:themeColor="text1"/>
          <w:sz w:val="20"/>
          <w:szCs w:val="20"/>
        </w:rPr>
      </w:pPr>
      <w:r w:rsidRPr="007D3840">
        <w:rPr>
          <w:rFonts w:ascii="Geomanist Light" w:eastAsia="Calibri" w:hAnsi="Geomanist Light" w:cs="Arial"/>
          <w:color w:val="000000" w:themeColor="text1"/>
          <w:sz w:val="22"/>
        </w:rPr>
        <w:t xml:space="preserve">Sumado a lo anterior, la Corte Constitucional ha señalado, frente a la selección objetiva, que la entidad no puede establecer reglas subjetivas, sino que deben ser razonables, </w:t>
      </w:r>
      <w:r w:rsidRPr="007D3840">
        <w:rPr>
          <w:rFonts w:ascii="Geomanist Light" w:eastAsia="Calibri" w:hAnsi="Geomanist Light" w:cs="Arial"/>
          <w:color w:val="000000" w:themeColor="text1"/>
          <w:sz w:val="22"/>
        </w:rPr>
        <w:lastRenderedPageBreak/>
        <w:t>de acuerdo con las normas que rigen la actividad contractual</w:t>
      </w:r>
      <w:r w:rsidRPr="007D3840">
        <w:rPr>
          <w:rStyle w:val="Refdenotaalpie"/>
          <w:rFonts w:ascii="Geomanist Light" w:eastAsia="Calibri" w:hAnsi="Geomanist Light" w:cs="Arial"/>
          <w:color w:val="000000" w:themeColor="text1"/>
          <w:sz w:val="22"/>
        </w:rPr>
        <w:footnoteReference w:id="2"/>
      </w:r>
      <w:r w:rsidRPr="007D3840">
        <w:rPr>
          <w:rFonts w:ascii="Geomanist Light" w:eastAsia="Calibri" w:hAnsi="Geomanist Light" w:cs="Arial"/>
          <w:color w:val="000000" w:themeColor="text1"/>
          <w:sz w:val="22"/>
        </w:rPr>
        <w:t>; y en otro pronunciamiento,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w:t>
      </w:r>
      <w:r w:rsidRPr="007D3840">
        <w:rPr>
          <w:rFonts w:ascii="Geomanist Light" w:hAnsi="Geomanist Light" w:cs="Arial"/>
          <w:color w:val="000000" w:themeColor="text1"/>
          <w:sz w:val="20"/>
          <w:szCs w:val="20"/>
        </w:rPr>
        <w:t xml:space="preserve"> </w:t>
      </w:r>
    </w:p>
    <w:p w14:paraId="1C7F5BCB" w14:textId="77777777" w:rsidR="00926657" w:rsidRPr="007D3840" w:rsidRDefault="00926657" w:rsidP="00926657">
      <w:pPr>
        <w:spacing w:line="276" w:lineRule="auto"/>
        <w:jc w:val="both"/>
        <w:rPr>
          <w:rFonts w:ascii="Geomanist Light" w:hAnsi="Geomanist Light" w:cs="Arial"/>
          <w:color w:val="000000" w:themeColor="text1"/>
          <w:sz w:val="20"/>
          <w:szCs w:val="20"/>
        </w:rPr>
      </w:pPr>
    </w:p>
    <w:p w14:paraId="5CF129A6" w14:textId="77777777" w:rsidR="00926657" w:rsidRPr="007D3840" w:rsidRDefault="00926657" w:rsidP="00926657">
      <w:pPr>
        <w:ind w:left="709" w:right="709"/>
        <w:jc w:val="both"/>
        <w:rPr>
          <w:rFonts w:ascii="Geomanist Light" w:hAnsi="Geomanist Light" w:cs="Arial"/>
          <w:color w:val="000000" w:themeColor="text1"/>
          <w:sz w:val="21"/>
          <w:szCs w:val="21"/>
        </w:rPr>
      </w:pPr>
      <w:r w:rsidRPr="007D3840">
        <w:rPr>
          <w:rFonts w:ascii="Geomanist Light" w:hAnsi="Geomanist Light" w:cs="Arial"/>
          <w:color w:val="000000" w:themeColor="text1"/>
          <w:sz w:val="21"/>
          <w:szCs w:val="21"/>
        </w:rPr>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7D3840">
        <w:rPr>
          <w:rStyle w:val="Refdenotaalpie"/>
          <w:rFonts w:ascii="Geomanist Light" w:hAnsi="Geomanist Light" w:cs="Arial"/>
          <w:color w:val="000000" w:themeColor="text1"/>
          <w:sz w:val="21"/>
          <w:szCs w:val="21"/>
        </w:rPr>
        <w:footnoteReference w:id="3"/>
      </w:r>
      <w:r w:rsidRPr="007D3840">
        <w:rPr>
          <w:rFonts w:ascii="Geomanist Light" w:hAnsi="Geomanist Light" w:cs="Arial"/>
          <w:color w:val="000000" w:themeColor="text1"/>
          <w:sz w:val="21"/>
          <w:szCs w:val="21"/>
        </w:rPr>
        <w:t>.</w:t>
      </w:r>
    </w:p>
    <w:p w14:paraId="2AD7BA45" w14:textId="77777777" w:rsidR="00926657" w:rsidRPr="007D3840" w:rsidRDefault="00926657" w:rsidP="00926657">
      <w:pPr>
        <w:spacing w:line="276" w:lineRule="auto"/>
        <w:jc w:val="both"/>
        <w:rPr>
          <w:rFonts w:ascii="Geomanist Light" w:hAnsi="Geomanist Light" w:cs="Arial"/>
          <w:color w:val="000000" w:themeColor="text1"/>
          <w:sz w:val="20"/>
          <w:szCs w:val="20"/>
        </w:rPr>
      </w:pPr>
    </w:p>
    <w:p w14:paraId="3111B14C" w14:textId="77777777" w:rsidR="00926657" w:rsidRPr="007D3840" w:rsidRDefault="00926657" w:rsidP="00926657">
      <w:pPr>
        <w:spacing w:after="120" w:line="276" w:lineRule="auto"/>
        <w:ind w:firstLine="709"/>
        <w:jc w:val="both"/>
        <w:rPr>
          <w:rFonts w:ascii="Geomanist Light" w:eastAsia="Calibri" w:hAnsi="Geomanist Light" w:cs="Arial"/>
          <w:color w:val="000000" w:themeColor="text1"/>
          <w:sz w:val="22"/>
        </w:rPr>
      </w:pPr>
      <w:r w:rsidRPr="007D3840">
        <w:rPr>
          <w:rFonts w:ascii="Geomanist Light" w:eastAsia="Calibri" w:hAnsi="Geomanist Light" w:cs="Arial"/>
          <w:color w:val="000000" w:themeColor="text1"/>
          <w:sz w:val="22"/>
        </w:rPr>
        <w:t>También, el Consejo de Estado ha determinado que el pliego de condiciones es ley para las partes, y en él se debe establecer la regulación del procedimiento de contratación, conforme a la ley, garantizando la selección objetiva del contratista</w:t>
      </w:r>
      <w:r w:rsidRPr="007D3840">
        <w:rPr>
          <w:rStyle w:val="Refdenotaalpie"/>
          <w:rFonts w:ascii="Geomanist Light" w:eastAsia="Calibri" w:hAnsi="Geomanist Light" w:cs="Arial"/>
          <w:color w:val="000000" w:themeColor="text1"/>
          <w:sz w:val="22"/>
        </w:rPr>
        <w:footnoteReference w:id="4"/>
      </w:r>
      <w:r w:rsidRPr="007D3840">
        <w:rPr>
          <w:rFonts w:ascii="Geomanist Light" w:eastAsia="Calibri" w:hAnsi="Geomanist Light" w:cs="Arial"/>
          <w:color w:val="000000" w:themeColor="text1"/>
          <w:sz w:val="22"/>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w:t>
      </w:r>
      <w:r w:rsidRPr="007D3840">
        <w:rPr>
          <w:rFonts w:ascii="Geomanist Light" w:eastAsia="Calibri" w:hAnsi="Geomanist Light" w:cs="Arial"/>
          <w:color w:val="000000" w:themeColor="text1"/>
          <w:sz w:val="22"/>
        </w:rPr>
        <w:lastRenderedPageBreak/>
        <w:t>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r w:rsidRPr="007D3840">
        <w:rPr>
          <w:rStyle w:val="Refdenotaalpie"/>
          <w:rFonts w:ascii="Geomanist Light" w:eastAsia="Calibri" w:hAnsi="Geomanist Light" w:cs="Arial"/>
          <w:color w:val="000000" w:themeColor="text1"/>
          <w:sz w:val="22"/>
        </w:rPr>
        <w:footnoteReference w:id="5"/>
      </w:r>
      <w:r w:rsidRPr="007D3840">
        <w:rPr>
          <w:rFonts w:ascii="Geomanist Light" w:eastAsia="Calibri" w:hAnsi="Geomanist Light" w:cs="Arial"/>
          <w:color w:val="000000" w:themeColor="text1"/>
          <w:sz w:val="22"/>
        </w:rPr>
        <w:t>.</w:t>
      </w:r>
    </w:p>
    <w:p w14:paraId="0ECB8E59" w14:textId="6DC31657" w:rsidR="00926657" w:rsidRPr="007D3840" w:rsidRDefault="00926657" w:rsidP="00926657">
      <w:pPr>
        <w:spacing w:line="276" w:lineRule="auto"/>
        <w:ind w:firstLine="709"/>
        <w:jc w:val="both"/>
        <w:rPr>
          <w:rFonts w:ascii="Geomanist Light" w:hAnsi="Geomanist Light" w:cs="Arial"/>
          <w:sz w:val="22"/>
          <w:szCs w:val="22"/>
        </w:rPr>
      </w:pPr>
      <w:r w:rsidRPr="007D3840">
        <w:rPr>
          <w:rFonts w:ascii="Geomanist Light" w:hAnsi="Geomanist Light" w:cs="Arial"/>
          <w:sz w:val="22"/>
        </w:rPr>
        <w:t>Conforme a lo anterior, e</w:t>
      </w:r>
      <w:r w:rsidRPr="007D3840">
        <w:rPr>
          <w:rFonts w:ascii="Geomanist Light" w:hAnsi="Geomanist Light" w:cs="Arial"/>
          <w:sz w:val="22"/>
          <w:szCs w:val="22"/>
        </w:rPr>
        <w:t xml:space="preserve">l pliego de condiciones debe establecer </w:t>
      </w:r>
      <w:r w:rsidRPr="007D3840">
        <w:rPr>
          <w:rFonts w:ascii="Geomanist Light" w:hAnsi="Geomanist Light" w:cs="Arial"/>
          <w:sz w:val="22"/>
        </w:rPr>
        <w:t>las</w:t>
      </w:r>
      <w:r w:rsidRPr="007D3840">
        <w:rPr>
          <w:rFonts w:ascii="Geomanist Light" w:hAnsi="Geomanist Light" w:cs="Arial"/>
          <w:sz w:val="22"/>
          <w:szCs w:val="22"/>
        </w:rPr>
        <w:t xml:space="preserve"> etapas</w:t>
      </w:r>
      <w:r w:rsidRPr="007D3840">
        <w:rPr>
          <w:rFonts w:ascii="Geomanist Light" w:hAnsi="Geomanist Light" w:cs="Arial"/>
          <w:sz w:val="22"/>
        </w:rPr>
        <w:t xml:space="preserve"> del proceso de selección, </w:t>
      </w:r>
      <w:r w:rsidRPr="007D3840">
        <w:rPr>
          <w:rFonts w:ascii="Geomanist Light" w:hAnsi="Geomanist Light" w:cs="Arial"/>
          <w:sz w:val="22"/>
          <w:szCs w:val="22"/>
        </w:rPr>
        <w:t>así como l</w:t>
      </w:r>
      <w:r w:rsidRPr="007D3840">
        <w:rPr>
          <w:rFonts w:ascii="Geomanist Light" w:hAnsi="Geomanist Light" w:cs="Arial"/>
          <w:sz w:val="22"/>
        </w:rPr>
        <w:t>a</w:t>
      </w:r>
      <w:r w:rsidRPr="007D3840">
        <w:rPr>
          <w:rFonts w:ascii="Geomanist Light" w:hAnsi="Geomanist Light" w:cs="Arial"/>
          <w:sz w:val="22"/>
          <w:szCs w:val="22"/>
        </w:rPr>
        <w:t>s</w:t>
      </w:r>
      <w:r w:rsidRPr="007D3840">
        <w:rPr>
          <w:rFonts w:ascii="Geomanist Light" w:hAnsi="Geomanist Light" w:cs="Arial"/>
          <w:sz w:val="22"/>
        </w:rPr>
        <w:t xml:space="preserve"> reglas,</w:t>
      </w:r>
      <w:r w:rsidRPr="007D3840">
        <w:rPr>
          <w:rFonts w:ascii="Geomanist Light" w:hAnsi="Geomanist Light" w:cs="Arial"/>
          <w:sz w:val="22"/>
          <w:szCs w:val="22"/>
        </w:rPr>
        <w:t xml:space="preserve"> requisitos y condiciones </w:t>
      </w:r>
      <w:r w:rsidRPr="007D3840">
        <w:rPr>
          <w:rFonts w:ascii="Geomanist Light" w:hAnsi="Geomanist Light" w:cs="Arial"/>
          <w:sz w:val="22"/>
        </w:rPr>
        <w:t>aplicables en</w:t>
      </w:r>
      <w:r w:rsidRPr="007D3840">
        <w:rPr>
          <w:rFonts w:ascii="Geomanist Light" w:hAnsi="Geomanist Light" w:cs="Arial"/>
          <w:sz w:val="22"/>
          <w:szCs w:val="22"/>
        </w:rPr>
        <w:t xml:space="preserve"> cada una de ellas. </w:t>
      </w:r>
      <w:r w:rsidRPr="007D3840">
        <w:rPr>
          <w:rFonts w:ascii="Geomanist Light" w:hAnsi="Geomanist Light" w:cs="Arial"/>
          <w:sz w:val="22"/>
        </w:rPr>
        <w:t xml:space="preserve">Entre estos aspectos se encuentran </w:t>
      </w:r>
      <w:r w:rsidRPr="007D3840">
        <w:rPr>
          <w:rFonts w:ascii="Geomanist Light" w:hAnsi="Geomanist Light" w:cs="Arial"/>
          <w:sz w:val="22"/>
          <w:szCs w:val="22"/>
        </w:rPr>
        <w:t xml:space="preserve">las causales de rechazo y </w:t>
      </w:r>
      <w:r w:rsidRPr="007D3840">
        <w:rPr>
          <w:rFonts w:ascii="Geomanist Light" w:hAnsi="Geomanist Light" w:cs="Arial"/>
          <w:sz w:val="22"/>
        </w:rPr>
        <w:t xml:space="preserve">factores de </w:t>
      </w:r>
      <w:r w:rsidRPr="007D3840">
        <w:rPr>
          <w:rFonts w:ascii="Geomanist Light" w:hAnsi="Geomanist Light" w:cs="Arial"/>
          <w:sz w:val="22"/>
          <w:szCs w:val="22"/>
        </w:rPr>
        <w:t xml:space="preserve">ponderación de las ofertas, así como los documentos que debe contener y las causas que impidan una selección objetiva. </w:t>
      </w:r>
      <w:r w:rsidRPr="007D3840">
        <w:rPr>
          <w:rFonts w:ascii="Geomanist Light" w:hAnsi="Geomanist Light" w:cs="Arial"/>
          <w:sz w:val="22"/>
        </w:rPr>
        <w:t>En ese orden,</w:t>
      </w:r>
      <w:r w:rsidRPr="007D3840">
        <w:rPr>
          <w:rFonts w:ascii="Geomanist Light" w:hAnsi="Geomanist Light" w:cs="Arial"/>
          <w:sz w:val="22"/>
          <w:szCs w:val="22"/>
        </w:rPr>
        <w:t xml:space="preserve"> </w:t>
      </w:r>
      <w:r w:rsidRPr="007D3840">
        <w:rPr>
          <w:rFonts w:ascii="Geomanist Light" w:hAnsi="Geomanist Light" w:cs="Arial"/>
          <w:sz w:val="22"/>
        </w:rPr>
        <w:t>gran parte de la importancia del</w:t>
      </w:r>
      <w:r w:rsidRPr="007D3840">
        <w:rPr>
          <w:rFonts w:ascii="Geomanist Light" w:hAnsi="Geomanist Light" w:cs="Arial"/>
          <w:sz w:val="22"/>
          <w:szCs w:val="22"/>
        </w:rPr>
        <w:t xml:space="preserve"> pliego de condiciones </w:t>
      </w:r>
      <w:r w:rsidRPr="007D3840">
        <w:rPr>
          <w:rFonts w:ascii="Geomanist Light" w:hAnsi="Geomanist Light" w:cs="Arial"/>
          <w:sz w:val="22"/>
        </w:rPr>
        <w:t xml:space="preserve">está determinada por el hecho que es el documento en </w:t>
      </w:r>
      <w:r w:rsidR="00F05444" w:rsidRPr="007D3840">
        <w:rPr>
          <w:rFonts w:ascii="Geomanist Light" w:hAnsi="Geomanist Light" w:cs="Arial"/>
          <w:sz w:val="22"/>
        </w:rPr>
        <w:t>el</w:t>
      </w:r>
      <w:r w:rsidRPr="007D3840">
        <w:rPr>
          <w:rFonts w:ascii="Geomanist Light" w:hAnsi="Geomanist Light" w:cs="Arial"/>
          <w:sz w:val="22"/>
        </w:rPr>
        <w:t xml:space="preserve"> que se </w:t>
      </w:r>
      <w:r w:rsidRPr="007D3840">
        <w:rPr>
          <w:rFonts w:ascii="Geomanist Light" w:hAnsi="Geomanist Light" w:cs="Arial"/>
          <w:sz w:val="22"/>
          <w:szCs w:val="22"/>
        </w:rPr>
        <w:t>establece</w:t>
      </w:r>
      <w:r w:rsidRPr="007D3840">
        <w:rPr>
          <w:rFonts w:ascii="Geomanist Light" w:hAnsi="Geomanist Light" w:cs="Arial"/>
          <w:sz w:val="22"/>
        </w:rPr>
        <w:t>n</w:t>
      </w:r>
      <w:r w:rsidRPr="007D3840">
        <w:rPr>
          <w:rFonts w:ascii="Geomanist Light" w:hAnsi="Geomanist Light" w:cs="Arial"/>
          <w:sz w:val="22"/>
          <w:szCs w:val="22"/>
        </w:rPr>
        <w:t xml:space="preserve"> las normas que van a regular etapa </w:t>
      </w:r>
      <w:r w:rsidRPr="007D3840">
        <w:rPr>
          <w:rFonts w:ascii="Geomanist Light" w:hAnsi="Geomanist Light" w:cs="Arial"/>
          <w:sz w:val="22"/>
        </w:rPr>
        <w:t xml:space="preserve">selección, a las que deberán sujetarse </w:t>
      </w:r>
      <w:r w:rsidRPr="007D3840">
        <w:rPr>
          <w:rFonts w:ascii="Geomanist Light" w:hAnsi="Geomanist Light" w:cs="Arial"/>
          <w:sz w:val="22"/>
          <w:szCs w:val="22"/>
        </w:rPr>
        <w:t xml:space="preserve">la administración y las oferentes </w:t>
      </w:r>
      <w:r w:rsidRPr="007D3840">
        <w:rPr>
          <w:rFonts w:ascii="Geomanist Light" w:hAnsi="Geomanist Light" w:cs="Arial"/>
          <w:sz w:val="22"/>
        </w:rPr>
        <w:t xml:space="preserve">a efectos de lograr </w:t>
      </w:r>
      <w:r w:rsidRPr="007D3840">
        <w:rPr>
          <w:rFonts w:ascii="Geomanist Light" w:hAnsi="Geomanist Light" w:cs="Arial"/>
          <w:sz w:val="22"/>
          <w:szCs w:val="22"/>
        </w:rPr>
        <w:t>una selección objetiva</w:t>
      </w:r>
      <w:r w:rsidRPr="007D3840">
        <w:rPr>
          <w:rStyle w:val="Refdenotaalpie"/>
          <w:rFonts w:ascii="Geomanist Light" w:hAnsi="Geomanist Light" w:cs="Arial"/>
          <w:sz w:val="22"/>
        </w:rPr>
        <w:footnoteReference w:id="6"/>
      </w:r>
      <w:r w:rsidRPr="007D3840">
        <w:rPr>
          <w:rFonts w:ascii="Geomanist Light" w:hAnsi="Geomanist Light" w:cs="Arial"/>
          <w:sz w:val="22"/>
          <w:szCs w:val="22"/>
        </w:rPr>
        <w:t>.</w:t>
      </w:r>
    </w:p>
    <w:p w14:paraId="3220A8BA" w14:textId="77777777" w:rsidR="00926657" w:rsidRPr="007D3840" w:rsidRDefault="00926657" w:rsidP="00926657">
      <w:pPr>
        <w:spacing w:line="276" w:lineRule="auto"/>
        <w:jc w:val="both"/>
        <w:rPr>
          <w:rFonts w:ascii="Geomanist Light" w:eastAsia="Calibri" w:hAnsi="Geomanist Light" w:cs="Arial"/>
          <w:b/>
          <w:bCs/>
          <w:sz w:val="22"/>
          <w:lang w:val="es-ES"/>
        </w:rPr>
      </w:pPr>
    </w:p>
    <w:p w14:paraId="29F5AA7C" w14:textId="4987E231" w:rsidR="00926657" w:rsidRPr="007D3840" w:rsidRDefault="00926657" w:rsidP="00926657">
      <w:pPr>
        <w:pStyle w:val="xmsonospacing"/>
        <w:spacing w:before="0" w:beforeAutospacing="0" w:after="0" w:afterAutospacing="0" w:line="276" w:lineRule="auto"/>
        <w:jc w:val="both"/>
        <w:rPr>
          <w:rFonts w:ascii="Geomanist Light" w:hAnsi="Geomanist Light" w:cs="Arial"/>
          <w:b/>
          <w:bCs/>
          <w:color w:val="000000"/>
          <w:sz w:val="22"/>
          <w:szCs w:val="22"/>
          <w:bdr w:val="none" w:sz="0" w:space="0" w:color="auto" w:frame="1"/>
          <w:shd w:val="clear" w:color="auto" w:fill="FFFFFF"/>
        </w:rPr>
      </w:pPr>
      <w:r w:rsidRPr="007D3840">
        <w:rPr>
          <w:rFonts w:ascii="Geomanist Light" w:eastAsia="Calibri" w:hAnsi="Geomanist Light" w:cs="Arial"/>
          <w:b/>
          <w:bCs/>
          <w:sz w:val="22"/>
          <w:lang w:val="es-ES"/>
        </w:rPr>
        <w:t xml:space="preserve">2.2. Pliego de condiciones electrónico y su configuración en el </w:t>
      </w:r>
      <w:r w:rsidRPr="007D3840">
        <w:rPr>
          <w:rFonts w:ascii="Geomanist Light" w:hAnsi="Geomanist Light" w:cs="Arial"/>
          <w:b/>
          <w:bCs/>
          <w:color w:val="000000"/>
          <w:sz w:val="22"/>
          <w:szCs w:val="22"/>
          <w:bdr w:val="none" w:sz="0" w:space="0" w:color="auto" w:frame="1"/>
          <w:shd w:val="clear" w:color="auto" w:fill="FFFFFF"/>
        </w:rPr>
        <w:t>módulo de subasta en el SECOP II</w:t>
      </w:r>
    </w:p>
    <w:p w14:paraId="509A1264" w14:textId="77777777" w:rsidR="00926657" w:rsidRPr="007D3840" w:rsidRDefault="00926657" w:rsidP="0053437F">
      <w:pPr>
        <w:pStyle w:val="xmsonospacing"/>
        <w:spacing w:before="0" w:beforeAutospacing="0" w:after="0" w:afterAutospacing="0"/>
        <w:jc w:val="both"/>
        <w:rPr>
          <w:rFonts w:ascii="Geomanist Light" w:hAnsi="Geomanist Light" w:cs="Arial"/>
          <w:b/>
          <w:bCs/>
          <w:color w:val="000000"/>
          <w:sz w:val="22"/>
          <w:szCs w:val="22"/>
          <w:bdr w:val="none" w:sz="0" w:space="0" w:color="auto" w:frame="1"/>
          <w:shd w:val="clear" w:color="auto" w:fill="FFFFFF"/>
        </w:rPr>
      </w:pPr>
    </w:p>
    <w:p w14:paraId="41C05AC6" w14:textId="50D5C3EB" w:rsidR="00926657" w:rsidRPr="007D3840" w:rsidRDefault="00926657" w:rsidP="00926657">
      <w:pPr>
        <w:pStyle w:val="xmsonospacing"/>
        <w:spacing w:before="0" w:beforeAutospacing="0" w:after="0" w:afterAutospacing="0" w:line="276" w:lineRule="auto"/>
        <w:jc w:val="both"/>
        <w:rPr>
          <w:rFonts w:ascii="Geomanist Light" w:hAnsi="Geomanist Light" w:cs="Arial"/>
          <w:color w:val="000000"/>
          <w:sz w:val="22"/>
          <w:szCs w:val="22"/>
          <w:bdr w:val="none" w:sz="0" w:space="0" w:color="auto" w:frame="1"/>
          <w:shd w:val="clear" w:color="auto" w:fill="FFFFFF"/>
        </w:rPr>
      </w:pPr>
      <w:r w:rsidRPr="007D3840">
        <w:rPr>
          <w:rFonts w:ascii="Geomanist Light" w:hAnsi="Geomanist Light" w:cs="Arial"/>
          <w:color w:val="000000"/>
          <w:sz w:val="22"/>
          <w:szCs w:val="22"/>
          <w:bdr w:val="none" w:sz="0" w:space="0" w:color="auto" w:frame="1"/>
          <w:shd w:val="clear" w:color="auto" w:fill="FFFFFF"/>
        </w:rPr>
        <w:t xml:space="preserve">Tradicionalmente, el pliego de condiciones es un documento escrito en medio físico o digital, que, como los demás documentos del proceso de contratación, se expide y luego se publica </w:t>
      </w:r>
      <w:r w:rsidRPr="007D3840">
        <w:rPr>
          <w:rFonts w:ascii="Geomanist Light" w:hAnsi="Geomanist Light" w:cs="Arial"/>
          <w:color w:val="000000"/>
          <w:sz w:val="22"/>
          <w:szCs w:val="22"/>
          <w:bdr w:val="none" w:sz="0" w:space="0" w:color="auto" w:frame="1"/>
          <w:shd w:val="clear" w:color="auto" w:fill="FFFFFF"/>
        </w:rPr>
        <w:lastRenderedPageBreak/>
        <w:t>en el SECOP I en el término dispuesto en el artículo 2.2.1.1.1.7.1 del Decreto 1082 de 2015</w:t>
      </w:r>
      <w:r w:rsidRPr="007D3840">
        <w:rPr>
          <w:rStyle w:val="Refdenotaalpie"/>
          <w:rFonts w:ascii="Geomanist Light" w:hAnsi="Geomanist Light" w:cs="Arial"/>
          <w:color w:val="000000"/>
          <w:sz w:val="22"/>
          <w:szCs w:val="22"/>
          <w:bdr w:val="none" w:sz="0" w:space="0" w:color="auto" w:frame="1"/>
          <w:shd w:val="clear" w:color="auto" w:fill="FFFFFF"/>
        </w:rPr>
        <w:footnoteReference w:id="7"/>
      </w:r>
      <w:r w:rsidRPr="007D3840">
        <w:rPr>
          <w:rFonts w:ascii="Geomanist Light" w:hAnsi="Geomanist Light" w:cs="Arial"/>
          <w:color w:val="000000"/>
          <w:sz w:val="22"/>
          <w:szCs w:val="22"/>
          <w:bdr w:val="none" w:sz="0" w:space="0" w:color="auto" w:frame="1"/>
          <w:shd w:val="clear" w:color="auto" w:fill="FFFFFF"/>
        </w:rPr>
        <w:t xml:space="preserve">. De esta manera, el pliego de condiciones se produce por fuera de la plataforma y luego se cara para efectos de su publicidad. </w:t>
      </w:r>
    </w:p>
    <w:p w14:paraId="33C9E6A3" w14:textId="77777777" w:rsidR="00F05444" w:rsidRPr="007D3840" w:rsidRDefault="00F05444" w:rsidP="00926657">
      <w:pPr>
        <w:pStyle w:val="xmsonospacing"/>
        <w:spacing w:before="0" w:beforeAutospacing="0" w:after="0" w:afterAutospacing="0" w:line="276" w:lineRule="auto"/>
        <w:jc w:val="both"/>
        <w:rPr>
          <w:rFonts w:ascii="Geomanist Light" w:hAnsi="Geomanist Light" w:cs="Arial"/>
          <w:color w:val="000000"/>
          <w:sz w:val="22"/>
          <w:szCs w:val="22"/>
          <w:bdr w:val="none" w:sz="0" w:space="0" w:color="auto" w:frame="1"/>
          <w:shd w:val="clear" w:color="auto" w:fill="FFFFFF"/>
        </w:rPr>
      </w:pPr>
    </w:p>
    <w:p w14:paraId="0B672C9C" w14:textId="77777777" w:rsidR="00926657" w:rsidRPr="007D3840" w:rsidRDefault="00926657" w:rsidP="00926657">
      <w:pPr>
        <w:pStyle w:val="xmsonospacing"/>
        <w:spacing w:before="0" w:beforeAutospacing="0" w:after="0" w:afterAutospacing="0" w:line="276" w:lineRule="auto"/>
        <w:jc w:val="both"/>
        <w:rPr>
          <w:rFonts w:ascii="Geomanist Light" w:eastAsia="Calibri" w:hAnsi="Geomanist Light" w:cs="Arial"/>
          <w:sz w:val="22"/>
          <w:lang w:val="es-ES"/>
        </w:rPr>
      </w:pPr>
      <w:r w:rsidRPr="007D3840">
        <w:rPr>
          <w:rFonts w:ascii="Geomanist Light" w:hAnsi="Geomanist Light" w:cs="Arial"/>
          <w:color w:val="000000"/>
          <w:sz w:val="22"/>
          <w:szCs w:val="22"/>
          <w:bdr w:val="none" w:sz="0" w:space="0" w:color="auto" w:frame="1"/>
          <w:shd w:val="clear" w:color="auto" w:fill="FFFFFF"/>
        </w:rPr>
        <w:tab/>
        <w:t xml:space="preserve">Lo anterior a diferencia de </w:t>
      </w:r>
      <w:bookmarkStart w:id="2" w:name="_Hlk117498261"/>
      <w:r w:rsidRPr="007D3840">
        <w:rPr>
          <w:rFonts w:ascii="Geomanist Light" w:hAnsi="Geomanist Light" w:cs="Arial"/>
          <w:color w:val="000000"/>
          <w:sz w:val="22"/>
          <w:szCs w:val="22"/>
          <w:bdr w:val="none" w:sz="0" w:space="0" w:color="auto" w:frame="1"/>
          <w:shd w:val="clear" w:color="auto" w:fill="FFFFFF"/>
        </w:rPr>
        <w:t xml:space="preserve">los procesos adelantados a través de la SECOP II en los cuales el pliego de condiciones es un documento electrónico el cual se produce, expide y publica al interior de esta versión de la plataforma, la cual tiene carácter transaccional y no meramente publicitario. Este pliego de condiciones electrónico </w:t>
      </w:r>
      <w:r w:rsidRPr="007D3840">
        <w:rPr>
          <w:rFonts w:ascii="Geomanist Light" w:eastAsia="Calibri" w:hAnsi="Geomanist Light" w:cs="Arial"/>
          <w:sz w:val="22"/>
          <w:lang w:val="es-ES"/>
        </w:rPr>
        <w:t>está compuesto por: i) formulario y ii) documentos anexos que cargue la entidad. Después de elegir la modalidad de selección, el SECOP II la entidad crea el expediente electrónico del procedimiento y habilita la creación del pliego borrador electrónico. Este pliego electrónico es un formulario con seis secciones: i) información general, ii) configuración, iii) cuestionario, iv) evaluación, v) documentos del proceso y vi) documentos de la oferta.</w:t>
      </w:r>
    </w:p>
    <w:bookmarkEnd w:id="2"/>
    <w:p w14:paraId="10270583" w14:textId="77777777" w:rsidR="00926657" w:rsidRPr="007D3840" w:rsidRDefault="00926657" w:rsidP="00926657">
      <w:pPr>
        <w:spacing w:before="120" w:after="120" w:line="276" w:lineRule="auto"/>
        <w:ind w:firstLine="709"/>
        <w:jc w:val="both"/>
        <w:rPr>
          <w:rFonts w:ascii="Geomanist Light" w:eastAsia="Calibri" w:hAnsi="Geomanist Light" w:cs="Arial"/>
          <w:sz w:val="22"/>
          <w:lang w:val="es-ES"/>
        </w:rPr>
      </w:pPr>
      <w:r w:rsidRPr="007D3840">
        <w:rPr>
          <w:rFonts w:ascii="Geomanist Light" w:eastAsia="Calibri" w:hAnsi="Geomanist Light" w:cs="Arial"/>
          <w:sz w:val="22"/>
          <w:lang w:val="es-ES"/>
        </w:rPr>
        <w:t>Los formularios de los pliegos electrónicos incluyen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440B25D7" w14:textId="77777777" w:rsidR="00926657" w:rsidRPr="007D3840" w:rsidRDefault="00926657" w:rsidP="00926657">
      <w:pPr>
        <w:spacing w:line="276" w:lineRule="auto"/>
        <w:ind w:firstLine="709"/>
        <w:jc w:val="both"/>
        <w:rPr>
          <w:rFonts w:ascii="Geomanist Light" w:eastAsia="Calibri" w:hAnsi="Geomanist Light" w:cs="Arial"/>
          <w:sz w:val="22"/>
          <w:szCs w:val="22"/>
          <w:lang w:val="es-ES"/>
        </w:rPr>
      </w:pPr>
      <w:r w:rsidRPr="007D3840">
        <w:rPr>
          <w:rFonts w:ascii="Geomanist Light" w:eastAsia="Calibri" w:hAnsi="Geomanist Light" w:cs="Arial"/>
          <w:sz w:val="22"/>
          <w:szCs w:val="22"/>
          <w:lang w:val="es-ES"/>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la publicación de un pliego de condiciones físico bloquea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7AB78C3B" w14:textId="77777777" w:rsidR="00926657" w:rsidRPr="007D3840" w:rsidRDefault="00926657" w:rsidP="00926657">
      <w:pPr>
        <w:jc w:val="both"/>
        <w:rPr>
          <w:rFonts w:ascii="Geomanist Light" w:hAnsi="Geomanist Light" w:cs="Arial"/>
          <w:sz w:val="22"/>
          <w:szCs w:val="22"/>
        </w:rPr>
      </w:pPr>
    </w:p>
    <w:p w14:paraId="6E8BBF8C" w14:textId="77777777" w:rsidR="00926657" w:rsidRPr="007D3840" w:rsidRDefault="00926657" w:rsidP="00926657">
      <w:pPr>
        <w:pStyle w:val="xmsonospacing"/>
        <w:spacing w:before="0" w:beforeAutospacing="0" w:after="0" w:afterAutospacing="0" w:line="276" w:lineRule="auto"/>
        <w:ind w:firstLine="708"/>
        <w:jc w:val="both"/>
        <w:rPr>
          <w:rFonts w:ascii="Geomanist Light" w:hAnsi="Geomanist Light" w:cs="Arial"/>
          <w:b/>
          <w:bCs/>
          <w:color w:val="000000"/>
          <w:sz w:val="22"/>
          <w:szCs w:val="22"/>
          <w:bdr w:val="none" w:sz="0" w:space="0" w:color="auto" w:frame="1"/>
          <w:shd w:val="clear" w:color="auto" w:fill="FFFFFF"/>
        </w:rPr>
      </w:pPr>
      <w:r w:rsidRPr="007D3840">
        <w:rPr>
          <w:rFonts w:ascii="Geomanist Light" w:hAnsi="Geomanist Light" w:cs="Arial"/>
          <w:b/>
          <w:bCs/>
          <w:i/>
          <w:iCs/>
          <w:color w:val="000000"/>
          <w:sz w:val="22"/>
          <w:szCs w:val="22"/>
          <w:bdr w:val="none" w:sz="0" w:space="0" w:color="auto" w:frame="1"/>
          <w:shd w:val="clear" w:color="auto" w:fill="FFFFFF"/>
        </w:rPr>
        <w:t>2.2.1.</w:t>
      </w:r>
      <w:r w:rsidRPr="007D3840">
        <w:rPr>
          <w:rFonts w:ascii="Geomanist Light" w:hAnsi="Geomanist Light" w:cs="Arial"/>
          <w:b/>
          <w:bCs/>
          <w:color w:val="000000"/>
          <w:sz w:val="22"/>
          <w:szCs w:val="22"/>
          <w:bdr w:val="none" w:sz="0" w:space="0" w:color="auto" w:frame="1"/>
          <w:shd w:val="clear" w:color="auto" w:fill="FFFFFF"/>
        </w:rPr>
        <w:t xml:space="preserve">  Pliego de condiciones electrónico en el módulo de subasta inversa</w:t>
      </w:r>
    </w:p>
    <w:p w14:paraId="0240517A" w14:textId="77777777" w:rsidR="00926657" w:rsidRPr="007D3840" w:rsidRDefault="00926657" w:rsidP="00926657">
      <w:pPr>
        <w:pStyle w:val="xmsonospacing"/>
        <w:spacing w:before="120" w:beforeAutospacing="0" w:after="0" w:afterAutospacing="0"/>
        <w:jc w:val="both"/>
        <w:rPr>
          <w:rFonts w:ascii="Geomanist Light" w:hAnsi="Geomanist Light"/>
          <w:b/>
          <w:bCs/>
          <w:color w:val="000000"/>
          <w:sz w:val="6"/>
          <w:szCs w:val="6"/>
          <w:bdr w:val="none" w:sz="0" w:space="0" w:color="auto" w:frame="1"/>
          <w:shd w:val="clear" w:color="auto" w:fill="FFFFFF"/>
        </w:rPr>
      </w:pPr>
    </w:p>
    <w:p w14:paraId="78827348" w14:textId="703D0A34" w:rsidR="00926657" w:rsidRPr="007D3840" w:rsidRDefault="00926657" w:rsidP="00926657">
      <w:pPr>
        <w:spacing w:after="120" w:line="276" w:lineRule="auto"/>
        <w:jc w:val="both"/>
        <w:rPr>
          <w:rFonts w:ascii="Geomanist Light" w:hAnsi="Geomanist Light" w:cs="Arial"/>
          <w:color w:val="000000" w:themeColor="text1"/>
          <w:sz w:val="22"/>
        </w:rPr>
      </w:pPr>
      <w:r w:rsidRPr="007D3840">
        <w:rPr>
          <w:rFonts w:ascii="Geomanist Light" w:hAnsi="Geomanist Light" w:cs="Arial"/>
          <w:color w:val="000000" w:themeColor="text1"/>
          <w:sz w:val="22"/>
        </w:rPr>
        <w:lastRenderedPageBreak/>
        <w:t xml:space="preserve">Para el desarrollo de procesos de contratación mediante el mecanismo de subasta inversa, el SECOP II cuenta con un módulo de subasta electrónica el cual garantiza la trazabilidad de las acciones que realizan los proponentes mediante el control sobre sus lances y la generación de un informe al detalle del desarrollo de esta. Además, dispone de la herramienta de </w:t>
      </w:r>
      <w:r w:rsidRPr="007D3840">
        <w:rPr>
          <w:rFonts w:ascii="Geomanist Light" w:hAnsi="Geomanist Light" w:cs="Arial"/>
          <w:i/>
          <w:iCs/>
          <w:color w:val="000000" w:themeColor="text1"/>
          <w:sz w:val="22"/>
        </w:rPr>
        <w:t>Chat</w:t>
      </w:r>
      <w:r w:rsidRPr="007D3840">
        <w:rPr>
          <w:rFonts w:ascii="Geomanist Light" w:hAnsi="Geomanist Light" w:cs="Arial"/>
          <w:color w:val="000000" w:themeColor="text1"/>
          <w:sz w:val="22"/>
        </w:rPr>
        <w:t xml:space="preserve"> la cual permite la comunicación directa entre la entidad estatal y los proveedores durante el desarrollo del evento de subasta.</w:t>
      </w:r>
    </w:p>
    <w:p w14:paraId="12B14BB4" w14:textId="6411563F" w:rsidR="00926657" w:rsidRPr="007D3840" w:rsidRDefault="00926657" w:rsidP="0053437F">
      <w:pPr>
        <w:spacing w:line="276" w:lineRule="auto"/>
        <w:ind w:firstLine="709"/>
        <w:jc w:val="both"/>
        <w:rPr>
          <w:rFonts w:ascii="Geomanist Light" w:hAnsi="Geomanist Light" w:cs="Arial"/>
          <w:sz w:val="22"/>
          <w:szCs w:val="22"/>
        </w:rPr>
      </w:pPr>
      <w:r w:rsidRPr="007D3840">
        <w:rPr>
          <w:rFonts w:ascii="Geomanist Light" w:hAnsi="Geomanist Light" w:cs="Arial"/>
          <w:color w:val="000000" w:themeColor="text1"/>
          <w:sz w:val="22"/>
          <w:lang w:eastAsia="es-CO"/>
        </w:rPr>
        <w:t xml:space="preserve">Para el desarrollo de un proceso mediante el referido módulo, corresponde a la entidad estatal, en el marco de la configuración del proyecto de pliego electrónico de condiciones, estipular una fecha estimada para la presentación de ofertas. Sin embargo, una vez termine el plazo para recibir observaciones y la entidad haya contestado todas las observaciones recibidas debe hacer uso de la opción </w:t>
      </w:r>
      <w:r w:rsidRPr="007D3840">
        <w:rPr>
          <w:rFonts w:ascii="Geomanist Light" w:hAnsi="Geomanist Light" w:cs="Arial"/>
          <w:i/>
          <w:iCs/>
          <w:color w:val="000000" w:themeColor="text1"/>
          <w:sz w:val="22"/>
          <w:lang w:eastAsia="es-CO"/>
        </w:rPr>
        <w:t>«finalizar la etapa de planeación»</w:t>
      </w:r>
      <w:r w:rsidRPr="007D3840">
        <w:rPr>
          <w:rFonts w:ascii="Geomanist Light" w:hAnsi="Geomanist Light" w:cs="Arial"/>
          <w:color w:val="000000" w:themeColor="text1"/>
          <w:sz w:val="22"/>
          <w:lang w:eastAsia="es-CO"/>
        </w:rPr>
        <w:t xml:space="preserve"> para que la plataforma permita la edición del pliego electrónico de condiciones definitivo y dar apertura a la fase de presentación de ofertas. Una vez la entidad estatal publica el pliego definitivo, la plataforma les permite a los proveedores interesados realizar sus ofrecimientos en línea. De esta manera, cuando se cumpla la fecha y hora límite para presentación de ofertas, SECOP II permitirá abrir las ofertas y realizar la evaluación correspondiente. </w:t>
      </w:r>
    </w:p>
    <w:p w14:paraId="36B1F456" w14:textId="77777777" w:rsidR="00926657" w:rsidRPr="007D3840" w:rsidRDefault="00926657" w:rsidP="00926657">
      <w:pPr>
        <w:rPr>
          <w:rFonts w:ascii="Geomanist Light" w:hAnsi="Geomanist Light"/>
        </w:rPr>
      </w:pPr>
    </w:p>
    <w:p w14:paraId="63F746B4" w14:textId="77777777" w:rsidR="00926657" w:rsidRPr="007D3840" w:rsidRDefault="00926657" w:rsidP="00926657">
      <w:pPr>
        <w:spacing w:line="276" w:lineRule="auto"/>
        <w:jc w:val="both"/>
        <w:rPr>
          <w:rFonts w:ascii="Geomanist Light" w:eastAsia="Calibri" w:hAnsi="Geomanist Light" w:cs="Arial"/>
          <w:b/>
          <w:bCs/>
          <w:sz w:val="22"/>
        </w:rPr>
      </w:pPr>
      <w:r w:rsidRPr="007D3840">
        <w:rPr>
          <w:rFonts w:ascii="Geomanist Light" w:eastAsia="Calibri" w:hAnsi="Geomanist Light" w:cs="Arial"/>
          <w:b/>
          <w:bCs/>
          <w:sz w:val="22"/>
        </w:rPr>
        <w:t xml:space="preserve">2.3. Régimen de la modificación del pliego de condiciones </w:t>
      </w:r>
    </w:p>
    <w:p w14:paraId="206061D3" w14:textId="77777777" w:rsidR="00926657" w:rsidRPr="007D3840" w:rsidRDefault="00926657" w:rsidP="00926657">
      <w:pPr>
        <w:spacing w:line="276" w:lineRule="auto"/>
        <w:jc w:val="both"/>
        <w:rPr>
          <w:rFonts w:ascii="Geomanist Light" w:eastAsia="Calibri" w:hAnsi="Geomanist Light" w:cs="Arial"/>
          <w:b/>
          <w:bCs/>
          <w:sz w:val="22"/>
        </w:rPr>
      </w:pPr>
    </w:p>
    <w:p w14:paraId="2C95ADDA" w14:textId="77777777" w:rsidR="00926657" w:rsidRPr="007D3840" w:rsidRDefault="00926657" w:rsidP="00926657">
      <w:pPr>
        <w:pStyle w:val="Textoindependiente"/>
        <w:spacing w:after="120" w:line="276" w:lineRule="auto"/>
        <w:ind w:right="108"/>
        <w:jc w:val="both"/>
        <w:rPr>
          <w:rFonts w:ascii="Geomanist Light" w:hAnsi="Geomanist Light"/>
          <w:sz w:val="22"/>
          <w:szCs w:val="22"/>
        </w:rPr>
      </w:pPr>
      <w:r w:rsidRPr="007D3840">
        <w:rPr>
          <w:rFonts w:ascii="Geomanist Light" w:hAnsi="Geomanist Light"/>
          <w:sz w:val="22"/>
          <w:szCs w:val="22"/>
        </w:rPr>
        <w:t xml:space="preserve">Conforme a lo explicado </w:t>
      </w:r>
      <w:r w:rsidRPr="007D3840">
        <w:rPr>
          <w:rFonts w:ascii="Geomanist Light" w:hAnsi="Geomanist Light"/>
          <w:i/>
          <w:iCs/>
          <w:sz w:val="22"/>
          <w:szCs w:val="22"/>
        </w:rPr>
        <w:t>supra</w:t>
      </w:r>
      <w:r w:rsidRPr="007D3840">
        <w:rPr>
          <w:rFonts w:ascii="Geomanist Light" w:hAnsi="Geomanist Light"/>
          <w:sz w:val="22"/>
          <w:szCs w:val="22"/>
        </w:rPr>
        <w:t>, el pliego de condiciones es la hoja de ruta o plan</w:t>
      </w:r>
      <w:r w:rsidRPr="007D3840">
        <w:rPr>
          <w:rStyle w:val="Refdenotaalpie"/>
          <w:rFonts w:ascii="Geomanist Light" w:hAnsi="Geomanist Light"/>
          <w:sz w:val="22"/>
          <w:szCs w:val="22"/>
        </w:rPr>
        <w:footnoteReference w:id="8"/>
      </w:r>
      <w:r w:rsidRPr="007D3840">
        <w:rPr>
          <w:rFonts w:ascii="Geomanist Light" w:hAnsi="Geomanist Light"/>
          <w:sz w:val="22"/>
          <w:szCs w:val="22"/>
        </w:rPr>
        <w:t xml:space="preserve">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7D3840">
        <w:rPr>
          <w:rStyle w:val="Refdenotaalpie"/>
          <w:rFonts w:ascii="Geomanist Light" w:hAnsi="Geomanist Light"/>
          <w:sz w:val="22"/>
          <w:szCs w:val="22"/>
        </w:rPr>
        <w:footnoteReference w:id="9"/>
      </w:r>
      <w:r w:rsidRPr="007D3840">
        <w:rPr>
          <w:rFonts w:ascii="Geomanist Light" w:hAnsi="Geomanist Light"/>
          <w:sz w:val="22"/>
          <w:szCs w:val="22"/>
        </w:rPr>
        <w:t>.</w:t>
      </w:r>
    </w:p>
    <w:p w14:paraId="053B41A4" w14:textId="77777777" w:rsidR="00926657" w:rsidRPr="007D3840" w:rsidRDefault="00926657" w:rsidP="00926657">
      <w:pPr>
        <w:pStyle w:val="Textoindependiente"/>
        <w:spacing w:after="120" w:line="276" w:lineRule="auto"/>
        <w:ind w:right="108" w:firstLine="709"/>
        <w:jc w:val="both"/>
        <w:rPr>
          <w:rFonts w:ascii="Geomanist Light" w:hAnsi="Geomanist Light"/>
          <w:sz w:val="22"/>
          <w:szCs w:val="22"/>
        </w:rPr>
      </w:pPr>
      <w:r w:rsidRPr="007D3840">
        <w:rPr>
          <w:rFonts w:ascii="Geomanist Light" w:hAnsi="Geomanist Light"/>
          <w:sz w:val="22"/>
          <w:szCs w:val="22"/>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7D3840">
        <w:rPr>
          <w:rFonts w:ascii="Geomanist Light" w:hAnsi="Geomanist Light"/>
          <w:i/>
          <w:iCs/>
          <w:sz w:val="22"/>
          <w:szCs w:val="22"/>
        </w:rPr>
        <w:t>iter</w:t>
      </w:r>
      <w:r w:rsidRPr="007D3840">
        <w:rPr>
          <w:rFonts w:ascii="Geomanist Light" w:hAnsi="Geomanist Light"/>
          <w:sz w:val="22"/>
          <w:szCs w:val="22"/>
        </w:rPr>
        <w:t xml:space="preserve"> contractual. Las entidades estatales, en virtud de la autonomía de la voluntad y de la amplia discrecionalidad que se les reconoce, tienen la facultad de configurar las reglas y exigencias de los pliegos de condiciones de manera libre, dentro de los parámetros y límites de la ley, con fundamento en los estudios realizados en la fase de planeación</w:t>
      </w:r>
      <w:r w:rsidRPr="007D3840">
        <w:rPr>
          <w:rStyle w:val="Refdenotaalpie"/>
          <w:rFonts w:ascii="Geomanist Light" w:hAnsi="Geomanist Light"/>
          <w:sz w:val="22"/>
          <w:szCs w:val="22"/>
        </w:rPr>
        <w:footnoteReference w:id="10"/>
      </w:r>
      <w:r w:rsidRPr="007D3840">
        <w:rPr>
          <w:rFonts w:ascii="Geomanist Light" w:hAnsi="Geomanist Light"/>
          <w:sz w:val="22"/>
          <w:szCs w:val="22"/>
        </w:rPr>
        <w:t xml:space="preserve">. Además, </w:t>
      </w:r>
      <w:r w:rsidRPr="007D3840">
        <w:rPr>
          <w:rFonts w:ascii="Geomanist Light" w:hAnsi="Geomanist Light"/>
          <w:sz w:val="22"/>
          <w:szCs w:val="22"/>
        </w:rPr>
        <w:lastRenderedPageBreak/>
        <w:t>tienen la carga de elaborarlos de manera idónea, objetiva, clara, precisa y completa, tal como se deduce de la disposición citada.</w:t>
      </w:r>
    </w:p>
    <w:p w14:paraId="4D51E1F5" w14:textId="77777777" w:rsidR="00926657" w:rsidRPr="007D3840" w:rsidRDefault="00926657" w:rsidP="00926657">
      <w:pPr>
        <w:pStyle w:val="Textoindependiente"/>
        <w:spacing w:after="120" w:line="276" w:lineRule="auto"/>
        <w:ind w:left="120" w:right="103" w:firstLine="600"/>
        <w:jc w:val="both"/>
        <w:rPr>
          <w:rFonts w:ascii="Geomanist Light" w:hAnsi="Geomanist Light"/>
          <w:sz w:val="22"/>
          <w:szCs w:val="22"/>
        </w:rPr>
      </w:pPr>
      <w:r w:rsidRPr="007D3840">
        <w:rPr>
          <w:rFonts w:ascii="Geomanist Light" w:hAnsi="Geomanist Light"/>
          <w:sz w:val="22"/>
          <w:szCs w:val="22"/>
        </w:rPr>
        <w:t>Debe señalarse que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7D3840">
        <w:rPr>
          <w:rFonts w:ascii="Geomanist Light" w:hAnsi="Geomanist Light"/>
          <w:spacing w:val="-6"/>
          <w:sz w:val="22"/>
          <w:szCs w:val="22"/>
        </w:rPr>
        <w:t xml:space="preserve"> </w:t>
      </w:r>
      <w:r w:rsidRPr="007D3840">
        <w:rPr>
          <w:rFonts w:ascii="Geomanist Light" w:hAnsi="Geomanist Light"/>
          <w:sz w:val="22"/>
          <w:szCs w:val="22"/>
        </w:rPr>
        <w:t>proceso, de manera que, pese a la planeación previa y el cumplimiento de las disposiciones normativas aplicables, es posible que sea necesario modificar el pliego de condiciones, como se explicará.</w:t>
      </w:r>
    </w:p>
    <w:p w14:paraId="59564261" w14:textId="77777777" w:rsidR="00926657" w:rsidRPr="007D3840" w:rsidRDefault="00926657" w:rsidP="00926657">
      <w:pPr>
        <w:pStyle w:val="Textoindependiente"/>
        <w:spacing w:after="120" w:line="276" w:lineRule="auto"/>
        <w:ind w:right="107" w:firstLine="708"/>
        <w:jc w:val="both"/>
        <w:rPr>
          <w:rFonts w:ascii="Geomanist Light" w:hAnsi="Geomanist Light"/>
          <w:i/>
          <w:sz w:val="22"/>
          <w:szCs w:val="22"/>
        </w:rPr>
      </w:pPr>
      <w:r w:rsidRPr="007D3840">
        <w:rPr>
          <w:rFonts w:ascii="Geomanist Light" w:hAnsi="Geomanist Light"/>
          <w:sz w:val="22"/>
          <w:szCs w:val="22"/>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por regla general, mediante </w:t>
      </w:r>
      <w:r w:rsidRPr="007D3840">
        <w:rPr>
          <w:rFonts w:ascii="Geomanist Light" w:hAnsi="Geomanist Light"/>
          <w:i/>
          <w:iCs/>
          <w:sz w:val="22"/>
          <w:szCs w:val="22"/>
        </w:rPr>
        <w:t>adendas</w:t>
      </w:r>
      <w:r w:rsidRPr="007D3840">
        <w:rPr>
          <w:rFonts w:ascii="Geomanist Light" w:hAnsi="Geomanist Light"/>
          <w:i/>
          <w:sz w:val="22"/>
          <w:szCs w:val="22"/>
        </w:rPr>
        <w:t xml:space="preserve">. </w:t>
      </w:r>
    </w:p>
    <w:p w14:paraId="5D3D5CED" w14:textId="341A9EFE" w:rsidR="00926657" w:rsidRPr="007D3840" w:rsidRDefault="00926657" w:rsidP="00922D33">
      <w:pPr>
        <w:pStyle w:val="Textoindependiente"/>
        <w:spacing w:line="276" w:lineRule="auto"/>
        <w:ind w:right="107" w:firstLine="708"/>
        <w:jc w:val="both"/>
        <w:rPr>
          <w:rFonts w:ascii="Geomanist Light" w:hAnsi="Geomanist Light"/>
          <w:sz w:val="22"/>
          <w:szCs w:val="22"/>
        </w:rPr>
      </w:pPr>
      <w:r w:rsidRPr="007D3840">
        <w:rPr>
          <w:rFonts w:ascii="Geomanist Light" w:hAnsi="Geomanist Light"/>
          <w:iCs/>
          <w:sz w:val="22"/>
          <w:szCs w:val="22"/>
        </w:rPr>
        <w:t>Sin perjuicio de lo anterior,</w:t>
      </w:r>
      <w:r w:rsidRPr="007D3840">
        <w:rPr>
          <w:rFonts w:ascii="Geomanist Light" w:hAnsi="Geomanist Light"/>
          <w:i/>
          <w:sz w:val="22"/>
          <w:szCs w:val="22"/>
        </w:rPr>
        <w:t xml:space="preserve"> </w:t>
      </w:r>
      <w:r w:rsidRPr="007D3840">
        <w:rPr>
          <w:rFonts w:ascii="Geomanist Light" w:hAnsi="Geomanist Light"/>
          <w:sz w:val="22"/>
          <w:szCs w:val="22"/>
        </w:rPr>
        <w:t>como lo ha reconocido la jurisprudencia del Consejo de Estado, dichas modificaciones pueden realizarse por medio de cualquier otro documento que contenga</w:t>
      </w:r>
      <w:r w:rsidRPr="007D3840">
        <w:rPr>
          <w:rFonts w:ascii="Geomanist Light" w:hAnsi="Geomanist Light"/>
          <w:spacing w:val="26"/>
          <w:sz w:val="22"/>
          <w:szCs w:val="22"/>
        </w:rPr>
        <w:t xml:space="preserve"> </w:t>
      </w:r>
      <w:r w:rsidRPr="007D3840">
        <w:rPr>
          <w:rFonts w:ascii="Geomanist Light" w:hAnsi="Geomanist Light"/>
          <w:sz w:val="22"/>
          <w:szCs w:val="22"/>
        </w:rPr>
        <w:t>la</w:t>
      </w:r>
      <w:r w:rsidRPr="007D3840">
        <w:rPr>
          <w:rFonts w:ascii="Geomanist Light" w:hAnsi="Geomanist Light"/>
          <w:spacing w:val="27"/>
          <w:sz w:val="22"/>
          <w:szCs w:val="22"/>
        </w:rPr>
        <w:t xml:space="preserve"> </w:t>
      </w:r>
      <w:r w:rsidRPr="007D3840">
        <w:rPr>
          <w:rFonts w:ascii="Geomanist Light" w:hAnsi="Geomanist Light"/>
          <w:sz w:val="22"/>
          <w:szCs w:val="22"/>
        </w:rPr>
        <w:t>manifestación</w:t>
      </w:r>
      <w:r w:rsidRPr="007D3840">
        <w:rPr>
          <w:rFonts w:ascii="Geomanist Light" w:hAnsi="Geomanist Light"/>
          <w:spacing w:val="26"/>
          <w:sz w:val="22"/>
          <w:szCs w:val="22"/>
        </w:rPr>
        <w:t xml:space="preserve"> </w:t>
      </w:r>
      <w:r w:rsidRPr="007D3840">
        <w:rPr>
          <w:rFonts w:ascii="Geomanist Light" w:hAnsi="Geomanist Light"/>
          <w:sz w:val="22"/>
          <w:szCs w:val="22"/>
        </w:rPr>
        <w:t>de</w:t>
      </w:r>
      <w:r w:rsidRPr="007D3840">
        <w:rPr>
          <w:rFonts w:ascii="Geomanist Light" w:hAnsi="Geomanist Light"/>
          <w:spacing w:val="27"/>
          <w:sz w:val="22"/>
          <w:szCs w:val="22"/>
        </w:rPr>
        <w:t xml:space="preserve"> </w:t>
      </w:r>
      <w:r w:rsidRPr="007D3840">
        <w:rPr>
          <w:rFonts w:ascii="Geomanist Light" w:hAnsi="Geomanist Light"/>
          <w:sz w:val="22"/>
          <w:szCs w:val="22"/>
        </w:rPr>
        <w:t>voluntad</w:t>
      </w:r>
      <w:r w:rsidRPr="007D3840">
        <w:rPr>
          <w:rFonts w:ascii="Geomanist Light" w:hAnsi="Geomanist Light"/>
          <w:spacing w:val="27"/>
          <w:sz w:val="22"/>
          <w:szCs w:val="22"/>
        </w:rPr>
        <w:t xml:space="preserve"> </w:t>
      </w:r>
      <w:r w:rsidRPr="007D3840">
        <w:rPr>
          <w:rFonts w:ascii="Geomanist Light" w:hAnsi="Geomanist Light"/>
          <w:sz w:val="22"/>
          <w:szCs w:val="22"/>
        </w:rPr>
        <w:t>de</w:t>
      </w:r>
      <w:r w:rsidRPr="007D3840">
        <w:rPr>
          <w:rFonts w:ascii="Geomanist Light" w:hAnsi="Geomanist Light"/>
          <w:spacing w:val="26"/>
          <w:sz w:val="22"/>
          <w:szCs w:val="22"/>
        </w:rPr>
        <w:t xml:space="preserve"> </w:t>
      </w:r>
      <w:r w:rsidRPr="007D3840">
        <w:rPr>
          <w:rFonts w:ascii="Geomanist Light" w:hAnsi="Geomanist Light"/>
          <w:sz w:val="22"/>
          <w:szCs w:val="22"/>
        </w:rPr>
        <w:t>la</w:t>
      </w:r>
      <w:r w:rsidRPr="007D3840">
        <w:rPr>
          <w:rFonts w:ascii="Geomanist Light" w:hAnsi="Geomanist Light"/>
          <w:spacing w:val="27"/>
          <w:sz w:val="22"/>
          <w:szCs w:val="22"/>
        </w:rPr>
        <w:t xml:space="preserve"> </w:t>
      </w:r>
      <w:r w:rsidRPr="007D3840">
        <w:rPr>
          <w:rFonts w:ascii="Geomanist Light" w:hAnsi="Geomanist Light"/>
          <w:sz w:val="22"/>
          <w:szCs w:val="22"/>
        </w:rPr>
        <w:t>entidad</w:t>
      </w:r>
      <w:r w:rsidRPr="007D3840">
        <w:rPr>
          <w:rFonts w:ascii="Geomanist Light" w:hAnsi="Geomanist Light"/>
          <w:spacing w:val="27"/>
          <w:sz w:val="22"/>
          <w:szCs w:val="22"/>
        </w:rPr>
        <w:t xml:space="preserve"> </w:t>
      </w:r>
      <w:r w:rsidRPr="007D3840">
        <w:rPr>
          <w:rFonts w:ascii="Geomanist Light" w:hAnsi="Geomanist Light"/>
          <w:sz w:val="22"/>
          <w:szCs w:val="22"/>
        </w:rPr>
        <w:t>de</w:t>
      </w:r>
      <w:r w:rsidRPr="007D3840">
        <w:rPr>
          <w:rFonts w:ascii="Geomanist Light" w:hAnsi="Geomanist Light"/>
          <w:spacing w:val="26"/>
          <w:sz w:val="22"/>
          <w:szCs w:val="22"/>
        </w:rPr>
        <w:t xml:space="preserve"> </w:t>
      </w:r>
      <w:r w:rsidRPr="007D3840">
        <w:rPr>
          <w:rFonts w:ascii="Geomanist Light" w:hAnsi="Geomanist Light"/>
          <w:sz w:val="22"/>
          <w:szCs w:val="22"/>
        </w:rPr>
        <w:t>aclarar,</w:t>
      </w:r>
      <w:r w:rsidRPr="007D3840">
        <w:rPr>
          <w:rFonts w:ascii="Geomanist Light" w:hAnsi="Geomanist Light"/>
          <w:spacing w:val="25"/>
          <w:sz w:val="22"/>
          <w:szCs w:val="22"/>
        </w:rPr>
        <w:t xml:space="preserve"> </w:t>
      </w:r>
      <w:r w:rsidRPr="007D3840">
        <w:rPr>
          <w:rFonts w:ascii="Geomanist Light" w:hAnsi="Geomanist Light"/>
          <w:sz w:val="22"/>
          <w:szCs w:val="22"/>
        </w:rPr>
        <w:t>añadir,</w:t>
      </w:r>
      <w:r w:rsidRPr="007D3840">
        <w:rPr>
          <w:rFonts w:ascii="Geomanist Light" w:hAnsi="Geomanist Light"/>
          <w:spacing w:val="25"/>
          <w:sz w:val="22"/>
          <w:szCs w:val="22"/>
        </w:rPr>
        <w:t xml:space="preserve"> </w:t>
      </w:r>
      <w:r w:rsidRPr="007D3840">
        <w:rPr>
          <w:rFonts w:ascii="Geomanist Light" w:hAnsi="Geomanist Light"/>
          <w:sz w:val="22"/>
          <w:szCs w:val="22"/>
        </w:rPr>
        <w:t xml:space="preserve">adicionar, reemplazar o cambiar un aspecto o condición incluida en los documentos del procedimiento de contratación, con independencia de que dicho documento sea titulado o rotulado como </w:t>
      </w:r>
      <w:r w:rsidRPr="007D3840">
        <w:rPr>
          <w:rFonts w:ascii="Geomanist Light" w:hAnsi="Geomanist Light"/>
          <w:i/>
          <w:iCs/>
          <w:sz w:val="22"/>
          <w:szCs w:val="22"/>
        </w:rPr>
        <w:t>adenda</w:t>
      </w:r>
      <w:r w:rsidRPr="007D3840">
        <w:rPr>
          <w:rFonts w:ascii="Geomanist Light" w:hAnsi="Geomanist Light"/>
          <w:sz w:val="22"/>
          <w:szCs w:val="22"/>
        </w:rPr>
        <w:t xml:space="preserve">. En este sentido, en la sentencia del 16 de septiembre de 2013 se expresó lo siguiente, que por su importancia se transcribe </w:t>
      </w:r>
      <w:r w:rsidRPr="007D3840">
        <w:rPr>
          <w:rFonts w:ascii="Geomanist Light" w:hAnsi="Geomanist Light"/>
          <w:i/>
          <w:iCs/>
          <w:sz w:val="22"/>
          <w:szCs w:val="22"/>
        </w:rPr>
        <w:t>in</w:t>
      </w:r>
      <w:r w:rsidR="00922D33" w:rsidRPr="007D3840">
        <w:rPr>
          <w:rFonts w:ascii="Geomanist Light" w:hAnsi="Geomanist Light"/>
          <w:i/>
          <w:iCs/>
          <w:sz w:val="22"/>
          <w:szCs w:val="22"/>
        </w:rPr>
        <w:t xml:space="preserve"> </w:t>
      </w:r>
      <w:r w:rsidRPr="007D3840">
        <w:rPr>
          <w:rFonts w:ascii="Geomanist Light" w:hAnsi="Geomanist Light"/>
          <w:i/>
          <w:iCs/>
          <w:sz w:val="22"/>
          <w:szCs w:val="22"/>
        </w:rPr>
        <w:t>extenso</w:t>
      </w:r>
      <w:r w:rsidRPr="007D3840">
        <w:rPr>
          <w:rFonts w:ascii="Geomanist Light" w:hAnsi="Geomanist Light"/>
          <w:sz w:val="22"/>
          <w:szCs w:val="22"/>
        </w:rPr>
        <w:t>:</w:t>
      </w:r>
    </w:p>
    <w:p w14:paraId="756D177D" w14:textId="77777777" w:rsidR="00922D33" w:rsidRPr="007D3840" w:rsidRDefault="00922D33" w:rsidP="0053437F">
      <w:pPr>
        <w:pStyle w:val="Textoindependiente"/>
        <w:spacing w:line="276" w:lineRule="auto"/>
        <w:ind w:right="107" w:firstLine="708"/>
        <w:jc w:val="both"/>
        <w:rPr>
          <w:rFonts w:ascii="Geomanist Light" w:hAnsi="Geomanist Light"/>
          <w:sz w:val="22"/>
          <w:szCs w:val="22"/>
        </w:rPr>
      </w:pPr>
    </w:p>
    <w:p w14:paraId="1622DA33" w14:textId="5ACC8E2B" w:rsidR="00926657" w:rsidRPr="007D3840" w:rsidRDefault="00926657" w:rsidP="0053437F">
      <w:pPr>
        <w:pStyle w:val="Textoindependiente"/>
        <w:spacing w:after="120"/>
        <w:ind w:left="709" w:right="709"/>
        <w:jc w:val="both"/>
        <w:rPr>
          <w:rFonts w:ascii="Geomanist Light" w:hAnsi="Geomanist Light"/>
          <w:sz w:val="21"/>
          <w:szCs w:val="21"/>
        </w:rPr>
      </w:pPr>
      <w:r w:rsidRPr="007D3840">
        <w:rPr>
          <w:rFonts w:ascii="Geomanist Light" w:hAnsi="Geomanist Light"/>
          <w:sz w:val="21"/>
          <w:szCs w:val="21"/>
        </w:rPr>
        <w:t>5.2. De la fuerza vinculante de las respuestas a las solicitudes de aclaraciones en relación con los términos de referencia.</w:t>
      </w:r>
    </w:p>
    <w:p w14:paraId="521991CB" w14:textId="77777777" w:rsidR="00926657" w:rsidRPr="007D3840" w:rsidRDefault="00926657" w:rsidP="0053437F">
      <w:pPr>
        <w:pStyle w:val="Textoindependiente"/>
        <w:spacing w:after="120"/>
        <w:ind w:left="709" w:right="709"/>
        <w:jc w:val="both"/>
        <w:rPr>
          <w:rFonts w:ascii="Geomanist Light" w:hAnsi="Geomanist Light"/>
          <w:sz w:val="21"/>
          <w:szCs w:val="21"/>
        </w:rPr>
      </w:pPr>
      <w:r w:rsidRPr="007D3840">
        <w:rPr>
          <w:rFonts w:ascii="Geomanist Light" w:hAnsi="Geomanist Light"/>
          <w:sz w:val="21"/>
          <w:szCs w:val="21"/>
        </w:rPr>
        <w:t xml:space="preserve">Ahora bien, cuando la Administración no cumple a cabalidad las cargas de claridad y precisión que deben informar la elaboración de los pliegos de condiciones o los términos de referencia, al punto que una vez publicados susciten entre los respectivos interesados en participar en el procedimiento de selección, dudas o inquietudes fundadas y reiterativas respecto de determinados ítems o elementos integrantes del mismo, la Administración está en la obligación de absolverlas con absoluta nitidez, del tal modo que zanje cualquier dualidad interpretativa que frente al mismo hubiere lugar. En tal virtud ante cualquier respuesta a una inquietud surgida del pliego de condiciones o términos de referencia que le confiera un significado definitivo y trascendente que antes de resolver el interrogante y de cara a su imprecisión no tenía, a juicio de la Sala, la Administración no puede quedar relevada de su estricta observancia pretextando que la susodicha aclaración no tiene fuerza vinculante por no estar contenida en un adendo. </w:t>
      </w:r>
    </w:p>
    <w:p w14:paraId="39FB0C96" w14:textId="77777777" w:rsidR="00926657" w:rsidRPr="007D3840" w:rsidRDefault="00926657" w:rsidP="0053437F">
      <w:pPr>
        <w:pStyle w:val="Textoindependiente"/>
        <w:spacing w:after="120"/>
        <w:ind w:left="709" w:right="709"/>
        <w:jc w:val="both"/>
        <w:rPr>
          <w:rFonts w:ascii="Geomanist Light" w:hAnsi="Geomanist Light"/>
          <w:sz w:val="21"/>
          <w:szCs w:val="21"/>
        </w:rPr>
      </w:pPr>
      <w:r w:rsidRPr="007D3840">
        <w:rPr>
          <w:rFonts w:ascii="Geomanist Light" w:hAnsi="Geomanist Light"/>
          <w:sz w:val="21"/>
          <w:szCs w:val="21"/>
        </w:rPr>
        <w:t>A propósito de la formalidad del adendo a la que alude la parte demandada apelante, sea esta la oportunidad para precisar que si bien normativamente se ha establecido que cualquier modificación al pliego de condiciones o términos de referencia está llamada a implementarse a través de adendos , lo cierto es que la norma no estableció algún tipo de exigencia formal para su expedición.</w:t>
      </w:r>
    </w:p>
    <w:p w14:paraId="6F1EA949" w14:textId="77777777" w:rsidR="00926657" w:rsidRPr="007D3840" w:rsidRDefault="00926657" w:rsidP="0053437F">
      <w:pPr>
        <w:pStyle w:val="Textoindependiente"/>
        <w:spacing w:after="120"/>
        <w:ind w:left="709" w:right="709"/>
        <w:jc w:val="both"/>
        <w:rPr>
          <w:rFonts w:ascii="Geomanist Light" w:hAnsi="Geomanist Light"/>
          <w:sz w:val="21"/>
          <w:szCs w:val="21"/>
        </w:rPr>
      </w:pPr>
      <w:r w:rsidRPr="007D3840">
        <w:rPr>
          <w:rFonts w:ascii="Geomanist Light" w:hAnsi="Geomanist Light"/>
          <w:sz w:val="21"/>
          <w:szCs w:val="21"/>
        </w:rPr>
        <w:lastRenderedPageBreak/>
        <w:t>Una vez consultado el significado literal de la palabra adendo se encuentra que corresponde a un “Conjunto de textos que se añaden a una obra escrita ya terminada o a una de sus partes para completarla y actualizarla.”  De ahí que constituirá un adendo, todo lo que adicione, agregue o complete el texto inicial, es decir que contenga una previsión que el documento original no tenía.</w:t>
      </w:r>
    </w:p>
    <w:p w14:paraId="06514AB6" w14:textId="77777777" w:rsidR="00926657" w:rsidRPr="007D3840" w:rsidRDefault="00926657" w:rsidP="0053437F">
      <w:pPr>
        <w:pStyle w:val="Textoindependiente"/>
        <w:spacing w:after="120"/>
        <w:ind w:left="709" w:right="709"/>
        <w:jc w:val="both"/>
        <w:rPr>
          <w:rFonts w:ascii="Geomanist Light" w:hAnsi="Geomanist Light"/>
          <w:sz w:val="21"/>
          <w:szCs w:val="21"/>
        </w:rPr>
      </w:pPr>
      <w:r w:rsidRPr="007D3840">
        <w:rPr>
          <w:rFonts w:ascii="Geomanist Light" w:hAnsi="Geomanist Light"/>
          <w:sz w:val="21"/>
          <w:szCs w:val="21"/>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77ABDEE3" w14:textId="2D598086" w:rsidR="00926657" w:rsidRPr="007D3840" w:rsidRDefault="00926657" w:rsidP="0053437F">
      <w:pPr>
        <w:pStyle w:val="Textoindependiente"/>
        <w:ind w:left="709" w:right="709"/>
        <w:jc w:val="both"/>
        <w:rPr>
          <w:rFonts w:ascii="Geomanist Light" w:hAnsi="Geomanist Light"/>
          <w:sz w:val="21"/>
          <w:szCs w:val="21"/>
        </w:rPr>
      </w:pPr>
      <w:r w:rsidRPr="007D3840">
        <w:rPr>
          <w:rFonts w:ascii="Geomanist Light" w:hAnsi="Geomanist Light"/>
          <w:sz w:val="21"/>
          <w:szCs w:val="21"/>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r w:rsidRPr="007D3840">
        <w:rPr>
          <w:rStyle w:val="Refdenotaalpie"/>
          <w:rFonts w:ascii="Geomanist Light" w:hAnsi="Geomanist Light"/>
          <w:sz w:val="21"/>
          <w:szCs w:val="21"/>
        </w:rPr>
        <w:footnoteReference w:id="11"/>
      </w:r>
      <w:r w:rsidRPr="007D3840">
        <w:rPr>
          <w:rFonts w:ascii="Geomanist Light" w:hAnsi="Geomanist Light"/>
          <w:sz w:val="21"/>
          <w:szCs w:val="21"/>
        </w:rPr>
        <w:t>.</w:t>
      </w:r>
    </w:p>
    <w:p w14:paraId="1792A234" w14:textId="77777777" w:rsidR="00926657" w:rsidRPr="007D3840" w:rsidRDefault="00926657" w:rsidP="00926657">
      <w:pPr>
        <w:pStyle w:val="Textoindependiente"/>
        <w:spacing w:line="276" w:lineRule="auto"/>
        <w:ind w:right="107" w:firstLine="708"/>
        <w:jc w:val="both"/>
        <w:rPr>
          <w:rFonts w:ascii="Geomanist Light" w:hAnsi="Geomanist Light"/>
          <w:sz w:val="22"/>
          <w:szCs w:val="22"/>
        </w:rPr>
      </w:pPr>
    </w:p>
    <w:p w14:paraId="6F65628E" w14:textId="77777777" w:rsidR="00926657" w:rsidRPr="007D3840" w:rsidRDefault="00926657" w:rsidP="00926657">
      <w:pPr>
        <w:pStyle w:val="Textoindependiente"/>
        <w:spacing w:after="120" w:line="276" w:lineRule="auto"/>
        <w:ind w:right="107" w:firstLine="708"/>
        <w:jc w:val="both"/>
        <w:rPr>
          <w:rFonts w:ascii="Geomanist Light" w:hAnsi="Geomanist Light"/>
          <w:sz w:val="22"/>
          <w:szCs w:val="22"/>
        </w:rPr>
      </w:pPr>
      <w:r w:rsidRPr="007D3840">
        <w:rPr>
          <w:rFonts w:ascii="Geomanist Light" w:hAnsi="Geomanist Light"/>
          <w:sz w:val="22"/>
          <w:szCs w:val="22"/>
        </w:rPr>
        <w:t>Sin perjuicio de las consideraciones anteriores, resulta importante citar el artículo 30, numeral 5, de la Ley 80 de 1993, en relación con la posibilidad de modificar el pliego de condiciones, que dispone:</w:t>
      </w:r>
    </w:p>
    <w:p w14:paraId="1F82CE3C" w14:textId="68BD16F0" w:rsidR="00926657" w:rsidRPr="007D3840" w:rsidRDefault="00926657" w:rsidP="00926657">
      <w:pPr>
        <w:pStyle w:val="Textoindependiente"/>
        <w:spacing w:after="120"/>
        <w:ind w:left="709" w:right="646"/>
        <w:jc w:val="both"/>
        <w:rPr>
          <w:rFonts w:ascii="Geomanist Light" w:hAnsi="Geomanist Light"/>
          <w:sz w:val="21"/>
          <w:szCs w:val="21"/>
        </w:rPr>
      </w:pPr>
      <w:r w:rsidRPr="007D3840">
        <w:rPr>
          <w:rFonts w:ascii="Geomanist Light" w:hAnsi="Geomanist Light"/>
          <w:sz w:val="21"/>
          <w:szCs w:val="21"/>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782E95F5" w14:textId="5F1BFC78" w:rsidR="00926657" w:rsidRPr="007D3840" w:rsidRDefault="00926657" w:rsidP="00926657">
      <w:pPr>
        <w:pStyle w:val="Textoindependiente"/>
        <w:ind w:left="709" w:right="646"/>
        <w:jc w:val="both"/>
        <w:rPr>
          <w:rFonts w:ascii="Geomanist Light" w:hAnsi="Geomanist Light"/>
          <w:sz w:val="22"/>
          <w:szCs w:val="22"/>
        </w:rPr>
      </w:pPr>
      <w:r w:rsidRPr="007D3840">
        <w:rPr>
          <w:rFonts w:ascii="Geomanist Light" w:hAnsi="Geomanist Light"/>
          <w:sz w:val="21"/>
          <w:szCs w:val="21"/>
        </w:rPr>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2E3BC0C1" w14:textId="77777777" w:rsidR="00926657" w:rsidRPr="007D3840" w:rsidRDefault="00926657" w:rsidP="00926657">
      <w:pPr>
        <w:pStyle w:val="Textoindependiente"/>
        <w:spacing w:line="276" w:lineRule="auto"/>
        <w:ind w:right="102" w:firstLine="709"/>
        <w:jc w:val="both"/>
        <w:rPr>
          <w:rFonts w:ascii="Geomanist Light" w:hAnsi="Geomanist Light"/>
          <w:sz w:val="22"/>
          <w:szCs w:val="22"/>
        </w:rPr>
      </w:pPr>
    </w:p>
    <w:p w14:paraId="455E838E" w14:textId="77777777" w:rsidR="00926657" w:rsidRPr="007D3840" w:rsidRDefault="00926657" w:rsidP="00926657">
      <w:pPr>
        <w:pStyle w:val="Textoindependiente"/>
        <w:spacing w:line="276" w:lineRule="auto"/>
        <w:ind w:right="102" w:firstLine="709"/>
        <w:jc w:val="both"/>
        <w:rPr>
          <w:rFonts w:ascii="Geomanist Light" w:hAnsi="Geomanist Light"/>
          <w:sz w:val="22"/>
          <w:szCs w:val="22"/>
        </w:rPr>
      </w:pPr>
      <w:r w:rsidRPr="007D3840">
        <w:rPr>
          <w:rFonts w:ascii="Geomanist Light" w:hAnsi="Geomanist Light"/>
          <w:sz w:val="22"/>
          <w:szCs w:val="22"/>
        </w:rPr>
        <w:lastRenderedPageBreak/>
        <w:t>A esta norma se le da desarrollo reglamentario en el artículo 2.2.1.1.2.2.1. del Decreto 1082 de 2015, y se complementa su contenido en relación con las demás modalidades de selección. En tal sentido, dicho artículo establece</w:t>
      </w:r>
      <w:r w:rsidRPr="007D3840">
        <w:rPr>
          <w:rFonts w:ascii="Geomanist Light" w:eastAsia="Calibri" w:hAnsi="Geomanist Light"/>
          <w:sz w:val="22"/>
          <w:szCs w:val="22"/>
        </w:rPr>
        <w:t>:</w:t>
      </w:r>
      <w:r w:rsidRPr="007D3840">
        <w:rPr>
          <w:rFonts w:ascii="Calibri" w:eastAsia="Calibri" w:hAnsi="Calibri" w:cs="Calibri"/>
          <w:sz w:val="22"/>
          <w:szCs w:val="22"/>
        </w:rPr>
        <w:t>  </w:t>
      </w:r>
    </w:p>
    <w:p w14:paraId="55E9B773" w14:textId="77777777" w:rsidR="00926657" w:rsidRPr="007D3840" w:rsidRDefault="00926657" w:rsidP="00926657">
      <w:pPr>
        <w:pStyle w:val="paragraph"/>
        <w:spacing w:before="0" w:beforeAutospacing="0" w:after="0" w:afterAutospacing="0"/>
        <w:textAlignment w:val="baseline"/>
        <w:rPr>
          <w:rFonts w:ascii="Geomanist Light" w:hAnsi="Geomanist Light" w:cs="Segoe UI"/>
          <w:sz w:val="22"/>
          <w:szCs w:val="22"/>
        </w:rPr>
      </w:pPr>
      <w:r w:rsidRPr="007D3840">
        <w:rPr>
          <w:rStyle w:val="eop"/>
          <w:rFonts w:ascii="Calibri" w:hAnsi="Calibri" w:cs="Calibri"/>
          <w:sz w:val="22"/>
          <w:szCs w:val="22"/>
        </w:rPr>
        <w:t> </w:t>
      </w:r>
    </w:p>
    <w:p w14:paraId="022FA0F4" w14:textId="3C808821" w:rsidR="00926657" w:rsidRPr="007D3840" w:rsidRDefault="00926657" w:rsidP="00926657">
      <w:pPr>
        <w:pStyle w:val="paragraph"/>
        <w:spacing w:before="0" w:beforeAutospacing="0" w:after="120" w:afterAutospacing="0"/>
        <w:ind w:left="709" w:right="709"/>
        <w:textAlignment w:val="baseline"/>
        <w:rPr>
          <w:rFonts w:ascii="Geomanist Light" w:eastAsia="Calibri" w:hAnsi="Geomanist Light" w:cs="Arial"/>
          <w:sz w:val="21"/>
          <w:szCs w:val="21"/>
          <w:lang w:eastAsia="en-US"/>
        </w:rPr>
      </w:pPr>
      <w:r w:rsidRPr="007D3840">
        <w:rPr>
          <w:rFonts w:ascii="Geomanist Light" w:eastAsia="Calibri" w:hAnsi="Geomanist Light" w:cs="Arial"/>
          <w:sz w:val="21"/>
          <w:szCs w:val="21"/>
          <w:lang w:eastAsia="en-US"/>
        </w:rPr>
        <w:t>Artículo 2.2.1.1.2.2.1. Modificación de los pliegos de condiciones. La Entidad Estatal puede modificar los pliegos de condiciones a través de Adendas expedidas antes del vencimiento del plazo para presentar ofertas.</w:t>
      </w:r>
      <w:r w:rsidRPr="007D3840">
        <w:rPr>
          <w:rFonts w:ascii="Calibri" w:eastAsia="Calibri" w:hAnsi="Calibri" w:cs="Calibri"/>
          <w:sz w:val="21"/>
          <w:szCs w:val="21"/>
          <w:lang w:eastAsia="en-US"/>
        </w:rPr>
        <w:t> </w:t>
      </w:r>
    </w:p>
    <w:p w14:paraId="783E72E0" w14:textId="77777777" w:rsidR="00926657" w:rsidRPr="007D3840" w:rsidRDefault="00926657" w:rsidP="00926657">
      <w:pPr>
        <w:pStyle w:val="paragraph"/>
        <w:spacing w:before="0" w:beforeAutospacing="0" w:after="120" w:afterAutospacing="0"/>
        <w:ind w:left="709" w:right="709"/>
        <w:textAlignment w:val="baseline"/>
        <w:rPr>
          <w:rFonts w:ascii="Geomanist Light" w:eastAsia="Calibri" w:hAnsi="Geomanist Light" w:cs="Arial"/>
          <w:sz w:val="21"/>
          <w:szCs w:val="21"/>
          <w:lang w:eastAsia="en-US"/>
        </w:rPr>
      </w:pPr>
      <w:r w:rsidRPr="007D3840">
        <w:rPr>
          <w:rFonts w:ascii="Geomanist Light" w:eastAsia="Calibri" w:hAnsi="Geomanist Light" w:cs="Arial"/>
          <w:sz w:val="21"/>
          <w:szCs w:val="21"/>
          <w:lang w:eastAsia="en-US"/>
        </w:rPr>
        <w:t>La Entidad Estatal puede expedir Adendas para modificar el Cronograma una vez vencido el término para la presentación de las ofertas y antes de la adjudicación del contrato.</w:t>
      </w:r>
      <w:r w:rsidRPr="007D3840">
        <w:rPr>
          <w:rFonts w:ascii="Calibri" w:eastAsia="Calibri" w:hAnsi="Calibri" w:cs="Calibri"/>
          <w:sz w:val="21"/>
          <w:szCs w:val="21"/>
          <w:lang w:eastAsia="en-US"/>
        </w:rPr>
        <w:t> </w:t>
      </w:r>
    </w:p>
    <w:p w14:paraId="0EC9EB19" w14:textId="3106CD6D" w:rsidR="00926657" w:rsidRPr="007D3840" w:rsidRDefault="00926657" w:rsidP="00926657">
      <w:pPr>
        <w:pStyle w:val="paragraph"/>
        <w:spacing w:before="0" w:beforeAutospacing="0" w:after="0" w:afterAutospacing="0"/>
        <w:ind w:left="709" w:right="709"/>
        <w:textAlignment w:val="baseline"/>
        <w:rPr>
          <w:rFonts w:ascii="Geomanist Light" w:eastAsia="Calibri" w:hAnsi="Geomanist Light" w:cs="Arial"/>
          <w:sz w:val="22"/>
          <w:szCs w:val="22"/>
          <w:lang w:eastAsia="en-US"/>
        </w:rPr>
      </w:pPr>
      <w:r w:rsidRPr="007D3840">
        <w:rPr>
          <w:rFonts w:ascii="Geomanist Light" w:eastAsia="Calibri" w:hAnsi="Geomanist Light" w:cs="Arial"/>
          <w:sz w:val="21"/>
          <w:szCs w:val="21"/>
          <w:lang w:eastAsia="en-US"/>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7D3840">
        <w:rPr>
          <w:rFonts w:ascii="Calibri" w:eastAsia="Calibri" w:hAnsi="Calibri" w:cs="Calibri"/>
          <w:sz w:val="22"/>
          <w:szCs w:val="22"/>
          <w:lang w:eastAsia="en-US"/>
        </w:rPr>
        <w:t> </w:t>
      </w:r>
    </w:p>
    <w:p w14:paraId="734CE1E4" w14:textId="77777777" w:rsidR="00926657" w:rsidRPr="007D3840" w:rsidRDefault="00926657" w:rsidP="00926657">
      <w:pPr>
        <w:pStyle w:val="paragraph"/>
        <w:spacing w:before="0" w:beforeAutospacing="0" w:after="0" w:afterAutospacing="0"/>
        <w:textAlignment w:val="baseline"/>
        <w:rPr>
          <w:rFonts w:ascii="Geomanist Light" w:eastAsia="Calibri" w:hAnsi="Geomanist Light" w:cs="Arial"/>
          <w:sz w:val="22"/>
          <w:szCs w:val="22"/>
          <w:lang w:eastAsia="en-US"/>
        </w:rPr>
      </w:pPr>
      <w:r w:rsidRPr="007D3840">
        <w:rPr>
          <w:rFonts w:ascii="Calibri" w:eastAsia="Calibri" w:hAnsi="Calibri" w:cs="Calibri"/>
          <w:sz w:val="22"/>
          <w:szCs w:val="22"/>
          <w:lang w:eastAsia="en-US"/>
        </w:rPr>
        <w:t> </w:t>
      </w:r>
    </w:p>
    <w:p w14:paraId="6782D06D" w14:textId="77777777" w:rsidR="00926657" w:rsidRPr="007D3840" w:rsidRDefault="00926657" w:rsidP="0053437F">
      <w:pPr>
        <w:pStyle w:val="paragraph"/>
        <w:spacing w:before="0" w:beforeAutospacing="0" w:after="120" w:afterAutospacing="0" w:line="276" w:lineRule="auto"/>
        <w:ind w:firstLine="708"/>
        <w:jc w:val="both"/>
        <w:textAlignment w:val="baseline"/>
        <w:rPr>
          <w:rStyle w:val="eop"/>
          <w:rFonts w:ascii="Geomanist Light" w:hAnsi="Geomanist Light" w:cs="Arial"/>
          <w:sz w:val="22"/>
          <w:szCs w:val="22"/>
        </w:rPr>
      </w:pPr>
      <w:r w:rsidRPr="007D3840">
        <w:rPr>
          <w:rStyle w:val="eop"/>
          <w:rFonts w:ascii="Geomanist Light" w:hAnsi="Geomanist Light" w:cs="Arial"/>
          <w:sz w:val="22"/>
          <w:szCs w:val="22"/>
        </w:rPr>
        <w:t xml:space="preserve">Como se observa, tanto para la licitación pública, como para las demás modalidades de selección de contratistas, las normas legales y reglamentarias establecen la posibilidad de modificar los pliegos de condiciones mediante </w:t>
      </w:r>
      <w:r w:rsidRPr="007D3840">
        <w:rPr>
          <w:rStyle w:val="eop"/>
          <w:rFonts w:ascii="Geomanist Light" w:hAnsi="Geomanist Light" w:cs="Arial"/>
          <w:i/>
          <w:iCs/>
          <w:sz w:val="22"/>
          <w:szCs w:val="22"/>
        </w:rPr>
        <w:t>adendas</w:t>
      </w:r>
      <w:r w:rsidRPr="007D3840">
        <w:rPr>
          <w:rStyle w:val="eop"/>
          <w:rFonts w:ascii="Geomanist Light" w:hAnsi="Geomanist Light" w:cs="Arial"/>
          <w:sz w:val="22"/>
          <w:szCs w:val="22"/>
        </w:rPr>
        <w:t>. Lo anterior, sin perjuicio de que se comparta lo señalado por el Consejo de Estado, respecto a la posibilidad de que mediante respuestas a las observaciones frente al pliego de condiciones se modifique o aclare el contenido del mismo, de manera que para que se presente una modificación al pliego de condiciones no es indispensable que el título o rótulo del acto o la formalidad específica que adopte la entidad, siempre que del documento, independientemente de su denominación, se advierta con claridad la voluntad de la entidad estatal de modificar algún contenido del pliego de condiciones y que dicho documento sea dado a conocer a los interesados, como se pasa a explicar.</w:t>
      </w:r>
    </w:p>
    <w:p w14:paraId="2082D551" w14:textId="77777777" w:rsidR="00926657" w:rsidRPr="007D3840" w:rsidRDefault="00926657" w:rsidP="00922D33">
      <w:pPr>
        <w:spacing w:after="120" w:line="276" w:lineRule="auto"/>
        <w:ind w:firstLine="708"/>
        <w:jc w:val="both"/>
        <w:rPr>
          <w:rFonts w:ascii="Geomanist Light" w:eastAsia="Calibri" w:hAnsi="Geomanist Light" w:cs="Arial"/>
          <w:color w:val="000000" w:themeColor="text1"/>
          <w:sz w:val="22"/>
          <w:szCs w:val="22"/>
        </w:rPr>
      </w:pPr>
      <w:r w:rsidRPr="007D3840">
        <w:rPr>
          <w:rFonts w:ascii="Geomanist Light" w:hAnsi="Geomanist Light" w:cs="Arial"/>
          <w:color w:val="000000"/>
          <w:sz w:val="22"/>
          <w:szCs w:val="22"/>
          <w:bdr w:val="none" w:sz="0" w:space="0" w:color="auto" w:frame="1"/>
          <w:lang w:val="es-ES"/>
        </w:rPr>
        <w:t>De esta manera, si bien el artículo 2.2.1.1.2.2.1 del Decreto 1082 de 2015 señala que las modificaciones al pliego de condiciones se harán mediante una «adenda</w:t>
      </w:r>
      <w:r w:rsidRPr="007D3840">
        <w:rPr>
          <w:rFonts w:ascii="Geomanist Light" w:eastAsia="Calibri" w:hAnsi="Geomanist Light" w:cs="Arial"/>
          <w:color w:val="000000" w:themeColor="text1"/>
          <w:sz w:val="22"/>
          <w:szCs w:val="22"/>
        </w:rPr>
        <w:t>», dicha titulación no se trata de una exigencia que afecte la eficacia del acto, en el sentido de que el acto modificatorio deba rotularse o titularse como «adenda» para que pueda surtir efectos. De esta manera, la exigencia sustancial consiste en que debe quedar clara en el acto administrativo correspondiente la voluntad de la entidad estatal de</w:t>
      </w:r>
      <w:r w:rsidRPr="007D3840">
        <w:rPr>
          <w:rFonts w:ascii="Geomanist Light" w:hAnsi="Geomanist Light" w:cs="Arial"/>
          <w:sz w:val="22"/>
        </w:rPr>
        <w:t xml:space="preserve"> modificar o ajustar algún </w:t>
      </w:r>
      <w:r w:rsidRPr="007D3840">
        <w:rPr>
          <w:rFonts w:ascii="Geomanist Light" w:eastAsia="Calibri" w:hAnsi="Geomanist Light" w:cs="Arial"/>
          <w:color w:val="000000" w:themeColor="text1"/>
          <w:sz w:val="22"/>
          <w:szCs w:val="22"/>
        </w:rPr>
        <w:t xml:space="preserve">aspecto o contenido del pliego de condiciones. </w:t>
      </w:r>
    </w:p>
    <w:p w14:paraId="563E5798" w14:textId="77777777" w:rsidR="00926657" w:rsidRPr="007D3840" w:rsidRDefault="00926657" w:rsidP="0053437F">
      <w:pPr>
        <w:spacing w:before="120" w:line="276" w:lineRule="auto"/>
        <w:ind w:firstLine="709"/>
        <w:jc w:val="both"/>
        <w:rPr>
          <w:rFonts w:ascii="Geomanist Light" w:eastAsia="Calibri" w:hAnsi="Geomanist Light" w:cs="Arial"/>
          <w:color w:val="000000" w:themeColor="text1"/>
          <w:sz w:val="22"/>
          <w:szCs w:val="22"/>
        </w:rPr>
      </w:pPr>
      <w:r w:rsidRPr="007D3840">
        <w:rPr>
          <w:rFonts w:ascii="Geomanist Light" w:eastAsia="Calibri" w:hAnsi="Geomanist Light" w:cs="Arial"/>
          <w:color w:val="000000" w:themeColor="text1"/>
          <w:sz w:val="22"/>
          <w:szCs w:val="22"/>
        </w:rPr>
        <w:t>Por tanto, tal como lo ha considerado el Consejo de Estado, la modificación del pliego de condiciones puede materializarse mediante un escrito con distintas denominaciones –adenda, oficio, resolución, acto administrativo, circular, comunicación–, siempre que de su contenido se pueda colegir con precisión y claridad la finalidad de variar o complementar alguna previsión del pliego de condiciones y se garanticen los principios de transparencia y publicidad que rigen el procedimiento de selección.</w:t>
      </w:r>
    </w:p>
    <w:p w14:paraId="3C575EDD" w14:textId="72FE1A60" w:rsidR="00EE26EA" w:rsidRPr="007D3840" w:rsidRDefault="00EE26EA" w:rsidP="0053437F">
      <w:pPr>
        <w:pStyle w:val="Prrafodelista"/>
        <w:numPr>
          <w:ilvl w:val="0"/>
          <w:numId w:val="5"/>
        </w:numPr>
        <w:spacing w:line="276" w:lineRule="auto"/>
        <w:ind w:left="0"/>
        <w:jc w:val="both"/>
        <w:rPr>
          <w:rFonts w:ascii="Geomanist Light" w:hAnsi="Geomanist Light" w:cs="Arial"/>
          <w:sz w:val="20"/>
        </w:rPr>
      </w:pPr>
    </w:p>
    <w:p w14:paraId="1946DB39" w14:textId="55525F32" w:rsidR="00F67F03" w:rsidRPr="007D3840" w:rsidRDefault="00F67F03" w:rsidP="0053437F">
      <w:pPr>
        <w:pStyle w:val="Prrafodelista"/>
        <w:numPr>
          <w:ilvl w:val="0"/>
          <w:numId w:val="8"/>
        </w:numPr>
        <w:spacing w:line="276" w:lineRule="auto"/>
        <w:jc w:val="both"/>
        <w:rPr>
          <w:rFonts w:ascii="Geomanist Light" w:hAnsi="Geomanist Light" w:cs="Arial"/>
          <w:b/>
          <w:bCs/>
          <w:sz w:val="22"/>
          <w:szCs w:val="28"/>
        </w:rPr>
      </w:pPr>
      <w:r w:rsidRPr="007D3840">
        <w:rPr>
          <w:rFonts w:ascii="Geomanist Light" w:hAnsi="Geomanist Light" w:cs="Arial"/>
          <w:b/>
          <w:bCs/>
          <w:sz w:val="22"/>
          <w:szCs w:val="28"/>
        </w:rPr>
        <w:t>Respuesta</w:t>
      </w:r>
    </w:p>
    <w:p w14:paraId="3C2CE7E8" w14:textId="77777777" w:rsidR="00F67F03" w:rsidRPr="007D3840" w:rsidRDefault="00F67F03" w:rsidP="00F67F03">
      <w:pPr>
        <w:spacing w:line="276" w:lineRule="auto"/>
        <w:jc w:val="both"/>
        <w:rPr>
          <w:rFonts w:ascii="Geomanist Light" w:hAnsi="Geomanist Light" w:cs="Arial"/>
          <w:b/>
          <w:bCs/>
          <w:sz w:val="22"/>
          <w:szCs w:val="28"/>
        </w:rPr>
      </w:pPr>
    </w:p>
    <w:p w14:paraId="4A6A9707" w14:textId="77777777" w:rsidR="00F67F03" w:rsidRPr="007D3840" w:rsidRDefault="00F67F03" w:rsidP="0053437F">
      <w:pPr>
        <w:pStyle w:val="xmsonospacing"/>
        <w:spacing w:before="0" w:beforeAutospacing="0" w:after="0" w:afterAutospacing="0"/>
        <w:ind w:left="709" w:right="616"/>
        <w:jc w:val="both"/>
        <w:rPr>
          <w:rFonts w:ascii="Geomanist Light" w:eastAsia="Calibri" w:hAnsi="Geomanist Light" w:cs="Arial"/>
          <w:color w:val="000000" w:themeColor="text1"/>
          <w:sz w:val="21"/>
          <w:szCs w:val="21"/>
        </w:rPr>
      </w:pPr>
      <w:r w:rsidRPr="007D3840">
        <w:rPr>
          <w:rFonts w:ascii="Geomanist Light" w:eastAsia="Calibri" w:hAnsi="Geomanist Light" w:cs="Arial"/>
          <w:color w:val="000000" w:themeColor="text1"/>
          <w:sz w:val="21"/>
          <w:szCs w:val="21"/>
        </w:rPr>
        <w:t>«Si bien es de conocimiento general el Pliego de Condiciones es ley para los procesos contractuales que se desarrollen por medio de la Plataforma SECOP II,</w:t>
      </w:r>
    </w:p>
    <w:p w14:paraId="7630C008" w14:textId="77777777" w:rsidR="00F67F03" w:rsidRPr="007D3840" w:rsidRDefault="00F67F03" w:rsidP="0053437F">
      <w:pPr>
        <w:pStyle w:val="xmsonospacing"/>
        <w:spacing w:before="0" w:beforeAutospacing="0" w:after="0" w:afterAutospacing="0"/>
        <w:ind w:left="709" w:right="616"/>
        <w:jc w:val="both"/>
        <w:rPr>
          <w:rFonts w:ascii="Geomanist Light" w:eastAsia="Calibri" w:hAnsi="Geomanist Light" w:cs="Arial"/>
          <w:color w:val="000000" w:themeColor="text1"/>
          <w:sz w:val="21"/>
          <w:szCs w:val="21"/>
        </w:rPr>
      </w:pPr>
    </w:p>
    <w:p w14:paraId="4743E09A" w14:textId="77777777" w:rsidR="00F67F03" w:rsidRPr="007D3840" w:rsidRDefault="00F67F03" w:rsidP="0053437F">
      <w:pPr>
        <w:pStyle w:val="xmsonospacing"/>
        <w:spacing w:before="0" w:beforeAutospacing="0" w:after="0" w:afterAutospacing="0"/>
        <w:ind w:left="709" w:right="616"/>
        <w:jc w:val="both"/>
        <w:rPr>
          <w:rFonts w:ascii="Geomanist Light" w:eastAsia="Calibri" w:hAnsi="Geomanist Light" w:cs="Arial"/>
          <w:color w:val="000000" w:themeColor="text1"/>
          <w:sz w:val="21"/>
          <w:szCs w:val="21"/>
        </w:rPr>
      </w:pPr>
      <w:r w:rsidRPr="007D3840">
        <w:rPr>
          <w:rFonts w:ascii="Geomanist Light" w:hAnsi="Geomanist Light" w:cs="Arial"/>
          <w:color w:val="000000" w:themeColor="text1"/>
          <w:sz w:val="21"/>
          <w:szCs w:val="21"/>
          <w:lang w:val="es-ES_tradnl"/>
        </w:rPr>
        <w:t xml:space="preserve">» </w:t>
      </w:r>
      <w:r w:rsidRPr="007D3840">
        <w:rPr>
          <w:rFonts w:ascii="Geomanist Light" w:eastAsia="Calibri" w:hAnsi="Geomanist Light" w:cs="Arial"/>
          <w:color w:val="000000" w:themeColor="text1"/>
          <w:sz w:val="21"/>
          <w:szCs w:val="21"/>
        </w:rPr>
        <w:t xml:space="preserve">¿Cuál es el deber ser de las entidades que no cumplen al pie de la letra lo estipulado por ellos mismos en el Pliego de Condiciones? </w:t>
      </w:r>
    </w:p>
    <w:p w14:paraId="120C4ACA" w14:textId="77777777" w:rsidR="00F67F03" w:rsidRPr="007D3840" w:rsidRDefault="00F67F03" w:rsidP="0053437F">
      <w:pPr>
        <w:pStyle w:val="xmsonospacing"/>
        <w:spacing w:before="0" w:beforeAutospacing="0" w:after="0" w:afterAutospacing="0"/>
        <w:ind w:left="709" w:right="616"/>
        <w:jc w:val="both"/>
        <w:rPr>
          <w:rFonts w:ascii="Geomanist Light" w:eastAsia="Calibri" w:hAnsi="Geomanist Light" w:cs="Arial"/>
          <w:color w:val="000000" w:themeColor="text1"/>
          <w:sz w:val="21"/>
          <w:szCs w:val="21"/>
        </w:rPr>
      </w:pPr>
      <w:r w:rsidRPr="007D3840">
        <w:rPr>
          <w:rFonts w:ascii="Geomanist Light" w:hAnsi="Geomanist Light" w:cs="Arial"/>
          <w:color w:val="000000" w:themeColor="text1"/>
          <w:sz w:val="21"/>
          <w:szCs w:val="21"/>
          <w:lang w:val="es-ES_tradnl"/>
        </w:rPr>
        <w:t>»</w:t>
      </w:r>
      <w:r w:rsidRPr="007D3840">
        <w:rPr>
          <w:rFonts w:ascii="Geomanist Light" w:eastAsia="Calibri" w:hAnsi="Geomanist Light" w:cs="Arial"/>
          <w:color w:val="000000" w:themeColor="text1"/>
          <w:sz w:val="21"/>
          <w:szCs w:val="21"/>
        </w:rPr>
        <w:t>¿Qué ocurre cuando las mismas entidades públicas con hechos modifican los establecido inicialmente en el Pliego de Condiciones?</w:t>
      </w:r>
    </w:p>
    <w:p w14:paraId="7C9DEEDC" w14:textId="77777777" w:rsidR="00F67F03" w:rsidRPr="007D3840" w:rsidRDefault="00F67F03" w:rsidP="0053437F">
      <w:pPr>
        <w:pStyle w:val="xmsonospacing"/>
        <w:spacing w:before="0" w:beforeAutospacing="0" w:after="0" w:afterAutospacing="0"/>
        <w:ind w:left="709" w:right="616"/>
        <w:jc w:val="both"/>
        <w:rPr>
          <w:rFonts w:ascii="Geomanist Light" w:eastAsia="Calibri" w:hAnsi="Geomanist Light" w:cs="Arial"/>
          <w:color w:val="000000" w:themeColor="text1"/>
          <w:sz w:val="21"/>
          <w:szCs w:val="21"/>
        </w:rPr>
      </w:pPr>
    </w:p>
    <w:p w14:paraId="51E17910" w14:textId="72F85727" w:rsidR="00F67F03" w:rsidRPr="007D3840" w:rsidRDefault="00F67F03" w:rsidP="0053437F">
      <w:pPr>
        <w:pStyle w:val="xmsonospacing"/>
        <w:spacing w:before="0" w:beforeAutospacing="0" w:after="0" w:afterAutospacing="0"/>
        <w:ind w:left="709" w:right="616"/>
        <w:jc w:val="both"/>
        <w:rPr>
          <w:rFonts w:ascii="Geomanist Light" w:eastAsia="Calibri" w:hAnsi="Geomanist Light" w:cs="Arial"/>
          <w:color w:val="000000" w:themeColor="text1"/>
          <w:sz w:val="21"/>
          <w:szCs w:val="21"/>
          <w:lang w:val="es-ES"/>
        </w:rPr>
      </w:pPr>
      <w:r w:rsidRPr="007D3840">
        <w:rPr>
          <w:rFonts w:ascii="Geomanist Light" w:hAnsi="Geomanist Light" w:cs="Arial"/>
          <w:color w:val="000000" w:themeColor="text1"/>
          <w:sz w:val="21"/>
          <w:szCs w:val="21"/>
          <w:lang w:val="es-ES_tradnl"/>
        </w:rPr>
        <w:t>»</w:t>
      </w:r>
      <w:r w:rsidRPr="007D3840">
        <w:rPr>
          <w:rFonts w:ascii="Geomanist Light" w:eastAsia="Calibri" w:hAnsi="Geomanist Light" w:cs="Arial"/>
          <w:color w:val="000000" w:themeColor="text1"/>
          <w:sz w:val="21"/>
          <w:szCs w:val="21"/>
        </w:rPr>
        <w:t>Este es el caso del proceso 108-00-A-COFAC-DILOS-2022 cuyo objeto es ADQUISICIÓN DE ELEMENTOS BORDADOS Y ACCESORIOS PARA EL PERSONAL MILITAR DE LA FUERZA AÉREA COLOMBIANA, cuya subasta se desarrolló el día de hoy. Inicialmente el pliego de condiciones establece una duración de la subasta electrónica de cuarenta (40) minutos, así mismo la entidad resalta en negrilla que “no se configurará tiempo extra” […] (sic)</w:t>
      </w:r>
      <w:r w:rsidRPr="007D3840">
        <w:rPr>
          <w:rFonts w:ascii="Geomanist Light" w:eastAsia="Calibri" w:hAnsi="Geomanist Light" w:cs="Arial"/>
          <w:color w:val="000000" w:themeColor="text1"/>
          <w:sz w:val="21"/>
          <w:szCs w:val="21"/>
          <w:lang w:val="es-ES"/>
        </w:rPr>
        <w:t>».</w:t>
      </w:r>
    </w:p>
    <w:p w14:paraId="3C3475C5" w14:textId="77777777" w:rsidR="00A37BBD" w:rsidRPr="007D3840" w:rsidRDefault="00A37BBD" w:rsidP="00F67F03">
      <w:pPr>
        <w:pStyle w:val="xmsonospacing"/>
        <w:spacing w:before="0" w:beforeAutospacing="0" w:after="0" w:afterAutospacing="0" w:line="276" w:lineRule="auto"/>
        <w:ind w:left="709" w:right="616"/>
        <w:jc w:val="both"/>
        <w:rPr>
          <w:rFonts w:ascii="Geomanist Light" w:eastAsia="Calibri" w:hAnsi="Geomanist Light" w:cs="Arial"/>
          <w:color w:val="000000" w:themeColor="text1"/>
          <w:sz w:val="21"/>
          <w:szCs w:val="21"/>
        </w:rPr>
      </w:pPr>
    </w:p>
    <w:p w14:paraId="2604EEB4" w14:textId="432B51C2" w:rsidR="00072725" w:rsidRPr="007D3840" w:rsidRDefault="00072725" w:rsidP="0053437F">
      <w:pPr>
        <w:spacing w:after="120" w:line="276" w:lineRule="auto"/>
        <w:jc w:val="both"/>
        <w:rPr>
          <w:rFonts w:ascii="Geomanist Light" w:eastAsia="Calibri" w:hAnsi="Geomanist Light" w:cs="Arial"/>
          <w:color w:val="000000" w:themeColor="text1"/>
          <w:sz w:val="22"/>
        </w:rPr>
      </w:pPr>
      <w:r w:rsidRPr="007D3840">
        <w:rPr>
          <w:rFonts w:ascii="Geomanist Light" w:eastAsia="Calibri" w:hAnsi="Geomanist Light" w:cs="Arial"/>
          <w:color w:val="000000" w:themeColor="text1"/>
          <w:sz w:val="22"/>
        </w:rPr>
        <w:t>Conforme a los expuesto, la competencia atribuida a esta entidad por los artículos 3.5 y 11.8 del Decreto 4170 de 2011 se limita a la resolución de consultas sobre la aplicación de normas de alcance general en materia de contratación estatal y compras públicas. Esta competencia de interpretación de normas generales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4659D2A3" w14:textId="7837FADF" w:rsidR="005F65C1" w:rsidRPr="007D3840" w:rsidRDefault="00072725" w:rsidP="00072725">
      <w:pPr>
        <w:spacing w:after="120" w:line="276" w:lineRule="auto"/>
        <w:ind w:firstLine="708"/>
        <w:jc w:val="both"/>
        <w:rPr>
          <w:rFonts w:ascii="Geomanist Light" w:hAnsi="Geomanist Light" w:cs="Arial"/>
          <w:color w:val="000000"/>
          <w:sz w:val="22"/>
          <w:szCs w:val="22"/>
          <w:bdr w:val="none" w:sz="0" w:space="0" w:color="auto" w:frame="1"/>
          <w:lang w:val="es-ES"/>
        </w:rPr>
      </w:pPr>
      <w:r w:rsidRPr="007D3840">
        <w:rPr>
          <w:rFonts w:ascii="Geomanist Light" w:hAnsi="Geomanist Light" w:cs="Arial"/>
          <w:color w:val="000000"/>
          <w:sz w:val="22"/>
          <w:szCs w:val="22"/>
          <w:bdr w:val="none" w:sz="0" w:space="0" w:color="auto" w:frame="1"/>
          <w:lang w:val="es-ES"/>
        </w:rPr>
        <w:t xml:space="preserve">Sin </w:t>
      </w:r>
      <w:r w:rsidR="00D75C6A" w:rsidRPr="007D3840">
        <w:rPr>
          <w:rFonts w:ascii="Geomanist Light" w:hAnsi="Geomanist Light" w:cs="Arial"/>
          <w:color w:val="000000"/>
          <w:sz w:val="22"/>
          <w:szCs w:val="22"/>
          <w:bdr w:val="none" w:sz="0" w:space="0" w:color="auto" w:frame="1"/>
          <w:lang w:val="es-ES"/>
        </w:rPr>
        <w:t>perjuicio</w:t>
      </w:r>
      <w:r w:rsidRPr="007D3840">
        <w:rPr>
          <w:rFonts w:ascii="Geomanist Light" w:hAnsi="Geomanist Light" w:cs="Arial"/>
          <w:color w:val="000000"/>
          <w:sz w:val="22"/>
          <w:szCs w:val="22"/>
          <w:bdr w:val="none" w:sz="0" w:space="0" w:color="auto" w:frame="1"/>
          <w:lang w:val="es-ES"/>
        </w:rPr>
        <w:t xml:space="preserve"> de lo anterior, haciendo abstracción de caso particular y concreto</w:t>
      </w:r>
      <w:r w:rsidR="00D75C6A" w:rsidRPr="007D3840">
        <w:rPr>
          <w:rFonts w:ascii="Geomanist Light" w:hAnsi="Geomanist Light" w:cs="Arial"/>
          <w:color w:val="000000"/>
          <w:sz w:val="22"/>
          <w:szCs w:val="22"/>
          <w:bdr w:val="none" w:sz="0" w:space="0" w:color="auto" w:frame="1"/>
          <w:lang w:val="es-ES"/>
        </w:rPr>
        <w:t xml:space="preserve"> planteado, c</w:t>
      </w:r>
      <w:r w:rsidR="00CF760E" w:rsidRPr="007D3840">
        <w:rPr>
          <w:rFonts w:ascii="Geomanist Light" w:hAnsi="Geomanist Light" w:cs="Arial"/>
          <w:color w:val="000000"/>
          <w:sz w:val="22"/>
          <w:szCs w:val="22"/>
          <w:bdr w:val="none" w:sz="0" w:space="0" w:color="auto" w:frame="1"/>
          <w:lang w:val="es-ES"/>
        </w:rPr>
        <w:t xml:space="preserve">on base en las consideraciones expuestas es posible concluir que </w:t>
      </w:r>
      <w:r w:rsidR="005F65C1" w:rsidRPr="007D3840">
        <w:rPr>
          <w:rFonts w:ascii="Geomanist Light" w:hAnsi="Geomanist Light" w:cs="Arial"/>
          <w:sz w:val="22"/>
        </w:rPr>
        <w:t>e</w:t>
      </w:r>
      <w:r w:rsidR="005F65C1" w:rsidRPr="007D3840">
        <w:rPr>
          <w:rFonts w:ascii="Geomanist Light" w:hAnsi="Geomanist Light" w:cs="Arial"/>
          <w:sz w:val="22"/>
          <w:szCs w:val="22"/>
        </w:rPr>
        <w:t xml:space="preserve">l pliego de condiciones es el documento en el que se describen </w:t>
      </w:r>
      <w:r w:rsidR="00B50DBA" w:rsidRPr="007D3840">
        <w:rPr>
          <w:rFonts w:ascii="Geomanist Light" w:hAnsi="Geomanist Light" w:cs="Arial"/>
          <w:sz w:val="22"/>
          <w:szCs w:val="22"/>
        </w:rPr>
        <w:t xml:space="preserve">las </w:t>
      </w:r>
      <w:r w:rsidR="005F65C1" w:rsidRPr="007D3840">
        <w:rPr>
          <w:rFonts w:ascii="Geomanist Light" w:hAnsi="Geomanist Light" w:cs="Arial"/>
          <w:sz w:val="22"/>
          <w:szCs w:val="22"/>
        </w:rPr>
        <w:t>etapas</w:t>
      </w:r>
      <w:r w:rsidR="005F65C1" w:rsidRPr="007D3840">
        <w:rPr>
          <w:rFonts w:ascii="Geomanist Light" w:hAnsi="Geomanist Light" w:cs="Arial"/>
          <w:sz w:val="22"/>
        </w:rPr>
        <w:t xml:space="preserve"> del proceso de selección, </w:t>
      </w:r>
      <w:r w:rsidR="005F65C1" w:rsidRPr="007D3840">
        <w:rPr>
          <w:rFonts w:ascii="Geomanist Light" w:hAnsi="Geomanist Light" w:cs="Arial"/>
          <w:sz w:val="22"/>
          <w:szCs w:val="22"/>
        </w:rPr>
        <w:t>así como l</w:t>
      </w:r>
      <w:r w:rsidR="005F65C1" w:rsidRPr="007D3840">
        <w:rPr>
          <w:rFonts w:ascii="Geomanist Light" w:hAnsi="Geomanist Light" w:cs="Arial"/>
          <w:sz w:val="22"/>
        </w:rPr>
        <w:t>a</w:t>
      </w:r>
      <w:r w:rsidR="005F65C1" w:rsidRPr="007D3840">
        <w:rPr>
          <w:rFonts w:ascii="Geomanist Light" w:hAnsi="Geomanist Light" w:cs="Arial"/>
          <w:sz w:val="22"/>
          <w:szCs w:val="22"/>
        </w:rPr>
        <w:t>s</w:t>
      </w:r>
      <w:r w:rsidR="005F65C1" w:rsidRPr="007D3840">
        <w:rPr>
          <w:rFonts w:ascii="Geomanist Light" w:hAnsi="Geomanist Light" w:cs="Arial"/>
          <w:sz w:val="22"/>
        </w:rPr>
        <w:t xml:space="preserve"> reglas,</w:t>
      </w:r>
      <w:r w:rsidR="005F65C1" w:rsidRPr="007D3840">
        <w:rPr>
          <w:rFonts w:ascii="Geomanist Light" w:hAnsi="Geomanist Light" w:cs="Arial"/>
          <w:sz w:val="22"/>
          <w:szCs w:val="22"/>
        </w:rPr>
        <w:t xml:space="preserve"> requisitos y condiciones </w:t>
      </w:r>
      <w:r w:rsidR="005F65C1" w:rsidRPr="007D3840">
        <w:rPr>
          <w:rFonts w:ascii="Geomanist Light" w:hAnsi="Geomanist Light" w:cs="Arial"/>
          <w:sz w:val="22"/>
        </w:rPr>
        <w:t>aplicables en</w:t>
      </w:r>
      <w:r w:rsidR="005F65C1" w:rsidRPr="007D3840">
        <w:rPr>
          <w:rFonts w:ascii="Geomanist Light" w:hAnsi="Geomanist Light" w:cs="Arial"/>
          <w:sz w:val="22"/>
          <w:szCs w:val="22"/>
        </w:rPr>
        <w:t xml:space="preserve"> cada una de ellas. </w:t>
      </w:r>
      <w:r w:rsidR="00B50DBA" w:rsidRPr="007D3840">
        <w:rPr>
          <w:rFonts w:ascii="Geomanist Light" w:hAnsi="Geomanist Light" w:cs="Arial"/>
          <w:sz w:val="22"/>
        </w:rPr>
        <w:t xml:space="preserve">En ese </w:t>
      </w:r>
      <w:r w:rsidR="006936CA" w:rsidRPr="007D3840">
        <w:rPr>
          <w:rFonts w:ascii="Geomanist Light" w:hAnsi="Geomanist Light" w:cs="Arial"/>
          <w:sz w:val="22"/>
        </w:rPr>
        <w:t>orden, el</w:t>
      </w:r>
      <w:r w:rsidR="005F65C1" w:rsidRPr="007D3840">
        <w:rPr>
          <w:rFonts w:ascii="Geomanist Light" w:hAnsi="Geomanist Light" w:cs="Arial"/>
          <w:sz w:val="22"/>
          <w:szCs w:val="22"/>
        </w:rPr>
        <w:t xml:space="preserve"> pliego de condiciones </w:t>
      </w:r>
      <w:r w:rsidR="005F65C1" w:rsidRPr="007D3840">
        <w:rPr>
          <w:rFonts w:ascii="Geomanist Light" w:hAnsi="Geomanist Light" w:cs="Arial"/>
          <w:sz w:val="22"/>
        </w:rPr>
        <w:t xml:space="preserve">es el documento en </w:t>
      </w:r>
      <w:r w:rsidR="00E2061E" w:rsidRPr="007D3840">
        <w:rPr>
          <w:rFonts w:ascii="Geomanist Light" w:hAnsi="Geomanist Light" w:cs="Arial"/>
          <w:sz w:val="22"/>
        </w:rPr>
        <w:t>e</w:t>
      </w:r>
      <w:r w:rsidR="005F65C1" w:rsidRPr="007D3840">
        <w:rPr>
          <w:rFonts w:ascii="Geomanist Light" w:hAnsi="Geomanist Light" w:cs="Arial"/>
          <w:sz w:val="22"/>
        </w:rPr>
        <w:t xml:space="preserve">l que se </w:t>
      </w:r>
      <w:r w:rsidR="005F65C1" w:rsidRPr="007D3840">
        <w:rPr>
          <w:rFonts w:ascii="Geomanist Light" w:hAnsi="Geomanist Light" w:cs="Arial"/>
          <w:sz w:val="22"/>
          <w:szCs w:val="22"/>
        </w:rPr>
        <w:t>establece</w:t>
      </w:r>
      <w:r w:rsidR="005F65C1" w:rsidRPr="007D3840">
        <w:rPr>
          <w:rFonts w:ascii="Geomanist Light" w:hAnsi="Geomanist Light" w:cs="Arial"/>
          <w:sz w:val="22"/>
        </w:rPr>
        <w:t>n</w:t>
      </w:r>
      <w:r w:rsidR="005F65C1" w:rsidRPr="007D3840">
        <w:rPr>
          <w:rFonts w:ascii="Geomanist Light" w:hAnsi="Geomanist Light" w:cs="Arial"/>
          <w:sz w:val="22"/>
          <w:szCs w:val="22"/>
        </w:rPr>
        <w:t xml:space="preserve"> las normas que van a regular etapa </w:t>
      </w:r>
      <w:r w:rsidR="005F65C1" w:rsidRPr="007D3840">
        <w:rPr>
          <w:rFonts w:ascii="Geomanist Light" w:hAnsi="Geomanist Light" w:cs="Arial"/>
          <w:sz w:val="22"/>
        </w:rPr>
        <w:t xml:space="preserve">selección, a las que deberán sujetarse </w:t>
      </w:r>
      <w:r w:rsidR="005F65C1" w:rsidRPr="007D3840">
        <w:rPr>
          <w:rFonts w:ascii="Geomanist Light" w:hAnsi="Geomanist Light" w:cs="Arial"/>
          <w:sz w:val="22"/>
          <w:szCs w:val="22"/>
        </w:rPr>
        <w:t xml:space="preserve">la administración y las oferentes </w:t>
      </w:r>
      <w:r w:rsidR="005F65C1" w:rsidRPr="007D3840">
        <w:rPr>
          <w:rFonts w:ascii="Geomanist Light" w:hAnsi="Geomanist Light" w:cs="Arial"/>
          <w:sz w:val="22"/>
        </w:rPr>
        <w:t xml:space="preserve">a efectos de lograr </w:t>
      </w:r>
      <w:r w:rsidR="005F65C1" w:rsidRPr="007D3840">
        <w:rPr>
          <w:rFonts w:ascii="Geomanist Light" w:hAnsi="Geomanist Light" w:cs="Arial"/>
          <w:sz w:val="22"/>
          <w:szCs w:val="22"/>
        </w:rPr>
        <w:t>una selección objetiva</w:t>
      </w:r>
      <w:r w:rsidR="00F84664" w:rsidRPr="007D3840">
        <w:rPr>
          <w:rFonts w:ascii="Geomanist Light" w:hAnsi="Geomanist Light" w:cs="Arial"/>
          <w:sz w:val="22"/>
          <w:szCs w:val="22"/>
        </w:rPr>
        <w:t xml:space="preserve">. </w:t>
      </w:r>
    </w:p>
    <w:p w14:paraId="38B708D6" w14:textId="4F694ACB" w:rsidR="00CF760E" w:rsidRPr="007D3840" w:rsidRDefault="00F84664" w:rsidP="0053437F">
      <w:pPr>
        <w:spacing w:after="120" w:line="276" w:lineRule="auto"/>
        <w:ind w:firstLine="708"/>
        <w:jc w:val="both"/>
        <w:rPr>
          <w:rFonts w:ascii="Geomanist Light" w:eastAsia="Calibri" w:hAnsi="Geomanist Light" w:cs="Arial"/>
          <w:color w:val="000000" w:themeColor="text1"/>
          <w:sz w:val="22"/>
          <w:szCs w:val="22"/>
        </w:rPr>
      </w:pPr>
      <w:r w:rsidRPr="007D3840">
        <w:rPr>
          <w:rFonts w:ascii="Geomanist Light" w:hAnsi="Geomanist Light" w:cs="Arial"/>
          <w:color w:val="000000"/>
          <w:sz w:val="22"/>
          <w:szCs w:val="22"/>
          <w:bdr w:val="none" w:sz="0" w:space="0" w:color="auto" w:frame="1"/>
          <w:lang w:val="es-ES"/>
        </w:rPr>
        <w:t>En todo caso,</w:t>
      </w:r>
      <w:r w:rsidR="002F2C56" w:rsidRPr="007D3840">
        <w:rPr>
          <w:rFonts w:ascii="Geomanist Light" w:hAnsi="Geomanist Light" w:cs="Arial"/>
          <w:color w:val="000000"/>
          <w:sz w:val="22"/>
          <w:szCs w:val="22"/>
          <w:bdr w:val="none" w:sz="0" w:space="0" w:color="auto" w:frame="1"/>
          <w:lang w:val="es-ES"/>
        </w:rPr>
        <w:t xml:space="preserve"> si bien la entidades estales </w:t>
      </w:r>
      <w:r w:rsidR="002C1029" w:rsidRPr="007D3840">
        <w:rPr>
          <w:rFonts w:ascii="Geomanist Light" w:hAnsi="Geomanist Light" w:cs="Arial"/>
          <w:color w:val="000000"/>
          <w:sz w:val="22"/>
          <w:szCs w:val="22"/>
          <w:bdr w:val="none" w:sz="0" w:space="0" w:color="auto" w:frame="1"/>
          <w:lang w:val="es-ES"/>
        </w:rPr>
        <w:t xml:space="preserve">en principio </w:t>
      </w:r>
      <w:r w:rsidR="002F2C56" w:rsidRPr="007D3840">
        <w:rPr>
          <w:rFonts w:ascii="Geomanist Light" w:hAnsi="Geomanist Light" w:cs="Arial"/>
          <w:color w:val="000000"/>
          <w:sz w:val="22"/>
          <w:szCs w:val="22"/>
          <w:bdr w:val="none" w:sz="0" w:space="0" w:color="auto" w:frame="1"/>
          <w:lang w:val="es-ES"/>
        </w:rPr>
        <w:t xml:space="preserve">se encuentran obligadas a desarrollar los procedimientos </w:t>
      </w:r>
      <w:r w:rsidR="006D4576" w:rsidRPr="007D3840">
        <w:rPr>
          <w:rFonts w:ascii="Geomanist Light" w:hAnsi="Geomanist Light" w:cs="Arial"/>
          <w:color w:val="000000"/>
          <w:sz w:val="22"/>
          <w:szCs w:val="22"/>
          <w:bdr w:val="none" w:sz="0" w:space="0" w:color="auto" w:frame="1"/>
          <w:lang w:val="es-ES"/>
        </w:rPr>
        <w:t>aplicando</w:t>
      </w:r>
      <w:r w:rsidR="002F2C56" w:rsidRPr="007D3840">
        <w:rPr>
          <w:rFonts w:ascii="Geomanist Light" w:hAnsi="Geomanist Light" w:cs="Arial"/>
          <w:color w:val="000000"/>
          <w:sz w:val="22"/>
          <w:szCs w:val="22"/>
          <w:bdr w:val="none" w:sz="0" w:space="0" w:color="auto" w:frame="1"/>
          <w:lang w:val="es-ES"/>
        </w:rPr>
        <w:t xml:space="preserve"> las reglas y condiciones incluidas en el pliego de condiciones, </w:t>
      </w:r>
      <w:r w:rsidR="002C1029" w:rsidRPr="007D3840">
        <w:rPr>
          <w:rFonts w:ascii="Geomanist Light" w:hAnsi="Geomanist Light" w:cs="Arial"/>
          <w:color w:val="000000"/>
          <w:sz w:val="22"/>
          <w:szCs w:val="22"/>
          <w:bdr w:val="none" w:sz="0" w:space="0" w:color="auto" w:frame="1"/>
          <w:lang w:val="es-ES"/>
        </w:rPr>
        <w:t>el reglamento permite la posibilidad de q</w:t>
      </w:r>
      <w:r w:rsidR="006D4576" w:rsidRPr="007D3840">
        <w:rPr>
          <w:rFonts w:ascii="Geomanist Light" w:hAnsi="Geomanist Light" w:cs="Arial"/>
          <w:color w:val="000000"/>
          <w:sz w:val="22"/>
          <w:szCs w:val="22"/>
          <w:bdr w:val="none" w:sz="0" w:space="0" w:color="auto" w:frame="1"/>
          <w:lang w:val="es-ES"/>
        </w:rPr>
        <w:t xml:space="preserve">ue se modifique incluso después de haber sido publicado el pliego definitivo. Al respecto </w:t>
      </w:r>
      <w:r w:rsidR="00CF760E" w:rsidRPr="007D3840">
        <w:rPr>
          <w:rFonts w:ascii="Geomanist Light" w:hAnsi="Geomanist Light" w:cs="Arial"/>
          <w:color w:val="000000"/>
          <w:sz w:val="22"/>
          <w:szCs w:val="22"/>
          <w:bdr w:val="none" w:sz="0" w:space="0" w:color="auto" w:frame="1"/>
          <w:lang w:val="es-ES"/>
        </w:rPr>
        <w:t>el artículo 2.2.1.1.2.2.1 del Decreto 1082 de 2015 señala que las modificaciones al pliego de condiciones se harán mediante una «adenda</w:t>
      </w:r>
      <w:r w:rsidR="00CF760E" w:rsidRPr="007D3840">
        <w:rPr>
          <w:rFonts w:ascii="Geomanist Light" w:eastAsia="Calibri" w:hAnsi="Geomanist Light" w:cs="Arial"/>
          <w:color w:val="000000" w:themeColor="text1"/>
          <w:sz w:val="22"/>
          <w:szCs w:val="22"/>
        </w:rPr>
        <w:t xml:space="preserve">», dicha denominación no se trata de una exigencia que afecte la eficacia del acto, en el sentido de que el acto modificatorio deba rotularse o titularse como «adenda» para que </w:t>
      </w:r>
      <w:r w:rsidR="00CF760E" w:rsidRPr="007D3840">
        <w:rPr>
          <w:rFonts w:ascii="Geomanist Light" w:eastAsia="Calibri" w:hAnsi="Geomanist Light" w:cs="Arial"/>
          <w:color w:val="000000" w:themeColor="text1"/>
          <w:sz w:val="22"/>
          <w:szCs w:val="22"/>
        </w:rPr>
        <w:lastRenderedPageBreak/>
        <w:t>pueda surtir efectos. De esta manera, la exigencia sustancial consiste en que debe quedar clara en el acto administrativo correspondiente la voluntad de la entidad estatal de</w:t>
      </w:r>
      <w:r w:rsidR="00CF760E" w:rsidRPr="007D3840">
        <w:rPr>
          <w:rFonts w:ascii="Geomanist Light" w:hAnsi="Geomanist Light" w:cs="Arial"/>
          <w:sz w:val="22"/>
          <w:szCs w:val="22"/>
        </w:rPr>
        <w:t xml:space="preserve"> modificar o ajustar algún </w:t>
      </w:r>
      <w:r w:rsidR="00CF760E" w:rsidRPr="007D3840">
        <w:rPr>
          <w:rFonts w:ascii="Geomanist Light" w:eastAsia="Calibri" w:hAnsi="Geomanist Light" w:cs="Arial"/>
          <w:color w:val="000000" w:themeColor="text1"/>
          <w:sz w:val="22"/>
          <w:szCs w:val="22"/>
        </w:rPr>
        <w:t xml:space="preserve">aspecto o contenido del pliego de condiciones. </w:t>
      </w:r>
    </w:p>
    <w:p w14:paraId="60DAC531" w14:textId="77777777" w:rsidR="00CF760E" w:rsidRPr="007D3840" w:rsidRDefault="00CF760E" w:rsidP="00CF760E">
      <w:pPr>
        <w:spacing w:before="120" w:after="120" w:line="276" w:lineRule="auto"/>
        <w:ind w:firstLine="709"/>
        <w:jc w:val="both"/>
        <w:rPr>
          <w:rFonts w:ascii="Geomanist Light" w:eastAsia="Calibri" w:hAnsi="Geomanist Light" w:cs="Arial"/>
          <w:color w:val="000000" w:themeColor="text1"/>
          <w:sz w:val="22"/>
          <w:szCs w:val="22"/>
        </w:rPr>
      </w:pPr>
      <w:r w:rsidRPr="007D3840">
        <w:rPr>
          <w:rFonts w:ascii="Geomanist Light" w:eastAsia="Calibri" w:hAnsi="Geomanist Light" w:cs="Arial"/>
          <w:color w:val="000000" w:themeColor="text1"/>
          <w:sz w:val="22"/>
          <w:szCs w:val="22"/>
        </w:rPr>
        <w:t>Por tanto, tal como lo ha considerado el Consejo de Estado, la modificación del pliego de condiciones puede materializarse mediante un escrito con distintas denominaciones –adenda, oficio, resolución, acto administrativo, circular, comunicación–, siempre que de su contenido se pueda colegir con precisión y claridad la finalidad de variar o complementar alguna previsión del pliego de condiciones y se garanticen los principios de transparencia y publicidad que rigen el procedimiento de selección.</w:t>
      </w:r>
    </w:p>
    <w:p w14:paraId="4DE9DC35" w14:textId="7F791CAB" w:rsidR="009B0B80" w:rsidRPr="007D3840" w:rsidRDefault="00204302" w:rsidP="00A47D34">
      <w:pPr>
        <w:spacing w:line="276" w:lineRule="auto"/>
        <w:ind w:firstLine="709"/>
        <w:jc w:val="both"/>
        <w:rPr>
          <w:rFonts w:ascii="Geomanist Light" w:hAnsi="Geomanist Light" w:cs="Arial"/>
          <w:color w:val="000000" w:themeColor="text1"/>
          <w:sz w:val="22"/>
          <w:lang w:eastAsia="es-CO"/>
        </w:rPr>
      </w:pPr>
      <w:r w:rsidRPr="007D3840">
        <w:rPr>
          <w:rFonts w:ascii="Geomanist Light" w:hAnsi="Geomanist Light" w:cs="Arial"/>
          <w:sz w:val="22"/>
          <w:szCs w:val="28"/>
        </w:rPr>
        <w:t>De otra parte</w:t>
      </w:r>
      <w:r w:rsidR="009B0B80" w:rsidRPr="007D3840">
        <w:rPr>
          <w:rFonts w:ascii="Geomanist Light" w:hAnsi="Geomanist Light" w:cs="Arial"/>
          <w:sz w:val="22"/>
          <w:szCs w:val="28"/>
        </w:rPr>
        <w:t xml:space="preserve">, </w:t>
      </w:r>
      <w:r w:rsidR="005B63D4" w:rsidRPr="007D3840">
        <w:rPr>
          <w:rFonts w:ascii="Geomanist Light" w:hAnsi="Geomanist Light" w:cs="Arial"/>
          <w:color w:val="000000" w:themeColor="text1"/>
          <w:sz w:val="22"/>
          <w:lang w:eastAsia="es-CO"/>
        </w:rPr>
        <w:t xml:space="preserve">en </w:t>
      </w:r>
      <w:r w:rsidRPr="007D3840">
        <w:rPr>
          <w:rFonts w:ascii="Geomanist Light" w:hAnsi="Geomanist Light" w:cs="Arial"/>
          <w:color w:val="000000" w:themeColor="text1"/>
          <w:sz w:val="22"/>
          <w:lang w:eastAsia="es-CO"/>
        </w:rPr>
        <w:t>lo referente al</w:t>
      </w:r>
      <w:r w:rsidR="005B63D4" w:rsidRPr="007D3840">
        <w:rPr>
          <w:rFonts w:ascii="Geomanist Light" w:hAnsi="Geomanist Light" w:cs="Arial"/>
          <w:color w:val="000000" w:themeColor="text1"/>
          <w:sz w:val="22"/>
          <w:lang w:eastAsia="es-CO"/>
        </w:rPr>
        <w:t xml:space="preserve"> módulo de subasta del SECOP II,</w:t>
      </w:r>
      <w:r w:rsidRPr="007D3840">
        <w:rPr>
          <w:rFonts w:ascii="Geomanist Light" w:hAnsi="Geomanist Light" w:cs="Arial"/>
          <w:color w:val="000000" w:themeColor="text1"/>
          <w:sz w:val="22"/>
          <w:lang w:eastAsia="es-CO"/>
        </w:rPr>
        <w:t xml:space="preserve"> es preciso advertir que</w:t>
      </w:r>
      <w:r w:rsidR="005B63D4" w:rsidRPr="007D3840">
        <w:rPr>
          <w:rFonts w:ascii="Geomanist Light" w:hAnsi="Geomanist Light" w:cs="Arial"/>
          <w:color w:val="000000" w:themeColor="text1"/>
          <w:sz w:val="22"/>
          <w:lang w:eastAsia="es-CO"/>
        </w:rPr>
        <w:t xml:space="preserve"> </w:t>
      </w:r>
      <w:r w:rsidR="001C2A4E" w:rsidRPr="007D3840">
        <w:rPr>
          <w:rFonts w:ascii="Geomanist Light" w:hAnsi="Geomanist Light" w:cs="Arial"/>
          <w:color w:val="000000" w:themeColor="text1"/>
          <w:sz w:val="22"/>
          <w:lang w:eastAsia="es-CO"/>
        </w:rPr>
        <w:t xml:space="preserve">la entidad estatal dentro de la configuración del pliego electrónico de condiciones </w:t>
      </w:r>
      <w:r w:rsidRPr="007D3840">
        <w:rPr>
          <w:rFonts w:ascii="Geomanist Light" w:hAnsi="Geomanist Light" w:cs="Arial"/>
          <w:color w:val="000000" w:themeColor="text1"/>
          <w:sz w:val="22"/>
          <w:lang w:eastAsia="es-CO"/>
        </w:rPr>
        <w:t>–</w:t>
      </w:r>
      <w:r w:rsidR="001C2A4E" w:rsidRPr="007D3840">
        <w:rPr>
          <w:rFonts w:ascii="Geomanist Light" w:hAnsi="Geomanist Light" w:cs="Arial"/>
          <w:color w:val="000000" w:themeColor="text1"/>
          <w:sz w:val="22"/>
          <w:lang w:eastAsia="es-CO"/>
        </w:rPr>
        <w:t>borrador</w:t>
      </w:r>
      <w:r w:rsidRPr="007D3840">
        <w:rPr>
          <w:rFonts w:ascii="Geomanist Light" w:hAnsi="Geomanist Light" w:cs="Arial"/>
          <w:color w:val="000000" w:themeColor="text1"/>
          <w:sz w:val="22"/>
          <w:lang w:eastAsia="es-CO"/>
        </w:rPr>
        <w:t>–</w:t>
      </w:r>
      <w:r w:rsidR="001C2A4E" w:rsidRPr="007D3840">
        <w:rPr>
          <w:rFonts w:ascii="Geomanist Light" w:hAnsi="Geomanist Light" w:cs="Arial"/>
          <w:color w:val="000000" w:themeColor="text1"/>
          <w:sz w:val="22"/>
          <w:lang w:eastAsia="es-CO"/>
        </w:rPr>
        <w:t xml:space="preserve">, debe estipular una fecha estimada para la presentación de oferta. </w:t>
      </w:r>
      <w:r w:rsidR="005F361F" w:rsidRPr="007D3840">
        <w:rPr>
          <w:rFonts w:ascii="Geomanist Light" w:hAnsi="Geomanist Light" w:cs="Arial"/>
          <w:color w:val="000000" w:themeColor="text1"/>
          <w:sz w:val="22"/>
          <w:lang w:eastAsia="es-CO"/>
        </w:rPr>
        <w:t>No obstante</w:t>
      </w:r>
      <w:r w:rsidR="001C2A4E" w:rsidRPr="007D3840">
        <w:rPr>
          <w:rFonts w:ascii="Geomanist Light" w:hAnsi="Geomanist Light" w:cs="Arial"/>
          <w:color w:val="000000" w:themeColor="text1"/>
          <w:sz w:val="22"/>
          <w:lang w:eastAsia="es-CO"/>
        </w:rPr>
        <w:t xml:space="preserve">, una vez termine el término para recibir observaciones y la </w:t>
      </w:r>
      <w:r w:rsidR="002364DD" w:rsidRPr="007D3840">
        <w:rPr>
          <w:rFonts w:ascii="Geomanist Light" w:hAnsi="Geomanist Light" w:cs="Arial"/>
          <w:color w:val="000000" w:themeColor="text1"/>
          <w:sz w:val="22"/>
          <w:lang w:eastAsia="es-CO"/>
        </w:rPr>
        <w:t>e</w:t>
      </w:r>
      <w:r w:rsidR="001C2A4E" w:rsidRPr="007D3840">
        <w:rPr>
          <w:rFonts w:ascii="Geomanist Light" w:hAnsi="Geomanist Light" w:cs="Arial"/>
          <w:color w:val="000000" w:themeColor="text1"/>
          <w:sz w:val="22"/>
          <w:lang w:eastAsia="es-CO"/>
        </w:rPr>
        <w:t xml:space="preserve">ntidad haya contestado todas las observaciones recibidas debe </w:t>
      </w:r>
      <w:r w:rsidRPr="007D3840">
        <w:rPr>
          <w:rFonts w:ascii="Geomanist Light" w:hAnsi="Geomanist Light" w:cs="Arial"/>
          <w:i/>
          <w:iCs/>
          <w:color w:val="000000" w:themeColor="text1"/>
          <w:sz w:val="22"/>
          <w:lang w:eastAsia="es-CO"/>
        </w:rPr>
        <w:t>«</w:t>
      </w:r>
      <w:r w:rsidR="001C2A4E" w:rsidRPr="007D3840">
        <w:rPr>
          <w:rFonts w:ascii="Geomanist Light" w:hAnsi="Geomanist Light" w:cs="Arial"/>
          <w:i/>
          <w:iCs/>
          <w:color w:val="000000" w:themeColor="text1"/>
          <w:sz w:val="22"/>
          <w:lang w:eastAsia="es-CO"/>
        </w:rPr>
        <w:t>finalizar la etapa de planeación</w:t>
      </w:r>
      <w:r w:rsidRPr="007D3840">
        <w:rPr>
          <w:rFonts w:ascii="Geomanist Light" w:hAnsi="Geomanist Light" w:cs="Arial"/>
          <w:i/>
          <w:iCs/>
          <w:color w:val="000000" w:themeColor="text1"/>
          <w:sz w:val="22"/>
          <w:lang w:eastAsia="es-CO"/>
        </w:rPr>
        <w:t>»</w:t>
      </w:r>
      <w:r w:rsidR="001C2A4E" w:rsidRPr="007D3840">
        <w:rPr>
          <w:rFonts w:ascii="Geomanist Light" w:hAnsi="Geomanist Light" w:cs="Arial"/>
          <w:color w:val="000000" w:themeColor="text1"/>
          <w:sz w:val="22"/>
          <w:lang w:eastAsia="es-CO"/>
        </w:rPr>
        <w:t xml:space="preserve"> para que la plataforma permita la edición del pliego electrónico de condiciones </w:t>
      </w:r>
      <w:r w:rsidRPr="007D3840">
        <w:rPr>
          <w:rFonts w:ascii="Geomanist Light" w:hAnsi="Geomanist Light" w:cs="Arial"/>
          <w:color w:val="000000" w:themeColor="text1"/>
          <w:sz w:val="22"/>
          <w:lang w:eastAsia="es-CO"/>
        </w:rPr>
        <w:t>–</w:t>
      </w:r>
      <w:r w:rsidR="001C2A4E" w:rsidRPr="007D3840">
        <w:rPr>
          <w:rFonts w:ascii="Geomanist Light" w:hAnsi="Geomanist Light" w:cs="Arial"/>
          <w:color w:val="000000" w:themeColor="text1"/>
          <w:sz w:val="22"/>
          <w:lang w:eastAsia="es-CO"/>
        </w:rPr>
        <w:t>definitivo</w:t>
      </w:r>
      <w:r w:rsidRPr="007D3840">
        <w:rPr>
          <w:rFonts w:ascii="Geomanist Light" w:hAnsi="Geomanist Light" w:cs="Arial"/>
          <w:color w:val="000000" w:themeColor="text1"/>
          <w:sz w:val="22"/>
          <w:lang w:eastAsia="es-CO"/>
        </w:rPr>
        <w:t>–</w:t>
      </w:r>
      <w:r w:rsidR="001C2A4E" w:rsidRPr="007D3840">
        <w:rPr>
          <w:rFonts w:ascii="Geomanist Light" w:hAnsi="Geomanist Light" w:cs="Arial"/>
          <w:color w:val="000000" w:themeColor="text1"/>
          <w:sz w:val="22"/>
          <w:lang w:eastAsia="es-CO"/>
        </w:rPr>
        <w:t xml:space="preserve"> y dar apertura a la fase de presentación de oferta. Una vez la entidad estatal publica el pliego definitivo, la plataforma les permite a los proveedores interesados realizar sus ofrecimientos en línea. </w:t>
      </w:r>
      <w:r w:rsidR="005F361F" w:rsidRPr="007D3840">
        <w:rPr>
          <w:rFonts w:ascii="Geomanist Light" w:hAnsi="Geomanist Light" w:cs="Arial"/>
          <w:color w:val="000000" w:themeColor="text1"/>
          <w:sz w:val="22"/>
          <w:lang w:eastAsia="es-CO"/>
        </w:rPr>
        <w:t>Así las cosas,</w:t>
      </w:r>
      <w:r w:rsidR="001C2A4E" w:rsidRPr="007D3840">
        <w:rPr>
          <w:rFonts w:ascii="Geomanist Light" w:hAnsi="Geomanist Light" w:cs="Arial"/>
          <w:color w:val="000000" w:themeColor="text1"/>
          <w:sz w:val="22"/>
          <w:lang w:eastAsia="es-CO"/>
        </w:rPr>
        <w:t xml:space="preserve"> cuando se cumpla la fecha y hora límite para presentación de ofertas, SECOP II permitirá abrir las ofertas y realizar la evaluación correspondiente</w:t>
      </w:r>
      <w:r w:rsidR="005F361F" w:rsidRPr="007D3840">
        <w:rPr>
          <w:rFonts w:ascii="Geomanist Light" w:hAnsi="Geomanist Light" w:cs="Arial"/>
          <w:color w:val="000000" w:themeColor="text1"/>
          <w:sz w:val="22"/>
          <w:lang w:eastAsia="es-CO"/>
        </w:rPr>
        <w:t>.</w:t>
      </w:r>
    </w:p>
    <w:p w14:paraId="7CC9FB5B" w14:textId="7BBD11BD" w:rsidR="004520BC" w:rsidRPr="007D3840" w:rsidRDefault="004520BC" w:rsidP="00E34C54">
      <w:pPr>
        <w:spacing w:line="276" w:lineRule="auto"/>
        <w:ind w:firstLine="851"/>
        <w:jc w:val="both"/>
        <w:rPr>
          <w:rFonts w:ascii="Geomanist Light" w:hAnsi="Geomanist Light" w:cs="Arial"/>
          <w:sz w:val="22"/>
          <w:szCs w:val="22"/>
        </w:rPr>
      </w:pPr>
    </w:p>
    <w:p w14:paraId="1048D819" w14:textId="77777777" w:rsidR="005814ED" w:rsidRPr="007D3840" w:rsidRDefault="005814ED" w:rsidP="005814ED">
      <w:pPr>
        <w:spacing w:line="276" w:lineRule="auto"/>
        <w:jc w:val="both"/>
        <w:rPr>
          <w:rFonts w:ascii="Geomanist Light" w:eastAsia="Calibri" w:hAnsi="Geomanist Light" w:cs="Arial"/>
          <w:sz w:val="22"/>
        </w:rPr>
      </w:pPr>
      <w:r w:rsidRPr="007D3840">
        <w:rPr>
          <w:rFonts w:ascii="Geomanist Light" w:eastAsia="Calibri" w:hAnsi="Geomanist Light" w:cs="Arial"/>
          <w:sz w:val="22"/>
        </w:rPr>
        <w:t>Este concepto tiene el alcance previsto en el artículo 28 del Código de Procedimiento Administrativo y de lo Contencioso Administrativo.</w:t>
      </w:r>
    </w:p>
    <w:p w14:paraId="5596EFCD" w14:textId="77777777" w:rsidR="005814ED" w:rsidRPr="007D3840" w:rsidRDefault="005814ED" w:rsidP="005814ED">
      <w:pPr>
        <w:spacing w:line="276" w:lineRule="auto"/>
        <w:jc w:val="both"/>
        <w:rPr>
          <w:rFonts w:ascii="Geomanist Light" w:eastAsia="Calibri" w:hAnsi="Geomanist Light" w:cs="Arial"/>
          <w:sz w:val="22"/>
        </w:rPr>
      </w:pPr>
    </w:p>
    <w:p w14:paraId="1A7A7892" w14:textId="77777777" w:rsidR="005814ED" w:rsidRPr="007D3840" w:rsidRDefault="005814ED" w:rsidP="005814ED">
      <w:pPr>
        <w:rPr>
          <w:rFonts w:ascii="Geomanist Light" w:hAnsi="Geomanist Light" w:cs="Arial"/>
          <w:sz w:val="22"/>
          <w:lang w:eastAsia="es-CO"/>
        </w:rPr>
      </w:pPr>
      <w:r w:rsidRPr="007D3840">
        <w:rPr>
          <w:rFonts w:ascii="Geomanist Light" w:hAnsi="Geomanist Light" w:cs="Arial"/>
          <w:sz w:val="22"/>
          <w:lang w:eastAsia="es-CO"/>
        </w:rPr>
        <w:t>Atentamente,</w:t>
      </w:r>
    </w:p>
    <w:p w14:paraId="67703E7F" w14:textId="77777777" w:rsidR="005814ED" w:rsidRPr="007D3840" w:rsidRDefault="005814ED" w:rsidP="005814ED">
      <w:pPr>
        <w:spacing w:line="276" w:lineRule="auto"/>
        <w:jc w:val="both"/>
        <w:rPr>
          <w:rFonts w:ascii="Geomanist Light" w:eastAsia="Calibri" w:hAnsi="Geomanist Light" w:cs="Arial"/>
          <w:sz w:val="22"/>
        </w:rPr>
      </w:pPr>
    </w:p>
    <w:p w14:paraId="0A443A47" w14:textId="01CE31E9" w:rsidR="005814ED" w:rsidRPr="007D3840" w:rsidRDefault="007D3840" w:rsidP="007D3840">
      <w:pPr>
        <w:jc w:val="center"/>
        <w:rPr>
          <w:rFonts w:ascii="Geomanist Light" w:hAnsi="Geomanist Light" w:cs="Arial"/>
          <w:sz w:val="16"/>
          <w:szCs w:val="16"/>
          <w:lang w:val="es-MX"/>
        </w:rPr>
      </w:pPr>
      <w:r w:rsidRPr="007D3840">
        <w:rPr>
          <w:rFonts w:ascii="Geomanist Light" w:hAnsi="Geomanist Light" w:cs="Arial"/>
          <w:noProof/>
          <w:sz w:val="18"/>
          <w:szCs w:val="20"/>
          <w:lang w:eastAsia="es-CO"/>
        </w:rPr>
        <w:drawing>
          <wp:inline distT="0" distB="0" distL="0" distR="0" wp14:anchorId="5E5D7575" wp14:editId="42700417">
            <wp:extent cx="3117850" cy="1211580"/>
            <wp:effectExtent l="0" t="0" r="635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p>
    <w:p w14:paraId="767C6AD7" w14:textId="77777777" w:rsidR="005814ED" w:rsidRPr="007D3840" w:rsidRDefault="005814ED" w:rsidP="005814ED">
      <w:pPr>
        <w:rPr>
          <w:rFonts w:ascii="Geomanist Light" w:hAnsi="Geomanist Ligh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5814ED" w:rsidRPr="007D3840" w14:paraId="26D917AC" w14:textId="77777777" w:rsidTr="00935435">
        <w:trPr>
          <w:trHeight w:val="315"/>
        </w:trPr>
        <w:tc>
          <w:tcPr>
            <w:tcW w:w="812" w:type="dxa"/>
            <w:vAlign w:val="center"/>
            <w:hideMark/>
          </w:tcPr>
          <w:p w14:paraId="1E1BAB06"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rPr>
              <w:t>Elaboró:</w:t>
            </w:r>
          </w:p>
        </w:tc>
        <w:tc>
          <w:tcPr>
            <w:tcW w:w="4291" w:type="dxa"/>
            <w:tcBorders>
              <w:top w:val="nil"/>
              <w:left w:val="nil"/>
              <w:bottom w:val="dotted" w:sz="4" w:space="0" w:color="7F7F7F" w:themeColor="text1" w:themeTint="80"/>
              <w:right w:val="nil"/>
            </w:tcBorders>
            <w:vAlign w:val="center"/>
            <w:hideMark/>
          </w:tcPr>
          <w:p w14:paraId="267CD4D5" w14:textId="77777777" w:rsidR="005814ED" w:rsidRPr="007D3840" w:rsidRDefault="005814ED" w:rsidP="00935435">
            <w:pPr>
              <w:rPr>
                <w:rFonts w:ascii="Geomanist Light" w:hAnsi="Geomanist Light" w:cs="Arial"/>
                <w:sz w:val="16"/>
                <w:szCs w:val="16"/>
                <w:lang w:val="es-ES_tradnl"/>
              </w:rPr>
            </w:pPr>
            <w:r w:rsidRPr="007D3840">
              <w:rPr>
                <w:rFonts w:ascii="Geomanist Light" w:hAnsi="Geomanist Light" w:cs="Arial"/>
                <w:sz w:val="16"/>
                <w:szCs w:val="16"/>
                <w:lang w:val="es-ES_tradnl"/>
              </w:rPr>
              <w:t>Melissa Fernández Reinoso</w:t>
            </w:r>
          </w:p>
          <w:p w14:paraId="1DFDA614"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lang w:val="es-ES_tradnl"/>
              </w:rPr>
              <w:t>Analista T2-2 de la Subdirección de Gestión Contractual</w:t>
            </w:r>
          </w:p>
        </w:tc>
      </w:tr>
      <w:tr w:rsidR="005814ED" w:rsidRPr="007D3840" w14:paraId="59CEAA99" w14:textId="77777777" w:rsidTr="00935435">
        <w:trPr>
          <w:trHeight w:val="330"/>
        </w:trPr>
        <w:tc>
          <w:tcPr>
            <w:tcW w:w="812" w:type="dxa"/>
            <w:vAlign w:val="center"/>
            <w:hideMark/>
          </w:tcPr>
          <w:p w14:paraId="716DE31E"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1FAEFA99" w14:textId="77777777" w:rsidR="005814ED" w:rsidRPr="007D3840" w:rsidRDefault="005814ED" w:rsidP="00935435">
            <w:pPr>
              <w:spacing w:line="276" w:lineRule="auto"/>
              <w:rPr>
                <w:rFonts w:ascii="Geomanist Light" w:hAnsi="Geomanist Light" w:cs="Arial"/>
                <w:sz w:val="16"/>
                <w:szCs w:val="16"/>
                <w:lang w:val="es-ES_tradnl" w:eastAsia="es-ES"/>
              </w:rPr>
            </w:pPr>
            <w:r w:rsidRPr="007D3840">
              <w:rPr>
                <w:rFonts w:ascii="Geomanist Light" w:hAnsi="Geomanist Light" w:cs="Arial"/>
                <w:sz w:val="16"/>
                <w:szCs w:val="16"/>
                <w:lang w:val="es-ES_tradnl" w:eastAsia="es-ES"/>
              </w:rPr>
              <w:t>Alejandro Sarmiento Cantillo</w:t>
            </w:r>
          </w:p>
          <w:p w14:paraId="16D08D6F"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lang w:val="es-ES_tradnl" w:eastAsia="es-ES"/>
              </w:rPr>
              <w:t>Gestor T1-15 de la Subdirección de Gestión Contractual</w:t>
            </w:r>
          </w:p>
        </w:tc>
      </w:tr>
      <w:tr w:rsidR="005814ED" w:rsidRPr="007D3840" w14:paraId="20A37CF6" w14:textId="77777777" w:rsidTr="00935435">
        <w:trPr>
          <w:trHeight w:val="300"/>
        </w:trPr>
        <w:tc>
          <w:tcPr>
            <w:tcW w:w="812" w:type="dxa"/>
            <w:vAlign w:val="center"/>
            <w:hideMark/>
          </w:tcPr>
          <w:p w14:paraId="6873902A"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46E7A45"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rPr>
              <w:t>Juan David Marín López</w:t>
            </w:r>
          </w:p>
          <w:p w14:paraId="0D5568D5" w14:textId="77777777" w:rsidR="005814ED" w:rsidRPr="007D3840" w:rsidRDefault="005814ED" w:rsidP="00935435">
            <w:pPr>
              <w:rPr>
                <w:rFonts w:ascii="Geomanist Light" w:hAnsi="Geomanist Light" w:cs="Arial"/>
                <w:sz w:val="16"/>
                <w:szCs w:val="16"/>
              </w:rPr>
            </w:pPr>
            <w:r w:rsidRPr="007D3840">
              <w:rPr>
                <w:rFonts w:ascii="Geomanist Light" w:hAnsi="Geomanist Light" w:cs="Arial"/>
                <w:sz w:val="16"/>
                <w:szCs w:val="16"/>
              </w:rPr>
              <w:t>Subdirector de Gestión Contractual (E)</w:t>
            </w:r>
          </w:p>
        </w:tc>
      </w:tr>
    </w:tbl>
    <w:p w14:paraId="3AFDAB14" w14:textId="77777777" w:rsidR="005814ED" w:rsidRPr="007D3840" w:rsidRDefault="005814ED" w:rsidP="005814ED">
      <w:pPr>
        <w:rPr>
          <w:rFonts w:ascii="Geomanist Light" w:hAnsi="Geomanist Light"/>
          <w:lang w:val="es-MX"/>
        </w:rPr>
      </w:pPr>
    </w:p>
    <w:bookmarkEnd w:id="0"/>
    <w:p w14:paraId="2121B94B" w14:textId="7A32F75E" w:rsidR="005F361F" w:rsidRPr="007D3840" w:rsidRDefault="005F361F" w:rsidP="00A47D34">
      <w:pPr>
        <w:spacing w:line="276" w:lineRule="auto"/>
        <w:ind w:firstLine="709"/>
        <w:jc w:val="both"/>
        <w:rPr>
          <w:rFonts w:ascii="Geomanist Light" w:hAnsi="Geomanist Light" w:cs="Arial"/>
          <w:sz w:val="22"/>
          <w:szCs w:val="28"/>
        </w:rPr>
      </w:pPr>
    </w:p>
    <w:sectPr w:rsidR="005F361F" w:rsidRPr="007D3840" w:rsidSect="008A398E">
      <w:headerReference w:type="default" r:id="rId13"/>
      <w:footerReference w:type="default" r:id="rId14"/>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07614" w14:textId="77777777" w:rsidR="00446FC6" w:rsidRDefault="00446FC6" w:rsidP="00255C5E">
      <w:r>
        <w:separator/>
      </w:r>
    </w:p>
  </w:endnote>
  <w:endnote w:type="continuationSeparator" w:id="0">
    <w:p w14:paraId="76F59076" w14:textId="77777777" w:rsidR="00446FC6" w:rsidRDefault="00446FC6" w:rsidP="0025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BEB93" w14:textId="77777777" w:rsidR="000A615D" w:rsidRPr="008217B7" w:rsidRDefault="005814ED" w:rsidP="008A398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C466535" w14:textId="1F1A74DC" w:rsidR="000A615D" w:rsidRPr="008A398E" w:rsidRDefault="008A398E" w:rsidP="008A398E">
    <w:pPr>
      <w:pStyle w:val="Piedepgina"/>
      <w:jc w:val="center"/>
      <w:rPr>
        <w:lang w:val="es-ES"/>
      </w:rPr>
    </w:pPr>
    <w:r>
      <w:rPr>
        <w:rFonts w:ascii="Arial" w:hAnsi="Arial" w:cs="Arial"/>
        <w:bCs/>
        <w:noProof/>
        <w:color w:val="7F7F7F" w:themeColor="text1" w:themeTint="80"/>
        <w:sz w:val="16"/>
        <w:szCs w:val="16"/>
      </w:rPr>
      <w:drawing>
        <wp:inline distT="0" distB="0" distL="0" distR="0" wp14:anchorId="36DFAB40" wp14:editId="4226A25D">
          <wp:extent cx="5612130" cy="865113"/>
          <wp:effectExtent l="0" t="0" r="7620" b="0"/>
          <wp:docPr id="39" name="Imagen 3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86511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9543C" w14:textId="77777777" w:rsidR="00446FC6" w:rsidRDefault="00446FC6" w:rsidP="00255C5E">
      <w:r>
        <w:separator/>
      </w:r>
    </w:p>
  </w:footnote>
  <w:footnote w:type="continuationSeparator" w:id="0">
    <w:p w14:paraId="402812CD" w14:textId="77777777" w:rsidR="00446FC6" w:rsidRDefault="00446FC6" w:rsidP="00255C5E">
      <w:r>
        <w:continuationSeparator/>
      </w:r>
    </w:p>
  </w:footnote>
  <w:footnote w:id="1">
    <w:p w14:paraId="30B353E3"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Style w:val="Refdenotaalpie"/>
          <w:rFonts w:ascii="Arial" w:hAnsi="Arial" w:cs="Arial"/>
          <w:color w:val="000000" w:themeColor="text1"/>
          <w:sz w:val="19"/>
          <w:szCs w:val="19"/>
        </w:rPr>
        <w:footnoteRef/>
      </w:r>
      <w:r w:rsidRPr="00F66CAE">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AA5F3FE"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w:t>
      </w:r>
    </w:p>
    <w:p w14:paraId="7B8E50E1"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DC1C060"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w:t>
      </w:r>
    </w:p>
    <w:p w14:paraId="2CFDE770" w14:textId="77777777" w:rsidR="00926657" w:rsidRPr="00F66CAE" w:rsidRDefault="00926657" w:rsidP="00926657">
      <w:pPr>
        <w:pStyle w:val="Textonotapie"/>
        <w:jc w:val="both"/>
        <w:rPr>
          <w:rFonts w:ascii="Arial" w:hAnsi="Arial" w:cs="Arial"/>
          <w:color w:val="000000" w:themeColor="text1"/>
          <w:sz w:val="19"/>
          <w:szCs w:val="19"/>
          <w:lang w:val="es-ES"/>
        </w:rPr>
      </w:pPr>
    </w:p>
  </w:footnote>
  <w:footnote w:id="2">
    <w:p w14:paraId="23A46EE2" w14:textId="56089D34" w:rsidR="00926657" w:rsidRPr="00F66CAE" w:rsidRDefault="00926657" w:rsidP="00926657">
      <w:pPr>
        <w:pStyle w:val="Textonotapie"/>
        <w:ind w:firstLine="708"/>
        <w:jc w:val="both"/>
        <w:rPr>
          <w:rFonts w:ascii="Arial" w:hAnsi="Arial" w:cs="Arial"/>
          <w:color w:val="000000" w:themeColor="text1"/>
          <w:sz w:val="19"/>
          <w:szCs w:val="19"/>
        </w:rPr>
      </w:pPr>
      <w:r w:rsidRPr="00F66CAE">
        <w:rPr>
          <w:rStyle w:val="Refdenotaalpie"/>
          <w:rFonts w:ascii="Arial" w:hAnsi="Arial" w:cs="Arial"/>
          <w:color w:val="000000" w:themeColor="text1"/>
          <w:sz w:val="19"/>
          <w:szCs w:val="19"/>
        </w:rPr>
        <w:footnoteRef/>
      </w:r>
      <w:r w:rsidRPr="00F66CAE">
        <w:rPr>
          <w:rFonts w:ascii="Arial" w:hAnsi="Arial" w:cs="Arial"/>
          <w:color w:val="000000" w:themeColor="text1"/>
          <w:sz w:val="19"/>
          <w:szCs w:val="19"/>
        </w:rPr>
        <w:t xml:space="preserve"> </w:t>
      </w:r>
      <w:r w:rsidR="00BB47D5" w:rsidRPr="00F66CAE">
        <w:rPr>
          <w:rFonts w:ascii="Arial" w:hAnsi="Arial" w:cs="Arial"/>
          <w:color w:val="000000" w:themeColor="text1"/>
          <w:sz w:val="19"/>
          <w:szCs w:val="19"/>
        </w:rPr>
        <w:t>CORTE CONSTITUCIONAL</w:t>
      </w:r>
      <w:r w:rsidRPr="00F66CAE">
        <w:rPr>
          <w:rFonts w:ascii="Arial" w:hAnsi="Arial" w:cs="Arial"/>
          <w:color w:val="000000" w:themeColor="text1"/>
          <w:sz w:val="19"/>
          <w:szCs w:val="19"/>
        </w:rPr>
        <w:t>.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p w14:paraId="763E9A9B" w14:textId="77777777" w:rsidR="00926657" w:rsidRPr="00F66CAE" w:rsidRDefault="00926657" w:rsidP="00926657">
      <w:pPr>
        <w:pStyle w:val="Textonotapie"/>
        <w:ind w:firstLine="708"/>
        <w:jc w:val="both"/>
        <w:rPr>
          <w:rFonts w:ascii="Arial" w:hAnsi="Arial" w:cs="Arial"/>
          <w:color w:val="000000" w:themeColor="text1"/>
          <w:sz w:val="19"/>
          <w:szCs w:val="19"/>
          <w:lang w:val="es-ES"/>
        </w:rPr>
      </w:pPr>
    </w:p>
  </w:footnote>
  <w:footnote w:id="3">
    <w:p w14:paraId="5ABE2996" w14:textId="6D6A099C" w:rsidR="00926657" w:rsidRPr="00F66CAE" w:rsidRDefault="00926657" w:rsidP="00926657">
      <w:pPr>
        <w:pStyle w:val="Textonotapie"/>
        <w:ind w:firstLine="708"/>
        <w:jc w:val="both"/>
        <w:rPr>
          <w:rFonts w:ascii="Arial" w:hAnsi="Arial" w:cs="Arial"/>
          <w:color w:val="000000" w:themeColor="text1"/>
          <w:sz w:val="19"/>
          <w:szCs w:val="19"/>
          <w:lang w:val="es-ES"/>
        </w:rPr>
      </w:pPr>
      <w:r w:rsidRPr="00F66CAE">
        <w:rPr>
          <w:rStyle w:val="Refdenotaalpie"/>
          <w:rFonts w:ascii="Arial" w:hAnsi="Arial" w:cs="Arial"/>
          <w:color w:val="000000" w:themeColor="text1"/>
          <w:sz w:val="19"/>
          <w:szCs w:val="19"/>
        </w:rPr>
        <w:footnoteRef/>
      </w:r>
      <w:r w:rsidRPr="00F66CAE">
        <w:rPr>
          <w:rFonts w:ascii="Arial" w:hAnsi="Arial" w:cs="Arial"/>
          <w:color w:val="000000" w:themeColor="text1"/>
          <w:sz w:val="19"/>
          <w:szCs w:val="19"/>
        </w:rPr>
        <w:t xml:space="preserve"> </w:t>
      </w:r>
      <w:r w:rsidR="00BB47D5" w:rsidRPr="00F66CAE">
        <w:rPr>
          <w:rFonts w:ascii="Arial" w:hAnsi="Arial" w:cs="Arial"/>
          <w:color w:val="000000" w:themeColor="text1"/>
          <w:sz w:val="19"/>
          <w:szCs w:val="19"/>
        </w:rPr>
        <w:t>CONSEJO DE ESTADO.</w:t>
      </w:r>
      <w:r w:rsidRPr="00F66CAE">
        <w:rPr>
          <w:rFonts w:ascii="Arial" w:hAnsi="Arial" w:cs="Arial"/>
          <w:color w:val="000000" w:themeColor="text1"/>
          <w:sz w:val="19"/>
          <w:szCs w:val="19"/>
        </w:rPr>
        <w:t xml:space="preserve"> Sección Tercera. Sentencia del 11 de noviembre de 2009. Exp. 17.366. C.P. Mauricio Fajardo Gomez.</w:t>
      </w:r>
    </w:p>
  </w:footnote>
  <w:footnote w:id="4">
    <w:p w14:paraId="4C4E544E" w14:textId="77777777" w:rsidR="00926657" w:rsidRPr="00F66CAE" w:rsidRDefault="00926657" w:rsidP="00926657">
      <w:pPr>
        <w:pStyle w:val="Textonotapie"/>
        <w:ind w:firstLine="708"/>
        <w:jc w:val="both"/>
        <w:rPr>
          <w:rFonts w:ascii="Arial" w:hAnsi="Arial" w:cs="Arial"/>
          <w:color w:val="000000" w:themeColor="text1"/>
          <w:sz w:val="19"/>
          <w:szCs w:val="19"/>
        </w:rPr>
      </w:pPr>
    </w:p>
    <w:p w14:paraId="740514FE" w14:textId="2BB06FA9" w:rsidR="00926657" w:rsidRPr="00F66CAE" w:rsidRDefault="00926657" w:rsidP="00926657">
      <w:pPr>
        <w:pStyle w:val="Textonotapie"/>
        <w:ind w:firstLine="708"/>
        <w:jc w:val="both"/>
        <w:rPr>
          <w:rFonts w:ascii="Arial" w:hAnsi="Arial" w:cs="Arial"/>
          <w:color w:val="000000" w:themeColor="text1"/>
          <w:sz w:val="19"/>
          <w:szCs w:val="19"/>
        </w:rPr>
      </w:pPr>
      <w:r w:rsidRPr="00F66CAE">
        <w:rPr>
          <w:rStyle w:val="Refdenotaalpie"/>
          <w:rFonts w:ascii="Arial" w:hAnsi="Arial" w:cs="Arial"/>
          <w:color w:val="000000" w:themeColor="text1"/>
          <w:sz w:val="19"/>
          <w:szCs w:val="19"/>
        </w:rPr>
        <w:footnoteRef/>
      </w:r>
      <w:r w:rsidRPr="00F66CAE">
        <w:rPr>
          <w:rFonts w:ascii="Arial" w:hAnsi="Arial" w:cs="Arial"/>
          <w:color w:val="000000" w:themeColor="text1"/>
          <w:sz w:val="19"/>
          <w:szCs w:val="19"/>
        </w:rPr>
        <w:t xml:space="preserve"> </w:t>
      </w:r>
      <w:r w:rsidR="007532E9" w:rsidRPr="00F66CAE">
        <w:rPr>
          <w:rFonts w:ascii="Arial" w:hAnsi="Arial" w:cs="Arial"/>
          <w:color w:val="000000" w:themeColor="text1"/>
          <w:sz w:val="19"/>
          <w:szCs w:val="19"/>
        </w:rPr>
        <w:t>CONSEJO DE ESTADO</w:t>
      </w:r>
      <w:r w:rsidRPr="00F66CAE">
        <w:rPr>
          <w:rFonts w:ascii="Arial" w:hAnsi="Arial" w:cs="Arial"/>
          <w:color w:val="000000" w:themeColor="text1"/>
          <w:sz w:val="19"/>
          <w:szCs w:val="19"/>
        </w:rPr>
        <w:t>. S</w:t>
      </w:r>
      <w:r w:rsidR="007532E9">
        <w:rPr>
          <w:rFonts w:ascii="Arial" w:hAnsi="Arial" w:cs="Arial"/>
          <w:color w:val="000000" w:themeColor="text1"/>
          <w:sz w:val="19"/>
          <w:szCs w:val="19"/>
        </w:rPr>
        <w:t xml:space="preserve">ección Tercera. </w:t>
      </w:r>
      <w:r w:rsidRPr="00F66CAE">
        <w:rPr>
          <w:rFonts w:ascii="Arial" w:hAnsi="Arial" w:cs="Arial"/>
          <w:color w:val="000000" w:themeColor="text1"/>
          <w:sz w:val="19"/>
          <w:szCs w:val="19"/>
        </w:rPr>
        <w:t>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02033A41" w14:textId="77777777" w:rsidR="00926657" w:rsidRPr="00F66CAE" w:rsidRDefault="00926657" w:rsidP="00926657">
      <w:pPr>
        <w:pStyle w:val="Textonotapie"/>
        <w:ind w:firstLine="708"/>
        <w:jc w:val="both"/>
        <w:rPr>
          <w:rFonts w:ascii="Arial" w:hAnsi="Arial" w:cs="Arial"/>
          <w:color w:val="000000" w:themeColor="text1"/>
          <w:sz w:val="19"/>
          <w:szCs w:val="19"/>
          <w:lang w:val="es-ES"/>
        </w:rPr>
      </w:pPr>
    </w:p>
  </w:footnote>
  <w:footnote w:id="5">
    <w:p w14:paraId="50DE8B55"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Style w:val="Refdenotaalpie"/>
          <w:rFonts w:ascii="Arial" w:hAnsi="Arial" w:cs="Arial"/>
          <w:color w:val="000000" w:themeColor="text1"/>
          <w:sz w:val="19"/>
          <w:szCs w:val="19"/>
        </w:rPr>
        <w:footnoteRef/>
      </w:r>
      <w:r w:rsidRPr="00F66CAE">
        <w:rPr>
          <w:rFonts w:ascii="Arial" w:hAnsi="Arial" w:cs="Arial"/>
          <w:color w:val="000000" w:themeColor="text1"/>
          <w:sz w:val="19"/>
          <w:szCs w:val="19"/>
        </w:rPr>
        <w:t xml:space="preserve"> Decreto 1082 de 2015: «Artículo 2.2.1.1.2.1.3. Pliegos de condiciones. Los pliegos de condiciones deben contener por lo menos la siguiente información:</w:t>
      </w:r>
    </w:p>
    <w:p w14:paraId="04940CCF"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»1. La descripción técnica, detallada y completa del bien o servicio objeto del contrato, identificado con el cuarto nivel del Clasificador de Bienes y Servicios, de ser posible o de lo contrario con el tercer nivel del mismo.</w:t>
      </w:r>
    </w:p>
    <w:p w14:paraId="3EBC0BE9"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»2. La modalidad del proceso de selección y su justificación.</w:t>
      </w:r>
    </w:p>
    <w:p w14:paraId="4F21B1A6"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»3. Los criterios de selección, incluyendo los factores de desempate y los incentivos cuando a ello haya lugar.</w:t>
      </w:r>
    </w:p>
    <w:p w14:paraId="5AA91C7F"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»4. Las condiciones de costo y/o calidad que la Entidad Estatal debe tener en cuenta para la selección objetiva, de acuerdo con la modalidad de selección del contratista.</w:t>
      </w:r>
    </w:p>
    <w:p w14:paraId="24B72342"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»5.    Las reglas aplicables a la presentación de las ofertas, su evaluación y a la adjudicación del contrato.</w:t>
      </w:r>
    </w:p>
    <w:p w14:paraId="20D05CC4"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»6. Las causas que dan lugar a rechazar una oferta.</w:t>
      </w:r>
    </w:p>
    <w:p w14:paraId="7483911C"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»7. El valor del contrato, el plazo, el cronograma de pagos y la determinación de si debe haber lugar a la entrega de anticipo, y si hubiere, indicar su valor, el cual debe tener en cuenta los rendimientos que este pueda generar.</w:t>
      </w:r>
    </w:p>
    <w:p w14:paraId="7662CB11"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»8. Los Riesgos asociados al contrato, la forma de mitigarlos y la asignación del Riesgo entre las partes contratantes.</w:t>
      </w:r>
    </w:p>
    <w:p w14:paraId="47153A98"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»9. Las garantías exigidas en el Proceso de Contratación y sus condiciones.</w:t>
      </w:r>
    </w:p>
    <w:p w14:paraId="1475B6F5"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»10. La mención de si la Entidad Estatal y el contrato objeto de los pliegos de condiciones están cubiertos por un Acuerdo Comercial.</w:t>
      </w:r>
    </w:p>
    <w:p w14:paraId="02F89166"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»11. Los términos, condiciones y minuta del contrato.</w:t>
      </w:r>
    </w:p>
    <w:p w14:paraId="14EEB8F8"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»12. Los términos de la supervisión y/o de la interventoría del contrato.</w:t>
      </w:r>
    </w:p>
    <w:p w14:paraId="253ABD71"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»13. El plazo dentro del cual la Entidad Estatal puede expedir Adendas.</w:t>
      </w:r>
    </w:p>
    <w:p w14:paraId="59825D22" w14:textId="77777777" w:rsidR="00926657" w:rsidRPr="00F66CAE" w:rsidRDefault="00926657" w:rsidP="00926657">
      <w:pPr>
        <w:pStyle w:val="Textonotapie"/>
        <w:ind w:firstLine="708"/>
        <w:jc w:val="both"/>
        <w:rPr>
          <w:rFonts w:ascii="Arial" w:hAnsi="Arial" w:cs="Arial"/>
          <w:color w:val="000000" w:themeColor="text1"/>
          <w:sz w:val="19"/>
          <w:szCs w:val="19"/>
        </w:rPr>
      </w:pPr>
      <w:r w:rsidRPr="00F66CAE">
        <w:rPr>
          <w:rFonts w:ascii="Arial" w:hAnsi="Arial" w:cs="Arial"/>
          <w:color w:val="000000" w:themeColor="text1"/>
          <w:sz w:val="19"/>
          <w:szCs w:val="19"/>
        </w:rPr>
        <w:t>»14. El Cronograma».</w:t>
      </w:r>
    </w:p>
    <w:p w14:paraId="793BCD52" w14:textId="77777777" w:rsidR="00926657" w:rsidRPr="00F66CAE" w:rsidRDefault="00926657" w:rsidP="00926657">
      <w:pPr>
        <w:pStyle w:val="Textonotapie"/>
        <w:jc w:val="both"/>
        <w:rPr>
          <w:rFonts w:ascii="Arial" w:hAnsi="Arial" w:cs="Arial"/>
          <w:color w:val="000000" w:themeColor="text1"/>
          <w:sz w:val="19"/>
          <w:szCs w:val="19"/>
        </w:rPr>
      </w:pPr>
    </w:p>
  </w:footnote>
  <w:footnote w:id="6">
    <w:p w14:paraId="0640B92E" w14:textId="77777777" w:rsidR="00926657" w:rsidRPr="00F66CAE" w:rsidRDefault="00926657" w:rsidP="00926657">
      <w:pPr>
        <w:pStyle w:val="Textonotapie"/>
        <w:ind w:firstLine="708"/>
        <w:jc w:val="both"/>
        <w:rPr>
          <w:rFonts w:ascii="Arial" w:hAnsi="Arial" w:cs="Arial"/>
          <w:sz w:val="19"/>
          <w:szCs w:val="19"/>
        </w:rPr>
      </w:pPr>
      <w:r w:rsidRPr="00F66CAE">
        <w:rPr>
          <w:rStyle w:val="Refdenotaalpie"/>
          <w:rFonts w:ascii="Arial" w:hAnsi="Arial" w:cs="Arial"/>
          <w:sz w:val="19"/>
          <w:szCs w:val="19"/>
        </w:rPr>
        <w:footnoteRef/>
      </w:r>
      <w:r w:rsidRPr="00F66CAE">
        <w:rPr>
          <w:rFonts w:ascii="Arial" w:hAnsi="Arial" w:cs="Arial"/>
          <w:sz w:val="19"/>
          <w:szCs w:val="19"/>
        </w:rPr>
        <w:t xml:space="preserve"> GONZÁLEZ LÓPEZ, Edgar</w:t>
      </w:r>
      <w:r w:rsidRPr="00F66CAE">
        <w:rPr>
          <w:rFonts w:ascii="Arial" w:hAnsi="Arial" w:cs="Arial"/>
          <w:i/>
          <w:iCs/>
          <w:sz w:val="19"/>
          <w:szCs w:val="19"/>
        </w:rPr>
        <w:t xml:space="preserve">. </w:t>
      </w:r>
      <w:r w:rsidRPr="00F66CAE">
        <w:rPr>
          <w:rFonts w:ascii="Arial" w:hAnsi="Arial" w:cs="Arial"/>
          <w:sz w:val="19"/>
          <w:szCs w:val="19"/>
        </w:rPr>
        <w:t xml:space="preserve">El pliego de condiciones en la contratación. La reforma consagrada en la Ley 1150 de 2007 y sus decretos reglamentarios. Universidad Externado de Colombia. Primera edición, 2010, pp. 64.  </w:t>
      </w:r>
    </w:p>
  </w:footnote>
  <w:footnote w:id="7">
    <w:p w14:paraId="121CFCA1" w14:textId="77777777" w:rsidR="00926657" w:rsidRPr="00F66CAE" w:rsidRDefault="00926657" w:rsidP="00926657">
      <w:pPr>
        <w:pStyle w:val="Textonotapie"/>
        <w:spacing w:after="120"/>
        <w:ind w:firstLine="709"/>
        <w:jc w:val="both"/>
        <w:rPr>
          <w:rFonts w:ascii="Arial" w:hAnsi="Arial" w:cs="Arial"/>
          <w:sz w:val="19"/>
          <w:szCs w:val="19"/>
        </w:rPr>
      </w:pPr>
      <w:r w:rsidRPr="00F66CAE">
        <w:rPr>
          <w:rStyle w:val="Refdenotaalpie"/>
          <w:rFonts w:ascii="Arial" w:hAnsi="Arial" w:cs="Arial"/>
          <w:sz w:val="19"/>
          <w:szCs w:val="19"/>
        </w:rPr>
        <w:footnoteRef/>
      </w:r>
      <w:r w:rsidRPr="00F66CAE">
        <w:rPr>
          <w:rFonts w:ascii="Arial" w:hAnsi="Arial" w:cs="Arial"/>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7D147025" w14:textId="77777777" w:rsidR="00926657" w:rsidRPr="00F66CAE" w:rsidRDefault="00926657" w:rsidP="00926657">
      <w:pPr>
        <w:pStyle w:val="Textonotapie"/>
        <w:ind w:firstLine="708"/>
        <w:jc w:val="both"/>
        <w:rPr>
          <w:rFonts w:ascii="Arial" w:hAnsi="Arial" w:cs="Arial"/>
          <w:sz w:val="19"/>
          <w:szCs w:val="19"/>
        </w:rPr>
      </w:pPr>
      <w:r w:rsidRPr="00F66CAE">
        <w:rPr>
          <w:rFonts w:ascii="Arial" w:hAnsi="Arial" w:cs="Arial"/>
          <w:sz w:val="19"/>
          <w:szCs w:val="19"/>
        </w:rPr>
        <w:t xml:space="preserve">»La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  </w:t>
      </w:r>
    </w:p>
  </w:footnote>
  <w:footnote w:id="8">
    <w:p w14:paraId="141F3C79" w14:textId="77777777" w:rsidR="00926657" w:rsidRPr="00F66CAE" w:rsidRDefault="00926657" w:rsidP="00926657">
      <w:pPr>
        <w:pStyle w:val="Textonotapie"/>
        <w:ind w:firstLine="708"/>
        <w:jc w:val="both"/>
        <w:rPr>
          <w:rFonts w:ascii="Arial" w:hAnsi="Arial" w:cs="Arial"/>
          <w:sz w:val="19"/>
          <w:szCs w:val="19"/>
        </w:rPr>
      </w:pPr>
      <w:r w:rsidRPr="00F66CAE">
        <w:rPr>
          <w:rStyle w:val="Refdenotaalpie"/>
          <w:rFonts w:ascii="Arial" w:hAnsi="Arial" w:cs="Arial"/>
          <w:sz w:val="19"/>
          <w:szCs w:val="19"/>
        </w:rPr>
        <w:footnoteRef/>
      </w:r>
      <w:r w:rsidRPr="00F66CAE">
        <w:rPr>
          <w:rFonts w:ascii="Arial" w:hAnsi="Arial" w:cs="Arial"/>
          <w:sz w:val="19"/>
          <w:szCs w:val="19"/>
        </w:rPr>
        <w:t xml:space="preserve"> OSPINA MENA, Jesús Marino. Régimen de la Contratación Estatal. Un salto a la contratación líquida. Bogotá: Ed. 1ª. Diké, 2020. p. 383.</w:t>
      </w:r>
    </w:p>
    <w:p w14:paraId="0D5F9958" w14:textId="77777777" w:rsidR="00926657" w:rsidRPr="00F66CAE" w:rsidRDefault="00926657" w:rsidP="00926657">
      <w:pPr>
        <w:pStyle w:val="Textonotapie"/>
        <w:ind w:firstLine="708"/>
        <w:jc w:val="both"/>
        <w:rPr>
          <w:rFonts w:ascii="Arial" w:hAnsi="Arial" w:cs="Arial"/>
          <w:sz w:val="19"/>
          <w:szCs w:val="19"/>
        </w:rPr>
      </w:pPr>
    </w:p>
  </w:footnote>
  <w:footnote w:id="9">
    <w:p w14:paraId="278A7EF7" w14:textId="77777777" w:rsidR="00926657" w:rsidRPr="00F66CAE" w:rsidRDefault="00926657" w:rsidP="00926657">
      <w:pPr>
        <w:pStyle w:val="Textonotapie"/>
        <w:ind w:firstLine="708"/>
        <w:jc w:val="both"/>
        <w:rPr>
          <w:rFonts w:ascii="Arial" w:hAnsi="Arial" w:cs="Arial"/>
          <w:sz w:val="19"/>
          <w:szCs w:val="19"/>
        </w:rPr>
      </w:pPr>
      <w:r w:rsidRPr="00F66CAE">
        <w:rPr>
          <w:rStyle w:val="Refdenotaalpie"/>
          <w:rFonts w:ascii="Arial" w:hAnsi="Arial" w:cs="Arial"/>
          <w:sz w:val="19"/>
          <w:szCs w:val="19"/>
        </w:rPr>
        <w:footnoteRef/>
      </w:r>
      <w:r w:rsidRPr="00F66CAE">
        <w:rPr>
          <w:rFonts w:ascii="Arial" w:hAnsi="Arial" w:cs="Arial"/>
          <w:sz w:val="19"/>
          <w:szCs w:val="19"/>
        </w:rPr>
        <w:t xml:space="preserve"> CONSEJO DE ESTADO. Sección Tercera. Sentencia de 30 de noviembre de 2006. Exp. 18.059. M.P. Alier Hernández Enríquez.</w:t>
      </w:r>
    </w:p>
    <w:p w14:paraId="073593D7" w14:textId="77777777" w:rsidR="00926657" w:rsidRPr="00F66CAE" w:rsidRDefault="00926657" w:rsidP="00926657">
      <w:pPr>
        <w:pStyle w:val="Textonotapie"/>
        <w:jc w:val="both"/>
        <w:rPr>
          <w:rFonts w:ascii="Arial" w:hAnsi="Arial" w:cs="Arial"/>
          <w:sz w:val="19"/>
          <w:szCs w:val="19"/>
        </w:rPr>
      </w:pPr>
    </w:p>
  </w:footnote>
  <w:footnote w:id="10">
    <w:p w14:paraId="2D7544DF" w14:textId="77777777" w:rsidR="00926657" w:rsidRPr="00F66CAE" w:rsidRDefault="00926657" w:rsidP="00926657">
      <w:pPr>
        <w:pStyle w:val="Textonotapie"/>
        <w:ind w:firstLine="708"/>
        <w:jc w:val="both"/>
        <w:rPr>
          <w:rFonts w:ascii="Arial" w:hAnsi="Arial" w:cs="Arial"/>
          <w:sz w:val="19"/>
          <w:szCs w:val="19"/>
          <w:lang w:val="es-CO"/>
        </w:rPr>
      </w:pPr>
      <w:r w:rsidRPr="00F66CAE">
        <w:rPr>
          <w:rStyle w:val="Refdenotaalpie"/>
          <w:rFonts w:ascii="Arial" w:hAnsi="Arial" w:cs="Arial"/>
          <w:sz w:val="19"/>
          <w:szCs w:val="19"/>
        </w:rPr>
        <w:footnoteRef/>
      </w:r>
      <w:r w:rsidRPr="00F66CAE">
        <w:rPr>
          <w:rFonts w:ascii="Arial" w:hAnsi="Arial" w:cs="Arial"/>
          <w:sz w:val="19"/>
          <w:szCs w:val="19"/>
        </w:rPr>
        <w:t xml:space="preserve"> Sin perjuicio de lo que ocurre en los procedimientos de selección regidos por los documentos tipo, donde se reduce, en buena medida, dicha discrecionalidad.</w:t>
      </w:r>
    </w:p>
  </w:footnote>
  <w:footnote w:id="11">
    <w:p w14:paraId="06DFE779" w14:textId="77777777" w:rsidR="00926657" w:rsidRPr="00F66CAE" w:rsidRDefault="00926657" w:rsidP="00926657">
      <w:pPr>
        <w:ind w:firstLine="720"/>
        <w:jc w:val="both"/>
        <w:rPr>
          <w:rFonts w:ascii="Arial" w:hAnsi="Arial" w:cs="Arial"/>
          <w:sz w:val="19"/>
          <w:szCs w:val="19"/>
        </w:rPr>
      </w:pPr>
      <w:r w:rsidRPr="00F66CAE">
        <w:rPr>
          <w:rStyle w:val="Refdenotaalpie"/>
          <w:rFonts w:ascii="Arial" w:hAnsi="Arial" w:cs="Arial"/>
          <w:sz w:val="19"/>
          <w:szCs w:val="19"/>
        </w:rPr>
        <w:footnoteRef/>
      </w:r>
      <w:r w:rsidRPr="00F66CAE">
        <w:rPr>
          <w:rFonts w:ascii="Arial" w:hAnsi="Arial" w:cs="Arial"/>
          <w:sz w:val="19"/>
          <w:szCs w:val="19"/>
        </w:rPr>
        <w:t xml:space="preserve"> CONSEJO DE ESTADO. Sección Tercera. Subsección A. Sentencia del 16 de septiembre de 2013. Exp. 30.571. C.P. Mauricio Fajardo Gómez. En dicha providencia el Consejo de Estado se pronunció sobre la fuerza vinculante de las respuestas a las observaciones presentadas por los interesados.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07DBB" w14:textId="5F1BAB13" w:rsidR="000A615D" w:rsidRDefault="0090412D" w:rsidP="0090412D">
    <w:pPr>
      <w:pStyle w:val="Encabezado"/>
      <w:jc w:val="right"/>
    </w:pPr>
    <w:r>
      <w:rPr>
        <w:noProof/>
      </w:rPr>
      <w:drawing>
        <wp:inline distT="0" distB="0" distL="0" distR="0" wp14:anchorId="437EE778" wp14:editId="7682D230">
          <wp:extent cx="1688465" cy="701040"/>
          <wp:effectExtent l="0" t="0" r="6985" b="3810"/>
          <wp:docPr id="38" name="Imagen 38"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1814"/>
    <w:multiLevelType w:val="hybridMultilevel"/>
    <w:tmpl w:val="FB5457A0"/>
    <w:lvl w:ilvl="0" w:tplc="DEDE9C20">
      <w:start w:val="2"/>
      <w:numFmt w:val="bullet"/>
      <w:lvlText w:val="-"/>
      <w:lvlJc w:val="left"/>
      <w:pPr>
        <w:ind w:left="2351" w:hanging="360"/>
      </w:pPr>
      <w:rPr>
        <w:rFonts w:ascii="Segoe UI Symbol" w:eastAsia="Times New Roman" w:hAnsi="Segoe UI Symbol" w:cs="Segoe UI Symbol" w:hint="default"/>
      </w:rPr>
    </w:lvl>
    <w:lvl w:ilvl="1" w:tplc="240A0003" w:tentative="1">
      <w:start w:val="1"/>
      <w:numFmt w:val="bullet"/>
      <w:lvlText w:val="o"/>
      <w:lvlJc w:val="left"/>
      <w:pPr>
        <w:ind w:left="3071" w:hanging="360"/>
      </w:pPr>
      <w:rPr>
        <w:rFonts w:ascii="Courier New" w:hAnsi="Courier New" w:cs="Courier New" w:hint="default"/>
      </w:rPr>
    </w:lvl>
    <w:lvl w:ilvl="2" w:tplc="240A0005" w:tentative="1">
      <w:start w:val="1"/>
      <w:numFmt w:val="bullet"/>
      <w:lvlText w:val=""/>
      <w:lvlJc w:val="left"/>
      <w:pPr>
        <w:ind w:left="3791" w:hanging="360"/>
      </w:pPr>
      <w:rPr>
        <w:rFonts w:ascii="Wingdings" w:hAnsi="Wingdings" w:hint="default"/>
      </w:rPr>
    </w:lvl>
    <w:lvl w:ilvl="3" w:tplc="240A0001" w:tentative="1">
      <w:start w:val="1"/>
      <w:numFmt w:val="bullet"/>
      <w:lvlText w:val=""/>
      <w:lvlJc w:val="left"/>
      <w:pPr>
        <w:ind w:left="4511" w:hanging="360"/>
      </w:pPr>
      <w:rPr>
        <w:rFonts w:ascii="Symbol" w:hAnsi="Symbol" w:hint="default"/>
      </w:rPr>
    </w:lvl>
    <w:lvl w:ilvl="4" w:tplc="240A0003" w:tentative="1">
      <w:start w:val="1"/>
      <w:numFmt w:val="bullet"/>
      <w:lvlText w:val="o"/>
      <w:lvlJc w:val="left"/>
      <w:pPr>
        <w:ind w:left="5231" w:hanging="360"/>
      </w:pPr>
      <w:rPr>
        <w:rFonts w:ascii="Courier New" w:hAnsi="Courier New" w:cs="Courier New" w:hint="default"/>
      </w:rPr>
    </w:lvl>
    <w:lvl w:ilvl="5" w:tplc="240A0005" w:tentative="1">
      <w:start w:val="1"/>
      <w:numFmt w:val="bullet"/>
      <w:lvlText w:val=""/>
      <w:lvlJc w:val="left"/>
      <w:pPr>
        <w:ind w:left="5951" w:hanging="360"/>
      </w:pPr>
      <w:rPr>
        <w:rFonts w:ascii="Wingdings" w:hAnsi="Wingdings" w:hint="default"/>
      </w:rPr>
    </w:lvl>
    <w:lvl w:ilvl="6" w:tplc="240A0001" w:tentative="1">
      <w:start w:val="1"/>
      <w:numFmt w:val="bullet"/>
      <w:lvlText w:val=""/>
      <w:lvlJc w:val="left"/>
      <w:pPr>
        <w:ind w:left="6671" w:hanging="360"/>
      </w:pPr>
      <w:rPr>
        <w:rFonts w:ascii="Symbol" w:hAnsi="Symbol" w:hint="default"/>
      </w:rPr>
    </w:lvl>
    <w:lvl w:ilvl="7" w:tplc="240A0003" w:tentative="1">
      <w:start w:val="1"/>
      <w:numFmt w:val="bullet"/>
      <w:lvlText w:val="o"/>
      <w:lvlJc w:val="left"/>
      <w:pPr>
        <w:ind w:left="7391" w:hanging="360"/>
      </w:pPr>
      <w:rPr>
        <w:rFonts w:ascii="Courier New" w:hAnsi="Courier New" w:cs="Courier New" w:hint="default"/>
      </w:rPr>
    </w:lvl>
    <w:lvl w:ilvl="8" w:tplc="240A0005" w:tentative="1">
      <w:start w:val="1"/>
      <w:numFmt w:val="bullet"/>
      <w:lvlText w:val=""/>
      <w:lvlJc w:val="left"/>
      <w:pPr>
        <w:ind w:left="8111" w:hanging="360"/>
      </w:pPr>
      <w:rPr>
        <w:rFonts w:ascii="Wingdings" w:hAnsi="Wingdings" w:hint="default"/>
      </w:rPr>
    </w:lvl>
  </w:abstractNum>
  <w:abstractNum w:abstractNumId="1"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86B7379"/>
    <w:multiLevelType w:val="hybridMultilevel"/>
    <w:tmpl w:val="CE5C4A58"/>
    <w:lvl w:ilvl="0" w:tplc="240A0017">
      <w:start w:val="3"/>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BF12685"/>
    <w:multiLevelType w:val="multilevel"/>
    <w:tmpl w:val="DA56985E"/>
    <w:lvl w:ilvl="0">
      <w:start w:val="2"/>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342F2E8E"/>
    <w:multiLevelType w:val="hybridMultilevel"/>
    <w:tmpl w:val="F26A724C"/>
    <w:lvl w:ilvl="0" w:tplc="240A000D">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22A0D6C"/>
    <w:multiLevelType w:val="hybridMultilevel"/>
    <w:tmpl w:val="5EF44EEC"/>
    <w:lvl w:ilvl="0" w:tplc="5EAC7A46">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E6B6FB4"/>
    <w:multiLevelType w:val="hybridMultilevel"/>
    <w:tmpl w:val="5080BB04"/>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675B5014"/>
    <w:multiLevelType w:val="hybridMultilevel"/>
    <w:tmpl w:val="0624045E"/>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1312659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9345761">
    <w:abstractNumId w:val="7"/>
  </w:num>
  <w:num w:numId="3" w16cid:durableId="1253928479">
    <w:abstractNumId w:val="6"/>
  </w:num>
  <w:num w:numId="4" w16cid:durableId="935987613">
    <w:abstractNumId w:val="4"/>
  </w:num>
  <w:num w:numId="5" w16cid:durableId="1195852490">
    <w:abstractNumId w:val="0"/>
  </w:num>
  <w:num w:numId="6" w16cid:durableId="411658157">
    <w:abstractNumId w:val="5"/>
  </w:num>
  <w:num w:numId="7" w16cid:durableId="532228441">
    <w:abstractNumId w:val="2"/>
  </w:num>
  <w:num w:numId="8" w16cid:durableId="8106363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C5E"/>
    <w:rsid w:val="00021485"/>
    <w:rsid w:val="00050DE1"/>
    <w:rsid w:val="00054260"/>
    <w:rsid w:val="00060C84"/>
    <w:rsid w:val="00065D99"/>
    <w:rsid w:val="000712E9"/>
    <w:rsid w:val="00072725"/>
    <w:rsid w:val="00086B75"/>
    <w:rsid w:val="000B3F76"/>
    <w:rsid w:val="000D342E"/>
    <w:rsid w:val="001123C1"/>
    <w:rsid w:val="0013270F"/>
    <w:rsid w:val="001361C0"/>
    <w:rsid w:val="00146579"/>
    <w:rsid w:val="0015607E"/>
    <w:rsid w:val="001754B9"/>
    <w:rsid w:val="001A605F"/>
    <w:rsid w:val="001B4AE4"/>
    <w:rsid w:val="001C2A4E"/>
    <w:rsid w:val="001C4C25"/>
    <w:rsid w:val="001D0F51"/>
    <w:rsid w:val="001F5ABF"/>
    <w:rsid w:val="00204302"/>
    <w:rsid w:val="002248F0"/>
    <w:rsid w:val="00224F10"/>
    <w:rsid w:val="00232989"/>
    <w:rsid w:val="002364DD"/>
    <w:rsid w:val="00255C5E"/>
    <w:rsid w:val="00256876"/>
    <w:rsid w:val="00257A7F"/>
    <w:rsid w:val="002C1029"/>
    <w:rsid w:val="002C78DC"/>
    <w:rsid w:val="002D628D"/>
    <w:rsid w:val="002F0193"/>
    <w:rsid w:val="002F2C56"/>
    <w:rsid w:val="00313E9B"/>
    <w:rsid w:val="00315215"/>
    <w:rsid w:val="00375103"/>
    <w:rsid w:val="00382AE9"/>
    <w:rsid w:val="00396AFA"/>
    <w:rsid w:val="003B0C15"/>
    <w:rsid w:val="003D42E9"/>
    <w:rsid w:val="003E1288"/>
    <w:rsid w:val="003E4220"/>
    <w:rsid w:val="003F21DB"/>
    <w:rsid w:val="00446FC6"/>
    <w:rsid w:val="004520BC"/>
    <w:rsid w:val="00467ACE"/>
    <w:rsid w:val="0047237B"/>
    <w:rsid w:val="00483043"/>
    <w:rsid w:val="004B5D54"/>
    <w:rsid w:val="004B6943"/>
    <w:rsid w:val="004C1B20"/>
    <w:rsid w:val="004E109D"/>
    <w:rsid w:val="00530138"/>
    <w:rsid w:val="0053437F"/>
    <w:rsid w:val="00547D47"/>
    <w:rsid w:val="00551204"/>
    <w:rsid w:val="00573E6E"/>
    <w:rsid w:val="005814ED"/>
    <w:rsid w:val="00583643"/>
    <w:rsid w:val="00586030"/>
    <w:rsid w:val="005B63D4"/>
    <w:rsid w:val="005C2E98"/>
    <w:rsid w:val="005C33CA"/>
    <w:rsid w:val="005E00FC"/>
    <w:rsid w:val="005F04E4"/>
    <w:rsid w:val="005F361F"/>
    <w:rsid w:val="005F65C1"/>
    <w:rsid w:val="005F769B"/>
    <w:rsid w:val="00603A3B"/>
    <w:rsid w:val="00615462"/>
    <w:rsid w:val="0062433F"/>
    <w:rsid w:val="006252EC"/>
    <w:rsid w:val="00654BBF"/>
    <w:rsid w:val="0068514A"/>
    <w:rsid w:val="00686E96"/>
    <w:rsid w:val="006936CA"/>
    <w:rsid w:val="006A1FB6"/>
    <w:rsid w:val="006A4159"/>
    <w:rsid w:val="006D16AA"/>
    <w:rsid w:val="006D4576"/>
    <w:rsid w:val="006E200B"/>
    <w:rsid w:val="007017CA"/>
    <w:rsid w:val="00702F7C"/>
    <w:rsid w:val="00707609"/>
    <w:rsid w:val="0073029E"/>
    <w:rsid w:val="007532E9"/>
    <w:rsid w:val="007619F1"/>
    <w:rsid w:val="00762E23"/>
    <w:rsid w:val="00774358"/>
    <w:rsid w:val="007B76E2"/>
    <w:rsid w:val="007D3840"/>
    <w:rsid w:val="007E4388"/>
    <w:rsid w:val="00824ED6"/>
    <w:rsid w:val="00853E2D"/>
    <w:rsid w:val="00860125"/>
    <w:rsid w:val="008744B2"/>
    <w:rsid w:val="0087675D"/>
    <w:rsid w:val="0087696A"/>
    <w:rsid w:val="00894C3A"/>
    <w:rsid w:val="008A2E25"/>
    <w:rsid w:val="008A398E"/>
    <w:rsid w:val="008C351E"/>
    <w:rsid w:val="008D67E7"/>
    <w:rsid w:val="008E299F"/>
    <w:rsid w:val="0090412D"/>
    <w:rsid w:val="00907984"/>
    <w:rsid w:val="009133F6"/>
    <w:rsid w:val="00920113"/>
    <w:rsid w:val="009226EF"/>
    <w:rsid w:val="00922D33"/>
    <w:rsid w:val="00926657"/>
    <w:rsid w:val="009359DE"/>
    <w:rsid w:val="00974F26"/>
    <w:rsid w:val="00993013"/>
    <w:rsid w:val="009B0B80"/>
    <w:rsid w:val="009C4A97"/>
    <w:rsid w:val="009D1C1A"/>
    <w:rsid w:val="009D7AD5"/>
    <w:rsid w:val="00A028C0"/>
    <w:rsid w:val="00A02D0E"/>
    <w:rsid w:val="00A17148"/>
    <w:rsid w:val="00A37BBD"/>
    <w:rsid w:val="00A440AA"/>
    <w:rsid w:val="00A47D34"/>
    <w:rsid w:val="00A95D0C"/>
    <w:rsid w:val="00AC7F53"/>
    <w:rsid w:val="00AE5BFF"/>
    <w:rsid w:val="00AF0AA3"/>
    <w:rsid w:val="00B47233"/>
    <w:rsid w:val="00B50DBA"/>
    <w:rsid w:val="00B5654E"/>
    <w:rsid w:val="00B640DF"/>
    <w:rsid w:val="00B868DE"/>
    <w:rsid w:val="00B954AA"/>
    <w:rsid w:val="00BB47D5"/>
    <w:rsid w:val="00BE3B6B"/>
    <w:rsid w:val="00BF37A9"/>
    <w:rsid w:val="00C14870"/>
    <w:rsid w:val="00C229BB"/>
    <w:rsid w:val="00C347D1"/>
    <w:rsid w:val="00C467C9"/>
    <w:rsid w:val="00C53F92"/>
    <w:rsid w:val="00C56FD2"/>
    <w:rsid w:val="00C612F5"/>
    <w:rsid w:val="00C72F03"/>
    <w:rsid w:val="00C85B1D"/>
    <w:rsid w:val="00CE5C66"/>
    <w:rsid w:val="00CF14F1"/>
    <w:rsid w:val="00CF760E"/>
    <w:rsid w:val="00D43A5A"/>
    <w:rsid w:val="00D453DD"/>
    <w:rsid w:val="00D71A7D"/>
    <w:rsid w:val="00D75C6A"/>
    <w:rsid w:val="00DA2EB8"/>
    <w:rsid w:val="00DB04A4"/>
    <w:rsid w:val="00DC3092"/>
    <w:rsid w:val="00E2061E"/>
    <w:rsid w:val="00E32991"/>
    <w:rsid w:val="00E34C54"/>
    <w:rsid w:val="00E3651E"/>
    <w:rsid w:val="00E40598"/>
    <w:rsid w:val="00E50C99"/>
    <w:rsid w:val="00E602C5"/>
    <w:rsid w:val="00E80F9F"/>
    <w:rsid w:val="00E958E9"/>
    <w:rsid w:val="00EA2206"/>
    <w:rsid w:val="00EC7B09"/>
    <w:rsid w:val="00EE26EA"/>
    <w:rsid w:val="00F02103"/>
    <w:rsid w:val="00F05444"/>
    <w:rsid w:val="00F15C75"/>
    <w:rsid w:val="00F20362"/>
    <w:rsid w:val="00F30465"/>
    <w:rsid w:val="00F31227"/>
    <w:rsid w:val="00F35DDD"/>
    <w:rsid w:val="00F55B65"/>
    <w:rsid w:val="00F66074"/>
    <w:rsid w:val="00F67F03"/>
    <w:rsid w:val="00F71498"/>
    <w:rsid w:val="00F73B42"/>
    <w:rsid w:val="00F846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65E7B"/>
  <w15:chartTrackingRefBased/>
  <w15:docId w15:val="{17C376CE-F5AA-4FBF-A10A-57BFF141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5E"/>
    <w:pPr>
      <w:spacing w:after="0" w:line="240" w:lineRule="auto"/>
      <w:ind w:firstLine="0"/>
      <w:jc w:val="left"/>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55C5E"/>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255C5E"/>
    <w:rPr>
      <w:sz w:val="24"/>
      <w:lang w:val="es-MX"/>
    </w:rPr>
  </w:style>
  <w:style w:type="paragraph" w:styleId="Encabezado">
    <w:name w:val="header"/>
    <w:basedOn w:val="Normal"/>
    <w:link w:val="EncabezadoCar"/>
    <w:uiPriority w:val="99"/>
    <w:unhideWhenUsed/>
    <w:rsid w:val="00255C5E"/>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255C5E"/>
    <w:rPr>
      <w:sz w:val="24"/>
      <w:lang w:val="es-MX"/>
    </w:rPr>
  </w:style>
  <w:style w:type="table" w:styleId="Tablaconcuadrcula">
    <w:name w:val="Table Grid"/>
    <w:basedOn w:val="Tablanormal"/>
    <w:uiPriority w:val="39"/>
    <w:qFormat/>
    <w:rsid w:val="00255C5E"/>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255C5E"/>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255C5E"/>
    <w:pPr>
      <w:spacing w:after="0" w:line="240" w:lineRule="auto"/>
      <w:ind w:firstLine="0"/>
      <w:jc w:val="left"/>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55C5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55C5E"/>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255C5E"/>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55C5E"/>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55C5E"/>
    <w:rPr>
      <w:vertAlign w:val="superscript"/>
    </w:rPr>
  </w:style>
  <w:style w:type="paragraph" w:customStyle="1" w:styleId="Appelnotedebasde">
    <w:name w:val="Appel note de bas de..."/>
    <w:basedOn w:val="Normal"/>
    <w:link w:val="Refdenotaalpie"/>
    <w:uiPriority w:val="99"/>
    <w:rsid w:val="00255C5E"/>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apple-converted-space">
    <w:name w:val="apple-converted-space"/>
    <w:basedOn w:val="Fuentedeprrafopredeter"/>
    <w:rsid w:val="00255C5E"/>
  </w:style>
  <w:style w:type="paragraph" w:customStyle="1" w:styleId="xmsonospacing">
    <w:name w:val="x_msonospacing"/>
    <w:basedOn w:val="Normal"/>
    <w:rsid w:val="00255C5E"/>
    <w:pPr>
      <w:spacing w:before="100" w:beforeAutospacing="1" w:after="100" w:afterAutospacing="1"/>
    </w:pPr>
  </w:style>
  <w:style w:type="character" w:customStyle="1" w:styleId="normaltextrun">
    <w:name w:val="normaltextrun"/>
    <w:basedOn w:val="Fuentedeprrafopredeter"/>
    <w:rsid w:val="00255C5E"/>
  </w:style>
  <w:style w:type="character" w:customStyle="1" w:styleId="xnormaltextrun">
    <w:name w:val="x_normaltextrun"/>
    <w:basedOn w:val="Fuentedeprrafopredeter"/>
    <w:rsid w:val="00255C5E"/>
  </w:style>
  <w:style w:type="paragraph" w:customStyle="1" w:styleId="paragraph">
    <w:name w:val="paragraph"/>
    <w:basedOn w:val="Normal"/>
    <w:rsid w:val="00255C5E"/>
    <w:pPr>
      <w:spacing w:before="100" w:beforeAutospacing="1" w:after="100" w:afterAutospacing="1"/>
    </w:pPr>
  </w:style>
  <w:style w:type="character" w:customStyle="1" w:styleId="eop">
    <w:name w:val="eop"/>
    <w:basedOn w:val="Fuentedeprrafopredeter"/>
    <w:rsid w:val="00255C5E"/>
  </w:style>
  <w:style w:type="character" w:styleId="Hipervnculo">
    <w:name w:val="Hyperlink"/>
    <w:basedOn w:val="Fuentedeprrafopredeter"/>
    <w:uiPriority w:val="99"/>
    <w:unhideWhenUsed/>
    <w:rsid w:val="00EE26EA"/>
    <w:rPr>
      <w:color w:val="0563C1" w:themeColor="hyperlink"/>
      <w:u w:val="single"/>
    </w:rPr>
  </w:style>
  <w:style w:type="character" w:styleId="Mencinsinresolver">
    <w:name w:val="Unresolved Mention"/>
    <w:basedOn w:val="Fuentedeprrafopredeter"/>
    <w:uiPriority w:val="99"/>
    <w:semiHidden/>
    <w:unhideWhenUsed/>
    <w:rsid w:val="00EE26EA"/>
    <w:rPr>
      <w:color w:val="605E5C"/>
      <w:shd w:val="clear" w:color="auto" w:fill="E1DFDD"/>
    </w:rPr>
  </w:style>
  <w:style w:type="paragraph" w:styleId="Revisin">
    <w:name w:val="Revision"/>
    <w:hidden/>
    <w:uiPriority w:val="99"/>
    <w:semiHidden/>
    <w:rsid w:val="006A4159"/>
    <w:pPr>
      <w:spacing w:after="0" w:line="240" w:lineRule="auto"/>
      <w:ind w:firstLine="0"/>
      <w:jc w:val="left"/>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1"/>
    <w:qFormat/>
    <w:rsid w:val="0092665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926657"/>
    <w:rPr>
      <w:rFonts w:ascii="Arial" w:eastAsia="Arial" w:hAnsi="Arial" w:cs="Arial"/>
      <w:sz w:val="20"/>
      <w:szCs w:val="20"/>
      <w:lang w:val="es-ES"/>
    </w:rPr>
  </w:style>
  <w:style w:type="character" w:styleId="Refdecomentario">
    <w:name w:val="annotation reference"/>
    <w:basedOn w:val="Fuentedeprrafopredeter"/>
    <w:uiPriority w:val="99"/>
    <w:semiHidden/>
    <w:unhideWhenUsed/>
    <w:rsid w:val="00BB47D5"/>
    <w:rPr>
      <w:sz w:val="16"/>
      <w:szCs w:val="16"/>
    </w:rPr>
  </w:style>
  <w:style w:type="paragraph" w:styleId="Textocomentario">
    <w:name w:val="annotation text"/>
    <w:basedOn w:val="Normal"/>
    <w:link w:val="TextocomentarioCar"/>
    <w:uiPriority w:val="99"/>
    <w:unhideWhenUsed/>
    <w:rsid w:val="00BB47D5"/>
    <w:rPr>
      <w:sz w:val="20"/>
      <w:szCs w:val="20"/>
    </w:rPr>
  </w:style>
  <w:style w:type="character" w:customStyle="1" w:styleId="TextocomentarioCar">
    <w:name w:val="Texto comentario Car"/>
    <w:basedOn w:val="Fuentedeprrafopredeter"/>
    <w:link w:val="Textocomentario"/>
    <w:uiPriority w:val="99"/>
    <w:rsid w:val="00BB47D5"/>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BB47D5"/>
    <w:rPr>
      <w:b/>
      <w:bCs/>
    </w:rPr>
  </w:style>
  <w:style w:type="character" w:customStyle="1" w:styleId="AsuntodelcomentarioCar">
    <w:name w:val="Asunto del comentario Car"/>
    <w:basedOn w:val="TextocomentarioCar"/>
    <w:link w:val="Asuntodelcomentario"/>
    <w:uiPriority w:val="99"/>
    <w:semiHidden/>
    <w:rsid w:val="00BB47D5"/>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54318">
      <w:bodyDiv w:val="1"/>
      <w:marLeft w:val="0"/>
      <w:marRight w:val="0"/>
      <w:marTop w:val="0"/>
      <w:marBottom w:val="0"/>
      <w:divBdr>
        <w:top w:val="none" w:sz="0" w:space="0" w:color="auto"/>
        <w:left w:val="none" w:sz="0" w:space="0" w:color="auto"/>
        <w:bottom w:val="none" w:sz="0" w:space="0" w:color="auto"/>
        <w:right w:val="none" w:sz="0" w:space="0" w:color="auto"/>
      </w:divBdr>
    </w:div>
    <w:div w:id="103858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07BE-A5B2-4EBE-9E98-954480FF3CDB}">
  <ds:schemaRefs>
    <ds:schemaRef ds:uri="http://schemas.microsoft.com/sharepoint/v3/contenttype/forms"/>
  </ds:schemaRefs>
</ds:datastoreItem>
</file>

<file path=customXml/itemProps2.xml><?xml version="1.0" encoding="utf-8"?>
<ds:datastoreItem xmlns:ds="http://schemas.openxmlformats.org/officeDocument/2006/customXml" ds:itemID="{24433747-1B92-42AA-803C-44A232B3A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3CF84-2579-4169-BAFC-E9A4F3E5CE4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E87CCFC-AB5E-402E-ABFB-824116CB8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4718</Words>
  <Characters>25953</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9</cp:revision>
  <dcterms:created xsi:type="dcterms:W3CDTF">2022-10-24T15:06:00Z</dcterms:created>
  <dcterms:modified xsi:type="dcterms:W3CDTF">2022-10-25T21:49:00Z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