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99C7B" w14:textId="77777777" w:rsidR="0010662B" w:rsidRPr="00EC1A0C" w:rsidRDefault="0010662B" w:rsidP="0010662B">
      <w:pPr>
        <w:pStyle w:val="Sinespaciado"/>
        <w:jc w:val="both"/>
        <w:rPr>
          <w:rFonts w:ascii="Verdana" w:hAnsi="Verdana" w:cs="Arial"/>
          <w:b/>
          <w:bCs/>
          <w:sz w:val="22"/>
          <w:lang w:val="es-ES"/>
        </w:rPr>
      </w:pPr>
      <w:r w:rsidRPr="00EC1A0C">
        <w:rPr>
          <w:rFonts w:ascii="Verdana" w:hAnsi="Verdana" w:cs="Arial"/>
          <w:b/>
          <w:bCs/>
          <w:sz w:val="22"/>
          <w:lang w:val="es-ES"/>
        </w:rPr>
        <w:t>INHABILIDADES – Definición – Finalidad – Limitación capacidad</w:t>
      </w:r>
    </w:p>
    <w:p w14:paraId="7DB4DB00" w14:textId="77777777" w:rsidR="0010662B" w:rsidRPr="00EC1A0C" w:rsidRDefault="0010662B" w:rsidP="0010662B">
      <w:pPr>
        <w:pStyle w:val="Sinespaciado"/>
        <w:jc w:val="both"/>
        <w:rPr>
          <w:rFonts w:ascii="Verdana" w:hAnsi="Verdana" w:cs="Arial"/>
          <w:sz w:val="20"/>
          <w:szCs w:val="20"/>
          <w:lang w:val="es-ES"/>
        </w:rPr>
      </w:pPr>
    </w:p>
    <w:p w14:paraId="1E42816B" w14:textId="77777777" w:rsidR="0010662B" w:rsidRPr="00EC1A0C" w:rsidRDefault="0010662B" w:rsidP="0010662B">
      <w:pPr>
        <w:pStyle w:val="Sinespaciado"/>
        <w:jc w:val="both"/>
        <w:rPr>
          <w:rFonts w:ascii="Verdana" w:hAnsi="Verdana" w:cs="Arial"/>
          <w:sz w:val="20"/>
          <w:szCs w:val="20"/>
          <w:lang w:val="es-ES"/>
        </w:rPr>
      </w:pPr>
      <w:r w:rsidRPr="00EC1A0C">
        <w:rPr>
          <w:rFonts w:ascii="Verdana" w:hAnsi="Verdana" w:cs="Arial"/>
          <w:sz w:val="20"/>
          <w:szCs w:val="20"/>
          <w:lang w:val="es-ES"/>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786BA76E" w14:textId="77777777" w:rsidR="0010662B" w:rsidRPr="00EC1A0C" w:rsidRDefault="0010662B" w:rsidP="0010662B">
      <w:pPr>
        <w:pStyle w:val="Sinespaciado"/>
        <w:jc w:val="both"/>
        <w:rPr>
          <w:rFonts w:ascii="Verdana" w:hAnsi="Verdana" w:cs="Arial"/>
          <w:sz w:val="20"/>
          <w:szCs w:val="20"/>
          <w:lang w:val="es-ES"/>
        </w:rPr>
      </w:pPr>
    </w:p>
    <w:p w14:paraId="550324B1" w14:textId="77777777" w:rsidR="0010662B" w:rsidRPr="00EC1A0C" w:rsidRDefault="0010662B" w:rsidP="0010662B">
      <w:pPr>
        <w:pStyle w:val="Sinespaciado"/>
        <w:jc w:val="both"/>
        <w:rPr>
          <w:rFonts w:ascii="Verdana" w:hAnsi="Verdana" w:cs="Arial"/>
          <w:sz w:val="20"/>
          <w:szCs w:val="20"/>
          <w:lang w:val="es-ES"/>
        </w:rPr>
      </w:pPr>
      <w:r w:rsidRPr="00EC1A0C">
        <w:rPr>
          <w:rFonts w:ascii="Verdana" w:hAnsi="Verdana" w:cs="Arial"/>
          <w:sz w:val="20"/>
          <w:szCs w:val="20"/>
          <w:lang w:val="es-ES"/>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74A36C58" w14:textId="77777777" w:rsidR="0010662B" w:rsidRPr="00EC1A0C" w:rsidRDefault="0010662B" w:rsidP="0010662B">
      <w:pPr>
        <w:pStyle w:val="Sinespaciado"/>
        <w:jc w:val="both"/>
        <w:rPr>
          <w:rFonts w:ascii="Verdana" w:hAnsi="Verdana" w:cs="Arial"/>
          <w:sz w:val="20"/>
          <w:szCs w:val="20"/>
          <w:lang w:val="es-ES"/>
        </w:rPr>
      </w:pPr>
    </w:p>
    <w:p w14:paraId="3C806833" w14:textId="77777777" w:rsidR="0010662B" w:rsidRPr="00EC1A0C" w:rsidRDefault="0010662B" w:rsidP="0010662B">
      <w:pPr>
        <w:pStyle w:val="Sinespaciado"/>
        <w:jc w:val="both"/>
        <w:rPr>
          <w:rFonts w:ascii="Verdana" w:hAnsi="Verdana" w:cs="Arial"/>
          <w:sz w:val="21"/>
          <w:szCs w:val="21"/>
          <w:lang w:val="es-ES"/>
        </w:rPr>
      </w:pPr>
      <w:r w:rsidRPr="00EC1A0C">
        <w:rPr>
          <w:rFonts w:ascii="Verdana" w:hAnsi="Verdana" w:cs="Arial"/>
          <w:b/>
          <w:bCs/>
          <w:sz w:val="22"/>
          <w:lang w:val="es-ES"/>
        </w:rPr>
        <w:t>INHABILIDADES – Clasificación – Sanción – Proceso sancionatorio – Requisito – Condiciones personales</w:t>
      </w:r>
    </w:p>
    <w:p w14:paraId="252A4CAA" w14:textId="77777777" w:rsidR="0010662B" w:rsidRPr="00EC1A0C" w:rsidRDefault="0010662B" w:rsidP="0010662B">
      <w:pPr>
        <w:spacing w:after="0" w:line="240" w:lineRule="auto"/>
        <w:jc w:val="both"/>
        <w:rPr>
          <w:rFonts w:ascii="Verdana" w:hAnsi="Verdana" w:cs="Arial"/>
          <w:sz w:val="20"/>
          <w:szCs w:val="20"/>
          <w:lang w:val="es-ES"/>
        </w:rPr>
      </w:pPr>
    </w:p>
    <w:p w14:paraId="62CBCAF5" w14:textId="77777777" w:rsidR="0010662B" w:rsidRDefault="0010662B" w:rsidP="0010662B">
      <w:pPr>
        <w:spacing w:after="0" w:line="240" w:lineRule="auto"/>
        <w:jc w:val="both"/>
        <w:rPr>
          <w:rFonts w:ascii="Verdana" w:hAnsi="Verdana" w:cs="Arial"/>
          <w:sz w:val="20"/>
          <w:szCs w:val="20"/>
          <w:lang w:val="es-ES"/>
        </w:rPr>
      </w:pPr>
      <w:r w:rsidRPr="00EC1A0C">
        <w:rPr>
          <w:rFonts w:ascii="Verdana" w:hAnsi="Verdana" w:cs="Arial"/>
          <w:sz w:val="20"/>
          <w:szCs w:val="20"/>
          <w:lang w:val="es-ES"/>
        </w:rPr>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p>
    <w:p w14:paraId="3F35F17F" w14:textId="77777777" w:rsidR="0010662B" w:rsidRPr="00EC1A0C" w:rsidRDefault="0010662B" w:rsidP="0010662B">
      <w:pPr>
        <w:spacing w:after="0" w:line="240" w:lineRule="auto"/>
        <w:jc w:val="both"/>
        <w:rPr>
          <w:rFonts w:ascii="Verdana" w:hAnsi="Verdana" w:cs="Arial"/>
          <w:sz w:val="20"/>
          <w:szCs w:val="20"/>
          <w:lang w:val="es-ES"/>
        </w:rPr>
      </w:pPr>
    </w:p>
    <w:p w14:paraId="137E5C79" w14:textId="77777777" w:rsidR="0010662B" w:rsidRPr="00EC1A0C" w:rsidRDefault="0010662B" w:rsidP="0010662B">
      <w:pPr>
        <w:spacing w:after="0" w:line="240" w:lineRule="auto"/>
        <w:jc w:val="both"/>
        <w:rPr>
          <w:rFonts w:ascii="Verdana" w:hAnsi="Verdana" w:cs="Arial"/>
          <w:sz w:val="20"/>
          <w:szCs w:val="20"/>
          <w:lang w:val="es-ES"/>
        </w:rPr>
      </w:pPr>
      <w:r w:rsidRPr="00EC1A0C">
        <w:rPr>
          <w:rFonts w:ascii="Verdana" w:hAnsi="Verdana" w:cs="Arial"/>
          <w:sz w:val="20"/>
          <w:szCs w:val="20"/>
          <w:lang w:val="es-ES"/>
        </w:rPr>
        <w:t>[…]</w:t>
      </w:r>
    </w:p>
    <w:p w14:paraId="71AE3E6F" w14:textId="77777777" w:rsidR="0010662B" w:rsidRPr="00EC1A0C" w:rsidRDefault="0010662B" w:rsidP="0010662B">
      <w:pPr>
        <w:spacing w:after="0" w:line="240" w:lineRule="auto"/>
        <w:jc w:val="both"/>
        <w:rPr>
          <w:rFonts w:ascii="Verdana" w:hAnsi="Verdana" w:cs="Arial"/>
          <w:sz w:val="20"/>
          <w:szCs w:val="20"/>
          <w:lang w:val="es-ES"/>
        </w:rPr>
      </w:pPr>
    </w:p>
    <w:p w14:paraId="449E162B" w14:textId="77777777" w:rsidR="0010662B" w:rsidRDefault="0010662B" w:rsidP="0010662B">
      <w:pPr>
        <w:spacing w:after="0" w:line="240" w:lineRule="auto"/>
        <w:jc w:val="both"/>
        <w:rPr>
          <w:rFonts w:ascii="Verdana" w:hAnsi="Verdana" w:cs="Arial"/>
          <w:sz w:val="20"/>
          <w:szCs w:val="20"/>
          <w:lang w:val="es-ES"/>
        </w:rPr>
      </w:pPr>
      <w:r w:rsidRPr="00EC1A0C">
        <w:rPr>
          <w:rFonts w:ascii="Verdana" w:hAnsi="Verdana" w:cs="Arial"/>
          <w:sz w:val="20"/>
          <w:szCs w:val="20"/>
          <w:lang w:val="es-ES"/>
        </w:rPr>
        <w:t>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w:t>
      </w:r>
    </w:p>
    <w:p w14:paraId="7FC5548C" w14:textId="77777777" w:rsidR="0010662B" w:rsidRPr="00EC1A0C" w:rsidRDefault="0010662B" w:rsidP="0010662B">
      <w:pPr>
        <w:spacing w:after="0" w:line="240" w:lineRule="auto"/>
        <w:jc w:val="both"/>
        <w:rPr>
          <w:rFonts w:ascii="Verdana" w:eastAsia="Calibri" w:hAnsi="Verdana" w:cs="Arial"/>
          <w:sz w:val="20"/>
          <w:szCs w:val="20"/>
          <w:lang w:val="es-ES"/>
        </w:rPr>
      </w:pPr>
    </w:p>
    <w:p w14:paraId="50497266" w14:textId="77777777" w:rsidR="0010662B" w:rsidRPr="00EC1A0C" w:rsidRDefault="0010662B" w:rsidP="0010662B">
      <w:pPr>
        <w:spacing w:after="0" w:line="240" w:lineRule="auto"/>
        <w:jc w:val="both"/>
        <w:rPr>
          <w:rFonts w:ascii="Verdana" w:eastAsia="Calibri" w:hAnsi="Verdana" w:cs="Arial"/>
          <w:b/>
          <w:bCs/>
          <w:lang w:val="es-ES"/>
        </w:rPr>
      </w:pPr>
      <w:r w:rsidRPr="00EC1A0C">
        <w:rPr>
          <w:rFonts w:ascii="Verdana" w:eastAsia="Calibri" w:hAnsi="Verdana" w:cs="Arial"/>
          <w:b/>
          <w:bCs/>
          <w:lang w:val="es-ES"/>
        </w:rPr>
        <w:t>INHABILIDADES – Taxatividad – Principio de legalidad – Interpretación restrictiva</w:t>
      </w:r>
    </w:p>
    <w:p w14:paraId="2CB6907E" w14:textId="77777777" w:rsidR="0010662B" w:rsidRPr="00EC1A0C" w:rsidRDefault="0010662B" w:rsidP="0010662B">
      <w:pPr>
        <w:spacing w:after="0" w:line="240" w:lineRule="auto"/>
        <w:jc w:val="both"/>
        <w:rPr>
          <w:rFonts w:ascii="Verdana" w:eastAsia="Calibri" w:hAnsi="Verdana" w:cs="Arial"/>
          <w:sz w:val="20"/>
          <w:szCs w:val="20"/>
          <w:lang w:val="es-ES"/>
        </w:rPr>
      </w:pPr>
    </w:p>
    <w:p w14:paraId="72D1F8A7" w14:textId="77777777" w:rsidR="0010662B" w:rsidRDefault="0010662B" w:rsidP="0010662B">
      <w:pPr>
        <w:spacing w:after="0" w:line="240" w:lineRule="auto"/>
        <w:jc w:val="both"/>
        <w:rPr>
          <w:rFonts w:ascii="Verdana" w:eastAsia="Calibri" w:hAnsi="Verdana" w:cs="Arial"/>
          <w:sz w:val="20"/>
          <w:szCs w:val="20"/>
          <w:lang w:val="es-ES"/>
        </w:rPr>
      </w:pPr>
      <w:r w:rsidRPr="00EC1A0C">
        <w:rPr>
          <w:rFonts w:ascii="Verdana" w:eastAsia="Calibri" w:hAnsi="Verdana" w:cs="Arial"/>
          <w:sz w:val="20"/>
          <w:szCs w:val="20"/>
          <w:lang w:val="es-ES"/>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restrictiva ,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w:t>
      </w:r>
      <w:r w:rsidRPr="00EC1A0C">
        <w:rPr>
          <w:rFonts w:ascii="Verdana" w:eastAsia="Calibri" w:hAnsi="Verdana" w:cs="Arial"/>
          <w:sz w:val="20"/>
          <w:szCs w:val="20"/>
          <w:lang w:val="es-ES"/>
        </w:rPr>
        <w:lastRenderedPageBreak/>
        <w:t>y el ejercicio de la profesión u oficio. Tal ha sido la postura de la jurisprudencia, tanto de la Corte Constitucional como de la Sección Tercera del Consejo de Estado.</w:t>
      </w:r>
    </w:p>
    <w:p w14:paraId="7C3D186C" w14:textId="77777777" w:rsidR="0010662B" w:rsidRDefault="0010662B" w:rsidP="0010662B">
      <w:pPr>
        <w:spacing w:after="0" w:line="240" w:lineRule="auto"/>
        <w:jc w:val="both"/>
        <w:rPr>
          <w:rFonts w:ascii="Verdana" w:eastAsia="Calibri" w:hAnsi="Verdana" w:cs="Arial"/>
          <w:sz w:val="20"/>
          <w:szCs w:val="20"/>
          <w:lang w:val="es-ES"/>
        </w:rPr>
      </w:pPr>
    </w:p>
    <w:p w14:paraId="4EDEEDE1" w14:textId="77777777" w:rsidR="0010662B" w:rsidRDefault="0010662B" w:rsidP="0010662B">
      <w:pPr>
        <w:spacing w:after="0"/>
        <w:jc w:val="both"/>
        <w:rPr>
          <w:rFonts w:ascii="Verdana" w:eastAsia="Calibri" w:hAnsi="Verdana" w:cs="Arial"/>
          <w:b/>
          <w:bCs/>
          <w:lang w:val="es-ES"/>
        </w:rPr>
      </w:pPr>
      <w:r w:rsidRPr="00BE228C">
        <w:rPr>
          <w:rFonts w:ascii="Verdana" w:eastAsia="Calibri" w:hAnsi="Verdana" w:cs="Arial"/>
          <w:b/>
          <w:bCs/>
          <w:lang w:val="es-ES"/>
        </w:rPr>
        <w:t xml:space="preserve">INHABILIDADES – </w:t>
      </w:r>
      <w:r>
        <w:rPr>
          <w:rFonts w:ascii="Verdana" w:eastAsia="Calibri" w:hAnsi="Verdana" w:cs="Arial"/>
          <w:b/>
          <w:bCs/>
          <w:lang w:val="es-ES"/>
        </w:rPr>
        <w:t xml:space="preserve">Personas naturales </w:t>
      </w:r>
      <w:r w:rsidRPr="00BE228C">
        <w:rPr>
          <w:rFonts w:ascii="Verdana" w:eastAsia="Calibri" w:hAnsi="Verdana" w:cs="Arial"/>
          <w:b/>
          <w:bCs/>
          <w:lang w:val="es-ES"/>
        </w:rPr>
        <w:t xml:space="preserve">– Personas jurídicas – </w:t>
      </w:r>
      <w:r>
        <w:rPr>
          <w:rFonts w:ascii="Verdana" w:eastAsia="Calibri" w:hAnsi="Verdana" w:cs="Arial"/>
          <w:b/>
          <w:bCs/>
          <w:lang w:val="es-ES"/>
        </w:rPr>
        <w:t xml:space="preserve">Extensibles a sociedades </w:t>
      </w:r>
      <w:r w:rsidRPr="00BE228C">
        <w:rPr>
          <w:rFonts w:ascii="Verdana" w:eastAsia="Calibri" w:hAnsi="Verdana" w:cs="Arial"/>
          <w:b/>
          <w:bCs/>
          <w:lang w:val="es-ES"/>
        </w:rPr>
        <w:t xml:space="preserve">– </w:t>
      </w:r>
      <w:r w:rsidRPr="0009222D">
        <w:rPr>
          <w:rFonts w:ascii="Verdana" w:eastAsia="Calibri" w:hAnsi="Verdana" w:cs="Arial"/>
          <w:b/>
          <w:bCs/>
          <w:lang w:val="es-ES"/>
        </w:rPr>
        <w:t>Artículo 8 numeral 1 literal j)</w:t>
      </w:r>
    </w:p>
    <w:p w14:paraId="5958BA50" w14:textId="77777777" w:rsidR="0010662B" w:rsidRDefault="0010662B" w:rsidP="0010662B">
      <w:pPr>
        <w:spacing w:after="0"/>
        <w:jc w:val="both"/>
        <w:rPr>
          <w:rFonts w:ascii="Verdana" w:eastAsia="Calibri" w:hAnsi="Verdana" w:cs="Arial"/>
          <w:b/>
          <w:bCs/>
          <w:lang w:val="es-ES"/>
        </w:rPr>
      </w:pPr>
    </w:p>
    <w:p w14:paraId="3BF06648" w14:textId="77777777" w:rsidR="0010662B" w:rsidRPr="00BE228C" w:rsidRDefault="0010662B" w:rsidP="0010662B">
      <w:pPr>
        <w:spacing w:after="0"/>
        <w:jc w:val="both"/>
        <w:rPr>
          <w:rFonts w:ascii="Verdana" w:eastAsia="Calibri" w:hAnsi="Verdana" w:cs="Arial"/>
          <w:sz w:val="20"/>
          <w:szCs w:val="20"/>
          <w:lang w:val="es-ES"/>
        </w:rPr>
      </w:pPr>
      <w:r w:rsidRPr="00A45BD5">
        <w:rPr>
          <w:rFonts w:ascii="Verdana" w:eastAsia="Calibri" w:hAnsi="Verdana" w:cs="Arial"/>
          <w:sz w:val="20"/>
          <w:szCs w:val="20"/>
          <w:lang w:val="es-ES"/>
        </w:rPr>
        <w:t>De manera que, en el evento en que un socio controlante de la sociedad interesada en participar en una convocatoria pública de selección de contratistas o que pretenda suscribir contratos con el Estado, sea objeto de alguna de las inhabilidades enlistadas, dicha inhabilidad extiende sus efectos a la sociedad, con excepción de las sociedades anónimas abiertas.</w:t>
      </w:r>
      <w:r w:rsidRPr="00BE228C">
        <w:rPr>
          <w:rFonts w:ascii="Verdana" w:eastAsia="Calibri" w:hAnsi="Verdana" w:cs="Arial"/>
          <w:sz w:val="20"/>
          <w:szCs w:val="20"/>
          <w:lang w:val="es-ES"/>
        </w:rPr>
        <w:t xml:space="preserve">  </w:t>
      </w:r>
    </w:p>
    <w:p w14:paraId="10909C1F" w14:textId="77777777" w:rsidR="0010662B" w:rsidRDefault="0010662B" w:rsidP="0010662B">
      <w:pPr>
        <w:spacing w:after="0"/>
        <w:jc w:val="both"/>
        <w:rPr>
          <w:rFonts w:ascii="Verdana" w:eastAsia="Calibri" w:hAnsi="Verdana" w:cs="Arial"/>
          <w:sz w:val="20"/>
          <w:szCs w:val="20"/>
          <w:lang w:val="es-ES"/>
        </w:rPr>
      </w:pPr>
    </w:p>
    <w:p w14:paraId="16C1FB13" w14:textId="77777777" w:rsidR="0010662B" w:rsidRDefault="0010662B" w:rsidP="0010662B">
      <w:pPr>
        <w:spacing w:after="0"/>
        <w:jc w:val="both"/>
        <w:rPr>
          <w:rFonts w:ascii="Verdana" w:eastAsia="Calibri" w:hAnsi="Verdana" w:cs="Arial"/>
          <w:sz w:val="20"/>
          <w:szCs w:val="20"/>
          <w:lang w:val="es-ES"/>
        </w:rPr>
      </w:pPr>
      <w:r>
        <w:rPr>
          <w:rFonts w:ascii="Verdana" w:eastAsia="Calibri" w:hAnsi="Verdana" w:cs="Arial"/>
          <w:sz w:val="20"/>
          <w:szCs w:val="20"/>
          <w:lang w:val="es-ES"/>
        </w:rPr>
        <w:t>[…]</w:t>
      </w:r>
    </w:p>
    <w:p w14:paraId="2AC9C904" w14:textId="77777777" w:rsidR="0010662B" w:rsidRPr="00BE228C" w:rsidRDefault="0010662B" w:rsidP="0010662B">
      <w:pPr>
        <w:spacing w:after="0"/>
        <w:jc w:val="both"/>
        <w:rPr>
          <w:rFonts w:ascii="Verdana" w:eastAsia="Calibri" w:hAnsi="Verdana" w:cs="Arial"/>
          <w:sz w:val="20"/>
          <w:szCs w:val="20"/>
          <w:lang w:val="es-ES"/>
        </w:rPr>
      </w:pPr>
    </w:p>
    <w:p w14:paraId="1A317260" w14:textId="77777777" w:rsidR="0010662B" w:rsidRPr="00EC1A0C" w:rsidRDefault="0010662B" w:rsidP="0010662B">
      <w:pPr>
        <w:spacing w:after="0" w:line="240" w:lineRule="auto"/>
        <w:jc w:val="both"/>
        <w:rPr>
          <w:rFonts w:ascii="Verdana" w:eastAsia="Arial" w:hAnsi="Verdana" w:cs="Arial"/>
          <w:sz w:val="20"/>
          <w:szCs w:val="20"/>
        </w:rPr>
      </w:pPr>
      <w:r w:rsidRPr="00A26E15">
        <w:rPr>
          <w:rFonts w:ascii="Verdana" w:eastAsia="Calibri" w:hAnsi="Verdana" w:cs="Arial"/>
          <w:sz w:val="20"/>
          <w:szCs w:val="20"/>
          <w:lang w:val="es-ES"/>
        </w:rPr>
        <w:t>En ese orden, si un socio controlante (que en este caso se trataría de un socio persona jurídica) de la sociedad interesada en participar en una convocatoria pública de selección de contratistas o que pretenda suscribir contratos con el Estado, es objeto de alguna de las inhabilidades enlistadas, dicha inhabilidad extiende sus efectos a la sociedad, con excepción de las sociedades anónimas abiertas.</w:t>
      </w:r>
    </w:p>
    <w:p w14:paraId="75FD9122" w14:textId="77777777" w:rsidR="0010662B" w:rsidRPr="00EC1A0C" w:rsidRDefault="0010662B" w:rsidP="0010662B">
      <w:pPr>
        <w:spacing w:after="0" w:line="240" w:lineRule="auto"/>
        <w:rPr>
          <w:rFonts w:ascii="Verdana" w:eastAsia="Times New Roman" w:hAnsi="Verdana" w:cs="Arial"/>
          <w:lang w:eastAsia="es-ES_tradnl"/>
        </w:rPr>
      </w:pPr>
    </w:p>
    <w:p w14:paraId="1BB5B167" w14:textId="77777777" w:rsidR="0010662B" w:rsidRDefault="0010662B" w:rsidP="0010662B">
      <w:pPr>
        <w:spacing w:after="0" w:line="240" w:lineRule="auto"/>
        <w:rPr>
          <w:rFonts w:ascii="Verdana" w:eastAsia="Times New Roman" w:hAnsi="Verdana" w:cs="Arial"/>
          <w:lang w:eastAsia="es-ES_tradnl"/>
        </w:rPr>
      </w:pPr>
    </w:p>
    <w:p w14:paraId="24636D33" w14:textId="77777777" w:rsidR="0010662B" w:rsidRDefault="0010662B" w:rsidP="0010662B">
      <w:pPr>
        <w:spacing w:after="0" w:line="240" w:lineRule="auto"/>
        <w:rPr>
          <w:rFonts w:ascii="Verdana" w:eastAsia="Times New Roman" w:hAnsi="Verdana" w:cs="Arial"/>
          <w:lang w:eastAsia="es-ES_tradnl"/>
        </w:rPr>
      </w:pPr>
    </w:p>
    <w:p w14:paraId="1560FA86" w14:textId="77777777" w:rsidR="0010662B" w:rsidRDefault="0010662B" w:rsidP="0010662B">
      <w:pPr>
        <w:spacing w:after="0" w:line="240" w:lineRule="auto"/>
        <w:rPr>
          <w:rFonts w:ascii="Verdana" w:eastAsia="Times New Roman" w:hAnsi="Verdana" w:cs="Arial"/>
          <w:lang w:eastAsia="es-ES_tradnl"/>
        </w:rPr>
      </w:pPr>
    </w:p>
    <w:p w14:paraId="4477949C" w14:textId="77777777" w:rsidR="0010662B" w:rsidRDefault="0010662B" w:rsidP="0010662B">
      <w:pPr>
        <w:spacing w:after="0" w:line="240" w:lineRule="auto"/>
        <w:rPr>
          <w:rFonts w:ascii="Verdana" w:eastAsia="Times New Roman" w:hAnsi="Verdana" w:cs="Arial"/>
          <w:lang w:eastAsia="es-ES_tradnl"/>
        </w:rPr>
      </w:pPr>
    </w:p>
    <w:p w14:paraId="3A8D0BC6" w14:textId="77777777" w:rsidR="0010662B" w:rsidRDefault="0010662B" w:rsidP="0010662B">
      <w:pPr>
        <w:spacing w:after="0" w:line="240" w:lineRule="auto"/>
        <w:rPr>
          <w:rFonts w:ascii="Verdana" w:eastAsia="Times New Roman" w:hAnsi="Verdana" w:cs="Arial"/>
          <w:lang w:eastAsia="es-ES_tradnl"/>
        </w:rPr>
      </w:pPr>
    </w:p>
    <w:p w14:paraId="5009825F" w14:textId="77777777" w:rsidR="0010662B" w:rsidRDefault="0010662B" w:rsidP="0010662B">
      <w:pPr>
        <w:spacing w:after="0" w:line="240" w:lineRule="auto"/>
        <w:rPr>
          <w:rFonts w:ascii="Verdana" w:eastAsia="Times New Roman" w:hAnsi="Verdana" w:cs="Arial"/>
          <w:lang w:eastAsia="es-ES_tradnl"/>
        </w:rPr>
      </w:pPr>
    </w:p>
    <w:p w14:paraId="17DB4F61" w14:textId="77777777" w:rsidR="0010662B" w:rsidRDefault="0010662B" w:rsidP="0010662B">
      <w:pPr>
        <w:spacing w:after="0" w:line="240" w:lineRule="auto"/>
        <w:rPr>
          <w:rFonts w:ascii="Verdana" w:eastAsia="Times New Roman" w:hAnsi="Verdana" w:cs="Arial"/>
          <w:lang w:eastAsia="es-ES_tradnl"/>
        </w:rPr>
      </w:pPr>
    </w:p>
    <w:p w14:paraId="5381000C" w14:textId="77777777" w:rsidR="0010662B" w:rsidRDefault="0010662B" w:rsidP="0010662B">
      <w:pPr>
        <w:spacing w:after="0" w:line="240" w:lineRule="auto"/>
        <w:rPr>
          <w:rFonts w:ascii="Verdana" w:eastAsia="Times New Roman" w:hAnsi="Verdana" w:cs="Arial"/>
          <w:lang w:eastAsia="es-ES_tradnl"/>
        </w:rPr>
      </w:pPr>
    </w:p>
    <w:p w14:paraId="16EBB4F6" w14:textId="77777777" w:rsidR="0010662B" w:rsidRDefault="0010662B" w:rsidP="0010662B">
      <w:pPr>
        <w:spacing w:after="0" w:line="240" w:lineRule="auto"/>
        <w:rPr>
          <w:rFonts w:ascii="Verdana" w:eastAsia="Times New Roman" w:hAnsi="Verdana" w:cs="Arial"/>
          <w:lang w:eastAsia="es-ES_tradnl"/>
        </w:rPr>
      </w:pPr>
    </w:p>
    <w:p w14:paraId="6B8A0AB8" w14:textId="77777777" w:rsidR="0010662B" w:rsidRDefault="0010662B" w:rsidP="0010662B">
      <w:pPr>
        <w:spacing w:after="0" w:line="240" w:lineRule="auto"/>
        <w:rPr>
          <w:rFonts w:ascii="Verdana" w:eastAsia="Times New Roman" w:hAnsi="Verdana" w:cs="Arial"/>
          <w:lang w:eastAsia="es-ES_tradnl"/>
        </w:rPr>
      </w:pPr>
    </w:p>
    <w:p w14:paraId="29CA2E61" w14:textId="77777777" w:rsidR="0010662B" w:rsidRDefault="0010662B" w:rsidP="0010662B">
      <w:pPr>
        <w:spacing w:after="0" w:line="240" w:lineRule="auto"/>
        <w:rPr>
          <w:rFonts w:ascii="Verdana" w:eastAsia="Times New Roman" w:hAnsi="Verdana" w:cs="Arial"/>
          <w:lang w:eastAsia="es-ES_tradnl"/>
        </w:rPr>
      </w:pPr>
    </w:p>
    <w:p w14:paraId="4C620AB1" w14:textId="77777777" w:rsidR="0010662B" w:rsidRDefault="0010662B" w:rsidP="0010662B">
      <w:pPr>
        <w:spacing w:after="0" w:line="240" w:lineRule="auto"/>
        <w:rPr>
          <w:rFonts w:ascii="Verdana" w:eastAsia="Times New Roman" w:hAnsi="Verdana" w:cs="Arial"/>
          <w:lang w:eastAsia="es-ES_tradnl"/>
        </w:rPr>
      </w:pPr>
    </w:p>
    <w:p w14:paraId="6840FEC4" w14:textId="77777777" w:rsidR="0010662B" w:rsidRDefault="0010662B" w:rsidP="0010662B">
      <w:pPr>
        <w:spacing w:after="0" w:line="240" w:lineRule="auto"/>
        <w:rPr>
          <w:rFonts w:ascii="Verdana" w:eastAsia="Times New Roman" w:hAnsi="Verdana" w:cs="Arial"/>
          <w:lang w:eastAsia="es-ES_tradnl"/>
        </w:rPr>
      </w:pPr>
    </w:p>
    <w:p w14:paraId="207A9692" w14:textId="77777777" w:rsidR="0010662B" w:rsidRDefault="0010662B" w:rsidP="0010662B">
      <w:pPr>
        <w:spacing w:after="0" w:line="240" w:lineRule="auto"/>
        <w:rPr>
          <w:rFonts w:ascii="Verdana" w:eastAsia="Times New Roman" w:hAnsi="Verdana" w:cs="Arial"/>
          <w:lang w:eastAsia="es-ES_tradnl"/>
        </w:rPr>
      </w:pPr>
    </w:p>
    <w:p w14:paraId="19EF3210" w14:textId="77777777" w:rsidR="0010662B" w:rsidRDefault="0010662B" w:rsidP="0010662B">
      <w:pPr>
        <w:spacing w:after="0" w:line="240" w:lineRule="auto"/>
        <w:rPr>
          <w:rFonts w:ascii="Verdana" w:eastAsia="Times New Roman" w:hAnsi="Verdana" w:cs="Arial"/>
          <w:lang w:eastAsia="es-ES_tradnl"/>
        </w:rPr>
      </w:pPr>
    </w:p>
    <w:p w14:paraId="08604D2F" w14:textId="77777777" w:rsidR="0010662B" w:rsidRDefault="0010662B" w:rsidP="0010662B">
      <w:pPr>
        <w:spacing w:after="0" w:line="240" w:lineRule="auto"/>
        <w:rPr>
          <w:rFonts w:ascii="Verdana" w:eastAsia="Times New Roman" w:hAnsi="Verdana" w:cs="Arial"/>
          <w:lang w:eastAsia="es-ES_tradnl"/>
        </w:rPr>
      </w:pPr>
    </w:p>
    <w:p w14:paraId="717DAE7B" w14:textId="77777777" w:rsidR="0010662B" w:rsidRDefault="0010662B" w:rsidP="0010662B">
      <w:pPr>
        <w:spacing w:after="0" w:line="240" w:lineRule="auto"/>
        <w:rPr>
          <w:rFonts w:ascii="Verdana" w:eastAsia="Times New Roman" w:hAnsi="Verdana" w:cs="Arial"/>
          <w:lang w:eastAsia="es-ES_tradnl"/>
        </w:rPr>
      </w:pPr>
    </w:p>
    <w:p w14:paraId="7D9B9D8A" w14:textId="77777777" w:rsidR="0010662B" w:rsidRDefault="0010662B" w:rsidP="0010662B">
      <w:pPr>
        <w:spacing w:after="0" w:line="240" w:lineRule="auto"/>
        <w:rPr>
          <w:rFonts w:ascii="Verdana" w:eastAsia="Times New Roman" w:hAnsi="Verdana" w:cs="Arial"/>
          <w:lang w:eastAsia="es-ES_tradnl"/>
        </w:rPr>
      </w:pPr>
    </w:p>
    <w:p w14:paraId="55F7B6E2" w14:textId="77777777" w:rsidR="0010662B" w:rsidRDefault="0010662B" w:rsidP="0010662B">
      <w:pPr>
        <w:spacing w:after="0" w:line="240" w:lineRule="auto"/>
        <w:rPr>
          <w:rFonts w:ascii="Verdana" w:eastAsia="Times New Roman" w:hAnsi="Verdana" w:cs="Arial"/>
          <w:lang w:eastAsia="es-ES_tradnl"/>
        </w:rPr>
      </w:pPr>
    </w:p>
    <w:p w14:paraId="1B2FF0C4" w14:textId="77777777" w:rsidR="0010662B" w:rsidRDefault="0010662B" w:rsidP="0010662B">
      <w:pPr>
        <w:spacing w:after="0" w:line="240" w:lineRule="auto"/>
        <w:rPr>
          <w:rFonts w:ascii="Verdana" w:eastAsia="Times New Roman" w:hAnsi="Verdana" w:cs="Arial"/>
          <w:lang w:eastAsia="es-ES_tradnl"/>
        </w:rPr>
      </w:pPr>
    </w:p>
    <w:p w14:paraId="193461ED" w14:textId="77777777" w:rsidR="0010662B" w:rsidRDefault="0010662B" w:rsidP="0010662B">
      <w:pPr>
        <w:spacing w:after="0" w:line="240" w:lineRule="auto"/>
        <w:rPr>
          <w:rFonts w:ascii="Verdana" w:eastAsia="Times New Roman" w:hAnsi="Verdana" w:cs="Arial"/>
          <w:lang w:eastAsia="es-ES_tradnl"/>
        </w:rPr>
      </w:pPr>
    </w:p>
    <w:p w14:paraId="099D88F5" w14:textId="77777777" w:rsidR="0010662B" w:rsidRDefault="0010662B" w:rsidP="0010662B">
      <w:pPr>
        <w:spacing w:after="0" w:line="240" w:lineRule="auto"/>
        <w:rPr>
          <w:rFonts w:ascii="Verdana" w:eastAsia="Times New Roman" w:hAnsi="Verdana" w:cs="Arial"/>
          <w:lang w:eastAsia="es-ES_tradnl"/>
        </w:rPr>
      </w:pPr>
    </w:p>
    <w:p w14:paraId="7B9BD9E5" w14:textId="77777777" w:rsidR="0010662B" w:rsidRDefault="0010662B" w:rsidP="0010662B">
      <w:pPr>
        <w:spacing w:after="0" w:line="240" w:lineRule="auto"/>
        <w:rPr>
          <w:rFonts w:ascii="Verdana" w:eastAsia="Times New Roman" w:hAnsi="Verdana" w:cs="Arial"/>
          <w:lang w:eastAsia="es-ES_tradnl"/>
        </w:rPr>
      </w:pPr>
    </w:p>
    <w:p w14:paraId="25031D8E" w14:textId="77777777" w:rsidR="0010662B" w:rsidRDefault="0010662B" w:rsidP="0010662B">
      <w:pPr>
        <w:spacing w:after="0" w:line="240" w:lineRule="auto"/>
        <w:rPr>
          <w:rFonts w:ascii="Verdana" w:eastAsia="Times New Roman" w:hAnsi="Verdana" w:cs="Arial"/>
          <w:lang w:eastAsia="es-ES_tradnl"/>
        </w:rPr>
      </w:pPr>
    </w:p>
    <w:p w14:paraId="039191B4" w14:textId="77777777" w:rsidR="0010662B" w:rsidRDefault="0010662B" w:rsidP="0010662B">
      <w:pPr>
        <w:spacing w:after="0" w:line="240" w:lineRule="auto"/>
        <w:rPr>
          <w:rFonts w:ascii="Verdana" w:eastAsia="Times New Roman" w:hAnsi="Verdana" w:cs="Arial"/>
          <w:lang w:eastAsia="es-ES_tradnl"/>
        </w:rPr>
      </w:pPr>
      <w:r w:rsidRPr="00BE151B">
        <w:rPr>
          <w:rFonts w:ascii="Verdana" w:eastAsia="Times New Roman" w:hAnsi="Verdana" w:cs="Arial"/>
          <w:lang w:eastAsia="es-ES_tradnl"/>
        </w:rPr>
        <w:lastRenderedPageBreak/>
        <w:t>Bogotá D.C., [Día] de [Mes.NombreCapitalizado] de [Año] </w:t>
      </w:r>
    </w:p>
    <w:p w14:paraId="028F53F3" w14:textId="77777777" w:rsidR="0010662B" w:rsidRDefault="0010662B" w:rsidP="0010662B">
      <w:pPr>
        <w:spacing w:after="0" w:line="240" w:lineRule="auto"/>
        <w:jc w:val="right"/>
        <w:rPr>
          <w:rFonts w:ascii="Verdana" w:eastAsia="Times New Roman" w:hAnsi="Verdana" w:cs="Arial"/>
          <w:lang w:eastAsia="es-ES_tradnl"/>
        </w:rPr>
      </w:pPr>
    </w:p>
    <w:p w14:paraId="4F945589" w14:textId="616DD1AA" w:rsidR="0010662B" w:rsidRPr="00BE151B" w:rsidRDefault="003E2F45" w:rsidP="0010662B">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4D1161A4" wp14:editId="74F73FA0">
            <wp:extent cx="3041630" cy="919424"/>
            <wp:effectExtent l="0" t="0" r="6985" b="0"/>
            <wp:docPr id="17853513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351398" name=""/>
                    <pic:cNvPicPr/>
                  </pic:nvPicPr>
                  <pic:blipFill rotWithShape="1">
                    <a:blip r:embed="rId7"/>
                    <a:srcRect l="11913" t="32375" r="51646" b="30397"/>
                    <a:stretch/>
                  </pic:blipFill>
                  <pic:spPr bwMode="auto">
                    <a:xfrm>
                      <a:off x="0" y="0"/>
                      <a:ext cx="3059327" cy="924773"/>
                    </a:xfrm>
                    <a:prstGeom prst="rect">
                      <a:avLst/>
                    </a:prstGeom>
                    <a:ln>
                      <a:noFill/>
                    </a:ln>
                    <a:extLst>
                      <a:ext uri="{53640926-AAD7-44D8-BBD7-CCE9431645EC}">
                        <a14:shadowObscured xmlns:a14="http://schemas.microsoft.com/office/drawing/2010/main"/>
                      </a:ext>
                    </a:extLst>
                  </pic:spPr>
                </pic:pic>
              </a:graphicData>
            </a:graphic>
          </wp:inline>
        </w:drawing>
      </w:r>
    </w:p>
    <w:p w14:paraId="08A254D2" w14:textId="77777777" w:rsidR="0010662B" w:rsidRPr="00EC7CCB" w:rsidRDefault="0010662B" w:rsidP="0010662B">
      <w:pPr>
        <w:spacing w:after="0" w:line="240" w:lineRule="auto"/>
        <w:jc w:val="both"/>
        <w:rPr>
          <w:rFonts w:ascii="Verdana" w:eastAsia="Calibri" w:hAnsi="Verdana" w:cs="Arial"/>
          <w:lang w:eastAsia="es-ES_tradnl"/>
        </w:rPr>
      </w:pPr>
      <w:r w:rsidRPr="00EC7CCB">
        <w:rPr>
          <w:rFonts w:ascii="Verdana" w:eastAsia="Calibri" w:hAnsi="Verdana" w:cs="Arial"/>
          <w:lang w:eastAsia="es-ES_tradnl"/>
        </w:rPr>
        <w:t>Señor</w:t>
      </w:r>
    </w:p>
    <w:p w14:paraId="569CC3EB" w14:textId="77777777" w:rsidR="0010662B" w:rsidRPr="00EC7CCB" w:rsidRDefault="0010662B" w:rsidP="0010662B">
      <w:pPr>
        <w:spacing w:after="0" w:line="240" w:lineRule="auto"/>
        <w:rPr>
          <w:rFonts w:ascii="Verdana" w:eastAsia="Calibri" w:hAnsi="Verdana" w:cs="Arial"/>
          <w:b/>
          <w:lang w:eastAsia="es-ES_tradnl"/>
        </w:rPr>
      </w:pPr>
      <w:r w:rsidRPr="00EC7CCB">
        <w:rPr>
          <w:rFonts w:ascii="Verdana" w:eastAsia="Calibri" w:hAnsi="Verdana" w:cs="Arial"/>
          <w:b/>
          <w:lang w:eastAsia="es-ES_tradnl"/>
        </w:rPr>
        <w:t>Gustavo Adolfo Patarroyo Cubides</w:t>
      </w:r>
    </w:p>
    <w:p w14:paraId="57150116" w14:textId="77777777" w:rsidR="0010662B" w:rsidRPr="00EC7CCB" w:rsidRDefault="0010662B" w:rsidP="0010662B">
      <w:pPr>
        <w:spacing w:after="0" w:line="240" w:lineRule="auto"/>
        <w:rPr>
          <w:rFonts w:ascii="Verdana" w:eastAsia="Calibri" w:hAnsi="Verdana" w:cs="Arial"/>
          <w:lang w:eastAsia="es-ES_tradnl"/>
        </w:rPr>
      </w:pPr>
      <w:hyperlink r:id="rId8" w:history="1">
        <w:r w:rsidRPr="00EC7CCB">
          <w:rPr>
            <w:rStyle w:val="Hipervnculo"/>
            <w:rFonts w:ascii="Verdana" w:eastAsia="Calibri" w:hAnsi="Verdana" w:cs="Arial"/>
            <w:lang w:eastAsia="es-ES_tradnl"/>
          </w:rPr>
          <w:t>gustavopatarroyo@hotmail.com</w:t>
        </w:r>
      </w:hyperlink>
      <w:r w:rsidRPr="00EC7CCB">
        <w:rPr>
          <w:rFonts w:ascii="Verdana" w:eastAsia="Calibri" w:hAnsi="Verdana" w:cs="Arial"/>
          <w:lang w:eastAsia="es-ES_tradnl"/>
        </w:rPr>
        <w:t xml:space="preserve"> </w:t>
      </w:r>
    </w:p>
    <w:p w14:paraId="5BD7865A" w14:textId="77777777" w:rsidR="0010662B" w:rsidRPr="008C29AA" w:rsidRDefault="0010662B" w:rsidP="0010662B">
      <w:pPr>
        <w:spacing w:after="0" w:line="240" w:lineRule="auto"/>
        <w:rPr>
          <w:rFonts w:ascii="Verdana" w:eastAsia="Calibri" w:hAnsi="Verdana" w:cs="Arial"/>
          <w:lang w:val="pt-BR" w:eastAsia="es-ES_tradnl"/>
        </w:rPr>
      </w:pPr>
      <w:r>
        <w:rPr>
          <w:rFonts w:ascii="Verdana" w:eastAsia="Calibri" w:hAnsi="Verdana" w:cs="Arial"/>
          <w:bCs/>
          <w:lang w:val="pt-BR" w:eastAsia="es-ES_tradnl"/>
        </w:rPr>
        <w:t>Ibagué, Tolima</w:t>
      </w:r>
    </w:p>
    <w:p w14:paraId="764A10F8" w14:textId="77777777" w:rsidR="0010662B" w:rsidRPr="008C29AA" w:rsidRDefault="0010662B" w:rsidP="0010662B">
      <w:pPr>
        <w:spacing w:after="0" w:line="240" w:lineRule="auto"/>
        <w:rPr>
          <w:rFonts w:ascii="Verdana" w:eastAsia="Calibri" w:hAnsi="Verdana" w:cs="Arial"/>
          <w:lang w:val="pt-BR" w:eastAsia="es-ES_tradnl"/>
        </w:rPr>
      </w:pPr>
    </w:p>
    <w:p w14:paraId="1279F7FA" w14:textId="77777777" w:rsidR="0010662B" w:rsidRPr="00BE151B" w:rsidRDefault="0010662B" w:rsidP="0010662B">
      <w:pPr>
        <w:spacing w:after="0" w:line="240" w:lineRule="auto"/>
        <w:ind w:left="2694"/>
        <w:rPr>
          <w:rFonts w:ascii="Verdana" w:eastAsia="Calibri" w:hAnsi="Verdana" w:cs="Arial"/>
          <w:b/>
          <w:bCs/>
          <w:lang w:eastAsia="es-ES_tradnl"/>
        </w:rPr>
      </w:pPr>
      <w:r w:rsidRPr="00BE151B">
        <w:rPr>
          <w:rFonts w:ascii="Verdana" w:eastAsia="Calibri" w:hAnsi="Verdana" w:cs="Arial"/>
          <w:b/>
          <w:bCs/>
          <w:lang w:eastAsia="es-ES_tradnl"/>
        </w:rPr>
        <w:t>Concepto C-</w:t>
      </w:r>
      <w:r>
        <w:rPr>
          <w:rFonts w:ascii="Verdana" w:eastAsia="Calibri" w:hAnsi="Verdana" w:cs="Arial"/>
          <w:b/>
          <w:bCs/>
          <w:lang w:eastAsia="es-ES_tradnl"/>
        </w:rPr>
        <w:t>693</w:t>
      </w:r>
      <w:r w:rsidRPr="00BE151B">
        <w:rPr>
          <w:rFonts w:ascii="Verdana" w:eastAsia="Calibri" w:hAnsi="Verdana" w:cs="Arial"/>
          <w:b/>
          <w:bCs/>
          <w:lang w:eastAsia="es-ES_tradnl"/>
        </w:rPr>
        <w:t xml:space="preserve"> de 2024</w:t>
      </w:r>
    </w:p>
    <w:p w14:paraId="6C2AEB4A" w14:textId="77777777" w:rsidR="0010662B" w:rsidRPr="00BE151B" w:rsidRDefault="0010662B" w:rsidP="0010662B">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10662B" w:rsidRPr="00BE151B" w14:paraId="0BA9E60D" w14:textId="77777777" w:rsidTr="003640D3">
        <w:trPr>
          <w:jc w:val="right"/>
        </w:trPr>
        <w:tc>
          <w:tcPr>
            <w:tcW w:w="1838" w:type="dxa"/>
          </w:tcPr>
          <w:p w14:paraId="45915BEF" w14:textId="77777777" w:rsidR="0010662B" w:rsidRPr="00BE151B" w:rsidRDefault="0010662B" w:rsidP="003640D3">
            <w:pPr>
              <w:jc w:val="center"/>
              <w:rPr>
                <w:rFonts w:ascii="Verdana" w:eastAsia="Calibri" w:hAnsi="Verdana" w:cs="Arial"/>
                <w:lang w:eastAsia="es-ES_tradnl"/>
              </w:rPr>
            </w:pPr>
            <w:r w:rsidRPr="00BE151B">
              <w:rPr>
                <w:rFonts w:ascii="Verdana" w:eastAsia="Calibri" w:hAnsi="Verdana" w:cs="Arial"/>
                <w:b/>
                <w:lang w:eastAsia="es-ES_tradnl"/>
              </w:rPr>
              <w:t>Temas:</w:t>
            </w:r>
          </w:p>
        </w:tc>
        <w:tc>
          <w:tcPr>
            <w:tcW w:w="6237" w:type="dxa"/>
          </w:tcPr>
          <w:p w14:paraId="7480C8F2" w14:textId="77777777" w:rsidR="0010662B" w:rsidRPr="0051527E" w:rsidRDefault="0010662B" w:rsidP="003640D3">
            <w:pPr>
              <w:spacing w:line="276" w:lineRule="auto"/>
              <w:jc w:val="both"/>
              <w:textAlignment w:val="baseline"/>
              <w:rPr>
                <w:rFonts w:ascii="Verdana" w:eastAsia="Times New Roman" w:hAnsi="Verdana" w:cs="Arial"/>
                <w:lang w:val="es-ES" w:eastAsia="es-ES_tradnl"/>
              </w:rPr>
            </w:pPr>
            <w:r w:rsidRPr="0051527E">
              <w:rPr>
                <w:rFonts w:ascii="Verdana" w:eastAsia="Calibri" w:hAnsi="Verdana" w:cs="Arial"/>
                <w:bCs/>
                <w:lang w:val="es-ES_tradnl"/>
              </w:rPr>
              <w:t xml:space="preserve">INHABILIDADES – Definición – Finalidad – Limitación capacidad / INHABILIDADES – Clasificación – Sanción – Proceso sancionatorio – Requisito – Condiciones personales / INHABILIDADES – Taxatividad – Principio de legalidad – Interpretación restrictiva / </w:t>
            </w:r>
            <w:r w:rsidRPr="00E17621">
              <w:rPr>
                <w:rFonts w:ascii="Verdana" w:eastAsia="Calibri" w:hAnsi="Verdana" w:cs="Arial"/>
                <w:bCs/>
                <w:lang w:val="es-ES_tradnl"/>
              </w:rPr>
              <w:t>INHABILIDADES – Personas naturales – Personas jurídicas – Extensibles a sociedades – Artículo 8 numeral 1 literal j)</w:t>
            </w:r>
          </w:p>
        </w:tc>
      </w:tr>
      <w:tr w:rsidR="0010662B" w:rsidRPr="00BE151B" w14:paraId="2717BB8C" w14:textId="77777777" w:rsidTr="003640D3">
        <w:trPr>
          <w:jc w:val="right"/>
        </w:trPr>
        <w:tc>
          <w:tcPr>
            <w:tcW w:w="1838" w:type="dxa"/>
          </w:tcPr>
          <w:p w14:paraId="0FEB3733" w14:textId="77777777" w:rsidR="0010662B" w:rsidRPr="00BE151B" w:rsidRDefault="0010662B" w:rsidP="003640D3">
            <w:pPr>
              <w:jc w:val="center"/>
              <w:rPr>
                <w:rFonts w:ascii="Verdana" w:eastAsia="Calibri" w:hAnsi="Verdana" w:cs="Arial"/>
                <w:b/>
                <w:lang w:eastAsia="es-ES_tradnl"/>
              </w:rPr>
            </w:pPr>
            <w:r w:rsidRPr="00BE151B">
              <w:rPr>
                <w:rFonts w:ascii="Verdana" w:eastAsia="Calibri" w:hAnsi="Verdana" w:cs="Arial"/>
                <w:b/>
                <w:lang w:eastAsia="es-ES_tradnl"/>
              </w:rPr>
              <w:t>Radicación:</w:t>
            </w:r>
          </w:p>
        </w:tc>
        <w:tc>
          <w:tcPr>
            <w:tcW w:w="6237" w:type="dxa"/>
          </w:tcPr>
          <w:p w14:paraId="4DB15507" w14:textId="77777777" w:rsidR="0010662B" w:rsidRPr="00BE151B" w:rsidRDefault="0010662B" w:rsidP="003640D3">
            <w:pPr>
              <w:jc w:val="both"/>
              <w:rPr>
                <w:rFonts w:ascii="Verdana" w:eastAsia="Calibri" w:hAnsi="Verdana" w:cs="Arial"/>
                <w:lang w:eastAsia="es-ES_tradnl"/>
              </w:rPr>
            </w:pPr>
            <w:r w:rsidRPr="00BE151B">
              <w:rPr>
                <w:rFonts w:ascii="Verdana" w:eastAsia="Calibri" w:hAnsi="Verdana" w:cs="Arial"/>
                <w:lang w:eastAsia="es-ES_tradnl"/>
              </w:rPr>
              <w:t xml:space="preserve">Respuesta a consulta radicado No. </w:t>
            </w:r>
            <w:r w:rsidRPr="008C29AA">
              <w:rPr>
                <w:rFonts w:ascii="Verdana" w:eastAsia="Times New Roman" w:hAnsi="Verdana" w:cs="Arial"/>
                <w:lang w:eastAsia="es-ES_tradnl"/>
              </w:rPr>
              <w:t>P20241003010114</w:t>
            </w:r>
          </w:p>
        </w:tc>
      </w:tr>
    </w:tbl>
    <w:p w14:paraId="5482A0B5" w14:textId="77777777" w:rsidR="0010662B" w:rsidRPr="00BE151B" w:rsidRDefault="0010662B" w:rsidP="0010662B">
      <w:pPr>
        <w:spacing w:after="0" w:line="240" w:lineRule="auto"/>
        <w:jc w:val="both"/>
        <w:rPr>
          <w:rFonts w:ascii="Verdana" w:eastAsia="Calibri" w:hAnsi="Verdana" w:cs="Arial"/>
          <w:lang w:eastAsia="es-ES_tradnl"/>
        </w:rPr>
      </w:pPr>
    </w:p>
    <w:p w14:paraId="325C1818" w14:textId="77777777" w:rsidR="0010662B" w:rsidRPr="00BE151B" w:rsidRDefault="0010662B" w:rsidP="0010662B">
      <w:pPr>
        <w:spacing w:after="0" w:line="240" w:lineRule="auto"/>
        <w:jc w:val="both"/>
        <w:rPr>
          <w:rFonts w:ascii="Verdana" w:eastAsia="Calibri" w:hAnsi="Verdana" w:cs="Arial"/>
          <w:lang w:eastAsia="es-ES_tradnl"/>
        </w:rPr>
      </w:pPr>
    </w:p>
    <w:p w14:paraId="1215307B" w14:textId="77777777" w:rsidR="0010662B" w:rsidRPr="00BE151B" w:rsidRDefault="0010662B" w:rsidP="0010662B">
      <w:pPr>
        <w:spacing w:after="0" w:line="276" w:lineRule="auto"/>
        <w:contextualSpacing/>
        <w:jc w:val="both"/>
        <w:rPr>
          <w:rFonts w:ascii="Verdana" w:eastAsia="Calibri" w:hAnsi="Verdana" w:cs="Arial"/>
          <w:bCs/>
          <w:lang w:eastAsia="es-ES_tradnl"/>
        </w:rPr>
      </w:pPr>
      <w:r w:rsidRPr="00BE151B">
        <w:rPr>
          <w:rFonts w:ascii="Verdana" w:eastAsia="Calibri" w:hAnsi="Verdana" w:cs="Arial"/>
          <w:lang w:eastAsia="es-ES_tradnl"/>
        </w:rPr>
        <w:t>Estimad</w:t>
      </w:r>
      <w:r>
        <w:rPr>
          <w:rFonts w:ascii="Verdana" w:eastAsia="Calibri" w:hAnsi="Verdana" w:cs="Arial"/>
          <w:lang w:eastAsia="es-ES_tradnl"/>
        </w:rPr>
        <w:t>o</w:t>
      </w:r>
      <w:r w:rsidRPr="00BE151B">
        <w:rPr>
          <w:rFonts w:ascii="Verdana" w:eastAsia="Calibri" w:hAnsi="Verdana" w:cs="Arial"/>
          <w:lang w:eastAsia="es-ES_tradnl"/>
        </w:rPr>
        <w:t xml:space="preserve"> </w:t>
      </w:r>
      <w:r>
        <w:rPr>
          <w:rFonts w:ascii="Verdana" w:eastAsia="Calibri" w:hAnsi="Verdana" w:cs="Arial"/>
          <w:lang w:eastAsia="es-ES_tradnl"/>
        </w:rPr>
        <w:t xml:space="preserve">señor, </w:t>
      </w:r>
      <w:r w:rsidRPr="0043036E">
        <w:rPr>
          <w:rFonts w:ascii="Verdana" w:eastAsia="Calibri" w:hAnsi="Verdana" w:cs="Arial"/>
          <w:lang w:eastAsia="es-ES_tradnl"/>
        </w:rPr>
        <w:t>Patarroyo Cubides</w:t>
      </w:r>
      <w:r w:rsidRPr="00BE151B">
        <w:rPr>
          <w:rFonts w:ascii="Verdana" w:eastAsia="Calibri" w:hAnsi="Verdana" w:cs="Arial"/>
          <w:bCs/>
          <w:lang w:eastAsia="es-ES_tradnl"/>
        </w:rPr>
        <w:t>:</w:t>
      </w:r>
    </w:p>
    <w:p w14:paraId="51F19767" w14:textId="77777777" w:rsidR="0010662B" w:rsidRPr="00BE151B" w:rsidRDefault="0010662B" w:rsidP="0010662B">
      <w:pPr>
        <w:spacing w:after="0" w:line="276" w:lineRule="auto"/>
        <w:contextualSpacing/>
        <w:jc w:val="both"/>
        <w:rPr>
          <w:rFonts w:ascii="Verdana" w:eastAsia="Calibri" w:hAnsi="Verdana" w:cs="Arial"/>
          <w:lang w:eastAsia="es-ES_tradnl"/>
        </w:rPr>
      </w:pPr>
    </w:p>
    <w:p w14:paraId="3C4A3784" w14:textId="77777777" w:rsidR="0010662B" w:rsidRPr="00BE151B" w:rsidRDefault="0010662B" w:rsidP="0010662B">
      <w:pPr>
        <w:spacing w:after="120" w:line="276" w:lineRule="auto"/>
        <w:jc w:val="both"/>
        <w:rPr>
          <w:rFonts w:ascii="Verdana" w:eastAsia="Calibri" w:hAnsi="Verdana" w:cs="Arial"/>
          <w:lang w:eastAsia="es-ES_tradnl"/>
        </w:rPr>
      </w:pPr>
      <w:r w:rsidRPr="00BE151B">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03</w:t>
      </w:r>
      <w:r w:rsidRPr="00BE151B">
        <w:rPr>
          <w:rFonts w:ascii="Verdana" w:eastAsia="Calibri" w:hAnsi="Verdana" w:cs="Arial"/>
          <w:lang w:eastAsia="es-ES_tradnl"/>
        </w:rPr>
        <w:t xml:space="preserve"> de </w:t>
      </w:r>
      <w:r>
        <w:rPr>
          <w:rFonts w:ascii="Verdana" w:eastAsia="Calibri" w:hAnsi="Verdana" w:cs="Arial"/>
          <w:lang w:eastAsia="es-ES_tradnl"/>
        </w:rPr>
        <w:t>octubre</w:t>
      </w:r>
      <w:r w:rsidRPr="00BE151B">
        <w:rPr>
          <w:rFonts w:ascii="Verdana" w:eastAsia="Calibri" w:hAnsi="Verdana" w:cs="Arial"/>
          <w:lang w:eastAsia="es-ES_tradnl"/>
        </w:rPr>
        <w:t xml:space="preserve"> de 2024, en la cual </w:t>
      </w:r>
      <w:r>
        <w:rPr>
          <w:rFonts w:ascii="Verdana" w:eastAsia="Calibri" w:hAnsi="Verdana" w:cs="Arial"/>
          <w:lang w:eastAsia="es-ES_tradnl"/>
        </w:rPr>
        <w:t>consulta</w:t>
      </w:r>
      <w:r w:rsidRPr="00BE151B">
        <w:rPr>
          <w:rFonts w:ascii="Verdana" w:eastAsia="Calibri" w:hAnsi="Verdana" w:cs="Arial"/>
          <w:lang w:eastAsia="es-ES_tradnl"/>
        </w:rPr>
        <w:t xml:space="preserve"> lo siguiente: </w:t>
      </w:r>
    </w:p>
    <w:p w14:paraId="0640886A" w14:textId="77777777" w:rsidR="0010662B" w:rsidRDefault="0010662B" w:rsidP="0010662B">
      <w:pPr>
        <w:spacing w:after="120" w:line="240" w:lineRule="auto"/>
        <w:ind w:left="709" w:right="709"/>
        <w:jc w:val="both"/>
        <w:rPr>
          <w:rFonts w:ascii="Verdana" w:eastAsia="Times New Roman" w:hAnsi="Verdana" w:cs="Arial"/>
          <w:i/>
          <w:sz w:val="20"/>
          <w:szCs w:val="20"/>
          <w:lang w:eastAsia="es-ES_tradnl"/>
        </w:rPr>
      </w:pPr>
    </w:p>
    <w:p w14:paraId="74BE0C97" w14:textId="77777777" w:rsidR="0010662B" w:rsidRDefault="0010662B" w:rsidP="0010662B">
      <w:pPr>
        <w:spacing w:after="120" w:line="240" w:lineRule="auto"/>
        <w:ind w:left="709" w:right="709"/>
        <w:jc w:val="both"/>
        <w:rPr>
          <w:rFonts w:ascii="Verdana" w:eastAsia="Times New Roman" w:hAnsi="Verdana" w:cs="Arial"/>
          <w:i/>
          <w:sz w:val="20"/>
          <w:szCs w:val="20"/>
          <w:lang w:eastAsia="es-ES_tradnl"/>
        </w:rPr>
      </w:pPr>
      <w:r w:rsidRPr="00472C94">
        <w:rPr>
          <w:rFonts w:ascii="Verdana" w:eastAsia="Times New Roman" w:hAnsi="Verdana" w:cs="Arial"/>
          <w:i/>
          <w:sz w:val="20"/>
          <w:szCs w:val="20"/>
          <w:lang w:eastAsia="es-ES_tradnl"/>
        </w:rPr>
        <w:t>“</w:t>
      </w:r>
      <w:r w:rsidRPr="00DC2ABB">
        <w:rPr>
          <w:rFonts w:ascii="Verdana" w:eastAsia="Times New Roman" w:hAnsi="Verdana" w:cs="Arial"/>
          <w:iCs/>
          <w:sz w:val="20"/>
          <w:szCs w:val="20"/>
          <w:lang w:eastAsia="es-ES_tradnl"/>
        </w:rPr>
        <w:t>[…]</w:t>
      </w:r>
      <w:r>
        <w:rPr>
          <w:rFonts w:ascii="Verdana" w:eastAsia="Times New Roman" w:hAnsi="Verdana" w:cs="Arial"/>
          <w:i/>
          <w:sz w:val="20"/>
          <w:szCs w:val="20"/>
          <w:lang w:eastAsia="es-ES_tradnl"/>
        </w:rPr>
        <w:t xml:space="preserve"> </w:t>
      </w:r>
    </w:p>
    <w:p w14:paraId="39F60500" w14:textId="77777777" w:rsidR="0010662B" w:rsidRDefault="0010662B" w:rsidP="0010662B">
      <w:pPr>
        <w:spacing w:after="120" w:line="240" w:lineRule="auto"/>
        <w:ind w:left="709" w:right="709"/>
        <w:jc w:val="both"/>
        <w:rPr>
          <w:rFonts w:ascii="Verdana" w:eastAsia="Times New Roman" w:hAnsi="Verdana" w:cs="Arial"/>
          <w:sz w:val="20"/>
          <w:szCs w:val="20"/>
          <w:lang w:eastAsia="es-ES_tradnl"/>
        </w:rPr>
      </w:pPr>
      <w:r w:rsidRPr="00D4573A">
        <w:rPr>
          <w:rFonts w:ascii="Verdana" w:eastAsia="Times New Roman" w:hAnsi="Verdana" w:cs="Arial"/>
          <w:i/>
          <w:sz w:val="20"/>
          <w:szCs w:val="20"/>
          <w:lang w:eastAsia="es-ES_tradnl"/>
        </w:rPr>
        <w:t>Un socio de una persona jurídica (y no es el representante legal) dentro la misma y esta reportado como inhabilitado en la Contraloría General de la Republica y Procuraduría General de la República, inhabilita a la Persona Jurídica para participar en procesos de Convocatoria Pública o celebrar contratos regidos por el -EGCAP</w:t>
      </w:r>
      <w:r>
        <w:rPr>
          <w:rFonts w:ascii="Verdana" w:eastAsia="Times New Roman" w:hAnsi="Verdana" w:cs="Arial"/>
          <w:i/>
          <w:sz w:val="20"/>
          <w:szCs w:val="20"/>
          <w:lang w:eastAsia="es-ES_tradnl"/>
        </w:rPr>
        <w:t>.</w:t>
      </w:r>
      <w:r w:rsidRPr="00472C94">
        <w:rPr>
          <w:rFonts w:ascii="Verdana" w:eastAsia="Times New Roman" w:hAnsi="Verdana" w:cs="Arial"/>
          <w:i/>
          <w:sz w:val="20"/>
          <w:szCs w:val="20"/>
          <w:lang w:eastAsia="es-ES_tradnl"/>
        </w:rPr>
        <w:t>”</w:t>
      </w:r>
      <w:r w:rsidRPr="00472C94">
        <w:rPr>
          <w:rFonts w:ascii="Verdana" w:eastAsia="Times New Roman" w:hAnsi="Verdana" w:cs="Arial"/>
          <w:sz w:val="20"/>
          <w:szCs w:val="20"/>
          <w:lang w:eastAsia="es-ES_tradnl"/>
        </w:rPr>
        <w:t xml:space="preserve"> </w:t>
      </w:r>
    </w:p>
    <w:p w14:paraId="2E2AAC7D" w14:textId="77777777" w:rsidR="0010662B" w:rsidRPr="00472C94" w:rsidRDefault="0010662B" w:rsidP="0010662B">
      <w:pPr>
        <w:spacing w:after="120" w:line="240" w:lineRule="auto"/>
        <w:ind w:left="709" w:right="709"/>
        <w:jc w:val="both"/>
        <w:rPr>
          <w:rFonts w:ascii="Verdana" w:eastAsia="Times New Roman" w:hAnsi="Verdana" w:cs="Arial"/>
          <w:i/>
          <w:sz w:val="20"/>
          <w:szCs w:val="20"/>
          <w:lang w:eastAsia="es-ES_tradnl"/>
        </w:rPr>
      </w:pPr>
      <w:r w:rsidRPr="00472C94">
        <w:rPr>
          <w:rFonts w:ascii="Verdana" w:eastAsia="Times New Roman" w:hAnsi="Verdana" w:cs="Arial"/>
          <w:sz w:val="20"/>
          <w:szCs w:val="20"/>
          <w:lang w:eastAsia="es-ES_tradnl"/>
        </w:rPr>
        <w:t>[SIC]</w:t>
      </w:r>
      <w:r w:rsidRPr="00472C94">
        <w:rPr>
          <w:rFonts w:ascii="Verdana" w:eastAsia="Times New Roman" w:hAnsi="Verdana" w:cs="Arial"/>
          <w:i/>
          <w:sz w:val="20"/>
          <w:szCs w:val="20"/>
          <w:lang w:eastAsia="es-ES_tradnl"/>
        </w:rPr>
        <w:t>.</w:t>
      </w:r>
    </w:p>
    <w:p w14:paraId="362808EF" w14:textId="77777777" w:rsidR="0010662B" w:rsidRPr="00BE151B" w:rsidRDefault="0010662B" w:rsidP="0010662B">
      <w:pPr>
        <w:spacing w:after="120" w:line="240" w:lineRule="auto"/>
        <w:ind w:left="709" w:right="709"/>
        <w:jc w:val="both"/>
        <w:rPr>
          <w:rFonts w:ascii="Verdana" w:eastAsia="Times New Roman" w:hAnsi="Verdana" w:cs="Arial"/>
          <w:i/>
          <w:lang w:eastAsia="es-ES_tradnl"/>
        </w:rPr>
      </w:pPr>
    </w:p>
    <w:p w14:paraId="38EB8447" w14:textId="77777777" w:rsidR="0010662B" w:rsidRPr="00BE151B" w:rsidRDefault="0010662B" w:rsidP="0010662B">
      <w:pPr>
        <w:spacing w:after="120" w:line="276" w:lineRule="auto"/>
        <w:ind w:firstLine="709"/>
        <w:jc w:val="both"/>
        <w:rPr>
          <w:rFonts w:ascii="Verdana" w:eastAsia="Calibri" w:hAnsi="Verdana" w:cs="Arial"/>
          <w:color w:val="000000"/>
          <w:szCs w:val="24"/>
          <w:lang w:eastAsia="es-ES_tradnl"/>
        </w:rPr>
      </w:pPr>
      <w:r w:rsidRPr="00BE151B">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E151B">
        <w:rPr>
          <w:rFonts w:ascii="Verdana" w:eastAsia="Calibri" w:hAnsi="Verdana" w:cs="Arial"/>
          <w:color w:val="000000"/>
          <w:szCs w:val="24"/>
          <w:lang w:eastAsia="es-ES_tradnl"/>
        </w:rPr>
        <w:tab/>
      </w:r>
    </w:p>
    <w:p w14:paraId="3E3E6E43" w14:textId="77777777" w:rsidR="0010662B" w:rsidRPr="00BE151B" w:rsidRDefault="0010662B" w:rsidP="0010662B">
      <w:pPr>
        <w:spacing w:after="0" w:line="276" w:lineRule="auto"/>
        <w:ind w:firstLine="709"/>
        <w:jc w:val="both"/>
        <w:rPr>
          <w:rFonts w:ascii="Verdana" w:eastAsia="Calibri" w:hAnsi="Verdana" w:cs="Arial"/>
          <w:lang w:eastAsia="es-ES"/>
        </w:rPr>
      </w:pPr>
      <w:r w:rsidRPr="00BE151B">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 xml:space="preserve">esto es, </w:t>
      </w:r>
      <w:r w:rsidRPr="00BE151B">
        <w:rPr>
          <w:rFonts w:ascii="Verdana" w:eastAsia="Calibri" w:hAnsi="Verdana" w:cs="Arial"/>
          <w:lang w:eastAsia="es-ES"/>
        </w:rPr>
        <w:t xml:space="preserve">haciendo abstracción de las circunstancias particulares y concretas, pero haciendo unas consideraciones sobre las normas generales relacionadas con los problemas jurídicos de su consulta. </w:t>
      </w:r>
    </w:p>
    <w:p w14:paraId="7C18CB57" w14:textId="77777777" w:rsidR="0010662B" w:rsidRPr="00BE151B" w:rsidRDefault="0010662B" w:rsidP="0010662B">
      <w:pPr>
        <w:spacing w:after="0" w:line="276" w:lineRule="auto"/>
        <w:contextualSpacing/>
        <w:jc w:val="both"/>
        <w:rPr>
          <w:rFonts w:ascii="Verdana" w:eastAsia="Times New Roman" w:hAnsi="Verdana" w:cs="Arial"/>
          <w:szCs w:val="24"/>
          <w:lang w:eastAsia="es-ES_tradnl"/>
        </w:rPr>
      </w:pPr>
    </w:p>
    <w:p w14:paraId="5E3DC1FD" w14:textId="77777777" w:rsidR="0010662B" w:rsidRPr="00BE151B" w:rsidRDefault="0010662B" w:rsidP="0010662B">
      <w:pPr>
        <w:tabs>
          <w:tab w:val="left" w:pos="0"/>
          <w:tab w:val="left" w:pos="284"/>
        </w:tabs>
        <w:spacing w:after="0" w:line="276" w:lineRule="auto"/>
        <w:contextualSpacing/>
        <w:jc w:val="both"/>
        <w:rPr>
          <w:rFonts w:ascii="Verdana" w:eastAsia="Calibri" w:hAnsi="Verdana" w:cs="Arial"/>
          <w:b/>
        </w:rPr>
      </w:pPr>
      <w:r w:rsidRPr="00BE151B">
        <w:rPr>
          <w:rFonts w:ascii="Verdana" w:eastAsia="Calibri" w:hAnsi="Verdana" w:cs="Arial"/>
          <w:b/>
        </w:rPr>
        <w:t>1. Problema planteado:</w:t>
      </w:r>
    </w:p>
    <w:p w14:paraId="0247EAA5" w14:textId="77777777" w:rsidR="0010662B" w:rsidRPr="00BE151B" w:rsidRDefault="0010662B" w:rsidP="0010662B">
      <w:pPr>
        <w:tabs>
          <w:tab w:val="left" w:pos="0"/>
          <w:tab w:val="left" w:pos="284"/>
        </w:tabs>
        <w:spacing w:after="0" w:line="276" w:lineRule="auto"/>
        <w:contextualSpacing/>
        <w:jc w:val="both"/>
        <w:rPr>
          <w:rFonts w:ascii="Verdana" w:eastAsia="Calibri" w:hAnsi="Verdana" w:cs="Arial"/>
          <w:b/>
        </w:rPr>
      </w:pPr>
    </w:p>
    <w:p w14:paraId="1C01665A" w14:textId="77777777" w:rsidR="0010662B" w:rsidRDefault="0010662B" w:rsidP="0010662B">
      <w:pPr>
        <w:spacing w:after="0" w:line="276" w:lineRule="auto"/>
        <w:jc w:val="both"/>
        <w:rPr>
          <w:rFonts w:ascii="Verdana" w:eastAsia="Calibri" w:hAnsi="Verdana" w:cs="Arial"/>
          <w:lang w:eastAsia="es-ES"/>
        </w:rPr>
      </w:pPr>
      <w:r>
        <w:rPr>
          <w:rFonts w:ascii="Verdana" w:eastAsia="Calibri" w:hAnsi="Verdana" w:cs="Arial"/>
          <w:lang w:eastAsia="es-ES"/>
        </w:rPr>
        <w:t xml:space="preserve">De conformidad con el </w:t>
      </w:r>
      <w:r w:rsidRPr="001A5FEC">
        <w:rPr>
          <w:rFonts w:ascii="Verdana" w:eastAsia="Calibri" w:hAnsi="Verdana" w:cs="Arial"/>
          <w:lang w:eastAsia="es-ES"/>
        </w:rPr>
        <w:t>régimen de inhabilidades e incompatibilidades previsto en la Ley 80</w:t>
      </w:r>
      <w:r>
        <w:rPr>
          <w:rFonts w:ascii="Verdana" w:eastAsia="Calibri" w:hAnsi="Verdana" w:cs="Arial"/>
          <w:lang w:eastAsia="es-ES"/>
        </w:rPr>
        <w:t xml:space="preserve"> </w:t>
      </w:r>
      <w:r w:rsidRPr="001A5FEC">
        <w:rPr>
          <w:rFonts w:ascii="Verdana" w:eastAsia="Calibri" w:hAnsi="Verdana" w:cs="Arial"/>
          <w:lang w:eastAsia="es-ES"/>
        </w:rPr>
        <w:t>de 1993 y en las normas que la modifiquen o adicionen</w:t>
      </w:r>
      <w:r>
        <w:rPr>
          <w:rFonts w:ascii="Verdana" w:eastAsia="Calibri" w:hAnsi="Verdana" w:cs="Arial"/>
          <w:lang w:eastAsia="es-ES"/>
        </w:rPr>
        <w:t>, ¿existe alguna inhabilidad o incompatibilidad aplicable a las personas jurídicas que tengan como socios a personas declaradas inhábiles, en el marco de procesos sancionatorios de orden fiscal o disciplinario, que afecten la capacidad jurídica de dicha sociedad para participar en procesos de contratación estatal y celebrar contratos, aun cuando dichos socios no tengan la calidad de representante legal?</w:t>
      </w:r>
    </w:p>
    <w:p w14:paraId="7CC05D31" w14:textId="77777777" w:rsidR="0010662B" w:rsidRDefault="0010662B" w:rsidP="0010662B">
      <w:pPr>
        <w:spacing w:after="0" w:line="276" w:lineRule="auto"/>
        <w:jc w:val="both"/>
        <w:rPr>
          <w:rFonts w:ascii="Verdana" w:eastAsia="Calibri" w:hAnsi="Verdana" w:cs="Arial"/>
          <w:lang w:eastAsia="es-ES"/>
        </w:rPr>
      </w:pPr>
    </w:p>
    <w:p w14:paraId="7AC4111D" w14:textId="77777777" w:rsidR="0010662B" w:rsidRPr="00BE151B" w:rsidRDefault="0010662B" w:rsidP="0010662B">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2. Respuesta:</w:t>
      </w:r>
    </w:p>
    <w:p w14:paraId="4ED19087" w14:textId="77777777" w:rsidR="0010662B" w:rsidRPr="00BE151B" w:rsidRDefault="0010662B" w:rsidP="0010662B">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0662B" w:rsidRPr="00BE151B" w14:paraId="48774038" w14:textId="77777777" w:rsidTr="003640D3">
        <w:tc>
          <w:tcPr>
            <w:tcW w:w="8828" w:type="dxa"/>
            <w:tcBorders>
              <w:bottom w:val="single" w:sz="4" w:space="0" w:color="auto"/>
            </w:tcBorders>
            <w:shd w:val="clear" w:color="auto" w:fill="auto"/>
          </w:tcPr>
          <w:p w14:paraId="58A262C8" w14:textId="77777777" w:rsidR="0010662B" w:rsidRDefault="0010662B" w:rsidP="003640D3">
            <w:pPr>
              <w:spacing w:line="276" w:lineRule="auto"/>
              <w:jc w:val="both"/>
              <w:rPr>
                <w:rFonts w:ascii="Verdana" w:hAnsi="Verdana" w:cs="Arial"/>
                <w:color w:val="000000"/>
              </w:rPr>
            </w:pPr>
            <w:r>
              <w:rPr>
                <w:rFonts w:ascii="Verdana" w:hAnsi="Verdana" w:cs="Arial"/>
                <w:color w:val="000000"/>
              </w:rPr>
              <w:t>E</w:t>
            </w:r>
            <w:r w:rsidRPr="00233FFC">
              <w:rPr>
                <w:rFonts w:ascii="Verdana" w:hAnsi="Verdana" w:cs="Arial"/>
                <w:color w:val="000000"/>
              </w:rPr>
              <w:t xml:space="preserve">l literal j) del numeral 1 del artículo 8 </w:t>
            </w:r>
            <w:r>
              <w:rPr>
                <w:rFonts w:ascii="Verdana" w:hAnsi="Verdana" w:cs="Arial"/>
                <w:color w:val="000000"/>
              </w:rPr>
              <w:t>de la Ley 80 de 1993</w:t>
            </w:r>
            <w:r w:rsidRPr="00233FFC">
              <w:rPr>
                <w:rFonts w:ascii="Verdana" w:hAnsi="Verdana" w:cs="Arial"/>
                <w:color w:val="000000"/>
              </w:rPr>
              <w:t xml:space="preserve"> establece </w:t>
            </w:r>
            <w:r>
              <w:rPr>
                <w:rFonts w:ascii="Verdana" w:hAnsi="Verdana" w:cs="Arial"/>
                <w:color w:val="000000"/>
              </w:rPr>
              <w:t xml:space="preserve">una inhabilidad que, en principio, afecta la capacidad jurídica tanto de personas naturales como de personas jurídicas, pero que, por virtud de los incisos 3 y 5 de la norma en cita, sus efectos se extienden a las sociedades de las que hagan parte dichas personas inhabilitadas solo en la medida en que detenten las calidades, no solo de representantes legales, sino de todas aquellas que </w:t>
            </w:r>
            <w:r>
              <w:rPr>
                <w:rFonts w:ascii="Verdana" w:hAnsi="Verdana" w:cs="Arial"/>
                <w:color w:val="000000"/>
              </w:rPr>
              <w:lastRenderedPageBreak/>
              <w:t>señala la norma. En ese orden, resulta pertinente enlistar los sujetos a quienes aplica la inhabilidad contemplada en el literal j):</w:t>
            </w:r>
          </w:p>
          <w:p w14:paraId="68B48764" w14:textId="77777777" w:rsidR="0010662B" w:rsidRDefault="0010662B" w:rsidP="003640D3">
            <w:pPr>
              <w:spacing w:line="276" w:lineRule="auto"/>
              <w:jc w:val="both"/>
              <w:rPr>
                <w:rFonts w:ascii="Verdana" w:hAnsi="Verdana" w:cs="Arial"/>
                <w:color w:val="000000"/>
              </w:rPr>
            </w:pPr>
          </w:p>
          <w:p w14:paraId="70BB0761" w14:textId="77777777" w:rsidR="0010662B" w:rsidRDefault="0010662B" w:rsidP="003640D3">
            <w:pPr>
              <w:spacing w:line="276" w:lineRule="auto"/>
              <w:jc w:val="both"/>
              <w:rPr>
                <w:rFonts w:ascii="Verdana" w:hAnsi="Verdana" w:cs="Arial"/>
                <w:color w:val="000000"/>
              </w:rPr>
            </w:pPr>
            <w:r>
              <w:rPr>
                <w:rFonts w:ascii="Verdana" w:hAnsi="Verdana" w:cs="Arial"/>
                <w:color w:val="000000"/>
              </w:rPr>
              <w:t>Para</w:t>
            </w:r>
            <w:r w:rsidRPr="007B17A8">
              <w:rPr>
                <w:rFonts w:ascii="Verdana" w:hAnsi="Verdana" w:cs="Arial"/>
                <w:color w:val="000000"/>
              </w:rPr>
              <w:t xml:space="preserve"> las </w:t>
            </w:r>
            <w:r w:rsidRPr="00E70B45">
              <w:rPr>
                <w:rFonts w:ascii="Verdana" w:hAnsi="Verdana" w:cs="Arial"/>
                <w:b/>
                <w:bCs/>
                <w:color w:val="000000"/>
                <w:u w:val="single"/>
              </w:rPr>
              <w:t>personas naturales</w:t>
            </w:r>
            <w:r w:rsidRPr="00154B35">
              <w:rPr>
                <w:rFonts w:ascii="Verdana" w:hAnsi="Verdana" w:cs="Arial"/>
                <w:color w:val="000000"/>
              </w:rPr>
              <w:t xml:space="preserve"> cuando:</w:t>
            </w:r>
          </w:p>
          <w:p w14:paraId="5216FE56" w14:textId="77777777" w:rsidR="0010662B" w:rsidRPr="007B17A8" w:rsidRDefault="0010662B" w:rsidP="003640D3">
            <w:pPr>
              <w:spacing w:line="276" w:lineRule="auto"/>
              <w:jc w:val="both"/>
              <w:rPr>
                <w:rFonts w:ascii="Verdana" w:hAnsi="Verdana" w:cs="Arial"/>
                <w:color w:val="000000"/>
              </w:rPr>
            </w:pPr>
          </w:p>
          <w:p w14:paraId="57280ADF" w14:textId="77777777" w:rsidR="0010662B" w:rsidRPr="002420E3" w:rsidRDefault="0010662B" w:rsidP="0010662B">
            <w:pPr>
              <w:pStyle w:val="Prrafodelista"/>
              <w:numPr>
                <w:ilvl w:val="0"/>
                <w:numId w:val="2"/>
              </w:numPr>
              <w:spacing w:line="276" w:lineRule="auto"/>
              <w:jc w:val="both"/>
              <w:rPr>
                <w:rFonts w:ascii="Verdana" w:hAnsi="Verdana" w:cs="Arial"/>
                <w:color w:val="000000"/>
              </w:rPr>
            </w:pPr>
            <w:r>
              <w:rPr>
                <w:rFonts w:ascii="Verdana" w:hAnsi="Verdana" w:cs="Arial"/>
                <w:color w:val="000000"/>
              </w:rPr>
              <w:t xml:space="preserve">Aquellas hayan sido </w:t>
            </w:r>
            <w:r w:rsidRPr="002420E3">
              <w:rPr>
                <w:rFonts w:ascii="Verdana" w:hAnsi="Verdana" w:cs="Arial"/>
                <w:color w:val="000000"/>
              </w:rPr>
              <w:t>declaradas responsables judicialmente por la comisión de delitos contra la Administración pública</w:t>
            </w:r>
          </w:p>
          <w:p w14:paraId="363600DA" w14:textId="77777777" w:rsidR="0010662B" w:rsidRPr="00261077" w:rsidRDefault="0010662B" w:rsidP="0010662B">
            <w:pPr>
              <w:pStyle w:val="Prrafodelista"/>
              <w:numPr>
                <w:ilvl w:val="0"/>
                <w:numId w:val="2"/>
              </w:numPr>
              <w:spacing w:line="276" w:lineRule="auto"/>
              <w:jc w:val="both"/>
              <w:rPr>
                <w:rFonts w:ascii="Verdana" w:hAnsi="Verdana" w:cs="Arial"/>
                <w:color w:val="000000"/>
              </w:rPr>
            </w:pPr>
            <w:r>
              <w:rPr>
                <w:rFonts w:ascii="Verdana" w:hAnsi="Verdana" w:cs="Arial"/>
                <w:color w:val="000000"/>
              </w:rPr>
              <w:t xml:space="preserve">Aquellas hayan sido </w:t>
            </w:r>
            <w:r w:rsidRPr="002420E3">
              <w:rPr>
                <w:rFonts w:ascii="Verdana" w:hAnsi="Verdana" w:cs="Arial"/>
                <w:color w:val="000000"/>
              </w:rPr>
              <w:t>declaradas responsables judicialmente por la comisión de</w:t>
            </w:r>
            <w:r w:rsidRPr="00261077">
              <w:rPr>
                <w:rFonts w:ascii="Arial" w:hAnsi="Arial" w:cs="Arial"/>
                <w:color w:val="000000"/>
                <w:sz w:val="21"/>
                <w:szCs w:val="21"/>
              </w:rPr>
              <w:t xml:space="preserve"> </w:t>
            </w:r>
            <w:r w:rsidRPr="00261077">
              <w:rPr>
                <w:rFonts w:ascii="Verdana" w:hAnsi="Verdana" w:cs="Arial"/>
                <w:color w:val="000000"/>
              </w:rPr>
              <w:t>cualquiera de los delitos o faltas contempladas por la Ley 1474 de 2011 y sus normas modificatorias</w:t>
            </w:r>
          </w:p>
          <w:p w14:paraId="50CB7DFE" w14:textId="77777777" w:rsidR="0010662B" w:rsidRPr="00190D22" w:rsidRDefault="0010662B" w:rsidP="0010662B">
            <w:pPr>
              <w:pStyle w:val="Prrafodelista"/>
              <w:numPr>
                <w:ilvl w:val="0"/>
                <w:numId w:val="2"/>
              </w:numPr>
              <w:spacing w:line="276" w:lineRule="auto"/>
              <w:jc w:val="both"/>
              <w:rPr>
                <w:rFonts w:ascii="Verdana" w:hAnsi="Verdana" w:cs="Arial"/>
                <w:color w:val="000000"/>
              </w:rPr>
            </w:pPr>
            <w:r>
              <w:rPr>
                <w:rFonts w:ascii="Verdana" w:hAnsi="Verdana" w:cs="Arial"/>
                <w:color w:val="000000"/>
              </w:rPr>
              <w:t xml:space="preserve">Aquellas hayan sido </w:t>
            </w:r>
            <w:r w:rsidRPr="002420E3">
              <w:rPr>
                <w:rFonts w:ascii="Verdana" w:hAnsi="Verdana" w:cs="Arial"/>
                <w:color w:val="000000"/>
              </w:rPr>
              <w:t>declaradas responsables judicialmente por la comisión de</w:t>
            </w:r>
            <w:r>
              <w:rPr>
                <w:rFonts w:ascii="Verdana" w:hAnsi="Verdana" w:cs="Arial"/>
                <w:color w:val="000000"/>
              </w:rPr>
              <w:t xml:space="preserve"> </w:t>
            </w:r>
            <w:r w:rsidRPr="00190D22">
              <w:rPr>
                <w:rFonts w:ascii="Verdana" w:hAnsi="Verdana" w:cs="Arial"/>
                <w:color w:val="000000"/>
              </w:rPr>
              <w:t>cualquiera de las conductas delictivas contempladas por las convenciones o tratados de lucha contra la corrupción suscritos y ratificados por Colombia</w:t>
            </w:r>
          </w:p>
          <w:p w14:paraId="29AD481A" w14:textId="77777777" w:rsidR="0010662B" w:rsidRDefault="0010662B" w:rsidP="003640D3">
            <w:pPr>
              <w:spacing w:line="276" w:lineRule="auto"/>
              <w:jc w:val="both"/>
              <w:rPr>
                <w:rFonts w:ascii="Verdana" w:hAnsi="Verdana" w:cs="Arial"/>
                <w:color w:val="000000"/>
              </w:rPr>
            </w:pPr>
          </w:p>
          <w:p w14:paraId="77B3C437" w14:textId="77777777" w:rsidR="0010662B" w:rsidRDefault="0010662B" w:rsidP="003640D3">
            <w:pPr>
              <w:spacing w:line="276" w:lineRule="auto"/>
              <w:jc w:val="both"/>
              <w:rPr>
                <w:rFonts w:ascii="Verdana" w:hAnsi="Verdana" w:cs="Arial"/>
                <w:color w:val="000000"/>
              </w:rPr>
            </w:pPr>
            <w:r>
              <w:rPr>
                <w:rFonts w:ascii="Verdana" w:hAnsi="Verdana" w:cs="Arial"/>
                <w:color w:val="000000"/>
              </w:rPr>
              <w:t>Para</w:t>
            </w:r>
            <w:r w:rsidRPr="007B17A8">
              <w:rPr>
                <w:rFonts w:ascii="Verdana" w:hAnsi="Verdana" w:cs="Arial"/>
                <w:color w:val="000000"/>
              </w:rPr>
              <w:t xml:space="preserve"> las </w:t>
            </w:r>
            <w:r w:rsidRPr="00E70B45">
              <w:rPr>
                <w:rFonts w:ascii="Verdana" w:hAnsi="Verdana" w:cs="Arial"/>
                <w:b/>
                <w:bCs/>
                <w:color w:val="000000"/>
                <w:u w:val="single"/>
              </w:rPr>
              <w:t>personas jurídicas</w:t>
            </w:r>
            <w:r w:rsidRPr="00154B35">
              <w:rPr>
                <w:rFonts w:ascii="Verdana" w:hAnsi="Verdana" w:cs="Arial"/>
                <w:color w:val="000000"/>
              </w:rPr>
              <w:t xml:space="preserve"> cuando:</w:t>
            </w:r>
          </w:p>
          <w:p w14:paraId="467B69B7" w14:textId="77777777" w:rsidR="0010662B" w:rsidRDefault="0010662B" w:rsidP="003640D3">
            <w:pPr>
              <w:spacing w:line="276" w:lineRule="auto"/>
              <w:jc w:val="both"/>
              <w:rPr>
                <w:rFonts w:ascii="Verdana" w:hAnsi="Verdana" w:cs="Arial"/>
                <w:color w:val="000000"/>
              </w:rPr>
            </w:pPr>
          </w:p>
          <w:p w14:paraId="07937583" w14:textId="77777777" w:rsidR="0010662B" w:rsidRPr="00BA690F" w:rsidRDefault="0010662B" w:rsidP="0010662B">
            <w:pPr>
              <w:pStyle w:val="Prrafodelista"/>
              <w:numPr>
                <w:ilvl w:val="0"/>
                <w:numId w:val="3"/>
              </w:numPr>
              <w:spacing w:line="276" w:lineRule="auto"/>
              <w:jc w:val="both"/>
              <w:rPr>
                <w:rFonts w:ascii="Verdana" w:hAnsi="Verdana" w:cs="Arial"/>
                <w:color w:val="000000"/>
              </w:rPr>
            </w:pPr>
            <w:r>
              <w:rPr>
                <w:rFonts w:ascii="Verdana" w:hAnsi="Verdana" w:cs="Arial"/>
                <w:color w:val="000000"/>
              </w:rPr>
              <w:t xml:space="preserve">Aquellas </w:t>
            </w:r>
            <w:r w:rsidRPr="00B762F7">
              <w:rPr>
                <w:rFonts w:ascii="Verdana" w:hAnsi="Verdana" w:cs="Arial"/>
                <w:color w:val="000000"/>
              </w:rPr>
              <w:t>hayan sido declaradas responsables administrativamente por la conducta de soborno transnacional</w:t>
            </w:r>
          </w:p>
          <w:p w14:paraId="3F0FE8DF" w14:textId="77777777" w:rsidR="0010662B" w:rsidRPr="0058149C" w:rsidRDefault="0010662B" w:rsidP="0010662B">
            <w:pPr>
              <w:pStyle w:val="Prrafodelista"/>
              <w:numPr>
                <w:ilvl w:val="0"/>
                <w:numId w:val="3"/>
              </w:numPr>
              <w:spacing w:line="276" w:lineRule="auto"/>
              <w:jc w:val="both"/>
              <w:rPr>
                <w:rFonts w:ascii="Verdana" w:hAnsi="Verdana" w:cs="Arial"/>
                <w:color w:val="000000"/>
              </w:rPr>
            </w:pPr>
            <w:r>
              <w:rPr>
                <w:rFonts w:ascii="Verdana" w:hAnsi="Verdana" w:cs="Arial"/>
                <w:color w:val="000000"/>
              </w:rPr>
              <w:t xml:space="preserve">Se les </w:t>
            </w:r>
            <w:r w:rsidRPr="00F22252">
              <w:rPr>
                <w:rFonts w:ascii="Verdana" w:hAnsi="Verdana" w:cs="Arial"/>
                <w:color w:val="000000"/>
              </w:rPr>
              <w:t>haya ordenado la suspensión de la perso</w:t>
            </w:r>
            <w:r w:rsidRPr="00F22252">
              <w:rPr>
                <w:rFonts w:ascii="Verdana" w:hAnsi="Verdana" w:cs="Arial"/>
                <w:color w:val="000000"/>
              </w:rPr>
              <w:softHyphen/>
              <w:t>nería jurídica en los términos de ley</w:t>
            </w:r>
          </w:p>
          <w:p w14:paraId="60659B63" w14:textId="77777777" w:rsidR="0010662B" w:rsidRPr="003F2B10" w:rsidRDefault="0010662B" w:rsidP="0010662B">
            <w:pPr>
              <w:pStyle w:val="Prrafodelista"/>
              <w:numPr>
                <w:ilvl w:val="0"/>
                <w:numId w:val="3"/>
              </w:numPr>
              <w:spacing w:line="276" w:lineRule="auto"/>
              <w:jc w:val="both"/>
              <w:rPr>
                <w:rFonts w:ascii="Verdana" w:hAnsi="Verdana" w:cs="Arial"/>
                <w:color w:val="000000"/>
              </w:rPr>
            </w:pPr>
            <w:r>
              <w:rPr>
                <w:rFonts w:ascii="Verdana" w:hAnsi="Verdana" w:cs="Arial"/>
                <w:color w:val="000000"/>
              </w:rPr>
              <w:t xml:space="preserve">Sus </w:t>
            </w:r>
            <w:r w:rsidRPr="00424AF2">
              <w:rPr>
                <w:rFonts w:ascii="Verdana" w:hAnsi="Verdana" w:cs="Arial"/>
                <w:color w:val="000000"/>
              </w:rPr>
              <w:t>representantes legales, ad</w:t>
            </w:r>
            <w:r w:rsidRPr="00424AF2">
              <w:rPr>
                <w:rFonts w:ascii="Verdana" w:hAnsi="Verdana" w:cs="Arial"/>
                <w:color w:val="000000"/>
              </w:rPr>
              <w:softHyphen/>
              <w:t xml:space="preserve">ministradores de hecho o de derecho, miembros de junta directiva o </w:t>
            </w:r>
            <w:r w:rsidRPr="00FA11AD">
              <w:rPr>
                <w:rFonts w:ascii="Verdana" w:hAnsi="Verdana" w:cs="Arial"/>
                <w:color w:val="000000"/>
                <w:u w:val="single"/>
              </w:rPr>
              <w:t>sus socios controlantes, sus matrices, subordinadas</w:t>
            </w:r>
            <w:r w:rsidRPr="00424AF2">
              <w:rPr>
                <w:rFonts w:ascii="Verdana" w:hAnsi="Verdana" w:cs="Arial"/>
                <w:color w:val="000000"/>
              </w:rPr>
              <w:t xml:space="preserve"> y/o las sucursales de sociedades extranjeras, hayan sido beneficiados con la aplicación de un principio de oportunidad por cualquier delito contra la Administración pública o el patrimonio del Estado</w:t>
            </w:r>
          </w:p>
          <w:p w14:paraId="3506FFC7" w14:textId="77777777" w:rsidR="0010662B" w:rsidRDefault="0010662B" w:rsidP="003640D3">
            <w:pPr>
              <w:spacing w:line="276" w:lineRule="auto"/>
              <w:jc w:val="both"/>
              <w:rPr>
                <w:rFonts w:ascii="Verdana" w:hAnsi="Verdana" w:cs="Arial"/>
                <w:color w:val="000000"/>
              </w:rPr>
            </w:pPr>
          </w:p>
          <w:p w14:paraId="688F54D3" w14:textId="77777777" w:rsidR="0010662B" w:rsidRDefault="0010662B" w:rsidP="003640D3">
            <w:pPr>
              <w:spacing w:line="276" w:lineRule="auto"/>
              <w:jc w:val="both"/>
              <w:rPr>
                <w:rFonts w:ascii="Verdana" w:hAnsi="Verdana" w:cs="Arial"/>
                <w:color w:val="000000"/>
              </w:rPr>
            </w:pPr>
            <w:r>
              <w:rPr>
                <w:rFonts w:ascii="Verdana" w:hAnsi="Verdana" w:cs="Arial"/>
                <w:color w:val="000000"/>
              </w:rPr>
              <w:t xml:space="preserve">Visto lo anterior, es posible afirmar que para el caso de para las </w:t>
            </w:r>
            <w:r w:rsidRPr="00E70B45">
              <w:rPr>
                <w:rFonts w:ascii="Verdana" w:hAnsi="Verdana" w:cs="Arial"/>
                <w:b/>
                <w:bCs/>
                <w:color w:val="000000"/>
              </w:rPr>
              <w:t>personas naturales</w:t>
            </w:r>
            <w:r>
              <w:rPr>
                <w:rFonts w:ascii="Verdana" w:hAnsi="Verdana" w:cs="Arial"/>
                <w:b/>
                <w:bCs/>
                <w:color w:val="000000"/>
              </w:rPr>
              <w:t xml:space="preserve"> y jurídicas</w:t>
            </w:r>
            <w:r>
              <w:rPr>
                <w:rFonts w:ascii="Verdana" w:hAnsi="Verdana" w:cs="Arial"/>
                <w:color w:val="000000"/>
              </w:rPr>
              <w:t xml:space="preserve">, </w:t>
            </w:r>
            <w:r w:rsidRPr="00CF61A9">
              <w:rPr>
                <w:rFonts w:ascii="Verdana" w:hAnsi="Verdana" w:cs="Arial"/>
                <w:color w:val="000000"/>
                <w:u w:val="single"/>
              </w:rPr>
              <w:t>sus efectos se extienden a las sociedades de las que hagan parte dichas personas</w:t>
            </w:r>
            <w:r w:rsidRPr="00582259">
              <w:rPr>
                <w:rFonts w:ascii="Verdana" w:hAnsi="Verdana" w:cs="Arial"/>
                <w:color w:val="000000"/>
              </w:rPr>
              <w:t xml:space="preserve"> en </w:t>
            </w:r>
            <w:r>
              <w:rPr>
                <w:rFonts w:ascii="Verdana" w:hAnsi="Verdana" w:cs="Arial"/>
                <w:color w:val="000000"/>
              </w:rPr>
              <w:t>las siguientes calidades:</w:t>
            </w:r>
          </w:p>
          <w:p w14:paraId="5DB61331" w14:textId="77777777" w:rsidR="0010662B" w:rsidRDefault="0010662B" w:rsidP="003640D3">
            <w:pPr>
              <w:spacing w:line="276" w:lineRule="auto"/>
              <w:jc w:val="both"/>
              <w:rPr>
                <w:rFonts w:ascii="Verdana" w:hAnsi="Verdana" w:cs="Arial"/>
                <w:color w:val="000000"/>
              </w:rPr>
            </w:pPr>
          </w:p>
          <w:p w14:paraId="2D0B3843" w14:textId="77777777" w:rsidR="0010662B" w:rsidRDefault="0010662B" w:rsidP="0010662B">
            <w:pPr>
              <w:pStyle w:val="Prrafodelista"/>
              <w:numPr>
                <w:ilvl w:val="0"/>
                <w:numId w:val="4"/>
              </w:numPr>
              <w:spacing w:line="276" w:lineRule="auto"/>
              <w:jc w:val="both"/>
              <w:rPr>
                <w:rFonts w:ascii="Verdana" w:hAnsi="Verdana" w:cs="Arial"/>
                <w:color w:val="000000"/>
              </w:rPr>
            </w:pPr>
            <w:r w:rsidRPr="00034E0E">
              <w:rPr>
                <w:rFonts w:ascii="Verdana" w:hAnsi="Verdana" w:cs="Arial"/>
                <w:color w:val="000000"/>
              </w:rPr>
              <w:t xml:space="preserve">administradores, </w:t>
            </w:r>
          </w:p>
          <w:p w14:paraId="227A26AD" w14:textId="77777777" w:rsidR="0010662B" w:rsidRDefault="0010662B" w:rsidP="0010662B">
            <w:pPr>
              <w:pStyle w:val="Prrafodelista"/>
              <w:numPr>
                <w:ilvl w:val="0"/>
                <w:numId w:val="4"/>
              </w:numPr>
              <w:spacing w:line="276" w:lineRule="auto"/>
              <w:jc w:val="both"/>
              <w:rPr>
                <w:rFonts w:ascii="Verdana" w:hAnsi="Verdana" w:cs="Arial"/>
                <w:color w:val="000000"/>
              </w:rPr>
            </w:pPr>
            <w:r w:rsidRPr="00034E0E">
              <w:rPr>
                <w:rFonts w:ascii="Verdana" w:hAnsi="Verdana" w:cs="Arial"/>
                <w:color w:val="000000"/>
              </w:rPr>
              <w:t>represen</w:t>
            </w:r>
            <w:r w:rsidRPr="00034E0E">
              <w:rPr>
                <w:rFonts w:ascii="Verdana" w:hAnsi="Verdana" w:cs="Arial"/>
                <w:color w:val="000000"/>
              </w:rPr>
              <w:softHyphen/>
              <w:t xml:space="preserve">tantes legales, </w:t>
            </w:r>
          </w:p>
          <w:p w14:paraId="432A8780" w14:textId="77777777" w:rsidR="0010662B" w:rsidRDefault="0010662B" w:rsidP="0010662B">
            <w:pPr>
              <w:pStyle w:val="Prrafodelista"/>
              <w:numPr>
                <w:ilvl w:val="0"/>
                <w:numId w:val="4"/>
              </w:numPr>
              <w:spacing w:line="276" w:lineRule="auto"/>
              <w:jc w:val="both"/>
              <w:rPr>
                <w:rFonts w:ascii="Verdana" w:hAnsi="Verdana" w:cs="Arial"/>
                <w:color w:val="000000"/>
              </w:rPr>
            </w:pPr>
            <w:r w:rsidRPr="00034E0E">
              <w:rPr>
                <w:rFonts w:ascii="Verdana" w:hAnsi="Verdana" w:cs="Arial"/>
                <w:color w:val="000000"/>
              </w:rPr>
              <w:t xml:space="preserve">miembros de junta directiva </w:t>
            </w:r>
          </w:p>
          <w:p w14:paraId="519D0C5F" w14:textId="77777777" w:rsidR="0010662B" w:rsidRDefault="0010662B" w:rsidP="0010662B">
            <w:pPr>
              <w:pStyle w:val="Prrafodelista"/>
              <w:numPr>
                <w:ilvl w:val="0"/>
                <w:numId w:val="4"/>
              </w:numPr>
              <w:spacing w:line="276" w:lineRule="auto"/>
              <w:jc w:val="both"/>
              <w:rPr>
                <w:rFonts w:ascii="Verdana" w:hAnsi="Verdana" w:cs="Arial"/>
                <w:color w:val="000000"/>
              </w:rPr>
            </w:pPr>
            <w:r w:rsidRPr="00693AC4">
              <w:rPr>
                <w:rFonts w:ascii="Verdana" w:hAnsi="Verdana" w:cs="Arial"/>
                <w:color w:val="000000"/>
                <w:u w:val="single"/>
              </w:rPr>
              <w:t>socios controlantes</w:t>
            </w:r>
            <w:r w:rsidRPr="00122B2A">
              <w:rPr>
                <w:rFonts w:ascii="Verdana" w:hAnsi="Verdana" w:cs="Arial"/>
                <w:color w:val="000000"/>
                <w:u w:val="single"/>
              </w:rPr>
              <w:t xml:space="preserve">, </w:t>
            </w:r>
            <w:r w:rsidRPr="00E731A1">
              <w:rPr>
                <w:rFonts w:ascii="Verdana" w:hAnsi="Verdana" w:cs="Arial"/>
                <w:color w:val="000000"/>
              </w:rPr>
              <w:t xml:space="preserve">a sus matrices, a sus subordinadas, a los grupos empresariales a los que estas pertenezcan cuando la conducta delictiva haya sido parte de una política del grupo y a las sucursales de </w:t>
            </w:r>
            <w:r w:rsidRPr="00E731A1">
              <w:rPr>
                <w:rFonts w:ascii="Verdana" w:hAnsi="Verdana" w:cs="Arial"/>
                <w:color w:val="000000"/>
              </w:rPr>
              <w:lastRenderedPageBreak/>
              <w:t xml:space="preserve">sociedades extranjeras, </w:t>
            </w:r>
            <w:r w:rsidRPr="00E773BA">
              <w:rPr>
                <w:rFonts w:ascii="Verdana" w:hAnsi="Verdana" w:cs="Arial"/>
                <w:color w:val="000000"/>
                <w:u w:val="single"/>
              </w:rPr>
              <w:t xml:space="preserve">con excepción de las sociedades anónimas abiertas. </w:t>
            </w:r>
          </w:p>
          <w:p w14:paraId="10F06E4F" w14:textId="77777777" w:rsidR="0010662B" w:rsidRDefault="0010662B" w:rsidP="003640D3">
            <w:pPr>
              <w:spacing w:line="276" w:lineRule="auto"/>
              <w:jc w:val="both"/>
              <w:rPr>
                <w:rFonts w:ascii="Verdana" w:hAnsi="Verdana" w:cs="Arial"/>
                <w:color w:val="000000"/>
              </w:rPr>
            </w:pPr>
          </w:p>
          <w:p w14:paraId="72C47F59" w14:textId="77777777" w:rsidR="0010662B" w:rsidRDefault="0010662B" w:rsidP="003640D3">
            <w:pPr>
              <w:spacing w:line="276" w:lineRule="auto"/>
              <w:jc w:val="both"/>
              <w:rPr>
                <w:rFonts w:ascii="Verdana" w:hAnsi="Verdana" w:cs="Arial"/>
                <w:color w:val="000000"/>
              </w:rPr>
            </w:pPr>
            <w:r>
              <w:rPr>
                <w:rFonts w:ascii="Verdana" w:hAnsi="Verdana" w:cs="Arial"/>
                <w:color w:val="000000"/>
              </w:rPr>
              <w:t xml:space="preserve">En conclusión, en el evento en que un socio controlante, persona natural, de la sociedad interesada en participar en una convocatoria pública de selección de contratistas o que pretenda suscribir contratos con el Estado, sea objeto de alguna de las inhabilidades enlistadas, dicha inhabilidad extiende sus efectos a la sociedad, </w:t>
            </w:r>
            <w:r w:rsidRPr="00E70B45">
              <w:rPr>
                <w:rFonts w:ascii="Verdana" w:hAnsi="Verdana" w:cs="Arial"/>
                <w:color w:val="000000"/>
              </w:rPr>
              <w:t>con ex</w:t>
            </w:r>
            <w:r w:rsidRPr="00E70B45">
              <w:rPr>
                <w:rFonts w:ascii="Verdana" w:hAnsi="Verdana" w:cs="Arial"/>
                <w:color w:val="000000"/>
              </w:rPr>
              <w:softHyphen/>
              <w:t>cepción de las sociedades anónimas abiertas.</w:t>
            </w:r>
          </w:p>
          <w:p w14:paraId="77567170" w14:textId="77777777" w:rsidR="0010662B" w:rsidRDefault="0010662B" w:rsidP="003640D3">
            <w:pPr>
              <w:spacing w:line="276" w:lineRule="auto"/>
              <w:jc w:val="both"/>
              <w:rPr>
                <w:rFonts w:ascii="Verdana" w:hAnsi="Verdana" w:cs="Arial"/>
                <w:color w:val="000000"/>
              </w:rPr>
            </w:pPr>
          </w:p>
          <w:p w14:paraId="4A4ADC7C" w14:textId="77777777" w:rsidR="0010662B" w:rsidRDefault="0010662B" w:rsidP="003640D3">
            <w:pPr>
              <w:spacing w:line="276" w:lineRule="auto"/>
              <w:jc w:val="both"/>
              <w:rPr>
                <w:rFonts w:ascii="Verdana" w:hAnsi="Verdana" w:cs="Arial"/>
                <w:color w:val="000000"/>
              </w:rPr>
            </w:pPr>
            <w:r>
              <w:rPr>
                <w:rFonts w:ascii="Verdana" w:hAnsi="Verdana" w:cs="Arial"/>
                <w:color w:val="000000"/>
              </w:rPr>
              <w:t xml:space="preserve">Por otra parte, si un socio controlante (que en este caso se trataría de un socio persona jurídica) de la sociedad interesada en participar en una convocatoria pública de selección de contratistas o que pretenda suscribir contratos con el Estado, es objeto de alguna de las inhabilidades enlistadas, dicha inhabilidad extiende sus efectos a la sociedad de forma permanente, </w:t>
            </w:r>
            <w:r w:rsidRPr="00E70B45">
              <w:rPr>
                <w:rFonts w:ascii="Verdana" w:hAnsi="Verdana" w:cs="Arial"/>
                <w:color w:val="000000"/>
              </w:rPr>
              <w:t>con ex</w:t>
            </w:r>
            <w:r w:rsidRPr="00E70B45">
              <w:rPr>
                <w:rFonts w:ascii="Verdana" w:hAnsi="Verdana" w:cs="Arial"/>
                <w:color w:val="000000"/>
              </w:rPr>
              <w:softHyphen/>
              <w:t>cepción de las sociedades anónimas abiertas.</w:t>
            </w:r>
          </w:p>
          <w:p w14:paraId="34F95232" w14:textId="77777777" w:rsidR="0010662B" w:rsidRDefault="0010662B" w:rsidP="003640D3">
            <w:pPr>
              <w:spacing w:line="276" w:lineRule="auto"/>
              <w:jc w:val="both"/>
              <w:rPr>
                <w:rFonts w:ascii="Verdana" w:hAnsi="Verdana" w:cs="Arial"/>
                <w:color w:val="000000"/>
              </w:rPr>
            </w:pPr>
          </w:p>
          <w:p w14:paraId="5BD31723" w14:textId="77777777" w:rsidR="0010662B" w:rsidRDefault="0010662B" w:rsidP="003640D3">
            <w:pPr>
              <w:spacing w:line="276" w:lineRule="auto"/>
              <w:jc w:val="both"/>
              <w:rPr>
                <w:rFonts w:ascii="Verdana" w:hAnsi="Verdana" w:cs="Arial"/>
                <w:color w:val="000000"/>
              </w:rPr>
            </w:pPr>
            <w:r>
              <w:rPr>
                <w:rFonts w:ascii="Verdana" w:hAnsi="Verdana" w:cs="Arial"/>
                <w:color w:val="000000"/>
              </w:rPr>
              <w:t>No obstante, se advierte que</w:t>
            </w:r>
            <w:r w:rsidRPr="007878A9">
              <w:rPr>
                <w:rFonts w:ascii="Verdana" w:hAnsi="Verdana" w:cs="Arial"/>
                <w:color w:val="000000"/>
              </w:rPr>
              <w:t xml:space="preserve"> el régimen de inhabilidades corresponde a un conjunto de restricciones que afectan la capacidad para contratar con el Estado</w:t>
            </w:r>
            <w:r>
              <w:rPr>
                <w:rFonts w:ascii="Verdana" w:hAnsi="Verdana" w:cs="Arial"/>
                <w:color w:val="000000"/>
              </w:rPr>
              <w:t xml:space="preserve">. En ese sentido, dichas causales están sometidas </w:t>
            </w:r>
            <w:r w:rsidRPr="00644B07">
              <w:rPr>
                <w:rFonts w:ascii="Verdana" w:hAnsi="Verdana" w:cs="Arial"/>
                <w:color w:val="000000"/>
              </w:rPr>
              <w:t>a</w:t>
            </w:r>
            <w:r>
              <w:rPr>
                <w:rFonts w:ascii="Verdana" w:hAnsi="Verdana" w:cs="Arial"/>
                <w:color w:val="000000"/>
              </w:rPr>
              <w:t xml:space="preserve"> una</w:t>
            </w:r>
            <w:r w:rsidRPr="00644B07">
              <w:rPr>
                <w:rFonts w:ascii="Verdana" w:hAnsi="Verdana" w:cs="Arial"/>
                <w:color w:val="000000"/>
              </w:rPr>
              <w:t xml:space="preserve"> interpretación y aplicación restrictiva, </w:t>
            </w:r>
            <w:r>
              <w:rPr>
                <w:rFonts w:ascii="Verdana" w:hAnsi="Verdana" w:cs="Arial"/>
                <w:color w:val="000000"/>
              </w:rPr>
              <w:t>por lo que cada entidad contratante deberá</w:t>
            </w:r>
            <w:r w:rsidRPr="00644B07">
              <w:rPr>
                <w:rFonts w:ascii="Verdana" w:hAnsi="Verdana" w:cs="Arial"/>
                <w:color w:val="000000"/>
              </w:rPr>
              <w:t xml:space="preserve"> analizar en </w:t>
            </w:r>
            <w:r>
              <w:rPr>
                <w:rFonts w:ascii="Verdana" w:hAnsi="Verdana" w:cs="Arial"/>
                <w:color w:val="000000"/>
              </w:rPr>
              <w:t>cada</w:t>
            </w:r>
            <w:r w:rsidRPr="00644B07">
              <w:rPr>
                <w:rFonts w:ascii="Verdana" w:hAnsi="Verdana" w:cs="Arial"/>
                <w:color w:val="000000"/>
              </w:rPr>
              <w:t xml:space="preserve"> caso concreto si efectivamente la respectiva persona se encuentra incursa en el supuesto de hecho que da lugar a la configuración de la inhabilidad o incompatibilidad, en virtud de la que opera la restricción a la capacidad para contratar.</w:t>
            </w:r>
          </w:p>
          <w:p w14:paraId="4C2B84C9" w14:textId="77777777" w:rsidR="0010662B" w:rsidRDefault="0010662B" w:rsidP="003640D3">
            <w:pPr>
              <w:spacing w:line="276" w:lineRule="auto"/>
              <w:jc w:val="both"/>
              <w:rPr>
                <w:rFonts w:ascii="Verdana" w:hAnsi="Verdana" w:cs="Arial"/>
                <w:color w:val="000000"/>
              </w:rPr>
            </w:pPr>
          </w:p>
          <w:p w14:paraId="3C920283" w14:textId="77777777" w:rsidR="0010662B" w:rsidRPr="008C268B" w:rsidRDefault="0010662B" w:rsidP="003640D3">
            <w:pPr>
              <w:spacing w:line="276" w:lineRule="auto"/>
              <w:jc w:val="both"/>
              <w:rPr>
                <w:rFonts w:ascii="Verdana" w:hAnsi="Verdana" w:cs="Arial"/>
                <w:color w:val="000000"/>
              </w:rPr>
            </w:pPr>
            <w:r>
              <w:rPr>
                <w:rFonts w:ascii="Verdana" w:hAnsi="Verdana" w:cs="Arial"/>
                <w:color w:val="000000"/>
              </w:rPr>
              <w:t>Por último, se itera que esta</w:t>
            </w:r>
            <w:r w:rsidRPr="00293035">
              <w:rPr>
                <w:rFonts w:ascii="Verdana" w:hAnsi="Verdana" w:cs="Arial"/>
                <w:color w:val="000000"/>
              </w:rPr>
              <w:t xml:space="preserve"> Agencia no tiene competencia para resolver problemas jurídicos específicos que no surjan de la aplicación de alguna norma contractual, o para resolver casos concretos.</w:t>
            </w:r>
            <w:r>
              <w:rPr>
                <w:rFonts w:ascii="Verdana" w:hAnsi="Verdana" w:cs="Arial"/>
                <w:color w:val="000000"/>
              </w:rPr>
              <w:t xml:space="preserve"> </w:t>
            </w:r>
            <w:r w:rsidRPr="00C30FF7">
              <w:rPr>
                <w:rFonts w:ascii="Verdana" w:hAnsi="Verdana" w:cs="Arial"/>
                <w:color w:val="000000"/>
              </w:rPr>
              <w:t xml:space="preserve">Por lo anterior, el presente concepto se limitará a responder </w:t>
            </w:r>
            <w:r>
              <w:rPr>
                <w:rFonts w:ascii="Verdana" w:hAnsi="Verdana" w:cs="Arial"/>
                <w:color w:val="000000"/>
              </w:rPr>
              <w:t>el interrogante</w:t>
            </w:r>
            <w:r w:rsidRPr="00C30FF7">
              <w:rPr>
                <w:rFonts w:ascii="Verdana" w:hAnsi="Verdana" w:cs="Arial"/>
                <w:color w:val="000000"/>
              </w:rPr>
              <w:t>, haciendo un análisis de las normas que resultan relevantes para su solicitud, con el alcance establecido en el artículo 28 del Código de Procedimiento Administrativo y de lo Contencioso Administrativo.</w:t>
            </w:r>
          </w:p>
        </w:tc>
      </w:tr>
    </w:tbl>
    <w:p w14:paraId="21E77C03" w14:textId="77777777" w:rsidR="0010662B" w:rsidRPr="00BE151B" w:rsidRDefault="0010662B" w:rsidP="0010662B">
      <w:pPr>
        <w:spacing w:after="0" w:line="276" w:lineRule="auto"/>
        <w:contextualSpacing/>
        <w:jc w:val="both"/>
        <w:rPr>
          <w:rFonts w:ascii="Verdana" w:eastAsia="Times New Roman" w:hAnsi="Verdana" w:cs="Arial"/>
          <w:lang w:eastAsia="es-ES_tradnl"/>
        </w:rPr>
      </w:pPr>
    </w:p>
    <w:p w14:paraId="488D467F" w14:textId="77777777" w:rsidR="0010662B" w:rsidRPr="00BE151B" w:rsidRDefault="0010662B" w:rsidP="0010662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3. Razones de la respuesta:</w:t>
      </w:r>
    </w:p>
    <w:p w14:paraId="6ED653F2" w14:textId="77777777" w:rsidR="0010662B" w:rsidRPr="00BE151B" w:rsidRDefault="0010662B" w:rsidP="0010662B">
      <w:pPr>
        <w:spacing w:after="0" w:line="276" w:lineRule="auto"/>
        <w:jc w:val="both"/>
        <w:rPr>
          <w:rFonts w:ascii="Verdana" w:eastAsia="Calibri" w:hAnsi="Verdana" w:cs="Arial"/>
          <w:color w:val="7030A0"/>
        </w:rPr>
      </w:pPr>
    </w:p>
    <w:p w14:paraId="2F5F54A4" w14:textId="77777777" w:rsidR="0010662B" w:rsidRPr="00BE151B" w:rsidRDefault="0010662B" w:rsidP="0010662B">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773ED671" w14:textId="77777777" w:rsidR="0010662B" w:rsidRPr="00BE151B" w:rsidRDefault="0010662B" w:rsidP="0010662B">
      <w:pPr>
        <w:spacing w:after="0" w:line="276" w:lineRule="auto"/>
        <w:jc w:val="both"/>
        <w:rPr>
          <w:rFonts w:ascii="Verdana" w:eastAsia="Calibri" w:hAnsi="Verdana" w:cs="Arial"/>
        </w:rPr>
      </w:pPr>
    </w:p>
    <w:p w14:paraId="40B5961A" w14:textId="77777777" w:rsidR="0010662B" w:rsidRPr="00857661" w:rsidRDefault="0010662B" w:rsidP="0010662B">
      <w:pPr>
        <w:pStyle w:val="Sinespaciado"/>
        <w:spacing w:after="120" w:line="276" w:lineRule="auto"/>
        <w:jc w:val="both"/>
        <w:rPr>
          <w:rFonts w:ascii="Verdana" w:hAnsi="Verdana" w:cs="Arial"/>
          <w:sz w:val="22"/>
          <w:lang w:val="es-ES"/>
        </w:rPr>
      </w:pPr>
      <w:r w:rsidRPr="00857661">
        <w:rPr>
          <w:rFonts w:ascii="Verdana" w:hAnsi="Verdana" w:cs="Arial"/>
          <w:sz w:val="22"/>
          <w:lang w:val="es-ES"/>
        </w:rPr>
        <w:lastRenderedPageBreak/>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114C3066" w14:textId="77777777" w:rsidR="0010662B" w:rsidRPr="00857661" w:rsidRDefault="0010662B" w:rsidP="0010662B">
      <w:pPr>
        <w:pStyle w:val="Sinespaciado"/>
        <w:spacing w:before="120" w:after="120" w:line="276" w:lineRule="auto"/>
        <w:ind w:firstLine="708"/>
        <w:jc w:val="both"/>
        <w:rPr>
          <w:rFonts w:ascii="Verdana" w:hAnsi="Verdana" w:cs="Arial"/>
          <w:sz w:val="22"/>
          <w:lang w:val="es-ES"/>
        </w:rPr>
      </w:pPr>
      <w:r w:rsidRPr="00857661">
        <w:rPr>
          <w:rFonts w:ascii="Verdana" w:hAnsi="Verdana" w:cs="Arial"/>
          <w:sz w:val="22"/>
          <w:lang w:val="es-ES"/>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w:t>
      </w:r>
      <w:r>
        <w:rPr>
          <w:rFonts w:ascii="Verdana" w:hAnsi="Verdana" w:cs="Arial"/>
          <w:sz w:val="22"/>
          <w:lang w:val="es-ES"/>
        </w:rPr>
        <w:t>“</w:t>
      </w:r>
      <w:r w:rsidRPr="00857661">
        <w:rPr>
          <w:rFonts w:ascii="Verdana" w:hAnsi="Verdana" w:cs="Arial"/>
          <w:sz w:val="22"/>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Pr>
          <w:rFonts w:ascii="Verdana" w:hAnsi="Verdana" w:cs="Arial"/>
          <w:sz w:val="22"/>
          <w:lang w:val="es-ES"/>
        </w:rPr>
        <w:t>”</w:t>
      </w:r>
      <w:r w:rsidRPr="00857661">
        <w:rPr>
          <w:rFonts w:ascii="Verdana" w:hAnsi="Verdana" w:cs="Arial"/>
          <w:sz w:val="22"/>
          <w:vertAlign w:val="superscript"/>
          <w:lang w:val="es-ES"/>
        </w:rPr>
        <w:footnoteReference w:id="1"/>
      </w:r>
      <w:r w:rsidRPr="00857661">
        <w:rPr>
          <w:rFonts w:ascii="Verdana" w:hAnsi="Verdana" w:cs="Arial"/>
          <w:sz w:val="22"/>
          <w:lang w:val="es-ES"/>
        </w:rPr>
        <w:t xml:space="preserve">. </w:t>
      </w:r>
    </w:p>
    <w:p w14:paraId="32E98170" w14:textId="77777777" w:rsidR="0010662B" w:rsidRPr="00857661" w:rsidRDefault="0010662B" w:rsidP="0010662B">
      <w:pPr>
        <w:pStyle w:val="Sinespaciado"/>
        <w:spacing w:before="120" w:line="276" w:lineRule="auto"/>
        <w:ind w:firstLine="709"/>
        <w:jc w:val="both"/>
        <w:rPr>
          <w:rFonts w:ascii="Verdana" w:hAnsi="Verdana" w:cs="Arial"/>
          <w:sz w:val="22"/>
          <w:lang w:val="es-ES"/>
        </w:rPr>
      </w:pPr>
      <w:r w:rsidRPr="00857661">
        <w:rPr>
          <w:rFonts w:ascii="Verdana" w:hAnsi="Verdana" w:cs="Arial"/>
          <w:sz w:val="22"/>
          <w:lang w:val="es-ES"/>
        </w:rPr>
        <w:t xml:space="preserve">Las limitaciones que afectan la capacidad jurídica para contratar desarrollan los principios de la función administrativa consagrados en el artículo 209 de la Constitución Política, con especial énfasis la moralidad administrativa. Así lo ha entendido el Consejo de Estado, quien se ha pronunciado al respecto en los siguientes términos: </w:t>
      </w:r>
    </w:p>
    <w:p w14:paraId="43176AFF" w14:textId="77777777" w:rsidR="0010662B" w:rsidRPr="00857661" w:rsidRDefault="0010662B" w:rsidP="0010662B">
      <w:pPr>
        <w:pStyle w:val="Sinespaciado"/>
        <w:spacing w:line="276" w:lineRule="auto"/>
        <w:jc w:val="both"/>
        <w:rPr>
          <w:rFonts w:ascii="Verdana" w:hAnsi="Verdana" w:cs="Arial"/>
          <w:sz w:val="22"/>
          <w:lang w:val="es-ES"/>
        </w:rPr>
      </w:pPr>
    </w:p>
    <w:p w14:paraId="74709326" w14:textId="77777777" w:rsidR="0010662B" w:rsidRPr="00857661" w:rsidRDefault="0010662B" w:rsidP="0010662B">
      <w:pPr>
        <w:pStyle w:val="NormalWeb"/>
        <w:shd w:val="clear" w:color="auto" w:fill="FFFFFF"/>
        <w:spacing w:before="0" w:beforeAutospacing="0" w:after="120" w:afterAutospacing="0"/>
        <w:ind w:left="709" w:right="709"/>
        <w:jc w:val="both"/>
        <w:rPr>
          <w:rFonts w:ascii="Verdana" w:eastAsiaTheme="minorHAnsi" w:hAnsi="Verdana" w:cs="Arial"/>
          <w:sz w:val="21"/>
          <w:szCs w:val="21"/>
          <w:lang w:val="es-ES" w:eastAsia="en-US"/>
        </w:rPr>
      </w:pPr>
      <w:r w:rsidRPr="00857661">
        <w:rPr>
          <w:rFonts w:ascii="Verdana" w:eastAsiaTheme="minorHAnsi" w:hAnsi="Verdana" w:cs="Arial"/>
          <w:sz w:val="21"/>
          <w:szCs w:val="21"/>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1DCA02D5" w14:textId="77777777" w:rsidR="0010662B" w:rsidRPr="00857661" w:rsidRDefault="0010662B" w:rsidP="0010662B">
      <w:pPr>
        <w:pStyle w:val="NormalWeb"/>
        <w:shd w:val="clear" w:color="auto" w:fill="FFFFFF"/>
        <w:spacing w:before="0" w:beforeAutospacing="0" w:after="0" w:afterAutospacing="0"/>
        <w:ind w:left="709" w:right="709"/>
        <w:jc w:val="both"/>
        <w:rPr>
          <w:rFonts w:ascii="Verdana" w:eastAsiaTheme="minorHAnsi" w:hAnsi="Verdana" w:cs="Arial"/>
          <w:sz w:val="21"/>
          <w:szCs w:val="21"/>
          <w:lang w:val="es-ES" w:eastAsia="en-US"/>
        </w:rPr>
      </w:pPr>
      <w:r w:rsidRPr="00857661">
        <w:rPr>
          <w:rFonts w:ascii="Verdana" w:eastAsiaTheme="minorHAnsi" w:hAnsi="Verdana" w:cs="Arial"/>
          <w:sz w:val="21"/>
          <w:szCs w:val="21"/>
          <w:lang w:val="es-ES" w:eastAsia="en-US"/>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w:t>
      </w:r>
      <w:r w:rsidRPr="00857661">
        <w:rPr>
          <w:rFonts w:ascii="Verdana" w:eastAsiaTheme="minorHAnsi" w:hAnsi="Verdana" w:cs="Arial"/>
          <w:sz w:val="21"/>
          <w:szCs w:val="21"/>
          <w:lang w:val="es-ES" w:eastAsia="en-US"/>
        </w:rPr>
        <w:lastRenderedPageBreak/>
        <w:t>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857661">
        <w:rPr>
          <w:rStyle w:val="Refdenotaalpie"/>
          <w:rFonts w:ascii="Verdana" w:eastAsiaTheme="minorHAnsi" w:hAnsi="Verdana" w:cs="Arial"/>
          <w:sz w:val="21"/>
          <w:szCs w:val="21"/>
          <w:lang w:val="es-ES" w:eastAsia="en-US"/>
        </w:rPr>
        <w:footnoteReference w:id="2"/>
      </w:r>
      <w:r w:rsidRPr="00857661">
        <w:rPr>
          <w:rFonts w:ascii="Verdana" w:eastAsiaTheme="minorHAnsi" w:hAnsi="Verdana" w:cs="Arial"/>
          <w:sz w:val="21"/>
          <w:szCs w:val="21"/>
          <w:lang w:val="es-ES" w:eastAsia="en-US"/>
        </w:rPr>
        <w:t xml:space="preserve">. </w:t>
      </w:r>
    </w:p>
    <w:p w14:paraId="69DB59C0" w14:textId="77777777" w:rsidR="0010662B" w:rsidRPr="00857661" w:rsidRDefault="0010662B" w:rsidP="0010662B">
      <w:pPr>
        <w:pStyle w:val="Sinespaciado"/>
        <w:spacing w:line="276" w:lineRule="auto"/>
        <w:jc w:val="both"/>
        <w:rPr>
          <w:rFonts w:ascii="Verdana" w:hAnsi="Verdana" w:cs="Arial"/>
          <w:sz w:val="22"/>
          <w:lang w:val="es-ES"/>
        </w:rPr>
      </w:pPr>
    </w:p>
    <w:p w14:paraId="1F0F19AE" w14:textId="77777777" w:rsidR="0010662B" w:rsidRPr="00857661" w:rsidRDefault="0010662B" w:rsidP="0010662B">
      <w:pPr>
        <w:pStyle w:val="Sinespaciado"/>
        <w:spacing w:line="276" w:lineRule="auto"/>
        <w:ind w:firstLine="709"/>
        <w:jc w:val="both"/>
        <w:rPr>
          <w:rFonts w:ascii="Verdana" w:hAnsi="Verdana" w:cs="Arial"/>
          <w:sz w:val="22"/>
          <w:lang w:val="es-ES"/>
        </w:rPr>
      </w:pPr>
      <w:r w:rsidRPr="00857661">
        <w:rPr>
          <w:rFonts w:ascii="Verdana" w:hAnsi="Verdana" w:cs="Arial"/>
          <w:sz w:val="22"/>
          <w:lang w:val="es-ES"/>
        </w:rPr>
        <w:t xml:space="preserve">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2158F683" w14:textId="77777777" w:rsidR="0010662B" w:rsidRPr="00857661" w:rsidRDefault="0010662B" w:rsidP="0010662B">
      <w:pPr>
        <w:spacing w:after="0"/>
        <w:rPr>
          <w:rFonts w:ascii="Verdana" w:eastAsia="Times New Roman" w:hAnsi="Verdana" w:cs="Arial"/>
          <w:shd w:val="clear" w:color="auto" w:fill="FFFFFF"/>
          <w:lang w:val="es-ES" w:eastAsia="es-ES_tradnl"/>
        </w:rPr>
      </w:pPr>
    </w:p>
    <w:p w14:paraId="6CF5D24F" w14:textId="77777777" w:rsidR="0010662B" w:rsidRPr="00857661" w:rsidRDefault="0010662B" w:rsidP="0010662B">
      <w:pPr>
        <w:spacing w:after="120"/>
        <w:ind w:left="709" w:right="709"/>
        <w:jc w:val="both"/>
        <w:rPr>
          <w:rFonts w:ascii="Verdana" w:hAnsi="Verdana" w:cs="Arial"/>
          <w:sz w:val="21"/>
          <w:szCs w:val="21"/>
          <w:lang w:val="es-ES"/>
        </w:rPr>
      </w:pPr>
      <w:r w:rsidRPr="00857661">
        <w:rPr>
          <w:rFonts w:ascii="Verdana" w:hAnsi="Verdana" w:cs="Arial"/>
          <w:sz w:val="21"/>
          <w:szCs w:val="21"/>
          <w:lang w:val="es-ES"/>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2D920EEC" w14:textId="77777777" w:rsidR="0010662B" w:rsidRPr="00857661" w:rsidRDefault="0010662B" w:rsidP="0010662B">
      <w:pPr>
        <w:ind w:left="709" w:right="709"/>
        <w:jc w:val="both"/>
        <w:rPr>
          <w:rFonts w:ascii="Verdana" w:hAnsi="Verdana" w:cs="Arial"/>
          <w:sz w:val="21"/>
          <w:szCs w:val="21"/>
          <w:lang w:val="es-ES"/>
        </w:rPr>
      </w:pPr>
      <w:r w:rsidRPr="00857661">
        <w:rPr>
          <w:rFonts w:ascii="Verdana" w:hAnsi="Verdana" w:cs="Arial"/>
          <w:sz w:val="21"/>
          <w:szCs w:val="21"/>
          <w:lang w:val="es-ES"/>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857661">
        <w:rPr>
          <w:rStyle w:val="Refdenotaalpie"/>
          <w:rFonts w:ascii="Verdana" w:hAnsi="Verdana" w:cs="Arial"/>
          <w:sz w:val="21"/>
          <w:szCs w:val="21"/>
          <w:lang w:val="es-ES"/>
        </w:rPr>
        <w:footnoteReference w:id="3"/>
      </w:r>
      <w:r w:rsidRPr="00857661">
        <w:rPr>
          <w:rFonts w:ascii="Verdana" w:hAnsi="Verdana" w:cs="Arial"/>
          <w:sz w:val="21"/>
          <w:szCs w:val="21"/>
          <w:lang w:val="es-ES"/>
        </w:rPr>
        <w:t>.</w:t>
      </w:r>
    </w:p>
    <w:p w14:paraId="57532EB4" w14:textId="77777777" w:rsidR="0010662B" w:rsidRPr="00857661" w:rsidRDefault="0010662B" w:rsidP="0010662B">
      <w:pPr>
        <w:spacing w:line="276" w:lineRule="auto"/>
        <w:ind w:left="709" w:right="709"/>
        <w:rPr>
          <w:rFonts w:ascii="Verdana" w:eastAsia="Times New Roman" w:hAnsi="Verdana" w:cs="Arial"/>
          <w:shd w:val="clear" w:color="auto" w:fill="FFFFFF"/>
          <w:lang w:val="es-ES" w:eastAsia="es-ES_tradnl"/>
        </w:rPr>
      </w:pPr>
    </w:p>
    <w:p w14:paraId="2D33875C" w14:textId="77777777" w:rsidR="0010662B" w:rsidRPr="00857661" w:rsidRDefault="0010662B" w:rsidP="0010662B">
      <w:pPr>
        <w:spacing w:after="0" w:line="276" w:lineRule="auto"/>
        <w:ind w:firstLine="709"/>
        <w:jc w:val="both"/>
        <w:rPr>
          <w:rFonts w:ascii="Verdana" w:hAnsi="Verdana" w:cs="Arial"/>
          <w:lang w:val="es-ES"/>
        </w:rPr>
      </w:pPr>
      <w:r w:rsidRPr="00857661">
        <w:rPr>
          <w:rFonts w:ascii="Verdana" w:hAnsi="Verdana" w:cs="Arial"/>
          <w:lang w:val="es-ES"/>
        </w:rPr>
        <w:t>Además, la Corte Constitucional ha explicado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de conformidad con el artículo 150 de la Constitución Política, y que en esta materia rige el principio de legalidad:</w:t>
      </w:r>
    </w:p>
    <w:p w14:paraId="2CDC9157" w14:textId="77777777" w:rsidR="0010662B" w:rsidRPr="00857661" w:rsidRDefault="0010662B" w:rsidP="0010662B">
      <w:pPr>
        <w:pStyle w:val="Sinespaciado"/>
        <w:tabs>
          <w:tab w:val="left" w:pos="1532"/>
        </w:tabs>
        <w:spacing w:line="276" w:lineRule="auto"/>
        <w:jc w:val="both"/>
        <w:rPr>
          <w:rFonts w:ascii="Verdana" w:hAnsi="Verdana" w:cs="Arial"/>
          <w:sz w:val="22"/>
          <w:lang w:val="es-ES"/>
        </w:rPr>
      </w:pPr>
    </w:p>
    <w:p w14:paraId="24C083EF" w14:textId="77777777" w:rsidR="0010662B" w:rsidRPr="00857661" w:rsidRDefault="0010662B" w:rsidP="0010662B">
      <w:pPr>
        <w:spacing w:after="120"/>
        <w:ind w:left="709" w:right="709"/>
        <w:jc w:val="both"/>
        <w:rPr>
          <w:rFonts w:ascii="Verdana" w:hAnsi="Verdana" w:cs="Arial"/>
          <w:sz w:val="21"/>
          <w:szCs w:val="21"/>
          <w:lang w:val="es-ES"/>
        </w:rPr>
      </w:pPr>
      <w:r w:rsidRPr="00857661">
        <w:rPr>
          <w:rFonts w:ascii="Verdana" w:hAnsi="Verdana" w:cs="Arial"/>
          <w:sz w:val="21"/>
          <w:szCs w:val="21"/>
          <w:lang w:val="es-ES"/>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libertate, sino el de legalidad, el que ordena que la función pública debe someterse estrictamente a lo que disponga la Constitución y la ley (CP art. 6). </w:t>
      </w:r>
    </w:p>
    <w:p w14:paraId="08922CB0" w14:textId="77777777" w:rsidR="0010662B" w:rsidRPr="00857661" w:rsidRDefault="0010662B" w:rsidP="0010662B">
      <w:pPr>
        <w:spacing w:after="120"/>
        <w:ind w:left="709" w:right="709"/>
        <w:jc w:val="both"/>
        <w:rPr>
          <w:rFonts w:ascii="Verdana" w:hAnsi="Verdana" w:cs="Arial"/>
          <w:sz w:val="21"/>
          <w:szCs w:val="21"/>
          <w:lang w:val="es-ES"/>
        </w:rPr>
      </w:pPr>
      <w:r w:rsidRPr="00857661">
        <w:rPr>
          <w:rFonts w:ascii="Verdana" w:hAnsi="Verdana" w:cs="Arial"/>
          <w:sz w:val="21"/>
          <w:szCs w:val="21"/>
          <w:lang w:val="es-ES"/>
        </w:rPr>
        <w:t xml:space="preserve">[…] </w:t>
      </w:r>
    </w:p>
    <w:p w14:paraId="6AC90CA3" w14:textId="77777777" w:rsidR="0010662B" w:rsidRPr="00857661" w:rsidRDefault="0010662B" w:rsidP="0010662B">
      <w:pPr>
        <w:spacing w:after="0"/>
        <w:ind w:left="709" w:right="709"/>
        <w:jc w:val="both"/>
        <w:rPr>
          <w:rFonts w:ascii="Verdana" w:hAnsi="Verdana" w:cs="Arial"/>
          <w:sz w:val="21"/>
          <w:szCs w:val="21"/>
          <w:lang w:val="es-ES"/>
        </w:rPr>
      </w:pPr>
      <w:r w:rsidRPr="00857661">
        <w:rPr>
          <w:rFonts w:ascii="Verdana" w:hAnsi="Verdana" w:cs="Arial"/>
          <w:sz w:val="21"/>
          <w:szCs w:val="21"/>
          <w:lang w:val="es-ES"/>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857661">
        <w:rPr>
          <w:rStyle w:val="Refdenotaalpie"/>
          <w:rFonts w:ascii="Verdana" w:hAnsi="Verdana" w:cs="Arial"/>
          <w:sz w:val="21"/>
          <w:szCs w:val="21"/>
          <w:lang w:val="es-ES"/>
        </w:rPr>
        <w:footnoteReference w:id="4"/>
      </w:r>
      <w:r w:rsidRPr="00857661">
        <w:rPr>
          <w:rFonts w:ascii="Verdana" w:hAnsi="Verdana" w:cs="Arial"/>
          <w:sz w:val="21"/>
          <w:szCs w:val="21"/>
          <w:lang w:val="es-ES"/>
        </w:rPr>
        <w:t>.</w:t>
      </w:r>
    </w:p>
    <w:p w14:paraId="3DF6CBF7" w14:textId="77777777" w:rsidR="0010662B" w:rsidRPr="00857661" w:rsidRDefault="0010662B" w:rsidP="0010662B">
      <w:pPr>
        <w:spacing w:after="0"/>
        <w:ind w:left="709" w:right="709"/>
        <w:rPr>
          <w:rFonts w:ascii="Verdana" w:eastAsia="Times New Roman" w:hAnsi="Verdana" w:cs="Arial"/>
          <w:shd w:val="clear" w:color="auto" w:fill="FFFFFF"/>
          <w:lang w:val="es-ES" w:eastAsia="es-ES_tradnl"/>
        </w:rPr>
      </w:pPr>
    </w:p>
    <w:p w14:paraId="3FFB9B39" w14:textId="77777777" w:rsidR="0010662B" w:rsidRPr="00857661" w:rsidRDefault="0010662B" w:rsidP="0010662B">
      <w:pPr>
        <w:spacing w:after="120" w:line="276" w:lineRule="auto"/>
        <w:ind w:firstLine="709"/>
        <w:jc w:val="both"/>
        <w:rPr>
          <w:rFonts w:ascii="Verdana" w:hAnsi="Verdana" w:cs="Arial"/>
          <w:lang w:val="es-ES"/>
        </w:rPr>
      </w:pPr>
      <w:r w:rsidRPr="00857661">
        <w:rPr>
          <w:rFonts w:ascii="Verdana" w:hAnsi="Verdana" w:cs="Arial"/>
          <w:lang w:val="es-ES"/>
        </w:rPr>
        <w:t xml:space="preserve">Conviene también distinguir las fuentes de las inhabilidades, las cuales han sido clasificadas en dos (2) grupos: i) inhabilidades-sanción </w:t>
      </w:r>
      <w:r>
        <w:rPr>
          <w:rFonts w:ascii="Verdana" w:hAnsi="Verdana" w:cs="Arial"/>
          <w:lang w:val="es-ES"/>
        </w:rPr>
        <w:t>e</w:t>
      </w:r>
      <w:r w:rsidRPr="00857661">
        <w:rPr>
          <w:rFonts w:ascii="Verdana" w:hAnsi="Verdana" w:cs="Arial"/>
          <w:lang w:val="es-ES"/>
        </w:rPr>
        <w:t xml:space="preserve">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857661">
        <w:rPr>
          <w:rStyle w:val="Refdenotaalpie"/>
          <w:rFonts w:ascii="Verdana" w:hAnsi="Verdana" w:cs="Arial"/>
          <w:lang w:val="es-ES"/>
        </w:rPr>
        <w:footnoteReference w:id="5"/>
      </w:r>
      <w:r w:rsidRPr="00857661">
        <w:rPr>
          <w:rFonts w:ascii="Verdana" w:hAnsi="Verdana" w:cs="Arial"/>
          <w:lang w:val="es-ES"/>
        </w:rPr>
        <w:t xml:space="preserve">. </w:t>
      </w:r>
    </w:p>
    <w:p w14:paraId="327EA10A" w14:textId="77777777" w:rsidR="0010662B" w:rsidRPr="00857661" w:rsidRDefault="0010662B" w:rsidP="0010662B">
      <w:pPr>
        <w:spacing w:before="120" w:after="120" w:line="276" w:lineRule="auto"/>
        <w:ind w:firstLine="708"/>
        <w:jc w:val="both"/>
        <w:rPr>
          <w:rFonts w:ascii="Verdana" w:hAnsi="Verdana" w:cs="Arial"/>
          <w:lang w:val="es-ES"/>
        </w:rPr>
      </w:pPr>
      <w:r w:rsidRPr="00857661">
        <w:rPr>
          <w:rFonts w:ascii="Verdana" w:hAnsi="Verdana" w:cs="Arial"/>
          <w:lang w:val="es-ES"/>
        </w:rPr>
        <w:lastRenderedPageBreak/>
        <w:t>A manera de ejemplo, en materia contractual, los literales c), d) y j) del numeral 1 del artículo 8 de la Ley 80 de 1993</w:t>
      </w:r>
      <w:r w:rsidRPr="00857661">
        <w:rPr>
          <w:rFonts w:ascii="Verdana" w:hAnsi="Verdana" w:cs="Arial"/>
          <w:vertAlign w:val="superscript"/>
          <w:lang w:val="es-ES"/>
        </w:rPr>
        <w:footnoteReference w:id="6"/>
      </w:r>
      <w:r w:rsidRPr="00857661">
        <w:rPr>
          <w:rFonts w:ascii="Verdana" w:hAnsi="Verdana" w:cs="Arial"/>
          <w:lang w:val="es-ES"/>
        </w:rPr>
        <w:t xml:space="preserve">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3EF4D37A" w14:textId="77777777" w:rsidR="0010662B" w:rsidRDefault="0010662B" w:rsidP="0010662B">
      <w:pPr>
        <w:spacing w:before="120" w:line="276" w:lineRule="auto"/>
        <w:ind w:firstLine="709"/>
        <w:jc w:val="both"/>
        <w:rPr>
          <w:rFonts w:ascii="Verdana" w:hAnsi="Verdana" w:cs="Arial"/>
          <w:lang w:val="es-ES"/>
        </w:rPr>
      </w:pPr>
      <w:bookmarkStart w:id="0" w:name="_Hlk40976328"/>
      <w:r w:rsidRPr="00857661">
        <w:rPr>
          <w:rFonts w:ascii="Verdana" w:hAnsi="Verdana" w:cs="Arial"/>
          <w:lang w:val="es-ES"/>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5161B6CD" w14:textId="77777777" w:rsidR="0010662B" w:rsidRPr="0028089C" w:rsidRDefault="0010662B" w:rsidP="0010662B">
      <w:pPr>
        <w:spacing w:line="276" w:lineRule="auto"/>
        <w:ind w:firstLine="708"/>
        <w:jc w:val="both"/>
        <w:rPr>
          <w:rFonts w:ascii="Verdana" w:eastAsia="Calibri" w:hAnsi="Verdana" w:cs="Arial"/>
          <w:lang w:val="es-ES"/>
        </w:rPr>
      </w:pPr>
      <w:r>
        <w:rPr>
          <w:rFonts w:ascii="Verdana" w:eastAsia="Calibri" w:hAnsi="Verdana" w:cs="Arial"/>
          <w:lang w:val="es-ES"/>
        </w:rPr>
        <w:lastRenderedPageBreak/>
        <w:t>De otro lado, e</w:t>
      </w:r>
      <w:r w:rsidRPr="0028089C">
        <w:rPr>
          <w:rFonts w:ascii="Verdana" w:eastAsia="Calibri" w:hAnsi="Verdana" w:cs="Arial"/>
          <w:lang w:val="es-ES"/>
        </w:rPr>
        <w:t>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2CAEBB41" w14:textId="77777777" w:rsidR="0010662B" w:rsidRPr="0028089C" w:rsidRDefault="0010662B" w:rsidP="0010662B">
      <w:pPr>
        <w:spacing w:before="120" w:after="120" w:line="276" w:lineRule="auto"/>
        <w:ind w:firstLine="709"/>
        <w:jc w:val="both"/>
        <w:rPr>
          <w:rFonts w:ascii="Verdana" w:eastAsia="Calibri" w:hAnsi="Verdana" w:cs="Arial"/>
          <w:lang w:val="es-ES"/>
        </w:rPr>
      </w:pPr>
      <w:r w:rsidRPr="0028089C">
        <w:rPr>
          <w:rFonts w:ascii="Verdana" w:eastAsia="Calibri" w:hAnsi="Verdana" w:cs="Arial"/>
          <w:lang w:val="es-ES"/>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28089C">
        <w:rPr>
          <w:rFonts w:ascii="Verdana" w:eastAsia="Calibri" w:hAnsi="Verdana" w:cs="Arial"/>
          <w:i/>
          <w:iCs/>
          <w:lang w:val="es-ES"/>
        </w:rPr>
        <w:t>restrictiva</w:t>
      </w:r>
      <w:r w:rsidRPr="0028089C">
        <w:rPr>
          <w:rFonts w:ascii="Verdana" w:eastAsia="Calibri" w:hAnsi="Verdana" w:cs="Arial"/>
          <w:vertAlign w:val="superscript"/>
          <w:lang w:val="es-ES"/>
        </w:rPr>
        <w:footnoteReference w:id="7"/>
      </w:r>
      <w:r w:rsidRPr="0028089C">
        <w:rPr>
          <w:rFonts w:ascii="Verdana" w:eastAsia="Calibri" w:hAnsi="Verdana" w:cs="Arial"/>
          <w:lang w:val="es-ES"/>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Tal ha sido la postura de la jurisprudencia, tanto de la Corte Constitucional como de la Sección Tercera del Consejo de Estado. </w:t>
      </w:r>
    </w:p>
    <w:p w14:paraId="46526BDA" w14:textId="77777777" w:rsidR="0010662B" w:rsidRPr="0028089C" w:rsidRDefault="0010662B" w:rsidP="0010662B">
      <w:pPr>
        <w:spacing w:after="0" w:line="276" w:lineRule="auto"/>
        <w:ind w:firstLine="709"/>
        <w:jc w:val="both"/>
        <w:rPr>
          <w:rFonts w:ascii="Verdana" w:eastAsia="Calibri" w:hAnsi="Verdana" w:cs="Arial"/>
          <w:lang w:val="es-ES"/>
        </w:rPr>
      </w:pPr>
      <w:r w:rsidRPr="0028089C">
        <w:rPr>
          <w:rFonts w:ascii="Verdana" w:eastAsia="Calibri" w:hAnsi="Verdana" w:cs="Arial"/>
          <w:lang w:val="es-ES"/>
        </w:rPr>
        <w:t xml:space="preserve">En efecto, el máximo tribunal constitucional ha indicado que, al tratar de precisar el sentido de este tipo de normas, </w:t>
      </w:r>
      <w:r>
        <w:rPr>
          <w:rFonts w:ascii="Verdana" w:eastAsia="Calibri" w:hAnsi="Verdana" w:cs="Arial"/>
          <w:lang w:val="es-ES"/>
        </w:rPr>
        <w:t>“</w:t>
      </w:r>
      <w:r w:rsidRPr="0028089C">
        <w:rPr>
          <w:rFonts w:ascii="Verdana" w:eastAsia="Calibri" w:hAnsi="Verdana" w:cs="Arial"/>
          <w:lang w:val="es-ES"/>
        </w:rPr>
        <w:t>[…]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Pr>
          <w:rFonts w:ascii="Verdana" w:eastAsia="Calibri" w:hAnsi="Verdana" w:cs="Arial"/>
          <w:lang w:val="es-ES"/>
        </w:rPr>
        <w:t>”</w:t>
      </w:r>
      <w:r w:rsidRPr="0028089C">
        <w:rPr>
          <w:rFonts w:ascii="Verdana" w:eastAsia="Calibri" w:hAnsi="Verdana" w:cs="Arial"/>
          <w:vertAlign w:val="superscript"/>
          <w:lang w:val="es-ES"/>
        </w:rPr>
        <w:footnoteReference w:id="8"/>
      </w:r>
      <w:r w:rsidRPr="0028089C">
        <w:rPr>
          <w:rFonts w:ascii="Verdana" w:eastAsia="Calibri" w:hAnsi="Verdana" w:cs="Arial"/>
          <w:lang w:val="es-ES"/>
        </w:rPr>
        <w:t xml:space="preserve">. Por su parte, el Consejo de Estado ha acogido también este criterio, considerando –como expresa la Sala de Consulta y Servicio Civil–, que </w:t>
      </w:r>
      <w:r>
        <w:rPr>
          <w:rFonts w:ascii="Verdana" w:eastAsia="Calibri" w:hAnsi="Verdana" w:cs="Arial"/>
          <w:lang w:val="es-ES"/>
        </w:rPr>
        <w:t>“</w:t>
      </w:r>
      <w:r w:rsidRPr="0028089C">
        <w:rPr>
          <w:rFonts w:ascii="Verdana" w:eastAsia="Calibri" w:hAnsi="Verdana" w:cs="Arial"/>
          <w:lang w:val="es-ES"/>
        </w:rPr>
        <w:t xml:space="preserve">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w:t>
      </w:r>
      <w:r w:rsidRPr="0028089C">
        <w:rPr>
          <w:rFonts w:ascii="Verdana" w:eastAsia="Calibri" w:hAnsi="Verdana" w:cs="Arial"/>
          <w:lang w:val="es-ES"/>
        </w:rPr>
        <w:lastRenderedPageBreak/>
        <w:t>aquello que no les esté expresamente prohibido</w:t>
      </w:r>
      <w:r>
        <w:rPr>
          <w:rFonts w:ascii="Verdana" w:eastAsia="Calibri" w:hAnsi="Verdana" w:cs="Arial"/>
          <w:lang w:val="es-ES"/>
        </w:rPr>
        <w:t>”</w:t>
      </w:r>
      <w:r w:rsidRPr="0028089C">
        <w:rPr>
          <w:rFonts w:ascii="Verdana" w:eastAsia="Calibri" w:hAnsi="Verdana" w:cs="Arial"/>
          <w:vertAlign w:val="superscript"/>
          <w:lang w:val="es-ES"/>
        </w:rPr>
        <w:footnoteReference w:id="9"/>
      </w:r>
      <w:r w:rsidRPr="0028089C">
        <w:rPr>
          <w:rFonts w:ascii="Verdana" w:eastAsia="Calibri" w:hAnsi="Verdana" w:cs="Arial"/>
          <w:lang w:val="es-ES"/>
        </w:rPr>
        <w:t>. En tal sentido, la Sección Tercera ha señalado que:</w:t>
      </w:r>
    </w:p>
    <w:p w14:paraId="63006FB9" w14:textId="77777777" w:rsidR="0010662B" w:rsidRPr="0028089C" w:rsidRDefault="0010662B" w:rsidP="0010662B">
      <w:pPr>
        <w:spacing w:after="0" w:line="276" w:lineRule="auto"/>
        <w:ind w:firstLine="709"/>
        <w:jc w:val="both"/>
        <w:rPr>
          <w:rFonts w:ascii="Verdana" w:eastAsia="Calibri" w:hAnsi="Verdana" w:cs="Arial"/>
          <w:lang w:val="es-ES"/>
        </w:rPr>
      </w:pPr>
    </w:p>
    <w:p w14:paraId="22CAEAC5" w14:textId="77777777" w:rsidR="0010662B" w:rsidRPr="0028089C" w:rsidRDefault="0010662B" w:rsidP="0010662B">
      <w:pPr>
        <w:ind w:left="709" w:right="709"/>
        <w:jc w:val="both"/>
        <w:rPr>
          <w:rFonts w:ascii="Verdana" w:eastAsia="Calibri" w:hAnsi="Verdana" w:cs="Arial"/>
          <w:lang w:val="es-ES"/>
        </w:rPr>
      </w:pPr>
      <w:r w:rsidRPr="0028089C">
        <w:rPr>
          <w:rFonts w:ascii="Verdana" w:hAnsi="Verdana" w:cs="Arial"/>
          <w:sz w:val="21"/>
          <w:szCs w:val="21"/>
          <w:lang w:val="es-ES"/>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28089C">
        <w:rPr>
          <w:rFonts w:ascii="Verdana" w:hAnsi="Verdana" w:cs="Arial"/>
          <w:sz w:val="21"/>
          <w:szCs w:val="21"/>
          <w:vertAlign w:val="superscript"/>
          <w:lang w:val="es-ES"/>
        </w:rPr>
        <w:footnoteReference w:id="10"/>
      </w:r>
      <w:r w:rsidRPr="0028089C">
        <w:rPr>
          <w:rFonts w:ascii="Verdana" w:hAnsi="Verdana" w:cs="Arial"/>
          <w:sz w:val="21"/>
          <w:szCs w:val="21"/>
          <w:lang w:val="es-ES"/>
        </w:rPr>
        <w:t>.</w:t>
      </w:r>
    </w:p>
    <w:p w14:paraId="5D9D43E2" w14:textId="77777777" w:rsidR="0010662B" w:rsidRPr="0028089C" w:rsidRDefault="0010662B" w:rsidP="0010662B">
      <w:pPr>
        <w:ind w:firstLine="709"/>
        <w:jc w:val="both"/>
        <w:rPr>
          <w:rFonts w:ascii="Verdana" w:eastAsia="Calibri" w:hAnsi="Verdana" w:cs="Arial"/>
          <w:lang w:val="es-ES"/>
        </w:rPr>
      </w:pPr>
      <w:r w:rsidRPr="0028089C">
        <w:rPr>
          <w:rFonts w:ascii="Verdana" w:eastAsia="Calibri" w:hAnsi="Verdana" w:cs="Arial"/>
          <w:lang w:val="es-ES"/>
        </w:rPr>
        <w:t>También ha dicho que:</w:t>
      </w:r>
    </w:p>
    <w:p w14:paraId="75421768" w14:textId="77777777" w:rsidR="0010662B" w:rsidRPr="0028089C" w:rsidRDefault="0010662B" w:rsidP="0010662B">
      <w:pPr>
        <w:spacing w:after="0"/>
        <w:ind w:left="709" w:right="709"/>
        <w:jc w:val="both"/>
        <w:rPr>
          <w:rFonts w:ascii="Verdana" w:hAnsi="Verdana" w:cs="Arial"/>
          <w:sz w:val="21"/>
          <w:szCs w:val="21"/>
          <w:lang w:val="es-ES"/>
        </w:rPr>
      </w:pPr>
      <w:r w:rsidRPr="0028089C">
        <w:rPr>
          <w:rFonts w:ascii="Verdana" w:hAnsi="Verdana" w:cs="Arial"/>
          <w:sz w:val="21"/>
          <w:szCs w:val="21"/>
          <w:lang w:val="es-ES"/>
        </w:rPr>
        <w:t xml:space="preserve">[…] la aplicación de estos preceptos exige una interpretación restrictiva, dado que según el principio hermenéutico </w:t>
      </w:r>
      <w:r w:rsidRPr="0028089C">
        <w:rPr>
          <w:rFonts w:ascii="Verdana" w:hAnsi="Verdana" w:cs="Arial"/>
          <w:i/>
          <w:iCs/>
          <w:sz w:val="21"/>
          <w:szCs w:val="21"/>
          <w:lang w:val="es-ES"/>
        </w:rPr>
        <w:t>pro libertate</w:t>
      </w:r>
      <w:r w:rsidRPr="0028089C">
        <w:rPr>
          <w:rFonts w:ascii="Verdana" w:hAnsi="Verdana" w:cs="Arial"/>
          <w:sz w:val="21"/>
          <w:szCs w:val="21"/>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28089C">
        <w:rPr>
          <w:rFonts w:ascii="Verdana" w:hAnsi="Verdana" w:cs="Arial"/>
          <w:sz w:val="21"/>
          <w:szCs w:val="21"/>
          <w:vertAlign w:val="superscript"/>
          <w:lang w:val="es-ES"/>
        </w:rPr>
        <w:footnoteReference w:id="11"/>
      </w:r>
      <w:r w:rsidRPr="0028089C">
        <w:rPr>
          <w:rFonts w:ascii="Verdana" w:hAnsi="Verdana" w:cs="Arial"/>
          <w:sz w:val="21"/>
          <w:szCs w:val="21"/>
          <w:lang w:val="es-ES"/>
        </w:rPr>
        <w:t>.</w:t>
      </w:r>
    </w:p>
    <w:p w14:paraId="0388D69D" w14:textId="77777777" w:rsidR="0010662B" w:rsidRPr="0028089C" w:rsidRDefault="0010662B" w:rsidP="0010662B">
      <w:pPr>
        <w:spacing w:after="0"/>
        <w:ind w:left="709" w:right="709"/>
        <w:jc w:val="both"/>
        <w:rPr>
          <w:rFonts w:ascii="Verdana" w:eastAsia="Calibri" w:hAnsi="Verdana" w:cs="Arial"/>
          <w:lang w:val="es-ES"/>
        </w:rPr>
      </w:pPr>
    </w:p>
    <w:p w14:paraId="339DF2D1" w14:textId="77777777" w:rsidR="0010662B" w:rsidRDefault="0010662B" w:rsidP="0010662B">
      <w:pPr>
        <w:spacing w:line="276" w:lineRule="auto"/>
        <w:ind w:firstLine="708"/>
        <w:jc w:val="both"/>
        <w:rPr>
          <w:rFonts w:ascii="Verdana" w:eastAsia="Calibri" w:hAnsi="Verdana" w:cs="Arial"/>
          <w:lang w:val="es-ES"/>
        </w:rPr>
      </w:pPr>
      <w:r w:rsidRPr="0028089C">
        <w:rPr>
          <w:rFonts w:ascii="Verdana" w:eastAsia="Calibri" w:hAnsi="Verdana" w:cs="Arial"/>
          <w:lang w:val="es-ES"/>
        </w:rPr>
        <w:t xml:space="preserve">Como se aprecia, el principio </w:t>
      </w:r>
      <w:r w:rsidRPr="0028089C">
        <w:rPr>
          <w:rFonts w:ascii="Verdana" w:eastAsia="Calibri" w:hAnsi="Verdana" w:cs="Arial"/>
          <w:i/>
          <w:iCs/>
          <w:lang w:val="es-ES"/>
        </w:rPr>
        <w:t>pro libertate</w:t>
      </w:r>
      <w:r w:rsidRPr="0028089C">
        <w:rPr>
          <w:rFonts w:ascii="Verdana" w:eastAsia="Calibri" w:hAnsi="Verdana" w:cs="Arial"/>
          <w:lang w:val="es-ES"/>
        </w:rPr>
        <w:t xml:space="preserve"> dirige la interpretación de las disposiciones que consagran restricciones de derechos, como sucede con las causales de inhabilidad e incompatibilidad en la contratación estatal.</w:t>
      </w:r>
    </w:p>
    <w:p w14:paraId="4D791517" w14:textId="77777777" w:rsidR="0010662B" w:rsidRDefault="0010662B" w:rsidP="0010662B">
      <w:pPr>
        <w:spacing w:line="276" w:lineRule="auto"/>
        <w:jc w:val="both"/>
        <w:rPr>
          <w:rFonts w:ascii="Verdana" w:hAnsi="Verdana" w:cs="Arial"/>
          <w:color w:val="000000"/>
        </w:rPr>
      </w:pPr>
      <w:r>
        <w:rPr>
          <w:rFonts w:ascii="Verdana" w:eastAsia="Calibri" w:hAnsi="Verdana" w:cs="Arial"/>
          <w:lang w:val="es-ES"/>
        </w:rPr>
        <w:tab/>
        <w:t xml:space="preserve">Ahora bien, con el propósito de resolver el interrogante planteado, resulta importante revisar lo consagrado en el </w:t>
      </w:r>
      <w:bookmarkEnd w:id="0"/>
      <w:r w:rsidRPr="00233FFC">
        <w:rPr>
          <w:rFonts w:ascii="Verdana" w:hAnsi="Verdana" w:cs="Arial"/>
          <w:color w:val="000000"/>
        </w:rPr>
        <w:t xml:space="preserve">literal j) del numeral 1 del artículo 8 </w:t>
      </w:r>
      <w:r>
        <w:rPr>
          <w:rFonts w:ascii="Verdana" w:hAnsi="Verdana" w:cs="Arial"/>
          <w:color w:val="000000"/>
        </w:rPr>
        <w:t>de la Ley 80 de 1993</w:t>
      </w:r>
      <w:r w:rsidRPr="00233FFC">
        <w:rPr>
          <w:rFonts w:ascii="Verdana" w:hAnsi="Verdana" w:cs="Arial"/>
          <w:color w:val="000000"/>
        </w:rPr>
        <w:t xml:space="preserve"> </w:t>
      </w:r>
      <w:r>
        <w:rPr>
          <w:rFonts w:ascii="Verdana" w:hAnsi="Verdana" w:cs="Arial"/>
          <w:color w:val="000000"/>
        </w:rPr>
        <w:t xml:space="preserve">donde el legislador </w:t>
      </w:r>
      <w:r w:rsidRPr="00233FFC">
        <w:rPr>
          <w:rFonts w:ascii="Verdana" w:hAnsi="Verdana" w:cs="Arial"/>
          <w:color w:val="000000"/>
        </w:rPr>
        <w:t xml:space="preserve">establece </w:t>
      </w:r>
      <w:r>
        <w:rPr>
          <w:rFonts w:ascii="Verdana" w:hAnsi="Verdana" w:cs="Arial"/>
          <w:color w:val="000000"/>
        </w:rPr>
        <w:t>una inhabilidad que, en principio, afecta la capacidad jurídica tanto de personas naturales como de personas jurídicas, pero que, por virtud de los incisos 3 y 5 de la norma en cita, sus efectos se extienden a las sociedades de las que hagan parte dichas personas inhabilitadas solo en la medida en que detenten las calidades, no solo de representantes legales, sino de todas aquellas que señala la norma. En ese orden, resulta pertinente enlistar los sujetos a quienes aplica la inhabilidad contemplada en el literal j), así:</w:t>
      </w:r>
    </w:p>
    <w:p w14:paraId="392AF30A" w14:textId="77777777" w:rsidR="0010662B" w:rsidRDefault="0010662B" w:rsidP="0010662B">
      <w:pPr>
        <w:spacing w:line="276" w:lineRule="auto"/>
        <w:jc w:val="both"/>
        <w:rPr>
          <w:rFonts w:ascii="Verdana" w:hAnsi="Verdana" w:cs="Arial"/>
          <w:color w:val="000000"/>
        </w:rPr>
      </w:pPr>
      <w:r>
        <w:rPr>
          <w:rFonts w:ascii="Verdana" w:hAnsi="Verdana" w:cs="Arial"/>
          <w:color w:val="000000"/>
        </w:rPr>
        <w:lastRenderedPageBreak/>
        <w:t>Inhabilidades aplicables cuando</w:t>
      </w:r>
      <w:r w:rsidRPr="007B17A8">
        <w:rPr>
          <w:rFonts w:ascii="Verdana" w:hAnsi="Verdana" w:cs="Arial"/>
          <w:color w:val="000000"/>
        </w:rPr>
        <w:t xml:space="preserve"> las </w:t>
      </w:r>
      <w:r w:rsidRPr="00E70B45">
        <w:rPr>
          <w:rFonts w:ascii="Verdana" w:hAnsi="Verdana" w:cs="Arial"/>
          <w:b/>
          <w:bCs/>
          <w:color w:val="000000"/>
          <w:u w:val="single"/>
        </w:rPr>
        <w:t>personas naturales</w:t>
      </w:r>
      <w:r w:rsidRPr="00154B35">
        <w:rPr>
          <w:rFonts w:ascii="Verdana" w:hAnsi="Verdana" w:cs="Arial"/>
          <w:color w:val="000000"/>
        </w:rPr>
        <w:t>:</w:t>
      </w:r>
    </w:p>
    <w:p w14:paraId="3FBA9EC0" w14:textId="77777777" w:rsidR="0010662B" w:rsidRPr="002420E3" w:rsidRDefault="0010662B" w:rsidP="0010662B">
      <w:pPr>
        <w:pStyle w:val="Prrafodelista"/>
        <w:numPr>
          <w:ilvl w:val="0"/>
          <w:numId w:val="2"/>
        </w:numPr>
        <w:spacing w:line="276" w:lineRule="auto"/>
        <w:jc w:val="both"/>
        <w:rPr>
          <w:rFonts w:ascii="Verdana" w:hAnsi="Verdana" w:cs="Arial"/>
          <w:color w:val="000000"/>
        </w:rPr>
      </w:pPr>
      <w:r>
        <w:rPr>
          <w:rFonts w:ascii="Verdana" w:hAnsi="Verdana" w:cs="Arial"/>
          <w:color w:val="000000"/>
        </w:rPr>
        <w:t xml:space="preserve">Hayan sido </w:t>
      </w:r>
      <w:r w:rsidRPr="002420E3">
        <w:rPr>
          <w:rFonts w:ascii="Verdana" w:hAnsi="Verdana" w:cs="Arial"/>
          <w:color w:val="000000"/>
        </w:rPr>
        <w:t>declaradas responsables judicialmente por la comisión de delitos contra la Administración pública</w:t>
      </w:r>
    </w:p>
    <w:p w14:paraId="7568F69A" w14:textId="77777777" w:rsidR="0010662B" w:rsidRPr="00261077" w:rsidRDefault="0010662B" w:rsidP="0010662B">
      <w:pPr>
        <w:pStyle w:val="Prrafodelista"/>
        <w:numPr>
          <w:ilvl w:val="0"/>
          <w:numId w:val="2"/>
        </w:numPr>
        <w:spacing w:line="276" w:lineRule="auto"/>
        <w:jc w:val="both"/>
        <w:rPr>
          <w:rFonts w:ascii="Verdana" w:hAnsi="Verdana" w:cs="Arial"/>
          <w:color w:val="000000"/>
        </w:rPr>
      </w:pPr>
      <w:r>
        <w:rPr>
          <w:rFonts w:ascii="Verdana" w:hAnsi="Verdana" w:cs="Arial"/>
          <w:color w:val="000000"/>
        </w:rPr>
        <w:t xml:space="preserve">Hayan sido </w:t>
      </w:r>
      <w:r w:rsidRPr="002420E3">
        <w:rPr>
          <w:rFonts w:ascii="Verdana" w:hAnsi="Verdana" w:cs="Arial"/>
          <w:color w:val="000000"/>
        </w:rPr>
        <w:t>declaradas responsables judicialmente por la comisión de</w:t>
      </w:r>
      <w:r w:rsidRPr="00261077">
        <w:rPr>
          <w:rFonts w:ascii="Arial" w:hAnsi="Arial" w:cs="Arial"/>
          <w:color w:val="000000"/>
          <w:sz w:val="21"/>
          <w:szCs w:val="21"/>
        </w:rPr>
        <w:t xml:space="preserve"> </w:t>
      </w:r>
      <w:r w:rsidRPr="00261077">
        <w:rPr>
          <w:rFonts w:ascii="Verdana" w:hAnsi="Verdana" w:cs="Arial"/>
          <w:color w:val="000000"/>
        </w:rPr>
        <w:t>cualquiera de los delitos o faltas contempladas por la Ley 1474 de 2011 y sus normas modificatorias</w:t>
      </w:r>
    </w:p>
    <w:p w14:paraId="56C95D64" w14:textId="77777777" w:rsidR="0010662B" w:rsidRPr="00190D22" w:rsidRDefault="0010662B" w:rsidP="0010662B">
      <w:pPr>
        <w:pStyle w:val="Prrafodelista"/>
        <w:numPr>
          <w:ilvl w:val="0"/>
          <w:numId w:val="2"/>
        </w:numPr>
        <w:spacing w:line="276" w:lineRule="auto"/>
        <w:jc w:val="both"/>
        <w:rPr>
          <w:rFonts w:ascii="Verdana" w:hAnsi="Verdana" w:cs="Arial"/>
          <w:color w:val="000000"/>
        </w:rPr>
      </w:pPr>
      <w:r>
        <w:rPr>
          <w:rFonts w:ascii="Verdana" w:hAnsi="Verdana" w:cs="Arial"/>
          <w:color w:val="000000"/>
        </w:rPr>
        <w:t xml:space="preserve">Hayan sido </w:t>
      </w:r>
      <w:r w:rsidRPr="002420E3">
        <w:rPr>
          <w:rFonts w:ascii="Verdana" w:hAnsi="Verdana" w:cs="Arial"/>
          <w:color w:val="000000"/>
        </w:rPr>
        <w:t>declaradas responsables judicialmente por la comisión de</w:t>
      </w:r>
      <w:r>
        <w:rPr>
          <w:rFonts w:ascii="Verdana" w:hAnsi="Verdana" w:cs="Arial"/>
          <w:color w:val="000000"/>
        </w:rPr>
        <w:t xml:space="preserve"> </w:t>
      </w:r>
      <w:r w:rsidRPr="00190D22">
        <w:rPr>
          <w:rFonts w:ascii="Verdana" w:hAnsi="Verdana" w:cs="Arial"/>
          <w:color w:val="000000"/>
        </w:rPr>
        <w:t>cualquiera de las conductas delictivas contempladas por las convenciones o tratados de lucha contra la corrupción suscritos y ratificados por Colombia</w:t>
      </w:r>
    </w:p>
    <w:p w14:paraId="0610B174" w14:textId="77777777" w:rsidR="0010662B" w:rsidRDefault="0010662B" w:rsidP="0010662B">
      <w:pPr>
        <w:spacing w:line="276" w:lineRule="auto"/>
        <w:ind w:firstLine="360"/>
        <w:jc w:val="both"/>
        <w:rPr>
          <w:rFonts w:ascii="Verdana" w:hAnsi="Verdana" w:cs="Arial"/>
          <w:color w:val="000000"/>
        </w:rPr>
      </w:pPr>
      <w:r>
        <w:rPr>
          <w:rFonts w:ascii="Verdana" w:hAnsi="Verdana" w:cs="Arial"/>
          <w:color w:val="000000"/>
        </w:rPr>
        <w:t>Inhabilidades aplicables cuando las</w:t>
      </w:r>
      <w:r w:rsidRPr="007B17A8">
        <w:rPr>
          <w:rFonts w:ascii="Verdana" w:hAnsi="Verdana" w:cs="Arial"/>
          <w:color w:val="000000"/>
        </w:rPr>
        <w:t xml:space="preserve"> </w:t>
      </w:r>
      <w:r w:rsidRPr="00E70B45">
        <w:rPr>
          <w:rFonts w:ascii="Verdana" w:hAnsi="Verdana" w:cs="Arial"/>
          <w:b/>
          <w:bCs/>
          <w:color w:val="000000"/>
          <w:u w:val="single"/>
        </w:rPr>
        <w:t>personas jurídicas</w:t>
      </w:r>
      <w:r w:rsidRPr="00154B35">
        <w:rPr>
          <w:rFonts w:ascii="Verdana" w:hAnsi="Verdana" w:cs="Arial"/>
          <w:color w:val="000000"/>
        </w:rPr>
        <w:t>:</w:t>
      </w:r>
    </w:p>
    <w:p w14:paraId="497466BD" w14:textId="77777777" w:rsidR="0010662B" w:rsidRPr="00BA690F" w:rsidRDefault="0010662B" w:rsidP="0010662B">
      <w:pPr>
        <w:pStyle w:val="Prrafodelista"/>
        <w:numPr>
          <w:ilvl w:val="0"/>
          <w:numId w:val="3"/>
        </w:numPr>
        <w:spacing w:line="276" w:lineRule="auto"/>
        <w:jc w:val="both"/>
        <w:rPr>
          <w:rFonts w:ascii="Verdana" w:hAnsi="Verdana" w:cs="Arial"/>
          <w:color w:val="000000"/>
        </w:rPr>
      </w:pPr>
      <w:r>
        <w:rPr>
          <w:rFonts w:ascii="Verdana" w:hAnsi="Verdana" w:cs="Arial"/>
          <w:color w:val="000000"/>
        </w:rPr>
        <w:t>H</w:t>
      </w:r>
      <w:r w:rsidRPr="00B762F7">
        <w:rPr>
          <w:rFonts w:ascii="Verdana" w:hAnsi="Verdana" w:cs="Arial"/>
          <w:color w:val="000000"/>
        </w:rPr>
        <w:t>ayan sido declaradas responsables administrativamente por la conducta de soborno transnacional</w:t>
      </w:r>
    </w:p>
    <w:p w14:paraId="119631F6" w14:textId="77777777" w:rsidR="0010662B" w:rsidRPr="0058149C" w:rsidRDefault="0010662B" w:rsidP="0010662B">
      <w:pPr>
        <w:pStyle w:val="Prrafodelista"/>
        <w:numPr>
          <w:ilvl w:val="0"/>
          <w:numId w:val="3"/>
        </w:numPr>
        <w:spacing w:line="276" w:lineRule="auto"/>
        <w:jc w:val="both"/>
        <w:rPr>
          <w:rFonts w:ascii="Verdana" w:hAnsi="Verdana" w:cs="Arial"/>
          <w:color w:val="000000"/>
        </w:rPr>
      </w:pPr>
      <w:r>
        <w:rPr>
          <w:rFonts w:ascii="Verdana" w:hAnsi="Verdana" w:cs="Arial"/>
          <w:color w:val="000000"/>
        </w:rPr>
        <w:t xml:space="preserve">O, se les </w:t>
      </w:r>
      <w:r w:rsidRPr="00F22252">
        <w:rPr>
          <w:rFonts w:ascii="Verdana" w:hAnsi="Verdana" w:cs="Arial"/>
          <w:color w:val="000000"/>
        </w:rPr>
        <w:t>haya ordenado la suspensión de la perso</w:t>
      </w:r>
      <w:r w:rsidRPr="00F22252">
        <w:rPr>
          <w:rFonts w:ascii="Verdana" w:hAnsi="Verdana" w:cs="Arial"/>
          <w:color w:val="000000"/>
        </w:rPr>
        <w:softHyphen/>
        <w:t>nería jurídica en los términos de ley</w:t>
      </w:r>
    </w:p>
    <w:p w14:paraId="4A0760EA" w14:textId="77777777" w:rsidR="0010662B" w:rsidRPr="00E94A09" w:rsidRDefault="0010662B" w:rsidP="0010662B">
      <w:pPr>
        <w:pStyle w:val="Prrafodelista"/>
        <w:numPr>
          <w:ilvl w:val="0"/>
          <w:numId w:val="3"/>
        </w:numPr>
        <w:spacing w:line="276" w:lineRule="auto"/>
        <w:jc w:val="both"/>
        <w:rPr>
          <w:rFonts w:ascii="Verdana" w:hAnsi="Verdana" w:cs="Arial"/>
          <w:color w:val="000000"/>
        </w:rPr>
      </w:pPr>
      <w:r w:rsidRPr="00E94A09">
        <w:rPr>
          <w:rFonts w:ascii="Verdana" w:hAnsi="Verdana" w:cs="Arial"/>
          <w:color w:val="000000"/>
        </w:rPr>
        <w:t>O, sus representantes legales, ad</w:t>
      </w:r>
      <w:r w:rsidRPr="00E94A09">
        <w:rPr>
          <w:rFonts w:ascii="Verdana" w:hAnsi="Verdana" w:cs="Arial"/>
          <w:color w:val="000000"/>
        </w:rPr>
        <w:softHyphen/>
        <w:t xml:space="preserve">ministradores de hecho o de derecho, miembros de junta directiva o </w:t>
      </w:r>
      <w:r w:rsidRPr="00E94A09">
        <w:rPr>
          <w:rFonts w:ascii="Verdana" w:hAnsi="Verdana" w:cs="Arial"/>
          <w:color w:val="000000"/>
          <w:u w:val="single"/>
        </w:rPr>
        <w:t>sus socios controlantes, sus matrices, subordinadas</w:t>
      </w:r>
      <w:r w:rsidRPr="00E94A09">
        <w:rPr>
          <w:rFonts w:ascii="Verdana" w:hAnsi="Verdana" w:cs="Arial"/>
          <w:color w:val="000000"/>
        </w:rPr>
        <w:t xml:space="preserve"> y/o las sucursales de sociedades extranjeras, hayan sido beneficiados con la aplicación de un principio de oportunidad por cualquier delito contra la Administración pública o el patrimonio del Estado</w:t>
      </w:r>
    </w:p>
    <w:p w14:paraId="181DD3D7" w14:textId="77777777" w:rsidR="0010662B" w:rsidRDefault="0010662B" w:rsidP="0010662B">
      <w:pPr>
        <w:spacing w:line="276" w:lineRule="auto"/>
        <w:ind w:firstLine="708"/>
        <w:jc w:val="both"/>
        <w:rPr>
          <w:rFonts w:ascii="Verdana" w:hAnsi="Verdana" w:cs="Arial"/>
          <w:color w:val="000000"/>
        </w:rPr>
      </w:pPr>
      <w:r>
        <w:rPr>
          <w:rFonts w:ascii="Verdana" w:hAnsi="Verdana" w:cs="Arial"/>
          <w:color w:val="000000"/>
        </w:rPr>
        <w:t xml:space="preserve">Visto lo anterior, es posible afirmar dos cosas: En primer lugar, para el caso de las inhabilidades dirigidas, en principio, para las </w:t>
      </w:r>
      <w:r w:rsidRPr="00E70B45">
        <w:rPr>
          <w:rFonts w:ascii="Verdana" w:hAnsi="Verdana" w:cs="Arial"/>
          <w:b/>
          <w:bCs/>
          <w:color w:val="000000"/>
        </w:rPr>
        <w:t>personas naturales</w:t>
      </w:r>
      <w:r>
        <w:rPr>
          <w:rFonts w:ascii="Verdana" w:hAnsi="Verdana" w:cs="Arial"/>
          <w:color w:val="000000"/>
        </w:rPr>
        <w:t>, que se configuran como consecuencia del resultado de procesos judiciales de responsabilidad penal, disciplinaria y/o fiscal, y las cuales proceden preventivamente</w:t>
      </w:r>
      <w:r w:rsidRPr="001B5BAE">
        <w:rPr>
          <w:rFonts w:ascii="Arial" w:hAnsi="Arial" w:cs="Arial"/>
          <w:color w:val="000000"/>
          <w:sz w:val="21"/>
          <w:szCs w:val="21"/>
        </w:rPr>
        <w:t xml:space="preserve"> </w:t>
      </w:r>
      <w:r w:rsidRPr="001B5BAE">
        <w:rPr>
          <w:rFonts w:ascii="Verdana" w:hAnsi="Verdana" w:cs="Arial"/>
          <w:color w:val="000000"/>
        </w:rPr>
        <w:t>aún en los casos en los que esté pendiente la decisión sobre la impugnación de la sentencia condenatoria</w:t>
      </w:r>
      <w:r>
        <w:rPr>
          <w:rFonts w:ascii="Verdana" w:hAnsi="Verdana" w:cs="Arial"/>
          <w:color w:val="000000"/>
        </w:rPr>
        <w:t xml:space="preserve">, </w:t>
      </w:r>
      <w:r w:rsidRPr="00CF61A9">
        <w:rPr>
          <w:rFonts w:ascii="Verdana" w:hAnsi="Verdana" w:cs="Arial"/>
          <w:color w:val="000000"/>
          <w:u w:val="single"/>
        </w:rPr>
        <w:t>sus efectos se extienden a las sociedades de las que hagan parte dichas personas</w:t>
      </w:r>
      <w:r w:rsidRPr="00582259">
        <w:rPr>
          <w:rFonts w:ascii="Verdana" w:hAnsi="Verdana" w:cs="Arial"/>
          <w:color w:val="000000"/>
        </w:rPr>
        <w:t xml:space="preserve"> en </w:t>
      </w:r>
      <w:r>
        <w:rPr>
          <w:rFonts w:ascii="Verdana" w:hAnsi="Verdana" w:cs="Arial"/>
          <w:color w:val="000000"/>
        </w:rPr>
        <w:t>las siguientes calidades:</w:t>
      </w:r>
    </w:p>
    <w:p w14:paraId="4B54A8FC" w14:textId="77777777" w:rsidR="0010662B" w:rsidRDefault="0010662B" w:rsidP="0010662B">
      <w:pPr>
        <w:pStyle w:val="Prrafodelista"/>
        <w:numPr>
          <w:ilvl w:val="0"/>
          <w:numId w:val="4"/>
        </w:numPr>
        <w:spacing w:line="276" w:lineRule="auto"/>
        <w:jc w:val="both"/>
        <w:rPr>
          <w:rFonts w:ascii="Verdana" w:hAnsi="Verdana" w:cs="Arial"/>
          <w:color w:val="000000"/>
        </w:rPr>
      </w:pPr>
      <w:r w:rsidRPr="00034E0E">
        <w:rPr>
          <w:rFonts w:ascii="Verdana" w:hAnsi="Verdana" w:cs="Arial"/>
          <w:color w:val="000000"/>
        </w:rPr>
        <w:t xml:space="preserve">administradores, </w:t>
      </w:r>
    </w:p>
    <w:p w14:paraId="09E3A923" w14:textId="77777777" w:rsidR="0010662B" w:rsidRDefault="0010662B" w:rsidP="0010662B">
      <w:pPr>
        <w:pStyle w:val="Prrafodelista"/>
        <w:numPr>
          <w:ilvl w:val="0"/>
          <w:numId w:val="4"/>
        </w:numPr>
        <w:spacing w:line="276" w:lineRule="auto"/>
        <w:jc w:val="both"/>
        <w:rPr>
          <w:rFonts w:ascii="Verdana" w:hAnsi="Verdana" w:cs="Arial"/>
          <w:color w:val="000000"/>
        </w:rPr>
      </w:pPr>
      <w:r w:rsidRPr="00034E0E">
        <w:rPr>
          <w:rFonts w:ascii="Verdana" w:hAnsi="Verdana" w:cs="Arial"/>
          <w:color w:val="000000"/>
        </w:rPr>
        <w:t>represen</w:t>
      </w:r>
      <w:r w:rsidRPr="00034E0E">
        <w:rPr>
          <w:rFonts w:ascii="Verdana" w:hAnsi="Verdana" w:cs="Arial"/>
          <w:color w:val="000000"/>
        </w:rPr>
        <w:softHyphen/>
        <w:t xml:space="preserve">tantes legales, </w:t>
      </w:r>
    </w:p>
    <w:p w14:paraId="7DDC522B" w14:textId="77777777" w:rsidR="0010662B" w:rsidRDefault="0010662B" w:rsidP="0010662B">
      <w:pPr>
        <w:pStyle w:val="Prrafodelista"/>
        <w:numPr>
          <w:ilvl w:val="0"/>
          <w:numId w:val="4"/>
        </w:numPr>
        <w:spacing w:line="276" w:lineRule="auto"/>
        <w:jc w:val="both"/>
        <w:rPr>
          <w:rFonts w:ascii="Verdana" w:hAnsi="Verdana" w:cs="Arial"/>
          <w:color w:val="000000"/>
        </w:rPr>
      </w:pPr>
      <w:r w:rsidRPr="00034E0E">
        <w:rPr>
          <w:rFonts w:ascii="Verdana" w:hAnsi="Verdana" w:cs="Arial"/>
          <w:color w:val="000000"/>
        </w:rPr>
        <w:t xml:space="preserve">miembros de junta directiva </w:t>
      </w:r>
    </w:p>
    <w:p w14:paraId="08492D24" w14:textId="77777777" w:rsidR="0010662B" w:rsidRPr="00E478C3" w:rsidRDefault="0010662B" w:rsidP="0010662B">
      <w:pPr>
        <w:pStyle w:val="Prrafodelista"/>
        <w:numPr>
          <w:ilvl w:val="0"/>
          <w:numId w:val="4"/>
        </w:numPr>
        <w:spacing w:line="276" w:lineRule="auto"/>
        <w:jc w:val="both"/>
        <w:rPr>
          <w:rFonts w:ascii="Verdana" w:hAnsi="Verdana" w:cs="Arial"/>
          <w:color w:val="000000"/>
        </w:rPr>
      </w:pPr>
      <w:r w:rsidRPr="00E478C3">
        <w:rPr>
          <w:rFonts w:ascii="Verdana" w:hAnsi="Verdana" w:cs="Arial"/>
          <w:color w:val="000000"/>
          <w:u w:val="single"/>
        </w:rPr>
        <w:t>socios controlantes</w:t>
      </w:r>
      <w:r w:rsidRPr="00FE30EC">
        <w:rPr>
          <w:rFonts w:ascii="Verdana" w:hAnsi="Verdana" w:cs="Arial"/>
          <w:color w:val="000000"/>
        </w:rPr>
        <w:t xml:space="preserve">, </w:t>
      </w:r>
      <w:r w:rsidRPr="00E478C3">
        <w:rPr>
          <w:rFonts w:ascii="Verdana" w:hAnsi="Verdana" w:cs="Arial"/>
          <w:color w:val="000000"/>
        </w:rPr>
        <w:t>a sus matrices, a sus subordinadas, a los grupos empresariales a los que estas pertenezcan cuando la conducta delictiva haya sido parte de una política del grupo y a las sucursales de sociedades extranjeras, con ex</w:t>
      </w:r>
      <w:r w:rsidRPr="00E478C3">
        <w:rPr>
          <w:rFonts w:ascii="Verdana" w:hAnsi="Verdana" w:cs="Arial"/>
          <w:color w:val="000000"/>
        </w:rPr>
        <w:softHyphen/>
        <w:t xml:space="preserve">cepción de las sociedades anónimas abiertas. </w:t>
      </w:r>
    </w:p>
    <w:p w14:paraId="7A5578BE" w14:textId="77777777" w:rsidR="0010662B" w:rsidRDefault="0010662B" w:rsidP="0010662B">
      <w:pPr>
        <w:spacing w:line="276" w:lineRule="auto"/>
        <w:ind w:firstLine="708"/>
        <w:jc w:val="both"/>
        <w:rPr>
          <w:rFonts w:ascii="Verdana" w:hAnsi="Verdana" w:cs="Arial"/>
          <w:color w:val="000000"/>
        </w:rPr>
      </w:pPr>
      <w:r>
        <w:rPr>
          <w:rFonts w:ascii="Verdana" w:hAnsi="Verdana" w:cs="Arial"/>
          <w:color w:val="000000"/>
        </w:rPr>
        <w:lastRenderedPageBreak/>
        <w:t xml:space="preserve">De manera que, en el evento en que un socio controlante de la sociedad interesada en participar en una convocatoria pública de selección de contratistas o que pretenda suscribir contratos con el Estado, sea objeto de alguna de las inhabilidades enlistadas, dicha inhabilidad extiende sus efectos a la sociedad, </w:t>
      </w:r>
      <w:r w:rsidRPr="00E70B45">
        <w:rPr>
          <w:rFonts w:ascii="Verdana" w:hAnsi="Verdana" w:cs="Arial"/>
          <w:color w:val="000000"/>
        </w:rPr>
        <w:t>con ex</w:t>
      </w:r>
      <w:r w:rsidRPr="00E70B45">
        <w:rPr>
          <w:rFonts w:ascii="Verdana" w:hAnsi="Verdana" w:cs="Arial"/>
          <w:color w:val="000000"/>
        </w:rPr>
        <w:softHyphen/>
        <w:t>cepción de las sociedades anónimas abiertas.</w:t>
      </w:r>
    </w:p>
    <w:p w14:paraId="3C0619D8" w14:textId="77777777" w:rsidR="0010662B" w:rsidRDefault="0010662B" w:rsidP="0010662B">
      <w:pPr>
        <w:spacing w:line="276" w:lineRule="auto"/>
        <w:ind w:firstLine="708"/>
        <w:jc w:val="both"/>
        <w:rPr>
          <w:rFonts w:ascii="Verdana" w:hAnsi="Verdana" w:cs="Arial"/>
          <w:color w:val="000000"/>
        </w:rPr>
      </w:pPr>
      <w:r>
        <w:rPr>
          <w:rFonts w:ascii="Verdana" w:hAnsi="Verdana" w:cs="Arial"/>
          <w:color w:val="000000"/>
        </w:rPr>
        <w:t xml:space="preserve">En segundo lugar, para el caso de las inhabilidades dirigidas, en principio, para las personas jurídicas, que también tienen origen por procesos judiciales donde se hallen responsables penal, disciplinaria y/o fiscalmente, o procesos de naturaleza administrativa adelantados por la autoridad competente, como es el caso de la suspensión de la personería jurídica, </w:t>
      </w:r>
      <w:r w:rsidRPr="00CF61A9">
        <w:rPr>
          <w:rFonts w:ascii="Verdana" w:hAnsi="Verdana" w:cs="Arial"/>
          <w:color w:val="000000"/>
          <w:u w:val="single"/>
        </w:rPr>
        <w:t>sus efectos se extienden</w:t>
      </w:r>
      <w:r>
        <w:rPr>
          <w:rFonts w:ascii="Verdana" w:hAnsi="Verdana" w:cs="Arial"/>
          <w:color w:val="000000"/>
          <w:u w:val="single"/>
        </w:rPr>
        <w:t xml:space="preserve"> de forma permanente</w:t>
      </w:r>
      <w:r w:rsidRPr="00CF61A9">
        <w:rPr>
          <w:rFonts w:ascii="Verdana" w:hAnsi="Verdana" w:cs="Arial"/>
          <w:color w:val="000000"/>
          <w:u w:val="single"/>
        </w:rPr>
        <w:t xml:space="preserve"> a las sociedades de las que hagan parte dichas personas</w:t>
      </w:r>
      <w:r w:rsidRPr="00582259">
        <w:rPr>
          <w:rFonts w:ascii="Verdana" w:hAnsi="Verdana" w:cs="Arial"/>
          <w:color w:val="000000"/>
        </w:rPr>
        <w:t xml:space="preserve"> </w:t>
      </w:r>
      <w:r>
        <w:rPr>
          <w:rFonts w:ascii="Verdana" w:hAnsi="Verdana" w:cs="Arial"/>
          <w:color w:val="000000"/>
        </w:rPr>
        <w:t>que tengan las siguientes calidades:</w:t>
      </w:r>
    </w:p>
    <w:p w14:paraId="511A4105" w14:textId="77777777" w:rsidR="0010662B" w:rsidRDefault="0010662B" w:rsidP="0010662B">
      <w:pPr>
        <w:pStyle w:val="Prrafodelista"/>
        <w:numPr>
          <w:ilvl w:val="0"/>
          <w:numId w:val="4"/>
        </w:numPr>
        <w:spacing w:line="276" w:lineRule="auto"/>
        <w:jc w:val="both"/>
        <w:rPr>
          <w:rFonts w:ascii="Verdana" w:hAnsi="Verdana" w:cs="Arial"/>
          <w:color w:val="000000"/>
        </w:rPr>
      </w:pPr>
      <w:r w:rsidRPr="00034E0E">
        <w:rPr>
          <w:rFonts w:ascii="Verdana" w:hAnsi="Verdana" w:cs="Arial"/>
          <w:color w:val="000000"/>
        </w:rPr>
        <w:t xml:space="preserve">administradores, </w:t>
      </w:r>
    </w:p>
    <w:p w14:paraId="773D3694" w14:textId="77777777" w:rsidR="0010662B" w:rsidRDefault="0010662B" w:rsidP="0010662B">
      <w:pPr>
        <w:pStyle w:val="Prrafodelista"/>
        <w:numPr>
          <w:ilvl w:val="0"/>
          <w:numId w:val="4"/>
        </w:numPr>
        <w:spacing w:line="276" w:lineRule="auto"/>
        <w:jc w:val="both"/>
        <w:rPr>
          <w:rFonts w:ascii="Verdana" w:hAnsi="Verdana" w:cs="Arial"/>
          <w:color w:val="000000"/>
        </w:rPr>
      </w:pPr>
      <w:r w:rsidRPr="00034E0E">
        <w:rPr>
          <w:rFonts w:ascii="Verdana" w:hAnsi="Verdana" w:cs="Arial"/>
          <w:color w:val="000000"/>
        </w:rPr>
        <w:t>represen</w:t>
      </w:r>
      <w:r w:rsidRPr="00034E0E">
        <w:rPr>
          <w:rFonts w:ascii="Verdana" w:hAnsi="Verdana" w:cs="Arial"/>
          <w:color w:val="000000"/>
        </w:rPr>
        <w:softHyphen/>
        <w:t xml:space="preserve">tantes legales, </w:t>
      </w:r>
    </w:p>
    <w:p w14:paraId="0263BCD6" w14:textId="77777777" w:rsidR="0010662B" w:rsidRDefault="0010662B" w:rsidP="0010662B">
      <w:pPr>
        <w:pStyle w:val="Prrafodelista"/>
        <w:numPr>
          <w:ilvl w:val="0"/>
          <w:numId w:val="4"/>
        </w:numPr>
        <w:spacing w:line="276" w:lineRule="auto"/>
        <w:jc w:val="both"/>
        <w:rPr>
          <w:rFonts w:ascii="Verdana" w:hAnsi="Verdana" w:cs="Arial"/>
          <w:color w:val="000000"/>
        </w:rPr>
      </w:pPr>
      <w:r w:rsidRPr="00034E0E">
        <w:rPr>
          <w:rFonts w:ascii="Verdana" w:hAnsi="Verdana" w:cs="Arial"/>
          <w:color w:val="000000"/>
        </w:rPr>
        <w:t xml:space="preserve">miembros de junta directiva </w:t>
      </w:r>
    </w:p>
    <w:p w14:paraId="475014F7" w14:textId="77777777" w:rsidR="0010662B" w:rsidRPr="0009222D" w:rsidRDefault="0010662B" w:rsidP="0010662B">
      <w:pPr>
        <w:pStyle w:val="Prrafodelista"/>
        <w:numPr>
          <w:ilvl w:val="0"/>
          <w:numId w:val="4"/>
        </w:numPr>
        <w:spacing w:line="276" w:lineRule="auto"/>
        <w:jc w:val="both"/>
        <w:rPr>
          <w:rFonts w:ascii="Verdana" w:hAnsi="Verdana" w:cs="Arial"/>
          <w:color w:val="000000"/>
        </w:rPr>
      </w:pPr>
      <w:r w:rsidRPr="0009222D">
        <w:rPr>
          <w:rFonts w:ascii="Verdana" w:hAnsi="Verdana" w:cs="Arial"/>
          <w:color w:val="000000"/>
          <w:u w:val="single"/>
        </w:rPr>
        <w:t>socios controlantes</w:t>
      </w:r>
      <w:r w:rsidRPr="0009222D">
        <w:rPr>
          <w:rFonts w:ascii="Verdana" w:hAnsi="Verdana" w:cs="Arial"/>
          <w:color w:val="000000"/>
        </w:rPr>
        <w:t>, a sus matrices, a sus subordinadas, a los grupos empresariales a los que estas pertenezcan cuando la conducta delictiva haya sido parte de una política del grupo y a las sucursales de sociedades extranjeras, con ex</w:t>
      </w:r>
      <w:r w:rsidRPr="0009222D">
        <w:rPr>
          <w:rFonts w:ascii="Verdana" w:hAnsi="Verdana" w:cs="Arial"/>
          <w:color w:val="000000"/>
        </w:rPr>
        <w:softHyphen/>
        <w:t xml:space="preserve">cepción de las sociedades anónimas abiertas. </w:t>
      </w:r>
    </w:p>
    <w:p w14:paraId="66411C8D" w14:textId="77777777" w:rsidR="0010662B" w:rsidRDefault="0010662B" w:rsidP="0010662B">
      <w:pPr>
        <w:spacing w:line="276" w:lineRule="auto"/>
        <w:ind w:firstLine="708"/>
        <w:jc w:val="both"/>
        <w:rPr>
          <w:rFonts w:ascii="Verdana" w:hAnsi="Verdana" w:cs="Arial"/>
          <w:color w:val="000000"/>
        </w:rPr>
      </w:pPr>
      <w:r>
        <w:rPr>
          <w:rFonts w:ascii="Verdana" w:hAnsi="Verdana" w:cs="Arial"/>
          <w:color w:val="000000"/>
        </w:rPr>
        <w:t xml:space="preserve">En ese orden, si un socio controlante (que en este caso se trataría de un socio persona jurídica) de la sociedad interesada en participar en una convocatoria pública de selección de contratistas o que pretenda suscribir contratos con el Estado, es objeto de alguna de las inhabilidades enlistadas, dicha inhabilidad extiende sus efectos de forma permanente a la sociedad, </w:t>
      </w:r>
      <w:r w:rsidRPr="00E70B45">
        <w:rPr>
          <w:rFonts w:ascii="Verdana" w:hAnsi="Verdana" w:cs="Arial"/>
          <w:color w:val="000000"/>
        </w:rPr>
        <w:t>con ex</w:t>
      </w:r>
      <w:r w:rsidRPr="00E70B45">
        <w:rPr>
          <w:rFonts w:ascii="Verdana" w:hAnsi="Verdana" w:cs="Arial"/>
          <w:color w:val="000000"/>
        </w:rPr>
        <w:softHyphen/>
        <w:t>cepción de las sociedades anónimas abiertas.</w:t>
      </w:r>
    </w:p>
    <w:p w14:paraId="6AF12F60" w14:textId="77777777" w:rsidR="0010662B" w:rsidRDefault="0010662B" w:rsidP="0010662B">
      <w:pPr>
        <w:spacing w:after="0" w:line="276" w:lineRule="auto"/>
        <w:ind w:firstLine="708"/>
        <w:jc w:val="both"/>
        <w:rPr>
          <w:rFonts w:ascii="Verdana" w:eastAsia="Arial" w:hAnsi="Verdana" w:cs="Arial"/>
          <w:color w:val="000000"/>
        </w:rPr>
      </w:pPr>
      <w:r>
        <w:rPr>
          <w:rFonts w:ascii="Verdana" w:hAnsi="Verdana" w:cs="Arial"/>
          <w:color w:val="000000"/>
        </w:rPr>
        <w:t>Finalmente, se destaca que</w:t>
      </w:r>
      <w:r w:rsidRPr="007878A9">
        <w:rPr>
          <w:rFonts w:ascii="Verdana" w:hAnsi="Verdana" w:cs="Arial"/>
          <w:color w:val="000000"/>
        </w:rPr>
        <w:t xml:space="preserve"> el régimen de inhabilidades corresponde a un conjunto de restricciones que afectan la capacidad para contratar con el Estado</w:t>
      </w:r>
      <w:r>
        <w:rPr>
          <w:rFonts w:ascii="Verdana" w:hAnsi="Verdana" w:cs="Arial"/>
          <w:color w:val="000000"/>
        </w:rPr>
        <w:t xml:space="preserve">. En consecuencia, los operadores jurídicos están sometidos </w:t>
      </w:r>
      <w:r w:rsidRPr="00644B07">
        <w:rPr>
          <w:rFonts w:ascii="Verdana" w:hAnsi="Verdana" w:cs="Arial"/>
          <w:color w:val="000000"/>
        </w:rPr>
        <w:t>a</w:t>
      </w:r>
      <w:r>
        <w:rPr>
          <w:rFonts w:ascii="Verdana" w:hAnsi="Verdana" w:cs="Arial"/>
          <w:color w:val="000000"/>
        </w:rPr>
        <w:t xml:space="preserve"> la</w:t>
      </w:r>
      <w:r w:rsidRPr="00644B07">
        <w:rPr>
          <w:rFonts w:ascii="Verdana" w:hAnsi="Verdana" w:cs="Arial"/>
          <w:color w:val="000000"/>
        </w:rPr>
        <w:t xml:space="preserve"> interpretación y aplicación restrictiva, </w:t>
      </w:r>
      <w:r>
        <w:rPr>
          <w:rFonts w:ascii="Verdana" w:hAnsi="Verdana" w:cs="Arial"/>
          <w:color w:val="000000"/>
        </w:rPr>
        <w:t>por lo que cada entidad contratante deberá</w:t>
      </w:r>
      <w:r w:rsidRPr="00644B07">
        <w:rPr>
          <w:rFonts w:ascii="Verdana" w:hAnsi="Verdana" w:cs="Arial"/>
          <w:color w:val="000000"/>
        </w:rPr>
        <w:t xml:space="preserve"> analizar en </w:t>
      </w:r>
      <w:r>
        <w:rPr>
          <w:rFonts w:ascii="Verdana" w:hAnsi="Verdana" w:cs="Arial"/>
          <w:color w:val="000000"/>
        </w:rPr>
        <w:t>cada</w:t>
      </w:r>
      <w:r w:rsidRPr="00644B07">
        <w:rPr>
          <w:rFonts w:ascii="Verdana" w:hAnsi="Verdana" w:cs="Arial"/>
          <w:color w:val="000000"/>
        </w:rPr>
        <w:t xml:space="preserve"> caso concreto si efectivamente la respectiva persona se encuentra incursa en el supuesto de hecho que da lugar a la configuración de la inhabilidad o incompatibilidad</w:t>
      </w:r>
      <w:r>
        <w:rPr>
          <w:rFonts w:ascii="Verdana" w:hAnsi="Verdana" w:cs="Arial"/>
          <w:color w:val="000000"/>
        </w:rPr>
        <w:t xml:space="preserve"> </w:t>
      </w:r>
      <w:r w:rsidRPr="00644B07">
        <w:rPr>
          <w:rFonts w:ascii="Verdana" w:hAnsi="Verdana" w:cs="Arial"/>
          <w:color w:val="000000"/>
        </w:rPr>
        <w:t xml:space="preserve">que opera </w:t>
      </w:r>
      <w:r>
        <w:rPr>
          <w:rFonts w:ascii="Verdana" w:hAnsi="Verdana" w:cs="Arial"/>
          <w:color w:val="000000"/>
        </w:rPr>
        <w:t>frente a la</w:t>
      </w:r>
      <w:r w:rsidRPr="00644B07">
        <w:rPr>
          <w:rFonts w:ascii="Verdana" w:hAnsi="Verdana" w:cs="Arial"/>
          <w:color w:val="000000"/>
        </w:rPr>
        <w:t xml:space="preserve"> restricción </w:t>
      </w:r>
      <w:r>
        <w:rPr>
          <w:rFonts w:ascii="Verdana" w:hAnsi="Verdana" w:cs="Arial"/>
          <w:color w:val="000000"/>
        </w:rPr>
        <w:t>de</w:t>
      </w:r>
      <w:r w:rsidRPr="00644B07">
        <w:rPr>
          <w:rFonts w:ascii="Verdana" w:hAnsi="Verdana" w:cs="Arial"/>
          <w:color w:val="000000"/>
        </w:rPr>
        <w:t xml:space="preserve"> la capacidad para contratar.</w:t>
      </w:r>
    </w:p>
    <w:p w14:paraId="41B37421" w14:textId="77777777" w:rsidR="0010662B" w:rsidRPr="00BE151B" w:rsidRDefault="0010662B" w:rsidP="0010662B">
      <w:pPr>
        <w:spacing w:after="0" w:line="276" w:lineRule="auto"/>
        <w:ind w:firstLine="709"/>
        <w:jc w:val="both"/>
        <w:rPr>
          <w:rFonts w:ascii="Verdana" w:eastAsia="Calibri" w:hAnsi="Verdana" w:cs="Arial"/>
          <w:sz w:val="21"/>
          <w:szCs w:val="21"/>
        </w:rPr>
      </w:pPr>
    </w:p>
    <w:p w14:paraId="1C7AF261" w14:textId="77777777" w:rsidR="0010662B" w:rsidRDefault="0010662B" w:rsidP="0010662B">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4. Referencias normativas, jurisprudenciales y otras fuentes:</w:t>
      </w:r>
    </w:p>
    <w:p w14:paraId="33B1254B" w14:textId="77777777" w:rsidR="0010662B" w:rsidRPr="00BE151B" w:rsidRDefault="0010662B" w:rsidP="0010662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0662B" w:rsidRPr="001D185F" w14:paraId="67002035" w14:textId="77777777" w:rsidTr="003640D3">
        <w:trPr>
          <w:trHeight w:val="870"/>
        </w:trPr>
        <w:tc>
          <w:tcPr>
            <w:tcW w:w="8647" w:type="dxa"/>
          </w:tcPr>
          <w:p w14:paraId="2DF06E9C" w14:textId="77777777" w:rsidR="0010662B" w:rsidRPr="001E4837" w:rsidRDefault="0010662B" w:rsidP="0010662B">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3B7EF6">
              <w:rPr>
                <w:rFonts w:ascii="Verdana" w:hAnsi="Verdana" w:cs="Arial"/>
              </w:rPr>
              <w:lastRenderedPageBreak/>
              <w:t>Constitución Política</w:t>
            </w:r>
            <w:r>
              <w:rPr>
                <w:rFonts w:ascii="Verdana" w:hAnsi="Verdana" w:cs="Arial"/>
              </w:rPr>
              <w:t>, artículo 150</w:t>
            </w:r>
          </w:p>
          <w:p w14:paraId="7BD031A2" w14:textId="77777777" w:rsidR="0010662B" w:rsidRDefault="0010662B" w:rsidP="0010662B">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C56B10">
              <w:rPr>
                <w:rFonts w:ascii="Verdana" w:hAnsi="Verdana" w:cs="Arial"/>
              </w:rPr>
              <w:t>Ley 80 de 1993</w:t>
            </w:r>
            <w:r>
              <w:rPr>
                <w:rFonts w:ascii="Verdana" w:hAnsi="Verdana" w:cs="Arial"/>
              </w:rPr>
              <w:t>, artículo 8, literal j)</w:t>
            </w:r>
          </w:p>
          <w:p w14:paraId="7D0D0152" w14:textId="77777777" w:rsidR="0010662B" w:rsidRDefault="0010662B" w:rsidP="0010662B">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r w:rsidRPr="00F74A2D">
              <w:rPr>
                <w:rFonts w:ascii="Verdana" w:hAnsi="Verdana" w:cs="Arial"/>
                <w:lang w:val="pt-BR"/>
              </w:rPr>
              <w:t>CORTE CONSTITUCIONAL. Sentencia C-1016 de 2012. M.P. Jorge Iván Palacio</w:t>
            </w:r>
          </w:p>
          <w:p w14:paraId="76F88F29" w14:textId="77777777" w:rsidR="0010662B" w:rsidRDefault="0010662B" w:rsidP="0010662B">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r w:rsidRPr="009B34D7">
              <w:rPr>
                <w:rFonts w:ascii="Verdana" w:hAnsi="Verdana" w:cs="Arial"/>
                <w:lang w:val="pt-BR"/>
              </w:rPr>
              <w:t>CORTE CONSTITUCIONAL. Sentencia C-415 de 1994. M.P. Eduardo Cifuentes Muñoz</w:t>
            </w:r>
          </w:p>
          <w:p w14:paraId="38991926" w14:textId="77777777" w:rsidR="0010662B" w:rsidRDefault="0010662B" w:rsidP="0010662B">
            <w:pPr>
              <w:pStyle w:val="Prrafodelista"/>
              <w:widowControl w:val="0"/>
              <w:numPr>
                <w:ilvl w:val="0"/>
                <w:numId w:val="1"/>
              </w:numPr>
              <w:tabs>
                <w:tab w:val="left" w:pos="8419"/>
              </w:tabs>
              <w:autoSpaceDE w:val="0"/>
              <w:autoSpaceDN w:val="0"/>
              <w:spacing w:line="276" w:lineRule="auto"/>
              <w:jc w:val="both"/>
              <w:rPr>
                <w:rFonts w:ascii="Verdana" w:hAnsi="Verdana" w:cs="Arial"/>
                <w:lang w:val="en-US"/>
              </w:rPr>
            </w:pPr>
            <w:r w:rsidRPr="00982983">
              <w:rPr>
                <w:rFonts w:ascii="Verdana" w:hAnsi="Verdana" w:cs="Arial"/>
                <w:lang w:val="pt-BR"/>
              </w:rPr>
              <w:t xml:space="preserve">CORTE CONSTITUCIONAL. Sentencia C-780 de 2001. </w:t>
            </w:r>
            <w:r w:rsidRPr="00982983">
              <w:rPr>
                <w:rFonts w:ascii="Verdana" w:hAnsi="Verdana" w:cs="Arial"/>
                <w:lang w:val="en-US"/>
              </w:rPr>
              <w:t>M.P. Jaime Córdoba Triviño</w:t>
            </w:r>
          </w:p>
          <w:p w14:paraId="64668704" w14:textId="77777777" w:rsidR="0010662B" w:rsidRDefault="0010662B" w:rsidP="0010662B">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1D185F">
              <w:rPr>
                <w:rFonts w:ascii="Verdana" w:hAnsi="Verdana" w:cs="Arial"/>
                <w:lang w:val="pt-BR"/>
              </w:rPr>
              <w:t xml:space="preserve">CORTE CONSTITUCIONAL. Sentencia T-1039 de 2006. </w:t>
            </w:r>
            <w:r w:rsidRPr="001D185F">
              <w:rPr>
                <w:rFonts w:ascii="Verdana" w:hAnsi="Verdana" w:cs="Arial"/>
              </w:rPr>
              <w:t>M.P. Humberto Sierra Porto. La Corte Constitucional ha mantenido este criterio en las sentencias: C-903 de 2008. M.P. Jaime Araujo Rentería; C-101 de 2018. M.P. Gloria Stella Ortiz Delgado; entre otras.</w:t>
            </w:r>
          </w:p>
          <w:p w14:paraId="4C5697D8" w14:textId="77777777" w:rsidR="0010662B" w:rsidRDefault="0010662B" w:rsidP="0010662B">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AC0F06">
              <w:rPr>
                <w:rFonts w:ascii="Verdana" w:hAnsi="Verdana" w:cs="Arial"/>
              </w:rPr>
              <w:t xml:space="preserve">CONSEJO DE ESTADO. Sección Tercera. Subsección A. Sentencia del 13 de noviembre de 2013. Rad. 25.646. C.P. Mauricio Fajardo Gómez.  </w:t>
            </w:r>
          </w:p>
          <w:p w14:paraId="310C08D2" w14:textId="77777777" w:rsidR="0010662B" w:rsidRDefault="0010662B" w:rsidP="0010662B">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744BDD">
              <w:rPr>
                <w:rFonts w:ascii="Verdana" w:hAnsi="Verdana" w:cs="Arial"/>
              </w:rPr>
              <w:t>CONSEJO DE ESTADO. Sala de Consulta y Servicio Civil. Concepto del 30 de abril de 2015. Exp. 2251. Consejero Ponente: Álvaro Namén Vargas.</w:t>
            </w:r>
          </w:p>
          <w:p w14:paraId="35BB217A" w14:textId="77777777" w:rsidR="0010662B" w:rsidRPr="001D185F" w:rsidRDefault="0010662B" w:rsidP="0010662B">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C613F">
              <w:rPr>
                <w:rFonts w:ascii="Verdana" w:hAnsi="Verdana" w:cs="Arial"/>
              </w:rPr>
              <w:t>CONSEJO DE ESTADO. Sección Tercera. Subsección A. Sentencia del 24 de junio de 2015. Rad. 40.635. Consejero Ponente: Hernán Andrade Rincón (E).</w:t>
            </w:r>
          </w:p>
        </w:tc>
      </w:tr>
    </w:tbl>
    <w:p w14:paraId="0AE077C2" w14:textId="77777777" w:rsidR="0010662B" w:rsidRPr="001D185F" w:rsidRDefault="0010662B" w:rsidP="0010662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05F1388" w14:textId="77777777" w:rsidR="0010662B" w:rsidRPr="00BE151B" w:rsidRDefault="0010662B" w:rsidP="0010662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5. Doctrina de la Agencia Nacional de Contratación Pública:</w:t>
      </w:r>
    </w:p>
    <w:p w14:paraId="3A7D423E" w14:textId="77777777" w:rsidR="0010662B" w:rsidRPr="00BE151B" w:rsidRDefault="0010662B" w:rsidP="0010662B">
      <w:pPr>
        <w:spacing w:after="0" w:line="276" w:lineRule="auto"/>
        <w:ind w:firstLine="709"/>
        <w:jc w:val="both"/>
        <w:rPr>
          <w:rFonts w:ascii="Verdana" w:eastAsia="Times New Roman" w:hAnsi="Verdana" w:cs="Arial"/>
          <w:szCs w:val="24"/>
          <w:lang w:eastAsia="es-ES_tradnl"/>
        </w:rPr>
      </w:pPr>
    </w:p>
    <w:p w14:paraId="72630555" w14:textId="77777777" w:rsidR="0010662B" w:rsidRDefault="0010662B" w:rsidP="0010662B">
      <w:pPr>
        <w:widowControl w:val="0"/>
        <w:autoSpaceDE w:val="0"/>
        <w:autoSpaceDN w:val="0"/>
        <w:spacing w:after="0" w:line="276" w:lineRule="auto"/>
        <w:jc w:val="both"/>
        <w:rPr>
          <w:rStyle w:val="normaltextrun"/>
          <w:rFonts w:ascii="Verdana" w:hAnsi="Verdana" w:cs="Arial"/>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el régimen de inhabilidades</w:t>
      </w:r>
      <w:r w:rsidRPr="00916093">
        <w:rPr>
          <w:rStyle w:val="normaltextrun"/>
          <w:rFonts w:ascii="Verdana" w:hAnsi="Verdana" w:cs="Arial"/>
          <w:shd w:val="clear" w:color="auto" w:fill="FFFFFF"/>
          <w:lang w:val="es-ES"/>
        </w:rPr>
        <w:t xml:space="preserve"> en los </w:t>
      </w:r>
      <w:r>
        <w:rPr>
          <w:rStyle w:val="normaltextrun"/>
          <w:rFonts w:ascii="Verdana" w:hAnsi="Verdana" w:cs="Arial"/>
          <w:shd w:val="clear" w:color="auto" w:fill="FFFFFF"/>
          <w:lang w:val="es-ES"/>
        </w:rPr>
        <w:t>C</w:t>
      </w:r>
      <w:r w:rsidRPr="00916093">
        <w:rPr>
          <w:rStyle w:val="normaltextrun"/>
          <w:rFonts w:ascii="Verdana" w:hAnsi="Verdana" w:cs="Arial"/>
          <w:shd w:val="clear" w:color="auto" w:fill="FFFFFF"/>
          <w:lang w:val="es-ES"/>
        </w:rPr>
        <w:t>onceptos</w:t>
      </w:r>
      <w:r>
        <w:rPr>
          <w:rStyle w:val="normaltextrun"/>
          <w:rFonts w:ascii="Verdana" w:hAnsi="Verdana" w:cs="Arial"/>
          <w:shd w:val="clear" w:color="auto" w:fill="FFFFFF"/>
          <w:lang w:val="es-ES"/>
        </w:rPr>
        <w:t xml:space="preserve"> </w:t>
      </w:r>
      <w:r w:rsidRPr="005E688A">
        <w:rPr>
          <w:rStyle w:val="normaltextrun"/>
          <w:rFonts w:ascii="Verdana" w:hAnsi="Verdana" w:cs="Arial"/>
          <w:shd w:val="clear" w:color="auto" w:fill="FFFFFF"/>
          <w:lang w:val="es-ES"/>
        </w:rPr>
        <w:t xml:space="preserve">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w:t>
      </w:r>
      <w:r w:rsidRPr="005E688A">
        <w:rPr>
          <w:rStyle w:val="normaltextrun"/>
          <w:rFonts w:ascii="Verdana" w:hAnsi="Verdana" w:cs="Arial"/>
          <w:shd w:val="clear" w:color="auto" w:fill="FFFFFF"/>
          <w:lang w:val="es-ES"/>
        </w:rPr>
        <w:lastRenderedPageBreak/>
        <w:t>del 2021, C-491 del 14 de septiembre de 2021, C-028 del 28 de febrero de 2022, C-318 del 18 de mayo de 2022, C-252 del 30 de mayo de 2022</w:t>
      </w:r>
      <w:r>
        <w:rPr>
          <w:rStyle w:val="normaltextrun"/>
          <w:rFonts w:ascii="Verdana" w:hAnsi="Verdana" w:cs="Arial"/>
          <w:shd w:val="clear" w:color="auto" w:fill="FFFFFF"/>
          <w:lang w:val="es-ES"/>
        </w:rPr>
        <w:t>,</w:t>
      </w:r>
      <w:r w:rsidRPr="005E688A">
        <w:rPr>
          <w:rStyle w:val="normaltextrun"/>
          <w:rFonts w:ascii="Verdana" w:hAnsi="Verdana" w:cs="Arial"/>
          <w:shd w:val="clear" w:color="auto" w:fill="FFFFFF"/>
          <w:lang w:val="es-ES"/>
        </w:rPr>
        <w:t xml:space="preserve"> C-175 del 4 de mayo de 2023</w:t>
      </w:r>
      <w:r>
        <w:rPr>
          <w:rStyle w:val="normaltextrun"/>
          <w:rFonts w:ascii="Verdana" w:hAnsi="Verdana" w:cs="Arial"/>
          <w:shd w:val="clear" w:color="auto" w:fill="FFFFFF"/>
          <w:lang w:val="es-ES"/>
        </w:rPr>
        <w:t>, C-234 del 5 de julio de 2023, C-108 del 6 de agosto de 2024, C-136 del 6 de agosto de 2024, C-205 del 12 de septiembre de 2024, C-408 del 21 de agosto de 2024 y C-466 del 23 de septiembre de 2024.</w:t>
      </w:r>
    </w:p>
    <w:p w14:paraId="5BD092A7" w14:textId="77777777" w:rsidR="0010662B" w:rsidRDefault="0010662B" w:rsidP="0010662B">
      <w:pPr>
        <w:widowControl w:val="0"/>
        <w:autoSpaceDE w:val="0"/>
        <w:autoSpaceDN w:val="0"/>
        <w:spacing w:after="0" w:line="276" w:lineRule="auto"/>
        <w:jc w:val="both"/>
        <w:rPr>
          <w:rStyle w:val="normaltextrun"/>
          <w:rFonts w:ascii="Verdana" w:hAnsi="Verdana" w:cs="Arial"/>
          <w:shd w:val="clear" w:color="auto" w:fill="FFFFFF"/>
          <w:lang w:val="es-ES"/>
        </w:rPr>
      </w:pPr>
    </w:p>
    <w:p w14:paraId="6B96E569" w14:textId="77777777" w:rsidR="0010662B" w:rsidRDefault="0010662B" w:rsidP="0010662B">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8E269E">
        <w:rPr>
          <w:rFonts w:ascii="Verdana" w:hAnsi="Verdana" w:cs="Arial"/>
          <w:shd w:val="clear" w:color="auto" w:fill="FFFFFF"/>
        </w:rPr>
        <w:t>Estos y otros conceptos se encuentran disponibles para consulta gratuita en nuestro Sistema de Relatoría en el cual también podrá encontrar jurisprudencia del Consejo de Estado, laudos arbitrales y la normativa de la contratación pública concordada con la doctrina de la Agencia.  Accede al sistema a través del siguiente enlace: </w:t>
      </w:r>
    </w:p>
    <w:p w14:paraId="16EBD7B2" w14:textId="77777777" w:rsidR="0010662B" w:rsidRPr="000B4C97" w:rsidRDefault="0010662B" w:rsidP="0010662B">
      <w:pPr>
        <w:widowControl w:val="0"/>
        <w:autoSpaceDE w:val="0"/>
        <w:autoSpaceDN w:val="0"/>
        <w:spacing w:after="0" w:line="276" w:lineRule="auto"/>
        <w:jc w:val="both"/>
        <w:rPr>
          <w:rFonts w:ascii="Verdana" w:eastAsia="Calibri" w:hAnsi="Verdana" w:cs="Arial"/>
          <w:lang w:val="es-ES" w:eastAsia="es-ES_tradnl"/>
        </w:rPr>
      </w:pPr>
    </w:p>
    <w:p w14:paraId="70BE8687" w14:textId="77777777" w:rsidR="0010662B" w:rsidRDefault="0010662B" w:rsidP="0010662B">
      <w:pPr>
        <w:widowControl w:val="0"/>
        <w:autoSpaceDE w:val="0"/>
        <w:autoSpaceDN w:val="0"/>
        <w:spacing w:after="0" w:line="276" w:lineRule="auto"/>
        <w:jc w:val="both"/>
        <w:rPr>
          <w:rFonts w:ascii="Verdana" w:eastAsia="Calibri" w:hAnsi="Verdana" w:cs="Arial"/>
          <w:lang w:eastAsia="es-ES_tradnl"/>
        </w:rPr>
      </w:pPr>
      <w:hyperlink r:id="rId9" w:history="1">
        <w:r w:rsidRPr="00412C52">
          <w:rPr>
            <w:rStyle w:val="Hipervnculo"/>
            <w:rFonts w:ascii="Verdana" w:eastAsia="Calibri" w:hAnsi="Verdana" w:cs="Arial"/>
            <w:lang w:eastAsia="es-ES_tradnl"/>
          </w:rPr>
          <w:t>https://relatoria.colombiacompra.gov.co/</w:t>
        </w:r>
      </w:hyperlink>
      <w:r>
        <w:rPr>
          <w:rFonts w:ascii="Verdana" w:eastAsia="Calibri" w:hAnsi="Verdana" w:cs="Arial"/>
          <w:lang w:eastAsia="es-ES_tradnl"/>
        </w:rPr>
        <w:t xml:space="preserve"> </w:t>
      </w:r>
    </w:p>
    <w:p w14:paraId="583BD217" w14:textId="77777777" w:rsidR="0010662B" w:rsidRDefault="0010662B" w:rsidP="0010662B">
      <w:pPr>
        <w:widowControl w:val="0"/>
        <w:autoSpaceDE w:val="0"/>
        <w:autoSpaceDN w:val="0"/>
        <w:spacing w:after="0" w:line="276" w:lineRule="auto"/>
        <w:jc w:val="both"/>
        <w:rPr>
          <w:rFonts w:ascii="Verdana" w:eastAsia="Calibri" w:hAnsi="Verdana" w:cs="Arial"/>
          <w:lang w:eastAsia="es-ES_tradnl"/>
        </w:rPr>
      </w:pPr>
    </w:p>
    <w:p w14:paraId="09F7AFAC" w14:textId="77777777" w:rsidR="0010662B" w:rsidRDefault="0010662B" w:rsidP="0010662B">
      <w:pPr>
        <w:spacing w:after="0" w:line="240" w:lineRule="auto"/>
        <w:jc w:val="both"/>
        <w:rPr>
          <w:rFonts w:ascii="Verdana" w:hAnsi="Verdana" w:cs="Arial"/>
          <w:color w:val="000000" w:themeColor="text1"/>
          <w:shd w:val="clear" w:color="auto" w:fill="FFFFFF"/>
        </w:rPr>
      </w:pPr>
      <w:r w:rsidRPr="00B47C95">
        <w:rPr>
          <w:rFonts w:ascii="Verdana" w:hAnsi="Verdana" w:cs="Arial"/>
          <w:color w:val="000000" w:themeColor="text1"/>
          <w:shd w:val="clear" w:color="auto" w:fill="FFFFFF"/>
        </w:rPr>
        <w:t>También le invitamos a consultar las versiones V y VI de 2024 del Boletín de Relatoría de la Subdirección de Gestión Contractual relacionados con las guías de Plan Anual de Adquisiciones y la odalidad de selección de mínima cuantía , los cuales se pueden descargar en la página web de la Agencia:</w:t>
      </w:r>
    </w:p>
    <w:p w14:paraId="7E1B21DD" w14:textId="77777777" w:rsidR="0010662B" w:rsidRDefault="0010662B" w:rsidP="0010662B">
      <w:pPr>
        <w:spacing w:after="0" w:line="240" w:lineRule="auto"/>
        <w:jc w:val="both"/>
        <w:rPr>
          <w:rFonts w:ascii="Verdana" w:hAnsi="Verdana" w:cs="Arial"/>
          <w:color w:val="000000" w:themeColor="text1"/>
          <w:shd w:val="clear" w:color="auto" w:fill="FFFFFF"/>
        </w:rPr>
      </w:pPr>
    </w:p>
    <w:p w14:paraId="71EF06F4" w14:textId="77777777" w:rsidR="0010662B" w:rsidRDefault="0010662B" w:rsidP="0010662B">
      <w:pPr>
        <w:spacing w:after="0" w:line="240" w:lineRule="auto"/>
        <w:jc w:val="both"/>
        <w:rPr>
          <w:rFonts w:ascii="Verdana" w:hAnsi="Verdana" w:cs="Arial"/>
          <w:color w:val="000000" w:themeColor="text1"/>
          <w:shd w:val="clear" w:color="auto" w:fill="FFFFFF"/>
        </w:rPr>
      </w:pPr>
      <w:hyperlink r:id="rId10" w:tgtFrame="_blank" w:tooltip="Dirección URL original: https://www.colombiacompra.gov.co/sala-de-prensa/boletin-digital. Haga clic o pulse si confía en este vínculo." w:history="1">
        <w:r w:rsidRPr="00B47C95">
          <w:rPr>
            <w:rStyle w:val="Hipervnculo"/>
            <w:rFonts w:ascii="Verdana" w:hAnsi="Verdana" w:cs="Arial"/>
            <w:shd w:val="clear" w:color="auto" w:fill="FFFFFF"/>
          </w:rPr>
          <w:t>https://www.colombiacompra.gov.co/sala-de-prensa/boletin-digital</w:t>
        </w:r>
      </w:hyperlink>
    </w:p>
    <w:p w14:paraId="79EABF97" w14:textId="77777777" w:rsidR="0010662B" w:rsidRPr="00BE151B" w:rsidRDefault="0010662B" w:rsidP="0010662B">
      <w:pPr>
        <w:spacing w:after="0" w:line="240" w:lineRule="auto"/>
        <w:jc w:val="both"/>
        <w:rPr>
          <w:rFonts w:ascii="Verdana" w:hAnsi="Verdana"/>
        </w:rPr>
      </w:pPr>
    </w:p>
    <w:p w14:paraId="3DC4F4EC" w14:textId="77777777" w:rsidR="0010662B" w:rsidRPr="00BE151B" w:rsidRDefault="0010662B" w:rsidP="0010662B">
      <w:pPr>
        <w:spacing w:after="0" w:line="240" w:lineRule="auto"/>
        <w:jc w:val="both"/>
        <w:rPr>
          <w:rFonts w:ascii="Verdana" w:hAnsi="Verdana"/>
        </w:rPr>
      </w:pPr>
      <w:r w:rsidRPr="00BE151B">
        <w:rPr>
          <w:rFonts w:ascii="Verdana" w:hAnsi="Verdana"/>
        </w:rPr>
        <w:t xml:space="preserve">Por último, lo invitamos a seguirnos en las redes sociales en las cuales se difunde información institucional: </w:t>
      </w:r>
    </w:p>
    <w:p w14:paraId="47F4DF52" w14:textId="77777777" w:rsidR="0010662B" w:rsidRPr="00BE151B" w:rsidRDefault="0010662B" w:rsidP="0010662B">
      <w:pPr>
        <w:spacing w:after="0" w:line="240" w:lineRule="auto"/>
        <w:jc w:val="both"/>
        <w:rPr>
          <w:rFonts w:ascii="Verdana" w:hAnsi="Verdana"/>
        </w:rPr>
      </w:pPr>
    </w:p>
    <w:p w14:paraId="1828219C" w14:textId="77777777" w:rsidR="0010662B" w:rsidRPr="00BE151B" w:rsidRDefault="0010662B" w:rsidP="0010662B">
      <w:pPr>
        <w:spacing w:after="0" w:line="240" w:lineRule="auto"/>
        <w:jc w:val="both"/>
        <w:rPr>
          <w:rFonts w:ascii="Verdana" w:hAnsi="Verdana"/>
        </w:rPr>
      </w:pPr>
      <w:r w:rsidRPr="00BE151B">
        <w:rPr>
          <w:rFonts w:ascii="Verdana" w:hAnsi="Verdana"/>
        </w:rPr>
        <w:t xml:space="preserve">Twitter: </w:t>
      </w:r>
      <w:r w:rsidRPr="00BE151B">
        <w:rPr>
          <w:rStyle w:val="Hipervnculo"/>
          <w:rFonts w:ascii="Verdana" w:hAnsi="Verdana"/>
          <w:color w:val="4472C4" w:themeColor="accent1"/>
        </w:rPr>
        <w:t>@colombiacompra</w:t>
      </w:r>
      <w:r w:rsidRPr="00BE151B">
        <w:rPr>
          <w:rFonts w:ascii="Verdana" w:hAnsi="Verdana"/>
          <w:color w:val="4472C4" w:themeColor="accent1"/>
        </w:rPr>
        <w:t xml:space="preserve"> </w:t>
      </w:r>
    </w:p>
    <w:p w14:paraId="569E28D3" w14:textId="77777777" w:rsidR="0010662B" w:rsidRPr="00BE151B" w:rsidRDefault="0010662B" w:rsidP="0010662B">
      <w:pPr>
        <w:spacing w:after="0" w:line="240" w:lineRule="auto"/>
        <w:jc w:val="both"/>
        <w:rPr>
          <w:rFonts w:ascii="Verdana" w:hAnsi="Verdana"/>
        </w:rPr>
      </w:pPr>
      <w:r w:rsidRPr="00BE151B">
        <w:rPr>
          <w:rFonts w:ascii="Verdana" w:hAnsi="Verdana"/>
        </w:rPr>
        <w:t xml:space="preserve">Facebook: </w:t>
      </w:r>
      <w:r w:rsidRPr="00BE151B">
        <w:rPr>
          <w:rStyle w:val="Hipervnculo"/>
          <w:rFonts w:ascii="Verdana" w:hAnsi="Verdana"/>
          <w:color w:val="4472C4" w:themeColor="accent1"/>
        </w:rPr>
        <w:t>ColombiaCompraEficiente</w:t>
      </w:r>
    </w:p>
    <w:p w14:paraId="0C91079D" w14:textId="77777777" w:rsidR="0010662B" w:rsidRPr="00BE151B" w:rsidRDefault="0010662B" w:rsidP="0010662B">
      <w:pPr>
        <w:spacing w:after="0" w:line="240" w:lineRule="auto"/>
        <w:jc w:val="both"/>
        <w:rPr>
          <w:rFonts w:ascii="Verdana" w:hAnsi="Verdana"/>
        </w:rPr>
      </w:pPr>
      <w:r w:rsidRPr="00BE151B">
        <w:rPr>
          <w:rFonts w:ascii="Verdana" w:hAnsi="Verdana"/>
        </w:rPr>
        <w:t xml:space="preserve">LinkedIn: </w:t>
      </w:r>
      <w:r w:rsidRPr="00BE151B">
        <w:rPr>
          <w:rStyle w:val="Hipervnculo"/>
          <w:rFonts w:ascii="Verdana" w:hAnsi="Verdana"/>
          <w:color w:val="4472C4" w:themeColor="accent1"/>
        </w:rPr>
        <w:t>Agencia Nacional de Contratación Pública - Colombia Compra Eficiente</w:t>
      </w:r>
      <w:r w:rsidRPr="00BE151B">
        <w:rPr>
          <w:rFonts w:ascii="Verdana" w:hAnsi="Verdana"/>
          <w:color w:val="4472C4" w:themeColor="accent1"/>
        </w:rPr>
        <w:t xml:space="preserve"> </w:t>
      </w:r>
      <w:r w:rsidRPr="00BE151B">
        <w:rPr>
          <w:rFonts w:ascii="Verdana" w:hAnsi="Verdana"/>
        </w:rPr>
        <w:t xml:space="preserve">Instagram: </w:t>
      </w:r>
      <w:r w:rsidRPr="00BE151B">
        <w:rPr>
          <w:rStyle w:val="Hipervnculo"/>
          <w:rFonts w:ascii="Verdana" w:hAnsi="Verdana"/>
          <w:color w:val="4472C4" w:themeColor="accent1"/>
        </w:rPr>
        <w:t>@colombiacompraeficiente_cce</w:t>
      </w:r>
    </w:p>
    <w:p w14:paraId="32DDC729" w14:textId="77777777" w:rsidR="0010662B" w:rsidRPr="00BE151B" w:rsidRDefault="0010662B" w:rsidP="0010662B">
      <w:pPr>
        <w:widowControl w:val="0"/>
        <w:autoSpaceDE w:val="0"/>
        <w:autoSpaceDN w:val="0"/>
        <w:spacing w:after="0" w:line="276" w:lineRule="auto"/>
        <w:jc w:val="both"/>
        <w:rPr>
          <w:rFonts w:ascii="Verdana" w:hAnsi="Verdana"/>
        </w:rPr>
      </w:pPr>
    </w:p>
    <w:p w14:paraId="012E416C" w14:textId="77777777" w:rsidR="0010662B" w:rsidRPr="00BE151B" w:rsidRDefault="0010662B" w:rsidP="0010662B">
      <w:pPr>
        <w:widowControl w:val="0"/>
        <w:autoSpaceDE w:val="0"/>
        <w:autoSpaceDN w:val="0"/>
        <w:spacing w:after="0" w:line="276" w:lineRule="auto"/>
        <w:jc w:val="both"/>
        <w:rPr>
          <w:rFonts w:ascii="Verdana" w:hAnsi="Verdana" w:cs="Arial"/>
        </w:rPr>
      </w:pPr>
      <w:r w:rsidRPr="00BE151B">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6907152" w14:textId="77777777" w:rsidR="0010662B" w:rsidRPr="00BE151B" w:rsidRDefault="0010662B" w:rsidP="0010662B">
      <w:pPr>
        <w:spacing w:after="0" w:line="276" w:lineRule="auto"/>
        <w:ind w:firstLine="709"/>
        <w:jc w:val="both"/>
        <w:rPr>
          <w:rFonts w:ascii="Verdana" w:eastAsia="Times New Roman" w:hAnsi="Verdana" w:cs="Arial"/>
          <w:szCs w:val="24"/>
          <w:lang w:eastAsia="es-ES_tradnl"/>
        </w:rPr>
      </w:pPr>
    </w:p>
    <w:p w14:paraId="4E58539F" w14:textId="77777777" w:rsidR="0010662B" w:rsidRPr="00BE151B" w:rsidRDefault="0010662B" w:rsidP="0010662B">
      <w:pPr>
        <w:spacing w:after="0" w:line="276" w:lineRule="auto"/>
        <w:jc w:val="both"/>
        <w:rPr>
          <w:rFonts w:ascii="Verdana" w:eastAsia="Times New Roman" w:hAnsi="Verdana" w:cs="Arial"/>
          <w:lang w:eastAsia="es-CO"/>
        </w:rPr>
      </w:pPr>
      <w:bookmarkStart w:id="1" w:name="_Hlk117695077"/>
      <w:r w:rsidRPr="00BE151B">
        <w:rPr>
          <w:rFonts w:ascii="Verdana" w:eastAsia="Times New Roman" w:hAnsi="Verdana" w:cs="Arial"/>
          <w:lang w:eastAsia="es-CO"/>
        </w:rPr>
        <w:t>Atentamente,</w:t>
      </w:r>
    </w:p>
    <w:bookmarkEnd w:id="1"/>
    <w:p w14:paraId="2D8CD13B" w14:textId="7E422FA3" w:rsidR="0010662B" w:rsidRPr="00BE151B" w:rsidRDefault="003E2F45" w:rsidP="0010662B">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lastRenderedPageBreak/>
        <w:drawing>
          <wp:inline distT="0" distB="0" distL="0" distR="0" wp14:anchorId="4C2A7600" wp14:editId="13FDCC86">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1"/>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10662B" w:rsidRPr="00BE151B" w14:paraId="1FD1FAD2" w14:textId="77777777" w:rsidTr="003640D3">
        <w:trPr>
          <w:trHeight w:val="286"/>
        </w:trPr>
        <w:tc>
          <w:tcPr>
            <w:tcW w:w="893" w:type="dxa"/>
            <w:vAlign w:val="center"/>
            <w:hideMark/>
          </w:tcPr>
          <w:p w14:paraId="0E438F71" w14:textId="77777777" w:rsidR="0010662B" w:rsidRPr="00BE151B" w:rsidRDefault="0010662B"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Elaboró:</w:t>
            </w:r>
          </w:p>
        </w:tc>
        <w:tc>
          <w:tcPr>
            <w:tcW w:w="4777" w:type="dxa"/>
            <w:tcBorders>
              <w:top w:val="nil"/>
              <w:left w:val="nil"/>
              <w:bottom w:val="dotted" w:sz="4" w:space="0" w:color="7F7F7F" w:themeColor="text1" w:themeTint="80"/>
              <w:right w:val="nil"/>
            </w:tcBorders>
            <w:vAlign w:val="center"/>
            <w:hideMark/>
          </w:tcPr>
          <w:p w14:paraId="50E28EB5" w14:textId="77777777" w:rsidR="0010662B" w:rsidRPr="00BE151B" w:rsidRDefault="0010662B" w:rsidP="003640D3">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Sergio Enrique Caballero Lesmes</w:t>
            </w:r>
          </w:p>
          <w:p w14:paraId="1E89997C" w14:textId="77777777" w:rsidR="0010662B" w:rsidRPr="00BE151B" w:rsidRDefault="0010662B"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Analista T</w:t>
            </w:r>
            <w:r>
              <w:rPr>
                <w:rFonts w:ascii="Verdana" w:eastAsia="Times New Roman" w:hAnsi="Verdana" w:cs="Arial"/>
                <w:sz w:val="16"/>
                <w:szCs w:val="16"/>
                <w:lang w:eastAsia="es-ES"/>
              </w:rPr>
              <w:t>2</w:t>
            </w:r>
            <w:r w:rsidRPr="00BE151B">
              <w:rPr>
                <w:rFonts w:ascii="Verdana" w:eastAsia="Times New Roman" w:hAnsi="Verdana" w:cs="Arial"/>
                <w:sz w:val="16"/>
                <w:szCs w:val="16"/>
                <w:lang w:eastAsia="es-ES"/>
              </w:rPr>
              <w:t>-</w:t>
            </w:r>
            <w:r>
              <w:rPr>
                <w:rFonts w:ascii="Verdana" w:eastAsia="Times New Roman" w:hAnsi="Verdana" w:cs="Arial"/>
                <w:sz w:val="16"/>
                <w:szCs w:val="16"/>
                <w:lang w:eastAsia="es-ES"/>
              </w:rPr>
              <w:t xml:space="preserve">01 </w:t>
            </w:r>
            <w:r w:rsidRPr="00BE151B">
              <w:rPr>
                <w:rFonts w:ascii="Verdana" w:eastAsia="Times New Roman" w:hAnsi="Verdana" w:cs="Arial"/>
                <w:sz w:val="16"/>
                <w:szCs w:val="16"/>
                <w:lang w:eastAsia="es-ES"/>
              </w:rPr>
              <w:t>de la Subdirección de Gestión Contractual</w:t>
            </w:r>
          </w:p>
        </w:tc>
      </w:tr>
      <w:tr w:rsidR="0010662B" w:rsidRPr="00BE151B" w14:paraId="2E340460" w14:textId="77777777" w:rsidTr="003640D3">
        <w:trPr>
          <w:trHeight w:val="299"/>
        </w:trPr>
        <w:tc>
          <w:tcPr>
            <w:tcW w:w="893" w:type="dxa"/>
            <w:vAlign w:val="center"/>
            <w:hideMark/>
          </w:tcPr>
          <w:p w14:paraId="55901CC9" w14:textId="77777777" w:rsidR="0010662B" w:rsidRPr="00BE151B" w:rsidRDefault="0010662B"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Revisó:</w:t>
            </w:r>
          </w:p>
        </w:tc>
        <w:tc>
          <w:tcPr>
            <w:tcW w:w="4777" w:type="dxa"/>
            <w:tcBorders>
              <w:top w:val="dotted" w:sz="4" w:space="0" w:color="7F7F7F" w:themeColor="text1" w:themeTint="80"/>
              <w:left w:val="nil"/>
              <w:bottom w:val="dotted" w:sz="4" w:space="0" w:color="7F7F7F" w:themeColor="text1" w:themeTint="80"/>
              <w:right w:val="nil"/>
            </w:tcBorders>
            <w:vAlign w:val="center"/>
            <w:hideMark/>
          </w:tcPr>
          <w:p w14:paraId="14AD2456" w14:textId="77777777" w:rsidR="0010662B" w:rsidRPr="00BE151B" w:rsidRDefault="0010662B" w:rsidP="003640D3">
            <w:pPr>
              <w:rPr>
                <w:rFonts w:ascii="Verdana" w:eastAsia="Times New Roman" w:hAnsi="Verdana" w:cs="Arial"/>
                <w:sz w:val="16"/>
                <w:szCs w:val="16"/>
                <w:lang w:eastAsia="es-ES"/>
              </w:rPr>
            </w:pPr>
            <w:r>
              <w:rPr>
                <w:rFonts w:ascii="Verdana" w:eastAsia="Times New Roman" w:hAnsi="Verdana" w:cs="Arial"/>
                <w:sz w:val="16"/>
                <w:szCs w:val="16"/>
                <w:lang w:eastAsia="es-ES"/>
              </w:rPr>
              <w:t>X</w:t>
            </w:r>
            <w:r w:rsidRPr="00E104D7">
              <w:rPr>
                <w:rFonts w:ascii="Verdana" w:eastAsia="Times New Roman" w:hAnsi="Verdana" w:cs="Arial"/>
                <w:sz w:val="16"/>
                <w:szCs w:val="16"/>
                <w:lang w:eastAsia="es-ES"/>
              </w:rPr>
              <w:t>imena Ríos López</w:t>
            </w:r>
          </w:p>
          <w:p w14:paraId="5157BE80" w14:textId="77777777" w:rsidR="0010662B" w:rsidRPr="00BE151B" w:rsidRDefault="0010662B" w:rsidP="003640D3">
            <w:pPr>
              <w:rPr>
                <w:rFonts w:ascii="Verdana" w:eastAsia="Times New Roman" w:hAnsi="Verdana" w:cs="Arial"/>
                <w:sz w:val="14"/>
                <w:szCs w:val="14"/>
                <w:lang w:eastAsia="es-ES"/>
              </w:rPr>
            </w:pPr>
            <w:r w:rsidRPr="5460DB6F">
              <w:rPr>
                <w:rFonts w:ascii="Verdana" w:eastAsia="Times New Roman" w:hAnsi="Verdana" w:cs="Arial"/>
                <w:sz w:val="16"/>
                <w:szCs w:val="16"/>
                <w:lang w:eastAsia="es-ES"/>
              </w:rPr>
              <w:t>Gestor T1-11</w:t>
            </w:r>
            <w:r w:rsidRPr="00BE151B">
              <w:rPr>
                <w:rFonts w:ascii="Verdana" w:eastAsia="Times New Roman" w:hAnsi="Verdana" w:cs="Arial"/>
                <w:sz w:val="16"/>
                <w:szCs w:val="16"/>
                <w:lang w:eastAsia="es-ES"/>
              </w:rPr>
              <w:t xml:space="preserve"> de la Subdirección de Gestión Contractual</w:t>
            </w:r>
          </w:p>
        </w:tc>
      </w:tr>
      <w:tr w:rsidR="0010662B" w:rsidRPr="00BE151B" w14:paraId="776920A5" w14:textId="77777777" w:rsidTr="003640D3">
        <w:trPr>
          <w:trHeight w:val="272"/>
        </w:trPr>
        <w:tc>
          <w:tcPr>
            <w:tcW w:w="893" w:type="dxa"/>
            <w:vAlign w:val="center"/>
            <w:hideMark/>
          </w:tcPr>
          <w:p w14:paraId="1C98A27B" w14:textId="77777777" w:rsidR="0010662B" w:rsidRPr="00BE151B" w:rsidRDefault="0010662B"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Aprobó:</w:t>
            </w:r>
          </w:p>
        </w:tc>
        <w:tc>
          <w:tcPr>
            <w:tcW w:w="4777" w:type="dxa"/>
            <w:tcBorders>
              <w:top w:val="dotted" w:sz="4" w:space="0" w:color="7F7F7F" w:themeColor="text1" w:themeTint="80"/>
              <w:left w:val="nil"/>
              <w:bottom w:val="dotted" w:sz="4" w:space="0" w:color="7F7F7F" w:themeColor="text1" w:themeTint="80"/>
              <w:right w:val="nil"/>
            </w:tcBorders>
            <w:vAlign w:val="center"/>
            <w:hideMark/>
          </w:tcPr>
          <w:p w14:paraId="269E06BA" w14:textId="77777777" w:rsidR="0010662B" w:rsidRPr="00BE151B" w:rsidRDefault="0010662B" w:rsidP="003640D3">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Carolina Quintero Gacharná</w:t>
            </w:r>
          </w:p>
          <w:p w14:paraId="1774D056" w14:textId="77777777" w:rsidR="0010662B" w:rsidRPr="00BE151B" w:rsidRDefault="0010662B"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Subdirectora de Gestión Contractual ANCP – CCE</w:t>
            </w:r>
          </w:p>
        </w:tc>
      </w:tr>
    </w:tbl>
    <w:p w14:paraId="17165CFE" w14:textId="77777777" w:rsidR="0010662B" w:rsidRPr="00BE151B" w:rsidRDefault="0010662B" w:rsidP="0010662B">
      <w:pPr>
        <w:spacing w:after="0" w:line="276" w:lineRule="auto"/>
        <w:jc w:val="both"/>
        <w:rPr>
          <w:rFonts w:ascii="Verdana" w:eastAsia="Times New Roman" w:hAnsi="Verdana" w:cs="Arial"/>
        </w:rPr>
      </w:pPr>
    </w:p>
    <w:p w14:paraId="4FFA4A46" w14:textId="77777777" w:rsidR="0010662B" w:rsidRPr="00BE151B" w:rsidRDefault="0010662B" w:rsidP="0010662B">
      <w:pPr>
        <w:spacing w:after="0" w:line="240" w:lineRule="auto"/>
        <w:rPr>
          <w:rFonts w:ascii="Verdana" w:eastAsia="Times New Roman" w:hAnsi="Verdana" w:cs="Arial"/>
          <w:sz w:val="24"/>
          <w:szCs w:val="24"/>
          <w:lang w:eastAsia="es-ES_tradnl"/>
        </w:rPr>
      </w:pPr>
    </w:p>
    <w:sectPr w:rsidR="0010662B" w:rsidRPr="00BE151B" w:rsidSect="0010662B">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DDD6D8" w14:textId="77777777" w:rsidR="00743CCC" w:rsidRDefault="00743CCC" w:rsidP="0010662B">
      <w:pPr>
        <w:spacing w:after="0" w:line="240" w:lineRule="auto"/>
      </w:pPr>
      <w:r>
        <w:separator/>
      </w:r>
    </w:p>
  </w:endnote>
  <w:endnote w:type="continuationSeparator" w:id="0">
    <w:p w14:paraId="5A685634" w14:textId="77777777" w:rsidR="00743CCC" w:rsidRDefault="00743CCC" w:rsidP="00106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8D9E1" w14:textId="77777777" w:rsidR="00823324" w:rsidRDefault="00823324">
    <w:pPr>
      <w:pStyle w:val="Piedepgina"/>
    </w:pPr>
  </w:p>
  <w:p w14:paraId="378B8932" w14:textId="77777777" w:rsidR="00823324"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F1B11C3" w14:textId="77777777" w:rsidR="00823324"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C85546F" w14:textId="77777777" w:rsidR="00823324"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32050410" w14:textId="77777777" w:rsidR="00823324"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84A55C" w14:textId="77777777" w:rsidR="00743CCC" w:rsidRDefault="00743CCC" w:rsidP="0010662B">
      <w:pPr>
        <w:spacing w:after="0" w:line="240" w:lineRule="auto"/>
      </w:pPr>
      <w:r>
        <w:separator/>
      </w:r>
    </w:p>
  </w:footnote>
  <w:footnote w:type="continuationSeparator" w:id="0">
    <w:p w14:paraId="757D5E9A" w14:textId="77777777" w:rsidR="00743CCC" w:rsidRDefault="00743CCC" w:rsidP="0010662B">
      <w:pPr>
        <w:spacing w:after="0" w:line="240" w:lineRule="auto"/>
      </w:pPr>
      <w:r>
        <w:continuationSeparator/>
      </w:r>
    </w:p>
  </w:footnote>
  <w:footnote w:id="1">
    <w:p w14:paraId="09DF7703" w14:textId="77777777" w:rsidR="0010662B" w:rsidRPr="00DE59D0" w:rsidRDefault="0010662B" w:rsidP="0010662B">
      <w:pPr>
        <w:pStyle w:val="Textonotapie"/>
        <w:ind w:firstLine="709"/>
        <w:jc w:val="both"/>
        <w:rPr>
          <w:rFonts w:ascii="Verdana" w:hAnsi="Verdana" w:cs="Arial"/>
          <w:sz w:val="10"/>
          <w:szCs w:val="10"/>
          <w:lang w:val="pt-BR"/>
        </w:rPr>
      </w:pPr>
      <w:r w:rsidRPr="00DE59D0">
        <w:rPr>
          <w:rStyle w:val="Refdenotaalpie"/>
          <w:rFonts w:ascii="Verdana" w:hAnsi="Verdana" w:cs="Arial"/>
          <w:sz w:val="10"/>
          <w:szCs w:val="10"/>
        </w:rPr>
        <w:footnoteRef/>
      </w:r>
      <w:r w:rsidRPr="00DE59D0">
        <w:rPr>
          <w:rFonts w:ascii="Verdana" w:hAnsi="Verdana" w:cs="Arial"/>
          <w:sz w:val="10"/>
          <w:szCs w:val="10"/>
          <w:lang w:val="pt-BR"/>
        </w:rPr>
        <w:t xml:space="preserve"> CORTE CONSTITUCIONAL. Sentencia C-1016 de 2012. M.P. Jorge Iván Palacio. </w:t>
      </w:r>
    </w:p>
    <w:p w14:paraId="5CE5707A" w14:textId="77777777" w:rsidR="0010662B" w:rsidRPr="00DE59D0" w:rsidRDefault="0010662B" w:rsidP="0010662B">
      <w:pPr>
        <w:pStyle w:val="Textonotapie"/>
        <w:ind w:firstLine="709"/>
        <w:jc w:val="both"/>
        <w:rPr>
          <w:rFonts w:ascii="Verdana" w:hAnsi="Verdana" w:cs="Arial"/>
          <w:sz w:val="10"/>
          <w:szCs w:val="10"/>
          <w:lang w:val="pt-BR"/>
        </w:rPr>
      </w:pPr>
    </w:p>
  </w:footnote>
  <w:footnote w:id="2">
    <w:p w14:paraId="6918CF9C" w14:textId="77777777" w:rsidR="0010662B" w:rsidRPr="00DE59D0" w:rsidRDefault="0010662B" w:rsidP="0010662B">
      <w:pPr>
        <w:pStyle w:val="Textonotapie"/>
        <w:ind w:firstLine="709"/>
        <w:jc w:val="both"/>
        <w:rPr>
          <w:rFonts w:ascii="Verdana" w:hAnsi="Verdana" w:cs="Arial"/>
          <w:sz w:val="10"/>
          <w:szCs w:val="10"/>
          <w:lang w:val="pt-BR"/>
        </w:rPr>
      </w:pPr>
      <w:r w:rsidRPr="00DE59D0">
        <w:rPr>
          <w:rStyle w:val="Refdenotaalpie"/>
          <w:rFonts w:ascii="Verdana" w:hAnsi="Verdana" w:cs="Arial"/>
          <w:sz w:val="10"/>
          <w:szCs w:val="10"/>
        </w:rPr>
        <w:footnoteRef/>
      </w:r>
      <w:r w:rsidRPr="00DE59D0">
        <w:rPr>
          <w:rFonts w:ascii="Verdana" w:hAnsi="Verdana" w:cs="Arial"/>
          <w:sz w:val="10"/>
          <w:szCs w:val="10"/>
        </w:rPr>
        <w:t xml:space="preserve"> CONSEJO DE ESTADO. Sección Tercera. Subsección A. Sentencia del 13 de noviembre de 2013. </w:t>
      </w:r>
      <w:r w:rsidRPr="00DE59D0">
        <w:rPr>
          <w:rFonts w:ascii="Verdana" w:hAnsi="Verdana" w:cs="Arial"/>
          <w:sz w:val="10"/>
          <w:szCs w:val="10"/>
          <w:lang w:val="pt-BR"/>
        </w:rPr>
        <w:t xml:space="preserve">Rad. 25.646. C.P. Mauricio Fajardo Gómez.  </w:t>
      </w:r>
    </w:p>
    <w:p w14:paraId="77E184F6" w14:textId="77777777" w:rsidR="0010662B" w:rsidRPr="00DE59D0" w:rsidRDefault="0010662B" w:rsidP="0010662B">
      <w:pPr>
        <w:pStyle w:val="Textonotapie"/>
        <w:ind w:firstLine="709"/>
        <w:jc w:val="both"/>
        <w:rPr>
          <w:rFonts w:ascii="Verdana" w:hAnsi="Verdana" w:cs="Arial"/>
          <w:sz w:val="10"/>
          <w:szCs w:val="10"/>
          <w:lang w:val="pt-BR"/>
        </w:rPr>
      </w:pPr>
    </w:p>
  </w:footnote>
  <w:footnote w:id="3">
    <w:p w14:paraId="21B6C3C9" w14:textId="77777777" w:rsidR="0010662B" w:rsidRPr="00DE59D0" w:rsidRDefault="0010662B" w:rsidP="0010662B">
      <w:pPr>
        <w:pStyle w:val="Textonotapie"/>
        <w:ind w:firstLine="709"/>
        <w:jc w:val="both"/>
        <w:rPr>
          <w:rFonts w:ascii="Verdana" w:hAnsi="Verdana" w:cs="Arial"/>
          <w:sz w:val="10"/>
          <w:szCs w:val="10"/>
          <w:lang w:val="pt-BR"/>
        </w:rPr>
      </w:pPr>
      <w:r w:rsidRPr="00DE59D0">
        <w:rPr>
          <w:rFonts w:ascii="Verdana" w:hAnsi="Verdana" w:cs="Arial"/>
          <w:sz w:val="10"/>
          <w:szCs w:val="10"/>
          <w:vertAlign w:val="superscript"/>
        </w:rPr>
        <w:footnoteRef/>
      </w:r>
      <w:r w:rsidRPr="00DE59D0">
        <w:rPr>
          <w:rFonts w:ascii="Verdana" w:hAnsi="Verdana" w:cs="Arial"/>
          <w:sz w:val="10"/>
          <w:szCs w:val="10"/>
          <w:lang w:val="pt-BR"/>
        </w:rPr>
        <w:t xml:space="preserve"> CORTE CONSTITUCIONAL. Sentencia C-415 de 1994. M.P. Eduardo Cifuentes Muñoz. </w:t>
      </w:r>
    </w:p>
    <w:p w14:paraId="7B81B794" w14:textId="77777777" w:rsidR="0010662B" w:rsidRPr="00DE59D0" w:rsidRDefault="0010662B" w:rsidP="0010662B">
      <w:pPr>
        <w:pStyle w:val="Textonotapie"/>
        <w:ind w:firstLine="709"/>
        <w:jc w:val="both"/>
        <w:rPr>
          <w:rFonts w:ascii="Verdana" w:hAnsi="Verdana" w:cs="Arial"/>
          <w:sz w:val="10"/>
          <w:szCs w:val="10"/>
          <w:lang w:val="pt-BR"/>
        </w:rPr>
      </w:pPr>
    </w:p>
  </w:footnote>
  <w:footnote w:id="4">
    <w:p w14:paraId="3A6CA67F" w14:textId="77777777" w:rsidR="0010662B" w:rsidRPr="00DE59D0" w:rsidRDefault="0010662B" w:rsidP="0010662B">
      <w:pPr>
        <w:pStyle w:val="Textonotapie"/>
        <w:ind w:firstLine="709"/>
        <w:jc w:val="both"/>
        <w:rPr>
          <w:rFonts w:ascii="Verdana" w:hAnsi="Verdana" w:cs="Arial"/>
          <w:sz w:val="10"/>
          <w:szCs w:val="10"/>
          <w:lang w:val="pt-BR"/>
        </w:rPr>
      </w:pPr>
      <w:r w:rsidRPr="00DE59D0">
        <w:rPr>
          <w:rStyle w:val="Refdenotaalpie"/>
          <w:rFonts w:ascii="Verdana" w:hAnsi="Verdana" w:cs="Arial"/>
          <w:sz w:val="10"/>
          <w:szCs w:val="10"/>
        </w:rPr>
        <w:footnoteRef/>
      </w:r>
      <w:r w:rsidRPr="00DE59D0">
        <w:rPr>
          <w:rFonts w:ascii="Verdana" w:hAnsi="Verdana" w:cs="Arial"/>
          <w:sz w:val="10"/>
          <w:szCs w:val="10"/>
          <w:lang w:val="pt-BR"/>
        </w:rPr>
        <w:t xml:space="preserve"> Ibídem. </w:t>
      </w:r>
    </w:p>
    <w:p w14:paraId="753C282E" w14:textId="77777777" w:rsidR="0010662B" w:rsidRPr="00DE59D0" w:rsidRDefault="0010662B" w:rsidP="0010662B">
      <w:pPr>
        <w:pStyle w:val="Textonotapie"/>
        <w:ind w:firstLine="709"/>
        <w:jc w:val="both"/>
        <w:rPr>
          <w:rFonts w:ascii="Verdana" w:hAnsi="Verdana" w:cs="Arial"/>
          <w:sz w:val="10"/>
          <w:szCs w:val="10"/>
          <w:lang w:val="pt-BR"/>
        </w:rPr>
      </w:pPr>
    </w:p>
  </w:footnote>
  <w:footnote w:id="5">
    <w:p w14:paraId="1FDE68F2" w14:textId="77777777" w:rsidR="0010662B" w:rsidRPr="00DE59D0" w:rsidRDefault="0010662B" w:rsidP="0010662B">
      <w:pPr>
        <w:pStyle w:val="Textonotapie"/>
        <w:ind w:firstLine="709"/>
        <w:jc w:val="both"/>
        <w:rPr>
          <w:rFonts w:ascii="Verdana" w:hAnsi="Verdana" w:cs="Arial"/>
          <w:sz w:val="10"/>
          <w:szCs w:val="10"/>
        </w:rPr>
      </w:pPr>
      <w:r w:rsidRPr="00DE59D0">
        <w:rPr>
          <w:rStyle w:val="Refdenotaalpie"/>
          <w:rFonts w:ascii="Verdana" w:hAnsi="Verdana" w:cs="Arial"/>
          <w:sz w:val="10"/>
          <w:szCs w:val="10"/>
        </w:rPr>
        <w:footnoteRef/>
      </w:r>
      <w:r w:rsidRPr="00DE59D0">
        <w:rPr>
          <w:rFonts w:ascii="Verdana" w:hAnsi="Verdana" w:cs="Arial"/>
          <w:sz w:val="10"/>
          <w:szCs w:val="10"/>
          <w:lang w:val="pt-BR"/>
        </w:rPr>
        <w:t xml:space="preserve"> CORTE CONSTITUCIONAL. </w:t>
      </w:r>
      <w:r w:rsidRPr="00DE59D0">
        <w:rPr>
          <w:rFonts w:ascii="Verdana" w:hAnsi="Verdana" w:cs="Arial"/>
          <w:sz w:val="10"/>
          <w:szCs w:val="10"/>
        </w:rPr>
        <w:t xml:space="preserve">Sentencia C-780 de 2001. M.P. Jaime Córdoba Triviño. </w:t>
      </w:r>
    </w:p>
    <w:p w14:paraId="326CC5AF" w14:textId="77777777" w:rsidR="0010662B" w:rsidRPr="00DE59D0" w:rsidRDefault="0010662B" w:rsidP="0010662B">
      <w:pPr>
        <w:pStyle w:val="Textonotapie"/>
        <w:ind w:firstLine="709"/>
        <w:jc w:val="both"/>
        <w:rPr>
          <w:rFonts w:ascii="Verdana" w:hAnsi="Verdana" w:cs="Arial"/>
          <w:sz w:val="10"/>
          <w:szCs w:val="10"/>
        </w:rPr>
      </w:pPr>
    </w:p>
  </w:footnote>
  <w:footnote w:id="6">
    <w:p w14:paraId="11E8A624"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Style w:val="Refdenotaalpie"/>
          <w:rFonts w:ascii="Verdana" w:eastAsiaTheme="majorEastAsia" w:hAnsi="Verdana" w:cs="Arial"/>
          <w:sz w:val="10"/>
          <w:szCs w:val="10"/>
        </w:rPr>
        <w:footnoteRef/>
      </w:r>
      <w:r w:rsidRPr="00DE59D0">
        <w:rPr>
          <w:rFonts w:ascii="Verdana" w:hAnsi="Verdana" w:cs="Arial"/>
          <w:sz w:val="10"/>
          <w:szCs w:val="10"/>
        </w:rPr>
        <w:t xml:space="preserve"> </w:t>
      </w:r>
      <w:r w:rsidRPr="00DE59D0">
        <w:rPr>
          <w:rFonts w:ascii="Verdana" w:eastAsiaTheme="minorHAnsi" w:hAnsi="Verdana" w:cs="Arial"/>
          <w:sz w:val="10"/>
          <w:szCs w:val="10"/>
          <w:lang w:val="es-ES" w:eastAsia="en-US"/>
        </w:rPr>
        <w:t>Ley 80 de 1993: “Artículo 8: 1o. Son inhábiles para participar en licitaciones o concursos y para celebrar contratos con las entidades estatales: </w:t>
      </w:r>
    </w:p>
    <w:p w14:paraId="253A6535"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a) Las personas que se hallen inhabilitadas para contratar por la Constitución y las leyes. </w:t>
      </w:r>
    </w:p>
    <w:p w14:paraId="4C496996"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b) Quienes participaron en las licitaciones o concursos o celebraron los contratos de que trata el literal anterior estando inhabilitados. </w:t>
      </w:r>
    </w:p>
    <w:p w14:paraId="37647656"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c) Quienes dieron lugar a la declaratoria de caducidad. </w:t>
      </w:r>
    </w:p>
    <w:p w14:paraId="241C88BA"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d) Quienes en sentencia judicial hayan sido condenados a la pena accesoria de interdicción de derechos y funciones públicas y quienes hayan sido sancionados disciplinariamente con destitución. </w:t>
      </w:r>
    </w:p>
    <w:p w14:paraId="75B605FC"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e) Quienes sin justa causa se abstengan de suscribir el contrato estatal adjudicado. </w:t>
      </w:r>
    </w:p>
    <w:p w14:paraId="63107A26"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f) Los servidores públicos. </w:t>
      </w:r>
    </w:p>
    <w:p w14:paraId="0A2AE956"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2B464071"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4122EB5E"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i) Los socios de sociedades de personas a las cuales se haya declarado la caducidad, así como las sociedades de personas de las que aquellos formen parte con posterioridad a dicha declaratoria. </w:t>
      </w:r>
    </w:p>
    <w:p w14:paraId="73AC5774"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35A3E2F8"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6B47183C"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DE59D0">
        <w:rPr>
          <w:rFonts w:ascii="Verdana" w:eastAsiaTheme="minorHAnsi" w:hAnsi="Verdana" w:cs="Arial"/>
          <w:sz w:val="10"/>
          <w:szCs w:val="10"/>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DE59D0">
        <w:rPr>
          <w:rFonts w:ascii="Verdana" w:eastAsiaTheme="minorHAnsi" w:hAnsi="Verdana" w:cs="Arial"/>
          <w:sz w:val="10"/>
          <w:szCs w:val="10"/>
          <w:lang w:val="es-ES" w:eastAsia="en-US"/>
        </w:rPr>
        <w:softHyphen/>
        <w:t>cepción de las sociedades anónimas abiertas. También se considerarán inhabilitadas para contratar, las personas jurídicas sobre las cuales se haya ordenado la suspensión de la perso</w:t>
      </w:r>
      <w:r w:rsidRPr="00DE59D0">
        <w:rPr>
          <w:rFonts w:ascii="Verdana" w:eastAsiaTheme="minorHAnsi" w:hAnsi="Verdana" w:cs="Arial"/>
          <w:sz w:val="10"/>
          <w:szCs w:val="10"/>
          <w:lang w:val="es-ES" w:eastAsia="en-US"/>
        </w:rPr>
        <w:softHyphen/>
        <w:t>nería jurídica en los términos de ley, o cuyos representantes legales, ad</w:t>
      </w:r>
      <w:r w:rsidRPr="00DE59D0">
        <w:rPr>
          <w:rFonts w:ascii="Verdana" w:eastAsiaTheme="minorHAnsi" w:hAnsi="Verdana" w:cs="Arial"/>
          <w:sz w:val="10"/>
          <w:szCs w:val="10"/>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DE59D0">
        <w:rPr>
          <w:rFonts w:ascii="Verdana" w:eastAsiaTheme="minorHAnsi" w:hAnsi="Verdana" w:cs="Arial"/>
          <w:sz w:val="10"/>
          <w:szCs w:val="10"/>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2179B554"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w:t>
      </w:r>
    </w:p>
    <w:p w14:paraId="552E10FC"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2o. Tampoco podrán participar en licitaciones o concursos ni celebrar contratos estatales con la entidad respectiva: </w:t>
      </w:r>
    </w:p>
    <w:p w14:paraId="634E7999"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549BCB8E"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77DCF2C8"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c) El cónyuge, compañero o compañera permanente del servidor público en los niveles directivo, asesor, ejecutivo, o de un miembro de la junta o consejo directivo, o de quien ejerza funciones de control interno o de control fiscal. </w:t>
      </w:r>
    </w:p>
    <w:p w14:paraId="725AC795"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1FA792BF"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e) Los miembros de las juntas o consejos directivos. Esta incompatibilidad sólo se predica respecto de la entidad a la cual prestan sus servicios y de las del sector administrativo al que la misma esté adscrita o vinculada. </w:t>
      </w:r>
    </w:p>
    <w:p w14:paraId="7AB56759"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w:t>
      </w:r>
    </w:p>
    <w:p w14:paraId="1C4AC9DB" w14:textId="77777777" w:rsidR="0010662B" w:rsidRPr="00DE59D0" w:rsidRDefault="0010662B" w:rsidP="0010662B">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 xml:space="preserve">[…]”. </w:t>
      </w:r>
    </w:p>
  </w:footnote>
  <w:footnote w:id="7">
    <w:p w14:paraId="7C2E883C" w14:textId="77777777" w:rsidR="0010662B" w:rsidRDefault="0010662B" w:rsidP="0010662B">
      <w:pPr>
        <w:pStyle w:val="Textonotapie"/>
        <w:ind w:firstLine="709"/>
        <w:jc w:val="both"/>
        <w:rPr>
          <w:rFonts w:ascii="Verdana" w:hAnsi="Verdana" w:cs="Arial"/>
          <w:sz w:val="10"/>
          <w:szCs w:val="10"/>
          <w:lang w:val="es-ES"/>
        </w:rPr>
      </w:pPr>
      <w:r w:rsidRPr="00DE59D0">
        <w:rPr>
          <w:rStyle w:val="Refdenotaalpie"/>
          <w:rFonts w:ascii="Verdana" w:hAnsi="Verdana" w:cs="Arial"/>
          <w:sz w:val="10"/>
          <w:szCs w:val="10"/>
        </w:rPr>
        <w:footnoteRef/>
      </w:r>
      <w:r w:rsidRPr="00DE59D0">
        <w:rPr>
          <w:rFonts w:ascii="Verdana" w:hAnsi="Verdana" w:cs="Arial"/>
          <w:sz w:val="10"/>
          <w:szCs w:val="10"/>
        </w:rPr>
        <w:t xml:space="preserve"> DÁVILA VINUEZA, Luis Guillermo. </w:t>
      </w:r>
      <w:r w:rsidRPr="00DE59D0">
        <w:rPr>
          <w:rFonts w:ascii="Verdana" w:hAnsi="Verdana" w:cs="Arial"/>
          <w:sz w:val="10"/>
          <w:szCs w:val="10"/>
          <w:lang w:val="es-ES"/>
        </w:rPr>
        <w:t xml:space="preserve">Régimen Jurídico De La Contratación Estatal. Recuperado de https://xperta.legis.co, Capítulo VI Inhabilidades e Incompatibilidades, Sección 2 Interpretación Restrictiva. </w:t>
      </w:r>
    </w:p>
    <w:p w14:paraId="202D500C" w14:textId="77777777" w:rsidR="0010662B" w:rsidRPr="00DE59D0" w:rsidRDefault="0010662B" w:rsidP="0010662B">
      <w:pPr>
        <w:pStyle w:val="Textonotapie"/>
        <w:ind w:firstLine="709"/>
        <w:jc w:val="both"/>
        <w:rPr>
          <w:rFonts w:ascii="Verdana" w:hAnsi="Verdana" w:cs="Arial"/>
          <w:sz w:val="10"/>
          <w:szCs w:val="10"/>
          <w:lang w:val="es-ES"/>
        </w:rPr>
      </w:pPr>
    </w:p>
  </w:footnote>
  <w:footnote w:id="8">
    <w:p w14:paraId="0564A5B8" w14:textId="77777777" w:rsidR="0010662B" w:rsidRPr="00DE59D0" w:rsidRDefault="0010662B" w:rsidP="0010662B">
      <w:pPr>
        <w:pStyle w:val="Textonotapie"/>
        <w:ind w:firstLine="709"/>
        <w:jc w:val="both"/>
        <w:rPr>
          <w:rFonts w:ascii="Verdana" w:hAnsi="Verdana" w:cs="Arial"/>
          <w:sz w:val="10"/>
          <w:szCs w:val="10"/>
          <w:lang w:val="es-ES"/>
        </w:rPr>
      </w:pPr>
      <w:r w:rsidRPr="00DE59D0">
        <w:rPr>
          <w:rStyle w:val="Refdenotaalpie"/>
          <w:rFonts w:ascii="Verdana" w:hAnsi="Verdana" w:cs="Arial"/>
          <w:sz w:val="10"/>
          <w:szCs w:val="10"/>
        </w:rPr>
        <w:footnoteRef/>
      </w:r>
      <w:r w:rsidRPr="00DE59D0">
        <w:rPr>
          <w:rFonts w:ascii="Verdana" w:hAnsi="Verdana" w:cs="Arial"/>
          <w:sz w:val="10"/>
          <w:szCs w:val="10"/>
        </w:rPr>
        <w:t xml:space="preserve"> </w:t>
      </w:r>
      <w:r w:rsidRPr="00DE59D0">
        <w:rPr>
          <w:rFonts w:ascii="Verdana" w:hAnsi="Verdana" w:cs="Arial"/>
          <w:sz w:val="10"/>
          <w:szCs w:val="10"/>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013630A8" w14:textId="77777777" w:rsidR="0010662B" w:rsidRPr="00DE59D0" w:rsidRDefault="0010662B" w:rsidP="0010662B">
      <w:pPr>
        <w:pStyle w:val="Textonotapie"/>
        <w:ind w:firstLine="709"/>
        <w:jc w:val="both"/>
        <w:rPr>
          <w:rFonts w:ascii="Verdana" w:hAnsi="Verdana" w:cs="Arial"/>
          <w:sz w:val="10"/>
          <w:szCs w:val="10"/>
          <w:lang w:val="es-ES"/>
        </w:rPr>
      </w:pPr>
    </w:p>
  </w:footnote>
  <w:footnote w:id="9">
    <w:p w14:paraId="16F541F9" w14:textId="77777777" w:rsidR="0010662B" w:rsidRPr="00DE59D0" w:rsidRDefault="0010662B" w:rsidP="0010662B">
      <w:pPr>
        <w:pStyle w:val="Textonotapie"/>
        <w:ind w:firstLine="709"/>
        <w:jc w:val="both"/>
        <w:rPr>
          <w:rFonts w:ascii="Verdana" w:hAnsi="Verdana" w:cs="Arial"/>
          <w:sz w:val="10"/>
          <w:szCs w:val="10"/>
          <w:lang w:val="es-ES"/>
        </w:rPr>
      </w:pPr>
      <w:r w:rsidRPr="00DE59D0">
        <w:rPr>
          <w:rStyle w:val="Refdenotaalpie"/>
          <w:rFonts w:ascii="Verdana" w:hAnsi="Verdana" w:cs="Arial"/>
          <w:sz w:val="10"/>
          <w:szCs w:val="10"/>
        </w:rPr>
        <w:footnoteRef/>
      </w:r>
      <w:r w:rsidRPr="00DE59D0">
        <w:rPr>
          <w:rFonts w:ascii="Verdana" w:hAnsi="Verdana" w:cs="Arial"/>
          <w:sz w:val="10"/>
          <w:szCs w:val="10"/>
        </w:rPr>
        <w:t xml:space="preserve"> </w:t>
      </w:r>
      <w:r w:rsidRPr="00DE59D0">
        <w:rPr>
          <w:rFonts w:ascii="Verdana" w:hAnsi="Verdana" w:cs="Arial"/>
          <w:sz w:val="10"/>
          <w:szCs w:val="10"/>
          <w:lang w:val="es-ES"/>
        </w:rPr>
        <w:t>CONSEJO DE ESTADO. Sala de Consulta y Servicio Civil. Concepto del 30 de abril de 2015. Exp. 2251. Consejero Ponente: Álvaro Namén Vargas.</w:t>
      </w:r>
    </w:p>
    <w:p w14:paraId="59F0B5FD" w14:textId="77777777" w:rsidR="0010662B" w:rsidRPr="00DE59D0" w:rsidRDefault="0010662B" w:rsidP="0010662B">
      <w:pPr>
        <w:pStyle w:val="Textonotapie"/>
        <w:ind w:firstLine="709"/>
        <w:jc w:val="both"/>
        <w:rPr>
          <w:rFonts w:ascii="Verdana" w:hAnsi="Verdana" w:cs="Arial"/>
          <w:sz w:val="10"/>
          <w:szCs w:val="10"/>
          <w:lang w:val="es-ES"/>
        </w:rPr>
      </w:pPr>
    </w:p>
  </w:footnote>
  <w:footnote w:id="10">
    <w:p w14:paraId="028289A9" w14:textId="77777777" w:rsidR="0010662B" w:rsidRPr="00DE59D0" w:rsidRDefault="0010662B" w:rsidP="0010662B">
      <w:pPr>
        <w:pStyle w:val="Textonotapie"/>
        <w:ind w:firstLine="709"/>
        <w:jc w:val="both"/>
        <w:rPr>
          <w:rFonts w:ascii="Verdana" w:hAnsi="Verdana" w:cs="Arial"/>
          <w:sz w:val="10"/>
          <w:szCs w:val="10"/>
        </w:rPr>
      </w:pPr>
      <w:r w:rsidRPr="00DE59D0">
        <w:rPr>
          <w:rStyle w:val="Refdenotaalpie"/>
          <w:rFonts w:ascii="Verdana" w:hAnsi="Verdana" w:cs="Arial"/>
          <w:sz w:val="10"/>
          <w:szCs w:val="10"/>
        </w:rPr>
        <w:footnoteRef/>
      </w:r>
      <w:r w:rsidRPr="00DE59D0">
        <w:rPr>
          <w:rFonts w:ascii="Verdana" w:hAnsi="Verdana" w:cs="Arial"/>
          <w:sz w:val="10"/>
          <w:szCs w:val="10"/>
        </w:rPr>
        <w:t xml:space="preserve"> CONSEJO DE ESTADO. Sección Tercera. Subsección A. Sentencia del 24 de junio de 2015. Rad. 40.635. Consejero Ponente: Hernán Andrade Rincón (E).</w:t>
      </w:r>
    </w:p>
    <w:p w14:paraId="64E7D2FD" w14:textId="77777777" w:rsidR="0010662B" w:rsidRPr="00DE59D0" w:rsidRDefault="0010662B" w:rsidP="0010662B">
      <w:pPr>
        <w:pStyle w:val="Textonotapie"/>
        <w:ind w:firstLine="709"/>
        <w:jc w:val="both"/>
        <w:rPr>
          <w:rFonts w:ascii="Verdana" w:hAnsi="Verdana" w:cs="Arial"/>
          <w:sz w:val="10"/>
          <w:szCs w:val="10"/>
        </w:rPr>
      </w:pPr>
    </w:p>
  </w:footnote>
  <w:footnote w:id="11">
    <w:p w14:paraId="2C960F67" w14:textId="77777777" w:rsidR="0010662B" w:rsidRPr="00DE59D0" w:rsidRDefault="0010662B" w:rsidP="0010662B">
      <w:pPr>
        <w:pStyle w:val="Textonotapie"/>
        <w:ind w:firstLine="709"/>
        <w:jc w:val="both"/>
        <w:rPr>
          <w:rFonts w:ascii="Verdana" w:hAnsi="Verdana" w:cs="Arial"/>
          <w:sz w:val="10"/>
          <w:szCs w:val="10"/>
        </w:rPr>
      </w:pPr>
      <w:r w:rsidRPr="00DE59D0">
        <w:rPr>
          <w:rStyle w:val="Refdenotaalpie"/>
          <w:rFonts w:ascii="Verdana" w:hAnsi="Verdana" w:cs="Arial"/>
          <w:sz w:val="10"/>
          <w:szCs w:val="10"/>
        </w:rPr>
        <w:footnoteRef/>
      </w:r>
      <w:r w:rsidRPr="00DE59D0">
        <w:rPr>
          <w:rFonts w:ascii="Verdana" w:hAnsi="Verdana" w:cs="Arial"/>
          <w:sz w:val="10"/>
          <w:szCs w:val="10"/>
        </w:rPr>
        <w:t xml:space="preserve"> CONSEJO DE ESTADO. Sección Tercera. Subsección C. Sentencia del 22 de mayo de 2013. Rad. 24.057. Consejera Ponente: Olga Melida Valle De De La Hoz.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9A495" w14:textId="77777777" w:rsidR="00823324"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484322B" wp14:editId="7E8556F6">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C66162C" wp14:editId="536D8B1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F8BAA85" w14:textId="77777777" w:rsidR="00823324" w:rsidRDefault="00823324">
    <w:pPr>
      <w:pStyle w:val="Encabezado"/>
    </w:pPr>
  </w:p>
  <w:p w14:paraId="4C19613F" w14:textId="77777777" w:rsidR="00823324" w:rsidRDefault="00823324" w:rsidP="004A305D">
    <w:pPr>
      <w:spacing w:after="0"/>
      <w:rPr>
        <w:rFonts w:ascii="Verdana" w:hAnsi="Verdana"/>
        <w:b/>
        <w:bCs/>
      </w:rPr>
    </w:pPr>
  </w:p>
  <w:p w14:paraId="04B478D2" w14:textId="77777777" w:rsidR="00823324" w:rsidRPr="004A305D" w:rsidRDefault="00823324" w:rsidP="00B01B1A">
    <w:pPr>
      <w:spacing w:after="0" w:line="120" w:lineRule="auto"/>
      <w:rPr>
        <w:rFonts w:ascii="Century Gothic" w:eastAsia="Geo" w:hAnsi="Century Gothic" w:cs="Geo"/>
        <w:sz w:val="16"/>
        <w:szCs w:val="16"/>
        <w:lang w:eastAsia="es-CO"/>
      </w:rPr>
    </w:pPr>
  </w:p>
  <w:p w14:paraId="1A8BB5FB" w14:textId="77777777" w:rsidR="00823324" w:rsidRDefault="00823324"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A66549"/>
    <w:multiLevelType w:val="hybridMultilevel"/>
    <w:tmpl w:val="E5F205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3917235"/>
    <w:multiLevelType w:val="hybridMultilevel"/>
    <w:tmpl w:val="77BCC2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82E5D0B"/>
    <w:multiLevelType w:val="hybridMultilevel"/>
    <w:tmpl w:val="69CE72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9089576">
    <w:abstractNumId w:val="2"/>
  </w:num>
  <w:num w:numId="2" w16cid:durableId="803348058">
    <w:abstractNumId w:val="0"/>
  </w:num>
  <w:num w:numId="3" w16cid:durableId="585380331">
    <w:abstractNumId w:val="1"/>
  </w:num>
  <w:num w:numId="4" w16cid:durableId="18459769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62B"/>
    <w:rsid w:val="0010662B"/>
    <w:rsid w:val="001E4077"/>
    <w:rsid w:val="00280569"/>
    <w:rsid w:val="003E2F45"/>
    <w:rsid w:val="00474DF4"/>
    <w:rsid w:val="004F471F"/>
    <w:rsid w:val="00743CCC"/>
    <w:rsid w:val="00823324"/>
    <w:rsid w:val="00C24FFE"/>
    <w:rsid w:val="00DA0CE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B6DB9"/>
  <w15:chartTrackingRefBased/>
  <w15:docId w15:val="{6C0E470B-7504-4D40-BBD3-E21ED057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62B"/>
    <w:rPr>
      <w:kern w:val="0"/>
      <w14:ligatures w14:val="none"/>
    </w:rPr>
  </w:style>
  <w:style w:type="paragraph" w:styleId="Ttulo1">
    <w:name w:val="heading 1"/>
    <w:basedOn w:val="Normal"/>
    <w:next w:val="Normal"/>
    <w:link w:val="Ttulo1Car"/>
    <w:uiPriority w:val="9"/>
    <w:qFormat/>
    <w:rsid w:val="001066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066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0662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0662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0662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0662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662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662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662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0662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0662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0662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0662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0662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0662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662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662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662B"/>
    <w:rPr>
      <w:rFonts w:eastAsiaTheme="majorEastAsia" w:cstheme="majorBidi"/>
      <w:color w:val="272727" w:themeColor="text1" w:themeTint="D8"/>
    </w:rPr>
  </w:style>
  <w:style w:type="paragraph" w:styleId="Ttulo">
    <w:name w:val="Title"/>
    <w:basedOn w:val="Normal"/>
    <w:next w:val="Normal"/>
    <w:link w:val="TtuloCar"/>
    <w:uiPriority w:val="10"/>
    <w:qFormat/>
    <w:rsid w:val="00106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662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662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662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662B"/>
    <w:pPr>
      <w:spacing w:before="160"/>
      <w:jc w:val="center"/>
    </w:pPr>
    <w:rPr>
      <w:i/>
      <w:iCs/>
      <w:color w:val="404040" w:themeColor="text1" w:themeTint="BF"/>
    </w:rPr>
  </w:style>
  <w:style w:type="character" w:customStyle="1" w:styleId="CitaCar">
    <w:name w:val="Cita Car"/>
    <w:basedOn w:val="Fuentedeprrafopredeter"/>
    <w:link w:val="Cita"/>
    <w:uiPriority w:val="29"/>
    <w:rsid w:val="0010662B"/>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0662B"/>
    <w:pPr>
      <w:ind w:left="720"/>
      <w:contextualSpacing/>
    </w:pPr>
  </w:style>
  <w:style w:type="character" w:styleId="nfasisintenso">
    <w:name w:val="Intense Emphasis"/>
    <w:basedOn w:val="Fuentedeprrafopredeter"/>
    <w:uiPriority w:val="21"/>
    <w:qFormat/>
    <w:rsid w:val="0010662B"/>
    <w:rPr>
      <w:i/>
      <w:iCs/>
      <w:color w:val="2F5496" w:themeColor="accent1" w:themeShade="BF"/>
    </w:rPr>
  </w:style>
  <w:style w:type="paragraph" w:styleId="Citadestacada">
    <w:name w:val="Intense Quote"/>
    <w:basedOn w:val="Normal"/>
    <w:next w:val="Normal"/>
    <w:link w:val="CitadestacadaCar"/>
    <w:uiPriority w:val="30"/>
    <w:qFormat/>
    <w:rsid w:val="001066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0662B"/>
    <w:rPr>
      <w:i/>
      <w:iCs/>
      <w:color w:val="2F5496" w:themeColor="accent1" w:themeShade="BF"/>
    </w:rPr>
  </w:style>
  <w:style w:type="character" w:styleId="Referenciaintensa">
    <w:name w:val="Intense Reference"/>
    <w:basedOn w:val="Fuentedeprrafopredeter"/>
    <w:uiPriority w:val="32"/>
    <w:qFormat/>
    <w:rsid w:val="0010662B"/>
    <w:rPr>
      <w:b/>
      <w:bCs/>
      <w:smallCaps/>
      <w:color w:val="2F5496" w:themeColor="accent1" w:themeShade="BF"/>
      <w:spacing w:val="5"/>
    </w:rPr>
  </w:style>
  <w:style w:type="paragraph" w:styleId="Encabezado">
    <w:name w:val="header"/>
    <w:basedOn w:val="Normal"/>
    <w:link w:val="EncabezadoCar"/>
    <w:uiPriority w:val="99"/>
    <w:unhideWhenUsed/>
    <w:rsid w:val="0010662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0662B"/>
    <w:rPr>
      <w:kern w:val="0"/>
      <w14:ligatures w14:val="none"/>
    </w:rPr>
  </w:style>
  <w:style w:type="paragraph" w:styleId="Piedepgina">
    <w:name w:val="footer"/>
    <w:basedOn w:val="Normal"/>
    <w:link w:val="PiedepginaCar"/>
    <w:uiPriority w:val="99"/>
    <w:unhideWhenUsed/>
    <w:rsid w:val="001066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0662B"/>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0662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0662B"/>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0662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0662B"/>
    <w:rPr>
      <w:vertAlign w:val="superscript"/>
    </w:rPr>
  </w:style>
  <w:style w:type="character" w:customStyle="1" w:styleId="normaltextrun">
    <w:name w:val="normaltextrun"/>
    <w:basedOn w:val="Fuentedeprrafopredeter"/>
    <w:rsid w:val="0010662B"/>
  </w:style>
  <w:style w:type="table" w:styleId="Tablaconcuadrcula">
    <w:name w:val="Table Grid"/>
    <w:basedOn w:val="Tablanormal"/>
    <w:uiPriority w:val="39"/>
    <w:qFormat/>
    <w:rsid w:val="0010662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0662B"/>
    <w:rPr>
      <w:color w:val="0000FF"/>
      <w:u w:val="single"/>
    </w:rPr>
  </w:style>
  <w:style w:type="paragraph" w:styleId="NormalWeb">
    <w:name w:val="Normal (Web)"/>
    <w:basedOn w:val="Normal"/>
    <w:uiPriority w:val="99"/>
    <w:unhideWhenUsed/>
    <w:rsid w:val="0010662B"/>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10662B"/>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0662B"/>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0662B"/>
  </w:style>
  <w:style w:type="paragraph" w:styleId="Sinespaciado">
    <w:name w:val="No Spacing"/>
    <w:aliases w:val="No Indent"/>
    <w:uiPriority w:val="3"/>
    <w:qFormat/>
    <w:rsid w:val="0010662B"/>
    <w:pPr>
      <w:spacing w:after="0" w:line="240" w:lineRule="auto"/>
    </w:pPr>
    <w:rPr>
      <w:kern w:val="0"/>
      <w:sz w:val="24"/>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stavopatarroyo@hotmail.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am02.safelinks.protection.outlook.com/?url=https%3A%2F%2Fwww.colombiacompra.gov.co%2Fsala-de-prensa%2Fboletin-digital&amp;data=05%7C02%7Csergio.caballero%40colombiacompra.gov.co%7C096eca3fdcca424ff1c708dcf932f947%7C7b09041e245149d08cb179d5e3d8c1be%7C0%7C0%7C638659244551705873%7CUnknown%7CTWFpbGZsb3d8eyJWIjoiMC4wLjAwMDAiLCJQIjoiV2luMzIiLCJBTiI6Ik1haWwiLCJXVCI6Mn0%3D%7C0%7C%7C%7C&amp;sdata=cyQ7xR9K7bpbeICUhmOYSIWRL%2BWLAHN8bOjZ2NaPqPk%3D&amp;reserved=0" TargetMode="External"/><Relationship Id="rId4" Type="http://schemas.openxmlformats.org/officeDocument/2006/relationships/webSettings" Target="webSettings.xml"/><Relationship Id="rId9" Type="http://schemas.openxmlformats.org/officeDocument/2006/relationships/hyperlink" Target="https://relatoria.colombiacompra.gov.c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253A11-BC68-4F05-AA4C-913FD67E28DE}"/>
</file>

<file path=customXml/itemProps2.xml><?xml version="1.0" encoding="utf-8"?>
<ds:datastoreItem xmlns:ds="http://schemas.openxmlformats.org/officeDocument/2006/customXml" ds:itemID="{8937006C-D9AC-4398-AA56-26F38C4F58E8}"/>
</file>

<file path=customXml/itemProps3.xml><?xml version="1.0" encoding="utf-8"?>
<ds:datastoreItem xmlns:ds="http://schemas.openxmlformats.org/officeDocument/2006/customXml" ds:itemID="{BDE3C505-0379-4261-9233-90822B7A0E51}"/>
</file>

<file path=docProps/app.xml><?xml version="1.0" encoding="utf-8"?>
<Properties xmlns="http://schemas.openxmlformats.org/officeDocument/2006/extended-properties" xmlns:vt="http://schemas.openxmlformats.org/officeDocument/2006/docPropsVTypes">
  <Template>Normal</Template>
  <TotalTime>2</TotalTime>
  <Pages>17</Pages>
  <Words>5130</Words>
  <Characters>28217</Characters>
  <Application>Microsoft Office Word</Application>
  <DocSecurity>0</DocSecurity>
  <Lines>235</Lines>
  <Paragraphs>66</Paragraphs>
  <ScaleCrop>false</ScaleCrop>
  <Company/>
  <LinksUpToDate>false</LinksUpToDate>
  <CharactersWithSpaces>33281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2024-11-19T23:52:00Z</dcterms:created>
  <dcterms:modified xsi:type="dcterms:W3CDTF">2024-11-21T16:23:00Z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