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3D27E" w14:textId="24B2DEC5" w:rsidR="00EC7FDD" w:rsidRPr="004E4581" w:rsidRDefault="00EC7FDD" w:rsidP="00964D6E">
      <w:pPr>
        <w:rPr>
          <w:rFonts w:ascii="Arial" w:hAnsi="Arial" w:cs="Arial"/>
          <w:bCs/>
          <w:color w:val="000000" w:themeColor="text1"/>
          <w:sz w:val="20"/>
          <w:szCs w:val="20"/>
          <w:lang w:val="es-ES_tradnl" w:eastAsia="es-ES"/>
        </w:rPr>
      </w:pPr>
      <w:bookmarkStart w:id="0" w:name="_Hlk28946138"/>
      <w:bookmarkStart w:id="1" w:name="_Hlk29548183"/>
    </w:p>
    <w:p w14:paraId="346AE9F5" w14:textId="64AE21B0" w:rsidR="0030575F" w:rsidRPr="003C27C6" w:rsidRDefault="00B55C69" w:rsidP="0030575F">
      <w:pPr>
        <w:jc w:val="right"/>
        <w:rPr>
          <w:rFonts w:ascii="Arial" w:hAnsi="Arial" w:cs="Arial"/>
          <w:bCs/>
          <w:color w:val="000000" w:themeColor="text1"/>
          <w:sz w:val="20"/>
          <w:szCs w:val="20"/>
          <w:lang w:val="es-ES_tradnl" w:eastAsia="es-ES"/>
        </w:rPr>
      </w:pPr>
      <w:r w:rsidRPr="003C27C6">
        <w:rPr>
          <w:rFonts w:ascii="Arial" w:hAnsi="Arial" w:cs="Arial"/>
          <w:bCs/>
          <w:color w:val="000000" w:themeColor="text1"/>
          <w:sz w:val="20"/>
          <w:szCs w:val="20"/>
          <w:lang w:val="es-ES_tradnl" w:eastAsia="es-ES"/>
        </w:rPr>
        <w:t>CCE-DES-FM-17</w:t>
      </w:r>
      <w:bookmarkEnd w:id="0"/>
      <w:bookmarkEnd w:id="1"/>
    </w:p>
    <w:p w14:paraId="074F4325" w14:textId="77777777" w:rsidR="00EC7FDD" w:rsidRPr="003C27C6" w:rsidRDefault="00EC7FDD" w:rsidP="0030575F">
      <w:pPr>
        <w:jc w:val="right"/>
        <w:rPr>
          <w:rFonts w:ascii="Arial" w:eastAsia="Calibri" w:hAnsi="Arial" w:cs="Arial"/>
          <w:b/>
          <w:color w:val="000000" w:themeColor="text1"/>
          <w:sz w:val="20"/>
          <w:szCs w:val="20"/>
          <w:lang w:val="es-ES_tradnl"/>
        </w:rPr>
      </w:pPr>
    </w:p>
    <w:p w14:paraId="56156320" w14:textId="15C5C9FC" w:rsidR="003A231A" w:rsidRPr="003C27C6" w:rsidRDefault="003A231A" w:rsidP="00964D6E">
      <w:pPr>
        <w:contextualSpacing/>
        <w:jc w:val="both"/>
        <w:rPr>
          <w:rFonts w:ascii="Arial" w:eastAsia="Calibri" w:hAnsi="Arial" w:cs="Arial"/>
          <w:b/>
          <w:bCs/>
          <w:color w:val="000000" w:themeColor="text1"/>
          <w:sz w:val="22"/>
          <w:szCs w:val="22"/>
          <w:lang w:val="es-MX" w:eastAsia="en-US"/>
        </w:rPr>
      </w:pPr>
      <w:r w:rsidRPr="003C27C6">
        <w:rPr>
          <w:rFonts w:ascii="Arial" w:eastAsia="Calibri" w:hAnsi="Arial" w:cs="Arial"/>
          <w:b/>
          <w:bCs/>
          <w:color w:val="000000" w:themeColor="text1"/>
          <w:sz w:val="22"/>
          <w:szCs w:val="22"/>
          <w:lang w:val="es-MX" w:eastAsia="en-US"/>
        </w:rPr>
        <w:t>LEY DE GARANTÍAS ELECTORALES – Finalidad</w:t>
      </w:r>
    </w:p>
    <w:p w14:paraId="0D88A11D" w14:textId="77777777" w:rsidR="003A231A" w:rsidRPr="003C27C6" w:rsidRDefault="003A231A" w:rsidP="00964D6E">
      <w:pPr>
        <w:contextualSpacing/>
        <w:jc w:val="both"/>
        <w:rPr>
          <w:rFonts w:ascii="Arial" w:eastAsia="Calibri" w:hAnsi="Arial" w:cs="Arial"/>
          <w:color w:val="000000" w:themeColor="text1"/>
          <w:sz w:val="20"/>
          <w:szCs w:val="20"/>
          <w:lang w:val="es-MX" w:eastAsia="en-US"/>
        </w:rPr>
      </w:pPr>
    </w:p>
    <w:p w14:paraId="4D998AE2" w14:textId="77777777" w:rsidR="003A231A" w:rsidRPr="003C27C6" w:rsidRDefault="003A231A" w:rsidP="00964D6E">
      <w:pPr>
        <w:tabs>
          <w:tab w:val="left" w:pos="426"/>
        </w:tabs>
        <w:jc w:val="both"/>
        <w:rPr>
          <w:rFonts w:ascii="Arial" w:eastAsia="Calibri" w:hAnsi="Arial" w:cs="Arial"/>
          <w:bCs/>
          <w:color w:val="000000" w:themeColor="text1"/>
          <w:sz w:val="20"/>
          <w:szCs w:val="20"/>
        </w:rPr>
      </w:pPr>
      <w:r w:rsidRPr="003C27C6">
        <w:rPr>
          <w:rFonts w:ascii="Arial" w:hAnsi="Arial" w:cs="Arial"/>
          <w:bCs/>
          <w:color w:val="000000" w:themeColor="text1"/>
          <w:sz w:val="20"/>
          <w:szCs w:val="20"/>
          <w:lang w:eastAsia="es-CO"/>
        </w:rPr>
        <w:t xml:space="preserve">[…] la Ley 996 de 2005 </w:t>
      </w:r>
      <w:r w:rsidRPr="003C27C6">
        <w:rPr>
          <w:rFonts w:ascii="Arial" w:eastAsia="Calibri" w:hAnsi="Arial" w:cs="Arial"/>
          <w:b/>
          <w:bCs/>
          <w:color w:val="000000" w:themeColor="text1"/>
          <w:sz w:val="20"/>
          <w:szCs w:val="20"/>
          <w:lang w:eastAsia="en-US"/>
        </w:rPr>
        <w:t>«</w:t>
      </w:r>
      <w:r w:rsidRPr="003C27C6">
        <w:rPr>
          <w:rStyle w:val="Textoennegrita"/>
          <w:rFonts w:ascii="Arial" w:hAnsi="Arial" w:cs="Arial"/>
          <w:b w:val="0"/>
          <w:color w:val="000000" w:themeColor="text1"/>
          <w:sz w:val="20"/>
          <w:szCs w:val="20"/>
          <w:shd w:val="clear" w:color="auto" w:fill="FFFFFF"/>
        </w:rPr>
        <w:t xml:space="preserve">Por medio de la cual se reglamenta la elección de </w:t>
      </w:r>
      <w:proofErr w:type="gramStart"/>
      <w:r w:rsidRPr="003C27C6">
        <w:rPr>
          <w:rStyle w:val="Textoennegrita"/>
          <w:rFonts w:ascii="Arial" w:hAnsi="Arial" w:cs="Arial"/>
          <w:b w:val="0"/>
          <w:color w:val="000000" w:themeColor="text1"/>
          <w:sz w:val="20"/>
          <w:szCs w:val="20"/>
          <w:shd w:val="clear" w:color="auto" w:fill="FFFFFF"/>
        </w:rPr>
        <w:t>Presidente</w:t>
      </w:r>
      <w:proofErr w:type="gramEnd"/>
      <w:r w:rsidRPr="003C27C6">
        <w:rPr>
          <w:rStyle w:val="Textoennegrita"/>
          <w:rFonts w:ascii="Arial" w:hAnsi="Arial" w:cs="Arial"/>
          <w:b w:val="0"/>
          <w:color w:val="000000" w:themeColor="text1"/>
          <w:sz w:val="20"/>
          <w:szCs w:val="20"/>
          <w:shd w:val="clear" w:color="auto" w:fill="FFFFFF"/>
        </w:rPr>
        <w:t xml:space="preserve"> de la República, de conformidad con el artículo 152 literal f) de la Constitución Política de Colombia, y de acuerdo con lo establecido en el Acto Legislativo 02 de 2004, y se dictan otras disposiciones</w:t>
      </w:r>
      <w:r w:rsidRPr="003C27C6">
        <w:rPr>
          <w:rFonts w:ascii="Arial" w:eastAsia="Calibri" w:hAnsi="Arial" w:cs="Arial"/>
          <w:bCs/>
          <w:color w:val="000000" w:themeColor="text1"/>
          <w:sz w:val="20"/>
          <w:szCs w:val="20"/>
          <w:lang w:eastAsia="en-US"/>
        </w:rPr>
        <w:t>»,</w:t>
      </w:r>
      <w:r w:rsidRPr="003C27C6">
        <w:rPr>
          <w:rStyle w:val="Textoennegrita"/>
          <w:rFonts w:ascii="Arial" w:hAnsi="Arial" w:cs="Arial"/>
          <w:color w:val="000000" w:themeColor="text1"/>
          <w:sz w:val="20"/>
          <w:szCs w:val="20"/>
          <w:shd w:val="clear" w:color="auto" w:fill="FFFFFF"/>
        </w:rPr>
        <w:t xml:space="preserve"> </w:t>
      </w:r>
      <w:r w:rsidRPr="003C27C6">
        <w:rPr>
          <w:rFonts w:ascii="Arial" w:hAnsi="Arial" w:cs="Arial"/>
          <w:bCs/>
          <w:color w:val="000000" w:themeColor="text1"/>
          <w:sz w:val="20"/>
          <w:szCs w:val="20"/>
          <w:lang w:eastAsia="es-CO"/>
        </w:rPr>
        <w:t>se suma al andamiaje de orden constitucional y legal que se ocupa de evitar la injerencia de intereses particulares en el ejercicio de la función pública. Respecto a su finalidad, conforme a la Gaceta del Congreso de la República No. 71 del 2005, tiene como propósito evitar cualquier tipo de arbitrariedad, de ventaja injustificada, de uso irregular de los recursos del Estado en las campañas o falta de garantías en la elección presidencial, introduciendo limitaciones para realizar nombramientos, postulaciones, contrataciones o cualquier otro tipo de actividad que implique destinación de recursos públicos. Siguiendo esta línea, la Ley de Garantías Electorales establece el marco jurídico para el desarrollo de las elecciones, procurando condiciones de igualdad y transparencia para los aspirantes, al tiempo que se incluyen restricciones en el actuar de los servidores públicos, evitando interferencias en la contienda electoral, así como la posible desviación de recursos públicos en aspiraciones electorales. Incluso, varias de las disposiciones de la Ley 996 de 2005, al contener normas prohibitivas, no admiten una interpretación amplia, sino que deben interpretarse restrictivamente.</w:t>
      </w:r>
    </w:p>
    <w:p w14:paraId="1671E688" w14:textId="77777777" w:rsidR="003A231A" w:rsidRPr="003C27C6" w:rsidRDefault="003A231A" w:rsidP="00964D6E">
      <w:pPr>
        <w:tabs>
          <w:tab w:val="left" w:pos="426"/>
        </w:tabs>
        <w:jc w:val="both"/>
        <w:rPr>
          <w:rFonts w:ascii="Arial" w:eastAsia="Calibri" w:hAnsi="Arial" w:cs="Arial"/>
          <w:bCs/>
          <w:color w:val="000000" w:themeColor="text1"/>
          <w:sz w:val="20"/>
          <w:szCs w:val="20"/>
          <w:lang w:val="es-MX" w:eastAsia="en-US"/>
        </w:rPr>
      </w:pPr>
    </w:p>
    <w:p w14:paraId="2AA5AE7F" w14:textId="77777777" w:rsidR="003A231A" w:rsidRPr="003C27C6" w:rsidRDefault="003A231A" w:rsidP="00964D6E">
      <w:pPr>
        <w:tabs>
          <w:tab w:val="left" w:pos="426"/>
        </w:tabs>
        <w:jc w:val="both"/>
        <w:rPr>
          <w:rFonts w:ascii="Arial" w:eastAsia="Calibri" w:hAnsi="Arial" w:cs="Arial"/>
          <w:b/>
          <w:bCs/>
          <w:color w:val="000000" w:themeColor="text1"/>
          <w:sz w:val="22"/>
          <w:szCs w:val="22"/>
          <w:lang w:val="es-MX" w:eastAsia="en-US"/>
        </w:rPr>
      </w:pPr>
      <w:bookmarkStart w:id="2" w:name="_Hlk77152637"/>
      <w:bookmarkStart w:id="3" w:name="_Hlk77157066"/>
      <w:r w:rsidRPr="003C27C6">
        <w:rPr>
          <w:rFonts w:ascii="Arial" w:eastAsia="Calibri" w:hAnsi="Arial" w:cs="Arial"/>
          <w:b/>
          <w:bCs/>
          <w:color w:val="000000" w:themeColor="text1"/>
          <w:sz w:val="22"/>
          <w:szCs w:val="22"/>
          <w:lang w:val="es-MX" w:eastAsia="en-US"/>
        </w:rPr>
        <w:t>LEY DE GARANTÍAS ELECTORALES ‒</w:t>
      </w:r>
      <w:bookmarkEnd w:id="2"/>
      <w:r w:rsidRPr="003C27C6">
        <w:rPr>
          <w:rFonts w:ascii="Arial" w:eastAsia="Calibri" w:hAnsi="Arial" w:cs="Arial"/>
          <w:b/>
          <w:bCs/>
          <w:color w:val="000000" w:themeColor="text1"/>
          <w:sz w:val="22"/>
          <w:szCs w:val="22"/>
          <w:lang w:val="es-MX" w:eastAsia="en-US"/>
        </w:rPr>
        <w:t xml:space="preserve"> Restricciones </w:t>
      </w:r>
      <w:bookmarkStart w:id="4" w:name="_Hlk77157034"/>
      <w:r w:rsidRPr="003C27C6">
        <w:rPr>
          <w:rFonts w:ascii="Arial" w:eastAsia="Calibri" w:hAnsi="Arial" w:cs="Arial"/>
          <w:b/>
          <w:bCs/>
          <w:color w:val="000000" w:themeColor="text1"/>
          <w:sz w:val="22"/>
          <w:szCs w:val="22"/>
          <w:lang w:val="es-MX" w:eastAsia="en-US"/>
        </w:rPr>
        <w:t xml:space="preserve">‒ </w:t>
      </w:r>
      <w:bookmarkEnd w:id="4"/>
      <w:r w:rsidRPr="003C27C6">
        <w:rPr>
          <w:rFonts w:ascii="Arial" w:eastAsia="Calibri" w:hAnsi="Arial" w:cs="Arial"/>
          <w:b/>
          <w:bCs/>
          <w:color w:val="000000" w:themeColor="text1"/>
          <w:sz w:val="22"/>
          <w:szCs w:val="22"/>
          <w:lang w:val="es-MX" w:eastAsia="en-US"/>
        </w:rPr>
        <w:t>Contratación</w:t>
      </w:r>
      <w:bookmarkStart w:id="5" w:name="_Hlk77153098"/>
      <w:r w:rsidRPr="003C27C6">
        <w:rPr>
          <w:rFonts w:ascii="Arial" w:eastAsia="Calibri" w:hAnsi="Arial" w:cs="Arial"/>
          <w:b/>
          <w:bCs/>
          <w:color w:val="000000" w:themeColor="text1"/>
          <w:sz w:val="22"/>
          <w:szCs w:val="22"/>
          <w:lang w:val="es-MX" w:eastAsia="en-US"/>
        </w:rPr>
        <w:t xml:space="preserve"> ‒ Tipos de elección</w:t>
      </w:r>
      <w:bookmarkEnd w:id="5"/>
      <w:r w:rsidRPr="003C27C6">
        <w:rPr>
          <w:rFonts w:ascii="Arial" w:eastAsia="Calibri" w:hAnsi="Arial" w:cs="Arial"/>
          <w:b/>
          <w:bCs/>
          <w:color w:val="000000" w:themeColor="text1"/>
          <w:sz w:val="22"/>
          <w:szCs w:val="22"/>
          <w:lang w:val="es-MX" w:eastAsia="en-US"/>
        </w:rPr>
        <w:t xml:space="preserve"> </w:t>
      </w:r>
    </w:p>
    <w:p w14:paraId="312415BB" w14:textId="77777777" w:rsidR="003A231A" w:rsidRPr="003C27C6" w:rsidRDefault="003A231A" w:rsidP="00964D6E">
      <w:pPr>
        <w:tabs>
          <w:tab w:val="left" w:pos="426"/>
        </w:tabs>
        <w:jc w:val="both"/>
        <w:rPr>
          <w:rFonts w:ascii="Arial" w:eastAsia="Calibri" w:hAnsi="Arial" w:cs="Arial"/>
          <w:b/>
          <w:bCs/>
          <w:color w:val="000000" w:themeColor="text1"/>
          <w:sz w:val="20"/>
          <w:szCs w:val="20"/>
          <w:lang w:val="es-MX" w:eastAsia="en-US"/>
        </w:rPr>
      </w:pPr>
    </w:p>
    <w:p w14:paraId="5062675F" w14:textId="463CEDBC" w:rsidR="003A231A" w:rsidRPr="003C27C6" w:rsidRDefault="003A231A" w:rsidP="00964D6E">
      <w:pPr>
        <w:jc w:val="both"/>
        <w:rPr>
          <w:rFonts w:ascii="Arial" w:eastAsia="Arial" w:hAnsi="Arial" w:cs="Arial"/>
          <w:color w:val="000000" w:themeColor="text1"/>
          <w:sz w:val="20"/>
          <w:szCs w:val="20"/>
          <w:lang w:val="es-ES" w:eastAsia="es-ES" w:bidi="es-ES"/>
        </w:rPr>
      </w:pPr>
      <w:r w:rsidRPr="003C27C6">
        <w:rPr>
          <w:rFonts w:ascii="Arial" w:hAnsi="Arial" w:cs="Arial"/>
          <w:bCs/>
          <w:color w:val="000000" w:themeColor="text1"/>
          <w:sz w:val="20"/>
          <w:szCs w:val="20"/>
          <w:lang w:val="es-MX" w:eastAsia="es-CO"/>
        </w:rPr>
        <w:t xml:space="preserve">La </w:t>
      </w:r>
      <w:r w:rsidRPr="003C27C6">
        <w:rPr>
          <w:rFonts w:ascii="Arial" w:eastAsia="Arial" w:hAnsi="Arial" w:cs="Arial"/>
          <w:color w:val="000000" w:themeColor="text1"/>
          <w:sz w:val="20"/>
          <w:szCs w:val="20"/>
          <w:lang w:val="es-ES" w:eastAsia="es-ES" w:bidi="es-ES"/>
        </w:rPr>
        <w:t>Ley de Garantías Electorales, para el cumplimiento de los objetivos que dieron lugar a su expedición, fijó una serie de regulaciones y prohibiciones dirigidas a los servidores públicos. No obstante, debe aclararse que estas disposiciones se dirigen a dos tipos de campañas electorales claramente diferenciadas: las presidenciales y las demás que se adelanten para la elección de otros cargos de elección popular, tanto a nivel nacional como a nivel territorial.</w:t>
      </w:r>
      <w:r w:rsidRPr="003C27C6">
        <w:rPr>
          <w:rFonts w:ascii="Arial" w:eastAsia="Calibri" w:hAnsi="Arial" w:cs="Arial"/>
          <w:color w:val="000000" w:themeColor="text1"/>
          <w:sz w:val="20"/>
          <w:szCs w:val="20"/>
          <w:lang w:eastAsia="en-US"/>
        </w:rPr>
        <w:t xml:space="preserve">Por una parte, el artículo 33 de la Ley 996 de 2005 establece una prohibición que impide </w:t>
      </w:r>
      <w:r w:rsidRPr="003C27C6">
        <w:rPr>
          <w:rFonts w:ascii="Arial" w:eastAsia="Calibri" w:hAnsi="Arial" w:cs="Arial"/>
          <w:bCs/>
          <w:color w:val="000000" w:themeColor="text1"/>
          <w:sz w:val="20"/>
          <w:szCs w:val="20"/>
          <w:lang w:eastAsia="en-US"/>
        </w:rPr>
        <w:t xml:space="preserve">«[…] </w:t>
      </w:r>
      <w:r w:rsidRPr="003C27C6">
        <w:rPr>
          <w:rFonts w:ascii="Arial" w:eastAsia="Calibri" w:hAnsi="Arial" w:cs="Arial"/>
          <w:color w:val="000000" w:themeColor="text1"/>
          <w:sz w:val="20"/>
          <w:szCs w:val="20"/>
          <w:lang w:eastAsia="en-US"/>
        </w:rPr>
        <w:t>la contratación directa por parte de todos los entes del Estado</w:t>
      </w:r>
      <w:r w:rsidRPr="003C27C6">
        <w:rPr>
          <w:rFonts w:ascii="Arial" w:eastAsia="Calibri" w:hAnsi="Arial" w:cs="Arial"/>
          <w:bCs/>
          <w:color w:val="000000" w:themeColor="text1"/>
          <w:sz w:val="20"/>
          <w:szCs w:val="20"/>
          <w:lang w:eastAsia="en-US"/>
        </w:rPr>
        <w:t>»</w:t>
      </w:r>
      <w:r w:rsidRPr="003C27C6">
        <w:rPr>
          <w:rFonts w:ascii="Arial" w:eastAsia="Calibri" w:hAnsi="Arial" w:cs="Arial"/>
          <w:color w:val="000000" w:themeColor="text1"/>
          <w:sz w:val="20"/>
          <w:szCs w:val="20"/>
          <w:lang w:eastAsia="en-US"/>
        </w:rPr>
        <w:t xml:space="preserve"> durante los cuatro (4) meses anteriores a las elecciones presidenciales, salvo </w:t>
      </w:r>
      <w:r w:rsidRPr="003C27C6">
        <w:rPr>
          <w:rFonts w:ascii="Arial" w:eastAsia="Calibri" w:hAnsi="Arial" w:cs="Arial"/>
          <w:bCs/>
          <w:color w:val="000000" w:themeColor="text1"/>
          <w:sz w:val="20"/>
          <w:szCs w:val="20"/>
          <w:lang w:eastAsia="en-US"/>
        </w:rPr>
        <w:t xml:space="preserve">«[…] </w:t>
      </w:r>
      <w:r w:rsidRPr="003C27C6">
        <w:rPr>
          <w:rFonts w:ascii="Arial" w:eastAsia="Calibri" w:hAnsi="Arial" w:cs="Arial"/>
          <w:color w:val="000000" w:themeColor="text1"/>
          <w:sz w:val="20"/>
          <w:szCs w:val="20"/>
          <w:lang w:eastAsia="en-US"/>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3C27C6">
        <w:rPr>
          <w:rFonts w:ascii="Arial" w:eastAsia="Calibri" w:hAnsi="Arial" w:cs="Arial"/>
          <w:bCs/>
          <w:color w:val="000000" w:themeColor="text1"/>
          <w:sz w:val="20"/>
          <w:szCs w:val="20"/>
          <w:lang w:eastAsia="en-US"/>
        </w:rPr>
        <w:t>»</w:t>
      </w:r>
      <w:r w:rsidRPr="003C27C6">
        <w:rPr>
          <w:rFonts w:ascii="Arial" w:eastAsia="Calibri" w:hAnsi="Arial" w:cs="Arial"/>
          <w:color w:val="000000" w:themeColor="text1"/>
          <w:sz w:val="20"/>
          <w:szCs w:val="20"/>
          <w:lang w:eastAsia="en-US"/>
        </w:rPr>
        <w:t>.</w:t>
      </w:r>
      <w:r w:rsidR="00B523D3" w:rsidRPr="003C27C6">
        <w:rPr>
          <w:rFonts w:ascii="Arial" w:eastAsia="Calibri" w:hAnsi="Arial" w:cs="Arial"/>
          <w:color w:val="000000" w:themeColor="text1"/>
          <w:sz w:val="20"/>
          <w:szCs w:val="20"/>
          <w:lang w:eastAsia="en-US"/>
        </w:rPr>
        <w:t xml:space="preserve"> </w:t>
      </w:r>
      <w:r w:rsidRPr="003C27C6">
        <w:rPr>
          <w:rFonts w:ascii="Arial" w:eastAsia="Calibri" w:hAnsi="Arial" w:cs="Arial"/>
          <w:color w:val="000000" w:themeColor="text1"/>
          <w:sz w:val="20"/>
          <w:szCs w:val="20"/>
          <w:lang w:eastAsia="en-US"/>
        </w:rPr>
        <w:t xml:space="preserve">Por otra parte, el parágrafo del artículo 38 de la Ley 996 de 2005 prevé una restricción, aplicable respecto de cualquier tipo de elección popular, que prohíbe a los gobernadores, alcaldes municipales o distritales, secretarios, gerentes y directores de entidades descentralizadas del orden municipal, departamental o distrital </w:t>
      </w:r>
      <w:r w:rsidRPr="003C27C6">
        <w:rPr>
          <w:rFonts w:ascii="Arial" w:eastAsia="Calibri" w:hAnsi="Arial" w:cs="Arial"/>
          <w:bCs/>
          <w:color w:val="000000" w:themeColor="text1"/>
          <w:sz w:val="20"/>
          <w:szCs w:val="20"/>
          <w:lang w:eastAsia="en-US"/>
        </w:rPr>
        <w:t xml:space="preserve">«[…] </w:t>
      </w:r>
      <w:r w:rsidRPr="003C27C6">
        <w:rPr>
          <w:rFonts w:ascii="Arial" w:eastAsia="Calibri" w:hAnsi="Arial" w:cs="Arial"/>
          <w:color w:val="000000" w:themeColor="text1"/>
          <w:sz w:val="20"/>
          <w:szCs w:val="20"/>
          <w:lang w:val="es-MX" w:eastAsia="en-US"/>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3C27C6">
        <w:rPr>
          <w:rFonts w:ascii="Arial" w:eastAsia="Calibri" w:hAnsi="Arial" w:cs="Arial"/>
          <w:bCs/>
          <w:color w:val="000000" w:themeColor="text1"/>
          <w:sz w:val="20"/>
          <w:szCs w:val="20"/>
          <w:lang w:eastAsia="en-US"/>
        </w:rPr>
        <w:t>»</w:t>
      </w:r>
      <w:r w:rsidRPr="003C27C6">
        <w:rPr>
          <w:rFonts w:ascii="Arial" w:eastAsia="Calibri" w:hAnsi="Arial" w:cs="Arial"/>
          <w:color w:val="000000" w:themeColor="text1"/>
          <w:sz w:val="20"/>
          <w:szCs w:val="20"/>
          <w:lang w:val="es-MX" w:eastAsia="en-US"/>
        </w:rPr>
        <w:t>.</w:t>
      </w:r>
      <w:r w:rsidRPr="003C27C6">
        <w:rPr>
          <w:rFonts w:ascii="Arial" w:eastAsia="Calibri" w:hAnsi="Arial" w:cs="Arial"/>
          <w:noProof/>
          <w:color w:val="000000" w:themeColor="text1"/>
          <w:sz w:val="20"/>
          <w:szCs w:val="20"/>
          <w:lang w:val="es-ES_tradnl" w:eastAsia="en-US"/>
        </w:rPr>
        <w:t>.</w:t>
      </w:r>
    </w:p>
    <w:bookmarkEnd w:id="3"/>
    <w:p w14:paraId="6A248971" w14:textId="77777777" w:rsidR="003A231A" w:rsidRPr="003C27C6" w:rsidRDefault="003A231A" w:rsidP="00964D6E">
      <w:pPr>
        <w:tabs>
          <w:tab w:val="left" w:pos="426"/>
        </w:tabs>
        <w:jc w:val="both"/>
        <w:rPr>
          <w:rFonts w:ascii="Arial" w:eastAsia="Calibri" w:hAnsi="Arial" w:cs="Arial"/>
          <w:noProof/>
          <w:color w:val="000000" w:themeColor="text1"/>
          <w:sz w:val="20"/>
          <w:szCs w:val="20"/>
          <w:lang w:val="es-ES_tradnl" w:eastAsia="en-US"/>
        </w:rPr>
      </w:pPr>
    </w:p>
    <w:p w14:paraId="16B99D67" w14:textId="77777777" w:rsidR="003A231A" w:rsidRPr="003C27C6" w:rsidRDefault="003A231A" w:rsidP="00964D6E">
      <w:pPr>
        <w:tabs>
          <w:tab w:val="left" w:pos="426"/>
        </w:tabs>
        <w:jc w:val="both"/>
        <w:rPr>
          <w:rFonts w:ascii="Arial" w:eastAsia="Calibri" w:hAnsi="Arial" w:cs="Arial"/>
          <w:b/>
          <w:bCs/>
          <w:color w:val="000000" w:themeColor="text1"/>
          <w:sz w:val="22"/>
          <w:szCs w:val="22"/>
          <w:lang w:val="es-MX" w:eastAsia="en-US"/>
        </w:rPr>
      </w:pPr>
      <w:bookmarkStart w:id="6" w:name="_Hlk77157138"/>
      <w:r w:rsidRPr="003C27C6">
        <w:rPr>
          <w:rFonts w:ascii="Arial" w:eastAsia="Calibri" w:hAnsi="Arial" w:cs="Arial"/>
          <w:b/>
          <w:bCs/>
          <w:color w:val="000000" w:themeColor="text1"/>
          <w:sz w:val="22"/>
          <w:szCs w:val="22"/>
          <w:lang w:val="es-MX" w:eastAsia="en-US"/>
        </w:rPr>
        <w:t>LEY DE GARANTÍAS ELECTORALES ‒ Prohibiciones ‒ Ámbito temporal</w:t>
      </w:r>
    </w:p>
    <w:p w14:paraId="69D83ABA" w14:textId="77777777" w:rsidR="003A231A" w:rsidRPr="003C27C6" w:rsidRDefault="003A231A" w:rsidP="00964D6E">
      <w:pPr>
        <w:tabs>
          <w:tab w:val="left" w:pos="426"/>
        </w:tabs>
        <w:jc w:val="both"/>
        <w:rPr>
          <w:rFonts w:ascii="Arial" w:eastAsia="Calibri" w:hAnsi="Arial" w:cs="Arial"/>
          <w:noProof/>
          <w:color w:val="000000" w:themeColor="text1"/>
          <w:sz w:val="20"/>
          <w:szCs w:val="20"/>
          <w:lang w:val="es-ES_tradnl" w:eastAsia="en-US"/>
        </w:rPr>
      </w:pPr>
    </w:p>
    <w:bookmarkEnd w:id="6"/>
    <w:p w14:paraId="2751E842" w14:textId="77777777" w:rsidR="003A231A" w:rsidRPr="003C27C6" w:rsidRDefault="003A231A" w:rsidP="00964D6E">
      <w:pPr>
        <w:jc w:val="both"/>
        <w:rPr>
          <w:rFonts w:ascii="Arial" w:eastAsia="Arial" w:hAnsi="Arial" w:cs="Arial"/>
          <w:color w:val="000000" w:themeColor="text1"/>
          <w:sz w:val="20"/>
          <w:szCs w:val="20"/>
          <w:lang w:val="es-ES" w:eastAsia="es-ES" w:bidi="es-ES"/>
        </w:rPr>
      </w:pPr>
      <w:r w:rsidRPr="003C27C6">
        <w:rPr>
          <w:rFonts w:ascii="Arial" w:eastAsia="Arial" w:hAnsi="Arial" w:cs="Arial"/>
          <w:color w:val="000000" w:themeColor="text1"/>
          <w:sz w:val="20"/>
          <w:szCs w:val="20"/>
          <w:lang w:val="es-ES" w:eastAsia="es-ES" w:bidi="es-ES"/>
        </w:rPr>
        <w:t xml:space="preserve">[…] la Ley 996 de 2005 regula dos tipos de restricciones en materia de contratación, a saber: i) La del artículo 33 que opera solo respecto de las elecciones presidenciales, en virtud de la cual queda proscrita </w:t>
      </w:r>
      <w:r w:rsidRPr="003C27C6">
        <w:rPr>
          <w:rFonts w:ascii="Arial" w:eastAsia="Calibri" w:hAnsi="Arial" w:cs="Arial"/>
          <w:color w:val="000000" w:themeColor="text1"/>
          <w:sz w:val="20"/>
          <w:szCs w:val="20"/>
          <w:lang w:eastAsia="en-US"/>
        </w:rPr>
        <w:t xml:space="preserve">la </w:t>
      </w:r>
      <w:r w:rsidRPr="003C27C6">
        <w:rPr>
          <w:rFonts w:ascii="Arial" w:eastAsia="Calibri" w:hAnsi="Arial" w:cs="Arial"/>
          <w:i/>
          <w:iCs/>
          <w:color w:val="000000" w:themeColor="text1"/>
          <w:sz w:val="20"/>
          <w:szCs w:val="20"/>
          <w:lang w:eastAsia="en-US"/>
        </w:rPr>
        <w:t>contratación directa</w:t>
      </w:r>
      <w:r w:rsidRPr="003C27C6">
        <w:rPr>
          <w:rFonts w:ascii="Arial" w:eastAsia="Calibri" w:hAnsi="Arial" w:cs="Arial"/>
          <w:color w:val="000000" w:themeColor="text1"/>
          <w:sz w:val="20"/>
          <w:szCs w:val="20"/>
          <w:lang w:eastAsia="en-US"/>
        </w:rPr>
        <w:t xml:space="preserve"> por parte de todos los entes del Estado</w:t>
      </w:r>
      <w:r w:rsidRPr="003C27C6">
        <w:rPr>
          <w:rFonts w:ascii="Arial" w:eastAsia="Arial" w:hAnsi="Arial" w:cs="Arial"/>
          <w:color w:val="000000" w:themeColor="text1"/>
          <w:sz w:val="20"/>
          <w:szCs w:val="20"/>
          <w:lang w:val="es-ES" w:eastAsia="es-ES" w:bidi="es-ES"/>
        </w:rPr>
        <w:t xml:space="preserve"> dentro de los cuatro (4) meses anteriores a la celebración de los comicios, salvo las excepciones arriba señaladas –establecidas en el inciso segundo del mismo artículo–. Sin embargo, si ningún candidato obtiene la mitad más uno de los votos que, de manera secreta y directa, depositen los ciudadanos, se celebrará una nueva votación que tendrá lugar tres semanas más tarde, en la que solo participarán los dos candidatos que hubieren obtenido las más altas votaciones, de conformidad con el artículo 190 de la Constitución Política, caso en el cual la restricción se extenderá hasta la fecha en la que se realice esa segunda vuelta; </w:t>
      </w:r>
      <w:proofErr w:type="spellStart"/>
      <w:r w:rsidRPr="003C27C6">
        <w:rPr>
          <w:rFonts w:ascii="Arial" w:eastAsia="Arial" w:hAnsi="Arial" w:cs="Arial"/>
          <w:color w:val="000000" w:themeColor="text1"/>
          <w:sz w:val="20"/>
          <w:szCs w:val="20"/>
          <w:lang w:val="es-ES" w:eastAsia="es-ES" w:bidi="es-ES"/>
        </w:rPr>
        <w:t>ii</w:t>
      </w:r>
      <w:proofErr w:type="spellEnd"/>
      <w:r w:rsidRPr="003C27C6">
        <w:rPr>
          <w:rFonts w:ascii="Arial" w:eastAsia="Arial" w:hAnsi="Arial" w:cs="Arial"/>
          <w:color w:val="000000" w:themeColor="text1"/>
          <w:sz w:val="20"/>
          <w:szCs w:val="20"/>
          <w:lang w:val="es-ES" w:eastAsia="es-ES" w:bidi="es-ES"/>
        </w:rPr>
        <w:t>) La del parágrafo del artículo 38 que debe aplicarse respecto de cualquier tipo de elección, y que prohíbe la celebración de convenios interadministrativos que impliquen la ejecución de recursos públicos dentro de los cuatro (4) meses anteriores a la respectiva jornada electoral.</w:t>
      </w:r>
    </w:p>
    <w:p w14:paraId="0C47FB08" w14:textId="77777777" w:rsidR="003A231A" w:rsidRPr="003C27C6" w:rsidRDefault="003A231A" w:rsidP="00964D6E">
      <w:pPr>
        <w:tabs>
          <w:tab w:val="left" w:pos="426"/>
        </w:tabs>
        <w:jc w:val="both"/>
        <w:rPr>
          <w:rFonts w:ascii="Arial" w:eastAsia="Calibri" w:hAnsi="Arial" w:cs="Arial"/>
          <w:color w:val="000000" w:themeColor="text1"/>
          <w:sz w:val="20"/>
          <w:szCs w:val="20"/>
          <w:lang w:val="es-ES" w:eastAsia="en-US"/>
        </w:rPr>
      </w:pPr>
    </w:p>
    <w:p w14:paraId="40760739" w14:textId="77777777" w:rsidR="003A231A" w:rsidRPr="003C27C6" w:rsidRDefault="003A231A" w:rsidP="00964D6E">
      <w:pPr>
        <w:jc w:val="both"/>
        <w:rPr>
          <w:rFonts w:ascii="Arial" w:eastAsia="Calibri" w:hAnsi="Arial" w:cs="Arial"/>
          <w:b/>
          <w:color w:val="000000" w:themeColor="text1"/>
          <w:sz w:val="22"/>
          <w:szCs w:val="22"/>
          <w:lang w:val="es-MX" w:eastAsia="en-US"/>
        </w:rPr>
      </w:pPr>
      <w:r w:rsidRPr="003C27C6">
        <w:rPr>
          <w:rFonts w:ascii="Arial" w:eastAsia="Calibri" w:hAnsi="Arial" w:cs="Arial"/>
          <w:b/>
          <w:color w:val="000000" w:themeColor="text1"/>
          <w:sz w:val="22"/>
          <w:szCs w:val="22"/>
          <w:lang w:val="es-MX" w:eastAsia="en-US"/>
        </w:rPr>
        <w:t xml:space="preserve">CONTRATOS Y </w:t>
      </w:r>
      <w:r w:rsidRPr="003C27C6">
        <w:rPr>
          <w:rFonts w:ascii="Arial" w:eastAsiaTheme="minorHAnsi" w:hAnsi="Arial" w:cs="Arial"/>
          <w:b/>
          <w:color w:val="000000" w:themeColor="text1"/>
          <w:sz w:val="22"/>
          <w:szCs w:val="22"/>
          <w:lang w:val="es-MX" w:eastAsia="en-US"/>
        </w:rPr>
        <w:t xml:space="preserve">CONVENIOS INTERADMINISTRATIVOS </w:t>
      </w:r>
      <w:r w:rsidRPr="003C27C6">
        <w:rPr>
          <w:rFonts w:ascii="Arial" w:eastAsia="Calibri" w:hAnsi="Arial" w:cs="Arial"/>
          <w:b/>
          <w:color w:val="000000" w:themeColor="text1"/>
          <w:sz w:val="22"/>
          <w:szCs w:val="22"/>
          <w:lang w:val="es-MX" w:eastAsia="en-US"/>
        </w:rPr>
        <w:t xml:space="preserve">– Definición – Criterio orgánico </w:t>
      </w:r>
    </w:p>
    <w:p w14:paraId="0AFFDAB8" w14:textId="77777777" w:rsidR="003A231A" w:rsidRPr="003C27C6" w:rsidRDefault="003A231A" w:rsidP="00964D6E">
      <w:pPr>
        <w:jc w:val="both"/>
        <w:rPr>
          <w:rFonts w:ascii="Arial" w:eastAsia="Calibri" w:hAnsi="Arial" w:cs="Arial"/>
          <w:bCs/>
          <w:color w:val="000000" w:themeColor="text1"/>
          <w:sz w:val="20"/>
          <w:szCs w:val="20"/>
          <w:lang w:val="es-MX" w:eastAsia="en-US"/>
        </w:rPr>
      </w:pPr>
    </w:p>
    <w:p w14:paraId="1476837D" w14:textId="77777777" w:rsidR="003A231A" w:rsidRPr="003C27C6" w:rsidRDefault="003A231A" w:rsidP="00964D6E">
      <w:pPr>
        <w:widowControl w:val="0"/>
        <w:autoSpaceDE w:val="0"/>
        <w:autoSpaceDN w:val="0"/>
        <w:jc w:val="both"/>
        <w:rPr>
          <w:rFonts w:ascii="Arial" w:eastAsia="Arial" w:hAnsi="Arial" w:cs="Arial"/>
          <w:color w:val="000000" w:themeColor="text1"/>
          <w:sz w:val="20"/>
          <w:szCs w:val="20"/>
          <w:lang w:val="es-ES" w:eastAsia="es-ES" w:bidi="es-ES"/>
        </w:rPr>
      </w:pPr>
      <w:r w:rsidRPr="003C27C6">
        <w:rPr>
          <w:rFonts w:ascii="Arial" w:eastAsia="Arial" w:hAnsi="Arial" w:cs="Arial"/>
          <w:color w:val="000000" w:themeColor="text1"/>
          <w:sz w:val="20"/>
          <w:szCs w:val="20"/>
          <w:lang w:val="es-ES" w:eastAsia="es-ES" w:bidi="es-ES"/>
        </w:rPr>
        <w:t>[…] la tipología de convenio interadministrativo fue creada en la Ley 80 de 1993. Aunque esta ley no lo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el propósito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w:t>
      </w:r>
      <w:r w:rsidRPr="003C27C6">
        <w:rPr>
          <w:rFonts w:ascii="Arial" w:eastAsia="Arial" w:hAnsi="Arial" w:cs="Arial"/>
          <w:color w:val="000000" w:themeColor="text1"/>
          <w:spacing w:val="-6"/>
          <w:sz w:val="20"/>
          <w:szCs w:val="20"/>
          <w:lang w:val="es-ES" w:eastAsia="es-ES" w:bidi="es-ES"/>
        </w:rPr>
        <w:t xml:space="preserve"> </w:t>
      </w:r>
      <w:r w:rsidRPr="003C27C6">
        <w:rPr>
          <w:rFonts w:ascii="Arial" w:eastAsia="Arial" w:hAnsi="Arial" w:cs="Arial"/>
          <w:color w:val="000000" w:themeColor="text1"/>
          <w:sz w:val="20"/>
          <w:szCs w:val="20"/>
          <w:lang w:val="es-ES" w:eastAsia="es-ES" w:bidi="es-ES"/>
        </w:rPr>
        <w:t>estatales.</w:t>
      </w:r>
    </w:p>
    <w:p w14:paraId="676A107B" w14:textId="77777777" w:rsidR="00C128B2" w:rsidRPr="003C27C6" w:rsidRDefault="00C128B2" w:rsidP="00964D6E">
      <w:pPr>
        <w:rPr>
          <w:rFonts w:ascii="Arial" w:hAnsi="Arial" w:cs="Arial"/>
          <w:color w:val="000000" w:themeColor="text1"/>
          <w:sz w:val="22"/>
          <w:lang w:val="es-ES"/>
        </w:rPr>
      </w:pPr>
    </w:p>
    <w:p w14:paraId="0F328595" w14:textId="2E24145D" w:rsidR="00C128B2" w:rsidRPr="003C27C6" w:rsidRDefault="00C57523" w:rsidP="00C46D70">
      <w:pPr>
        <w:rPr>
          <w:rFonts w:ascii="Arial" w:hAnsi="Arial" w:cs="Arial"/>
          <w:color w:val="000000" w:themeColor="text1"/>
          <w:sz w:val="22"/>
          <w:szCs w:val="22"/>
        </w:rPr>
      </w:pPr>
      <w:r w:rsidRPr="003C27C6">
        <w:rPr>
          <w:rFonts w:ascii="Arial" w:eastAsia="Calibri" w:hAnsi="Arial" w:cs="Arial"/>
          <w:b/>
          <w:sz w:val="22"/>
          <w:szCs w:val="22"/>
        </w:rPr>
        <w:t>LEY DE GARANTÍAS – Modificación – Ley 2159 de 2021 – Artículo 124 – Alcance</w:t>
      </w:r>
    </w:p>
    <w:p w14:paraId="6F26B8FB" w14:textId="05184B34" w:rsidR="00C46D70" w:rsidRPr="003C27C6" w:rsidRDefault="00C46D70" w:rsidP="00C46D70">
      <w:pPr>
        <w:jc w:val="both"/>
        <w:rPr>
          <w:rFonts w:ascii="Arial" w:eastAsia="Calibri" w:hAnsi="Arial" w:cs="Arial"/>
          <w:bCs/>
          <w:sz w:val="20"/>
          <w:szCs w:val="20"/>
          <w:lang w:eastAsia="en-US"/>
        </w:rPr>
      </w:pPr>
    </w:p>
    <w:p w14:paraId="791F54FB" w14:textId="11C3019F" w:rsidR="00C46D70" w:rsidRPr="003C27C6" w:rsidRDefault="00C46D70" w:rsidP="00C46D70">
      <w:pPr>
        <w:jc w:val="both"/>
        <w:rPr>
          <w:rFonts w:ascii="Arial" w:eastAsia="Calibri" w:hAnsi="Arial" w:cs="Arial"/>
          <w:sz w:val="20"/>
          <w:szCs w:val="20"/>
          <w:lang w:eastAsia="en-US"/>
        </w:rPr>
      </w:pPr>
      <w:r w:rsidRPr="003C27C6">
        <w:rPr>
          <w:rFonts w:ascii="Arial" w:eastAsia="Calibri" w:hAnsi="Arial" w:cs="Arial"/>
          <w:sz w:val="20"/>
          <w:szCs w:val="20"/>
          <w:lang w:eastAsia="en-US"/>
        </w:rPr>
        <w:t xml:space="preserve">[…] El alcance del artículo 124 de la Ley 2159 de 2021 tiene como cometido modificar de manera parcial y transitoria el primer inciso del artículo 38 de la Ley 996 de 2005. En efecto, como se observa del inciso segundo del artículo citado, esta disposición «modifica únicamente en la parte pertinente el inciso primero del parágrafo del artículo 38 de la Ley 996 de 2005». </w:t>
      </w:r>
    </w:p>
    <w:p w14:paraId="19C7F98D" w14:textId="77777777" w:rsidR="00C46D70" w:rsidRPr="003C27C6" w:rsidRDefault="00C46D70" w:rsidP="00C46D70">
      <w:pPr>
        <w:jc w:val="both"/>
        <w:rPr>
          <w:rFonts w:ascii="Arial" w:eastAsia="Calibri" w:hAnsi="Arial" w:cs="Arial"/>
          <w:bCs/>
          <w:sz w:val="20"/>
          <w:szCs w:val="20"/>
          <w:lang w:eastAsia="en-US"/>
        </w:rPr>
      </w:pPr>
    </w:p>
    <w:p w14:paraId="420C2C8D" w14:textId="5EFF5CA6" w:rsidR="00C46D70" w:rsidRPr="003C27C6" w:rsidRDefault="00C46D70" w:rsidP="00C46D70">
      <w:pPr>
        <w:jc w:val="both"/>
        <w:rPr>
          <w:rFonts w:ascii="Arial" w:eastAsia="Calibri" w:hAnsi="Arial" w:cs="Arial"/>
          <w:sz w:val="20"/>
          <w:szCs w:val="20"/>
          <w:lang w:eastAsia="en-US"/>
        </w:rPr>
      </w:pPr>
      <w:r w:rsidRPr="003C27C6">
        <w:rPr>
          <w:rFonts w:ascii="Arial" w:eastAsia="Calibri" w:hAnsi="Arial" w:cs="Arial"/>
          <w:bCs/>
          <w:sz w:val="20"/>
          <w:szCs w:val="20"/>
          <w:lang w:eastAsia="en-US"/>
        </w:rPr>
        <w:t xml:space="preserve">[…] </w:t>
      </w:r>
      <w:r w:rsidRPr="003C27C6">
        <w:rPr>
          <w:rFonts w:ascii="Arial" w:eastAsia="Calibri" w:hAnsi="Arial" w:cs="Arial"/>
          <w:sz w:val="20"/>
          <w:szCs w:val="20"/>
          <w:lang w:eastAsia="en-US"/>
        </w:rPr>
        <w:t xml:space="preserve">Durante los cuatro (4) meses previos a la elección presidencial del año 2022 solamente podrán celebrarse convenios o contratos interadministrativos cuando el proceso de selección aplicable sea una convocatoria pública y se presente la circunstancia a la que se refiere el artículo 124 de la Ley 2159 de 2021, es decir, para la ejecución de proyectos y programas correspondientes al Presupuesto General de la Nación. Por lo demás, esta norma no modifica el artículo 33 de la Ley de Garantías Electorales, en consideración a lo cual las restricciones a la contratación directa previstas en este artículo permanecen incólumes, esto es, lo que no implique un proceso plural y competitivo de oferentes. </w:t>
      </w:r>
    </w:p>
    <w:p w14:paraId="44798FB9" w14:textId="77777777" w:rsidR="00C46D70" w:rsidRPr="003C27C6" w:rsidRDefault="00C46D70" w:rsidP="00C46D70">
      <w:pPr>
        <w:jc w:val="both"/>
        <w:rPr>
          <w:rFonts w:ascii="Arial" w:eastAsia="Calibri" w:hAnsi="Arial" w:cs="Arial"/>
          <w:bCs/>
          <w:sz w:val="20"/>
          <w:szCs w:val="20"/>
          <w:lang w:eastAsia="en-US"/>
        </w:rPr>
      </w:pPr>
    </w:p>
    <w:p w14:paraId="63D2FDE4" w14:textId="77777777" w:rsidR="00C46D70" w:rsidRPr="003C27C6" w:rsidRDefault="00C46D70" w:rsidP="00C46D70">
      <w:pPr>
        <w:jc w:val="both"/>
        <w:rPr>
          <w:rFonts w:ascii="Arial" w:eastAsia="Calibri" w:hAnsi="Arial" w:cs="Arial"/>
          <w:sz w:val="20"/>
          <w:szCs w:val="20"/>
          <w:lang w:eastAsia="en-US"/>
        </w:rPr>
      </w:pPr>
      <w:r w:rsidRPr="003C27C6">
        <w:rPr>
          <w:rFonts w:ascii="Arial" w:eastAsia="Calibri" w:hAnsi="Arial" w:cs="Arial"/>
          <w:bCs/>
          <w:sz w:val="20"/>
          <w:szCs w:val="20"/>
          <w:lang w:eastAsia="en-US"/>
        </w:rPr>
        <w:t>[…]</w:t>
      </w:r>
      <w:r w:rsidRPr="003C27C6">
        <w:rPr>
          <w:rFonts w:ascii="Arial" w:eastAsia="Calibri" w:hAnsi="Arial" w:cs="Arial"/>
          <w:sz w:val="20"/>
          <w:szCs w:val="20"/>
          <w:lang w:eastAsia="en-US"/>
        </w:rPr>
        <w:t xml:space="preserve"> La aplicación del artículo 124 de la Ley 2159 de 2021 se restringe a un criterio orgánico, pues se requiere que uno de los extremos contractuales sea la Nación y el otro una entidad territorial, para que la celebración del convenio o contrato administrativo sea procedente. En estos términos, no es posible la celebración de convenios o contratos interadministrativos entre entidades descentralizadas del orden territorial, pues la posibilidad que otorga el artículo 124 de la Ley 2159 de 2021 se somete a la condición que una de las partes sea la Nación, con el fin de ejecutar proyectos o programas que correspondan al Presupuesto General de la Nación. Por ejemplo, durante los cuatro (4) meses anteriores a las elecciones, dos municipios o un municipio y un departamento o entidad descentralizada territorial, quedan cubiertos por la prohibición original del parágrafo del artículo 38 de la Ley de Garantías Electorales. </w:t>
      </w:r>
    </w:p>
    <w:p w14:paraId="6815F15D" w14:textId="5F110D04" w:rsidR="00C46D70" w:rsidRPr="003C27C6" w:rsidRDefault="00C46D70" w:rsidP="00C46D70">
      <w:pPr>
        <w:jc w:val="both"/>
        <w:rPr>
          <w:rFonts w:ascii="Arial" w:eastAsia="Calibri" w:hAnsi="Arial" w:cs="Arial"/>
          <w:sz w:val="20"/>
          <w:szCs w:val="20"/>
          <w:lang w:eastAsia="en-US"/>
        </w:rPr>
      </w:pPr>
      <w:r w:rsidRPr="003C27C6">
        <w:rPr>
          <w:rFonts w:ascii="Arial" w:eastAsia="Calibri" w:hAnsi="Arial" w:cs="Arial"/>
          <w:sz w:val="20"/>
          <w:szCs w:val="20"/>
          <w:lang w:eastAsia="en-US"/>
        </w:rPr>
        <w:t xml:space="preserve"> </w:t>
      </w:r>
    </w:p>
    <w:p w14:paraId="682BA9ED" w14:textId="77777777" w:rsidR="00C46D70" w:rsidRPr="003C27C6" w:rsidRDefault="00C46D70" w:rsidP="00C46D70">
      <w:pPr>
        <w:jc w:val="both"/>
        <w:rPr>
          <w:rFonts w:ascii="Arial" w:eastAsia="Calibri" w:hAnsi="Arial" w:cs="Arial"/>
          <w:sz w:val="20"/>
          <w:szCs w:val="20"/>
          <w:lang w:eastAsia="en-US"/>
        </w:rPr>
      </w:pPr>
      <w:r w:rsidRPr="003C27C6">
        <w:rPr>
          <w:rFonts w:ascii="Arial" w:eastAsia="Calibri" w:hAnsi="Arial" w:cs="Arial"/>
          <w:sz w:val="20"/>
          <w:szCs w:val="20"/>
          <w:lang w:eastAsia="en-US"/>
        </w:rPr>
        <w:t xml:space="preserve">[…] El objeto contractual de los convenios o contratos interadministrativos debe limitarse a la ejecución de programas y proyectos correspondientes al Presupuesto General de la Nación. Es decir, se establece un criterio material, del cual se deriva que, durante los cuatro meses previos a las elecciones, queda prohibido celebrar </w:t>
      </w:r>
      <w:proofErr w:type="gramStart"/>
      <w:r w:rsidRPr="003C27C6">
        <w:rPr>
          <w:rFonts w:ascii="Arial" w:eastAsia="Calibri" w:hAnsi="Arial" w:cs="Arial"/>
          <w:sz w:val="20"/>
          <w:szCs w:val="20"/>
          <w:lang w:eastAsia="en-US"/>
        </w:rPr>
        <w:t>convenios interadministrativos o contratos interadministrativos</w:t>
      </w:r>
      <w:proofErr w:type="gramEnd"/>
      <w:r w:rsidRPr="003C27C6">
        <w:rPr>
          <w:rFonts w:ascii="Arial" w:eastAsia="Calibri" w:hAnsi="Arial" w:cs="Arial"/>
          <w:sz w:val="20"/>
          <w:szCs w:val="20"/>
          <w:lang w:eastAsia="en-US"/>
        </w:rPr>
        <w:t xml:space="preserve"> que no se relacionen con programas y proyectos que ejecuten recursos del Presupuesto General de la Nación. </w:t>
      </w:r>
    </w:p>
    <w:p w14:paraId="589936F4" w14:textId="77777777" w:rsidR="00C46D70" w:rsidRPr="003C27C6" w:rsidRDefault="00C46D70" w:rsidP="00C46D70">
      <w:pPr>
        <w:jc w:val="both"/>
        <w:rPr>
          <w:rFonts w:ascii="Arial" w:eastAsia="Calibri" w:hAnsi="Arial" w:cs="Arial"/>
          <w:sz w:val="20"/>
          <w:szCs w:val="20"/>
          <w:lang w:eastAsia="en-US"/>
        </w:rPr>
      </w:pPr>
    </w:p>
    <w:p w14:paraId="2B3BA234" w14:textId="77777777" w:rsidR="00C46D70" w:rsidRPr="003C27C6" w:rsidRDefault="00C46D70" w:rsidP="00C46D70">
      <w:pPr>
        <w:jc w:val="both"/>
        <w:rPr>
          <w:rFonts w:ascii="Arial" w:eastAsia="Calibri" w:hAnsi="Arial" w:cs="Arial"/>
          <w:sz w:val="20"/>
          <w:szCs w:val="20"/>
          <w:lang w:eastAsia="en-US"/>
        </w:rPr>
      </w:pPr>
      <w:r w:rsidRPr="003C27C6">
        <w:rPr>
          <w:rFonts w:ascii="Arial" w:eastAsia="Calibri" w:hAnsi="Arial" w:cs="Arial"/>
          <w:sz w:val="20"/>
          <w:szCs w:val="20"/>
          <w:lang w:eastAsia="en-US"/>
        </w:rPr>
        <w:t>[…] En lo relacionado con la aplicación transitoria, el primer inciso del artículo en comento establece que la modificación de Ley de Garantías rige «[…] a partir de la publicación de la presente ley y durante la vigencia fiscal 2022». Esto implica que una vez se acabe la vigencia fiscal 2022, el artículo 124 de la Ley 2159 de 2021 dejará de producir efectos jurídicos.</w:t>
      </w:r>
    </w:p>
    <w:p w14:paraId="0F3E9203" w14:textId="77777777" w:rsidR="00C46D70" w:rsidRPr="003C27C6" w:rsidRDefault="00C46D70" w:rsidP="00C46D70">
      <w:pPr>
        <w:jc w:val="both"/>
        <w:rPr>
          <w:rFonts w:ascii="Arial" w:eastAsia="Calibri" w:hAnsi="Arial" w:cs="Arial"/>
          <w:sz w:val="20"/>
          <w:szCs w:val="20"/>
          <w:lang w:eastAsia="en-US"/>
        </w:rPr>
      </w:pPr>
    </w:p>
    <w:p w14:paraId="6F27BF80" w14:textId="52D6C250" w:rsidR="00C46D70" w:rsidRPr="003C27C6" w:rsidRDefault="00C46D70" w:rsidP="00C46D70">
      <w:pPr>
        <w:jc w:val="both"/>
        <w:rPr>
          <w:rFonts w:ascii="Arial" w:eastAsia="Calibri" w:hAnsi="Arial" w:cs="Arial"/>
          <w:sz w:val="20"/>
          <w:szCs w:val="20"/>
          <w:lang w:eastAsia="en-US"/>
        </w:rPr>
      </w:pPr>
      <w:r w:rsidRPr="003C27C6">
        <w:rPr>
          <w:rFonts w:ascii="Arial" w:eastAsia="Calibri" w:hAnsi="Arial" w:cs="Arial"/>
          <w:sz w:val="20"/>
          <w:szCs w:val="20"/>
          <w:lang w:eastAsia="en-US"/>
        </w:rPr>
        <w:t>[…] Se establece que los convenios o contratos interadministrativos que se suscriban bajo el amparo de la presente disposición serán objeto de control especial por parte de la Contraloría General de la República. En tal sentido, el Contralor General de la República determinará, en el marco de sus competencias constitucionales y legales, la forma en que se ejercerá este control especial.</w:t>
      </w:r>
    </w:p>
    <w:p w14:paraId="1ECBCF1B" w14:textId="6B5A23DF" w:rsidR="00C128B2" w:rsidRPr="003C27C6" w:rsidRDefault="00C128B2" w:rsidP="00964D6E">
      <w:pPr>
        <w:rPr>
          <w:rFonts w:ascii="Arial" w:hAnsi="Arial" w:cs="Arial"/>
          <w:color w:val="000000" w:themeColor="text1"/>
          <w:sz w:val="22"/>
        </w:rPr>
      </w:pPr>
    </w:p>
    <w:p w14:paraId="75EDF1FC" w14:textId="77777777" w:rsidR="00964D6E" w:rsidRPr="003C27C6" w:rsidRDefault="00964D6E" w:rsidP="00964D6E">
      <w:pPr>
        <w:tabs>
          <w:tab w:val="left" w:pos="426"/>
        </w:tabs>
        <w:jc w:val="both"/>
        <w:rPr>
          <w:rFonts w:ascii="Arial" w:eastAsia="Calibri" w:hAnsi="Arial" w:cs="Arial"/>
          <w:b/>
          <w:bCs/>
          <w:sz w:val="22"/>
          <w:szCs w:val="22"/>
          <w:lang w:val="es-MX" w:eastAsia="en-US"/>
        </w:rPr>
      </w:pPr>
      <w:bookmarkStart w:id="7" w:name="_Hlk77165666"/>
      <w:r w:rsidRPr="003C27C6">
        <w:rPr>
          <w:rFonts w:ascii="Arial" w:eastAsia="Calibri" w:hAnsi="Arial" w:cs="Arial"/>
          <w:b/>
          <w:bCs/>
          <w:sz w:val="22"/>
          <w:szCs w:val="22"/>
          <w:lang w:val="es-MX" w:eastAsia="en-US"/>
        </w:rPr>
        <w:t xml:space="preserve">LEY DE GARANTÍAS ELECTORALES ─ Prohibición artículo 33 ‒ </w:t>
      </w:r>
      <w:bookmarkEnd w:id="7"/>
      <w:r w:rsidRPr="003C27C6">
        <w:rPr>
          <w:rFonts w:ascii="Arial" w:eastAsia="Calibri" w:hAnsi="Arial" w:cs="Arial"/>
          <w:b/>
          <w:bCs/>
          <w:sz w:val="22"/>
          <w:szCs w:val="22"/>
          <w:lang w:val="es-MX" w:eastAsia="en-US"/>
        </w:rPr>
        <w:t xml:space="preserve">Contratación directa ‒ Alcance </w:t>
      </w:r>
    </w:p>
    <w:p w14:paraId="4469449C" w14:textId="77777777" w:rsidR="00964D6E" w:rsidRPr="003C27C6" w:rsidRDefault="00964D6E" w:rsidP="00964D6E">
      <w:pPr>
        <w:tabs>
          <w:tab w:val="left" w:pos="426"/>
        </w:tabs>
        <w:jc w:val="both"/>
        <w:rPr>
          <w:rFonts w:ascii="Arial" w:eastAsia="Calibri" w:hAnsi="Arial" w:cs="Arial"/>
          <w:noProof/>
          <w:sz w:val="20"/>
          <w:szCs w:val="20"/>
          <w:lang w:val="es-MX" w:eastAsia="en-US"/>
        </w:rPr>
      </w:pPr>
    </w:p>
    <w:p w14:paraId="1579FC73" w14:textId="3E1744E9" w:rsidR="00964D6E" w:rsidRPr="003C27C6" w:rsidRDefault="00964D6E" w:rsidP="00964D6E">
      <w:pPr>
        <w:jc w:val="both"/>
        <w:rPr>
          <w:rFonts w:ascii="Arial" w:hAnsi="Arial" w:cs="Arial"/>
          <w:bCs/>
          <w:sz w:val="20"/>
          <w:szCs w:val="20"/>
          <w:lang w:val="es-MX" w:eastAsia="x-none"/>
        </w:rPr>
      </w:pPr>
      <w:r w:rsidRPr="003C27C6">
        <w:rPr>
          <w:rFonts w:ascii="Arial" w:eastAsia="Calibri" w:hAnsi="Arial" w:cs="Arial"/>
          <w:noProof/>
          <w:sz w:val="20"/>
          <w:szCs w:val="20"/>
          <w:lang w:val="es-MX" w:eastAsia="en-US"/>
        </w:rPr>
        <w:t xml:space="preserve">[…] </w:t>
      </w:r>
      <w:r w:rsidRPr="003C27C6">
        <w:rPr>
          <w:rFonts w:ascii="Arial" w:hAnsi="Arial" w:cs="Arial"/>
          <w:bCs/>
          <w:sz w:val="20"/>
          <w:szCs w:val="20"/>
          <w:lang w:val="es-MX" w:eastAsia="x-none"/>
        </w:rPr>
        <w:t>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3C27C6">
        <w:rPr>
          <w:rFonts w:ascii="Arial" w:hAnsi="Arial" w:cs="Arial"/>
          <w:sz w:val="20"/>
          <w:szCs w:val="20"/>
          <w:vertAlign w:val="superscript"/>
          <w:lang w:eastAsia="x-none"/>
        </w:rPr>
        <w:t xml:space="preserve">. </w:t>
      </w:r>
      <w:r w:rsidRPr="003C27C6">
        <w:rPr>
          <w:rFonts w:ascii="Arial" w:hAnsi="Arial" w:cs="Arial"/>
          <w:bCs/>
          <w:sz w:val="20"/>
          <w:szCs w:val="20"/>
          <w:lang w:val="es-MX" w:eastAsia="x-none"/>
        </w:rPr>
        <w:t>De lo anterior se desprende que la restricción aplica, sin perjuicio de las excepciones establecidas en la misma ley, para celebrar cualquier contrato de forma directa, esto es, sin que exista un proceso abierto y competitivo.</w:t>
      </w:r>
      <w:r w:rsidRPr="003C27C6">
        <w:rPr>
          <w:rFonts w:ascii="Arial" w:hAnsi="Arial" w:cs="Arial"/>
          <w:sz w:val="20"/>
          <w:szCs w:val="20"/>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r w:rsidR="00403548" w:rsidRPr="003C27C6">
        <w:rPr>
          <w:rFonts w:ascii="Arial" w:hAnsi="Arial" w:cs="Arial"/>
          <w:sz w:val="20"/>
          <w:szCs w:val="20"/>
          <w:lang w:eastAsia="x-none"/>
        </w:rPr>
        <w:t>.</w:t>
      </w:r>
    </w:p>
    <w:p w14:paraId="7C1F0E6E" w14:textId="56183307" w:rsidR="00AB5DF8" w:rsidRPr="003C27C6" w:rsidRDefault="00AB5DF8" w:rsidP="00964D6E">
      <w:pPr>
        <w:jc w:val="both"/>
        <w:rPr>
          <w:rFonts w:ascii="Arial" w:hAnsi="Arial" w:cs="Arial"/>
          <w:b/>
          <w:color w:val="000000" w:themeColor="text1"/>
          <w:sz w:val="22"/>
          <w:lang w:val="es-MX"/>
        </w:rPr>
      </w:pPr>
    </w:p>
    <w:p w14:paraId="796A7373" w14:textId="7103254D" w:rsidR="00AB5DF8" w:rsidRPr="003C27C6" w:rsidRDefault="00964D6E" w:rsidP="00964D6E">
      <w:pPr>
        <w:jc w:val="both"/>
        <w:rPr>
          <w:rFonts w:ascii="Arial" w:hAnsi="Arial" w:cs="Arial"/>
          <w:b/>
          <w:color w:val="000000" w:themeColor="text1"/>
          <w:sz w:val="22"/>
        </w:rPr>
      </w:pPr>
      <w:r w:rsidRPr="003C27C6">
        <w:rPr>
          <w:rFonts w:ascii="Arial" w:hAnsi="Arial" w:cs="Arial"/>
          <w:b/>
          <w:color w:val="000000" w:themeColor="text1"/>
          <w:sz w:val="22"/>
        </w:rPr>
        <w:t>LEY DE GARANTÍAS ELECTORALES – contratos de colaboración – convenios de asociación – prohibición artículo 33 – procesos no competitivos</w:t>
      </w:r>
    </w:p>
    <w:p w14:paraId="20BAE7C5" w14:textId="008E4546" w:rsidR="00964D6E" w:rsidRPr="003C27C6" w:rsidRDefault="00964D6E" w:rsidP="00964D6E">
      <w:pPr>
        <w:rPr>
          <w:rFonts w:ascii="Arial" w:hAnsi="Arial" w:cs="Arial"/>
          <w:color w:val="000000" w:themeColor="text1"/>
          <w:sz w:val="22"/>
        </w:rPr>
      </w:pPr>
    </w:p>
    <w:p w14:paraId="63065BC6" w14:textId="77777777" w:rsidR="00C46D70" w:rsidRPr="003C27C6" w:rsidRDefault="00C46D70" w:rsidP="00C46D70">
      <w:pPr>
        <w:jc w:val="both"/>
        <w:rPr>
          <w:rFonts w:ascii="Arial" w:eastAsia="Calibri" w:hAnsi="Arial" w:cs="Arial"/>
          <w:sz w:val="20"/>
          <w:szCs w:val="20"/>
        </w:rPr>
      </w:pPr>
      <w:r w:rsidRPr="003C27C6">
        <w:rPr>
          <w:rFonts w:ascii="Arial" w:eastAsia="Calibri" w:hAnsi="Arial" w:cs="Arial"/>
          <w:sz w:val="20"/>
          <w:szCs w:val="20"/>
        </w:rPr>
        <w:t xml:space="preserve">Ahora bien, analizando las normas del Decreto 092 de 2017 con respecto al artículo 33 de la Ley de Garantías Electorales, se deriva que la restricción aplica frente a todo proceso que no se considere competitivo, esto es, en los que no se permita la participación de una pluralidad de oferentes o proponentes. Es decir, los procesos </w:t>
      </w:r>
      <w:r w:rsidRPr="003C27C6">
        <w:rPr>
          <w:rFonts w:ascii="Arial" w:eastAsia="Calibri" w:hAnsi="Arial" w:cs="Arial"/>
          <w:i/>
          <w:iCs/>
          <w:sz w:val="20"/>
          <w:szCs w:val="20"/>
        </w:rPr>
        <w:t>no competitivos</w:t>
      </w:r>
      <w:r w:rsidRPr="003C27C6">
        <w:rPr>
          <w:rFonts w:ascii="Arial" w:eastAsia="Calibri" w:hAnsi="Arial" w:cs="Arial"/>
          <w:sz w:val="20"/>
          <w:szCs w:val="20"/>
        </w:rPr>
        <w:t xml:space="preserve"> dirigidos a la celebración de convenios de asociación o contratos de colaboración están sujetos a las restricciones del artículo 33 de la precitada Ley</w:t>
      </w:r>
      <w:r w:rsidRPr="003C27C6">
        <w:rPr>
          <w:rFonts w:ascii="Arial" w:hAnsi="Arial" w:cs="Arial"/>
          <w:sz w:val="20"/>
          <w:szCs w:val="20"/>
          <w:lang w:eastAsia="es-CO"/>
        </w:rPr>
        <w:t xml:space="preserve">. </w:t>
      </w:r>
    </w:p>
    <w:p w14:paraId="6D210B60" w14:textId="77777777" w:rsidR="00C46D70" w:rsidRPr="003C27C6" w:rsidRDefault="00C46D70" w:rsidP="00C46D70">
      <w:pPr>
        <w:tabs>
          <w:tab w:val="left" w:pos="426"/>
        </w:tabs>
        <w:jc w:val="both"/>
        <w:rPr>
          <w:rFonts w:ascii="Arial" w:hAnsi="Arial" w:cs="Arial"/>
          <w:sz w:val="20"/>
          <w:szCs w:val="20"/>
        </w:rPr>
      </w:pPr>
    </w:p>
    <w:p w14:paraId="05FBB43E" w14:textId="065E5CF6" w:rsidR="00C46D70" w:rsidRPr="003C27C6" w:rsidRDefault="00C46D70" w:rsidP="00C46D70">
      <w:pPr>
        <w:tabs>
          <w:tab w:val="left" w:pos="426"/>
        </w:tabs>
        <w:jc w:val="both"/>
        <w:rPr>
          <w:rFonts w:ascii="Arial" w:hAnsi="Arial" w:cs="Arial"/>
          <w:sz w:val="20"/>
          <w:szCs w:val="20"/>
          <w:lang w:val="es-MX"/>
        </w:rPr>
      </w:pPr>
      <w:r w:rsidRPr="003C27C6">
        <w:rPr>
          <w:rFonts w:ascii="Arial" w:hAnsi="Arial" w:cs="Arial"/>
          <w:sz w:val="20"/>
          <w:szCs w:val="20"/>
          <w:lang w:val="es-MX"/>
        </w:rPr>
        <w:t xml:space="preserve">Se establece así un </w:t>
      </w:r>
      <w:r w:rsidRPr="003C27C6">
        <w:rPr>
          <w:rFonts w:ascii="Arial" w:hAnsi="Arial" w:cs="Arial"/>
          <w:i/>
          <w:sz w:val="20"/>
          <w:szCs w:val="20"/>
          <w:lang w:val="es-MX"/>
        </w:rPr>
        <w:t>criterio material</w:t>
      </w:r>
      <w:r w:rsidRPr="003C27C6">
        <w:rPr>
          <w:rFonts w:ascii="Arial" w:hAnsi="Arial" w:cs="Arial"/>
          <w:sz w:val="20"/>
          <w:szCs w:val="20"/>
          <w:lang w:val="es-MX"/>
        </w:rPr>
        <w:t xml:space="preserve"> en la Ley de Garantías Electorales, el cual se desarrolló a profundidad en el numeral anterior, en el entendido que la prohibición del artículo 33, en relación con la contratación directa, no hace una distinción sobre la ubicación de estas normas en los diferentes cuerpos normativos, pues lo que importa es que impliquen materialmente una contratación directa, para estar inmersos en la restricción. Por ello, la ley de garantías irradia todas las normas que establezcan reglas y procedimientos de contratación directa. </w:t>
      </w:r>
      <w:r w:rsidRPr="003C27C6">
        <w:rPr>
          <w:rFonts w:ascii="Arial" w:hAnsi="Arial" w:cs="Arial"/>
          <w:sz w:val="20"/>
          <w:szCs w:val="20"/>
          <w:lang w:eastAsia="es-CO"/>
        </w:rPr>
        <w:t xml:space="preserve"> </w:t>
      </w:r>
      <w:r w:rsidRPr="003C27C6">
        <w:rPr>
          <w:rFonts w:ascii="Arial" w:hAnsi="Arial" w:cs="Arial"/>
          <w:sz w:val="20"/>
          <w:szCs w:val="20"/>
          <w:lang w:val="es-MX"/>
        </w:rPr>
        <w:t xml:space="preserve"> </w:t>
      </w:r>
    </w:p>
    <w:p w14:paraId="194426FC" w14:textId="77777777" w:rsidR="00C46D70" w:rsidRPr="003C27C6" w:rsidRDefault="00C46D70" w:rsidP="00C46D70">
      <w:pPr>
        <w:jc w:val="both"/>
        <w:rPr>
          <w:rFonts w:ascii="Arial" w:hAnsi="Arial" w:cs="Arial"/>
          <w:sz w:val="20"/>
          <w:szCs w:val="20"/>
          <w:lang w:eastAsia="es-CO"/>
        </w:rPr>
      </w:pPr>
    </w:p>
    <w:p w14:paraId="243E64EC" w14:textId="22B1C7A1" w:rsidR="00C46D70" w:rsidRPr="003C27C6" w:rsidRDefault="00C46D70" w:rsidP="00C46D70">
      <w:pPr>
        <w:jc w:val="both"/>
        <w:rPr>
          <w:rFonts w:ascii="Arial" w:hAnsi="Arial" w:cs="Arial"/>
          <w:sz w:val="20"/>
          <w:szCs w:val="20"/>
          <w:lang w:eastAsia="x-none"/>
        </w:rPr>
      </w:pPr>
      <w:r w:rsidRPr="003C27C6">
        <w:rPr>
          <w:rFonts w:ascii="Arial" w:hAnsi="Arial" w:cs="Arial"/>
          <w:sz w:val="20"/>
          <w:szCs w:val="20"/>
          <w:lang w:eastAsia="es-CO"/>
        </w:rPr>
        <w:t xml:space="preserve">Teniendo en cuenta lo expresado, se concluye que los convenios de asociación y contratos de colaboración establecidos en el Decreto 092 de 2017 no están exentos de la aplicación de la Ley de Garantías Electorales, en especial de lo dispuesto en el artículo 33, que </w:t>
      </w:r>
      <w:r w:rsidRPr="003C27C6">
        <w:rPr>
          <w:rFonts w:ascii="Arial" w:hAnsi="Arial" w:cs="Arial"/>
          <w:sz w:val="20"/>
          <w:szCs w:val="20"/>
          <w:lang w:eastAsia="x-none"/>
        </w:rPr>
        <w:t xml:space="preserve">refiere la restricción o prohibición a </w:t>
      </w:r>
      <w:r w:rsidRPr="003C27C6">
        <w:rPr>
          <w:rFonts w:ascii="Arial" w:hAnsi="Arial" w:cs="Arial"/>
          <w:sz w:val="20"/>
          <w:szCs w:val="20"/>
          <w:lang w:eastAsia="en-GB"/>
        </w:rPr>
        <w:t>«</w:t>
      </w:r>
      <w:r w:rsidRPr="003C27C6">
        <w:rPr>
          <w:rFonts w:ascii="Arial" w:hAnsi="Arial" w:cs="Arial"/>
          <w:sz w:val="20"/>
          <w:szCs w:val="20"/>
          <w:lang w:eastAsia="x-none"/>
        </w:rPr>
        <w:t>cualquier sistema que no implique convocatoria pública y posibilidad de pluralidad de oferentes</w:t>
      </w:r>
      <w:r w:rsidRPr="003C27C6">
        <w:rPr>
          <w:rFonts w:ascii="Arial" w:hAnsi="Arial" w:cs="Arial"/>
          <w:sz w:val="20"/>
          <w:szCs w:val="20"/>
          <w:lang w:eastAsia="en-GB"/>
        </w:rPr>
        <w:t>»</w:t>
      </w:r>
      <w:r w:rsidRPr="003C27C6">
        <w:rPr>
          <w:rFonts w:ascii="Arial" w:hAnsi="Arial" w:cs="Arial"/>
          <w:sz w:val="20"/>
          <w:szCs w:val="20"/>
          <w:lang w:eastAsia="x-none"/>
        </w:rPr>
        <w:t xml:space="preserve">. De este modo, lo que podrán hacer las entidades públicas es celebrar convenios de asociación y contratos de colaboración realizados mediante un proceso competitivo, es decir, que se caracterice por la libre concurrencia y la pluralidad de proponentes.  </w:t>
      </w:r>
    </w:p>
    <w:p w14:paraId="7F4A895A" w14:textId="132C9FB9" w:rsidR="00AB5DF8" w:rsidRPr="003C27C6" w:rsidRDefault="00AB5DF8" w:rsidP="002F3E4E">
      <w:pPr>
        <w:rPr>
          <w:rFonts w:ascii="Arial" w:hAnsi="Arial" w:cs="Arial"/>
          <w:color w:val="000000" w:themeColor="text1"/>
          <w:sz w:val="22"/>
        </w:rPr>
      </w:pPr>
    </w:p>
    <w:p w14:paraId="2816E9E4" w14:textId="77777777" w:rsidR="00AB5DF8" w:rsidRPr="003C27C6" w:rsidRDefault="00AB5DF8" w:rsidP="002F3E4E">
      <w:pPr>
        <w:rPr>
          <w:rFonts w:ascii="Arial" w:hAnsi="Arial" w:cs="Arial"/>
          <w:color w:val="000000" w:themeColor="text1"/>
          <w:sz w:val="22"/>
        </w:rPr>
      </w:pPr>
    </w:p>
    <w:p w14:paraId="04AD1D32" w14:textId="6E739BC0" w:rsidR="00C128B2" w:rsidRPr="003C27C6" w:rsidRDefault="00C128B2" w:rsidP="002F3E4E">
      <w:pPr>
        <w:rPr>
          <w:rFonts w:ascii="Arial" w:hAnsi="Arial" w:cs="Arial"/>
          <w:color w:val="000000" w:themeColor="text1"/>
          <w:sz w:val="22"/>
        </w:rPr>
      </w:pPr>
    </w:p>
    <w:p w14:paraId="642B121A" w14:textId="1951184F" w:rsidR="005546CD" w:rsidRPr="003C27C6" w:rsidRDefault="005546CD" w:rsidP="002F3E4E">
      <w:pPr>
        <w:rPr>
          <w:rFonts w:ascii="Arial" w:hAnsi="Arial" w:cs="Arial"/>
          <w:color w:val="000000" w:themeColor="text1"/>
          <w:sz w:val="22"/>
        </w:rPr>
      </w:pPr>
    </w:p>
    <w:p w14:paraId="571E5AAD" w14:textId="66D73009" w:rsidR="00A75C54" w:rsidRPr="003C27C6" w:rsidRDefault="00A75C54" w:rsidP="002F3E4E">
      <w:pPr>
        <w:rPr>
          <w:rFonts w:ascii="Arial" w:hAnsi="Arial" w:cs="Arial"/>
          <w:color w:val="000000" w:themeColor="text1"/>
          <w:sz w:val="22"/>
        </w:rPr>
      </w:pPr>
    </w:p>
    <w:p w14:paraId="0FAD2D55" w14:textId="741E9684" w:rsidR="003A231A" w:rsidRPr="003C27C6" w:rsidRDefault="003A231A" w:rsidP="0094713D">
      <w:pPr>
        <w:widowControl w:val="0"/>
        <w:autoSpaceDE w:val="0"/>
        <w:autoSpaceDN w:val="0"/>
        <w:rPr>
          <w:rFonts w:ascii="Arial" w:hAnsi="Arial" w:cs="Arial"/>
          <w:color w:val="000000" w:themeColor="text1"/>
          <w:sz w:val="22"/>
        </w:rPr>
      </w:pPr>
    </w:p>
    <w:p w14:paraId="54814209" w14:textId="16221EFD" w:rsidR="00C46D70" w:rsidRPr="003C27C6" w:rsidRDefault="00C46D70" w:rsidP="0094713D">
      <w:pPr>
        <w:widowControl w:val="0"/>
        <w:autoSpaceDE w:val="0"/>
        <w:autoSpaceDN w:val="0"/>
        <w:rPr>
          <w:rFonts w:ascii="Arial" w:hAnsi="Arial" w:cs="Arial"/>
          <w:color w:val="000000" w:themeColor="text1"/>
          <w:sz w:val="22"/>
        </w:rPr>
      </w:pPr>
    </w:p>
    <w:p w14:paraId="360B7A3F" w14:textId="6F7CF475" w:rsidR="00C46D70" w:rsidRPr="003C27C6" w:rsidRDefault="00C46D70" w:rsidP="0094713D">
      <w:pPr>
        <w:widowControl w:val="0"/>
        <w:autoSpaceDE w:val="0"/>
        <w:autoSpaceDN w:val="0"/>
        <w:rPr>
          <w:rFonts w:ascii="Arial" w:hAnsi="Arial" w:cs="Arial"/>
          <w:color w:val="000000" w:themeColor="text1"/>
          <w:sz w:val="22"/>
        </w:rPr>
      </w:pPr>
    </w:p>
    <w:p w14:paraId="27BB327A" w14:textId="0C6CDD57" w:rsidR="00C46D70" w:rsidRPr="003C27C6" w:rsidRDefault="00C46D70" w:rsidP="0094713D">
      <w:pPr>
        <w:widowControl w:val="0"/>
        <w:autoSpaceDE w:val="0"/>
        <w:autoSpaceDN w:val="0"/>
        <w:rPr>
          <w:rFonts w:ascii="Arial" w:hAnsi="Arial" w:cs="Arial"/>
          <w:color w:val="000000" w:themeColor="text1"/>
          <w:sz w:val="22"/>
        </w:rPr>
      </w:pPr>
    </w:p>
    <w:p w14:paraId="477407CE" w14:textId="70BF4785" w:rsidR="00C46D70" w:rsidRPr="003C27C6" w:rsidRDefault="00C46D70" w:rsidP="0094713D">
      <w:pPr>
        <w:widowControl w:val="0"/>
        <w:autoSpaceDE w:val="0"/>
        <w:autoSpaceDN w:val="0"/>
        <w:rPr>
          <w:rFonts w:ascii="Arial" w:hAnsi="Arial" w:cs="Arial"/>
          <w:color w:val="000000" w:themeColor="text1"/>
          <w:sz w:val="22"/>
        </w:rPr>
      </w:pPr>
    </w:p>
    <w:p w14:paraId="7527A86F" w14:textId="774B7F92" w:rsidR="00C46D70" w:rsidRPr="003C27C6" w:rsidRDefault="00C46D70" w:rsidP="0094713D">
      <w:pPr>
        <w:widowControl w:val="0"/>
        <w:autoSpaceDE w:val="0"/>
        <w:autoSpaceDN w:val="0"/>
        <w:rPr>
          <w:rFonts w:ascii="Arial" w:hAnsi="Arial" w:cs="Arial"/>
          <w:color w:val="000000" w:themeColor="text1"/>
          <w:sz w:val="22"/>
        </w:rPr>
      </w:pPr>
    </w:p>
    <w:p w14:paraId="2669FB7A" w14:textId="186D96B8" w:rsidR="00C46D70" w:rsidRPr="003C27C6" w:rsidRDefault="00C46D70" w:rsidP="0094713D">
      <w:pPr>
        <w:widowControl w:val="0"/>
        <w:autoSpaceDE w:val="0"/>
        <w:autoSpaceDN w:val="0"/>
        <w:rPr>
          <w:rFonts w:ascii="Arial" w:hAnsi="Arial" w:cs="Arial"/>
          <w:color w:val="000000" w:themeColor="text1"/>
          <w:sz w:val="22"/>
        </w:rPr>
      </w:pPr>
    </w:p>
    <w:p w14:paraId="3F3BC66B" w14:textId="21365465" w:rsidR="00C46D70" w:rsidRPr="003C27C6" w:rsidRDefault="00C46D70" w:rsidP="0094713D">
      <w:pPr>
        <w:widowControl w:val="0"/>
        <w:autoSpaceDE w:val="0"/>
        <w:autoSpaceDN w:val="0"/>
        <w:rPr>
          <w:rFonts w:ascii="Arial" w:hAnsi="Arial" w:cs="Arial"/>
          <w:color w:val="000000" w:themeColor="text1"/>
          <w:sz w:val="22"/>
        </w:rPr>
      </w:pPr>
    </w:p>
    <w:p w14:paraId="3C5071EC" w14:textId="7E90795B" w:rsidR="00C46D70" w:rsidRPr="003C27C6" w:rsidRDefault="00C46D70" w:rsidP="0094713D">
      <w:pPr>
        <w:widowControl w:val="0"/>
        <w:autoSpaceDE w:val="0"/>
        <w:autoSpaceDN w:val="0"/>
        <w:rPr>
          <w:rFonts w:ascii="Arial" w:hAnsi="Arial" w:cs="Arial"/>
          <w:color w:val="000000" w:themeColor="text1"/>
          <w:sz w:val="22"/>
        </w:rPr>
      </w:pPr>
    </w:p>
    <w:p w14:paraId="078C9531" w14:textId="666F7262" w:rsidR="00C46D70" w:rsidRPr="003C27C6" w:rsidRDefault="00C46D70" w:rsidP="0094713D">
      <w:pPr>
        <w:widowControl w:val="0"/>
        <w:autoSpaceDE w:val="0"/>
        <w:autoSpaceDN w:val="0"/>
        <w:rPr>
          <w:rFonts w:ascii="Arial" w:hAnsi="Arial" w:cs="Arial"/>
          <w:color w:val="000000" w:themeColor="text1"/>
          <w:sz w:val="22"/>
        </w:rPr>
      </w:pPr>
    </w:p>
    <w:p w14:paraId="5C8404F9" w14:textId="025BD969" w:rsidR="00C46D70" w:rsidRPr="003C27C6" w:rsidRDefault="00C46D70" w:rsidP="0094713D">
      <w:pPr>
        <w:widowControl w:val="0"/>
        <w:autoSpaceDE w:val="0"/>
        <w:autoSpaceDN w:val="0"/>
        <w:rPr>
          <w:rFonts w:ascii="Arial" w:hAnsi="Arial" w:cs="Arial"/>
          <w:color w:val="000000" w:themeColor="text1"/>
          <w:sz w:val="22"/>
        </w:rPr>
      </w:pPr>
    </w:p>
    <w:p w14:paraId="18B04406" w14:textId="2F80732E" w:rsidR="00C46D70" w:rsidRPr="003C27C6" w:rsidRDefault="00C46D70" w:rsidP="0094713D">
      <w:pPr>
        <w:widowControl w:val="0"/>
        <w:autoSpaceDE w:val="0"/>
        <w:autoSpaceDN w:val="0"/>
        <w:rPr>
          <w:rFonts w:ascii="Arial" w:hAnsi="Arial" w:cs="Arial"/>
          <w:color w:val="000000" w:themeColor="text1"/>
          <w:sz w:val="22"/>
        </w:rPr>
      </w:pPr>
    </w:p>
    <w:p w14:paraId="6DCF809A" w14:textId="21EC0CD9" w:rsidR="00C46D70" w:rsidRPr="003C27C6" w:rsidRDefault="00C46D70" w:rsidP="0094713D">
      <w:pPr>
        <w:widowControl w:val="0"/>
        <w:autoSpaceDE w:val="0"/>
        <w:autoSpaceDN w:val="0"/>
        <w:rPr>
          <w:rFonts w:ascii="Arial" w:hAnsi="Arial" w:cs="Arial"/>
          <w:color w:val="000000" w:themeColor="text1"/>
          <w:sz w:val="22"/>
        </w:rPr>
      </w:pPr>
    </w:p>
    <w:p w14:paraId="77B5A550" w14:textId="64CE1CD5" w:rsidR="00C46D70" w:rsidRPr="003C27C6" w:rsidRDefault="00C46D70" w:rsidP="0094713D">
      <w:pPr>
        <w:widowControl w:val="0"/>
        <w:autoSpaceDE w:val="0"/>
        <w:autoSpaceDN w:val="0"/>
        <w:rPr>
          <w:rFonts w:ascii="Arial" w:hAnsi="Arial" w:cs="Arial"/>
          <w:color w:val="000000" w:themeColor="text1"/>
          <w:sz w:val="22"/>
        </w:rPr>
      </w:pPr>
    </w:p>
    <w:p w14:paraId="523508AB" w14:textId="2B773528" w:rsidR="00C46D70" w:rsidRPr="003C27C6" w:rsidRDefault="00C46D70" w:rsidP="0094713D">
      <w:pPr>
        <w:widowControl w:val="0"/>
        <w:autoSpaceDE w:val="0"/>
        <w:autoSpaceDN w:val="0"/>
        <w:rPr>
          <w:rFonts w:ascii="Arial" w:hAnsi="Arial" w:cs="Arial"/>
          <w:color w:val="000000" w:themeColor="text1"/>
          <w:sz w:val="22"/>
        </w:rPr>
      </w:pPr>
    </w:p>
    <w:p w14:paraId="173F1B52" w14:textId="785596D5" w:rsidR="00C46D70" w:rsidRPr="003C27C6" w:rsidRDefault="00C46D70" w:rsidP="0094713D">
      <w:pPr>
        <w:widowControl w:val="0"/>
        <w:autoSpaceDE w:val="0"/>
        <w:autoSpaceDN w:val="0"/>
        <w:rPr>
          <w:rFonts w:ascii="Arial" w:hAnsi="Arial" w:cs="Arial"/>
          <w:color w:val="000000" w:themeColor="text1"/>
          <w:sz w:val="22"/>
        </w:rPr>
      </w:pPr>
    </w:p>
    <w:p w14:paraId="068863E4" w14:textId="17001C1D" w:rsidR="00C46D70" w:rsidRPr="003C27C6" w:rsidRDefault="00C46D70" w:rsidP="0094713D">
      <w:pPr>
        <w:widowControl w:val="0"/>
        <w:autoSpaceDE w:val="0"/>
        <w:autoSpaceDN w:val="0"/>
        <w:rPr>
          <w:rFonts w:ascii="Arial" w:hAnsi="Arial" w:cs="Arial"/>
          <w:color w:val="000000" w:themeColor="text1"/>
          <w:sz w:val="22"/>
        </w:rPr>
      </w:pPr>
    </w:p>
    <w:p w14:paraId="7A433A41" w14:textId="1ABB74F8" w:rsidR="00C46D70" w:rsidRPr="003C27C6" w:rsidRDefault="00C46D70" w:rsidP="0094713D">
      <w:pPr>
        <w:widowControl w:val="0"/>
        <w:autoSpaceDE w:val="0"/>
        <w:autoSpaceDN w:val="0"/>
        <w:rPr>
          <w:rFonts w:ascii="Arial" w:hAnsi="Arial" w:cs="Arial"/>
          <w:color w:val="000000" w:themeColor="text1"/>
          <w:sz w:val="22"/>
        </w:rPr>
      </w:pPr>
    </w:p>
    <w:p w14:paraId="2482FD4D" w14:textId="3F154615" w:rsidR="00C46D70" w:rsidRPr="003C27C6" w:rsidRDefault="00C46D70" w:rsidP="0094713D">
      <w:pPr>
        <w:widowControl w:val="0"/>
        <w:autoSpaceDE w:val="0"/>
        <w:autoSpaceDN w:val="0"/>
        <w:rPr>
          <w:rFonts w:ascii="Arial" w:hAnsi="Arial" w:cs="Arial"/>
          <w:color w:val="000000" w:themeColor="text1"/>
          <w:sz w:val="22"/>
        </w:rPr>
      </w:pPr>
    </w:p>
    <w:p w14:paraId="2E2E6BF9" w14:textId="08C69FB7" w:rsidR="00C46D70" w:rsidRPr="003C27C6" w:rsidRDefault="00C46D70" w:rsidP="0094713D">
      <w:pPr>
        <w:widowControl w:val="0"/>
        <w:autoSpaceDE w:val="0"/>
        <w:autoSpaceDN w:val="0"/>
        <w:rPr>
          <w:rFonts w:ascii="Arial" w:hAnsi="Arial" w:cs="Arial"/>
          <w:color w:val="000000" w:themeColor="text1"/>
          <w:sz w:val="22"/>
        </w:rPr>
      </w:pPr>
    </w:p>
    <w:p w14:paraId="46E9E8BA" w14:textId="7ACE9391" w:rsidR="00C46D70" w:rsidRPr="003C27C6" w:rsidRDefault="00C46D70" w:rsidP="0094713D">
      <w:pPr>
        <w:widowControl w:val="0"/>
        <w:autoSpaceDE w:val="0"/>
        <w:autoSpaceDN w:val="0"/>
        <w:rPr>
          <w:rFonts w:ascii="Arial" w:hAnsi="Arial" w:cs="Arial"/>
          <w:color w:val="000000" w:themeColor="text1"/>
          <w:sz w:val="22"/>
        </w:rPr>
      </w:pPr>
    </w:p>
    <w:p w14:paraId="62002ACB" w14:textId="0154DC9F" w:rsidR="00C46D70" w:rsidRPr="003C27C6" w:rsidRDefault="00C46D70" w:rsidP="0094713D">
      <w:pPr>
        <w:widowControl w:val="0"/>
        <w:autoSpaceDE w:val="0"/>
        <w:autoSpaceDN w:val="0"/>
        <w:rPr>
          <w:rFonts w:ascii="Arial" w:hAnsi="Arial" w:cs="Arial"/>
          <w:color w:val="000000" w:themeColor="text1"/>
          <w:sz w:val="22"/>
        </w:rPr>
      </w:pPr>
    </w:p>
    <w:p w14:paraId="2FA080F3" w14:textId="3B1BF8F3" w:rsidR="00C46D70" w:rsidRPr="003C27C6" w:rsidRDefault="00C46D70" w:rsidP="0094713D">
      <w:pPr>
        <w:widowControl w:val="0"/>
        <w:autoSpaceDE w:val="0"/>
        <w:autoSpaceDN w:val="0"/>
        <w:rPr>
          <w:rFonts w:ascii="Arial" w:hAnsi="Arial" w:cs="Arial"/>
          <w:color w:val="000000" w:themeColor="text1"/>
          <w:sz w:val="22"/>
        </w:rPr>
      </w:pPr>
    </w:p>
    <w:p w14:paraId="3B2A4EB4" w14:textId="62520512" w:rsidR="00C46D70" w:rsidRPr="003C27C6" w:rsidRDefault="00C46D70" w:rsidP="0094713D">
      <w:pPr>
        <w:widowControl w:val="0"/>
        <w:autoSpaceDE w:val="0"/>
        <w:autoSpaceDN w:val="0"/>
        <w:rPr>
          <w:rFonts w:ascii="Arial" w:hAnsi="Arial" w:cs="Arial"/>
          <w:color w:val="000000" w:themeColor="text1"/>
          <w:sz w:val="22"/>
        </w:rPr>
      </w:pPr>
    </w:p>
    <w:p w14:paraId="7F9962D8" w14:textId="46976D0E" w:rsidR="00C46D70" w:rsidRPr="003C27C6" w:rsidRDefault="00C46D70" w:rsidP="0094713D">
      <w:pPr>
        <w:widowControl w:val="0"/>
        <w:autoSpaceDE w:val="0"/>
        <w:autoSpaceDN w:val="0"/>
        <w:rPr>
          <w:rFonts w:ascii="Arial" w:hAnsi="Arial" w:cs="Arial"/>
          <w:color w:val="000000" w:themeColor="text1"/>
          <w:sz w:val="22"/>
        </w:rPr>
      </w:pPr>
    </w:p>
    <w:p w14:paraId="3A3F9CA2" w14:textId="4D245753" w:rsidR="00C46D70" w:rsidRPr="003C27C6" w:rsidRDefault="00C46D70" w:rsidP="0094713D">
      <w:pPr>
        <w:widowControl w:val="0"/>
        <w:autoSpaceDE w:val="0"/>
        <w:autoSpaceDN w:val="0"/>
        <w:rPr>
          <w:rFonts w:ascii="Arial" w:hAnsi="Arial" w:cs="Arial"/>
          <w:color w:val="000000" w:themeColor="text1"/>
          <w:sz w:val="22"/>
        </w:rPr>
      </w:pPr>
    </w:p>
    <w:p w14:paraId="0636EC1D" w14:textId="28BBAACF" w:rsidR="00C46D70" w:rsidRPr="003C27C6" w:rsidRDefault="00C46D70" w:rsidP="0094713D">
      <w:pPr>
        <w:widowControl w:val="0"/>
        <w:autoSpaceDE w:val="0"/>
        <w:autoSpaceDN w:val="0"/>
        <w:rPr>
          <w:rFonts w:ascii="Arial" w:hAnsi="Arial" w:cs="Arial"/>
          <w:color w:val="000000" w:themeColor="text1"/>
          <w:sz w:val="22"/>
        </w:rPr>
      </w:pPr>
    </w:p>
    <w:p w14:paraId="429485B1" w14:textId="1FCE816F" w:rsidR="00C46D70" w:rsidRPr="003C27C6" w:rsidRDefault="00C46D70" w:rsidP="0094713D">
      <w:pPr>
        <w:widowControl w:val="0"/>
        <w:autoSpaceDE w:val="0"/>
        <w:autoSpaceDN w:val="0"/>
        <w:rPr>
          <w:rFonts w:ascii="Arial" w:hAnsi="Arial" w:cs="Arial"/>
          <w:color w:val="000000" w:themeColor="text1"/>
          <w:sz w:val="22"/>
        </w:rPr>
      </w:pPr>
    </w:p>
    <w:p w14:paraId="50483100" w14:textId="1D72FF01" w:rsidR="00C46D70" w:rsidRPr="003C27C6" w:rsidRDefault="00C46D70" w:rsidP="0094713D">
      <w:pPr>
        <w:widowControl w:val="0"/>
        <w:autoSpaceDE w:val="0"/>
        <w:autoSpaceDN w:val="0"/>
        <w:rPr>
          <w:rFonts w:ascii="Arial" w:hAnsi="Arial" w:cs="Arial"/>
          <w:color w:val="000000" w:themeColor="text1"/>
          <w:sz w:val="22"/>
        </w:rPr>
      </w:pPr>
    </w:p>
    <w:p w14:paraId="5FAD7E09" w14:textId="32FAE0E9" w:rsidR="00C46D70" w:rsidRPr="003C27C6" w:rsidRDefault="00C46D70" w:rsidP="0094713D">
      <w:pPr>
        <w:widowControl w:val="0"/>
        <w:autoSpaceDE w:val="0"/>
        <w:autoSpaceDN w:val="0"/>
        <w:rPr>
          <w:rFonts w:ascii="Arial" w:hAnsi="Arial" w:cs="Arial"/>
          <w:color w:val="000000" w:themeColor="text1"/>
          <w:sz w:val="22"/>
        </w:rPr>
      </w:pPr>
    </w:p>
    <w:p w14:paraId="5D931FB0" w14:textId="46CDA2F7" w:rsidR="00C46D70" w:rsidRPr="003C27C6" w:rsidRDefault="00C46D70" w:rsidP="0094713D">
      <w:pPr>
        <w:widowControl w:val="0"/>
        <w:autoSpaceDE w:val="0"/>
        <w:autoSpaceDN w:val="0"/>
        <w:rPr>
          <w:rFonts w:ascii="Arial" w:hAnsi="Arial" w:cs="Arial"/>
          <w:color w:val="000000" w:themeColor="text1"/>
          <w:sz w:val="22"/>
        </w:rPr>
      </w:pPr>
    </w:p>
    <w:p w14:paraId="59F1B9BE" w14:textId="7AF65036" w:rsidR="00C46D70" w:rsidRPr="003C27C6" w:rsidRDefault="00C46D70" w:rsidP="0094713D">
      <w:pPr>
        <w:widowControl w:val="0"/>
        <w:autoSpaceDE w:val="0"/>
        <w:autoSpaceDN w:val="0"/>
        <w:rPr>
          <w:rFonts w:ascii="Arial" w:hAnsi="Arial" w:cs="Arial"/>
          <w:color w:val="000000" w:themeColor="text1"/>
          <w:sz w:val="22"/>
        </w:rPr>
      </w:pPr>
    </w:p>
    <w:p w14:paraId="56701490" w14:textId="651AABC8" w:rsidR="00C46D70" w:rsidRPr="003C27C6" w:rsidRDefault="00C46D70" w:rsidP="0094713D">
      <w:pPr>
        <w:widowControl w:val="0"/>
        <w:autoSpaceDE w:val="0"/>
        <w:autoSpaceDN w:val="0"/>
        <w:rPr>
          <w:rFonts w:ascii="Arial" w:hAnsi="Arial" w:cs="Arial"/>
          <w:color w:val="000000" w:themeColor="text1"/>
          <w:sz w:val="22"/>
        </w:rPr>
      </w:pPr>
    </w:p>
    <w:p w14:paraId="4B3CF16C" w14:textId="2ED73FD1" w:rsidR="00C46D70" w:rsidRPr="003C27C6" w:rsidRDefault="00C46D70" w:rsidP="0094713D">
      <w:pPr>
        <w:widowControl w:val="0"/>
        <w:autoSpaceDE w:val="0"/>
        <w:autoSpaceDN w:val="0"/>
        <w:rPr>
          <w:rFonts w:ascii="Arial" w:hAnsi="Arial" w:cs="Arial"/>
          <w:color w:val="000000" w:themeColor="text1"/>
          <w:sz w:val="22"/>
        </w:rPr>
      </w:pPr>
    </w:p>
    <w:p w14:paraId="12B7F3B8" w14:textId="6342D2C9" w:rsidR="00C46D70" w:rsidRPr="003C27C6" w:rsidRDefault="00C46D70" w:rsidP="0094713D">
      <w:pPr>
        <w:widowControl w:val="0"/>
        <w:autoSpaceDE w:val="0"/>
        <w:autoSpaceDN w:val="0"/>
        <w:rPr>
          <w:rFonts w:ascii="Arial" w:hAnsi="Arial" w:cs="Arial"/>
          <w:color w:val="000000" w:themeColor="text1"/>
          <w:sz w:val="22"/>
        </w:rPr>
      </w:pPr>
    </w:p>
    <w:p w14:paraId="159D518C" w14:textId="42FAC756" w:rsidR="00C46D70" w:rsidRPr="003C27C6" w:rsidRDefault="00C46D70" w:rsidP="0094713D">
      <w:pPr>
        <w:widowControl w:val="0"/>
        <w:autoSpaceDE w:val="0"/>
        <w:autoSpaceDN w:val="0"/>
        <w:rPr>
          <w:rFonts w:ascii="Arial" w:hAnsi="Arial" w:cs="Arial"/>
          <w:color w:val="000000" w:themeColor="text1"/>
          <w:sz w:val="22"/>
        </w:rPr>
      </w:pPr>
    </w:p>
    <w:p w14:paraId="29BDF4D4" w14:textId="7F05B081" w:rsidR="00C46D70" w:rsidRPr="003C27C6" w:rsidRDefault="00C46D70" w:rsidP="0094713D">
      <w:pPr>
        <w:widowControl w:val="0"/>
        <w:autoSpaceDE w:val="0"/>
        <w:autoSpaceDN w:val="0"/>
        <w:rPr>
          <w:rFonts w:ascii="Arial" w:hAnsi="Arial" w:cs="Arial"/>
          <w:color w:val="000000" w:themeColor="text1"/>
          <w:sz w:val="22"/>
        </w:rPr>
      </w:pPr>
    </w:p>
    <w:p w14:paraId="18513CE7" w14:textId="41FCFD91" w:rsidR="00C46D70" w:rsidRPr="003C27C6" w:rsidRDefault="00C46D70" w:rsidP="0094713D">
      <w:pPr>
        <w:widowControl w:val="0"/>
        <w:autoSpaceDE w:val="0"/>
        <w:autoSpaceDN w:val="0"/>
        <w:rPr>
          <w:rFonts w:ascii="Arial" w:hAnsi="Arial" w:cs="Arial"/>
          <w:color w:val="000000" w:themeColor="text1"/>
          <w:sz w:val="22"/>
        </w:rPr>
      </w:pPr>
    </w:p>
    <w:p w14:paraId="21988875" w14:textId="6B0FD8DD" w:rsidR="00C46D70" w:rsidRPr="003C27C6" w:rsidRDefault="00C46D70" w:rsidP="0094713D">
      <w:pPr>
        <w:widowControl w:val="0"/>
        <w:autoSpaceDE w:val="0"/>
        <w:autoSpaceDN w:val="0"/>
        <w:rPr>
          <w:rFonts w:ascii="Arial" w:hAnsi="Arial" w:cs="Arial"/>
          <w:color w:val="000000" w:themeColor="text1"/>
          <w:sz w:val="22"/>
        </w:rPr>
      </w:pPr>
    </w:p>
    <w:p w14:paraId="6CEB09BB" w14:textId="77777777" w:rsidR="007C2461" w:rsidRPr="003C27C6" w:rsidRDefault="007C2461" w:rsidP="007C2461">
      <w:pPr>
        <w:widowControl w:val="0"/>
        <w:autoSpaceDE w:val="0"/>
        <w:autoSpaceDN w:val="0"/>
        <w:ind w:left="4825"/>
        <w:rPr>
          <w:rFonts w:eastAsia="Arial MT" w:hAnsi="Arial MT" w:cs="Arial MT"/>
          <w:sz w:val="20"/>
          <w:szCs w:val="22"/>
          <w:lang w:val="es-ES" w:eastAsia="en-US"/>
        </w:rPr>
      </w:pPr>
      <w:r w:rsidRPr="003C27C6">
        <w:rPr>
          <w:rFonts w:eastAsia="Arial MT" w:hAnsi="Arial MT" w:cs="Arial MT"/>
          <w:noProof/>
          <w:sz w:val="20"/>
          <w:szCs w:val="22"/>
          <w:lang w:val="en-US" w:eastAsia="en-US"/>
        </w:rPr>
        <w:drawing>
          <wp:inline distT="0" distB="0" distL="0" distR="0" wp14:anchorId="0E84E0CD" wp14:editId="1AB0D372">
            <wp:extent cx="2379945" cy="608838"/>
            <wp:effectExtent l="0" t="0" r="0" b="0"/>
            <wp:docPr id="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1" cstate="print"/>
                    <a:stretch>
                      <a:fillRect/>
                    </a:stretch>
                  </pic:blipFill>
                  <pic:spPr>
                    <a:xfrm>
                      <a:off x="0" y="0"/>
                      <a:ext cx="2379945" cy="608838"/>
                    </a:xfrm>
                    <a:prstGeom prst="rect">
                      <a:avLst/>
                    </a:prstGeom>
                  </pic:spPr>
                </pic:pic>
              </a:graphicData>
            </a:graphic>
          </wp:inline>
        </w:drawing>
      </w:r>
    </w:p>
    <w:p w14:paraId="0FE1387B" w14:textId="77777777" w:rsidR="007C2461" w:rsidRPr="003C27C6" w:rsidRDefault="007C2461" w:rsidP="007C2461">
      <w:pPr>
        <w:widowControl w:val="0"/>
        <w:autoSpaceDE w:val="0"/>
        <w:autoSpaceDN w:val="0"/>
        <w:spacing w:before="10"/>
        <w:rPr>
          <w:rFonts w:eastAsia="Arial MT" w:hAnsi="Arial MT" w:cs="Arial MT"/>
          <w:sz w:val="21"/>
          <w:szCs w:val="22"/>
          <w:lang w:val="es-ES" w:eastAsia="en-US"/>
        </w:rPr>
      </w:pPr>
    </w:p>
    <w:p w14:paraId="4E408FBD" w14:textId="77777777" w:rsidR="007C2461" w:rsidRPr="003C27C6" w:rsidRDefault="007C2461" w:rsidP="007C2461">
      <w:pPr>
        <w:widowControl w:val="0"/>
        <w:autoSpaceDE w:val="0"/>
        <w:autoSpaceDN w:val="0"/>
        <w:spacing w:before="94"/>
        <w:ind w:right="533"/>
        <w:jc w:val="right"/>
        <w:rPr>
          <w:rFonts w:ascii="Arial" w:eastAsia="Arial MT" w:hAnsi="Arial MT" w:cs="Arial MT"/>
          <w:b/>
          <w:sz w:val="18"/>
          <w:szCs w:val="22"/>
          <w:lang w:val="es-ES" w:eastAsia="en-US"/>
        </w:rPr>
      </w:pPr>
      <w:r w:rsidRPr="003C27C6">
        <w:rPr>
          <w:rFonts w:ascii="Arial" w:eastAsia="Arial MT" w:hAnsi="Arial MT" w:cs="Arial MT"/>
          <w:b/>
          <w:color w:val="585858"/>
          <w:sz w:val="18"/>
          <w:szCs w:val="22"/>
          <w:lang w:val="es-ES" w:eastAsia="en-US"/>
        </w:rPr>
        <w:t>CCE-DES-FM-17</w:t>
      </w:r>
    </w:p>
    <w:p w14:paraId="1DD72353" w14:textId="77777777" w:rsidR="007C2461" w:rsidRPr="003C27C6" w:rsidRDefault="007C2461" w:rsidP="007C2461">
      <w:pPr>
        <w:widowControl w:val="0"/>
        <w:autoSpaceDE w:val="0"/>
        <w:autoSpaceDN w:val="0"/>
        <w:rPr>
          <w:rFonts w:ascii="Arial" w:eastAsia="Arial MT" w:hAnsi="Arial MT" w:cs="Arial MT"/>
          <w:b/>
          <w:sz w:val="20"/>
          <w:szCs w:val="22"/>
          <w:lang w:val="es-ES" w:eastAsia="en-US"/>
        </w:rPr>
      </w:pPr>
    </w:p>
    <w:p w14:paraId="6172DC93" w14:textId="541E5538" w:rsidR="007C2461" w:rsidRPr="003C27C6" w:rsidRDefault="007C2461" w:rsidP="007C2461">
      <w:pPr>
        <w:widowControl w:val="0"/>
        <w:autoSpaceDE w:val="0"/>
        <w:autoSpaceDN w:val="0"/>
        <w:ind w:left="100"/>
        <w:rPr>
          <w:rFonts w:ascii="Arial MT" w:eastAsia="Arial MT" w:hAnsi="Arial MT" w:cs="Arial MT"/>
          <w:sz w:val="22"/>
          <w:szCs w:val="22"/>
          <w:lang w:val="es-ES" w:eastAsia="en-US"/>
        </w:rPr>
      </w:pPr>
      <w:r w:rsidRPr="003C27C6">
        <w:rPr>
          <w:rFonts w:ascii="Arial MT" w:eastAsia="Arial MT" w:hAnsi="Arial MT" w:cs="Arial MT"/>
          <w:color w:val="4E4D4D"/>
          <w:sz w:val="22"/>
          <w:szCs w:val="22"/>
          <w:lang w:val="es-ES" w:eastAsia="en-US"/>
        </w:rPr>
        <w:t>Bogotá,</w:t>
      </w:r>
      <w:r w:rsidRPr="003C27C6">
        <w:rPr>
          <w:rFonts w:ascii="Arial MT" w:eastAsia="Arial MT" w:hAnsi="Arial MT" w:cs="Arial MT"/>
          <w:color w:val="4E4D4D"/>
          <w:spacing w:val="-2"/>
          <w:sz w:val="22"/>
          <w:szCs w:val="22"/>
          <w:lang w:val="es-ES" w:eastAsia="en-US"/>
        </w:rPr>
        <w:t xml:space="preserve"> </w:t>
      </w:r>
      <w:r w:rsidRPr="003C27C6">
        <w:rPr>
          <w:rFonts w:ascii="Arial MT" w:eastAsia="Arial MT" w:hAnsi="Arial MT" w:cs="Arial MT"/>
          <w:color w:val="4E4D4D"/>
          <w:sz w:val="22"/>
          <w:szCs w:val="22"/>
          <w:lang w:val="es-ES" w:eastAsia="en-US"/>
        </w:rPr>
        <w:t>03</w:t>
      </w:r>
      <w:r w:rsidRPr="003C27C6">
        <w:rPr>
          <w:rFonts w:ascii="Arial MT" w:eastAsia="Arial MT" w:hAnsi="Arial MT" w:cs="Arial MT"/>
          <w:color w:val="4E4D4D"/>
          <w:spacing w:val="-5"/>
          <w:sz w:val="22"/>
          <w:szCs w:val="22"/>
          <w:lang w:val="es-ES" w:eastAsia="en-US"/>
        </w:rPr>
        <w:t xml:space="preserve"> </w:t>
      </w:r>
      <w:r w:rsidR="001A797E" w:rsidRPr="003C27C6">
        <w:rPr>
          <w:rFonts w:ascii="Arial MT" w:eastAsia="Arial MT" w:hAnsi="Arial MT" w:cs="Arial MT"/>
          <w:color w:val="4E4D4D"/>
          <w:sz w:val="22"/>
          <w:szCs w:val="22"/>
          <w:lang w:val="es-ES" w:eastAsia="en-US"/>
        </w:rPr>
        <w:t>enero</w:t>
      </w:r>
      <w:r w:rsidRPr="003C27C6">
        <w:rPr>
          <w:rFonts w:ascii="Arial MT" w:eastAsia="Arial MT" w:hAnsi="Arial MT" w:cs="Arial MT"/>
          <w:color w:val="4E4D4D"/>
          <w:spacing w:val="-4"/>
          <w:sz w:val="22"/>
          <w:szCs w:val="22"/>
          <w:lang w:val="es-ES" w:eastAsia="en-US"/>
        </w:rPr>
        <w:t xml:space="preserve"> </w:t>
      </w:r>
      <w:r w:rsidRPr="003C27C6">
        <w:rPr>
          <w:rFonts w:ascii="Arial MT" w:eastAsia="Arial MT" w:hAnsi="Arial MT" w:cs="Arial MT"/>
          <w:color w:val="4E4D4D"/>
          <w:sz w:val="22"/>
          <w:szCs w:val="22"/>
          <w:lang w:val="es-ES" w:eastAsia="en-US"/>
        </w:rPr>
        <w:t>2022</w:t>
      </w:r>
    </w:p>
    <w:p w14:paraId="3425755A" w14:textId="5E10DD29" w:rsidR="00300726" w:rsidRPr="003C27C6" w:rsidRDefault="00300726" w:rsidP="00300726">
      <w:pPr>
        <w:widowControl w:val="0"/>
        <w:autoSpaceDE w:val="0"/>
        <w:autoSpaceDN w:val="0"/>
        <w:rPr>
          <w:rFonts w:ascii="Arial MT" w:eastAsia="Arial MT" w:hAnsi="Arial MT" w:cs="Arial MT"/>
          <w:szCs w:val="22"/>
          <w:lang w:val="es-ES" w:eastAsia="en-US"/>
        </w:rPr>
      </w:pPr>
    </w:p>
    <w:p w14:paraId="176395FC" w14:textId="1FAB0ACC" w:rsidR="002F3E4E" w:rsidRPr="003C27C6" w:rsidRDefault="002F3E4E" w:rsidP="00B95C30">
      <w:pPr>
        <w:jc w:val="both"/>
        <w:rPr>
          <w:rFonts w:ascii="Arial" w:hAnsi="Arial" w:cs="Arial"/>
          <w:bCs/>
          <w:color w:val="000000" w:themeColor="text1"/>
          <w:sz w:val="22"/>
          <w:lang w:val="es-ES_tradnl"/>
        </w:rPr>
      </w:pPr>
    </w:p>
    <w:p w14:paraId="5F5AE9EF" w14:textId="1211F367" w:rsidR="00B95C30" w:rsidRPr="003C27C6" w:rsidRDefault="00BE4FBF" w:rsidP="00B95C30">
      <w:pPr>
        <w:jc w:val="both"/>
        <w:rPr>
          <w:rFonts w:ascii="Arial" w:eastAsia="Calibri" w:hAnsi="Arial" w:cs="Arial"/>
          <w:color w:val="000000" w:themeColor="text1"/>
          <w:sz w:val="22"/>
        </w:rPr>
      </w:pPr>
      <w:bookmarkStart w:id="8" w:name="_Hlk80951783"/>
      <w:r w:rsidRPr="003C27C6">
        <w:rPr>
          <w:rFonts w:ascii="Arial" w:eastAsia="Calibri" w:hAnsi="Arial" w:cs="Arial"/>
          <w:color w:val="000000" w:themeColor="text1"/>
          <w:sz w:val="22"/>
        </w:rPr>
        <w:t>Señor</w:t>
      </w:r>
    </w:p>
    <w:p w14:paraId="7B32CBBB" w14:textId="4D08B83E" w:rsidR="00A56E1D" w:rsidRPr="003C27C6" w:rsidRDefault="00BD5899" w:rsidP="00B95C30">
      <w:pPr>
        <w:jc w:val="both"/>
        <w:rPr>
          <w:rFonts w:ascii="Arial" w:eastAsia="Calibri" w:hAnsi="Arial" w:cs="Arial"/>
          <w:b/>
          <w:color w:val="000000" w:themeColor="text1"/>
          <w:sz w:val="22"/>
        </w:rPr>
      </w:pPr>
      <w:r w:rsidRPr="003C27C6">
        <w:rPr>
          <w:rFonts w:ascii="Arial" w:eastAsia="Calibri" w:hAnsi="Arial" w:cs="Arial"/>
          <w:b/>
          <w:color w:val="000000" w:themeColor="text1"/>
          <w:sz w:val="22"/>
        </w:rPr>
        <w:t>Luis Alfredo Quezada Aldana</w:t>
      </w:r>
    </w:p>
    <w:p w14:paraId="513743A5" w14:textId="32DEFC7D" w:rsidR="00634FC4" w:rsidRPr="003C27C6" w:rsidRDefault="00BD5899" w:rsidP="00B95C30">
      <w:pPr>
        <w:jc w:val="both"/>
        <w:rPr>
          <w:rFonts w:ascii="Arial" w:eastAsia="Calibri" w:hAnsi="Arial" w:cs="Arial"/>
          <w:color w:val="000000" w:themeColor="text1"/>
          <w:sz w:val="22"/>
        </w:rPr>
      </w:pPr>
      <w:r w:rsidRPr="003C27C6">
        <w:rPr>
          <w:rFonts w:ascii="Arial" w:eastAsia="Calibri" w:hAnsi="Arial" w:cs="Arial"/>
          <w:color w:val="000000" w:themeColor="text1"/>
          <w:sz w:val="22"/>
        </w:rPr>
        <w:t>Florencia-C</w:t>
      </w:r>
      <w:r w:rsidR="00B523D3" w:rsidRPr="003C27C6">
        <w:rPr>
          <w:rFonts w:ascii="Arial" w:eastAsia="Calibri" w:hAnsi="Arial" w:cs="Arial"/>
          <w:color w:val="000000" w:themeColor="text1"/>
          <w:sz w:val="22"/>
        </w:rPr>
        <w:t xml:space="preserve">aquetá </w:t>
      </w:r>
    </w:p>
    <w:p w14:paraId="6DA0F9AE" w14:textId="77777777" w:rsidR="00BD5899" w:rsidRPr="003C27C6" w:rsidRDefault="00BD5899" w:rsidP="00B95C30">
      <w:pPr>
        <w:jc w:val="both"/>
        <w:rPr>
          <w:rFonts w:ascii="Arial" w:eastAsia="Calibri" w:hAnsi="Arial" w:cs="Arial"/>
          <w:color w:val="000000" w:themeColor="text1"/>
          <w:sz w:val="22"/>
        </w:rPr>
      </w:pPr>
    </w:p>
    <w:p w14:paraId="0942E2A4" w14:textId="77777777" w:rsidR="000254DD" w:rsidRPr="003C27C6" w:rsidRDefault="000254DD" w:rsidP="00B95C30">
      <w:pPr>
        <w:jc w:val="both"/>
        <w:rPr>
          <w:rFonts w:ascii="Arial" w:eastAsia="Calibri" w:hAnsi="Arial" w:cs="Arial"/>
          <w:color w:val="000000" w:themeColor="text1"/>
          <w:sz w:val="22"/>
        </w:rPr>
      </w:pPr>
    </w:p>
    <w:p w14:paraId="12E66182" w14:textId="4B600568" w:rsidR="00B95C30" w:rsidRPr="003C27C6" w:rsidRDefault="00A25F2F" w:rsidP="004004C2">
      <w:pPr>
        <w:rPr>
          <w:rFonts w:ascii="Arial" w:eastAsia="Calibri" w:hAnsi="Arial" w:cs="Arial"/>
          <w:b/>
          <w:bCs/>
          <w:color w:val="000000" w:themeColor="text1"/>
          <w:sz w:val="22"/>
          <w:lang w:val="es-ES_tradnl"/>
        </w:rPr>
      </w:pPr>
      <w:r w:rsidRPr="003C27C6">
        <w:rPr>
          <w:rFonts w:ascii="Arial" w:eastAsia="Calibri" w:hAnsi="Arial" w:cs="Arial"/>
          <w:b/>
          <w:bCs/>
          <w:color w:val="000000" w:themeColor="text1"/>
          <w:sz w:val="22"/>
        </w:rPr>
        <w:t xml:space="preserve">                                            </w:t>
      </w:r>
      <w:r w:rsidR="00B95C30" w:rsidRPr="003C27C6">
        <w:rPr>
          <w:rFonts w:ascii="Arial" w:eastAsia="Calibri" w:hAnsi="Arial" w:cs="Arial"/>
          <w:b/>
          <w:bCs/>
          <w:color w:val="000000" w:themeColor="text1"/>
          <w:sz w:val="22"/>
          <w:lang w:val="es-ES_tradnl"/>
        </w:rPr>
        <w:t>Concepto C ‒</w:t>
      </w:r>
      <w:r w:rsidR="00856F87" w:rsidRPr="003C27C6">
        <w:rPr>
          <w:rFonts w:ascii="Arial" w:eastAsia="Calibri" w:hAnsi="Arial" w:cs="Arial"/>
          <w:b/>
          <w:bCs/>
          <w:color w:val="000000" w:themeColor="text1"/>
          <w:sz w:val="22"/>
          <w:lang w:val="es-ES_tradnl"/>
        </w:rPr>
        <w:t xml:space="preserve"> </w:t>
      </w:r>
      <w:r w:rsidR="00BD5899" w:rsidRPr="003C27C6">
        <w:rPr>
          <w:rFonts w:ascii="Arial" w:eastAsia="Calibri" w:hAnsi="Arial" w:cs="Arial"/>
          <w:b/>
          <w:bCs/>
          <w:color w:val="000000" w:themeColor="text1"/>
          <w:sz w:val="22"/>
          <w:lang w:val="es-ES_tradnl"/>
        </w:rPr>
        <w:t>697</w:t>
      </w:r>
      <w:r w:rsidR="00E746A6" w:rsidRPr="003C27C6">
        <w:rPr>
          <w:rFonts w:ascii="Arial" w:eastAsia="Calibri" w:hAnsi="Arial" w:cs="Arial"/>
          <w:b/>
          <w:bCs/>
          <w:color w:val="000000" w:themeColor="text1"/>
          <w:sz w:val="22"/>
          <w:lang w:val="es-ES_tradnl"/>
        </w:rPr>
        <w:t xml:space="preserve"> de 2021</w:t>
      </w:r>
    </w:p>
    <w:p w14:paraId="20200123" w14:textId="6A5F4708" w:rsidR="0096347F" w:rsidRPr="003C27C6" w:rsidRDefault="0096347F"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D7592" w:rsidRPr="003C27C6" w14:paraId="56A33869" w14:textId="77777777" w:rsidTr="0009465C">
        <w:tc>
          <w:tcPr>
            <w:tcW w:w="2689" w:type="dxa"/>
          </w:tcPr>
          <w:p w14:paraId="51A224AA" w14:textId="77777777" w:rsidR="00CD7592" w:rsidRPr="003C27C6" w:rsidRDefault="00CD7592" w:rsidP="0009465C">
            <w:pPr>
              <w:jc w:val="both"/>
              <w:rPr>
                <w:rFonts w:ascii="Arial" w:eastAsia="Calibri" w:hAnsi="Arial" w:cs="Arial"/>
                <w:b/>
                <w:color w:val="000000" w:themeColor="text1"/>
                <w:sz w:val="22"/>
                <w:lang w:val="es-ES_tradnl"/>
              </w:rPr>
            </w:pPr>
            <w:r w:rsidRPr="003C27C6">
              <w:rPr>
                <w:rFonts w:ascii="Arial" w:eastAsia="Calibri" w:hAnsi="Arial" w:cs="Arial"/>
                <w:b/>
                <w:color w:val="000000" w:themeColor="text1"/>
                <w:sz w:val="22"/>
                <w:lang w:val="es-ES_tradnl"/>
              </w:rPr>
              <w:t xml:space="preserve">Temas:                                      </w:t>
            </w:r>
          </w:p>
        </w:tc>
        <w:tc>
          <w:tcPr>
            <w:tcW w:w="6237" w:type="dxa"/>
          </w:tcPr>
          <w:p w14:paraId="72DDBDD1" w14:textId="7BEBBF23" w:rsidR="00C46D70" w:rsidRPr="003C27C6" w:rsidRDefault="00CD7592" w:rsidP="00C46D70">
            <w:pPr>
              <w:jc w:val="both"/>
              <w:rPr>
                <w:rFonts w:ascii="Arial" w:hAnsi="Arial" w:cs="Arial"/>
                <w:color w:val="000000" w:themeColor="text1"/>
                <w:sz w:val="22"/>
              </w:rPr>
            </w:pPr>
            <w:r w:rsidRPr="003C27C6">
              <w:rPr>
                <w:rFonts w:ascii="Arial" w:eastAsia="Calibri" w:hAnsi="Arial" w:cs="Arial"/>
                <w:bCs/>
                <w:color w:val="000000" w:themeColor="text1"/>
                <w:sz w:val="22"/>
                <w:szCs w:val="22"/>
                <w:lang w:val="es-MX" w:eastAsia="en-US"/>
              </w:rPr>
              <w:t xml:space="preserve">LEY DE GARANTÍAS ELECTORALES – Finalidad </w:t>
            </w:r>
            <w:r w:rsidRPr="003C27C6">
              <w:rPr>
                <w:rFonts w:ascii="Arial" w:eastAsia="Calibri" w:hAnsi="Arial" w:cs="Arial"/>
                <w:color w:val="000000" w:themeColor="text1"/>
                <w:sz w:val="22"/>
                <w:szCs w:val="22"/>
                <w:lang w:val="es-ES_tradnl"/>
              </w:rPr>
              <w:t xml:space="preserve">/ </w:t>
            </w:r>
            <w:r w:rsidRPr="003C27C6">
              <w:rPr>
                <w:rFonts w:ascii="Arial" w:eastAsia="Calibri" w:hAnsi="Arial" w:cs="Arial"/>
                <w:bCs/>
                <w:color w:val="000000" w:themeColor="text1"/>
                <w:sz w:val="22"/>
                <w:szCs w:val="22"/>
                <w:lang w:val="es-MX" w:eastAsia="en-US"/>
              </w:rPr>
              <w:t xml:space="preserve">LEY DE GARANTÍAS ELECTORALES ‒ Restricciones ‒ Contratación ‒ Tipos de elección / LEY DE GARANTÍAS ELECTORALES ‒ Prohibiciones ‒ Ámbito temporal / </w:t>
            </w:r>
            <w:r w:rsidRPr="003C27C6">
              <w:rPr>
                <w:rFonts w:ascii="Arial" w:eastAsia="Calibri" w:hAnsi="Arial" w:cs="Arial"/>
                <w:color w:val="000000" w:themeColor="text1"/>
                <w:sz w:val="22"/>
                <w:szCs w:val="22"/>
                <w:lang w:val="es-MX" w:eastAsia="en-US"/>
              </w:rPr>
              <w:t xml:space="preserve">CONTRATOS Y </w:t>
            </w:r>
            <w:r w:rsidRPr="003C27C6">
              <w:rPr>
                <w:rFonts w:ascii="Arial" w:eastAsiaTheme="minorHAnsi" w:hAnsi="Arial" w:cs="Arial"/>
                <w:color w:val="000000" w:themeColor="text1"/>
                <w:sz w:val="22"/>
                <w:szCs w:val="22"/>
                <w:lang w:val="es-MX" w:eastAsia="en-US"/>
              </w:rPr>
              <w:t xml:space="preserve">CONVENIOS INTERADMINISTRATIVOS </w:t>
            </w:r>
            <w:r w:rsidRPr="003C27C6">
              <w:rPr>
                <w:rFonts w:ascii="Arial" w:eastAsia="Calibri" w:hAnsi="Arial" w:cs="Arial"/>
                <w:color w:val="000000" w:themeColor="text1"/>
                <w:sz w:val="22"/>
                <w:szCs w:val="22"/>
                <w:lang w:val="es-MX" w:eastAsia="en-US"/>
              </w:rPr>
              <w:t xml:space="preserve">– Definición – Criterio orgánico / </w:t>
            </w:r>
            <w:r w:rsidR="00F30597" w:rsidRPr="003C27C6">
              <w:rPr>
                <w:rFonts w:ascii="Arial" w:eastAsia="Calibri" w:hAnsi="Arial" w:cs="Arial"/>
                <w:sz w:val="22"/>
              </w:rPr>
              <w:t>LEY DE GARANTÍAS – Modificación – Ley 2159 de 2021 – Artículo 124 – Alcance</w:t>
            </w:r>
            <w:r w:rsidR="00C46D70" w:rsidRPr="003C27C6">
              <w:rPr>
                <w:rFonts w:ascii="Arial" w:hAnsi="Arial" w:cs="Arial"/>
                <w:color w:val="000000" w:themeColor="text1"/>
                <w:sz w:val="22"/>
              </w:rPr>
              <w:t xml:space="preserve"> / </w:t>
            </w:r>
            <w:r w:rsidR="00C46D70" w:rsidRPr="003C27C6">
              <w:rPr>
                <w:rFonts w:ascii="Arial" w:eastAsia="Calibri" w:hAnsi="Arial" w:cs="Arial"/>
                <w:bCs/>
                <w:sz w:val="22"/>
                <w:szCs w:val="22"/>
                <w:lang w:val="es-MX" w:eastAsia="en-US"/>
              </w:rPr>
              <w:t>LEY DE GARANTÍAS ELECTORALES ─ Prohibición artículo 33 ‒ Contratación directa ‒ Alcance / LEY DE GARANTÍAS ELECTORALES ‒ Contratos de colaboración ‒ Convenios de asociación ‒ prohibición artículo 33 ‒ procesos no competitivos.</w:t>
            </w:r>
            <w:r w:rsidR="00C46D70" w:rsidRPr="003C27C6">
              <w:rPr>
                <w:rFonts w:ascii="Arial" w:eastAsia="Calibri" w:hAnsi="Arial" w:cs="Arial"/>
                <w:b/>
                <w:bCs/>
                <w:sz w:val="22"/>
                <w:szCs w:val="22"/>
                <w:lang w:val="es-MX" w:eastAsia="en-US"/>
              </w:rPr>
              <w:t xml:space="preserve"> </w:t>
            </w:r>
          </w:p>
          <w:p w14:paraId="51BCE4D2" w14:textId="2792B6EF" w:rsidR="00CD7592" w:rsidRPr="003C27C6" w:rsidRDefault="00CD7592" w:rsidP="0009465C">
            <w:pPr>
              <w:tabs>
                <w:tab w:val="left" w:pos="426"/>
              </w:tabs>
              <w:jc w:val="both"/>
              <w:rPr>
                <w:rFonts w:ascii="Arial" w:eastAsia="Calibri" w:hAnsi="Arial" w:cs="Arial"/>
                <w:color w:val="000000" w:themeColor="text1"/>
                <w:sz w:val="22"/>
                <w:lang w:val="es-MX"/>
              </w:rPr>
            </w:pPr>
          </w:p>
        </w:tc>
      </w:tr>
      <w:tr w:rsidR="00B95C30" w:rsidRPr="003C27C6" w14:paraId="27CD52AB" w14:textId="77777777" w:rsidTr="0096347F">
        <w:trPr>
          <w:trHeight w:val="391"/>
        </w:trPr>
        <w:tc>
          <w:tcPr>
            <w:tcW w:w="2689" w:type="dxa"/>
          </w:tcPr>
          <w:p w14:paraId="37E195A1" w14:textId="3D8DD034" w:rsidR="00B95C30" w:rsidRPr="003C27C6" w:rsidRDefault="00B95C30" w:rsidP="008F4163">
            <w:pPr>
              <w:spacing w:before="120"/>
              <w:jc w:val="both"/>
              <w:rPr>
                <w:rFonts w:ascii="Arial" w:eastAsia="Calibri" w:hAnsi="Arial" w:cs="Arial"/>
                <w:color w:val="000000" w:themeColor="text1"/>
                <w:sz w:val="22"/>
                <w:szCs w:val="22"/>
                <w:lang w:val="es-ES_tradnl"/>
              </w:rPr>
            </w:pPr>
            <w:r w:rsidRPr="003C27C6">
              <w:rPr>
                <w:rFonts w:ascii="Arial" w:eastAsia="Calibri" w:hAnsi="Arial" w:cs="Arial"/>
                <w:b/>
                <w:color w:val="000000" w:themeColor="text1"/>
                <w:sz w:val="22"/>
                <w:szCs w:val="22"/>
                <w:lang w:val="es-ES_tradnl"/>
              </w:rPr>
              <w:t>Radicación</w:t>
            </w:r>
            <w:r w:rsidRPr="003C27C6">
              <w:rPr>
                <w:rFonts w:ascii="Arial" w:eastAsia="Calibri" w:hAnsi="Arial" w:cs="Arial"/>
                <w:color w:val="000000" w:themeColor="text1"/>
                <w:sz w:val="22"/>
                <w:szCs w:val="22"/>
                <w:lang w:val="es-ES_tradnl"/>
              </w:rPr>
              <w:t xml:space="preserve">:                              </w:t>
            </w:r>
          </w:p>
        </w:tc>
        <w:tc>
          <w:tcPr>
            <w:tcW w:w="6237" w:type="dxa"/>
          </w:tcPr>
          <w:p w14:paraId="09088B1B" w14:textId="262CE17D" w:rsidR="00B95C30" w:rsidRPr="003C27C6" w:rsidRDefault="00B95C30" w:rsidP="003A231A">
            <w:pPr>
              <w:spacing w:before="120"/>
              <w:jc w:val="both"/>
              <w:rPr>
                <w:rFonts w:ascii="Arial" w:eastAsia="Calibri" w:hAnsi="Arial" w:cs="Arial"/>
                <w:color w:val="000000" w:themeColor="text1"/>
                <w:sz w:val="22"/>
                <w:szCs w:val="22"/>
                <w:lang w:val="es-ES_tradnl"/>
              </w:rPr>
            </w:pPr>
            <w:r w:rsidRPr="003C27C6">
              <w:rPr>
                <w:rFonts w:ascii="Arial" w:eastAsia="Calibri" w:hAnsi="Arial" w:cs="Arial"/>
                <w:color w:val="000000" w:themeColor="text1"/>
                <w:sz w:val="22"/>
                <w:szCs w:val="22"/>
                <w:lang w:val="es-ES_tradnl"/>
              </w:rPr>
              <w:t>Respuesta a consulta #</w:t>
            </w:r>
            <w:r w:rsidR="00A161D5" w:rsidRPr="003C27C6">
              <w:rPr>
                <w:rFonts w:ascii="Arial" w:eastAsia="Calibri" w:hAnsi="Arial" w:cs="Arial"/>
                <w:color w:val="000000" w:themeColor="text1"/>
                <w:sz w:val="22"/>
                <w:szCs w:val="22"/>
                <w:lang w:val="es-ES_tradnl"/>
              </w:rPr>
              <w:t xml:space="preserve"> </w:t>
            </w:r>
            <w:r w:rsidR="00337F50" w:rsidRPr="003C27C6">
              <w:rPr>
                <w:rFonts w:ascii="Arial" w:hAnsi="Arial" w:cs="Arial"/>
                <w:bCs/>
                <w:color w:val="323130"/>
                <w:sz w:val="22"/>
                <w:szCs w:val="22"/>
                <w:shd w:val="clear" w:color="auto" w:fill="FFFFFF"/>
              </w:rPr>
              <w:t>P20211120010783</w:t>
            </w:r>
          </w:p>
        </w:tc>
      </w:tr>
    </w:tbl>
    <w:p w14:paraId="453071DE" w14:textId="77777777" w:rsidR="0096347F" w:rsidRPr="003C27C6" w:rsidRDefault="0096347F" w:rsidP="003C3339">
      <w:pPr>
        <w:jc w:val="both"/>
        <w:rPr>
          <w:rFonts w:ascii="Arial" w:eastAsia="Calibri" w:hAnsi="Arial" w:cs="Arial"/>
          <w:color w:val="000000" w:themeColor="text1"/>
          <w:sz w:val="22"/>
        </w:rPr>
      </w:pPr>
    </w:p>
    <w:p w14:paraId="1CF4AEA0" w14:textId="77A47E2D" w:rsidR="003C3339" w:rsidRPr="003C27C6" w:rsidRDefault="003C3339" w:rsidP="003C3339">
      <w:pPr>
        <w:jc w:val="both"/>
        <w:rPr>
          <w:rFonts w:ascii="Arial" w:eastAsia="Calibri" w:hAnsi="Arial" w:cs="Arial"/>
          <w:color w:val="000000" w:themeColor="text1"/>
          <w:sz w:val="22"/>
          <w:lang w:val="es-ES_tradnl"/>
        </w:rPr>
      </w:pPr>
      <w:r w:rsidRPr="003C27C6">
        <w:rPr>
          <w:rFonts w:ascii="Arial" w:eastAsia="Calibri" w:hAnsi="Arial" w:cs="Arial"/>
          <w:color w:val="000000" w:themeColor="text1"/>
          <w:sz w:val="22"/>
          <w:lang w:val="es-ES_tradnl"/>
        </w:rPr>
        <w:t>Estimad</w:t>
      </w:r>
      <w:r w:rsidR="00BD5899" w:rsidRPr="003C27C6">
        <w:rPr>
          <w:rFonts w:ascii="Arial" w:eastAsia="Calibri" w:hAnsi="Arial" w:cs="Arial"/>
          <w:color w:val="000000" w:themeColor="text1"/>
          <w:sz w:val="22"/>
          <w:lang w:val="es-ES_tradnl"/>
        </w:rPr>
        <w:t xml:space="preserve">o Señor </w:t>
      </w:r>
      <w:r w:rsidR="00264496" w:rsidRPr="003C27C6">
        <w:rPr>
          <w:rFonts w:ascii="Arial" w:eastAsia="Calibri" w:hAnsi="Arial" w:cs="Arial"/>
          <w:color w:val="000000" w:themeColor="text1"/>
          <w:sz w:val="22"/>
          <w:lang w:val="es-ES_tradnl"/>
        </w:rPr>
        <w:t>Quezada</w:t>
      </w:r>
      <w:r w:rsidR="00BD5899" w:rsidRPr="003C27C6">
        <w:rPr>
          <w:rFonts w:ascii="Arial" w:eastAsia="Calibri" w:hAnsi="Arial" w:cs="Arial"/>
          <w:color w:val="000000" w:themeColor="text1"/>
          <w:sz w:val="22"/>
          <w:lang w:val="es-ES_tradnl"/>
        </w:rPr>
        <w:t>:</w:t>
      </w:r>
    </w:p>
    <w:p w14:paraId="1EAE5543" w14:textId="77777777" w:rsidR="00DD5B04" w:rsidRPr="003C27C6" w:rsidRDefault="00DD5B04" w:rsidP="00DF76A2">
      <w:pPr>
        <w:jc w:val="both"/>
        <w:rPr>
          <w:rFonts w:ascii="Arial" w:eastAsia="Calibri" w:hAnsi="Arial" w:cs="Arial"/>
          <w:color w:val="000000" w:themeColor="text1"/>
          <w:sz w:val="22"/>
          <w:lang w:val="es-ES_tradnl"/>
        </w:rPr>
      </w:pPr>
    </w:p>
    <w:p w14:paraId="2109B2D3" w14:textId="3BD0D4F8" w:rsidR="00DD5B04" w:rsidRPr="003C27C6" w:rsidRDefault="00DD5B04" w:rsidP="00DF76A2">
      <w:pPr>
        <w:spacing w:line="276" w:lineRule="auto"/>
        <w:jc w:val="both"/>
        <w:rPr>
          <w:rFonts w:ascii="Arial" w:eastAsia="Calibri" w:hAnsi="Arial" w:cs="Arial"/>
          <w:color w:val="000000" w:themeColor="text1"/>
          <w:sz w:val="22"/>
          <w:lang w:val="es-ES_tradnl"/>
        </w:rPr>
      </w:pPr>
      <w:r w:rsidRPr="003C27C6">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426FB4" w:rsidRPr="003C27C6">
        <w:rPr>
          <w:rFonts w:ascii="Arial" w:eastAsia="Calibri" w:hAnsi="Arial" w:cs="Arial"/>
          <w:color w:val="000000" w:themeColor="text1"/>
          <w:sz w:val="22"/>
          <w:lang w:val="es-ES_tradnl"/>
        </w:rPr>
        <w:t>–</w:t>
      </w:r>
      <w:r w:rsidRPr="003C27C6">
        <w:rPr>
          <w:rFonts w:ascii="Arial" w:eastAsia="Calibri" w:hAnsi="Arial" w:cs="Arial"/>
          <w:color w:val="000000" w:themeColor="text1"/>
          <w:sz w:val="22"/>
          <w:lang w:val="es-ES_tradnl"/>
        </w:rPr>
        <w:t xml:space="preserve"> Colombia Compra Eficiente</w:t>
      </w:r>
      <w:r w:rsidR="008C3C57" w:rsidRPr="003C27C6">
        <w:rPr>
          <w:rFonts w:ascii="Arial" w:eastAsia="Calibri" w:hAnsi="Arial" w:cs="Arial"/>
          <w:color w:val="000000" w:themeColor="text1"/>
          <w:sz w:val="22"/>
          <w:lang w:val="es-ES_tradnl"/>
        </w:rPr>
        <w:t xml:space="preserve"> </w:t>
      </w:r>
      <w:r w:rsidR="00436B3F" w:rsidRPr="003C27C6">
        <w:rPr>
          <w:rFonts w:ascii="Arial" w:eastAsia="Calibri" w:hAnsi="Arial" w:cs="Arial"/>
          <w:color w:val="000000" w:themeColor="text1"/>
          <w:sz w:val="22"/>
          <w:lang w:val="es-ES_tradnl"/>
        </w:rPr>
        <w:t>responde a su consulta del</w:t>
      </w:r>
      <w:r w:rsidR="00634FC4" w:rsidRPr="003C27C6">
        <w:rPr>
          <w:rFonts w:ascii="Arial" w:eastAsia="Calibri" w:hAnsi="Arial" w:cs="Arial"/>
          <w:color w:val="000000" w:themeColor="text1"/>
          <w:sz w:val="22"/>
          <w:lang w:val="es-ES_tradnl"/>
        </w:rPr>
        <w:t xml:space="preserve"> </w:t>
      </w:r>
      <w:r w:rsidR="009E649E" w:rsidRPr="003C27C6">
        <w:rPr>
          <w:rFonts w:ascii="Arial" w:eastAsia="Calibri" w:hAnsi="Arial" w:cs="Arial"/>
          <w:color w:val="000000" w:themeColor="text1"/>
          <w:sz w:val="22"/>
          <w:lang w:val="es-ES_tradnl"/>
        </w:rPr>
        <w:t>1</w:t>
      </w:r>
      <w:r w:rsidR="00634FC4" w:rsidRPr="003C27C6">
        <w:rPr>
          <w:rFonts w:ascii="Arial" w:eastAsia="Calibri" w:hAnsi="Arial" w:cs="Arial"/>
          <w:color w:val="000000" w:themeColor="text1"/>
          <w:sz w:val="22"/>
          <w:lang w:val="es-ES_tradnl"/>
        </w:rPr>
        <w:t>9 de noviembre de 2021</w:t>
      </w:r>
      <w:r w:rsidR="00436B3F" w:rsidRPr="003C27C6">
        <w:rPr>
          <w:rFonts w:ascii="Arial" w:eastAsia="Calibri" w:hAnsi="Arial" w:cs="Arial"/>
          <w:color w:val="000000" w:themeColor="text1"/>
          <w:sz w:val="22"/>
          <w:lang w:val="es-ES_tradnl"/>
        </w:rPr>
        <w:t xml:space="preserve">. </w:t>
      </w:r>
    </w:p>
    <w:p w14:paraId="4DD02E29" w14:textId="670A45B8" w:rsidR="0096347F" w:rsidRPr="003C27C6" w:rsidRDefault="0096347F" w:rsidP="00DF76A2">
      <w:pPr>
        <w:spacing w:line="276" w:lineRule="auto"/>
        <w:jc w:val="both"/>
        <w:rPr>
          <w:rFonts w:ascii="Arial" w:eastAsia="Calibri" w:hAnsi="Arial" w:cs="Arial"/>
          <w:b/>
          <w:color w:val="000000" w:themeColor="text1"/>
          <w:sz w:val="22"/>
          <w:lang w:val="es-ES_tradnl"/>
        </w:rPr>
      </w:pPr>
    </w:p>
    <w:p w14:paraId="7701FCC7" w14:textId="77777777" w:rsidR="00DD5B04" w:rsidRPr="003C27C6"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3C27C6">
        <w:rPr>
          <w:rFonts w:ascii="Arial" w:eastAsia="Calibri" w:hAnsi="Arial" w:cs="Arial"/>
          <w:b/>
          <w:color w:val="000000" w:themeColor="text1"/>
          <w:sz w:val="22"/>
          <w:lang w:val="es-ES_tradnl"/>
        </w:rPr>
        <w:t xml:space="preserve">Problema planteado </w:t>
      </w:r>
    </w:p>
    <w:p w14:paraId="224B43D3" w14:textId="77777777" w:rsidR="00DD5B04" w:rsidRPr="003C27C6"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6ADCBDB7" w14:textId="77777777" w:rsidR="00DD40F8" w:rsidRPr="003C27C6" w:rsidRDefault="00E746A6" w:rsidP="00DD40F8">
      <w:pPr>
        <w:autoSpaceDE w:val="0"/>
        <w:autoSpaceDN w:val="0"/>
        <w:adjustRightInd w:val="0"/>
        <w:rPr>
          <w:rFonts w:ascii="Arial" w:hAnsi="Arial" w:cs="Arial"/>
          <w:color w:val="000000" w:themeColor="text1"/>
          <w:sz w:val="22"/>
          <w:szCs w:val="22"/>
          <w:lang w:val="es-ES_tradnl"/>
        </w:rPr>
      </w:pPr>
      <w:r w:rsidRPr="003C27C6">
        <w:rPr>
          <w:rFonts w:ascii="Arial" w:hAnsi="Arial" w:cs="Arial"/>
          <w:color w:val="000000" w:themeColor="text1"/>
          <w:sz w:val="22"/>
          <w:szCs w:val="22"/>
          <w:lang w:val="es-ES_tradnl"/>
        </w:rPr>
        <w:t>En su consulta plantea lo siguiente</w:t>
      </w:r>
      <w:r w:rsidR="006251D3" w:rsidRPr="003C27C6">
        <w:rPr>
          <w:rFonts w:ascii="Arial" w:hAnsi="Arial" w:cs="Arial"/>
          <w:color w:val="000000" w:themeColor="text1"/>
          <w:sz w:val="22"/>
          <w:szCs w:val="22"/>
          <w:lang w:val="es-ES_tradnl"/>
        </w:rPr>
        <w:t xml:space="preserve">: </w:t>
      </w:r>
    </w:p>
    <w:p w14:paraId="27770693" w14:textId="6E544E5F" w:rsidR="00DD40F8" w:rsidRPr="003C27C6" w:rsidRDefault="00DD40F8" w:rsidP="00DD40F8">
      <w:pPr>
        <w:autoSpaceDE w:val="0"/>
        <w:autoSpaceDN w:val="0"/>
        <w:adjustRightInd w:val="0"/>
        <w:rPr>
          <w:rFonts w:ascii="Arial" w:hAnsi="Arial" w:cs="Arial"/>
          <w:color w:val="000000" w:themeColor="text1"/>
          <w:sz w:val="22"/>
          <w:szCs w:val="22"/>
          <w:lang w:val="es-ES_tradnl"/>
        </w:rPr>
      </w:pPr>
    </w:p>
    <w:p w14:paraId="4F87F415" w14:textId="72FEB79C" w:rsidR="009E649E" w:rsidRPr="003C27C6" w:rsidRDefault="009E649E" w:rsidP="00855426">
      <w:pPr>
        <w:autoSpaceDE w:val="0"/>
        <w:autoSpaceDN w:val="0"/>
        <w:adjustRightInd w:val="0"/>
        <w:ind w:left="709" w:right="709"/>
        <w:jc w:val="both"/>
        <w:rPr>
          <w:rFonts w:ascii="Arial" w:hAnsi="Arial" w:cs="Arial"/>
          <w:sz w:val="21"/>
          <w:szCs w:val="21"/>
        </w:rPr>
      </w:pPr>
      <w:r w:rsidRPr="003C27C6">
        <w:rPr>
          <w:rFonts w:ascii="Arial" w:hAnsi="Arial" w:cs="Arial"/>
          <w:color w:val="000000" w:themeColor="text1"/>
          <w:sz w:val="21"/>
          <w:szCs w:val="21"/>
          <w:lang w:val="es-ES_tradnl"/>
        </w:rPr>
        <w:t>«</w:t>
      </w:r>
      <w:r w:rsidRPr="003C27C6">
        <w:rPr>
          <w:rFonts w:ascii="Arial" w:hAnsi="Arial" w:cs="Arial"/>
          <w:sz w:val="21"/>
          <w:szCs w:val="21"/>
        </w:rPr>
        <w:t xml:space="preserve">a) ¿La suspensión del Parágrafo del Artículo 38 de la Ley 996/2005 aplica únicamente para el orden nacional, es decir, solo la Nación podría celebrar convenios y contratos interadministrativos con las Entidades Territoriales? b) ¿Pueden celebrarse convenios y contratos interadministrativos entre Entidades Territoriales (Gobernación, Alcaldía) y otras Entidades Territoriales como universidades, empresas de servicio públicos del Estado, empresas sociales del estado, </w:t>
      </w:r>
      <w:r w:rsidR="00C86324" w:rsidRPr="003C27C6">
        <w:rPr>
          <w:rFonts w:ascii="Arial" w:hAnsi="Arial" w:cs="Arial"/>
          <w:sz w:val="21"/>
          <w:szCs w:val="21"/>
        </w:rPr>
        <w:t>etc</w:t>
      </w:r>
      <w:r w:rsidR="008C2F98" w:rsidRPr="003C27C6">
        <w:rPr>
          <w:rFonts w:ascii="Arial" w:hAnsi="Arial" w:cs="Arial"/>
          <w:sz w:val="21"/>
          <w:szCs w:val="21"/>
        </w:rPr>
        <w:t xml:space="preserve">. </w:t>
      </w:r>
      <w:r w:rsidR="0028174D" w:rsidRPr="003C27C6">
        <w:rPr>
          <w:rFonts w:ascii="Arial" w:hAnsi="Arial" w:cs="Arial"/>
          <w:sz w:val="21"/>
          <w:szCs w:val="21"/>
        </w:rPr>
        <w:t>[</w:t>
      </w:r>
      <w:r w:rsidRPr="003C27C6">
        <w:rPr>
          <w:rFonts w:ascii="Arial" w:hAnsi="Arial" w:cs="Arial"/>
          <w:sz w:val="21"/>
          <w:szCs w:val="21"/>
        </w:rPr>
        <w:t>…</w:t>
      </w:r>
      <w:r w:rsidR="0028174D" w:rsidRPr="003C27C6">
        <w:rPr>
          <w:rFonts w:ascii="Arial" w:hAnsi="Arial" w:cs="Arial"/>
          <w:sz w:val="21"/>
          <w:szCs w:val="21"/>
        </w:rPr>
        <w:t>]</w:t>
      </w:r>
      <w:r w:rsidRPr="003C27C6">
        <w:rPr>
          <w:rFonts w:ascii="Arial" w:hAnsi="Arial" w:cs="Arial"/>
          <w:sz w:val="21"/>
          <w:szCs w:val="21"/>
        </w:rPr>
        <w:t>?</w:t>
      </w:r>
      <w:r w:rsidR="0028174D" w:rsidRPr="003C27C6">
        <w:rPr>
          <w:rFonts w:ascii="Arial" w:hAnsi="Arial" w:cs="Arial"/>
          <w:sz w:val="21"/>
          <w:szCs w:val="21"/>
        </w:rPr>
        <w:t>»</w:t>
      </w:r>
      <w:r w:rsidRPr="003C27C6">
        <w:rPr>
          <w:rFonts w:ascii="Arial" w:hAnsi="Arial" w:cs="Arial"/>
          <w:sz w:val="21"/>
          <w:szCs w:val="21"/>
        </w:rPr>
        <w:t xml:space="preserve"> </w:t>
      </w:r>
    </w:p>
    <w:p w14:paraId="1B55FABA" w14:textId="77777777" w:rsidR="009E649E" w:rsidRPr="003C27C6" w:rsidRDefault="009E649E" w:rsidP="00855426">
      <w:pPr>
        <w:autoSpaceDE w:val="0"/>
        <w:autoSpaceDN w:val="0"/>
        <w:adjustRightInd w:val="0"/>
        <w:ind w:left="709" w:right="709"/>
        <w:jc w:val="both"/>
        <w:rPr>
          <w:rFonts w:ascii="Arial" w:hAnsi="Arial" w:cs="Arial"/>
          <w:sz w:val="21"/>
          <w:szCs w:val="21"/>
        </w:rPr>
      </w:pPr>
    </w:p>
    <w:p w14:paraId="4BD1A156" w14:textId="460DF47F" w:rsidR="00436B3F" w:rsidRPr="003C27C6" w:rsidRDefault="0028174D" w:rsidP="00855426">
      <w:pPr>
        <w:autoSpaceDE w:val="0"/>
        <w:autoSpaceDN w:val="0"/>
        <w:adjustRightInd w:val="0"/>
        <w:ind w:left="709" w:right="709"/>
        <w:jc w:val="both"/>
        <w:rPr>
          <w:rFonts w:ascii="Arial" w:hAnsi="Arial" w:cs="Arial"/>
          <w:color w:val="000000" w:themeColor="text1"/>
          <w:sz w:val="21"/>
          <w:szCs w:val="21"/>
          <w:lang w:val="es-ES_tradnl"/>
        </w:rPr>
      </w:pPr>
      <w:r w:rsidRPr="003C27C6">
        <w:rPr>
          <w:rFonts w:ascii="Arial" w:eastAsia="Calibri" w:hAnsi="Arial" w:cs="Arial"/>
          <w:sz w:val="22"/>
          <w:szCs w:val="22"/>
          <w:lang w:eastAsia="en-US"/>
        </w:rPr>
        <w:t>«</w:t>
      </w:r>
      <w:r w:rsidR="009E649E" w:rsidRPr="003C27C6">
        <w:rPr>
          <w:rFonts w:ascii="Arial" w:hAnsi="Arial" w:cs="Arial"/>
          <w:sz w:val="21"/>
          <w:szCs w:val="21"/>
        </w:rPr>
        <w:t xml:space="preserve">2. Respecto de los convenios con las ESAL, se encuentran restringidas las contrataciones que en el marco del Decreto 092 de 2017 se realicen a través de procesos no competitivos que se asimilan a la contratación directa, tales como i) actividades artísticas, culturales, deportivas y de promoción de la diversidad étnica colombiana, que sólo pueden desarrollar determinadas personas naturales o jurídicas; </w:t>
      </w:r>
      <w:proofErr w:type="spellStart"/>
      <w:r w:rsidR="009E649E" w:rsidRPr="003C27C6">
        <w:rPr>
          <w:rFonts w:ascii="Arial" w:hAnsi="Arial" w:cs="Arial"/>
          <w:sz w:val="21"/>
          <w:szCs w:val="21"/>
        </w:rPr>
        <w:t>ii</w:t>
      </w:r>
      <w:proofErr w:type="spellEnd"/>
      <w:r w:rsidR="009E649E" w:rsidRPr="003C27C6">
        <w:rPr>
          <w:rFonts w:ascii="Arial" w:hAnsi="Arial" w:cs="Arial"/>
          <w:sz w:val="21"/>
          <w:szCs w:val="21"/>
        </w:rPr>
        <w:t xml:space="preserve">) Los convenios de asociación en los cuales una única entidad privada sin ánimo de lucro – ESAL comprometa en dinero una proporción no inferior al 30% del valor total del convenio; </w:t>
      </w:r>
      <w:proofErr w:type="spellStart"/>
      <w:r w:rsidR="009E649E" w:rsidRPr="003C27C6">
        <w:rPr>
          <w:rFonts w:ascii="Arial" w:hAnsi="Arial" w:cs="Arial"/>
          <w:sz w:val="21"/>
          <w:szCs w:val="21"/>
        </w:rPr>
        <w:t>iii</w:t>
      </w:r>
      <w:proofErr w:type="spellEnd"/>
      <w:r w:rsidR="009E649E" w:rsidRPr="003C27C6">
        <w:rPr>
          <w:rFonts w:ascii="Arial" w:hAnsi="Arial" w:cs="Arial"/>
          <w:sz w:val="21"/>
          <w:szCs w:val="21"/>
        </w:rPr>
        <w:t>) En los contratos de colaboración en los que la Entidad Estatal en la etapa de planeación identifique que el programa o actividad de interés público que requiere desarrollar sólo puede ser realizado por una única Entidad sin ánimo de lucro</w:t>
      </w:r>
      <w:r w:rsidR="009E649E" w:rsidRPr="003C27C6">
        <w:rPr>
          <w:rFonts w:ascii="Arial" w:eastAsia="Calibri" w:hAnsi="Arial" w:cs="Arial"/>
          <w:sz w:val="22"/>
          <w:szCs w:val="22"/>
          <w:lang w:eastAsia="en-US"/>
        </w:rPr>
        <w:t>»</w:t>
      </w:r>
      <w:r w:rsidR="009E649E" w:rsidRPr="003C27C6">
        <w:rPr>
          <w:rFonts w:ascii="Arial" w:hAnsi="Arial" w:cs="Arial"/>
          <w:sz w:val="21"/>
          <w:szCs w:val="21"/>
        </w:rPr>
        <w:t>.</w:t>
      </w:r>
    </w:p>
    <w:p w14:paraId="037E7D68" w14:textId="78124F54" w:rsidR="007446F6" w:rsidRPr="003C27C6" w:rsidRDefault="007446F6" w:rsidP="006B3EB4">
      <w:pPr>
        <w:spacing w:line="276" w:lineRule="auto"/>
        <w:jc w:val="both"/>
        <w:rPr>
          <w:rFonts w:ascii="Arial" w:hAnsi="Arial" w:cs="Arial"/>
          <w:color w:val="000000" w:themeColor="text1"/>
          <w:sz w:val="22"/>
          <w:szCs w:val="22"/>
          <w:lang w:val="es-ES_tradnl"/>
        </w:rPr>
      </w:pPr>
    </w:p>
    <w:p w14:paraId="124D2DCA" w14:textId="77777777" w:rsidR="00DD5B04" w:rsidRPr="003C27C6"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3C27C6">
        <w:rPr>
          <w:rFonts w:ascii="Arial" w:eastAsia="Calibri" w:hAnsi="Arial" w:cs="Arial"/>
          <w:b/>
          <w:color w:val="000000" w:themeColor="text1"/>
          <w:sz w:val="22"/>
          <w:lang w:val="es-ES_tradnl"/>
        </w:rPr>
        <w:t>Consideraciones</w:t>
      </w:r>
    </w:p>
    <w:p w14:paraId="7D050D2E" w14:textId="77777777" w:rsidR="00435703" w:rsidRPr="003C27C6" w:rsidRDefault="00435703" w:rsidP="00DF76A2">
      <w:pPr>
        <w:spacing w:line="276" w:lineRule="auto"/>
        <w:jc w:val="both"/>
        <w:rPr>
          <w:rFonts w:ascii="Arial" w:eastAsia="Calibri" w:hAnsi="Arial" w:cs="Arial"/>
          <w:color w:val="000000" w:themeColor="text1"/>
          <w:sz w:val="22"/>
          <w:szCs w:val="22"/>
          <w:lang w:val="es-ES_tradnl"/>
        </w:rPr>
      </w:pPr>
    </w:p>
    <w:p w14:paraId="2100A875" w14:textId="2AE110CD" w:rsidR="00E670DD" w:rsidRPr="003C27C6" w:rsidRDefault="008E30C4" w:rsidP="00530DFE">
      <w:pPr>
        <w:spacing w:line="276" w:lineRule="auto"/>
        <w:jc w:val="both"/>
        <w:rPr>
          <w:rFonts w:ascii="Arial" w:eastAsia="Calibri" w:hAnsi="Arial" w:cs="Arial"/>
          <w:color w:val="000000" w:themeColor="text1"/>
          <w:sz w:val="22"/>
        </w:rPr>
      </w:pPr>
      <w:r w:rsidRPr="003C27C6">
        <w:rPr>
          <w:rFonts w:ascii="Arial" w:eastAsia="Calibri" w:hAnsi="Arial" w:cs="Arial"/>
          <w:color w:val="000000" w:themeColor="text1"/>
          <w:sz w:val="22"/>
          <w:szCs w:val="22"/>
          <w:lang w:val="es-ES_tradnl"/>
        </w:rPr>
        <w:t xml:space="preserve">La </w:t>
      </w:r>
      <w:r w:rsidR="000A600A" w:rsidRPr="003C27C6">
        <w:rPr>
          <w:rFonts w:ascii="Arial" w:eastAsia="Calibri" w:hAnsi="Arial" w:cs="Arial"/>
          <w:color w:val="000000" w:themeColor="text1"/>
          <w:sz w:val="22"/>
          <w:szCs w:val="22"/>
          <w:lang w:val="es-ES_tradnl"/>
        </w:rPr>
        <w:t xml:space="preserve">Agencia Nacional de Contratación Pública – Colombia Compra Eficiente </w:t>
      </w:r>
      <w:r w:rsidR="00E670DD" w:rsidRPr="003C27C6">
        <w:rPr>
          <w:rFonts w:ascii="Arial" w:eastAsia="Calibri" w:hAnsi="Arial" w:cs="Arial"/>
          <w:color w:val="000000" w:themeColor="text1"/>
          <w:sz w:val="22"/>
        </w:rPr>
        <w:t>se ha pronunciado en diferentes ocasiones sobre la Ley de Garantías</w:t>
      </w:r>
      <w:r w:rsidR="001459D2" w:rsidRPr="003C27C6">
        <w:rPr>
          <w:rFonts w:ascii="Arial" w:eastAsia="Calibri" w:hAnsi="Arial" w:cs="Arial"/>
          <w:color w:val="000000" w:themeColor="text1"/>
          <w:sz w:val="22"/>
        </w:rPr>
        <w:t xml:space="preserve"> Electorales</w:t>
      </w:r>
      <w:r w:rsidR="00E670DD" w:rsidRPr="003C27C6">
        <w:rPr>
          <w:rFonts w:ascii="Arial" w:eastAsia="Calibri" w:hAnsi="Arial" w:cs="Arial"/>
          <w:color w:val="000000" w:themeColor="text1"/>
          <w:sz w:val="22"/>
        </w:rPr>
        <w:t>, entre otros,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w:t>
      </w:r>
      <w:r w:rsidR="00E746A6" w:rsidRPr="003C27C6">
        <w:rPr>
          <w:rFonts w:ascii="Arial" w:eastAsia="Calibri" w:hAnsi="Arial" w:cs="Arial"/>
          <w:color w:val="000000" w:themeColor="text1"/>
          <w:sz w:val="22"/>
        </w:rPr>
        <w:t xml:space="preserve">, </w:t>
      </w:r>
      <w:r w:rsidR="00974B94" w:rsidRPr="003C27C6">
        <w:rPr>
          <w:rFonts w:ascii="Arial" w:eastAsia="Calibri" w:hAnsi="Arial" w:cs="Arial"/>
          <w:color w:val="000000" w:themeColor="text1"/>
          <w:sz w:val="22"/>
        </w:rPr>
        <w:t xml:space="preserve"> C-227 del 24 de mayo de 2021</w:t>
      </w:r>
      <w:r w:rsidR="00E746A6" w:rsidRPr="003C27C6">
        <w:rPr>
          <w:rFonts w:ascii="Arial" w:eastAsia="Calibri" w:hAnsi="Arial" w:cs="Arial"/>
          <w:color w:val="000000" w:themeColor="text1"/>
          <w:sz w:val="22"/>
        </w:rPr>
        <w:t xml:space="preserve"> y </w:t>
      </w:r>
      <w:r w:rsidR="0030575F" w:rsidRPr="003C27C6">
        <w:rPr>
          <w:rFonts w:ascii="Arial" w:eastAsia="Calibri" w:hAnsi="Arial" w:cs="Arial"/>
          <w:color w:val="000000" w:themeColor="text1"/>
          <w:sz w:val="22"/>
        </w:rPr>
        <w:t>3</w:t>
      </w:r>
      <w:r w:rsidR="00E746A6" w:rsidRPr="003C27C6">
        <w:rPr>
          <w:rFonts w:ascii="Arial" w:eastAsia="Calibri" w:hAnsi="Arial" w:cs="Arial"/>
          <w:color w:val="000000" w:themeColor="text1"/>
          <w:sz w:val="22"/>
        </w:rPr>
        <w:t>96 de</w:t>
      </w:r>
      <w:r w:rsidR="0030575F" w:rsidRPr="003C27C6">
        <w:rPr>
          <w:rFonts w:ascii="Arial" w:eastAsia="Calibri" w:hAnsi="Arial" w:cs="Arial"/>
          <w:color w:val="000000" w:themeColor="text1"/>
          <w:sz w:val="22"/>
        </w:rPr>
        <w:t>l 13 de agosto de</w:t>
      </w:r>
      <w:r w:rsidR="00E746A6" w:rsidRPr="003C27C6">
        <w:rPr>
          <w:rFonts w:ascii="Arial" w:eastAsia="Calibri" w:hAnsi="Arial" w:cs="Arial"/>
          <w:color w:val="000000" w:themeColor="text1"/>
          <w:sz w:val="22"/>
        </w:rPr>
        <w:t xml:space="preserve"> 2021</w:t>
      </w:r>
      <w:r w:rsidR="00DD40F8" w:rsidRPr="003C27C6">
        <w:rPr>
          <w:rFonts w:ascii="Arial" w:eastAsia="Calibri" w:hAnsi="Arial" w:cs="Arial"/>
          <w:color w:val="000000" w:themeColor="text1"/>
          <w:sz w:val="22"/>
        </w:rPr>
        <w:t>, C-43</w:t>
      </w:r>
      <w:r w:rsidR="00E552DD" w:rsidRPr="003C27C6">
        <w:rPr>
          <w:rFonts w:ascii="Arial" w:eastAsia="Calibri" w:hAnsi="Arial" w:cs="Arial"/>
          <w:color w:val="000000" w:themeColor="text1"/>
          <w:sz w:val="22"/>
        </w:rPr>
        <w:t>9 del 27 de agosto de 2021</w:t>
      </w:r>
      <w:r w:rsidR="00A161D5" w:rsidRPr="003C27C6">
        <w:rPr>
          <w:rFonts w:ascii="Arial" w:eastAsia="Calibri" w:hAnsi="Arial" w:cs="Arial"/>
          <w:color w:val="000000" w:themeColor="text1"/>
          <w:sz w:val="22"/>
        </w:rPr>
        <w:t xml:space="preserve">, C-456 del 3 de septiembre, C-481 del 9 de septiembre de 2021, </w:t>
      </w:r>
      <w:r w:rsidR="000A0A18" w:rsidRPr="003C27C6">
        <w:rPr>
          <w:rFonts w:ascii="Arial" w:eastAsia="Calibri" w:hAnsi="Arial" w:cs="Arial"/>
          <w:color w:val="000000" w:themeColor="text1"/>
          <w:sz w:val="22"/>
        </w:rPr>
        <w:t>C- 528 del 27 de septiembre de 2021, C-550 del 5 de octubre de 2021</w:t>
      </w:r>
      <w:r w:rsidR="00E552DD" w:rsidRPr="003C27C6">
        <w:rPr>
          <w:rFonts w:ascii="Arial" w:eastAsia="Calibri" w:hAnsi="Arial" w:cs="Arial"/>
          <w:color w:val="000000" w:themeColor="text1"/>
          <w:sz w:val="22"/>
        </w:rPr>
        <w:t xml:space="preserve"> y C-523 del </w:t>
      </w:r>
      <w:r w:rsidR="00E17CD1" w:rsidRPr="003C27C6">
        <w:rPr>
          <w:rFonts w:ascii="Arial" w:eastAsia="Calibri" w:hAnsi="Arial" w:cs="Arial"/>
          <w:color w:val="000000" w:themeColor="text1"/>
          <w:sz w:val="22"/>
        </w:rPr>
        <w:t>10 de octubre de 2021</w:t>
      </w:r>
      <w:r w:rsidR="00DD40F8" w:rsidRPr="003C27C6">
        <w:rPr>
          <w:rFonts w:ascii="Arial" w:eastAsia="Calibri" w:hAnsi="Arial" w:cs="Arial"/>
          <w:color w:val="000000" w:themeColor="text1"/>
          <w:sz w:val="22"/>
        </w:rPr>
        <w:t>, C-606 del 28 de octubre de 2021 y C-614 del 2 de noviembre de 2021</w:t>
      </w:r>
      <w:r w:rsidR="00AF0D2A" w:rsidRPr="003C27C6">
        <w:rPr>
          <w:rFonts w:ascii="Arial" w:eastAsia="Calibri" w:hAnsi="Arial" w:cs="Arial"/>
          <w:color w:val="000000" w:themeColor="text1"/>
          <w:sz w:val="22"/>
        </w:rPr>
        <w:t>, C-636 del 16 de noviembre de 2021, 681 del 7 de diciembre de 2021</w:t>
      </w:r>
      <w:r w:rsidR="00264496" w:rsidRPr="003C27C6">
        <w:rPr>
          <w:rFonts w:ascii="Arial" w:eastAsia="Calibri" w:hAnsi="Arial" w:cs="Arial"/>
          <w:color w:val="000000" w:themeColor="text1"/>
          <w:sz w:val="22"/>
        </w:rPr>
        <w:t xml:space="preserve"> y</w:t>
      </w:r>
      <w:r w:rsidR="00487288" w:rsidRPr="003C27C6">
        <w:rPr>
          <w:rFonts w:ascii="Arial" w:eastAsia="Calibri" w:hAnsi="Arial" w:cs="Arial"/>
          <w:color w:val="000000" w:themeColor="text1"/>
          <w:sz w:val="22"/>
        </w:rPr>
        <w:t xml:space="preserve"> C-686 del 21 de diciembre de 2021</w:t>
      </w:r>
      <w:r w:rsidR="00974B94" w:rsidRPr="003C27C6">
        <w:rPr>
          <w:rFonts w:ascii="Arial" w:eastAsia="Calibri" w:hAnsi="Arial" w:cs="Arial"/>
          <w:color w:val="000000" w:themeColor="text1"/>
          <w:sz w:val="22"/>
        </w:rPr>
        <w:t xml:space="preserve">. Teniendo en cuenta </w:t>
      </w:r>
      <w:r w:rsidR="002D283F" w:rsidRPr="003C27C6">
        <w:rPr>
          <w:rFonts w:ascii="Arial" w:eastAsia="Calibri" w:hAnsi="Arial" w:cs="Arial"/>
          <w:color w:val="000000" w:themeColor="text1"/>
          <w:sz w:val="22"/>
        </w:rPr>
        <w:t>los conceptos anteriores y</w:t>
      </w:r>
      <w:r w:rsidR="00974B94" w:rsidRPr="003C27C6">
        <w:rPr>
          <w:rFonts w:ascii="Arial" w:eastAsia="Calibri" w:hAnsi="Arial" w:cs="Arial"/>
          <w:color w:val="000000" w:themeColor="text1"/>
          <w:sz w:val="22"/>
        </w:rPr>
        <w:t xml:space="preserve"> </w:t>
      </w:r>
      <w:r w:rsidR="002D283F" w:rsidRPr="003C27C6">
        <w:rPr>
          <w:rFonts w:ascii="Arial" w:eastAsia="Calibri" w:hAnsi="Arial" w:cs="Arial"/>
          <w:color w:val="000000" w:themeColor="text1"/>
          <w:sz w:val="22"/>
        </w:rPr>
        <w:t>analizando</w:t>
      </w:r>
      <w:r w:rsidR="00974B94" w:rsidRPr="003C27C6">
        <w:rPr>
          <w:rFonts w:ascii="Arial" w:eastAsia="Calibri" w:hAnsi="Arial" w:cs="Arial"/>
          <w:color w:val="000000" w:themeColor="text1"/>
          <w:sz w:val="22"/>
        </w:rPr>
        <w:t xml:space="preserve"> la pregunta en cuestión</w:t>
      </w:r>
      <w:r w:rsidR="00592003" w:rsidRPr="003C27C6">
        <w:rPr>
          <w:rFonts w:ascii="Arial" w:eastAsia="Calibri" w:hAnsi="Arial" w:cs="Arial"/>
          <w:color w:val="000000" w:themeColor="text1"/>
          <w:sz w:val="22"/>
        </w:rPr>
        <w:t>,</w:t>
      </w:r>
      <w:r w:rsidR="00974B94" w:rsidRPr="003C27C6">
        <w:rPr>
          <w:rFonts w:ascii="Arial" w:eastAsia="Calibri" w:hAnsi="Arial" w:cs="Arial"/>
          <w:color w:val="000000" w:themeColor="text1"/>
          <w:sz w:val="22"/>
        </w:rPr>
        <w:t xml:space="preserve"> se </w:t>
      </w:r>
      <w:r w:rsidR="002D283F" w:rsidRPr="003C27C6">
        <w:rPr>
          <w:rFonts w:ascii="Arial" w:eastAsia="Calibri" w:hAnsi="Arial" w:cs="Arial"/>
          <w:color w:val="000000" w:themeColor="text1"/>
          <w:sz w:val="22"/>
        </w:rPr>
        <w:t>realizan las siguientes consideraciones.</w:t>
      </w:r>
      <w:r w:rsidR="00974B94" w:rsidRPr="003C27C6">
        <w:rPr>
          <w:rFonts w:ascii="Arial" w:eastAsia="Calibri" w:hAnsi="Arial" w:cs="Arial"/>
          <w:color w:val="000000" w:themeColor="text1"/>
          <w:sz w:val="22"/>
        </w:rPr>
        <w:t xml:space="preserve"> </w:t>
      </w:r>
    </w:p>
    <w:p w14:paraId="0D27A697" w14:textId="452E95D1" w:rsidR="00F433CB" w:rsidRPr="003C27C6" w:rsidRDefault="00F433CB" w:rsidP="001459D2">
      <w:pPr>
        <w:spacing w:line="276" w:lineRule="auto"/>
        <w:jc w:val="both"/>
        <w:rPr>
          <w:rFonts w:ascii="Arial" w:eastAsia="Calibri" w:hAnsi="Arial" w:cs="Arial"/>
          <w:color w:val="000000" w:themeColor="text1"/>
          <w:sz w:val="22"/>
        </w:rPr>
      </w:pPr>
    </w:p>
    <w:p w14:paraId="27365E26" w14:textId="123C52AB" w:rsidR="00F433CB" w:rsidRPr="003C27C6" w:rsidRDefault="00F433CB" w:rsidP="006B3EB4">
      <w:pPr>
        <w:spacing w:line="276" w:lineRule="auto"/>
        <w:jc w:val="both"/>
        <w:rPr>
          <w:rFonts w:ascii="Arial" w:hAnsi="Arial" w:cs="Arial"/>
          <w:b/>
          <w:bCs/>
          <w:color w:val="000000" w:themeColor="text1"/>
          <w:sz w:val="22"/>
          <w:szCs w:val="22"/>
          <w:lang w:val="es-ES_tradnl"/>
        </w:rPr>
      </w:pPr>
      <w:r w:rsidRPr="003C27C6">
        <w:rPr>
          <w:rFonts w:ascii="Arial" w:eastAsia="Calibri" w:hAnsi="Arial" w:cs="Arial"/>
          <w:b/>
          <w:bCs/>
          <w:color w:val="000000" w:themeColor="text1"/>
          <w:sz w:val="22"/>
        </w:rPr>
        <w:t xml:space="preserve">2.1. Finalidad </w:t>
      </w:r>
      <w:r w:rsidR="009B231D" w:rsidRPr="003C27C6">
        <w:rPr>
          <w:rFonts w:ascii="Arial" w:eastAsia="Calibri" w:hAnsi="Arial" w:cs="Arial"/>
          <w:b/>
          <w:bCs/>
          <w:color w:val="000000" w:themeColor="text1"/>
          <w:sz w:val="22"/>
        </w:rPr>
        <w:t xml:space="preserve">y restricciones </w:t>
      </w:r>
      <w:r w:rsidRPr="003C27C6">
        <w:rPr>
          <w:rFonts w:ascii="Arial" w:eastAsia="Calibri" w:hAnsi="Arial" w:cs="Arial"/>
          <w:b/>
          <w:bCs/>
          <w:color w:val="000000" w:themeColor="text1"/>
          <w:sz w:val="22"/>
        </w:rPr>
        <w:t>de la Ley de Garantías Electorales</w:t>
      </w:r>
    </w:p>
    <w:p w14:paraId="69BD1413" w14:textId="15B81743" w:rsidR="00F433CB" w:rsidRPr="003C27C6" w:rsidRDefault="00F433CB" w:rsidP="00271230">
      <w:pPr>
        <w:spacing w:line="276" w:lineRule="auto"/>
        <w:jc w:val="both"/>
        <w:rPr>
          <w:rFonts w:ascii="Arial" w:eastAsia="Calibri" w:hAnsi="Arial" w:cs="Arial"/>
          <w:color w:val="000000" w:themeColor="text1"/>
          <w:sz w:val="22"/>
          <w:szCs w:val="22"/>
          <w:lang w:val="es-ES_tradnl"/>
        </w:rPr>
      </w:pPr>
    </w:p>
    <w:p w14:paraId="13FA39EC" w14:textId="1E35AB98" w:rsidR="000077D0" w:rsidRPr="003C27C6" w:rsidRDefault="000077D0" w:rsidP="006B3EB4">
      <w:pPr>
        <w:tabs>
          <w:tab w:val="left" w:pos="426"/>
        </w:tabs>
        <w:spacing w:after="120" w:line="276" w:lineRule="auto"/>
        <w:jc w:val="both"/>
        <w:rPr>
          <w:rFonts w:ascii="Arial" w:eastAsia="Calibri" w:hAnsi="Arial" w:cs="Arial"/>
          <w:bCs/>
          <w:color w:val="000000" w:themeColor="text1"/>
          <w:sz w:val="22"/>
        </w:rPr>
      </w:pPr>
      <w:r w:rsidRPr="003C27C6">
        <w:rPr>
          <w:rFonts w:ascii="Arial" w:eastAsia="Calibri" w:hAnsi="Arial" w:cs="Arial"/>
          <w:bCs/>
          <w:color w:val="000000" w:themeColor="text1"/>
          <w:sz w:val="22"/>
        </w:rPr>
        <w:t>El ordenamiento jurídico colombiano contempla previsiones para evitar la obtención de beneficios personales en asuntos propios de la administración pública</w:t>
      </w:r>
      <w:r w:rsidR="00095607" w:rsidRPr="003C27C6">
        <w:rPr>
          <w:rFonts w:ascii="Arial" w:eastAsia="Calibri" w:hAnsi="Arial" w:cs="Arial"/>
          <w:bCs/>
          <w:color w:val="000000" w:themeColor="text1"/>
          <w:sz w:val="22"/>
        </w:rPr>
        <w:t>. Por ejemplo,</w:t>
      </w:r>
      <w:r w:rsidRPr="003C27C6">
        <w:rPr>
          <w:rFonts w:ascii="Arial" w:eastAsia="Calibri" w:hAnsi="Arial" w:cs="Arial"/>
          <w:bCs/>
          <w:color w:val="000000" w:themeColor="text1"/>
          <w:sz w:val="22"/>
        </w:rPr>
        <w:t xml:space="preserve"> el artículo 127 de la Constitución Política establece una prohibición contractual a los servidores públicos y en cuanto a aspectos políticos establece restricciones a ciertos empleados del Estado, incluso en época no electoral</w:t>
      </w:r>
      <w:r w:rsidRPr="003C27C6">
        <w:rPr>
          <w:rStyle w:val="Refdenotaalpie"/>
          <w:rFonts w:ascii="Arial" w:eastAsia="Calibri" w:hAnsi="Arial" w:cs="Arial"/>
          <w:bCs/>
          <w:color w:val="000000" w:themeColor="text1"/>
          <w:sz w:val="22"/>
        </w:rPr>
        <w:footnoteReference w:id="2"/>
      </w:r>
      <w:r w:rsidRPr="003C27C6">
        <w:rPr>
          <w:rFonts w:ascii="Arial" w:eastAsia="Calibri" w:hAnsi="Arial" w:cs="Arial"/>
          <w:bCs/>
          <w:color w:val="000000" w:themeColor="text1"/>
          <w:sz w:val="22"/>
        </w:rPr>
        <w:t xml:space="preserve">. </w:t>
      </w:r>
    </w:p>
    <w:p w14:paraId="018CC89D" w14:textId="2D27A3F9" w:rsidR="000077D0" w:rsidRPr="003C27C6" w:rsidRDefault="00E746A6" w:rsidP="006B3EB4">
      <w:pPr>
        <w:tabs>
          <w:tab w:val="left" w:pos="426"/>
        </w:tabs>
        <w:spacing w:line="276" w:lineRule="auto"/>
        <w:jc w:val="both"/>
        <w:rPr>
          <w:rFonts w:ascii="Arial" w:hAnsi="Arial" w:cs="Arial"/>
          <w:bCs/>
          <w:color w:val="000000" w:themeColor="text1"/>
          <w:sz w:val="22"/>
          <w:szCs w:val="22"/>
          <w:lang w:eastAsia="es-CO"/>
        </w:rPr>
      </w:pPr>
      <w:r w:rsidRPr="003C27C6">
        <w:rPr>
          <w:rFonts w:ascii="Arial" w:hAnsi="Arial" w:cs="Arial"/>
          <w:bCs/>
          <w:color w:val="000000" w:themeColor="text1"/>
          <w:sz w:val="22"/>
          <w:lang w:eastAsia="es-CO"/>
        </w:rPr>
        <w:tab/>
      </w:r>
      <w:r w:rsidRPr="003C27C6">
        <w:rPr>
          <w:rFonts w:ascii="Arial" w:hAnsi="Arial" w:cs="Arial"/>
          <w:bCs/>
          <w:color w:val="000000" w:themeColor="text1"/>
          <w:sz w:val="22"/>
          <w:lang w:eastAsia="es-CO"/>
        </w:rPr>
        <w:tab/>
      </w:r>
      <w:r w:rsidR="000077D0" w:rsidRPr="003C27C6">
        <w:rPr>
          <w:rFonts w:ascii="Arial" w:hAnsi="Arial" w:cs="Arial"/>
          <w:bCs/>
          <w:color w:val="000000" w:themeColor="text1"/>
          <w:sz w:val="22"/>
          <w:szCs w:val="22"/>
          <w:lang w:eastAsia="es-CO"/>
        </w:rPr>
        <w:t xml:space="preserve">En el mismo sentido, </w:t>
      </w:r>
      <w:bookmarkStart w:id="9" w:name="_Hlk88117457"/>
      <w:r w:rsidR="000077D0" w:rsidRPr="003C27C6">
        <w:rPr>
          <w:rFonts w:ascii="Arial" w:hAnsi="Arial" w:cs="Arial"/>
          <w:bCs/>
          <w:color w:val="000000" w:themeColor="text1"/>
          <w:sz w:val="22"/>
          <w:szCs w:val="22"/>
          <w:lang w:eastAsia="es-CO"/>
        </w:rPr>
        <w:t xml:space="preserve">la Ley 996 de 2005 </w:t>
      </w:r>
      <w:r w:rsidR="0030575F" w:rsidRPr="003C27C6">
        <w:rPr>
          <w:rFonts w:ascii="Arial" w:eastAsia="Calibri" w:hAnsi="Arial" w:cs="Arial"/>
          <w:color w:val="000000" w:themeColor="text1"/>
          <w:sz w:val="22"/>
          <w:szCs w:val="22"/>
          <w:lang w:eastAsia="en-US"/>
        </w:rPr>
        <w:t>«</w:t>
      </w:r>
      <w:r w:rsidR="0030575F" w:rsidRPr="003C27C6">
        <w:rPr>
          <w:rStyle w:val="Textoennegrita"/>
          <w:rFonts w:ascii="Arial" w:hAnsi="Arial" w:cs="Arial"/>
          <w:b w:val="0"/>
          <w:color w:val="000000" w:themeColor="text1"/>
          <w:sz w:val="22"/>
          <w:szCs w:val="22"/>
          <w:shd w:val="clear" w:color="auto" w:fill="FFFFFF"/>
        </w:rPr>
        <w:t xml:space="preserve">Por medio de la cual se reglamenta la elección de </w:t>
      </w:r>
      <w:proofErr w:type="gramStart"/>
      <w:r w:rsidR="0030575F" w:rsidRPr="003C27C6">
        <w:rPr>
          <w:rStyle w:val="Textoennegrita"/>
          <w:rFonts w:ascii="Arial" w:hAnsi="Arial" w:cs="Arial"/>
          <w:b w:val="0"/>
          <w:color w:val="000000" w:themeColor="text1"/>
          <w:sz w:val="22"/>
          <w:szCs w:val="22"/>
          <w:shd w:val="clear" w:color="auto" w:fill="FFFFFF"/>
        </w:rPr>
        <w:t>Presidente</w:t>
      </w:r>
      <w:proofErr w:type="gramEnd"/>
      <w:r w:rsidR="0030575F" w:rsidRPr="003C27C6">
        <w:rPr>
          <w:rStyle w:val="Textoennegrita"/>
          <w:rFonts w:ascii="Arial" w:hAnsi="Arial" w:cs="Arial"/>
          <w:b w:val="0"/>
          <w:color w:val="000000" w:themeColor="text1"/>
          <w:sz w:val="22"/>
          <w:szCs w:val="22"/>
          <w:shd w:val="clear" w:color="auto" w:fill="FFFFFF"/>
        </w:rPr>
        <w:t xml:space="preserve"> de la República, de conformidad con el artículo 152 literal f) de la Constitución Política de Colombia, y de acuerdo con lo establecido en el Acto Legislativo 02 de 2004, y se dictan otras disposiciones</w:t>
      </w:r>
      <w:r w:rsidR="00917720" w:rsidRPr="003C27C6">
        <w:rPr>
          <w:rFonts w:ascii="Arial" w:eastAsia="Calibri" w:hAnsi="Arial" w:cs="Arial"/>
          <w:bCs/>
          <w:color w:val="000000" w:themeColor="text1"/>
          <w:sz w:val="22"/>
          <w:szCs w:val="22"/>
          <w:lang w:eastAsia="en-US"/>
        </w:rPr>
        <w:t>»,</w:t>
      </w:r>
      <w:r w:rsidR="0030575F" w:rsidRPr="003C27C6">
        <w:rPr>
          <w:rStyle w:val="Textoennegrita"/>
          <w:rFonts w:ascii="Arial" w:hAnsi="Arial" w:cs="Arial"/>
          <w:color w:val="000000" w:themeColor="text1"/>
          <w:sz w:val="22"/>
          <w:szCs w:val="22"/>
          <w:shd w:val="clear" w:color="auto" w:fill="FFFFFF"/>
        </w:rPr>
        <w:t xml:space="preserve"> </w:t>
      </w:r>
      <w:r w:rsidR="000077D0" w:rsidRPr="003C27C6">
        <w:rPr>
          <w:rFonts w:ascii="Arial" w:hAnsi="Arial" w:cs="Arial"/>
          <w:bCs/>
          <w:color w:val="000000" w:themeColor="text1"/>
          <w:sz w:val="22"/>
          <w:szCs w:val="22"/>
          <w:lang w:eastAsia="es-CO"/>
        </w:rPr>
        <w:t xml:space="preserve">se suma al andamiaje de orden constitucional y legal que se </w:t>
      </w:r>
      <w:r w:rsidRPr="003C27C6">
        <w:rPr>
          <w:rFonts w:ascii="Arial" w:hAnsi="Arial" w:cs="Arial"/>
          <w:bCs/>
          <w:color w:val="000000" w:themeColor="text1"/>
          <w:sz w:val="22"/>
          <w:szCs w:val="22"/>
          <w:lang w:eastAsia="es-CO"/>
        </w:rPr>
        <w:t xml:space="preserve">ocupa </w:t>
      </w:r>
      <w:r w:rsidR="000077D0" w:rsidRPr="003C27C6">
        <w:rPr>
          <w:rFonts w:ascii="Arial" w:hAnsi="Arial" w:cs="Arial"/>
          <w:bCs/>
          <w:color w:val="000000" w:themeColor="text1"/>
          <w:sz w:val="22"/>
          <w:szCs w:val="22"/>
          <w:lang w:eastAsia="es-CO"/>
        </w:rPr>
        <w:t>de evitar la injerencia de intereses particulares en el ejercicio de la función pública</w:t>
      </w:r>
      <w:r w:rsidR="002A3132" w:rsidRPr="003C27C6">
        <w:rPr>
          <w:rFonts w:ascii="Arial" w:hAnsi="Arial" w:cs="Arial"/>
          <w:bCs/>
          <w:color w:val="000000" w:themeColor="text1"/>
          <w:sz w:val="22"/>
          <w:szCs w:val="22"/>
          <w:lang w:eastAsia="es-CO"/>
        </w:rPr>
        <w:t>.</w:t>
      </w:r>
      <w:r w:rsidR="000077D0" w:rsidRPr="003C27C6">
        <w:rPr>
          <w:rFonts w:ascii="Arial" w:hAnsi="Arial" w:cs="Arial"/>
          <w:bCs/>
          <w:color w:val="000000" w:themeColor="text1"/>
          <w:sz w:val="22"/>
          <w:szCs w:val="22"/>
          <w:lang w:eastAsia="es-CO"/>
        </w:rPr>
        <w:t xml:space="preserve"> </w:t>
      </w:r>
      <w:r w:rsidR="002A3132" w:rsidRPr="003C27C6">
        <w:rPr>
          <w:rFonts w:ascii="Arial" w:hAnsi="Arial" w:cs="Arial"/>
          <w:bCs/>
          <w:color w:val="000000" w:themeColor="text1"/>
          <w:sz w:val="22"/>
          <w:szCs w:val="22"/>
          <w:lang w:eastAsia="es-CO"/>
        </w:rPr>
        <w:t>R</w:t>
      </w:r>
      <w:r w:rsidR="000077D0" w:rsidRPr="003C27C6">
        <w:rPr>
          <w:rFonts w:ascii="Arial" w:hAnsi="Arial" w:cs="Arial"/>
          <w:bCs/>
          <w:color w:val="000000" w:themeColor="text1"/>
          <w:sz w:val="22"/>
          <w:szCs w:val="22"/>
          <w:lang w:eastAsia="es-CO"/>
        </w:rPr>
        <w:t xml:space="preserve">especto a su finalidad, </w:t>
      </w:r>
      <w:r w:rsidR="002A3132" w:rsidRPr="003C27C6">
        <w:rPr>
          <w:rFonts w:ascii="Arial" w:hAnsi="Arial" w:cs="Arial"/>
          <w:bCs/>
          <w:color w:val="000000" w:themeColor="text1"/>
          <w:sz w:val="22"/>
          <w:szCs w:val="22"/>
          <w:lang w:eastAsia="es-CO"/>
        </w:rPr>
        <w:t>conforme a</w:t>
      </w:r>
      <w:r w:rsidR="000077D0" w:rsidRPr="003C27C6">
        <w:rPr>
          <w:rFonts w:ascii="Arial" w:hAnsi="Arial" w:cs="Arial"/>
          <w:bCs/>
          <w:color w:val="000000" w:themeColor="text1"/>
          <w:sz w:val="22"/>
          <w:szCs w:val="22"/>
          <w:lang w:eastAsia="es-CO"/>
        </w:rPr>
        <w:t xml:space="preserve"> la Gaceta del Congreso de la República No. 71 del 2005</w:t>
      </w:r>
      <w:r w:rsidR="002A3132" w:rsidRPr="003C27C6">
        <w:rPr>
          <w:rFonts w:ascii="Arial" w:hAnsi="Arial" w:cs="Arial"/>
          <w:bCs/>
          <w:color w:val="000000" w:themeColor="text1"/>
          <w:sz w:val="22"/>
          <w:szCs w:val="22"/>
          <w:lang w:eastAsia="es-CO"/>
        </w:rPr>
        <w:t>,</w:t>
      </w:r>
      <w:r w:rsidR="000077D0" w:rsidRPr="003C27C6">
        <w:rPr>
          <w:rFonts w:ascii="Arial" w:hAnsi="Arial" w:cs="Arial"/>
          <w:bCs/>
          <w:color w:val="000000" w:themeColor="text1"/>
          <w:sz w:val="22"/>
          <w:szCs w:val="22"/>
          <w:lang w:eastAsia="es-CO"/>
        </w:rPr>
        <w:t xml:space="preserve"> tiene como propósito evitar cualquier tipo de arbitrariedad, de ventaja injustificada, de uso irregular de los recursos del Estado en las campañas o falta de garantías en la elección </w:t>
      </w:r>
      <w:r w:rsidR="00B02668" w:rsidRPr="003C27C6">
        <w:rPr>
          <w:rFonts w:ascii="Arial" w:hAnsi="Arial" w:cs="Arial"/>
          <w:bCs/>
          <w:color w:val="000000" w:themeColor="text1"/>
          <w:sz w:val="22"/>
          <w:szCs w:val="22"/>
          <w:lang w:eastAsia="es-CO"/>
        </w:rPr>
        <w:t>presidencial, introduciendo</w:t>
      </w:r>
      <w:r w:rsidR="000077D0" w:rsidRPr="003C27C6">
        <w:rPr>
          <w:rFonts w:ascii="Arial" w:hAnsi="Arial" w:cs="Arial"/>
          <w:bCs/>
          <w:color w:val="000000" w:themeColor="text1"/>
          <w:sz w:val="22"/>
          <w:szCs w:val="22"/>
          <w:lang w:eastAsia="es-CO"/>
        </w:rPr>
        <w:t xml:space="preserve"> limitaciones para realizar nombramientos, postulaciones, contrataciones o cualquier otro tipo de actividad que implique destinación de recursos públicos.</w:t>
      </w:r>
      <w:r w:rsidR="000077D0" w:rsidRPr="003C27C6">
        <w:rPr>
          <w:rFonts w:ascii="Arial" w:eastAsia="Calibri" w:hAnsi="Arial" w:cs="Arial"/>
          <w:noProof/>
          <w:color w:val="000000" w:themeColor="text1"/>
          <w:sz w:val="22"/>
          <w:szCs w:val="22"/>
          <w:lang w:val="es-ES_tradnl"/>
        </w:rPr>
        <w:t xml:space="preserve"> </w:t>
      </w:r>
      <w:bookmarkEnd w:id="9"/>
      <w:r w:rsidR="000077D0" w:rsidRPr="003C27C6">
        <w:rPr>
          <w:rFonts w:ascii="Arial" w:hAnsi="Arial" w:cs="Arial"/>
          <w:bCs/>
          <w:color w:val="000000" w:themeColor="text1"/>
          <w:sz w:val="22"/>
          <w:szCs w:val="22"/>
          <w:lang w:eastAsia="es-CO"/>
        </w:rPr>
        <w:t xml:space="preserve">En armonía con lo anterior, la Corte Constitucional </w:t>
      </w:r>
      <w:r w:rsidR="006042CD" w:rsidRPr="003C27C6">
        <w:rPr>
          <w:rFonts w:ascii="Arial" w:hAnsi="Arial" w:cs="Arial"/>
          <w:bCs/>
          <w:color w:val="000000" w:themeColor="text1"/>
          <w:sz w:val="22"/>
          <w:szCs w:val="22"/>
          <w:lang w:eastAsia="es-CO"/>
        </w:rPr>
        <w:t xml:space="preserve">–en la Sentencia C-1153 de 2005– </w:t>
      </w:r>
      <w:r w:rsidR="000A7C27" w:rsidRPr="003C27C6">
        <w:rPr>
          <w:rFonts w:ascii="Arial" w:hAnsi="Arial" w:cs="Arial"/>
          <w:bCs/>
          <w:color w:val="000000" w:themeColor="text1"/>
          <w:sz w:val="22"/>
          <w:szCs w:val="22"/>
          <w:lang w:eastAsia="es-CO"/>
        </w:rPr>
        <w:t>estableció lo siguiente</w:t>
      </w:r>
      <w:r w:rsidR="000077D0" w:rsidRPr="003C27C6">
        <w:rPr>
          <w:rFonts w:ascii="Arial" w:hAnsi="Arial" w:cs="Arial"/>
          <w:bCs/>
          <w:color w:val="000000" w:themeColor="text1"/>
          <w:sz w:val="22"/>
          <w:szCs w:val="22"/>
          <w:lang w:eastAsia="es-CO"/>
        </w:rPr>
        <w:t>:</w:t>
      </w:r>
    </w:p>
    <w:p w14:paraId="10F8D327" w14:textId="77777777" w:rsidR="000077D0" w:rsidRPr="003C27C6" w:rsidRDefault="000077D0" w:rsidP="006B3EB4">
      <w:pPr>
        <w:ind w:right="709"/>
        <w:jc w:val="both"/>
        <w:rPr>
          <w:rFonts w:ascii="Arial" w:hAnsi="Arial" w:cs="Arial"/>
          <w:color w:val="000000" w:themeColor="text1"/>
          <w:sz w:val="21"/>
          <w:szCs w:val="21"/>
          <w:lang w:val="es-ES" w:eastAsia="es-CO"/>
        </w:rPr>
      </w:pPr>
    </w:p>
    <w:p w14:paraId="4F9602BD" w14:textId="77777777" w:rsidR="000077D0" w:rsidRPr="003C27C6" w:rsidRDefault="000077D0" w:rsidP="006B3EB4">
      <w:pPr>
        <w:ind w:left="709" w:right="709"/>
        <w:jc w:val="both"/>
        <w:rPr>
          <w:rFonts w:ascii="Arial" w:hAnsi="Arial" w:cs="Arial"/>
          <w:bCs/>
          <w:color w:val="000000" w:themeColor="text1"/>
          <w:sz w:val="21"/>
          <w:szCs w:val="21"/>
          <w:lang w:eastAsia="es-CO"/>
        </w:rPr>
      </w:pPr>
      <w:r w:rsidRPr="003C27C6">
        <w:rPr>
          <w:rFonts w:ascii="Arial" w:hAnsi="Arial" w:cs="Arial"/>
          <w:bCs/>
          <w:color w:val="000000" w:themeColor="text1"/>
          <w:sz w:val="21"/>
          <w:szCs w:val="21"/>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p>
    <w:p w14:paraId="48F3F838" w14:textId="77777777" w:rsidR="000077D0" w:rsidRPr="003C27C6" w:rsidRDefault="000077D0" w:rsidP="006B3EB4">
      <w:pPr>
        <w:ind w:left="709" w:right="709"/>
        <w:jc w:val="both"/>
        <w:rPr>
          <w:rFonts w:ascii="Arial" w:hAnsi="Arial" w:cs="Arial"/>
          <w:bCs/>
          <w:color w:val="000000" w:themeColor="text1"/>
          <w:sz w:val="21"/>
          <w:szCs w:val="21"/>
          <w:lang w:eastAsia="es-CO"/>
        </w:rPr>
      </w:pPr>
    </w:p>
    <w:p w14:paraId="080C6A96" w14:textId="00DC5B3F" w:rsidR="000077D0" w:rsidRPr="003C27C6" w:rsidRDefault="000077D0" w:rsidP="006B3EB4">
      <w:pPr>
        <w:spacing w:line="276" w:lineRule="auto"/>
        <w:ind w:firstLine="709"/>
        <w:jc w:val="both"/>
        <w:rPr>
          <w:rFonts w:ascii="Arial" w:hAnsi="Arial" w:cs="Arial"/>
          <w:bCs/>
          <w:color w:val="000000" w:themeColor="text1"/>
          <w:sz w:val="22"/>
          <w:lang w:eastAsia="es-CO"/>
        </w:rPr>
      </w:pPr>
      <w:bookmarkStart w:id="10" w:name="_Hlk80948265"/>
      <w:r w:rsidRPr="003C27C6">
        <w:rPr>
          <w:rFonts w:ascii="Arial" w:hAnsi="Arial" w:cs="Arial"/>
          <w:bCs/>
          <w:color w:val="000000" w:themeColor="text1"/>
          <w:sz w:val="22"/>
          <w:lang w:eastAsia="es-CO"/>
        </w:rPr>
        <w:t>Siguiendo</w:t>
      </w:r>
      <w:r w:rsidR="00974B94" w:rsidRPr="003C27C6">
        <w:rPr>
          <w:rFonts w:ascii="Arial" w:hAnsi="Arial" w:cs="Arial"/>
          <w:bCs/>
          <w:color w:val="000000" w:themeColor="text1"/>
          <w:sz w:val="22"/>
          <w:lang w:eastAsia="es-CO"/>
        </w:rPr>
        <w:t xml:space="preserve"> esta línea</w:t>
      </w:r>
      <w:r w:rsidRPr="003C27C6">
        <w:rPr>
          <w:rFonts w:ascii="Arial" w:hAnsi="Arial" w:cs="Arial"/>
          <w:bCs/>
          <w:color w:val="000000" w:themeColor="text1"/>
          <w:sz w:val="22"/>
          <w:lang w:eastAsia="es-CO"/>
        </w:rPr>
        <w:t>, la Ley de Garantías Electorales establece el marco jurídico para el desarrollo de las elecciones, procurando condiciones de igualdad y transparencia para los aspirantes</w:t>
      </w:r>
      <w:r w:rsidR="00900A23" w:rsidRPr="003C27C6">
        <w:rPr>
          <w:rFonts w:ascii="Arial" w:hAnsi="Arial" w:cs="Arial"/>
          <w:bCs/>
          <w:color w:val="000000" w:themeColor="text1"/>
          <w:sz w:val="22"/>
          <w:lang w:eastAsia="es-CO"/>
        </w:rPr>
        <w:t>,</w:t>
      </w:r>
      <w:r w:rsidRPr="003C27C6">
        <w:rPr>
          <w:rFonts w:ascii="Arial" w:hAnsi="Arial" w:cs="Arial"/>
          <w:bCs/>
          <w:color w:val="000000" w:themeColor="text1"/>
          <w:sz w:val="22"/>
          <w:lang w:eastAsia="es-CO"/>
        </w:rPr>
        <w:t xml:space="preserve"> </w:t>
      </w:r>
      <w:r w:rsidR="00692FCD" w:rsidRPr="003C27C6">
        <w:rPr>
          <w:rFonts w:ascii="Arial" w:hAnsi="Arial" w:cs="Arial"/>
          <w:bCs/>
          <w:color w:val="000000" w:themeColor="text1"/>
          <w:sz w:val="22"/>
          <w:lang w:eastAsia="es-CO"/>
        </w:rPr>
        <w:t>al tiempo que</w:t>
      </w:r>
      <w:r w:rsidRPr="003C27C6">
        <w:rPr>
          <w:rFonts w:ascii="Arial" w:hAnsi="Arial" w:cs="Arial"/>
          <w:bCs/>
          <w:color w:val="000000" w:themeColor="text1"/>
          <w:sz w:val="22"/>
          <w:lang w:eastAsia="es-CO"/>
        </w:rPr>
        <w:t xml:space="preserve"> incluye restricciones en el actuar de los servidores públicos, evitando interferencias en la contienda electoral, así como la posible desviación de recursos públicos en aspiraciones electorales.</w:t>
      </w:r>
      <w:r w:rsidR="00DE771D" w:rsidRPr="003C27C6">
        <w:rPr>
          <w:rFonts w:ascii="Arial" w:hAnsi="Arial" w:cs="Arial"/>
          <w:bCs/>
          <w:color w:val="000000" w:themeColor="text1"/>
          <w:sz w:val="22"/>
          <w:lang w:eastAsia="es-CO"/>
        </w:rPr>
        <w:t xml:space="preserve"> Incluso</w:t>
      </w:r>
      <w:r w:rsidRPr="003C27C6">
        <w:rPr>
          <w:rFonts w:ascii="Arial" w:hAnsi="Arial" w:cs="Arial"/>
          <w:bCs/>
          <w:color w:val="000000" w:themeColor="text1"/>
          <w:sz w:val="22"/>
          <w:lang w:eastAsia="es-CO"/>
        </w:rPr>
        <w:t>, varias de las disposiciones de la Ley 996 de 2005, al contener normas prohibitivas, no admiten una interpretación amplia, sino que deben interpretarse restrictivamente.</w:t>
      </w:r>
      <w:bookmarkEnd w:id="10"/>
      <w:r w:rsidRPr="003C27C6">
        <w:rPr>
          <w:rFonts w:ascii="Arial" w:hAnsi="Arial" w:cs="Arial"/>
          <w:bCs/>
          <w:color w:val="000000" w:themeColor="text1"/>
          <w:sz w:val="22"/>
          <w:lang w:eastAsia="es-CO"/>
        </w:rPr>
        <w:t xml:space="preserve"> En efecto, lo anterior fue indicado por la Sala de Consulta y Servicio Civil del Consejo de Estado</w:t>
      </w:r>
      <w:r w:rsidR="00885CDB" w:rsidRPr="003C27C6">
        <w:rPr>
          <w:rFonts w:ascii="Arial" w:hAnsi="Arial" w:cs="Arial"/>
          <w:bCs/>
          <w:color w:val="000000" w:themeColor="text1"/>
          <w:sz w:val="22"/>
          <w:lang w:eastAsia="es-CO"/>
        </w:rPr>
        <w:t>,</w:t>
      </w:r>
      <w:r w:rsidRPr="003C27C6">
        <w:rPr>
          <w:rFonts w:ascii="Arial" w:hAnsi="Arial" w:cs="Arial"/>
          <w:bCs/>
          <w:color w:val="000000" w:themeColor="text1"/>
          <w:sz w:val="22"/>
          <w:lang w:eastAsia="es-CO"/>
        </w:rPr>
        <w:t xml:space="preserve"> al </w:t>
      </w:r>
      <w:r w:rsidR="00B40D1D" w:rsidRPr="003C27C6">
        <w:rPr>
          <w:rFonts w:ascii="Arial" w:hAnsi="Arial" w:cs="Arial"/>
          <w:bCs/>
          <w:color w:val="000000" w:themeColor="text1"/>
          <w:sz w:val="22"/>
          <w:lang w:eastAsia="es-CO"/>
        </w:rPr>
        <w:t>precisa</w:t>
      </w:r>
      <w:r w:rsidR="003D0A1F" w:rsidRPr="003C27C6">
        <w:rPr>
          <w:rFonts w:ascii="Arial" w:hAnsi="Arial" w:cs="Arial"/>
          <w:bCs/>
          <w:color w:val="000000" w:themeColor="text1"/>
          <w:sz w:val="22"/>
          <w:lang w:eastAsia="es-CO"/>
        </w:rPr>
        <w:t>r</w:t>
      </w:r>
      <w:r w:rsidR="00B40D1D" w:rsidRPr="003C27C6">
        <w:rPr>
          <w:rFonts w:ascii="Arial" w:hAnsi="Arial" w:cs="Arial"/>
          <w:bCs/>
          <w:color w:val="000000" w:themeColor="text1"/>
          <w:sz w:val="22"/>
          <w:lang w:eastAsia="es-CO"/>
        </w:rPr>
        <w:t xml:space="preserve"> que</w:t>
      </w:r>
      <w:r w:rsidRPr="003C27C6">
        <w:rPr>
          <w:rFonts w:ascii="Arial" w:hAnsi="Arial" w:cs="Arial"/>
          <w:bCs/>
          <w:color w:val="000000" w:themeColor="text1"/>
          <w:sz w:val="22"/>
          <w:lang w:eastAsia="es-CO"/>
        </w:rPr>
        <w:t>:</w:t>
      </w:r>
    </w:p>
    <w:p w14:paraId="5F619F1C" w14:textId="77777777" w:rsidR="000077D0" w:rsidRPr="003C27C6" w:rsidRDefault="000077D0" w:rsidP="006B3EB4">
      <w:pPr>
        <w:ind w:firstLine="709"/>
        <w:jc w:val="both"/>
        <w:rPr>
          <w:rFonts w:ascii="Arial" w:hAnsi="Arial" w:cs="Arial"/>
          <w:bCs/>
          <w:color w:val="000000" w:themeColor="text1"/>
          <w:sz w:val="22"/>
          <w:lang w:eastAsia="es-CO"/>
        </w:rPr>
      </w:pPr>
    </w:p>
    <w:p w14:paraId="3F21CBDD" w14:textId="77777777" w:rsidR="000077D0" w:rsidRPr="003C27C6" w:rsidRDefault="000077D0" w:rsidP="006B3EB4">
      <w:pPr>
        <w:ind w:left="709" w:right="709"/>
        <w:jc w:val="both"/>
        <w:rPr>
          <w:rFonts w:ascii="Arial" w:hAnsi="Arial" w:cs="Arial"/>
          <w:bCs/>
          <w:color w:val="000000" w:themeColor="text1"/>
          <w:sz w:val="21"/>
          <w:szCs w:val="21"/>
          <w:lang w:eastAsia="es-CO"/>
        </w:rPr>
      </w:pPr>
      <w:r w:rsidRPr="003C27C6">
        <w:rPr>
          <w:rFonts w:ascii="Arial" w:hAnsi="Arial" w:cs="Arial"/>
          <w:bCs/>
          <w:color w:val="000000" w:themeColor="text1"/>
          <w:sz w:val="21"/>
          <w:szCs w:val="21"/>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3C27C6">
        <w:rPr>
          <w:rFonts w:ascii="Arial" w:hAnsi="Arial" w:cs="Arial"/>
          <w:bCs/>
          <w:color w:val="000000" w:themeColor="text1"/>
          <w:sz w:val="21"/>
          <w:szCs w:val="21"/>
          <w:lang w:eastAsia="es-CO"/>
        </w:rPr>
        <w:t>legis</w:t>
      </w:r>
      <w:proofErr w:type="spellEnd"/>
      <w:r w:rsidRPr="003C27C6">
        <w:rPr>
          <w:rFonts w:ascii="Arial" w:hAnsi="Arial" w:cs="Arial"/>
          <w:bCs/>
          <w:color w:val="000000" w:themeColor="text1"/>
          <w:sz w:val="21"/>
          <w:szCs w:val="21"/>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0E96BD32" w14:textId="77777777" w:rsidR="000077D0" w:rsidRPr="003C27C6" w:rsidRDefault="000077D0" w:rsidP="006B3EB4">
      <w:pPr>
        <w:ind w:left="709" w:right="709" w:firstLine="709"/>
        <w:jc w:val="both"/>
        <w:rPr>
          <w:rFonts w:ascii="Arial" w:hAnsi="Arial" w:cs="Arial"/>
          <w:bCs/>
          <w:color w:val="000000" w:themeColor="text1"/>
          <w:sz w:val="21"/>
          <w:szCs w:val="21"/>
          <w:lang w:eastAsia="es-CO"/>
        </w:rPr>
      </w:pPr>
    </w:p>
    <w:p w14:paraId="47E4EDD2" w14:textId="77777777" w:rsidR="000077D0" w:rsidRPr="003C27C6" w:rsidRDefault="000077D0" w:rsidP="006B3EB4">
      <w:pPr>
        <w:ind w:left="709" w:right="709"/>
        <w:jc w:val="both"/>
        <w:rPr>
          <w:rFonts w:ascii="Arial" w:hAnsi="Arial" w:cs="Arial"/>
          <w:bCs/>
          <w:color w:val="000000" w:themeColor="text1"/>
          <w:sz w:val="21"/>
          <w:szCs w:val="21"/>
          <w:lang w:eastAsia="es-CO"/>
        </w:rPr>
      </w:pPr>
      <w:r w:rsidRPr="003C27C6">
        <w:rPr>
          <w:rFonts w:ascii="Arial" w:hAnsi="Arial" w:cs="Arial"/>
          <w:bCs/>
          <w:color w:val="000000" w:themeColor="text1"/>
          <w:sz w:val="21"/>
          <w:szCs w:val="21"/>
          <w:lang w:eastAsia="es-CO"/>
        </w:rPr>
        <w:t>La jurisprudencia de la Corte Constitucional</w:t>
      </w:r>
      <w:r w:rsidRPr="003C27C6">
        <w:rPr>
          <w:rStyle w:val="Refdenotaalpie"/>
          <w:rFonts w:ascii="Arial" w:hAnsi="Arial" w:cs="Arial"/>
          <w:bCs/>
          <w:color w:val="000000" w:themeColor="text1"/>
          <w:sz w:val="21"/>
          <w:szCs w:val="21"/>
          <w:lang w:eastAsia="es-CO"/>
        </w:rPr>
        <w:footnoteReference w:id="3"/>
      </w:r>
      <w:r w:rsidRPr="003C27C6">
        <w:rPr>
          <w:rFonts w:ascii="Arial" w:hAnsi="Arial" w:cs="Arial"/>
          <w:bCs/>
          <w:color w:val="000000" w:themeColor="text1"/>
          <w:sz w:val="21"/>
          <w:szCs w:val="21"/>
          <w:lang w:eastAsia="es-CO"/>
        </w:rPr>
        <w:t> y del Consejo de Estado</w:t>
      </w:r>
      <w:r w:rsidRPr="003C27C6">
        <w:rPr>
          <w:rStyle w:val="Refdenotaalpie"/>
          <w:rFonts w:ascii="Arial" w:hAnsi="Arial" w:cs="Arial"/>
          <w:bCs/>
          <w:color w:val="000000" w:themeColor="text1"/>
          <w:sz w:val="21"/>
          <w:szCs w:val="21"/>
          <w:lang w:eastAsia="es-CO"/>
        </w:rPr>
        <w:footnoteReference w:id="4"/>
      </w:r>
      <w:r w:rsidRPr="003C27C6">
        <w:rPr>
          <w:rFonts w:ascii="Arial" w:hAnsi="Arial" w:cs="Arial"/>
          <w:bCs/>
          <w:color w:val="000000" w:themeColor="text1"/>
          <w:sz w:val="21"/>
          <w:szCs w:val="21"/>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3C27C6">
        <w:rPr>
          <w:rStyle w:val="Refdenotaalpie"/>
          <w:rFonts w:ascii="Arial" w:hAnsi="Arial" w:cs="Arial"/>
          <w:bCs/>
          <w:color w:val="000000" w:themeColor="text1"/>
          <w:sz w:val="22"/>
          <w:lang w:eastAsia="es-CO"/>
        </w:rPr>
        <w:footnoteReference w:id="5"/>
      </w:r>
      <w:r w:rsidRPr="003C27C6">
        <w:rPr>
          <w:rFonts w:ascii="Arial" w:hAnsi="Arial" w:cs="Arial"/>
          <w:bCs/>
          <w:color w:val="000000" w:themeColor="text1"/>
          <w:sz w:val="21"/>
          <w:szCs w:val="21"/>
          <w:lang w:eastAsia="es-CO"/>
        </w:rPr>
        <w:t>.</w:t>
      </w:r>
    </w:p>
    <w:p w14:paraId="34847625" w14:textId="77777777" w:rsidR="000077D0" w:rsidRPr="003C27C6" w:rsidRDefault="000077D0" w:rsidP="006B3EB4">
      <w:pPr>
        <w:spacing w:line="276" w:lineRule="auto"/>
        <w:ind w:right="709"/>
        <w:jc w:val="both"/>
        <w:rPr>
          <w:rFonts w:ascii="Arial" w:hAnsi="Arial" w:cs="Arial"/>
          <w:bCs/>
          <w:color w:val="000000" w:themeColor="text1"/>
          <w:sz w:val="22"/>
          <w:szCs w:val="22"/>
          <w:lang w:eastAsia="es-CO"/>
        </w:rPr>
      </w:pPr>
    </w:p>
    <w:p w14:paraId="15312F99" w14:textId="6CF73E71" w:rsidR="00917720" w:rsidRPr="003C27C6" w:rsidRDefault="000077D0" w:rsidP="00861F5C">
      <w:pPr>
        <w:widowControl w:val="0"/>
        <w:autoSpaceDE w:val="0"/>
        <w:autoSpaceDN w:val="0"/>
        <w:spacing w:line="276" w:lineRule="auto"/>
        <w:ind w:right="113" w:firstLine="709"/>
        <w:jc w:val="both"/>
        <w:rPr>
          <w:rFonts w:ascii="Arial" w:eastAsia="Arial" w:hAnsi="Arial" w:cs="Arial"/>
          <w:color w:val="000000" w:themeColor="text1"/>
          <w:sz w:val="22"/>
          <w:lang w:val="es-ES" w:eastAsia="es-ES" w:bidi="es-ES"/>
        </w:rPr>
      </w:pPr>
      <w:r w:rsidRPr="003C27C6">
        <w:rPr>
          <w:rFonts w:ascii="Arial" w:eastAsia="Arial" w:hAnsi="Arial" w:cs="Arial"/>
          <w:color w:val="000000" w:themeColor="text1"/>
          <w:sz w:val="22"/>
          <w:lang w:val="es-ES" w:eastAsia="es-ES" w:bidi="es-ES"/>
        </w:rPr>
        <w:t xml:space="preserve">De conformidad con lo anterior, es claro que la Ley de Garantías Electorales, para el cumplimiento de los objetivos que dieron lugar a su expedición, </w:t>
      </w:r>
      <w:r w:rsidR="00CE13FA" w:rsidRPr="003C27C6">
        <w:rPr>
          <w:rFonts w:ascii="Arial" w:eastAsia="Arial" w:hAnsi="Arial" w:cs="Arial"/>
          <w:color w:val="000000" w:themeColor="text1"/>
          <w:sz w:val="22"/>
          <w:lang w:val="es-ES" w:eastAsia="es-ES" w:bidi="es-ES"/>
        </w:rPr>
        <w:t>consagró</w:t>
      </w:r>
      <w:r w:rsidRPr="003C27C6">
        <w:rPr>
          <w:rFonts w:ascii="Arial" w:eastAsia="Arial" w:hAnsi="Arial" w:cs="Arial"/>
          <w:color w:val="000000" w:themeColor="text1"/>
          <w:sz w:val="22"/>
          <w:lang w:val="es-ES" w:eastAsia="es-ES" w:bidi="es-ES"/>
        </w:rPr>
        <w:t xml:space="preserve"> prohibiciones dirigidas a los servidores públicos. No obstante, debe aclararse que estas disposiciones se dirigen a dos tipos de campañas electorales claramente diferenciadas: las presidenciales y las demás que se adelanten para la elección de los demás cargos de elección popular, tanto a nivel nacional como territorial.</w:t>
      </w:r>
    </w:p>
    <w:p w14:paraId="12282080" w14:textId="77777777" w:rsidR="00917720" w:rsidRPr="003C27C6" w:rsidRDefault="00917720" w:rsidP="00861F5C">
      <w:pPr>
        <w:widowControl w:val="0"/>
        <w:autoSpaceDE w:val="0"/>
        <w:autoSpaceDN w:val="0"/>
        <w:spacing w:line="276" w:lineRule="auto"/>
        <w:ind w:right="113" w:firstLine="709"/>
        <w:jc w:val="both"/>
        <w:rPr>
          <w:rFonts w:ascii="Arial" w:eastAsia="Arial" w:hAnsi="Arial" w:cs="Arial"/>
          <w:color w:val="000000" w:themeColor="text1"/>
          <w:sz w:val="22"/>
          <w:lang w:val="es-ES" w:eastAsia="es-ES" w:bidi="es-ES"/>
        </w:rPr>
      </w:pPr>
    </w:p>
    <w:p w14:paraId="1968701E" w14:textId="77777777" w:rsidR="00917720" w:rsidRPr="003C27C6" w:rsidRDefault="00917720" w:rsidP="00917720">
      <w:pPr>
        <w:spacing w:after="200" w:line="276" w:lineRule="auto"/>
        <w:jc w:val="both"/>
        <w:rPr>
          <w:rFonts w:ascii="Arial" w:hAnsi="Arial" w:cs="Arial"/>
          <w:b/>
          <w:bCs/>
          <w:color w:val="000000" w:themeColor="text1"/>
          <w:sz w:val="22"/>
          <w:szCs w:val="22"/>
          <w:lang w:val="es-MX" w:eastAsia="es-CO"/>
        </w:rPr>
      </w:pPr>
      <w:r w:rsidRPr="003C27C6">
        <w:rPr>
          <w:rFonts w:ascii="Arial" w:eastAsia="Calibri" w:hAnsi="Arial" w:cs="Arial"/>
          <w:b/>
          <w:bCs/>
          <w:color w:val="000000" w:themeColor="text1"/>
          <w:sz w:val="22"/>
          <w:szCs w:val="22"/>
          <w:lang w:eastAsia="en-US"/>
        </w:rPr>
        <w:t>2.2. Determinación de las restricciones según el tipo de elecciones</w:t>
      </w:r>
    </w:p>
    <w:p w14:paraId="1EBAC8EA" w14:textId="3A7C8ECF" w:rsidR="00917720" w:rsidRPr="003C27C6" w:rsidRDefault="001459D2" w:rsidP="00530DFE">
      <w:pPr>
        <w:spacing w:after="120" w:line="276" w:lineRule="auto"/>
        <w:jc w:val="both"/>
        <w:rPr>
          <w:rFonts w:ascii="Arial" w:eastAsia="Calibri" w:hAnsi="Arial" w:cs="Arial"/>
          <w:color w:val="000000" w:themeColor="text1"/>
          <w:sz w:val="22"/>
          <w:szCs w:val="22"/>
          <w:lang w:eastAsia="en-US"/>
        </w:rPr>
      </w:pPr>
      <w:r w:rsidRPr="003C27C6">
        <w:rPr>
          <w:rFonts w:ascii="Arial" w:hAnsi="Arial" w:cs="Arial"/>
          <w:bCs/>
          <w:color w:val="000000" w:themeColor="text1"/>
          <w:sz w:val="22"/>
          <w:szCs w:val="22"/>
          <w:lang w:val="es-MX" w:eastAsia="es-CO"/>
        </w:rPr>
        <w:t xml:space="preserve">De acuerdo con lo indicado anteriormente, </w:t>
      </w:r>
      <w:bookmarkStart w:id="11" w:name="_Hlk79762232"/>
      <w:bookmarkStart w:id="12" w:name="_Hlk77152787"/>
      <w:r w:rsidRPr="003C27C6">
        <w:rPr>
          <w:rFonts w:ascii="Arial" w:eastAsia="Calibri" w:hAnsi="Arial" w:cs="Arial"/>
          <w:color w:val="000000" w:themeColor="text1"/>
          <w:sz w:val="22"/>
          <w:szCs w:val="22"/>
          <w:lang w:eastAsia="en-US"/>
        </w:rPr>
        <w:t>p</w:t>
      </w:r>
      <w:r w:rsidR="00917720" w:rsidRPr="003C27C6">
        <w:rPr>
          <w:rFonts w:ascii="Arial" w:eastAsia="Calibri" w:hAnsi="Arial" w:cs="Arial"/>
          <w:color w:val="000000" w:themeColor="text1"/>
          <w:sz w:val="22"/>
          <w:szCs w:val="22"/>
          <w:lang w:eastAsia="en-US"/>
        </w:rPr>
        <w:t xml:space="preserve">or una parte, </w:t>
      </w:r>
      <w:bookmarkStart w:id="13" w:name="_Hlk77153051"/>
      <w:r w:rsidR="00917720" w:rsidRPr="003C27C6">
        <w:rPr>
          <w:rFonts w:ascii="Arial" w:eastAsia="Calibri" w:hAnsi="Arial" w:cs="Arial"/>
          <w:color w:val="000000" w:themeColor="text1"/>
          <w:sz w:val="22"/>
          <w:szCs w:val="22"/>
          <w:lang w:eastAsia="en-US"/>
        </w:rPr>
        <w:t xml:space="preserve">el artículo 33 de la Ley 996 de 2005 establece una prohibición que impide </w:t>
      </w:r>
      <w:r w:rsidR="00917720" w:rsidRPr="003C27C6">
        <w:rPr>
          <w:rFonts w:ascii="Arial" w:eastAsia="Calibri" w:hAnsi="Arial" w:cs="Arial"/>
          <w:bCs/>
          <w:color w:val="000000" w:themeColor="text1"/>
          <w:sz w:val="22"/>
          <w:szCs w:val="22"/>
          <w:lang w:eastAsia="en-US"/>
        </w:rPr>
        <w:t xml:space="preserve">«[…] </w:t>
      </w:r>
      <w:r w:rsidR="00917720" w:rsidRPr="003C27C6">
        <w:rPr>
          <w:rFonts w:ascii="Arial" w:eastAsia="Calibri" w:hAnsi="Arial" w:cs="Arial"/>
          <w:color w:val="000000" w:themeColor="text1"/>
          <w:sz w:val="22"/>
          <w:szCs w:val="22"/>
          <w:lang w:eastAsia="en-US"/>
        </w:rPr>
        <w:t>la contratación directa por parte de todos los entes del Estado</w:t>
      </w:r>
      <w:r w:rsidR="00917720" w:rsidRPr="003C27C6">
        <w:rPr>
          <w:rFonts w:ascii="Arial" w:eastAsia="Calibri" w:hAnsi="Arial" w:cs="Arial"/>
          <w:bCs/>
          <w:color w:val="000000" w:themeColor="text1"/>
          <w:sz w:val="22"/>
          <w:szCs w:val="22"/>
          <w:lang w:eastAsia="en-US"/>
        </w:rPr>
        <w:t>»</w:t>
      </w:r>
      <w:r w:rsidR="00917720" w:rsidRPr="003C27C6">
        <w:rPr>
          <w:rFonts w:ascii="Arial" w:eastAsia="Calibri" w:hAnsi="Arial" w:cs="Arial"/>
          <w:color w:val="000000" w:themeColor="text1"/>
          <w:sz w:val="22"/>
          <w:szCs w:val="22"/>
          <w:lang w:eastAsia="en-US"/>
        </w:rPr>
        <w:t xml:space="preserve"> durante los cuatro (4) meses anteriores a las elecciones presidenciales, salvo </w:t>
      </w:r>
      <w:r w:rsidR="00917720" w:rsidRPr="003C27C6">
        <w:rPr>
          <w:rFonts w:ascii="Arial" w:eastAsia="Calibri" w:hAnsi="Arial" w:cs="Arial"/>
          <w:bCs/>
          <w:color w:val="000000" w:themeColor="text1"/>
          <w:sz w:val="22"/>
          <w:szCs w:val="22"/>
          <w:lang w:eastAsia="en-US"/>
        </w:rPr>
        <w:t xml:space="preserve">«[…] </w:t>
      </w:r>
      <w:r w:rsidR="00917720" w:rsidRPr="003C27C6">
        <w:rPr>
          <w:rFonts w:ascii="Arial" w:eastAsia="Calibri" w:hAnsi="Arial" w:cs="Arial"/>
          <w:color w:val="000000" w:themeColor="text1"/>
          <w:sz w:val="22"/>
          <w:szCs w:val="22"/>
          <w:lang w:eastAsia="en-US"/>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00917720" w:rsidRPr="003C27C6">
        <w:rPr>
          <w:rFonts w:ascii="Arial" w:eastAsia="Calibri" w:hAnsi="Arial" w:cs="Arial"/>
          <w:bCs/>
          <w:color w:val="000000" w:themeColor="text1"/>
          <w:sz w:val="22"/>
          <w:szCs w:val="22"/>
          <w:lang w:eastAsia="en-US"/>
        </w:rPr>
        <w:t>»</w:t>
      </w:r>
      <w:bookmarkEnd w:id="11"/>
      <w:r w:rsidR="00917720" w:rsidRPr="003C27C6">
        <w:rPr>
          <w:rFonts w:ascii="Arial" w:eastAsia="Calibri" w:hAnsi="Arial" w:cs="Arial"/>
          <w:bCs/>
          <w:color w:val="000000" w:themeColor="text1"/>
          <w:sz w:val="22"/>
          <w:szCs w:val="22"/>
          <w:vertAlign w:val="superscript"/>
          <w:lang w:eastAsia="en-US"/>
        </w:rPr>
        <w:footnoteReference w:id="6"/>
      </w:r>
      <w:r w:rsidR="00917720" w:rsidRPr="003C27C6">
        <w:rPr>
          <w:rFonts w:ascii="Arial" w:eastAsia="Calibri" w:hAnsi="Arial" w:cs="Arial"/>
          <w:color w:val="000000" w:themeColor="text1"/>
          <w:sz w:val="22"/>
          <w:szCs w:val="22"/>
          <w:lang w:eastAsia="en-US"/>
        </w:rPr>
        <w:t>.</w:t>
      </w:r>
    </w:p>
    <w:p w14:paraId="5510D27B" w14:textId="24FF1AFC" w:rsidR="00917720" w:rsidRPr="003C27C6" w:rsidRDefault="00917720" w:rsidP="00530DFE">
      <w:pPr>
        <w:spacing w:line="276" w:lineRule="auto"/>
        <w:ind w:firstLine="708"/>
        <w:jc w:val="both"/>
        <w:rPr>
          <w:rFonts w:ascii="Arial" w:eastAsia="Arial" w:hAnsi="Arial" w:cs="Arial"/>
          <w:color w:val="000000" w:themeColor="text1"/>
          <w:sz w:val="22"/>
          <w:szCs w:val="22"/>
          <w:lang w:val="es-ES" w:eastAsia="es-ES" w:bidi="es-ES"/>
        </w:rPr>
      </w:pPr>
      <w:bookmarkStart w:id="15" w:name="_Hlk79762276"/>
      <w:r w:rsidRPr="003C27C6">
        <w:rPr>
          <w:rFonts w:ascii="Arial" w:eastAsia="Calibri" w:hAnsi="Arial" w:cs="Arial"/>
          <w:color w:val="000000" w:themeColor="text1"/>
          <w:sz w:val="22"/>
          <w:szCs w:val="22"/>
          <w:lang w:eastAsia="en-US"/>
        </w:rPr>
        <w:t xml:space="preserve">Por otra parte, el parágrafo del artículo 38 de la Ley 996 de 2005 prevé una restricción, aplicable respecto de cualquier tipo de elección popular, que prohíbe a los gobernadores, alcaldes municipales o distritales, secretarios, gerentes y directores de entidades descentralizadas del orden municipal, departamental o distrital </w:t>
      </w:r>
      <w:r w:rsidRPr="003C27C6">
        <w:rPr>
          <w:rFonts w:ascii="Arial" w:eastAsia="Calibri" w:hAnsi="Arial" w:cs="Arial"/>
          <w:bCs/>
          <w:color w:val="000000" w:themeColor="text1"/>
          <w:sz w:val="22"/>
          <w:szCs w:val="22"/>
          <w:lang w:eastAsia="en-US"/>
        </w:rPr>
        <w:t xml:space="preserve">«[…] </w:t>
      </w:r>
      <w:r w:rsidRPr="003C27C6">
        <w:rPr>
          <w:rFonts w:ascii="Arial" w:eastAsia="Calibri" w:hAnsi="Arial" w:cs="Arial"/>
          <w:color w:val="000000" w:themeColor="text1"/>
          <w:sz w:val="22"/>
          <w:szCs w:val="22"/>
          <w:lang w:val="es-MX" w:eastAsia="en-US"/>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3C27C6">
        <w:rPr>
          <w:rFonts w:ascii="Arial" w:eastAsia="Calibri" w:hAnsi="Arial" w:cs="Arial"/>
          <w:bCs/>
          <w:color w:val="000000" w:themeColor="text1"/>
          <w:sz w:val="19"/>
          <w:szCs w:val="19"/>
          <w:lang w:eastAsia="en-US"/>
        </w:rPr>
        <w:t>»</w:t>
      </w:r>
      <w:r w:rsidRPr="003C27C6">
        <w:rPr>
          <w:rFonts w:ascii="Arial" w:eastAsia="Calibri" w:hAnsi="Arial" w:cs="Arial"/>
          <w:bCs/>
          <w:color w:val="000000" w:themeColor="text1"/>
          <w:sz w:val="19"/>
          <w:szCs w:val="19"/>
          <w:vertAlign w:val="superscript"/>
          <w:lang w:eastAsia="en-US"/>
        </w:rPr>
        <w:footnoteReference w:id="7"/>
      </w:r>
      <w:r w:rsidRPr="003C27C6">
        <w:rPr>
          <w:rFonts w:ascii="Arial" w:eastAsia="Calibri" w:hAnsi="Arial" w:cs="Arial"/>
          <w:color w:val="000000" w:themeColor="text1"/>
          <w:sz w:val="22"/>
          <w:szCs w:val="22"/>
          <w:lang w:val="es-MX" w:eastAsia="en-US"/>
        </w:rPr>
        <w:t>.</w:t>
      </w:r>
      <w:r w:rsidR="00900A23" w:rsidRPr="003C27C6">
        <w:rPr>
          <w:rFonts w:ascii="Arial" w:eastAsia="Calibri" w:hAnsi="Arial" w:cs="Arial"/>
          <w:color w:val="000000" w:themeColor="text1"/>
          <w:sz w:val="22"/>
          <w:szCs w:val="22"/>
          <w:lang w:val="es-MX" w:eastAsia="en-US"/>
        </w:rPr>
        <w:t xml:space="preserve"> Teniendo en cuenta lo anterior, </w:t>
      </w:r>
      <w:bookmarkEnd w:id="12"/>
      <w:bookmarkEnd w:id="13"/>
      <w:bookmarkEnd w:id="15"/>
      <w:r w:rsidR="00900A23" w:rsidRPr="003C27C6">
        <w:rPr>
          <w:rFonts w:ascii="Arial" w:eastAsia="Arial" w:hAnsi="Arial" w:cs="Arial"/>
          <w:color w:val="000000" w:themeColor="text1"/>
          <w:sz w:val="22"/>
          <w:szCs w:val="22"/>
          <w:lang w:val="es-ES" w:eastAsia="es-ES" w:bidi="es-ES"/>
        </w:rPr>
        <w:t>l</w:t>
      </w:r>
      <w:r w:rsidRPr="003C27C6">
        <w:rPr>
          <w:rFonts w:ascii="Arial" w:eastAsia="Arial" w:hAnsi="Arial" w:cs="Arial"/>
          <w:color w:val="000000" w:themeColor="text1"/>
          <w:sz w:val="22"/>
          <w:szCs w:val="22"/>
          <w:lang w:val="es-ES" w:eastAsia="es-ES" w:bidi="es-ES"/>
        </w:rPr>
        <w:t>a Sala de Consulta y Servicio Civil del Consejo de Estado ha aclarado la distinción en la aplicación de las prohibiciones de la Ley 996 de 2005, dependiendo del tipo de elección que se trate, así</w:t>
      </w:r>
      <w:r w:rsidRPr="003C27C6">
        <w:rPr>
          <w:rFonts w:ascii="Arial" w:eastAsia="Arial" w:hAnsi="Arial" w:cs="Arial"/>
          <w:color w:val="000000" w:themeColor="text1"/>
          <w:sz w:val="21"/>
          <w:szCs w:val="21"/>
          <w:vertAlign w:val="superscript"/>
          <w:lang w:val="es-ES" w:eastAsia="es-ES" w:bidi="es-ES"/>
        </w:rPr>
        <w:footnoteReference w:id="8"/>
      </w:r>
      <w:r w:rsidRPr="003C27C6">
        <w:rPr>
          <w:rFonts w:ascii="Arial" w:eastAsia="Arial" w:hAnsi="Arial" w:cs="Arial"/>
          <w:color w:val="000000" w:themeColor="text1"/>
          <w:sz w:val="22"/>
          <w:szCs w:val="22"/>
          <w:lang w:val="es-ES" w:eastAsia="es-ES" w:bidi="es-ES"/>
        </w:rPr>
        <w:t>:</w:t>
      </w:r>
    </w:p>
    <w:p w14:paraId="01678F88" w14:textId="77777777" w:rsidR="00917720" w:rsidRPr="003C27C6" w:rsidRDefault="00917720">
      <w:pPr>
        <w:widowControl w:val="0"/>
        <w:autoSpaceDE w:val="0"/>
        <w:autoSpaceDN w:val="0"/>
        <w:ind w:left="805" w:right="812"/>
        <w:jc w:val="both"/>
        <w:rPr>
          <w:rFonts w:ascii="Arial" w:eastAsia="Arial" w:hAnsi="Arial" w:cs="Arial"/>
          <w:color w:val="000000" w:themeColor="text1"/>
          <w:sz w:val="22"/>
          <w:szCs w:val="22"/>
          <w:lang w:val="es-ES" w:eastAsia="es-ES" w:bidi="es-ES"/>
        </w:rPr>
      </w:pPr>
    </w:p>
    <w:p w14:paraId="7CF9F585" w14:textId="77777777" w:rsidR="00917720" w:rsidRPr="003C27C6" w:rsidRDefault="00917720" w:rsidP="00530DFE">
      <w:pPr>
        <w:widowControl w:val="0"/>
        <w:autoSpaceDE w:val="0"/>
        <w:autoSpaceDN w:val="0"/>
        <w:ind w:left="709" w:right="709"/>
        <w:jc w:val="both"/>
        <w:rPr>
          <w:rFonts w:ascii="Arial" w:eastAsia="Arial" w:hAnsi="Arial" w:cs="Arial"/>
          <w:color w:val="000000" w:themeColor="text1"/>
          <w:sz w:val="21"/>
          <w:szCs w:val="21"/>
          <w:lang w:val="es-ES" w:eastAsia="es-ES" w:bidi="es-ES"/>
        </w:rPr>
      </w:pPr>
      <w:r w:rsidRPr="003C27C6">
        <w:rPr>
          <w:rFonts w:ascii="Arial" w:eastAsia="Arial" w:hAnsi="Arial" w:cs="Arial"/>
          <w:color w:val="000000" w:themeColor="text1"/>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16" w:name="_Hlk76109421"/>
      <w:r w:rsidRPr="003C27C6">
        <w:rPr>
          <w:rFonts w:ascii="Arial" w:eastAsia="Arial" w:hAnsi="Arial" w:cs="Arial"/>
          <w:color w:val="000000" w:themeColor="text1"/>
          <w:sz w:val="21"/>
          <w:szCs w:val="21"/>
          <w:lang w:val="es-ES" w:eastAsia="es-ES" w:bidi="es-ES"/>
        </w:rPr>
        <w:t>se integran parcialmente</w:t>
      </w:r>
      <w:bookmarkEnd w:id="16"/>
      <w:r w:rsidRPr="003C27C6">
        <w:rPr>
          <w:rFonts w:ascii="Arial" w:eastAsia="Arial" w:hAnsi="Arial" w:cs="Arial"/>
          <w:color w:val="000000" w:themeColor="text1"/>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3C27C6">
        <w:rPr>
          <w:rFonts w:ascii="Arial" w:eastAsia="Arial" w:hAnsi="Arial" w:cs="Arial"/>
          <w:bCs/>
          <w:i/>
          <w:iCs/>
          <w:color w:val="000000" w:themeColor="text1"/>
          <w:sz w:val="21"/>
          <w:szCs w:val="21"/>
          <w:lang w:val="es-ES" w:eastAsia="es-ES" w:bidi="es-ES"/>
        </w:rPr>
        <w:t xml:space="preserve">En cambio, para elecciones en general, excluyendo las correspondientes a </w:t>
      </w:r>
      <w:proofErr w:type="gramStart"/>
      <w:r w:rsidRPr="003C27C6">
        <w:rPr>
          <w:rFonts w:ascii="Arial" w:eastAsia="Arial" w:hAnsi="Arial" w:cs="Arial"/>
          <w:bCs/>
          <w:i/>
          <w:iCs/>
          <w:color w:val="000000" w:themeColor="text1"/>
          <w:sz w:val="21"/>
          <w:szCs w:val="21"/>
          <w:lang w:val="es-ES" w:eastAsia="es-ES" w:bidi="es-ES"/>
        </w:rPr>
        <w:t>Presidente</w:t>
      </w:r>
      <w:proofErr w:type="gramEnd"/>
      <w:r w:rsidRPr="003C27C6">
        <w:rPr>
          <w:rFonts w:ascii="Arial" w:eastAsia="Arial" w:hAnsi="Arial" w:cs="Arial"/>
          <w:bCs/>
          <w:i/>
          <w:iCs/>
          <w:color w:val="000000" w:themeColor="text1"/>
          <w:sz w:val="21"/>
          <w:szCs w:val="21"/>
          <w:lang w:val="es-ES" w:eastAsia="es-ES" w:bidi="es-ES"/>
        </w:rPr>
        <w:t xml:space="preserve"> de la República, a las autoridades territoriales allí mencionadas sólo se aplican las restricciones contenidas en el parágrafo del artículo 38</w:t>
      </w:r>
      <w:r w:rsidRPr="003C27C6">
        <w:rPr>
          <w:rFonts w:ascii="Arial" w:eastAsia="Arial" w:hAnsi="Arial" w:cs="Arial"/>
          <w:color w:val="000000" w:themeColor="text1"/>
          <w:sz w:val="21"/>
          <w:szCs w:val="21"/>
          <w:lang w:val="es-ES" w:eastAsia="es-ES" w:bidi="es-ES"/>
        </w:rPr>
        <w:t>.</w:t>
      </w:r>
      <w:r w:rsidRPr="003C27C6">
        <w:rPr>
          <w:rFonts w:ascii="Arial" w:eastAsia="Arial" w:hAnsi="Arial" w:cs="Arial"/>
          <w:color w:val="000000" w:themeColor="text1"/>
          <w:position w:val="8"/>
          <w:sz w:val="21"/>
          <w:szCs w:val="21"/>
          <w:lang w:val="es-ES" w:eastAsia="es-ES" w:bidi="es-ES"/>
        </w:rPr>
        <w:t xml:space="preserve"> </w:t>
      </w:r>
      <w:r w:rsidRPr="003C27C6">
        <w:rPr>
          <w:rFonts w:ascii="Arial" w:eastAsia="Arial" w:hAnsi="Arial" w:cs="Arial"/>
          <w:color w:val="000000" w:themeColor="text1"/>
          <w:sz w:val="21"/>
          <w:szCs w:val="21"/>
          <w:lang w:val="es-ES" w:eastAsia="es-ES" w:bidi="es-ES"/>
        </w:rPr>
        <w:t>(Cursivas fuera de</w:t>
      </w:r>
      <w:r w:rsidRPr="003C27C6">
        <w:rPr>
          <w:rFonts w:ascii="Arial" w:eastAsia="Arial" w:hAnsi="Arial" w:cs="Arial"/>
          <w:color w:val="000000" w:themeColor="text1"/>
          <w:spacing w:val="-42"/>
          <w:sz w:val="21"/>
          <w:szCs w:val="21"/>
          <w:lang w:val="es-ES" w:eastAsia="es-ES" w:bidi="es-ES"/>
        </w:rPr>
        <w:t xml:space="preserve"> </w:t>
      </w:r>
      <w:r w:rsidRPr="003C27C6">
        <w:rPr>
          <w:rFonts w:ascii="Arial" w:eastAsia="Arial" w:hAnsi="Arial" w:cs="Arial"/>
          <w:color w:val="000000" w:themeColor="text1"/>
          <w:sz w:val="21"/>
          <w:szCs w:val="21"/>
          <w:lang w:val="es-ES" w:eastAsia="es-ES" w:bidi="es-ES"/>
        </w:rPr>
        <w:t>texto)</w:t>
      </w:r>
    </w:p>
    <w:p w14:paraId="1C4CFA76" w14:textId="77777777" w:rsidR="00917720" w:rsidRPr="003C27C6" w:rsidRDefault="00917720" w:rsidP="00917720">
      <w:pPr>
        <w:widowControl w:val="0"/>
        <w:autoSpaceDE w:val="0"/>
        <w:autoSpaceDN w:val="0"/>
        <w:spacing w:before="8"/>
        <w:rPr>
          <w:rFonts w:ascii="Arial" w:eastAsia="Arial" w:hAnsi="Arial" w:cs="Arial"/>
          <w:color w:val="000000" w:themeColor="text1"/>
          <w:sz w:val="26"/>
          <w:szCs w:val="22"/>
          <w:lang w:eastAsia="es-ES" w:bidi="es-ES"/>
        </w:rPr>
      </w:pPr>
    </w:p>
    <w:p w14:paraId="6728635E" w14:textId="5079D183" w:rsidR="00E552DD" w:rsidRPr="003C27C6" w:rsidRDefault="00917720" w:rsidP="00530DFE">
      <w:pPr>
        <w:spacing w:line="276" w:lineRule="auto"/>
        <w:ind w:firstLine="708"/>
        <w:jc w:val="both"/>
        <w:rPr>
          <w:rFonts w:ascii="Arial" w:eastAsia="Arial" w:hAnsi="Arial" w:cs="Arial"/>
          <w:color w:val="000000" w:themeColor="text1"/>
          <w:sz w:val="22"/>
          <w:szCs w:val="22"/>
          <w:lang w:val="es-ES" w:eastAsia="es-ES" w:bidi="es-ES"/>
        </w:rPr>
      </w:pPr>
      <w:r w:rsidRPr="003C27C6">
        <w:rPr>
          <w:rFonts w:ascii="Arial" w:eastAsia="Arial" w:hAnsi="Arial" w:cs="Arial"/>
          <w:color w:val="000000" w:themeColor="text1"/>
          <w:sz w:val="22"/>
          <w:szCs w:val="22"/>
          <w:lang w:val="es-ES" w:eastAsia="es-ES" w:bidi="es-ES"/>
        </w:rPr>
        <w:t xml:space="preserve">Por lo tanto, </w:t>
      </w:r>
      <w:bookmarkStart w:id="17" w:name="_Hlk75780333"/>
      <w:bookmarkStart w:id="18" w:name="_Hlk79762439"/>
      <w:r w:rsidRPr="003C27C6">
        <w:rPr>
          <w:rFonts w:ascii="Arial" w:eastAsia="Arial" w:hAnsi="Arial" w:cs="Arial"/>
          <w:color w:val="000000" w:themeColor="text1"/>
          <w:sz w:val="22"/>
          <w:szCs w:val="22"/>
          <w:lang w:val="es-ES" w:eastAsia="es-ES" w:bidi="es-ES"/>
        </w:rPr>
        <w:t xml:space="preserve">la Ley 996 de 2005 regula dos tipos de restricciones en materia de contratación, </w:t>
      </w:r>
      <w:r w:rsidR="00C23926" w:rsidRPr="003C27C6">
        <w:rPr>
          <w:rFonts w:ascii="Arial" w:eastAsia="Arial" w:hAnsi="Arial" w:cs="Arial"/>
          <w:color w:val="000000" w:themeColor="text1"/>
          <w:sz w:val="22"/>
          <w:szCs w:val="22"/>
          <w:lang w:val="es-ES" w:eastAsia="es-ES" w:bidi="es-ES"/>
        </w:rPr>
        <w:t>a saber</w:t>
      </w:r>
      <w:r w:rsidRPr="003C27C6">
        <w:rPr>
          <w:rFonts w:ascii="Arial" w:eastAsia="Arial" w:hAnsi="Arial" w:cs="Arial"/>
          <w:color w:val="000000" w:themeColor="text1"/>
          <w:sz w:val="22"/>
          <w:szCs w:val="22"/>
          <w:lang w:val="es-ES" w:eastAsia="es-ES" w:bidi="es-ES"/>
        </w:rPr>
        <w:t xml:space="preserve">: i) </w:t>
      </w:r>
      <w:r w:rsidR="001459D2" w:rsidRPr="003C27C6">
        <w:rPr>
          <w:rFonts w:ascii="Arial" w:eastAsia="Arial" w:hAnsi="Arial" w:cs="Arial"/>
          <w:color w:val="000000" w:themeColor="text1"/>
          <w:sz w:val="22"/>
          <w:szCs w:val="22"/>
          <w:lang w:val="es-ES" w:eastAsia="es-ES" w:bidi="es-ES"/>
        </w:rPr>
        <w:t>l</w:t>
      </w:r>
      <w:r w:rsidRPr="003C27C6">
        <w:rPr>
          <w:rFonts w:ascii="Arial" w:eastAsia="Arial" w:hAnsi="Arial" w:cs="Arial"/>
          <w:color w:val="000000" w:themeColor="text1"/>
          <w:sz w:val="22"/>
          <w:szCs w:val="22"/>
          <w:lang w:val="es-ES" w:eastAsia="es-ES" w:bidi="es-ES"/>
        </w:rPr>
        <w:t xml:space="preserve">a del artículo 33 que opera solo respecto de las elecciones presidenciales, en virtud de la cual queda proscrita </w:t>
      </w:r>
      <w:r w:rsidRPr="003C27C6">
        <w:rPr>
          <w:rFonts w:ascii="Arial" w:eastAsia="Calibri" w:hAnsi="Arial" w:cs="Arial"/>
          <w:color w:val="000000" w:themeColor="text1"/>
          <w:sz w:val="22"/>
          <w:szCs w:val="22"/>
          <w:lang w:eastAsia="en-US"/>
        </w:rPr>
        <w:t xml:space="preserve">la </w:t>
      </w:r>
      <w:r w:rsidRPr="003C27C6">
        <w:rPr>
          <w:rFonts w:ascii="Arial" w:eastAsia="Calibri" w:hAnsi="Arial" w:cs="Arial"/>
          <w:i/>
          <w:iCs/>
          <w:color w:val="000000" w:themeColor="text1"/>
          <w:sz w:val="22"/>
          <w:szCs w:val="22"/>
          <w:lang w:eastAsia="en-US"/>
        </w:rPr>
        <w:t>contratación directa</w:t>
      </w:r>
      <w:r w:rsidRPr="003C27C6">
        <w:rPr>
          <w:rFonts w:ascii="Arial" w:eastAsia="Calibri" w:hAnsi="Arial" w:cs="Arial"/>
          <w:color w:val="000000" w:themeColor="text1"/>
          <w:sz w:val="22"/>
          <w:szCs w:val="22"/>
          <w:lang w:eastAsia="en-US"/>
        </w:rPr>
        <w:t xml:space="preserve"> por parte de todos los entes del Estado</w:t>
      </w:r>
      <w:r w:rsidR="00E552DD" w:rsidRPr="003C27C6">
        <w:rPr>
          <w:rFonts w:ascii="Arial" w:eastAsia="Calibri" w:hAnsi="Arial" w:cs="Arial"/>
          <w:color w:val="000000" w:themeColor="text1"/>
          <w:sz w:val="22"/>
          <w:szCs w:val="22"/>
          <w:lang w:eastAsia="en-US"/>
        </w:rPr>
        <w:t>, independiente de su régimen jurídico,</w:t>
      </w:r>
      <w:r w:rsidRPr="003C27C6">
        <w:rPr>
          <w:rFonts w:ascii="Arial" w:eastAsia="Arial" w:hAnsi="Arial" w:cs="Arial"/>
          <w:color w:val="000000" w:themeColor="text1"/>
          <w:sz w:val="22"/>
          <w:szCs w:val="22"/>
          <w:lang w:val="es-ES" w:eastAsia="es-ES" w:bidi="es-ES"/>
        </w:rPr>
        <w:t xml:space="preserve"> dentro de los cuatro (4) meses anteriores a la celebración de los comicios, salvo las excepciones arriba señaladas –establecidas en el inciso segundo del mismo artículo–. Sin embargo, si ningún candidato obtiene la mitad más uno de los votos que, de manera secreta y directa, depositen los ciudadanos, se celebrará una nueva votación que tendrá lugar tres semanas más tarde, en la que solo participarán los dos candidatos que hubieren obtenido las más altas votaciones, de conformidad con el artículo 190 de la Constitución Política, caso en el cual la restricción se extenderá hasta la fecha en la qu</w:t>
      </w:r>
      <w:r w:rsidR="000A0A18" w:rsidRPr="003C27C6">
        <w:rPr>
          <w:rFonts w:ascii="Arial" w:eastAsia="Arial" w:hAnsi="Arial" w:cs="Arial"/>
          <w:color w:val="000000" w:themeColor="text1"/>
          <w:sz w:val="22"/>
          <w:szCs w:val="22"/>
          <w:lang w:val="es-ES" w:eastAsia="es-ES" w:bidi="es-ES"/>
        </w:rPr>
        <w:t xml:space="preserve">e se realice esa segunda vuelta; y </w:t>
      </w:r>
      <w:proofErr w:type="spellStart"/>
      <w:r w:rsidRPr="003C27C6">
        <w:rPr>
          <w:rFonts w:ascii="Arial" w:eastAsia="Arial" w:hAnsi="Arial" w:cs="Arial"/>
          <w:color w:val="000000" w:themeColor="text1"/>
          <w:sz w:val="22"/>
          <w:szCs w:val="22"/>
          <w:lang w:val="es-ES" w:eastAsia="es-ES" w:bidi="es-ES"/>
        </w:rPr>
        <w:t>ii</w:t>
      </w:r>
      <w:proofErr w:type="spellEnd"/>
      <w:r w:rsidRPr="003C27C6">
        <w:rPr>
          <w:rFonts w:ascii="Arial" w:eastAsia="Arial" w:hAnsi="Arial" w:cs="Arial"/>
          <w:color w:val="000000" w:themeColor="text1"/>
          <w:sz w:val="22"/>
          <w:szCs w:val="22"/>
          <w:lang w:val="es-ES" w:eastAsia="es-ES" w:bidi="es-ES"/>
        </w:rPr>
        <w:t xml:space="preserve">) </w:t>
      </w:r>
      <w:r w:rsidR="001459D2" w:rsidRPr="003C27C6">
        <w:rPr>
          <w:rFonts w:ascii="Arial" w:eastAsia="Arial" w:hAnsi="Arial" w:cs="Arial"/>
          <w:color w:val="000000" w:themeColor="text1"/>
          <w:sz w:val="22"/>
          <w:szCs w:val="22"/>
          <w:lang w:val="es-ES" w:eastAsia="es-ES" w:bidi="es-ES"/>
        </w:rPr>
        <w:t>l</w:t>
      </w:r>
      <w:r w:rsidRPr="003C27C6">
        <w:rPr>
          <w:rFonts w:ascii="Arial" w:eastAsia="Arial" w:hAnsi="Arial" w:cs="Arial"/>
          <w:color w:val="000000" w:themeColor="text1"/>
          <w:sz w:val="22"/>
          <w:szCs w:val="22"/>
          <w:lang w:val="es-ES" w:eastAsia="es-ES" w:bidi="es-ES"/>
        </w:rPr>
        <w:t>a del parágrafo del artículo 38 que debe aplicarse respecto de cualquier tipo de elección, y que prohíbe la celebración de convenios interadministrativos que impliquen la ejecución de recursos públicos dentro de los cuatro (4) meses anteriores a la respectiva jornada electoral</w:t>
      </w:r>
      <w:r w:rsidR="001459D2" w:rsidRPr="003C27C6">
        <w:rPr>
          <w:rFonts w:ascii="Arial" w:eastAsia="Arial" w:hAnsi="Arial" w:cs="Arial"/>
          <w:color w:val="000000" w:themeColor="text1"/>
          <w:sz w:val="22"/>
          <w:szCs w:val="22"/>
          <w:lang w:val="es-ES" w:eastAsia="es-ES" w:bidi="es-ES"/>
        </w:rPr>
        <w:t>, en relación con las autoridades señaladas en dicha disposición.</w:t>
      </w:r>
      <w:bookmarkEnd w:id="17"/>
      <w:bookmarkEnd w:id="18"/>
    </w:p>
    <w:p w14:paraId="137904BD" w14:textId="77777777" w:rsidR="00E552DD" w:rsidRPr="003C27C6" w:rsidRDefault="00E552DD">
      <w:pPr>
        <w:widowControl w:val="0"/>
        <w:autoSpaceDE w:val="0"/>
        <w:autoSpaceDN w:val="0"/>
        <w:ind w:right="709"/>
        <w:jc w:val="both"/>
        <w:rPr>
          <w:rFonts w:ascii="Arial" w:eastAsia="Arial" w:hAnsi="Arial" w:cs="Arial"/>
          <w:color w:val="000000"/>
          <w:sz w:val="21"/>
          <w:szCs w:val="21"/>
          <w:lang w:val="es-ES" w:eastAsia="en-US"/>
        </w:rPr>
      </w:pPr>
    </w:p>
    <w:p w14:paraId="3C0EA746" w14:textId="77777777" w:rsidR="00B540D4" w:rsidRPr="003C27C6" w:rsidRDefault="00B540D4" w:rsidP="00B540D4">
      <w:pPr>
        <w:spacing w:after="200" w:line="276" w:lineRule="auto"/>
        <w:jc w:val="both"/>
        <w:rPr>
          <w:rFonts w:ascii="Arial" w:hAnsi="Arial" w:cs="Arial"/>
          <w:b/>
          <w:bCs/>
          <w:color w:val="000000" w:themeColor="text1"/>
          <w:sz w:val="22"/>
          <w:szCs w:val="22"/>
          <w:lang w:val="es-MX" w:eastAsia="es-CO"/>
        </w:rPr>
      </w:pPr>
      <w:bookmarkStart w:id="19" w:name="_Hlk77153296"/>
      <w:r w:rsidRPr="003C27C6">
        <w:rPr>
          <w:rFonts w:ascii="Arial" w:eastAsiaTheme="minorHAnsi" w:hAnsi="Arial" w:cs="Arial"/>
          <w:b/>
          <w:bCs/>
          <w:color w:val="000000" w:themeColor="text1"/>
          <w:sz w:val="22"/>
          <w:szCs w:val="22"/>
          <w:lang w:val="es-MX" w:eastAsia="en-US"/>
        </w:rPr>
        <w:t xml:space="preserve">2.3. </w:t>
      </w:r>
      <w:r w:rsidRPr="003C27C6">
        <w:rPr>
          <w:rFonts w:ascii="Arial" w:hAnsi="Arial" w:cs="Arial"/>
          <w:b/>
          <w:bCs/>
          <w:color w:val="000000" w:themeColor="text1"/>
          <w:sz w:val="22"/>
          <w:szCs w:val="22"/>
          <w:lang w:val="es-MX" w:eastAsia="es-CO"/>
        </w:rPr>
        <w:t xml:space="preserve">Restricciones </w:t>
      </w:r>
      <w:bookmarkStart w:id="20" w:name="_Hlk75643279"/>
      <w:r w:rsidRPr="003C27C6">
        <w:rPr>
          <w:rFonts w:ascii="Arial" w:hAnsi="Arial" w:cs="Arial"/>
          <w:b/>
          <w:bCs/>
          <w:color w:val="000000" w:themeColor="text1"/>
          <w:sz w:val="22"/>
          <w:szCs w:val="22"/>
          <w:lang w:val="es-MX" w:eastAsia="es-CO"/>
        </w:rPr>
        <w:t xml:space="preserve">para la celebración de contratos y convenios interadministrativos en los comicios de cargos de elección popular </w:t>
      </w:r>
    </w:p>
    <w:p w14:paraId="19340E09" w14:textId="18D309CC" w:rsidR="00B540D4" w:rsidRPr="003C27C6" w:rsidRDefault="00B540D4" w:rsidP="00B540D4">
      <w:pPr>
        <w:spacing w:after="200" w:line="276" w:lineRule="auto"/>
        <w:jc w:val="both"/>
        <w:rPr>
          <w:rFonts w:ascii="Arial" w:eastAsiaTheme="minorHAnsi" w:hAnsi="Arial" w:cs="Arial"/>
          <w:color w:val="000000" w:themeColor="text1"/>
          <w:sz w:val="22"/>
          <w:szCs w:val="22"/>
          <w:lang w:val="es-MX" w:eastAsia="en-US"/>
        </w:rPr>
      </w:pPr>
      <w:r w:rsidRPr="003C27C6">
        <w:rPr>
          <w:rFonts w:ascii="Arial" w:hAnsi="Arial" w:cs="Arial"/>
          <w:color w:val="000000" w:themeColor="text1"/>
          <w:sz w:val="22"/>
          <w:szCs w:val="22"/>
          <w:lang w:val="es-MX" w:eastAsia="es-CO"/>
        </w:rPr>
        <w:t>Esta Agencia se ha pronunciado en distintas ocasiones frente al alcance de la prohibición de celebrar contratos o convenios interadministrativos en el periodo preelectoral para comicio</w:t>
      </w:r>
      <w:r w:rsidR="009B7A5C" w:rsidRPr="003C27C6">
        <w:rPr>
          <w:rFonts w:ascii="Arial" w:hAnsi="Arial" w:cs="Arial"/>
          <w:color w:val="000000" w:themeColor="text1"/>
          <w:sz w:val="22"/>
          <w:szCs w:val="22"/>
          <w:lang w:val="es-MX" w:eastAsia="es-CO"/>
        </w:rPr>
        <w:t>s de cargos de elección popular</w:t>
      </w:r>
      <w:r w:rsidR="0087367D" w:rsidRPr="003C27C6">
        <w:rPr>
          <w:rFonts w:ascii="Arial" w:hAnsi="Arial" w:cs="Arial"/>
          <w:color w:val="000000" w:themeColor="text1"/>
          <w:sz w:val="22"/>
          <w:szCs w:val="22"/>
          <w:lang w:val="es-MX" w:eastAsia="es-CO"/>
        </w:rPr>
        <w:t>. Al respecto, conviene reiterar las siguientes ideas:</w:t>
      </w:r>
    </w:p>
    <w:bookmarkEnd w:id="19"/>
    <w:bookmarkEnd w:id="20"/>
    <w:p w14:paraId="7D0B2E6E" w14:textId="725EE1B2" w:rsidR="00B540D4" w:rsidRPr="003C27C6" w:rsidRDefault="00B540D4" w:rsidP="00B540D4">
      <w:pPr>
        <w:jc w:val="both"/>
        <w:rPr>
          <w:rFonts w:ascii="Arial" w:eastAsia="Calibri" w:hAnsi="Arial" w:cs="Arial"/>
          <w:b/>
          <w:color w:val="000000" w:themeColor="text1"/>
          <w:sz w:val="22"/>
          <w:szCs w:val="22"/>
          <w:lang w:val="es-MX" w:eastAsia="en-US"/>
        </w:rPr>
      </w:pPr>
      <w:r w:rsidRPr="003C27C6">
        <w:rPr>
          <w:rFonts w:ascii="Arial" w:eastAsia="Calibri" w:hAnsi="Arial" w:cs="Arial"/>
          <w:b/>
          <w:color w:val="000000" w:themeColor="text1"/>
          <w:sz w:val="22"/>
          <w:szCs w:val="22"/>
          <w:lang w:val="es-MX" w:eastAsia="en-US"/>
        </w:rPr>
        <w:t xml:space="preserve">2.3.1. </w:t>
      </w:r>
      <w:r w:rsidR="00812457" w:rsidRPr="003C27C6">
        <w:rPr>
          <w:rFonts w:ascii="Arial" w:eastAsia="Calibri" w:hAnsi="Arial" w:cs="Arial"/>
          <w:b/>
          <w:color w:val="000000" w:themeColor="text1"/>
          <w:sz w:val="22"/>
          <w:szCs w:val="22"/>
          <w:lang w:val="es-MX" w:eastAsia="en-US"/>
        </w:rPr>
        <w:t xml:space="preserve">Alcance del concepto de </w:t>
      </w:r>
      <w:r w:rsidR="00812457" w:rsidRPr="003C27C6">
        <w:rPr>
          <w:rFonts w:ascii="Arial" w:hAnsi="Arial" w:cs="Arial"/>
          <w:b/>
          <w:bCs/>
          <w:color w:val="000000" w:themeColor="text1"/>
          <w:sz w:val="22"/>
          <w:szCs w:val="22"/>
          <w:lang w:val="es-MX" w:eastAsia="en-US"/>
        </w:rPr>
        <w:t>contratos y</w:t>
      </w:r>
      <w:r w:rsidRPr="003C27C6">
        <w:rPr>
          <w:rFonts w:ascii="Arial" w:hAnsi="Arial" w:cs="Arial"/>
          <w:b/>
          <w:bCs/>
          <w:color w:val="000000" w:themeColor="text1"/>
          <w:sz w:val="22"/>
          <w:szCs w:val="22"/>
          <w:lang w:val="es-MX" w:eastAsia="en-US"/>
        </w:rPr>
        <w:t xml:space="preserve"> convenios interadministrativos</w:t>
      </w:r>
    </w:p>
    <w:p w14:paraId="310136E3" w14:textId="77777777" w:rsidR="00B540D4" w:rsidRPr="003C27C6" w:rsidRDefault="00B540D4" w:rsidP="00B540D4">
      <w:pPr>
        <w:widowControl w:val="0"/>
        <w:autoSpaceDE w:val="0"/>
        <w:autoSpaceDN w:val="0"/>
        <w:spacing w:line="276" w:lineRule="auto"/>
        <w:jc w:val="both"/>
        <w:rPr>
          <w:rFonts w:ascii="Arial" w:eastAsia="Calibri" w:hAnsi="Arial" w:cs="Arial"/>
          <w:b/>
          <w:color w:val="000000" w:themeColor="text1"/>
          <w:sz w:val="22"/>
          <w:szCs w:val="22"/>
          <w:lang w:val="es-MX" w:eastAsia="en-US"/>
        </w:rPr>
      </w:pPr>
    </w:p>
    <w:p w14:paraId="16A35EEF" w14:textId="77777777" w:rsidR="00B540D4" w:rsidRPr="003C27C6" w:rsidRDefault="00B540D4" w:rsidP="00B540D4">
      <w:pPr>
        <w:pStyle w:val="Textoindependiente"/>
        <w:spacing w:after="0"/>
        <w:ind w:right="113"/>
        <w:jc w:val="both"/>
        <w:rPr>
          <w:rFonts w:ascii="Arial" w:hAnsi="Arial" w:cs="Arial"/>
          <w:color w:val="000000" w:themeColor="text1"/>
        </w:rPr>
      </w:pPr>
      <w:bookmarkStart w:id="21" w:name="_Hlk67426494"/>
      <w:r w:rsidRPr="003C27C6">
        <w:rPr>
          <w:rFonts w:ascii="Arial" w:hAnsi="Arial" w:cs="Arial"/>
          <w:color w:val="000000" w:themeColor="text1"/>
        </w:rPr>
        <w:t>Un contrato o una convención es un acuerdo de voluntades entre dos o más partes generadora de obligaciones, ya sea de dar, hacer o no hacer algo. Dicho acuerdo es ley para los extremos de la relación contractual, por lo que solo podrá ser invalidado por su consentimiento mutuo o por causas legales</w:t>
      </w:r>
      <w:r w:rsidRPr="003C27C6">
        <w:rPr>
          <w:rStyle w:val="Refdenotaalpie"/>
          <w:rFonts w:ascii="Arial" w:hAnsi="Arial" w:cs="Arial"/>
          <w:color w:val="000000" w:themeColor="text1"/>
        </w:rPr>
        <w:footnoteReference w:id="9"/>
      </w:r>
      <w:r w:rsidRPr="003C27C6">
        <w:rPr>
          <w:rFonts w:ascii="Arial" w:hAnsi="Arial" w:cs="Arial"/>
          <w:color w:val="000000" w:themeColor="text1"/>
        </w:rPr>
        <w:t xml:space="preserve">. Con respecto al contrato estatal se señala que es un acuerdo de voluntades, que tiene sustantividad propia y diferente a la de los contratos civiles o comerciales, donde una de las partes es una entidad estatal, teniendo en cuenta lo definido en el artículo 32 de la Ley 80 de 1993: </w:t>
      </w:r>
    </w:p>
    <w:p w14:paraId="147DC0B5" w14:textId="77777777" w:rsidR="00B540D4" w:rsidRPr="003C27C6" w:rsidRDefault="00B540D4" w:rsidP="00B540D4">
      <w:pPr>
        <w:pStyle w:val="Textoindependiente"/>
        <w:spacing w:after="0"/>
        <w:ind w:right="111"/>
        <w:jc w:val="both"/>
        <w:rPr>
          <w:rFonts w:ascii="Arial" w:hAnsi="Arial" w:cs="Arial"/>
          <w:color w:val="000000" w:themeColor="text1"/>
        </w:rPr>
      </w:pPr>
    </w:p>
    <w:p w14:paraId="375696FA" w14:textId="77777777" w:rsidR="00B540D4" w:rsidRPr="003C27C6" w:rsidRDefault="00B540D4" w:rsidP="00B540D4">
      <w:pPr>
        <w:pStyle w:val="Textoindependiente"/>
        <w:spacing w:after="0" w:line="240" w:lineRule="auto"/>
        <w:ind w:left="709" w:right="709"/>
        <w:jc w:val="both"/>
        <w:rPr>
          <w:rFonts w:ascii="Arial" w:hAnsi="Arial" w:cs="Arial"/>
          <w:color w:val="000000" w:themeColor="text1"/>
          <w:sz w:val="21"/>
          <w:szCs w:val="21"/>
        </w:rPr>
      </w:pPr>
      <w:r w:rsidRPr="003C27C6">
        <w:rPr>
          <w:rFonts w:ascii="Arial" w:hAnsi="Arial" w:cs="Arial"/>
          <w:color w:val="000000" w:themeColor="text1"/>
          <w:sz w:val="21"/>
          <w:szCs w:val="21"/>
        </w:rPr>
        <w:t>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 […].</w:t>
      </w:r>
    </w:p>
    <w:p w14:paraId="0FEAC9A4" w14:textId="77777777" w:rsidR="00B540D4" w:rsidRPr="003C27C6" w:rsidRDefault="00B540D4" w:rsidP="00B540D4">
      <w:pPr>
        <w:pStyle w:val="Textoindependiente"/>
        <w:spacing w:after="0" w:line="240" w:lineRule="auto"/>
        <w:ind w:left="709" w:right="709"/>
        <w:jc w:val="both"/>
        <w:rPr>
          <w:rFonts w:ascii="Arial" w:hAnsi="Arial" w:cs="Arial"/>
          <w:color w:val="000000" w:themeColor="text1"/>
          <w:sz w:val="21"/>
          <w:szCs w:val="21"/>
        </w:rPr>
      </w:pPr>
    </w:p>
    <w:p w14:paraId="3D4663BB" w14:textId="77777777" w:rsidR="00B540D4" w:rsidRPr="003C27C6" w:rsidRDefault="00B540D4" w:rsidP="00B540D4">
      <w:pPr>
        <w:spacing w:after="120" w:line="276" w:lineRule="auto"/>
        <w:jc w:val="both"/>
        <w:rPr>
          <w:rFonts w:ascii="Arial" w:hAnsi="Arial" w:cs="Arial"/>
          <w:color w:val="000000" w:themeColor="text1"/>
          <w:sz w:val="22"/>
          <w:szCs w:val="22"/>
        </w:rPr>
      </w:pPr>
      <w:r w:rsidRPr="003C27C6">
        <w:rPr>
          <w:rFonts w:ascii="Arial" w:hAnsi="Arial" w:cs="Arial"/>
          <w:color w:val="000000" w:themeColor="text1"/>
        </w:rPr>
        <w:tab/>
      </w:r>
      <w:r w:rsidRPr="003C27C6">
        <w:rPr>
          <w:rFonts w:ascii="Arial" w:hAnsi="Arial" w:cs="Arial"/>
          <w:color w:val="000000" w:themeColor="text1"/>
          <w:sz w:val="22"/>
          <w:szCs w:val="22"/>
        </w:rPr>
        <w:t>Un sector de la doctrina, con referencia al contrato estatal, señala lo siguiente: «(…) la denominación de “contrato estatal”, se acoge el criterio orgánico para su distinción, con lo cual, en adelante, sólo interesará, para determinar su naturaleza, que una de las partes del contrato sea una Entidad Estatal de la que define el artículo 2° de la Ley 80 de 1993, independientemente del régimen privado o administrativo por el que haya de regirse»</w:t>
      </w:r>
      <w:r w:rsidRPr="003C27C6">
        <w:rPr>
          <w:rStyle w:val="Refdenotaalpie"/>
          <w:rFonts w:ascii="Arial" w:hAnsi="Arial" w:cs="Arial"/>
          <w:color w:val="000000" w:themeColor="text1"/>
          <w:sz w:val="22"/>
          <w:szCs w:val="22"/>
        </w:rPr>
        <w:footnoteReference w:id="10"/>
      </w:r>
      <w:r w:rsidRPr="003C27C6">
        <w:rPr>
          <w:rFonts w:ascii="Arial" w:hAnsi="Arial" w:cs="Arial"/>
          <w:color w:val="000000" w:themeColor="text1"/>
          <w:sz w:val="22"/>
          <w:szCs w:val="22"/>
        </w:rPr>
        <w:t xml:space="preserve">. Este concepto parte del criterio orgánico, en el que se considera que un contrato estatal tiene esa calidad cuando una de las partes es una entidad pública. Es decir, un contrato estatal es cualquier acto jurídico generador de obligaciones que celebren las entidades estatales a las que dicha Ley se refiere, previstos en el derecho privado o derivados del ejercicio de la autonomía de la voluntad. Además, la Ley 80 de 1993 también facultó de manera expresa a las entidades estatales para celebrar contratos y los demás </w:t>
      </w:r>
      <w:r w:rsidRPr="003C27C6">
        <w:rPr>
          <w:rFonts w:ascii="Arial" w:hAnsi="Arial" w:cs="Arial"/>
          <w:i/>
          <w:color w:val="000000" w:themeColor="text1"/>
          <w:sz w:val="22"/>
          <w:szCs w:val="22"/>
        </w:rPr>
        <w:t xml:space="preserve">acuerdos que permitan la autonomía de la voluntad </w:t>
      </w:r>
      <w:r w:rsidRPr="003C27C6">
        <w:rPr>
          <w:rFonts w:ascii="Arial" w:hAnsi="Arial" w:cs="Arial"/>
          <w:color w:val="000000" w:themeColor="text1"/>
          <w:sz w:val="22"/>
          <w:szCs w:val="22"/>
        </w:rPr>
        <w:t>y requieran el cumplimiento de los fines estatales, así como la continua y eficiente prestación de servicios públicos</w:t>
      </w:r>
      <w:r w:rsidRPr="003C27C6">
        <w:rPr>
          <w:rStyle w:val="Refdenotaalpie"/>
          <w:rFonts w:ascii="Arial" w:hAnsi="Arial" w:cs="Arial"/>
          <w:color w:val="000000" w:themeColor="text1"/>
          <w:sz w:val="22"/>
          <w:szCs w:val="22"/>
        </w:rPr>
        <w:footnoteReference w:id="11"/>
      </w:r>
      <w:r w:rsidRPr="003C27C6">
        <w:rPr>
          <w:rFonts w:ascii="Arial" w:hAnsi="Arial" w:cs="Arial"/>
          <w:color w:val="000000" w:themeColor="text1"/>
          <w:sz w:val="22"/>
          <w:szCs w:val="22"/>
        </w:rPr>
        <w:t>.</w:t>
      </w:r>
    </w:p>
    <w:p w14:paraId="506CDDE4" w14:textId="7D2AFAF3" w:rsidR="00B540D4" w:rsidRPr="003C27C6" w:rsidRDefault="00B540D4" w:rsidP="00B540D4">
      <w:pPr>
        <w:pStyle w:val="Textoindependiente"/>
        <w:ind w:right="107"/>
        <w:jc w:val="both"/>
        <w:rPr>
          <w:rFonts w:ascii="Arial" w:hAnsi="Arial" w:cs="Arial"/>
          <w:color w:val="000000" w:themeColor="text1"/>
        </w:rPr>
      </w:pPr>
      <w:r w:rsidRPr="003C27C6">
        <w:rPr>
          <w:rFonts w:ascii="Arial" w:hAnsi="Arial" w:cs="Arial"/>
          <w:color w:val="000000" w:themeColor="text1"/>
        </w:rPr>
        <w:tab/>
        <w:t>Lo anterior implica que las entidades estatales que se rigen por la Ley 80 de 1993, en virtud de la autonomía de la voluntad, pueden celebrar todos los acuerdos, denomínese contrato, convención, convenio, entre otros, que requieran para la materialización de sus objetivos misionales y consecuentemente los fines estatales. Entre otras cosas, porque</w:t>
      </w:r>
      <w:r w:rsidR="00535858" w:rsidRPr="003C27C6">
        <w:rPr>
          <w:rFonts w:ascii="Arial" w:hAnsi="Arial" w:cs="Arial"/>
          <w:color w:val="000000" w:themeColor="text1"/>
        </w:rPr>
        <w:t>,</w:t>
      </w:r>
      <w:r w:rsidRPr="003C27C6">
        <w:rPr>
          <w:rFonts w:ascii="Arial" w:hAnsi="Arial" w:cs="Arial"/>
          <w:color w:val="000000" w:themeColor="text1"/>
        </w:rPr>
        <w:t xml:space="preserve"> de acuerdo con la Constitución Política</w:t>
      </w:r>
      <w:r w:rsidR="00535858" w:rsidRPr="003C27C6">
        <w:rPr>
          <w:rFonts w:ascii="Arial" w:hAnsi="Arial" w:cs="Arial"/>
          <w:color w:val="000000" w:themeColor="text1"/>
        </w:rPr>
        <w:t>,</w:t>
      </w:r>
      <w:r w:rsidRPr="003C27C6">
        <w:rPr>
          <w:rFonts w:ascii="Arial" w:hAnsi="Arial" w:cs="Arial"/>
          <w:color w:val="000000" w:themeColor="text1"/>
        </w:rPr>
        <w:t xml:space="preserve"> la función administrativa está al servicio</w:t>
      </w:r>
      <w:r w:rsidR="003B5545" w:rsidRPr="003C27C6">
        <w:rPr>
          <w:rFonts w:ascii="Arial" w:hAnsi="Arial" w:cs="Arial"/>
          <w:color w:val="000000" w:themeColor="text1"/>
        </w:rPr>
        <w:t xml:space="preserve"> del interés general</w:t>
      </w:r>
      <w:r w:rsidRPr="003C27C6">
        <w:rPr>
          <w:rFonts w:ascii="Arial" w:hAnsi="Arial" w:cs="Arial"/>
          <w:color w:val="000000" w:themeColor="text1"/>
        </w:rPr>
        <w:t xml:space="preserve">, </w:t>
      </w:r>
      <w:proofErr w:type="gramStart"/>
      <w:r w:rsidRPr="003C27C6">
        <w:rPr>
          <w:rFonts w:ascii="Arial" w:hAnsi="Arial" w:cs="Arial"/>
          <w:color w:val="000000" w:themeColor="text1"/>
        </w:rPr>
        <w:t>y</w:t>
      </w:r>
      <w:proofErr w:type="gramEnd"/>
      <w:r w:rsidRPr="003C27C6">
        <w:rPr>
          <w:rFonts w:ascii="Arial" w:hAnsi="Arial" w:cs="Arial"/>
          <w:color w:val="000000" w:themeColor="text1"/>
        </w:rPr>
        <w:t xml:space="preserve"> </w:t>
      </w:r>
      <w:r w:rsidR="003B5545" w:rsidRPr="003C27C6">
        <w:rPr>
          <w:rFonts w:ascii="Arial" w:hAnsi="Arial" w:cs="Arial"/>
          <w:color w:val="000000" w:themeColor="text1"/>
        </w:rPr>
        <w:t xml:space="preserve">por tanto, </w:t>
      </w:r>
      <w:r w:rsidRPr="003C27C6">
        <w:rPr>
          <w:rFonts w:ascii="Arial" w:hAnsi="Arial" w:cs="Arial"/>
          <w:color w:val="000000" w:themeColor="text1"/>
        </w:rPr>
        <w:t>las autoridades administrativas tienen la obligación de coordinar sus actuaciones con la finalidad de lograr el adecuado cumplimiento de los fines del Estado</w:t>
      </w:r>
      <w:r w:rsidRPr="003C27C6">
        <w:rPr>
          <w:rStyle w:val="Refdenotaalpie"/>
          <w:rFonts w:ascii="Arial" w:hAnsi="Arial" w:cs="Arial"/>
          <w:color w:val="000000" w:themeColor="text1"/>
        </w:rPr>
        <w:footnoteReference w:id="12"/>
      </w:r>
      <w:r w:rsidRPr="003C27C6">
        <w:rPr>
          <w:rFonts w:ascii="Arial" w:hAnsi="Arial" w:cs="Arial"/>
          <w:color w:val="000000" w:themeColor="text1"/>
        </w:rPr>
        <w:t>.</w:t>
      </w:r>
    </w:p>
    <w:p w14:paraId="7B894F50" w14:textId="77777777" w:rsidR="00B540D4" w:rsidRPr="003C27C6" w:rsidRDefault="00B540D4" w:rsidP="00B540D4">
      <w:pPr>
        <w:widowControl w:val="0"/>
        <w:autoSpaceDE w:val="0"/>
        <w:autoSpaceDN w:val="0"/>
        <w:spacing w:after="120" w:line="276" w:lineRule="auto"/>
        <w:ind w:firstLine="707"/>
        <w:jc w:val="both"/>
        <w:rPr>
          <w:rFonts w:ascii="Arial" w:eastAsia="Arial" w:hAnsi="Arial" w:cs="Arial"/>
          <w:color w:val="000000" w:themeColor="text1"/>
          <w:sz w:val="22"/>
          <w:szCs w:val="22"/>
          <w:lang w:val="es-ES" w:eastAsia="es-ES" w:bidi="es-ES"/>
        </w:rPr>
      </w:pPr>
      <w:r w:rsidRPr="003C27C6">
        <w:rPr>
          <w:rFonts w:ascii="Arial" w:eastAsia="Arial" w:hAnsi="Arial" w:cs="Arial"/>
          <w:color w:val="000000" w:themeColor="text1"/>
          <w:sz w:val="22"/>
          <w:szCs w:val="22"/>
          <w:lang w:val="es-ES" w:eastAsia="es-ES" w:bidi="es-ES"/>
        </w:rPr>
        <w:t xml:space="preserve">Ahora bien, </w:t>
      </w:r>
      <w:bookmarkStart w:id="22" w:name="_Hlk80948738"/>
      <w:r w:rsidRPr="003C27C6">
        <w:rPr>
          <w:rFonts w:ascii="Arial" w:eastAsia="Arial" w:hAnsi="Arial" w:cs="Arial"/>
          <w:color w:val="000000" w:themeColor="text1"/>
          <w:sz w:val="22"/>
          <w:szCs w:val="22"/>
          <w:lang w:val="es-ES" w:eastAsia="es-ES" w:bidi="es-ES"/>
        </w:rPr>
        <w:t>la tipología de convenio interadministrativo fue creada en la Ley 80 de 1993. Aunque esta ley no lo definió ni desarrolló, el Decreto 1082 de 2015 califica a los convenios o contratos interadministrativos como aquella contratación entre entidades estatales</w:t>
      </w:r>
      <w:r w:rsidRPr="003C27C6">
        <w:rPr>
          <w:rFonts w:ascii="Arial" w:eastAsia="Arial" w:hAnsi="Arial" w:cs="Arial"/>
          <w:color w:val="000000" w:themeColor="text1"/>
          <w:sz w:val="22"/>
          <w:szCs w:val="22"/>
          <w:vertAlign w:val="superscript"/>
          <w:lang w:val="es-ES" w:eastAsia="es-ES" w:bidi="es-ES"/>
        </w:rPr>
        <w:footnoteReference w:id="13"/>
      </w:r>
      <w:r w:rsidRPr="003C27C6">
        <w:rPr>
          <w:rFonts w:ascii="Arial" w:eastAsia="Arial" w:hAnsi="Arial" w:cs="Arial"/>
          <w:color w:val="000000" w:themeColor="text1"/>
          <w:sz w:val="22"/>
          <w:szCs w:val="22"/>
          <w:lang w:val="es-ES" w:eastAsia="es-ES" w:bidi="es-ES"/>
        </w:rPr>
        <w:t>. De acuerdo con lo anterior, el contrato o el convenio interadministrativo es el acuerdo donde concurre la voluntad de dos o más personas jurídicas de derecho público con el propósito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w:t>
      </w:r>
      <w:r w:rsidRPr="003C27C6">
        <w:rPr>
          <w:rFonts w:ascii="Arial" w:eastAsia="Arial" w:hAnsi="Arial" w:cs="Arial"/>
          <w:color w:val="000000" w:themeColor="text1"/>
          <w:spacing w:val="-6"/>
          <w:sz w:val="22"/>
          <w:szCs w:val="22"/>
          <w:lang w:val="es-ES" w:eastAsia="es-ES" w:bidi="es-ES"/>
        </w:rPr>
        <w:t xml:space="preserve"> </w:t>
      </w:r>
      <w:r w:rsidRPr="003C27C6">
        <w:rPr>
          <w:rFonts w:ascii="Arial" w:eastAsia="Arial" w:hAnsi="Arial" w:cs="Arial"/>
          <w:color w:val="000000" w:themeColor="text1"/>
          <w:sz w:val="22"/>
          <w:szCs w:val="22"/>
          <w:lang w:val="es-ES" w:eastAsia="es-ES" w:bidi="es-ES"/>
        </w:rPr>
        <w:t>estatales.</w:t>
      </w:r>
    </w:p>
    <w:bookmarkEnd w:id="21"/>
    <w:bookmarkEnd w:id="22"/>
    <w:p w14:paraId="5DB4A7F2" w14:textId="77777777" w:rsidR="00B540D4" w:rsidRPr="003C27C6" w:rsidRDefault="00B540D4" w:rsidP="00B540D4">
      <w:pPr>
        <w:widowControl w:val="0"/>
        <w:autoSpaceDE w:val="0"/>
        <w:autoSpaceDN w:val="0"/>
        <w:spacing w:after="120" w:line="276" w:lineRule="auto"/>
        <w:ind w:firstLine="707"/>
        <w:jc w:val="both"/>
        <w:rPr>
          <w:rFonts w:ascii="Arial" w:eastAsia="Arial" w:hAnsi="Arial" w:cs="Arial"/>
          <w:color w:val="000000" w:themeColor="text1"/>
          <w:sz w:val="22"/>
          <w:szCs w:val="22"/>
          <w:lang w:val="es-ES" w:eastAsia="es-ES" w:bidi="es-ES"/>
        </w:rPr>
      </w:pPr>
      <w:r w:rsidRPr="003C27C6">
        <w:rPr>
          <w:rFonts w:ascii="Arial" w:eastAsia="Arial" w:hAnsi="Arial" w:cs="Arial"/>
          <w:color w:val="000000" w:themeColor="text1"/>
          <w:sz w:val="22"/>
          <w:szCs w:val="22"/>
          <w:lang w:val="es-ES" w:eastAsia="es-ES" w:bidi="es-ES"/>
        </w:rPr>
        <w:t>Si bien los contratos o convenios interadministrativos están previstos en el Estatuto General de Contratación de la Administración Pública –en adelante también EGCAP– y en el Decreto 1082 de 2015, no quiere decir que solo puedan celebrarse entre entidades estatales que apliquen el régimen de contratación allí previsto. Esto en la medida que una entidad estatal sometida a la Ley 80 de 1993 puede celebrar esta clase de convenios con una entidad estatal de régimen especial y no por ello dejará de ser un contrato o convenio interadministrativo.</w:t>
      </w:r>
    </w:p>
    <w:p w14:paraId="55093C66" w14:textId="732B92F9" w:rsidR="00B540D4" w:rsidRPr="003C27C6" w:rsidRDefault="00B540D4" w:rsidP="00E84999">
      <w:pPr>
        <w:widowControl w:val="0"/>
        <w:autoSpaceDE w:val="0"/>
        <w:autoSpaceDN w:val="0"/>
        <w:spacing w:after="120" w:line="276" w:lineRule="auto"/>
        <w:ind w:firstLine="709"/>
        <w:jc w:val="both"/>
        <w:rPr>
          <w:rFonts w:ascii="Arial" w:eastAsia="Arial" w:hAnsi="Arial" w:cs="Arial"/>
          <w:color w:val="000000" w:themeColor="text1"/>
          <w:sz w:val="22"/>
          <w:szCs w:val="22"/>
          <w:lang w:val="es-ES" w:eastAsia="es-ES" w:bidi="es-ES"/>
        </w:rPr>
      </w:pPr>
      <w:r w:rsidRPr="003C27C6">
        <w:rPr>
          <w:rFonts w:ascii="Arial" w:eastAsia="Arial" w:hAnsi="Arial" w:cs="Arial"/>
          <w:color w:val="000000" w:themeColor="text1"/>
          <w:sz w:val="22"/>
          <w:szCs w:val="22"/>
          <w:lang w:val="es-ES" w:eastAsia="es-ES" w:bidi="es-ES"/>
        </w:rPr>
        <w:t>Un contrato o convenio interadministrativo no está determinado por la modalidad de selección utilizada para celebrarlo. En efecto,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3C27C6">
        <w:rPr>
          <w:rFonts w:ascii="Arial" w:eastAsia="Arial" w:hAnsi="Arial" w:cs="Arial"/>
          <w:color w:val="000000" w:themeColor="text1"/>
          <w:sz w:val="22"/>
          <w:szCs w:val="22"/>
          <w:vertAlign w:val="superscript"/>
          <w:lang w:val="es-ES" w:eastAsia="es-ES" w:bidi="es-ES"/>
        </w:rPr>
        <w:footnoteReference w:id="14"/>
      </w:r>
      <w:r w:rsidRPr="003C27C6">
        <w:rPr>
          <w:rFonts w:ascii="Arial" w:eastAsia="Arial" w:hAnsi="Arial" w:cs="Arial"/>
          <w:color w:val="000000" w:themeColor="text1"/>
          <w:sz w:val="22"/>
          <w:szCs w:val="22"/>
          <w:lang w:val="es-ES" w:eastAsia="es-ES" w:bidi="es-ES"/>
        </w:rPr>
        <w:t>. Nótese que, en este caso, lo que cambia es la modalidad de selección, no la naturaleza de contrato</w:t>
      </w:r>
      <w:r w:rsidRPr="003C27C6">
        <w:rPr>
          <w:rFonts w:ascii="Arial" w:eastAsia="Arial" w:hAnsi="Arial" w:cs="Arial"/>
          <w:color w:val="000000" w:themeColor="text1"/>
          <w:spacing w:val="-18"/>
          <w:sz w:val="22"/>
          <w:szCs w:val="22"/>
          <w:lang w:val="es-ES" w:eastAsia="es-ES" w:bidi="es-ES"/>
        </w:rPr>
        <w:t xml:space="preserve"> </w:t>
      </w:r>
      <w:r w:rsidRPr="003C27C6">
        <w:rPr>
          <w:rFonts w:ascii="Arial" w:eastAsia="Arial" w:hAnsi="Arial" w:cs="Arial"/>
          <w:color w:val="000000" w:themeColor="text1"/>
          <w:sz w:val="22"/>
          <w:szCs w:val="22"/>
          <w:lang w:val="es-ES" w:eastAsia="es-ES" w:bidi="es-ES"/>
        </w:rPr>
        <w:t>interadministrativo.</w:t>
      </w:r>
      <w:r w:rsidR="00E84999" w:rsidRPr="003C27C6">
        <w:rPr>
          <w:rFonts w:ascii="Arial" w:eastAsia="Arial" w:hAnsi="Arial" w:cs="Arial"/>
          <w:color w:val="000000" w:themeColor="text1"/>
          <w:sz w:val="22"/>
          <w:szCs w:val="22"/>
          <w:lang w:val="es-ES" w:eastAsia="es-ES" w:bidi="es-ES"/>
        </w:rPr>
        <w:t xml:space="preserve"> </w:t>
      </w:r>
      <w:r w:rsidRPr="003C27C6">
        <w:rPr>
          <w:rFonts w:ascii="Arial" w:eastAsia="Arial" w:hAnsi="Arial" w:cs="Arial"/>
          <w:color w:val="000000" w:themeColor="text1"/>
          <w:sz w:val="22"/>
          <w:szCs w:val="22"/>
          <w:lang w:val="es-ES" w:eastAsia="es-ES" w:bidi="es-ES"/>
        </w:rPr>
        <w:t>Así las cosas, esta clase de acuerdos de voluntades se definen por un criterio orgánico, por lo que uno de sus elementos esenciales es que en los extremos de la relación jurídic</w:t>
      </w:r>
      <w:r w:rsidR="00540210" w:rsidRPr="003C27C6">
        <w:rPr>
          <w:rFonts w:ascii="Arial" w:eastAsia="Arial" w:hAnsi="Arial" w:cs="Arial"/>
          <w:color w:val="000000" w:themeColor="text1"/>
          <w:sz w:val="22"/>
          <w:szCs w:val="22"/>
          <w:lang w:val="es-ES" w:eastAsia="es-ES" w:bidi="es-ES"/>
        </w:rPr>
        <w:t>a</w:t>
      </w:r>
      <w:r w:rsidRPr="003C27C6">
        <w:rPr>
          <w:rFonts w:ascii="Arial" w:eastAsia="Arial" w:hAnsi="Arial" w:cs="Arial"/>
          <w:color w:val="000000" w:themeColor="text1"/>
          <w:sz w:val="22"/>
          <w:szCs w:val="22"/>
          <w:lang w:val="es-ES" w:eastAsia="es-ES" w:bidi="es-ES"/>
        </w:rPr>
        <w:t xml:space="preserve"> negocial concurran personas de derecho público. Adicionalmente, el Consejo de Estado ha indicado, frente a los contratos y convenios interadministrativos sus características,</w:t>
      </w:r>
      <w:r w:rsidRPr="003C27C6">
        <w:rPr>
          <w:rFonts w:ascii="Arial" w:eastAsia="Arial" w:hAnsi="Arial" w:cs="Arial"/>
          <w:color w:val="000000" w:themeColor="text1"/>
          <w:spacing w:val="-13"/>
          <w:sz w:val="22"/>
          <w:szCs w:val="22"/>
          <w:lang w:val="es-ES" w:eastAsia="es-ES" w:bidi="es-ES"/>
        </w:rPr>
        <w:t xml:space="preserve"> </w:t>
      </w:r>
      <w:r w:rsidRPr="003C27C6">
        <w:rPr>
          <w:rFonts w:ascii="Arial" w:eastAsia="Arial" w:hAnsi="Arial" w:cs="Arial"/>
          <w:color w:val="000000" w:themeColor="text1"/>
          <w:sz w:val="22"/>
          <w:szCs w:val="22"/>
          <w:lang w:val="es-ES" w:eastAsia="es-ES" w:bidi="es-ES"/>
        </w:rPr>
        <w:t>señalando que:</w:t>
      </w:r>
    </w:p>
    <w:p w14:paraId="5E5F0692" w14:textId="77777777" w:rsidR="00B540D4" w:rsidRPr="003C27C6" w:rsidRDefault="00B540D4" w:rsidP="00B540D4">
      <w:pPr>
        <w:widowControl w:val="0"/>
        <w:autoSpaceDE w:val="0"/>
        <w:autoSpaceDN w:val="0"/>
        <w:spacing w:line="276" w:lineRule="auto"/>
        <w:ind w:firstLine="707"/>
        <w:jc w:val="both"/>
        <w:rPr>
          <w:rFonts w:ascii="Arial" w:eastAsia="Arial" w:hAnsi="Arial" w:cs="Arial"/>
          <w:color w:val="000000" w:themeColor="text1"/>
          <w:sz w:val="22"/>
          <w:szCs w:val="22"/>
          <w:lang w:val="es-ES" w:eastAsia="es-ES" w:bidi="es-ES"/>
        </w:rPr>
      </w:pPr>
    </w:p>
    <w:p w14:paraId="7E8BEFFE" w14:textId="77777777" w:rsidR="00B540D4" w:rsidRPr="003C27C6" w:rsidRDefault="00B540D4" w:rsidP="00B540D4">
      <w:pPr>
        <w:spacing w:after="120"/>
        <w:ind w:left="709" w:right="709"/>
        <w:jc w:val="both"/>
        <w:rPr>
          <w:rFonts w:ascii="Arial" w:eastAsia="Calibri" w:hAnsi="Arial" w:cs="Arial"/>
          <w:color w:val="000000" w:themeColor="text1"/>
          <w:sz w:val="21"/>
          <w:szCs w:val="22"/>
          <w:lang w:val="es-MX" w:eastAsia="en-US"/>
        </w:rPr>
      </w:pPr>
      <w:r w:rsidRPr="003C27C6">
        <w:rPr>
          <w:rFonts w:ascii="Arial" w:eastAsia="Calibri" w:hAnsi="Arial" w:cs="Arial"/>
          <w:color w:val="000000" w:themeColor="text1"/>
          <w:sz w:val="21"/>
          <w:szCs w:val="22"/>
          <w:lang w:val="es-MX" w:eastAsia="en-US"/>
        </w:rPr>
        <w:t>[…] se puede señalar que los convenios o contratos interadministrativos tienen como características principales las siguientes:</w:t>
      </w:r>
    </w:p>
    <w:p w14:paraId="5982E51F" w14:textId="77777777" w:rsidR="00B540D4" w:rsidRPr="003C27C6" w:rsidRDefault="00B540D4" w:rsidP="00B540D4">
      <w:pPr>
        <w:ind w:left="709" w:right="709"/>
        <w:jc w:val="both"/>
        <w:rPr>
          <w:rFonts w:ascii="Arial" w:eastAsia="Calibri" w:hAnsi="Arial" w:cs="Arial"/>
          <w:color w:val="000000" w:themeColor="text1"/>
          <w:sz w:val="21"/>
          <w:szCs w:val="22"/>
          <w:lang w:val="es-MX" w:eastAsia="en-US"/>
        </w:rPr>
      </w:pPr>
      <w:r w:rsidRPr="003C27C6">
        <w:rPr>
          <w:rFonts w:ascii="Arial" w:eastAsia="Calibri" w:hAnsi="Arial" w:cs="Arial"/>
          <w:color w:val="000000" w:themeColor="text1"/>
          <w:sz w:val="21"/>
          <w:szCs w:val="22"/>
          <w:lang w:val="es-MX" w:eastAsia="en-US"/>
        </w:rPr>
        <w:t>constituyen verdaderos contratos en los términos del Código de Comercio cuando su objeto lo constituyen obligaciones patrimoniales; (</w:t>
      </w:r>
      <w:proofErr w:type="spellStart"/>
      <w:r w:rsidRPr="003C27C6">
        <w:rPr>
          <w:rFonts w:ascii="Arial" w:eastAsia="Calibri" w:hAnsi="Arial" w:cs="Arial"/>
          <w:color w:val="000000" w:themeColor="text1"/>
          <w:sz w:val="21"/>
          <w:szCs w:val="22"/>
          <w:lang w:val="es-MX" w:eastAsia="en-US"/>
        </w:rPr>
        <w:t>ii</w:t>
      </w:r>
      <w:proofErr w:type="spellEnd"/>
      <w:r w:rsidRPr="003C27C6">
        <w:rPr>
          <w:rFonts w:ascii="Arial" w:eastAsia="Calibri" w:hAnsi="Arial" w:cs="Arial"/>
          <w:color w:val="000000" w:themeColor="text1"/>
          <w:sz w:val="21"/>
          <w:szCs w:val="22"/>
          <w:lang w:val="es-MX" w:eastAsia="en-US"/>
        </w:rPr>
        <w:t>) tienen como fuente la autonomía contractual; (</w:t>
      </w:r>
      <w:proofErr w:type="spellStart"/>
      <w:r w:rsidRPr="003C27C6">
        <w:rPr>
          <w:rFonts w:ascii="Arial" w:eastAsia="Calibri" w:hAnsi="Arial" w:cs="Arial"/>
          <w:color w:val="000000" w:themeColor="text1"/>
          <w:sz w:val="21"/>
          <w:szCs w:val="22"/>
          <w:lang w:val="es-MX" w:eastAsia="en-US"/>
        </w:rPr>
        <w:t>iii</w:t>
      </w:r>
      <w:proofErr w:type="spellEnd"/>
      <w:r w:rsidRPr="003C27C6">
        <w:rPr>
          <w:rFonts w:ascii="Arial" w:eastAsia="Calibri" w:hAnsi="Arial" w:cs="Arial"/>
          <w:color w:val="000000" w:themeColor="text1"/>
          <w:sz w:val="21"/>
          <w:szCs w:val="22"/>
          <w:lang w:val="es-MX" w:eastAsia="en-US"/>
        </w:rPr>
        <w:t>) son contratos nominados puesto que están mencionados en la ley; (</w:t>
      </w:r>
      <w:proofErr w:type="spellStart"/>
      <w:r w:rsidRPr="003C27C6">
        <w:rPr>
          <w:rFonts w:ascii="Arial" w:eastAsia="Calibri" w:hAnsi="Arial" w:cs="Arial"/>
          <w:color w:val="000000" w:themeColor="text1"/>
          <w:sz w:val="21"/>
          <w:szCs w:val="22"/>
          <w:lang w:val="es-MX" w:eastAsia="en-US"/>
        </w:rPr>
        <w:t>iv</w:t>
      </w:r>
      <w:proofErr w:type="spellEnd"/>
      <w:r w:rsidRPr="003C27C6">
        <w:rPr>
          <w:rFonts w:ascii="Arial" w:eastAsia="Calibri" w:hAnsi="Arial" w:cs="Arial"/>
          <w:color w:val="000000" w:themeColor="text1"/>
          <w:sz w:val="21"/>
          <w:szCs w:val="22"/>
          <w:lang w:val="es-MX" w:eastAsia="en-US"/>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3C27C6">
        <w:rPr>
          <w:rFonts w:ascii="Arial" w:eastAsia="Calibri" w:hAnsi="Arial" w:cs="Arial"/>
          <w:color w:val="000000" w:themeColor="text1"/>
          <w:sz w:val="21"/>
          <w:szCs w:val="22"/>
          <w:lang w:val="es-MX" w:eastAsia="en-US"/>
        </w:rPr>
        <w:t>vii</w:t>
      </w:r>
      <w:proofErr w:type="spellEnd"/>
      <w:r w:rsidRPr="003C27C6">
        <w:rPr>
          <w:rFonts w:ascii="Arial" w:eastAsia="Calibri" w:hAnsi="Arial" w:cs="Arial"/>
          <w:color w:val="000000" w:themeColor="text1"/>
          <w:sz w:val="21"/>
          <w:szCs w:val="22"/>
          <w:lang w:val="es-MX" w:eastAsia="en-US"/>
        </w:rPr>
        <w:t>) persiguen una finalidad común a través de la realización de intereses compartidos entre las entidades vinculadas; (</w:t>
      </w:r>
      <w:proofErr w:type="spellStart"/>
      <w:r w:rsidRPr="003C27C6">
        <w:rPr>
          <w:rFonts w:ascii="Arial" w:eastAsia="Calibri" w:hAnsi="Arial" w:cs="Arial"/>
          <w:color w:val="000000" w:themeColor="text1"/>
          <w:sz w:val="21"/>
          <w:szCs w:val="22"/>
          <w:lang w:val="es-MX" w:eastAsia="en-US"/>
        </w:rPr>
        <w:t>viii</w:t>
      </w:r>
      <w:proofErr w:type="spellEnd"/>
      <w:r w:rsidRPr="003C27C6">
        <w:rPr>
          <w:rFonts w:ascii="Arial" w:eastAsia="Calibri" w:hAnsi="Arial" w:cs="Arial"/>
          <w:color w:val="000000" w:themeColor="text1"/>
          <w:sz w:val="21"/>
          <w:szCs w:val="22"/>
          <w:lang w:val="es-MX" w:eastAsia="en-US"/>
        </w:rPr>
        <w:t>) la acción mediante la cual se deben ventilar las diferencias que sobre el particular surjan es la de controversias contractuales</w:t>
      </w:r>
      <w:r w:rsidRPr="003C27C6">
        <w:rPr>
          <w:rStyle w:val="Refdenotaalpie"/>
          <w:rFonts w:ascii="Arial" w:eastAsia="Calibri" w:hAnsi="Arial" w:cs="Arial"/>
          <w:color w:val="000000" w:themeColor="text1"/>
          <w:sz w:val="21"/>
          <w:szCs w:val="22"/>
          <w:lang w:val="es-MX" w:eastAsia="en-US"/>
        </w:rPr>
        <w:footnoteReference w:id="15"/>
      </w:r>
      <w:r w:rsidRPr="003C27C6">
        <w:rPr>
          <w:rFonts w:ascii="Arial" w:eastAsia="Calibri" w:hAnsi="Arial" w:cs="Arial"/>
          <w:color w:val="000000" w:themeColor="text1"/>
          <w:sz w:val="21"/>
          <w:szCs w:val="22"/>
          <w:lang w:val="es-MX" w:eastAsia="en-US"/>
        </w:rPr>
        <w:t>.</w:t>
      </w:r>
    </w:p>
    <w:p w14:paraId="0D9CCE3A" w14:textId="77777777" w:rsidR="00B540D4" w:rsidRPr="003C27C6" w:rsidRDefault="00B540D4" w:rsidP="00B540D4">
      <w:pPr>
        <w:widowControl w:val="0"/>
        <w:autoSpaceDE w:val="0"/>
        <w:autoSpaceDN w:val="0"/>
        <w:rPr>
          <w:rFonts w:ascii="Arial" w:eastAsia="Arial" w:hAnsi="Arial" w:cs="Arial"/>
          <w:color w:val="000000" w:themeColor="text1"/>
          <w:sz w:val="22"/>
          <w:szCs w:val="22"/>
          <w:lang w:val="es-ES" w:eastAsia="es-ES" w:bidi="es-ES"/>
        </w:rPr>
      </w:pPr>
    </w:p>
    <w:p w14:paraId="53A03321" w14:textId="77777777" w:rsidR="00B540D4" w:rsidRPr="003C27C6" w:rsidRDefault="00B540D4" w:rsidP="00B540D4">
      <w:pPr>
        <w:widowControl w:val="0"/>
        <w:autoSpaceDE w:val="0"/>
        <w:autoSpaceDN w:val="0"/>
        <w:spacing w:line="276" w:lineRule="auto"/>
        <w:ind w:firstLine="707"/>
        <w:jc w:val="both"/>
        <w:rPr>
          <w:rFonts w:ascii="Arial" w:eastAsia="Arial" w:hAnsi="Arial" w:cs="Arial"/>
          <w:color w:val="000000" w:themeColor="text1"/>
          <w:sz w:val="21"/>
          <w:szCs w:val="22"/>
          <w:lang w:val="es-ES" w:eastAsia="es-ES" w:bidi="es-ES"/>
        </w:rPr>
      </w:pPr>
      <w:r w:rsidRPr="003C27C6">
        <w:rPr>
          <w:rFonts w:ascii="Arial" w:eastAsia="Arial" w:hAnsi="Arial" w:cs="Arial"/>
          <w:color w:val="000000" w:themeColor="text1"/>
          <w:sz w:val="22"/>
          <w:szCs w:val="22"/>
          <w:lang w:val="es-ES" w:eastAsia="es-ES" w:bidi="es-ES"/>
        </w:rPr>
        <w:t xml:space="preserve">En ese sentido, los convenios o contratos interadministrativos se caracterizan por los sujetos que intervienen en su celebración. Además de lo anterior, el Estatuto General de Contratación de la Administración Pública establece la contratación directa como la modalidad de selección aplicable, por regla general, para la celebración de los contratos interadministrativos. En este sentido, la contratación directa es una modalidad de aplicación restrictiva en el EGCAP, esto es, solo procede por las causales señaladas taxativamente en el numeral 4 del artículo 2 de la Ley 1150 de 2007 o las leyes que lo modifiquen o adicionen, teniendo en cuenta que es una excepción al principio de libre concurrencia que aplica a los procedimientos de contratación, para que cualquier persona interesada en satisfacer la necesidad de una entidad pueda presentar una oferta. </w:t>
      </w:r>
    </w:p>
    <w:p w14:paraId="43D64B56" w14:textId="77777777" w:rsidR="00B540D4" w:rsidRPr="003C27C6" w:rsidRDefault="00B540D4" w:rsidP="00B540D4">
      <w:pPr>
        <w:widowControl w:val="0"/>
        <w:autoSpaceDE w:val="0"/>
        <w:autoSpaceDN w:val="0"/>
        <w:spacing w:before="120" w:after="120" w:line="276" w:lineRule="auto"/>
        <w:ind w:firstLine="709"/>
        <w:jc w:val="both"/>
        <w:rPr>
          <w:rFonts w:ascii="Arial" w:eastAsia="Arial" w:hAnsi="Arial" w:cs="Arial"/>
          <w:color w:val="000000" w:themeColor="text1"/>
          <w:sz w:val="22"/>
          <w:szCs w:val="22"/>
          <w:lang w:val="es-ES" w:eastAsia="es-ES" w:bidi="es-ES"/>
        </w:rPr>
      </w:pPr>
      <w:r w:rsidRPr="003C27C6">
        <w:rPr>
          <w:rFonts w:ascii="Arial" w:eastAsia="Arial" w:hAnsi="Arial" w:cs="Arial"/>
          <w:color w:val="000000" w:themeColor="text1"/>
          <w:sz w:val="22"/>
          <w:szCs w:val="22"/>
          <w:lang w:val="es-ES" w:eastAsia="es-ES" w:bidi="es-ES"/>
        </w:rPr>
        <w:t>De esta manera, el artículo 2, numeral 4, literal c), de la Ley 1150 de 2007, dispone que, de manera excepcional, las entidades estatales pueden contratar directamente, entre otras, los «Contratos interadministrativos, siempre que las obligaciones derivadas del mismo tengan relación directa con el objeto de la entidad ejecutora señalado en la ley o en sus reglamentos». No obstante, esta disposición exceptuó celebrar de manera directa contratos o convenios interadministrativos cuando se trate de un contrato de obra, suministro, prestación de servicios de evaluación, de conformidad respecto a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Estas entidades pueden ejecutar aquellos contratos siempre que resulten adjudicatarias en un proceso abierto y con la participación de una pluralidad de oferentes, pues en dichos casos la entidad estatal que así lo requiera deberá adelantar una licitación pública, concurso de méritos, selección</w:t>
      </w:r>
      <w:r w:rsidRPr="003C27C6">
        <w:rPr>
          <w:rFonts w:ascii="Arial" w:eastAsia="Arial" w:hAnsi="Arial" w:cs="Arial"/>
          <w:color w:val="000000" w:themeColor="text1"/>
          <w:spacing w:val="-4"/>
          <w:sz w:val="22"/>
          <w:szCs w:val="22"/>
          <w:lang w:val="es-ES" w:eastAsia="es-ES" w:bidi="es-ES"/>
        </w:rPr>
        <w:t xml:space="preserve"> </w:t>
      </w:r>
      <w:r w:rsidRPr="003C27C6">
        <w:rPr>
          <w:rFonts w:ascii="Arial" w:eastAsia="Arial" w:hAnsi="Arial" w:cs="Arial"/>
          <w:color w:val="000000" w:themeColor="text1"/>
          <w:sz w:val="22"/>
          <w:szCs w:val="22"/>
          <w:lang w:val="es-ES" w:eastAsia="es-ES" w:bidi="es-ES"/>
        </w:rPr>
        <w:t>abreviada o mínima cuantía, dependiendo del caso</w:t>
      </w:r>
      <w:r w:rsidRPr="003C27C6">
        <w:rPr>
          <w:rFonts w:ascii="Arial" w:eastAsia="Arial" w:hAnsi="Arial" w:cs="Arial"/>
          <w:color w:val="000000" w:themeColor="text1"/>
          <w:sz w:val="22"/>
          <w:szCs w:val="22"/>
          <w:vertAlign w:val="superscript"/>
          <w:lang w:val="es-ES" w:eastAsia="es-ES" w:bidi="es-ES"/>
        </w:rPr>
        <w:footnoteReference w:id="16"/>
      </w:r>
      <w:r w:rsidRPr="003C27C6">
        <w:rPr>
          <w:rFonts w:ascii="Arial" w:eastAsia="Arial" w:hAnsi="Arial" w:cs="Arial"/>
          <w:color w:val="000000" w:themeColor="text1"/>
          <w:sz w:val="22"/>
          <w:szCs w:val="22"/>
          <w:lang w:val="es-ES" w:eastAsia="es-ES" w:bidi="es-ES"/>
        </w:rPr>
        <w:t>.</w:t>
      </w:r>
    </w:p>
    <w:p w14:paraId="0F14EDA0" w14:textId="4FFD3E2D" w:rsidR="00B540D4" w:rsidRPr="003C27C6" w:rsidRDefault="00B540D4" w:rsidP="00B540D4">
      <w:pPr>
        <w:widowControl w:val="0"/>
        <w:autoSpaceDE w:val="0"/>
        <w:autoSpaceDN w:val="0"/>
        <w:spacing w:before="117" w:line="276" w:lineRule="auto"/>
        <w:ind w:firstLine="707"/>
        <w:jc w:val="both"/>
        <w:rPr>
          <w:rFonts w:ascii="Arial" w:eastAsia="Arial" w:hAnsi="Arial" w:cs="Arial"/>
          <w:color w:val="000000" w:themeColor="text1"/>
          <w:sz w:val="22"/>
          <w:szCs w:val="22"/>
          <w:lang w:val="es-ES" w:eastAsia="es-ES" w:bidi="es-ES"/>
        </w:rPr>
      </w:pPr>
      <w:r w:rsidRPr="003C27C6">
        <w:rPr>
          <w:rFonts w:ascii="Arial" w:eastAsia="Arial" w:hAnsi="Arial" w:cs="Arial"/>
          <w:color w:val="000000" w:themeColor="text1"/>
          <w:sz w:val="22"/>
          <w:szCs w:val="22"/>
          <w:lang w:val="es-ES" w:eastAsia="es-ES" w:bidi="es-ES"/>
        </w:rPr>
        <w:t>Si bien la Ley 1150 de 2007 establece que las entidades estatales pueden celebrar contratos o convenios interadministrativos de manera directa, siempre que las obligaciones derivadas del mismo tengan relación directa con el objeto de la entidad ejecutora, la misma establece excepciones a esta regla, la cual está condicionada a que ciertas</w:t>
      </w:r>
      <w:r w:rsidRPr="003C27C6">
        <w:rPr>
          <w:rFonts w:ascii="Arial" w:eastAsia="Arial" w:hAnsi="Arial" w:cs="Arial"/>
          <w:color w:val="000000" w:themeColor="text1"/>
          <w:spacing w:val="13"/>
          <w:sz w:val="22"/>
          <w:szCs w:val="22"/>
          <w:lang w:val="es-ES" w:eastAsia="es-ES" w:bidi="es-ES"/>
        </w:rPr>
        <w:t xml:space="preserve"> </w:t>
      </w:r>
      <w:r w:rsidRPr="003C27C6">
        <w:rPr>
          <w:rFonts w:ascii="Arial" w:eastAsia="Arial" w:hAnsi="Arial" w:cs="Arial"/>
          <w:color w:val="000000" w:themeColor="text1"/>
          <w:sz w:val="22"/>
          <w:szCs w:val="22"/>
          <w:lang w:val="es-ES" w:eastAsia="es-ES" w:bidi="es-ES"/>
        </w:rPr>
        <w:t>tipologías</w:t>
      </w:r>
      <w:r w:rsidRPr="003C27C6">
        <w:rPr>
          <w:rFonts w:ascii="Arial" w:eastAsia="Arial" w:hAnsi="Arial" w:cs="Arial"/>
          <w:color w:val="000000" w:themeColor="text1"/>
          <w:spacing w:val="13"/>
          <w:sz w:val="22"/>
          <w:szCs w:val="22"/>
          <w:lang w:val="es-ES" w:eastAsia="es-ES" w:bidi="es-ES"/>
        </w:rPr>
        <w:t xml:space="preserve"> </w:t>
      </w:r>
      <w:r w:rsidRPr="003C27C6">
        <w:rPr>
          <w:rFonts w:ascii="Arial" w:eastAsia="Arial" w:hAnsi="Arial" w:cs="Arial"/>
          <w:color w:val="000000" w:themeColor="text1"/>
          <w:sz w:val="22"/>
          <w:szCs w:val="22"/>
          <w:lang w:val="es-ES" w:eastAsia="es-ES" w:bidi="es-ES"/>
        </w:rPr>
        <w:t>contractuales</w:t>
      </w:r>
      <w:r w:rsidRPr="003C27C6">
        <w:rPr>
          <w:rFonts w:ascii="Arial" w:eastAsia="Arial" w:hAnsi="Arial" w:cs="Arial"/>
          <w:color w:val="000000" w:themeColor="text1"/>
          <w:spacing w:val="14"/>
          <w:sz w:val="22"/>
          <w:szCs w:val="22"/>
          <w:lang w:val="es-ES" w:eastAsia="es-ES" w:bidi="es-ES"/>
        </w:rPr>
        <w:t xml:space="preserve"> </w:t>
      </w:r>
      <w:r w:rsidRPr="003C27C6">
        <w:rPr>
          <w:rFonts w:ascii="Arial" w:eastAsia="Arial" w:hAnsi="Arial" w:cs="Arial"/>
          <w:color w:val="000000" w:themeColor="text1"/>
          <w:sz w:val="22"/>
          <w:szCs w:val="22"/>
          <w:lang w:val="es-ES" w:eastAsia="es-ES" w:bidi="es-ES"/>
        </w:rPr>
        <w:t>sean</w:t>
      </w:r>
      <w:r w:rsidRPr="003C27C6">
        <w:rPr>
          <w:rFonts w:ascii="Arial" w:eastAsia="Arial" w:hAnsi="Arial" w:cs="Arial"/>
          <w:color w:val="000000" w:themeColor="text1"/>
          <w:spacing w:val="11"/>
          <w:sz w:val="22"/>
          <w:szCs w:val="22"/>
          <w:lang w:val="es-ES" w:eastAsia="es-ES" w:bidi="es-ES"/>
        </w:rPr>
        <w:t xml:space="preserve"> </w:t>
      </w:r>
      <w:r w:rsidRPr="003C27C6">
        <w:rPr>
          <w:rFonts w:ascii="Arial" w:eastAsia="Arial" w:hAnsi="Arial" w:cs="Arial"/>
          <w:color w:val="000000" w:themeColor="text1"/>
          <w:sz w:val="22"/>
          <w:szCs w:val="22"/>
          <w:lang w:val="es-ES" w:eastAsia="es-ES" w:bidi="es-ES"/>
        </w:rPr>
        <w:t>ejecutadas</w:t>
      </w:r>
      <w:r w:rsidRPr="003C27C6">
        <w:rPr>
          <w:rFonts w:ascii="Arial" w:eastAsia="Arial" w:hAnsi="Arial" w:cs="Arial"/>
          <w:color w:val="000000" w:themeColor="text1"/>
          <w:spacing w:val="14"/>
          <w:sz w:val="22"/>
          <w:szCs w:val="22"/>
          <w:lang w:val="es-ES" w:eastAsia="es-ES" w:bidi="es-ES"/>
        </w:rPr>
        <w:t xml:space="preserve"> </w:t>
      </w:r>
      <w:r w:rsidRPr="003C27C6">
        <w:rPr>
          <w:rFonts w:ascii="Arial" w:eastAsia="Arial" w:hAnsi="Arial" w:cs="Arial"/>
          <w:color w:val="000000" w:themeColor="text1"/>
          <w:sz w:val="22"/>
          <w:szCs w:val="22"/>
          <w:lang w:val="es-ES" w:eastAsia="es-ES" w:bidi="es-ES"/>
        </w:rPr>
        <w:t>por</w:t>
      </w:r>
      <w:r w:rsidRPr="003C27C6">
        <w:rPr>
          <w:rFonts w:ascii="Arial" w:eastAsia="Arial" w:hAnsi="Arial" w:cs="Arial"/>
          <w:color w:val="000000" w:themeColor="text1"/>
          <w:spacing w:val="13"/>
          <w:sz w:val="22"/>
          <w:szCs w:val="22"/>
          <w:lang w:val="es-ES" w:eastAsia="es-ES" w:bidi="es-ES"/>
        </w:rPr>
        <w:t xml:space="preserve"> </w:t>
      </w:r>
      <w:r w:rsidRPr="003C27C6">
        <w:rPr>
          <w:rFonts w:ascii="Arial" w:eastAsia="Arial" w:hAnsi="Arial" w:cs="Arial"/>
          <w:color w:val="000000" w:themeColor="text1"/>
          <w:sz w:val="22"/>
          <w:szCs w:val="22"/>
          <w:lang w:val="es-ES" w:eastAsia="es-ES" w:bidi="es-ES"/>
        </w:rPr>
        <w:t>las</w:t>
      </w:r>
      <w:r w:rsidRPr="003C27C6">
        <w:rPr>
          <w:rFonts w:ascii="Arial" w:eastAsia="Arial" w:hAnsi="Arial" w:cs="Arial"/>
          <w:color w:val="000000" w:themeColor="text1"/>
          <w:spacing w:val="13"/>
          <w:sz w:val="22"/>
          <w:szCs w:val="22"/>
          <w:lang w:val="es-ES" w:eastAsia="es-ES" w:bidi="es-ES"/>
        </w:rPr>
        <w:t xml:space="preserve"> </w:t>
      </w:r>
      <w:r w:rsidRPr="003C27C6">
        <w:rPr>
          <w:rFonts w:ascii="Arial" w:eastAsia="Arial" w:hAnsi="Arial" w:cs="Arial"/>
          <w:color w:val="000000" w:themeColor="text1"/>
          <w:sz w:val="22"/>
          <w:szCs w:val="22"/>
          <w:lang w:val="es-ES" w:eastAsia="es-ES" w:bidi="es-ES"/>
        </w:rPr>
        <w:t>entidades</w:t>
      </w:r>
      <w:r w:rsidRPr="003C27C6">
        <w:rPr>
          <w:rFonts w:ascii="Arial" w:eastAsia="Arial" w:hAnsi="Arial" w:cs="Arial"/>
          <w:color w:val="000000" w:themeColor="text1"/>
          <w:spacing w:val="12"/>
          <w:sz w:val="22"/>
          <w:szCs w:val="22"/>
          <w:lang w:val="es-ES" w:eastAsia="es-ES" w:bidi="es-ES"/>
        </w:rPr>
        <w:t xml:space="preserve"> </w:t>
      </w:r>
      <w:r w:rsidRPr="003C27C6">
        <w:rPr>
          <w:rFonts w:ascii="Arial" w:eastAsia="Arial" w:hAnsi="Arial" w:cs="Arial"/>
          <w:color w:val="000000" w:themeColor="text1"/>
          <w:sz w:val="22"/>
          <w:szCs w:val="22"/>
          <w:lang w:val="es-ES" w:eastAsia="es-ES" w:bidi="es-ES"/>
        </w:rPr>
        <w:t>estatales</w:t>
      </w:r>
      <w:r w:rsidRPr="003C27C6">
        <w:rPr>
          <w:rFonts w:ascii="Arial" w:eastAsia="Arial" w:hAnsi="Arial" w:cs="Arial"/>
          <w:color w:val="000000" w:themeColor="text1"/>
          <w:spacing w:val="11"/>
          <w:sz w:val="22"/>
          <w:szCs w:val="22"/>
          <w:lang w:val="es-ES" w:eastAsia="es-ES" w:bidi="es-ES"/>
        </w:rPr>
        <w:t xml:space="preserve"> </w:t>
      </w:r>
      <w:r w:rsidRPr="003C27C6">
        <w:rPr>
          <w:rFonts w:ascii="Arial" w:eastAsia="Arial" w:hAnsi="Arial" w:cs="Arial"/>
          <w:color w:val="000000" w:themeColor="text1"/>
          <w:sz w:val="22"/>
          <w:szCs w:val="22"/>
          <w:lang w:val="es-ES" w:eastAsia="es-ES" w:bidi="es-ES"/>
        </w:rPr>
        <w:t>previstas</w:t>
      </w:r>
      <w:r w:rsidRPr="003C27C6">
        <w:rPr>
          <w:rFonts w:ascii="Arial" w:eastAsia="Arial" w:hAnsi="Arial" w:cs="Arial"/>
          <w:color w:val="000000" w:themeColor="text1"/>
          <w:spacing w:val="18"/>
          <w:sz w:val="22"/>
          <w:szCs w:val="22"/>
          <w:lang w:val="es-ES" w:eastAsia="es-ES" w:bidi="es-ES"/>
        </w:rPr>
        <w:t xml:space="preserve"> </w:t>
      </w:r>
      <w:r w:rsidRPr="003C27C6">
        <w:rPr>
          <w:rFonts w:ascii="Arial" w:eastAsia="Arial" w:hAnsi="Arial" w:cs="Arial"/>
          <w:color w:val="000000" w:themeColor="text1"/>
          <w:sz w:val="22"/>
          <w:szCs w:val="22"/>
          <w:lang w:val="es-ES" w:eastAsia="es-ES" w:bidi="es-ES"/>
        </w:rPr>
        <w:t>en la noma mencionada. Nótese que, pese a tratarse de entidades del Estado, la Ley no restringió su denominación de contrato interadministrativo, sino que exceptuó el procedimiento de selección del contratista. Asimismo, hay otras excepciones a la celebración de contratos interadministrativos, como la contemplada en el último párrafo del literal c, numeral 4, artículo 2 ib</w:t>
      </w:r>
      <w:r w:rsidR="00321E0C" w:rsidRPr="003C27C6">
        <w:rPr>
          <w:rFonts w:ascii="Arial" w:eastAsia="Arial" w:hAnsi="Arial" w:cs="Arial"/>
          <w:color w:val="000000" w:themeColor="text1"/>
          <w:sz w:val="22"/>
          <w:szCs w:val="22"/>
          <w:lang w:val="es-ES" w:eastAsia="es-ES" w:bidi="es-ES"/>
        </w:rPr>
        <w:t>í</w:t>
      </w:r>
      <w:r w:rsidRPr="003C27C6">
        <w:rPr>
          <w:rFonts w:ascii="Arial" w:eastAsia="Arial" w:hAnsi="Arial" w:cs="Arial"/>
          <w:color w:val="000000" w:themeColor="text1"/>
          <w:sz w:val="22"/>
          <w:szCs w:val="22"/>
          <w:lang w:val="es-ES" w:eastAsia="es-ES" w:bidi="es-ES"/>
        </w:rPr>
        <w:t>dem: «Estarán exceptuados de la figura del contrato interadministrativo, los contratos de seguro de las entidades estatales».</w:t>
      </w:r>
    </w:p>
    <w:p w14:paraId="04FF2578" w14:textId="77777777" w:rsidR="00B540D4" w:rsidRPr="003C27C6" w:rsidRDefault="00B540D4" w:rsidP="00B540D4">
      <w:pPr>
        <w:widowControl w:val="0"/>
        <w:autoSpaceDE w:val="0"/>
        <w:autoSpaceDN w:val="0"/>
        <w:spacing w:before="120" w:line="276" w:lineRule="auto"/>
        <w:ind w:firstLine="709"/>
        <w:jc w:val="both"/>
        <w:rPr>
          <w:rFonts w:ascii="Arial" w:eastAsia="Arial" w:hAnsi="Arial" w:cs="Arial"/>
          <w:color w:val="000000" w:themeColor="text1"/>
          <w:sz w:val="22"/>
          <w:szCs w:val="22"/>
          <w:lang w:val="es-ES" w:eastAsia="es-ES" w:bidi="es-ES"/>
        </w:rPr>
      </w:pPr>
      <w:r w:rsidRPr="003C27C6">
        <w:rPr>
          <w:rFonts w:ascii="Arial" w:eastAsia="Arial" w:hAnsi="Arial" w:cs="Arial"/>
          <w:color w:val="000000" w:themeColor="text1"/>
          <w:sz w:val="22"/>
          <w:szCs w:val="22"/>
          <w:lang w:val="es-ES" w:eastAsia="es-ES" w:bidi="es-ES"/>
        </w:rPr>
        <w:t>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3C27C6">
        <w:rPr>
          <w:rFonts w:ascii="Arial" w:eastAsia="Arial" w:hAnsi="Arial" w:cs="Arial"/>
          <w:color w:val="000000" w:themeColor="text1"/>
          <w:spacing w:val="-4"/>
          <w:sz w:val="22"/>
          <w:szCs w:val="22"/>
          <w:lang w:val="es-ES" w:eastAsia="es-ES" w:bidi="es-ES"/>
        </w:rPr>
        <w:t xml:space="preserve"> </w:t>
      </w:r>
      <w:r w:rsidRPr="003C27C6">
        <w:rPr>
          <w:rFonts w:ascii="Arial" w:eastAsia="Arial" w:hAnsi="Arial" w:cs="Arial"/>
          <w:color w:val="000000" w:themeColor="text1"/>
          <w:sz w:val="22"/>
          <w:szCs w:val="22"/>
          <w:lang w:val="es-ES" w:eastAsia="es-ES" w:bidi="es-ES"/>
        </w:rPr>
        <w:t>estatales.</w:t>
      </w:r>
    </w:p>
    <w:p w14:paraId="4B4D18E0" w14:textId="77777777" w:rsidR="00B540D4" w:rsidRPr="003C27C6" w:rsidRDefault="00B540D4" w:rsidP="00B540D4">
      <w:pPr>
        <w:widowControl w:val="0"/>
        <w:autoSpaceDE w:val="0"/>
        <w:autoSpaceDN w:val="0"/>
        <w:spacing w:before="122" w:line="276" w:lineRule="auto"/>
        <w:ind w:firstLine="709"/>
        <w:jc w:val="both"/>
        <w:rPr>
          <w:rFonts w:ascii="Arial" w:eastAsia="Arial" w:hAnsi="Arial" w:cs="Arial"/>
          <w:color w:val="000000" w:themeColor="text1"/>
          <w:sz w:val="22"/>
          <w:szCs w:val="22"/>
          <w:lang w:val="es-ES" w:eastAsia="es-ES" w:bidi="es-ES"/>
        </w:rPr>
      </w:pPr>
      <w:r w:rsidRPr="003C27C6">
        <w:rPr>
          <w:rFonts w:ascii="Arial" w:eastAsia="Arial" w:hAnsi="Arial" w:cs="Arial"/>
          <w:color w:val="000000" w:themeColor="text1"/>
          <w:sz w:val="22"/>
          <w:szCs w:val="22"/>
          <w:lang w:val="es-ES" w:eastAsia="es-ES" w:bidi="es-ES"/>
        </w:rPr>
        <w:t>Igualmente, es necesario tener en cuenta que el Código Civil, en el artículo 1495, equipara las instituciones analizadas al disponer que «</w:t>
      </w:r>
      <w:r w:rsidRPr="003C27C6">
        <w:rPr>
          <w:rFonts w:ascii="Arial" w:eastAsia="Arial" w:hAnsi="Arial" w:cs="Arial"/>
          <w:i/>
          <w:color w:val="000000" w:themeColor="text1"/>
          <w:sz w:val="22"/>
          <w:szCs w:val="22"/>
          <w:lang w:val="es-ES" w:eastAsia="es-ES" w:bidi="es-ES"/>
        </w:rPr>
        <w:t xml:space="preserve">contrato o convención </w:t>
      </w:r>
      <w:r w:rsidRPr="003C27C6">
        <w:rPr>
          <w:rFonts w:ascii="Arial" w:eastAsia="Arial" w:hAnsi="Arial" w:cs="Arial"/>
          <w:color w:val="000000" w:themeColor="text1"/>
          <w:sz w:val="22"/>
          <w:szCs w:val="22"/>
          <w:lang w:val="es-ES" w:eastAsia="es-ES" w:bidi="es-ES"/>
        </w:rPr>
        <w:t xml:space="preserve">es un acto por el cual una parte se obliga para con otra a dar, hacer o no hacer alguna cosa […]» (Énfasis fuera de texto). De este modo, se concluye que no existe diferencia sustancial entre contrato y convención en el derecho privado. Por tanto, si dicho régimen jurídico es aplicable a la contratación estatal, tampoco es procedente hacer distinción en la actividad contractual de las entidades públicas cuando celebran contratos y convenios interadministrativos. </w:t>
      </w:r>
    </w:p>
    <w:p w14:paraId="67C030A0" w14:textId="77777777" w:rsidR="00B540D4" w:rsidRPr="003C27C6" w:rsidRDefault="00B540D4" w:rsidP="00B540D4">
      <w:pPr>
        <w:widowControl w:val="0"/>
        <w:autoSpaceDE w:val="0"/>
        <w:autoSpaceDN w:val="0"/>
        <w:spacing w:before="122" w:line="276" w:lineRule="auto"/>
        <w:ind w:firstLine="709"/>
        <w:jc w:val="both"/>
        <w:rPr>
          <w:rFonts w:ascii="Arial" w:eastAsia="Arial" w:hAnsi="Arial" w:cs="Arial"/>
          <w:color w:val="000000" w:themeColor="text1"/>
          <w:sz w:val="22"/>
          <w:szCs w:val="22"/>
          <w:lang w:val="es-ES" w:eastAsia="es-ES" w:bidi="es-ES"/>
        </w:rPr>
      </w:pPr>
      <w:r w:rsidRPr="003C27C6">
        <w:rPr>
          <w:rFonts w:ascii="Arial" w:eastAsia="Arial" w:hAnsi="Arial" w:cs="Arial"/>
          <w:color w:val="000000" w:themeColor="text1"/>
          <w:sz w:val="22"/>
          <w:szCs w:val="22"/>
          <w:lang w:val="es-ES" w:eastAsia="es-ES" w:bidi="es-ES"/>
        </w:rPr>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3C27C6">
        <w:rPr>
          <w:rFonts w:ascii="Arial" w:eastAsia="Arial" w:hAnsi="Arial" w:cs="Arial"/>
          <w:color w:val="000000" w:themeColor="text1"/>
          <w:spacing w:val="-4"/>
          <w:sz w:val="22"/>
          <w:szCs w:val="22"/>
          <w:lang w:val="es-ES" w:eastAsia="es-ES" w:bidi="es-ES"/>
        </w:rPr>
        <w:t xml:space="preserve"> </w:t>
      </w:r>
      <w:r w:rsidRPr="003C27C6">
        <w:rPr>
          <w:rFonts w:ascii="Arial" w:eastAsia="Arial" w:hAnsi="Arial" w:cs="Arial"/>
          <w:color w:val="000000" w:themeColor="text1"/>
          <w:sz w:val="22"/>
          <w:szCs w:val="22"/>
          <w:lang w:val="es-ES" w:eastAsia="es-ES" w:bidi="es-ES"/>
        </w:rPr>
        <w:t>[…]»</w:t>
      </w:r>
      <w:r w:rsidRPr="003C27C6">
        <w:rPr>
          <w:rFonts w:ascii="Arial" w:eastAsia="Arial" w:hAnsi="Arial" w:cs="Arial"/>
          <w:color w:val="000000" w:themeColor="text1"/>
          <w:sz w:val="22"/>
          <w:szCs w:val="22"/>
          <w:vertAlign w:val="superscript"/>
          <w:lang w:val="es-ES" w:eastAsia="es-ES" w:bidi="es-ES"/>
        </w:rPr>
        <w:footnoteReference w:id="17"/>
      </w:r>
      <w:r w:rsidRPr="003C27C6">
        <w:rPr>
          <w:rFonts w:ascii="Arial" w:eastAsia="Arial" w:hAnsi="Arial" w:cs="Arial"/>
          <w:color w:val="000000" w:themeColor="text1"/>
          <w:sz w:val="22"/>
          <w:szCs w:val="22"/>
          <w:lang w:val="es-ES" w:eastAsia="es-ES" w:bidi="es-ES"/>
        </w:rPr>
        <w:t>.</w:t>
      </w:r>
    </w:p>
    <w:p w14:paraId="53164F81" w14:textId="77777777" w:rsidR="00B540D4" w:rsidRPr="003C27C6" w:rsidRDefault="00B540D4" w:rsidP="00B540D4">
      <w:pPr>
        <w:widowControl w:val="0"/>
        <w:autoSpaceDE w:val="0"/>
        <w:autoSpaceDN w:val="0"/>
        <w:spacing w:before="122" w:line="276" w:lineRule="auto"/>
        <w:ind w:firstLine="709"/>
        <w:jc w:val="both"/>
        <w:rPr>
          <w:rFonts w:ascii="Arial" w:eastAsia="Arial" w:hAnsi="Arial" w:cs="Arial"/>
          <w:color w:val="000000" w:themeColor="text1"/>
          <w:sz w:val="22"/>
          <w:szCs w:val="22"/>
          <w:lang w:val="es-ES" w:eastAsia="es-ES" w:bidi="es-ES"/>
        </w:rPr>
      </w:pPr>
      <w:r w:rsidRPr="003C27C6">
        <w:rPr>
          <w:rFonts w:ascii="Arial" w:eastAsia="Arial" w:hAnsi="Arial" w:cs="Arial"/>
          <w:color w:val="000000" w:themeColor="text1"/>
          <w:sz w:val="22"/>
          <w:szCs w:val="22"/>
          <w:lang w:val="es-ES" w:eastAsia="es-ES" w:bidi="es-ES"/>
        </w:rPr>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en sentencia del 14 de junio de 2019 expresó:</w:t>
      </w:r>
    </w:p>
    <w:p w14:paraId="19F4D87D" w14:textId="77777777" w:rsidR="00B540D4" w:rsidRPr="003C27C6" w:rsidRDefault="00B540D4" w:rsidP="00B540D4">
      <w:pPr>
        <w:widowControl w:val="0"/>
        <w:autoSpaceDE w:val="0"/>
        <w:autoSpaceDN w:val="0"/>
        <w:spacing w:line="276" w:lineRule="auto"/>
        <w:ind w:firstLine="709"/>
        <w:jc w:val="both"/>
        <w:rPr>
          <w:rFonts w:ascii="Arial" w:eastAsia="Arial" w:hAnsi="Arial" w:cs="Arial"/>
          <w:color w:val="000000" w:themeColor="text1"/>
          <w:sz w:val="22"/>
          <w:szCs w:val="22"/>
          <w:lang w:val="es-ES" w:eastAsia="es-ES" w:bidi="es-ES"/>
        </w:rPr>
      </w:pPr>
    </w:p>
    <w:p w14:paraId="6121F7F8" w14:textId="77777777" w:rsidR="00B540D4" w:rsidRPr="003C27C6" w:rsidRDefault="00B540D4" w:rsidP="00B540D4">
      <w:pPr>
        <w:ind w:left="709" w:right="709"/>
        <w:jc w:val="both"/>
        <w:rPr>
          <w:rFonts w:ascii="Arial" w:eastAsia="Calibri" w:hAnsi="Arial" w:cs="Arial"/>
          <w:color w:val="000000" w:themeColor="text1"/>
          <w:sz w:val="21"/>
          <w:szCs w:val="21"/>
          <w:lang w:val="es-ES_tradnl" w:eastAsia="en-US"/>
        </w:rPr>
      </w:pPr>
      <w:r w:rsidRPr="003C27C6">
        <w:rPr>
          <w:rFonts w:ascii="Arial" w:eastAsia="Calibri" w:hAnsi="Arial" w:cs="Arial"/>
          <w:color w:val="000000" w:themeColor="text1"/>
          <w:sz w:val="21"/>
          <w:szCs w:val="21"/>
          <w:lang w:val="es-ES_tradnl" w:eastAsia="en-US"/>
        </w:rPr>
        <w:t>La Sala de Consulta y Servicio Civil</w:t>
      </w:r>
      <w:r w:rsidRPr="003C27C6">
        <w:rPr>
          <w:rFonts w:ascii="Arial" w:eastAsia="Calibri" w:hAnsi="Arial" w:cs="Arial"/>
          <w:color w:val="000000" w:themeColor="text1"/>
          <w:sz w:val="21"/>
          <w:szCs w:val="21"/>
          <w:vertAlign w:val="superscript"/>
          <w:lang w:val="es-ES_tradnl" w:eastAsia="en-US"/>
        </w:rPr>
        <w:footnoteReference w:id="18"/>
      </w:r>
      <w:r w:rsidRPr="003C27C6">
        <w:rPr>
          <w:rFonts w:ascii="Arial" w:eastAsia="Calibri" w:hAnsi="Arial" w:cs="Arial"/>
          <w:color w:val="000000" w:themeColor="text1"/>
          <w:sz w:val="21"/>
          <w:szCs w:val="21"/>
          <w:lang w:val="es-ES_tradnl" w:eastAsia="en-US"/>
        </w:rPr>
        <w:t xml:space="preserve"> de esta Corporación se ha referido a los </w:t>
      </w:r>
      <w:r w:rsidRPr="003C27C6">
        <w:rPr>
          <w:rFonts w:ascii="Arial" w:eastAsia="Calibri" w:hAnsi="Arial" w:cs="Arial"/>
          <w:i/>
          <w:color w:val="000000" w:themeColor="text1"/>
          <w:sz w:val="21"/>
          <w:szCs w:val="21"/>
          <w:lang w:val="es-ES_tradnl" w:eastAsia="en-US"/>
        </w:rPr>
        <w:t>“convenios interadministrativos”</w:t>
      </w:r>
      <w:r w:rsidRPr="003C27C6">
        <w:rPr>
          <w:rFonts w:ascii="Arial" w:eastAsia="Calibri" w:hAnsi="Arial" w:cs="Arial"/>
          <w:color w:val="000000" w:themeColor="text1"/>
          <w:sz w:val="21"/>
          <w:szCs w:val="21"/>
          <w:lang w:val="es-ES_tradnl" w:eastAsia="en-US"/>
        </w:rPr>
        <w:t xml:space="preserve"> a los cuales alude el artículo 95 de la Ley 489 de 1998, calificándolos de </w:t>
      </w:r>
      <w:r w:rsidRPr="003C27C6">
        <w:rPr>
          <w:rFonts w:ascii="Arial" w:eastAsia="Calibri" w:hAnsi="Arial" w:cs="Arial"/>
          <w:i/>
          <w:color w:val="000000" w:themeColor="text1"/>
          <w:sz w:val="21"/>
          <w:szCs w:val="21"/>
          <w:lang w:val="es-ES_tradnl" w:eastAsia="en-US"/>
        </w:rPr>
        <w:t xml:space="preserve">“puros” </w:t>
      </w:r>
      <w:r w:rsidRPr="003C27C6">
        <w:rPr>
          <w:rFonts w:ascii="Arial" w:eastAsia="Calibri" w:hAnsi="Arial" w:cs="Arial"/>
          <w:color w:val="000000" w:themeColor="text1"/>
          <w:sz w:val="21"/>
          <w:szCs w:val="21"/>
          <w:lang w:val="es-ES_tradnl" w:eastAsia="en-US"/>
        </w:rPr>
        <w:t xml:space="preserve">y entendiendo que estos, además de perseguir la finalidad de cooperación antes indicada, no implican intereses contrapuestos ni tampoco se circunscriben a un </w:t>
      </w:r>
      <w:r w:rsidRPr="003C27C6">
        <w:rPr>
          <w:rFonts w:ascii="Arial" w:eastAsia="Calibri" w:hAnsi="Arial" w:cs="Arial"/>
          <w:i/>
          <w:color w:val="000000" w:themeColor="text1"/>
          <w:sz w:val="21"/>
          <w:szCs w:val="21"/>
          <w:lang w:val="es-ES_tradnl" w:eastAsia="en-US"/>
        </w:rPr>
        <w:t>“intercambio patrimonial”</w:t>
      </w:r>
      <w:r w:rsidRPr="003C27C6">
        <w:rPr>
          <w:rFonts w:ascii="Arial" w:eastAsia="Calibri" w:hAnsi="Arial" w:cs="Arial"/>
          <w:color w:val="000000" w:themeColor="text1"/>
          <w:sz w:val="21"/>
          <w:szCs w:val="21"/>
          <w:lang w:val="es-ES_tradnl" w:eastAsia="en-US"/>
        </w:rPr>
        <w:t>. Sin perjuicio de lo anterior, en otra oportunidad, la misma Sala</w:t>
      </w:r>
      <w:r w:rsidRPr="003C27C6">
        <w:rPr>
          <w:rFonts w:ascii="Arial" w:eastAsia="Calibri" w:hAnsi="Arial" w:cs="Arial"/>
          <w:color w:val="000000" w:themeColor="text1"/>
          <w:sz w:val="21"/>
          <w:szCs w:val="21"/>
          <w:vertAlign w:val="superscript"/>
          <w:lang w:val="es-ES_tradnl" w:eastAsia="en-US"/>
        </w:rPr>
        <w:footnoteReference w:id="19"/>
      </w:r>
      <w:r w:rsidRPr="003C27C6">
        <w:rPr>
          <w:rFonts w:ascii="Arial" w:eastAsia="Calibri" w:hAnsi="Arial" w:cs="Arial"/>
          <w:color w:val="000000" w:themeColor="text1"/>
          <w:sz w:val="21"/>
          <w:szCs w:val="21"/>
          <w:lang w:val="es-ES_tradnl" w:eastAsia="en-US"/>
        </w:rPr>
        <w:t xml:space="preserve"> había indicado que, si bien en dichos convenios no se daba un </w:t>
      </w:r>
      <w:r w:rsidRPr="003C27C6">
        <w:rPr>
          <w:rFonts w:ascii="Arial" w:eastAsia="Calibri" w:hAnsi="Arial" w:cs="Arial"/>
          <w:i/>
          <w:color w:val="000000" w:themeColor="text1"/>
          <w:sz w:val="21"/>
          <w:szCs w:val="21"/>
          <w:lang w:val="es-ES_tradnl" w:eastAsia="en-US"/>
        </w:rPr>
        <w:t>“verdadero intercambio de bienes o servicios (contrato conmutativo)”</w:t>
      </w:r>
      <w:r w:rsidRPr="003C27C6">
        <w:rPr>
          <w:rFonts w:ascii="Arial" w:eastAsia="Calibri" w:hAnsi="Arial" w:cs="Arial"/>
          <w:color w:val="000000" w:themeColor="text1"/>
          <w:sz w:val="21"/>
          <w:szCs w:val="21"/>
          <w:lang w:val="es-ES_tradnl" w:eastAsia="en-US"/>
        </w:rPr>
        <w:t>, ello no impedía que se conviniera una remuneración a cargo de alguna(s) entidad(es).</w:t>
      </w:r>
    </w:p>
    <w:p w14:paraId="6F32C6A6" w14:textId="77777777" w:rsidR="00B540D4" w:rsidRPr="003C27C6" w:rsidRDefault="00B540D4" w:rsidP="00B540D4">
      <w:pPr>
        <w:ind w:left="709" w:right="709"/>
        <w:jc w:val="both"/>
        <w:rPr>
          <w:rFonts w:ascii="Arial" w:eastAsia="Calibri" w:hAnsi="Arial" w:cs="Arial"/>
          <w:color w:val="000000" w:themeColor="text1"/>
          <w:sz w:val="21"/>
          <w:szCs w:val="21"/>
          <w:lang w:val="es-ES_tradnl" w:eastAsia="en-US"/>
        </w:rPr>
      </w:pPr>
    </w:p>
    <w:p w14:paraId="09FBBB2E" w14:textId="649C59F9" w:rsidR="00B540D4" w:rsidRPr="003C27C6" w:rsidRDefault="00B540D4" w:rsidP="00B540D4">
      <w:pPr>
        <w:widowControl w:val="0"/>
        <w:autoSpaceDE w:val="0"/>
        <w:autoSpaceDN w:val="0"/>
        <w:ind w:left="709" w:right="709"/>
        <w:jc w:val="both"/>
        <w:rPr>
          <w:rFonts w:ascii="Arial" w:eastAsia="Arial" w:hAnsi="Arial" w:cs="Arial"/>
          <w:color w:val="000000" w:themeColor="text1"/>
          <w:sz w:val="21"/>
          <w:szCs w:val="21"/>
          <w:lang w:val="es-ES" w:eastAsia="es-ES" w:bidi="es-ES"/>
        </w:rPr>
      </w:pPr>
      <w:r w:rsidRPr="003C27C6">
        <w:rPr>
          <w:rFonts w:ascii="Arial" w:eastAsia="Arial" w:hAnsi="Arial" w:cs="Arial"/>
          <w:color w:val="000000" w:themeColor="text1"/>
          <w:sz w:val="21"/>
          <w:szCs w:val="21"/>
          <w:lang w:val="es-ES_tradnl" w:eastAsia="es-ES" w:bidi="es-ES"/>
        </w:rPr>
        <w:t xml:space="preserve">Lo expuesto evidencia que, en general, las interpretaciones en torno a los </w:t>
      </w:r>
      <w:r w:rsidRPr="003C27C6">
        <w:rPr>
          <w:rFonts w:ascii="Arial" w:eastAsia="Arial" w:hAnsi="Arial" w:cs="Arial"/>
          <w:i/>
          <w:color w:val="000000" w:themeColor="text1"/>
          <w:sz w:val="21"/>
          <w:szCs w:val="21"/>
          <w:lang w:val="es-ES_tradnl" w:eastAsia="es-ES" w:bidi="es-ES"/>
        </w:rPr>
        <w:t>“convenios interadministrativos”</w:t>
      </w:r>
      <w:r w:rsidRPr="003C27C6">
        <w:rPr>
          <w:rFonts w:ascii="Arial" w:eastAsia="Arial" w:hAnsi="Arial" w:cs="Arial"/>
          <w:color w:val="000000" w:themeColor="text1"/>
          <w:sz w:val="21"/>
          <w:szCs w:val="21"/>
          <w:lang w:val="es-ES_tradnl" w:eastAsia="es-ES"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3C27C6">
        <w:rPr>
          <w:rFonts w:ascii="Arial" w:eastAsia="Arial" w:hAnsi="Arial" w:cs="Arial"/>
          <w:color w:val="000000" w:themeColor="text1"/>
          <w:sz w:val="21"/>
          <w:szCs w:val="21"/>
          <w:vertAlign w:val="superscript"/>
          <w:lang w:val="es-ES_tradnl" w:eastAsia="es-ES" w:bidi="es-ES"/>
        </w:rPr>
        <w:footnoteReference w:id="20"/>
      </w:r>
      <w:r w:rsidR="00E00794" w:rsidRPr="003C27C6">
        <w:rPr>
          <w:rFonts w:ascii="Arial" w:eastAsia="Arial" w:hAnsi="Arial" w:cs="Arial"/>
          <w:color w:val="000000" w:themeColor="text1"/>
          <w:sz w:val="21"/>
          <w:szCs w:val="21"/>
          <w:lang w:val="es-ES_tradnl" w:eastAsia="es-ES" w:bidi="es-ES"/>
        </w:rPr>
        <w:t xml:space="preserve"> </w:t>
      </w:r>
      <w:r w:rsidRPr="003C27C6">
        <w:rPr>
          <w:rFonts w:ascii="Arial" w:eastAsia="Arial" w:hAnsi="Arial" w:cs="Arial"/>
          <w:color w:val="000000" w:themeColor="text1"/>
          <w:sz w:val="21"/>
          <w:szCs w:val="21"/>
          <w:vertAlign w:val="superscript"/>
          <w:lang w:val="es-ES_tradnl" w:eastAsia="es-ES" w:bidi="es-ES"/>
        </w:rPr>
        <w:footnoteReference w:id="21"/>
      </w:r>
      <w:r w:rsidRPr="003C27C6">
        <w:rPr>
          <w:rFonts w:ascii="Arial" w:eastAsia="Arial" w:hAnsi="Arial" w:cs="Arial"/>
          <w:color w:val="000000" w:themeColor="text1"/>
          <w:sz w:val="21"/>
          <w:szCs w:val="21"/>
          <w:lang w:val="es-ES_tradnl" w:eastAsia="es-ES" w:bidi="es-ES"/>
        </w:rPr>
        <w:t>.</w:t>
      </w:r>
    </w:p>
    <w:p w14:paraId="19488458" w14:textId="77777777" w:rsidR="00B540D4" w:rsidRPr="003C27C6" w:rsidRDefault="00B540D4" w:rsidP="00B540D4">
      <w:pPr>
        <w:widowControl w:val="0"/>
        <w:autoSpaceDE w:val="0"/>
        <w:autoSpaceDN w:val="0"/>
        <w:spacing w:line="276" w:lineRule="auto"/>
        <w:jc w:val="both"/>
        <w:rPr>
          <w:rFonts w:ascii="Arial" w:eastAsia="Arial" w:hAnsi="Arial" w:cs="Arial"/>
          <w:color w:val="000000" w:themeColor="text1"/>
          <w:sz w:val="22"/>
          <w:szCs w:val="22"/>
          <w:lang w:val="es-ES" w:eastAsia="es-ES" w:bidi="es-ES"/>
        </w:rPr>
      </w:pPr>
    </w:p>
    <w:p w14:paraId="0E09D307" w14:textId="6F8CE53F" w:rsidR="00B540D4" w:rsidRPr="003C27C6" w:rsidRDefault="00B540D4" w:rsidP="00B540D4">
      <w:pPr>
        <w:widowControl w:val="0"/>
        <w:autoSpaceDE w:val="0"/>
        <w:autoSpaceDN w:val="0"/>
        <w:spacing w:after="120" w:line="276" w:lineRule="auto"/>
        <w:jc w:val="both"/>
        <w:rPr>
          <w:rFonts w:ascii="Arial" w:eastAsia="Arial" w:hAnsi="Arial" w:cs="Arial"/>
          <w:color w:val="000000" w:themeColor="text1"/>
          <w:sz w:val="22"/>
          <w:szCs w:val="22"/>
          <w:lang w:val="es-ES" w:eastAsia="es-ES" w:bidi="es-ES"/>
        </w:rPr>
      </w:pPr>
      <w:r w:rsidRPr="003C27C6">
        <w:rPr>
          <w:rFonts w:ascii="Arial" w:eastAsia="Arial" w:hAnsi="Arial" w:cs="Arial"/>
          <w:color w:val="000000" w:themeColor="text1"/>
          <w:sz w:val="22"/>
          <w:szCs w:val="22"/>
          <w:lang w:val="es-ES" w:eastAsia="es-ES" w:bidi="es-ES"/>
        </w:rPr>
        <w:tab/>
        <w:t>Sin embargo, es preciso reiterar que el ordenamiento jurídico</w:t>
      </w:r>
      <w:r w:rsidR="00CE13FA" w:rsidRPr="003C27C6">
        <w:rPr>
          <w:rFonts w:ascii="Arial" w:eastAsia="Arial" w:hAnsi="Arial" w:cs="Arial"/>
          <w:color w:val="000000" w:themeColor="text1"/>
          <w:sz w:val="22"/>
          <w:szCs w:val="22"/>
          <w:lang w:val="es-ES" w:eastAsia="es-ES" w:bidi="es-ES"/>
        </w:rPr>
        <w:t xml:space="preserve"> </w:t>
      </w:r>
      <w:r w:rsidRPr="003C27C6">
        <w:rPr>
          <w:rFonts w:ascii="Arial" w:eastAsia="Arial" w:hAnsi="Arial" w:cs="Arial"/>
          <w:color w:val="000000" w:themeColor="text1"/>
          <w:sz w:val="22"/>
          <w:szCs w:val="22"/>
          <w:lang w:val="es-ES" w:eastAsia="es-ES" w:bidi="es-ES"/>
        </w:rPr>
        <w:t>en diferentes ocasiones utiliza de forma indistinta los conceptos de contrato o convenio para referirse a la misma institución jurídica</w:t>
      </w:r>
      <w:r w:rsidRPr="003C27C6">
        <w:rPr>
          <w:rFonts w:ascii="Arial" w:eastAsia="Arial" w:hAnsi="Arial" w:cs="Arial"/>
          <w:color w:val="000000" w:themeColor="text1"/>
          <w:sz w:val="22"/>
          <w:szCs w:val="22"/>
          <w:vertAlign w:val="superscript"/>
          <w:lang w:val="es-ES" w:eastAsia="es-ES" w:bidi="es-ES"/>
        </w:rPr>
        <w:footnoteReference w:id="22"/>
      </w:r>
      <w:r w:rsidRPr="003C27C6">
        <w:rPr>
          <w:rFonts w:ascii="Arial" w:eastAsia="Arial" w:hAnsi="Arial" w:cs="Arial"/>
          <w:color w:val="000000" w:themeColor="text1"/>
          <w:sz w:val="22"/>
          <w:szCs w:val="22"/>
          <w:lang w:val="es-ES" w:eastAsia="es-ES" w:bidi="es-ES"/>
        </w:rPr>
        <w:t>. Incluso vale la pena tener en cuenta como la Corte Constitucional fundamenta la posibilidad de celebrar convenios interadministrativos de forma directa, con fundamento en la causal establecida en la Ley 1150 de 2007 respecto a los contratos interadministrativos</w:t>
      </w:r>
      <w:r w:rsidRPr="003C27C6">
        <w:rPr>
          <w:rFonts w:ascii="Arial" w:eastAsia="Arial" w:hAnsi="Arial" w:cs="Arial"/>
          <w:color w:val="000000" w:themeColor="text1"/>
          <w:sz w:val="22"/>
          <w:szCs w:val="22"/>
          <w:vertAlign w:val="superscript"/>
          <w:lang w:val="es-ES" w:eastAsia="es-ES" w:bidi="es-ES"/>
        </w:rPr>
        <w:footnoteReference w:id="23"/>
      </w:r>
      <w:r w:rsidRPr="003C27C6">
        <w:rPr>
          <w:rFonts w:ascii="Arial" w:eastAsia="Arial" w:hAnsi="Arial" w:cs="Arial"/>
          <w:color w:val="000000" w:themeColor="text1"/>
          <w:sz w:val="22"/>
          <w:szCs w:val="22"/>
          <w:lang w:val="es-ES" w:eastAsia="es-ES" w:bidi="es-ES"/>
        </w:rPr>
        <w:t>.</w:t>
      </w:r>
    </w:p>
    <w:p w14:paraId="29F169B8" w14:textId="007A665A" w:rsidR="00B540D4" w:rsidRPr="003C27C6" w:rsidRDefault="00B540D4" w:rsidP="00B540D4">
      <w:pPr>
        <w:widowControl w:val="0"/>
        <w:autoSpaceDE w:val="0"/>
        <w:autoSpaceDN w:val="0"/>
        <w:spacing w:line="276" w:lineRule="auto"/>
        <w:jc w:val="both"/>
        <w:rPr>
          <w:rFonts w:ascii="Arial" w:eastAsia="Arial" w:hAnsi="Arial" w:cs="Arial"/>
          <w:color w:val="000000" w:themeColor="text1"/>
          <w:sz w:val="22"/>
          <w:szCs w:val="22"/>
          <w:lang w:val="es-ES" w:eastAsia="es-ES" w:bidi="es-ES"/>
        </w:rPr>
      </w:pPr>
      <w:r w:rsidRPr="003C27C6">
        <w:rPr>
          <w:rFonts w:ascii="Arial" w:eastAsia="Arial" w:hAnsi="Arial" w:cs="Arial"/>
          <w:color w:val="000000" w:themeColor="text1"/>
          <w:sz w:val="22"/>
          <w:szCs w:val="22"/>
          <w:lang w:val="es-ES" w:eastAsia="es-ES" w:bidi="es-ES"/>
        </w:rPr>
        <w:tab/>
        <w:t>En desarrollo de lo anterior, cabe destacar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w:t>
      </w:r>
      <w:r w:rsidR="00E00794" w:rsidRPr="003C27C6">
        <w:rPr>
          <w:rFonts w:ascii="Arial" w:eastAsia="Arial" w:hAnsi="Arial" w:cs="Arial"/>
          <w:color w:val="000000" w:themeColor="text1"/>
          <w:sz w:val="22"/>
          <w:szCs w:val="22"/>
          <w:lang w:val="es-ES" w:eastAsia="es-ES" w:bidi="es-ES"/>
        </w:rPr>
        <w:t xml:space="preserve"> Electorales</w:t>
      </w:r>
      <w:r w:rsidRPr="003C27C6">
        <w:rPr>
          <w:rFonts w:ascii="Arial" w:eastAsia="Arial" w:hAnsi="Arial" w:cs="Arial"/>
          <w:color w:val="000000" w:themeColor="text1"/>
          <w:sz w:val="22"/>
          <w:szCs w:val="22"/>
          <w:lang w:val="es-ES" w:eastAsia="es-ES" w:bidi="es-ES"/>
        </w:rPr>
        <w:t>. En este sentido, la Circular, refiriéndose al parágrafo del artículo 38 de la Ley 996 de 2005, expresa:</w:t>
      </w:r>
    </w:p>
    <w:p w14:paraId="2D7177D5" w14:textId="77777777" w:rsidR="00B540D4" w:rsidRPr="003C27C6" w:rsidRDefault="00B540D4" w:rsidP="00B540D4">
      <w:pPr>
        <w:widowControl w:val="0"/>
        <w:autoSpaceDE w:val="0"/>
        <w:autoSpaceDN w:val="0"/>
        <w:spacing w:line="276" w:lineRule="auto"/>
        <w:jc w:val="both"/>
        <w:rPr>
          <w:rFonts w:ascii="Arial" w:eastAsia="Arial" w:hAnsi="Arial" w:cs="Arial"/>
          <w:color w:val="000000" w:themeColor="text1"/>
          <w:sz w:val="22"/>
          <w:szCs w:val="22"/>
          <w:lang w:val="es-ES" w:eastAsia="es-ES" w:bidi="es-ES"/>
        </w:rPr>
      </w:pPr>
    </w:p>
    <w:p w14:paraId="750F04DC" w14:textId="77777777" w:rsidR="00B540D4" w:rsidRPr="003C27C6" w:rsidRDefault="00B540D4" w:rsidP="00B540D4">
      <w:pPr>
        <w:ind w:left="709" w:right="709"/>
        <w:jc w:val="both"/>
        <w:rPr>
          <w:rFonts w:ascii="Arial" w:eastAsia="Calibri" w:hAnsi="Arial" w:cs="Arial"/>
          <w:color w:val="000000" w:themeColor="text1"/>
          <w:sz w:val="21"/>
          <w:szCs w:val="21"/>
          <w:lang w:val="es-MX" w:eastAsia="en-US"/>
        </w:rPr>
      </w:pPr>
      <w:r w:rsidRPr="003C27C6">
        <w:rPr>
          <w:rFonts w:ascii="Arial" w:eastAsia="Calibri" w:hAnsi="Arial" w:cs="Arial"/>
          <w:color w:val="000000" w:themeColor="text1"/>
          <w:sz w:val="21"/>
          <w:szCs w:val="21"/>
          <w:lang w:val="es-ES_tradnl" w:eastAsia="en-US"/>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3C27C6">
        <w:rPr>
          <w:rFonts w:ascii="Arial" w:eastAsia="Calibri" w:hAnsi="Arial" w:cs="Arial"/>
          <w:color w:val="000000" w:themeColor="text1"/>
          <w:sz w:val="21"/>
          <w:szCs w:val="21"/>
          <w:lang w:val="es-MX" w:eastAsia="en-US"/>
        </w:rPr>
        <w:t xml:space="preserve">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w:t>
      </w:r>
    </w:p>
    <w:p w14:paraId="5C3A6DFF" w14:textId="77777777" w:rsidR="00B540D4" w:rsidRPr="003C27C6" w:rsidRDefault="00B540D4" w:rsidP="00B540D4">
      <w:pPr>
        <w:ind w:left="709" w:right="709"/>
        <w:jc w:val="both"/>
        <w:rPr>
          <w:rFonts w:ascii="Arial" w:eastAsia="Calibri" w:hAnsi="Arial" w:cs="Arial"/>
          <w:color w:val="000000" w:themeColor="text1"/>
          <w:sz w:val="21"/>
          <w:szCs w:val="21"/>
          <w:lang w:val="es-MX" w:eastAsia="en-US"/>
        </w:rPr>
      </w:pPr>
    </w:p>
    <w:p w14:paraId="489AB610" w14:textId="77777777" w:rsidR="00B540D4" w:rsidRPr="003C27C6" w:rsidRDefault="00B540D4" w:rsidP="00B540D4">
      <w:pPr>
        <w:ind w:left="709" w:right="709"/>
        <w:jc w:val="both"/>
        <w:rPr>
          <w:rFonts w:ascii="Arial" w:eastAsia="Calibri" w:hAnsi="Arial" w:cs="Arial"/>
          <w:color w:val="000000" w:themeColor="text1"/>
          <w:sz w:val="21"/>
          <w:szCs w:val="21"/>
          <w:lang w:val="es-MX" w:eastAsia="en-US"/>
        </w:rPr>
      </w:pPr>
      <w:r w:rsidRPr="003C27C6">
        <w:rPr>
          <w:rFonts w:ascii="Arial" w:eastAsia="Calibri" w:hAnsi="Arial" w:cs="Arial"/>
          <w:color w:val="000000" w:themeColor="text1"/>
          <w:sz w:val="21"/>
          <w:szCs w:val="21"/>
          <w:lang w:val="es-MX" w:eastAsia="en-US"/>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72476943" w14:textId="77777777" w:rsidR="00B540D4" w:rsidRPr="003C27C6" w:rsidRDefault="00B540D4" w:rsidP="00B540D4">
      <w:pPr>
        <w:ind w:left="709" w:right="709"/>
        <w:jc w:val="both"/>
        <w:rPr>
          <w:rFonts w:ascii="Arial" w:eastAsia="Calibri" w:hAnsi="Arial" w:cs="Arial"/>
          <w:color w:val="000000" w:themeColor="text1"/>
          <w:sz w:val="21"/>
          <w:szCs w:val="21"/>
          <w:lang w:val="es-MX" w:eastAsia="en-US"/>
        </w:rPr>
      </w:pPr>
    </w:p>
    <w:p w14:paraId="389E2D4C" w14:textId="77777777" w:rsidR="00B540D4" w:rsidRPr="003C27C6" w:rsidRDefault="00B540D4" w:rsidP="00B540D4">
      <w:pPr>
        <w:ind w:left="709" w:right="709"/>
        <w:jc w:val="both"/>
        <w:rPr>
          <w:rFonts w:ascii="Calibri" w:eastAsia="Calibri" w:hAnsi="Calibri"/>
          <w:color w:val="000000" w:themeColor="text1"/>
          <w:szCs w:val="22"/>
          <w:lang w:val="es-MX" w:eastAsia="en-US"/>
        </w:rPr>
      </w:pPr>
      <w:r w:rsidRPr="003C27C6">
        <w:rPr>
          <w:rFonts w:ascii="Arial" w:eastAsia="Calibri" w:hAnsi="Arial" w:cs="Arial"/>
          <w:color w:val="000000" w:themeColor="text1"/>
          <w:sz w:val="21"/>
          <w:szCs w:val="21"/>
          <w:lang w:val="es-MX" w:eastAsia="en-US"/>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273C7D20" w14:textId="77777777" w:rsidR="00B540D4" w:rsidRPr="003C27C6" w:rsidRDefault="00B540D4" w:rsidP="00B540D4">
      <w:pPr>
        <w:widowControl w:val="0"/>
        <w:autoSpaceDE w:val="0"/>
        <w:autoSpaceDN w:val="0"/>
        <w:spacing w:before="3"/>
        <w:rPr>
          <w:rFonts w:ascii="Arial" w:eastAsia="Arial" w:hAnsi="Arial" w:cs="Arial"/>
          <w:color w:val="000000" w:themeColor="text1"/>
          <w:sz w:val="25"/>
          <w:szCs w:val="22"/>
          <w:lang w:val="es-ES" w:eastAsia="es-ES" w:bidi="es-ES"/>
        </w:rPr>
      </w:pPr>
    </w:p>
    <w:p w14:paraId="5698F729" w14:textId="7B1586C5" w:rsidR="00B540D4" w:rsidRPr="003C27C6" w:rsidRDefault="00B540D4" w:rsidP="00B540D4">
      <w:pPr>
        <w:widowControl w:val="0"/>
        <w:autoSpaceDE w:val="0"/>
        <w:autoSpaceDN w:val="0"/>
        <w:spacing w:after="120" w:line="276" w:lineRule="auto"/>
        <w:jc w:val="both"/>
        <w:rPr>
          <w:rFonts w:ascii="Arial" w:eastAsia="Arial" w:hAnsi="Arial" w:cs="Arial"/>
          <w:color w:val="000000" w:themeColor="text1"/>
          <w:sz w:val="22"/>
          <w:szCs w:val="22"/>
          <w:lang w:val="es-ES" w:eastAsia="es-ES" w:bidi="es-ES"/>
        </w:rPr>
      </w:pPr>
      <w:r w:rsidRPr="003C27C6">
        <w:rPr>
          <w:rFonts w:ascii="Arial" w:eastAsia="Arial" w:hAnsi="Arial" w:cs="Arial"/>
          <w:color w:val="000000" w:themeColor="text1"/>
          <w:sz w:val="25"/>
          <w:szCs w:val="22"/>
          <w:lang w:val="es-ES" w:eastAsia="es-ES" w:bidi="es-ES"/>
        </w:rPr>
        <w:tab/>
      </w:r>
      <w:r w:rsidRPr="003C27C6">
        <w:rPr>
          <w:rFonts w:ascii="Arial" w:eastAsia="Arial" w:hAnsi="Arial" w:cs="Arial"/>
          <w:color w:val="000000" w:themeColor="text1"/>
          <w:sz w:val="22"/>
          <w:szCs w:val="22"/>
          <w:lang w:val="es-ES" w:eastAsia="es-ES" w:bidi="es-ES"/>
        </w:rPr>
        <w:t>Teniendo en cuenta lo anterior, se reitera la conclusión</w:t>
      </w:r>
      <w:r w:rsidR="00AE71B5" w:rsidRPr="003C27C6">
        <w:rPr>
          <w:rFonts w:ascii="Arial" w:eastAsia="Arial" w:hAnsi="Arial" w:cs="Arial"/>
          <w:color w:val="000000" w:themeColor="text1"/>
          <w:sz w:val="22"/>
          <w:szCs w:val="22"/>
          <w:lang w:val="es-ES" w:eastAsia="es-ES" w:bidi="es-ES"/>
        </w:rPr>
        <w:t>,</w:t>
      </w:r>
      <w:r w:rsidRPr="003C27C6">
        <w:rPr>
          <w:rFonts w:ascii="Arial" w:eastAsia="Arial" w:hAnsi="Arial" w:cs="Arial"/>
          <w:color w:val="000000" w:themeColor="text1"/>
          <w:sz w:val="22"/>
          <w:szCs w:val="22"/>
          <w:lang w:val="es-ES" w:eastAsia="es-ES" w:bidi="es-ES"/>
        </w:rPr>
        <w:t xml:space="preserve"> en el sentido de que lo que define los contratos o convenios interadministrativos es la naturaleza de las partes, de manera que están determinados por un criterio orgánico, en el entendido que lo serán aquellos celebrados entre entidades estatales. Además, como se indicó en la Circular citada, no existe una definición legal que diferencie los conceptos de contrato y convenio, por lo que se partió de su asimilación para la aplicación de la Ley de Garantías. En tal sentido, las referencias realizadas por el legislador a estos términos deben asimilarse, salvo que de su contenido se logre inferir que se le quiere otorgar un contenido en particular, pues como se expresó, el legislador utiliza estos conceptos de forma indistinta.</w:t>
      </w:r>
    </w:p>
    <w:p w14:paraId="08BB463D" w14:textId="641DFDEA" w:rsidR="00820D42" w:rsidRPr="003C27C6" w:rsidRDefault="00B540D4" w:rsidP="00BA6554">
      <w:pPr>
        <w:spacing w:line="276" w:lineRule="auto"/>
        <w:ind w:firstLine="708"/>
        <w:jc w:val="both"/>
        <w:rPr>
          <w:rFonts w:ascii="Arial" w:hAnsi="Arial" w:cs="Arial"/>
          <w:color w:val="000000" w:themeColor="text1"/>
          <w:sz w:val="22"/>
          <w:szCs w:val="22"/>
        </w:rPr>
      </w:pPr>
      <w:r w:rsidRPr="003C27C6">
        <w:rPr>
          <w:rFonts w:ascii="Arial" w:hAnsi="Arial" w:cs="Arial"/>
          <w:color w:val="000000" w:themeColor="text1"/>
          <w:sz w:val="22"/>
          <w:szCs w:val="22"/>
          <w:lang w:val="es-ES"/>
        </w:rPr>
        <w:t>Se evidencia que e</w:t>
      </w:r>
      <w:r w:rsidRPr="003C27C6">
        <w:rPr>
          <w:rFonts w:ascii="Arial" w:hAnsi="Arial" w:cs="Arial"/>
          <w:color w:val="000000" w:themeColor="text1"/>
          <w:sz w:val="22"/>
          <w:szCs w:val="22"/>
        </w:rPr>
        <w:t xml:space="preserve">l parágrafo del artículo 38 de la Ley 996 de 2005 prohíbe a los gobernadores, alcaldes, secretarios, gerentes y directores de las entidades estatales de orden Municipal, Departamental o Distrital, la celebración de convenios o contratos interadministrativos que ejecuten recursos públicos. En este sentido, si una o ambas partes son entidades estatales, de aquellas descritas en el parágrafo del artículo 38 </w:t>
      </w:r>
      <w:r w:rsidRPr="003C27C6">
        <w:rPr>
          <w:rFonts w:ascii="Arial" w:hAnsi="Arial" w:cs="Arial"/>
          <w:i/>
          <w:color w:val="000000" w:themeColor="text1"/>
          <w:sz w:val="22"/>
          <w:szCs w:val="22"/>
        </w:rPr>
        <w:t>ibidem</w:t>
      </w:r>
      <w:r w:rsidRPr="003C27C6">
        <w:rPr>
          <w:rFonts w:ascii="Arial" w:hAnsi="Arial" w:cs="Arial"/>
          <w:color w:val="000000" w:themeColor="text1"/>
          <w:sz w:val="22"/>
          <w:szCs w:val="22"/>
        </w:rPr>
        <w:t xml:space="preserve">, </w:t>
      </w:r>
      <w:r w:rsidR="00256A16" w:rsidRPr="003C27C6">
        <w:rPr>
          <w:rFonts w:ascii="Arial" w:hAnsi="Arial" w:cs="Arial"/>
          <w:color w:val="000000" w:themeColor="text1"/>
          <w:sz w:val="22"/>
          <w:szCs w:val="22"/>
        </w:rPr>
        <w:t xml:space="preserve">en principio, </w:t>
      </w:r>
      <w:r w:rsidRPr="003C27C6">
        <w:rPr>
          <w:rFonts w:ascii="Arial" w:hAnsi="Arial" w:cs="Arial"/>
          <w:color w:val="000000" w:themeColor="text1"/>
          <w:sz w:val="22"/>
          <w:szCs w:val="22"/>
        </w:rPr>
        <w:t xml:space="preserve">no podrán celebrar entre estas convenios o contratos durante el periodo electoral </w:t>
      </w:r>
      <w:r w:rsidR="00407A63" w:rsidRPr="003C27C6">
        <w:rPr>
          <w:rFonts w:ascii="Arial" w:hAnsi="Arial" w:cs="Arial"/>
          <w:color w:val="000000" w:themeColor="text1"/>
          <w:sz w:val="22"/>
          <w:szCs w:val="22"/>
        </w:rPr>
        <w:t>señalado en la norma</w:t>
      </w:r>
      <w:r w:rsidRPr="003C27C6">
        <w:rPr>
          <w:rFonts w:ascii="Arial" w:hAnsi="Arial" w:cs="Arial"/>
          <w:color w:val="000000" w:themeColor="text1"/>
          <w:sz w:val="22"/>
          <w:szCs w:val="22"/>
        </w:rPr>
        <w:t>, indistintamente de su objeto contractual, pues, como se anotó en precedencia, si las partes son entidades estatales su denominación será la de un contrato o convenio interadministrativo, y la celebración de dichos contratos está restringida en el parágrafo del artículo 38 de la Ley 996 de 2005, la cual no dispuso excepción alguna por su</w:t>
      </w:r>
      <w:r w:rsidRPr="003C27C6">
        <w:rPr>
          <w:rFonts w:ascii="Arial" w:hAnsi="Arial" w:cs="Arial"/>
          <w:color w:val="000000" w:themeColor="text1"/>
          <w:spacing w:val="-5"/>
          <w:sz w:val="22"/>
          <w:szCs w:val="22"/>
        </w:rPr>
        <w:t xml:space="preserve"> </w:t>
      </w:r>
      <w:r w:rsidRPr="003C27C6">
        <w:rPr>
          <w:rFonts w:ascii="Arial" w:hAnsi="Arial" w:cs="Arial"/>
          <w:color w:val="000000" w:themeColor="text1"/>
          <w:sz w:val="22"/>
          <w:szCs w:val="22"/>
        </w:rPr>
        <w:t>objeto.</w:t>
      </w:r>
    </w:p>
    <w:p w14:paraId="0C3E159F" w14:textId="77777777" w:rsidR="00B540D4" w:rsidRPr="003C27C6" w:rsidRDefault="00B540D4" w:rsidP="00423CF8">
      <w:pPr>
        <w:spacing w:line="276" w:lineRule="auto"/>
        <w:jc w:val="both"/>
        <w:rPr>
          <w:rFonts w:ascii="Arial" w:hAnsi="Arial" w:cs="Arial"/>
          <w:bCs/>
          <w:sz w:val="22"/>
          <w:szCs w:val="22"/>
          <w:lang w:eastAsia="es-CO"/>
        </w:rPr>
      </w:pPr>
    </w:p>
    <w:p w14:paraId="281BB5C3" w14:textId="77777777" w:rsidR="008D50D0" w:rsidRPr="003C27C6" w:rsidRDefault="008D50D0" w:rsidP="00423CF8">
      <w:pPr>
        <w:spacing w:line="276" w:lineRule="auto"/>
        <w:jc w:val="both"/>
        <w:rPr>
          <w:rFonts w:ascii="Arial" w:hAnsi="Arial" w:cs="Arial"/>
          <w:bCs/>
          <w:sz w:val="22"/>
          <w:szCs w:val="22"/>
          <w:lang w:eastAsia="es-CO"/>
        </w:rPr>
      </w:pPr>
    </w:p>
    <w:p w14:paraId="6CF9588C" w14:textId="77777777" w:rsidR="008D50D0" w:rsidRPr="003C27C6" w:rsidRDefault="008D50D0" w:rsidP="00423CF8">
      <w:pPr>
        <w:spacing w:line="276" w:lineRule="auto"/>
        <w:jc w:val="both"/>
        <w:rPr>
          <w:rFonts w:ascii="Arial" w:hAnsi="Arial" w:cs="Arial"/>
          <w:bCs/>
          <w:sz w:val="22"/>
          <w:szCs w:val="22"/>
          <w:lang w:eastAsia="es-CO"/>
        </w:rPr>
      </w:pPr>
    </w:p>
    <w:p w14:paraId="085C6ECF" w14:textId="4A0969FF" w:rsidR="00423CF8" w:rsidRPr="003C27C6" w:rsidRDefault="00B244DB" w:rsidP="00423CF8">
      <w:pPr>
        <w:tabs>
          <w:tab w:val="left" w:pos="426"/>
        </w:tabs>
        <w:spacing w:line="276" w:lineRule="auto"/>
        <w:jc w:val="both"/>
        <w:rPr>
          <w:rFonts w:ascii="Arial" w:eastAsia="Calibri" w:hAnsi="Arial" w:cs="Arial"/>
          <w:b/>
          <w:bCs/>
          <w:sz w:val="22"/>
          <w:szCs w:val="22"/>
          <w:lang w:eastAsia="en-US"/>
        </w:rPr>
      </w:pPr>
      <w:r w:rsidRPr="003C27C6">
        <w:rPr>
          <w:rFonts w:ascii="Arial" w:eastAsia="Calibri" w:hAnsi="Arial" w:cs="Arial"/>
          <w:b/>
          <w:bCs/>
          <w:sz w:val="22"/>
          <w:szCs w:val="22"/>
          <w:lang w:eastAsia="en-US"/>
        </w:rPr>
        <w:t>2.3.</w:t>
      </w:r>
      <w:r w:rsidR="00423CF8" w:rsidRPr="003C27C6">
        <w:rPr>
          <w:rFonts w:ascii="Arial" w:eastAsia="Calibri" w:hAnsi="Arial" w:cs="Arial"/>
          <w:b/>
          <w:bCs/>
          <w:sz w:val="22"/>
          <w:szCs w:val="22"/>
          <w:lang w:eastAsia="en-US"/>
        </w:rPr>
        <w:t>2.</w:t>
      </w:r>
      <w:r w:rsidRPr="003C27C6">
        <w:rPr>
          <w:rFonts w:ascii="Arial" w:eastAsia="Calibri" w:hAnsi="Arial" w:cs="Arial"/>
          <w:b/>
          <w:bCs/>
          <w:sz w:val="22"/>
          <w:szCs w:val="22"/>
          <w:lang w:eastAsia="en-US"/>
        </w:rPr>
        <w:t xml:space="preserve"> Modificación del artículo 124 de la Ley 2159 de 2021 a la Ley de Garantías Electorales</w:t>
      </w:r>
      <w:r w:rsidR="00FA14B9" w:rsidRPr="003C27C6">
        <w:rPr>
          <w:rFonts w:ascii="Arial" w:eastAsia="Calibri" w:hAnsi="Arial" w:cs="Arial"/>
          <w:b/>
          <w:bCs/>
          <w:sz w:val="22"/>
          <w:szCs w:val="22"/>
          <w:lang w:eastAsia="en-US"/>
        </w:rPr>
        <w:t>: alcance e interpretación</w:t>
      </w:r>
    </w:p>
    <w:p w14:paraId="23295D10" w14:textId="77777777" w:rsidR="00423CF8" w:rsidRPr="003C27C6" w:rsidRDefault="00423CF8" w:rsidP="00423CF8">
      <w:pPr>
        <w:tabs>
          <w:tab w:val="left" w:pos="426"/>
        </w:tabs>
        <w:spacing w:line="276" w:lineRule="auto"/>
        <w:jc w:val="both"/>
        <w:rPr>
          <w:rFonts w:ascii="Arial" w:eastAsia="Calibri" w:hAnsi="Arial" w:cs="Arial"/>
          <w:b/>
          <w:bCs/>
          <w:sz w:val="22"/>
          <w:szCs w:val="22"/>
          <w:lang w:eastAsia="en-US"/>
        </w:rPr>
      </w:pPr>
    </w:p>
    <w:p w14:paraId="7A1E1D05" w14:textId="460ECA8D" w:rsidR="00B244DB" w:rsidRPr="003C27C6" w:rsidRDefault="00B244DB" w:rsidP="00423CF8">
      <w:pPr>
        <w:tabs>
          <w:tab w:val="left" w:pos="426"/>
        </w:tabs>
        <w:spacing w:line="276" w:lineRule="auto"/>
        <w:jc w:val="both"/>
        <w:rPr>
          <w:rFonts w:ascii="Arial" w:eastAsia="Calibri" w:hAnsi="Arial" w:cs="Arial"/>
          <w:sz w:val="22"/>
          <w:szCs w:val="22"/>
          <w:lang w:eastAsia="en-US"/>
        </w:rPr>
      </w:pPr>
      <w:r w:rsidRPr="003C27C6">
        <w:rPr>
          <w:rFonts w:ascii="Arial" w:eastAsia="Calibri" w:hAnsi="Arial" w:cs="Arial"/>
          <w:sz w:val="22"/>
          <w:szCs w:val="22"/>
          <w:lang w:eastAsia="en-US"/>
        </w:rPr>
        <w:t xml:space="preserve">El 12 de noviembre de 2021 el Congreso de la República promulgó la Ley 2159 de 2021 «Por la cual se decreta el presupuesto de rentas y ley de apropiaciones para la vigencia fiscal del 1º de enero al 31 de diciembre de 2022». El artículo 124 de dicho cuerpo normativo modificó </w:t>
      </w:r>
      <w:r w:rsidR="00407A63" w:rsidRPr="003C27C6">
        <w:rPr>
          <w:rFonts w:ascii="Arial" w:eastAsia="Calibri" w:hAnsi="Arial" w:cs="Arial"/>
          <w:sz w:val="22"/>
          <w:szCs w:val="22"/>
          <w:lang w:eastAsia="en-US"/>
        </w:rPr>
        <w:t xml:space="preserve">parcialmente </w:t>
      </w:r>
      <w:r w:rsidRPr="003C27C6">
        <w:rPr>
          <w:rFonts w:ascii="Arial" w:eastAsia="Calibri" w:hAnsi="Arial" w:cs="Arial"/>
          <w:sz w:val="22"/>
          <w:szCs w:val="22"/>
          <w:lang w:eastAsia="en-US"/>
        </w:rPr>
        <w:t>el parágrafo del artículo 38 de la Ley 996 de 2005, en los siguientes términos:</w:t>
      </w:r>
    </w:p>
    <w:p w14:paraId="4DB5C1BE" w14:textId="77777777" w:rsidR="00423CF8" w:rsidRPr="003C27C6" w:rsidRDefault="00423CF8" w:rsidP="00423CF8">
      <w:pPr>
        <w:tabs>
          <w:tab w:val="left" w:pos="426"/>
        </w:tabs>
        <w:spacing w:line="276" w:lineRule="auto"/>
        <w:jc w:val="both"/>
        <w:rPr>
          <w:rFonts w:ascii="Arial" w:eastAsia="Calibri" w:hAnsi="Arial" w:cs="Arial"/>
          <w:b/>
          <w:bCs/>
          <w:sz w:val="22"/>
          <w:szCs w:val="22"/>
          <w:lang w:eastAsia="en-US"/>
        </w:rPr>
      </w:pPr>
    </w:p>
    <w:p w14:paraId="704C3F6D" w14:textId="1B46F644" w:rsidR="00B244DB" w:rsidRPr="003C27C6" w:rsidRDefault="00B244DB" w:rsidP="00B244DB">
      <w:pPr>
        <w:spacing w:after="120"/>
        <w:ind w:left="709" w:right="709"/>
        <w:jc w:val="both"/>
        <w:rPr>
          <w:rFonts w:ascii="Arial" w:eastAsia="Calibri" w:hAnsi="Arial" w:cs="Arial"/>
          <w:sz w:val="21"/>
          <w:szCs w:val="21"/>
          <w:lang w:eastAsia="en-US"/>
        </w:rPr>
      </w:pPr>
      <w:r w:rsidRPr="003C27C6">
        <w:rPr>
          <w:rFonts w:ascii="Arial" w:eastAsia="Calibri" w:hAnsi="Arial" w:cs="Arial"/>
          <w:sz w:val="21"/>
          <w:szCs w:val="21"/>
          <w:lang w:eastAsia="en-US"/>
        </w:rPr>
        <w:t>A</w:t>
      </w:r>
      <w:r w:rsidR="00407A63" w:rsidRPr="003C27C6">
        <w:rPr>
          <w:rFonts w:ascii="Arial" w:eastAsia="Calibri" w:hAnsi="Arial" w:cs="Arial"/>
          <w:sz w:val="21"/>
          <w:szCs w:val="21"/>
          <w:lang w:eastAsia="en-US"/>
        </w:rPr>
        <w:t>rtículo</w:t>
      </w:r>
      <w:r w:rsidRPr="003C27C6">
        <w:rPr>
          <w:rFonts w:ascii="Arial" w:eastAsia="Calibri" w:hAnsi="Arial" w:cs="Arial"/>
          <w:sz w:val="21"/>
          <w:szCs w:val="21"/>
          <w:lang w:eastAsia="en-US"/>
        </w:rPr>
        <w:t xml:space="preserve"> 124. Con el propósito de promover la reactivación económica y la generación de empleo en las regiones, a partir de la publicación de la presente ley y durante la vigencia fiscal 2022, </w:t>
      </w:r>
      <w:r w:rsidRPr="003C27C6">
        <w:rPr>
          <w:rFonts w:ascii="Arial" w:eastAsia="Calibri" w:hAnsi="Arial" w:cs="Arial"/>
          <w:i/>
          <w:sz w:val="21"/>
          <w:szCs w:val="21"/>
          <w:lang w:eastAsia="en-US"/>
        </w:rPr>
        <w:t>la Nación podrá celebrar convenios interadministrativos con las entidades territoriales para ejecutar programas y proyectos correspondientes al Presupuesto General de la Nación.</w:t>
      </w:r>
    </w:p>
    <w:p w14:paraId="382A271E" w14:textId="0C624148" w:rsidR="00B244DB" w:rsidRPr="003C27C6" w:rsidRDefault="00B244DB" w:rsidP="00B244DB">
      <w:pPr>
        <w:spacing w:after="120"/>
        <w:ind w:left="709" w:right="709"/>
        <w:jc w:val="both"/>
        <w:rPr>
          <w:rFonts w:ascii="Arial" w:eastAsia="Calibri" w:hAnsi="Arial" w:cs="Arial"/>
          <w:sz w:val="21"/>
          <w:szCs w:val="21"/>
          <w:lang w:eastAsia="en-US"/>
        </w:rPr>
      </w:pPr>
      <w:r w:rsidRPr="003C27C6">
        <w:rPr>
          <w:rFonts w:ascii="Arial" w:eastAsia="Calibri" w:hAnsi="Arial" w:cs="Arial"/>
          <w:sz w:val="21"/>
          <w:szCs w:val="21"/>
          <w:lang w:eastAsia="en-US"/>
        </w:rPr>
        <w:t>La presente disposición modifica únicamente en la parte pertinente el inciso primero del parágrafo del artículo 38 de la Ley 996 de 2005.</w:t>
      </w:r>
    </w:p>
    <w:p w14:paraId="442B80BE" w14:textId="306F31F0" w:rsidR="00B244DB" w:rsidRPr="003C27C6" w:rsidRDefault="00B244DB" w:rsidP="0054211B">
      <w:pPr>
        <w:ind w:left="709" w:right="709"/>
        <w:jc w:val="both"/>
        <w:rPr>
          <w:rFonts w:ascii="Arial" w:eastAsia="Calibri" w:hAnsi="Arial" w:cs="Arial"/>
          <w:sz w:val="21"/>
          <w:szCs w:val="21"/>
          <w:lang w:eastAsia="en-US"/>
        </w:rPr>
      </w:pPr>
      <w:r w:rsidRPr="003C27C6">
        <w:rPr>
          <w:rFonts w:ascii="Arial" w:eastAsia="Calibri" w:hAnsi="Arial" w:cs="Arial"/>
          <w:sz w:val="21"/>
          <w:szCs w:val="21"/>
          <w:lang w:eastAsia="en-US"/>
        </w:rPr>
        <w:t xml:space="preserve">PARÁGRAFO. Todos los convenios que se suscriban bajo el amparo de la presente disposición serán objeto de control especial por parte de la Contraloría General de la República. El Contralor General de la República determinará, en el marco de sus competencias constitucionales y legales, la forma en que se </w:t>
      </w:r>
      <w:r w:rsidR="00E84999" w:rsidRPr="003C27C6">
        <w:rPr>
          <w:rFonts w:ascii="Arial" w:eastAsia="Calibri" w:hAnsi="Arial" w:cs="Arial"/>
          <w:sz w:val="21"/>
          <w:szCs w:val="21"/>
          <w:lang w:eastAsia="en-US"/>
        </w:rPr>
        <w:t>ejercerá dicho control especial</w:t>
      </w:r>
      <w:r w:rsidR="00F30597" w:rsidRPr="003C27C6">
        <w:rPr>
          <w:rFonts w:ascii="Arial" w:eastAsia="Calibri" w:hAnsi="Arial" w:cs="Arial"/>
          <w:sz w:val="22"/>
          <w:szCs w:val="22"/>
          <w:lang w:eastAsia="en-US"/>
        </w:rPr>
        <w:t>»</w:t>
      </w:r>
      <w:r w:rsidR="00E84999" w:rsidRPr="003C27C6">
        <w:rPr>
          <w:rFonts w:ascii="Arial" w:eastAsia="Calibri" w:hAnsi="Arial" w:cs="Arial"/>
          <w:sz w:val="21"/>
          <w:szCs w:val="21"/>
          <w:lang w:eastAsia="en-US"/>
        </w:rPr>
        <w:t xml:space="preserve"> (énfasis fuera de texto). </w:t>
      </w:r>
    </w:p>
    <w:p w14:paraId="676CA284" w14:textId="77777777" w:rsidR="00423CF8" w:rsidRPr="003C27C6" w:rsidRDefault="00423CF8" w:rsidP="0054211B">
      <w:pPr>
        <w:spacing w:line="276" w:lineRule="auto"/>
        <w:ind w:firstLine="709"/>
        <w:jc w:val="both"/>
        <w:rPr>
          <w:rFonts w:ascii="Arial" w:eastAsia="Calibri" w:hAnsi="Arial" w:cs="Arial"/>
          <w:sz w:val="22"/>
          <w:szCs w:val="22"/>
          <w:lang w:eastAsia="en-US"/>
        </w:rPr>
      </w:pPr>
    </w:p>
    <w:p w14:paraId="364DAA85" w14:textId="5A64BEAB" w:rsidR="00FA14B9" w:rsidRPr="003C27C6" w:rsidRDefault="00FA14B9" w:rsidP="00B244DB">
      <w:pPr>
        <w:spacing w:after="120" w:line="276" w:lineRule="auto"/>
        <w:ind w:firstLine="709"/>
        <w:jc w:val="both"/>
        <w:rPr>
          <w:rFonts w:ascii="Arial" w:eastAsia="Calibri" w:hAnsi="Arial" w:cs="Arial"/>
          <w:sz w:val="22"/>
          <w:szCs w:val="22"/>
          <w:lang w:eastAsia="en-US"/>
        </w:rPr>
      </w:pPr>
      <w:r w:rsidRPr="003C27C6">
        <w:rPr>
          <w:rFonts w:ascii="Arial" w:eastAsia="Calibri" w:hAnsi="Arial" w:cs="Arial"/>
          <w:sz w:val="22"/>
          <w:szCs w:val="22"/>
          <w:lang w:eastAsia="en-US"/>
        </w:rPr>
        <w:t xml:space="preserve">Teniendo en cuenta el contenido del artículo 124 de la Ley 2159 de 2021, se </w:t>
      </w:r>
      <w:r w:rsidR="00E84999" w:rsidRPr="003C27C6">
        <w:rPr>
          <w:rFonts w:ascii="Arial" w:eastAsia="Calibri" w:hAnsi="Arial" w:cs="Arial"/>
          <w:sz w:val="22"/>
          <w:szCs w:val="22"/>
          <w:lang w:eastAsia="en-US"/>
        </w:rPr>
        <w:t xml:space="preserve">derivan </w:t>
      </w:r>
      <w:r w:rsidRPr="003C27C6">
        <w:rPr>
          <w:rFonts w:ascii="Arial" w:eastAsia="Calibri" w:hAnsi="Arial" w:cs="Arial"/>
          <w:sz w:val="22"/>
          <w:szCs w:val="22"/>
          <w:lang w:eastAsia="en-US"/>
        </w:rPr>
        <w:t>las siguientes reglas</w:t>
      </w:r>
      <w:r w:rsidR="006604C3" w:rsidRPr="003C27C6">
        <w:rPr>
          <w:rFonts w:ascii="Arial" w:eastAsia="Calibri" w:hAnsi="Arial" w:cs="Arial"/>
          <w:sz w:val="22"/>
          <w:szCs w:val="22"/>
          <w:lang w:eastAsia="en-US"/>
        </w:rPr>
        <w:t xml:space="preserve"> para las entidades estatales</w:t>
      </w:r>
      <w:r w:rsidRPr="003C27C6">
        <w:rPr>
          <w:rFonts w:ascii="Arial" w:eastAsia="Calibri" w:hAnsi="Arial" w:cs="Arial"/>
          <w:sz w:val="22"/>
          <w:szCs w:val="22"/>
          <w:lang w:eastAsia="en-US"/>
        </w:rPr>
        <w:t>:</w:t>
      </w:r>
    </w:p>
    <w:p w14:paraId="53F6C081" w14:textId="264DA78C" w:rsidR="00B244DB" w:rsidRPr="003C27C6" w:rsidRDefault="00FA14B9" w:rsidP="00B244DB">
      <w:pPr>
        <w:spacing w:after="120" w:line="276" w:lineRule="auto"/>
        <w:ind w:firstLine="709"/>
        <w:jc w:val="both"/>
        <w:rPr>
          <w:rFonts w:ascii="Arial" w:eastAsia="Calibri" w:hAnsi="Arial" w:cs="Arial"/>
          <w:sz w:val="22"/>
          <w:szCs w:val="22"/>
          <w:lang w:eastAsia="en-US"/>
        </w:rPr>
      </w:pPr>
      <w:r w:rsidRPr="003C27C6">
        <w:rPr>
          <w:rFonts w:ascii="Arial" w:eastAsia="Calibri" w:hAnsi="Arial" w:cs="Arial"/>
          <w:bCs/>
          <w:sz w:val="22"/>
          <w:szCs w:val="22"/>
          <w:lang w:eastAsia="en-US"/>
        </w:rPr>
        <w:t>1.</w:t>
      </w:r>
      <w:r w:rsidRPr="003C27C6">
        <w:rPr>
          <w:rFonts w:ascii="Arial" w:eastAsia="Calibri" w:hAnsi="Arial" w:cs="Arial"/>
          <w:sz w:val="22"/>
          <w:szCs w:val="22"/>
          <w:lang w:eastAsia="en-US"/>
        </w:rPr>
        <w:t xml:space="preserve"> E</w:t>
      </w:r>
      <w:r w:rsidR="00E84999" w:rsidRPr="003C27C6">
        <w:rPr>
          <w:rFonts w:ascii="Arial" w:eastAsia="Calibri" w:hAnsi="Arial" w:cs="Arial"/>
          <w:sz w:val="22"/>
          <w:szCs w:val="22"/>
          <w:lang w:eastAsia="en-US"/>
        </w:rPr>
        <w:t xml:space="preserve">l alcance del artículo 124 de la Ley 2159 de 2021 </w:t>
      </w:r>
      <w:r w:rsidR="00200759" w:rsidRPr="003C27C6">
        <w:rPr>
          <w:rFonts w:ascii="Arial" w:eastAsia="Calibri" w:hAnsi="Arial" w:cs="Arial"/>
          <w:sz w:val="22"/>
          <w:szCs w:val="22"/>
          <w:lang w:eastAsia="en-US"/>
        </w:rPr>
        <w:t>tiene como cometido</w:t>
      </w:r>
      <w:r w:rsidR="00B244DB" w:rsidRPr="003C27C6">
        <w:rPr>
          <w:rFonts w:ascii="Arial" w:eastAsia="Calibri" w:hAnsi="Arial" w:cs="Arial"/>
          <w:sz w:val="22"/>
          <w:szCs w:val="22"/>
          <w:lang w:eastAsia="en-US"/>
        </w:rPr>
        <w:t xml:space="preserve"> modificar de manera parcial y transitoria el primer inciso del artículo 38 de la Ley 996 de 2005. En efecto, como se observa del inciso segundo del artículo citado, esta disposición «modifica únicamente en la parte pertinente el inciso primero del parágrafo del artículo 38 de la Ley 996 de 2005». </w:t>
      </w:r>
    </w:p>
    <w:p w14:paraId="3C43F9A4" w14:textId="65A2BC41" w:rsidR="00B244DB" w:rsidRPr="003C27C6" w:rsidRDefault="00FA14B9" w:rsidP="00B244DB">
      <w:pPr>
        <w:spacing w:after="120" w:line="276" w:lineRule="auto"/>
        <w:ind w:firstLine="709"/>
        <w:jc w:val="both"/>
        <w:rPr>
          <w:rFonts w:ascii="Arial" w:eastAsia="Calibri" w:hAnsi="Arial" w:cs="Arial"/>
          <w:sz w:val="22"/>
          <w:szCs w:val="22"/>
          <w:lang w:eastAsia="en-US"/>
        </w:rPr>
      </w:pPr>
      <w:r w:rsidRPr="003C27C6">
        <w:rPr>
          <w:rFonts w:ascii="Arial" w:eastAsia="Calibri" w:hAnsi="Arial" w:cs="Arial"/>
          <w:bCs/>
          <w:sz w:val="22"/>
          <w:szCs w:val="22"/>
          <w:lang w:eastAsia="en-US"/>
        </w:rPr>
        <w:t>2.</w:t>
      </w:r>
      <w:r w:rsidRPr="003C27C6">
        <w:rPr>
          <w:rFonts w:ascii="Arial" w:eastAsia="Calibri" w:hAnsi="Arial" w:cs="Arial"/>
          <w:sz w:val="22"/>
          <w:szCs w:val="22"/>
          <w:lang w:eastAsia="en-US"/>
        </w:rPr>
        <w:t xml:space="preserve"> Durante </w:t>
      </w:r>
      <w:r w:rsidR="00B244DB" w:rsidRPr="003C27C6">
        <w:rPr>
          <w:rFonts w:ascii="Arial" w:eastAsia="Calibri" w:hAnsi="Arial" w:cs="Arial"/>
          <w:sz w:val="22"/>
          <w:szCs w:val="22"/>
          <w:lang w:eastAsia="en-US"/>
        </w:rPr>
        <w:t>los cuatro (4) meses previos a la elección preside</w:t>
      </w:r>
      <w:r w:rsidR="00E84999" w:rsidRPr="003C27C6">
        <w:rPr>
          <w:rFonts w:ascii="Arial" w:eastAsia="Calibri" w:hAnsi="Arial" w:cs="Arial"/>
          <w:sz w:val="22"/>
          <w:szCs w:val="22"/>
          <w:lang w:eastAsia="en-US"/>
        </w:rPr>
        <w:t xml:space="preserve">ncial del año 2022 solamente </w:t>
      </w:r>
      <w:r w:rsidR="00B244DB" w:rsidRPr="003C27C6">
        <w:rPr>
          <w:rFonts w:ascii="Arial" w:eastAsia="Calibri" w:hAnsi="Arial" w:cs="Arial"/>
          <w:sz w:val="22"/>
          <w:szCs w:val="22"/>
          <w:lang w:eastAsia="en-US"/>
        </w:rPr>
        <w:t>podrán celebrar</w:t>
      </w:r>
      <w:r w:rsidR="00E84999" w:rsidRPr="003C27C6">
        <w:rPr>
          <w:rFonts w:ascii="Arial" w:eastAsia="Calibri" w:hAnsi="Arial" w:cs="Arial"/>
          <w:sz w:val="22"/>
          <w:szCs w:val="22"/>
          <w:lang w:eastAsia="en-US"/>
        </w:rPr>
        <w:t>se</w:t>
      </w:r>
      <w:r w:rsidR="00B244DB" w:rsidRPr="003C27C6">
        <w:rPr>
          <w:rFonts w:ascii="Arial" w:eastAsia="Calibri" w:hAnsi="Arial" w:cs="Arial"/>
          <w:sz w:val="22"/>
          <w:szCs w:val="22"/>
          <w:lang w:eastAsia="en-US"/>
        </w:rPr>
        <w:t xml:space="preserve"> convenios </w:t>
      </w:r>
      <w:r w:rsidR="006B2552" w:rsidRPr="003C27C6">
        <w:rPr>
          <w:rFonts w:ascii="Arial" w:eastAsia="Calibri" w:hAnsi="Arial" w:cs="Arial"/>
          <w:sz w:val="22"/>
          <w:szCs w:val="22"/>
          <w:lang w:eastAsia="en-US"/>
        </w:rPr>
        <w:t>o contratos inter</w:t>
      </w:r>
      <w:r w:rsidR="00B244DB" w:rsidRPr="003C27C6">
        <w:rPr>
          <w:rFonts w:ascii="Arial" w:eastAsia="Calibri" w:hAnsi="Arial" w:cs="Arial"/>
          <w:sz w:val="22"/>
          <w:szCs w:val="22"/>
          <w:lang w:eastAsia="en-US"/>
        </w:rPr>
        <w:t>administrativos cuando el proces</w:t>
      </w:r>
      <w:r w:rsidR="00646880" w:rsidRPr="003C27C6">
        <w:rPr>
          <w:rFonts w:ascii="Arial" w:eastAsia="Calibri" w:hAnsi="Arial" w:cs="Arial"/>
          <w:sz w:val="22"/>
          <w:szCs w:val="22"/>
          <w:lang w:eastAsia="en-US"/>
        </w:rPr>
        <w:t xml:space="preserve">o de selección aplicable sea una convocatoria pública </w:t>
      </w:r>
      <w:r w:rsidR="00B244DB" w:rsidRPr="003C27C6">
        <w:rPr>
          <w:rFonts w:ascii="Arial" w:eastAsia="Calibri" w:hAnsi="Arial" w:cs="Arial"/>
          <w:sz w:val="22"/>
          <w:szCs w:val="22"/>
          <w:lang w:eastAsia="en-US"/>
        </w:rPr>
        <w:t>y se presente la circunstancia a la que se refiere el artículo 124 de la Ley 2159 de 2021</w:t>
      </w:r>
      <w:r w:rsidR="00A56CE5" w:rsidRPr="003C27C6">
        <w:rPr>
          <w:rFonts w:ascii="Arial" w:eastAsia="Calibri" w:hAnsi="Arial" w:cs="Arial"/>
          <w:sz w:val="22"/>
          <w:szCs w:val="22"/>
          <w:lang w:eastAsia="en-US"/>
        </w:rPr>
        <w:t>, es decir, para la ejecución de proyectos y programas correspondientes al Presupuesto General de la Nación</w:t>
      </w:r>
      <w:r w:rsidR="00B244DB" w:rsidRPr="003C27C6">
        <w:rPr>
          <w:rFonts w:ascii="Arial" w:eastAsia="Calibri" w:hAnsi="Arial" w:cs="Arial"/>
          <w:sz w:val="22"/>
          <w:szCs w:val="22"/>
          <w:lang w:eastAsia="en-US"/>
        </w:rPr>
        <w:t>. Por lo demás, esta norma no modifica el artículo 33 de la Ley de Garantías Electorales, en consideración a lo cual las restricciones a la contratación directa previstas en este</w:t>
      </w:r>
      <w:r w:rsidR="00646880" w:rsidRPr="003C27C6">
        <w:rPr>
          <w:rFonts w:ascii="Arial" w:eastAsia="Calibri" w:hAnsi="Arial" w:cs="Arial"/>
          <w:sz w:val="22"/>
          <w:szCs w:val="22"/>
          <w:lang w:eastAsia="en-US"/>
        </w:rPr>
        <w:t xml:space="preserve"> artículo permanecen incólumes, esto es, lo que no implique un proceso plural y competitivo de oferentes. </w:t>
      </w:r>
    </w:p>
    <w:p w14:paraId="16CCEE2F" w14:textId="4D56F6FB" w:rsidR="00B244DB" w:rsidRPr="003C27C6" w:rsidRDefault="00A56CE5" w:rsidP="00A56CE5">
      <w:pPr>
        <w:spacing w:after="120" w:line="276" w:lineRule="auto"/>
        <w:ind w:firstLine="709"/>
        <w:jc w:val="both"/>
        <w:rPr>
          <w:rFonts w:ascii="Arial" w:eastAsia="Calibri" w:hAnsi="Arial" w:cs="Arial"/>
          <w:sz w:val="22"/>
          <w:szCs w:val="22"/>
          <w:lang w:eastAsia="en-US"/>
        </w:rPr>
      </w:pPr>
      <w:r w:rsidRPr="003C27C6">
        <w:rPr>
          <w:rFonts w:ascii="Arial" w:eastAsia="Calibri" w:hAnsi="Arial" w:cs="Arial"/>
          <w:bCs/>
          <w:sz w:val="22"/>
          <w:szCs w:val="22"/>
          <w:lang w:eastAsia="en-US"/>
        </w:rPr>
        <w:t>3.</w:t>
      </w:r>
      <w:r w:rsidRPr="003C27C6">
        <w:rPr>
          <w:rFonts w:ascii="Arial" w:eastAsia="Calibri" w:hAnsi="Arial" w:cs="Arial"/>
          <w:sz w:val="22"/>
          <w:szCs w:val="22"/>
          <w:lang w:eastAsia="en-US"/>
        </w:rPr>
        <w:t xml:space="preserve"> La </w:t>
      </w:r>
      <w:r w:rsidR="00B244DB" w:rsidRPr="003C27C6">
        <w:rPr>
          <w:rFonts w:ascii="Arial" w:eastAsia="Calibri" w:hAnsi="Arial" w:cs="Arial"/>
          <w:sz w:val="22"/>
          <w:szCs w:val="22"/>
          <w:lang w:eastAsia="en-US"/>
        </w:rPr>
        <w:t>aplicación del artículo 124 de la Ley 2159 de 2021 se restringe a un criterio orgánico, pues se requiere que uno de los extremos contractuales sea la Nación y el otro una entidad territorial, para que la celebración del convenio o contrato admin</w:t>
      </w:r>
      <w:r w:rsidRPr="003C27C6">
        <w:rPr>
          <w:rFonts w:ascii="Arial" w:eastAsia="Calibri" w:hAnsi="Arial" w:cs="Arial"/>
          <w:sz w:val="22"/>
          <w:szCs w:val="22"/>
          <w:lang w:eastAsia="en-US"/>
        </w:rPr>
        <w:t xml:space="preserve">istrativo sea procedente. En estos términos, no es posible la celebración de convenios o contratos interadministrativos entre entidades descentralizadas del orden territorial, pues </w:t>
      </w:r>
      <w:r w:rsidR="009D620C" w:rsidRPr="003C27C6">
        <w:rPr>
          <w:rFonts w:ascii="Arial" w:eastAsia="Calibri" w:hAnsi="Arial" w:cs="Arial"/>
          <w:sz w:val="22"/>
          <w:szCs w:val="22"/>
          <w:lang w:eastAsia="en-US"/>
        </w:rPr>
        <w:t xml:space="preserve">la posibilidad que otorga el artículo 124 de la Ley 2159 de 2021 </w:t>
      </w:r>
      <w:r w:rsidRPr="003C27C6">
        <w:rPr>
          <w:rFonts w:ascii="Arial" w:eastAsia="Calibri" w:hAnsi="Arial" w:cs="Arial"/>
          <w:sz w:val="22"/>
          <w:szCs w:val="22"/>
          <w:lang w:eastAsia="en-US"/>
        </w:rPr>
        <w:t xml:space="preserve">se somete a la condición que una de las partes sea </w:t>
      </w:r>
      <w:r w:rsidR="00F1026D" w:rsidRPr="003C27C6">
        <w:rPr>
          <w:rFonts w:ascii="Arial" w:eastAsia="Calibri" w:hAnsi="Arial" w:cs="Arial"/>
          <w:sz w:val="22"/>
          <w:szCs w:val="22"/>
          <w:lang w:eastAsia="en-US"/>
        </w:rPr>
        <w:t>la Nación</w:t>
      </w:r>
      <w:r w:rsidRPr="003C27C6">
        <w:rPr>
          <w:rFonts w:ascii="Arial" w:eastAsia="Calibri" w:hAnsi="Arial" w:cs="Arial"/>
          <w:sz w:val="22"/>
          <w:szCs w:val="22"/>
          <w:lang w:eastAsia="en-US"/>
        </w:rPr>
        <w:t xml:space="preserve">, con el fin de ejecutar proyectos o programas que correspondan al Presupuesto General de la Nación. </w:t>
      </w:r>
      <w:r w:rsidR="006604C3" w:rsidRPr="003C27C6">
        <w:rPr>
          <w:rFonts w:ascii="Arial" w:eastAsia="Calibri" w:hAnsi="Arial" w:cs="Arial"/>
          <w:sz w:val="22"/>
          <w:szCs w:val="22"/>
          <w:lang w:eastAsia="en-US"/>
        </w:rPr>
        <w:t xml:space="preserve">Por ejemplo, durante los cuatro (4) meses anteriores a las elecciones, dos municipios o un municipio </w:t>
      </w:r>
      <w:r w:rsidR="00C37ACC" w:rsidRPr="003C27C6">
        <w:rPr>
          <w:rFonts w:ascii="Arial" w:eastAsia="Calibri" w:hAnsi="Arial" w:cs="Arial"/>
          <w:sz w:val="22"/>
          <w:szCs w:val="22"/>
          <w:lang w:eastAsia="en-US"/>
        </w:rPr>
        <w:t xml:space="preserve">y </w:t>
      </w:r>
      <w:r w:rsidR="006604C3" w:rsidRPr="003C27C6">
        <w:rPr>
          <w:rFonts w:ascii="Arial" w:eastAsia="Calibri" w:hAnsi="Arial" w:cs="Arial"/>
          <w:sz w:val="22"/>
          <w:szCs w:val="22"/>
          <w:lang w:eastAsia="en-US"/>
        </w:rPr>
        <w:t>un departamento o entidad descentralizada territorial</w:t>
      </w:r>
      <w:r w:rsidR="0025540B" w:rsidRPr="003C27C6">
        <w:rPr>
          <w:rFonts w:ascii="Arial" w:eastAsia="Calibri" w:hAnsi="Arial" w:cs="Arial"/>
          <w:sz w:val="22"/>
          <w:szCs w:val="22"/>
          <w:lang w:eastAsia="en-US"/>
        </w:rPr>
        <w:t>,</w:t>
      </w:r>
      <w:r w:rsidR="006604C3" w:rsidRPr="003C27C6">
        <w:rPr>
          <w:rFonts w:ascii="Arial" w:eastAsia="Calibri" w:hAnsi="Arial" w:cs="Arial"/>
          <w:sz w:val="22"/>
          <w:szCs w:val="22"/>
          <w:lang w:eastAsia="en-US"/>
        </w:rPr>
        <w:t xml:space="preserve"> </w:t>
      </w:r>
      <w:r w:rsidR="00C37ACC" w:rsidRPr="003C27C6">
        <w:rPr>
          <w:rFonts w:ascii="Arial" w:eastAsia="Calibri" w:hAnsi="Arial" w:cs="Arial"/>
          <w:sz w:val="22"/>
          <w:szCs w:val="22"/>
          <w:lang w:eastAsia="en-US"/>
        </w:rPr>
        <w:t>queda</w:t>
      </w:r>
      <w:r w:rsidR="0025540B" w:rsidRPr="003C27C6">
        <w:rPr>
          <w:rFonts w:ascii="Arial" w:eastAsia="Calibri" w:hAnsi="Arial" w:cs="Arial"/>
          <w:sz w:val="22"/>
          <w:szCs w:val="22"/>
          <w:lang w:eastAsia="en-US"/>
        </w:rPr>
        <w:t>n</w:t>
      </w:r>
      <w:r w:rsidR="00C37ACC" w:rsidRPr="003C27C6">
        <w:rPr>
          <w:rFonts w:ascii="Arial" w:eastAsia="Calibri" w:hAnsi="Arial" w:cs="Arial"/>
          <w:sz w:val="22"/>
          <w:szCs w:val="22"/>
          <w:lang w:eastAsia="en-US"/>
        </w:rPr>
        <w:t xml:space="preserve"> cubiertos por la prohibición original del parágrafo del artículo 38 de la Ley de Garantías Electorales</w:t>
      </w:r>
      <w:r w:rsidR="006604C3" w:rsidRPr="003C27C6">
        <w:rPr>
          <w:rFonts w:ascii="Arial" w:eastAsia="Calibri" w:hAnsi="Arial" w:cs="Arial"/>
          <w:sz w:val="22"/>
          <w:szCs w:val="22"/>
          <w:lang w:eastAsia="en-US"/>
        </w:rPr>
        <w:t xml:space="preserve">.  </w:t>
      </w:r>
    </w:p>
    <w:p w14:paraId="4EDA403D" w14:textId="167E04B7" w:rsidR="00B244DB" w:rsidRPr="003C27C6" w:rsidRDefault="00200759" w:rsidP="00200759">
      <w:pPr>
        <w:spacing w:after="120" w:line="276" w:lineRule="auto"/>
        <w:ind w:firstLine="709"/>
        <w:jc w:val="both"/>
        <w:rPr>
          <w:rFonts w:ascii="Arial" w:eastAsia="Calibri" w:hAnsi="Arial" w:cs="Arial"/>
          <w:sz w:val="22"/>
          <w:szCs w:val="22"/>
          <w:lang w:eastAsia="en-US"/>
        </w:rPr>
      </w:pPr>
      <w:r w:rsidRPr="003C27C6">
        <w:rPr>
          <w:rFonts w:ascii="Arial" w:eastAsia="Calibri" w:hAnsi="Arial" w:cs="Arial"/>
          <w:bCs/>
          <w:sz w:val="22"/>
          <w:szCs w:val="22"/>
          <w:lang w:eastAsia="en-US"/>
        </w:rPr>
        <w:t>4.</w:t>
      </w:r>
      <w:r w:rsidRPr="003C27C6">
        <w:rPr>
          <w:rFonts w:ascii="Arial" w:eastAsia="Calibri" w:hAnsi="Arial" w:cs="Arial"/>
          <w:sz w:val="22"/>
          <w:szCs w:val="22"/>
          <w:lang w:eastAsia="en-US"/>
        </w:rPr>
        <w:t xml:space="preserve"> E</w:t>
      </w:r>
      <w:r w:rsidR="00B244DB" w:rsidRPr="003C27C6">
        <w:rPr>
          <w:rFonts w:ascii="Arial" w:eastAsia="Calibri" w:hAnsi="Arial" w:cs="Arial"/>
          <w:sz w:val="22"/>
          <w:szCs w:val="22"/>
          <w:lang w:eastAsia="en-US"/>
        </w:rPr>
        <w:t>l objeto contractual de los convenios</w:t>
      </w:r>
      <w:r w:rsidRPr="003C27C6">
        <w:rPr>
          <w:rFonts w:ascii="Arial" w:eastAsia="Calibri" w:hAnsi="Arial" w:cs="Arial"/>
          <w:sz w:val="22"/>
          <w:szCs w:val="22"/>
          <w:lang w:eastAsia="en-US"/>
        </w:rPr>
        <w:t xml:space="preserve"> o contratos</w:t>
      </w:r>
      <w:r w:rsidR="00B244DB" w:rsidRPr="003C27C6">
        <w:rPr>
          <w:rFonts w:ascii="Arial" w:eastAsia="Calibri" w:hAnsi="Arial" w:cs="Arial"/>
          <w:sz w:val="22"/>
          <w:szCs w:val="22"/>
          <w:lang w:eastAsia="en-US"/>
        </w:rPr>
        <w:t xml:space="preserve"> interadministrativos </w:t>
      </w:r>
      <w:r w:rsidRPr="003C27C6">
        <w:rPr>
          <w:rFonts w:ascii="Arial" w:eastAsia="Calibri" w:hAnsi="Arial" w:cs="Arial"/>
          <w:sz w:val="22"/>
          <w:szCs w:val="22"/>
          <w:lang w:eastAsia="en-US"/>
        </w:rPr>
        <w:t xml:space="preserve">debe limitarse </w:t>
      </w:r>
      <w:r w:rsidR="00B244DB" w:rsidRPr="003C27C6">
        <w:rPr>
          <w:rFonts w:ascii="Arial" w:eastAsia="Calibri" w:hAnsi="Arial" w:cs="Arial"/>
          <w:sz w:val="22"/>
          <w:szCs w:val="22"/>
          <w:lang w:eastAsia="en-US"/>
        </w:rPr>
        <w:t xml:space="preserve">a la ejecución de programas y proyectos correspondientes al Presupuesto General de la Nación. </w:t>
      </w:r>
      <w:r w:rsidRPr="003C27C6">
        <w:rPr>
          <w:rFonts w:ascii="Arial" w:eastAsia="Calibri" w:hAnsi="Arial" w:cs="Arial"/>
          <w:sz w:val="22"/>
          <w:szCs w:val="22"/>
          <w:lang w:eastAsia="en-US"/>
        </w:rPr>
        <w:t xml:space="preserve">Es decir, se establece un criterio material, </w:t>
      </w:r>
      <w:r w:rsidR="00F43A51" w:rsidRPr="003C27C6">
        <w:rPr>
          <w:rFonts w:ascii="Arial" w:eastAsia="Calibri" w:hAnsi="Arial" w:cs="Arial"/>
          <w:sz w:val="22"/>
          <w:szCs w:val="22"/>
          <w:lang w:eastAsia="en-US"/>
        </w:rPr>
        <w:t>del cual se deriva</w:t>
      </w:r>
      <w:r w:rsidRPr="003C27C6">
        <w:rPr>
          <w:rFonts w:ascii="Arial" w:eastAsia="Calibri" w:hAnsi="Arial" w:cs="Arial"/>
          <w:sz w:val="22"/>
          <w:szCs w:val="22"/>
          <w:lang w:eastAsia="en-US"/>
        </w:rPr>
        <w:t xml:space="preserve"> que</w:t>
      </w:r>
      <w:r w:rsidR="00423CF8" w:rsidRPr="003C27C6">
        <w:rPr>
          <w:rFonts w:ascii="Arial" w:eastAsia="Calibri" w:hAnsi="Arial" w:cs="Arial"/>
          <w:sz w:val="22"/>
          <w:szCs w:val="22"/>
          <w:lang w:eastAsia="en-US"/>
        </w:rPr>
        <w:t>,</w:t>
      </w:r>
      <w:r w:rsidRPr="003C27C6">
        <w:rPr>
          <w:rFonts w:ascii="Arial" w:eastAsia="Calibri" w:hAnsi="Arial" w:cs="Arial"/>
          <w:sz w:val="22"/>
          <w:szCs w:val="22"/>
          <w:lang w:eastAsia="en-US"/>
        </w:rPr>
        <w:t xml:space="preserve"> </w:t>
      </w:r>
      <w:r w:rsidR="00B244DB" w:rsidRPr="003C27C6">
        <w:rPr>
          <w:rFonts w:ascii="Arial" w:eastAsia="Calibri" w:hAnsi="Arial" w:cs="Arial"/>
          <w:sz w:val="22"/>
          <w:szCs w:val="22"/>
          <w:lang w:eastAsia="en-US"/>
        </w:rPr>
        <w:t xml:space="preserve">durante los cuatro meses previos a las elecciones, queda prohibido celebrar </w:t>
      </w:r>
      <w:proofErr w:type="gramStart"/>
      <w:r w:rsidR="00B244DB" w:rsidRPr="003C27C6">
        <w:rPr>
          <w:rFonts w:ascii="Arial" w:eastAsia="Calibri" w:hAnsi="Arial" w:cs="Arial"/>
          <w:sz w:val="22"/>
          <w:szCs w:val="22"/>
          <w:lang w:eastAsia="en-US"/>
        </w:rPr>
        <w:t>convenios interadministrativos</w:t>
      </w:r>
      <w:r w:rsidR="00423CF8" w:rsidRPr="003C27C6">
        <w:rPr>
          <w:rFonts w:ascii="Arial" w:eastAsia="Calibri" w:hAnsi="Arial" w:cs="Arial"/>
          <w:sz w:val="22"/>
          <w:szCs w:val="22"/>
          <w:lang w:eastAsia="en-US"/>
        </w:rPr>
        <w:t xml:space="preserve"> o contratos interadministrativos</w:t>
      </w:r>
      <w:proofErr w:type="gramEnd"/>
      <w:r w:rsidR="00B244DB" w:rsidRPr="003C27C6">
        <w:rPr>
          <w:rFonts w:ascii="Arial" w:eastAsia="Calibri" w:hAnsi="Arial" w:cs="Arial"/>
          <w:sz w:val="22"/>
          <w:szCs w:val="22"/>
          <w:lang w:eastAsia="en-US"/>
        </w:rPr>
        <w:t xml:space="preserve"> que no se relacionen con programas y proyectos que ejecuten recursos </w:t>
      </w:r>
      <w:r w:rsidR="00E84999" w:rsidRPr="003C27C6">
        <w:rPr>
          <w:rFonts w:ascii="Arial" w:eastAsia="Calibri" w:hAnsi="Arial" w:cs="Arial"/>
          <w:sz w:val="22"/>
          <w:szCs w:val="22"/>
          <w:lang w:eastAsia="en-US"/>
        </w:rPr>
        <w:t xml:space="preserve">del Presupuesto General de la Nación. </w:t>
      </w:r>
    </w:p>
    <w:p w14:paraId="25DF42B9" w14:textId="207A8FED" w:rsidR="00B244DB" w:rsidRPr="003C27C6" w:rsidRDefault="00423CF8" w:rsidP="00B244DB">
      <w:pPr>
        <w:spacing w:after="120" w:line="276" w:lineRule="auto"/>
        <w:ind w:firstLine="709"/>
        <w:jc w:val="both"/>
        <w:rPr>
          <w:rFonts w:ascii="Arial" w:eastAsia="Calibri" w:hAnsi="Arial" w:cs="Arial"/>
          <w:sz w:val="22"/>
          <w:szCs w:val="22"/>
          <w:lang w:eastAsia="en-US"/>
        </w:rPr>
      </w:pPr>
      <w:r w:rsidRPr="003C27C6">
        <w:rPr>
          <w:rFonts w:ascii="Arial" w:eastAsia="Calibri" w:hAnsi="Arial" w:cs="Arial"/>
          <w:bCs/>
          <w:sz w:val="22"/>
          <w:szCs w:val="22"/>
          <w:lang w:eastAsia="en-US"/>
        </w:rPr>
        <w:t>5.</w:t>
      </w:r>
      <w:r w:rsidRPr="003C27C6">
        <w:rPr>
          <w:rFonts w:ascii="Arial" w:eastAsia="Calibri" w:hAnsi="Arial" w:cs="Arial"/>
          <w:sz w:val="22"/>
          <w:szCs w:val="22"/>
          <w:lang w:eastAsia="en-US"/>
        </w:rPr>
        <w:t xml:space="preserve"> </w:t>
      </w:r>
      <w:r w:rsidR="00F30597" w:rsidRPr="003C27C6">
        <w:rPr>
          <w:rFonts w:ascii="Arial" w:eastAsia="Calibri" w:hAnsi="Arial" w:cs="Arial"/>
          <w:sz w:val="22"/>
          <w:szCs w:val="22"/>
          <w:lang w:eastAsia="en-US"/>
        </w:rPr>
        <w:t>E</w:t>
      </w:r>
      <w:r w:rsidR="00B244DB" w:rsidRPr="003C27C6">
        <w:rPr>
          <w:rFonts w:ascii="Arial" w:eastAsia="Calibri" w:hAnsi="Arial" w:cs="Arial"/>
          <w:sz w:val="22"/>
          <w:szCs w:val="22"/>
          <w:lang w:eastAsia="en-US"/>
        </w:rPr>
        <w:t>n lo relacionado con la aplicación transitoria, el primer inciso del artículo en comento establece que la modificación de Ley de Garantías rige «[…] a partir de la publicación de la presente ley y durante la vigencia fiscal 2022». Esto implica que una vez se acabe la vigencia fiscal 2022, el artículo 124 de la Ley 2159 de 2021 dejará de producir efectos jurídicos.</w:t>
      </w:r>
    </w:p>
    <w:p w14:paraId="601D4FCD" w14:textId="2C565DCA" w:rsidR="006604C3" w:rsidRPr="003C27C6" w:rsidRDefault="006604C3" w:rsidP="006604C3">
      <w:pPr>
        <w:spacing w:after="120" w:line="276" w:lineRule="auto"/>
        <w:ind w:firstLine="709"/>
        <w:jc w:val="both"/>
        <w:rPr>
          <w:rFonts w:ascii="Arial" w:eastAsia="Calibri" w:hAnsi="Arial" w:cs="Arial"/>
          <w:sz w:val="22"/>
          <w:szCs w:val="22"/>
          <w:lang w:eastAsia="en-US"/>
        </w:rPr>
      </w:pPr>
      <w:r w:rsidRPr="003C27C6">
        <w:rPr>
          <w:rFonts w:ascii="Arial" w:eastAsia="Calibri" w:hAnsi="Arial" w:cs="Arial"/>
          <w:bCs/>
          <w:sz w:val="22"/>
          <w:szCs w:val="22"/>
          <w:lang w:eastAsia="en-US"/>
        </w:rPr>
        <w:t>6.</w:t>
      </w:r>
      <w:r w:rsidRPr="003C27C6">
        <w:rPr>
          <w:rFonts w:ascii="Arial" w:eastAsia="Calibri" w:hAnsi="Arial" w:cs="Arial"/>
          <w:b/>
          <w:sz w:val="22"/>
          <w:szCs w:val="22"/>
          <w:lang w:eastAsia="en-US"/>
        </w:rPr>
        <w:t xml:space="preserve"> </w:t>
      </w:r>
      <w:r w:rsidRPr="003C27C6">
        <w:rPr>
          <w:rFonts w:ascii="Arial" w:eastAsia="Calibri" w:hAnsi="Arial" w:cs="Arial"/>
          <w:sz w:val="22"/>
          <w:szCs w:val="22"/>
          <w:lang w:eastAsia="en-US"/>
        </w:rPr>
        <w:t xml:space="preserve">Se establece que los convenios o contratos interadministrativos </w:t>
      </w:r>
      <w:r w:rsidRPr="003C27C6">
        <w:rPr>
          <w:rFonts w:ascii="Arial" w:eastAsia="Calibri" w:hAnsi="Arial" w:cs="Arial"/>
          <w:sz w:val="21"/>
          <w:szCs w:val="21"/>
          <w:lang w:eastAsia="en-US"/>
        </w:rPr>
        <w:t>que se suscriban bajo el amparo de la presente disposición serán objeto de control especial por parte de la Contraloría General de la República. En tal sentido, el Contralor General de la República determinará, en el marco de sus competencias constitucionales y legales, la forma en que se ejercerá este control especial.</w:t>
      </w:r>
    </w:p>
    <w:p w14:paraId="225265E5" w14:textId="5CE4174E" w:rsidR="003A231A" w:rsidRPr="003C27C6" w:rsidRDefault="00423CF8" w:rsidP="006D04CD">
      <w:pPr>
        <w:spacing w:line="276" w:lineRule="auto"/>
        <w:ind w:firstLine="709"/>
        <w:jc w:val="both"/>
        <w:rPr>
          <w:rFonts w:ascii="Arial" w:eastAsia="Calibri" w:hAnsi="Arial" w:cs="Arial"/>
          <w:sz w:val="22"/>
          <w:szCs w:val="22"/>
          <w:lang w:eastAsia="en-US"/>
        </w:rPr>
      </w:pPr>
      <w:r w:rsidRPr="003C27C6">
        <w:rPr>
          <w:rFonts w:ascii="Arial" w:eastAsia="Calibri" w:hAnsi="Arial" w:cs="Arial"/>
          <w:sz w:val="22"/>
          <w:szCs w:val="22"/>
          <w:lang w:eastAsia="en-US"/>
        </w:rPr>
        <w:t xml:space="preserve">De acuerdo </w:t>
      </w:r>
      <w:r w:rsidR="000C7CC5" w:rsidRPr="003C27C6">
        <w:rPr>
          <w:rFonts w:ascii="Arial" w:eastAsia="Calibri" w:hAnsi="Arial" w:cs="Arial"/>
          <w:sz w:val="22"/>
          <w:szCs w:val="22"/>
          <w:lang w:eastAsia="en-US"/>
        </w:rPr>
        <w:t>con</w:t>
      </w:r>
      <w:r w:rsidRPr="003C27C6">
        <w:rPr>
          <w:rFonts w:ascii="Arial" w:eastAsia="Calibri" w:hAnsi="Arial" w:cs="Arial"/>
          <w:sz w:val="22"/>
          <w:szCs w:val="22"/>
          <w:lang w:eastAsia="en-US"/>
        </w:rPr>
        <w:t xml:space="preserve"> las anteriores consideraciones, </w:t>
      </w:r>
      <w:r w:rsidR="00B244DB" w:rsidRPr="003C27C6">
        <w:rPr>
          <w:rFonts w:ascii="Arial" w:eastAsia="Calibri" w:hAnsi="Arial" w:cs="Arial"/>
          <w:sz w:val="22"/>
          <w:szCs w:val="22"/>
          <w:lang w:eastAsia="en-US"/>
        </w:rPr>
        <w:t xml:space="preserve">la </w:t>
      </w:r>
      <w:r w:rsidRPr="003C27C6">
        <w:rPr>
          <w:rFonts w:ascii="Arial" w:eastAsia="Calibri" w:hAnsi="Arial" w:cs="Arial"/>
          <w:sz w:val="22"/>
          <w:szCs w:val="22"/>
          <w:lang w:eastAsia="en-US"/>
        </w:rPr>
        <w:t xml:space="preserve">promulgación y expedición </w:t>
      </w:r>
      <w:r w:rsidR="00B244DB" w:rsidRPr="003C27C6">
        <w:rPr>
          <w:rFonts w:ascii="Arial" w:eastAsia="Calibri" w:hAnsi="Arial" w:cs="Arial"/>
          <w:sz w:val="22"/>
          <w:szCs w:val="22"/>
          <w:lang w:eastAsia="en-US"/>
        </w:rPr>
        <w:t>de la Ley 2159 de 2021 no deroga la Ley 996 de 2005, sino que modifica d</w:t>
      </w:r>
      <w:r w:rsidR="00B244DB" w:rsidRPr="003C27C6">
        <w:rPr>
          <w:rFonts w:ascii="Arial" w:eastAsia="Calibri" w:hAnsi="Arial" w:cs="Arial"/>
          <w:i/>
          <w:iCs/>
          <w:sz w:val="22"/>
          <w:szCs w:val="22"/>
          <w:lang w:eastAsia="en-US"/>
        </w:rPr>
        <w:t>e manera transitoria y parcial</w:t>
      </w:r>
      <w:r w:rsidR="00B244DB" w:rsidRPr="003C27C6">
        <w:rPr>
          <w:rFonts w:ascii="Arial" w:eastAsia="Calibri" w:hAnsi="Arial" w:cs="Arial"/>
          <w:sz w:val="22"/>
          <w:szCs w:val="22"/>
          <w:lang w:eastAsia="en-US"/>
        </w:rPr>
        <w:t xml:space="preserve"> el inciso primero del parágrafo del artículo 38. Por tanto, esta modificación solo afecta en forma tangencial la aplicación del numeral 15.1. de la Circular Externa Única de Colombia Compra Eficiente, relacionado con la restricción para celebrar convenios y/o contratos interadministrativos durante el año fiscal 2022.</w:t>
      </w:r>
    </w:p>
    <w:p w14:paraId="1E10E97E" w14:textId="77777777" w:rsidR="006D04CD" w:rsidRPr="003C27C6" w:rsidRDefault="006D04CD" w:rsidP="006D04CD">
      <w:pPr>
        <w:spacing w:line="276" w:lineRule="auto"/>
        <w:ind w:firstLine="709"/>
        <w:jc w:val="both"/>
        <w:rPr>
          <w:rFonts w:ascii="Arial" w:eastAsia="Calibri" w:hAnsi="Arial" w:cs="Arial"/>
          <w:sz w:val="22"/>
          <w:szCs w:val="22"/>
          <w:lang w:eastAsia="en-US"/>
        </w:rPr>
      </w:pPr>
    </w:p>
    <w:p w14:paraId="00E67626" w14:textId="1D43C227" w:rsidR="00646880" w:rsidRPr="003C27C6" w:rsidRDefault="00B523D3" w:rsidP="006D04CD">
      <w:pPr>
        <w:spacing w:line="276" w:lineRule="auto"/>
        <w:jc w:val="both"/>
        <w:rPr>
          <w:rFonts w:ascii="Arial" w:hAnsi="Arial" w:cs="Arial"/>
          <w:b/>
          <w:color w:val="000000" w:themeColor="text1"/>
          <w:sz w:val="22"/>
        </w:rPr>
      </w:pPr>
      <w:r w:rsidRPr="003C27C6">
        <w:rPr>
          <w:rFonts w:ascii="Arial" w:hAnsi="Arial" w:cs="Arial"/>
          <w:b/>
          <w:color w:val="000000" w:themeColor="text1"/>
          <w:sz w:val="22"/>
        </w:rPr>
        <w:t>2.4</w:t>
      </w:r>
      <w:r w:rsidR="00646880" w:rsidRPr="003C27C6">
        <w:rPr>
          <w:rFonts w:ascii="Arial" w:hAnsi="Arial" w:cs="Arial"/>
          <w:b/>
          <w:color w:val="000000" w:themeColor="text1"/>
          <w:sz w:val="22"/>
        </w:rPr>
        <w:t>. Restricciones para la suscripción de contratos</w:t>
      </w:r>
      <w:r w:rsidR="00F00D3C" w:rsidRPr="003C27C6">
        <w:rPr>
          <w:rFonts w:ascii="Arial" w:hAnsi="Arial" w:cs="Arial"/>
          <w:b/>
          <w:color w:val="000000" w:themeColor="text1"/>
          <w:sz w:val="22"/>
        </w:rPr>
        <w:t xml:space="preserve"> de forma directa por parte de </w:t>
      </w:r>
      <w:r w:rsidR="00646880" w:rsidRPr="003C27C6">
        <w:rPr>
          <w:rFonts w:ascii="Arial" w:hAnsi="Arial" w:cs="Arial"/>
          <w:b/>
          <w:color w:val="000000" w:themeColor="text1"/>
          <w:sz w:val="22"/>
        </w:rPr>
        <w:t>todos los entes del Estado –artículo 33 de la Ley 996 de 2005–</w:t>
      </w:r>
    </w:p>
    <w:p w14:paraId="244F3B31" w14:textId="77777777" w:rsidR="00646880" w:rsidRPr="003C27C6" w:rsidRDefault="00646880" w:rsidP="00646880">
      <w:pPr>
        <w:spacing w:line="276" w:lineRule="auto"/>
        <w:jc w:val="both"/>
        <w:rPr>
          <w:rFonts w:ascii="Arial" w:hAnsi="Arial" w:cs="Arial"/>
          <w:b/>
          <w:color w:val="000000" w:themeColor="text1"/>
          <w:sz w:val="22"/>
        </w:rPr>
      </w:pPr>
    </w:p>
    <w:p w14:paraId="0E9E80CD" w14:textId="77777777" w:rsidR="00646880" w:rsidRPr="003C27C6" w:rsidRDefault="00646880" w:rsidP="00646880">
      <w:pPr>
        <w:spacing w:line="276" w:lineRule="auto"/>
        <w:jc w:val="both"/>
        <w:rPr>
          <w:rFonts w:ascii="Arial" w:hAnsi="Arial" w:cs="Arial"/>
          <w:bCs/>
          <w:sz w:val="22"/>
          <w:szCs w:val="22"/>
          <w:lang w:val="es-MX" w:eastAsia="es-CO"/>
        </w:rPr>
      </w:pPr>
      <w:r w:rsidRPr="003C27C6">
        <w:rPr>
          <w:rFonts w:ascii="Arial" w:hAnsi="Arial" w:cs="Arial"/>
          <w:bCs/>
          <w:sz w:val="22"/>
          <w:szCs w:val="22"/>
          <w:lang w:val="es-MX" w:eastAsia="x-none"/>
        </w:rPr>
        <w:t xml:space="preserve">El ámbito material de la prohibición contenida </w:t>
      </w:r>
      <w:bookmarkStart w:id="23" w:name="_Hlk75628761"/>
      <w:r w:rsidRPr="003C27C6">
        <w:rPr>
          <w:rFonts w:ascii="Arial" w:hAnsi="Arial" w:cs="Arial"/>
          <w:bCs/>
          <w:sz w:val="22"/>
          <w:szCs w:val="22"/>
          <w:lang w:val="es-MX" w:eastAsia="x-none"/>
        </w:rPr>
        <w:t xml:space="preserve">en el artículo 33 de la ley 996 de 2005 </w:t>
      </w:r>
      <w:bookmarkEnd w:id="23"/>
      <w:r w:rsidRPr="003C27C6">
        <w:rPr>
          <w:rFonts w:ascii="Arial" w:hAnsi="Arial" w:cs="Arial"/>
          <w:bCs/>
          <w:sz w:val="22"/>
          <w:szCs w:val="22"/>
          <w:lang w:val="es-MX" w:eastAsia="x-none"/>
        </w:rPr>
        <w:t xml:space="preserve">está delimitado por la expresión </w:t>
      </w:r>
      <w:r w:rsidRPr="003C27C6">
        <w:rPr>
          <w:rFonts w:ascii="Arial" w:eastAsia="Calibri" w:hAnsi="Arial" w:cs="Arial"/>
          <w:bCs/>
          <w:sz w:val="20"/>
          <w:szCs w:val="20"/>
          <w:lang w:val="es-MX" w:eastAsia="en-US"/>
        </w:rPr>
        <w:t>«</w:t>
      </w:r>
      <w:r w:rsidRPr="003C27C6">
        <w:rPr>
          <w:rFonts w:ascii="Arial" w:hAnsi="Arial" w:cs="Arial"/>
          <w:bCs/>
          <w:sz w:val="22"/>
          <w:szCs w:val="22"/>
          <w:lang w:val="es-MX" w:eastAsia="x-none"/>
        </w:rPr>
        <w:t>queda prohibida la contratación directa</w:t>
      </w:r>
      <w:r w:rsidRPr="003C27C6">
        <w:rPr>
          <w:rFonts w:ascii="Arial" w:eastAsia="Calibri" w:hAnsi="Arial" w:cs="Arial"/>
          <w:sz w:val="20"/>
          <w:szCs w:val="20"/>
          <w:lang w:val="es-MX" w:eastAsia="en-US"/>
        </w:rPr>
        <w:t>»</w:t>
      </w:r>
      <w:r w:rsidRPr="003C27C6">
        <w:rPr>
          <w:rFonts w:ascii="Arial" w:hAnsi="Arial" w:cs="Arial"/>
          <w:bCs/>
          <w:sz w:val="22"/>
          <w:szCs w:val="22"/>
          <w:lang w:val="es-MX" w:eastAsia="x-none"/>
        </w:rPr>
        <w:t xml:space="preserve">. </w:t>
      </w:r>
      <w:r w:rsidRPr="003C27C6">
        <w:rPr>
          <w:rFonts w:ascii="Arial" w:hAnsi="Arial" w:cs="Arial"/>
          <w:sz w:val="22"/>
          <w:szCs w:val="22"/>
          <w:lang w:val="es-MX" w:eastAsia="es-CO"/>
        </w:rPr>
        <w:t xml:space="preserve"> A propósito de </w:t>
      </w:r>
      <w:r w:rsidRPr="003C27C6">
        <w:rPr>
          <w:rFonts w:ascii="Arial" w:hAnsi="Arial" w:cs="Arial"/>
          <w:sz w:val="22"/>
          <w:szCs w:val="22"/>
          <w:lang w:eastAsia="es-CO"/>
        </w:rPr>
        <w:t>esta restricción de la Ley de Garantías Electorales, la Sala de Consulta y Servicio Civil del Consejo de Estado ha considerado:</w:t>
      </w:r>
    </w:p>
    <w:p w14:paraId="71BFE7B6" w14:textId="77777777" w:rsidR="00646880" w:rsidRPr="003C27C6" w:rsidRDefault="00646880" w:rsidP="00646880">
      <w:pPr>
        <w:ind w:left="708" w:right="709"/>
        <w:jc w:val="both"/>
        <w:rPr>
          <w:rFonts w:ascii="Arial" w:eastAsia="Calibri" w:hAnsi="Arial" w:cs="Arial"/>
          <w:sz w:val="21"/>
          <w:szCs w:val="21"/>
          <w:lang w:val="es-MX" w:eastAsia="en-US"/>
        </w:rPr>
      </w:pPr>
    </w:p>
    <w:p w14:paraId="6A293241" w14:textId="77777777" w:rsidR="00646880" w:rsidRPr="003C27C6" w:rsidRDefault="00646880" w:rsidP="00646880">
      <w:pPr>
        <w:spacing w:after="120"/>
        <w:ind w:left="709" w:right="709"/>
        <w:jc w:val="both"/>
        <w:rPr>
          <w:rFonts w:ascii="Arial" w:eastAsia="Calibri" w:hAnsi="Arial" w:cs="Arial"/>
          <w:sz w:val="21"/>
          <w:szCs w:val="21"/>
          <w:lang w:val="es-MX" w:eastAsia="en-US"/>
        </w:rPr>
      </w:pPr>
      <w:r w:rsidRPr="003C27C6">
        <w:rPr>
          <w:rFonts w:ascii="Arial" w:eastAsia="Calibri" w:hAnsi="Arial" w:cs="Arial"/>
          <w:sz w:val="21"/>
          <w:szCs w:val="21"/>
          <w:lang w:val="es-MX" w:eastAsia="en-US"/>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3C27C6">
        <w:rPr>
          <w:rFonts w:ascii="Arial" w:hAnsi="Arial" w:cs="Arial"/>
          <w:sz w:val="22"/>
          <w:szCs w:val="22"/>
          <w:vertAlign w:val="superscript"/>
          <w:lang w:eastAsia="es-CO"/>
        </w:rPr>
        <w:footnoteReference w:id="24"/>
      </w:r>
      <w:r w:rsidRPr="003C27C6">
        <w:rPr>
          <w:rFonts w:ascii="Arial" w:eastAsia="Calibri" w:hAnsi="Arial" w:cs="Arial"/>
          <w:sz w:val="21"/>
          <w:szCs w:val="21"/>
          <w:lang w:val="es-MX" w:eastAsia="en-US"/>
        </w:rPr>
        <w:t>.</w:t>
      </w:r>
    </w:p>
    <w:p w14:paraId="4979D6E2" w14:textId="77777777" w:rsidR="00646880" w:rsidRPr="003C27C6" w:rsidRDefault="00646880" w:rsidP="00646880">
      <w:pPr>
        <w:ind w:left="708" w:right="709"/>
        <w:jc w:val="both"/>
        <w:rPr>
          <w:rFonts w:ascii="Arial" w:eastAsia="Calibri" w:hAnsi="Arial" w:cs="Arial"/>
          <w:sz w:val="21"/>
          <w:szCs w:val="21"/>
          <w:lang w:val="es-MX" w:eastAsia="en-US"/>
        </w:rPr>
      </w:pPr>
      <w:r w:rsidRPr="003C27C6">
        <w:rPr>
          <w:rFonts w:ascii="Arial" w:eastAsia="Calibri" w:hAnsi="Arial" w:cs="Arial"/>
          <w:sz w:val="21"/>
          <w:szCs w:val="21"/>
          <w:lang w:val="es-MX" w:eastAsia="en-US"/>
        </w:rPr>
        <w:t xml:space="preserve">Esta Sala ha entendido </w:t>
      </w:r>
      <w:proofErr w:type="gramStart"/>
      <w:r w:rsidRPr="003C27C6">
        <w:rPr>
          <w:rFonts w:ascii="Arial" w:eastAsia="Calibri" w:hAnsi="Arial" w:cs="Arial"/>
          <w:sz w:val="21"/>
          <w:szCs w:val="21"/>
          <w:lang w:val="es-MX" w:eastAsia="en-US"/>
        </w:rPr>
        <w:t>que</w:t>
      </w:r>
      <w:proofErr w:type="gramEnd"/>
      <w:r w:rsidRPr="003C27C6">
        <w:rPr>
          <w:rFonts w:ascii="Arial" w:eastAsia="Calibri" w:hAnsi="Arial" w:cs="Arial"/>
          <w:sz w:val="21"/>
          <w:szCs w:val="21"/>
          <w:lang w:val="es-MX" w:eastAsia="en-US"/>
        </w:rPr>
        <w:t xml:space="preserve"> para los efectos de la ley de garantías, y dada su finalidad, el enunciado ´contratación directa´ es sinónimo </w:t>
      </w:r>
      <w:bookmarkStart w:id="26" w:name="_Hlk75741738"/>
      <w:r w:rsidRPr="003C27C6">
        <w:rPr>
          <w:rFonts w:ascii="Arial" w:eastAsia="Calibri" w:hAnsi="Arial" w:cs="Arial"/>
          <w:sz w:val="21"/>
          <w:szCs w:val="21"/>
          <w:lang w:val="es-MX" w:eastAsia="en-US"/>
        </w:rPr>
        <w:t xml:space="preserve">de cualquier sistema que no implique convocatoria pública y posibilidad de pluralidad de oferentes, </w:t>
      </w:r>
      <w:bookmarkEnd w:id="26"/>
      <w:r w:rsidRPr="003C27C6">
        <w:rPr>
          <w:rFonts w:ascii="Arial" w:eastAsia="Calibri" w:hAnsi="Arial" w:cs="Arial"/>
          <w:sz w:val="21"/>
          <w:szCs w:val="21"/>
          <w:lang w:val="es-MX" w:eastAsia="en-US"/>
        </w:rPr>
        <w:t>y que, además, no necesariamente hace referencia al procedimiento especial regulado por la ley de contratación estatal, sino a cualquier otro que prescinda de un proceso de licitación pública o concurso</w:t>
      </w:r>
      <w:r w:rsidRPr="003C27C6">
        <w:rPr>
          <w:rFonts w:ascii="Arial" w:hAnsi="Arial" w:cs="Arial"/>
          <w:sz w:val="21"/>
          <w:szCs w:val="21"/>
          <w:vertAlign w:val="superscript"/>
          <w:lang w:val="es-MX" w:eastAsia="en-US"/>
        </w:rPr>
        <w:footnoteReference w:id="25"/>
      </w:r>
      <w:r w:rsidRPr="003C27C6">
        <w:rPr>
          <w:rFonts w:ascii="Arial" w:hAnsi="Arial" w:cs="Arial"/>
          <w:sz w:val="21"/>
          <w:szCs w:val="21"/>
          <w:vertAlign w:val="superscript"/>
          <w:lang w:val="es-MX" w:eastAsia="en-US"/>
        </w:rPr>
        <w:t>.</w:t>
      </w:r>
      <w:r w:rsidRPr="003C27C6">
        <w:rPr>
          <w:rFonts w:ascii="Arial" w:eastAsia="Calibri" w:hAnsi="Arial" w:cs="Arial"/>
          <w:sz w:val="21"/>
          <w:szCs w:val="21"/>
          <w:lang w:val="es-MX" w:eastAsia="en-US"/>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3C27C6">
        <w:rPr>
          <w:rFonts w:ascii="Arial" w:hAnsi="Arial" w:cs="Arial"/>
          <w:sz w:val="22"/>
          <w:szCs w:val="22"/>
          <w:vertAlign w:val="superscript"/>
          <w:lang w:eastAsia="es-CO"/>
        </w:rPr>
        <w:footnoteReference w:id="26"/>
      </w:r>
      <w:r w:rsidRPr="003C27C6">
        <w:rPr>
          <w:rFonts w:ascii="Arial" w:eastAsia="Calibri" w:hAnsi="Arial" w:cs="Arial"/>
          <w:sz w:val="21"/>
          <w:szCs w:val="21"/>
          <w:lang w:val="es-MX" w:eastAsia="en-US"/>
        </w:rPr>
        <w:t xml:space="preserve"> .</w:t>
      </w:r>
    </w:p>
    <w:p w14:paraId="62356BD3" w14:textId="77777777" w:rsidR="00646880" w:rsidRPr="003C27C6" w:rsidRDefault="00646880" w:rsidP="00646880">
      <w:pPr>
        <w:shd w:val="clear" w:color="auto" w:fill="FFFFFF"/>
        <w:ind w:firstLine="709"/>
        <w:jc w:val="both"/>
        <w:rPr>
          <w:rFonts w:ascii="Arial" w:hAnsi="Arial" w:cs="Arial"/>
          <w:sz w:val="22"/>
          <w:szCs w:val="22"/>
          <w:lang w:eastAsia="x-none"/>
        </w:rPr>
      </w:pPr>
    </w:p>
    <w:p w14:paraId="367661AF" w14:textId="77777777" w:rsidR="00646880" w:rsidRPr="003C27C6" w:rsidRDefault="00646880" w:rsidP="00646880">
      <w:pPr>
        <w:spacing w:after="120" w:line="276" w:lineRule="auto"/>
        <w:ind w:firstLine="708"/>
        <w:jc w:val="both"/>
        <w:rPr>
          <w:rFonts w:ascii="Arial" w:hAnsi="Arial" w:cs="Arial"/>
          <w:bCs/>
          <w:sz w:val="22"/>
          <w:szCs w:val="22"/>
          <w:lang w:eastAsia="x-none"/>
        </w:rPr>
      </w:pPr>
      <w:r w:rsidRPr="003C27C6">
        <w:rPr>
          <w:rFonts w:ascii="Arial" w:hAnsi="Arial" w:cs="Arial"/>
          <w:sz w:val="22"/>
          <w:szCs w:val="22"/>
          <w:lang w:eastAsia="x-none"/>
        </w:rPr>
        <w:t xml:space="preserve">De conformidad con el citado concepto, </w:t>
      </w:r>
      <w:bookmarkStart w:id="28" w:name="_Hlk78818702"/>
      <w:r w:rsidRPr="003C27C6">
        <w:rPr>
          <w:rFonts w:ascii="Arial" w:hAnsi="Arial" w:cs="Arial"/>
          <w:sz w:val="22"/>
          <w:szCs w:val="22"/>
          <w:lang w:eastAsia="x-none"/>
        </w:rPr>
        <w:t xml:space="preserve">la prohibición del artículo 33 de la Ley de Garantías Electorales se refiere a </w:t>
      </w:r>
      <w:bookmarkStart w:id="29" w:name="_Hlk74294635"/>
      <w:r w:rsidRPr="003C27C6">
        <w:rPr>
          <w:rFonts w:ascii="Arial" w:hAnsi="Arial" w:cs="Arial"/>
          <w:sz w:val="19"/>
          <w:szCs w:val="19"/>
          <w:lang w:eastAsia="en-GB"/>
        </w:rPr>
        <w:t>«</w:t>
      </w:r>
      <w:bookmarkEnd w:id="29"/>
      <w:r w:rsidRPr="003C27C6">
        <w:rPr>
          <w:rFonts w:ascii="Arial" w:hAnsi="Arial" w:cs="Arial"/>
          <w:sz w:val="22"/>
          <w:szCs w:val="22"/>
          <w:lang w:eastAsia="x-none"/>
        </w:rPr>
        <w:t>cualquier sistema que no implique convocatoria pública y posibilidad de pluralidad de oferentes</w:t>
      </w:r>
      <w:bookmarkStart w:id="30" w:name="_Hlk74404754"/>
      <w:r w:rsidRPr="003C27C6">
        <w:rPr>
          <w:rFonts w:ascii="Arial" w:hAnsi="Arial" w:cs="Arial"/>
          <w:sz w:val="22"/>
          <w:szCs w:val="22"/>
          <w:lang w:eastAsia="en-GB"/>
        </w:rPr>
        <w:t>»</w:t>
      </w:r>
      <w:bookmarkEnd w:id="30"/>
      <w:r w:rsidRPr="003C27C6">
        <w:rPr>
          <w:rFonts w:ascii="Arial" w:hAnsi="Arial" w:cs="Arial"/>
          <w:sz w:val="22"/>
          <w:szCs w:val="22"/>
          <w:lang w:eastAsia="x-none"/>
        </w:rPr>
        <w:t xml:space="preserve">, por lo que excluye las demás modalidades de contratación previstas en la Ley 1150 de 2007, es decir, la licitación pública, la selección abreviada, el concurso de méritos, la mínima cuantía u otros previstos en normas especiales. </w:t>
      </w:r>
      <w:bookmarkEnd w:id="28"/>
      <w:r w:rsidRPr="003C27C6">
        <w:rPr>
          <w:rFonts w:ascii="Arial" w:hAnsi="Arial" w:cs="Arial"/>
          <w:sz w:val="22"/>
          <w:szCs w:val="22"/>
          <w:lang w:eastAsia="x-none"/>
        </w:rPr>
        <w:t>Esta posición es congruente con la expedición de la Ley 1150 de 2007 que, entre otras reformas, introdujo la selección abreviada, rediseñó el concurso de méritos</w:t>
      </w:r>
      <w:r w:rsidRPr="003C27C6">
        <w:rPr>
          <w:rFonts w:ascii="Arial" w:hAnsi="Arial" w:cs="Arial"/>
          <w:sz w:val="22"/>
          <w:szCs w:val="22"/>
          <w:vertAlign w:val="superscript"/>
          <w:lang w:val="en-GB" w:eastAsia="x-none"/>
        </w:rPr>
        <w:footnoteReference w:id="27"/>
      </w:r>
      <w:r w:rsidRPr="003C27C6">
        <w:rPr>
          <w:rFonts w:ascii="Arial" w:hAnsi="Arial" w:cs="Arial"/>
          <w:sz w:val="22"/>
          <w:szCs w:val="22"/>
          <w:lang w:eastAsia="x-none"/>
        </w:rPr>
        <w:t xml:space="preserve"> y sistematizó las causales de contratación directa</w:t>
      </w:r>
      <w:r w:rsidRPr="003C27C6">
        <w:rPr>
          <w:rFonts w:ascii="Arial" w:hAnsi="Arial" w:cs="Arial"/>
          <w:sz w:val="22"/>
          <w:szCs w:val="22"/>
          <w:vertAlign w:val="superscript"/>
          <w:lang w:val="en-GB" w:eastAsia="x-none"/>
        </w:rPr>
        <w:footnoteReference w:id="28"/>
      </w:r>
      <w:r w:rsidRPr="003C27C6">
        <w:rPr>
          <w:rFonts w:ascii="Arial" w:hAnsi="Arial" w:cs="Arial"/>
          <w:sz w:val="22"/>
          <w:szCs w:val="22"/>
          <w:lang w:eastAsia="x-none"/>
        </w:rPr>
        <w:t xml:space="preserve">, </w:t>
      </w:r>
      <w:r w:rsidRPr="003C27C6">
        <w:rPr>
          <w:rFonts w:ascii="Arial" w:hAnsi="Arial" w:cs="Arial"/>
          <w:sz w:val="22"/>
          <w:lang w:eastAsia="x-none"/>
        </w:rPr>
        <w:t>además lo es con la posterior creación de la modalidad de mínima cuantía establecida actualmente en el numeral 5 del artículo 2 de la Ley 1150 de 2007, de acuerdo con las modificaciones realizadas por leyes posteriores.</w:t>
      </w:r>
      <w:r w:rsidRPr="003C27C6">
        <w:rPr>
          <w:rFonts w:ascii="Arial" w:hAnsi="Arial" w:cs="Arial"/>
          <w:sz w:val="22"/>
          <w:szCs w:val="22"/>
          <w:lang w:eastAsia="x-none"/>
        </w:rPr>
        <w:t xml:space="preserve"> </w:t>
      </w:r>
    </w:p>
    <w:p w14:paraId="768E3CDB" w14:textId="77777777" w:rsidR="00646880" w:rsidRPr="003C27C6" w:rsidRDefault="00646880" w:rsidP="00646880">
      <w:pPr>
        <w:spacing w:after="120" w:line="276" w:lineRule="auto"/>
        <w:ind w:firstLine="708"/>
        <w:jc w:val="both"/>
        <w:rPr>
          <w:rFonts w:ascii="Arial" w:hAnsi="Arial" w:cs="Arial"/>
          <w:sz w:val="22"/>
          <w:szCs w:val="22"/>
          <w:lang w:val="es-MX" w:eastAsia="x-none"/>
        </w:rPr>
      </w:pPr>
      <w:r w:rsidRPr="003C27C6">
        <w:rPr>
          <w:rFonts w:ascii="Arial" w:hAnsi="Arial" w:cs="Arial"/>
          <w:sz w:val="22"/>
          <w:szCs w:val="22"/>
          <w:lang w:eastAsia="x-none"/>
        </w:rPr>
        <w:t xml:space="preserve">De esta forma, con fundamento en la evolución de la normativa sobre la contratación pública, se ha depurado la noción de </w:t>
      </w:r>
      <w:r w:rsidRPr="003C27C6">
        <w:rPr>
          <w:rFonts w:ascii="Arial" w:hAnsi="Arial" w:cs="Arial"/>
          <w:sz w:val="19"/>
          <w:szCs w:val="19"/>
          <w:lang w:eastAsia="en-GB"/>
        </w:rPr>
        <w:t>«</w:t>
      </w:r>
      <w:r w:rsidRPr="003C27C6">
        <w:rPr>
          <w:rFonts w:ascii="Arial" w:hAnsi="Arial" w:cs="Arial"/>
          <w:sz w:val="22"/>
          <w:szCs w:val="22"/>
          <w:lang w:eastAsia="x-none"/>
        </w:rPr>
        <w:t>contratación directa</w:t>
      </w:r>
      <w:r w:rsidRPr="003C27C6">
        <w:rPr>
          <w:rFonts w:ascii="Arial" w:hAnsi="Arial" w:cs="Arial"/>
          <w:sz w:val="22"/>
          <w:szCs w:val="22"/>
          <w:lang w:eastAsia="en-GB"/>
        </w:rPr>
        <w:t>»</w:t>
      </w:r>
      <w:r w:rsidRPr="003C27C6">
        <w:rPr>
          <w:rFonts w:ascii="Arial" w:hAnsi="Arial" w:cs="Arial"/>
          <w:sz w:val="22"/>
          <w:szCs w:val="22"/>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3C27C6">
        <w:rPr>
          <w:rFonts w:ascii="Arial" w:hAnsi="Arial" w:cs="Arial"/>
          <w:sz w:val="22"/>
          <w:szCs w:val="22"/>
          <w:vertAlign w:val="superscript"/>
          <w:lang w:val="en-GB" w:eastAsia="x-none"/>
        </w:rPr>
        <w:footnoteReference w:id="29"/>
      </w:r>
      <w:r w:rsidRPr="003C27C6">
        <w:rPr>
          <w:rFonts w:ascii="Arial" w:hAnsi="Arial" w:cs="Arial"/>
          <w:sz w:val="22"/>
          <w:szCs w:val="22"/>
          <w:lang w:eastAsia="x-none"/>
        </w:rPr>
        <w:t>, han establecido sistemas de contratación que implican convocatoria pública y participación de varios oferentes</w:t>
      </w:r>
      <w:r w:rsidRPr="003C27C6">
        <w:rPr>
          <w:rFonts w:ascii="Arial" w:hAnsi="Arial" w:cs="Arial"/>
          <w:sz w:val="22"/>
          <w:szCs w:val="22"/>
          <w:lang w:eastAsia="en-GB"/>
        </w:rPr>
        <w:t>»</w:t>
      </w:r>
      <w:r w:rsidRPr="003C27C6">
        <w:rPr>
          <w:rFonts w:ascii="Arial" w:hAnsi="Arial" w:cs="Arial"/>
          <w:sz w:val="22"/>
          <w:szCs w:val="22"/>
          <w:lang w:eastAsia="x-none"/>
        </w:rPr>
        <w:t xml:space="preserve">. </w:t>
      </w:r>
    </w:p>
    <w:p w14:paraId="49C185EF" w14:textId="77777777" w:rsidR="00646880" w:rsidRPr="003C27C6" w:rsidRDefault="00646880" w:rsidP="00646880">
      <w:pPr>
        <w:spacing w:after="120" w:line="276" w:lineRule="auto"/>
        <w:ind w:firstLine="708"/>
        <w:jc w:val="both"/>
        <w:rPr>
          <w:rFonts w:ascii="Arial" w:hAnsi="Arial" w:cs="Arial"/>
          <w:bCs/>
          <w:sz w:val="22"/>
          <w:szCs w:val="22"/>
          <w:lang w:val="es-MX" w:eastAsia="es-CO"/>
        </w:rPr>
      </w:pPr>
      <w:r w:rsidRPr="003C27C6">
        <w:rPr>
          <w:rFonts w:ascii="Arial" w:hAnsi="Arial" w:cs="Arial"/>
          <w:bCs/>
          <w:sz w:val="22"/>
          <w:szCs w:val="22"/>
          <w:lang w:val="es-MX" w:eastAsia="x-none"/>
        </w:rPr>
        <w:t>E</w:t>
      </w:r>
      <w:r w:rsidRPr="003C27C6">
        <w:rPr>
          <w:rFonts w:ascii="Arial" w:hAnsi="Arial" w:cs="Arial"/>
          <w:sz w:val="22"/>
          <w:szCs w:val="22"/>
          <w:lang w:eastAsia="x-none"/>
        </w:rPr>
        <w:t xml:space="preserve">n </w:t>
      </w:r>
      <w:bookmarkStart w:id="32" w:name="_Hlk75636073"/>
      <w:r w:rsidRPr="003C27C6">
        <w:rPr>
          <w:rFonts w:ascii="Arial" w:hAnsi="Arial" w:cs="Arial"/>
          <w:sz w:val="22"/>
          <w:szCs w:val="22"/>
          <w:lang w:eastAsia="x-none"/>
        </w:rPr>
        <w:t>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32"/>
      <w:r w:rsidRPr="003C27C6">
        <w:rPr>
          <w:rFonts w:ascii="Arial" w:hAnsi="Arial" w:cs="Arial"/>
          <w:sz w:val="22"/>
          <w:szCs w:val="22"/>
          <w:vertAlign w:val="superscript"/>
          <w:lang w:eastAsia="x-none"/>
        </w:rPr>
        <w:footnoteReference w:id="30"/>
      </w:r>
      <w:r w:rsidRPr="003C27C6">
        <w:rPr>
          <w:rFonts w:ascii="Arial" w:hAnsi="Arial" w:cs="Arial"/>
          <w:sz w:val="22"/>
          <w:szCs w:val="22"/>
          <w:lang w:eastAsia="x-none"/>
        </w:rPr>
        <w:t xml:space="preserve">. </w:t>
      </w:r>
    </w:p>
    <w:p w14:paraId="203BFCB7" w14:textId="34DB824E" w:rsidR="00646880" w:rsidRPr="003C27C6" w:rsidRDefault="00646880" w:rsidP="00646880">
      <w:pPr>
        <w:spacing w:after="120" w:line="276" w:lineRule="auto"/>
        <w:ind w:firstLine="708"/>
        <w:jc w:val="both"/>
        <w:rPr>
          <w:rFonts w:ascii="Arial" w:hAnsi="Arial" w:cs="Arial"/>
          <w:bCs/>
          <w:sz w:val="22"/>
          <w:szCs w:val="22"/>
          <w:lang w:val="es-MX" w:eastAsia="es-CO"/>
        </w:rPr>
      </w:pPr>
      <w:r w:rsidRPr="003C27C6">
        <w:rPr>
          <w:rFonts w:ascii="Arial" w:hAnsi="Arial" w:cs="Arial"/>
          <w:bCs/>
          <w:sz w:val="22"/>
          <w:szCs w:val="22"/>
          <w:lang w:val="es-MX"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«contratación directa».</w:t>
      </w:r>
    </w:p>
    <w:p w14:paraId="385AB89F" w14:textId="6422B410" w:rsidR="00646880" w:rsidRPr="003C27C6" w:rsidRDefault="00646880" w:rsidP="00646880">
      <w:pPr>
        <w:spacing w:after="120" w:line="276" w:lineRule="auto"/>
        <w:ind w:firstLine="708"/>
        <w:jc w:val="both"/>
        <w:rPr>
          <w:rFonts w:ascii="Arial" w:hAnsi="Arial" w:cs="Arial"/>
          <w:bCs/>
          <w:sz w:val="22"/>
          <w:szCs w:val="22"/>
          <w:lang w:val="es-MX" w:eastAsia="x-none"/>
        </w:rPr>
      </w:pPr>
      <w:bookmarkStart w:id="33" w:name="_Hlk78818796"/>
      <w:r w:rsidRPr="003C27C6">
        <w:rPr>
          <w:rFonts w:ascii="Arial" w:hAnsi="Arial" w:cs="Arial"/>
          <w:bCs/>
          <w:sz w:val="22"/>
          <w:szCs w:val="22"/>
          <w:lang w:val="es-MX" w:eastAsia="x-none"/>
        </w:rPr>
        <w:t xml:space="preserve"> Así las cosas, ha de entenderse que, para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3C27C6">
        <w:rPr>
          <w:rFonts w:ascii="Arial" w:hAnsi="Arial" w:cs="Arial"/>
          <w:sz w:val="22"/>
          <w:szCs w:val="22"/>
          <w:vertAlign w:val="superscript"/>
          <w:lang w:eastAsia="x-none"/>
        </w:rPr>
        <w:footnoteReference w:id="31"/>
      </w:r>
      <w:r w:rsidRPr="003C27C6">
        <w:rPr>
          <w:rFonts w:ascii="Arial" w:hAnsi="Arial" w:cs="Arial"/>
          <w:bCs/>
          <w:sz w:val="22"/>
          <w:szCs w:val="22"/>
          <w:lang w:val="es-MX" w:eastAsia="x-none"/>
        </w:rPr>
        <w:t>.</w:t>
      </w:r>
      <w:r w:rsidRPr="003C27C6">
        <w:rPr>
          <w:rFonts w:ascii="Arial" w:hAnsi="Arial" w:cs="Arial"/>
          <w:sz w:val="22"/>
          <w:szCs w:val="22"/>
          <w:vertAlign w:val="superscript"/>
          <w:lang w:eastAsia="x-none"/>
        </w:rPr>
        <w:t xml:space="preserve"> </w:t>
      </w:r>
    </w:p>
    <w:bookmarkEnd w:id="33"/>
    <w:p w14:paraId="0B6971D3" w14:textId="1CC13398" w:rsidR="00646880" w:rsidRPr="003C27C6" w:rsidRDefault="00646880" w:rsidP="00646880">
      <w:pPr>
        <w:spacing w:after="120" w:line="276" w:lineRule="auto"/>
        <w:ind w:firstLine="708"/>
        <w:jc w:val="both"/>
        <w:rPr>
          <w:rFonts w:ascii="Arial" w:hAnsi="Arial" w:cs="Arial"/>
          <w:sz w:val="22"/>
          <w:szCs w:val="22"/>
          <w:lang w:eastAsia="x-none"/>
        </w:rPr>
      </w:pPr>
      <w:r w:rsidRPr="003C27C6">
        <w:rPr>
          <w:rFonts w:ascii="Arial" w:hAnsi="Arial" w:cs="Arial"/>
          <w:bCs/>
          <w:sz w:val="22"/>
          <w:szCs w:val="22"/>
          <w:lang w:val="es-MX" w:eastAsia="x-none"/>
        </w:rPr>
        <w:t>De lo anterior se desprende que la restricción aplica, sin perjuicio de las excepciones establecidas en la misma ley, para celebrar cualquier contrato de forma directa, esto es, sin que exista un proceso abierto y competitivo.</w:t>
      </w:r>
      <w:r w:rsidRPr="003C27C6">
        <w:rPr>
          <w:rFonts w:ascii="Arial" w:hAnsi="Arial" w:cs="Arial"/>
          <w:sz w:val="22"/>
          <w:szCs w:val="22"/>
          <w:lang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w:t>
      </w:r>
      <w:r w:rsidR="00682AB5" w:rsidRPr="003C27C6">
        <w:rPr>
          <w:rFonts w:ascii="Arial" w:hAnsi="Arial" w:cs="Arial"/>
          <w:sz w:val="22"/>
          <w:szCs w:val="22"/>
          <w:lang w:eastAsia="x-none"/>
        </w:rPr>
        <w:t>a</w:t>
      </w:r>
      <w:r w:rsidRPr="003C27C6">
        <w:rPr>
          <w:rFonts w:ascii="Arial" w:hAnsi="Arial" w:cs="Arial"/>
          <w:sz w:val="22"/>
          <w:szCs w:val="22"/>
          <w:lang w:eastAsia="x-none"/>
        </w:rPr>
        <w:t xml:space="preserve">s </w:t>
      </w:r>
      <w:r w:rsidR="00682AB5" w:rsidRPr="003C27C6">
        <w:rPr>
          <w:rFonts w:ascii="Arial" w:hAnsi="Arial" w:cs="Arial"/>
          <w:sz w:val="22"/>
          <w:szCs w:val="22"/>
          <w:lang w:eastAsia="x-none"/>
        </w:rPr>
        <w:t>modalidades</w:t>
      </w:r>
      <w:r w:rsidRPr="003C27C6">
        <w:rPr>
          <w:rFonts w:ascii="Arial" w:hAnsi="Arial" w:cs="Arial"/>
          <w:sz w:val="22"/>
          <w:szCs w:val="22"/>
          <w:lang w:eastAsia="x-none"/>
        </w:rPr>
        <w:t>.</w:t>
      </w:r>
    </w:p>
    <w:p w14:paraId="674058C2" w14:textId="77777777" w:rsidR="00646880" w:rsidRPr="003C27C6" w:rsidRDefault="00646880" w:rsidP="00646880">
      <w:pPr>
        <w:spacing w:after="120" w:line="276" w:lineRule="auto"/>
        <w:ind w:firstLine="708"/>
        <w:jc w:val="both"/>
        <w:rPr>
          <w:rFonts w:ascii="Arial" w:hAnsi="Arial" w:cs="Arial"/>
          <w:bCs/>
          <w:sz w:val="22"/>
          <w:szCs w:val="22"/>
          <w:lang w:val="es-MX" w:eastAsia="x-none"/>
        </w:rPr>
      </w:pPr>
      <w:bookmarkStart w:id="34" w:name="_Hlk77237094"/>
      <w:r w:rsidRPr="003C27C6">
        <w:rPr>
          <w:rFonts w:ascii="Arial" w:hAnsi="Arial" w:cs="Arial"/>
          <w:bCs/>
          <w:sz w:val="22"/>
          <w:szCs w:val="22"/>
          <w:lang w:val="es-MX" w:eastAsia="es-CO"/>
        </w:rPr>
        <w:t xml:space="preserve">Como en otras oportunidades lo ha manifestado esta Agencia, las prórrogas, modificaciones o adiciones de los contratos suscritos antes de la </w:t>
      </w:r>
      <w:proofErr w:type="gramStart"/>
      <w:r w:rsidRPr="003C27C6">
        <w:rPr>
          <w:rFonts w:ascii="Arial" w:hAnsi="Arial" w:cs="Arial"/>
          <w:bCs/>
          <w:sz w:val="22"/>
          <w:szCs w:val="22"/>
          <w:lang w:val="es-MX" w:eastAsia="es-CO"/>
        </w:rPr>
        <w:t>entrada en vigencia</w:t>
      </w:r>
      <w:proofErr w:type="gramEnd"/>
      <w:r w:rsidRPr="003C27C6">
        <w:rPr>
          <w:rFonts w:ascii="Arial" w:hAnsi="Arial" w:cs="Arial"/>
          <w:bCs/>
          <w:sz w:val="22"/>
          <w:szCs w:val="22"/>
          <w:lang w:val="es-MX" w:eastAsia="es-CO"/>
        </w:rPr>
        <w:t xml:space="preserve">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r w:rsidRPr="003C27C6">
        <w:rPr>
          <w:rStyle w:val="Refdenotaalpie"/>
          <w:rFonts w:ascii="Arial" w:hAnsi="Arial" w:cs="Arial"/>
          <w:bCs/>
          <w:sz w:val="22"/>
          <w:szCs w:val="22"/>
          <w:lang w:val="es-MX" w:eastAsia="es-CO"/>
        </w:rPr>
        <w:footnoteReference w:id="32"/>
      </w:r>
      <w:r w:rsidRPr="003C27C6">
        <w:rPr>
          <w:rFonts w:ascii="Arial" w:hAnsi="Arial" w:cs="Arial"/>
          <w:bCs/>
          <w:sz w:val="22"/>
          <w:szCs w:val="22"/>
          <w:lang w:val="es-MX" w:eastAsia="es-CO"/>
        </w:rPr>
        <w:t>.</w:t>
      </w:r>
      <w:bookmarkEnd w:id="34"/>
    </w:p>
    <w:p w14:paraId="2A99F1A8" w14:textId="77777777" w:rsidR="00646880" w:rsidRPr="003C27C6" w:rsidRDefault="00646880" w:rsidP="00646880">
      <w:pPr>
        <w:spacing w:after="120" w:line="276" w:lineRule="auto"/>
        <w:ind w:firstLine="708"/>
        <w:jc w:val="both"/>
        <w:rPr>
          <w:rFonts w:ascii="Arial" w:hAnsi="Arial" w:cs="Arial"/>
          <w:bCs/>
          <w:sz w:val="22"/>
          <w:szCs w:val="22"/>
          <w:lang w:val="es-MX" w:eastAsia="es-CO"/>
        </w:rPr>
      </w:pPr>
      <w:r w:rsidRPr="003C27C6">
        <w:rPr>
          <w:rFonts w:ascii="Arial" w:hAnsi="Arial" w:cs="Arial"/>
          <w:bCs/>
          <w:sz w:val="22"/>
          <w:szCs w:val="22"/>
          <w:lang w:val="es-MX"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en el inciso final del citado artículo 33 de la Ley 996 de 2005, en lo referente a: i) la defensa y seguridad del Estado; </w:t>
      </w:r>
      <w:proofErr w:type="spellStart"/>
      <w:r w:rsidRPr="003C27C6">
        <w:rPr>
          <w:rFonts w:ascii="Arial" w:hAnsi="Arial" w:cs="Arial"/>
          <w:bCs/>
          <w:sz w:val="22"/>
          <w:szCs w:val="22"/>
          <w:lang w:val="es-MX" w:eastAsia="x-none"/>
        </w:rPr>
        <w:t>ii</w:t>
      </w:r>
      <w:proofErr w:type="spellEnd"/>
      <w:r w:rsidRPr="003C27C6">
        <w:rPr>
          <w:rFonts w:ascii="Arial" w:hAnsi="Arial" w:cs="Arial"/>
          <w:bCs/>
          <w:sz w:val="22"/>
          <w:szCs w:val="22"/>
          <w:lang w:val="es-MX" w:eastAsia="x-none"/>
        </w:rPr>
        <w:t xml:space="preserve">) los contratos de crédito público; </w:t>
      </w:r>
      <w:proofErr w:type="spellStart"/>
      <w:r w:rsidRPr="003C27C6">
        <w:rPr>
          <w:rFonts w:ascii="Arial" w:hAnsi="Arial" w:cs="Arial"/>
          <w:bCs/>
          <w:sz w:val="22"/>
          <w:szCs w:val="22"/>
          <w:lang w:val="es-MX" w:eastAsia="x-none"/>
        </w:rPr>
        <w:t>iii</w:t>
      </w:r>
      <w:proofErr w:type="spellEnd"/>
      <w:r w:rsidRPr="003C27C6">
        <w:rPr>
          <w:rFonts w:ascii="Arial" w:hAnsi="Arial" w:cs="Arial"/>
          <w:bCs/>
          <w:sz w:val="22"/>
          <w:szCs w:val="22"/>
          <w:lang w:val="es-MX" w:eastAsia="x-none"/>
        </w:rPr>
        <w:t xml:space="preserve">) los requeridos para cubrir las emergencias educativas, sanitarias y desastres; </w:t>
      </w:r>
      <w:proofErr w:type="spellStart"/>
      <w:r w:rsidRPr="003C27C6">
        <w:rPr>
          <w:rFonts w:ascii="Arial" w:hAnsi="Arial" w:cs="Arial"/>
          <w:bCs/>
          <w:sz w:val="22"/>
          <w:szCs w:val="22"/>
          <w:lang w:val="es-MX" w:eastAsia="x-none"/>
        </w:rPr>
        <w:t>iv</w:t>
      </w:r>
      <w:proofErr w:type="spellEnd"/>
      <w:r w:rsidRPr="003C27C6">
        <w:rPr>
          <w:rFonts w:ascii="Arial" w:hAnsi="Arial" w:cs="Arial"/>
          <w:bCs/>
          <w:sz w:val="22"/>
          <w:szCs w:val="22"/>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3C27C6">
        <w:rPr>
          <w:rFonts w:ascii="Arial" w:hAnsi="Arial" w:cs="Arial"/>
          <w:bCs/>
          <w:sz w:val="22"/>
          <w:szCs w:val="22"/>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6ED87213" w14:textId="3AE520B7" w:rsidR="00646880" w:rsidRPr="003C27C6" w:rsidRDefault="00646880" w:rsidP="00646880">
      <w:pPr>
        <w:spacing w:after="120" w:line="276" w:lineRule="auto"/>
        <w:ind w:firstLine="709"/>
        <w:jc w:val="both"/>
        <w:rPr>
          <w:rFonts w:ascii="Arial" w:hAnsi="Arial" w:cs="Arial"/>
          <w:bCs/>
          <w:sz w:val="22"/>
          <w:szCs w:val="22"/>
          <w:lang w:val="es-MX" w:eastAsia="x-none"/>
        </w:rPr>
      </w:pPr>
      <w:r w:rsidRPr="003C27C6">
        <w:rPr>
          <w:rFonts w:ascii="Arial" w:hAnsi="Arial" w:cs="Arial"/>
          <w:bCs/>
          <w:sz w:val="22"/>
          <w:szCs w:val="22"/>
          <w:lang w:val="es-MX" w:eastAsia="x-none"/>
        </w:rPr>
        <w:t>En esta labor es importante tener en cuenta, como lo anotó la Corte Constitucional, en Sentencia C-1153 de noviembre 11 de 2005</w:t>
      </w:r>
      <w:r w:rsidR="00682AB5" w:rsidRPr="003C27C6">
        <w:rPr>
          <w:rFonts w:ascii="Arial" w:hAnsi="Arial" w:cs="Arial"/>
          <w:bCs/>
          <w:sz w:val="22"/>
          <w:szCs w:val="22"/>
          <w:lang w:val="es-MX" w:eastAsia="x-none"/>
        </w:rPr>
        <w:t>,</w:t>
      </w:r>
      <w:r w:rsidRPr="003C27C6">
        <w:rPr>
          <w:rFonts w:ascii="Arial" w:hAnsi="Arial" w:cs="Arial"/>
          <w:bCs/>
          <w:sz w:val="22"/>
          <w:szCs w:val="22"/>
          <w:lang w:val="es-MX" w:eastAsia="x-none"/>
        </w:rPr>
        <w:t xml:space="preserve"> </w:t>
      </w:r>
      <w:bookmarkStart w:id="35" w:name="_Hlk74309042"/>
      <w:r w:rsidRPr="003C27C6">
        <w:rPr>
          <w:rFonts w:ascii="Arial" w:hAnsi="Arial" w:cs="Arial"/>
          <w:bCs/>
          <w:sz w:val="22"/>
          <w:szCs w:val="22"/>
          <w:lang w:val="es-MX" w:eastAsia="x-none"/>
        </w:rPr>
        <w:t>que «</w:t>
      </w:r>
      <w:bookmarkEnd w:id="35"/>
      <w:r w:rsidRPr="003C27C6">
        <w:rPr>
          <w:rFonts w:ascii="Arial" w:hAnsi="Arial" w:cs="Arial"/>
          <w:bCs/>
          <w:sz w:val="22"/>
          <w:szCs w:val="22"/>
          <w:lang w:val="es-MX" w:eastAsia="x-none"/>
        </w:rPr>
        <w:t xml:space="preserve">si bien la limitación garantiza la igualdad de condiciones, también es necesario que tal limitación que pretende la igualdad </w:t>
      </w:r>
      <w:bookmarkStart w:id="36" w:name="_Hlk75768308"/>
      <w:r w:rsidRPr="003C27C6">
        <w:rPr>
          <w:rFonts w:ascii="Arial" w:hAnsi="Arial" w:cs="Arial"/>
          <w:bCs/>
          <w:sz w:val="22"/>
          <w:szCs w:val="22"/>
          <w:lang w:val="es-MX" w:eastAsia="x-none"/>
        </w:rPr>
        <w:t>no termine yendo en detrimento de intereses públicos, cuya garantía está en cabeza del ejecutivo, como son los inmersos en las excepciones para la prohibición de contratación</w:t>
      </w:r>
      <w:bookmarkStart w:id="37" w:name="_Hlk74309060"/>
      <w:r w:rsidRPr="003C27C6">
        <w:rPr>
          <w:rFonts w:ascii="Arial" w:hAnsi="Arial" w:cs="Arial"/>
          <w:bCs/>
          <w:sz w:val="22"/>
          <w:szCs w:val="22"/>
          <w:lang w:val="es-MX" w:eastAsia="x-none"/>
        </w:rPr>
        <w:t>»</w:t>
      </w:r>
      <w:bookmarkEnd w:id="37"/>
      <w:r w:rsidRPr="003C27C6">
        <w:rPr>
          <w:rFonts w:ascii="Arial" w:eastAsia="Calibri" w:hAnsi="Arial" w:cs="Arial"/>
          <w:sz w:val="22"/>
          <w:szCs w:val="22"/>
          <w:vertAlign w:val="superscript"/>
          <w:lang w:val="es-MX" w:eastAsia="en-US"/>
        </w:rPr>
        <w:footnoteReference w:id="33"/>
      </w:r>
      <w:r w:rsidRPr="003C27C6">
        <w:rPr>
          <w:rFonts w:ascii="Arial" w:hAnsi="Arial" w:cs="Arial"/>
          <w:bCs/>
          <w:sz w:val="22"/>
          <w:szCs w:val="22"/>
          <w:lang w:val="es-MX" w:eastAsia="x-none"/>
        </w:rPr>
        <w:t>. De ahí que la Corte hizo énfasis en que las excepciones a la restricción, establecidos en el inciso segundo del artículo 33,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End w:id="36"/>
    </w:p>
    <w:p w14:paraId="009D3E04" w14:textId="3C45E0D6" w:rsidR="00646880" w:rsidRPr="003C27C6" w:rsidRDefault="00646880" w:rsidP="00646880">
      <w:pPr>
        <w:spacing w:line="276" w:lineRule="auto"/>
        <w:ind w:firstLine="708"/>
        <w:jc w:val="both"/>
        <w:rPr>
          <w:rFonts w:ascii="Arial" w:hAnsi="Arial" w:cs="Arial"/>
          <w:bCs/>
          <w:sz w:val="22"/>
          <w:szCs w:val="22"/>
          <w:lang w:val="es-MX" w:eastAsia="x-none"/>
        </w:rPr>
      </w:pPr>
      <w:r w:rsidRPr="003C27C6">
        <w:rPr>
          <w:rFonts w:ascii="Arial" w:hAnsi="Arial" w:cs="Arial"/>
          <w:bCs/>
          <w:sz w:val="22"/>
          <w:szCs w:val="22"/>
          <w:lang w:val="es-MX" w:eastAsia="x-none"/>
        </w:rPr>
        <w:t>De conformidad con lo expuesto, se concluye que durante los cuatro (4) meses anteriores a la elección presidencial y hasta la realización de la elección en la segunda vuelta, queda prohibida la contratación directa por parte de todos los entes del Estado, entendido el término contratación directa como cualquier sistema de selección o procedimiento de contratación utilizado por las entidades estatales que no incluya la convocatoria pública en alguna de sus etapas, ni permita la participación de una pluralidad de oferentes. Lo anterior, sin perjuicio de las excepciones contempladas en el ordenamiento jurídico.</w:t>
      </w:r>
    </w:p>
    <w:p w14:paraId="5FCF5505" w14:textId="1FB79914" w:rsidR="00646880" w:rsidRPr="003C27C6" w:rsidRDefault="00646880" w:rsidP="00646880">
      <w:pPr>
        <w:spacing w:line="276" w:lineRule="auto"/>
        <w:jc w:val="both"/>
        <w:rPr>
          <w:rFonts w:ascii="Arial" w:hAnsi="Arial" w:cs="Arial"/>
          <w:bCs/>
          <w:sz w:val="22"/>
          <w:szCs w:val="22"/>
          <w:lang w:val="es-MX" w:eastAsia="x-none"/>
        </w:rPr>
      </w:pPr>
    </w:p>
    <w:p w14:paraId="53841154" w14:textId="39908A5E" w:rsidR="00F441BB" w:rsidRPr="003C27C6" w:rsidRDefault="00F441BB" w:rsidP="00F441BB">
      <w:pPr>
        <w:spacing w:line="276" w:lineRule="auto"/>
        <w:jc w:val="both"/>
        <w:rPr>
          <w:rFonts w:ascii="Arial" w:eastAsia="Arial" w:hAnsi="Arial" w:cs="Arial"/>
          <w:b/>
          <w:bCs/>
          <w:sz w:val="22"/>
          <w:lang w:val="es-ES" w:eastAsia="es-ES" w:bidi="es-ES"/>
        </w:rPr>
      </w:pPr>
      <w:r w:rsidRPr="003C27C6">
        <w:rPr>
          <w:rFonts w:ascii="Arial" w:eastAsia="Arial" w:hAnsi="Arial" w:cs="Arial"/>
          <w:b/>
          <w:bCs/>
          <w:sz w:val="22"/>
          <w:lang w:val="es-ES" w:eastAsia="es-ES" w:bidi="es-ES"/>
        </w:rPr>
        <w:t>2.</w:t>
      </w:r>
      <w:r w:rsidR="00A4124D" w:rsidRPr="003C27C6">
        <w:rPr>
          <w:rFonts w:ascii="Arial" w:eastAsia="Arial" w:hAnsi="Arial" w:cs="Arial"/>
          <w:b/>
          <w:bCs/>
          <w:sz w:val="22"/>
          <w:lang w:val="es-ES" w:eastAsia="es-ES" w:bidi="es-ES"/>
        </w:rPr>
        <w:t>5</w:t>
      </w:r>
      <w:r w:rsidRPr="003C27C6">
        <w:rPr>
          <w:rFonts w:ascii="Arial" w:eastAsia="Arial" w:hAnsi="Arial" w:cs="Arial"/>
          <w:b/>
          <w:bCs/>
          <w:sz w:val="22"/>
          <w:lang w:val="es-ES" w:eastAsia="es-ES" w:bidi="es-ES"/>
        </w:rPr>
        <w:t xml:space="preserve">. </w:t>
      </w:r>
      <w:r w:rsidR="00A6181B" w:rsidRPr="003C27C6">
        <w:rPr>
          <w:rFonts w:ascii="Arial" w:eastAsia="Arial" w:hAnsi="Arial" w:cs="Arial"/>
          <w:b/>
          <w:bCs/>
          <w:sz w:val="22"/>
          <w:lang w:val="es-ES" w:eastAsia="es-ES" w:bidi="es-ES"/>
        </w:rPr>
        <w:t>Convenios del Decreto 092 de 2017</w:t>
      </w:r>
      <w:r w:rsidRPr="003C27C6">
        <w:rPr>
          <w:rFonts w:ascii="Arial" w:eastAsia="Arial" w:hAnsi="Arial" w:cs="Arial"/>
          <w:b/>
          <w:bCs/>
          <w:sz w:val="22"/>
          <w:lang w:val="es-ES" w:eastAsia="es-ES" w:bidi="es-ES"/>
        </w:rPr>
        <w:t xml:space="preserve"> y restricciones de la Ley de Garantías</w:t>
      </w:r>
    </w:p>
    <w:p w14:paraId="0C999DBC" w14:textId="77777777" w:rsidR="00F441BB" w:rsidRPr="003C27C6" w:rsidRDefault="00F441BB" w:rsidP="00F441BB">
      <w:pPr>
        <w:spacing w:line="276" w:lineRule="auto"/>
        <w:jc w:val="both"/>
        <w:rPr>
          <w:rFonts w:ascii="Arial" w:eastAsia="Arial" w:hAnsi="Arial" w:cs="Arial"/>
          <w:b/>
          <w:bCs/>
          <w:sz w:val="22"/>
          <w:lang w:val="es-ES" w:eastAsia="es-ES" w:bidi="es-ES"/>
        </w:rPr>
      </w:pPr>
    </w:p>
    <w:p w14:paraId="7C44DD15" w14:textId="79190805" w:rsidR="00F441BB" w:rsidRPr="003C27C6" w:rsidRDefault="00F441BB" w:rsidP="00F441BB">
      <w:pPr>
        <w:pStyle w:val="Sinespaciado"/>
        <w:spacing w:line="276" w:lineRule="auto"/>
        <w:jc w:val="both"/>
        <w:rPr>
          <w:rFonts w:ascii="Arial" w:hAnsi="Arial" w:cs="Arial"/>
          <w:color w:val="000000" w:themeColor="text1"/>
          <w:sz w:val="22"/>
        </w:rPr>
      </w:pPr>
      <w:r w:rsidRPr="003C27C6">
        <w:rPr>
          <w:rFonts w:ascii="Arial" w:hAnsi="Arial" w:cs="Arial"/>
          <w:color w:val="000000" w:themeColor="text1"/>
          <w:sz w:val="22"/>
        </w:rPr>
        <w:t xml:space="preserve">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entidades privadas sin ánimo de lucro </w:t>
      </w:r>
      <w:r w:rsidR="0084466F" w:rsidRPr="003C27C6">
        <w:rPr>
          <w:rFonts w:ascii="Arial" w:hAnsi="Arial" w:cs="Arial"/>
          <w:color w:val="000000" w:themeColor="text1"/>
          <w:sz w:val="22"/>
        </w:rPr>
        <w:t>–</w:t>
      </w:r>
      <w:r w:rsidRPr="003C27C6">
        <w:rPr>
          <w:rFonts w:ascii="Arial" w:hAnsi="Arial" w:cs="Arial"/>
          <w:color w:val="000000" w:themeColor="text1"/>
          <w:sz w:val="22"/>
        </w:rPr>
        <w:t>ESAL</w:t>
      </w:r>
      <w:r w:rsidR="0084466F" w:rsidRPr="003C27C6">
        <w:rPr>
          <w:rFonts w:ascii="Arial" w:hAnsi="Arial" w:cs="Arial"/>
          <w:color w:val="000000" w:themeColor="text1"/>
          <w:sz w:val="22"/>
        </w:rPr>
        <w:t>–</w:t>
      </w:r>
      <w:r w:rsidRPr="003C27C6">
        <w:rPr>
          <w:rFonts w:ascii="Arial" w:hAnsi="Arial" w:cs="Arial"/>
          <w:color w:val="000000" w:themeColor="text1"/>
          <w:sz w:val="22"/>
        </w:rPr>
        <w:t xml:space="preserve"> con el fin de impulsar programas y actividades de interés público acordes con el plan nacional y los planes seccionales de desarrollo</w:t>
      </w:r>
      <w:r w:rsidRPr="003C27C6">
        <w:rPr>
          <w:rStyle w:val="Refdenotaalpie"/>
          <w:rFonts w:ascii="Arial" w:hAnsi="Arial" w:cs="Arial"/>
          <w:color w:val="000000" w:themeColor="text1"/>
          <w:sz w:val="22"/>
        </w:rPr>
        <w:footnoteReference w:id="34"/>
      </w:r>
      <w:r w:rsidRPr="003C27C6">
        <w:rPr>
          <w:rFonts w:ascii="Arial" w:hAnsi="Arial" w:cs="Arial"/>
          <w:color w:val="000000" w:themeColor="text1"/>
          <w:sz w:val="22"/>
        </w:rPr>
        <w:t xml:space="preserve">. </w:t>
      </w:r>
      <w:r w:rsidRPr="003C27C6">
        <w:rPr>
          <w:rFonts w:ascii="Arial" w:eastAsia="Calibri" w:hAnsi="Arial" w:cs="Arial"/>
          <w:color w:val="000000" w:themeColor="text1"/>
          <w:sz w:val="22"/>
        </w:rPr>
        <w:t>Por otra parte, la Ley 489 de 1998, en el artículo 96, permite a las entidades públicas en general, es decir, cualquiera sea su naturaleza y orden administrativo, asociarse con personas jurídicas particulares, mediante la celebración de convenios de asociación o la creación de personas jurídicas</w:t>
      </w:r>
      <w:r w:rsidRPr="003C27C6">
        <w:rPr>
          <w:rStyle w:val="Refdenotaalpie"/>
          <w:rFonts w:ascii="Arial" w:eastAsia="Calibri" w:hAnsi="Arial" w:cs="Arial"/>
          <w:color w:val="000000" w:themeColor="text1"/>
          <w:sz w:val="22"/>
        </w:rPr>
        <w:footnoteReference w:id="35"/>
      </w:r>
      <w:r w:rsidRPr="003C27C6">
        <w:rPr>
          <w:rFonts w:ascii="Arial" w:eastAsia="Calibri" w:hAnsi="Arial" w:cs="Arial"/>
          <w:color w:val="000000" w:themeColor="text1"/>
          <w:sz w:val="22"/>
        </w:rPr>
        <w:t>. Ambas figuras tienen como fin desarrollar conjuntamente actividades relacionadas con los cometidos y funciones legales asignadas a la entidad.</w:t>
      </w:r>
    </w:p>
    <w:p w14:paraId="78E259C6" w14:textId="113235B1" w:rsidR="00F441BB" w:rsidRPr="003C27C6" w:rsidRDefault="00F441BB" w:rsidP="00F441BB">
      <w:pPr>
        <w:spacing w:before="120" w:line="276" w:lineRule="auto"/>
        <w:ind w:firstLine="708"/>
        <w:jc w:val="both"/>
        <w:rPr>
          <w:rFonts w:ascii="Arial" w:eastAsia="Calibri" w:hAnsi="Arial" w:cs="Arial"/>
          <w:color w:val="000000" w:themeColor="text1"/>
          <w:sz w:val="22"/>
        </w:rPr>
      </w:pPr>
      <w:r w:rsidRPr="003C27C6">
        <w:rPr>
          <w:rFonts w:ascii="Arial" w:hAnsi="Arial" w:cs="Arial"/>
          <w:color w:val="000000" w:themeColor="text1"/>
          <w:sz w:val="22"/>
        </w:rPr>
        <w:t>En desarrollo del artículo 355 de la Constitución, el Gobierno Nacional expidió el Decreto 092 de 2017, q</w:t>
      </w:r>
      <w:r w:rsidRPr="003C27C6">
        <w:rPr>
          <w:rFonts w:ascii="Arial" w:eastAsia="Calibri" w:hAnsi="Arial" w:cs="Arial"/>
          <w:color w:val="000000" w:themeColor="text1"/>
          <w:sz w:val="22"/>
        </w:rPr>
        <w:t>ue dispone las reglas para las contrataciones que realicen las entidades estatales con las ESAL. El Decreto regula dos eventos: i) los contratos de colaboración o de interés público</w:t>
      </w:r>
      <w:r w:rsidR="008A4730" w:rsidRPr="003C27C6">
        <w:rPr>
          <w:rFonts w:ascii="Arial" w:eastAsia="Calibri" w:hAnsi="Arial" w:cs="Arial"/>
          <w:color w:val="000000" w:themeColor="text1"/>
          <w:sz w:val="22"/>
        </w:rPr>
        <w:t>,</w:t>
      </w:r>
      <w:r w:rsidRPr="003C27C6">
        <w:rPr>
          <w:rFonts w:ascii="Arial" w:eastAsia="Calibri" w:hAnsi="Arial" w:cs="Arial"/>
          <w:color w:val="000000" w:themeColor="text1"/>
          <w:sz w:val="22"/>
        </w:rPr>
        <w:t xml:space="preserve"> con el fin</w:t>
      </w:r>
      <w:r w:rsidR="0084466F" w:rsidRPr="003C27C6">
        <w:rPr>
          <w:rFonts w:ascii="Arial" w:eastAsia="Calibri" w:hAnsi="Arial" w:cs="Arial"/>
          <w:color w:val="000000" w:themeColor="text1"/>
          <w:sz w:val="22"/>
        </w:rPr>
        <w:t xml:space="preserve"> de</w:t>
      </w:r>
      <w:r w:rsidRPr="003C27C6">
        <w:rPr>
          <w:rFonts w:ascii="Arial" w:eastAsia="Calibri" w:hAnsi="Arial" w:cs="Arial"/>
          <w:color w:val="000000" w:themeColor="text1"/>
          <w:sz w:val="22"/>
        </w:rPr>
        <w:t xml:space="preserve"> impulsar programas y actividades de interés público de acuerdo con el Plan Nacional o los planes seccionales de desarrollo, en los términos del artículo 355 de la Constitución Política; y </w:t>
      </w:r>
      <w:proofErr w:type="spellStart"/>
      <w:r w:rsidRPr="003C27C6">
        <w:rPr>
          <w:rFonts w:ascii="Arial" w:eastAsia="Calibri" w:hAnsi="Arial" w:cs="Arial"/>
          <w:color w:val="000000" w:themeColor="text1"/>
          <w:sz w:val="22"/>
        </w:rPr>
        <w:t>ii</w:t>
      </w:r>
      <w:proofErr w:type="spellEnd"/>
      <w:r w:rsidRPr="003C27C6">
        <w:rPr>
          <w:rFonts w:ascii="Arial" w:eastAsia="Calibri" w:hAnsi="Arial" w:cs="Arial"/>
          <w:color w:val="000000" w:themeColor="text1"/>
          <w:sz w:val="22"/>
        </w:rPr>
        <w:t xml:space="preserve">) los convenios de asociación, para el desarrollo conjunto de actividades relacionadas con las funciones de las entidades estatales, en desarrollo del artículo 96 de la Ley 489 de 1998. Los primeros están regulados en el artículo 2 del Decreto 092 de 2017, mientras que los segundos en los artículos 5, 6, 7 y 8 </w:t>
      </w:r>
      <w:r w:rsidRPr="003C27C6">
        <w:rPr>
          <w:rFonts w:ascii="Arial" w:eastAsia="Calibri" w:hAnsi="Arial" w:cs="Arial"/>
          <w:i/>
          <w:iCs/>
          <w:color w:val="000000" w:themeColor="text1"/>
          <w:sz w:val="22"/>
        </w:rPr>
        <w:t>ibídem</w:t>
      </w:r>
      <w:r w:rsidRPr="003C27C6">
        <w:rPr>
          <w:rFonts w:ascii="Arial" w:eastAsia="Calibri" w:hAnsi="Arial" w:cs="Arial"/>
          <w:color w:val="000000" w:themeColor="text1"/>
          <w:sz w:val="22"/>
        </w:rPr>
        <w:t xml:space="preserve">. Es posible diferenciar, pues, los </w:t>
      </w:r>
      <w:r w:rsidRPr="003C27C6">
        <w:rPr>
          <w:rFonts w:ascii="Arial" w:eastAsia="Calibri" w:hAnsi="Arial" w:cs="Arial"/>
          <w:i/>
          <w:iCs/>
          <w:color w:val="000000" w:themeColor="text1"/>
          <w:sz w:val="22"/>
        </w:rPr>
        <w:t>convenios de asociación</w:t>
      </w:r>
      <w:r w:rsidRPr="003C27C6">
        <w:rPr>
          <w:rFonts w:ascii="Arial" w:eastAsia="Calibri" w:hAnsi="Arial" w:cs="Arial"/>
          <w:color w:val="000000" w:themeColor="text1"/>
          <w:sz w:val="22"/>
        </w:rPr>
        <w:t xml:space="preserve">, regulados en el artículo 5, de los </w:t>
      </w:r>
      <w:r w:rsidRPr="003C27C6">
        <w:rPr>
          <w:rFonts w:ascii="Arial" w:eastAsia="Calibri" w:hAnsi="Arial" w:cs="Arial"/>
          <w:i/>
          <w:iCs/>
          <w:color w:val="000000" w:themeColor="text1"/>
          <w:sz w:val="22"/>
        </w:rPr>
        <w:t>contratos de colaboración</w:t>
      </w:r>
      <w:r w:rsidRPr="003C27C6">
        <w:rPr>
          <w:rFonts w:ascii="Arial" w:eastAsia="Calibri" w:hAnsi="Arial" w:cs="Arial"/>
          <w:color w:val="000000" w:themeColor="text1"/>
          <w:sz w:val="22"/>
        </w:rPr>
        <w:t>, establecidos en el artículo 2 del Decreto 092 de 2017</w:t>
      </w:r>
      <w:r w:rsidRPr="003C27C6">
        <w:rPr>
          <w:rStyle w:val="Refdenotaalpie"/>
          <w:rFonts w:ascii="Arial" w:eastAsia="Calibri" w:hAnsi="Arial" w:cs="Arial"/>
          <w:color w:val="000000" w:themeColor="text1"/>
          <w:sz w:val="22"/>
        </w:rPr>
        <w:footnoteReference w:id="36"/>
      </w:r>
      <w:r w:rsidRPr="003C27C6">
        <w:rPr>
          <w:rFonts w:ascii="Arial" w:eastAsia="Calibri" w:hAnsi="Arial" w:cs="Arial"/>
          <w:color w:val="000000" w:themeColor="text1"/>
          <w:sz w:val="22"/>
        </w:rPr>
        <w:t xml:space="preserve">. </w:t>
      </w:r>
    </w:p>
    <w:p w14:paraId="1E9AF78B" w14:textId="026BEA5C" w:rsidR="00F441BB" w:rsidRPr="003C27C6" w:rsidRDefault="00F441BB" w:rsidP="00F441BB">
      <w:pPr>
        <w:spacing w:before="120" w:line="276" w:lineRule="auto"/>
        <w:ind w:firstLine="708"/>
        <w:jc w:val="both"/>
        <w:rPr>
          <w:rFonts w:ascii="Arial" w:eastAsia="Calibri" w:hAnsi="Arial" w:cs="Arial"/>
          <w:color w:val="000000" w:themeColor="text1"/>
          <w:sz w:val="22"/>
        </w:rPr>
      </w:pPr>
      <w:r w:rsidRPr="003C27C6">
        <w:rPr>
          <w:rFonts w:ascii="Arial" w:eastAsia="Calibri" w:hAnsi="Arial" w:cs="Arial"/>
          <w:color w:val="000000" w:themeColor="text1"/>
          <w:sz w:val="22"/>
        </w:rPr>
        <w:t xml:space="preserve">Los </w:t>
      </w:r>
      <w:r w:rsidRPr="003C27C6">
        <w:rPr>
          <w:rFonts w:ascii="Arial" w:eastAsia="Calibri" w:hAnsi="Arial" w:cs="Arial"/>
          <w:i/>
          <w:iCs/>
          <w:color w:val="000000" w:themeColor="text1"/>
          <w:sz w:val="22"/>
        </w:rPr>
        <w:t xml:space="preserve">contratos de colaboración </w:t>
      </w:r>
      <w:r w:rsidRPr="003C27C6">
        <w:rPr>
          <w:rFonts w:ascii="Arial" w:eastAsia="Calibri" w:hAnsi="Arial" w:cs="Arial"/>
          <w:color w:val="000000" w:themeColor="text1"/>
          <w:sz w:val="22"/>
        </w:rPr>
        <w:t>tienen como objeto promover acciones de fomento social en beneficio de los sectores más desprotegidos de la población,</w:t>
      </w:r>
      <w:r w:rsidR="000C7CC5" w:rsidRPr="003C27C6">
        <w:rPr>
          <w:rFonts w:ascii="Arial" w:eastAsia="Calibri" w:hAnsi="Arial" w:cs="Arial"/>
          <w:color w:val="000000" w:themeColor="text1"/>
          <w:sz w:val="22"/>
        </w:rPr>
        <w:t xml:space="preserve"> que resulten</w:t>
      </w:r>
      <w:r w:rsidRPr="003C27C6">
        <w:rPr>
          <w:rFonts w:ascii="Arial" w:eastAsia="Calibri" w:hAnsi="Arial" w:cs="Arial"/>
          <w:color w:val="000000" w:themeColor="text1"/>
          <w:sz w:val="22"/>
        </w:rPr>
        <w:t xml:space="preserve"> </w:t>
      </w:r>
      <w:r w:rsidR="0084466F" w:rsidRPr="003C27C6">
        <w:rPr>
          <w:rFonts w:ascii="Arial" w:eastAsia="Calibri" w:hAnsi="Arial" w:cs="Arial"/>
          <w:color w:val="000000" w:themeColor="text1"/>
          <w:sz w:val="22"/>
        </w:rPr>
        <w:t xml:space="preserve">acordes con </w:t>
      </w:r>
      <w:r w:rsidRPr="003C27C6">
        <w:rPr>
          <w:rFonts w:ascii="Arial" w:eastAsia="Calibri" w:hAnsi="Arial" w:cs="Arial"/>
          <w:color w:val="000000" w:themeColor="text1"/>
          <w:sz w:val="22"/>
        </w:rPr>
        <w:t xml:space="preserve">los planes de desarrollo, motivo por el cual no dan lugar a una contraprestación directa a favor de la entidad y tampoco a una relación conmutativa entre esta y la ESAL, toda vez que el beneficio real y directo lo reciben, en últimas, los terceros beneficiarios de este tipo de acciones de fomento. Para celebrar estos contratos, según lo establece el artículo 3 del Decreto 092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w:t>
      </w:r>
      <w:proofErr w:type="spellStart"/>
      <w:r w:rsidRPr="003C27C6">
        <w:rPr>
          <w:rFonts w:ascii="Arial" w:eastAsia="Calibri" w:hAnsi="Arial" w:cs="Arial"/>
          <w:color w:val="000000" w:themeColor="text1"/>
          <w:sz w:val="22"/>
        </w:rPr>
        <w:t>ii</w:t>
      </w:r>
      <w:proofErr w:type="spellEnd"/>
      <w:r w:rsidRPr="003C27C6">
        <w:rPr>
          <w:rFonts w:ascii="Arial" w:eastAsia="Calibri" w:hAnsi="Arial" w:cs="Arial"/>
          <w:color w:val="000000" w:themeColor="text1"/>
          <w:sz w:val="22"/>
        </w:rPr>
        <w:t>) que no haya una contraprestación directa a favor de la entidad estatal, es decir, que el programa o actividad a desarrollar esté dirigido al beneficio de la población en general, pues cuando se adquieren bienes o servicios o se ejecutan obras, en una relación conmutativa, las normas aplicables son las del Estatuto General de Contratación de la Administración Pública –en adelante EGCAP–. Solo cuando se reúnan estas condiciones, y se cuente con la autorización previa y escrita del representante legal de la entidad estatal, es procedente celebrar contratos de colaboración.</w:t>
      </w:r>
    </w:p>
    <w:p w14:paraId="3A1757A7" w14:textId="77777777" w:rsidR="00F441BB" w:rsidRPr="003C27C6" w:rsidRDefault="00F441BB" w:rsidP="00F441BB">
      <w:pPr>
        <w:pStyle w:val="Sinespaciado"/>
        <w:spacing w:before="120" w:line="276" w:lineRule="auto"/>
        <w:ind w:firstLine="708"/>
        <w:jc w:val="both"/>
        <w:rPr>
          <w:rFonts w:ascii="Arial" w:hAnsi="Arial" w:cs="Arial"/>
          <w:color w:val="000000" w:themeColor="text1"/>
          <w:sz w:val="22"/>
        </w:rPr>
      </w:pPr>
      <w:r w:rsidRPr="003C27C6">
        <w:rPr>
          <w:rFonts w:ascii="Arial" w:hAnsi="Arial" w:cs="Arial"/>
          <w:color w:val="000000" w:themeColor="text1"/>
          <w:sz w:val="22"/>
        </w:rPr>
        <w:t xml:space="preserve">De otro lado, los </w:t>
      </w:r>
      <w:r w:rsidRPr="003C27C6">
        <w:rPr>
          <w:rFonts w:ascii="Arial" w:hAnsi="Arial" w:cs="Arial"/>
          <w:i/>
          <w:iCs/>
          <w:color w:val="000000" w:themeColor="text1"/>
          <w:sz w:val="22"/>
        </w:rPr>
        <w:t>convenios de asociación</w:t>
      </w:r>
      <w:r w:rsidRPr="003C27C6">
        <w:rPr>
          <w:rFonts w:ascii="Arial" w:hAnsi="Arial" w:cs="Arial"/>
          <w:color w:val="000000" w:themeColor="text1"/>
          <w:sz w:val="22"/>
        </w:rPr>
        <w:t xml:space="preserve"> «[t]</w:t>
      </w:r>
      <w:proofErr w:type="spellStart"/>
      <w:r w:rsidRPr="003C27C6">
        <w:rPr>
          <w:rFonts w:ascii="Arial" w:hAnsi="Arial" w:cs="Arial"/>
          <w:color w:val="000000" w:themeColor="text1"/>
          <w:sz w:val="22"/>
        </w:rPr>
        <w:t>ienen</w:t>
      </w:r>
      <w:proofErr w:type="spellEnd"/>
      <w:r w:rsidRPr="003C27C6">
        <w:rPr>
          <w:rFonts w:ascii="Arial" w:hAnsi="Arial" w:cs="Arial"/>
          <w:color w:val="000000" w:themeColor="text1"/>
          <w:sz w:val="22"/>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3C27C6">
        <w:rPr>
          <w:rStyle w:val="Refdenotaalpie"/>
          <w:rFonts w:ascii="Arial" w:hAnsi="Arial" w:cs="Arial"/>
          <w:color w:val="000000" w:themeColor="text1"/>
          <w:sz w:val="22"/>
        </w:rPr>
        <w:footnoteReference w:id="37"/>
      </w:r>
      <w:r w:rsidRPr="003C27C6">
        <w:rPr>
          <w:rFonts w:ascii="Arial" w:hAnsi="Arial" w:cs="Arial"/>
          <w:color w:val="000000" w:themeColor="text1"/>
          <w:sz w:val="22"/>
        </w:rPr>
        <w:t xml:space="preserve">. En estos convenios no existe contraprestación o pago, sino aportes, los cuales están dirigidos, exclusivamente, a lograr la ejecución del convenio y no a remunerar la actividad o actuaciones del asociado. De todos modos, la entidad debe adelantar un proceso competitivo, salvo cuando la ESAL comprometa recursos en dinero para la ejecución de estas actividades, en una proporción no inferior al 30% del valor total del convenio. </w:t>
      </w:r>
    </w:p>
    <w:p w14:paraId="2C8A7870" w14:textId="0D1D136D" w:rsidR="00F441BB" w:rsidRPr="003C27C6" w:rsidRDefault="00F441BB" w:rsidP="00F441BB">
      <w:pPr>
        <w:pStyle w:val="Sinespaciado"/>
        <w:spacing w:before="120" w:line="276" w:lineRule="auto"/>
        <w:ind w:firstLine="708"/>
        <w:jc w:val="both"/>
        <w:rPr>
          <w:rFonts w:ascii="Arial" w:hAnsi="Arial" w:cs="Arial"/>
          <w:color w:val="000000" w:themeColor="text1"/>
          <w:sz w:val="22"/>
        </w:rPr>
      </w:pPr>
      <w:r w:rsidRPr="003C27C6">
        <w:rPr>
          <w:rFonts w:ascii="Arial" w:hAnsi="Arial" w:cs="Arial"/>
          <w:color w:val="000000" w:themeColor="text1"/>
          <w:sz w:val="22"/>
        </w:rPr>
        <w:t>De conformidad con el inciso segundo del artículo 96 de la Ley 489 de 1998, en estos convenios debe determinarse «con precisión su objeto, término, obligaciones de las partes, aportes, coordinación y todos aquellos aspectos que se consideren pertinentes»</w:t>
      </w:r>
      <w:r w:rsidR="00F647AF" w:rsidRPr="003C27C6">
        <w:rPr>
          <w:rFonts w:ascii="Arial" w:hAnsi="Arial" w:cs="Arial"/>
          <w:color w:val="000000" w:themeColor="text1"/>
          <w:sz w:val="22"/>
        </w:rPr>
        <w:t>. Dentro de estos</w:t>
      </w:r>
      <w:r w:rsidRPr="003C27C6">
        <w:rPr>
          <w:rFonts w:ascii="Arial" w:hAnsi="Arial" w:cs="Arial"/>
          <w:color w:val="000000" w:themeColor="text1"/>
          <w:sz w:val="22"/>
        </w:rPr>
        <w:t xml:space="preserve"> elementos </w:t>
      </w:r>
      <w:r w:rsidR="00F647AF" w:rsidRPr="003C27C6">
        <w:rPr>
          <w:rFonts w:ascii="Arial" w:hAnsi="Arial" w:cs="Arial"/>
          <w:color w:val="000000" w:themeColor="text1"/>
          <w:sz w:val="22"/>
        </w:rPr>
        <w:t>se</w:t>
      </w:r>
      <w:r w:rsidRPr="003C27C6">
        <w:rPr>
          <w:rFonts w:ascii="Arial" w:hAnsi="Arial" w:cs="Arial"/>
          <w:color w:val="000000" w:themeColor="text1"/>
          <w:sz w:val="22"/>
        </w:rPr>
        <w:t xml:space="preserve"> resalta la exigencia de aportes, que debe interpretarse en el sentido de que las ESAL deben realizar aportes a los convenios que suscriban, los cuales pueden ser en dinero, en porcentajes inferiores o superiores al 30%, o en especie, los cuales deben servir al desarrollo de los objetivos comunes de la asociación. </w:t>
      </w:r>
    </w:p>
    <w:p w14:paraId="573B2133" w14:textId="77777777" w:rsidR="00F441BB" w:rsidRPr="003C27C6" w:rsidRDefault="00F441BB" w:rsidP="00F441BB">
      <w:pPr>
        <w:pStyle w:val="Sinespaciado"/>
        <w:spacing w:before="120" w:line="276" w:lineRule="auto"/>
        <w:ind w:firstLine="708"/>
        <w:jc w:val="both"/>
        <w:rPr>
          <w:rFonts w:ascii="Arial" w:eastAsia="Calibri" w:hAnsi="Arial" w:cs="Arial"/>
          <w:color w:val="000000" w:themeColor="text1"/>
          <w:sz w:val="22"/>
        </w:rPr>
      </w:pPr>
      <w:r w:rsidRPr="003C27C6">
        <w:rPr>
          <w:rFonts w:ascii="Arial" w:hAnsi="Arial" w:cs="Arial"/>
          <w:color w:val="000000" w:themeColor="text1"/>
          <w:sz w:val="22"/>
        </w:rPr>
        <w:t>L</w:t>
      </w:r>
      <w:r w:rsidRPr="003C27C6">
        <w:rPr>
          <w:rFonts w:ascii="Arial" w:eastAsia="Calibri" w:hAnsi="Arial" w:cs="Arial"/>
          <w:color w:val="000000" w:themeColor="text1"/>
          <w:sz w:val="22"/>
        </w:rPr>
        <w:t>a normativa vigente no impide que varias entidades suscriban conjuntamente el convenio de asociación ni tampoco que dos o más ESAL pueden hacerlo a través de las figuras asociativas autorizadas por la ley, por ejemplo, la unión temporal o el consorcio</w:t>
      </w:r>
      <w:r w:rsidRPr="003C27C6">
        <w:rPr>
          <w:rStyle w:val="Refdenotaalpie"/>
          <w:rFonts w:ascii="Arial" w:eastAsia="Calibri" w:hAnsi="Arial" w:cs="Arial"/>
          <w:color w:val="000000" w:themeColor="text1"/>
          <w:sz w:val="22"/>
        </w:rPr>
        <w:footnoteReference w:id="38"/>
      </w:r>
      <w:r w:rsidRPr="003C27C6">
        <w:rPr>
          <w:rFonts w:ascii="Arial" w:eastAsia="Calibri" w:hAnsi="Arial" w:cs="Arial"/>
          <w:color w:val="000000" w:themeColor="text1"/>
          <w:sz w:val="22"/>
        </w:rPr>
        <w:t xml:space="preserve">.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w:t>
      </w:r>
    </w:p>
    <w:p w14:paraId="12758A6E" w14:textId="36A1007F" w:rsidR="00F441BB" w:rsidRPr="003C27C6" w:rsidRDefault="00F441BB" w:rsidP="00F441BB">
      <w:pPr>
        <w:pStyle w:val="Sinespaciado"/>
        <w:spacing w:before="120" w:line="276" w:lineRule="auto"/>
        <w:ind w:firstLine="708"/>
        <w:jc w:val="both"/>
        <w:rPr>
          <w:rFonts w:ascii="Arial" w:eastAsia="Calibri" w:hAnsi="Arial" w:cs="Arial"/>
          <w:color w:val="000000" w:themeColor="text1"/>
          <w:sz w:val="22"/>
        </w:rPr>
      </w:pPr>
      <w:r w:rsidRPr="003C27C6">
        <w:rPr>
          <w:rFonts w:ascii="Arial" w:eastAsia="Calibri" w:hAnsi="Arial" w:cs="Arial"/>
          <w:color w:val="000000" w:themeColor="text1"/>
          <w:sz w:val="22"/>
        </w:rPr>
        <w:t xml:space="preserve">Igualmente, considerando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w:t>
      </w:r>
      <w:r w:rsidR="00D43689" w:rsidRPr="003C27C6">
        <w:rPr>
          <w:rFonts w:ascii="Arial" w:eastAsia="Calibri" w:hAnsi="Arial" w:cs="Arial"/>
          <w:color w:val="000000" w:themeColor="text1"/>
          <w:sz w:val="22"/>
        </w:rPr>
        <w:t>la</w:t>
      </w:r>
      <w:r w:rsidRPr="003C27C6">
        <w:rPr>
          <w:rFonts w:ascii="Arial" w:eastAsia="Calibri" w:hAnsi="Arial" w:cs="Arial"/>
          <w:color w:val="000000" w:themeColor="text1"/>
          <w:sz w:val="22"/>
        </w:rPr>
        <w:t xml:space="preserve"> ESAL, aporte al menos el treinta por ciento del valor del convenio para celebrarlo directamente, ya que de lo contrario deberá adelantarse un proceso competitivo. Además, en atención al inciso 2 del artículo 5 del Decreto 092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r w:rsidRPr="003C27C6">
        <w:rPr>
          <w:rStyle w:val="Refdenotaalpie"/>
          <w:rFonts w:ascii="Arial" w:eastAsia="Calibri" w:hAnsi="Arial" w:cs="Arial"/>
          <w:color w:val="000000" w:themeColor="text1"/>
          <w:sz w:val="22"/>
        </w:rPr>
        <w:footnoteReference w:id="39"/>
      </w:r>
      <w:r w:rsidRPr="003C27C6">
        <w:rPr>
          <w:rFonts w:ascii="Arial" w:eastAsia="Calibri" w:hAnsi="Arial" w:cs="Arial"/>
          <w:color w:val="000000" w:themeColor="text1"/>
          <w:sz w:val="22"/>
        </w:rPr>
        <w:t>.</w:t>
      </w:r>
    </w:p>
    <w:p w14:paraId="424C5CD3" w14:textId="363AA68A" w:rsidR="00F441BB" w:rsidRPr="003C27C6" w:rsidRDefault="00F441BB" w:rsidP="00F441BB">
      <w:pPr>
        <w:spacing w:before="120" w:line="276" w:lineRule="auto"/>
        <w:ind w:firstLine="708"/>
        <w:jc w:val="both"/>
        <w:rPr>
          <w:rFonts w:ascii="Arial" w:hAnsi="Arial" w:cs="Arial"/>
          <w:color w:val="000000" w:themeColor="text1"/>
          <w:sz w:val="22"/>
        </w:rPr>
      </w:pPr>
      <w:r w:rsidRPr="003C27C6">
        <w:rPr>
          <w:rFonts w:ascii="Arial" w:hAnsi="Arial" w:cs="Arial"/>
          <w:color w:val="000000" w:themeColor="text1"/>
          <w:sz w:val="22"/>
        </w:rPr>
        <w:t xml:space="preserve">La noción «seleccionar de forma objetiva», contenida en la disposición </w:t>
      </w:r>
      <w:r w:rsidRPr="003C27C6">
        <w:rPr>
          <w:rFonts w:ascii="Arial" w:hAnsi="Arial" w:cs="Arial"/>
          <w:i/>
          <w:iCs/>
          <w:color w:val="000000" w:themeColor="text1"/>
          <w:sz w:val="22"/>
        </w:rPr>
        <w:t xml:space="preserve">sub examine </w:t>
      </w:r>
      <w:r w:rsidRPr="003C27C6">
        <w:rPr>
          <w:rFonts w:ascii="Arial" w:hAnsi="Arial" w:cs="Arial"/>
          <w:color w:val="000000" w:themeColor="text1"/>
          <w:sz w:val="22"/>
        </w:rPr>
        <w:t xml:space="preserve">no puede ser entendida como una remisión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lo que los criterios que permitan una selección objetiva deben definirse en términos de la obtención de los objetivos del convenio de asociación. Sin perjuicio de lo anterior, la entidad puede decidir </w:t>
      </w:r>
      <w:r w:rsidR="00D43689" w:rsidRPr="003C27C6">
        <w:rPr>
          <w:rFonts w:ascii="Arial" w:hAnsi="Arial" w:cs="Arial"/>
          <w:color w:val="000000" w:themeColor="text1"/>
          <w:sz w:val="22"/>
        </w:rPr>
        <w:t xml:space="preserve">discrecionalmente </w:t>
      </w:r>
      <w:r w:rsidRPr="003C27C6">
        <w:rPr>
          <w:rFonts w:ascii="Arial" w:hAnsi="Arial" w:cs="Arial"/>
          <w:color w:val="000000" w:themeColor="text1"/>
          <w:sz w:val="22"/>
        </w:rPr>
        <w:t>acudir a los procesos de selección de contratistas que establece el EGCAP o, incluso, al trámite que regula el inciso 2 del artículo 2 del Decreto 092 de 2017.</w:t>
      </w:r>
    </w:p>
    <w:p w14:paraId="0691F3B5" w14:textId="77777777" w:rsidR="00F441BB" w:rsidRPr="003C27C6" w:rsidRDefault="00F441BB" w:rsidP="00F441BB">
      <w:pPr>
        <w:spacing w:before="120" w:after="120" w:line="276" w:lineRule="auto"/>
        <w:ind w:firstLine="708"/>
        <w:jc w:val="both"/>
        <w:textAlignment w:val="baseline"/>
        <w:rPr>
          <w:rFonts w:ascii="Arial" w:hAnsi="Arial" w:cs="Arial"/>
          <w:color w:val="000000" w:themeColor="text1"/>
          <w:sz w:val="22"/>
          <w:szCs w:val="22"/>
        </w:rPr>
      </w:pPr>
      <w:r w:rsidRPr="003C27C6">
        <w:rPr>
          <w:rFonts w:ascii="Arial" w:eastAsia="Arial" w:hAnsi="Arial" w:cs="Arial"/>
          <w:color w:val="000000" w:themeColor="text1"/>
          <w:sz w:val="22"/>
          <w:szCs w:val="22"/>
          <w:lang w:val="es-ES" w:eastAsia="en-US"/>
        </w:rPr>
        <w:t>En suma, las entidades estatales son autónomas en la configuración del proceso competitivo en desarrollo del artículo 5 del Decreto 092 de 2017. En todo caso, el proceso competitivo que definan las entidades estatales para sus convenios de asociación debe garantizar la libre concurrencia y la pluralidad de interesados y la comparación objetiva de las ofertas. Este procedimiento puede ser análogo a otros donde existe competencia, como la licitación pública</w:t>
      </w:r>
      <w:r w:rsidRPr="003C27C6">
        <w:rPr>
          <w:rFonts w:ascii="Arial" w:hAnsi="Arial" w:cs="Arial"/>
          <w:color w:val="000000" w:themeColor="text1"/>
          <w:sz w:val="22"/>
          <w:szCs w:val="22"/>
          <w:lang w:val="es-MX"/>
        </w:rPr>
        <w:t>.</w:t>
      </w:r>
      <w:r w:rsidRPr="003C27C6">
        <w:rPr>
          <w:rFonts w:ascii="Arial" w:hAnsi="Arial" w:cs="Arial"/>
          <w:color w:val="000000" w:themeColor="text1"/>
          <w:sz w:val="22"/>
          <w:szCs w:val="22"/>
        </w:rPr>
        <w:t> </w:t>
      </w:r>
    </w:p>
    <w:p w14:paraId="1C2C388A" w14:textId="599CDA7B" w:rsidR="004A0DF7" w:rsidRPr="003C27C6" w:rsidRDefault="000A4704" w:rsidP="004A0DF7">
      <w:pPr>
        <w:pStyle w:val="paragraph"/>
        <w:spacing w:before="0" w:beforeAutospacing="0" w:after="120" w:afterAutospacing="0" w:line="276" w:lineRule="auto"/>
        <w:ind w:firstLine="705"/>
        <w:jc w:val="both"/>
        <w:textAlignment w:val="baseline"/>
        <w:rPr>
          <w:rFonts w:ascii="Segoe UI" w:hAnsi="Segoe UI" w:cs="Segoe UI"/>
          <w:sz w:val="18"/>
          <w:szCs w:val="18"/>
        </w:rPr>
      </w:pPr>
      <w:r w:rsidRPr="003C27C6">
        <w:rPr>
          <w:rFonts w:ascii="Arial" w:hAnsi="Arial" w:cs="Arial"/>
          <w:color w:val="000000" w:themeColor="text1"/>
          <w:sz w:val="22"/>
          <w:szCs w:val="22"/>
        </w:rPr>
        <w:t>De otro lado</w:t>
      </w:r>
      <w:r w:rsidR="00F441BB" w:rsidRPr="003C27C6">
        <w:rPr>
          <w:rFonts w:ascii="Arial" w:hAnsi="Arial" w:cs="Arial"/>
          <w:color w:val="000000" w:themeColor="text1"/>
          <w:sz w:val="22"/>
          <w:szCs w:val="22"/>
        </w:rPr>
        <w:t xml:space="preserve">, </w:t>
      </w:r>
      <w:r w:rsidRPr="003C27C6">
        <w:rPr>
          <w:rFonts w:ascii="Arial" w:hAnsi="Arial" w:cs="Arial"/>
          <w:color w:val="000000" w:themeColor="text1"/>
          <w:sz w:val="22"/>
          <w:szCs w:val="22"/>
        </w:rPr>
        <w:t xml:space="preserve">es importante destacar que </w:t>
      </w:r>
      <w:r w:rsidR="00F441BB" w:rsidRPr="003C27C6">
        <w:rPr>
          <w:rFonts w:ascii="Arial" w:hAnsi="Arial" w:cs="Arial"/>
          <w:color w:val="000000" w:themeColor="text1"/>
          <w:sz w:val="22"/>
          <w:szCs w:val="22"/>
        </w:rPr>
        <w:t>e</w:t>
      </w:r>
      <w:r w:rsidR="00F441BB" w:rsidRPr="003C27C6">
        <w:rPr>
          <w:rFonts w:ascii="Arial" w:eastAsia="Calibri" w:hAnsi="Arial" w:cs="Arial"/>
          <w:color w:val="000000" w:themeColor="text1"/>
          <w:sz w:val="22"/>
        </w:rPr>
        <w:t>l Consejo de Estado, en el Auto del 6 de agosto de 2019 de la Sección Tercera, Subsección A –</w:t>
      </w:r>
      <w:proofErr w:type="spellStart"/>
      <w:r w:rsidR="00F441BB" w:rsidRPr="003C27C6">
        <w:rPr>
          <w:rFonts w:ascii="Arial" w:eastAsia="Calibri" w:hAnsi="Arial" w:cs="Arial"/>
          <w:color w:val="000000" w:themeColor="text1"/>
          <w:sz w:val="22"/>
        </w:rPr>
        <w:t>Exp</w:t>
      </w:r>
      <w:proofErr w:type="spellEnd"/>
      <w:r w:rsidR="00F441BB" w:rsidRPr="003C27C6">
        <w:rPr>
          <w:rFonts w:ascii="Arial" w:eastAsia="Calibri" w:hAnsi="Arial" w:cs="Arial"/>
          <w:color w:val="000000" w:themeColor="text1"/>
          <w:sz w:val="22"/>
        </w:rPr>
        <w:t>. 62.003–, estudió la solicitud de suspensión provisional</w:t>
      </w:r>
      <w:r w:rsidR="00F441BB" w:rsidRPr="003C27C6">
        <w:rPr>
          <w:rStyle w:val="Refdenotaalpie"/>
          <w:rFonts w:ascii="Arial" w:eastAsia="Calibri" w:hAnsi="Arial" w:cs="Arial"/>
          <w:color w:val="000000" w:themeColor="text1"/>
          <w:sz w:val="22"/>
        </w:rPr>
        <w:footnoteReference w:id="40"/>
      </w:r>
      <w:r w:rsidR="00F441BB" w:rsidRPr="003C27C6">
        <w:rPr>
          <w:rFonts w:ascii="Arial" w:eastAsia="Calibri" w:hAnsi="Arial" w:cs="Arial"/>
          <w:color w:val="000000" w:themeColor="text1"/>
          <w:sz w:val="22"/>
        </w:rPr>
        <w:t xml:space="preserve"> del inciso 2 del artículo 1, literales a y c del artículo 2, inciso 5 del artículo 2, inciso 2 del artículo 3, inciso final del artículo 4 y artículo 5 del Decreto 092 de 2017. </w:t>
      </w:r>
    </w:p>
    <w:p w14:paraId="7A779C46" w14:textId="7176926C" w:rsidR="004A0DF7" w:rsidRPr="003C27C6" w:rsidRDefault="004A0DF7" w:rsidP="004A0DF7">
      <w:pPr>
        <w:pStyle w:val="paragraph"/>
        <w:spacing w:before="0" w:beforeAutospacing="0" w:after="120" w:afterAutospacing="0" w:line="276" w:lineRule="auto"/>
        <w:ind w:firstLine="705"/>
        <w:jc w:val="both"/>
        <w:textAlignment w:val="baseline"/>
        <w:rPr>
          <w:rFonts w:ascii="Segoe UI" w:hAnsi="Segoe UI" w:cs="Segoe UI"/>
          <w:sz w:val="18"/>
          <w:szCs w:val="18"/>
        </w:rPr>
      </w:pPr>
      <w:r w:rsidRPr="003C27C6">
        <w:rPr>
          <w:rStyle w:val="normaltextrun"/>
          <w:rFonts w:ascii="Arial" w:hAnsi="Arial" w:cs="Arial"/>
          <w:sz w:val="22"/>
          <w:szCs w:val="22"/>
          <w:lang w:val="es-ES"/>
        </w:rPr>
        <w:t>Para nuestro an</w:t>
      </w:r>
      <w:r w:rsidR="00254083" w:rsidRPr="003C27C6">
        <w:rPr>
          <w:rStyle w:val="normaltextrun"/>
          <w:rFonts w:ascii="Arial" w:hAnsi="Arial" w:cs="Arial"/>
          <w:sz w:val="22"/>
          <w:szCs w:val="22"/>
          <w:lang w:val="es-ES"/>
        </w:rPr>
        <w:t>álisis</w:t>
      </w:r>
      <w:r w:rsidRPr="003C27C6">
        <w:rPr>
          <w:rStyle w:val="normaltextrun"/>
          <w:rFonts w:ascii="Arial" w:hAnsi="Arial" w:cs="Arial"/>
          <w:sz w:val="22"/>
          <w:szCs w:val="22"/>
          <w:lang w:val="es-ES"/>
        </w:rPr>
        <w:t xml:space="preserve">, </w:t>
      </w:r>
      <w:r w:rsidR="000A4704" w:rsidRPr="003C27C6">
        <w:rPr>
          <w:rStyle w:val="normaltextrun"/>
          <w:rFonts w:ascii="Arial" w:hAnsi="Arial" w:cs="Arial"/>
          <w:sz w:val="22"/>
          <w:szCs w:val="22"/>
          <w:lang w:val="es-ES"/>
        </w:rPr>
        <w:t>es relevante tener</w:t>
      </w:r>
      <w:r w:rsidRPr="003C27C6">
        <w:rPr>
          <w:rStyle w:val="normaltextrun"/>
          <w:rFonts w:ascii="Arial" w:hAnsi="Arial" w:cs="Arial"/>
          <w:sz w:val="22"/>
          <w:szCs w:val="22"/>
          <w:lang w:val="es-ES"/>
        </w:rPr>
        <w:t xml:space="preserve"> en cuenta el examen que realizó el Consejo de Estado sobre el literal c) y el inciso 5 del artículo 2 del Decreto</w:t>
      </w:r>
      <w:r w:rsidRPr="003C27C6">
        <w:rPr>
          <w:rStyle w:val="superscript"/>
          <w:rFonts w:ascii="Arial" w:hAnsi="Arial" w:cs="Arial"/>
          <w:sz w:val="22"/>
          <w:szCs w:val="22"/>
          <w:vertAlign w:val="superscript"/>
          <w:lang w:val="es-ES"/>
        </w:rPr>
        <w:t>11</w:t>
      </w:r>
      <w:r w:rsidRPr="003C27C6">
        <w:rPr>
          <w:rStyle w:val="normaltextrun"/>
          <w:rFonts w:ascii="Arial" w:hAnsi="Arial" w:cs="Arial"/>
          <w:sz w:val="22"/>
          <w:szCs w:val="22"/>
          <w:lang w:val="es-ES"/>
        </w:rPr>
        <w:t>, señalando que contraría la norma constitucional al condicionar que los contratos solo se pueden celebrar cuando no exista oferta en el mercado, sometiendo su celebración a que, de existir oferta, la contratación con las entidades sin ánimo de lucro represente la optimización de los recursos públicos en términos de eficiencia, eficacia, economía y manejo del riesgo, toda vez que se desconocería la naturaleza de las entidades sin ánimo de lucro que implica que ellas no participan en el mercado de bienes y servicios de la misma forma que las demás sociedades. En este sentido, el Consejo de Estado manifestó:</w:t>
      </w:r>
    </w:p>
    <w:p w14:paraId="4A900F51" w14:textId="223D1A7F" w:rsidR="004A0DF7" w:rsidRPr="003C27C6" w:rsidRDefault="004A0DF7" w:rsidP="004A0DF7">
      <w:pPr>
        <w:pStyle w:val="paragraph"/>
        <w:spacing w:before="0" w:beforeAutospacing="0" w:after="120" w:afterAutospacing="0"/>
        <w:ind w:left="705" w:right="705"/>
        <w:jc w:val="both"/>
        <w:textAlignment w:val="baseline"/>
        <w:rPr>
          <w:rFonts w:ascii="Segoe UI" w:hAnsi="Segoe UI" w:cs="Segoe UI"/>
          <w:sz w:val="18"/>
          <w:szCs w:val="18"/>
        </w:rPr>
      </w:pPr>
      <w:r w:rsidRPr="003C27C6">
        <w:rPr>
          <w:rStyle w:val="normaltextrun"/>
          <w:rFonts w:ascii="Arial" w:hAnsi="Arial" w:cs="Arial"/>
          <w:sz w:val="21"/>
          <w:szCs w:val="21"/>
          <w:lang w:val="es-ES"/>
        </w:rPr>
        <w:t>El propósito de garantizar la libre competencia en el mercado –como se advierte de la lectura del acto acusado– no se ajusta a la finalidad de la norma constitucional en cita, pues desconoce que las entidades sin ánimo de lucro no participan en el mercado de bienes y servicios como lo hacen las demás y, por la misma razón, no se les pueden aplicar las reglas de selección contenidas en el Estatuto General de la Contratación Pública. Las entidades a las cuales la norma constitucional busca apoyar son entidades que (i) no tienen ánimo de lucro y (</w:t>
      </w:r>
      <w:proofErr w:type="spellStart"/>
      <w:r w:rsidRPr="003C27C6">
        <w:rPr>
          <w:rStyle w:val="normaltextrun"/>
          <w:rFonts w:ascii="Arial" w:hAnsi="Arial" w:cs="Arial"/>
          <w:sz w:val="21"/>
          <w:szCs w:val="21"/>
          <w:lang w:val="es-ES"/>
        </w:rPr>
        <w:t>ii</w:t>
      </w:r>
      <w:proofErr w:type="spellEnd"/>
      <w:r w:rsidRPr="003C27C6">
        <w:rPr>
          <w:rStyle w:val="normaltextrun"/>
          <w:rFonts w:ascii="Arial" w:hAnsi="Arial" w:cs="Arial"/>
          <w:sz w:val="21"/>
          <w:szCs w:val="21"/>
          <w:lang w:val="es-ES"/>
        </w:rPr>
        <w:t>) desarrollan programas y actividades de interés público con reconocida idoneidad. No son, entonces, entidades creadas para competir en el mercado.</w:t>
      </w:r>
      <w:r w:rsidRPr="003C27C6">
        <w:rPr>
          <w:rStyle w:val="eop"/>
          <w:rFonts w:ascii="Arial" w:hAnsi="Arial" w:cs="Arial"/>
          <w:sz w:val="21"/>
          <w:szCs w:val="21"/>
        </w:rPr>
        <w:t> </w:t>
      </w:r>
    </w:p>
    <w:p w14:paraId="13A880AD" w14:textId="77777777" w:rsidR="004A0DF7" w:rsidRPr="003C27C6" w:rsidRDefault="004A0DF7" w:rsidP="004A0DF7">
      <w:pPr>
        <w:pStyle w:val="paragraph"/>
        <w:spacing w:before="0" w:beforeAutospacing="0" w:after="120" w:afterAutospacing="0" w:line="276" w:lineRule="auto"/>
        <w:ind w:firstLine="705"/>
        <w:jc w:val="both"/>
        <w:textAlignment w:val="baseline"/>
        <w:rPr>
          <w:rFonts w:ascii="Segoe UI" w:hAnsi="Segoe UI" w:cs="Segoe UI"/>
          <w:sz w:val="18"/>
          <w:szCs w:val="18"/>
        </w:rPr>
      </w:pPr>
      <w:r w:rsidRPr="003C27C6">
        <w:rPr>
          <w:rStyle w:val="normaltextrun"/>
          <w:rFonts w:ascii="Arial" w:hAnsi="Arial" w:cs="Arial"/>
          <w:sz w:val="22"/>
          <w:szCs w:val="22"/>
          <w:lang w:val="es-ES"/>
        </w:rPr>
        <w:t>Así las cosas, se suspendió provisionalmente el literal c) y el inciso 5º del artículo 2 del Decreto 92 de 2017, razón por la cual los procesos de contratación con entidades privadas sin ánimo de lucro no quedan condicionados a la inexistencia de oferta en el mercado de bienes y servicios, ni a que la ESAL garantice la mejor oferta y la optimización de los recursos públicos, pues estas condiciones son propias de la contratación del Estatuto General de Contratación de la Administración Pública y no del régimen jurídico especial que establece el artículo 355 de la Constitución Política.</w:t>
      </w:r>
      <w:r w:rsidRPr="003C27C6">
        <w:rPr>
          <w:rStyle w:val="eop"/>
          <w:rFonts w:ascii="Arial" w:hAnsi="Arial" w:cs="Arial"/>
          <w:sz w:val="22"/>
          <w:szCs w:val="22"/>
        </w:rPr>
        <w:t> </w:t>
      </w:r>
    </w:p>
    <w:p w14:paraId="425D360E" w14:textId="6CDC2F18" w:rsidR="004A0DF7" w:rsidRPr="003C27C6" w:rsidRDefault="00254083" w:rsidP="004A0DF7">
      <w:pPr>
        <w:pStyle w:val="paragraph"/>
        <w:spacing w:before="0" w:beforeAutospacing="0" w:after="120" w:afterAutospacing="0" w:line="276" w:lineRule="auto"/>
        <w:ind w:firstLine="705"/>
        <w:jc w:val="both"/>
        <w:textAlignment w:val="baseline"/>
        <w:rPr>
          <w:rFonts w:ascii="Segoe UI" w:hAnsi="Segoe UI" w:cs="Segoe UI"/>
          <w:sz w:val="18"/>
          <w:szCs w:val="18"/>
        </w:rPr>
      </w:pPr>
      <w:r w:rsidRPr="003C27C6">
        <w:rPr>
          <w:rStyle w:val="normaltextrun"/>
          <w:rFonts w:ascii="Arial" w:hAnsi="Arial" w:cs="Arial"/>
          <w:sz w:val="22"/>
          <w:szCs w:val="22"/>
        </w:rPr>
        <w:t xml:space="preserve">Otra norma que </w:t>
      </w:r>
      <w:r w:rsidR="004A0DF7" w:rsidRPr="003C27C6">
        <w:rPr>
          <w:rStyle w:val="normaltextrun"/>
          <w:rFonts w:ascii="Arial" w:hAnsi="Arial" w:cs="Arial"/>
          <w:sz w:val="22"/>
          <w:szCs w:val="22"/>
          <w:lang w:val="es-ES"/>
        </w:rPr>
        <w:t xml:space="preserve">estudió el Consejo de Estado fue el inciso final del artículo 4 del Decreto 92 de 2017, el cual </w:t>
      </w:r>
      <w:r w:rsidRPr="003C27C6">
        <w:rPr>
          <w:rStyle w:val="normaltextrun"/>
          <w:rFonts w:ascii="Arial" w:hAnsi="Arial" w:cs="Arial"/>
          <w:sz w:val="22"/>
          <w:szCs w:val="22"/>
          <w:lang w:val="es-ES"/>
        </w:rPr>
        <w:t xml:space="preserve">se refiere </w:t>
      </w:r>
      <w:r w:rsidR="004A0DF7" w:rsidRPr="003C27C6">
        <w:rPr>
          <w:rStyle w:val="normaltextrun"/>
          <w:rFonts w:ascii="Arial" w:hAnsi="Arial" w:cs="Arial"/>
          <w:sz w:val="22"/>
          <w:szCs w:val="22"/>
          <w:lang w:val="es-ES"/>
        </w:rPr>
        <w:t>a la posibilidad de contratar directamente cuando el objeto del contrato esté relacionado con actividades artísticas, culturales, deportivas y de promoción de la diversidad étnica colombiana, que únicamente pueden ejecutar determinadas personas jurídicas o naturales</w:t>
      </w:r>
      <w:r w:rsidR="004A0DF7" w:rsidRPr="003C27C6">
        <w:rPr>
          <w:rStyle w:val="superscript"/>
          <w:rFonts w:ascii="Arial" w:hAnsi="Arial" w:cs="Arial"/>
          <w:sz w:val="22"/>
          <w:szCs w:val="22"/>
          <w:vertAlign w:val="superscript"/>
          <w:lang w:val="es-ES"/>
        </w:rPr>
        <w:t>12</w:t>
      </w:r>
      <w:r w:rsidR="004A0DF7" w:rsidRPr="003C27C6">
        <w:rPr>
          <w:rStyle w:val="normaltextrun"/>
          <w:rFonts w:ascii="Arial" w:hAnsi="Arial" w:cs="Arial"/>
          <w:sz w:val="22"/>
          <w:szCs w:val="22"/>
          <w:lang w:val="es-ES"/>
        </w:rPr>
        <w:t xml:space="preserve">. Para </w:t>
      </w:r>
      <w:r w:rsidR="000A4704" w:rsidRPr="003C27C6">
        <w:rPr>
          <w:rStyle w:val="normaltextrun"/>
          <w:rFonts w:ascii="Arial" w:hAnsi="Arial" w:cs="Arial"/>
          <w:sz w:val="22"/>
          <w:szCs w:val="22"/>
          <w:lang w:val="es-ES"/>
        </w:rPr>
        <w:t>el Consejo de Estado</w:t>
      </w:r>
      <w:r w:rsidR="004A0DF7" w:rsidRPr="003C27C6">
        <w:rPr>
          <w:rStyle w:val="normaltextrun"/>
          <w:rFonts w:ascii="Arial" w:hAnsi="Arial" w:cs="Arial"/>
          <w:sz w:val="22"/>
          <w:szCs w:val="22"/>
          <w:lang w:val="es-ES"/>
        </w:rPr>
        <w:t>, esta norma vulnera el principio de igualdad, por establecer un privilegio para determinadas personas jurídicas o naturales que ejecutaran únicamente las actividades allí previstas, contratándolas sin realizar un proceso competitivo. Por consiguiente, se suspendió provisionalmente el inciso final del artículo 4, por violar el principio de igualdad, por lo tanto, la contratación para la ejecución de actividades y programas de interés público debe realizarse a través de un proceso competitivo para escoger a la entidad sin ánimo de lucro.</w:t>
      </w:r>
      <w:r w:rsidR="004A0DF7" w:rsidRPr="003C27C6">
        <w:rPr>
          <w:rStyle w:val="eop"/>
          <w:rFonts w:ascii="Arial" w:hAnsi="Arial" w:cs="Arial"/>
          <w:sz w:val="22"/>
          <w:szCs w:val="22"/>
        </w:rPr>
        <w:t> </w:t>
      </w:r>
    </w:p>
    <w:p w14:paraId="0AB4F098" w14:textId="5607A148" w:rsidR="004A0DF7" w:rsidRPr="003C27C6" w:rsidRDefault="004A0DF7" w:rsidP="004A0DF7">
      <w:pPr>
        <w:pStyle w:val="paragraph"/>
        <w:spacing w:before="0" w:beforeAutospacing="0" w:after="120" w:afterAutospacing="0" w:line="276" w:lineRule="auto"/>
        <w:ind w:firstLine="705"/>
        <w:jc w:val="both"/>
        <w:textAlignment w:val="baseline"/>
        <w:rPr>
          <w:rFonts w:ascii="Segoe UI" w:hAnsi="Segoe UI" w:cs="Segoe UI"/>
          <w:sz w:val="18"/>
          <w:szCs w:val="18"/>
        </w:rPr>
      </w:pPr>
      <w:r w:rsidRPr="003C27C6">
        <w:rPr>
          <w:rStyle w:val="normaltextrun"/>
          <w:rFonts w:ascii="Arial" w:hAnsi="Arial" w:cs="Arial"/>
          <w:sz w:val="22"/>
          <w:szCs w:val="22"/>
          <w:lang w:val="es-ES"/>
        </w:rPr>
        <w:t xml:space="preserve">En consecuencia, hasta tanto se emita una sentencia definitiva en el proceso reseñado, no es posible aplicar el «beneficio» al que se refiere el inciso tercero del artículo 4 del Decreto 92 de 2017. En estos procesos, entonces, se debe acudir a los criterios aplicables a los otros negocios jurídicos que regula el Decreto 92 de 2017, particularmente las exigencias del artículo 2 </w:t>
      </w:r>
      <w:r w:rsidRPr="003C27C6">
        <w:rPr>
          <w:rStyle w:val="normaltextrun"/>
          <w:rFonts w:ascii="Arial" w:hAnsi="Arial" w:cs="Arial"/>
          <w:i/>
          <w:iCs/>
          <w:sz w:val="22"/>
          <w:szCs w:val="22"/>
          <w:lang w:val="es-ES"/>
        </w:rPr>
        <w:t>ibidem</w:t>
      </w:r>
      <w:r w:rsidRPr="003C27C6">
        <w:rPr>
          <w:rStyle w:val="normaltextrun"/>
          <w:rFonts w:ascii="Arial" w:hAnsi="Arial" w:cs="Arial"/>
          <w:sz w:val="22"/>
          <w:szCs w:val="22"/>
          <w:lang w:val="es-ES"/>
        </w:rPr>
        <w:t xml:space="preserve">. Incluso, habría lugar </w:t>
      </w:r>
      <w:proofErr w:type="gramStart"/>
      <w:r w:rsidRPr="003C27C6">
        <w:rPr>
          <w:rStyle w:val="normaltextrun"/>
          <w:rFonts w:ascii="Arial" w:hAnsi="Arial" w:cs="Arial"/>
          <w:sz w:val="22"/>
          <w:szCs w:val="22"/>
          <w:lang w:val="es-ES"/>
        </w:rPr>
        <w:t>a</w:t>
      </w:r>
      <w:proofErr w:type="gramEnd"/>
      <w:r w:rsidRPr="003C27C6">
        <w:rPr>
          <w:rStyle w:val="normaltextrun"/>
          <w:rFonts w:ascii="Arial" w:hAnsi="Arial" w:cs="Arial"/>
          <w:sz w:val="22"/>
          <w:szCs w:val="22"/>
          <w:lang w:val="es-ES"/>
        </w:rPr>
        <w:t xml:space="preserve"> tener en cuenta las exigencias del inciso 2 del artículo 4 </w:t>
      </w:r>
      <w:proofErr w:type="spellStart"/>
      <w:r w:rsidRPr="003C27C6">
        <w:rPr>
          <w:rStyle w:val="normaltextrun"/>
          <w:rFonts w:ascii="Arial" w:hAnsi="Arial" w:cs="Arial"/>
          <w:i/>
          <w:iCs/>
          <w:sz w:val="22"/>
          <w:szCs w:val="22"/>
          <w:lang w:val="es-ES"/>
        </w:rPr>
        <w:t>íbídem</w:t>
      </w:r>
      <w:proofErr w:type="spellEnd"/>
      <w:r w:rsidRPr="003C27C6">
        <w:rPr>
          <w:rStyle w:val="normaltextrun"/>
          <w:rFonts w:ascii="Arial" w:hAnsi="Arial" w:cs="Arial"/>
          <w:sz w:val="22"/>
          <w:szCs w:val="22"/>
          <w:lang w:val="es-ES"/>
        </w:rPr>
        <w:t>, siempre que se configuren los supuestos de aplicación de dicha normativa, esto es, siempre que «</w:t>
      </w:r>
      <w:proofErr w:type="spellStart"/>
      <w:r w:rsidRPr="003C27C6">
        <w:rPr>
          <w:rStyle w:val="normaltextrun"/>
          <w:rFonts w:ascii="Arial" w:hAnsi="Arial" w:cs="Arial"/>
          <w:sz w:val="22"/>
          <w:szCs w:val="22"/>
          <w:lang w:val="es-ES"/>
        </w:rPr>
        <w:t>exist</w:t>
      </w:r>
      <w:proofErr w:type="spellEnd"/>
      <w:r w:rsidRPr="003C27C6">
        <w:rPr>
          <w:rStyle w:val="normaltextrun"/>
          <w:rFonts w:ascii="Arial" w:hAnsi="Arial" w:cs="Arial"/>
          <w:sz w:val="22"/>
          <w:szCs w:val="22"/>
          <w:lang w:val="es-ES"/>
        </w:rPr>
        <w:t>[a] más de una entidad sin ánimo de lucro de reconocida idoneidad».</w:t>
      </w:r>
      <w:r w:rsidRPr="003C27C6">
        <w:rPr>
          <w:rStyle w:val="eop"/>
          <w:rFonts w:ascii="Arial" w:hAnsi="Arial" w:cs="Arial"/>
          <w:sz w:val="22"/>
          <w:szCs w:val="22"/>
        </w:rPr>
        <w:t> </w:t>
      </w:r>
    </w:p>
    <w:p w14:paraId="283F0D32" w14:textId="7DC320D8" w:rsidR="00F441BB" w:rsidRPr="003C27C6" w:rsidRDefault="00F441BB" w:rsidP="00F441BB">
      <w:pPr>
        <w:spacing w:after="120" w:line="276" w:lineRule="auto"/>
        <w:ind w:firstLine="709"/>
        <w:jc w:val="both"/>
        <w:rPr>
          <w:rFonts w:ascii="Arial" w:eastAsia="Calibri" w:hAnsi="Arial" w:cs="Arial"/>
          <w:sz w:val="22"/>
        </w:rPr>
      </w:pPr>
      <w:r w:rsidRPr="003C27C6">
        <w:rPr>
          <w:rFonts w:ascii="Arial" w:eastAsia="Calibri" w:hAnsi="Arial" w:cs="Arial"/>
          <w:color w:val="000000" w:themeColor="text1"/>
          <w:sz w:val="22"/>
        </w:rPr>
        <w:t xml:space="preserve">No obstante, sobre </w:t>
      </w:r>
      <w:r w:rsidR="004A0DF7" w:rsidRPr="003C27C6">
        <w:rPr>
          <w:rFonts w:ascii="Arial" w:eastAsia="Calibri" w:hAnsi="Arial" w:cs="Arial"/>
          <w:color w:val="000000" w:themeColor="text1"/>
          <w:sz w:val="22"/>
        </w:rPr>
        <w:t>el artículo 5</w:t>
      </w:r>
      <w:r w:rsidR="000A4704" w:rsidRPr="003C27C6">
        <w:rPr>
          <w:rFonts w:ascii="Arial" w:eastAsia="Calibri" w:hAnsi="Arial" w:cs="Arial"/>
          <w:color w:val="000000" w:themeColor="text1"/>
          <w:sz w:val="22"/>
        </w:rPr>
        <w:t>, el Consejo de Estado</w:t>
      </w:r>
      <w:r w:rsidR="004A0DF7" w:rsidRPr="003C27C6">
        <w:rPr>
          <w:rFonts w:ascii="Arial" w:eastAsia="Calibri" w:hAnsi="Arial" w:cs="Arial"/>
          <w:color w:val="000000" w:themeColor="text1"/>
          <w:sz w:val="22"/>
        </w:rPr>
        <w:t xml:space="preserve"> </w:t>
      </w:r>
      <w:r w:rsidRPr="003C27C6">
        <w:rPr>
          <w:rFonts w:ascii="Arial" w:eastAsia="Calibri" w:hAnsi="Arial" w:cs="Arial"/>
          <w:color w:val="000000" w:themeColor="text1"/>
          <w:sz w:val="22"/>
        </w:rPr>
        <w:t xml:space="preserve">concluyó que el análisis de esta disposición debe realizarse a profundidad para establecer si efectivamente existe una contradicción normativa que implique que se afectó la competencia del legislador. En consecuencia, negó la solicitud de suspensión provisional, reservando el análisis sobre la legalidad de dicho artículo a la sentencia de fondo. Por tanto, si se pretende realizar un </w:t>
      </w:r>
      <w:r w:rsidRPr="003C27C6">
        <w:rPr>
          <w:rFonts w:ascii="Arial" w:eastAsia="Calibri" w:hAnsi="Arial" w:cs="Arial"/>
          <w:i/>
          <w:iCs/>
          <w:color w:val="000000" w:themeColor="text1"/>
          <w:sz w:val="22"/>
        </w:rPr>
        <w:t>convenio de asociación</w:t>
      </w:r>
      <w:r w:rsidRPr="003C27C6">
        <w:rPr>
          <w:rFonts w:ascii="Arial" w:eastAsia="Calibri" w:hAnsi="Arial" w:cs="Arial"/>
          <w:color w:val="000000" w:themeColor="text1"/>
          <w:sz w:val="22"/>
        </w:rPr>
        <w:t xml:space="preserve"> con ESAL de reconocida idoneidad para el cumplimiento de las funciones que la ley les asigna a las entidades públicas</w:t>
      </w:r>
      <w:r w:rsidRPr="003C27C6">
        <w:rPr>
          <w:rFonts w:ascii="Arial" w:eastAsia="Calibri" w:hAnsi="Arial" w:cs="Arial"/>
          <w:sz w:val="22"/>
        </w:rPr>
        <w:t xml:space="preserve">, debe aplicarse lo dispuesto en el artículo 5 del Decreto 092 de 2017. </w:t>
      </w:r>
    </w:p>
    <w:p w14:paraId="15E9F19C" w14:textId="41CFE891" w:rsidR="00F441BB" w:rsidRPr="003C27C6" w:rsidRDefault="00F441BB" w:rsidP="00F441BB">
      <w:pPr>
        <w:spacing w:before="120" w:line="276" w:lineRule="auto"/>
        <w:ind w:firstLine="708"/>
        <w:jc w:val="both"/>
        <w:rPr>
          <w:rFonts w:ascii="Arial" w:eastAsia="Calibri" w:hAnsi="Arial" w:cs="Arial"/>
          <w:sz w:val="22"/>
        </w:rPr>
      </w:pPr>
      <w:r w:rsidRPr="003C27C6">
        <w:rPr>
          <w:rFonts w:ascii="Arial" w:eastAsia="Calibri" w:hAnsi="Arial" w:cs="Arial"/>
          <w:sz w:val="22"/>
        </w:rPr>
        <w:t xml:space="preserve">Para los </w:t>
      </w:r>
      <w:r w:rsidRPr="003C27C6">
        <w:rPr>
          <w:rFonts w:ascii="Arial" w:eastAsia="Calibri" w:hAnsi="Arial" w:cs="Arial"/>
          <w:i/>
          <w:iCs/>
          <w:sz w:val="22"/>
        </w:rPr>
        <w:t>convenios de asociación</w:t>
      </w:r>
      <w:r w:rsidRPr="003C27C6">
        <w:rPr>
          <w:rFonts w:ascii="Arial" w:eastAsia="Calibri" w:hAnsi="Arial" w:cs="Arial"/>
          <w:sz w:val="22"/>
        </w:rPr>
        <w:t xml:space="preserve">, como se explicó </w:t>
      </w:r>
      <w:r w:rsidRPr="003C27C6">
        <w:rPr>
          <w:rFonts w:ascii="Arial" w:eastAsia="Calibri" w:hAnsi="Arial" w:cs="Arial"/>
          <w:i/>
          <w:iCs/>
          <w:sz w:val="22"/>
        </w:rPr>
        <w:t>ut supra</w:t>
      </w:r>
      <w:r w:rsidRPr="003C27C6">
        <w:rPr>
          <w:rFonts w:ascii="Arial" w:eastAsia="Calibri" w:hAnsi="Arial" w:cs="Arial"/>
          <w:sz w:val="22"/>
        </w:rPr>
        <w:t>, el artículo 5 del citado Decreto establece que el proceso para la selección de la ESAL, por regla general, debe estar sujeto a competencia; salvo en aquellos casos en que una entidad sin ánimo de lucro comprometa recursos en dinero por un valor igual o superior al 30% del valor total del convenio</w:t>
      </w:r>
      <w:r w:rsidRPr="003C27C6">
        <w:rPr>
          <w:rStyle w:val="Refdenotaalpie"/>
          <w:rFonts w:ascii="Arial" w:hAnsi="Arial" w:cs="Arial"/>
          <w:sz w:val="22"/>
          <w:szCs w:val="22"/>
        </w:rPr>
        <w:footnoteReference w:id="41"/>
      </w:r>
      <w:r w:rsidRPr="003C27C6">
        <w:rPr>
          <w:rFonts w:ascii="Arial" w:eastAsia="Calibri" w:hAnsi="Arial" w:cs="Arial"/>
          <w:sz w:val="22"/>
        </w:rPr>
        <w:t>, y siempre que la entidad estatal verifique previamente que no existe ninguna otra entidad sin ánimo de lucro que ofrezca aportes iguales o superiores al 30%. De hecho, en relación con la naturaleza y cuantía de los convenios, la norma anteriormente citada no prohíbe la celebración de convenios en que la ESAL aporte menos del 30% o cuando aporte recursos en especie</w:t>
      </w:r>
      <w:r w:rsidR="000A4704" w:rsidRPr="003C27C6">
        <w:rPr>
          <w:rFonts w:ascii="Arial" w:eastAsia="Calibri" w:hAnsi="Arial" w:cs="Arial"/>
          <w:sz w:val="22"/>
        </w:rPr>
        <w:t>,</w:t>
      </w:r>
      <w:r w:rsidRPr="003C27C6">
        <w:rPr>
          <w:rFonts w:ascii="Arial" w:eastAsia="Calibri" w:hAnsi="Arial" w:cs="Arial"/>
          <w:sz w:val="22"/>
        </w:rPr>
        <w:t xml:space="preserve"> solo indica que en esos casos la entidad estatal debe acudir al proceso competitivo para seleccionar a la entidad sin ánimo de lucro con la cual celebrará el respectivo convenio.</w:t>
      </w:r>
    </w:p>
    <w:p w14:paraId="434B18A7" w14:textId="2B19FE77" w:rsidR="00C5639E" w:rsidRPr="003C27C6" w:rsidRDefault="002B0BE3" w:rsidP="00964D6E">
      <w:pPr>
        <w:spacing w:before="120" w:after="120" w:line="276" w:lineRule="auto"/>
        <w:ind w:firstLine="709"/>
        <w:jc w:val="both"/>
        <w:rPr>
          <w:rFonts w:ascii="Arial" w:eastAsia="Calibri" w:hAnsi="Arial" w:cs="Arial"/>
          <w:sz w:val="22"/>
        </w:rPr>
      </w:pPr>
      <w:r w:rsidRPr="003C27C6">
        <w:rPr>
          <w:rFonts w:ascii="Arial" w:eastAsia="Calibri" w:hAnsi="Arial" w:cs="Arial"/>
          <w:sz w:val="22"/>
        </w:rPr>
        <w:t>Ahora bien,</w:t>
      </w:r>
      <w:r w:rsidR="00254083" w:rsidRPr="003C27C6">
        <w:rPr>
          <w:rFonts w:ascii="Arial" w:eastAsia="Calibri" w:hAnsi="Arial" w:cs="Arial"/>
          <w:sz w:val="22"/>
        </w:rPr>
        <w:t xml:space="preserve"> analizando las normas del </w:t>
      </w:r>
      <w:r w:rsidR="004A0DF7" w:rsidRPr="003C27C6">
        <w:rPr>
          <w:rFonts w:ascii="Arial" w:eastAsia="Calibri" w:hAnsi="Arial" w:cs="Arial"/>
          <w:sz w:val="22"/>
        </w:rPr>
        <w:t>Decreto 092 de 2017</w:t>
      </w:r>
      <w:r w:rsidRPr="003C27C6">
        <w:rPr>
          <w:rFonts w:ascii="Arial" w:eastAsia="Calibri" w:hAnsi="Arial" w:cs="Arial"/>
          <w:sz w:val="22"/>
        </w:rPr>
        <w:t xml:space="preserve"> con respecto al artículo 33 de la Ley de </w:t>
      </w:r>
      <w:r w:rsidR="000A4704" w:rsidRPr="003C27C6">
        <w:rPr>
          <w:rFonts w:ascii="Arial" w:eastAsia="Calibri" w:hAnsi="Arial" w:cs="Arial"/>
          <w:sz w:val="22"/>
        </w:rPr>
        <w:t>G</w:t>
      </w:r>
      <w:r w:rsidRPr="003C27C6">
        <w:rPr>
          <w:rFonts w:ascii="Arial" w:eastAsia="Calibri" w:hAnsi="Arial" w:cs="Arial"/>
          <w:sz w:val="22"/>
        </w:rPr>
        <w:t xml:space="preserve">arantías </w:t>
      </w:r>
      <w:r w:rsidR="000A4704" w:rsidRPr="003C27C6">
        <w:rPr>
          <w:rFonts w:ascii="Arial" w:eastAsia="Calibri" w:hAnsi="Arial" w:cs="Arial"/>
          <w:sz w:val="22"/>
        </w:rPr>
        <w:t>E</w:t>
      </w:r>
      <w:r w:rsidRPr="003C27C6">
        <w:rPr>
          <w:rFonts w:ascii="Arial" w:eastAsia="Calibri" w:hAnsi="Arial" w:cs="Arial"/>
          <w:sz w:val="22"/>
        </w:rPr>
        <w:t>lectorales,</w:t>
      </w:r>
      <w:r w:rsidR="00254083" w:rsidRPr="003C27C6">
        <w:rPr>
          <w:rFonts w:ascii="Arial" w:eastAsia="Calibri" w:hAnsi="Arial" w:cs="Arial"/>
          <w:sz w:val="22"/>
        </w:rPr>
        <w:t xml:space="preserve"> se </w:t>
      </w:r>
      <w:r w:rsidR="00DE4E52" w:rsidRPr="003C27C6">
        <w:rPr>
          <w:rFonts w:ascii="Arial" w:eastAsia="Calibri" w:hAnsi="Arial" w:cs="Arial"/>
          <w:sz w:val="22"/>
        </w:rPr>
        <w:t xml:space="preserve">deriva </w:t>
      </w:r>
      <w:r w:rsidR="00254083" w:rsidRPr="003C27C6">
        <w:rPr>
          <w:rFonts w:ascii="Arial" w:eastAsia="Calibri" w:hAnsi="Arial" w:cs="Arial"/>
          <w:sz w:val="22"/>
        </w:rPr>
        <w:t>que</w:t>
      </w:r>
      <w:r w:rsidRPr="003C27C6">
        <w:rPr>
          <w:rFonts w:ascii="Arial" w:eastAsia="Calibri" w:hAnsi="Arial" w:cs="Arial"/>
          <w:sz w:val="22"/>
        </w:rPr>
        <w:t xml:space="preserve"> </w:t>
      </w:r>
      <w:r w:rsidR="006854CF" w:rsidRPr="003C27C6">
        <w:rPr>
          <w:rFonts w:ascii="Arial" w:eastAsia="Calibri" w:hAnsi="Arial" w:cs="Arial"/>
          <w:sz w:val="22"/>
        </w:rPr>
        <w:t xml:space="preserve">la restricción </w:t>
      </w:r>
      <w:r w:rsidR="00DE4E52" w:rsidRPr="003C27C6">
        <w:rPr>
          <w:rFonts w:ascii="Arial" w:eastAsia="Calibri" w:hAnsi="Arial" w:cs="Arial"/>
          <w:sz w:val="22"/>
        </w:rPr>
        <w:t>aplica frente a</w:t>
      </w:r>
      <w:r w:rsidR="006854CF" w:rsidRPr="003C27C6">
        <w:rPr>
          <w:rFonts w:ascii="Arial" w:eastAsia="Calibri" w:hAnsi="Arial" w:cs="Arial"/>
          <w:sz w:val="22"/>
        </w:rPr>
        <w:t xml:space="preserve"> todo proceso que no se considere competitivo</w:t>
      </w:r>
      <w:r w:rsidR="00DE4E52" w:rsidRPr="003C27C6">
        <w:rPr>
          <w:rFonts w:ascii="Arial" w:eastAsia="Calibri" w:hAnsi="Arial" w:cs="Arial"/>
          <w:sz w:val="22"/>
        </w:rPr>
        <w:t xml:space="preserve">, esto es, en los que no se permita la participación de una </w:t>
      </w:r>
      <w:r w:rsidR="006854CF" w:rsidRPr="003C27C6">
        <w:rPr>
          <w:rFonts w:ascii="Arial" w:eastAsia="Calibri" w:hAnsi="Arial" w:cs="Arial"/>
          <w:sz w:val="22"/>
        </w:rPr>
        <w:t xml:space="preserve">pluralidad de oferentes o proponentes. </w:t>
      </w:r>
      <w:r w:rsidR="00CF5D59" w:rsidRPr="003C27C6">
        <w:rPr>
          <w:rFonts w:ascii="Arial" w:eastAsia="Calibri" w:hAnsi="Arial" w:cs="Arial"/>
          <w:sz w:val="22"/>
        </w:rPr>
        <w:t xml:space="preserve">Es decir, los procesos </w:t>
      </w:r>
      <w:r w:rsidR="00CF5D59" w:rsidRPr="003C27C6">
        <w:rPr>
          <w:rFonts w:ascii="Arial" w:eastAsia="Calibri" w:hAnsi="Arial" w:cs="Arial"/>
          <w:i/>
          <w:iCs/>
          <w:sz w:val="22"/>
        </w:rPr>
        <w:t>no competitivos</w:t>
      </w:r>
      <w:r w:rsidR="00CF5D59" w:rsidRPr="003C27C6">
        <w:rPr>
          <w:rFonts w:ascii="Arial" w:eastAsia="Calibri" w:hAnsi="Arial" w:cs="Arial"/>
          <w:sz w:val="22"/>
        </w:rPr>
        <w:t xml:space="preserve"> dirigidos a la celebración de convenios de asociación o contratos de colaboración están sujetos a las restricciones del artículo 33 de la precitada Ley</w:t>
      </w:r>
      <w:r w:rsidR="00CF5D59" w:rsidRPr="003C27C6">
        <w:rPr>
          <w:rFonts w:ascii="Arial" w:hAnsi="Arial" w:cs="Arial"/>
          <w:sz w:val="22"/>
          <w:szCs w:val="22"/>
          <w:lang w:eastAsia="es-CO"/>
        </w:rPr>
        <w:t>.</w:t>
      </w:r>
      <w:r w:rsidR="00C5639E" w:rsidRPr="003C27C6">
        <w:rPr>
          <w:rFonts w:ascii="Arial" w:hAnsi="Arial" w:cs="Arial"/>
          <w:sz w:val="22"/>
          <w:szCs w:val="22"/>
          <w:lang w:eastAsia="es-CO"/>
        </w:rPr>
        <w:t xml:space="preserve"> </w:t>
      </w:r>
    </w:p>
    <w:p w14:paraId="577DF1F5" w14:textId="5112B75C" w:rsidR="00C5639E" w:rsidRPr="003C27C6" w:rsidRDefault="00C5639E" w:rsidP="00C5639E">
      <w:pPr>
        <w:tabs>
          <w:tab w:val="left" w:pos="426"/>
        </w:tabs>
        <w:spacing w:after="120" w:line="276" w:lineRule="auto"/>
        <w:jc w:val="both"/>
        <w:rPr>
          <w:rFonts w:ascii="Arial" w:hAnsi="Arial" w:cs="Arial"/>
          <w:sz w:val="22"/>
          <w:szCs w:val="22"/>
          <w:lang w:val="es-MX"/>
        </w:rPr>
      </w:pPr>
      <w:r w:rsidRPr="003C27C6">
        <w:rPr>
          <w:rFonts w:ascii="Arial" w:hAnsi="Arial" w:cs="Arial"/>
          <w:sz w:val="22"/>
          <w:szCs w:val="22"/>
        </w:rPr>
        <w:tab/>
      </w:r>
      <w:r w:rsidRPr="003C27C6">
        <w:rPr>
          <w:rFonts w:ascii="Arial" w:hAnsi="Arial" w:cs="Arial"/>
          <w:sz w:val="22"/>
          <w:szCs w:val="22"/>
        </w:rPr>
        <w:tab/>
      </w:r>
      <w:r w:rsidRPr="003C27C6">
        <w:rPr>
          <w:rFonts w:ascii="Arial" w:hAnsi="Arial" w:cs="Arial"/>
          <w:sz w:val="22"/>
          <w:szCs w:val="22"/>
          <w:lang w:val="es-MX"/>
        </w:rPr>
        <w:t xml:space="preserve">Se </w:t>
      </w:r>
      <w:r w:rsidR="00DE4E52" w:rsidRPr="003C27C6">
        <w:rPr>
          <w:rFonts w:ascii="Arial" w:hAnsi="Arial" w:cs="Arial"/>
          <w:sz w:val="22"/>
          <w:szCs w:val="22"/>
          <w:lang w:val="es-MX"/>
        </w:rPr>
        <w:t xml:space="preserve">establece </w:t>
      </w:r>
      <w:r w:rsidRPr="003C27C6">
        <w:rPr>
          <w:rFonts w:ascii="Arial" w:hAnsi="Arial" w:cs="Arial"/>
          <w:sz w:val="22"/>
          <w:szCs w:val="22"/>
          <w:lang w:val="es-MX"/>
        </w:rPr>
        <w:t xml:space="preserve">así un </w:t>
      </w:r>
      <w:r w:rsidRPr="003C27C6">
        <w:rPr>
          <w:rFonts w:ascii="Arial" w:hAnsi="Arial" w:cs="Arial"/>
          <w:i/>
          <w:sz w:val="22"/>
          <w:szCs w:val="22"/>
          <w:lang w:val="es-MX"/>
        </w:rPr>
        <w:t>criterio material</w:t>
      </w:r>
      <w:r w:rsidRPr="003C27C6">
        <w:rPr>
          <w:rFonts w:ascii="Arial" w:hAnsi="Arial" w:cs="Arial"/>
          <w:sz w:val="22"/>
          <w:szCs w:val="22"/>
          <w:lang w:val="es-MX"/>
        </w:rPr>
        <w:t xml:space="preserve"> en la Ley de </w:t>
      </w:r>
      <w:r w:rsidR="00DE4E52" w:rsidRPr="003C27C6">
        <w:rPr>
          <w:rFonts w:ascii="Arial" w:hAnsi="Arial" w:cs="Arial"/>
          <w:sz w:val="22"/>
          <w:szCs w:val="22"/>
          <w:lang w:val="es-MX"/>
        </w:rPr>
        <w:t>G</w:t>
      </w:r>
      <w:r w:rsidRPr="003C27C6">
        <w:rPr>
          <w:rFonts w:ascii="Arial" w:hAnsi="Arial" w:cs="Arial"/>
          <w:sz w:val="22"/>
          <w:szCs w:val="22"/>
          <w:lang w:val="es-MX"/>
        </w:rPr>
        <w:t>arantías</w:t>
      </w:r>
      <w:r w:rsidR="00DE4E52" w:rsidRPr="003C27C6">
        <w:rPr>
          <w:rFonts w:ascii="Arial" w:hAnsi="Arial" w:cs="Arial"/>
          <w:sz w:val="22"/>
          <w:szCs w:val="22"/>
          <w:lang w:val="es-MX"/>
        </w:rPr>
        <w:t xml:space="preserve"> Electorales</w:t>
      </w:r>
      <w:r w:rsidRPr="003C27C6">
        <w:rPr>
          <w:rFonts w:ascii="Arial" w:hAnsi="Arial" w:cs="Arial"/>
          <w:sz w:val="22"/>
          <w:szCs w:val="22"/>
          <w:lang w:val="es-MX"/>
        </w:rPr>
        <w:t>,</w:t>
      </w:r>
      <w:r w:rsidR="00DE4E52" w:rsidRPr="003C27C6">
        <w:rPr>
          <w:rFonts w:ascii="Arial" w:hAnsi="Arial" w:cs="Arial"/>
          <w:sz w:val="22"/>
          <w:szCs w:val="22"/>
          <w:lang w:val="es-MX"/>
        </w:rPr>
        <w:t xml:space="preserve"> el cual se desarrolló a profundidad en el numeral anterior,</w:t>
      </w:r>
      <w:r w:rsidRPr="003C27C6">
        <w:rPr>
          <w:rFonts w:ascii="Arial" w:hAnsi="Arial" w:cs="Arial"/>
          <w:sz w:val="22"/>
          <w:szCs w:val="22"/>
          <w:lang w:val="es-MX"/>
        </w:rPr>
        <w:t xml:space="preserve"> en el entendido que </w:t>
      </w:r>
      <w:r w:rsidR="00DE4E52" w:rsidRPr="003C27C6">
        <w:rPr>
          <w:rFonts w:ascii="Arial" w:hAnsi="Arial" w:cs="Arial"/>
          <w:sz w:val="22"/>
          <w:szCs w:val="22"/>
          <w:lang w:val="es-MX"/>
        </w:rPr>
        <w:t xml:space="preserve">la prohibición del artículo 33, en relación con la contratación directa, </w:t>
      </w:r>
      <w:r w:rsidRPr="003C27C6">
        <w:rPr>
          <w:rFonts w:ascii="Arial" w:hAnsi="Arial" w:cs="Arial"/>
          <w:sz w:val="22"/>
          <w:szCs w:val="22"/>
          <w:lang w:val="es-MX"/>
        </w:rPr>
        <w:t xml:space="preserve">no hace una distinción sobre la ubicación de estas normas en los diferentes cuerpos normativos, pues lo que importa es </w:t>
      </w:r>
      <w:r w:rsidR="00DE4E52" w:rsidRPr="003C27C6">
        <w:rPr>
          <w:rFonts w:ascii="Arial" w:hAnsi="Arial" w:cs="Arial"/>
          <w:sz w:val="22"/>
          <w:szCs w:val="22"/>
          <w:lang w:val="es-MX"/>
        </w:rPr>
        <w:t xml:space="preserve">que impliquen materialmente una </w:t>
      </w:r>
      <w:r w:rsidRPr="003C27C6">
        <w:rPr>
          <w:rFonts w:ascii="Arial" w:hAnsi="Arial" w:cs="Arial"/>
          <w:sz w:val="22"/>
          <w:szCs w:val="22"/>
          <w:lang w:val="es-MX"/>
        </w:rPr>
        <w:t xml:space="preserve">contratación directa, para estar inmersos en la restricción. </w:t>
      </w:r>
      <w:r w:rsidR="00A966AF" w:rsidRPr="003C27C6">
        <w:rPr>
          <w:rFonts w:ascii="Arial" w:hAnsi="Arial" w:cs="Arial"/>
          <w:sz w:val="22"/>
          <w:szCs w:val="22"/>
          <w:lang w:val="es-MX"/>
        </w:rPr>
        <w:t xml:space="preserve">Por ello, la ley de garantías irradia todas las normas que establezcan reglas y procedimientos de contratación directa. </w:t>
      </w:r>
      <w:r w:rsidR="00D77AF5" w:rsidRPr="003C27C6">
        <w:rPr>
          <w:rFonts w:ascii="Arial" w:hAnsi="Arial" w:cs="Arial"/>
          <w:sz w:val="22"/>
          <w:szCs w:val="22"/>
          <w:lang w:eastAsia="es-CO"/>
        </w:rPr>
        <w:t xml:space="preserve"> </w:t>
      </w:r>
      <w:r w:rsidRPr="003C27C6">
        <w:rPr>
          <w:rFonts w:ascii="Arial" w:hAnsi="Arial" w:cs="Arial"/>
          <w:sz w:val="22"/>
          <w:szCs w:val="22"/>
          <w:lang w:val="es-MX"/>
        </w:rPr>
        <w:t xml:space="preserve"> </w:t>
      </w:r>
    </w:p>
    <w:p w14:paraId="32FD9164" w14:textId="191ADD20" w:rsidR="00C5639E" w:rsidRPr="003C27C6" w:rsidRDefault="00C5639E" w:rsidP="00C5639E">
      <w:pPr>
        <w:spacing w:after="120" w:line="276" w:lineRule="auto"/>
        <w:ind w:firstLine="708"/>
        <w:jc w:val="both"/>
        <w:rPr>
          <w:rFonts w:ascii="Arial" w:hAnsi="Arial" w:cs="Arial"/>
          <w:sz w:val="22"/>
          <w:szCs w:val="22"/>
          <w:lang w:eastAsia="x-none"/>
        </w:rPr>
      </w:pPr>
      <w:r w:rsidRPr="003C27C6">
        <w:rPr>
          <w:rFonts w:ascii="Arial" w:hAnsi="Arial" w:cs="Arial"/>
          <w:sz w:val="22"/>
          <w:szCs w:val="22"/>
          <w:lang w:eastAsia="es-CO"/>
        </w:rPr>
        <w:t xml:space="preserve">Teniendo en cuenta lo expresado, se concluye que los convenios de asociación y contratos de colaboración </w:t>
      </w:r>
      <w:r w:rsidR="00DE4E52" w:rsidRPr="003C27C6">
        <w:rPr>
          <w:rFonts w:ascii="Arial" w:hAnsi="Arial" w:cs="Arial"/>
          <w:sz w:val="22"/>
          <w:szCs w:val="22"/>
          <w:lang w:eastAsia="es-CO"/>
        </w:rPr>
        <w:t xml:space="preserve">establecidos </w:t>
      </w:r>
      <w:r w:rsidRPr="003C27C6">
        <w:rPr>
          <w:rFonts w:ascii="Arial" w:hAnsi="Arial" w:cs="Arial"/>
          <w:sz w:val="22"/>
          <w:szCs w:val="22"/>
          <w:lang w:eastAsia="es-CO"/>
        </w:rPr>
        <w:t xml:space="preserve">en el Decreto 092 de 2017 no están exentos de la aplicación de la Ley de </w:t>
      </w:r>
      <w:r w:rsidR="00DE4E52" w:rsidRPr="003C27C6">
        <w:rPr>
          <w:rFonts w:ascii="Arial" w:hAnsi="Arial" w:cs="Arial"/>
          <w:sz w:val="22"/>
          <w:szCs w:val="22"/>
          <w:lang w:eastAsia="es-CO"/>
        </w:rPr>
        <w:t>G</w:t>
      </w:r>
      <w:r w:rsidRPr="003C27C6">
        <w:rPr>
          <w:rFonts w:ascii="Arial" w:hAnsi="Arial" w:cs="Arial"/>
          <w:sz w:val="22"/>
          <w:szCs w:val="22"/>
          <w:lang w:eastAsia="es-CO"/>
        </w:rPr>
        <w:t>arantías</w:t>
      </w:r>
      <w:r w:rsidR="00DE4E52" w:rsidRPr="003C27C6">
        <w:rPr>
          <w:rFonts w:ascii="Arial" w:hAnsi="Arial" w:cs="Arial"/>
          <w:sz w:val="22"/>
          <w:szCs w:val="22"/>
          <w:lang w:eastAsia="es-CO"/>
        </w:rPr>
        <w:t xml:space="preserve"> Electorales</w:t>
      </w:r>
      <w:r w:rsidRPr="003C27C6">
        <w:rPr>
          <w:rFonts w:ascii="Arial" w:hAnsi="Arial" w:cs="Arial"/>
          <w:sz w:val="22"/>
          <w:szCs w:val="22"/>
          <w:lang w:eastAsia="es-CO"/>
        </w:rPr>
        <w:t xml:space="preserve">, en especial de lo dispuesto en el artículo 33, que </w:t>
      </w:r>
      <w:r w:rsidRPr="003C27C6">
        <w:rPr>
          <w:rFonts w:ascii="Arial" w:hAnsi="Arial" w:cs="Arial"/>
          <w:sz w:val="22"/>
          <w:szCs w:val="22"/>
          <w:lang w:eastAsia="x-none"/>
        </w:rPr>
        <w:t xml:space="preserve">refiere la restricción o prohibición a </w:t>
      </w:r>
      <w:r w:rsidRPr="003C27C6">
        <w:rPr>
          <w:rFonts w:ascii="Arial" w:hAnsi="Arial" w:cs="Arial"/>
          <w:sz w:val="19"/>
          <w:szCs w:val="19"/>
          <w:lang w:eastAsia="en-GB"/>
        </w:rPr>
        <w:t>«</w:t>
      </w:r>
      <w:r w:rsidRPr="003C27C6">
        <w:rPr>
          <w:rFonts w:ascii="Arial" w:hAnsi="Arial" w:cs="Arial"/>
          <w:sz w:val="22"/>
          <w:szCs w:val="22"/>
          <w:lang w:eastAsia="x-none"/>
        </w:rPr>
        <w:t>cualquier sistema que no implique convocatoria pública y posibilidad de pluralidad de oferentes</w:t>
      </w:r>
      <w:r w:rsidRPr="003C27C6">
        <w:rPr>
          <w:rFonts w:ascii="Arial" w:hAnsi="Arial" w:cs="Arial"/>
          <w:sz w:val="22"/>
          <w:szCs w:val="22"/>
          <w:lang w:eastAsia="en-GB"/>
        </w:rPr>
        <w:t>»</w:t>
      </w:r>
      <w:r w:rsidRPr="003C27C6">
        <w:rPr>
          <w:rFonts w:ascii="Arial" w:hAnsi="Arial" w:cs="Arial"/>
          <w:sz w:val="22"/>
          <w:szCs w:val="22"/>
          <w:lang w:eastAsia="x-none"/>
        </w:rPr>
        <w:t xml:space="preserve">. De este modo, lo que podrán hacer las entidades públicas es </w:t>
      </w:r>
      <w:r w:rsidR="00DE4E52" w:rsidRPr="003C27C6">
        <w:rPr>
          <w:rFonts w:ascii="Arial" w:hAnsi="Arial" w:cs="Arial"/>
          <w:sz w:val="22"/>
          <w:szCs w:val="22"/>
          <w:lang w:eastAsia="x-none"/>
        </w:rPr>
        <w:t>celebrar</w:t>
      </w:r>
      <w:r w:rsidRPr="003C27C6">
        <w:rPr>
          <w:rFonts w:ascii="Arial" w:hAnsi="Arial" w:cs="Arial"/>
          <w:sz w:val="22"/>
          <w:szCs w:val="22"/>
          <w:lang w:eastAsia="x-none"/>
        </w:rPr>
        <w:t xml:space="preserve"> convenios de asociación y contratos de colaboración </w:t>
      </w:r>
      <w:r w:rsidR="00C94BD6" w:rsidRPr="003C27C6">
        <w:rPr>
          <w:rFonts w:ascii="Arial" w:hAnsi="Arial" w:cs="Arial"/>
          <w:sz w:val="22"/>
          <w:szCs w:val="22"/>
          <w:lang w:eastAsia="x-none"/>
        </w:rPr>
        <w:t xml:space="preserve">realizados </w:t>
      </w:r>
      <w:r w:rsidRPr="003C27C6">
        <w:rPr>
          <w:rFonts w:ascii="Arial" w:hAnsi="Arial" w:cs="Arial"/>
          <w:sz w:val="22"/>
          <w:szCs w:val="22"/>
          <w:lang w:eastAsia="x-none"/>
        </w:rPr>
        <w:t xml:space="preserve">mediante un proceso competitivo, es decir, que se caracterice por la libre concurrencia y la pluralidad de proponentes.  </w:t>
      </w:r>
    </w:p>
    <w:p w14:paraId="61785048" w14:textId="77777777" w:rsidR="00F441BB" w:rsidRPr="003C27C6" w:rsidRDefault="00F441BB" w:rsidP="00646880">
      <w:pPr>
        <w:spacing w:line="276" w:lineRule="auto"/>
        <w:jc w:val="both"/>
        <w:rPr>
          <w:rFonts w:ascii="Arial" w:hAnsi="Arial" w:cs="Arial"/>
          <w:bCs/>
          <w:sz w:val="22"/>
          <w:szCs w:val="22"/>
          <w:lang w:eastAsia="x-none"/>
        </w:rPr>
      </w:pPr>
    </w:p>
    <w:p w14:paraId="3C287419" w14:textId="63FBCD03" w:rsidR="00B244DB" w:rsidRPr="003C27C6" w:rsidRDefault="003A231A" w:rsidP="00B244DB">
      <w:pPr>
        <w:spacing w:line="276" w:lineRule="auto"/>
        <w:jc w:val="both"/>
        <w:rPr>
          <w:rFonts w:ascii="Arial" w:hAnsi="Arial" w:cs="Arial"/>
          <w:b/>
          <w:bCs/>
          <w:sz w:val="22"/>
          <w:szCs w:val="22"/>
          <w:lang w:eastAsia="es-CO"/>
        </w:rPr>
      </w:pPr>
      <w:r w:rsidRPr="003C27C6">
        <w:rPr>
          <w:rFonts w:ascii="Arial" w:hAnsi="Arial" w:cs="Arial"/>
          <w:b/>
          <w:bCs/>
          <w:sz w:val="22"/>
          <w:szCs w:val="22"/>
          <w:lang w:eastAsia="es-CO"/>
        </w:rPr>
        <w:t>3. Respuestas</w:t>
      </w:r>
    </w:p>
    <w:p w14:paraId="4DF4CA33" w14:textId="4C54A605" w:rsidR="003A231A" w:rsidRPr="003C27C6" w:rsidRDefault="003A231A" w:rsidP="00B244DB">
      <w:pPr>
        <w:spacing w:line="276" w:lineRule="auto"/>
        <w:jc w:val="both"/>
        <w:rPr>
          <w:rFonts w:ascii="Arial" w:hAnsi="Arial" w:cs="Arial"/>
          <w:bCs/>
          <w:sz w:val="22"/>
          <w:szCs w:val="22"/>
          <w:lang w:eastAsia="es-CO"/>
        </w:rPr>
      </w:pPr>
    </w:p>
    <w:p w14:paraId="6671F118" w14:textId="2E56786F" w:rsidR="003A231A" w:rsidRPr="003C27C6" w:rsidRDefault="00B523D3" w:rsidP="00B523D3">
      <w:pPr>
        <w:ind w:left="709" w:right="709"/>
        <w:jc w:val="both"/>
        <w:rPr>
          <w:rFonts w:ascii="Arial" w:hAnsi="Arial" w:cs="Arial"/>
          <w:sz w:val="21"/>
          <w:szCs w:val="21"/>
        </w:rPr>
      </w:pPr>
      <w:r w:rsidRPr="003C27C6">
        <w:rPr>
          <w:rFonts w:ascii="Arial" w:hAnsi="Arial" w:cs="Arial"/>
          <w:color w:val="000000" w:themeColor="text1"/>
          <w:sz w:val="21"/>
          <w:szCs w:val="21"/>
          <w:lang w:val="es-ES_tradnl"/>
        </w:rPr>
        <w:t>«</w:t>
      </w:r>
      <w:r w:rsidRPr="003C27C6">
        <w:rPr>
          <w:rFonts w:ascii="Arial" w:hAnsi="Arial" w:cs="Arial"/>
          <w:sz w:val="21"/>
          <w:szCs w:val="21"/>
        </w:rPr>
        <w:t xml:space="preserve">a) ¿La suspensión del Parágrafo del Artículo 38 de la Ley 996/2005 aplica únicamente para el orden nacional, es decir, solo la Nación podría celebrar convenios y contratos interadministrativos con las Entidades Territoriales? b) ¿Pueden celebrarse convenios y contratos interadministrativos entre Entidades Territoriales (Gobernación, </w:t>
      </w:r>
      <w:proofErr w:type="gramStart"/>
      <w:r w:rsidRPr="003C27C6">
        <w:rPr>
          <w:rFonts w:ascii="Arial" w:hAnsi="Arial" w:cs="Arial"/>
          <w:sz w:val="21"/>
          <w:szCs w:val="21"/>
        </w:rPr>
        <w:t>Alcaldía) y otras Entidades Territoriales como universidades, empresas de servicio públicos del Estado, empresas sociales del estado, etc</w:t>
      </w:r>
      <w:r w:rsidR="0094656D" w:rsidRPr="003C27C6">
        <w:rPr>
          <w:rFonts w:ascii="Arial" w:hAnsi="Arial" w:cs="Arial"/>
          <w:sz w:val="21"/>
          <w:szCs w:val="21"/>
        </w:rPr>
        <w:t>.</w:t>
      </w:r>
      <w:r w:rsidR="00F144F0" w:rsidRPr="003C27C6">
        <w:rPr>
          <w:rFonts w:ascii="Arial" w:hAnsi="Arial" w:cs="Arial"/>
          <w:sz w:val="21"/>
          <w:szCs w:val="21"/>
        </w:rPr>
        <w:t xml:space="preserve"> […]</w:t>
      </w:r>
      <w:r w:rsidR="00171D96" w:rsidRPr="003C27C6">
        <w:rPr>
          <w:rFonts w:ascii="Arial" w:hAnsi="Arial" w:cs="Arial"/>
          <w:sz w:val="21"/>
          <w:szCs w:val="21"/>
        </w:rPr>
        <w:t>?</w:t>
      </w:r>
      <w:proofErr w:type="gramEnd"/>
      <w:r w:rsidR="0094656D" w:rsidRPr="003C27C6">
        <w:rPr>
          <w:rFonts w:ascii="Arial" w:hAnsi="Arial" w:cs="Arial"/>
          <w:sz w:val="21"/>
          <w:szCs w:val="21"/>
        </w:rPr>
        <w:t>»</w:t>
      </w:r>
    </w:p>
    <w:p w14:paraId="260577C2" w14:textId="77777777" w:rsidR="00B523D3" w:rsidRPr="003C27C6" w:rsidRDefault="00B523D3" w:rsidP="00B523D3">
      <w:pPr>
        <w:jc w:val="both"/>
        <w:rPr>
          <w:rFonts w:ascii="Arial" w:hAnsi="Arial" w:cs="Arial"/>
          <w:bCs/>
          <w:sz w:val="22"/>
          <w:szCs w:val="22"/>
          <w:lang w:eastAsia="es-CO"/>
        </w:rPr>
      </w:pPr>
    </w:p>
    <w:p w14:paraId="309135C1" w14:textId="36A1C34E" w:rsidR="003A231A" w:rsidRPr="003C27C6" w:rsidRDefault="00632599" w:rsidP="003A231A">
      <w:pPr>
        <w:spacing w:after="120" w:line="276" w:lineRule="auto"/>
        <w:ind w:firstLine="709"/>
        <w:jc w:val="both"/>
        <w:rPr>
          <w:rFonts w:ascii="Arial" w:eastAsia="Calibri" w:hAnsi="Arial" w:cs="Arial"/>
          <w:sz w:val="22"/>
          <w:szCs w:val="22"/>
          <w:lang w:eastAsia="en-US"/>
        </w:rPr>
      </w:pPr>
      <w:r w:rsidRPr="003C27C6">
        <w:rPr>
          <w:rFonts w:ascii="Arial" w:eastAsia="Calibri" w:hAnsi="Arial" w:cs="Arial"/>
          <w:sz w:val="22"/>
          <w:szCs w:val="22"/>
          <w:lang w:eastAsia="en-US"/>
        </w:rPr>
        <w:t>Para responder su</w:t>
      </w:r>
      <w:r w:rsidR="006604C3" w:rsidRPr="003C27C6">
        <w:rPr>
          <w:rFonts w:ascii="Arial" w:eastAsia="Calibri" w:hAnsi="Arial" w:cs="Arial"/>
          <w:sz w:val="22"/>
          <w:szCs w:val="22"/>
          <w:lang w:eastAsia="en-US"/>
        </w:rPr>
        <w:t xml:space="preserve"> pregunta, se debe tener en cuenta </w:t>
      </w:r>
      <w:r w:rsidR="003A231A" w:rsidRPr="003C27C6">
        <w:rPr>
          <w:rFonts w:ascii="Arial" w:eastAsia="Calibri" w:hAnsi="Arial" w:cs="Arial"/>
          <w:sz w:val="22"/>
          <w:szCs w:val="22"/>
          <w:lang w:eastAsia="en-US"/>
        </w:rPr>
        <w:t xml:space="preserve">el contenido del artículo 124 de la Ley 2159 de 2021, </w:t>
      </w:r>
      <w:r w:rsidRPr="003C27C6">
        <w:rPr>
          <w:rFonts w:ascii="Arial" w:eastAsia="Calibri" w:hAnsi="Arial" w:cs="Arial"/>
          <w:sz w:val="22"/>
          <w:szCs w:val="22"/>
          <w:lang w:eastAsia="en-US"/>
        </w:rPr>
        <w:t>del</w:t>
      </w:r>
      <w:r w:rsidR="006604C3" w:rsidRPr="003C27C6">
        <w:rPr>
          <w:rFonts w:ascii="Arial" w:eastAsia="Calibri" w:hAnsi="Arial" w:cs="Arial"/>
          <w:sz w:val="22"/>
          <w:szCs w:val="22"/>
          <w:lang w:eastAsia="en-US"/>
        </w:rPr>
        <w:t xml:space="preserve"> que se derivan </w:t>
      </w:r>
      <w:r w:rsidR="003A231A" w:rsidRPr="003C27C6">
        <w:rPr>
          <w:rFonts w:ascii="Arial" w:eastAsia="Calibri" w:hAnsi="Arial" w:cs="Arial"/>
          <w:sz w:val="22"/>
          <w:szCs w:val="22"/>
          <w:lang w:eastAsia="en-US"/>
        </w:rPr>
        <w:t>las siguientes reglas</w:t>
      </w:r>
      <w:r w:rsidR="006604C3" w:rsidRPr="003C27C6">
        <w:rPr>
          <w:rFonts w:ascii="Arial" w:eastAsia="Calibri" w:hAnsi="Arial" w:cs="Arial"/>
          <w:sz w:val="22"/>
          <w:szCs w:val="22"/>
          <w:lang w:eastAsia="en-US"/>
        </w:rPr>
        <w:t xml:space="preserve"> para las entidades estatales, </w:t>
      </w:r>
      <w:r w:rsidRPr="003C27C6">
        <w:rPr>
          <w:rFonts w:ascii="Arial" w:eastAsia="Calibri" w:hAnsi="Arial" w:cs="Arial"/>
          <w:sz w:val="22"/>
          <w:szCs w:val="22"/>
          <w:lang w:eastAsia="en-US"/>
        </w:rPr>
        <w:t>incluid</w:t>
      </w:r>
      <w:r w:rsidR="00B50E55" w:rsidRPr="003C27C6">
        <w:rPr>
          <w:rFonts w:ascii="Arial" w:eastAsia="Calibri" w:hAnsi="Arial" w:cs="Arial"/>
          <w:sz w:val="22"/>
          <w:szCs w:val="22"/>
          <w:lang w:eastAsia="en-US"/>
        </w:rPr>
        <w:t>a</w:t>
      </w:r>
      <w:r w:rsidRPr="003C27C6">
        <w:rPr>
          <w:rFonts w:ascii="Arial" w:eastAsia="Calibri" w:hAnsi="Arial" w:cs="Arial"/>
          <w:sz w:val="22"/>
          <w:szCs w:val="22"/>
          <w:lang w:eastAsia="en-US"/>
        </w:rPr>
        <w:t>s</w:t>
      </w:r>
      <w:r w:rsidR="00706FBE" w:rsidRPr="003C27C6">
        <w:rPr>
          <w:rFonts w:ascii="Arial" w:eastAsia="Calibri" w:hAnsi="Arial" w:cs="Arial"/>
          <w:sz w:val="22"/>
          <w:szCs w:val="22"/>
          <w:lang w:eastAsia="en-US"/>
        </w:rPr>
        <w:t xml:space="preserve"> las entidades territoriales</w:t>
      </w:r>
      <w:r w:rsidR="003A231A" w:rsidRPr="003C27C6">
        <w:rPr>
          <w:rFonts w:ascii="Arial" w:eastAsia="Calibri" w:hAnsi="Arial" w:cs="Arial"/>
          <w:sz w:val="22"/>
          <w:szCs w:val="22"/>
          <w:lang w:eastAsia="en-US"/>
        </w:rPr>
        <w:t>:</w:t>
      </w:r>
    </w:p>
    <w:p w14:paraId="067A22AF" w14:textId="77777777" w:rsidR="00632599" w:rsidRPr="003C27C6" w:rsidRDefault="00632599" w:rsidP="00632599">
      <w:pPr>
        <w:spacing w:after="120" w:line="276" w:lineRule="auto"/>
        <w:ind w:firstLine="709"/>
        <w:jc w:val="both"/>
        <w:rPr>
          <w:rFonts w:ascii="Arial" w:eastAsia="Calibri" w:hAnsi="Arial" w:cs="Arial"/>
          <w:sz w:val="22"/>
          <w:szCs w:val="22"/>
          <w:lang w:eastAsia="en-US"/>
        </w:rPr>
      </w:pPr>
      <w:r w:rsidRPr="003C27C6">
        <w:rPr>
          <w:rFonts w:ascii="Arial" w:eastAsia="Calibri" w:hAnsi="Arial" w:cs="Arial"/>
          <w:bCs/>
          <w:sz w:val="22"/>
          <w:szCs w:val="22"/>
          <w:lang w:eastAsia="en-US"/>
        </w:rPr>
        <w:t>1.</w:t>
      </w:r>
      <w:r w:rsidRPr="003C27C6">
        <w:rPr>
          <w:rFonts w:ascii="Arial" w:eastAsia="Calibri" w:hAnsi="Arial" w:cs="Arial"/>
          <w:sz w:val="22"/>
          <w:szCs w:val="22"/>
          <w:lang w:eastAsia="en-US"/>
        </w:rPr>
        <w:t xml:space="preserve"> El alcance del artículo 124 de la Ley 2159 de 2021 tiene como cometido modificar de manera parcial y transitoria el primer inciso del artículo 38 de la Ley 996 de 2005. En efecto, como se observa del inciso segundo del artículo citado, esta disposición «modifica únicamente en la parte pertinente el inciso primero del parágrafo del artículo 38 de la Ley 996 de 2005». </w:t>
      </w:r>
    </w:p>
    <w:p w14:paraId="16913AFD" w14:textId="77777777" w:rsidR="00632599" w:rsidRPr="003C27C6" w:rsidRDefault="00632599" w:rsidP="00632599">
      <w:pPr>
        <w:spacing w:after="120" w:line="276" w:lineRule="auto"/>
        <w:ind w:firstLine="709"/>
        <w:jc w:val="both"/>
        <w:rPr>
          <w:rFonts w:ascii="Arial" w:eastAsia="Calibri" w:hAnsi="Arial" w:cs="Arial"/>
          <w:sz w:val="22"/>
          <w:szCs w:val="22"/>
          <w:lang w:eastAsia="en-US"/>
        </w:rPr>
      </w:pPr>
      <w:r w:rsidRPr="003C27C6">
        <w:rPr>
          <w:rFonts w:ascii="Arial" w:eastAsia="Calibri" w:hAnsi="Arial" w:cs="Arial"/>
          <w:bCs/>
          <w:sz w:val="22"/>
          <w:szCs w:val="22"/>
          <w:lang w:eastAsia="en-US"/>
        </w:rPr>
        <w:t>2.</w:t>
      </w:r>
      <w:r w:rsidRPr="003C27C6">
        <w:rPr>
          <w:rFonts w:ascii="Arial" w:eastAsia="Calibri" w:hAnsi="Arial" w:cs="Arial"/>
          <w:sz w:val="22"/>
          <w:szCs w:val="22"/>
          <w:lang w:eastAsia="en-US"/>
        </w:rPr>
        <w:t xml:space="preserve"> Durante los cuatro (4) meses previos a la elección presidencial del año 2022 solamente podrán celebrarse convenios o contratos interadministrativos cuando el proceso de selección aplicable sea de pública convocatoria y se presente la circunstancia a la que se refiere el artículo 124 de la Ley 2159 de 2021, es decir, para la ejecución de proyectos y programas correspondientes al Presupuesto General de la Nación. Por lo demás, esta norma no modifica el artículo 33 de la Ley de Garantías Electorales, en consideración a lo cual las restricciones a la contratación directa previstas en este artículo permanecen incólumes. </w:t>
      </w:r>
    </w:p>
    <w:p w14:paraId="5C90C437" w14:textId="77777777" w:rsidR="00632599" w:rsidRPr="003C27C6" w:rsidRDefault="00632599" w:rsidP="00632599">
      <w:pPr>
        <w:spacing w:after="120" w:line="276" w:lineRule="auto"/>
        <w:ind w:firstLine="709"/>
        <w:jc w:val="both"/>
        <w:rPr>
          <w:rFonts w:ascii="Arial" w:eastAsia="Calibri" w:hAnsi="Arial" w:cs="Arial"/>
          <w:sz w:val="22"/>
          <w:szCs w:val="22"/>
          <w:lang w:eastAsia="en-US"/>
        </w:rPr>
      </w:pPr>
      <w:r w:rsidRPr="003C27C6">
        <w:rPr>
          <w:rFonts w:ascii="Arial" w:eastAsia="Calibri" w:hAnsi="Arial" w:cs="Arial"/>
          <w:bCs/>
          <w:sz w:val="22"/>
          <w:szCs w:val="22"/>
          <w:lang w:eastAsia="en-US"/>
        </w:rPr>
        <w:t>3.</w:t>
      </w:r>
      <w:r w:rsidRPr="003C27C6">
        <w:rPr>
          <w:rFonts w:ascii="Arial" w:eastAsia="Calibri" w:hAnsi="Arial" w:cs="Arial"/>
          <w:sz w:val="22"/>
          <w:szCs w:val="22"/>
          <w:lang w:eastAsia="en-US"/>
        </w:rPr>
        <w:t xml:space="preserve"> La aplicación del artículo 124 de la Ley 2159 de 2021 se restringe a un criterio orgánico, pues se requiere que uno de los extremos contractuales sea la Nación y el otro una entidad territorial, para que la celebración del convenio o contrato administrativo sea procedente. En estos términos, no es posible la celebración de convenios o contratos interadministrativos entre entidades descentralizadas del orden territorial, pues la posibilidad que otorga el artículo 124 de la Ley 2159 de 2021 se somete a la condición que una de las partes sea la Nación, con el fin de ejecutar proyectos o programas que correspondan al Presupuesto General de la Nación. Por ejemplo, durante los cuatro (4) meses anteriores a las elecciones, dos municipios o un municipio y un departamento o entidad descentralizada territorial, quedan cubiertos por la prohibición original del parágrafo del artículo 38 de la Ley de Garantías Electorales.  </w:t>
      </w:r>
    </w:p>
    <w:p w14:paraId="38C456AF" w14:textId="77777777" w:rsidR="00632599" w:rsidRPr="003C27C6" w:rsidRDefault="00632599" w:rsidP="00632599">
      <w:pPr>
        <w:spacing w:after="120" w:line="276" w:lineRule="auto"/>
        <w:ind w:firstLine="709"/>
        <w:jc w:val="both"/>
        <w:rPr>
          <w:rFonts w:ascii="Arial" w:eastAsia="Calibri" w:hAnsi="Arial" w:cs="Arial"/>
          <w:sz w:val="22"/>
          <w:szCs w:val="22"/>
          <w:lang w:eastAsia="en-US"/>
        </w:rPr>
      </w:pPr>
      <w:r w:rsidRPr="003C27C6">
        <w:rPr>
          <w:rFonts w:ascii="Arial" w:eastAsia="Calibri" w:hAnsi="Arial" w:cs="Arial"/>
          <w:bCs/>
          <w:sz w:val="22"/>
          <w:szCs w:val="22"/>
          <w:lang w:eastAsia="en-US"/>
        </w:rPr>
        <w:t>4.</w:t>
      </w:r>
      <w:r w:rsidRPr="003C27C6">
        <w:rPr>
          <w:rFonts w:ascii="Arial" w:eastAsia="Calibri" w:hAnsi="Arial" w:cs="Arial"/>
          <w:sz w:val="22"/>
          <w:szCs w:val="22"/>
          <w:lang w:eastAsia="en-US"/>
        </w:rPr>
        <w:t xml:space="preserve"> El objeto contractual de los convenios o contratos interadministrativos debe limitarse a la ejecución de programas y proyectos correspondientes al Presupuesto General de la Nación. Es decir, se establece un criterio material, del cual se deriva que, durante los cuatro meses previos a las elecciones, queda prohibido celebrar </w:t>
      </w:r>
      <w:proofErr w:type="gramStart"/>
      <w:r w:rsidRPr="003C27C6">
        <w:rPr>
          <w:rFonts w:ascii="Arial" w:eastAsia="Calibri" w:hAnsi="Arial" w:cs="Arial"/>
          <w:sz w:val="22"/>
          <w:szCs w:val="22"/>
          <w:lang w:eastAsia="en-US"/>
        </w:rPr>
        <w:t>convenios interadministrativos o contratos interadministrativos</w:t>
      </w:r>
      <w:proofErr w:type="gramEnd"/>
      <w:r w:rsidRPr="003C27C6">
        <w:rPr>
          <w:rFonts w:ascii="Arial" w:eastAsia="Calibri" w:hAnsi="Arial" w:cs="Arial"/>
          <w:sz w:val="22"/>
          <w:szCs w:val="22"/>
          <w:lang w:eastAsia="en-US"/>
        </w:rPr>
        <w:t xml:space="preserve"> que no se relacionen con programas y proyectos que ejecuten recursos del Presupuesto General de la Nación. </w:t>
      </w:r>
    </w:p>
    <w:p w14:paraId="5F3E5635" w14:textId="77777777" w:rsidR="00632599" w:rsidRPr="003C27C6" w:rsidRDefault="00632599" w:rsidP="00632599">
      <w:pPr>
        <w:spacing w:after="120" w:line="276" w:lineRule="auto"/>
        <w:ind w:firstLine="709"/>
        <w:jc w:val="both"/>
        <w:rPr>
          <w:rFonts w:ascii="Arial" w:eastAsia="Calibri" w:hAnsi="Arial" w:cs="Arial"/>
          <w:sz w:val="22"/>
          <w:szCs w:val="22"/>
          <w:lang w:eastAsia="en-US"/>
        </w:rPr>
      </w:pPr>
      <w:r w:rsidRPr="003C27C6">
        <w:rPr>
          <w:rFonts w:ascii="Arial" w:eastAsia="Calibri" w:hAnsi="Arial" w:cs="Arial"/>
          <w:bCs/>
          <w:sz w:val="22"/>
          <w:szCs w:val="22"/>
          <w:lang w:eastAsia="en-US"/>
        </w:rPr>
        <w:t>5.</w:t>
      </w:r>
      <w:r w:rsidRPr="003C27C6">
        <w:rPr>
          <w:rFonts w:ascii="Arial" w:eastAsia="Calibri" w:hAnsi="Arial" w:cs="Arial"/>
          <w:sz w:val="22"/>
          <w:szCs w:val="22"/>
          <w:lang w:eastAsia="en-US"/>
        </w:rPr>
        <w:t xml:space="preserve"> En lo relacionado con la aplicación transitoria, el primer inciso del artículo en comento establece que la modificación de Ley de Garantías rige «[…] a partir de la publicación de la presente ley y durante la vigencia fiscal 2022». Esto implica que una vez se acabe la vigencia fiscal 2022, el artículo 124 de la Ley 2159 de 2021 dejará de producir efectos jurídicos.</w:t>
      </w:r>
    </w:p>
    <w:p w14:paraId="757E18E6" w14:textId="77777777" w:rsidR="00632599" w:rsidRPr="003C27C6" w:rsidRDefault="00632599" w:rsidP="00632599">
      <w:pPr>
        <w:spacing w:after="120" w:line="276" w:lineRule="auto"/>
        <w:ind w:firstLine="709"/>
        <w:jc w:val="both"/>
        <w:rPr>
          <w:rFonts w:ascii="Arial" w:eastAsia="Calibri" w:hAnsi="Arial" w:cs="Arial"/>
          <w:sz w:val="22"/>
          <w:szCs w:val="22"/>
          <w:lang w:eastAsia="en-US"/>
        </w:rPr>
      </w:pPr>
      <w:r w:rsidRPr="003C27C6">
        <w:rPr>
          <w:rFonts w:ascii="Arial" w:eastAsia="Calibri" w:hAnsi="Arial" w:cs="Arial"/>
          <w:bCs/>
          <w:sz w:val="22"/>
          <w:szCs w:val="22"/>
          <w:lang w:eastAsia="en-US"/>
        </w:rPr>
        <w:t>6.</w:t>
      </w:r>
      <w:r w:rsidRPr="003C27C6">
        <w:rPr>
          <w:rFonts w:ascii="Arial" w:eastAsia="Calibri" w:hAnsi="Arial" w:cs="Arial"/>
          <w:b/>
          <w:sz w:val="22"/>
          <w:szCs w:val="22"/>
          <w:lang w:eastAsia="en-US"/>
        </w:rPr>
        <w:t xml:space="preserve"> </w:t>
      </w:r>
      <w:r w:rsidRPr="003C27C6">
        <w:rPr>
          <w:rFonts w:ascii="Arial" w:eastAsia="Calibri" w:hAnsi="Arial" w:cs="Arial"/>
          <w:sz w:val="22"/>
          <w:szCs w:val="22"/>
          <w:lang w:eastAsia="en-US"/>
        </w:rPr>
        <w:t xml:space="preserve">Se establece que los convenios o contratos interadministrativos </w:t>
      </w:r>
      <w:r w:rsidRPr="003C27C6">
        <w:rPr>
          <w:rFonts w:ascii="Arial" w:eastAsia="Calibri" w:hAnsi="Arial" w:cs="Arial"/>
          <w:sz w:val="21"/>
          <w:szCs w:val="21"/>
          <w:lang w:eastAsia="en-US"/>
        </w:rPr>
        <w:t>que se suscriban bajo el amparo de la presente disposición serán objeto de control especial por parte de la Contraloría General de la República. En tal sentido, el Contralor General de la República determinará, en el marco de sus competencias constitucionales y legales, la forma en que se ejercerá este control especial.</w:t>
      </w:r>
    </w:p>
    <w:p w14:paraId="05BA4380" w14:textId="590D51A7" w:rsidR="00706FBE" w:rsidRPr="003C27C6" w:rsidRDefault="00632599" w:rsidP="0054211B">
      <w:pPr>
        <w:spacing w:line="276" w:lineRule="auto"/>
        <w:ind w:firstLine="709"/>
        <w:jc w:val="both"/>
        <w:rPr>
          <w:rFonts w:ascii="Arial" w:eastAsia="Calibri" w:hAnsi="Arial" w:cs="Arial"/>
          <w:sz w:val="22"/>
          <w:szCs w:val="22"/>
          <w:lang w:eastAsia="en-US"/>
        </w:rPr>
      </w:pPr>
      <w:proofErr w:type="gramStart"/>
      <w:r w:rsidRPr="003C27C6">
        <w:rPr>
          <w:rFonts w:ascii="Arial" w:eastAsia="Calibri" w:hAnsi="Arial" w:cs="Arial"/>
          <w:sz w:val="22"/>
          <w:szCs w:val="22"/>
          <w:lang w:eastAsia="en-US"/>
        </w:rPr>
        <w:t>De acuerdo a</w:t>
      </w:r>
      <w:proofErr w:type="gramEnd"/>
      <w:r w:rsidRPr="003C27C6">
        <w:rPr>
          <w:rFonts w:ascii="Arial" w:eastAsia="Calibri" w:hAnsi="Arial" w:cs="Arial"/>
          <w:sz w:val="22"/>
          <w:szCs w:val="22"/>
          <w:lang w:eastAsia="en-US"/>
        </w:rPr>
        <w:t xml:space="preserve"> las anteriores consideraciones, la promulgación y expedición de la Ley 2159 de 2021 no deroga la Ley 996 de 2005, sino que modifica d</w:t>
      </w:r>
      <w:r w:rsidRPr="003C27C6">
        <w:rPr>
          <w:rFonts w:ascii="Arial" w:eastAsia="Calibri" w:hAnsi="Arial" w:cs="Arial"/>
          <w:i/>
          <w:iCs/>
          <w:sz w:val="22"/>
          <w:szCs w:val="22"/>
          <w:lang w:eastAsia="en-US"/>
        </w:rPr>
        <w:t>e manera transitoria y parcial</w:t>
      </w:r>
      <w:r w:rsidRPr="003C27C6">
        <w:rPr>
          <w:rFonts w:ascii="Arial" w:eastAsia="Calibri" w:hAnsi="Arial" w:cs="Arial"/>
          <w:sz w:val="22"/>
          <w:szCs w:val="22"/>
          <w:lang w:eastAsia="en-US"/>
        </w:rPr>
        <w:t xml:space="preserve"> el inciso primero del parágrafo del artículo 38. Por tanto, esta modificación solo afecta en forma tangencial la aplicación del numeral 15.1. de la Circular Externa Única de Colombia Compra Eficiente, relacionado con la restricción para celebrar convenios y/o contratos interadministrativos durante el año fiscal 2022.</w:t>
      </w:r>
    </w:p>
    <w:p w14:paraId="6F0251A1" w14:textId="77777777" w:rsidR="00F00D3C" w:rsidRPr="003C27C6" w:rsidRDefault="00F00D3C" w:rsidP="0054211B">
      <w:pPr>
        <w:spacing w:line="276" w:lineRule="auto"/>
        <w:ind w:firstLine="709"/>
        <w:jc w:val="both"/>
        <w:rPr>
          <w:rFonts w:ascii="Arial" w:eastAsia="Calibri" w:hAnsi="Arial" w:cs="Arial"/>
          <w:sz w:val="22"/>
          <w:szCs w:val="22"/>
          <w:lang w:eastAsia="en-US"/>
        </w:rPr>
      </w:pPr>
    </w:p>
    <w:p w14:paraId="30673663" w14:textId="6B4D26D4" w:rsidR="003A231A" w:rsidRPr="003C27C6" w:rsidRDefault="002B0BE3" w:rsidP="00EC7FDD">
      <w:pPr>
        <w:autoSpaceDE w:val="0"/>
        <w:autoSpaceDN w:val="0"/>
        <w:adjustRightInd w:val="0"/>
        <w:ind w:left="709" w:right="709"/>
        <w:jc w:val="both"/>
        <w:rPr>
          <w:rFonts w:ascii="Arial" w:hAnsi="Arial" w:cs="Arial"/>
          <w:sz w:val="21"/>
          <w:szCs w:val="21"/>
        </w:rPr>
      </w:pPr>
      <w:r w:rsidRPr="003C27C6">
        <w:rPr>
          <w:rFonts w:ascii="Arial" w:hAnsi="Arial" w:cs="Arial"/>
          <w:color w:val="000000" w:themeColor="text1"/>
          <w:sz w:val="21"/>
          <w:szCs w:val="21"/>
          <w:lang w:val="es-ES_tradnl"/>
        </w:rPr>
        <w:t>«</w:t>
      </w:r>
      <w:r w:rsidR="00706FBE" w:rsidRPr="003C27C6">
        <w:rPr>
          <w:rFonts w:ascii="Arial" w:hAnsi="Arial" w:cs="Arial"/>
          <w:sz w:val="21"/>
          <w:szCs w:val="21"/>
        </w:rPr>
        <w:t xml:space="preserve">2. Respecto de los convenios con las ESAL, se encuentran restringidas las contrataciones que en el marco del Decreto 092 de 2017 se realicen a través de procesos no competitivos que se asimilan a la contratación directa, tales como i) actividades artísticas, culturales, deportivas y de promoción de la diversidad étnica colombiana, que sólo pueden desarrollar determinadas personas naturales o jurídicas; </w:t>
      </w:r>
      <w:proofErr w:type="spellStart"/>
      <w:r w:rsidR="00706FBE" w:rsidRPr="003C27C6">
        <w:rPr>
          <w:rFonts w:ascii="Arial" w:hAnsi="Arial" w:cs="Arial"/>
          <w:sz w:val="21"/>
          <w:szCs w:val="21"/>
        </w:rPr>
        <w:t>ii</w:t>
      </w:r>
      <w:proofErr w:type="spellEnd"/>
      <w:r w:rsidR="00706FBE" w:rsidRPr="003C27C6">
        <w:rPr>
          <w:rFonts w:ascii="Arial" w:hAnsi="Arial" w:cs="Arial"/>
          <w:sz w:val="21"/>
          <w:szCs w:val="21"/>
        </w:rPr>
        <w:t xml:space="preserve">) Los convenios de asociación en los cuales una única entidad privada sin ánimo de lucro – ESAL comprometa en dinero una proporción no inferior al 30% del valor total del convenio; </w:t>
      </w:r>
      <w:proofErr w:type="spellStart"/>
      <w:r w:rsidR="00706FBE" w:rsidRPr="003C27C6">
        <w:rPr>
          <w:rFonts w:ascii="Arial" w:hAnsi="Arial" w:cs="Arial"/>
          <w:sz w:val="21"/>
          <w:szCs w:val="21"/>
        </w:rPr>
        <w:t>iii</w:t>
      </w:r>
      <w:proofErr w:type="spellEnd"/>
      <w:r w:rsidR="00706FBE" w:rsidRPr="003C27C6">
        <w:rPr>
          <w:rFonts w:ascii="Arial" w:hAnsi="Arial" w:cs="Arial"/>
          <w:sz w:val="21"/>
          <w:szCs w:val="21"/>
        </w:rPr>
        <w:t>) En los contratos de colaboración en los que la Entidad Estatal en la etapa de planeación identifique que el programa o actividad de interés público que requiere desarrollar sólo puede ser realizado por una única Entidad sin ánimo de lucro</w:t>
      </w:r>
      <w:r w:rsidR="00706FBE" w:rsidRPr="003C27C6">
        <w:rPr>
          <w:rFonts w:ascii="Arial" w:eastAsia="Calibri" w:hAnsi="Arial" w:cs="Arial"/>
          <w:sz w:val="22"/>
          <w:szCs w:val="22"/>
          <w:lang w:eastAsia="en-US"/>
        </w:rPr>
        <w:t>»</w:t>
      </w:r>
      <w:r w:rsidR="00706FBE" w:rsidRPr="003C27C6">
        <w:rPr>
          <w:rFonts w:ascii="Arial" w:hAnsi="Arial" w:cs="Arial"/>
          <w:sz w:val="21"/>
          <w:szCs w:val="21"/>
        </w:rPr>
        <w:t>.</w:t>
      </w:r>
    </w:p>
    <w:p w14:paraId="09D790AD" w14:textId="77777777" w:rsidR="00F00D3C" w:rsidRPr="003C27C6" w:rsidRDefault="00F00D3C" w:rsidP="00EC7FDD">
      <w:pPr>
        <w:autoSpaceDE w:val="0"/>
        <w:autoSpaceDN w:val="0"/>
        <w:adjustRightInd w:val="0"/>
        <w:ind w:left="709" w:right="709"/>
        <w:jc w:val="both"/>
        <w:rPr>
          <w:rFonts w:ascii="Arial" w:hAnsi="Arial" w:cs="Arial"/>
          <w:color w:val="000000" w:themeColor="text1"/>
          <w:sz w:val="21"/>
          <w:szCs w:val="21"/>
        </w:rPr>
      </w:pPr>
    </w:p>
    <w:p w14:paraId="4377EC30" w14:textId="67616249" w:rsidR="00031BC1" w:rsidRPr="003C27C6" w:rsidRDefault="00A32F59" w:rsidP="0054211B">
      <w:pPr>
        <w:spacing w:before="120" w:after="120" w:line="276" w:lineRule="auto"/>
        <w:jc w:val="both"/>
        <w:rPr>
          <w:rFonts w:ascii="Arial" w:eastAsia="Calibri" w:hAnsi="Arial" w:cs="Arial"/>
          <w:sz w:val="22"/>
        </w:rPr>
      </w:pPr>
      <w:r w:rsidRPr="003C27C6">
        <w:rPr>
          <w:rFonts w:ascii="Arial" w:hAnsi="Arial" w:cs="Arial"/>
          <w:sz w:val="22"/>
        </w:rPr>
        <w:t>Teniendo en cuenta</w:t>
      </w:r>
      <w:r w:rsidR="00C5639E" w:rsidRPr="003C27C6">
        <w:rPr>
          <w:rFonts w:ascii="Arial" w:hAnsi="Arial" w:cs="Arial"/>
          <w:sz w:val="22"/>
        </w:rPr>
        <w:t xml:space="preserve"> la pregunta</w:t>
      </w:r>
      <w:r w:rsidR="00031BC1" w:rsidRPr="003C27C6">
        <w:rPr>
          <w:rFonts w:ascii="Arial" w:hAnsi="Arial" w:cs="Arial"/>
          <w:sz w:val="22"/>
        </w:rPr>
        <w:t xml:space="preserve"> y las consideraciones anteriores, </w:t>
      </w:r>
      <w:r w:rsidR="00031BC1" w:rsidRPr="003C27C6">
        <w:rPr>
          <w:rFonts w:ascii="Arial" w:eastAsia="Calibri" w:hAnsi="Arial" w:cs="Arial"/>
          <w:sz w:val="22"/>
        </w:rPr>
        <w:t xml:space="preserve">analizando las normas del Decreto 092 de 2017 con respecto al artículo 33 de la Ley de Garantías Electorales, se deriva que la restricción aplica frente a todo proceso que no se considere competitivo, esto es, en los que no se permita la participación de una pluralidad de oferentes o proponentes. Es decir, los procesos </w:t>
      </w:r>
      <w:r w:rsidR="00031BC1" w:rsidRPr="003C27C6">
        <w:rPr>
          <w:rFonts w:ascii="Arial" w:eastAsia="Calibri" w:hAnsi="Arial" w:cs="Arial"/>
          <w:i/>
          <w:iCs/>
          <w:sz w:val="22"/>
        </w:rPr>
        <w:t>no competitivos</w:t>
      </w:r>
      <w:r w:rsidR="00031BC1" w:rsidRPr="003C27C6">
        <w:rPr>
          <w:rFonts w:ascii="Arial" w:eastAsia="Calibri" w:hAnsi="Arial" w:cs="Arial"/>
          <w:sz w:val="22"/>
        </w:rPr>
        <w:t xml:space="preserve"> </w:t>
      </w:r>
      <w:r w:rsidR="00D77AF5" w:rsidRPr="003C27C6">
        <w:rPr>
          <w:rFonts w:ascii="Arial" w:eastAsia="Calibri" w:hAnsi="Arial" w:cs="Arial"/>
          <w:sz w:val="22"/>
        </w:rPr>
        <w:t>dirigidos a la celebración de</w:t>
      </w:r>
      <w:r w:rsidR="00031BC1" w:rsidRPr="003C27C6">
        <w:rPr>
          <w:rFonts w:ascii="Arial" w:eastAsia="Calibri" w:hAnsi="Arial" w:cs="Arial"/>
          <w:sz w:val="22"/>
        </w:rPr>
        <w:t xml:space="preserve"> convenios de asociación</w:t>
      </w:r>
      <w:r w:rsidR="00CF5D59" w:rsidRPr="003C27C6">
        <w:rPr>
          <w:rFonts w:ascii="Arial" w:eastAsia="Calibri" w:hAnsi="Arial" w:cs="Arial"/>
          <w:sz w:val="22"/>
        </w:rPr>
        <w:t xml:space="preserve"> o</w:t>
      </w:r>
      <w:r w:rsidR="00031BC1" w:rsidRPr="003C27C6">
        <w:rPr>
          <w:rFonts w:ascii="Arial" w:eastAsia="Calibri" w:hAnsi="Arial" w:cs="Arial"/>
          <w:sz w:val="22"/>
        </w:rPr>
        <w:t xml:space="preserve"> contratos de colaboración están sujetos a las restricciones del artículo 33 de la precitada Ley</w:t>
      </w:r>
      <w:r w:rsidR="00031BC1" w:rsidRPr="003C27C6">
        <w:rPr>
          <w:rFonts w:ascii="Arial" w:hAnsi="Arial" w:cs="Arial"/>
          <w:sz w:val="22"/>
          <w:szCs w:val="22"/>
          <w:lang w:eastAsia="es-CO"/>
        </w:rPr>
        <w:t xml:space="preserve">. </w:t>
      </w:r>
    </w:p>
    <w:p w14:paraId="6AACBB83" w14:textId="14AAA281" w:rsidR="00031BC1" w:rsidRPr="003C27C6" w:rsidRDefault="00031BC1" w:rsidP="00031BC1">
      <w:pPr>
        <w:tabs>
          <w:tab w:val="left" w:pos="426"/>
        </w:tabs>
        <w:spacing w:after="120" w:line="276" w:lineRule="auto"/>
        <w:jc w:val="both"/>
        <w:rPr>
          <w:rFonts w:ascii="Arial" w:hAnsi="Arial" w:cs="Arial"/>
          <w:sz w:val="22"/>
          <w:szCs w:val="22"/>
          <w:lang w:val="es-MX"/>
        </w:rPr>
      </w:pPr>
      <w:r w:rsidRPr="003C27C6">
        <w:rPr>
          <w:rFonts w:ascii="Arial" w:hAnsi="Arial" w:cs="Arial"/>
          <w:sz w:val="22"/>
          <w:szCs w:val="22"/>
        </w:rPr>
        <w:tab/>
      </w:r>
      <w:r w:rsidRPr="003C27C6">
        <w:rPr>
          <w:rFonts w:ascii="Arial" w:hAnsi="Arial" w:cs="Arial"/>
          <w:sz w:val="22"/>
          <w:szCs w:val="22"/>
        </w:rPr>
        <w:tab/>
      </w:r>
      <w:r w:rsidRPr="003C27C6">
        <w:rPr>
          <w:rFonts w:ascii="Arial" w:hAnsi="Arial" w:cs="Arial"/>
          <w:sz w:val="22"/>
          <w:szCs w:val="22"/>
          <w:lang w:val="es-MX"/>
        </w:rPr>
        <w:t xml:space="preserve">Se establece así un </w:t>
      </w:r>
      <w:r w:rsidRPr="003C27C6">
        <w:rPr>
          <w:rFonts w:ascii="Arial" w:hAnsi="Arial" w:cs="Arial"/>
          <w:i/>
          <w:sz w:val="22"/>
          <w:szCs w:val="22"/>
          <w:lang w:val="es-MX"/>
        </w:rPr>
        <w:t>criterio material</w:t>
      </w:r>
      <w:r w:rsidRPr="003C27C6">
        <w:rPr>
          <w:rFonts w:ascii="Arial" w:hAnsi="Arial" w:cs="Arial"/>
          <w:sz w:val="22"/>
          <w:szCs w:val="22"/>
          <w:lang w:val="es-MX"/>
        </w:rPr>
        <w:t xml:space="preserve"> en la Ley de Garantías Electorales, el cual se desarrolló a profundidad en las consideraciones, en el entendido que la prohibición del artículo 33, en relación con la contratación directa, no hace una distinción sobre la ubicación de estas normas en los diferentes cuerpos normativos, pues lo que importa es que impliquen materialmente una contratación directa, para estar inmersos en la restricción. </w:t>
      </w:r>
      <w:r w:rsidR="00A966AF" w:rsidRPr="003C27C6">
        <w:rPr>
          <w:rFonts w:ascii="Arial" w:hAnsi="Arial" w:cs="Arial"/>
          <w:sz w:val="22"/>
          <w:szCs w:val="22"/>
          <w:lang w:val="es-MX"/>
        </w:rPr>
        <w:t>Por ello,</w:t>
      </w:r>
      <w:r w:rsidRPr="003C27C6">
        <w:rPr>
          <w:rFonts w:ascii="Arial" w:hAnsi="Arial" w:cs="Arial"/>
          <w:sz w:val="22"/>
          <w:szCs w:val="22"/>
          <w:lang w:val="es-MX"/>
        </w:rPr>
        <w:t xml:space="preserve"> la ley de garantías </w:t>
      </w:r>
      <w:r w:rsidR="00A966AF" w:rsidRPr="003C27C6">
        <w:rPr>
          <w:rFonts w:ascii="Arial" w:hAnsi="Arial" w:cs="Arial"/>
          <w:sz w:val="22"/>
          <w:szCs w:val="22"/>
          <w:lang w:val="es-MX"/>
        </w:rPr>
        <w:t>irradia</w:t>
      </w:r>
      <w:r w:rsidRPr="003C27C6">
        <w:rPr>
          <w:rFonts w:ascii="Arial" w:hAnsi="Arial" w:cs="Arial"/>
          <w:sz w:val="22"/>
          <w:szCs w:val="22"/>
          <w:lang w:val="es-MX"/>
        </w:rPr>
        <w:t xml:space="preserve"> todas las normas que establezcan reglas y procedimientos de contratación directa. </w:t>
      </w:r>
    </w:p>
    <w:p w14:paraId="7E0CB5FD" w14:textId="1A9441EB" w:rsidR="00D77AF5" w:rsidRPr="003C27C6" w:rsidRDefault="00403548" w:rsidP="00031BC1">
      <w:pPr>
        <w:spacing w:before="120" w:after="120" w:line="276" w:lineRule="auto"/>
        <w:ind w:firstLine="709"/>
        <w:jc w:val="both"/>
        <w:rPr>
          <w:rFonts w:ascii="Arial" w:hAnsi="Arial" w:cs="Arial"/>
          <w:sz w:val="22"/>
          <w:szCs w:val="22"/>
          <w:lang w:eastAsia="x-none"/>
        </w:rPr>
      </w:pPr>
      <w:r w:rsidRPr="003C27C6">
        <w:rPr>
          <w:rFonts w:ascii="Arial" w:hAnsi="Arial" w:cs="Arial"/>
          <w:sz w:val="22"/>
          <w:szCs w:val="22"/>
          <w:lang w:eastAsia="es-CO"/>
        </w:rPr>
        <w:t xml:space="preserve">De este modo, </w:t>
      </w:r>
      <w:r w:rsidR="00031BC1" w:rsidRPr="003C27C6">
        <w:rPr>
          <w:rFonts w:ascii="Arial" w:hAnsi="Arial" w:cs="Arial"/>
          <w:sz w:val="22"/>
          <w:szCs w:val="22"/>
          <w:lang w:eastAsia="es-CO"/>
        </w:rPr>
        <w:t xml:space="preserve">se concluye que los convenios de asociación y contratos de colaboración establecidos en el Decreto 092 de 2017 no están exentos de la aplicación de la Ley de Garantías Electorales, en especial de lo dispuesto en el artículo 33, que </w:t>
      </w:r>
      <w:r w:rsidR="00031BC1" w:rsidRPr="003C27C6">
        <w:rPr>
          <w:rFonts w:ascii="Arial" w:hAnsi="Arial" w:cs="Arial"/>
          <w:sz w:val="22"/>
          <w:szCs w:val="22"/>
          <w:lang w:eastAsia="x-none"/>
        </w:rPr>
        <w:t xml:space="preserve">refiere la restricción o prohibición a </w:t>
      </w:r>
      <w:r w:rsidR="00031BC1" w:rsidRPr="003C27C6">
        <w:rPr>
          <w:rFonts w:ascii="Arial" w:hAnsi="Arial" w:cs="Arial"/>
          <w:sz w:val="19"/>
          <w:szCs w:val="19"/>
          <w:lang w:eastAsia="en-GB"/>
        </w:rPr>
        <w:t>«</w:t>
      </w:r>
      <w:r w:rsidR="00031BC1" w:rsidRPr="003C27C6">
        <w:rPr>
          <w:rFonts w:ascii="Arial" w:hAnsi="Arial" w:cs="Arial"/>
          <w:sz w:val="22"/>
          <w:szCs w:val="22"/>
          <w:lang w:eastAsia="x-none"/>
        </w:rPr>
        <w:t>cualquier sistema que no implique convocatoria pública y posibilidad de pluralidad de oferentes</w:t>
      </w:r>
      <w:r w:rsidR="00031BC1" w:rsidRPr="003C27C6">
        <w:rPr>
          <w:rFonts w:ascii="Arial" w:hAnsi="Arial" w:cs="Arial"/>
          <w:sz w:val="22"/>
          <w:szCs w:val="22"/>
          <w:lang w:eastAsia="en-GB"/>
        </w:rPr>
        <w:t>»</w:t>
      </w:r>
      <w:r w:rsidR="00031BC1" w:rsidRPr="003C27C6">
        <w:rPr>
          <w:rFonts w:ascii="Arial" w:hAnsi="Arial" w:cs="Arial"/>
          <w:sz w:val="22"/>
          <w:szCs w:val="22"/>
          <w:lang w:eastAsia="x-none"/>
        </w:rPr>
        <w:t>.</w:t>
      </w:r>
      <w:r w:rsidRPr="003C27C6">
        <w:rPr>
          <w:rFonts w:ascii="Arial" w:hAnsi="Arial" w:cs="Arial"/>
          <w:sz w:val="22"/>
          <w:szCs w:val="22"/>
          <w:lang w:eastAsia="x-none"/>
        </w:rPr>
        <w:t xml:space="preserve"> Por tanto</w:t>
      </w:r>
      <w:r w:rsidR="00031BC1" w:rsidRPr="003C27C6">
        <w:rPr>
          <w:rFonts w:ascii="Arial" w:hAnsi="Arial" w:cs="Arial"/>
          <w:sz w:val="22"/>
          <w:szCs w:val="22"/>
          <w:lang w:eastAsia="x-none"/>
        </w:rPr>
        <w:t>, lo que podrán hacer las entidades públicas es celebrar convenios de asociación y contratos de colaboración realizados mediante un proceso competitivo, es decir, que se caracterice por la libre concurrencia y la pluralidad de proponentes.</w:t>
      </w:r>
    </w:p>
    <w:p w14:paraId="40F7D30D" w14:textId="77777777" w:rsidR="00D77AF5" w:rsidRPr="003C27C6" w:rsidRDefault="00D77AF5" w:rsidP="00031BC1">
      <w:pPr>
        <w:spacing w:before="120" w:after="120" w:line="276" w:lineRule="auto"/>
        <w:ind w:firstLine="709"/>
        <w:jc w:val="both"/>
        <w:rPr>
          <w:rFonts w:ascii="Arial" w:eastAsia="Calibri" w:hAnsi="Arial" w:cs="Arial"/>
          <w:sz w:val="22"/>
        </w:rPr>
      </w:pPr>
    </w:p>
    <w:p w14:paraId="7B2C921D" w14:textId="1B83F553" w:rsidR="00DD5B04" w:rsidRPr="003C27C6" w:rsidRDefault="00DD5B04" w:rsidP="0054211B">
      <w:pPr>
        <w:spacing w:before="120" w:after="120" w:line="276" w:lineRule="auto"/>
        <w:jc w:val="both"/>
        <w:rPr>
          <w:rFonts w:ascii="Arial" w:hAnsi="Arial" w:cs="Arial"/>
          <w:color w:val="000000" w:themeColor="text1"/>
          <w:sz w:val="22"/>
          <w:lang w:val="es-ES_tradnl"/>
        </w:rPr>
      </w:pPr>
      <w:r w:rsidRPr="003C27C6">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3C27C6"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151B0829" w:rsidR="00DD5B04" w:rsidRPr="003C27C6"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3C27C6">
        <w:rPr>
          <w:rFonts w:ascii="Arial" w:hAnsi="Arial" w:cs="Arial"/>
          <w:color w:val="000000" w:themeColor="text1"/>
          <w:sz w:val="22"/>
          <w:szCs w:val="22"/>
          <w:lang w:val="es-ES_tradnl"/>
        </w:rPr>
        <w:t>Atentamente,</w:t>
      </w:r>
    </w:p>
    <w:bookmarkEnd w:id="8"/>
    <w:p w14:paraId="5E68C41A" w14:textId="77777777" w:rsidR="00F00D3C" w:rsidRPr="003C27C6" w:rsidRDefault="00F00D3C" w:rsidP="00F00D3C">
      <w:pPr>
        <w:rPr>
          <w:rFonts w:ascii="Arial" w:hAnsi="Arial" w:cs="Arial"/>
          <w:sz w:val="22"/>
          <w:szCs w:val="22"/>
          <w:lang w:eastAsia="es-CO"/>
        </w:rPr>
      </w:pPr>
    </w:p>
    <w:p w14:paraId="74380D5B" w14:textId="0CCD92E7" w:rsidR="00F00D3C" w:rsidRPr="003C27C6" w:rsidRDefault="00D30E15" w:rsidP="00F00D3C">
      <w:pPr>
        <w:jc w:val="center"/>
        <w:rPr>
          <w:rFonts w:ascii="Arial" w:hAnsi="Arial" w:cs="Arial"/>
          <w:sz w:val="22"/>
          <w:szCs w:val="22"/>
          <w:lang w:eastAsia="es-CO"/>
        </w:rPr>
      </w:pPr>
      <w:r w:rsidRPr="003C27C6">
        <w:rPr>
          <w:rFonts w:ascii="Arial" w:hAnsi="Arial" w:cs="Arial"/>
          <w:noProof/>
          <w:lang w:eastAsia="es-CO"/>
        </w:rPr>
        <w:drawing>
          <wp:inline distT="0" distB="0" distL="0" distR="0" wp14:anchorId="45896E80" wp14:editId="44610263">
            <wp:extent cx="2514600" cy="1171575"/>
            <wp:effectExtent l="0" t="0" r="0" b="9525"/>
            <wp:docPr id="5" name="Imagen 5"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pic:nvPicPr>
                  <pic:blipFill>
                    <a:blip r:embed="rId12"/>
                    <a:stretch>
                      <a:fillRect/>
                    </a:stretch>
                  </pic:blipFill>
                  <pic:spPr>
                    <a:xfrm>
                      <a:off x="0" y="0"/>
                      <a:ext cx="2514600" cy="1171575"/>
                    </a:xfrm>
                    <a:prstGeom prst="rect">
                      <a:avLst/>
                    </a:prstGeom>
                  </pic:spPr>
                </pic:pic>
              </a:graphicData>
            </a:graphic>
          </wp:inline>
        </w:drawing>
      </w:r>
      <w:r w:rsidR="00F00D3C" w:rsidRPr="003C27C6">
        <w:rPr>
          <w:rFonts w:asciiTheme="minorHAnsi" w:eastAsiaTheme="minorHAnsi" w:hAnsiTheme="minorHAnsi" w:cstheme="minorBidi"/>
          <w:noProof/>
          <w:szCs w:val="22"/>
          <w:lang w:eastAsia="en-US"/>
        </w:rPr>
        <w:t xml:space="preserve"> </w:t>
      </w:r>
    </w:p>
    <w:p w14:paraId="25655C30" w14:textId="77777777" w:rsidR="00F00D3C" w:rsidRPr="003C27C6" w:rsidRDefault="00F00D3C" w:rsidP="00F00D3C">
      <w:pPr>
        <w:jc w:val="center"/>
        <w:rPr>
          <w:rFonts w:ascii="Arial" w:hAnsi="Arial" w:cs="Arial"/>
          <w:sz w:val="18"/>
          <w:szCs w:val="20"/>
          <w:lang w:eastAsia="es-CO"/>
        </w:rPr>
      </w:pPr>
    </w:p>
    <w:p w14:paraId="3C8E684B" w14:textId="77777777" w:rsidR="00F00D3C" w:rsidRPr="003C27C6" w:rsidRDefault="00F00D3C" w:rsidP="00F00D3C">
      <w:pPr>
        <w:jc w:val="center"/>
        <w:rPr>
          <w:rFonts w:ascii="Arial" w:hAnsi="Arial" w:cs="Arial"/>
          <w:sz w:val="18"/>
          <w:szCs w:val="20"/>
          <w:lang w:eastAsia="es-CO"/>
        </w:rPr>
      </w:pPr>
    </w:p>
    <w:tbl>
      <w:tblPr>
        <w:tblStyle w:val="Tablaconcuadrcu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00D3C" w:rsidRPr="003C27C6" w14:paraId="6958FEDD" w14:textId="77777777" w:rsidTr="002E1DEF">
        <w:trPr>
          <w:trHeight w:val="315"/>
        </w:trPr>
        <w:tc>
          <w:tcPr>
            <w:tcW w:w="488" w:type="dxa"/>
            <w:vAlign w:val="center"/>
            <w:hideMark/>
          </w:tcPr>
          <w:p w14:paraId="3E43CA55" w14:textId="77777777" w:rsidR="00F00D3C" w:rsidRPr="003C27C6" w:rsidRDefault="00F00D3C" w:rsidP="002E1DEF">
            <w:pPr>
              <w:rPr>
                <w:rFonts w:ascii="Arial" w:hAnsi="Arial" w:cs="Arial"/>
                <w:sz w:val="16"/>
                <w:szCs w:val="16"/>
                <w:lang w:eastAsia="es-ES"/>
              </w:rPr>
            </w:pPr>
            <w:r w:rsidRPr="003C27C6">
              <w:rPr>
                <w:rFonts w:ascii="Arial"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9B5E47D" w14:textId="77777777" w:rsidR="00F00D3C" w:rsidRPr="003C27C6" w:rsidRDefault="00F00D3C" w:rsidP="002E1DEF">
            <w:pPr>
              <w:rPr>
                <w:rFonts w:ascii="Arial" w:hAnsi="Arial" w:cs="Arial"/>
                <w:sz w:val="16"/>
                <w:szCs w:val="16"/>
                <w:lang w:eastAsia="es-ES"/>
              </w:rPr>
            </w:pPr>
            <w:r w:rsidRPr="003C27C6">
              <w:rPr>
                <w:rFonts w:ascii="Arial" w:hAnsi="Arial" w:cs="Arial"/>
                <w:sz w:val="16"/>
                <w:szCs w:val="16"/>
                <w:lang w:eastAsia="es-ES"/>
              </w:rPr>
              <w:t>José Luis Sánchez Cardona</w:t>
            </w:r>
          </w:p>
          <w:p w14:paraId="620B5F6F" w14:textId="77777777" w:rsidR="00F00D3C" w:rsidRPr="003C27C6" w:rsidRDefault="00F00D3C" w:rsidP="002E1DEF">
            <w:pPr>
              <w:rPr>
                <w:rFonts w:ascii="Arial" w:hAnsi="Arial" w:cs="Arial"/>
                <w:sz w:val="16"/>
                <w:szCs w:val="16"/>
                <w:lang w:eastAsia="es-ES"/>
              </w:rPr>
            </w:pPr>
            <w:r w:rsidRPr="003C27C6">
              <w:rPr>
                <w:rFonts w:ascii="Arial" w:hAnsi="Arial" w:cs="Arial"/>
                <w:sz w:val="16"/>
                <w:szCs w:val="16"/>
                <w:lang w:eastAsia="es-ES"/>
              </w:rPr>
              <w:t>Contratista de la Subdirección de Gestión Contractual</w:t>
            </w:r>
          </w:p>
        </w:tc>
      </w:tr>
      <w:tr w:rsidR="00F00D3C" w:rsidRPr="003C27C6" w14:paraId="40632883" w14:textId="77777777" w:rsidTr="002E1DEF">
        <w:trPr>
          <w:trHeight w:val="330"/>
        </w:trPr>
        <w:tc>
          <w:tcPr>
            <w:tcW w:w="488" w:type="dxa"/>
            <w:vAlign w:val="center"/>
            <w:hideMark/>
          </w:tcPr>
          <w:p w14:paraId="16364073" w14:textId="77777777" w:rsidR="00F00D3C" w:rsidRPr="003C27C6" w:rsidRDefault="00F00D3C" w:rsidP="002E1DEF">
            <w:pPr>
              <w:rPr>
                <w:rFonts w:ascii="Arial" w:hAnsi="Arial" w:cs="Arial"/>
                <w:sz w:val="16"/>
                <w:szCs w:val="16"/>
                <w:lang w:eastAsia="es-ES"/>
              </w:rPr>
            </w:pPr>
            <w:r w:rsidRPr="003C27C6">
              <w:rPr>
                <w:rFonts w:ascii="Arial"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A533F4A" w14:textId="77777777" w:rsidR="00F00D3C" w:rsidRPr="003C27C6" w:rsidRDefault="00F00D3C" w:rsidP="002E1DEF">
            <w:pPr>
              <w:rPr>
                <w:rFonts w:ascii="Arial" w:hAnsi="Arial" w:cs="Arial"/>
                <w:sz w:val="16"/>
                <w:szCs w:val="16"/>
                <w:lang w:eastAsia="es-ES"/>
              </w:rPr>
            </w:pPr>
            <w:r w:rsidRPr="003C27C6">
              <w:rPr>
                <w:rFonts w:ascii="Arial" w:hAnsi="Arial" w:cs="Arial"/>
                <w:sz w:val="16"/>
                <w:szCs w:val="16"/>
                <w:lang w:eastAsia="es-ES"/>
              </w:rPr>
              <w:t xml:space="preserve">Sebastián Ramírez Grisales </w:t>
            </w:r>
          </w:p>
          <w:p w14:paraId="26AFC69C" w14:textId="77777777" w:rsidR="00F00D3C" w:rsidRPr="003C27C6" w:rsidRDefault="00F00D3C" w:rsidP="002E1DEF">
            <w:pPr>
              <w:rPr>
                <w:rFonts w:ascii="Arial" w:hAnsi="Arial" w:cs="Arial"/>
                <w:sz w:val="14"/>
                <w:szCs w:val="14"/>
                <w:lang w:val="es-MX" w:eastAsia="es-ES"/>
              </w:rPr>
            </w:pPr>
            <w:r w:rsidRPr="003C27C6">
              <w:rPr>
                <w:rFonts w:ascii="Arial" w:hAnsi="Arial" w:cs="Arial"/>
                <w:sz w:val="16"/>
                <w:szCs w:val="16"/>
                <w:lang w:eastAsia="es-ES"/>
              </w:rPr>
              <w:t xml:space="preserve">Gestor T1-15 de la Subdirección de Gestión Contractual </w:t>
            </w:r>
          </w:p>
        </w:tc>
      </w:tr>
      <w:tr w:rsidR="00F00D3C" w:rsidRPr="00CE44D5" w14:paraId="307516A6" w14:textId="77777777" w:rsidTr="002E1DEF">
        <w:trPr>
          <w:trHeight w:val="300"/>
        </w:trPr>
        <w:tc>
          <w:tcPr>
            <w:tcW w:w="488" w:type="dxa"/>
            <w:vAlign w:val="center"/>
            <w:hideMark/>
          </w:tcPr>
          <w:p w14:paraId="3715FB43" w14:textId="77777777" w:rsidR="00F00D3C" w:rsidRPr="003C27C6" w:rsidRDefault="00F00D3C" w:rsidP="002E1DEF">
            <w:pPr>
              <w:rPr>
                <w:rFonts w:ascii="Arial" w:hAnsi="Arial" w:cs="Arial"/>
                <w:sz w:val="16"/>
                <w:szCs w:val="16"/>
                <w:lang w:eastAsia="es-ES"/>
              </w:rPr>
            </w:pPr>
            <w:r w:rsidRPr="003C27C6">
              <w:rPr>
                <w:rFonts w:ascii="Arial"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15512BA" w14:textId="77777777" w:rsidR="00F00D3C" w:rsidRPr="003C27C6" w:rsidRDefault="00F00D3C" w:rsidP="002E1DEF">
            <w:pPr>
              <w:rPr>
                <w:rFonts w:ascii="Arial" w:hAnsi="Arial" w:cs="Arial"/>
                <w:sz w:val="16"/>
                <w:szCs w:val="16"/>
                <w:lang w:eastAsia="es-ES"/>
              </w:rPr>
            </w:pPr>
            <w:r w:rsidRPr="003C27C6">
              <w:rPr>
                <w:rFonts w:ascii="Arial" w:hAnsi="Arial" w:cs="Arial"/>
                <w:sz w:val="16"/>
                <w:szCs w:val="16"/>
                <w:lang w:eastAsia="es-ES"/>
              </w:rPr>
              <w:t>Jorge Augusto Tirado Navarro</w:t>
            </w:r>
          </w:p>
          <w:p w14:paraId="17BC5E29" w14:textId="77777777" w:rsidR="00F00D3C" w:rsidRPr="00CE44D5" w:rsidRDefault="00F00D3C" w:rsidP="002E1DEF">
            <w:pPr>
              <w:rPr>
                <w:rFonts w:ascii="Arial" w:hAnsi="Arial" w:cs="Arial"/>
                <w:sz w:val="16"/>
                <w:szCs w:val="16"/>
                <w:lang w:eastAsia="es-ES"/>
              </w:rPr>
            </w:pPr>
            <w:r w:rsidRPr="003C27C6">
              <w:rPr>
                <w:rFonts w:ascii="Arial" w:hAnsi="Arial" w:cs="Arial"/>
                <w:sz w:val="16"/>
                <w:szCs w:val="16"/>
                <w:lang w:eastAsia="es-ES"/>
              </w:rPr>
              <w:t>Subdirector de Gestión Contractual ANCP – CCE</w:t>
            </w:r>
          </w:p>
        </w:tc>
      </w:tr>
    </w:tbl>
    <w:p w14:paraId="16F2AA49" w14:textId="77777777" w:rsidR="00F00D3C" w:rsidRDefault="00F00D3C" w:rsidP="00F00D3C">
      <w:pPr>
        <w:pStyle w:val="NormalWeb"/>
        <w:spacing w:before="0" w:beforeAutospacing="0" w:after="0" w:afterAutospacing="0" w:line="276" w:lineRule="auto"/>
        <w:jc w:val="both"/>
        <w:rPr>
          <w:rFonts w:ascii="Arial" w:hAnsi="Arial" w:cs="Arial"/>
        </w:rPr>
      </w:pPr>
    </w:p>
    <w:p w14:paraId="5E9C37DB" w14:textId="62BAE87A" w:rsidR="00746E08" w:rsidRPr="00F00D3C" w:rsidRDefault="00746E08" w:rsidP="00A424EB">
      <w:pPr>
        <w:tabs>
          <w:tab w:val="left" w:pos="3795"/>
        </w:tabs>
        <w:rPr>
          <w:rFonts w:ascii="Arial" w:hAnsi="Arial" w:cs="Arial"/>
          <w:color w:val="000000" w:themeColor="text1"/>
        </w:rPr>
      </w:pPr>
    </w:p>
    <w:sectPr w:rsidR="00746E08" w:rsidRPr="00F00D3C"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E353BB" w14:textId="77777777" w:rsidR="006E54A0" w:rsidRDefault="006E54A0">
      <w:r>
        <w:separator/>
      </w:r>
    </w:p>
  </w:endnote>
  <w:endnote w:type="continuationSeparator" w:id="0">
    <w:p w14:paraId="408AF203" w14:textId="77777777" w:rsidR="006E54A0" w:rsidRDefault="006E54A0">
      <w:r>
        <w:continuationSeparator/>
      </w:r>
    </w:p>
  </w:endnote>
  <w:endnote w:type="continuationNotice" w:id="1">
    <w:p w14:paraId="3771013F" w14:textId="77777777" w:rsidR="006E54A0" w:rsidRDefault="006E54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E807B5" w:rsidRDefault="00E807B5" w:rsidP="00322937">
    <w:pPr>
      <w:pStyle w:val="Sinespaciado"/>
      <w:jc w:val="right"/>
      <w:rPr>
        <w:rFonts w:ascii="Arial" w:hAnsi="Arial" w:cs="Arial"/>
        <w:sz w:val="18"/>
        <w:szCs w:val="18"/>
      </w:rPr>
    </w:pPr>
  </w:p>
  <w:p w14:paraId="7A3785F3" w14:textId="247F6C0D" w:rsidR="00E807B5" w:rsidRPr="008217B7" w:rsidRDefault="00E807B5"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337F50">
      <w:rPr>
        <w:rFonts w:ascii="Arial" w:hAnsi="Arial" w:cs="Arial"/>
        <w:b/>
        <w:bCs/>
        <w:noProof/>
        <w:color w:val="7F7F7F" w:themeColor="text1" w:themeTint="80"/>
        <w:sz w:val="16"/>
        <w:szCs w:val="16"/>
      </w:rPr>
      <w:t>21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337F50">
      <w:rPr>
        <w:rFonts w:ascii="Arial" w:hAnsi="Arial" w:cs="Arial"/>
        <w:b/>
        <w:bCs/>
        <w:noProof/>
        <w:color w:val="7F7F7F" w:themeColor="text1" w:themeTint="80"/>
        <w:sz w:val="16"/>
        <w:szCs w:val="16"/>
      </w:rPr>
      <w:t>31</w:t>
    </w:r>
    <w:r w:rsidRPr="00084B97">
      <w:rPr>
        <w:rFonts w:ascii="Arial" w:hAnsi="Arial" w:cs="Arial"/>
        <w:b/>
        <w:bCs/>
        <w:color w:val="7F7F7F" w:themeColor="text1" w:themeTint="80"/>
        <w:sz w:val="16"/>
        <w:szCs w:val="16"/>
      </w:rPr>
      <w:fldChar w:fldCharType="end"/>
    </w:r>
  </w:p>
  <w:p w14:paraId="48FC6A04" w14:textId="5FD1A7C9" w:rsidR="00E807B5" w:rsidRDefault="00E807B5"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807B5" w:rsidRDefault="00E807B5" w:rsidP="007B0854">
    <w:pPr>
      <w:pStyle w:val="Piedepgina"/>
      <w:jc w:val="center"/>
      <w:rPr>
        <w:lang w:val="es-ES"/>
      </w:rPr>
    </w:pPr>
  </w:p>
  <w:p w14:paraId="6C0EFC49" w14:textId="77777777" w:rsidR="00E807B5" w:rsidRPr="007B0854" w:rsidRDefault="00E807B5"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CA641B" w14:textId="77777777" w:rsidR="006E54A0" w:rsidRDefault="006E54A0">
      <w:r>
        <w:separator/>
      </w:r>
    </w:p>
  </w:footnote>
  <w:footnote w:type="continuationSeparator" w:id="0">
    <w:p w14:paraId="6DACD3D5" w14:textId="77777777" w:rsidR="006E54A0" w:rsidRDefault="006E54A0">
      <w:r>
        <w:continuationSeparator/>
      </w:r>
    </w:p>
  </w:footnote>
  <w:footnote w:type="continuationNotice" w:id="1">
    <w:p w14:paraId="475369ED" w14:textId="77777777" w:rsidR="006E54A0" w:rsidRDefault="006E54A0"/>
  </w:footnote>
  <w:footnote w:id="2">
    <w:p w14:paraId="655D4C09" w14:textId="77777777" w:rsidR="00E807B5" w:rsidRPr="00403548" w:rsidRDefault="00E807B5" w:rsidP="00EC7FDD">
      <w:pPr>
        <w:pStyle w:val="Textonotapie"/>
        <w:ind w:firstLine="709"/>
        <w:jc w:val="both"/>
        <w:rPr>
          <w:rFonts w:ascii="Arial" w:hAnsi="Arial" w:cs="Arial"/>
          <w:sz w:val="19"/>
          <w:szCs w:val="19"/>
        </w:rPr>
      </w:pPr>
      <w:r w:rsidRPr="00403548">
        <w:rPr>
          <w:rStyle w:val="Refdenotaalpie"/>
          <w:rFonts w:ascii="Arial" w:hAnsi="Arial" w:cs="Arial"/>
          <w:sz w:val="19"/>
          <w:szCs w:val="19"/>
        </w:rPr>
        <w:footnoteRef/>
      </w:r>
      <w:r w:rsidRPr="00403548">
        <w:rPr>
          <w:rFonts w:ascii="Arial" w:hAnsi="Arial" w:cs="Arial"/>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473AEC7B" w14:textId="164819FC" w:rsidR="00E807B5" w:rsidRPr="00403548" w:rsidRDefault="00E807B5" w:rsidP="00EC7FDD">
      <w:pPr>
        <w:pStyle w:val="Textonotapie"/>
        <w:ind w:firstLine="709"/>
        <w:jc w:val="both"/>
        <w:rPr>
          <w:rFonts w:ascii="Arial" w:hAnsi="Arial" w:cs="Arial"/>
          <w:sz w:val="19"/>
          <w:szCs w:val="19"/>
        </w:rPr>
      </w:pPr>
      <w:proofErr w:type="gramStart"/>
      <w:r w:rsidRPr="00403548">
        <w:rPr>
          <w:rFonts w:ascii="Arial" w:hAnsi="Arial" w:cs="Arial"/>
          <w:sz w:val="19"/>
          <w:szCs w:val="19"/>
        </w:rPr>
        <w:t>»A</w:t>
      </w:r>
      <w:proofErr w:type="gramEnd"/>
      <w:r w:rsidRPr="00403548">
        <w:rPr>
          <w:rFonts w:ascii="Arial" w:hAnsi="Arial" w:cs="Arial"/>
          <w:sz w:val="19"/>
          <w:szCs w:val="19"/>
        </w:rPr>
        <w:t xml:space="preserve">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1B9EFB00" w14:textId="4A81E6E2" w:rsidR="00E807B5" w:rsidRPr="00403548" w:rsidRDefault="00E807B5" w:rsidP="00EC7FDD">
      <w:pPr>
        <w:pStyle w:val="Textonotapie"/>
        <w:ind w:firstLine="709"/>
        <w:jc w:val="both"/>
        <w:rPr>
          <w:rFonts w:ascii="Arial" w:hAnsi="Arial" w:cs="Arial"/>
          <w:sz w:val="19"/>
          <w:szCs w:val="19"/>
        </w:rPr>
      </w:pPr>
      <w:r w:rsidRPr="00403548">
        <w:rPr>
          <w:rStyle w:val="Refdenotaalpie"/>
          <w:rFonts w:ascii="Arial" w:hAnsi="Arial" w:cs="Arial"/>
          <w:sz w:val="19"/>
          <w:szCs w:val="19"/>
        </w:rPr>
        <w:footnoteRef/>
      </w:r>
      <w:r w:rsidRPr="00403548">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4">
    <w:p w14:paraId="66A40922" w14:textId="77777777" w:rsidR="007D6E42" w:rsidRPr="00403548" w:rsidRDefault="007D6E42" w:rsidP="00EC7FDD">
      <w:pPr>
        <w:pStyle w:val="Textonotapie"/>
        <w:jc w:val="both"/>
        <w:rPr>
          <w:rFonts w:ascii="Arial" w:hAnsi="Arial" w:cs="Arial"/>
          <w:sz w:val="19"/>
          <w:szCs w:val="19"/>
          <w:lang w:val="es-CO"/>
        </w:rPr>
      </w:pPr>
    </w:p>
    <w:p w14:paraId="28757135" w14:textId="76ABBC96" w:rsidR="00E807B5" w:rsidRPr="00403548" w:rsidRDefault="00E807B5" w:rsidP="00EC7FDD">
      <w:pPr>
        <w:pStyle w:val="Textonotapie"/>
        <w:ind w:firstLine="709"/>
        <w:jc w:val="both"/>
        <w:rPr>
          <w:rFonts w:ascii="Arial" w:hAnsi="Arial" w:cs="Arial"/>
          <w:sz w:val="19"/>
          <w:szCs w:val="19"/>
          <w:lang w:val="es-CO"/>
        </w:rPr>
      </w:pPr>
      <w:r w:rsidRPr="00403548">
        <w:rPr>
          <w:rStyle w:val="Refdenotaalpie"/>
          <w:rFonts w:ascii="Arial" w:hAnsi="Arial" w:cs="Arial"/>
          <w:sz w:val="19"/>
          <w:szCs w:val="19"/>
        </w:rPr>
        <w:footnoteRef/>
      </w:r>
      <w:r w:rsidRPr="00403548">
        <w:rPr>
          <w:rFonts w:ascii="Arial" w:hAnsi="Arial" w:cs="Arial"/>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5">
    <w:p w14:paraId="4A2A3E87" w14:textId="035207B7" w:rsidR="00E807B5" w:rsidRPr="00403548" w:rsidRDefault="00E807B5" w:rsidP="00EC7FDD">
      <w:pPr>
        <w:pStyle w:val="Textonotapie"/>
        <w:ind w:firstLine="709"/>
        <w:jc w:val="both"/>
        <w:rPr>
          <w:rFonts w:ascii="Arial" w:hAnsi="Arial" w:cs="Arial"/>
          <w:sz w:val="19"/>
          <w:szCs w:val="19"/>
        </w:rPr>
      </w:pPr>
      <w:r w:rsidRPr="00403548">
        <w:rPr>
          <w:rStyle w:val="Refdenotaalpie"/>
          <w:rFonts w:ascii="Arial" w:hAnsi="Arial" w:cs="Arial"/>
          <w:sz w:val="19"/>
          <w:szCs w:val="19"/>
        </w:rPr>
        <w:footnoteRef/>
      </w:r>
      <w:r w:rsidRPr="00403548">
        <w:rPr>
          <w:rFonts w:ascii="Arial" w:hAnsi="Arial" w:cs="Arial"/>
          <w:sz w:val="19"/>
          <w:szCs w:val="19"/>
        </w:rPr>
        <w:t xml:space="preserve"> Consejo de Estado, Sala de Consulta y Servicio Civil de fecha 24 de julio de 2013, radicado 2166, </w:t>
      </w:r>
      <w:proofErr w:type="gramStart"/>
      <w:r w:rsidRPr="00403548">
        <w:rPr>
          <w:rFonts w:ascii="Arial" w:hAnsi="Arial" w:cs="Arial"/>
          <w:sz w:val="19"/>
          <w:szCs w:val="19"/>
        </w:rPr>
        <w:t>Consejero</w:t>
      </w:r>
      <w:proofErr w:type="gramEnd"/>
      <w:r w:rsidRPr="00403548">
        <w:rPr>
          <w:rFonts w:ascii="Arial" w:hAnsi="Arial" w:cs="Arial"/>
          <w:sz w:val="19"/>
          <w:szCs w:val="19"/>
        </w:rPr>
        <w:t xml:space="preserve"> Ponente Álvaro </w:t>
      </w:r>
      <w:proofErr w:type="spellStart"/>
      <w:r w:rsidRPr="00403548">
        <w:rPr>
          <w:rFonts w:ascii="Arial" w:hAnsi="Arial" w:cs="Arial"/>
          <w:sz w:val="19"/>
          <w:szCs w:val="19"/>
        </w:rPr>
        <w:t>Namén</w:t>
      </w:r>
      <w:proofErr w:type="spellEnd"/>
      <w:r w:rsidRPr="00403548">
        <w:rPr>
          <w:rFonts w:ascii="Arial" w:hAnsi="Arial" w:cs="Arial"/>
          <w:sz w:val="19"/>
          <w:szCs w:val="19"/>
        </w:rPr>
        <w:t xml:space="preserve"> Vargas.  </w:t>
      </w:r>
    </w:p>
  </w:footnote>
  <w:footnote w:id="6">
    <w:p w14:paraId="7E4BC125" w14:textId="77777777" w:rsidR="007D6E42" w:rsidRPr="00403548" w:rsidRDefault="007D6E42" w:rsidP="00EC7FDD">
      <w:pPr>
        <w:jc w:val="both"/>
        <w:rPr>
          <w:rFonts w:ascii="Arial" w:hAnsi="Arial" w:cs="Arial"/>
          <w:sz w:val="19"/>
          <w:szCs w:val="19"/>
        </w:rPr>
      </w:pPr>
    </w:p>
    <w:p w14:paraId="4B94ABDB" w14:textId="259272D3" w:rsidR="00917720" w:rsidRPr="00403548" w:rsidRDefault="00917720" w:rsidP="00EC7FDD">
      <w:pPr>
        <w:ind w:firstLine="709"/>
        <w:jc w:val="both"/>
        <w:rPr>
          <w:rFonts w:ascii="Arial" w:hAnsi="Arial" w:cs="Arial"/>
          <w:sz w:val="19"/>
          <w:szCs w:val="19"/>
        </w:rPr>
      </w:pPr>
      <w:r w:rsidRPr="00403548">
        <w:rPr>
          <w:rStyle w:val="Refdenotaalpie"/>
          <w:rFonts w:ascii="Arial" w:hAnsi="Arial" w:cs="Arial"/>
          <w:sz w:val="19"/>
          <w:szCs w:val="19"/>
        </w:rPr>
        <w:footnoteRef/>
      </w:r>
      <w:r w:rsidRPr="00403548">
        <w:rPr>
          <w:rFonts w:ascii="Arial" w:hAnsi="Arial" w:cs="Arial"/>
          <w:sz w:val="19"/>
          <w:szCs w:val="19"/>
        </w:rPr>
        <w:t xml:space="preserve"> </w:t>
      </w:r>
      <w:bookmarkStart w:id="14" w:name="33"/>
      <w:r w:rsidRPr="00403548">
        <w:rPr>
          <w:rFonts w:ascii="Arial" w:eastAsia="Calibri" w:hAnsi="Arial" w:cs="Arial"/>
          <w:bCs/>
          <w:color w:val="000000"/>
          <w:sz w:val="19"/>
          <w:szCs w:val="19"/>
        </w:rPr>
        <w:t>«</w:t>
      </w:r>
      <w:r w:rsidRPr="00403548">
        <w:rPr>
          <w:rFonts w:ascii="Arial" w:hAnsi="Arial" w:cs="Arial"/>
          <w:sz w:val="19"/>
          <w:szCs w:val="19"/>
        </w:rPr>
        <w:t>Artículo 33. Restricciones a la contratación pública.</w:t>
      </w:r>
      <w:bookmarkEnd w:id="14"/>
      <w:r w:rsidRPr="00403548">
        <w:rPr>
          <w:rFonts w:ascii="Arial" w:hAnsi="Arial" w:cs="Arial"/>
          <w:sz w:val="19"/>
          <w:szCs w:val="19"/>
        </w:rPr>
        <w:t> Durante los cuatro (4) meses anteriores a la elección presidencial y hasta la realización de la elección en la segunda vuelta, si fuere el caso, queda prohibida la contratación directa por parte de todos los entes del Estado.</w:t>
      </w:r>
    </w:p>
    <w:p w14:paraId="2191C096" w14:textId="77777777" w:rsidR="00917720" w:rsidRPr="00403548" w:rsidRDefault="00917720" w:rsidP="00EC7FDD">
      <w:pPr>
        <w:ind w:firstLine="709"/>
        <w:jc w:val="both"/>
        <w:rPr>
          <w:rFonts w:ascii="Arial" w:hAnsi="Arial" w:cs="Arial"/>
          <w:sz w:val="19"/>
          <w:szCs w:val="19"/>
        </w:rPr>
      </w:pPr>
      <w:r w:rsidRPr="00403548">
        <w:rPr>
          <w:rFonts w:ascii="Arial" w:eastAsia="Calibri" w:hAnsi="Arial" w:cs="Arial"/>
          <w:bCs/>
          <w:color w:val="000000"/>
          <w:sz w:val="19"/>
          <w:szCs w:val="19"/>
        </w:rPr>
        <w:t>»</w:t>
      </w:r>
      <w:r w:rsidRPr="00403548">
        <w:rPr>
          <w:rFonts w:ascii="Arial" w:hAnsi="Arial" w:cs="Arial"/>
          <w:sz w:val="19"/>
          <w:szCs w:val="19"/>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03548">
        <w:rPr>
          <w:rFonts w:ascii="Arial" w:eastAsia="Calibri" w:hAnsi="Arial" w:cs="Arial"/>
          <w:bCs/>
          <w:color w:val="000000"/>
          <w:sz w:val="19"/>
          <w:szCs w:val="19"/>
        </w:rPr>
        <w:t>»</w:t>
      </w:r>
      <w:r w:rsidRPr="00403548">
        <w:rPr>
          <w:rFonts w:ascii="Arial" w:hAnsi="Arial" w:cs="Arial"/>
          <w:sz w:val="19"/>
          <w:szCs w:val="19"/>
        </w:rPr>
        <w:t>.</w:t>
      </w:r>
    </w:p>
  </w:footnote>
  <w:footnote w:id="7">
    <w:p w14:paraId="6F95EDAA" w14:textId="77777777" w:rsidR="00917720" w:rsidRPr="00403548" w:rsidRDefault="00917720" w:rsidP="00EC7FDD">
      <w:pPr>
        <w:pStyle w:val="NormalWeb"/>
        <w:spacing w:before="0" w:beforeAutospacing="0" w:after="0" w:afterAutospacing="0"/>
        <w:ind w:firstLine="709"/>
        <w:jc w:val="both"/>
        <w:rPr>
          <w:rFonts w:ascii="Arial" w:hAnsi="Arial" w:cs="Arial"/>
          <w:sz w:val="19"/>
          <w:szCs w:val="19"/>
          <w:lang w:val="es-MX"/>
        </w:rPr>
      </w:pPr>
      <w:r w:rsidRPr="00403548">
        <w:rPr>
          <w:rStyle w:val="Refdenotaalpie"/>
          <w:rFonts w:ascii="Arial" w:hAnsi="Arial" w:cs="Arial"/>
          <w:sz w:val="19"/>
          <w:szCs w:val="19"/>
        </w:rPr>
        <w:footnoteRef/>
      </w:r>
      <w:r w:rsidRPr="00403548">
        <w:rPr>
          <w:rFonts w:ascii="Arial" w:hAnsi="Arial" w:cs="Arial"/>
          <w:sz w:val="19"/>
          <w:szCs w:val="19"/>
        </w:rPr>
        <w:t xml:space="preserve"> </w:t>
      </w:r>
      <w:r w:rsidRPr="00403548">
        <w:rPr>
          <w:rFonts w:ascii="Arial" w:eastAsia="Calibri" w:hAnsi="Arial" w:cs="Arial"/>
          <w:bCs/>
          <w:color w:val="000000"/>
          <w:sz w:val="19"/>
          <w:szCs w:val="19"/>
        </w:rPr>
        <w:t>«</w:t>
      </w:r>
      <w:r w:rsidRPr="00403548">
        <w:rPr>
          <w:rFonts w:ascii="Arial" w:hAnsi="Arial" w:cs="Arial"/>
          <w:sz w:val="19"/>
          <w:szCs w:val="19"/>
          <w:lang w:val="es-MX"/>
        </w:rPr>
        <w:t>Artículo 38. Prohibiciones para los servidores públicos. A los empleados del Estado les está prohibido:</w:t>
      </w:r>
    </w:p>
    <w:p w14:paraId="65CB9548" w14:textId="77777777" w:rsidR="00917720" w:rsidRPr="00403548" w:rsidRDefault="00917720" w:rsidP="00EC7FDD">
      <w:pPr>
        <w:pStyle w:val="NormalWeb"/>
        <w:spacing w:before="0" w:beforeAutospacing="0" w:after="0" w:afterAutospacing="0"/>
        <w:ind w:firstLine="709"/>
        <w:jc w:val="both"/>
        <w:rPr>
          <w:rFonts w:ascii="Arial" w:hAnsi="Arial" w:cs="Arial"/>
          <w:sz w:val="19"/>
          <w:szCs w:val="19"/>
          <w:lang w:val="es-MX"/>
        </w:rPr>
      </w:pPr>
      <w:r w:rsidRPr="00403548">
        <w:rPr>
          <w:rFonts w:ascii="Arial" w:eastAsia="Calibri" w:hAnsi="Arial" w:cs="Arial"/>
          <w:bCs/>
          <w:color w:val="000000"/>
          <w:sz w:val="19"/>
          <w:szCs w:val="19"/>
        </w:rPr>
        <w:t>»</w:t>
      </w:r>
      <w:r w:rsidRPr="00403548">
        <w:rPr>
          <w:rFonts w:ascii="Arial" w:hAnsi="Arial" w:cs="Arial"/>
          <w:sz w:val="19"/>
          <w:szCs w:val="19"/>
          <w:lang w:val="es-MX"/>
        </w:rPr>
        <w:t xml:space="preserve"> […]</w:t>
      </w:r>
    </w:p>
    <w:p w14:paraId="3946DC8C" w14:textId="6CB40541" w:rsidR="005B2206" w:rsidRPr="00403548" w:rsidRDefault="00917720" w:rsidP="00EC7FDD">
      <w:pPr>
        <w:pStyle w:val="NormalWeb"/>
        <w:spacing w:before="0" w:beforeAutospacing="0" w:after="0" w:afterAutospacing="0"/>
        <w:ind w:firstLine="709"/>
        <w:jc w:val="both"/>
        <w:rPr>
          <w:rFonts w:ascii="Arial" w:hAnsi="Arial" w:cs="Arial"/>
          <w:sz w:val="19"/>
          <w:szCs w:val="19"/>
          <w:lang w:val="es-MX"/>
        </w:rPr>
      </w:pPr>
      <w:r w:rsidRPr="00403548">
        <w:rPr>
          <w:rFonts w:ascii="Arial" w:eastAsia="Calibri" w:hAnsi="Arial" w:cs="Arial"/>
          <w:bCs/>
          <w:color w:val="000000"/>
          <w:sz w:val="19"/>
          <w:szCs w:val="19"/>
        </w:rPr>
        <w:t>»</w:t>
      </w:r>
      <w:r w:rsidRPr="00403548">
        <w:rPr>
          <w:rStyle w:val="baj"/>
          <w:rFonts w:ascii="Arial" w:hAnsi="Arial" w:cs="Arial"/>
          <w:sz w:val="19"/>
          <w:szCs w:val="19"/>
          <w:lang w:val="es-MX"/>
        </w:rPr>
        <w:t xml:space="preserve"> Parágrafo.</w:t>
      </w:r>
      <w:r w:rsidRPr="00403548">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03548">
        <w:rPr>
          <w:rFonts w:ascii="Arial" w:eastAsia="Calibri" w:hAnsi="Arial" w:cs="Arial"/>
          <w:bCs/>
          <w:color w:val="000000"/>
          <w:sz w:val="19"/>
          <w:szCs w:val="19"/>
        </w:rPr>
        <w:t>»</w:t>
      </w:r>
      <w:r w:rsidRPr="00403548">
        <w:rPr>
          <w:rFonts w:ascii="Arial" w:hAnsi="Arial" w:cs="Arial"/>
          <w:sz w:val="19"/>
          <w:szCs w:val="19"/>
          <w:lang w:val="es-MX"/>
        </w:rPr>
        <w:t>.</w:t>
      </w:r>
    </w:p>
  </w:footnote>
  <w:footnote w:id="8">
    <w:p w14:paraId="4983D479" w14:textId="0C3038FE" w:rsidR="00917720" w:rsidRPr="00403548" w:rsidRDefault="00917720" w:rsidP="00EC7FDD">
      <w:pPr>
        <w:ind w:left="100" w:right="244" w:firstLine="709"/>
        <w:jc w:val="both"/>
        <w:rPr>
          <w:rFonts w:ascii="Arial" w:hAnsi="Arial" w:cs="Arial"/>
          <w:sz w:val="19"/>
          <w:szCs w:val="19"/>
          <w:lang w:val="es-ES"/>
        </w:rPr>
      </w:pPr>
      <w:r w:rsidRPr="00403548">
        <w:rPr>
          <w:rStyle w:val="Refdenotaalpie"/>
          <w:rFonts w:ascii="Arial" w:hAnsi="Arial" w:cs="Arial"/>
          <w:sz w:val="19"/>
          <w:szCs w:val="19"/>
        </w:rPr>
        <w:footnoteRef/>
      </w:r>
      <w:r w:rsidRPr="00403548">
        <w:rPr>
          <w:rFonts w:ascii="Arial" w:hAnsi="Arial" w:cs="Arial"/>
          <w:sz w:val="19"/>
          <w:szCs w:val="19"/>
        </w:rPr>
        <w:t xml:space="preserve"> Consejo de Estado. Sala de Consulta y Servicio Civil. Concepto del 17 de febrero de 2015. C.P. William Zambrano Cetina. Radicación No. 11001-03-06-000-2015-00164-00(2269).</w:t>
      </w:r>
    </w:p>
  </w:footnote>
  <w:footnote w:id="9">
    <w:p w14:paraId="79ED1F4F" w14:textId="77777777" w:rsidR="00B540D4" w:rsidRPr="00403548" w:rsidRDefault="00B540D4" w:rsidP="00EC7FDD">
      <w:pPr>
        <w:pStyle w:val="Prrafodelista"/>
        <w:tabs>
          <w:tab w:val="left" w:pos="251"/>
        </w:tabs>
        <w:jc w:val="both"/>
        <w:rPr>
          <w:rFonts w:ascii="Arial" w:hAnsi="Arial" w:cs="Arial"/>
          <w:sz w:val="19"/>
          <w:szCs w:val="19"/>
          <w:lang w:val="es-CO"/>
        </w:rPr>
      </w:pPr>
      <w:r w:rsidRPr="00403548">
        <w:rPr>
          <w:rStyle w:val="Refdenotaalpie"/>
          <w:rFonts w:ascii="Arial" w:hAnsi="Arial" w:cs="Arial"/>
          <w:sz w:val="19"/>
          <w:szCs w:val="19"/>
        </w:rPr>
        <w:footnoteRef/>
      </w:r>
      <w:r w:rsidRPr="00403548">
        <w:rPr>
          <w:rFonts w:ascii="Arial" w:hAnsi="Arial" w:cs="Arial"/>
          <w:sz w:val="19"/>
          <w:szCs w:val="19"/>
        </w:rPr>
        <w:t xml:space="preserve"> Código Civil, artículos 1495 y</w:t>
      </w:r>
      <w:r w:rsidRPr="00403548">
        <w:rPr>
          <w:rFonts w:ascii="Arial" w:hAnsi="Arial" w:cs="Arial"/>
          <w:spacing w:val="-5"/>
          <w:sz w:val="19"/>
          <w:szCs w:val="19"/>
        </w:rPr>
        <w:t xml:space="preserve"> </w:t>
      </w:r>
      <w:r w:rsidRPr="00403548">
        <w:rPr>
          <w:rFonts w:ascii="Arial" w:hAnsi="Arial" w:cs="Arial"/>
          <w:sz w:val="19"/>
          <w:szCs w:val="19"/>
        </w:rPr>
        <w:t>1602.</w:t>
      </w:r>
    </w:p>
  </w:footnote>
  <w:footnote w:id="10">
    <w:p w14:paraId="0D155B2C" w14:textId="016B07FE" w:rsidR="00B540D4" w:rsidRPr="00403548" w:rsidRDefault="00B540D4" w:rsidP="00EC7FDD">
      <w:pPr>
        <w:pStyle w:val="Textonotapie"/>
        <w:ind w:firstLine="708"/>
        <w:jc w:val="both"/>
        <w:rPr>
          <w:rFonts w:ascii="Arial" w:hAnsi="Arial" w:cs="Arial"/>
          <w:sz w:val="19"/>
          <w:szCs w:val="19"/>
        </w:rPr>
      </w:pPr>
      <w:r w:rsidRPr="00403548">
        <w:rPr>
          <w:rStyle w:val="Refdenotaalpie"/>
          <w:rFonts w:ascii="Arial" w:hAnsi="Arial" w:cs="Arial"/>
          <w:sz w:val="19"/>
          <w:szCs w:val="19"/>
        </w:rPr>
        <w:footnoteRef/>
      </w:r>
      <w:r w:rsidRPr="00403548">
        <w:rPr>
          <w:rFonts w:ascii="Arial" w:hAnsi="Arial" w:cs="Arial"/>
          <w:sz w:val="19"/>
          <w:szCs w:val="19"/>
        </w:rPr>
        <w:t xml:space="preserve"> PALACIO HINCAPIÉ, Juan Ángel. La contratación de las entidades estatales. 5°° ed. Medellín: Librería Jurídica Sánchez R, 2005. p. 35. </w:t>
      </w:r>
    </w:p>
  </w:footnote>
  <w:footnote w:id="11">
    <w:p w14:paraId="3C6A1BB9" w14:textId="1451EDBA" w:rsidR="00B540D4" w:rsidRPr="00403548" w:rsidRDefault="00B540D4" w:rsidP="00EC7FDD">
      <w:pPr>
        <w:pStyle w:val="Prrafodelista"/>
        <w:tabs>
          <w:tab w:val="left" w:pos="251"/>
        </w:tabs>
        <w:jc w:val="both"/>
        <w:rPr>
          <w:rFonts w:ascii="Arial" w:hAnsi="Arial" w:cs="Arial"/>
          <w:sz w:val="19"/>
          <w:szCs w:val="19"/>
        </w:rPr>
      </w:pPr>
      <w:r w:rsidRPr="00403548">
        <w:rPr>
          <w:rStyle w:val="Refdenotaalpie"/>
          <w:rFonts w:ascii="Arial" w:hAnsi="Arial" w:cs="Arial"/>
          <w:sz w:val="19"/>
          <w:szCs w:val="19"/>
        </w:rPr>
        <w:footnoteRef/>
      </w:r>
      <w:r w:rsidRPr="00403548">
        <w:rPr>
          <w:rFonts w:ascii="Arial" w:hAnsi="Arial" w:cs="Arial"/>
          <w:sz w:val="19"/>
          <w:szCs w:val="19"/>
        </w:rPr>
        <w:t xml:space="preserve"> Ley 80 de 1993, artículo 3 y</w:t>
      </w:r>
      <w:r w:rsidRPr="00403548">
        <w:rPr>
          <w:rFonts w:ascii="Arial" w:hAnsi="Arial" w:cs="Arial"/>
          <w:spacing w:val="-10"/>
          <w:sz w:val="19"/>
          <w:szCs w:val="19"/>
        </w:rPr>
        <w:t xml:space="preserve"> </w:t>
      </w:r>
      <w:r w:rsidRPr="00403548">
        <w:rPr>
          <w:rFonts w:ascii="Arial" w:hAnsi="Arial" w:cs="Arial"/>
          <w:sz w:val="19"/>
          <w:szCs w:val="19"/>
        </w:rPr>
        <w:t>40.</w:t>
      </w:r>
    </w:p>
  </w:footnote>
  <w:footnote w:id="12">
    <w:p w14:paraId="66A5F182" w14:textId="4552A363" w:rsidR="00B540D4" w:rsidRPr="00403548" w:rsidRDefault="00B540D4" w:rsidP="00EC7FDD">
      <w:pPr>
        <w:pStyle w:val="Prrafodelista"/>
        <w:tabs>
          <w:tab w:val="left" w:pos="251"/>
        </w:tabs>
        <w:jc w:val="both"/>
        <w:rPr>
          <w:rFonts w:ascii="Arial" w:hAnsi="Arial" w:cs="Arial"/>
          <w:sz w:val="19"/>
          <w:szCs w:val="19"/>
        </w:rPr>
      </w:pPr>
      <w:r w:rsidRPr="00403548">
        <w:rPr>
          <w:rStyle w:val="Refdenotaalpie"/>
          <w:rFonts w:ascii="Arial" w:hAnsi="Arial" w:cs="Arial"/>
          <w:sz w:val="19"/>
          <w:szCs w:val="19"/>
        </w:rPr>
        <w:footnoteRef/>
      </w:r>
      <w:r w:rsidRPr="00403548">
        <w:rPr>
          <w:rFonts w:ascii="Arial" w:hAnsi="Arial" w:cs="Arial"/>
          <w:sz w:val="19"/>
          <w:szCs w:val="19"/>
        </w:rPr>
        <w:t xml:space="preserve"> Constitución Política, artículo</w:t>
      </w:r>
      <w:r w:rsidRPr="00403548">
        <w:rPr>
          <w:rFonts w:ascii="Arial" w:hAnsi="Arial" w:cs="Arial"/>
          <w:spacing w:val="-1"/>
          <w:sz w:val="19"/>
          <w:szCs w:val="19"/>
        </w:rPr>
        <w:t xml:space="preserve"> </w:t>
      </w:r>
      <w:r w:rsidRPr="00403548">
        <w:rPr>
          <w:rFonts w:ascii="Arial" w:hAnsi="Arial" w:cs="Arial"/>
          <w:sz w:val="19"/>
          <w:szCs w:val="19"/>
        </w:rPr>
        <w:t xml:space="preserve">209. </w:t>
      </w:r>
    </w:p>
  </w:footnote>
  <w:footnote w:id="13">
    <w:p w14:paraId="072EE7D7" w14:textId="77777777" w:rsidR="00B540D4" w:rsidRPr="00403548" w:rsidRDefault="00B540D4" w:rsidP="00EC7FDD">
      <w:pPr>
        <w:ind w:firstLine="709"/>
        <w:contextualSpacing/>
        <w:jc w:val="both"/>
        <w:rPr>
          <w:rFonts w:ascii="Arial" w:hAnsi="Arial" w:cs="Arial"/>
          <w:sz w:val="19"/>
          <w:szCs w:val="19"/>
        </w:rPr>
      </w:pPr>
      <w:r w:rsidRPr="00403548">
        <w:rPr>
          <w:rStyle w:val="Refdenotaalpie"/>
          <w:rFonts w:ascii="Arial" w:hAnsi="Arial" w:cs="Arial"/>
          <w:sz w:val="19"/>
          <w:szCs w:val="19"/>
        </w:rPr>
        <w:footnoteRef/>
      </w:r>
      <w:r w:rsidRPr="00403548">
        <w:rPr>
          <w:rFonts w:ascii="Arial" w:hAnsi="Arial" w:cs="Arial"/>
          <w:sz w:val="19"/>
          <w:szCs w:val="19"/>
        </w:rPr>
        <w:t xml:space="preserve"> Decreto 1082 de 2015: «Artículo 2.2.1.2.1.4.4. Convenios o contratos interadministrativos. La modalidad de selección para la contratación entre Entidades Estatales es la contratación directa; </w:t>
      </w:r>
      <w:r w:rsidRPr="00403548">
        <w:rPr>
          <w:rFonts w:ascii="Arial" w:hAnsi="Arial" w:cs="Arial"/>
          <w:sz w:val="19"/>
          <w:szCs w:val="19"/>
        </w:rPr>
        <w:t>y en consecuencia, le es aplicable lo establecido en el artículo 2.2.1.2.1.4.1 del presente decreto.</w:t>
      </w:r>
    </w:p>
    <w:p w14:paraId="416772CE" w14:textId="12BA6035" w:rsidR="00B540D4" w:rsidRPr="00403548" w:rsidRDefault="00B540D4" w:rsidP="00EC7FDD">
      <w:pPr>
        <w:ind w:firstLine="709"/>
        <w:contextualSpacing/>
        <w:jc w:val="both"/>
        <w:rPr>
          <w:rFonts w:ascii="Arial" w:hAnsi="Arial" w:cs="Arial"/>
          <w:sz w:val="19"/>
          <w:szCs w:val="19"/>
        </w:rPr>
      </w:pPr>
      <w:r w:rsidRPr="00403548">
        <w:rPr>
          <w:rFonts w:ascii="Arial" w:hAnsi="Arial" w:cs="Arial"/>
          <w:sz w:val="19"/>
          <w:szCs w:val="19"/>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403548">
        <w:rPr>
          <w:rFonts w:ascii="Arial" w:hAnsi="Arial" w:cs="Arial"/>
          <w:spacing w:val="-1"/>
          <w:sz w:val="19"/>
          <w:szCs w:val="19"/>
        </w:rPr>
        <w:t xml:space="preserve"> </w:t>
      </w:r>
      <w:r w:rsidRPr="00403548">
        <w:rPr>
          <w:rFonts w:ascii="Arial" w:hAnsi="Arial" w:cs="Arial"/>
          <w:sz w:val="19"/>
          <w:szCs w:val="19"/>
        </w:rPr>
        <w:t>Estatales».</w:t>
      </w:r>
    </w:p>
  </w:footnote>
  <w:footnote w:id="14">
    <w:p w14:paraId="38AC0D8C" w14:textId="77777777" w:rsidR="00B540D4" w:rsidRPr="00403548" w:rsidRDefault="00B540D4" w:rsidP="00EC7FDD">
      <w:pPr>
        <w:ind w:firstLine="709"/>
        <w:contextualSpacing/>
        <w:jc w:val="both"/>
        <w:rPr>
          <w:rFonts w:ascii="Arial" w:hAnsi="Arial" w:cs="Arial"/>
          <w:sz w:val="19"/>
          <w:szCs w:val="19"/>
        </w:rPr>
      </w:pPr>
      <w:r w:rsidRPr="00403548">
        <w:rPr>
          <w:rStyle w:val="Refdenotaalpie"/>
          <w:rFonts w:ascii="Arial" w:hAnsi="Arial" w:cs="Arial"/>
          <w:sz w:val="19"/>
          <w:szCs w:val="19"/>
        </w:rPr>
        <w:footnoteRef/>
      </w:r>
      <w:r w:rsidRPr="00403548">
        <w:rPr>
          <w:rFonts w:ascii="Arial" w:hAnsi="Arial" w:cs="Arial"/>
          <w:sz w:val="19"/>
          <w:szCs w:val="19"/>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403548">
        <w:rPr>
          <w:rFonts w:ascii="Arial" w:hAnsi="Arial" w:cs="Arial"/>
          <w:spacing w:val="-6"/>
          <w:sz w:val="19"/>
          <w:szCs w:val="19"/>
        </w:rPr>
        <w:t xml:space="preserve"> </w:t>
      </w:r>
      <w:r w:rsidRPr="00403548">
        <w:rPr>
          <w:rFonts w:ascii="Arial" w:hAnsi="Arial" w:cs="Arial"/>
          <w:sz w:val="19"/>
          <w:szCs w:val="19"/>
        </w:rPr>
        <w:t>artículo».</w:t>
      </w:r>
    </w:p>
    <w:p w14:paraId="3B907CFD" w14:textId="77777777" w:rsidR="00B540D4" w:rsidRPr="00403548" w:rsidRDefault="00B540D4" w:rsidP="00EC7FDD">
      <w:pPr>
        <w:pStyle w:val="Textonotapie"/>
        <w:contextualSpacing/>
        <w:jc w:val="both"/>
        <w:rPr>
          <w:rFonts w:ascii="Arial" w:hAnsi="Arial" w:cs="Arial"/>
          <w:sz w:val="19"/>
          <w:szCs w:val="19"/>
        </w:rPr>
      </w:pPr>
    </w:p>
  </w:footnote>
  <w:footnote w:id="15">
    <w:p w14:paraId="3117DA8A" w14:textId="77777777" w:rsidR="00B540D4" w:rsidRPr="00403548" w:rsidRDefault="00B540D4" w:rsidP="00EC7FDD">
      <w:pPr>
        <w:pStyle w:val="Textonotapie"/>
        <w:ind w:firstLine="708"/>
        <w:jc w:val="both"/>
        <w:rPr>
          <w:sz w:val="19"/>
          <w:szCs w:val="19"/>
        </w:rPr>
      </w:pPr>
      <w:r w:rsidRPr="00403548">
        <w:rPr>
          <w:rStyle w:val="Refdenotaalpie"/>
          <w:sz w:val="19"/>
          <w:szCs w:val="19"/>
        </w:rPr>
        <w:footnoteRef/>
      </w:r>
      <w:r w:rsidRPr="00403548">
        <w:rPr>
          <w:sz w:val="19"/>
          <w:szCs w:val="19"/>
        </w:rPr>
        <w:t xml:space="preserve"> </w:t>
      </w:r>
      <w:r w:rsidRPr="00403548">
        <w:rPr>
          <w:rFonts w:ascii="Arial" w:hAnsi="Arial" w:cs="Arial"/>
          <w:sz w:val="19"/>
          <w:szCs w:val="19"/>
        </w:rPr>
        <w:t>Consejo de Estado. Sección Tercera. Sentencia del 23 de junio de 2010. Radicación No. 66001-23-31-000-1998-00261-01(17.860). Consejero Ponente: Mauricio Fajardo Gómez.</w:t>
      </w:r>
    </w:p>
  </w:footnote>
  <w:footnote w:id="16">
    <w:p w14:paraId="7B27B7CC" w14:textId="77777777" w:rsidR="00B540D4" w:rsidRPr="00403548" w:rsidRDefault="00B540D4" w:rsidP="00EC7FDD">
      <w:pPr>
        <w:ind w:firstLine="709"/>
        <w:contextualSpacing/>
        <w:jc w:val="both"/>
        <w:rPr>
          <w:rFonts w:ascii="Arial" w:hAnsi="Arial" w:cs="Arial"/>
          <w:sz w:val="19"/>
          <w:szCs w:val="19"/>
        </w:rPr>
      </w:pPr>
      <w:r w:rsidRPr="00403548">
        <w:rPr>
          <w:rStyle w:val="Refdenotaalpie"/>
          <w:rFonts w:ascii="Arial" w:hAnsi="Arial" w:cs="Arial"/>
          <w:sz w:val="19"/>
          <w:szCs w:val="19"/>
        </w:rPr>
        <w:footnoteRef/>
      </w:r>
      <w:r w:rsidRPr="00403548">
        <w:rPr>
          <w:rFonts w:ascii="Arial" w:hAnsi="Arial" w:cs="Arial"/>
          <w:sz w:val="19"/>
          <w:szCs w:val="19"/>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403548">
        <w:rPr>
          <w:rFonts w:ascii="Arial" w:hAnsi="Arial" w:cs="Arial"/>
          <w:spacing w:val="-6"/>
          <w:sz w:val="19"/>
          <w:szCs w:val="19"/>
        </w:rPr>
        <w:t xml:space="preserve"> </w:t>
      </w:r>
      <w:r w:rsidRPr="00403548">
        <w:rPr>
          <w:rFonts w:ascii="Arial" w:hAnsi="Arial" w:cs="Arial"/>
          <w:sz w:val="19"/>
          <w:szCs w:val="19"/>
        </w:rPr>
        <w:t>artículo</w:t>
      </w:r>
    </w:p>
    <w:p w14:paraId="7C1F679F" w14:textId="29495F75" w:rsidR="00B540D4" w:rsidRPr="00403548" w:rsidRDefault="00B540D4" w:rsidP="0054211B">
      <w:pPr>
        <w:ind w:firstLine="708"/>
        <w:contextualSpacing/>
        <w:jc w:val="both"/>
        <w:rPr>
          <w:rFonts w:ascii="Arial" w:hAnsi="Arial" w:cs="Arial"/>
          <w:sz w:val="19"/>
          <w:szCs w:val="19"/>
        </w:rPr>
      </w:pPr>
      <w:r w:rsidRPr="00403548">
        <w:rPr>
          <w:rFonts w:ascii="Arial" w:hAnsi="Arial" w:cs="Arial"/>
          <w:sz w:val="19"/>
          <w:szCs w:val="19"/>
        </w:rPr>
        <w:t>»[...]».</w:t>
      </w:r>
    </w:p>
  </w:footnote>
  <w:footnote w:id="17">
    <w:p w14:paraId="6944562C" w14:textId="370D718C" w:rsidR="00B540D4" w:rsidRPr="00403548" w:rsidRDefault="00B540D4" w:rsidP="00EC7FDD">
      <w:pPr>
        <w:ind w:firstLine="709"/>
        <w:contextualSpacing/>
        <w:jc w:val="both"/>
        <w:rPr>
          <w:rFonts w:ascii="Arial" w:hAnsi="Arial" w:cs="Arial"/>
          <w:sz w:val="19"/>
          <w:szCs w:val="19"/>
        </w:rPr>
      </w:pPr>
      <w:r w:rsidRPr="00403548">
        <w:rPr>
          <w:rStyle w:val="Refdenotaalpie"/>
          <w:rFonts w:ascii="Arial" w:hAnsi="Arial" w:cs="Arial"/>
          <w:sz w:val="19"/>
          <w:szCs w:val="19"/>
        </w:rPr>
        <w:footnoteRef/>
      </w:r>
      <w:r w:rsidRPr="00403548">
        <w:rPr>
          <w:rFonts w:ascii="Arial" w:hAnsi="Arial" w:cs="Arial"/>
          <w:sz w:val="19"/>
          <w:szCs w:val="19"/>
        </w:rPr>
        <w:t xml:space="preserve"> Consejo de Estado. Sección Tercera. Subsección C. Sentencia del 11 de diciembre de 2019. </w:t>
      </w:r>
      <w:proofErr w:type="spellStart"/>
      <w:r w:rsidRPr="00403548">
        <w:rPr>
          <w:rFonts w:ascii="Arial" w:hAnsi="Arial" w:cs="Arial"/>
          <w:sz w:val="19"/>
          <w:szCs w:val="19"/>
        </w:rPr>
        <w:t>Exp</w:t>
      </w:r>
      <w:proofErr w:type="spellEnd"/>
      <w:r w:rsidRPr="00403548">
        <w:rPr>
          <w:rFonts w:ascii="Arial" w:hAnsi="Arial" w:cs="Arial"/>
          <w:sz w:val="19"/>
          <w:szCs w:val="19"/>
        </w:rPr>
        <w:t>. 46.986. C.P. Jaime Enrique Rodríguez Navas.</w:t>
      </w:r>
    </w:p>
  </w:footnote>
  <w:footnote w:id="18">
    <w:p w14:paraId="19729474" w14:textId="6F9DACC2" w:rsidR="00B540D4" w:rsidRPr="00403548" w:rsidRDefault="00B540D4" w:rsidP="00EC7FDD">
      <w:pPr>
        <w:pStyle w:val="Textonotapie"/>
        <w:ind w:firstLine="708"/>
        <w:contextualSpacing/>
        <w:jc w:val="both"/>
        <w:rPr>
          <w:rFonts w:ascii="Arial" w:hAnsi="Arial" w:cs="Arial"/>
          <w:sz w:val="19"/>
          <w:szCs w:val="19"/>
        </w:rPr>
      </w:pPr>
      <w:r w:rsidRPr="00403548">
        <w:rPr>
          <w:rStyle w:val="Refdenotaalpie"/>
          <w:rFonts w:ascii="Arial" w:hAnsi="Arial" w:cs="Arial"/>
          <w:sz w:val="19"/>
          <w:szCs w:val="19"/>
        </w:rPr>
        <w:footnoteRef/>
      </w:r>
      <w:r w:rsidRPr="00403548">
        <w:rPr>
          <w:rFonts w:ascii="Arial" w:hAnsi="Arial" w:cs="Arial"/>
          <w:sz w:val="19"/>
          <w:szCs w:val="19"/>
        </w:rPr>
        <w:t xml:space="preserve"> [Referencia propia de la cita] «CE. SCSC. Concepto de 1 de noviembre de 2016 [Rad. 11001-03-06-000-2016-00125-00(2305)]. MP. Germán Alberto Bula Escobar».</w:t>
      </w:r>
    </w:p>
  </w:footnote>
  <w:footnote w:id="19">
    <w:p w14:paraId="5BB5F20B" w14:textId="77777777" w:rsidR="00B540D4" w:rsidRPr="00403548" w:rsidRDefault="00B540D4" w:rsidP="00EC7FDD">
      <w:pPr>
        <w:pStyle w:val="Textonotapie"/>
        <w:ind w:firstLine="708"/>
        <w:contextualSpacing/>
        <w:jc w:val="both"/>
        <w:rPr>
          <w:rFonts w:ascii="Arial" w:hAnsi="Arial" w:cs="Arial"/>
          <w:sz w:val="19"/>
          <w:szCs w:val="19"/>
        </w:rPr>
      </w:pPr>
      <w:r w:rsidRPr="00403548">
        <w:rPr>
          <w:rStyle w:val="Refdenotaalpie"/>
          <w:rFonts w:ascii="Arial" w:hAnsi="Arial" w:cs="Arial"/>
          <w:sz w:val="19"/>
          <w:szCs w:val="19"/>
        </w:rPr>
        <w:footnoteRef/>
      </w:r>
      <w:r w:rsidRPr="00403548">
        <w:rPr>
          <w:rFonts w:ascii="Arial" w:hAnsi="Arial" w:cs="Arial"/>
          <w:sz w:val="19"/>
          <w:szCs w:val="19"/>
        </w:rPr>
        <w:t xml:space="preserve"> [Referencia propia de la cita] «CE. SCSC. Concepto de 30 de abril de 2008 [Rad. 11001-03-06-000-2008-00013-00(1881)]. MP. Enrique José Arboleda Perdomo. En esta oportunidad, la Sala indicó que el contenido </w:t>
      </w:r>
      <w:r w:rsidRPr="00403548">
        <w:rPr>
          <w:rFonts w:ascii="Arial" w:hAnsi="Arial" w:cs="Arial"/>
          <w:i/>
          <w:sz w:val="19"/>
          <w:szCs w:val="19"/>
        </w:rPr>
        <w:t>“obligacional”</w:t>
      </w:r>
      <w:r w:rsidRPr="00403548">
        <w:rPr>
          <w:rFonts w:ascii="Arial" w:hAnsi="Arial" w:cs="Arial"/>
          <w:sz w:val="19"/>
          <w:szCs w:val="19"/>
        </w:rPr>
        <w:t xml:space="preserve"> de los convenios se estructura definiendo el resultado querido por las partes y los medios que cada entidad despliega para la obtención del respectivo objeto».</w:t>
      </w:r>
    </w:p>
  </w:footnote>
  <w:footnote w:id="20">
    <w:p w14:paraId="79D2E848" w14:textId="1BD48FD8" w:rsidR="00B540D4" w:rsidRPr="00403548" w:rsidRDefault="00B540D4" w:rsidP="00EC7FDD">
      <w:pPr>
        <w:pStyle w:val="Textonotapie"/>
        <w:ind w:firstLine="708"/>
        <w:contextualSpacing/>
        <w:jc w:val="both"/>
        <w:rPr>
          <w:rFonts w:ascii="Arial" w:hAnsi="Arial" w:cs="Arial"/>
          <w:sz w:val="19"/>
          <w:szCs w:val="19"/>
        </w:rPr>
      </w:pPr>
      <w:r w:rsidRPr="00403548">
        <w:rPr>
          <w:rStyle w:val="Refdenotaalpie"/>
          <w:rFonts w:ascii="Arial" w:hAnsi="Arial" w:cs="Arial"/>
          <w:sz w:val="19"/>
          <w:szCs w:val="19"/>
        </w:rPr>
        <w:footnoteRef/>
      </w:r>
      <w:r w:rsidRPr="00403548">
        <w:rPr>
          <w:rFonts w:ascii="Arial" w:hAnsi="Arial" w:cs="Arial"/>
          <w:sz w:val="19"/>
          <w:szCs w:val="19"/>
        </w:rPr>
        <w:t xml:space="preserve"> [Referencia propia de la cita] «La normativa vigente del EGCAP </w:t>
      </w:r>
      <w:r w:rsidRPr="00403548">
        <w:rPr>
          <w:rFonts w:ascii="Arial" w:hAnsi="Arial" w:cs="Arial"/>
          <w:i/>
          <w:sz w:val="19"/>
          <w:szCs w:val="19"/>
        </w:rPr>
        <w:t>[literal c) del numeral 4. del artículo 2 de la Ley 1150/07]</w:t>
      </w:r>
      <w:r w:rsidRPr="00403548">
        <w:rPr>
          <w:rFonts w:ascii="Arial" w:hAnsi="Arial" w:cs="Arial"/>
          <w:sz w:val="19"/>
          <w:szCs w:val="19"/>
        </w:rPr>
        <w:t xml:space="preserve"> se refiere a </w:t>
      </w:r>
      <w:r w:rsidRPr="00403548">
        <w:rPr>
          <w:rFonts w:ascii="Arial" w:hAnsi="Arial" w:cs="Arial"/>
          <w:i/>
          <w:sz w:val="19"/>
          <w:szCs w:val="19"/>
        </w:rPr>
        <w:t>“contratos interadministrativos”</w:t>
      </w:r>
      <w:r w:rsidRPr="00403548">
        <w:rPr>
          <w:rFonts w:ascii="Arial" w:hAnsi="Arial" w:cs="Arial"/>
          <w:sz w:val="19"/>
          <w:szCs w:val="19"/>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21">
    <w:p w14:paraId="6DEEACED" w14:textId="054D4B6F" w:rsidR="00B540D4" w:rsidRPr="00403548" w:rsidRDefault="00B540D4" w:rsidP="00EC7FDD">
      <w:pPr>
        <w:pStyle w:val="Textonotapie"/>
        <w:ind w:firstLine="708"/>
        <w:contextualSpacing/>
        <w:jc w:val="both"/>
        <w:rPr>
          <w:rFonts w:ascii="Arial" w:hAnsi="Arial" w:cs="Arial"/>
          <w:sz w:val="19"/>
          <w:szCs w:val="19"/>
        </w:rPr>
      </w:pPr>
      <w:r w:rsidRPr="00403548">
        <w:rPr>
          <w:rStyle w:val="Refdenotaalpie"/>
          <w:rFonts w:ascii="Arial" w:hAnsi="Arial" w:cs="Arial"/>
          <w:sz w:val="19"/>
          <w:szCs w:val="19"/>
        </w:rPr>
        <w:footnoteRef/>
      </w:r>
      <w:r w:rsidRPr="00403548">
        <w:rPr>
          <w:rFonts w:ascii="Arial" w:hAnsi="Arial" w:cs="Arial"/>
          <w:sz w:val="19"/>
          <w:szCs w:val="19"/>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w:t>
      </w:r>
      <w:proofErr w:type="spellStart"/>
      <w:r w:rsidRPr="00403548">
        <w:rPr>
          <w:rFonts w:ascii="Arial" w:hAnsi="Arial" w:cs="Arial"/>
          <w:sz w:val="19"/>
          <w:szCs w:val="19"/>
        </w:rPr>
        <w:t>Exp</w:t>
      </w:r>
      <w:proofErr w:type="spellEnd"/>
      <w:r w:rsidRPr="00403548">
        <w:rPr>
          <w:rFonts w:ascii="Arial" w:hAnsi="Arial" w:cs="Arial"/>
          <w:sz w:val="19"/>
          <w:szCs w:val="19"/>
        </w:rPr>
        <w:t xml:space="preserve">. 2.257. M.P. Álvaro </w:t>
      </w:r>
      <w:proofErr w:type="spellStart"/>
      <w:r w:rsidRPr="00403548">
        <w:rPr>
          <w:rFonts w:ascii="Arial" w:hAnsi="Arial" w:cs="Arial"/>
          <w:sz w:val="19"/>
          <w:szCs w:val="19"/>
        </w:rPr>
        <w:t>Namén</w:t>
      </w:r>
      <w:proofErr w:type="spellEnd"/>
      <w:r w:rsidRPr="00403548">
        <w:rPr>
          <w:rFonts w:ascii="Arial" w:hAnsi="Arial" w:cs="Arial"/>
          <w:sz w:val="19"/>
          <w:szCs w:val="19"/>
        </w:rPr>
        <w:t xml:space="preserve"> Vargas)</w:t>
      </w:r>
    </w:p>
  </w:footnote>
  <w:footnote w:id="22">
    <w:p w14:paraId="067B1547" w14:textId="379D4270" w:rsidR="00B540D4" w:rsidRPr="00403548" w:rsidRDefault="00B540D4" w:rsidP="00EC7FDD">
      <w:pPr>
        <w:pStyle w:val="Textonotapie"/>
        <w:ind w:firstLine="708"/>
        <w:contextualSpacing/>
        <w:jc w:val="both"/>
        <w:rPr>
          <w:rFonts w:ascii="Arial" w:hAnsi="Arial" w:cs="Arial"/>
          <w:sz w:val="19"/>
          <w:szCs w:val="19"/>
        </w:rPr>
      </w:pPr>
      <w:r w:rsidRPr="00403548">
        <w:rPr>
          <w:rStyle w:val="Refdenotaalpie"/>
          <w:rFonts w:ascii="Arial" w:hAnsi="Arial" w:cs="Arial"/>
          <w:sz w:val="19"/>
          <w:szCs w:val="19"/>
        </w:rPr>
        <w:footnoteRef/>
      </w:r>
      <w:r w:rsidRPr="00403548">
        <w:rPr>
          <w:rFonts w:ascii="Arial" w:hAnsi="Arial" w:cs="Arial"/>
          <w:sz w:val="19"/>
          <w:szCs w:val="19"/>
        </w:rPr>
        <w:t xml:space="preserve"> Es lo que sucede, por ejemplo, con el Decreto 092 de 2017, que en su desarrollo hace referencia tanto a los «contratos» como a los «convenios». </w:t>
      </w:r>
    </w:p>
  </w:footnote>
  <w:footnote w:id="23">
    <w:p w14:paraId="3AEBE5B0" w14:textId="77777777" w:rsidR="00B540D4" w:rsidRPr="00403548" w:rsidRDefault="00B540D4" w:rsidP="00EC7FDD">
      <w:pPr>
        <w:pStyle w:val="Textonotapie"/>
        <w:ind w:firstLine="708"/>
        <w:contextualSpacing/>
        <w:jc w:val="both"/>
        <w:rPr>
          <w:rFonts w:ascii="Arial" w:hAnsi="Arial" w:cs="Arial"/>
          <w:sz w:val="19"/>
          <w:szCs w:val="19"/>
          <w:lang w:val="es-CO"/>
        </w:rPr>
      </w:pPr>
      <w:r w:rsidRPr="00403548">
        <w:rPr>
          <w:rStyle w:val="Refdenotaalpie"/>
          <w:rFonts w:ascii="Arial" w:hAnsi="Arial" w:cs="Arial"/>
          <w:sz w:val="19"/>
          <w:szCs w:val="19"/>
        </w:rPr>
        <w:footnoteRef/>
      </w:r>
      <w:r w:rsidRPr="00403548">
        <w:rPr>
          <w:rFonts w:ascii="Arial" w:hAnsi="Arial" w:cs="Arial"/>
          <w:sz w:val="19"/>
          <w:szCs w:val="19"/>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24">
    <w:p w14:paraId="2B60BD5A" w14:textId="77777777" w:rsidR="00646880" w:rsidRPr="00403548" w:rsidRDefault="00646880" w:rsidP="00EC7FDD">
      <w:pPr>
        <w:pStyle w:val="Textonotapie"/>
        <w:ind w:right="51" w:firstLine="709"/>
        <w:jc w:val="both"/>
        <w:rPr>
          <w:rFonts w:ascii="Arial" w:eastAsia="Calibri" w:hAnsi="Arial" w:cs="Arial"/>
          <w:sz w:val="19"/>
          <w:szCs w:val="19"/>
        </w:rPr>
      </w:pPr>
      <w:r w:rsidRPr="00403548">
        <w:rPr>
          <w:rStyle w:val="Refdenotaalpie"/>
          <w:rFonts w:ascii="Arial" w:hAnsi="Arial" w:cs="Arial"/>
          <w:sz w:val="19"/>
          <w:szCs w:val="19"/>
        </w:rPr>
        <w:footnoteRef/>
      </w:r>
      <w:r w:rsidRPr="00403548">
        <w:rPr>
          <w:rFonts w:ascii="Arial" w:hAnsi="Arial" w:cs="Arial"/>
          <w:sz w:val="19"/>
          <w:szCs w:val="19"/>
        </w:rPr>
        <w:t xml:space="preserve"> </w:t>
      </w:r>
      <w:bookmarkStart w:id="24" w:name="_Hlk74272731"/>
      <w:r w:rsidRPr="00403548">
        <w:rPr>
          <w:rFonts w:ascii="Arial" w:hAnsi="Arial" w:cs="Arial"/>
          <w:sz w:val="19"/>
          <w:szCs w:val="19"/>
        </w:rPr>
        <w:t>«</w:t>
      </w:r>
      <w:bookmarkEnd w:id="24"/>
      <w:r w:rsidRPr="00403548">
        <w:rPr>
          <w:rFonts w:ascii="Arial" w:hAnsi="Arial" w:cs="Arial"/>
          <w:sz w:val="19"/>
          <w:szCs w:val="19"/>
          <w:lang w:val="es-ES"/>
        </w:rPr>
        <w:t xml:space="preserve">[25] </w:t>
      </w:r>
      <w:r w:rsidRPr="00403548">
        <w:rPr>
          <w:rFonts w:ascii="Arial" w:hAnsi="Arial" w:cs="Arial"/>
          <w:sz w:val="19"/>
          <w:szCs w:val="19"/>
        </w:rPr>
        <w:t>Cfr. Consejo de Estado. Sección Tercera. Sentencia de 3 de diciembre de 2007. Radicados: 24.715, 25.206, 25.409, 24.524, 27.834, 25.410, 26.105, 28.244, 31.447 -acumulados-</w:t>
      </w:r>
      <w:bookmarkStart w:id="25" w:name="_Hlk74271358"/>
      <w:r w:rsidRPr="00403548">
        <w:rPr>
          <w:rFonts w:ascii="Arial" w:hAnsi="Arial" w:cs="Arial"/>
          <w:sz w:val="19"/>
          <w:szCs w:val="19"/>
        </w:rPr>
        <w:t>»</w:t>
      </w:r>
      <w:bookmarkEnd w:id="25"/>
      <w:r w:rsidRPr="00403548">
        <w:rPr>
          <w:rFonts w:ascii="Arial" w:hAnsi="Arial" w:cs="Arial"/>
          <w:sz w:val="19"/>
          <w:szCs w:val="19"/>
        </w:rPr>
        <w:t>.</w:t>
      </w:r>
    </w:p>
  </w:footnote>
  <w:footnote w:id="25">
    <w:p w14:paraId="394CEB61" w14:textId="77777777" w:rsidR="00646880" w:rsidRPr="00403548" w:rsidRDefault="00646880" w:rsidP="00EC7FDD">
      <w:pPr>
        <w:pStyle w:val="Textonotapie"/>
        <w:ind w:right="51" w:firstLine="709"/>
        <w:jc w:val="both"/>
        <w:rPr>
          <w:rFonts w:ascii="Arial" w:hAnsi="Arial" w:cs="Arial"/>
          <w:sz w:val="19"/>
          <w:szCs w:val="19"/>
        </w:rPr>
      </w:pPr>
      <w:r w:rsidRPr="00403548">
        <w:rPr>
          <w:rStyle w:val="Refdenotaalpie"/>
          <w:rFonts w:ascii="Arial" w:hAnsi="Arial" w:cs="Arial"/>
          <w:sz w:val="19"/>
          <w:szCs w:val="19"/>
        </w:rPr>
        <w:footnoteRef/>
      </w:r>
      <w:r w:rsidRPr="00403548">
        <w:rPr>
          <w:rFonts w:ascii="Arial" w:hAnsi="Arial" w:cs="Arial"/>
          <w:sz w:val="19"/>
          <w:szCs w:val="19"/>
        </w:rPr>
        <w:t xml:space="preserve"> </w:t>
      </w:r>
      <w:bookmarkStart w:id="27" w:name="_Hlk74294506"/>
      <w:r w:rsidRPr="00403548">
        <w:rPr>
          <w:rFonts w:ascii="Arial" w:hAnsi="Arial" w:cs="Arial"/>
          <w:sz w:val="19"/>
          <w:szCs w:val="19"/>
        </w:rPr>
        <w:t>«</w:t>
      </w:r>
      <w:r w:rsidRPr="00403548">
        <w:rPr>
          <w:rFonts w:ascii="Arial" w:hAnsi="Arial" w:cs="Arial"/>
          <w:sz w:val="19"/>
          <w:szCs w:val="19"/>
          <w:lang w:val="es-ES"/>
        </w:rPr>
        <w:t xml:space="preserve">[26] </w:t>
      </w:r>
      <w:bookmarkEnd w:id="27"/>
      <w:r w:rsidRPr="00403548">
        <w:rPr>
          <w:rFonts w:ascii="Arial" w:hAnsi="Arial" w:cs="Arial"/>
          <w:sz w:val="19"/>
          <w:szCs w:val="19"/>
        </w:rPr>
        <w:t>Al respecto ver el concepto 1712 de 2 de febrero de 2006. Consejo de Estado Sala de Consulta y Servicio Civil».</w:t>
      </w:r>
    </w:p>
  </w:footnote>
  <w:footnote w:id="26">
    <w:p w14:paraId="56EECABB" w14:textId="77777777" w:rsidR="00646880" w:rsidRPr="00403548" w:rsidRDefault="00646880" w:rsidP="00EC7FDD">
      <w:pPr>
        <w:pStyle w:val="Textonotapie"/>
        <w:ind w:firstLine="709"/>
        <w:jc w:val="both"/>
        <w:rPr>
          <w:rFonts w:ascii="Arial" w:hAnsi="Arial" w:cs="Arial"/>
          <w:sz w:val="19"/>
          <w:szCs w:val="19"/>
        </w:rPr>
      </w:pPr>
      <w:r w:rsidRPr="00403548">
        <w:rPr>
          <w:rStyle w:val="Refdenotaalpie"/>
          <w:rFonts w:ascii="Arial" w:hAnsi="Arial" w:cs="Arial"/>
          <w:sz w:val="19"/>
          <w:szCs w:val="19"/>
        </w:rPr>
        <w:footnoteRef/>
      </w:r>
      <w:r w:rsidRPr="00403548">
        <w:rPr>
          <w:rFonts w:ascii="Arial" w:hAnsi="Arial" w:cs="Arial"/>
          <w:sz w:val="19"/>
          <w:szCs w:val="19"/>
        </w:rPr>
        <w:t xml:space="preserve"> Consejo de Estado. Sala de Consulta y Servicio Civil. Concepto del 2 de septiembre de 2013. Radicación número: 11001-03-06-000-2013-00412-00 (2168). Consejero Ponente: Álvaro </w:t>
      </w:r>
      <w:proofErr w:type="spellStart"/>
      <w:r w:rsidRPr="00403548">
        <w:rPr>
          <w:rFonts w:ascii="Arial" w:hAnsi="Arial" w:cs="Arial"/>
          <w:sz w:val="19"/>
          <w:szCs w:val="19"/>
        </w:rPr>
        <w:t>Namén</w:t>
      </w:r>
      <w:proofErr w:type="spellEnd"/>
      <w:r w:rsidRPr="00403548">
        <w:rPr>
          <w:rFonts w:ascii="Arial" w:hAnsi="Arial" w:cs="Arial"/>
          <w:sz w:val="19"/>
          <w:szCs w:val="19"/>
        </w:rPr>
        <w:t xml:space="preserve"> Vargas.</w:t>
      </w:r>
    </w:p>
  </w:footnote>
  <w:footnote w:id="27">
    <w:p w14:paraId="21E44C0A" w14:textId="77777777" w:rsidR="00646880" w:rsidRPr="00403548" w:rsidRDefault="00646880" w:rsidP="00EC7FDD">
      <w:pPr>
        <w:pStyle w:val="Textonotapie"/>
        <w:ind w:firstLine="709"/>
        <w:jc w:val="both"/>
        <w:rPr>
          <w:rFonts w:ascii="Arial" w:hAnsi="Arial" w:cs="Arial"/>
          <w:sz w:val="19"/>
          <w:szCs w:val="19"/>
          <w:lang w:val="es-ES"/>
        </w:rPr>
      </w:pPr>
      <w:r w:rsidRPr="00403548">
        <w:rPr>
          <w:rStyle w:val="Refdenotaalpie"/>
          <w:rFonts w:ascii="Arial" w:hAnsi="Arial" w:cs="Arial"/>
          <w:sz w:val="19"/>
          <w:szCs w:val="19"/>
        </w:rPr>
        <w:footnoteRef/>
      </w:r>
      <w:r w:rsidRPr="00403548">
        <w:rPr>
          <w:rFonts w:ascii="Arial" w:hAnsi="Arial" w:cs="Arial"/>
          <w:sz w:val="19"/>
          <w:szCs w:val="19"/>
        </w:rPr>
        <w:t xml:space="preserve"> </w:t>
      </w:r>
      <w:r w:rsidRPr="00403548">
        <w:rPr>
          <w:rFonts w:ascii="Arial" w:hAnsi="Arial" w:cs="Arial"/>
          <w:sz w:val="19"/>
          <w:szCs w:val="19"/>
          <w:lang w:val="es-ES"/>
        </w:rPr>
        <w:t xml:space="preserve">Artículo 2. </w:t>
      </w:r>
    </w:p>
  </w:footnote>
  <w:footnote w:id="28">
    <w:p w14:paraId="4E45E8E2" w14:textId="77777777" w:rsidR="00646880" w:rsidRPr="00403548" w:rsidRDefault="00646880" w:rsidP="00EC7FDD">
      <w:pPr>
        <w:pStyle w:val="Textonotapie"/>
        <w:ind w:firstLine="709"/>
        <w:jc w:val="both"/>
        <w:rPr>
          <w:rFonts w:ascii="Arial" w:hAnsi="Arial" w:cs="Arial"/>
          <w:sz w:val="19"/>
          <w:szCs w:val="19"/>
          <w:lang w:val="es-ES"/>
        </w:rPr>
      </w:pPr>
      <w:r w:rsidRPr="00403548">
        <w:rPr>
          <w:rStyle w:val="Refdenotaalpie"/>
          <w:rFonts w:ascii="Arial" w:hAnsi="Arial" w:cs="Arial"/>
          <w:sz w:val="19"/>
          <w:szCs w:val="19"/>
        </w:rPr>
        <w:footnoteRef/>
      </w:r>
      <w:r w:rsidRPr="00403548">
        <w:rPr>
          <w:rFonts w:ascii="Arial" w:hAnsi="Arial" w:cs="Arial"/>
          <w:sz w:val="19"/>
          <w:szCs w:val="19"/>
        </w:rPr>
        <w:t xml:space="preserve"> </w:t>
      </w:r>
      <w:r w:rsidRPr="00403548">
        <w:rPr>
          <w:rFonts w:ascii="Arial" w:hAnsi="Arial" w:cs="Arial"/>
          <w:i/>
          <w:sz w:val="19"/>
          <w:szCs w:val="19"/>
          <w:lang w:val="es-ES"/>
        </w:rPr>
        <w:t>Ídem</w:t>
      </w:r>
      <w:r w:rsidRPr="00403548">
        <w:rPr>
          <w:rFonts w:ascii="Arial" w:hAnsi="Arial" w:cs="Arial"/>
          <w:sz w:val="19"/>
          <w:szCs w:val="19"/>
          <w:lang w:val="es-ES"/>
        </w:rPr>
        <w:t>.</w:t>
      </w:r>
    </w:p>
  </w:footnote>
  <w:footnote w:id="29">
    <w:p w14:paraId="6B040A5A" w14:textId="77777777" w:rsidR="00646880" w:rsidRPr="00403548" w:rsidRDefault="00646880" w:rsidP="00EC7FDD">
      <w:pPr>
        <w:pStyle w:val="Textonotapie"/>
        <w:ind w:firstLine="709"/>
        <w:jc w:val="both"/>
        <w:rPr>
          <w:rFonts w:ascii="Arial" w:hAnsi="Arial" w:cs="Arial"/>
          <w:sz w:val="19"/>
          <w:szCs w:val="19"/>
          <w:lang w:val="es-ES"/>
        </w:rPr>
      </w:pPr>
      <w:r w:rsidRPr="00403548">
        <w:rPr>
          <w:rStyle w:val="Refdenotaalpie"/>
          <w:rFonts w:ascii="Arial" w:hAnsi="Arial" w:cs="Arial"/>
          <w:sz w:val="19"/>
          <w:szCs w:val="19"/>
        </w:rPr>
        <w:footnoteRef/>
      </w:r>
      <w:r w:rsidRPr="00403548">
        <w:rPr>
          <w:rStyle w:val="Refdenotaalpie"/>
          <w:rFonts w:ascii="Arial" w:hAnsi="Arial" w:cs="Arial"/>
          <w:sz w:val="19"/>
          <w:szCs w:val="19"/>
        </w:rPr>
        <w:t xml:space="preserve"> </w:t>
      </w:r>
      <w:bookmarkStart w:id="31" w:name="_Hlk74297130"/>
      <w:r w:rsidRPr="00403548">
        <w:rPr>
          <w:rFonts w:ascii="Arial" w:hAnsi="Arial" w:cs="Arial"/>
          <w:sz w:val="19"/>
          <w:szCs w:val="19"/>
          <w:lang w:val="es-ES"/>
        </w:rPr>
        <w:t>«</w:t>
      </w:r>
      <w:bookmarkEnd w:id="31"/>
      <w:r w:rsidRPr="00403548">
        <w:rPr>
          <w:rFonts w:ascii="Arial" w:hAnsi="Arial" w:cs="Arial"/>
          <w:sz w:val="19"/>
          <w:szCs w:val="19"/>
          <w:lang w:val="es-ES"/>
        </w:rPr>
        <w:t xml:space="preserve">[…] A este respecto, cabe recordar que el artículo 860 del Código de Comercio regula la licitación en el derecho privado». </w:t>
      </w:r>
    </w:p>
  </w:footnote>
  <w:footnote w:id="30">
    <w:p w14:paraId="150E2040" w14:textId="77777777" w:rsidR="00646880" w:rsidRDefault="00646880" w:rsidP="00EC7FDD">
      <w:pPr>
        <w:shd w:val="clear" w:color="auto" w:fill="FFFFFF"/>
        <w:ind w:firstLine="709"/>
        <w:jc w:val="both"/>
        <w:rPr>
          <w:rFonts w:ascii="Arial" w:hAnsi="Arial" w:cs="Arial"/>
          <w:sz w:val="19"/>
          <w:szCs w:val="19"/>
          <w:lang w:val="es-ES"/>
        </w:rPr>
      </w:pPr>
      <w:r w:rsidRPr="00403548">
        <w:rPr>
          <w:rStyle w:val="Refdenotaalpie"/>
          <w:rFonts w:ascii="Arial" w:hAnsi="Arial" w:cs="Arial"/>
          <w:sz w:val="19"/>
          <w:szCs w:val="19"/>
        </w:rPr>
        <w:footnoteRef/>
      </w:r>
      <w:r w:rsidRPr="00403548">
        <w:rPr>
          <w:rStyle w:val="Refdenotaalpie"/>
          <w:rFonts w:ascii="Arial" w:hAnsi="Arial" w:cs="Arial"/>
          <w:sz w:val="19"/>
          <w:szCs w:val="19"/>
        </w:rPr>
        <w:t xml:space="preserve"> </w:t>
      </w:r>
      <w:r w:rsidRPr="00403548">
        <w:rPr>
          <w:rFonts w:ascii="Arial" w:hAnsi="Arial" w:cs="Arial"/>
          <w:sz w:val="19"/>
          <w:szCs w:val="19"/>
          <w:lang w:val="es-ES"/>
        </w:rPr>
        <w:t xml:space="preserve">Consejo de Estado. Sala de Consulta y Servicio Civil, Concepto de 8 de mayo de 2018. Radicación Número: 11001-03-06-000-2018-00095-00(2382). Consejero Ponente: Álvaro </w:t>
      </w:r>
      <w:proofErr w:type="spellStart"/>
      <w:r w:rsidRPr="00403548">
        <w:rPr>
          <w:rFonts w:ascii="Arial" w:hAnsi="Arial" w:cs="Arial"/>
          <w:sz w:val="19"/>
          <w:szCs w:val="19"/>
          <w:lang w:val="es-ES"/>
        </w:rPr>
        <w:t>Namén</w:t>
      </w:r>
      <w:proofErr w:type="spellEnd"/>
      <w:r w:rsidRPr="00403548">
        <w:rPr>
          <w:rFonts w:ascii="Arial" w:hAnsi="Arial" w:cs="Arial"/>
          <w:sz w:val="19"/>
          <w:szCs w:val="19"/>
          <w:lang w:val="es-ES"/>
        </w:rPr>
        <w:t xml:space="preserve"> Vargas.</w:t>
      </w:r>
    </w:p>
    <w:p w14:paraId="02C764F9" w14:textId="77777777" w:rsidR="005B56AA" w:rsidRPr="00403548" w:rsidRDefault="005B56AA" w:rsidP="00EC7FDD">
      <w:pPr>
        <w:shd w:val="clear" w:color="auto" w:fill="FFFFFF"/>
        <w:ind w:firstLine="709"/>
        <w:jc w:val="both"/>
        <w:rPr>
          <w:rFonts w:ascii="Arial" w:hAnsi="Arial" w:cs="Arial"/>
          <w:sz w:val="19"/>
          <w:szCs w:val="19"/>
          <w:lang w:val="es-ES"/>
        </w:rPr>
      </w:pPr>
    </w:p>
  </w:footnote>
  <w:footnote w:id="31">
    <w:p w14:paraId="59F7ECF9" w14:textId="77777777" w:rsidR="00646880" w:rsidRPr="00403548" w:rsidRDefault="00646880" w:rsidP="00EC7FDD">
      <w:pPr>
        <w:pStyle w:val="Textonotapie"/>
        <w:ind w:firstLine="709"/>
        <w:jc w:val="both"/>
        <w:rPr>
          <w:rFonts w:ascii="Arial" w:hAnsi="Arial" w:cs="Arial"/>
          <w:sz w:val="19"/>
          <w:szCs w:val="19"/>
        </w:rPr>
      </w:pPr>
      <w:r w:rsidRPr="00403548">
        <w:rPr>
          <w:rStyle w:val="Refdenotaalpie"/>
          <w:rFonts w:ascii="Arial" w:hAnsi="Arial" w:cs="Arial"/>
          <w:sz w:val="19"/>
          <w:szCs w:val="19"/>
        </w:rPr>
        <w:footnoteRef/>
      </w:r>
      <w:r w:rsidRPr="00403548">
        <w:rPr>
          <w:rFonts w:ascii="Arial" w:hAnsi="Arial" w:cs="Arial"/>
          <w:sz w:val="19"/>
          <w:szCs w:val="19"/>
        </w:rPr>
        <w:t xml:space="preserve"> Consejo de Estado. Sala de Consulta y Servicio Civil. Concepto del 08 de mayo de 2018. </w:t>
      </w:r>
      <w:proofErr w:type="spellStart"/>
      <w:r w:rsidRPr="00403548">
        <w:rPr>
          <w:rFonts w:ascii="Arial" w:hAnsi="Arial" w:cs="Arial"/>
          <w:sz w:val="19"/>
          <w:szCs w:val="19"/>
        </w:rPr>
        <w:t>Exp</w:t>
      </w:r>
      <w:proofErr w:type="spellEnd"/>
      <w:r w:rsidRPr="00403548">
        <w:rPr>
          <w:rFonts w:ascii="Arial" w:hAnsi="Arial" w:cs="Arial"/>
          <w:sz w:val="19"/>
          <w:szCs w:val="19"/>
        </w:rPr>
        <w:t xml:space="preserve">. 2.382. C.P. Álvaro </w:t>
      </w:r>
      <w:proofErr w:type="spellStart"/>
      <w:r w:rsidRPr="00403548">
        <w:rPr>
          <w:rFonts w:ascii="Arial" w:hAnsi="Arial" w:cs="Arial"/>
          <w:sz w:val="19"/>
          <w:szCs w:val="19"/>
        </w:rPr>
        <w:t>Namén</w:t>
      </w:r>
      <w:proofErr w:type="spellEnd"/>
      <w:r w:rsidRPr="00403548">
        <w:rPr>
          <w:rFonts w:ascii="Arial" w:hAnsi="Arial" w:cs="Arial"/>
          <w:sz w:val="19"/>
          <w:szCs w:val="19"/>
        </w:rPr>
        <w:t xml:space="preserve"> Vargas.</w:t>
      </w:r>
    </w:p>
  </w:footnote>
  <w:footnote w:id="32">
    <w:p w14:paraId="3D523761" w14:textId="05D122A8" w:rsidR="002B0BE3" w:rsidRPr="00403548" w:rsidRDefault="00646880" w:rsidP="00EC7FDD">
      <w:pPr>
        <w:pStyle w:val="Textonotapie"/>
        <w:ind w:firstLine="708"/>
        <w:jc w:val="both"/>
        <w:rPr>
          <w:rFonts w:ascii="Arial" w:hAnsi="Arial" w:cs="Arial"/>
          <w:sz w:val="19"/>
          <w:szCs w:val="19"/>
        </w:rPr>
      </w:pPr>
      <w:r w:rsidRPr="00403548">
        <w:rPr>
          <w:rStyle w:val="Refdenotaalpie"/>
          <w:rFonts w:ascii="Arial" w:hAnsi="Arial" w:cs="Arial"/>
          <w:sz w:val="19"/>
          <w:szCs w:val="19"/>
        </w:rPr>
        <w:footnoteRef/>
      </w:r>
      <w:r w:rsidRPr="00403548">
        <w:rPr>
          <w:rFonts w:ascii="Arial" w:hAnsi="Arial" w:cs="Arial"/>
          <w:sz w:val="19"/>
          <w:szCs w:val="19"/>
        </w:rPr>
        <w:t xml:space="preserve"> COLOMBIA COMPRA EFICIENTE. Circular Externa Única. Numeral 15.3.</w:t>
      </w:r>
    </w:p>
  </w:footnote>
  <w:footnote w:id="33">
    <w:p w14:paraId="30CD93A2" w14:textId="77777777" w:rsidR="00646880" w:rsidRPr="00403548" w:rsidRDefault="00646880" w:rsidP="00EC7FDD">
      <w:pPr>
        <w:pStyle w:val="Textonotapie"/>
        <w:ind w:firstLine="709"/>
        <w:jc w:val="both"/>
        <w:rPr>
          <w:rFonts w:ascii="Arial" w:hAnsi="Arial" w:cs="Arial"/>
          <w:sz w:val="19"/>
          <w:szCs w:val="19"/>
        </w:rPr>
      </w:pPr>
      <w:r w:rsidRPr="00403548">
        <w:rPr>
          <w:rStyle w:val="Refdenotaalpie"/>
          <w:rFonts w:ascii="Arial" w:hAnsi="Arial" w:cs="Arial"/>
          <w:sz w:val="19"/>
          <w:szCs w:val="19"/>
        </w:rPr>
        <w:footnoteRef/>
      </w:r>
      <w:r w:rsidRPr="00403548">
        <w:rPr>
          <w:rFonts w:ascii="Arial" w:hAnsi="Arial" w:cs="Arial"/>
          <w:sz w:val="19"/>
          <w:szCs w:val="19"/>
        </w:rPr>
        <w:t xml:space="preserve"> La Corte Constitucional mediante Sentencia C-1153-05 de 11 de noviembre de 2005, Magistrado Ponente Marco Gerardo Monroy Cabra, efectuó el Control constitucional al Proyecto de Ley Estatutaria </w:t>
      </w:r>
      <w:proofErr w:type="spellStart"/>
      <w:r w:rsidRPr="00403548">
        <w:rPr>
          <w:rFonts w:ascii="Arial" w:hAnsi="Arial" w:cs="Arial"/>
          <w:sz w:val="19"/>
          <w:szCs w:val="19"/>
        </w:rPr>
        <w:t>N°</w:t>
      </w:r>
      <w:proofErr w:type="spellEnd"/>
      <w:r w:rsidRPr="00403548">
        <w:rPr>
          <w:rFonts w:ascii="Arial" w:hAnsi="Arial" w:cs="Arial"/>
          <w:sz w:val="19"/>
          <w:szCs w:val="19"/>
        </w:rPr>
        <w:t xml:space="preserve"> 216/05 Senado, </w:t>
      </w:r>
      <w:proofErr w:type="spellStart"/>
      <w:r w:rsidRPr="00403548">
        <w:rPr>
          <w:rFonts w:ascii="Arial" w:hAnsi="Arial" w:cs="Arial"/>
          <w:sz w:val="19"/>
          <w:szCs w:val="19"/>
        </w:rPr>
        <w:t>N°</w:t>
      </w:r>
      <w:proofErr w:type="spellEnd"/>
      <w:r w:rsidRPr="00403548">
        <w:rPr>
          <w:rFonts w:ascii="Arial" w:hAnsi="Arial" w:cs="Arial"/>
          <w:sz w:val="19"/>
          <w:szCs w:val="19"/>
        </w:rPr>
        <w:t xml:space="preserve"> 235-Cámara que dio lugar a la Ley de Garantías Electorales.</w:t>
      </w:r>
    </w:p>
  </w:footnote>
  <w:footnote w:id="34">
    <w:p w14:paraId="10A95379" w14:textId="47DECD4E" w:rsidR="00F441BB" w:rsidRPr="00403548" w:rsidRDefault="00F441BB" w:rsidP="00EC7FDD">
      <w:pPr>
        <w:pStyle w:val="Textonotapie"/>
        <w:ind w:firstLine="708"/>
        <w:jc w:val="both"/>
        <w:rPr>
          <w:rFonts w:ascii="Arial" w:hAnsi="Arial" w:cs="Arial"/>
          <w:color w:val="000000" w:themeColor="text1"/>
          <w:sz w:val="19"/>
          <w:szCs w:val="19"/>
        </w:rPr>
      </w:pPr>
      <w:r w:rsidRPr="00403548">
        <w:rPr>
          <w:rStyle w:val="Refdenotaalpie"/>
          <w:rFonts w:ascii="Arial" w:hAnsi="Arial" w:cs="Arial"/>
          <w:color w:val="000000" w:themeColor="text1"/>
          <w:sz w:val="19"/>
          <w:szCs w:val="19"/>
        </w:rPr>
        <w:footnoteRef/>
      </w:r>
      <w:r w:rsidRPr="00403548">
        <w:rPr>
          <w:rFonts w:ascii="Arial" w:hAnsi="Arial" w:cs="Arial"/>
          <w:color w:val="000000" w:themeColor="text1"/>
          <w:sz w:val="19"/>
          <w:szCs w:val="19"/>
        </w:rPr>
        <w:t xml:space="preserve"> Sobre esta norma consultar los conceptos del 8 de octubre de 2019, con radicado 2201913000007532, y del 20 de diciembre de 2019, cuyo radicado es el No. 4201913000008240.</w:t>
      </w:r>
    </w:p>
  </w:footnote>
  <w:footnote w:id="35">
    <w:p w14:paraId="4AF413A9" w14:textId="77777777" w:rsidR="00F441BB" w:rsidRPr="00403548" w:rsidRDefault="00F441BB" w:rsidP="00EC7FDD">
      <w:pPr>
        <w:pStyle w:val="Textonotapie"/>
        <w:ind w:firstLine="708"/>
        <w:jc w:val="both"/>
        <w:rPr>
          <w:rFonts w:ascii="Arial" w:hAnsi="Arial" w:cs="Arial"/>
          <w:color w:val="000000" w:themeColor="text1"/>
          <w:sz w:val="19"/>
          <w:szCs w:val="19"/>
        </w:rPr>
      </w:pPr>
      <w:r w:rsidRPr="00403548">
        <w:rPr>
          <w:rStyle w:val="Refdenotaalpie"/>
          <w:rFonts w:ascii="Arial" w:hAnsi="Arial" w:cs="Arial"/>
          <w:color w:val="000000" w:themeColor="text1"/>
          <w:sz w:val="19"/>
          <w:szCs w:val="19"/>
        </w:rPr>
        <w:footnoteRef/>
      </w:r>
      <w:r w:rsidRPr="00403548">
        <w:rPr>
          <w:rFonts w:ascii="Arial" w:hAnsi="Arial" w:cs="Arial"/>
          <w:color w:val="000000" w:themeColor="text1"/>
          <w:sz w:val="19"/>
          <w:szCs w:val="19"/>
        </w:rPr>
        <w:t xml:space="preserve"> «Articulo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5BD8ED21" w14:textId="4DCAF610" w:rsidR="00F441BB" w:rsidRPr="00403548" w:rsidRDefault="00F441BB" w:rsidP="00EC7FDD">
      <w:pPr>
        <w:pStyle w:val="Textonotapie"/>
        <w:ind w:firstLine="708"/>
        <w:jc w:val="both"/>
        <w:rPr>
          <w:rFonts w:ascii="Arial" w:hAnsi="Arial" w:cs="Arial"/>
          <w:color w:val="000000" w:themeColor="text1"/>
          <w:sz w:val="19"/>
          <w:szCs w:val="19"/>
        </w:rPr>
      </w:pPr>
      <w:r w:rsidRPr="00403548">
        <w:rPr>
          <w:rFonts w:ascii="Arial" w:hAnsi="Arial" w:cs="Arial"/>
          <w:color w:val="000000" w:themeColor="text1"/>
          <w:sz w:val="19"/>
          <w:szCs w:val="19"/>
        </w:rPr>
        <w:t>» 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footnote>
  <w:footnote w:id="36">
    <w:p w14:paraId="303ADAB5" w14:textId="600C9C10" w:rsidR="00F441BB" w:rsidRPr="00403548" w:rsidRDefault="00F441BB" w:rsidP="00EC7FDD">
      <w:pPr>
        <w:pStyle w:val="Textonotapie"/>
        <w:ind w:firstLine="708"/>
        <w:jc w:val="both"/>
        <w:rPr>
          <w:rFonts w:ascii="Arial" w:hAnsi="Arial" w:cs="Arial"/>
          <w:color w:val="000000" w:themeColor="text1"/>
          <w:sz w:val="19"/>
          <w:szCs w:val="19"/>
        </w:rPr>
      </w:pPr>
      <w:r w:rsidRPr="00403548">
        <w:rPr>
          <w:rStyle w:val="Refdenotaalpie"/>
          <w:rFonts w:ascii="Arial" w:hAnsi="Arial" w:cs="Arial"/>
          <w:color w:val="000000" w:themeColor="text1"/>
          <w:sz w:val="19"/>
          <w:szCs w:val="19"/>
        </w:rPr>
        <w:footnoteRef/>
      </w:r>
      <w:r w:rsidRPr="00403548">
        <w:rPr>
          <w:rFonts w:ascii="Arial" w:hAnsi="Arial" w:cs="Arial"/>
          <w:color w:val="000000" w:themeColor="text1"/>
          <w:sz w:val="19"/>
          <w:szCs w:val="19"/>
        </w:rPr>
        <w:t xml:space="preserve"> En el concepto emitido el 5 de febrero de 2019, dentro del radicado No. 2201913000000663, se dijo: «[l]os convenios de asociación del artículo 5 son distintos a los contratos de colaboración del artículo 2 del Decreto 092 de 2017».</w:t>
      </w:r>
    </w:p>
  </w:footnote>
  <w:footnote w:id="37">
    <w:p w14:paraId="5F8C8EF7" w14:textId="1372C850" w:rsidR="00F441BB" w:rsidRPr="00403548" w:rsidRDefault="00F441BB" w:rsidP="00EC7FDD">
      <w:pPr>
        <w:pStyle w:val="Textonotapie"/>
        <w:ind w:firstLine="708"/>
        <w:jc w:val="both"/>
        <w:rPr>
          <w:rFonts w:ascii="Arial" w:hAnsi="Arial" w:cs="Arial"/>
          <w:color w:val="000000" w:themeColor="text1"/>
          <w:sz w:val="19"/>
          <w:szCs w:val="19"/>
        </w:rPr>
      </w:pPr>
      <w:r w:rsidRPr="00403548">
        <w:rPr>
          <w:rStyle w:val="Refdenotaalpie"/>
          <w:rFonts w:ascii="Arial" w:hAnsi="Arial" w:cs="Arial"/>
          <w:color w:val="000000" w:themeColor="text1"/>
          <w:sz w:val="19"/>
          <w:szCs w:val="19"/>
        </w:rPr>
        <w:footnoteRef/>
      </w:r>
      <w:r w:rsidRPr="00403548">
        <w:rPr>
          <w:rFonts w:ascii="Arial" w:hAnsi="Arial" w:cs="Arial"/>
          <w:color w:val="000000" w:themeColor="text1"/>
          <w:sz w:val="19"/>
          <w:szCs w:val="19"/>
        </w:rPr>
        <w:t xml:space="preserve"> Concepto del 3 de septiembre de 2019, emitido en el radicado No. 2201913000006512.</w:t>
      </w:r>
    </w:p>
  </w:footnote>
  <w:footnote w:id="38">
    <w:p w14:paraId="2E5589AD" w14:textId="77777777" w:rsidR="00F441BB" w:rsidRPr="00403548" w:rsidRDefault="00F441BB" w:rsidP="00EC7FDD">
      <w:pPr>
        <w:pStyle w:val="Textonotapie"/>
        <w:ind w:firstLine="708"/>
        <w:jc w:val="both"/>
        <w:rPr>
          <w:rFonts w:ascii="Arial" w:hAnsi="Arial" w:cs="Arial"/>
          <w:color w:val="000000" w:themeColor="text1"/>
          <w:sz w:val="19"/>
          <w:szCs w:val="19"/>
        </w:rPr>
      </w:pPr>
      <w:r w:rsidRPr="00403548">
        <w:rPr>
          <w:rStyle w:val="Refdenotaalpie"/>
          <w:rFonts w:ascii="Arial" w:hAnsi="Arial" w:cs="Arial"/>
          <w:color w:val="000000" w:themeColor="text1"/>
          <w:sz w:val="19"/>
          <w:szCs w:val="19"/>
        </w:rPr>
        <w:footnoteRef/>
      </w:r>
      <w:r w:rsidRPr="00403548">
        <w:rPr>
          <w:rFonts w:ascii="Arial" w:hAnsi="Arial" w:cs="Arial"/>
          <w:color w:val="000000" w:themeColor="text1"/>
          <w:sz w:val="19"/>
          <w:szCs w:val="19"/>
        </w:rPr>
        <w:t xml:space="preserve"> El numeral 16.9 de la Circular Externa Única de Colombia Compra Eficiente determina:</w:t>
      </w:r>
    </w:p>
    <w:p w14:paraId="228F7390" w14:textId="77777777" w:rsidR="00F441BB" w:rsidRPr="00403548" w:rsidRDefault="00F441BB" w:rsidP="00EC7FDD">
      <w:pPr>
        <w:pStyle w:val="Textonotapie"/>
        <w:ind w:firstLine="708"/>
        <w:jc w:val="both"/>
        <w:rPr>
          <w:rFonts w:ascii="Arial" w:hAnsi="Arial" w:cs="Arial"/>
          <w:color w:val="000000" w:themeColor="text1"/>
          <w:sz w:val="19"/>
          <w:szCs w:val="19"/>
        </w:rPr>
      </w:pPr>
      <w:r w:rsidRPr="00403548">
        <w:rPr>
          <w:rFonts w:ascii="Arial" w:hAnsi="Arial" w:cs="Arial"/>
          <w:color w:val="000000" w:themeColor="text1"/>
          <w:sz w:val="19"/>
          <w:szCs w:val="19"/>
        </w:rPr>
        <w:t>«16.9 Uniones temporales y consorcios conformados por entidades sin ánimo de lucro.</w:t>
      </w:r>
    </w:p>
    <w:p w14:paraId="6668F944" w14:textId="39430DAC" w:rsidR="00F441BB" w:rsidRPr="00403548" w:rsidRDefault="00F441BB" w:rsidP="00EC7FDD">
      <w:pPr>
        <w:pStyle w:val="Textonotapie"/>
        <w:ind w:firstLine="708"/>
        <w:jc w:val="both"/>
        <w:rPr>
          <w:rFonts w:ascii="Arial" w:hAnsi="Arial" w:cs="Arial"/>
          <w:color w:val="000000" w:themeColor="text1"/>
          <w:sz w:val="19"/>
          <w:szCs w:val="19"/>
        </w:rPr>
      </w:pPr>
      <w:proofErr w:type="gramStart"/>
      <w:r w:rsidRPr="00403548">
        <w:rPr>
          <w:rFonts w:ascii="Arial" w:hAnsi="Arial" w:cs="Arial"/>
          <w:color w:val="000000" w:themeColor="text1"/>
          <w:sz w:val="19"/>
          <w:szCs w:val="19"/>
        </w:rPr>
        <w:t>»El</w:t>
      </w:r>
      <w:proofErr w:type="gramEnd"/>
      <w:r w:rsidRPr="00403548">
        <w:rPr>
          <w:rFonts w:ascii="Arial" w:hAnsi="Arial" w:cs="Arial"/>
          <w:color w:val="000000" w:themeColor="text1"/>
          <w:sz w:val="19"/>
          <w:szCs w:val="19"/>
        </w:rPr>
        <w:t xml:space="preserve"> Decreto 092 de 2017 no restringe ninguna forma de asociación entre las entidades privadas sin ánimo de lucro, y prevé que los contratos y convenios que regula se sujetarán a las normas generales aplicables al Sistema de Compra Pública, es decir Ley 80 de 1993, salvo lo que de manera expresa esté regulado en dicho Decreto. La Ley 80 de 1993 establece las diferentes formas asociativas que pueden utilizar los proponentes para participar en los Procesos de Contratación. De esta forma, entidades privadas sin ánimo de lucro pueden constituirse como unión temporal o consorcio para efectos de la celebración de contratos de colaboración o convenios de asociación».</w:t>
      </w:r>
    </w:p>
  </w:footnote>
  <w:footnote w:id="39">
    <w:p w14:paraId="642F94D2" w14:textId="77777777" w:rsidR="00F441BB" w:rsidRPr="00403548" w:rsidRDefault="00F441BB" w:rsidP="00EC7FDD">
      <w:pPr>
        <w:pStyle w:val="Textonotapie"/>
        <w:ind w:firstLine="708"/>
        <w:jc w:val="both"/>
        <w:rPr>
          <w:rFonts w:ascii="Arial" w:hAnsi="Arial" w:cs="Arial"/>
          <w:color w:val="000000" w:themeColor="text1"/>
          <w:sz w:val="19"/>
          <w:szCs w:val="19"/>
          <w:lang w:val="es-ES"/>
        </w:rPr>
      </w:pPr>
      <w:r w:rsidRPr="00403548">
        <w:rPr>
          <w:rStyle w:val="Refdenotaalpie"/>
          <w:rFonts w:ascii="Arial" w:hAnsi="Arial" w:cs="Arial"/>
          <w:color w:val="000000" w:themeColor="text1"/>
          <w:sz w:val="19"/>
          <w:szCs w:val="19"/>
        </w:rPr>
        <w:footnoteRef/>
      </w:r>
      <w:r w:rsidRPr="00403548">
        <w:rPr>
          <w:rFonts w:ascii="Arial" w:hAnsi="Arial" w:cs="Arial"/>
          <w:color w:val="000000" w:themeColor="text1"/>
          <w:sz w:val="19"/>
          <w:szCs w:val="19"/>
        </w:rPr>
        <w:t xml:space="preserve"> Concepto del 19 de noviembre de 2019, emitido en el radicado No. 2201913000008611.</w:t>
      </w:r>
    </w:p>
  </w:footnote>
  <w:footnote w:id="40">
    <w:p w14:paraId="461BC8F5" w14:textId="2F0126D8" w:rsidR="00F441BB" w:rsidRPr="00403548" w:rsidRDefault="00F441BB" w:rsidP="00EC7FDD">
      <w:pPr>
        <w:pStyle w:val="Textonotapie"/>
        <w:ind w:firstLine="708"/>
        <w:jc w:val="both"/>
        <w:rPr>
          <w:rFonts w:ascii="Arial" w:hAnsi="Arial" w:cs="Arial"/>
          <w:color w:val="000000" w:themeColor="text1"/>
          <w:sz w:val="19"/>
          <w:szCs w:val="19"/>
        </w:rPr>
      </w:pPr>
      <w:r w:rsidRPr="00403548">
        <w:rPr>
          <w:rStyle w:val="Refdenotaalpie"/>
          <w:rFonts w:ascii="Arial" w:hAnsi="Arial" w:cs="Arial"/>
          <w:color w:val="000000" w:themeColor="text1"/>
          <w:sz w:val="19"/>
          <w:szCs w:val="19"/>
        </w:rPr>
        <w:footnoteRef/>
      </w:r>
      <w:r w:rsidRPr="00403548">
        <w:rPr>
          <w:rFonts w:ascii="Arial" w:hAnsi="Arial" w:cs="Arial"/>
          <w:color w:val="000000" w:themeColor="text1"/>
          <w:sz w:val="19"/>
          <w:szCs w:val="19"/>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footnote>
  <w:footnote w:id="41">
    <w:p w14:paraId="32F94AE7" w14:textId="77777777" w:rsidR="00F441BB" w:rsidRPr="00403548" w:rsidRDefault="00F441BB" w:rsidP="00EC7FDD">
      <w:pPr>
        <w:pStyle w:val="Textonotapie"/>
        <w:ind w:firstLine="708"/>
        <w:jc w:val="both"/>
        <w:rPr>
          <w:rFonts w:ascii="Arial" w:hAnsi="Arial" w:cs="Arial"/>
          <w:color w:val="000000" w:themeColor="text1"/>
          <w:sz w:val="19"/>
          <w:szCs w:val="19"/>
        </w:rPr>
      </w:pPr>
      <w:r w:rsidRPr="00403548">
        <w:rPr>
          <w:rStyle w:val="Refdenotaalpie"/>
          <w:rFonts w:ascii="Arial" w:hAnsi="Arial" w:cs="Arial"/>
          <w:color w:val="000000" w:themeColor="text1"/>
          <w:sz w:val="19"/>
          <w:szCs w:val="19"/>
        </w:rPr>
        <w:footnoteRef/>
      </w:r>
      <w:r w:rsidRPr="00403548">
        <w:rPr>
          <w:rFonts w:ascii="Arial" w:hAnsi="Arial" w:cs="Arial"/>
          <w:color w:val="000000" w:themeColor="text1"/>
          <w:sz w:val="19"/>
          <w:szCs w:val="19"/>
        </w:rPr>
        <w:t xml:space="preserve"> Decreto 1082,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p w14:paraId="20BB48FA" w14:textId="77777777" w:rsidR="00F441BB" w:rsidRPr="00522B4D" w:rsidRDefault="00F441BB" w:rsidP="00F441BB">
      <w:pPr>
        <w:pStyle w:val="Textonotapie"/>
        <w:jc w:val="both"/>
        <w:rPr>
          <w:rFonts w:ascii="Arial" w:hAnsi="Arial" w:cs="Arial"/>
          <w:color w:val="000000" w:themeColor="text1"/>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807B5" w:rsidRDefault="00E807B5">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66E3367"/>
    <w:multiLevelType w:val="hybridMultilevel"/>
    <w:tmpl w:val="5BBE210E"/>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7"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9"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0"/>
  </w:num>
  <w:num w:numId="2">
    <w:abstractNumId w:val="8"/>
  </w:num>
  <w:num w:numId="3">
    <w:abstractNumId w:val="14"/>
  </w:num>
  <w:num w:numId="4">
    <w:abstractNumId w:val="18"/>
  </w:num>
  <w:num w:numId="5">
    <w:abstractNumId w:val="22"/>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0"/>
  </w:num>
  <w:num w:numId="9">
    <w:abstractNumId w:val="4"/>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2"/>
  </w:num>
  <w:num w:numId="14">
    <w:abstractNumId w:val="7"/>
  </w:num>
  <w:num w:numId="15">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num>
  <w:num w:numId="18">
    <w:abstractNumId w:val="15"/>
  </w:num>
  <w:num w:numId="19">
    <w:abstractNumId w:val="2"/>
  </w:num>
  <w:num w:numId="20">
    <w:abstractNumId w:val="25"/>
  </w:num>
  <w:num w:numId="21">
    <w:abstractNumId w:val="17"/>
  </w:num>
  <w:num w:numId="22">
    <w:abstractNumId w:val="6"/>
  </w:num>
  <w:num w:numId="23">
    <w:abstractNumId w:val="5"/>
  </w:num>
  <w:num w:numId="24">
    <w:abstractNumId w:val="23"/>
  </w:num>
  <w:num w:numId="25">
    <w:abstractNumId w:val="19"/>
  </w:num>
  <w:num w:numId="26">
    <w:abstractNumId w:val="3"/>
  </w:num>
  <w:num w:numId="27">
    <w:abstractNumId w:val="16"/>
  </w:num>
  <w:num w:numId="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9"/>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F5"/>
    <w:rsid w:val="00000559"/>
    <w:rsid w:val="0000162E"/>
    <w:rsid w:val="00001A1C"/>
    <w:rsid w:val="00001E00"/>
    <w:rsid w:val="00001FFD"/>
    <w:rsid w:val="00002027"/>
    <w:rsid w:val="000020FE"/>
    <w:rsid w:val="00002173"/>
    <w:rsid w:val="000031A8"/>
    <w:rsid w:val="00003C5C"/>
    <w:rsid w:val="00003D39"/>
    <w:rsid w:val="000040D7"/>
    <w:rsid w:val="00004556"/>
    <w:rsid w:val="00004AAC"/>
    <w:rsid w:val="000051AF"/>
    <w:rsid w:val="000059D3"/>
    <w:rsid w:val="00005B6D"/>
    <w:rsid w:val="0000600A"/>
    <w:rsid w:val="00006081"/>
    <w:rsid w:val="00007750"/>
    <w:rsid w:val="000077D0"/>
    <w:rsid w:val="000077FD"/>
    <w:rsid w:val="00007E37"/>
    <w:rsid w:val="00010A1F"/>
    <w:rsid w:val="00010C40"/>
    <w:rsid w:val="00011215"/>
    <w:rsid w:val="000112B4"/>
    <w:rsid w:val="00011DCC"/>
    <w:rsid w:val="00012532"/>
    <w:rsid w:val="00012B9E"/>
    <w:rsid w:val="00012F37"/>
    <w:rsid w:val="00012FBA"/>
    <w:rsid w:val="0001316F"/>
    <w:rsid w:val="00013C6B"/>
    <w:rsid w:val="0001406B"/>
    <w:rsid w:val="000143F8"/>
    <w:rsid w:val="00014624"/>
    <w:rsid w:val="00015642"/>
    <w:rsid w:val="00015B44"/>
    <w:rsid w:val="00015E3E"/>
    <w:rsid w:val="00016081"/>
    <w:rsid w:val="000165AC"/>
    <w:rsid w:val="00016651"/>
    <w:rsid w:val="000171A2"/>
    <w:rsid w:val="00017B65"/>
    <w:rsid w:val="00020158"/>
    <w:rsid w:val="000207E0"/>
    <w:rsid w:val="000207FF"/>
    <w:rsid w:val="000209E2"/>
    <w:rsid w:val="00020F8F"/>
    <w:rsid w:val="00021A95"/>
    <w:rsid w:val="0002256F"/>
    <w:rsid w:val="00023DAE"/>
    <w:rsid w:val="00024855"/>
    <w:rsid w:val="00024896"/>
    <w:rsid w:val="000254DD"/>
    <w:rsid w:val="00025D0A"/>
    <w:rsid w:val="000263F0"/>
    <w:rsid w:val="00026407"/>
    <w:rsid w:val="00026608"/>
    <w:rsid w:val="00027787"/>
    <w:rsid w:val="000278D2"/>
    <w:rsid w:val="00027928"/>
    <w:rsid w:val="0002797C"/>
    <w:rsid w:val="00031364"/>
    <w:rsid w:val="000315E1"/>
    <w:rsid w:val="00031BC1"/>
    <w:rsid w:val="0003236E"/>
    <w:rsid w:val="00032BB3"/>
    <w:rsid w:val="0003339A"/>
    <w:rsid w:val="000341F2"/>
    <w:rsid w:val="00035046"/>
    <w:rsid w:val="000351F2"/>
    <w:rsid w:val="000368A6"/>
    <w:rsid w:val="00036E03"/>
    <w:rsid w:val="00037AD5"/>
    <w:rsid w:val="000406DB"/>
    <w:rsid w:val="0004094D"/>
    <w:rsid w:val="00041029"/>
    <w:rsid w:val="00041357"/>
    <w:rsid w:val="0004149B"/>
    <w:rsid w:val="00041FC6"/>
    <w:rsid w:val="00042961"/>
    <w:rsid w:val="00042C25"/>
    <w:rsid w:val="00042D03"/>
    <w:rsid w:val="00043086"/>
    <w:rsid w:val="000430A0"/>
    <w:rsid w:val="00043D3B"/>
    <w:rsid w:val="0004418C"/>
    <w:rsid w:val="00044204"/>
    <w:rsid w:val="000449D4"/>
    <w:rsid w:val="00045BF5"/>
    <w:rsid w:val="000463B5"/>
    <w:rsid w:val="00046717"/>
    <w:rsid w:val="00046A63"/>
    <w:rsid w:val="00046C09"/>
    <w:rsid w:val="0004716A"/>
    <w:rsid w:val="00047385"/>
    <w:rsid w:val="000473E8"/>
    <w:rsid w:val="000504DE"/>
    <w:rsid w:val="00051074"/>
    <w:rsid w:val="00051302"/>
    <w:rsid w:val="00051DC3"/>
    <w:rsid w:val="000526F0"/>
    <w:rsid w:val="0005273D"/>
    <w:rsid w:val="00052B79"/>
    <w:rsid w:val="00052E4B"/>
    <w:rsid w:val="00052EA0"/>
    <w:rsid w:val="000536A7"/>
    <w:rsid w:val="000536E3"/>
    <w:rsid w:val="00053896"/>
    <w:rsid w:val="00053A00"/>
    <w:rsid w:val="0005474D"/>
    <w:rsid w:val="00054D74"/>
    <w:rsid w:val="00055612"/>
    <w:rsid w:val="00055CB9"/>
    <w:rsid w:val="0005602F"/>
    <w:rsid w:val="00056565"/>
    <w:rsid w:val="00056F66"/>
    <w:rsid w:val="0005702F"/>
    <w:rsid w:val="00057930"/>
    <w:rsid w:val="000606AC"/>
    <w:rsid w:val="00061010"/>
    <w:rsid w:val="00061470"/>
    <w:rsid w:val="00061D06"/>
    <w:rsid w:val="00062408"/>
    <w:rsid w:val="00062BDF"/>
    <w:rsid w:val="00062CDD"/>
    <w:rsid w:val="00063AD6"/>
    <w:rsid w:val="000640AF"/>
    <w:rsid w:val="00064940"/>
    <w:rsid w:val="00064CAE"/>
    <w:rsid w:val="00064D2E"/>
    <w:rsid w:val="00064DB7"/>
    <w:rsid w:val="00064FA7"/>
    <w:rsid w:val="00065195"/>
    <w:rsid w:val="0006536C"/>
    <w:rsid w:val="00065D20"/>
    <w:rsid w:val="0006626E"/>
    <w:rsid w:val="000701A0"/>
    <w:rsid w:val="00070AF1"/>
    <w:rsid w:val="000714DE"/>
    <w:rsid w:val="0007254F"/>
    <w:rsid w:val="00072878"/>
    <w:rsid w:val="0007357C"/>
    <w:rsid w:val="00073C30"/>
    <w:rsid w:val="00074305"/>
    <w:rsid w:val="000744D0"/>
    <w:rsid w:val="00074B2A"/>
    <w:rsid w:val="00074EEE"/>
    <w:rsid w:val="000753D5"/>
    <w:rsid w:val="00075761"/>
    <w:rsid w:val="00075B3E"/>
    <w:rsid w:val="00076158"/>
    <w:rsid w:val="00076456"/>
    <w:rsid w:val="00076B92"/>
    <w:rsid w:val="0007779B"/>
    <w:rsid w:val="000777E7"/>
    <w:rsid w:val="0007790A"/>
    <w:rsid w:val="0008017B"/>
    <w:rsid w:val="00080ACD"/>
    <w:rsid w:val="000811ED"/>
    <w:rsid w:val="0008139C"/>
    <w:rsid w:val="00081D62"/>
    <w:rsid w:val="00082B74"/>
    <w:rsid w:val="00083099"/>
    <w:rsid w:val="00083EDC"/>
    <w:rsid w:val="0008457F"/>
    <w:rsid w:val="00084B97"/>
    <w:rsid w:val="0008510E"/>
    <w:rsid w:val="000856DE"/>
    <w:rsid w:val="00085F17"/>
    <w:rsid w:val="00085FB0"/>
    <w:rsid w:val="00085FB3"/>
    <w:rsid w:val="0008686B"/>
    <w:rsid w:val="00086B2A"/>
    <w:rsid w:val="00086C11"/>
    <w:rsid w:val="00086ED2"/>
    <w:rsid w:val="0009044C"/>
    <w:rsid w:val="000914D6"/>
    <w:rsid w:val="00091569"/>
    <w:rsid w:val="00092057"/>
    <w:rsid w:val="00092CDB"/>
    <w:rsid w:val="00092DCA"/>
    <w:rsid w:val="000936F7"/>
    <w:rsid w:val="00093CA0"/>
    <w:rsid w:val="00093ECD"/>
    <w:rsid w:val="000942EB"/>
    <w:rsid w:val="000954FA"/>
    <w:rsid w:val="00095607"/>
    <w:rsid w:val="00095B70"/>
    <w:rsid w:val="00095E38"/>
    <w:rsid w:val="0009617E"/>
    <w:rsid w:val="0009628D"/>
    <w:rsid w:val="0009670F"/>
    <w:rsid w:val="00097022"/>
    <w:rsid w:val="000979CF"/>
    <w:rsid w:val="000A03C8"/>
    <w:rsid w:val="000A05F2"/>
    <w:rsid w:val="000A06C4"/>
    <w:rsid w:val="000A0861"/>
    <w:rsid w:val="000A0A18"/>
    <w:rsid w:val="000A0EC4"/>
    <w:rsid w:val="000A0ED1"/>
    <w:rsid w:val="000A1258"/>
    <w:rsid w:val="000A12DB"/>
    <w:rsid w:val="000A1417"/>
    <w:rsid w:val="000A17C8"/>
    <w:rsid w:val="000A1B74"/>
    <w:rsid w:val="000A20AD"/>
    <w:rsid w:val="000A20D7"/>
    <w:rsid w:val="000A2128"/>
    <w:rsid w:val="000A2142"/>
    <w:rsid w:val="000A31FB"/>
    <w:rsid w:val="000A362F"/>
    <w:rsid w:val="000A3B49"/>
    <w:rsid w:val="000A464B"/>
    <w:rsid w:val="000A46FE"/>
    <w:rsid w:val="000A4704"/>
    <w:rsid w:val="000A47E6"/>
    <w:rsid w:val="000A4810"/>
    <w:rsid w:val="000A52C0"/>
    <w:rsid w:val="000A5836"/>
    <w:rsid w:val="000A5AAF"/>
    <w:rsid w:val="000A5F97"/>
    <w:rsid w:val="000A600A"/>
    <w:rsid w:val="000A648E"/>
    <w:rsid w:val="000A73BB"/>
    <w:rsid w:val="000A73E8"/>
    <w:rsid w:val="000A7C27"/>
    <w:rsid w:val="000A7EF4"/>
    <w:rsid w:val="000B081A"/>
    <w:rsid w:val="000B0A15"/>
    <w:rsid w:val="000B103F"/>
    <w:rsid w:val="000B1437"/>
    <w:rsid w:val="000B1470"/>
    <w:rsid w:val="000B17EC"/>
    <w:rsid w:val="000B244D"/>
    <w:rsid w:val="000B2B86"/>
    <w:rsid w:val="000B3051"/>
    <w:rsid w:val="000B3224"/>
    <w:rsid w:val="000B419B"/>
    <w:rsid w:val="000B5781"/>
    <w:rsid w:val="000B5CB1"/>
    <w:rsid w:val="000B68EA"/>
    <w:rsid w:val="000B75F4"/>
    <w:rsid w:val="000C0185"/>
    <w:rsid w:val="000C088D"/>
    <w:rsid w:val="000C0F81"/>
    <w:rsid w:val="000C128D"/>
    <w:rsid w:val="000C137A"/>
    <w:rsid w:val="000C15EE"/>
    <w:rsid w:val="000C17A3"/>
    <w:rsid w:val="000C1D4B"/>
    <w:rsid w:val="000C2CB7"/>
    <w:rsid w:val="000C2DC4"/>
    <w:rsid w:val="000C3260"/>
    <w:rsid w:val="000C3B77"/>
    <w:rsid w:val="000C3F6D"/>
    <w:rsid w:val="000C4CE3"/>
    <w:rsid w:val="000C4F49"/>
    <w:rsid w:val="000C5861"/>
    <w:rsid w:val="000C5BDE"/>
    <w:rsid w:val="000C6076"/>
    <w:rsid w:val="000C639D"/>
    <w:rsid w:val="000C6C31"/>
    <w:rsid w:val="000C6DBC"/>
    <w:rsid w:val="000C6F79"/>
    <w:rsid w:val="000C7476"/>
    <w:rsid w:val="000C7480"/>
    <w:rsid w:val="000C7711"/>
    <w:rsid w:val="000C7AA2"/>
    <w:rsid w:val="000C7CC5"/>
    <w:rsid w:val="000D022A"/>
    <w:rsid w:val="000D0462"/>
    <w:rsid w:val="000D053D"/>
    <w:rsid w:val="000D0ED2"/>
    <w:rsid w:val="000D1CEB"/>
    <w:rsid w:val="000D218D"/>
    <w:rsid w:val="000D2563"/>
    <w:rsid w:val="000D25BF"/>
    <w:rsid w:val="000D3582"/>
    <w:rsid w:val="000D3FDC"/>
    <w:rsid w:val="000D490B"/>
    <w:rsid w:val="000D4E38"/>
    <w:rsid w:val="000D50DB"/>
    <w:rsid w:val="000D6288"/>
    <w:rsid w:val="000D7541"/>
    <w:rsid w:val="000D75E1"/>
    <w:rsid w:val="000E1FF3"/>
    <w:rsid w:val="000E22CF"/>
    <w:rsid w:val="000E2977"/>
    <w:rsid w:val="000E2CC0"/>
    <w:rsid w:val="000E30AC"/>
    <w:rsid w:val="000E3B46"/>
    <w:rsid w:val="000E3E11"/>
    <w:rsid w:val="000E4596"/>
    <w:rsid w:val="000E4B94"/>
    <w:rsid w:val="000E4D50"/>
    <w:rsid w:val="000E5768"/>
    <w:rsid w:val="000E5843"/>
    <w:rsid w:val="000E6139"/>
    <w:rsid w:val="000E653C"/>
    <w:rsid w:val="000E6BE1"/>
    <w:rsid w:val="000E7E0B"/>
    <w:rsid w:val="000F0136"/>
    <w:rsid w:val="000F0367"/>
    <w:rsid w:val="000F078A"/>
    <w:rsid w:val="000F122D"/>
    <w:rsid w:val="000F1450"/>
    <w:rsid w:val="000F14E8"/>
    <w:rsid w:val="000F1BBD"/>
    <w:rsid w:val="000F290F"/>
    <w:rsid w:val="000F4403"/>
    <w:rsid w:val="000F480B"/>
    <w:rsid w:val="000F4E17"/>
    <w:rsid w:val="000F5615"/>
    <w:rsid w:val="000F6578"/>
    <w:rsid w:val="000F722C"/>
    <w:rsid w:val="000F7E8F"/>
    <w:rsid w:val="000F7FBB"/>
    <w:rsid w:val="001000FB"/>
    <w:rsid w:val="00100A9E"/>
    <w:rsid w:val="00100F6A"/>
    <w:rsid w:val="00102463"/>
    <w:rsid w:val="00102605"/>
    <w:rsid w:val="00102686"/>
    <w:rsid w:val="00102745"/>
    <w:rsid w:val="00103795"/>
    <w:rsid w:val="00103915"/>
    <w:rsid w:val="00103EA0"/>
    <w:rsid w:val="00103F40"/>
    <w:rsid w:val="0010496C"/>
    <w:rsid w:val="00104B7E"/>
    <w:rsid w:val="00104F1C"/>
    <w:rsid w:val="001051E5"/>
    <w:rsid w:val="00105A74"/>
    <w:rsid w:val="00105ACB"/>
    <w:rsid w:val="00105AEF"/>
    <w:rsid w:val="00106259"/>
    <w:rsid w:val="001068EB"/>
    <w:rsid w:val="001078CE"/>
    <w:rsid w:val="00107EB3"/>
    <w:rsid w:val="00110A86"/>
    <w:rsid w:val="00110F61"/>
    <w:rsid w:val="001111BD"/>
    <w:rsid w:val="0011165A"/>
    <w:rsid w:val="00111B2B"/>
    <w:rsid w:val="001124C3"/>
    <w:rsid w:val="00112774"/>
    <w:rsid w:val="00112B2E"/>
    <w:rsid w:val="00113003"/>
    <w:rsid w:val="00113062"/>
    <w:rsid w:val="00113705"/>
    <w:rsid w:val="00113975"/>
    <w:rsid w:val="00113CFC"/>
    <w:rsid w:val="00113FEA"/>
    <w:rsid w:val="00114A22"/>
    <w:rsid w:val="00114E9D"/>
    <w:rsid w:val="0011507B"/>
    <w:rsid w:val="00115819"/>
    <w:rsid w:val="00116328"/>
    <w:rsid w:val="001163CF"/>
    <w:rsid w:val="00116A1C"/>
    <w:rsid w:val="001174C9"/>
    <w:rsid w:val="00117E69"/>
    <w:rsid w:val="00121103"/>
    <w:rsid w:val="00121A9B"/>
    <w:rsid w:val="00121BAB"/>
    <w:rsid w:val="00121E3C"/>
    <w:rsid w:val="00122B23"/>
    <w:rsid w:val="00122B7E"/>
    <w:rsid w:val="00123E27"/>
    <w:rsid w:val="00123FB5"/>
    <w:rsid w:val="0012400F"/>
    <w:rsid w:val="001249DC"/>
    <w:rsid w:val="00125630"/>
    <w:rsid w:val="0012572D"/>
    <w:rsid w:val="00125BED"/>
    <w:rsid w:val="00125C59"/>
    <w:rsid w:val="00125D4F"/>
    <w:rsid w:val="00127004"/>
    <w:rsid w:val="00127AF2"/>
    <w:rsid w:val="00127EDC"/>
    <w:rsid w:val="00127F42"/>
    <w:rsid w:val="00127F6D"/>
    <w:rsid w:val="00130355"/>
    <w:rsid w:val="00130365"/>
    <w:rsid w:val="001304E5"/>
    <w:rsid w:val="00131B5A"/>
    <w:rsid w:val="00132C30"/>
    <w:rsid w:val="00132EFD"/>
    <w:rsid w:val="00133AED"/>
    <w:rsid w:val="001345AE"/>
    <w:rsid w:val="00134BCD"/>
    <w:rsid w:val="00134E09"/>
    <w:rsid w:val="001350AB"/>
    <w:rsid w:val="00135DB9"/>
    <w:rsid w:val="0013695C"/>
    <w:rsid w:val="00136BF7"/>
    <w:rsid w:val="00136C78"/>
    <w:rsid w:val="001378B9"/>
    <w:rsid w:val="00137E75"/>
    <w:rsid w:val="00137FFA"/>
    <w:rsid w:val="00140109"/>
    <w:rsid w:val="0014029B"/>
    <w:rsid w:val="00140464"/>
    <w:rsid w:val="00140A4F"/>
    <w:rsid w:val="001413AB"/>
    <w:rsid w:val="00141DBF"/>
    <w:rsid w:val="00142E96"/>
    <w:rsid w:val="00142EFD"/>
    <w:rsid w:val="00143AD6"/>
    <w:rsid w:val="00144335"/>
    <w:rsid w:val="0014461D"/>
    <w:rsid w:val="0014502F"/>
    <w:rsid w:val="00145282"/>
    <w:rsid w:val="001453B0"/>
    <w:rsid w:val="001454D9"/>
    <w:rsid w:val="0014553F"/>
    <w:rsid w:val="001459D2"/>
    <w:rsid w:val="00145D8E"/>
    <w:rsid w:val="00146083"/>
    <w:rsid w:val="001462F7"/>
    <w:rsid w:val="00146312"/>
    <w:rsid w:val="00146418"/>
    <w:rsid w:val="001471AB"/>
    <w:rsid w:val="001474D7"/>
    <w:rsid w:val="00147F35"/>
    <w:rsid w:val="00150005"/>
    <w:rsid w:val="001500B0"/>
    <w:rsid w:val="00151AEB"/>
    <w:rsid w:val="00151B99"/>
    <w:rsid w:val="001521B2"/>
    <w:rsid w:val="00152EDD"/>
    <w:rsid w:val="00153491"/>
    <w:rsid w:val="0015361C"/>
    <w:rsid w:val="0015372F"/>
    <w:rsid w:val="00153A51"/>
    <w:rsid w:val="00153BFB"/>
    <w:rsid w:val="0015407E"/>
    <w:rsid w:val="0015448E"/>
    <w:rsid w:val="00154A6F"/>
    <w:rsid w:val="00155D08"/>
    <w:rsid w:val="0015623B"/>
    <w:rsid w:val="00156BE5"/>
    <w:rsid w:val="00157226"/>
    <w:rsid w:val="00157232"/>
    <w:rsid w:val="00160401"/>
    <w:rsid w:val="00160D4E"/>
    <w:rsid w:val="00161DDA"/>
    <w:rsid w:val="00161E62"/>
    <w:rsid w:val="00161F1C"/>
    <w:rsid w:val="0016200B"/>
    <w:rsid w:val="0016204B"/>
    <w:rsid w:val="00162552"/>
    <w:rsid w:val="00163786"/>
    <w:rsid w:val="00163C03"/>
    <w:rsid w:val="00163D7A"/>
    <w:rsid w:val="00164281"/>
    <w:rsid w:val="00165703"/>
    <w:rsid w:val="00166204"/>
    <w:rsid w:val="0016685F"/>
    <w:rsid w:val="0016712F"/>
    <w:rsid w:val="00167503"/>
    <w:rsid w:val="001676A9"/>
    <w:rsid w:val="00167A15"/>
    <w:rsid w:val="00167A50"/>
    <w:rsid w:val="00167D1A"/>
    <w:rsid w:val="00167DF5"/>
    <w:rsid w:val="00170001"/>
    <w:rsid w:val="00170472"/>
    <w:rsid w:val="00171D96"/>
    <w:rsid w:val="00172020"/>
    <w:rsid w:val="00172198"/>
    <w:rsid w:val="0017236C"/>
    <w:rsid w:val="00172612"/>
    <w:rsid w:val="00172817"/>
    <w:rsid w:val="001734E3"/>
    <w:rsid w:val="00173FB5"/>
    <w:rsid w:val="001742BF"/>
    <w:rsid w:val="001742E1"/>
    <w:rsid w:val="00175E49"/>
    <w:rsid w:val="0017649F"/>
    <w:rsid w:val="0017655B"/>
    <w:rsid w:val="001805C1"/>
    <w:rsid w:val="00180A2E"/>
    <w:rsid w:val="001813AF"/>
    <w:rsid w:val="001817E9"/>
    <w:rsid w:val="001829CD"/>
    <w:rsid w:val="00182F01"/>
    <w:rsid w:val="001833C2"/>
    <w:rsid w:val="001841E2"/>
    <w:rsid w:val="00184219"/>
    <w:rsid w:val="00184F27"/>
    <w:rsid w:val="0018519B"/>
    <w:rsid w:val="00185966"/>
    <w:rsid w:val="00185A2D"/>
    <w:rsid w:val="00185AFE"/>
    <w:rsid w:val="00185E78"/>
    <w:rsid w:val="00185F7F"/>
    <w:rsid w:val="001870F4"/>
    <w:rsid w:val="00187177"/>
    <w:rsid w:val="00187ABD"/>
    <w:rsid w:val="001904E3"/>
    <w:rsid w:val="0019087A"/>
    <w:rsid w:val="00191C5A"/>
    <w:rsid w:val="00191CEB"/>
    <w:rsid w:val="00191E63"/>
    <w:rsid w:val="00192D68"/>
    <w:rsid w:val="00192E04"/>
    <w:rsid w:val="00192F9B"/>
    <w:rsid w:val="0019388B"/>
    <w:rsid w:val="00193ADE"/>
    <w:rsid w:val="00193B9A"/>
    <w:rsid w:val="001940ED"/>
    <w:rsid w:val="001946AE"/>
    <w:rsid w:val="001946D5"/>
    <w:rsid w:val="00194CF5"/>
    <w:rsid w:val="00194E8C"/>
    <w:rsid w:val="001962EC"/>
    <w:rsid w:val="001963DD"/>
    <w:rsid w:val="001965DB"/>
    <w:rsid w:val="0019673D"/>
    <w:rsid w:val="00196D01"/>
    <w:rsid w:val="00196DC9"/>
    <w:rsid w:val="00196E95"/>
    <w:rsid w:val="001A0236"/>
    <w:rsid w:val="001A0915"/>
    <w:rsid w:val="001A0929"/>
    <w:rsid w:val="001A0AF8"/>
    <w:rsid w:val="001A147D"/>
    <w:rsid w:val="001A1490"/>
    <w:rsid w:val="001A18D5"/>
    <w:rsid w:val="001A1A38"/>
    <w:rsid w:val="001A1BE0"/>
    <w:rsid w:val="001A1D4A"/>
    <w:rsid w:val="001A25D3"/>
    <w:rsid w:val="001A3011"/>
    <w:rsid w:val="001A3284"/>
    <w:rsid w:val="001A4A9B"/>
    <w:rsid w:val="001A4DAF"/>
    <w:rsid w:val="001A54CD"/>
    <w:rsid w:val="001A66DF"/>
    <w:rsid w:val="001A67D0"/>
    <w:rsid w:val="001A6863"/>
    <w:rsid w:val="001A7591"/>
    <w:rsid w:val="001A75B1"/>
    <w:rsid w:val="001A797E"/>
    <w:rsid w:val="001A7B06"/>
    <w:rsid w:val="001A7C04"/>
    <w:rsid w:val="001B0366"/>
    <w:rsid w:val="001B0444"/>
    <w:rsid w:val="001B096B"/>
    <w:rsid w:val="001B0F9F"/>
    <w:rsid w:val="001B123C"/>
    <w:rsid w:val="001B143C"/>
    <w:rsid w:val="001B19D8"/>
    <w:rsid w:val="001B1A0D"/>
    <w:rsid w:val="001B1BF1"/>
    <w:rsid w:val="001B2456"/>
    <w:rsid w:val="001B449C"/>
    <w:rsid w:val="001B4AA2"/>
    <w:rsid w:val="001B4ADE"/>
    <w:rsid w:val="001B4EAF"/>
    <w:rsid w:val="001B5530"/>
    <w:rsid w:val="001B5EF8"/>
    <w:rsid w:val="001B5F4C"/>
    <w:rsid w:val="001B71E8"/>
    <w:rsid w:val="001C07C6"/>
    <w:rsid w:val="001C15C9"/>
    <w:rsid w:val="001C19CD"/>
    <w:rsid w:val="001C22D5"/>
    <w:rsid w:val="001C2515"/>
    <w:rsid w:val="001C26FB"/>
    <w:rsid w:val="001C2D24"/>
    <w:rsid w:val="001C33C1"/>
    <w:rsid w:val="001C3801"/>
    <w:rsid w:val="001C3E30"/>
    <w:rsid w:val="001C3E5C"/>
    <w:rsid w:val="001C5072"/>
    <w:rsid w:val="001C5B2A"/>
    <w:rsid w:val="001C600B"/>
    <w:rsid w:val="001C6476"/>
    <w:rsid w:val="001C6898"/>
    <w:rsid w:val="001C6DD8"/>
    <w:rsid w:val="001C7C7B"/>
    <w:rsid w:val="001D068D"/>
    <w:rsid w:val="001D12D1"/>
    <w:rsid w:val="001D15DF"/>
    <w:rsid w:val="001D2EEE"/>
    <w:rsid w:val="001D30F3"/>
    <w:rsid w:val="001D31A0"/>
    <w:rsid w:val="001D338E"/>
    <w:rsid w:val="001D4238"/>
    <w:rsid w:val="001D56E9"/>
    <w:rsid w:val="001D6006"/>
    <w:rsid w:val="001D65AC"/>
    <w:rsid w:val="001D7035"/>
    <w:rsid w:val="001D716B"/>
    <w:rsid w:val="001D796A"/>
    <w:rsid w:val="001D7A84"/>
    <w:rsid w:val="001D7C79"/>
    <w:rsid w:val="001E003B"/>
    <w:rsid w:val="001E1CC4"/>
    <w:rsid w:val="001E1D38"/>
    <w:rsid w:val="001E28A0"/>
    <w:rsid w:val="001E320D"/>
    <w:rsid w:val="001E3FFE"/>
    <w:rsid w:val="001E4258"/>
    <w:rsid w:val="001E5140"/>
    <w:rsid w:val="001E5D6A"/>
    <w:rsid w:val="001E600E"/>
    <w:rsid w:val="001E6A94"/>
    <w:rsid w:val="001E70FB"/>
    <w:rsid w:val="001E780A"/>
    <w:rsid w:val="001F08BB"/>
    <w:rsid w:val="001F0A71"/>
    <w:rsid w:val="001F0D15"/>
    <w:rsid w:val="001F0FA0"/>
    <w:rsid w:val="001F1349"/>
    <w:rsid w:val="001F1863"/>
    <w:rsid w:val="001F2356"/>
    <w:rsid w:val="001F2A68"/>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0759"/>
    <w:rsid w:val="002007A8"/>
    <w:rsid w:val="00200D7F"/>
    <w:rsid w:val="00201435"/>
    <w:rsid w:val="00201AC4"/>
    <w:rsid w:val="00201F1E"/>
    <w:rsid w:val="00202761"/>
    <w:rsid w:val="002027CC"/>
    <w:rsid w:val="0020299B"/>
    <w:rsid w:val="00202E44"/>
    <w:rsid w:val="002037AA"/>
    <w:rsid w:val="00203FE3"/>
    <w:rsid w:val="002042D8"/>
    <w:rsid w:val="00204515"/>
    <w:rsid w:val="00204BF5"/>
    <w:rsid w:val="00204E6B"/>
    <w:rsid w:val="002053EF"/>
    <w:rsid w:val="002058D4"/>
    <w:rsid w:val="0020632A"/>
    <w:rsid w:val="0020697F"/>
    <w:rsid w:val="00207262"/>
    <w:rsid w:val="0020726E"/>
    <w:rsid w:val="002103DD"/>
    <w:rsid w:val="00210656"/>
    <w:rsid w:val="002110EB"/>
    <w:rsid w:val="00211338"/>
    <w:rsid w:val="00211388"/>
    <w:rsid w:val="0021148C"/>
    <w:rsid w:val="00211694"/>
    <w:rsid w:val="0021201A"/>
    <w:rsid w:val="002138FE"/>
    <w:rsid w:val="00213A1F"/>
    <w:rsid w:val="00213C63"/>
    <w:rsid w:val="00214502"/>
    <w:rsid w:val="00214741"/>
    <w:rsid w:val="00214938"/>
    <w:rsid w:val="0021539A"/>
    <w:rsid w:val="00215852"/>
    <w:rsid w:val="00215B01"/>
    <w:rsid w:val="00215B8E"/>
    <w:rsid w:val="00216264"/>
    <w:rsid w:val="002176B6"/>
    <w:rsid w:val="0021792D"/>
    <w:rsid w:val="00217DB8"/>
    <w:rsid w:val="002202CE"/>
    <w:rsid w:val="0022032A"/>
    <w:rsid w:val="00220B61"/>
    <w:rsid w:val="0022194E"/>
    <w:rsid w:val="002220B1"/>
    <w:rsid w:val="0022210B"/>
    <w:rsid w:val="002221CE"/>
    <w:rsid w:val="00222BE8"/>
    <w:rsid w:val="00223102"/>
    <w:rsid w:val="002232CB"/>
    <w:rsid w:val="00224022"/>
    <w:rsid w:val="0022595D"/>
    <w:rsid w:val="00226055"/>
    <w:rsid w:val="0022609C"/>
    <w:rsid w:val="0022613F"/>
    <w:rsid w:val="00226236"/>
    <w:rsid w:val="00226982"/>
    <w:rsid w:val="002270C9"/>
    <w:rsid w:val="00227A8B"/>
    <w:rsid w:val="00230F0B"/>
    <w:rsid w:val="00231466"/>
    <w:rsid w:val="0023146B"/>
    <w:rsid w:val="002315A0"/>
    <w:rsid w:val="00231748"/>
    <w:rsid w:val="00231E5D"/>
    <w:rsid w:val="00231EC7"/>
    <w:rsid w:val="002320F9"/>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EC1"/>
    <w:rsid w:val="0024120F"/>
    <w:rsid w:val="0024131D"/>
    <w:rsid w:val="002415B8"/>
    <w:rsid w:val="00241816"/>
    <w:rsid w:val="00242D5F"/>
    <w:rsid w:val="00242D62"/>
    <w:rsid w:val="002430D0"/>
    <w:rsid w:val="002431D7"/>
    <w:rsid w:val="00244058"/>
    <w:rsid w:val="00244631"/>
    <w:rsid w:val="002451A6"/>
    <w:rsid w:val="00245718"/>
    <w:rsid w:val="00245E07"/>
    <w:rsid w:val="00246001"/>
    <w:rsid w:val="00246E0D"/>
    <w:rsid w:val="00247712"/>
    <w:rsid w:val="00250A9E"/>
    <w:rsid w:val="00250EC6"/>
    <w:rsid w:val="002515C7"/>
    <w:rsid w:val="00251866"/>
    <w:rsid w:val="00251A9F"/>
    <w:rsid w:val="00251ABD"/>
    <w:rsid w:val="00252492"/>
    <w:rsid w:val="00252B35"/>
    <w:rsid w:val="00253070"/>
    <w:rsid w:val="0025316D"/>
    <w:rsid w:val="00253A02"/>
    <w:rsid w:val="00253B81"/>
    <w:rsid w:val="00254083"/>
    <w:rsid w:val="002540D8"/>
    <w:rsid w:val="00254AE9"/>
    <w:rsid w:val="0025540B"/>
    <w:rsid w:val="002554DE"/>
    <w:rsid w:val="00255575"/>
    <w:rsid w:val="00255E11"/>
    <w:rsid w:val="00255EA6"/>
    <w:rsid w:val="00256835"/>
    <w:rsid w:val="002569F0"/>
    <w:rsid w:val="00256A16"/>
    <w:rsid w:val="00256C01"/>
    <w:rsid w:val="00256D3E"/>
    <w:rsid w:val="00256E1A"/>
    <w:rsid w:val="00256ECF"/>
    <w:rsid w:val="00257730"/>
    <w:rsid w:val="00257999"/>
    <w:rsid w:val="002604AA"/>
    <w:rsid w:val="0026129B"/>
    <w:rsid w:val="00261560"/>
    <w:rsid w:val="00261715"/>
    <w:rsid w:val="00261CF9"/>
    <w:rsid w:val="00261EC0"/>
    <w:rsid w:val="0026231B"/>
    <w:rsid w:val="00263101"/>
    <w:rsid w:val="002631D1"/>
    <w:rsid w:val="00263201"/>
    <w:rsid w:val="00263A37"/>
    <w:rsid w:val="00264266"/>
    <w:rsid w:val="00264496"/>
    <w:rsid w:val="0026471F"/>
    <w:rsid w:val="0026480D"/>
    <w:rsid w:val="002653A6"/>
    <w:rsid w:val="00265EB4"/>
    <w:rsid w:val="002661F1"/>
    <w:rsid w:val="00266DB6"/>
    <w:rsid w:val="002679AB"/>
    <w:rsid w:val="002711A4"/>
    <w:rsid w:val="00271230"/>
    <w:rsid w:val="00271F13"/>
    <w:rsid w:val="002725C3"/>
    <w:rsid w:val="00272945"/>
    <w:rsid w:val="0027482E"/>
    <w:rsid w:val="00274DB5"/>
    <w:rsid w:val="00275BB1"/>
    <w:rsid w:val="00276A51"/>
    <w:rsid w:val="0027770B"/>
    <w:rsid w:val="00277933"/>
    <w:rsid w:val="00277F8D"/>
    <w:rsid w:val="00277FA7"/>
    <w:rsid w:val="00280046"/>
    <w:rsid w:val="0028008D"/>
    <w:rsid w:val="00280B4F"/>
    <w:rsid w:val="00280F3D"/>
    <w:rsid w:val="0028106A"/>
    <w:rsid w:val="002815C0"/>
    <w:rsid w:val="0028174D"/>
    <w:rsid w:val="00281EB4"/>
    <w:rsid w:val="00282D16"/>
    <w:rsid w:val="00282E03"/>
    <w:rsid w:val="0028308E"/>
    <w:rsid w:val="002834E9"/>
    <w:rsid w:val="00283A52"/>
    <w:rsid w:val="00283C5E"/>
    <w:rsid w:val="00283E26"/>
    <w:rsid w:val="0028428F"/>
    <w:rsid w:val="00284CFC"/>
    <w:rsid w:val="00285832"/>
    <w:rsid w:val="00285969"/>
    <w:rsid w:val="0028663B"/>
    <w:rsid w:val="00286CEC"/>
    <w:rsid w:val="002870F9"/>
    <w:rsid w:val="002871A9"/>
    <w:rsid w:val="00287505"/>
    <w:rsid w:val="002879EB"/>
    <w:rsid w:val="00287BDB"/>
    <w:rsid w:val="0029031D"/>
    <w:rsid w:val="00290781"/>
    <w:rsid w:val="00291454"/>
    <w:rsid w:val="00291470"/>
    <w:rsid w:val="00291784"/>
    <w:rsid w:val="00291CF4"/>
    <w:rsid w:val="002920DF"/>
    <w:rsid w:val="002929BB"/>
    <w:rsid w:val="00293EC0"/>
    <w:rsid w:val="00294238"/>
    <w:rsid w:val="00294368"/>
    <w:rsid w:val="00294B78"/>
    <w:rsid w:val="00295416"/>
    <w:rsid w:val="002956FB"/>
    <w:rsid w:val="00295949"/>
    <w:rsid w:val="00295D7C"/>
    <w:rsid w:val="0029624A"/>
    <w:rsid w:val="00296922"/>
    <w:rsid w:val="00297098"/>
    <w:rsid w:val="002A05D4"/>
    <w:rsid w:val="002A06DB"/>
    <w:rsid w:val="002A09FF"/>
    <w:rsid w:val="002A0E60"/>
    <w:rsid w:val="002A1310"/>
    <w:rsid w:val="002A1A58"/>
    <w:rsid w:val="002A1B02"/>
    <w:rsid w:val="002A1C53"/>
    <w:rsid w:val="002A244B"/>
    <w:rsid w:val="002A28FC"/>
    <w:rsid w:val="002A2B44"/>
    <w:rsid w:val="002A2C29"/>
    <w:rsid w:val="002A2EA5"/>
    <w:rsid w:val="002A3132"/>
    <w:rsid w:val="002A3482"/>
    <w:rsid w:val="002A39B5"/>
    <w:rsid w:val="002A3D94"/>
    <w:rsid w:val="002A41AD"/>
    <w:rsid w:val="002A4736"/>
    <w:rsid w:val="002A4B1C"/>
    <w:rsid w:val="002A55FE"/>
    <w:rsid w:val="002A6AFB"/>
    <w:rsid w:val="002A733D"/>
    <w:rsid w:val="002A774A"/>
    <w:rsid w:val="002A78F3"/>
    <w:rsid w:val="002A7E5C"/>
    <w:rsid w:val="002A7F6D"/>
    <w:rsid w:val="002B08BA"/>
    <w:rsid w:val="002B0BE3"/>
    <w:rsid w:val="002B1342"/>
    <w:rsid w:val="002B1F83"/>
    <w:rsid w:val="002B27C8"/>
    <w:rsid w:val="002B2A7F"/>
    <w:rsid w:val="002B330B"/>
    <w:rsid w:val="002B39BE"/>
    <w:rsid w:val="002B3F99"/>
    <w:rsid w:val="002B438C"/>
    <w:rsid w:val="002B48DB"/>
    <w:rsid w:val="002B4B34"/>
    <w:rsid w:val="002B541A"/>
    <w:rsid w:val="002B5A82"/>
    <w:rsid w:val="002B5EAB"/>
    <w:rsid w:val="002B5F2E"/>
    <w:rsid w:val="002B6407"/>
    <w:rsid w:val="002B6416"/>
    <w:rsid w:val="002B6459"/>
    <w:rsid w:val="002B7014"/>
    <w:rsid w:val="002B73B0"/>
    <w:rsid w:val="002B7C20"/>
    <w:rsid w:val="002C24B4"/>
    <w:rsid w:val="002C2B3A"/>
    <w:rsid w:val="002C2B87"/>
    <w:rsid w:val="002C3CF4"/>
    <w:rsid w:val="002C441A"/>
    <w:rsid w:val="002C4A73"/>
    <w:rsid w:val="002C4B84"/>
    <w:rsid w:val="002C4C0C"/>
    <w:rsid w:val="002C5016"/>
    <w:rsid w:val="002C5C2F"/>
    <w:rsid w:val="002C5D0F"/>
    <w:rsid w:val="002C60B9"/>
    <w:rsid w:val="002C6F77"/>
    <w:rsid w:val="002C704D"/>
    <w:rsid w:val="002C7102"/>
    <w:rsid w:val="002D0845"/>
    <w:rsid w:val="002D0933"/>
    <w:rsid w:val="002D18C5"/>
    <w:rsid w:val="002D19BB"/>
    <w:rsid w:val="002D1A9B"/>
    <w:rsid w:val="002D1ABF"/>
    <w:rsid w:val="002D20F8"/>
    <w:rsid w:val="002D22BD"/>
    <w:rsid w:val="002D22C5"/>
    <w:rsid w:val="002D233E"/>
    <w:rsid w:val="002D283F"/>
    <w:rsid w:val="002D302A"/>
    <w:rsid w:val="002D315D"/>
    <w:rsid w:val="002D36C6"/>
    <w:rsid w:val="002D37C1"/>
    <w:rsid w:val="002D444B"/>
    <w:rsid w:val="002D46B4"/>
    <w:rsid w:val="002D4A45"/>
    <w:rsid w:val="002D4B42"/>
    <w:rsid w:val="002D4B43"/>
    <w:rsid w:val="002D4BC1"/>
    <w:rsid w:val="002D5A1B"/>
    <w:rsid w:val="002D64CE"/>
    <w:rsid w:val="002D65BC"/>
    <w:rsid w:val="002D6BBD"/>
    <w:rsid w:val="002D7EB2"/>
    <w:rsid w:val="002E055C"/>
    <w:rsid w:val="002E1050"/>
    <w:rsid w:val="002E107E"/>
    <w:rsid w:val="002E18E5"/>
    <w:rsid w:val="002E1953"/>
    <w:rsid w:val="002E1DC6"/>
    <w:rsid w:val="002E2C3F"/>
    <w:rsid w:val="002E2CB5"/>
    <w:rsid w:val="002E2D7D"/>
    <w:rsid w:val="002E32D0"/>
    <w:rsid w:val="002E3C26"/>
    <w:rsid w:val="002E3D76"/>
    <w:rsid w:val="002E3FF4"/>
    <w:rsid w:val="002E40A1"/>
    <w:rsid w:val="002E48EC"/>
    <w:rsid w:val="002E4B44"/>
    <w:rsid w:val="002E4ECB"/>
    <w:rsid w:val="002E4F23"/>
    <w:rsid w:val="002E635A"/>
    <w:rsid w:val="002E6D68"/>
    <w:rsid w:val="002E7847"/>
    <w:rsid w:val="002F0073"/>
    <w:rsid w:val="002F1C67"/>
    <w:rsid w:val="002F2077"/>
    <w:rsid w:val="002F240B"/>
    <w:rsid w:val="002F27DE"/>
    <w:rsid w:val="002F2F50"/>
    <w:rsid w:val="002F2FBC"/>
    <w:rsid w:val="002F33EC"/>
    <w:rsid w:val="002F34E3"/>
    <w:rsid w:val="002F3601"/>
    <w:rsid w:val="002F3C19"/>
    <w:rsid w:val="002F3E4E"/>
    <w:rsid w:val="002F40E2"/>
    <w:rsid w:val="002F45F6"/>
    <w:rsid w:val="002F5A6F"/>
    <w:rsid w:val="002F692F"/>
    <w:rsid w:val="002F7575"/>
    <w:rsid w:val="002F7961"/>
    <w:rsid w:val="002F7B66"/>
    <w:rsid w:val="002F7C8C"/>
    <w:rsid w:val="00300726"/>
    <w:rsid w:val="00300CB4"/>
    <w:rsid w:val="00300E24"/>
    <w:rsid w:val="003033BA"/>
    <w:rsid w:val="00303C19"/>
    <w:rsid w:val="003043A3"/>
    <w:rsid w:val="00304BD4"/>
    <w:rsid w:val="0030500A"/>
    <w:rsid w:val="003052EB"/>
    <w:rsid w:val="0030575F"/>
    <w:rsid w:val="0030580B"/>
    <w:rsid w:val="00305FCB"/>
    <w:rsid w:val="003063C3"/>
    <w:rsid w:val="003069DC"/>
    <w:rsid w:val="00306B44"/>
    <w:rsid w:val="00307C44"/>
    <w:rsid w:val="003100E1"/>
    <w:rsid w:val="0031088E"/>
    <w:rsid w:val="00310C45"/>
    <w:rsid w:val="00310D01"/>
    <w:rsid w:val="00311376"/>
    <w:rsid w:val="0031184C"/>
    <w:rsid w:val="00311A1F"/>
    <w:rsid w:val="00311B47"/>
    <w:rsid w:val="00311D52"/>
    <w:rsid w:val="00312190"/>
    <w:rsid w:val="003125E0"/>
    <w:rsid w:val="0031271D"/>
    <w:rsid w:val="003132BB"/>
    <w:rsid w:val="00313337"/>
    <w:rsid w:val="00313447"/>
    <w:rsid w:val="00313748"/>
    <w:rsid w:val="003137DE"/>
    <w:rsid w:val="00313C96"/>
    <w:rsid w:val="00313EA3"/>
    <w:rsid w:val="00314CA8"/>
    <w:rsid w:val="00315365"/>
    <w:rsid w:val="00315457"/>
    <w:rsid w:val="003161A4"/>
    <w:rsid w:val="00316955"/>
    <w:rsid w:val="0031713F"/>
    <w:rsid w:val="0031720A"/>
    <w:rsid w:val="0031749B"/>
    <w:rsid w:val="003174CD"/>
    <w:rsid w:val="003174E5"/>
    <w:rsid w:val="003176C8"/>
    <w:rsid w:val="00317C9D"/>
    <w:rsid w:val="00317CD2"/>
    <w:rsid w:val="00317D99"/>
    <w:rsid w:val="0032078D"/>
    <w:rsid w:val="00320876"/>
    <w:rsid w:val="00320ADF"/>
    <w:rsid w:val="00320F55"/>
    <w:rsid w:val="0032137B"/>
    <w:rsid w:val="00321BD6"/>
    <w:rsid w:val="00321E0C"/>
    <w:rsid w:val="00321F37"/>
    <w:rsid w:val="00321FA3"/>
    <w:rsid w:val="00322342"/>
    <w:rsid w:val="003227D3"/>
    <w:rsid w:val="00322937"/>
    <w:rsid w:val="00323881"/>
    <w:rsid w:val="00324885"/>
    <w:rsid w:val="003251A8"/>
    <w:rsid w:val="003254B1"/>
    <w:rsid w:val="00325AD9"/>
    <w:rsid w:val="00325AE7"/>
    <w:rsid w:val="00325D98"/>
    <w:rsid w:val="0032682A"/>
    <w:rsid w:val="00327A5C"/>
    <w:rsid w:val="003305FD"/>
    <w:rsid w:val="0033092C"/>
    <w:rsid w:val="0033122A"/>
    <w:rsid w:val="003315AC"/>
    <w:rsid w:val="00331932"/>
    <w:rsid w:val="00331F74"/>
    <w:rsid w:val="00332096"/>
    <w:rsid w:val="00332382"/>
    <w:rsid w:val="00332453"/>
    <w:rsid w:val="0033251B"/>
    <w:rsid w:val="00333712"/>
    <w:rsid w:val="00333A88"/>
    <w:rsid w:val="00334C39"/>
    <w:rsid w:val="00335B15"/>
    <w:rsid w:val="00335B21"/>
    <w:rsid w:val="00335D3F"/>
    <w:rsid w:val="00336104"/>
    <w:rsid w:val="00336729"/>
    <w:rsid w:val="003368D6"/>
    <w:rsid w:val="00336CD9"/>
    <w:rsid w:val="0033726D"/>
    <w:rsid w:val="00337CA8"/>
    <w:rsid w:val="00337F50"/>
    <w:rsid w:val="00340D3F"/>
    <w:rsid w:val="0034174B"/>
    <w:rsid w:val="0034177C"/>
    <w:rsid w:val="00341E4D"/>
    <w:rsid w:val="003420E9"/>
    <w:rsid w:val="00342345"/>
    <w:rsid w:val="00342C27"/>
    <w:rsid w:val="003430C8"/>
    <w:rsid w:val="003432C8"/>
    <w:rsid w:val="003434B3"/>
    <w:rsid w:val="00343536"/>
    <w:rsid w:val="0034399A"/>
    <w:rsid w:val="00343EFB"/>
    <w:rsid w:val="00344760"/>
    <w:rsid w:val="003454E8"/>
    <w:rsid w:val="00345574"/>
    <w:rsid w:val="0034680A"/>
    <w:rsid w:val="00346C62"/>
    <w:rsid w:val="00347202"/>
    <w:rsid w:val="0034778E"/>
    <w:rsid w:val="00347A5A"/>
    <w:rsid w:val="003501E2"/>
    <w:rsid w:val="00351716"/>
    <w:rsid w:val="00351E10"/>
    <w:rsid w:val="0035213C"/>
    <w:rsid w:val="00353081"/>
    <w:rsid w:val="003533F4"/>
    <w:rsid w:val="003536F6"/>
    <w:rsid w:val="00353DD5"/>
    <w:rsid w:val="0035463F"/>
    <w:rsid w:val="00355131"/>
    <w:rsid w:val="00355F74"/>
    <w:rsid w:val="003560DB"/>
    <w:rsid w:val="003564DB"/>
    <w:rsid w:val="00356F87"/>
    <w:rsid w:val="00357198"/>
    <w:rsid w:val="00357E83"/>
    <w:rsid w:val="00360A25"/>
    <w:rsid w:val="00360CF3"/>
    <w:rsid w:val="0036137C"/>
    <w:rsid w:val="00361A59"/>
    <w:rsid w:val="00361ED9"/>
    <w:rsid w:val="003622B1"/>
    <w:rsid w:val="00363348"/>
    <w:rsid w:val="00363857"/>
    <w:rsid w:val="00363D59"/>
    <w:rsid w:val="003640F7"/>
    <w:rsid w:val="00364E04"/>
    <w:rsid w:val="003650AA"/>
    <w:rsid w:val="00365D3A"/>
    <w:rsid w:val="003664FF"/>
    <w:rsid w:val="00366BD2"/>
    <w:rsid w:val="003670B8"/>
    <w:rsid w:val="003704A3"/>
    <w:rsid w:val="0037058F"/>
    <w:rsid w:val="003706F2"/>
    <w:rsid w:val="003707CB"/>
    <w:rsid w:val="0037124F"/>
    <w:rsid w:val="00373827"/>
    <w:rsid w:val="0037401C"/>
    <w:rsid w:val="0037507B"/>
    <w:rsid w:val="00375C7C"/>
    <w:rsid w:val="00375DA0"/>
    <w:rsid w:val="00377027"/>
    <w:rsid w:val="00377135"/>
    <w:rsid w:val="00380272"/>
    <w:rsid w:val="003805DB"/>
    <w:rsid w:val="0038152A"/>
    <w:rsid w:val="00382BAD"/>
    <w:rsid w:val="003835FD"/>
    <w:rsid w:val="00384DF1"/>
    <w:rsid w:val="00384FF3"/>
    <w:rsid w:val="00386456"/>
    <w:rsid w:val="003865A9"/>
    <w:rsid w:val="0039091C"/>
    <w:rsid w:val="0039092B"/>
    <w:rsid w:val="00390F32"/>
    <w:rsid w:val="0039135E"/>
    <w:rsid w:val="00391EFC"/>
    <w:rsid w:val="0039285D"/>
    <w:rsid w:val="0039319C"/>
    <w:rsid w:val="0039346A"/>
    <w:rsid w:val="00393577"/>
    <w:rsid w:val="00393CAE"/>
    <w:rsid w:val="003945F4"/>
    <w:rsid w:val="00394EB5"/>
    <w:rsid w:val="003953B4"/>
    <w:rsid w:val="0039615F"/>
    <w:rsid w:val="003966A0"/>
    <w:rsid w:val="00396837"/>
    <w:rsid w:val="00396A29"/>
    <w:rsid w:val="00397FF0"/>
    <w:rsid w:val="003A0455"/>
    <w:rsid w:val="003A0878"/>
    <w:rsid w:val="003A0B08"/>
    <w:rsid w:val="003A11E5"/>
    <w:rsid w:val="003A1561"/>
    <w:rsid w:val="003A1CB2"/>
    <w:rsid w:val="003A1D25"/>
    <w:rsid w:val="003A22A2"/>
    <w:rsid w:val="003A22FC"/>
    <w:rsid w:val="003A231A"/>
    <w:rsid w:val="003A2447"/>
    <w:rsid w:val="003A2AA1"/>
    <w:rsid w:val="003A31A5"/>
    <w:rsid w:val="003A329A"/>
    <w:rsid w:val="003A3603"/>
    <w:rsid w:val="003A3851"/>
    <w:rsid w:val="003A39DD"/>
    <w:rsid w:val="003A3C6E"/>
    <w:rsid w:val="003A40DB"/>
    <w:rsid w:val="003A4199"/>
    <w:rsid w:val="003A493F"/>
    <w:rsid w:val="003A4A8E"/>
    <w:rsid w:val="003A563C"/>
    <w:rsid w:val="003A581E"/>
    <w:rsid w:val="003A6160"/>
    <w:rsid w:val="003A65A5"/>
    <w:rsid w:val="003A72F5"/>
    <w:rsid w:val="003A78E5"/>
    <w:rsid w:val="003B0341"/>
    <w:rsid w:val="003B1961"/>
    <w:rsid w:val="003B1E57"/>
    <w:rsid w:val="003B2EF3"/>
    <w:rsid w:val="003B534F"/>
    <w:rsid w:val="003B5391"/>
    <w:rsid w:val="003B5545"/>
    <w:rsid w:val="003B58CE"/>
    <w:rsid w:val="003B65D7"/>
    <w:rsid w:val="003B65E0"/>
    <w:rsid w:val="003B6BD4"/>
    <w:rsid w:val="003B6F4D"/>
    <w:rsid w:val="003B6FE7"/>
    <w:rsid w:val="003B70CE"/>
    <w:rsid w:val="003C0C0F"/>
    <w:rsid w:val="003C0D1F"/>
    <w:rsid w:val="003C116A"/>
    <w:rsid w:val="003C1AF4"/>
    <w:rsid w:val="003C1CB8"/>
    <w:rsid w:val="003C22DA"/>
    <w:rsid w:val="003C2550"/>
    <w:rsid w:val="003C27C6"/>
    <w:rsid w:val="003C287F"/>
    <w:rsid w:val="003C3146"/>
    <w:rsid w:val="003C3251"/>
    <w:rsid w:val="003C3339"/>
    <w:rsid w:val="003C375A"/>
    <w:rsid w:val="003C4317"/>
    <w:rsid w:val="003C442D"/>
    <w:rsid w:val="003C4C1F"/>
    <w:rsid w:val="003C4D9F"/>
    <w:rsid w:val="003C5247"/>
    <w:rsid w:val="003C5E8A"/>
    <w:rsid w:val="003C622C"/>
    <w:rsid w:val="003C6505"/>
    <w:rsid w:val="003C696A"/>
    <w:rsid w:val="003C6EBA"/>
    <w:rsid w:val="003C73C7"/>
    <w:rsid w:val="003C7CFB"/>
    <w:rsid w:val="003D050B"/>
    <w:rsid w:val="003D0A1F"/>
    <w:rsid w:val="003D0B98"/>
    <w:rsid w:val="003D0C3C"/>
    <w:rsid w:val="003D0DE5"/>
    <w:rsid w:val="003D1351"/>
    <w:rsid w:val="003D21C1"/>
    <w:rsid w:val="003D281F"/>
    <w:rsid w:val="003D2F21"/>
    <w:rsid w:val="003D369D"/>
    <w:rsid w:val="003D3B15"/>
    <w:rsid w:val="003D3B2E"/>
    <w:rsid w:val="003D4101"/>
    <w:rsid w:val="003D484D"/>
    <w:rsid w:val="003D49CB"/>
    <w:rsid w:val="003D6B8F"/>
    <w:rsid w:val="003D7566"/>
    <w:rsid w:val="003E0224"/>
    <w:rsid w:val="003E09BB"/>
    <w:rsid w:val="003E159D"/>
    <w:rsid w:val="003E20EA"/>
    <w:rsid w:val="003E210C"/>
    <w:rsid w:val="003E2F55"/>
    <w:rsid w:val="003E34DB"/>
    <w:rsid w:val="003E3833"/>
    <w:rsid w:val="003E3AF9"/>
    <w:rsid w:val="003E4A70"/>
    <w:rsid w:val="003E4C48"/>
    <w:rsid w:val="003E4CD9"/>
    <w:rsid w:val="003E52C2"/>
    <w:rsid w:val="003E54B3"/>
    <w:rsid w:val="003E5780"/>
    <w:rsid w:val="003E5B9F"/>
    <w:rsid w:val="003E5CE4"/>
    <w:rsid w:val="003E6072"/>
    <w:rsid w:val="003E6AB6"/>
    <w:rsid w:val="003E6E0B"/>
    <w:rsid w:val="003E6EF6"/>
    <w:rsid w:val="003E71CD"/>
    <w:rsid w:val="003E78DA"/>
    <w:rsid w:val="003E7A8B"/>
    <w:rsid w:val="003F060E"/>
    <w:rsid w:val="003F0F7F"/>
    <w:rsid w:val="003F115C"/>
    <w:rsid w:val="003F153A"/>
    <w:rsid w:val="003F1767"/>
    <w:rsid w:val="003F1C15"/>
    <w:rsid w:val="003F23D1"/>
    <w:rsid w:val="003F2A86"/>
    <w:rsid w:val="003F300D"/>
    <w:rsid w:val="003F391F"/>
    <w:rsid w:val="003F3DE6"/>
    <w:rsid w:val="003F3FA1"/>
    <w:rsid w:val="003F4599"/>
    <w:rsid w:val="003F45E1"/>
    <w:rsid w:val="003F4A81"/>
    <w:rsid w:val="003F4F6C"/>
    <w:rsid w:val="003F559E"/>
    <w:rsid w:val="003F6098"/>
    <w:rsid w:val="003F6181"/>
    <w:rsid w:val="003F6B40"/>
    <w:rsid w:val="003F6BFC"/>
    <w:rsid w:val="003F6CE8"/>
    <w:rsid w:val="003F6D87"/>
    <w:rsid w:val="003F7343"/>
    <w:rsid w:val="00400002"/>
    <w:rsid w:val="00400054"/>
    <w:rsid w:val="00400134"/>
    <w:rsid w:val="004002C6"/>
    <w:rsid w:val="004004C2"/>
    <w:rsid w:val="00400707"/>
    <w:rsid w:val="004016A3"/>
    <w:rsid w:val="00401B31"/>
    <w:rsid w:val="0040202B"/>
    <w:rsid w:val="00402DE1"/>
    <w:rsid w:val="00402EEB"/>
    <w:rsid w:val="00403548"/>
    <w:rsid w:val="004037C2"/>
    <w:rsid w:val="00404041"/>
    <w:rsid w:val="00404B43"/>
    <w:rsid w:val="00404C61"/>
    <w:rsid w:val="00404F5D"/>
    <w:rsid w:val="00405487"/>
    <w:rsid w:val="00405730"/>
    <w:rsid w:val="00405B8A"/>
    <w:rsid w:val="0040602B"/>
    <w:rsid w:val="0040606C"/>
    <w:rsid w:val="004060DC"/>
    <w:rsid w:val="00406DF5"/>
    <w:rsid w:val="00406F35"/>
    <w:rsid w:val="004077D0"/>
    <w:rsid w:val="00407A63"/>
    <w:rsid w:val="00407A7A"/>
    <w:rsid w:val="00407ABC"/>
    <w:rsid w:val="00407F1E"/>
    <w:rsid w:val="00410A88"/>
    <w:rsid w:val="00411317"/>
    <w:rsid w:val="00411692"/>
    <w:rsid w:val="00411A9E"/>
    <w:rsid w:val="00411F80"/>
    <w:rsid w:val="0041259F"/>
    <w:rsid w:val="00412B1B"/>
    <w:rsid w:val="00412B4D"/>
    <w:rsid w:val="00412C51"/>
    <w:rsid w:val="00413262"/>
    <w:rsid w:val="0041329C"/>
    <w:rsid w:val="004139F4"/>
    <w:rsid w:val="00413FFA"/>
    <w:rsid w:val="00414246"/>
    <w:rsid w:val="00414D9A"/>
    <w:rsid w:val="00415194"/>
    <w:rsid w:val="00415816"/>
    <w:rsid w:val="00415B88"/>
    <w:rsid w:val="00415D32"/>
    <w:rsid w:val="004160A2"/>
    <w:rsid w:val="0041674B"/>
    <w:rsid w:val="004170D7"/>
    <w:rsid w:val="004175C7"/>
    <w:rsid w:val="004177A6"/>
    <w:rsid w:val="00417C23"/>
    <w:rsid w:val="00417EFD"/>
    <w:rsid w:val="00417F62"/>
    <w:rsid w:val="004200EE"/>
    <w:rsid w:val="00420478"/>
    <w:rsid w:val="00420786"/>
    <w:rsid w:val="004209D2"/>
    <w:rsid w:val="00420D6E"/>
    <w:rsid w:val="0042158C"/>
    <w:rsid w:val="00421617"/>
    <w:rsid w:val="00421BD2"/>
    <w:rsid w:val="00421E00"/>
    <w:rsid w:val="00421FCB"/>
    <w:rsid w:val="0042244C"/>
    <w:rsid w:val="00422DCA"/>
    <w:rsid w:val="00423CF8"/>
    <w:rsid w:val="00423D04"/>
    <w:rsid w:val="00423F9F"/>
    <w:rsid w:val="00425C43"/>
    <w:rsid w:val="0042639C"/>
    <w:rsid w:val="00426FB4"/>
    <w:rsid w:val="004273FA"/>
    <w:rsid w:val="004275A7"/>
    <w:rsid w:val="00430186"/>
    <w:rsid w:val="00430F17"/>
    <w:rsid w:val="0043269A"/>
    <w:rsid w:val="004333C2"/>
    <w:rsid w:val="00433415"/>
    <w:rsid w:val="00434787"/>
    <w:rsid w:val="00434C13"/>
    <w:rsid w:val="00435128"/>
    <w:rsid w:val="0043549E"/>
    <w:rsid w:val="00435703"/>
    <w:rsid w:val="00435BD5"/>
    <w:rsid w:val="00436323"/>
    <w:rsid w:val="0043683F"/>
    <w:rsid w:val="00436B3F"/>
    <w:rsid w:val="00436F40"/>
    <w:rsid w:val="004370FA"/>
    <w:rsid w:val="00440096"/>
    <w:rsid w:val="004403DD"/>
    <w:rsid w:val="004405F1"/>
    <w:rsid w:val="00440CF3"/>
    <w:rsid w:val="00440DB0"/>
    <w:rsid w:val="00440DDC"/>
    <w:rsid w:val="00440FAD"/>
    <w:rsid w:val="00441291"/>
    <w:rsid w:val="00441E04"/>
    <w:rsid w:val="004420AB"/>
    <w:rsid w:val="004422D6"/>
    <w:rsid w:val="004427AC"/>
    <w:rsid w:val="00442C7D"/>
    <w:rsid w:val="00442D13"/>
    <w:rsid w:val="00442D4D"/>
    <w:rsid w:val="00442D77"/>
    <w:rsid w:val="004430D7"/>
    <w:rsid w:val="0044374D"/>
    <w:rsid w:val="00443B55"/>
    <w:rsid w:val="00443D27"/>
    <w:rsid w:val="00444038"/>
    <w:rsid w:val="0044500B"/>
    <w:rsid w:val="00446037"/>
    <w:rsid w:val="004461D0"/>
    <w:rsid w:val="004463DB"/>
    <w:rsid w:val="0044642F"/>
    <w:rsid w:val="0044772C"/>
    <w:rsid w:val="00447C11"/>
    <w:rsid w:val="00450846"/>
    <w:rsid w:val="00451847"/>
    <w:rsid w:val="0045194E"/>
    <w:rsid w:val="00451A52"/>
    <w:rsid w:val="004521DA"/>
    <w:rsid w:val="00452361"/>
    <w:rsid w:val="0045271D"/>
    <w:rsid w:val="00452755"/>
    <w:rsid w:val="00452803"/>
    <w:rsid w:val="004529C6"/>
    <w:rsid w:val="00452EAD"/>
    <w:rsid w:val="004533D1"/>
    <w:rsid w:val="004534D1"/>
    <w:rsid w:val="00454548"/>
    <w:rsid w:val="00454717"/>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321"/>
    <w:rsid w:val="004614A9"/>
    <w:rsid w:val="00461E97"/>
    <w:rsid w:val="0046268F"/>
    <w:rsid w:val="0046284F"/>
    <w:rsid w:val="00462B10"/>
    <w:rsid w:val="00462BB1"/>
    <w:rsid w:val="00462C04"/>
    <w:rsid w:val="0046320A"/>
    <w:rsid w:val="00463515"/>
    <w:rsid w:val="004636CC"/>
    <w:rsid w:val="004638E2"/>
    <w:rsid w:val="00464030"/>
    <w:rsid w:val="004647F8"/>
    <w:rsid w:val="004647FB"/>
    <w:rsid w:val="00465347"/>
    <w:rsid w:val="00465677"/>
    <w:rsid w:val="00466616"/>
    <w:rsid w:val="00466A0C"/>
    <w:rsid w:val="00466A53"/>
    <w:rsid w:val="00470A6A"/>
    <w:rsid w:val="00470D73"/>
    <w:rsid w:val="00470D92"/>
    <w:rsid w:val="00470E92"/>
    <w:rsid w:val="0047179C"/>
    <w:rsid w:val="00471DF7"/>
    <w:rsid w:val="00472111"/>
    <w:rsid w:val="004721A4"/>
    <w:rsid w:val="0047338A"/>
    <w:rsid w:val="004734CF"/>
    <w:rsid w:val="0047586C"/>
    <w:rsid w:val="00475C5A"/>
    <w:rsid w:val="00475C9C"/>
    <w:rsid w:val="0047676B"/>
    <w:rsid w:val="0047773C"/>
    <w:rsid w:val="004777DF"/>
    <w:rsid w:val="00477C5F"/>
    <w:rsid w:val="00480050"/>
    <w:rsid w:val="0048011C"/>
    <w:rsid w:val="00480170"/>
    <w:rsid w:val="004808DE"/>
    <w:rsid w:val="00481AC4"/>
    <w:rsid w:val="00481DC1"/>
    <w:rsid w:val="00482507"/>
    <w:rsid w:val="0048268A"/>
    <w:rsid w:val="004831B1"/>
    <w:rsid w:val="00483379"/>
    <w:rsid w:val="004835CA"/>
    <w:rsid w:val="004836F8"/>
    <w:rsid w:val="004836FE"/>
    <w:rsid w:val="00484F0F"/>
    <w:rsid w:val="00484F40"/>
    <w:rsid w:val="0048540C"/>
    <w:rsid w:val="00485996"/>
    <w:rsid w:val="004861B4"/>
    <w:rsid w:val="00486226"/>
    <w:rsid w:val="00486BD0"/>
    <w:rsid w:val="00486D00"/>
    <w:rsid w:val="00486FF7"/>
    <w:rsid w:val="00487263"/>
    <w:rsid w:val="00487288"/>
    <w:rsid w:val="0048734F"/>
    <w:rsid w:val="0048742E"/>
    <w:rsid w:val="0049029D"/>
    <w:rsid w:val="0049030C"/>
    <w:rsid w:val="004903C0"/>
    <w:rsid w:val="00490D3C"/>
    <w:rsid w:val="0049114B"/>
    <w:rsid w:val="004912A8"/>
    <w:rsid w:val="00491577"/>
    <w:rsid w:val="004918E1"/>
    <w:rsid w:val="0049196A"/>
    <w:rsid w:val="0049196E"/>
    <w:rsid w:val="0049241A"/>
    <w:rsid w:val="00492C1F"/>
    <w:rsid w:val="00492E4C"/>
    <w:rsid w:val="00493664"/>
    <w:rsid w:val="004938FD"/>
    <w:rsid w:val="00493E04"/>
    <w:rsid w:val="004940E3"/>
    <w:rsid w:val="0049530F"/>
    <w:rsid w:val="00496664"/>
    <w:rsid w:val="00496786"/>
    <w:rsid w:val="0049695B"/>
    <w:rsid w:val="00496D8F"/>
    <w:rsid w:val="00497463"/>
    <w:rsid w:val="00497BF4"/>
    <w:rsid w:val="004A054C"/>
    <w:rsid w:val="004A08D1"/>
    <w:rsid w:val="004A0905"/>
    <w:rsid w:val="004A0DF7"/>
    <w:rsid w:val="004A0F5B"/>
    <w:rsid w:val="004A16C1"/>
    <w:rsid w:val="004A1CE2"/>
    <w:rsid w:val="004A31BD"/>
    <w:rsid w:val="004A34D2"/>
    <w:rsid w:val="004A4301"/>
    <w:rsid w:val="004A4587"/>
    <w:rsid w:val="004A45E5"/>
    <w:rsid w:val="004A4D93"/>
    <w:rsid w:val="004A58EE"/>
    <w:rsid w:val="004A59B7"/>
    <w:rsid w:val="004A6051"/>
    <w:rsid w:val="004A623B"/>
    <w:rsid w:val="004A64B9"/>
    <w:rsid w:val="004A6A04"/>
    <w:rsid w:val="004A6A52"/>
    <w:rsid w:val="004B07B2"/>
    <w:rsid w:val="004B0A44"/>
    <w:rsid w:val="004B0F0B"/>
    <w:rsid w:val="004B2197"/>
    <w:rsid w:val="004B298A"/>
    <w:rsid w:val="004B4DE8"/>
    <w:rsid w:val="004B50CB"/>
    <w:rsid w:val="004B512B"/>
    <w:rsid w:val="004B578D"/>
    <w:rsid w:val="004B5BE7"/>
    <w:rsid w:val="004B5E2D"/>
    <w:rsid w:val="004B6C07"/>
    <w:rsid w:val="004B74D3"/>
    <w:rsid w:val="004B755E"/>
    <w:rsid w:val="004B788E"/>
    <w:rsid w:val="004B7E5D"/>
    <w:rsid w:val="004C22F7"/>
    <w:rsid w:val="004C2A3E"/>
    <w:rsid w:val="004C2B27"/>
    <w:rsid w:val="004C3929"/>
    <w:rsid w:val="004C3FFB"/>
    <w:rsid w:val="004C5212"/>
    <w:rsid w:val="004C5EF0"/>
    <w:rsid w:val="004C64C9"/>
    <w:rsid w:val="004C7226"/>
    <w:rsid w:val="004C74C9"/>
    <w:rsid w:val="004C7915"/>
    <w:rsid w:val="004C7D70"/>
    <w:rsid w:val="004D02F9"/>
    <w:rsid w:val="004D03FE"/>
    <w:rsid w:val="004D0446"/>
    <w:rsid w:val="004D06A3"/>
    <w:rsid w:val="004D0AEA"/>
    <w:rsid w:val="004D0F95"/>
    <w:rsid w:val="004D106A"/>
    <w:rsid w:val="004D1C7E"/>
    <w:rsid w:val="004D1FB0"/>
    <w:rsid w:val="004D245A"/>
    <w:rsid w:val="004D2571"/>
    <w:rsid w:val="004D25EB"/>
    <w:rsid w:val="004D31EE"/>
    <w:rsid w:val="004D36AF"/>
    <w:rsid w:val="004D3BD1"/>
    <w:rsid w:val="004D4A64"/>
    <w:rsid w:val="004D4BA1"/>
    <w:rsid w:val="004D584D"/>
    <w:rsid w:val="004D5A7E"/>
    <w:rsid w:val="004D6120"/>
    <w:rsid w:val="004D6826"/>
    <w:rsid w:val="004D688D"/>
    <w:rsid w:val="004E023F"/>
    <w:rsid w:val="004E0546"/>
    <w:rsid w:val="004E0742"/>
    <w:rsid w:val="004E0C64"/>
    <w:rsid w:val="004E0F6B"/>
    <w:rsid w:val="004E133F"/>
    <w:rsid w:val="004E1545"/>
    <w:rsid w:val="004E1F1C"/>
    <w:rsid w:val="004E25C7"/>
    <w:rsid w:val="004E2A35"/>
    <w:rsid w:val="004E40CE"/>
    <w:rsid w:val="004E4581"/>
    <w:rsid w:val="004E5736"/>
    <w:rsid w:val="004E5A3C"/>
    <w:rsid w:val="004E5B36"/>
    <w:rsid w:val="004E5D5D"/>
    <w:rsid w:val="004E6045"/>
    <w:rsid w:val="004E6F43"/>
    <w:rsid w:val="004E7200"/>
    <w:rsid w:val="004E787E"/>
    <w:rsid w:val="004E7AA1"/>
    <w:rsid w:val="004F0960"/>
    <w:rsid w:val="004F0A5C"/>
    <w:rsid w:val="004F1596"/>
    <w:rsid w:val="004F163F"/>
    <w:rsid w:val="004F18A0"/>
    <w:rsid w:val="004F1A08"/>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AC9"/>
    <w:rsid w:val="0050039C"/>
    <w:rsid w:val="0050062F"/>
    <w:rsid w:val="00500E74"/>
    <w:rsid w:val="0050160F"/>
    <w:rsid w:val="0050273B"/>
    <w:rsid w:val="0050284E"/>
    <w:rsid w:val="00502911"/>
    <w:rsid w:val="0050306F"/>
    <w:rsid w:val="00503EC8"/>
    <w:rsid w:val="00505DCB"/>
    <w:rsid w:val="005075CA"/>
    <w:rsid w:val="00507B06"/>
    <w:rsid w:val="00507BF1"/>
    <w:rsid w:val="0051074C"/>
    <w:rsid w:val="0051099D"/>
    <w:rsid w:val="00510DE9"/>
    <w:rsid w:val="00510E2B"/>
    <w:rsid w:val="005111E2"/>
    <w:rsid w:val="00511231"/>
    <w:rsid w:val="00512C4F"/>
    <w:rsid w:val="00513042"/>
    <w:rsid w:val="0051334F"/>
    <w:rsid w:val="00513399"/>
    <w:rsid w:val="00513AF2"/>
    <w:rsid w:val="00514575"/>
    <w:rsid w:val="00514C03"/>
    <w:rsid w:val="00514D67"/>
    <w:rsid w:val="0051522A"/>
    <w:rsid w:val="00515515"/>
    <w:rsid w:val="0051635C"/>
    <w:rsid w:val="00516C5B"/>
    <w:rsid w:val="00517612"/>
    <w:rsid w:val="00517CFB"/>
    <w:rsid w:val="00517F85"/>
    <w:rsid w:val="00520235"/>
    <w:rsid w:val="00520899"/>
    <w:rsid w:val="00520922"/>
    <w:rsid w:val="005209FC"/>
    <w:rsid w:val="00520C09"/>
    <w:rsid w:val="00521A30"/>
    <w:rsid w:val="005224E5"/>
    <w:rsid w:val="00523903"/>
    <w:rsid w:val="005239B6"/>
    <w:rsid w:val="00523C45"/>
    <w:rsid w:val="00523EE1"/>
    <w:rsid w:val="00523F41"/>
    <w:rsid w:val="00524165"/>
    <w:rsid w:val="005246E7"/>
    <w:rsid w:val="00524B08"/>
    <w:rsid w:val="00524C38"/>
    <w:rsid w:val="00524FD2"/>
    <w:rsid w:val="00525621"/>
    <w:rsid w:val="00526431"/>
    <w:rsid w:val="005264AA"/>
    <w:rsid w:val="00526807"/>
    <w:rsid w:val="00526BBF"/>
    <w:rsid w:val="00527532"/>
    <w:rsid w:val="00527DEB"/>
    <w:rsid w:val="00527E57"/>
    <w:rsid w:val="00527F2C"/>
    <w:rsid w:val="005302C8"/>
    <w:rsid w:val="00530405"/>
    <w:rsid w:val="00530522"/>
    <w:rsid w:val="005305E5"/>
    <w:rsid w:val="0053086F"/>
    <w:rsid w:val="00530CBA"/>
    <w:rsid w:val="00530DD7"/>
    <w:rsid w:val="00530DFE"/>
    <w:rsid w:val="00530F38"/>
    <w:rsid w:val="00531E9A"/>
    <w:rsid w:val="00531F26"/>
    <w:rsid w:val="0053277C"/>
    <w:rsid w:val="005327C0"/>
    <w:rsid w:val="00532B61"/>
    <w:rsid w:val="00533101"/>
    <w:rsid w:val="00533CA9"/>
    <w:rsid w:val="005346AD"/>
    <w:rsid w:val="00534A10"/>
    <w:rsid w:val="00534EFB"/>
    <w:rsid w:val="00534F60"/>
    <w:rsid w:val="005357F1"/>
    <w:rsid w:val="00535858"/>
    <w:rsid w:val="00535D15"/>
    <w:rsid w:val="00536053"/>
    <w:rsid w:val="005369E6"/>
    <w:rsid w:val="005371AC"/>
    <w:rsid w:val="00537672"/>
    <w:rsid w:val="0053772F"/>
    <w:rsid w:val="00537A70"/>
    <w:rsid w:val="00537B64"/>
    <w:rsid w:val="00537B77"/>
    <w:rsid w:val="00540210"/>
    <w:rsid w:val="00540C4C"/>
    <w:rsid w:val="00541469"/>
    <w:rsid w:val="00541571"/>
    <w:rsid w:val="00541B1F"/>
    <w:rsid w:val="0054211B"/>
    <w:rsid w:val="0054275A"/>
    <w:rsid w:val="005428B8"/>
    <w:rsid w:val="005428BE"/>
    <w:rsid w:val="00542BD7"/>
    <w:rsid w:val="00543084"/>
    <w:rsid w:val="00543584"/>
    <w:rsid w:val="00543A9E"/>
    <w:rsid w:val="0054413A"/>
    <w:rsid w:val="00544288"/>
    <w:rsid w:val="005446BB"/>
    <w:rsid w:val="00544DA5"/>
    <w:rsid w:val="00544F43"/>
    <w:rsid w:val="00545E30"/>
    <w:rsid w:val="00545EA3"/>
    <w:rsid w:val="00546C9B"/>
    <w:rsid w:val="00547BF6"/>
    <w:rsid w:val="00547FB3"/>
    <w:rsid w:val="00551098"/>
    <w:rsid w:val="00551598"/>
    <w:rsid w:val="0055162B"/>
    <w:rsid w:val="00551A56"/>
    <w:rsid w:val="00551BFF"/>
    <w:rsid w:val="00551D68"/>
    <w:rsid w:val="00551DFF"/>
    <w:rsid w:val="005525C9"/>
    <w:rsid w:val="00552B3E"/>
    <w:rsid w:val="005535B9"/>
    <w:rsid w:val="005546CD"/>
    <w:rsid w:val="00554D57"/>
    <w:rsid w:val="005551AA"/>
    <w:rsid w:val="0055604C"/>
    <w:rsid w:val="005564CA"/>
    <w:rsid w:val="005568EA"/>
    <w:rsid w:val="00557140"/>
    <w:rsid w:val="0055715A"/>
    <w:rsid w:val="0055729E"/>
    <w:rsid w:val="00557984"/>
    <w:rsid w:val="00557A3F"/>
    <w:rsid w:val="00560C87"/>
    <w:rsid w:val="00560F51"/>
    <w:rsid w:val="00561249"/>
    <w:rsid w:val="0056182B"/>
    <w:rsid w:val="00561A88"/>
    <w:rsid w:val="00561AF3"/>
    <w:rsid w:val="00561E0B"/>
    <w:rsid w:val="00562141"/>
    <w:rsid w:val="00562A19"/>
    <w:rsid w:val="00562D86"/>
    <w:rsid w:val="005641DC"/>
    <w:rsid w:val="00564704"/>
    <w:rsid w:val="00564712"/>
    <w:rsid w:val="005657A8"/>
    <w:rsid w:val="00565952"/>
    <w:rsid w:val="00566866"/>
    <w:rsid w:val="00566E9D"/>
    <w:rsid w:val="005670A5"/>
    <w:rsid w:val="00567285"/>
    <w:rsid w:val="00567368"/>
    <w:rsid w:val="00567723"/>
    <w:rsid w:val="0056772D"/>
    <w:rsid w:val="005678F5"/>
    <w:rsid w:val="00567AB8"/>
    <w:rsid w:val="00570A26"/>
    <w:rsid w:val="00570C49"/>
    <w:rsid w:val="00570CFD"/>
    <w:rsid w:val="00570D7D"/>
    <w:rsid w:val="00571872"/>
    <w:rsid w:val="00571993"/>
    <w:rsid w:val="0057221F"/>
    <w:rsid w:val="00572421"/>
    <w:rsid w:val="00572539"/>
    <w:rsid w:val="00573355"/>
    <w:rsid w:val="0057337D"/>
    <w:rsid w:val="00573504"/>
    <w:rsid w:val="00573BA3"/>
    <w:rsid w:val="005746B2"/>
    <w:rsid w:val="00574708"/>
    <w:rsid w:val="00574D81"/>
    <w:rsid w:val="005756AA"/>
    <w:rsid w:val="0057696F"/>
    <w:rsid w:val="00576DB6"/>
    <w:rsid w:val="00577379"/>
    <w:rsid w:val="005774FE"/>
    <w:rsid w:val="005776CB"/>
    <w:rsid w:val="0058040C"/>
    <w:rsid w:val="00580D6D"/>
    <w:rsid w:val="005813DE"/>
    <w:rsid w:val="00581796"/>
    <w:rsid w:val="00581B45"/>
    <w:rsid w:val="00582480"/>
    <w:rsid w:val="00582805"/>
    <w:rsid w:val="0058290E"/>
    <w:rsid w:val="00582CAB"/>
    <w:rsid w:val="00582EB8"/>
    <w:rsid w:val="00582FA6"/>
    <w:rsid w:val="005836D5"/>
    <w:rsid w:val="0058375E"/>
    <w:rsid w:val="00584233"/>
    <w:rsid w:val="005842D0"/>
    <w:rsid w:val="005843E8"/>
    <w:rsid w:val="005845FB"/>
    <w:rsid w:val="005855AE"/>
    <w:rsid w:val="00585829"/>
    <w:rsid w:val="00585CA8"/>
    <w:rsid w:val="00586412"/>
    <w:rsid w:val="005864B9"/>
    <w:rsid w:val="005866C4"/>
    <w:rsid w:val="00590F1A"/>
    <w:rsid w:val="0059114D"/>
    <w:rsid w:val="00591C03"/>
    <w:rsid w:val="00591E2A"/>
    <w:rsid w:val="00592003"/>
    <w:rsid w:val="00592181"/>
    <w:rsid w:val="005923C4"/>
    <w:rsid w:val="005938C3"/>
    <w:rsid w:val="00593EA2"/>
    <w:rsid w:val="00593F75"/>
    <w:rsid w:val="005940A0"/>
    <w:rsid w:val="0059429A"/>
    <w:rsid w:val="00594A54"/>
    <w:rsid w:val="00594CBE"/>
    <w:rsid w:val="00595AF6"/>
    <w:rsid w:val="00596AF7"/>
    <w:rsid w:val="00596CCE"/>
    <w:rsid w:val="005A1976"/>
    <w:rsid w:val="005A2120"/>
    <w:rsid w:val="005A2501"/>
    <w:rsid w:val="005A2C80"/>
    <w:rsid w:val="005A3066"/>
    <w:rsid w:val="005A3B35"/>
    <w:rsid w:val="005A3C4B"/>
    <w:rsid w:val="005A3E5A"/>
    <w:rsid w:val="005A43F3"/>
    <w:rsid w:val="005A47B3"/>
    <w:rsid w:val="005A496F"/>
    <w:rsid w:val="005A4A56"/>
    <w:rsid w:val="005A4F69"/>
    <w:rsid w:val="005A5608"/>
    <w:rsid w:val="005A5A3D"/>
    <w:rsid w:val="005A6035"/>
    <w:rsid w:val="005A6B75"/>
    <w:rsid w:val="005A6E00"/>
    <w:rsid w:val="005A718A"/>
    <w:rsid w:val="005A7885"/>
    <w:rsid w:val="005B12B2"/>
    <w:rsid w:val="005B143B"/>
    <w:rsid w:val="005B19BD"/>
    <w:rsid w:val="005B1E45"/>
    <w:rsid w:val="005B21C4"/>
    <w:rsid w:val="005B2206"/>
    <w:rsid w:val="005B2A28"/>
    <w:rsid w:val="005B3621"/>
    <w:rsid w:val="005B3EBE"/>
    <w:rsid w:val="005B4948"/>
    <w:rsid w:val="005B501D"/>
    <w:rsid w:val="005B54CC"/>
    <w:rsid w:val="005B56AA"/>
    <w:rsid w:val="005B74AD"/>
    <w:rsid w:val="005B7E96"/>
    <w:rsid w:val="005C0297"/>
    <w:rsid w:val="005C0429"/>
    <w:rsid w:val="005C084F"/>
    <w:rsid w:val="005C0EE9"/>
    <w:rsid w:val="005C0FC4"/>
    <w:rsid w:val="005C16A8"/>
    <w:rsid w:val="005C1716"/>
    <w:rsid w:val="005C1954"/>
    <w:rsid w:val="005C1C0B"/>
    <w:rsid w:val="005C1F78"/>
    <w:rsid w:val="005C2011"/>
    <w:rsid w:val="005C3EA3"/>
    <w:rsid w:val="005C44DE"/>
    <w:rsid w:val="005C5011"/>
    <w:rsid w:val="005C5241"/>
    <w:rsid w:val="005C529E"/>
    <w:rsid w:val="005C57BA"/>
    <w:rsid w:val="005C5C52"/>
    <w:rsid w:val="005C5D3D"/>
    <w:rsid w:val="005C5F05"/>
    <w:rsid w:val="005C6186"/>
    <w:rsid w:val="005C6247"/>
    <w:rsid w:val="005C67B5"/>
    <w:rsid w:val="005C7E45"/>
    <w:rsid w:val="005C7EFA"/>
    <w:rsid w:val="005C7F3E"/>
    <w:rsid w:val="005D065E"/>
    <w:rsid w:val="005D06D3"/>
    <w:rsid w:val="005D0C3B"/>
    <w:rsid w:val="005D1051"/>
    <w:rsid w:val="005D1606"/>
    <w:rsid w:val="005D2044"/>
    <w:rsid w:val="005D209E"/>
    <w:rsid w:val="005D2917"/>
    <w:rsid w:val="005D2EB2"/>
    <w:rsid w:val="005D2F48"/>
    <w:rsid w:val="005D3795"/>
    <w:rsid w:val="005D37E4"/>
    <w:rsid w:val="005D3B32"/>
    <w:rsid w:val="005D464B"/>
    <w:rsid w:val="005D466F"/>
    <w:rsid w:val="005D49F0"/>
    <w:rsid w:val="005D51F7"/>
    <w:rsid w:val="005D51FA"/>
    <w:rsid w:val="005D53E8"/>
    <w:rsid w:val="005D5A9D"/>
    <w:rsid w:val="005D5D15"/>
    <w:rsid w:val="005D6651"/>
    <w:rsid w:val="005D691D"/>
    <w:rsid w:val="005D6A72"/>
    <w:rsid w:val="005D6F38"/>
    <w:rsid w:val="005D7544"/>
    <w:rsid w:val="005D789F"/>
    <w:rsid w:val="005D791B"/>
    <w:rsid w:val="005D7CF2"/>
    <w:rsid w:val="005D7F92"/>
    <w:rsid w:val="005E062C"/>
    <w:rsid w:val="005E0D7B"/>
    <w:rsid w:val="005E1595"/>
    <w:rsid w:val="005E1F1D"/>
    <w:rsid w:val="005E273D"/>
    <w:rsid w:val="005E3278"/>
    <w:rsid w:val="005E363B"/>
    <w:rsid w:val="005E3736"/>
    <w:rsid w:val="005E38E9"/>
    <w:rsid w:val="005E4B72"/>
    <w:rsid w:val="005E52C9"/>
    <w:rsid w:val="005F02D8"/>
    <w:rsid w:val="005F1D88"/>
    <w:rsid w:val="005F305B"/>
    <w:rsid w:val="005F3361"/>
    <w:rsid w:val="005F3ACA"/>
    <w:rsid w:val="005F3B47"/>
    <w:rsid w:val="005F42A3"/>
    <w:rsid w:val="005F4481"/>
    <w:rsid w:val="005F47AC"/>
    <w:rsid w:val="005F49AF"/>
    <w:rsid w:val="005F4A58"/>
    <w:rsid w:val="005F54DF"/>
    <w:rsid w:val="005F5888"/>
    <w:rsid w:val="005F5984"/>
    <w:rsid w:val="005F5EAB"/>
    <w:rsid w:val="005F6CE2"/>
    <w:rsid w:val="005F6EC8"/>
    <w:rsid w:val="005F6F24"/>
    <w:rsid w:val="005F72E9"/>
    <w:rsid w:val="005F780B"/>
    <w:rsid w:val="0060009B"/>
    <w:rsid w:val="00600473"/>
    <w:rsid w:val="0060079A"/>
    <w:rsid w:val="0060083D"/>
    <w:rsid w:val="0060139A"/>
    <w:rsid w:val="006013C9"/>
    <w:rsid w:val="00601B66"/>
    <w:rsid w:val="00601FC4"/>
    <w:rsid w:val="00602B45"/>
    <w:rsid w:val="00603499"/>
    <w:rsid w:val="006035F5"/>
    <w:rsid w:val="00603CC2"/>
    <w:rsid w:val="006042CD"/>
    <w:rsid w:val="006047D1"/>
    <w:rsid w:val="006048A4"/>
    <w:rsid w:val="00604A55"/>
    <w:rsid w:val="00604D4E"/>
    <w:rsid w:val="00604E3E"/>
    <w:rsid w:val="00605AC3"/>
    <w:rsid w:val="00606908"/>
    <w:rsid w:val="00607996"/>
    <w:rsid w:val="00607A37"/>
    <w:rsid w:val="00607E9F"/>
    <w:rsid w:val="0061085E"/>
    <w:rsid w:val="00610FBF"/>
    <w:rsid w:val="00611398"/>
    <w:rsid w:val="006113B4"/>
    <w:rsid w:val="0061186D"/>
    <w:rsid w:val="00611DA7"/>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17A5B"/>
    <w:rsid w:val="00620210"/>
    <w:rsid w:val="00620719"/>
    <w:rsid w:val="006212C9"/>
    <w:rsid w:val="00621A72"/>
    <w:rsid w:val="00621D0C"/>
    <w:rsid w:val="00622229"/>
    <w:rsid w:val="00622470"/>
    <w:rsid w:val="00622725"/>
    <w:rsid w:val="006231AA"/>
    <w:rsid w:val="00623482"/>
    <w:rsid w:val="00623AC2"/>
    <w:rsid w:val="00623EBC"/>
    <w:rsid w:val="006251D3"/>
    <w:rsid w:val="00625642"/>
    <w:rsid w:val="00626133"/>
    <w:rsid w:val="006266D7"/>
    <w:rsid w:val="00626D1E"/>
    <w:rsid w:val="00626D42"/>
    <w:rsid w:val="00626EE3"/>
    <w:rsid w:val="006274AD"/>
    <w:rsid w:val="00627519"/>
    <w:rsid w:val="00627532"/>
    <w:rsid w:val="006302AA"/>
    <w:rsid w:val="006307FD"/>
    <w:rsid w:val="00630845"/>
    <w:rsid w:val="00631059"/>
    <w:rsid w:val="006310C3"/>
    <w:rsid w:val="00631245"/>
    <w:rsid w:val="006312E1"/>
    <w:rsid w:val="0063161E"/>
    <w:rsid w:val="00631BB5"/>
    <w:rsid w:val="00631DD0"/>
    <w:rsid w:val="00632599"/>
    <w:rsid w:val="00633DBF"/>
    <w:rsid w:val="00634122"/>
    <w:rsid w:val="0063444B"/>
    <w:rsid w:val="00634FC4"/>
    <w:rsid w:val="00635E32"/>
    <w:rsid w:val="006360FC"/>
    <w:rsid w:val="006361C9"/>
    <w:rsid w:val="006365DE"/>
    <w:rsid w:val="00636BE4"/>
    <w:rsid w:val="00636F88"/>
    <w:rsid w:val="0063732C"/>
    <w:rsid w:val="00637802"/>
    <w:rsid w:val="00637836"/>
    <w:rsid w:val="00637C26"/>
    <w:rsid w:val="00637F44"/>
    <w:rsid w:val="00641078"/>
    <w:rsid w:val="00641242"/>
    <w:rsid w:val="00642A32"/>
    <w:rsid w:val="00642D7A"/>
    <w:rsid w:val="006433D5"/>
    <w:rsid w:val="00643412"/>
    <w:rsid w:val="00645CEB"/>
    <w:rsid w:val="00646880"/>
    <w:rsid w:val="00646B20"/>
    <w:rsid w:val="00646D0F"/>
    <w:rsid w:val="00646D57"/>
    <w:rsid w:val="00646D69"/>
    <w:rsid w:val="00647A36"/>
    <w:rsid w:val="00647DCC"/>
    <w:rsid w:val="00647E07"/>
    <w:rsid w:val="00647EFA"/>
    <w:rsid w:val="00647F14"/>
    <w:rsid w:val="00650027"/>
    <w:rsid w:val="00650BBF"/>
    <w:rsid w:val="00650E89"/>
    <w:rsid w:val="00651B9C"/>
    <w:rsid w:val="00651C47"/>
    <w:rsid w:val="00651D91"/>
    <w:rsid w:val="00652E70"/>
    <w:rsid w:val="0065339A"/>
    <w:rsid w:val="00653469"/>
    <w:rsid w:val="00653A14"/>
    <w:rsid w:val="0065443A"/>
    <w:rsid w:val="00654A38"/>
    <w:rsid w:val="00655301"/>
    <w:rsid w:val="00655371"/>
    <w:rsid w:val="00655507"/>
    <w:rsid w:val="00656855"/>
    <w:rsid w:val="00656C4B"/>
    <w:rsid w:val="00656EEE"/>
    <w:rsid w:val="006572A7"/>
    <w:rsid w:val="006573EA"/>
    <w:rsid w:val="006604C3"/>
    <w:rsid w:val="006606A4"/>
    <w:rsid w:val="00660748"/>
    <w:rsid w:val="00661029"/>
    <w:rsid w:val="006610C3"/>
    <w:rsid w:val="0066135A"/>
    <w:rsid w:val="006618E4"/>
    <w:rsid w:val="00661A38"/>
    <w:rsid w:val="0066272D"/>
    <w:rsid w:val="00662E58"/>
    <w:rsid w:val="00662F39"/>
    <w:rsid w:val="006635A0"/>
    <w:rsid w:val="00663D26"/>
    <w:rsid w:val="00664351"/>
    <w:rsid w:val="00665968"/>
    <w:rsid w:val="00665BF7"/>
    <w:rsid w:val="006660F0"/>
    <w:rsid w:val="00666178"/>
    <w:rsid w:val="0066639E"/>
    <w:rsid w:val="00666473"/>
    <w:rsid w:val="00666C72"/>
    <w:rsid w:val="00666E6C"/>
    <w:rsid w:val="0066707F"/>
    <w:rsid w:val="0066711D"/>
    <w:rsid w:val="00667ED8"/>
    <w:rsid w:val="00667F76"/>
    <w:rsid w:val="0067064C"/>
    <w:rsid w:val="00670B20"/>
    <w:rsid w:val="00670E12"/>
    <w:rsid w:val="00670F27"/>
    <w:rsid w:val="00671BF1"/>
    <w:rsid w:val="00671E42"/>
    <w:rsid w:val="0067271C"/>
    <w:rsid w:val="00672E80"/>
    <w:rsid w:val="0067333F"/>
    <w:rsid w:val="006739E4"/>
    <w:rsid w:val="00673DD7"/>
    <w:rsid w:val="00673ECF"/>
    <w:rsid w:val="0067426B"/>
    <w:rsid w:val="00674A1B"/>
    <w:rsid w:val="00674F1C"/>
    <w:rsid w:val="006754F8"/>
    <w:rsid w:val="00676127"/>
    <w:rsid w:val="00676AED"/>
    <w:rsid w:val="006771DA"/>
    <w:rsid w:val="00677212"/>
    <w:rsid w:val="00677B26"/>
    <w:rsid w:val="00677F26"/>
    <w:rsid w:val="006800EE"/>
    <w:rsid w:val="006802A7"/>
    <w:rsid w:val="00680A86"/>
    <w:rsid w:val="006811C9"/>
    <w:rsid w:val="006812CE"/>
    <w:rsid w:val="00682640"/>
    <w:rsid w:val="006826C1"/>
    <w:rsid w:val="00682AB5"/>
    <w:rsid w:val="00682C89"/>
    <w:rsid w:val="006832B8"/>
    <w:rsid w:val="006837B2"/>
    <w:rsid w:val="00683800"/>
    <w:rsid w:val="00684462"/>
    <w:rsid w:val="00684C0D"/>
    <w:rsid w:val="00684C8A"/>
    <w:rsid w:val="00684CF5"/>
    <w:rsid w:val="006854CF"/>
    <w:rsid w:val="0068553E"/>
    <w:rsid w:val="0068557F"/>
    <w:rsid w:val="00685D37"/>
    <w:rsid w:val="00685E7B"/>
    <w:rsid w:val="00686551"/>
    <w:rsid w:val="00686CAB"/>
    <w:rsid w:val="0068717F"/>
    <w:rsid w:val="0068730C"/>
    <w:rsid w:val="00687504"/>
    <w:rsid w:val="00687A14"/>
    <w:rsid w:val="00687A8C"/>
    <w:rsid w:val="00690839"/>
    <w:rsid w:val="006908DB"/>
    <w:rsid w:val="00690DE9"/>
    <w:rsid w:val="00691563"/>
    <w:rsid w:val="00691DE9"/>
    <w:rsid w:val="00691EAA"/>
    <w:rsid w:val="00692245"/>
    <w:rsid w:val="00692389"/>
    <w:rsid w:val="00692745"/>
    <w:rsid w:val="00692FCD"/>
    <w:rsid w:val="00692FFA"/>
    <w:rsid w:val="00693772"/>
    <w:rsid w:val="00693984"/>
    <w:rsid w:val="00693B77"/>
    <w:rsid w:val="00694160"/>
    <w:rsid w:val="00694810"/>
    <w:rsid w:val="006959A5"/>
    <w:rsid w:val="00695C0C"/>
    <w:rsid w:val="00696736"/>
    <w:rsid w:val="00696A05"/>
    <w:rsid w:val="00697665"/>
    <w:rsid w:val="006978E1"/>
    <w:rsid w:val="00697C71"/>
    <w:rsid w:val="00697C9A"/>
    <w:rsid w:val="00697E68"/>
    <w:rsid w:val="00697FC1"/>
    <w:rsid w:val="006A0274"/>
    <w:rsid w:val="006A112B"/>
    <w:rsid w:val="006A27BC"/>
    <w:rsid w:val="006A2948"/>
    <w:rsid w:val="006A2A43"/>
    <w:rsid w:val="006A2BF1"/>
    <w:rsid w:val="006A2F9A"/>
    <w:rsid w:val="006A34E4"/>
    <w:rsid w:val="006A3A5A"/>
    <w:rsid w:val="006A44CF"/>
    <w:rsid w:val="006A457D"/>
    <w:rsid w:val="006A4C06"/>
    <w:rsid w:val="006A55EE"/>
    <w:rsid w:val="006A567D"/>
    <w:rsid w:val="006A575B"/>
    <w:rsid w:val="006A59DE"/>
    <w:rsid w:val="006A5DEE"/>
    <w:rsid w:val="006A64C6"/>
    <w:rsid w:val="006A6655"/>
    <w:rsid w:val="006A6BF9"/>
    <w:rsid w:val="006A7CB5"/>
    <w:rsid w:val="006A7FD0"/>
    <w:rsid w:val="006B025C"/>
    <w:rsid w:val="006B08ED"/>
    <w:rsid w:val="006B2534"/>
    <w:rsid w:val="006B2552"/>
    <w:rsid w:val="006B28DE"/>
    <w:rsid w:val="006B2CB2"/>
    <w:rsid w:val="006B347D"/>
    <w:rsid w:val="006B3E19"/>
    <w:rsid w:val="006B3EB4"/>
    <w:rsid w:val="006B4488"/>
    <w:rsid w:val="006B50C4"/>
    <w:rsid w:val="006B53AE"/>
    <w:rsid w:val="006B58B4"/>
    <w:rsid w:val="006B67AC"/>
    <w:rsid w:val="006B786A"/>
    <w:rsid w:val="006B7E4E"/>
    <w:rsid w:val="006C003A"/>
    <w:rsid w:val="006C0630"/>
    <w:rsid w:val="006C0AB9"/>
    <w:rsid w:val="006C107C"/>
    <w:rsid w:val="006C189C"/>
    <w:rsid w:val="006C2454"/>
    <w:rsid w:val="006C2551"/>
    <w:rsid w:val="006C37CA"/>
    <w:rsid w:val="006C40D2"/>
    <w:rsid w:val="006C4684"/>
    <w:rsid w:val="006C4B85"/>
    <w:rsid w:val="006C4BBD"/>
    <w:rsid w:val="006C5B15"/>
    <w:rsid w:val="006C5D32"/>
    <w:rsid w:val="006C5DCB"/>
    <w:rsid w:val="006C6475"/>
    <w:rsid w:val="006C70C4"/>
    <w:rsid w:val="006C741F"/>
    <w:rsid w:val="006D04CD"/>
    <w:rsid w:val="006D04DA"/>
    <w:rsid w:val="006D10F6"/>
    <w:rsid w:val="006D133D"/>
    <w:rsid w:val="006D1544"/>
    <w:rsid w:val="006D1688"/>
    <w:rsid w:val="006D1BE1"/>
    <w:rsid w:val="006D1DD3"/>
    <w:rsid w:val="006D1FF3"/>
    <w:rsid w:val="006D2C65"/>
    <w:rsid w:val="006D2DB7"/>
    <w:rsid w:val="006D32C6"/>
    <w:rsid w:val="006D360E"/>
    <w:rsid w:val="006D3697"/>
    <w:rsid w:val="006D39D2"/>
    <w:rsid w:val="006D3A94"/>
    <w:rsid w:val="006D3F2A"/>
    <w:rsid w:val="006D4370"/>
    <w:rsid w:val="006D46A3"/>
    <w:rsid w:val="006D4AB2"/>
    <w:rsid w:val="006D4E32"/>
    <w:rsid w:val="006D5DCB"/>
    <w:rsid w:val="006D62E0"/>
    <w:rsid w:val="006D658F"/>
    <w:rsid w:val="006D6A12"/>
    <w:rsid w:val="006D712D"/>
    <w:rsid w:val="006D7687"/>
    <w:rsid w:val="006D7D1F"/>
    <w:rsid w:val="006D7D8A"/>
    <w:rsid w:val="006E046C"/>
    <w:rsid w:val="006E0572"/>
    <w:rsid w:val="006E05D8"/>
    <w:rsid w:val="006E0628"/>
    <w:rsid w:val="006E08EE"/>
    <w:rsid w:val="006E155A"/>
    <w:rsid w:val="006E2C34"/>
    <w:rsid w:val="006E359B"/>
    <w:rsid w:val="006E39D1"/>
    <w:rsid w:val="006E3B05"/>
    <w:rsid w:val="006E437F"/>
    <w:rsid w:val="006E4D5B"/>
    <w:rsid w:val="006E54A0"/>
    <w:rsid w:val="006E602F"/>
    <w:rsid w:val="006E6720"/>
    <w:rsid w:val="006E7275"/>
    <w:rsid w:val="006E77B8"/>
    <w:rsid w:val="006E77DF"/>
    <w:rsid w:val="006E7AAF"/>
    <w:rsid w:val="006F0F74"/>
    <w:rsid w:val="006F13BA"/>
    <w:rsid w:val="006F15CC"/>
    <w:rsid w:val="006F15F6"/>
    <w:rsid w:val="006F275F"/>
    <w:rsid w:val="006F2AE6"/>
    <w:rsid w:val="006F36EA"/>
    <w:rsid w:val="006F3D9B"/>
    <w:rsid w:val="006F4147"/>
    <w:rsid w:val="006F4315"/>
    <w:rsid w:val="006F4CB0"/>
    <w:rsid w:val="006F4F78"/>
    <w:rsid w:val="006F547E"/>
    <w:rsid w:val="006F5CCF"/>
    <w:rsid w:val="006F6469"/>
    <w:rsid w:val="006F6F04"/>
    <w:rsid w:val="006F71F5"/>
    <w:rsid w:val="007000A6"/>
    <w:rsid w:val="00700610"/>
    <w:rsid w:val="00700D8C"/>
    <w:rsid w:val="0070138A"/>
    <w:rsid w:val="0070157E"/>
    <w:rsid w:val="007030D4"/>
    <w:rsid w:val="00703279"/>
    <w:rsid w:val="00703B61"/>
    <w:rsid w:val="00703E11"/>
    <w:rsid w:val="00703F76"/>
    <w:rsid w:val="00704102"/>
    <w:rsid w:val="0070437C"/>
    <w:rsid w:val="007045D8"/>
    <w:rsid w:val="0070461C"/>
    <w:rsid w:val="00704B3D"/>
    <w:rsid w:val="00705631"/>
    <w:rsid w:val="00705818"/>
    <w:rsid w:val="00705F62"/>
    <w:rsid w:val="00706942"/>
    <w:rsid w:val="00706FBE"/>
    <w:rsid w:val="0070773F"/>
    <w:rsid w:val="00707ED3"/>
    <w:rsid w:val="007101B7"/>
    <w:rsid w:val="00710668"/>
    <w:rsid w:val="00711019"/>
    <w:rsid w:val="007110F4"/>
    <w:rsid w:val="007112B1"/>
    <w:rsid w:val="0071130F"/>
    <w:rsid w:val="00712714"/>
    <w:rsid w:val="007129AB"/>
    <w:rsid w:val="00712B63"/>
    <w:rsid w:val="00712BC4"/>
    <w:rsid w:val="00713526"/>
    <w:rsid w:val="00713FC5"/>
    <w:rsid w:val="00714DCA"/>
    <w:rsid w:val="00715BBF"/>
    <w:rsid w:val="00715C29"/>
    <w:rsid w:val="00715CBD"/>
    <w:rsid w:val="00715EAA"/>
    <w:rsid w:val="007160C8"/>
    <w:rsid w:val="00716119"/>
    <w:rsid w:val="00716630"/>
    <w:rsid w:val="00716CAD"/>
    <w:rsid w:val="00716F18"/>
    <w:rsid w:val="00717363"/>
    <w:rsid w:val="00717786"/>
    <w:rsid w:val="00717ACB"/>
    <w:rsid w:val="00720382"/>
    <w:rsid w:val="00720CDE"/>
    <w:rsid w:val="0072138B"/>
    <w:rsid w:val="00721BFF"/>
    <w:rsid w:val="00722C51"/>
    <w:rsid w:val="00723040"/>
    <w:rsid w:val="00723251"/>
    <w:rsid w:val="00723475"/>
    <w:rsid w:val="007236C4"/>
    <w:rsid w:val="00724635"/>
    <w:rsid w:val="00724F21"/>
    <w:rsid w:val="00725134"/>
    <w:rsid w:val="0072554B"/>
    <w:rsid w:val="00725AFD"/>
    <w:rsid w:val="00726603"/>
    <w:rsid w:val="007266AC"/>
    <w:rsid w:val="00727B1D"/>
    <w:rsid w:val="00727DDC"/>
    <w:rsid w:val="00730CD6"/>
    <w:rsid w:val="00730F74"/>
    <w:rsid w:val="0073114B"/>
    <w:rsid w:val="00731380"/>
    <w:rsid w:val="00732029"/>
    <w:rsid w:val="00732151"/>
    <w:rsid w:val="007341D8"/>
    <w:rsid w:val="00734952"/>
    <w:rsid w:val="00734990"/>
    <w:rsid w:val="00734FF5"/>
    <w:rsid w:val="00735B78"/>
    <w:rsid w:val="00735DA7"/>
    <w:rsid w:val="00736700"/>
    <w:rsid w:val="007368B4"/>
    <w:rsid w:val="00737229"/>
    <w:rsid w:val="007378E0"/>
    <w:rsid w:val="00740529"/>
    <w:rsid w:val="00740876"/>
    <w:rsid w:val="00740F18"/>
    <w:rsid w:val="00741358"/>
    <w:rsid w:val="00741626"/>
    <w:rsid w:val="00742332"/>
    <w:rsid w:val="00742595"/>
    <w:rsid w:val="00742886"/>
    <w:rsid w:val="00742C7F"/>
    <w:rsid w:val="00742DD2"/>
    <w:rsid w:val="007437C6"/>
    <w:rsid w:val="007441A2"/>
    <w:rsid w:val="007446F6"/>
    <w:rsid w:val="00744E80"/>
    <w:rsid w:val="00745035"/>
    <w:rsid w:val="0074531C"/>
    <w:rsid w:val="00745547"/>
    <w:rsid w:val="007459D0"/>
    <w:rsid w:val="0074623A"/>
    <w:rsid w:val="00746420"/>
    <w:rsid w:val="00746A60"/>
    <w:rsid w:val="00746E04"/>
    <w:rsid w:val="00746E08"/>
    <w:rsid w:val="00746E3D"/>
    <w:rsid w:val="007473B9"/>
    <w:rsid w:val="00747C96"/>
    <w:rsid w:val="00747CC7"/>
    <w:rsid w:val="00750075"/>
    <w:rsid w:val="007502EC"/>
    <w:rsid w:val="00750382"/>
    <w:rsid w:val="007503F1"/>
    <w:rsid w:val="0075094E"/>
    <w:rsid w:val="00750FA8"/>
    <w:rsid w:val="00750FB5"/>
    <w:rsid w:val="007520F0"/>
    <w:rsid w:val="007522E8"/>
    <w:rsid w:val="00752688"/>
    <w:rsid w:val="007529DB"/>
    <w:rsid w:val="007534AD"/>
    <w:rsid w:val="00753A7F"/>
    <w:rsid w:val="00753BAC"/>
    <w:rsid w:val="00754A0B"/>
    <w:rsid w:val="00755229"/>
    <w:rsid w:val="007552DB"/>
    <w:rsid w:val="0075549F"/>
    <w:rsid w:val="00755B08"/>
    <w:rsid w:val="00755DD0"/>
    <w:rsid w:val="0075647A"/>
    <w:rsid w:val="00756A2F"/>
    <w:rsid w:val="00756A7E"/>
    <w:rsid w:val="00756F05"/>
    <w:rsid w:val="007573E1"/>
    <w:rsid w:val="0075749E"/>
    <w:rsid w:val="00757722"/>
    <w:rsid w:val="00757945"/>
    <w:rsid w:val="00757B2D"/>
    <w:rsid w:val="00757BAD"/>
    <w:rsid w:val="00757D62"/>
    <w:rsid w:val="00757EB2"/>
    <w:rsid w:val="00760021"/>
    <w:rsid w:val="00760561"/>
    <w:rsid w:val="00760867"/>
    <w:rsid w:val="00760EB6"/>
    <w:rsid w:val="007616DB"/>
    <w:rsid w:val="00761AB7"/>
    <w:rsid w:val="00761CE6"/>
    <w:rsid w:val="0076228A"/>
    <w:rsid w:val="00762440"/>
    <w:rsid w:val="00762499"/>
    <w:rsid w:val="0076275B"/>
    <w:rsid w:val="007629B7"/>
    <w:rsid w:val="00762E60"/>
    <w:rsid w:val="007634AD"/>
    <w:rsid w:val="0076445F"/>
    <w:rsid w:val="00764EC5"/>
    <w:rsid w:val="007651EF"/>
    <w:rsid w:val="00765E92"/>
    <w:rsid w:val="00766D49"/>
    <w:rsid w:val="00766ECC"/>
    <w:rsid w:val="007672F3"/>
    <w:rsid w:val="007674AC"/>
    <w:rsid w:val="007677B5"/>
    <w:rsid w:val="007678B1"/>
    <w:rsid w:val="00767BE6"/>
    <w:rsid w:val="007708A8"/>
    <w:rsid w:val="00772100"/>
    <w:rsid w:val="00772275"/>
    <w:rsid w:val="00772CD5"/>
    <w:rsid w:val="007734E4"/>
    <w:rsid w:val="00773719"/>
    <w:rsid w:val="0077380D"/>
    <w:rsid w:val="00773BC8"/>
    <w:rsid w:val="00774549"/>
    <w:rsid w:val="0077466F"/>
    <w:rsid w:val="007752B7"/>
    <w:rsid w:val="007759A8"/>
    <w:rsid w:val="00775C27"/>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347A"/>
    <w:rsid w:val="00784938"/>
    <w:rsid w:val="00784FC4"/>
    <w:rsid w:val="00785BBB"/>
    <w:rsid w:val="00786937"/>
    <w:rsid w:val="00786FAD"/>
    <w:rsid w:val="00787A27"/>
    <w:rsid w:val="00787B1B"/>
    <w:rsid w:val="00787D90"/>
    <w:rsid w:val="00787F5E"/>
    <w:rsid w:val="00790164"/>
    <w:rsid w:val="007905C6"/>
    <w:rsid w:val="007906F9"/>
    <w:rsid w:val="00790A24"/>
    <w:rsid w:val="00790A37"/>
    <w:rsid w:val="00790A60"/>
    <w:rsid w:val="0079146D"/>
    <w:rsid w:val="00791C32"/>
    <w:rsid w:val="00791FF0"/>
    <w:rsid w:val="007923D0"/>
    <w:rsid w:val="007930D3"/>
    <w:rsid w:val="0079381F"/>
    <w:rsid w:val="007938E6"/>
    <w:rsid w:val="00793A57"/>
    <w:rsid w:val="00793B2E"/>
    <w:rsid w:val="007948F5"/>
    <w:rsid w:val="00795647"/>
    <w:rsid w:val="00795887"/>
    <w:rsid w:val="007963F6"/>
    <w:rsid w:val="00796DC8"/>
    <w:rsid w:val="00796E80"/>
    <w:rsid w:val="0079744F"/>
    <w:rsid w:val="0079776F"/>
    <w:rsid w:val="007979AD"/>
    <w:rsid w:val="00797A9C"/>
    <w:rsid w:val="007A045E"/>
    <w:rsid w:val="007A0EAB"/>
    <w:rsid w:val="007A233D"/>
    <w:rsid w:val="007A2341"/>
    <w:rsid w:val="007A2754"/>
    <w:rsid w:val="007A38A1"/>
    <w:rsid w:val="007A3BBE"/>
    <w:rsid w:val="007A4766"/>
    <w:rsid w:val="007A5947"/>
    <w:rsid w:val="007A717B"/>
    <w:rsid w:val="007A7714"/>
    <w:rsid w:val="007B0313"/>
    <w:rsid w:val="007B0487"/>
    <w:rsid w:val="007B0854"/>
    <w:rsid w:val="007B0E48"/>
    <w:rsid w:val="007B1D1B"/>
    <w:rsid w:val="007B21AA"/>
    <w:rsid w:val="007B2504"/>
    <w:rsid w:val="007B2D29"/>
    <w:rsid w:val="007B303E"/>
    <w:rsid w:val="007B32C0"/>
    <w:rsid w:val="007B32F7"/>
    <w:rsid w:val="007B3659"/>
    <w:rsid w:val="007B38B5"/>
    <w:rsid w:val="007B3BF3"/>
    <w:rsid w:val="007B431B"/>
    <w:rsid w:val="007B43C6"/>
    <w:rsid w:val="007B4558"/>
    <w:rsid w:val="007B4632"/>
    <w:rsid w:val="007B46A2"/>
    <w:rsid w:val="007B4828"/>
    <w:rsid w:val="007B4B2D"/>
    <w:rsid w:val="007B4D4A"/>
    <w:rsid w:val="007B5428"/>
    <w:rsid w:val="007B54F3"/>
    <w:rsid w:val="007B59B7"/>
    <w:rsid w:val="007B655A"/>
    <w:rsid w:val="007B68ED"/>
    <w:rsid w:val="007B6C64"/>
    <w:rsid w:val="007B6CD8"/>
    <w:rsid w:val="007B6EC8"/>
    <w:rsid w:val="007B6F81"/>
    <w:rsid w:val="007B7A88"/>
    <w:rsid w:val="007B7EA2"/>
    <w:rsid w:val="007C097D"/>
    <w:rsid w:val="007C0AF2"/>
    <w:rsid w:val="007C1672"/>
    <w:rsid w:val="007C17AE"/>
    <w:rsid w:val="007C2461"/>
    <w:rsid w:val="007C312A"/>
    <w:rsid w:val="007C3570"/>
    <w:rsid w:val="007C3F3B"/>
    <w:rsid w:val="007C4241"/>
    <w:rsid w:val="007C425E"/>
    <w:rsid w:val="007C55FF"/>
    <w:rsid w:val="007C6339"/>
    <w:rsid w:val="007C6CAE"/>
    <w:rsid w:val="007C753F"/>
    <w:rsid w:val="007C7C43"/>
    <w:rsid w:val="007C7F0D"/>
    <w:rsid w:val="007D06E3"/>
    <w:rsid w:val="007D09E4"/>
    <w:rsid w:val="007D0C4B"/>
    <w:rsid w:val="007D1134"/>
    <w:rsid w:val="007D231B"/>
    <w:rsid w:val="007D23F7"/>
    <w:rsid w:val="007D2566"/>
    <w:rsid w:val="007D2C18"/>
    <w:rsid w:val="007D2D74"/>
    <w:rsid w:val="007D3693"/>
    <w:rsid w:val="007D3C6D"/>
    <w:rsid w:val="007D4050"/>
    <w:rsid w:val="007D481A"/>
    <w:rsid w:val="007D4ED0"/>
    <w:rsid w:val="007D5648"/>
    <w:rsid w:val="007D58C5"/>
    <w:rsid w:val="007D5DE8"/>
    <w:rsid w:val="007D6E42"/>
    <w:rsid w:val="007D7A62"/>
    <w:rsid w:val="007D7B1C"/>
    <w:rsid w:val="007D7CFC"/>
    <w:rsid w:val="007E0812"/>
    <w:rsid w:val="007E18DF"/>
    <w:rsid w:val="007E2C36"/>
    <w:rsid w:val="007E350D"/>
    <w:rsid w:val="007E39C8"/>
    <w:rsid w:val="007E3ACA"/>
    <w:rsid w:val="007E4E65"/>
    <w:rsid w:val="007E564D"/>
    <w:rsid w:val="007E5C4A"/>
    <w:rsid w:val="007E64D4"/>
    <w:rsid w:val="007E66E9"/>
    <w:rsid w:val="007E69F2"/>
    <w:rsid w:val="007E7432"/>
    <w:rsid w:val="007E74BF"/>
    <w:rsid w:val="007E77D2"/>
    <w:rsid w:val="007E7D2E"/>
    <w:rsid w:val="007F0721"/>
    <w:rsid w:val="007F14D3"/>
    <w:rsid w:val="007F1D9D"/>
    <w:rsid w:val="007F1E28"/>
    <w:rsid w:val="007F1F63"/>
    <w:rsid w:val="007F22A0"/>
    <w:rsid w:val="007F2902"/>
    <w:rsid w:val="007F2903"/>
    <w:rsid w:val="007F2F90"/>
    <w:rsid w:val="007F3320"/>
    <w:rsid w:val="007F3AC1"/>
    <w:rsid w:val="007F4976"/>
    <w:rsid w:val="007F5A56"/>
    <w:rsid w:val="007F5D42"/>
    <w:rsid w:val="007F616E"/>
    <w:rsid w:val="007F6B46"/>
    <w:rsid w:val="007F72CB"/>
    <w:rsid w:val="007F736A"/>
    <w:rsid w:val="007F7635"/>
    <w:rsid w:val="007F785F"/>
    <w:rsid w:val="007F7961"/>
    <w:rsid w:val="007F7AF6"/>
    <w:rsid w:val="007F7E36"/>
    <w:rsid w:val="00800DB7"/>
    <w:rsid w:val="00800E6D"/>
    <w:rsid w:val="008014D9"/>
    <w:rsid w:val="0080150F"/>
    <w:rsid w:val="0080153A"/>
    <w:rsid w:val="00801A2A"/>
    <w:rsid w:val="00802041"/>
    <w:rsid w:val="008022A4"/>
    <w:rsid w:val="008022C9"/>
    <w:rsid w:val="00802605"/>
    <w:rsid w:val="00802F9E"/>
    <w:rsid w:val="00803700"/>
    <w:rsid w:val="00803AB0"/>
    <w:rsid w:val="00803CEF"/>
    <w:rsid w:val="00803D9D"/>
    <w:rsid w:val="00805898"/>
    <w:rsid w:val="008059C6"/>
    <w:rsid w:val="00805AD7"/>
    <w:rsid w:val="00805BD6"/>
    <w:rsid w:val="00805CEF"/>
    <w:rsid w:val="00805DE3"/>
    <w:rsid w:val="00807C35"/>
    <w:rsid w:val="00807F35"/>
    <w:rsid w:val="00807F69"/>
    <w:rsid w:val="008100F7"/>
    <w:rsid w:val="00810206"/>
    <w:rsid w:val="0081022B"/>
    <w:rsid w:val="00811898"/>
    <w:rsid w:val="00811CDC"/>
    <w:rsid w:val="00812457"/>
    <w:rsid w:val="008124D8"/>
    <w:rsid w:val="00813A41"/>
    <w:rsid w:val="00813A7B"/>
    <w:rsid w:val="00813F04"/>
    <w:rsid w:val="008146E7"/>
    <w:rsid w:val="0081513E"/>
    <w:rsid w:val="00815DA5"/>
    <w:rsid w:val="00816221"/>
    <w:rsid w:val="0081766B"/>
    <w:rsid w:val="008205AC"/>
    <w:rsid w:val="00820705"/>
    <w:rsid w:val="00820CBF"/>
    <w:rsid w:val="00820D42"/>
    <w:rsid w:val="00820FA8"/>
    <w:rsid w:val="008212FD"/>
    <w:rsid w:val="00821489"/>
    <w:rsid w:val="008217B7"/>
    <w:rsid w:val="0082239B"/>
    <w:rsid w:val="0082292E"/>
    <w:rsid w:val="00822D06"/>
    <w:rsid w:val="00822EC4"/>
    <w:rsid w:val="0082348D"/>
    <w:rsid w:val="00823549"/>
    <w:rsid w:val="008236BE"/>
    <w:rsid w:val="00823EC5"/>
    <w:rsid w:val="008241CE"/>
    <w:rsid w:val="0082479F"/>
    <w:rsid w:val="00825240"/>
    <w:rsid w:val="00825B43"/>
    <w:rsid w:val="0082633B"/>
    <w:rsid w:val="008268FB"/>
    <w:rsid w:val="00826BCC"/>
    <w:rsid w:val="00826F71"/>
    <w:rsid w:val="00827CC0"/>
    <w:rsid w:val="008306AB"/>
    <w:rsid w:val="00831026"/>
    <w:rsid w:val="0083119B"/>
    <w:rsid w:val="00831BAE"/>
    <w:rsid w:val="00832216"/>
    <w:rsid w:val="008328D4"/>
    <w:rsid w:val="00832CD0"/>
    <w:rsid w:val="00833430"/>
    <w:rsid w:val="008338D0"/>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1379"/>
    <w:rsid w:val="008423EC"/>
    <w:rsid w:val="00842640"/>
    <w:rsid w:val="008429A6"/>
    <w:rsid w:val="00842A1B"/>
    <w:rsid w:val="00843615"/>
    <w:rsid w:val="00843698"/>
    <w:rsid w:val="00843A4B"/>
    <w:rsid w:val="00843B57"/>
    <w:rsid w:val="00843B60"/>
    <w:rsid w:val="00843D33"/>
    <w:rsid w:val="008444F0"/>
    <w:rsid w:val="0084466F"/>
    <w:rsid w:val="00844D4F"/>
    <w:rsid w:val="00844F38"/>
    <w:rsid w:val="00845AE3"/>
    <w:rsid w:val="008466A0"/>
    <w:rsid w:val="00847535"/>
    <w:rsid w:val="00847B6D"/>
    <w:rsid w:val="00850542"/>
    <w:rsid w:val="0085092D"/>
    <w:rsid w:val="008509A5"/>
    <w:rsid w:val="00850C79"/>
    <w:rsid w:val="00850D82"/>
    <w:rsid w:val="00850EA3"/>
    <w:rsid w:val="00850F79"/>
    <w:rsid w:val="0085100B"/>
    <w:rsid w:val="0085304C"/>
    <w:rsid w:val="008536BB"/>
    <w:rsid w:val="00853A3C"/>
    <w:rsid w:val="008548CA"/>
    <w:rsid w:val="00855426"/>
    <w:rsid w:val="00856898"/>
    <w:rsid w:val="00856C06"/>
    <w:rsid w:val="00856F87"/>
    <w:rsid w:val="0085790B"/>
    <w:rsid w:val="008579B9"/>
    <w:rsid w:val="00857C95"/>
    <w:rsid w:val="00857E78"/>
    <w:rsid w:val="00860AEF"/>
    <w:rsid w:val="00860B18"/>
    <w:rsid w:val="00860D5E"/>
    <w:rsid w:val="0086122C"/>
    <w:rsid w:val="00861310"/>
    <w:rsid w:val="00861F53"/>
    <w:rsid w:val="00861F5C"/>
    <w:rsid w:val="008623A7"/>
    <w:rsid w:val="0086289E"/>
    <w:rsid w:val="008629CB"/>
    <w:rsid w:val="0086394E"/>
    <w:rsid w:val="00863F8A"/>
    <w:rsid w:val="00863FE3"/>
    <w:rsid w:val="008640C4"/>
    <w:rsid w:val="00864241"/>
    <w:rsid w:val="00864423"/>
    <w:rsid w:val="0086468A"/>
    <w:rsid w:val="00864F24"/>
    <w:rsid w:val="008650BE"/>
    <w:rsid w:val="00865EAF"/>
    <w:rsid w:val="0086633B"/>
    <w:rsid w:val="00866495"/>
    <w:rsid w:val="00866881"/>
    <w:rsid w:val="00866931"/>
    <w:rsid w:val="00867512"/>
    <w:rsid w:val="008675FA"/>
    <w:rsid w:val="008678A3"/>
    <w:rsid w:val="00867C13"/>
    <w:rsid w:val="00867C1D"/>
    <w:rsid w:val="0087033C"/>
    <w:rsid w:val="008715ED"/>
    <w:rsid w:val="008717D8"/>
    <w:rsid w:val="00871E3C"/>
    <w:rsid w:val="00872F97"/>
    <w:rsid w:val="008734A1"/>
    <w:rsid w:val="0087367D"/>
    <w:rsid w:val="00874607"/>
    <w:rsid w:val="008747E9"/>
    <w:rsid w:val="00874915"/>
    <w:rsid w:val="00874B89"/>
    <w:rsid w:val="00875403"/>
    <w:rsid w:val="00875434"/>
    <w:rsid w:val="00875C1F"/>
    <w:rsid w:val="00876083"/>
    <w:rsid w:val="00876215"/>
    <w:rsid w:val="0087646C"/>
    <w:rsid w:val="00876815"/>
    <w:rsid w:val="00876B1C"/>
    <w:rsid w:val="00877932"/>
    <w:rsid w:val="00877E1A"/>
    <w:rsid w:val="008808C7"/>
    <w:rsid w:val="0088106B"/>
    <w:rsid w:val="0088107D"/>
    <w:rsid w:val="0088187A"/>
    <w:rsid w:val="00881E64"/>
    <w:rsid w:val="00882E39"/>
    <w:rsid w:val="00883CE1"/>
    <w:rsid w:val="008850EB"/>
    <w:rsid w:val="00885228"/>
    <w:rsid w:val="008857E3"/>
    <w:rsid w:val="00885CDB"/>
    <w:rsid w:val="0088662A"/>
    <w:rsid w:val="00886DF2"/>
    <w:rsid w:val="00886FB9"/>
    <w:rsid w:val="00887057"/>
    <w:rsid w:val="00887080"/>
    <w:rsid w:val="00887C79"/>
    <w:rsid w:val="0089107B"/>
    <w:rsid w:val="008913CC"/>
    <w:rsid w:val="008914AE"/>
    <w:rsid w:val="008919CF"/>
    <w:rsid w:val="00891F84"/>
    <w:rsid w:val="00891FC3"/>
    <w:rsid w:val="008928EC"/>
    <w:rsid w:val="00892E5D"/>
    <w:rsid w:val="008935CF"/>
    <w:rsid w:val="00893CD7"/>
    <w:rsid w:val="0089436B"/>
    <w:rsid w:val="00894436"/>
    <w:rsid w:val="00894BB1"/>
    <w:rsid w:val="008951D0"/>
    <w:rsid w:val="0089582D"/>
    <w:rsid w:val="008959C6"/>
    <w:rsid w:val="00895DCC"/>
    <w:rsid w:val="0089606D"/>
    <w:rsid w:val="00896129"/>
    <w:rsid w:val="00896316"/>
    <w:rsid w:val="0089774F"/>
    <w:rsid w:val="00897875"/>
    <w:rsid w:val="00897B8F"/>
    <w:rsid w:val="008A00D9"/>
    <w:rsid w:val="008A07D5"/>
    <w:rsid w:val="008A1FB7"/>
    <w:rsid w:val="008A229A"/>
    <w:rsid w:val="008A29F9"/>
    <w:rsid w:val="008A2A23"/>
    <w:rsid w:val="008A2AF5"/>
    <w:rsid w:val="008A2B5A"/>
    <w:rsid w:val="008A3F9D"/>
    <w:rsid w:val="008A4730"/>
    <w:rsid w:val="008A5474"/>
    <w:rsid w:val="008A5C9A"/>
    <w:rsid w:val="008A6005"/>
    <w:rsid w:val="008A614F"/>
    <w:rsid w:val="008A6A55"/>
    <w:rsid w:val="008A6AA1"/>
    <w:rsid w:val="008A6DF0"/>
    <w:rsid w:val="008A6F6E"/>
    <w:rsid w:val="008A7888"/>
    <w:rsid w:val="008A796E"/>
    <w:rsid w:val="008B0862"/>
    <w:rsid w:val="008B088C"/>
    <w:rsid w:val="008B1BF5"/>
    <w:rsid w:val="008B1CED"/>
    <w:rsid w:val="008B263F"/>
    <w:rsid w:val="008B3045"/>
    <w:rsid w:val="008B47A6"/>
    <w:rsid w:val="008B5C7C"/>
    <w:rsid w:val="008B63FE"/>
    <w:rsid w:val="008B672C"/>
    <w:rsid w:val="008B7781"/>
    <w:rsid w:val="008C065F"/>
    <w:rsid w:val="008C0743"/>
    <w:rsid w:val="008C0B4C"/>
    <w:rsid w:val="008C11F0"/>
    <w:rsid w:val="008C165C"/>
    <w:rsid w:val="008C1DBA"/>
    <w:rsid w:val="008C24E7"/>
    <w:rsid w:val="008C2500"/>
    <w:rsid w:val="008C2CAC"/>
    <w:rsid w:val="008C2F98"/>
    <w:rsid w:val="008C3C57"/>
    <w:rsid w:val="008C3E2A"/>
    <w:rsid w:val="008C45BD"/>
    <w:rsid w:val="008C4B19"/>
    <w:rsid w:val="008C4F47"/>
    <w:rsid w:val="008C5194"/>
    <w:rsid w:val="008C62D4"/>
    <w:rsid w:val="008C6B0C"/>
    <w:rsid w:val="008C6B89"/>
    <w:rsid w:val="008C6B97"/>
    <w:rsid w:val="008C7EF7"/>
    <w:rsid w:val="008D18AA"/>
    <w:rsid w:val="008D1A2A"/>
    <w:rsid w:val="008D1ADE"/>
    <w:rsid w:val="008D2986"/>
    <w:rsid w:val="008D35D9"/>
    <w:rsid w:val="008D3B36"/>
    <w:rsid w:val="008D3B85"/>
    <w:rsid w:val="008D462D"/>
    <w:rsid w:val="008D50D0"/>
    <w:rsid w:val="008D6084"/>
    <w:rsid w:val="008D64AC"/>
    <w:rsid w:val="008D66CA"/>
    <w:rsid w:val="008D69B1"/>
    <w:rsid w:val="008D7338"/>
    <w:rsid w:val="008D785E"/>
    <w:rsid w:val="008D7D22"/>
    <w:rsid w:val="008D7D66"/>
    <w:rsid w:val="008E0012"/>
    <w:rsid w:val="008E0DF7"/>
    <w:rsid w:val="008E0FAD"/>
    <w:rsid w:val="008E11E4"/>
    <w:rsid w:val="008E1252"/>
    <w:rsid w:val="008E1347"/>
    <w:rsid w:val="008E16E0"/>
    <w:rsid w:val="008E1C15"/>
    <w:rsid w:val="008E1C9A"/>
    <w:rsid w:val="008E28BD"/>
    <w:rsid w:val="008E3054"/>
    <w:rsid w:val="008E30C4"/>
    <w:rsid w:val="008E38B4"/>
    <w:rsid w:val="008E3BA4"/>
    <w:rsid w:val="008E3CC4"/>
    <w:rsid w:val="008E44AB"/>
    <w:rsid w:val="008E4CAE"/>
    <w:rsid w:val="008E5179"/>
    <w:rsid w:val="008E57FE"/>
    <w:rsid w:val="008E6598"/>
    <w:rsid w:val="008E7214"/>
    <w:rsid w:val="008E7497"/>
    <w:rsid w:val="008E7884"/>
    <w:rsid w:val="008E795C"/>
    <w:rsid w:val="008E7D6E"/>
    <w:rsid w:val="008E7E04"/>
    <w:rsid w:val="008E7EAA"/>
    <w:rsid w:val="008F1056"/>
    <w:rsid w:val="008F1E70"/>
    <w:rsid w:val="008F220A"/>
    <w:rsid w:val="008F2E8D"/>
    <w:rsid w:val="008F361D"/>
    <w:rsid w:val="008F387B"/>
    <w:rsid w:val="008F3DD9"/>
    <w:rsid w:val="008F4163"/>
    <w:rsid w:val="008F4814"/>
    <w:rsid w:val="008F4B18"/>
    <w:rsid w:val="008F4DA6"/>
    <w:rsid w:val="008F538E"/>
    <w:rsid w:val="008F58BE"/>
    <w:rsid w:val="008F5A20"/>
    <w:rsid w:val="008F5ABA"/>
    <w:rsid w:val="008F6E96"/>
    <w:rsid w:val="008F71AB"/>
    <w:rsid w:val="008F7905"/>
    <w:rsid w:val="008F7989"/>
    <w:rsid w:val="00900A23"/>
    <w:rsid w:val="00901F1D"/>
    <w:rsid w:val="009028E8"/>
    <w:rsid w:val="00902E5C"/>
    <w:rsid w:val="0090363E"/>
    <w:rsid w:val="00903E0D"/>
    <w:rsid w:val="009046E5"/>
    <w:rsid w:val="009047C5"/>
    <w:rsid w:val="00905CE5"/>
    <w:rsid w:val="00910683"/>
    <w:rsid w:val="00910E00"/>
    <w:rsid w:val="00910E04"/>
    <w:rsid w:val="00911142"/>
    <w:rsid w:val="009116CE"/>
    <w:rsid w:val="00911714"/>
    <w:rsid w:val="00911D04"/>
    <w:rsid w:val="00911EFF"/>
    <w:rsid w:val="00912294"/>
    <w:rsid w:val="0091310F"/>
    <w:rsid w:val="009136D4"/>
    <w:rsid w:val="0091480F"/>
    <w:rsid w:val="00914B9A"/>
    <w:rsid w:val="00914C3F"/>
    <w:rsid w:val="00914F33"/>
    <w:rsid w:val="00915A9E"/>
    <w:rsid w:val="00915EFE"/>
    <w:rsid w:val="00915FCE"/>
    <w:rsid w:val="00916528"/>
    <w:rsid w:val="00916A4C"/>
    <w:rsid w:val="00916AFE"/>
    <w:rsid w:val="00916FC8"/>
    <w:rsid w:val="009170D3"/>
    <w:rsid w:val="0091759C"/>
    <w:rsid w:val="00917720"/>
    <w:rsid w:val="00920026"/>
    <w:rsid w:val="009203E2"/>
    <w:rsid w:val="00920F61"/>
    <w:rsid w:val="0092119E"/>
    <w:rsid w:val="00921304"/>
    <w:rsid w:val="00921395"/>
    <w:rsid w:val="00921805"/>
    <w:rsid w:val="00921E63"/>
    <w:rsid w:val="00922379"/>
    <w:rsid w:val="0092257D"/>
    <w:rsid w:val="00922B4A"/>
    <w:rsid w:val="00923396"/>
    <w:rsid w:val="00923F56"/>
    <w:rsid w:val="00924770"/>
    <w:rsid w:val="00925346"/>
    <w:rsid w:val="009253D2"/>
    <w:rsid w:val="00925743"/>
    <w:rsid w:val="0092579F"/>
    <w:rsid w:val="00926068"/>
    <w:rsid w:val="00927DD3"/>
    <w:rsid w:val="00927E8D"/>
    <w:rsid w:val="00927F23"/>
    <w:rsid w:val="00930521"/>
    <w:rsid w:val="009307CD"/>
    <w:rsid w:val="00931364"/>
    <w:rsid w:val="00931365"/>
    <w:rsid w:val="00931451"/>
    <w:rsid w:val="009314FA"/>
    <w:rsid w:val="0093194F"/>
    <w:rsid w:val="00931BF3"/>
    <w:rsid w:val="00931C55"/>
    <w:rsid w:val="00932014"/>
    <w:rsid w:val="00933333"/>
    <w:rsid w:val="00933390"/>
    <w:rsid w:val="0093349A"/>
    <w:rsid w:val="0093352B"/>
    <w:rsid w:val="009338BA"/>
    <w:rsid w:val="00933FCB"/>
    <w:rsid w:val="00934396"/>
    <w:rsid w:val="009346C8"/>
    <w:rsid w:val="00934BEF"/>
    <w:rsid w:val="00934CEC"/>
    <w:rsid w:val="00934E69"/>
    <w:rsid w:val="00935CF8"/>
    <w:rsid w:val="00935E70"/>
    <w:rsid w:val="00935FEA"/>
    <w:rsid w:val="0093609A"/>
    <w:rsid w:val="00937401"/>
    <w:rsid w:val="009376FB"/>
    <w:rsid w:val="0093795B"/>
    <w:rsid w:val="00937D6B"/>
    <w:rsid w:val="00940477"/>
    <w:rsid w:val="00940876"/>
    <w:rsid w:val="00940A53"/>
    <w:rsid w:val="00940F3C"/>
    <w:rsid w:val="009410E0"/>
    <w:rsid w:val="009419E9"/>
    <w:rsid w:val="00941A2D"/>
    <w:rsid w:val="00941FA9"/>
    <w:rsid w:val="00942DD0"/>
    <w:rsid w:val="009439B6"/>
    <w:rsid w:val="00943FCD"/>
    <w:rsid w:val="009444B4"/>
    <w:rsid w:val="00944644"/>
    <w:rsid w:val="0094656D"/>
    <w:rsid w:val="00946A24"/>
    <w:rsid w:val="009470D4"/>
    <w:rsid w:val="0094713D"/>
    <w:rsid w:val="00947337"/>
    <w:rsid w:val="00947E6E"/>
    <w:rsid w:val="0095041D"/>
    <w:rsid w:val="00950EF2"/>
    <w:rsid w:val="00951297"/>
    <w:rsid w:val="009512FA"/>
    <w:rsid w:val="009516A9"/>
    <w:rsid w:val="00951E57"/>
    <w:rsid w:val="00952350"/>
    <w:rsid w:val="00952505"/>
    <w:rsid w:val="00953018"/>
    <w:rsid w:val="009533E2"/>
    <w:rsid w:val="00953554"/>
    <w:rsid w:val="0095385A"/>
    <w:rsid w:val="0095473B"/>
    <w:rsid w:val="00954F3A"/>
    <w:rsid w:val="00955539"/>
    <w:rsid w:val="00956FC0"/>
    <w:rsid w:val="009570C8"/>
    <w:rsid w:val="0095780A"/>
    <w:rsid w:val="009578C3"/>
    <w:rsid w:val="009579E4"/>
    <w:rsid w:val="00957AA4"/>
    <w:rsid w:val="00957ACB"/>
    <w:rsid w:val="00957F27"/>
    <w:rsid w:val="00957F86"/>
    <w:rsid w:val="009604ED"/>
    <w:rsid w:val="00960BDB"/>
    <w:rsid w:val="0096105C"/>
    <w:rsid w:val="0096147D"/>
    <w:rsid w:val="00961D53"/>
    <w:rsid w:val="00961E5F"/>
    <w:rsid w:val="009625C6"/>
    <w:rsid w:val="009629B5"/>
    <w:rsid w:val="00962A50"/>
    <w:rsid w:val="00962FA0"/>
    <w:rsid w:val="0096347F"/>
    <w:rsid w:val="00963550"/>
    <w:rsid w:val="00964138"/>
    <w:rsid w:val="0096470C"/>
    <w:rsid w:val="009648D6"/>
    <w:rsid w:val="009649AE"/>
    <w:rsid w:val="00964B3F"/>
    <w:rsid w:val="00964C98"/>
    <w:rsid w:val="00964D6E"/>
    <w:rsid w:val="00967BEF"/>
    <w:rsid w:val="00971441"/>
    <w:rsid w:val="009715D4"/>
    <w:rsid w:val="0097179A"/>
    <w:rsid w:val="009731F4"/>
    <w:rsid w:val="009732A4"/>
    <w:rsid w:val="00973C05"/>
    <w:rsid w:val="00973CFF"/>
    <w:rsid w:val="0097494E"/>
    <w:rsid w:val="00974999"/>
    <w:rsid w:val="00974B58"/>
    <w:rsid w:val="00974B94"/>
    <w:rsid w:val="00974CBD"/>
    <w:rsid w:val="00975390"/>
    <w:rsid w:val="00975445"/>
    <w:rsid w:val="009761ED"/>
    <w:rsid w:val="0098022F"/>
    <w:rsid w:val="009810DE"/>
    <w:rsid w:val="00981B91"/>
    <w:rsid w:val="009822D7"/>
    <w:rsid w:val="009827E6"/>
    <w:rsid w:val="00982F84"/>
    <w:rsid w:val="009831C3"/>
    <w:rsid w:val="0098427D"/>
    <w:rsid w:val="0098450A"/>
    <w:rsid w:val="00984567"/>
    <w:rsid w:val="00985102"/>
    <w:rsid w:val="009854BC"/>
    <w:rsid w:val="00985A66"/>
    <w:rsid w:val="0098606C"/>
    <w:rsid w:val="009865D5"/>
    <w:rsid w:val="00987123"/>
    <w:rsid w:val="009876F2"/>
    <w:rsid w:val="00987C77"/>
    <w:rsid w:val="00987F55"/>
    <w:rsid w:val="00987FED"/>
    <w:rsid w:val="00990345"/>
    <w:rsid w:val="00990701"/>
    <w:rsid w:val="0099119C"/>
    <w:rsid w:val="0099137A"/>
    <w:rsid w:val="00991CFE"/>
    <w:rsid w:val="00991D3D"/>
    <w:rsid w:val="0099211C"/>
    <w:rsid w:val="00993013"/>
    <w:rsid w:val="00993B78"/>
    <w:rsid w:val="00994F3F"/>
    <w:rsid w:val="00995119"/>
    <w:rsid w:val="0099531F"/>
    <w:rsid w:val="009953AD"/>
    <w:rsid w:val="00995485"/>
    <w:rsid w:val="009957D7"/>
    <w:rsid w:val="0099583D"/>
    <w:rsid w:val="00996020"/>
    <w:rsid w:val="0099629E"/>
    <w:rsid w:val="00996992"/>
    <w:rsid w:val="00996E1E"/>
    <w:rsid w:val="00997148"/>
    <w:rsid w:val="00997392"/>
    <w:rsid w:val="0099747C"/>
    <w:rsid w:val="0099771C"/>
    <w:rsid w:val="00997899"/>
    <w:rsid w:val="009A01E4"/>
    <w:rsid w:val="009A022C"/>
    <w:rsid w:val="009A0917"/>
    <w:rsid w:val="009A0A33"/>
    <w:rsid w:val="009A1351"/>
    <w:rsid w:val="009A2041"/>
    <w:rsid w:val="009A2435"/>
    <w:rsid w:val="009A35DC"/>
    <w:rsid w:val="009A38AB"/>
    <w:rsid w:val="009A39EE"/>
    <w:rsid w:val="009A3D47"/>
    <w:rsid w:val="009A4D63"/>
    <w:rsid w:val="009A5356"/>
    <w:rsid w:val="009A5468"/>
    <w:rsid w:val="009A5D99"/>
    <w:rsid w:val="009A608C"/>
    <w:rsid w:val="009A6FDF"/>
    <w:rsid w:val="009A715F"/>
    <w:rsid w:val="009A76D6"/>
    <w:rsid w:val="009B0639"/>
    <w:rsid w:val="009B231D"/>
    <w:rsid w:val="009B2374"/>
    <w:rsid w:val="009B2E29"/>
    <w:rsid w:val="009B3163"/>
    <w:rsid w:val="009B35AE"/>
    <w:rsid w:val="009B3E84"/>
    <w:rsid w:val="009B422F"/>
    <w:rsid w:val="009B46BC"/>
    <w:rsid w:val="009B4D1A"/>
    <w:rsid w:val="009B519D"/>
    <w:rsid w:val="009B558B"/>
    <w:rsid w:val="009B5981"/>
    <w:rsid w:val="009B6D21"/>
    <w:rsid w:val="009B78ED"/>
    <w:rsid w:val="009B7A5C"/>
    <w:rsid w:val="009C0D57"/>
    <w:rsid w:val="009C181C"/>
    <w:rsid w:val="009C1A44"/>
    <w:rsid w:val="009C1C7F"/>
    <w:rsid w:val="009C1EC7"/>
    <w:rsid w:val="009C28A2"/>
    <w:rsid w:val="009C3239"/>
    <w:rsid w:val="009C37CC"/>
    <w:rsid w:val="009C3828"/>
    <w:rsid w:val="009C3AD3"/>
    <w:rsid w:val="009C3AF4"/>
    <w:rsid w:val="009C3D2C"/>
    <w:rsid w:val="009C3E47"/>
    <w:rsid w:val="009C48C9"/>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5DA"/>
    <w:rsid w:val="009D11F6"/>
    <w:rsid w:val="009D138F"/>
    <w:rsid w:val="009D1A14"/>
    <w:rsid w:val="009D1E2A"/>
    <w:rsid w:val="009D1FA0"/>
    <w:rsid w:val="009D28AB"/>
    <w:rsid w:val="009D2BDF"/>
    <w:rsid w:val="009D3736"/>
    <w:rsid w:val="009D4529"/>
    <w:rsid w:val="009D604F"/>
    <w:rsid w:val="009D61BB"/>
    <w:rsid w:val="009D620C"/>
    <w:rsid w:val="009D6410"/>
    <w:rsid w:val="009D68BB"/>
    <w:rsid w:val="009D6909"/>
    <w:rsid w:val="009D7049"/>
    <w:rsid w:val="009D70C2"/>
    <w:rsid w:val="009D7244"/>
    <w:rsid w:val="009D7ADB"/>
    <w:rsid w:val="009D7B33"/>
    <w:rsid w:val="009E020C"/>
    <w:rsid w:val="009E06C3"/>
    <w:rsid w:val="009E0703"/>
    <w:rsid w:val="009E1035"/>
    <w:rsid w:val="009E16C2"/>
    <w:rsid w:val="009E16DA"/>
    <w:rsid w:val="009E1CD4"/>
    <w:rsid w:val="009E2391"/>
    <w:rsid w:val="009E476A"/>
    <w:rsid w:val="009E4E05"/>
    <w:rsid w:val="009E56FF"/>
    <w:rsid w:val="009E59A3"/>
    <w:rsid w:val="009E5CB1"/>
    <w:rsid w:val="009E5E56"/>
    <w:rsid w:val="009E61EA"/>
    <w:rsid w:val="009E649E"/>
    <w:rsid w:val="009E6990"/>
    <w:rsid w:val="009E6FEE"/>
    <w:rsid w:val="009E7924"/>
    <w:rsid w:val="009F00B9"/>
    <w:rsid w:val="009F060F"/>
    <w:rsid w:val="009F0781"/>
    <w:rsid w:val="009F0850"/>
    <w:rsid w:val="009F1BDF"/>
    <w:rsid w:val="009F1EAE"/>
    <w:rsid w:val="009F369D"/>
    <w:rsid w:val="009F36FE"/>
    <w:rsid w:val="009F3D92"/>
    <w:rsid w:val="009F4990"/>
    <w:rsid w:val="009F4F25"/>
    <w:rsid w:val="009F59C2"/>
    <w:rsid w:val="009F5A2A"/>
    <w:rsid w:val="009F5ABB"/>
    <w:rsid w:val="009F6797"/>
    <w:rsid w:val="009F7263"/>
    <w:rsid w:val="009F76EA"/>
    <w:rsid w:val="009F78EB"/>
    <w:rsid w:val="009F7DB2"/>
    <w:rsid w:val="009F7F32"/>
    <w:rsid w:val="009F7FEB"/>
    <w:rsid w:val="00A003D5"/>
    <w:rsid w:val="00A0056C"/>
    <w:rsid w:val="00A00BEF"/>
    <w:rsid w:val="00A00F5E"/>
    <w:rsid w:val="00A0120D"/>
    <w:rsid w:val="00A01852"/>
    <w:rsid w:val="00A0188B"/>
    <w:rsid w:val="00A01C35"/>
    <w:rsid w:val="00A01E73"/>
    <w:rsid w:val="00A023E7"/>
    <w:rsid w:val="00A02B88"/>
    <w:rsid w:val="00A03160"/>
    <w:rsid w:val="00A0329E"/>
    <w:rsid w:val="00A036AC"/>
    <w:rsid w:val="00A03C54"/>
    <w:rsid w:val="00A03DE5"/>
    <w:rsid w:val="00A041BC"/>
    <w:rsid w:val="00A0447F"/>
    <w:rsid w:val="00A046D2"/>
    <w:rsid w:val="00A04A54"/>
    <w:rsid w:val="00A058B8"/>
    <w:rsid w:val="00A05B4B"/>
    <w:rsid w:val="00A05EAB"/>
    <w:rsid w:val="00A066C3"/>
    <w:rsid w:val="00A06754"/>
    <w:rsid w:val="00A069E0"/>
    <w:rsid w:val="00A06E4A"/>
    <w:rsid w:val="00A070E9"/>
    <w:rsid w:val="00A07327"/>
    <w:rsid w:val="00A078FB"/>
    <w:rsid w:val="00A07D97"/>
    <w:rsid w:val="00A07F1E"/>
    <w:rsid w:val="00A101E1"/>
    <w:rsid w:val="00A1036D"/>
    <w:rsid w:val="00A1069F"/>
    <w:rsid w:val="00A10ACA"/>
    <w:rsid w:val="00A10D08"/>
    <w:rsid w:val="00A11BB6"/>
    <w:rsid w:val="00A11E78"/>
    <w:rsid w:val="00A12355"/>
    <w:rsid w:val="00A12574"/>
    <w:rsid w:val="00A127D2"/>
    <w:rsid w:val="00A1284E"/>
    <w:rsid w:val="00A131F8"/>
    <w:rsid w:val="00A13CF5"/>
    <w:rsid w:val="00A143EC"/>
    <w:rsid w:val="00A149E8"/>
    <w:rsid w:val="00A14E6E"/>
    <w:rsid w:val="00A1500F"/>
    <w:rsid w:val="00A15621"/>
    <w:rsid w:val="00A15670"/>
    <w:rsid w:val="00A157A0"/>
    <w:rsid w:val="00A1585B"/>
    <w:rsid w:val="00A15C19"/>
    <w:rsid w:val="00A15FE9"/>
    <w:rsid w:val="00A1615C"/>
    <w:rsid w:val="00A161D5"/>
    <w:rsid w:val="00A16809"/>
    <w:rsid w:val="00A17584"/>
    <w:rsid w:val="00A17769"/>
    <w:rsid w:val="00A177ED"/>
    <w:rsid w:val="00A17EA2"/>
    <w:rsid w:val="00A20264"/>
    <w:rsid w:val="00A20946"/>
    <w:rsid w:val="00A20997"/>
    <w:rsid w:val="00A210D4"/>
    <w:rsid w:val="00A213DD"/>
    <w:rsid w:val="00A21454"/>
    <w:rsid w:val="00A216CE"/>
    <w:rsid w:val="00A22025"/>
    <w:rsid w:val="00A22498"/>
    <w:rsid w:val="00A22571"/>
    <w:rsid w:val="00A2298D"/>
    <w:rsid w:val="00A24560"/>
    <w:rsid w:val="00A25B0F"/>
    <w:rsid w:val="00A25BBB"/>
    <w:rsid w:val="00A25F2F"/>
    <w:rsid w:val="00A27FB6"/>
    <w:rsid w:val="00A30121"/>
    <w:rsid w:val="00A30368"/>
    <w:rsid w:val="00A3043A"/>
    <w:rsid w:val="00A30E02"/>
    <w:rsid w:val="00A30F6A"/>
    <w:rsid w:val="00A31C3E"/>
    <w:rsid w:val="00A31CE1"/>
    <w:rsid w:val="00A32254"/>
    <w:rsid w:val="00A32A8C"/>
    <w:rsid w:val="00A32F59"/>
    <w:rsid w:val="00A34538"/>
    <w:rsid w:val="00A34677"/>
    <w:rsid w:val="00A3540F"/>
    <w:rsid w:val="00A35630"/>
    <w:rsid w:val="00A35914"/>
    <w:rsid w:val="00A36189"/>
    <w:rsid w:val="00A37054"/>
    <w:rsid w:val="00A37E73"/>
    <w:rsid w:val="00A37FB6"/>
    <w:rsid w:val="00A409E2"/>
    <w:rsid w:val="00A4104A"/>
    <w:rsid w:val="00A41081"/>
    <w:rsid w:val="00A411CA"/>
    <w:rsid w:val="00A4124D"/>
    <w:rsid w:val="00A4125E"/>
    <w:rsid w:val="00A41AE8"/>
    <w:rsid w:val="00A41C35"/>
    <w:rsid w:val="00A42080"/>
    <w:rsid w:val="00A42096"/>
    <w:rsid w:val="00A424EB"/>
    <w:rsid w:val="00A426F3"/>
    <w:rsid w:val="00A42FDF"/>
    <w:rsid w:val="00A430A9"/>
    <w:rsid w:val="00A431FE"/>
    <w:rsid w:val="00A439E5"/>
    <w:rsid w:val="00A4414E"/>
    <w:rsid w:val="00A4497A"/>
    <w:rsid w:val="00A44AB5"/>
    <w:rsid w:val="00A44BE8"/>
    <w:rsid w:val="00A44C96"/>
    <w:rsid w:val="00A44CDD"/>
    <w:rsid w:val="00A44E33"/>
    <w:rsid w:val="00A44F54"/>
    <w:rsid w:val="00A45F9B"/>
    <w:rsid w:val="00A46574"/>
    <w:rsid w:val="00A47849"/>
    <w:rsid w:val="00A500B1"/>
    <w:rsid w:val="00A52A53"/>
    <w:rsid w:val="00A52EE5"/>
    <w:rsid w:val="00A53037"/>
    <w:rsid w:val="00A532B9"/>
    <w:rsid w:val="00A5351D"/>
    <w:rsid w:val="00A53E79"/>
    <w:rsid w:val="00A54031"/>
    <w:rsid w:val="00A5426D"/>
    <w:rsid w:val="00A54FC2"/>
    <w:rsid w:val="00A55122"/>
    <w:rsid w:val="00A55CEA"/>
    <w:rsid w:val="00A56CE5"/>
    <w:rsid w:val="00A56DE7"/>
    <w:rsid w:val="00A56E1D"/>
    <w:rsid w:val="00A57EB2"/>
    <w:rsid w:val="00A6009E"/>
    <w:rsid w:val="00A60265"/>
    <w:rsid w:val="00A60540"/>
    <w:rsid w:val="00A60B1F"/>
    <w:rsid w:val="00A6109E"/>
    <w:rsid w:val="00A6181B"/>
    <w:rsid w:val="00A61C60"/>
    <w:rsid w:val="00A62589"/>
    <w:rsid w:val="00A62AD0"/>
    <w:rsid w:val="00A62C3A"/>
    <w:rsid w:val="00A6319C"/>
    <w:rsid w:val="00A63812"/>
    <w:rsid w:val="00A63DF7"/>
    <w:rsid w:val="00A6454D"/>
    <w:rsid w:val="00A64F2F"/>
    <w:rsid w:val="00A65DBF"/>
    <w:rsid w:val="00A6611E"/>
    <w:rsid w:val="00A668BA"/>
    <w:rsid w:val="00A66DDA"/>
    <w:rsid w:val="00A66FA7"/>
    <w:rsid w:val="00A67D7D"/>
    <w:rsid w:val="00A67E16"/>
    <w:rsid w:val="00A67EB1"/>
    <w:rsid w:val="00A703CC"/>
    <w:rsid w:val="00A70C5C"/>
    <w:rsid w:val="00A710A2"/>
    <w:rsid w:val="00A71EA7"/>
    <w:rsid w:val="00A730AD"/>
    <w:rsid w:val="00A73690"/>
    <w:rsid w:val="00A73855"/>
    <w:rsid w:val="00A73D39"/>
    <w:rsid w:val="00A73D64"/>
    <w:rsid w:val="00A74216"/>
    <w:rsid w:val="00A74360"/>
    <w:rsid w:val="00A744B4"/>
    <w:rsid w:val="00A751E3"/>
    <w:rsid w:val="00A753B9"/>
    <w:rsid w:val="00A7549A"/>
    <w:rsid w:val="00A75504"/>
    <w:rsid w:val="00A75C54"/>
    <w:rsid w:val="00A75ED1"/>
    <w:rsid w:val="00A75FD7"/>
    <w:rsid w:val="00A769E6"/>
    <w:rsid w:val="00A77168"/>
    <w:rsid w:val="00A7723B"/>
    <w:rsid w:val="00A773C3"/>
    <w:rsid w:val="00A7793C"/>
    <w:rsid w:val="00A779BF"/>
    <w:rsid w:val="00A77B7F"/>
    <w:rsid w:val="00A77D21"/>
    <w:rsid w:val="00A80085"/>
    <w:rsid w:val="00A8043B"/>
    <w:rsid w:val="00A80849"/>
    <w:rsid w:val="00A80DA0"/>
    <w:rsid w:val="00A81323"/>
    <w:rsid w:val="00A820CB"/>
    <w:rsid w:val="00A821C2"/>
    <w:rsid w:val="00A82342"/>
    <w:rsid w:val="00A8236F"/>
    <w:rsid w:val="00A82C87"/>
    <w:rsid w:val="00A83BEF"/>
    <w:rsid w:val="00A840C9"/>
    <w:rsid w:val="00A84443"/>
    <w:rsid w:val="00A8483D"/>
    <w:rsid w:val="00A8487F"/>
    <w:rsid w:val="00A849A3"/>
    <w:rsid w:val="00A84A0E"/>
    <w:rsid w:val="00A8575D"/>
    <w:rsid w:val="00A86E0B"/>
    <w:rsid w:val="00A87FAC"/>
    <w:rsid w:val="00A90792"/>
    <w:rsid w:val="00A90F12"/>
    <w:rsid w:val="00A91DAA"/>
    <w:rsid w:val="00A91EFC"/>
    <w:rsid w:val="00A93101"/>
    <w:rsid w:val="00A93239"/>
    <w:rsid w:val="00A9413E"/>
    <w:rsid w:val="00A941C0"/>
    <w:rsid w:val="00A94293"/>
    <w:rsid w:val="00A9496E"/>
    <w:rsid w:val="00A949F0"/>
    <w:rsid w:val="00A94BDE"/>
    <w:rsid w:val="00A94FCA"/>
    <w:rsid w:val="00A950EC"/>
    <w:rsid w:val="00A95E4C"/>
    <w:rsid w:val="00A9609B"/>
    <w:rsid w:val="00A9643B"/>
    <w:rsid w:val="00A966AF"/>
    <w:rsid w:val="00A96C60"/>
    <w:rsid w:val="00A970A1"/>
    <w:rsid w:val="00A9740B"/>
    <w:rsid w:val="00A9766C"/>
    <w:rsid w:val="00A977F8"/>
    <w:rsid w:val="00A979DB"/>
    <w:rsid w:val="00A97C93"/>
    <w:rsid w:val="00AA02C6"/>
    <w:rsid w:val="00AA03E8"/>
    <w:rsid w:val="00AA08E7"/>
    <w:rsid w:val="00AA0A06"/>
    <w:rsid w:val="00AA1351"/>
    <w:rsid w:val="00AA184C"/>
    <w:rsid w:val="00AA1AF4"/>
    <w:rsid w:val="00AA1C84"/>
    <w:rsid w:val="00AA3036"/>
    <w:rsid w:val="00AA3248"/>
    <w:rsid w:val="00AA3D7B"/>
    <w:rsid w:val="00AA42A0"/>
    <w:rsid w:val="00AA442B"/>
    <w:rsid w:val="00AA46A4"/>
    <w:rsid w:val="00AA5779"/>
    <w:rsid w:val="00AA58A1"/>
    <w:rsid w:val="00AA61C7"/>
    <w:rsid w:val="00AA669D"/>
    <w:rsid w:val="00AA66ED"/>
    <w:rsid w:val="00AA6B59"/>
    <w:rsid w:val="00AA6BE1"/>
    <w:rsid w:val="00AA6DE1"/>
    <w:rsid w:val="00AA7416"/>
    <w:rsid w:val="00AA7A60"/>
    <w:rsid w:val="00AA7AF0"/>
    <w:rsid w:val="00AA7B42"/>
    <w:rsid w:val="00AB041C"/>
    <w:rsid w:val="00AB14E8"/>
    <w:rsid w:val="00AB1B1D"/>
    <w:rsid w:val="00AB2216"/>
    <w:rsid w:val="00AB358D"/>
    <w:rsid w:val="00AB37A1"/>
    <w:rsid w:val="00AB3BAD"/>
    <w:rsid w:val="00AB3CFD"/>
    <w:rsid w:val="00AB49BC"/>
    <w:rsid w:val="00AB4DEE"/>
    <w:rsid w:val="00AB4E32"/>
    <w:rsid w:val="00AB5BE7"/>
    <w:rsid w:val="00AB5C19"/>
    <w:rsid w:val="00AB5DF8"/>
    <w:rsid w:val="00AB724B"/>
    <w:rsid w:val="00AB726C"/>
    <w:rsid w:val="00AB72B4"/>
    <w:rsid w:val="00AB7411"/>
    <w:rsid w:val="00AB7A7A"/>
    <w:rsid w:val="00AC02AA"/>
    <w:rsid w:val="00AC0537"/>
    <w:rsid w:val="00AC0A84"/>
    <w:rsid w:val="00AC1508"/>
    <w:rsid w:val="00AC1600"/>
    <w:rsid w:val="00AC2A0B"/>
    <w:rsid w:val="00AC2BEE"/>
    <w:rsid w:val="00AC2E53"/>
    <w:rsid w:val="00AC46B0"/>
    <w:rsid w:val="00AC484F"/>
    <w:rsid w:val="00AC4B20"/>
    <w:rsid w:val="00AC5159"/>
    <w:rsid w:val="00AC56F2"/>
    <w:rsid w:val="00AC5897"/>
    <w:rsid w:val="00AC71C3"/>
    <w:rsid w:val="00AD09F7"/>
    <w:rsid w:val="00AD0D42"/>
    <w:rsid w:val="00AD186F"/>
    <w:rsid w:val="00AD1EFA"/>
    <w:rsid w:val="00AD2072"/>
    <w:rsid w:val="00AD2DBD"/>
    <w:rsid w:val="00AD2FBF"/>
    <w:rsid w:val="00AD340E"/>
    <w:rsid w:val="00AD3B81"/>
    <w:rsid w:val="00AD455D"/>
    <w:rsid w:val="00AD463C"/>
    <w:rsid w:val="00AD4F60"/>
    <w:rsid w:val="00AD5044"/>
    <w:rsid w:val="00AD50ED"/>
    <w:rsid w:val="00AD5114"/>
    <w:rsid w:val="00AD6236"/>
    <w:rsid w:val="00AD69D5"/>
    <w:rsid w:val="00AD7619"/>
    <w:rsid w:val="00AD76A1"/>
    <w:rsid w:val="00AD7770"/>
    <w:rsid w:val="00AE1772"/>
    <w:rsid w:val="00AE1990"/>
    <w:rsid w:val="00AE25E8"/>
    <w:rsid w:val="00AE2AD4"/>
    <w:rsid w:val="00AE2CA7"/>
    <w:rsid w:val="00AE2F1D"/>
    <w:rsid w:val="00AE4C81"/>
    <w:rsid w:val="00AE586F"/>
    <w:rsid w:val="00AE6582"/>
    <w:rsid w:val="00AE6DC5"/>
    <w:rsid w:val="00AE71B5"/>
    <w:rsid w:val="00AE7686"/>
    <w:rsid w:val="00AE7899"/>
    <w:rsid w:val="00AE799A"/>
    <w:rsid w:val="00AE7A7C"/>
    <w:rsid w:val="00AF0D2A"/>
    <w:rsid w:val="00AF0E81"/>
    <w:rsid w:val="00AF117A"/>
    <w:rsid w:val="00AF162C"/>
    <w:rsid w:val="00AF16CA"/>
    <w:rsid w:val="00AF186E"/>
    <w:rsid w:val="00AF19DF"/>
    <w:rsid w:val="00AF1D41"/>
    <w:rsid w:val="00AF26CF"/>
    <w:rsid w:val="00AF2EE8"/>
    <w:rsid w:val="00AF3124"/>
    <w:rsid w:val="00AF344D"/>
    <w:rsid w:val="00AF39B3"/>
    <w:rsid w:val="00AF4402"/>
    <w:rsid w:val="00AF4639"/>
    <w:rsid w:val="00AF4E92"/>
    <w:rsid w:val="00AF554B"/>
    <w:rsid w:val="00AF55C5"/>
    <w:rsid w:val="00AF5C9B"/>
    <w:rsid w:val="00AF5D53"/>
    <w:rsid w:val="00AF5E2D"/>
    <w:rsid w:val="00AF644B"/>
    <w:rsid w:val="00AF69C8"/>
    <w:rsid w:val="00AF69EB"/>
    <w:rsid w:val="00AF6CA6"/>
    <w:rsid w:val="00AF6EB6"/>
    <w:rsid w:val="00AF7796"/>
    <w:rsid w:val="00B011A9"/>
    <w:rsid w:val="00B01BAF"/>
    <w:rsid w:val="00B024ED"/>
    <w:rsid w:val="00B0265B"/>
    <w:rsid w:val="00B02668"/>
    <w:rsid w:val="00B026B8"/>
    <w:rsid w:val="00B02EB3"/>
    <w:rsid w:val="00B02FCB"/>
    <w:rsid w:val="00B033F8"/>
    <w:rsid w:val="00B03C1E"/>
    <w:rsid w:val="00B04400"/>
    <w:rsid w:val="00B04835"/>
    <w:rsid w:val="00B05A55"/>
    <w:rsid w:val="00B05DE1"/>
    <w:rsid w:val="00B06595"/>
    <w:rsid w:val="00B06862"/>
    <w:rsid w:val="00B10109"/>
    <w:rsid w:val="00B1023F"/>
    <w:rsid w:val="00B1085E"/>
    <w:rsid w:val="00B10E5B"/>
    <w:rsid w:val="00B10FD1"/>
    <w:rsid w:val="00B112D5"/>
    <w:rsid w:val="00B1130C"/>
    <w:rsid w:val="00B1219D"/>
    <w:rsid w:val="00B12735"/>
    <w:rsid w:val="00B12F44"/>
    <w:rsid w:val="00B12F8C"/>
    <w:rsid w:val="00B13C48"/>
    <w:rsid w:val="00B13E35"/>
    <w:rsid w:val="00B13EC0"/>
    <w:rsid w:val="00B14102"/>
    <w:rsid w:val="00B141BD"/>
    <w:rsid w:val="00B14D32"/>
    <w:rsid w:val="00B14E14"/>
    <w:rsid w:val="00B1507C"/>
    <w:rsid w:val="00B1557C"/>
    <w:rsid w:val="00B155DC"/>
    <w:rsid w:val="00B15766"/>
    <w:rsid w:val="00B15E4A"/>
    <w:rsid w:val="00B1666A"/>
    <w:rsid w:val="00B167C8"/>
    <w:rsid w:val="00B1686D"/>
    <w:rsid w:val="00B16BF7"/>
    <w:rsid w:val="00B16FB6"/>
    <w:rsid w:val="00B17129"/>
    <w:rsid w:val="00B1741D"/>
    <w:rsid w:val="00B17447"/>
    <w:rsid w:val="00B1771D"/>
    <w:rsid w:val="00B17B91"/>
    <w:rsid w:val="00B20209"/>
    <w:rsid w:val="00B203C9"/>
    <w:rsid w:val="00B2088D"/>
    <w:rsid w:val="00B208FF"/>
    <w:rsid w:val="00B20A58"/>
    <w:rsid w:val="00B20E8F"/>
    <w:rsid w:val="00B22E22"/>
    <w:rsid w:val="00B22F5F"/>
    <w:rsid w:val="00B232BD"/>
    <w:rsid w:val="00B23353"/>
    <w:rsid w:val="00B23813"/>
    <w:rsid w:val="00B23FD9"/>
    <w:rsid w:val="00B244DB"/>
    <w:rsid w:val="00B24591"/>
    <w:rsid w:val="00B245D5"/>
    <w:rsid w:val="00B245EF"/>
    <w:rsid w:val="00B24C36"/>
    <w:rsid w:val="00B24F94"/>
    <w:rsid w:val="00B25126"/>
    <w:rsid w:val="00B25A52"/>
    <w:rsid w:val="00B25AED"/>
    <w:rsid w:val="00B25FC3"/>
    <w:rsid w:val="00B2754F"/>
    <w:rsid w:val="00B27875"/>
    <w:rsid w:val="00B3008D"/>
    <w:rsid w:val="00B30884"/>
    <w:rsid w:val="00B30E11"/>
    <w:rsid w:val="00B30EAE"/>
    <w:rsid w:val="00B30EEB"/>
    <w:rsid w:val="00B31423"/>
    <w:rsid w:val="00B317AE"/>
    <w:rsid w:val="00B323E0"/>
    <w:rsid w:val="00B32DC0"/>
    <w:rsid w:val="00B3346C"/>
    <w:rsid w:val="00B335E4"/>
    <w:rsid w:val="00B33C23"/>
    <w:rsid w:val="00B345B4"/>
    <w:rsid w:val="00B348B1"/>
    <w:rsid w:val="00B34A28"/>
    <w:rsid w:val="00B35046"/>
    <w:rsid w:val="00B35B6A"/>
    <w:rsid w:val="00B35F1B"/>
    <w:rsid w:val="00B36C99"/>
    <w:rsid w:val="00B36D2B"/>
    <w:rsid w:val="00B37657"/>
    <w:rsid w:val="00B37AFD"/>
    <w:rsid w:val="00B37B07"/>
    <w:rsid w:val="00B4046F"/>
    <w:rsid w:val="00B406B3"/>
    <w:rsid w:val="00B40A36"/>
    <w:rsid w:val="00B40D1D"/>
    <w:rsid w:val="00B41BCA"/>
    <w:rsid w:val="00B41D0F"/>
    <w:rsid w:val="00B41D39"/>
    <w:rsid w:val="00B41D66"/>
    <w:rsid w:val="00B422C0"/>
    <w:rsid w:val="00B426CA"/>
    <w:rsid w:val="00B426E1"/>
    <w:rsid w:val="00B43820"/>
    <w:rsid w:val="00B4387A"/>
    <w:rsid w:val="00B44746"/>
    <w:rsid w:val="00B44854"/>
    <w:rsid w:val="00B44BA5"/>
    <w:rsid w:val="00B454F1"/>
    <w:rsid w:val="00B4554E"/>
    <w:rsid w:val="00B458D0"/>
    <w:rsid w:val="00B46062"/>
    <w:rsid w:val="00B46696"/>
    <w:rsid w:val="00B46D11"/>
    <w:rsid w:val="00B4792C"/>
    <w:rsid w:val="00B50CAE"/>
    <w:rsid w:val="00B50E55"/>
    <w:rsid w:val="00B512AD"/>
    <w:rsid w:val="00B5196C"/>
    <w:rsid w:val="00B523D3"/>
    <w:rsid w:val="00B525CB"/>
    <w:rsid w:val="00B52697"/>
    <w:rsid w:val="00B540D4"/>
    <w:rsid w:val="00B54215"/>
    <w:rsid w:val="00B549B3"/>
    <w:rsid w:val="00B54D8F"/>
    <w:rsid w:val="00B55857"/>
    <w:rsid w:val="00B55C69"/>
    <w:rsid w:val="00B56851"/>
    <w:rsid w:val="00B56D6E"/>
    <w:rsid w:val="00B572F7"/>
    <w:rsid w:val="00B576D3"/>
    <w:rsid w:val="00B57B9D"/>
    <w:rsid w:val="00B57DAF"/>
    <w:rsid w:val="00B60094"/>
    <w:rsid w:val="00B6022C"/>
    <w:rsid w:val="00B6040C"/>
    <w:rsid w:val="00B60AC0"/>
    <w:rsid w:val="00B614F8"/>
    <w:rsid w:val="00B61994"/>
    <w:rsid w:val="00B61FD4"/>
    <w:rsid w:val="00B62880"/>
    <w:rsid w:val="00B63872"/>
    <w:rsid w:val="00B63CB2"/>
    <w:rsid w:val="00B64246"/>
    <w:rsid w:val="00B64EDB"/>
    <w:rsid w:val="00B65938"/>
    <w:rsid w:val="00B65C8A"/>
    <w:rsid w:val="00B65CE2"/>
    <w:rsid w:val="00B660AD"/>
    <w:rsid w:val="00B66109"/>
    <w:rsid w:val="00B66349"/>
    <w:rsid w:val="00B66606"/>
    <w:rsid w:val="00B67050"/>
    <w:rsid w:val="00B67FBF"/>
    <w:rsid w:val="00B70832"/>
    <w:rsid w:val="00B71376"/>
    <w:rsid w:val="00B716D7"/>
    <w:rsid w:val="00B717E5"/>
    <w:rsid w:val="00B72110"/>
    <w:rsid w:val="00B72B91"/>
    <w:rsid w:val="00B73019"/>
    <w:rsid w:val="00B7315F"/>
    <w:rsid w:val="00B7323A"/>
    <w:rsid w:val="00B7353B"/>
    <w:rsid w:val="00B737FB"/>
    <w:rsid w:val="00B73E5D"/>
    <w:rsid w:val="00B73EF3"/>
    <w:rsid w:val="00B7423D"/>
    <w:rsid w:val="00B74D05"/>
    <w:rsid w:val="00B74EF8"/>
    <w:rsid w:val="00B75893"/>
    <w:rsid w:val="00B764C9"/>
    <w:rsid w:val="00B771F4"/>
    <w:rsid w:val="00B7762A"/>
    <w:rsid w:val="00B777FA"/>
    <w:rsid w:val="00B77850"/>
    <w:rsid w:val="00B7796B"/>
    <w:rsid w:val="00B80476"/>
    <w:rsid w:val="00B80C72"/>
    <w:rsid w:val="00B81964"/>
    <w:rsid w:val="00B81E6F"/>
    <w:rsid w:val="00B82123"/>
    <w:rsid w:val="00B821D4"/>
    <w:rsid w:val="00B8225B"/>
    <w:rsid w:val="00B82BB5"/>
    <w:rsid w:val="00B83182"/>
    <w:rsid w:val="00B839F0"/>
    <w:rsid w:val="00B84FC6"/>
    <w:rsid w:val="00B850C2"/>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1F2B"/>
    <w:rsid w:val="00B920AD"/>
    <w:rsid w:val="00B92531"/>
    <w:rsid w:val="00B92618"/>
    <w:rsid w:val="00B92751"/>
    <w:rsid w:val="00B92B69"/>
    <w:rsid w:val="00B92CC6"/>
    <w:rsid w:val="00B935C9"/>
    <w:rsid w:val="00B93E3D"/>
    <w:rsid w:val="00B95464"/>
    <w:rsid w:val="00B95C30"/>
    <w:rsid w:val="00B95E3D"/>
    <w:rsid w:val="00B95ED6"/>
    <w:rsid w:val="00B9691F"/>
    <w:rsid w:val="00B96D9F"/>
    <w:rsid w:val="00B96EEC"/>
    <w:rsid w:val="00B97392"/>
    <w:rsid w:val="00B976C7"/>
    <w:rsid w:val="00B97A73"/>
    <w:rsid w:val="00B97F6C"/>
    <w:rsid w:val="00BA0C54"/>
    <w:rsid w:val="00BA11C4"/>
    <w:rsid w:val="00BA1382"/>
    <w:rsid w:val="00BA15E3"/>
    <w:rsid w:val="00BA1A8C"/>
    <w:rsid w:val="00BA20B6"/>
    <w:rsid w:val="00BA20D8"/>
    <w:rsid w:val="00BA22A1"/>
    <w:rsid w:val="00BA22FC"/>
    <w:rsid w:val="00BA271E"/>
    <w:rsid w:val="00BA2C2A"/>
    <w:rsid w:val="00BA2CF9"/>
    <w:rsid w:val="00BA2F30"/>
    <w:rsid w:val="00BA3982"/>
    <w:rsid w:val="00BA405F"/>
    <w:rsid w:val="00BA4771"/>
    <w:rsid w:val="00BA482B"/>
    <w:rsid w:val="00BA4BDA"/>
    <w:rsid w:val="00BA5027"/>
    <w:rsid w:val="00BA5A74"/>
    <w:rsid w:val="00BA6554"/>
    <w:rsid w:val="00BA661F"/>
    <w:rsid w:val="00BA665B"/>
    <w:rsid w:val="00BA6FE8"/>
    <w:rsid w:val="00BA732D"/>
    <w:rsid w:val="00BA7370"/>
    <w:rsid w:val="00BA778B"/>
    <w:rsid w:val="00BB0888"/>
    <w:rsid w:val="00BB0DF1"/>
    <w:rsid w:val="00BB0E9B"/>
    <w:rsid w:val="00BB2841"/>
    <w:rsid w:val="00BB300F"/>
    <w:rsid w:val="00BB32C9"/>
    <w:rsid w:val="00BB35C5"/>
    <w:rsid w:val="00BB4048"/>
    <w:rsid w:val="00BB4C8E"/>
    <w:rsid w:val="00BB57ED"/>
    <w:rsid w:val="00BB596B"/>
    <w:rsid w:val="00BB5A2D"/>
    <w:rsid w:val="00BB606C"/>
    <w:rsid w:val="00BB65C3"/>
    <w:rsid w:val="00BB662E"/>
    <w:rsid w:val="00BB67A9"/>
    <w:rsid w:val="00BB6C01"/>
    <w:rsid w:val="00BB7942"/>
    <w:rsid w:val="00BB7CD1"/>
    <w:rsid w:val="00BC0F33"/>
    <w:rsid w:val="00BC14A7"/>
    <w:rsid w:val="00BC17CC"/>
    <w:rsid w:val="00BC2898"/>
    <w:rsid w:val="00BC2928"/>
    <w:rsid w:val="00BC29BD"/>
    <w:rsid w:val="00BC2BB1"/>
    <w:rsid w:val="00BC34A3"/>
    <w:rsid w:val="00BC3FF9"/>
    <w:rsid w:val="00BC43CC"/>
    <w:rsid w:val="00BC4834"/>
    <w:rsid w:val="00BC4A97"/>
    <w:rsid w:val="00BC4EC9"/>
    <w:rsid w:val="00BC5A25"/>
    <w:rsid w:val="00BC5FDD"/>
    <w:rsid w:val="00BC68B4"/>
    <w:rsid w:val="00BC6CBE"/>
    <w:rsid w:val="00BC7277"/>
    <w:rsid w:val="00BD0140"/>
    <w:rsid w:val="00BD02CC"/>
    <w:rsid w:val="00BD061A"/>
    <w:rsid w:val="00BD088E"/>
    <w:rsid w:val="00BD0F18"/>
    <w:rsid w:val="00BD182E"/>
    <w:rsid w:val="00BD1BAB"/>
    <w:rsid w:val="00BD2063"/>
    <w:rsid w:val="00BD2950"/>
    <w:rsid w:val="00BD337A"/>
    <w:rsid w:val="00BD33D9"/>
    <w:rsid w:val="00BD38C5"/>
    <w:rsid w:val="00BD3AF1"/>
    <w:rsid w:val="00BD3DEA"/>
    <w:rsid w:val="00BD3E97"/>
    <w:rsid w:val="00BD3E9F"/>
    <w:rsid w:val="00BD40E4"/>
    <w:rsid w:val="00BD52FE"/>
    <w:rsid w:val="00BD5899"/>
    <w:rsid w:val="00BD62CF"/>
    <w:rsid w:val="00BD67B2"/>
    <w:rsid w:val="00BD68E2"/>
    <w:rsid w:val="00BD6D41"/>
    <w:rsid w:val="00BD76E5"/>
    <w:rsid w:val="00BD78FE"/>
    <w:rsid w:val="00BE0149"/>
    <w:rsid w:val="00BE0767"/>
    <w:rsid w:val="00BE07A6"/>
    <w:rsid w:val="00BE0CDF"/>
    <w:rsid w:val="00BE12D7"/>
    <w:rsid w:val="00BE1372"/>
    <w:rsid w:val="00BE1432"/>
    <w:rsid w:val="00BE1775"/>
    <w:rsid w:val="00BE18DA"/>
    <w:rsid w:val="00BE26C0"/>
    <w:rsid w:val="00BE3442"/>
    <w:rsid w:val="00BE37CD"/>
    <w:rsid w:val="00BE47B2"/>
    <w:rsid w:val="00BE48C7"/>
    <w:rsid w:val="00BE4F66"/>
    <w:rsid w:val="00BE4FBF"/>
    <w:rsid w:val="00BE50D0"/>
    <w:rsid w:val="00BE5238"/>
    <w:rsid w:val="00BE5742"/>
    <w:rsid w:val="00BE6074"/>
    <w:rsid w:val="00BE6D73"/>
    <w:rsid w:val="00BE7257"/>
    <w:rsid w:val="00BF020D"/>
    <w:rsid w:val="00BF0609"/>
    <w:rsid w:val="00BF0EE8"/>
    <w:rsid w:val="00BF0F4A"/>
    <w:rsid w:val="00BF10ED"/>
    <w:rsid w:val="00BF1DD2"/>
    <w:rsid w:val="00BF23A3"/>
    <w:rsid w:val="00BF2A7E"/>
    <w:rsid w:val="00BF3331"/>
    <w:rsid w:val="00BF3A45"/>
    <w:rsid w:val="00BF436F"/>
    <w:rsid w:val="00BF5C05"/>
    <w:rsid w:val="00BF6FC6"/>
    <w:rsid w:val="00BF7C52"/>
    <w:rsid w:val="00BF7F99"/>
    <w:rsid w:val="00C00713"/>
    <w:rsid w:val="00C009A0"/>
    <w:rsid w:val="00C01557"/>
    <w:rsid w:val="00C01F74"/>
    <w:rsid w:val="00C0210B"/>
    <w:rsid w:val="00C02558"/>
    <w:rsid w:val="00C0285F"/>
    <w:rsid w:val="00C028F5"/>
    <w:rsid w:val="00C02F35"/>
    <w:rsid w:val="00C03305"/>
    <w:rsid w:val="00C03515"/>
    <w:rsid w:val="00C03738"/>
    <w:rsid w:val="00C037A6"/>
    <w:rsid w:val="00C043F5"/>
    <w:rsid w:val="00C044E3"/>
    <w:rsid w:val="00C04607"/>
    <w:rsid w:val="00C04BDB"/>
    <w:rsid w:val="00C052C6"/>
    <w:rsid w:val="00C05987"/>
    <w:rsid w:val="00C05A61"/>
    <w:rsid w:val="00C05FBA"/>
    <w:rsid w:val="00C05FEE"/>
    <w:rsid w:val="00C06B5A"/>
    <w:rsid w:val="00C06CCF"/>
    <w:rsid w:val="00C0794D"/>
    <w:rsid w:val="00C10E78"/>
    <w:rsid w:val="00C10EF1"/>
    <w:rsid w:val="00C1159D"/>
    <w:rsid w:val="00C11B78"/>
    <w:rsid w:val="00C1233E"/>
    <w:rsid w:val="00C128B2"/>
    <w:rsid w:val="00C12FB3"/>
    <w:rsid w:val="00C138BC"/>
    <w:rsid w:val="00C13D85"/>
    <w:rsid w:val="00C13E8F"/>
    <w:rsid w:val="00C1427C"/>
    <w:rsid w:val="00C145FE"/>
    <w:rsid w:val="00C14639"/>
    <w:rsid w:val="00C14E82"/>
    <w:rsid w:val="00C14FF6"/>
    <w:rsid w:val="00C15A85"/>
    <w:rsid w:val="00C1637C"/>
    <w:rsid w:val="00C1641B"/>
    <w:rsid w:val="00C165FC"/>
    <w:rsid w:val="00C176D5"/>
    <w:rsid w:val="00C17830"/>
    <w:rsid w:val="00C17D24"/>
    <w:rsid w:val="00C2082C"/>
    <w:rsid w:val="00C20B85"/>
    <w:rsid w:val="00C20EB0"/>
    <w:rsid w:val="00C21004"/>
    <w:rsid w:val="00C21005"/>
    <w:rsid w:val="00C220B6"/>
    <w:rsid w:val="00C22D7C"/>
    <w:rsid w:val="00C22DDE"/>
    <w:rsid w:val="00C2338B"/>
    <w:rsid w:val="00C233CE"/>
    <w:rsid w:val="00C237DD"/>
    <w:rsid w:val="00C238F4"/>
    <w:rsid w:val="00C23926"/>
    <w:rsid w:val="00C2393A"/>
    <w:rsid w:val="00C23A99"/>
    <w:rsid w:val="00C245EE"/>
    <w:rsid w:val="00C24850"/>
    <w:rsid w:val="00C24AE1"/>
    <w:rsid w:val="00C24B8D"/>
    <w:rsid w:val="00C24BD7"/>
    <w:rsid w:val="00C24BF1"/>
    <w:rsid w:val="00C24D71"/>
    <w:rsid w:val="00C25813"/>
    <w:rsid w:val="00C27143"/>
    <w:rsid w:val="00C27490"/>
    <w:rsid w:val="00C27D37"/>
    <w:rsid w:val="00C309E8"/>
    <w:rsid w:val="00C32017"/>
    <w:rsid w:val="00C32571"/>
    <w:rsid w:val="00C325CD"/>
    <w:rsid w:val="00C3322E"/>
    <w:rsid w:val="00C337F5"/>
    <w:rsid w:val="00C3383E"/>
    <w:rsid w:val="00C33B90"/>
    <w:rsid w:val="00C33C81"/>
    <w:rsid w:val="00C34161"/>
    <w:rsid w:val="00C34B32"/>
    <w:rsid w:val="00C34B5F"/>
    <w:rsid w:val="00C34C1D"/>
    <w:rsid w:val="00C358D4"/>
    <w:rsid w:val="00C365C6"/>
    <w:rsid w:val="00C366F4"/>
    <w:rsid w:val="00C36785"/>
    <w:rsid w:val="00C3711C"/>
    <w:rsid w:val="00C37256"/>
    <w:rsid w:val="00C378CD"/>
    <w:rsid w:val="00C37A7B"/>
    <w:rsid w:val="00C37ACC"/>
    <w:rsid w:val="00C37DC1"/>
    <w:rsid w:val="00C37FFE"/>
    <w:rsid w:val="00C40B50"/>
    <w:rsid w:val="00C419E3"/>
    <w:rsid w:val="00C419F4"/>
    <w:rsid w:val="00C41E6A"/>
    <w:rsid w:val="00C42247"/>
    <w:rsid w:val="00C428E7"/>
    <w:rsid w:val="00C4302F"/>
    <w:rsid w:val="00C432FB"/>
    <w:rsid w:val="00C438A2"/>
    <w:rsid w:val="00C439BE"/>
    <w:rsid w:val="00C4539B"/>
    <w:rsid w:val="00C45466"/>
    <w:rsid w:val="00C455C1"/>
    <w:rsid w:val="00C4581D"/>
    <w:rsid w:val="00C4635B"/>
    <w:rsid w:val="00C46D70"/>
    <w:rsid w:val="00C47472"/>
    <w:rsid w:val="00C500F0"/>
    <w:rsid w:val="00C503DC"/>
    <w:rsid w:val="00C504A7"/>
    <w:rsid w:val="00C506C9"/>
    <w:rsid w:val="00C50A16"/>
    <w:rsid w:val="00C51C97"/>
    <w:rsid w:val="00C51C9A"/>
    <w:rsid w:val="00C52953"/>
    <w:rsid w:val="00C52C68"/>
    <w:rsid w:val="00C52D98"/>
    <w:rsid w:val="00C52DA1"/>
    <w:rsid w:val="00C53D24"/>
    <w:rsid w:val="00C54640"/>
    <w:rsid w:val="00C546D1"/>
    <w:rsid w:val="00C547A6"/>
    <w:rsid w:val="00C54A3A"/>
    <w:rsid w:val="00C55340"/>
    <w:rsid w:val="00C55C32"/>
    <w:rsid w:val="00C5639E"/>
    <w:rsid w:val="00C56A67"/>
    <w:rsid w:val="00C56CC2"/>
    <w:rsid w:val="00C56D8D"/>
    <w:rsid w:val="00C57498"/>
    <w:rsid w:val="00C57523"/>
    <w:rsid w:val="00C5763C"/>
    <w:rsid w:val="00C5780C"/>
    <w:rsid w:val="00C5796B"/>
    <w:rsid w:val="00C57C64"/>
    <w:rsid w:val="00C60CE0"/>
    <w:rsid w:val="00C612C4"/>
    <w:rsid w:val="00C619A1"/>
    <w:rsid w:val="00C62370"/>
    <w:rsid w:val="00C6249B"/>
    <w:rsid w:val="00C62BBB"/>
    <w:rsid w:val="00C6305F"/>
    <w:rsid w:val="00C6325B"/>
    <w:rsid w:val="00C63DDD"/>
    <w:rsid w:val="00C63E99"/>
    <w:rsid w:val="00C649B8"/>
    <w:rsid w:val="00C64A64"/>
    <w:rsid w:val="00C65151"/>
    <w:rsid w:val="00C657F4"/>
    <w:rsid w:val="00C6598D"/>
    <w:rsid w:val="00C660FE"/>
    <w:rsid w:val="00C66119"/>
    <w:rsid w:val="00C66292"/>
    <w:rsid w:val="00C66B7D"/>
    <w:rsid w:val="00C67265"/>
    <w:rsid w:val="00C672A3"/>
    <w:rsid w:val="00C672F1"/>
    <w:rsid w:val="00C673D0"/>
    <w:rsid w:val="00C6742E"/>
    <w:rsid w:val="00C67B0B"/>
    <w:rsid w:val="00C67C0E"/>
    <w:rsid w:val="00C70012"/>
    <w:rsid w:val="00C71E2A"/>
    <w:rsid w:val="00C733BA"/>
    <w:rsid w:val="00C74306"/>
    <w:rsid w:val="00C760DC"/>
    <w:rsid w:val="00C8082B"/>
    <w:rsid w:val="00C81A88"/>
    <w:rsid w:val="00C81BD5"/>
    <w:rsid w:val="00C81D46"/>
    <w:rsid w:val="00C82298"/>
    <w:rsid w:val="00C8331F"/>
    <w:rsid w:val="00C833B4"/>
    <w:rsid w:val="00C83C3E"/>
    <w:rsid w:val="00C84284"/>
    <w:rsid w:val="00C84887"/>
    <w:rsid w:val="00C84E33"/>
    <w:rsid w:val="00C856A1"/>
    <w:rsid w:val="00C85FFC"/>
    <w:rsid w:val="00C861FC"/>
    <w:rsid w:val="00C86324"/>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6CC"/>
    <w:rsid w:val="00C94BD6"/>
    <w:rsid w:val="00C959BD"/>
    <w:rsid w:val="00C95DFE"/>
    <w:rsid w:val="00C95F44"/>
    <w:rsid w:val="00C968E3"/>
    <w:rsid w:val="00C96D1B"/>
    <w:rsid w:val="00C97106"/>
    <w:rsid w:val="00C978D4"/>
    <w:rsid w:val="00CA0031"/>
    <w:rsid w:val="00CA0413"/>
    <w:rsid w:val="00CA043A"/>
    <w:rsid w:val="00CA084B"/>
    <w:rsid w:val="00CA0E51"/>
    <w:rsid w:val="00CA1691"/>
    <w:rsid w:val="00CA22BA"/>
    <w:rsid w:val="00CA41E7"/>
    <w:rsid w:val="00CA4A99"/>
    <w:rsid w:val="00CA4AD7"/>
    <w:rsid w:val="00CA4D7D"/>
    <w:rsid w:val="00CA5520"/>
    <w:rsid w:val="00CA5812"/>
    <w:rsid w:val="00CA5BD4"/>
    <w:rsid w:val="00CA5C14"/>
    <w:rsid w:val="00CA5CF3"/>
    <w:rsid w:val="00CA5E56"/>
    <w:rsid w:val="00CA76FC"/>
    <w:rsid w:val="00CA7E7B"/>
    <w:rsid w:val="00CB0236"/>
    <w:rsid w:val="00CB1881"/>
    <w:rsid w:val="00CB1969"/>
    <w:rsid w:val="00CB19E3"/>
    <w:rsid w:val="00CB2C3A"/>
    <w:rsid w:val="00CB2D38"/>
    <w:rsid w:val="00CB31B4"/>
    <w:rsid w:val="00CB3725"/>
    <w:rsid w:val="00CB4137"/>
    <w:rsid w:val="00CB50D0"/>
    <w:rsid w:val="00CB52D0"/>
    <w:rsid w:val="00CB5578"/>
    <w:rsid w:val="00CB5671"/>
    <w:rsid w:val="00CB591C"/>
    <w:rsid w:val="00CB5943"/>
    <w:rsid w:val="00CB61B3"/>
    <w:rsid w:val="00CB6F83"/>
    <w:rsid w:val="00CB72AE"/>
    <w:rsid w:val="00CC00CD"/>
    <w:rsid w:val="00CC0579"/>
    <w:rsid w:val="00CC09B4"/>
    <w:rsid w:val="00CC0AF3"/>
    <w:rsid w:val="00CC0BC6"/>
    <w:rsid w:val="00CC0E68"/>
    <w:rsid w:val="00CC1409"/>
    <w:rsid w:val="00CC1780"/>
    <w:rsid w:val="00CC1897"/>
    <w:rsid w:val="00CC194E"/>
    <w:rsid w:val="00CC21AC"/>
    <w:rsid w:val="00CC232E"/>
    <w:rsid w:val="00CC2514"/>
    <w:rsid w:val="00CC2D34"/>
    <w:rsid w:val="00CC2F69"/>
    <w:rsid w:val="00CC315F"/>
    <w:rsid w:val="00CC3D38"/>
    <w:rsid w:val="00CC40C3"/>
    <w:rsid w:val="00CC4751"/>
    <w:rsid w:val="00CC4A37"/>
    <w:rsid w:val="00CC4CB4"/>
    <w:rsid w:val="00CC4E5D"/>
    <w:rsid w:val="00CC50AE"/>
    <w:rsid w:val="00CC5444"/>
    <w:rsid w:val="00CC5E38"/>
    <w:rsid w:val="00CC5FFE"/>
    <w:rsid w:val="00CC61B7"/>
    <w:rsid w:val="00CC61CA"/>
    <w:rsid w:val="00CC69EC"/>
    <w:rsid w:val="00CC71D3"/>
    <w:rsid w:val="00CC743D"/>
    <w:rsid w:val="00CD02ED"/>
    <w:rsid w:val="00CD050A"/>
    <w:rsid w:val="00CD1017"/>
    <w:rsid w:val="00CD19EA"/>
    <w:rsid w:val="00CD1D44"/>
    <w:rsid w:val="00CD205D"/>
    <w:rsid w:val="00CD2A22"/>
    <w:rsid w:val="00CD2B50"/>
    <w:rsid w:val="00CD3172"/>
    <w:rsid w:val="00CD3A6D"/>
    <w:rsid w:val="00CD4506"/>
    <w:rsid w:val="00CD520B"/>
    <w:rsid w:val="00CD5663"/>
    <w:rsid w:val="00CD592E"/>
    <w:rsid w:val="00CD5982"/>
    <w:rsid w:val="00CD5A1A"/>
    <w:rsid w:val="00CD6438"/>
    <w:rsid w:val="00CD71B3"/>
    <w:rsid w:val="00CD73C6"/>
    <w:rsid w:val="00CD7592"/>
    <w:rsid w:val="00CD7EFA"/>
    <w:rsid w:val="00CE020E"/>
    <w:rsid w:val="00CE0566"/>
    <w:rsid w:val="00CE13FA"/>
    <w:rsid w:val="00CE1CD4"/>
    <w:rsid w:val="00CE2761"/>
    <w:rsid w:val="00CE28FC"/>
    <w:rsid w:val="00CE314E"/>
    <w:rsid w:val="00CE3A85"/>
    <w:rsid w:val="00CE3B81"/>
    <w:rsid w:val="00CE3D5C"/>
    <w:rsid w:val="00CE3E09"/>
    <w:rsid w:val="00CE3E14"/>
    <w:rsid w:val="00CE44C7"/>
    <w:rsid w:val="00CE53CC"/>
    <w:rsid w:val="00CE5F60"/>
    <w:rsid w:val="00CE65A7"/>
    <w:rsid w:val="00CE68FE"/>
    <w:rsid w:val="00CE69CC"/>
    <w:rsid w:val="00CE6EC4"/>
    <w:rsid w:val="00CE7F26"/>
    <w:rsid w:val="00CE7F71"/>
    <w:rsid w:val="00CF1226"/>
    <w:rsid w:val="00CF1ABB"/>
    <w:rsid w:val="00CF1E1D"/>
    <w:rsid w:val="00CF24FE"/>
    <w:rsid w:val="00CF287F"/>
    <w:rsid w:val="00CF35D0"/>
    <w:rsid w:val="00CF3B57"/>
    <w:rsid w:val="00CF3DD5"/>
    <w:rsid w:val="00CF4AF7"/>
    <w:rsid w:val="00CF4D20"/>
    <w:rsid w:val="00CF5D59"/>
    <w:rsid w:val="00CF5E78"/>
    <w:rsid w:val="00CF73F8"/>
    <w:rsid w:val="00CF7928"/>
    <w:rsid w:val="00CF7CA2"/>
    <w:rsid w:val="00D00911"/>
    <w:rsid w:val="00D00A8E"/>
    <w:rsid w:val="00D00DE0"/>
    <w:rsid w:val="00D00F79"/>
    <w:rsid w:val="00D012BF"/>
    <w:rsid w:val="00D01760"/>
    <w:rsid w:val="00D034D1"/>
    <w:rsid w:val="00D0368E"/>
    <w:rsid w:val="00D03AC3"/>
    <w:rsid w:val="00D03D2D"/>
    <w:rsid w:val="00D03E7B"/>
    <w:rsid w:val="00D03E9B"/>
    <w:rsid w:val="00D0401A"/>
    <w:rsid w:val="00D047E0"/>
    <w:rsid w:val="00D04B9F"/>
    <w:rsid w:val="00D04D43"/>
    <w:rsid w:val="00D04FFB"/>
    <w:rsid w:val="00D055FE"/>
    <w:rsid w:val="00D058E9"/>
    <w:rsid w:val="00D0612A"/>
    <w:rsid w:val="00D068CD"/>
    <w:rsid w:val="00D07BF6"/>
    <w:rsid w:val="00D1060D"/>
    <w:rsid w:val="00D10D14"/>
    <w:rsid w:val="00D10E7C"/>
    <w:rsid w:val="00D11182"/>
    <w:rsid w:val="00D1137B"/>
    <w:rsid w:val="00D11807"/>
    <w:rsid w:val="00D11DB3"/>
    <w:rsid w:val="00D126C8"/>
    <w:rsid w:val="00D12D82"/>
    <w:rsid w:val="00D12F77"/>
    <w:rsid w:val="00D1306E"/>
    <w:rsid w:val="00D130B7"/>
    <w:rsid w:val="00D134CD"/>
    <w:rsid w:val="00D14B5F"/>
    <w:rsid w:val="00D14E13"/>
    <w:rsid w:val="00D14F23"/>
    <w:rsid w:val="00D160F6"/>
    <w:rsid w:val="00D16740"/>
    <w:rsid w:val="00D16A8B"/>
    <w:rsid w:val="00D16B96"/>
    <w:rsid w:val="00D16E39"/>
    <w:rsid w:val="00D171DE"/>
    <w:rsid w:val="00D172A4"/>
    <w:rsid w:val="00D17951"/>
    <w:rsid w:val="00D17AD8"/>
    <w:rsid w:val="00D20FDE"/>
    <w:rsid w:val="00D2104A"/>
    <w:rsid w:val="00D21BB5"/>
    <w:rsid w:val="00D21FFC"/>
    <w:rsid w:val="00D223B6"/>
    <w:rsid w:val="00D223E8"/>
    <w:rsid w:val="00D224E1"/>
    <w:rsid w:val="00D22DC8"/>
    <w:rsid w:val="00D22F18"/>
    <w:rsid w:val="00D2477B"/>
    <w:rsid w:val="00D2522A"/>
    <w:rsid w:val="00D2531C"/>
    <w:rsid w:val="00D25428"/>
    <w:rsid w:val="00D2553E"/>
    <w:rsid w:val="00D2742F"/>
    <w:rsid w:val="00D2754F"/>
    <w:rsid w:val="00D277C5"/>
    <w:rsid w:val="00D279D9"/>
    <w:rsid w:val="00D30E15"/>
    <w:rsid w:val="00D31011"/>
    <w:rsid w:val="00D312DC"/>
    <w:rsid w:val="00D31AA2"/>
    <w:rsid w:val="00D31B84"/>
    <w:rsid w:val="00D31C6A"/>
    <w:rsid w:val="00D31EDF"/>
    <w:rsid w:val="00D31FF9"/>
    <w:rsid w:val="00D32149"/>
    <w:rsid w:val="00D32256"/>
    <w:rsid w:val="00D325D2"/>
    <w:rsid w:val="00D32A27"/>
    <w:rsid w:val="00D32ABC"/>
    <w:rsid w:val="00D33100"/>
    <w:rsid w:val="00D33178"/>
    <w:rsid w:val="00D33FA4"/>
    <w:rsid w:val="00D34B25"/>
    <w:rsid w:val="00D34C7F"/>
    <w:rsid w:val="00D34F4E"/>
    <w:rsid w:val="00D353F8"/>
    <w:rsid w:val="00D357F3"/>
    <w:rsid w:val="00D35A63"/>
    <w:rsid w:val="00D35C0E"/>
    <w:rsid w:val="00D36FBF"/>
    <w:rsid w:val="00D373A8"/>
    <w:rsid w:val="00D379A5"/>
    <w:rsid w:val="00D37BB3"/>
    <w:rsid w:val="00D401BE"/>
    <w:rsid w:val="00D4043A"/>
    <w:rsid w:val="00D40DB0"/>
    <w:rsid w:val="00D41093"/>
    <w:rsid w:val="00D41858"/>
    <w:rsid w:val="00D422DB"/>
    <w:rsid w:val="00D42AC2"/>
    <w:rsid w:val="00D42DB5"/>
    <w:rsid w:val="00D43689"/>
    <w:rsid w:val="00D4498E"/>
    <w:rsid w:val="00D4515F"/>
    <w:rsid w:val="00D451E8"/>
    <w:rsid w:val="00D45230"/>
    <w:rsid w:val="00D466C9"/>
    <w:rsid w:val="00D47275"/>
    <w:rsid w:val="00D517F6"/>
    <w:rsid w:val="00D51AB7"/>
    <w:rsid w:val="00D51E15"/>
    <w:rsid w:val="00D5211B"/>
    <w:rsid w:val="00D52B7E"/>
    <w:rsid w:val="00D52E2F"/>
    <w:rsid w:val="00D52F59"/>
    <w:rsid w:val="00D53445"/>
    <w:rsid w:val="00D53D54"/>
    <w:rsid w:val="00D53E3E"/>
    <w:rsid w:val="00D54620"/>
    <w:rsid w:val="00D55904"/>
    <w:rsid w:val="00D5614E"/>
    <w:rsid w:val="00D5616F"/>
    <w:rsid w:val="00D5636D"/>
    <w:rsid w:val="00D56C96"/>
    <w:rsid w:val="00D57940"/>
    <w:rsid w:val="00D60327"/>
    <w:rsid w:val="00D61384"/>
    <w:rsid w:val="00D61526"/>
    <w:rsid w:val="00D61B44"/>
    <w:rsid w:val="00D61C39"/>
    <w:rsid w:val="00D61F81"/>
    <w:rsid w:val="00D620A6"/>
    <w:rsid w:val="00D62BE6"/>
    <w:rsid w:val="00D63766"/>
    <w:rsid w:val="00D63912"/>
    <w:rsid w:val="00D63923"/>
    <w:rsid w:val="00D6451B"/>
    <w:rsid w:val="00D64776"/>
    <w:rsid w:val="00D64B57"/>
    <w:rsid w:val="00D651A1"/>
    <w:rsid w:val="00D652C0"/>
    <w:rsid w:val="00D65DEA"/>
    <w:rsid w:val="00D6650F"/>
    <w:rsid w:val="00D66579"/>
    <w:rsid w:val="00D676D3"/>
    <w:rsid w:val="00D67B06"/>
    <w:rsid w:val="00D67BC7"/>
    <w:rsid w:val="00D701F1"/>
    <w:rsid w:val="00D705D3"/>
    <w:rsid w:val="00D70E00"/>
    <w:rsid w:val="00D70F7C"/>
    <w:rsid w:val="00D715AC"/>
    <w:rsid w:val="00D71851"/>
    <w:rsid w:val="00D718CF"/>
    <w:rsid w:val="00D720DD"/>
    <w:rsid w:val="00D72167"/>
    <w:rsid w:val="00D728F5"/>
    <w:rsid w:val="00D72E9D"/>
    <w:rsid w:val="00D73249"/>
    <w:rsid w:val="00D7329A"/>
    <w:rsid w:val="00D73419"/>
    <w:rsid w:val="00D73881"/>
    <w:rsid w:val="00D73CA9"/>
    <w:rsid w:val="00D751B7"/>
    <w:rsid w:val="00D7524B"/>
    <w:rsid w:val="00D75396"/>
    <w:rsid w:val="00D759C0"/>
    <w:rsid w:val="00D75E99"/>
    <w:rsid w:val="00D76353"/>
    <w:rsid w:val="00D765CE"/>
    <w:rsid w:val="00D766C7"/>
    <w:rsid w:val="00D7692B"/>
    <w:rsid w:val="00D7734F"/>
    <w:rsid w:val="00D7791D"/>
    <w:rsid w:val="00D77AF5"/>
    <w:rsid w:val="00D8039E"/>
    <w:rsid w:val="00D8044C"/>
    <w:rsid w:val="00D805D6"/>
    <w:rsid w:val="00D8075E"/>
    <w:rsid w:val="00D80860"/>
    <w:rsid w:val="00D80D4C"/>
    <w:rsid w:val="00D8184D"/>
    <w:rsid w:val="00D81A7B"/>
    <w:rsid w:val="00D8223C"/>
    <w:rsid w:val="00D82B57"/>
    <w:rsid w:val="00D82CE5"/>
    <w:rsid w:val="00D831E3"/>
    <w:rsid w:val="00D8342C"/>
    <w:rsid w:val="00D834BC"/>
    <w:rsid w:val="00D83948"/>
    <w:rsid w:val="00D84983"/>
    <w:rsid w:val="00D84C00"/>
    <w:rsid w:val="00D85494"/>
    <w:rsid w:val="00D8582C"/>
    <w:rsid w:val="00D85D61"/>
    <w:rsid w:val="00D8616D"/>
    <w:rsid w:val="00D8711B"/>
    <w:rsid w:val="00D87384"/>
    <w:rsid w:val="00D8771B"/>
    <w:rsid w:val="00D90683"/>
    <w:rsid w:val="00D90B2A"/>
    <w:rsid w:val="00D911B3"/>
    <w:rsid w:val="00D91483"/>
    <w:rsid w:val="00D915C8"/>
    <w:rsid w:val="00D9310B"/>
    <w:rsid w:val="00D931F3"/>
    <w:rsid w:val="00D93726"/>
    <w:rsid w:val="00D93F3E"/>
    <w:rsid w:val="00D9405B"/>
    <w:rsid w:val="00D94942"/>
    <w:rsid w:val="00D95145"/>
    <w:rsid w:val="00D96594"/>
    <w:rsid w:val="00D967CB"/>
    <w:rsid w:val="00D968D4"/>
    <w:rsid w:val="00D96DEE"/>
    <w:rsid w:val="00D96EE0"/>
    <w:rsid w:val="00D9771D"/>
    <w:rsid w:val="00D97BD1"/>
    <w:rsid w:val="00DA00C3"/>
    <w:rsid w:val="00DA01E9"/>
    <w:rsid w:val="00DA06B8"/>
    <w:rsid w:val="00DA0E8A"/>
    <w:rsid w:val="00DA14A9"/>
    <w:rsid w:val="00DA286D"/>
    <w:rsid w:val="00DA2969"/>
    <w:rsid w:val="00DA29B7"/>
    <w:rsid w:val="00DA2E5F"/>
    <w:rsid w:val="00DA337C"/>
    <w:rsid w:val="00DA4187"/>
    <w:rsid w:val="00DA4842"/>
    <w:rsid w:val="00DA4C97"/>
    <w:rsid w:val="00DA530A"/>
    <w:rsid w:val="00DA5989"/>
    <w:rsid w:val="00DA5AB1"/>
    <w:rsid w:val="00DA5F9D"/>
    <w:rsid w:val="00DA69B2"/>
    <w:rsid w:val="00DA6A57"/>
    <w:rsid w:val="00DA7462"/>
    <w:rsid w:val="00DA7AD0"/>
    <w:rsid w:val="00DB02D7"/>
    <w:rsid w:val="00DB03CC"/>
    <w:rsid w:val="00DB12D4"/>
    <w:rsid w:val="00DB14F0"/>
    <w:rsid w:val="00DB1745"/>
    <w:rsid w:val="00DB19BB"/>
    <w:rsid w:val="00DB1AFF"/>
    <w:rsid w:val="00DB219A"/>
    <w:rsid w:val="00DB3009"/>
    <w:rsid w:val="00DB3165"/>
    <w:rsid w:val="00DB3909"/>
    <w:rsid w:val="00DB4165"/>
    <w:rsid w:val="00DB4292"/>
    <w:rsid w:val="00DB5023"/>
    <w:rsid w:val="00DB6895"/>
    <w:rsid w:val="00DB6E46"/>
    <w:rsid w:val="00DB7117"/>
    <w:rsid w:val="00DB7760"/>
    <w:rsid w:val="00DB7DD4"/>
    <w:rsid w:val="00DC00B4"/>
    <w:rsid w:val="00DC0585"/>
    <w:rsid w:val="00DC0954"/>
    <w:rsid w:val="00DC0DF8"/>
    <w:rsid w:val="00DC15BA"/>
    <w:rsid w:val="00DC18CD"/>
    <w:rsid w:val="00DC1A68"/>
    <w:rsid w:val="00DC30B8"/>
    <w:rsid w:val="00DC478F"/>
    <w:rsid w:val="00DC62E5"/>
    <w:rsid w:val="00DC6D70"/>
    <w:rsid w:val="00DC6F33"/>
    <w:rsid w:val="00DC7349"/>
    <w:rsid w:val="00DD0EA9"/>
    <w:rsid w:val="00DD14D8"/>
    <w:rsid w:val="00DD1599"/>
    <w:rsid w:val="00DD16F1"/>
    <w:rsid w:val="00DD1B03"/>
    <w:rsid w:val="00DD1E43"/>
    <w:rsid w:val="00DD2A62"/>
    <w:rsid w:val="00DD2CEF"/>
    <w:rsid w:val="00DD2F2F"/>
    <w:rsid w:val="00DD2F7A"/>
    <w:rsid w:val="00DD31EF"/>
    <w:rsid w:val="00DD3885"/>
    <w:rsid w:val="00DD40F8"/>
    <w:rsid w:val="00DD5808"/>
    <w:rsid w:val="00DD5946"/>
    <w:rsid w:val="00DD5B04"/>
    <w:rsid w:val="00DD5DAE"/>
    <w:rsid w:val="00DD5EC6"/>
    <w:rsid w:val="00DD605F"/>
    <w:rsid w:val="00DD6C99"/>
    <w:rsid w:val="00DD7024"/>
    <w:rsid w:val="00DD72A0"/>
    <w:rsid w:val="00DD735D"/>
    <w:rsid w:val="00DD7F7D"/>
    <w:rsid w:val="00DE0159"/>
    <w:rsid w:val="00DE064A"/>
    <w:rsid w:val="00DE082D"/>
    <w:rsid w:val="00DE0D15"/>
    <w:rsid w:val="00DE106B"/>
    <w:rsid w:val="00DE1410"/>
    <w:rsid w:val="00DE20C6"/>
    <w:rsid w:val="00DE2B6B"/>
    <w:rsid w:val="00DE3119"/>
    <w:rsid w:val="00DE3E0B"/>
    <w:rsid w:val="00DE3FF0"/>
    <w:rsid w:val="00DE4105"/>
    <w:rsid w:val="00DE4E52"/>
    <w:rsid w:val="00DE5189"/>
    <w:rsid w:val="00DE7108"/>
    <w:rsid w:val="00DE771D"/>
    <w:rsid w:val="00DE78D1"/>
    <w:rsid w:val="00DE78FF"/>
    <w:rsid w:val="00DF00C7"/>
    <w:rsid w:val="00DF0263"/>
    <w:rsid w:val="00DF098F"/>
    <w:rsid w:val="00DF0EB4"/>
    <w:rsid w:val="00DF146A"/>
    <w:rsid w:val="00DF158B"/>
    <w:rsid w:val="00DF193C"/>
    <w:rsid w:val="00DF1E36"/>
    <w:rsid w:val="00DF236B"/>
    <w:rsid w:val="00DF2A91"/>
    <w:rsid w:val="00DF3889"/>
    <w:rsid w:val="00DF3CC9"/>
    <w:rsid w:val="00DF4451"/>
    <w:rsid w:val="00DF49FF"/>
    <w:rsid w:val="00DF4FFB"/>
    <w:rsid w:val="00DF5236"/>
    <w:rsid w:val="00DF651F"/>
    <w:rsid w:val="00DF6F43"/>
    <w:rsid w:val="00DF71EA"/>
    <w:rsid w:val="00DF752F"/>
    <w:rsid w:val="00DF76A2"/>
    <w:rsid w:val="00E00794"/>
    <w:rsid w:val="00E00B7A"/>
    <w:rsid w:val="00E02186"/>
    <w:rsid w:val="00E025C2"/>
    <w:rsid w:val="00E026BB"/>
    <w:rsid w:val="00E027C5"/>
    <w:rsid w:val="00E03124"/>
    <w:rsid w:val="00E031C3"/>
    <w:rsid w:val="00E03951"/>
    <w:rsid w:val="00E03DB8"/>
    <w:rsid w:val="00E03F17"/>
    <w:rsid w:val="00E03FF8"/>
    <w:rsid w:val="00E0420C"/>
    <w:rsid w:val="00E047D5"/>
    <w:rsid w:val="00E04DD3"/>
    <w:rsid w:val="00E04EDD"/>
    <w:rsid w:val="00E05AA3"/>
    <w:rsid w:val="00E05E70"/>
    <w:rsid w:val="00E064BC"/>
    <w:rsid w:val="00E07225"/>
    <w:rsid w:val="00E076B4"/>
    <w:rsid w:val="00E07B55"/>
    <w:rsid w:val="00E10579"/>
    <w:rsid w:val="00E109DD"/>
    <w:rsid w:val="00E11229"/>
    <w:rsid w:val="00E114CA"/>
    <w:rsid w:val="00E127D1"/>
    <w:rsid w:val="00E13867"/>
    <w:rsid w:val="00E1397F"/>
    <w:rsid w:val="00E13AB8"/>
    <w:rsid w:val="00E1482E"/>
    <w:rsid w:val="00E162D7"/>
    <w:rsid w:val="00E16382"/>
    <w:rsid w:val="00E1699C"/>
    <w:rsid w:val="00E16E75"/>
    <w:rsid w:val="00E17122"/>
    <w:rsid w:val="00E1746D"/>
    <w:rsid w:val="00E174E8"/>
    <w:rsid w:val="00E17CD1"/>
    <w:rsid w:val="00E2012A"/>
    <w:rsid w:val="00E205A2"/>
    <w:rsid w:val="00E205DC"/>
    <w:rsid w:val="00E20BA4"/>
    <w:rsid w:val="00E210D0"/>
    <w:rsid w:val="00E23137"/>
    <w:rsid w:val="00E23980"/>
    <w:rsid w:val="00E241E9"/>
    <w:rsid w:val="00E257C3"/>
    <w:rsid w:val="00E25A2C"/>
    <w:rsid w:val="00E25CB3"/>
    <w:rsid w:val="00E25DA4"/>
    <w:rsid w:val="00E25EB2"/>
    <w:rsid w:val="00E26237"/>
    <w:rsid w:val="00E26CB8"/>
    <w:rsid w:val="00E26D16"/>
    <w:rsid w:val="00E26FCF"/>
    <w:rsid w:val="00E27165"/>
    <w:rsid w:val="00E275D9"/>
    <w:rsid w:val="00E30444"/>
    <w:rsid w:val="00E3044A"/>
    <w:rsid w:val="00E30E49"/>
    <w:rsid w:val="00E31A4A"/>
    <w:rsid w:val="00E3344A"/>
    <w:rsid w:val="00E33B29"/>
    <w:rsid w:val="00E33B62"/>
    <w:rsid w:val="00E33F67"/>
    <w:rsid w:val="00E3403D"/>
    <w:rsid w:val="00E344BD"/>
    <w:rsid w:val="00E34E6C"/>
    <w:rsid w:val="00E353E2"/>
    <w:rsid w:val="00E36345"/>
    <w:rsid w:val="00E36C86"/>
    <w:rsid w:val="00E36CEB"/>
    <w:rsid w:val="00E37A28"/>
    <w:rsid w:val="00E40430"/>
    <w:rsid w:val="00E40690"/>
    <w:rsid w:val="00E40AEB"/>
    <w:rsid w:val="00E40E82"/>
    <w:rsid w:val="00E41141"/>
    <w:rsid w:val="00E4143A"/>
    <w:rsid w:val="00E4159B"/>
    <w:rsid w:val="00E4186F"/>
    <w:rsid w:val="00E424C8"/>
    <w:rsid w:val="00E4251D"/>
    <w:rsid w:val="00E42B15"/>
    <w:rsid w:val="00E436BF"/>
    <w:rsid w:val="00E43D00"/>
    <w:rsid w:val="00E443B4"/>
    <w:rsid w:val="00E445E4"/>
    <w:rsid w:val="00E457CB"/>
    <w:rsid w:val="00E45D47"/>
    <w:rsid w:val="00E45DE4"/>
    <w:rsid w:val="00E45E63"/>
    <w:rsid w:val="00E4759C"/>
    <w:rsid w:val="00E50A7B"/>
    <w:rsid w:val="00E50B0B"/>
    <w:rsid w:val="00E50C57"/>
    <w:rsid w:val="00E510FE"/>
    <w:rsid w:val="00E514BA"/>
    <w:rsid w:val="00E51E25"/>
    <w:rsid w:val="00E5205B"/>
    <w:rsid w:val="00E521AE"/>
    <w:rsid w:val="00E529A3"/>
    <w:rsid w:val="00E53A21"/>
    <w:rsid w:val="00E53BCA"/>
    <w:rsid w:val="00E53DE2"/>
    <w:rsid w:val="00E53F02"/>
    <w:rsid w:val="00E54276"/>
    <w:rsid w:val="00E5428D"/>
    <w:rsid w:val="00E54534"/>
    <w:rsid w:val="00E548C3"/>
    <w:rsid w:val="00E54F27"/>
    <w:rsid w:val="00E552DD"/>
    <w:rsid w:val="00E55FF1"/>
    <w:rsid w:val="00E56090"/>
    <w:rsid w:val="00E565B9"/>
    <w:rsid w:val="00E56E7B"/>
    <w:rsid w:val="00E5733B"/>
    <w:rsid w:val="00E5756C"/>
    <w:rsid w:val="00E57811"/>
    <w:rsid w:val="00E601BE"/>
    <w:rsid w:val="00E608EC"/>
    <w:rsid w:val="00E60B5F"/>
    <w:rsid w:val="00E60D8D"/>
    <w:rsid w:val="00E60FF7"/>
    <w:rsid w:val="00E6101C"/>
    <w:rsid w:val="00E613AE"/>
    <w:rsid w:val="00E61429"/>
    <w:rsid w:val="00E61ABB"/>
    <w:rsid w:val="00E61FD7"/>
    <w:rsid w:val="00E623E6"/>
    <w:rsid w:val="00E630A2"/>
    <w:rsid w:val="00E630C0"/>
    <w:rsid w:val="00E63107"/>
    <w:rsid w:val="00E6312C"/>
    <w:rsid w:val="00E634E6"/>
    <w:rsid w:val="00E63DCE"/>
    <w:rsid w:val="00E64700"/>
    <w:rsid w:val="00E65074"/>
    <w:rsid w:val="00E65B0D"/>
    <w:rsid w:val="00E65E70"/>
    <w:rsid w:val="00E66087"/>
    <w:rsid w:val="00E66B2D"/>
    <w:rsid w:val="00E66D79"/>
    <w:rsid w:val="00E66F5A"/>
    <w:rsid w:val="00E66FF9"/>
    <w:rsid w:val="00E6706F"/>
    <w:rsid w:val="00E670DD"/>
    <w:rsid w:val="00E673A2"/>
    <w:rsid w:val="00E67856"/>
    <w:rsid w:val="00E679C8"/>
    <w:rsid w:val="00E70314"/>
    <w:rsid w:val="00E71704"/>
    <w:rsid w:val="00E719F2"/>
    <w:rsid w:val="00E724E7"/>
    <w:rsid w:val="00E72B41"/>
    <w:rsid w:val="00E732C1"/>
    <w:rsid w:val="00E7347B"/>
    <w:rsid w:val="00E73792"/>
    <w:rsid w:val="00E73D03"/>
    <w:rsid w:val="00E746A6"/>
    <w:rsid w:val="00E7471C"/>
    <w:rsid w:val="00E7498A"/>
    <w:rsid w:val="00E7514E"/>
    <w:rsid w:val="00E76537"/>
    <w:rsid w:val="00E77784"/>
    <w:rsid w:val="00E77AF5"/>
    <w:rsid w:val="00E807B5"/>
    <w:rsid w:val="00E81058"/>
    <w:rsid w:val="00E8143D"/>
    <w:rsid w:val="00E820F4"/>
    <w:rsid w:val="00E823F9"/>
    <w:rsid w:val="00E82C1F"/>
    <w:rsid w:val="00E83671"/>
    <w:rsid w:val="00E839C4"/>
    <w:rsid w:val="00E840EE"/>
    <w:rsid w:val="00E84314"/>
    <w:rsid w:val="00E84999"/>
    <w:rsid w:val="00E849CA"/>
    <w:rsid w:val="00E84A71"/>
    <w:rsid w:val="00E8556F"/>
    <w:rsid w:val="00E86556"/>
    <w:rsid w:val="00E86D35"/>
    <w:rsid w:val="00E86DC2"/>
    <w:rsid w:val="00E86E32"/>
    <w:rsid w:val="00E86F2E"/>
    <w:rsid w:val="00E8732E"/>
    <w:rsid w:val="00E9011F"/>
    <w:rsid w:val="00E906EB"/>
    <w:rsid w:val="00E90A1E"/>
    <w:rsid w:val="00E90AEC"/>
    <w:rsid w:val="00E9170E"/>
    <w:rsid w:val="00E919FB"/>
    <w:rsid w:val="00E91E47"/>
    <w:rsid w:val="00E9241E"/>
    <w:rsid w:val="00E92460"/>
    <w:rsid w:val="00E924FE"/>
    <w:rsid w:val="00E92E62"/>
    <w:rsid w:val="00E93804"/>
    <w:rsid w:val="00E9429D"/>
    <w:rsid w:val="00E95434"/>
    <w:rsid w:val="00E96467"/>
    <w:rsid w:val="00E966DA"/>
    <w:rsid w:val="00E96948"/>
    <w:rsid w:val="00E9737B"/>
    <w:rsid w:val="00E97A3F"/>
    <w:rsid w:val="00E97F0A"/>
    <w:rsid w:val="00EA0100"/>
    <w:rsid w:val="00EA0BCE"/>
    <w:rsid w:val="00EA1532"/>
    <w:rsid w:val="00EA22FA"/>
    <w:rsid w:val="00EA2744"/>
    <w:rsid w:val="00EA37B9"/>
    <w:rsid w:val="00EA38CD"/>
    <w:rsid w:val="00EA39F7"/>
    <w:rsid w:val="00EA3DC2"/>
    <w:rsid w:val="00EA434E"/>
    <w:rsid w:val="00EA4395"/>
    <w:rsid w:val="00EA4757"/>
    <w:rsid w:val="00EA560B"/>
    <w:rsid w:val="00EA5669"/>
    <w:rsid w:val="00EA57BD"/>
    <w:rsid w:val="00EA5CC6"/>
    <w:rsid w:val="00EA63EF"/>
    <w:rsid w:val="00EA7CBF"/>
    <w:rsid w:val="00EB0329"/>
    <w:rsid w:val="00EB0A89"/>
    <w:rsid w:val="00EB1573"/>
    <w:rsid w:val="00EB185F"/>
    <w:rsid w:val="00EB1910"/>
    <w:rsid w:val="00EB2D83"/>
    <w:rsid w:val="00EB2E97"/>
    <w:rsid w:val="00EB3416"/>
    <w:rsid w:val="00EB455A"/>
    <w:rsid w:val="00EB45AE"/>
    <w:rsid w:val="00EB4AE1"/>
    <w:rsid w:val="00EB52F4"/>
    <w:rsid w:val="00EB5694"/>
    <w:rsid w:val="00EB5779"/>
    <w:rsid w:val="00EB5D2F"/>
    <w:rsid w:val="00EB67F1"/>
    <w:rsid w:val="00EB6ADA"/>
    <w:rsid w:val="00EB72CD"/>
    <w:rsid w:val="00EB749A"/>
    <w:rsid w:val="00EB76B6"/>
    <w:rsid w:val="00EB7D8A"/>
    <w:rsid w:val="00EC04F7"/>
    <w:rsid w:val="00EC05E2"/>
    <w:rsid w:val="00EC0E84"/>
    <w:rsid w:val="00EC16E2"/>
    <w:rsid w:val="00EC1CE7"/>
    <w:rsid w:val="00EC1DAE"/>
    <w:rsid w:val="00EC2104"/>
    <w:rsid w:val="00EC26F1"/>
    <w:rsid w:val="00EC30E7"/>
    <w:rsid w:val="00EC3C94"/>
    <w:rsid w:val="00EC44DF"/>
    <w:rsid w:val="00EC4FB9"/>
    <w:rsid w:val="00EC5393"/>
    <w:rsid w:val="00EC5741"/>
    <w:rsid w:val="00EC5DA3"/>
    <w:rsid w:val="00EC6014"/>
    <w:rsid w:val="00EC6B3E"/>
    <w:rsid w:val="00EC6F2D"/>
    <w:rsid w:val="00EC73DE"/>
    <w:rsid w:val="00EC7637"/>
    <w:rsid w:val="00EC7CF2"/>
    <w:rsid w:val="00EC7FDD"/>
    <w:rsid w:val="00ED046C"/>
    <w:rsid w:val="00ED053A"/>
    <w:rsid w:val="00ED17B8"/>
    <w:rsid w:val="00ED1F03"/>
    <w:rsid w:val="00ED249D"/>
    <w:rsid w:val="00ED2998"/>
    <w:rsid w:val="00ED2D27"/>
    <w:rsid w:val="00ED3347"/>
    <w:rsid w:val="00ED3441"/>
    <w:rsid w:val="00ED3860"/>
    <w:rsid w:val="00ED3954"/>
    <w:rsid w:val="00ED43A2"/>
    <w:rsid w:val="00ED4967"/>
    <w:rsid w:val="00ED5140"/>
    <w:rsid w:val="00ED538C"/>
    <w:rsid w:val="00ED5771"/>
    <w:rsid w:val="00ED587F"/>
    <w:rsid w:val="00ED5964"/>
    <w:rsid w:val="00ED623F"/>
    <w:rsid w:val="00ED63A5"/>
    <w:rsid w:val="00ED69BA"/>
    <w:rsid w:val="00ED6D1A"/>
    <w:rsid w:val="00ED72E9"/>
    <w:rsid w:val="00ED732E"/>
    <w:rsid w:val="00ED77F0"/>
    <w:rsid w:val="00ED7FBC"/>
    <w:rsid w:val="00EE0253"/>
    <w:rsid w:val="00EE0297"/>
    <w:rsid w:val="00EE050A"/>
    <w:rsid w:val="00EE1258"/>
    <w:rsid w:val="00EE12EA"/>
    <w:rsid w:val="00EE13DA"/>
    <w:rsid w:val="00EE1668"/>
    <w:rsid w:val="00EE168D"/>
    <w:rsid w:val="00EE1EDB"/>
    <w:rsid w:val="00EE24E2"/>
    <w:rsid w:val="00EE2BF0"/>
    <w:rsid w:val="00EE3295"/>
    <w:rsid w:val="00EE366D"/>
    <w:rsid w:val="00EE5454"/>
    <w:rsid w:val="00EE54C4"/>
    <w:rsid w:val="00EE59B5"/>
    <w:rsid w:val="00EE5FB7"/>
    <w:rsid w:val="00EE6783"/>
    <w:rsid w:val="00EE6AC4"/>
    <w:rsid w:val="00EE7B54"/>
    <w:rsid w:val="00EE7C47"/>
    <w:rsid w:val="00EE7C88"/>
    <w:rsid w:val="00EE7C8B"/>
    <w:rsid w:val="00EF0209"/>
    <w:rsid w:val="00EF0EA4"/>
    <w:rsid w:val="00EF1E97"/>
    <w:rsid w:val="00EF2436"/>
    <w:rsid w:val="00EF2547"/>
    <w:rsid w:val="00EF2942"/>
    <w:rsid w:val="00EF29D9"/>
    <w:rsid w:val="00EF2B2B"/>
    <w:rsid w:val="00EF2E1C"/>
    <w:rsid w:val="00EF2FD6"/>
    <w:rsid w:val="00EF326A"/>
    <w:rsid w:val="00EF427A"/>
    <w:rsid w:val="00EF45DF"/>
    <w:rsid w:val="00EF4952"/>
    <w:rsid w:val="00EF498F"/>
    <w:rsid w:val="00EF4A42"/>
    <w:rsid w:val="00EF507B"/>
    <w:rsid w:val="00EF510C"/>
    <w:rsid w:val="00EF55C4"/>
    <w:rsid w:val="00EF57BC"/>
    <w:rsid w:val="00EF5CA8"/>
    <w:rsid w:val="00EF6784"/>
    <w:rsid w:val="00EF688A"/>
    <w:rsid w:val="00EF6A03"/>
    <w:rsid w:val="00EF6DC2"/>
    <w:rsid w:val="00EF7506"/>
    <w:rsid w:val="00EF760B"/>
    <w:rsid w:val="00EF7BF4"/>
    <w:rsid w:val="00F0030F"/>
    <w:rsid w:val="00F00674"/>
    <w:rsid w:val="00F00D3C"/>
    <w:rsid w:val="00F014F5"/>
    <w:rsid w:val="00F01657"/>
    <w:rsid w:val="00F01D40"/>
    <w:rsid w:val="00F01E67"/>
    <w:rsid w:val="00F02744"/>
    <w:rsid w:val="00F02BFD"/>
    <w:rsid w:val="00F02D25"/>
    <w:rsid w:val="00F03C3D"/>
    <w:rsid w:val="00F0435D"/>
    <w:rsid w:val="00F043DD"/>
    <w:rsid w:val="00F04580"/>
    <w:rsid w:val="00F04ECA"/>
    <w:rsid w:val="00F04F8B"/>
    <w:rsid w:val="00F0502B"/>
    <w:rsid w:val="00F06E19"/>
    <w:rsid w:val="00F06F84"/>
    <w:rsid w:val="00F076E7"/>
    <w:rsid w:val="00F07AA1"/>
    <w:rsid w:val="00F1026D"/>
    <w:rsid w:val="00F105AE"/>
    <w:rsid w:val="00F10618"/>
    <w:rsid w:val="00F1108B"/>
    <w:rsid w:val="00F114FA"/>
    <w:rsid w:val="00F11768"/>
    <w:rsid w:val="00F11951"/>
    <w:rsid w:val="00F12262"/>
    <w:rsid w:val="00F12564"/>
    <w:rsid w:val="00F12AF8"/>
    <w:rsid w:val="00F12C52"/>
    <w:rsid w:val="00F13828"/>
    <w:rsid w:val="00F13E62"/>
    <w:rsid w:val="00F13F51"/>
    <w:rsid w:val="00F144F0"/>
    <w:rsid w:val="00F1464A"/>
    <w:rsid w:val="00F148B7"/>
    <w:rsid w:val="00F14960"/>
    <w:rsid w:val="00F14E28"/>
    <w:rsid w:val="00F14EA9"/>
    <w:rsid w:val="00F15505"/>
    <w:rsid w:val="00F15BFF"/>
    <w:rsid w:val="00F16E4F"/>
    <w:rsid w:val="00F17244"/>
    <w:rsid w:val="00F20ECE"/>
    <w:rsid w:val="00F2121A"/>
    <w:rsid w:val="00F213A0"/>
    <w:rsid w:val="00F21D54"/>
    <w:rsid w:val="00F21EF4"/>
    <w:rsid w:val="00F23113"/>
    <w:rsid w:val="00F23255"/>
    <w:rsid w:val="00F23393"/>
    <w:rsid w:val="00F23759"/>
    <w:rsid w:val="00F24644"/>
    <w:rsid w:val="00F25947"/>
    <w:rsid w:val="00F25DE0"/>
    <w:rsid w:val="00F25F9F"/>
    <w:rsid w:val="00F262D6"/>
    <w:rsid w:val="00F26F33"/>
    <w:rsid w:val="00F2748A"/>
    <w:rsid w:val="00F300A8"/>
    <w:rsid w:val="00F302C6"/>
    <w:rsid w:val="00F30400"/>
    <w:rsid w:val="00F30597"/>
    <w:rsid w:val="00F3079E"/>
    <w:rsid w:val="00F325CA"/>
    <w:rsid w:val="00F3399B"/>
    <w:rsid w:val="00F33F4B"/>
    <w:rsid w:val="00F346ED"/>
    <w:rsid w:val="00F34945"/>
    <w:rsid w:val="00F34E1E"/>
    <w:rsid w:val="00F3570C"/>
    <w:rsid w:val="00F363A4"/>
    <w:rsid w:val="00F36613"/>
    <w:rsid w:val="00F36765"/>
    <w:rsid w:val="00F368FF"/>
    <w:rsid w:val="00F37068"/>
    <w:rsid w:val="00F37F3F"/>
    <w:rsid w:val="00F40992"/>
    <w:rsid w:val="00F409C4"/>
    <w:rsid w:val="00F409C6"/>
    <w:rsid w:val="00F40C84"/>
    <w:rsid w:val="00F40F72"/>
    <w:rsid w:val="00F41596"/>
    <w:rsid w:val="00F41B60"/>
    <w:rsid w:val="00F41D8B"/>
    <w:rsid w:val="00F42121"/>
    <w:rsid w:val="00F424B3"/>
    <w:rsid w:val="00F428B1"/>
    <w:rsid w:val="00F428B4"/>
    <w:rsid w:val="00F433CB"/>
    <w:rsid w:val="00F4345D"/>
    <w:rsid w:val="00F4387B"/>
    <w:rsid w:val="00F43A51"/>
    <w:rsid w:val="00F441BB"/>
    <w:rsid w:val="00F45921"/>
    <w:rsid w:val="00F45B91"/>
    <w:rsid w:val="00F46639"/>
    <w:rsid w:val="00F476FD"/>
    <w:rsid w:val="00F50183"/>
    <w:rsid w:val="00F50D92"/>
    <w:rsid w:val="00F51765"/>
    <w:rsid w:val="00F51A51"/>
    <w:rsid w:val="00F51BC6"/>
    <w:rsid w:val="00F51CB4"/>
    <w:rsid w:val="00F520CB"/>
    <w:rsid w:val="00F52324"/>
    <w:rsid w:val="00F52950"/>
    <w:rsid w:val="00F52C9D"/>
    <w:rsid w:val="00F533F1"/>
    <w:rsid w:val="00F53B8B"/>
    <w:rsid w:val="00F55679"/>
    <w:rsid w:val="00F561DA"/>
    <w:rsid w:val="00F561E3"/>
    <w:rsid w:val="00F565E6"/>
    <w:rsid w:val="00F56AFA"/>
    <w:rsid w:val="00F575E2"/>
    <w:rsid w:val="00F579FF"/>
    <w:rsid w:val="00F600E0"/>
    <w:rsid w:val="00F6034E"/>
    <w:rsid w:val="00F605EC"/>
    <w:rsid w:val="00F60F60"/>
    <w:rsid w:val="00F612CE"/>
    <w:rsid w:val="00F6133C"/>
    <w:rsid w:val="00F61405"/>
    <w:rsid w:val="00F62227"/>
    <w:rsid w:val="00F624A7"/>
    <w:rsid w:val="00F62AB6"/>
    <w:rsid w:val="00F647AF"/>
    <w:rsid w:val="00F65A3C"/>
    <w:rsid w:val="00F66009"/>
    <w:rsid w:val="00F66282"/>
    <w:rsid w:val="00F6639E"/>
    <w:rsid w:val="00F66D0B"/>
    <w:rsid w:val="00F670E9"/>
    <w:rsid w:val="00F67AF1"/>
    <w:rsid w:val="00F67D8B"/>
    <w:rsid w:val="00F701C5"/>
    <w:rsid w:val="00F70961"/>
    <w:rsid w:val="00F70A8F"/>
    <w:rsid w:val="00F71397"/>
    <w:rsid w:val="00F72389"/>
    <w:rsid w:val="00F72516"/>
    <w:rsid w:val="00F72FB4"/>
    <w:rsid w:val="00F735E5"/>
    <w:rsid w:val="00F73B82"/>
    <w:rsid w:val="00F73E80"/>
    <w:rsid w:val="00F7469C"/>
    <w:rsid w:val="00F7492E"/>
    <w:rsid w:val="00F74945"/>
    <w:rsid w:val="00F749A3"/>
    <w:rsid w:val="00F74AE8"/>
    <w:rsid w:val="00F74C4D"/>
    <w:rsid w:val="00F76C11"/>
    <w:rsid w:val="00F76C69"/>
    <w:rsid w:val="00F77021"/>
    <w:rsid w:val="00F770AB"/>
    <w:rsid w:val="00F77E61"/>
    <w:rsid w:val="00F80221"/>
    <w:rsid w:val="00F80A0A"/>
    <w:rsid w:val="00F80C81"/>
    <w:rsid w:val="00F815AC"/>
    <w:rsid w:val="00F8297B"/>
    <w:rsid w:val="00F83B33"/>
    <w:rsid w:val="00F83CAE"/>
    <w:rsid w:val="00F840BF"/>
    <w:rsid w:val="00F8427A"/>
    <w:rsid w:val="00F843DF"/>
    <w:rsid w:val="00F84646"/>
    <w:rsid w:val="00F84899"/>
    <w:rsid w:val="00F85585"/>
    <w:rsid w:val="00F859F0"/>
    <w:rsid w:val="00F85CC1"/>
    <w:rsid w:val="00F86602"/>
    <w:rsid w:val="00F86B5D"/>
    <w:rsid w:val="00F87634"/>
    <w:rsid w:val="00F87C13"/>
    <w:rsid w:val="00F87C5A"/>
    <w:rsid w:val="00F87E29"/>
    <w:rsid w:val="00F87F18"/>
    <w:rsid w:val="00F87F68"/>
    <w:rsid w:val="00F904AC"/>
    <w:rsid w:val="00F90C4D"/>
    <w:rsid w:val="00F9167D"/>
    <w:rsid w:val="00F91CB2"/>
    <w:rsid w:val="00F927E8"/>
    <w:rsid w:val="00F9289C"/>
    <w:rsid w:val="00F93DBC"/>
    <w:rsid w:val="00F93E41"/>
    <w:rsid w:val="00F94644"/>
    <w:rsid w:val="00F952E4"/>
    <w:rsid w:val="00F9537B"/>
    <w:rsid w:val="00F96079"/>
    <w:rsid w:val="00F963FC"/>
    <w:rsid w:val="00F97CF1"/>
    <w:rsid w:val="00FA015F"/>
    <w:rsid w:val="00FA0EBD"/>
    <w:rsid w:val="00FA0FAC"/>
    <w:rsid w:val="00FA10F7"/>
    <w:rsid w:val="00FA14B9"/>
    <w:rsid w:val="00FA1DA2"/>
    <w:rsid w:val="00FA3414"/>
    <w:rsid w:val="00FA347A"/>
    <w:rsid w:val="00FA3CDE"/>
    <w:rsid w:val="00FA49B7"/>
    <w:rsid w:val="00FA5043"/>
    <w:rsid w:val="00FA5130"/>
    <w:rsid w:val="00FA60C1"/>
    <w:rsid w:val="00FA65A3"/>
    <w:rsid w:val="00FA6F8B"/>
    <w:rsid w:val="00FA727C"/>
    <w:rsid w:val="00FA7A30"/>
    <w:rsid w:val="00FB033F"/>
    <w:rsid w:val="00FB06B8"/>
    <w:rsid w:val="00FB0880"/>
    <w:rsid w:val="00FB12E3"/>
    <w:rsid w:val="00FB1570"/>
    <w:rsid w:val="00FB193B"/>
    <w:rsid w:val="00FB1FBC"/>
    <w:rsid w:val="00FB27B7"/>
    <w:rsid w:val="00FB35E3"/>
    <w:rsid w:val="00FB3FBE"/>
    <w:rsid w:val="00FB4727"/>
    <w:rsid w:val="00FB4C98"/>
    <w:rsid w:val="00FB4CE3"/>
    <w:rsid w:val="00FB4E26"/>
    <w:rsid w:val="00FB583C"/>
    <w:rsid w:val="00FB630E"/>
    <w:rsid w:val="00FB66DD"/>
    <w:rsid w:val="00FB6738"/>
    <w:rsid w:val="00FB691B"/>
    <w:rsid w:val="00FB6AA4"/>
    <w:rsid w:val="00FB6BE6"/>
    <w:rsid w:val="00FB731C"/>
    <w:rsid w:val="00FB7628"/>
    <w:rsid w:val="00FB7F2C"/>
    <w:rsid w:val="00FC05A0"/>
    <w:rsid w:val="00FC0811"/>
    <w:rsid w:val="00FC09B3"/>
    <w:rsid w:val="00FC0AFF"/>
    <w:rsid w:val="00FC1196"/>
    <w:rsid w:val="00FC15EB"/>
    <w:rsid w:val="00FC162C"/>
    <w:rsid w:val="00FC18DC"/>
    <w:rsid w:val="00FC2477"/>
    <w:rsid w:val="00FC2AC4"/>
    <w:rsid w:val="00FC2F73"/>
    <w:rsid w:val="00FC3216"/>
    <w:rsid w:val="00FC3A9B"/>
    <w:rsid w:val="00FC3AE1"/>
    <w:rsid w:val="00FC3DFC"/>
    <w:rsid w:val="00FC3EAA"/>
    <w:rsid w:val="00FC3EF4"/>
    <w:rsid w:val="00FC431B"/>
    <w:rsid w:val="00FC434C"/>
    <w:rsid w:val="00FC472C"/>
    <w:rsid w:val="00FC4FDF"/>
    <w:rsid w:val="00FC56C7"/>
    <w:rsid w:val="00FC5CF4"/>
    <w:rsid w:val="00FC5D64"/>
    <w:rsid w:val="00FC6A39"/>
    <w:rsid w:val="00FC6DB9"/>
    <w:rsid w:val="00FC7421"/>
    <w:rsid w:val="00FC76A9"/>
    <w:rsid w:val="00FC79AB"/>
    <w:rsid w:val="00FC7BE7"/>
    <w:rsid w:val="00FC7DAC"/>
    <w:rsid w:val="00FD005D"/>
    <w:rsid w:val="00FD013F"/>
    <w:rsid w:val="00FD04AE"/>
    <w:rsid w:val="00FD0DFA"/>
    <w:rsid w:val="00FD1854"/>
    <w:rsid w:val="00FD1890"/>
    <w:rsid w:val="00FD1994"/>
    <w:rsid w:val="00FD3508"/>
    <w:rsid w:val="00FD393C"/>
    <w:rsid w:val="00FD3AFF"/>
    <w:rsid w:val="00FD43BB"/>
    <w:rsid w:val="00FD47F6"/>
    <w:rsid w:val="00FD4AF3"/>
    <w:rsid w:val="00FD4B22"/>
    <w:rsid w:val="00FD72B1"/>
    <w:rsid w:val="00FD798D"/>
    <w:rsid w:val="00FE141E"/>
    <w:rsid w:val="00FE144E"/>
    <w:rsid w:val="00FE160C"/>
    <w:rsid w:val="00FE1768"/>
    <w:rsid w:val="00FE1DD5"/>
    <w:rsid w:val="00FE1E72"/>
    <w:rsid w:val="00FE24F4"/>
    <w:rsid w:val="00FE2560"/>
    <w:rsid w:val="00FE2F15"/>
    <w:rsid w:val="00FE35D0"/>
    <w:rsid w:val="00FE3FB7"/>
    <w:rsid w:val="00FE42ED"/>
    <w:rsid w:val="00FE4E06"/>
    <w:rsid w:val="00FE4FFE"/>
    <w:rsid w:val="00FE55A7"/>
    <w:rsid w:val="00FE5C5A"/>
    <w:rsid w:val="00FE6432"/>
    <w:rsid w:val="00FE72A0"/>
    <w:rsid w:val="00FF0050"/>
    <w:rsid w:val="00FF045F"/>
    <w:rsid w:val="00FF13CE"/>
    <w:rsid w:val="00FF13D4"/>
    <w:rsid w:val="00FF2053"/>
    <w:rsid w:val="00FF3B37"/>
    <w:rsid w:val="00FF3CC7"/>
    <w:rsid w:val="00FF3D6F"/>
    <w:rsid w:val="00FF4BD8"/>
    <w:rsid w:val="00FF4D11"/>
    <w:rsid w:val="00FF5214"/>
    <w:rsid w:val="00FF596E"/>
    <w:rsid w:val="00FF5B59"/>
    <w:rsid w:val="00FF5BFD"/>
    <w:rsid w:val="00FF6095"/>
    <w:rsid w:val="00FF62FE"/>
    <w:rsid w:val="00FF6553"/>
    <w:rsid w:val="00FF657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7B5"/>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Sangra2detindependiente2">
    <w:name w:val="Sangría 2 de t. independiente2"/>
    <w:basedOn w:val="Normal"/>
    <w:uiPriority w:val="99"/>
    <w:rsid w:val="00146418"/>
    <w:pPr>
      <w:overflowPunct w:val="0"/>
      <w:autoSpaceDE w:val="0"/>
      <w:autoSpaceDN w:val="0"/>
      <w:adjustRightInd w:val="0"/>
      <w:ind w:left="1418"/>
      <w:jc w:val="both"/>
      <w:textAlignment w:val="baseline"/>
    </w:pPr>
    <w:rPr>
      <w:rFonts w:ascii="Arial" w:hAnsi="Arial"/>
      <w:szCs w:val="20"/>
      <w:lang w:val="es-ES" w:eastAsia="es-ES"/>
    </w:rPr>
  </w:style>
  <w:style w:type="character" w:customStyle="1" w:styleId="CEDAContenidoCar">
    <w:name w:val="CEDA Contenido Car"/>
    <w:basedOn w:val="Fuentedeprrafopredeter"/>
    <w:link w:val="CEDAContenido"/>
    <w:locked/>
    <w:rsid w:val="00470E92"/>
    <w:rPr>
      <w:rFonts w:ascii="Bookman Old Style" w:hAnsi="Bookman Old Style"/>
    </w:rPr>
  </w:style>
  <w:style w:type="paragraph" w:customStyle="1" w:styleId="CEDAContenido">
    <w:name w:val="CEDA Contenido"/>
    <w:basedOn w:val="Normal"/>
    <w:link w:val="CEDAContenidoCar"/>
    <w:qFormat/>
    <w:rsid w:val="00470E92"/>
    <w:pPr>
      <w:spacing w:line="276" w:lineRule="auto"/>
      <w:jc w:val="both"/>
    </w:pPr>
    <w:rPr>
      <w:rFonts w:ascii="Bookman Old Style" w:eastAsiaTheme="minorHAnsi" w:hAnsi="Bookman Old Style" w:cstheme="minorBidi"/>
      <w:sz w:val="22"/>
      <w:szCs w:val="22"/>
      <w:lang w:eastAsia="en-US"/>
    </w:rPr>
  </w:style>
  <w:style w:type="paragraph" w:styleId="Revisin">
    <w:name w:val="Revision"/>
    <w:hidden/>
    <w:uiPriority w:val="99"/>
    <w:semiHidden/>
    <w:rsid w:val="008675FA"/>
    <w:pPr>
      <w:spacing w:after="0"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4A0DF7"/>
  </w:style>
  <w:style w:type="table" w:customStyle="1" w:styleId="Tablaconcuadrcula2">
    <w:name w:val="Tabla con cuadrícula2"/>
    <w:basedOn w:val="Tablanormal"/>
    <w:next w:val="Tablaconcuadrcula"/>
    <w:uiPriority w:val="59"/>
    <w:rsid w:val="00F00D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63646489">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3377532">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59540112">
      <w:bodyDiv w:val="1"/>
      <w:marLeft w:val="0"/>
      <w:marRight w:val="0"/>
      <w:marTop w:val="0"/>
      <w:marBottom w:val="0"/>
      <w:divBdr>
        <w:top w:val="none" w:sz="0" w:space="0" w:color="auto"/>
        <w:left w:val="none" w:sz="0" w:space="0" w:color="auto"/>
        <w:bottom w:val="none" w:sz="0" w:space="0" w:color="auto"/>
        <w:right w:val="none" w:sz="0" w:space="0" w:color="auto"/>
      </w:divBdr>
    </w:div>
    <w:div w:id="165049908">
      <w:bodyDiv w:val="1"/>
      <w:marLeft w:val="0"/>
      <w:marRight w:val="0"/>
      <w:marTop w:val="0"/>
      <w:marBottom w:val="0"/>
      <w:divBdr>
        <w:top w:val="none" w:sz="0" w:space="0" w:color="auto"/>
        <w:left w:val="none" w:sz="0" w:space="0" w:color="auto"/>
        <w:bottom w:val="none" w:sz="0" w:space="0" w:color="auto"/>
        <w:right w:val="none" w:sz="0" w:space="0" w:color="auto"/>
      </w:divBdr>
      <w:divsChild>
        <w:div w:id="1656226426">
          <w:marLeft w:val="0"/>
          <w:marRight w:val="0"/>
          <w:marTop w:val="0"/>
          <w:marBottom w:val="0"/>
          <w:divBdr>
            <w:top w:val="none" w:sz="0" w:space="0" w:color="auto"/>
            <w:left w:val="none" w:sz="0" w:space="0" w:color="auto"/>
            <w:bottom w:val="none" w:sz="0" w:space="0" w:color="auto"/>
            <w:right w:val="none" w:sz="0" w:space="0" w:color="auto"/>
          </w:divBdr>
          <w:divsChild>
            <w:div w:id="148638913">
              <w:marLeft w:val="0"/>
              <w:marRight w:val="0"/>
              <w:marTop w:val="0"/>
              <w:marBottom w:val="0"/>
              <w:divBdr>
                <w:top w:val="none" w:sz="0" w:space="0" w:color="auto"/>
                <w:left w:val="none" w:sz="0" w:space="0" w:color="auto"/>
                <w:bottom w:val="none" w:sz="0" w:space="0" w:color="auto"/>
                <w:right w:val="none" w:sz="0" w:space="0" w:color="auto"/>
              </w:divBdr>
              <w:divsChild>
                <w:div w:id="712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8232522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3051629">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0959634">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0972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797550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58064703">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5498117">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29993930">
      <w:bodyDiv w:val="1"/>
      <w:marLeft w:val="0"/>
      <w:marRight w:val="0"/>
      <w:marTop w:val="0"/>
      <w:marBottom w:val="0"/>
      <w:divBdr>
        <w:top w:val="none" w:sz="0" w:space="0" w:color="auto"/>
        <w:left w:val="none" w:sz="0" w:space="0" w:color="auto"/>
        <w:bottom w:val="none" w:sz="0" w:space="0" w:color="auto"/>
        <w:right w:val="none" w:sz="0" w:space="0" w:color="auto"/>
      </w:divBdr>
      <w:divsChild>
        <w:div w:id="1991014474">
          <w:marLeft w:val="0"/>
          <w:marRight w:val="0"/>
          <w:marTop w:val="0"/>
          <w:marBottom w:val="0"/>
          <w:divBdr>
            <w:top w:val="none" w:sz="0" w:space="0" w:color="auto"/>
            <w:left w:val="none" w:sz="0" w:space="0" w:color="auto"/>
            <w:bottom w:val="none" w:sz="0" w:space="0" w:color="auto"/>
            <w:right w:val="none" w:sz="0" w:space="0" w:color="auto"/>
          </w:divBdr>
        </w:div>
        <w:div w:id="1703050358">
          <w:marLeft w:val="0"/>
          <w:marRight w:val="0"/>
          <w:marTop w:val="0"/>
          <w:marBottom w:val="0"/>
          <w:divBdr>
            <w:top w:val="none" w:sz="0" w:space="0" w:color="auto"/>
            <w:left w:val="none" w:sz="0" w:space="0" w:color="auto"/>
            <w:bottom w:val="none" w:sz="0" w:space="0" w:color="auto"/>
            <w:right w:val="none" w:sz="0" w:space="0" w:color="auto"/>
          </w:divBdr>
        </w:div>
        <w:div w:id="2033070628">
          <w:marLeft w:val="0"/>
          <w:marRight w:val="0"/>
          <w:marTop w:val="0"/>
          <w:marBottom w:val="0"/>
          <w:divBdr>
            <w:top w:val="none" w:sz="0" w:space="0" w:color="auto"/>
            <w:left w:val="none" w:sz="0" w:space="0" w:color="auto"/>
            <w:bottom w:val="none" w:sz="0" w:space="0" w:color="auto"/>
            <w:right w:val="none" w:sz="0" w:space="0" w:color="auto"/>
          </w:divBdr>
        </w:div>
        <w:div w:id="653530169">
          <w:marLeft w:val="0"/>
          <w:marRight w:val="0"/>
          <w:marTop w:val="0"/>
          <w:marBottom w:val="0"/>
          <w:divBdr>
            <w:top w:val="none" w:sz="0" w:space="0" w:color="auto"/>
            <w:left w:val="none" w:sz="0" w:space="0" w:color="auto"/>
            <w:bottom w:val="none" w:sz="0" w:space="0" w:color="auto"/>
            <w:right w:val="none" w:sz="0" w:space="0" w:color="auto"/>
          </w:divBdr>
        </w:div>
        <w:div w:id="1551259524">
          <w:marLeft w:val="0"/>
          <w:marRight w:val="0"/>
          <w:marTop w:val="0"/>
          <w:marBottom w:val="0"/>
          <w:divBdr>
            <w:top w:val="none" w:sz="0" w:space="0" w:color="auto"/>
            <w:left w:val="none" w:sz="0" w:space="0" w:color="auto"/>
            <w:bottom w:val="none" w:sz="0" w:space="0" w:color="auto"/>
            <w:right w:val="none" w:sz="0" w:space="0" w:color="auto"/>
          </w:divBdr>
        </w:div>
        <w:div w:id="56171032">
          <w:marLeft w:val="0"/>
          <w:marRight w:val="0"/>
          <w:marTop w:val="0"/>
          <w:marBottom w:val="0"/>
          <w:divBdr>
            <w:top w:val="none" w:sz="0" w:space="0" w:color="auto"/>
            <w:left w:val="none" w:sz="0" w:space="0" w:color="auto"/>
            <w:bottom w:val="none" w:sz="0" w:space="0" w:color="auto"/>
            <w:right w:val="none" w:sz="0" w:space="0" w:color="auto"/>
          </w:divBdr>
        </w:div>
        <w:div w:id="733044575">
          <w:marLeft w:val="0"/>
          <w:marRight w:val="0"/>
          <w:marTop w:val="0"/>
          <w:marBottom w:val="0"/>
          <w:divBdr>
            <w:top w:val="none" w:sz="0" w:space="0" w:color="auto"/>
            <w:left w:val="none" w:sz="0" w:space="0" w:color="auto"/>
            <w:bottom w:val="none" w:sz="0" w:space="0" w:color="auto"/>
            <w:right w:val="none" w:sz="0" w:space="0" w:color="auto"/>
          </w:divBdr>
        </w:div>
        <w:div w:id="1428161841">
          <w:marLeft w:val="0"/>
          <w:marRight w:val="0"/>
          <w:marTop w:val="0"/>
          <w:marBottom w:val="0"/>
          <w:divBdr>
            <w:top w:val="none" w:sz="0" w:space="0" w:color="auto"/>
            <w:left w:val="none" w:sz="0" w:space="0" w:color="auto"/>
            <w:bottom w:val="none" w:sz="0" w:space="0" w:color="auto"/>
            <w:right w:val="none" w:sz="0" w:space="0" w:color="auto"/>
          </w:divBdr>
        </w:div>
        <w:div w:id="771978225">
          <w:marLeft w:val="0"/>
          <w:marRight w:val="0"/>
          <w:marTop w:val="0"/>
          <w:marBottom w:val="0"/>
          <w:divBdr>
            <w:top w:val="none" w:sz="0" w:space="0" w:color="auto"/>
            <w:left w:val="none" w:sz="0" w:space="0" w:color="auto"/>
            <w:bottom w:val="none" w:sz="0" w:space="0" w:color="auto"/>
            <w:right w:val="none" w:sz="0" w:space="0" w:color="auto"/>
          </w:divBdr>
        </w:div>
        <w:div w:id="155536421">
          <w:marLeft w:val="0"/>
          <w:marRight w:val="0"/>
          <w:marTop w:val="0"/>
          <w:marBottom w:val="0"/>
          <w:divBdr>
            <w:top w:val="none" w:sz="0" w:space="0" w:color="auto"/>
            <w:left w:val="none" w:sz="0" w:space="0" w:color="auto"/>
            <w:bottom w:val="none" w:sz="0" w:space="0" w:color="auto"/>
            <w:right w:val="none" w:sz="0" w:space="0" w:color="auto"/>
          </w:divBdr>
        </w:div>
        <w:div w:id="1327051773">
          <w:marLeft w:val="0"/>
          <w:marRight w:val="0"/>
          <w:marTop w:val="0"/>
          <w:marBottom w:val="0"/>
          <w:divBdr>
            <w:top w:val="none" w:sz="0" w:space="0" w:color="auto"/>
            <w:left w:val="none" w:sz="0" w:space="0" w:color="auto"/>
            <w:bottom w:val="none" w:sz="0" w:space="0" w:color="auto"/>
            <w:right w:val="none" w:sz="0" w:space="0" w:color="auto"/>
          </w:divBdr>
        </w:div>
        <w:div w:id="9453240">
          <w:marLeft w:val="0"/>
          <w:marRight w:val="0"/>
          <w:marTop w:val="0"/>
          <w:marBottom w:val="0"/>
          <w:divBdr>
            <w:top w:val="none" w:sz="0" w:space="0" w:color="auto"/>
            <w:left w:val="none" w:sz="0" w:space="0" w:color="auto"/>
            <w:bottom w:val="none" w:sz="0" w:space="0" w:color="auto"/>
            <w:right w:val="none" w:sz="0" w:space="0" w:color="auto"/>
          </w:divBdr>
        </w:div>
        <w:div w:id="710613303">
          <w:marLeft w:val="0"/>
          <w:marRight w:val="0"/>
          <w:marTop w:val="0"/>
          <w:marBottom w:val="0"/>
          <w:divBdr>
            <w:top w:val="none" w:sz="0" w:space="0" w:color="auto"/>
            <w:left w:val="none" w:sz="0" w:space="0" w:color="auto"/>
            <w:bottom w:val="none" w:sz="0" w:space="0" w:color="auto"/>
            <w:right w:val="none" w:sz="0" w:space="0" w:color="auto"/>
          </w:divBdr>
        </w:div>
        <w:div w:id="1545873506">
          <w:marLeft w:val="0"/>
          <w:marRight w:val="0"/>
          <w:marTop w:val="0"/>
          <w:marBottom w:val="0"/>
          <w:divBdr>
            <w:top w:val="none" w:sz="0" w:space="0" w:color="auto"/>
            <w:left w:val="none" w:sz="0" w:space="0" w:color="auto"/>
            <w:bottom w:val="none" w:sz="0" w:space="0" w:color="auto"/>
            <w:right w:val="none" w:sz="0" w:space="0" w:color="auto"/>
          </w:divBdr>
        </w:div>
        <w:div w:id="1522091375">
          <w:marLeft w:val="0"/>
          <w:marRight w:val="0"/>
          <w:marTop w:val="0"/>
          <w:marBottom w:val="0"/>
          <w:divBdr>
            <w:top w:val="none" w:sz="0" w:space="0" w:color="auto"/>
            <w:left w:val="none" w:sz="0" w:space="0" w:color="auto"/>
            <w:bottom w:val="none" w:sz="0" w:space="0" w:color="auto"/>
            <w:right w:val="none" w:sz="0" w:space="0" w:color="auto"/>
          </w:divBdr>
        </w:div>
        <w:div w:id="1227493313">
          <w:marLeft w:val="0"/>
          <w:marRight w:val="0"/>
          <w:marTop w:val="0"/>
          <w:marBottom w:val="0"/>
          <w:divBdr>
            <w:top w:val="none" w:sz="0" w:space="0" w:color="auto"/>
            <w:left w:val="none" w:sz="0" w:space="0" w:color="auto"/>
            <w:bottom w:val="none" w:sz="0" w:space="0" w:color="auto"/>
            <w:right w:val="none" w:sz="0" w:space="0" w:color="auto"/>
          </w:divBdr>
        </w:div>
        <w:div w:id="1535339392">
          <w:marLeft w:val="0"/>
          <w:marRight w:val="0"/>
          <w:marTop w:val="0"/>
          <w:marBottom w:val="0"/>
          <w:divBdr>
            <w:top w:val="none" w:sz="0" w:space="0" w:color="auto"/>
            <w:left w:val="none" w:sz="0" w:space="0" w:color="auto"/>
            <w:bottom w:val="none" w:sz="0" w:space="0" w:color="auto"/>
            <w:right w:val="none" w:sz="0" w:space="0" w:color="auto"/>
          </w:divBdr>
        </w:div>
        <w:div w:id="1043746200">
          <w:marLeft w:val="0"/>
          <w:marRight w:val="0"/>
          <w:marTop w:val="0"/>
          <w:marBottom w:val="0"/>
          <w:divBdr>
            <w:top w:val="none" w:sz="0" w:space="0" w:color="auto"/>
            <w:left w:val="none" w:sz="0" w:space="0" w:color="auto"/>
            <w:bottom w:val="none" w:sz="0" w:space="0" w:color="auto"/>
            <w:right w:val="none" w:sz="0" w:space="0" w:color="auto"/>
          </w:divBdr>
        </w:div>
        <w:div w:id="1709842254">
          <w:marLeft w:val="0"/>
          <w:marRight w:val="0"/>
          <w:marTop w:val="0"/>
          <w:marBottom w:val="0"/>
          <w:divBdr>
            <w:top w:val="none" w:sz="0" w:space="0" w:color="auto"/>
            <w:left w:val="none" w:sz="0" w:space="0" w:color="auto"/>
            <w:bottom w:val="none" w:sz="0" w:space="0" w:color="auto"/>
            <w:right w:val="none" w:sz="0" w:space="0" w:color="auto"/>
          </w:divBdr>
        </w:div>
        <w:div w:id="29112469">
          <w:marLeft w:val="0"/>
          <w:marRight w:val="0"/>
          <w:marTop w:val="0"/>
          <w:marBottom w:val="0"/>
          <w:divBdr>
            <w:top w:val="none" w:sz="0" w:space="0" w:color="auto"/>
            <w:left w:val="none" w:sz="0" w:space="0" w:color="auto"/>
            <w:bottom w:val="none" w:sz="0" w:space="0" w:color="auto"/>
            <w:right w:val="none" w:sz="0" w:space="0" w:color="auto"/>
          </w:divBdr>
        </w:div>
        <w:div w:id="1404110700">
          <w:marLeft w:val="0"/>
          <w:marRight w:val="0"/>
          <w:marTop w:val="0"/>
          <w:marBottom w:val="0"/>
          <w:divBdr>
            <w:top w:val="none" w:sz="0" w:space="0" w:color="auto"/>
            <w:left w:val="none" w:sz="0" w:space="0" w:color="auto"/>
            <w:bottom w:val="none" w:sz="0" w:space="0" w:color="auto"/>
            <w:right w:val="none" w:sz="0" w:space="0" w:color="auto"/>
          </w:divBdr>
        </w:div>
      </w:divsChild>
    </w:div>
    <w:div w:id="1034961633">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0005402">
      <w:bodyDiv w:val="1"/>
      <w:marLeft w:val="0"/>
      <w:marRight w:val="0"/>
      <w:marTop w:val="0"/>
      <w:marBottom w:val="0"/>
      <w:divBdr>
        <w:top w:val="none" w:sz="0" w:space="0" w:color="auto"/>
        <w:left w:val="none" w:sz="0" w:space="0" w:color="auto"/>
        <w:bottom w:val="none" w:sz="0" w:space="0" w:color="auto"/>
        <w:right w:val="none" w:sz="0" w:space="0" w:color="auto"/>
      </w:divBdr>
    </w:div>
    <w:div w:id="1112481275">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169294">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79611762">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552907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63261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1369992">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1976763">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8783605">
      <w:bodyDiv w:val="1"/>
      <w:marLeft w:val="0"/>
      <w:marRight w:val="0"/>
      <w:marTop w:val="0"/>
      <w:marBottom w:val="0"/>
      <w:divBdr>
        <w:top w:val="none" w:sz="0" w:space="0" w:color="auto"/>
        <w:left w:val="none" w:sz="0" w:space="0" w:color="auto"/>
        <w:bottom w:val="none" w:sz="0" w:space="0" w:color="auto"/>
        <w:right w:val="none" w:sz="0" w:space="0" w:color="auto"/>
      </w:divBdr>
      <w:divsChild>
        <w:div w:id="144781512">
          <w:marLeft w:val="0"/>
          <w:marRight w:val="0"/>
          <w:marTop w:val="0"/>
          <w:marBottom w:val="0"/>
          <w:divBdr>
            <w:top w:val="none" w:sz="0" w:space="0" w:color="auto"/>
            <w:left w:val="none" w:sz="0" w:space="0" w:color="auto"/>
            <w:bottom w:val="none" w:sz="0" w:space="0" w:color="auto"/>
            <w:right w:val="none" w:sz="0" w:space="0" w:color="auto"/>
          </w:divBdr>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6467">
      <w:bodyDiv w:val="1"/>
      <w:marLeft w:val="0"/>
      <w:marRight w:val="0"/>
      <w:marTop w:val="0"/>
      <w:marBottom w:val="0"/>
      <w:divBdr>
        <w:top w:val="none" w:sz="0" w:space="0" w:color="auto"/>
        <w:left w:val="none" w:sz="0" w:space="0" w:color="auto"/>
        <w:bottom w:val="none" w:sz="0" w:space="0" w:color="auto"/>
        <w:right w:val="none" w:sz="0" w:space="0" w:color="auto"/>
      </w:divBdr>
    </w:div>
    <w:div w:id="1836918185">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3664025">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98831">
      <w:bodyDiv w:val="1"/>
      <w:marLeft w:val="0"/>
      <w:marRight w:val="0"/>
      <w:marTop w:val="0"/>
      <w:marBottom w:val="0"/>
      <w:divBdr>
        <w:top w:val="none" w:sz="0" w:space="0" w:color="auto"/>
        <w:left w:val="none" w:sz="0" w:space="0" w:color="auto"/>
        <w:bottom w:val="none" w:sz="0" w:space="0" w:color="auto"/>
        <w:right w:val="none" w:sz="0" w:space="0" w:color="auto"/>
      </w:divBdr>
      <w:divsChild>
        <w:div w:id="768351494">
          <w:marLeft w:val="0"/>
          <w:marRight w:val="0"/>
          <w:marTop w:val="0"/>
          <w:marBottom w:val="0"/>
          <w:divBdr>
            <w:top w:val="none" w:sz="0" w:space="0" w:color="auto"/>
            <w:left w:val="none" w:sz="0" w:space="0" w:color="auto"/>
            <w:bottom w:val="none" w:sz="0" w:space="0" w:color="auto"/>
            <w:right w:val="none" w:sz="0" w:space="0" w:color="auto"/>
          </w:divBdr>
        </w:div>
        <w:div w:id="40322702">
          <w:marLeft w:val="0"/>
          <w:marRight w:val="0"/>
          <w:marTop w:val="0"/>
          <w:marBottom w:val="0"/>
          <w:divBdr>
            <w:top w:val="none" w:sz="0" w:space="0" w:color="auto"/>
            <w:left w:val="none" w:sz="0" w:space="0" w:color="auto"/>
            <w:bottom w:val="none" w:sz="0" w:space="0" w:color="auto"/>
            <w:right w:val="none" w:sz="0" w:space="0" w:color="auto"/>
          </w:divBdr>
        </w:div>
        <w:div w:id="1297222678">
          <w:marLeft w:val="0"/>
          <w:marRight w:val="0"/>
          <w:marTop w:val="0"/>
          <w:marBottom w:val="0"/>
          <w:divBdr>
            <w:top w:val="none" w:sz="0" w:space="0" w:color="auto"/>
            <w:left w:val="none" w:sz="0" w:space="0" w:color="auto"/>
            <w:bottom w:val="none" w:sz="0" w:space="0" w:color="auto"/>
            <w:right w:val="none" w:sz="0" w:space="0" w:color="auto"/>
          </w:divBdr>
        </w:div>
        <w:div w:id="637102695">
          <w:marLeft w:val="0"/>
          <w:marRight w:val="0"/>
          <w:marTop w:val="0"/>
          <w:marBottom w:val="0"/>
          <w:divBdr>
            <w:top w:val="none" w:sz="0" w:space="0" w:color="auto"/>
            <w:left w:val="none" w:sz="0" w:space="0" w:color="auto"/>
            <w:bottom w:val="none" w:sz="0" w:space="0" w:color="auto"/>
            <w:right w:val="none" w:sz="0" w:space="0" w:color="auto"/>
          </w:divBdr>
        </w:div>
        <w:div w:id="189803570">
          <w:marLeft w:val="0"/>
          <w:marRight w:val="0"/>
          <w:marTop w:val="0"/>
          <w:marBottom w:val="0"/>
          <w:divBdr>
            <w:top w:val="none" w:sz="0" w:space="0" w:color="auto"/>
            <w:left w:val="none" w:sz="0" w:space="0" w:color="auto"/>
            <w:bottom w:val="none" w:sz="0" w:space="0" w:color="auto"/>
            <w:right w:val="none" w:sz="0" w:space="0" w:color="auto"/>
          </w:divBdr>
        </w:div>
        <w:div w:id="2139103741">
          <w:marLeft w:val="0"/>
          <w:marRight w:val="0"/>
          <w:marTop w:val="0"/>
          <w:marBottom w:val="0"/>
          <w:divBdr>
            <w:top w:val="none" w:sz="0" w:space="0" w:color="auto"/>
            <w:left w:val="none" w:sz="0" w:space="0" w:color="auto"/>
            <w:bottom w:val="none" w:sz="0" w:space="0" w:color="auto"/>
            <w:right w:val="none" w:sz="0" w:space="0" w:color="auto"/>
          </w:divBdr>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6586429">
      <w:bodyDiv w:val="1"/>
      <w:marLeft w:val="0"/>
      <w:marRight w:val="0"/>
      <w:marTop w:val="0"/>
      <w:marBottom w:val="0"/>
      <w:divBdr>
        <w:top w:val="none" w:sz="0" w:space="0" w:color="auto"/>
        <w:left w:val="none" w:sz="0" w:space="0" w:color="auto"/>
        <w:bottom w:val="none" w:sz="0" w:space="0" w:color="auto"/>
        <w:right w:val="none" w:sz="0" w:space="0" w:color="auto"/>
      </w:divBdr>
      <w:divsChild>
        <w:div w:id="245185707">
          <w:blockQuote w:val="1"/>
          <w:marLeft w:val="75"/>
          <w:marRight w:val="720"/>
          <w:marTop w:val="100"/>
          <w:marBottom w:val="100"/>
          <w:divBdr>
            <w:top w:val="none" w:sz="0" w:space="0" w:color="auto"/>
            <w:left w:val="single" w:sz="12" w:space="4" w:color="144FAE"/>
            <w:bottom w:val="none" w:sz="0" w:space="0" w:color="auto"/>
            <w:right w:val="none" w:sz="0" w:space="0" w:color="auto"/>
          </w:divBdr>
          <w:divsChild>
            <w:div w:id="1823423683">
              <w:marLeft w:val="0"/>
              <w:marRight w:val="0"/>
              <w:marTop w:val="0"/>
              <w:marBottom w:val="0"/>
              <w:divBdr>
                <w:top w:val="none" w:sz="0" w:space="0" w:color="auto"/>
                <w:left w:val="none" w:sz="0" w:space="0" w:color="auto"/>
                <w:bottom w:val="none" w:sz="0" w:space="0" w:color="auto"/>
                <w:right w:val="none" w:sz="0" w:space="0" w:color="auto"/>
              </w:divBdr>
              <w:divsChild>
                <w:div w:id="161848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896349">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F162E674-775B-4163-BE17-089FCA92FBB2}">
  <ds:schemaRefs>
    <ds:schemaRef ds:uri="http://schemas.openxmlformats.org/officeDocument/2006/bibliography"/>
  </ds:schemaRefs>
</ds:datastoreItem>
</file>

<file path=customXml/itemProps2.xml><?xml version="1.0" encoding="utf-8"?>
<ds:datastoreItem xmlns:ds="http://schemas.openxmlformats.org/officeDocument/2006/customXml" ds:itemID="{CC3B4DCC-372E-4C5B-A044-CC89BB0F0A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52</TotalTime>
  <Pages>1</Pages>
  <Words>12234</Words>
  <Characters>67287</Characters>
  <Application>Microsoft Office Word</Application>
  <DocSecurity>0</DocSecurity>
  <Lines>560</Lines>
  <Paragraphs>158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79363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Colombia Compra Eficiente</cp:lastModifiedBy>
  <cp:revision>20</cp:revision>
  <cp:lastPrinted>2021-08-27T20:19:00Z</cp:lastPrinted>
  <dcterms:created xsi:type="dcterms:W3CDTF">2022-01-03T23:03:00Z</dcterms:created>
  <dcterms:modified xsi:type="dcterms:W3CDTF">2022-02-16T15:58:00Z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