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40B5" w14:textId="77777777" w:rsidR="0087031A" w:rsidRDefault="0087031A" w:rsidP="0087031A">
      <w:pPr>
        <w:spacing w:after="0" w:line="240" w:lineRule="auto"/>
        <w:contextualSpacing/>
        <w:jc w:val="both"/>
        <w:rPr>
          <w:rFonts w:ascii="Verdana" w:eastAsia="Calibri" w:hAnsi="Verdana" w:cs="Arial"/>
          <w:b/>
          <w:noProof/>
          <w:lang w:val="es-ES_tradnl" w:eastAsia="es-ES_tradnl"/>
        </w:rPr>
      </w:pPr>
      <w:bookmarkStart w:id="0" w:name="_Hlk181166130"/>
      <w:bookmarkStart w:id="1" w:name="_Hlk143780582"/>
    </w:p>
    <w:p w14:paraId="6A09A0C1" w14:textId="77777777" w:rsidR="00DD5FB0" w:rsidRPr="003D455F" w:rsidRDefault="00DD5FB0" w:rsidP="00DD5FB0">
      <w:pPr>
        <w:spacing w:after="0" w:line="240" w:lineRule="auto"/>
        <w:jc w:val="both"/>
        <w:rPr>
          <w:rFonts w:ascii="Verdana" w:eastAsia="Calibri" w:hAnsi="Verdana" w:cs="Arial"/>
          <w:b/>
          <w:bCs/>
          <w:color w:val="000000" w:themeColor="text1"/>
          <w:lang w:val="es-ES_tradnl"/>
        </w:rPr>
      </w:pPr>
      <w:r w:rsidRPr="003D455F">
        <w:rPr>
          <w:rFonts w:ascii="Verdana" w:eastAsia="Calibri" w:hAnsi="Verdana" w:cs="Arial"/>
          <w:b/>
          <w:bCs/>
          <w:color w:val="000000" w:themeColor="text1"/>
          <w:lang w:val="es-ES_tradnl"/>
        </w:rPr>
        <w:t xml:space="preserve">RÉGIMEN DE INHABILIDADES E INCOMPATIBILIDADES </w:t>
      </w:r>
      <w:r w:rsidRPr="003D455F">
        <w:rPr>
          <w:rFonts w:ascii="Verdana" w:eastAsia="Calibri" w:hAnsi="Verdana" w:cs="Arial"/>
          <w:b/>
          <w:color w:val="000000" w:themeColor="text1"/>
        </w:rPr>
        <w:t>–</w:t>
      </w:r>
      <w:r w:rsidRPr="003D455F">
        <w:rPr>
          <w:rFonts w:ascii="Verdana" w:eastAsia="Calibri" w:hAnsi="Verdana" w:cs="Arial"/>
          <w:b/>
          <w:bCs/>
          <w:color w:val="000000" w:themeColor="text1"/>
          <w:lang w:val="es-ES_tradnl"/>
        </w:rPr>
        <w:t xml:space="preserve"> Concepto </w:t>
      </w:r>
      <w:r w:rsidRPr="003D455F">
        <w:rPr>
          <w:rFonts w:ascii="Verdana" w:eastAsia="Calibri" w:hAnsi="Verdana" w:cs="Arial"/>
          <w:b/>
          <w:color w:val="000000" w:themeColor="text1"/>
        </w:rPr>
        <w:t>–</w:t>
      </w:r>
      <w:r w:rsidRPr="003D455F">
        <w:rPr>
          <w:rFonts w:ascii="Verdana" w:eastAsia="Calibri" w:hAnsi="Verdana" w:cs="Arial"/>
          <w:b/>
          <w:bCs/>
          <w:color w:val="000000" w:themeColor="text1"/>
          <w:lang w:val="es-ES_tradnl"/>
        </w:rPr>
        <w:t xml:space="preserve"> Principio de legalidad</w:t>
      </w:r>
    </w:p>
    <w:p w14:paraId="0E690ECB" w14:textId="77777777" w:rsidR="00DD5FB0" w:rsidRPr="003D455F" w:rsidRDefault="00DD5FB0" w:rsidP="00DD5FB0">
      <w:pPr>
        <w:spacing w:after="0" w:line="240" w:lineRule="auto"/>
        <w:jc w:val="both"/>
        <w:rPr>
          <w:rFonts w:ascii="Verdana" w:eastAsia="Calibri" w:hAnsi="Verdana" w:cs="Arial"/>
          <w:b/>
          <w:bCs/>
          <w:color w:val="000000" w:themeColor="text1"/>
          <w:lang w:val="es-ES_tradnl"/>
        </w:rPr>
      </w:pPr>
    </w:p>
    <w:p w14:paraId="6F692CD4" w14:textId="77777777" w:rsidR="00DD5FB0" w:rsidRPr="00DD5FB0" w:rsidRDefault="00DD5FB0" w:rsidP="00DD5FB0">
      <w:pPr>
        <w:spacing w:after="0" w:line="240" w:lineRule="auto"/>
        <w:jc w:val="both"/>
        <w:rPr>
          <w:rFonts w:ascii="Verdana" w:eastAsia="Calibri" w:hAnsi="Verdana" w:cs="Arial"/>
          <w:color w:val="000000" w:themeColor="text1"/>
          <w:sz w:val="20"/>
          <w:szCs w:val="20"/>
          <w:lang w:val="es-ES"/>
        </w:rPr>
      </w:pPr>
      <w:r w:rsidRPr="00DD5FB0">
        <w:rPr>
          <w:rFonts w:ascii="Verdana" w:eastAsia="Calibri" w:hAnsi="Verdana" w:cs="Arial"/>
          <w:color w:val="000000" w:themeColor="text1"/>
          <w:sz w:val="20"/>
          <w:szCs w:val="20"/>
          <w:lang w:val="es-ES"/>
        </w:rPr>
        <w:t>El régimen de inhabilidades e incompatibilidades en la contratación pública responde al propósito de asegurar que la actividad de adquisición y provisión de bienes y servicios por parte de las entidades estatales se efectúe cumpliendo con los principios de la función administrativa y de la gestión fiscal, especialmente con probidad y transparencia. Por ello, como lo ha destacado la doctrina, las inhabilidades e incompatibilidades se han convertido en herramientas en la lucha contra la corrupción, adoptando paulatinamente un carácter sancionatorio o “neopunitivo”.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30E9ABDD" w14:textId="77777777" w:rsidR="00DD5FB0" w:rsidRPr="003D455F" w:rsidRDefault="00DD5FB0" w:rsidP="00DD5FB0">
      <w:pPr>
        <w:spacing w:after="0" w:line="240" w:lineRule="auto"/>
        <w:jc w:val="both"/>
        <w:rPr>
          <w:rFonts w:ascii="Verdana" w:eastAsia="Calibri" w:hAnsi="Verdana" w:cs="Arial"/>
          <w:color w:val="000000" w:themeColor="text1"/>
          <w:lang w:val="es-ES_tradnl"/>
        </w:rPr>
      </w:pPr>
    </w:p>
    <w:p w14:paraId="0F731807" w14:textId="77777777" w:rsidR="00DD5FB0" w:rsidRPr="003D455F" w:rsidRDefault="00DD5FB0" w:rsidP="00DD5FB0">
      <w:pPr>
        <w:spacing w:after="0" w:line="240" w:lineRule="auto"/>
        <w:jc w:val="both"/>
        <w:rPr>
          <w:rFonts w:ascii="Verdana" w:eastAsia="Calibri" w:hAnsi="Verdana" w:cs="Arial"/>
          <w:b/>
          <w:bCs/>
          <w:color w:val="000000" w:themeColor="text1"/>
          <w:lang w:val="es-ES_tradnl"/>
        </w:rPr>
      </w:pPr>
      <w:r w:rsidRPr="003D455F">
        <w:rPr>
          <w:rFonts w:ascii="Verdana" w:eastAsia="Calibri" w:hAnsi="Verdana" w:cs="Arial"/>
          <w:b/>
          <w:bCs/>
          <w:color w:val="000000" w:themeColor="text1"/>
          <w:lang w:val="es-ES_tradnl"/>
        </w:rPr>
        <w:t>INHABILIDADES E INCOMPATIBILIDADES ― Interpretación restrictiva</w:t>
      </w:r>
    </w:p>
    <w:p w14:paraId="4D6D76BF" w14:textId="77777777" w:rsidR="00DD5FB0" w:rsidRPr="003D455F" w:rsidRDefault="00DD5FB0" w:rsidP="00DD5FB0">
      <w:pPr>
        <w:spacing w:after="0" w:line="240" w:lineRule="auto"/>
        <w:jc w:val="both"/>
        <w:rPr>
          <w:rFonts w:ascii="Verdana" w:eastAsia="Calibri" w:hAnsi="Verdana" w:cs="Arial"/>
          <w:color w:val="000000" w:themeColor="text1"/>
          <w:lang w:val="es-ES_tradnl"/>
        </w:rPr>
      </w:pPr>
    </w:p>
    <w:p w14:paraId="7B714BAF" w14:textId="77777777" w:rsidR="00DD5FB0" w:rsidRPr="00DD5FB0" w:rsidRDefault="00DD5FB0" w:rsidP="00DD5FB0">
      <w:pPr>
        <w:spacing w:after="0" w:line="240" w:lineRule="auto"/>
        <w:jc w:val="both"/>
        <w:rPr>
          <w:rFonts w:ascii="Verdana" w:eastAsia="Calibri" w:hAnsi="Verdana" w:cs="Arial"/>
          <w:color w:val="000000" w:themeColor="text1"/>
          <w:sz w:val="20"/>
          <w:szCs w:val="20"/>
          <w:lang w:val="es-ES_tradnl"/>
        </w:rPr>
      </w:pPr>
      <w:r w:rsidRPr="00DD5FB0">
        <w:rPr>
          <w:rFonts w:ascii="Verdana" w:eastAsia="Calibri" w:hAnsi="Verdana" w:cs="Arial"/>
          <w:color w:val="000000" w:themeColor="text1"/>
          <w:sz w:val="20"/>
          <w:szCs w:val="20"/>
          <w:lang w:val="es-ES_tradnl"/>
        </w:rPr>
        <w:t>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447171A9" w14:textId="77777777" w:rsidR="00DD5FB0" w:rsidRPr="00DD5FB0" w:rsidRDefault="00DD5FB0" w:rsidP="00DD5FB0">
      <w:pPr>
        <w:spacing w:after="0" w:line="240" w:lineRule="auto"/>
        <w:jc w:val="both"/>
        <w:rPr>
          <w:rFonts w:ascii="Verdana" w:eastAsia="Calibri" w:hAnsi="Verdana" w:cs="Arial"/>
          <w:color w:val="000000" w:themeColor="text1"/>
          <w:sz w:val="20"/>
          <w:szCs w:val="20"/>
          <w:lang w:val="es-ES_tradnl"/>
        </w:rPr>
      </w:pPr>
      <w:r w:rsidRPr="00DD5FB0">
        <w:rPr>
          <w:rFonts w:ascii="Verdana" w:eastAsia="Calibri" w:hAnsi="Verdana" w:cs="Arial"/>
          <w:color w:val="000000" w:themeColor="text1"/>
          <w:sz w:val="20"/>
          <w:szCs w:val="20"/>
          <w:lang w:val="es-ES_tradnl"/>
        </w:rPr>
        <w:t>(…)</w:t>
      </w:r>
    </w:p>
    <w:p w14:paraId="4F222840" w14:textId="77777777" w:rsidR="00DD5FB0" w:rsidRPr="00DD5FB0" w:rsidRDefault="00DD5FB0" w:rsidP="00DD5FB0">
      <w:pPr>
        <w:spacing w:after="0" w:line="240" w:lineRule="auto"/>
        <w:jc w:val="both"/>
        <w:rPr>
          <w:rFonts w:ascii="Verdana" w:eastAsia="Calibri" w:hAnsi="Verdana" w:cs="Arial"/>
          <w:color w:val="000000" w:themeColor="text1"/>
          <w:sz w:val="20"/>
          <w:szCs w:val="20"/>
          <w:lang w:val="es-ES"/>
        </w:rPr>
      </w:pPr>
      <w:r w:rsidRPr="00DD5FB0">
        <w:rPr>
          <w:rFonts w:ascii="Verdana" w:eastAsia="Calibri" w:hAnsi="Verdana" w:cs="Arial"/>
          <w:color w:val="000000" w:themeColor="text1"/>
          <w:sz w:val="20"/>
          <w:szCs w:val="20"/>
          <w:lang w:val="es-ES"/>
        </w:rPr>
        <w:t xml:space="preserve">Como se aprecia, el principio </w:t>
      </w:r>
      <w:r w:rsidRPr="00DD5FB0">
        <w:rPr>
          <w:rFonts w:ascii="Verdana" w:eastAsia="Calibri" w:hAnsi="Verdana" w:cs="Arial"/>
          <w:i/>
          <w:iCs/>
          <w:color w:val="000000" w:themeColor="text1"/>
          <w:sz w:val="20"/>
          <w:szCs w:val="20"/>
          <w:lang w:val="es-ES"/>
        </w:rPr>
        <w:t>pro libertate</w:t>
      </w:r>
      <w:r w:rsidRPr="00DD5FB0">
        <w:rPr>
          <w:rFonts w:ascii="Verdana" w:eastAsia="Calibri" w:hAnsi="Verdana" w:cs="Arial"/>
          <w:color w:val="000000" w:themeColor="text1"/>
          <w:sz w:val="20"/>
          <w:szCs w:val="20"/>
          <w:lang w:val="es-ES"/>
        </w:rPr>
        <w:t xml:space="preserve"> es el que debe dirigir la interpretación de las disposiciones normativas que consagran restricciones de derechos, como sucede con las causales de inhabilidad e incompatibilidad en la contratación estatal. </w:t>
      </w:r>
    </w:p>
    <w:p w14:paraId="6C6F0081" w14:textId="77777777" w:rsidR="00DD5FB0" w:rsidRPr="003D455F" w:rsidRDefault="00DD5FB0" w:rsidP="00DD5FB0">
      <w:pPr>
        <w:spacing w:after="0" w:line="240" w:lineRule="auto"/>
        <w:jc w:val="both"/>
        <w:rPr>
          <w:rFonts w:ascii="Verdana" w:eastAsia="Calibri" w:hAnsi="Verdana" w:cs="Arial"/>
          <w:color w:val="000000" w:themeColor="text1"/>
          <w:lang w:val="es-ES_tradnl"/>
        </w:rPr>
      </w:pPr>
    </w:p>
    <w:p w14:paraId="57400E2F" w14:textId="11B72D40" w:rsidR="00DD5FB0" w:rsidRDefault="00DD5FB0" w:rsidP="00DD5FB0">
      <w:pPr>
        <w:spacing w:after="0" w:line="240" w:lineRule="auto"/>
        <w:jc w:val="both"/>
        <w:rPr>
          <w:rFonts w:ascii="Verdana" w:eastAsia="Calibri" w:hAnsi="Verdana" w:cs="Arial"/>
          <w:b/>
          <w:bCs/>
        </w:rPr>
      </w:pPr>
      <w:r w:rsidRPr="003D455F">
        <w:rPr>
          <w:rFonts w:ascii="Verdana" w:eastAsia="Calibri" w:hAnsi="Verdana" w:cs="Arial"/>
          <w:b/>
          <w:bCs/>
          <w:lang w:val="es-ES_tradnl"/>
        </w:rPr>
        <w:t xml:space="preserve">PROHIBICIÓN PARA EXSERVIDORES PÚBLICOS – </w:t>
      </w:r>
      <w:r w:rsidRPr="00DD5FB0">
        <w:rPr>
          <w:rFonts w:ascii="Verdana" w:eastAsia="Calibri" w:hAnsi="Verdana" w:cs="Arial"/>
          <w:b/>
          <w:bCs/>
        </w:rPr>
        <w:t>literal a) del numeral 1° del artículo 43 de la Ley 1952 de 2019</w:t>
      </w:r>
      <w:r>
        <w:rPr>
          <w:rFonts w:ascii="Verdana" w:eastAsia="Calibri" w:hAnsi="Verdana" w:cs="Arial"/>
          <w:b/>
          <w:bCs/>
        </w:rPr>
        <w:t>.</w:t>
      </w:r>
    </w:p>
    <w:p w14:paraId="79FE0017" w14:textId="77777777" w:rsidR="00DD5FB0" w:rsidRPr="003D455F" w:rsidRDefault="00DD5FB0" w:rsidP="00DD5FB0">
      <w:pPr>
        <w:spacing w:after="0" w:line="240" w:lineRule="auto"/>
        <w:jc w:val="both"/>
        <w:rPr>
          <w:rFonts w:ascii="Verdana" w:eastAsia="Calibri" w:hAnsi="Verdana" w:cs="Arial"/>
          <w:b/>
          <w:bCs/>
          <w:lang w:val="es-ES_tradnl"/>
        </w:rPr>
      </w:pPr>
    </w:p>
    <w:p w14:paraId="22027EC5" w14:textId="4A9204F6" w:rsidR="00DD5FB0" w:rsidRPr="00DD5FB0" w:rsidRDefault="00DD5FB0" w:rsidP="00DD5FB0">
      <w:pPr>
        <w:spacing w:after="0" w:line="240" w:lineRule="auto"/>
        <w:jc w:val="both"/>
        <w:rPr>
          <w:rFonts w:ascii="Verdana" w:hAnsi="Verdana" w:cs="Arial"/>
          <w:sz w:val="20"/>
          <w:szCs w:val="20"/>
          <w:lang w:val="es-ES_tradnl" w:eastAsia="es-ES"/>
        </w:rPr>
      </w:pPr>
      <w:r w:rsidRPr="00DD5FB0">
        <w:rPr>
          <w:rFonts w:ascii="Verdana" w:hAnsi="Verdana" w:cs="Arial"/>
          <w:sz w:val="20"/>
          <w:szCs w:val="20"/>
        </w:rPr>
        <w:t xml:space="preserve">[…] </w:t>
      </w:r>
      <w:r w:rsidR="00CD0B4A" w:rsidRPr="00CD0B4A">
        <w:rPr>
          <w:rFonts w:ascii="Verdana" w:hAnsi="Verdana" w:cs="Arial"/>
          <w:sz w:val="20"/>
          <w:szCs w:val="20"/>
        </w:rPr>
        <w:t>El numeral 1 del literal a) del artículo 43 de la Ley 1952 de 2019, prohíbe expresamente que, durante el año siguiente a su retiro, un exservidor público intervenga en la celebración de contratos o en la gestión de negocios con la entidad en la que ejerció funciones, ya sea en nombre propio o de terceros. Esta restricción aplica independientemente de si la persona conoció o no del asunto específico mientras estuvo en el cargo, y busca evitar conflictos de interés y el uso de influencias indebidas</w:t>
      </w:r>
      <w:r w:rsidR="00CD0B4A">
        <w:rPr>
          <w:rFonts w:ascii="Verdana" w:hAnsi="Verdana" w:cs="Arial"/>
          <w:sz w:val="20"/>
          <w:szCs w:val="20"/>
        </w:rPr>
        <w:t>.</w:t>
      </w:r>
    </w:p>
    <w:p w14:paraId="54C60D21"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4CF2825B"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0E7FAEF5"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5367B4EF"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4C951D0D" w14:textId="77777777" w:rsidR="00DD5FB0" w:rsidRPr="003D455F" w:rsidRDefault="00DD5FB0" w:rsidP="00DD5FB0">
      <w:pPr>
        <w:spacing w:after="0" w:line="240" w:lineRule="auto"/>
        <w:jc w:val="both"/>
        <w:rPr>
          <w:rFonts w:ascii="Verdana" w:hAnsi="Verdana" w:cs="Arial"/>
          <w:sz w:val="20"/>
          <w:szCs w:val="20"/>
          <w:lang w:val="es-ES_tradnl" w:eastAsia="es-ES"/>
        </w:rPr>
      </w:pPr>
    </w:p>
    <w:p w14:paraId="61068EFA" w14:textId="2A5252C1" w:rsidR="0087031A" w:rsidRDefault="0087031A" w:rsidP="0087031A">
      <w:pPr>
        <w:spacing w:after="0"/>
        <w:rPr>
          <w:rFonts w:ascii="Verdana" w:hAnsi="Verdana"/>
        </w:rPr>
      </w:pPr>
      <w:r>
        <w:rPr>
          <w:rFonts w:ascii="Verdana" w:hAnsi="Verdana"/>
        </w:rPr>
        <w:lastRenderedPageBreak/>
        <w:t>B</w:t>
      </w:r>
      <w:r w:rsidRPr="0044528D">
        <w:rPr>
          <w:rFonts w:ascii="Verdana" w:hAnsi="Verdana"/>
        </w:rPr>
        <w:t xml:space="preserve">ogotá D.C., </w:t>
      </w:r>
      <w:r w:rsidR="0058416D">
        <w:rPr>
          <w:rFonts w:ascii="Verdana" w:hAnsi="Verdana"/>
        </w:rPr>
        <w:t>14 de julio de 2025</w:t>
      </w:r>
    </w:p>
    <w:p w14:paraId="53A7EAEE" w14:textId="77777777" w:rsidR="0087031A" w:rsidRDefault="0087031A" w:rsidP="0087031A">
      <w:pPr>
        <w:spacing w:after="0"/>
        <w:rPr>
          <w:rFonts w:ascii="Verdana" w:hAnsi="Verdana"/>
        </w:rPr>
      </w:pPr>
      <w:bookmarkStart w:id="2" w:name="_Hlk180638295"/>
      <w:bookmarkEnd w:id="0"/>
    </w:p>
    <w:p w14:paraId="36692D8E" w14:textId="44A608EA" w:rsidR="0058416D" w:rsidRDefault="0058416D" w:rsidP="0058416D">
      <w:pPr>
        <w:spacing w:after="0"/>
        <w:jc w:val="right"/>
        <w:rPr>
          <w:rFonts w:ascii="Verdana" w:hAnsi="Verdana"/>
        </w:rPr>
      </w:pPr>
      <w:r>
        <w:rPr>
          <w:rFonts w:ascii="Verdana" w:hAnsi="Verdana"/>
          <w:noProof/>
        </w:rPr>
        <w:drawing>
          <wp:inline distT="0" distB="0" distL="0" distR="0" wp14:anchorId="54C61853" wp14:editId="6FE1CDEE">
            <wp:extent cx="2305050" cy="533400"/>
            <wp:effectExtent l="0" t="0" r="0" b="0"/>
            <wp:docPr id="7700182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5050" cy="533400"/>
                    </a:xfrm>
                    <a:prstGeom prst="rect">
                      <a:avLst/>
                    </a:prstGeom>
                    <a:noFill/>
                    <a:ln>
                      <a:noFill/>
                    </a:ln>
                  </pic:spPr>
                </pic:pic>
              </a:graphicData>
            </a:graphic>
          </wp:inline>
        </w:drawing>
      </w:r>
    </w:p>
    <w:p w14:paraId="7A41CD3D" w14:textId="77777777" w:rsidR="0058416D" w:rsidRDefault="0058416D" w:rsidP="0087031A">
      <w:pPr>
        <w:spacing w:after="0"/>
        <w:rPr>
          <w:rFonts w:ascii="Verdana" w:hAnsi="Verdana"/>
        </w:rPr>
      </w:pPr>
    </w:p>
    <w:p w14:paraId="6CB80055" w14:textId="77777777" w:rsidR="0087031A" w:rsidRDefault="0087031A" w:rsidP="0087031A">
      <w:pPr>
        <w:spacing w:after="0"/>
        <w:rPr>
          <w:rFonts w:ascii="Verdana" w:hAnsi="Verdana"/>
        </w:rPr>
      </w:pPr>
    </w:p>
    <w:p w14:paraId="69F1A09B" w14:textId="77777777" w:rsidR="0087031A" w:rsidRDefault="0087031A" w:rsidP="0087031A">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203E294D" w14:textId="77777777" w:rsidR="00C33DBE" w:rsidRDefault="00C33DBE" w:rsidP="0087031A">
      <w:pPr>
        <w:spacing w:after="0" w:line="240" w:lineRule="auto"/>
        <w:rPr>
          <w:rFonts w:ascii="Verdana" w:eastAsia="Calibri" w:hAnsi="Verdana" w:cs="Arial"/>
          <w:b/>
          <w:bCs/>
          <w:lang w:eastAsia="es-ES"/>
        </w:rPr>
      </w:pPr>
      <w:r w:rsidRPr="00C33DBE">
        <w:rPr>
          <w:rFonts w:ascii="Verdana" w:eastAsia="Calibri" w:hAnsi="Verdana" w:cs="Arial"/>
          <w:b/>
          <w:bCs/>
          <w:lang w:eastAsia="es-ES"/>
        </w:rPr>
        <w:t>CARLOS FERNANDO REYES MORENO</w:t>
      </w:r>
    </w:p>
    <w:p w14:paraId="486334C8" w14:textId="380AB1D8" w:rsidR="0087031A" w:rsidRPr="00C33DBE" w:rsidRDefault="00C33DBE" w:rsidP="0087031A">
      <w:pPr>
        <w:spacing w:after="0" w:line="240" w:lineRule="auto"/>
        <w:rPr>
          <w:rFonts w:ascii="Verdana" w:hAnsi="Verdana"/>
        </w:rPr>
      </w:pPr>
      <w:r w:rsidRPr="00C33DBE">
        <w:rPr>
          <w:rFonts w:ascii="Verdana" w:hAnsi="Verdana"/>
        </w:rPr>
        <w:t>reyesdiazabogados@gmail.com</w:t>
      </w:r>
      <w:r w:rsidR="0087031A" w:rsidRPr="00C33DBE">
        <w:rPr>
          <w:rFonts w:ascii="Verdana" w:hAnsi="Verdana"/>
        </w:rPr>
        <w:t xml:space="preserve"> </w:t>
      </w:r>
    </w:p>
    <w:p w14:paraId="20ECB200" w14:textId="77777777" w:rsidR="0087031A" w:rsidRDefault="0087031A" w:rsidP="0087031A">
      <w:pPr>
        <w:spacing w:after="0" w:line="240" w:lineRule="auto"/>
        <w:rPr>
          <w:rFonts w:ascii="Verdana" w:eastAsia="Calibri" w:hAnsi="Verdana" w:cs="Arial"/>
          <w:color w:val="000000"/>
          <w:lang w:val="es-ES_tradnl" w:eastAsia="es-ES_tradnl"/>
        </w:rPr>
      </w:pPr>
      <w:r w:rsidRPr="00FE3DEC">
        <w:rPr>
          <w:rFonts w:ascii="Verdana" w:eastAsia="Calibri" w:hAnsi="Verdana" w:cs="Arial"/>
          <w:color w:val="000000"/>
          <w:lang w:val="es-ES_tradnl" w:eastAsia="es-ES_tradnl"/>
        </w:rPr>
        <w:t>Bogotá D.C.</w:t>
      </w:r>
    </w:p>
    <w:p w14:paraId="33757F92" w14:textId="77777777" w:rsidR="0087031A" w:rsidRPr="00FE3DEC" w:rsidRDefault="0087031A" w:rsidP="0087031A">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87031A" w:rsidRPr="00593A5F" w14:paraId="28AFEB3E" w14:textId="77777777" w:rsidTr="00580B7F">
        <w:trPr>
          <w:trHeight w:val="884"/>
        </w:trPr>
        <w:tc>
          <w:tcPr>
            <w:tcW w:w="2410" w:type="dxa"/>
          </w:tcPr>
          <w:p w14:paraId="3DABC826" w14:textId="77777777" w:rsidR="0087031A" w:rsidRPr="00E5644F" w:rsidRDefault="0087031A" w:rsidP="00580B7F">
            <w:pPr>
              <w:jc w:val="both"/>
              <w:rPr>
                <w:rFonts w:ascii="Verdana" w:eastAsia="Calibri" w:hAnsi="Verdana" w:cs="Arial"/>
                <w:b/>
                <w:bCs/>
                <w:color w:val="7030A0"/>
                <w:lang w:val="es-ES_tradnl" w:eastAsia="es-ES_tradnl"/>
              </w:rPr>
            </w:pPr>
          </w:p>
        </w:tc>
        <w:tc>
          <w:tcPr>
            <w:tcW w:w="6804" w:type="dxa"/>
            <w:gridSpan w:val="2"/>
          </w:tcPr>
          <w:p w14:paraId="022A37EB" w14:textId="4FEF8787" w:rsidR="0087031A" w:rsidRPr="00E5644F" w:rsidRDefault="0087031A" w:rsidP="00580B7F">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C33DBE" w:rsidRPr="189D7DFF">
              <w:rPr>
                <w:rFonts w:ascii="Verdana" w:eastAsia="Calibri" w:hAnsi="Verdana" w:cs="Arial"/>
                <w:b/>
                <w:bCs/>
                <w:lang w:val="es-ES" w:eastAsia="es-ES"/>
              </w:rPr>
              <w:t>70</w:t>
            </w:r>
            <w:r w:rsidR="6325CAC1" w:rsidRPr="189D7DFF">
              <w:rPr>
                <w:rFonts w:ascii="Verdana" w:eastAsia="Calibri" w:hAnsi="Verdana" w:cs="Arial"/>
                <w:b/>
                <w:bCs/>
                <w:lang w:val="es-ES" w:eastAsia="es-ES"/>
              </w:rPr>
              <w:t>1</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87031A" w:rsidRPr="00A52DE7" w14:paraId="38B6D2DC" w14:textId="77777777" w:rsidTr="00580B7F">
        <w:trPr>
          <w:trHeight w:val="884"/>
        </w:trPr>
        <w:tc>
          <w:tcPr>
            <w:tcW w:w="2410" w:type="dxa"/>
          </w:tcPr>
          <w:p w14:paraId="7FE07E31" w14:textId="77777777" w:rsidR="0087031A" w:rsidRPr="00593A5F" w:rsidRDefault="0087031A" w:rsidP="00580B7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3C5D1F28" w14:textId="77777777" w:rsidR="00CD0B4A" w:rsidRDefault="00CD0B4A" w:rsidP="00580B7F">
            <w:pPr>
              <w:jc w:val="both"/>
              <w:rPr>
                <w:rFonts w:ascii="Verdana" w:eastAsia="Times New Roman" w:hAnsi="Verdana" w:cs="Arial"/>
                <w:lang w:eastAsia="es-ES_tradnl"/>
              </w:rPr>
            </w:pPr>
            <w:r w:rsidRPr="003D455F">
              <w:rPr>
                <w:rFonts w:ascii="Verdana" w:eastAsia="Times New Roman" w:hAnsi="Verdana" w:cs="Arial"/>
                <w:lang w:eastAsia="es-ES_tradnl"/>
              </w:rPr>
              <w:t xml:space="preserve">RÉGIMEN DE INHABILIDADES E INCOMPATIBILIDADES – Concepto – Principio de legalidad / INHABILIDADES E INCOMPATIBILIDADES ― Interpretación restrictiva / PROHIBICIÓN PARA EXSERVIDORES PÚBLICOS – </w:t>
            </w:r>
            <w:r w:rsidRPr="00CD0B4A">
              <w:rPr>
                <w:rFonts w:ascii="Verdana" w:eastAsia="Times New Roman" w:hAnsi="Verdana" w:cs="Arial"/>
                <w:lang w:eastAsia="es-ES_tradnl"/>
              </w:rPr>
              <w:t>literal a) del numeral 1° del artículo 43 de la Ley 1952 de 2019</w:t>
            </w:r>
            <w:r>
              <w:rPr>
                <w:rFonts w:ascii="Verdana" w:eastAsia="Times New Roman" w:hAnsi="Verdana" w:cs="Arial"/>
                <w:lang w:eastAsia="es-ES_tradnl"/>
              </w:rPr>
              <w:t>.</w:t>
            </w:r>
          </w:p>
          <w:p w14:paraId="1BF247BD" w14:textId="550CF02C" w:rsidR="00CD0B4A" w:rsidRPr="00A52DE7" w:rsidRDefault="00CD0B4A" w:rsidP="00580B7F">
            <w:pPr>
              <w:jc w:val="both"/>
              <w:rPr>
                <w:rFonts w:ascii="Verdana" w:eastAsia="Calibri" w:hAnsi="Verdana" w:cs="Arial"/>
                <w:b/>
                <w:highlight w:val="yellow"/>
                <w:lang w:val="es-ES" w:eastAsia="es-ES"/>
              </w:rPr>
            </w:pPr>
          </w:p>
        </w:tc>
      </w:tr>
      <w:tr w:rsidR="0087031A" w:rsidRPr="00593A5F" w14:paraId="14D6DDF3" w14:textId="77777777" w:rsidTr="00580B7F">
        <w:tc>
          <w:tcPr>
            <w:tcW w:w="2410" w:type="dxa"/>
          </w:tcPr>
          <w:p w14:paraId="58C41A69" w14:textId="77777777" w:rsidR="0087031A" w:rsidRPr="006730E9" w:rsidRDefault="0087031A" w:rsidP="00580B7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6361BD6" w14:textId="6010AFEB" w:rsidR="0087031A" w:rsidRPr="006730E9" w:rsidRDefault="0087031A" w:rsidP="00580B7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C33DBE" w:rsidRPr="00C33DBE">
              <w:rPr>
                <w:rFonts w:ascii="Verdana" w:eastAsia="Calibri" w:hAnsi="Verdana" w:cs="Arial"/>
                <w:lang w:val="es-ES_tradnl" w:eastAsia="es-ES_tradnl"/>
              </w:rPr>
              <w:t>1-2025-06-03-005384</w:t>
            </w:r>
            <w:r>
              <w:rPr>
                <w:rFonts w:ascii="Verdana" w:eastAsia="Calibri" w:hAnsi="Verdana" w:cs="Arial"/>
                <w:lang w:val="es-ES_tradnl" w:eastAsia="es-ES_tradnl"/>
              </w:rPr>
              <w:t>.</w:t>
            </w:r>
          </w:p>
        </w:tc>
      </w:tr>
      <w:tr w:rsidR="0087031A" w:rsidRPr="00DB23D2" w14:paraId="2A2E2921" w14:textId="77777777" w:rsidTr="00580B7F">
        <w:trPr>
          <w:gridAfter w:val="1"/>
          <w:wAfter w:w="336" w:type="dxa"/>
          <w:trHeight w:val="233"/>
        </w:trPr>
        <w:tc>
          <w:tcPr>
            <w:tcW w:w="8878" w:type="dxa"/>
            <w:gridSpan w:val="2"/>
          </w:tcPr>
          <w:p w14:paraId="120D7AD6" w14:textId="77777777" w:rsidR="0087031A" w:rsidRPr="00DB23D2" w:rsidRDefault="0087031A" w:rsidP="00580B7F">
            <w:pPr>
              <w:spacing w:after="120" w:line="276" w:lineRule="auto"/>
              <w:jc w:val="both"/>
              <w:rPr>
                <w:rFonts w:ascii="Verdana" w:eastAsia="Calibri" w:hAnsi="Verdana" w:cs="Arial"/>
                <w:lang w:val="es-ES_tradnl" w:eastAsia="es-ES"/>
              </w:rPr>
            </w:pPr>
          </w:p>
        </w:tc>
      </w:tr>
    </w:tbl>
    <w:p w14:paraId="47EC921B" w14:textId="665C9C04"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C33DBE">
        <w:rPr>
          <w:rFonts w:ascii="Verdana" w:eastAsia="Calibri" w:hAnsi="Verdana" w:cs="Arial"/>
          <w:lang w:val="es-ES" w:eastAsia="es-ES"/>
        </w:rPr>
        <w:t>Reyes</w:t>
      </w:r>
      <w:r>
        <w:rPr>
          <w:rFonts w:ascii="Verdana" w:eastAsia="Calibri" w:hAnsi="Verdana" w:cs="Arial"/>
          <w:lang w:val="es-ES" w:eastAsia="es-ES"/>
        </w:rPr>
        <w:t>;</w:t>
      </w:r>
    </w:p>
    <w:p w14:paraId="59ADFBB6" w14:textId="77777777" w:rsidR="0087031A" w:rsidRDefault="0087031A" w:rsidP="0087031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29E5029" w14:textId="50AF35DB"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C33DBE">
        <w:rPr>
          <w:rFonts w:ascii="Verdana" w:eastAsia="Calibri" w:hAnsi="Verdana" w:cs="Arial"/>
          <w:lang w:val="es-ES" w:eastAsia="es-ES"/>
        </w:rPr>
        <w:t>03</w:t>
      </w:r>
      <w:r>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C33DBE">
        <w:rPr>
          <w:rFonts w:ascii="Verdana" w:eastAsia="Calibri" w:hAnsi="Verdana" w:cs="Arial"/>
          <w:lang w:val="es-ES" w:eastAsia="es-ES"/>
        </w:rPr>
        <w:t>junio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E75DC9C" w14:textId="77777777" w:rsidR="0087031A" w:rsidRPr="00326382" w:rsidRDefault="0087031A" w:rsidP="0087031A">
      <w:pPr>
        <w:spacing w:after="0" w:line="240" w:lineRule="auto"/>
        <w:ind w:left="709" w:right="474"/>
        <w:jc w:val="both"/>
        <w:rPr>
          <w:rFonts w:ascii="Verdana" w:hAnsi="Verdana" w:cs="Arial"/>
          <w:sz w:val="20"/>
          <w:szCs w:val="20"/>
          <w:shd w:val="clear" w:color="auto" w:fill="FFFFFF"/>
        </w:rPr>
      </w:pPr>
      <w:bookmarkStart w:id="4" w:name="_Hlk95313578"/>
    </w:p>
    <w:bookmarkEnd w:id="4"/>
    <w:p w14:paraId="55A848A2" w14:textId="661D1350" w:rsidR="0087031A" w:rsidRPr="00CD7324" w:rsidRDefault="0087031A" w:rsidP="00C33DBE">
      <w:pPr>
        <w:tabs>
          <w:tab w:val="left" w:pos="142"/>
          <w:tab w:val="left" w:pos="567"/>
        </w:tabs>
        <w:ind w:left="709" w:right="709"/>
        <w:jc w:val="both"/>
        <w:rPr>
          <w:rFonts w:ascii="Verdana" w:eastAsia="Century Gothic" w:hAnsi="Verdana" w:cs="Century Gothic"/>
          <w:i/>
          <w:iCs/>
          <w:sz w:val="20"/>
          <w:szCs w:val="20"/>
        </w:rPr>
      </w:pPr>
      <w:r>
        <w:rPr>
          <w:rFonts w:ascii="Verdana" w:eastAsia="Century Gothic" w:hAnsi="Verdana" w:cs="Century Gothic"/>
          <w:i/>
          <w:iCs/>
        </w:rPr>
        <w:t xml:space="preserve"> </w:t>
      </w:r>
      <w:r w:rsidRPr="00C33DBE">
        <w:rPr>
          <w:rFonts w:ascii="Verdana" w:eastAsia="Century Gothic" w:hAnsi="Verdana" w:cs="Century Gothic"/>
          <w:i/>
          <w:iCs/>
          <w:sz w:val="20"/>
          <w:szCs w:val="20"/>
        </w:rPr>
        <w:t xml:space="preserve">“(…) </w:t>
      </w:r>
      <w:r w:rsidR="00C33DBE" w:rsidRPr="00C33DBE">
        <w:rPr>
          <w:rFonts w:ascii="Verdana" w:eastAsia="Century Gothic" w:hAnsi="Verdana" w:cs="Century Gothic"/>
          <w:i/>
          <w:iCs/>
          <w:sz w:val="20"/>
          <w:szCs w:val="20"/>
        </w:rPr>
        <w:t xml:space="preserve">¿Puede un exconcejal suscribir un contrato estatal dentro de los 12 meses siguientes a su renuncia o terminación de su respectivo periodo, con el mismo municipio en el que desempeñó como concejal, de acuerdo con lo establecido en el literal a) del numeral 1° del artículo 43 de la Ley 1952 de 2019?: </w:t>
      </w:r>
      <w:r w:rsidRPr="00C33DBE">
        <w:rPr>
          <w:rFonts w:ascii="Verdana" w:eastAsia="Century Gothic" w:hAnsi="Verdana" w:cs="Century Gothic"/>
          <w:i/>
          <w:iCs/>
          <w:sz w:val="20"/>
          <w:szCs w:val="20"/>
        </w:rPr>
        <w:t>(…)”</w:t>
      </w:r>
      <w:r w:rsidR="002B5862" w:rsidRPr="00C33DBE">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33F745EB" w14:textId="77777777" w:rsidR="0087031A" w:rsidRPr="00AA3B9F" w:rsidRDefault="0087031A" w:rsidP="0087031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04224C2" w14:textId="77777777" w:rsidR="0087031A" w:rsidRPr="00AA3B9F" w:rsidRDefault="0087031A" w:rsidP="0087031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7488FEE4" w14:textId="77777777" w:rsidR="0087031A" w:rsidRDefault="0087031A" w:rsidP="0087031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A7578E" w14:textId="77777777" w:rsidR="0087031A" w:rsidRDefault="0087031A" w:rsidP="0087031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CD6BDA0" w14:textId="77777777" w:rsidR="0087031A" w:rsidRDefault="0087031A" w:rsidP="0087031A">
      <w:pPr>
        <w:pStyle w:val="Prrafodelista"/>
        <w:tabs>
          <w:tab w:val="left" w:pos="142"/>
          <w:tab w:val="left" w:pos="284"/>
        </w:tabs>
        <w:spacing w:after="0" w:line="276" w:lineRule="auto"/>
        <w:ind w:left="0"/>
        <w:jc w:val="both"/>
        <w:rPr>
          <w:rFonts w:ascii="Verdana" w:eastAsia="Century Gothic" w:hAnsi="Verdana" w:cs="Century Gothic"/>
          <w:b/>
          <w:bCs/>
        </w:rPr>
      </w:pPr>
    </w:p>
    <w:p w14:paraId="75357133" w14:textId="0392D36C" w:rsidR="0087031A" w:rsidRPr="00C21A80" w:rsidRDefault="0087031A" w:rsidP="0087031A">
      <w:pPr>
        <w:pStyle w:val="Prrafodelista"/>
        <w:tabs>
          <w:tab w:val="left" w:pos="142"/>
          <w:tab w:val="left" w:pos="284"/>
        </w:tabs>
        <w:spacing w:after="0" w:line="276" w:lineRule="auto"/>
        <w:ind w:left="0"/>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5" w:name="_Hlk196737317"/>
      <w:r>
        <w:rPr>
          <w:rFonts w:ascii="Verdana" w:eastAsia="Calibri" w:hAnsi="Verdana" w:cs="Arial"/>
          <w:lang w:eastAsia="es-ES"/>
        </w:rPr>
        <w:t xml:space="preserve"> </w:t>
      </w:r>
      <w:r w:rsidRPr="007F1749">
        <w:rPr>
          <w:rFonts w:ascii="Verdana" w:eastAsia="Calibri" w:hAnsi="Verdana" w:cs="Arial"/>
          <w:lang w:val="es-CO" w:eastAsia="es-ES"/>
        </w:rPr>
        <w:t>¿</w:t>
      </w:r>
      <w:r>
        <w:rPr>
          <w:rFonts w:ascii="Verdana" w:eastAsia="Century Gothic" w:hAnsi="Verdana" w:cs="Century Gothic"/>
        </w:rPr>
        <w:t xml:space="preserve"> </w:t>
      </w:r>
      <w:r w:rsidR="00842788">
        <w:rPr>
          <w:rFonts w:ascii="Verdana" w:eastAsia="Calibri" w:hAnsi="Verdana" w:cs="Arial"/>
          <w:lang w:val="es-CO" w:eastAsia="es-ES"/>
        </w:rPr>
        <w:t>P</w:t>
      </w:r>
      <w:r w:rsidR="00842788" w:rsidRPr="00DF29BC">
        <w:rPr>
          <w:rFonts w:ascii="Verdana" w:eastAsia="Calibri" w:hAnsi="Verdana" w:cs="Arial"/>
          <w:lang w:val="es-CO" w:eastAsia="es-ES"/>
        </w:rPr>
        <w:t>uede</w:t>
      </w:r>
      <w:r w:rsidR="00842788">
        <w:rPr>
          <w:rFonts w:ascii="Verdana" w:eastAsia="Calibri" w:hAnsi="Verdana" w:cs="Arial"/>
          <w:lang w:val="es-CO" w:eastAsia="es-ES"/>
        </w:rPr>
        <w:t xml:space="preserve"> un exservidor público</w:t>
      </w:r>
      <w:r w:rsidR="00842788" w:rsidRPr="00DF29BC">
        <w:rPr>
          <w:rFonts w:ascii="Verdana" w:eastAsia="Calibri" w:hAnsi="Verdana" w:cs="Arial"/>
          <w:lang w:val="es-CO" w:eastAsia="es-ES"/>
        </w:rPr>
        <w:t xml:space="preserve"> suscribir contratos estatales con el mismo municipio donde ejerció su función </w:t>
      </w:r>
      <w:r w:rsidR="00842788">
        <w:rPr>
          <w:rFonts w:ascii="Verdana" w:eastAsia="Calibri" w:hAnsi="Verdana" w:cs="Arial"/>
          <w:lang w:val="es-CO" w:eastAsia="es-ES"/>
        </w:rPr>
        <w:t>dentro de</w:t>
      </w:r>
      <w:r w:rsidR="00842788" w:rsidRPr="00DF29BC">
        <w:rPr>
          <w:rFonts w:ascii="Verdana" w:eastAsia="Calibri" w:hAnsi="Verdana" w:cs="Arial"/>
          <w:lang w:val="es-CO" w:eastAsia="es-ES"/>
        </w:rPr>
        <w:t xml:space="preserve"> los 12 meses siguientes a la finalización de su periodo o su renuncia</w:t>
      </w:r>
      <w:r>
        <w:rPr>
          <w:rFonts w:ascii="Verdana" w:eastAsia="Century Gothic" w:hAnsi="Verdana" w:cs="Century Gothic"/>
        </w:rPr>
        <w:t>?</w:t>
      </w:r>
    </w:p>
    <w:p w14:paraId="1E4495B5" w14:textId="77777777" w:rsidR="0087031A" w:rsidRDefault="0087031A" w:rsidP="0087031A">
      <w:pPr>
        <w:pStyle w:val="Prrafodelista"/>
        <w:tabs>
          <w:tab w:val="left" w:pos="142"/>
          <w:tab w:val="left" w:pos="284"/>
        </w:tabs>
        <w:spacing w:after="0" w:line="276" w:lineRule="auto"/>
        <w:ind w:left="0"/>
        <w:jc w:val="both"/>
        <w:rPr>
          <w:rFonts w:ascii="Verdana" w:eastAsia="Calibri" w:hAnsi="Verdana" w:cs="Arial"/>
          <w:lang w:val="es-CO" w:eastAsia="es-ES"/>
        </w:rPr>
      </w:pPr>
    </w:p>
    <w:bookmarkEnd w:id="5"/>
    <w:p w14:paraId="4830150C"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7A45475" w14:textId="77777777" w:rsidR="0087031A" w:rsidRPr="00593A5F" w:rsidRDefault="0087031A" w:rsidP="0087031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031A" w:rsidRPr="00593A5F" w14:paraId="12E3C4B8" w14:textId="77777777" w:rsidTr="003D42F4">
        <w:tc>
          <w:tcPr>
            <w:tcW w:w="8828" w:type="dxa"/>
          </w:tcPr>
          <w:p w14:paraId="44E14C43" w14:textId="77777777" w:rsidR="00DD5FB0" w:rsidRDefault="00DD5FB0" w:rsidP="00CD7324">
            <w:pPr>
              <w:spacing w:after="120" w:line="276" w:lineRule="auto"/>
              <w:ind w:firstLine="709"/>
              <w:jc w:val="both"/>
              <w:rPr>
                <w:rFonts w:ascii="Verdana" w:eastAsia="Calibri" w:hAnsi="Verdana" w:cs="Arial"/>
                <w:lang w:val="es-ES" w:eastAsia="es-ES"/>
              </w:rPr>
            </w:pPr>
          </w:p>
          <w:p w14:paraId="23780A7C" w14:textId="62648222" w:rsidR="004D3F3A" w:rsidRDefault="004D3F3A" w:rsidP="00CD7324">
            <w:pPr>
              <w:spacing w:after="120" w:line="276" w:lineRule="auto"/>
              <w:ind w:firstLine="709"/>
              <w:jc w:val="both"/>
              <w:rPr>
                <w:rFonts w:ascii="Verdana" w:eastAsia="Calibri" w:hAnsi="Verdana" w:cs="Arial"/>
                <w:lang w:val="es-ES" w:eastAsia="es-ES"/>
              </w:rPr>
            </w:pPr>
            <w:r w:rsidRPr="004D3F3A">
              <w:rPr>
                <w:rFonts w:ascii="Verdana" w:eastAsia="Calibri" w:hAnsi="Verdana" w:cs="Arial"/>
                <w:lang w:val="es-ES" w:eastAsia="es-ES"/>
              </w:rPr>
              <w:t xml:space="preserve">El </w:t>
            </w:r>
            <w:r w:rsidR="00DF29BC" w:rsidRPr="004D3F3A">
              <w:rPr>
                <w:rFonts w:ascii="Verdana" w:eastAsia="Calibri" w:hAnsi="Verdana" w:cs="Arial"/>
                <w:lang w:val="es-ES" w:eastAsia="es-ES"/>
              </w:rPr>
              <w:t xml:space="preserve">numeral 1 </w:t>
            </w:r>
            <w:r w:rsidR="00DF29BC">
              <w:rPr>
                <w:rFonts w:ascii="Verdana" w:eastAsia="Calibri" w:hAnsi="Verdana" w:cs="Arial"/>
                <w:lang w:val="es-ES" w:eastAsia="es-ES"/>
              </w:rPr>
              <w:t xml:space="preserve">del </w:t>
            </w:r>
            <w:r w:rsidR="00DF29BC" w:rsidRPr="004D3F3A">
              <w:rPr>
                <w:rFonts w:ascii="Verdana" w:eastAsia="Calibri" w:hAnsi="Verdana" w:cs="Arial"/>
                <w:lang w:val="es-ES" w:eastAsia="es-ES"/>
              </w:rPr>
              <w:t xml:space="preserve">literal a) </w:t>
            </w:r>
            <w:r w:rsidR="00DF29BC">
              <w:rPr>
                <w:rFonts w:ascii="Verdana" w:eastAsia="Calibri" w:hAnsi="Verdana" w:cs="Arial"/>
                <w:lang w:val="es-ES" w:eastAsia="es-ES"/>
              </w:rPr>
              <w:t xml:space="preserve">del </w:t>
            </w:r>
            <w:r w:rsidRPr="004D3F3A">
              <w:rPr>
                <w:rFonts w:ascii="Verdana" w:eastAsia="Calibri" w:hAnsi="Verdana" w:cs="Arial"/>
                <w:lang w:val="es-ES" w:eastAsia="es-ES"/>
              </w:rPr>
              <w:t>artículo 43 de la Ley 1952 de 2019</w:t>
            </w:r>
            <w:r w:rsidR="00177E18">
              <w:rPr>
                <w:rFonts w:ascii="Verdana" w:eastAsia="Calibri" w:hAnsi="Verdana" w:cs="Arial"/>
                <w:lang w:val="es-ES" w:eastAsia="es-ES"/>
              </w:rPr>
              <w:t>,</w:t>
            </w:r>
            <w:r w:rsidRPr="004D3F3A">
              <w:rPr>
                <w:rFonts w:ascii="Verdana" w:eastAsia="Calibri" w:hAnsi="Verdana" w:cs="Arial"/>
                <w:lang w:val="es-ES" w:eastAsia="es-ES"/>
              </w:rPr>
              <w:t xml:space="preserve"> prohíbe </w:t>
            </w:r>
            <w:r w:rsidR="00DF29BC">
              <w:rPr>
                <w:rFonts w:ascii="Verdana" w:eastAsia="Calibri" w:hAnsi="Verdana" w:cs="Arial"/>
                <w:lang w:val="es-ES" w:eastAsia="es-ES"/>
              </w:rPr>
              <w:t xml:space="preserve">expresamente </w:t>
            </w:r>
            <w:r w:rsidRPr="004D3F3A">
              <w:rPr>
                <w:rFonts w:ascii="Verdana" w:eastAsia="Calibri" w:hAnsi="Verdana" w:cs="Arial"/>
                <w:lang w:val="es-ES" w:eastAsia="es-ES"/>
              </w:rPr>
              <w:t>que, durante el año siguiente a su retiro, un exservidor público intervenga en la celebración de contratos o en la gestión de negocios con la entidad en la que ejerció funciones, ya sea en nombre propio o de terceros. Esta restricción aplica independientemente de si la persona conoció o no del asunto específico mientras estuvo en el cargo, y busca evitar conflictos de interés y el uso de influencias indebidas.</w:t>
            </w:r>
          </w:p>
          <w:p w14:paraId="5215C850" w14:textId="070D2435" w:rsidR="00DF29BC" w:rsidRDefault="00DF29BC" w:rsidP="00CD7324">
            <w:pPr>
              <w:spacing w:after="120" w:line="276" w:lineRule="auto"/>
              <w:ind w:firstLine="709"/>
              <w:jc w:val="both"/>
              <w:rPr>
                <w:rFonts w:ascii="Verdana" w:eastAsia="Calibri" w:hAnsi="Verdana" w:cs="Arial"/>
                <w:lang w:eastAsia="es-ES"/>
              </w:rPr>
            </w:pPr>
            <w:r w:rsidRPr="00DF29BC">
              <w:rPr>
                <w:rFonts w:ascii="Verdana" w:eastAsia="Calibri" w:hAnsi="Verdana" w:cs="Arial"/>
                <w:lang w:eastAsia="es-ES"/>
              </w:rPr>
              <w:lastRenderedPageBreak/>
              <w:t xml:space="preserve">Por </w:t>
            </w:r>
            <w:r>
              <w:rPr>
                <w:rFonts w:ascii="Verdana" w:eastAsia="Calibri" w:hAnsi="Verdana" w:cs="Arial"/>
                <w:lang w:eastAsia="es-ES"/>
              </w:rPr>
              <w:t xml:space="preserve">lo </w:t>
            </w:r>
            <w:r w:rsidRPr="00DF29BC">
              <w:rPr>
                <w:rFonts w:ascii="Verdana" w:eastAsia="Calibri" w:hAnsi="Verdana" w:cs="Arial"/>
                <w:lang w:eastAsia="es-ES"/>
              </w:rPr>
              <w:t xml:space="preserve">tanto, un </w:t>
            </w:r>
            <w:r w:rsidR="00842788">
              <w:rPr>
                <w:rFonts w:ascii="Verdana" w:eastAsia="Calibri" w:hAnsi="Verdana" w:cs="Arial"/>
                <w:lang w:eastAsia="es-ES"/>
              </w:rPr>
              <w:t xml:space="preserve">exservidor </w:t>
            </w:r>
            <w:r w:rsidR="007E5663">
              <w:rPr>
                <w:rFonts w:ascii="Verdana" w:eastAsia="Calibri" w:hAnsi="Verdana" w:cs="Arial"/>
                <w:lang w:eastAsia="es-ES"/>
              </w:rPr>
              <w:t>público</w:t>
            </w:r>
            <w:r w:rsidRPr="00DF29BC">
              <w:rPr>
                <w:rFonts w:ascii="Verdana" w:eastAsia="Calibri" w:hAnsi="Verdana" w:cs="Arial"/>
                <w:lang w:eastAsia="es-ES"/>
              </w:rPr>
              <w:t xml:space="preserve"> no puede suscribir contratos estatales con el mismo municipio donde ejerció su función durante los </w:t>
            </w:r>
            <w:r w:rsidR="00EB255D">
              <w:rPr>
                <w:rFonts w:ascii="Verdana" w:eastAsia="Calibri" w:hAnsi="Verdana" w:cs="Arial"/>
                <w:lang w:eastAsia="es-ES"/>
              </w:rPr>
              <w:t>doce (</w:t>
            </w:r>
            <w:r w:rsidRPr="00DF29BC">
              <w:rPr>
                <w:rFonts w:ascii="Verdana" w:eastAsia="Calibri" w:hAnsi="Verdana" w:cs="Arial"/>
                <w:lang w:eastAsia="es-ES"/>
              </w:rPr>
              <w:t>12</w:t>
            </w:r>
            <w:r w:rsidR="00EB255D">
              <w:rPr>
                <w:rFonts w:ascii="Verdana" w:eastAsia="Calibri" w:hAnsi="Verdana" w:cs="Arial"/>
                <w:lang w:eastAsia="es-ES"/>
              </w:rPr>
              <w:t>)</w:t>
            </w:r>
            <w:r w:rsidRPr="00DF29BC">
              <w:rPr>
                <w:rFonts w:ascii="Verdana" w:eastAsia="Calibri" w:hAnsi="Verdana" w:cs="Arial"/>
                <w:lang w:eastAsia="es-ES"/>
              </w:rPr>
              <w:t xml:space="preserve"> meses siguientes a la finalización de su periodo o su renuncia. </w:t>
            </w:r>
            <w:r>
              <w:rPr>
                <w:rFonts w:ascii="Verdana" w:eastAsia="Calibri" w:hAnsi="Verdana" w:cs="Arial"/>
                <w:lang w:eastAsia="es-ES"/>
              </w:rPr>
              <w:t>Lo anterior en desarrollo de los principios de</w:t>
            </w:r>
            <w:r w:rsidRPr="00DF29BC">
              <w:rPr>
                <w:rFonts w:ascii="Verdana" w:eastAsia="Calibri" w:hAnsi="Verdana" w:cs="Arial"/>
                <w:lang w:eastAsia="es-ES"/>
              </w:rPr>
              <w:t xml:space="preserve"> </w:t>
            </w:r>
            <w:r w:rsidR="00177E18">
              <w:rPr>
                <w:rFonts w:ascii="Verdana" w:eastAsia="Calibri" w:hAnsi="Verdana" w:cs="Arial"/>
                <w:lang w:eastAsia="es-ES"/>
              </w:rPr>
              <w:t xml:space="preserve">moralidad, </w:t>
            </w:r>
            <w:r w:rsidRPr="00DF29BC">
              <w:rPr>
                <w:rFonts w:ascii="Verdana" w:eastAsia="Calibri" w:hAnsi="Verdana" w:cs="Arial"/>
                <w:lang w:eastAsia="es-ES"/>
              </w:rPr>
              <w:t>transparencia, imparcialidad</w:t>
            </w:r>
            <w:r w:rsidR="00177E18">
              <w:rPr>
                <w:rFonts w:ascii="Verdana" w:eastAsia="Calibri" w:hAnsi="Verdana" w:cs="Arial"/>
                <w:lang w:eastAsia="es-ES"/>
              </w:rPr>
              <w:t xml:space="preserve"> </w:t>
            </w:r>
            <w:r w:rsidRPr="00DF29BC">
              <w:rPr>
                <w:rFonts w:ascii="Verdana" w:eastAsia="Calibri" w:hAnsi="Verdana" w:cs="Arial"/>
                <w:lang w:eastAsia="es-ES"/>
              </w:rPr>
              <w:t xml:space="preserve">en la contratación estatal, su desconocimiento puede </w:t>
            </w:r>
            <w:r>
              <w:rPr>
                <w:rFonts w:ascii="Verdana" w:eastAsia="Calibri" w:hAnsi="Verdana" w:cs="Arial"/>
                <w:lang w:eastAsia="es-ES"/>
              </w:rPr>
              <w:t>derivar en</w:t>
            </w:r>
            <w:r w:rsidRPr="00DF29BC">
              <w:rPr>
                <w:rFonts w:ascii="Verdana" w:eastAsia="Calibri" w:hAnsi="Verdana" w:cs="Arial"/>
                <w:lang w:eastAsia="es-ES"/>
              </w:rPr>
              <w:t xml:space="preserve"> una falta disciplinaria.</w:t>
            </w:r>
          </w:p>
          <w:p w14:paraId="62B82BA3" w14:textId="712C6B6D" w:rsidR="00905C1B" w:rsidRDefault="00905C1B" w:rsidP="00CD7324">
            <w:pPr>
              <w:spacing w:after="120" w:line="276" w:lineRule="auto"/>
              <w:ind w:firstLine="709"/>
              <w:jc w:val="both"/>
              <w:rPr>
                <w:rFonts w:ascii="Verdana" w:eastAsia="Calibri" w:hAnsi="Verdana" w:cs="Arial"/>
                <w:lang w:val="es-ES" w:eastAsia="es-ES"/>
              </w:rPr>
            </w:pPr>
            <w:r>
              <w:rPr>
                <w:rFonts w:ascii="Verdana" w:eastAsia="Calibri" w:hAnsi="Verdana" w:cs="Arial"/>
                <w:lang w:eastAsia="es-ES"/>
              </w:rPr>
              <w:t>De igual manera</w:t>
            </w:r>
            <w:r w:rsidRPr="00905C1B">
              <w:rPr>
                <w:rFonts w:ascii="Verdana" w:eastAsia="Calibri" w:hAnsi="Verdana" w:cs="Arial"/>
                <w:lang w:eastAsia="es-ES"/>
              </w:rPr>
              <w:t xml:space="preserve"> se recomienda consultar el </w:t>
            </w:r>
            <w:r w:rsidRPr="00905C1B">
              <w:rPr>
                <w:rFonts w:ascii="Verdana" w:eastAsia="Calibri" w:hAnsi="Verdana" w:cs="Arial"/>
                <w:b/>
                <w:bCs/>
                <w:lang w:eastAsia="es-ES"/>
              </w:rPr>
              <w:t>“</w:t>
            </w:r>
            <w:r w:rsidRPr="00905C1B">
              <w:rPr>
                <w:rFonts w:ascii="Verdana" w:eastAsia="Calibri" w:hAnsi="Verdana" w:cs="Arial"/>
                <w:lang w:eastAsia="es-ES"/>
              </w:rPr>
              <w:t>Manual para Determinar y Verificar Requisitos Habilitantes”</w:t>
            </w:r>
            <w:r w:rsidR="007E5663">
              <w:rPr>
                <w:rStyle w:val="Refdenotaalpie"/>
                <w:rFonts w:ascii="Verdana" w:eastAsia="Calibri" w:hAnsi="Verdana" w:cs="Arial"/>
                <w:lang w:eastAsia="es-ES"/>
              </w:rPr>
              <w:footnoteReference w:id="1"/>
            </w:r>
            <w:r w:rsidRPr="00905C1B">
              <w:rPr>
                <w:rFonts w:ascii="Verdana" w:eastAsia="Calibri" w:hAnsi="Verdana" w:cs="Arial"/>
                <w:lang w:eastAsia="es-ES"/>
              </w:rPr>
              <w:t xml:space="preserve"> de Colombia Compra Eficiente. Esta guía proporciona criterios claros y actualizados sobre las inhabilidades establecidas en la ley, su alcance, efectos y forma de verificación en los procesos de contratación estatal. En particular, permite a las entidades y a los interesados identificar restricciones derivadas del ejercicio previo de funciones públicas, como las que afectan a exconcejales, garantizando que las decisiones contractuales se ajusten a la legalidad</w:t>
            </w:r>
            <w:r>
              <w:rPr>
                <w:rFonts w:ascii="Verdana" w:eastAsia="Calibri" w:hAnsi="Verdana" w:cs="Arial"/>
                <w:lang w:eastAsia="es-ES"/>
              </w:rPr>
              <w:t>.</w:t>
            </w:r>
          </w:p>
          <w:p w14:paraId="590CBB75" w14:textId="03315DDC" w:rsidR="0087031A" w:rsidRPr="00DB4737" w:rsidRDefault="00905C1B" w:rsidP="00CD7324">
            <w:pPr>
              <w:spacing w:after="120" w:line="276" w:lineRule="auto"/>
              <w:ind w:firstLine="709"/>
              <w:jc w:val="both"/>
              <w:rPr>
                <w:rFonts w:ascii="Verdana" w:eastAsia="Calibri" w:hAnsi="Verdana" w:cs="Times New Roman"/>
                <w:lang w:val="es-ES"/>
              </w:rPr>
            </w:pPr>
            <w:r>
              <w:rPr>
                <w:rFonts w:ascii="Verdana" w:eastAsia="Calibri" w:hAnsi="Verdana" w:cs="Arial"/>
                <w:lang w:val="es-ES" w:eastAsia="es-ES"/>
              </w:rPr>
              <w:t>Finalmente</w:t>
            </w:r>
            <w:r w:rsidR="0087031A">
              <w:rPr>
                <w:rFonts w:ascii="Verdana" w:eastAsia="Calibri" w:hAnsi="Verdana" w:cs="Times New Roman"/>
                <w:lang w:val="es-ES"/>
              </w:rPr>
              <w:t>,</w:t>
            </w:r>
            <w:r w:rsidR="0087031A" w:rsidRPr="00DB4737">
              <w:rPr>
                <w:rFonts w:ascii="Verdana" w:eastAsia="Calibri" w:hAnsi="Verdana" w:cs="Times New Roman"/>
                <w:lang w:val="es-ES"/>
              </w:rPr>
              <w:t xml:space="preserve"> debe advertirse que el análisis en torno </w:t>
            </w:r>
            <w:r w:rsidR="0087031A">
              <w:rPr>
                <w:rFonts w:ascii="Verdana" w:eastAsia="Calibri" w:hAnsi="Verdana" w:cs="Times New Roman"/>
                <w:lang w:val="es-ES"/>
              </w:rPr>
              <w:t>a un proceso de contratación especifico debe</w:t>
            </w:r>
            <w:r w:rsidR="0087031A" w:rsidRPr="0012388D">
              <w:rPr>
                <w:rFonts w:ascii="Verdana" w:eastAsia="Calibri" w:hAnsi="Verdana" w:cs="Times New Roman"/>
                <w:lang w:val="es-ES"/>
              </w:rPr>
              <w:t xml:space="preserve"> ser realizado por quienes tengan interés en ello.</w:t>
            </w:r>
            <w:r w:rsidR="0087031A"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7031A">
              <w:t xml:space="preserve"> </w:t>
            </w:r>
          </w:p>
          <w:p w14:paraId="4D8F70B6" w14:textId="77777777" w:rsidR="0087031A" w:rsidRPr="00831CDD" w:rsidRDefault="0087031A" w:rsidP="00CD7324">
            <w:pPr>
              <w:spacing w:line="276" w:lineRule="auto"/>
              <w:ind w:firstLine="709"/>
              <w:contextualSpacing/>
              <w:jc w:val="both"/>
              <w:rPr>
                <w:rFonts w:ascii="Verdana" w:hAnsi="Verdana" w:cs="Arial"/>
                <w:bCs/>
                <w:color w:val="000000" w:themeColor="text1"/>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7031A" w:rsidRPr="00593A5F" w14:paraId="2EC3A9A4" w14:textId="77777777" w:rsidTr="003D42F4">
        <w:tc>
          <w:tcPr>
            <w:tcW w:w="8828" w:type="dxa"/>
          </w:tcPr>
          <w:p w14:paraId="46FE8F13" w14:textId="77777777" w:rsidR="0087031A" w:rsidRPr="002973E9" w:rsidRDefault="0087031A" w:rsidP="00580B7F">
            <w:pPr>
              <w:spacing w:line="276" w:lineRule="auto"/>
              <w:jc w:val="both"/>
              <w:rPr>
                <w:rFonts w:ascii="Verdana" w:eastAsia="Calibri" w:hAnsi="Verdana" w:cs="Arial"/>
                <w:lang w:val="es-ES"/>
              </w:rPr>
            </w:pPr>
          </w:p>
        </w:tc>
      </w:tr>
    </w:tbl>
    <w:p w14:paraId="234FB4F9" w14:textId="77777777" w:rsidR="0087031A" w:rsidRDefault="0087031A" w:rsidP="0087031A">
      <w:pPr>
        <w:tabs>
          <w:tab w:val="left" w:pos="142"/>
          <w:tab w:val="left" w:pos="284"/>
        </w:tabs>
        <w:spacing w:after="0" w:line="276" w:lineRule="auto"/>
        <w:jc w:val="both"/>
        <w:rPr>
          <w:rFonts w:ascii="Verdana" w:eastAsia="Century Gothic" w:hAnsi="Verdana" w:cs="Century Gothic"/>
          <w:b/>
          <w:bCs/>
          <w:lang w:val="es-ES"/>
        </w:rPr>
      </w:pPr>
    </w:p>
    <w:p w14:paraId="43DE775E"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5434A81B" w14:textId="77777777" w:rsidR="007F662E" w:rsidRDefault="007F662E" w:rsidP="0092047B">
      <w:pPr>
        <w:widowControl w:val="0"/>
        <w:autoSpaceDE w:val="0"/>
        <w:autoSpaceDN w:val="0"/>
        <w:spacing w:after="0" w:line="276" w:lineRule="auto"/>
        <w:ind w:right="68" w:firstLine="708"/>
        <w:contextualSpacing/>
        <w:jc w:val="both"/>
        <w:rPr>
          <w:rFonts w:ascii="Verdana" w:eastAsia="Arial MT" w:hAnsi="Verdana" w:cs="Arial"/>
          <w:lang w:val="es-ES"/>
        </w:rPr>
      </w:pPr>
    </w:p>
    <w:p w14:paraId="43C90D64" w14:textId="2D55EB67" w:rsidR="0092047B" w:rsidRPr="003D455F" w:rsidRDefault="0092047B" w:rsidP="0092047B">
      <w:pPr>
        <w:widowControl w:val="0"/>
        <w:autoSpaceDE w:val="0"/>
        <w:autoSpaceDN w:val="0"/>
        <w:spacing w:after="0" w:line="276" w:lineRule="auto"/>
        <w:ind w:right="68" w:firstLine="708"/>
        <w:contextualSpacing/>
        <w:jc w:val="both"/>
        <w:rPr>
          <w:rFonts w:ascii="Verdana" w:eastAsia="Arial MT" w:hAnsi="Verdana" w:cs="Arial"/>
          <w:u w:val="single"/>
          <w:lang w:val="es-ES"/>
        </w:rPr>
      </w:pPr>
      <w:r w:rsidRPr="003D455F">
        <w:rPr>
          <w:rFonts w:ascii="Verdana" w:eastAsia="Arial MT" w:hAnsi="Verdana" w:cs="Arial"/>
          <w:lang w:val="es-ES"/>
        </w:rPr>
        <w:t>El régimen de inhabilidades e incompatibilidades en la contratación pública</w:t>
      </w:r>
      <w:r w:rsidRPr="003D455F">
        <w:rPr>
          <w:rFonts w:ascii="Verdana" w:eastAsia="Arial MT" w:hAnsi="Verdana" w:cs="Arial"/>
          <w:spacing w:val="1"/>
          <w:lang w:val="es-ES"/>
        </w:rPr>
        <w:t xml:space="preserve"> </w:t>
      </w:r>
      <w:r w:rsidRPr="003D455F">
        <w:rPr>
          <w:rFonts w:ascii="Verdana" w:eastAsia="Arial MT" w:hAnsi="Verdana" w:cs="Arial"/>
          <w:lang w:val="es-ES"/>
        </w:rPr>
        <w:t xml:space="preserve">responde al propósito de asegurar que la actividad de adquisición y provisión de </w:t>
      </w:r>
      <w:r w:rsidRPr="003D455F">
        <w:rPr>
          <w:rFonts w:ascii="Verdana" w:eastAsia="Arial MT" w:hAnsi="Verdana" w:cs="Arial"/>
          <w:spacing w:val="1"/>
          <w:lang w:val="es-ES"/>
        </w:rPr>
        <w:t>bienes</w:t>
      </w:r>
      <w:r w:rsidRPr="003D455F">
        <w:rPr>
          <w:rFonts w:ascii="Verdana" w:eastAsia="Arial MT" w:hAnsi="Verdana" w:cs="Arial"/>
          <w:lang w:val="es-ES"/>
        </w:rPr>
        <w:t xml:space="preserve"> y servicios por parte de las entidades estatales se efectúe cumpliendo con los</w:t>
      </w:r>
      <w:r w:rsidRPr="003D455F">
        <w:rPr>
          <w:rFonts w:ascii="Verdana" w:eastAsia="Arial MT" w:hAnsi="Verdana" w:cs="Arial"/>
          <w:spacing w:val="1"/>
          <w:lang w:val="es-ES"/>
        </w:rPr>
        <w:t xml:space="preserve"> </w:t>
      </w:r>
      <w:r w:rsidRPr="003D455F">
        <w:rPr>
          <w:rFonts w:ascii="Verdana" w:eastAsia="Arial MT" w:hAnsi="Verdana" w:cs="Arial"/>
          <w:lang w:val="es-ES"/>
        </w:rPr>
        <w:t>principios</w:t>
      </w:r>
      <w:r w:rsidRPr="003D455F">
        <w:rPr>
          <w:rFonts w:ascii="Verdana" w:eastAsia="Arial MT" w:hAnsi="Verdana" w:cs="Arial"/>
          <w:spacing w:val="-11"/>
          <w:lang w:val="es-ES"/>
        </w:rPr>
        <w:t xml:space="preserve"> </w:t>
      </w:r>
      <w:r w:rsidRPr="003D455F">
        <w:rPr>
          <w:rFonts w:ascii="Verdana" w:eastAsia="Arial MT" w:hAnsi="Verdana" w:cs="Arial"/>
          <w:lang w:val="es-ES"/>
        </w:rPr>
        <w:t>de</w:t>
      </w:r>
      <w:r w:rsidRPr="003D455F">
        <w:rPr>
          <w:rFonts w:ascii="Verdana" w:eastAsia="Arial MT" w:hAnsi="Verdana" w:cs="Arial"/>
          <w:spacing w:val="-11"/>
          <w:lang w:val="es-ES"/>
        </w:rPr>
        <w:t xml:space="preserve"> </w:t>
      </w:r>
      <w:r w:rsidRPr="003D455F">
        <w:rPr>
          <w:rFonts w:ascii="Verdana" w:eastAsia="Arial MT" w:hAnsi="Verdana" w:cs="Arial"/>
          <w:lang w:val="es-ES"/>
        </w:rPr>
        <w:t>la</w:t>
      </w:r>
      <w:r w:rsidRPr="003D455F">
        <w:rPr>
          <w:rFonts w:ascii="Verdana" w:eastAsia="Arial MT" w:hAnsi="Verdana" w:cs="Arial"/>
          <w:spacing w:val="-11"/>
          <w:lang w:val="es-ES"/>
        </w:rPr>
        <w:t xml:space="preserve"> </w:t>
      </w:r>
      <w:r w:rsidRPr="003D455F">
        <w:rPr>
          <w:rFonts w:ascii="Verdana" w:eastAsia="Arial MT" w:hAnsi="Verdana" w:cs="Arial"/>
          <w:lang w:val="es-ES"/>
        </w:rPr>
        <w:t>función</w:t>
      </w:r>
      <w:r w:rsidRPr="003D455F">
        <w:rPr>
          <w:rFonts w:ascii="Verdana" w:eastAsia="Arial MT" w:hAnsi="Verdana" w:cs="Arial"/>
          <w:spacing w:val="-10"/>
          <w:lang w:val="es-ES"/>
        </w:rPr>
        <w:t xml:space="preserve"> </w:t>
      </w:r>
      <w:r w:rsidRPr="003D455F">
        <w:rPr>
          <w:rFonts w:ascii="Verdana" w:eastAsia="Arial MT" w:hAnsi="Verdana" w:cs="Arial"/>
          <w:lang w:val="es-ES"/>
        </w:rPr>
        <w:t>administrativa</w:t>
      </w:r>
      <w:r w:rsidRPr="003D455F">
        <w:rPr>
          <w:rFonts w:ascii="Verdana" w:eastAsia="Arial MT" w:hAnsi="Verdana" w:cs="Arial"/>
          <w:spacing w:val="-11"/>
          <w:lang w:val="es-ES"/>
        </w:rPr>
        <w:t xml:space="preserve"> </w:t>
      </w:r>
      <w:r w:rsidRPr="003D455F">
        <w:rPr>
          <w:rFonts w:ascii="Verdana" w:eastAsia="Arial MT" w:hAnsi="Verdana" w:cs="Arial"/>
          <w:lang w:val="es-ES"/>
        </w:rPr>
        <w:t>y</w:t>
      </w:r>
      <w:r w:rsidRPr="003D455F">
        <w:rPr>
          <w:rFonts w:ascii="Verdana" w:eastAsia="Arial MT" w:hAnsi="Verdana" w:cs="Arial"/>
          <w:spacing w:val="-10"/>
          <w:lang w:val="es-ES"/>
        </w:rPr>
        <w:t xml:space="preserve"> </w:t>
      </w:r>
      <w:r w:rsidRPr="003D455F">
        <w:rPr>
          <w:rFonts w:ascii="Verdana" w:eastAsia="Arial MT" w:hAnsi="Verdana" w:cs="Arial"/>
          <w:lang w:val="es-ES"/>
        </w:rPr>
        <w:t>de</w:t>
      </w:r>
      <w:r w:rsidRPr="003D455F">
        <w:rPr>
          <w:rFonts w:ascii="Verdana" w:eastAsia="Arial MT" w:hAnsi="Verdana" w:cs="Arial"/>
          <w:spacing w:val="-11"/>
          <w:lang w:val="es-ES"/>
        </w:rPr>
        <w:t xml:space="preserve"> </w:t>
      </w:r>
      <w:r w:rsidRPr="003D455F">
        <w:rPr>
          <w:rFonts w:ascii="Verdana" w:eastAsia="Arial MT" w:hAnsi="Verdana" w:cs="Arial"/>
          <w:lang w:val="es-ES"/>
        </w:rPr>
        <w:t>la</w:t>
      </w:r>
      <w:r w:rsidRPr="003D455F">
        <w:rPr>
          <w:rFonts w:ascii="Verdana" w:eastAsia="Arial MT" w:hAnsi="Verdana" w:cs="Arial"/>
          <w:spacing w:val="-11"/>
          <w:lang w:val="es-ES"/>
        </w:rPr>
        <w:t xml:space="preserve"> </w:t>
      </w:r>
      <w:r w:rsidRPr="003D455F">
        <w:rPr>
          <w:rFonts w:ascii="Verdana" w:eastAsia="Arial MT" w:hAnsi="Verdana" w:cs="Arial"/>
          <w:lang w:val="es-ES"/>
        </w:rPr>
        <w:t>gestión</w:t>
      </w:r>
      <w:r w:rsidRPr="003D455F">
        <w:rPr>
          <w:rFonts w:ascii="Verdana" w:eastAsia="Arial MT" w:hAnsi="Verdana" w:cs="Arial"/>
          <w:spacing w:val="-11"/>
          <w:lang w:val="es-ES"/>
        </w:rPr>
        <w:t xml:space="preserve"> </w:t>
      </w:r>
      <w:r w:rsidRPr="003D455F">
        <w:rPr>
          <w:rFonts w:ascii="Verdana" w:eastAsia="Arial MT" w:hAnsi="Verdana" w:cs="Arial"/>
          <w:lang w:val="es-ES"/>
        </w:rPr>
        <w:t>fiscal,</w:t>
      </w:r>
      <w:r w:rsidRPr="003D455F">
        <w:rPr>
          <w:rFonts w:ascii="Verdana" w:eastAsia="Arial MT" w:hAnsi="Verdana" w:cs="Arial"/>
          <w:spacing w:val="-10"/>
          <w:lang w:val="es-ES"/>
        </w:rPr>
        <w:t xml:space="preserve"> </w:t>
      </w:r>
      <w:r w:rsidRPr="003D455F">
        <w:rPr>
          <w:rFonts w:ascii="Verdana" w:eastAsia="Arial MT" w:hAnsi="Verdana" w:cs="Arial"/>
          <w:lang w:val="es-ES"/>
        </w:rPr>
        <w:t>especialmente</w:t>
      </w:r>
      <w:r w:rsidRPr="003D455F">
        <w:rPr>
          <w:rFonts w:ascii="Verdana" w:eastAsia="Arial MT" w:hAnsi="Verdana" w:cs="Arial"/>
          <w:spacing w:val="-11"/>
          <w:lang w:val="es-ES"/>
        </w:rPr>
        <w:t xml:space="preserve"> </w:t>
      </w:r>
      <w:r w:rsidRPr="003D455F">
        <w:rPr>
          <w:rFonts w:ascii="Verdana" w:eastAsia="Arial MT" w:hAnsi="Verdana" w:cs="Arial"/>
          <w:lang w:val="es-ES"/>
        </w:rPr>
        <w:t>con</w:t>
      </w:r>
      <w:r w:rsidRPr="003D455F">
        <w:rPr>
          <w:rFonts w:ascii="Verdana" w:eastAsia="Arial MT" w:hAnsi="Verdana" w:cs="Arial"/>
          <w:spacing w:val="-11"/>
          <w:lang w:val="es-ES"/>
        </w:rPr>
        <w:t xml:space="preserve"> </w:t>
      </w:r>
      <w:r w:rsidRPr="003D455F">
        <w:rPr>
          <w:rFonts w:ascii="Verdana" w:eastAsia="Arial MT" w:hAnsi="Verdana" w:cs="Arial"/>
          <w:lang w:val="es-ES"/>
        </w:rPr>
        <w:t>probidad</w:t>
      </w:r>
      <w:r w:rsidRPr="003D455F">
        <w:rPr>
          <w:rFonts w:ascii="Verdana" w:eastAsia="Arial MT" w:hAnsi="Verdana" w:cs="Arial"/>
          <w:spacing w:val="1"/>
          <w:lang w:val="es-ES"/>
        </w:rPr>
        <w:t xml:space="preserve"> </w:t>
      </w:r>
      <w:r w:rsidRPr="003D455F">
        <w:rPr>
          <w:rFonts w:ascii="Verdana" w:eastAsia="Arial MT" w:hAnsi="Verdana" w:cs="Arial"/>
          <w:lang w:val="es-ES"/>
        </w:rPr>
        <w:t>y</w:t>
      </w:r>
      <w:r w:rsidRPr="003D455F">
        <w:rPr>
          <w:rFonts w:ascii="Verdana" w:eastAsia="Arial MT" w:hAnsi="Verdana" w:cs="Arial"/>
          <w:spacing w:val="1"/>
          <w:lang w:val="es-ES"/>
        </w:rPr>
        <w:t xml:space="preserve"> </w:t>
      </w:r>
      <w:r w:rsidRPr="003D455F">
        <w:rPr>
          <w:rFonts w:ascii="Verdana" w:eastAsia="Arial MT" w:hAnsi="Verdana" w:cs="Arial"/>
          <w:lang w:val="es-ES"/>
        </w:rPr>
        <w:t>transparencia.</w:t>
      </w:r>
      <w:r w:rsidRPr="003D455F">
        <w:rPr>
          <w:rFonts w:ascii="Verdana" w:eastAsia="Arial MT" w:hAnsi="Verdana" w:cs="Arial"/>
          <w:spacing w:val="1"/>
          <w:lang w:val="es-ES"/>
        </w:rPr>
        <w:t xml:space="preserve"> </w:t>
      </w:r>
      <w:r w:rsidRPr="003D455F">
        <w:rPr>
          <w:rFonts w:ascii="Verdana" w:eastAsia="Arial MT" w:hAnsi="Verdana" w:cs="Arial"/>
          <w:lang w:val="es-ES"/>
        </w:rPr>
        <w:t>Por</w:t>
      </w:r>
      <w:r w:rsidRPr="003D455F">
        <w:rPr>
          <w:rFonts w:ascii="Verdana" w:eastAsia="Arial MT" w:hAnsi="Verdana" w:cs="Arial"/>
          <w:spacing w:val="1"/>
          <w:lang w:val="es-ES"/>
        </w:rPr>
        <w:t xml:space="preserve"> </w:t>
      </w:r>
      <w:r w:rsidRPr="003D455F">
        <w:rPr>
          <w:rFonts w:ascii="Verdana" w:eastAsia="Arial MT" w:hAnsi="Verdana" w:cs="Arial"/>
          <w:lang w:val="es-ES"/>
        </w:rPr>
        <w:t>ello,</w:t>
      </w:r>
      <w:r w:rsidRPr="003D455F">
        <w:rPr>
          <w:rFonts w:ascii="Verdana" w:eastAsia="Arial MT" w:hAnsi="Verdana" w:cs="Arial"/>
          <w:spacing w:val="1"/>
          <w:lang w:val="es-ES"/>
        </w:rPr>
        <w:t xml:space="preserve"> </w:t>
      </w:r>
      <w:r w:rsidRPr="003D455F">
        <w:rPr>
          <w:rFonts w:ascii="Verdana" w:eastAsia="Arial MT" w:hAnsi="Verdana" w:cs="Arial"/>
          <w:lang w:val="es-ES"/>
        </w:rPr>
        <w:t>como</w:t>
      </w:r>
      <w:r w:rsidRPr="003D455F">
        <w:rPr>
          <w:rFonts w:ascii="Verdana" w:eastAsia="Arial MT" w:hAnsi="Verdana" w:cs="Arial"/>
          <w:spacing w:val="1"/>
          <w:lang w:val="es-ES"/>
        </w:rPr>
        <w:t xml:space="preserve"> </w:t>
      </w:r>
      <w:r w:rsidRPr="003D455F">
        <w:rPr>
          <w:rFonts w:ascii="Verdana" w:eastAsia="Arial MT" w:hAnsi="Verdana" w:cs="Arial"/>
          <w:lang w:val="es-ES"/>
        </w:rPr>
        <w:t>lo</w:t>
      </w:r>
      <w:r w:rsidRPr="003D455F">
        <w:rPr>
          <w:rFonts w:ascii="Verdana" w:eastAsia="Arial MT" w:hAnsi="Verdana" w:cs="Arial"/>
          <w:spacing w:val="1"/>
          <w:lang w:val="es-ES"/>
        </w:rPr>
        <w:t xml:space="preserve"> </w:t>
      </w:r>
      <w:r w:rsidRPr="003D455F">
        <w:rPr>
          <w:rFonts w:ascii="Verdana" w:eastAsia="Arial MT" w:hAnsi="Verdana" w:cs="Arial"/>
          <w:lang w:val="es-ES"/>
        </w:rPr>
        <w:t>ha</w:t>
      </w:r>
      <w:r w:rsidRPr="003D455F">
        <w:rPr>
          <w:rFonts w:ascii="Verdana" w:eastAsia="Arial MT" w:hAnsi="Verdana" w:cs="Arial"/>
          <w:spacing w:val="1"/>
          <w:lang w:val="es-ES"/>
        </w:rPr>
        <w:t xml:space="preserve"> </w:t>
      </w:r>
      <w:r w:rsidRPr="003D455F">
        <w:rPr>
          <w:rFonts w:ascii="Verdana" w:eastAsia="Arial MT" w:hAnsi="Verdana" w:cs="Arial"/>
          <w:lang w:val="es-ES"/>
        </w:rPr>
        <w:t>destacado</w:t>
      </w:r>
      <w:r w:rsidRPr="003D455F">
        <w:rPr>
          <w:rFonts w:ascii="Verdana" w:eastAsia="Arial MT" w:hAnsi="Verdana" w:cs="Arial"/>
          <w:spacing w:val="1"/>
          <w:lang w:val="es-ES"/>
        </w:rPr>
        <w:t xml:space="preserve"> </w:t>
      </w:r>
      <w:r w:rsidRPr="003D455F">
        <w:rPr>
          <w:rFonts w:ascii="Verdana" w:eastAsia="Arial MT" w:hAnsi="Verdana" w:cs="Arial"/>
          <w:lang w:val="es-ES"/>
        </w:rPr>
        <w:t>la</w:t>
      </w:r>
      <w:r w:rsidRPr="003D455F">
        <w:rPr>
          <w:rFonts w:ascii="Verdana" w:eastAsia="Arial MT" w:hAnsi="Verdana" w:cs="Arial"/>
          <w:spacing w:val="1"/>
          <w:lang w:val="es-ES"/>
        </w:rPr>
        <w:t xml:space="preserve"> </w:t>
      </w:r>
      <w:r w:rsidRPr="003D455F">
        <w:rPr>
          <w:rFonts w:ascii="Verdana" w:eastAsia="Arial MT" w:hAnsi="Verdana" w:cs="Arial"/>
          <w:lang w:val="es-ES"/>
        </w:rPr>
        <w:t>doctrina,</w:t>
      </w:r>
      <w:r w:rsidRPr="003D455F">
        <w:rPr>
          <w:rFonts w:ascii="Verdana" w:eastAsia="Arial MT" w:hAnsi="Verdana" w:cs="Arial"/>
          <w:spacing w:val="1"/>
          <w:lang w:val="es-ES"/>
        </w:rPr>
        <w:t xml:space="preserve"> </w:t>
      </w:r>
      <w:r w:rsidRPr="003D455F">
        <w:rPr>
          <w:rFonts w:ascii="Verdana" w:eastAsia="Arial MT" w:hAnsi="Verdana" w:cs="Arial"/>
          <w:lang w:val="es-ES"/>
        </w:rPr>
        <w:t>las</w:t>
      </w:r>
      <w:r w:rsidRPr="003D455F">
        <w:rPr>
          <w:rFonts w:ascii="Verdana" w:eastAsia="Arial MT" w:hAnsi="Verdana" w:cs="Arial"/>
          <w:spacing w:val="1"/>
          <w:lang w:val="es-ES"/>
        </w:rPr>
        <w:t xml:space="preserve"> </w:t>
      </w:r>
      <w:r w:rsidRPr="003D455F">
        <w:rPr>
          <w:rFonts w:ascii="Verdana" w:eastAsia="Arial MT" w:hAnsi="Verdana" w:cs="Arial"/>
          <w:lang w:val="es-ES"/>
        </w:rPr>
        <w:t>inhabilidades</w:t>
      </w:r>
      <w:r w:rsidRPr="003D455F">
        <w:rPr>
          <w:rFonts w:ascii="Verdana" w:eastAsia="Arial MT" w:hAnsi="Verdana" w:cs="Arial"/>
          <w:spacing w:val="1"/>
          <w:lang w:val="es-ES"/>
        </w:rPr>
        <w:t xml:space="preserve"> </w:t>
      </w:r>
      <w:r w:rsidRPr="003D455F">
        <w:rPr>
          <w:rFonts w:ascii="Verdana" w:eastAsia="Arial MT" w:hAnsi="Verdana" w:cs="Arial"/>
          <w:lang w:val="es-ES"/>
        </w:rPr>
        <w:t>e</w:t>
      </w:r>
      <w:r w:rsidRPr="003D455F">
        <w:rPr>
          <w:rFonts w:ascii="Verdana" w:eastAsia="Arial MT" w:hAnsi="Verdana" w:cs="Arial"/>
          <w:spacing w:val="1"/>
          <w:lang w:val="es-ES"/>
        </w:rPr>
        <w:t xml:space="preserve"> </w:t>
      </w:r>
      <w:r w:rsidRPr="003D455F">
        <w:rPr>
          <w:rFonts w:ascii="Verdana" w:eastAsia="Arial MT" w:hAnsi="Verdana" w:cs="Arial"/>
          <w:lang w:val="es-ES"/>
        </w:rPr>
        <w:t>incompatibilidades se han convertido en herramientas en la lucha contra la corrupción,</w:t>
      </w:r>
      <w:r w:rsidRPr="003D455F">
        <w:rPr>
          <w:rFonts w:ascii="Verdana" w:eastAsia="Arial MT" w:hAnsi="Verdana" w:cs="Arial"/>
          <w:spacing w:val="1"/>
          <w:lang w:val="es-ES"/>
        </w:rPr>
        <w:t xml:space="preserve"> </w:t>
      </w:r>
      <w:r w:rsidRPr="003D455F">
        <w:rPr>
          <w:rFonts w:ascii="Verdana" w:eastAsia="Arial MT" w:hAnsi="Verdana" w:cs="Arial"/>
          <w:lang w:val="es-ES"/>
        </w:rPr>
        <w:t>adoptando</w:t>
      </w:r>
      <w:r w:rsidRPr="003D455F">
        <w:rPr>
          <w:rFonts w:ascii="Verdana" w:eastAsia="Arial MT" w:hAnsi="Verdana" w:cs="Arial"/>
          <w:spacing w:val="-14"/>
          <w:lang w:val="es-ES"/>
        </w:rPr>
        <w:t xml:space="preserve"> </w:t>
      </w:r>
      <w:r w:rsidRPr="003D455F">
        <w:rPr>
          <w:rFonts w:ascii="Verdana" w:eastAsia="Arial MT" w:hAnsi="Verdana" w:cs="Arial"/>
          <w:lang w:val="es-ES"/>
        </w:rPr>
        <w:t>paulatinamente</w:t>
      </w:r>
      <w:r w:rsidRPr="003D455F">
        <w:rPr>
          <w:rFonts w:ascii="Verdana" w:eastAsia="Arial MT" w:hAnsi="Verdana" w:cs="Arial"/>
          <w:spacing w:val="-14"/>
          <w:lang w:val="es-ES"/>
        </w:rPr>
        <w:t xml:space="preserve"> </w:t>
      </w:r>
      <w:r w:rsidRPr="003D455F">
        <w:rPr>
          <w:rFonts w:ascii="Verdana" w:eastAsia="Arial MT" w:hAnsi="Verdana" w:cs="Arial"/>
          <w:lang w:val="es-ES"/>
        </w:rPr>
        <w:t>un</w:t>
      </w:r>
      <w:r w:rsidRPr="003D455F">
        <w:rPr>
          <w:rFonts w:ascii="Verdana" w:eastAsia="Arial MT" w:hAnsi="Verdana" w:cs="Arial"/>
          <w:spacing w:val="-14"/>
          <w:lang w:val="es-ES"/>
        </w:rPr>
        <w:t xml:space="preserve"> </w:t>
      </w:r>
      <w:r w:rsidRPr="003D455F">
        <w:rPr>
          <w:rFonts w:ascii="Verdana" w:eastAsia="Arial MT" w:hAnsi="Verdana" w:cs="Arial"/>
          <w:lang w:val="es-ES"/>
        </w:rPr>
        <w:t>carácter</w:t>
      </w:r>
      <w:r w:rsidRPr="003D455F">
        <w:rPr>
          <w:rFonts w:ascii="Verdana" w:eastAsia="Arial MT" w:hAnsi="Verdana" w:cs="Arial"/>
          <w:spacing w:val="-15"/>
          <w:lang w:val="es-ES"/>
        </w:rPr>
        <w:t xml:space="preserve"> </w:t>
      </w:r>
      <w:r w:rsidRPr="003D455F">
        <w:rPr>
          <w:rFonts w:ascii="Verdana" w:eastAsia="Arial MT" w:hAnsi="Verdana" w:cs="Arial"/>
          <w:lang w:val="es-ES"/>
        </w:rPr>
        <w:t>sancionatorio</w:t>
      </w:r>
      <w:r w:rsidRPr="003D455F">
        <w:rPr>
          <w:rFonts w:ascii="Verdana" w:eastAsia="Arial MT" w:hAnsi="Verdana" w:cs="Arial"/>
          <w:spacing w:val="-14"/>
          <w:lang w:val="es-ES"/>
        </w:rPr>
        <w:t xml:space="preserve"> </w:t>
      </w:r>
      <w:r w:rsidRPr="003D455F">
        <w:rPr>
          <w:rFonts w:ascii="Verdana" w:eastAsia="Arial MT" w:hAnsi="Verdana" w:cs="Arial"/>
          <w:lang w:val="es-ES"/>
        </w:rPr>
        <w:t>o</w:t>
      </w:r>
      <w:r w:rsidRPr="003D455F">
        <w:rPr>
          <w:rFonts w:ascii="Verdana" w:eastAsia="Arial MT" w:hAnsi="Verdana" w:cs="Arial"/>
          <w:spacing w:val="-15"/>
          <w:lang w:val="es-ES"/>
        </w:rPr>
        <w:t xml:space="preserve"> </w:t>
      </w:r>
      <w:r w:rsidRPr="003D455F">
        <w:rPr>
          <w:rFonts w:ascii="Verdana" w:eastAsia="Arial MT" w:hAnsi="Verdana" w:cs="Arial"/>
          <w:lang w:val="es-ES"/>
        </w:rPr>
        <w:t>“neopunitivo”</w:t>
      </w:r>
      <w:r w:rsidRPr="003D455F">
        <w:rPr>
          <w:rFonts w:ascii="Geomanist Light" w:hAnsi="Geomanist Light"/>
          <w:vertAlign w:val="superscript"/>
          <w:lang w:val="es-ES"/>
        </w:rPr>
        <w:footnoteReference w:id="2"/>
      </w:r>
      <w:r w:rsidRPr="003D455F">
        <w:rPr>
          <w:rFonts w:ascii="Verdana" w:eastAsia="Arial MT" w:hAnsi="Verdana" w:cs="Arial"/>
          <w:lang w:val="es-ES"/>
        </w:rPr>
        <w:t>.</w:t>
      </w:r>
      <w:r w:rsidRPr="003D455F">
        <w:rPr>
          <w:rFonts w:ascii="Verdana" w:eastAsia="Arial MT" w:hAnsi="Verdana" w:cs="Arial"/>
          <w:spacing w:val="-14"/>
          <w:lang w:val="es-ES"/>
        </w:rPr>
        <w:t xml:space="preserve"> </w:t>
      </w:r>
      <w:r w:rsidRPr="003D455F">
        <w:rPr>
          <w:rFonts w:ascii="Verdana" w:eastAsia="Arial MT" w:hAnsi="Verdana" w:cs="Arial"/>
          <w:lang w:val="es-ES"/>
        </w:rPr>
        <w:t>Si</w:t>
      </w:r>
      <w:r w:rsidRPr="003D455F">
        <w:rPr>
          <w:rFonts w:ascii="Verdana" w:eastAsia="Arial MT" w:hAnsi="Verdana" w:cs="Arial"/>
          <w:spacing w:val="-14"/>
          <w:lang w:val="es-ES"/>
        </w:rPr>
        <w:t xml:space="preserve"> </w:t>
      </w:r>
      <w:r w:rsidRPr="003D455F">
        <w:rPr>
          <w:rFonts w:ascii="Verdana" w:eastAsia="Arial MT" w:hAnsi="Verdana" w:cs="Arial"/>
          <w:lang w:val="es-ES"/>
        </w:rPr>
        <w:t>bien</w:t>
      </w:r>
      <w:r w:rsidRPr="003D455F">
        <w:rPr>
          <w:rFonts w:ascii="Verdana" w:eastAsia="Arial MT" w:hAnsi="Verdana" w:cs="Arial"/>
          <w:spacing w:val="-14"/>
          <w:lang w:val="es-ES"/>
        </w:rPr>
        <w:t xml:space="preserve"> </w:t>
      </w:r>
      <w:r w:rsidRPr="003D455F">
        <w:rPr>
          <w:rFonts w:ascii="Verdana" w:eastAsia="Arial MT" w:hAnsi="Verdana" w:cs="Arial"/>
          <w:lang w:val="es-ES"/>
        </w:rPr>
        <w:t>no</w:t>
      </w:r>
      <w:r w:rsidRPr="003D455F">
        <w:rPr>
          <w:rFonts w:ascii="Verdana" w:eastAsia="Arial MT" w:hAnsi="Verdana" w:cs="Arial"/>
          <w:spacing w:val="-14"/>
          <w:lang w:val="es-ES"/>
        </w:rPr>
        <w:t xml:space="preserve"> </w:t>
      </w:r>
      <w:r w:rsidRPr="003D455F">
        <w:rPr>
          <w:rFonts w:ascii="Verdana" w:eastAsia="Arial MT" w:hAnsi="Verdana" w:cs="Arial"/>
          <w:lang w:val="es-ES"/>
        </w:rPr>
        <w:t>todas las causales de inhabilidad y de incompatibilidad son consecuencia de una medida de</w:t>
      </w:r>
      <w:r w:rsidRPr="003D455F">
        <w:rPr>
          <w:rFonts w:ascii="Verdana" w:eastAsia="Arial MT" w:hAnsi="Verdana" w:cs="Arial"/>
          <w:spacing w:val="1"/>
          <w:lang w:val="es-ES"/>
        </w:rPr>
        <w:t xml:space="preserve"> </w:t>
      </w:r>
      <w:r w:rsidRPr="003D455F">
        <w:rPr>
          <w:rFonts w:ascii="Verdana" w:eastAsia="Arial MT" w:hAnsi="Verdana" w:cs="Arial"/>
          <w:lang w:val="es-ES"/>
        </w:rPr>
        <w:t>reproche</w:t>
      </w:r>
      <w:r w:rsidRPr="003D455F">
        <w:rPr>
          <w:rFonts w:ascii="Verdana" w:eastAsia="Arial MT" w:hAnsi="Verdana" w:cs="Arial"/>
          <w:spacing w:val="2"/>
          <w:lang w:val="es-ES"/>
        </w:rPr>
        <w:t xml:space="preserve"> </w:t>
      </w:r>
      <w:r w:rsidRPr="003D455F">
        <w:rPr>
          <w:rFonts w:ascii="Verdana" w:eastAsia="Arial MT" w:hAnsi="Verdana" w:cs="Arial"/>
          <w:lang w:val="es-ES"/>
        </w:rPr>
        <w:t>ni</w:t>
      </w:r>
      <w:r w:rsidRPr="003D455F">
        <w:rPr>
          <w:rFonts w:ascii="Verdana" w:eastAsia="Arial MT" w:hAnsi="Verdana" w:cs="Arial"/>
          <w:spacing w:val="3"/>
          <w:lang w:val="es-ES"/>
        </w:rPr>
        <w:t xml:space="preserve"> </w:t>
      </w:r>
      <w:r w:rsidRPr="003D455F">
        <w:rPr>
          <w:rFonts w:ascii="Verdana" w:eastAsia="Arial MT" w:hAnsi="Verdana" w:cs="Arial"/>
          <w:lang w:val="es-ES"/>
        </w:rPr>
        <w:t>de</w:t>
      </w:r>
      <w:r w:rsidRPr="003D455F">
        <w:rPr>
          <w:rFonts w:ascii="Verdana" w:eastAsia="Arial MT" w:hAnsi="Verdana" w:cs="Arial"/>
          <w:spacing w:val="2"/>
          <w:lang w:val="es-ES"/>
        </w:rPr>
        <w:t xml:space="preserve"> </w:t>
      </w:r>
      <w:r w:rsidRPr="003D455F">
        <w:rPr>
          <w:rFonts w:ascii="Verdana" w:eastAsia="Arial MT" w:hAnsi="Verdana" w:cs="Arial"/>
          <w:lang w:val="es-ES"/>
        </w:rPr>
        <w:t>una</w:t>
      </w:r>
      <w:r w:rsidRPr="003D455F">
        <w:rPr>
          <w:rFonts w:ascii="Verdana" w:eastAsia="Arial MT" w:hAnsi="Verdana" w:cs="Arial"/>
          <w:spacing w:val="3"/>
          <w:lang w:val="es-ES"/>
        </w:rPr>
        <w:t xml:space="preserve"> </w:t>
      </w:r>
      <w:r w:rsidRPr="003D455F">
        <w:rPr>
          <w:rFonts w:ascii="Verdana" w:eastAsia="Arial MT" w:hAnsi="Verdana" w:cs="Arial"/>
          <w:lang w:val="es-ES"/>
        </w:rPr>
        <w:t>sanción</w:t>
      </w:r>
      <w:r w:rsidRPr="003D455F">
        <w:rPr>
          <w:rFonts w:ascii="Verdana" w:eastAsia="Arial MT" w:hAnsi="Verdana" w:cs="Arial"/>
          <w:spacing w:val="2"/>
          <w:lang w:val="es-ES"/>
        </w:rPr>
        <w:t xml:space="preserve"> </w:t>
      </w:r>
      <w:r w:rsidRPr="003D455F">
        <w:rPr>
          <w:rFonts w:ascii="Verdana" w:eastAsia="Arial MT" w:hAnsi="Verdana" w:cs="Arial"/>
          <w:lang w:val="es-ES"/>
        </w:rPr>
        <w:t>previa,</w:t>
      </w:r>
      <w:r w:rsidRPr="003D455F">
        <w:rPr>
          <w:rFonts w:ascii="Verdana" w:eastAsia="Arial MT" w:hAnsi="Verdana" w:cs="Arial"/>
          <w:spacing w:val="3"/>
          <w:lang w:val="es-ES"/>
        </w:rPr>
        <w:t xml:space="preserve"> </w:t>
      </w:r>
      <w:r w:rsidRPr="003D455F">
        <w:rPr>
          <w:rFonts w:ascii="Verdana" w:eastAsia="Arial MT" w:hAnsi="Verdana" w:cs="Arial"/>
          <w:lang w:val="es-ES"/>
        </w:rPr>
        <w:t>es</w:t>
      </w:r>
      <w:r w:rsidRPr="003D455F">
        <w:rPr>
          <w:rFonts w:ascii="Verdana" w:eastAsia="Arial MT" w:hAnsi="Verdana" w:cs="Arial"/>
          <w:spacing w:val="3"/>
          <w:lang w:val="es-ES"/>
        </w:rPr>
        <w:t xml:space="preserve"> </w:t>
      </w:r>
      <w:r w:rsidRPr="003D455F">
        <w:rPr>
          <w:rFonts w:ascii="Verdana" w:eastAsia="Arial MT" w:hAnsi="Verdana" w:cs="Arial"/>
          <w:lang w:val="es-ES"/>
        </w:rPr>
        <w:t>indiscutible</w:t>
      </w:r>
      <w:r w:rsidRPr="003D455F">
        <w:rPr>
          <w:rFonts w:ascii="Verdana" w:eastAsia="Arial MT" w:hAnsi="Verdana" w:cs="Arial"/>
          <w:spacing w:val="2"/>
          <w:lang w:val="es-ES"/>
        </w:rPr>
        <w:t xml:space="preserve"> </w:t>
      </w:r>
      <w:r w:rsidRPr="003D455F">
        <w:rPr>
          <w:rFonts w:ascii="Verdana" w:eastAsia="Arial MT" w:hAnsi="Verdana" w:cs="Arial"/>
          <w:lang w:val="es-ES"/>
        </w:rPr>
        <w:t>que</w:t>
      </w:r>
      <w:r w:rsidRPr="003D455F">
        <w:rPr>
          <w:rFonts w:ascii="Verdana" w:eastAsia="Arial MT" w:hAnsi="Verdana" w:cs="Arial"/>
          <w:spacing w:val="3"/>
          <w:lang w:val="es-ES"/>
        </w:rPr>
        <w:t xml:space="preserve"> </w:t>
      </w:r>
      <w:r w:rsidRPr="003D455F">
        <w:rPr>
          <w:rFonts w:ascii="Verdana" w:eastAsia="Arial MT" w:hAnsi="Verdana" w:cs="Arial"/>
          <w:lang w:val="es-ES"/>
        </w:rPr>
        <w:t>en</w:t>
      </w:r>
      <w:r w:rsidRPr="003D455F">
        <w:rPr>
          <w:rFonts w:ascii="Verdana" w:eastAsia="Arial MT" w:hAnsi="Verdana" w:cs="Arial"/>
          <w:spacing w:val="3"/>
          <w:lang w:val="es-ES"/>
        </w:rPr>
        <w:t xml:space="preserve"> </w:t>
      </w:r>
      <w:r w:rsidRPr="003D455F">
        <w:rPr>
          <w:rFonts w:ascii="Verdana" w:eastAsia="Arial MT" w:hAnsi="Verdana" w:cs="Arial"/>
          <w:lang w:val="es-ES"/>
        </w:rPr>
        <w:t>los</w:t>
      </w:r>
      <w:r w:rsidRPr="003D455F">
        <w:rPr>
          <w:rFonts w:ascii="Verdana" w:eastAsia="Arial MT" w:hAnsi="Verdana" w:cs="Arial"/>
          <w:spacing w:val="2"/>
          <w:lang w:val="es-ES"/>
        </w:rPr>
        <w:t xml:space="preserve"> </w:t>
      </w:r>
      <w:r w:rsidRPr="003D455F">
        <w:rPr>
          <w:rFonts w:ascii="Verdana" w:eastAsia="Arial MT" w:hAnsi="Verdana" w:cs="Arial"/>
          <w:lang w:val="es-ES"/>
        </w:rPr>
        <w:t>años más recientes los lamentables hechos de corrupción han generado como respuesta</w:t>
      </w:r>
      <w:r w:rsidRPr="003D455F">
        <w:rPr>
          <w:rFonts w:ascii="Verdana" w:eastAsia="Arial MT" w:hAnsi="Verdana" w:cs="Arial"/>
          <w:spacing w:val="1"/>
          <w:lang w:val="es-ES"/>
        </w:rPr>
        <w:t xml:space="preserve"> </w:t>
      </w:r>
      <w:r w:rsidRPr="003D455F">
        <w:rPr>
          <w:rFonts w:ascii="Verdana" w:eastAsia="Arial MT" w:hAnsi="Verdana" w:cs="Arial"/>
          <w:lang w:val="es-ES"/>
        </w:rPr>
        <w:t>del legislador, un incremento de las restricciones a la capacidad contractual, dirigidas a</w:t>
      </w:r>
      <w:r w:rsidRPr="003D455F">
        <w:rPr>
          <w:rFonts w:ascii="Verdana" w:eastAsia="Arial MT" w:hAnsi="Verdana" w:cs="Arial"/>
          <w:spacing w:val="-59"/>
          <w:lang w:val="es-ES"/>
        </w:rPr>
        <w:t xml:space="preserve"> </w:t>
      </w:r>
      <w:r w:rsidRPr="003D455F">
        <w:rPr>
          <w:rFonts w:ascii="Verdana" w:eastAsia="Arial MT" w:hAnsi="Verdana" w:cs="Arial"/>
          <w:lang w:val="es-ES"/>
        </w:rPr>
        <w:t>prevenir</w:t>
      </w:r>
      <w:r w:rsidRPr="003D455F">
        <w:rPr>
          <w:rFonts w:ascii="Verdana" w:eastAsia="Arial MT" w:hAnsi="Verdana" w:cs="Arial"/>
          <w:spacing w:val="-2"/>
          <w:lang w:val="es-ES"/>
        </w:rPr>
        <w:t xml:space="preserve"> </w:t>
      </w:r>
      <w:r w:rsidRPr="003D455F">
        <w:rPr>
          <w:rFonts w:ascii="Verdana" w:eastAsia="Arial MT" w:hAnsi="Verdana" w:cs="Arial"/>
          <w:lang w:val="es-ES"/>
        </w:rPr>
        <w:t>este</w:t>
      </w:r>
      <w:r w:rsidRPr="003D455F">
        <w:rPr>
          <w:rFonts w:ascii="Verdana" w:eastAsia="Arial MT" w:hAnsi="Verdana" w:cs="Arial"/>
          <w:spacing w:val="-1"/>
          <w:lang w:val="es-ES"/>
        </w:rPr>
        <w:t xml:space="preserve"> </w:t>
      </w:r>
      <w:r w:rsidRPr="003D455F">
        <w:rPr>
          <w:rFonts w:ascii="Verdana" w:eastAsia="Arial MT" w:hAnsi="Verdana" w:cs="Arial"/>
          <w:lang w:val="es-ES"/>
        </w:rPr>
        <w:t>tipo</w:t>
      </w:r>
      <w:r w:rsidRPr="003D455F">
        <w:rPr>
          <w:rFonts w:ascii="Verdana" w:eastAsia="Arial MT" w:hAnsi="Verdana" w:cs="Arial"/>
          <w:spacing w:val="-2"/>
          <w:lang w:val="es-ES"/>
        </w:rPr>
        <w:t xml:space="preserve"> </w:t>
      </w:r>
      <w:r w:rsidRPr="003D455F">
        <w:rPr>
          <w:rFonts w:ascii="Verdana" w:eastAsia="Arial MT" w:hAnsi="Verdana" w:cs="Arial"/>
          <w:lang w:val="es-ES"/>
        </w:rPr>
        <w:t>de</w:t>
      </w:r>
      <w:r w:rsidRPr="003D455F">
        <w:rPr>
          <w:rFonts w:ascii="Verdana" w:eastAsia="Arial MT" w:hAnsi="Verdana" w:cs="Arial"/>
          <w:spacing w:val="-1"/>
          <w:lang w:val="es-ES"/>
        </w:rPr>
        <w:t xml:space="preserve"> </w:t>
      </w:r>
      <w:r w:rsidRPr="003D455F">
        <w:rPr>
          <w:rFonts w:ascii="Verdana" w:eastAsia="Arial MT" w:hAnsi="Verdana" w:cs="Arial"/>
          <w:lang w:val="es-ES"/>
        </w:rPr>
        <w:t>situaciones</w:t>
      </w:r>
      <w:r w:rsidRPr="003D455F">
        <w:rPr>
          <w:rFonts w:ascii="Verdana" w:eastAsia="Arial MT" w:hAnsi="Verdana" w:cs="Arial"/>
          <w:spacing w:val="-1"/>
          <w:lang w:val="es-ES"/>
        </w:rPr>
        <w:t xml:space="preserve"> </w:t>
      </w:r>
      <w:r w:rsidRPr="003D455F">
        <w:rPr>
          <w:rFonts w:ascii="Verdana" w:eastAsia="Arial MT" w:hAnsi="Verdana" w:cs="Arial"/>
          <w:lang w:val="es-ES"/>
        </w:rPr>
        <w:t>o</w:t>
      </w:r>
      <w:r w:rsidRPr="003D455F">
        <w:rPr>
          <w:rFonts w:ascii="Verdana" w:eastAsia="Arial MT" w:hAnsi="Verdana" w:cs="Arial"/>
          <w:spacing w:val="-2"/>
          <w:lang w:val="es-ES"/>
        </w:rPr>
        <w:t xml:space="preserve"> </w:t>
      </w:r>
      <w:r w:rsidRPr="003D455F">
        <w:rPr>
          <w:rFonts w:ascii="Verdana" w:eastAsia="Arial MT" w:hAnsi="Verdana" w:cs="Arial"/>
          <w:lang w:val="es-ES"/>
        </w:rPr>
        <w:t>a</w:t>
      </w:r>
      <w:r w:rsidRPr="003D455F">
        <w:rPr>
          <w:rFonts w:ascii="Verdana" w:eastAsia="Arial MT" w:hAnsi="Verdana" w:cs="Arial"/>
          <w:spacing w:val="-1"/>
          <w:lang w:val="es-ES"/>
        </w:rPr>
        <w:t xml:space="preserve"> </w:t>
      </w:r>
      <w:r w:rsidRPr="003D455F">
        <w:rPr>
          <w:rFonts w:ascii="Verdana" w:eastAsia="Arial MT" w:hAnsi="Verdana" w:cs="Arial"/>
          <w:lang w:val="es-ES"/>
        </w:rPr>
        <w:t>sancionar</w:t>
      </w:r>
      <w:r w:rsidRPr="003D455F">
        <w:rPr>
          <w:rFonts w:ascii="Verdana" w:eastAsia="Arial MT" w:hAnsi="Verdana" w:cs="Arial"/>
          <w:spacing w:val="-1"/>
          <w:lang w:val="es-ES"/>
        </w:rPr>
        <w:t xml:space="preserve"> </w:t>
      </w:r>
      <w:r w:rsidRPr="003D455F">
        <w:rPr>
          <w:rFonts w:ascii="Verdana" w:eastAsia="Arial MT" w:hAnsi="Verdana" w:cs="Arial"/>
          <w:lang w:val="es-ES"/>
        </w:rPr>
        <w:t>tales</w:t>
      </w:r>
      <w:r w:rsidRPr="003D455F">
        <w:rPr>
          <w:rFonts w:ascii="Verdana" w:eastAsia="Arial MT" w:hAnsi="Verdana" w:cs="Arial"/>
          <w:spacing w:val="-2"/>
          <w:lang w:val="es-ES"/>
        </w:rPr>
        <w:t xml:space="preserve"> </w:t>
      </w:r>
      <w:r w:rsidRPr="003D455F">
        <w:rPr>
          <w:rFonts w:ascii="Verdana" w:eastAsia="Arial MT" w:hAnsi="Verdana" w:cs="Arial"/>
          <w:lang w:val="es-ES"/>
        </w:rPr>
        <w:t>conductas.</w:t>
      </w:r>
    </w:p>
    <w:p w14:paraId="13139BAF" w14:textId="77777777" w:rsidR="0092047B" w:rsidRPr="003D455F" w:rsidRDefault="0092047B" w:rsidP="0092047B">
      <w:pPr>
        <w:widowControl w:val="0"/>
        <w:autoSpaceDE w:val="0"/>
        <w:autoSpaceDN w:val="0"/>
        <w:spacing w:after="0" w:line="276" w:lineRule="auto"/>
        <w:ind w:left="720" w:right="68"/>
        <w:contextualSpacing/>
        <w:jc w:val="both"/>
        <w:rPr>
          <w:rFonts w:ascii="Verdana" w:eastAsia="Arial MT" w:hAnsi="Verdana" w:cs="Arial"/>
          <w:u w:val="single"/>
          <w:lang w:val="es-ES"/>
        </w:rPr>
      </w:pPr>
    </w:p>
    <w:p w14:paraId="724840B1" w14:textId="77777777" w:rsidR="0092047B" w:rsidRPr="003D455F" w:rsidRDefault="0092047B" w:rsidP="0092047B">
      <w:pPr>
        <w:widowControl w:val="0"/>
        <w:autoSpaceDE w:val="0"/>
        <w:autoSpaceDN w:val="0"/>
        <w:spacing w:before="120" w:after="0" w:line="276" w:lineRule="auto"/>
        <w:ind w:firstLine="708"/>
        <w:contextualSpacing/>
        <w:jc w:val="both"/>
        <w:rPr>
          <w:rFonts w:ascii="Verdana" w:eastAsia="Arial MT" w:hAnsi="Verdana" w:cs="Arial"/>
          <w:lang w:val="es-ES"/>
        </w:rPr>
      </w:pPr>
      <w:r w:rsidRPr="003D455F">
        <w:rPr>
          <w:rFonts w:ascii="Verdana" w:eastAsia="Arial MT" w:hAnsi="Verdana" w:cs="Arial"/>
          <w:lang w:val="es-ES"/>
        </w:rPr>
        <w:t>Ahora bien, las inhabilidades e incompatibilidades, al ser</w:t>
      </w:r>
      <w:r w:rsidRPr="003D455F">
        <w:rPr>
          <w:rFonts w:ascii="Verdana" w:eastAsia="Arial MT" w:hAnsi="Verdana" w:cs="Arial"/>
          <w:spacing w:val="1"/>
          <w:lang w:val="es-ES"/>
        </w:rPr>
        <w:t xml:space="preserve"> </w:t>
      </w:r>
      <w:r w:rsidRPr="003D455F">
        <w:rPr>
          <w:rFonts w:ascii="Verdana" w:eastAsia="Arial MT" w:hAnsi="Verdana" w:cs="Arial"/>
          <w:lang w:val="es-ES"/>
        </w:rPr>
        <w:t>restricciones o límites especiales a la capacidad para presentar ofertas y celebrar</w:t>
      </w:r>
      <w:r w:rsidRPr="003D455F">
        <w:rPr>
          <w:rFonts w:ascii="Verdana" w:eastAsia="Arial MT" w:hAnsi="Verdana" w:cs="Arial"/>
          <w:spacing w:val="1"/>
          <w:lang w:val="es-ES"/>
        </w:rPr>
        <w:t xml:space="preserve"> </w:t>
      </w:r>
      <w:r w:rsidRPr="003D455F">
        <w:rPr>
          <w:rFonts w:ascii="Verdana" w:eastAsia="Arial MT" w:hAnsi="Verdana" w:cs="Arial"/>
          <w:lang w:val="es-ES"/>
        </w:rPr>
        <w:t>contratos</w:t>
      </w:r>
      <w:r w:rsidRPr="003D455F">
        <w:rPr>
          <w:rFonts w:ascii="Verdana" w:eastAsia="Arial MT" w:hAnsi="Verdana" w:cs="Arial"/>
          <w:spacing w:val="-12"/>
          <w:lang w:val="es-ES"/>
        </w:rPr>
        <w:t xml:space="preserve"> </w:t>
      </w:r>
      <w:r w:rsidRPr="003D455F">
        <w:rPr>
          <w:rFonts w:ascii="Verdana" w:eastAsia="Arial MT" w:hAnsi="Verdana" w:cs="Arial"/>
          <w:lang w:val="es-ES"/>
        </w:rPr>
        <w:t>estatales,</w:t>
      </w:r>
      <w:r w:rsidRPr="003D455F">
        <w:rPr>
          <w:rFonts w:ascii="Verdana" w:eastAsia="Arial MT" w:hAnsi="Verdana" w:cs="Arial"/>
          <w:spacing w:val="-12"/>
          <w:lang w:val="es-ES"/>
        </w:rPr>
        <w:t xml:space="preserve"> </w:t>
      </w:r>
      <w:r w:rsidRPr="003D455F">
        <w:rPr>
          <w:rFonts w:ascii="Verdana" w:eastAsia="Arial MT" w:hAnsi="Verdana" w:cs="Arial"/>
          <w:lang w:val="es-ES"/>
        </w:rPr>
        <w:t>solo</w:t>
      </w:r>
      <w:r w:rsidRPr="003D455F">
        <w:rPr>
          <w:rFonts w:ascii="Verdana" w:eastAsia="Arial MT" w:hAnsi="Verdana" w:cs="Arial"/>
          <w:spacing w:val="-12"/>
          <w:lang w:val="es-ES"/>
        </w:rPr>
        <w:t xml:space="preserve"> </w:t>
      </w:r>
      <w:r w:rsidRPr="003D455F">
        <w:rPr>
          <w:rFonts w:ascii="Verdana" w:eastAsia="Arial MT" w:hAnsi="Verdana" w:cs="Arial"/>
          <w:lang w:val="es-ES"/>
        </w:rPr>
        <w:t>pueden</w:t>
      </w:r>
      <w:r w:rsidRPr="003D455F">
        <w:rPr>
          <w:rFonts w:ascii="Verdana" w:eastAsia="Arial MT" w:hAnsi="Verdana" w:cs="Arial"/>
          <w:spacing w:val="-11"/>
          <w:lang w:val="es-ES"/>
        </w:rPr>
        <w:t xml:space="preserve"> </w:t>
      </w:r>
      <w:r w:rsidRPr="003D455F">
        <w:rPr>
          <w:rFonts w:ascii="Verdana" w:eastAsia="Arial MT" w:hAnsi="Verdana" w:cs="Arial"/>
          <w:lang w:val="es-ES"/>
        </w:rPr>
        <w:t>tipificarse</w:t>
      </w:r>
      <w:r w:rsidRPr="003D455F">
        <w:rPr>
          <w:rFonts w:ascii="Verdana" w:eastAsia="Arial MT" w:hAnsi="Verdana" w:cs="Arial"/>
          <w:spacing w:val="-10"/>
          <w:lang w:val="es-ES"/>
        </w:rPr>
        <w:t xml:space="preserve"> </w:t>
      </w:r>
      <w:r w:rsidRPr="003D455F">
        <w:rPr>
          <w:rFonts w:ascii="Verdana" w:eastAsia="Arial MT" w:hAnsi="Verdana" w:cs="Arial"/>
          <w:lang w:val="es-ES"/>
        </w:rPr>
        <w:t>en</w:t>
      </w:r>
      <w:r w:rsidRPr="003D455F">
        <w:rPr>
          <w:rFonts w:ascii="Verdana" w:eastAsia="Arial MT" w:hAnsi="Verdana" w:cs="Arial"/>
          <w:spacing w:val="-12"/>
          <w:lang w:val="es-ES"/>
        </w:rPr>
        <w:t xml:space="preserve"> </w:t>
      </w:r>
      <w:r w:rsidRPr="003D455F">
        <w:rPr>
          <w:rFonts w:ascii="Verdana" w:eastAsia="Arial MT" w:hAnsi="Verdana" w:cs="Arial"/>
          <w:lang w:val="es-ES"/>
        </w:rPr>
        <w:t>la</w:t>
      </w:r>
      <w:r w:rsidRPr="003D455F">
        <w:rPr>
          <w:rFonts w:ascii="Verdana" w:eastAsia="Arial MT" w:hAnsi="Verdana" w:cs="Arial"/>
          <w:spacing w:val="-12"/>
          <w:lang w:val="es-ES"/>
        </w:rPr>
        <w:t xml:space="preserve"> </w:t>
      </w:r>
      <w:r w:rsidRPr="003D455F">
        <w:rPr>
          <w:rFonts w:ascii="Verdana" w:eastAsia="Arial MT" w:hAnsi="Verdana" w:cs="Arial"/>
          <w:lang w:val="es-ES"/>
        </w:rPr>
        <w:t>ley</w:t>
      </w:r>
      <w:r w:rsidRPr="003D455F">
        <w:rPr>
          <w:rFonts w:ascii="Verdana" w:eastAsia="Arial MT" w:hAnsi="Verdana" w:cs="Arial"/>
          <w:spacing w:val="-12"/>
          <w:lang w:val="es-ES"/>
        </w:rPr>
        <w:t xml:space="preserve"> </w:t>
      </w:r>
      <w:r w:rsidRPr="003D455F">
        <w:rPr>
          <w:rFonts w:ascii="Verdana" w:eastAsia="Arial MT" w:hAnsi="Verdana" w:cs="Arial"/>
          <w:lang w:val="es-ES"/>
        </w:rPr>
        <w:t xml:space="preserve">y su interpretación debe ser </w:t>
      </w:r>
      <w:r w:rsidRPr="003D455F">
        <w:rPr>
          <w:rFonts w:ascii="Verdana" w:eastAsia="Arial MT" w:hAnsi="Verdana" w:cs="Arial"/>
          <w:i/>
          <w:lang w:val="es-ES"/>
        </w:rPr>
        <w:t>restrictiva</w:t>
      </w:r>
      <w:r w:rsidRPr="003D455F">
        <w:rPr>
          <w:rFonts w:ascii="Geomanist Light" w:hAnsi="Geomanist Light"/>
          <w:i/>
          <w:vertAlign w:val="superscript"/>
          <w:lang w:val="es-ES"/>
        </w:rPr>
        <w:footnoteReference w:id="3"/>
      </w:r>
      <w:r w:rsidRPr="003D455F">
        <w:rPr>
          <w:rFonts w:ascii="Verdana" w:eastAsia="Arial MT" w:hAnsi="Verdana" w:cs="Arial"/>
          <w:lang w:val="es-ES"/>
        </w:rPr>
        <w:t>. De admitirse una interpretación</w:t>
      </w:r>
      <w:r w:rsidRPr="003D455F">
        <w:rPr>
          <w:rFonts w:ascii="Verdana" w:eastAsia="Arial MT" w:hAnsi="Verdana" w:cs="Arial"/>
          <w:spacing w:val="1"/>
          <w:lang w:val="es-ES"/>
        </w:rPr>
        <w:t xml:space="preserve"> </w:t>
      </w:r>
      <w:r w:rsidRPr="003D455F">
        <w:rPr>
          <w:rFonts w:ascii="Verdana" w:eastAsia="Arial MT" w:hAnsi="Verdana" w:cs="Arial"/>
          <w:lang w:val="es-ES"/>
        </w:rPr>
        <w:t>extensiva,</w:t>
      </w:r>
      <w:r w:rsidRPr="003D455F">
        <w:rPr>
          <w:rFonts w:ascii="Verdana" w:eastAsia="Arial MT" w:hAnsi="Verdana" w:cs="Arial"/>
          <w:spacing w:val="1"/>
          <w:lang w:val="es-ES"/>
        </w:rPr>
        <w:t xml:space="preserve"> </w:t>
      </w:r>
      <w:r w:rsidRPr="003D455F">
        <w:rPr>
          <w:rFonts w:ascii="Verdana" w:eastAsia="Arial MT" w:hAnsi="Verdana" w:cs="Arial"/>
          <w:lang w:val="es-ES"/>
        </w:rPr>
        <w:t>tales</w:t>
      </w:r>
      <w:r w:rsidRPr="003D455F">
        <w:rPr>
          <w:rFonts w:ascii="Verdana" w:eastAsia="Arial MT" w:hAnsi="Verdana" w:cs="Arial"/>
          <w:spacing w:val="1"/>
          <w:lang w:val="es-ES"/>
        </w:rPr>
        <w:t xml:space="preserve"> </w:t>
      </w:r>
      <w:r w:rsidRPr="003D455F">
        <w:rPr>
          <w:rFonts w:ascii="Verdana" w:eastAsia="Arial MT" w:hAnsi="Verdana" w:cs="Arial"/>
          <w:lang w:val="es-ES"/>
        </w:rPr>
        <w:t>enunciados</w:t>
      </w:r>
      <w:r w:rsidRPr="003D455F">
        <w:rPr>
          <w:rFonts w:ascii="Verdana" w:eastAsia="Arial MT" w:hAnsi="Verdana" w:cs="Arial"/>
          <w:spacing w:val="1"/>
          <w:lang w:val="es-ES"/>
        </w:rPr>
        <w:t xml:space="preserve"> </w:t>
      </w:r>
      <w:r w:rsidRPr="003D455F">
        <w:rPr>
          <w:rFonts w:ascii="Verdana" w:eastAsia="Arial MT" w:hAnsi="Verdana" w:cs="Arial"/>
          <w:lang w:val="es-ES"/>
        </w:rPr>
        <w:t>normativos</w:t>
      </w:r>
      <w:r w:rsidRPr="003D455F">
        <w:rPr>
          <w:rFonts w:ascii="Verdana" w:eastAsia="Arial MT" w:hAnsi="Verdana" w:cs="Arial"/>
          <w:spacing w:val="1"/>
          <w:lang w:val="es-ES"/>
        </w:rPr>
        <w:t xml:space="preserve"> </w:t>
      </w:r>
      <w:r w:rsidRPr="003D455F">
        <w:rPr>
          <w:rFonts w:ascii="Verdana" w:eastAsia="Arial MT" w:hAnsi="Verdana" w:cs="Arial"/>
          <w:lang w:val="es-ES"/>
        </w:rPr>
        <w:t>podrían</w:t>
      </w:r>
      <w:r w:rsidRPr="003D455F">
        <w:rPr>
          <w:rFonts w:ascii="Verdana" w:eastAsia="Arial MT" w:hAnsi="Verdana" w:cs="Arial"/>
          <w:spacing w:val="1"/>
          <w:lang w:val="es-ES"/>
        </w:rPr>
        <w:t xml:space="preserve"> </w:t>
      </w:r>
      <w:r w:rsidRPr="003D455F">
        <w:rPr>
          <w:rFonts w:ascii="Verdana" w:eastAsia="Arial MT" w:hAnsi="Verdana" w:cs="Arial"/>
          <w:lang w:val="es-ES"/>
        </w:rPr>
        <w:t>contemplar</w:t>
      </w:r>
      <w:r w:rsidRPr="003D455F">
        <w:rPr>
          <w:rFonts w:ascii="Verdana" w:eastAsia="Arial MT" w:hAnsi="Verdana" w:cs="Arial"/>
          <w:spacing w:val="1"/>
          <w:lang w:val="es-ES"/>
        </w:rPr>
        <w:t xml:space="preserve"> </w:t>
      </w:r>
      <w:r w:rsidRPr="003D455F">
        <w:rPr>
          <w:rFonts w:ascii="Verdana" w:eastAsia="Arial MT" w:hAnsi="Verdana" w:cs="Arial"/>
          <w:lang w:val="es-ES"/>
        </w:rPr>
        <w:t>múltiples</w:t>
      </w:r>
      <w:r w:rsidRPr="003D455F">
        <w:rPr>
          <w:rFonts w:ascii="Verdana" w:eastAsia="Arial MT" w:hAnsi="Verdana" w:cs="Arial"/>
          <w:spacing w:val="1"/>
          <w:lang w:val="es-ES"/>
        </w:rPr>
        <w:t xml:space="preserve"> </w:t>
      </w:r>
      <w:r w:rsidRPr="003D455F">
        <w:rPr>
          <w:rFonts w:ascii="Verdana" w:eastAsia="Arial MT" w:hAnsi="Verdana" w:cs="Arial"/>
          <w:lang w:val="es-ES"/>
        </w:rPr>
        <w:t>supuestos</w:t>
      </w:r>
      <w:r w:rsidRPr="003D455F">
        <w:rPr>
          <w:rFonts w:ascii="Verdana" w:eastAsia="Arial MT" w:hAnsi="Verdana" w:cs="Arial"/>
          <w:spacing w:val="1"/>
          <w:lang w:val="es-ES"/>
        </w:rPr>
        <w:t xml:space="preserve"> </w:t>
      </w:r>
      <w:r w:rsidRPr="003D455F">
        <w:rPr>
          <w:rFonts w:ascii="Verdana" w:eastAsia="Arial MT" w:hAnsi="Verdana" w:cs="Arial"/>
          <w:lang w:val="es-ES"/>
        </w:rPr>
        <w:t>indeterminados,</w:t>
      </w:r>
      <w:r w:rsidRPr="003D455F">
        <w:rPr>
          <w:rFonts w:ascii="Verdana" w:eastAsia="Arial MT" w:hAnsi="Verdana" w:cs="Arial"/>
          <w:spacing w:val="-4"/>
          <w:lang w:val="es-ES"/>
        </w:rPr>
        <w:t xml:space="preserve"> </w:t>
      </w:r>
      <w:r w:rsidRPr="003D455F">
        <w:rPr>
          <w:rFonts w:ascii="Verdana" w:eastAsia="Arial MT" w:hAnsi="Verdana" w:cs="Arial"/>
          <w:lang w:val="es-ES"/>
        </w:rPr>
        <w:t>adquiriendo</w:t>
      </w:r>
      <w:r w:rsidRPr="003D455F">
        <w:rPr>
          <w:rFonts w:ascii="Verdana" w:eastAsia="Arial MT" w:hAnsi="Verdana" w:cs="Arial"/>
          <w:spacing w:val="-4"/>
          <w:lang w:val="es-ES"/>
        </w:rPr>
        <w:t xml:space="preserve"> </w:t>
      </w:r>
      <w:r w:rsidRPr="003D455F">
        <w:rPr>
          <w:rFonts w:ascii="Verdana" w:eastAsia="Arial MT" w:hAnsi="Verdana" w:cs="Arial"/>
          <w:lang w:val="es-ES"/>
        </w:rPr>
        <w:t>un</w:t>
      </w:r>
      <w:r w:rsidRPr="003D455F">
        <w:rPr>
          <w:rFonts w:ascii="Verdana" w:eastAsia="Arial MT" w:hAnsi="Verdana" w:cs="Arial"/>
          <w:spacing w:val="-4"/>
          <w:lang w:val="es-ES"/>
        </w:rPr>
        <w:t xml:space="preserve"> </w:t>
      </w:r>
      <w:r w:rsidRPr="003D455F">
        <w:rPr>
          <w:rFonts w:ascii="Verdana" w:eastAsia="Arial MT" w:hAnsi="Verdana" w:cs="Arial"/>
          <w:lang w:val="es-ES"/>
        </w:rPr>
        <w:t>cariz</w:t>
      </w:r>
      <w:r w:rsidRPr="003D455F">
        <w:rPr>
          <w:rFonts w:ascii="Verdana" w:eastAsia="Arial MT" w:hAnsi="Verdana" w:cs="Arial"/>
          <w:spacing w:val="-4"/>
          <w:lang w:val="es-ES"/>
        </w:rPr>
        <w:t xml:space="preserve"> </w:t>
      </w:r>
      <w:r w:rsidRPr="003D455F">
        <w:rPr>
          <w:rFonts w:ascii="Verdana" w:eastAsia="Arial MT" w:hAnsi="Verdana" w:cs="Arial"/>
          <w:lang w:val="es-ES"/>
        </w:rPr>
        <w:t>subjetivo,</w:t>
      </w:r>
      <w:r w:rsidRPr="003D455F">
        <w:rPr>
          <w:rFonts w:ascii="Verdana" w:eastAsia="Arial MT" w:hAnsi="Verdana" w:cs="Arial"/>
          <w:spacing w:val="-3"/>
          <w:lang w:val="es-ES"/>
        </w:rPr>
        <w:t xml:space="preserve"> </w:t>
      </w:r>
      <w:r w:rsidRPr="003D455F">
        <w:rPr>
          <w:rFonts w:ascii="Verdana" w:eastAsia="Arial MT" w:hAnsi="Verdana" w:cs="Arial"/>
          <w:lang w:val="es-ES"/>
        </w:rPr>
        <w:t>según</w:t>
      </w:r>
      <w:r w:rsidRPr="003D455F">
        <w:rPr>
          <w:rFonts w:ascii="Verdana" w:eastAsia="Arial MT" w:hAnsi="Verdana" w:cs="Arial"/>
          <w:spacing w:val="-4"/>
          <w:lang w:val="es-ES"/>
        </w:rPr>
        <w:t xml:space="preserve"> </w:t>
      </w:r>
      <w:r w:rsidRPr="003D455F">
        <w:rPr>
          <w:rFonts w:ascii="Verdana" w:eastAsia="Arial MT" w:hAnsi="Verdana" w:cs="Arial"/>
          <w:lang w:val="es-ES"/>
        </w:rPr>
        <w:t>el</w:t>
      </w:r>
      <w:r w:rsidRPr="003D455F">
        <w:rPr>
          <w:rFonts w:ascii="Verdana" w:eastAsia="Arial MT" w:hAnsi="Verdana" w:cs="Arial"/>
          <w:spacing w:val="-4"/>
          <w:lang w:val="es-ES"/>
        </w:rPr>
        <w:t xml:space="preserve"> </w:t>
      </w:r>
      <w:r w:rsidRPr="003D455F">
        <w:rPr>
          <w:rFonts w:ascii="Verdana" w:eastAsia="Arial MT" w:hAnsi="Verdana" w:cs="Arial"/>
          <w:lang w:val="es-ES"/>
        </w:rPr>
        <w:t>parecer</w:t>
      </w:r>
      <w:r w:rsidRPr="003D455F">
        <w:rPr>
          <w:rFonts w:ascii="Verdana" w:eastAsia="Arial MT" w:hAnsi="Verdana" w:cs="Arial"/>
          <w:spacing w:val="-4"/>
          <w:lang w:val="es-ES"/>
        </w:rPr>
        <w:t xml:space="preserve"> </w:t>
      </w:r>
      <w:r w:rsidRPr="003D455F">
        <w:rPr>
          <w:rFonts w:ascii="Verdana" w:eastAsia="Arial MT" w:hAnsi="Verdana" w:cs="Arial"/>
          <w:lang w:val="es-ES"/>
        </w:rPr>
        <w:t>o</w:t>
      </w:r>
      <w:r w:rsidRPr="003D455F">
        <w:rPr>
          <w:rFonts w:ascii="Verdana" w:eastAsia="Arial MT" w:hAnsi="Verdana" w:cs="Arial"/>
          <w:spacing w:val="-3"/>
          <w:lang w:val="es-ES"/>
        </w:rPr>
        <w:t xml:space="preserve"> </w:t>
      </w:r>
      <w:r w:rsidRPr="003D455F">
        <w:rPr>
          <w:rFonts w:ascii="Verdana" w:eastAsia="Arial MT" w:hAnsi="Verdana" w:cs="Arial"/>
          <w:lang w:val="es-ES"/>
        </w:rPr>
        <w:t>el</w:t>
      </w:r>
      <w:r w:rsidRPr="003D455F">
        <w:rPr>
          <w:rFonts w:ascii="Verdana" w:eastAsia="Arial MT" w:hAnsi="Verdana" w:cs="Arial"/>
          <w:spacing w:val="-4"/>
          <w:lang w:val="es-ES"/>
        </w:rPr>
        <w:t xml:space="preserve"> </w:t>
      </w:r>
      <w:r w:rsidRPr="003D455F">
        <w:rPr>
          <w:rFonts w:ascii="Verdana" w:eastAsia="Arial MT" w:hAnsi="Verdana" w:cs="Arial"/>
          <w:lang w:val="es-ES"/>
        </w:rPr>
        <w:t>sentido</w:t>
      </w:r>
      <w:r w:rsidRPr="003D455F">
        <w:rPr>
          <w:rFonts w:ascii="Verdana" w:eastAsia="Arial MT" w:hAnsi="Verdana" w:cs="Arial"/>
          <w:spacing w:val="-4"/>
          <w:lang w:val="es-ES"/>
        </w:rPr>
        <w:t xml:space="preserve"> </w:t>
      </w:r>
      <w:r w:rsidRPr="003D455F">
        <w:rPr>
          <w:rFonts w:ascii="Verdana" w:eastAsia="Arial MT" w:hAnsi="Verdana" w:cs="Arial"/>
          <w:lang w:val="es-ES"/>
        </w:rPr>
        <w:t>común</w:t>
      </w:r>
      <w:r w:rsidRPr="003D455F">
        <w:rPr>
          <w:rFonts w:ascii="Verdana" w:eastAsia="Arial MT" w:hAnsi="Verdana" w:cs="Arial"/>
          <w:spacing w:val="-4"/>
          <w:lang w:val="es-ES"/>
        </w:rPr>
        <w:t xml:space="preserve"> </w:t>
      </w:r>
      <w:r w:rsidRPr="003D455F">
        <w:rPr>
          <w:rFonts w:ascii="Verdana" w:eastAsia="Arial MT" w:hAnsi="Verdana" w:cs="Arial"/>
          <w:lang w:val="es-ES"/>
        </w:rPr>
        <w:t xml:space="preserve">de </w:t>
      </w:r>
      <w:r w:rsidRPr="003D455F">
        <w:rPr>
          <w:rFonts w:ascii="Verdana" w:eastAsia="Arial MT" w:hAnsi="Verdana" w:cs="Arial"/>
          <w:spacing w:val="-58"/>
          <w:lang w:val="es-ES"/>
        </w:rPr>
        <w:t>los</w:t>
      </w:r>
      <w:r w:rsidRPr="003D455F">
        <w:rPr>
          <w:rFonts w:ascii="Verdana" w:eastAsia="Arial MT" w:hAnsi="Verdana" w:cs="Arial"/>
          <w:lang w:val="es-ES"/>
        </w:rPr>
        <w:t xml:space="preserve"> operadores jurídicos, poniendo en riesgo principios como la igualdad, el debido</w:t>
      </w:r>
      <w:r w:rsidRPr="003D455F">
        <w:rPr>
          <w:rFonts w:ascii="Verdana" w:eastAsia="Arial MT" w:hAnsi="Verdana" w:cs="Arial"/>
          <w:spacing w:val="1"/>
          <w:lang w:val="es-ES"/>
        </w:rPr>
        <w:t xml:space="preserve"> </w:t>
      </w:r>
      <w:r w:rsidRPr="003D455F">
        <w:rPr>
          <w:rFonts w:ascii="Verdana" w:eastAsia="Arial MT" w:hAnsi="Verdana" w:cs="Arial"/>
          <w:lang w:val="es-ES"/>
        </w:rPr>
        <w:t>proceso, la libre concurrencia y el ejercicio de la profesión u oficio. Tal ha sido la postura al interior de la jurisprudencia, tanto de la Corte Constitucional como de la Sección</w:t>
      </w:r>
      <w:r w:rsidRPr="003D455F">
        <w:rPr>
          <w:rFonts w:ascii="Verdana" w:eastAsia="Arial MT" w:hAnsi="Verdana" w:cs="Arial"/>
          <w:spacing w:val="1"/>
          <w:lang w:val="es-ES"/>
        </w:rPr>
        <w:t xml:space="preserve"> </w:t>
      </w:r>
      <w:r w:rsidRPr="003D455F">
        <w:rPr>
          <w:rFonts w:ascii="Verdana" w:eastAsia="Arial MT" w:hAnsi="Verdana" w:cs="Arial"/>
          <w:lang w:val="es-ES"/>
        </w:rPr>
        <w:t>Tercera</w:t>
      </w:r>
      <w:r w:rsidRPr="003D455F">
        <w:rPr>
          <w:rFonts w:ascii="Verdana" w:eastAsia="Arial MT" w:hAnsi="Verdana" w:cs="Arial"/>
          <w:spacing w:val="-2"/>
          <w:lang w:val="es-ES"/>
        </w:rPr>
        <w:t xml:space="preserve"> </w:t>
      </w:r>
      <w:r w:rsidRPr="003D455F">
        <w:rPr>
          <w:rFonts w:ascii="Verdana" w:eastAsia="Arial MT" w:hAnsi="Verdana" w:cs="Arial"/>
          <w:lang w:val="es-ES"/>
        </w:rPr>
        <w:t>del</w:t>
      </w:r>
      <w:r w:rsidRPr="003D455F">
        <w:rPr>
          <w:rFonts w:ascii="Verdana" w:eastAsia="Arial MT" w:hAnsi="Verdana" w:cs="Arial"/>
          <w:spacing w:val="-1"/>
          <w:lang w:val="es-ES"/>
        </w:rPr>
        <w:t xml:space="preserve"> </w:t>
      </w:r>
      <w:r w:rsidRPr="003D455F">
        <w:rPr>
          <w:rFonts w:ascii="Verdana" w:eastAsia="Arial MT" w:hAnsi="Verdana" w:cs="Arial"/>
          <w:lang w:val="es-ES"/>
        </w:rPr>
        <w:t>Consejo</w:t>
      </w:r>
      <w:r w:rsidRPr="003D455F">
        <w:rPr>
          <w:rFonts w:ascii="Verdana" w:eastAsia="Arial MT" w:hAnsi="Verdana" w:cs="Arial"/>
          <w:spacing w:val="-1"/>
          <w:lang w:val="es-ES"/>
        </w:rPr>
        <w:t xml:space="preserve"> </w:t>
      </w:r>
      <w:r w:rsidRPr="003D455F">
        <w:rPr>
          <w:rFonts w:ascii="Verdana" w:eastAsia="Arial MT" w:hAnsi="Verdana" w:cs="Arial"/>
          <w:lang w:val="es-ES"/>
        </w:rPr>
        <w:t>de</w:t>
      </w:r>
      <w:r w:rsidRPr="003D455F">
        <w:rPr>
          <w:rFonts w:ascii="Verdana" w:eastAsia="Arial MT" w:hAnsi="Verdana" w:cs="Arial"/>
          <w:spacing w:val="-1"/>
          <w:lang w:val="es-ES"/>
        </w:rPr>
        <w:t xml:space="preserve"> </w:t>
      </w:r>
      <w:r w:rsidRPr="003D455F">
        <w:rPr>
          <w:rFonts w:ascii="Verdana" w:eastAsia="Arial MT" w:hAnsi="Verdana" w:cs="Arial"/>
          <w:lang w:val="es-ES"/>
        </w:rPr>
        <w:t>Estado.</w:t>
      </w:r>
    </w:p>
    <w:p w14:paraId="58E6C860" w14:textId="77777777" w:rsidR="0092047B" w:rsidRPr="003D455F" w:rsidRDefault="0092047B" w:rsidP="0092047B">
      <w:pPr>
        <w:ind w:left="720"/>
        <w:contextualSpacing/>
        <w:rPr>
          <w:rFonts w:ascii="Verdana" w:eastAsia="Arial MT" w:hAnsi="Verdana" w:cs="Arial"/>
          <w:lang w:val="es-ES"/>
        </w:rPr>
      </w:pPr>
    </w:p>
    <w:p w14:paraId="28A1F14E" w14:textId="77777777" w:rsidR="0092047B" w:rsidRPr="003D455F" w:rsidRDefault="0092047B" w:rsidP="0092047B">
      <w:pPr>
        <w:widowControl w:val="0"/>
        <w:autoSpaceDE w:val="0"/>
        <w:autoSpaceDN w:val="0"/>
        <w:spacing w:before="120" w:after="0" w:line="276" w:lineRule="auto"/>
        <w:ind w:firstLine="708"/>
        <w:contextualSpacing/>
        <w:jc w:val="both"/>
        <w:rPr>
          <w:rFonts w:ascii="Verdana" w:eastAsia="Arial MT" w:hAnsi="Verdana" w:cs="Arial"/>
          <w:lang w:val="es-ES"/>
        </w:rPr>
      </w:pPr>
      <w:r w:rsidRPr="003D455F">
        <w:rPr>
          <w:rFonts w:ascii="Verdana" w:eastAsia="Arial MT" w:hAnsi="Verdana" w:cs="Arial"/>
          <w:lang w:val="es-ES"/>
        </w:rPr>
        <w:t>En</w:t>
      </w:r>
      <w:r w:rsidRPr="003D455F">
        <w:rPr>
          <w:rFonts w:ascii="Verdana" w:eastAsia="Arial MT" w:hAnsi="Verdana" w:cs="Arial"/>
          <w:spacing w:val="-11"/>
          <w:lang w:val="es-ES"/>
        </w:rPr>
        <w:t xml:space="preserve"> </w:t>
      </w:r>
      <w:r w:rsidRPr="003D455F">
        <w:rPr>
          <w:rFonts w:ascii="Verdana" w:eastAsia="Arial MT" w:hAnsi="Verdana" w:cs="Arial"/>
          <w:lang w:val="es-ES"/>
        </w:rPr>
        <w:t>efecto,</w:t>
      </w:r>
      <w:r w:rsidRPr="003D455F">
        <w:rPr>
          <w:rFonts w:ascii="Verdana" w:eastAsia="Arial MT" w:hAnsi="Verdana" w:cs="Arial"/>
          <w:spacing w:val="-10"/>
          <w:lang w:val="es-ES"/>
        </w:rPr>
        <w:t xml:space="preserve"> </w:t>
      </w:r>
      <w:r w:rsidRPr="003D455F">
        <w:rPr>
          <w:rFonts w:ascii="Verdana" w:eastAsia="Arial MT" w:hAnsi="Verdana" w:cs="Arial"/>
          <w:lang w:val="es-ES"/>
        </w:rPr>
        <w:t>el</w:t>
      </w:r>
      <w:r w:rsidRPr="003D455F">
        <w:rPr>
          <w:rFonts w:ascii="Verdana" w:eastAsia="Arial MT" w:hAnsi="Verdana" w:cs="Arial"/>
          <w:spacing w:val="-10"/>
          <w:lang w:val="es-ES"/>
        </w:rPr>
        <w:t xml:space="preserve"> </w:t>
      </w:r>
      <w:r w:rsidRPr="003D455F">
        <w:rPr>
          <w:rFonts w:ascii="Verdana" w:eastAsia="Arial MT" w:hAnsi="Verdana" w:cs="Arial"/>
          <w:lang w:val="es-ES"/>
        </w:rPr>
        <w:t>máximo</w:t>
      </w:r>
      <w:r w:rsidRPr="003D455F">
        <w:rPr>
          <w:rFonts w:ascii="Verdana" w:eastAsia="Arial MT" w:hAnsi="Verdana" w:cs="Arial"/>
          <w:spacing w:val="-10"/>
          <w:lang w:val="es-ES"/>
        </w:rPr>
        <w:t xml:space="preserve"> </w:t>
      </w:r>
      <w:r w:rsidRPr="003D455F">
        <w:rPr>
          <w:rFonts w:ascii="Verdana" w:eastAsia="Arial MT" w:hAnsi="Verdana" w:cs="Arial"/>
          <w:lang w:val="es-ES"/>
        </w:rPr>
        <w:t>tribunal</w:t>
      </w:r>
      <w:r w:rsidRPr="003D455F">
        <w:rPr>
          <w:rFonts w:ascii="Verdana" w:eastAsia="Arial MT" w:hAnsi="Verdana" w:cs="Arial"/>
          <w:spacing w:val="-9"/>
          <w:lang w:val="es-ES"/>
        </w:rPr>
        <w:t xml:space="preserve"> </w:t>
      </w:r>
      <w:r w:rsidRPr="003D455F">
        <w:rPr>
          <w:rFonts w:ascii="Verdana" w:eastAsia="Arial MT" w:hAnsi="Verdana" w:cs="Arial"/>
          <w:lang w:val="es-ES"/>
        </w:rPr>
        <w:t>constitucional</w:t>
      </w:r>
      <w:r w:rsidRPr="003D455F">
        <w:rPr>
          <w:rFonts w:ascii="Verdana" w:eastAsia="Arial MT" w:hAnsi="Verdana" w:cs="Arial"/>
          <w:spacing w:val="-11"/>
          <w:lang w:val="es-ES"/>
        </w:rPr>
        <w:t xml:space="preserve"> </w:t>
      </w:r>
      <w:r w:rsidRPr="003D455F">
        <w:rPr>
          <w:rFonts w:ascii="Verdana" w:eastAsia="Arial MT" w:hAnsi="Verdana" w:cs="Arial"/>
          <w:lang w:val="es-ES"/>
        </w:rPr>
        <w:t>ha</w:t>
      </w:r>
      <w:r w:rsidRPr="003D455F">
        <w:rPr>
          <w:rFonts w:ascii="Verdana" w:eastAsia="Arial MT" w:hAnsi="Verdana" w:cs="Arial"/>
          <w:spacing w:val="-10"/>
          <w:lang w:val="es-ES"/>
        </w:rPr>
        <w:t xml:space="preserve"> </w:t>
      </w:r>
      <w:r w:rsidRPr="003D455F">
        <w:rPr>
          <w:rFonts w:ascii="Verdana" w:eastAsia="Arial MT" w:hAnsi="Verdana" w:cs="Arial"/>
          <w:lang w:val="es-ES"/>
        </w:rPr>
        <w:t>indicado</w:t>
      </w:r>
      <w:r w:rsidRPr="003D455F">
        <w:rPr>
          <w:rFonts w:ascii="Verdana" w:eastAsia="Arial MT" w:hAnsi="Verdana" w:cs="Arial"/>
          <w:spacing w:val="-10"/>
          <w:lang w:val="es-ES"/>
        </w:rPr>
        <w:t xml:space="preserve"> </w:t>
      </w:r>
      <w:r w:rsidRPr="003D455F">
        <w:rPr>
          <w:rFonts w:ascii="Verdana" w:eastAsia="Arial MT" w:hAnsi="Verdana" w:cs="Arial"/>
          <w:lang w:val="es-ES"/>
        </w:rPr>
        <w:t>que,</w:t>
      </w:r>
      <w:r w:rsidRPr="003D455F">
        <w:rPr>
          <w:rFonts w:ascii="Verdana" w:eastAsia="Arial MT" w:hAnsi="Verdana" w:cs="Arial"/>
          <w:spacing w:val="-10"/>
          <w:lang w:val="es-ES"/>
        </w:rPr>
        <w:t xml:space="preserve"> </w:t>
      </w:r>
      <w:r w:rsidRPr="003D455F">
        <w:rPr>
          <w:rFonts w:ascii="Verdana" w:eastAsia="Arial MT" w:hAnsi="Verdana" w:cs="Arial"/>
          <w:lang w:val="es-ES"/>
        </w:rPr>
        <w:t>al</w:t>
      </w:r>
      <w:r w:rsidRPr="003D455F">
        <w:rPr>
          <w:rFonts w:ascii="Verdana" w:eastAsia="Arial MT" w:hAnsi="Verdana" w:cs="Arial"/>
          <w:spacing w:val="-10"/>
          <w:lang w:val="es-ES"/>
        </w:rPr>
        <w:t xml:space="preserve"> </w:t>
      </w:r>
      <w:r w:rsidRPr="003D455F">
        <w:rPr>
          <w:rFonts w:ascii="Verdana" w:eastAsia="Arial MT" w:hAnsi="Verdana" w:cs="Arial"/>
          <w:lang w:val="es-ES"/>
        </w:rPr>
        <w:t>tratar</w:t>
      </w:r>
      <w:r w:rsidRPr="003D455F">
        <w:rPr>
          <w:rFonts w:ascii="Verdana" w:eastAsia="Arial MT" w:hAnsi="Verdana" w:cs="Arial"/>
          <w:spacing w:val="-10"/>
          <w:lang w:val="es-ES"/>
        </w:rPr>
        <w:t xml:space="preserve"> </w:t>
      </w:r>
      <w:r w:rsidRPr="003D455F">
        <w:rPr>
          <w:rFonts w:ascii="Verdana" w:eastAsia="Arial MT" w:hAnsi="Verdana" w:cs="Arial"/>
          <w:lang w:val="es-ES"/>
        </w:rPr>
        <w:t>de</w:t>
      </w:r>
      <w:r w:rsidRPr="003D455F">
        <w:rPr>
          <w:rFonts w:ascii="Verdana" w:eastAsia="Arial MT" w:hAnsi="Verdana" w:cs="Arial"/>
          <w:spacing w:val="-10"/>
          <w:lang w:val="es-ES"/>
        </w:rPr>
        <w:t xml:space="preserve"> </w:t>
      </w:r>
      <w:r w:rsidRPr="003D455F">
        <w:rPr>
          <w:rFonts w:ascii="Verdana" w:eastAsia="Arial MT" w:hAnsi="Verdana" w:cs="Arial"/>
          <w:lang w:val="es-ES"/>
        </w:rPr>
        <w:t>precisar el sentido</w:t>
      </w:r>
      <w:r w:rsidRPr="003D455F">
        <w:rPr>
          <w:rFonts w:ascii="Verdana" w:eastAsia="Arial MT" w:hAnsi="Verdana" w:cs="Arial"/>
          <w:spacing w:val="-6"/>
          <w:lang w:val="es-ES"/>
        </w:rPr>
        <w:t xml:space="preserve"> </w:t>
      </w:r>
      <w:r w:rsidRPr="003D455F">
        <w:rPr>
          <w:rFonts w:ascii="Verdana" w:eastAsia="Arial MT" w:hAnsi="Verdana" w:cs="Arial"/>
          <w:lang w:val="es-ES"/>
        </w:rPr>
        <w:t>de</w:t>
      </w:r>
      <w:r w:rsidRPr="003D455F">
        <w:rPr>
          <w:rFonts w:ascii="Verdana" w:eastAsia="Arial MT" w:hAnsi="Verdana" w:cs="Arial"/>
          <w:spacing w:val="-5"/>
          <w:lang w:val="es-ES"/>
        </w:rPr>
        <w:t xml:space="preserve"> </w:t>
      </w:r>
      <w:r w:rsidRPr="003D455F">
        <w:rPr>
          <w:rFonts w:ascii="Verdana" w:eastAsia="Arial MT" w:hAnsi="Verdana" w:cs="Arial"/>
          <w:lang w:val="es-ES"/>
        </w:rPr>
        <w:t>este</w:t>
      </w:r>
      <w:r w:rsidRPr="003D455F">
        <w:rPr>
          <w:rFonts w:ascii="Verdana" w:eastAsia="Arial MT" w:hAnsi="Verdana" w:cs="Arial"/>
          <w:spacing w:val="-6"/>
          <w:lang w:val="es-ES"/>
        </w:rPr>
        <w:t xml:space="preserve"> </w:t>
      </w:r>
      <w:r w:rsidRPr="003D455F">
        <w:rPr>
          <w:rFonts w:ascii="Verdana" w:eastAsia="Arial MT" w:hAnsi="Verdana" w:cs="Arial"/>
          <w:lang w:val="es-ES"/>
        </w:rPr>
        <w:t>tipo</w:t>
      </w:r>
      <w:r w:rsidRPr="003D455F">
        <w:rPr>
          <w:rFonts w:ascii="Verdana" w:eastAsia="Arial MT" w:hAnsi="Verdana" w:cs="Arial"/>
          <w:spacing w:val="-4"/>
          <w:lang w:val="es-ES"/>
        </w:rPr>
        <w:t xml:space="preserve"> </w:t>
      </w:r>
      <w:r w:rsidRPr="003D455F">
        <w:rPr>
          <w:rFonts w:ascii="Verdana" w:eastAsia="Arial MT" w:hAnsi="Verdana" w:cs="Arial"/>
          <w:lang w:val="es-ES"/>
        </w:rPr>
        <w:t>de</w:t>
      </w:r>
      <w:r w:rsidRPr="003D455F">
        <w:rPr>
          <w:rFonts w:ascii="Verdana" w:eastAsia="Arial MT" w:hAnsi="Verdana" w:cs="Arial"/>
          <w:spacing w:val="-6"/>
          <w:lang w:val="es-ES"/>
        </w:rPr>
        <w:t xml:space="preserve"> </w:t>
      </w:r>
      <w:r w:rsidRPr="003D455F">
        <w:rPr>
          <w:rFonts w:ascii="Verdana" w:eastAsia="Arial MT" w:hAnsi="Verdana" w:cs="Arial"/>
          <w:lang w:val="es-ES"/>
        </w:rPr>
        <w:t>normas,</w:t>
      </w:r>
      <w:r w:rsidRPr="003D455F">
        <w:rPr>
          <w:rFonts w:ascii="Verdana" w:eastAsia="Arial MT" w:hAnsi="Verdana" w:cs="Arial"/>
          <w:spacing w:val="-6"/>
          <w:lang w:val="es-ES"/>
        </w:rPr>
        <w:t xml:space="preserve"> </w:t>
      </w:r>
      <w:r w:rsidRPr="003D455F">
        <w:rPr>
          <w:rFonts w:ascii="Verdana" w:eastAsia="Arial MT" w:hAnsi="Verdana" w:cs="Arial"/>
          <w:lang w:val="es-ES"/>
        </w:rPr>
        <w:t>“[…]</w:t>
      </w:r>
      <w:r w:rsidRPr="003D455F">
        <w:rPr>
          <w:rFonts w:ascii="Verdana" w:eastAsia="Arial MT" w:hAnsi="Verdana" w:cs="Arial"/>
          <w:spacing w:val="-5"/>
          <w:lang w:val="es-ES"/>
        </w:rPr>
        <w:t xml:space="preserve"> </w:t>
      </w:r>
      <w:r w:rsidRPr="003D455F">
        <w:rPr>
          <w:rFonts w:ascii="Verdana" w:eastAsia="Arial MT" w:hAnsi="Verdana" w:cs="Arial"/>
          <w:lang w:val="es-ES"/>
        </w:rPr>
        <w:t>el</w:t>
      </w:r>
      <w:r w:rsidRPr="003D455F">
        <w:rPr>
          <w:rFonts w:ascii="Verdana" w:eastAsia="Arial MT" w:hAnsi="Verdana" w:cs="Arial"/>
          <w:spacing w:val="-6"/>
          <w:lang w:val="es-ES"/>
        </w:rPr>
        <w:t xml:space="preserve"> </w:t>
      </w:r>
      <w:r w:rsidRPr="003D455F">
        <w:rPr>
          <w:rFonts w:ascii="Verdana" w:eastAsia="Arial MT" w:hAnsi="Verdana" w:cs="Arial"/>
          <w:lang w:val="es-ES"/>
        </w:rPr>
        <w:t>intérprete</w:t>
      </w:r>
      <w:r w:rsidRPr="003D455F">
        <w:rPr>
          <w:rFonts w:ascii="Verdana" w:eastAsia="Arial MT" w:hAnsi="Verdana" w:cs="Arial"/>
          <w:spacing w:val="-5"/>
          <w:lang w:val="es-ES"/>
        </w:rPr>
        <w:t xml:space="preserve"> </w:t>
      </w:r>
      <w:r w:rsidRPr="003D455F">
        <w:rPr>
          <w:rFonts w:ascii="Verdana" w:eastAsia="Arial MT" w:hAnsi="Verdana" w:cs="Arial"/>
          <w:lang w:val="es-ES"/>
        </w:rPr>
        <w:t>de</w:t>
      </w:r>
      <w:r w:rsidRPr="003D455F">
        <w:rPr>
          <w:rFonts w:ascii="Verdana" w:eastAsia="Arial MT" w:hAnsi="Verdana" w:cs="Arial"/>
          <w:spacing w:val="-6"/>
          <w:lang w:val="es-ES"/>
        </w:rPr>
        <w:t xml:space="preserve"> </w:t>
      </w:r>
      <w:r w:rsidRPr="003D455F">
        <w:rPr>
          <w:rFonts w:ascii="Verdana" w:eastAsia="Arial MT" w:hAnsi="Verdana" w:cs="Arial"/>
          <w:lang w:val="es-ES"/>
        </w:rPr>
        <w:t>las</w:t>
      </w:r>
      <w:r w:rsidRPr="003D455F">
        <w:rPr>
          <w:rFonts w:ascii="Verdana" w:eastAsia="Arial MT" w:hAnsi="Verdana" w:cs="Arial"/>
          <w:spacing w:val="-5"/>
          <w:lang w:val="es-ES"/>
        </w:rPr>
        <w:t xml:space="preserve"> </w:t>
      </w:r>
      <w:r w:rsidRPr="003D455F">
        <w:rPr>
          <w:rFonts w:ascii="Verdana" w:eastAsia="Arial MT" w:hAnsi="Verdana" w:cs="Arial"/>
          <w:lang w:val="es-ES"/>
        </w:rPr>
        <w:t>disposiciones</w:t>
      </w:r>
      <w:r w:rsidRPr="003D455F">
        <w:rPr>
          <w:rFonts w:ascii="Verdana" w:eastAsia="Arial MT" w:hAnsi="Verdana" w:cs="Arial"/>
          <w:spacing w:val="-5"/>
          <w:lang w:val="es-ES"/>
        </w:rPr>
        <w:t xml:space="preserve"> </w:t>
      </w:r>
      <w:r w:rsidRPr="003D455F">
        <w:rPr>
          <w:rFonts w:ascii="Verdana" w:eastAsia="Arial MT" w:hAnsi="Verdana" w:cs="Arial"/>
          <w:lang w:val="es-ES"/>
        </w:rPr>
        <w:t>legislativas</w:t>
      </w:r>
      <w:r w:rsidRPr="003D455F">
        <w:rPr>
          <w:rFonts w:ascii="Verdana" w:eastAsia="Arial MT" w:hAnsi="Verdana" w:cs="Arial"/>
          <w:spacing w:val="-5"/>
          <w:lang w:val="es-ES"/>
        </w:rPr>
        <w:t xml:space="preserve"> </w:t>
      </w:r>
      <w:r w:rsidRPr="003D455F">
        <w:rPr>
          <w:rFonts w:ascii="Verdana" w:eastAsia="Arial MT" w:hAnsi="Verdana" w:cs="Arial"/>
          <w:lang w:val="es-ES"/>
        </w:rPr>
        <w:t>en</w:t>
      </w:r>
      <w:r w:rsidRPr="003D455F">
        <w:rPr>
          <w:rFonts w:ascii="Verdana" w:eastAsia="Arial MT" w:hAnsi="Verdana" w:cs="Arial"/>
          <w:spacing w:val="-58"/>
          <w:lang w:val="es-ES"/>
        </w:rPr>
        <w:t xml:space="preserve">    </w:t>
      </w:r>
      <w:r w:rsidRPr="003D455F">
        <w:rPr>
          <w:rFonts w:ascii="Verdana" w:eastAsia="Arial MT" w:hAnsi="Verdana" w:cs="Arial"/>
          <w:lang w:val="es-ES"/>
        </w:rPr>
        <w:t xml:space="preserve"> la materia ha de ceñirse en la mayor medida posible al tenor literal y gramatical de los</w:t>
      </w:r>
      <w:r w:rsidRPr="003D455F">
        <w:rPr>
          <w:rFonts w:ascii="Verdana" w:eastAsia="Arial MT" w:hAnsi="Verdana" w:cs="Arial"/>
          <w:spacing w:val="1"/>
          <w:lang w:val="es-ES"/>
        </w:rPr>
        <w:t xml:space="preserve"> </w:t>
      </w:r>
      <w:r w:rsidRPr="003D455F">
        <w:rPr>
          <w:rFonts w:ascii="Verdana" w:eastAsia="Arial MT" w:hAnsi="Verdana" w:cs="Arial"/>
          <w:lang w:val="es-ES"/>
        </w:rPr>
        <w:t>enunciados</w:t>
      </w:r>
      <w:r w:rsidRPr="003D455F">
        <w:rPr>
          <w:rFonts w:ascii="Verdana" w:eastAsia="Arial MT" w:hAnsi="Verdana" w:cs="Arial"/>
          <w:spacing w:val="-9"/>
          <w:lang w:val="es-ES"/>
        </w:rPr>
        <w:t xml:space="preserve"> </w:t>
      </w:r>
      <w:r w:rsidRPr="003D455F">
        <w:rPr>
          <w:rFonts w:ascii="Verdana" w:eastAsia="Arial MT" w:hAnsi="Verdana" w:cs="Arial"/>
          <w:lang w:val="es-ES"/>
        </w:rPr>
        <w:t>normativos,</w:t>
      </w:r>
      <w:r w:rsidRPr="003D455F">
        <w:rPr>
          <w:rFonts w:ascii="Verdana" w:eastAsia="Arial MT" w:hAnsi="Verdana" w:cs="Arial"/>
          <w:spacing w:val="-9"/>
          <w:lang w:val="es-ES"/>
        </w:rPr>
        <w:t xml:space="preserve"> </w:t>
      </w:r>
      <w:r w:rsidRPr="003D455F">
        <w:rPr>
          <w:rFonts w:ascii="Verdana" w:eastAsia="Arial MT" w:hAnsi="Verdana" w:cs="Arial"/>
          <w:lang w:val="es-ES"/>
        </w:rPr>
        <w:t>sin</w:t>
      </w:r>
      <w:r w:rsidRPr="003D455F">
        <w:rPr>
          <w:rFonts w:ascii="Verdana" w:eastAsia="Arial MT" w:hAnsi="Verdana" w:cs="Arial"/>
          <w:spacing w:val="-9"/>
          <w:lang w:val="es-ES"/>
        </w:rPr>
        <w:t xml:space="preserve"> </w:t>
      </w:r>
      <w:r w:rsidRPr="003D455F">
        <w:rPr>
          <w:rFonts w:ascii="Verdana" w:eastAsia="Arial MT" w:hAnsi="Verdana" w:cs="Arial"/>
          <w:lang w:val="es-ES"/>
        </w:rPr>
        <w:t>que</w:t>
      </w:r>
      <w:r w:rsidRPr="003D455F">
        <w:rPr>
          <w:rFonts w:ascii="Verdana" w:eastAsia="Arial MT" w:hAnsi="Verdana" w:cs="Arial"/>
          <w:spacing w:val="-8"/>
          <w:lang w:val="es-ES"/>
        </w:rPr>
        <w:t xml:space="preserve"> </w:t>
      </w:r>
      <w:r w:rsidRPr="003D455F">
        <w:rPr>
          <w:rFonts w:ascii="Verdana" w:eastAsia="Arial MT" w:hAnsi="Verdana" w:cs="Arial"/>
          <w:lang w:val="es-ES"/>
        </w:rPr>
        <w:t>pueda</w:t>
      </w:r>
      <w:r w:rsidRPr="003D455F">
        <w:rPr>
          <w:rFonts w:ascii="Verdana" w:eastAsia="Arial MT" w:hAnsi="Verdana" w:cs="Arial"/>
          <w:spacing w:val="-9"/>
          <w:lang w:val="es-ES"/>
        </w:rPr>
        <w:t xml:space="preserve"> </w:t>
      </w:r>
      <w:r w:rsidRPr="003D455F">
        <w:rPr>
          <w:rFonts w:ascii="Verdana" w:eastAsia="Arial MT" w:hAnsi="Verdana" w:cs="Arial"/>
          <w:lang w:val="es-ES"/>
        </w:rPr>
        <w:t>acudir</w:t>
      </w:r>
      <w:r w:rsidRPr="003D455F">
        <w:rPr>
          <w:rFonts w:ascii="Verdana" w:eastAsia="Arial MT" w:hAnsi="Verdana" w:cs="Arial"/>
          <w:spacing w:val="-9"/>
          <w:lang w:val="es-ES"/>
        </w:rPr>
        <w:t xml:space="preserve"> </w:t>
      </w:r>
      <w:r w:rsidRPr="003D455F">
        <w:rPr>
          <w:rFonts w:ascii="Verdana" w:eastAsia="Arial MT" w:hAnsi="Verdana" w:cs="Arial"/>
          <w:lang w:val="es-ES"/>
        </w:rPr>
        <w:t>prima</w:t>
      </w:r>
      <w:r w:rsidRPr="003D455F">
        <w:rPr>
          <w:rFonts w:ascii="Verdana" w:eastAsia="Arial MT" w:hAnsi="Verdana" w:cs="Arial"/>
          <w:spacing w:val="-9"/>
          <w:lang w:val="es-ES"/>
        </w:rPr>
        <w:t xml:space="preserve"> </w:t>
      </w:r>
      <w:r w:rsidRPr="003D455F">
        <w:rPr>
          <w:rFonts w:ascii="Verdana" w:eastAsia="Arial MT" w:hAnsi="Verdana" w:cs="Arial"/>
          <w:lang w:val="es-ES"/>
        </w:rPr>
        <w:t>facie</w:t>
      </w:r>
      <w:r w:rsidRPr="003D455F">
        <w:rPr>
          <w:rFonts w:ascii="Verdana" w:eastAsia="Arial MT" w:hAnsi="Verdana" w:cs="Arial"/>
          <w:spacing w:val="-8"/>
          <w:lang w:val="es-ES"/>
        </w:rPr>
        <w:t xml:space="preserve"> </w:t>
      </w:r>
      <w:r w:rsidRPr="003D455F">
        <w:rPr>
          <w:rFonts w:ascii="Verdana" w:eastAsia="Arial MT" w:hAnsi="Verdana" w:cs="Arial"/>
          <w:lang w:val="es-ES"/>
        </w:rPr>
        <w:t>a</w:t>
      </w:r>
      <w:r w:rsidRPr="003D455F">
        <w:rPr>
          <w:rFonts w:ascii="Verdana" w:eastAsia="Arial MT" w:hAnsi="Verdana" w:cs="Arial"/>
          <w:spacing w:val="-9"/>
          <w:lang w:val="es-ES"/>
        </w:rPr>
        <w:t xml:space="preserve"> </w:t>
      </w:r>
      <w:r w:rsidRPr="003D455F">
        <w:rPr>
          <w:rFonts w:ascii="Verdana" w:eastAsia="Arial MT" w:hAnsi="Verdana" w:cs="Arial"/>
          <w:lang w:val="es-ES"/>
        </w:rPr>
        <w:t>criterios</w:t>
      </w:r>
      <w:r w:rsidRPr="003D455F">
        <w:rPr>
          <w:rFonts w:ascii="Verdana" w:eastAsia="Arial MT" w:hAnsi="Verdana" w:cs="Arial"/>
          <w:spacing w:val="-9"/>
          <w:lang w:val="es-ES"/>
        </w:rPr>
        <w:t xml:space="preserve"> </w:t>
      </w:r>
      <w:r w:rsidRPr="003D455F">
        <w:rPr>
          <w:rFonts w:ascii="Verdana" w:eastAsia="Arial MT" w:hAnsi="Verdana" w:cs="Arial"/>
          <w:lang w:val="es-ES"/>
        </w:rPr>
        <w:t>interpretativos</w:t>
      </w:r>
      <w:r w:rsidRPr="003D455F">
        <w:rPr>
          <w:rFonts w:ascii="Verdana" w:eastAsia="Arial MT" w:hAnsi="Verdana" w:cs="Arial"/>
          <w:spacing w:val="-9"/>
          <w:lang w:val="es-ES"/>
        </w:rPr>
        <w:t xml:space="preserve"> </w:t>
      </w:r>
      <w:r w:rsidRPr="003D455F">
        <w:rPr>
          <w:rFonts w:ascii="Verdana" w:eastAsia="Arial MT" w:hAnsi="Verdana" w:cs="Arial"/>
          <w:lang w:val="es-ES"/>
        </w:rPr>
        <w:t>tales</w:t>
      </w:r>
      <w:r w:rsidRPr="003D455F">
        <w:rPr>
          <w:rFonts w:ascii="Verdana" w:eastAsia="Arial MT" w:hAnsi="Verdana" w:cs="Arial"/>
          <w:spacing w:val="-58"/>
          <w:lang w:val="es-ES"/>
        </w:rPr>
        <w:t xml:space="preserve"> </w:t>
      </w:r>
      <w:r w:rsidRPr="003D455F">
        <w:rPr>
          <w:rFonts w:ascii="Verdana" w:eastAsia="Arial MT" w:hAnsi="Verdana" w:cs="Arial"/>
          <w:lang w:val="es-ES"/>
        </w:rPr>
        <w:t>como la analogía, la interpretación extensiva para ampliar el alcance de las causales</w:t>
      </w:r>
      <w:r w:rsidRPr="003D455F">
        <w:rPr>
          <w:rFonts w:ascii="Verdana" w:eastAsia="Arial MT" w:hAnsi="Verdana" w:cs="Arial"/>
          <w:spacing w:val="1"/>
          <w:lang w:val="es-ES"/>
        </w:rPr>
        <w:t xml:space="preserve"> </w:t>
      </w:r>
      <w:r w:rsidRPr="003D455F">
        <w:rPr>
          <w:rFonts w:ascii="Verdana" w:eastAsia="Arial MT" w:hAnsi="Verdana" w:cs="Arial"/>
          <w:lang w:val="es-ES"/>
        </w:rPr>
        <w:t>legalmente fijadas”</w:t>
      </w:r>
      <w:r w:rsidRPr="003D455F">
        <w:rPr>
          <w:rFonts w:ascii="Geomanist Light" w:hAnsi="Geomanist Light"/>
          <w:vertAlign w:val="superscript"/>
          <w:lang w:val="es-ES"/>
        </w:rPr>
        <w:footnoteReference w:id="4"/>
      </w:r>
      <w:r w:rsidRPr="003D455F">
        <w:rPr>
          <w:rFonts w:ascii="Verdana" w:eastAsia="Arial MT" w:hAnsi="Verdana" w:cs="Arial"/>
          <w:lang w:val="es-ES"/>
        </w:rPr>
        <w:t xml:space="preserve">. Por su parte, el </w:t>
      </w:r>
      <w:r w:rsidRPr="003D455F">
        <w:rPr>
          <w:rFonts w:ascii="Verdana" w:eastAsia="Arial MT" w:hAnsi="Verdana" w:cs="Arial"/>
          <w:lang w:val="es-ES"/>
        </w:rPr>
        <w:lastRenderedPageBreak/>
        <w:t>Consejo de Estado también ha acogido este</w:t>
      </w:r>
      <w:r w:rsidRPr="003D455F">
        <w:rPr>
          <w:rFonts w:ascii="Verdana" w:eastAsia="Arial MT" w:hAnsi="Verdana" w:cs="Arial"/>
          <w:spacing w:val="1"/>
          <w:lang w:val="es-ES"/>
        </w:rPr>
        <w:t xml:space="preserve"> </w:t>
      </w:r>
      <w:r w:rsidRPr="003D455F">
        <w:rPr>
          <w:rFonts w:ascii="Verdana" w:eastAsia="Arial MT" w:hAnsi="Verdana" w:cs="Arial"/>
          <w:lang w:val="es-ES"/>
        </w:rPr>
        <w:t>criterio, considerando –como expresa la Sala de Consulta y Servicio Civil–, que “La</w:t>
      </w:r>
      <w:r w:rsidRPr="003D455F">
        <w:rPr>
          <w:rFonts w:ascii="Verdana" w:eastAsia="Arial MT" w:hAnsi="Verdana" w:cs="Arial"/>
          <w:spacing w:val="1"/>
          <w:lang w:val="es-ES"/>
        </w:rPr>
        <w:t xml:space="preserve"> </w:t>
      </w:r>
      <w:r w:rsidRPr="003D455F">
        <w:rPr>
          <w:rFonts w:ascii="Verdana" w:eastAsia="Arial MT" w:hAnsi="Verdana" w:cs="Arial"/>
          <w:lang w:val="es-ES"/>
        </w:rPr>
        <w:t>interpretación restrictiva de las normas que establecen inhabilidades constituye una</w:t>
      </w:r>
      <w:r w:rsidRPr="003D455F">
        <w:rPr>
          <w:rFonts w:ascii="Verdana" w:eastAsia="Arial MT" w:hAnsi="Verdana" w:cs="Arial"/>
          <w:spacing w:val="1"/>
          <w:lang w:val="es-ES"/>
        </w:rPr>
        <w:t xml:space="preserve"> </w:t>
      </w:r>
      <w:r w:rsidRPr="003D455F">
        <w:rPr>
          <w:rFonts w:ascii="Verdana" w:eastAsia="Arial MT" w:hAnsi="Verdana" w:cs="Arial"/>
          <w:lang w:val="es-ES"/>
        </w:rPr>
        <w:t>aplicación</w:t>
      </w:r>
      <w:r w:rsidRPr="003D455F">
        <w:rPr>
          <w:rFonts w:ascii="Verdana" w:eastAsia="Arial MT" w:hAnsi="Verdana" w:cs="Arial"/>
          <w:spacing w:val="1"/>
          <w:lang w:val="es-ES"/>
        </w:rPr>
        <w:t xml:space="preserve"> </w:t>
      </w:r>
      <w:r w:rsidRPr="003D455F">
        <w:rPr>
          <w:rFonts w:ascii="Verdana" w:eastAsia="Arial MT" w:hAnsi="Verdana" w:cs="Arial"/>
          <w:lang w:val="es-ES"/>
        </w:rPr>
        <w:t>del</w:t>
      </w:r>
      <w:r w:rsidRPr="003D455F">
        <w:rPr>
          <w:rFonts w:ascii="Verdana" w:eastAsia="Arial MT" w:hAnsi="Verdana" w:cs="Arial"/>
          <w:spacing w:val="1"/>
          <w:lang w:val="es-ES"/>
        </w:rPr>
        <w:t xml:space="preserve"> </w:t>
      </w:r>
      <w:r w:rsidRPr="003D455F">
        <w:rPr>
          <w:rFonts w:ascii="Verdana" w:eastAsia="Arial MT" w:hAnsi="Verdana" w:cs="Arial"/>
          <w:lang w:val="es-ES"/>
        </w:rPr>
        <w:t>principio</w:t>
      </w:r>
      <w:r w:rsidRPr="003D455F">
        <w:rPr>
          <w:rFonts w:ascii="Verdana" w:eastAsia="Arial MT" w:hAnsi="Verdana" w:cs="Arial"/>
          <w:spacing w:val="1"/>
          <w:lang w:val="es-ES"/>
        </w:rPr>
        <w:t xml:space="preserve"> </w:t>
      </w:r>
      <w:r w:rsidRPr="003D455F">
        <w:rPr>
          <w:rFonts w:ascii="Verdana" w:eastAsia="Arial MT" w:hAnsi="Verdana" w:cs="Arial"/>
          <w:lang w:val="es-ES"/>
        </w:rPr>
        <w:t>del</w:t>
      </w:r>
      <w:r w:rsidRPr="003D455F">
        <w:rPr>
          <w:rFonts w:ascii="Verdana" w:eastAsia="Arial MT" w:hAnsi="Verdana" w:cs="Arial"/>
          <w:spacing w:val="1"/>
          <w:lang w:val="es-ES"/>
        </w:rPr>
        <w:t xml:space="preserve"> </w:t>
      </w:r>
      <w:r w:rsidRPr="003D455F">
        <w:rPr>
          <w:rFonts w:ascii="Verdana" w:eastAsia="Arial MT" w:hAnsi="Verdana" w:cs="Arial"/>
          <w:lang w:val="es-ES"/>
        </w:rPr>
        <w:t>Estado</w:t>
      </w:r>
      <w:r w:rsidRPr="003D455F">
        <w:rPr>
          <w:rFonts w:ascii="Verdana" w:eastAsia="Arial MT" w:hAnsi="Verdana" w:cs="Arial"/>
          <w:spacing w:val="1"/>
          <w:lang w:val="es-ES"/>
        </w:rPr>
        <w:t xml:space="preserve"> </w:t>
      </w:r>
      <w:r w:rsidRPr="003D455F">
        <w:rPr>
          <w:rFonts w:ascii="Verdana" w:eastAsia="Arial MT" w:hAnsi="Verdana" w:cs="Arial"/>
          <w:lang w:val="es-ES"/>
        </w:rPr>
        <w:t>de</w:t>
      </w:r>
      <w:r w:rsidRPr="003D455F">
        <w:rPr>
          <w:rFonts w:ascii="Verdana" w:eastAsia="Arial MT" w:hAnsi="Verdana" w:cs="Arial"/>
          <w:spacing w:val="1"/>
          <w:lang w:val="es-ES"/>
        </w:rPr>
        <w:t xml:space="preserve"> </w:t>
      </w:r>
      <w:r w:rsidRPr="003D455F">
        <w:rPr>
          <w:rFonts w:ascii="Verdana" w:eastAsia="Arial MT" w:hAnsi="Verdana" w:cs="Arial"/>
          <w:lang w:val="es-ES"/>
        </w:rPr>
        <w:t>Derecho</w:t>
      </w:r>
      <w:r w:rsidRPr="003D455F">
        <w:rPr>
          <w:rFonts w:ascii="Verdana" w:eastAsia="Arial MT" w:hAnsi="Verdana" w:cs="Arial"/>
          <w:spacing w:val="1"/>
          <w:lang w:val="es-ES"/>
        </w:rPr>
        <w:t xml:space="preserve"> </w:t>
      </w:r>
      <w:r w:rsidRPr="003D455F">
        <w:rPr>
          <w:rFonts w:ascii="Verdana" w:eastAsia="Arial MT" w:hAnsi="Verdana" w:cs="Arial"/>
          <w:lang w:val="es-ES"/>
        </w:rPr>
        <w:t>previsto</w:t>
      </w:r>
      <w:r w:rsidRPr="003D455F">
        <w:rPr>
          <w:rFonts w:ascii="Verdana" w:eastAsia="Arial MT" w:hAnsi="Verdana" w:cs="Arial"/>
          <w:spacing w:val="1"/>
          <w:lang w:val="es-ES"/>
        </w:rPr>
        <w:t xml:space="preserve"> </w:t>
      </w:r>
      <w:r w:rsidRPr="003D455F">
        <w:rPr>
          <w:rFonts w:ascii="Verdana" w:eastAsia="Arial MT" w:hAnsi="Verdana" w:cs="Arial"/>
          <w:lang w:val="es-ES"/>
        </w:rPr>
        <w:t>en</w:t>
      </w:r>
      <w:r w:rsidRPr="003D455F">
        <w:rPr>
          <w:rFonts w:ascii="Verdana" w:eastAsia="Arial MT" w:hAnsi="Verdana" w:cs="Arial"/>
          <w:spacing w:val="1"/>
          <w:lang w:val="es-ES"/>
        </w:rPr>
        <w:t xml:space="preserve"> </w:t>
      </w:r>
      <w:r w:rsidRPr="003D455F">
        <w:rPr>
          <w:rFonts w:ascii="Verdana" w:eastAsia="Arial MT" w:hAnsi="Verdana" w:cs="Arial"/>
          <w:lang w:val="es-ES"/>
        </w:rPr>
        <w:t>el</w:t>
      </w:r>
      <w:r w:rsidRPr="003D455F">
        <w:rPr>
          <w:rFonts w:ascii="Verdana" w:eastAsia="Arial MT" w:hAnsi="Verdana" w:cs="Arial"/>
          <w:spacing w:val="1"/>
          <w:lang w:val="es-ES"/>
        </w:rPr>
        <w:t xml:space="preserve"> </w:t>
      </w:r>
      <w:r w:rsidRPr="003D455F">
        <w:rPr>
          <w:rFonts w:ascii="Verdana" w:eastAsia="Arial MT" w:hAnsi="Verdana" w:cs="Arial"/>
          <w:lang w:val="es-ES"/>
        </w:rPr>
        <w:t>artículo</w:t>
      </w:r>
      <w:r w:rsidRPr="003D455F">
        <w:rPr>
          <w:rFonts w:ascii="Verdana" w:eastAsia="Arial MT" w:hAnsi="Verdana" w:cs="Arial"/>
          <w:spacing w:val="1"/>
          <w:lang w:val="es-ES"/>
        </w:rPr>
        <w:t xml:space="preserve"> </w:t>
      </w:r>
      <w:r w:rsidRPr="003D455F">
        <w:rPr>
          <w:rFonts w:ascii="Verdana" w:eastAsia="Arial MT" w:hAnsi="Verdana" w:cs="Arial"/>
          <w:lang w:val="es-ES"/>
        </w:rPr>
        <w:t>6º</w:t>
      </w:r>
      <w:r w:rsidRPr="003D455F">
        <w:rPr>
          <w:rFonts w:ascii="Verdana" w:eastAsia="Arial MT" w:hAnsi="Verdana" w:cs="Arial"/>
          <w:spacing w:val="1"/>
          <w:lang w:val="es-ES"/>
        </w:rPr>
        <w:t xml:space="preserve"> </w:t>
      </w:r>
      <w:r w:rsidRPr="003D455F">
        <w:rPr>
          <w:rFonts w:ascii="Verdana" w:eastAsia="Arial MT" w:hAnsi="Verdana" w:cs="Arial"/>
          <w:lang w:val="es-ES"/>
        </w:rPr>
        <w:t>de</w:t>
      </w:r>
      <w:r w:rsidRPr="003D455F">
        <w:rPr>
          <w:rFonts w:ascii="Verdana" w:eastAsia="Arial MT" w:hAnsi="Verdana" w:cs="Arial"/>
          <w:spacing w:val="1"/>
          <w:lang w:val="es-ES"/>
        </w:rPr>
        <w:t xml:space="preserve"> </w:t>
      </w:r>
      <w:r w:rsidRPr="003D455F">
        <w:rPr>
          <w:rFonts w:ascii="Verdana" w:eastAsia="Arial MT" w:hAnsi="Verdana" w:cs="Arial"/>
          <w:lang w:val="es-ES"/>
        </w:rPr>
        <w:t>la</w:t>
      </w:r>
      <w:r w:rsidRPr="003D455F">
        <w:rPr>
          <w:rFonts w:ascii="Verdana" w:eastAsia="Arial MT" w:hAnsi="Verdana" w:cs="Arial"/>
          <w:spacing w:val="1"/>
          <w:lang w:val="es-ES"/>
        </w:rPr>
        <w:t xml:space="preserve"> </w:t>
      </w:r>
      <w:r w:rsidRPr="003D455F">
        <w:rPr>
          <w:rFonts w:ascii="Verdana" w:eastAsia="Arial MT" w:hAnsi="Verdana" w:cs="Arial"/>
          <w:lang w:val="es-ES"/>
        </w:rPr>
        <w:t>Constitución,</w:t>
      </w:r>
      <w:r w:rsidRPr="003D455F">
        <w:rPr>
          <w:rFonts w:ascii="Verdana" w:eastAsia="Arial MT" w:hAnsi="Verdana" w:cs="Arial"/>
          <w:spacing w:val="-14"/>
          <w:lang w:val="es-ES"/>
        </w:rPr>
        <w:t xml:space="preserve"> </w:t>
      </w:r>
      <w:r w:rsidRPr="003D455F">
        <w:rPr>
          <w:rFonts w:ascii="Verdana" w:eastAsia="Arial MT" w:hAnsi="Verdana" w:cs="Arial"/>
          <w:lang w:val="es-ES"/>
        </w:rPr>
        <w:t>según</w:t>
      </w:r>
      <w:r w:rsidRPr="003D455F">
        <w:rPr>
          <w:rFonts w:ascii="Verdana" w:eastAsia="Arial MT" w:hAnsi="Verdana" w:cs="Arial"/>
          <w:spacing w:val="-14"/>
          <w:lang w:val="es-ES"/>
        </w:rPr>
        <w:t xml:space="preserve"> </w:t>
      </w:r>
      <w:r w:rsidRPr="003D455F">
        <w:rPr>
          <w:rFonts w:ascii="Verdana" w:eastAsia="Arial MT" w:hAnsi="Verdana" w:cs="Arial"/>
          <w:lang w:val="es-ES"/>
        </w:rPr>
        <w:t>el</w:t>
      </w:r>
      <w:r w:rsidRPr="003D455F">
        <w:rPr>
          <w:rFonts w:ascii="Verdana" w:eastAsia="Arial MT" w:hAnsi="Verdana" w:cs="Arial"/>
          <w:spacing w:val="-13"/>
          <w:lang w:val="es-ES"/>
        </w:rPr>
        <w:t xml:space="preserve"> </w:t>
      </w:r>
      <w:r w:rsidRPr="003D455F">
        <w:rPr>
          <w:rFonts w:ascii="Verdana" w:eastAsia="Arial MT" w:hAnsi="Verdana" w:cs="Arial"/>
          <w:lang w:val="es-ES"/>
        </w:rPr>
        <w:t>cual</w:t>
      </w:r>
      <w:r w:rsidRPr="003D455F">
        <w:rPr>
          <w:rFonts w:ascii="Verdana" w:eastAsia="Arial MT" w:hAnsi="Verdana" w:cs="Arial"/>
          <w:spacing w:val="-14"/>
          <w:lang w:val="es-ES"/>
        </w:rPr>
        <w:t xml:space="preserve"> </w:t>
      </w:r>
      <w:r w:rsidRPr="003D455F">
        <w:rPr>
          <w:rFonts w:ascii="Verdana" w:eastAsia="Arial MT" w:hAnsi="Verdana" w:cs="Arial"/>
          <w:lang w:val="es-ES"/>
        </w:rPr>
        <w:t>“Los</w:t>
      </w:r>
      <w:r w:rsidRPr="003D455F">
        <w:rPr>
          <w:rFonts w:ascii="Verdana" w:eastAsia="Arial MT" w:hAnsi="Verdana" w:cs="Arial"/>
          <w:spacing w:val="-13"/>
          <w:lang w:val="es-ES"/>
        </w:rPr>
        <w:t xml:space="preserve"> </w:t>
      </w:r>
      <w:r w:rsidRPr="003D455F">
        <w:rPr>
          <w:rFonts w:ascii="Verdana" w:eastAsia="Arial MT" w:hAnsi="Verdana" w:cs="Arial"/>
          <w:lang w:val="es-ES"/>
        </w:rPr>
        <w:t>particulares</w:t>
      </w:r>
      <w:r w:rsidRPr="003D455F">
        <w:rPr>
          <w:rFonts w:ascii="Verdana" w:eastAsia="Arial MT" w:hAnsi="Verdana" w:cs="Arial"/>
          <w:spacing w:val="-14"/>
          <w:lang w:val="es-ES"/>
        </w:rPr>
        <w:t xml:space="preserve"> </w:t>
      </w:r>
      <w:r w:rsidRPr="003D455F">
        <w:rPr>
          <w:rFonts w:ascii="Verdana" w:eastAsia="Arial MT" w:hAnsi="Verdana" w:cs="Arial"/>
          <w:lang w:val="es-ES"/>
        </w:rPr>
        <w:t>sólo</w:t>
      </w:r>
      <w:r w:rsidRPr="003D455F">
        <w:rPr>
          <w:rFonts w:ascii="Verdana" w:eastAsia="Arial MT" w:hAnsi="Verdana" w:cs="Arial"/>
          <w:spacing w:val="-13"/>
          <w:lang w:val="es-ES"/>
        </w:rPr>
        <w:t xml:space="preserve"> </w:t>
      </w:r>
      <w:r w:rsidRPr="003D455F">
        <w:rPr>
          <w:rFonts w:ascii="Verdana" w:eastAsia="Arial MT" w:hAnsi="Verdana" w:cs="Arial"/>
          <w:lang w:val="es-ES"/>
        </w:rPr>
        <w:t>son</w:t>
      </w:r>
      <w:r w:rsidRPr="003D455F">
        <w:rPr>
          <w:rFonts w:ascii="Verdana" w:eastAsia="Arial MT" w:hAnsi="Verdana" w:cs="Arial"/>
          <w:spacing w:val="-14"/>
          <w:lang w:val="es-ES"/>
        </w:rPr>
        <w:t xml:space="preserve"> </w:t>
      </w:r>
      <w:r w:rsidRPr="003D455F">
        <w:rPr>
          <w:rFonts w:ascii="Verdana" w:eastAsia="Arial MT" w:hAnsi="Verdana" w:cs="Arial"/>
          <w:lang w:val="es-ES"/>
        </w:rPr>
        <w:t>responsables</w:t>
      </w:r>
      <w:r w:rsidRPr="003D455F">
        <w:rPr>
          <w:rFonts w:ascii="Verdana" w:eastAsia="Arial MT" w:hAnsi="Verdana" w:cs="Arial"/>
          <w:spacing w:val="-13"/>
          <w:lang w:val="es-ES"/>
        </w:rPr>
        <w:t xml:space="preserve"> </w:t>
      </w:r>
      <w:r w:rsidRPr="003D455F">
        <w:rPr>
          <w:rFonts w:ascii="Verdana" w:eastAsia="Arial MT" w:hAnsi="Verdana" w:cs="Arial"/>
          <w:lang w:val="es-ES"/>
        </w:rPr>
        <w:t>ante</w:t>
      </w:r>
      <w:r w:rsidRPr="003D455F">
        <w:rPr>
          <w:rFonts w:ascii="Verdana" w:eastAsia="Arial MT" w:hAnsi="Verdana" w:cs="Arial"/>
          <w:spacing w:val="-14"/>
          <w:lang w:val="es-ES"/>
        </w:rPr>
        <w:t xml:space="preserve"> </w:t>
      </w:r>
      <w:r w:rsidRPr="003D455F">
        <w:rPr>
          <w:rFonts w:ascii="Verdana" w:eastAsia="Arial MT" w:hAnsi="Verdana" w:cs="Arial"/>
          <w:lang w:val="es-ES"/>
        </w:rPr>
        <w:t>las</w:t>
      </w:r>
      <w:r w:rsidRPr="003D455F">
        <w:rPr>
          <w:rFonts w:ascii="Verdana" w:eastAsia="Arial MT" w:hAnsi="Verdana" w:cs="Arial"/>
          <w:spacing w:val="-13"/>
          <w:lang w:val="es-ES"/>
        </w:rPr>
        <w:t xml:space="preserve"> </w:t>
      </w:r>
      <w:r w:rsidRPr="003D455F">
        <w:rPr>
          <w:rFonts w:ascii="Verdana" w:eastAsia="Arial MT" w:hAnsi="Verdana" w:cs="Arial"/>
          <w:lang w:val="es-ES"/>
        </w:rPr>
        <w:t>autoridades</w:t>
      </w:r>
      <w:r w:rsidRPr="003D455F">
        <w:rPr>
          <w:rFonts w:ascii="Verdana" w:eastAsia="Arial MT" w:hAnsi="Verdana" w:cs="Arial"/>
          <w:spacing w:val="-59"/>
          <w:lang w:val="es-ES"/>
        </w:rPr>
        <w:t xml:space="preserve"> </w:t>
      </w:r>
      <w:r w:rsidRPr="003D455F">
        <w:rPr>
          <w:rFonts w:ascii="Verdana" w:eastAsia="Arial MT" w:hAnsi="Verdana" w:cs="Arial"/>
          <w:lang w:val="es-ES"/>
        </w:rPr>
        <w:t>por infringir la Constitución y las leyes” lo que se traduce en que pueden hacer todo</w:t>
      </w:r>
      <w:r w:rsidRPr="003D455F">
        <w:rPr>
          <w:rFonts w:ascii="Verdana" w:eastAsia="Arial MT" w:hAnsi="Verdana" w:cs="Arial"/>
          <w:spacing w:val="1"/>
          <w:lang w:val="es-ES"/>
        </w:rPr>
        <w:t xml:space="preserve"> </w:t>
      </w:r>
      <w:r w:rsidRPr="003D455F">
        <w:rPr>
          <w:rFonts w:ascii="Verdana" w:eastAsia="Arial MT" w:hAnsi="Verdana" w:cs="Arial"/>
          <w:lang w:val="es-ES"/>
        </w:rPr>
        <w:t>aquello que no les esté expresamente prohibido”</w:t>
      </w:r>
      <w:r w:rsidRPr="003D455F">
        <w:rPr>
          <w:rFonts w:ascii="Geomanist Light" w:hAnsi="Geomanist Light"/>
          <w:vertAlign w:val="superscript"/>
          <w:lang w:val="es-ES"/>
        </w:rPr>
        <w:footnoteReference w:id="5"/>
      </w:r>
      <w:r w:rsidRPr="003D455F">
        <w:rPr>
          <w:rFonts w:ascii="Verdana" w:eastAsia="Arial MT" w:hAnsi="Verdana" w:cs="Arial"/>
          <w:lang w:val="es-ES"/>
        </w:rPr>
        <w:t>. En tal sentido, la Sección Tercera</w:t>
      </w:r>
      <w:r w:rsidRPr="003D455F">
        <w:rPr>
          <w:rFonts w:ascii="Verdana" w:eastAsia="Arial MT" w:hAnsi="Verdana" w:cs="Arial"/>
          <w:spacing w:val="1"/>
          <w:lang w:val="es-ES"/>
        </w:rPr>
        <w:t xml:space="preserve"> </w:t>
      </w:r>
      <w:r w:rsidRPr="003D455F">
        <w:rPr>
          <w:rFonts w:ascii="Verdana" w:eastAsia="Arial MT" w:hAnsi="Verdana" w:cs="Arial"/>
          <w:lang w:val="es-ES"/>
        </w:rPr>
        <w:t>ha</w:t>
      </w:r>
      <w:r w:rsidRPr="003D455F">
        <w:rPr>
          <w:rFonts w:ascii="Verdana" w:eastAsia="Arial MT" w:hAnsi="Verdana" w:cs="Arial"/>
          <w:spacing w:val="-2"/>
          <w:lang w:val="es-ES"/>
        </w:rPr>
        <w:t xml:space="preserve"> </w:t>
      </w:r>
      <w:r w:rsidRPr="003D455F">
        <w:rPr>
          <w:rFonts w:ascii="Verdana" w:eastAsia="Arial MT" w:hAnsi="Verdana" w:cs="Arial"/>
          <w:lang w:val="es-ES"/>
        </w:rPr>
        <w:t>señalado</w:t>
      </w:r>
      <w:r w:rsidRPr="003D455F">
        <w:rPr>
          <w:rFonts w:ascii="Verdana" w:eastAsia="Arial MT" w:hAnsi="Verdana" w:cs="Arial"/>
          <w:spacing w:val="-1"/>
          <w:lang w:val="es-ES"/>
        </w:rPr>
        <w:t xml:space="preserve"> </w:t>
      </w:r>
      <w:r w:rsidRPr="003D455F">
        <w:rPr>
          <w:rFonts w:ascii="Verdana" w:eastAsia="Arial MT" w:hAnsi="Verdana" w:cs="Arial"/>
          <w:lang w:val="es-ES"/>
        </w:rPr>
        <w:t>que:</w:t>
      </w:r>
    </w:p>
    <w:p w14:paraId="67B2FC6C" w14:textId="77777777" w:rsidR="0092047B" w:rsidRPr="003D455F" w:rsidRDefault="0092047B" w:rsidP="0092047B">
      <w:pPr>
        <w:widowControl w:val="0"/>
        <w:autoSpaceDE w:val="0"/>
        <w:autoSpaceDN w:val="0"/>
        <w:spacing w:before="3" w:after="0" w:line="240" w:lineRule="auto"/>
        <w:rPr>
          <w:rFonts w:ascii="Verdana" w:eastAsia="Arial MT" w:hAnsi="Verdana" w:cs="Arial"/>
          <w:sz w:val="25"/>
          <w:lang w:val="es-ES"/>
        </w:rPr>
      </w:pPr>
    </w:p>
    <w:p w14:paraId="588AB930" w14:textId="77777777" w:rsidR="0092047B" w:rsidRPr="003D455F" w:rsidRDefault="0092047B" w:rsidP="0092047B">
      <w:pPr>
        <w:widowControl w:val="0"/>
        <w:autoSpaceDE w:val="0"/>
        <w:autoSpaceDN w:val="0"/>
        <w:spacing w:after="0" w:line="240" w:lineRule="auto"/>
        <w:ind w:left="709" w:right="709"/>
        <w:jc w:val="both"/>
        <w:rPr>
          <w:rFonts w:ascii="Verdana" w:eastAsia="Calibri" w:hAnsi="Verdana" w:cs="Arial"/>
          <w:sz w:val="21"/>
          <w:lang w:val="es-MX"/>
        </w:rPr>
      </w:pPr>
      <w:r w:rsidRPr="003D455F">
        <w:rPr>
          <w:rFonts w:ascii="Verdana" w:eastAsia="Arial MT" w:hAnsi="Verdana" w:cs="Arial"/>
          <w:sz w:val="21"/>
          <w:lang w:val="es-ES"/>
        </w:rPr>
        <w:t>[…]</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de</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conformidad</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con</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la</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jurisprudencia</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uniforme</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y</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reiterada</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de</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esta</w:t>
      </w:r>
      <w:r w:rsidRPr="003D455F">
        <w:rPr>
          <w:rFonts w:ascii="Verdana" w:eastAsia="Arial MT" w:hAnsi="Verdana" w:cs="Arial"/>
          <w:spacing w:val="-56"/>
          <w:sz w:val="21"/>
          <w:lang w:val="es-ES"/>
        </w:rPr>
        <w:t xml:space="preserve"> </w:t>
      </w:r>
      <w:r w:rsidRPr="003D455F">
        <w:rPr>
          <w:rFonts w:ascii="Verdana" w:eastAsia="Arial MT" w:hAnsi="Verdana" w:cs="Arial"/>
          <w:sz w:val="21"/>
          <w:lang w:val="es-ES"/>
        </w:rPr>
        <w:t>Corporación, la aplicación de las normas que contemplan inhabilidades e</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incompatibilidades,</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como</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en</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general</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de</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todas</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aquellas</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que</w:t>
      </w:r>
      <w:r w:rsidRPr="003D455F">
        <w:rPr>
          <w:rFonts w:ascii="Verdana" w:eastAsia="Arial MT" w:hAnsi="Verdana" w:cs="Arial"/>
          <w:spacing w:val="1"/>
          <w:sz w:val="21"/>
          <w:lang w:val="es-ES"/>
        </w:rPr>
        <w:t xml:space="preserve"> </w:t>
      </w:r>
      <w:r w:rsidRPr="003D455F">
        <w:rPr>
          <w:rFonts w:ascii="Verdana" w:eastAsia="Arial MT" w:hAnsi="Verdana" w:cs="Arial"/>
          <w:sz w:val="21"/>
          <w:lang w:val="es-ES"/>
        </w:rPr>
        <w:t>comportan</w:t>
      </w:r>
      <w:r w:rsidRPr="003D455F">
        <w:rPr>
          <w:rFonts w:ascii="Verdana" w:eastAsia="Arial MT" w:hAnsi="Verdana" w:cs="Arial"/>
          <w:spacing w:val="-56"/>
          <w:sz w:val="21"/>
          <w:lang w:val="es-ES"/>
        </w:rPr>
        <w:t xml:space="preserve"> </w:t>
      </w:r>
      <w:r w:rsidRPr="003D455F">
        <w:rPr>
          <w:rFonts w:ascii="Verdana" w:eastAsia="Arial MT" w:hAnsi="Verdana" w:cs="Arial"/>
          <w:sz w:val="21"/>
          <w:lang w:val="es-ES"/>
        </w:rPr>
        <w:t>prohibiciones</w:t>
      </w:r>
      <w:r w:rsidRPr="003D455F">
        <w:rPr>
          <w:rFonts w:ascii="Verdana" w:eastAsia="Arial MT" w:hAnsi="Verdana" w:cs="Arial"/>
          <w:spacing w:val="-12"/>
          <w:sz w:val="21"/>
          <w:lang w:val="es-ES"/>
        </w:rPr>
        <w:t xml:space="preserve"> </w:t>
      </w:r>
      <w:r w:rsidRPr="003D455F">
        <w:rPr>
          <w:rFonts w:ascii="Verdana" w:eastAsia="Arial MT" w:hAnsi="Verdana" w:cs="Arial"/>
          <w:sz w:val="21"/>
          <w:lang w:val="es-ES"/>
        </w:rPr>
        <w:t>o</w:t>
      </w:r>
      <w:r w:rsidRPr="003D455F">
        <w:rPr>
          <w:rFonts w:ascii="Verdana" w:eastAsia="Arial MT" w:hAnsi="Verdana" w:cs="Arial"/>
          <w:spacing w:val="-13"/>
          <w:sz w:val="21"/>
          <w:lang w:val="es-ES"/>
        </w:rPr>
        <w:t xml:space="preserve"> </w:t>
      </w:r>
      <w:r w:rsidRPr="003D455F">
        <w:rPr>
          <w:rFonts w:ascii="Verdana" w:eastAsia="Arial MT" w:hAnsi="Verdana" w:cs="Arial"/>
          <w:sz w:val="21"/>
          <w:lang w:val="es-ES"/>
        </w:rPr>
        <w:t>limitaciones,</w:t>
      </w:r>
      <w:r w:rsidRPr="003D455F">
        <w:rPr>
          <w:rFonts w:ascii="Verdana" w:eastAsia="Arial MT" w:hAnsi="Verdana" w:cs="Arial"/>
          <w:spacing w:val="-12"/>
          <w:sz w:val="21"/>
          <w:lang w:val="es-ES"/>
        </w:rPr>
        <w:t xml:space="preserve"> </w:t>
      </w:r>
      <w:r w:rsidRPr="003D455F">
        <w:rPr>
          <w:rFonts w:ascii="Verdana" w:eastAsia="Arial MT" w:hAnsi="Verdana" w:cs="Arial"/>
          <w:sz w:val="21"/>
          <w:lang w:val="es-ES"/>
        </w:rPr>
        <w:t>deben</w:t>
      </w:r>
      <w:r w:rsidRPr="003D455F">
        <w:rPr>
          <w:rFonts w:ascii="Verdana" w:eastAsia="Arial MT" w:hAnsi="Verdana" w:cs="Arial"/>
          <w:spacing w:val="-13"/>
          <w:sz w:val="21"/>
          <w:lang w:val="es-ES"/>
        </w:rPr>
        <w:t xml:space="preserve"> </w:t>
      </w:r>
      <w:r w:rsidRPr="003D455F">
        <w:rPr>
          <w:rFonts w:ascii="Verdana" w:eastAsia="Arial MT" w:hAnsi="Verdana" w:cs="Arial"/>
          <w:sz w:val="21"/>
          <w:lang w:val="es-ES"/>
        </w:rPr>
        <w:t>responder</w:t>
      </w:r>
      <w:r w:rsidRPr="003D455F">
        <w:rPr>
          <w:rFonts w:ascii="Verdana" w:eastAsia="Arial MT" w:hAnsi="Verdana" w:cs="Arial"/>
          <w:spacing w:val="-13"/>
          <w:sz w:val="21"/>
          <w:lang w:val="es-ES"/>
        </w:rPr>
        <w:t xml:space="preserve"> </w:t>
      </w:r>
      <w:r w:rsidRPr="003D455F">
        <w:rPr>
          <w:rFonts w:ascii="Verdana" w:eastAsia="Arial MT" w:hAnsi="Verdana" w:cs="Arial"/>
          <w:sz w:val="21"/>
          <w:lang w:val="es-ES"/>
        </w:rPr>
        <w:t>a</w:t>
      </w:r>
      <w:r w:rsidRPr="003D455F">
        <w:rPr>
          <w:rFonts w:ascii="Verdana" w:eastAsia="Arial MT" w:hAnsi="Verdana" w:cs="Arial"/>
          <w:spacing w:val="-12"/>
          <w:sz w:val="21"/>
          <w:lang w:val="es-ES"/>
        </w:rPr>
        <w:t xml:space="preserve"> </w:t>
      </w:r>
      <w:r w:rsidRPr="003D455F">
        <w:rPr>
          <w:rFonts w:ascii="Verdana" w:eastAsia="Arial MT" w:hAnsi="Verdana" w:cs="Arial"/>
          <w:sz w:val="21"/>
          <w:lang w:val="es-ES"/>
        </w:rPr>
        <w:t>una</w:t>
      </w:r>
      <w:r w:rsidRPr="003D455F">
        <w:rPr>
          <w:rFonts w:ascii="Verdana" w:eastAsia="Arial MT" w:hAnsi="Verdana" w:cs="Arial"/>
          <w:spacing w:val="-13"/>
          <w:sz w:val="21"/>
          <w:lang w:val="es-ES"/>
        </w:rPr>
        <w:t xml:space="preserve"> </w:t>
      </w:r>
      <w:r w:rsidRPr="003D455F">
        <w:rPr>
          <w:rFonts w:ascii="Verdana" w:eastAsia="Arial MT" w:hAnsi="Verdana" w:cs="Arial"/>
          <w:sz w:val="21"/>
          <w:lang w:val="es-ES"/>
        </w:rPr>
        <w:t>interpretación</w:t>
      </w:r>
      <w:r w:rsidRPr="003D455F">
        <w:rPr>
          <w:rFonts w:ascii="Verdana" w:eastAsia="Arial MT" w:hAnsi="Verdana" w:cs="Arial"/>
          <w:spacing w:val="-12"/>
          <w:sz w:val="21"/>
          <w:lang w:val="es-ES"/>
        </w:rPr>
        <w:t xml:space="preserve"> </w:t>
      </w:r>
      <w:r w:rsidRPr="003D455F">
        <w:rPr>
          <w:rFonts w:ascii="Verdana" w:eastAsia="Arial MT" w:hAnsi="Verdana" w:cs="Arial"/>
          <w:sz w:val="21"/>
          <w:lang w:val="es-ES"/>
        </w:rPr>
        <w:t xml:space="preserve">restrictiva </w:t>
      </w:r>
      <w:r w:rsidRPr="003D455F">
        <w:rPr>
          <w:rFonts w:ascii="Verdana" w:eastAsia="Calibri" w:hAnsi="Verdana" w:cs="Arial"/>
          <w:sz w:val="21"/>
          <w:lang w:val="es-MX"/>
        </w:rPr>
        <w:t>que</w:t>
      </w:r>
      <w:r w:rsidRPr="003D455F">
        <w:rPr>
          <w:rFonts w:ascii="Verdana" w:eastAsia="Calibri" w:hAnsi="Verdana" w:cs="Arial"/>
          <w:spacing w:val="-6"/>
          <w:sz w:val="21"/>
          <w:lang w:val="es-MX"/>
        </w:rPr>
        <w:t xml:space="preserve"> </w:t>
      </w:r>
      <w:r w:rsidRPr="003D455F">
        <w:rPr>
          <w:rFonts w:ascii="Verdana" w:eastAsia="Calibri" w:hAnsi="Verdana" w:cs="Arial"/>
          <w:sz w:val="21"/>
          <w:lang w:val="es-MX"/>
        </w:rPr>
        <w:t>no</w:t>
      </w:r>
      <w:r w:rsidRPr="003D455F">
        <w:rPr>
          <w:rFonts w:ascii="Verdana" w:eastAsia="Calibri" w:hAnsi="Verdana" w:cs="Arial"/>
          <w:spacing w:val="-5"/>
          <w:sz w:val="21"/>
          <w:lang w:val="es-MX"/>
        </w:rPr>
        <w:t xml:space="preserve"> </w:t>
      </w:r>
      <w:r w:rsidRPr="003D455F">
        <w:rPr>
          <w:rFonts w:ascii="Verdana" w:eastAsia="Calibri" w:hAnsi="Verdana" w:cs="Arial"/>
          <w:sz w:val="21"/>
          <w:lang w:val="es-MX"/>
        </w:rPr>
        <w:t>permite</w:t>
      </w:r>
      <w:r w:rsidRPr="003D455F">
        <w:rPr>
          <w:rFonts w:ascii="Verdana" w:eastAsia="Calibri" w:hAnsi="Verdana" w:cs="Arial"/>
          <w:spacing w:val="-6"/>
          <w:sz w:val="21"/>
          <w:lang w:val="es-MX"/>
        </w:rPr>
        <w:t xml:space="preserve"> </w:t>
      </w:r>
      <w:r w:rsidRPr="003D455F">
        <w:rPr>
          <w:rFonts w:ascii="Verdana" w:eastAsia="Calibri" w:hAnsi="Verdana" w:cs="Arial"/>
          <w:sz w:val="21"/>
          <w:lang w:val="es-MX"/>
        </w:rPr>
        <w:t>su</w:t>
      </w:r>
      <w:r w:rsidRPr="003D455F">
        <w:rPr>
          <w:rFonts w:ascii="Verdana" w:eastAsia="Calibri" w:hAnsi="Verdana" w:cs="Arial"/>
          <w:spacing w:val="-5"/>
          <w:sz w:val="21"/>
          <w:lang w:val="es-MX"/>
        </w:rPr>
        <w:t xml:space="preserve"> </w:t>
      </w:r>
      <w:r w:rsidRPr="003D455F">
        <w:rPr>
          <w:rFonts w:ascii="Verdana" w:eastAsia="Calibri" w:hAnsi="Verdana" w:cs="Arial"/>
          <w:sz w:val="21"/>
          <w:lang w:val="es-MX"/>
        </w:rPr>
        <w:t>extensión,</w:t>
      </w:r>
      <w:r w:rsidRPr="003D455F">
        <w:rPr>
          <w:rFonts w:ascii="Verdana" w:eastAsia="Calibri" w:hAnsi="Verdana" w:cs="Arial"/>
          <w:spacing w:val="-6"/>
          <w:sz w:val="21"/>
          <w:lang w:val="es-MX"/>
        </w:rPr>
        <w:t xml:space="preserve"> </w:t>
      </w:r>
      <w:r w:rsidRPr="003D455F">
        <w:rPr>
          <w:rFonts w:ascii="Verdana" w:eastAsia="Calibri" w:hAnsi="Verdana" w:cs="Arial"/>
          <w:sz w:val="21"/>
          <w:lang w:val="es-MX"/>
        </w:rPr>
        <w:t>por</w:t>
      </w:r>
      <w:r w:rsidRPr="003D455F">
        <w:rPr>
          <w:rFonts w:ascii="Verdana" w:eastAsia="Calibri" w:hAnsi="Verdana" w:cs="Arial"/>
          <w:spacing w:val="-5"/>
          <w:sz w:val="21"/>
          <w:lang w:val="es-MX"/>
        </w:rPr>
        <w:t xml:space="preserve"> </w:t>
      </w:r>
      <w:r w:rsidRPr="003D455F">
        <w:rPr>
          <w:rFonts w:ascii="Verdana" w:eastAsia="Calibri" w:hAnsi="Verdana" w:cs="Arial"/>
          <w:sz w:val="21"/>
          <w:lang w:val="es-MX"/>
        </w:rPr>
        <w:t>vía</w:t>
      </w:r>
      <w:r w:rsidRPr="003D455F">
        <w:rPr>
          <w:rFonts w:ascii="Verdana" w:eastAsia="Calibri" w:hAnsi="Verdana" w:cs="Arial"/>
          <w:spacing w:val="-6"/>
          <w:sz w:val="21"/>
          <w:lang w:val="es-MX"/>
        </w:rPr>
        <w:t xml:space="preserve"> </w:t>
      </w:r>
      <w:r w:rsidRPr="003D455F">
        <w:rPr>
          <w:rFonts w:ascii="Verdana" w:eastAsia="Calibri" w:hAnsi="Verdana" w:cs="Arial"/>
          <w:sz w:val="21"/>
          <w:lang w:val="es-MX"/>
        </w:rPr>
        <w:t>de</w:t>
      </w:r>
      <w:r w:rsidRPr="003D455F">
        <w:rPr>
          <w:rFonts w:ascii="Verdana" w:eastAsia="Calibri" w:hAnsi="Verdana" w:cs="Arial"/>
          <w:spacing w:val="-5"/>
          <w:sz w:val="21"/>
          <w:lang w:val="es-MX"/>
        </w:rPr>
        <w:t xml:space="preserve"> </w:t>
      </w:r>
      <w:r w:rsidRPr="003D455F">
        <w:rPr>
          <w:rFonts w:ascii="Verdana" w:eastAsia="Calibri" w:hAnsi="Verdana" w:cs="Arial"/>
          <w:sz w:val="21"/>
          <w:lang w:val="es-MX"/>
        </w:rPr>
        <w:t>la</w:t>
      </w:r>
      <w:r w:rsidRPr="003D455F">
        <w:rPr>
          <w:rFonts w:ascii="Verdana" w:eastAsia="Calibri" w:hAnsi="Verdana" w:cs="Arial"/>
          <w:spacing w:val="-6"/>
          <w:sz w:val="21"/>
          <w:lang w:val="es-MX"/>
        </w:rPr>
        <w:t xml:space="preserve"> </w:t>
      </w:r>
      <w:r w:rsidRPr="003D455F">
        <w:rPr>
          <w:rFonts w:ascii="Verdana" w:eastAsia="Calibri" w:hAnsi="Verdana" w:cs="Arial"/>
          <w:sz w:val="21"/>
          <w:lang w:val="es-MX"/>
        </w:rPr>
        <w:t>figura</w:t>
      </w:r>
      <w:r w:rsidRPr="003D455F">
        <w:rPr>
          <w:rFonts w:ascii="Verdana" w:eastAsia="Calibri" w:hAnsi="Verdana" w:cs="Arial"/>
          <w:spacing w:val="-4"/>
          <w:sz w:val="21"/>
          <w:lang w:val="es-MX"/>
        </w:rPr>
        <w:t xml:space="preserve"> </w:t>
      </w:r>
      <w:r w:rsidRPr="003D455F">
        <w:rPr>
          <w:rFonts w:ascii="Verdana" w:eastAsia="Calibri" w:hAnsi="Verdana" w:cs="Arial"/>
          <w:sz w:val="21"/>
          <w:lang w:val="es-MX"/>
        </w:rPr>
        <w:t>de</w:t>
      </w:r>
      <w:r w:rsidRPr="003D455F">
        <w:rPr>
          <w:rFonts w:ascii="Verdana" w:eastAsia="Calibri" w:hAnsi="Verdana" w:cs="Arial"/>
          <w:spacing w:val="-6"/>
          <w:sz w:val="21"/>
          <w:lang w:val="es-MX"/>
        </w:rPr>
        <w:t xml:space="preserve"> </w:t>
      </w:r>
      <w:r w:rsidRPr="003D455F">
        <w:rPr>
          <w:rFonts w:ascii="Verdana" w:eastAsia="Calibri" w:hAnsi="Verdana" w:cs="Arial"/>
          <w:sz w:val="21"/>
          <w:lang w:val="es-MX"/>
        </w:rPr>
        <w:t>la</w:t>
      </w:r>
      <w:r w:rsidRPr="003D455F">
        <w:rPr>
          <w:rFonts w:ascii="Verdana" w:eastAsia="Calibri" w:hAnsi="Verdana" w:cs="Arial"/>
          <w:spacing w:val="-5"/>
          <w:sz w:val="21"/>
          <w:lang w:val="es-MX"/>
        </w:rPr>
        <w:t xml:space="preserve"> </w:t>
      </w:r>
      <w:r w:rsidRPr="003D455F">
        <w:rPr>
          <w:rFonts w:ascii="Verdana" w:eastAsia="Calibri" w:hAnsi="Verdana" w:cs="Arial"/>
          <w:sz w:val="21"/>
          <w:lang w:val="es-MX"/>
        </w:rPr>
        <w:t>analogía,</w:t>
      </w:r>
      <w:r w:rsidRPr="003D455F">
        <w:rPr>
          <w:rFonts w:ascii="Verdana" w:eastAsia="Calibri" w:hAnsi="Verdana" w:cs="Arial"/>
          <w:spacing w:val="-6"/>
          <w:sz w:val="21"/>
          <w:lang w:val="es-MX"/>
        </w:rPr>
        <w:t xml:space="preserve"> </w:t>
      </w:r>
      <w:r w:rsidRPr="003D455F">
        <w:rPr>
          <w:rFonts w:ascii="Verdana" w:eastAsia="Calibri" w:hAnsi="Verdana" w:cs="Arial"/>
          <w:sz w:val="21"/>
          <w:lang w:val="es-MX"/>
        </w:rPr>
        <w:t>a</w:t>
      </w:r>
      <w:r w:rsidRPr="003D455F">
        <w:rPr>
          <w:rFonts w:ascii="Verdana" w:eastAsia="Calibri" w:hAnsi="Verdana" w:cs="Arial"/>
          <w:spacing w:val="-5"/>
          <w:sz w:val="21"/>
          <w:lang w:val="es-MX"/>
        </w:rPr>
        <w:t xml:space="preserve"> </w:t>
      </w:r>
      <w:r w:rsidRPr="003D455F">
        <w:rPr>
          <w:rFonts w:ascii="Verdana" w:eastAsia="Calibri" w:hAnsi="Verdana" w:cs="Arial"/>
          <w:sz w:val="21"/>
          <w:lang w:val="es-MX"/>
        </w:rPr>
        <w:t>supuestos</w:t>
      </w:r>
      <w:r w:rsidRPr="003D455F">
        <w:rPr>
          <w:rFonts w:ascii="Verdana" w:eastAsia="Calibri" w:hAnsi="Verdana" w:cs="Arial"/>
          <w:spacing w:val="-56"/>
          <w:sz w:val="21"/>
          <w:lang w:val="es-MX"/>
        </w:rPr>
        <w:t xml:space="preserve"> </w:t>
      </w:r>
      <w:r w:rsidRPr="003D455F">
        <w:rPr>
          <w:rFonts w:ascii="Verdana" w:eastAsia="Calibri" w:hAnsi="Verdana" w:cs="Arial"/>
          <w:sz w:val="21"/>
          <w:lang w:val="es-MX"/>
        </w:rPr>
        <w:t>no</w:t>
      </w:r>
      <w:r w:rsidRPr="003D455F">
        <w:rPr>
          <w:rFonts w:ascii="Verdana" w:eastAsia="Calibri" w:hAnsi="Verdana" w:cs="Arial"/>
          <w:spacing w:val="-2"/>
          <w:sz w:val="21"/>
          <w:lang w:val="es-MX"/>
        </w:rPr>
        <w:t xml:space="preserve"> </w:t>
      </w:r>
      <w:r w:rsidRPr="003D455F">
        <w:rPr>
          <w:rFonts w:ascii="Verdana" w:eastAsia="Calibri" w:hAnsi="Verdana" w:cs="Arial"/>
          <w:sz w:val="21"/>
          <w:lang w:val="es-MX"/>
        </w:rPr>
        <w:t>contemplados</w:t>
      </w:r>
      <w:r w:rsidRPr="003D455F">
        <w:rPr>
          <w:rFonts w:ascii="Verdana" w:eastAsia="Calibri" w:hAnsi="Verdana" w:cs="Arial"/>
          <w:spacing w:val="-1"/>
          <w:sz w:val="21"/>
          <w:lang w:val="es-MX"/>
        </w:rPr>
        <w:t xml:space="preserve"> </w:t>
      </w:r>
      <w:r w:rsidRPr="003D455F">
        <w:rPr>
          <w:rFonts w:ascii="Verdana" w:eastAsia="Calibri" w:hAnsi="Verdana" w:cs="Arial"/>
          <w:sz w:val="21"/>
          <w:lang w:val="es-MX"/>
        </w:rPr>
        <w:t>por</w:t>
      </w:r>
      <w:r w:rsidRPr="003D455F">
        <w:rPr>
          <w:rFonts w:ascii="Verdana" w:eastAsia="Calibri" w:hAnsi="Verdana" w:cs="Arial"/>
          <w:spacing w:val="-1"/>
          <w:sz w:val="21"/>
          <w:lang w:val="es-MX"/>
        </w:rPr>
        <w:t xml:space="preserve"> </w:t>
      </w:r>
      <w:r w:rsidRPr="003D455F">
        <w:rPr>
          <w:rFonts w:ascii="Verdana" w:eastAsia="Calibri" w:hAnsi="Verdana" w:cs="Arial"/>
          <w:sz w:val="21"/>
          <w:lang w:val="es-MX"/>
        </w:rPr>
        <w:t>el</w:t>
      </w:r>
      <w:r w:rsidRPr="003D455F">
        <w:rPr>
          <w:rFonts w:ascii="Verdana" w:eastAsia="Calibri" w:hAnsi="Verdana" w:cs="Arial"/>
          <w:spacing w:val="-1"/>
          <w:sz w:val="21"/>
          <w:lang w:val="es-MX"/>
        </w:rPr>
        <w:t xml:space="preserve"> </w:t>
      </w:r>
      <w:r w:rsidRPr="003D455F">
        <w:rPr>
          <w:rFonts w:ascii="Verdana" w:eastAsia="Calibri" w:hAnsi="Verdana" w:cs="Arial"/>
          <w:sz w:val="21"/>
          <w:lang w:val="es-MX"/>
        </w:rPr>
        <w:t>ordenamiento</w:t>
      </w:r>
      <w:r w:rsidRPr="003D455F">
        <w:rPr>
          <w:rFonts w:ascii="Verdana" w:eastAsia="Calibri" w:hAnsi="Verdana" w:cs="Arial"/>
          <w:sz w:val="21"/>
          <w:vertAlign w:val="superscript"/>
          <w:lang w:val="es-MX"/>
        </w:rPr>
        <w:footnoteReference w:id="6"/>
      </w:r>
      <w:r w:rsidRPr="003D455F">
        <w:rPr>
          <w:rFonts w:ascii="Verdana" w:eastAsia="Calibri" w:hAnsi="Verdana" w:cs="Arial"/>
          <w:sz w:val="21"/>
          <w:lang w:val="es-MX"/>
        </w:rPr>
        <w:t>.</w:t>
      </w:r>
    </w:p>
    <w:p w14:paraId="5CEF4D3D" w14:textId="77777777" w:rsidR="0092047B" w:rsidRPr="003D455F" w:rsidRDefault="0092047B" w:rsidP="0092047B">
      <w:pPr>
        <w:widowControl w:val="0"/>
        <w:autoSpaceDE w:val="0"/>
        <w:autoSpaceDN w:val="0"/>
        <w:spacing w:after="0" w:line="240" w:lineRule="auto"/>
        <w:ind w:left="709" w:right="709"/>
        <w:jc w:val="both"/>
        <w:rPr>
          <w:rFonts w:ascii="Verdana" w:eastAsia="Arial MT" w:hAnsi="Verdana" w:cs="Arial"/>
          <w:sz w:val="21"/>
          <w:lang w:val="es-ES"/>
        </w:rPr>
      </w:pPr>
    </w:p>
    <w:p w14:paraId="6372FF17" w14:textId="77777777" w:rsidR="0092047B" w:rsidRPr="003D455F" w:rsidRDefault="0092047B" w:rsidP="0092047B">
      <w:pPr>
        <w:widowControl w:val="0"/>
        <w:autoSpaceDE w:val="0"/>
        <w:autoSpaceDN w:val="0"/>
        <w:spacing w:after="0" w:line="240" w:lineRule="auto"/>
        <w:ind w:right="709"/>
        <w:jc w:val="both"/>
        <w:rPr>
          <w:rFonts w:ascii="Verdana" w:eastAsia="Arial MT" w:hAnsi="Verdana" w:cs="Arial"/>
          <w:lang w:val="es-ES_tradnl"/>
        </w:rPr>
      </w:pPr>
      <w:r w:rsidRPr="003D455F">
        <w:rPr>
          <w:rFonts w:ascii="Verdana" w:eastAsia="Arial MT" w:hAnsi="Verdana" w:cs="Arial"/>
          <w:lang w:val="es-ES_tradnl"/>
        </w:rPr>
        <w:t>En el mismo sentido ha expuesto que:</w:t>
      </w:r>
    </w:p>
    <w:p w14:paraId="4DB0FEB4" w14:textId="77777777" w:rsidR="0092047B" w:rsidRPr="003D455F" w:rsidRDefault="0092047B" w:rsidP="0092047B">
      <w:pPr>
        <w:widowControl w:val="0"/>
        <w:autoSpaceDE w:val="0"/>
        <w:autoSpaceDN w:val="0"/>
        <w:spacing w:after="0" w:line="240" w:lineRule="auto"/>
        <w:ind w:right="709"/>
        <w:jc w:val="both"/>
        <w:rPr>
          <w:rFonts w:ascii="Verdana" w:eastAsia="Arial MT" w:hAnsi="Verdana" w:cs="Arial"/>
          <w:lang w:val="es-ES_tradnl"/>
        </w:rPr>
      </w:pPr>
    </w:p>
    <w:p w14:paraId="1A282811" w14:textId="77777777" w:rsidR="0092047B" w:rsidRPr="003D455F" w:rsidRDefault="0092047B" w:rsidP="0092047B">
      <w:pPr>
        <w:widowControl w:val="0"/>
        <w:autoSpaceDE w:val="0"/>
        <w:autoSpaceDN w:val="0"/>
        <w:spacing w:after="0" w:line="240" w:lineRule="auto"/>
        <w:ind w:left="709" w:right="709"/>
        <w:jc w:val="both"/>
        <w:rPr>
          <w:rFonts w:ascii="Verdana" w:eastAsia="Arial MT" w:hAnsi="Verdana" w:cs="Arial"/>
          <w:sz w:val="21"/>
          <w:szCs w:val="21"/>
          <w:lang w:val="es-ES"/>
        </w:rPr>
      </w:pPr>
      <w:r w:rsidRPr="003D455F">
        <w:rPr>
          <w:rFonts w:ascii="Verdana" w:eastAsia="Arial MT" w:hAnsi="Verdana" w:cs="Arial"/>
          <w:sz w:val="21"/>
          <w:szCs w:val="21"/>
          <w:lang w:val="es-ES"/>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3D455F">
        <w:rPr>
          <w:rFonts w:ascii="Verdana" w:eastAsia="Arial MT" w:hAnsi="Verdana" w:cs="Arial"/>
          <w:sz w:val="21"/>
          <w:szCs w:val="21"/>
          <w:vertAlign w:val="superscript"/>
          <w:lang w:val="es-ES"/>
        </w:rPr>
        <w:footnoteReference w:id="7"/>
      </w:r>
      <w:r w:rsidRPr="003D455F">
        <w:rPr>
          <w:rFonts w:ascii="Verdana" w:eastAsia="Arial MT" w:hAnsi="Verdana" w:cs="Arial"/>
          <w:sz w:val="21"/>
          <w:szCs w:val="21"/>
          <w:lang w:val="es-ES"/>
        </w:rPr>
        <w:t>.</w:t>
      </w:r>
    </w:p>
    <w:p w14:paraId="1195E481" w14:textId="77777777" w:rsidR="0092047B" w:rsidRPr="003D455F" w:rsidRDefault="0092047B" w:rsidP="0092047B">
      <w:pPr>
        <w:widowControl w:val="0"/>
        <w:autoSpaceDE w:val="0"/>
        <w:autoSpaceDN w:val="0"/>
        <w:spacing w:after="0" w:line="240" w:lineRule="auto"/>
        <w:ind w:left="810" w:right="1243"/>
        <w:jc w:val="both"/>
        <w:rPr>
          <w:rFonts w:ascii="Verdana" w:eastAsia="Arial MT" w:hAnsi="Verdana" w:cs="Arial"/>
          <w:sz w:val="20"/>
          <w:lang w:val="es-ES"/>
        </w:rPr>
      </w:pPr>
    </w:p>
    <w:p w14:paraId="3E6BD18D" w14:textId="77777777" w:rsidR="0092047B" w:rsidRPr="003D455F" w:rsidRDefault="0092047B" w:rsidP="00865AE0">
      <w:pPr>
        <w:widowControl w:val="0"/>
        <w:autoSpaceDE w:val="0"/>
        <w:autoSpaceDN w:val="0"/>
        <w:spacing w:after="120" w:line="276" w:lineRule="auto"/>
        <w:ind w:firstLine="708"/>
        <w:contextualSpacing/>
        <w:jc w:val="both"/>
        <w:rPr>
          <w:rFonts w:ascii="Verdana" w:eastAsia="Arial" w:hAnsi="Verdana" w:cs="Arial"/>
          <w:color w:val="333333"/>
          <w:shd w:val="clear" w:color="auto" w:fill="FFFFFF"/>
          <w:lang w:val="es-ES" w:eastAsia="es-ES" w:bidi="es-ES"/>
        </w:rPr>
      </w:pPr>
      <w:r w:rsidRPr="003D455F">
        <w:rPr>
          <w:rFonts w:ascii="Verdana" w:eastAsia="Arial MT" w:hAnsi="Verdana" w:cs="Arial"/>
          <w:lang w:val="es-ES" w:eastAsia="es-ES" w:bidi="es-ES"/>
        </w:rPr>
        <w:t xml:space="preserve">De igual forma, </w:t>
      </w:r>
      <w:r w:rsidRPr="003D455F">
        <w:rPr>
          <w:rFonts w:ascii="Verdana" w:eastAsia="Arial" w:hAnsi="Verdana" w:cs="Arial"/>
          <w:lang w:val="es-ES" w:eastAsia="es-ES" w:bidi="es-ES"/>
        </w:rPr>
        <w:t>la Corte Constitucional en jurisprudencia</w:t>
      </w:r>
      <w:r w:rsidRPr="003D455F">
        <w:rPr>
          <w:rFonts w:ascii="Geomanist Light" w:hAnsi="Geomanist Light"/>
          <w:vertAlign w:val="superscript"/>
          <w:lang w:val="es-ES" w:eastAsia="es-ES" w:bidi="es-ES"/>
        </w:rPr>
        <w:footnoteReference w:id="8"/>
      </w:r>
      <w:r w:rsidRPr="003D455F">
        <w:rPr>
          <w:rFonts w:ascii="Verdana" w:eastAsia="Arial" w:hAnsi="Verdana" w:cs="Arial"/>
          <w:lang w:val="es-ES" w:eastAsia="es-ES" w:bidi="es-ES"/>
        </w:rPr>
        <w:t xml:space="preserve"> citada a su vez por el Consejo de Estado</w:t>
      </w:r>
      <w:r w:rsidRPr="003D455F">
        <w:rPr>
          <w:rFonts w:ascii="Geomanist Light" w:hAnsi="Geomanist Light"/>
          <w:vertAlign w:val="superscript"/>
          <w:lang w:val="es-ES" w:eastAsia="es-ES" w:bidi="es-ES"/>
        </w:rPr>
        <w:footnoteReference w:id="9"/>
      </w:r>
      <w:r w:rsidRPr="003D455F">
        <w:rPr>
          <w:rFonts w:ascii="Verdana" w:eastAsia="Arial" w:hAnsi="Verdana" w:cs="Arial"/>
          <w:lang w:val="es-ES" w:eastAsia="es-ES" w:bidi="es-ES"/>
        </w:rPr>
        <w:t xml:space="preserve">, se ha referido al régimen general de inhabilidades e incompatibilidades, destacando de este la prevalencia del interés general sobre </w:t>
      </w:r>
      <w:r w:rsidRPr="003D455F">
        <w:rPr>
          <w:rFonts w:ascii="Verdana" w:eastAsia="Arial" w:hAnsi="Verdana" w:cs="Arial"/>
          <w:lang w:val="es-ES" w:eastAsia="es-ES" w:bidi="es-ES"/>
        </w:rPr>
        <w:lastRenderedPageBreak/>
        <w:t xml:space="preserve">el particular y su doble connotación, como quiera que no solo puede ser consecuencia de una sanción sino también erigirse con una finalidad preventiva que busca asegurar la no afectación del interés general, en suma, </w:t>
      </w:r>
      <w:r w:rsidRPr="003D455F">
        <w:rPr>
          <w:rFonts w:ascii="Verdana" w:eastAsia="Arial MT" w:hAnsi="Verdana" w:cs="Arial"/>
          <w:lang w:val="es-ES" w:eastAsia="es-ES" w:bidi="es-ES"/>
        </w:rPr>
        <w:t>“[…] l</w:t>
      </w:r>
      <w:r w:rsidRPr="003D455F">
        <w:rPr>
          <w:rFonts w:ascii="Verdana" w:eastAsia="Arial" w:hAnsi="Verdana" w:cs="Arial"/>
          <w:color w:val="333333"/>
          <w:shd w:val="clear" w:color="auto" w:fill="FFFFFF"/>
          <w:lang w:val="es-ES" w:eastAsia="es-ES" w:bidi="es-ES"/>
        </w:rPr>
        <w:t>a inhabilidad no es una pena sino una garantía de que el comportamiento anterior no afectará el desempeño de la función o cargo, de protección del interés general y de la idoneidad, probidad y moralidad del aspirante</w:t>
      </w:r>
      <w:r w:rsidRPr="003D455F">
        <w:rPr>
          <w:rFonts w:ascii="Verdana" w:eastAsia="Arial MT" w:hAnsi="Verdana" w:cs="Arial"/>
          <w:lang w:val="es-ES" w:eastAsia="es-ES" w:bidi="es-ES"/>
        </w:rPr>
        <w:t>”</w:t>
      </w:r>
      <w:r w:rsidRPr="003D455F">
        <w:rPr>
          <w:rFonts w:ascii="Verdana" w:eastAsia="Arial" w:hAnsi="Verdana" w:cs="Arial"/>
          <w:color w:val="333333"/>
          <w:shd w:val="clear" w:color="auto" w:fill="FFFFFF"/>
          <w:vertAlign w:val="superscript"/>
          <w:lang w:val="es-ES" w:eastAsia="es-ES" w:bidi="es-ES"/>
        </w:rPr>
        <w:t>12</w:t>
      </w:r>
      <w:r w:rsidRPr="003D455F">
        <w:rPr>
          <w:rFonts w:ascii="Verdana" w:eastAsia="Arial" w:hAnsi="Verdana" w:cs="Arial"/>
          <w:color w:val="333333"/>
          <w:shd w:val="clear" w:color="auto" w:fill="FFFFFF"/>
          <w:lang w:val="es-ES"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4952D9E6" w14:textId="77777777" w:rsidR="0092047B" w:rsidRPr="003D455F" w:rsidRDefault="0092047B" w:rsidP="0092047B">
      <w:pPr>
        <w:widowControl w:val="0"/>
        <w:autoSpaceDE w:val="0"/>
        <w:autoSpaceDN w:val="0"/>
        <w:spacing w:after="120" w:line="276" w:lineRule="auto"/>
        <w:ind w:left="720"/>
        <w:contextualSpacing/>
        <w:jc w:val="both"/>
        <w:rPr>
          <w:rFonts w:ascii="Verdana" w:eastAsia="Arial" w:hAnsi="Verdana" w:cs="Arial"/>
          <w:color w:val="333333"/>
          <w:shd w:val="clear" w:color="auto" w:fill="FFFFFF"/>
          <w:lang w:val="es-ES" w:eastAsia="es-ES" w:bidi="es-ES"/>
        </w:rPr>
      </w:pPr>
    </w:p>
    <w:p w14:paraId="0A7E37EE" w14:textId="77777777" w:rsidR="0092047B" w:rsidRPr="003D455F" w:rsidRDefault="0092047B" w:rsidP="00865AE0">
      <w:pPr>
        <w:spacing w:after="0" w:line="276" w:lineRule="auto"/>
        <w:ind w:firstLine="708"/>
        <w:contextualSpacing/>
        <w:jc w:val="both"/>
        <w:rPr>
          <w:rFonts w:ascii="Verdana" w:eastAsia="Calibri" w:hAnsi="Verdana" w:cs="Arial"/>
          <w:color w:val="000000"/>
          <w:szCs w:val="24"/>
          <w:lang w:val="es-ES"/>
        </w:rPr>
      </w:pPr>
      <w:r w:rsidRPr="003D455F">
        <w:rPr>
          <w:rFonts w:ascii="Verdana" w:eastAsia="Arial" w:hAnsi="Verdana" w:cs="Arial"/>
          <w:color w:val="000000"/>
          <w:lang w:val="es-ES_tradnl"/>
        </w:rPr>
        <w:t xml:space="preserve">Como se aprecia, el principio </w:t>
      </w:r>
      <w:r w:rsidRPr="003D455F">
        <w:rPr>
          <w:rFonts w:ascii="Verdana" w:eastAsia="Arial" w:hAnsi="Verdana" w:cs="Arial"/>
          <w:i/>
          <w:iCs/>
          <w:color w:val="000000"/>
          <w:lang w:val="es-ES_tradnl"/>
        </w:rPr>
        <w:t xml:space="preserve">pro </w:t>
      </w:r>
      <w:proofErr w:type="spellStart"/>
      <w:r w:rsidRPr="003D455F">
        <w:rPr>
          <w:rFonts w:ascii="Verdana" w:eastAsia="Arial" w:hAnsi="Verdana" w:cs="Arial"/>
          <w:i/>
          <w:iCs/>
          <w:color w:val="000000"/>
          <w:lang w:val="es-ES_tradnl"/>
        </w:rPr>
        <w:t>libertate</w:t>
      </w:r>
      <w:proofErr w:type="spellEnd"/>
      <w:r w:rsidRPr="003D455F">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3D455F">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2734641A" w14:textId="77777777" w:rsidR="0092047B" w:rsidRPr="003D455F" w:rsidRDefault="0092047B" w:rsidP="0092047B">
      <w:pPr>
        <w:tabs>
          <w:tab w:val="left" w:pos="1532"/>
        </w:tabs>
        <w:spacing w:after="0" w:line="276" w:lineRule="auto"/>
        <w:jc w:val="both"/>
        <w:rPr>
          <w:rFonts w:ascii="Verdana" w:eastAsia="Calibri" w:hAnsi="Verdana" w:cs="Arial"/>
          <w:color w:val="000000"/>
          <w:lang w:val="es-MX"/>
        </w:rPr>
      </w:pPr>
      <w:r w:rsidRPr="003D455F">
        <w:rPr>
          <w:rFonts w:ascii="Verdana" w:eastAsia="Calibri" w:hAnsi="Verdana" w:cs="Arial"/>
          <w:color w:val="000000"/>
          <w:sz w:val="24"/>
          <w:lang w:val="es-MX"/>
        </w:rPr>
        <w:tab/>
      </w:r>
    </w:p>
    <w:p w14:paraId="1FF10D98" w14:textId="77777777" w:rsidR="0092047B" w:rsidRPr="003D455F" w:rsidRDefault="0092047B" w:rsidP="0092047B">
      <w:pPr>
        <w:spacing w:after="120" w:line="240" w:lineRule="auto"/>
        <w:ind w:left="709" w:right="709"/>
        <w:jc w:val="both"/>
        <w:rPr>
          <w:rFonts w:ascii="Verdana" w:eastAsia="Calibri" w:hAnsi="Verdana" w:cs="Arial"/>
          <w:color w:val="000000"/>
          <w:sz w:val="21"/>
          <w:szCs w:val="21"/>
          <w:lang w:val="es-MX"/>
        </w:rPr>
      </w:pPr>
      <w:r w:rsidRPr="003D455F">
        <w:rPr>
          <w:rFonts w:ascii="Verdana" w:eastAsia="Calibri" w:hAnsi="Verdana" w:cs="Arial"/>
          <w:color w:val="000000"/>
          <w:sz w:val="21"/>
          <w:szCs w:val="21"/>
          <w:lang w:val="es-MX"/>
        </w:rPr>
        <w:t>[…]</w:t>
      </w:r>
    </w:p>
    <w:p w14:paraId="7DA33304" w14:textId="77777777" w:rsidR="0092047B" w:rsidRPr="003D455F" w:rsidRDefault="0092047B" w:rsidP="0092047B">
      <w:pPr>
        <w:spacing w:after="120" w:line="240" w:lineRule="auto"/>
        <w:ind w:left="709" w:right="709"/>
        <w:jc w:val="both"/>
        <w:rPr>
          <w:rFonts w:ascii="Verdana" w:eastAsia="Calibri" w:hAnsi="Verdana" w:cs="Arial"/>
          <w:color w:val="000000"/>
          <w:sz w:val="21"/>
          <w:szCs w:val="21"/>
          <w:lang w:val="es-MX"/>
        </w:rPr>
      </w:pPr>
      <w:r w:rsidRPr="003D455F">
        <w:rPr>
          <w:rFonts w:ascii="Verdana" w:eastAsia="Calibri" w:hAnsi="Verdana" w:cs="Arial"/>
          <w:color w:val="000000"/>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3D455F">
        <w:rPr>
          <w:rFonts w:ascii="Verdana" w:eastAsia="Calibri" w:hAnsi="Verdana" w:cs="Arial"/>
          <w:color w:val="000000"/>
          <w:sz w:val="21"/>
          <w:szCs w:val="21"/>
          <w:lang w:val="es-MX"/>
        </w:rPr>
        <w:t>libertate</w:t>
      </w:r>
      <w:proofErr w:type="spellEnd"/>
      <w:r w:rsidRPr="003D455F">
        <w:rPr>
          <w:rFonts w:ascii="Verdana" w:eastAsia="Calibri" w:hAnsi="Verdana" w:cs="Arial"/>
          <w:color w:val="000000"/>
          <w:sz w:val="21"/>
          <w:szCs w:val="21"/>
          <w:lang w:val="es-MX"/>
        </w:rPr>
        <w:t xml:space="preserve">, sino el de legalidad, el que ordena que la función pública debe someterse estrictamente a lo que disponga la Constitución y la ley (CP art. 6). </w:t>
      </w:r>
    </w:p>
    <w:p w14:paraId="78E9267F" w14:textId="77777777" w:rsidR="0092047B" w:rsidRPr="003D455F" w:rsidRDefault="0092047B" w:rsidP="0092047B">
      <w:pPr>
        <w:spacing w:after="120" w:line="240" w:lineRule="auto"/>
        <w:ind w:left="709" w:right="709"/>
        <w:jc w:val="both"/>
        <w:rPr>
          <w:rFonts w:ascii="Verdana" w:eastAsia="Calibri" w:hAnsi="Verdana" w:cs="Arial"/>
          <w:color w:val="000000"/>
          <w:sz w:val="21"/>
          <w:szCs w:val="21"/>
          <w:lang w:val="es-MX"/>
        </w:rPr>
      </w:pPr>
      <w:r w:rsidRPr="003D455F">
        <w:rPr>
          <w:rFonts w:ascii="Verdana" w:eastAsia="Calibri" w:hAnsi="Verdana" w:cs="Arial"/>
          <w:color w:val="000000"/>
          <w:sz w:val="21"/>
          <w:szCs w:val="21"/>
          <w:lang w:val="es-MX"/>
        </w:rPr>
        <w:t>[…]</w:t>
      </w:r>
    </w:p>
    <w:p w14:paraId="2376D4B1" w14:textId="77777777" w:rsidR="0092047B" w:rsidRPr="003D455F" w:rsidRDefault="0092047B" w:rsidP="0092047B">
      <w:pPr>
        <w:spacing w:after="0" w:line="240" w:lineRule="auto"/>
        <w:ind w:left="709" w:right="709"/>
        <w:jc w:val="both"/>
        <w:rPr>
          <w:rFonts w:ascii="Verdana" w:eastAsia="Calibri" w:hAnsi="Verdana" w:cs="Arial"/>
          <w:color w:val="000000"/>
          <w:sz w:val="21"/>
          <w:szCs w:val="21"/>
          <w:lang w:val="es-MX"/>
        </w:rPr>
      </w:pPr>
      <w:r w:rsidRPr="003D455F">
        <w:rPr>
          <w:rFonts w:ascii="Verdana" w:eastAsia="Calibri" w:hAnsi="Verdana" w:cs="Arial"/>
          <w:color w:val="000000"/>
          <w:sz w:val="21"/>
          <w:szCs w:val="21"/>
          <w:lang w:val="es-MX"/>
        </w:rPr>
        <w:t xml:space="preserve">Se comprende con facilidad que el régimen de inhabilidades e </w:t>
      </w:r>
      <w:proofErr w:type="gramStart"/>
      <w:r w:rsidRPr="003D455F">
        <w:rPr>
          <w:rFonts w:ascii="Verdana" w:eastAsia="Calibri" w:hAnsi="Verdana" w:cs="Arial"/>
          <w:color w:val="000000"/>
          <w:sz w:val="21"/>
          <w:szCs w:val="21"/>
          <w:lang w:val="es-MX"/>
        </w:rPr>
        <w:t>incompatibilidades,</w:t>
      </w:r>
      <w:proofErr w:type="gramEnd"/>
      <w:r w:rsidRPr="003D455F">
        <w:rPr>
          <w:rFonts w:ascii="Verdana" w:eastAsia="Calibri" w:hAnsi="Verdana" w:cs="Arial"/>
          <w:color w:val="000000"/>
          <w:sz w:val="21"/>
          <w:szCs w:val="21"/>
          <w:lang w:val="es-MX"/>
        </w:rPr>
        <w:t xml:space="preserve"> corresponde a una materia de normal y obligada inclusión en un estatuto contractual. El legislador, a quien se ha </w:t>
      </w:r>
      <w:r w:rsidRPr="003D455F">
        <w:rPr>
          <w:rFonts w:ascii="Verdana" w:eastAsia="Calibri" w:hAnsi="Verdana" w:cs="Arial"/>
          <w:color w:val="000000"/>
          <w:sz w:val="21"/>
          <w:szCs w:val="21"/>
          <w:lang w:val="es-MX"/>
        </w:rPr>
        <w:lastRenderedPageBreak/>
        <w:t>confiado expedir el indicado estatuto, tiene, pues, competencia para establecerlo (CP art. 150)</w:t>
      </w:r>
      <w:r w:rsidRPr="003D455F">
        <w:rPr>
          <w:rFonts w:ascii="Verdana" w:eastAsia="Calibri" w:hAnsi="Verdana" w:cs="Arial"/>
          <w:color w:val="000000"/>
          <w:sz w:val="21"/>
          <w:szCs w:val="21"/>
          <w:vertAlign w:val="superscript"/>
          <w:lang w:val="es-MX"/>
        </w:rPr>
        <w:footnoteReference w:id="10"/>
      </w:r>
      <w:r w:rsidRPr="003D455F">
        <w:rPr>
          <w:rFonts w:ascii="Verdana" w:eastAsia="Calibri" w:hAnsi="Verdana" w:cs="Arial"/>
          <w:color w:val="000000"/>
          <w:sz w:val="21"/>
          <w:szCs w:val="21"/>
          <w:lang w:val="es-MX"/>
        </w:rPr>
        <w:t>.</w:t>
      </w:r>
    </w:p>
    <w:p w14:paraId="20CA5C33" w14:textId="77777777" w:rsidR="0092047B" w:rsidRPr="003D455F" w:rsidRDefault="0092047B" w:rsidP="0092047B">
      <w:pPr>
        <w:widowControl w:val="0"/>
        <w:autoSpaceDE w:val="0"/>
        <w:autoSpaceDN w:val="0"/>
        <w:spacing w:after="0" w:line="276" w:lineRule="auto"/>
        <w:ind w:firstLine="709"/>
        <w:jc w:val="both"/>
        <w:rPr>
          <w:rFonts w:ascii="Verdana" w:eastAsia="Arial" w:hAnsi="Verdana" w:cs="Arial"/>
          <w:color w:val="333333"/>
          <w:shd w:val="clear" w:color="auto" w:fill="FFFFFF"/>
          <w:lang w:val="es-MX" w:eastAsia="es-ES" w:bidi="es-ES"/>
        </w:rPr>
      </w:pPr>
    </w:p>
    <w:p w14:paraId="0E3FD876" w14:textId="77777777" w:rsidR="0092047B" w:rsidRPr="003D455F" w:rsidRDefault="0092047B" w:rsidP="00865AE0">
      <w:pPr>
        <w:widowControl w:val="0"/>
        <w:autoSpaceDE w:val="0"/>
        <w:autoSpaceDN w:val="0"/>
        <w:spacing w:after="0" w:line="276" w:lineRule="auto"/>
        <w:ind w:firstLine="708"/>
        <w:contextualSpacing/>
        <w:jc w:val="both"/>
        <w:rPr>
          <w:rFonts w:ascii="Verdana" w:eastAsia="Arial MT" w:hAnsi="Verdana" w:cs="Arial"/>
          <w:lang w:val="es-ES" w:eastAsia="es-ES" w:bidi="es-ES"/>
        </w:rPr>
      </w:pPr>
      <w:r w:rsidRPr="003D455F">
        <w:rPr>
          <w:rFonts w:ascii="Verdana" w:eastAsia="Arial MT" w:hAnsi="Verdana" w:cs="Arial"/>
          <w:lang w:val="es-ES" w:eastAsia="es-ES" w:bidi="es-ES"/>
        </w:rPr>
        <w:t>En suma, el régimen de inhabilidades e incompatibilidades se origina en la prerrogativa legislativa, obedece al principio de legalidad y su interpretación es restrictiva, como quiera que su aplicación implica limitaciones para el acceso a cargos o ejercicio funciones públicas y para participar en procesos de contratación pública adelantados por las entidades estatales, según sea el caso.</w:t>
      </w:r>
    </w:p>
    <w:p w14:paraId="425FE8BB" w14:textId="77777777" w:rsidR="0092047B" w:rsidRPr="003D455F" w:rsidRDefault="0092047B" w:rsidP="0092047B">
      <w:pPr>
        <w:spacing w:line="276" w:lineRule="auto"/>
        <w:ind w:left="720"/>
        <w:contextualSpacing/>
        <w:jc w:val="both"/>
        <w:rPr>
          <w:rFonts w:ascii="Verdana" w:eastAsia="Calibri" w:hAnsi="Verdana" w:cs="Arial"/>
          <w:color w:val="000000" w:themeColor="text1"/>
          <w:lang w:val="es-ES"/>
        </w:rPr>
      </w:pPr>
    </w:p>
    <w:p w14:paraId="74701ACF" w14:textId="77777777" w:rsidR="0092047B" w:rsidRPr="003D455F" w:rsidRDefault="0092047B" w:rsidP="00865AE0">
      <w:pPr>
        <w:spacing w:line="276" w:lineRule="auto"/>
        <w:ind w:firstLine="708"/>
        <w:contextualSpacing/>
        <w:jc w:val="both"/>
        <w:rPr>
          <w:rFonts w:ascii="Verdana" w:eastAsia="Calibri" w:hAnsi="Verdana" w:cs="Arial"/>
          <w:color w:val="000000" w:themeColor="text1"/>
          <w:lang w:val="es-ES"/>
        </w:rPr>
      </w:pPr>
      <w:r w:rsidRPr="003D455F">
        <w:rPr>
          <w:rFonts w:ascii="Verdana" w:eastAsia="Calibri" w:hAnsi="Verdana" w:cs="Arial"/>
          <w:color w:val="000000" w:themeColor="text1"/>
          <w:lang w:val="es-ES"/>
        </w:rPr>
        <w:t xml:space="preserve">Resulta importante aclarar que el régimen jurídico de inhabilidades e incompatibilidades aplicable a la contratación estatal se encuentra en los artículos 8 y siguientes de la Ley 80 de 1993. De manera que, como se pasa a explicar, por regla general no resulta extrapolable a la contratación estatal la normativa en materia de control disciplinario establecida en la Ley 734 de 2002 y en la </w:t>
      </w:r>
      <w:r w:rsidRPr="003D455F">
        <w:rPr>
          <w:rFonts w:ascii="Verdana" w:eastAsia="Calibri" w:hAnsi="Verdana" w:cs="Arial"/>
          <w:color w:val="000000" w:themeColor="text1"/>
          <w:lang w:val="es-MX"/>
        </w:rPr>
        <w:t>Ley 1952 de 2019</w:t>
      </w:r>
      <w:r w:rsidRPr="003D455F">
        <w:rPr>
          <w:rFonts w:ascii="Verdana" w:eastAsia="Calibri" w:hAnsi="Verdana" w:cs="Arial"/>
          <w:color w:val="000000" w:themeColor="text1"/>
          <w:lang w:val="es-ES"/>
        </w:rPr>
        <w:t>, a excepción de las excepciones específicas establecidas en dicha normativa y en la jurisprudencia.</w:t>
      </w:r>
    </w:p>
    <w:p w14:paraId="0BC15EFA" w14:textId="77777777" w:rsidR="0092047B" w:rsidRPr="003D455F" w:rsidRDefault="0092047B" w:rsidP="0092047B">
      <w:pPr>
        <w:spacing w:line="276" w:lineRule="auto"/>
        <w:ind w:left="720"/>
        <w:contextualSpacing/>
        <w:jc w:val="both"/>
        <w:rPr>
          <w:rFonts w:ascii="Verdana" w:eastAsia="Calibri" w:hAnsi="Verdana" w:cs="Arial"/>
          <w:color w:val="000000" w:themeColor="text1"/>
          <w:lang w:val="es-ES"/>
        </w:rPr>
      </w:pPr>
    </w:p>
    <w:p w14:paraId="527164F6" w14:textId="71123412" w:rsidR="00DD5FB0" w:rsidRDefault="00DD5FB0" w:rsidP="00865AE0">
      <w:pPr>
        <w:spacing w:line="276" w:lineRule="auto"/>
        <w:ind w:firstLine="567"/>
        <w:contextualSpacing/>
        <w:jc w:val="both"/>
        <w:rPr>
          <w:rFonts w:ascii="Verdana" w:hAnsi="Verdana" w:cs="Arial"/>
          <w:color w:val="000000"/>
          <w:bdr w:val="none" w:sz="0" w:space="0" w:color="auto" w:frame="1"/>
          <w:lang w:val="es-ES"/>
        </w:rPr>
      </w:pPr>
      <w:r>
        <w:rPr>
          <w:rFonts w:ascii="Verdana" w:hAnsi="Verdana" w:cs="Arial"/>
          <w:color w:val="000000"/>
          <w:bdr w:val="none" w:sz="0" w:space="0" w:color="auto" w:frame="1"/>
          <w:lang w:val="es-ES"/>
        </w:rPr>
        <w:t>Ahora bien</w:t>
      </w:r>
      <w:r w:rsidR="0092047B" w:rsidRPr="003D455F">
        <w:rPr>
          <w:rFonts w:ascii="Verdana" w:hAnsi="Verdana" w:cs="Arial"/>
          <w:color w:val="000000"/>
          <w:bdr w:val="none" w:sz="0" w:space="0" w:color="auto" w:frame="1"/>
          <w:lang w:val="es-ES"/>
        </w:rPr>
        <w:t xml:space="preserve">, el </w:t>
      </w:r>
      <w:r w:rsidRPr="00DD5FB0">
        <w:rPr>
          <w:rFonts w:ascii="Verdana" w:hAnsi="Verdana" w:cs="Arial"/>
          <w:color w:val="000000"/>
          <w:bdr w:val="none" w:sz="0" w:space="0" w:color="auto" w:frame="1"/>
          <w:lang w:val="es-ES"/>
        </w:rPr>
        <w:t>literal a) del numeral 1° del artículo 43 de la Ley 1952 de 2019</w:t>
      </w:r>
      <w:r>
        <w:rPr>
          <w:rFonts w:ascii="Verdana" w:hAnsi="Verdana" w:cs="Arial"/>
          <w:color w:val="000000"/>
          <w:bdr w:val="none" w:sz="0" w:space="0" w:color="auto" w:frame="1"/>
          <w:lang w:val="es-ES"/>
        </w:rPr>
        <w:t xml:space="preserve"> establece lo siguiente:</w:t>
      </w:r>
    </w:p>
    <w:p w14:paraId="04F9F3BE" w14:textId="77777777" w:rsidR="00DD5FB0" w:rsidRDefault="00DD5FB0" w:rsidP="00DD5FB0">
      <w:pPr>
        <w:spacing w:line="276" w:lineRule="auto"/>
        <w:contextualSpacing/>
        <w:jc w:val="both"/>
        <w:rPr>
          <w:rFonts w:ascii="Verdana" w:hAnsi="Verdana" w:cs="Arial"/>
          <w:color w:val="000000"/>
          <w:bdr w:val="none" w:sz="0" w:space="0" w:color="auto" w:frame="1"/>
          <w:lang w:val="es-ES"/>
        </w:rPr>
      </w:pPr>
    </w:p>
    <w:p w14:paraId="586559BF" w14:textId="00C2F659" w:rsidR="00DD5FB0" w:rsidRPr="00DD5FB0" w:rsidRDefault="00DD5FB0" w:rsidP="00DD5FB0">
      <w:pPr>
        <w:spacing w:line="276" w:lineRule="auto"/>
        <w:ind w:left="567" w:right="900"/>
        <w:contextualSpacing/>
        <w:jc w:val="both"/>
        <w:rPr>
          <w:rFonts w:ascii="Verdana" w:hAnsi="Verdana" w:cs="Arial"/>
          <w:color w:val="000000"/>
          <w:sz w:val="21"/>
          <w:szCs w:val="21"/>
          <w:bdr w:val="none" w:sz="0" w:space="0" w:color="auto" w:frame="1"/>
          <w:lang w:val="es-ES"/>
        </w:rPr>
      </w:pPr>
      <w:r w:rsidRPr="00DD5FB0">
        <w:rPr>
          <w:rFonts w:ascii="Verdana" w:hAnsi="Verdana" w:cs="Arial"/>
          <w:b/>
          <w:bCs/>
          <w:color w:val="000000"/>
          <w:sz w:val="21"/>
          <w:szCs w:val="21"/>
          <w:bdr w:val="none" w:sz="0" w:space="0" w:color="auto" w:frame="1"/>
          <w:lang w:val="es-ES"/>
        </w:rPr>
        <w:t>Artículo 43. Otras incompatibilidades</w:t>
      </w:r>
      <w:r w:rsidRPr="00DD5FB0">
        <w:rPr>
          <w:rFonts w:ascii="Verdana" w:hAnsi="Verdana" w:cs="Arial"/>
          <w:color w:val="000000"/>
          <w:sz w:val="21"/>
          <w:szCs w:val="21"/>
          <w:bdr w:val="none" w:sz="0" w:space="0" w:color="auto" w:frame="1"/>
          <w:lang w:val="es-ES"/>
        </w:rPr>
        <w:t xml:space="preserve">. Además, constituyen incompatibilidades para desempeñar cargos públicos, las siguientes: </w:t>
      </w:r>
    </w:p>
    <w:p w14:paraId="79D531B9" w14:textId="77777777" w:rsidR="00DD5FB0" w:rsidRPr="00DD5FB0" w:rsidRDefault="00DD5FB0" w:rsidP="00DD5FB0">
      <w:pPr>
        <w:spacing w:line="276" w:lineRule="auto"/>
        <w:ind w:left="567" w:right="900"/>
        <w:contextualSpacing/>
        <w:jc w:val="both"/>
        <w:rPr>
          <w:rFonts w:ascii="Verdana" w:hAnsi="Verdana" w:cs="Arial"/>
          <w:color w:val="000000"/>
          <w:sz w:val="21"/>
          <w:szCs w:val="21"/>
          <w:bdr w:val="none" w:sz="0" w:space="0" w:color="auto" w:frame="1"/>
          <w:lang w:val="es-ES"/>
        </w:rPr>
      </w:pPr>
    </w:p>
    <w:p w14:paraId="057262FA" w14:textId="431AE522" w:rsidR="00DD5FB0" w:rsidRPr="00DD5FB0" w:rsidRDefault="00DD5FB0" w:rsidP="00DD5FB0">
      <w:pPr>
        <w:spacing w:line="276" w:lineRule="auto"/>
        <w:ind w:left="567" w:right="900"/>
        <w:contextualSpacing/>
        <w:jc w:val="both"/>
        <w:rPr>
          <w:rFonts w:ascii="Verdana" w:hAnsi="Verdana" w:cs="Arial"/>
          <w:color w:val="000000"/>
          <w:sz w:val="21"/>
          <w:szCs w:val="21"/>
          <w:bdr w:val="none" w:sz="0" w:space="0" w:color="auto" w:frame="1"/>
          <w:lang w:val="es-ES"/>
        </w:rPr>
      </w:pPr>
      <w:r w:rsidRPr="00DD5FB0">
        <w:rPr>
          <w:rFonts w:ascii="Verdana" w:hAnsi="Verdana" w:cs="Arial"/>
          <w:color w:val="000000"/>
          <w:sz w:val="21"/>
          <w:szCs w:val="21"/>
          <w:bdr w:val="none" w:sz="0" w:space="0" w:color="auto" w:frame="1"/>
          <w:lang w:val="es-ES"/>
        </w:rPr>
        <w:t xml:space="preserve">1. Para los gobernadores, diputados, alcaldes, concejales y miembros de las juntas administradoras locales, en el nivel territorial donde hayan ejercido jurisdicción, desde el momento de su elección y hasta doce meses después del vencimiento de su período o retiro del servicio: </w:t>
      </w:r>
    </w:p>
    <w:p w14:paraId="312BA478" w14:textId="77777777" w:rsidR="00DD5FB0" w:rsidRPr="00DD5FB0" w:rsidRDefault="00DD5FB0" w:rsidP="00DD5FB0">
      <w:pPr>
        <w:spacing w:line="276" w:lineRule="auto"/>
        <w:ind w:left="567" w:right="900"/>
        <w:contextualSpacing/>
        <w:jc w:val="both"/>
        <w:rPr>
          <w:rFonts w:ascii="Verdana" w:hAnsi="Verdana" w:cs="Arial"/>
          <w:color w:val="000000"/>
          <w:sz w:val="21"/>
          <w:szCs w:val="21"/>
          <w:bdr w:val="none" w:sz="0" w:space="0" w:color="auto" w:frame="1"/>
          <w:lang w:val="es-ES"/>
        </w:rPr>
      </w:pPr>
    </w:p>
    <w:p w14:paraId="38845F34" w14:textId="725164EF" w:rsidR="0092047B" w:rsidRPr="00DD5FB0" w:rsidRDefault="00DD5FB0" w:rsidP="00DD5FB0">
      <w:pPr>
        <w:spacing w:line="276" w:lineRule="auto"/>
        <w:ind w:left="567" w:right="900"/>
        <w:contextualSpacing/>
        <w:jc w:val="both"/>
        <w:rPr>
          <w:rFonts w:ascii="Verdana" w:eastAsia="Calibri" w:hAnsi="Verdana" w:cs="Arial"/>
          <w:sz w:val="21"/>
          <w:szCs w:val="21"/>
          <w:lang w:val="es-ES"/>
        </w:rPr>
      </w:pPr>
      <w:r w:rsidRPr="00DD5FB0">
        <w:rPr>
          <w:rFonts w:ascii="Verdana" w:hAnsi="Verdana" w:cs="Arial"/>
          <w:color w:val="000000"/>
          <w:sz w:val="21"/>
          <w:szCs w:val="21"/>
          <w:bdr w:val="none" w:sz="0" w:space="0" w:color="auto" w:frame="1"/>
          <w:lang w:val="es-ES"/>
        </w:rPr>
        <w:t>a) Intervenir en nombre propio o ajeno en asuntos, actuaciones adminis­trativas o actuación contractual en los cuales tenga interés el departa­mento, distrito o municipio correspondiente, o sus organismos;</w:t>
      </w:r>
    </w:p>
    <w:p w14:paraId="7E14B6F6" w14:textId="77777777" w:rsidR="0092047B" w:rsidRDefault="0092047B" w:rsidP="0092047B">
      <w:pPr>
        <w:spacing w:after="120" w:line="276" w:lineRule="auto"/>
        <w:jc w:val="both"/>
        <w:rPr>
          <w:rFonts w:ascii="Verdana" w:eastAsia="Calibri" w:hAnsi="Verdana" w:cs="Arial"/>
          <w:lang w:val="es-ES"/>
        </w:rPr>
      </w:pPr>
    </w:p>
    <w:p w14:paraId="4A770A46" w14:textId="37BAAA88" w:rsidR="00DD5FB0" w:rsidRDefault="00DD5FB0" w:rsidP="00DD5FB0">
      <w:pPr>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De esta manera e</w:t>
      </w:r>
      <w:r w:rsidRPr="004D3F3A">
        <w:rPr>
          <w:rFonts w:ascii="Verdana" w:eastAsia="Calibri" w:hAnsi="Verdana" w:cs="Arial"/>
          <w:lang w:val="es-ES" w:eastAsia="es-ES"/>
        </w:rPr>
        <w:t xml:space="preserve">l numeral 1 </w:t>
      </w:r>
      <w:r>
        <w:rPr>
          <w:rFonts w:ascii="Verdana" w:eastAsia="Calibri" w:hAnsi="Verdana" w:cs="Arial"/>
          <w:lang w:val="es-ES" w:eastAsia="es-ES"/>
        </w:rPr>
        <w:t xml:space="preserve">del </w:t>
      </w:r>
      <w:r w:rsidRPr="004D3F3A">
        <w:rPr>
          <w:rFonts w:ascii="Verdana" w:eastAsia="Calibri" w:hAnsi="Verdana" w:cs="Arial"/>
          <w:lang w:val="es-ES" w:eastAsia="es-ES"/>
        </w:rPr>
        <w:t xml:space="preserve">literal a) </w:t>
      </w:r>
      <w:r>
        <w:rPr>
          <w:rFonts w:ascii="Verdana" w:eastAsia="Calibri" w:hAnsi="Verdana" w:cs="Arial"/>
          <w:lang w:val="es-ES" w:eastAsia="es-ES"/>
        </w:rPr>
        <w:t xml:space="preserve">del </w:t>
      </w:r>
      <w:r w:rsidRPr="004D3F3A">
        <w:rPr>
          <w:rFonts w:ascii="Verdana" w:eastAsia="Calibri" w:hAnsi="Verdana" w:cs="Arial"/>
          <w:lang w:val="es-ES" w:eastAsia="es-ES"/>
        </w:rPr>
        <w:t>artículo 43 de la Ley 1952 de 2019</w:t>
      </w:r>
      <w:r>
        <w:rPr>
          <w:rFonts w:ascii="Verdana" w:eastAsia="Calibri" w:hAnsi="Verdana" w:cs="Arial"/>
          <w:lang w:val="es-ES" w:eastAsia="es-ES"/>
        </w:rPr>
        <w:t>,</w:t>
      </w:r>
      <w:r w:rsidRPr="004D3F3A">
        <w:rPr>
          <w:rFonts w:ascii="Verdana" w:eastAsia="Calibri" w:hAnsi="Verdana" w:cs="Arial"/>
          <w:lang w:val="es-ES" w:eastAsia="es-ES"/>
        </w:rPr>
        <w:t xml:space="preserve"> prohíbe </w:t>
      </w:r>
      <w:r>
        <w:rPr>
          <w:rFonts w:ascii="Verdana" w:eastAsia="Calibri" w:hAnsi="Verdana" w:cs="Arial"/>
          <w:lang w:val="es-ES" w:eastAsia="es-ES"/>
        </w:rPr>
        <w:t xml:space="preserve">expresamente </w:t>
      </w:r>
      <w:r w:rsidRPr="004D3F3A">
        <w:rPr>
          <w:rFonts w:ascii="Verdana" w:eastAsia="Calibri" w:hAnsi="Verdana" w:cs="Arial"/>
          <w:lang w:val="es-ES" w:eastAsia="es-ES"/>
        </w:rPr>
        <w:t xml:space="preserve">que, durante el año siguiente a su retiro, un </w:t>
      </w:r>
      <w:r w:rsidRPr="004D3F3A">
        <w:rPr>
          <w:rFonts w:ascii="Verdana" w:eastAsia="Calibri" w:hAnsi="Verdana" w:cs="Arial"/>
          <w:lang w:val="es-ES" w:eastAsia="es-ES"/>
        </w:rPr>
        <w:lastRenderedPageBreak/>
        <w:t>exservidor público intervenga en la celebración de contratos o en la gestión de negocios con la entidad en la que ejerció funciones, ya sea en nombre propio o de terceros. Esta restricción aplica independientemente de si la persona conoció o no del asunto específico mientras estuvo en el cargo, y busca evitar conflictos de interés y el uso de influencias indebidas.</w:t>
      </w:r>
    </w:p>
    <w:p w14:paraId="53D2058E" w14:textId="77777777" w:rsidR="00DD5FB0" w:rsidRDefault="00DD5FB0" w:rsidP="00DD5FB0">
      <w:pPr>
        <w:spacing w:after="120" w:line="276" w:lineRule="auto"/>
        <w:ind w:firstLine="709"/>
        <w:jc w:val="both"/>
        <w:rPr>
          <w:rFonts w:ascii="Verdana" w:eastAsia="Calibri" w:hAnsi="Verdana" w:cs="Arial"/>
          <w:lang w:eastAsia="es-ES"/>
        </w:rPr>
      </w:pPr>
      <w:r w:rsidRPr="00DF29BC">
        <w:rPr>
          <w:rFonts w:ascii="Verdana" w:eastAsia="Calibri" w:hAnsi="Verdana" w:cs="Arial"/>
          <w:lang w:eastAsia="es-ES"/>
        </w:rPr>
        <w:t xml:space="preserve">Por </w:t>
      </w:r>
      <w:r>
        <w:rPr>
          <w:rFonts w:ascii="Verdana" w:eastAsia="Calibri" w:hAnsi="Verdana" w:cs="Arial"/>
          <w:lang w:eastAsia="es-ES"/>
        </w:rPr>
        <w:t xml:space="preserve">lo </w:t>
      </w:r>
      <w:r w:rsidRPr="00DF29BC">
        <w:rPr>
          <w:rFonts w:ascii="Verdana" w:eastAsia="Calibri" w:hAnsi="Verdana" w:cs="Arial"/>
          <w:lang w:eastAsia="es-ES"/>
        </w:rPr>
        <w:t xml:space="preserve">tanto, un </w:t>
      </w:r>
      <w:r>
        <w:rPr>
          <w:rFonts w:ascii="Verdana" w:eastAsia="Calibri" w:hAnsi="Verdana" w:cs="Arial"/>
          <w:lang w:eastAsia="es-ES"/>
        </w:rPr>
        <w:t>exservidor público</w:t>
      </w:r>
      <w:r w:rsidRPr="00DF29BC">
        <w:rPr>
          <w:rFonts w:ascii="Verdana" w:eastAsia="Calibri" w:hAnsi="Verdana" w:cs="Arial"/>
          <w:lang w:eastAsia="es-ES"/>
        </w:rPr>
        <w:t xml:space="preserve"> no puede suscribir contratos estatales con el mismo municipio donde ejerció su función durante los 12 meses siguientes a la finalización de su periodo o su renuncia. </w:t>
      </w:r>
      <w:r>
        <w:rPr>
          <w:rFonts w:ascii="Verdana" w:eastAsia="Calibri" w:hAnsi="Verdana" w:cs="Arial"/>
          <w:lang w:eastAsia="es-ES"/>
        </w:rPr>
        <w:t>Lo anterior en desarrollo de los principios de</w:t>
      </w:r>
      <w:r w:rsidRPr="00DF29BC">
        <w:rPr>
          <w:rFonts w:ascii="Verdana" w:eastAsia="Calibri" w:hAnsi="Verdana" w:cs="Arial"/>
          <w:lang w:eastAsia="es-ES"/>
        </w:rPr>
        <w:t xml:space="preserve"> </w:t>
      </w:r>
      <w:r>
        <w:rPr>
          <w:rFonts w:ascii="Verdana" w:eastAsia="Calibri" w:hAnsi="Verdana" w:cs="Arial"/>
          <w:lang w:eastAsia="es-ES"/>
        </w:rPr>
        <w:t xml:space="preserve">moralidad, </w:t>
      </w:r>
      <w:r w:rsidRPr="00DF29BC">
        <w:rPr>
          <w:rFonts w:ascii="Verdana" w:eastAsia="Calibri" w:hAnsi="Verdana" w:cs="Arial"/>
          <w:lang w:eastAsia="es-ES"/>
        </w:rPr>
        <w:t>transparencia, imparcialidad</w:t>
      </w:r>
      <w:r>
        <w:rPr>
          <w:rFonts w:ascii="Verdana" w:eastAsia="Calibri" w:hAnsi="Verdana" w:cs="Arial"/>
          <w:lang w:eastAsia="es-ES"/>
        </w:rPr>
        <w:t xml:space="preserve"> </w:t>
      </w:r>
      <w:r w:rsidRPr="00DF29BC">
        <w:rPr>
          <w:rFonts w:ascii="Verdana" w:eastAsia="Calibri" w:hAnsi="Verdana" w:cs="Arial"/>
          <w:lang w:eastAsia="es-ES"/>
        </w:rPr>
        <w:t xml:space="preserve">en la contratación estatal, su desconocimiento puede </w:t>
      </w:r>
      <w:r>
        <w:rPr>
          <w:rFonts w:ascii="Verdana" w:eastAsia="Calibri" w:hAnsi="Verdana" w:cs="Arial"/>
          <w:lang w:eastAsia="es-ES"/>
        </w:rPr>
        <w:t>derivar en</w:t>
      </w:r>
      <w:r w:rsidRPr="00DF29BC">
        <w:rPr>
          <w:rFonts w:ascii="Verdana" w:eastAsia="Calibri" w:hAnsi="Verdana" w:cs="Arial"/>
          <w:lang w:eastAsia="es-ES"/>
        </w:rPr>
        <w:t xml:space="preserve"> una falta disciplinaria.</w:t>
      </w:r>
    </w:p>
    <w:p w14:paraId="3B2C0888" w14:textId="77777777" w:rsidR="00DD5FB0" w:rsidRDefault="00DD5FB0" w:rsidP="00DD5FB0">
      <w:pPr>
        <w:spacing w:after="120" w:line="276" w:lineRule="auto"/>
        <w:ind w:firstLine="709"/>
        <w:jc w:val="both"/>
        <w:rPr>
          <w:rFonts w:ascii="Verdana" w:eastAsia="Calibri" w:hAnsi="Verdana" w:cs="Arial"/>
          <w:lang w:val="es-ES" w:eastAsia="es-ES"/>
        </w:rPr>
      </w:pPr>
      <w:r>
        <w:rPr>
          <w:rFonts w:ascii="Verdana" w:eastAsia="Calibri" w:hAnsi="Verdana" w:cs="Arial"/>
          <w:lang w:eastAsia="es-ES"/>
        </w:rPr>
        <w:t>De igual manera</w:t>
      </w:r>
      <w:r w:rsidRPr="00905C1B">
        <w:rPr>
          <w:rFonts w:ascii="Verdana" w:eastAsia="Calibri" w:hAnsi="Verdana" w:cs="Arial"/>
          <w:lang w:eastAsia="es-ES"/>
        </w:rPr>
        <w:t xml:space="preserve"> se recomienda consultar el </w:t>
      </w:r>
      <w:r w:rsidRPr="00905C1B">
        <w:rPr>
          <w:rFonts w:ascii="Verdana" w:eastAsia="Calibri" w:hAnsi="Verdana" w:cs="Arial"/>
          <w:b/>
          <w:bCs/>
          <w:lang w:eastAsia="es-ES"/>
        </w:rPr>
        <w:t>“</w:t>
      </w:r>
      <w:r w:rsidRPr="00905C1B">
        <w:rPr>
          <w:rFonts w:ascii="Verdana" w:eastAsia="Calibri" w:hAnsi="Verdana" w:cs="Arial"/>
          <w:lang w:eastAsia="es-ES"/>
        </w:rPr>
        <w:t>Manual para Determinar y Verificar Requisitos Habilitantes”</w:t>
      </w:r>
      <w:r>
        <w:rPr>
          <w:rStyle w:val="Refdenotaalpie"/>
          <w:rFonts w:ascii="Verdana" w:eastAsia="Calibri" w:hAnsi="Verdana" w:cs="Arial"/>
          <w:lang w:eastAsia="es-ES"/>
        </w:rPr>
        <w:footnoteReference w:id="11"/>
      </w:r>
      <w:r w:rsidRPr="00905C1B">
        <w:rPr>
          <w:rFonts w:ascii="Verdana" w:eastAsia="Calibri" w:hAnsi="Verdana" w:cs="Arial"/>
          <w:lang w:eastAsia="es-ES"/>
        </w:rPr>
        <w:t xml:space="preserve"> de Colombia Compra Eficiente. Esta guía proporciona criterios claros y actualizados sobre las inhabilidades establecidas en la ley, su alcance, efectos y forma de verificación en los procesos de contratación estatal. En particular, permite a las entidades y a los interesados identificar restricciones derivadas del ejercicio previo de funciones públicas, como las que afectan a exconcejales, garantizando que las decisiones contractuales se ajusten a la legalidad</w:t>
      </w:r>
      <w:r>
        <w:rPr>
          <w:rFonts w:ascii="Verdana" w:eastAsia="Calibri" w:hAnsi="Verdana" w:cs="Arial"/>
          <w:lang w:eastAsia="es-ES"/>
        </w:rPr>
        <w:t>.</w:t>
      </w:r>
    </w:p>
    <w:p w14:paraId="23500B1F" w14:textId="77777777" w:rsidR="00DD5FB0" w:rsidRPr="00DB4737" w:rsidRDefault="00DD5FB0" w:rsidP="00DD5FB0">
      <w:pPr>
        <w:spacing w:after="120" w:line="276" w:lineRule="auto"/>
        <w:ind w:firstLine="709"/>
        <w:jc w:val="both"/>
        <w:rPr>
          <w:rFonts w:ascii="Verdana" w:eastAsia="Calibri" w:hAnsi="Verdana" w:cs="Times New Roman"/>
          <w:lang w:val="es-ES"/>
        </w:rPr>
      </w:pPr>
      <w:r>
        <w:rPr>
          <w:rFonts w:ascii="Verdana" w:eastAsia="Calibri" w:hAnsi="Verdana" w:cs="Arial"/>
          <w:lang w:val="es-ES" w:eastAsia="es-ES"/>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10369344" w14:textId="77777777" w:rsidR="0087031A" w:rsidRPr="0060676F" w:rsidRDefault="0087031A" w:rsidP="0087031A">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8BC5F6A" w14:textId="77777777" w:rsidR="0087031A" w:rsidRPr="00593A5F" w:rsidRDefault="0087031A" w:rsidP="0087031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031A" w:rsidRPr="00593A5F" w14:paraId="42DD39C5" w14:textId="77777777" w:rsidTr="00580B7F">
        <w:trPr>
          <w:trHeight w:val="870"/>
        </w:trPr>
        <w:tc>
          <w:tcPr>
            <w:tcW w:w="8647" w:type="dxa"/>
          </w:tcPr>
          <w:p w14:paraId="7581FD67" w14:textId="77777777" w:rsidR="00DD5FB0" w:rsidRPr="003D455F" w:rsidRDefault="00DD5FB0" w:rsidP="00DD5FB0">
            <w:pPr>
              <w:widowControl w:val="0"/>
              <w:numPr>
                <w:ilvl w:val="0"/>
                <w:numId w:val="18"/>
              </w:numPr>
              <w:autoSpaceDE w:val="0"/>
              <w:autoSpaceDN w:val="0"/>
              <w:spacing w:line="276" w:lineRule="auto"/>
              <w:contextualSpacing/>
              <w:jc w:val="both"/>
              <w:rPr>
                <w:rFonts w:ascii="Verdana" w:hAnsi="Verdana" w:cs="Arial"/>
                <w:lang w:val="es-ES"/>
              </w:rPr>
            </w:pPr>
            <w:r w:rsidRPr="003D455F">
              <w:rPr>
                <w:rFonts w:ascii="Verdana" w:hAnsi="Verdana" w:cs="Arial"/>
                <w:lang w:val="es-ES"/>
              </w:rPr>
              <w:t>Constitución Política, artículo 150.</w:t>
            </w:r>
          </w:p>
          <w:p w14:paraId="16E355DA" w14:textId="77777777" w:rsidR="00DD5FB0" w:rsidRPr="003D455F" w:rsidRDefault="00DD5FB0" w:rsidP="00DD5FB0">
            <w:pPr>
              <w:widowControl w:val="0"/>
              <w:numPr>
                <w:ilvl w:val="0"/>
                <w:numId w:val="18"/>
              </w:numPr>
              <w:autoSpaceDE w:val="0"/>
              <w:autoSpaceDN w:val="0"/>
              <w:spacing w:line="276" w:lineRule="auto"/>
              <w:contextualSpacing/>
              <w:jc w:val="both"/>
              <w:rPr>
                <w:rFonts w:ascii="Verdana" w:hAnsi="Verdana" w:cs="Arial"/>
                <w:lang w:val="es-ES"/>
              </w:rPr>
            </w:pPr>
            <w:r w:rsidRPr="003D455F">
              <w:rPr>
                <w:rFonts w:ascii="Verdana" w:hAnsi="Verdana" w:cs="Arial"/>
                <w:lang w:val="es-ES"/>
              </w:rPr>
              <w:t>Ley 80 de 1993, artículo 8.</w:t>
            </w:r>
          </w:p>
          <w:p w14:paraId="2A61425F" w14:textId="77777777" w:rsidR="00DD5FB0" w:rsidRPr="003D455F" w:rsidRDefault="00DD5FB0" w:rsidP="00DD5FB0">
            <w:pPr>
              <w:widowControl w:val="0"/>
              <w:numPr>
                <w:ilvl w:val="0"/>
                <w:numId w:val="18"/>
              </w:numPr>
              <w:autoSpaceDE w:val="0"/>
              <w:autoSpaceDN w:val="0"/>
              <w:spacing w:line="276" w:lineRule="auto"/>
              <w:contextualSpacing/>
              <w:jc w:val="both"/>
              <w:rPr>
                <w:rFonts w:ascii="Verdana" w:hAnsi="Verdana" w:cs="Arial"/>
                <w:lang w:val="es-ES"/>
              </w:rPr>
            </w:pPr>
            <w:r w:rsidRPr="003D455F">
              <w:rPr>
                <w:rFonts w:ascii="Verdana" w:hAnsi="Verdana" w:cs="Arial"/>
                <w:color w:val="000000"/>
                <w:bdr w:val="none" w:sz="0" w:space="0" w:color="auto" w:frame="1"/>
                <w:lang w:val="es-ES"/>
              </w:rPr>
              <w:t>Ley 1952 de 2019, artículo 56.</w:t>
            </w:r>
          </w:p>
          <w:p w14:paraId="703BF67F" w14:textId="77777777" w:rsidR="00DD5FB0" w:rsidRPr="003D455F" w:rsidRDefault="00DD5FB0" w:rsidP="00DD5FB0">
            <w:pPr>
              <w:widowControl w:val="0"/>
              <w:numPr>
                <w:ilvl w:val="0"/>
                <w:numId w:val="18"/>
              </w:numPr>
              <w:tabs>
                <w:tab w:val="left" w:pos="8419"/>
              </w:tabs>
              <w:autoSpaceDE w:val="0"/>
              <w:autoSpaceDN w:val="0"/>
              <w:spacing w:line="276" w:lineRule="auto"/>
              <w:contextualSpacing/>
              <w:jc w:val="both"/>
              <w:rPr>
                <w:rFonts w:ascii="Verdana" w:hAnsi="Verdana" w:cs="Arial"/>
                <w:lang w:val="es-ES"/>
              </w:rPr>
            </w:pPr>
            <w:r w:rsidRPr="003D455F">
              <w:rPr>
                <w:rFonts w:ascii="Verdana" w:hAnsi="Verdana" w:cs="Arial"/>
                <w:lang w:val="es-ES"/>
              </w:rPr>
              <w:t>Corte Constitucional. Sentencia T-1039 de 2006. Magistrado Ponente: Humberto Sierra Porto.</w:t>
            </w:r>
          </w:p>
          <w:p w14:paraId="476C6AFC" w14:textId="77777777" w:rsidR="00DD5FB0" w:rsidRPr="003D455F" w:rsidRDefault="00DD5FB0" w:rsidP="00DD5FB0">
            <w:pPr>
              <w:widowControl w:val="0"/>
              <w:numPr>
                <w:ilvl w:val="0"/>
                <w:numId w:val="18"/>
              </w:numPr>
              <w:tabs>
                <w:tab w:val="left" w:pos="8419"/>
              </w:tabs>
              <w:autoSpaceDE w:val="0"/>
              <w:autoSpaceDN w:val="0"/>
              <w:spacing w:line="276" w:lineRule="auto"/>
              <w:contextualSpacing/>
              <w:jc w:val="both"/>
              <w:rPr>
                <w:rFonts w:ascii="Verdana" w:hAnsi="Verdana" w:cs="Arial"/>
                <w:lang w:val="es-ES"/>
              </w:rPr>
            </w:pPr>
            <w:r w:rsidRPr="003D455F">
              <w:rPr>
                <w:rFonts w:ascii="Verdana" w:hAnsi="Verdana" w:cs="Arial"/>
                <w:lang w:val="es-ES"/>
              </w:rPr>
              <w:lastRenderedPageBreak/>
              <w:t xml:space="preserve">Consejo de Estado. Sala de Consulta y Servicio Civil. Concepto del 30 de abril de 2015. Expediente: 2251. Consejero Ponente: Álvaro </w:t>
            </w:r>
            <w:proofErr w:type="spellStart"/>
            <w:r w:rsidRPr="003D455F">
              <w:rPr>
                <w:rFonts w:ascii="Verdana" w:hAnsi="Verdana" w:cs="Arial"/>
                <w:lang w:val="es-ES"/>
              </w:rPr>
              <w:t>Namén</w:t>
            </w:r>
            <w:proofErr w:type="spellEnd"/>
            <w:r w:rsidRPr="003D455F">
              <w:rPr>
                <w:rFonts w:ascii="Verdana" w:hAnsi="Verdana" w:cs="Arial"/>
                <w:lang w:val="es-ES"/>
              </w:rPr>
              <w:t xml:space="preserve"> Vargas.</w:t>
            </w:r>
          </w:p>
          <w:p w14:paraId="25512156" w14:textId="77777777" w:rsidR="00DD5FB0" w:rsidRPr="003D455F" w:rsidRDefault="00DD5FB0" w:rsidP="00DD5FB0">
            <w:pPr>
              <w:widowControl w:val="0"/>
              <w:numPr>
                <w:ilvl w:val="0"/>
                <w:numId w:val="18"/>
              </w:numPr>
              <w:tabs>
                <w:tab w:val="left" w:pos="8419"/>
              </w:tabs>
              <w:autoSpaceDE w:val="0"/>
              <w:autoSpaceDN w:val="0"/>
              <w:spacing w:line="276" w:lineRule="auto"/>
              <w:contextualSpacing/>
              <w:jc w:val="both"/>
              <w:rPr>
                <w:rFonts w:ascii="Verdana" w:hAnsi="Verdana" w:cs="Arial"/>
                <w:lang w:val="es-ES"/>
              </w:rPr>
            </w:pPr>
            <w:r w:rsidRPr="003D455F">
              <w:rPr>
                <w:rFonts w:ascii="Verdana" w:hAnsi="Verdana" w:cs="Arial"/>
                <w:lang w:val="es-ES"/>
              </w:rPr>
              <w:t xml:space="preserve">Consejo de Estado. Sección Tercera. Subsección A. Sentencia del 24 de junio de 2015. </w:t>
            </w:r>
            <w:proofErr w:type="spellStart"/>
            <w:r w:rsidRPr="003D455F">
              <w:rPr>
                <w:rFonts w:ascii="Verdana" w:hAnsi="Verdana" w:cs="Arial"/>
                <w:lang w:val="es-ES"/>
              </w:rPr>
              <w:t>Exp</w:t>
            </w:r>
            <w:proofErr w:type="spellEnd"/>
            <w:r w:rsidRPr="003D455F">
              <w:rPr>
                <w:rFonts w:ascii="Verdana" w:hAnsi="Verdana" w:cs="Arial"/>
                <w:lang w:val="es-ES"/>
              </w:rPr>
              <w:t>. 40.635. Consejero Ponente: Hernán Andrade Rincón (E).</w:t>
            </w:r>
          </w:p>
          <w:p w14:paraId="3478A746" w14:textId="77777777" w:rsidR="00DD5FB0" w:rsidRPr="003D455F" w:rsidRDefault="00DD5FB0" w:rsidP="00DD5FB0">
            <w:pPr>
              <w:widowControl w:val="0"/>
              <w:numPr>
                <w:ilvl w:val="0"/>
                <w:numId w:val="18"/>
              </w:numPr>
              <w:tabs>
                <w:tab w:val="left" w:pos="8419"/>
              </w:tabs>
              <w:autoSpaceDE w:val="0"/>
              <w:autoSpaceDN w:val="0"/>
              <w:spacing w:line="276" w:lineRule="auto"/>
              <w:contextualSpacing/>
              <w:jc w:val="both"/>
              <w:rPr>
                <w:rFonts w:ascii="Verdana" w:hAnsi="Verdana" w:cs="Arial"/>
                <w:lang w:val="es-ES"/>
              </w:rPr>
            </w:pPr>
            <w:r w:rsidRPr="003D455F">
              <w:rPr>
                <w:rFonts w:ascii="Verdana" w:hAnsi="Verdana" w:cs="Arial"/>
                <w:lang w:val="es-ES"/>
              </w:rPr>
              <w:t xml:space="preserve">Consejo de Estado. Sección Tercera. Subsección C. Sentencia del 22 de mayo de 2013. </w:t>
            </w:r>
            <w:proofErr w:type="spellStart"/>
            <w:r w:rsidRPr="003D455F">
              <w:rPr>
                <w:rFonts w:ascii="Verdana" w:hAnsi="Verdana" w:cs="Arial"/>
                <w:lang w:val="es-ES"/>
              </w:rPr>
              <w:t>Exp</w:t>
            </w:r>
            <w:proofErr w:type="spellEnd"/>
            <w:r w:rsidRPr="003D455F">
              <w:rPr>
                <w:rFonts w:ascii="Verdana" w:hAnsi="Verdana" w:cs="Arial"/>
                <w:lang w:val="es-ES"/>
              </w:rPr>
              <w:t xml:space="preserve">. 24.057. Consejera Ponente: Olga </w:t>
            </w:r>
            <w:proofErr w:type="spellStart"/>
            <w:r w:rsidRPr="003D455F">
              <w:rPr>
                <w:rFonts w:ascii="Verdana" w:hAnsi="Verdana" w:cs="Arial"/>
                <w:lang w:val="es-ES"/>
              </w:rPr>
              <w:t>Melida</w:t>
            </w:r>
            <w:proofErr w:type="spellEnd"/>
            <w:r w:rsidRPr="003D455F">
              <w:rPr>
                <w:rFonts w:ascii="Verdana" w:hAnsi="Verdana" w:cs="Arial"/>
                <w:lang w:val="es-ES"/>
              </w:rPr>
              <w:t xml:space="preserve"> Valle De La Hoz.</w:t>
            </w:r>
          </w:p>
          <w:p w14:paraId="13B609C4" w14:textId="77777777" w:rsidR="00DD5FB0" w:rsidRPr="003D455F" w:rsidRDefault="00DD5FB0" w:rsidP="00DD5FB0">
            <w:pPr>
              <w:widowControl w:val="0"/>
              <w:numPr>
                <w:ilvl w:val="0"/>
                <w:numId w:val="18"/>
              </w:numPr>
              <w:tabs>
                <w:tab w:val="left" w:pos="8419"/>
              </w:tabs>
              <w:autoSpaceDE w:val="0"/>
              <w:autoSpaceDN w:val="0"/>
              <w:spacing w:line="276" w:lineRule="auto"/>
              <w:contextualSpacing/>
              <w:jc w:val="both"/>
              <w:rPr>
                <w:rFonts w:ascii="Verdana" w:hAnsi="Verdana" w:cs="Arial"/>
                <w:lang w:val="es-ES"/>
              </w:rPr>
            </w:pPr>
            <w:r w:rsidRPr="003D455F">
              <w:rPr>
                <w:rFonts w:ascii="Verdana" w:hAnsi="Verdana" w:cs="Arial"/>
                <w:lang w:val="es-ES"/>
              </w:rPr>
              <w:t>Corte Constitucional, sentencia C- 373 de 2002, Magistrado ponente Jaime Córdoba Triviño.</w:t>
            </w:r>
          </w:p>
          <w:p w14:paraId="49A155CE" w14:textId="77777777" w:rsidR="00DD5FB0" w:rsidRPr="003D455F" w:rsidRDefault="00DD5FB0" w:rsidP="00DD5FB0">
            <w:pPr>
              <w:widowControl w:val="0"/>
              <w:numPr>
                <w:ilvl w:val="0"/>
                <w:numId w:val="18"/>
              </w:numPr>
              <w:tabs>
                <w:tab w:val="left" w:pos="8419"/>
              </w:tabs>
              <w:autoSpaceDE w:val="0"/>
              <w:autoSpaceDN w:val="0"/>
              <w:spacing w:line="276" w:lineRule="auto"/>
              <w:contextualSpacing/>
              <w:jc w:val="both"/>
              <w:rPr>
                <w:rFonts w:ascii="Verdana" w:hAnsi="Verdana" w:cs="Arial"/>
                <w:lang w:val="es-ES"/>
              </w:rPr>
            </w:pPr>
            <w:r w:rsidRPr="003D455F">
              <w:rPr>
                <w:rFonts w:ascii="Verdana" w:hAnsi="Verdana" w:cs="Arial"/>
                <w:lang w:val="es-ES"/>
              </w:rPr>
              <w:t>Corte Constitucional, sentencia C-325 de 2009, Magistrado ponente Gabriel Eduardo Mendoza Martelo.</w:t>
            </w:r>
          </w:p>
          <w:p w14:paraId="2E01E755" w14:textId="07C1CEB4" w:rsidR="00DD5FB0" w:rsidRPr="00332677" w:rsidRDefault="00DD5FB0" w:rsidP="00DD5FB0">
            <w:pPr>
              <w:pStyle w:val="Textoindependiente"/>
              <w:widowControl w:val="0"/>
              <w:numPr>
                <w:ilvl w:val="0"/>
                <w:numId w:val="18"/>
              </w:numPr>
              <w:tabs>
                <w:tab w:val="left" w:pos="816"/>
              </w:tabs>
              <w:autoSpaceDE w:val="0"/>
              <w:autoSpaceDN w:val="0"/>
              <w:spacing w:after="0" w:line="276" w:lineRule="auto"/>
              <w:ind w:right="108"/>
              <w:jc w:val="both"/>
              <w:rPr>
                <w:rFonts w:ascii="Verdana" w:hAnsi="Verdana" w:cs="Arial"/>
              </w:rPr>
            </w:pPr>
            <w:r w:rsidRPr="003D455F">
              <w:rPr>
                <w:rFonts w:ascii="Verdana" w:hAnsi="Verdana" w:cs="Arial"/>
                <w:lang w:val="es-ES"/>
              </w:rPr>
              <w:t>Consejo de Estado, Sentencia 00111 del 13 de junio de 2019, Sala de lo Contencioso Administrativo, Sección Quinta 00111 del 13 de junio de 2019, consejera ponente Rocío Araújo Oñate.</w:t>
            </w:r>
          </w:p>
          <w:p w14:paraId="1C1DEB6B" w14:textId="34BAA0FD" w:rsidR="0087031A" w:rsidRPr="00332677" w:rsidRDefault="00DD5FB0" w:rsidP="0087031A">
            <w:pPr>
              <w:pStyle w:val="Prrafodelista"/>
              <w:widowControl w:val="0"/>
              <w:numPr>
                <w:ilvl w:val="0"/>
                <w:numId w:val="18"/>
              </w:numPr>
              <w:autoSpaceDE w:val="0"/>
              <w:autoSpaceDN w:val="0"/>
              <w:spacing w:after="120"/>
              <w:contextualSpacing w:val="0"/>
              <w:jc w:val="both"/>
              <w:rPr>
                <w:rFonts w:ascii="Verdana" w:hAnsi="Verdana" w:cs="Arial"/>
              </w:rPr>
            </w:pPr>
            <w:r w:rsidRPr="00905C1B">
              <w:rPr>
                <w:rFonts w:ascii="Verdana" w:eastAsia="Calibri" w:hAnsi="Verdana" w:cs="Arial"/>
                <w:lang w:val="es-CO" w:eastAsia="es-ES"/>
              </w:rPr>
              <w:t>Manual para Determinar y Verificar Requisitos Habilitantes</w:t>
            </w:r>
            <w:r>
              <w:rPr>
                <w:rFonts w:ascii="Verdana" w:eastAsia="Calibri" w:hAnsi="Verdana" w:cs="Arial"/>
                <w:lang w:val="es-CO" w:eastAsia="es-ES"/>
              </w:rPr>
              <w:t xml:space="preserve"> expedido por la ANCP-CCE.</w:t>
            </w:r>
          </w:p>
        </w:tc>
      </w:tr>
    </w:tbl>
    <w:p w14:paraId="3BFE0280" w14:textId="77777777" w:rsidR="0087031A"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AB2AA5D" w14:textId="77777777" w:rsidR="0087031A" w:rsidRDefault="0087031A" w:rsidP="0087031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33E7EA9" w14:textId="77777777" w:rsidR="0087031A" w:rsidRPr="00593A5F"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F8E012C" w14:textId="5F561D2E" w:rsidR="0087031A" w:rsidRPr="00AE7E03" w:rsidRDefault="009E1CA3" w:rsidP="0087031A">
      <w:pPr>
        <w:widowControl w:val="0"/>
        <w:autoSpaceDE w:val="0"/>
        <w:autoSpaceDN w:val="0"/>
        <w:spacing w:after="0" w:line="276" w:lineRule="auto"/>
        <w:jc w:val="both"/>
        <w:rPr>
          <w:rFonts w:ascii="Verdana" w:eastAsia="Arial" w:hAnsi="Verdana" w:cs="Arial"/>
          <w:lang w:val="es-MX" w:eastAsia="es-ES_tradnl"/>
        </w:rPr>
      </w:pPr>
      <w:r w:rsidRPr="003D455F">
        <w:rPr>
          <w:rFonts w:ascii="Verdana" w:eastAsia="Calibri" w:hAnsi="Verdana" w:cs="Arial"/>
          <w:lang w:val="es-ES_tradnl" w:eastAsia="es-ES_tradnl"/>
        </w:rPr>
        <w:t xml:space="preserve">Sobre el régimen de inhabilidades e incompatibilidades se pronunció esta Subdirección en los conceptos </w:t>
      </w:r>
      <w:r w:rsidRPr="003D455F">
        <w:rPr>
          <w:rFonts w:ascii="Verdana" w:eastAsia="Calibri" w:hAnsi="Verdana" w:cs="Arial"/>
          <w:lang w:val="es-MX"/>
        </w:rPr>
        <w:t xml:space="preserve">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C−190 del 30 de abril de 2021, C−210 del 12 de mayo de </w:t>
      </w:r>
      <w:r w:rsidRPr="003D455F">
        <w:rPr>
          <w:rFonts w:ascii="Verdana" w:eastAsia="Calibri" w:hAnsi="Verdana" w:cs="Arial"/>
          <w:lang w:val="es-MX"/>
        </w:rPr>
        <w:lastRenderedPageBreak/>
        <w:t>2021, C−275 del 11 de junio de 2021, C−293 del 28 de junio de 2021, C−321 del 2 de julio de 2021, C−410 del 7 de julio de 2021, C−491 del 14 de septiembre de 2021, C−522 del 1 de octubre de 2021, C-908 del 13 de febrero de 2023,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w:t>
      </w:r>
      <w:r>
        <w:rPr>
          <w:rFonts w:ascii="Verdana" w:eastAsia="Calibri" w:hAnsi="Verdana" w:cs="Arial"/>
          <w:lang w:val="es-MX"/>
        </w:rPr>
        <w:t>,</w:t>
      </w:r>
      <w:r w:rsidRPr="003D455F">
        <w:rPr>
          <w:rFonts w:ascii="Verdana" w:eastAsia="Calibri" w:hAnsi="Verdana" w:cs="Arial"/>
          <w:lang w:val="es-MX"/>
        </w:rPr>
        <w:t xml:space="preserve"> C-039 del 23 de abril de 2024</w:t>
      </w:r>
      <w:r>
        <w:rPr>
          <w:rFonts w:ascii="Verdana" w:eastAsia="Calibri" w:hAnsi="Verdana" w:cs="Arial"/>
          <w:lang w:val="es-ES" w:eastAsia="es-ES_tradnl"/>
        </w:rPr>
        <w:t xml:space="preserve"> y </w:t>
      </w:r>
      <w:r w:rsidR="00162880">
        <w:rPr>
          <w:rFonts w:ascii="Verdana" w:eastAsia="Calibri" w:hAnsi="Verdana" w:cs="Arial"/>
          <w:lang w:val="es-ES" w:eastAsia="es-ES_tradnl"/>
        </w:rPr>
        <w:t>C-381 del 05 de septiembre de 2024,</w:t>
      </w:r>
      <w:r w:rsidR="0087031A" w:rsidRPr="00185EE9">
        <w:rPr>
          <w:rFonts w:ascii="Verdana" w:eastAsia="Calibri" w:hAnsi="Verdana" w:cs="Times New Roman"/>
        </w:rPr>
        <w:t xml:space="preserve"> </w:t>
      </w:r>
      <w:r w:rsidR="0087031A">
        <w:rPr>
          <w:rFonts w:ascii="Verdana" w:eastAsia="Calibri" w:hAnsi="Verdana" w:cs="Times New Roman"/>
        </w:rPr>
        <w:t xml:space="preserve">estos </w:t>
      </w:r>
      <w:r w:rsidR="0087031A"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5CFBE6B" w14:textId="77777777" w:rsidR="0087031A" w:rsidRPr="0065720B" w:rsidRDefault="0087031A" w:rsidP="0087031A">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208491B" w14:textId="77777777" w:rsidR="0087031A" w:rsidRPr="00505CD6" w:rsidRDefault="0087031A" w:rsidP="0087031A">
      <w:pPr>
        <w:widowControl w:val="0"/>
        <w:autoSpaceDE w:val="0"/>
        <w:autoSpaceDN w:val="0"/>
        <w:spacing w:after="0" w:line="276" w:lineRule="auto"/>
        <w:jc w:val="both"/>
        <w:rPr>
          <w:rFonts w:ascii="Verdana" w:hAnsi="Verdana" w:cs="Arial"/>
          <w:color w:val="000000" w:themeColor="text1"/>
          <w:shd w:val="clear" w:color="auto" w:fill="FFFFFF"/>
        </w:rPr>
      </w:pPr>
    </w:p>
    <w:p w14:paraId="12E9336E" w14:textId="77777777" w:rsidR="0087031A" w:rsidRDefault="0087031A" w:rsidP="0087031A">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1766B34B" w14:textId="77777777" w:rsidR="0087031A" w:rsidRDefault="0087031A" w:rsidP="0087031A">
      <w:pPr>
        <w:widowControl w:val="0"/>
        <w:autoSpaceDE w:val="0"/>
        <w:autoSpaceDN w:val="0"/>
        <w:spacing w:after="0" w:line="276" w:lineRule="auto"/>
        <w:jc w:val="both"/>
      </w:pPr>
    </w:p>
    <w:p w14:paraId="59F914CB" w14:textId="77777777" w:rsidR="0087031A" w:rsidRPr="00505CD6" w:rsidRDefault="0087031A" w:rsidP="0087031A">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39F93B3" w14:textId="77777777" w:rsidR="0087031A" w:rsidRPr="00505CD6" w:rsidRDefault="0087031A" w:rsidP="0087031A">
      <w:pPr>
        <w:widowControl w:val="0"/>
        <w:autoSpaceDE w:val="0"/>
        <w:autoSpaceDN w:val="0"/>
        <w:spacing w:after="0" w:line="276" w:lineRule="auto"/>
        <w:jc w:val="both"/>
        <w:rPr>
          <w:rFonts w:ascii="Verdana" w:hAnsi="Verdana" w:cs="Arial"/>
        </w:rPr>
      </w:pPr>
    </w:p>
    <w:p w14:paraId="5BF21FB4" w14:textId="77777777" w:rsidR="0087031A" w:rsidRDefault="0087031A" w:rsidP="0087031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89D3C35" w14:textId="77777777" w:rsidR="0058416D" w:rsidRDefault="0058416D" w:rsidP="0087031A">
      <w:pPr>
        <w:spacing w:after="0" w:line="276" w:lineRule="auto"/>
        <w:jc w:val="both"/>
        <w:rPr>
          <w:rFonts w:ascii="Verdana" w:hAnsi="Verdana" w:cs="Arial"/>
          <w:lang w:eastAsia="es-CO"/>
        </w:rPr>
      </w:pPr>
    </w:p>
    <w:p w14:paraId="326F5D30" w14:textId="3A3596B7" w:rsidR="0058416D" w:rsidRDefault="0058416D" w:rsidP="0058416D">
      <w:pPr>
        <w:spacing w:after="0" w:line="276" w:lineRule="auto"/>
        <w:jc w:val="center"/>
        <w:rPr>
          <w:rFonts w:ascii="Verdana" w:hAnsi="Verdana" w:cs="Arial"/>
          <w:lang w:eastAsia="es-CO"/>
        </w:rPr>
      </w:pPr>
      <w:r>
        <w:rPr>
          <w:rFonts w:ascii="Verdana" w:hAnsi="Verdana" w:cs="Arial"/>
          <w:noProof/>
          <w:lang w:eastAsia="es-CO"/>
        </w:rPr>
        <w:lastRenderedPageBreak/>
        <w:drawing>
          <wp:inline distT="0" distB="0" distL="0" distR="0" wp14:anchorId="41BF23D2" wp14:editId="1C59318D">
            <wp:extent cx="3495675" cy="1465675"/>
            <wp:effectExtent l="0" t="0" r="0" b="1270"/>
            <wp:docPr id="7454281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1304" cy="1468035"/>
                    </a:xfrm>
                    <a:prstGeom prst="rect">
                      <a:avLst/>
                    </a:prstGeom>
                    <a:noFill/>
                  </pic:spPr>
                </pic:pic>
              </a:graphicData>
            </a:graphic>
          </wp:inline>
        </w:drawing>
      </w:r>
    </w:p>
    <w:p w14:paraId="1DB049C3" w14:textId="77777777" w:rsidR="0058416D" w:rsidRDefault="0058416D" w:rsidP="0087031A">
      <w:pPr>
        <w:spacing w:after="0" w:line="276" w:lineRule="auto"/>
        <w:jc w:val="both"/>
        <w:rPr>
          <w:rFonts w:ascii="Verdana"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031A" w:rsidRPr="00593A5F" w14:paraId="7952AB6B" w14:textId="77777777" w:rsidTr="00580B7F">
        <w:trPr>
          <w:trHeight w:val="315"/>
        </w:trPr>
        <w:tc>
          <w:tcPr>
            <w:tcW w:w="893" w:type="dxa"/>
            <w:vAlign w:val="center"/>
            <w:hideMark/>
          </w:tcPr>
          <w:p w14:paraId="12808F0D"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FCA52F" w14:textId="5DB4960B" w:rsidR="0087031A" w:rsidRPr="007911EE" w:rsidRDefault="00C33DBE" w:rsidP="00580B7F">
            <w:pPr>
              <w:contextualSpacing/>
              <w:rPr>
                <w:rFonts w:ascii="Verdana" w:hAnsi="Verdana"/>
                <w:sz w:val="16"/>
                <w:szCs w:val="16"/>
              </w:rPr>
            </w:pPr>
            <w:r>
              <w:rPr>
                <w:rFonts w:ascii="Verdana" w:hAnsi="Verdana"/>
                <w:sz w:val="16"/>
                <w:szCs w:val="16"/>
              </w:rPr>
              <w:t>Daniel Eduardo Rojas</w:t>
            </w:r>
          </w:p>
          <w:p w14:paraId="3F59F682" w14:textId="77777777" w:rsidR="0087031A" w:rsidRPr="007911EE" w:rsidRDefault="0087031A" w:rsidP="00580B7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87031A" w:rsidRPr="00593A5F" w14:paraId="517166CF" w14:textId="77777777" w:rsidTr="00580B7F">
        <w:trPr>
          <w:trHeight w:val="330"/>
        </w:trPr>
        <w:tc>
          <w:tcPr>
            <w:tcW w:w="893" w:type="dxa"/>
            <w:vAlign w:val="center"/>
            <w:hideMark/>
          </w:tcPr>
          <w:p w14:paraId="73873209"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4978160" w14:textId="428B4DAE" w:rsidR="0087031A" w:rsidRPr="007911EE" w:rsidRDefault="00C33DBE" w:rsidP="00580B7F">
            <w:pPr>
              <w:spacing w:line="276" w:lineRule="auto"/>
              <w:contextualSpacing/>
              <w:jc w:val="both"/>
              <w:rPr>
                <w:rFonts w:ascii="Verdana" w:hAnsi="Verdana"/>
                <w:sz w:val="16"/>
                <w:szCs w:val="16"/>
              </w:rPr>
            </w:pPr>
            <w:r w:rsidRPr="00C33DBE">
              <w:rPr>
                <w:rFonts w:ascii="Verdana" w:hAnsi="Verdana"/>
                <w:sz w:val="16"/>
                <w:szCs w:val="16"/>
              </w:rPr>
              <w:t>Juan Carlos González</w:t>
            </w:r>
          </w:p>
          <w:p w14:paraId="634B0E53" w14:textId="0F26F302" w:rsidR="0087031A" w:rsidRPr="007911EE" w:rsidRDefault="00C33DBE" w:rsidP="00580B7F">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Contratista</w:t>
            </w:r>
            <w:r w:rsidR="0087031A" w:rsidRPr="007911EE">
              <w:rPr>
                <w:rStyle w:val="normaltextrun"/>
                <w:rFonts w:ascii="Verdana" w:eastAsia="Arial" w:hAnsi="Verdana" w:cs="Arial"/>
                <w:sz w:val="16"/>
                <w:szCs w:val="16"/>
              </w:rPr>
              <w:t xml:space="preserve"> Subdirección de Gestión Contractual</w:t>
            </w:r>
          </w:p>
        </w:tc>
      </w:tr>
      <w:tr w:rsidR="0087031A" w:rsidRPr="00593A5F" w14:paraId="656F6DA4" w14:textId="77777777" w:rsidTr="00580B7F">
        <w:trPr>
          <w:trHeight w:val="300"/>
        </w:trPr>
        <w:tc>
          <w:tcPr>
            <w:tcW w:w="893" w:type="dxa"/>
            <w:vAlign w:val="center"/>
          </w:tcPr>
          <w:p w14:paraId="0681F92E"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EA3EE8C" w14:textId="77777777" w:rsidR="0087031A" w:rsidRDefault="0058416D" w:rsidP="00580B7F">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Maria Tolosa Rico </w:t>
            </w:r>
          </w:p>
          <w:p w14:paraId="32DD0E04" w14:textId="5AA48AA8" w:rsidR="0058416D" w:rsidRPr="007911EE" w:rsidRDefault="0058416D" w:rsidP="00580B7F">
            <w:pPr>
              <w:contextualSpacing/>
              <w:rPr>
                <w:rFonts w:ascii="Verdana" w:eastAsia="Calibri" w:hAnsi="Verdana" w:cs="Arial"/>
                <w:sz w:val="16"/>
                <w:szCs w:val="16"/>
                <w:lang w:val="pt-BR" w:eastAsia="es-ES"/>
              </w:rPr>
            </w:pPr>
            <w:r w:rsidRPr="0058416D">
              <w:rPr>
                <w:rStyle w:val="normaltextrun"/>
                <w:rFonts w:ascii="Verdana" w:eastAsia="Arial" w:hAnsi="Verdana" w:cs="Arial"/>
                <w:sz w:val="16"/>
                <w:szCs w:val="16"/>
              </w:rPr>
              <w:t>Subd</w:t>
            </w:r>
            <w:r w:rsidRPr="0058416D">
              <w:rPr>
                <w:rStyle w:val="normaltextrun"/>
                <w:rFonts w:eastAsia="Arial"/>
                <w:sz w:val="16"/>
                <w:szCs w:val="16"/>
              </w:rPr>
              <w:t>irectora</w:t>
            </w:r>
            <w:r>
              <w:rPr>
                <w:rStyle w:val="normaltextrun"/>
                <w:rFonts w:eastAsia="Arial"/>
              </w:rPr>
              <w:t xml:space="preserve"> </w:t>
            </w:r>
            <w:r w:rsidRPr="007911EE">
              <w:rPr>
                <w:rStyle w:val="normaltextrun"/>
                <w:rFonts w:ascii="Verdana" w:eastAsia="Arial" w:hAnsi="Verdana" w:cs="Arial"/>
                <w:sz w:val="16"/>
                <w:szCs w:val="16"/>
              </w:rPr>
              <w:t>de Gestión Contractual</w:t>
            </w:r>
          </w:p>
        </w:tc>
      </w:tr>
      <w:bookmarkEnd w:id="1"/>
      <w:bookmarkEnd w:id="2"/>
      <w:bookmarkEnd w:id="3"/>
    </w:tbl>
    <w:p w14:paraId="7ECE23A3" w14:textId="77777777" w:rsidR="0087031A" w:rsidRPr="0044528D" w:rsidRDefault="0087031A" w:rsidP="0087031A">
      <w:pPr>
        <w:spacing w:after="0"/>
        <w:rPr>
          <w:rFonts w:ascii="Verdana" w:hAnsi="Verdana"/>
        </w:rPr>
      </w:pPr>
    </w:p>
    <w:p w14:paraId="453A161B" w14:textId="77777777" w:rsidR="0087031A" w:rsidRPr="00EA6F8B" w:rsidRDefault="0087031A" w:rsidP="0087031A"/>
    <w:p w14:paraId="56912649" w14:textId="77777777" w:rsidR="00DE435A" w:rsidRPr="00DE435A" w:rsidRDefault="00DE435A" w:rsidP="00DE435A">
      <w:pPr>
        <w:rPr>
          <w:lang w:val="es-ES"/>
        </w:rPr>
      </w:pPr>
    </w:p>
    <w:sectPr w:rsidR="00DE435A" w:rsidRPr="00DE435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23A25" w14:textId="77777777" w:rsidR="00CB0796" w:rsidRDefault="00CB0796" w:rsidP="004A1847">
      <w:pPr>
        <w:spacing w:after="0" w:line="240" w:lineRule="auto"/>
      </w:pPr>
      <w:r>
        <w:separator/>
      </w:r>
    </w:p>
  </w:endnote>
  <w:endnote w:type="continuationSeparator" w:id="0">
    <w:p w14:paraId="508BBC01" w14:textId="77777777" w:rsidR="00CB0796" w:rsidRDefault="00CB079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62EA4" w14:textId="77777777" w:rsidR="00CB0796" w:rsidRDefault="00CB0796" w:rsidP="004A1847">
      <w:pPr>
        <w:spacing w:after="0" w:line="240" w:lineRule="auto"/>
      </w:pPr>
      <w:r>
        <w:separator/>
      </w:r>
    </w:p>
  </w:footnote>
  <w:footnote w:type="continuationSeparator" w:id="0">
    <w:p w14:paraId="0C5E1845" w14:textId="77777777" w:rsidR="00CB0796" w:rsidRDefault="00CB0796" w:rsidP="004A1847">
      <w:pPr>
        <w:spacing w:after="0" w:line="240" w:lineRule="auto"/>
      </w:pPr>
      <w:r>
        <w:continuationSeparator/>
      </w:r>
    </w:p>
  </w:footnote>
  <w:footnote w:id="1">
    <w:p w14:paraId="502226B6" w14:textId="7F70D1B3" w:rsidR="007E5663" w:rsidRPr="007E5663" w:rsidRDefault="007E5663">
      <w:pPr>
        <w:pStyle w:val="Textonotapie"/>
        <w:rPr>
          <w:lang w:val="es-ES"/>
        </w:rPr>
      </w:pPr>
      <w:r>
        <w:rPr>
          <w:rStyle w:val="Refdenotaalpie"/>
        </w:rPr>
        <w:footnoteRef/>
      </w:r>
      <w:r>
        <w:t xml:space="preserve"> </w:t>
      </w:r>
      <w:hyperlink r:id="rId1" w:history="1">
        <w:r w:rsidRPr="00F24CF1">
          <w:rPr>
            <w:rStyle w:val="Hipervnculo"/>
          </w:rPr>
          <w:t>https://www.colombiacompra.gov.co/wp-content/uploads/2024/08/cce-eicp-ma-04._manual_requisitos_ habilitantes_v3_29-09-2023.pdf</w:t>
        </w:r>
      </w:hyperlink>
      <w:r>
        <w:t xml:space="preserve"> </w:t>
      </w:r>
    </w:p>
  </w:footnote>
  <w:footnote w:id="2">
    <w:p w14:paraId="255058F6" w14:textId="60D8574C" w:rsidR="0092047B" w:rsidRPr="0092047B" w:rsidRDefault="0092047B" w:rsidP="0092047B">
      <w:pPr>
        <w:spacing w:after="0" w:line="240" w:lineRule="auto"/>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footnote>
  <w:footnote w:id="3">
    <w:p w14:paraId="1CBE1697" w14:textId="6699ED93" w:rsidR="0092047B" w:rsidRPr="0092047B" w:rsidRDefault="0092047B" w:rsidP="0092047B">
      <w:pPr>
        <w:pStyle w:val="Textonotapie"/>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w:t>
      </w:r>
      <w:r w:rsidRPr="0092047B">
        <w:rPr>
          <w:rFonts w:ascii="Verdana" w:hAnsi="Verdana" w:cs="Arial"/>
          <w:color w:val="000000"/>
          <w:sz w:val="16"/>
          <w:szCs w:val="16"/>
        </w:rPr>
        <w:t>Ibíd., p. 69</w:t>
      </w:r>
    </w:p>
  </w:footnote>
  <w:footnote w:id="4">
    <w:p w14:paraId="43756D28" w14:textId="77777777" w:rsidR="0092047B" w:rsidRPr="0092047B" w:rsidRDefault="0092047B" w:rsidP="0092047B">
      <w:pPr>
        <w:pStyle w:val="Textonotapie"/>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0AE96A41" w14:textId="77777777" w:rsidR="0092047B" w:rsidRPr="0092047B" w:rsidRDefault="0092047B" w:rsidP="0092047B">
      <w:pPr>
        <w:pStyle w:val="Textonotapie"/>
        <w:ind w:firstLine="709"/>
        <w:jc w:val="both"/>
        <w:rPr>
          <w:rFonts w:ascii="Verdana" w:hAnsi="Verdana" w:cs="Arial"/>
          <w:color w:val="000000"/>
          <w:sz w:val="16"/>
          <w:szCs w:val="16"/>
        </w:rPr>
      </w:pPr>
    </w:p>
  </w:footnote>
  <w:footnote w:id="5">
    <w:p w14:paraId="449167DA" w14:textId="413594D7" w:rsidR="0092047B" w:rsidRPr="0092047B" w:rsidRDefault="0092047B" w:rsidP="0092047B">
      <w:pPr>
        <w:pStyle w:val="Textonotapie"/>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Consejo de Estado. Sala de Consulta y Servicio Civil. Concepto del 30 de abril de 2015. Expediente: 2251. Consejero Ponente: Álvaro </w:t>
      </w:r>
      <w:r w:rsidRPr="0092047B">
        <w:rPr>
          <w:rFonts w:ascii="Verdana" w:hAnsi="Verdana" w:cs="Arial"/>
          <w:color w:val="000000"/>
          <w:sz w:val="16"/>
          <w:szCs w:val="16"/>
        </w:rPr>
        <w:t>Namén Vargas.</w:t>
      </w:r>
    </w:p>
  </w:footnote>
  <w:footnote w:id="6">
    <w:p w14:paraId="43372A34" w14:textId="3F9BD532" w:rsidR="0092047B" w:rsidRPr="0092047B" w:rsidRDefault="0092047B" w:rsidP="0092047B">
      <w:pPr>
        <w:spacing w:after="0" w:line="240" w:lineRule="auto"/>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Consejo</w:t>
      </w:r>
      <w:r w:rsidRPr="0092047B">
        <w:rPr>
          <w:rFonts w:ascii="Verdana" w:hAnsi="Verdana" w:cs="Arial"/>
          <w:color w:val="000000"/>
          <w:spacing w:val="12"/>
          <w:sz w:val="16"/>
          <w:szCs w:val="16"/>
        </w:rPr>
        <w:t xml:space="preserve"> </w:t>
      </w:r>
      <w:r w:rsidRPr="0092047B">
        <w:rPr>
          <w:rFonts w:ascii="Verdana" w:hAnsi="Verdana" w:cs="Arial"/>
          <w:color w:val="000000"/>
          <w:sz w:val="16"/>
          <w:szCs w:val="16"/>
        </w:rPr>
        <w:t>de</w:t>
      </w:r>
      <w:r w:rsidRPr="0092047B">
        <w:rPr>
          <w:rFonts w:ascii="Verdana" w:hAnsi="Verdana" w:cs="Arial"/>
          <w:color w:val="000000"/>
          <w:spacing w:val="11"/>
          <w:sz w:val="16"/>
          <w:szCs w:val="16"/>
        </w:rPr>
        <w:t xml:space="preserve"> </w:t>
      </w:r>
      <w:r w:rsidRPr="0092047B">
        <w:rPr>
          <w:rFonts w:ascii="Verdana" w:hAnsi="Verdana" w:cs="Arial"/>
          <w:color w:val="000000"/>
          <w:sz w:val="16"/>
          <w:szCs w:val="16"/>
        </w:rPr>
        <w:t>Estado.</w:t>
      </w:r>
      <w:r w:rsidRPr="0092047B">
        <w:rPr>
          <w:rFonts w:ascii="Verdana" w:hAnsi="Verdana" w:cs="Arial"/>
          <w:color w:val="000000"/>
          <w:spacing w:val="12"/>
          <w:sz w:val="16"/>
          <w:szCs w:val="16"/>
        </w:rPr>
        <w:t xml:space="preserve"> </w:t>
      </w:r>
      <w:r w:rsidRPr="0092047B">
        <w:rPr>
          <w:rFonts w:ascii="Verdana" w:hAnsi="Verdana" w:cs="Arial"/>
          <w:color w:val="000000"/>
          <w:sz w:val="16"/>
          <w:szCs w:val="16"/>
        </w:rPr>
        <w:t>Sección</w:t>
      </w:r>
      <w:r w:rsidRPr="0092047B">
        <w:rPr>
          <w:rFonts w:ascii="Verdana" w:hAnsi="Verdana" w:cs="Arial"/>
          <w:color w:val="000000"/>
          <w:spacing w:val="12"/>
          <w:sz w:val="16"/>
          <w:szCs w:val="16"/>
        </w:rPr>
        <w:t xml:space="preserve"> </w:t>
      </w:r>
      <w:r w:rsidRPr="0092047B">
        <w:rPr>
          <w:rFonts w:ascii="Verdana" w:hAnsi="Verdana" w:cs="Arial"/>
          <w:color w:val="000000"/>
          <w:sz w:val="16"/>
          <w:szCs w:val="16"/>
        </w:rPr>
        <w:t>Tercera.</w:t>
      </w:r>
      <w:r w:rsidRPr="0092047B">
        <w:rPr>
          <w:rFonts w:ascii="Verdana" w:hAnsi="Verdana" w:cs="Arial"/>
          <w:color w:val="000000"/>
          <w:spacing w:val="12"/>
          <w:sz w:val="16"/>
          <w:szCs w:val="16"/>
        </w:rPr>
        <w:t xml:space="preserve"> </w:t>
      </w:r>
      <w:r w:rsidRPr="0092047B">
        <w:rPr>
          <w:rFonts w:ascii="Verdana" w:hAnsi="Verdana" w:cs="Arial"/>
          <w:color w:val="000000"/>
          <w:sz w:val="16"/>
          <w:szCs w:val="16"/>
        </w:rPr>
        <w:t>Subsección</w:t>
      </w:r>
      <w:r w:rsidRPr="0092047B">
        <w:rPr>
          <w:rFonts w:ascii="Verdana" w:hAnsi="Verdana" w:cs="Arial"/>
          <w:color w:val="000000"/>
          <w:spacing w:val="13"/>
          <w:sz w:val="16"/>
          <w:szCs w:val="16"/>
        </w:rPr>
        <w:t xml:space="preserve"> </w:t>
      </w:r>
      <w:r w:rsidRPr="0092047B">
        <w:rPr>
          <w:rFonts w:ascii="Verdana" w:hAnsi="Verdana" w:cs="Arial"/>
          <w:color w:val="000000"/>
          <w:sz w:val="16"/>
          <w:szCs w:val="16"/>
        </w:rPr>
        <w:t>A.</w:t>
      </w:r>
      <w:r w:rsidRPr="0092047B">
        <w:rPr>
          <w:rFonts w:ascii="Verdana" w:hAnsi="Verdana" w:cs="Arial"/>
          <w:color w:val="000000"/>
          <w:spacing w:val="12"/>
          <w:sz w:val="16"/>
          <w:szCs w:val="16"/>
        </w:rPr>
        <w:t xml:space="preserve"> </w:t>
      </w:r>
      <w:r w:rsidRPr="0092047B">
        <w:rPr>
          <w:rFonts w:ascii="Verdana" w:hAnsi="Verdana" w:cs="Arial"/>
          <w:color w:val="000000"/>
          <w:sz w:val="16"/>
          <w:szCs w:val="16"/>
        </w:rPr>
        <w:t>Sentencia</w:t>
      </w:r>
      <w:r w:rsidRPr="0092047B">
        <w:rPr>
          <w:rFonts w:ascii="Verdana" w:hAnsi="Verdana" w:cs="Arial"/>
          <w:color w:val="000000"/>
          <w:spacing w:val="13"/>
          <w:sz w:val="16"/>
          <w:szCs w:val="16"/>
        </w:rPr>
        <w:t xml:space="preserve"> </w:t>
      </w:r>
      <w:r w:rsidRPr="0092047B">
        <w:rPr>
          <w:rFonts w:ascii="Verdana" w:hAnsi="Verdana" w:cs="Arial"/>
          <w:color w:val="000000"/>
          <w:sz w:val="16"/>
          <w:szCs w:val="16"/>
        </w:rPr>
        <w:t>del</w:t>
      </w:r>
      <w:r w:rsidRPr="0092047B">
        <w:rPr>
          <w:rFonts w:ascii="Verdana" w:hAnsi="Verdana" w:cs="Arial"/>
          <w:color w:val="000000"/>
          <w:spacing w:val="11"/>
          <w:sz w:val="16"/>
          <w:szCs w:val="16"/>
        </w:rPr>
        <w:t xml:space="preserve"> </w:t>
      </w:r>
      <w:r w:rsidRPr="0092047B">
        <w:rPr>
          <w:rFonts w:ascii="Verdana" w:hAnsi="Verdana" w:cs="Arial"/>
          <w:color w:val="000000"/>
          <w:sz w:val="16"/>
          <w:szCs w:val="16"/>
        </w:rPr>
        <w:t>24</w:t>
      </w:r>
      <w:r w:rsidRPr="0092047B">
        <w:rPr>
          <w:rFonts w:ascii="Verdana" w:hAnsi="Verdana" w:cs="Arial"/>
          <w:color w:val="000000"/>
          <w:spacing w:val="11"/>
          <w:sz w:val="16"/>
          <w:szCs w:val="16"/>
        </w:rPr>
        <w:t xml:space="preserve"> </w:t>
      </w:r>
      <w:r w:rsidRPr="0092047B">
        <w:rPr>
          <w:rFonts w:ascii="Verdana" w:hAnsi="Verdana" w:cs="Arial"/>
          <w:color w:val="000000"/>
          <w:sz w:val="16"/>
          <w:szCs w:val="16"/>
        </w:rPr>
        <w:t>de</w:t>
      </w:r>
      <w:r w:rsidRPr="0092047B">
        <w:rPr>
          <w:rFonts w:ascii="Verdana" w:hAnsi="Verdana" w:cs="Arial"/>
          <w:color w:val="000000"/>
          <w:spacing w:val="11"/>
          <w:sz w:val="16"/>
          <w:szCs w:val="16"/>
        </w:rPr>
        <w:t xml:space="preserve"> </w:t>
      </w:r>
      <w:r w:rsidRPr="0092047B">
        <w:rPr>
          <w:rFonts w:ascii="Verdana" w:hAnsi="Verdana" w:cs="Arial"/>
          <w:color w:val="000000"/>
          <w:sz w:val="16"/>
          <w:szCs w:val="16"/>
        </w:rPr>
        <w:t>junio</w:t>
      </w:r>
      <w:r w:rsidRPr="0092047B">
        <w:rPr>
          <w:rFonts w:ascii="Verdana" w:hAnsi="Verdana" w:cs="Arial"/>
          <w:color w:val="000000"/>
          <w:spacing w:val="11"/>
          <w:sz w:val="16"/>
          <w:szCs w:val="16"/>
        </w:rPr>
        <w:t xml:space="preserve"> </w:t>
      </w:r>
      <w:r w:rsidRPr="0092047B">
        <w:rPr>
          <w:rFonts w:ascii="Verdana" w:hAnsi="Verdana" w:cs="Arial"/>
          <w:color w:val="000000"/>
          <w:sz w:val="16"/>
          <w:szCs w:val="16"/>
        </w:rPr>
        <w:t>de</w:t>
      </w:r>
      <w:r w:rsidRPr="0092047B">
        <w:rPr>
          <w:rFonts w:ascii="Verdana" w:hAnsi="Verdana" w:cs="Arial"/>
          <w:color w:val="000000"/>
          <w:spacing w:val="11"/>
          <w:sz w:val="16"/>
          <w:szCs w:val="16"/>
        </w:rPr>
        <w:t xml:space="preserve"> </w:t>
      </w:r>
      <w:r w:rsidRPr="0092047B">
        <w:rPr>
          <w:rFonts w:ascii="Verdana" w:hAnsi="Verdana" w:cs="Arial"/>
          <w:color w:val="000000"/>
          <w:sz w:val="16"/>
          <w:szCs w:val="16"/>
        </w:rPr>
        <w:t>2015.</w:t>
      </w:r>
      <w:r w:rsidRPr="0092047B">
        <w:rPr>
          <w:rFonts w:ascii="Verdana" w:hAnsi="Verdana" w:cs="Arial"/>
          <w:color w:val="000000"/>
          <w:spacing w:val="1"/>
          <w:sz w:val="16"/>
          <w:szCs w:val="16"/>
        </w:rPr>
        <w:t xml:space="preserve"> </w:t>
      </w:r>
      <w:r w:rsidRPr="0092047B">
        <w:rPr>
          <w:rFonts w:ascii="Verdana" w:hAnsi="Verdana" w:cs="Arial"/>
          <w:color w:val="000000"/>
          <w:sz w:val="16"/>
          <w:szCs w:val="16"/>
        </w:rPr>
        <w:t>Exp.</w:t>
      </w:r>
      <w:r w:rsidRPr="0092047B">
        <w:rPr>
          <w:rFonts w:ascii="Verdana" w:hAnsi="Verdana" w:cs="Arial"/>
          <w:color w:val="000000"/>
          <w:spacing w:val="-2"/>
          <w:sz w:val="16"/>
          <w:szCs w:val="16"/>
        </w:rPr>
        <w:t xml:space="preserve"> </w:t>
      </w:r>
      <w:r w:rsidRPr="0092047B">
        <w:rPr>
          <w:rFonts w:ascii="Verdana" w:hAnsi="Verdana" w:cs="Arial"/>
          <w:color w:val="000000"/>
          <w:sz w:val="16"/>
          <w:szCs w:val="16"/>
        </w:rPr>
        <w:t>40.635.</w:t>
      </w:r>
      <w:r w:rsidRPr="0092047B">
        <w:rPr>
          <w:rFonts w:ascii="Verdana" w:hAnsi="Verdana" w:cs="Arial"/>
          <w:color w:val="000000"/>
          <w:spacing w:val="-2"/>
          <w:sz w:val="16"/>
          <w:szCs w:val="16"/>
        </w:rPr>
        <w:t xml:space="preserve"> </w:t>
      </w:r>
      <w:r w:rsidRPr="0092047B">
        <w:rPr>
          <w:rFonts w:ascii="Verdana" w:hAnsi="Verdana" w:cs="Arial"/>
          <w:color w:val="000000"/>
          <w:sz w:val="16"/>
          <w:szCs w:val="16"/>
        </w:rPr>
        <w:t>Consejero</w:t>
      </w:r>
      <w:r w:rsidRPr="0092047B">
        <w:rPr>
          <w:rFonts w:ascii="Verdana" w:hAnsi="Verdana" w:cs="Arial"/>
          <w:color w:val="000000"/>
          <w:spacing w:val="-1"/>
          <w:sz w:val="16"/>
          <w:szCs w:val="16"/>
        </w:rPr>
        <w:t xml:space="preserve"> </w:t>
      </w:r>
      <w:r w:rsidRPr="0092047B">
        <w:rPr>
          <w:rFonts w:ascii="Verdana" w:hAnsi="Verdana" w:cs="Arial"/>
          <w:color w:val="000000"/>
          <w:sz w:val="16"/>
          <w:szCs w:val="16"/>
        </w:rPr>
        <w:t>Ponente:</w:t>
      </w:r>
      <w:r w:rsidRPr="0092047B">
        <w:rPr>
          <w:rFonts w:ascii="Verdana" w:hAnsi="Verdana" w:cs="Arial"/>
          <w:color w:val="000000"/>
          <w:spacing w:val="-2"/>
          <w:sz w:val="16"/>
          <w:szCs w:val="16"/>
        </w:rPr>
        <w:t xml:space="preserve"> </w:t>
      </w:r>
      <w:r w:rsidRPr="0092047B">
        <w:rPr>
          <w:rFonts w:ascii="Verdana" w:hAnsi="Verdana" w:cs="Arial"/>
          <w:color w:val="000000"/>
          <w:sz w:val="16"/>
          <w:szCs w:val="16"/>
        </w:rPr>
        <w:t>Hernán</w:t>
      </w:r>
      <w:r w:rsidRPr="0092047B">
        <w:rPr>
          <w:rFonts w:ascii="Verdana" w:hAnsi="Verdana" w:cs="Arial"/>
          <w:color w:val="000000"/>
          <w:spacing w:val="-1"/>
          <w:sz w:val="16"/>
          <w:szCs w:val="16"/>
        </w:rPr>
        <w:t xml:space="preserve"> </w:t>
      </w:r>
      <w:r w:rsidRPr="0092047B">
        <w:rPr>
          <w:rFonts w:ascii="Verdana" w:hAnsi="Verdana" w:cs="Arial"/>
          <w:color w:val="000000"/>
          <w:sz w:val="16"/>
          <w:szCs w:val="16"/>
        </w:rPr>
        <w:t>Andrade</w:t>
      </w:r>
      <w:r w:rsidRPr="0092047B">
        <w:rPr>
          <w:rFonts w:ascii="Verdana" w:hAnsi="Verdana" w:cs="Arial"/>
          <w:color w:val="000000"/>
          <w:spacing w:val="-2"/>
          <w:sz w:val="16"/>
          <w:szCs w:val="16"/>
        </w:rPr>
        <w:t xml:space="preserve"> </w:t>
      </w:r>
      <w:r w:rsidRPr="0092047B">
        <w:rPr>
          <w:rFonts w:ascii="Verdana" w:hAnsi="Verdana" w:cs="Arial"/>
          <w:color w:val="000000"/>
          <w:sz w:val="16"/>
          <w:szCs w:val="16"/>
        </w:rPr>
        <w:t>Rincón</w:t>
      </w:r>
      <w:r w:rsidRPr="0092047B">
        <w:rPr>
          <w:rFonts w:ascii="Verdana" w:hAnsi="Verdana" w:cs="Arial"/>
          <w:color w:val="000000"/>
          <w:spacing w:val="-1"/>
          <w:sz w:val="16"/>
          <w:szCs w:val="16"/>
        </w:rPr>
        <w:t xml:space="preserve"> </w:t>
      </w:r>
      <w:r w:rsidRPr="0092047B">
        <w:rPr>
          <w:rFonts w:ascii="Verdana" w:hAnsi="Verdana" w:cs="Arial"/>
          <w:color w:val="000000"/>
          <w:sz w:val="16"/>
          <w:szCs w:val="16"/>
        </w:rPr>
        <w:t>(E).</w:t>
      </w:r>
    </w:p>
  </w:footnote>
  <w:footnote w:id="7">
    <w:p w14:paraId="5663FBD9" w14:textId="584EB7E1" w:rsidR="0092047B" w:rsidRPr="0092047B" w:rsidRDefault="0092047B" w:rsidP="0092047B">
      <w:pPr>
        <w:pStyle w:val="Textonotapie"/>
        <w:ind w:firstLine="709"/>
        <w:jc w:val="both"/>
        <w:rPr>
          <w:rFonts w:ascii="Verdana" w:hAnsi="Verdana" w:cs="Arial"/>
          <w:color w:val="000000"/>
          <w:sz w:val="16"/>
          <w:szCs w:val="16"/>
          <w:lang w:val="es-ES"/>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Consejo de Estado. Sección Tercera. Subsección C. Sentencia del 22 de mayo de 2013. </w:t>
      </w:r>
      <w:r w:rsidRPr="0092047B">
        <w:rPr>
          <w:rFonts w:ascii="Verdana" w:hAnsi="Verdana" w:cs="Arial"/>
          <w:color w:val="000000"/>
          <w:sz w:val="16"/>
          <w:szCs w:val="16"/>
        </w:rPr>
        <w:t>Exp. 24.057. Consejera Ponente: Olga Melida Valle De La Hoz.</w:t>
      </w:r>
    </w:p>
  </w:footnote>
  <w:footnote w:id="8">
    <w:p w14:paraId="2310F261" w14:textId="5EF10EF9" w:rsidR="0092047B" w:rsidRPr="0092047B" w:rsidRDefault="0092047B" w:rsidP="0092047B">
      <w:pPr>
        <w:pStyle w:val="Textonotapie"/>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Sentencia C- 373 de 2002,  Magistrado ponente Jaime Córdoba Triviño; sentencia C-325 de 2009, Magistrado ponente  Gabriel Eduardo Mendoza Martelo.</w:t>
      </w:r>
    </w:p>
  </w:footnote>
  <w:footnote w:id="9">
    <w:p w14:paraId="5C2F36E6" w14:textId="77777777" w:rsidR="0092047B" w:rsidRPr="0092047B" w:rsidRDefault="0092047B" w:rsidP="0092047B">
      <w:pPr>
        <w:pStyle w:val="Textonotapie"/>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Sentencia 00111 del 13 de junio de 2019 del Consejo de Estado, Sala de  lo Contencioso Administrativo, Sección Quinta  00111 del 13 de junio de 2019, </w:t>
      </w:r>
      <w:r w:rsidRPr="0092047B">
        <w:rPr>
          <w:rFonts w:ascii="Verdana" w:hAnsi="Verdana" w:cs="Arial"/>
          <w:color w:val="000000"/>
          <w:sz w:val="16"/>
          <w:szCs w:val="16"/>
        </w:rPr>
        <w:t>Consejera ponente Rocío Araújo Oñate.</w:t>
      </w:r>
    </w:p>
  </w:footnote>
  <w:footnote w:id="10">
    <w:p w14:paraId="1A59F038" w14:textId="77777777" w:rsidR="0092047B" w:rsidRPr="0092047B" w:rsidRDefault="0092047B" w:rsidP="0092047B">
      <w:pPr>
        <w:pStyle w:val="Textonotapie"/>
        <w:ind w:firstLine="709"/>
        <w:jc w:val="both"/>
        <w:rPr>
          <w:rFonts w:ascii="Verdana" w:hAnsi="Verdana" w:cs="Arial"/>
          <w:color w:val="000000"/>
          <w:sz w:val="16"/>
          <w:szCs w:val="16"/>
        </w:rPr>
      </w:pPr>
      <w:r w:rsidRPr="0092047B">
        <w:rPr>
          <w:rStyle w:val="Refdenotaalpie"/>
          <w:rFonts w:ascii="Verdana" w:hAnsi="Verdana" w:cs="Arial"/>
          <w:color w:val="000000"/>
          <w:sz w:val="16"/>
          <w:szCs w:val="16"/>
        </w:rPr>
        <w:footnoteRef/>
      </w:r>
      <w:r w:rsidRPr="0092047B">
        <w:rPr>
          <w:rFonts w:ascii="Verdana" w:hAnsi="Verdana" w:cs="Arial"/>
          <w:color w:val="000000"/>
          <w:sz w:val="16"/>
          <w:szCs w:val="16"/>
        </w:rPr>
        <w:t xml:space="preserve"> </w:t>
      </w:r>
      <w:r w:rsidRPr="0092047B">
        <w:rPr>
          <w:rFonts w:ascii="Verdana" w:hAnsi="Verdana" w:cs="Arial"/>
          <w:i/>
          <w:iCs/>
          <w:color w:val="000000"/>
          <w:sz w:val="16"/>
          <w:szCs w:val="16"/>
        </w:rPr>
        <w:t>Ibid</w:t>
      </w:r>
      <w:r w:rsidRPr="0092047B">
        <w:rPr>
          <w:rFonts w:ascii="Verdana" w:hAnsi="Verdana" w:cs="Arial"/>
          <w:color w:val="000000"/>
          <w:sz w:val="16"/>
          <w:szCs w:val="16"/>
        </w:rPr>
        <w:t xml:space="preserve">. </w:t>
      </w:r>
    </w:p>
    <w:p w14:paraId="076165F2" w14:textId="77777777" w:rsidR="0092047B" w:rsidRPr="000D4DD3" w:rsidRDefault="0092047B" w:rsidP="0092047B">
      <w:pPr>
        <w:pStyle w:val="Textonotapie"/>
        <w:ind w:firstLine="709"/>
        <w:jc w:val="both"/>
        <w:rPr>
          <w:rFonts w:ascii="Verdana" w:hAnsi="Verdana" w:cs="Arial"/>
          <w:color w:val="000000"/>
          <w:sz w:val="10"/>
          <w:szCs w:val="10"/>
        </w:rPr>
      </w:pPr>
    </w:p>
  </w:footnote>
  <w:footnote w:id="11">
    <w:p w14:paraId="50C76333" w14:textId="77777777" w:rsidR="00DD5FB0" w:rsidRPr="007E5663" w:rsidRDefault="00DD5FB0" w:rsidP="00DD5FB0">
      <w:pPr>
        <w:pStyle w:val="Textonotapie"/>
        <w:rPr>
          <w:lang w:val="es-ES"/>
        </w:rPr>
      </w:pPr>
      <w:r>
        <w:rPr>
          <w:rStyle w:val="Refdenotaalpie"/>
        </w:rPr>
        <w:footnoteRef/>
      </w:r>
      <w:r>
        <w:t xml:space="preserve"> </w:t>
      </w:r>
      <w:hyperlink r:id="rId2" w:history="1">
        <w:r w:rsidRPr="00F24CF1">
          <w:rPr>
            <w:rStyle w:val="Hipervnculo"/>
          </w:rPr>
          <w:t>https://www.colombiacompra.gov.co/wp-content/uploads/2024/08/cce-eicp-ma-04._manual_requisitos_ habilitantes_v3_29-09-2023.pdf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770E7ECD">
          <wp:simplePos x="0" y="0"/>
          <wp:positionH relativeFrom="margin">
            <wp:align>center</wp:align>
          </wp:positionH>
          <wp:positionV relativeFrom="paragraph">
            <wp:posOffset>-138611</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6543F162" w14:textId="77777777" w:rsidR="002B5862" w:rsidRDefault="002B5862">
    <w:pPr>
      <w:pStyle w:val="Encabezado"/>
    </w:pPr>
  </w:p>
  <w:p w14:paraId="4711D484" w14:textId="77777777" w:rsidR="002B5862" w:rsidRDefault="002B5862">
    <w:pPr>
      <w:pStyle w:val="Encabezado"/>
    </w:pPr>
  </w:p>
  <w:p w14:paraId="3D79C711" w14:textId="77777777" w:rsidR="002B5862" w:rsidRDefault="002B58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BA6D35"/>
    <w:multiLevelType w:val="hybridMultilevel"/>
    <w:tmpl w:val="132012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E2B5288"/>
    <w:multiLevelType w:val="hybridMultilevel"/>
    <w:tmpl w:val="2690AA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0422BB"/>
    <w:multiLevelType w:val="hybridMultilevel"/>
    <w:tmpl w:val="676AB1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380713882">
    <w:abstractNumId w:val="0"/>
  </w:num>
  <w:num w:numId="17" w16cid:durableId="1982299905">
    <w:abstractNumId w:val="17"/>
  </w:num>
  <w:num w:numId="18" w16cid:durableId="691802391">
    <w:abstractNumId w:val="10"/>
  </w:num>
  <w:num w:numId="19" w16cid:durableId="336813632">
    <w:abstractNumId w:val="3"/>
  </w:num>
  <w:num w:numId="20" w16cid:durableId="706025072">
    <w:abstractNumId w:val="18"/>
  </w:num>
  <w:num w:numId="21" w16cid:durableId="1140540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CC6"/>
    <w:rsid w:val="0007444E"/>
    <w:rsid w:val="00082362"/>
    <w:rsid w:val="000A0698"/>
    <w:rsid w:val="000A683E"/>
    <w:rsid w:val="000B19B9"/>
    <w:rsid w:val="000D0334"/>
    <w:rsid w:val="000F6486"/>
    <w:rsid w:val="00125105"/>
    <w:rsid w:val="00127233"/>
    <w:rsid w:val="001511A0"/>
    <w:rsid w:val="00162880"/>
    <w:rsid w:val="00177E18"/>
    <w:rsid w:val="001B0A93"/>
    <w:rsid w:val="001E4177"/>
    <w:rsid w:val="001F3845"/>
    <w:rsid w:val="001F7DC6"/>
    <w:rsid w:val="00237609"/>
    <w:rsid w:val="002421BB"/>
    <w:rsid w:val="0025796E"/>
    <w:rsid w:val="002707A2"/>
    <w:rsid w:val="002951A0"/>
    <w:rsid w:val="002962BC"/>
    <w:rsid w:val="002965E2"/>
    <w:rsid w:val="002A093D"/>
    <w:rsid w:val="002A0DD0"/>
    <w:rsid w:val="002A49AC"/>
    <w:rsid w:val="002A64FD"/>
    <w:rsid w:val="002B5862"/>
    <w:rsid w:val="002C5070"/>
    <w:rsid w:val="002C7A84"/>
    <w:rsid w:val="002E4FD9"/>
    <w:rsid w:val="00322A85"/>
    <w:rsid w:val="00324168"/>
    <w:rsid w:val="0033493C"/>
    <w:rsid w:val="003448F4"/>
    <w:rsid w:val="00374F5E"/>
    <w:rsid w:val="00377E3E"/>
    <w:rsid w:val="003A779E"/>
    <w:rsid w:val="003D0F4D"/>
    <w:rsid w:val="003D42F4"/>
    <w:rsid w:val="003D5B0D"/>
    <w:rsid w:val="003E0499"/>
    <w:rsid w:val="003F3941"/>
    <w:rsid w:val="00406575"/>
    <w:rsid w:val="00414C74"/>
    <w:rsid w:val="00422DE8"/>
    <w:rsid w:val="0042722E"/>
    <w:rsid w:val="0044528D"/>
    <w:rsid w:val="004A1847"/>
    <w:rsid w:val="004A305D"/>
    <w:rsid w:val="004D3F3A"/>
    <w:rsid w:val="004F21C4"/>
    <w:rsid w:val="004F685F"/>
    <w:rsid w:val="005062F6"/>
    <w:rsid w:val="005566E8"/>
    <w:rsid w:val="005673CE"/>
    <w:rsid w:val="00567A42"/>
    <w:rsid w:val="00574867"/>
    <w:rsid w:val="0058416D"/>
    <w:rsid w:val="00591460"/>
    <w:rsid w:val="005A11A8"/>
    <w:rsid w:val="005B3816"/>
    <w:rsid w:val="005C3777"/>
    <w:rsid w:val="005C5CDC"/>
    <w:rsid w:val="005D476C"/>
    <w:rsid w:val="006219F8"/>
    <w:rsid w:val="00665D70"/>
    <w:rsid w:val="006900D9"/>
    <w:rsid w:val="00706C16"/>
    <w:rsid w:val="00754F84"/>
    <w:rsid w:val="00756841"/>
    <w:rsid w:val="007649AB"/>
    <w:rsid w:val="00771D0C"/>
    <w:rsid w:val="007833AC"/>
    <w:rsid w:val="007911EE"/>
    <w:rsid w:val="007A46B9"/>
    <w:rsid w:val="007B268C"/>
    <w:rsid w:val="007B7171"/>
    <w:rsid w:val="007C0C0F"/>
    <w:rsid w:val="007C3DC2"/>
    <w:rsid w:val="007E5497"/>
    <w:rsid w:val="007E5663"/>
    <w:rsid w:val="007F662E"/>
    <w:rsid w:val="00806F5F"/>
    <w:rsid w:val="00820278"/>
    <w:rsid w:val="00842788"/>
    <w:rsid w:val="00865AE0"/>
    <w:rsid w:val="00867F95"/>
    <w:rsid w:val="0087031A"/>
    <w:rsid w:val="0087082B"/>
    <w:rsid w:val="00880A26"/>
    <w:rsid w:val="008843B6"/>
    <w:rsid w:val="00891928"/>
    <w:rsid w:val="008A446D"/>
    <w:rsid w:val="008D180B"/>
    <w:rsid w:val="008F0EA7"/>
    <w:rsid w:val="00905C1B"/>
    <w:rsid w:val="0092047B"/>
    <w:rsid w:val="00923EEF"/>
    <w:rsid w:val="009419F9"/>
    <w:rsid w:val="0095685E"/>
    <w:rsid w:val="00961B09"/>
    <w:rsid w:val="00965334"/>
    <w:rsid w:val="0097093E"/>
    <w:rsid w:val="00986AC5"/>
    <w:rsid w:val="009A0DFA"/>
    <w:rsid w:val="009B2D26"/>
    <w:rsid w:val="009C71FA"/>
    <w:rsid w:val="009C72E7"/>
    <w:rsid w:val="009D3058"/>
    <w:rsid w:val="009E1CA3"/>
    <w:rsid w:val="009F3A13"/>
    <w:rsid w:val="00A122D3"/>
    <w:rsid w:val="00A17F13"/>
    <w:rsid w:val="00A20739"/>
    <w:rsid w:val="00A33C78"/>
    <w:rsid w:val="00AB0ADB"/>
    <w:rsid w:val="00AE025B"/>
    <w:rsid w:val="00B01B1A"/>
    <w:rsid w:val="00B16AC3"/>
    <w:rsid w:val="00B66319"/>
    <w:rsid w:val="00B72CD3"/>
    <w:rsid w:val="00B72FFF"/>
    <w:rsid w:val="00B75E17"/>
    <w:rsid w:val="00B84088"/>
    <w:rsid w:val="00BA178C"/>
    <w:rsid w:val="00BC3D36"/>
    <w:rsid w:val="00BD7F72"/>
    <w:rsid w:val="00C04F14"/>
    <w:rsid w:val="00C04FB3"/>
    <w:rsid w:val="00C330EB"/>
    <w:rsid w:val="00C33DBE"/>
    <w:rsid w:val="00C41061"/>
    <w:rsid w:val="00C754BE"/>
    <w:rsid w:val="00C76B1C"/>
    <w:rsid w:val="00CB0796"/>
    <w:rsid w:val="00CB6357"/>
    <w:rsid w:val="00CC1B26"/>
    <w:rsid w:val="00CD0B4A"/>
    <w:rsid w:val="00CD7324"/>
    <w:rsid w:val="00D423A2"/>
    <w:rsid w:val="00D520D8"/>
    <w:rsid w:val="00D63AC2"/>
    <w:rsid w:val="00D7383B"/>
    <w:rsid w:val="00DA231B"/>
    <w:rsid w:val="00DC39FC"/>
    <w:rsid w:val="00DD5FB0"/>
    <w:rsid w:val="00DE435A"/>
    <w:rsid w:val="00DF29BC"/>
    <w:rsid w:val="00DF5254"/>
    <w:rsid w:val="00E16408"/>
    <w:rsid w:val="00E20894"/>
    <w:rsid w:val="00E245AB"/>
    <w:rsid w:val="00E2764C"/>
    <w:rsid w:val="00E27F2E"/>
    <w:rsid w:val="00E50AFE"/>
    <w:rsid w:val="00E75C92"/>
    <w:rsid w:val="00E771DC"/>
    <w:rsid w:val="00E8772A"/>
    <w:rsid w:val="00E90F6B"/>
    <w:rsid w:val="00E92C27"/>
    <w:rsid w:val="00EA0E3D"/>
    <w:rsid w:val="00EB255D"/>
    <w:rsid w:val="00EB4128"/>
    <w:rsid w:val="00EC38A7"/>
    <w:rsid w:val="00ED7384"/>
    <w:rsid w:val="00EE1AA8"/>
    <w:rsid w:val="00F31EDC"/>
    <w:rsid w:val="00F3779B"/>
    <w:rsid w:val="00F462B3"/>
    <w:rsid w:val="00F5664F"/>
    <w:rsid w:val="00F666C4"/>
    <w:rsid w:val="00F76AFC"/>
    <w:rsid w:val="00F83338"/>
    <w:rsid w:val="00F90AC4"/>
    <w:rsid w:val="00FA47C0"/>
    <w:rsid w:val="00FB5DD1"/>
    <w:rsid w:val="00FC2B5D"/>
    <w:rsid w:val="00FF1449"/>
    <w:rsid w:val="165E9519"/>
    <w:rsid w:val="189D7DFF"/>
    <w:rsid w:val="382536D9"/>
    <w:rsid w:val="6325CAC1"/>
    <w:rsid w:val="6EFDAB80"/>
    <w:rsid w:val="7A7545E7"/>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7031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7031A"/>
    <w:rPr>
      <w:rFonts w:ascii="Geomanist Light" w:hAnsi="Geomanist Light"/>
      <w:lang w:val="es-ES"/>
    </w:rPr>
  </w:style>
  <w:style w:type="paragraph" w:styleId="Textoindependiente">
    <w:name w:val="Body Text"/>
    <w:basedOn w:val="Normal"/>
    <w:link w:val="TextoindependienteCar"/>
    <w:uiPriority w:val="1"/>
    <w:unhideWhenUsed/>
    <w:qFormat/>
    <w:rsid w:val="0087031A"/>
    <w:pPr>
      <w:spacing w:after="120"/>
    </w:pPr>
  </w:style>
  <w:style w:type="character" w:customStyle="1" w:styleId="TextoindependienteCar">
    <w:name w:val="Texto independiente Car"/>
    <w:basedOn w:val="Fuentedeprrafopredeter"/>
    <w:link w:val="Textoindependiente"/>
    <w:uiPriority w:val="1"/>
    <w:rsid w:val="00870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99970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85077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ce-eicp-ma-04._manual_requisitos_%20habilitantes_v3_29-09-2023.pdf" TargetMode="External"/><Relationship Id="rId1" Type="http://schemas.openxmlformats.org/officeDocument/2006/relationships/hyperlink" Target="https://www.colombiacompra.gov.co/wp-content/uploads/2024/08/cce-eicp-ma-04._manual_requisitos_%20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81538-C570-4DE1-AADC-4A7B02A2B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9FAF2BF4-0EB2-4EF0-8236-E05227A2E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3675</Words>
  <Characters>20215</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2</cp:revision>
  <cp:lastPrinted>2023-01-10T21:18:00Z</cp:lastPrinted>
  <dcterms:created xsi:type="dcterms:W3CDTF">2025-07-18T03:38:00Z</dcterms:created>
  <dcterms:modified xsi:type="dcterms:W3CDTF">2025-07-18T03:38:00Z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