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A05EB" w14:textId="77777777" w:rsidR="00155283" w:rsidRPr="00155283" w:rsidRDefault="00155283" w:rsidP="006A48BB">
      <w:pPr>
        <w:spacing w:after="0" w:line="240" w:lineRule="auto"/>
        <w:jc w:val="both"/>
        <w:rPr>
          <w:rFonts w:ascii="Geomanist Light" w:hAnsi="Geomanist Light" w:cs="Arial"/>
          <w:b/>
          <w:szCs w:val="24"/>
          <w:lang w:val="es-MX" w:eastAsia="es-ES_tradnl"/>
        </w:rPr>
      </w:pPr>
      <w:bookmarkStart w:id="0" w:name="_Hlk103947551"/>
      <w:r w:rsidRPr="00155283">
        <w:rPr>
          <w:rFonts w:ascii="Geomanist Light" w:hAnsi="Geomanist Light" w:cs="Arial"/>
          <w:b/>
          <w:szCs w:val="24"/>
          <w:lang w:val="es-MX" w:eastAsia="es-ES_tradnl"/>
        </w:rPr>
        <w:t xml:space="preserve">CONTRATO INTERADMINISTRATIVO – Concepto – Régimen jurídico aplicable </w:t>
      </w:r>
    </w:p>
    <w:p w14:paraId="2401DB52" w14:textId="77777777" w:rsidR="00155283" w:rsidRPr="00155283" w:rsidRDefault="00155283" w:rsidP="006A48BB">
      <w:pPr>
        <w:spacing w:after="0" w:line="240" w:lineRule="auto"/>
        <w:jc w:val="both"/>
        <w:rPr>
          <w:rFonts w:ascii="Geomanist Light" w:hAnsi="Geomanist Light" w:cs="Arial"/>
          <w:b/>
          <w:szCs w:val="24"/>
          <w:lang w:val="es-MX" w:eastAsia="es-ES_tradnl"/>
        </w:rPr>
      </w:pPr>
    </w:p>
    <w:p w14:paraId="76479AA6" w14:textId="77777777" w:rsidR="00155283" w:rsidRPr="00155283" w:rsidRDefault="00155283" w:rsidP="006A48BB">
      <w:pPr>
        <w:spacing w:after="0" w:line="240" w:lineRule="auto"/>
        <w:jc w:val="both"/>
        <w:rPr>
          <w:rFonts w:ascii="Geomanist Light" w:hAnsi="Geomanist Light" w:cs="Arial"/>
          <w:bCs/>
          <w:sz w:val="20"/>
          <w:szCs w:val="20"/>
          <w:lang w:val="es-ES_tradnl" w:eastAsia="es-ES_tradnl"/>
        </w:rPr>
      </w:pPr>
      <w:r w:rsidRPr="00155283">
        <w:rPr>
          <w:rFonts w:ascii="Geomanist Light" w:hAnsi="Geomanist Light" w:cs="Arial"/>
          <w:bCs/>
          <w:sz w:val="20"/>
          <w:szCs w:val="20"/>
          <w:lang w:val="es-ES_tradnl" w:eastAsia="es-ES_tradnl"/>
        </w:rPr>
        <w:t xml:space="preserve">[…]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 </w:t>
      </w:r>
    </w:p>
    <w:p w14:paraId="6A50E742" w14:textId="77777777" w:rsidR="00C94763" w:rsidRPr="00FB186E" w:rsidRDefault="00C94763" w:rsidP="006A48BB">
      <w:pPr>
        <w:spacing w:after="0" w:line="240" w:lineRule="auto"/>
        <w:jc w:val="both"/>
        <w:rPr>
          <w:rFonts w:ascii="Geomanist Light" w:hAnsi="Geomanist Light" w:cs="Arial"/>
          <w:b/>
          <w:szCs w:val="24"/>
          <w:lang w:val="es-ES_tradnl" w:eastAsia="es-ES_tradnl"/>
        </w:rPr>
      </w:pPr>
    </w:p>
    <w:p w14:paraId="73F4A52B" w14:textId="4826B322" w:rsidR="00DB0A15" w:rsidRDefault="00155283" w:rsidP="006A48BB">
      <w:pPr>
        <w:spacing w:after="0" w:line="240" w:lineRule="auto"/>
        <w:jc w:val="both"/>
        <w:rPr>
          <w:rFonts w:ascii="Geomanist Light" w:hAnsi="Geomanist Light" w:cs="Arial"/>
          <w:b/>
          <w:szCs w:val="24"/>
          <w:lang w:val="es-MX" w:eastAsia="es-ES_tradnl"/>
        </w:rPr>
      </w:pPr>
      <w:r w:rsidRPr="00155283">
        <w:rPr>
          <w:rFonts w:ascii="Geomanist Light" w:hAnsi="Geomanist Light" w:cs="Arial"/>
          <w:b/>
          <w:szCs w:val="24"/>
          <w:lang w:val="es-MX" w:eastAsia="es-ES_tradnl"/>
        </w:rPr>
        <w:t xml:space="preserve">SUBCONTRATACIÓN – </w:t>
      </w:r>
      <w:r w:rsidR="00DB0A15">
        <w:rPr>
          <w:rFonts w:ascii="Geomanist Light" w:hAnsi="Geomanist Light" w:cs="Arial"/>
          <w:b/>
          <w:szCs w:val="24"/>
          <w:lang w:val="es-MX" w:eastAsia="es-ES_tradnl"/>
        </w:rPr>
        <w:t xml:space="preserve">Definición </w:t>
      </w:r>
    </w:p>
    <w:p w14:paraId="0FB2FA18" w14:textId="60311CEB" w:rsidR="00DB0A15" w:rsidRDefault="00DB0A15" w:rsidP="006A48BB">
      <w:pPr>
        <w:spacing w:after="0" w:line="240" w:lineRule="auto"/>
        <w:jc w:val="both"/>
        <w:rPr>
          <w:rFonts w:ascii="Geomanist Light" w:hAnsi="Geomanist Light" w:cs="Arial"/>
          <w:b/>
          <w:szCs w:val="24"/>
          <w:lang w:val="es-MX" w:eastAsia="es-ES_tradnl"/>
        </w:rPr>
      </w:pPr>
    </w:p>
    <w:p w14:paraId="572F5809" w14:textId="4C363838" w:rsidR="00DB0A15" w:rsidRPr="00DB0A15" w:rsidRDefault="00DB0A15" w:rsidP="006A48BB">
      <w:pPr>
        <w:spacing w:after="0" w:line="240" w:lineRule="auto"/>
        <w:jc w:val="both"/>
        <w:rPr>
          <w:rFonts w:ascii="Geomanist Light" w:hAnsi="Geomanist Light" w:cs="Arial"/>
          <w:bCs/>
          <w:sz w:val="20"/>
          <w:szCs w:val="20"/>
          <w:lang w:val="es-ES_tradnl" w:eastAsia="es-ES_tradnl"/>
        </w:rPr>
      </w:pPr>
      <w:r w:rsidRPr="00DB0A15">
        <w:rPr>
          <w:rFonts w:ascii="Geomanist Light" w:hAnsi="Geomanist Light" w:cs="Arial"/>
          <w:bCs/>
          <w:sz w:val="20"/>
          <w:szCs w:val="20"/>
          <w:lang w:val="es-ES_tradnl" w:eastAsia="es-ES_tradnl"/>
        </w:rPr>
        <w:t>La figura jurídica de la subcontratación no ha tenido un desarrollo regulatorio sustancial en el derecho colombiano. Aunque en materia de contratación estatal hay algunas referencias a esta institución en las Leyes 80 de 1993 y 1150 de 2007, así como en el Decreto 1082 de 2015, y en el Decreto 092 de 2017, el ordenamiento jurídico carece de una disposición legal que brinde una definición de subcontratación. Sin embargo, la jurisprudencia y la doctrina se han encargado de estudiar y analizar la naturaleza de esta figura y han construido los elementos y características propias de la subcontratación. La doctrina ha analizado la subcontratación en la contratación estatal, señalando que «La subcontratación supone la celebración de un contrato eventual y accesorio, entre un contratista del Estado y un tercero, sin que aquel tenga el deber, por regla general, de agotar un procedimiento previo de selección, por medio del cual el segundo sustituye parcial y materialmente al primero, quien conserva la dirección general del proyecto y es responsable ante la entidad estatal contratante por el cumplimiento íntegro de las obligaciones derivadas del contrato adjudicado».</w:t>
      </w:r>
    </w:p>
    <w:p w14:paraId="17EBEA33" w14:textId="77777777" w:rsidR="00DB0A15" w:rsidRDefault="00DB0A15" w:rsidP="006A48BB">
      <w:pPr>
        <w:spacing w:after="0" w:line="240" w:lineRule="auto"/>
        <w:jc w:val="both"/>
        <w:rPr>
          <w:rFonts w:ascii="Geomanist Light" w:hAnsi="Geomanist Light" w:cs="Arial"/>
          <w:b/>
          <w:szCs w:val="24"/>
          <w:lang w:val="es-MX" w:eastAsia="es-ES_tradnl"/>
        </w:rPr>
      </w:pPr>
    </w:p>
    <w:p w14:paraId="66166595" w14:textId="651094BB" w:rsidR="00155283" w:rsidRPr="00DB0A15" w:rsidRDefault="00DB0A15" w:rsidP="006A48BB">
      <w:pPr>
        <w:spacing w:after="0" w:line="240" w:lineRule="auto"/>
        <w:jc w:val="both"/>
        <w:rPr>
          <w:rFonts w:ascii="Geomanist Light" w:hAnsi="Geomanist Light" w:cs="Arial"/>
          <w:b/>
          <w:szCs w:val="24"/>
          <w:lang w:val="es-MX" w:eastAsia="es-ES_tradnl"/>
        </w:rPr>
      </w:pPr>
      <w:r w:rsidRPr="00155283">
        <w:rPr>
          <w:rFonts w:ascii="Geomanist Light" w:hAnsi="Geomanist Light" w:cs="Arial"/>
          <w:b/>
          <w:szCs w:val="24"/>
          <w:lang w:val="es-MX" w:eastAsia="es-ES_tradnl"/>
        </w:rPr>
        <w:t xml:space="preserve">SUBCONTRATACIÓN – </w:t>
      </w:r>
      <w:r w:rsidR="00155283" w:rsidRPr="00155283">
        <w:rPr>
          <w:rFonts w:ascii="Geomanist Light" w:hAnsi="Geomanist Light" w:cs="Arial"/>
          <w:b/>
          <w:bCs/>
          <w:szCs w:val="24"/>
          <w:lang w:val="es-MX" w:eastAsia="es-ES_tradnl"/>
        </w:rPr>
        <w:t xml:space="preserve">Contratos interadministrativos </w:t>
      </w:r>
      <w:r w:rsidR="00155283" w:rsidRPr="00155283">
        <w:rPr>
          <w:rFonts w:ascii="Geomanist Light" w:hAnsi="Geomanist Light" w:cs="Arial"/>
          <w:b/>
          <w:szCs w:val="24"/>
          <w:lang w:val="es-MX" w:eastAsia="es-ES_tradnl"/>
        </w:rPr>
        <w:t xml:space="preserve">– Limitaciones </w:t>
      </w:r>
    </w:p>
    <w:p w14:paraId="0443F4DA" w14:textId="77777777" w:rsidR="00155283" w:rsidRPr="00155283" w:rsidRDefault="00155283" w:rsidP="006A48BB">
      <w:pPr>
        <w:spacing w:after="0" w:line="240" w:lineRule="auto"/>
        <w:jc w:val="both"/>
        <w:rPr>
          <w:rFonts w:ascii="Geomanist Light" w:hAnsi="Geomanist Light" w:cs="Arial"/>
          <w:b/>
          <w:szCs w:val="24"/>
          <w:lang w:val="es-ES" w:eastAsia="es-ES_tradnl"/>
        </w:rPr>
      </w:pPr>
    </w:p>
    <w:p w14:paraId="722D8E93" w14:textId="05B18E2F" w:rsidR="006A48BB" w:rsidRDefault="00CE02B4" w:rsidP="006A48BB">
      <w:pPr>
        <w:spacing w:after="0" w:line="240" w:lineRule="auto"/>
        <w:jc w:val="both"/>
        <w:rPr>
          <w:rFonts w:ascii="Geomanist Light" w:hAnsi="Geomanist Light" w:cs="Arial"/>
          <w:bCs/>
          <w:sz w:val="20"/>
          <w:szCs w:val="20"/>
          <w:lang w:val="es-ES_tradnl" w:eastAsia="es-ES_tradnl"/>
        </w:rPr>
      </w:pPr>
      <w:r>
        <w:rPr>
          <w:rFonts w:ascii="Geomanist Light" w:hAnsi="Geomanist Light" w:cs="Arial"/>
          <w:bCs/>
          <w:sz w:val="20"/>
          <w:szCs w:val="20"/>
          <w:lang w:val="es-ES" w:eastAsia="es-ES_tradnl"/>
        </w:rPr>
        <w:t>A</w:t>
      </w:r>
      <w:r w:rsidRPr="00CE02B4">
        <w:rPr>
          <w:rFonts w:ascii="Geomanist Light" w:hAnsi="Geomanist Light" w:cs="Arial"/>
          <w:bCs/>
          <w:sz w:val="20"/>
          <w:szCs w:val="20"/>
          <w:lang w:val="es-ES" w:eastAsia="es-ES_tradnl"/>
        </w:rPr>
        <w:t xml:space="preserve">unque hay ausencia de regulación específica de la subcontratación, </w:t>
      </w:r>
      <w:r w:rsidRPr="00CE02B4">
        <w:rPr>
          <w:rFonts w:ascii="Geomanist Light" w:hAnsi="Geomanist Light" w:cs="Arial"/>
          <w:bCs/>
          <w:sz w:val="20"/>
          <w:szCs w:val="20"/>
          <w:lang w:eastAsia="es-ES_tradnl"/>
        </w:rPr>
        <w:t xml:space="preserve">esta no se encuentra proscrita en materia de contratación pública; pero sí encuentra limites en su aplicación en el principio de la autonomía de la voluntad, representada en lo pactado en el contrato principal, y en algunas normas específicas. Una de estas restricciones normativas se encuentra el literal c del numeral 4 del artículo 2 de la Ley 1150 de 2007, precisamente referente a los contratos interadministrativos. </w:t>
      </w:r>
      <w:r w:rsidR="00155283" w:rsidRPr="00DB0A15">
        <w:rPr>
          <w:rFonts w:ascii="Geomanist Light" w:hAnsi="Geomanist Light" w:cs="Arial"/>
          <w:bCs/>
          <w:sz w:val="20"/>
          <w:szCs w:val="20"/>
          <w:lang w:val="es-ES_tradnl" w:eastAsia="es-ES_tradnl"/>
        </w:rPr>
        <w:t xml:space="preserve">[…] </w:t>
      </w:r>
      <w:r w:rsidRPr="00CE02B4">
        <w:rPr>
          <w:rFonts w:ascii="Geomanist Light" w:hAnsi="Geomanist Light" w:cs="Arial"/>
          <w:bCs/>
          <w:sz w:val="20"/>
          <w:szCs w:val="20"/>
          <w:lang w:eastAsia="es-ES_tradnl"/>
        </w:rPr>
        <w:t>De lo anterior se destaca lo siguiente: i) la norma se refiere a la subcontratación de algunas de las actividades derivadas del contrato principal, de lo cual se puede colegir que la subcontratación es permitida en los contratos interadministrativos pero en relación con algunas actividades y no la totalidad de estas.</w:t>
      </w:r>
      <w:r w:rsidRPr="00DB0A15">
        <w:rPr>
          <w:rFonts w:ascii="Geomanist Light" w:hAnsi="Geomanist Light" w:cs="Arial"/>
          <w:bCs/>
          <w:sz w:val="20"/>
          <w:szCs w:val="20"/>
          <w:lang w:val="es-ES_tradnl" w:eastAsia="es-ES_tradnl"/>
        </w:rPr>
        <w:t xml:space="preserve"> […]</w:t>
      </w:r>
      <w:r w:rsidRPr="00CE02B4">
        <w:rPr>
          <w:rFonts w:ascii="Geomanist Light" w:hAnsi="Geomanist Light" w:cs="Arial"/>
          <w:bCs/>
          <w:sz w:val="20"/>
          <w:szCs w:val="20"/>
          <w:lang w:eastAsia="es-ES_tradnl"/>
        </w:rPr>
        <w:t xml:space="preserve">. </w:t>
      </w:r>
      <w:proofErr w:type="spellStart"/>
      <w:r w:rsidRPr="00CE02B4">
        <w:rPr>
          <w:rFonts w:ascii="Geomanist Light" w:hAnsi="Geomanist Light" w:cs="Arial"/>
          <w:bCs/>
          <w:sz w:val="20"/>
          <w:szCs w:val="20"/>
          <w:lang w:eastAsia="es-ES_tradnl"/>
        </w:rPr>
        <w:t>ii</w:t>
      </w:r>
      <w:proofErr w:type="spellEnd"/>
      <w:r w:rsidRPr="00CE02B4">
        <w:rPr>
          <w:rFonts w:ascii="Geomanist Light" w:hAnsi="Geomanist Light" w:cs="Arial"/>
          <w:bCs/>
          <w:sz w:val="20"/>
          <w:szCs w:val="20"/>
          <w:lang w:eastAsia="es-ES_tradnl"/>
        </w:rPr>
        <w:t>) Ni la entidad ejecutora ni el subcontratista podrá subcontratar a las personas que hayan participado en la elaboración de estudios, diseños y proyectos del contrato principal. De este modo, se reitera la posibilidad de subcontratar en el marco de un contrato interadministrativo; no obstante, se limita esta subcontratación en relación con ciertas personas naturales o jurídicas</w:t>
      </w:r>
      <w:r>
        <w:rPr>
          <w:rFonts w:ascii="Geomanist Light" w:hAnsi="Geomanist Light" w:cs="Arial"/>
          <w:bCs/>
          <w:sz w:val="20"/>
          <w:szCs w:val="20"/>
          <w:lang w:eastAsia="es-ES_tradnl"/>
        </w:rPr>
        <w:t xml:space="preserve">. </w:t>
      </w:r>
    </w:p>
    <w:p w14:paraId="07A844D2" w14:textId="77777777" w:rsidR="00CE02B4" w:rsidRPr="006A48BB" w:rsidRDefault="00CE02B4" w:rsidP="006A48BB">
      <w:pPr>
        <w:spacing w:after="0" w:line="240" w:lineRule="auto"/>
        <w:jc w:val="both"/>
        <w:rPr>
          <w:rFonts w:ascii="Geomanist Light" w:hAnsi="Geomanist Light" w:cs="Arial"/>
          <w:bCs/>
          <w:sz w:val="20"/>
          <w:szCs w:val="20"/>
          <w:lang w:val="es-ES_tradnl" w:eastAsia="es-ES_tradnl"/>
        </w:rPr>
      </w:pPr>
    </w:p>
    <w:p w14:paraId="0CFC8C75" w14:textId="44649D13" w:rsidR="006A48BB" w:rsidRDefault="00DB0A15" w:rsidP="006A48BB">
      <w:pPr>
        <w:spacing w:after="0" w:line="240" w:lineRule="auto"/>
        <w:jc w:val="both"/>
        <w:rPr>
          <w:rFonts w:ascii="Geomanist Light" w:hAnsi="Geomanist Light" w:cs="Arial"/>
          <w:b/>
          <w:bCs/>
          <w:szCs w:val="24"/>
          <w:lang w:val="es-MX" w:eastAsia="es-ES_tradnl"/>
        </w:rPr>
      </w:pPr>
      <w:r w:rsidRPr="00155283">
        <w:rPr>
          <w:rFonts w:ascii="Geomanist Light" w:hAnsi="Geomanist Light" w:cs="Arial"/>
          <w:b/>
          <w:szCs w:val="24"/>
          <w:lang w:val="es-MX" w:eastAsia="es-ES_tradnl"/>
        </w:rPr>
        <w:t>SUBCONTRATACIÓN</w:t>
      </w:r>
      <w:r w:rsidR="006A48BB">
        <w:rPr>
          <w:rFonts w:ascii="Geomanist Light" w:hAnsi="Geomanist Light" w:cs="Arial"/>
          <w:b/>
          <w:szCs w:val="24"/>
          <w:lang w:val="es-MX" w:eastAsia="es-ES_tradnl"/>
        </w:rPr>
        <w:t xml:space="preserve"> </w:t>
      </w:r>
      <w:r w:rsidRPr="00155283">
        <w:rPr>
          <w:rFonts w:ascii="Geomanist Light" w:hAnsi="Geomanist Light" w:cs="Arial"/>
          <w:b/>
          <w:szCs w:val="24"/>
          <w:lang w:val="es-MX" w:eastAsia="es-ES_tradnl"/>
        </w:rPr>
        <w:t xml:space="preserve">– </w:t>
      </w:r>
      <w:r>
        <w:rPr>
          <w:rFonts w:ascii="Geomanist Light" w:hAnsi="Geomanist Light" w:cs="Arial"/>
          <w:b/>
          <w:szCs w:val="24"/>
          <w:lang w:val="es-MX" w:eastAsia="es-ES_tradnl"/>
        </w:rPr>
        <w:t xml:space="preserve">Prohibición </w:t>
      </w:r>
      <w:r w:rsidR="006A48BB" w:rsidRPr="00155283">
        <w:rPr>
          <w:rFonts w:ascii="Geomanist Light" w:hAnsi="Geomanist Light" w:cs="Arial"/>
          <w:b/>
          <w:szCs w:val="24"/>
          <w:lang w:val="es-MX" w:eastAsia="es-ES_tradnl"/>
        </w:rPr>
        <w:t xml:space="preserve">– </w:t>
      </w:r>
      <w:r w:rsidR="006A48BB" w:rsidRPr="00155283">
        <w:rPr>
          <w:rFonts w:ascii="Geomanist Light" w:hAnsi="Geomanist Light" w:cs="Arial"/>
          <w:b/>
          <w:bCs/>
          <w:szCs w:val="24"/>
          <w:lang w:val="es-MX" w:eastAsia="es-ES_tradnl"/>
        </w:rPr>
        <w:t>Contrato</w:t>
      </w:r>
      <w:r w:rsidR="006A48BB">
        <w:rPr>
          <w:rFonts w:ascii="Geomanist Light" w:hAnsi="Geomanist Light" w:cs="Arial"/>
          <w:b/>
          <w:bCs/>
          <w:szCs w:val="24"/>
          <w:lang w:val="es-MX" w:eastAsia="es-ES_tradnl"/>
        </w:rPr>
        <w:t xml:space="preserve"> principal </w:t>
      </w:r>
      <w:r w:rsidR="006A48BB" w:rsidRPr="00155283">
        <w:rPr>
          <w:rFonts w:ascii="Geomanist Light" w:hAnsi="Geomanist Light" w:cs="Arial"/>
          <w:b/>
          <w:szCs w:val="24"/>
          <w:lang w:val="es-MX" w:eastAsia="es-ES_tradnl"/>
        </w:rPr>
        <w:t>–</w:t>
      </w:r>
      <w:r w:rsidR="006A48BB">
        <w:rPr>
          <w:rFonts w:ascii="Geomanist Light" w:hAnsi="Geomanist Light" w:cs="Arial"/>
          <w:b/>
          <w:szCs w:val="24"/>
          <w:lang w:val="es-MX" w:eastAsia="es-ES_tradnl"/>
        </w:rPr>
        <w:t xml:space="preserve"> Interpretación</w:t>
      </w:r>
    </w:p>
    <w:p w14:paraId="62EAC555" w14:textId="77777777" w:rsidR="006A48BB" w:rsidRPr="006A48BB" w:rsidRDefault="006A48BB" w:rsidP="006A48BB">
      <w:pPr>
        <w:spacing w:after="0" w:line="240" w:lineRule="auto"/>
        <w:jc w:val="both"/>
        <w:rPr>
          <w:rFonts w:ascii="Geomanist Light" w:hAnsi="Geomanist Light" w:cs="Arial"/>
          <w:b/>
          <w:bCs/>
          <w:sz w:val="20"/>
          <w:szCs w:val="20"/>
          <w:lang w:val="es-MX" w:eastAsia="es-ES_tradnl"/>
        </w:rPr>
      </w:pPr>
    </w:p>
    <w:p w14:paraId="589A1062" w14:textId="77777777" w:rsidR="00CE02B4" w:rsidRDefault="00CE02B4" w:rsidP="006A48BB">
      <w:pPr>
        <w:spacing w:after="0" w:line="240" w:lineRule="auto"/>
        <w:jc w:val="both"/>
        <w:rPr>
          <w:rFonts w:ascii="Geomanist Light" w:hAnsi="Geomanist Light" w:cs="Arial"/>
          <w:bCs/>
          <w:sz w:val="20"/>
          <w:szCs w:val="20"/>
          <w:lang w:val="es-ES_tradnl"/>
        </w:rPr>
      </w:pPr>
      <w:r>
        <w:rPr>
          <w:rFonts w:ascii="Geomanist Light" w:hAnsi="Geomanist Light" w:cs="Arial"/>
          <w:bCs/>
          <w:sz w:val="20"/>
          <w:szCs w:val="20"/>
          <w:lang w:val="es-MX"/>
        </w:rPr>
        <w:lastRenderedPageBreak/>
        <w:t>P</w:t>
      </w:r>
      <w:r w:rsidRPr="00CE02B4">
        <w:rPr>
          <w:rFonts w:ascii="Geomanist Light" w:hAnsi="Geomanist Light" w:cs="Arial"/>
          <w:bCs/>
          <w:sz w:val="20"/>
          <w:szCs w:val="20"/>
          <w:lang w:val="es-MX"/>
        </w:rPr>
        <w:t xml:space="preserve">ara efectos de la aplicación de la restricción señalada en el inciso cuarto del literal c </w:t>
      </w:r>
      <w:r w:rsidRPr="00CE02B4">
        <w:rPr>
          <w:rFonts w:ascii="Geomanist Light" w:hAnsi="Geomanist Light" w:cs="Arial"/>
          <w:bCs/>
          <w:sz w:val="20"/>
          <w:szCs w:val="20"/>
          <w:lang w:val="es-ES_tradnl"/>
        </w:rPr>
        <w:t xml:space="preserve">del numeral 4 del artículo 2 de la Ley 1150 de 2007, se deberá tener en cuenta que el contrato principal es el contrato interadministrativo, del cual se desprenden los subcontratos que eventualmente realice la entidad estatal ejecutora para desarrollar algunas actividades derivadas de este. Esta conclusión se desprende de la misma redacción del literal c </w:t>
      </w:r>
      <w:r w:rsidRPr="00CE02B4">
        <w:rPr>
          <w:rFonts w:ascii="Geomanist Light" w:hAnsi="Geomanist Light" w:cs="Arial"/>
          <w:bCs/>
          <w:i/>
          <w:iCs/>
          <w:sz w:val="20"/>
          <w:szCs w:val="20"/>
          <w:lang w:val="es-ES_tradnl"/>
        </w:rPr>
        <w:t>ibidem</w:t>
      </w:r>
      <w:r w:rsidRPr="00CE02B4">
        <w:rPr>
          <w:rFonts w:ascii="Geomanist Light" w:hAnsi="Geomanist Light" w:cs="Arial"/>
          <w:bCs/>
          <w:sz w:val="20"/>
          <w:szCs w:val="20"/>
          <w:lang w:val="es-ES_tradnl"/>
        </w:rPr>
        <w:t xml:space="preserve"> en la medida en que este regula el contrato interadministrativo, de manera que cuando la norma se refiere a</w:t>
      </w:r>
      <w:r w:rsidRPr="00CE02B4">
        <w:rPr>
          <w:rFonts w:ascii="Geomanist Light" w:hAnsi="Geomanist Light" w:cs="Arial"/>
          <w:bCs/>
          <w:sz w:val="20"/>
          <w:szCs w:val="20"/>
        </w:rPr>
        <w:t xml:space="preserve">l contrato principal, sin duda alguna alude al contrato interadministrativo pues solo de este se pueden derivar las actividades a cargo de la entidad ejecutora. </w:t>
      </w:r>
      <w:r w:rsidRPr="00DB0A15">
        <w:rPr>
          <w:rFonts w:ascii="Geomanist Light" w:hAnsi="Geomanist Light" w:cs="Arial"/>
          <w:bCs/>
          <w:sz w:val="20"/>
          <w:szCs w:val="20"/>
          <w:lang w:val="es-ES_tradnl" w:eastAsia="es-ES_tradnl"/>
        </w:rPr>
        <w:t>[…]</w:t>
      </w:r>
      <w:r>
        <w:rPr>
          <w:rFonts w:ascii="Geomanist Light" w:hAnsi="Geomanist Light" w:cs="Arial"/>
          <w:bCs/>
          <w:sz w:val="20"/>
          <w:szCs w:val="20"/>
          <w:lang w:eastAsia="es-ES_tradnl"/>
        </w:rPr>
        <w:t xml:space="preserve"> </w:t>
      </w:r>
      <w:r>
        <w:rPr>
          <w:rFonts w:ascii="Geomanist Light" w:hAnsi="Geomanist Light" w:cs="Arial"/>
          <w:bCs/>
          <w:sz w:val="20"/>
          <w:szCs w:val="20"/>
        </w:rPr>
        <w:t xml:space="preserve"> </w:t>
      </w:r>
      <w:r w:rsidRPr="00CE02B4">
        <w:rPr>
          <w:rFonts w:ascii="Geomanist Light" w:hAnsi="Geomanist Light" w:cs="Arial"/>
          <w:bCs/>
          <w:sz w:val="20"/>
          <w:szCs w:val="20"/>
          <w:lang w:val="es-ES_tradnl"/>
        </w:rPr>
        <w:t>De acuerdo con lo anterior, es importante destacar dos aspectos de la prohibición establecida en el inciso cuarto de</w:t>
      </w:r>
      <w:r w:rsidRPr="00CE02B4">
        <w:rPr>
          <w:rFonts w:ascii="Geomanist Light" w:hAnsi="Geomanist Light" w:cs="Arial"/>
          <w:bCs/>
          <w:sz w:val="20"/>
          <w:szCs w:val="20"/>
        </w:rPr>
        <w:t xml:space="preserve">l literal c del </w:t>
      </w:r>
      <w:r w:rsidRPr="00CE02B4">
        <w:rPr>
          <w:rFonts w:ascii="Geomanist Light" w:hAnsi="Geomanist Light" w:cs="Arial"/>
          <w:bCs/>
          <w:sz w:val="20"/>
          <w:szCs w:val="20"/>
          <w:lang w:val="es-ES_tradnl"/>
        </w:rPr>
        <w:t xml:space="preserve">del numeral 4 del artículo 2 de la Ley 1150 de 2007. </w:t>
      </w:r>
      <w:r w:rsidRPr="00CE02B4">
        <w:rPr>
          <w:rFonts w:ascii="Geomanist Light" w:hAnsi="Geomanist Light" w:cs="Arial"/>
          <w:bCs/>
          <w:i/>
          <w:iCs/>
          <w:sz w:val="20"/>
          <w:szCs w:val="20"/>
          <w:lang w:val="es-ES_tradnl"/>
        </w:rPr>
        <w:t>En primer lugar</w:t>
      </w:r>
      <w:r w:rsidRPr="00CE02B4">
        <w:rPr>
          <w:rFonts w:ascii="Geomanist Light" w:hAnsi="Geomanist Light" w:cs="Arial"/>
          <w:bCs/>
          <w:sz w:val="20"/>
          <w:szCs w:val="20"/>
          <w:lang w:val="es-ES_tradnl"/>
        </w:rPr>
        <w:t xml:space="preserve">, como se indicó, el contrato principal al que hace referencia la norma es el contrato interadministrativo celebrado entre las entidades estatales, por lo que la prohibición aplica en relación con los subcontratos que se celebren en el marco del contrato interadministrativo. Y </w:t>
      </w:r>
      <w:r w:rsidRPr="00CE02B4">
        <w:rPr>
          <w:rFonts w:ascii="Geomanist Light" w:hAnsi="Geomanist Light" w:cs="Arial"/>
          <w:bCs/>
          <w:i/>
          <w:iCs/>
          <w:sz w:val="20"/>
          <w:szCs w:val="20"/>
          <w:lang w:val="es-ES_tradnl"/>
        </w:rPr>
        <w:t>en segundo lugar</w:t>
      </w:r>
      <w:r w:rsidRPr="00CE02B4">
        <w:rPr>
          <w:rFonts w:ascii="Geomanist Light" w:hAnsi="Geomanist Light" w:cs="Arial"/>
          <w:bCs/>
          <w:sz w:val="20"/>
          <w:szCs w:val="20"/>
          <w:lang w:val="es-ES_tradnl"/>
        </w:rPr>
        <w:t>, la prohibición se dirige a la entidad estatal ejecutora y al subcontratista, de manera que la restricción allí contemplada, no solo aplica para la entidad ejecutora sino que se extiende al subcontratista de esta, lo que significa que en el caso en que la entidad estatal ejecutora subcontrate alguna actividad derivada del contrato interadministrativo, este subcontratista no podrá vincular o contratar personas que hayan participado en la elaboración de los estudios, diseños y proyectos que tengan relación directa con el objeto de dicho contrato interadministrativo</w:t>
      </w:r>
    </w:p>
    <w:p w14:paraId="6F1CA425" w14:textId="38D20605" w:rsidR="00155283" w:rsidRPr="006A48BB" w:rsidRDefault="00155283" w:rsidP="006A48BB">
      <w:pPr>
        <w:spacing w:after="0" w:line="240" w:lineRule="auto"/>
        <w:jc w:val="both"/>
        <w:rPr>
          <w:rFonts w:ascii="Geomanist Light" w:hAnsi="Geomanist Light" w:cs="Arial"/>
          <w:b/>
          <w:sz w:val="20"/>
          <w:szCs w:val="20"/>
          <w:lang w:val="es-ES_tradnl" w:eastAsia="es-ES_tradnl"/>
        </w:rPr>
      </w:pPr>
    </w:p>
    <w:p w14:paraId="6C3DC8B4" w14:textId="194987E5" w:rsidR="00155283" w:rsidRDefault="00155283" w:rsidP="006A48BB">
      <w:pPr>
        <w:spacing w:after="0" w:line="240" w:lineRule="auto"/>
        <w:jc w:val="both"/>
        <w:rPr>
          <w:rFonts w:ascii="Geomanist Light" w:hAnsi="Geomanist Light" w:cs="Arial"/>
          <w:b/>
          <w:szCs w:val="24"/>
          <w:lang w:val="es-ES_tradnl" w:eastAsia="es-ES_tradnl"/>
        </w:rPr>
      </w:pPr>
    </w:p>
    <w:p w14:paraId="34EF2240" w14:textId="5501C4B8" w:rsidR="00155283" w:rsidRDefault="00155283" w:rsidP="006A48BB">
      <w:pPr>
        <w:spacing w:after="0" w:line="240" w:lineRule="auto"/>
        <w:jc w:val="both"/>
        <w:rPr>
          <w:rFonts w:ascii="Geomanist Light" w:hAnsi="Geomanist Light" w:cs="Arial"/>
          <w:b/>
          <w:szCs w:val="24"/>
          <w:lang w:val="es-ES_tradnl" w:eastAsia="es-ES_tradnl"/>
        </w:rPr>
      </w:pPr>
    </w:p>
    <w:p w14:paraId="3FE4AE05" w14:textId="42F4D43A" w:rsidR="00155283" w:rsidRDefault="00155283" w:rsidP="00B7240D">
      <w:pPr>
        <w:spacing w:after="0" w:line="276" w:lineRule="auto"/>
        <w:jc w:val="both"/>
        <w:rPr>
          <w:rFonts w:ascii="Geomanist Light" w:hAnsi="Geomanist Light" w:cs="Arial"/>
          <w:b/>
          <w:szCs w:val="24"/>
          <w:lang w:val="es-ES_tradnl" w:eastAsia="es-ES_tradnl"/>
        </w:rPr>
      </w:pPr>
    </w:p>
    <w:p w14:paraId="457E89D0" w14:textId="2279DB1D" w:rsidR="00155283" w:rsidRDefault="00155283" w:rsidP="00B7240D">
      <w:pPr>
        <w:spacing w:after="0" w:line="276" w:lineRule="auto"/>
        <w:jc w:val="both"/>
        <w:rPr>
          <w:rFonts w:ascii="Geomanist Light" w:hAnsi="Geomanist Light" w:cs="Arial"/>
          <w:b/>
          <w:szCs w:val="24"/>
          <w:lang w:val="es-ES_tradnl" w:eastAsia="es-ES_tradnl"/>
        </w:rPr>
      </w:pPr>
    </w:p>
    <w:p w14:paraId="2F0D84D5" w14:textId="58C38939" w:rsidR="00155283" w:rsidRDefault="00155283" w:rsidP="00B7240D">
      <w:pPr>
        <w:spacing w:after="0" w:line="276" w:lineRule="auto"/>
        <w:jc w:val="both"/>
        <w:rPr>
          <w:rFonts w:ascii="Geomanist Light" w:hAnsi="Geomanist Light" w:cs="Arial"/>
          <w:noProof/>
          <w:color w:val="000000" w:themeColor="text1"/>
        </w:rPr>
      </w:pPr>
    </w:p>
    <w:p w14:paraId="6074383B" w14:textId="659E182E" w:rsidR="006A48BB" w:rsidRDefault="006A48BB" w:rsidP="00B7240D">
      <w:pPr>
        <w:spacing w:after="0" w:line="276" w:lineRule="auto"/>
        <w:jc w:val="both"/>
        <w:rPr>
          <w:rFonts w:ascii="Geomanist Light" w:hAnsi="Geomanist Light" w:cs="Arial"/>
          <w:noProof/>
          <w:color w:val="000000" w:themeColor="text1"/>
        </w:rPr>
      </w:pPr>
    </w:p>
    <w:p w14:paraId="7D129A5D" w14:textId="4DB8D314" w:rsidR="006A48BB" w:rsidRDefault="006A48BB" w:rsidP="00B7240D">
      <w:pPr>
        <w:spacing w:after="0" w:line="276" w:lineRule="auto"/>
        <w:jc w:val="both"/>
        <w:rPr>
          <w:rFonts w:ascii="Geomanist Light" w:hAnsi="Geomanist Light" w:cs="Arial"/>
          <w:noProof/>
          <w:color w:val="000000" w:themeColor="text1"/>
        </w:rPr>
      </w:pPr>
    </w:p>
    <w:p w14:paraId="46867251" w14:textId="2EDC7547" w:rsidR="006A48BB" w:rsidRDefault="006A48BB" w:rsidP="00B7240D">
      <w:pPr>
        <w:spacing w:after="0" w:line="276" w:lineRule="auto"/>
        <w:jc w:val="both"/>
        <w:rPr>
          <w:rFonts w:ascii="Geomanist Light" w:hAnsi="Geomanist Light" w:cs="Arial"/>
          <w:noProof/>
          <w:color w:val="000000" w:themeColor="text1"/>
        </w:rPr>
      </w:pPr>
    </w:p>
    <w:p w14:paraId="5A8BF531" w14:textId="464A2ED2" w:rsidR="006A48BB" w:rsidRDefault="006A48BB" w:rsidP="00B7240D">
      <w:pPr>
        <w:spacing w:after="0" w:line="276" w:lineRule="auto"/>
        <w:jc w:val="both"/>
        <w:rPr>
          <w:rFonts w:ascii="Geomanist Light" w:hAnsi="Geomanist Light" w:cs="Arial"/>
          <w:noProof/>
          <w:color w:val="000000" w:themeColor="text1"/>
        </w:rPr>
      </w:pPr>
    </w:p>
    <w:p w14:paraId="26F2F5D9" w14:textId="51CE4B37" w:rsidR="006A48BB" w:rsidRDefault="006A48BB" w:rsidP="00B7240D">
      <w:pPr>
        <w:spacing w:after="0" w:line="276" w:lineRule="auto"/>
        <w:jc w:val="both"/>
        <w:rPr>
          <w:rFonts w:ascii="Geomanist Light" w:hAnsi="Geomanist Light" w:cs="Arial"/>
          <w:noProof/>
          <w:color w:val="000000" w:themeColor="text1"/>
        </w:rPr>
      </w:pPr>
    </w:p>
    <w:p w14:paraId="72285E76" w14:textId="11BCBAC6" w:rsidR="006A48BB" w:rsidRDefault="006A48BB" w:rsidP="00B7240D">
      <w:pPr>
        <w:spacing w:after="0" w:line="276" w:lineRule="auto"/>
        <w:jc w:val="both"/>
        <w:rPr>
          <w:rFonts w:ascii="Geomanist Light" w:hAnsi="Geomanist Light" w:cs="Arial"/>
          <w:noProof/>
          <w:color w:val="000000" w:themeColor="text1"/>
        </w:rPr>
      </w:pPr>
    </w:p>
    <w:p w14:paraId="1055F29C" w14:textId="4C48F262" w:rsidR="006A48BB" w:rsidRDefault="006A48BB" w:rsidP="00B7240D">
      <w:pPr>
        <w:spacing w:after="0" w:line="276" w:lineRule="auto"/>
        <w:jc w:val="both"/>
        <w:rPr>
          <w:rFonts w:ascii="Geomanist Light" w:hAnsi="Geomanist Light" w:cs="Arial"/>
          <w:noProof/>
          <w:color w:val="000000" w:themeColor="text1"/>
        </w:rPr>
      </w:pPr>
    </w:p>
    <w:p w14:paraId="25877DC8" w14:textId="59F135E0" w:rsidR="006A48BB" w:rsidRDefault="006A48BB" w:rsidP="00B7240D">
      <w:pPr>
        <w:spacing w:after="0" w:line="276" w:lineRule="auto"/>
        <w:jc w:val="both"/>
        <w:rPr>
          <w:rFonts w:ascii="Geomanist Light" w:hAnsi="Geomanist Light" w:cs="Arial"/>
          <w:noProof/>
          <w:color w:val="000000" w:themeColor="text1"/>
        </w:rPr>
      </w:pPr>
    </w:p>
    <w:p w14:paraId="15ACB283" w14:textId="1D4900CB" w:rsidR="006A48BB" w:rsidRDefault="006A48BB" w:rsidP="00B7240D">
      <w:pPr>
        <w:spacing w:after="0" w:line="276" w:lineRule="auto"/>
        <w:jc w:val="both"/>
        <w:rPr>
          <w:rFonts w:ascii="Geomanist Light" w:hAnsi="Geomanist Light" w:cs="Arial"/>
          <w:noProof/>
          <w:color w:val="000000" w:themeColor="text1"/>
        </w:rPr>
      </w:pPr>
    </w:p>
    <w:p w14:paraId="14B01DE0" w14:textId="4376E1B5" w:rsidR="006A48BB" w:rsidRDefault="006A48BB" w:rsidP="00B7240D">
      <w:pPr>
        <w:spacing w:after="0" w:line="276" w:lineRule="auto"/>
        <w:jc w:val="both"/>
        <w:rPr>
          <w:rFonts w:ascii="Geomanist Light" w:hAnsi="Geomanist Light" w:cs="Arial"/>
          <w:noProof/>
          <w:color w:val="000000" w:themeColor="text1"/>
        </w:rPr>
      </w:pPr>
    </w:p>
    <w:p w14:paraId="42BDB399" w14:textId="029FBC11" w:rsidR="006A48BB" w:rsidRDefault="006A48BB" w:rsidP="00B7240D">
      <w:pPr>
        <w:spacing w:after="0" w:line="276" w:lineRule="auto"/>
        <w:jc w:val="both"/>
        <w:rPr>
          <w:rFonts w:ascii="Geomanist Light" w:hAnsi="Geomanist Light" w:cs="Arial"/>
          <w:noProof/>
          <w:color w:val="000000" w:themeColor="text1"/>
        </w:rPr>
      </w:pPr>
    </w:p>
    <w:p w14:paraId="44FE9697" w14:textId="75E40475" w:rsidR="006A48BB" w:rsidRDefault="006A48BB" w:rsidP="00B7240D">
      <w:pPr>
        <w:spacing w:after="0" w:line="276" w:lineRule="auto"/>
        <w:jc w:val="both"/>
        <w:rPr>
          <w:rFonts w:ascii="Geomanist Light" w:hAnsi="Geomanist Light" w:cs="Arial"/>
          <w:noProof/>
          <w:color w:val="000000" w:themeColor="text1"/>
        </w:rPr>
      </w:pPr>
    </w:p>
    <w:p w14:paraId="478BF909" w14:textId="5FDDA3E9" w:rsidR="006A48BB" w:rsidRDefault="006A48BB" w:rsidP="00B7240D">
      <w:pPr>
        <w:spacing w:after="0" w:line="276" w:lineRule="auto"/>
        <w:jc w:val="both"/>
        <w:rPr>
          <w:rFonts w:ascii="Geomanist Light" w:hAnsi="Geomanist Light" w:cs="Arial"/>
          <w:noProof/>
          <w:color w:val="000000" w:themeColor="text1"/>
        </w:rPr>
      </w:pPr>
    </w:p>
    <w:p w14:paraId="54E61316" w14:textId="19770CFC" w:rsidR="006A48BB" w:rsidRDefault="006A48BB" w:rsidP="00B7240D">
      <w:pPr>
        <w:spacing w:after="0" w:line="276" w:lineRule="auto"/>
        <w:jc w:val="both"/>
        <w:rPr>
          <w:rFonts w:ascii="Geomanist Light" w:hAnsi="Geomanist Light" w:cs="Arial"/>
          <w:noProof/>
          <w:color w:val="000000" w:themeColor="text1"/>
        </w:rPr>
      </w:pPr>
    </w:p>
    <w:p w14:paraId="0739D8CC" w14:textId="0BBC1B11" w:rsidR="006A48BB" w:rsidRDefault="006A48BB" w:rsidP="00B7240D">
      <w:pPr>
        <w:spacing w:after="0" w:line="276" w:lineRule="auto"/>
        <w:jc w:val="both"/>
        <w:rPr>
          <w:rFonts w:ascii="Geomanist Light" w:hAnsi="Geomanist Light" w:cs="Arial"/>
          <w:noProof/>
          <w:color w:val="000000" w:themeColor="text1"/>
        </w:rPr>
      </w:pPr>
    </w:p>
    <w:p w14:paraId="4A6721AF" w14:textId="77777777" w:rsidR="00CE02B4" w:rsidRDefault="00CE02B4" w:rsidP="00B7240D">
      <w:pPr>
        <w:spacing w:after="0" w:line="276" w:lineRule="auto"/>
        <w:jc w:val="both"/>
        <w:rPr>
          <w:rFonts w:ascii="Geomanist Light" w:hAnsi="Geomanist Light" w:cs="Arial"/>
          <w:noProof/>
          <w:color w:val="000000" w:themeColor="text1"/>
        </w:rPr>
      </w:pPr>
    </w:p>
    <w:p w14:paraId="15083641" w14:textId="77777777" w:rsidR="006A3704" w:rsidRPr="00FB186E" w:rsidRDefault="006A3704" w:rsidP="00B7240D">
      <w:pPr>
        <w:spacing w:after="0" w:line="276" w:lineRule="auto"/>
        <w:jc w:val="both"/>
        <w:rPr>
          <w:rFonts w:ascii="Geomanist Light" w:hAnsi="Geomanist Light" w:cs="Arial"/>
          <w:b/>
          <w:color w:val="000000" w:themeColor="text1"/>
          <w:lang w:val="pt-BR"/>
        </w:rPr>
      </w:pPr>
    </w:p>
    <w:p w14:paraId="5B4DAECB" w14:textId="75129F6D" w:rsidR="003908B7" w:rsidRDefault="003908B7" w:rsidP="003908B7">
      <w:pPr>
        <w:spacing w:after="0" w:line="276" w:lineRule="auto"/>
        <w:jc w:val="right"/>
        <w:rPr>
          <w:rFonts w:ascii="Geomanist Light" w:hAnsi="Geomanist Light" w:cs="Arial"/>
          <w:color w:val="000000" w:themeColor="text1"/>
        </w:rPr>
      </w:pPr>
      <w:bookmarkStart w:id="1" w:name="_Hlk100051121"/>
      <w:r w:rsidRPr="003908B7">
        <w:rPr>
          <w:rFonts w:ascii="Geomanist Light" w:hAnsi="Geomanist Light" w:cs="Arial"/>
          <w:noProof/>
          <w:color w:val="000000" w:themeColor="text1"/>
        </w:rPr>
        <w:lastRenderedPageBreak/>
        <w:drawing>
          <wp:inline distT="0" distB="0" distL="0" distR="0" wp14:anchorId="52EA7F99" wp14:editId="383C1C33">
            <wp:extent cx="2705100" cy="8191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5100" cy="819150"/>
                    </a:xfrm>
                    <a:prstGeom prst="rect">
                      <a:avLst/>
                    </a:prstGeom>
                    <a:noFill/>
                    <a:ln>
                      <a:noFill/>
                    </a:ln>
                  </pic:spPr>
                </pic:pic>
              </a:graphicData>
            </a:graphic>
          </wp:inline>
        </w:drawing>
      </w:r>
    </w:p>
    <w:p w14:paraId="667AFCB3" w14:textId="173D52A5" w:rsidR="003908B7" w:rsidRDefault="003908B7" w:rsidP="003908B7">
      <w:pPr>
        <w:spacing w:after="0" w:line="276" w:lineRule="auto"/>
        <w:jc w:val="right"/>
        <w:rPr>
          <w:rFonts w:ascii="Geomanist Light" w:hAnsi="Geomanist Light" w:cs="Arial"/>
          <w:color w:val="000000" w:themeColor="text1"/>
        </w:rPr>
      </w:pPr>
    </w:p>
    <w:p w14:paraId="269841D6" w14:textId="61976364" w:rsidR="003908B7" w:rsidRDefault="003908B7" w:rsidP="003908B7">
      <w:pPr>
        <w:spacing w:after="0" w:line="276" w:lineRule="auto"/>
        <w:rPr>
          <w:rFonts w:ascii="Geomanist Light" w:hAnsi="Geomanist Light" w:cs="Arial"/>
          <w:color w:val="000000" w:themeColor="text1"/>
        </w:rPr>
      </w:pPr>
      <w:r>
        <w:rPr>
          <w:rFonts w:ascii="Geomanist Light" w:hAnsi="Geomanist Light" w:cs="Arial"/>
          <w:color w:val="000000" w:themeColor="text1"/>
        </w:rPr>
        <w:t>Bogotá D.C., 9 de noviembre de 2022</w:t>
      </w:r>
    </w:p>
    <w:p w14:paraId="69B2113E" w14:textId="77777777" w:rsidR="003908B7" w:rsidRDefault="003908B7" w:rsidP="003908B7">
      <w:pPr>
        <w:spacing w:after="0" w:line="276" w:lineRule="auto"/>
        <w:rPr>
          <w:rFonts w:ascii="Geomanist Light" w:hAnsi="Geomanist Light" w:cs="Arial"/>
          <w:color w:val="000000" w:themeColor="text1"/>
        </w:rPr>
      </w:pPr>
    </w:p>
    <w:p w14:paraId="5F5AE9EF" w14:textId="06754110" w:rsidR="00B95C30" w:rsidRPr="00FB186E" w:rsidRDefault="00B95C30" w:rsidP="00B7240D">
      <w:pPr>
        <w:spacing w:after="0" w:line="276" w:lineRule="auto"/>
        <w:jc w:val="both"/>
        <w:rPr>
          <w:rFonts w:ascii="Geomanist Light" w:hAnsi="Geomanist Light" w:cs="Arial"/>
          <w:color w:val="000000" w:themeColor="text1"/>
        </w:rPr>
      </w:pPr>
      <w:r w:rsidRPr="00FB186E">
        <w:rPr>
          <w:rFonts w:ascii="Geomanist Light" w:hAnsi="Geomanist Light" w:cs="Arial"/>
          <w:color w:val="000000" w:themeColor="text1"/>
        </w:rPr>
        <w:t>Seño</w:t>
      </w:r>
      <w:r w:rsidR="00397A9C">
        <w:rPr>
          <w:rFonts w:ascii="Geomanist Light" w:hAnsi="Geomanist Light" w:cs="Arial"/>
          <w:color w:val="000000" w:themeColor="text1"/>
        </w:rPr>
        <w:t>ra</w:t>
      </w:r>
    </w:p>
    <w:p w14:paraId="798A20AC" w14:textId="5E176976" w:rsidR="005F5F37" w:rsidRPr="00FB186E" w:rsidRDefault="00397A9C" w:rsidP="00B7240D">
      <w:pPr>
        <w:tabs>
          <w:tab w:val="center" w:pos="4394"/>
        </w:tabs>
        <w:spacing w:after="0" w:line="276" w:lineRule="auto"/>
        <w:jc w:val="both"/>
        <w:rPr>
          <w:rFonts w:ascii="Geomanist Light" w:hAnsi="Geomanist Light" w:cs="Arial"/>
          <w:b/>
          <w:color w:val="000000" w:themeColor="text1"/>
        </w:rPr>
      </w:pPr>
      <w:r>
        <w:rPr>
          <w:rFonts w:ascii="Geomanist Light" w:hAnsi="Geomanist Light" w:cs="Arial"/>
          <w:b/>
          <w:color w:val="000000" w:themeColor="text1"/>
        </w:rPr>
        <w:t xml:space="preserve">Viviana Riátiva Alarcón </w:t>
      </w:r>
      <w:r w:rsidR="00F650A2" w:rsidRPr="00FB186E">
        <w:rPr>
          <w:rFonts w:ascii="Geomanist Light" w:hAnsi="Geomanist Light" w:cs="Arial"/>
          <w:b/>
          <w:color w:val="000000" w:themeColor="text1"/>
        </w:rPr>
        <w:tab/>
      </w:r>
    </w:p>
    <w:p w14:paraId="4A1C8FFE" w14:textId="0A413161" w:rsidR="008120C4" w:rsidRPr="00FB186E" w:rsidRDefault="00F14618" w:rsidP="00B7240D">
      <w:pPr>
        <w:spacing w:after="0" w:line="276" w:lineRule="auto"/>
        <w:rPr>
          <w:rFonts w:ascii="Geomanist Light" w:hAnsi="Geomanist Light" w:cs="Arial"/>
          <w:b/>
          <w:bCs/>
          <w:color w:val="000000" w:themeColor="text1"/>
        </w:rPr>
      </w:pPr>
      <w:r w:rsidRPr="00FB186E">
        <w:rPr>
          <w:rFonts w:ascii="Geomanist Light" w:hAnsi="Geomanist Light" w:cs="Arial"/>
          <w:bCs/>
          <w:color w:val="000000" w:themeColor="text1"/>
        </w:rPr>
        <w:t>Bogotá D.C.</w:t>
      </w:r>
    </w:p>
    <w:p w14:paraId="122205C3" w14:textId="77777777" w:rsidR="000277A2" w:rsidRPr="00FB186E" w:rsidRDefault="000277A2" w:rsidP="00B7240D">
      <w:pPr>
        <w:spacing w:after="0" w:line="276" w:lineRule="auto"/>
        <w:rPr>
          <w:rFonts w:ascii="Geomanist Light" w:hAnsi="Geomanist Light" w:cs="Arial"/>
          <w:b/>
          <w:bCs/>
          <w:color w:val="000000" w:themeColor="text1"/>
        </w:rPr>
      </w:pPr>
    </w:p>
    <w:p w14:paraId="1BD594F9" w14:textId="6E955647" w:rsidR="00B95C30" w:rsidRPr="00FB186E" w:rsidRDefault="005B1504" w:rsidP="00B7240D">
      <w:pPr>
        <w:spacing w:after="0" w:line="276" w:lineRule="auto"/>
        <w:rPr>
          <w:rFonts w:ascii="Geomanist Light" w:hAnsi="Geomanist Light" w:cs="Arial"/>
          <w:b/>
          <w:bCs/>
          <w:color w:val="000000" w:themeColor="text1"/>
          <w:lang w:val="pt-BR"/>
        </w:rPr>
      </w:pPr>
      <w:r w:rsidRPr="00FB186E">
        <w:rPr>
          <w:rFonts w:ascii="Geomanist Light" w:hAnsi="Geomanist Light" w:cs="Arial"/>
          <w:b/>
          <w:bCs/>
          <w:color w:val="000000" w:themeColor="text1"/>
        </w:rPr>
        <w:t xml:space="preserve">                     </w:t>
      </w:r>
      <w:r w:rsidR="00923FA6" w:rsidRPr="00FB186E">
        <w:rPr>
          <w:rFonts w:ascii="Geomanist Light" w:hAnsi="Geomanist Light" w:cs="Arial"/>
          <w:b/>
          <w:bCs/>
          <w:color w:val="000000" w:themeColor="text1"/>
        </w:rPr>
        <w:t xml:space="preserve">                      </w:t>
      </w:r>
      <w:r w:rsidRPr="00FB186E">
        <w:rPr>
          <w:rFonts w:ascii="Geomanist Light" w:hAnsi="Geomanist Light" w:cs="Arial"/>
          <w:b/>
          <w:bCs/>
          <w:color w:val="000000" w:themeColor="text1"/>
        </w:rPr>
        <w:t xml:space="preserve"> </w:t>
      </w:r>
      <w:r w:rsidR="00023FA5" w:rsidRPr="00FB186E">
        <w:rPr>
          <w:rFonts w:ascii="Geomanist Light" w:hAnsi="Geomanist Light" w:cs="Arial"/>
          <w:b/>
          <w:bCs/>
          <w:color w:val="000000" w:themeColor="text1"/>
          <w:lang w:val="pt-BR"/>
        </w:rPr>
        <w:t xml:space="preserve">Concepto C </w:t>
      </w:r>
      <w:r w:rsidR="00023FA5" w:rsidRPr="00FB186E">
        <w:rPr>
          <w:rFonts w:ascii="Courier New" w:hAnsi="Courier New" w:cs="Courier New"/>
          <w:b/>
          <w:bCs/>
          <w:color w:val="000000" w:themeColor="text1"/>
          <w:lang w:val="pt-BR"/>
        </w:rPr>
        <w:t>‒</w:t>
      </w:r>
      <w:r w:rsidR="00023FA5" w:rsidRPr="00FB186E">
        <w:rPr>
          <w:rFonts w:ascii="Geomanist Light" w:hAnsi="Geomanist Light" w:cs="Arial"/>
          <w:b/>
          <w:bCs/>
          <w:color w:val="000000" w:themeColor="text1"/>
          <w:lang w:val="pt-BR"/>
        </w:rPr>
        <w:t xml:space="preserve"> </w:t>
      </w:r>
      <w:r w:rsidR="00397A9C">
        <w:rPr>
          <w:rFonts w:ascii="Geomanist Light" w:hAnsi="Geomanist Light" w:cs="Arial"/>
          <w:b/>
          <w:bCs/>
          <w:color w:val="000000" w:themeColor="text1"/>
          <w:lang w:val="pt-BR"/>
        </w:rPr>
        <w:t>7</w:t>
      </w:r>
      <w:r w:rsidR="00F01DE3">
        <w:rPr>
          <w:rFonts w:ascii="Geomanist Light" w:hAnsi="Geomanist Light" w:cs="Arial"/>
          <w:b/>
          <w:bCs/>
          <w:color w:val="000000" w:themeColor="text1"/>
          <w:lang w:val="pt-BR"/>
        </w:rPr>
        <w:t>02</w:t>
      </w:r>
      <w:r w:rsidR="000277A2" w:rsidRPr="00FB186E">
        <w:rPr>
          <w:rFonts w:ascii="Geomanist Light" w:hAnsi="Geomanist Light" w:cs="Arial"/>
          <w:b/>
          <w:bCs/>
          <w:color w:val="000000" w:themeColor="text1"/>
          <w:lang w:val="pt-BR"/>
        </w:rPr>
        <w:t xml:space="preserve"> </w:t>
      </w:r>
      <w:r w:rsidR="00275FBF" w:rsidRPr="00FB186E">
        <w:rPr>
          <w:rFonts w:ascii="Geomanist Light" w:hAnsi="Geomanist Light" w:cs="Arial"/>
          <w:b/>
          <w:bCs/>
          <w:color w:val="000000" w:themeColor="text1"/>
          <w:lang w:val="pt-BR"/>
        </w:rPr>
        <w:t>de 202</w:t>
      </w:r>
      <w:r w:rsidR="00BF4EC5" w:rsidRPr="00FB186E">
        <w:rPr>
          <w:rFonts w:ascii="Geomanist Light" w:hAnsi="Geomanist Light" w:cs="Arial"/>
          <w:b/>
          <w:bCs/>
          <w:color w:val="000000" w:themeColor="text1"/>
          <w:lang w:val="pt-BR"/>
        </w:rPr>
        <w:t>2</w:t>
      </w:r>
    </w:p>
    <w:p w14:paraId="7063750E" w14:textId="77777777" w:rsidR="005F5F37" w:rsidRPr="00FB186E" w:rsidRDefault="005F5F37" w:rsidP="006A3704">
      <w:pPr>
        <w:spacing w:after="0" w:line="240" w:lineRule="auto"/>
        <w:rPr>
          <w:rFonts w:ascii="Geomanist Light" w:hAnsi="Geomanist Light" w:cs="Arial"/>
          <w:b/>
          <w:bCs/>
          <w:color w:val="000000" w:themeColor="text1"/>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D56828" w14:paraId="19DFC051" w14:textId="77777777" w:rsidTr="00C06955">
        <w:trPr>
          <w:trHeight w:val="884"/>
        </w:trPr>
        <w:tc>
          <w:tcPr>
            <w:tcW w:w="2689" w:type="dxa"/>
          </w:tcPr>
          <w:p w14:paraId="6BC0D1AC" w14:textId="569BAEB9" w:rsidR="00B95C30" w:rsidRPr="00FB186E" w:rsidRDefault="00B95C30" w:rsidP="006A3704">
            <w:pPr>
              <w:spacing w:after="0" w:line="240" w:lineRule="auto"/>
              <w:jc w:val="both"/>
              <w:rPr>
                <w:rFonts w:ascii="Geomanist Light" w:hAnsi="Geomanist Light" w:cs="Arial"/>
                <w:b/>
                <w:color w:val="000000" w:themeColor="text1"/>
                <w:szCs w:val="24"/>
                <w:lang w:val="es-ES_tradnl" w:eastAsia="es-ES_tradnl"/>
              </w:rPr>
            </w:pPr>
            <w:r w:rsidRPr="00FB186E">
              <w:rPr>
                <w:rFonts w:ascii="Geomanist Light" w:hAnsi="Geomanist Light" w:cs="Arial"/>
                <w:b/>
                <w:color w:val="000000" w:themeColor="text1"/>
                <w:szCs w:val="24"/>
                <w:lang w:val="es-ES_tradnl" w:eastAsia="es-ES_tradnl"/>
              </w:rPr>
              <w:t>Temas:</w:t>
            </w:r>
            <w:r w:rsidR="005B1504" w:rsidRPr="00FB186E">
              <w:rPr>
                <w:rFonts w:ascii="Geomanist Light" w:hAnsi="Geomanist Light" w:cs="Arial"/>
                <w:b/>
                <w:color w:val="000000" w:themeColor="text1"/>
                <w:szCs w:val="24"/>
                <w:lang w:val="es-ES_tradnl" w:eastAsia="es-ES_tradnl"/>
              </w:rPr>
              <w:t xml:space="preserve">                   </w:t>
            </w:r>
          </w:p>
        </w:tc>
        <w:tc>
          <w:tcPr>
            <w:tcW w:w="6237" w:type="dxa"/>
          </w:tcPr>
          <w:p w14:paraId="5D049E9C" w14:textId="59500EDE" w:rsidR="006A3704" w:rsidRPr="006A48BB" w:rsidRDefault="00F01DE3" w:rsidP="006A48BB">
            <w:pPr>
              <w:spacing w:after="0" w:line="240" w:lineRule="auto"/>
              <w:jc w:val="both"/>
              <w:rPr>
                <w:rFonts w:ascii="Geomanist Light" w:hAnsi="Geomanist Light" w:cs="Arial"/>
                <w:bCs/>
                <w:color w:val="000000" w:themeColor="text1"/>
                <w:szCs w:val="24"/>
                <w:lang w:eastAsia="es-ES_tradnl"/>
              </w:rPr>
            </w:pPr>
            <w:r w:rsidRPr="00F01DE3">
              <w:rPr>
                <w:rFonts w:ascii="Geomanist Light" w:hAnsi="Geomanist Light" w:cs="Arial"/>
                <w:bCs/>
                <w:color w:val="000000" w:themeColor="text1"/>
                <w:szCs w:val="24"/>
                <w:lang w:val="es-MX" w:eastAsia="es-ES_tradnl"/>
              </w:rPr>
              <w:t xml:space="preserve">CONTRATO INTERADMINISTRATIVO – Concepto – Régimen jurídico aplicable </w:t>
            </w:r>
            <w:r w:rsidRPr="00F01DE3">
              <w:rPr>
                <w:rFonts w:ascii="Geomanist Light" w:hAnsi="Geomanist Light" w:cs="Arial"/>
                <w:bCs/>
                <w:color w:val="000000" w:themeColor="text1"/>
                <w:szCs w:val="24"/>
                <w:lang w:eastAsia="es-ES_tradnl"/>
              </w:rPr>
              <w:t xml:space="preserve">/ </w:t>
            </w:r>
            <w:r w:rsidR="006A48BB" w:rsidRPr="006A48BB">
              <w:rPr>
                <w:rFonts w:ascii="Geomanist Light" w:hAnsi="Geomanist Light" w:cs="Arial"/>
                <w:bCs/>
                <w:color w:val="000000" w:themeColor="text1"/>
                <w:szCs w:val="24"/>
                <w:lang w:eastAsia="es-ES_tradnl"/>
              </w:rPr>
              <w:t>SUBCONTRATACIÓN – Definición</w:t>
            </w:r>
            <w:r w:rsidR="006A48BB">
              <w:rPr>
                <w:rFonts w:ascii="Geomanist Light" w:hAnsi="Geomanist Light" w:cs="Arial"/>
                <w:bCs/>
                <w:color w:val="000000" w:themeColor="text1"/>
                <w:szCs w:val="24"/>
                <w:lang w:eastAsia="es-ES_tradnl"/>
              </w:rPr>
              <w:t xml:space="preserve"> /</w:t>
            </w:r>
            <w:r w:rsidR="006A48BB" w:rsidRPr="006A48BB">
              <w:rPr>
                <w:rFonts w:ascii="Geomanist Light" w:hAnsi="Geomanist Light" w:cs="Arial"/>
                <w:bCs/>
                <w:color w:val="000000" w:themeColor="text1"/>
                <w:szCs w:val="24"/>
                <w:lang w:eastAsia="es-ES_tradnl"/>
              </w:rPr>
              <w:t xml:space="preserve"> </w:t>
            </w:r>
            <w:r w:rsidRPr="00F01DE3">
              <w:rPr>
                <w:rFonts w:ascii="Geomanist Light" w:hAnsi="Geomanist Light" w:cs="Arial"/>
                <w:bCs/>
                <w:color w:val="000000" w:themeColor="text1"/>
                <w:szCs w:val="24"/>
                <w:lang w:val="es-MX" w:eastAsia="es-ES_tradnl"/>
              </w:rPr>
              <w:t>SUBCONTRATACIÓN – Contratos interadministrativos – Limitaciones</w:t>
            </w:r>
            <w:r w:rsidRPr="00F01DE3">
              <w:rPr>
                <w:rFonts w:ascii="Geomanist Light" w:hAnsi="Geomanist Light" w:cs="Arial"/>
                <w:b/>
                <w:bCs/>
                <w:color w:val="000000" w:themeColor="text1"/>
                <w:szCs w:val="24"/>
                <w:lang w:val="es-MX" w:eastAsia="es-ES_tradnl"/>
              </w:rPr>
              <w:t xml:space="preserve"> </w:t>
            </w:r>
            <w:r w:rsidR="006A48BB" w:rsidRPr="006A48BB">
              <w:rPr>
                <w:rFonts w:ascii="Geomanist Light" w:hAnsi="Geomanist Light" w:cs="Arial"/>
                <w:color w:val="000000" w:themeColor="text1"/>
                <w:szCs w:val="24"/>
                <w:lang w:val="es-MX" w:eastAsia="es-ES_tradnl"/>
              </w:rPr>
              <w:t>/ SUBCONTRATACIÓN – Prohibición – Contrato principal – Interpretación</w:t>
            </w:r>
          </w:p>
          <w:p w14:paraId="5F389CAF" w14:textId="053BAA65" w:rsidR="004F0538" w:rsidRPr="00FB186E" w:rsidRDefault="004F0538" w:rsidP="004F0538">
            <w:pPr>
              <w:tabs>
                <w:tab w:val="left" w:pos="6551"/>
              </w:tabs>
              <w:spacing w:after="0" w:line="240" w:lineRule="auto"/>
              <w:jc w:val="both"/>
              <w:rPr>
                <w:rFonts w:ascii="Geomanist Light" w:hAnsi="Geomanist Light" w:cs="Arial"/>
                <w:b/>
                <w:color w:val="000000" w:themeColor="text1"/>
                <w:lang w:val="es-ES_tradnl"/>
              </w:rPr>
            </w:pPr>
          </w:p>
        </w:tc>
      </w:tr>
      <w:tr w:rsidR="00B95C30" w:rsidRPr="00D56828" w14:paraId="27CD52AB" w14:textId="77777777" w:rsidTr="00D15356">
        <w:tc>
          <w:tcPr>
            <w:tcW w:w="2689" w:type="dxa"/>
          </w:tcPr>
          <w:p w14:paraId="37E195A1" w14:textId="017D9507" w:rsidR="00B95C30" w:rsidRPr="00FB186E" w:rsidRDefault="00B95C30" w:rsidP="006A3704">
            <w:pPr>
              <w:spacing w:after="0" w:line="240" w:lineRule="auto"/>
              <w:jc w:val="both"/>
              <w:rPr>
                <w:rFonts w:ascii="Geomanist Light" w:hAnsi="Geomanist Light" w:cs="Arial"/>
                <w:b/>
                <w:color w:val="000000" w:themeColor="text1"/>
                <w:szCs w:val="24"/>
                <w:lang w:val="es-ES_tradnl" w:eastAsia="es-ES_tradnl"/>
              </w:rPr>
            </w:pPr>
            <w:r w:rsidRPr="00FB186E">
              <w:rPr>
                <w:rFonts w:ascii="Geomanist Light" w:hAnsi="Geomanist Light" w:cs="Arial"/>
                <w:b/>
                <w:color w:val="000000" w:themeColor="text1"/>
                <w:szCs w:val="24"/>
                <w:lang w:val="es-ES_tradnl" w:eastAsia="es-ES_tradnl"/>
              </w:rPr>
              <w:t>Radicación:</w:t>
            </w:r>
            <w:r w:rsidR="005B1504" w:rsidRPr="00FB186E">
              <w:rPr>
                <w:rFonts w:ascii="Geomanist Light" w:hAnsi="Geomanist Light" w:cs="Arial"/>
                <w:b/>
                <w:color w:val="000000" w:themeColor="text1"/>
                <w:szCs w:val="24"/>
                <w:lang w:val="es-ES_tradnl" w:eastAsia="es-ES_tradnl"/>
              </w:rPr>
              <w:t xml:space="preserve">               </w:t>
            </w:r>
          </w:p>
        </w:tc>
        <w:tc>
          <w:tcPr>
            <w:tcW w:w="6237" w:type="dxa"/>
          </w:tcPr>
          <w:p w14:paraId="09088B1B" w14:textId="279262F9" w:rsidR="00B95C30" w:rsidRPr="00FB186E" w:rsidRDefault="00B95C30" w:rsidP="006A3704">
            <w:pPr>
              <w:spacing w:after="0" w:line="240" w:lineRule="auto"/>
              <w:jc w:val="both"/>
              <w:rPr>
                <w:rFonts w:ascii="Geomanist Light" w:hAnsi="Geomanist Light" w:cs="Arial"/>
                <w:bCs/>
                <w:color w:val="000000" w:themeColor="text1"/>
                <w:szCs w:val="24"/>
                <w:lang w:val="es-ES_tradnl" w:eastAsia="es-ES_tradnl"/>
              </w:rPr>
            </w:pPr>
            <w:r w:rsidRPr="00FB186E">
              <w:rPr>
                <w:rFonts w:ascii="Geomanist Light" w:hAnsi="Geomanist Light" w:cs="Arial"/>
                <w:bCs/>
                <w:color w:val="000000" w:themeColor="text1"/>
                <w:szCs w:val="24"/>
                <w:lang w:val="es-ES_tradnl" w:eastAsia="es-ES_tradnl"/>
              </w:rPr>
              <w:t>Respuesta a consulta</w:t>
            </w:r>
            <w:r w:rsidR="00F01DE3">
              <w:rPr>
                <w:rFonts w:ascii="Geomanist Light" w:hAnsi="Geomanist Light" w:cs="Arial"/>
                <w:bCs/>
                <w:color w:val="000000" w:themeColor="text1"/>
                <w:szCs w:val="24"/>
                <w:lang w:val="es-ES_tradnl" w:eastAsia="es-ES_tradnl"/>
              </w:rPr>
              <w:t>s</w:t>
            </w:r>
            <w:r w:rsidR="000D0CC7" w:rsidRPr="00FB186E">
              <w:rPr>
                <w:rFonts w:ascii="Geomanist Light" w:hAnsi="Geomanist Light" w:cs="Arial"/>
                <w:bCs/>
                <w:color w:val="000000" w:themeColor="text1"/>
                <w:szCs w:val="24"/>
                <w:lang w:val="es-ES_tradnl" w:eastAsia="es-ES_tradnl"/>
              </w:rPr>
              <w:t xml:space="preserve"> </w:t>
            </w:r>
            <w:r w:rsidR="003E4AA1" w:rsidRPr="00F01DE3">
              <w:rPr>
                <w:rFonts w:ascii="Geomanist Light" w:hAnsi="Geomanist Light" w:cs="Arial"/>
                <w:bCs/>
                <w:color w:val="000000" w:themeColor="text1"/>
                <w:szCs w:val="24"/>
                <w:lang w:val="es-ES_tradnl" w:eastAsia="es-ES_tradnl"/>
              </w:rPr>
              <w:t>P20220912009173</w:t>
            </w:r>
            <w:r w:rsidR="003E4AA1">
              <w:rPr>
                <w:rFonts w:ascii="Geomanist Light" w:hAnsi="Geomanist Light" w:cs="Arial"/>
                <w:bCs/>
                <w:color w:val="000000" w:themeColor="text1"/>
                <w:szCs w:val="24"/>
                <w:lang w:val="es-ES_tradnl" w:eastAsia="es-ES_tradnl"/>
              </w:rPr>
              <w:t xml:space="preserve"> y </w:t>
            </w:r>
            <w:r w:rsidR="00397A9C" w:rsidRPr="00397A9C">
              <w:rPr>
                <w:rFonts w:ascii="Geomanist Light" w:hAnsi="Geomanist Light" w:cs="Arial"/>
                <w:bCs/>
                <w:color w:val="000000" w:themeColor="text1"/>
                <w:szCs w:val="24"/>
                <w:lang w:val="es-ES_tradnl" w:eastAsia="es-ES_tradnl"/>
              </w:rPr>
              <w:t>P20220927009680</w:t>
            </w:r>
            <w:r w:rsidR="00F01DE3">
              <w:rPr>
                <w:rFonts w:ascii="Geomanist Light" w:hAnsi="Geomanist Light" w:cs="Arial"/>
                <w:bCs/>
                <w:color w:val="000000" w:themeColor="text1"/>
                <w:szCs w:val="24"/>
                <w:lang w:val="es-ES_tradnl" w:eastAsia="es-ES_tradnl"/>
              </w:rPr>
              <w:t xml:space="preserve"> </w:t>
            </w:r>
            <w:r w:rsidR="00C91131">
              <w:rPr>
                <w:rFonts w:ascii="Geomanist Light" w:hAnsi="Geomanist Light" w:cs="Arial"/>
                <w:bCs/>
                <w:color w:val="000000" w:themeColor="text1"/>
                <w:szCs w:val="24"/>
                <w:lang w:val="es-ES_tradnl" w:eastAsia="es-ES_tradnl"/>
              </w:rPr>
              <w:t>(A</w:t>
            </w:r>
            <w:r w:rsidR="00F01DE3">
              <w:rPr>
                <w:rFonts w:ascii="Geomanist Light" w:hAnsi="Geomanist Light" w:cs="Arial"/>
                <w:bCs/>
                <w:color w:val="000000" w:themeColor="text1"/>
                <w:szCs w:val="24"/>
                <w:lang w:val="es-ES_tradnl" w:eastAsia="es-ES_tradnl"/>
              </w:rPr>
              <w:t>cumuladas</w:t>
            </w:r>
            <w:r w:rsidR="00AA5196">
              <w:rPr>
                <w:rFonts w:ascii="Geomanist Light" w:hAnsi="Geomanist Light" w:cs="Arial"/>
                <w:bCs/>
                <w:color w:val="000000" w:themeColor="text1"/>
                <w:szCs w:val="24"/>
                <w:lang w:val="es-ES_tradnl" w:eastAsia="es-ES_tradnl"/>
              </w:rPr>
              <w:t>)</w:t>
            </w:r>
            <w:r w:rsidR="00F01DE3">
              <w:rPr>
                <w:rFonts w:ascii="Geomanist Light" w:hAnsi="Geomanist Light" w:cs="Arial"/>
                <w:bCs/>
                <w:color w:val="000000" w:themeColor="text1"/>
                <w:szCs w:val="24"/>
                <w:lang w:val="es-ES_tradnl" w:eastAsia="es-ES_tradnl"/>
              </w:rPr>
              <w:t xml:space="preserve"> </w:t>
            </w:r>
          </w:p>
        </w:tc>
      </w:tr>
    </w:tbl>
    <w:p w14:paraId="1DAF8FE2" w14:textId="38B7F05A" w:rsidR="006A3704" w:rsidRDefault="006A3704" w:rsidP="00B7240D">
      <w:pPr>
        <w:spacing w:after="0" w:line="274" w:lineRule="auto"/>
        <w:jc w:val="both"/>
        <w:rPr>
          <w:rFonts w:ascii="Geomanist Light" w:hAnsi="Geomanist Light" w:cs="Arial"/>
          <w:color w:val="000000" w:themeColor="text1"/>
          <w:lang w:val="es-ES_tradnl"/>
        </w:rPr>
      </w:pPr>
    </w:p>
    <w:p w14:paraId="038C7BAC" w14:textId="77777777" w:rsidR="00EB1F23" w:rsidRPr="00FB186E" w:rsidRDefault="00EB1F23" w:rsidP="00B7240D">
      <w:pPr>
        <w:spacing w:after="0" w:line="274" w:lineRule="auto"/>
        <w:jc w:val="both"/>
        <w:rPr>
          <w:rFonts w:ascii="Geomanist Light" w:hAnsi="Geomanist Light" w:cs="Arial"/>
          <w:color w:val="000000" w:themeColor="text1"/>
          <w:lang w:val="es-ES_tradnl"/>
        </w:rPr>
      </w:pPr>
    </w:p>
    <w:p w14:paraId="1CF4AEA0" w14:textId="085B2083" w:rsidR="003C3339" w:rsidRPr="00FB186E" w:rsidRDefault="003C3339" w:rsidP="00B7240D">
      <w:pPr>
        <w:spacing w:after="0" w:line="274" w:lineRule="auto"/>
        <w:jc w:val="both"/>
        <w:rPr>
          <w:rFonts w:ascii="Geomanist Light" w:hAnsi="Geomanist Light" w:cs="Arial"/>
          <w:color w:val="000000" w:themeColor="text1"/>
          <w:lang w:val="es-ES_tradnl"/>
        </w:rPr>
      </w:pPr>
      <w:r w:rsidRPr="00FB186E">
        <w:rPr>
          <w:rFonts w:ascii="Geomanist Light" w:hAnsi="Geomanist Light" w:cs="Arial"/>
          <w:color w:val="000000" w:themeColor="text1"/>
          <w:lang w:val="es-ES_tradnl"/>
        </w:rPr>
        <w:t>Estimad</w:t>
      </w:r>
      <w:r w:rsidR="00397A9C">
        <w:rPr>
          <w:rFonts w:ascii="Geomanist Light" w:hAnsi="Geomanist Light" w:cs="Arial"/>
          <w:color w:val="000000" w:themeColor="text1"/>
          <w:lang w:val="es-ES_tradnl"/>
        </w:rPr>
        <w:t>a</w:t>
      </w:r>
      <w:r w:rsidRPr="00FB186E">
        <w:rPr>
          <w:rFonts w:ascii="Geomanist Light" w:hAnsi="Geomanist Light" w:cs="Arial"/>
          <w:color w:val="000000" w:themeColor="text1"/>
          <w:lang w:val="es-ES_tradnl"/>
        </w:rPr>
        <w:t xml:space="preserve"> señor</w:t>
      </w:r>
      <w:r w:rsidR="00397A9C">
        <w:rPr>
          <w:rFonts w:ascii="Geomanist Light" w:hAnsi="Geomanist Light" w:cs="Arial"/>
          <w:color w:val="000000" w:themeColor="text1"/>
          <w:lang w:val="es-ES_tradnl"/>
        </w:rPr>
        <w:t>a</w:t>
      </w:r>
      <w:r w:rsidR="00DA371B" w:rsidRPr="00FB186E">
        <w:rPr>
          <w:rFonts w:ascii="Geomanist Light" w:hAnsi="Geomanist Light" w:cs="Arial"/>
          <w:color w:val="000000" w:themeColor="text1"/>
          <w:lang w:val="es-ES_tradnl"/>
        </w:rPr>
        <w:t xml:space="preserve"> </w:t>
      </w:r>
      <w:r w:rsidR="00397A9C">
        <w:rPr>
          <w:rFonts w:ascii="Geomanist Light" w:hAnsi="Geomanist Light" w:cs="Arial"/>
          <w:color w:val="000000" w:themeColor="text1"/>
          <w:lang w:val="es-ES_tradnl"/>
        </w:rPr>
        <w:t>Riátiva</w:t>
      </w:r>
      <w:r w:rsidR="008C3FFC" w:rsidRPr="00FB186E">
        <w:rPr>
          <w:rFonts w:ascii="Geomanist Light" w:hAnsi="Geomanist Light" w:cs="Arial"/>
          <w:color w:val="000000" w:themeColor="text1"/>
          <w:lang w:val="es-ES_tradnl"/>
        </w:rPr>
        <w:t xml:space="preserve">: </w:t>
      </w:r>
    </w:p>
    <w:p w14:paraId="1EAE5543" w14:textId="37990AD8" w:rsidR="00DD5B04" w:rsidRPr="00FB186E" w:rsidRDefault="00DD5B04" w:rsidP="00B7240D">
      <w:pPr>
        <w:spacing w:after="0" w:line="274" w:lineRule="auto"/>
        <w:jc w:val="both"/>
        <w:rPr>
          <w:rFonts w:ascii="Geomanist Light" w:hAnsi="Geomanist Light" w:cs="Arial"/>
          <w:color w:val="000000" w:themeColor="text1"/>
          <w:lang w:val="es-ES_tradnl"/>
        </w:rPr>
      </w:pPr>
    </w:p>
    <w:p w14:paraId="2109B2D3" w14:textId="53788BCE" w:rsidR="00DD5B04" w:rsidRPr="00FB186E" w:rsidRDefault="00DD5B04" w:rsidP="00B7240D">
      <w:pPr>
        <w:spacing w:after="0" w:line="274" w:lineRule="auto"/>
        <w:jc w:val="both"/>
        <w:rPr>
          <w:rFonts w:ascii="Geomanist Light" w:hAnsi="Geomanist Light" w:cs="Arial"/>
          <w:color w:val="000000" w:themeColor="text1"/>
          <w:lang w:val="es-ES_tradnl"/>
        </w:rPr>
      </w:pPr>
      <w:r w:rsidRPr="00FB186E">
        <w:rPr>
          <w:rFonts w:ascii="Geomanist Light" w:hAnsi="Geomanist Light" w:cs="Arial"/>
          <w:color w:val="000000" w:themeColor="text1"/>
          <w:lang w:val="es-ES_tradnl"/>
        </w:rPr>
        <w:t>En ejercicio de la competencia otorgada por el numeral 8 del artículo 11 y el numeral 5 del artículo 3 del Decreto Ley 4170 de 2011,</w:t>
      </w:r>
      <w:r w:rsidR="00B24D49" w:rsidRPr="00FB186E">
        <w:rPr>
          <w:rFonts w:ascii="Geomanist Light" w:eastAsia="Arial MT" w:hAnsi="Geomanist Light" w:cs="Arial MT"/>
          <w:lang w:val="es-ES"/>
        </w:rPr>
        <w:t xml:space="preserve"> </w:t>
      </w:r>
      <w:r w:rsidRPr="00FB186E">
        <w:rPr>
          <w:rFonts w:ascii="Geomanist Light" w:hAnsi="Geomanist Light" w:cs="Arial"/>
          <w:color w:val="000000" w:themeColor="text1"/>
          <w:lang w:val="es-ES_tradnl"/>
        </w:rPr>
        <w:t xml:space="preserve">la Agencia Nacional de Contratación Pública </w:t>
      </w:r>
      <w:r w:rsidR="00C31846" w:rsidRPr="00FB186E">
        <w:rPr>
          <w:rFonts w:ascii="Geomanist Light" w:hAnsi="Geomanist Light" w:cs="Arial"/>
          <w:color w:val="000000" w:themeColor="text1"/>
          <w:lang w:val="es-ES_tradnl"/>
        </w:rPr>
        <w:t>–</w:t>
      </w:r>
      <w:r w:rsidRPr="00FB186E">
        <w:rPr>
          <w:rFonts w:ascii="Geomanist Light" w:hAnsi="Geomanist Light" w:cs="Arial"/>
          <w:color w:val="000000" w:themeColor="text1"/>
          <w:lang w:val="es-ES_tradnl"/>
        </w:rPr>
        <w:t xml:space="preserve"> Colombia Compra Eficiente</w:t>
      </w:r>
      <w:r w:rsidR="00CE69CC" w:rsidRPr="00FB186E">
        <w:rPr>
          <w:rFonts w:ascii="Geomanist Light" w:hAnsi="Geomanist Light" w:cs="Arial"/>
          <w:color w:val="000000" w:themeColor="text1"/>
          <w:lang w:val="es-ES_tradnl"/>
        </w:rPr>
        <w:t xml:space="preserve">, </w:t>
      </w:r>
      <w:r w:rsidRPr="00FB186E">
        <w:rPr>
          <w:rFonts w:ascii="Geomanist Light" w:hAnsi="Geomanist Light" w:cs="Arial"/>
          <w:color w:val="000000" w:themeColor="text1"/>
          <w:lang w:val="es-ES_tradnl"/>
        </w:rPr>
        <w:t xml:space="preserve">responde </w:t>
      </w:r>
      <w:r w:rsidR="00F14618" w:rsidRPr="00FB186E">
        <w:rPr>
          <w:rFonts w:ascii="Geomanist Light" w:hAnsi="Geomanist Light" w:cs="Arial"/>
          <w:color w:val="000000" w:themeColor="text1"/>
          <w:lang w:val="es-ES_tradnl"/>
        </w:rPr>
        <w:t>su</w:t>
      </w:r>
      <w:r w:rsidR="00F01DE3">
        <w:rPr>
          <w:rFonts w:ascii="Geomanist Light" w:hAnsi="Geomanist Light" w:cs="Arial"/>
          <w:color w:val="000000" w:themeColor="text1"/>
          <w:lang w:val="es-ES_tradnl"/>
        </w:rPr>
        <w:t>s</w:t>
      </w:r>
      <w:r w:rsidR="003902B1" w:rsidRPr="00FB186E">
        <w:rPr>
          <w:rFonts w:ascii="Geomanist Light" w:hAnsi="Geomanist Light" w:cs="Arial"/>
          <w:color w:val="000000" w:themeColor="text1"/>
          <w:lang w:val="es-ES_tradnl"/>
        </w:rPr>
        <w:t xml:space="preserve"> </w:t>
      </w:r>
      <w:r w:rsidR="00F14618" w:rsidRPr="00FB186E">
        <w:rPr>
          <w:rFonts w:ascii="Geomanist Light" w:hAnsi="Geomanist Light" w:cs="Arial"/>
          <w:color w:val="000000" w:themeColor="text1"/>
          <w:lang w:val="es-ES_tradnl"/>
        </w:rPr>
        <w:t>consulta</w:t>
      </w:r>
      <w:r w:rsidR="00F01DE3">
        <w:rPr>
          <w:rFonts w:ascii="Geomanist Light" w:hAnsi="Geomanist Light" w:cs="Arial"/>
          <w:color w:val="000000" w:themeColor="text1"/>
          <w:lang w:val="es-ES_tradnl"/>
        </w:rPr>
        <w:t>s</w:t>
      </w:r>
      <w:r w:rsidR="00150A17" w:rsidRPr="00FB186E">
        <w:rPr>
          <w:rFonts w:ascii="Geomanist Light" w:hAnsi="Geomanist Light" w:cs="Arial"/>
          <w:color w:val="000000" w:themeColor="text1"/>
          <w:lang w:val="es-ES_tradnl"/>
        </w:rPr>
        <w:t xml:space="preserve"> </w:t>
      </w:r>
      <w:r w:rsidR="000D0CC7" w:rsidRPr="00FB186E">
        <w:rPr>
          <w:rFonts w:ascii="Geomanist Light" w:hAnsi="Geomanist Light" w:cs="Arial"/>
          <w:color w:val="000000" w:themeColor="text1"/>
          <w:lang w:val="es-ES_tradnl"/>
        </w:rPr>
        <w:t>d</w:t>
      </w:r>
      <w:r w:rsidR="00F14618" w:rsidRPr="00FB186E">
        <w:rPr>
          <w:rFonts w:ascii="Geomanist Light" w:hAnsi="Geomanist Light" w:cs="Arial"/>
          <w:color w:val="000000" w:themeColor="text1"/>
          <w:lang w:val="es-ES_tradnl"/>
        </w:rPr>
        <w:t xml:space="preserve">el </w:t>
      </w:r>
      <w:r w:rsidR="00F01DE3">
        <w:rPr>
          <w:rFonts w:ascii="Geomanist Light" w:hAnsi="Geomanist Light" w:cs="Arial"/>
          <w:color w:val="000000" w:themeColor="text1"/>
          <w:lang w:val="es-ES_tradnl"/>
        </w:rPr>
        <w:t xml:space="preserve">12 y </w:t>
      </w:r>
      <w:r w:rsidR="00397A9C">
        <w:rPr>
          <w:rFonts w:ascii="Geomanist Light" w:hAnsi="Geomanist Light" w:cs="Arial"/>
          <w:color w:val="000000" w:themeColor="text1"/>
          <w:lang w:val="es-ES_tradnl"/>
        </w:rPr>
        <w:t>2</w:t>
      </w:r>
      <w:r w:rsidR="0083383D">
        <w:rPr>
          <w:rFonts w:ascii="Geomanist Light" w:hAnsi="Geomanist Light" w:cs="Arial"/>
          <w:color w:val="000000" w:themeColor="text1"/>
          <w:lang w:val="es-ES_tradnl"/>
        </w:rPr>
        <w:t>6</w:t>
      </w:r>
      <w:r w:rsidR="00150A17" w:rsidRPr="00FB186E">
        <w:rPr>
          <w:rFonts w:ascii="Geomanist Light" w:hAnsi="Geomanist Light" w:cs="Arial"/>
          <w:color w:val="000000" w:themeColor="text1"/>
          <w:lang w:val="es-ES_tradnl"/>
        </w:rPr>
        <w:t xml:space="preserve"> </w:t>
      </w:r>
      <w:r w:rsidR="00F14618" w:rsidRPr="00FB186E">
        <w:rPr>
          <w:rFonts w:ascii="Geomanist Light" w:hAnsi="Geomanist Light" w:cs="Arial"/>
          <w:color w:val="000000" w:themeColor="text1"/>
          <w:lang w:val="es-ES_tradnl"/>
        </w:rPr>
        <w:t xml:space="preserve">de </w:t>
      </w:r>
      <w:r w:rsidR="00DA371B" w:rsidRPr="00FB186E">
        <w:rPr>
          <w:rFonts w:ascii="Geomanist Light" w:hAnsi="Geomanist Light" w:cs="Arial"/>
          <w:color w:val="000000" w:themeColor="text1"/>
          <w:lang w:val="es-ES_tradnl"/>
        </w:rPr>
        <w:t>septiembre</w:t>
      </w:r>
      <w:r w:rsidR="00F14618" w:rsidRPr="00FB186E">
        <w:rPr>
          <w:rFonts w:ascii="Geomanist Light" w:hAnsi="Geomanist Light" w:cs="Arial"/>
          <w:color w:val="000000" w:themeColor="text1"/>
          <w:lang w:val="es-ES_tradnl"/>
        </w:rPr>
        <w:t xml:space="preserve"> de 202</w:t>
      </w:r>
      <w:r w:rsidR="00782354" w:rsidRPr="00FB186E">
        <w:rPr>
          <w:rFonts w:ascii="Geomanist Light" w:hAnsi="Geomanist Light" w:cs="Arial"/>
          <w:color w:val="000000" w:themeColor="text1"/>
          <w:lang w:val="es-ES_tradnl"/>
        </w:rPr>
        <w:t>2</w:t>
      </w:r>
      <w:r w:rsidR="00F14618" w:rsidRPr="00FB186E">
        <w:rPr>
          <w:rFonts w:ascii="Geomanist Light" w:hAnsi="Geomanist Light" w:cs="Arial"/>
          <w:color w:val="000000" w:themeColor="text1"/>
          <w:lang w:val="es-ES_tradnl"/>
        </w:rPr>
        <w:t>.</w:t>
      </w:r>
    </w:p>
    <w:p w14:paraId="0C1E0712" w14:textId="77777777" w:rsidR="00DD5B04" w:rsidRPr="00FB186E" w:rsidRDefault="00DD5B04" w:rsidP="00443945">
      <w:pPr>
        <w:spacing w:after="0" w:line="276" w:lineRule="auto"/>
        <w:jc w:val="both"/>
        <w:rPr>
          <w:rFonts w:ascii="Geomanist Light" w:hAnsi="Geomanist Light" w:cs="Arial"/>
          <w:b/>
          <w:color w:val="000000" w:themeColor="text1"/>
          <w:lang w:val="es-ES_tradnl"/>
        </w:rPr>
      </w:pPr>
    </w:p>
    <w:p w14:paraId="7701FCC7" w14:textId="77777777" w:rsidR="00DD5B04" w:rsidRPr="00FB186E" w:rsidRDefault="00DD5B04" w:rsidP="00DF76A2">
      <w:pPr>
        <w:pStyle w:val="Prrafodelista"/>
        <w:numPr>
          <w:ilvl w:val="0"/>
          <w:numId w:val="8"/>
        </w:numPr>
        <w:tabs>
          <w:tab w:val="left" w:pos="0"/>
          <w:tab w:val="left" w:pos="142"/>
          <w:tab w:val="left" w:pos="284"/>
        </w:tabs>
        <w:spacing w:line="276" w:lineRule="auto"/>
        <w:ind w:left="0" w:firstLine="0"/>
        <w:jc w:val="both"/>
        <w:rPr>
          <w:rFonts w:ascii="Geomanist Light" w:eastAsia="Calibri" w:hAnsi="Geomanist Light" w:cs="Arial"/>
          <w:b/>
          <w:color w:val="000000" w:themeColor="text1"/>
          <w:sz w:val="22"/>
          <w:lang w:val="es-ES_tradnl"/>
        </w:rPr>
      </w:pPr>
      <w:r w:rsidRPr="00FB186E">
        <w:rPr>
          <w:rFonts w:ascii="Geomanist Light" w:eastAsia="Calibri" w:hAnsi="Geomanist Light" w:cs="Arial"/>
          <w:b/>
          <w:color w:val="000000" w:themeColor="text1"/>
          <w:sz w:val="22"/>
          <w:lang w:val="es-ES_tradnl"/>
        </w:rPr>
        <w:t xml:space="preserve">Problema planteado </w:t>
      </w:r>
    </w:p>
    <w:p w14:paraId="224B43D3" w14:textId="23DC0BDF" w:rsidR="00DD5B04" w:rsidRPr="00FB186E" w:rsidRDefault="00DD5B04" w:rsidP="00B7240D">
      <w:pPr>
        <w:tabs>
          <w:tab w:val="left" w:pos="426"/>
        </w:tabs>
        <w:spacing w:after="0" w:line="276" w:lineRule="auto"/>
        <w:jc w:val="both"/>
        <w:rPr>
          <w:rFonts w:ascii="Geomanist Light" w:hAnsi="Geomanist Light" w:cs="Arial"/>
          <w:b/>
          <w:color w:val="000000" w:themeColor="text1"/>
          <w:lang w:val="es-ES_tradnl"/>
        </w:rPr>
      </w:pPr>
    </w:p>
    <w:p w14:paraId="5753A731" w14:textId="77777777" w:rsidR="0083383D" w:rsidRDefault="000D0CC7" w:rsidP="00B7240D">
      <w:pPr>
        <w:spacing w:after="0" w:line="276" w:lineRule="auto"/>
        <w:jc w:val="both"/>
        <w:rPr>
          <w:rFonts w:ascii="Geomanist Light" w:hAnsi="Geomanist Light" w:cs="Arial"/>
          <w:bCs/>
        </w:rPr>
      </w:pPr>
      <w:r w:rsidRPr="00FB186E">
        <w:rPr>
          <w:rFonts w:ascii="Geomanist Light" w:hAnsi="Geomanist Light" w:cs="Arial"/>
          <w:bCs/>
        </w:rPr>
        <w:t xml:space="preserve">Usted realiza la siguiente pregunta: </w:t>
      </w:r>
    </w:p>
    <w:p w14:paraId="5CFF4E25" w14:textId="77777777" w:rsidR="0083383D" w:rsidRDefault="0083383D" w:rsidP="0083383D">
      <w:pPr>
        <w:tabs>
          <w:tab w:val="left" w:pos="8364"/>
        </w:tabs>
        <w:spacing w:after="0" w:line="240" w:lineRule="auto"/>
        <w:ind w:left="709"/>
        <w:jc w:val="both"/>
        <w:rPr>
          <w:rFonts w:ascii="Geomanist Light" w:hAnsi="Geomanist Light" w:cs="Arial"/>
          <w:bCs/>
        </w:rPr>
      </w:pPr>
    </w:p>
    <w:p w14:paraId="2199600C" w14:textId="1C6BF4C6" w:rsidR="0083383D" w:rsidRPr="0030320E" w:rsidRDefault="00DA371B" w:rsidP="00905F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r w:rsidRPr="0030320E">
        <w:rPr>
          <w:rFonts w:ascii="Geomanist Light" w:hAnsi="Geomanist Light" w:cs="Arial"/>
          <w:bCs/>
          <w:color w:val="000000" w:themeColor="text1"/>
          <w:sz w:val="21"/>
          <w:szCs w:val="21"/>
          <w:lang w:val="es-ES_tradnl"/>
        </w:rPr>
        <w:t>«</w:t>
      </w:r>
      <w:r w:rsidR="0083383D" w:rsidRPr="0030320E">
        <w:rPr>
          <w:rFonts w:ascii="Geomanist Light" w:hAnsi="Geomanist Light" w:cs="Arial"/>
          <w:bCs/>
          <w:color w:val="000000" w:themeColor="text1"/>
          <w:sz w:val="21"/>
          <w:szCs w:val="21"/>
          <w:lang w:val="es-ES_tradnl"/>
        </w:rPr>
        <w:t xml:space="preserve">Es nuestro entendimiento que en el marco de un contrato interadministrativo para el Gerenciamiento de un Proyecto de Obra Pública de Infraestructura de Transporte [no incluido en pliegos tipo], el Contrato Principal a que hace referencia el artículo 2, numeral 4, literal c) de la Ley 1150 de 2007 es el Contrato de Obra Pública. El citado artículo dispone: </w:t>
      </w:r>
    </w:p>
    <w:p w14:paraId="14067C29" w14:textId="77777777" w:rsidR="0083383D" w:rsidRPr="0030320E" w:rsidRDefault="0083383D" w:rsidP="00905F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p>
    <w:p w14:paraId="57D5F587" w14:textId="77777777" w:rsidR="0083383D" w:rsidRPr="0030320E" w:rsidRDefault="0083383D" w:rsidP="00905F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r w:rsidRPr="0030320E">
        <w:rPr>
          <w:rFonts w:ascii="Geomanist Light" w:hAnsi="Geomanist Light" w:cs="Arial"/>
          <w:bCs/>
          <w:color w:val="000000" w:themeColor="text1"/>
          <w:sz w:val="21"/>
          <w:szCs w:val="21"/>
          <w:lang w:val="es-ES_tradnl"/>
        </w:rPr>
        <w:lastRenderedPageBreak/>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46392491" w14:textId="77777777" w:rsidR="0083383D" w:rsidRPr="0030320E" w:rsidRDefault="0083383D" w:rsidP="00905F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p>
    <w:p w14:paraId="193CB76E" w14:textId="77777777" w:rsidR="0083383D" w:rsidRPr="0030320E" w:rsidRDefault="0083383D" w:rsidP="00905F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r w:rsidRPr="0030320E">
        <w:rPr>
          <w:rFonts w:ascii="Geomanist Light" w:hAnsi="Geomanist Light" w:cs="Arial"/>
          <w:bCs/>
          <w:color w:val="000000" w:themeColor="text1"/>
          <w:sz w:val="21"/>
          <w:szCs w:val="21"/>
          <w:lang w:val="es-ES_tradnl"/>
        </w:rPr>
        <w:t xml:space="preserve">En este sentido, a los subcontratos a que hace referencia son aquellos derivados del contrato de obra, y es a éstos a los que se aplicaría la prohibición de vinculación de las personas jurídicas y/o naturales que participaron en la elaboración de los estudios que tengan relación directa con el objeto principal, esto es, con el contrato de obra. </w:t>
      </w:r>
    </w:p>
    <w:p w14:paraId="4955A7E4" w14:textId="77777777" w:rsidR="0083383D" w:rsidRPr="0030320E" w:rsidRDefault="0083383D" w:rsidP="00905F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p>
    <w:p w14:paraId="7616A0C1" w14:textId="77777777" w:rsidR="0083383D" w:rsidRPr="0030320E" w:rsidRDefault="0083383D" w:rsidP="00905F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r w:rsidRPr="0030320E">
        <w:rPr>
          <w:rFonts w:ascii="Geomanist Light" w:hAnsi="Geomanist Light" w:cs="Arial"/>
          <w:bCs/>
          <w:color w:val="000000" w:themeColor="text1"/>
          <w:sz w:val="21"/>
          <w:szCs w:val="21"/>
          <w:lang w:val="es-ES_tradnl"/>
        </w:rPr>
        <w:t xml:space="preserve">Teniendo en cuenta que la restricción que dispone la norma trata de “subcontratar” y no de “contratar” , el contrato de consultoría que suscribe el gerente del proyecto para realizar la interventoría del contrato de obra, al tratarse de una contratación y no de una subcontratación, por ser éste un contrato principal y autónomo al contrato de obra, como se indica en la guía para el ejercicio de las funciones de Supervisión e Interventoría de los contratos del Estado, de Colombia Compra Eficiente: </w:t>
      </w:r>
    </w:p>
    <w:p w14:paraId="5D21FE87" w14:textId="77777777" w:rsidR="0083383D" w:rsidRPr="0030320E" w:rsidRDefault="0083383D" w:rsidP="00905F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p>
    <w:p w14:paraId="7C2E68F7" w14:textId="025410C1" w:rsidR="0083383D" w:rsidRPr="0030320E" w:rsidRDefault="0083383D" w:rsidP="00905F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r w:rsidRPr="0030320E">
        <w:rPr>
          <w:rFonts w:ascii="Geomanist Light" w:hAnsi="Geomanist Light" w:cs="Arial"/>
          <w:bCs/>
          <w:color w:val="000000" w:themeColor="text1"/>
          <w:sz w:val="21"/>
          <w:szCs w:val="21"/>
          <w:lang w:val="es-ES_tradnl"/>
        </w:rPr>
        <w:t xml:space="preserve">“El contrato de interventoría es principal y autónomo y aunque el objeto del mismo supone la existencia de otro contrato respecto del cual se va a ejercer la vigilancia, el mismo es independiente de </w:t>
      </w:r>
      <w:r w:rsidR="006A48BB" w:rsidRPr="0030320E">
        <w:rPr>
          <w:rFonts w:ascii="Geomanist Light" w:hAnsi="Geomanist Light" w:cs="Arial"/>
          <w:bCs/>
          <w:color w:val="000000" w:themeColor="text1"/>
          <w:sz w:val="21"/>
          <w:szCs w:val="21"/>
          <w:lang w:val="es-ES_tradnl"/>
        </w:rPr>
        <w:t>este</w:t>
      </w:r>
      <w:r w:rsidRPr="0030320E">
        <w:rPr>
          <w:rFonts w:ascii="Geomanist Light" w:hAnsi="Geomanist Light" w:cs="Arial"/>
          <w:bCs/>
          <w:color w:val="000000" w:themeColor="text1"/>
          <w:sz w:val="21"/>
          <w:szCs w:val="21"/>
          <w:lang w:val="es-ES_tradnl"/>
        </w:rPr>
        <w:t xml:space="preserve"> último y por lo tanto, su existencia no depende de la existencia del contrato vigilado”. Subrayas y negrilla fuera del texto original. </w:t>
      </w:r>
    </w:p>
    <w:p w14:paraId="1B7DC976" w14:textId="77777777" w:rsidR="0083383D" w:rsidRPr="0030320E" w:rsidRDefault="0083383D" w:rsidP="00905F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p>
    <w:p w14:paraId="5845D8EE" w14:textId="4A4A38A5" w:rsidR="000D0CC7" w:rsidRPr="0030320E" w:rsidRDefault="0083383D" w:rsidP="00905F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r w:rsidRPr="0030320E">
        <w:rPr>
          <w:rFonts w:ascii="Geomanist Light" w:hAnsi="Geomanist Light" w:cs="Arial"/>
          <w:bCs/>
          <w:color w:val="000000" w:themeColor="text1"/>
          <w:sz w:val="21"/>
          <w:szCs w:val="21"/>
          <w:lang w:val="es-ES_tradnl"/>
        </w:rPr>
        <w:t>Y considerando que las disposiciones que consagran prohibiciones, inhabilidades o restricciones son taxativas, de interpretación restrictiva y se rigen por el principio de tipicidad estricta, a la contratación de la interventoría del contrato de obra, no le es aplicable la prohibición respecto a la vinculación de las personas naturales o jurídicas que participaron en la elaboración de estudios relacionados directamente con el objeto principal. Agradecemos confirmar que nuestro entendimiento es correcto</w:t>
      </w:r>
      <w:r w:rsidR="00DA371B" w:rsidRPr="0030320E">
        <w:rPr>
          <w:rFonts w:ascii="Geomanist Light" w:hAnsi="Geomanist Light" w:cs="Arial"/>
          <w:bCs/>
          <w:color w:val="000000" w:themeColor="text1"/>
          <w:sz w:val="21"/>
          <w:szCs w:val="21"/>
          <w:lang w:val="es-ES_tradnl"/>
        </w:rPr>
        <w:t>».</w:t>
      </w:r>
    </w:p>
    <w:p w14:paraId="3875CC47" w14:textId="77777777" w:rsidR="00DA371B" w:rsidRPr="0083383D" w:rsidRDefault="00DA371B" w:rsidP="0083383D">
      <w:pPr>
        <w:tabs>
          <w:tab w:val="left" w:pos="426"/>
        </w:tabs>
        <w:spacing w:after="0" w:line="276" w:lineRule="auto"/>
        <w:jc w:val="both"/>
        <w:rPr>
          <w:rFonts w:ascii="Geomanist Light" w:hAnsi="Geomanist Light" w:cs="Arial"/>
          <w:bCs/>
          <w:color w:val="000000" w:themeColor="text1"/>
          <w:lang w:val="es-ES_tradnl"/>
        </w:rPr>
      </w:pPr>
    </w:p>
    <w:p w14:paraId="124D2DCA" w14:textId="77777777" w:rsidR="00DD5B04" w:rsidRPr="00FB186E" w:rsidRDefault="00DD5B04" w:rsidP="00DF76A2">
      <w:pPr>
        <w:pStyle w:val="Prrafodelista"/>
        <w:numPr>
          <w:ilvl w:val="0"/>
          <w:numId w:val="8"/>
        </w:numPr>
        <w:tabs>
          <w:tab w:val="left" w:pos="0"/>
          <w:tab w:val="left" w:pos="284"/>
        </w:tabs>
        <w:ind w:left="0" w:firstLine="0"/>
        <w:jc w:val="both"/>
        <w:rPr>
          <w:rFonts w:ascii="Geomanist Light" w:eastAsia="Calibri" w:hAnsi="Geomanist Light" w:cs="Arial"/>
          <w:b/>
          <w:color w:val="000000" w:themeColor="text1"/>
          <w:sz w:val="22"/>
          <w:lang w:val="es-ES_tradnl"/>
        </w:rPr>
      </w:pPr>
      <w:r w:rsidRPr="00FB186E">
        <w:rPr>
          <w:rFonts w:ascii="Geomanist Light" w:eastAsia="Calibri" w:hAnsi="Geomanist Light" w:cs="Arial"/>
          <w:b/>
          <w:color w:val="000000" w:themeColor="text1"/>
          <w:sz w:val="22"/>
          <w:lang w:val="es-ES_tradnl"/>
        </w:rPr>
        <w:t>Consideraciones</w:t>
      </w:r>
    </w:p>
    <w:p w14:paraId="395997FF" w14:textId="77777777" w:rsidR="00621981" w:rsidRPr="00FB186E" w:rsidRDefault="00621981" w:rsidP="00B7240D">
      <w:pPr>
        <w:spacing w:after="0" w:line="276" w:lineRule="auto"/>
        <w:jc w:val="both"/>
        <w:rPr>
          <w:rFonts w:ascii="Geomanist Light" w:hAnsi="Geomanist Light" w:cs="Arial"/>
          <w:color w:val="000000" w:themeColor="text1"/>
        </w:rPr>
      </w:pPr>
    </w:p>
    <w:p w14:paraId="4F8E7AAB" w14:textId="77777777" w:rsidR="006E7824" w:rsidRPr="00FB186E" w:rsidRDefault="006E7824" w:rsidP="00B7240D">
      <w:pPr>
        <w:spacing w:after="0" w:line="276" w:lineRule="auto"/>
        <w:jc w:val="both"/>
        <w:rPr>
          <w:rFonts w:ascii="Geomanist Light" w:hAnsi="Geomanist Light" w:cs="Arial"/>
          <w:lang w:val="es-ES"/>
        </w:rPr>
      </w:pPr>
      <w:r w:rsidRPr="00FB186E">
        <w:rPr>
          <w:rFonts w:ascii="Geomanist Light" w:hAnsi="Geomanist Light" w:cs="Arial"/>
          <w:bCs/>
        </w:rPr>
        <w:t xml:space="preserve">En ejercicio de las competencias establecidas en los artículos 3.5 y 11.8 del Decreto 4170 de 2011, la Agencia Nacional de Contratación Pública – Colombia Compra Eficiente resuelve consultas sobre </w:t>
      </w:r>
      <w:r w:rsidRPr="00FB186E">
        <w:rPr>
          <w:rFonts w:ascii="Geomanist Light" w:hAnsi="Geomanist Light" w:cs="Arial"/>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FB186E">
        <w:rPr>
          <w:rFonts w:ascii="Geomanist Light" w:hAnsi="Geomanist Light" w:cs="Arial"/>
          <w:bCs/>
        </w:rPr>
        <w:t xml:space="preserve"> de todos los partícipes de la contratación estatal ni para interpretar el alcance de cualquier norma vigente en el ordenamiento jurídico.</w:t>
      </w:r>
    </w:p>
    <w:p w14:paraId="2E035848" w14:textId="068E5A7F" w:rsidR="00D56828" w:rsidRPr="00FB186E" w:rsidRDefault="006E7824" w:rsidP="00717D81">
      <w:pPr>
        <w:spacing w:before="120" w:after="0" w:line="276" w:lineRule="auto"/>
        <w:ind w:firstLine="708"/>
        <w:jc w:val="both"/>
        <w:rPr>
          <w:rFonts w:ascii="Geomanist Light" w:hAnsi="Geomanist Light" w:cs="Arial"/>
          <w:lang w:val="es-ES"/>
        </w:rPr>
      </w:pPr>
      <w:r w:rsidRPr="00FB186E">
        <w:rPr>
          <w:rFonts w:ascii="Geomanist Light" w:hAnsi="Geomanist Light" w:cs="Arial"/>
          <w:lang w:val="es-ES"/>
        </w:rPr>
        <w:lastRenderedPageBreak/>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FB186E">
        <w:rPr>
          <w:rFonts w:ascii="Geomanist Light" w:hAnsi="Geomanist Light" w:cs="Arial"/>
          <w:vertAlign w:val="superscript"/>
          <w:lang w:val="es-ES"/>
        </w:rPr>
        <w:footnoteReference w:id="2"/>
      </w:r>
      <w:r w:rsidRPr="00FB186E">
        <w:rPr>
          <w:rFonts w:ascii="Geomanist Light" w:hAnsi="Geomanist Light" w:cs="Arial"/>
          <w:lang w:val="es-ES"/>
        </w:rPr>
        <w:t xml:space="preserve">. Esta competencia de interpretación de normas generales, por definición, no puede extenderse a la resolución de controversias, brindar asesorías sobre casos puntuales ni interpretar normas ajenas al sistema de compras públicas. </w:t>
      </w:r>
    </w:p>
    <w:p w14:paraId="6A45BEF0" w14:textId="5F51EAB8" w:rsidR="0083383D" w:rsidRDefault="006E7824" w:rsidP="0083383D">
      <w:pPr>
        <w:spacing w:before="120" w:after="0" w:line="276" w:lineRule="auto"/>
        <w:ind w:firstLine="708"/>
        <w:jc w:val="both"/>
        <w:rPr>
          <w:rFonts w:ascii="Geomanist Light" w:hAnsi="Geomanist Light" w:cs="Arial"/>
          <w:bCs/>
          <w:color w:val="000000" w:themeColor="text1"/>
        </w:rPr>
      </w:pPr>
      <w:r w:rsidRPr="00FB186E">
        <w:rPr>
          <w:rFonts w:ascii="Geomanist Light" w:hAnsi="Geomanist Light" w:cs="Arial"/>
          <w:lang w:val="es-ES"/>
        </w:rPr>
        <w:t xml:space="preserve">En este contexto, </w:t>
      </w:r>
      <w:r w:rsidR="00A71E4C" w:rsidRPr="00FB186E">
        <w:rPr>
          <w:rFonts w:ascii="Geomanist Light" w:hAnsi="Geomanist Light" w:cs="Arial"/>
          <w:lang w:val="es-ES"/>
        </w:rPr>
        <w:t>l</w:t>
      </w:r>
      <w:r w:rsidR="00832FDC" w:rsidRPr="00FB186E">
        <w:rPr>
          <w:rFonts w:ascii="Geomanist Light" w:hAnsi="Geomanist Light" w:cs="Arial"/>
          <w:color w:val="000000" w:themeColor="text1"/>
          <w:lang w:val="es-ES"/>
        </w:rPr>
        <w:t xml:space="preserve">a Subdirección –dentro de los límites de sus atribuciones, esto es, </w:t>
      </w:r>
      <w:bookmarkStart w:id="2" w:name="_Hlk61025408"/>
      <w:r w:rsidR="00832FDC" w:rsidRPr="00FB186E">
        <w:rPr>
          <w:rFonts w:ascii="Geomanist Light" w:hAnsi="Geomanist Light" w:cs="Arial"/>
          <w:color w:val="000000" w:themeColor="text1"/>
          <w:lang w:val="es-ES"/>
        </w:rPr>
        <w:t>haciendo abstracción del caso particular expuesto por el peticionario</w:t>
      </w:r>
      <w:bookmarkEnd w:id="2"/>
      <w:r w:rsidR="00832FDC" w:rsidRPr="00FB186E">
        <w:rPr>
          <w:rFonts w:ascii="Geomanist Light" w:hAnsi="Geomanist Light" w:cs="Arial"/>
          <w:color w:val="000000" w:themeColor="text1"/>
          <w:lang w:val="es-ES"/>
        </w:rPr>
        <w:t>– resolverá la consulta conforme a las normas generales en materia de contratación estatal</w:t>
      </w:r>
      <w:r w:rsidR="00BF3356" w:rsidRPr="00FB186E">
        <w:rPr>
          <w:rFonts w:ascii="Geomanist Light" w:hAnsi="Geomanist Light" w:cs="Arial"/>
          <w:bCs/>
          <w:color w:val="000000" w:themeColor="text1"/>
          <w:lang w:val="es-ES"/>
        </w:rPr>
        <w:t xml:space="preserve">. </w:t>
      </w:r>
      <w:r w:rsidRPr="00FB186E">
        <w:rPr>
          <w:rFonts w:ascii="Geomanist Light" w:hAnsi="Geomanist Light" w:cs="Arial"/>
          <w:bCs/>
          <w:color w:val="000000" w:themeColor="text1"/>
        </w:rPr>
        <w:t xml:space="preserve">Para estos efectos, </w:t>
      </w:r>
      <w:r w:rsidRPr="00FB186E">
        <w:rPr>
          <w:rFonts w:ascii="Geomanist Light" w:hAnsi="Geomanist Light" w:cs="Arial"/>
          <w:bCs/>
          <w:color w:val="000000" w:themeColor="text1"/>
          <w:lang w:val="es-ES"/>
        </w:rPr>
        <w:t>se analizarán l</w:t>
      </w:r>
      <w:r w:rsidR="00D4017C" w:rsidRPr="00FB186E">
        <w:rPr>
          <w:rFonts w:ascii="Geomanist Light" w:hAnsi="Geomanist Light" w:cs="Arial"/>
          <w:bCs/>
          <w:color w:val="000000" w:themeColor="text1"/>
          <w:lang w:val="es-ES"/>
        </w:rPr>
        <w:t xml:space="preserve">os </w:t>
      </w:r>
      <w:r w:rsidR="0083383D">
        <w:rPr>
          <w:rFonts w:ascii="Geomanist Light" w:hAnsi="Geomanist Light" w:cs="Arial"/>
          <w:bCs/>
          <w:color w:val="000000" w:themeColor="text1"/>
          <w:lang w:val="es-ES"/>
        </w:rPr>
        <w:t>siguientes temas:</w:t>
      </w:r>
      <w:r w:rsidR="0083383D" w:rsidRPr="0083383D">
        <w:rPr>
          <w:rFonts w:ascii="Geomanist Light" w:hAnsi="Geomanist Light" w:cs="Arial"/>
          <w:bCs/>
          <w:color w:val="000000" w:themeColor="text1"/>
        </w:rPr>
        <w:t xml:space="preserve"> i) contratos interadministrativos: concepto y régimen jurídico aplicable</w:t>
      </w:r>
      <w:r w:rsidR="0083383D">
        <w:rPr>
          <w:rFonts w:ascii="Geomanist Light" w:hAnsi="Geomanist Light" w:cs="Arial"/>
          <w:bCs/>
          <w:color w:val="000000" w:themeColor="text1"/>
        </w:rPr>
        <w:t xml:space="preserve"> y</w:t>
      </w:r>
      <w:r w:rsidR="0083383D" w:rsidRPr="0083383D">
        <w:rPr>
          <w:rFonts w:ascii="Geomanist Light" w:hAnsi="Geomanist Light" w:cs="Arial"/>
          <w:bCs/>
          <w:color w:val="000000" w:themeColor="text1"/>
        </w:rPr>
        <w:t xml:space="preserve"> </w:t>
      </w:r>
      <w:r w:rsidR="0083383D">
        <w:rPr>
          <w:rFonts w:ascii="Geomanist Light" w:hAnsi="Geomanist Light" w:cs="Arial"/>
          <w:bCs/>
          <w:color w:val="000000" w:themeColor="text1"/>
        </w:rPr>
        <w:t>ii</w:t>
      </w:r>
      <w:r w:rsidR="0083383D" w:rsidRPr="0083383D">
        <w:rPr>
          <w:rFonts w:ascii="Geomanist Light" w:hAnsi="Geomanist Light" w:cs="Arial"/>
          <w:bCs/>
          <w:color w:val="000000" w:themeColor="text1"/>
        </w:rPr>
        <w:t>) la subcontratación en los contratos interadministrativos</w:t>
      </w:r>
      <w:r w:rsidR="00F01DE3">
        <w:rPr>
          <w:rFonts w:ascii="Geomanist Light" w:hAnsi="Geomanist Light" w:cs="Arial"/>
          <w:bCs/>
          <w:color w:val="000000" w:themeColor="text1"/>
        </w:rPr>
        <w:t xml:space="preserve"> y sus limitaciones.</w:t>
      </w:r>
    </w:p>
    <w:p w14:paraId="64A6865C" w14:textId="78B15168" w:rsidR="00F01DE3" w:rsidRPr="0083383D" w:rsidRDefault="00F01DE3" w:rsidP="00F01DE3">
      <w:pPr>
        <w:spacing w:before="120" w:after="0" w:line="276" w:lineRule="auto"/>
        <w:ind w:firstLine="708"/>
        <w:jc w:val="both"/>
        <w:rPr>
          <w:rFonts w:ascii="Geomanist Light" w:hAnsi="Geomanist Light" w:cs="Arial"/>
          <w:bCs/>
          <w:color w:val="000000" w:themeColor="text1"/>
        </w:rPr>
      </w:pPr>
      <w:r w:rsidRPr="00F01DE3">
        <w:rPr>
          <w:rFonts w:ascii="Geomanist Light" w:hAnsi="Geomanist Light" w:cs="Arial"/>
          <w:bCs/>
          <w:color w:val="000000" w:themeColor="text1"/>
          <w:lang w:val="es-MX"/>
        </w:rPr>
        <w:t>La Agencia Nacional de Contratación Pública ― Colombia Compra Eficiente se ha pronunciado sobre el concepto y régimen jurídico aplicable a los contratos interadministrativos, en los Conceptos:</w:t>
      </w:r>
      <w:r w:rsidRPr="00F01DE3">
        <w:rPr>
          <w:rFonts w:ascii="Geomanist Light" w:hAnsi="Geomanist Light" w:cs="Arial"/>
          <w:bCs/>
          <w:color w:val="000000" w:themeColor="text1"/>
        </w:rPr>
        <w:t xml:space="preserve"> 4201913000004536 del 27 de julio de 2019, C−023 del 3 de febrero de 2020, C−702 del 11 de diciembre de 2020, C-097 de 23 de marzo de 202, C-350 del 16 de julio de 2021, C-352 del 27 de julio de 2021, C-508 del 20 de septiembre de 2021, C-662 del 1 de diciembre de 2021</w:t>
      </w:r>
      <w:r>
        <w:rPr>
          <w:rFonts w:ascii="Geomanist Light" w:hAnsi="Geomanist Light" w:cs="Arial"/>
          <w:bCs/>
          <w:color w:val="000000" w:themeColor="text1"/>
        </w:rPr>
        <w:t xml:space="preserve">, </w:t>
      </w:r>
      <w:r w:rsidRPr="00F01DE3">
        <w:rPr>
          <w:rFonts w:ascii="Geomanist Light" w:hAnsi="Geomanist Light" w:cs="Arial"/>
          <w:bCs/>
          <w:color w:val="000000" w:themeColor="text1"/>
        </w:rPr>
        <w:t xml:space="preserve">entre otros. </w:t>
      </w:r>
      <w:r w:rsidRPr="00F01DE3">
        <w:rPr>
          <w:rFonts w:ascii="Geomanist Light" w:hAnsi="Geomanist Light" w:cs="Arial"/>
          <w:bCs/>
          <w:color w:val="000000" w:themeColor="text1"/>
          <w:lang w:val="es-ES_tradnl"/>
        </w:rPr>
        <w:t xml:space="preserve">Igualmente, se pronunció sobre </w:t>
      </w:r>
      <w:r>
        <w:rPr>
          <w:rFonts w:ascii="Geomanist Light" w:hAnsi="Geomanist Light" w:cs="Arial"/>
          <w:bCs/>
          <w:color w:val="000000" w:themeColor="text1"/>
          <w:lang w:val="es-ES_tradnl"/>
        </w:rPr>
        <w:t xml:space="preserve">la subcontratación </w:t>
      </w:r>
      <w:r w:rsidRPr="00F01DE3">
        <w:rPr>
          <w:rFonts w:ascii="Geomanist Light" w:hAnsi="Geomanist Light" w:cs="Arial"/>
          <w:bCs/>
          <w:color w:val="000000" w:themeColor="text1"/>
          <w:lang w:val="es-ES_tradnl"/>
        </w:rPr>
        <w:t xml:space="preserve">en los conceptos </w:t>
      </w:r>
      <w:r w:rsidRPr="00F01DE3">
        <w:rPr>
          <w:rFonts w:ascii="Geomanist Light" w:hAnsi="Geomanist Light" w:cs="Arial"/>
          <w:bCs/>
          <w:color w:val="000000" w:themeColor="text1"/>
          <w:lang w:val="es-MX"/>
        </w:rPr>
        <w:t>C-599 del 26 de octubre de 2021,</w:t>
      </w:r>
      <w:r w:rsidRPr="00F01DE3">
        <w:rPr>
          <w:rFonts w:ascii="Geomanist Light" w:hAnsi="Geomanist Light" w:cs="Arial"/>
          <w:bCs/>
          <w:color w:val="000000" w:themeColor="text1"/>
        </w:rPr>
        <w:t xml:space="preserve"> C−056 del 7 de febrero de 2022</w:t>
      </w:r>
      <w:r>
        <w:rPr>
          <w:rFonts w:ascii="Geomanist Light" w:hAnsi="Geomanist Light" w:cs="Arial"/>
          <w:bCs/>
          <w:color w:val="000000" w:themeColor="text1"/>
        </w:rPr>
        <w:t>,</w:t>
      </w:r>
      <w:r w:rsidRPr="00F01DE3">
        <w:rPr>
          <w:rFonts w:ascii="Geomanist Light" w:hAnsi="Geomanist Light" w:cs="Arial"/>
          <w:bCs/>
          <w:color w:val="000000" w:themeColor="text1"/>
        </w:rPr>
        <w:t xml:space="preserve"> C−594 del 26 de agosto de 2022</w:t>
      </w:r>
      <w:r>
        <w:rPr>
          <w:rFonts w:ascii="Geomanist Light" w:hAnsi="Geomanist Light" w:cs="Arial"/>
          <w:bCs/>
          <w:color w:val="000000" w:themeColor="text1"/>
        </w:rPr>
        <w:t xml:space="preserve"> y C-581 del 16 de septiembre de 2022</w:t>
      </w:r>
      <w:r w:rsidRPr="00F01DE3">
        <w:rPr>
          <w:rFonts w:ascii="Geomanist Light" w:hAnsi="Geomanist Light" w:cs="Arial"/>
          <w:bCs/>
          <w:color w:val="000000" w:themeColor="text1"/>
          <w:vertAlign w:val="superscript"/>
        </w:rPr>
        <w:footnoteReference w:id="3"/>
      </w:r>
      <w:r w:rsidRPr="00F01DE3">
        <w:rPr>
          <w:rFonts w:ascii="Geomanist Light" w:hAnsi="Geomanist Light" w:cs="Arial"/>
          <w:bCs/>
          <w:color w:val="000000" w:themeColor="text1"/>
        </w:rPr>
        <w:t>. La tesis expuesta en estos conceptos se reitera y, en lo pertinente, se complementa a continuación:</w:t>
      </w:r>
    </w:p>
    <w:p w14:paraId="35A5D36A" w14:textId="77777777" w:rsidR="005156E7" w:rsidRDefault="005156E7" w:rsidP="005156E7">
      <w:pPr>
        <w:spacing w:after="0" w:line="276" w:lineRule="auto"/>
        <w:jc w:val="both"/>
        <w:rPr>
          <w:rFonts w:ascii="Geomanist Light" w:hAnsi="Geomanist Light" w:cs="Arial"/>
          <w:b/>
          <w:bCs/>
        </w:rPr>
      </w:pPr>
    </w:p>
    <w:p w14:paraId="5B8971D3" w14:textId="1116E390" w:rsidR="0083383D" w:rsidRDefault="0083383D" w:rsidP="005156E7">
      <w:pPr>
        <w:spacing w:after="0" w:line="276" w:lineRule="auto"/>
        <w:jc w:val="both"/>
        <w:rPr>
          <w:rFonts w:ascii="Geomanist Light" w:hAnsi="Geomanist Light" w:cs="Arial"/>
          <w:b/>
          <w:lang w:val="es-ES_tradnl"/>
        </w:rPr>
      </w:pPr>
      <w:r w:rsidRPr="0083383D">
        <w:rPr>
          <w:rFonts w:ascii="Geomanist Light" w:hAnsi="Geomanist Light" w:cs="Arial"/>
          <w:b/>
          <w:bCs/>
        </w:rPr>
        <w:t xml:space="preserve">2.1.  </w:t>
      </w:r>
      <w:r w:rsidRPr="0083383D">
        <w:rPr>
          <w:rFonts w:ascii="Geomanist Light" w:hAnsi="Geomanist Light" w:cs="Arial"/>
          <w:b/>
          <w:lang w:val="es-ES_tradnl"/>
        </w:rPr>
        <w:t>Contratos interadministrativos. Concepto y régimen jurídico aplicable</w:t>
      </w:r>
    </w:p>
    <w:p w14:paraId="3624D591" w14:textId="77777777" w:rsidR="005156E7" w:rsidRPr="0083383D" w:rsidRDefault="005156E7" w:rsidP="005156E7">
      <w:pPr>
        <w:spacing w:after="0" w:line="276" w:lineRule="auto"/>
        <w:jc w:val="both"/>
        <w:rPr>
          <w:rFonts w:ascii="Geomanist Light" w:hAnsi="Geomanist Light" w:cs="Arial"/>
          <w:b/>
          <w:lang w:val="es-ES_tradnl"/>
        </w:rPr>
      </w:pPr>
    </w:p>
    <w:p w14:paraId="3A3D26A5" w14:textId="77777777" w:rsidR="0083383D" w:rsidRPr="0083383D" w:rsidRDefault="0083383D" w:rsidP="005156E7">
      <w:pPr>
        <w:spacing w:after="0" w:line="276" w:lineRule="auto"/>
        <w:jc w:val="both"/>
        <w:rPr>
          <w:rFonts w:ascii="Geomanist Light" w:hAnsi="Geomanist Light" w:cs="Arial"/>
          <w:lang w:val="es-ES_tradnl"/>
        </w:rPr>
      </w:pPr>
      <w:r w:rsidRPr="0083383D">
        <w:rPr>
          <w:rFonts w:ascii="Geomanist Light" w:hAnsi="Geomanist Light" w:cs="Arial"/>
          <w:lang w:val="es-ES_tradnl"/>
        </w:rPr>
        <w:t xml:space="preserve">La contratación Estatal constituye un instrumento a través del cual las entidades públicas realizan el aprovisionamiento de sus bienes, obras y servicios, con el propósito de satisfacer las necesidades </w:t>
      </w:r>
      <w:r w:rsidRPr="0083383D">
        <w:rPr>
          <w:rFonts w:ascii="Geomanist Light" w:hAnsi="Geomanist Light" w:cs="Arial"/>
          <w:lang w:val="es-ES_tradnl"/>
        </w:rPr>
        <w:lastRenderedPageBreak/>
        <w:t>e intereses colectivos</w:t>
      </w:r>
      <w:r w:rsidRPr="0083383D">
        <w:rPr>
          <w:rFonts w:ascii="Geomanist Light" w:hAnsi="Geomanist Light" w:cs="Arial"/>
          <w:vertAlign w:val="superscript"/>
        </w:rPr>
        <w:footnoteReference w:id="4"/>
      </w:r>
      <w:r w:rsidRPr="0083383D">
        <w:rPr>
          <w:rFonts w:ascii="Geomanist Light" w:hAnsi="Geomanist Light" w:cs="Arial"/>
          <w:lang w:val="es-ES_tradnl"/>
        </w:rPr>
        <w:t>. Para este propósito se sirve de la colaboración de los particulares o de otras entidades que integran la administración pública.</w:t>
      </w:r>
    </w:p>
    <w:p w14:paraId="57005AA9" w14:textId="77777777" w:rsidR="0083383D" w:rsidRPr="0083383D" w:rsidRDefault="0083383D" w:rsidP="0083383D">
      <w:pPr>
        <w:spacing w:before="120" w:after="0" w:line="276" w:lineRule="auto"/>
        <w:ind w:firstLine="708"/>
        <w:jc w:val="both"/>
        <w:rPr>
          <w:rFonts w:ascii="Geomanist Light" w:hAnsi="Geomanist Light" w:cs="Arial"/>
          <w:lang w:val="es-ES_tradnl"/>
        </w:rPr>
      </w:pPr>
      <w:r w:rsidRPr="0083383D">
        <w:rPr>
          <w:rFonts w:ascii="Geomanist Light" w:hAnsi="Geomanist Light" w:cs="Arial"/>
        </w:rPr>
        <w:t>Cuando se trata de contratos celebrados por dos entidades estatales, tales negocios jurídicos se han denominado como interadministrativos, en el entendido de que son celebrados entre entidades públicas. En efecto, la doctrina ha señalado que «se denominan contratos interadministrativos los contratos bilaterales celebrados entre dos entidades estatales»</w:t>
      </w:r>
      <w:r w:rsidRPr="0083383D">
        <w:rPr>
          <w:rFonts w:ascii="Geomanist Light" w:hAnsi="Geomanist Light" w:cs="Arial"/>
          <w:vertAlign w:val="superscript"/>
        </w:rPr>
        <w:footnoteReference w:id="5"/>
      </w:r>
      <w:r w:rsidRPr="0083383D">
        <w:rPr>
          <w:rFonts w:ascii="Geomanist Light" w:hAnsi="Geomanist Light" w:cs="Arial"/>
        </w:rPr>
        <w:t xml:space="preserve">. </w:t>
      </w:r>
      <w:r w:rsidRPr="0083383D">
        <w:rPr>
          <w:rFonts w:ascii="Geomanist Light" w:hAnsi="Geomanist Light" w:cs="Arial"/>
          <w:lang w:val="es-ES_tradnl"/>
        </w:rPr>
        <w:t>Sobre la tipología de contrato interadministrativo, conviene señalar que aunque la Ley 80 de 1993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83383D">
        <w:rPr>
          <w:rFonts w:ascii="Geomanist Light" w:hAnsi="Geomanist Light" w:cs="Arial"/>
          <w:vertAlign w:val="superscript"/>
          <w:lang w:val="es-ES_tradnl"/>
        </w:rPr>
        <w:footnoteReference w:id="6"/>
      </w:r>
      <w:r w:rsidRPr="0083383D">
        <w:rPr>
          <w:rFonts w:ascii="Geomanist Light" w:hAnsi="Geomanist Light" w:cs="Arial"/>
          <w:lang w:val="es-ES_tradnl"/>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43A2F39D" w14:textId="77777777" w:rsidR="0083383D" w:rsidRPr="0083383D" w:rsidRDefault="0083383D" w:rsidP="0083383D">
      <w:pPr>
        <w:spacing w:before="120" w:after="0" w:line="276" w:lineRule="auto"/>
        <w:ind w:firstLine="708"/>
        <w:jc w:val="both"/>
        <w:rPr>
          <w:rFonts w:ascii="Geomanist Light" w:hAnsi="Geomanist Light" w:cs="Arial"/>
          <w:lang w:val="es-ES_tradnl"/>
        </w:rPr>
      </w:pPr>
      <w:r w:rsidRPr="0083383D">
        <w:rPr>
          <w:rFonts w:ascii="Geomanist Light" w:hAnsi="Geomanist Light" w:cs="Arial"/>
          <w:lang w:val="es-ES_tradn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w:t>
      </w:r>
    </w:p>
    <w:p w14:paraId="5D68AF4A" w14:textId="77777777" w:rsidR="0083383D" w:rsidRPr="0083383D" w:rsidRDefault="0083383D" w:rsidP="0083383D">
      <w:pPr>
        <w:spacing w:before="120" w:after="0" w:line="276" w:lineRule="auto"/>
        <w:ind w:firstLine="708"/>
        <w:jc w:val="both"/>
        <w:rPr>
          <w:rFonts w:ascii="Geomanist Light" w:hAnsi="Geomanist Light" w:cs="Arial"/>
          <w:lang w:val="es-ES_tradnl"/>
        </w:rPr>
      </w:pPr>
      <w:r w:rsidRPr="0083383D">
        <w:rPr>
          <w:rFonts w:ascii="Geomanist Light" w:hAnsi="Geomanist Light" w:cs="Arial"/>
          <w:lang w:val="es-ES_tradnl"/>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w:t>
      </w:r>
      <w:r w:rsidRPr="0083383D">
        <w:rPr>
          <w:rFonts w:ascii="Geomanist Light" w:hAnsi="Geomanist Light" w:cs="Arial"/>
          <w:lang w:val="es-ES_tradnl"/>
        </w:rPr>
        <w:lastRenderedPageBreak/>
        <w:t>de oferentes</w:t>
      </w:r>
      <w:r w:rsidRPr="0083383D">
        <w:rPr>
          <w:rFonts w:ascii="Geomanist Light" w:hAnsi="Geomanist Light" w:cs="Arial"/>
          <w:vertAlign w:val="superscript"/>
          <w:lang w:val="es-ES_tradnl"/>
        </w:rPr>
        <w:footnoteReference w:id="7"/>
      </w:r>
      <w:r w:rsidRPr="0083383D">
        <w:rPr>
          <w:rFonts w:ascii="Geomanist Light" w:hAnsi="Geomanist Light" w:cs="Arial"/>
          <w:lang w:val="es-ES_tradnl"/>
        </w:rPr>
        <w:t>. Nótese que, en este caso, lo que cambia es la modalidad de selección y no la naturaleza de contrato interadministrativo.</w:t>
      </w:r>
    </w:p>
    <w:p w14:paraId="1419A13F" w14:textId="77777777" w:rsidR="0083383D" w:rsidRPr="0083383D" w:rsidRDefault="0083383D" w:rsidP="0083383D">
      <w:pPr>
        <w:spacing w:before="120" w:after="0" w:line="276" w:lineRule="auto"/>
        <w:ind w:firstLine="708"/>
        <w:jc w:val="both"/>
        <w:rPr>
          <w:rFonts w:ascii="Geomanist Light" w:hAnsi="Geomanist Light" w:cs="Arial"/>
          <w:lang w:val="es-ES_tradnl"/>
        </w:rPr>
      </w:pPr>
      <w:r w:rsidRPr="0083383D">
        <w:rPr>
          <w:rFonts w:ascii="Geomanist Light" w:hAnsi="Geomanist Light" w:cs="Arial"/>
          <w:lang w:val="es-ES_tradnl"/>
        </w:rPr>
        <w:t>Además, es necesario tener en cuenta que para que un contrato o convenio interadministrativo exista debe cumplir con los siguientes elementos: acuerdo sobre el objeto y la contraprestación y que conste por escrito</w:t>
      </w:r>
      <w:r w:rsidRPr="0083383D">
        <w:rPr>
          <w:rFonts w:ascii="Geomanist Light" w:hAnsi="Geomanist Light" w:cs="Arial"/>
          <w:vertAlign w:val="superscript"/>
          <w:lang w:val="es-ES_tradnl"/>
        </w:rPr>
        <w:footnoteReference w:id="8"/>
      </w:r>
      <w:r w:rsidRPr="0083383D">
        <w:rPr>
          <w:rFonts w:ascii="Geomanist Light" w:hAnsi="Geomanist Light" w:cs="Arial"/>
          <w:lang w:val="es-ES_tradnl"/>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1082870D" w14:textId="6222B0BC" w:rsidR="0083383D" w:rsidRDefault="0083383D" w:rsidP="005156E7">
      <w:pPr>
        <w:spacing w:before="120" w:after="0" w:line="276" w:lineRule="auto"/>
        <w:ind w:firstLine="708"/>
        <w:jc w:val="both"/>
        <w:rPr>
          <w:rFonts w:ascii="Geomanist Light" w:hAnsi="Geomanist Light" w:cs="Arial"/>
          <w:lang w:val="es-ES_tradnl"/>
        </w:rPr>
      </w:pPr>
      <w:r w:rsidRPr="0083383D">
        <w:rPr>
          <w:rFonts w:ascii="Geomanist Light" w:hAnsi="Geomanist Light" w:cs="Arial"/>
          <w:lang w:val="es-ES_tradnl"/>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0083383D">
        <w:rPr>
          <w:rFonts w:ascii="Geomanist Light" w:hAnsi="Geomanist Light" w:cs="Arial"/>
          <w:vertAlign w:val="superscript"/>
          <w:lang w:val="es-ES_tradnl"/>
        </w:rPr>
        <w:footnoteReference w:id="9"/>
      </w:r>
      <w:r w:rsidRPr="0083383D">
        <w:rPr>
          <w:rFonts w:ascii="Geomanist Light" w:hAnsi="Geomanist Light" w:cs="Arial"/>
          <w:lang w:val="es-ES_tradnl"/>
        </w:rPr>
        <w:t>, pues, de acuerdo con lo anotado,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67E3147B" w14:textId="77777777" w:rsidR="005156E7" w:rsidRPr="0083383D" w:rsidRDefault="005156E7" w:rsidP="005156E7">
      <w:pPr>
        <w:spacing w:after="0" w:line="276" w:lineRule="auto"/>
        <w:ind w:firstLine="709"/>
        <w:jc w:val="both"/>
        <w:rPr>
          <w:rFonts w:ascii="Geomanist Light" w:hAnsi="Geomanist Light" w:cs="Arial"/>
          <w:lang w:val="es-ES_tradnl"/>
        </w:rPr>
      </w:pPr>
    </w:p>
    <w:p w14:paraId="7A83C61A" w14:textId="77777777" w:rsidR="0083383D" w:rsidRPr="0083383D" w:rsidRDefault="0083383D" w:rsidP="0030320E">
      <w:pPr>
        <w:spacing w:before="120" w:after="0" w:line="240" w:lineRule="auto"/>
        <w:ind w:left="709" w:right="709"/>
        <w:jc w:val="both"/>
        <w:rPr>
          <w:rFonts w:ascii="Geomanist Light" w:hAnsi="Geomanist Light" w:cs="Arial"/>
          <w:sz w:val="21"/>
          <w:szCs w:val="21"/>
          <w:lang w:val="es-ES_tradnl"/>
        </w:rPr>
      </w:pPr>
      <w:r w:rsidRPr="0083383D">
        <w:rPr>
          <w:rFonts w:ascii="Geomanist Light" w:hAnsi="Geomanist Light" w:cs="Arial"/>
          <w:sz w:val="21"/>
          <w:szCs w:val="21"/>
          <w:lang w:val="es-ES_tradnl"/>
        </w:rPr>
        <w:t>[…] se puede señalar que los convenios o contratos interadministrativos tienen como características principales las siguientes:</w:t>
      </w:r>
    </w:p>
    <w:p w14:paraId="23D7BC7D" w14:textId="5C1B35A0" w:rsidR="0083383D" w:rsidRPr="0083383D" w:rsidRDefault="0083383D" w:rsidP="0030320E">
      <w:pPr>
        <w:spacing w:before="120" w:after="0" w:line="240" w:lineRule="auto"/>
        <w:ind w:left="709" w:right="709"/>
        <w:jc w:val="both"/>
        <w:rPr>
          <w:rFonts w:ascii="Geomanist Light" w:hAnsi="Geomanist Light" w:cs="Arial"/>
          <w:sz w:val="21"/>
          <w:szCs w:val="21"/>
          <w:lang w:val="es-ES_tradnl"/>
        </w:rPr>
      </w:pPr>
      <w:r w:rsidRPr="0083383D">
        <w:rPr>
          <w:rFonts w:ascii="Geomanist Light" w:hAnsi="Geomanist Light" w:cs="Arial"/>
          <w:sz w:val="21"/>
          <w:szCs w:val="21"/>
          <w:lang w:val="es-ES_tradnl"/>
        </w:rPr>
        <w:t xml:space="preserve">(i)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w:t>
      </w:r>
      <w:r w:rsidRPr="0083383D">
        <w:rPr>
          <w:rFonts w:ascii="Geomanist Light" w:hAnsi="Geomanist Light" w:cs="Arial"/>
          <w:sz w:val="21"/>
          <w:szCs w:val="21"/>
          <w:lang w:val="es-ES_tradnl"/>
        </w:rPr>
        <w:lastRenderedPageBreak/>
        <w:t>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83383D">
        <w:rPr>
          <w:rFonts w:ascii="Geomanist Light" w:hAnsi="Geomanist Light" w:cs="Arial"/>
          <w:sz w:val="21"/>
          <w:szCs w:val="21"/>
          <w:vertAlign w:val="superscript"/>
          <w:lang w:val="es-ES_tradnl"/>
        </w:rPr>
        <w:footnoteReference w:id="10"/>
      </w:r>
      <w:r w:rsidRPr="0083383D">
        <w:rPr>
          <w:rFonts w:ascii="Geomanist Light" w:hAnsi="Geomanist Light" w:cs="Arial"/>
          <w:sz w:val="21"/>
          <w:szCs w:val="21"/>
          <w:lang w:val="es-ES_tradnl"/>
        </w:rPr>
        <w:t>.</w:t>
      </w:r>
    </w:p>
    <w:p w14:paraId="1626EC2D" w14:textId="77777777" w:rsidR="005156E7" w:rsidRDefault="005156E7" w:rsidP="005156E7">
      <w:pPr>
        <w:spacing w:after="0" w:line="276" w:lineRule="auto"/>
        <w:ind w:firstLine="709"/>
        <w:jc w:val="both"/>
        <w:rPr>
          <w:rFonts w:ascii="Geomanist Light" w:hAnsi="Geomanist Light" w:cs="Arial"/>
          <w:lang w:val="es-ES_tradnl"/>
        </w:rPr>
      </w:pPr>
    </w:p>
    <w:p w14:paraId="5194A02D" w14:textId="27558047" w:rsidR="0083383D" w:rsidRDefault="0083383D" w:rsidP="005156E7">
      <w:pPr>
        <w:spacing w:after="0" w:line="276" w:lineRule="auto"/>
        <w:ind w:firstLine="709"/>
        <w:jc w:val="both"/>
        <w:rPr>
          <w:rFonts w:ascii="Geomanist Light" w:hAnsi="Geomanist Light" w:cs="Arial"/>
          <w:lang w:val="es-ES_tradnl"/>
        </w:rPr>
      </w:pPr>
      <w:r w:rsidRPr="0083383D">
        <w:rPr>
          <w:rFonts w:ascii="Geomanist Light" w:hAnsi="Geomanist Light" w:cs="Arial"/>
          <w:lang w:val="es-ES_tradnl"/>
        </w:rPr>
        <w:t xml:space="preserve">En relación con la modalidad de selección aplicable a la celebración de contratos interadministrativos, la Ley 1150 de 2007 establece que las entidades estatales pueden 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 De esta manera, el artículo 2, numeral 4, literal c), de la mencionada ley –modificado por el artículo 92 de la Ley 1474 de 2011–, estableció lo siguiente: </w:t>
      </w:r>
    </w:p>
    <w:p w14:paraId="2D53D46C" w14:textId="77777777" w:rsidR="005156E7" w:rsidRPr="0083383D" w:rsidRDefault="005156E7" w:rsidP="005156E7">
      <w:pPr>
        <w:spacing w:after="0" w:line="276" w:lineRule="auto"/>
        <w:ind w:firstLine="709"/>
        <w:jc w:val="both"/>
        <w:rPr>
          <w:rFonts w:ascii="Geomanist Light" w:hAnsi="Geomanist Light" w:cs="Arial"/>
          <w:lang w:val="es-ES_tradnl"/>
        </w:rPr>
      </w:pPr>
    </w:p>
    <w:p w14:paraId="4DD1B052" w14:textId="77777777" w:rsidR="0083383D" w:rsidRPr="0083383D" w:rsidRDefault="0083383D" w:rsidP="005156E7">
      <w:pPr>
        <w:spacing w:before="120" w:after="0" w:line="276" w:lineRule="auto"/>
        <w:ind w:left="709" w:right="709"/>
        <w:jc w:val="both"/>
        <w:rPr>
          <w:rFonts w:ascii="Geomanist Light" w:hAnsi="Geomanist Light" w:cs="Arial"/>
          <w:sz w:val="21"/>
          <w:szCs w:val="21"/>
        </w:rPr>
      </w:pPr>
      <w:r w:rsidRPr="0083383D">
        <w:rPr>
          <w:rFonts w:ascii="Geomanist Light" w:hAnsi="Geomanist Light" w:cs="Arial"/>
          <w:sz w:val="21"/>
          <w:szCs w:val="21"/>
        </w:rPr>
        <w:t xml:space="preserve">c) Contratos interadministrativos, siempre que las obligaciones derivadas del mismo tengan relación directa con el objeto de la entidad ejecutora señalado en la ley o en sus reglamentos. </w:t>
      </w:r>
    </w:p>
    <w:p w14:paraId="006608B1" w14:textId="77777777" w:rsidR="0083383D" w:rsidRPr="0083383D" w:rsidRDefault="0083383D" w:rsidP="005156E7">
      <w:pPr>
        <w:spacing w:before="120" w:after="0" w:line="276" w:lineRule="auto"/>
        <w:ind w:left="709" w:right="709"/>
        <w:jc w:val="both"/>
        <w:rPr>
          <w:rFonts w:ascii="Geomanist Light" w:hAnsi="Geomanist Light" w:cs="Arial"/>
          <w:sz w:val="21"/>
          <w:szCs w:val="21"/>
        </w:rPr>
      </w:pPr>
      <w:r w:rsidRPr="0083383D">
        <w:rPr>
          <w:rFonts w:ascii="Geomanist Light" w:hAnsi="Geomanist Light" w:cs="Arial"/>
          <w:sz w:val="21"/>
          <w:szCs w:val="21"/>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65682C0A" w14:textId="77777777" w:rsidR="0083383D" w:rsidRPr="007F49EE" w:rsidRDefault="0083383D" w:rsidP="005156E7">
      <w:pPr>
        <w:spacing w:before="120" w:after="0" w:line="276" w:lineRule="auto"/>
        <w:ind w:left="709" w:right="709"/>
        <w:jc w:val="both"/>
        <w:rPr>
          <w:rFonts w:ascii="Geomanist Light" w:hAnsi="Geomanist Light" w:cs="Arial"/>
          <w:sz w:val="21"/>
          <w:szCs w:val="21"/>
        </w:rPr>
      </w:pPr>
      <w:r w:rsidRPr="007F49EE">
        <w:rPr>
          <w:rFonts w:ascii="Geomanist Light" w:hAnsi="Geomanist Light" w:cs="Arial"/>
          <w:sz w:val="21"/>
          <w:szCs w:val="21"/>
        </w:rPr>
        <w:t>En aquellos eventos en q</w:t>
      </w:r>
      <w:r w:rsidRPr="007F49EE">
        <w:rPr>
          <w:rFonts w:ascii="Geomanist Light" w:hAnsi="Geomanist Light" w:cs="Arial"/>
          <w:color w:val="000000" w:themeColor="text1"/>
          <w:sz w:val="21"/>
          <w:szCs w:val="21"/>
        </w:rPr>
        <w:t>ue el régimen aplicable a la contratación de la entidad ejecutora no sea el de la Ley</w:t>
      </w:r>
      <w:r w:rsidRPr="0030320E">
        <w:rPr>
          <w:rFonts w:cs="Calibri"/>
          <w:color w:val="000000" w:themeColor="text1"/>
          <w:sz w:val="21"/>
          <w:szCs w:val="21"/>
        </w:rPr>
        <w:t> </w:t>
      </w:r>
      <w:hyperlink r:id="rId12" w:anchor="1" w:history="1">
        <w:r w:rsidRPr="007F49EE">
          <w:rPr>
            <w:rStyle w:val="Hipervnculo"/>
            <w:rFonts w:ascii="Geomanist Light" w:hAnsi="Geomanist Light" w:cs="Arial"/>
            <w:color w:val="000000" w:themeColor="text1"/>
            <w:sz w:val="21"/>
            <w:szCs w:val="21"/>
            <w:u w:val="none"/>
          </w:rPr>
          <w:t>80</w:t>
        </w:r>
      </w:hyperlink>
      <w:r w:rsidRPr="0030320E">
        <w:rPr>
          <w:rFonts w:cs="Calibri"/>
          <w:color w:val="000000" w:themeColor="text1"/>
          <w:sz w:val="21"/>
          <w:szCs w:val="21"/>
        </w:rPr>
        <w:t> </w:t>
      </w:r>
      <w:r w:rsidRPr="007F49EE">
        <w:rPr>
          <w:rFonts w:ascii="Geomanist Light" w:hAnsi="Geomanist Light" w:cs="Arial"/>
          <w:color w:val="000000" w:themeColor="text1"/>
          <w:sz w:val="21"/>
          <w:szCs w:val="21"/>
        </w:rPr>
        <w:t>de 1993</w:t>
      </w:r>
      <w:r w:rsidRPr="007F49EE">
        <w:rPr>
          <w:rFonts w:ascii="Geomanist Light" w:hAnsi="Geomanist Light" w:cs="Arial"/>
          <w:sz w:val="21"/>
          <w:szCs w:val="21"/>
        </w:rPr>
        <w:t>,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686E6F3F" w14:textId="77777777" w:rsidR="0083383D" w:rsidRPr="0030320E" w:rsidRDefault="0083383D" w:rsidP="005156E7">
      <w:pPr>
        <w:spacing w:before="120" w:after="0" w:line="276" w:lineRule="auto"/>
        <w:ind w:left="709" w:right="709"/>
        <w:jc w:val="both"/>
        <w:rPr>
          <w:rFonts w:ascii="Geomanist Light" w:hAnsi="Geomanist Light" w:cs="Arial"/>
          <w:i/>
          <w:iCs/>
          <w:sz w:val="21"/>
          <w:szCs w:val="21"/>
        </w:rPr>
      </w:pPr>
      <w:r w:rsidRPr="0030320E">
        <w:rPr>
          <w:rFonts w:ascii="Geomanist Light" w:hAnsi="Geomanist Light" w:cs="Arial"/>
          <w:i/>
          <w:iCs/>
          <w:sz w:val="21"/>
          <w:szCs w:val="21"/>
        </w:rPr>
        <w:lastRenderedPageBreak/>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1C9D2F70" w14:textId="028DF775" w:rsidR="0083383D" w:rsidRPr="007F49EE" w:rsidRDefault="0083383D" w:rsidP="005156E7">
      <w:pPr>
        <w:spacing w:before="120" w:after="0" w:line="276" w:lineRule="auto"/>
        <w:ind w:left="709" w:right="709"/>
        <w:jc w:val="both"/>
        <w:rPr>
          <w:rFonts w:ascii="Geomanist Light" w:hAnsi="Geomanist Light" w:cs="Arial"/>
          <w:sz w:val="21"/>
          <w:szCs w:val="21"/>
        </w:rPr>
      </w:pPr>
      <w:r w:rsidRPr="007F49EE">
        <w:rPr>
          <w:rFonts w:ascii="Geomanist Light" w:hAnsi="Geomanist Light" w:cs="Arial"/>
          <w:sz w:val="21"/>
          <w:szCs w:val="21"/>
        </w:rPr>
        <w:t>Estarán exceptuados de la figura del contrato interadministrativo, los contratos de seguro de las entidades estatales;</w:t>
      </w:r>
      <w:r w:rsidR="00912AED" w:rsidRPr="007F49EE">
        <w:rPr>
          <w:rFonts w:ascii="Geomanist Light" w:hAnsi="Geomanist Light" w:cs="Arial"/>
          <w:sz w:val="21"/>
          <w:szCs w:val="21"/>
        </w:rPr>
        <w:t xml:space="preserve"> </w:t>
      </w:r>
      <w:r w:rsidR="00912AED" w:rsidRPr="0030320E">
        <w:rPr>
          <w:rFonts w:ascii="Geomanist Light" w:hAnsi="Geomanist Light" w:cs="Arial"/>
        </w:rPr>
        <w:t>[Énfasis fuera de texto</w:t>
      </w:r>
      <w:r w:rsidR="007F49EE" w:rsidRPr="0030320E">
        <w:rPr>
          <w:rFonts w:ascii="Geomanist Light" w:hAnsi="Geomanist Light" w:cs="Arial"/>
        </w:rPr>
        <w:t>]</w:t>
      </w:r>
    </w:p>
    <w:p w14:paraId="78395FE7" w14:textId="77777777" w:rsidR="005156E7" w:rsidRDefault="005156E7" w:rsidP="005156E7">
      <w:pPr>
        <w:spacing w:after="0" w:line="276" w:lineRule="auto"/>
        <w:ind w:firstLine="709"/>
        <w:jc w:val="both"/>
        <w:rPr>
          <w:rFonts w:ascii="Geomanist Light" w:hAnsi="Geomanist Light" w:cs="Arial"/>
          <w:lang w:val="es-ES_tradnl"/>
        </w:rPr>
      </w:pPr>
    </w:p>
    <w:p w14:paraId="55319FCC" w14:textId="1775A031" w:rsidR="0083383D" w:rsidRPr="0083383D" w:rsidRDefault="0083383D" w:rsidP="005156E7">
      <w:pPr>
        <w:spacing w:after="0" w:line="276" w:lineRule="auto"/>
        <w:ind w:firstLine="709"/>
        <w:jc w:val="both"/>
        <w:rPr>
          <w:rFonts w:ascii="Geomanist Light" w:hAnsi="Geomanist Light" w:cs="Arial"/>
          <w:lang w:val="es-ES_tradnl"/>
        </w:rPr>
      </w:pPr>
      <w:r w:rsidRPr="0083383D">
        <w:rPr>
          <w:rFonts w:ascii="Geomanist Light" w:hAnsi="Geomanist Light" w:cs="Arial"/>
          <w:lang w:val="es-ES_tradnl"/>
        </w:rPr>
        <w:t xml:space="preserve">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    </w:t>
      </w:r>
    </w:p>
    <w:p w14:paraId="6BCC3338" w14:textId="77777777" w:rsidR="0083383D" w:rsidRPr="0083383D" w:rsidRDefault="0083383D" w:rsidP="0083383D">
      <w:pPr>
        <w:spacing w:before="120" w:after="0" w:line="276" w:lineRule="auto"/>
        <w:ind w:firstLine="708"/>
        <w:jc w:val="both"/>
        <w:rPr>
          <w:rFonts w:ascii="Geomanist Light" w:hAnsi="Geomanist Light" w:cs="Arial"/>
          <w:lang w:val="es-ES_tradnl"/>
        </w:rPr>
      </w:pPr>
      <w:r w:rsidRPr="0083383D">
        <w:rPr>
          <w:rFonts w:ascii="Geomanist Light" w:hAnsi="Geomanist Light" w:cs="Arial"/>
          <w:lang w:val="es-ES_tradnl"/>
        </w:rPr>
        <w:t>De otro lado, se encuentra que el inciso segundo establece una limitación a la contratación directa mediante la causal del literal c) –transcrito anteriormente– dirigido a los supuestos en que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tratándose de «contratos de obra, suministro, prestación de servicios de evaluación de conformidad respecto de las normas o reglamentos técnicos, encargos fiduciarios y fiducia pública». En esos supuestos específicos deberán adelantarse procesos competitivos, de acuerdo con las demás modalidades de selección establecidas en el EGCAP, en los cuales dichas entidades podrían participar en igualdad de condiciones e, incluso, resultar adjudicatarias.</w:t>
      </w:r>
    </w:p>
    <w:p w14:paraId="13D5CA95" w14:textId="77777777" w:rsidR="0083383D" w:rsidRPr="0083383D" w:rsidRDefault="0083383D" w:rsidP="0083383D">
      <w:pPr>
        <w:spacing w:before="120" w:after="0" w:line="276" w:lineRule="auto"/>
        <w:ind w:firstLine="708"/>
        <w:jc w:val="both"/>
        <w:rPr>
          <w:rFonts w:ascii="Geomanist Light" w:hAnsi="Geomanist Light" w:cs="Arial"/>
        </w:rPr>
      </w:pPr>
      <w:r w:rsidRPr="0083383D">
        <w:rPr>
          <w:rFonts w:ascii="Geomanist Light" w:hAnsi="Geomanist Light" w:cs="Arial"/>
          <w:lang w:val="es-ES_tradnl"/>
        </w:rPr>
        <w:t xml:space="preserve">Finalmente, cabe destacar que de conformidad con lo dispuesto en el inciso tercero de la norma objeto de análisis, </w:t>
      </w:r>
      <w:r w:rsidRPr="0083383D">
        <w:rPr>
          <w:rFonts w:ascii="Geomanist Light" w:hAnsi="Geomanist Light" w:cs="Arial"/>
          <w:bCs/>
        </w:rPr>
        <w:t>la ejecución</w:t>
      </w:r>
      <w:r w:rsidRPr="0083383D">
        <w:rPr>
          <w:rFonts w:ascii="Geomanist Light" w:hAnsi="Geomanist Light" w:cs="Arial"/>
        </w:rPr>
        <w:t xml:space="preserve"> de los contratos interadministrativos quedó sometida por regla general al EGCAP, salvo los casos en que la entidad ejecutora actúa en régimen de competencia con el sector privado o cuando el contrato tenga relación directa con su actividad. En otras palabras, la ejecución del respectivo contrato interadministrativo podrá hacerse bajo unas normas distintas a las dispuestas en el EGCAP si existe una relación inmediata entre el objeto del contrato y la actividad propia de la entidad ejecutora.</w:t>
      </w:r>
    </w:p>
    <w:p w14:paraId="0BC96483" w14:textId="30B7411D" w:rsidR="0083383D" w:rsidRDefault="0083383D" w:rsidP="0083383D">
      <w:pPr>
        <w:spacing w:before="120" w:after="0" w:line="276" w:lineRule="auto"/>
        <w:ind w:firstLine="708"/>
        <w:jc w:val="both"/>
        <w:rPr>
          <w:rFonts w:ascii="Geomanist Light" w:hAnsi="Geomanist Light" w:cs="Arial"/>
        </w:rPr>
      </w:pPr>
      <w:r w:rsidRPr="0083383D">
        <w:rPr>
          <w:rFonts w:ascii="Geomanist Light" w:hAnsi="Geomanist Light" w:cs="Arial"/>
        </w:rPr>
        <w:lastRenderedPageBreak/>
        <w:t>Aunado a la verificación de las condiciones anteriormente descritas, las entidades públicas también deben garantizar el cumplimiento de los principios de transparencia y selección objetiva</w:t>
      </w:r>
      <w:r w:rsidRPr="0083383D">
        <w:rPr>
          <w:rFonts w:ascii="Geomanist Light" w:hAnsi="Geomanist Light" w:cs="Arial"/>
          <w:vertAlign w:val="superscript"/>
        </w:rPr>
        <w:footnoteReference w:id="11"/>
      </w:r>
      <w:r w:rsidRPr="0083383D">
        <w:rPr>
          <w:rFonts w:ascii="Geomanist Light" w:hAnsi="Geomanist Light" w:cs="Arial"/>
        </w:rPr>
        <w:t>. Así lo ha señalado de manera unánime la jurisprudencia de la sección tercera del Consejo de Estado, en el sentido de que independiente de modalidad de selección, esto es mediate la contratación directa o un mecanismo competitivo, la celebración de los contratos del estado deben estar orientados por los principios de la contratación estatal, siendo uno de ellos el de transparencia y selección objetiva, tal y como se pasa a explicar</w:t>
      </w:r>
      <w:r w:rsidRPr="0083383D">
        <w:rPr>
          <w:rFonts w:ascii="Geomanist Light" w:hAnsi="Geomanist Light" w:cs="Arial"/>
          <w:vertAlign w:val="superscript"/>
        </w:rPr>
        <w:footnoteReference w:id="12"/>
      </w:r>
      <w:r w:rsidRPr="0083383D">
        <w:rPr>
          <w:rFonts w:ascii="Geomanist Light" w:hAnsi="Geomanist Light" w:cs="Arial"/>
        </w:rPr>
        <w:t xml:space="preserve">. </w:t>
      </w:r>
    </w:p>
    <w:p w14:paraId="0149C6B0" w14:textId="77777777" w:rsidR="005156E7" w:rsidRPr="0083383D" w:rsidRDefault="005156E7" w:rsidP="005156E7">
      <w:pPr>
        <w:spacing w:after="0" w:line="276" w:lineRule="auto"/>
        <w:ind w:firstLine="708"/>
        <w:jc w:val="both"/>
        <w:rPr>
          <w:rFonts w:ascii="Geomanist Light" w:hAnsi="Geomanist Light" w:cs="Arial"/>
          <w:b/>
          <w:bCs/>
        </w:rPr>
      </w:pPr>
    </w:p>
    <w:p w14:paraId="0EB8C2B3" w14:textId="6E3128C8" w:rsidR="005156E7" w:rsidRPr="005156E7" w:rsidRDefault="005156E7" w:rsidP="005156E7">
      <w:pPr>
        <w:spacing w:after="0" w:line="276" w:lineRule="auto"/>
        <w:jc w:val="both"/>
        <w:rPr>
          <w:rFonts w:ascii="Geomanist Light" w:hAnsi="Geomanist Light" w:cs="Arial"/>
          <w:b/>
          <w:bCs/>
        </w:rPr>
      </w:pPr>
      <w:r w:rsidRPr="005156E7">
        <w:rPr>
          <w:rFonts w:ascii="Geomanist Light" w:hAnsi="Geomanist Light" w:cs="Arial"/>
          <w:b/>
          <w:bCs/>
        </w:rPr>
        <w:t>2.</w:t>
      </w:r>
      <w:r>
        <w:rPr>
          <w:rFonts w:ascii="Geomanist Light" w:hAnsi="Geomanist Light" w:cs="Arial"/>
          <w:b/>
          <w:bCs/>
        </w:rPr>
        <w:t>2</w:t>
      </w:r>
      <w:r w:rsidRPr="005156E7">
        <w:rPr>
          <w:rFonts w:ascii="Geomanist Light" w:hAnsi="Geomanist Light" w:cs="Arial"/>
          <w:b/>
          <w:bCs/>
        </w:rPr>
        <w:t>. La subcontratación en los contratos interadministrativos</w:t>
      </w:r>
      <w:r w:rsidRPr="00F01DE3">
        <w:rPr>
          <w:rFonts w:ascii="Geomanist Light" w:hAnsi="Geomanist Light" w:cs="Arial"/>
          <w:b/>
        </w:rPr>
        <w:t xml:space="preserve"> </w:t>
      </w:r>
      <w:r w:rsidR="00F01DE3" w:rsidRPr="00F01DE3">
        <w:rPr>
          <w:rFonts w:ascii="Geomanist Light" w:hAnsi="Geomanist Light" w:cs="Arial"/>
          <w:b/>
          <w:color w:val="000000" w:themeColor="text1"/>
        </w:rPr>
        <w:t>y sus limitaciones</w:t>
      </w:r>
    </w:p>
    <w:p w14:paraId="6111FFC1" w14:textId="77777777" w:rsidR="005156E7" w:rsidRPr="005156E7" w:rsidRDefault="005156E7" w:rsidP="005156E7">
      <w:pPr>
        <w:spacing w:after="0" w:line="276" w:lineRule="auto"/>
        <w:jc w:val="both"/>
        <w:rPr>
          <w:rFonts w:ascii="Geomanist Light" w:hAnsi="Geomanist Light" w:cs="Arial"/>
        </w:rPr>
      </w:pPr>
    </w:p>
    <w:p w14:paraId="4440EA4C" w14:textId="63A7DB2C" w:rsidR="005156E7" w:rsidRPr="005156E7" w:rsidRDefault="005156E7" w:rsidP="005156E7">
      <w:pPr>
        <w:spacing w:after="0" w:line="276" w:lineRule="auto"/>
        <w:jc w:val="both"/>
        <w:rPr>
          <w:rFonts w:ascii="Geomanist Light" w:hAnsi="Geomanist Light" w:cs="Arial"/>
        </w:rPr>
      </w:pPr>
      <w:r w:rsidRPr="005156E7">
        <w:rPr>
          <w:rFonts w:ascii="Geomanist Light" w:hAnsi="Geomanist Light" w:cs="Arial"/>
        </w:rPr>
        <w:t>La figura jurídica de la subcontratación no ha tenido un desarrollo regulatorio sustancial en el derecho colombiano. Aunque en materia de contratación estatal hay algunas referencias a esta institución en las Leyes 80 de 1993</w:t>
      </w:r>
      <w:r w:rsidRPr="005156E7">
        <w:rPr>
          <w:rFonts w:ascii="Geomanist Light" w:hAnsi="Geomanist Light" w:cs="Arial"/>
          <w:vertAlign w:val="superscript"/>
        </w:rPr>
        <w:footnoteReference w:id="13"/>
      </w:r>
      <w:r w:rsidRPr="005156E7">
        <w:rPr>
          <w:rFonts w:ascii="Geomanist Light" w:hAnsi="Geomanist Light" w:cs="Arial"/>
          <w:vertAlign w:val="superscript"/>
        </w:rPr>
        <w:t xml:space="preserve"> </w:t>
      </w:r>
      <w:r w:rsidRPr="005156E7">
        <w:rPr>
          <w:rFonts w:ascii="Geomanist Light" w:hAnsi="Geomanist Light" w:cs="Arial"/>
        </w:rPr>
        <w:t>y 1150 de 2007</w:t>
      </w:r>
      <w:r w:rsidRPr="005156E7">
        <w:rPr>
          <w:rFonts w:ascii="Geomanist Light" w:hAnsi="Geomanist Light" w:cs="Arial"/>
          <w:vertAlign w:val="superscript"/>
        </w:rPr>
        <w:footnoteReference w:id="14"/>
      </w:r>
      <w:r w:rsidRPr="005156E7">
        <w:rPr>
          <w:rFonts w:ascii="Geomanist Light" w:hAnsi="Geomanist Light" w:cs="Arial"/>
        </w:rPr>
        <w:t>, así como en el Decreto 1082 de 2015</w:t>
      </w:r>
      <w:r w:rsidRPr="005156E7">
        <w:rPr>
          <w:rFonts w:ascii="Geomanist Light" w:hAnsi="Geomanist Light" w:cs="Arial"/>
          <w:vertAlign w:val="superscript"/>
        </w:rPr>
        <w:footnoteReference w:id="15"/>
      </w:r>
      <w:r w:rsidRPr="005156E7">
        <w:rPr>
          <w:rFonts w:ascii="Geomanist Light" w:hAnsi="Geomanist Light" w:cs="Arial"/>
        </w:rPr>
        <w:t>,</w:t>
      </w:r>
      <w:r w:rsidR="00EA1778">
        <w:rPr>
          <w:rFonts w:ascii="Geomanist Light" w:hAnsi="Geomanist Light" w:cs="Arial"/>
        </w:rPr>
        <w:t xml:space="preserve"> y en </w:t>
      </w:r>
      <w:r w:rsidR="00EA1778" w:rsidRPr="00EA1778">
        <w:rPr>
          <w:rFonts w:ascii="Geomanist Light" w:hAnsi="Geomanist Light" w:cs="Arial"/>
          <w:lang w:val="es-ES"/>
        </w:rPr>
        <w:t>el Decreto 092 de 2017</w:t>
      </w:r>
      <w:r w:rsidR="00EA1778" w:rsidRPr="00EA1778">
        <w:rPr>
          <w:rFonts w:ascii="Geomanist Light" w:hAnsi="Geomanist Light" w:cs="Arial"/>
          <w:vertAlign w:val="superscript"/>
          <w:lang w:val="es-ES"/>
        </w:rPr>
        <w:footnoteReference w:id="16"/>
      </w:r>
      <w:r w:rsidR="00EA1778" w:rsidRPr="00EA1778">
        <w:rPr>
          <w:rFonts w:ascii="Geomanist Light" w:hAnsi="Geomanist Light" w:cs="Arial"/>
          <w:lang w:val="es-ES"/>
        </w:rPr>
        <w:t xml:space="preserve">, </w:t>
      </w:r>
      <w:r w:rsidRPr="005156E7">
        <w:rPr>
          <w:rFonts w:ascii="Geomanist Light" w:hAnsi="Geomanist Light" w:cs="Arial"/>
        </w:rPr>
        <w:t xml:space="preserve">el ordenamiento jurídico carece de una disposición legal que brinde una definición de subcontratación. Sin embargo, la jurisprudencia y la doctrina se han encargado de estudiar y analizar la naturaleza de esta figura y han construido los elementos y características propias de la subcontratación. </w:t>
      </w:r>
    </w:p>
    <w:p w14:paraId="096937F6" w14:textId="77777777" w:rsidR="005156E7" w:rsidRPr="005156E7" w:rsidRDefault="005156E7" w:rsidP="005156E7">
      <w:pPr>
        <w:spacing w:before="120" w:after="0" w:line="276" w:lineRule="auto"/>
        <w:ind w:firstLine="709"/>
        <w:jc w:val="both"/>
        <w:rPr>
          <w:rFonts w:ascii="Geomanist Light" w:hAnsi="Geomanist Light" w:cs="Arial"/>
        </w:rPr>
      </w:pPr>
      <w:r w:rsidRPr="005156E7">
        <w:rPr>
          <w:rFonts w:ascii="Geomanist Light" w:hAnsi="Geomanist Light" w:cs="Arial"/>
        </w:rPr>
        <w:lastRenderedPageBreak/>
        <w:t>La doctrina ha analizado la subcontratación en la contratación estatal, señalando que «La subcontratación supone la celebración de un contrato eventual y accesorio, entre un contratista del Estado y un tercero, sin que aquel tenga el deber, por regla general, de agotar un procedimiento previo de selección, por medio del cual el segundo sustituye parcial y materialmente al primero, quien conserva la dirección general del proyecto y es responsable ante la entidad estatal contratante por el cumplimiento íntegro de las obligaciones derivadas del contrato adjudicado»</w:t>
      </w:r>
      <w:r w:rsidRPr="005156E7">
        <w:rPr>
          <w:rFonts w:ascii="Geomanist Light" w:hAnsi="Geomanist Light" w:cs="Arial"/>
          <w:vertAlign w:val="superscript"/>
        </w:rPr>
        <w:footnoteReference w:id="17"/>
      </w:r>
      <w:r w:rsidRPr="005156E7">
        <w:rPr>
          <w:rFonts w:ascii="Geomanist Light" w:hAnsi="Geomanist Light" w:cs="Arial"/>
        </w:rPr>
        <w:t>. En el ámbito internacional se ha entendido a la subcontratación como «La práctica mercantil de organización productiva en virtud de la cual el contratista o subcontratista encarga a otro subcontratista o trabajador autónomo parte de lo que a él se le ha encomendado»</w:t>
      </w:r>
      <w:r w:rsidRPr="005156E7">
        <w:rPr>
          <w:rFonts w:ascii="Geomanist Light" w:hAnsi="Geomanist Light" w:cs="Arial"/>
          <w:vertAlign w:val="superscript"/>
        </w:rPr>
        <w:footnoteReference w:id="18"/>
      </w:r>
      <w:r w:rsidRPr="005156E7">
        <w:rPr>
          <w:rFonts w:ascii="Geomanist Light" w:hAnsi="Geomanist Light" w:cs="Arial"/>
          <w:vertAlign w:val="superscript"/>
        </w:rPr>
        <w:t>.</w:t>
      </w:r>
      <w:r w:rsidRPr="005156E7">
        <w:rPr>
          <w:rFonts w:ascii="Geomanist Light" w:hAnsi="Geomanist Light" w:cs="Arial"/>
        </w:rPr>
        <w:t xml:space="preserve"> En el marco de esta figura, se define el nivel de subcontratación como «Cada uno de los escalones en que se estructura el proceso de subcontratación que se desarrolla para la ejecución de la totalidad o parte de la obra asumida contractualmente por el contratista con el promotor»</w:t>
      </w:r>
      <w:r w:rsidRPr="005156E7">
        <w:rPr>
          <w:rFonts w:ascii="Geomanist Light" w:hAnsi="Geomanist Light" w:cs="Arial"/>
          <w:vertAlign w:val="superscript"/>
        </w:rPr>
        <w:footnoteReference w:id="19"/>
      </w:r>
      <w:r w:rsidRPr="005156E7">
        <w:rPr>
          <w:rFonts w:ascii="Geomanist Light" w:hAnsi="Geomanist Light" w:cs="Arial"/>
        </w:rPr>
        <w:t xml:space="preserve">. </w:t>
      </w:r>
    </w:p>
    <w:p w14:paraId="24947D62" w14:textId="77777777" w:rsidR="005156E7" w:rsidRPr="005156E7" w:rsidRDefault="005156E7" w:rsidP="005156E7">
      <w:pPr>
        <w:spacing w:before="120" w:after="0" w:line="276" w:lineRule="auto"/>
        <w:ind w:firstLine="709"/>
        <w:jc w:val="both"/>
        <w:rPr>
          <w:rFonts w:ascii="Geomanist Light" w:hAnsi="Geomanist Light" w:cs="Arial"/>
        </w:rPr>
      </w:pPr>
      <w:r w:rsidRPr="005156E7">
        <w:rPr>
          <w:rFonts w:ascii="Geomanist Light" w:hAnsi="Geomanist Light" w:cs="Arial"/>
        </w:rPr>
        <w:t>Por su parte, la Sección Tercera del Consejo de Estado, en Sentencia del 12 de agosto de 2013</w:t>
      </w:r>
      <w:r w:rsidRPr="0030320E">
        <w:rPr>
          <w:rFonts w:ascii="Geomanist Light" w:hAnsi="Geomanist Light" w:cs="Arial"/>
          <w:vertAlign w:val="superscript"/>
        </w:rPr>
        <w:footnoteReference w:id="20"/>
      </w:r>
      <w:r w:rsidRPr="005156E7">
        <w:rPr>
          <w:rFonts w:ascii="Geomanist Light" w:hAnsi="Geomanist Light" w:cs="Arial"/>
        </w:rPr>
        <w:t xml:space="preserve">, estructuró la definición y naturaleza del subcontrato reiterando lo señalado por la doctrina. Al respecto, indicó: </w:t>
      </w:r>
    </w:p>
    <w:p w14:paraId="6F9AE819" w14:textId="77777777" w:rsidR="005156E7" w:rsidRPr="005156E7" w:rsidRDefault="005156E7" w:rsidP="005156E7">
      <w:pPr>
        <w:spacing w:after="0" w:line="240" w:lineRule="auto"/>
        <w:ind w:right="618"/>
        <w:jc w:val="both"/>
        <w:rPr>
          <w:rFonts w:ascii="Arial" w:eastAsiaTheme="minorHAnsi" w:hAnsi="Arial" w:cs="Arial"/>
          <w:color w:val="0D0D0D" w:themeColor="text1" w:themeTint="F2"/>
          <w:sz w:val="21"/>
          <w:szCs w:val="21"/>
        </w:rPr>
      </w:pPr>
    </w:p>
    <w:p w14:paraId="24C6FC92" w14:textId="77777777" w:rsidR="005156E7" w:rsidRPr="0030320E" w:rsidRDefault="005156E7" w:rsidP="0030320E">
      <w:pPr>
        <w:spacing w:after="0" w:line="240" w:lineRule="auto"/>
        <w:ind w:left="709" w:right="709"/>
        <w:jc w:val="both"/>
        <w:rPr>
          <w:rFonts w:ascii="Geomanist Light" w:hAnsi="Geomanist Light" w:cs="Arial"/>
          <w:sz w:val="21"/>
          <w:szCs w:val="21"/>
        </w:rPr>
      </w:pPr>
      <w:r w:rsidRPr="0030320E">
        <w:rPr>
          <w:rFonts w:ascii="Geomanist Light" w:hAnsi="Geomanist Light" w:cs="Arial"/>
          <w:sz w:val="21"/>
          <w:szCs w:val="21"/>
        </w:rPr>
        <w:t xml:space="preserve">Esta institución hace surgir una relación jurídica autónoma entre el contratista del Estado y el sub contratista, es decir, independiente de la relación que preexiste entre el Estado y el contratista. En este sentido, las obligaciones que adquiere el sub contratista con el contratista sólo son exigibles entre ellos, y no vinculan a la entidad estatal –contratante-, en virtud del principio de relatividad del contrato –sólo produce efectos para las partes, no para terceros-, pero sin que ello limite o restrinja a la entidad estatal en la dirección general para ejercer el control y vigilancia de la ejecución del contrato, a que se refiere el artículo 14 de la Ley 80. </w:t>
      </w:r>
    </w:p>
    <w:p w14:paraId="00D43FB0" w14:textId="77777777" w:rsidR="005156E7" w:rsidRPr="0030320E" w:rsidRDefault="005156E7" w:rsidP="0030320E">
      <w:pPr>
        <w:spacing w:after="0" w:line="240" w:lineRule="auto"/>
        <w:ind w:left="709" w:right="709"/>
        <w:jc w:val="both"/>
        <w:rPr>
          <w:rFonts w:ascii="Geomanist Light" w:hAnsi="Geomanist Light" w:cs="Arial"/>
          <w:sz w:val="21"/>
          <w:szCs w:val="21"/>
        </w:rPr>
      </w:pPr>
      <w:r w:rsidRPr="0030320E">
        <w:rPr>
          <w:rFonts w:ascii="Geomanist Light" w:hAnsi="Geomanist Light" w:cs="Arial"/>
          <w:sz w:val="21"/>
          <w:szCs w:val="21"/>
        </w:rPr>
        <w:t xml:space="preserve"> </w:t>
      </w:r>
    </w:p>
    <w:p w14:paraId="699C03D3" w14:textId="77777777" w:rsidR="005156E7" w:rsidRPr="0030320E" w:rsidRDefault="005156E7" w:rsidP="0030320E">
      <w:pPr>
        <w:spacing w:after="0" w:line="240" w:lineRule="auto"/>
        <w:ind w:left="709" w:right="709"/>
        <w:jc w:val="both"/>
        <w:rPr>
          <w:rFonts w:ascii="Geomanist Light" w:hAnsi="Geomanist Light" w:cs="Arial"/>
          <w:sz w:val="21"/>
          <w:szCs w:val="21"/>
        </w:rPr>
      </w:pPr>
      <w:r w:rsidRPr="0030320E">
        <w:rPr>
          <w:rFonts w:ascii="Geomanist Light" w:hAnsi="Geomanist Light" w:cs="Arial"/>
          <w:sz w:val="21"/>
          <w:szCs w:val="21"/>
        </w:rPr>
        <w:t>En este sentido, el contratista conserva frente a la entidad pública la responsabilidad por la ejecución del contrato, así que desde el punto de vista subjetivo la sub contratación es material y no jurídica, porque traslada el cumplimiento del contrato a un tercero, pero no sustituye al contratista.</w:t>
      </w:r>
    </w:p>
    <w:p w14:paraId="214B9B09" w14:textId="77777777" w:rsidR="005156E7" w:rsidRPr="0030320E" w:rsidRDefault="005156E7" w:rsidP="0030320E">
      <w:pPr>
        <w:spacing w:after="0" w:line="240" w:lineRule="auto"/>
        <w:ind w:left="709" w:right="709"/>
        <w:jc w:val="both"/>
        <w:rPr>
          <w:rFonts w:ascii="Geomanist Light" w:hAnsi="Geomanist Light" w:cs="Arial"/>
          <w:sz w:val="21"/>
          <w:szCs w:val="21"/>
        </w:rPr>
      </w:pPr>
    </w:p>
    <w:p w14:paraId="6C875DFE" w14:textId="77777777" w:rsidR="005156E7" w:rsidRPr="0030320E" w:rsidRDefault="005156E7" w:rsidP="0030320E">
      <w:pPr>
        <w:spacing w:after="0" w:line="240" w:lineRule="auto"/>
        <w:ind w:left="709" w:right="709"/>
        <w:jc w:val="both"/>
        <w:rPr>
          <w:rFonts w:ascii="Geomanist Light" w:hAnsi="Geomanist Light" w:cs="Arial"/>
          <w:sz w:val="21"/>
          <w:szCs w:val="21"/>
        </w:rPr>
      </w:pPr>
      <w:r w:rsidRPr="0030320E">
        <w:rPr>
          <w:rFonts w:ascii="Geomanist Light" w:hAnsi="Geomanist Light" w:cs="Arial"/>
          <w:sz w:val="21"/>
          <w:szCs w:val="21"/>
        </w:rPr>
        <w:lastRenderedPageBreak/>
        <w:t>La subcontratación es la celebración de un contrato accesorio a otro principal, entre un contratista del Estado y un tercero, en virtud del cual el subcontratista o tercero sustituye parcial y materialmente al primero, quien conserva la dirección general del proyecto y es responsable ante la entidad estatal contratante por el cumplimiento íntegro de las obligaciones derivadas del contrato adjudicado. Esta institución hace surgir una relación jurídica autónoma entre el contratista del Estado y el subcontratista, es decir, independiente de la relación que preexiste entre el Estado y el contratista. En este sentido, las obligaciones que adquiere el sub contratista con el contratista sólo son exigibles entre ellos, y no vinculan a la entidad estatal –contratante-, en virtud del principio de relatividad del contrato –sólo produce efectos para las partes, no para terceros-, pero sin que ello limite o restrinja a la entidad estatal en la dirección general para ejercer el control y vigilancia de la ejecución del contrato, a que se refiere el artículo 14 de la Ley 80.</w:t>
      </w:r>
    </w:p>
    <w:p w14:paraId="202DBC2E" w14:textId="77777777" w:rsidR="005156E7" w:rsidRPr="005156E7" w:rsidRDefault="005156E7" w:rsidP="005156E7">
      <w:pPr>
        <w:spacing w:after="0" w:line="240" w:lineRule="auto"/>
        <w:ind w:right="618"/>
        <w:jc w:val="both"/>
        <w:rPr>
          <w:rFonts w:ascii="Arial" w:eastAsiaTheme="minorHAnsi" w:hAnsi="Arial" w:cs="Arial"/>
          <w:color w:val="0D0D0D" w:themeColor="text1" w:themeTint="F2"/>
          <w:sz w:val="21"/>
          <w:szCs w:val="21"/>
          <w:lang w:val="es-MX"/>
        </w:rPr>
      </w:pPr>
    </w:p>
    <w:p w14:paraId="15990190" w14:textId="77777777" w:rsidR="005156E7" w:rsidRPr="005156E7" w:rsidRDefault="005156E7" w:rsidP="0030320E">
      <w:pPr>
        <w:spacing w:after="0" w:line="276" w:lineRule="auto"/>
        <w:ind w:firstLine="709"/>
        <w:jc w:val="both"/>
        <w:rPr>
          <w:rFonts w:ascii="Geomanist Light" w:hAnsi="Geomanist Light" w:cs="Arial"/>
        </w:rPr>
      </w:pPr>
      <w:r w:rsidRPr="005156E7">
        <w:rPr>
          <w:rFonts w:ascii="Geomanist Light" w:hAnsi="Geomanist Light" w:cs="Arial"/>
        </w:rPr>
        <w:t>De lo expuesto se resaltan, como características esenciales de la subcontratación, las siguientes: i) es un contrato eventual, ii) es un contrato accesorio, pues asegura el cumplimiento de otro contrato –principal–, iii) la relación jurídica que surge entre el contratista del Estado y el tercero es independiente y autónoma de la entidad contratante, iv) la sustitución es parcial, lo que significa que no podrán subcontratar la ejecución total del contrato principal y v) la sustitución es material y no jurídica; por lo tanto, no relevará al contratista del Estado de las responsabilidades emanadas del contrato principal.</w:t>
      </w:r>
    </w:p>
    <w:p w14:paraId="29DDA46A" w14:textId="77777777" w:rsidR="005156E7" w:rsidRPr="005156E7" w:rsidRDefault="005156E7" w:rsidP="005156E7">
      <w:pPr>
        <w:spacing w:before="120" w:after="0" w:line="276" w:lineRule="auto"/>
        <w:ind w:firstLine="709"/>
        <w:jc w:val="both"/>
        <w:rPr>
          <w:rFonts w:ascii="Geomanist Light" w:hAnsi="Geomanist Light" w:cs="Arial"/>
        </w:rPr>
      </w:pPr>
      <w:r w:rsidRPr="005156E7">
        <w:rPr>
          <w:rFonts w:ascii="Geomanist Light" w:hAnsi="Geomanist Light" w:cs="Arial"/>
        </w:rPr>
        <w:t xml:space="preserve">En este sentido, la subcontratación implica la celebración de un contrato derivado de otro principal cuyo propósito es ejecutar parcialmente este último. Dentro de este marco, podrían presentarse niveles de subcontratación, es decir, los escalones en que se estructura el proceso de subcontratación. Estos niveles no excluyen el carácter de contrato derivado de estos subcontratos, puesto que sus objetos se encuentran en función de la realización material del contrato principal. </w:t>
      </w:r>
    </w:p>
    <w:p w14:paraId="36F94BB4" w14:textId="7BF29C57" w:rsidR="005156E7" w:rsidRPr="005156E7" w:rsidRDefault="005156E7" w:rsidP="005156E7">
      <w:pPr>
        <w:spacing w:before="120" w:after="0" w:line="276" w:lineRule="auto"/>
        <w:ind w:firstLine="709"/>
        <w:jc w:val="both"/>
        <w:rPr>
          <w:rFonts w:ascii="Geomanist Light" w:hAnsi="Geomanist Light" w:cs="Arial"/>
        </w:rPr>
      </w:pPr>
      <w:r w:rsidRPr="005156E7">
        <w:rPr>
          <w:rFonts w:ascii="Geomanist Light" w:hAnsi="Geomanist Light" w:cs="Arial"/>
        </w:rPr>
        <w:t>Debido a la escasa regulación normativa, la subcontratación en materia de contratación pública estará supeditada a lo dispuesto en el pliego de condiciones y en el contrato</w:t>
      </w:r>
      <w:r w:rsidR="00EA1778" w:rsidRPr="00EA1778">
        <w:rPr>
          <w:rFonts w:ascii="Geomanist Light" w:hAnsi="Geomanist Light" w:cs="Arial"/>
        </w:rPr>
        <w:t>, sin perjuicio de las limitaciones establecidas por la ley, como se estudiará continuación</w:t>
      </w:r>
      <w:r w:rsidRPr="005156E7">
        <w:rPr>
          <w:rFonts w:ascii="Geomanist Light" w:hAnsi="Geomanist Light" w:cs="Arial"/>
        </w:rPr>
        <w:t xml:space="preserve">. </w:t>
      </w:r>
      <w:r w:rsidR="00EA1778" w:rsidRPr="00EA1778">
        <w:rPr>
          <w:rFonts w:ascii="Geomanist Light" w:hAnsi="Geomanist Light" w:cs="Arial"/>
        </w:rPr>
        <w:t>De esta manera, su configuración dependerá de las condiciones definidas en el acuerdo de voluntades, de tal forma que si esta no se permite para determinadas actividades, está sujeta a la autorización previa de la entidad o al cumplimiento de algún otro requisito, el contratista no podrá subcontratar sin su autorización o sin el cumplimiento de la condición establecida en el negocio jurídico.</w:t>
      </w:r>
    </w:p>
    <w:p w14:paraId="14DA0006" w14:textId="77777777" w:rsidR="005156E7" w:rsidRPr="005156E7" w:rsidRDefault="005156E7" w:rsidP="005156E7">
      <w:pPr>
        <w:spacing w:before="120" w:after="0" w:line="276" w:lineRule="auto"/>
        <w:ind w:firstLine="709"/>
        <w:jc w:val="both"/>
        <w:rPr>
          <w:rFonts w:ascii="Geomanist Light" w:hAnsi="Geomanist Light" w:cs="Arial"/>
        </w:rPr>
      </w:pPr>
      <w:r w:rsidRPr="005156E7">
        <w:rPr>
          <w:rFonts w:ascii="Geomanist Light" w:hAnsi="Geomanist Light" w:cs="Arial"/>
        </w:rPr>
        <w:t xml:space="preserve">Aunque el subcontrato es un contrato autónomo e independiente del contrato principal, en materia de contratación estatal, es recomendable –en ciertos eventos–, que las entidades estatales, exijan en el contrato la autorización previa y expresa para la subcontratación. Esto permite a la entidad estatal controlar las condiciones bajo las cuales se ejecutará el contrato, asegurar el cumplimiento de este bajo un esquema de transparencia y garantizar que no se infrinjan </w:t>
      </w:r>
      <w:r w:rsidRPr="005156E7">
        <w:rPr>
          <w:rFonts w:ascii="Geomanist Light" w:hAnsi="Geomanist Light" w:cs="Arial"/>
        </w:rPr>
        <w:lastRenderedPageBreak/>
        <w:t xml:space="preserve">los principios de la contratación estatal. De esta manera, la autorización de la entidad contratante es importante –aunque no obligatoria de acuerdo con la ley– para que las actividades contratadas puedan ejecutarse de forma parcial por un tercero, sin que el contratista se desprenda de las responsabilidades derivadas del contrato. Por consiguiente, en el evento en que en el contrato principal se haya pactado dicha autorización, los subcontratos que se celebren deberán respetar esta estipulación, so pena de un posible incumplimiento del contrato. </w:t>
      </w:r>
    </w:p>
    <w:p w14:paraId="0A3FB289" w14:textId="2A78488B" w:rsidR="005156E7" w:rsidRPr="005156E7" w:rsidRDefault="005156E7" w:rsidP="005156E7">
      <w:pPr>
        <w:spacing w:before="120" w:after="0" w:line="276" w:lineRule="auto"/>
        <w:ind w:firstLine="709"/>
        <w:jc w:val="both"/>
        <w:rPr>
          <w:rFonts w:ascii="Geomanist Light" w:hAnsi="Geomanist Light" w:cs="Arial"/>
        </w:rPr>
      </w:pPr>
      <w:r w:rsidRPr="005156E7">
        <w:rPr>
          <w:rFonts w:ascii="Geomanist Light" w:hAnsi="Geomanist Light" w:cs="Arial"/>
        </w:rPr>
        <w:t xml:space="preserve">Así las cosas, </w:t>
      </w:r>
      <w:r w:rsidR="00D20D14" w:rsidRPr="00D20D14">
        <w:rPr>
          <w:rFonts w:ascii="Geomanist Light" w:hAnsi="Geomanist Light" w:cs="Arial"/>
          <w:bCs/>
        </w:rPr>
        <w:t>se colige que</w:t>
      </w:r>
      <w:r w:rsidR="00D20D14" w:rsidRPr="00D20D14">
        <w:rPr>
          <w:rFonts w:ascii="Geomanist Light" w:hAnsi="Geomanist Light" w:cs="Arial"/>
          <w:lang w:val="es-ES"/>
        </w:rPr>
        <w:t xml:space="preserve"> </w:t>
      </w:r>
      <w:bookmarkStart w:id="3" w:name="_Hlk113478384"/>
      <w:r w:rsidR="00D20D14" w:rsidRPr="00D20D14">
        <w:rPr>
          <w:rFonts w:ascii="Geomanist Light" w:hAnsi="Geomanist Light" w:cs="Arial"/>
          <w:lang w:val="es-ES"/>
        </w:rPr>
        <w:t xml:space="preserve">aunque </w:t>
      </w:r>
      <w:r w:rsidR="001A28A9">
        <w:rPr>
          <w:rFonts w:ascii="Geomanist Light" w:hAnsi="Geomanist Light" w:cs="Arial"/>
          <w:lang w:val="es-ES"/>
        </w:rPr>
        <w:t>hay</w:t>
      </w:r>
      <w:r w:rsidR="00D20D14" w:rsidRPr="00D20D14">
        <w:rPr>
          <w:rFonts w:ascii="Geomanist Light" w:hAnsi="Geomanist Light" w:cs="Arial"/>
          <w:lang w:val="es-ES"/>
        </w:rPr>
        <w:t xml:space="preserve"> ausencia de regulación específica de la subcontratación, </w:t>
      </w:r>
      <w:r w:rsidR="00D20D14" w:rsidRPr="00D20D14">
        <w:rPr>
          <w:rFonts w:ascii="Geomanist Light" w:hAnsi="Geomanist Light" w:cs="Arial"/>
          <w:bCs/>
        </w:rPr>
        <w:t xml:space="preserve">esta no se encuentra proscrita en materia de contratación pública; pero sí encuentra limites en su aplicación en </w:t>
      </w:r>
      <w:bookmarkStart w:id="4" w:name="_Hlk113472119"/>
      <w:r w:rsidR="00D20D14" w:rsidRPr="00D20D14">
        <w:rPr>
          <w:rFonts w:ascii="Geomanist Light" w:hAnsi="Geomanist Light" w:cs="Arial"/>
          <w:bCs/>
        </w:rPr>
        <w:t>el principio de la autonomía de la voluntad, representada en lo pactado en el contrato principal</w:t>
      </w:r>
      <w:bookmarkEnd w:id="4"/>
      <w:r w:rsidR="00D20D14" w:rsidRPr="00D20D14">
        <w:rPr>
          <w:rFonts w:ascii="Geomanist Light" w:hAnsi="Geomanist Light" w:cs="Arial"/>
          <w:bCs/>
        </w:rPr>
        <w:t>, y en algunas normas específicas</w:t>
      </w:r>
      <w:bookmarkEnd w:id="3"/>
      <w:r w:rsidRPr="005156E7">
        <w:rPr>
          <w:rFonts w:ascii="Geomanist Light" w:hAnsi="Geomanist Light" w:cs="Arial"/>
        </w:rPr>
        <w:t xml:space="preserve">. Una de estas restricciones normativas se encuentra el literal c del numeral 4 del artículo 2 de la Ley 1150 de 2007, precisamente referente a los contratos interadministrativos. Según el inciso cuarto de este literal «En aquellos casos en que la entidad estatal ejecutora deba </w:t>
      </w:r>
      <w:r w:rsidRPr="005156E7">
        <w:rPr>
          <w:rFonts w:ascii="Geomanist Light" w:hAnsi="Geomanist Light" w:cs="Arial"/>
          <w:i/>
          <w:iCs/>
        </w:rPr>
        <w:t>subcontratar algunas de las actividades derivadas del contrato principal,</w:t>
      </w:r>
      <w:r w:rsidRPr="005156E7">
        <w:rPr>
          <w:rFonts w:ascii="Geomanist Light" w:hAnsi="Geomanist Light" w:cs="Arial"/>
        </w:rPr>
        <w:t xml:space="preserve"> no podrá ni ella ni el subcontratista, contratar o vincular a las personas naturales o jurídicas que hayan participado en la elaboración de los estudios, diseños y proyectos que tengan relación directa con el objeto del contrato principal</w:t>
      </w:r>
      <w:bookmarkStart w:id="5" w:name="_Hlk112085216"/>
      <w:r w:rsidRPr="005156E7">
        <w:rPr>
          <w:rFonts w:ascii="Geomanist Light" w:hAnsi="Geomanist Light" w:cs="Arial"/>
        </w:rPr>
        <w:t>»</w:t>
      </w:r>
      <w:bookmarkEnd w:id="5"/>
      <w:r w:rsidRPr="005156E7">
        <w:rPr>
          <w:rFonts w:ascii="Geomanist Light" w:hAnsi="Geomanist Light" w:cs="Arial"/>
        </w:rPr>
        <w:t xml:space="preserve"> (Énfasis por fuera de texto).</w:t>
      </w:r>
    </w:p>
    <w:p w14:paraId="48B0E8C4" w14:textId="219BA32A" w:rsidR="005156E7" w:rsidRDefault="005156E7" w:rsidP="005156E7">
      <w:pPr>
        <w:spacing w:before="120" w:after="0" w:line="276" w:lineRule="auto"/>
        <w:ind w:firstLine="709"/>
        <w:jc w:val="both"/>
        <w:rPr>
          <w:rFonts w:ascii="Geomanist Light" w:hAnsi="Geomanist Light" w:cs="Arial"/>
        </w:rPr>
      </w:pPr>
      <w:r w:rsidRPr="005156E7">
        <w:rPr>
          <w:rFonts w:ascii="Geomanist Light" w:hAnsi="Geomanist Light" w:cs="Arial"/>
        </w:rPr>
        <w:t>De lo anterior se destaca lo siguiente: i) la norma se refiere a la subcontratación de algunas de las actividades derivadas del contrato principal, de lo cual se puede colegir que la subcontratación es permitida en los contratos interadministrativos pero en relación con algunas actividades y no la totalidad de estas. Lo anterior se fundamenta, además, en que la subcontratación total de las actividades del contrato supondría una subrogación material del contratista, en posible contravía de los principios de la contratación pública. De esta manera, solo podría realizarse la subcontratación parcial de las obligaciones del contrato interadministrativo. ii) Ni la entidad ejecutora ni el subcontratista podrá subcontratar a las personas que hayan participado en la elaboración de estudios, diseños y proyectos del contrato principal. De este modo, se reitera la posibilidad de subcontratar en el marco de un contrato interadministrativo; no obstante, se limita esta subcontratación en relación con ciertas personas naturales o jurídicas.</w:t>
      </w:r>
    </w:p>
    <w:p w14:paraId="1C69AF4B" w14:textId="043B8E4D" w:rsidR="00282903" w:rsidRDefault="00282903" w:rsidP="00282903">
      <w:pPr>
        <w:spacing w:before="120" w:after="0" w:line="276" w:lineRule="auto"/>
        <w:ind w:firstLine="709"/>
        <w:jc w:val="both"/>
        <w:rPr>
          <w:rFonts w:ascii="Geomanist Light" w:hAnsi="Geomanist Light" w:cs="Arial"/>
          <w:bCs/>
          <w:lang w:val="es-MX"/>
        </w:rPr>
      </w:pPr>
      <w:r w:rsidRPr="00282903">
        <w:rPr>
          <w:rFonts w:ascii="Geomanist Light" w:hAnsi="Geomanist Light" w:cs="Arial"/>
          <w:bCs/>
        </w:rPr>
        <w:t xml:space="preserve">En relación con este aspecto, </w:t>
      </w:r>
      <w:r w:rsidR="00AC1A09">
        <w:rPr>
          <w:rFonts w:ascii="Geomanist Light" w:hAnsi="Geomanist Light" w:cs="Arial"/>
          <w:bCs/>
        </w:rPr>
        <w:t xml:space="preserve">para efectos de la consulta, </w:t>
      </w:r>
      <w:r w:rsidRPr="00282903">
        <w:rPr>
          <w:rFonts w:ascii="Geomanist Light" w:hAnsi="Geomanist Light" w:cs="Arial"/>
          <w:bCs/>
        </w:rPr>
        <w:t xml:space="preserve">es preciso señalar que cuando </w:t>
      </w:r>
      <w:r w:rsidR="00656ABF">
        <w:rPr>
          <w:rFonts w:ascii="Geomanist Light" w:hAnsi="Geomanist Light" w:cs="Arial"/>
          <w:bCs/>
        </w:rPr>
        <w:t xml:space="preserve">el inciso cuarto del </w:t>
      </w:r>
      <w:r w:rsidR="00656ABF" w:rsidRPr="005156E7">
        <w:rPr>
          <w:rFonts w:ascii="Geomanist Light" w:hAnsi="Geomanist Light" w:cs="Arial"/>
        </w:rPr>
        <w:t>literal c del numeral 4 del artículo 2 de la Ley 1150 de 2007</w:t>
      </w:r>
      <w:r w:rsidRPr="00282903">
        <w:rPr>
          <w:rFonts w:ascii="Geomanist Light" w:hAnsi="Geomanist Light" w:cs="Arial"/>
          <w:bCs/>
        </w:rPr>
        <w:t xml:space="preserve"> se refiere </w:t>
      </w:r>
      <w:r w:rsidR="00E125D6">
        <w:rPr>
          <w:rFonts w:ascii="Geomanist Light" w:hAnsi="Geomanist Light" w:cs="Arial"/>
          <w:bCs/>
        </w:rPr>
        <w:t xml:space="preserve">al evento en que </w:t>
      </w:r>
      <w:r w:rsidR="00E125D6" w:rsidRPr="00E125D6">
        <w:rPr>
          <w:rFonts w:ascii="Geomanist Light" w:hAnsi="Geomanist Light" w:cs="Arial"/>
        </w:rPr>
        <w:t>la entidad estatal ejecutora deba subcontratar algunas de las actividades derivadas del</w:t>
      </w:r>
      <w:r w:rsidR="00E125D6" w:rsidRPr="005156E7">
        <w:rPr>
          <w:rFonts w:ascii="Geomanist Light" w:hAnsi="Geomanist Light" w:cs="Arial"/>
          <w:i/>
          <w:iCs/>
        </w:rPr>
        <w:t xml:space="preserve"> contrato principal</w:t>
      </w:r>
      <w:r w:rsidR="00E125D6">
        <w:rPr>
          <w:rFonts w:ascii="Geomanist Light" w:hAnsi="Geomanist Light" w:cs="Arial"/>
          <w:bCs/>
        </w:rPr>
        <w:t xml:space="preserve">, </w:t>
      </w:r>
      <w:r w:rsidRPr="00282903">
        <w:rPr>
          <w:rFonts w:ascii="Geomanist Light" w:hAnsi="Geomanist Light" w:cs="Arial"/>
          <w:bCs/>
          <w:lang w:val="es-MX"/>
        </w:rPr>
        <w:t>debe entenderse que</w:t>
      </w:r>
      <w:r w:rsidR="00EC74B9">
        <w:rPr>
          <w:rFonts w:ascii="Geomanist Light" w:hAnsi="Geomanist Light" w:cs="Arial"/>
          <w:bCs/>
          <w:lang w:val="es-MX"/>
        </w:rPr>
        <w:t xml:space="preserve"> este se</w:t>
      </w:r>
      <w:r w:rsidRPr="00282903">
        <w:rPr>
          <w:rFonts w:ascii="Geomanist Light" w:hAnsi="Geomanist Light" w:cs="Arial"/>
          <w:bCs/>
          <w:lang w:val="es-MX"/>
        </w:rPr>
        <w:t xml:space="preserve"> trata del contrato interadministrativo del cual se deriva</w:t>
      </w:r>
      <w:r w:rsidR="00AC1A09">
        <w:rPr>
          <w:rFonts w:ascii="Geomanist Light" w:hAnsi="Geomanist Light" w:cs="Arial"/>
          <w:bCs/>
          <w:lang w:val="es-MX"/>
        </w:rPr>
        <w:t xml:space="preserve"> el subcontrato</w:t>
      </w:r>
      <w:r w:rsidR="00B67C44">
        <w:rPr>
          <w:rFonts w:ascii="Geomanist Light" w:hAnsi="Geomanist Light" w:cs="Arial"/>
          <w:bCs/>
          <w:lang w:val="es-MX"/>
        </w:rPr>
        <w:t xml:space="preserve">, </w:t>
      </w:r>
      <w:r w:rsidRPr="00282903">
        <w:rPr>
          <w:rFonts w:ascii="Geomanist Light" w:hAnsi="Geomanist Light" w:cs="Arial"/>
          <w:bCs/>
          <w:lang w:val="es-MX"/>
        </w:rPr>
        <w:t xml:space="preserve">que </w:t>
      </w:r>
      <w:r w:rsidR="00AC1A09">
        <w:rPr>
          <w:rFonts w:ascii="Geomanist Light" w:hAnsi="Geomanist Light" w:cs="Arial"/>
          <w:bCs/>
          <w:lang w:val="es-MX"/>
        </w:rPr>
        <w:t xml:space="preserve">aunque es </w:t>
      </w:r>
      <w:r w:rsidRPr="00282903">
        <w:rPr>
          <w:rFonts w:ascii="Geomanist Light" w:hAnsi="Geomanist Light" w:cs="Arial"/>
          <w:bCs/>
          <w:lang w:val="es-MX"/>
        </w:rPr>
        <w:t>accesori</w:t>
      </w:r>
      <w:r w:rsidR="00AC1A09">
        <w:rPr>
          <w:rFonts w:ascii="Geomanist Light" w:hAnsi="Geomanist Light" w:cs="Arial"/>
          <w:bCs/>
          <w:lang w:val="es-MX"/>
        </w:rPr>
        <w:t>o</w:t>
      </w:r>
      <w:r w:rsidRPr="00282903">
        <w:rPr>
          <w:rFonts w:ascii="Geomanist Light" w:hAnsi="Geomanist Light" w:cs="Arial"/>
          <w:bCs/>
          <w:lang w:val="es-MX"/>
        </w:rPr>
        <w:t>, independiente y autónom</w:t>
      </w:r>
      <w:r w:rsidR="00AC1A09">
        <w:rPr>
          <w:rFonts w:ascii="Geomanist Light" w:hAnsi="Geomanist Light" w:cs="Arial"/>
          <w:bCs/>
          <w:lang w:val="es-MX"/>
        </w:rPr>
        <w:t>o</w:t>
      </w:r>
      <w:r w:rsidRPr="00282903">
        <w:rPr>
          <w:rFonts w:ascii="Geomanist Light" w:hAnsi="Geomanist Light" w:cs="Arial"/>
          <w:bCs/>
          <w:lang w:val="es-MX"/>
        </w:rPr>
        <w:t xml:space="preserve"> de aquel</w:t>
      </w:r>
      <w:r w:rsidR="00AC1A09">
        <w:rPr>
          <w:rFonts w:ascii="Geomanist Light" w:hAnsi="Geomanist Light" w:cs="Arial"/>
          <w:bCs/>
          <w:lang w:val="es-MX"/>
        </w:rPr>
        <w:t xml:space="preserve">, </w:t>
      </w:r>
      <w:r w:rsidR="00AE7F9E">
        <w:rPr>
          <w:rFonts w:ascii="Geomanist Light" w:hAnsi="Geomanist Light" w:cs="Arial"/>
          <w:bCs/>
          <w:lang w:val="es-MX"/>
        </w:rPr>
        <w:t xml:space="preserve">esto no </w:t>
      </w:r>
      <w:r w:rsidR="00AC1A09">
        <w:rPr>
          <w:rFonts w:ascii="Geomanist Light" w:hAnsi="Geomanist Light" w:cs="Arial"/>
          <w:bCs/>
          <w:lang w:val="es-MX"/>
        </w:rPr>
        <w:t xml:space="preserve">desvirtúa su </w:t>
      </w:r>
      <w:r w:rsidR="00E125D6">
        <w:rPr>
          <w:rFonts w:ascii="Geomanist Light" w:hAnsi="Geomanist Light" w:cs="Arial"/>
          <w:bCs/>
          <w:lang w:val="es-MX"/>
        </w:rPr>
        <w:t>naturaleza</w:t>
      </w:r>
      <w:r w:rsidR="00AC1A09">
        <w:rPr>
          <w:rFonts w:ascii="Geomanist Light" w:hAnsi="Geomanist Light" w:cs="Arial"/>
          <w:bCs/>
          <w:lang w:val="es-MX"/>
        </w:rPr>
        <w:t xml:space="preserve"> de subcontrato</w:t>
      </w:r>
      <w:r w:rsidRPr="00282903">
        <w:rPr>
          <w:rFonts w:ascii="Geomanist Light" w:hAnsi="Geomanist Light" w:cs="Arial"/>
          <w:bCs/>
          <w:lang w:val="es-MX"/>
        </w:rPr>
        <w:t>.</w:t>
      </w:r>
      <w:r w:rsidR="002B45A0">
        <w:rPr>
          <w:rFonts w:ascii="Geomanist Light" w:hAnsi="Geomanist Light" w:cs="Arial"/>
          <w:bCs/>
          <w:lang w:val="es-MX"/>
        </w:rPr>
        <w:t xml:space="preserve"> En tal sentido, e</w:t>
      </w:r>
      <w:r w:rsidRPr="00282903">
        <w:rPr>
          <w:rFonts w:ascii="Geomanist Light" w:hAnsi="Geomanist Light" w:cs="Arial"/>
          <w:bCs/>
          <w:lang w:val="es-MX"/>
        </w:rPr>
        <w:t>n caso de que se realice</w:t>
      </w:r>
      <w:r>
        <w:rPr>
          <w:rFonts w:ascii="Geomanist Light" w:hAnsi="Geomanist Light" w:cs="Arial"/>
          <w:bCs/>
          <w:lang w:val="es-MX"/>
        </w:rPr>
        <w:t xml:space="preserve"> la</w:t>
      </w:r>
      <w:r w:rsidRPr="00282903">
        <w:rPr>
          <w:rFonts w:ascii="Geomanist Light" w:hAnsi="Geomanist Light" w:cs="Arial"/>
          <w:bCs/>
          <w:lang w:val="es-MX"/>
        </w:rPr>
        <w:t xml:space="preserve"> subcontratación</w:t>
      </w:r>
      <w:r>
        <w:rPr>
          <w:rFonts w:ascii="Geomanist Light" w:hAnsi="Geomanist Light" w:cs="Arial"/>
          <w:bCs/>
          <w:lang w:val="es-MX"/>
        </w:rPr>
        <w:t xml:space="preserve"> en el marco del contrato principal</w:t>
      </w:r>
      <w:r w:rsidRPr="00282903">
        <w:rPr>
          <w:rFonts w:ascii="Geomanist Light" w:hAnsi="Geomanist Light" w:cs="Arial"/>
          <w:bCs/>
          <w:lang w:val="es-MX"/>
        </w:rPr>
        <w:t>, estos subcontratos se consideran derivados de</w:t>
      </w:r>
      <w:r w:rsidR="002B45A0">
        <w:rPr>
          <w:rFonts w:ascii="Geomanist Light" w:hAnsi="Geomanist Light" w:cs="Arial"/>
          <w:bCs/>
          <w:lang w:val="es-MX"/>
        </w:rPr>
        <w:t>l</w:t>
      </w:r>
      <w:r w:rsidR="002B45A0" w:rsidRPr="002B45A0">
        <w:rPr>
          <w:rFonts w:ascii="Geomanist Light" w:hAnsi="Geomanist Light" w:cs="Arial"/>
          <w:bCs/>
          <w:lang w:val="es-MX"/>
        </w:rPr>
        <w:t xml:space="preserve"> </w:t>
      </w:r>
      <w:r w:rsidR="002B45A0" w:rsidRPr="00282903">
        <w:rPr>
          <w:rFonts w:ascii="Geomanist Light" w:hAnsi="Geomanist Light" w:cs="Arial"/>
          <w:bCs/>
          <w:lang w:val="es-MX"/>
        </w:rPr>
        <w:t>contrato</w:t>
      </w:r>
      <w:r w:rsidR="002B45A0">
        <w:rPr>
          <w:rFonts w:ascii="Geomanist Light" w:hAnsi="Geomanist Light" w:cs="Arial"/>
          <w:bCs/>
          <w:lang w:val="es-MX"/>
        </w:rPr>
        <w:t xml:space="preserve"> interadministrativo. </w:t>
      </w:r>
    </w:p>
    <w:p w14:paraId="1D76945C" w14:textId="31D98484" w:rsidR="00282903" w:rsidRPr="00282903" w:rsidRDefault="00AC1A09" w:rsidP="00AC1A09">
      <w:pPr>
        <w:spacing w:before="120" w:after="0" w:line="276" w:lineRule="auto"/>
        <w:ind w:firstLine="709"/>
        <w:jc w:val="both"/>
        <w:rPr>
          <w:rFonts w:ascii="Geomanist Light" w:hAnsi="Geomanist Light" w:cs="Arial"/>
          <w:bCs/>
          <w:lang w:val="es-MX"/>
        </w:rPr>
      </w:pPr>
      <w:r>
        <w:rPr>
          <w:rFonts w:ascii="Geomanist Light" w:hAnsi="Geomanist Light" w:cs="Arial"/>
          <w:bCs/>
          <w:lang w:val="es-MX"/>
        </w:rPr>
        <w:lastRenderedPageBreak/>
        <w:t xml:space="preserve">Frente a este punto, resulta de especial importancia el concepto de </w:t>
      </w:r>
      <w:r w:rsidRPr="005156E7">
        <w:rPr>
          <w:rFonts w:ascii="Geomanist Light" w:hAnsi="Geomanist Light" w:cs="Arial"/>
        </w:rPr>
        <w:t>subcontratación</w:t>
      </w:r>
      <w:r>
        <w:rPr>
          <w:rFonts w:ascii="Geomanist Light" w:hAnsi="Geomanist Light" w:cs="Arial"/>
        </w:rPr>
        <w:t xml:space="preserve"> explicado en párrafos anteriores, </w:t>
      </w:r>
      <w:r w:rsidR="00F1062E">
        <w:rPr>
          <w:rFonts w:ascii="Geomanist Light" w:hAnsi="Geomanist Light" w:cs="Arial"/>
        </w:rPr>
        <w:t xml:space="preserve">que explica esta </w:t>
      </w:r>
      <w:r>
        <w:rPr>
          <w:rFonts w:ascii="Geomanist Light" w:hAnsi="Geomanist Light" w:cs="Arial"/>
        </w:rPr>
        <w:t xml:space="preserve">como </w:t>
      </w:r>
      <w:r w:rsidR="00282903" w:rsidRPr="005156E7">
        <w:rPr>
          <w:rFonts w:ascii="Geomanist Light" w:hAnsi="Geomanist Light" w:cs="Arial"/>
        </w:rPr>
        <w:t xml:space="preserve">la celebración de un contrato accesorio a otro principal entre un contratista del Estado y un tercero, en virtud del cual el subcontratista sustituye parcial y materialmente al primero, quien </w:t>
      </w:r>
      <w:r w:rsidR="006146AF">
        <w:rPr>
          <w:rFonts w:ascii="Geomanist Light" w:hAnsi="Geomanist Light" w:cs="Arial"/>
        </w:rPr>
        <w:t>continúa siendo</w:t>
      </w:r>
      <w:r w:rsidR="00282903" w:rsidRPr="005156E7">
        <w:rPr>
          <w:rFonts w:ascii="Geomanist Light" w:hAnsi="Geomanist Light" w:cs="Arial"/>
        </w:rPr>
        <w:t xml:space="preserve"> responsable ante la entidad contratante por el cumplimiento íntegro de las obligaciones derivadas del contrato adjudicado.</w:t>
      </w:r>
      <w:r w:rsidR="00387DB5">
        <w:rPr>
          <w:rFonts w:ascii="Geomanist Light" w:hAnsi="Geomanist Light" w:cs="Arial"/>
        </w:rPr>
        <w:t xml:space="preserve"> </w:t>
      </w:r>
      <w:r w:rsidR="002B45A0">
        <w:rPr>
          <w:rFonts w:ascii="Geomanist Light" w:hAnsi="Geomanist Light" w:cs="Arial"/>
        </w:rPr>
        <w:t>De este modo</w:t>
      </w:r>
      <w:r w:rsidR="00387DB5">
        <w:rPr>
          <w:rFonts w:ascii="Geomanist Light" w:hAnsi="Geomanist Light" w:cs="Arial"/>
        </w:rPr>
        <w:t xml:space="preserve">, la subcontratación parte de la base de un contrato principal del cual se deriva y cuyo propósito es ejecutar parcialmente las actividades de dicho contrato. En otras palabras, </w:t>
      </w:r>
      <w:r w:rsidR="006C1EE7">
        <w:rPr>
          <w:rFonts w:ascii="Geomanist Light" w:hAnsi="Geomanist Light" w:cs="Arial"/>
        </w:rPr>
        <w:t xml:space="preserve">si bien </w:t>
      </w:r>
      <w:r w:rsidR="002B40E2">
        <w:rPr>
          <w:rFonts w:ascii="Geomanist Light" w:hAnsi="Geomanist Light" w:cs="Arial"/>
        </w:rPr>
        <w:t xml:space="preserve">el subcontrato </w:t>
      </w:r>
      <w:r w:rsidR="001A28A9">
        <w:rPr>
          <w:rFonts w:ascii="Geomanist Light" w:hAnsi="Geomanist Light" w:cs="Arial"/>
        </w:rPr>
        <w:t xml:space="preserve">es </w:t>
      </w:r>
      <w:r w:rsidR="006C1EE7">
        <w:rPr>
          <w:rFonts w:ascii="Geomanist Light" w:hAnsi="Geomanist Light" w:cs="Arial"/>
        </w:rPr>
        <w:t xml:space="preserve">un contrato independiente y autónomo, su </w:t>
      </w:r>
      <w:r w:rsidR="00E62022">
        <w:rPr>
          <w:rFonts w:ascii="Geomanist Light" w:hAnsi="Geomanist Light" w:cs="Arial"/>
        </w:rPr>
        <w:t>celebración</w:t>
      </w:r>
      <w:r w:rsidR="006C1EE7">
        <w:rPr>
          <w:rFonts w:ascii="Geomanist Light" w:hAnsi="Geomanist Light" w:cs="Arial"/>
        </w:rPr>
        <w:t xml:space="preserve"> se encuentra atada a la prestación establecida en el contrato </w:t>
      </w:r>
      <w:r w:rsidR="002B45A0">
        <w:rPr>
          <w:rFonts w:ascii="Geomanist Light" w:hAnsi="Geomanist Light" w:cs="Arial"/>
        </w:rPr>
        <w:t>principal</w:t>
      </w:r>
      <w:r w:rsidR="00F0306D">
        <w:rPr>
          <w:rFonts w:ascii="Geomanist Light" w:hAnsi="Geomanist Light" w:cs="Arial"/>
        </w:rPr>
        <w:t xml:space="preserve"> con el fin de realizar </w:t>
      </w:r>
      <w:r w:rsidR="00F0306D" w:rsidRPr="00F0306D">
        <w:rPr>
          <w:rFonts w:ascii="Geomanist Light" w:hAnsi="Geomanist Light" w:cs="Arial"/>
        </w:rPr>
        <w:t>parte</w:t>
      </w:r>
      <w:r w:rsidR="002B45A0">
        <w:rPr>
          <w:rFonts w:ascii="Geomanist Light" w:hAnsi="Geomanist Light" w:cs="Arial"/>
        </w:rPr>
        <w:t xml:space="preserve"> de</w:t>
      </w:r>
      <w:r w:rsidR="00F0306D" w:rsidRPr="00F0306D">
        <w:rPr>
          <w:rFonts w:ascii="Geomanist Light" w:hAnsi="Geomanist Light" w:cs="Arial"/>
        </w:rPr>
        <w:t xml:space="preserve"> la actividad</w:t>
      </w:r>
      <w:r w:rsidR="002B45A0">
        <w:rPr>
          <w:rFonts w:ascii="Geomanist Light" w:hAnsi="Geomanist Light" w:cs="Arial"/>
        </w:rPr>
        <w:t>es allí contempladas</w:t>
      </w:r>
      <w:r w:rsidR="00F0306D" w:rsidRPr="00F0306D">
        <w:rPr>
          <w:rFonts w:ascii="Geomanist Light" w:hAnsi="Geomanist Light" w:cs="Arial"/>
        </w:rPr>
        <w:t xml:space="preserve">, </w:t>
      </w:r>
      <w:r w:rsidR="002B45A0">
        <w:rPr>
          <w:rFonts w:ascii="Geomanist Light" w:hAnsi="Geomanist Light" w:cs="Arial"/>
        </w:rPr>
        <w:t xml:space="preserve">es decir, subsiste </w:t>
      </w:r>
      <w:r w:rsidR="00E62022">
        <w:rPr>
          <w:rFonts w:ascii="Geomanist Light" w:hAnsi="Geomanist Light" w:cs="Arial"/>
        </w:rPr>
        <w:t xml:space="preserve">para </w:t>
      </w:r>
      <w:r w:rsidR="0081725D">
        <w:rPr>
          <w:rFonts w:ascii="Geomanist Light" w:hAnsi="Geomanist Light" w:cs="Arial"/>
        </w:rPr>
        <w:t xml:space="preserve">la ejecución </w:t>
      </w:r>
      <w:r w:rsidR="00E62022">
        <w:rPr>
          <w:rFonts w:ascii="Geomanist Light" w:hAnsi="Geomanist Light" w:cs="Arial"/>
        </w:rPr>
        <w:t xml:space="preserve">de las actividades del contrato principal, pues de lo contrario no se trataría de una subcontratación sino de un contrato diferente. </w:t>
      </w:r>
    </w:p>
    <w:p w14:paraId="365E1822" w14:textId="0F34842A" w:rsidR="00C93D10" w:rsidRDefault="004D0449" w:rsidP="00C93D10">
      <w:pPr>
        <w:spacing w:before="120" w:after="0" w:line="276" w:lineRule="auto"/>
        <w:ind w:firstLine="709"/>
        <w:jc w:val="both"/>
        <w:rPr>
          <w:rFonts w:ascii="Geomanist Light" w:hAnsi="Geomanist Light" w:cs="Arial"/>
        </w:rPr>
      </w:pPr>
      <w:r>
        <w:rPr>
          <w:rFonts w:ascii="Geomanist Light" w:hAnsi="Geomanist Light" w:cs="Arial"/>
          <w:bCs/>
          <w:lang w:val="es-MX"/>
        </w:rPr>
        <w:t>En este contexto</w:t>
      </w:r>
      <w:r w:rsidR="00282903" w:rsidRPr="00282903">
        <w:rPr>
          <w:rFonts w:ascii="Geomanist Light" w:hAnsi="Geomanist Light" w:cs="Arial"/>
          <w:bCs/>
          <w:lang w:val="es-MX"/>
        </w:rPr>
        <w:t xml:space="preserve">, para efectos de la aplicación de la restricción señalada en el inciso cuarto del literal c </w:t>
      </w:r>
      <w:r w:rsidR="00282903" w:rsidRPr="00282903">
        <w:rPr>
          <w:rFonts w:ascii="Geomanist Light" w:hAnsi="Geomanist Light" w:cs="Arial"/>
          <w:bCs/>
          <w:lang w:val="es-ES_tradnl"/>
        </w:rPr>
        <w:t>del numeral 4 del artículo 2 de la Ley 1150 de 2007, se deberá tener en cuenta que el contrato principal es el contrato interadministrativo</w:t>
      </w:r>
      <w:r>
        <w:rPr>
          <w:rFonts w:ascii="Geomanist Light" w:hAnsi="Geomanist Light" w:cs="Arial"/>
          <w:bCs/>
          <w:lang w:val="es-ES_tradnl"/>
        </w:rPr>
        <w:t>, del cual se d</w:t>
      </w:r>
      <w:r w:rsidR="002B40E2">
        <w:rPr>
          <w:rFonts w:ascii="Geomanist Light" w:hAnsi="Geomanist Light" w:cs="Arial"/>
          <w:bCs/>
          <w:lang w:val="es-ES_tradnl"/>
        </w:rPr>
        <w:t>esprenden</w:t>
      </w:r>
      <w:r>
        <w:rPr>
          <w:rFonts w:ascii="Geomanist Light" w:hAnsi="Geomanist Light" w:cs="Arial"/>
          <w:bCs/>
          <w:lang w:val="es-ES_tradnl"/>
        </w:rPr>
        <w:t xml:space="preserve"> los subcontratos que eventualmente realice la entidad estatal ejecutora</w:t>
      </w:r>
      <w:r w:rsidR="002B40E2">
        <w:rPr>
          <w:rFonts w:ascii="Geomanist Light" w:hAnsi="Geomanist Light" w:cs="Arial"/>
          <w:bCs/>
          <w:lang w:val="es-ES_tradnl"/>
        </w:rPr>
        <w:t xml:space="preserve"> para desarrollar algunas actividades derivadas de este. </w:t>
      </w:r>
      <w:r w:rsidR="00AE7317">
        <w:rPr>
          <w:rFonts w:ascii="Geomanist Light" w:hAnsi="Geomanist Light" w:cs="Arial"/>
          <w:bCs/>
          <w:lang w:val="es-ES_tradnl"/>
        </w:rPr>
        <w:t>E</w:t>
      </w:r>
      <w:r w:rsidR="002B40E2">
        <w:rPr>
          <w:rFonts w:ascii="Geomanist Light" w:hAnsi="Geomanist Light" w:cs="Arial"/>
          <w:bCs/>
          <w:lang w:val="es-ES_tradnl"/>
        </w:rPr>
        <w:t xml:space="preserve">sta conclusión se desprende de </w:t>
      </w:r>
      <w:r w:rsidR="00EB2964">
        <w:rPr>
          <w:rFonts w:ascii="Geomanist Light" w:hAnsi="Geomanist Light" w:cs="Arial"/>
          <w:bCs/>
          <w:lang w:val="es-ES_tradnl"/>
        </w:rPr>
        <w:t xml:space="preserve">la </w:t>
      </w:r>
      <w:r w:rsidR="000258FA">
        <w:rPr>
          <w:rFonts w:ascii="Geomanist Light" w:hAnsi="Geomanist Light" w:cs="Arial"/>
          <w:bCs/>
          <w:lang w:val="es-ES_tradnl"/>
        </w:rPr>
        <w:t xml:space="preserve">misma </w:t>
      </w:r>
      <w:r w:rsidR="002B40E2">
        <w:rPr>
          <w:rFonts w:ascii="Geomanist Light" w:hAnsi="Geomanist Light" w:cs="Arial"/>
          <w:bCs/>
          <w:lang w:val="es-ES_tradnl"/>
        </w:rPr>
        <w:t xml:space="preserve">redacción del literal c </w:t>
      </w:r>
      <w:r w:rsidR="00AF2762" w:rsidRPr="00712ABF">
        <w:rPr>
          <w:rFonts w:ascii="Geomanist Light" w:hAnsi="Geomanist Light" w:cs="Arial"/>
          <w:bCs/>
          <w:i/>
          <w:iCs/>
          <w:lang w:val="es-ES_tradnl"/>
        </w:rPr>
        <w:t>ibidem</w:t>
      </w:r>
      <w:r w:rsidR="00AF2762">
        <w:rPr>
          <w:rFonts w:ascii="Geomanist Light" w:hAnsi="Geomanist Light" w:cs="Arial"/>
          <w:bCs/>
          <w:lang w:val="es-ES_tradnl"/>
        </w:rPr>
        <w:t xml:space="preserve"> </w:t>
      </w:r>
      <w:r w:rsidR="002B40E2">
        <w:rPr>
          <w:rFonts w:ascii="Geomanist Light" w:hAnsi="Geomanist Light" w:cs="Arial"/>
          <w:bCs/>
          <w:lang w:val="es-ES_tradnl"/>
        </w:rPr>
        <w:t xml:space="preserve">en la medida en que este regula el contrato interadministrativo, de manera que cuando </w:t>
      </w:r>
      <w:r w:rsidR="00AF2762">
        <w:rPr>
          <w:rFonts w:ascii="Geomanist Light" w:hAnsi="Geomanist Light" w:cs="Arial"/>
          <w:bCs/>
          <w:lang w:val="es-ES_tradnl"/>
        </w:rPr>
        <w:t xml:space="preserve">la norma se refiere </w:t>
      </w:r>
      <w:r w:rsidR="00E125D6">
        <w:rPr>
          <w:rFonts w:ascii="Geomanist Light" w:hAnsi="Geomanist Light" w:cs="Arial"/>
          <w:bCs/>
          <w:lang w:val="es-ES_tradnl"/>
        </w:rPr>
        <w:t>a</w:t>
      </w:r>
      <w:r w:rsidR="00AE7317" w:rsidRPr="005156E7">
        <w:rPr>
          <w:rFonts w:ascii="Geomanist Light" w:hAnsi="Geomanist Light" w:cs="Arial"/>
        </w:rPr>
        <w:t>l contrato principal</w:t>
      </w:r>
      <w:r w:rsidR="00AE7317">
        <w:rPr>
          <w:rFonts w:ascii="Geomanist Light" w:hAnsi="Geomanist Light" w:cs="Arial"/>
        </w:rPr>
        <w:t xml:space="preserve">, </w:t>
      </w:r>
      <w:r w:rsidR="006146AF">
        <w:rPr>
          <w:rFonts w:ascii="Geomanist Light" w:hAnsi="Geomanist Light" w:cs="Arial"/>
        </w:rPr>
        <w:t xml:space="preserve">sin duda </w:t>
      </w:r>
      <w:r w:rsidR="00E125D6">
        <w:rPr>
          <w:rFonts w:ascii="Geomanist Light" w:hAnsi="Geomanist Light" w:cs="Arial"/>
        </w:rPr>
        <w:t xml:space="preserve">alguna </w:t>
      </w:r>
      <w:r w:rsidR="00AE7317">
        <w:rPr>
          <w:rFonts w:ascii="Geomanist Light" w:hAnsi="Geomanist Light" w:cs="Arial"/>
        </w:rPr>
        <w:t>alude al contrato interadministrativo</w:t>
      </w:r>
      <w:r w:rsidR="00656ABF">
        <w:rPr>
          <w:rFonts w:ascii="Geomanist Light" w:hAnsi="Geomanist Light" w:cs="Arial"/>
        </w:rPr>
        <w:t xml:space="preserve"> </w:t>
      </w:r>
      <w:r w:rsidR="00C22811">
        <w:rPr>
          <w:rFonts w:ascii="Geomanist Light" w:hAnsi="Geomanist Light" w:cs="Arial"/>
        </w:rPr>
        <w:t xml:space="preserve">pues solo de este se pueden derivar las </w:t>
      </w:r>
      <w:r w:rsidR="00556E29">
        <w:rPr>
          <w:rFonts w:ascii="Geomanist Light" w:hAnsi="Geomanist Light" w:cs="Arial"/>
        </w:rPr>
        <w:t>actividade</w:t>
      </w:r>
      <w:r w:rsidR="00C22811">
        <w:rPr>
          <w:rFonts w:ascii="Geomanist Light" w:hAnsi="Geomanist Light" w:cs="Arial"/>
        </w:rPr>
        <w:t xml:space="preserve">s a cargo de la entidad ejecutora. </w:t>
      </w:r>
    </w:p>
    <w:p w14:paraId="5590E324" w14:textId="360D2A2B" w:rsidR="0081725D" w:rsidRDefault="0081725D" w:rsidP="0081725D">
      <w:pPr>
        <w:spacing w:before="120" w:after="0" w:line="276" w:lineRule="auto"/>
        <w:ind w:firstLine="709"/>
        <w:jc w:val="both"/>
        <w:rPr>
          <w:rFonts w:ascii="Geomanist Light" w:hAnsi="Geomanist Light" w:cs="Arial"/>
          <w:bCs/>
          <w:lang w:val="es-ES_tradnl"/>
        </w:rPr>
      </w:pPr>
      <w:r>
        <w:rPr>
          <w:rFonts w:ascii="Geomanist Light" w:hAnsi="Geomanist Light" w:cs="Arial"/>
          <w:bCs/>
          <w:lang w:val="es-ES_tradnl"/>
        </w:rPr>
        <w:t xml:space="preserve">Asimismo, esta conclusión es coherente con los argumentos expuestos en el trámite legislativo de la Ley 1150 de 2007 que se surtió en el Congreso de la República, en el que se indica la necesidad de establecer limitaciones en relación con los contratos interadministrativos: </w:t>
      </w:r>
    </w:p>
    <w:p w14:paraId="3266BC5D" w14:textId="77777777" w:rsidR="0081725D" w:rsidRDefault="0081725D" w:rsidP="0081725D">
      <w:pPr>
        <w:spacing w:after="0" w:line="276" w:lineRule="auto"/>
        <w:ind w:firstLine="709"/>
        <w:jc w:val="both"/>
        <w:rPr>
          <w:rFonts w:ascii="Geomanist Light" w:hAnsi="Geomanist Light" w:cs="Arial"/>
          <w:bCs/>
          <w:lang w:val="es-ES_tradnl"/>
        </w:rPr>
      </w:pPr>
    </w:p>
    <w:p w14:paraId="2A54FEEC" w14:textId="4F886B5F" w:rsidR="0081725D" w:rsidRPr="0072737B" w:rsidRDefault="0081725D" w:rsidP="0081725D">
      <w:pPr>
        <w:spacing w:after="0" w:line="240" w:lineRule="auto"/>
        <w:ind w:left="709" w:right="567"/>
        <w:jc w:val="both"/>
        <w:rPr>
          <w:rFonts w:ascii="Geomanist Light" w:hAnsi="Geomanist Light" w:cs="Arial"/>
          <w:bCs/>
          <w:sz w:val="21"/>
          <w:szCs w:val="21"/>
          <w:lang w:val="es-ES_tradnl"/>
        </w:rPr>
      </w:pPr>
      <w:r w:rsidRPr="0072737B">
        <w:rPr>
          <w:rFonts w:ascii="Geomanist Light" w:hAnsi="Geomanist Light" w:cs="Arial"/>
          <w:bCs/>
          <w:sz w:val="21"/>
          <w:szCs w:val="21"/>
          <w:lang w:val="es-ES_tradnl"/>
        </w:rPr>
        <w:t xml:space="preserve">En la modalidad de selección de contratación directa, además de los cambios anotados en relación con el paso de algunas causales inicialmente previstas en selección abreviada a esta categoría, se proponen cambios en relación con la causal de contratos interadministrativos, en el sentido de obligar a las entidades ejecutoras, independientemente de su régimen contractual a aplicar la Ley 80 de 1993 para la ejecución de los contratos interadministrativos y se corrige una práctica que se presenta en la actualidad en el sentido de </w:t>
      </w:r>
      <w:r w:rsidRPr="00B67C44">
        <w:rPr>
          <w:rFonts w:ascii="Geomanist Light" w:hAnsi="Geomanist Light" w:cs="Arial"/>
          <w:bCs/>
          <w:i/>
          <w:iCs/>
          <w:sz w:val="21"/>
          <w:szCs w:val="21"/>
          <w:lang w:val="es-ES_tradnl"/>
        </w:rPr>
        <w:t xml:space="preserve">frenar las posibilidades de subcontratación desconociendo los procesos de selección y el régimen de inhabilidades e incompatibilidades de la Ley 80 de 1993, amparados en la aplicación de un régimen contractual distinto, para lo cual se prohíbe la subcontratación o vinculación de las personas naturales o jurídicas que hayan participado en la elaboración de los estudios, </w:t>
      </w:r>
      <w:r w:rsidRPr="00B67C44">
        <w:rPr>
          <w:rFonts w:ascii="Geomanist Light" w:hAnsi="Geomanist Light" w:cs="Arial"/>
          <w:bCs/>
          <w:i/>
          <w:iCs/>
          <w:sz w:val="21"/>
          <w:szCs w:val="21"/>
          <w:lang w:val="es-ES_tradnl"/>
        </w:rPr>
        <w:lastRenderedPageBreak/>
        <w:t>diseños y proyectos que tengan relación directa con el objeto del contrato principal</w:t>
      </w:r>
      <w:r>
        <w:rPr>
          <w:rStyle w:val="Refdenotaalpie"/>
          <w:rFonts w:ascii="Geomanist Light" w:hAnsi="Geomanist Light" w:cs="Arial"/>
          <w:bCs/>
          <w:sz w:val="21"/>
          <w:szCs w:val="21"/>
          <w:lang w:val="es-ES_tradnl"/>
        </w:rPr>
        <w:footnoteReference w:id="21"/>
      </w:r>
      <w:r w:rsidRPr="0072737B">
        <w:rPr>
          <w:rFonts w:ascii="Geomanist Light" w:hAnsi="Geomanist Light" w:cs="Arial"/>
          <w:bCs/>
          <w:sz w:val="21"/>
          <w:szCs w:val="21"/>
          <w:lang w:val="es-ES_tradnl"/>
        </w:rPr>
        <w:t>.</w:t>
      </w:r>
      <w:r w:rsidR="00B67C44">
        <w:rPr>
          <w:rFonts w:ascii="Geomanist Light" w:hAnsi="Geomanist Light" w:cs="Arial"/>
          <w:bCs/>
          <w:sz w:val="21"/>
          <w:szCs w:val="21"/>
          <w:lang w:val="es-ES_tradnl"/>
        </w:rPr>
        <w:t>(Énfasis pro fuera de texto).</w:t>
      </w:r>
    </w:p>
    <w:p w14:paraId="19C473FC" w14:textId="77777777" w:rsidR="0081725D" w:rsidRDefault="0081725D" w:rsidP="0081725D">
      <w:pPr>
        <w:spacing w:after="0" w:line="276" w:lineRule="auto"/>
        <w:ind w:firstLine="709"/>
        <w:jc w:val="both"/>
        <w:rPr>
          <w:rFonts w:ascii="Geomanist Light" w:hAnsi="Geomanist Light" w:cs="Arial"/>
        </w:rPr>
      </w:pPr>
    </w:p>
    <w:p w14:paraId="4CDED787" w14:textId="4EF172DE" w:rsidR="00656ABF" w:rsidRPr="00F1062E" w:rsidRDefault="000D7421" w:rsidP="00F1062E">
      <w:pPr>
        <w:spacing w:after="0" w:line="276" w:lineRule="auto"/>
        <w:ind w:firstLine="709"/>
        <w:jc w:val="both"/>
        <w:rPr>
          <w:rFonts w:ascii="Geomanist Light" w:hAnsi="Geomanist Light" w:cs="Arial"/>
        </w:rPr>
      </w:pPr>
      <w:r w:rsidRPr="00F1062E">
        <w:rPr>
          <w:rFonts w:ascii="Geomanist Light" w:hAnsi="Geomanist Light" w:cs="Arial"/>
        </w:rPr>
        <w:t>Según se evidencia</w:t>
      </w:r>
      <w:r w:rsidR="0081725D" w:rsidRPr="00F1062E">
        <w:rPr>
          <w:rFonts w:ascii="Geomanist Light" w:hAnsi="Geomanist Light" w:cs="Arial"/>
        </w:rPr>
        <w:t xml:space="preserve">, la intención del legislador es </w:t>
      </w:r>
      <w:r w:rsidR="00EB2964" w:rsidRPr="00F1062E">
        <w:rPr>
          <w:rFonts w:ascii="Geomanist Light" w:hAnsi="Geomanist Light" w:cs="Arial"/>
        </w:rPr>
        <w:t>restringir</w:t>
      </w:r>
      <w:r w:rsidR="0081725D" w:rsidRPr="00F1062E">
        <w:rPr>
          <w:rFonts w:ascii="Geomanist Light" w:hAnsi="Geomanist Light" w:cs="Arial"/>
        </w:rPr>
        <w:t xml:space="preserve"> la subcontratación en los contratos interadministrativos para </w:t>
      </w:r>
      <w:r w:rsidR="0081725D" w:rsidRPr="0030320E">
        <w:rPr>
          <w:rFonts w:ascii="Geomanist Light" w:hAnsi="Geomanist Light"/>
        </w:rPr>
        <w:t xml:space="preserve">evitar la elusión de procesos de selección, de tal manera que la entidad ejecutora se encargue de la ejecución de dicho contrato teniendo la posibilidad de subcontratar algunas actividades, pero con la prohibición de </w:t>
      </w:r>
      <w:r w:rsidR="0081725D" w:rsidRPr="0030320E">
        <w:rPr>
          <w:rFonts w:ascii="Geomanist Light" w:hAnsi="Geomanist Light"/>
          <w:bCs/>
          <w:lang w:val="es-ES_tradnl"/>
        </w:rPr>
        <w:t xml:space="preserve">vinculación de las personas naturales o jurídicas que hayan participado en la elaboración de los estudios, diseños y proyectos que tengan relación directa con el objeto del contrato principal. </w:t>
      </w:r>
    </w:p>
    <w:p w14:paraId="7CBA7998" w14:textId="55CB9D53" w:rsidR="009B78BD" w:rsidRPr="0030320E" w:rsidRDefault="009B78BD" w:rsidP="007C2E91">
      <w:pPr>
        <w:spacing w:before="120" w:after="0" w:line="276" w:lineRule="auto"/>
        <w:ind w:firstLine="709"/>
        <w:jc w:val="both"/>
        <w:rPr>
          <w:rFonts w:ascii="Geomanist Light" w:hAnsi="Geomanist Light"/>
          <w:bCs/>
          <w:lang w:val="es-ES_tradnl"/>
        </w:rPr>
      </w:pPr>
      <w:r w:rsidRPr="00F1062E">
        <w:rPr>
          <w:rFonts w:ascii="Geomanist Light" w:hAnsi="Geomanist Light" w:cs="Arial"/>
          <w:bCs/>
          <w:lang w:val="es-ES_tradnl"/>
        </w:rPr>
        <w:t xml:space="preserve">De </w:t>
      </w:r>
      <w:r w:rsidR="00206EB6" w:rsidRPr="00F1062E">
        <w:rPr>
          <w:rFonts w:ascii="Geomanist Light" w:hAnsi="Geomanist Light" w:cs="Arial"/>
          <w:bCs/>
          <w:lang w:val="es-ES_tradnl"/>
        </w:rPr>
        <w:t>acuerdo con lo anterior</w:t>
      </w:r>
      <w:r w:rsidRPr="00F1062E">
        <w:rPr>
          <w:rFonts w:ascii="Geomanist Light" w:hAnsi="Geomanist Light" w:cs="Arial"/>
          <w:bCs/>
          <w:lang w:val="es-ES_tradnl"/>
        </w:rPr>
        <w:t xml:space="preserve">, es importante destacar </w:t>
      </w:r>
      <w:r w:rsidR="00206EB6" w:rsidRPr="00F1062E">
        <w:rPr>
          <w:rFonts w:ascii="Geomanist Light" w:hAnsi="Geomanist Light" w:cs="Arial"/>
          <w:bCs/>
          <w:lang w:val="es-ES_tradnl"/>
        </w:rPr>
        <w:t>do</w:t>
      </w:r>
      <w:r w:rsidRPr="00F1062E">
        <w:rPr>
          <w:rFonts w:ascii="Geomanist Light" w:hAnsi="Geomanist Light" w:cs="Arial"/>
          <w:bCs/>
          <w:lang w:val="es-ES_tradnl"/>
        </w:rPr>
        <w:t>s aspectos d</w:t>
      </w:r>
      <w:r w:rsidR="00EB2964" w:rsidRPr="00F1062E">
        <w:rPr>
          <w:rFonts w:ascii="Geomanist Light" w:hAnsi="Geomanist Light" w:cs="Arial"/>
          <w:bCs/>
          <w:lang w:val="es-ES_tradnl"/>
        </w:rPr>
        <w:t>e</w:t>
      </w:r>
      <w:r w:rsidR="00206EB6" w:rsidRPr="00F1062E">
        <w:rPr>
          <w:rFonts w:ascii="Geomanist Light" w:hAnsi="Geomanist Light" w:cs="Arial"/>
          <w:bCs/>
          <w:lang w:val="es-ES_tradnl"/>
        </w:rPr>
        <w:t xml:space="preserve"> la prohibición establecida en el</w:t>
      </w:r>
      <w:r w:rsidR="00EB2964" w:rsidRPr="00F1062E">
        <w:rPr>
          <w:rFonts w:ascii="Geomanist Light" w:hAnsi="Geomanist Light" w:cs="Arial"/>
          <w:bCs/>
          <w:lang w:val="es-ES_tradnl"/>
        </w:rPr>
        <w:t xml:space="preserve"> inciso cuarto de</w:t>
      </w:r>
      <w:r w:rsidR="00EB2964" w:rsidRPr="00F1062E">
        <w:rPr>
          <w:rFonts w:ascii="Geomanist Light" w:hAnsi="Geomanist Light" w:cs="Arial"/>
        </w:rPr>
        <w:t xml:space="preserve">l literal c del </w:t>
      </w:r>
      <w:r w:rsidR="00EB2964" w:rsidRPr="00F1062E">
        <w:rPr>
          <w:rFonts w:ascii="Geomanist Light" w:hAnsi="Geomanist Light" w:cs="Arial"/>
          <w:bCs/>
          <w:lang w:val="es-ES_tradnl"/>
        </w:rPr>
        <w:t>del numeral 4 del artículo 2 de la Ley 1150 de 2007</w:t>
      </w:r>
      <w:r w:rsidRPr="00F1062E">
        <w:rPr>
          <w:rFonts w:ascii="Geomanist Light" w:hAnsi="Geomanist Light" w:cs="Arial"/>
          <w:bCs/>
          <w:lang w:val="es-ES_tradnl"/>
        </w:rPr>
        <w:t xml:space="preserve">. </w:t>
      </w:r>
      <w:r w:rsidRPr="00F1062E">
        <w:rPr>
          <w:rFonts w:ascii="Geomanist Light" w:hAnsi="Geomanist Light" w:cs="Arial"/>
          <w:bCs/>
          <w:i/>
          <w:iCs/>
          <w:lang w:val="es-ES_tradnl"/>
        </w:rPr>
        <w:t>En primer lugar</w:t>
      </w:r>
      <w:r w:rsidRPr="00F1062E">
        <w:rPr>
          <w:rFonts w:ascii="Geomanist Light" w:hAnsi="Geomanist Light" w:cs="Arial"/>
          <w:bCs/>
          <w:lang w:val="es-ES_tradnl"/>
        </w:rPr>
        <w:t xml:space="preserve">, como se indicó, el contrato principal </w:t>
      </w:r>
      <w:r w:rsidR="00164DEB" w:rsidRPr="00F1062E">
        <w:rPr>
          <w:rFonts w:ascii="Geomanist Light" w:hAnsi="Geomanist Light" w:cs="Arial"/>
          <w:bCs/>
          <w:lang w:val="es-ES_tradnl"/>
        </w:rPr>
        <w:t xml:space="preserve">al que hace referencia la norma </w:t>
      </w:r>
      <w:r w:rsidRPr="00F1062E">
        <w:rPr>
          <w:rFonts w:ascii="Geomanist Light" w:hAnsi="Geomanist Light" w:cs="Arial"/>
          <w:bCs/>
          <w:lang w:val="es-ES_tradnl"/>
        </w:rPr>
        <w:t>es el contrato interadministrativo celebrado entre las entidades estatales, por lo que la prohibición aplica en relación con los subcontratos que</w:t>
      </w:r>
      <w:r w:rsidR="00206EB6" w:rsidRPr="00F1062E">
        <w:rPr>
          <w:rFonts w:ascii="Geomanist Light" w:hAnsi="Geomanist Light" w:cs="Arial"/>
          <w:bCs/>
          <w:lang w:val="es-ES_tradnl"/>
        </w:rPr>
        <w:t xml:space="preserve"> se</w:t>
      </w:r>
      <w:r w:rsidRPr="00F1062E">
        <w:rPr>
          <w:rFonts w:ascii="Geomanist Light" w:hAnsi="Geomanist Light" w:cs="Arial"/>
          <w:bCs/>
          <w:lang w:val="es-ES_tradnl"/>
        </w:rPr>
        <w:t xml:space="preserve"> celebre</w:t>
      </w:r>
      <w:r w:rsidR="00164DEB" w:rsidRPr="00F1062E">
        <w:rPr>
          <w:rFonts w:ascii="Geomanist Light" w:hAnsi="Geomanist Light" w:cs="Arial"/>
          <w:bCs/>
          <w:lang w:val="es-ES_tradnl"/>
        </w:rPr>
        <w:t>n en el</w:t>
      </w:r>
      <w:r w:rsidRPr="00F1062E">
        <w:rPr>
          <w:rFonts w:ascii="Geomanist Light" w:hAnsi="Geomanist Light" w:cs="Arial"/>
          <w:bCs/>
          <w:lang w:val="es-ES_tradnl"/>
        </w:rPr>
        <w:t xml:space="preserve"> marco del contrato interadministrativo. </w:t>
      </w:r>
      <w:r w:rsidR="00206EB6" w:rsidRPr="00F1062E">
        <w:rPr>
          <w:rFonts w:ascii="Geomanist Light" w:hAnsi="Geomanist Light" w:cs="Arial"/>
          <w:bCs/>
          <w:lang w:val="es-ES_tradnl"/>
        </w:rPr>
        <w:t xml:space="preserve">Y </w:t>
      </w:r>
      <w:r w:rsidR="00206EB6" w:rsidRPr="00F1062E">
        <w:rPr>
          <w:rFonts w:ascii="Geomanist Light" w:hAnsi="Geomanist Light" w:cs="Arial"/>
          <w:bCs/>
          <w:i/>
          <w:iCs/>
          <w:lang w:val="es-ES_tradnl"/>
        </w:rPr>
        <w:t>e</w:t>
      </w:r>
      <w:r w:rsidRPr="00F1062E">
        <w:rPr>
          <w:rFonts w:ascii="Geomanist Light" w:hAnsi="Geomanist Light" w:cs="Arial"/>
          <w:bCs/>
          <w:i/>
          <w:iCs/>
          <w:lang w:val="es-ES_tradnl"/>
        </w:rPr>
        <w:t>n segundo lugar</w:t>
      </w:r>
      <w:r w:rsidR="00EB2964" w:rsidRPr="00F1062E">
        <w:rPr>
          <w:rFonts w:ascii="Geomanist Light" w:hAnsi="Geomanist Light" w:cs="Arial"/>
          <w:bCs/>
          <w:lang w:val="es-ES_tradnl"/>
        </w:rPr>
        <w:t xml:space="preserve">, la prohibición se dirige a la entidad estatal ejecutora y </w:t>
      </w:r>
      <w:r w:rsidR="00206EB6" w:rsidRPr="00F1062E">
        <w:rPr>
          <w:rFonts w:ascii="Geomanist Light" w:hAnsi="Geomanist Light" w:cs="Arial"/>
          <w:bCs/>
          <w:lang w:val="es-ES_tradnl"/>
        </w:rPr>
        <w:t>al</w:t>
      </w:r>
      <w:r w:rsidR="00EB2964" w:rsidRPr="00F1062E">
        <w:rPr>
          <w:rFonts w:ascii="Geomanist Light" w:hAnsi="Geomanist Light" w:cs="Arial"/>
          <w:bCs/>
          <w:lang w:val="es-ES_tradnl"/>
        </w:rPr>
        <w:t xml:space="preserve"> subcontratista, de manera que la</w:t>
      </w:r>
      <w:r w:rsidR="00164DEB" w:rsidRPr="00F1062E">
        <w:rPr>
          <w:rFonts w:ascii="Geomanist Light" w:hAnsi="Geomanist Light" w:cs="Arial"/>
          <w:bCs/>
          <w:lang w:val="es-ES_tradnl"/>
        </w:rPr>
        <w:t xml:space="preserve"> restricción </w:t>
      </w:r>
      <w:r w:rsidR="007C2E91" w:rsidRPr="00F1062E">
        <w:rPr>
          <w:rFonts w:ascii="Geomanist Light" w:hAnsi="Geomanist Light" w:cs="Arial"/>
          <w:bCs/>
          <w:lang w:val="es-ES_tradnl"/>
        </w:rPr>
        <w:t>allí contemplada</w:t>
      </w:r>
      <w:r w:rsidR="00206EB6" w:rsidRPr="0030320E">
        <w:rPr>
          <w:rFonts w:ascii="Geomanist Light" w:hAnsi="Geomanist Light"/>
          <w:bCs/>
          <w:lang w:val="es-ES_tradnl"/>
        </w:rPr>
        <w:t>,</w:t>
      </w:r>
      <w:r w:rsidR="00164DEB" w:rsidRPr="0030320E">
        <w:rPr>
          <w:rFonts w:ascii="Geomanist Light" w:hAnsi="Geomanist Light"/>
          <w:bCs/>
          <w:lang w:val="es-ES_tradnl"/>
        </w:rPr>
        <w:t xml:space="preserve"> no solo aplica para l</w:t>
      </w:r>
      <w:r w:rsidR="00206EB6" w:rsidRPr="0030320E">
        <w:rPr>
          <w:rFonts w:ascii="Geomanist Light" w:hAnsi="Geomanist Light"/>
          <w:bCs/>
          <w:lang w:val="es-ES_tradnl"/>
        </w:rPr>
        <w:t>a</w:t>
      </w:r>
      <w:r w:rsidR="00164DEB" w:rsidRPr="0030320E">
        <w:rPr>
          <w:rFonts w:ascii="Geomanist Light" w:hAnsi="Geomanist Light"/>
          <w:bCs/>
          <w:lang w:val="es-ES_tradnl"/>
        </w:rPr>
        <w:t xml:space="preserve"> entidad ejecutora</w:t>
      </w:r>
      <w:r w:rsidR="00EB2964" w:rsidRPr="0030320E">
        <w:rPr>
          <w:rFonts w:ascii="Geomanist Light" w:hAnsi="Geomanist Light"/>
          <w:bCs/>
          <w:lang w:val="es-ES_tradnl"/>
        </w:rPr>
        <w:t xml:space="preserve"> sino que se extiende </w:t>
      </w:r>
      <w:r w:rsidR="00206EB6" w:rsidRPr="0030320E">
        <w:rPr>
          <w:rFonts w:ascii="Geomanist Light" w:hAnsi="Geomanist Light"/>
          <w:bCs/>
          <w:lang w:val="es-ES_tradnl"/>
        </w:rPr>
        <w:t>al</w:t>
      </w:r>
      <w:r w:rsidR="00EB2964" w:rsidRPr="0030320E">
        <w:rPr>
          <w:rFonts w:ascii="Geomanist Light" w:hAnsi="Geomanist Light"/>
          <w:bCs/>
          <w:lang w:val="es-ES_tradnl"/>
        </w:rPr>
        <w:t xml:space="preserve"> subcontratista</w:t>
      </w:r>
      <w:r w:rsidR="009F6798" w:rsidRPr="0030320E">
        <w:rPr>
          <w:rFonts w:ascii="Geomanist Light" w:hAnsi="Geomanist Light"/>
          <w:bCs/>
          <w:lang w:val="es-ES_tradnl"/>
        </w:rPr>
        <w:t xml:space="preserve"> de esta</w:t>
      </w:r>
      <w:r w:rsidR="002B6529" w:rsidRPr="0030320E">
        <w:rPr>
          <w:rFonts w:ascii="Geomanist Light" w:hAnsi="Geomanist Light"/>
          <w:bCs/>
          <w:lang w:val="es-ES_tradnl"/>
        </w:rPr>
        <w:t xml:space="preserve">, lo que </w:t>
      </w:r>
      <w:r w:rsidR="009F6798" w:rsidRPr="0030320E">
        <w:rPr>
          <w:rFonts w:ascii="Geomanist Light" w:hAnsi="Geomanist Light"/>
          <w:bCs/>
          <w:lang w:val="es-ES_tradnl"/>
        </w:rPr>
        <w:t>significa que en el caso en que la entidad estatal ejecutora subcontrate alguna actividad derivada del contrato interadministrativo, e</w:t>
      </w:r>
      <w:r w:rsidR="002B6529" w:rsidRPr="0030320E">
        <w:rPr>
          <w:rFonts w:ascii="Geomanist Light" w:hAnsi="Geomanist Light"/>
          <w:bCs/>
          <w:lang w:val="es-ES_tradnl"/>
        </w:rPr>
        <w:t xml:space="preserve">ste </w:t>
      </w:r>
      <w:r w:rsidR="009F6798" w:rsidRPr="0030320E">
        <w:rPr>
          <w:rFonts w:ascii="Geomanist Light" w:hAnsi="Geomanist Light"/>
          <w:bCs/>
          <w:lang w:val="es-ES_tradnl"/>
        </w:rPr>
        <w:t>subcontratista</w:t>
      </w:r>
      <w:r w:rsidR="007C2E91" w:rsidRPr="0030320E">
        <w:rPr>
          <w:rFonts w:ascii="Geomanist Light" w:hAnsi="Geomanist Light"/>
          <w:bCs/>
          <w:lang w:val="es-ES_tradnl"/>
        </w:rPr>
        <w:t xml:space="preserve"> </w:t>
      </w:r>
      <w:r w:rsidR="009F6798" w:rsidRPr="0030320E">
        <w:rPr>
          <w:rFonts w:ascii="Geomanist Light" w:hAnsi="Geomanist Light"/>
          <w:bCs/>
          <w:lang w:val="es-ES_tradnl"/>
        </w:rPr>
        <w:t>no podrá vincular o contratar personas que hayan participado en la elaboración de los estudios, diseños y proyectos que tengan relación directa con el objeto de</w:t>
      </w:r>
      <w:r w:rsidR="007C2E91" w:rsidRPr="0030320E">
        <w:rPr>
          <w:rFonts w:ascii="Geomanist Light" w:hAnsi="Geomanist Light"/>
          <w:bCs/>
          <w:lang w:val="es-ES_tradnl"/>
        </w:rPr>
        <w:t xml:space="preserve"> dicho</w:t>
      </w:r>
      <w:r w:rsidR="009F6798" w:rsidRPr="0030320E">
        <w:rPr>
          <w:rFonts w:ascii="Geomanist Light" w:hAnsi="Geomanist Light"/>
          <w:bCs/>
          <w:lang w:val="es-ES_tradnl"/>
        </w:rPr>
        <w:t xml:space="preserve"> contrato interadministrativo</w:t>
      </w:r>
      <w:r w:rsidR="007C2E91" w:rsidRPr="0030320E">
        <w:rPr>
          <w:rFonts w:ascii="Geomanist Light" w:hAnsi="Geomanist Light"/>
          <w:bCs/>
          <w:lang w:val="es-ES_tradnl"/>
        </w:rPr>
        <w:t xml:space="preserve">. </w:t>
      </w:r>
    </w:p>
    <w:p w14:paraId="26BAB48A" w14:textId="600AFE31" w:rsidR="009B78BD" w:rsidRPr="00560BD6" w:rsidRDefault="003D67B3" w:rsidP="00560BD6">
      <w:pPr>
        <w:spacing w:before="120" w:after="0" w:line="276" w:lineRule="auto"/>
        <w:ind w:firstLine="709"/>
        <w:jc w:val="both"/>
        <w:rPr>
          <w:rFonts w:ascii="Geomanist Light" w:hAnsi="Geomanist Light" w:cs="Arial"/>
          <w:bCs/>
          <w:lang w:val="es-ES_tradnl"/>
        </w:rPr>
      </w:pPr>
      <w:bookmarkStart w:id="6" w:name="_Hlk118205235"/>
      <w:r w:rsidRPr="00560BD6">
        <w:rPr>
          <w:rFonts w:ascii="Geomanist Light" w:hAnsi="Geomanist Light" w:cs="Arial"/>
        </w:rPr>
        <w:t>Bajo estas consideraciones</w:t>
      </w:r>
      <w:r w:rsidR="00164DEB" w:rsidRPr="00560BD6">
        <w:rPr>
          <w:rFonts w:ascii="Geomanist Light" w:hAnsi="Geomanist Light" w:cs="Arial"/>
        </w:rPr>
        <w:t xml:space="preserve">, </w:t>
      </w:r>
      <w:r w:rsidR="00164DEB" w:rsidRPr="00560BD6">
        <w:rPr>
          <w:rFonts w:ascii="Geomanist Light" w:hAnsi="Geomanist Light" w:cs="Arial"/>
          <w:bCs/>
          <w:lang w:val="es-MX"/>
        </w:rPr>
        <w:t xml:space="preserve">es claro que el </w:t>
      </w:r>
      <w:r w:rsidR="00164DEB" w:rsidRPr="00560BD6">
        <w:rPr>
          <w:rFonts w:ascii="Geomanist Light" w:hAnsi="Geomanist Light" w:cs="Arial"/>
          <w:bCs/>
          <w:i/>
          <w:iCs/>
          <w:lang w:val="es-MX"/>
        </w:rPr>
        <w:t>contrato principal</w:t>
      </w:r>
      <w:r w:rsidR="00164DEB" w:rsidRPr="00560BD6">
        <w:rPr>
          <w:rFonts w:ascii="Geomanist Light" w:hAnsi="Geomanist Light" w:cs="Arial"/>
          <w:bCs/>
          <w:lang w:val="es-MX"/>
        </w:rPr>
        <w:t xml:space="preserve"> al que hace referencia la norma </w:t>
      </w:r>
      <w:r w:rsidR="00082154" w:rsidRPr="00560BD6">
        <w:rPr>
          <w:rFonts w:ascii="Geomanist Light" w:hAnsi="Geomanist Light" w:cs="Arial"/>
          <w:bCs/>
          <w:lang w:val="es-MX"/>
        </w:rPr>
        <w:t>es e</w:t>
      </w:r>
      <w:r w:rsidR="00164DEB" w:rsidRPr="00560BD6">
        <w:rPr>
          <w:rFonts w:ascii="Geomanist Light" w:hAnsi="Geomanist Light" w:cs="Arial"/>
          <w:bCs/>
          <w:lang w:val="es-MX"/>
        </w:rPr>
        <w:t>l contrato interadministrativo que celebran las entidades estatales, con base en el cual la entidad ejecutora podrá subcontratar algunas actividades derivadas de dicho contrato con la</w:t>
      </w:r>
      <w:r w:rsidR="00082154" w:rsidRPr="00560BD6">
        <w:rPr>
          <w:rFonts w:ascii="Geomanist Light" w:hAnsi="Geomanist Light" w:cs="Arial"/>
          <w:bCs/>
          <w:lang w:val="es-MX"/>
        </w:rPr>
        <w:t xml:space="preserve">s limitaciones </w:t>
      </w:r>
      <w:r w:rsidR="00164DEB" w:rsidRPr="00560BD6">
        <w:rPr>
          <w:rFonts w:ascii="Geomanist Light" w:hAnsi="Geomanist Light" w:cs="Arial"/>
          <w:bCs/>
          <w:lang w:val="es-MX"/>
        </w:rPr>
        <w:t>que se expuso.</w:t>
      </w:r>
      <w:r w:rsidRPr="00560BD6">
        <w:rPr>
          <w:rFonts w:ascii="Geomanist Light" w:hAnsi="Geomanist Light" w:cs="Arial"/>
          <w:bCs/>
          <w:lang w:val="es-ES_tradnl"/>
        </w:rPr>
        <w:t xml:space="preserve"> </w:t>
      </w:r>
      <w:r w:rsidR="00430C06" w:rsidRPr="00560BD6">
        <w:rPr>
          <w:rFonts w:ascii="Geomanist Light" w:hAnsi="Geomanist Light" w:cs="Arial"/>
          <w:bCs/>
          <w:lang w:val="es-ES_tradnl"/>
        </w:rPr>
        <w:t xml:space="preserve">En tal sentido, para efectos de la consulta, si en el contrato interadministrativo se contemplan la realización de determinadas actividades y la entidad estatal ejecutora deba subcontratar alguna de ellas, el contrato que se celebre entre esta entidad y el tercero </w:t>
      </w:r>
      <w:r w:rsidR="00AE7F9E" w:rsidRPr="00560BD6">
        <w:rPr>
          <w:rFonts w:ascii="Geomanist Light" w:hAnsi="Geomanist Light" w:cs="Arial"/>
          <w:bCs/>
          <w:lang w:val="es-ES_tradnl"/>
        </w:rPr>
        <w:t xml:space="preserve">para tales efectos </w:t>
      </w:r>
      <w:r w:rsidR="00430C06" w:rsidRPr="00560BD6">
        <w:rPr>
          <w:rFonts w:ascii="Geomanist Light" w:hAnsi="Geomanist Light" w:cs="Arial"/>
          <w:bCs/>
          <w:lang w:val="es-ES_tradnl"/>
        </w:rPr>
        <w:t>es un subcontrato</w:t>
      </w:r>
      <w:r w:rsidR="00AE7F9E" w:rsidRPr="00560BD6">
        <w:rPr>
          <w:rFonts w:ascii="Geomanist Light" w:hAnsi="Geomanist Light" w:cs="Arial"/>
          <w:bCs/>
          <w:lang w:val="es-ES_tradnl"/>
        </w:rPr>
        <w:t>,</w:t>
      </w:r>
      <w:r w:rsidR="00430C06" w:rsidRPr="00560BD6">
        <w:rPr>
          <w:rFonts w:ascii="Geomanist Light" w:hAnsi="Geomanist Light" w:cs="Arial"/>
          <w:bCs/>
          <w:lang w:val="es-ES_tradnl"/>
        </w:rPr>
        <w:t xml:space="preserve"> pues aunque es </w:t>
      </w:r>
      <w:r w:rsidR="00430C06" w:rsidRPr="00560BD6">
        <w:rPr>
          <w:rFonts w:ascii="Geomanist Light" w:hAnsi="Geomanist Light" w:cs="Arial"/>
          <w:bCs/>
          <w:lang w:val="es-MX"/>
        </w:rPr>
        <w:t xml:space="preserve">independiente y autónomo del contrato interadministrativo su celebración se realiza con el fin de </w:t>
      </w:r>
      <w:r w:rsidR="00430C06" w:rsidRPr="00560BD6">
        <w:rPr>
          <w:rFonts w:ascii="Geomanist Light" w:hAnsi="Geomanist Light" w:cs="Arial"/>
        </w:rPr>
        <w:t xml:space="preserve">realizar parcialmente las obligaciones derivadas de este. Por consiguiente, a dicho subcontrato </w:t>
      </w:r>
      <w:r w:rsidR="00430C06" w:rsidRPr="00560BD6">
        <w:rPr>
          <w:rFonts w:ascii="Geomanist Light" w:hAnsi="Geomanist Light" w:cs="Arial"/>
          <w:bCs/>
          <w:lang w:val="es-ES_tradnl"/>
        </w:rPr>
        <w:t xml:space="preserve">le aplica la prohibición de que trata </w:t>
      </w:r>
      <w:r w:rsidR="00430C06" w:rsidRPr="00560BD6">
        <w:rPr>
          <w:rFonts w:ascii="Geomanist Light" w:hAnsi="Geomanist Light" w:cs="Arial"/>
        </w:rPr>
        <w:t xml:space="preserve">el literal c </w:t>
      </w:r>
      <w:r w:rsidR="00430C06" w:rsidRPr="00560BD6">
        <w:rPr>
          <w:rFonts w:ascii="Geomanist Light" w:hAnsi="Geomanist Light" w:cs="Arial"/>
          <w:bCs/>
          <w:lang w:val="es-ES_tradnl"/>
        </w:rPr>
        <w:t xml:space="preserve">del numeral 4 del artículo 2 de la Ley 1150 de 2007, por lo que este subcontratista </w:t>
      </w:r>
      <w:r w:rsidR="00430C06" w:rsidRPr="0030320E">
        <w:rPr>
          <w:rFonts w:ascii="Geomanist Light" w:hAnsi="Geomanist Light"/>
          <w:bCs/>
          <w:lang w:val="es-ES_tradnl"/>
        </w:rPr>
        <w:t xml:space="preserve">no podrá vincular o contratar personas que hayan participado en la elaboración de los estudios, diseños y proyectos que tengan relación directa con el objeto de dicho contrato interadministrativo. </w:t>
      </w:r>
    </w:p>
    <w:bookmarkEnd w:id="6"/>
    <w:p w14:paraId="05E67F34" w14:textId="77777777" w:rsidR="005156E7" w:rsidRPr="005156E7" w:rsidRDefault="005156E7" w:rsidP="00FF6C31">
      <w:pPr>
        <w:spacing w:before="120" w:after="0" w:line="276" w:lineRule="auto"/>
        <w:ind w:firstLine="709"/>
        <w:jc w:val="both"/>
        <w:rPr>
          <w:rFonts w:ascii="Geomanist Light" w:hAnsi="Geomanist Light" w:cs="Arial"/>
        </w:rPr>
      </w:pPr>
      <w:r w:rsidRPr="005156E7">
        <w:rPr>
          <w:rFonts w:ascii="Geomanist Light" w:hAnsi="Geomanist Light" w:cs="Arial"/>
        </w:rPr>
        <w:lastRenderedPageBreak/>
        <w:t>En armonía con lo anterior, y frente a la posibilidad de subcontratar ciertas actividades en el marco de los contratos interadministrativos, conviene destacar una disposición a la que se hizo referencia en el numeral 2.1. de este concepto, esto es, el inciso tercero del literal c), numeral 4, del artículo 2 de la Ley 1150 de 2007 –modificado por la Ley 1474 de 2011– que establece que en los casos en que el régimen contractual de la entidad ejecutora no sea el EGCAP, la ejecución de dichos contratos estará sometida a dicho estatuto, salvo que la entidad ejecutora desarrolle su actividad en competencia con el sector privado o cuando la ejecución del contrato interadministrativo tenga relación directa con el desarrollo de su actividad.</w:t>
      </w:r>
    </w:p>
    <w:p w14:paraId="4C055FC7" w14:textId="4B7769C3" w:rsidR="00DE3B48" w:rsidRPr="00FB186E" w:rsidRDefault="00571301" w:rsidP="005156E7">
      <w:pPr>
        <w:tabs>
          <w:tab w:val="left" w:pos="0"/>
          <w:tab w:val="left" w:pos="6645"/>
        </w:tabs>
        <w:spacing w:after="0" w:line="276" w:lineRule="auto"/>
        <w:jc w:val="both"/>
        <w:rPr>
          <w:rFonts w:ascii="Geomanist Light" w:hAnsi="Geomanist Light" w:cs="Arial"/>
          <w:bCs/>
          <w:lang w:val="es-ES_tradnl"/>
        </w:rPr>
      </w:pPr>
      <w:r w:rsidRPr="00FB186E">
        <w:rPr>
          <w:rFonts w:ascii="Geomanist Light" w:hAnsi="Geomanist Light" w:cs="Arial"/>
          <w:bCs/>
          <w:lang w:val="es-ES_tradnl"/>
        </w:rPr>
        <w:tab/>
      </w:r>
    </w:p>
    <w:p w14:paraId="01C0F502" w14:textId="5CEEEEEC" w:rsidR="00F9574A" w:rsidRPr="00FB186E" w:rsidRDefault="004177A6" w:rsidP="00E41229">
      <w:pPr>
        <w:tabs>
          <w:tab w:val="left" w:pos="0"/>
        </w:tabs>
        <w:spacing w:after="0" w:line="276" w:lineRule="auto"/>
        <w:jc w:val="both"/>
        <w:rPr>
          <w:rFonts w:ascii="Geomanist Light" w:hAnsi="Geomanist Light" w:cs="Arial"/>
          <w:b/>
          <w:color w:val="000000" w:themeColor="text1"/>
          <w:lang w:val="es-ES_tradnl"/>
        </w:rPr>
      </w:pPr>
      <w:r w:rsidRPr="00FB186E">
        <w:rPr>
          <w:rFonts w:ascii="Geomanist Light" w:hAnsi="Geomanist Light" w:cs="Arial"/>
          <w:b/>
          <w:color w:val="000000" w:themeColor="text1"/>
          <w:lang w:val="es-ES_tradnl"/>
        </w:rPr>
        <w:t>3</w:t>
      </w:r>
      <w:r w:rsidR="00B011A9" w:rsidRPr="00FB186E">
        <w:rPr>
          <w:rFonts w:ascii="Geomanist Light" w:hAnsi="Geomanist Light" w:cs="Arial"/>
          <w:b/>
          <w:color w:val="000000" w:themeColor="text1"/>
          <w:lang w:val="es-ES_tradnl"/>
        </w:rPr>
        <w:t xml:space="preserve">. </w:t>
      </w:r>
      <w:r w:rsidR="00DD5B04" w:rsidRPr="00FB186E">
        <w:rPr>
          <w:rFonts w:ascii="Geomanist Light" w:hAnsi="Geomanist Light" w:cs="Arial"/>
          <w:b/>
          <w:color w:val="000000" w:themeColor="text1"/>
          <w:lang w:val="es-ES_tradnl"/>
        </w:rPr>
        <w:t>Respuesta</w:t>
      </w:r>
    </w:p>
    <w:p w14:paraId="5550B511" w14:textId="77777777" w:rsidR="00E41229" w:rsidRPr="00FB186E" w:rsidRDefault="00E41229" w:rsidP="000F7239">
      <w:pPr>
        <w:tabs>
          <w:tab w:val="left" w:pos="0"/>
        </w:tabs>
        <w:spacing w:after="0" w:line="276" w:lineRule="auto"/>
        <w:jc w:val="both"/>
        <w:rPr>
          <w:rFonts w:ascii="Geomanist Light" w:hAnsi="Geomanist Light" w:cs="Arial"/>
          <w:b/>
          <w:color w:val="000000" w:themeColor="text1"/>
          <w:lang w:val="es-ES_tradnl"/>
        </w:rPr>
      </w:pPr>
    </w:p>
    <w:p w14:paraId="428C12B8" w14:textId="77777777" w:rsidR="002D1F59" w:rsidRPr="0083383D" w:rsidRDefault="002D1F59" w:rsidP="002D1F59">
      <w:pPr>
        <w:tabs>
          <w:tab w:val="left" w:pos="426"/>
          <w:tab w:val="left" w:pos="8080"/>
          <w:tab w:val="left" w:pos="8364"/>
        </w:tabs>
        <w:spacing w:after="0" w:line="240" w:lineRule="auto"/>
        <w:ind w:left="709" w:right="709"/>
        <w:jc w:val="both"/>
        <w:rPr>
          <w:rFonts w:ascii="Geomanist Light" w:hAnsi="Geomanist Light" w:cs="Arial"/>
          <w:bCs/>
          <w:color w:val="000000" w:themeColor="text1"/>
          <w:lang w:val="es-ES_tradnl"/>
        </w:rPr>
      </w:pPr>
      <w:r w:rsidRPr="0083383D">
        <w:rPr>
          <w:rFonts w:ascii="Geomanist Light" w:hAnsi="Geomanist Light" w:cs="Arial"/>
          <w:bCs/>
          <w:color w:val="000000" w:themeColor="text1"/>
          <w:lang w:val="es-ES_tradnl"/>
        </w:rPr>
        <w:t xml:space="preserve">«Es nuestro entendimiento que en el marco de un contrato interadministrativo para el Gerenciamiento de un Proyecto de Obra Pública de Infraestructura de Transporte [no incluido en pliegos tipo], el Contrato Principal a que hace referencia el artículo 2, numeral 4, literal c) de la Ley 1150 de 2007 es el Contrato de Obra Pública. El citado artículo dispone: </w:t>
      </w:r>
    </w:p>
    <w:p w14:paraId="12B70718" w14:textId="77777777" w:rsidR="002D1F59" w:rsidRPr="0083383D" w:rsidRDefault="002D1F59" w:rsidP="002D1F59">
      <w:pPr>
        <w:tabs>
          <w:tab w:val="left" w:pos="426"/>
          <w:tab w:val="left" w:pos="8080"/>
          <w:tab w:val="left" w:pos="8364"/>
        </w:tabs>
        <w:spacing w:after="0" w:line="240" w:lineRule="auto"/>
        <w:ind w:left="709" w:right="709"/>
        <w:jc w:val="both"/>
        <w:rPr>
          <w:rFonts w:ascii="Geomanist Light" w:hAnsi="Geomanist Light" w:cs="Arial"/>
          <w:bCs/>
          <w:color w:val="000000" w:themeColor="text1"/>
          <w:lang w:val="es-ES_tradnl"/>
        </w:rPr>
      </w:pPr>
    </w:p>
    <w:p w14:paraId="1297ECED" w14:textId="77777777" w:rsidR="002D1F59" w:rsidRPr="0083383D" w:rsidRDefault="002D1F59" w:rsidP="002D1F59">
      <w:pPr>
        <w:tabs>
          <w:tab w:val="left" w:pos="426"/>
          <w:tab w:val="left" w:pos="8080"/>
          <w:tab w:val="left" w:pos="8364"/>
        </w:tabs>
        <w:spacing w:after="0" w:line="240" w:lineRule="auto"/>
        <w:ind w:left="709" w:right="709"/>
        <w:jc w:val="both"/>
        <w:rPr>
          <w:rFonts w:ascii="Geomanist Light" w:hAnsi="Geomanist Light" w:cs="Arial"/>
          <w:bCs/>
          <w:color w:val="000000" w:themeColor="text1"/>
          <w:lang w:val="es-ES_tradnl"/>
        </w:rPr>
      </w:pPr>
      <w:r w:rsidRPr="0083383D">
        <w:rPr>
          <w:rFonts w:ascii="Geomanist Light" w:hAnsi="Geomanist Light" w:cs="Arial"/>
          <w:bCs/>
          <w:color w:val="000000" w:themeColor="text1"/>
          <w:lang w:val="es-ES_tradnl"/>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69690554" w14:textId="77777777" w:rsidR="002D1F59" w:rsidRPr="0083383D" w:rsidRDefault="002D1F59" w:rsidP="002D1F59">
      <w:pPr>
        <w:tabs>
          <w:tab w:val="left" w:pos="426"/>
          <w:tab w:val="left" w:pos="8080"/>
          <w:tab w:val="left" w:pos="8364"/>
        </w:tabs>
        <w:spacing w:after="0" w:line="240" w:lineRule="auto"/>
        <w:ind w:left="709" w:right="709"/>
        <w:jc w:val="both"/>
        <w:rPr>
          <w:rFonts w:ascii="Geomanist Light" w:hAnsi="Geomanist Light" w:cs="Arial"/>
          <w:bCs/>
          <w:color w:val="000000" w:themeColor="text1"/>
          <w:lang w:val="es-ES_tradnl"/>
        </w:rPr>
      </w:pPr>
    </w:p>
    <w:p w14:paraId="7CFE616C" w14:textId="77777777" w:rsidR="002D1F59" w:rsidRPr="0083383D" w:rsidRDefault="002D1F59" w:rsidP="002D1F59">
      <w:pPr>
        <w:tabs>
          <w:tab w:val="left" w:pos="426"/>
          <w:tab w:val="left" w:pos="8080"/>
          <w:tab w:val="left" w:pos="8364"/>
        </w:tabs>
        <w:spacing w:after="0" w:line="240" w:lineRule="auto"/>
        <w:ind w:left="709" w:right="709"/>
        <w:jc w:val="both"/>
        <w:rPr>
          <w:rFonts w:ascii="Geomanist Light" w:hAnsi="Geomanist Light" w:cs="Arial"/>
          <w:bCs/>
          <w:color w:val="000000" w:themeColor="text1"/>
          <w:lang w:val="es-ES_tradnl"/>
        </w:rPr>
      </w:pPr>
      <w:r w:rsidRPr="0083383D">
        <w:rPr>
          <w:rFonts w:ascii="Geomanist Light" w:hAnsi="Geomanist Light" w:cs="Arial"/>
          <w:bCs/>
          <w:color w:val="000000" w:themeColor="text1"/>
          <w:lang w:val="es-ES_tradnl"/>
        </w:rPr>
        <w:t xml:space="preserve">En este sentido, a los subcontratos a que hace referencia son aquellos derivados del contrato de obra, y es a éstos a los que se aplicaría la prohibición de vinculación de las personas jurídicas y/o naturales que participaron en la elaboración de los estudios que tengan relación directa con el objeto principal, esto es, con el contrato de obra. </w:t>
      </w:r>
    </w:p>
    <w:p w14:paraId="45EC5A61" w14:textId="77777777" w:rsidR="002D1F59" w:rsidRPr="0083383D" w:rsidRDefault="002D1F59" w:rsidP="002D1F59">
      <w:pPr>
        <w:tabs>
          <w:tab w:val="left" w:pos="426"/>
          <w:tab w:val="left" w:pos="8080"/>
          <w:tab w:val="left" w:pos="8364"/>
        </w:tabs>
        <w:spacing w:after="0" w:line="240" w:lineRule="auto"/>
        <w:ind w:left="709" w:right="709"/>
        <w:jc w:val="both"/>
        <w:rPr>
          <w:rFonts w:ascii="Geomanist Light" w:hAnsi="Geomanist Light" w:cs="Arial"/>
          <w:bCs/>
          <w:color w:val="000000" w:themeColor="text1"/>
          <w:lang w:val="es-ES_tradnl"/>
        </w:rPr>
      </w:pPr>
    </w:p>
    <w:p w14:paraId="175415AE" w14:textId="77777777" w:rsidR="002D1F59" w:rsidRPr="0083383D" w:rsidRDefault="002D1F59" w:rsidP="002D1F59">
      <w:pPr>
        <w:tabs>
          <w:tab w:val="left" w:pos="426"/>
          <w:tab w:val="left" w:pos="8080"/>
          <w:tab w:val="left" w:pos="8364"/>
        </w:tabs>
        <w:spacing w:after="0" w:line="240" w:lineRule="auto"/>
        <w:ind w:left="709" w:right="709"/>
        <w:jc w:val="both"/>
        <w:rPr>
          <w:rFonts w:ascii="Geomanist Light" w:hAnsi="Geomanist Light" w:cs="Arial"/>
          <w:bCs/>
          <w:color w:val="000000" w:themeColor="text1"/>
          <w:lang w:val="es-ES_tradnl"/>
        </w:rPr>
      </w:pPr>
      <w:r w:rsidRPr="0083383D">
        <w:rPr>
          <w:rFonts w:ascii="Geomanist Light" w:hAnsi="Geomanist Light" w:cs="Arial"/>
          <w:bCs/>
          <w:color w:val="000000" w:themeColor="text1"/>
          <w:lang w:val="es-ES_tradnl"/>
        </w:rPr>
        <w:t xml:space="preserve">Teniendo en cuenta que la restricción que dispone la norma trata de “subcontratar” y no de “contratar” , el contrato de consultoría que suscribe el gerente del proyecto para realizar la interventoría del contrato de obra, al tratarse de una contratación y no de una subcontratación, por ser éste un contrato principal y autónomo al contrato de obra, como se indica en la guía para el ejercicio de las funciones de Supervisión e Interventoría de los contratos del Estado, de Colombia Compra Eficiente: </w:t>
      </w:r>
    </w:p>
    <w:p w14:paraId="0FD070E8" w14:textId="77777777" w:rsidR="002D1F59" w:rsidRPr="0083383D" w:rsidRDefault="002D1F59" w:rsidP="002D1F59">
      <w:pPr>
        <w:tabs>
          <w:tab w:val="left" w:pos="426"/>
          <w:tab w:val="left" w:pos="8080"/>
          <w:tab w:val="left" w:pos="8364"/>
        </w:tabs>
        <w:spacing w:after="0" w:line="240" w:lineRule="auto"/>
        <w:ind w:left="709" w:right="709"/>
        <w:jc w:val="both"/>
        <w:rPr>
          <w:rFonts w:ascii="Geomanist Light" w:hAnsi="Geomanist Light" w:cs="Arial"/>
          <w:bCs/>
          <w:color w:val="000000" w:themeColor="text1"/>
          <w:lang w:val="es-ES_tradnl"/>
        </w:rPr>
      </w:pPr>
    </w:p>
    <w:p w14:paraId="4A882CB4" w14:textId="04BD5DDD" w:rsidR="002D1F59" w:rsidRPr="0083383D" w:rsidRDefault="002D1F59" w:rsidP="002D1F59">
      <w:pPr>
        <w:tabs>
          <w:tab w:val="left" w:pos="426"/>
          <w:tab w:val="left" w:pos="8080"/>
          <w:tab w:val="left" w:pos="8364"/>
        </w:tabs>
        <w:spacing w:after="0" w:line="240" w:lineRule="auto"/>
        <w:ind w:left="709" w:right="709"/>
        <w:jc w:val="both"/>
        <w:rPr>
          <w:rFonts w:ascii="Geomanist Light" w:hAnsi="Geomanist Light" w:cs="Arial"/>
          <w:bCs/>
          <w:color w:val="000000" w:themeColor="text1"/>
          <w:lang w:val="es-ES_tradnl"/>
        </w:rPr>
      </w:pPr>
      <w:r w:rsidRPr="0083383D">
        <w:rPr>
          <w:rFonts w:ascii="Geomanist Light" w:hAnsi="Geomanist Light" w:cs="Arial"/>
          <w:bCs/>
          <w:color w:val="000000" w:themeColor="text1"/>
          <w:lang w:val="es-ES_tradnl"/>
        </w:rPr>
        <w:t xml:space="preserve">“El contrato de interventoría es principal y autónomo y aunque el objeto del mismo supone la existencia de otro contrato respecto del cual se va a ejercer la vigilancia, </w:t>
      </w:r>
      <w:r w:rsidRPr="0083383D">
        <w:rPr>
          <w:rFonts w:ascii="Geomanist Light" w:hAnsi="Geomanist Light" w:cs="Arial"/>
          <w:bCs/>
          <w:color w:val="000000" w:themeColor="text1"/>
          <w:lang w:val="es-ES_tradnl"/>
        </w:rPr>
        <w:lastRenderedPageBreak/>
        <w:t xml:space="preserve">el mismo es independiente de </w:t>
      </w:r>
      <w:r w:rsidR="006A48BB" w:rsidRPr="0083383D">
        <w:rPr>
          <w:rFonts w:ascii="Geomanist Light" w:hAnsi="Geomanist Light" w:cs="Arial"/>
          <w:bCs/>
          <w:color w:val="000000" w:themeColor="text1"/>
          <w:lang w:val="es-ES_tradnl"/>
        </w:rPr>
        <w:t>este</w:t>
      </w:r>
      <w:r w:rsidRPr="0083383D">
        <w:rPr>
          <w:rFonts w:ascii="Geomanist Light" w:hAnsi="Geomanist Light" w:cs="Arial"/>
          <w:bCs/>
          <w:color w:val="000000" w:themeColor="text1"/>
          <w:lang w:val="es-ES_tradnl"/>
        </w:rPr>
        <w:t xml:space="preserve"> último y por lo tanto, su existencia no depende de la existencia del contrato vigilado”. Subrayas y negrilla fuera del texto original. </w:t>
      </w:r>
    </w:p>
    <w:p w14:paraId="6527C69C" w14:textId="77777777" w:rsidR="002D1F59" w:rsidRPr="0083383D" w:rsidRDefault="002D1F59" w:rsidP="002D1F59">
      <w:pPr>
        <w:tabs>
          <w:tab w:val="left" w:pos="426"/>
          <w:tab w:val="left" w:pos="8080"/>
          <w:tab w:val="left" w:pos="8364"/>
        </w:tabs>
        <w:spacing w:after="0" w:line="240" w:lineRule="auto"/>
        <w:ind w:left="709" w:right="709"/>
        <w:jc w:val="both"/>
        <w:rPr>
          <w:rFonts w:ascii="Geomanist Light" w:hAnsi="Geomanist Light" w:cs="Arial"/>
          <w:bCs/>
          <w:color w:val="000000" w:themeColor="text1"/>
          <w:lang w:val="es-ES_tradnl"/>
        </w:rPr>
      </w:pPr>
    </w:p>
    <w:p w14:paraId="41FB4AFA" w14:textId="77777777" w:rsidR="002D1F59" w:rsidRPr="0083383D" w:rsidRDefault="002D1F59" w:rsidP="002D1F59">
      <w:pPr>
        <w:tabs>
          <w:tab w:val="left" w:pos="426"/>
          <w:tab w:val="left" w:pos="8080"/>
          <w:tab w:val="left" w:pos="8364"/>
        </w:tabs>
        <w:spacing w:after="0" w:line="240" w:lineRule="auto"/>
        <w:ind w:left="709" w:right="709"/>
        <w:jc w:val="both"/>
        <w:rPr>
          <w:rFonts w:ascii="Geomanist Light" w:hAnsi="Geomanist Light" w:cs="Arial"/>
          <w:bCs/>
          <w:color w:val="000000" w:themeColor="text1"/>
          <w:lang w:val="es-ES_tradnl"/>
        </w:rPr>
      </w:pPr>
      <w:r w:rsidRPr="0083383D">
        <w:rPr>
          <w:rFonts w:ascii="Geomanist Light" w:hAnsi="Geomanist Light" w:cs="Arial"/>
          <w:bCs/>
          <w:color w:val="000000" w:themeColor="text1"/>
          <w:lang w:val="es-ES_tradnl"/>
        </w:rPr>
        <w:t>Y considerando que las disposiciones que consagran prohibiciones, inhabilidades o restricciones son taxativas, de interpretación restrictiva y se rigen por el principio de tipicidad estricta, a la contratación de la interventoría del contrato de obra, no le es aplicable la prohibición respecto a la vinculación de las personas naturales o jurídicas que participaron en la elaboración de estudios relacionados directamente con el objeto principal. Agradecemos confirmar que nuestro entendimiento es correcto».</w:t>
      </w:r>
    </w:p>
    <w:p w14:paraId="33764B33" w14:textId="77777777" w:rsidR="00F4630A" w:rsidRPr="00FB186E" w:rsidRDefault="00F4630A" w:rsidP="002D1F59">
      <w:pPr>
        <w:spacing w:after="0" w:line="276" w:lineRule="auto"/>
        <w:jc w:val="both"/>
        <w:rPr>
          <w:rFonts w:ascii="Geomanist Light" w:hAnsi="Geomanist Light" w:cs="Arial"/>
          <w:lang w:val="es-MX"/>
        </w:rPr>
      </w:pPr>
    </w:p>
    <w:p w14:paraId="2411EA4A" w14:textId="77777777" w:rsidR="00042E6B" w:rsidRPr="00042E6B" w:rsidRDefault="00042E6B" w:rsidP="00042E6B">
      <w:pPr>
        <w:spacing w:after="0" w:line="276" w:lineRule="auto"/>
        <w:jc w:val="both"/>
        <w:rPr>
          <w:rFonts w:ascii="Geomanist Light" w:hAnsi="Geomanist Light" w:cs="Arial"/>
          <w:bCs/>
        </w:rPr>
      </w:pPr>
      <w:r w:rsidRPr="00042E6B">
        <w:rPr>
          <w:rFonts w:ascii="Geomanist Light" w:hAnsi="Geomanist Light" w:cs="Arial"/>
        </w:rPr>
        <w:t xml:space="preserve">De las preguntas en concreto, se precisa que la Agencia Nacional de Contratación Pública tiene competencia para atender consultas relativas a temas contractuales, pero solo para absolver consultas sobre la aplicación de normas de carácter general. Por ello, </w:t>
      </w:r>
      <w:r w:rsidRPr="00042E6B">
        <w:rPr>
          <w:rFonts w:ascii="Geomanist Light" w:hAnsi="Geomanist Light" w:cs="Arial"/>
          <w:lang w:val="es-ES"/>
        </w:rPr>
        <w:t>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042E6B">
        <w:rPr>
          <w:rFonts w:ascii="Geomanist Light" w:hAnsi="Geomanist Light" w:cs="Arial"/>
          <w:bCs/>
        </w:rPr>
        <w:t xml:space="preserve"> de todos los partícipes de la contratación estatal ni para interpretar el alcance de cualquier norma vigente en el ordenamiento jurídico.</w:t>
      </w:r>
    </w:p>
    <w:p w14:paraId="0B818BF4" w14:textId="42D9D181" w:rsidR="008B45B9" w:rsidRDefault="00042E6B" w:rsidP="008B45B9">
      <w:pPr>
        <w:spacing w:before="120" w:after="0" w:line="276" w:lineRule="auto"/>
        <w:ind w:firstLine="709"/>
        <w:jc w:val="both"/>
        <w:rPr>
          <w:rFonts w:ascii="Geomanist Light" w:hAnsi="Geomanist Light" w:cs="Arial"/>
          <w:bCs/>
          <w:lang w:val="es-MX"/>
        </w:rPr>
      </w:pPr>
      <w:r w:rsidRPr="00042E6B">
        <w:rPr>
          <w:rFonts w:ascii="Geomanist Light" w:hAnsi="Geomanist Light" w:cs="Arial"/>
          <w:bCs/>
        </w:rPr>
        <w:t>A partir de l</w:t>
      </w:r>
      <w:r w:rsidR="00A841F5">
        <w:rPr>
          <w:rFonts w:ascii="Geomanist Light" w:hAnsi="Geomanist Light" w:cs="Arial"/>
          <w:bCs/>
        </w:rPr>
        <w:t>o</w:t>
      </w:r>
      <w:r w:rsidRPr="00042E6B">
        <w:rPr>
          <w:rFonts w:ascii="Geomanist Light" w:hAnsi="Geomanist Light" w:cs="Arial"/>
          <w:bCs/>
        </w:rPr>
        <w:t xml:space="preserve"> anterior, d</w:t>
      </w:r>
      <w:r w:rsidRPr="00042E6B">
        <w:rPr>
          <w:rFonts w:ascii="Geomanist Light" w:hAnsi="Geomanist Light" w:cs="Arial"/>
        </w:rPr>
        <w:t>e acuerdo con las consideraciones expuestas en este concepto</w:t>
      </w:r>
      <w:r w:rsidR="00A841F5">
        <w:rPr>
          <w:rFonts w:ascii="Geomanist Light" w:hAnsi="Geomanist Light" w:cs="Arial"/>
        </w:rPr>
        <w:t xml:space="preserve"> se precisa que</w:t>
      </w:r>
      <w:r w:rsidR="008B45B9" w:rsidRPr="00282903">
        <w:rPr>
          <w:rFonts w:ascii="Geomanist Light" w:hAnsi="Geomanist Light" w:cs="Arial"/>
          <w:bCs/>
        </w:rPr>
        <w:t xml:space="preserve"> cuando </w:t>
      </w:r>
      <w:r w:rsidR="008B45B9">
        <w:rPr>
          <w:rFonts w:ascii="Geomanist Light" w:hAnsi="Geomanist Light" w:cs="Arial"/>
          <w:bCs/>
        </w:rPr>
        <w:t xml:space="preserve">el inciso cuarto del </w:t>
      </w:r>
      <w:r w:rsidR="008B45B9" w:rsidRPr="005156E7">
        <w:rPr>
          <w:rFonts w:ascii="Geomanist Light" w:hAnsi="Geomanist Light" w:cs="Arial"/>
        </w:rPr>
        <w:t>literal c del numeral 4 del artículo 2 de la Ley 1150 de 2007</w:t>
      </w:r>
      <w:r w:rsidR="008B45B9" w:rsidRPr="00282903">
        <w:rPr>
          <w:rFonts w:ascii="Geomanist Light" w:hAnsi="Geomanist Light" w:cs="Arial"/>
          <w:bCs/>
        </w:rPr>
        <w:t xml:space="preserve"> se refiere </w:t>
      </w:r>
      <w:r w:rsidR="008B45B9">
        <w:rPr>
          <w:rFonts w:ascii="Geomanist Light" w:hAnsi="Geomanist Light" w:cs="Arial"/>
          <w:bCs/>
        </w:rPr>
        <w:t xml:space="preserve">al evento en que </w:t>
      </w:r>
      <w:r w:rsidR="008B45B9" w:rsidRPr="00E125D6">
        <w:rPr>
          <w:rFonts w:ascii="Geomanist Light" w:hAnsi="Geomanist Light" w:cs="Arial"/>
        </w:rPr>
        <w:t>la entidad estatal ejecutora deba subcontratar algunas de las actividades derivadas del</w:t>
      </w:r>
      <w:r w:rsidR="008B45B9" w:rsidRPr="005156E7">
        <w:rPr>
          <w:rFonts w:ascii="Geomanist Light" w:hAnsi="Geomanist Light" w:cs="Arial"/>
          <w:i/>
          <w:iCs/>
        </w:rPr>
        <w:t xml:space="preserve"> contrato principal</w:t>
      </w:r>
      <w:r w:rsidR="008B45B9">
        <w:rPr>
          <w:rFonts w:ascii="Geomanist Light" w:hAnsi="Geomanist Light" w:cs="Arial"/>
          <w:bCs/>
        </w:rPr>
        <w:t xml:space="preserve">, </w:t>
      </w:r>
      <w:r w:rsidR="008B45B9" w:rsidRPr="00282903">
        <w:rPr>
          <w:rFonts w:ascii="Geomanist Light" w:hAnsi="Geomanist Light" w:cs="Arial"/>
          <w:bCs/>
          <w:lang w:val="es-MX"/>
        </w:rPr>
        <w:t>debe entenderse que</w:t>
      </w:r>
      <w:r w:rsidR="008B45B9">
        <w:rPr>
          <w:rFonts w:ascii="Geomanist Light" w:hAnsi="Geomanist Light" w:cs="Arial"/>
          <w:bCs/>
          <w:lang w:val="es-MX"/>
        </w:rPr>
        <w:t xml:space="preserve"> este se</w:t>
      </w:r>
      <w:r w:rsidR="008B45B9" w:rsidRPr="00282903">
        <w:rPr>
          <w:rFonts w:ascii="Geomanist Light" w:hAnsi="Geomanist Light" w:cs="Arial"/>
          <w:bCs/>
          <w:lang w:val="es-MX"/>
        </w:rPr>
        <w:t xml:space="preserve"> trata del contrato interadministrativo del cual se deriva</w:t>
      </w:r>
      <w:r w:rsidR="008B45B9">
        <w:rPr>
          <w:rFonts w:ascii="Geomanist Light" w:hAnsi="Geomanist Light" w:cs="Arial"/>
          <w:bCs/>
          <w:lang w:val="es-MX"/>
        </w:rPr>
        <w:t xml:space="preserve"> el subcontrato, </w:t>
      </w:r>
      <w:r w:rsidR="008B45B9" w:rsidRPr="00282903">
        <w:rPr>
          <w:rFonts w:ascii="Geomanist Light" w:hAnsi="Geomanist Light" w:cs="Arial"/>
          <w:bCs/>
          <w:lang w:val="es-MX"/>
        </w:rPr>
        <w:t xml:space="preserve">que </w:t>
      </w:r>
      <w:r w:rsidR="008B45B9">
        <w:rPr>
          <w:rFonts w:ascii="Geomanist Light" w:hAnsi="Geomanist Light" w:cs="Arial"/>
          <w:bCs/>
          <w:lang w:val="es-MX"/>
        </w:rPr>
        <w:t xml:space="preserve">aunque es </w:t>
      </w:r>
      <w:r w:rsidR="008B45B9" w:rsidRPr="00282903">
        <w:rPr>
          <w:rFonts w:ascii="Geomanist Light" w:hAnsi="Geomanist Light" w:cs="Arial"/>
          <w:bCs/>
          <w:lang w:val="es-MX"/>
        </w:rPr>
        <w:t>accesori</w:t>
      </w:r>
      <w:r w:rsidR="008B45B9">
        <w:rPr>
          <w:rFonts w:ascii="Geomanist Light" w:hAnsi="Geomanist Light" w:cs="Arial"/>
          <w:bCs/>
          <w:lang w:val="es-MX"/>
        </w:rPr>
        <w:t>o</w:t>
      </w:r>
      <w:r w:rsidR="008B45B9" w:rsidRPr="00282903">
        <w:rPr>
          <w:rFonts w:ascii="Geomanist Light" w:hAnsi="Geomanist Light" w:cs="Arial"/>
          <w:bCs/>
          <w:lang w:val="es-MX"/>
        </w:rPr>
        <w:t>, independiente y autónom</w:t>
      </w:r>
      <w:r w:rsidR="008B45B9">
        <w:rPr>
          <w:rFonts w:ascii="Geomanist Light" w:hAnsi="Geomanist Light" w:cs="Arial"/>
          <w:bCs/>
          <w:lang w:val="es-MX"/>
        </w:rPr>
        <w:t>o</w:t>
      </w:r>
      <w:r w:rsidR="008B45B9" w:rsidRPr="00282903">
        <w:rPr>
          <w:rFonts w:ascii="Geomanist Light" w:hAnsi="Geomanist Light" w:cs="Arial"/>
          <w:bCs/>
          <w:lang w:val="es-MX"/>
        </w:rPr>
        <w:t xml:space="preserve"> de aquel</w:t>
      </w:r>
      <w:r w:rsidR="008B45B9">
        <w:rPr>
          <w:rFonts w:ascii="Geomanist Light" w:hAnsi="Geomanist Light" w:cs="Arial"/>
          <w:bCs/>
          <w:lang w:val="es-MX"/>
        </w:rPr>
        <w:t xml:space="preserve">, </w:t>
      </w:r>
      <w:r w:rsidR="00AE7F9E">
        <w:rPr>
          <w:rFonts w:ascii="Geomanist Light" w:hAnsi="Geomanist Light" w:cs="Arial"/>
          <w:bCs/>
          <w:lang w:val="es-MX"/>
        </w:rPr>
        <w:t xml:space="preserve">esto </w:t>
      </w:r>
      <w:r w:rsidR="006A48BB">
        <w:rPr>
          <w:rFonts w:ascii="Geomanist Light" w:hAnsi="Geomanist Light" w:cs="Arial"/>
          <w:bCs/>
          <w:lang w:val="es-MX"/>
        </w:rPr>
        <w:t xml:space="preserve">no </w:t>
      </w:r>
      <w:r w:rsidR="008B45B9">
        <w:rPr>
          <w:rFonts w:ascii="Geomanist Light" w:hAnsi="Geomanist Light" w:cs="Arial"/>
          <w:bCs/>
          <w:lang w:val="es-MX"/>
        </w:rPr>
        <w:t>desvirtúa su naturaleza de subcontrato</w:t>
      </w:r>
      <w:r w:rsidR="008B45B9" w:rsidRPr="00282903">
        <w:rPr>
          <w:rFonts w:ascii="Geomanist Light" w:hAnsi="Geomanist Light" w:cs="Arial"/>
          <w:bCs/>
          <w:lang w:val="es-MX"/>
        </w:rPr>
        <w:t>.</w:t>
      </w:r>
      <w:r w:rsidR="008B45B9">
        <w:rPr>
          <w:rFonts w:ascii="Geomanist Light" w:hAnsi="Geomanist Light" w:cs="Arial"/>
          <w:bCs/>
          <w:lang w:val="es-MX"/>
        </w:rPr>
        <w:t xml:space="preserve"> En tal sentido, e</w:t>
      </w:r>
      <w:r w:rsidR="008B45B9" w:rsidRPr="00282903">
        <w:rPr>
          <w:rFonts w:ascii="Geomanist Light" w:hAnsi="Geomanist Light" w:cs="Arial"/>
          <w:bCs/>
          <w:lang w:val="es-MX"/>
        </w:rPr>
        <w:t>n caso de que se realice</w:t>
      </w:r>
      <w:r w:rsidR="008B45B9">
        <w:rPr>
          <w:rFonts w:ascii="Geomanist Light" w:hAnsi="Geomanist Light" w:cs="Arial"/>
          <w:bCs/>
          <w:lang w:val="es-MX"/>
        </w:rPr>
        <w:t xml:space="preserve"> la</w:t>
      </w:r>
      <w:r w:rsidR="008B45B9" w:rsidRPr="00282903">
        <w:rPr>
          <w:rFonts w:ascii="Geomanist Light" w:hAnsi="Geomanist Light" w:cs="Arial"/>
          <w:bCs/>
          <w:lang w:val="es-MX"/>
        </w:rPr>
        <w:t xml:space="preserve"> subcontratación</w:t>
      </w:r>
      <w:r w:rsidR="008B45B9">
        <w:rPr>
          <w:rFonts w:ascii="Geomanist Light" w:hAnsi="Geomanist Light" w:cs="Arial"/>
          <w:bCs/>
          <w:lang w:val="es-MX"/>
        </w:rPr>
        <w:t xml:space="preserve"> en el marco del contrato principal</w:t>
      </w:r>
      <w:r w:rsidR="008B45B9" w:rsidRPr="00282903">
        <w:rPr>
          <w:rFonts w:ascii="Geomanist Light" w:hAnsi="Geomanist Light" w:cs="Arial"/>
          <w:bCs/>
          <w:lang w:val="es-MX"/>
        </w:rPr>
        <w:t>, estos subcontratos se consideran derivados de</w:t>
      </w:r>
      <w:r w:rsidR="008B45B9">
        <w:rPr>
          <w:rFonts w:ascii="Geomanist Light" w:hAnsi="Geomanist Light" w:cs="Arial"/>
          <w:bCs/>
          <w:lang w:val="es-MX"/>
        </w:rPr>
        <w:t>l</w:t>
      </w:r>
      <w:r w:rsidR="008B45B9" w:rsidRPr="002B45A0">
        <w:rPr>
          <w:rFonts w:ascii="Geomanist Light" w:hAnsi="Geomanist Light" w:cs="Arial"/>
          <w:bCs/>
          <w:lang w:val="es-MX"/>
        </w:rPr>
        <w:t xml:space="preserve"> </w:t>
      </w:r>
      <w:r w:rsidR="008B45B9" w:rsidRPr="00282903">
        <w:rPr>
          <w:rFonts w:ascii="Geomanist Light" w:hAnsi="Geomanist Light" w:cs="Arial"/>
          <w:bCs/>
          <w:lang w:val="es-MX"/>
        </w:rPr>
        <w:t>contrato</w:t>
      </w:r>
      <w:r w:rsidR="008B45B9">
        <w:rPr>
          <w:rFonts w:ascii="Geomanist Light" w:hAnsi="Geomanist Light" w:cs="Arial"/>
          <w:bCs/>
          <w:lang w:val="es-MX"/>
        </w:rPr>
        <w:t xml:space="preserve"> interadministrativo. </w:t>
      </w:r>
    </w:p>
    <w:p w14:paraId="03E2BC1D" w14:textId="2F1776EA" w:rsidR="008B45B9" w:rsidRPr="00282903" w:rsidRDefault="008B45B9" w:rsidP="008B45B9">
      <w:pPr>
        <w:spacing w:before="120" w:after="0" w:line="276" w:lineRule="auto"/>
        <w:ind w:firstLine="709"/>
        <w:jc w:val="both"/>
        <w:rPr>
          <w:rFonts w:ascii="Geomanist Light" w:hAnsi="Geomanist Light" w:cs="Arial"/>
          <w:bCs/>
          <w:lang w:val="es-MX"/>
        </w:rPr>
      </w:pPr>
      <w:r>
        <w:rPr>
          <w:rFonts w:ascii="Geomanist Light" w:hAnsi="Geomanist Light" w:cs="Arial"/>
          <w:bCs/>
          <w:lang w:val="es-MX"/>
        </w:rPr>
        <w:t xml:space="preserve">Frente a este punto, resulta de especial importancia el concepto de </w:t>
      </w:r>
      <w:r w:rsidRPr="005156E7">
        <w:rPr>
          <w:rFonts w:ascii="Geomanist Light" w:hAnsi="Geomanist Light" w:cs="Arial"/>
        </w:rPr>
        <w:t>subcontratación</w:t>
      </w:r>
      <w:r>
        <w:rPr>
          <w:rFonts w:ascii="Geomanist Light" w:hAnsi="Geomanist Light" w:cs="Arial"/>
        </w:rPr>
        <w:t xml:space="preserve"> explicado en</w:t>
      </w:r>
      <w:r w:rsidR="00430C06">
        <w:rPr>
          <w:rFonts w:ascii="Geomanist Light" w:hAnsi="Geomanist Light" w:cs="Arial"/>
        </w:rPr>
        <w:t xml:space="preserve"> las consideraciones de este concepto</w:t>
      </w:r>
      <w:r>
        <w:rPr>
          <w:rFonts w:ascii="Geomanist Light" w:hAnsi="Geomanist Light" w:cs="Arial"/>
        </w:rPr>
        <w:t xml:space="preserve">, entendido como </w:t>
      </w:r>
      <w:r w:rsidRPr="005156E7">
        <w:rPr>
          <w:rFonts w:ascii="Geomanist Light" w:hAnsi="Geomanist Light" w:cs="Arial"/>
        </w:rPr>
        <w:t xml:space="preserve">la celebración de un contrato accesorio a otro principal entre un contratista del Estado y un tercero, en virtud del cual el subcontratista sustituye parcial y materialmente al primero, quien </w:t>
      </w:r>
      <w:r>
        <w:rPr>
          <w:rFonts w:ascii="Geomanist Light" w:hAnsi="Geomanist Light" w:cs="Arial"/>
        </w:rPr>
        <w:t>continúa siendo</w:t>
      </w:r>
      <w:r w:rsidRPr="005156E7">
        <w:rPr>
          <w:rFonts w:ascii="Geomanist Light" w:hAnsi="Geomanist Light" w:cs="Arial"/>
        </w:rPr>
        <w:t xml:space="preserve"> responsable ante la entidad contratante por el cumplimiento íntegro de las obligaciones derivadas del contrato adjudicado.</w:t>
      </w:r>
      <w:r>
        <w:rPr>
          <w:rFonts w:ascii="Geomanist Light" w:hAnsi="Geomanist Light" w:cs="Arial"/>
        </w:rPr>
        <w:t xml:space="preserve"> De este modo, la subcontratación parte de la base de un contrato principal del cual se deriva y cuyo propósito es ejecutar parcialmente las actividades de dicho contrato. En otras palabras, si bien el subcontrato es un contrato independiente y autónomo, su celebración se encuentra atada a la prestación establecida en el contrato principal con el fin de realizar </w:t>
      </w:r>
      <w:r w:rsidRPr="00F0306D">
        <w:rPr>
          <w:rFonts w:ascii="Geomanist Light" w:hAnsi="Geomanist Light" w:cs="Arial"/>
        </w:rPr>
        <w:t>parte</w:t>
      </w:r>
      <w:r>
        <w:rPr>
          <w:rFonts w:ascii="Geomanist Light" w:hAnsi="Geomanist Light" w:cs="Arial"/>
        </w:rPr>
        <w:t xml:space="preserve"> de</w:t>
      </w:r>
      <w:r w:rsidRPr="00F0306D">
        <w:rPr>
          <w:rFonts w:ascii="Geomanist Light" w:hAnsi="Geomanist Light" w:cs="Arial"/>
        </w:rPr>
        <w:t xml:space="preserve"> </w:t>
      </w:r>
      <w:r w:rsidRPr="00F0306D">
        <w:rPr>
          <w:rFonts w:ascii="Geomanist Light" w:hAnsi="Geomanist Light" w:cs="Arial"/>
        </w:rPr>
        <w:lastRenderedPageBreak/>
        <w:t>la actividad</w:t>
      </w:r>
      <w:r>
        <w:rPr>
          <w:rFonts w:ascii="Geomanist Light" w:hAnsi="Geomanist Light" w:cs="Arial"/>
        </w:rPr>
        <w:t>es allí contempladas</w:t>
      </w:r>
      <w:r w:rsidRPr="00F0306D">
        <w:rPr>
          <w:rFonts w:ascii="Geomanist Light" w:hAnsi="Geomanist Light" w:cs="Arial"/>
        </w:rPr>
        <w:t xml:space="preserve">, </w:t>
      </w:r>
      <w:r>
        <w:rPr>
          <w:rFonts w:ascii="Geomanist Light" w:hAnsi="Geomanist Light" w:cs="Arial"/>
        </w:rPr>
        <w:t xml:space="preserve">es decir, subsiste para la ejecución de las actividades del contrato principal, pues de lo contrario no se trataría de una subcontratación sino de un contrato diferente. </w:t>
      </w:r>
    </w:p>
    <w:p w14:paraId="240048EE" w14:textId="6B4E7BDC" w:rsidR="00815251" w:rsidRDefault="008B45B9" w:rsidP="008B45B9">
      <w:pPr>
        <w:spacing w:before="120" w:after="0" w:line="276" w:lineRule="auto"/>
        <w:ind w:firstLine="709"/>
        <w:jc w:val="both"/>
        <w:rPr>
          <w:rFonts w:ascii="Geomanist Light" w:hAnsi="Geomanist Light" w:cs="Arial"/>
        </w:rPr>
      </w:pPr>
      <w:r>
        <w:rPr>
          <w:rFonts w:ascii="Geomanist Light" w:hAnsi="Geomanist Light" w:cs="Arial"/>
          <w:bCs/>
          <w:lang w:val="es-MX"/>
        </w:rPr>
        <w:t>En este contexto</w:t>
      </w:r>
      <w:r w:rsidRPr="00282903">
        <w:rPr>
          <w:rFonts w:ascii="Geomanist Light" w:hAnsi="Geomanist Light" w:cs="Arial"/>
          <w:bCs/>
          <w:lang w:val="es-MX"/>
        </w:rPr>
        <w:t xml:space="preserve">, para efectos de la aplicación de la restricción señalada en el inciso cuarto del literal c </w:t>
      </w:r>
      <w:r w:rsidRPr="00282903">
        <w:rPr>
          <w:rFonts w:ascii="Geomanist Light" w:hAnsi="Geomanist Light" w:cs="Arial"/>
          <w:bCs/>
          <w:lang w:val="es-ES_tradnl"/>
        </w:rPr>
        <w:t>del numeral 4 del artículo 2 de la Ley 1150 de 2007, se deberá tener en cuenta que el contrato principal es el contrato interadministrativo</w:t>
      </w:r>
      <w:r>
        <w:rPr>
          <w:rFonts w:ascii="Geomanist Light" w:hAnsi="Geomanist Light" w:cs="Arial"/>
          <w:bCs/>
          <w:lang w:val="es-ES_tradnl"/>
        </w:rPr>
        <w:t xml:space="preserve">, del cual se desprenden los subcontratos que eventualmente realice la entidad estatal ejecutora para desarrollar algunas actividades derivadas de este. Esta conclusión se desprende de la misma redacción del literal c </w:t>
      </w:r>
      <w:r w:rsidRPr="00712ABF">
        <w:rPr>
          <w:rFonts w:ascii="Geomanist Light" w:hAnsi="Geomanist Light" w:cs="Arial"/>
          <w:bCs/>
          <w:i/>
          <w:iCs/>
          <w:lang w:val="es-ES_tradnl"/>
        </w:rPr>
        <w:t>ibidem</w:t>
      </w:r>
      <w:r>
        <w:rPr>
          <w:rFonts w:ascii="Geomanist Light" w:hAnsi="Geomanist Light" w:cs="Arial"/>
          <w:bCs/>
          <w:lang w:val="es-ES_tradnl"/>
        </w:rPr>
        <w:t xml:space="preserve"> en la medida en que este regula el contrato interadministrativo, de manera que cuando la norma se refiere a</w:t>
      </w:r>
      <w:r w:rsidRPr="005156E7">
        <w:rPr>
          <w:rFonts w:ascii="Geomanist Light" w:hAnsi="Geomanist Light" w:cs="Arial"/>
        </w:rPr>
        <w:t>l contrato principal</w:t>
      </w:r>
      <w:r>
        <w:rPr>
          <w:rFonts w:ascii="Geomanist Light" w:hAnsi="Geomanist Light" w:cs="Arial"/>
        </w:rPr>
        <w:t xml:space="preserve">, sin duda alguna alude al contrato interadministrativo pues solo de este se pueden derivar las actividades a cargo de la entidad ejecutora. </w:t>
      </w:r>
    </w:p>
    <w:p w14:paraId="3CF28F13" w14:textId="60575DD6" w:rsidR="00430C06" w:rsidRPr="0030320E" w:rsidRDefault="00430C06" w:rsidP="00430C06">
      <w:pPr>
        <w:spacing w:before="120" w:after="0" w:line="276" w:lineRule="auto"/>
        <w:ind w:firstLine="709"/>
        <w:jc w:val="both"/>
        <w:rPr>
          <w:rFonts w:ascii="Geomanist Light" w:hAnsi="Geomanist Light"/>
          <w:bCs/>
          <w:lang w:val="es-ES_tradnl"/>
        </w:rPr>
      </w:pPr>
      <w:r w:rsidRPr="00475A91">
        <w:rPr>
          <w:rFonts w:ascii="Geomanist Light" w:hAnsi="Geomanist Light" w:cs="Arial"/>
          <w:bCs/>
          <w:lang w:val="es-ES_tradnl"/>
        </w:rPr>
        <w:t>De acuerdo con lo anterior, es importante destacar dos aspectos de la prohibición establecida en el inciso cuarto de</w:t>
      </w:r>
      <w:r w:rsidRPr="00475A91">
        <w:rPr>
          <w:rFonts w:ascii="Geomanist Light" w:hAnsi="Geomanist Light" w:cs="Arial"/>
        </w:rPr>
        <w:t xml:space="preserve">l literal c del </w:t>
      </w:r>
      <w:r w:rsidRPr="00475A91">
        <w:rPr>
          <w:rFonts w:ascii="Geomanist Light" w:hAnsi="Geomanist Light" w:cs="Arial"/>
          <w:bCs/>
          <w:lang w:val="es-ES_tradnl"/>
        </w:rPr>
        <w:t xml:space="preserve">del numeral 4 del artículo 2 de la Ley 1150 de 2007. </w:t>
      </w:r>
      <w:r w:rsidRPr="00475A91">
        <w:rPr>
          <w:rFonts w:ascii="Geomanist Light" w:hAnsi="Geomanist Light" w:cs="Arial"/>
          <w:bCs/>
          <w:i/>
          <w:iCs/>
          <w:lang w:val="es-ES_tradnl"/>
        </w:rPr>
        <w:t>En primer lugar</w:t>
      </w:r>
      <w:r w:rsidRPr="00475A91">
        <w:rPr>
          <w:rFonts w:ascii="Geomanist Light" w:hAnsi="Geomanist Light" w:cs="Arial"/>
          <w:bCs/>
          <w:lang w:val="es-ES_tradnl"/>
        </w:rPr>
        <w:t xml:space="preserve">, como se indicó, el contrato principal al que hace referencia la norma es el contrato interadministrativo celebrado entre las entidades estatales, por lo que la prohibición aplica en relación con los subcontratos que se celebren en el marco del contrato interadministrativo. Y </w:t>
      </w:r>
      <w:r w:rsidRPr="00475A91">
        <w:rPr>
          <w:rFonts w:ascii="Geomanist Light" w:hAnsi="Geomanist Light" w:cs="Arial"/>
          <w:bCs/>
          <w:i/>
          <w:iCs/>
          <w:lang w:val="es-ES_tradnl"/>
        </w:rPr>
        <w:t>en segundo lugar</w:t>
      </w:r>
      <w:r w:rsidRPr="00475A91">
        <w:rPr>
          <w:rFonts w:ascii="Geomanist Light" w:hAnsi="Geomanist Light" w:cs="Arial"/>
          <w:bCs/>
          <w:lang w:val="es-ES_tradnl"/>
        </w:rPr>
        <w:t>, la prohibición se dirige a la entidad estatal ejecutora y al subcontratista, de manera que la restricción allí contemplada</w:t>
      </w:r>
      <w:r w:rsidRPr="0030320E">
        <w:rPr>
          <w:rFonts w:ascii="Geomanist Light" w:hAnsi="Geomanist Light"/>
          <w:bCs/>
          <w:lang w:val="es-ES_tradnl"/>
        </w:rPr>
        <w:t xml:space="preserve">, no solo aplica para la entidad ejecutora sino que se extiende al subcontratista de esta, lo que significa que en el caso en que la entidad estatal ejecutora subcontrate alguna actividad derivada del contrato interadministrativo, este subcontratista no podrá vincular o contratar personas que hayan participado en la elaboración de los estudios, diseños y proyectos que tengan relación directa con el objeto de dicho contrato interadministrativo. </w:t>
      </w:r>
    </w:p>
    <w:p w14:paraId="18C5B84A" w14:textId="20C69949" w:rsidR="008B45B9" w:rsidRPr="0015738A" w:rsidRDefault="008B45B9" w:rsidP="00430C06">
      <w:pPr>
        <w:spacing w:before="120" w:after="0" w:line="276" w:lineRule="auto"/>
        <w:ind w:firstLine="709"/>
        <w:jc w:val="both"/>
        <w:rPr>
          <w:rFonts w:ascii="Geomanist Light" w:hAnsi="Geomanist Light" w:cs="Arial"/>
          <w:bCs/>
          <w:lang w:val="es-ES_tradnl"/>
        </w:rPr>
      </w:pPr>
      <w:r w:rsidRPr="0015738A">
        <w:rPr>
          <w:rFonts w:ascii="Geomanist Light" w:hAnsi="Geomanist Light" w:cs="Arial"/>
        </w:rPr>
        <w:t xml:space="preserve">Bajo estas consideraciones, </w:t>
      </w:r>
      <w:r w:rsidRPr="0015738A">
        <w:rPr>
          <w:rFonts w:ascii="Geomanist Light" w:hAnsi="Geomanist Light" w:cs="Arial"/>
          <w:bCs/>
          <w:lang w:val="es-MX"/>
        </w:rPr>
        <w:t xml:space="preserve">es claro que el </w:t>
      </w:r>
      <w:r w:rsidRPr="0015738A">
        <w:rPr>
          <w:rFonts w:ascii="Geomanist Light" w:hAnsi="Geomanist Light" w:cs="Arial"/>
          <w:bCs/>
          <w:i/>
          <w:iCs/>
          <w:lang w:val="es-MX"/>
        </w:rPr>
        <w:t>contrato principal</w:t>
      </w:r>
      <w:r w:rsidRPr="0015738A">
        <w:rPr>
          <w:rFonts w:ascii="Geomanist Light" w:hAnsi="Geomanist Light" w:cs="Arial"/>
          <w:bCs/>
          <w:lang w:val="es-MX"/>
        </w:rPr>
        <w:t xml:space="preserve"> al que hace referencia la norma es el contrato interadministrativo que celebran las entidades estatales, con base en el cual la entidad ejecutora podrá subcontratar algunas actividades derivadas de dicho contrato con las limitaciones que se expuso.</w:t>
      </w:r>
      <w:r w:rsidRPr="0015738A">
        <w:rPr>
          <w:rFonts w:ascii="Geomanist Light" w:hAnsi="Geomanist Light" w:cs="Arial"/>
          <w:bCs/>
          <w:lang w:val="es-ES_tradnl"/>
        </w:rPr>
        <w:t xml:space="preserve"> En tal sentido, para efectos de la consulta, si en el contrato interadministrativo se contemplan </w:t>
      </w:r>
      <w:r w:rsidR="00430C06" w:rsidRPr="0015738A">
        <w:rPr>
          <w:rFonts w:ascii="Geomanist Light" w:hAnsi="Geomanist Light" w:cs="Arial"/>
          <w:bCs/>
          <w:lang w:val="es-ES_tradnl"/>
        </w:rPr>
        <w:t>la realización de determinadas actividades y la entidad estatal ejecutora deb</w:t>
      </w:r>
      <w:r w:rsidR="00AE7F9E" w:rsidRPr="0015738A">
        <w:rPr>
          <w:rFonts w:ascii="Geomanist Light" w:hAnsi="Geomanist Light" w:cs="Arial"/>
          <w:bCs/>
          <w:lang w:val="es-ES_tradnl"/>
        </w:rPr>
        <w:t>e</w:t>
      </w:r>
      <w:r w:rsidR="00430C06" w:rsidRPr="0015738A">
        <w:rPr>
          <w:rFonts w:ascii="Geomanist Light" w:hAnsi="Geomanist Light" w:cs="Arial"/>
          <w:bCs/>
          <w:lang w:val="es-ES_tradnl"/>
        </w:rPr>
        <w:t xml:space="preserve"> subcontratar alguna de ellas, el contrato que se celebre entre esta entidad y el tercero</w:t>
      </w:r>
      <w:r w:rsidR="00AE7F9E" w:rsidRPr="0015738A">
        <w:rPr>
          <w:rFonts w:ascii="Geomanist Light" w:hAnsi="Geomanist Light" w:cs="Arial"/>
          <w:bCs/>
          <w:lang w:val="es-ES_tradnl"/>
        </w:rPr>
        <w:t xml:space="preserve"> para tales efectos</w:t>
      </w:r>
      <w:r w:rsidR="00430C06" w:rsidRPr="0015738A">
        <w:rPr>
          <w:rFonts w:ascii="Geomanist Light" w:hAnsi="Geomanist Light" w:cs="Arial"/>
          <w:bCs/>
          <w:lang w:val="es-ES_tradnl"/>
        </w:rPr>
        <w:t xml:space="preserve"> es un subcontrato</w:t>
      </w:r>
      <w:r w:rsidR="00AE7F9E" w:rsidRPr="0015738A">
        <w:rPr>
          <w:rFonts w:ascii="Geomanist Light" w:hAnsi="Geomanist Light" w:cs="Arial"/>
          <w:bCs/>
          <w:lang w:val="es-ES_tradnl"/>
        </w:rPr>
        <w:t>,</w:t>
      </w:r>
      <w:r w:rsidR="00430C06" w:rsidRPr="0015738A">
        <w:rPr>
          <w:rFonts w:ascii="Geomanist Light" w:hAnsi="Geomanist Light" w:cs="Arial"/>
          <w:bCs/>
          <w:lang w:val="es-ES_tradnl"/>
        </w:rPr>
        <w:t xml:space="preserve"> pues aunque es </w:t>
      </w:r>
      <w:r w:rsidR="00430C06" w:rsidRPr="0015738A">
        <w:rPr>
          <w:rFonts w:ascii="Geomanist Light" w:hAnsi="Geomanist Light" w:cs="Arial"/>
          <w:bCs/>
          <w:lang w:val="es-MX"/>
        </w:rPr>
        <w:t xml:space="preserve">independiente y autónomo del contrato interadministrativo su celebración se realiza con el fin de </w:t>
      </w:r>
      <w:r w:rsidR="00430C06" w:rsidRPr="0015738A">
        <w:rPr>
          <w:rFonts w:ascii="Geomanist Light" w:hAnsi="Geomanist Light" w:cs="Arial"/>
        </w:rPr>
        <w:t xml:space="preserve">realizar parcialmente las obligaciones derivadas de este. Por consiguiente, a dicho subcontrato </w:t>
      </w:r>
      <w:r w:rsidR="00430C06" w:rsidRPr="0015738A">
        <w:rPr>
          <w:rFonts w:ascii="Geomanist Light" w:hAnsi="Geomanist Light" w:cs="Arial"/>
          <w:bCs/>
          <w:lang w:val="es-ES_tradnl"/>
        </w:rPr>
        <w:t xml:space="preserve">le aplica la prohibición de que trata </w:t>
      </w:r>
      <w:r w:rsidR="00430C06" w:rsidRPr="0015738A">
        <w:rPr>
          <w:rFonts w:ascii="Geomanist Light" w:hAnsi="Geomanist Light" w:cs="Arial"/>
        </w:rPr>
        <w:t xml:space="preserve">el literal c </w:t>
      </w:r>
      <w:r w:rsidR="00430C06" w:rsidRPr="0015738A">
        <w:rPr>
          <w:rFonts w:ascii="Geomanist Light" w:hAnsi="Geomanist Light" w:cs="Arial"/>
          <w:bCs/>
          <w:lang w:val="es-ES_tradnl"/>
        </w:rPr>
        <w:t xml:space="preserve">del numeral 4 del artículo 2 de la Ley 1150 de 2007, por lo que este subcontratista </w:t>
      </w:r>
      <w:r w:rsidR="00430C06" w:rsidRPr="0030320E">
        <w:rPr>
          <w:rFonts w:ascii="Geomanist Light" w:hAnsi="Geomanist Light"/>
          <w:bCs/>
          <w:lang w:val="es-ES_tradnl"/>
        </w:rPr>
        <w:t xml:space="preserve">no podrá vincular o contratar personas que hayan participado en la elaboración de los estudios, diseños y proyectos que tengan relación directa con el objeto de dicho contrato interadministrativo. </w:t>
      </w:r>
    </w:p>
    <w:p w14:paraId="581FFE66" w14:textId="77777777" w:rsidR="00025065" w:rsidRPr="00FB186E" w:rsidRDefault="00025065" w:rsidP="00025065">
      <w:pPr>
        <w:spacing w:before="120" w:after="0" w:line="276" w:lineRule="auto"/>
        <w:ind w:firstLine="709"/>
        <w:jc w:val="both"/>
        <w:rPr>
          <w:rFonts w:ascii="Geomanist Light" w:hAnsi="Geomanist Light" w:cs="Arial"/>
          <w:lang w:val="es-MX"/>
        </w:rPr>
      </w:pPr>
    </w:p>
    <w:p w14:paraId="6F54E9C9" w14:textId="5475890E" w:rsidR="00003233" w:rsidRDefault="00DD5B04" w:rsidP="00EB1F23">
      <w:pPr>
        <w:widowControl w:val="0"/>
        <w:autoSpaceDE w:val="0"/>
        <w:autoSpaceDN w:val="0"/>
        <w:spacing w:line="276" w:lineRule="auto"/>
        <w:jc w:val="both"/>
        <w:rPr>
          <w:rFonts w:ascii="Geomanist Light" w:hAnsi="Geomanist Light" w:cs="Arial"/>
          <w:lang w:val="es-ES_tradnl" w:bidi="es-ES"/>
        </w:rPr>
      </w:pPr>
      <w:r w:rsidRPr="00FB186E">
        <w:rPr>
          <w:rFonts w:ascii="Geomanist Light" w:hAnsi="Geomanist Light" w:cs="Arial"/>
          <w:color w:val="000000" w:themeColor="text1"/>
          <w:lang w:val="es-ES_tradnl"/>
        </w:rPr>
        <w:lastRenderedPageBreak/>
        <w:t>Este concepto tiene el alcance previsto en el artículo 28 del Código de Procedimiento Administrativo y de</w:t>
      </w:r>
      <w:r w:rsidR="00D40F8B" w:rsidRPr="00FB186E">
        <w:rPr>
          <w:rFonts w:ascii="Geomanist Light" w:hAnsi="Geomanist Light" w:cs="Arial"/>
          <w:color w:val="000000" w:themeColor="text1"/>
          <w:lang w:val="es-ES_tradnl"/>
        </w:rPr>
        <w:t xml:space="preserve"> lo Contencioso Administrativo.</w:t>
      </w:r>
    </w:p>
    <w:p w14:paraId="3C17C1D1" w14:textId="77777777" w:rsidR="00EB1F23" w:rsidRPr="00EB1F23" w:rsidRDefault="00EB1F23" w:rsidP="00EB1F23">
      <w:pPr>
        <w:widowControl w:val="0"/>
        <w:autoSpaceDE w:val="0"/>
        <w:autoSpaceDN w:val="0"/>
        <w:spacing w:line="276" w:lineRule="auto"/>
        <w:jc w:val="both"/>
        <w:rPr>
          <w:rFonts w:ascii="Geomanist Light" w:hAnsi="Geomanist Light" w:cs="Arial"/>
          <w:lang w:val="es-ES_tradnl" w:bidi="es-ES"/>
        </w:rPr>
      </w:pPr>
    </w:p>
    <w:p w14:paraId="349855C9" w14:textId="4E2C915B" w:rsidR="00D40F8B" w:rsidRPr="00FB186E" w:rsidRDefault="00861F0F" w:rsidP="00DF76A2">
      <w:pPr>
        <w:pStyle w:val="NormalWeb"/>
        <w:spacing w:before="0" w:beforeAutospacing="0" w:after="0" w:afterAutospacing="0" w:line="276" w:lineRule="auto"/>
        <w:jc w:val="both"/>
        <w:rPr>
          <w:rFonts w:ascii="Geomanist Light" w:hAnsi="Geomanist Light" w:cs="Arial"/>
          <w:color w:val="000000" w:themeColor="text1"/>
          <w:sz w:val="22"/>
          <w:szCs w:val="22"/>
          <w:lang w:val="es-ES_tradnl"/>
        </w:rPr>
      </w:pPr>
      <w:r w:rsidRPr="00FB186E">
        <w:rPr>
          <w:rFonts w:ascii="Geomanist Light" w:hAnsi="Geomanist Light" w:cs="Arial"/>
          <w:color w:val="000000" w:themeColor="text1"/>
          <w:sz w:val="22"/>
          <w:szCs w:val="22"/>
          <w:lang w:val="es-ES_tradnl"/>
        </w:rPr>
        <w:t>Atentamente,</w:t>
      </w:r>
    </w:p>
    <w:p w14:paraId="10A1E411" w14:textId="437434D3" w:rsidR="00D40F8B" w:rsidRPr="00FB186E" w:rsidRDefault="003908B7" w:rsidP="00003233">
      <w:pPr>
        <w:pStyle w:val="NormalWeb"/>
        <w:spacing w:before="0" w:beforeAutospacing="0" w:after="0" w:afterAutospacing="0" w:line="276" w:lineRule="auto"/>
        <w:jc w:val="center"/>
        <w:rPr>
          <w:rFonts w:ascii="Geomanist Light" w:hAnsi="Geomanist Light" w:cs="Arial"/>
          <w:color w:val="000000" w:themeColor="text1"/>
          <w:sz w:val="22"/>
          <w:szCs w:val="22"/>
          <w:lang w:val="es-ES_tradnl"/>
        </w:rPr>
      </w:pPr>
      <w:r>
        <w:rPr>
          <w:noProof/>
        </w:rPr>
        <w:drawing>
          <wp:inline distT="0" distB="0" distL="0" distR="0" wp14:anchorId="5C1B4856" wp14:editId="1DB2E23D">
            <wp:extent cx="2774950" cy="106426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3"/>
                    <a:stretch>
                      <a:fillRect/>
                    </a:stretch>
                  </pic:blipFill>
                  <pic:spPr>
                    <a:xfrm>
                      <a:off x="0" y="0"/>
                      <a:ext cx="2774950" cy="1064260"/>
                    </a:xfrm>
                    <a:prstGeom prst="rect">
                      <a:avLst/>
                    </a:prstGeom>
                  </pic:spPr>
                </pic:pic>
              </a:graphicData>
            </a:graphic>
          </wp:inline>
        </w:drawing>
      </w:r>
    </w:p>
    <w:p w14:paraId="1ED13883" w14:textId="77777777" w:rsidR="00003233" w:rsidRPr="00FB186E" w:rsidRDefault="00003233" w:rsidP="00AD4A51">
      <w:pPr>
        <w:pStyle w:val="NormalWeb"/>
        <w:spacing w:before="0" w:beforeAutospacing="0" w:after="0" w:afterAutospacing="0"/>
        <w:rPr>
          <w:rFonts w:ascii="Geomanist Light" w:hAnsi="Geomanist Light"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56828" w14:paraId="0C7DC5F7" w14:textId="77777777" w:rsidTr="00D40F8B">
        <w:trPr>
          <w:trHeight w:val="160"/>
        </w:trPr>
        <w:tc>
          <w:tcPr>
            <w:tcW w:w="812" w:type="dxa"/>
            <w:vAlign w:val="center"/>
            <w:hideMark/>
          </w:tcPr>
          <w:p w14:paraId="5BDB1AC9" w14:textId="77777777" w:rsidR="00DD5B04" w:rsidRPr="00FB186E" w:rsidRDefault="00DD5B04" w:rsidP="00AD4A51">
            <w:pPr>
              <w:spacing w:after="0" w:line="240" w:lineRule="auto"/>
              <w:jc w:val="both"/>
              <w:rPr>
                <w:rFonts w:ascii="Geomanist Light" w:hAnsi="Geomanist Light" w:cs="Arial"/>
                <w:color w:val="000000" w:themeColor="text1"/>
                <w:sz w:val="16"/>
                <w:szCs w:val="16"/>
                <w:lang w:val="es-ES_tradnl" w:eastAsia="es-ES"/>
              </w:rPr>
            </w:pPr>
            <w:r w:rsidRPr="00FB186E">
              <w:rPr>
                <w:rFonts w:ascii="Geomanist Light" w:hAnsi="Geomanist Light"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FB186E" w:rsidRDefault="00F412DF" w:rsidP="00AD4A51">
            <w:pPr>
              <w:spacing w:after="0" w:line="240" w:lineRule="auto"/>
              <w:jc w:val="both"/>
              <w:rPr>
                <w:rFonts w:ascii="Geomanist Light" w:hAnsi="Geomanist Light" w:cs="Arial"/>
                <w:color w:val="000000" w:themeColor="text1"/>
                <w:sz w:val="16"/>
                <w:szCs w:val="16"/>
                <w:lang w:val="es-ES_tradnl" w:eastAsia="es-ES"/>
              </w:rPr>
            </w:pPr>
            <w:r w:rsidRPr="00FB186E">
              <w:rPr>
                <w:rFonts w:ascii="Geomanist Light" w:hAnsi="Geomanist Light" w:cs="Arial"/>
                <w:color w:val="000000" w:themeColor="text1"/>
                <w:sz w:val="16"/>
                <w:szCs w:val="16"/>
                <w:lang w:val="es-ES_tradnl" w:eastAsia="es-ES"/>
              </w:rPr>
              <w:t>Tatiana Baquero Iguarán</w:t>
            </w:r>
          </w:p>
          <w:p w14:paraId="240C71FD" w14:textId="31312C95" w:rsidR="00DD5B04" w:rsidRPr="00FB186E" w:rsidRDefault="00DD5B04" w:rsidP="00AD4A51">
            <w:pPr>
              <w:spacing w:after="0" w:line="240" w:lineRule="auto"/>
              <w:jc w:val="both"/>
              <w:rPr>
                <w:rFonts w:ascii="Geomanist Light" w:hAnsi="Geomanist Light" w:cs="Arial"/>
                <w:color w:val="000000" w:themeColor="text1"/>
                <w:sz w:val="16"/>
                <w:szCs w:val="16"/>
                <w:lang w:val="es-ES_tradnl" w:eastAsia="es-ES"/>
              </w:rPr>
            </w:pPr>
            <w:r w:rsidRPr="00FB186E">
              <w:rPr>
                <w:rFonts w:ascii="Geomanist Light" w:hAnsi="Geomanist Light" w:cs="Arial"/>
                <w:color w:val="000000" w:themeColor="text1"/>
                <w:sz w:val="16"/>
                <w:szCs w:val="16"/>
                <w:lang w:val="es-ES_tradnl" w:eastAsia="es-ES"/>
              </w:rPr>
              <w:t>Contratista</w:t>
            </w:r>
            <w:r w:rsidR="00FF0050" w:rsidRPr="00FB186E">
              <w:rPr>
                <w:rFonts w:ascii="Geomanist Light" w:hAnsi="Geomanist Light" w:cs="Arial"/>
                <w:color w:val="000000" w:themeColor="text1"/>
                <w:sz w:val="16"/>
                <w:szCs w:val="16"/>
                <w:lang w:val="es-ES_tradnl" w:eastAsia="es-ES"/>
              </w:rPr>
              <w:t xml:space="preserve"> de la </w:t>
            </w:r>
            <w:r w:rsidRPr="00FB186E">
              <w:rPr>
                <w:rFonts w:ascii="Geomanist Light" w:hAnsi="Geomanist Light" w:cs="Arial"/>
                <w:color w:val="000000" w:themeColor="text1"/>
                <w:sz w:val="16"/>
                <w:szCs w:val="16"/>
                <w:lang w:val="es-ES_tradnl" w:eastAsia="es-ES"/>
              </w:rPr>
              <w:t>Subdirección de Gestión Contractual</w:t>
            </w:r>
          </w:p>
        </w:tc>
      </w:tr>
      <w:tr w:rsidR="00DD5B04" w:rsidRPr="00D56828" w14:paraId="2F8FD650" w14:textId="77777777" w:rsidTr="00D15356">
        <w:trPr>
          <w:trHeight w:val="330"/>
        </w:trPr>
        <w:tc>
          <w:tcPr>
            <w:tcW w:w="812" w:type="dxa"/>
            <w:vAlign w:val="center"/>
            <w:hideMark/>
          </w:tcPr>
          <w:p w14:paraId="50203A0B" w14:textId="77777777" w:rsidR="00DD5B04" w:rsidRPr="00FB186E" w:rsidRDefault="00DD5B04" w:rsidP="00AD4A51">
            <w:pPr>
              <w:spacing w:after="0" w:line="240" w:lineRule="auto"/>
              <w:jc w:val="both"/>
              <w:rPr>
                <w:rFonts w:ascii="Geomanist Light" w:hAnsi="Geomanist Light" w:cs="Arial"/>
                <w:color w:val="000000" w:themeColor="text1"/>
                <w:sz w:val="16"/>
                <w:szCs w:val="16"/>
                <w:lang w:val="es-ES_tradnl" w:eastAsia="es-ES"/>
              </w:rPr>
            </w:pPr>
            <w:r w:rsidRPr="00FB186E">
              <w:rPr>
                <w:rFonts w:ascii="Geomanist Light" w:hAnsi="Geomanist Light"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1A4DC18" w14:textId="7A62242E" w:rsidR="003A07D9" w:rsidRPr="00FB186E" w:rsidRDefault="0037195B" w:rsidP="00AD4A51">
            <w:pPr>
              <w:spacing w:after="0" w:line="240" w:lineRule="auto"/>
              <w:jc w:val="both"/>
              <w:rPr>
                <w:rFonts w:ascii="Geomanist Light" w:hAnsi="Geomanist Light" w:cs="Arial"/>
                <w:color w:val="000000" w:themeColor="text1"/>
                <w:sz w:val="16"/>
                <w:szCs w:val="16"/>
                <w:lang w:eastAsia="es-ES"/>
              </w:rPr>
            </w:pPr>
            <w:r w:rsidRPr="00FB186E">
              <w:rPr>
                <w:rFonts w:ascii="Geomanist Light" w:hAnsi="Geomanist Light" w:cs="Arial"/>
                <w:color w:val="000000" w:themeColor="text1"/>
                <w:sz w:val="16"/>
                <w:szCs w:val="16"/>
                <w:lang w:eastAsia="es-ES"/>
              </w:rPr>
              <w:t xml:space="preserve">Alejandro Sarmiento Cantillo </w:t>
            </w:r>
          </w:p>
          <w:p w14:paraId="130B3228" w14:textId="7B765391" w:rsidR="00DD5B04" w:rsidRPr="00FB186E" w:rsidRDefault="003A07D9" w:rsidP="00AD4A51">
            <w:pPr>
              <w:spacing w:after="0" w:line="240" w:lineRule="auto"/>
              <w:jc w:val="both"/>
              <w:rPr>
                <w:rFonts w:ascii="Geomanist Light" w:hAnsi="Geomanist Light" w:cs="Arial"/>
                <w:color w:val="000000" w:themeColor="text1"/>
                <w:sz w:val="16"/>
                <w:szCs w:val="16"/>
                <w:lang w:eastAsia="es-ES"/>
              </w:rPr>
            </w:pPr>
            <w:r w:rsidRPr="00FB186E">
              <w:rPr>
                <w:rFonts w:ascii="Geomanist Light" w:hAnsi="Geomanist Light" w:cs="Arial"/>
                <w:color w:val="000000" w:themeColor="text1"/>
                <w:sz w:val="16"/>
                <w:szCs w:val="16"/>
                <w:lang w:eastAsia="es-ES"/>
              </w:rPr>
              <w:t>Gestor T1-15 de la Subdirección de Gestión Contractual</w:t>
            </w:r>
          </w:p>
        </w:tc>
      </w:tr>
      <w:tr w:rsidR="00DD5B04" w:rsidRPr="00D56828" w14:paraId="0FCBCA4A" w14:textId="77777777" w:rsidTr="00D15356">
        <w:trPr>
          <w:trHeight w:val="300"/>
        </w:trPr>
        <w:tc>
          <w:tcPr>
            <w:tcW w:w="812" w:type="dxa"/>
            <w:vAlign w:val="center"/>
            <w:hideMark/>
          </w:tcPr>
          <w:p w14:paraId="3C1D943A" w14:textId="77777777" w:rsidR="00DD5B04" w:rsidRPr="00FB186E" w:rsidRDefault="00DD5B04" w:rsidP="00AD4A51">
            <w:pPr>
              <w:spacing w:after="0" w:line="240" w:lineRule="auto"/>
              <w:jc w:val="both"/>
              <w:rPr>
                <w:rFonts w:ascii="Geomanist Light" w:hAnsi="Geomanist Light" w:cs="Arial"/>
                <w:color w:val="000000" w:themeColor="text1"/>
                <w:sz w:val="16"/>
                <w:szCs w:val="16"/>
                <w:lang w:val="es-ES_tradnl" w:eastAsia="es-ES"/>
              </w:rPr>
            </w:pPr>
            <w:r w:rsidRPr="00FB186E">
              <w:rPr>
                <w:rFonts w:ascii="Geomanist Light" w:hAnsi="Geomanist Light"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5A13D65" w14:textId="77777777" w:rsidR="0015738A" w:rsidRPr="0015738A" w:rsidRDefault="0015738A" w:rsidP="0015738A">
            <w:pPr>
              <w:spacing w:after="0" w:line="240" w:lineRule="auto"/>
              <w:rPr>
                <w:rFonts w:ascii="Geomanist Light" w:eastAsia="Arial" w:hAnsi="Geomanist Light" w:cs="Arial"/>
                <w:color w:val="000000"/>
                <w:sz w:val="16"/>
                <w:szCs w:val="16"/>
              </w:rPr>
            </w:pPr>
            <w:r w:rsidRPr="0015738A">
              <w:rPr>
                <w:rFonts w:ascii="Geomanist Light" w:eastAsia="Arial" w:hAnsi="Geomanist Light" w:cs="Arial"/>
                <w:color w:val="000000"/>
                <w:sz w:val="16"/>
                <w:szCs w:val="16"/>
              </w:rPr>
              <w:t>Nohelia del Carmen Zawady Palacio</w:t>
            </w:r>
          </w:p>
          <w:p w14:paraId="1ADC483B" w14:textId="3408AB15" w:rsidR="00DD5B04" w:rsidRPr="00FB186E" w:rsidRDefault="0015738A" w:rsidP="00AD4A51">
            <w:pPr>
              <w:spacing w:after="0" w:line="240" w:lineRule="auto"/>
              <w:jc w:val="both"/>
              <w:rPr>
                <w:rFonts w:ascii="Geomanist Light" w:hAnsi="Geomanist Light" w:cs="Arial"/>
                <w:color w:val="000000" w:themeColor="text1"/>
                <w:sz w:val="16"/>
                <w:szCs w:val="16"/>
                <w:lang w:val="es-ES_tradnl" w:eastAsia="es-ES"/>
              </w:rPr>
            </w:pPr>
            <w:r w:rsidRPr="0015738A">
              <w:rPr>
                <w:rFonts w:ascii="Geomanist Light" w:eastAsia="Arial" w:hAnsi="Geomanist Light" w:cs="Arial"/>
                <w:color w:val="000000"/>
                <w:sz w:val="16"/>
                <w:szCs w:val="16"/>
              </w:rPr>
              <w:t>Subdirectora de Gestión Contractual</w:t>
            </w:r>
          </w:p>
        </w:tc>
      </w:tr>
      <w:bookmarkEnd w:id="0"/>
      <w:bookmarkEnd w:id="1"/>
    </w:tbl>
    <w:p w14:paraId="575AF8D6" w14:textId="503E82EC" w:rsidR="003A07D9" w:rsidRPr="00FB186E" w:rsidRDefault="003A07D9" w:rsidP="003A07D9">
      <w:pPr>
        <w:tabs>
          <w:tab w:val="left" w:pos="3570"/>
        </w:tabs>
        <w:rPr>
          <w:rFonts w:ascii="Geomanist Light" w:hAnsi="Geomanist Light" w:cs="Arial"/>
          <w:lang w:val="es-ES_tradnl"/>
        </w:rPr>
      </w:pPr>
    </w:p>
    <w:sectPr w:rsidR="003A07D9" w:rsidRPr="00FB186E" w:rsidSect="0030320E">
      <w:headerReference w:type="default" r:id="rId14"/>
      <w:footerReference w:type="default" r:id="rId15"/>
      <w:pgSz w:w="12240" w:h="15840"/>
      <w:pgMar w:top="2041" w:right="1750"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17FCC" w14:textId="77777777" w:rsidR="00146782" w:rsidRDefault="00146782">
      <w:r>
        <w:separator/>
      </w:r>
    </w:p>
  </w:endnote>
  <w:endnote w:type="continuationSeparator" w:id="0">
    <w:p w14:paraId="57764919" w14:textId="77777777" w:rsidR="00146782" w:rsidRDefault="00146782">
      <w:r>
        <w:continuationSeparator/>
      </w:r>
    </w:p>
  </w:endnote>
  <w:endnote w:type="continuationNotice" w:id="1">
    <w:p w14:paraId="5ECACA0D" w14:textId="77777777" w:rsidR="00146782" w:rsidRDefault="001467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C6A04" w14:textId="7C6D95CC" w:rsidR="00E2520A" w:rsidRPr="0020796E" w:rsidRDefault="0020796E" w:rsidP="0020796E">
    <w:pPr>
      <w:pStyle w:val="Piedepgina"/>
      <w:rPr>
        <w:rFonts w:ascii="Arial" w:hAnsi="Arial" w:cs="Arial"/>
        <w:color w:val="7F7F7F"/>
        <w:sz w:val="16"/>
        <w:szCs w:val="16"/>
      </w:rPr>
    </w:pPr>
    <w:r>
      <w:rPr>
        <w:noProof/>
      </w:rPr>
      <w:drawing>
        <wp:inline distT="0" distB="0" distL="0" distR="0" wp14:anchorId="4EE241A6" wp14:editId="327EECCF">
          <wp:extent cx="5553075" cy="866719"/>
          <wp:effectExtent l="0" t="0" r="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95787" cy="873385"/>
                  </a:xfrm>
                  <a:prstGeom prst="rect">
                    <a:avLst/>
                  </a:prstGeom>
                </pic:spPr>
              </pic:pic>
            </a:graphicData>
          </a:graphic>
        </wp:inline>
      </w:drawing>
    </w:r>
  </w:p>
  <w:tbl>
    <w:tblPr>
      <w:tblStyle w:val="Tablaconcuadrcula"/>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
      <w:gridCol w:w="642"/>
      <w:gridCol w:w="835"/>
      <w:gridCol w:w="1659"/>
      <w:gridCol w:w="717"/>
      <w:gridCol w:w="2551"/>
      <w:gridCol w:w="1423"/>
    </w:tblGrid>
    <w:tr w:rsidR="0020796E" w:rsidRPr="00080DA3" w14:paraId="68BC7901" w14:textId="77777777" w:rsidTr="0020796E">
      <w:trPr>
        <w:trHeight w:val="198"/>
        <w:jc w:val="center"/>
      </w:trPr>
      <w:tc>
        <w:tcPr>
          <w:tcW w:w="276"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708FF6F4"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5E01DE96"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8C4F949"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079C225D" w14:textId="77777777" w:rsidR="0020796E" w:rsidRPr="004B6B0E" w:rsidRDefault="0020796E" w:rsidP="0020796E">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BDF1025"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077B246D" w14:textId="77777777" w:rsidR="0020796E" w:rsidRPr="00080DA3" w:rsidRDefault="0020796E" w:rsidP="0020796E">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1A3119EE"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C5FDB" w14:textId="77777777" w:rsidR="00146782" w:rsidRDefault="00146782">
      <w:r>
        <w:separator/>
      </w:r>
    </w:p>
  </w:footnote>
  <w:footnote w:type="continuationSeparator" w:id="0">
    <w:p w14:paraId="29DBAA64" w14:textId="77777777" w:rsidR="00146782" w:rsidRDefault="00146782">
      <w:r>
        <w:continuationSeparator/>
      </w:r>
    </w:p>
  </w:footnote>
  <w:footnote w:type="continuationNotice" w:id="1">
    <w:p w14:paraId="74592D86" w14:textId="77777777" w:rsidR="00146782" w:rsidRDefault="00146782"/>
  </w:footnote>
  <w:footnote w:id="2">
    <w:p w14:paraId="76AF0639" w14:textId="77777777" w:rsidR="006E7824" w:rsidRDefault="006E7824" w:rsidP="005156E7">
      <w:pPr>
        <w:pStyle w:val="Textonotapie"/>
        <w:ind w:firstLine="708"/>
        <w:jc w:val="both"/>
        <w:rPr>
          <w:rFonts w:ascii="Geomanist Light" w:hAnsi="Geomanist Light" w:cs="Arial"/>
          <w:sz w:val="16"/>
          <w:szCs w:val="16"/>
        </w:rPr>
      </w:pPr>
      <w:r w:rsidRPr="0030320E">
        <w:rPr>
          <w:sz w:val="16"/>
          <w:szCs w:val="16"/>
          <w:vertAlign w:val="superscript"/>
        </w:rPr>
        <w:footnoteRef/>
      </w:r>
      <w:r w:rsidRPr="0030320E">
        <w:rPr>
          <w:rFonts w:ascii="Geomanist Light" w:hAnsi="Geomanist Light" w:cs="Arial"/>
          <w:sz w:val="16"/>
          <w:szCs w:val="16"/>
          <w:vertAlign w:val="superscript"/>
        </w:rPr>
        <w:t xml:space="preserve"> </w:t>
      </w:r>
      <w:r w:rsidRPr="005156E7">
        <w:rPr>
          <w:rFonts w:ascii="Geomanist Light" w:hAnsi="Geomanist Light" w:cs="Arial"/>
          <w:sz w:val="16"/>
          <w:szCs w:val="16"/>
        </w:rPr>
        <w:t>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w:t>
      </w:r>
      <w:proofErr w:type="spellStart"/>
      <w:r w:rsidRPr="005156E7">
        <w:rPr>
          <w:rFonts w:ascii="Geomanist Light" w:hAnsi="Geomanist Light" w:cs="Arial"/>
          <w:sz w:val="16"/>
          <w:szCs w:val="16"/>
        </w:rPr>
        <w:t>bsolver</w:t>
      </w:r>
      <w:proofErr w:type="spellEnd"/>
      <w:r w:rsidRPr="005156E7">
        <w:rPr>
          <w:rFonts w:ascii="Geomanist Light" w:hAnsi="Geomanist Light" w:cs="Arial"/>
          <w:sz w:val="16"/>
          <w:szCs w:val="1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5156E7">
        <w:rPr>
          <w:rFonts w:ascii="Geomanist Light" w:hAnsi="Geomanist Light" w:cs="Arial"/>
          <w:sz w:val="16"/>
          <w:szCs w:val="16"/>
        </w:rPr>
        <w:t>bsolver</w:t>
      </w:r>
      <w:proofErr w:type="spellEnd"/>
      <w:r w:rsidRPr="005156E7">
        <w:rPr>
          <w:rFonts w:ascii="Geomanist Light" w:hAnsi="Geomanist Light" w:cs="Arial"/>
          <w:sz w:val="16"/>
          <w:szCs w:val="16"/>
        </w:rPr>
        <w:t xml:space="preserve"> consultas sobre la aplicación de normas de carácter general».</w:t>
      </w:r>
    </w:p>
    <w:p w14:paraId="49737E96" w14:textId="77777777" w:rsidR="00372B35" w:rsidRPr="005156E7" w:rsidRDefault="00372B35" w:rsidP="005156E7">
      <w:pPr>
        <w:pStyle w:val="Textonotapie"/>
        <w:ind w:firstLine="708"/>
        <w:jc w:val="both"/>
        <w:rPr>
          <w:rFonts w:ascii="Geomanist Light" w:hAnsi="Geomanist Light" w:cs="Arial"/>
          <w:sz w:val="16"/>
          <w:szCs w:val="16"/>
        </w:rPr>
      </w:pPr>
    </w:p>
  </w:footnote>
  <w:footnote w:id="3">
    <w:p w14:paraId="228F8014" w14:textId="1D0D84BF" w:rsidR="00F01DE3" w:rsidRPr="00017302" w:rsidRDefault="00F01DE3" w:rsidP="00F01DE3">
      <w:pPr>
        <w:pStyle w:val="Textonotapie"/>
        <w:ind w:firstLine="709"/>
        <w:jc w:val="both"/>
        <w:rPr>
          <w:rFonts w:ascii="Arial" w:hAnsi="Arial" w:cs="Arial"/>
          <w:sz w:val="18"/>
          <w:szCs w:val="18"/>
          <w:lang w:val="es-CO"/>
        </w:rPr>
      </w:pPr>
      <w:r w:rsidRPr="00372B35">
        <w:rPr>
          <w:rStyle w:val="Refdenotaalpie"/>
          <w:rFonts w:ascii="Arial" w:hAnsi="Arial" w:cs="Arial"/>
          <w:sz w:val="18"/>
          <w:szCs w:val="18"/>
        </w:rPr>
        <w:footnoteRef/>
      </w:r>
      <w:r w:rsidR="00372B35">
        <w:rPr>
          <w:rFonts w:ascii="Arial" w:hAnsi="Arial" w:cs="Arial"/>
          <w:sz w:val="18"/>
          <w:szCs w:val="18"/>
        </w:rPr>
        <w:t xml:space="preserve"> </w:t>
      </w:r>
      <w:r w:rsidRPr="00372B35">
        <w:rPr>
          <w:rFonts w:ascii="Geomanist Light" w:hAnsi="Geomanist Light" w:cs="Arial"/>
          <w:sz w:val="16"/>
          <w:szCs w:val="16"/>
        </w:rPr>
        <w:t xml:space="preserve">Estos conceptos pueden ser consultados en el siguiente enlace: </w:t>
      </w:r>
      <w:hyperlink r:id="rId1" w:history="1">
        <w:r w:rsidRPr="0030320E">
          <w:rPr>
            <w:rStyle w:val="Hipervnculo"/>
            <w:rFonts w:ascii="Geomanist Light" w:hAnsi="Geomanist Light" w:cs="Arial"/>
            <w:color w:val="auto"/>
            <w:sz w:val="16"/>
            <w:szCs w:val="16"/>
          </w:rPr>
          <w:t>https://relatoria.colombiacompra.gov.co/busqueda/conceptos</w:t>
        </w:r>
      </w:hyperlink>
    </w:p>
  </w:footnote>
  <w:footnote w:id="4">
    <w:p w14:paraId="50E0C602" w14:textId="77777777" w:rsidR="0083383D" w:rsidRPr="005156E7" w:rsidRDefault="0083383D" w:rsidP="005156E7">
      <w:pPr>
        <w:pStyle w:val="Textonotapie"/>
        <w:ind w:firstLine="708"/>
        <w:jc w:val="both"/>
        <w:rPr>
          <w:rFonts w:ascii="Geomanist Light" w:hAnsi="Geomanist Light" w:cs="Arial"/>
          <w:sz w:val="16"/>
          <w:szCs w:val="16"/>
        </w:rPr>
      </w:pPr>
      <w:r w:rsidRPr="0030320E">
        <w:rPr>
          <w:rFonts w:ascii="Geomanist Light" w:hAnsi="Geomanist Light"/>
          <w:sz w:val="16"/>
          <w:szCs w:val="16"/>
          <w:vertAlign w:val="superscript"/>
        </w:rPr>
        <w:footnoteRef/>
      </w:r>
      <w:r w:rsidRPr="005156E7">
        <w:rPr>
          <w:rFonts w:ascii="Geomanist Light" w:hAnsi="Geomanist Light" w:cs="Arial"/>
          <w:sz w:val="16"/>
          <w:szCs w:val="16"/>
        </w:rPr>
        <w:t xml:space="preserve"> Corte Constitucional, Sentencia C-449 de 1992, y Consejo de Estado, Sala de lo Contencioso Administrativo, Sección Tercera, Sentencia del 3 de diciembre de 2007, expedientes acumulados: (25206, 25409, 24524, 27834, 25410, 26105, 28244, 31447).</w:t>
      </w:r>
    </w:p>
    <w:p w14:paraId="5A1915D7" w14:textId="77777777" w:rsidR="0083383D" w:rsidRPr="005156E7" w:rsidRDefault="0083383D" w:rsidP="005156E7">
      <w:pPr>
        <w:pStyle w:val="Textonotapie"/>
        <w:ind w:firstLine="708"/>
        <w:jc w:val="both"/>
        <w:rPr>
          <w:rFonts w:ascii="Geomanist Light" w:hAnsi="Geomanist Light" w:cs="Arial"/>
          <w:sz w:val="16"/>
          <w:szCs w:val="16"/>
        </w:rPr>
      </w:pPr>
    </w:p>
  </w:footnote>
  <w:footnote w:id="5">
    <w:p w14:paraId="0F67AE27" w14:textId="77777777" w:rsidR="0083383D" w:rsidRPr="005156E7" w:rsidRDefault="0083383D" w:rsidP="005156E7">
      <w:pPr>
        <w:pStyle w:val="Textonotapie"/>
        <w:ind w:firstLine="708"/>
        <w:jc w:val="both"/>
        <w:rPr>
          <w:rFonts w:ascii="Geomanist Light" w:hAnsi="Geomanist Light" w:cs="Arial"/>
          <w:sz w:val="16"/>
          <w:szCs w:val="16"/>
        </w:rPr>
      </w:pPr>
      <w:r w:rsidRPr="0030320E">
        <w:rPr>
          <w:rFonts w:ascii="Geomanist Light" w:hAnsi="Geomanist Light"/>
          <w:sz w:val="16"/>
          <w:szCs w:val="16"/>
          <w:vertAlign w:val="superscript"/>
        </w:rPr>
        <w:footnoteRef/>
      </w:r>
      <w:r w:rsidRPr="0030320E">
        <w:rPr>
          <w:rFonts w:ascii="Geomanist Light" w:hAnsi="Geomanist Light" w:cs="Arial"/>
          <w:sz w:val="16"/>
          <w:szCs w:val="16"/>
          <w:vertAlign w:val="superscript"/>
        </w:rPr>
        <w:t xml:space="preserve"> </w:t>
      </w:r>
      <w:r w:rsidRPr="005156E7">
        <w:rPr>
          <w:rFonts w:ascii="Geomanist Light" w:hAnsi="Geomanist Light" w:cs="Arial"/>
          <w:sz w:val="16"/>
          <w:szCs w:val="16"/>
        </w:rPr>
        <w:t>DÁVILA VINUEZA. Luis Guillermo. Régimen jurídico de la contratación estatal. 3ª ed. Bogotá: Temis, 2016. p. 494.</w:t>
      </w:r>
    </w:p>
    <w:p w14:paraId="1790C7DE" w14:textId="77777777" w:rsidR="0083383D" w:rsidRPr="005156E7" w:rsidRDefault="0083383D" w:rsidP="005156E7">
      <w:pPr>
        <w:pStyle w:val="Textonotapie"/>
        <w:ind w:firstLine="708"/>
        <w:jc w:val="both"/>
        <w:rPr>
          <w:rFonts w:ascii="Geomanist Light" w:hAnsi="Geomanist Light" w:cs="Arial"/>
          <w:sz w:val="16"/>
          <w:szCs w:val="16"/>
        </w:rPr>
      </w:pPr>
    </w:p>
  </w:footnote>
  <w:footnote w:id="6">
    <w:p w14:paraId="28503DE2" w14:textId="77777777" w:rsidR="0083383D" w:rsidRPr="005156E7" w:rsidRDefault="0083383D" w:rsidP="005156E7">
      <w:pPr>
        <w:pStyle w:val="Textonotapie"/>
        <w:ind w:firstLine="708"/>
        <w:jc w:val="both"/>
        <w:rPr>
          <w:rFonts w:ascii="Geomanist Light" w:hAnsi="Geomanist Light" w:cs="Arial"/>
          <w:sz w:val="16"/>
          <w:szCs w:val="16"/>
        </w:rPr>
      </w:pPr>
      <w:r w:rsidRPr="0030320E">
        <w:rPr>
          <w:rFonts w:ascii="Geomanist Light" w:hAnsi="Geomanist Light"/>
          <w:sz w:val="16"/>
          <w:szCs w:val="16"/>
          <w:vertAlign w:val="superscript"/>
        </w:rPr>
        <w:footnoteRef/>
      </w:r>
      <w:r w:rsidRPr="0030320E">
        <w:rPr>
          <w:rFonts w:ascii="Geomanist Light" w:hAnsi="Geomanist Light" w:cs="Arial"/>
          <w:sz w:val="16"/>
          <w:szCs w:val="16"/>
          <w:vertAlign w:val="superscript"/>
        </w:rPr>
        <w:t xml:space="preserve"> </w:t>
      </w:r>
      <w:r w:rsidRPr="005156E7">
        <w:rPr>
          <w:rFonts w:ascii="Geomanist Light" w:hAnsi="Geomanist Light" w:cs="Arial"/>
          <w:sz w:val="16"/>
          <w:szCs w:val="16"/>
        </w:rPr>
        <w:t>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4C06ECA7" w14:textId="349A1F99" w:rsidR="0083383D" w:rsidRPr="005156E7" w:rsidRDefault="0083383D" w:rsidP="005156E7">
      <w:pPr>
        <w:pStyle w:val="Textonotapie"/>
        <w:ind w:firstLine="708"/>
        <w:jc w:val="both"/>
        <w:rPr>
          <w:rFonts w:ascii="Geomanist Light" w:hAnsi="Geomanist Light" w:cs="Arial"/>
          <w:sz w:val="16"/>
          <w:szCs w:val="16"/>
        </w:rPr>
      </w:pPr>
      <w:proofErr w:type="gramStart"/>
      <w:r w:rsidRPr="005156E7">
        <w:rPr>
          <w:rFonts w:ascii="Geomanist Light" w:hAnsi="Geomanist Light" w:cs="Arial"/>
          <w:sz w:val="16"/>
          <w:szCs w:val="16"/>
        </w:rPr>
        <w:t>»Cuando</w:t>
      </w:r>
      <w:proofErr w:type="gramEnd"/>
      <w:r w:rsidRPr="005156E7">
        <w:rPr>
          <w:rFonts w:ascii="Geomanist Light" w:hAnsi="Geomanist Light" w:cs="Arial"/>
          <w:sz w:val="16"/>
          <w:szCs w:val="16"/>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7">
    <w:p w14:paraId="40B19D08" w14:textId="77777777" w:rsidR="0083383D" w:rsidRPr="005156E7" w:rsidRDefault="0083383D" w:rsidP="005156E7">
      <w:pPr>
        <w:pStyle w:val="Textonotapie"/>
        <w:ind w:firstLine="708"/>
        <w:jc w:val="both"/>
        <w:rPr>
          <w:rFonts w:ascii="Geomanist Light" w:hAnsi="Geomanist Light" w:cs="Arial"/>
          <w:sz w:val="16"/>
          <w:szCs w:val="16"/>
        </w:rPr>
      </w:pPr>
      <w:r w:rsidRPr="0030320E">
        <w:rPr>
          <w:rFonts w:ascii="Geomanist Light" w:hAnsi="Geomanist Light"/>
          <w:sz w:val="16"/>
          <w:szCs w:val="16"/>
          <w:vertAlign w:val="superscript"/>
        </w:rPr>
        <w:footnoteRef/>
      </w:r>
      <w:r w:rsidRPr="0030320E">
        <w:rPr>
          <w:rFonts w:ascii="Geomanist Light" w:hAnsi="Geomanist Light"/>
          <w:sz w:val="16"/>
          <w:szCs w:val="16"/>
          <w:vertAlign w:val="superscript"/>
        </w:rPr>
        <w:t xml:space="preserve"> </w:t>
      </w:r>
      <w:r w:rsidRPr="005156E7">
        <w:rPr>
          <w:rFonts w:ascii="Geomanist Light" w:hAnsi="Geomanist Light"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78E217FD" w14:textId="77777777" w:rsidR="0083383D" w:rsidRPr="005156E7" w:rsidRDefault="0083383D" w:rsidP="005156E7">
      <w:pPr>
        <w:pStyle w:val="Textonotapie"/>
        <w:ind w:firstLine="708"/>
        <w:jc w:val="both"/>
        <w:rPr>
          <w:rFonts w:ascii="Geomanist Light" w:hAnsi="Geomanist Light" w:cs="Arial"/>
          <w:sz w:val="16"/>
          <w:szCs w:val="16"/>
        </w:rPr>
      </w:pPr>
    </w:p>
  </w:footnote>
  <w:footnote w:id="8">
    <w:p w14:paraId="14BF4E2F" w14:textId="77777777" w:rsidR="0083383D" w:rsidRPr="005156E7" w:rsidRDefault="0083383D" w:rsidP="005156E7">
      <w:pPr>
        <w:pStyle w:val="Textonotapie"/>
        <w:ind w:firstLine="708"/>
        <w:jc w:val="both"/>
        <w:rPr>
          <w:rFonts w:ascii="Geomanist Light" w:hAnsi="Geomanist Light" w:cs="Arial"/>
          <w:sz w:val="16"/>
          <w:szCs w:val="16"/>
        </w:rPr>
      </w:pPr>
      <w:r w:rsidRPr="0030320E">
        <w:rPr>
          <w:rFonts w:ascii="Geomanist Light" w:hAnsi="Geomanist Light"/>
          <w:sz w:val="16"/>
          <w:szCs w:val="16"/>
          <w:vertAlign w:val="superscript"/>
        </w:rPr>
        <w:footnoteRef/>
      </w:r>
      <w:r w:rsidRPr="0030320E">
        <w:rPr>
          <w:rFonts w:ascii="Geomanist Light" w:hAnsi="Geomanist Light" w:cs="Arial"/>
          <w:sz w:val="16"/>
          <w:szCs w:val="16"/>
          <w:vertAlign w:val="superscript"/>
        </w:rPr>
        <w:t xml:space="preserve"> </w:t>
      </w:r>
      <w:r w:rsidRPr="005156E7">
        <w:rPr>
          <w:rFonts w:ascii="Geomanist Light" w:hAnsi="Geomanist Light" w:cs="Arial"/>
          <w:sz w:val="16"/>
          <w:szCs w:val="16"/>
        </w:rPr>
        <w:t>Ley 80 de 1993: «Artículo 41. Del perfeccionamiento del contrato. Los contratos del Estado se perfeccionan cuando se logre acuerdo sobre el objeto y la contraprestación y éste se eleve a escrito.</w:t>
      </w:r>
    </w:p>
    <w:p w14:paraId="0A270B90" w14:textId="77777777" w:rsidR="0083383D" w:rsidRPr="005156E7" w:rsidRDefault="0083383D" w:rsidP="005156E7">
      <w:pPr>
        <w:pStyle w:val="Textonotapie"/>
        <w:ind w:firstLine="708"/>
        <w:jc w:val="both"/>
        <w:rPr>
          <w:rFonts w:ascii="Geomanist Light" w:hAnsi="Geomanist Light" w:cs="Arial"/>
          <w:sz w:val="16"/>
          <w:szCs w:val="16"/>
        </w:rPr>
      </w:pPr>
      <w:r w:rsidRPr="005156E7">
        <w:rPr>
          <w:rFonts w:ascii="Geomanist Light" w:hAnsi="Geomanist Light" w:cs="Arial"/>
          <w:sz w:val="16"/>
          <w:szCs w:val="16"/>
        </w:rPr>
        <w:t>[…]».</w:t>
      </w:r>
    </w:p>
    <w:p w14:paraId="16F3466B" w14:textId="77777777" w:rsidR="0083383D" w:rsidRPr="005156E7" w:rsidRDefault="0083383D" w:rsidP="005156E7">
      <w:pPr>
        <w:pStyle w:val="Textonotapie"/>
        <w:ind w:firstLine="708"/>
        <w:jc w:val="both"/>
        <w:rPr>
          <w:rFonts w:ascii="Geomanist Light" w:hAnsi="Geomanist Light" w:cs="Arial"/>
          <w:sz w:val="16"/>
          <w:szCs w:val="16"/>
        </w:rPr>
      </w:pPr>
    </w:p>
  </w:footnote>
  <w:footnote w:id="9">
    <w:p w14:paraId="0DE125B4" w14:textId="77777777" w:rsidR="0083383D" w:rsidRPr="005156E7" w:rsidRDefault="0083383D" w:rsidP="005156E7">
      <w:pPr>
        <w:pStyle w:val="Textonotapie"/>
        <w:ind w:firstLine="708"/>
        <w:jc w:val="both"/>
        <w:rPr>
          <w:rFonts w:ascii="Geomanist Light" w:hAnsi="Geomanist Light" w:cs="Arial"/>
          <w:sz w:val="16"/>
          <w:szCs w:val="16"/>
        </w:rPr>
      </w:pPr>
      <w:r w:rsidRPr="0030320E">
        <w:rPr>
          <w:rFonts w:ascii="Geomanist Light" w:hAnsi="Geomanist Light"/>
          <w:sz w:val="16"/>
          <w:szCs w:val="16"/>
          <w:vertAlign w:val="superscript"/>
        </w:rPr>
        <w:footnoteRef/>
      </w:r>
      <w:r w:rsidRPr="0030320E">
        <w:rPr>
          <w:rFonts w:ascii="Geomanist Light" w:hAnsi="Geomanist Light" w:cs="Arial"/>
          <w:sz w:val="16"/>
          <w:szCs w:val="16"/>
          <w:vertAlign w:val="superscript"/>
        </w:rPr>
        <w:t xml:space="preserve"> </w:t>
      </w:r>
      <w:r w:rsidRPr="005156E7">
        <w:rPr>
          <w:rFonts w:ascii="Geomanist Light" w:hAnsi="Geomanist Light" w:cs="Arial"/>
          <w:sz w:val="16"/>
          <w:szCs w:val="16"/>
        </w:rPr>
        <w:t>Código Civil: «Artículo 27. Cuando el sentido de la ley sea claro, no se desatenderá su tenor a pretexto de consultar su espíritu».</w:t>
      </w:r>
    </w:p>
  </w:footnote>
  <w:footnote w:id="10">
    <w:p w14:paraId="183BDC89" w14:textId="090651C7" w:rsidR="0083383D" w:rsidRPr="005156E7" w:rsidRDefault="0083383D" w:rsidP="0030320E">
      <w:pPr>
        <w:pStyle w:val="Textonotapie"/>
        <w:ind w:firstLine="708"/>
        <w:jc w:val="both"/>
        <w:rPr>
          <w:rFonts w:ascii="Geomanist Light" w:hAnsi="Geomanist Light" w:cs="Arial"/>
          <w:sz w:val="16"/>
          <w:szCs w:val="16"/>
        </w:rPr>
      </w:pPr>
      <w:r w:rsidRPr="0030320E">
        <w:rPr>
          <w:rFonts w:ascii="Geomanist Light" w:hAnsi="Geomanist Light"/>
          <w:sz w:val="16"/>
          <w:szCs w:val="16"/>
          <w:vertAlign w:val="superscript"/>
        </w:rPr>
        <w:footnoteRef/>
      </w:r>
      <w:r w:rsidRPr="0030320E">
        <w:rPr>
          <w:rFonts w:ascii="Geomanist Light" w:hAnsi="Geomanist Light" w:cs="Arial"/>
          <w:sz w:val="16"/>
          <w:szCs w:val="16"/>
          <w:vertAlign w:val="superscript"/>
        </w:rPr>
        <w:t xml:space="preserve"> </w:t>
      </w:r>
      <w:r w:rsidRPr="005156E7">
        <w:rPr>
          <w:rFonts w:ascii="Geomanist Light" w:hAnsi="Geomanist Light" w:cs="Arial"/>
          <w:sz w:val="16"/>
          <w:szCs w:val="16"/>
        </w:rPr>
        <w:t>Consejo de Estado. Sección Tercera. Sentencia del 23 de junio de 2010. Radicación No. 66001-23-31-000-1998-00261-01(17.860). Consejero Ponente: Mauricio Fajardo Gómez.</w:t>
      </w:r>
    </w:p>
  </w:footnote>
  <w:footnote w:id="11">
    <w:p w14:paraId="4B882AC4" w14:textId="77777777" w:rsidR="0083383D" w:rsidRPr="005156E7" w:rsidRDefault="0083383D" w:rsidP="005156E7">
      <w:pPr>
        <w:pStyle w:val="Textonotapie"/>
        <w:ind w:firstLine="708"/>
        <w:jc w:val="both"/>
        <w:rPr>
          <w:rFonts w:ascii="Geomanist Light" w:hAnsi="Geomanist Light" w:cs="Arial"/>
          <w:sz w:val="16"/>
          <w:szCs w:val="16"/>
        </w:rPr>
      </w:pPr>
      <w:r w:rsidRPr="005156E7">
        <w:rPr>
          <w:rFonts w:ascii="Geomanist Light" w:hAnsi="Geomanist Light"/>
          <w:sz w:val="16"/>
          <w:szCs w:val="16"/>
        </w:rPr>
        <w:footnoteRef/>
      </w:r>
      <w:r w:rsidRPr="005156E7">
        <w:rPr>
          <w:rFonts w:ascii="Geomanist Light" w:hAnsi="Geomanist Light" w:cs="Arial"/>
          <w:sz w:val="16"/>
          <w:szCs w:val="16"/>
        </w:rPr>
        <w:t xml:space="preserve"> Consejo de Estado, Sala de lo Contencioso Administrativo, Sección Tercera, Subsección A, sentencia del 21 de mayo de 2021, radicado: 250002336000 201501315 01 (57822).</w:t>
      </w:r>
    </w:p>
  </w:footnote>
  <w:footnote w:id="12">
    <w:p w14:paraId="41DD877B" w14:textId="1976B809" w:rsidR="0083383D" w:rsidRDefault="0083383D" w:rsidP="005156E7">
      <w:pPr>
        <w:pStyle w:val="Textonotapie"/>
        <w:ind w:firstLine="708"/>
        <w:jc w:val="both"/>
        <w:rPr>
          <w:rFonts w:ascii="Geomanist Light" w:hAnsi="Geomanist Light" w:cs="Arial"/>
          <w:sz w:val="16"/>
          <w:szCs w:val="16"/>
        </w:rPr>
      </w:pPr>
      <w:r w:rsidRPr="00EA1778">
        <w:rPr>
          <w:rFonts w:ascii="Geomanist Light" w:hAnsi="Geomanist Light"/>
          <w:sz w:val="16"/>
          <w:szCs w:val="16"/>
          <w:vertAlign w:val="superscript"/>
        </w:rPr>
        <w:footnoteRef/>
      </w:r>
      <w:r w:rsidRPr="00EA1778">
        <w:rPr>
          <w:rFonts w:ascii="Geomanist Light" w:hAnsi="Geomanist Light" w:cs="Arial"/>
          <w:sz w:val="16"/>
          <w:szCs w:val="16"/>
          <w:vertAlign w:val="superscript"/>
        </w:rPr>
        <w:t xml:space="preserve"> </w:t>
      </w:r>
      <w:r w:rsidRPr="005156E7">
        <w:rPr>
          <w:rFonts w:ascii="Geomanist Light" w:hAnsi="Geomanist Light" w:cs="Arial"/>
          <w:sz w:val="16"/>
          <w:szCs w:val="16"/>
        </w:rPr>
        <w:t>Sentencia del 14 de abril de 2005 radicación número: 19001-23-31-000-2002-01577-01 (AP); Sentencia del 28 de mayo de 2012 radicación número: 07001-23-31-000-1999-00546-01 (21489).</w:t>
      </w:r>
    </w:p>
    <w:p w14:paraId="7A7EFA9F" w14:textId="77777777" w:rsidR="00EA1778" w:rsidRPr="005156E7" w:rsidRDefault="00EA1778" w:rsidP="005156E7">
      <w:pPr>
        <w:pStyle w:val="Textonotapie"/>
        <w:ind w:firstLine="708"/>
        <w:jc w:val="both"/>
        <w:rPr>
          <w:rFonts w:ascii="Geomanist Light" w:hAnsi="Geomanist Light" w:cs="Arial"/>
          <w:sz w:val="16"/>
          <w:szCs w:val="16"/>
        </w:rPr>
      </w:pPr>
    </w:p>
  </w:footnote>
  <w:footnote w:id="13">
    <w:p w14:paraId="421EFFBE" w14:textId="77777777" w:rsidR="005156E7" w:rsidRPr="005156E7" w:rsidRDefault="005156E7" w:rsidP="005156E7">
      <w:pPr>
        <w:pStyle w:val="Textonotapie"/>
        <w:ind w:firstLine="708"/>
        <w:jc w:val="both"/>
        <w:rPr>
          <w:rFonts w:ascii="Geomanist Light" w:hAnsi="Geomanist Light" w:cs="Arial"/>
          <w:sz w:val="16"/>
          <w:szCs w:val="16"/>
        </w:rPr>
      </w:pPr>
      <w:r w:rsidRPr="00EA1778">
        <w:rPr>
          <w:rFonts w:ascii="Geomanist Light" w:hAnsi="Geomanist Light"/>
          <w:sz w:val="16"/>
          <w:szCs w:val="16"/>
          <w:vertAlign w:val="superscript"/>
        </w:rPr>
        <w:footnoteRef/>
      </w:r>
      <w:r w:rsidRPr="00EA1778">
        <w:rPr>
          <w:rFonts w:ascii="Geomanist Light" w:hAnsi="Geomanist Light" w:cs="Arial"/>
          <w:sz w:val="16"/>
          <w:szCs w:val="16"/>
          <w:vertAlign w:val="superscript"/>
        </w:rPr>
        <w:t xml:space="preserve"> </w:t>
      </w:r>
      <w:r w:rsidRPr="005156E7">
        <w:rPr>
          <w:rFonts w:ascii="Geomanist Light" w:hAnsi="Geomanist Light" w:cs="Arial"/>
          <w:sz w:val="16"/>
          <w:szCs w:val="16"/>
        </w:rPr>
        <w:t>El inciso final del numeral 5 «encargos fiduciarios y fiducia pública» del artículo 32 de la Ley 80 de 1993 señala lo siguiente: «</w:t>
      </w:r>
      <w:proofErr w:type="gramStart"/>
      <w:r w:rsidRPr="005156E7">
        <w:rPr>
          <w:rFonts w:ascii="Geomanist Light" w:hAnsi="Geomanist Light" w:cs="Arial"/>
          <w:sz w:val="16"/>
          <w:szCs w:val="16"/>
        </w:rPr>
        <w:t>So pena de nulidad no podrán</w:t>
      </w:r>
      <w:proofErr w:type="gramEnd"/>
      <w:r w:rsidRPr="005156E7">
        <w:rPr>
          <w:rFonts w:ascii="Geomanist Light" w:hAnsi="Geomanist Light" w:cs="Arial"/>
          <w:sz w:val="16"/>
          <w:szCs w:val="16"/>
        </w:rPr>
        <w:t xml:space="preserve"> celebrarse contratos de fiducia o subcontratos en contravención del artículo 355 de la Constitución Política. Si tal evento se diese, la entidad fideicomitente deberá repetir contra la persona, natural o jurídica, adjudicataria del respectivo contrato».</w:t>
      </w:r>
    </w:p>
    <w:p w14:paraId="3A45E9F3" w14:textId="77777777" w:rsidR="005156E7" w:rsidRPr="005156E7" w:rsidRDefault="005156E7" w:rsidP="005156E7">
      <w:pPr>
        <w:pStyle w:val="Textonotapie"/>
        <w:ind w:firstLine="708"/>
        <w:jc w:val="both"/>
        <w:rPr>
          <w:rFonts w:ascii="Geomanist Light" w:hAnsi="Geomanist Light" w:cs="Arial"/>
          <w:sz w:val="16"/>
          <w:szCs w:val="16"/>
        </w:rPr>
      </w:pPr>
    </w:p>
  </w:footnote>
  <w:footnote w:id="14">
    <w:p w14:paraId="272CE586" w14:textId="77777777" w:rsidR="005156E7" w:rsidRPr="005156E7" w:rsidRDefault="005156E7" w:rsidP="005156E7">
      <w:pPr>
        <w:pStyle w:val="Textonotapie"/>
        <w:ind w:firstLine="708"/>
        <w:jc w:val="both"/>
        <w:rPr>
          <w:rFonts w:ascii="Geomanist Light" w:hAnsi="Geomanist Light" w:cs="Arial"/>
          <w:sz w:val="16"/>
          <w:szCs w:val="16"/>
        </w:rPr>
      </w:pPr>
      <w:r w:rsidRPr="00EA1778">
        <w:rPr>
          <w:rFonts w:ascii="Geomanist Light" w:hAnsi="Geomanist Light"/>
          <w:sz w:val="16"/>
          <w:szCs w:val="16"/>
          <w:vertAlign w:val="superscript"/>
        </w:rPr>
        <w:footnoteRef/>
      </w:r>
      <w:r w:rsidRPr="005156E7">
        <w:rPr>
          <w:rFonts w:ascii="Geomanist Light" w:hAnsi="Geomanist Light" w:cs="Arial"/>
          <w:sz w:val="16"/>
          <w:szCs w:val="16"/>
        </w:rPr>
        <w:t xml:space="preserve">  El literal c del numeral 4 del artículo 2 de la Ley 1150 de 2007 dispone que: «En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006DFBC8" w14:textId="77777777" w:rsidR="005156E7" w:rsidRPr="005156E7" w:rsidRDefault="005156E7" w:rsidP="005156E7">
      <w:pPr>
        <w:pStyle w:val="Textonotapie"/>
        <w:ind w:firstLine="708"/>
        <w:jc w:val="both"/>
        <w:rPr>
          <w:rFonts w:ascii="Geomanist Light" w:hAnsi="Geomanist Light" w:cs="Arial"/>
          <w:sz w:val="16"/>
          <w:szCs w:val="16"/>
        </w:rPr>
      </w:pPr>
    </w:p>
  </w:footnote>
  <w:footnote w:id="15">
    <w:p w14:paraId="1660E0AE" w14:textId="77777777" w:rsidR="005156E7" w:rsidRPr="005156E7" w:rsidRDefault="005156E7" w:rsidP="005156E7">
      <w:pPr>
        <w:pStyle w:val="Textonotapie"/>
        <w:ind w:firstLine="708"/>
        <w:jc w:val="both"/>
        <w:rPr>
          <w:rFonts w:ascii="Geomanist Light" w:hAnsi="Geomanist Light" w:cs="Arial"/>
          <w:sz w:val="16"/>
          <w:szCs w:val="16"/>
        </w:rPr>
      </w:pPr>
      <w:r w:rsidRPr="00EA1778">
        <w:rPr>
          <w:rFonts w:ascii="Geomanist Light" w:hAnsi="Geomanist Light"/>
          <w:sz w:val="16"/>
          <w:szCs w:val="16"/>
          <w:vertAlign w:val="superscript"/>
        </w:rPr>
        <w:footnoteRef/>
      </w:r>
      <w:r w:rsidRPr="005156E7">
        <w:rPr>
          <w:rFonts w:ascii="Geomanist Light" w:hAnsi="Geomanist Light" w:cs="Arial"/>
          <w:sz w:val="16"/>
          <w:szCs w:val="16"/>
        </w:rPr>
        <w:t xml:space="preserve"> El artículo 2.2.1.2.3.1.5 del Decreto 1082 de 2015 hace mención </w:t>
      </w:r>
      <w:proofErr w:type="gramStart"/>
      <w:r w:rsidRPr="005156E7">
        <w:rPr>
          <w:rFonts w:ascii="Geomanist Light" w:hAnsi="Geomanist Light" w:cs="Arial"/>
          <w:sz w:val="16"/>
          <w:szCs w:val="16"/>
        </w:rPr>
        <w:t>a</w:t>
      </w:r>
      <w:proofErr w:type="gramEnd"/>
      <w:r w:rsidRPr="005156E7">
        <w:rPr>
          <w:rFonts w:ascii="Geomanist Light" w:hAnsi="Geomanist Light" w:cs="Arial"/>
          <w:sz w:val="16"/>
          <w:szCs w:val="16"/>
        </w:rPr>
        <w:t xml:space="preserve"> la subcontratación en lo relacionado con las garantías, particularmente en los riesgos a los que se encuentran expuestas las entidades estatales, derivados de la responsabilidad extracontractual que pueda surgir por las actuaciones, hechos u omisiones de sus contratistas y subcontratistas. </w:t>
      </w:r>
    </w:p>
    <w:p w14:paraId="1D982F75" w14:textId="77777777" w:rsidR="005156E7" w:rsidRPr="005156E7" w:rsidRDefault="005156E7" w:rsidP="005156E7">
      <w:pPr>
        <w:pStyle w:val="Textonotapie"/>
        <w:ind w:firstLine="708"/>
        <w:jc w:val="both"/>
        <w:rPr>
          <w:rFonts w:ascii="Geomanist Light" w:hAnsi="Geomanist Light" w:cs="Arial"/>
          <w:sz w:val="16"/>
          <w:szCs w:val="16"/>
        </w:rPr>
      </w:pPr>
    </w:p>
  </w:footnote>
  <w:footnote w:id="16">
    <w:p w14:paraId="1E39708B" w14:textId="77777777" w:rsidR="00EA1778" w:rsidRPr="00EA1778" w:rsidRDefault="00EA1778" w:rsidP="00EA1778">
      <w:pPr>
        <w:pStyle w:val="Textonotapie"/>
        <w:ind w:firstLine="709"/>
        <w:jc w:val="both"/>
        <w:rPr>
          <w:rFonts w:ascii="Geomanist Light" w:hAnsi="Geomanist Light" w:cs="Arial"/>
          <w:sz w:val="16"/>
          <w:szCs w:val="16"/>
        </w:rPr>
      </w:pPr>
      <w:r>
        <w:rPr>
          <w:rStyle w:val="Refdenotaalpie"/>
        </w:rPr>
        <w:footnoteRef/>
      </w:r>
      <w:r>
        <w:t xml:space="preserve"> </w:t>
      </w:r>
      <w:r w:rsidRPr="00EA1778">
        <w:rPr>
          <w:rFonts w:ascii="Geomanist Light" w:hAnsi="Geomanist Light" w:cs="Arial"/>
          <w:sz w:val="16"/>
          <w:szCs w:val="16"/>
        </w:rPr>
        <w:t xml:space="preserve">El artículo 7 del Decreto 092 de 2017 señala lo siguiente: «La contratación a la que hace referencia el presente decreto está sujeta a los principios de la contratación estatal y a las normas presupuestales aplicables. En consecuencia, las normas relativas a la publicidad son de obligatorio cumplimiento, por lo cual, la actividad contractual y los Documentos del Proceso de </w:t>
      </w:r>
      <w:proofErr w:type="spellStart"/>
      <w:r w:rsidRPr="00EA1778">
        <w:rPr>
          <w:rFonts w:ascii="Geomanist Light" w:hAnsi="Geomanist Light" w:cs="Arial"/>
          <w:sz w:val="16"/>
          <w:szCs w:val="16"/>
        </w:rPr>
        <w:t>que</w:t>
      </w:r>
      <w:proofErr w:type="spellEnd"/>
      <w:r w:rsidRPr="00EA1778">
        <w:rPr>
          <w:rFonts w:ascii="Geomanist Light" w:hAnsi="Geomanist Light" w:cs="Arial"/>
          <w:sz w:val="16"/>
          <w:szCs w:val="16"/>
        </w:rPr>
        <w:t xml:space="preserve"> trata el presente decreto deberán ser objeto de publicación en el Sistema Electrónico de Contratación Pública (SECOP). Adicionalmente, la entidad privada sin ánimo de lucro contratista deberá entregar a la Entidad Estatal, y esta publicar en el SECOP, la información relativa a los subcontratos que suscriba para desarrollar el programa o actividad de interés público previsto en el Plan Nacional o seccional de Desarrollo, incluyendo los datos referentes a la existencia y representación legal de la entidad con quien contrató y la información de pagos» [Énfasis por fuera de texto].</w:t>
      </w:r>
    </w:p>
    <w:p w14:paraId="1C9F575F" w14:textId="77777777" w:rsidR="00EA1778" w:rsidRPr="00B4154E" w:rsidRDefault="00EA1778" w:rsidP="00EA1778">
      <w:pPr>
        <w:pStyle w:val="Textonotapie"/>
        <w:ind w:firstLine="709"/>
        <w:rPr>
          <w:lang w:val="es-CO"/>
        </w:rPr>
      </w:pPr>
    </w:p>
  </w:footnote>
  <w:footnote w:id="17">
    <w:p w14:paraId="72615BFA" w14:textId="77777777" w:rsidR="005156E7" w:rsidRDefault="005156E7" w:rsidP="005156E7">
      <w:pPr>
        <w:pStyle w:val="Textonotapie"/>
        <w:ind w:firstLine="708"/>
        <w:jc w:val="both"/>
        <w:rPr>
          <w:rFonts w:ascii="Geomanist Light" w:hAnsi="Geomanist Light" w:cs="Arial"/>
          <w:sz w:val="16"/>
          <w:szCs w:val="16"/>
        </w:rPr>
      </w:pPr>
      <w:r w:rsidRPr="00EA1778">
        <w:rPr>
          <w:rFonts w:ascii="Geomanist Light" w:hAnsi="Geomanist Light"/>
          <w:sz w:val="16"/>
          <w:szCs w:val="16"/>
          <w:vertAlign w:val="superscript"/>
        </w:rPr>
        <w:footnoteRef/>
      </w:r>
      <w:r w:rsidRPr="00EA1778">
        <w:rPr>
          <w:rFonts w:ascii="Geomanist Light" w:hAnsi="Geomanist Light" w:cs="Arial"/>
          <w:sz w:val="16"/>
          <w:szCs w:val="16"/>
          <w:vertAlign w:val="superscript"/>
        </w:rPr>
        <w:t xml:space="preserve"> </w:t>
      </w:r>
      <w:r w:rsidRPr="005156E7">
        <w:rPr>
          <w:rFonts w:ascii="Geomanist Light" w:hAnsi="Geomanist Light" w:cs="Arial"/>
          <w:sz w:val="16"/>
          <w:szCs w:val="16"/>
        </w:rPr>
        <w:t xml:space="preserve">RAMÍREZ GRISALES, Richard Steve. La Subcontratación. Serie: Las cláusulas del contrato estatal. Librería Jurídica Sánchez R. Ltda. y Centro de Estudios de Derecho Administrativo –CEDA-, Medellín, 2012, p. 26. </w:t>
      </w:r>
    </w:p>
    <w:p w14:paraId="02195E06" w14:textId="77777777" w:rsidR="004A299A" w:rsidRPr="005156E7" w:rsidRDefault="004A299A" w:rsidP="005156E7">
      <w:pPr>
        <w:pStyle w:val="Textonotapie"/>
        <w:ind w:firstLine="708"/>
        <w:jc w:val="both"/>
        <w:rPr>
          <w:rFonts w:ascii="Geomanist Light" w:hAnsi="Geomanist Light" w:cs="Arial"/>
          <w:sz w:val="16"/>
          <w:szCs w:val="16"/>
        </w:rPr>
      </w:pPr>
    </w:p>
  </w:footnote>
  <w:footnote w:id="18">
    <w:p w14:paraId="1C127E6B" w14:textId="77777777" w:rsidR="005156E7" w:rsidRPr="005156E7" w:rsidRDefault="005156E7" w:rsidP="005156E7">
      <w:pPr>
        <w:pStyle w:val="Textonotapie"/>
        <w:ind w:firstLine="708"/>
        <w:jc w:val="both"/>
        <w:rPr>
          <w:rFonts w:ascii="Geomanist Light" w:hAnsi="Geomanist Light" w:cs="Arial"/>
          <w:sz w:val="16"/>
          <w:szCs w:val="16"/>
        </w:rPr>
      </w:pPr>
      <w:r w:rsidRPr="00EA1778">
        <w:rPr>
          <w:rFonts w:ascii="Geomanist Light" w:hAnsi="Geomanist Light"/>
          <w:sz w:val="16"/>
          <w:szCs w:val="16"/>
          <w:vertAlign w:val="superscript"/>
        </w:rPr>
        <w:footnoteRef/>
      </w:r>
      <w:r w:rsidRPr="00EA1778">
        <w:rPr>
          <w:rFonts w:ascii="Geomanist Light" w:hAnsi="Geomanist Light" w:cs="Arial"/>
          <w:sz w:val="16"/>
          <w:szCs w:val="16"/>
          <w:vertAlign w:val="superscript"/>
        </w:rPr>
        <w:t xml:space="preserve"> </w:t>
      </w:r>
      <w:r w:rsidRPr="005156E7">
        <w:rPr>
          <w:rFonts w:ascii="Geomanist Light" w:hAnsi="Geomanist Light" w:cs="Arial"/>
          <w:sz w:val="16"/>
          <w:szCs w:val="16"/>
        </w:rPr>
        <w:t>TRABALÓN Cristóbal. Tratado Legal de Construcción. Editorial Tébar Flores. Madrid. 2015</w:t>
      </w:r>
    </w:p>
    <w:p w14:paraId="0C88A305" w14:textId="77777777" w:rsidR="005156E7" w:rsidRPr="005156E7" w:rsidRDefault="005156E7" w:rsidP="005156E7">
      <w:pPr>
        <w:pStyle w:val="Textonotapie"/>
        <w:ind w:firstLine="708"/>
        <w:jc w:val="both"/>
        <w:rPr>
          <w:rFonts w:ascii="Geomanist Light" w:hAnsi="Geomanist Light" w:cs="Arial"/>
          <w:sz w:val="16"/>
          <w:szCs w:val="16"/>
        </w:rPr>
      </w:pPr>
    </w:p>
  </w:footnote>
  <w:footnote w:id="19">
    <w:p w14:paraId="70E2A99D" w14:textId="77777777" w:rsidR="005156E7" w:rsidRPr="005156E7" w:rsidRDefault="005156E7" w:rsidP="005156E7">
      <w:pPr>
        <w:pStyle w:val="Textonotapie"/>
        <w:ind w:firstLine="708"/>
        <w:jc w:val="both"/>
        <w:rPr>
          <w:rFonts w:ascii="Geomanist Light" w:hAnsi="Geomanist Light" w:cs="Arial"/>
          <w:sz w:val="16"/>
          <w:szCs w:val="16"/>
        </w:rPr>
      </w:pPr>
      <w:r w:rsidRPr="00EA1778">
        <w:rPr>
          <w:rFonts w:ascii="Geomanist Light" w:hAnsi="Geomanist Light"/>
          <w:sz w:val="16"/>
          <w:szCs w:val="16"/>
          <w:vertAlign w:val="superscript"/>
        </w:rPr>
        <w:footnoteRef/>
      </w:r>
      <w:r w:rsidRPr="00EA1778">
        <w:rPr>
          <w:rFonts w:ascii="Geomanist Light" w:hAnsi="Geomanist Light" w:cs="Arial"/>
          <w:sz w:val="16"/>
          <w:szCs w:val="16"/>
          <w:vertAlign w:val="superscript"/>
        </w:rPr>
        <w:t xml:space="preserve"> </w:t>
      </w:r>
      <w:r w:rsidRPr="005156E7">
        <w:rPr>
          <w:rFonts w:ascii="Geomanist Light" w:hAnsi="Geomanist Light" w:cs="Arial"/>
          <w:sz w:val="16"/>
          <w:szCs w:val="16"/>
        </w:rPr>
        <w:t xml:space="preserve">Ibidem </w:t>
      </w:r>
    </w:p>
    <w:p w14:paraId="4291F215" w14:textId="77777777" w:rsidR="005156E7" w:rsidRPr="005156E7" w:rsidRDefault="005156E7" w:rsidP="005156E7">
      <w:pPr>
        <w:pStyle w:val="Textonotapie"/>
        <w:ind w:firstLine="708"/>
        <w:jc w:val="both"/>
        <w:rPr>
          <w:rFonts w:ascii="Geomanist Light" w:hAnsi="Geomanist Light" w:cs="Arial"/>
          <w:sz w:val="16"/>
          <w:szCs w:val="16"/>
        </w:rPr>
      </w:pPr>
    </w:p>
  </w:footnote>
  <w:footnote w:id="20">
    <w:p w14:paraId="7400E7D1" w14:textId="77777777" w:rsidR="005156E7" w:rsidRPr="005156E7" w:rsidRDefault="005156E7" w:rsidP="005156E7">
      <w:pPr>
        <w:pStyle w:val="Textonotapie"/>
        <w:ind w:firstLine="708"/>
        <w:jc w:val="both"/>
        <w:rPr>
          <w:rFonts w:ascii="Geomanist Light" w:hAnsi="Geomanist Light" w:cs="Arial"/>
          <w:sz w:val="16"/>
          <w:szCs w:val="16"/>
        </w:rPr>
      </w:pPr>
      <w:r w:rsidRPr="00EA1778">
        <w:rPr>
          <w:rFonts w:ascii="Geomanist Light" w:hAnsi="Geomanist Light"/>
          <w:sz w:val="16"/>
          <w:szCs w:val="16"/>
          <w:vertAlign w:val="superscript"/>
        </w:rPr>
        <w:footnoteRef/>
      </w:r>
      <w:r w:rsidRPr="005156E7">
        <w:rPr>
          <w:rFonts w:ascii="Geomanist Light" w:hAnsi="Geomanist Light" w:cs="Arial"/>
          <w:sz w:val="16"/>
          <w:szCs w:val="16"/>
        </w:rPr>
        <w:t xml:space="preserve"> Consejo de Estado. Sección Tercera. Subsección C. Sentencia del 12 de agosto de 2013. Radicación número: 52001-23-31-000-1999-00985-01 (23.088) C.P: Enrique Gil Botero. </w:t>
      </w:r>
    </w:p>
    <w:p w14:paraId="61CA351C" w14:textId="77777777" w:rsidR="005156E7" w:rsidRPr="005156E7" w:rsidRDefault="005156E7" w:rsidP="005156E7">
      <w:pPr>
        <w:pStyle w:val="Textonotapie"/>
        <w:ind w:firstLine="708"/>
        <w:jc w:val="both"/>
        <w:rPr>
          <w:rFonts w:ascii="Geomanist Light" w:hAnsi="Geomanist Light" w:cs="Arial"/>
          <w:sz w:val="16"/>
          <w:szCs w:val="16"/>
        </w:rPr>
      </w:pPr>
    </w:p>
  </w:footnote>
  <w:footnote w:id="21">
    <w:p w14:paraId="0E48BA4A" w14:textId="003C5EF8" w:rsidR="0081725D" w:rsidRPr="00FE2712" w:rsidRDefault="0081725D" w:rsidP="009F6798">
      <w:pPr>
        <w:pStyle w:val="Textonotapie"/>
        <w:ind w:firstLine="709"/>
        <w:jc w:val="both"/>
        <w:rPr>
          <w:lang w:val="es-CO"/>
        </w:rPr>
      </w:pPr>
      <w:r>
        <w:rPr>
          <w:rStyle w:val="Refdenotaalpie"/>
        </w:rPr>
        <w:footnoteRef/>
      </w:r>
      <w:r>
        <w:rPr>
          <w:rFonts w:ascii="Geomanist Light" w:hAnsi="Geomanist Light" w:cs="Arial"/>
          <w:bCs/>
          <w:lang w:val="es-ES_tradnl"/>
        </w:rPr>
        <w:t xml:space="preserve"> Informe de ponencia para primer debate</w:t>
      </w:r>
      <w:r w:rsidR="009F6798">
        <w:rPr>
          <w:rFonts w:ascii="Geomanist Light" w:hAnsi="Geomanist Light" w:cs="Arial"/>
          <w:bCs/>
          <w:lang w:val="es-ES_tradnl"/>
        </w:rPr>
        <w:t xml:space="preserve"> </w:t>
      </w:r>
      <w:r w:rsidR="009F6798" w:rsidRPr="009F6798">
        <w:rPr>
          <w:rFonts w:ascii="Geomanist Light" w:hAnsi="Geomanist Light" w:cs="Arial"/>
          <w:bCs/>
          <w:lang w:val="es-CO"/>
        </w:rPr>
        <w:t xml:space="preserve">al proyecto de </w:t>
      </w:r>
      <w:r w:rsidR="009F6798">
        <w:rPr>
          <w:rFonts w:ascii="Geomanist Light" w:hAnsi="Geomanist Light" w:cs="Arial"/>
          <w:bCs/>
          <w:lang w:val="es-CO"/>
        </w:rPr>
        <w:t>L</w:t>
      </w:r>
      <w:r w:rsidR="009F6798" w:rsidRPr="009F6798">
        <w:rPr>
          <w:rFonts w:ascii="Geomanist Light" w:hAnsi="Geomanist Light" w:cs="Arial"/>
          <w:bCs/>
          <w:lang w:val="es-CO"/>
        </w:rPr>
        <w:t xml:space="preserve">ey 057 de 2006 </w:t>
      </w:r>
      <w:r w:rsidR="009F6798">
        <w:rPr>
          <w:rFonts w:ascii="Geomanist Light" w:hAnsi="Geomanist Light" w:cs="Arial"/>
          <w:bCs/>
          <w:lang w:val="es-CO"/>
        </w:rPr>
        <w:t>C</w:t>
      </w:r>
      <w:r w:rsidR="009F6798" w:rsidRPr="009F6798">
        <w:rPr>
          <w:rFonts w:ascii="Geomanist Light" w:hAnsi="Geomanist Light" w:cs="Arial"/>
          <w:bCs/>
          <w:lang w:val="es-CO"/>
        </w:rPr>
        <w:t xml:space="preserve">ámara, 020 de 2005 </w:t>
      </w:r>
      <w:r w:rsidR="009F6798">
        <w:rPr>
          <w:rFonts w:ascii="Geomanist Light" w:hAnsi="Geomanist Light" w:cs="Arial"/>
          <w:bCs/>
          <w:lang w:val="es-CO"/>
        </w:rPr>
        <w:t>S</w:t>
      </w:r>
      <w:r w:rsidR="009F6798" w:rsidRPr="009F6798">
        <w:rPr>
          <w:rFonts w:ascii="Geomanist Light" w:hAnsi="Geomanist Light" w:cs="Arial"/>
          <w:bCs/>
          <w:lang w:val="es-CO"/>
        </w:rPr>
        <w:t>enado</w:t>
      </w:r>
      <w:r>
        <w:rPr>
          <w:rFonts w:ascii="Geomanist Light" w:hAnsi="Geomanist Light" w:cs="Arial"/>
          <w:bCs/>
          <w:lang w:val="es-ES_tradnl"/>
        </w:rPr>
        <w:t>. Gaceta 536</w:t>
      </w:r>
      <w:r w:rsidR="009F6798">
        <w:rPr>
          <w:rFonts w:ascii="Geomanist Light" w:hAnsi="Geomanist Light" w:cs="Arial"/>
          <w:bCs/>
          <w:lang w:val="es-ES_tradnl"/>
        </w:rPr>
        <w:t xml:space="preserve"> del 15 de noviembre de 2006</w:t>
      </w:r>
      <w:r>
        <w:rPr>
          <w:rFonts w:ascii="Geomanist Light" w:hAnsi="Geomanist Light" w:cs="Arial"/>
          <w:bCs/>
          <w:lang w:val="es-ES_tradnl"/>
        </w:rPr>
        <w:t xml:space="preserve">. Disponible en: </w:t>
      </w:r>
      <w:r w:rsidR="009F6798" w:rsidRPr="009F6798">
        <w:rPr>
          <w:rFonts w:ascii="Geomanist Light" w:hAnsi="Geomanist Light" w:cs="Arial"/>
          <w:bCs/>
          <w:lang w:val="es-ES_tradnl"/>
        </w:rPr>
        <w:t>http://svrpubindc.imprenta.gov.co/senado/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E31D" w14:textId="6E2810A5" w:rsidR="00E2520A" w:rsidRDefault="00E2520A" w:rsidP="006A3704">
    <w:pPr>
      <w:spacing w:after="0" w:line="240" w:lineRule="auto"/>
    </w:pPr>
  </w:p>
  <w:p w14:paraId="603D9E86" w14:textId="61607A32" w:rsidR="0020796E" w:rsidRDefault="0020796E" w:rsidP="006A3704">
    <w:pPr>
      <w:spacing w:after="0" w:line="240" w:lineRule="auto"/>
      <w:rPr>
        <w:rFonts w:ascii="Geomanist Bold" w:hAnsi="Geomanist Bold"/>
        <w:color w:val="002060"/>
      </w:rPr>
    </w:pPr>
    <w:r>
      <w:rPr>
        <w:noProof/>
      </w:rPr>
      <w:drawing>
        <wp:anchor distT="0" distB="0" distL="0" distR="0" simplePos="0" relativeHeight="251659264" behindDoc="1" locked="0" layoutInCell="1" allowOverlap="1" wp14:anchorId="2298F00B" wp14:editId="691EE5BD">
          <wp:simplePos x="0" y="0"/>
          <wp:positionH relativeFrom="margin">
            <wp:align>right</wp:align>
          </wp:positionH>
          <wp:positionV relativeFrom="paragraph">
            <wp:posOffset>6985</wp:posOffset>
          </wp:positionV>
          <wp:extent cx="1657350" cy="676275"/>
          <wp:effectExtent l="0" t="0" r="0" b="9525"/>
          <wp:wrapNone/>
          <wp:docPr id="3" name="Imagen 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676275"/>
                  </a:xfrm>
                  <a:prstGeom prst="rect">
                    <a:avLst/>
                  </a:prstGeom>
                  <a:noFill/>
                </pic:spPr>
              </pic:pic>
            </a:graphicData>
          </a:graphic>
          <wp14:sizeRelH relativeFrom="margin">
            <wp14:pctWidth>0</wp14:pctWidth>
          </wp14:sizeRelH>
          <wp14:sizeRelV relativeFrom="margin">
            <wp14:pctHeight>0</wp14:pctHeight>
          </wp14:sizeRelV>
        </wp:anchor>
      </w:drawing>
    </w:r>
    <w:r>
      <w:rPr>
        <w:rFonts w:ascii="Geomanist Bold" w:hAnsi="Geomanist Bold"/>
        <w:color w:val="002060"/>
      </w:rPr>
      <w:t xml:space="preserve">FORMATO PQRSD </w:t>
    </w:r>
  </w:p>
  <w:tbl>
    <w:tblPr>
      <w:tblW w:w="9405" w:type="dxa"/>
      <w:tblBorders>
        <w:insideH w:val="nil"/>
        <w:insideV w:val="nil"/>
      </w:tblBorders>
      <w:tblLayout w:type="fixed"/>
      <w:tblLook w:val="0400" w:firstRow="0" w:lastRow="0" w:firstColumn="0" w:lastColumn="0" w:noHBand="0" w:noVBand="1"/>
    </w:tblPr>
    <w:tblGrid>
      <w:gridCol w:w="6757"/>
      <w:gridCol w:w="1324"/>
      <w:gridCol w:w="1324"/>
    </w:tblGrid>
    <w:tr w:rsidR="0020796E" w14:paraId="48C686BC" w14:textId="77777777" w:rsidTr="0020796E">
      <w:tc>
        <w:tcPr>
          <w:tcW w:w="6757" w:type="dxa"/>
          <w:tcBorders>
            <w:top w:val="nil"/>
            <w:left w:val="nil"/>
            <w:bottom w:val="nil"/>
            <w:right w:val="nil"/>
          </w:tcBorders>
          <w:hideMark/>
        </w:tcPr>
        <w:p w14:paraId="36F7744A" w14:textId="77777777" w:rsidR="0020796E" w:rsidRDefault="0020796E" w:rsidP="006A3704">
          <w:pPr>
            <w:tabs>
              <w:tab w:val="center" w:pos="4419"/>
              <w:tab w:val="center" w:pos="5400"/>
              <w:tab w:val="right" w:pos="8838"/>
            </w:tabs>
            <w:spacing w:after="0" w:line="240" w:lineRule="auto"/>
            <w:rPr>
              <w:rFonts w:ascii="Geomanist Bold" w:eastAsia="Geo" w:hAnsi="Geomanist Bold" w:cs="Geo"/>
              <w:b/>
              <w:color w:val="002060"/>
              <w:lang w:eastAsia="es-CO"/>
            </w:rPr>
          </w:pPr>
          <w:r>
            <w:rPr>
              <w:rFonts w:ascii="Geomanist Bold" w:eastAsia="Geo" w:hAnsi="Geomanist Bold" w:cs="Geo"/>
              <w:b/>
              <w:color w:val="000000"/>
              <w:sz w:val="20"/>
              <w:szCs w:val="20"/>
              <w:lang w:eastAsia="es-CO"/>
            </w:rPr>
            <w:t xml:space="preserve">Código: </w:t>
          </w:r>
          <w:r>
            <w:rPr>
              <w:rFonts w:ascii="Geomanist Light" w:eastAsia="Geo" w:hAnsi="Geomanist Light" w:cs="Geo"/>
              <w:b/>
              <w:color w:val="000000"/>
              <w:sz w:val="18"/>
              <w:szCs w:val="18"/>
              <w:lang w:eastAsia="es-CO"/>
            </w:rPr>
            <w:t>CCE-PQRSD-FM-08</w:t>
          </w:r>
        </w:p>
        <w:p w14:paraId="4E350D27" w14:textId="77777777" w:rsidR="0020796E" w:rsidRDefault="0020796E" w:rsidP="006A3704">
          <w:pPr>
            <w:tabs>
              <w:tab w:val="center" w:pos="4419"/>
              <w:tab w:val="center" w:pos="5400"/>
              <w:tab w:val="right" w:pos="8838"/>
            </w:tabs>
            <w:spacing w:after="0" w:line="240" w:lineRule="auto"/>
            <w:rPr>
              <w:rFonts w:asciiTheme="minorHAnsi" w:eastAsia="Arial Nova" w:hAnsiTheme="minorHAnsi" w:cs="Arial Nova"/>
              <w:color w:val="000000"/>
              <w:sz w:val="18"/>
              <w:szCs w:val="18"/>
              <w:lang w:eastAsia="es-CO"/>
            </w:rPr>
          </w:pPr>
          <w:r>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Pr>
              <w:rFonts w:ascii="Geomanist Light" w:eastAsia="Geo" w:hAnsi="Geomanist Light" w:cs="Geo"/>
              <w:sz w:val="18"/>
              <w:szCs w:val="18"/>
              <w:lang w:eastAsia="es-CO"/>
            </w:rPr>
            <w:t>01 DEL 30 DE AGOSTO DE 2022</w:t>
          </w:r>
        </w:p>
      </w:tc>
      <w:tc>
        <w:tcPr>
          <w:tcW w:w="1324" w:type="dxa"/>
          <w:tcBorders>
            <w:top w:val="nil"/>
            <w:left w:val="nil"/>
            <w:bottom w:val="nil"/>
            <w:right w:val="nil"/>
          </w:tcBorders>
        </w:tcPr>
        <w:p w14:paraId="64467BF0" w14:textId="77777777" w:rsidR="0020796E" w:rsidRDefault="0020796E" w:rsidP="006A3704">
          <w:pPr>
            <w:spacing w:after="0" w:line="240" w:lineRule="auto"/>
            <w:jc w:val="right"/>
            <w:rPr>
              <w:rFonts w:eastAsia="Arial Nova" w:cs="Arial Nova"/>
              <w:lang w:eastAsia="es-CO"/>
            </w:rPr>
          </w:pPr>
        </w:p>
      </w:tc>
      <w:tc>
        <w:tcPr>
          <w:tcW w:w="1324" w:type="dxa"/>
          <w:tcBorders>
            <w:top w:val="nil"/>
            <w:left w:val="nil"/>
            <w:bottom w:val="nil"/>
            <w:right w:val="nil"/>
          </w:tcBorders>
        </w:tcPr>
        <w:p w14:paraId="7F0DA02B" w14:textId="77777777" w:rsidR="0020796E" w:rsidRDefault="0020796E" w:rsidP="006A3704">
          <w:pPr>
            <w:spacing w:after="0" w:line="240" w:lineRule="auto"/>
            <w:jc w:val="right"/>
            <w:rPr>
              <w:rFonts w:eastAsia="Arial Nova" w:cs="Arial Nova"/>
              <w:lang w:eastAsia="es-CO"/>
            </w:rPr>
          </w:pPr>
        </w:p>
      </w:tc>
    </w:tr>
  </w:tbl>
  <w:p w14:paraId="5DBE9C96" w14:textId="263A9DAC" w:rsidR="00E2520A" w:rsidRDefault="0020796E" w:rsidP="0020796E">
    <w:r>
      <w:rPr>
        <w:noProof/>
      </w:rPr>
      <w:drawing>
        <wp:inline distT="0" distB="0" distL="0" distR="0" wp14:anchorId="31BFA4E7" wp14:editId="20260E75">
          <wp:extent cx="3238500" cy="76200"/>
          <wp:effectExtent l="0" t="0" r="0" b="0"/>
          <wp:docPr id="26" name="image1.png"/>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42F300C"/>
    <w:multiLevelType w:val="multilevel"/>
    <w:tmpl w:val="0846C6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6265F41"/>
    <w:multiLevelType w:val="hybridMultilevel"/>
    <w:tmpl w:val="57E0A038"/>
    <w:lvl w:ilvl="0" w:tplc="45F0579C">
      <w:start w:val="1"/>
      <w:numFmt w:val="upperLetter"/>
      <w:lvlText w:val="%1."/>
      <w:lvlJc w:val="left"/>
      <w:pPr>
        <w:ind w:left="1070" w:hanging="71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2F422EAE"/>
    <w:multiLevelType w:val="multilevel"/>
    <w:tmpl w:val="1570C2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4" w15:restartNumberingAfterBreak="0">
    <w:nsid w:val="41EC3752"/>
    <w:multiLevelType w:val="hybridMultilevel"/>
    <w:tmpl w:val="6896A652"/>
    <w:lvl w:ilvl="0" w:tplc="9CAE3458">
      <w:start w:val="4"/>
      <w:numFmt w:val="upp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5D96BB5"/>
    <w:multiLevelType w:val="hybridMultilevel"/>
    <w:tmpl w:val="A8E62E50"/>
    <w:lvl w:ilvl="0" w:tplc="B60A3924">
      <w:start w:val="1"/>
      <w:numFmt w:val="upp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1"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7" w15:restartNumberingAfterBreak="0">
    <w:nsid w:val="6B0B480E"/>
    <w:multiLevelType w:val="hybridMultilevel"/>
    <w:tmpl w:val="5330C58C"/>
    <w:lvl w:ilvl="0" w:tplc="E8A0D37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40"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4"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35440152">
    <w:abstractNumId w:val="19"/>
  </w:num>
  <w:num w:numId="2" w16cid:durableId="1478569355">
    <w:abstractNumId w:val="17"/>
  </w:num>
  <w:num w:numId="3" w16cid:durableId="1952978564">
    <w:abstractNumId w:val="28"/>
  </w:num>
  <w:num w:numId="4" w16cid:durableId="1315186126">
    <w:abstractNumId w:val="33"/>
  </w:num>
  <w:num w:numId="5" w16cid:durableId="1309093109">
    <w:abstractNumId w:val="39"/>
  </w:num>
  <w:num w:numId="6" w16cid:durableId="131996089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5807759">
    <w:abstractNumId w:val="34"/>
  </w:num>
  <w:num w:numId="8" w16cid:durableId="1008755670">
    <w:abstractNumId w:val="3"/>
  </w:num>
  <w:num w:numId="9" w16cid:durableId="65764095">
    <w:abstractNumId w:val="11"/>
  </w:num>
  <w:num w:numId="10" w16cid:durableId="13496027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86801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1695747">
    <w:abstractNumId w:val="18"/>
  </w:num>
  <w:num w:numId="13" w16cid:durableId="1145464557">
    <w:abstractNumId w:val="25"/>
  </w:num>
  <w:num w:numId="14" w16cid:durableId="848450862">
    <w:abstractNumId w:val="14"/>
  </w:num>
  <w:num w:numId="15" w16cid:durableId="1912150784">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5231187">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2212629">
    <w:abstractNumId w:val="41"/>
  </w:num>
  <w:num w:numId="18" w16cid:durableId="718556045">
    <w:abstractNumId w:val="29"/>
  </w:num>
  <w:num w:numId="19" w16cid:durableId="2109496769">
    <w:abstractNumId w:val="10"/>
  </w:num>
  <w:num w:numId="20" w16cid:durableId="1574777690">
    <w:abstractNumId w:val="42"/>
  </w:num>
  <w:num w:numId="21" w16cid:durableId="343829570">
    <w:abstractNumId w:val="31"/>
  </w:num>
  <w:num w:numId="22" w16cid:durableId="1521091477">
    <w:abstractNumId w:val="13"/>
  </w:num>
  <w:num w:numId="23" w16cid:durableId="1406491540">
    <w:abstractNumId w:val="12"/>
  </w:num>
  <w:num w:numId="24" w16cid:durableId="216599317">
    <w:abstractNumId w:val="35"/>
  </w:num>
  <w:num w:numId="25" w16cid:durableId="706416597">
    <w:abstractNumId w:val="21"/>
  </w:num>
  <w:num w:numId="26" w16cid:durableId="270862301">
    <w:abstractNumId w:val="40"/>
  </w:num>
  <w:num w:numId="27" w16cid:durableId="1795712713">
    <w:abstractNumId w:val="44"/>
  </w:num>
  <w:num w:numId="28" w16cid:durableId="969941319">
    <w:abstractNumId w:val="26"/>
  </w:num>
  <w:num w:numId="29" w16cid:durableId="1808891589">
    <w:abstractNumId w:val="2"/>
  </w:num>
  <w:num w:numId="30" w16cid:durableId="1508400274">
    <w:abstractNumId w:val="30"/>
  </w:num>
  <w:num w:numId="31" w16cid:durableId="1848517314">
    <w:abstractNumId w:val="22"/>
  </w:num>
  <w:num w:numId="32" w16cid:durableId="1225678077">
    <w:abstractNumId w:val="32"/>
  </w:num>
  <w:num w:numId="33" w16cid:durableId="283007414">
    <w:abstractNumId w:val="43"/>
  </w:num>
  <w:num w:numId="34" w16cid:durableId="669528079">
    <w:abstractNumId w:val="20"/>
  </w:num>
  <w:num w:numId="35" w16cid:durableId="905913167">
    <w:abstractNumId w:val="1"/>
  </w:num>
  <w:num w:numId="36" w16cid:durableId="1683971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93510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160945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4024974">
    <w:abstractNumId w:val="6"/>
  </w:num>
  <w:num w:numId="40" w16cid:durableId="16550654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06735314">
    <w:abstractNumId w:val="16"/>
    <w:lvlOverride w:ilvl="0"/>
    <w:lvlOverride w:ilvl="1">
      <w:startOverride w:val="1"/>
    </w:lvlOverride>
    <w:lvlOverride w:ilvl="2"/>
    <w:lvlOverride w:ilvl="3"/>
    <w:lvlOverride w:ilvl="4"/>
    <w:lvlOverride w:ilvl="5"/>
    <w:lvlOverride w:ilvl="6"/>
    <w:lvlOverride w:ilvl="7"/>
    <w:lvlOverride w:ilvl="8"/>
  </w:num>
  <w:num w:numId="42" w16cid:durableId="541553631">
    <w:abstractNumId w:val="37"/>
  </w:num>
  <w:num w:numId="43" w16cid:durableId="14161699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67976911">
    <w:abstractNumId w:val="38"/>
  </w:num>
  <w:num w:numId="45" w16cid:durableId="1544950817">
    <w:abstractNumId w:val="9"/>
  </w:num>
  <w:num w:numId="46" w16cid:durableId="1353874905">
    <w:abstractNumId w:val="24"/>
  </w:num>
  <w:num w:numId="47" w16cid:durableId="180781337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2AA7"/>
    <w:rsid w:val="000031A8"/>
    <w:rsid w:val="00003233"/>
    <w:rsid w:val="000037D0"/>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C40"/>
    <w:rsid w:val="000112B4"/>
    <w:rsid w:val="00011DCC"/>
    <w:rsid w:val="00012532"/>
    <w:rsid w:val="00012B9E"/>
    <w:rsid w:val="00012FBA"/>
    <w:rsid w:val="000134A4"/>
    <w:rsid w:val="00013C6B"/>
    <w:rsid w:val="0001406B"/>
    <w:rsid w:val="000143F8"/>
    <w:rsid w:val="00014624"/>
    <w:rsid w:val="000147ED"/>
    <w:rsid w:val="000159D5"/>
    <w:rsid w:val="00015B44"/>
    <w:rsid w:val="00015CEF"/>
    <w:rsid w:val="00016081"/>
    <w:rsid w:val="000165AC"/>
    <w:rsid w:val="00016651"/>
    <w:rsid w:val="00016881"/>
    <w:rsid w:val="000171A2"/>
    <w:rsid w:val="00017B65"/>
    <w:rsid w:val="00020158"/>
    <w:rsid w:val="000204EA"/>
    <w:rsid w:val="000207E0"/>
    <w:rsid w:val="00020D41"/>
    <w:rsid w:val="00020D87"/>
    <w:rsid w:val="00020F8F"/>
    <w:rsid w:val="00021A95"/>
    <w:rsid w:val="00021C0A"/>
    <w:rsid w:val="00021F62"/>
    <w:rsid w:val="0002256F"/>
    <w:rsid w:val="0002296A"/>
    <w:rsid w:val="00023DAE"/>
    <w:rsid w:val="00023FA5"/>
    <w:rsid w:val="00024592"/>
    <w:rsid w:val="00024896"/>
    <w:rsid w:val="00025065"/>
    <w:rsid w:val="000258A6"/>
    <w:rsid w:val="000258FA"/>
    <w:rsid w:val="00026092"/>
    <w:rsid w:val="000263F0"/>
    <w:rsid w:val="00026407"/>
    <w:rsid w:val="000264F6"/>
    <w:rsid w:val="00026608"/>
    <w:rsid w:val="00026B36"/>
    <w:rsid w:val="00026DEB"/>
    <w:rsid w:val="0002738B"/>
    <w:rsid w:val="00027545"/>
    <w:rsid w:val="00027787"/>
    <w:rsid w:val="000277A2"/>
    <w:rsid w:val="000278D2"/>
    <w:rsid w:val="00030747"/>
    <w:rsid w:val="00031384"/>
    <w:rsid w:val="000315E1"/>
    <w:rsid w:val="00031AD9"/>
    <w:rsid w:val="0003236E"/>
    <w:rsid w:val="000323E9"/>
    <w:rsid w:val="00033295"/>
    <w:rsid w:val="00033358"/>
    <w:rsid w:val="0003339A"/>
    <w:rsid w:val="00034134"/>
    <w:rsid w:val="000341F2"/>
    <w:rsid w:val="00034651"/>
    <w:rsid w:val="000351F2"/>
    <w:rsid w:val="00035224"/>
    <w:rsid w:val="00036E03"/>
    <w:rsid w:val="000406DB"/>
    <w:rsid w:val="0004094D"/>
    <w:rsid w:val="00040A5E"/>
    <w:rsid w:val="00041029"/>
    <w:rsid w:val="0004149B"/>
    <w:rsid w:val="00041717"/>
    <w:rsid w:val="00041CA0"/>
    <w:rsid w:val="000427F7"/>
    <w:rsid w:val="00042961"/>
    <w:rsid w:val="00042C25"/>
    <w:rsid w:val="00042D03"/>
    <w:rsid w:val="00042E6B"/>
    <w:rsid w:val="00043086"/>
    <w:rsid w:val="000430A0"/>
    <w:rsid w:val="00043A33"/>
    <w:rsid w:val="00043D3B"/>
    <w:rsid w:val="00043D4D"/>
    <w:rsid w:val="00043F5D"/>
    <w:rsid w:val="0004418C"/>
    <w:rsid w:val="00044204"/>
    <w:rsid w:val="000449D4"/>
    <w:rsid w:val="000466E8"/>
    <w:rsid w:val="00046717"/>
    <w:rsid w:val="00046A63"/>
    <w:rsid w:val="00046B8D"/>
    <w:rsid w:val="00046C09"/>
    <w:rsid w:val="00046EDB"/>
    <w:rsid w:val="0004716A"/>
    <w:rsid w:val="00047316"/>
    <w:rsid w:val="00047385"/>
    <w:rsid w:val="000473E8"/>
    <w:rsid w:val="00050021"/>
    <w:rsid w:val="000500E1"/>
    <w:rsid w:val="00050460"/>
    <w:rsid w:val="000504DE"/>
    <w:rsid w:val="00051074"/>
    <w:rsid w:val="0005211A"/>
    <w:rsid w:val="000528C3"/>
    <w:rsid w:val="00052B79"/>
    <w:rsid w:val="00052B86"/>
    <w:rsid w:val="00052EA0"/>
    <w:rsid w:val="000536E3"/>
    <w:rsid w:val="00053EDA"/>
    <w:rsid w:val="00053F84"/>
    <w:rsid w:val="0005419F"/>
    <w:rsid w:val="00054252"/>
    <w:rsid w:val="0005474D"/>
    <w:rsid w:val="00055CB9"/>
    <w:rsid w:val="00056F66"/>
    <w:rsid w:val="0005702F"/>
    <w:rsid w:val="00057661"/>
    <w:rsid w:val="0005779C"/>
    <w:rsid w:val="00057848"/>
    <w:rsid w:val="00057B4F"/>
    <w:rsid w:val="00061D06"/>
    <w:rsid w:val="00062289"/>
    <w:rsid w:val="0006294B"/>
    <w:rsid w:val="00062CDD"/>
    <w:rsid w:val="00063FA5"/>
    <w:rsid w:val="000640AF"/>
    <w:rsid w:val="00064940"/>
    <w:rsid w:val="00064CAE"/>
    <w:rsid w:val="00064DB7"/>
    <w:rsid w:val="00064FA7"/>
    <w:rsid w:val="00065195"/>
    <w:rsid w:val="00065A18"/>
    <w:rsid w:val="000703DE"/>
    <w:rsid w:val="00070AF1"/>
    <w:rsid w:val="00070B59"/>
    <w:rsid w:val="000714DE"/>
    <w:rsid w:val="0007254F"/>
    <w:rsid w:val="000726D1"/>
    <w:rsid w:val="00073C30"/>
    <w:rsid w:val="00074305"/>
    <w:rsid w:val="00074B2A"/>
    <w:rsid w:val="00075057"/>
    <w:rsid w:val="00075108"/>
    <w:rsid w:val="00075B3E"/>
    <w:rsid w:val="00075F7D"/>
    <w:rsid w:val="00076456"/>
    <w:rsid w:val="00076604"/>
    <w:rsid w:val="0007779B"/>
    <w:rsid w:val="000777E7"/>
    <w:rsid w:val="0007790A"/>
    <w:rsid w:val="0008017B"/>
    <w:rsid w:val="00080287"/>
    <w:rsid w:val="00080ACD"/>
    <w:rsid w:val="000811ED"/>
    <w:rsid w:val="00081284"/>
    <w:rsid w:val="0008191B"/>
    <w:rsid w:val="00081D62"/>
    <w:rsid w:val="00081E36"/>
    <w:rsid w:val="000820A1"/>
    <w:rsid w:val="000820CE"/>
    <w:rsid w:val="00082154"/>
    <w:rsid w:val="00082B74"/>
    <w:rsid w:val="00083099"/>
    <w:rsid w:val="00083EDC"/>
    <w:rsid w:val="00083EE6"/>
    <w:rsid w:val="000847C0"/>
    <w:rsid w:val="00084873"/>
    <w:rsid w:val="00084B97"/>
    <w:rsid w:val="0008508B"/>
    <w:rsid w:val="0008510E"/>
    <w:rsid w:val="000856DE"/>
    <w:rsid w:val="00085F17"/>
    <w:rsid w:val="00085FB3"/>
    <w:rsid w:val="0008686B"/>
    <w:rsid w:val="00086B2A"/>
    <w:rsid w:val="00086ED2"/>
    <w:rsid w:val="00090CAE"/>
    <w:rsid w:val="000914D6"/>
    <w:rsid w:val="00091569"/>
    <w:rsid w:val="00091E55"/>
    <w:rsid w:val="00091FBB"/>
    <w:rsid w:val="00092DCA"/>
    <w:rsid w:val="000935F8"/>
    <w:rsid w:val="00093C51"/>
    <w:rsid w:val="000942EB"/>
    <w:rsid w:val="00095B70"/>
    <w:rsid w:val="00095C0D"/>
    <w:rsid w:val="00095EB2"/>
    <w:rsid w:val="0009617E"/>
    <w:rsid w:val="00096489"/>
    <w:rsid w:val="000979CF"/>
    <w:rsid w:val="00097A00"/>
    <w:rsid w:val="000A03C8"/>
    <w:rsid w:val="000A05F2"/>
    <w:rsid w:val="000A06C4"/>
    <w:rsid w:val="000A0861"/>
    <w:rsid w:val="000A0ED1"/>
    <w:rsid w:val="000A1139"/>
    <w:rsid w:val="000A126D"/>
    <w:rsid w:val="000A12DB"/>
    <w:rsid w:val="000A17C8"/>
    <w:rsid w:val="000A1AEE"/>
    <w:rsid w:val="000A20D7"/>
    <w:rsid w:val="000A2128"/>
    <w:rsid w:val="000A362F"/>
    <w:rsid w:val="000A367A"/>
    <w:rsid w:val="000A3B49"/>
    <w:rsid w:val="000A41BA"/>
    <w:rsid w:val="000A446A"/>
    <w:rsid w:val="000A5AAF"/>
    <w:rsid w:val="000A5F97"/>
    <w:rsid w:val="000A648E"/>
    <w:rsid w:val="000A73BB"/>
    <w:rsid w:val="000A7EF4"/>
    <w:rsid w:val="000B0A15"/>
    <w:rsid w:val="000B0DF3"/>
    <w:rsid w:val="000B103F"/>
    <w:rsid w:val="000B10D0"/>
    <w:rsid w:val="000B1437"/>
    <w:rsid w:val="000B1470"/>
    <w:rsid w:val="000B2B86"/>
    <w:rsid w:val="000B3051"/>
    <w:rsid w:val="000B419B"/>
    <w:rsid w:val="000B4716"/>
    <w:rsid w:val="000B5781"/>
    <w:rsid w:val="000B5891"/>
    <w:rsid w:val="000B6E4B"/>
    <w:rsid w:val="000B7122"/>
    <w:rsid w:val="000B78F1"/>
    <w:rsid w:val="000C0185"/>
    <w:rsid w:val="000C0444"/>
    <w:rsid w:val="000C0960"/>
    <w:rsid w:val="000C0F81"/>
    <w:rsid w:val="000C128D"/>
    <w:rsid w:val="000C17A3"/>
    <w:rsid w:val="000C1D4B"/>
    <w:rsid w:val="000C3260"/>
    <w:rsid w:val="000C3616"/>
    <w:rsid w:val="000C3803"/>
    <w:rsid w:val="000C3B77"/>
    <w:rsid w:val="000C4F49"/>
    <w:rsid w:val="000C5861"/>
    <w:rsid w:val="000C5F6D"/>
    <w:rsid w:val="000C639D"/>
    <w:rsid w:val="000C67BB"/>
    <w:rsid w:val="000C6C31"/>
    <w:rsid w:val="000C6DBC"/>
    <w:rsid w:val="000C6F79"/>
    <w:rsid w:val="000C7211"/>
    <w:rsid w:val="000C7476"/>
    <w:rsid w:val="000C7683"/>
    <w:rsid w:val="000C7711"/>
    <w:rsid w:val="000C7AA2"/>
    <w:rsid w:val="000C7F0B"/>
    <w:rsid w:val="000D0462"/>
    <w:rsid w:val="000D053D"/>
    <w:rsid w:val="000D0CC7"/>
    <w:rsid w:val="000D0CD9"/>
    <w:rsid w:val="000D0ED2"/>
    <w:rsid w:val="000D1CEB"/>
    <w:rsid w:val="000D2563"/>
    <w:rsid w:val="000D25BF"/>
    <w:rsid w:val="000D3FDC"/>
    <w:rsid w:val="000D4E38"/>
    <w:rsid w:val="000D50DB"/>
    <w:rsid w:val="000D5ABA"/>
    <w:rsid w:val="000D6288"/>
    <w:rsid w:val="000D6CAF"/>
    <w:rsid w:val="000D7421"/>
    <w:rsid w:val="000D7541"/>
    <w:rsid w:val="000D75E1"/>
    <w:rsid w:val="000D776B"/>
    <w:rsid w:val="000E0B3C"/>
    <w:rsid w:val="000E1AC9"/>
    <w:rsid w:val="000E1CEB"/>
    <w:rsid w:val="000E22CF"/>
    <w:rsid w:val="000E2977"/>
    <w:rsid w:val="000E2B36"/>
    <w:rsid w:val="000E300F"/>
    <w:rsid w:val="000E30AC"/>
    <w:rsid w:val="000E3B46"/>
    <w:rsid w:val="000E3E11"/>
    <w:rsid w:val="000E4596"/>
    <w:rsid w:val="000E5399"/>
    <w:rsid w:val="000E5768"/>
    <w:rsid w:val="000E5843"/>
    <w:rsid w:val="000E5C89"/>
    <w:rsid w:val="000E6139"/>
    <w:rsid w:val="000E6B73"/>
    <w:rsid w:val="000E6BE1"/>
    <w:rsid w:val="000E7E0B"/>
    <w:rsid w:val="000F078A"/>
    <w:rsid w:val="000F122D"/>
    <w:rsid w:val="000F1450"/>
    <w:rsid w:val="000F14E8"/>
    <w:rsid w:val="000F1BBD"/>
    <w:rsid w:val="000F2739"/>
    <w:rsid w:val="000F2928"/>
    <w:rsid w:val="000F3138"/>
    <w:rsid w:val="000F3D39"/>
    <w:rsid w:val="000F4403"/>
    <w:rsid w:val="000F4C3F"/>
    <w:rsid w:val="000F4E17"/>
    <w:rsid w:val="000F5A94"/>
    <w:rsid w:val="000F636A"/>
    <w:rsid w:val="000F6578"/>
    <w:rsid w:val="000F70CD"/>
    <w:rsid w:val="000F7239"/>
    <w:rsid w:val="000F79F9"/>
    <w:rsid w:val="000F7ABD"/>
    <w:rsid w:val="000F7E8F"/>
    <w:rsid w:val="000F7FBB"/>
    <w:rsid w:val="001000FB"/>
    <w:rsid w:val="00101134"/>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2F0"/>
    <w:rsid w:val="001065E4"/>
    <w:rsid w:val="001068EB"/>
    <w:rsid w:val="001078CE"/>
    <w:rsid w:val="00110CEB"/>
    <w:rsid w:val="00110F61"/>
    <w:rsid w:val="001111BD"/>
    <w:rsid w:val="0011165A"/>
    <w:rsid w:val="00111B2B"/>
    <w:rsid w:val="00111ED9"/>
    <w:rsid w:val="00112609"/>
    <w:rsid w:val="00112774"/>
    <w:rsid w:val="00112B2E"/>
    <w:rsid w:val="00112EFA"/>
    <w:rsid w:val="00113003"/>
    <w:rsid w:val="00113062"/>
    <w:rsid w:val="00113705"/>
    <w:rsid w:val="00113952"/>
    <w:rsid w:val="00113975"/>
    <w:rsid w:val="00113CFC"/>
    <w:rsid w:val="00113FEA"/>
    <w:rsid w:val="00113FF2"/>
    <w:rsid w:val="00114324"/>
    <w:rsid w:val="0011452E"/>
    <w:rsid w:val="00114A22"/>
    <w:rsid w:val="00114E9D"/>
    <w:rsid w:val="0011507B"/>
    <w:rsid w:val="001155EE"/>
    <w:rsid w:val="00115715"/>
    <w:rsid w:val="00115D13"/>
    <w:rsid w:val="00116328"/>
    <w:rsid w:val="001169FD"/>
    <w:rsid w:val="001174C9"/>
    <w:rsid w:val="00117C82"/>
    <w:rsid w:val="00117E69"/>
    <w:rsid w:val="00121103"/>
    <w:rsid w:val="0012156A"/>
    <w:rsid w:val="00121BAB"/>
    <w:rsid w:val="00121E3C"/>
    <w:rsid w:val="00122490"/>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3B5"/>
    <w:rsid w:val="001378B9"/>
    <w:rsid w:val="00137FD1"/>
    <w:rsid w:val="00137FFA"/>
    <w:rsid w:val="00140109"/>
    <w:rsid w:val="0014029B"/>
    <w:rsid w:val="00140A4F"/>
    <w:rsid w:val="001413AB"/>
    <w:rsid w:val="00141A94"/>
    <w:rsid w:val="001432AF"/>
    <w:rsid w:val="00144335"/>
    <w:rsid w:val="0014502F"/>
    <w:rsid w:val="00145282"/>
    <w:rsid w:val="001453B0"/>
    <w:rsid w:val="001454D9"/>
    <w:rsid w:val="00145D8E"/>
    <w:rsid w:val="00146083"/>
    <w:rsid w:val="001462F7"/>
    <w:rsid w:val="001466F0"/>
    <w:rsid w:val="00146782"/>
    <w:rsid w:val="00146B60"/>
    <w:rsid w:val="00147798"/>
    <w:rsid w:val="00150005"/>
    <w:rsid w:val="00150A17"/>
    <w:rsid w:val="00151B99"/>
    <w:rsid w:val="001521B2"/>
    <w:rsid w:val="00152288"/>
    <w:rsid w:val="00152EDD"/>
    <w:rsid w:val="00153491"/>
    <w:rsid w:val="0015361C"/>
    <w:rsid w:val="0015372F"/>
    <w:rsid w:val="00153A05"/>
    <w:rsid w:val="00153A18"/>
    <w:rsid w:val="00153A87"/>
    <w:rsid w:val="00153BFB"/>
    <w:rsid w:val="0015407E"/>
    <w:rsid w:val="0015448E"/>
    <w:rsid w:val="00154A6F"/>
    <w:rsid w:val="00155283"/>
    <w:rsid w:val="00155D08"/>
    <w:rsid w:val="00156BE5"/>
    <w:rsid w:val="00156FDB"/>
    <w:rsid w:val="00157232"/>
    <w:rsid w:val="0015738A"/>
    <w:rsid w:val="00160401"/>
    <w:rsid w:val="00160D4E"/>
    <w:rsid w:val="00161E62"/>
    <w:rsid w:val="00161F1C"/>
    <w:rsid w:val="0016200B"/>
    <w:rsid w:val="00162AEC"/>
    <w:rsid w:val="00163D7A"/>
    <w:rsid w:val="00164281"/>
    <w:rsid w:val="00164AF1"/>
    <w:rsid w:val="00164DEB"/>
    <w:rsid w:val="001654DF"/>
    <w:rsid w:val="00167503"/>
    <w:rsid w:val="001676A9"/>
    <w:rsid w:val="0016789B"/>
    <w:rsid w:val="00167A15"/>
    <w:rsid w:val="00167A50"/>
    <w:rsid w:val="00167D66"/>
    <w:rsid w:val="00167DF5"/>
    <w:rsid w:val="00170001"/>
    <w:rsid w:val="0017145A"/>
    <w:rsid w:val="00171EE0"/>
    <w:rsid w:val="00172198"/>
    <w:rsid w:val="00172612"/>
    <w:rsid w:val="001726C0"/>
    <w:rsid w:val="00172817"/>
    <w:rsid w:val="001734E3"/>
    <w:rsid w:val="0017350E"/>
    <w:rsid w:val="00173754"/>
    <w:rsid w:val="0017391B"/>
    <w:rsid w:val="001742BF"/>
    <w:rsid w:val="001749DF"/>
    <w:rsid w:val="00175E49"/>
    <w:rsid w:val="00176431"/>
    <w:rsid w:val="00176470"/>
    <w:rsid w:val="0017659F"/>
    <w:rsid w:val="00177076"/>
    <w:rsid w:val="001805C1"/>
    <w:rsid w:val="00180A2E"/>
    <w:rsid w:val="001813AF"/>
    <w:rsid w:val="001829CD"/>
    <w:rsid w:val="00182F01"/>
    <w:rsid w:val="00184F27"/>
    <w:rsid w:val="001850E6"/>
    <w:rsid w:val="0018519B"/>
    <w:rsid w:val="00185AFE"/>
    <w:rsid w:val="00185E78"/>
    <w:rsid w:val="00186984"/>
    <w:rsid w:val="00187177"/>
    <w:rsid w:val="00187443"/>
    <w:rsid w:val="00187ABD"/>
    <w:rsid w:val="001904E3"/>
    <w:rsid w:val="0019087A"/>
    <w:rsid w:val="00191395"/>
    <w:rsid w:val="00191C5A"/>
    <w:rsid w:val="00191CEB"/>
    <w:rsid w:val="00191E63"/>
    <w:rsid w:val="00192D68"/>
    <w:rsid w:val="0019388B"/>
    <w:rsid w:val="00193B9A"/>
    <w:rsid w:val="00193F7E"/>
    <w:rsid w:val="00194458"/>
    <w:rsid w:val="001946AE"/>
    <w:rsid w:val="001946D5"/>
    <w:rsid w:val="00194E8C"/>
    <w:rsid w:val="00194EF3"/>
    <w:rsid w:val="001962EC"/>
    <w:rsid w:val="001963DD"/>
    <w:rsid w:val="001965DB"/>
    <w:rsid w:val="00196647"/>
    <w:rsid w:val="00196DC9"/>
    <w:rsid w:val="001A0236"/>
    <w:rsid w:val="001A0AF8"/>
    <w:rsid w:val="001A18D5"/>
    <w:rsid w:val="001A1D4A"/>
    <w:rsid w:val="001A28A9"/>
    <w:rsid w:val="001A2BDB"/>
    <w:rsid w:val="001A3011"/>
    <w:rsid w:val="001A325B"/>
    <w:rsid w:val="001A3FC3"/>
    <w:rsid w:val="001A42FB"/>
    <w:rsid w:val="001A43C6"/>
    <w:rsid w:val="001A4A08"/>
    <w:rsid w:val="001A4DAF"/>
    <w:rsid w:val="001A652F"/>
    <w:rsid w:val="001A66DF"/>
    <w:rsid w:val="001A67D0"/>
    <w:rsid w:val="001A687E"/>
    <w:rsid w:val="001A6BF1"/>
    <w:rsid w:val="001A7313"/>
    <w:rsid w:val="001A7591"/>
    <w:rsid w:val="001A75B1"/>
    <w:rsid w:val="001A7FBE"/>
    <w:rsid w:val="001B0366"/>
    <w:rsid w:val="001B0444"/>
    <w:rsid w:val="001B096B"/>
    <w:rsid w:val="001B0F9F"/>
    <w:rsid w:val="001B123C"/>
    <w:rsid w:val="001B1A0D"/>
    <w:rsid w:val="001B1BF1"/>
    <w:rsid w:val="001B2456"/>
    <w:rsid w:val="001B2890"/>
    <w:rsid w:val="001B40C7"/>
    <w:rsid w:val="001B449C"/>
    <w:rsid w:val="001B4AA2"/>
    <w:rsid w:val="001B4ADE"/>
    <w:rsid w:val="001B5C86"/>
    <w:rsid w:val="001B5EF8"/>
    <w:rsid w:val="001C027C"/>
    <w:rsid w:val="001C037A"/>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515"/>
    <w:rsid w:val="001C7C7B"/>
    <w:rsid w:val="001D068D"/>
    <w:rsid w:val="001D0A71"/>
    <w:rsid w:val="001D0C08"/>
    <w:rsid w:val="001D12D1"/>
    <w:rsid w:val="001D15DF"/>
    <w:rsid w:val="001D2970"/>
    <w:rsid w:val="001D30F3"/>
    <w:rsid w:val="001D31A0"/>
    <w:rsid w:val="001D338E"/>
    <w:rsid w:val="001D3D3F"/>
    <w:rsid w:val="001D408D"/>
    <w:rsid w:val="001D4141"/>
    <w:rsid w:val="001D56E9"/>
    <w:rsid w:val="001D5EC7"/>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62E9"/>
    <w:rsid w:val="001E70FB"/>
    <w:rsid w:val="001E780A"/>
    <w:rsid w:val="001F07D6"/>
    <w:rsid w:val="001F0FA0"/>
    <w:rsid w:val="001F1349"/>
    <w:rsid w:val="001F1863"/>
    <w:rsid w:val="001F232D"/>
    <w:rsid w:val="001F2356"/>
    <w:rsid w:val="001F2A68"/>
    <w:rsid w:val="001F35AE"/>
    <w:rsid w:val="001F39EA"/>
    <w:rsid w:val="001F4773"/>
    <w:rsid w:val="001F5008"/>
    <w:rsid w:val="001F512D"/>
    <w:rsid w:val="001F56AA"/>
    <w:rsid w:val="001F58AA"/>
    <w:rsid w:val="001F5EF6"/>
    <w:rsid w:val="001F657F"/>
    <w:rsid w:val="001F6BD5"/>
    <w:rsid w:val="001F6FB6"/>
    <w:rsid w:val="001F7978"/>
    <w:rsid w:val="001F7A0E"/>
    <w:rsid w:val="0020022E"/>
    <w:rsid w:val="002004AC"/>
    <w:rsid w:val="0020054E"/>
    <w:rsid w:val="00200B51"/>
    <w:rsid w:val="0020106C"/>
    <w:rsid w:val="00201F1E"/>
    <w:rsid w:val="0020299B"/>
    <w:rsid w:val="00202E44"/>
    <w:rsid w:val="002037AA"/>
    <w:rsid w:val="00203FE3"/>
    <w:rsid w:val="002042D8"/>
    <w:rsid w:val="00204515"/>
    <w:rsid w:val="00204BF5"/>
    <w:rsid w:val="00204D91"/>
    <w:rsid w:val="00204D9B"/>
    <w:rsid w:val="00204E6B"/>
    <w:rsid w:val="002058D4"/>
    <w:rsid w:val="00205BAA"/>
    <w:rsid w:val="0020632A"/>
    <w:rsid w:val="002064A6"/>
    <w:rsid w:val="0020697F"/>
    <w:rsid w:val="00206EB6"/>
    <w:rsid w:val="002077FA"/>
    <w:rsid w:val="0020796E"/>
    <w:rsid w:val="00210430"/>
    <w:rsid w:val="0021096F"/>
    <w:rsid w:val="002110EB"/>
    <w:rsid w:val="00211338"/>
    <w:rsid w:val="00211342"/>
    <w:rsid w:val="00211388"/>
    <w:rsid w:val="0021148C"/>
    <w:rsid w:val="00211694"/>
    <w:rsid w:val="0021201A"/>
    <w:rsid w:val="00213592"/>
    <w:rsid w:val="00213A1F"/>
    <w:rsid w:val="00213C63"/>
    <w:rsid w:val="00214502"/>
    <w:rsid w:val="00214741"/>
    <w:rsid w:val="0021539A"/>
    <w:rsid w:val="00215793"/>
    <w:rsid w:val="00215852"/>
    <w:rsid w:val="00215AC4"/>
    <w:rsid w:val="00215B8E"/>
    <w:rsid w:val="00216264"/>
    <w:rsid w:val="002168B8"/>
    <w:rsid w:val="002176B6"/>
    <w:rsid w:val="0021792D"/>
    <w:rsid w:val="00217DB8"/>
    <w:rsid w:val="0022032A"/>
    <w:rsid w:val="002221CE"/>
    <w:rsid w:val="00222BE8"/>
    <w:rsid w:val="00223102"/>
    <w:rsid w:val="002232CB"/>
    <w:rsid w:val="00223EFE"/>
    <w:rsid w:val="00224022"/>
    <w:rsid w:val="00225C7E"/>
    <w:rsid w:val="00226055"/>
    <w:rsid w:val="0022613F"/>
    <w:rsid w:val="00226236"/>
    <w:rsid w:val="00226287"/>
    <w:rsid w:val="00226DF9"/>
    <w:rsid w:val="002270C9"/>
    <w:rsid w:val="002275A2"/>
    <w:rsid w:val="00227710"/>
    <w:rsid w:val="00227A8B"/>
    <w:rsid w:val="0023146B"/>
    <w:rsid w:val="002315A0"/>
    <w:rsid w:val="00231CE0"/>
    <w:rsid w:val="00231DBA"/>
    <w:rsid w:val="00231EC7"/>
    <w:rsid w:val="00232354"/>
    <w:rsid w:val="00232A6C"/>
    <w:rsid w:val="00232E15"/>
    <w:rsid w:val="00233079"/>
    <w:rsid w:val="0023382C"/>
    <w:rsid w:val="00233977"/>
    <w:rsid w:val="00233C58"/>
    <w:rsid w:val="00233C71"/>
    <w:rsid w:val="002345B6"/>
    <w:rsid w:val="00234B84"/>
    <w:rsid w:val="00235D5E"/>
    <w:rsid w:val="00236016"/>
    <w:rsid w:val="00236E95"/>
    <w:rsid w:val="00237065"/>
    <w:rsid w:val="00237589"/>
    <w:rsid w:val="0023758D"/>
    <w:rsid w:val="002375A7"/>
    <w:rsid w:val="0024016B"/>
    <w:rsid w:val="0024019A"/>
    <w:rsid w:val="002402A8"/>
    <w:rsid w:val="00240695"/>
    <w:rsid w:val="002411DE"/>
    <w:rsid w:val="0024131D"/>
    <w:rsid w:val="002413B5"/>
    <w:rsid w:val="002414D3"/>
    <w:rsid w:val="002415B8"/>
    <w:rsid w:val="00241618"/>
    <w:rsid w:val="00242D62"/>
    <w:rsid w:val="00243057"/>
    <w:rsid w:val="002431D7"/>
    <w:rsid w:val="00243257"/>
    <w:rsid w:val="00243434"/>
    <w:rsid w:val="00244058"/>
    <w:rsid w:val="00244F9A"/>
    <w:rsid w:val="00245718"/>
    <w:rsid w:val="00245E07"/>
    <w:rsid w:val="00246A5D"/>
    <w:rsid w:val="0024729C"/>
    <w:rsid w:val="00247712"/>
    <w:rsid w:val="00250C45"/>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059D"/>
    <w:rsid w:val="0026129B"/>
    <w:rsid w:val="00261560"/>
    <w:rsid w:val="00261715"/>
    <w:rsid w:val="00261CF9"/>
    <w:rsid w:val="00261EC0"/>
    <w:rsid w:val="0026231B"/>
    <w:rsid w:val="00262A26"/>
    <w:rsid w:val="00262F6E"/>
    <w:rsid w:val="0026306A"/>
    <w:rsid w:val="00263101"/>
    <w:rsid w:val="00263201"/>
    <w:rsid w:val="00263336"/>
    <w:rsid w:val="00263A37"/>
    <w:rsid w:val="00263EAE"/>
    <w:rsid w:val="00264409"/>
    <w:rsid w:val="002648AB"/>
    <w:rsid w:val="002653A6"/>
    <w:rsid w:val="00265663"/>
    <w:rsid w:val="0026608D"/>
    <w:rsid w:val="002661F1"/>
    <w:rsid w:val="002663BA"/>
    <w:rsid w:val="002664B7"/>
    <w:rsid w:val="00266CB5"/>
    <w:rsid w:val="00267D66"/>
    <w:rsid w:val="002711A4"/>
    <w:rsid w:val="00271F13"/>
    <w:rsid w:val="002721E2"/>
    <w:rsid w:val="00274DB5"/>
    <w:rsid w:val="00275BB1"/>
    <w:rsid w:val="00275FBF"/>
    <w:rsid w:val="00276373"/>
    <w:rsid w:val="00277933"/>
    <w:rsid w:val="00277F13"/>
    <w:rsid w:val="00277F8D"/>
    <w:rsid w:val="00277FA7"/>
    <w:rsid w:val="00280F3D"/>
    <w:rsid w:val="0028106A"/>
    <w:rsid w:val="00281EB4"/>
    <w:rsid w:val="00282903"/>
    <w:rsid w:val="00282C21"/>
    <w:rsid w:val="0028308E"/>
    <w:rsid w:val="002830FE"/>
    <w:rsid w:val="002831B9"/>
    <w:rsid w:val="002834E9"/>
    <w:rsid w:val="0028396F"/>
    <w:rsid w:val="00283A52"/>
    <w:rsid w:val="00283C5E"/>
    <w:rsid w:val="00283E26"/>
    <w:rsid w:val="0028428F"/>
    <w:rsid w:val="00284CFC"/>
    <w:rsid w:val="00285624"/>
    <w:rsid w:val="0028565E"/>
    <w:rsid w:val="00285832"/>
    <w:rsid w:val="00285969"/>
    <w:rsid w:val="0028663B"/>
    <w:rsid w:val="00286CEC"/>
    <w:rsid w:val="002871A9"/>
    <w:rsid w:val="00287B7E"/>
    <w:rsid w:val="00290781"/>
    <w:rsid w:val="00290929"/>
    <w:rsid w:val="002912D3"/>
    <w:rsid w:val="00291784"/>
    <w:rsid w:val="002929BB"/>
    <w:rsid w:val="00292E64"/>
    <w:rsid w:val="002932BA"/>
    <w:rsid w:val="00293669"/>
    <w:rsid w:val="00294368"/>
    <w:rsid w:val="00294B78"/>
    <w:rsid w:val="00295646"/>
    <w:rsid w:val="00295820"/>
    <w:rsid w:val="00295949"/>
    <w:rsid w:val="0029624A"/>
    <w:rsid w:val="00296922"/>
    <w:rsid w:val="0029697C"/>
    <w:rsid w:val="00296EAF"/>
    <w:rsid w:val="00296F71"/>
    <w:rsid w:val="00297098"/>
    <w:rsid w:val="002A05D4"/>
    <w:rsid w:val="002A09FF"/>
    <w:rsid w:val="002A0C01"/>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5A80"/>
    <w:rsid w:val="002A6AFB"/>
    <w:rsid w:val="002A6E3A"/>
    <w:rsid w:val="002A733D"/>
    <w:rsid w:val="002A774A"/>
    <w:rsid w:val="002A7AFB"/>
    <w:rsid w:val="002A7E5C"/>
    <w:rsid w:val="002A7F6D"/>
    <w:rsid w:val="002B020D"/>
    <w:rsid w:val="002B1342"/>
    <w:rsid w:val="002B27C8"/>
    <w:rsid w:val="002B2A7F"/>
    <w:rsid w:val="002B330B"/>
    <w:rsid w:val="002B39BE"/>
    <w:rsid w:val="002B4039"/>
    <w:rsid w:val="002B40E2"/>
    <w:rsid w:val="002B438C"/>
    <w:rsid w:val="002B45A0"/>
    <w:rsid w:val="002B48DB"/>
    <w:rsid w:val="002B4B34"/>
    <w:rsid w:val="002B508E"/>
    <w:rsid w:val="002B541A"/>
    <w:rsid w:val="002B6407"/>
    <w:rsid w:val="002B6416"/>
    <w:rsid w:val="002B6459"/>
    <w:rsid w:val="002B64D2"/>
    <w:rsid w:val="002B6529"/>
    <w:rsid w:val="002B6A75"/>
    <w:rsid w:val="002B73B0"/>
    <w:rsid w:val="002B7F7A"/>
    <w:rsid w:val="002C078F"/>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6F94"/>
    <w:rsid w:val="002C704D"/>
    <w:rsid w:val="002C77DD"/>
    <w:rsid w:val="002D0845"/>
    <w:rsid w:val="002D0933"/>
    <w:rsid w:val="002D0F58"/>
    <w:rsid w:val="002D1866"/>
    <w:rsid w:val="002D19BB"/>
    <w:rsid w:val="002D1A9B"/>
    <w:rsid w:val="002D1F59"/>
    <w:rsid w:val="002D22C5"/>
    <w:rsid w:val="002D301F"/>
    <w:rsid w:val="002D302A"/>
    <w:rsid w:val="002D36C6"/>
    <w:rsid w:val="002D37C1"/>
    <w:rsid w:val="002D444B"/>
    <w:rsid w:val="002D4801"/>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18F"/>
    <w:rsid w:val="002F0618"/>
    <w:rsid w:val="002F1D41"/>
    <w:rsid w:val="002F240B"/>
    <w:rsid w:val="002F2F50"/>
    <w:rsid w:val="002F3601"/>
    <w:rsid w:val="002F45F6"/>
    <w:rsid w:val="002F692F"/>
    <w:rsid w:val="002F69BE"/>
    <w:rsid w:val="002F7B66"/>
    <w:rsid w:val="00300AC1"/>
    <w:rsid w:val="00300CB4"/>
    <w:rsid w:val="00300DE7"/>
    <w:rsid w:val="00300E24"/>
    <w:rsid w:val="0030101C"/>
    <w:rsid w:val="0030320E"/>
    <w:rsid w:val="003033BA"/>
    <w:rsid w:val="003043A3"/>
    <w:rsid w:val="00304B96"/>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8E7"/>
    <w:rsid w:val="00311A1F"/>
    <w:rsid w:val="00311B47"/>
    <w:rsid w:val="00311D52"/>
    <w:rsid w:val="00312190"/>
    <w:rsid w:val="003125E0"/>
    <w:rsid w:val="00312606"/>
    <w:rsid w:val="0031271D"/>
    <w:rsid w:val="0031336A"/>
    <w:rsid w:val="00313447"/>
    <w:rsid w:val="00313748"/>
    <w:rsid w:val="003138A4"/>
    <w:rsid w:val="00313EA3"/>
    <w:rsid w:val="0031447D"/>
    <w:rsid w:val="0031496A"/>
    <w:rsid w:val="00315457"/>
    <w:rsid w:val="003161A4"/>
    <w:rsid w:val="00316955"/>
    <w:rsid w:val="0031720A"/>
    <w:rsid w:val="0031749B"/>
    <w:rsid w:val="003174E5"/>
    <w:rsid w:val="00317C9D"/>
    <w:rsid w:val="00317CD2"/>
    <w:rsid w:val="00317D99"/>
    <w:rsid w:val="00317EA2"/>
    <w:rsid w:val="0032078D"/>
    <w:rsid w:val="003209BE"/>
    <w:rsid w:val="00320A6E"/>
    <w:rsid w:val="00320F34"/>
    <w:rsid w:val="0032137B"/>
    <w:rsid w:val="003214F7"/>
    <w:rsid w:val="00321BD6"/>
    <w:rsid w:val="00321FA3"/>
    <w:rsid w:val="003227D3"/>
    <w:rsid w:val="003228EB"/>
    <w:rsid w:val="00322937"/>
    <w:rsid w:val="00322A46"/>
    <w:rsid w:val="00322A84"/>
    <w:rsid w:val="00323881"/>
    <w:rsid w:val="00323B73"/>
    <w:rsid w:val="003254F5"/>
    <w:rsid w:val="00325D98"/>
    <w:rsid w:val="0032682A"/>
    <w:rsid w:val="00327A5C"/>
    <w:rsid w:val="0033092C"/>
    <w:rsid w:val="0033122A"/>
    <w:rsid w:val="003315AC"/>
    <w:rsid w:val="00331932"/>
    <w:rsid w:val="00331A60"/>
    <w:rsid w:val="0033245D"/>
    <w:rsid w:val="00332F46"/>
    <w:rsid w:val="00333873"/>
    <w:rsid w:val="00333A88"/>
    <w:rsid w:val="00333FFB"/>
    <w:rsid w:val="00335B15"/>
    <w:rsid w:val="00335B21"/>
    <w:rsid w:val="00335D3F"/>
    <w:rsid w:val="00336104"/>
    <w:rsid w:val="00336729"/>
    <w:rsid w:val="00336AB1"/>
    <w:rsid w:val="0033726D"/>
    <w:rsid w:val="00337362"/>
    <w:rsid w:val="00337807"/>
    <w:rsid w:val="00337CA8"/>
    <w:rsid w:val="00337EAD"/>
    <w:rsid w:val="0034125B"/>
    <w:rsid w:val="0034177C"/>
    <w:rsid w:val="00342345"/>
    <w:rsid w:val="00342B56"/>
    <w:rsid w:val="00342C27"/>
    <w:rsid w:val="003430C8"/>
    <w:rsid w:val="003432C8"/>
    <w:rsid w:val="003434B3"/>
    <w:rsid w:val="00343536"/>
    <w:rsid w:val="00343EFB"/>
    <w:rsid w:val="00344014"/>
    <w:rsid w:val="003443DF"/>
    <w:rsid w:val="00344760"/>
    <w:rsid w:val="00344A64"/>
    <w:rsid w:val="0034680A"/>
    <w:rsid w:val="00346C62"/>
    <w:rsid w:val="0034740F"/>
    <w:rsid w:val="0034778E"/>
    <w:rsid w:val="003501E2"/>
    <w:rsid w:val="00350A59"/>
    <w:rsid w:val="00351E10"/>
    <w:rsid w:val="0035254F"/>
    <w:rsid w:val="003525E7"/>
    <w:rsid w:val="0035273A"/>
    <w:rsid w:val="00352D59"/>
    <w:rsid w:val="003533F4"/>
    <w:rsid w:val="003536F6"/>
    <w:rsid w:val="00353DD5"/>
    <w:rsid w:val="00354A64"/>
    <w:rsid w:val="00355131"/>
    <w:rsid w:val="00355462"/>
    <w:rsid w:val="00356438"/>
    <w:rsid w:val="00356687"/>
    <w:rsid w:val="00357107"/>
    <w:rsid w:val="0036098D"/>
    <w:rsid w:val="003609C4"/>
    <w:rsid w:val="00361A59"/>
    <w:rsid w:val="003631CC"/>
    <w:rsid w:val="00363348"/>
    <w:rsid w:val="00363857"/>
    <w:rsid w:val="00363D59"/>
    <w:rsid w:val="003640F7"/>
    <w:rsid w:val="00364300"/>
    <w:rsid w:val="00365D3A"/>
    <w:rsid w:val="00365F2A"/>
    <w:rsid w:val="003661DD"/>
    <w:rsid w:val="003664FF"/>
    <w:rsid w:val="00366B70"/>
    <w:rsid w:val="00366BD2"/>
    <w:rsid w:val="003670B8"/>
    <w:rsid w:val="0036776E"/>
    <w:rsid w:val="003704A3"/>
    <w:rsid w:val="003706F2"/>
    <w:rsid w:val="0037124F"/>
    <w:rsid w:val="0037195B"/>
    <w:rsid w:val="00372B35"/>
    <w:rsid w:val="00373827"/>
    <w:rsid w:val="00373971"/>
    <w:rsid w:val="00373F04"/>
    <w:rsid w:val="0037401C"/>
    <w:rsid w:val="00374A1E"/>
    <w:rsid w:val="0037507B"/>
    <w:rsid w:val="003759D1"/>
    <w:rsid w:val="00375C7C"/>
    <w:rsid w:val="003762F6"/>
    <w:rsid w:val="00376A1F"/>
    <w:rsid w:val="00377027"/>
    <w:rsid w:val="00377135"/>
    <w:rsid w:val="00380272"/>
    <w:rsid w:val="00380355"/>
    <w:rsid w:val="00380576"/>
    <w:rsid w:val="003805DB"/>
    <w:rsid w:val="003813F4"/>
    <w:rsid w:val="0038152A"/>
    <w:rsid w:val="00382BAD"/>
    <w:rsid w:val="00383A8D"/>
    <w:rsid w:val="00383B2B"/>
    <w:rsid w:val="00384CD6"/>
    <w:rsid w:val="00384DF1"/>
    <w:rsid w:val="00384FF3"/>
    <w:rsid w:val="003852D5"/>
    <w:rsid w:val="003859DA"/>
    <w:rsid w:val="00386456"/>
    <w:rsid w:val="003865A9"/>
    <w:rsid w:val="00387642"/>
    <w:rsid w:val="00387DB5"/>
    <w:rsid w:val="00390088"/>
    <w:rsid w:val="003902B1"/>
    <w:rsid w:val="003903B6"/>
    <w:rsid w:val="003908B7"/>
    <w:rsid w:val="00390F32"/>
    <w:rsid w:val="0039135E"/>
    <w:rsid w:val="0039200F"/>
    <w:rsid w:val="00392FFF"/>
    <w:rsid w:val="0039319C"/>
    <w:rsid w:val="003938CD"/>
    <w:rsid w:val="00393CAE"/>
    <w:rsid w:val="003945DC"/>
    <w:rsid w:val="003945F4"/>
    <w:rsid w:val="00394EB5"/>
    <w:rsid w:val="0039539A"/>
    <w:rsid w:val="003953B4"/>
    <w:rsid w:val="0039615F"/>
    <w:rsid w:val="003965C8"/>
    <w:rsid w:val="00396675"/>
    <w:rsid w:val="00396A29"/>
    <w:rsid w:val="00397A9C"/>
    <w:rsid w:val="00397FF0"/>
    <w:rsid w:val="003A07D9"/>
    <w:rsid w:val="003A0878"/>
    <w:rsid w:val="003A10DE"/>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1F7F"/>
    <w:rsid w:val="003B2885"/>
    <w:rsid w:val="003B2E6C"/>
    <w:rsid w:val="003B2EF3"/>
    <w:rsid w:val="003B3676"/>
    <w:rsid w:val="003B4B1C"/>
    <w:rsid w:val="003B4CB2"/>
    <w:rsid w:val="003B4CEB"/>
    <w:rsid w:val="003B534F"/>
    <w:rsid w:val="003B5391"/>
    <w:rsid w:val="003B5952"/>
    <w:rsid w:val="003B65D7"/>
    <w:rsid w:val="003B65E0"/>
    <w:rsid w:val="003B6BD4"/>
    <w:rsid w:val="003B6E93"/>
    <w:rsid w:val="003B6F4D"/>
    <w:rsid w:val="003B6FE7"/>
    <w:rsid w:val="003B7413"/>
    <w:rsid w:val="003B7B6B"/>
    <w:rsid w:val="003C0791"/>
    <w:rsid w:val="003C0D1F"/>
    <w:rsid w:val="003C116A"/>
    <w:rsid w:val="003C1AF4"/>
    <w:rsid w:val="003C1B63"/>
    <w:rsid w:val="003C1CB8"/>
    <w:rsid w:val="003C2550"/>
    <w:rsid w:val="003C287F"/>
    <w:rsid w:val="003C3339"/>
    <w:rsid w:val="003C375A"/>
    <w:rsid w:val="003C43F6"/>
    <w:rsid w:val="003C4D9F"/>
    <w:rsid w:val="003C5118"/>
    <w:rsid w:val="003C622C"/>
    <w:rsid w:val="003C6D53"/>
    <w:rsid w:val="003C6DE8"/>
    <w:rsid w:val="003C73C7"/>
    <w:rsid w:val="003D0195"/>
    <w:rsid w:val="003D03F3"/>
    <w:rsid w:val="003D050B"/>
    <w:rsid w:val="003D0B98"/>
    <w:rsid w:val="003D0C3C"/>
    <w:rsid w:val="003D0DE5"/>
    <w:rsid w:val="003D1351"/>
    <w:rsid w:val="003D21C1"/>
    <w:rsid w:val="003D3707"/>
    <w:rsid w:val="003D3B15"/>
    <w:rsid w:val="003D3B2E"/>
    <w:rsid w:val="003D484D"/>
    <w:rsid w:val="003D49CB"/>
    <w:rsid w:val="003D4BD6"/>
    <w:rsid w:val="003D5960"/>
    <w:rsid w:val="003D6412"/>
    <w:rsid w:val="003D67B3"/>
    <w:rsid w:val="003D6B8F"/>
    <w:rsid w:val="003D7566"/>
    <w:rsid w:val="003D7708"/>
    <w:rsid w:val="003D79E4"/>
    <w:rsid w:val="003D7C2F"/>
    <w:rsid w:val="003E08B3"/>
    <w:rsid w:val="003E09BB"/>
    <w:rsid w:val="003E159D"/>
    <w:rsid w:val="003E20EA"/>
    <w:rsid w:val="003E210C"/>
    <w:rsid w:val="003E27ED"/>
    <w:rsid w:val="003E2913"/>
    <w:rsid w:val="003E2F55"/>
    <w:rsid w:val="003E317C"/>
    <w:rsid w:val="003E34DB"/>
    <w:rsid w:val="003E3833"/>
    <w:rsid w:val="003E3902"/>
    <w:rsid w:val="003E3AF9"/>
    <w:rsid w:val="003E412A"/>
    <w:rsid w:val="003E4A70"/>
    <w:rsid w:val="003E4AA1"/>
    <w:rsid w:val="003E4C48"/>
    <w:rsid w:val="003E4CD9"/>
    <w:rsid w:val="003E54B3"/>
    <w:rsid w:val="003E5780"/>
    <w:rsid w:val="003E5B9F"/>
    <w:rsid w:val="003E6072"/>
    <w:rsid w:val="003E611E"/>
    <w:rsid w:val="003E62C1"/>
    <w:rsid w:val="003E6AB6"/>
    <w:rsid w:val="003E6E0B"/>
    <w:rsid w:val="003E6F27"/>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63DF"/>
    <w:rsid w:val="003F7343"/>
    <w:rsid w:val="003F7FCA"/>
    <w:rsid w:val="00400002"/>
    <w:rsid w:val="00400054"/>
    <w:rsid w:val="004016A3"/>
    <w:rsid w:val="00401B31"/>
    <w:rsid w:val="0040202B"/>
    <w:rsid w:val="00402DE1"/>
    <w:rsid w:val="00402EEB"/>
    <w:rsid w:val="004037C2"/>
    <w:rsid w:val="00404041"/>
    <w:rsid w:val="00404B43"/>
    <w:rsid w:val="00404C61"/>
    <w:rsid w:val="00405487"/>
    <w:rsid w:val="004054B1"/>
    <w:rsid w:val="0040550C"/>
    <w:rsid w:val="00405792"/>
    <w:rsid w:val="0040602B"/>
    <w:rsid w:val="00407A7A"/>
    <w:rsid w:val="00407ABC"/>
    <w:rsid w:val="00407BFD"/>
    <w:rsid w:val="00407F1E"/>
    <w:rsid w:val="004106C5"/>
    <w:rsid w:val="00410A88"/>
    <w:rsid w:val="004112B5"/>
    <w:rsid w:val="00411317"/>
    <w:rsid w:val="00411A9E"/>
    <w:rsid w:val="00411D88"/>
    <w:rsid w:val="0041214C"/>
    <w:rsid w:val="0041259F"/>
    <w:rsid w:val="00412944"/>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6879"/>
    <w:rsid w:val="00417089"/>
    <w:rsid w:val="004170D7"/>
    <w:rsid w:val="004177A6"/>
    <w:rsid w:val="00417EFD"/>
    <w:rsid w:val="004200EE"/>
    <w:rsid w:val="004209D2"/>
    <w:rsid w:val="00420D6E"/>
    <w:rsid w:val="00421BD2"/>
    <w:rsid w:val="00421E00"/>
    <w:rsid w:val="00421FCB"/>
    <w:rsid w:val="00421FF6"/>
    <w:rsid w:val="0042261B"/>
    <w:rsid w:val="00422DCA"/>
    <w:rsid w:val="00423F9F"/>
    <w:rsid w:val="0042499B"/>
    <w:rsid w:val="00424FEC"/>
    <w:rsid w:val="0042540A"/>
    <w:rsid w:val="00425444"/>
    <w:rsid w:val="00425C43"/>
    <w:rsid w:val="00426C69"/>
    <w:rsid w:val="004273FA"/>
    <w:rsid w:val="004277B4"/>
    <w:rsid w:val="00430186"/>
    <w:rsid w:val="00430730"/>
    <w:rsid w:val="00430C06"/>
    <w:rsid w:val="0043269A"/>
    <w:rsid w:val="00432E14"/>
    <w:rsid w:val="004333C2"/>
    <w:rsid w:val="00433ACB"/>
    <w:rsid w:val="00434787"/>
    <w:rsid w:val="004347DA"/>
    <w:rsid w:val="00434C13"/>
    <w:rsid w:val="00435F8A"/>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945"/>
    <w:rsid w:val="00443B55"/>
    <w:rsid w:val="00443D27"/>
    <w:rsid w:val="00445AC2"/>
    <w:rsid w:val="00446037"/>
    <w:rsid w:val="0044642F"/>
    <w:rsid w:val="004468C3"/>
    <w:rsid w:val="00447021"/>
    <w:rsid w:val="0044772C"/>
    <w:rsid w:val="004502AA"/>
    <w:rsid w:val="004507BD"/>
    <w:rsid w:val="00450846"/>
    <w:rsid w:val="00450B1A"/>
    <w:rsid w:val="00450C41"/>
    <w:rsid w:val="004510BD"/>
    <w:rsid w:val="0045159C"/>
    <w:rsid w:val="00451A52"/>
    <w:rsid w:val="00451FC8"/>
    <w:rsid w:val="0045271D"/>
    <w:rsid w:val="00452755"/>
    <w:rsid w:val="00452803"/>
    <w:rsid w:val="004529C6"/>
    <w:rsid w:val="00452EAD"/>
    <w:rsid w:val="004531D5"/>
    <w:rsid w:val="004533D1"/>
    <w:rsid w:val="004534D1"/>
    <w:rsid w:val="00453A53"/>
    <w:rsid w:val="004544CA"/>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3CF"/>
    <w:rsid w:val="0046361D"/>
    <w:rsid w:val="004638E2"/>
    <w:rsid w:val="00463E31"/>
    <w:rsid w:val="00464030"/>
    <w:rsid w:val="004647F8"/>
    <w:rsid w:val="004647FB"/>
    <w:rsid w:val="00465456"/>
    <w:rsid w:val="00465677"/>
    <w:rsid w:val="00465AC3"/>
    <w:rsid w:val="00466616"/>
    <w:rsid w:val="00466A0C"/>
    <w:rsid w:val="00470A6A"/>
    <w:rsid w:val="00470D92"/>
    <w:rsid w:val="004712D1"/>
    <w:rsid w:val="00471DF7"/>
    <w:rsid w:val="00471F6B"/>
    <w:rsid w:val="00472056"/>
    <w:rsid w:val="0047295C"/>
    <w:rsid w:val="00472AAE"/>
    <w:rsid w:val="00472D8E"/>
    <w:rsid w:val="004734CF"/>
    <w:rsid w:val="00474889"/>
    <w:rsid w:val="00475A91"/>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3D20"/>
    <w:rsid w:val="00484074"/>
    <w:rsid w:val="004843F9"/>
    <w:rsid w:val="00484F0F"/>
    <w:rsid w:val="00484F40"/>
    <w:rsid w:val="0048540C"/>
    <w:rsid w:val="0048592F"/>
    <w:rsid w:val="0048605E"/>
    <w:rsid w:val="004861B4"/>
    <w:rsid w:val="00486741"/>
    <w:rsid w:val="00486AB4"/>
    <w:rsid w:val="00486BD0"/>
    <w:rsid w:val="00486D00"/>
    <w:rsid w:val="00487263"/>
    <w:rsid w:val="0048734F"/>
    <w:rsid w:val="0049029D"/>
    <w:rsid w:val="0049030C"/>
    <w:rsid w:val="004903C0"/>
    <w:rsid w:val="0049105E"/>
    <w:rsid w:val="0049114B"/>
    <w:rsid w:val="004912A8"/>
    <w:rsid w:val="00491577"/>
    <w:rsid w:val="0049196E"/>
    <w:rsid w:val="0049241A"/>
    <w:rsid w:val="00492C1F"/>
    <w:rsid w:val="00492E4C"/>
    <w:rsid w:val="00493B2C"/>
    <w:rsid w:val="00493E04"/>
    <w:rsid w:val="004940E3"/>
    <w:rsid w:val="004942DE"/>
    <w:rsid w:val="0049530F"/>
    <w:rsid w:val="00495980"/>
    <w:rsid w:val="00496664"/>
    <w:rsid w:val="00496786"/>
    <w:rsid w:val="0049695B"/>
    <w:rsid w:val="00496D8F"/>
    <w:rsid w:val="00497463"/>
    <w:rsid w:val="00497B15"/>
    <w:rsid w:val="00497BA8"/>
    <w:rsid w:val="004A054C"/>
    <w:rsid w:val="004A08D1"/>
    <w:rsid w:val="004A16C1"/>
    <w:rsid w:val="004A188D"/>
    <w:rsid w:val="004A1CE2"/>
    <w:rsid w:val="004A2069"/>
    <w:rsid w:val="004A2800"/>
    <w:rsid w:val="004A299A"/>
    <w:rsid w:val="004A34D2"/>
    <w:rsid w:val="004A41BA"/>
    <w:rsid w:val="004A4301"/>
    <w:rsid w:val="004A4E65"/>
    <w:rsid w:val="004A58EE"/>
    <w:rsid w:val="004A59B7"/>
    <w:rsid w:val="004A623B"/>
    <w:rsid w:val="004A6A04"/>
    <w:rsid w:val="004A6A52"/>
    <w:rsid w:val="004A6C78"/>
    <w:rsid w:val="004A79F2"/>
    <w:rsid w:val="004B0F0B"/>
    <w:rsid w:val="004B1501"/>
    <w:rsid w:val="004B1560"/>
    <w:rsid w:val="004B163F"/>
    <w:rsid w:val="004B2197"/>
    <w:rsid w:val="004B298A"/>
    <w:rsid w:val="004B459F"/>
    <w:rsid w:val="004B4BB5"/>
    <w:rsid w:val="004B578D"/>
    <w:rsid w:val="004B5BE7"/>
    <w:rsid w:val="004B5E2D"/>
    <w:rsid w:val="004B5ED5"/>
    <w:rsid w:val="004B6793"/>
    <w:rsid w:val="004B6C07"/>
    <w:rsid w:val="004B72BB"/>
    <w:rsid w:val="004B74D3"/>
    <w:rsid w:val="004B76D3"/>
    <w:rsid w:val="004B7773"/>
    <w:rsid w:val="004B788E"/>
    <w:rsid w:val="004B79B3"/>
    <w:rsid w:val="004B7E5D"/>
    <w:rsid w:val="004C0DD8"/>
    <w:rsid w:val="004C22F7"/>
    <w:rsid w:val="004C2B27"/>
    <w:rsid w:val="004C3929"/>
    <w:rsid w:val="004C3D09"/>
    <w:rsid w:val="004C4DCB"/>
    <w:rsid w:val="004C5212"/>
    <w:rsid w:val="004C5464"/>
    <w:rsid w:val="004C5B3B"/>
    <w:rsid w:val="004C5BAC"/>
    <w:rsid w:val="004C5EF0"/>
    <w:rsid w:val="004C7226"/>
    <w:rsid w:val="004C74C9"/>
    <w:rsid w:val="004C7D70"/>
    <w:rsid w:val="004D02F9"/>
    <w:rsid w:val="004D03FE"/>
    <w:rsid w:val="004D0446"/>
    <w:rsid w:val="004D0449"/>
    <w:rsid w:val="004D0A4F"/>
    <w:rsid w:val="004D0E03"/>
    <w:rsid w:val="004D0F95"/>
    <w:rsid w:val="004D106A"/>
    <w:rsid w:val="004D31EE"/>
    <w:rsid w:val="004D36AF"/>
    <w:rsid w:val="004D3BD1"/>
    <w:rsid w:val="004D4BA1"/>
    <w:rsid w:val="004D5451"/>
    <w:rsid w:val="004D584D"/>
    <w:rsid w:val="004D58DE"/>
    <w:rsid w:val="004D6041"/>
    <w:rsid w:val="004D61E1"/>
    <w:rsid w:val="004D6826"/>
    <w:rsid w:val="004D6D5E"/>
    <w:rsid w:val="004E023F"/>
    <w:rsid w:val="004E02DB"/>
    <w:rsid w:val="004E0742"/>
    <w:rsid w:val="004E0C64"/>
    <w:rsid w:val="004E0F6B"/>
    <w:rsid w:val="004E1545"/>
    <w:rsid w:val="004E1F1C"/>
    <w:rsid w:val="004E2A35"/>
    <w:rsid w:val="004E40CE"/>
    <w:rsid w:val="004E4465"/>
    <w:rsid w:val="004E518D"/>
    <w:rsid w:val="004E5736"/>
    <w:rsid w:val="004E5B36"/>
    <w:rsid w:val="004E6045"/>
    <w:rsid w:val="004E6758"/>
    <w:rsid w:val="004E6F43"/>
    <w:rsid w:val="004E7200"/>
    <w:rsid w:val="004F034D"/>
    <w:rsid w:val="004F0538"/>
    <w:rsid w:val="004F091D"/>
    <w:rsid w:val="004F0960"/>
    <w:rsid w:val="004F0A5C"/>
    <w:rsid w:val="004F163F"/>
    <w:rsid w:val="004F18A0"/>
    <w:rsid w:val="004F1A08"/>
    <w:rsid w:val="004F2B64"/>
    <w:rsid w:val="004F3764"/>
    <w:rsid w:val="004F3EEF"/>
    <w:rsid w:val="004F47D0"/>
    <w:rsid w:val="004F4B65"/>
    <w:rsid w:val="004F4DA2"/>
    <w:rsid w:val="004F548C"/>
    <w:rsid w:val="004F5930"/>
    <w:rsid w:val="004F5970"/>
    <w:rsid w:val="004F5F0C"/>
    <w:rsid w:val="004F6121"/>
    <w:rsid w:val="004F6161"/>
    <w:rsid w:val="004F66BC"/>
    <w:rsid w:val="004F67B2"/>
    <w:rsid w:val="004F6C26"/>
    <w:rsid w:val="004F7AC9"/>
    <w:rsid w:val="004F7B81"/>
    <w:rsid w:val="005004B0"/>
    <w:rsid w:val="0050062F"/>
    <w:rsid w:val="005012E2"/>
    <w:rsid w:val="00501481"/>
    <w:rsid w:val="0050160F"/>
    <w:rsid w:val="005016C7"/>
    <w:rsid w:val="0050284E"/>
    <w:rsid w:val="0050332C"/>
    <w:rsid w:val="00504F88"/>
    <w:rsid w:val="00505DCB"/>
    <w:rsid w:val="005075CA"/>
    <w:rsid w:val="00507D10"/>
    <w:rsid w:val="0051074C"/>
    <w:rsid w:val="00510DE9"/>
    <w:rsid w:val="00511142"/>
    <w:rsid w:val="005111E2"/>
    <w:rsid w:val="00511231"/>
    <w:rsid w:val="005122F2"/>
    <w:rsid w:val="00512779"/>
    <w:rsid w:val="00512986"/>
    <w:rsid w:val="00512C4F"/>
    <w:rsid w:val="00513042"/>
    <w:rsid w:val="0051334F"/>
    <w:rsid w:val="00513399"/>
    <w:rsid w:val="00513AA0"/>
    <w:rsid w:val="00513AF2"/>
    <w:rsid w:val="00514575"/>
    <w:rsid w:val="00514C03"/>
    <w:rsid w:val="00514D67"/>
    <w:rsid w:val="00515515"/>
    <w:rsid w:val="005156E7"/>
    <w:rsid w:val="00515F54"/>
    <w:rsid w:val="00516338"/>
    <w:rsid w:val="0051635C"/>
    <w:rsid w:val="00516C5B"/>
    <w:rsid w:val="00517612"/>
    <w:rsid w:val="00517CFB"/>
    <w:rsid w:val="00517F85"/>
    <w:rsid w:val="00520065"/>
    <w:rsid w:val="00520899"/>
    <w:rsid w:val="00520922"/>
    <w:rsid w:val="005209FC"/>
    <w:rsid w:val="00520E50"/>
    <w:rsid w:val="005224E5"/>
    <w:rsid w:val="005226BE"/>
    <w:rsid w:val="005235ED"/>
    <w:rsid w:val="005236D9"/>
    <w:rsid w:val="00523903"/>
    <w:rsid w:val="005239B6"/>
    <w:rsid w:val="00523C45"/>
    <w:rsid w:val="00524165"/>
    <w:rsid w:val="005242BA"/>
    <w:rsid w:val="005246E7"/>
    <w:rsid w:val="00524FD2"/>
    <w:rsid w:val="00525621"/>
    <w:rsid w:val="00525B2E"/>
    <w:rsid w:val="00525E61"/>
    <w:rsid w:val="00526431"/>
    <w:rsid w:val="005265D8"/>
    <w:rsid w:val="005272AC"/>
    <w:rsid w:val="00527440"/>
    <w:rsid w:val="00527C6B"/>
    <w:rsid w:val="00527E57"/>
    <w:rsid w:val="00530405"/>
    <w:rsid w:val="00530522"/>
    <w:rsid w:val="005305E5"/>
    <w:rsid w:val="00530F38"/>
    <w:rsid w:val="00531F26"/>
    <w:rsid w:val="0053277C"/>
    <w:rsid w:val="005327C0"/>
    <w:rsid w:val="00533101"/>
    <w:rsid w:val="005336C5"/>
    <w:rsid w:val="00533CA9"/>
    <w:rsid w:val="00533DA7"/>
    <w:rsid w:val="005342A3"/>
    <w:rsid w:val="005346AD"/>
    <w:rsid w:val="00534C25"/>
    <w:rsid w:val="00534C80"/>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254"/>
    <w:rsid w:val="00554F3F"/>
    <w:rsid w:val="005551AA"/>
    <w:rsid w:val="0055629A"/>
    <w:rsid w:val="005564CA"/>
    <w:rsid w:val="005568EA"/>
    <w:rsid w:val="00556E29"/>
    <w:rsid w:val="00557140"/>
    <w:rsid w:val="00557DE4"/>
    <w:rsid w:val="0056058C"/>
    <w:rsid w:val="00560BD6"/>
    <w:rsid w:val="00560C87"/>
    <w:rsid w:val="00560EF9"/>
    <w:rsid w:val="00560F51"/>
    <w:rsid w:val="005611CF"/>
    <w:rsid w:val="00561249"/>
    <w:rsid w:val="0056182B"/>
    <w:rsid w:val="00561AF3"/>
    <w:rsid w:val="00561E0B"/>
    <w:rsid w:val="00562141"/>
    <w:rsid w:val="00562D86"/>
    <w:rsid w:val="005642EC"/>
    <w:rsid w:val="00564704"/>
    <w:rsid w:val="00564712"/>
    <w:rsid w:val="00564ED5"/>
    <w:rsid w:val="005657A8"/>
    <w:rsid w:val="00565952"/>
    <w:rsid w:val="00565D27"/>
    <w:rsid w:val="00566866"/>
    <w:rsid w:val="005670A5"/>
    <w:rsid w:val="00567106"/>
    <w:rsid w:val="005675E0"/>
    <w:rsid w:val="00567723"/>
    <w:rsid w:val="00567AB8"/>
    <w:rsid w:val="00567C02"/>
    <w:rsid w:val="005707F7"/>
    <w:rsid w:val="00570A26"/>
    <w:rsid w:val="00571301"/>
    <w:rsid w:val="0057170B"/>
    <w:rsid w:val="0057221F"/>
    <w:rsid w:val="00572539"/>
    <w:rsid w:val="005726FB"/>
    <w:rsid w:val="0057337D"/>
    <w:rsid w:val="00573504"/>
    <w:rsid w:val="00574708"/>
    <w:rsid w:val="00574D81"/>
    <w:rsid w:val="00574E71"/>
    <w:rsid w:val="005756AA"/>
    <w:rsid w:val="00575FB1"/>
    <w:rsid w:val="00576043"/>
    <w:rsid w:val="0057614A"/>
    <w:rsid w:val="00576233"/>
    <w:rsid w:val="0057696F"/>
    <w:rsid w:val="005771B1"/>
    <w:rsid w:val="005774FE"/>
    <w:rsid w:val="0058040C"/>
    <w:rsid w:val="00580918"/>
    <w:rsid w:val="00580A56"/>
    <w:rsid w:val="00580D6D"/>
    <w:rsid w:val="005813DE"/>
    <w:rsid w:val="00581796"/>
    <w:rsid w:val="00581B45"/>
    <w:rsid w:val="00582480"/>
    <w:rsid w:val="00582763"/>
    <w:rsid w:val="0058290E"/>
    <w:rsid w:val="00582CAB"/>
    <w:rsid w:val="00582F4E"/>
    <w:rsid w:val="00583121"/>
    <w:rsid w:val="0058375E"/>
    <w:rsid w:val="00583AC8"/>
    <w:rsid w:val="00584233"/>
    <w:rsid w:val="005842D0"/>
    <w:rsid w:val="0058457E"/>
    <w:rsid w:val="005855AE"/>
    <w:rsid w:val="00585829"/>
    <w:rsid w:val="00585CA8"/>
    <w:rsid w:val="00586412"/>
    <w:rsid w:val="005864B9"/>
    <w:rsid w:val="005866C4"/>
    <w:rsid w:val="00586BDB"/>
    <w:rsid w:val="00590123"/>
    <w:rsid w:val="00590F1A"/>
    <w:rsid w:val="00591C03"/>
    <w:rsid w:val="00591E2A"/>
    <w:rsid w:val="005923C4"/>
    <w:rsid w:val="00592B56"/>
    <w:rsid w:val="00593F75"/>
    <w:rsid w:val="005940A0"/>
    <w:rsid w:val="00594257"/>
    <w:rsid w:val="0059429A"/>
    <w:rsid w:val="005948B5"/>
    <w:rsid w:val="00595FDD"/>
    <w:rsid w:val="00596AF7"/>
    <w:rsid w:val="00596CCE"/>
    <w:rsid w:val="00596E4A"/>
    <w:rsid w:val="00597096"/>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4F02"/>
    <w:rsid w:val="005A5A3D"/>
    <w:rsid w:val="005A5C25"/>
    <w:rsid w:val="005A6035"/>
    <w:rsid w:val="005A6B75"/>
    <w:rsid w:val="005A6E00"/>
    <w:rsid w:val="005A718A"/>
    <w:rsid w:val="005B0891"/>
    <w:rsid w:val="005B09BE"/>
    <w:rsid w:val="005B12B2"/>
    <w:rsid w:val="005B143B"/>
    <w:rsid w:val="005B1504"/>
    <w:rsid w:val="005B1E45"/>
    <w:rsid w:val="005B21C4"/>
    <w:rsid w:val="005B2A28"/>
    <w:rsid w:val="005B3621"/>
    <w:rsid w:val="005B48BA"/>
    <w:rsid w:val="005B4948"/>
    <w:rsid w:val="005B501D"/>
    <w:rsid w:val="005B54CC"/>
    <w:rsid w:val="005B6AE8"/>
    <w:rsid w:val="005B74AD"/>
    <w:rsid w:val="005B7E96"/>
    <w:rsid w:val="005C0429"/>
    <w:rsid w:val="005C084F"/>
    <w:rsid w:val="005C0EE9"/>
    <w:rsid w:val="005C1575"/>
    <w:rsid w:val="005C1716"/>
    <w:rsid w:val="005C1954"/>
    <w:rsid w:val="005C1C0B"/>
    <w:rsid w:val="005C1D53"/>
    <w:rsid w:val="005C2011"/>
    <w:rsid w:val="005C2614"/>
    <w:rsid w:val="005C36CF"/>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0BA"/>
    <w:rsid w:val="005D51FA"/>
    <w:rsid w:val="005D53E8"/>
    <w:rsid w:val="005D5A26"/>
    <w:rsid w:val="005D5A9D"/>
    <w:rsid w:val="005D60D4"/>
    <w:rsid w:val="005D6651"/>
    <w:rsid w:val="005D691D"/>
    <w:rsid w:val="005D6A72"/>
    <w:rsid w:val="005D7035"/>
    <w:rsid w:val="005D7147"/>
    <w:rsid w:val="005D749F"/>
    <w:rsid w:val="005D791B"/>
    <w:rsid w:val="005D7CF2"/>
    <w:rsid w:val="005D7F92"/>
    <w:rsid w:val="005E0D7B"/>
    <w:rsid w:val="005E1595"/>
    <w:rsid w:val="005E181F"/>
    <w:rsid w:val="005E1F1D"/>
    <w:rsid w:val="005E273D"/>
    <w:rsid w:val="005E3278"/>
    <w:rsid w:val="005E363B"/>
    <w:rsid w:val="005E3760"/>
    <w:rsid w:val="005E3B0D"/>
    <w:rsid w:val="005E6EA5"/>
    <w:rsid w:val="005E773C"/>
    <w:rsid w:val="005E7BED"/>
    <w:rsid w:val="005F041F"/>
    <w:rsid w:val="005F1216"/>
    <w:rsid w:val="005F1819"/>
    <w:rsid w:val="005F1D7D"/>
    <w:rsid w:val="005F1D89"/>
    <w:rsid w:val="005F22AB"/>
    <w:rsid w:val="005F305B"/>
    <w:rsid w:val="005F3361"/>
    <w:rsid w:val="005F3B1E"/>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BC7"/>
    <w:rsid w:val="00604D3F"/>
    <w:rsid w:val="0060580F"/>
    <w:rsid w:val="00605AC3"/>
    <w:rsid w:val="00606908"/>
    <w:rsid w:val="00607996"/>
    <w:rsid w:val="00607A37"/>
    <w:rsid w:val="00607E9F"/>
    <w:rsid w:val="00607F15"/>
    <w:rsid w:val="0061085E"/>
    <w:rsid w:val="00610DAF"/>
    <w:rsid w:val="00611398"/>
    <w:rsid w:val="00612322"/>
    <w:rsid w:val="006123C0"/>
    <w:rsid w:val="00613191"/>
    <w:rsid w:val="006133F9"/>
    <w:rsid w:val="006134B3"/>
    <w:rsid w:val="00613DE1"/>
    <w:rsid w:val="0061401F"/>
    <w:rsid w:val="00614166"/>
    <w:rsid w:val="006146AF"/>
    <w:rsid w:val="00614817"/>
    <w:rsid w:val="006149CC"/>
    <w:rsid w:val="006157A9"/>
    <w:rsid w:val="0061591D"/>
    <w:rsid w:val="00615ED0"/>
    <w:rsid w:val="0061604C"/>
    <w:rsid w:val="0061610B"/>
    <w:rsid w:val="00616C2B"/>
    <w:rsid w:val="006174FA"/>
    <w:rsid w:val="006178D1"/>
    <w:rsid w:val="00620719"/>
    <w:rsid w:val="006212C9"/>
    <w:rsid w:val="00621981"/>
    <w:rsid w:val="00621D0C"/>
    <w:rsid w:val="00622470"/>
    <w:rsid w:val="00622725"/>
    <w:rsid w:val="006231AA"/>
    <w:rsid w:val="00623482"/>
    <w:rsid w:val="00623AC2"/>
    <w:rsid w:val="00623E9C"/>
    <w:rsid w:val="00623FF7"/>
    <w:rsid w:val="006240EF"/>
    <w:rsid w:val="0062471F"/>
    <w:rsid w:val="00624C21"/>
    <w:rsid w:val="00625A26"/>
    <w:rsid w:val="00625F38"/>
    <w:rsid w:val="006266D7"/>
    <w:rsid w:val="00626D42"/>
    <w:rsid w:val="00626EE3"/>
    <w:rsid w:val="00626F62"/>
    <w:rsid w:val="006274AD"/>
    <w:rsid w:val="00627532"/>
    <w:rsid w:val="006302AA"/>
    <w:rsid w:val="00630921"/>
    <w:rsid w:val="006310C3"/>
    <w:rsid w:val="0063161E"/>
    <w:rsid w:val="0063167C"/>
    <w:rsid w:val="00631A31"/>
    <w:rsid w:val="00631BB5"/>
    <w:rsid w:val="00631DD0"/>
    <w:rsid w:val="0063295C"/>
    <w:rsid w:val="00633367"/>
    <w:rsid w:val="00633DBF"/>
    <w:rsid w:val="00634122"/>
    <w:rsid w:val="00634477"/>
    <w:rsid w:val="00634504"/>
    <w:rsid w:val="00634C03"/>
    <w:rsid w:val="006355B6"/>
    <w:rsid w:val="00635E32"/>
    <w:rsid w:val="006365DE"/>
    <w:rsid w:val="00636BE4"/>
    <w:rsid w:val="0063746C"/>
    <w:rsid w:val="00637802"/>
    <w:rsid w:val="00637836"/>
    <w:rsid w:val="00637C26"/>
    <w:rsid w:val="00637F44"/>
    <w:rsid w:val="00640659"/>
    <w:rsid w:val="00641078"/>
    <w:rsid w:val="00641242"/>
    <w:rsid w:val="00641C4E"/>
    <w:rsid w:val="00642A32"/>
    <w:rsid w:val="006433D5"/>
    <w:rsid w:val="006438A1"/>
    <w:rsid w:val="00646B20"/>
    <w:rsid w:val="00646D0F"/>
    <w:rsid w:val="0064708F"/>
    <w:rsid w:val="00647936"/>
    <w:rsid w:val="00647A36"/>
    <w:rsid w:val="00647DCC"/>
    <w:rsid w:val="00647EFA"/>
    <w:rsid w:val="00647F14"/>
    <w:rsid w:val="00650027"/>
    <w:rsid w:val="006504EC"/>
    <w:rsid w:val="00650533"/>
    <w:rsid w:val="00650DE0"/>
    <w:rsid w:val="006513FF"/>
    <w:rsid w:val="00651B9C"/>
    <w:rsid w:val="00651C47"/>
    <w:rsid w:val="00651D98"/>
    <w:rsid w:val="00652854"/>
    <w:rsid w:val="00652D2C"/>
    <w:rsid w:val="00652E70"/>
    <w:rsid w:val="0065303A"/>
    <w:rsid w:val="00653091"/>
    <w:rsid w:val="0065339A"/>
    <w:rsid w:val="00653469"/>
    <w:rsid w:val="00653FD4"/>
    <w:rsid w:val="00654A38"/>
    <w:rsid w:val="00654B4B"/>
    <w:rsid w:val="00654B63"/>
    <w:rsid w:val="00655301"/>
    <w:rsid w:val="00655371"/>
    <w:rsid w:val="00655876"/>
    <w:rsid w:val="00656ABF"/>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555"/>
    <w:rsid w:val="00666C72"/>
    <w:rsid w:val="00666E6C"/>
    <w:rsid w:val="0066707F"/>
    <w:rsid w:val="00667781"/>
    <w:rsid w:val="00667ED8"/>
    <w:rsid w:val="0067060F"/>
    <w:rsid w:val="0067064C"/>
    <w:rsid w:val="00670B20"/>
    <w:rsid w:val="00670E12"/>
    <w:rsid w:val="0067160D"/>
    <w:rsid w:val="00672971"/>
    <w:rsid w:val="00672DE7"/>
    <w:rsid w:val="00672E80"/>
    <w:rsid w:val="006739E4"/>
    <w:rsid w:val="00673ECF"/>
    <w:rsid w:val="0067426B"/>
    <w:rsid w:val="00674A1B"/>
    <w:rsid w:val="006754F8"/>
    <w:rsid w:val="006758BE"/>
    <w:rsid w:val="00676127"/>
    <w:rsid w:val="00676AED"/>
    <w:rsid w:val="006776AC"/>
    <w:rsid w:val="00677981"/>
    <w:rsid w:val="006779B2"/>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736"/>
    <w:rsid w:val="00696A05"/>
    <w:rsid w:val="00696DCD"/>
    <w:rsid w:val="00697665"/>
    <w:rsid w:val="00697C9A"/>
    <w:rsid w:val="00697E68"/>
    <w:rsid w:val="006A0274"/>
    <w:rsid w:val="006A24B9"/>
    <w:rsid w:val="006A2A43"/>
    <w:rsid w:val="006A2BF1"/>
    <w:rsid w:val="006A2F9A"/>
    <w:rsid w:val="006A34E4"/>
    <w:rsid w:val="006A3704"/>
    <w:rsid w:val="006A3A5A"/>
    <w:rsid w:val="006A44CF"/>
    <w:rsid w:val="006A457D"/>
    <w:rsid w:val="006A4749"/>
    <w:rsid w:val="006A48BB"/>
    <w:rsid w:val="006A55EE"/>
    <w:rsid w:val="006A575B"/>
    <w:rsid w:val="006A59DE"/>
    <w:rsid w:val="006A63EB"/>
    <w:rsid w:val="006A6655"/>
    <w:rsid w:val="006A6803"/>
    <w:rsid w:val="006A687C"/>
    <w:rsid w:val="006A6B0B"/>
    <w:rsid w:val="006A6BF9"/>
    <w:rsid w:val="006A6F85"/>
    <w:rsid w:val="006A7CB5"/>
    <w:rsid w:val="006A7FD0"/>
    <w:rsid w:val="006B025C"/>
    <w:rsid w:val="006B16D3"/>
    <w:rsid w:val="006B2534"/>
    <w:rsid w:val="006B2CB2"/>
    <w:rsid w:val="006B347D"/>
    <w:rsid w:val="006B3E19"/>
    <w:rsid w:val="006B4488"/>
    <w:rsid w:val="006B671C"/>
    <w:rsid w:val="006B67AC"/>
    <w:rsid w:val="006B6A25"/>
    <w:rsid w:val="006B7285"/>
    <w:rsid w:val="006B786A"/>
    <w:rsid w:val="006B7E4E"/>
    <w:rsid w:val="006C003A"/>
    <w:rsid w:val="006C1C1B"/>
    <w:rsid w:val="006C1EE7"/>
    <w:rsid w:val="006C2454"/>
    <w:rsid w:val="006C2551"/>
    <w:rsid w:val="006C3746"/>
    <w:rsid w:val="006C37CA"/>
    <w:rsid w:val="006C3889"/>
    <w:rsid w:val="006C40B7"/>
    <w:rsid w:val="006C40D2"/>
    <w:rsid w:val="006C5B15"/>
    <w:rsid w:val="006C5D32"/>
    <w:rsid w:val="006C5DCB"/>
    <w:rsid w:val="006C70C4"/>
    <w:rsid w:val="006C775C"/>
    <w:rsid w:val="006C7F5E"/>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A60"/>
    <w:rsid w:val="006D7D1F"/>
    <w:rsid w:val="006D7D8A"/>
    <w:rsid w:val="006E0572"/>
    <w:rsid w:val="006E05D8"/>
    <w:rsid w:val="006E08EE"/>
    <w:rsid w:val="006E0DFD"/>
    <w:rsid w:val="006E1130"/>
    <w:rsid w:val="006E155A"/>
    <w:rsid w:val="006E3452"/>
    <w:rsid w:val="006E39D1"/>
    <w:rsid w:val="006E437F"/>
    <w:rsid w:val="006E4D5B"/>
    <w:rsid w:val="006E5195"/>
    <w:rsid w:val="006E602F"/>
    <w:rsid w:val="006E6720"/>
    <w:rsid w:val="006E68FA"/>
    <w:rsid w:val="006E7275"/>
    <w:rsid w:val="006E77B8"/>
    <w:rsid w:val="006E7824"/>
    <w:rsid w:val="006F15CC"/>
    <w:rsid w:val="006F1EED"/>
    <w:rsid w:val="006F3BDD"/>
    <w:rsid w:val="006F4147"/>
    <w:rsid w:val="006F4315"/>
    <w:rsid w:val="006F4478"/>
    <w:rsid w:val="006F458D"/>
    <w:rsid w:val="006F4A6D"/>
    <w:rsid w:val="006F4CB0"/>
    <w:rsid w:val="006F4F78"/>
    <w:rsid w:val="006F547E"/>
    <w:rsid w:val="006F5656"/>
    <w:rsid w:val="006F5CA8"/>
    <w:rsid w:val="006F5CCF"/>
    <w:rsid w:val="006F6A47"/>
    <w:rsid w:val="006F772B"/>
    <w:rsid w:val="006F78DC"/>
    <w:rsid w:val="006F7E39"/>
    <w:rsid w:val="00700D5F"/>
    <w:rsid w:val="0070138A"/>
    <w:rsid w:val="0070157E"/>
    <w:rsid w:val="007030D4"/>
    <w:rsid w:val="0070317C"/>
    <w:rsid w:val="00703279"/>
    <w:rsid w:val="007032BF"/>
    <w:rsid w:val="00703B61"/>
    <w:rsid w:val="00703B97"/>
    <w:rsid w:val="00703E11"/>
    <w:rsid w:val="00704102"/>
    <w:rsid w:val="0070461C"/>
    <w:rsid w:val="00705631"/>
    <w:rsid w:val="00705818"/>
    <w:rsid w:val="00705F62"/>
    <w:rsid w:val="0070773F"/>
    <w:rsid w:val="00707903"/>
    <w:rsid w:val="00707ED3"/>
    <w:rsid w:val="00710091"/>
    <w:rsid w:val="007101B7"/>
    <w:rsid w:val="00710668"/>
    <w:rsid w:val="007110F4"/>
    <w:rsid w:val="007112B1"/>
    <w:rsid w:val="0071130F"/>
    <w:rsid w:val="007119BD"/>
    <w:rsid w:val="00711EE1"/>
    <w:rsid w:val="00712714"/>
    <w:rsid w:val="007128E3"/>
    <w:rsid w:val="007129AB"/>
    <w:rsid w:val="00712ABF"/>
    <w:rsid w:val="00712B63"/>
    <w:rsid w:val="007130E7"/>
    <w:rsid w:val="00713526"/>
    <w:rsid w:val="00713D6A"/>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17D81"/>
    <w:rsid w:val="007210A9"/>
    <w:rsid w:val="00721BFF"/>
    <w:rsid w:val="00722376"/>
    <w:rsid w:val="00722FD8"/>
    <w:rsid w:val="007236C4"/>
    <w:rsid w:val="00723B59"/>
    <w:rsid w:val="00724635"/>
    <w:rsid w:val="0072554B"/>
    <w:rsid w:val="00725AFD"/>
    <w:rsid w:val="00725F81"/>
    <w:rsid w:val="00726603"/>
    <w:rsid w:val="0072737B"/>
    <w:rsid w:val="00727DDC"/>
    <w:rsid w:val="0073000A"/>
    <w:rsid w:val="00730CD6"/>
    <w:rsid w:val="00730F74"/>
    <w:rsid w:val="0073114B"/>
    <w:rsid w:val="00734414"/>
    <w:rsid w:val="00734952"/>
    <w:rsid w:val="00734990"/>
    <w:rsid w:val="00734FF5"/>
    <w:rsid w:val="00735761"/>
    <w:rsid w:val="00735B78"/>
    <w:rsid w:val="00735DA7"/>
    <w:rsid w:val="007367B7"/>
    <w:rsid w:val="007368B4"/>
    <w:rsid w:val="007378E0"/>
    <w:rsid w:val="00737C5C"/>
    <w:rsid w:val="0074026F"/>
    <w:rsid w:val="00740529"/>
    <w:rsid w:val="00740A6C"/>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23A"/>
    <w:rsid w:val="00746420"/>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2ABF"/>
    <w:rsid w:val="007537BD"/>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05F"/>
    <w:rsid w:val="0076167B"/>
    <w:rsid w:val="007616DB"/>
    <w:rsid w:val="0076200D"/>
    <w:rsid w:val="0076228A"/>
    <w:rsid w:val="00762440"/>
    <w:rsid w:val="0076260A"/>
    <w:rsid w:val="007629B7"/>
    <w:rsid w:val="00762E60"/>
    <w:rsid w:val="007634AD"/>
    <w:rsid w:val="00763527"/>
    <w:rsid w:val="0076387E"/>
    <w:rsid w:val="00764996"/>
    <w:rsid w:val="0076522C"/>
    <w:rsid w:val="00766ECC"/>
    <w:rsid w:val="007672F3"/>
    <w:rsid w:val="007676A9"/>
    <w:rsid w:val="007677B5"/>
    <w:rsid w:val="007678B1"/>
    <w:rsid w:val="00770317"/>
    <w:rsid w:val="007708A8"/>
    <w:rsid w:val="007720F7"/>
    <w:rsid w:val="00772275"/>
    <w:rsid w:val="00773350"/>
    <w:rsid w:val="00773484"/>
    <w:rsid w:val="007734E4"/>
    <w:rsid w:val="0077380D"/>
    <w:rsid w:val="0077393F"/>
    <w:rsid w:val="00773BC8"/>
    <w:rsid w:val="0077466F"/>
    <w:rsid w:val="007752B7"/>
    <w:rsid w:val="007759A8"/>
    <w:rsid w:val="00775D98"/>
    <w:rsid w:val="00776FE5"/>
    <w:rsid w:val="00777101"/>
    <w:rsid w:val="007774E7"/>
    <w:rsid w:val="0077768C"/>
    <w:rsid w:val="00777696"/>
    <w:rsid w:val="00777E63"/>
    <w:rsid w:val="00777F46"/>
    <w:rsid w:val="00777FF4"/>
    <w:rsid w:val="00780251"/>
    <w:rsid w:val="007804FE"/>
    <w:rsid w:val="00780F32"/>
    <w:rsid w:val="0078122E"/>
    <w:rsid w:val="00781939"/>
    <w:rsid w:val="00781D29"/>
    <w:rsid w:val="00782354"/>
    <w:rsid w:val="007825EF"/>
    <w:rsid w:val="007827B0"/>
    <w:rsid w:val="0078286B"/>
    <w:rsid w:val="00782D2C"/>
    <w:rsid w:val="00782FC2"/>
    <w:rsid w:val="007838B5"/>
    <w:rsid w:val="00784FC4"/>
    <w:rsid w:val="00785BBB"/>
    <w:rsid w:val="00786FAD"/>
    <w:rsid w:val="007873C9"/>
    <w:rsid w:val="00787D90"/>
    <w:rsid w:val="00787F5E"/>
    <w:rsid w:val="00790164"/>
    <w:rsid w:val="007906E2"/>
    <w:rsid w:val="00790A24"/>
    <w:rsid w:val="00790A37"/>
    <w:rsid w:val="00790A60"/>
    <w:rsid w:val="00790CE2"/>
    <w:rsid w:val="0079146D"/>
    <w:rsid w:val="007917AD"/>
    <w:rsid w:val="00791C32"/>
    <w:rsid w:val="00791E08"/>
    <w:rsid w:val="00791FF0"/>
    <w:rsid w:val="007923D0"/>
    <w:rsid w:val="00792E1A"/>
    <w:rsid w:val="0079302C"/>
    <w:rsid w:val="007930D3"/>
    <w:rsid w:val="0079381F"/>
    <w:rsid w:val="00793B2E"/>
    <w:rsid w:val="007942C3"/>
    <w:rsid w:val="007943FC"/>
    <w:rsid w:val="007948F5"/>
    <w:rsid w:val="00795647"/>
    <w:rsid w:val="007963F6"/>
    <w:rsid w:val="00796418"/>
    <w:rsid w:val="00796485"/>
    <w:rsid w:val="00796576"/>
    <w:rsid w:val="00796E80"/>
    <w:rsid w:val="007977F1"/>
    <w:rsid w:val="007979AD"/>
    <w:rsid w:val="00797A9C"/>
    <w:rsid w:val="007A0EAB"/>
    <w:rsid w:val="007A2159"/>
    <w:rsid w:val="007A2341"/>
    <w:rsid w:val="007A31F6"/>
    <w:rsid w:val="007A38A1"/>
    <w:rsid w:val="007A3967"/>
    <w:rsid w:val="007A3BBE"/>
    <w:rsid w:val="007A4629"/>
    <w:rsid w:val="007A4766"/>
    <w:rsid w:val="007A5816"/>
    <w:rsid w:val="007A5947"/>
    <w:rsid w:val="007A6D9B"/>
    <w:rsid w:val="007B00D8"/>
    <w:rsid w:val="007B0313"/>
    <w:rsid w:val="007B05FB"/>
    <w:rsid w:val="007B0854"/>
    <w:rsid w:val="007B0E48"/>
    <w:rsid w:val="007B18FD"/>
    <w:rsid w:val="007B1D1B"/>
    <w:rsid w:val="007B1D1E"/>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00B"/>
    <w:rsid w:val="007B7992"/>
    <w:rsid w:val="007B7EA2"/>
    <w:rsid w:val="007C025A"/>
    <w:rsid w:val="007C081B"/>
    <w:rsid w:val="007C097D"/>
    <w:rsid w:val="007C0C17"/>
    <w:rsid w:val="007C13FA"/>
    <w:rsid w:val="007C1672"/>
    <w:rsid w:val="007C2AD3"/>
    <w:rsid w:val="007C2E91"/>
    <w:rsid w:val="007C312A"/>
    <w:rsid w:val="007C3570"/>
    <w:rsid w:val="007C3F3B"/>
    <w:rsid w:val="007C4241"/>
    <w:rsid w:val="007C4630"/>
    <w:rsid w:val="007C55FF"/>
    <w:rsid w:val="007C6339"/>
    <w:rsid w:val="007C6EC5"/>
    <w:rsid w:val="007C7C43"/>
    <w:rsid w:val="007C7F0D"/>
    <w:rsid w:val="007D0D03"/>
    <w:rsid w:val="007D1134"/>
    <w:rsid w:val="007D20CF"/>
    <w:rsid w:val="007D23F7"/>
    <w:rsid w:val="007D2566"/>
    <w:rsid w:val="007D2C18"/>
    <w:rsid w:val="007D2D74"/>
    <w:rsid w:val="007D333D"/>
    <w:rsid w:val="007D3395"/>
    <w:rsid w:val="007D33A0"/>
    <w:rsid w:val="007D3693"/>
    <w:rsid w:val="007D3C6D"/>
    <w:rsid w:val="007D409B"/>
    <w:rsid w:val="007D481A"/>
    <w:rsid w:val="007D5402"/>
    <w:rsid w:val="007D5648"/>
    <w:rsid w:val="007D58C5"/>
    <w:rsid w:val="007D5DE8"/>
    <w:rsid w:val="007D7503"/>
    <w:rsid w:val="007D7C53"/>
    <w:rsid w:val="007D7CFC"/>
    <w:rsid w:val="007D7FFC"/>
    <w:rsid w:val="007E0812"/>
    <w:rsid w:val="007E16A4"/>
    <w:rsid w:val="007E18DF"/>
    <w:rsid w:val="007E2A04"/>
    <w:rsid w:val="007E2C36"/>
    <w:rsid w:val="007E2F33"/>
    <w:rsid w:val="007E342A"/>
    <w:rsid w:val="007E350D"/>
    <w:rsid w:val="007E5C4A"/>
    <w:rsid w:val="007E64D4"/>
    <w:rsid w:val="007E66E9"/>
    <w:rsid w:val="007E69F2"/>
    <w:rsid w:val="007E7432"/>
    <w:rsid w:val="007E74BF"/>
    <w:rsid w:val="007E79BA"/>
    <w:rsid w:val="007F14D3"/>
    <w:rsid w:val="007F1C15"/>
    <w:rsid w:val="007F1C42"/>
    <w:rsid w:val="007F1D9D"/>
    <w:rsid w:val="007F1E28"/>
    <w:rsid w:val="007F1F63"/>
    <w:rsid w:val="007F21D8"/>
    <w:rsid w:val="007F22A0"/>
    <w:rsid w:val="007F28FB"/>
    <w:rsid w:val="007F2F90"/>
    <w:rsid w:val="007F3320"/>
    <w:rsid w:val="007F392A"/>
    <w:rsid w:val="007F3AC1"/>
    <w:rsid w:val="007F48FA"/>
    <w:rsid w:val="007F4976"/>
    <w:rsid w:val="007F49EE"/>
    <w:rsid w:val="007F5A56"/>
    <w:rsid w:val="007F5F90"/>
    <w:rsid w:val="007F616E"/>
    <w:rsid w:val="007F665F"/>
    <w:rsid w:val="007F6B46"/>
    <w:rsid w:val="007F72CB"/>
    <w:rsid w:val="007F736A"/>
    <w:rsid w:val="007F75F1"/>
    <w:rsid w:val="007F7635"/>
    <w:rsid w:val="007F785F"/>
    <w:rsid w:val="007F7AF6"/>
    <w:rsid w:val="007F7E36"/>
    <w:rsid w:val="007F7E6A"/>
    <w:rsid w:val="008002BF"/>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07FF6"/>
    <w:rsid w:val="008100EC"/>
    <w:rsid w:val="008100F7"/>
    <w:rsid w:val="00810206"/>
    <w:rsid w:val="008104E6"/>
    <w:rsid w:val="00811898"/>
    <w:rsid w:val="008120C4"/>
    <w:rsid w:val="008124D8"/>
    <w:rsid w:val="0081323E"/>
    <w:rsid w:val="00813A7B"/>
    <w:rsid w:val="00813F04"/>
    <w:rsid w:val="00814B72"/>
    <w:rsid w:val="00814D88"/>
    <w:rsid w:val="008150B1"/>
    <w:rsid w:val="00815251"/>
    <w:rsid w:val="00815A07"/>
    <w:rsid w:val="00815C82"/>
    <w:rsid w:val="00815DA5"/>
    <w:rsid w:val="00816221"/>
    <w:rsid w:val="0081725D"/>
    <w:rsid w:val="0081766B"/>
    <w:rsid w:val="00820406"/>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4BF3"/>
    <w:rsid w:val="00825240"/>
    <w:rsid w:val="00825B43"/>
    <w:rsid w:val="0082629D"/>
    <w:rsid w:val="008264B1"/>
    <w:rsid w:val="00827203"/>
    <w:rsid w:val="0082767A"/>
    <w:rsid w:val="00827CC0"/>
    <w:rsid w:val="008309D9"/>
    <w:rsid w:val="00831026"/>
    <w:rsid w:val="0083119B"/>
    <w:rsid w:val="00831654"/>
    <w:rsid w:val="00831BAE"/>
    <w:rsid w:val="00832216"/>
    <w:rsid w:val="00832CD0"/>
    <w:rsid w:val="00832FDC"/>
    <w:rsid w:val="00833430"/>
    <w:rsid w:val="0083383D"/>
    <w:rsid w:val="00834128"/>
    <w:rsid w:val="0083417F"/>
    <w:rsid w:val="00835143"/>
    <w:rsid w:val="008351F8"/>
    <w:rsid w:val="00835741"/>
    <w:rsid w:val="00836404"/>
    <w:rsid w:val="00836E74"/>
    <w:rsid w:val="00836EAB"/>
    <w:rsid w:val="00837673"/>
    <w:rsid w:val="00837937"/>
    <w:rsid w:val="00837D82"/>
    <w:rsid w:val="00840893"/>
    <w:rsid w:val="008409EC"/>
    <w:rsid w:val="00840E88"/>
    <w:rsid w:val="0084195A"/>
    <w:rsid w:val="008423EC"/>
    <w:rsid w:val="00842FA8"/>
    <w:rsid w:val="0084332E"/>
    <w:rsid w:val="00843615"/>
    <w:rsid w:val="00843698"/>
    <w:rsid w:val="00843A4B"/>
    <w:rsid w:val="00843B57"/>
    <w:rsid w:val="00843B60"/>
    <w:rsid w:val="00843D33"/>
    <w:rsid w:val="00844D4F"/>
    <w:rsid w:val="00845AE3"/>
    <w:rsid w:val="008466A0"/>
    <w:rsid w:val="00846D1D"/>
    <w:rsid w:val="00847535"/>
    <w:rsid w:val="00847744"/>
    <w:rsid w:val="00847804"/>
    <w:rsid w:val="00847B6D"/>
    <w:rsid w:val="00847FFA"/>
    <w:rsid w:val="0085092D"/>
    <w:rsid w:val="00850D82"/>
    <w:rsid w:val="00850F79"/>
    <w:rsid w:val="0085100B"/>
    <w:rsid w:val="0085304C"/>
    <w:rsid w:val="00853973"/>
    <w:rsid w:val="00853B5D"/>
    <w:rsid w:val="00853C4A"/>
    <w:rsid w:val="00854853"/>
    <w:rsid w:val="008548CA"/>
    <w:rsid w:val="00856C06"/>
    <w:rsid w:val="0085790B"/>
    <w:rsid w:val="00857AAC"/>
    <w:rsid w:val="00857C95"/>
    <w:rsid w:val="00857E78"/>
    <w:rsid w:val="00860AEF"/>
    <w:rsid w:val="0086122C"/>
    <w:rsid w:val="00861310"/>
    <w:rsid w:val="00861B7B"/>
    <w:rsid w:val="00861F0F"/>
    <w:rsid w:val="00861F53"/>
    <w:rsid w:val="0086289E"/>
    <w:rsid w:val="008633D3"/>
    <w:rsid w:val="008633D8"/>
    <w:rsid w:val="00863413"/>
    <w:rsid w:val="0086394E"/>
    <w:rsid w:val="00863F8A"/>
    <w:rsid w:val="00863FE3"/>
    <w:rsid w:val="00864241"/>
    <w:rsid w:val="0086468A"/>
    <w:rsid w:val="00864CD5"/>
    <w:rsid w:val="008650BE"/>
    <w:rsid w:val="00865127"/>
    <w:rsid w:val="008657C6"/>
    <w:rsid w:val="00865A16"/>
    <w:rsid w:val="0086633B"/>
    <w:rsid w:val="00866495"/>
    <w:rsid w:val="00866931"/>
    <w:rsid w:val="00866FEF"/>
    <w:rsid w:val="00867326"/>
    <w:rsid w:val="0086737F"/>
    <w:rsid w:val="00867512"/>
    <w:rsid w:val="00867624"/>
    <w:rsid w:val="0087033C"/>
    <w:rsid w:val="00870B44"/>
    <w:rsid w:val="008712E8"/>
    <w:rsid w:val="008715ED"/>
    <w:rsid w:val="008717D8"/>
    <w:rsid w:val="00871E3C"/>
    <w:rsid w:val="0087213A"/>
    <w:rsid w:val="00872B54"/>
    <w:rsid w:val="00872F97"/>
    <w:rsid w:val="00873863"/>
    <w:rsid w:val="0087392A"/>
    <w:rsid w:val="00874607"/>
    <w:rsid w:val="00874915"/>
    <w:rsid w:val="00874B89"/>
    <w:rsid w:val="008752DA"/>
    <w:rsid w:val="00875403"/>
    <w:rsid w:val="00875434"/>
    <w:rsid w:val="00875C2F"/>
    <w:rsid w:val="00875E7C"/>
    <w:rsid w:val="00876215"/>
    <w:rsid w:val="0087646C"/>
    <w:rsid w:val="00876815"/>
    <w:rsid w:val="00877932"/>
    <w:rsid w:val="008807F0"/>
    <w:rsid w:val="008808C7"/>
    <w:rsid w:val="0088106B"/>
    <w:rsid w:val="0088107D"/>
    <w:rsid w:val="008812E2"/>
    <w:rsid w:val="00881596"/>
    <w:rsid w:val="0088168A"/>
    <w:rsid w:val="00881E64"/>
    <w:rsid w:val="00882A3F"/>
    <w:rsid w:val="00882E39"/>
    <w:rsid w:val="0088497E"/>
    <w:rsid w:val="008850E3"/>
    <w:rsid w:val="008850EB"/>
    <w:rsid w:val="00885D6C"/>
    <w:rsid w:val="00886DF2"/>
    <w:rsid w:val="00886FB9"/>
    <w:rsid w:val="00887080"/>
    <w:rsid w:val="00887281"/>
    <w:rsid w:val="00887BC5"/>
    <w:rsid w:val="00887C79"/>
    <w:rsid w:val="008907CC"/>
    <w:rsid w:val="00890F8E"/>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5C08"/>
    <w:rsid w:val="00895FD3"/>
    <w:rsid w:val="0089606D"/>
    <w:rsid w:val="00896129"/>
    <w:rsid w:val="008965DF"/>
    <w:rsid w:val="0089774F"/>
    <w:rsid w:val="00897875"/>
    <w:rsid w:val="00897B2E"/>
    <w:rsid w:val="00897B8F"/>
    <w:rsid w:val="008A00D8"/>
    <w:rsid w:val="008A00D9"/>
    <w:rsid w:val="008A07D5"/>
    <w:rsid w:val="008A20C5"/>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3A08"/>
    <w:rsid w:val="008B45B9"/>
    <w:rsid w:val="008B47A6"/>
    <w:rsid w:val="008B6649"/>
    <w:rsid w:val="008B672C"/>
    <w:rsid w:val="008B7611"/>
    <w:rsid w:val="008C036D"/>
    <w:rsid w:val="008C0743"/>
    <w:rsid w:val="008C0B4C"/>
    <w:rsid w:val="008C11F0"/>
    <w:rsid w:val="008C1DBA"/>
    <w:rsid w:val="008C20B8"/>
    <w:rsid w:val="008C24E7"/>
    <w:rsid w:val="008C2500"/>
    <w:rsid w:val="008C2792"/>
    <w:rsid w:val="008C2CAC"/>
    <w:rsid w:val="008C3E2A"/>
    <w:rsid w:val="008C3FFC"/>
    <w:rsid w:val="008C45BD"/>
    <w:rsid w:val="008C4B19"/>
    <w:rsid w:val="008C5295"/>
    <w:rsid w:val="008C5485"/>
    <w:rsid w:val="008C568F"/>
    <w:rsid w:val="008C62D4"/>
    <w:rsid w:val="008C6644"/>
    <w:rsid w:val="008C6924"/>
    <w:rsid w:val="008C6B89"/>
    <w:rsid w:val="008C6DE3"/>
    <w:rsid w:val="008D09E3"/>
    <w:rsid w:val="008D18AA"/>
    <w:rsid w:val="008D1A16"/>
    <w:rsid w:val="008D1A2A"/>
    <w:rsid w:val="008D29B1"/>
    <w:rsid w:val="008D2EB5"/>
    <w:rsid w:val="008D30D2"/>
    <w:rsid w:val="008D35D9"/>
    <w:rsid w:val="008D3B85"/>
    <w:rsid w:val="008D4527"/>
    <w:rsid w:val="008D462D"/>
    <w:rsid w:val="008D51F2"/>
    <w:rsid w:val="008D66CA"/>
    <w:rsid w:val="008D69B1"/>
    <w:rsid w:val="008D7338"/>
    <w:rsid w:val="008E0012"/>
    <w:rsid w:val="008E0DF7"/>
    <w:rsid w:val="008E0FAD"/>
    <w:rsid w:val="008E1347"/>
    <w:rsid w:val="008E16E0"/>
    <w:rsid w:val="008E1836"/>
    <w:rsid w:val="008E1C15"/>
    <w:rsid w:val="008E1C9A"/>
    <w:rsid w:val="008E23C7"/>
    <w:rsid w:val="008E28BD"/>
    <w:rsid w:val="008E38B4"/>
    <w:rsid w:val="008E3BA4"/>
    <w:rsid w:val="008E41C4"/>
    <w:rsid w:val="008E44AB"/>
    <w:rsid w:val="008E5179"/>
    <w:rsid w:val="008E6598"/>
    <w:rsid w:val="008E6A17"/>
    <w:rsid w:val="008E71A8"/>
    <w:rsid w:val="008E7214"/>
    <w:rsid w:val="008E7348"/>
    <w:rsid w:val="008E7884"/>
    <w:rsid w:val="008E7D6E"/>
    <w:rsid w:val="008F0737"/>
    <w:rsid w:val="008F1056"/>
    <w:rsid w:val="008F293D"/>
    <w:rsid w:val="008F2A43"/>
    <w:rsid w:val="008F2E8D"/>
    <w:rsid w:val="008F3374"/>
    <w:rsid w:val="008F387B"/>
    <w:rsid w:val="008F3DD9"/>
    <w:rsid w:val="008F4814"/>
    <w:rsid w:val="008F4B91"/>
    <w:rsid w:val="008F4DA6"/>
    <w:rsid w:val="008F538E"/>
    <w:rsid w:val="008F59B4"/>
    <w:rsid w:val="008F5A20"/>
    <w:rsid w:val="008F5ABA"/>
    <w:rsid w:val="008F6CF9"/>
    <w:rsid w:val="008F78EC"/>
    <w:rsid w:val="008F7905"/>
    <w:rsid w:val="008F7989"/>
    <w:rsid w:val="00901768"/>
    <w:rsid w:val="00901EEF"/>
    <w:rsid w:val="009026AF"/>
    <w:rsid w:val="009028E8"/>
    <w:rsid w:val="00902E5C"/>
    <w:rsid w:val="0090350D"/>
    <w:rsid w:val="009039EB"/>
    <w:rsid w:val="009046E5"/>
    <w:rsid w:val="009047C5"/>
    <w:rsid w:val="009058D1"/>
    <w:rsid w:val="00905C04"/>
    <w:rsid w:val="00905FA3"/>
    <w:rsid w:val="00906BE2"/>
    <w:rsid w:val="009070AA"/>
    <w:rsid w:val="00907203"/>
    <w:rsid w:val="00910683"/>
    <w:rsid w:val="00910AB1"/>
    <w:rsid w:val="00910E00"/>
    <w:rsid w:val="009111AE"/>
    <w:rsid w:val="009116CE"/>
    <w:rsid w:val="00911714"/>
    <w:rsid w:val="00911A5B"/>
    <w:rsid w:val="0091244B"/>
    <w:rsid w:val="00912AED"/>
    <w:rsid w:val="009136D4"/>
    <w:rsid w:val="00913857"/>
    <w:rsid w:val="00914B9A"/>
    <w:rsid w:val="00914C3F"/>
    <w:rsid w:val="00914DEF"/>
    <w:rsid w:val="00914F33"/>
    <w:rsid w:val="009153F6"/>
    <w:rsid w:val="00915FCE"/>
    <w:rsid w:val="00916847"/>
    <w:rsid w:val="00916AFE"/>
    <w:rsid w:val="00916FC8"/>
    <w:rsid w:val="009170D3"/>
    <w:rsid w:val="0091759C"/>
    <w:rsid w:val="00917910"/>
    <w:rsid w:val="00920026"/>
    <w:rsid w:val="0092032F"/>
    <w:rsid w:val="009203E2"/>
    <w:rsid w:val="00921304"/>
    <w:rsid w:val="00921805"/>
    <w:rsid w:val="00921BA7"/>
    <w:rsid w:val="00923396"/>
    <w:rsid w:val="00923F56"/>
    <w:rsid w:val="00923FA6"/>
    <w:rsid w:val="009246C4"/>
    <w:rsid w:val="00925743"/>
    <w:rsid w:val="0092579F"/>
    <w:rsid w:val="00927E8D"/>
    <w:rsid w:val="00927F23"/>
    <w:rsid w:val="00930698"/>
    <w:rsid w:val="00930727"/>
    <w:rsid w:val="009307CD"/>
    <w:rsid w:val="00930C81"/>
    <w:rsid w:val="00931059"/>
    <w:rsid w:val="009311D1"/>
    <w:rsid w:val="00931451"/>
    <w:rsid w:val="009314FA"/>
    <w:rsid w:val="0093194F"/>
    <w:rsid w:val="00931BF3"/>
    <w:rsid w:val="00931C55"/>
    <w:rsid w:val="009330BE"/>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47E6"/>
    <w:rsid w:val="009449F9"/>
    <w:rsid w:val="00945006"/>
    <w:rsid w:val="009451CE"/>
    <w:rsid w:val="00945812"/>
    <w:rsid w:val="00945C38"/>
    <w:rsid w:val="00945E18"/>
    <w:rsid w:val="009460F9"/>
    <w:rsid w:val="00946A24"/>
    <w:rsid w:val="009470D4"/>
    <w:rsid w:val="00947337"/>
    <w:rsid w:val="00947AA9"/>
    <w:rsid w:val="009512FA"/>
    <w:rsid w:val="00951E57"/>
    <w:rsid w:val="00953018"/>
    <w:rsid w:val="009533E2"/>
    <w:rsid w:val="00953554"/>
    <w:rsid w:val="0095385A"/>
    <w:rsid w:val="00953928"/>
    <w:rsid w:val="009540F0"/>
    <w:rsid w:val="00955163"/>
    <w:rsid w:val="00955463"/>
    <w:rsid w:val="00955906"/>
    <w:rsid w:val="00955978"/>
    <w:rsid w:val="00957010"/>
    <w:rsid w:val="009574FE"/>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F47"/>
    <w:rsid w:val="009631BD"/>
    <w:rsid w:val="00964138"/>
    <w:rsid w:val="00964B3F"/>
    <w:rsid w:val="00964C98"/>
    <w:rsid w:val="00964D5B"/>
    <w:rsid w:val="00964E0A"/>
    <w:rsid w:val="00965FF8"/>
    <w:rsid w:val="00966214"/>
    <w:rsid w:val="00971441"/>
    <w:rsid w:val="009715D4"/>
    <w:rsid w:val="00971AC8"/>
    <w:rsid w:val="00972470"/>
    <w:rsid w:val="009739A9"/>
    <w:rsid w:val="00973AA2"/>
    <w:rsid w:val="00973DF6"/>
    <w:rsid w:val="0097494E"/>
    <w:rsid w:val="00974B58"/>
    <w:rsid w:val="00975140"/>
    <w:rsid w:val="00975DA3"/>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716"/>
    <w:rsid w:val="00987C77"/>
    <w:rsid w:val="00990345"/>
    <w:rsid w:val="00990701"/>
    <w:rsid w:val="0099090B"/>
    <w:rsid w:val="00990BC7"/>
    <w:rsid w:val="0099119C"/>
    <w:rsid w:val="0099137A"/>
    <w:rsid w:val="00991805"/>
    <w:rsid w:val="0099211C"/>
    <w:rsid w:val="00993158"/>
    <w:rsid w:val="00993B78"/>
    <w:rsid w:val="0099483A"/>
    <w:rsid w:val="00995119"/>
    <w:rsid w:val="009953AD"/>
    <w:rsid w:val="00995503"/>
    <w:rsid w:val="0099583D"/>
    <w:rsid w:val="00995B7C"/>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0D1"/>
    <w:rsid w:val="009A6CA7"/>
    <w:rsid w:val="009A6FDF"/>
    <w:rsid w:val="009A76D6"/>
    <w:rsid w:val="009B01D3"/>
    <w:rsid w:val="009B0522"/>
    <w:rsid w:val="009B087E"/>
    <w:rsid w:val="009B199E"/>
    <w:rsid w:val="009B257D"/>
    <w:rsid w:val="009B27AC"/>
    <w:rsid w:val="009B2E29"/>
    <w:rsid w:val="009B3163"/>
    <w:rsid w:val="009B422F"/>
    <w:rsid w:val="009B46BC"/>
    <w:rsid w:val="009B4D1A"/>
    <w:rsid w:val="009B527F"/>
    <w:rsid w:val="009B558B"/>
    <w:rsid w:val="009B6801"/>
    <w:rsid w:val="009B68DD"/>
    <w:rsid w:val="009B6D21"/>
    <w:rsid w:val="009B7266"/>
    <w:rsid w:val="009B78BD"/>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476A"/>
    <w:rsid w:val="009E4E05"/>
    <w:rsid w:val="009E52D9"/>
    <w:rsid w:val="009E53D7"/>
    <w:rsid w:val="009E56FF"/>
    <w:rsid w:val="009E5CB1"/>
    <w:rsid w:val="009E5E56"/>
    <w:rsid w:val="009E61EA"/>
    <w:rsid w:val="009E6990"/>
    <w:rsid w:val="009E6FEE"/>
    <w:rsid w:val="009F060F"/>
    <w:rsid w:val="009F0781"/>
    <w:rsid w:val="009F0850"/>
    <w:rsid w:val="009F0D40"/>
    <w:rsid w:val="009F11B2"/>
    <w:rsid w:val="009F1BDF"/>
    <w:rsid w:val="009F1EAE"/>
    <w:rsid w:val="009F29A5"/>
    <w:rsid w:val="009F369D"/>
    <w:rsid w:val="009F36FE"/>
    <w:rsid w:val="009F46A9"/>
    <w:rsid w:val="009F4F25"/>
    <w:rsid w:val="009F507A"/>
    <w:rsid w:val="009F59C2"/>
    <w:rsid w:val="009F61DE"/>
    <w:rsid w:val="009F6798"/>
    <w:rsid w:val="009F7263"/>
    <w:rsid w:val="009F74FA"/>
    <w:rsid w:val="009F76EA"/>
    <w:rsid w:val="009F78EB"/>
    <w:rsid w:val="009F7D10"/>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091"/>
    <w:rsid w:val="00A12355"/>
    <w:rsid w:val="00A12384"/>
    <w:rsid w:val="00A127A3"/>
    <w:rsid w:val="00A127D2"/>
    <w:rsid w:val="00A12ADA"/>
    <w:rsid w:val="00A12E91"/>
    <w:rsid w:val="00A143EC"/>
    <w:rsid w:val="00A14A60"/>
    <w:rsid w:val="00A1500F"/>
    <w:rsid w:val="00A15621"/>
    <w:rsid w:val="00A15670"/>
    <w:rsid w:val="00A157A0"/>
    <w:rsid w:val="00A1585B"/>
    <w:rsid w:val="00A15BBC"/>
    <w:rsid w:val="00A15C19"/>
    <w:rsid w:val="00A1656E"/>
    <w:rsid w:val="00A16809"/>
    <w:rsid w:val="00A17769"/>
    <w:rsid w:val="00A17EA2"/>
    <w:rsid w:val="00A20264"/>
    <w:rsid w:val="00A20997"/>
    <w:rsid w:val="00A21454"/>
    <w:rsid w:val="00A22025"/>
    <w:rsid w:val="00A220AB"/>
    <w:rsid w:val="00A22498"/>
    <w:rsid w:val="00A22571"/>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6DDC"/>
    <w:rsid w:val="00A37407"/>
    <w:rsid w:val="00A37E73"/>
    <w:rsid w:val="00A37FB6"/>
    <w:rsid w:val="00A4006F"/>
    <w:rsid w:val="00A4104A"/>
    <w:rsid w:val="00A41081"/>
    <w:rsid w:val="00A411CA"/>
    <w:rsid w:val="00A413AD"/>
    <w:rsid w:val="00A4169F"/>
    <w:rsid w:val="00A42096"/>
    <w:rsid w:val="00A421E7"/>
    <w:rsid w:val="00A426F3"/>
    <w:rsid w:val="00A42FDF"/>
    <w:rsid w:val="00A430A9"/>
    <w:rsid w:val="00A431A2"/>
    <w:rsid w:val="00A431FE"/>
    <w:rsid w:val="00A439E5"/>
    <w:rsid w:val="00A43D1B"/>
    <w:rsid w:val="00A4497A"/>
    <w:rsid w:val="00A44BE8"/>
    <w:rsid w:val="00A44C96"/>
    <w:rsid w:val="00A44F54"/>
    <w:rsid w:val="00A45F9B"/>
    <w:rsid w:val="00A461BF"/>
    <w:rsid w:val="00A46574"/>
    <w:rsid w:val="00A4657A"/>
    <w:rsid w:val="00A467C4"/>
    <w:rsid w:val="00A4777D"/>
    <w:rsid w:val="00A500B1"/>
    <w:rsid w:val="00A500F3"/>
    <w:rsid w:val="00A51520"/>
    <w:rsid w:val="00A5292D"/>
    <w:rsid w:val="00A52CC5"/>
    <w:rsid w:val="00A52D3F"/>
    <w:rsid w:val="00A52EE5"/>
    <w:rsid w:val="00A53037"/>
    <w:rsid w:val="00A532B9"/>
    <w:rsid w:val="00A5351D"/>
    <w:rsid w:val="00A53A2B"/>
    <w:rsid w:val="00A53D84"/>
    <w:rsid w:val="00A53E79"/>
    <w:rsid w:val="00A54031"/>
    <w:rsid w:val="00A5426D"/>
    <w:rsid w:val="00A54FC2"/>
    <w:rsid w:val="00A55122"/>
    <w:rsid w:val="00A5696C"/>
    <w:rsid w:val="00A56DE7"/>
    <w:rsid w:val="00A57714"/>
    <w:rsid w:val="00A57EB2"/>
    <w:rsid w:val="00A6009E"/>
    <w:rsid w:val="00A60762"/>
    <w:rsid w:val="00A60B1F"/>
    <w:rsid w:val="00A61C60"/>
    <w:rsid w:val="00A61F10"/>
    <w:rsid w:val="00A62589"/>
    <w:rsid w:val="00A62C3A"/>
    <w:rsid w:val="00A6349B"/>
    <w:rsid w:val="00A63812"/>
    <w:rsid w:val="00A63DF7"/>
    <w:rsid w:val="00A64505"/>
    <w:rsid w:val="00A65CC5"/>
    <w:rsid w:val="00A668BA"/>
    <w:rsid w:val="00A66FA7"/>
    <w:rsid w:val="00A677F6"/>
    <w:rsid w:val="00A67E16"/>
    <w:rsid w:val="00A703CC"/>
    <w:rsid w:val="00A70C5C"/>
    <w:rsid w:val="00A71E4C"/>
    <w:rsid w:val="00A71EA7"/>
    <w:rsid w:val="00A72849"/>
    <w:rsid w:val="00A730AD"/>
    <w:rsid w:val="00A733D2"/>
    <w:rsid w:val="00A73855"/>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BEF"/>
    <w:rsid w:val="00A841E1"/>
    <w:rsid w:val="00A841F5"/>
    <w:rsid w:val="00A84443"/>
    <w:rsid w:val="00A8487F"/>
    <w:rsid w:val="00A848FC"/>
    <w:rsid w:val="00A849A3"/>
    <w:rsid w:val="00A84A0E"/>
    <w:rsid w:val="00A84D7C"/>
    <w:rsid w:val="00A851FD"/>
    <w:rsid w:val="00A86B64"/>
    <w:rsid w:val="00A86E0B"/>
    <w:rsid w:val="00A9069B"/>
    <w:rsid w:val="00A90F12"/>
    <w:rsid w:val="00A9106F"/>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24FD"/>
    <w:rsid w:val="00AA3D7B"/>
    <w:rsid w:val="00AA42A0"/>
    <w:rsid w:val="00AA42E3"/>
    <w:rsid w:val="00AA442B"/>
    <w:rsid w:val="00AA46A4"/>
    <w:rsid w:val="00AA4F3D"/>
    <w:rsid w:val="00AA5196"/>
    <w:rsid w:val="00AA5687"/>
    <w:rsid w:val="00AA5779"/>
    <w:rsid w:val="00AA58A1"/>
    <w:rsid w:val="00AA61C7"/>
    <w:rsid w:val="00AA669D"/>
    <w:rsid w:val="00AA66ED"/>
    <w:rsid w:val="00AA6BE1"/>
    <w:rsid w:val="00AA7416"/>
    <w:rsid w:val="00AA7619"/>
    <w:rsid w:val="00AA7A60"/>
    <w:rsid w:val="00AA7B42"/>
    <w:rsid w:val="00AB041C"/>
    <w:rsid w:val="00AB04D6"/>
    <w:rsid w:val="00AB14E8"/>
    <w:rsid w:val="00AB17EC"/>
    <w:rsid w:val="00AB19AF"/>
    <w:rsid w:val="00AB1B1D"/>
    <w:rsid w:val="00AB2080"/>
    <w:rsid w:val="00AB2216"/>
    <w:rsid w:val="00AB2C0A"/>
    <w:rsid w:val="00AB358D"/>
    <w:rsid w:val="00AB37A1"/>
    <w:rsid w:val="00AB3BAD"/>
    <w:rsid w:val="00AB3CFD"/>
    <w:rsid w:val="00AB40C6"/>
    <w:rsid w:val="00AB49BC"/>
    <w:rsid w:val="00AB4DEE"/>
    <w:rsid w:val="00AB4E32"/>
    <w:rsid w:val="00AB579A"/>
    <w:rsid w:val="00AB5BC4"/>
    <w:rsid w:val="00AB5DB2"/>
    <w:rsid w:val="00AB724B"/>
    <w:rsid w:val="00AB726C"/>
    <w:rsid w:val="00AB72B4"/>
    <w:rsid w:val="00AC01FD"/>
    <w:rsid w:val="00AC02AA"/>
    <w:rsid w:val="00AC0537"/>
    <w:rsid w:val="00AC0A84"/>
    <w:rsid w:val="00AC1A09"/>
    <w:rsid w:val="00AC264D"/>
    <w:rsid w:val="00AC2A0B"/>
    <w:rsid w:val="00AC2BEC"/>
    <w:rsid w:val="00AC2BEE"/>
    <w:rsid w:val="00AC2E53"/>
    <w:rsid w:val="00AC2F8F"/>
    <w:rsid w:val="00AC484F"/>
    <w:rsid w:val="00AC4A42"/>
    <w:rsid w:val="00AC4B20"/>
    <w:rsid w:val="00AC4D8F"/>
    <w:rsid w:val="00AC56F2"/>
    <w:rsid w:val="00AC5B83"/>
    <w:rsid w:val="00AC6886"/>
    <w:rsid w:val="00AC717C"/>
    <w:rsid w:val="00AC71C3"/>
    <w:rsid w:val="00AD0DA5"/>
    <w:rsid w:val="00AD1499"/>
    <w:rsid w:val="00AD1EFA"/>
    <w:rsid w:val="00AD2072"/>
    <w:rsid w:val="00AD2808"/>
    <w:rsid w:val="00AD2DBD"/>
    <w:rsid w:val="00AD2FBF"/>
    <w:rsid w:val="00AD416B"/>
    <w:rsid w:val="00AD455D"/>
    <w:rsid w:val="00AD463C"/>
    <w:rsid w:val="00AD46A2"/>
    <w:rsid w:val="00AD47E8"/>
    <w:rsid w:val="00AD4A51"/>
    <w:rsid w:val="00AD4F60"/>
    <w:rsid w:val="00AD5044"/>
    <w:rsid w:val="00AD5114"/>
    <w:rsid w:val="00AD6236"/>
    <w:rsid w:val="00AD67E6"/>
    <w:rsid w:val="00AD7619"/>
    <w:rsid w:val="00AD7770"/>
    <w:rsid w:val="00AE04A1"/>
    <w:rsid w:val="00AE0D1C"/>
    <w:rsid w:val="00AE1772"/>
    <w:rsid w:val="00AE1990"/>
    <w:rsid w:val="00AE1BBA"/>
    <w:rsid w:val="00AE2523"/>
    <w:rsid w:val="00AE25E8"/>
    <w:rsid w:val="00AE2631"/>
    <w:rsid w:val="00AE2AD4"/>
    <w:rsid w:val="00AE2BD9"/>
    <w:rsid w:val="00AE2CA7"/>
    <w:rsid w:val="00AE2F1D"/>
    <w:rsid w:val="00AE4B2B"/>
    <w:rsid w:val="00AE586F"/>
    <w:rsid w:val="00AE5A78"/>
    <w:rsid w:val="00AE6582"/>
    <w:rsid w:val="00AE6DC5"/>
    <w:rsid w:val="00AE7317"/>
    <w:rsid w:val="00AE73D7"/>
    <w:rsid w:val="00AE7686"/>
    <w:rsid w:val="00AE799A"/>
    <w:rsid w:val="00AE7F9E"/>
    <w:rsid w:val="00AF042B"/>
    <w:rsid w:val="00AF0514"/>
    <w:rsid w:val="00AF078E"/>
    <w:rsid w:val="00AF0E81"/>
    <w:rsid w:val="00AF117A"/>
    <w:rsid w:val="00AF186E"/>
    <w:rsid w:val="00AF19C6"/>
    <w:rsid w:val="00AF19DF"/>
    <w:rsid w:val="00AF1F4F"/>
    <w:rsid w:val="00AF26CF"/>
    <w:rsid w:val="00AF2762"/>
    <w:rsid w:val="00AF47D5"/>
    <w:rsid w:val="00AF4E92"/>
    <w:rsid w:val="00AF554B"/>
    <w:rsid w:val="00AF5C9B"/>
    <w:rsid w:val="00AF5D53"/>
    <w:rsid w:val="00AF5E2D"/>
    <w:rsid w:val="00AF644B"/>
    <w:rsid w:val="00AF6CA6"/>
    <w:rsid w:val="00AF6EB6"/>
    <w:rsid w:val="00AF7796"/>
    <w:rsid w:val="00B011A9"/>
    <w:rsid w:val="00B024ED"/>
    <w:rsid w:val="00B02C4A"/>
    <w:rsid w:val="00B02EB3"/>
    <w:rsid w:val="00B02FCB"/>
    <w:rsid w:val="00B033F8"/>
    <w:rsid w:val="00B039BE"/>
    <w:rsid w:val="00B03C1E"/>
    <w:rsid w:val="00B04400"/>
    <w:rsid w:val="00B04835"/>
    <w:rsid w:val="00B05569"/>
    <w:rsid w:val="00B05A55"/>
    <w:rsid w:val="00B05DE1"/>
    <w:rsid w:val="00B06595"/>
    <w:rsid w:val="00B10109"/>
    <w:rsid w:val="00B1053C"/>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77D"/>
    <w:rsid w:val="00B158F6"/>
    <w:rsid w:val="00B159AA"/>
    <w:rsid w:val="00B15DB1"/>
    <w:rsid w:val="00B1666A"/>
    <w:rsid w:val="00B1686D"/>
    <w:rsid w:val="00B17037"/>
    <w:rsid w:val="00B1741D"/>
    <w:rsid w:val="00B17447"/>
    <w:rsid w:val="00B17563"/>
    <w:rsid w:val="00B1771D"/>
    <w:rsid w:val="00B17B91"/>
    <w:rsid w:val="00B20209"/>
    <w:rsid w:val="00B203AF"/>
    <w:rsid w:val="00B203C9"/>
    <w:rsid w:val="00B2088D"/>
    <w:rsid w:val="00B208FF"/>
    <w:rsid w:val="00B21AD4"/>
    <w:rsid w:val="00B21C18"/>
    <w:rsid w:val="00B228D1"/>
    <w:rsid w:val="00B22C58"/>
    <w:rsid w:val="00B22E22"/>
    <w:rsid w:val="00B22F5F"/>
    <w:rsid w:val="00B23813"/>
    <w:rsid w:val="00B23FD9"/>
    <w:rsid w:val="00B2450F"/>
    <w:rsid w:val="00B24591"/>
    <w:rsid w:val="00B245D5"/>
    <w:rsid w:val="00B24C36"/>
    <w:rsid w:val="00B24D49"/>
    <w:rsid w:val="00B24F94"/>
    <w:rsid w:val="00B25126"/>
    <w:rsid w:val="00B25A52"/>
    <w:rsid w:val="00B25B0A"/>
    <w:rsid w:val="00B25FC3"/>
    <w:rsid w:val="00B26CC4"/>
    <w:rsid w:val="00B27026"/>
    <w:rsid w:val="00B27763"/>
    <w:rsid w:val="00B27875"/>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46F"/>
    <w:rsid w:val="00B40B47"/>
    <w:rsid w:val="00B41D39"/>
    <w:rsid w:val="00B422C0"/>
    <w:rsid w:val="00B426CA"/>
    <w:rsid w:val="00B426E1"/>
    <w:rsid w:val="00B4298E"/>
    <w:rsid w:val="00B42B61"/>
    <w:rsid w:val="00B437F8"/>
    <w:rsid w:val="00B4387A"/>
    <w:rsid w:val="00B44196"/>
    <w:rsid w:val="00B44260"/>
    <w:rsid w:val="00B44746"/>
    <w:rsid w:val="00B44854"/>
    <w:rsid w:val="00B44E8C"/>
    <w:rsid w:val="00B453FE"/>
    <w:rsid w:val="00B458D0"/>
    <w:rsid w:val="00B46120"/>
    <w:rsid w:val="00B47040"/>
    <w:rsid w:val="00B47694"/>
    <w:rsid w:val="00B4792C"/>
    <w:rsid w:val="00B50CAE"/>
    <w:rsid w:val="00B512AD"/>
    <w:rsid w:val="00B5196C"/>
    <w:rsid w:val="00B525CB"/>
    <w:rsid w:val="00B52697"/>
    <w:rsid w:val="00B53E7C"/>
    <w:rsid w:val="00B5400D"/>
    <w:rsid w:val="00B54D8F"/>
    <w:rsid w:val="00B55857"/>
    <w:rsid w:val="00B55C69"/>
    <w:rsid w:val="00B56851"/>
    <w:rsid w:val="00B56A6A"/>
    <w:rsid w:val="00B56D6E"/>
    <w:rsid w:val="00B572F7"/>
    <w:rsid w:val="00B57B9D"/>
    <w:rsid w:val="00B57DAF"/>
    <w:rsid w:val="00B60094"/>
    <w:rsid w:val="00B6022C"/>
    <w:rsid w:val="00B60867"/>
    <w:rsid w:val="00B614F8"/>
    <w:rsid w:val="00B61994"/>
    <w:rsid w:val="00B61FD4"/>
    <w:rsid w:val="00B62880"/>
    <w:rsid w:val="00B63872"/>
    <w:rsid w:val="00B63B64"/>
    <w:rsid w:val="00B63CB2"/>
    <w:rsid w:val="00B63F51"/>
    <w:rsid w:val="00B6416D"/>
    <w:rsid w:val="00B64246"/>
    <w:rsid w:val="00B64EDB"/>
    <w:rsid w:val="00B65379"/>
    <w:rsid w:val="00B654D3"/>
    <w:rsid w:val="00B65938"/>
    <w:rsid w:val="00B65BBE"/>
    <w:rsid w:val="00B65C8A"/>
    <w:rsid w:val="00B65CE2"/>
    <w:rsid w:val="00B65CED"/>
    <w:rsid w:val="00B660AD"/>
    <w:rsid w:val="00B66109"/>
    <w:rsid w:val="00B66349"/>
    <w:rsid w:val="00B67630"/>
    <w:rsid w:val="00B67C44"/>
    <w:rsid w:val="00B67FBF"/>
    <w:rsid w:val="00B7024E"/>
    <w:rsid w:val="00B71FA7"/>
    <w:rsid w:val="00B72110"/>
    <w:rsid w:val="00B7240D"/>
    <w:rsid w:val="00B72983"/>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C72"/>
    <w:rsid w:val="00B81964"/>
    <w:rsid w:val="00B81E0A"/>
    <w:rsid w:val="00B81E6F"/>
    <w:rsid w:val="00B82123"/>
    <w:rsid w:val="00B8225B"/>
    <w:rsid w:val="00B8278A"/>
    <w:rsid w:val="00B82BB5"/>
    <w:rsid w:val="00B83182"/>
    <w:rsid w:val="00B83811"/>
    <w:rsid w:val="00B83B09"/>
    <w:rsid w:val="00B84684"/>
    <w:rsid w:val="00B84866"/>
    <w:rsid w:val="00B848DF"/>
    <w:rsid w:val="00B84F1B"/>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0BD"/>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10A"/>
    <w:rsid w:val="00B97392"/>
    <w:rsid w:val="00B973C6"/>
    <w:rsid w:val="00B97691"/>
    <w:rsid w:val="00B976C7"/>
    <w:rsid w:val="00BA0C54"/>
    <w:rsid w:val="00BA1382"/>
    <w:rsid w:val="00BA1D64"/>
    <w:rsid w:val="00BA1EFD"/>
    <w:rsid w:val="00BA20D8"/>
    <w:rsid w:val="00BA22FC"/>
    <w:rsid w:val="00BA2D78"/>
    <w:rsid w:val="00BA2F30"/>
    <w:rsid w:val="00BA4771"/>
    <w:rsid w:val="00BA4DA4"/>
    <w:rsid w:val="00BA5027"/>
    <w:rsid w:val="00BA665B"/>
    <w:rsid w:val="00BA7370"/>
    <w:rsid w:val="00BA778B"/>
    <w:rsid w:val="00BB0888"/>
    <w:rsid w:val="00BB0DF1"/>
    <w:rsid w:val="00BB0E9B"/>
    <w:rsid w:val="00BB2729"/>
    <w:rsid w:val="00BB2841"/>
    <w:rsid w:val="00BB2F3D"/>
    <w:rsid w:val="00BB300F"/>
    <w:rsid w:val="00BB32C9"/>
    <w:rsid w:val="00BB35C5"/>
    <w:rsid w:val="00BB3D17"/>
    <w:rsid w:val="00BB43A7"/>
    <w:rsid w:val="00BB47D0"/>
    <w:rsid w:val="00BB4C8E"/>
    <w:rsid w:val="00BB57ED"/>
    <w:rsid w:val="00BB65C3"/>
    <w:rsid w:val="00BB662E"/>
    <w:rsid w:val="00BB67A9"/>
    <w:rsid w:val="00BB6C01"/>
    <w:rsid w:val="00BB6C4C"/>
    <w:rsid w:val="00BB7942"/>
    <w:rsid w:val="00BB7CD1"/>
    <w:rsid w:val="00BB7D1F"/>
    <w:rsid w:val="00BC0F33"/>
    <w:rsid w:val="00BC14A7"/>
    <w:rsid w:val="00BC1611"/>
    <w:rsid w:val="00BC1632"/>
    <w:rsid w:val="00BC17CC"/>
    <w:rsid w:val="00BC1862"/>
    <w:rsid w:val="00BC229E"/>
    <w:rsid w:val="00BC23C0"/>
    <w:rsid w:val="00BC2898"/>
    <w:rsid w:val="00BC2928"/>
    <w:rsid w:val="00BC2AA9"/>
    <w:rsid w:val="00BC2BB1"/>
    <w:rsid w:val="00BC34A3"/>
    <w:rsid w:val="00BC3ED5"/>
    <w:rsid w:val="00BC3FF9"/>
    <w:rsid w:val="00BC4834"/>
    <w:rsid w:val="00BC4A97"/>
    <w:rsid w:val="00BC5A25"/>
    <w:rsid w:val="00BC5FDD"/>
    <w:rsid w:val="00BC68B4"/>
    <w:rsid w:val="00BC6C2D"/>
    <w:rsid w:val="00BC762B"/>
    <w:rsid w:val="00BC7B9A"/>
    <w:rsid w:val="00BD00A9"/>
    <w:rsid w:val="00BD0140"/>
    <w:rsid w:val="00BD02CC"/>
    <w:rsid w:val="00BD1675"/>
    <w:rsid w:val="00BD2063"/>
    <w:rsid w:val="00BD33D9"/>
    <w:rsid w:val="00BD38C5"/>
    <w:rsid w:val="00BD3A59"/>
    <w:rsid w:val="00BD3C11"/>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4F8C"/>
    <w:rsid w:val="00BE5238"/>
    <w:rsid w:val="00BE5D35"/>
    <w:rsid w:val="00BE6074"/>
    <w:rsid w:val="00BE67A2"/>
    <w:rsid w:val="00BE7257"/>
    <w:rsid w:val="00BF020D"/>
    <w:rsid w:val="00BF1D44"/>
    <w:rsid w:val="00BF1DD2"/>
    <w:rsid w:val="00BF1FDE"/>
    <w:rsid w:val="00BF23A3"/>
    <w:rsid w:val="00BF28DB"/>
    <w:rsid w:val="00BF2A7E"/>
    <w:rsid w:val="00BF3331"/>
    <w:rsid w:val="00BF3356"/>
    <w:rsid w:val="00BF37EC"/>
    <w:rsid w:val="00BF3A45"/>
    <w:rsid w:val="00BF436F"/>
    <w:rsid w:val="00BF4EC5"/>
    <w:rsid w:val="00BF5723"/>
    <w:rsid w:val="00BF5C05"/>
    <w:rsid w:val="00BF60C8"/>
    <w:rsid w:val="00BF6A78"/>
    <w:rsid w:val="00BF6FC6"/>
    <w:rsid w:val="00BF73E1"/>
    <w:rsid w:val="00BF7C52"/>
    <w:rsid w:val="00BF7F99"/>
    <w:rsid w:val="00C00704"/>
    <w:rsid w:val="00C00713"/>
    <w:rsid w:val="00C009A0"/>
    <w:rsid w:val="00C01F74"/>
    <w:rsid w:val="00C02558"/>
    <w:rsid w:val="00C0285F"/>
    <w:rsid w:val="00C02F35"/>
    <w:rsid w:val="00C03305"/>
    <w:rsid w:val="00C03515"/>
    <w:rsid w:val="00C03738"/>
    <w:rsid w:val="00C037A6"/>
    <w:rsid w:val="00C040D6"/>
    <w:rsid w:val="00C043F5"/>
    <w:rsid w:val="00C044E3"/>
    <w:rsid w:val="00C047A8"/>
    <w:rsid w:val="00C04BDB"/>
    <w:rsid w:val="00C052C6"/>
    <w:rsid w:val="00C059D4"/>
    <w:rsid w:val="00C05A61"/>
    <w:rsid w:val="00C06955"/>
    <w:rsid w:val="00C06CCF"/>
    <w:rsid w:val="00C108B8"/>
    <w:rsid w:val="00C10C0B"/>
    <w:rsid w:val="00C11503"/>
    <w:rsid w:val="00C1159D"/>
    <w:rsid w:val="00C11683"/>
    <w:rsid w:val="00C11798"/>
    <w:rsid w:val="00C118DB"/>
    <w:rsid w:val="00C1233E"/>
    <w:rsid w:val="00C12408"/>
    <w:rsid w:val="00C125C1"/>
    <w:rsid w:val="00C1299A"/>
    <w:rsid w:val="00C12F05"/>
    <w:rsid w:val="00C12FB3"/>
    <w:rsid w:val="00C1304A"/>
    <w:rsid w:val="00C138BC"/>
    <w:rsid w:val="00C13D85"/>
    <w:rsid w:val="00C14639"/>
    <w:rsid w:val="00C14E82"/>
    <w:rsid w:val="00C14FF6"/>
    <w:rsid w:val="00C150A6"/>
    <w:rsid w:val="00C15A85"/>
    <w:rsid w:val="00C1641B"/>
    <w:rsid w:val="00C165FC"/>
    <w:rsid w:val="00C1680E"/>
    <w:rsid w:val="00C16E9D"/>
    <w:rsid w:val="00C176D5"/>
    <w:rsid w:val="00C2082C"/>
    <w:rsid w:val="00C20832"/>
    <w:rsid w:val="00C209F7"/>
    <w:rsid w:val="00C20EB0"/>
    <w:rsid w:val="00C21005"/>
    <w:rsid w:val="00C2183B"/>
    <w:rsid w:val="00C21B56"/>
    <w:rsid w:val="00C220B6"/>
    <w:rsid w:val="00C22492"/>
    <w:rsid w:val="00C22811"/>
    <w:rsid w:val="00C229E0"/>
    <w:rsid w:val="00C22D7C"/>
    <w:rsid w:val="00C22DDE"/>
    <w:rsid w:val="00C22EA9"/>
    <w:rsid w:val="00C2338B"/>
    <w:rsid w:val="00C233CE"/>
    <w:rsid w:val="00C23661"/>
    <w:rsid w:val="00C236AE"/>
    <w:rsid w:val="00C237DD"/>
    <w:rsid w:val="00C238F4"/>
    <w:rsid w:val="00C23924"/>
    <w:rsid w:val="00C23A99"/>
    <w:rsid w:val="00C245EE"/>
    <w:rsid w:val="00C2475A"/>
    <w:rsid w:val="00C24AE1"/>
    <w:rsid w:val="00C24B8D"/>
    <w:rsid w:val="00C24BD7"/>
    <w:rsid w:val="00C252CC"/>
    <w:rsid w:val="00C25813"/>
    <w:rsid w:val="00C27143"/>
    <w:rsid w:val="00C27490"/>
    <w:rsid w:val="00C27A55"/>
    <w:rsid w:val="00C27D37"/>
    <w:rsid w:val="00C27FB2"/>
    <w:rsid w:val="00C302E5"/>
    <w:rsid w:val="00C309E8"/>
    <w:rsid w:val="00C31846"/>
    <w:rsid w:val="00C32017"/>
    <w:rsid w:val="00C325CD"/>
    <w:rsid w:val="00C3322E"/>
    <w:rsid w:val="00C332B4"/>
    <w:rsid w:val="00C337F5"/>
    <w:rsid w:val="00C33B90"/>
    <w:rsid w:val="00C34350"/>
    <w:rsid w:val="00C34B5F"/>
    <w:rsid w:val="00C3543E"/>
    <w:rsid w:val="00C358D4"/>
    <w:rsid w:val="00C36785"/>
    <w:rsid w:val="00C36845"/>
    <w:rsid w:val="00C3711C"/>
    <w:rsid w:val="00C37256"/>
    <w:rsid w:val="00C37A7B"/>
    <w:rsid w:val="00C37CFF"/>
    <w:rsid w:val="00C37FFE"/>
    <w:rsid w:val="00C407E4"/>
    <w:rsid w:val="00C40B50"/>
    <w:rsid w:val="00C41457"/>
    <w:rsid w:val="00C41858"/>
    <w:rsid w:val="00C419E3"/>
    <w:rsid w:val="00C419F4"/>
    <w:rsid w:val="00C41E6A"/>
    <w:rsid w:val="00C41F7F"/>
    <w:rsid w:val="00C421A3"/>
    <w:rsid w:val="00C42247"/>
    <w:rsid w:val="00C439BE"/>
    <w:rsid w:val="00C443CC"/>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17C"/>
    <w:rsid w:val="00C57498"/>
    <w:rsid w:val="00C5763C"/>
    <w:rsid w:val="00C577CA"/>
    <w:rsid w:val="00C5780C"/>
    <w:rsid w:val="00C5796B"/>
    <w:rsid w:val="00C619A1"/>
    <w:rsid w:val="00C62370"/>
    <w:rsid w:val="00C62545"/>
    <w:rsid w:val="00C62A11"/>
    <w:rsid w:val="00C62BBB"/>
    <w:rsid w:val="00C6305F"/>
    <w:rsid w:val="00C6325B"/>
    <w:rsid w:val="00C63DBF"/>
    <w:rsid w:val="00C63E99"/>
    <w:rsid w:val="00C64161"/>
    <w:rsid w:val="00C641BD"/>
    <w:rsid w:val="00C649B8"/>
    <w:rsid w:val="00C64A64"/>
    <w:rsid w:val="00C64AA2"/>
    <w:rsid w:val="00C65151"/>
    <w:rsid w:val="00C653B9"/>
    <w:rsid w:val="00C657F4"/>
    <w:rsid w:val="00C66119"/>
    <w:rsid w:val="00C66292"/>
    <w:rsid w:val="00C66EA4"/>
    <w:rsid w:val="00C672A3"/>
    <w:rsid w:val="00C672F1"/>
    <w:rsid w:val="00C673D0"/>
    <w:rsid w:val="00C6742E"/>
    <w:rsid w:val="00C677BE"/>
    <w:rsid w:val="00C70012"/>
    <w:rsid w:val="00C70321"/>
    <w:rsid w:val="00C71CBB"/>
    <w:rsid w:val="00C71E2A"/>
    <w:rsid w:val="00C72571"/>
    <w:rsid w:val="00C733BA"/>
    <w:rsid w:val="00C734F3"/>
    <w:rsid w:val="00C74F3F"/>
    <w:rsid w:val="00C760DC"/>
    <w:rsid w:val="00C764E2"/>
    <w:rsid w:val="00C76E2D"/>
    <w:rsid w:val="00C800AB"/>
    <w:rsid w:val="00C8082B"/>
    <w:rsid w:val="00C81A88"/>
    <w:rsid w:val="00C81AEC"/>
    <w:rsid w:val="00C81D46"/>
    <w:rsid w:val="00C820AD"/>
    <w:rsid w:val="00C82298"/>
    <w:rsid w:val="00C82F91"/>
    <w:rsid w:val="00C82F97"/>
    <w:rsid w:val="00C833B4"/>
    <w:rsid w:val="00C84284"/>
    <w:rsid w:val="00C84E33"/>
    <w:rsid w:val="00C853E0"/>
    <w:rsid w:val="00C856D1"/>
    <w:rsid w:val="00C85897"/>
    <w:rsid w:val="00C85FFC"/>
    <w:rsid w:val="00C86123"/>
    <w:rsid w:val="00C861FC"/>
    <w:rsid w:val="00C86C87"/>
    <w:rsid w:val="00C8705B"/>
    <w:rsid w:val="00C87090"/>
    <w:rsid w:val="00C9005E"/>
    <w:rsid w:val="00C90111"/>
    <w:rsid w:val="00C90CA9"/>
    <w:rsid w:val="00C91131"/>
    <w:rsid w:val="00C915F2"/>
    <w:rsid w:val="00C917B1"/>
    <w:rsid w:val="00C9193C"/>
    <w:rsid w:val="00C91B77"/>
    <w:rsid w:val="00C920E2"/>
    <w:rsid w:val="00C923AA"/>
    <w:rsid w:val="00C93154"/>
    <w:rsid w:val="00C93765"/>
    <w:rsid w:val="00C937BF"/>
    <w:rsid w:val="00C93877"/>
    <w:rsid w:val="00C93D10"/>
    <w:rsid w:val="00C93D8C"/>
    <w:rsid w:val="00C946CC"/>
    <w:rsid w:val="00C94763"/>
    <w:rsid w:val="00C959BD"/>
    <w:rsid w:val="00C95E49"/>
    <w:rsid w:val="00C95F44"/>
    <w:rsid w:val="00C96D1B"/>
    <w:rsid w:val="00C97106"/>
    <w:rsid w:val="00C97684"/>
    <w:rsid w:val="00CA0031"/>
    <w:rsid w:val="00CA0413"/>
    <w:rsid w:val="00CA043A"/>
    <w:rsid w:val="00CA04F8"/>
    <w:rsid w:val="00CA050A"/>
    <w:rsid w:val="00CA0D61"/>
    <w:rsid w:val="00CA0DBA"/>
    <w:rsid w:val="00CA1691"/>
    <w:rsid w:val="00CA2314"/>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365A"/>
    <w:rsid w:val="00CB4137"/>
    <w:rsid w:val="00CB52D0"/>
    <w:rsid w:val="00CB5578"/>
    <w:rsid w:val="00CB5671"/>
    <w:rsid w:val="00CB591C"/>
    <w:rsid w:val="00CB5943"/>
    <w:rsid w:val="00CB61B3"/>
    <w:rsid w:val="00CB65D4"/>
    <w:rsid w:val="00CB6F83"/>
    <w:rsid w:val="00CB72AE"/>
    <w:rsid w:val="00CB78AD"/>
    <w:rsid w:val="00CC00CD"/>
    <w:rsid w:val="00CC0579"/>
    <w:rsid w:val="00CC0AF3"/>
    <w:rsid w:val="00CC0BC6"/>
    <w:rsid w:val="00CC0E68"/>
    <w:rsid w:val="00CC21AC"/>
    <w:rsid w:val="00CC2514"/>
    <w:rsid w:val="00CC2756"/>
    <w:rsid w:val="00CC2CBD"/>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0D1F"/>
    <w:rsid w:val="00CD205D"/>
    <w:rsid w:val="00CD288F"/>
    <w:rsid w:val="00CD2A22"/>
    <w:rsid w:val="00CD2B50"/>
    <w:rsid w:val="00CD3AD3"/>
    <w:rsid w:val="00CD41FE"/>
    <w:rsid w:val="00CD4506"/>
    <w:rsid w:val="00CD520B"/>
    <w:rsid w:val="00CD592E"/>
    <w:rsid w:val="00CD5982"/>
    <w:rsid w:val="00CD5A1A"/>
    <w:rsid w:val="00CD6054"/>
    <w:rsid w:val="00CD71E9"/>
    <w:rsid w:val="00CD7EFA"/>
    <w:rsid w:val="00CE020E"/>
    <w:rsid w:val="00CE02B4"/>
    <w:rsid w:val="00CE0566"/>
    <w:rsid w:val="00CE16A9"/>
    <w:rsid w:val="00CE1CD4"/>
    <w:rsid w:val="00CE23FE"/>
    <w:rsid w:val="00CE2761"/>
    <w:rsid w:val="00CE2B49"/>
    <w:rsid w:val="00CE314E"/>
    <w:rsid w:val="00CE3D5C"/>
    <w:rsid w:val="00CE3E14"/>
    <w:rsid w:val="00CE44C7"/>
    <w:rsid w:val="00CE53CC"/>
    <w:rsid w:val="00CE65A7"/>
    <w:rsid w:val="00CE68FE"/>
    <w:rsid w:val="00CE69CC"/>
    <w:rsid w:val="00CE6EC4"/>
    <w:rsid w:val="00CE7A77"/>
    <w:rsid w:val="00CE7F26"/>
    <w:rsid w:val="00CE7FBF"/>
    <w:rsid w:val="00CF1066"/>
    <w:rsid w:val="00CF1226"/>
    <w:rsid w:val="00CF16C0"/>
    <w:rsid w:val="00CF1ABB"/>
    <w:rsid w:val="00CF1E1D"/>
    <w:rsid w:val="00CF24FE"/>
    <w:rsid w:val="00CF35D0"/>
    <w:rsid w:val="00CF3DD5"/>
    <w:rsid w:val="00CF41D5"/>
    <w:rsid w:val="00CF4897"/>
    <w:rsid w:val="00CF4AF7"/>
    <w:rsid w:val="00CF4D20"/>
    <w:rsid w:val="00CF539C"/>
    <w:rsid w:val="00CF55DF"/>
    <w:rsid w:val="00CF6180"/>
    <w:rsid w:val="00CF64F6"/>
    <w:rsid w:val="00CF665F"/>
    <w:rsid w:val="00CF73F8"/>
    <w:rsid w:val="00CF7928"/>
    <w:rsid w:val="00CF7CA2"/>
    <w:rsid w:val="00D00A8E"/>
    <w:rsid w:val="00D00DE0"/>
    <w:rsid w:val="00D00F79"/>
    <w:rsid w:val="00D012BF"/>
    <w:rsid w:val="00D01760"/>
    <w:rsid w:val="00D0368E"/>
    <w:rsid w:val="00D03D2D"/>
    <w:rsid w:val="00D03E7B"/>
    <w:rsid w:val="00D0401A"/>
    <w:rsid w:val="00D04750"/>
    <w:rsid w:val="00D047E0"/>
    <w:rsid w:val="00D04B9F"/>
    <w:rsid w:val="00D04FFB"/>
    <w:rsid w:val="00D05153"/>
    <w:rsid w:val="00D058E9"/>
    <w:rsid w:val="00D0612A"/>
    <w:rsid w:val="00D068E3"/>
    <w:rsid w:val="00D06A0E"/>
    <w:rsid w:val="00D06D40"/>
    <w:rsid w:val="00D0707D"/>
    <w:rsid w:val="00D1060D"/>
    <w:rsid w:val="00D10E7C"/>
    <w:rsid w:val="00D11182"/>
    <w:rsid w:val="00D1137B"/>
    <w:rsid w:val="00D11807"/>
    <w:rsid w:val="00D11DB3"/>
    <w:rsid w:val="00D11E0B"/>
    <w:rsid w:val="00D12D82"/>
    <w:rsid w:val="00D1306E"/>
    <w:rsid w:val="00D134CD"/>
    <w:rsid w:val="00D13CE5"/>
    <w:rsid w:val="00D13D98"/>
    <w:rsid w:val="00D14B5F"/>
    <w:rsid w:val="00D14E13"/>
    <w:rsid w:val="00D14F23"/>
    <w:rsid w:val="00D15356"/>
    <w:rsid w:val="00D16054"/>
    <w:rsid w:val="00D160AA"/>
    <w:rsid w:val="00D16740"/>
    <w:rsid w:val="00D16A8B"/>
    <w:rsid w:val="00D16B5C"/>
    <w:rsid w:val="00D16E39"/>
    <w:rsid w:val="00D17951"/>
    <w:rsid w:val="00D17AD8"/>
    <w:rsid w:val="00D17B53"/>
    <w:rsid w:val="00D20D14"/>
    <w:rsid w:val="00D2104A"/>
    <w:rsid w:val="00D21302"/>
    <w:rsid w:val="00D213F1"/>
    <w:rsid w:val="00D21BB5"/>
    <w:rsid w:val="00D21FFC"/>
    <w:rsid w:val="00D223A3"/>
    <w:rsid w:val="00D223B6"/>
    <w:rsid w:val="00D223E8"/>
    <w:rsid w:val="00D22CB5"/>
    <w:rsid w:val="00D22DC8"/>
    <w:rsid w:val="00D24ECD"/>
    <w:rsid w:val="00D2522A"/>
    <w:rsid w:val="00D2531C"/>
    <w:rsid w:val="00D255F3"/>
    <w:rsid w:val="00D25FC7"/>
    <w:rsid w:val="00D26C21"/>
    <w:rsid w:val="00D2742F"/>
    <w:rsid w:val="00D2754F"/>
    <w:rsid w:val="00D27793"/>
    <w:rsid w:val="00D27912"/>
    <w:rsid w:val="00D279D9"/>
    <w:rsid w:val="00D30418"/>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3A8"/>
    <w:rsid w:val="00D375FF"/>
    <w:rsid w:val="00D379A5"/>
    <w:rsid w:val="00D4017C"/>
    <w:rsid w:val="00D401BE"/>
    <w:rsid w:val="00D4043A"/>
    <w:rsid w:val="00D40A8E"/>
    <w:rsid w:val="00D40AB0"/>
    <w:rsid w:val="00D40DB0"/>
    <w:rsid w:val="00D40F8B"/>
    <w:rsid w:val="00D41858"/>
    <w:rsid w:val="00D422DB"/>
    <w:rsid w:val="00D42A83"/>
    <w:rsid w:val="00D42AC2"/>
    <w:rsid w:val="00D43988"/>
    <w:rsid w:val="00D4498E"/>
    <w:rsid w:val="00D449EC"/>
    <w:rsid w:val="00D4515F"/>
    <w:rsid w:val="00D451E8"/>
    <w:rsid w:val="00D4636B"/>
    <w:rsid w:val="00D466C9"/>
    <w:rsid w:val="00D467D8"/>
    <w:rsid w:val="00D47275"/>
    <w:rsid w:val="00D4750C"/>
    <w:rsid w:val="00D4767B"/>
    <w:rsid w:val="00D50AEF"/>
    <w:rsid w:val="00D50C39"/>
    <w:rsid w:val="00D51E15"/>
    <w:rsid w:val="00D52B7E"/>
    <w:rsid w:val="00D52E2F"/>
    <w:rsid w:val="00D52F59"/>
    <w:rsid w:val="00D53E3E"/>
    <w:rsid w:val="00D55279"/>
    <w:rsid w:val="00D55904"/>
    <w:rsid w:val="00D55C94"/>
    <w:rsid w:val="00D5616F"/>
    <w:rsid w:val="00D5663B"/>
    <w:rsid w:val="00D56828"/>
    <w:rsid w:val="00D568BA"/>
    <w:rsid w:val="00D57940"/>
    <w:rsid w:val="00D60327"/>
    <w:rsid w:val="00D61526"/>
    <w:rsid w:val="00D61F81"/>
    <w:rsid w:val="00D623A9"/>
    <w:rsid w:val="00D62BE6"/>
    <w:rsid w:val="00D630E3"/>
    <w:rsid w:val="00D633AC"/>
    <w:rsid w:val="00D63766"/>
    <w:rsid w:val="00D63912"/>
    <w:rsid w:val="00D63923"/>
    <w:rsid w:val="00D63F05"/>
    <w:rsid w:val="00D6451B"/>
    <w:rsid w:val="00D64A49"/>
    <w:rsid w:val="00D64B57"/>
    <w:rsid w:val="00D64C97"/>
    <w:rsid w:val="00D65A92"/>
    <w:rsid w:val="00D65DEA"/>
    <w:rsid w:val="00D65DFE"/>
    <w:rsid w:val="00D660DF"/>
    <w:rsid w:val="00D67BC7"/>
    <w:rsid w:val="00D701F1"/>
    <w:rsid w:val="00D705D3"/>
    <w:rsid w:val="00D7088A"/>
    <w:rsid w:val="00D70E00"/>
    <w:rsid w:val="00D71014"/>
    <w:rsid w:val="00D715AC"/>
    <w:rsid w:val="00D71851"/>
    <w:rsid w:val="00D718CF"/>
    <w:rsid w:val="00D722D2"/>
    <w:rsid w:val="00D728F5"/>
    <w:rsid w:val="00D72E9D"/>
    <w:rsid w:val="00D73249"/>
    <w:rsid w:val="00D73419"/>
    <w:rsid w:val="00D73CA9"/>
    <w:rsid w:val="00D7481A"/>
    <w:rsid w:val="00D751B7"/>
    <w:rsid w:val="00D7524B"/>
    <w:rsid w:val="00D75396"/>
    <w:rsid w:val="00D759C0"/>
    <w:rsid w:val="00D75C05"/>
    <w:rsid w:val="00D75E99"/>
    <w:rsid w:val="00D766C7"/>
    <w:rsid w:val="00D76901"/>
    <w:rsid w:val="00D7692B"/>
    <w:rsid w:val="00D76A19"/>
    <w:rsid w:val="00D76CBD"/>
    <w:rsid w:val="00D7734F"/>
    <w:rsid w:val="00D8044C"/>
    <w:rsid w:val="00D805D6"/>
    <w:rsid w:val="00D8075E"/>
    <w:rsid w:val="00D80860"/>
    <w:rsid w:val="00D80D4C"/>
    <w:rsid w:val="00D80E21"/>
    <w:rsid w:val="00D8166D"/>
    <w:rsid w:val="00D81718"/>
    <w:rsid w:val="00D8184D"/>
    <w:rsid w:val="00D81A7B"/>
    <w:rsid w:val="00D81B74"/>
    <w:rsid w:val="00D8223C"/>
    <w:rsid w:val="00D82B57"/>
    <w:rsid w:val="00D82CE5"/>
    <w:rsid w:val="00D8342C"/>
    <w:rsid w:val="00D85494"/>
    <w:rsid w:val="00D8582C"/>
    <w:rsid w:val="00D85D61"/>
    <w:rsid w:val="00D8616D"/>
    <w:rsid w:val="00D8711B"/>
    <w:rsid w:val="00D87384"/>
    <w:rsid w:val="00D90683"/>
    <w:rsid w:val="00D915C8"/>
    <w:rsid w:val="00D92251"/>
    <w:rsid w:val="00D9261C"/>
    <w:rsid w:val="00D92856"/>
    <w:rsid w:val="00D9310B"/>
    <w:rsid w:val="00D93299"/>
    <w:rsid w:val="00D93726"/>
    <w:rsid w:val="00D93DD3"/>
    <w:rsid w:val="00D93F3E"/>
    <w:rsid w:val="00D9405B"/>
    <w:rsid w:val="00D94942"/>
    <w:rsid w:val="00D95145"/>
    <w:rsid w:val="00D96418"/>
    <w:rsid w:val="00D967CB"/>
    <w:rsid w:val="00D96EE0"/>
    <w:rsid w:val="00D97BD1"/>
    <w:rsid w:val="00DA06B8"/>
    <w:rsid w:val="00DA286D"/>
    <w:rsid w:val="00DA2969"/>
    <w:rsid w:val="00DA29B7"/>
    <w:rsid w:val="00DA371B"/>
    <w:rsid w:val="00DA3BC0"/>
    <w:rsid w:val="00DA4842"/>
    <w:rsid w:val="00DA49EF"/>
    <w:rsid w:val="00DA5989"/>
    <w:rsid w:val="00DA5AB1"/>
    <w:rsid w:val="00DA5F9D"/>
    <w:rsid w:val="00DA69B2"/>
    <w:rsid w:val="00DA6A7B"/>
    <w:rsid w:val="00DA735F"/>
    <w:rsid w:val="00DA7462"/>
    <w:rsid w:val="00DA777E"/>
    <w:rsid w:val="00DA7AD0"/>
    <w:rsid w:val="00DA7C08"/>
    <w:rsid w:val="00DB02D7"/>
    <w:rsid w:val="00DB03CC"/>
    <w:rsid w:val="00DB0A15"/>
    <w:rsid w:val="00DB12D4"/>
    <w:rsid w:val="00DB13DD"/>
    <w:rsid w:val="00DB14F0"/>
    <w:rsid w:val="00DB1745"/>
    <w:rsid w:val="00DB1AFF"/>
    <w:rsid w:val="00DB219A"/>
    <w:rsid w:val="00DB3165"/>
    <w:rsid w:val="00DB350B"/>
    <w:rsid w:val="00DB40A0"/>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2848"/>
    <w:rsid w:val="00DC30B8"/>
    <w:rsid w:val="00DC32C6"/>
    <w:rsid w:val="00DC3720"/>
    <w:rsid w:val="00DC406B"/>
    <w:rsid w:val="00DC478F"/>
    <w:rsid w:val="00DC5DFB"/>
    <w:rsid w:val="00DC62E5"/>
    <w:rsid w:val="00DC6AB9"/>
    <w:rsid w:val="00DC6F33"/>
    <w:rsid w:val="00DC729E"/>
    <w:rsid w:val="00DC7349"/>
    <w:rsid w:val="00DC7456"/>
    <w:rsid w:val="00DD0246"/>
    <w:rsid w:val="00DD118B"/>
    <w:rsid w:val="00DD14D8"/>
    <w:rsid w:val="00DD1599"/>
    <w:rsid w:val="00DD177F"/>
    <w:rsid w:val="00DD1B03"/>
    <w:rsid w:val="00DD2772"/>
    <w:rsid w:val="00DD2A62"/>
    <w:rsid w:val="00DD2F2F"/>
    <w:rsid w:val="00DD2F7A"/>
    <w:rsid w:val="00DD3885"/>
    <w:rsid w:val="00DD5056"/>
    <w:rsid w:val="00DD5808"/>
    <w:rsid w:val="00DD58BF"/>
    <w:rsid w:val="00DD5946"/>
    <w:rsid w:val="00DD5B04"/>
    <w:rsid w:val="00DD5DAE"/>
    <w:rsid w:val="00DD5EC6"/>
    <w:rsid w:val="00DD605F"/>
    <w:rsid w:val="00DD6657"/>
    <w:rsid w:val="00DD6D71"/>
    <w:rsid w:val="00DD7236"/>
    <w:rsid w:val="00DD72A0"/>
    <w:rsid w:val="00DD735D"/>
    <w:rsid w:val="00DE0159"/>
    <w:rsid w:val="00DE04C7"/>
    <w:rsid w:val="00DE064A"/>
    <w:rsid w:val="00DE0755"/>
    <w:rsid w:val="00DE082D"/>
    <w:rsid w:val="00DE1410"/>
    <w:rsid w:val="00DE1ED0"/>
    <w:rsid w:val="00DE3119"/>
    <w:rsid w:val="00DE3B48"/>
    <w:rsid w:val="00DE3F23"/>
    <w:rsid w:val="00DE3FF0"/>
    <w:rsid w:val="00DE4105"/>
    <w:rsid w:val="00DE5189"/>
    <w:rsid w:val="00DE6230"/>
    <w:rsid w:val="00DE7108"/>
    <w:rsid w:val="00DE78D1"/>
    <w:rsid w:val="00DF0263"/>
    <w:rsid w:val="00DF06D2"/>
    <w:rsid w:val="00DF0EB4"/>
    <w:rsid w:val="00DF1412"/>
    <w:rsid w:val="00DF1C90"/>
    <w:rsid w:val="00DF1E36"/>
    <w:rsid w:val="00DF1FDB"/>
    <w:rsid w:val="00DF236B"/>
    <w:rsid w:val="00DF2A91"/>
    <w:rsid w:val="00DF2F82"/>
    <w:rsid w:val="00DF3131"/>
    <w:rsid w:val="00DF3747"/>
    <w:rsid w:val="00DF3889"/>
    <w:rsid w:val="00DF3CC9"/>
    <w:rsid w:val="00DF4451"/>
    <w:rsid w:val="00DF49FF"/>
    <w:rsid w:val="00DF4FFB"/>
    <w:rsid w:val="00DF5236"/>
    <w:rsid w:val="00DF5D32"/>
    <w:rsid w:val="00DF651F"/>
    <w:rsid w:val="00DF6E10"/>
    <w:rsid w:val="00DF6F43"/>
    <w:rsid w:val="00DF752F"/>
    <w:rsid w:val="00DF76A2"/>
    <w:rsid w:val="00DF7B33"/>
    <w:rsid w:val="00E00B7A"/>
    <w:rsid w:val="00E01D90"/>
    <w:rsid w:val="00E02186"/>
    <w:rsid w:val="00E026BB"/>
    <w:rsid w:val="00E027C5"/>
    <w:rsid w:val="00E03124"/>
    <w:rsid w:val="00E03148"/>
    <w:rsid w:val="00E031EB"/>
    <w:rsid w:val="00E03951"/>
    <w:rsid w:val="00E03DB8"/>
    <w:rsid w:val="00E0466B"/>
    <w:rsid w:val="00E0573A"/>
    <w:rsid w:val="00E057BA"/>
    <w:rsid w:val="00E057C0"/>
    <w:rsid w:val="00E05E70"/>
    <w:rsid w:val="00E0631A"/>
    <w:rsid w:val="00E064BC"/>
    <w:rsid w:val="00E07225"/>
    <w:rsid w:val="00E079FF"/>
    <w:rsid w:val="00E07AAA"/>
    <w:rsid w:val="00E07B7A"/>
    <w:rsid w:val="00E1002B"/>
    <w:rsid w:val="00E1079C"/>
    <w:rsid w:val="00E109DD"/>
    <w:rsid w:val="00E11229"/>
    <w:rsid w:val="00E114CA"/>
    <w:rsid w:val="00E11CF0"/>
    <w:rsid w:val="00E125D6"/>
    <w:rsid w:val="00E12A54"/>
    <w:rsid w:val="00E12E62"/>
    <w:rsid w:val="00E132D5"/>
    <w:rsid w:val="00E1397F"/>
    <w:rsid w:val="00E13AB8"/>
    <w:rsid w:val="00E13D8F"/>
    <w:rsid w:val="00E1482E"/>
    <w:rsid w:val="00E155D3"/>
    <w:rsid w:val="00E16382"/>
    <w:rsid w:val="00E16572"/>
    <w:rsid w:val="00E1699C"/>
    <w:rsid w:val="00E16E75"/>
    <w:rsid w:val="00E1746D"/>
    <w:rsid w:val="00E2012A"/>
    <w:rsid w:val="00E205A2"/>
    <w:rsid w:val="00E20BA4"/>
    <w:rsid w:val="00E20C24"/>
    <w:rsid w:val="00E23137"/>
    <w:rsid w:val="00E231B0"/>
    <w:rsid w:val="00E23980"/>
    <w:rsid w:val="00E241E9"/>
    <w:rsid w:val="00E2510E"/>
    <w:rsid w:val="00E2520A"/>
    <w:rsid w:val="00E253EB"/>
    <w:rsid w:val="00E257C3"/>
    <w:rsid w:val="00E25CB3"/>
    <w:rsid w:val="00E25DA4"/>
    <w:rsid w:val="00E25DBC"/>
    <w:rsid w:val="00E26CB8"/>
    <w:rsid w:val="00E26FCF"/>
    <w:rsid w:val="00E27165"/>
    <w:rsid w:val="00E27226"/>
    <w:rsid w:val="00E3044A"/>
    <w:rsid w:val="00E3189C"/>
    <w:rsid w:val="00E31A4A"/>
    <w:rsid w:val="00E31C43"/>
    <w:rsid w:val="00E321D8"/>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37CD3"/>
    <w:rsid w:val="00E40430"/>
    <w:rsid w:val="00E40690"/>
    <w:rsid w:val="00E40AEB"/>
    <w:rsid w:val="00E41229"/>
    <w:rsid w:val="00E4143A"/>
    <w:rsid w:val="00E41A5D"/>
    <w:rsid w:val="00E424C8"/>
    <w:rsid w:val="00E4251D"/>
    <w:rsid w:val="00E42F41"/>
    <w:rsid w:val="00E43D00"/>
    <w:rsid w:val="00E44128"/>
    <w:rsid w:val="00E445E4"/>
    <w:rsid w:val="00E457CB"/>
    <w:rsid w:val="00E45D47"/>
    <w:rsid w:val="00E45DE4"/>
    <w:rsid w:val="00E45E63"/>
    <w:rsid w:val="00E46D10"/>
    <w:rsid w:val="00E50A7B"/>
    <w:rsid w:val="00E50B0B"/>
    <w:rsid w:val="00E510D0"/>
    <w:rsid w:val="00E510FE"/>
    <w:rsid w:val="00E5142F"/>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022"/>
    <w:rsid w:val="00E623E6"/>
    <w:rsid w:val="00E624EC"/>
    <w:rsid w:val="00E630C0"/>
    <w:rsid w:val="00E63107"/>
    <w:rsid w:val="00E634E6"/>
    <w:rsid w:val="00E63DCE"/>
    <w:rsid w:val="00E64700"/>
    <w:rsid w:val="00E64E0B"/>
    <w:rsid w:val="00E65074"/>
    <w:rsid w:val="00E655E2"/>
    <w:rsid w:val="00E65E70"/>
    <w:rsid w:val="00E65EE9"/>
    <w:rsid w:val="00E66087"/>
    <w:rsid w:val="00E6685F"/>
    <w:rsid w:val="00E66D79"/>
    <w:rsid w:val="00E66FF9"/>
    <w:rsid w:val="00E67856"/>
    <w:rsid w:val="00E679C8"/>
    <w:rsid w:val="00E70314"/>
    <w:rsid w:val="00E704AC"/>
    <w:rsid w:val="00E70FCD"/>
    <w:rsid w:val="00E724E7"/>
    <w:rsid w:val="00E729DC"/>
    <w:rsid w:val="00E72B41"/>
    <w:rsid w:val="00E7343E"/>
    <w:rsid w:val="00E7347B"/>
    <w:rsid w:val="00E73D03"/>
    <w:rsid w:val="00E7471C"/>
    <w:rsid w:val="00E7498A"/>
    <w:rsid w:val="00E7514E"/>
    <w:rsid w:val="00E75B34"/>
    <w:rsid w:val="00E77AF5"/>
    <w:rsid w:val="00E77D4E"/>
    <w:rsid w:val="00E8029A"/>
    <w:rsid w:val="00E803A6"/>
    <w:rsid w:val="00E81653"/>
    <w:rsid w:val="00E823F9"/>
    <w:rsid w:val="00E82C1F"/>
    <w:rsid w:val="00E82EEA"/>
    <w:rsid w:val="00E83562"/>
    <w:rsid w:val="00E83671"/>
    <w:rsid w:val="00E8414B"/>
    <w:rsid w:val="00E84793"/>
    <w:rsid w:val="00E84A71"/>
    <w:rsid w:val="00E8544B"/>
    <w:rsid w:val="00E8554E"/>
    <w:rsid w:val="00E86556"/>
    <w:rsid w:val="00E86798"/>
    <w:rsid w:val="00E86D35"/>
    <w:rsid w:val="00E86DC2"/>
    <w:rsid w:val="00E86E32"/>
    <w:rsid w:val="00E8732E"/>
    <w:rsid w:val="00E87514"/>
    <w:rsid w:val="00E9011F"/>
    <w:rsid w:val="00E906EB"/>
    <w:rsid w:val="00E913F9"/>
    <w:rsid w:val="00E9241E"/>
    <w:rsid w:val="00E92460"/>
    <w:rsid w:val="00E92E62"/>
    <w:rsid w:val="00E92E8B"/>
    <w:rsid w:val="00E93804"/>
    <w:rsid w:val="00E93A86"/>
    <w:rsid w:val="00E941AA"/>
    <w:rsid w:val="00E94420"/>
    <w:rsid w:val="00E950D0"/>
    <w:rsid w:val="00E95434"/>
    <w:rsid w:val="00E96467"/>
    <w:rsid w:val="00E966DA"/>
    <w:rsid w:val="00E96948"/>
    <w:rsid w:val="00E9737B"/>
    <w:rsid w:val="00E97A3F"/>
    <w:rsid w:val="00E97F0A"/>
    <w:rsid w:val="00EA0100"/>
    <w:rsid w:val="00EA010D"/>
    <w:rsid w:val="00EA04DC"/>
    <w:rsid w:val="00EA0886"/>
    <w:rsid w:val="00EA0BCE"/>
    <w:rsid w:val="00EA1778"/>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750"/>
    <w:rsid w:val="00EB0A89"/>
    <w:rsid w:val="00EB0B22"/>
    <w:rsid w:val="00EB151B"/>
    <w:rsid w:val="00EB1573"/>
    <w:rsid w:val="00EB1650"/>
    <w:rsid w:val="00EB17CA"/>
    <w:rsid w:val="00EB1910"/>
    <w:rsid w:val="00EB1D24"/>
    <w:rsid w:val="00EB1F23"/>
    <w:rsid w:val="00EB209B"/>
    <w:rsid w:val="00EB26F2"/>
    <w:rsid w:val="00EB2964"/>
    <w:rsid w:val="00EB2E97"/>
    <w:rsid w:val="00EB3416"/>
    <w:rsid w:val="00EB4AE1"/>
    <w:rsid w:val="00EB52F4"/>
    <w:rsid w:val="00EB5694"/>
    <w:rsid w:val="00EB5779"/>
    <w:rsid w:val="00EB6098"/>
    <w:rsid w:val="00EB6199"/>
    <w:rsid w:val="00EB65ED"/>
    <w:rsid w:val="00EB67F1"/>
    <w:rsid w:val="00EB72CD"/>
    <w:rsid w:val="00EB749A"/>
    <w:rsid w:val="00EB76B6"/>
    <w:rsid w:val="00EB7D8A"/>
    <w:rsid w:val="00EB7EA7"/>
    <w:rsid w:val="00EC05E2"/>
    <w:rsid w:val="00EC08AF"/>
    <w:rsid w:val="00EC0B29"/>
    <w:rsid w:val="00EC0E84"/>
    <w:rsid w:val="00EC16E2"/>
    <w:rsid w:val="00EC1CE7"/>
    <w:rsid w:val="00EC2497"/>
    <w:rsid w:val="00EC26F1"/>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4B9"/>
    <w:rsid w:val="00EC7637"/>
    <w:rsid w:val="00EC7B63"/>
    <w:rsid w:val="00EC7CF2"/>
    <w:rsid w:val="00ED046B"/>
    <w:rsid w:val="00ED046C"/>
    <w:rsid w:val="00ED053A"/>
    <w:rsid w:val="00ED17E3"/>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3F96"/>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17"/>
    <w:rsid w:val="00EF326A"/>
    <w:rsid w:val="00EF3A5D"/>
    <w:rsid w:val="00EF3F02"/>
    <w:rsid w:val="00EF427A"/>
    <w:rsid w:val="00EF45DF"/>
    <w:rsid w:val="00EF4952"/>
    <w:rsid w:val="00EF498F"/>
    <w:rsid w:val="00EF4A42"/>
    <w:rsid w:val="00EF510C"/>
    <w:rsid w:val="00EF55C4"/>
    <w:rsid w:val="00EF57BC"/>
    <w:rsid w:val="00EF5FD2"/>
    <w:rsid w:val="00EF61F5"/>
    <w:rsid w:val="00EF6784"/>
    <w:rsid w:val="00EF688A"/>
    <w:rsid w:val="00EF6A03"/>
    <w:rsid w:val="00EF6DC2"/>
    <w:rsid w:val="00EF7BF4"/>
    <w:rsid w:val="00F0030F"/>
    <w:rsid w:val="00F00674"/>
    <w:rsid w:val="00F01657"/>
    <w:rsid w:val="00F01DE3"/>
    <w:rsid w:val="00F01E67"/>
    <w:rsid w:val="00F021B7"/>
    <w:rsid w:val="00F02744"/>
    <w:rsid w:val="00F02BFD"/>
    <w:rsid w:val="00F02D25"/>
    <w:rsid w:val="00F0306D"/>
    <w:rsid w:val="00F0435D"/>
    <w:rsid w:val="00F04580"/>
    <w:rsid w:val="00F047E7"/>
    <w:rsid w:val="00F04ECA"/>
    <w:rsid w:val="00F04EDA"/>
    <w:rsid w:val="00F05876"/>
    <w:rsid w:val="00F05DC2"/>
    <w:rsid w:val="00F06E19"/>
    <w:rsid w:val="00F06F84"/>
    <w:rsid w:val="00F076E7"/>
    <w:rsid w:val="00F07AA1"/>
    <w:rsid w:val="00F10003"/>
    <w:rsid w:val="00F105AE"/>
    <w:rsid w:val="00F10618"/>
    <w:rsid w:val="00F1062E"/>
    <w:rsid w:val="00F10FC4"/>
    <w:rsid w:val="00F1108B"/>
    <w:rsid w:val="00F11768"/>
    <w:rsid w:val="00F11951"/>
    <w:rsid w:val="00F11BA8"/>
    <w:rsid w:val="00F12259"/>
    <w:rsid w:val="00F12262"/>
    <w:rsid w:val="00F12AF8"/>
    <w:rsid w:val="00F12C52"/>
    <w:rsid w:val="00F14352"/>
    <w:rsid w:val="00F144BA"/>
    <w:rsid w:val="00F14618"/>
    <w:rsid w:val="00F148B7"/>
    <w:rsid w:val="00F14BE9"/>
    <w:rsid w:val="00F14EA9"/>
    <w:rsid w:val="00F15505"/>
    <w:rsid w:val="00F15BFF"/>
    <w:rsid w:val="00F17105"/>
    <w:rsid w:val="00F20A0B"/>
    <w:rsid w:val="00F213A0"/>
    <w:rsid w:val="00F217AB"/>
    <w:rsid w:val="00F21A51"/>
    <w:rsid w:val="00F21D54"/>
    <w:rsid w:val="00F21D6D"/>
    <w:rsid w:val="00F21EF4"/>
    <w:rsid w:val="00F227B8"/>
    <w:rsid w:val="00F23113"/>
    <w:rsid w:val="00F23255"/>
    <w:rsid w:val="00F23393"/>
    <w:rsid w:val="00F23759"/>
    <w:rsid w:val="00F239D4"/>
    <w:rsid w:val="00F23CB5"/>
    <w:rsid w:val="00F245A1"/>
    <w:rsid w:val="00F24644"/>
    <w:rsid w:val="00F24ABF"/>
    <w:rsid w:val="00F256FD"/>
    <w:rsid w:val="00F259F1"/>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3FF"/>
    <w:rsid w:val="00F3570C"/>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222"/>
    <w:rsid w:val="00F4345D"/>
    <w:rsid w:val="00F4387B"/>
    <w:rsid w:val="00F4425D"/>
    <w:rsid w:val="00F4518D"/>
    <w:rsid w:val="00F45B91"/>
    <w:rsid w:val="00F46285"/>
    <w:rsid w:val="00F4630A"/>
    <w:rsid w:val="00F46639"/>
    <w:rsid w:val="00F46692"/>
    <w:rsid w:val="00F47AAA"/>
    <w:rsid w:val="00F47B3B"/>
    <w:rsid w:val="00F50183"/>
    <w:rsid w:val="00F50D92"/>
    <w:rsid w:val="00F50E0B"/>
    <w:rsid w:val="00F51765"/>
    <w:rsid w:val="00F51A51"/>
    <w:rsid w:val="00F51CB4"/>
    <w:rsid w:val="00F52324"/>
    <w:rsid w:val="00F52950"/>
    <w:rsid w:val="00F52C9D"/>
    <w:rsid w:val="00F52E39"/>
    <w:rsid w:val="00F533F1"/>
    <w:rsid w:val="00F53ADC"/>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50A2"/>
    <w:rsid w:val="00F65A3C"/>
    <w:rsid w:val="00F66282"/>
    <w:rsid w:val="00F67D8B"/>
    <w:rsid w:val="00F70961"/>
    <w:rsid w:val="00F70A8F"/>
    <w:rsid w:val="00F70F18"/>
    <w:rsid w:val="00F71397"/>
    <w:rsid w:val="00F72389"/>
    <w:rsid w:val="00F72516"/>
    <w:rsid w:val="00F72FB4"/>
    <w:rsid w:val="00F732C4"/>
    <w:rsid w:val="00F735E5"/>
    <w:rsid w:val="00F739B4"/>
    <w:rsid w:val="00F73C77"/>
    <w:rsid w:val="00F73DD9"/>
    <w:rsid w:val="00F73E80"/>
    <w:rsid w:val="00F7469C"/>
    <w:rsid w:val="00F747E9"/>
    <w:rsid w:val="00F7492E"/>
    <w:rsid w:val="00F74945"/>
    <w:rsid w:val="00F749A3"/>
    <w:rsid w:val="00F74A04"/>
    <w:rsid w:val="00F74AE8"/>
    <w:rsid w:val="00F74DC7"/>
    <w:rsid w:val="00F75A86"/>
    <w:rsid w:val="00F7603E"/>
    <w:rsid w:val="00F76C11"/>
    <w:rsid w:val="00F77021"/>
    <w:rsid w:val="00F775CB"/>
    <w:rsid w:val="00F77E61"/>
    <w:rsid w:val="00F814B2"/>
    <w:rsid w:val="00F815AC"/>
    <w:rsid w:val="00F82CA5"/>
    <w:rsid w:val="00F83200"/>
    <w:rsid w:val="00F83B33"/>
    <w:rsid w:val="00F83CAE"/>
    <w:rsid w:val="00F840BF"/>
    <w:rsid w:val="00F8415D"/>
    <w:rsid w:val="00F8427A"/>
    <w:rsid w:val="00F843DF"/>
    <w:rsid w:val="00F84899"/>
    <w:rsid w:val="00F848AB"/>
    <w:rsid w:val="00F84A0A"/>
    <w:rsid w:val="00F84D13"/>
    <w:rsid w:val="00F853A5"/>
    <w:rsid w:val="00F85585"/>
    <w:rsid w:val="00F856EE"/>
    <w:rsid w:val="00F859F0"/>
    <w:rsid w:val="00F85CC1"/>
    <w:rsid w:val="00F86A41"/>
    <w:rsid w:val="00F86B5D"/>
    <w:rsid w:val="00F87464"/>
    <w:rsid w:val="00F87634"/>
    <w:rsid w:val="00F87C13"/>
    <w:rsid w:val="00F87C5A"/>
    <w:rsid w:val="00F87E29"/>
    <w:rsid w:val="00F87F18"/>
    <w:rsid w:val="00F87F68"/>
    <w:rsid w:val="00F90C4D"/>
    <w:rsid w:val="00F90F7A"/>
    <w:rsid w:val="00F90FA8"/>
    <w:rsid w:val="00F9167D"/>
    <w:rsid w:val="00F91CB2"/>
    <w:rsid w:val="00F9289C"/>
    <w:rsid w:val="00F93DBC"/>
    <w:rsid w:val="00F93E41"/>
    <w:rsid w:val="00F94600"/>
    <w:rsid w:val="00F94644"/>
    <w:rsid w:val="00F94F07"/>
    <w:rsid w:val="00F95075"/>
    <w:rsid w:val="00F9537B"/>
    <w:rsid w:val="00F95467"/>
    <w:rsid w:val="00F954BA"/>
    <w:rsid w:val="00F95567"/>
    <w:rsid w:val="00F9574A"/>
    <w:rsid w:val="00F963FC"/>
    <w:rsid w:val="00F96F06"/>
    <w:rsid w:val="00F96FD6"/>
    <w:rsid w:val="00FA015F"/>
    <w:rsid w:val="00FA0FAC"/>
    <w:rsid w:val="00FA1DA2"/>
    <w:rsid w:val="00FA3414"/>
    <w:rsid w:val="00FA347A"/>
    <w:rsid w:val="00FA39D7"/>
    <w:rsid w:val="00FA3CDE"/>
    <w:rsid w:val="00FA49B7"/>
    <w:rsid w:val="00FA5043"/>
    <w:rsid w:val="00FA5ECF"/>
    <w:rsid w:val="00FA6179"/>
    <w:rsid w:val="00FA6F8B"/>
    <w:rsid w:val="00FA7A30"/>
    <w:rsid w:val="00FA7F7F"/>
    <w:rsid w:val="00FB033F"/>
    <w:rsid w:val="00FB12E3"/>
    <w:rsid w:val="00FB1570"/>
    <w:rsid w:val="00FB186E"/>
    <w:rsid w:val="00FB193B"/>
    <w:rsid w:val="00FB1FBC"/>
    <w:rsid w:val="00FB27B7"/>
    <w:rsid w:val="00FB2C36"/>
    <w:rsid w:val="00FB3444"/>
    <w:rsid w:val="00FB3483"/>
    <w:rsid w:val="00FB35E3"/>
    <w:rsid w:val="00FB4D3F"/>
    <w:rsid w:val="00FB583C"/>
    <w:rsid w:val="00FB61D1"/>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E50"/>
    <w:rsid w:val="00FC710F"/>
    <w:rsid w:val="00FC79AB"/>
    <w:rsid w:val="00FC7BE7"/>
    <w:rsid w:val="00FC7DAC"/>
    <w:rsid w:val="00FD04AE"/>
    <w:rsid w:val="00FD086B"/>
    <w:rsid w:val="00FD1890"/>
    <w:rsid w:val="00FD1994"/>
    <w:rsid w:val="00FD1B08"/>
    <w:rsid w:val="00FD21A9"/>
    <w:rsid w:val="00FD2AC8"/>
    <w:rsid w:val="00FD2CA6"/>
    <w:rsid w:val="00FD3508"/>
    <w:rsid w:val="00FD393C"/>
    <w:rsid w:val="00FD3D53"/>
    <w:rsid w:val="00FD43BB"/>
    <w:rsid w:val="00FD4AF3"/>
    <w:rsid w:val="00FD4E0F"/>
    <w:rsid w:val="00FD556A"/>
    <w:rsid w:val="00FD5A69"/>
    <w:rsid w:val="00FD6F3C"/>
    <w:rsid w:val="00FD798D"/>
    <w:rsid w:val="00FD7BD8"/>
    <w:rsid w:val="00FD7FB9"/>
    <w:rsid w:val="00FE100E"/>
    <w:rsid w:val="00FE141E"/>
    <w:rsid w:val="00FE144E"/>
    <w:rsid w:val="00FE1689"/>
    <w:rsid w:val="00FE1768"/>
    <w:rsid w:val="00FE24F4"/>
    <w:rsid w:val="00FE2560"/>
    <w:rsid w:val="00FE2712"/>
    <w:rsid w:val="00FE35D0"/>
    <w:rsid w:val="00FE3EBB"/>
    <w:rsid w:val="00FE4058"/>
    <w:rsid w:val="00FE41AC"/>
    <w:rsid w:val="00FE42E2"/>
    <w:rsid w:val="00FE42ED"/>
    <w:rsid w:val="00FE4843"/>
    <w:rsid w:val="00FE4C6D"/>
    <w:rsid w:val="00FE55A7"/>
    <w:rsid w:val="00FE55E6"/>
    <w:rsid w:val="00FE56D5"/>
    <w:rsid w:val="00FE576D"/>
    <w:rsid w:val="00FE5C5A"/>
    <w:rsid w:val="00FE6432"/>
    <w:rsid w:val="00FE6517"/>
    <w:rsid w:val="00FE72A0"/>
    <w:rsid w:val="00FF0050"/>
    <w:rsid w:val="00FF045F"/>
    <w:rsid w:val="00FF0679"/>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6C31"/>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B6B"/>
    <w:pPr>
      <w:spacing w:after="160" w:line="256" w:lineRule="auto"/>
    </w:pPr>
    <w:rPr>
      <w:rFonts w:ascii="Calibri" w:eastAsia="Calibri" w:hAnsi="Calibri" w:cs="Times New Roman"/>
    </w:rPr>
  </w:style>
  <w:style w:type="paragraph" w:styleId="Ttulo1">
    <w:name w:val="heading 1"/>
    <w:basedOn w:val="Normal"/>
    <w:link w:val="Ttulo1Car"/>
    <w:uiPriority w:val="1"/>
    <w:qFormat/>
    <w:rsid w:val="006D712D"/>
    <w:pPr>
      <w:widowControl w:val="0"/>
      <w:autoSpaceDE w:val="0"/>
      <w:autoSpaceDN w:val="0"/>
      <w:spacing w:after="0" w:line="240" w:lineRule="auto"/>
      <w:ind w:left="660" w:hanging="366"/>
      <w:outlineLvl w:val="0"/>
    </w:pPr>
    <w:rPr>
      <w:rFonts w:ascii="Arial" w:eastAsia="Arial" w:hAnsi="Arial" w:cs="Arial"/>
      <w:b/>
      <w:bCs/>
      <w:lang w:val="es-ES"/>
    </w:rPr>
  </w:style>
  <w:style w:type="paragraph" w:styleId="Ttulo2">
    <w:name w:val="heading 2"/>
    <w:basedOn w:val="Normal"/>
    <w:next w:val="Normal"/>
    <w:link w:val="Ttulo2Car"/>
    <w:uiPriority w:val="9"/>
    <w:semiHidden/>
    <w:unhideWhenUsed/>
    <w:qFormat/>
    <w:rsid w:val="00965FF8"/>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eastAsia="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after="0" w:line="240" w:lineRule="auto"/>
    </w:pPr>
    <w:rPr>
      <w:rFonts w:asciiTheme="minorHAnsi" w:eastAsiaTheme="minorHAnsi" w:hAnsiTheme="minorHAnsi" w:cstheme="minorBidi"/>
      <w:sz w:val="24"/>
      <w:lang w:val="es-MX"/>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after="0" w:line="240" w:lineRule="auto"/>
    </w:pPr>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after="0" w:line="240" w:lineRule="auto"/>
    </w:pPr>
    <w:rPr>
      <w:rFonts w:asciiTheme="minorHAnsi" w:eastAsiaTheme="minorHAnsi" w:hAnsiTheme="minorHAnsi" w:cstheme="minorBidi"/>
      <w:sz w:val="24"/>
      <w:lang w:val="es-MX"/>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spacing w:after="0" w:line="240" w:lineRule="auto"/>
      <w:ind w:left="720"/>
      <w:contextualSpacing/>
    </w:pPr>
    <w:rPr>
      <w:rFonts w:asciiTheme="minorHAnsi" w:eastAsiaTheme="minorHAnsi" w:hAnsiTheme="minorHAnsi" w:cstheme="minorBidi"/>
      <w:sz w:val="24"/>
      <w:lang w:val="es-MX"/>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after="0" w:line="240" w:lineRule="auto"/>
    </w:pPr>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40" w:lineRule="auto"/>
    </w:pPr>
    <w:rPr>
      <w:rFonts w:ascii="Times New Roman" w:eastAsia="Times New Roman" w:hAnsi="Times New Roman"/>
      <w:sz w:val="24"/>
      <w:szCs w:val="24"/>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after="0" w:line="240" w:lineRule="auto"/>
    </w:pPr>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rsid w:val="00477C5F"/>
    <w:pPr>
      <w:spacing w:line="240" w:lineRule="exact"/>
    </w:pPr>
    <w:rPr>
      <w:rFonts w:asciiTheme="minorHAnsi" w:eastAsiaTheme="minorHAnsi" w:hAnsiTheme="minorHAnsi" w:cstheme="minorBidi"/>
      <w:vertAlign w:val="superscript"/>
    </w:rPr>
  </w:style>
  <w:style w:type="paragraph" w:styleId="Sangradetextonormal">
    <w:name w:val="Body Text Indent"/>
    <w:basedOn w:val="Normal"/>
    <w:link w:val="SangradetextonormalCar"/>
    <w:uiPriority w:val="99"/>
    <w:semiHidden/>
    <w:unhideWhenUsed/>
    <w:rsid w:val="006B7E4E"/>
    <w:pPr>
      <w:spacing w:after="120" w:line="240" w:lineRule="auto"/>
      <w:ind w:left="283"/>
    </w:pPr>
    <w:rPr>
      <w:rFonts w:asciiTheme="minorHAnsi" w:eastAsiaTheme="minorHAnsi" w:hAnsiTheme="minorHAnsi" w:cstheme="minorBidi"/>
      <w:sz w:val="24"/>
      <w:lang w:val="es-MX"/>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line="240" w:lineRule="auto"/>
      <w:jc w:val="both"/>
    </w:pPr>
    <w:rPr>
      <w:rFonts w:ascii="Arial Narrow" w:eastAsia="Times New Roman" w:hAnsi="Arial Narrow"/>
      <w:color w:val="3C3C3C" w:themeColor="background2" w:themeShade="40"/>
      <w:sz w:val="24"/>
      <w:szCs w:val="24"/>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hAnsi="Arial" w:cs="Arial"/>
      <w:b/>
      <w:bCs/>
      <w:color w:val="1C1C1C"/>
      <w:sz w:val="20"/>
      <w:szCs w:val="20"/>
    </w:rPr>
  </w:style>
  <w:style w:type="paragraph" w:customStyle="1" w:styleId="Normal11pt">
    <w:name w:val="Normal + 11 pt"/>
    <w:aliases w:val="Negro,Justificado,Izquierda:  -0,95 cm,Derecha:  0,04 cm"/>
    <w:basedOn w:val="Normal"/>
    <w:uiPriority w:val="99"/>
    <w:rsid w:val="008A2527"/>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 w:type="character" w:customStyle="1" w:styleId="baj">
    <w:name w:val="b_aj"/>
    <w:basedOn w:val="Fuentedeprrafopredeter"/>
    <w:rsid w:val="008F293D"/>
  </w:style>
  <w:style w:type="character" w:customStyle="1" w:styleId="SinespaciadoCar">
    <w:name w:val="Sin espaciado Car"/>
    <w:aliases w:val="No Indent Car"/>
    <w:link w:val="Sinespaciado"/>
    <w:uiPriority w:val="3"/>
    <w:rsid w:val="00B44E8C"/>
    <w:rPr>
      <w:sz w:val="24"/>
      <w:lang w:val="es-MX"/>
    </w:rPr>
  </w:style>
  <w:style w:type="character" w:customStyle="1" w:styleId="apple-converted-space">
    <w:name w:val="apple-converted-space"/>
    <w:basedOn w:val="Fuentedeprrafopredeter"/>
    <w:rsid w:val="00B65BBE"/>
  </w:style>
  <w:style w:type="character" w:customStyle="1" w:styleId="Ttulo2Car">
    <w:name w:val="Título 2 Car"/>
    <w:basedOn w:val="Fuentedeprrafopredeter"/>
    <w:link w:val="Ttulo2"/>
    <w:uiPriority w:val="9"/>
    <w:semiHidden/>
    <w:rsid w:val="00965FF8"/>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37151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81166487">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9094643">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6549578">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1511602">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78676523">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570203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6510106">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553150">
      <w:bodyDiv w:val="1"/>
      <w:marLeft w:val="0"/>
      <w:marRight w:val="0"/>
      <w:marTop w:val="0"/>
      <w:marBottom w:val="0"/>
      <w:divBdr>
        <w:top w:val="none" w:sz="0" w:space="0" w:color="auto"/>
        <w:left w:val="none" w:sz="0" w:space="0" w:color="auto"/>
        <w:bottom w:val="none" w:sz="0" w:space="0" w:color="auto"/>
        <w:right w:val="none" w:sz="0" w:space="0" w:color="auto"/>
      </w:divBdr>
    </w:div>
    <w:div w:id="1429808959">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068452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9355292">
      <w:bodyDiv w:val="1"/>
      <w:marLeft w:val="0"/>
      <w:marRight w:val="0"/>
      <w:marTop w:val="0"/>
      <w:marBottom w:val="0"/>
      <w:divBdr>
        <w:top w:val="none" w:sz="0" w:space="0" w:color="auto"/>
        <w:left w:val="none" w:sz="0" w:space="0" w:color="auto"/>
        <w:bottom w:val="none" w:sz="0" w:space="0" w:color="auto"/>
        <w:right w:val="none" w:sz="0" w:space="0" w:color="auto"/>
      </w:divBdr>
    </w:div>
    <w:div w:id="1721325717">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01903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242409">
      <w:bodyDiv w:val="1"/>
      <w:marLeft w:val="0"/>
      <w:marRight w:val="0"/>
      <w:marTop w:val="0"/>
      <w:marBottom w:val="0"/>
      <w:divBdr>
        <w:top w:val="none" w:sz="0" w:space="0" w:color="auto"/>
        <w:left w:val="none" w:sz="0" w:space="0" w:color="auto"/>
        <w:bottom w:val="none" w:sz="0" w:space="0" w:color="auto"/>
        <w:right w:val="none" w:sz="0" w:space="0" w:color="auto"/>
      </w:divBdr>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1654730">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0080_1993.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E657A0-DFF8-4FEF-9943-44559296B0B8}"/>
</file>

<file path=customXml/itemProps2.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19</Pages>
  <Words>7163</Words>
  <Characters>39397</Characters>
  <Application>Microsoft Office Word</Application>
  <DocSecurity>0</DocSecurity>
  <Lines>328</Lines>
  <Paragraphs>92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2022-11-09T19:34:00Z</dcterms:created>
  <dcterms:modified xsi:type="dcterms:W3CDTF">2022-11-09T19:36:00Z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