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9"/>
      </w:tblGrid>
      <w:tr w:rsidR="00D73989" w:rsidRPr="00D450CA" w14:paraId="27748332" w14:textId="77777777" w:rsidTr="004318A3">
        <w:trPr>
          <w:trHeight w:val="884"/>
        </w:trPr>
        <w:tc>
          <w:tcPr>
            <w:tcW w:w="6100" w:type="dxa"/>
          </w:tcPr>
          <w:p w14:paraId="51BE21CB" w14:textId="1C474342" w:rsidR="0040166C" w:rsidRPr="0040166C" w:rsidRDefault="00D73989" w:rsidP="004318A3">
            <w:pPr>
              <w:spacing w:after="240"/>
              <w:jc w:val="both"/>
              <w:rPr>
                <w:rFonts w:ascii="Verdana" w:eastAsia="Calibri" w:hAnsi="Verdana" w:cs="Arial"/>
                <w:b/>
                <w:bCs/>
              </w:rPr>
            </w:pPr>
            <w:r w:rsidRPr="0040166C">
              <w:rPr>
                <w:rFonts w:ascii="Verdana" w:eastAsia="Calibri" w:hAnsi="Verdana" w:cs="Arial"/>
                <w:b/>
                <w:bCs/>
              </w:rPr>
              <w:t xml:space="preserve">ESTATUTO GENERAL CONTRATACIÓN – Aplicación – Entidades Descentralizadas Indirectas </w:t>
            </w:r>
          </w:p>
          <w:p w14:paraId="74EBF8DD" w14:textId="5EE5E8D4" w:rsidR="0040166C" w:rsidRPr="0040166C" w:rsidRDefault="0040166C" w:rsidP="0040166C">
            <w:pPr>
              <w:pStyle w:val="NormalWeb"/>
              <w:spacing w:after="120" w:line="276" w:lineRule="auto"/>
              <w:jc w:val="both"/>
              <w:rPr>
                <w:rFonts w:ascii="Verdana" w:hAnsi="Verdana" w:cs="Arial"/>
                <w:sz w:val="22"/>
                <w:szCs w:val="22"/>
              </w:rPr>
            </w:pPr>
            <w:r w:rsidRPr="00F07AB6">
              <w:rPr>
                <w:rFonts w:ascii="Verdana" w:hAnsi="Verdana" w:cs="Arial"/>
                <w:sz w:val="22"/>
                <w:szCs w:val="22"/>
              </w:rPr>
              <w:t>En ese sentido, las asociaciones de carácter mixto con participación mayoritaria del Estado que se constituyan en virtud del artículo 96 de la Ley 489 de 1998 se consideran como entidades estatales, sometidas al Estatuto General de Contratación de la Administración Pública, cuando los aportes realizados al momento de su constitución son superiores al 50%. Lo anterior, sin perjuicio de cualquier modificación posterior que se realice de dichos aportes y que impliquen un cambio en la participación de los socios, fundadores o constituyentes.</w:t>
            </w:r>
          </w:p>
          <w:p w14:paraId="572FD68F" w14:textId="3521EFEC" w:rsidR="0040166C" w:rsidRPr="0040166C" w:rsidRDefault="00D73989" w:rsidP="004318A3">
            <w:pPr>
              <w:spacing w:after="240"/>
              <w:jc w:val="both"/>
              <w:rPr>
                <w:rFonts w:ascii="Verdana" w:hAnsi="Verdana" w:cs="Arial"/>
                <w:b/>
                <w:bCs/>
              </w:rPr>
            </w:pPr>
            <w:r w:rsidRPr="0040166C">
              <w:rPr>
                <w:rFonts w:ascii="Verdana" w:eastAsia="Calibri" w:hAnsi="Verdana" w:cs="Arial"/>
                <w:b/>
                <w:bCs/>
              </w:rPr>
              <w:t xml:space="preserve">CONTRATOS Y </w:t>
            </w:r>
            <w:r w:rsidRPr="0040166C">
              <w:rPr>
                <w:rFonts w:ascii="Verdana" w:hAnsi="Verdana" w:cs="Arial"/>
                <w:b/>
                <w:bCs/>
              </w:rPr>
              <w:t xml:space="preserve">CONVENIOS INTERADMINISTRATIVOS – Noción – Criterio orgánico </w:t>
            </w:r>
          </w:p>
          <w:p w14:paraId="71FE0194" w14:textId="645207BF" w:rsidR="0040166C" w:rsidRDefault="0040166C" w:rsidP="004318A3">
            <w:pPr>
              <w:spacing w:after="240"/>
              <w:jc w:val="both"/>
              <w:rPr>
                <w:rFonts w:ascii="Verdana" w:hAnsi="Verdana" w:cs="Arial"/>
              </w:rPr>
            </w:pPr>
            <w:r>
              <w:rPr>
                <w:rFonts w:ascii="Verdana" w:eastAsia="Arial" w:hAnsi="Verdana" w:cs="Arial"/>
                <w:lang w:val="es-ES"/>
              </w:rPr>
              <w:t>[…] s</w:t>
            </w:r>
            <w:r w:rsidRPr="00F07AB6">
              <w:rPr>
                <w:rFonts w:ascii="Verdana" w:eastAsia="Arial" w:hAnsi="Verdana" w:cs="Arial"/>
                <w:lang w:val="es-ES"/>
              </w:rPr>
              <w:t>obre</w:t>
            </w:r>
            <w:r w:rsidRPr="00F07AB6">
              <w:rPr>
                <w:rFonts w:ascii="Verdana" w:eastAsia="Calibri" w:hAnsi="Verdana" w:cs="Arial"/>
                <w:bCs/>
                <w:color w:val="000000"/>
                <w:lang w:val="es-ES"/>
              </w:rPr>
              <w:t xml:space="preserve"> la tipología de convenios o contratos interadministrativos conviene precisar que, </w:t>
            </w:r>
            <w:r w:rsidRPr="00F07AB6">
              <w:rPr>
                <w:rFonts w:ascii="Verdana" w:eastAsia="Arial" w:hAnsi="Verdana" w:cs="Arial"/>
                <w:color w:val="000000"/>
                <w:lang w:val="es-ES"/>
              </w:rPr>
              <w:t>aunque la ley no la definió ni desarrolló, el Decreto 1082 de 2015 se refiere como interadministrativa a aquella contratación entre entidades estatales</w:t>
            </w:r>
            <w:r w:rsidRPr="00F07AB6">
              <w:rPr>
                <w:rFonts w:ascii="Verdana" w:eastAsia="Arial" w:hAnsi="Verdana" w:cs="Arial"/>
                <w:color w:val="000000"/>
                <w:vertAlign w:val="superscript"/>
                <w:lang w:val="es-ES"/>
              </w:rPr>
              <w:footnoteReference w:id="1"/>
            </w:r>
            <w:r w:rsidRPr="00F07AB6">
              <w:rPr>
                <w:rFonts w:ascii="Verdana" w:eastAsia="Arial" w:hAnsi="Verdana" w:cs="Arial"/>
                <w:color w:val="000000"/>
                <w:lang w:val="es-ES"/>
              </w:rPr>
              <w:t>. De acuerdo con lo anterior, es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07AB6">
              <w:rPr>
                <w:rFonts w:ascii="Verdana" w:eastAsia="Arial" w:hAnsi="Verdana" w:cs="Arial"/>
                <w:color w:val="000000"/>
                <w:spacing w:val="-6"/>
                <w:lang w:val="es-ES"/>
              </w:rPr>
              <w:t xml:space="preserve"> </w:t>
            </w:r>
            <w:r w:rsidRPr="00F07AB6">
              <w:rPr>
                <w:rFonts w:ascii="Verdana" w:eastAsia="Arial" w:hAnsi="Verdana" w:cs="Arial"/>
                <w:color w:val="000000"/>
                <w:lang w:val="es-ES"/>
              </w:rPr>
              <w:t>estatales.</w:t>
            </w:r>
          </w:p>
          <w:p w14:paraId="16834259" w14:textId="140677D5" w:rsidR="00D73989" w:rsidRPr="0040166C" w:rsidRDefault="00D73989" w:rsidP="004318A3">
            <w:pPr>
              <w:spacing w:after="240"/>
              <w:jc w:val="both"/>
              <w:rPr>
                <w:rFonts w:ascii="Verdana" w:hAnsi="Verdana" w:cs="Arial"/>
                <w:b/>
                <w:bCs/>
              </w:rPr>
            </w:pPr>
            <w:r w:rsidRPr="0040166C">
              <w:rPr>
                <w:rFonts w:ascii="Verdana" w:hAnsi="Verdana" w:cs="Arial"/>
                <w:b/>
                <w:bCs/>
              </w:rPr>
              <w:t>DOCUMENTOS TIPO - Obligatoriedad</w:t>
            </w:r>
          </w:p>
          <w:p w14:paraId="15BD823C" w14:textId="77777777" w:rsidR="0040166C" w:rsidRPr="00CC09DD" w:rsidRDefault="0040166C" w:rsidP="0040166C">
            <w:pPr>
              <w:spacing w:line="276" w:lineRule="auto"/>
              <w:jc w:val="both"/>
              <w:rPr>
                <w:rFonts w:ascii="Verdana" w:eastAsia="Calibri" w:hAnsi="Verdana" w:cs="Arial"/>
                <w:bCs/>
              </w:rPr>
            </w:pPr>
            <w:r w:rsidRPr="00CC09DD">
              <w:rPr>
                <w:rFonts w:ascii="Verdana" w:eastAsia="Calibri" w:hAnsi="Verdana" w:cs="Arial"/>
                <w:bCs/>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w:t>
            </w:r>
            <w:r w:rsidRPr="00CC09DD">
              <w:rPr>
                <w:rFonts w:ascii="Verdana" w:eastAsia="Calibri" w:hAnsi="Verdana" w:cs="Arial"/>
                <w:bCs/>
                <w:lang w:val="es-ES"/>
              </w:rPr>
              <w:lastRenderedPageBreak/>
              <w:t>para los sectores de infraestructura de transporte, agua potable-saneamiento básico y social.</w:t>
            </w:r>
          </w:p>
          <w:p w14:paraId="223A020E" w14:textId="77777777" w:rsidR="0040166C" w:rsidRPr="00CC09DD" w:rsidRDefault="0040166C" w:rsidP="0040166C">
            <w:pPr>
              <w:spacing w:line="276" w:lineRule="auto"/>
              <w:jc w:val="both"/>
              <w:rPr>
                <w:rFonts w:ascii="Verdana" w:eastAsia="Calibri" w:hAnsi="Verdana" w:cs="Arial"/>
                <w:lang w:val="es-ES_tradnl" w:eastAsia="es-ES"/>
              </w:rPr>
            </w:pPr>
          </w:p>
          <w:p w14:paraId="44951C89" w14:textId="266D86CA" w:rsidR="00D73989" w:rsidRPr="00D450CA" w:rsidRDefault="0040166C" w:rsidP="0040166C">
            <w:pPr>
              <w:spacing w:line="276" w:lineRule="auto"/>
              <w:jc w:val="both"/>
              <w:rPr>
                <w:rFonts w:ascii="Verdana" w:eastAsia="Calibri" w:hAnsi="Verdana" w:cs="Arial"/>
                <w:lang w:val="es-ES" w:eastAsia="es-ES"/>
              </w:rPr>
            </w:pPr>
            <w:r w:rsidRPr="00CC09DD">
              <w:rPr>
                <w:rFonts w:ascii="Verdana" w:eastAsia="Calibri" w:hAnsi="Verdana" w:cs="Arial"/>
                <w:lang w:val="es-ES_tradnl" w:eastAsia="es-ES"/>
              </w:rPr>
              <w:t>Adicionalmente, e</w:t>
            </w:r>
            <w:r w:rsidRPr="00CC09DD">
              <w:rPr>
                <w:rFonts w:ascii="Verdana" w:eastAsia="Calibri" w:hAnsi="Verdana" w:cs="Arial"/>
                <w:shd w:val="clear" w:color="auto" w:fill="FFFFFF"/>
                <w:lang w:val="es-ES"/>
              </w:rPr>
              <w:t>s importante tener en cuenta la inalterabilidad de los Documentos Tipo adoptados por la Agencia Nacional de Contratación Pública – Colombia Compra Eficiente. La regla de inalterabilidad de los Documentos Tipo, consagrada en los artículos 2.2.1.2.6.1.4, 2.2.1.2.6.2.3 y 2.2.1.2.6.3.4 del Decreto 1082 de 2015, consiste en que las entidades estatales no pueden incluir o modificar en los documentos del proceso las condiciones habilitantes, los factores técnicos y económicos de escogencia y los sistemas de ponderación distintos a los señalados en los Documentos Tipo.</w:t>
            </w:r>
          </w:p>
        </w:tc>
      </w:tr>
    </w:tbl>
    <w:p w14:paraId="43F226FA" w14:textId="77777777" w:rsidR="00D73989" w:rsidRDefault="00D73989" w:rsidP="00ED3EB5">
      <w:pPr>
        <w:spacing w:after="0" w:line="240" w:lineRule="auto"/>
        <w:rPr>
          <w:rFonts w:ascii="Verdana" w:eastAsia="Geomanist Light" w:hAnsi="Verdana" w:cs="Arial"/>
          <w:color w:val="000000" w:themeColor="text1"/>
          <w:lang w:val="es-MX"/>
        </w:rPr>
      </w:pPr>
    </w:p>
    <w:p w14:paraId="6DF98560" w14:textId="77777777" w:rsidR="00D73989" w:rsidRDefault="00D73989" w:rsidP="00ED3EB5">
      <w:pPr>
        <w:spacing w:after="0" w:line="240" w:lineRule="auto"/>
        <w:rPr>
          <w:rFonts w:ascii="Verdana" w:eastAsia="Geomanist Light" w:hAnsi="Verdana" w:cs="Arial"/>
          <w:color w:val="000000" w:themeColor="text1"/>
          <w:lang w:val="es-MX"/>
        </w:rPr>
      </w:pPr>
    </w:p>
    <w:p w14:paraId="4B90A5E6" w14:textId="52D8B398" w:rsidR="00D73989" w:rsidRDefault="00D73989" w:rsidP="00ED3EB5">
      <w:pPr>
        <w:spacing w:after="0" w:line="240" w:lineRule="auto"/>
        <w:rPr>
          <w:rFonts w:ascii="Verdana" w:eastAsia="Geomanist Light" w:hAnsi="Verdana" w:cs="Arial"/>
          <w:color w:val="000000" w:themeColor="text1"/>
          <w:lang w:val="es-MX"/>
        </w:rPr>
      </w:pPr>
    </w:p>
    <w:p w14:paraId="5E6EC19B" w14:textId="5A064D05" w:rsidR="0040166C" w:rsidRDefault="0040166C" w:rsidP="00ED3EB5">
      <w:pPr>
        <w:spacing w:after="0" w:line="240" w:lineRule="auto"/>
        <w:rPr>
          <w:rFonts w:ascii="Verdana" w:eastAsia="Geomanist Light" w:hAnsi="Verdana" w:cs="Arial"/>
          <w:color w:val="000000" w:themeColor="text1"/>
          <w:lang w:val="es-MX"/>
        </w:rPr>
      </w:pPr>
    </w:p>
    <w:p w14:paraId="3EC5A05E" w14:textId="3EA61109" w:rsidR="0040166C" w:rsidRDefault="0040166C" w:rsidP="00ED3EB5">
      <w:pPr>
        <w:spacing w:after="0" w:line="240" w:lineRule="auto"/>
        <w:rPr>
          <w:rFonts w:ascii="Verdana" w:eastAsia="Geomanist Light" w:hAnsi="Verdana" w:cs="Arial"/>
          <w:color w:val="000000" w:themeColor="text1"/>
          <w:lang w:val="es-MX"/>
        </w:rPr>
      </w:pPr>
    </w:p>
    <w:p w14:paraId="03E86CC7" w14:textId="06A1ADFE" w:rsidR="0040166C" w:rsidRDefault="0040166C" w:rsidP="00ED3EB5">
      <w:pPr>
        <w:spacing w:after="0" w:line="240" w:lineRule="auto"/>
        <w:rPr>
          <w:rFonts w:ascii="Verdana" w:eastAsia="Geomanist Light" w:hAnsi="Verdana" w:cs="Arial"/>
          <w:color w:val="000000" w:themeColor="text1"/>
          <w:lang w:val="es-MX"/>
        </w:rPr>
      </w:pPr>
    </w:p>
    <w:p w14:paraId="039C9662" w14:textId="2941EE6B" w:rsidR="0040166C" w:rsidRDefault="0040166C" w:rsidP="00ED3EB5">
      <w:pPr>
        <w:spacing w:after="0" w:line="240" w:lineRule="auto"/>
        <w:rPr>
          <w:rFonts w:ascii="Verdana" w:eastAsia="Geomanist Light" w:hAnsi="Verdana" w:cs="Arial"/>
          <w:color w:val="000000" w:themeColor="text1"/>
          <w:lang w:val="es-MX"/>
        </w:rPr>
      </w:pPr>
    </w:p>
    <w:p w14:paraId="616436EA" w14:textId="5C9BAA1D" w:rsidR="0040166C" w:rsidRDefault="0040166C" w:rsidP="00ED3EB5">
      <w:pPr>
        <w:spacing w:after="0" w:line="240" w:lineRule="auto"/>
        <w:rPr>
          <w:rFonts w:ascii="Verdana" w:eastAsia="Geomanist Light" w:hAnsi="Verdana" w:cs="Arial"/>
          <w:color w:val="000000" w:themeColor="text1"/>
          <w:lang w:val="es-MX"/>
        </w:rPr>
      </w:pPr>
    </w:p>
    <w:p w14:paraId="5ADA0515" w14:textId="7901DBB4" w:rsidR="0040166C" w:rsidRDefault="0040166C" w:rsidP="00ED3EB5">
      <w:pPr>
        <w:spacing w:after="0" w:line="240" w:lineRule="auto"/>
        <w:rPr>
          <w:rFonts w:ascii="Verdana" w:eastAsia="Geomanist Light" w:hAnsi="Verdana" w:cs="Arial"/>
          <w:color w:val="000000" w:themeColor="text1"/>
          <w:lang w:val="es-MX"/>
        </w:rPr>
      </w:pPr>
    </w:p>
    <w:p w14:paraId="575689DE" w14:textId="2DF3DEB2" w:rsidR="0040166C" w:rsidRDefault="0040166C" w:rsidP="00ED3EB5">
      <w:pPr>
        <w:spacing w:after="0" w:line="240" w:lineRule="auto"/>
        <w:rPr>
          <w:rFonts w:ascii="Verdana" w:eastAsia="Geomanist Light" w:hAnsi="Verdana" w:cs="Arial"/>
          <w:color w:val="000000" w:themeColor="text1"/>
          <w:lang w:val="es-MX"/>
        </w:rPr>
      </w:pPr>
    </w:p>
    <w:p w14:paraId="7FB30C5B" w14:textId="12EDFA05" w:rsidR="0040166C" w:rsidRDefault="0040166C" w:rsidP="00ED3EB5">
      <w:pPr>
        <w:spacing w:after="0" w:line="240" w:lineRule="auto"/>
        <w:rPr>
          <w:rFonts w:ascii="Verdana" w:eastAsia="Geomanist Light" w:hAnsi="Verdana" w:cs="Arial"/>
          <w:color w:val="000000" w:themeColor="text1"/>
          <w:lang w:val="es-MX"/>
        </w:rPr>
      </w:pPr>
    </w:p>
    <w:p w14:paraId="4E9D4824" w14:textId="02E55B02" w:rsidR="0040166C" w:rsidRDefault="0040166C" w:rsidP="00ED3EB5">
      <w:pPr>
        <w:spacing w:after="0" w:line="240" w:lineRule="auto"/>
        <w:rPr>
          <w:rFonts w:ascii="Verdana" w:eastAsia="Geomanist Light" w:hAnsi="Verdana" w:cs="Arial"/>
          <w:color w:val="000000" w:themeColor="text1"/>
          <w:lang w:val="es-MX"/>
        </w:rPr>
      </w:pPr>
    </w:p>
    <w:p w14:paraId="33E10B9B" w14:textId="5B8715C5" w:rsidR="0040166C" w:rsidRDefault="0040166C" w:rsidP="00ED3EB5">
      <w:pPr>
        <w:spacing w:after="0" w:line="240" w:lineRule="auto"/>
        <w:rPr>
          <w:rFonts w:ascii="Verdana" w:eastAsia="Geomanist Light" w:hAnsi="Verdana" w:cs="Arial"/>
          <w:color w:val="000000" w:themeColor="text1"/>
          <w:lang w:val="es-MX"/>
        </w:rPr>
      </w:pPr>
    </w:p>
    <w:p w14:paraId="685B1CF3" w14:textId="0A72962F" w:rsidR="0040166C" w:rsidRDefault="0040166C" w:rsidP="00ED3EB5">
      <w:pPr>
        <w:spacing w:after="0" w:line="240" w:lineRule="auto"/>
        <w:rPr>
          <w:rFonts w:ascii="Verdana" w:eastAsia="Geomanist Light" w:hAnsi="Verdana" w:cs="Arial"/>
          <w:color w:val="000000" w:themeColor="text1"/>
          <w:lang w:val="es-MX"/>
        </w:rPr>
      </w:pPr>
    </w:p>
    <w:p w14:paraId="68F83EDF" w14:textId="1690DAE3" w:rsidR="0040166C" w:rsidRDefault="0040166C" w:rsidP="00ED3EB5">
      <w:pPr>
        <w:spacing w:after="0" w:line="240" w:lineRule="auto"/>
        <w:rPr>
          <w:rFonts w:ascii="Verdana" w:eastAsia="Geomanist Light" w:hAnsi="Verdana" w:cs="Arial"/>
          <w:color w:val="000000" w:themeColor="text1"/>
          <w:lang w:val="es-MX"/>
        </w:rPr>
      </w:pPr>
    </w:p>
    <w:p w14:paraId="4E2A0331" w14:textId="3CC948A4" w:rsidR="0040166C" w:rsidRDefault="0040166C" w:rsidP="00ED3EB5">
      <w:pPr>
        <w:spacing w:after="0" w:line="240" w:lineRule="auto"/>
        <w:rPr>
          <w:rFonts w:ascii="Verdana" w:eastAsia="Geomanist Light" w:hAnsi="Verdana" w:cs="Arial"/>
          <w:color w:val="000000" w:themeColor="text1"/>
          <w:lang w:val="es-MX"/>
        </w:rPr>
      </w:pPr>
    </w:p>
    <w:p w14:paraId="10F48D41" w14:textId="10DBA9A5" w:rsidR="0040166C" w:rsidRDefault="0040166C" w:rsidP="00ED3EB5">
      <w:pPr>
        <w:spacing w:after="0" w:line="240" w:lineRule="auto"/>
        <w:rPr>
          <w:rFonts w:ascii="Verdana" w:eastAsia="Geomanist Light" w:hAnsi="Verdana" w:cs="Arial"/>
          <w:color w:val="000000" w:themeColor="text1"/>
          <w:lang w:val="es-MX"/>
        </w:rPr>
      </w:pPr>
    </w:p>
    <w:p w14:paraId="5607C6CD" w14:textId="03629898" w:rsidR="0040166C" w:rsidRDefault="0040166C" w:rsidP="00ED3EB5">
      <w:pPr>
        <w:spacing w:after="0" w:line="240" w:lineRule="auto"/>
        <w:rPr>
          <w:rFonts w:ascii="Verdana" w:eastAsia="Geomanist Light" w:hAnsi="Verdana" w:cs="Arial"/>
          <w:color w:val="000000" w:themeColor="text1"/>
          <w:lang w:val="es-MX"/>
        </w:rPr>
      </w:pPr>
    </w:p>
    <w:p w14:paraId="7884A4D4" w14:textId="13B46044" w:rsidR="0040166C" w:rsidRDefault="0040166C" w:rsidP="00ED3EB5">
      <w:pPr>
        <w:spacing w:after="0" w:line="240" w:lineRule="auto"/>
        <w:rPr>
          <w:rFonts w:ascii="Verdana" w:eastAsia="Geomanist Light" w:hAnsi="Verdana" w:cs="Arial"/>
          <w:color w:val="000000" w:themeColor="text1"/>
          <w:lang w:val="es-MX"/>
        </w:rPr>
      </w:pPr>
    </w:p>
    <w:p w14:paraId="09DDBEF0" w14:textId="1AF2B370" w:rsidR="0040166C" w:rsidRDefault="0040166C" w:rsidP="00ED3EB5">
      <w:pPr>
        <w:spacing w:after="0" w:line="240" w:lineRule="auto"/>
        <w:rPr>
          <w:rFonts w:ascii="Verdana" w:eastAsia="Geomanist Light" w:hAnsi="Verdana" w:cs="Arial"/>
          <w:color w:val="000000" w:themeColor="text1"/>
          <w:lang w:val="es-MX"/>
        </w:rPr>
      </w:pPr>
    </w:p>
    <w:p w14:paraId="6BDA96A4" w14:textId="3BD2124E" w:rsidR="0040166C" w:rsidRDefault="0040166C" w:rsidP="00ED3EB5">
      <w:pPr>
        <w:spacing w:after="0" w:line="240" w:lineRule="auto"/>
        <w:rPr>
          <w:rFonts w:ascii="Verdana" w:eastAsia="Geomanist Light" w:hAnsi="Verdana" w:cs="Arial"/>
          <w:color w:val="000000" w:themeColor="text1"/>
          <w:lang w:val="es-MX"/>
        </w:rPr>
      </w:pPr>
    </w:p>
    <w:p w14:paraId="05151694" w14:textId="150FCFE2" w:rsidR="0040166C" w:rsidRDefault="0040166C" w:rsidP="00ED3EB5">
      <w:pPr>
        <w:spacing w:after="0" w:line="240" w:lineRule="auto"/>
        <w:rPr>
          <w:rFonts w:ascii="Verdana" w:eastAsia="Geomanist Light" w:hAnsi="Verdana" w:cs="Arial"/>
          <w:color w:val="000000" w:themeColor="text1"/>
          <w:lang w:val="es-MX"/>
        </w:rPr>
      </w:pPr>
    </w:p>
    <w:p w14:paraId="1AA6D9B6" w14:textId="0DFACEF9" w:rsidR="0040166C" w:rsidRDefault="0040166C" w:rsidP="00ED3EB5">
      <w:pPr>
        <w:spacing w:after="0" w:line="240" w:lineRule="auto"/>
        <w:rPr>
          <w:rFonts w:ascii="Verdana" w:eastAsia="Geomanist Light" w:hAnsi="Verdana" w:cs="Arial"/>
          <w:color w:val="000000" w:themeColor="text1"/>
          <w:lang w:val="es-MX"/>
        </w:rPr>
      </w:pPr>
    </w:p>
    <w:p w14:paraId="69E2CE3E" w14:textId="3D0F0BAC" w:rsidR="0040166C" w:rsidRDefault="0040166C" w:rsidP="00ED3EB5">
      <w:pPr>
        <w:spacing w:after="0" w:line="240" w:lineRule="auto"/>
        <w:rPr>
          <w:rFonts w:ascii="Verdana" w:eastAsia="Geomanist Light" w:hAnsi="Verdana" w:cs="Arial"/>
          <w:color w:val="000000" w:themeColor="text1"/>
          <w:lang w:val="es-MX"/>
        </w:rPr>
      </w:pPr>
    </w:p>
    <w:p w14:paraId="053F9596" w14:textId="735A55A2" w:rsidR="0040166C" w:rsidRDefault="0040166C" w:rsidP="00ED3EB5">
      <w:pPr>
        <w:spacing w:after="0" w:line="240" w:lineRule="auto"/>
        <w:rPr>
          <w:rFonts w:ascii="Verdana" w:eastAsia="Geomanist Light" w:hAnsi="Verdana" w:cs="Arial"/>
          <w:color w:val="000000" w:themeColor="text1"/>
          <w:lang w:val="es-MX"/>
        </w:rPr>
      </w:pPr>
    </w:p>
    <w:p w14:paraId="6B942641" w14:textId="2D8C75F0" w:rsidR="0040166C" w:rsidRDefault="0040166C" w:rsidP="00ED3EB5">
      <w:pPr>
        <w:spacing w:after="0" w:line="240" w:lineRule="auto"/>
        <w:rPr>
          <w:rFonts w:ascii="Verdana" w:eastAsia="Geomanist Light" w:hAnsi="Verdana" w:cs="Arial"/>
          <w:color w:val="000000" w:themeColor="text1"/>
          <w:lang w:val="es-MX"/>
        </w:rPr>
      </w:pPr>
    </w:p>
    <w:p w14:paraId="00954871" w14:textId="77777777" w:rsidR="0040166C" w:rsidRDefault="0040166C" w:rsidP="00ED3EB5">
      <w:pPr>
        <w:spacing w:after="0" w:line="240" w:lineRule="auto"/>
        <w:rPr>
          <w:rFonts w:ascii="Verdana" w:eastAsia="Geomanist Light" w:hAnsi="Verdana" w:cs="Arial"/>
          <w:color w:val="000000" w:themeColor="text1"/>
          <w:lang w:val="es-MX"/>
        </w:rPr>
      </w:pPr>
    </w:p>
    <w:p w14:paraId="396A5D3D" w14:textId="77777777" w:rsidR="00D73989" w:rsidRDefault="00D73989" w:rsidP="00ED3EB5">
      <w:pPr>
        <w:spacing w:after="0" w:line="240" w:lineRule="auto"/>
        <w:rPr>
          <w:rFonts w:ascii="Verdana" w:eastAsia="Geomanist Light" w:hAnsi="Verdana" w:cs="Arial"/>
          <w:color w:val="000000" w:themeColor="text1"/>
          <w:lang w:val="es-MX"/>
        </w:rPr>
      </w:pPr>
    </w:p>
    <w:p w14:paraId="30216842" w14:textId="77777777" w:rsidR="00D73989" w:rsidRDefault="00D73989" w:rsidP="00ED3EB5">
      <w:pPr>
        <w:spacing w:after="0" w:line="240" w:lineRule="auto"/>
        <w:rPr>
          <w:rFonts w:ascii="Verdana" w:eastAsia="Geomanist Light" w:hAnsi="Verdana" w:cs="Arial"/>
          <w:color w:val="000000" w:themeColor="text1"/>
          <w:lang w:val="es-MX"/>
        </w:rPr>
      </w:pPr>
    </w:p>
    <w:p w14:paraId="59D68A44" w14:textId="77777777" w:rsidR="00D73989" w:rsidRDefault="00D73989" w:rsidP="00ED3EB5">
      <w:pPr>
        <w:spacing w:after="0" w:line="240" w:lineRule="auto"/>
        <w:rPr>
          <w:rFonts w:ascii="Verdana" w:eastAsia="Geomanist Light" w:hAnsi="Verdana" w:cs="Arial"/>
          <w:color w:val="000000" w:themeColor="text1"/>
          <w:lang w:val="es-MX"/>
        </w:rPr>
      </w:pPr>
    </w:p>
    <w:p w14:paraId="6B101352" w14:textId="44B0EB02" w:rsidR="00ED3EB5" w:rsidRPr="00593A5F" w:rsidRDefault="00ED3EB5" w:rsidP="00ED3EB5">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40166C">
        <w:rPr>
          <w:rFonts w:ascii="Verdana" w:eastAsia="Geomanist Light" w:hAnsi="Verdana" w:cs="Arial"/>
          <w:color w:val="201F1E"/>
          <w:lang w:val="es-MX"/>
        </w:rPr>
        <w:t>15 de julio de 2025</w:t>
      </w:r>
    </w:p>
    <w:p w14:paraId="62C20E5F" w14:textId="77777777" w:rsidR="00ED3EB5" w:rsidRPr="00593A5F" w:rsidRDefault="00ED3EB5" w:rsidP="00ED3EB5">
      <w:pPr>
        <w:spacing w:after="0" w:line="240" w:lineRule="auto"/>
        <w:jc w:val="both"/>
        <w:rPr>
          <w:rFonts w:ascii="Verdana" w:eastAsia="Calibri" w:hAnsi="Verdana" w:cs="Arial"/>
          <w:color w:val="000000"/>
          <w:lang w:val="es-ES"/>
        </w:rPr>
      </w:pPr>
    </w:p>
    <w:p w14:paraId="49AE4DC5" w14:textId="65A7172F" w:rsidR="00ED3EB5" w:rsidRPr="00B96799" w:rsidRDefault="0040166C" w:rsidP="00ED3EB5">
      <w:pPr>
        <w:spacing w:after="0" w:line="240" w:lineRule="auto"/>
        <w:jc w:val="both"/>
        <w:rPr>
          <w:rFonts w:ascii="Verdana" w:eastAsia="Calibri" w:hAnsi="Verdana" w:cs="Arial"/>
          <w:lang w:val="es-ES" w:eastAsia="es-ES"/>
        </w:rPr>
      </w:pPr>
      <w:r>
        <w:rPr>
          <w:rFonts w:ascii="Verdana" w:eastAsia="Calibri" w:hAnsi="Verdana" w:cs="Arial"/>
          <w:noProof/>
          <w:u w:val="single"/>
          <w:lang w:val="es-ES" w:eastAsia="es-ES"/>
        </w:rPr>
        <w:drawing>
          <wp:anchor distT="0" distB="0" distL="114300" distR="114300" simplePos="0" relativeHeight="251658240" behindDoc="0" locked="0" layoutInCell="1" allowOverlap="1" wp14:anchorId="4983E595" wp14:editId="0E36389C">
            <wp:simplePos x="0" y="0"/>
            <wp:positionH relativeFrom="column">
              <wp:posOffset>2895407</wp:posOffset>
            </wp:positionH>
            <wp:positionV relativeFrom="paragraph">
              <wp:posOffset>24848</wp:posOffset>
            </wp:positionV>
            <wp:extent cx="2673350" cy="850900"/>
            <wp:effectExtent l="0" t="0" r="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673350" cy="850900"/>
                    </a:xfrm>
                    <a:prstGeom prst="rect">
                      <a:avLst/>
                    </a:prstGeom>
                  </pic:spPr>
                </pic:pic>
              </a:graphicData>
            </a:graphic>
            <wp14:sizeRelH relativeFrom="page">
              <wp14:pctWidth>0</wp14:pctWidth>
            </wp14:sizeRelH>
            <wp14:sizeRelV relativeFrom="page">
              <wp14:pctHeight>0</wp14:pctHeight>
            </wp14:sizeRelV>
          </wp:anchor>
        </w:drawing>
      </w:r>
      <w:r w:rsidR="00ED3EB5" w:rsidRPr="00B96799">
        <w:rPr>
          <w:rFonts w:ascii="Verdana" w:eastAsia="Calibri" w:hAnsi="Verdana" w:cs="Arial"/>
          <w:lang w:val="es-ES" w:eastAsia="es-ES"/>
        </w:rPr>
        <w:t>Señor</w:t>
      </w:r>
      <w:r w:rsidR="00ED3EB5">
        <w:rPr>
          <w:rFonts w:ascii="Verdana" w:eastAsia="Calibri" w:hAnsi="Verdana" w:cs="Arial"/>
          <w:lang w:val="es-ES" w:eastAsia="es-ES"/>
        </w:rPr>
        <w:t>a</w:t>
      </w:r>
    </w:p>
    <w:p w14:paraId="3EEA50B0" w14:textId="4466813B" w:rsidR="00ED3EB5" w:rsidRPr="00B96799" w:rsidRDefault="00ED3EB5" w:rsidP="00ED3EB5">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Alba Manrique Cárdenas</w:t>
      </w:r>
    </w:p>
    <w:p w14:paraId="3E264CC6" w14:textId="0DEA03F9" w:rsidR="00ED3EB5" w:rsidRDefault="00ED3EB5" w:rsidP="00ED3EB5">
      <w:pPr>
        <w:spacing w:after="0" w:line="240" w:lineRule="auto"/>
        <w:rPr>
          <w:rFonts w:ascii="Verdana" w:eastAsia="Calibri" w:hAnsi="Verdana" w:cs="Arial"/>
          <w:u w:val="single"/>
          <w:lang w:val="es-ES" w:eastAsia="es-ES"/>
        </w:rPr>
      </w:pPr>
      <w:hyperlink r:id="rId11" w:history="1">
        <w:r w:rsidRPr="00F66479">
          <w:rPr>
            <w:rStyle w:val="Hipervnculo"/>
            <w:rFonts w:ascii="Verdana" w:eastAsia="Calibri" w:hAnsi="Verdana" w:cs="Arial"/>
            <w:lang w:val="es-ES" w:eastAsia="es-ES"/>
          </w:rPr>
          <w:t>albamanrique909@gmail.com</w:t>
        </w:r>
      </w:hyperlink>
    </w:p>
    <w:p w14:paraId="5E5C23CA" w14:textId="77777777" w:rsidR="00ED3EB5" w:rsidRPr="00B96799" w:rsidRDefault="00ED3EB5" w:rsidP="00ED3EB5">
      <w:pPr>
        <w:spacing w:after="0" w:line="240" w:lineRule="auto"/>
        <w:rPr>
          <w:rFonts w:ascii="Verdana" w:eastAsia="Calibri" w:hAnsi="Verdana" w:cs="Arial"/>
          <w:b/>
          <w:bCs/>
          <w:lang w:val="es-ES" w:eastAsia="es-ES"/>
        </w:rPr>
      </w:pPr>
      <w:r>
        <w:rPr>
          <w:rFonts w:ascii="Verdana" w:eastAsia="Calibri" w:hAnsi="Verdana" w:cs="Arial"/>
          <w:lang w:val="es-ES" w:eastAsia="es-ES"/>
        </w:rPr>
        <w:t>San Gil, Santander</w:t>
      </w:r>
    </w:p>
    <w:p w14:paraId="0FD5F0C0" w14:textId="77777777" w:rsidR="00ED3EB5" w:rsidRPr="00593A5F" w:rsidRDefault="00ED3EB5" w:rsidP="00ED3EB5">
      <w:pPr>
        <w:spacing w:after="0" w:line="240" w:lineRule="auto"/>
        <w:rPr>
          <w:rFonts w:ascii="Verdana" w:eastAsia="Calibri" w:hAnsi="Verdana" w:cs="Arial"/>
          <w:b/>
          <w:bCs/>
          <w:color w:val="000000"/>
          <w:lang w:val="es-ES_tradnl" w:eastAsia="es-ES_tradnl"/>
        </w:rPr>
      </w:pPr>
    </w:p>
    <w:p w14:paraId="1D81AC9A" w14:textId="77777777" w:rsidR="00ED3EB5" w:rsidRPr="00593A5F" w:rsidRDefault="00ED3EB5" w:rsidP="00ED3EB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D3EB5" w:rsidRPr="00D450CA" w14:paraId="7D22F2DB" w14:textId="77777777" w:rsidTr="00EB1166">
        <w:trPr>
          <w:trHeight w:val="884"/>
        </w:trPr>
        <w:tc>
          <w:tcPr>
            <w:tcW w:w="2689" w:type="dxa"/>
          </w:tcPr>
          <w:p w14:paraId="12C741ED" w14:textId="77777777" w:rsidR="00ED3EB5" w:rsidRPr="00D450CA" w:rsidRDefault="00ED3EB5" w:rsidP="00EB1166">
            <w:pPr>
              <w:jc w:val="both"/>
              <w:rPr>
                <w:rFonts w:ascii="Verdana" w:eastAsia="Calibri" w:hAnsi="Verdana" w:cs="Arial"/>
                <w:b/>
                <w:bCs/>
                <w:lang w:val="es-ES_tradnl" w:eastAsia="es-ES_tradnl"/>
              </w:rPr>
            </w:pPr>
          </w:p>
        </w:tc>
        <w:tc>
          <w:tcPr>
            <w:tcW w:w="6100" w:type="dxa"/>
          </w:tcPr>
          <w:p w14:paraId="0138DA7F" w14:textId="77777777" w:rsidR="00ED3EB5" w:rsidRPr="00D450CA" w:rsidRDefault="00ED3EB5" w:rsidP="00EB1166">
            <w:pPr>
              <w:jc w:val="both"/>
              <w:rPr>
                <w:rFonts w:ascii="Verdana" w:eastAsia="Calibri" w:hAnsi="Verdana" w:cs="Arial"/>
                <w:b/>
                <w:bCs/>
                <w:lang w:val="es-ES" w:eastAsia="es-ES"/>
              </w:rPr>
            </w:pPr>
            <w:r w:rsidRPr="00D450CA">
              <w:rPr>
                <w:rFonts w:ascii="Verdana" w:eastAsia="Calibri" w:hAnsi="Verdana" w:cs="Arial"/>
                <w:b/>
                <w:bCs/>
                <w:lang w:val="es-ES" w:eastAsia="es-ES"/>
              </w:rPr>
              <w:t>Concepto C-</w:t>
            </w:r>
            <w:r>
              <w:rPr>
                <w:rFonts w:ascii="Verdana" w:eastAsia="Calibri" w:hAnsi="Verdana" w:cs="Arial"/>
                <w:b/>
                <w:bCs/>
                <w:lang w:val="es-ES" w:eastAsia="es-ES"/>
              </w:rPr>
              <w:t>705</w:t>
            </w:r>
            <w:r w:rsidRPr="00D450CA">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ED3EB5" w:rsidRPr="00D450CA" w14:paraId="37E90DDE" w14:textId="77777777" w:rsidTr="00EB1166">
        <w:trPr>
          <w:trHeight w:val="884"/>
        </w:trPr>
        <w:tc>
          <w:tcPr>
            <w:tcW w:w="2689" w:type="dxa"/>
          </w:tcPr>
          <w:p w14:paraId="40CBA8A8" w14:textId="77777777" w:rsidR="00ED3EB5" w:rsidRPr="00D450CA" w:rsidRDefault="00ED3EB5" w:rsidP="00EB1166">
            <w:pPr>
              <w:jc w:val="both"/>
              <w:rPr>
                <w:rFonts w:ascii="Verdana" w:eastAsia="Calibri" w:hAnsi="Verdana" w:cs="Arial"/>
                <w:lang w:val="es-ES_tradnl" w:eastAsia="es-ES_tradnl"/>
              </w:rPr>
            </w:pPr>
            <w:r w:rsidRPr="00D450CA">
              <w:rPr>
                <w:rFonts w:ascii="Verdana" w:eastAsia="Calibri" w:hAnsi="Verdana" w:cs="Arial"/>
                <w:b/>
                <w:lang w:val="es-ES_tradnl" w:eastAsia="es-ES_tradnl"/>
              </w:rPr>
              <w:t>Temas:</w:t>
            </w:r>
            <w:r w:rsidRPr="00D450CA">
              <w:rPr>
                <w:rFonts w:ascii="Verdana" w:eastAsia="Calibri" w:hAnsi="Verdana" w:cs="Arial"/>
                <w:lang w:val="es-ES_tradnl" w:eastAsia="es-ES_tradnl"/>
              </w:rPr>
              <w:t xml:space="preserve">                   </w:t>
            </w:r>
          </w:p>
        </w:tc>
        <w:tc>
          <w:tcPr>
            <w:tcW w:w="6100" w:type="dxa"/>
          </w:tcPr>
          <w:p w14:paraId="60120607" w14:textId="43ABA9E2" w:rsidR="00ED3EB5" w:rsidRPr="00D450CA" w:rsidRDefault="00ED3EB5" w:rsidP="00EB1166">
            <w:pPr>
              <w:spacing w:after="240"/>
              <w:jc w:val="both"/>
              <w:rPr>
                <w:rFonts w:ascii="Verdana" w:hAnsi="Verdana" w:cs="Arial"/>
              </w:rPr>
            </w:pPr>
            <w:r w:rsidRPr="00D450CA">
              <w:rPr>
                <w:rFonts w:ascii="Verdana" w:eastAsia="Calibri" w:hAnsi="Verdana" w:cs="Arial"/>
              </w:rPr>
              <w:t xml:space="preserve">ESTATUTO GENERAL CONTRATACIÓN – Aplicación – Entidades Descentralizadas Indirectas / CONTRATOS Y </w:t>
            </w:r>
            <w:r w:rsidRPr="00D450CA">
              <w:rPr>
                <w:rFonts w:ascii="Verdana" w:hAnsi="Verdana" w:cs="Arial"/>
              </w:rPr>
              <w:t>CONVENIOS INTERADMINISTRATIVOS – Noción – Criterio orgánico / DOCUMENTOS TIPO - Obligatoriedad</w:t>
            </w:r>
          </w:p>
          <w:p w14:paraId="2E7E21F2" w14:textId="77777777" w:rsidR="00ED3EB5" w:rsidRPr="00D450CA" w:rsidRDefault="00ED3EB5" w:rsidP="00EB1166">
            <w:pPr>
              <w:spacing w:line="276" w:lineRule="auto"/>
              <w:jc w:val="both"/>
              <w:rPr>
                <w:rFonts w:ascii="Verdana" w:eastAsia="Calibri" w:hAnsi="Verdana" w:cs="Arial"/>
                <w:lang w:val="es-ES" w:eastAsia="es-ES"/>
              </w:rPr>
            </w:pPr>
          </w:p>
        </w:tc>
      </w:tr>
      <w:tr w:rsidR="00ED3EB5" w:rsidRPr="00D450CA" w14:paraId="6C6EA67E" w14:textId="77777777" w:rsidTr="00EB1166">
        <w:tc>
          <w:tcPr>
            <w:tcW w:w="2689" w:type="dxa"/>
          </w:tcPr>
          <w:p w14:paraId="02C5C609" w14:textId="77777777" w:rsidR="00ED3EB5" w:rsidRPr="00D450CA" w:rsidRDefault="00ED3EB5" w:rsidP="00EB1166">
            <w:pPr>
              <w:jc w:val="both"/>
              <w:rPr>
                <w:rFonts w:ascii="Verdana" w:eastAsia="Calibri" w:hAnsi="Verdana" w:cs="Arial"/>
                <w:b/>
                <w:lang w:val="es-ES_tradnl" w:eastAsia="es-ES_tradnl"/>
              </w:rPr>
            </w:pPr>
            <w:r w:rsidRPr="00D450CA">
              <w:rPr>
                <w:rFonts w:ascii="Verdana" w:eastAsia="Calibri" w:hAnsi="Verdana" w:cs="Arial"/>
                <w:b/>
                <w:lang w:val="es-ES_tradnl" w:eastAsia="es-ES_tradnl"/>
              </w:rPr>
              <w:t>Radicación:</w:t>
            </w:r>
            <w:r w:rsidRPr="00D450CA">
              <w:rPr>
                <w:rFonts w:ascii="Verdana" w:eastAsia="Calibri" w:hAnsi="Verdana" w:cs="Arial"/>
                <w:lang w:val="es-ES_tradnl" w:eastAsia="es-ES_tradnl"/>
              </w:rPr>
              <w:t xml:space="preserve">               </w:t>
            </w:r>
          </w:p>
        </w:tc>
        <w:tc>
          <w:tcPr>
            <w:tcW w:w="6100" w:type="dxa"/>
          </w:tcPr>
          <w:p w14:paraId="784AE636" w14:textId="77777777" w:rsidR="00ED3EB5" w:rsidRPr="00D450CA" w:rsidRDefault="00ED3EB5" w:rsidP="00EB1166">
            <w:pPr>
              <w:jc w:val="both"/>
              <w:rPr>
                <w:rFonts w:ascii="Verdana" w:eastAsia="Calibri" w:hAnsi="Verdana" w:cs="Arial"/>
                <w:lang w:val="es-ES_tradnl" w:eastAsia="es-ES_tradnl"/>
              </w:rPr>
            </w:pPr>
            <w:r w:rsidRPr="00D450CA">
              <w:rPr>
                <w:rFonts w:ascii="Verdana" w:eastAsia="Calibri" w:hAnsi="Verdana" w:cs="Arial"/>
                <w:lang w:val="es-ES_tradnl" w:eastAsia="es-ES_tradnl"/>
              </w:rPr>
              <w:t>Respuesta a consulta con radicado No. 1-2025-06-03-005416</w:t>
            </w:r>
          </w:p>
        </w:tc>
      </w:tr>
    </w:tbl>
    <w:p w14:paraId="6BF630DF" w14:textId="77777777" w:rsidR="00ED3EB5" w:rsidRPr="00D450CA" w:rsidRDefault="00ED3EB5" w:rsidP="00ED3EB5">
      <w:pPr>
        <w:spacing w:after="0" w:line="240" w:lineRule="auto"/>
        <w:jc w:val="both"/>
        <w:rPr>
          <w:rFonts w:ascii="Verdana" w:eastAsia="Calibri" w:hAnsi="Verdana" w:cs="Arial"/>
          <w:lang w:val="es-ES_tradnl" w:eastAsia="es-ES_tradnl"/>
        </w:rPr>
      </w:pPr>
    </w:p>
    <w:p w14:paraId="5EBDDA03" w14:textId="77777777" w:rsidR="00ED3EB5" w:rsidRPr="00D450CA" w:rsidRDefault="00ED3EB5" w:rsidP="00ED3EB5">
      <w:pPr>
        <w:spacing w:after="0" w:line="240" w:lineRule="auto"/>
        <w:jc w:val="both"/>
        <w:rPr>
          <w:rFonts w:ascii="Verdana" w:eastAsia="Calibri" w:hAnsi="Verdana" w:cs="Arial"/>
          <w:lang w:val="es-ES_tradnl" w:eastAsia="es-ES_tradnl"/>
        </w:rPr>
      </w:pPr>
    </w:p>
    <w:p w14:paraId="3461A0CC" w14:textId="77777777" w:rsidR="00ED3EB5" w:rsidRPr="00D450CA" w:rsidRDefault="00ED3EB5" w:rsidP="00ED3EB5">
      <w:pPr>
        <w:spacing w:after="0" w:line="276" w:lineRule="auto"/>
        <w:jc w:val="both"/>
        <w:rPr>
          <w:rFonts w:ascii="Verdana" w:eastAsia="Calibri" w:hAnsi="Verdana" w:cs="Arial"/>
          <w:lang w:val="es-ES" w:eastAsia="es-ES"/>
        </w:rPr>
      </w:pPr>
      <w:r w:rsidRPr="00D450CA">
        <w:rPr>
          <w:rFonts w:ascii="Verdana" w:eastAsia="Calibri" w:hAnsi="Verdana" w:cs="Arial"/>
          <w:lang w:val="es-ES" w:eastAsia="es-ES"/>
        </w:rPr>
        <w:t xml:space="preserve">Estimada señora Manrique, </w:t>
      </w:r>
    </w:p>
    <w:p w14:paraId="206287AE" w14:textId="77777777" w:rsidR="00ED3EB5" w:rsidRPr="00D450CA" w:rsidRDefault="00ED3EB5" w:rsidP="00ED3EB5">
      <w:pPr>
        <w:tabs>
          <w:tab w:val="left" w:pos="3768"/>
        </w:tabs>
        <w:spacing w:after="0" w:line="276" w:lineRule="auto"/>
        <w:jc w:val="both"/>
        <w:rPr>
          <w:rFonts w:ascii="Verdana" w:eastAsia="Calibri" w:hAnsi="Verdana" w:cs="Arial"/>
          <w:lang w:val="es-ES" w:eastAsia="es-ES"/>
        </w:rPr>
      </w:pPr>
      <w:r w:rsidRPr="00D450CA">
        <w:rPr>
          <w:rFonts w:ascii="Verdana" w:eastAsia="Calibri" w:hAnsi="Verdana" w:cs="Arial"/>
          <w:lang w:val="es-ES" w:eastAsia="es-ES"/>
        </w:rPr>
        <w:tab/>
      </w:r>
    </w:p>
    <w:p w14:paraId="7EFBE251" w14:textId="77777777" w:rsidR="00ED3EB5" w:rsidRPr="00D450CA" w:rsidRDefault="00ED3EB5" w:rsidP="00ED3EB5">
      <w:pPr>
        <w:spacing w:after="0" w:line="276" w:lineRule="auto"/>
        <w:jc w:val="both"/>
        <w:rPr>
          <w:rFonts w:ascii="Verdana" w:eastAsia="Calibri" w:hAnsi="Verdana" w:cs="Arial"/>
          <w:lang w:val="es-ES" w:eastAsia="es-ES"/>
        </w:rPr>
      </w:pPr>
      <w:r w:rsidRPr="00D450CA">
        <w:rPr>
          <w:rFonts w:ascii="Verdana" w:eastAsia="Calibri" w:hAnsi="Verdana" w:cs="Arial"/>
          <w:lang w:val="es-ES" w:eastAsia="es-ES"/>
        </w:rPr>
        <w:t xml:space="preserve">En ejercicio de la competencia </w:t>
      </w:r>
      <w:r w:rsidRPr="00593A5F">
        <w:rPr>
          <w:rFonts w:ascii="Verdana" w:eastAsia="Calibri" w:hAnsi="Verdana" w:cs="Arial"/>
          <w:color w:val="000000" w:themeColor="text1"/>
          <w:lang w:val="es-ES" w:eastAsia="es-ES"/>
        </w:rPr>
        <w:t xml:space="preserve">otorgada por los artículos 3, numeral 5º, y 11, numeral 8º, del Decreto Ley 4170 de </w:t>
      </w:r>
      <w:r w:rsidRPr="00D450CA">
        <w:rPr>
          <w:rFonts w:ascii="Verdana" w:eastAsia="Calibri" w:hAnsi="Verdana" w:cs="Arial"/>
          <w:lang w:val="es-ES" w:eastAsia="es-ES"/>
        </w:rPr>
        <w:t>2011,</w:t>
      </w:r>
      <w:r w:rsidRPr="00D450CA">
        <w:rPr>
          <w:rFonts w:ascii="Verdana" w:eastAsia="Arial MT" w:hAnsi="Verdana" w:cs="Arial MT"/>
          <w:lang w:val="es-ES" w:eastAsia="es-ES"/>
        </w:rPr>
        <w:t xml:space="preserve"> </w:t>
      </w:r>
      <w:r w:rsidRPr="00D450CA">
        <w:rPr>
          <w:rFonts w:ascii="Verdana" w:hAnsi="Verdana" w:cs="Arial"/>
        </w:rPr>
        <w:t xml:space="preserve">así como lo establecido en el artículo 4 de la Resolución 1707 de 2018 expedida por esta Entidad, </w:t>
      </w:r>
      <w:r w:rsidRPr="00D450CA">
        <w:rPr>
          <w:rFonts w:ascii="Verdana" w:eastAsia="Calibri" w:hAnsi="Verdana" w:cs="Arial"/>
          <w:lang w:val="es-ES" w:eastAsia="es-ES"/>
        </w:rPr>
        <w:t xml:space="preserve">la Agencia Nacional de Contratación Pública – Colombia Compra Eficiente– responde su solicitud de consulta de fecha 03 de junio de 2025, en la cual manifiesta lo siguiente: </w:t>
      </w:r>
    </w:p>
    <w:p w14:paraId="202641E7" w14:textId="77777777" w:rsidR="00ED3EB5" w:rsidRPr="00D450CA" w:rsidRDefault="00ED3EB5" w:rsidP="00ED3EB5">
      <w:pPr>
        <w:pStyle w:val="Prrafodelista"/>
        <w:tabs>
          <w:tab w:val="left" w:pos="142"/>
          <w:tab w:val="left" w:pos="284"/>
        </w:tabs>
        <w:spacing w:line="276" w:lineRule="auto"/>
        <w:ind w:left="0"/>
        <w:jc w:val="both"/>
        <w:rPr>
          <w:rFonts w:ascii="Verdana" w:eastAsia="Century Gothic" w:hAnsi="Verdana" w:cs="Century Gothic"/>
          <w:b/>
          <w:bCs/>
        </w:rPr>
      </w:pPr>
    </w:p>
    <w:p w14:paraId="76BAF3C9" w14:textId="77777777" w:rsidR="00ED3EB5" w:rsidRPr="00D450CA" w:rsidRDefault="00ED3EB5" w:rsidP="00ED3EB5">
      <w:pPr>
        <w:spacing w:after="0" w:line="240" w:lineRule="auto"/>
        <w:ind w:left="709" w:right="709"/>
        <w:jc w:val="both"/>
        <w:rPr>
          <w:rFonts w:ascii="Verdana" w:eastAsia="Century Gothic" w:hAnsi="Verdana" w:cs="Century Gothic"/>
          <w:sz w:val="20"/>
          <w:szCs w:val="20"/>
          <w:lang w:val="es-ES"/>
        </w:rPr>
      </w:pPr>
      <w:bookmarkStart w:id="0" w:name="_Hlk95313578"/>
      <w:r w:rsidRPr="00D450CA">
        <w:rPr>
          <w:rFonts w:ascii="Verdana" w:eastAsia="Century Gothic" w:hAnsi="Verdana" w:cs="Century Gothic"/>
          <w:sz w:val="20"/>
          <w:szCs w:val="20"/>
          <w:lang w:val="es-ES"/>
        </w:rPr>
        <w:t>“</w:t>
      </w:r>
      <w:bookmarkEnd w:id="0"/>
      <w:r w:rsidRPr="00D450CA">
        <w:rPr>
          <w:rStyle w:val="normaltextrun"/>
          <w:rFonts w:ascii="Verdana" w:hAnsi="Verdana" w:cs="Arial"/>
          <w:sz w:val="20"/>
          <w:szCs w:val="20"/>
          <w:shd w:val="clear" w:color="auto" w:fill="FFFFFF"/>
          <w:lang w:val="es-ES"/>
        </w:rPr>
        <w:t xml:space="preserve">Solicito concepto jurídico sobre la viabilidad de que una entidad estatal, como un municipio o departamento, suscriba contratos o convenios interadministrativos con fondos mixtos como </w:t>
      </w:r>
      <w:proofErr w:type="spellStart"/>
      <w:r w:rsidRPr="00D450CA">
        <w:rPr>
          <w:rStyle w:val="normaltextrun"/>
          <w:rFonts w:ascii="Verdana" w:hAnsi="Verdana" w:cs="Arial"/>
          <w:sz w:val="20"/>
          <w:szCs w:val="20"/>
          <w:shd w:val="clear" w:color="auto" w:fill="FFFFFF"/>
          <w:lang w:val="es-ES"/>
        </w:rPr>
        <w:t>Foncolombia</w:t>
      </w:r>
      <w:proofErr w:type="spellEnd"/>
      <w:r w:rsidRPr="00D450CA">
        <w:rPr>
          <w:rStyle w:val="normaltextrun"/>
          <w:rFonts w:ascii="Verdana" w:hAnsi="Verdana" w:cs="Arial"/>
          <w:sz w:val="20"/>
          <w:szCs w:val="20"/>
          <w:shd w:val="clear" w:color="auto" w:fill="FFFFFF"/>
          <w:lang w:val="es-ES"/>
        </w:rPr>
        <w:t>, teniendo en cuenta lo dispuesto en el artículo 95 de la Ley 489 de 1998, que limita esta figura a entidades públicas. ¿Puede un fondo mixto considerarse entidad pública para efectos de celebrar contratos interadministrativos? ¿Debe aplicarse en estos casos la Ley 80 de 1993 y los pliegos tipo al tratarse de recursos públicos?:”</w:t>
      </w:r>
    </w:p>
    <w:p w14:paraId="7D27610C" w14:textId="77777777" w:rsidR="00ED3EB5" w:rsidRPr="00593A5F" w:rsidRDefault="00ED3EB5" w:rsidP="00ED3EB5">
      <w:pPr>
        <w:pStyle w:val="Prrafodelista"/>
        <w:tabs>
          <w:tab w:val="left" w:pos="142"/>
          <w:tab w:val="left" w:pos="284"/>
        </w:tabs>
        <w:spacing w:line="276" w:lineRule="auto"/>
        <w:ind w:left="0"/>
        <w:jc w:val="both"/>
        <w:rPr>
          <w:rFonts w:ascii="Verdana" w:eastAsia="Century Gothic" w:hAnsi="Verdana" w:cs="Century Gothic"/>
          <w:b/>
          <w:bCs/>
        </w:rPr>
      </w:pPr>
    </w:p>
    <w:p w14:paraId="6AC31373" w14:textId="77777777" w:rsidR="00ED3EB5" w:rsidRDefault="00ED3EB5" w:rsidP="00ED3EB5">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3A5F">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8CE19FD" w14:textId="77777777" w:rsidR="00ED3EB5" w:rsidRDefault="00ED3EB5" w:rsidP="00ED3EB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w:t>
      </w:r>
      <w:r w:rsidRPr="00D450CA">
        <w:rPr>
          <w:rFonts w:ascii="Verdana" w:eastAsia="Calibri" w:hAnsi="Verdana" w:cs="Arial"/>
          <w:lang w:val="es-ES" w:eastAsia="es-ES"/>
        </w:rPr>
        <w:t xml:space="preserve">pero haciendo unas consideraciones sobre las normas generales relacionadas con los problemas jurídicos de </w:t>
      </w:r>
      <w:r>
        <w:rPr>
          <w:rFonts w:ascii="Verdana" w:eastAsia="Calibri" w:hAnsi="Verdana" w:cs="Arial"/>
          <w:color w:val="000000"/>
          <w:lang w:val="es-ES" w:eastAsia="es-ES"/>
        </w:rPr>
        <w:t>su</w:t>
      </w:r>
      <w:r w:rsidRPr="00593A5F">
        <w:rPr>
          <w:rFonts w:ascii="Verdana" w:eastAsia="Calibri" w:hAnsi="Verdana" w:cs="Arial"/>
          <w:color w:val="000000"/>
          <w:lang w:val="es-ES" w:eastAsia="es-ES"/>
        </w:rPr>
        <w:t xml:space="preserve"> consulta. </w:t>
      </w:r>
    </w:p>
    <w:p w14:paraId="75C7D85F" w14:textId="77777777" w:rsidR="00ED3EB5" w:rsidRPr="00593A5F" w:rsidRDefault="00ED3EB5" w:rsidP="00ED3EB5">
      <w:pPr>
        <w:spacing w:after="0" w:line="276" w:lineRule="auto"/>
        <w:ind w:firstLine="709"/>
        <w:jc w:val="both"/>
        <w:rPr>
          <w:rFonts w:ascii="Verdana" w:eastAsia="Calibri" w:hAnsi="Verdana" w:cs="Arial"/>
          <w:color w:val="000000"/>
          <w:lang w:val="es-ES" w:eastAsia="es-ES"/>
        </w:rPr>
      </w:pPr>
    </w:p>
    <w:p w14:paraId="0EC4B012" w14:textId="77777777" w:rsidR="00ED3EB5" w:rsidRPr="00593A5F" w:rsidRDefault="00ED3EB5" w:rsidP="00ED3E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AA36A3F" w14:textId="77777777" w:rsidR="00ED3EB5" w:rsidRPr="00593A5F" w:rsidRDefault="00ED3EB5" w:rsidP="00ED3EB5">
      <w:pPr>
        <w:tabs>
          <w:tab w:val="left" w:pos="426"/>
        </w:tabs>
        <w:spacing w:after="0" w:line="276" w:lineRule="auto"/>
        <w:jc w:val="both"/>
        <w:rPr>
          <w:rFonts w:ascii="Verdana" w:eastAsia="Century Gothic" w:hAnsi="Verdana" w:cs="Century Gothic"/>
          <w:lang w:val="es-ES"/>
        </w:rPr>
      </w:pPr>
    </w:p>
    <w:p w14:paraId="5A2FC635" w14:textId="77777777" w:rsidR="00ED3EB5" w:rsidRPr="00593A5F" w:rsidRDefault="00ED3EB5" w:rsidP="00ED3EB5">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los siguiente</w:t>
      </w:r>
      <w:r>
        <w:rPr>
          <w:rFonts w:ascii="Verdana" w:eastAsia="Century Gothic" w:hAnsi="Verdana" w:cs="Century Gothic"/>
        </w:rPr>
        <w:t>s</w:t>
      </w:r>
      <w:r w:rsidRPr="00593A5F">
        <w:rPr>
          <w:rFonts w:ascii="Verdana" w:eastAsia="Century Gothic" w:hAnsi="Verdana" w:cs="Century Gothic"/>
        </w:rPr>
        <w:t xml:space="preserve"> problemas jurídico</w:t>
      </w:r>
      <w:r>
        <w:rPr>
          <w:rFonts w:ascii="Verdana" w:eastAsia="Century Gothic" w:hAnsi="Verdana" w:cs="Century Gothic"/>
        </w:rPr>
        <w:t>s</w:t>
      </w:r>
      <w:r w:rsidRPr="00593A5F">
        <w:rPr>
          <w:rFonts w:ascii="Verdana" w:eastAsia="Century Gothic" w:hAnsi="Verdana" w:cs="Century Gothic"/>
        </w:rPr>
        <w:t>:</w:t>
      </w:r>
      <w:r>
        <w:rPr>
          <w:rFonts w:ascii="Verdana" w:eastAsia="Century Gothic" w:hAnsi="Verdana" w:cs="Century Gothic"/>
        </w:rPr>
        <w:t xml:space="preserve"> </w:t>
      </w:r>
      <w:r w:rsidRPr="00D450CA">
        <w:rPr>
          <w:rFonts w:ascii="Verdana" w:eastAsia="Century Gothic" w:hAnsi="Verdana" w:cs="Century Gothic"/>
        </w:rPr>
        <w:t xml:space="preserve">i) ¿Se consideran </w:t>
      </w:r>
      <w:r>
        <w:rPr>
          <w:rFonts w:ascii="Verdana" w:eastAsia="Century Gothic" w:hAnsi="Verdana" w:cs="Century Gothic"/>
        </w:rPr>
        <w:t xml:space="preserve">entidades estatales las personas jurídicas creadas por voluntad asociativa entre entidades públicas y personas jurídicas particulares en virtud del artículo 96 de la Ley 489 de 1998? En caso de ser afirmativa la respuesta ¿podrían suscribir contratos y convenios interadministrativos? </w:t>
      </w:r>
      <w:proofErr w:type="spellStart"/>
      <w:r>
        <w:rPr>
          <w:rFonts w:ascii="Verdana" w:eastAsia="Century Gothic" w:hAnsi="Verdana" w:cs="Century Gothic"/>
        </w:rPr>
        <w:t>ii</w:t>
      </w:r>
      <w:proofErr w:type="spellEnd"/>
      <w:r>
        <w:rPr>
          <w:rFonts w:ascii="Verdana" w:eastAsia="Century Gothic" w:hAnsi="Verdana" w:cs="Century Gothic"/>
        </w:rPr>
        <w:t>) ¿cuándo es obligatorio el uso de los documentos tipo en contratación?</w:t>
      </w:r>
    </w:p>
    <w:p w14:paraId="75D3B87E" w14:textId="77777777" w:rsidR="00ED3EB5" w:rsidRPr="00593A5F" w:rsidRDefault="00ED3EB5" w:rsidP="00ED3EB5">
      <w:pPr>
        <w:spacing w:after="0" w:line="276" w:lineRule="auto"/>
        <w:jc w:val="both"/>
        <w:rPr>
          <w:rFonts w:ascii="Verdana" w:eastAsia="Calibri" w:hAnsi="Verdana" w:cs="Arial"/>
          <w:color w:val="7030A0"/>
          <w:lang w:val="es-ES"/>
        </w:rPr>
      </w:pPr>
    </w:p>
    <w:p w14:paraId="5659A06D" w14:textId="77777777" w:rsidR="00ED3EB5" w:rsidRPr="00593A5F" w:rsidRDefault="00ED3EB5" w:rsidP="00ED3E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76C49BE" w14:textId="77777777" w:rsidR="00ED3EB5" w:rsidRPr="00593A5F" w:rsidRDefault="00ED3EB5" w:rsidP="00ED3EB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D3EB5" w:rsidRPr="00593A5F" w14:paraId="2E8DE119" w14:textId="77777777" w:rsidTr="1A87591F">
        <w:tc>
          <w:tcPr>
            <w:tcW w:w="8828" w:type="dxa"/>
          </w:tcPr>
          <w:p w14:paraId="43987C0B" w14:textId="77777777" w:rsidR="004B118F" w:rsidRDefault="00C8347C" w:rsidP="1A87591F">
            <w:pPr>
              <w:pStyle w:val="NormalWeb"/>
              <w:numPr>
                <w:ilvl w:val="0"/>
                <w:numId w:val="18"/>
              </w:numPr>
              <w:spacing w:before="0" w:beforeAutospacing="0" w:after="120" w:afterAutospacing="0" w:line="276" w:lineRule="auto"/>
              <w:ind w:left="0" w:firstLine="315"/>
              <w:jc w:val="both"/>
              <w:rPr>
                <w:rFonts w:ascii="Verdana" w:hAnsi="Verdana" w:cs="Arial"/>
                <w:sz w:val="22"/>
                <w:szCs w:val="22"/>
              </w:rPr>
            </w:pPr>
            <w:r>
              <w:rPr>
                <w:rFonts w:ascii="Verdana" w:hAnsi="Verdana" w:cs="Arial"/>
                <w:sz w:val="22"/>
                <w:szCs w:val="22"/>
              </w:rPr>
              <w:t>L</w:t>
            </w:r>
            <w:r w:rsidR="00ED3EB5" w:rsidRPr="1A87591F">
              <w:rPr>
                <w:rFonts w:ascii="Verdana" w:hAnsi="Verdana" w:cs="Arial"/>
                <w:sz w:val="22"/>
                <w:szCs w:val="22"/>
              </w:rPr>
              <w:t>as personas jurídicas sin ánimo de lucro creadas de conformidad con el artículo 96 de la Ley 489 de 1998, son susceptibles de ser consideradas entidades estatales en los términos del literal a)</w:t>
            </w:r>
            <w:r>
              <w:rPr>
                <w:rFonts w:ascii="Verdana" w:hAnsi="Verdana" w:cs="Arial"/>
                <w:sz w:val="22"/>
                <w:szCs w:val="22"/>
              </w:rPr>
              <w:t xml:space="preserve"> del numeral </w:t>
            </w:r>
            <w:r w:rsidRPr="1A87591F">
              <w:rPr>
                <w:rFonts w:ascii="Verdana" w:hAnsi="Verdana" w:cs="Arial"/>
                <w:sz w:val="22"/>
                <w:szCs w:val="22"/>
              </w:rPr>
              <w:t>1</w:t>
            </w:r>
            <w:r w:rsidR="002C2565">
              <w:rPr>
                <w:rFonts w:ascii="Verdana" w:hAnsi="Verdana" w:cs="Arial"/>
                <w:sz w:val="22"/>
                <w:szCs w:val="22"/>
              </w:rPr>
              <w:t xml:space="preserve"> del artículo 2</w:t>
            </w:r>
            <w:r w:rsidR="00ED3EB5" w:rsidRPr="1A87591F">
              <w:rPr>
                <w:rFonts w:ascii="Verdana" w:hAnsi="Verdana" w:cs="Arial"/>
                <w:sz w:val="22"/>
                <w:szCs w:val="22"/>
              </w:rPr>
              <w:t xml:space="preserve"> de la Ley 80 de 1993</w:t>
            </w:r>
            <w:r w:rsidR="004B118F">
              <w:rPr>
                <w:rFonts w:ascii="Verdana" w:hAnsi="Verdana" w:cs="Arial"/>
                <w:sz w:val="22"/>
                <w:szCs w:val="22"/>
              </w:rPr>
              <w:t>:</w:t>
            </w:r>
          </w:p>
          <w:p w14:paraId="77BD74D9" w14:textId="77777777" w:rsidR="004B118F" w:rsidRPr="00812083" w:rsidRDefault="004B118F" w:rsidP="004B118F">
            <w:pPr>
              <w:spacing w:after="240"/>
              <w:ind w:left="709" w:right="709"/>
              <w:jc w:val="both"/>
              <w:rPr>
                <w:rFonts w:ascii="Verdana" w:hAnsi="Verdana" w:cs="Arial"/>
                <w:color w:val="000000" w:themeColor="text1"/>
                <w:sz w:val="20"/>
                <w:szCs w:val="20"/>
                <w:lang w:val="es-ES"/>
              </w:rPr>
            </w:pPr>
            <w:r w:rsidRPr="00812083">
              <w:rPr>
                <w:rStyle w:val="Textoennegrita"/>
                <w:rFonts w:ascii="Verdana" w:hAnsi="Verdana" w:cs="Arial"/>
                <w:color w:val="000000"/>
                <w:sz w:val="20"/>
                <w:szCs w:val="20"/>
              </w:rPr>
              <w:t xml:space="preserve">Artículo 2o. De la definición de entidades, servidores y servicios públicos. </w:t>
            </w:r>
            <w:r w:rsidRPr="00812083">
              <w:rPr>
                <w:rFonts w:ascii="Verdana" w:hAnsi="Verdana" w:cs="Arial"/>
                <w:color w:val="000000"/>
                <w:sz w:val="20"/>
                <w:szCs w:val="20"/>
              </w:rPr>
              <w:t>Para los solos efectos de esta ley: </w:t>
            </w:r>
          </w:p>
          <w:p w14:paraId="3A38A570" w14:textId="77777777" w:rsidR="004B118F" w:rsidRPr="00812083" w:rsidRDefault="004B118F" w:rsidP="004B118F">
            <w:pPr>
              <w:pStyle w:val="NormalWeb"/>
              <w:spacing w:after="240"/>
              <w:ind w:left="709" w:right="709"/>
              <w:jc w:val="both"/>
              <w:rPr>
                <w:rFonts w:ascii="Verdana" w:hAnsi="Verdana" w:cs="Arial"/>
                <w:color w:val="000000"/>
                <w:sz w:val="20"/>
                <w:szCs w:val="20"/>
              </w:rPr>
            </w:pPr>
            <w:r w:rsidRPr="00812083">
              <w:rPr>
                <w:rFonts w:ascii="Verdana" w:hAnsi="Verdana" w:cs="Arial"/>
                <w:color w:val="000000"/>
                <w:sz w:val="20"/>
                <w:szCs w:val="20"/>
              </w:rPr>
              <w:lastRenderedPageBreak/>
              <w:t>1o. Se denominan entidades estatales: </w:t>
            </w:r>
          </w:p>
          <w:p w14:paraId="2A2F963A" w14:textId="77777777" w:rsidR="004B118F" w:rsidRPr="00812083" w:rsidRDefault="004B118F" w:rsidP="004B118F">
            <w:pPr>
              <w:pStyle w:val="NormalWeb"/>
              <w:spacing w:after="240"/>
              <w:ind w:left="709" w:right="709"/>
              <w:jc w:val="both"/>
              <w:rPr>
                <w:rFonts w:ascii="Verdana" w:hAnsi="Verdana" w:cs="Arial"/>
                <w:color w:val="000000"/>
                <w:sz w:val="20"/>
                <w:szCs w:val="20"/>
              </w:rPr>
            </w:pPr>
            <w:r w:rsidRPr="00812083">
              <w:rPr>
                <w:rFonts w:ascii="Verdana" w:hAnsi="Verdana" w:cs="Arial"/>
                <w:color w:val="000000"/>
                <w:sz w:val="20"/>
                <w:szCs w:val="20"/>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w:t>
            </w:r>
            <w:r w:rsidRPr="00812083">
              <w:rPr>
                <w:rFonts w:ascii="Verdana" w:hAnsi="Verdana" w:cs="Arial"/>
                <w:i/>
                <w:iCs/>
                <w:color w:val="000000"/>
                <w:sz w:val="20"/>
                <w:szCs w:val="20"/>
              </w:rPr>
              <w:t>así como las entidades descentralizadas indirectas y las demás personas jurídicas en las que exista dicha participación pública mayoritaria, cualquiera sea la denominación que ellas adopten, en todos los órdenes y niveles </w:t>
            </w:r>
            <w:r w:rsidRPr="00812083">
              <w:rPr>
                <w:rFonts w:ascii="Verdana" w:hAnsi="Verdana" w:cs="Arial"/>
                <w:color w:val="000000"/>
                <w:sz w:val="20"/>
                <w:szCs w:val="20"/>
              </w:rPr>
              <w:t>[...]</w:t>
            </w:r>
            <w:r w:rsidRPr="00812083">
              <w:rPr>
                <w:rFonts w:ascii="Verdana" w:hAnsi="Verdana" w:cs="Arial"/>
                <w:i/>
                <w:iCs/>
                <w:color w:val="000000"/>
                <w:sz w:val="20"/>
                <w:szCs w:val="20"/>
              </w:rPr>
              <w:t xml:space="preserve"> </w:t>
            </w:r>
            <w:r w:rsidRPr="00812083">
              <w:rPr>
                <w:rFonts w:ascii="Verdana" w:hAnsi="Verdana" w:cs="Arial"/>
                <w:color w:val="000000"/>
                <w:sz w:val="20"/>
                <w:szCs w:val="20"/>
              </w:rPr>
              <w:t xml:space="preserve">[Énfasis fuera de texto] </w:t>
            </w:r>
          </w:p>
          <w:p w14:paraId="571003EE" w14:textId="77777777" w:rsidR="003B0547" w:rsidRDefault="006F2C26" w:rsidP="00026EC4">
            <w:pPr>
              <w:pStyle w:val="NormalWeb"/>
              <w:spacing w:before="0" w:beforeAutospacing="0" w:after="120" w:afterAutospacing="0" w:line="276" w:lineRule="auto"/>
              <w:ind w:firstLine="596"/>
              <w:jc w:val="both"/>
              <w:rPr>
                <w:rFonts w:ascii="Verdana" w:hAnsi="Verdana" w:cs="Arial"/>
                <w:sz w:val="22"/>
                <w:szCs w:val="22"/>
              </w:rPr>
            </w:pPr>
            <w:r>
              <w:rPr>
                <w:rFonts w:ascii="Verdana" w:hAnsi="Verdana" w:cs="Arial"/>
                <w:sz w:val="22"/>
                <w:szCs w:val="22"/>
              </w:rPr>
              <w:t>En efecto</w:t>
            </w:r>
            <w:r w:rsidRPr="002940BF">
              <w:rPr>
                <w:rFonts w:ascii="Verdana" w:hAnsi="Verdana" w:cs="Arial"/>
                <w:sz w:val="22"/>
                <w:szCs w:val="22"/>
              </w:rPr>
              <w:t xml:space="preserve">, las </w:t>
            </w:r>
            <w:r w:rsidRPr="002940BF">
              <w:rPr>
                <w:rFonts w:ascii="Verdana" w:eastAsia="Calibri" w:hAnsi="Verdana" w:cs="Arial"/>
                <w:sz w:val="22"/>
                <w:szCs w:val="22"/>
                <w:lang w:val="es-ES"/>
              </w:rPr>
              <w:t>entidades sin ánimo de lucro creadas a partir de la voluntad asociativa de entidades estatales y personas jurídicas particulares en virtud del artículo 96 de la Ley 489 de 1998, constituyen</w:t>
            </w:r>
            <w:r w:rsidR="00EE184E" w:rsidRPr="002940BF">
              <w:rPr>
                <w:rFonts w:ascii="Verdana" w:hAnsi="Verdana" w:cs="Arial"/>
                <w:sz w:val="22"/>
                <w:szCs w:val="22"/>
              </w:rPr>
              <w:t xml:space="preserve"> entidades descentralizadas indirectas</w:t>
            </w:r>
            <w:r w:rsidR="00B37D77" w:rsidRPr="002940BF">
              <w:rPr>
                <w:rFonts w:ascii="Verdana" w:hAnsi="Verdana" w:cs="Arial"/>
                <w:sz w:val="22"/>
                <w:szCs w:val="22"/>
              </w:rPr>
              <w:t xml:space="preserve">. </w:t>
            </w:r>
            <w:r w:rsidR="00EE184E" w:rsidRPr="002940BF">
              <w:rPr>
                <w:rFonts w:ascii="Verdana" w:hAnsi="Verdana" w:cs="Arial"/>
                <w:sz w:val="22"/>
                <w:szCs w:val="22"/>
              </w:rPr>
              <w:t xml:space="preserve"> Para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w:t>
            </w:r>
            <w:r w:rsidR="00EE184E" w:rsidRPr="004B118F">
              <w:rPr>
                <w:rFonts w:ascii="Verdana" w:hAnsi="Verdana" w:cs="Arial"/>
                <w:sz w:val="22"/>
                <w:szCs w:val="22"/>
              </w:rPr>
              <w:t>, los compromisos o aportes iniciales de las entidades asociadas, así como la participación de las entidades asociadas en el sostenimiento y funcionamiento de la entidad.</w:t>
            </w:r>
          </w:p>
          <w:p w14:paraId="256CE1BE" w14:textId="5D1CF32A" w:rsidR="003B0547" w:rsidRDefault="003B0547" w:rsidP="00026EC4">
            <w:pPr>
              <w:pStyle w:val="NormalWeb"/>
              <w:spacing w:before="0" w:beforeAutospacing="0" w:after="120" w:afterAutospacing="0" w:line="276" w:lineRule="auto"/>
              <w:ind w:firstLine="596"/>
              <w:jc w:val="both"/>
              <w:rPr>
                <w:rFonts w:ascii="Verdana" w:hAnsi="Verdana" w:cs="Arial"/>
                <w:sz w:val="22"/>
                <w:szCs w:val="22"/>
              </w:rPr>
            </w:pPr>
            <w:r w:rsidRPr="00F07AB6">
              <w:rPr>
                <w:rFonts w:ascii="Verdana" w:hAnsi="Verdana" w:cs="Arial"/>
                <w:sz w:val="22"/>
                <w:szCs w:val="22"/>
              </w:rPr>
              <w:t>En ese sentido, las asociaciones de carácter mixto con participación mayoritaria del Estado que se constituyan en virtud del artículo 96 de la Ley 489 de 1998 se consideran como entidades estatales, sometidas al Estatuto General de Contratación de la Administración Pública, cuando los aportes realizados al momento de su constitución son superiores al 50%.</w:t>
            </w:r>
          </w:p>
          <w:p w14:paraId="181E089E" w14:textId="77777777" w:rsidR="002940BF" w:rsidRDefault="00026EC4" w:rsidP="00026EC4">
            <w:pPr>
              <w:spacing w:line="276" w:lineRule="auto"/>
              <w:ind w:firstLine="596"/>
              <w:jc w:val="both"/>
              <w:rPr>
                <w:rFonts w:ascii="Verdana" w:hAnsi="Verdana"/>
                <w:bCs/>
              </w:rPr>
            </w:pPr>
            <w:r w:rsidRPr="00F07AB6">
              <w:rPr>
                <w:rFonts w:ascii="Verdana" w:hAnsi="Verdana"/>
                <w:bCs/>
              </w:rPr>
              <w:t xml:space="preserve">En virtud de lo anterior, considerando que la calidad de interadministrativo de un contrato o convenio no está determinada por el régimen contractual de las partes, sino por el criterio orgánico que exige que ambos extremos de la relación contractual sean entidades públicas, nada obsta para que entidades descentralizadas indirectas </w:t>
            </w:r>
            <w:r>
              <w:rPr>
                <w:rFonts w:ascii="Verdana" w:hAnsi="Verdana"/>
                <w:bCs/>
              </w:rPr>
              <w:t xml:space="preserve">con participación pública mayoritaria </w:t>
            </w:r>
            <w:r w:rsidRPr="00F07AB6">
              <w:rPr>
                <w:rFonts w:ascii="Verdana" w:hAnsi="Verdana"/>
                <w:bCs/>
              </w:rPr>
              <w:t xml:space="preserve">suscriban este tipo de negocios jurídicos con otras entidades estatales. </w:t>
            </w:r>
          </w:p>
          <w:p w14:paraId="71A5C518" w14:textId="77777777" w:rsidR="002940BF" w:rsidRDefault="002940BF" w:rsidP="00026EC4">
            <w:pPr>
              <w:spacing w:line="276" w:lineRule="auto"/>
              <w:ind w:firstLine="596"/>
              <w:jc w:val="both"/>
              <w:rPr>
                <w:rFonts w:ascii="Verdana" w:hAnsi="Verdana"/>
                <w:bCs/>
              </w:rPr>
            </w:pPr>
          </w:p>
          <w:p w14:paraId="0C0D42F4" w14:textId="5AC8096B" w:rsidR="000C238F" w:rsidRPr="000C238F" w:rsidRDefault="000C238F" w:rsidP="000C238F">
            <w:pPr>
              <w:pStyle w:val="Prrafodelista"/>
              <w:numPr>
                <w:ilvl w:val="0"/>
                <w:numId w:val="18"/>
              </w:numPr>
              <w:spacing w:line="276" w:lineRule="auto"/>
              <w:ind w:left="29" w:firstLine="284"/>
              <w:jc w:val="both"/>
              <w:rPr>
                <w:rFonts w:ascii="Verdana" w:hAnsi="Verdana"/>
              </w:rPr>
            </w:pPr>
            <w:r>
              <w:rPr>
                <w:rFonts w:ascii="Verdana" w:hAnsi="Verdana" w:cs="Arial"/>
              </w:rPr>
              <w:t>E</w:t>
            </w:r>
            <w:r w:rsidRPr="00CC09DD">
              <w:rPr>
                <w:rFonts w:ascii="Verdana" w:hAnsi="Verdana" w:cs="Arial"/>
              </w:rPr>
              <w:t xml:space="preserve">l artículo 1 de la Ley 2022 de 2020 “Por la cual modifica el artículo 4 de la Ley 1882 de 2018 y se dictan otras disposiciones” otorgó a la Agencia Nacional de Contratación Pública – Colombia Compra Eficiente la competencia </w:t>
            </w:r>
            <w:r w:rsidRPr="00CC09DD">
              <w:rPr>
                <w:rFonts w:ascii="Verdana" w:hAnsi="Verdana" w:cs="Arial"/>
              </w:rPr>
              <w:lastRenderedPageBreak/>
              <w:t>para adoptar los documentos tipo que serán de obligatorio cumplimiento en la actividad contractual de todas las entidades sometidas al Estatuto General de la Administración Pública</w:t>
            </w:r>
            <w:r w:rsidR="00117F38">
              <w:rPr>
                <w:rFonts w:ascii="Verdana" w:hAnsi="Verdana" w:cs="Arial"/>
              </w:rPr>
              <w:t>.</w:t>
            </w:r>
            <w:r w:rsidR="00ED3EB5" w:rsidRPr="000C238F">
              <w:rPr>
                <w:rFonts w:ascii="Verdana" w:hAnsi="Verdana"/>
              </w:rPr>
              <w:t xml:space="preserve"> </w:t>
            </w:r>
          </w:p>
          <w:p w14:paraId="4B1D8BF7" w14:textId="77777777" w:rsidR="000C238F" w:rsidRDefault="000C238F" w:rsidP="00026EC4">
            <w:pPr>
              <w:spacing w:line="276" w:lineRule="auto"/>
              <w:ind w:firstLine="596"/>
              <w:jc w:val="both"/>
              <w:rPr>
                <w:rFonts w:ascii="Verdana" w:eastAsia="Calibri" w:hAnsi="Verdana"/>
                <w:lang w:val="es-ES"/>
              </w:rPr>
            </w:pPr>
          </w:p>
          <w:p w14:paraId="3278B600" w14:textId="77777777" w:rsidR="00117F38" w:rsidRPr="00CC09DD" w:rsidRDefault="00117F38" w:rsidP="00117F38">
            <w:pPr>
              <w:spacing w:before="120" w:after="120" w:line="276" w:lineRule="auto"/>
              <w:ind w:firstLine="709"/>
              <w:jc w:val="both"/>
              <w:rPr>
                <w:rFonts w:ascii="Verdana" w:eastAsia="Calibri" w:hAnsi="Verdana" w:cs="Arial"/>
                <w:lang w:val="es-ES" w:eastAsia="es-ES_tradnl"/>
              </w:rPr>
            </w:pPr>
            <w:r w:rsidRPr="00CC09DD">
              <w:rPr>
                <w:rFonts w:ascii="Verdana" w:eastAsia="Calibri" w:hAnsi="Verdana" w:cs="Arial"/>
                <w:lang w:val="es-ES" w:eastAsia="es-ES"/>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5BEAF0DF" w14:textId="77777777" w:rsidR="00117F38" w:rsidRPr="00CC09DD" w:rsidRDefault="00117F38" w:rsidP="00117F38">
            <w:pPr>
              <w:spacing w:line="276" w:lineRule="auto"/>
              <w:jc w:val="both"/>
              <w:rPr>
                <w:rFonts w:ascii="Verdana" w:eastAsia="Calibri" w:hAnsi="Verdana" w:cs="Arial"/>
                <w:bCs/>
              </w:rPr>
            </w:pPr>
            <w:r w:rsidRPr="00CC09DD">
              <w:rPr>
                <w:rFonts w:ascii="Verdana" w:eastAsia="Calibri" w:hAnsi="Verdana" w:cs="Arial"/>
                <w:lang w:val="es-ES" w:eastAsia="es-ES_tradnl"/>
              </w:rPr>
              <w:tab/>
              <w:t xml:space="preserve">A partir de las normas referenciadas, </w:t>
            </w:r>
            <w:r w:rsidRPr="00CC09DD">
              <w:rPr>
                <w:rFonts w:ascii="Verdana"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CC09DD">
              <w:rPr>
                <w:rStyle w:val="Refdenotaalpie"/>
                <w:rFonts w:ascii="Verdana" w:hAnsi="Verdana" w:cs="Times New Roman"/>
                <w:lang w:val="es-ES_tradnl"/>
              </w:rPr>
              <w:footnoteReference w:id="2"/>
            </w:r>
          </w:p>
          <w:p w14:paraId="5F2770CE" w14:textId="77777777" w:rsidR="00117F38" w:rsidRPr="00CC09DD" w:rsidRDefault="00117F38" w:rsidP="00117F38">
            <w:pPr>
              <w:spacing w:line="276" w:lineRule="auto"/>
              <w:jc w:val="both"/>
              <w:rPr>
                <w:rFonts w:ascii="Verdana" w:eastAsia="Calibri" w:hAnsi="Verdana" w:cs="Arial"/>
                <w:lang w:val="es-ES_tradnl" w:eastAsia="es-ES"/>
              </w:rPr>
            </w:pPr>
          </w:p>
          <w:p w14:paraId="071F67DB" w14:textId="77777777" w:rsidR="00117F38" w:rsidRPr="00CC09DD" w:rsidRDefault="00117F38" w:rsidP="00117F38">
            <w:pPr>
              <w:spacing w:line="276" w:lineRule="auto"/>
              <w:ind w:firstLine="708"/>
              <w:jc w:val="both"/>
              <w:rPr>
                <w:rFonts w:ascii="Verdana" w:eastAsia="Calibri" w:hAnsi="Verdana" w:cs="Arial"/>
                <w:bCs/>
              </w:rPr>
            </w:pPr>
            <w:r w:rsidRPr="00CC09DD">
              <w:rPr>
                <w:rFonts w:ascii="Verdana" w:eastAsia="Calibri" w:hAnsi="Verdana" w:cs="Arial"/>
                <w:bCs/>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01AEEB84" w14:textId="77777777" w:rsidR="00ED3EB5" w:rsidRPr="00593A5F" w:rsidRDefault="00ED3EB5" w:rsidP="00EB1166">
            <w:pPr>
              <w:spacing w:line="276" w:lineRule="auto"/>
              <w:jc w:val="both"/>
              <w:rPr>
                <w:rFonts w:ascii="Verdana" w:eastAsia="Calibri" w:hAnsi="Verdana" w:cs="Arial"/>
                <w:color w:val="7030A0"/>
                <w:lang w:val="es-ES"/>
              </w:rPr>
            </w:pPr>
          </w:p>
        </w:tc>
      </w:tr>
      <w:tr w:rsidR="00434932" w:rsidRPr="00593A5F" w14:paraId="121FD9E9" w14:textId="77777777" w:rsidTr="1A87591F">
        <w:tc>
          <w:tcPr>
            <w:tcW w:w="8828" w:type="dxa"/>
          </w:tcPr>
          <w:p w14:paraId="2794CA41" w14:textId="77777777" w:rsidR="00434932" w:rsidRDefault="00434932" w:rsidP="00434932">
            <w:pPr>
              <w:pStyle w:val="NormalWeb"/>
              <w:spacing w:before="0" w:beforeAutospacing="0" w:after="120" w:afterAutospacing="0" w:line="276" w:lineRule="auto"/>
              <w:jc w:val="both"/>
              <w:rPr>
                <w:rFonts w:ascii="Verdana" w:hAnsi="Verdana" w:cs="Arial"/>
                <w:sz w:val="22"/>
                <w:szCs w:val="22"/>
              </w:rPr>
            </w:pPr>
          </w:p>
        </w:tc>
      </w:tr>
    </w:tbl>
    <w:p w14:paraId="14015421" w14:textId="77777777" w:rsidR="00ED3EB5" w:rsidRPr="00593A5F" w:rsidRDefault="00ED3EB5" w:rsidP="00ED3EB5">
      <w:pPr>
        <w:tabs>
          <w:tab w:val="left" w:pos="142"/>
          <w:tab w:val="left" w:pos="284"/>
        </w:tabs>
        <w:spacing w:after="0" w:line="276" w:lineRule="auto"/>
        <w:jc w:val="both"/>
        <w:rPr>
          <w:rFonts w:ascii="Verdana" w:eastAsia="Century Gothic" w:hAnsi="Verdana" w:cs="Century Gothic"/>
          <w:b/>
          <w:bCs/>
          <w:lang w:val="es-ES"/>
        </w:rPr>
      </w:pPr>
    </w:p>
    <w:p w14:paraId="12052A84" w14:textId="77777777" w:rsidR="00ED3EB5" w:rsidRPr="00593A5F" w:rsidRDefault="00ED3EB5" w:rsidP="00ED3E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B3CCA17" w14:textId="77777777" w:rsidR="00ED3EB5" w:rsidRPr="00593A5F" w:rsidRDefault="00ED3EB5" w:rsidP="00ED3EB5">
      <w:pPr>
        <w:spacing w:after="0" w:line="276" w:lineRule="auto"/>
        <w:jc w:val="both"/>
        <w:rPr>
          <w:rFonts w:ascii="Verdana" w:eastAsia="Calibri" w:hAnsi="Verdana" w:cs="Arial"/>
          <w:color w:val="7030A0"/>
          <w:lang w:val="es-ES"/>
        </w:rPr>
      </w:pPr>
    </w:p>
    <w:p w14:paraId="1621C0C8" w14:textId="77777777" w:rsidR="00ED3EB5" w:rsidRDefault="00ED3EB5" w:rsidP="00ED3EB5">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27ED65D7" w14:textId="77777777" w:rsidR="00ED3EB5" w:rsidRDefault="00ED3EB5" w:rsidP="00ED3EB5">
      <w:pPr>
        <w:spacing w:after="0" w:line="276" w:lineRule="auto"/>
        <w:jc w:val="both"/>
        <w:rPr>
          <w:rFonts w:ascii="Verdana" w:eastAsia="Calibri" w:hAnsi="Verdana" w:cs="Arial"/>
          <w:color w:val="7030A0"/>
          <w:lang w:val="es-ES"/>
        </w:rPr>
      </w:pPr>
    </w:p>
    <w:p w14:paraId="5968B0E3" w14:textId="77777777" w:rsidR="00ED3EB5" w:rsidRPr="00F07AB6" w:rsidRDefault="00ED3EB5" w:rsidP="00ED3EB5">
      <w:pPr>
        <w:spacing w:after="0" w:line="276" w:lineRule="auto"/>
        <w:jc w:val="both"/>
        <w:rPr>
          <w:rFonts w:ascii="Verdana" w:eastAsia="Calibri" w:hAnsi="Verdana" w:cs="Arial"/>
          <w:lang w:val="es-ES"/>
        </w:rPr>
      </w:pPr>
      <w:r w:rsidRPr="00F07AB6">
        <w:rPr>
          <w:rFonts w:ascii="Verdana" w:eastAsia="Calibri" w:hAnsi="Verdana" w:cs="Arial"/>
          <w:lang w:val="es-ES"/>
        </w:rPr>
        <w:lastRenderedPageBreak/>
        <w:t>Para empezar, se aclara que la mención al término fondos mixtos en la consulta planteada se entiende como referencia a entidades sin ánimo de lucro creadas a partir de la voluntad asociativa de entidades estatales y personas jurídicas particulares, en virtud de lo dispuesto en el artículo 96 de la Ley 489 de 1998, como sigue:</w:t>
      </w:r>
    </w:p>
    <w:p w14:paraId="2056CEC1" w14:textId="77777777" w:rsidR="00ED3EB5" w:rsidRPr="00F07AB6" w:rsidRDefault="00ED3EB5" w:rsidP="00ED3EB5">
      <w:pPr>
        <w:spacing w:after="0" w:line="276" w:lineRule="auto"/>
        <w:jc w:val="both"/>
        <w:rPr>
          <w:rFonts w:ascii="Verdana" w:eastAsia="Calibri" w:hAnsi="Verdana" w:cs="Arial"/>
          <w:lang w:val="es-ES"/>
        </w:rPr>
      </w:pPr>
    </w:p>
    <w:p w14:paraId="3D46973B" w14:textId="77777777" w:rsidR="00ED3EB5" w:rsidRPr="00F07AB6" w:rsidRDefault="00ED3EB5" w:rsidP="00ED3EB5">
      <w:pPr>
        <w:pStyle w:val="NormalWeb"/>
        <w:ind w:left="709" w:right="616" w:firstLine="1"/>
        <w:jc w:val="both"/>
        <w:rPr>
          <w:rFonts w:ascii="Verdana" w:hAnsi="Verdana" w:cs="Open Sans"/>
          <w:sz w:val="20"/>
          <w:szCs w:val="20"/>
        </w:rPr>
      </w:pPr>
      <w:r w:rsidRPr="00F07AB6">
        <w:rPr>
          <w:rFonts w:ascii="Verdana" w:hAnsi="Verdana" w:cs="Open Sans"/>
          <w:sz w:val="20"/>
          <w:szCs w:val="20"/>
        </w:rPr>
        <w:t>Las entidades estatales, cualquiera sea su naturaleza y orden administrativo podrán, con la observancia de los principios señalados en el artículo </w:t>
      </w:r>
      <w:hyperlink r:id="rId12" w:anchor="209" w:history="1">
        <w:r w:rsidRPr="00F07AB6">
          <w:rPr>
            <w:rStyle w:val="Hipervnculo"/>
            <w:rFonts w:ascii="Verdana" w:hAnsi="Verdana" w:cs="Open Sans"/>
            <w:sz w:val="20"/>
            <w:szCs w:val="20"/>
          </w:rPr>
          <w:t>209</w:t>
        </w:r>
      </w:hyperlink>
      <w:r w:rsidRPr="00F07AB6">
        <w:rPr>
          <w:rFonts w:ascii="Verdana" w:hAnsi="Verdana" w:cs="Open Sans"/>
          <w:sz w:val="20"/>
          <w:szCs w:val="20"/>
        </w:rPr>
        <w:t>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8249975" w14:textId="77777777" w:rsidR="00ED3EB5" w:rsidRPr="00F07AB6" w:rsidRDefault="00ED3EB5" w:rsidP="00ED3EB5">
      <w:pPr>
        <w:pStyle w:val="NormalWeb"/>
        <w:ind w:left="709" w:right="616" w:firstLine="1"/>
        <w:jc w:val="both"/>
        <w:rPr>
          <w:rFonts w:ascii="Verdana" w:hAnsi="Verdana" w:cs="Open Sans"/>
          <w:sz w:val="20"/>
          <w:szCs w:val="20"/>
        </w:rPr>
      </w:pPr>
      <w:r w:rsidRPr="00F07AB6">
        <w:rPr>
          <w:rFonts w:ascii="Verdana" w:hAnsi="Verdana" w:cs="Open Sans"/>
          <w:sz w:val="20"/>
          <w:szCs w:val="20"/>
        </w:rPr>
        <w:t>Los convenios de asociación a que se refiere el presente artículo se celebrarán de conformidad con lo dispuesto en el artículo </w:t>
      </w:r>
      <w:hyperlink r:id="rId13" w:anchor="355" w:history="1">
        <w:r w:rsidRPr="00F07AB6">
          <w:rPr>
            <w:rStyle w:val="Hipervnculo"/>
            <w:rFonts w:ascii="Verdana" w:hAnsi="Verdana" w:cs="Open Sans"/>
            <w:sz w:val="20"/>
            <w:szCs w:val="20"/>
          </w:rPr>
          <w:t>355</w:t>
        </w:r>
      </w:hyperlink>
      <w:r w:rsidRPr="00F07AB6">
        <w:rPr>
          <w:rFonts w:ascii="Verdana" w:hAnsi="Verdana" w:cs="Open Sans"/>
          <w:sz w:val="20"/>
          <w:szCs w:val="20"/>
        </w:rPr>
        <w:t> de la Constitución Política, en ellos se determinará con precisión su objeto, término, obligaciones de las partes, aportes, coordinación y todos aquellos aspectos que se consideren pertinentes.</w:t>
      </w:r>
    </w:p>
    <w:p w14:paraId="0F201458" w14:textId="77777777" w:rsidR="00ED3EB5" w:rsidRPr="00F07AB6" w:rsidRDefault="00ED3EB5" w:rsidP="00ED3EB5">
      <w:pPr>
        <w:pStyle w:val="NormalWeb"/>
        <w:ind w:left="709" w:right="616" w:firstLine="1"/>
        <w:jc w:val="both"/>
        <w:rPr>
          <w:rFonts w:ascii="Verdana" w:hAnsi="Verdana" w:cs="Open Sans"/>
          <w:sz w:val="20"/>
          <w:szCs w:val="20"/>
        </w:rPr>
      </w:pPr>
      <w:r w:rsidRPr="00F07AB6">
        <w:rPr>
          <w:rFonts w:ascii="Verdana" w:hAnsi="Verdana" w:cs="Open Sans"/>
          <w:sz w:val="20"/>
          <w:szCs w:val="20"/>
        </w:rPr>
        <w:t>Cuando en virtud de lo dispuesto en el presente artículo, surjan personas jurídicas sin ánimo de lucro, éstas se sujetarán a las disposiciones previstas en el Código Civil para las asociaciones civiles de utilidad común.</w:t>
      </w:r>
    </w:p>
    <w:p w14:paraId="5CB92A97" w14:textId="77777777" w:rsidR="00ED3EB5" w:rsidRPr="00F07AB6" w:rsidRDefault="00ED3EB5" w:rsidP="00ED3EB5">
      <w:pPr>
        <w:pStyle w:val="NormalWeb"/>
        <w:ind w:left="709" w:right="616" w:firstLine="1"/>
        <w:jc w:val="both"/>
        <w:rPr>
          <w:rFonts w:ascii="Verdana" w:hAnsi="Verdana" w:cs="Open Sans"/>
          <w:sz w:val="20"/>
          <w:szCs w:val="20"/>
        </w:rPr>
      </w:pPr>
      <w:r w:rsidRPr="00F07AB6">
        <w:rPr>
          <w:rFonts w:ascii="Verdana" w:hAnsi="Verdana" w:cs="Open Sans"/>
          <w:sz w:val="20"/>
          <w:szCs w:val="20"/>
        </w:rPr>
        <w:t>En todo caso, en el correspondiente acto constitutivo que dé origen a una persona jurídica se dispondrá sobre los siguientes aspectos:</w:t>
      </w:r>
    </w:p>
    <w:p w14:paraId="46A3CCA7" w14:textId="77777777" w:rsidR="00ED3EB5" w:rsidRPr="00F07AB6" w:rsidRDefault="00ED3EB5" w:rsidP="00ED3EB5">
      <w:pPr>
        <w:pStyle w:val="NormalWeb"/>
        <w:ind w:left="709" w:right="616" w:firstLine="1"/>
        <w:jc w:val="both"/>
        <w:rPr>
          <w:rFonts w:ascii="Verdana" w:hAnsi="Verdana" w:cs="Open Sans"/>
          <w:sz w:val="20"/>
          <w:szCs w:val="20"/>
        </w:rPr>
      </w:pPr>
      <w:r w:rsidRPr="00F07AB6">
        <w:rPr>
          <w:rFonts w:ascii="Verdana" w:hAnsi="Verdana" w:cs="Open Sans"/>
          <w:sz w:val="20"/>
          <w:szCs w:val="20"/>
        </w:rPr>
        <w:t>a) Los objetivos y actividades a cargo, con precisión de la conexidad con los objetivos, funciones y controles propios de las entidades públicas participantes;</w:t>
      </w:r>
    </w:p>
    <w:p w14:paraId="14EF0ECB" w14:textId="77777777" w:rsidR="00ED3EB5" w:rsidRPr="00F07AB6" w:rsidRDefault="00ED3EB5" w:rsidP="00ED3EB5">
      <w:pPr>
        <w:pStyle w:val="NormalWeb"/>
        <w:ind w:left="709" w:right="616" w:firstLine="1"/>
        <w:jc w:val="both"/>
        <w:rPr>
          <w:rFonts w:ascii="Verdana" w:hAnsi="Verdana" w:cs="Open Sans"/>
          <w:sz w:val="20"/>
          <w:szCs w:val="20"/>
        </w:rPr>
      </w:pPr>
      <w:r w:rsidRPr="00F07AB6">
        <w:rPr>
          <w:rFonts w:ascii="Verdana" w:hAnsi="Verdana" w:cs="Open Sans"/>
          <w:sz w:val="20"/>
          <w:szCs w:val="20"/>
        </w:rPr>
        <w:t>b) Los compromisos o aportes iniciales de las entidades asociadas y su naturaleza y forma de pago, con sujeción a las disposiciones presupuestales y fiscales, para el caso de las públicas;</w:t>
      </w:r>
    </w:p>
    <w:p w14:paraId="32173958" w14:textId="77777777" w:rsidR="00ED3EB5" w:rsidRPr="00F07AB6" w:rsidRDefault="00ED3EB5" w:rsidP="00ED3EB5">
      <w:pPr>
        <w:pStyle w:val="NormalWeb"/>
        <w:ind w:left="709" w:right="616" w:firstLine="1"/>
        <w:jc w:val="both"/>
        <w:rPr>
          <w:rFonts w:ascii="Verdana" w:hAnsi="Verdana" w:cs="Open Sans"/>
          <w:sz w:val="20"/>
          <w:szCs w:val="20"/>
        </w:rPr>
      </w:pPr>
      <w:r w:rsidRPr="00F07AB6">
        <w:rPr>
          <w:rFonts w:ascii="Verdana" w:hAnsi="Verdana" w:cs="Open Sans"/>
          <w:sz w:val="20"/>
          <w:szCs w:val="20"/>
        </w:rPr>
        <w:t>c) La participación de las entidades asociadas en el sostenimiento y funcionamiento de la entidad;</w:t>
      </w:r>
    </w:p>
    <w:p w14:paraId="3FFFB644" w14:textId="77777777" w:rsidR="00ED3EB5" w:rsidRPr="00F07AB6" w:rsidRDefault="00ED3EB5" w:rsidP="00ED3EB5">
      <w:pPr>
        <w:pStyle w:val="NormalWeb"/>
        <w:ind w:left="709" w:right="616" w:firstLine="1"/>
        <w:jc w:val="both"/>
        <w:rPr>
          <w:rFonts w:ascii="Verdana" w:hAnsi="Verdana" w:cs="Open Sans"/>
          <w:sz w:val="20"/>
          <w:szCs w:val="20"/>
        </w:rPr>
      </w:pPr>
      <w:r w:rsidRPr="00F07AB6">
        <w:rPr>
          <w:rFonts w:ascii="Verdana" w:hAnsi="Verdana" w:cs="Open Sans"/>
          <w:sz w:val="20"/>
          <w:szCs w:val="20"/>
        </w:rPr>
        <w:t>d) La integración de los órganos de dirección y administración, en los cuales deben participar representantes de las entidades públicas y de los particulares;</w:t>
      </w:r>
    </w:p>
    <w:p w14:paraId="50002B9D" w14:textId="77777777" w:rsidR="00ED3EB5" w:rsidRPr="00F07AB6" w:rsidRDefault="00ED3EB5" w:rsidP="00ED3EB5">
      <w:pPr>
        <w:pStyle w:val="NormalWeb"/>
        <w:ind w:left="709" w:right="616" w:firstLine="1"/>
        <w:jc w:val="both"/>
        <w:rPr>
          <w:rFonts w:ascii="Verdana" w:hAnsi="Verdana" w:cs="Open Sans"/>
          <w:sz w:val="20"/>
          <w:szCs w:val="20"/>
        </w:rPr>
      </w:pPr>
      <w:r w:rsidRPr="00F07AB6">
        <w:rPr>
          <w:rFonts w:ascii="Verdana" w:hAnsi="Verdana" w:cs="Open Sans"/>
          <w:sz w:val="20"/>
          <w:szCs w:val="20"/>
        </w:rPr>
        <w:t>e) La duración de la asociación y las causales de disolución.</w:t>
      </w:r>
    </w:p>
    <w:p w14:paraId="319608DE" w14:textId="77777777" w:rsidR="00ED3EB5" w:rsidRPr="00F07AB6" w:rsidRDefault="00ED3EB5" w:rsidP="00ED3EB5">
      <w:pPr>
        <w:spacing w:after="0" w:line="276" w:lineRule="auto"/>
        <w:ind w:firstLine="708"/>
        <w:jc w:val="both"/>
        <w:rPr>
          <w:rFonts w:ascii="Verdana" w:hAnsi="Verdana" w:cs="Arial"/>
          <w:i/>
          <w:iCs/>
        </w:rPr>
      </w:pPr>
      <w:r w:rsidRPr="00F07AB6">
        <w:rPr>
          <w:rFonts w:ascii="Verdana" w:eastAsia="Calibri" w:hAnsi="Verdana" w:cs="Arial"/>
          <w:lang w:val="es-ES"/>
        </w:rPr>
        <w:lastRenderedPageBreak/>
        <w:t xml:space="preserve">En relación con el régimen jurídico de las personas creadas en virtud de la disposición anterior, </w:t>
      </w:r>
      <w:r w:rsidRPr="00F07AB6">
        <w:rPr>
          <w:rFonts w:ascii="Verdana" w:hAnsi="Verdana" w:cs="Arial"/>
        </w:rPr>
        <w:t>su naturaleza es de carácter mixto, toda vez que las personas jurídicas creadas en virtud del artículo 96 de la Ley 489 de 1998 se rigen por una parte por el Código Civil en lo relativo a su constitución, organización, funcionamiento y procedimiento de transformación y, por el otro, se encuentran sujetas a las reglas y principios generales de contratación, por encontrarse dentro del ámbito de aplicación de la Ley 80 de 1993</w:t>
      </w:r>
      <w:r w:rsidRPr="00F07AB6">
        <w:rPr>
          <w:rStyle w:val="Refdenotaalpie"/>
          <w:rFonts w:ascii="Verdana" w:hAnsi="Verdana" w:cs="Arial"/>
        </w:rPr>
        <w:footnoteReference w:id="3"/>
      </w:r>
      <w:r w:rsidRPr="00F07AB6">
        <w:rPr>
          <w:rFonts w:ascii="Verdana" w:hAnsi="Verdana" w:cs="Arial"/>
        </w:rPr>
        <w:t>. La conexidad que debe existir entre las actividades de la persona jurídica de carácter mixto y las funciones de las entidades estatales que la integran, así como el carácter público de la participación de las entidades públicas, determinan su sujeción, en algunas materias, a las normas propias del derecho público, evitando que este tipo de entes se conviertan en un mecanismo de</w:t>
      </w:r>
      <w:r w:rsidRPr="00F07AB6">
        <w:rPr>
          <w:rStyle w:val="apple-converted-space"/>
          <w:rFonts w:ascii="Verdana" w:hAnsi="Verdana" w:cs="Arial"/>
        </w:rPr>
        <w:t xml:space="preserve"> </w:t>
      </w:r>
      <w:r w:rsidRPr="00F07AB6">
        <w:rPr>
          <w:rFonts w:ascii="Verdana" w:hAnsi="Verdana" w:cs="Arial"/>
        </w:rPr>
        <w:t>«simple traslado de recursos públicos a particulares»</w:t>
      </w:r>
      <w:r w:rsidRPr="00F07AB6">
        <w:rPr>
          <w:rStyle w:val="Refdenotaalpie"/>
          <w:rFonts w:ascii="Verdana" w:hAnsi="Verdana" w:cs="Arial"/>
        </w:rPr>
        <w:footnoteReference w:id="4"/>
      </w:r>
      <w:r w:rsidRPr="00F07AB6">
        <w:rPr>
          <w:rFonts w:ascii="Verdana" w:hAnsi="Verdana" w:cs="Arial"/>
          <w:i/>
          <w:iCs/>
        </w:rPr>
        <w:t xml:space="preserve">. </w:t>
      </w:r>
    </w:p>
    <w:p w14:paraId="63DEF687" w14:textId="77777777" w:rsidR="00ED3EB5" w:rsidRPr="00F07AB6" w:rsidRDefault="00ED3EB5" w:rsidP="00ED3EB5">
      <w:pPr>
        <w:spacing w:after="0" w:line="276" w:lineRule="auto"/>
        <w:jc w:val="both"/>
        <w:rPr>
          <w:rFonts w:ascii="Verdana" w:eastAsia="Calibri" w:hAnsi="Verdana" w:cs="Arial"/>
          <w:lang w:val="es-ES"/>
        </w:rPr>
      </w:pPr>
    </w:p>
    <w:p w14:paraId="7BA476A0" w14:textId="77777777" w:rsidR="00ED3EB5" w:rsidRPr="00F07AB6" w:rsidRDefault="00ED3EB5" w:rsidP="00ED3EB5">
      <w:pPr>
        <w:spacing w:after="0" w:line="276" w:lineRule="auto"/>
        <w:ind w:firstLine="708"/>
        <w:jc w:val="both"/>
        <w:rPr>
          <w:rFonts w:ascii="Verdana" w:eastAsia="Calibri" w:hAnsi="Verdana" w:cs="Arial"/>
          <w:lang w:val="es-ES"/>
        </w:rPr>
      </w:pPr>
      <w:r w:rsidRPr="00F07AB6">
        <w:rPr>
          <w:rFonts w:ascii="Verdana" w:hAnsi="Verdana" w:cs="Arial"/>
          <w:bCs/>
          <w:lang w:eastAsia="es-CO"/>
        </w:rPr>
        <w:t>En cuanto a su inclusión en la administración pública, la Sala de Consulta y Servicio Civil del Consejo de Estado ha manifestado que: «Son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w:t>
      </w:r>
      <w:r w:rsidRPr="00F07AB6">
        <w:rPr>
          <w:rStyle w:val="Refdenotaalpie"/>
          <w:rFonts w:ascii="Verdana" w:hAnsi="Verdana" w:cs="Arial"/>
          <w:bCs/>
          <w:lang w:eastAsia="es-CO"/>
        </w:rPr>
        <w:footnoteReference w:id="5"/>
      </w:r>
      <w:r w:rsidRPr="00F07AB6">
        <w:rPr>
          <w:rFonts w:ascii="Verdana" w:hAnsi="Verdana" w:cs="Arial"/>
          <w:bCs/>
          <w:lang w:eastAsia="es-CO"/>
        </w:rPr>
        <w:t>. En el mismo sentido, la doctrina nacional ha señalado que, entidades descentralizadas indirectas o de segundo grado es el nombre que se ha dado en las personas jurídicas que nacen no de la ley, sino de la voluntad asociativa de los entes públicos</w:t>
      </w:r>
      <w:r w:rsidRPr="00F07AB6">
        <w:rPr>
          <w:rStyle w:val="Refdenotaalpie"/>
          <w:rFonts w:ascii="Verdana" w:hAnsi="Verdana" w:cs="Arial"/>
          <w:bCs/>
          <w:lang w:eastAsia="es-CO"/>
        </w:rPr>
        <w:footnoteReference w:id="6"/>
      </w:r>
      <w:r w:rsidRPr="00F07AB6">
        <w:rPr>
          <w:rFonts w:ascii="Verdana" w:hAnsi="Verdana" w:cs="Arial"/>
          <w:bCs/>
          <w:lang w:eastAsia="es-CO"/>
        </w:rPr>
        <w:t xml:space="preserve">. Por lo que, las </w:t>
      </w:r>
      <w:r w:rsidRPr="00F07AB6">
        <w:rPr>
          <w:rFonts w:ascii="Verdana" w:eastAsia="Calibri" w:hAnsi="Verdana" w:cs="Arial"/>
          <w:lang w:val="es-ES"/>
        </w:rPr>
        <w:t xml:space="preserve">entidades sin ánimo de lucro creadas a partir de la voluntad asociativa de entidades estatales y personas jurídicas particulares se consideran como entidades descentralizadas indirectas. </w:t>
      </w:r>
    </w:p>
    <w:p w14:paraId="6F67D34E" w14:textId="77777777" w:rsidR="00ED3EB5" w:rsidRPr="00F07AB6" w:rsidRDefault="00ED3EB5" w:rsidP="00ED3EB5">
      <w:pPr>
        <w:spacing w:after="0" w:line="276" w:lineRule="auto"/>
        <w:jc w:val="both"/>
        <w:rPr>
          <w:rFonts w:ascii="Verdana" w:eastAsia="Calibri" w:hAnsi="Verdana" w:cs="Arial"/>
          <w:lang w:val="es-ES"/>
        </w:rPr>
      </w:pPr>
    </w:p>
    <w:p w14:paraId="7D2248D9" w14:textId="77777777" w:rsidR="00ED3EB5" w:rsidRPr="00F07AB6" w:rsidRDefault="00ED3EB5" w:rsidP="00ED3EB5">
      <w:pPr>
        <w:spacing w:line="276" w:lineRule="auto"/>
        <w:ind w:firstLine="708"/>
        <w:jc w:val="both"/>
        <w:rPr>
          <w:rFonts w:ascii="Verdana" w:hAnsi="Verdana" w:cs="Arial"/>
          <w:color w:val="000000" w:themeColor="text1"/>
          <w:lang w:val="es-ES"/>
        </w:rPr>
      </w:pPr>
      <w:r w:rsidRPr="00F07AB6">
        <w:rPr>
          <w:rFonts w:ascii="Verdana" w:eastAsia="Calibri" w:hAnsi="Verdana" w:cs="Arial"/>
          <w:lang w:val="es-ES"/>
        </w:rPr>
        <w:t xml:space="preserve">Ahora bien, para determinar la </w:t>
      </w:r>
      <w:r w:rsidRPr="00F07AB6">
        <w:rPr>
          <w:rFonts w:ascii="Verdana" w:hAnsi="Verdana" w:cs="Arial"/>
          <w:lang w:val="es-ES"/>
        </w:rPr>
        <w:t xml:space="preserve">aplicación del Estatuto General de Contratación de la Administración Pública se acude a los dispuesto en el artículo 2 de la Ley 80 de 1993. Dicha norma, consta de tres numerales a través de los </w:t>
      </w:r>
      <w:r w:rsidRPr="00F07AB6">
        <w:rPr>
          <w:rFonts w:ascii="Verdana" w:hAnsi="Verdana" w:cs="Arial"/>
          <w:lang w:val="es-ES"/>
        </w:rPr>
        <w:lastRenderedPageBreak/>
        <w:t xml:space="preserve">cuales se encarga de establecer lo que se entiende por entidades estatales, servidores públicos y servicios, en el contexto del referido cuerpo normativo. Al respecto, resulta particularmente relevante </w:t>
      </w:r>
      <w:r w:rsidRPr="00F07AB6">
        <w:rPr>
          <w:rFonts w:ascii="Verdana" w:hAnsi="Verdana" w:cs="Arial"/>
          <w:color w:val="000000" w:themeColor="text1"/>
          <w:lang w:val="es-ES"/>
        </w:rPr>
        <w:t>lo dispuesto en el literal a) del numeral 1, el cual reza lo siguiente:</w:t>
      </w:r>
    </w:p>
    <w:p w14:paraId="2751B43B" w14:textId="77777777" w:rsidR="00ED3EB5" w:rsidRPr="00F07AB6" w:rsidRDefault="00ED3EB5" w:rsidP="00ED3EB5">
      <w:pPr>
        <w:spacing w:line="276" w:lineRule="auto"/>
        <w:jc w:val="both"/>
        <w:rPr>
          <w:rFonts w:ascii="Verdana" w:hAnsi="Verdana" w:cs="Arial"/>
          <w:color w:val="000000" w:themeColor="text1"/>
          <w:lang w:val="es-ES"/>
        </w:rPr>
      </w:pPr>
    </w:p>
    <w:p w14:paraId="047BF79B" w14:textId="77777777" w:rsidR="00ED3EB5" w:rsidRPr="00812083" w:rsidRDefault="00ED3EB5" w:rsidP="00ED3EB5">
      <w:pPr>
        <w:spacing w:after="240"/>
        <w:ind w:left="709" w:right="709"/>
        <w:jc w:val="both"/>
        <w:rPr>
          <w:rFonts w:ascii="Verdana" w:hAnsi="Verdana" w:cs="Arial"/>
          <w:color w:val="000000" w:themeColor="text1"/>
          <w:sz w:val="20"/>
          <w:szCs w:val="20"/>
          <w:lang w:val="es-ES"/>
        </w:rPr>
      </w:pPr>
      <w:r w:rsidRPr="00812083">
        <w:rPr>
          <w:rStyle w:val="Textoennegrita"/>
          <w:rFonts w:ascii="Verdana" w:hAnsi="Verdana" w:cs="Arial"/>
          <w:color w:val="000000"/>
          <w:sz w:val="20"/>
          <w:szCs w:val="20"/>
        </w:rPr>
        <w:t xml:space="preserve">Artículo 2o. De la definición de entidades, servidores y servicios públicos. </w:t>
      </w:r>
      <w:r w:rsidRPr="00812083">
        <w:rPr>
          <w:rFonts w:ascii="Verdana" w:hAnsi="Verdana" w:cs="Arial"/>
          <w:color w:val="000000"/>
          <w:sz w:val="20"/>
          <w:szCs w:val="20"/>
        </w:rPr>
        <w:t>Para los solos efectos de esta ley: </w:t>
      </w:r>
    </w:p>
    <w:p w14:paraId="22D6A351" w14:textId="77777777" w:rsidR="00ED3EB5" w:rsidRPr="00812083" w:rsidRDefault="00ED3EB5" w:rsidP="00ED3EB5">
      <w:pPr>
        <w:pStyle w:val="NormalWeb"/>
        <w:spacing w:after="240"/>
        <w:ind w:left="709" w:right="709"/>
        <w:jc w:val="both"/>
        <w:rPr>
          <w:rFonts w:ascii="Verdana" w:hAnsi="Verdana" w:cs="Arial"/>
          <w:color w:val="000000"/>
          <w:sz w:val="20"/>
          <w:szCs w:val="20"/>
        </w:rPr>
      </w:pPr>
      <w:r w:rsidRPr="00812083">
        <w:rPr>
          <w:rFonts w:ascii="Verdana" w:hAnsi="Verdana" w:cs="Arial"/>
          <w:color w:val="000000"/>
          <w:sz w:val="20"/>
          <w:szCs w:val="20"/>
        </w:rPr>
        <w:t>1o. Se denominan entidades estatales: </w:t>
      </w:r>
    </w:p>
    <w:p w14:paraId="1F442222" w14:textId="77777777" w:rsidR="00ED3EB5" w:rsidRPr="00812083" w:rsidRDefault="00ED3EB5" w:rsidP="00ED3EB5">
      <w:pPr>
        <w:pStyle w:val="NormalWeb"/>
        <w:spacing w:after="240"/>
        <w:ind w:left="709" w:right="709"/>
        <w:jc w:val="both"/>
        <w:rPr>
          <w:rFonts w:ascii="Verdana" w:hAnsi="Verdana" w:cs="Arial"/>
          <w:color w:val="000000"/>
          <w:sz w:val="20"/>
          <w:szCs w:val="20"/>
        </w:rPr>
      </w:pPr>
      <w:r w:rsidRPr="00812083">
        <w:rPr>
          <w:rFonts w:ascii="Verdana" w:hAnsi="Verdana" w:cs="Arial"/>
          <w:color w:val="000000"/>
          <w:sz w:val="20"/>
          <w:szCs w:val="20"/>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w:t>
      </w:r>
      <w:r w:rsidRPr="00812083">
        <w:rPr>
          <w:rFonts w:ascii="Verdana" w:hAnsi="Verdana" w:cs="Arial"/>
          <w:i/>
          <w:iCs/>
          <w:color w:val="000000"/>
          <w:sz w:val="20"/>
          <w:szCs w:val="20"/>
        </w:rPr>
        <w:t>así como las entidades descentralizadas indirectas y las demás personas jurídicas en las que exista dicha participación pública mayoritaria, cualquiera sea la denominación que ellas adopten, en todos los órdenes y niveles </w:t>
      </w:r>
      <w:r w:rsidRPr="00812083">
        <w:rPr>
          <w:rFonts w:ascii="Verdana" w:hAnsi="Verdana" w:cs="Arial"/>
          <w:color w:val="000000"/>
          <w:sz w:val="20"/>
          <w:szCs w:val="20"/>
        </w:rPr>
        <w:t>[...]</w:t>
      </w:r>
      <w:r w:rsidRPr="00812083">
        <w:rPr>
          <w:rFonts w:ascii="Verdana" w:hAnsi="Verdana" w:cs="Arial"/>
          <w:i/>
          <w:iCs/>
          <w:color w:val="000000"/>
          <w:sz w:val="20"/>
          <w:szCs w:val="20"/>
        </w:rPr>
        <w:t xml:space="preserve"> </w:t>
      </w:r>
      <w:r w:rsidRPr="00812083">
        <w:rPr>
          <w:rFonts w:ascii="Verdana" w:hAnsi="Verdana" w:cs="Arial"/>
          <w:color w:val="000000"/>
          <w:sz w:val="20"/>
          <w:szCs w:val="20"/>
        </w:rPr>
        <w:t xml:space="preserve">[Énfasis fuera de texto] </w:t>
      </w:r>
    </w:p>
    <w:p w14:paraId="13DE45AD" w14:textId="77777777" w:rsidR="00ED3EB5" w:rsidRPr="00F07AB6" w:rsidRDefault="00ED3EB5" w:rsidP="00ED3EB5">
      <w:pPr>
        <w:spacing w:after="120" w:line="276" w:lineRule="auto"/>
        <w:jc w:val="both"/>
        <w:rPr>
          <w:rFonts w:ascii="Verdana" w:hAnsi="Verdana" w:cs="Arial"/>
          <w:color w:val="000000" w:themeColor="text1"/>
          <w:lang w:val="es-ES"/>
        </w:rPr>
      </w:pPr>
      <w:r w:rsidRPr="00F07AB6">
        <w:rPr>
          <w:rFonts w:ascii="Verdana" w:hAnsi="Verdana" w:cs="Arial"/>
          <w:color w:val="000000" w:themeColor="text1"/>
          <w:lang w:val="es-ES"/>
        </w:rPr>
        <w:tab/>
        <w:t>Conforme se aprecia, esta norma hace alusión a una serie de personas jurídicas públicas ubicadas en distintos órdenes y niveles de la Administración Pública, a efectos de predicar respecto a estas la calidad de entidades estatales. Dicha calidad, de conformidad con lo establecido en el artículo 1 de la Ley 80 de 1993, en principio, implica que el régimen contractual aplicable a los sujetos referidos en la norma sea el Estatuto General de Contratación de la Administración Pública</w:t>
      </w:r>
      <w:r w:rsidRPr="00F07AB6">
        <w:rPr>
          <w:rStyle w:val="Refdenotaalpie"/>
          <w:rFonts w:ascii="Verdana" w:hAnsi="Verdana" w:cs="Arial"/>
          <w:color w:val="000000" w:themeColor="text1"/>
          <w:lang w:val="es-ES"/>
        </w:rPr>
        <w:footnoteReference w:id="7"/>
      </w:r>
      <w:r w:rsidRPr="00F07AB6">
        <w:rPr>
          <w:rFonts w:ascii="Verdana" w:hAnsi="Verdana" w:cs="Arial"/>
          <w:color w:val="000000" w:themeColor="text1"/>
          <w:lang w:val="es-ES"/>
        </w:rPr>
        <w:t>.  Así, para constatar la aplicación de este régimen a las entidades descentralizadas indirectas debe determinarse si la participación pública en ellas es mayoritaria.</w:t>
      </w:r>
    </w:p>
    <w:p w14:paraId="5123B0B9" w14:textId="77777777" w:rsidR="00ED3EB5" w:rsidRPr="00F07AB6" w:rsidRDefault="00ED3EB5" w:rsidP="00ED3EB5">
      <w:pPr>
        <w:pStyle w:val="NormalWeb"/>
        <w:spacing w:after="120" w:line="276" w:lineRule="auto"/>
        <w:ind w:firstLine="709"/>
        <w:jc w:val="both"/>
        <w:rPr>
          <w:rFonts w:ascii="Verdana" w:hAnsi="Verdana" w:cs="Arial"/>
          <w:sz w:val="22"/>
          <w:szCs w:val="22"/>
        </w:rPr>
      </w:pPr>
      <w:r>
        <w:rPr>
          <w:rFonts w:ascii="Verdana" w:hAnsi="Verdana" w:cs="Arial"/>
          <w:sz w:val="22"/>
          <w:szCs w:val="22"/>
        </w:rPr>
        <w:t>P</w:t>
      </w:r>
      <w:r w:rsidRPr="00F07AB6">
        <w:rPr>
          <w:rFonts w:ascii="Verdana" w:hAnsi="Verdana" w:cs="Arial"/>
          <w:sz w:val="22"/>
          <w:szCs w:val="22"/>
        </w:rPr>
        <w:t xml:space="preserve">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 así </w:t>
      </w:r>
      <w:r w:rsidRPr="00F07AB6">
        <w:rPr>
          <w:rFonts w:ascii="Verdana" w:hAnsi="Verdana" w:cs="Arial"/>
          <w:sz w:val="22"/>
          <w:szCs w:val="22"/>
        </w:rPr>
        <w:lastRenderedPageBreak/>
        <w:t xml:space="preserve">como la participación de las entidades asociadas en el sostenimiento y funcionamiento de la entidad. Bajo esa perspectiva, el legislador diferenció dos (2) elementos importantes para el funcionamiento de estas asociaciones mixtas. Por un lado, los aportes realizados al momento de su constitución, los cuales determinan la participación de los asociados en la creación de la persona jurídica, y con ello la naturaleza y el régimen jurídico de la entidad. Por otro lado, las contribuciones que se realizan para el sostenimiento y funcionamiento de la entidad sin ánimo de lucro. </w:t>
      </w:r>
    </w:p>
    <w:p w14:paraId="613F8FDB" w14:textId="77777777" w:rsidR="00ED3EB5" w:rsidRPr="00F07AB6" w:rsidRDefault="00ED3EB5" w:rsidP="00ED3EB5">
      <w:pPr>
        <w:pStyle w:val="NormalWeb"/>
        <w:spacing w:after="120" w:line="276" w:lineRule="auto"/>
        <w:ind w:firstLine="709"/>
        <w:jc w:val="both"/>
        <w:rPr>
          <w:rFonts w:ascii="Verdana" w:hAnsi="Verdana" w:cs="Arial"/>
          <w:sz w:val="22"/>
          <w:szCs w:val="22"/>
        </w:rPr>
      </w:pPr>
      <w:r w:rsidRPr="00F07AB6">
        <w:rPr>
          <w:rFonts w:ascii="Verdana" w:hAnsi="Verdana" w:cs="Arial"/>
          <w:sz w:val="22"/>
          <w:szCs w:val="22"/>
        </w:rPr>
        <w:t>En ese sentido, las asociaciones de carácter mixto con participación mayoritaria del Estado que se constituyan en virtud del artículo 96 de la Ley 489 de 1998 se consideran como entidades estatales, sometidas al Estatuto General de Contratación de la Administración Pública, cuando los aportes realizados al momento de su constitución son superiores al 50%. Lo anterior, sin perjuicio de cualquier modificación posterior que se realice de dichos aportes y que impliquen un cambio en la participación de los socios, fundadores o constituyentes.</w:t>
      </w:r>
    </w:p>
    <w:p w14:paraId="5E7EBEEA" w14:textId="0F00026A" w:rsidR="00ED3EB5" w:rsidRPr="00F07AB6" w:rsidRDefault="00ED3EB5" w:rsidP="00ED3EB5">
      <w:pPr>
        <w:pStyle w:val="NormalWeb"/>
        <w:spacing w:after="240" w:line="276" w:lineRule="auto"/>
        <w:ind w:firstLine="708"/>
        <w:jc w:val="both"/>
        <w:rPr>
          <w:rFonts w:ascii="Verdana" w:hAnsi="Verdana" w:cs="Arial"/>
          <w:color w:val="000000" w:themeColor="text1"/>
          <w:sz w:val="22"/>
          <w:szCs w:val="22"/>
        </w:rPr>
      </w:pPr>
      <w:r w:rsidRPr="00F07AB6">
        <w:rPr>
          <w:rFonts w:ascii="Verdana" w:hAnsi="Verdana" w:cs="Arial"/>
          <w:sz w:val="22"/>
          <w:szCs w:val="22"/>
        </w:rPr>
        <w:t xml:space="preserve">En todo caso, debe precisarse </w:t>
      </w:r>
      <w:r w:rsidRPr="00F07AB6">
        <w:rPr>
          <w:rFonts w:ascii="Verdana" w:hAnsi="Verdana" w:cs="Arial"/>
          <w:color w:val="000000" w:themeColor="text1"/>
          <w:sz w:val="22"/>
          <w:szCs w:val="22"/>
        </w:rPr>
        <w:t>que una corporación o fundación mixta con participación minoritaria del Estado adquiere la calidad de entidad pública sujeta al Estatuto General de Contratación de la Administración Pública, cuando la participación del Estado cambie y se torne mayoritaria, siendo igual o superior al 50%. Esto se fundamenta en el alcance explicado del artículo 2</w:t>
      </w:r>
      <w:r w:rsidR="004B3833">
        <w:rPr>
          <w:rFonts w:ascii="Verdana" w:hAnsi="Verdana" w:cs="Arial"/>
          <w:color w:val="000000" w:themeColor="text1"/>
          <w:sz w:val="22"/>
          <w:szCs w:val="22"/>
        </w:rPr>
        <w:t xml:space="preserve">, numeral </w:t>
      </w:r>
      <w:r w:rsidRPr="00F07AB6">
        <w:rPr>
          <w:rFonts w:ascii="Verdana" w:hAnsi="Verdana" w:cs="Arial"/>
          <w:color w:val="000000" w:themeColor="text1"/>
          <w:sz w:val="22"/>
          <w:szCs w:val="22"/>
        </w:rPr>
        <w:t>1</w:t>
      </w:r>
      <w:r w:rsidR="004B3833">
        <w:rPr>
          <w:rFonts w:ascii="Verdana" w:hAnsi="Verdana" w:cs="Arial"/>
          <w:color w:val="000000" w:themeColor="text1"/>
          <w:sz w:val="22"/>
          <w:szCs w:val="22"/>
        </w:rPr>
        <w:t>,</w:t>
      </w:r>
      <w:r w:rsidRPr="00F07AB6">
        <w:rPr>
          <w:rFonts w:ascii="Verdana" w:hAnsi="Verdana" w:cs="Arial"/>
          <w:color w:val="000000" w:themeColor="text1"/>
          <w:sz w:val="22"/>
          <w:szCs w:val="22"/>
        </w:rPr>
        <w:t xml:space="preserve"> literal a) de la Ley 80 de 1993, al establecer que lo que interesa es determinar la participación mayoritaria del Estado, independiente si fue en su constitución o en un momento posterior. Esto significa que, estas entidades podrán estar sujetas a cambios en su régimen de contratación cuando se produzcan variaciones del aporte estatal, sin importar el tiempo en que se presenten. </w:t>
      </w:r>
    </w:p>
    <w:p w14:paraId="3F6F0899" w14:textId="67824FF3" w:rsidR="00ED3EB5" w:rsidRPr="00F07AB6" w:rsidRDefault="00ED3EB5" w:rsidP="004B3833">
      <w:pPr>
        <w:pStyle w:val="NormalWeb"/>
        <w:spacing w:after="120" w:line="276" w:lineRule="auto"/>
        <w:jc w:val="both"/>
        <w:rPr>
          <w:rFonts w:ascii="Verdana" w:hAnsi="Verdana" w:cs="Arial"/>
          <w:iCs/>
          <w:sz w:val="22"/>
          <w:szCs w:val="22"/>
        </w:rPr>
      </w:pPr>
      <w:r w:rsidRPr="00F07AB6">
        <w:rPr>
          <w:rFonts w:ascii="Verdana" w:hAnsi="Verdana" w:cs="Arial"/>
          <w:iCs/>
          <w:sz w:val="22"/>
          <w:szCs w:val="22"/>
        </w:rPr>
        <w:t>Así pues, las personas jurídicas sin ánimo de lucro creadas de conformidad con el artículo 96 de la Ley 489 de 1998, al constituir entidades descentralizadas indirectas, son susceptibles de ser consideradas entidades estatales en los términos del artículo 2</w:t>
      </w:r>
      <w:r w:rsidR="00C213C6">
        <w:rPr>
          <w:rFonts w:ascii="Verdana" w:hAnsi="Verdana" w:cs="Arial"/>
          <w:iCs/>
          <w:sz w:val="22"/>
          <w:szCs w:val="22"/>
        </w:rPr>
        <w:t xml:space="preserve">, numeral </w:t>
      </w:r>
      <w:r w:rsidRPr="00F07AB6">
        <w:rPr>
          <w:rFonts w:ascii="Verdana" w:hAnsi="Verdana" w:cs="Arial"/>
          <w:iCs/>
          <w:sz w:val="22"/>
          <w:szCs w:val="22"/>
        </w:rPr>
        <w:t xml:space="preserve">1 literal a) de la Ley 80 de 1993, </w:t>
      </w:r>
      <w:proofErr w:type="gramStart"/>
      <w:r w:rsidRPr="00F07AB6">
        <w:rPr>
          <w:rFonts w:ascii="Verdana" w:hAnsi="Verdana" w:cs="Arial"/>
          <w:iCs/>
          <w:sz w:val="22"/>
          <w:szCs w:val="22"/>
        </w:rPr>
        <w:t>y</w:t>
      </w:r>
      <w:proofErr w:type="gramEnd"/>
      <w:r w:rsidRPr="00F07AB6">
        <w:rPr>
          <w:rFonts w:ascii="Verdana" w:hAnsi="Verdana" w:cs="Arial"/>
          <w:iCs/>
          <w:sz w:val="22"/>
          <w:szCs w:val="22"/>
        </w:rPr>
        <w:t xml:space="preserve"> en consecuencia, estar sometidas al Estatuto General de Contratación de la Administración Pública. No obstante, ello solo aplica respecto de aquellas que cuenten con una participación mayoritaria en cabeza de otras entidades públicas, por lo que las entidades descentralizadas indirectas en los que la participación </w:t>
      </w:r>
      <w:r w:rsidRPr="00F07AB6">
        <w:rPr>
          <w:rFonts w:ascii="Verdana" w:hAnsi="Verdana" w:cs="Arial"/>
          <w:iCs/>
          <w:sz w:val="22"/>
          <w:szCs w:val="22"/>
        </w:rPr>
        <w:lastRenderedPageBreak/>
        <w:t xml:space="preserve">del Estado es minoritaria, no se encontrarían sujetas al régimen de contratación de la Ley 80 de 1993.   </w:t>
      </w:r>
    </w:p>
    <w:p w14:paraId="03DBC81F" w14:textId="1D1D01BA" w:rsidR="00ED3EB5" w:rsidRPr="00F07AB6" w:rsidRDefault="00ED3EB5" w:rsidP="00ED3EB5">
      <w:pPr>
        <w:widowControl w:val="0"/>
        <w:autoSpaceDE w:val="0"/>
        <w:autoSpaceDN w:val="0"/>
        <w:spacing w:after="120" w:line="276" w:lineRule="auto"/>
        <w:ind w:firstLine="708"/>
        <w:jc w:val="both"/>
        <w:rPr>
          <w:rFonts w:ascii="Verdana" w:eastAsia="Arial" w:hAnsi="Verdana" w:cs="Arial"/>
          <w:color w:val="000000"/>
          <w:lang w:val="es-ES"/>
        </w:rPr>
      </w:pPr>
      <w:r w:rsidRPr="00F07AB6">
        <w:rPr>
          <w:rFonts w:ascii="Verdana" w:hAnsi="Verdana" w:cs="Arial"/>
        </w:rPr>
        <w:t xml:space="preserve">De otra parte, </w:t>
      </w:r>
      <w:r w:rsidR="00C213C6">
        <w:rPr>
          <w:rFonts w:ascii="Verdana" w:eastAsia="Arial" w:hAnsi="Verdana" w:cs="Arial"/>
          <w:lang w:val="es-ES"/>
        </w:rPr>
        <w:t>s</w:t>
      </w:r>
      <w:r w:rsidRPr="00F07AB6">
        <w:rPr>
          <w:rFonts w:ascii="Verdana" w:eastAsia="Arial" w:hAnsi="Verdana" w:cs="Arial"/>
          <w:lang w:val="es-ES"/>
        </w:rPr>
        <w:t>obre</w:t>
      </w:r>
      <w:r w:rsidRPr="00F07AB6">
        <w:rPr>
          <w:rFonts w:ascii="Verdana" w:eastAsia="Calibri" w:hAnsi="Verdana" w:cs="Arial"/>
          <w:bCs/>
          <w:color w:val="000000"/>
          <w:lang w:val="es-ES"/>
        </w:rPr>
        <w:t xml:space="preserve"> la tipología de convenios o contratos interadministrativos conviene precisar que, </w:t>
      </w:r>
      <w:r w:rsidRPr="00F07AB6">
        <w:rPr>
          <w:rFonts w:ascii="Verdana" w:eastAsia="Arial" w:hAnsi="Verdana" w:cs="Arial"/>
          <w:color w:val="000000"/>
          <w:lang w:val="es-ES"/>
        </w:rPr>
        <w:t>aunque la ley no la definió ni desarrolló, el Decreto 1082 de 2015 se refiere como interadministrativa a aquella contratación entre entidades estatales</w:t>
      </w:r>
      <w:r w:rsidRPr="00F07AB6">
        <w:rPr>
          <w:rFonts w:ascii="Verdana" w:eastAsia="Arial" w:hAnsi="Verdana" w:cs="Arial"/>
          <w:color w:val="000000"/>
          <w:vertAlign w:val="superscript"/>
          <w:lang w:val="es-ES"/>
        </w:rPr>
        <w:footnoteReference w:id="8"/>
      </w:r>
      <w:r w:rsidRPr="00F07AB6">
        <w:rPr>
          <w:rFonts w:ascii="Verdana" w:eastAsia="Arial" w:hAnsi="Verdana" w:cs="Arial"/>
          <w:color w:val="000000"/>
          <w:lang w:val="es-ES"/>
        </w:rPr>
        <w:t>. De acuerdo con lo anterior, es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07AB6">
        <w:rPr>
          <w:rFonts w:ascii="Verdana" w:eastAsia="Arial" w:hAnsi="Verdana" w:cs="Arial"/>
          <w:color w:val="000000"/>
          <w:spacing w:val="-6"/>
          <w:lang w:val="es-ES"/>
        </w:rPr>
        <w:t xml:space="preserve"> </w:t>
      </w:r>
      <w:r w:rsidRPr="00F07AB6">
        <w:rPr>
          <w:rFonts w:ascii="Verdana" w:eastAsia="Arial" w:hAnsi="Verdana" w:cs="Arial"/>
          <w:color w:val="000000"/>
          <w:lang w:val="es-ES"/>
        </w:rPr>
        <w:t>estatales.</w:t>
      </w:r>
    </w:p>
    <w:p w14:paraId="2198EED5" w14:textId="77777777" w:rsidR="00ED3EB5" w:rsidRPr="00F07AB6" w:rsidRDefault="00ED3EB5" w:rsidP="00ED3EB5">
      <w:pPr>
        <w:widowControl w:val="0"/>
        <w:autoSpaceDE w:val="0"/>
        <w:autoSpaceDN w:val="0"/>
        <w:spacing w:line="276" w:lineRule="auto"/>
        <w:ind w:firstLine="709"/>
        <w:jc w:val="both"/>
        <w:rPr>
          <w:rFonts w:ascii="Verdana" w:eastAsia="Arial" w:hAnsi="Verdana" w:cs="Arial"/>
          <w:color w:val="000000"/>
          <w:lang w:val="es-ES"/>
        </w:rPr>
      </w:pPr>
      <w:r w:rsidRPr="00F07AB6">
        <w:rPr>
          <w:rFonts w:ascii="Verdana" w:eastAsia="Arial" w:hAnsi="Verdana" w:cs="Arial"/>
          <w:color w:val="000000"/>
          <w:lang w:val="es-ES"/>
        </w:rPr>
        <w:t>En concordancia con estos, 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F07AB6">
        <w:rPr>
          <w:rFonts w:ascii="Verdana" w:eastAsia="Arial" w:hAnsi="Verdana" w:cs="Arial"/>
          <w:color w:val="000000"/>
          <w:spacing w:val="-13"/>
          <w:lang w:val="es-ES"/>
        </w:rPr>
        <w:t xml:space="preserve"> </w:t>
      </w:r>
      <w:r w:rsidRPr="00F07AB6">
        <w:rPr>
          <w:rFonts w:ascii="Verdana" w:eastAsia="Arial" w:hAnsi="Verdana" w:cs="Arial"/>
          <w:color w:val="000000"/>
          <w:lang w:val="es-ES"/>
        </w:rPr>
        <w:t>que:</w:t>
      </w:r>
    </w:p>
    <w:p w14:paraId="030F233F" w14:textId="77777777" w:rsidR="00ED3EB5" w:rsidRPr="00F07AB6" w:rsidRDefault="00ED3EB5" w:rsidP="00ED3EB5">
      <w:pPr>
        <w:widowControl w:val="0"/>
        <w:autoSpaceDE w:val="0"/>
        <w:autoSpaceDN w:val="0"/>
        <w:spacing w:line="276" w:lineRule="auto"/>
        <w:ind w:firstLine="709"/>
        <w:jc w:val="both"/>
        <w:rPr>
          <w:rFonts w:ascii="Verdana" w:eastAsia="Arial" w:hAnsi="Verdana" w:cs="Arial"/>
          <w:color w:val="000000"/>
          <w:lang w:val="es-ES"/>
        </w:rPr>
      </w:pPr>
    </w:p>
    <w:p w14:paraId="6A4606D5" w14:textId="791DE837" w:rsidR="00ED3EB5" w:rsidRPr="00F07AB6" w:rsidRDefault="00ED3EB5" w:rsidP="005B335D">
      <w:pPr>
        <w:ind w:left="709" w:right="709"/>
        <w:jc w:val="both"/>
        <w:rPr>
          <w:rFonts w:ascii="Verdana" w:eastAsia="Calibri" w:hAnsi="Verdana" w:cs="Arial"/>
          <w:color w:val="000000"/>
        </w:rPr>
      </w:pPr>
      <w:r w:rsidRPr="00F07AB6">
        <w:rPr>
          <w:rFonts w:ascii="Verdana" w:eastAsia="Calibri" w:hAnsi="Verdana" w:cs="Arial"/>
          <w:color w:val="000000"/>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F07AB6">
        <w:rPr>
          <w:rFonts w:ascii="Verdana" w:eastAsia="Calibri" w:hAnsi="Verdana" w:cs="Arial"/>
          <w:color w:val="000000"/>
        </w:rPr>
        <w:t>ii</w:t>
      </w:r>
      <w:proofErr w:type="spellEnd"/>
      <w:r w:rsidRPr="00F07AB6">
        <w:rPr>
          <w:rFonts w:ascii="Verdana" w:eastAsia="Calibri" w:hAnsi="Verdana" w:cs="Arial"/>
          <w:color w:val="000000"/>
        </w:rPr>
        <w:t>) tienen como fuente la autonomía contractual; (</w:t>
      </w:r>
      <w:proofErr w:type="spellStart"/>
      <w:r w:rsidRPr="00F07AB6">
        <w:rPr>
          <w:rFonts w:ascii="Verdana" w:eastAsia="Calibri" w:hAnsi="Verdana" w:cs="Arial"/>
          <w:color w:val="000000"/>
        </w:rPr>
        <w:t>iii</w:t>
      </w:r>
      <w:proofErr w:type="spellEnd"/>
      <w:r w:rsidRPr="00F07AB6">
        <w:rPr>
          <w:rFonts w:ascii="Verdana" w:eastAsia="Calibri" w:hAnsi="Verdana" w:cs="Arial"/>
          <w:color w:val="000000"/>
        </w:rPr>
        <w:t>) son contratos nominados puesto que están mencionados en la ley; (</w:t>
      </w:r>
      <w:proofErr w:type="spellStart"/>
      <w:r w:rsidRPr="00F07AB6">
        <w:rPr>
          <w:rFonts w:ascii="Verdana" w:eastAsia="Calibri" w:hAnsi="Verdana" w:cs="Arial"/>
          <w:color w:val="000000"/>
        </w:rPr>
        <w:t>iv</w:t>
      </w:r>
      <w:proofErr w:type="spellEnd"/>
      <w:r w:rsidRPr="00F07AB6">
        <w:rPr>
          <w:rFonts w:ascii="Verdana" w:eastAsia="Calibri" w:hAnsi="Verdana" w:cs="Arial"/>
          <w:color w:val="000000"/>
        </w:rPr>
        <w:t xml:space="preserve">) son contratos atípicos desde la perspectiva legal dado que </w:t>
      </w:r>
      <w:r w:rsidRPr="00F07AB6">
        <w:rPr>
          <w:rFonts w:ascii="Verdana" w:eastAsia="Calibri" w:hAnsi="Verdana" w:cs="Arial"/>
          <w:color w:val="000000"/>
        </w:rPr>
        <w:lastRenderedPageBreak/>
        <w:t>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F07AB6">
        <w:rPr>
          <w:rFonts w:ascii="Verdana" w:eastAsia="Calibri" w:hAnsi="Verdana" w:cs="Arial"/>
          <w:color w:val="000000"/>
        </w:rPr>
        <w:t>vii</w:t>
      </w:r>
      <w:proofErr w:type="spellEnd"/>
      <w:r w:rsidRPr="00F07AB6">
        <w:rPr>
          <w:rFonts w:ascii="Verdana" w:eastAsia="Calibri" w:hAnsi="Verdana" w:cs="Arial"/>
          <w:color w:val="000000"/>
        </w:rPr>
        <w:t>) persiguen  una finalidad común a través de la realización de intereses compartidos entre las entidades vinculadas; (</w:t>
      </w:r>
      <w:proofErr w:type="spellStart"/>
      <w:r w:rsidRPr="00F07AB6">
        <w:rPr>
          <w:rFonts w:ascii="Verdana" w:eastAsia="Calibri" w:hAnsi="Verdana" w:cs="Arial"/>
          <w:color w:val="000000"/>
        </w:rPr>
        <w:t>viii</w:t>
      </w:r>
      <w:proofErr w:type="spellEnd"/>
      <w:r w:rsidRPr="00F07AB6">
        <w:rPr>
          <w:rFonts w:ascii="Verdana" w:eastAsia="Calibri" w:hAnsi="Verdana" w:cs="Arial"/>
          <w:color w:val="000000"/>
        </w:rPr>
        <w:t>) la acción mediante la cual se deben ventilar las diferencias que sobre el particular surjan es la de controversias contractuales</w:t>
      </w:r>
      <w:r w:rsidRPr="00F07AB6">
        <w:rPr>
          <w:rFonts w:ascii="Verdana" w:eastAsia="Calibri" w:hAnsi="Verdana" w:cs="Arial"/>
          <w:color w:val="000000"/>
          <w:vertAlign w:val="superscript"/>
        </w:rPr>
        <w:footnoteReference w:id="9"/>
      </w:r>
      <w:r w:rsidRPr="00F07AB6">
        <w:rPr>
          <w:rFonts w:ascii="Verdana" w:eastAsia="Calibri" w:hAnsi="Verdana" w:cs="Arial"/>
          <w:color w:val="000000"/>
        </w:rPr>
        <w:t>.</w:t>
      </w:r>
    </w:p>
    <w:p w14:paraId="1B80F9D0" w14:textId="77777777" w:rsidR="00ED3EB5" w:rsidRPr="00F07AB6" w:rsidRDefault="00ED3EB5" w:rsidP="00ED3EB5">
      <w:pPr>
        <w:widowControl w:val="0"/>
        <w:autoSpaceDE w:val="0"/>
        <w:autoSpaceDN w:val="0"/>
        <w:spacing w:after="120" w:line="276" w:lineRule="auto"/>
        <w:ind w:firstLine="709"/>
        <w:jc w:val="both"/>
        <w:rPr>
          <w:rFonts w:ascii="Verdana" w:eastAsia="Arial" w:hAnsi="Verdana" w:cs="Arial"/>
          <w:color w:val="000000"/>
          <w:lang w:val="es-ES"/>
        </w:rPr>
      </w:pPr>
      <w:r w:rsidRPr="00F07AB6">
        <w:rPr>
          <w:rFonts w:ascii="Verdana" w:eastAsia="Arial" w:hAnsi="Verdana" w:cs="Arial"/>
          <w:color w:val="000000"/>
          <w:lang w:val="es-ES"/>
        </w:rPr>
        <w:t>En ese sentido, la calidad de interadministrativo de un contrato o convenio está determinada por los sujetos que intervienen en el negocio jurídico que la ley permite aplicar para su celebración, lo cual comporta un grado de excepcionalidad frente a las demás tipologías contractuales donde los sujetos no están restringidos a una cualificación particular.</w:t>
      </w:r>
    </w:p>
    <w:p w14:paraId="57194D89" w14:textId="77777777" w:rsidR="00ED3EB5" w:rsidRPr="00F07AB6" w:rsidRDefault="00ED3EB5" w:rsidP="00ED3EB5">
      <w:pPr>
        <w:spacing w:after="120" w:line="276" w:lineRule="auto"/>
        <w:ind w:firstLine="709"/>
        <w:jc w:val="both"/>
        <w:rPr>
          <w:rFonts w:ascii="Verdana" w:eastAsia="Arial" w:hAnsi="Verdana" w:cs="Arial"/>
          <w:color w:val="000000"/>
          <w:lang w:val="es-ES"/>
        </w:rPr>
      </w:pPr>
      <w:r w:rsidRPr="00F07AB6">
        <w:rPr>
          <w:rFonts w:ascii="Verdana" w:eastAsia="Calibri" w:hAnsi="Verdana" w:cs="Arial"/>
          <w:color w:val="000000"/>
          <w:lang w:val="es-ES_tradnl"/>
        </w:rPr>
        <w:t>En consideración a dicho criterio orgánico, esta Subdirección ha sostenido que, 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r w:rsidRPr="00F07AB6">
        <w:rPr>
          <w:rFonts w:ascii="Verdana" w:eastAsia="Calibri" w:hAnsi="Verdana" w:cs="Arial"/>
          <w:color w:val="000000"/>
          <w:vertAlign w:val="superscript"/>
          <w:lang w:val="es-ES_tradnl"/>
        </w:rPr>
        <w:footnoteReference w:id="10"/>
      </w:r>
      <w:r w:rsidRPr="00F07AB6">
        <w:rPr>
          <w:rFonts w:ascii="Verdana" w:eastAsia="Calibri" w:hAnsi="Verdana" w:cs="Arial"/>
          <w:color w:val="000000"/>
          <w:lang w:val="es-ES_tradnl"/>
        </w:rPr>
        <w:t>.</w:t>
      </w:r>
    </w:p>
    <w:p w14:paraId="71913F9D" w14:textId="042425AA" w:rsidR="00ED3EB5" w:rsidRPr="005B335D" w:rsidRDefault="005B335D" w:rsidP="005B335D">
      <w:pPr>
        <w:spacing w:after="120" w:line="276" w:lineRule="auto"/>
        <w:ind w:firstLine="708"/>
        <w:jc w:val="both"/>
        <w:rPr>
          <w:rFonts w:ascii="Verdana" w:eastAsia="Calibri" w:hAnsi="Verdana" w:cs="Arial"/>
          <w:color w:val="000000"/>
          <w:lang w:val="es-ES"/>
        </w:rPr>
      </w:pPr>
      <w:r>
        <w:rPr>
          <w:rFonts w:ascii="Verdana" w:eastAsia="Calibri" w:hAnsi="Verdana" w:cs="Arial"/>
          <w:color w:val="000000" w:themeColor="text1"/>
          <w:lang w:val="es-ES"/>
        </w:rPr>
        <w:t>A</w:t>
      </w:r>
      <w:proofErr w:type="spellStart"/>
      <w:r w:rsidR="00ED3EB5" w:rsidRPr="1A87591F">
        <w:rPr>
          <w:rFonts w:ascii="Verdana" w:eastAsia="Arial" w:hAnsi="Verdana" w:cs="Arial"/>
          <w:color w:val="000000"/>
        </w:rPr>
        <w:t>unque</w:t>
      </w:r>
      <w:proofErr w:type="spellEnd"/>
      <w:r w:rsidR="00ED3EB5" w:rsidRPr="1A87591F">
        <w:rPr>
          <w:rFonts w:ascii="Verdana" w:eastAsia="Arial" w:hAnsi="Verdana" w:cs="Arial"/>
          <w:color w:val="000000"/>
        </w:rPr>
        <w:t xml:space="preserv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w:t>
      </w:r>
      <w:r w:rsidR="00ED3EB5" w:rsidRPr="1A87591F">
        <w:rPr>
          <w:rFonts w:ascii="Verdana" w:eastAsia="Arial" w:hAnsi="Verdana" w:cs="Arial"/>
          <w:color w:val="000000"/>
        </w:rPr>
        <w:lastRenderedPageBreak/>
        <w:t>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00ED3EB5" w:rsidRPr="1A87591F">
        <w:rPr>
          <w:rFonts w:ascii="Verdana" w:eastAsia="Arial" w:hAnsi="Verdana" w:cs="Arial"/>
          <w:color w:val="000000"/>
          <w:spacing w:val="-4"/>
        </w:rPr>
        <w:t xml:space="preserve"> </w:t>
      </w:r>
      <w:r w:rsidR="00ED3EB5" w:rsidRPr="1A87591F">
        <w:rPr>
          <w:rFonts w:ascii="Verdana" w:eastAsia="Arial" w:hAnsi="Verdana" w:cs="Arial"/>
          <w:color w:val="000000"/>
        </w:rPr>
        <w:t>[…]»</w:t>
      </w:r>
      <w:r w:rsidR="00ED3EB5" w:rsidRPr="1A87591F">
        <w:rPr>
          <w:rFonts w:ascii="Verdana" w:eastAsia="Arial" w:hAnsi="Verdana" w:cs="Arial"/>
          <w:color w:val="000000"/>
          <w:vertAlign w:val="superscript"/>
        </w:rPr>
        <w:footnoteReference w:id="11"/>
      </w:r>
      <w:r w:rsidR="00ED3EB5" w:rsidRPr="1A87591F">
        <w:rPr>
          <w:rFonts w:ascii="Verdana" w:eastAsia="Arial" w:hAnsi="Verdana" w:cs="Arial"/>
          <w:color w:val="000000"/>
        </w:rPr>
        <w:t>.</w:t>
      </w:r>
    </w:p>
    <w:p w14:paraId="6C42564E" w14:textId="77777777" w:rsidR="00ED3EB5" w:rsidRPr="00F07AB6" w:rsidRDefault="00ED3EB5" w:rsidP="00ED3EB5">
      <w:pPr>
        <w:widowControl w:val="0"/>
        <w:autoSpaceDE w:val="0"/>
        <w:autoSpaceDN w:val="0"/>
        <w:spacing w:line="276" w:lineRule="auto"/>
        <w:ind w:firstLine="709"/>
        <w:jc w:val="both"/>
        <w:rPr>
          <w:rFonts w:ascii="Verdana" w:eastAsia="Arial" w:hAnsi="Verdana" w:cs="Arial"/>
          <w:color w:val="000000"/>
          <w:lang w:val="es-ES"/>
        </w:rPr>
      </w:pPr>
      <w:r w:rsidRPr="00F07AB6">
        <w:rPr>
          <w:rFonts w:ascii="Verdana" w:eastAsia="Arial" w:hAnsi="Verdana" w:cs="Arial"/>
          <w:color w:val="000000"/>
          <w:lang w:val="es-ES"/>
        </w:rPr>
        <w:t>Sin perjuicio de lo anterior, debe anotarse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47F5E5D9" w14:textId="77777777" w:rsidR="00ED3EB5" w:rsidRPr="00812083" w:rsidRDefault="00ED3EB5" w:rsidP="00ED3EB5">
      <w:pPr>
        <w:widowControl w:val="0"/>
        <w:autoSpaceDE w:val="0"/>
        <w:autoSpaceDN w:val="0"/>
        <w:spacing w:line="276" w:lineRule="auto"/>
        <w:ind w:firstLine="709"/>
        <w:jc w:val="both"/>
        <w:rPr>
          <w:rFonts w:ascii="Verdana" w:eastAsia="Arial" w:hAnsi="Verdana" w:cs="Arial"/>
          <w:color w:val="000000"/>
          <w:sz w:val="20"/>
          <w:szCs w:val="20"/>
          <w:lang w:val="es-ES"/>
        </w:rPr>
      </w:pPr>
    </w:p>
    <w:p w14:paraId="3F7F84E2" w14:textId="77777777" w:rsidR="00ED3EB5" w:rsidRPr="00812083" w:rsidRDefault="00ED3EB5" w:rsidP="00ED3EB5">
      <w:pPr>
        <w:spacing w:after="240"/>
        <w:ind w:left="709" w:right="709"/>
        <w:jc w:val="both"/>
        <w:rPr>
          <w:rFonts w:ascii="Verdana" w:eastAsia="Calibri" w:hAnsi="Verdana" w:cs="Arial"/>
          <w:color w:val="000000"/>
          <w:sz w:val="20"/>
          <w:szCs w:val="20"/>
          <w:lang w:val="es-ES_tradnl"/>
        </w:rPr>
      </w:pPr>
      <w:r w:rsidRPr="00812083">
        <w:rPr>
          <w:rFonts w:ascii="Verdana" w:eastAsia="Calibri" w:hAnsi="Verdana" w:cs="Arial"/>
          <w:color w:val="000000"/>
          <w:sz w:val="20"/>
          <w:szCs w:val="20"/>
          <w:lang w:val="es-ES_tradnl"/>
        </w:rPr>
        <w:t>La Sala de Consulta y Servicio Civil</w:t>
      </w:r>
      <w:r w:rsidRPr="00812083">
        <w:rPr>
          <w:rFonts w:ascii="Verdana" w:eastAsia="Calibri" w:hAnsi="Verdana" w:cs="Arial"/>
          <w:color w:val="000000"/>
          <w:sz w:val="20"/>
          <w:szCs w:val="20"/>
          <w:vertAlign w:val="superscript"/>
          <w:lang w:val="es-ES_tradnl"/>
        </w:rPr>
        <w:footnoteReference w:id="12"/>
      </w:r>
      <w:r w:rsidRPr="00812083">
        <w:rPr>
          <w:rFonts w:ascii="Verdana" w:eastAsia="Calibri" w:hAnsi="Verdana" w:cs="Arial"/>
          <w:color w:val="000000"/>
          <w:sz w:val="20"/>
          <w:szCs w:val="20"/>
          <w:lang w:val="es-ES_tradnl"/>
        </w:rPr>
        <w:t xml:space="preserve"> de esta Corporación se ha referido a los </w:t>
      </w:r>
      <w:r w:rsidRPr="00812083">
        <w:rPr>
          <w:rFonts w:ascii="Verdana" w:eastAsia="Calibri" w:hAnsi="Verdana" w:cs="Arial"/>
          <w:i/>
          <w:color w:val="000000"/>
          <w:sz w:val="20"/>
          <w:szCs w:val="20"/>
          <w:lang w:val="es-ES_tradnl"/>
        </w:rPr>
        <w:t>“convenios interadministrativos”</w:t>
      </w:r>
      <w:r w:rsidRPr="00812083">
        <w:rPr>
          <w:rFonts w:ascii="Verdana" w:eastAsia="Calibri" w:hAnsi="Verdana" w:cs="Arial"/>
          <w:color w:val="000000"/>
          <w:sz w:val="20"/>
          <w:szCs w:val="20"/>
          <w:lang w:val="es-ES_tradnl"/>
        </w:rPr>
        <w:t xml:space="preserve"> a los cuales alude el artículo 95 de la Ley 489 de 1998, calificándolos de </w:t>
      </w:r>
      <w:r w:rsidRPr="00812083">
        <w:rPr>
          <w:rFonts w:ascii="Verdana" w:eastAsia="Calibri" w:hAnsi="Verdana" w:cs="Arial"/>
          <w:i/>
          <w:color w:val="000000"/>
          <w:sz w:val="20"/>
          <w:szCs w:val="20"/>
          <w:lang w:val="es-ES_tradnl"/>
        </w:rPr>
        <w:t xml:space="preserve">“puros” </w:t>
      </w:r>
      <w:r w:rsidRPr="00812083">
        <w:rPr>
          <w:rFonts w:ascii="Verdana" w:eastAsia="Calibri" w:hAnsi="Verdana" w:cs="Arial"/>
          <w:color w:val="000000"/>
          <w:sz w:val="20"/>
          <w:szCs w:val="20"/>
          <w:lang w:val="es-ES_tradnl"/>
        </w:rPr>
        <w:t xml:space="preserve">y entendiendo que estos, además de perseguir la finalidad de cooperación antes indicada, no implican intereses contrapuestos ni tampoco se circunscriben a un </w:t>
      </w:r>
      <w:r w:rsidRPr="00812083">
        <w:rPr>
          <w:rFonts w:ascii="Verdana" w:eastAsia="Calibri" w:hAnsi="Verdana" w:cs="Arial"/>
          <w:i/>
          <w:color w:val="000000"/>
          <w:sz w:val="20"/>
          <w:szCs w:val="20"/>
          <w:lang w:val="es-ES_tradnl"/>
        </w:rPr>
        <w:t>“intercambio patrimonial”</w:t>
      </w:r>
      <w:r w:rsidRPr="00812083">
        <w:rPr>
          <w:rFonts w:ascii="Verdana" w:eastAsia="Calibri" w:hAnsi="Verdana" w:cs="Arial"/>
          <w:color w:val="000000"/>
          <w:sz w:val="20"/>
          <w:szCs w:val="20"/>
          <w:lang w:val="es-ES_tradnl"/>
        </w:rPr>
        <w:t>. Sin perjuicio de lo anterior, en otra oportunidad, la misma Sala</w:t>
      </w:r>
      <w:r w:rsidRPr="00812083">
        <w:rPr>
          <w:rFonts w:ascii="Verdana" w:eastAsia="Calibri" w:hAnsi="Verdana" w:cs="Arial"/>
          <w:color w:val="000000"/>
          <w:sz w:val="20"/>
          <w:szCs w:val="20"/>
          <w:vertAlign w:val="superscript"/>
          <w:lang w:val="es-ES_tradnl"/>
        </w:rPr>
        <w:footnoteReference w:id="13"/>
      </w:r>
      <w:r w:rsidRPr="00812083">
        <w:rPr>
          <w:rFonts w:ascii="Verdana" w:eastAsia="Calibri" w:hAnsi="Verdana" w:cs="Arial"/>
          <w:color w:val="000000"/>
          <w:sz w:val="20"/>
          <w:szCs w:val="20"/>
          <w:lang w:val="es-ES_tradnl"/>
        </w:rPr>
        <w:t xml:space="preserve"> había indicado que, si bien en dichos convenios no se daba un </w:t>
      </w:r>
      <w:r w:rsidRPr="00812083">
        <w:rPr>
          <w:rFonts w:ascii="Verdana" w:eastAsia="Calibri" w:hAnsi="Verdana" w:cs="Arial"/>
          <w:i/>
          <w:color w:val="000000"/>
          <w:sz w:val="20"/>
          <w:szCs w:val="20"/>
          <w:lang w:val="es-ES_tradnl"/>
        </w:rPr>
        <w:t>“verdadero intercambio de bienes o servicios (contrato conmutativo)”</w:t>
      </w:r>
      <w:r w:rsidRPr="00812083">
        <w:rPr>
          <w:rFonts w:ascii="Verdana" w:eastAsia="Calibri" w:hAnsi="Verdana" w:cs="Arial"/>
          <w:color w:val="000000"/>
          <w:sz w:val="20"/>
          <w:szCs w:val="20"/>
          <w:lang w:val="es-ES_tradnl"/>
        </w:rPr>
        <w:t>, ello no impedía que se conviniera una remuneración a cargo de alguna(s) entidad(es).</w:t>
      </w:r>
    </w:p>
    <w:p w14:paraId="1A199DC8" w14:textId="77777777" w:rsidR="00ED3EB5" w:rsidRPr="00812083" w:rsidRDefault="00ED3EB5" w:rsidP="00ED3EB5">
      <w:pPr>
        <w:widowControl w:val="0"/>
        <w:autoSpaceDE w:val="0"/>
        <w:autoSpaceDN w:val="0"/>
        <w:spacing w:after="240"/>
        <w:ind w:left="709" w:right="709"/>
        <w:jc w:val="both"/>
        <w:rPr>
          <w:rFonts w:ascii="Verdana" w:eastAsia="Arial" w:hAnsi="Verdana" w:cs="Arial"/>
          <w:color w:val="000000"/>
          <w:sz w:val="20"/>
          <w:szCs w:val="20"/>
          <w:lang w:val="es-ES"/>
        </w:rPr>
      </w:pPr>
      <w:r w:rsidRPr="00812083">
        <w:rPr>
          <w:rFonts w:ascii="Verdana" w:eastAsia="Arial" w:hAnsi="Verdana" w:cs="Arial"/>
          <w:color w:val="000000"/>
          <w:sz w:val="20"/>
          <w:szCs w:val="20"/>
          <w:lang w:val="es-ES_tradnl"/>
        </w:rPr>
        <w:t xml:space="preserve">Lo expuesto evidencia que, en general, las interpretaciones en torno a los </w:t>
      </w:r>
      <w:r w:rsidRPr="00812083">
        <w:rPr>
          <w:rFonts w:ascii="Verdana" w:eastAsia="Arial" w:hAnsi="Verdana" w:cs="Arial"/>
          <w:i/>
          <w:color w:val="000000"/>
          <w:sz w:val="20"/>
          <w:szCs w:val="20"/>
          <w:lang w:val="es-ES_tradnl"/>
        </w:rPr>
        <w:t>“convenios interadministrativos”</w:t>
      </w:r>
      <w:r w:rsidRPr="00812083">
        <w:rPr>
          <w:rFonts w:ascii="Verdana" w:eastAsia="Arial" w:hAnsi="Verdana" w:cs="Arial"/>
          <w:color w:val="000000"/>
          <w:sz w:val="20"/>
          <w:szCs w:val="20"/>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w:t>
      </w:r>
      <w:r w:rsidRPr="00812083">
        <w:rPr>
          <w:rFonts w:ascii="Verdana" w:eastAsia="Arial" w:hAnsi="Verdana" w:cs="Arial"/>
          <w:color w:val="000000"/>
          <w:sz w:val="20"/>
          <w:szCs w:val="20"/>
          <w:lang w:val="es-ES_tradnl"/>
        </w:rPr>
        <w:lastRenderedPageBreak/>
        <w:t>cuales tienen por objeto prestaciones patrimoniales</w:t>
      </w:r>
      <w:r w:rsidRPr="00812083">
        <w:rPr>
          <w:rFonts w:ascii="Verdana" w:eastAsia="Arial" w:hAnsi="Verdana" w:cs="Arial"/>
          <w:color w:val="000000"/>
          <w:sz w:val="20"/>
          <w:szCs w:val="20"/>
          <w:vertAlign w:val="superscript"/>
          <w:lang w:val="es-ES_tradnl"/>
        </w:rPr>
        <w:footnoteReference w:id="14"/>
      </w:r>
      <w:r w:rsidRPr="00812083">
        <w:rPr>
          <w:rFonts w:ascii="Verdana" w:eastAsia="Arial" w:hAnsi="Verdana" w:cs="Arial"/>
          <w:color w:val="000000"/>
          <w:sz w:val="20"/>
          <w:szCs w:val="20"/>
          <w:vertAlign w:val="superscript"/>
          <w:lang w:val="es-ES_tradnl"/>
        </w:rPr>
        <w:footnoteReference w:id="15"/>
      </w:r>
      <w:r w:rsidRPr="00812083">
        <w:rPr>
          <w:rFonts w:ascii="Verdana" w:eastAsia="Arial" w:hAnsi="Verdana" w:cs="Arial"/>
          <w:color w:val="000000"/>
          <w:sz w:val="20"/>
          <w:szCs w:val="20"/>
          <w:lang w:val="es-ES_tradnl"/>
        </w:rPr>
        <w:t>.</w:t>
      </w:r>
    </w:p>
    <w:p w14:paraId="5BC04CC3" w14:textId="633AAF86" w:rsidR="00ED3EB5" w:rsidRPr="00F07AB6" w:rsidRDefault="00ED3EB5" w:rsidP="00ED3EB5">
      <w:pPr>
        <w:pStyle w:val="Textoindependiente"/>
        <w:spacing w:line="276" w:lineRule="auto"/>
        <w:jc w:val="both"/>
        <w:rPr>
          <w:rFonts w:ascii="Verdana" w:hAnsi="Verdana"/>
          <w:bCs/>
        </w:rPr>
      </w:pPr>
      <w:r w:rsidRPr="00F07AB6">
        <w:rPr>
          <w:rFonts w:ascii="Verdana" w:hAnsi="Verdana"/>
          <w:bCs/>
        </w:rPr>
        <w:tab/>
        <w:t xml:space="preserve">En virtud de lo anterior, considerando que la calidad de interadministrativo de un contrato o convenio no está determinada por el régimen contractual de las partes, sino por el criterio orgánico que exige que ambos extremos de la relación contractual sean entidades públicas, nada obsta para que entidades descentralizadas indirectas </w:t>
      </w:r>
      <w:r w:rsidR="00D8469E">
        <w:rPr>
          <w:rFonts w:ascii="Verdana" w:hAnsi="Verdana"/>
          <w:bCs/>
        </w:rPr>
        <w:t xml:space="preserve">con participación pública mayoritaria </w:t>
      </w:r>
      <w:r w:rsidRPr="00F07AB6">
        <w:rPr>
          <w:rFonts w:ascii="Verdana" w:hAnsi="Verdana"/>
          <w:bCs/>
        </w:rPr>
        <w:t xml:space="preserve">suscriban este tipo de negocios jurídicos con otras entidades estatales. </w:t>
      </w:r>
    </w:p>
    <w:p w14:paraId="7B4DA8FB" w14:textId="77777777" w:rsidR="00ED3EB5" w:rsidRPr="00F07AB6" w:rsidRDefault="00ED3EB5" w:rsidP="00ED3EB5">
      <w:pPr>
        <w:spacing w:after="0" w:line="276" w:lineRule="auto"/>
        <w:jc w:val="both"/>
        <w:rPr>
          <w:rFonts w:ascii="Verdana" w:eastAsia="Calibri" w:hAnsi="Verdana" w:cs="Arial"/>
          <w:u w:val="single"/>
        </w:rPr>
      </w:pPr>
      <w:r w:rsidRPr="00F07AB6">
        <w:rPr>
          <w:rFonts w:ascii="Verdana" w:eastAsia="Calibri" w:hAnsi="Verdana" w:cs="Arial"/>
          <w:u w:val="single"/>
        </w:rPr>
        <w:t xml:space="preserve">Obligatoriedad de los documentos tipo </w:t>
      </w:r>
    </w:p>
    <w:p w14:paraId="6D58A4B6" w14:textId="77777777" w:rsidR="00ED3EB5" w:rsidRPr="00F07AB6" w:rsidRDefault="00ED3EB5" w:rsidP="00ED3EB5">
      <w:pPr>
        <w:spacing w:after="0" w:line="276" w:lineRule="auto"/>
        <w:jc w:val="both"/>
        <w:rPr>
          <w:rFonts w:ascii="Verdana" w:eastAsia="Calibri" w:hAnsi="Verdana" w:cs="Arial"/>
          <w:bCs/>
        </w:rPr>
      </w:pPr>
    </w:p>
    <w:p w14:paraId="7CB3B9F2" w14:textId="77777777" w:rsidR="00ED3EB5" w:rsidRPr="00F07AB6" w:rsidRDefault="00ED3EB5" w:rsidP="00ED3EB5">
      <w:pPr>
        <w:spacing w:after="120" w:line="276" w:lineRule="auto"/>
        <w:ind w:firstLine="708"/>
        <w:jc w:val="both"/>
        <w:rPr>
          <w:rFonts w:ascii="Verdana" w:eastAsia="Calibri" w:hAnsi="Verdana" w:cs="Arial"/>
          <w:lang w:val="es-ES" w:eastAsia="es-ES_tradnl"/>
        </w:rPr>
      </w:pPr>
      <w:r w:rsidRPr="00F07AB6">
        <w:rPr>
          <w:rFonts w:ascii="Verdana" w:eastAsia="Calibri" w:hAnsi="Verdana" w:cs="Arial"/>
          <w:bCs/>
        </w:rPr>
        <w:t>Por su parte la adopción de los documentos tipo obligatorios en el ordenamiento jurídico colombiano se incluyó por primera vez en el parágrafo 3 del artículo 2 de la Ley 1150 de 2007</w:t>
      </w:r>
      <w:r w:rsidRPr="00F07AB6">
        <w:rPr>
          <w:rFonts w:ascii="Verdana" w:eastAsia="Calibri" w:hAnsi="Verdana" w:cs="Arial"/>
          <w:bCs/>
          <w:vertAlign w:val="superscript"/>
        </w:rPr>
        <w:footnoteReference w:id="16"/>
      </w:r>
      <w:r w:rsidRPr="00F07AB6">
        <w:rPr>
          <w:rFonts w:ascii="Verdana" w:eastAsia="Calibri" w:hAnsi="Verdana" w:cs="Arial"/>
          <w:bCs/>
        </w:rPr>
        <w:t xml:space="preserve">, que facultó al gobierno nacional para expedirlos, </w:t>
      </w:r>
      <w:r w:rsidRPr="00F07AB6">
        <w:rPr>
          <w:rFonts w:ascii="Verdana" w:eastAsia="Calibri" w:hAnsi="Verdana" w:cs="Arial"/>
          <w:lang w:val="es-ES" w:eastAsia="es-ES_tradnl"/>
        </w:rPr>
        <w:t xml:space="preserve">pero solo cuando se tratara de la adquisición o suministro de bienes y servicios de características técnicas uniformes y de común utilización. Como esta atribución no ha sido ejercida hasta la actualidad, el artículo 4 de la Ley 1882 de 2018 es el antecedente más relevante de la expedición de documentos tipo con alcance obligatorio. </w:t>
      </w:r>
    </w:p>
    <w:p w14:paraId="15F18568" w14:textId="77777777" w:rsidR="00ED3EB5" w:rsidRPr="00F07AB6" w:rsidRDefault="00ED3EB5" w:rsidP="00ED3EB5">
      <w:pPr>
        <w:spacing w:after="0" w:line="276" w:lineRule="auto"/>
        <w:ind w:firstLine="708"/>
        <w:jc w:val="both"/>
        <w:rPr>
          <w:rFonts w:ascii="Verdana" w:eastAsia="Calibri" w:hAnsi="Verdana" w:cs="Arial"/>
          <w:bCs/>
        </w:rPr>
      </w:pPr>
      <w:r w:rsidRPr="00F07AB6">
        <w:rPr>
          <w:rFonts w:ascii="Verdana" w:eastAsia="Calibri" w:hAnsi="Verdana" w:cs="Arial"/>
          <w:bCs/>
        </w:rPr>
        <w:t xml:space="preserve">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6D97B06F" w14:textId="77777777" w:rsidR="00ED3EB5" w:rsidRPr="00F07AB6" w:rsidRDefault="00ED3EB5" w:rsidP="00ED3EB5">
      <w:pPr>
        <w:spacing w:after="0" w:line="276" w:lineRule="auto"/>
        <w:jc w:val="both"/>
        <w:rPr>
          <w:rFonts w:ascii="Verdana" w:eastAsia="Calibri" w:hAnsi="Verdana" w:cs="Arial"/>
          <w:lang w:val="es-ES"/>
        </w:rPr>
      </w:pPr>
    </w:p>
    <w:p w14:paraId="6F58815E" w14:textId="77777777" w:rsidR="00ED3EB5" w:rsidRPr="00CC09DD" w:rsidRDefault="00ED3EB5" w:rsidP="00ED3EB5">
      <w:pPr>
        <w:spacing w:after="0" w:line="276" w:lineRule="auto"/>
        <w:ind w:firstLine="708"/>
        <w:jc w:val="both"/>
        <w:rPr>
          <w:rFonts w:ascii="Verdana" w:eastAsia="Calibri" w:hAnsi="Verdana" w:cs="Arial"/>
          <w:lang w:val="es-ES" w:eastAsia="es-ES_tradnl"/>
        </w:rPr>
      </w:pPr>
      <w:r w:rsidRPr="00F07AB6">
        <w:rPr>
          <w:rFonts w:ascii="Verdana" w:eastAsia="Calibri" w:hAnsi="Verdana" w:cs="Arial"/>
          <w:lang w:val="es-ES" w:eastAsia="es-ES_tradnl"/>
        </w:rPr>
        <w:lastRenderedPageBreak/>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w:t>
      </w:r>
      <w:r w:rsidRPr="00CC09DD">
        <w:rPr>
          <w:rFonts w:ascii="Verdana" w:eastAsia="Calibri" w:hAnsi="Verdana" w:cs="Arial"/>
          <w:lang w:val="es-ES" w:eastAsia="es-ES_tradnl"/>
        </w:rPr>
        <w:t>y y que no se encuentra atribuida a la regulación de las entidades territoriales. De igual manera, se establece que esta autonomía se garantiza con la identificación autónoma de sus necesidades y la configuración de los elementos del contrato</w:t>
      </w:r>
      <w:r w:rsidRPr="00CC09DD">
        <w:rPr>
          <w:rFonts w:ascii="Verdana" w:eastAsia="Calibri" w:hAnsi="Verdana" w:cs="Arial"/>
          <w:vertAlign w:val="superscript"/>
          <w:lang w:val="es-ES" w:eastAsia="es-ES_tradnl"/>
        </w:rPr>
        <w:footnoteReference w:id="17"/>
      </w:r>
      <w:r w:rsidRPr="00CC09DD">
        <w:rPr>
          <w:rFonts w:ascii="Verdana" w:eastAsia="Calibri" w:hAnsi="Verdana" w:cs="Arial"/>
          <w:lang w:val="es-ES" w:eastAsia="es-ES_tradnl"/>
        </w:rPr>
        <w:t>.</w:t>
      </w:r>
    </w:p>
    <w:p w14:paraId="3167D47B" w14:textId="77777777" w:rsidR="00ED3EB5" w:rsidRPr="00CC09DD" w:rsidRDefault="00ED3EB5" w:rsidP="00ED3EB5">
      <w:pPr>
        <w:spacing w:after="0" w:line="276" w:lineRule="auto"/>
        <w:jc w:val="both"/>
        <w:rPr>
          <w:rFonts w:ascii="Verdana" w:hAnsi="Verdana" w:cs="Arial"/>
        </w:rPr>
      </w:pPr>
    </w:p>
    <w:p w14:paraId="774F4AB9" w14:textId="77777777" w:rsidR="00ED3EB5" w:rsidRPr="00CC09DD" w:rsidRDefault="00ED3EB5" w:rsidP="00ED3EB5">
      <w:pPr>
        <w:spacing w:after="0" w:line="276" w:lineRule="auto"/>
        <w:ind w:firstLine="708"/>
        <w:jc w:val="both"/>
        <w:rPr>
          <w:rFonts w:ascii="Verdana" w:hAnsi="Verdana" w:cs="Arial"/>
        </w:rPr>
      </w:pPr>
      <w:r w:rsidRPr="00CC09DD">
        <w:rPr>
          <w:rFonts w:ascii="Verdana" w:hAnsi="Verdana" w:cs="Arial"/>
        </w:rPr>
        <w:t>Posteriormente, el artículo 1 de la Ley 2022 de 2020 “Por la cual modifica el artículo 4 de la Ley 1882 de 2018 y se dictan otras disposiciones” otorgó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7F28575" w14:textId="77777777" w:rsidR="00ED3EB5" w:rsidRPr="00CC09DD" w:rsidRDefault="00ED3EB5" w:rsidP="00ED3EB5">
      <w:pPr>
        <w:spacing w:after="0" w:line="276" w:lineRule="auto"/>
        <w:jc w:val="both"/>
        <w:rPr>
          <w:rFonts w:ascii="Verdana" w:hAnsi="Verdana" w:cs="Arial"/>
        </w:rPr>
      </w:pPr>
    </w:p>
    <w:p w14:paraId="6DF6A2DB" w14:textId="77777777" w:rsidR="00ED3EB5" w:rsidRPr="001D4267" w:rsidRDefault="00ED3EB5" w:rsidP="00ED3EB5">
      <w:pPr>
        <w:pStyle w:val="NormalWeb"/>
        <w:spacing w:line="270" w:lineRule="atLeast"/>
        <w:ind w:left="708"/>
        <w:jc w:val="both"/>
        <w:rPr>
          <w:rFonts w:ascii="Verdana" w:hAnsi="Verdana" w:cs="Open Sans"/>
          <w:sz w:val="20"/>
          <w:szCs w:val="20"/>
        </w:rPr>
      </w:pPr>
      <w:bookmarkStart w:id="2" w:name="1"/>
      <w:r w:rsidRPr="001D4267">
        <w:rPr>
          <w:rFonts w:ascii="Verdana" w:hAnsi="Verdana" w:cs="Open Sans"/>
          <w:b/>
          <w:bCs/>
          <w:sz w:val="20"/>
          <w:szCs w:val="20"/>
        </w:rPr>
        <w:t>ARTÍCULO 1o.</w:t>
      </w:r>
      <w:bookmarkEnd w:id="2"/>
      <w:r w:rsidRPr="001D4267">
        <w:rPr>
          <w:rFonts w:ascii="Verdana" w:hAnsi="Verdana" w:cs="Open Sans"/>
          <w:sz w:val="20"/>
          <w:szCs w:val="20"/>
        </w:rPr>
        <w:t> Modifíquese el artículo </w:t>
      </w:r>
      <w:hyperlink r:id="rId14" w:anchor="4" w:history="1">
        <w:r w:rsidRPr="001D4267">
          <w:rPr>
            <w:rStyle w:val="Hipervnculo"/>
            <w:rFonts w:ascii="Verdana" w:hAnsi="Verdana" w:cs="Open Sans"/>
          </w:rPr>
          <w:t>4o</w:t>
        </w:r>
      </w:hyperlink>
      <w:r w:rsidRPr="001D4267">
        <w:rPr>
          <w:rFonts w:ascii="Verdana" w:hAnsi="Verdana" w:cs="Open Sans"/>
          <w:sz w:val="20"/>
          <w:szCs w:val="20"/>
        </w:rPr>
        <w:t> de la Ley 1882 de 2018, el cual quedará así:</w:t>
      </w:r>
    </w:p>
    <w:p w14:paraId="29D2A518" w14:textId="77777777" w:rsidR="00ED3EB5" w:rsidRPr="001D4267" w:rsidRDefault="00ED3EB5" w:rsidP="00ED3EB5">
      <w:pPr>
        <w:pStyle w:val="NormalWeb"/>
        <w:spacing w:line="270" w:lineRule="atLeast"/>
        <w:ind w:left="708"/>
        <w:jc w:val="both"/>
        <w:rPr>
          <w:rFonts w:ascii="Verdana" w:hAnsi="Verdana" w:cs="Open Sans"/>
          <w:sz w:val="20"/>
          <w:szCs w:val="20"/>
        </w:rPr>
      </w:pPr>
      <w:r w:rsidRPr="001D4267">
        <w:rPr>
          <w:rStyle w:val="baj"/>
          <w:rFonts w:ascii="Verdana" w:hAnsi="Verdana" w:cs="Open Sans"/>
          <w:sz w:val="20"/>
          <w:szCs w:val="20"/>
        </w:rPr>
        <w:t>Artículo </w:t>
      </w:r>
      <w:hyperlink r:id="rId15" w:anchor="4" w:history="1">
        <w:r w:rsidRPr="001D4267">
          <w:rPr>
            <w:rStyle w:val="Hipervnculo"/>
            <w:rFonts w:ascii="Verdana" w:hAnsi="Verdana" w:cs="Open Sans"/>
            <w:b/>
            <w:bCs/>
          </w:rPr>
          <w:t>4o</w:t>
        </w:r>
      </w:hyperlink>
      <w:r w:rsidRPr="001D4267">
        <w:rPr>
          <w:rStyle w:val="baj"/>
          <w:rFonts w:ascii="Verdana" w:hAnsi="Verdana" w:cs="Open Sans"/>
          <w:sz w:val="20"/>
          <w:szCs w:val="20"/>
        </w:rPr>
        <w:t>. </w:t>
      </w:r>
      <w:r w:rsidRPr="001D4267">
        <w:rPr>
          <w:rFonts w:ascii="Verdana" w:hAnsi="Verdana" w:cs="Open Sans"/>
          <w:sz w:val="20"/>
          <w:szCs w:val="20"/>
        </w:rPr>
        <w:t>Adiciónese el siguiente parágrafo al artículo </w:t>
      </w:r>
      <w:hyperlink r:id="rId16" w:anchor="2" w:history="1">
        <w:r w:rsidRPr="001D4267">
          <w:rPr>
            <w:rStyle w:val="Hipervnculo"/>
            <w:rFonts w:ascii="Verdana" w:hAnsi="Verdana" w:cs="Open Sans"/>
          </w:rPr>
          <w:t>2o</w:t>
        </w:r>
      </w:hyperlink>
      <w:r w:rsidRPr="001D4267">
        <w:rPr>
          <w:rFonts w:ascii="Verdana" w:hAnsi="Verdana" w:cs="Open Sans"/>
          <w:sz w:val="20"/>
          <w:szCs w:val="20"/>
        </w:rPr>
        <w:t> de la Ley 1150 de 2007.</w:t>
      </w:r>
    </w:p>
    <w:p w14:paraId="1114552D" w14:textId="77777777" w:rsidR="00ED3EB5" w:rsidRPr="001D4267" w:rsidRDefault="00ED3EB5" w:rsidP="00ED3EB5">
      <w:pPr>
        <w:pStyle w:val="NormalWeb"/>
        <w:spacing w:line="270" w:lineRule="atLeast"/>
        <w:ind w:left="709" w:right="616" w:hanging="1"/>
        <w:jc w:val="both"/>
        <w:rPr>
          <w:rFonts w:ascii="Verdana" w:hAnsi="Verdana" w:cs="Open Sans"/>
          <w:sz w:val="20"/>
          <w:szCs w:val="20"/>
        </w:rPr>
      </w:pPr>
      <w:r w:rsidRPr="001D4267">
        <w:rPr>
          <w:rStyle w:val="baj"/>
          <w:rFonts w:ascii="Verdana" w:hAnsi="Verdana" w:cs="Open Sans"/>
          <w:sz w:val="20"/>
          <w:szCs w:val="20"/>
        </w:rPr>
        <w:t>PARÁGRAFO 7o. </w:t>
      </w:r>
      <w:r w:rsidRPr="001D4267">
        <w:rPr>
          <w:rFonts w:ascii="Verdana" w:hAnsi="Verdana" w:cs="Open Sans"/>
          <w:sz w:val="20"/>
          <w:szCs w:val="20"/>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4144F73" w14:textId="77777777" w:rsidR="00ED3EB5" w:rsidRPr="001D4267" w:rsidRDefault="00ED3EB5" w:rsidP="00ED3EB5">
      <w:pPr>
        <w:pStyle w:val="NormalWeb"/>
        <w:spacing w:line="270" w:lineRule="atLeast"/>
        <w:ind w:left="709" w:right="616" w:hanging="1"/>
        <w:jc w:val="both"/>
        <w:rPr>
          <w:rFonts w:ascii="Verdana" w:hAnsi="Verdana" w:cs="Open Sans"/>
          <w:sz w:val="20"/>
          <w:szCs w:val="20"/>
        </w:rPr>
      </w:pPr>
      <w:r w:rsidRPr="001D4267">
        <w:rPr>
          <w:rFonts w:ascii="Verdana" w:hAnsi="Verdana" w:cs="Open Sans"/>
          <w:sz w:val="20"/>
          <w:szCs w:val="20"/>
        </w:rPr>
        <w:lastRenderedPageBreak/>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A38E025" w14:textId="77777777" w:rsidR="00ED3EB5" w:rsidRPr="001D4267" w:rsidRDefault="00ED3EB5" w:rsidP="00ED3EB5">
      <w:pPr>
        <w:pStyle w:val="NormalWeb"/>
        <w:spacing w:line="270" w:lineRule="atLeast"/>
        <w:ind w:left="709" w:right="616" w:hanging="1"/>
        <w:jc w:val="both"/>
        <w:rPr>
          <w:rFonts w:ascii="Verdana" w:hAnsi="Verdana" w:cs="Open Sans"/>
          <w:sz w:val="20"/>
          <w:szCs w:val="20"/>
        </w:rPr>
      </w:pPr>
      <w:r w:rsidRPr="001D4267">
        <w:rPr>
          <w:rFonts w:ascii="Verdana" w:hAnsi="Verdana" w:cs="Open Sans"/>
          <w:sz w:val="20"/>
          <w:szCs w:val="20"/>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2FBBE76" w14:textId="77777777" w:rsidR="00ED3EB5" w:rsidRPr="001D4267" w:rsidRDefault="00ED3EB5" w:rsidP="00ED3EB5">
      <w:pPr>
        <w:pStyle w:val="NormalWeb"/>
        <w:spacing w:line="270" w:lineRule="atLeast"/>
        <w:ind w:left="709" w:right="616" w:hanging="1"/>
        <w:jc w:val="both"/>
        <w:rPr>
          <w:rFonts w:ascii="Verdana" w:hAnsi="Verdana" w:cs="Open Sans"/>
          <w:sz w:val="20"/>
          <w:szCs w:val="20"/>
        </w:rPr>
      </w:pPr>
      <w:r w:rsidRPr="001D4267">
        <w:rPr>
          <w:rFonts w:ascii="Verdana" w:hAnsi="Verdana" w:cs="Open Sans"/>
          <w:sz w:val="20"/>
          <w:szCs w:val="20"/>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EC69898" w14:textId="77777777" w:rsidR="00ED3EB5" w:rsidRPr="001D4267" w:rsidRDefault="00ED3EB5" w:rsidP="00ED3EB5">
      <w:pPr>
        <w:pStyle w:val="NormalWeb"/>
        <w:spacing w:line="270" w:lineRule="atLeast"/>
        <w:ind w:left="709" w:right="616" w:hanging="1"/>
        <w:jc w:val="both"/>
        <w:rPr>
          <w:rFonts w:ascii="Verdana" w:hAnsi="Verdana" w:cs="Open Sans"/>
          <w:sz w:val="20"/>
          <w:szCs w:val="20"/>
        </w:rPr>
      </w:pPr>
      <w:r w:rsidRPr="001D4267">
        <w:rPr>
          <w:rFonts w:ascii="Verdana" w:hAnsi="Verdana" w:cs="Open Sans"/>
          <w:sz w:val="20"/>
          <w:szCs w:val="20"/>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53D8F65B" w14:textId="77777777" w:rsidR="00ED3EB5" w:rsidRPr="00CC09DD" w:rsidRDefault="00ED3EB5" w:rsidP="00ED3EB5">
      <w:pPr>
        <w:spacing w:after="0" w:line="276" w:lineRule="auto"/>
        <w:jc w:val="both"/>
        <w:rPr>
          <w:rFonts w:ascii="Verdana" w:eastAsia="Calibri" w:hAnsi="Verdana" w:cs="Arial"/>
          <w:lang w:val="es-ES_tradnl" w:eastAsia="es-ES"/>
        </w:rPr>
      </w:pPr>
    </w:p>
    <w:p w14:paraId="456FD3B4" w14:textId="77777777" w:rsidR="00ED3EB5" w:rsidRPr="00CC09DD" w:rsidRDefault="00ED3EB5" w:rsidP="00ED3EB5">
      <w:pPr>
        <w:spacing w:before="120" w:after="120" w:line="276" w:lineRule="auto"/>
        <w:ind w:firstLine="709"/>
        <w:jc w:val="both"/>
        <w:rPr>
          <w:rFonts w:ascii="Verdana" w:eastAsia="Calibri" w:hAnsi="Verdana" w:cs="Arial"/>
          <w:lang w:val="es-ES" w:eastAsia="es-ES_tradnl"/>
        </w:rPr>
      </w:pPr>
      <w:r w:rsidRPr="00CC09DD">
        <w:rPr>
          <w:rFonts w:ascii="Verdana" w:eastAsia="Calibri" w:hAnsi="Verdana" w:cs="Arial"/>
          <w:lang w:val="es-ES" w:eastAsia="es-ES"/>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6E1987A4" w14:textId="77777777" w:rsidR="00ED3EB5" w:rsidRPr="00CC09DD" w:rsidRDefault="00ED3EB5" w:rsidP="00ED3EB5">
      <w:pPr>
        <w:spacing w:after="0" w:line="276" w:lineRule="auto"/>
        <w:jc w:val="both"/>
        <w:rPr>
          <w:rFonts w:ascii="Verdana" w:eastAsia="Calibri" w:hAnsi="Verdana" w:cs="Arial"/>
          <w:bCs/>
        </w:rPr>
      </w:pPr>
      <w:r w:rsidRPr="00CC09DD">
        <w:rPr>
          <w:rFonts w:ascii="Verdana" w:eastAsia="Calibri" w:hAnsi="Verdana" w:cs="Arial"/>
          <w:lang w:val="es-ES" w:eastAsia="es-ES_tradnl"/>
        </w:rPr>
        <w:tab/>
        <w:t xml:space="preserve">A partir de las normas referenciadas, </w:t>
      </w:r>
      <w:r w:rsidRPr="00CC09DD">
        <w:rPr>
          <w:rFonts w:ascii="Verdana" w:hAnsi="Verdana" w:cs="Times New Roman"/>
          <w:lang w:val="es-ES_tradnl"/>
        </w:rPr>
        <w:t xml:space="preserve">La Agencia Nacional de Contratación Pública – Colombia Compra Eficiente ha expedido Documentos Tipo para los sectores de infraestructura de transporte, agua potable y saneamiento básico y social. Asimismo, esta Agencia expidió los documentos tipo de gestión catastral </w:t>
      </w:r>
      <w:r w:rsidRPr="00CC09DD">
        <w:rPr>
          <w:rFonts w:ascii="Verdana" w:hAnsi="Verdana" w:cs="Times New Roman"/>
          <w:lang w:val="es-ES_tradnl"/>
        </w:rPr>
        <w:lastRenderedPageBreak/>
        <w:t>con enfoque multipropósito y para la contratación directa de convenios solidarios para la ejecución de obras hasta la menor cuantía con organismos de acción comunal.</w:t>
      </w:r>
      <w:r w:rsidRPr="00CC09DD">
        <w:rPr>
          <w:rStyle w:val="Refdenotaalpie"/>
          <w:rFonts w:ascii="Verdana" w:hAnsi="Verdana" w:cs="Times New Roman"/>
          <w:lang w:val="es-ES_tradnl"/>
        </w:rPr>
        <w:footnoteReference w:id="18"/>
      </w:r>
    </w:p>
    <w:p w14:paraId="647583F4" w14:textId="77777777" w:rsidR="00ED3EB5" w:rsidRPr="00CC09DD" w:rsidRDefault="00ED3EB5" w:rsidP="00ED3EB5">
      <w:pPr>
        <w:spacing w:after="0" w:line="276" w:lineRule="auto"/>
        <w:jc w:val="both"/>
        <w:rPr>
          <w:rFonts w:ascii="Verdana" w:eastAsia="Calibri" w:hAnsi="Verdana" w:cs="Arial"/>
          <w:lang w:val="es-ES_tradnl" w:eastAsia="es-ES"/>
        </w:rPr>
      </w:pPr>
    </w:p>
    <w:p w14:paraId="0B541EB5" w14:textId="77777777" w:rsidR="00ED3EB5" w:rsidRPr="00CC09DD" w:rsidRDefault="00ED3EB5" w:rsidP="00ED3EB5">
      <w:pPr>
        <w:spacing w:after="0" w:line="276" w:lineRule="auto"/>
        <w:ind w:firstLine="708"/>
        <w:jc w:val="both"/>
        <w:rPr>
          <w:rFonts w:ascii="Verdana" w:eastAsia="Calibri" w:hAnsi="Verdana" w:cs="Arial"/>
          <w:bCs/>
        </w:rPr>
      </w:pPr>
      <w:r w:rsidRPr="00CC09DD">
        <w:rPr>
          <w:rFonts w:ascii="Verdana" w:eastAsia="Calibri" w:hAnsi="Verdana" w:cs="Arial"/>
          <w:bCs/>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352AAAEB" w14:textId="77777777" w:rsidR="00ED3EB5" w:rsidRPr="00CC09DD" w:rsidRDefault="00ED3EB5" w:rsidP="00ED3EB5">
      <w:pPr>
        <w:spacing w:after="0" w:line="276" w:lineRule="auto"/>
        <w:jc w:val="both"/>
        <w:rPr>
          <w:rFonts w:ascii="Verdana" w:eastAsia="Calibri" w:hAnsi="Verdana" w:cs="Arial"/>
          <w:lang w:val="es-ES_tradnl" w:eastAsia="es-ES"/>
        </w:rPr>
      </w:pPr>
    </w:p>
    <w:p w14:paraId="40EBD6CF" w14:textId="77777777" w:rsidR="00ED3EB5" w:rsidRPr="00CC09DD" w:rsidRDefault="00ED3EB5" w:rsidP="00ED3EB5">
      <w:pPr>
        <w:spacing w:after="0" w:line="276" w:lineRule="auto"/>
        <w:ind w:firstLine="708"/>
        <w:jc w:val="both"/>
        <w:rPr>
          <w:rFonts w:ascii="Verdana" w:hAnsi="Verdana" w:cs="Arial"/>
          <w:shd w:val="clear" w:color="auto" w:fill="FFFFFF"/>
          <w:lang w:val="es-ES"/>
        </w:rPr>
      </w:pPr>
      <w:r w:rsidRPr="00CC09DD">
        <w:rPr>
          <w:rFonts w:ascii="Verdana" w:eastAsia="Calibri" w:hAnsi="Verdana" w:cs="Arial"/>
          <w:lang w:val="es-ES_tradnl" w:eastAsia="es-ES"/>
        </w:rPr>
        <w:t>Adicionalmente, e</w:t>
      </w:r>
      <w:r w:rsidRPr="00CC09DD">
        <w:rPr>
          <w:rFonts w:ascii="Verdana" w:eastAsia="Calibri" w:hAnsi="Verdana" w:cs="Arial"/>
          <w:shd w:val="clear" w:color="auto" w:fill="FFFFFF"/>
          <w:lang w:val="es-ES"/>
        </w:rPr>
        <w:t xml:space="preserve">s importante tener en cuenta la inalterabilidad de los Documentos Tipo adoptados por la Agencia Nacional de Contratación Pública – Colombia Compra Eficiente. La regla de inalterabilidad de los Documentos Tipo, consagrada en los artículos </w:t>
      </w:r>
      <w:bookmarkStart w:id="3" w:name="_Hlk197341703"/>
      <w:r w:rsidRPr="00CC09DD">
        <w:rPr>
          <w:rFonts w:ascii="Verdana" w:eastAsia="Calibri" w:hAnsi="Verdana" w:cs="Arial"/>
          <w:shd w:val="clear" w:color="auto" w:fill="FFFFFF"/>
          <w:lang w:val="es-ES"/>
        </w:rPr>
        <w:t xml:space="preserve">2.2.1.2.6.1.4, 2.2.1.2.6.2.3 y 2.2.1.2.6.3.4 </w:t>
      </w:r>
      <w:bookmarkEnd w:id="3"/>
      <w:r w:rsidRPr="00CC09DD">
        <w:rPr>
          <w:rFonts w:ascii="Verdana" w:eastAsia="Calibri" w:hAnsi="Verdana" w:cs="Arial"/>
          <w:shd w:val="clear" w:color="auto" w:fill="FFFFFF"/>
          <w:lang w:val="es-ES"/>
        </w:rPr>
        <w:t xml:space="preserve">del Decreto 1082 de 2015, consiste en que las entidades estatales no pueden incluir o modificar en los documentos del proceso las condiciones habilitantes, los factores técnicos y económicos de escogencia y los sistemas de ponderación distintos a los señalados en los Documentos Tipo. </w:t>
      </w:r>
      <w:r w:rsidRPr="00CC09DD">
        <w:rPr>
          <w:rFonts w:ascii="Verdana" w:hAnsi="Verdana" w:cs="Arial"/>
          <w:shd w:val="clear" w:color="auto" w:fill="FFFFFF"/>
          <w:lang w:val="es-ES"/>
        </w:rPr>
        <w:t xml:space="preserve">En consecuencia, las condiciones establecidas en los documentos que haya adoptado el Gobierno Nacional, en ejercicio del mandato establecido en el artículo 4 de la Ley 1882 de 2018 o la Agencia Nacional de Contratación Pública – Colombia Compra Eficiente en virtud del artículo 1 de la Ley 2022 de 2020, son de obligatorio cumplimiento para las entidades sometidas al Estatuto General de Contratación de la Administración Pública que adelanten procesos que deban regirse por su contenido, y no pueden variarse los requisitos fijados en ellos.  </w:t>
      </w:r>
    </w:p>
    <w:p w14:paraId="329C8A15" w14:textId="77777777" w:rsidR="00ED3EB5" w:rsidRPr="001D4267" w:rsidRDefault="00ED3EB5" w:rsidP="00ED3EB5">
      <w:pPr>
        <w:spacing w:line="276" w:lineRule="auto"/>
        <w:ind w:firstLine="709"/>
        <w:jc w:val="both"/>
        <w:rPr>
          <w:rFonts w:ascii="Verdana" w:eastAsia="Calibri" w:hAnsi="Verdana" w:cs="Arial"/>
          <w:noProof/>
          <w:lang w:val="es-ES_tradnl"/>
        </w:rPr>
      </w:pPr>
      <w:r w:rsidRPr="00CC09DD">
        <w:rPr>
          <w:rFonts w:ascii="Verdana" w:hAnsi="Verdana" w:cs="Arial"/>
          <w:shd w:val="clear" w:color="auto" w:fill="FFFFFF"/>
          <w:lang w:val="es-ES"/>
        </w:rPr>
        <w:t>Sin perjuicio de lo anterior, debe tenerse en cuenta que en relación con los documentos tipo expedidos o actualizados luego de la vigencia de la Ley 2022 de 2020</w:t>
      </w:r>
      <w:r w:rsidRPr="00CC09DD">
        <w:rPr>
          <w:rStyle w:val="Refdenotaalpie"/>
          <w:rFonts w:ascii="Verdana" w:hAnsi="Verdana" w:cs="Arial"/>
          <w:shd w:val="clear" w:color="auto" w:fill="FFFFFF"/>
          <w:lang w:val="es-ES"/>
        </w:rPr>
        <w:footnoteReference w:id="19"/>
      </w:r>
      <w:r w:rsidRPr="00CC09DD">
        <w:rPr>
          <w:rFonts w:ascii="Verdana" w:hAnsi="Verdana" w:cs="Arial"/>
          <w:shd w:val="clear" w:color="auto" w:fill="FFFFFF"/>
          <w:lang w:val="es-ES"/>
        </w:rPr>
        <w:t xml:space="preserve">, el fundamento de la inalterabilidad de su contenido se deriva de lo </w:t>
      </w:r>
      <w:r w:rsidRPr="00CC09DD">
        <w:rPr>
          <w:rFonts w:ascii="Verdana" w:hAnsi="Verdana" w:cs="Arial"/>
          <w:shd w:val="clear" w:color="auto" w:fill="FFFFFF"/>
          <w:lang w:val="es-ES"/>
        </w:rPr>
        <w:lastRenderedPageBreak/>
        <w:t>establecido en dicha ley y particularmente lo prescrito en cada una de las resoluciones que adoptan los documentos tipo</w:t>
      </w:r>
      <w:r w:rsidRPr="00CC09DD">
        <w:rPr>
          <w:rFonts w:ascii="Verdana" w:eastAsia="Calibri" w:hAnsi="Verdana" w:cs="Arial"/>
          <w:noProof/>
          <w:lang w:val="es-ES_tradnl"/>
        </w:rPr>
        <w:t xml:space="preserve">. Por lo que, </w:t>
      </w:r>
      <w:r w:rsidRPr="00CC09DD">
        <w:rPr>
          <w:rFonts w:ascii="Verdana" w:eastAsia="Times New Roman" w:hAnsi="Verdana" w:cs="Arial"/>
          <w:kern w:val="2"/>
          <w:shd w:val="clear" w:color="auto" w:fill="FFFFFF"/>
          <w:lang w:val="es-ES" w:eastAsia="es-ES"/>
          <w14:ligatures w14:val="standardContextual"/>
        </w:rPr>
        <w:t xml:space="preserve">los Documentos Tipo solo pueden ser modificados en los aspectos en que estos lo permitan. Esto corresponde a aquellos aspectos que se encuentran entre corchetes y resaltados en gris </w:t>
      </w:r>
      <w:r w:rsidRPr="00CC09DD">
        <w:rPr>
          <w:rFonts w:ascii="Verdana" w:eastAsia="Times New Roman" w:hAnsi="Verdana" w:cs="Arial"/>
          <w:kern w:val="2"/>
          <w:highlight w:val="lightGray"/>
          <w:shd w:val="clear" w:color="auto" w:fill="FFFFFF"/>
          <w:lang w:val="es-ES" w:eastAsia="es-ES"/>
          <w14:ligatures w14:val="standardContextual"/>
        </w:rPr>
        <w:t>–[texto]–</w:t>
      </w:r>
      <w:r w:rsidRPr="00CC09DD">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3A6A1B06" w14:textId="77777777" w:rsidR="00ED3EB5" w:rsidRPr="00CC09DD" w:rsidRDefault="00ED3EB5" w:rsidP="00ED3EB5">
      <w:pPr>
        <w:snapToGrid w:val="0"/>
        <w:spacing w:after="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CC09DD">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39B9564" w14:textId="77777777" w:rsidR="00ED3EB5" w:rsidRPr="00CC09DD" w:rsidRDefault="00ED3EB5" w:rsidP="00ED3EB5">
      <w:pPr>
        <w:snapToGrid w:val="0"/>
        <w:spacing w:after="0" w:line="276" w:lineRule="auto"/>
        <w:ind w:left="360"/>
        <w:jc w:val="both"/>
        <w:rPr>
          <w:rFonts w:ascii="Verdana" w:eastAsia="Times New Roman" w:hAnsi="Verdana" w:cs="Arial"/>
          <w:kern w:val="2"/>
          <w:shd w:val="clear" w:color="auto" w:fill="FFFFFF"/>
          <w:lang w:val="es-ES_tradnl" w:eastAsia="es-ES_tradnl"/>
          <w14:ligatures w14:val="standardContextual"/>
        </w:rPr>
      </w:pPr>
    </w:p>
    <w:p w14:paraId="52BED97F" w14:textId="77777777" w:rsidR="00ED3EB5" w:rsidRPr="00CC09DD" w:rsidRDefault="00ED3EB5" w:rsidP="00ED3EB5">
      <w:pPr>
        <w:snapToGrid w:val="0"/>
        <w:spacing w:after="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CC09DD">
        <w:rPr>
          <w:rFonts w:ascii="Verdana" w:eastAsia="Times New Roman" w:hAnsi="Verdana" w:cs="Arial"/>
          <w:kern w:val="2"/>
          <w:shd w:val="clear" w:color="auto" w:fill="FFFFFF"/>
          <w:lang w:val="es-ES_tradnl" w:eastAsia="es-ES_tradnl"/>
          <w14:ligatures w14:val="standardContextual"/>
        </w:rPr>
        <w:t xml:space="preserve">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 en los términos expuestos en este concepto. </w:t>
      </w:r>
    </w:p>
    <w:p w14:paraId="7EAAB181" w14:textId="77777777" w:rsidR="00ED3EB5" w:rsidRPr="00593A5F" w:rsidRDefault="00ED3EB5" w:rsidP="00ED3EB5">
      <w:pPr>
        <w:widowControl w:val="0"/>
        <w:autoSpaceDE w:val="0"/>
        <w:autoSpaceDN w:val="0"/>
        <w:spacing w:after="0" w:line="276" w:lineRule="auto"/>
        <w:jc w:val="both"/>
        <w:rPr>
          <w:rFonts w:ascii="Verdana" w:hAnsi="Verdana" w:cs="Arial"/>
        </w:rPr>
      </w:pPr>
    </w:p>
    <w:p w14:paraId="75688FEE" w14:textId="77777777" w:rsidR="00ED3EB5" w:rsidRPr="00593A5F" w:rsidRDefault="00ED3EB5" w:rsidP="00ED3E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7669738" w14:textId="77777777" w:rsidR="00ED3EB5" w:rsidRPr="00593A5F" w:rsidRDefault="00ED3EB5" w:rsidP="00ED3EB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D3EB5" w:rsidRPr="00593A5F" w14:paraId="5AF720CD" w14:textId="77777777" w:rsidTr="00EB1166">
        <w:trPr>
          <w:trHeight w:val="870"/>
        </w:trPr>
        <w:tc>
          <w:tcPr>
            <w:tcW w:w="8647" w:type="dxa"/>
          </w:tcPr>
          <w:p w14:paraId="45C41FA0" w14:textId="77777777" w:rsidR="00ED3EB5" w:rsidRPr="0044199A" w:rsidRDefault="00ED3EB5" w:rsidP="00ED3EB5">
            <w:pPr>
              <w:pStyle w:val="Prrafodelista"/>
              <w:widowControl w:val="0"/>
              <w:numPr>
                <w:ilvl w:val="0"/>
                <w:numId w:val="17"/>
              </w:numPr>
              <w:autoSpaceDE w:val="0"/>
              <w:autoSpaceDN w:val="0"/>
              <w:spacing w:after="120" w:line="276" w:lineRule="auto"/>
              <w:jc w:val="both"/>
              <w:rPr>
                <w:rFonts w:ascii="Verdana" w:hAnsi="Verdana" w:cs="Arial"/>
              </w:rPr>
            </w:pPr>
            <w:r w:rsidRPr="0044199A">
              <w:rPr>
                <w:rFonts w:ascii="Verdana" w:hAnsi="Verdana" w:cs="Arial"/>
              </w:rPr>
              <w:t>Ley 489 de 1998, artículos 38, 68, 95, 96</w:t>
            </w:r>
          </w:p>
          <w:p w14:paraId="0FFE26A1" w14:textId="77777777" w:rsidR="00ED3EB5" w:rsidRPr="0044199A" w:rsidRDefault="00ED3EB5" w:rsidP="00ED3EB5">
            <w:pPr>
              <w:pStyle w:val="Prrafodelista"/>
              <w:widowControl w:val="0"/>
              <w:numPr>
                <w:ilvl w:val="0"/>
                <w:numId w:val="17"/>
              </w:numPr>
              <w:autoSpaceDE w:val="0"/>
              <w:autoSpaceDN w:val="0"/>
              <w:spacing w:after="120" w:line="276" w:lineRule="auto"/>
              <w:jc w:val="both"/>
              <w:rPr>
                <w:rFonts w:ascii="Verdana" w:hAnsi="Verdana" w:cs="Arial"/>
              </w:rPr>
            </w:pPr>
            <w:r w:rsidRPr="0044199A">
              <w:rPr>
                <w:rFonts w:ascii="Verdana" w:hAnsi="Verdana" w:cs="Arial"/>
              </w:rPr>
              <w:t>Ley 80 de 1993, artículo 2</w:t>
            </w:r>
          </w:p>
          <w:p w14:paraId="241C9860" w14:textId="77777777" w:rsidR="00ED3EB5" w:rsidRPr="0044199A" w:rsidRDefault="00ED3EB5" w:rsidP="00ED3EB5">
            <w:pPr>
              <w:pStyle w:val="Prrafodelista"/>
              <w:widowControl w:val="0"/>
              <w:numPr>
                <w:ilvl w:val="0"/>
                <w:numId w:val="17"/>
              </w:numPr>
              <w:autoSpaceDE w:val="0"/>
              <w:autoSpaceDN w:val="0"/>
              <w:spacing w:after="120" w:line="276" w:lineRule="auto"/>
              <w:jc w:val="both"/>
              <w:rPr>
                <w:rFonts w:ascii="Verdana" w:hAnsi="Verdana" w:cs="Arial"/>
              </w:rPr>
            </w:pPr>
            <w:r w:rsidRPr="0044199A">
              <w:rPr>
                <w:rFonts w:ascii="Verdana" w:hAnsi="Verdana" w:cs="Arial"/>
              </w:rPr>
              <w:t>Ley 1150 de 2007, artículo 2</w:t>
            </w:r>
          </w:p>
          <w:p w14:paraId="780E62F4" w14:textId="77777777" w:rsidR="00ED3EB5" w:rsidRPr="0044199A" w:rsidRDefault="00ED3EB5" w:rsidP="00ED3EB5">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44199A">
              <w:rPr>
                <w:rFonts w:ascii="Verdana" w:hAnsi="Verdana" w:cs="Arial"/>
              </w:rPr>
              <w:t>Ley 2022 de 2020, artículo 1</w:t>
            </w:r>
            <w:r>
              <w:rPr>
                <w:rFonts w:ascii="Verdana" w:hAnsi="Verdana" w:cs="Arial"/>
              </w:rPr>
              <w:t xml:space="preserve"> </w:t>
            </w:r>
          </w:p>
        </w:tc>
      </w:tr>
    </w:tbl>
    <w:p w14:paraId="55B2438B" w14:textId="77777777" w:rsidR="00ED3EB5" w:rsidRPr="00593A5F" w:rsidRDefault="00ED3EB5" w:rsidP="00ED3EB5">
      <w:pPr>
        <w:widowControl w:val="0"/>
        <w:autoSpaceDE w:val="0"/>
        <w:autoSpaceDN w:val="0"/>
        <w:spacing w:after="0" w:line="276" w:lineRule="auto"/>
        <w:jc w:val="both"/>
        <w:rPr>
          <w:rFonts w:ascii="Verdana" w:hAnsi="Verdana" w:cs="Arial"/>
        </w:rPr>
      </w:pPr>
    </w:p>
    <w:p w14:paraId="32D61AFE" w14:textId="77777777" w:rsidR="00ED3EB5" w:rsidRPr="00593A5F" w:rsidRDefault="00ED3EB5" w:rsidP="00ED3E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AD6408A" w14:textId="77777777" w:rsidR="00ED3EB5" w:rsidRPr="00593A5F" w:rsidRDefault="00ED3EB5" w:rsidP="00ED3EB5">
      <w:pPr>
        <w:widowControl w:val="0"/>
        <w:autoSpaceDE w:val="0"/>
        <w:autoSpaceDN w:val="0"/>
        <w:spacing w:after="0" w:line="276" w:lineRule="auto"/>
        <w:jc w:val="both"/>
        <w:rPr>
          <w:rFonts w:ascii="Verdana" w:hAnsi="Verdana" w:cs="Arial"/>
        </w:rPr>
      </w:pPr>
    </w:p>
    <w:p w14:paraId="6876C5CC" w14:textId="77777777" w:rsidR="00ED3EB5" w:rsidRDefault="00ED3EB5" w:rsidP="00ED3EB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44199A">
        <w:rPr>
          <w:rStyle w:val="normaltextrun"/>
          <w:rFonts w:ascii="Verdana" w:hAnsi="Verdana" w:cs="Arial"/>
          <w:shd w:val="clear" w:color="auto" w:fill="FFFFFF"/>
          <w:lang w:val="es-ES"/>
        </w:rPr>
        <w:t xml:space="preserve">Sobre el ámbito del régimen jurídico de las entidades descentralizadas indirectas </w:t>
      </w:r>
      <w:r w:rsidRPr="0044199A">
        <w:rPr>
          <w:rStyle w:val="normaltextrun"/>
          <w:rFonts w:ascii="Verdana" w:hAnsi="Verdana" w:cs="Arial"/>
          <w:shd w:val="clear" w:color="auto" w:fill="FFFFFF"/>
          <w:lang w:val="es-ES"/>
        </w:rPr>
        <w:lastRenderedPageBreak/>
        <w:t>y los contratos y convenios interadministrativos, esta Subdirección en los conceptos</w:t>
      </w:r>
      <w:r w:rsidRPr="0044199A">
        <w:rPr>
          <w:rStyle w:val="normaltextrun"/>
          <w:rFonts w:ascii="Verdana" w:hAnsi="Verdana" w:cs="Calibri"/>
          <w:shd w:val="clear" w:color="auto" w:fill="FFFFFF"/>
        </w:rPr>
        <w:t xml:space="preserve"> C-659 de 10 de octubre de 2022, </w:t>
      </w:r>
      <w:r w:rsidRPr="0044199A">
        <w:rPr>
          <w:rStyle w:val="normaltextrun"/>
          <w:rFonts w:ascii="Verdana" w:hAnsi="Verdana" w:cs="Arial"/>
          <w:shd w:val="clear" w:color="auto" w:fill="FFFFFF"/>
          <w:lang w:val="es-ES"/>
        </w:rPr>
        <w:t>C-727 de 28 de noviembre de 2022, C-1037 de 2024, C-202 de 2025, C-389 de 2025, C-558 de 30 de mayo de 2025</w:t>
      </w:r>
      <w:r>
        <w:rPr>
          <w:rStyle w:val="normaltextrun"/>
          <w:rFonts w:ascii="Verdana" w:hAnsi="Verdana" w:cs="Arial"/>
          <w:shd w:val="clear" w:color="auto" w:fill="FFFFFF"/>
          <w:lang w:val="es-ES"/>
        </w:rPr>
        <w:t xml:space="preserve">. </w:t>
      </w:r>
      <w:r w:rsidRPr="0044199A">
        <w:rPr>
          <w:rStyle w:val="normaltextrun"/>
          <w:rFonts w:ascii="Verdana" w:hAnsi="Verdana" w:cs="Arial"/>
          <w:shd w:val="clear" w:color="auto" w:fill="FFFFFF"/>
          <w:lang w:val="es-ES"/>
        </w:rPr>
        <w:t>Es</w:t>
      </w:r>
      <w:r w:rsidRPr="0044199A">
        <w:rPr>
          <w:rFonts w:ascii="Verdana" w:hAnsi="Verdana"/>
        </w:rPr>
        <w:t xml:space="preserve">tos y otros conceptos se encuentran disponibles para consulta en el Sistema de relatoría de </w:t>
      </w:r>
      <w:r w:rsidRPr="00A1554D">
        <w:rPr>
          <w:rFonts w:ascii="Verdana" w:hAnsi="Verdana"/>
        </w:rPr>
        <w:t>la Agencia, al cual se puede acceder a través del siguiente enlace:</w:t>
      </w:r>
      <w:r w:rsidRPr="00A1554D">
        <w:rPr>
          <w:rStyle w:val="normaltextrun"/>
          <w:rFonts w:ascii="Verdana" w:hAnsi="Verdana" w:cs="Arial"/>
          <w:shd w:val="clear" w:color="auto" w:fill="FFFFFF"/>
          <w:lang w:val="es-ES"/>
        </w:rPr>
        <w:t xml:space="preserve"> </w:t>
      </w:r>
      <w:hyperlink r:id="rId17"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F8F10E1" w14:textId="77777777" w:rsidR="00ED3EB5" w:rsidRDefault="00ED3EB5" w:rsidP="00ED3EB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B4F9595" w14:textId="77777777" w:rsidR="00ED3EB5" w:rsidRPr="003E2460" w:rsidRDefault="00ED3EB5" w:rsidP="00ED3EB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72A5A48" w14:textId="77777777" w:rsidR="00ED3EB5" w:rsidRPr="003E2460" w:rsidRDefault="00ED3EB5" w:rsidP="00ED3EB5">
      <w:pPr>
        <w:spacing w:after="0" w:line="240" w:lineRule="auto"/>
        <w:jc w:val="both"/>
        <w:rPr>
          <w:rFonts w:ascii="Verdana" w:hAnsi="Verdana"/>
        </w:rPr>
      </w:pPr>
    </w:p>
    <w:p w14:paraId="3ED65E3D" w14:textId="77777777" w:rsidR="00ED3EB5" w:rsidRPr="003E2460" w:rsidRDefault="00ED3EB5" w:rsidP="00ED3EB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0EA1B15" w14:textId="77777777" w:rsidR="00ED3EB5" w:rsidRPr="003E2460" w:rsidRDefault="00ED3EB5" w:rsidP="00ED3EB5">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701DD50F" w14:textId="77777777" w:rsidR="00ED3EB5" w:rsidRPr="003E2460" w:rsidRDefault="00ED3EB5" w:rsidP="00ED3EB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38397E3" w14:textId="77777777" w:rsidR="00ED3EB5" w:rsidRPr="00593A5F" w:rsidRDefault="00ED3EB5" w:rsidP="00ED3EB5">
      <w:pPr>
        <w:widowControl w:val="0"/>
        <w:autoSpaceDE w:val="0"/>
        <w:autoSpaceDN w:val="0"/>
        <w:spacing w:after="0" w:line="276" w:lineRule="auto"/>
        <w:jc w:val="both"/>
        <w:rPr>
          <w:rFonts w:ascii="Verdana" w:hAnsi="Verdana" w:cs="Arial"/>
        </w:rPr>
      </w:pPr>
    </w:p>
    <w:p w14:paraId="2A66A79F" w14:textId="77777777" w:rsidR="00ED3EB5" w:rsidRPr="00593A5F" w:rsidRDefault="00ED3EB5" w:rsidP="00ED3EB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F395587" w14:textId="77777777" w:rsidR="00ED3EB5" w:rsidRPr="00593A5F" w:rsidRDefault="00ED3EB5" w:rsidP="00ED3EB5">
      <w:pPr>
        <w:widowControl w:val="0"/>
        <w:autoSpaceDE w:val="0"/>
        <w:autoSpaceDN w:val="0"/>
        <w:spacing w:after="0" w:line="276" w:lineRule="auto"/>
        <w:jc w:val="both"/>
        <w:rPr>
          <w:rFonts w:ascii="Verdana" w:hAnsi="Verdana" w:cs="Arial"/>
        </w:rPr>
      </w:pPr>
    </w:p>
    <w:p w14:paraId="159302EC" w14:textId="77777777" w:rsidR="00ED3EB5" w:rsidRPr="00593A5F" w:rsidRDefault="00ED3EB5" w:rsidP="00ED3EB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3E3DA45" w14:textId="0CDA314B" w:rsidR="00ED3EB5" w:rsidRPr="00593A5F" w:rsidRDefault="0040166C" w:rsidP="00ED3EB5">
      <w:pPr>
        <w:spacing w:line="276" w:lineRule="auto"/>
        <w:jc w:val="center"/>
        <w:rPr>
          <w:rFonts w:ascii="Verdana" w:hAnsi="Verdana" w:cs="Arial"/>
          <w:color w:val="000000"/>
          <w:lang w:val="es-ES_tradnl" w:eastAsia="es-CO"/>
        </w:rPr>
      </w:pPr>
      <w:r>
        <w:rPr>
          <w:noProof/>
        </w:rPr>
        <w:drawing>
          <wp:inline distT="0" distB="0" distL="0" distR="0" wp14:anchorId="29A1BFE5" wp14:editId="3D4B9021">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D3EB5" w:rsidRPr="00593A5F" w14:paraId="7A1908F3" w14:textId="77777777" w:rsidTr="00EB1166">
        <w:trPr>
          <w:trHeight w:val="315"/>
        </w:trPr>
        <w:tc>
          <w:tcPr>
            <w:tcW w:w="893" w:type="dxa"/>
            <w:vAlign w:val="center"/>
            <w:hideMark/>
          </w:tcPr>
          <w:p w14:paraId="17396E4C" w14:textId="77777777" w:rsidR="00ED3EB5" w:rsidRPr="003751C7" w:rsidRDefault="00ED3EB5" w:rsidP="00EB116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1491C4C" w14:textId="77777777" w:rsidR="00ED3EB5" w:rsidRPr="0044199A" w:rsidRDefault="00ED3EB5" w:rsidP="00EB1166">
            <w:pPr>
              <w:contextualSpacing/>
              <w:rPr>
                <w:rFonts w:ascii="Verdana" w:eastAsia="Arial" w:hAnsi="Verdana" w:cs="Arial"/>
                <w:sz w:val="16"/>
                <w:szCs w:val="16"/>
              </w:rPr>
            </w:pPr>
            <w:r w:rsidRPr="0044199A">
              <w:rPr>
                <w:rStyle w:val="normaltextrun"/>
                <w:rFonts w:ascii="Verdana" w:hAnsi="Verdana"/>
                <w:sz w:val="16"/>
                <w:szCs w:val="16"/>
              </w:rPr>
              <w:t xml:space="preserve">Catalina Cubides </w:t>
            </w:r>
            <w:proofErr w:type="spellStart"/>
            <w:r w:rsidRPr="0044199A">
              <w:rPr>
                <w:rStyle w:val="normaltextrun"/>
                <w:rFonts w:ascii="Verdana" w:hAnsi="Verdana"/>
                <w:sz w:val="16"/>
                <w:szCs w:val="16"/>
              </w:rPr>
              <w:t>Estupiñan</w:t>
            </w:r>
            <w:proofErr w:type="spellEnd"/>
          </w:p>
          <w:p w14:paraId="3CCF5C69" w14:textId="77777777" w:rsidR="00ED3EB5" w:rsidRPr="0044199A" w:rsidRDefault="00ED3EB5" w:rsidP="00EB1166">
            <w:pPr>
              <w:contextualSpacing/>
              <w:rPr>
                <w:rFonts w:ascii="Verdana" w:eastAsia="Arial" w:hAnsi="Verdana" w:cs="Arial"/>
                <w:sz w:val="16"/>
                <w:szCs w:val="16"/>
              </w:rPr>
            </w:pPr>
            <w:r w:rsidRPr="0044199A">
              <w:rPr>
                <w:rStyle w:val="normaltextrun"/>
                <w:rFonts w:ascii="Verdana" w:eastAsia="Arial" w:hAnsi="Verdana" w:cs="Arial"/>
                <w:sz w:val="16"/>
                <w:szCs w:val="16"/>
              </w:rPr>
              <w:t>Contratista de la Subdirección de Gestión Contractual</w:t>
            </w:r>
          </w:p>
        </w:tc>
      </w:tr>
      <w:tr w:rsidR="00ED3EB5" w:rsidRPr="00593A5F" w14:paraId="12BFF8A4" w14:textId="77777777" w:rsidTr="00EB1166">
        <w:trPr>
          <w:trHeight w:val="330"/>
        </w:trPr>
        <w:tc>
          <w:tcPr>
            <w:tcW w:w="893" w:type="dxa"/>
            <w:vAlign w:val="center"/>
            <w:hideMark/>
          </w:tcPr>
          <w:p w14:paraId="2D794631" w14:textId="77777777" w:rsidR="00ED3EB5" w:rsidRPr="003751C7" w:rsidRDefault="00ED3EB5" w:rsidP="00EB116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869FA4" w14:textId="77777777" w:rsidR="00ED3EB5" w:rsidRPr="0044199A" w:rsidRDefault="00ED3EB5" w:rsidP="00EB1166">
            <w:pPr>
              <w:pStyle w:val="paragraph"/>
              <w:spacing w:before="0" w:beforeAutospacing="0" w:after="0" w:afterAutospacing="0"/>
              <w:contextualSpacing/>
              <w:textAlignment w:val="baseline"/>
              <w:rPr>
                <w:rFonts w:ascii="Verdana" w:hAnsi="Verdana" w:cs="Segoe UI"/>
                <w:sz w:val="16"/>
                <w:szCs w:val="16"/>
              </w:rPr>
            </w:pPr>
            <w:r w:rsidRPr="0044199A">
              <w:rPr>
                <w:rStyle w:val="normaltextrun"/>
                <w:rFonts w:ascii="Verdana" w:hAnsi="Verdana" w:cs="Arial"/>
                <w:sz w:val="16"/>
                <w:szCs w:val="16"/>
                <w:lang w:val="es-ES"/>
              </w:rPr>
              <w:t>Juan Carlos González Vásquez</w:t>
            </w:r>
          </w:p>
          <w:p w14:paraId="67A7283F" w14:textId="77777777" w:rsidR="00ED3EB5" w:rsidRPr="0044199A" w:rsidRDefault="00ED3EB5" w:rsidP="00EB1166">
            <w:pPr>
              <w:pStyle w:val="paragraph"/>
              <w:spacing w:before="0" w:beforeAutospacing="0" w:after="0" w:afterAutospacing="0"/>
              <w:contextualSpacing/>
              <w:textAlignment w:val="baseline"/>
              <w:rPr>
                <w:rFonts w:ascii="Verdana" w:hAnsi="Verdana" w:cs="Segoe UI"/>
                <w:sz w:val="16"/>
                <w:szCs w:val="16"/>
              </w:rPr>
            </w:pPr>
            <w:r w:rsidRPr="0044199A">
              <w:rPr>
                <w:rStyle w:val="normaltextrun"/>
                <w:rFonts w:ascii="Verdana" w:hAnsi="Verdana" w:cs="Arial"/>
                <w:sz w:val="16"/>
                <w:szCs w:val="16"/>
                <w:lang w:val="es-ES"/>
              </w:rPr>
              <w:t>Contratista de la Subdirección de Gestión Contractual</w:t>
            </w:r>
            <w:r w:rsidRPr="0044199A">
              <w:rPr>
                <w:rStyle w:val="eop"/>
                <w:rFonts w:ascii="Verdana" w:hAnsi="Verdana" w:cs="Arial"/>
                <w:sz w:val="16"/>
                <w:szCs w:val="16"/>
              </w:rPr>
              <w:t> </w:t>
            </w:r>
          </w:p>
        </w:tc>
      </w:tr>
      <w:tr w:rsidR="00ED3EB5" w:rsidRPr="00593A5F" w14:paraId="5AE1DF69" w14:textId="77777777" w:rsidTr="00EB1166">
        <w:trPr>
          <w:trHeight w:val="300"/>
        </w:trPr>
        <w:tc>
          <w:tcPr>
            <w:tcW w:w="893" w:type="dxa"/>
            <w:vAlign w:val="center"/>
          </w:tcPr>
          <w:p w14:paraId="69B279CD" w14:textId="77777777" w:rsidR="00ED3EB5" w:rsidRPr="003751C7" w:rsidRDefault="00ED3EB5" w:rsidP="00EB116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EF79F96" w14:textId="77777777" w:rsidR="00ED3EB5" w:rsidRPr="0044199A" w:rsidRDefault="00ED3EB5" w:rsidP="00EB1166">
            <w:pPr>
              <w:contextualSpacing/>
              <w:rPr>
                <w:rFonts w:ascii="Verdana" w:eastAsia="Calibri" w:hAnsi="Verdana" w:cs="Arial"/>
                <w:sz w:val="16"/>
                <w:szCs w:val="16"/>
                <w:lang w:val="pt-BR" w:eastAsia="es-ES"/>
              </w:rPr>
            </w:pPr>
            <w:r w:rsidRPr="0044199A">
              <w:rPr>
                <w:rFonts w:ascii="Verdana" w:eastAsia="Calibri" w:hAnsi="Verdana" w:cs="Arial"/>
                <w:sz w:val="16"/>
                <w:szCs w:val="16"/>
                <w:lang w:val="pt-BR" w:eastAsia="es-ES"/>
              </w:rPr>
              <w:t xml:space="preserve">Carolina Quintero </w:t>
            </w:r>
            <w:proofErr w:type="spellStart"/>
            <w:r w:rsidRPr="0044199A">
              <w:rPr>
                <w:rFonts w:ascii="Verdana" w:eastAsia="Calibri" w:hAnsi="Verdana" w:cs="Arial"/>
                <w:sz w:val="16"/>
                <w:szCs w:val="16"/>
                <w:lang w:val="pt-BR" w:eastAsia="es-ES"/>
              </w:rPr>
              <w:t>Gacharná</w:t>
            </w:r>
            <w:proofErr w:type="spellEnd"/>
          </w:p>
          <w:p w14:paraId="7CB22FD4" w14:textId="77777777" w:rsidR="00ED3EB5" w:rsidRPr="0044199A" w:rsidRDefault="00ED3EB5" w:rsidP="00EB1166">
            <w:pPr>
              <w:contextualSpacing/>
              <w:rPr>
                <w:rFonts w:ascii="Verdana" w:eastAsia="Calibri" w:hAnsi="Verdana" w:cs="Arial"/>
                <w:sz w:val="16"/>
                <w:szCs w:val="16"/>
                <w:lang w:val="pt-BR" w:eastAsia="es-ES"/>
              </w:rPr>
            </w:pPr>
            <w:r w:rsidRPr="0044199A">
              <w:rPr>
                <w:rFonts w:ascii="Verdana" w:eastAsia="Calibri" w:hAnsi="Verdana" w:cs="Arial"/>
                <w:sz w:val="16"/>
                <w:szCs w:val="16"/>
                <w:lang w:eastAsia="es-ES"/>
              </w:rPr>
              <w:t>Subdirectora</w:t>
            </w:r>
            <w:r w:rsidRPr="0044199A">
              <w:rPr>
                <w:rFonts w:ascii="Verdana" w:eastAsia="Calibri" w:hAnsi="Verdana" w:cs="Arial"/>
                <w:sz w:val="16"/>
                <w:szCs w:val="16"/>
                <w:lang w:val="pt-BR" w:eastAsia="es-ES"/>
              </w:rPr>
              <w:t xml:space="preserve"> de Gestión </w:t>
            </w:r>
            <w:proofErr w:type="spellStart"/>
            <w:r w:rsidRPr="0044199A">
              <w:rPr>
                <w:rFonts w:ascii="Verdana" w:eastAsia="Calibri" w:hAnsi="Verdana" w:cs="Arial"/>
                <w:sz w:val="16"/>
                <w:szCs w:val="16"/>
                <w:lang w:val="pt-BR" w:eastAsia="es-ES"/>
              </w:rPr>
              <w:t>Contractual</w:t>
            </w:r>
            <w:proofErr w:type="spellEnd"/>
            <w:r w:rsidRPr="0044199A">
              <w:rPr>
                <w:rFonts w:ascii="Verdana" w:eastAsia="Calibri" w:hAnsi="Verdana" w:cs="Arial"/>
                <w:sz w:val="16"/>
                <w:szCs w:val="16"/>
                <w:lang w:val="pt-BR" w:eastAsia="es-ES"/>
              </w:rPr>
              <w:t xml:space="preserve"> ANCP – CCE</w:t>
            </w:r>
          </w:p>
        </w:tc>
      </w:tr>
    </w:tbl>
    <w:p w14:paraId="2644A1AD" w14:textId="77777777" w:rsidR="00ED3EB5" w:rsidRPr="00593A5F" w:rsidRDefault="00ED3EB5" w:rsidP="00ED3EB5">
      <w:pPr>
        <w:spacing w:after="0" w:line="240" w:lineRule="auto"/>
        <w:rPr>
          <w:rFonts w:ascii="Verdana" w:eastAsia="Times New Roman" w:hAnsi="Verdana" w:cs="Arial"/>
          <w:sz w:val="24"/>
          <w:szCs w:val="24"/>
          <w:lang w:eastAsia="es-ES"/>
        </w:rPr>
      </w:pPr>
    </w:p>
    <w:p w14:paraId="3900974D" w14:textId="77777777" w:rsidR="003D5B0D" w:rsidRPr="00BD1416" w:rsidRDefault="003D5B0D" w:rsidP="00BD1416"/>
    <w:sectPr w:rsidR="003D5B0D" w:rsidRPr="00BD1416"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0741E" w14:textId="77777777" w:rsidR="00CA1DDB" w:rsidRDefault="00CA1DDB" w:rsidP="004A1847">
      <w:pPr>
        <w:spacing w:after="0" w:line="240" w:lineRule="auto"/>
      </w:pPr>
      <w:r>
        <w:separator/>
      </w:r>
    </w:p>
  </w:endnote>
  <w:endnote w:type="continuationSeparator" w:id="0">
    <w:p w14:paraId="0F3B27E4" w14:textId="77777777" w:rsidR="00CA1DDB" w:rsidRDefault="00CA1D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F2FAC" w14:textId="77777777" w:rsidR="00CA1DDB" w:rsidRDefault="00CA1DDB" w:rsidP="004A1847">
      <w:pPr>
        <w:spacing w:after="0" w:line="240" w:lineRule="auto"/>
      </w:pPr>
      <w:r>
        <w:separator/>
      </w:r>
    </w:p>
  </w:footnote>
  <w:footnote w:type="continuationSeparator" w:id="0">
    <w:p w14:paraId="1B8B0137" w14:textId="77777777" w:rsidR="00CA1DDB" w:rsidRDefault="00CA1DDB" w:rsidP="004A1847">
      <w:pPr>
        <w:spacing w:after="0" w:line="240" w:lineRule="auto"/>
      </w:pPr>
      <w:r>
        <w:continuationSeparator/>
      </w:r>
    </w:p>
  </w:footnote>
  <w:footnote w:id="1">
    <w:p w14:paraId="2EB7A0FB" w14:textId="77777777" w:rsidR="0040166C" w:rsidRPr="0041256A" w:rsidRDefault="0040166C" w:rsidP="0040166C">
      <w:pPr>
        <w:ind w:firstLine="709"/>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Decreto 1082 de 2015: «Artículo 2.2.1.2.1.4.4. Convenios o contratos interadministrativos. La modalidad de selección para la contratación entre Entidades Estatales es la contratación directa; </w:t>
      </w:r>
      <w:proofErr w:type="gramStart"/>
      <w:r w:rsidRPr="0041256A">
        <w:rPr>
          <w:rFonts w:ascii="Geomanist Light" w:hAnsi="Geomanist Light" w:cs="Arial"/>
          <w:sz w:val="16"/>
          <w:szCs w:val="16"/>
        </w:rPr>
        <w:t>y</w:t>
      </w:r>
      <w:proofErr w:type="gramEnd"/>
      <w:r w:rsidRPr="0041256A">
        <w:rPr>
          <w:rFonts w:ascii="Geomanist Light" w:hAnsi="Geomanist Light" w:cs="Arial"/>
          <w:sz w:val="16"/>
          <w:szCs w:val="16"/>
        </w:rPr>
        <w:t xml:space="preserve"> en consecuencia, le es aplicable lo establecido en el artículo 2.2.1.2.1.4.1 del presente decreto.</w:t>
      </w:r>
    </w:p>
    <w:p w14:paraId="55A78749" w14:textId="77777777" w:rsidR="0040166C" w:rsidRPr="0041256A" w:rsidRDefault="0040166C" w:rsidP="0040166C">
      <w:pPr>
        <w:ind w:firstLine="709"/>
        <w:jc w:val="both"/>
        <w:rPr>
          <w:rFonts w:ascii="Geomanist Light" w:hAnsi="Geomanist Light" w:cs="Arial"/>
          <w:sz w:val="16"/>
          <w:szCs w:val="16"/>
        </w:rPr>
      </w:pPr>
      <w:proofErr w:type="gramStart"/>
      <w:r w:rsidRPr="0041256A">
        <w:rPr>
          <w:rFonts w:ascii="Geomanist Light" w:hAnsi="Geomanist Light" w:cs="Arial"/>
          <w:sz w:val="16"/>
          <w:szCs w:val="16"/>
        </w:rPr>
        <w:t>»Cuando</w:t>
      </w:r>
      <w:proofErr w:type="gramEnd"/>
      <w:r w:rsidRPr="0041256A">
        <w:rPr>
          <w:rFonts w:ascii="Geomanist Light" w:hAnsi="Geomanist Light" w:cs="Arial"/>
          <w:sz w:val="16"/>
          <w:szCs w:val="16"/>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1256A">
        <w:rPr>
          <w:rFonts w:ascii="Geomanist Light" w:hAnsi="Geomanist Light" w:cs="Arial"/>
          <w:spacing w:val="-1"/>
          <w:sz w:val="16"/>
          <w:szCs w:val="16"/>
        </w:rPr>
        <w:t xml:space="preserve"> </w:t>
      </w:r>
      <w:r w:rsidRPr="0041256A">
        <w:rPr>
          <w:rFonts w:ascii="Geomanist Light" w:hAnsi="Geomanist Light" w:cs="Arial"/>
          <w:sz w:val="16"/>
          <w:szCs w:val="16"/>
        </w:rPr>
        <w:t>Estatales».</w:t>
      </w:r>
    </w:p>
  </w:footnote>
  <w:footnote w:id="2">
    <w:p w14:paraId="5ADFE7F1" w14:textId="77777777" w:rsidR="00117F38" w:rsidRPr="00522A1C" w:rsidRDefault="00117F38" w:rsidP="00117F38">
      <w:pPr>
        <w:pStyle w:val="Textonotapie"/>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Estos Documentos Tipo pueden ser consultados en la página web de Colombia Compra Eficiente, a través del siguiente enlace: </w:t>
      </w:r>
      <w:hyperlink r:id="rId1" w:history="1">
        <w:r w:rsidRPr="00522A1C">
          <w:rPr>
            <w:rStyle w:val="Hipervnculo"/>
            <w:rFonts w:ascii="Verdana" w:hAnsi="Verdana"/>
            <w:sz w:val="16"/>
            <w:szCs w:val="16"/>
          </w:rPr>
          <w:t>https://www.colombiacompra.gov.co/documentos-tipo/documentos-tipo</w:t>
        </w:r>
      </w:hyperlink>
      <w:r w:rsidRPr="00522A1C">
        <w:rPr>
          <w:rFonts w:ascii="Verdana" w:hAnsi="Verdana"/>
          <w:sz w:val="16"/>
          <w:szCs w:val="16"/>
        </w:rPr>
        <w:t xml:space="preserve"> </w:t>
      </w:r>
    </w:p>
    <w:p w14:paraId="5AD1E8E8" w14:textId="77777777" w:rsidR="00117F38" w:rsidRPr="00522A1C" w:rsidRDefault="00117F38" w:rsidP="00117F38">
      <w:pPr>
        <w:pStyle w:val="Textonotapie"/>
        <w:rPr>
          <w:rFonts w:ascii="Verdana" w:hAnsi="Verdana"/>
          <w:sz w:val="16"/>
          <w:szCs w:val="16"/>
        </w:rPr>
      </w:pPr>
    </w:p>
  </w:footnote>
  <w:footnote w:id="3">
    <w:p w14:paraId="38CE5A60" w14:textId="77777777" w:rsidR="00ED3EB5" w:rsidRPr="00406682" w:rsidRDefault="00ED3EB5" w:rsidP="00ED3EB5">
      <w:pPr>
        <w:pStyle w:val="Textonotapie"/>
        <w:ind w:firstLine="708"/>
        <w:jc w:val="both"/>
        <w:rPr>
          <w:rFonts w:ascii="Arial" w:hAnsi="Arial" w:cs="Arial"/>
          <w:sz w:val="19"/>
          <w:szCs w:val="19"/>
        </w:rPr>
      </w:pPr>
      <w:r w:rsidRPr="00406682">
        <w:rPr>
          <w:rStyle w:val="Refdenotaalpie"/>
          <w:rFonts w:ascii="Arial" w:hAnsi="Arial" w:cs="Arial"/>
          <w:sz w:val="19"/>
          <w:szCs w:val="19"/>
        </w:rPr>
        <w:footnoteRef/>
      </w:r>
      <w:r w:rsidRPr="00406682">
        <w:rPr>
          <w:rFonts w:ascii="Arial" w:hAnsi="Arial" w:cs="Arial"/>
          <w:sz w:val="19"/>
          <w:szCs w:val="19"/>
        </w:rPr>
        <w:t xml:space="preserve"> Consejo de Estado, Sección Primera, Sentencia de 5 de febrero de 2015, expediente 76001-2331-000-2008-01176-01. C.P. Marco Antonio Velilla Moreno. </w:t>
      </w:r>
    </w:p>
    <w:p w14:paraId="5F6DEABE" w14:textId="77777777" w:rsidR="00ED3EB5" w:rsidRPr="00406682" w:rsidRDefault="00ED3EB5" w:rsidP="00ED3EB5">
      <w:pPr>
        <w:pStyle w:val="Textonotapie"/>
        <w:ind w:firstLine="708"/>
        <w:jc w:val="both"/>
        <w:rPr>
          <w:rFonts w:ascii="Arial" w:hAnsi="Arial" w:cs="Arial"/>
          <w:sz w:val="19"/>
          <w:szCs w:val="19"/>
        </w:rPr>
      </w:pPr>
    </w:p>
  </w:footnote>
  <w:footnote w:id="4">
    <w:p w14:paraId="16D35B02" w14:textId="77777777" w:rsidR="00ED3EB5" w:rsidRPr="0037500C" w:rsidRDefault="00ED3EB5" w:rsidP="00ED3EB5">
      <w:pPr>
        <w:ind w:firstLine="708"/>
        <w:jc w:val="both"/>
        <w:rPr>
          <w:rFonts w:ascii="Arial" w:hAnsi="Arial" w:cs="Arial"/>
          <w:sz w:val="19"/>
          <w:szCs w:val="19"/>
        </w:rPr>
      </w:pPr>
      <w:r w:rsidRPr="00406682">
        <w:rPr>
          <w:rStyle w:val="Refdenotaalpie"/>
          <w:rFonts w:ascii="Arial" w:hAnsi="Arial" w:cs="Arial"/>
          <w:sz w:val="19"/>
          <w:szCs w:val="19"/>
        </w:rPr>
        <w:footnoteRef/>
      </w:r>
      <w:r w:rsidRPr="00406682">
        <w:rPr>
          <w:rFonts w:ascii="Arial" w:hAnsi="Arial" w:cs="Arial"/>
          <w:sz w:val="19"/>
          <w:szCs w:val="19"/>
        </w:rPr>
        <w:t xml:space="preserve"> </w:t>
      </w:r>
      <w:r w:rsidRPr="00406682">
        <w:rPr>
          <w:rFonts w:ascii="Arial" w:hAnsi="Arial" w:cs="Arial"/>
          <w:sz w:val="19"/>
          <w:szCs w:val="19"/>
          <w:shd w:val="clear" w:color="auto" w:fill="FFFFFF"/>
        </w:rPr>
        <w:t xml:space="preserve">Corte Constitucional. Sentencia C-506 de 1994. M.P. Fabio Morón Díaz. </w:t>
      </w:r>
    </w:p>
  </w:footnote>
  <w:footnote w:id="5">
    <w:p w14:paraId="4557295A" w14:textId="77777777" w:rsidR="00ED3EB5" w:rsidRPr="0041256A" w:rsidRDefault="00ED3EB5" w:rsidP="00ED3EB5">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CONSEJO DE ESTADO. Sala de Consulta y Servicio Civil del Consejo de Estado, Concepto 1291 de 2000. </w:t>
      </w:r>
    </w:p>
  </w:footnote>
  <w:footnote w:id="6">
    <w:p w14:paraId="3BDA426E" w14:textId="77777777" w:rsidR="00ED3EB5" w:rsidRPr="0041256A" w:rsidRDefault="00ED3EB5" w:rsidP="00ED3EB5">
      <w:pPr>
        <w:pStyle w:val="Textonotapie"/>
        <w:ind w:firstLine="708"/>
        <w:jc w:val="both"/>
        <w:rPr>
          <w:rFonts w:ascii="Geomanist Light" w:hAnsi="Geomanist Light" w:cs="Arial"/>
          <w:sz w:val="16"/>
          <w:szCs w:val="16"/>
        </w:rPr>
      </w:pPr>
    </w:p>
    <w:p w14:paraId="3F333C8B" w14:textId="77777777" w:rsidR="00ED3EB5" w:rsidRPr="0041256A" w:rsidRDefault="00ED3EB5" w:rsidP="00ED3EB5">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VIDAL PERDOMO, Jaime y MOLINA BETANCUR, Carlos. Derecho Administrativo. Decimoquinta edición. 2019, Legis Editores. pp. 168-169. </w:t>
      </w:r>
    </w:p>
  </w:footnote>
  <w:footnote w:id="7">
    <w:p w14:paraId="2BA67E62" w14:textId="77777777" w:rsidR="00ED3EB5" w:rsidRPr="0041256A" w:rsidRDefault="00ED3EB5" w:rsidP="00ED3EB5">
      <w:pPr>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Ley 80 de 1993: «Artículo 1o. Del objeto. La presente ley tiene por objeto disponer las reglas y principios que rigen los contratos de las entidades estatales». </w:t>
      </w:r>
    </w:p>
  </w:footnote>
  <w:footnote w:id="8">
    <w:p w14:paraId="2C822AEA" w14:textId="77777777" w:rsidR="00ED3EB5" w:rsidRPr="0041256A" w:rsidRDefault="00ED3EB5" w:rsidP="00ED3EB5">
      <w:pPr>
        <w:ind w:firstLine="709"/>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Decreto 1082 de 2015: «Artículo 2.2.1.2.1.4.4. Convenios o contratos interadministrativos. La modalidad de selección para la contratación entre Entidades Estatales es la contratación directa; </w:t>
      </w:r>
      <w:proofErr w:type="gramStart"/>
      <w:r w:rsidRPr="0041256A">
        <w:rPr>
          <w:rFonts w:ascii="Geomanist Light" w:hAnsi="Geomanist Light" w:cs="Arial"/>
          <w:sz w:val="16"/>
          <w:szCs w:val="16"/>
        </w:rPr>
        <w:t>y</w:t>
      </w:r>
      <w:proofErr w:type="gramEnd"/>
      <w:r w:rsidRPr="0041256A">
        <w:rPr>
          <w:rFonts w:ascii="Geomanist Light" w:hAnsi="Geomanist Light" w:cs="Arial"/>
          <w:sz w:val="16"/>
          <w:szCs w:val="16"/>
        </w:rPr>
        <w:t xml:space="preserve"> en consecuencia, le es aplicable lo establecido en el artículo 2.2.1.2.1.4.1 del presente decreto.</w:t>
      </w:r>
    </w:p>
    <w:p w14:paraId="18B52103" w14:textId="77777777" w:rsidR="00ED3EB5" w:rsidRPr="0041256A" w:rsidRDefault="00ED3EB5" w:rsidP="00ED3EB5">
      <w:pPr>
        <w:ind w:firstLine="709"/>
        <w:jc w:val="both"/>
        <w:rPr>
          <w:rFonts w:ascii="Geomanist Light" w:hAnsi="Geomanist Light" w:cs="Arial"/>
          <w:sz w:val="16"/>
          <w:szCs w:val="16"/>
        </w:rPr>
      </w:pPr>
      <w:proofErr w:type="gramStart"/>
      <w:r w:rsidRPr="0041256A">
        <w:rPr>
          <w:rFonts w:ascii="Geomanist Light" w:hAnsi="Geomanist Light" w:cs="Arial"/>
          <w:sz w:val="16"/>
          <w:szCs w:val="16"/>
        </w:rPr>
        <w:t>»Cuando</w:t>
      </w:r>
      <w:proofErr w:type="gramEnd"/>
      <w:r w:rsidRPr="0041256A">
        <w:rPr>
          <w:rFonts w:ascii="Geomanist Light" w:hAnsi="Geomanist Light" w:cs="Arial"/>
          <w:sz w:val="16"/>
          <w:szCs w:val="16"/>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1256A">
        <w:rPr>
          <w:rFonts w:ascii="Geomanist Light" w:hAnsi="Geomanist Light" w:cs="Arial"/>
          <w:spacing w:val="-1"/>
          <w:sz w:val="16"/>
          <w:szCs w:val="16"/>
        </w:rPr>
        <w:t xml:space="preserve"> </w:t>
      </w:r>
      <w:r w:rsidRPr="0041256A">
        <w:rPr>
          <w:rFonts w:ascii="Geomanist Light" w:hAnsi="Geomanist Light" w:cs="Arial"/>
          <w:sz w:val="16"/>
          <w:szCs w:val="16"/>
        </w:rPr>
        <w:t>Estatales».</w:t>
      </w:r>
    </w:p>
  </w:footnote>
  <w:footnote w:id="9">
    <w:p w14:paraId="77C026EF" w14:textId="77777777" w:rsidR="00ED3EB5" w:rsidRPr="0041256A" w:rsidRDefault="00ED3EB5" w:rsidP="00ED3EB5">
      <w:pPr>
        <w:ind w:firstLine="709"/>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position w:val="7"/>
          <w:sz w:val="16"/>
          <w:szCs w:val="16"/>
        </w:rPr>
        <w:t xml:space="preserve"> </w:t>
      </w:r>
      <w:bookmarkStart w:id="1" w:name="_Hlk104405774"/>
      <w:r w:rsidRPr="0041256A">
        <w:rPr>
          <w:rFonts w:ascii="Geomanist Light" w:hAnsi="Geomanist Light" w:cs="Arial"/>
          <w:sz w:val="16"/>
          <w:szCs w:val="16"/>
        </w:rPr>
        <w:t>CONSEJO DE ESTADO. Sección Tercera. Sentencia del 23 de junio de 2010. Radicación No. 66001-23-31-000-1998-00261-01(17.860). Consejero Ponente: Mauricio Fajardo Gómez.</w:t>
      </w:r>
      <w:bookmarkEnd w:id="1"/>
    </w:p>
    <w:p w14:paraId="21A29D88" w14:textId="77777777" w:rsidR="00ED3EB5" w:rsidRPr="0041256A" w:rsidRDefault="00ED3EB5" w:rsidP="00ED3EB5">
      <w:pPr>
        <w:ind w:firstLine="709"/>
        <w:jc w:val="both"/>
        <w:rPr>
          <w:rFonts w:ascii="Geomanist Light" w:hAnsi="Geomanist Light" w:cs="Arial"/>
          <w:sz w:val="16"/>
          <w:szCs w:val="16"/>
        </w:rPr>
      </w:pPr>
    </w:p>
  </w:footnote>
  <w:footnote w:id="10">
    <w:p w14:paraId="1DACF4B9" w14:textId="77777777" w:rsidR="00ED3EB5" w:rsidRPr="0041256A" w:rsidRDefault="00ED3EB5" w:rsidP="00ED3EB5">
      <w:pPr>
        <w:pStyle w:val="Textonotapie"/>
        <w:ind w:firstLine="708"/>
        <w:jc w:val="both"/>
        <w:rPr>
          <w:rFonts w:ascii="Geomanist Light" w:eastAsia="Arial"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Agencia Nacional de Contratación Pública–Colombia Compra Eficiente–. Concepto C-762 del 6 de enero de 2021. Radicado No. </w:t>
      </w:r>
      <w:r w:rsidRPr="0041256A">
        <w:rPr>
          <w:rFonts w:ascii="Geomanist Light" w:eastAsia="Arial" w:hAnsi="Geomanist Light" w:cs="Arial"/>
          <w:sz w:val="16"/>
          <w:szCs w:val="16"/>
        </w:rPr>
        <w:t xml:space="preserve">RS20210106000041. </w:t>
      </w:r>
    </w:p>
    <w:p w14:paraId="0F35310E" w14:textId="77777777" w:rsidR="00ED3EB5" w:rsidRPr="0041256A" w:rsidRDefault="00ED3EB5" w:rsidP="00ED3EB5">
      <w:pPr>
        <w:pStyle w:val="Textonotapie"/>
        <w:ind w:firstLine="708"/>
        <w:jc w:val="both"/>
        <w:rPr>
          <w:rFonts w:ascii="Geomanist Light" w:hAnsi="Geomanist Light" w:cs="Arial"/>
          <w:sz w:val="16"/>
          <w:szCs w:val="16"/>
        </w:rPr>
      </w:pPr>
    </w:p>
  </w:footnote>
  <w:footnote w:id="11">
    <w:p w14:paraId="06A7A362" w14:textId="77777777" w:rsidR="00ED3EB5" w:rsidRPr="0041256A" w:rsidRDefault="00ED3EB5" w:rsidP="00ED3EB5">
      <w:pPr>
        <w:ind w:firstLine="709"/>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Consejo de Estado. Sección Tercera. Subsección C. Sentencia del 11 de diciembre de 2019. </w:t>
      </w:r>
      <w:proofErr w:type="spellStart"/>
      <w:r w:rsidRPr="0041256A">
        <w:rPr>
          <w:rFonts w:ascii="Geomanist Light" w:hAnsi="Geomanist Light" w:cs="Arial"/>
          <w:sz w:val="16"/>
          <w:szCs w:val="16"/>
        </w:rPr>
        <w:t>Exp</w:t>
      </w:r>
      <w:proofErr w:type="spellEnd"/>
      <w:r w:rsidRPr="0041256A">
        <w:rPr>
          <w:rFonts w:ascii="Geomanist Light" w:hAnsi="Geomanist Light" w:cs="Arial"/>
          <w:sz w:val="16"/>
          <w:szCs w:val="16"/>
        </w:rPr>
        <w:t>. 46.986. C.P. Jaime Enrique Rodríguez Navas.</w:t>
      </w:r>
    </w:p>
    <w:p w14:paraId="68338A0A" w14:textId="77777777" w:rsidR="00ED3EB5" w:rsidRPr="0041256A" w:rsidRDefault="00ED3EB5" w:rsidP="00ED3EB5">
      <w:pPr>
        <w:ind w:firstLine="709"/>
        <w:jc w:val="both"/>
        <w:rPr>
          <w:rFonts w:ascii="Geomanist Light" w:hAnsi="Geomanist Light" w:cs="Arial"/>
          <w:sz w:val="16"/>
          <w:szCs w:val="16"/>
        </w:rPr>
      </w:pPr>
    </w:p>
  </w:footnote>
  <w:footnote w:id="12">
    <w:p w14:paraId="1C439E9E" w14:textId="77777777" w:rsidR="00ED3EB5" w:rsidRPr="0041256A" w:rsidRDefault="00ED3EB5" w:rsidP="00ED3EB5">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[Referencia propia de la cita] «CE. SCSC. Concepto de 1 de noviembre de 2016 [Rad. 11001-03-06-000-2016-00125-00(2305)]. MP. Germán Alberto Bula Escobar».</w:t>
      </w:r>
    </w:p>
    <w:p w14:paraId="6928C5F9" w14:textId="77777777" w:rsidR="00ED3EB5" w:rsidRPr="0041256A" w:rsidRDefault="00ED3EB5" w:rsidP="00ED3EB5">
      <w:pPr>
        <w:pStyle w:val="Textonotapie"/>
        <w:ind w:firstLine="708"/>
        <w:jc w:val="both"/>
        <w:rPr>
          <w:rFonts w:ascii="Geomanist Light" w:hAnsi="Geomanist Light" w:cs="Arial"/>
          <w:sz w:val="16"/>
          <w:szCs w:val="16"/>
        </w:rPr>
      </w:pPr>
    </w:p>
  </w:footnote>
  <w:footnote w:id="13">
    <w:p w14:paraId="5C3FD299" w14:textId="77777777" w:rsidR="00ED3EB5" w:rsidRPr="0041256A" w:rsidRDefault="00ED3EB5" w:rsidP="00ED3EB5">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[Referencia propia de la cita] «CE. SCSC. Concepto de 30 de abril de 2008 [Rad. 11001-03-06-000-2008-00013-00(1881)]. MP. Enrique José Arboleda Perdomo. En esta oportunidad, la Sala indicó que el contenido </w:t>
      </w:r>
      <w:r w:rsidRPr="0041256A">
        <w:rPr>
          <w:rFonts w:ascii="Geomanist Light" w:hAnsi="Geomanist Light" w:cs="Arial"/>
          <w:i/>
          <w:sz w:val="16"/>
          <w:szCs w:val="16"/>
        </w:rPr>
        <w:t>“obligacional”</w:t>
      </w:r>
      <w:r w:rsidRPr="0041256A">
        <w:rPr>
          <w:rFonts w:ascii="Geomanist Light" w:hAnsi="Geomanist Light" w:cs="Arial"/>
          <w:sz w:val="16"/>
          <w:szCs w:val="16"/>
        </w:rPr>
        <w:t xml:space="preserve"> de los convenios se estructura definiendo el resultado querido por las partes y los medios que cada entidad despliega para la obtención del respectivo objeto».</w:t>
      </w:r>
    </w:p>
    <w:p w14:paraId="177F1C10" w14:textId="77777777" w:rsidR="00ED3EB5" w:rsidRPr="0041256A" w:rsidRDefault="00ED3EB5" w:rsidP="00ED3EB5">
      <w:pPr>
        <w:pStyle w:val="Textonotapie"/>
        <w:ind w:firstLine="708"/>
        <w:jc w:val="both"/>
        <w:rPr>
          <w:rFonts w:ascii="Geomanist Light" w:hAnsi="Geomanist Light" w:cs="Arial"/>
          <w:sz w:val="16"/>
          <w:szCs w:val="16"/>
        </w:rPr>
      </w:pPr>
    </w:p>
  </w:footnote>
  <w:footnote w:id="14">
    <w:p w14:paraId="02645B8C" w14:textId="77777777" w:rsidR="00ED3EB5" w:rsidRPr="0041256A" w:rsidRDefault="00ED3EB5" w:rsidP="00ED3EB5">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[Referencia propia de la cita] «La normativa vigente del EGCAP </w:t>
      </w:r>
      <w:r w:rsidRPr="0041256A">
        <w:rPr>
          <w:rFonts w:ascii="Geomanist Light" w:hAnsi="Geomanist Light" w:cs="Arial"/>
          <w:i/>
          <w:sz w:val="16"/>
          <w:szCs w:val="16"/>
        </w:rPr>
        <w:t>[literal c) del numeral 4. del artículo 2 de la Ley 1150/07]</w:t>
      </w:r>
      <w:r w:rsidRPr="0041256A">
        <w:rPr>
          <w:rFonts w:ascii="Geomanist Light" w:hAnsi="Geomanist Light" w:cs="Arial"/>
          <w:sz w:val="16"/>
          <w:szCs w:val="16"/>
        </w:rPr>
        <w:t xml:space="preserve"> se refiere a </w:t>
      </w:r>
      <w:r w:rsidRPr="0041256A">
        <w:rPr>
          <w:rFonts w:ascii="Geomanist Light" w:hAnsi="Geomanist Light" w:cs="Arial"/>
          <w:i/>
          <w:sz w:val="16"/>
          <w:szCs w:val="16"/>
        </w:rPr>
        <w:t>“contratos interadministrativos”</w:t>
      </w:r>
      <w:r w:rsidRPr="0041256A">
        <w:rPr>
          <w:rFonts w:ascii="Geomanist Light" w:hAnsi="Geomanist Light"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5">
    <w:p w14:paraId="5F18B325" w14:textId="77777777" w:rsidR="00ED3EB5" w:rsidRPr="0041256A" w:rsidRDefault="00ED3EB5" w:rsidP="00ED3EB5">
      <w:pPr>
        <w:pStyle w:val="Textonotapie"/>
        <w:ind w:firstLine="708"/>
        <w:jc w:val="both"/>
        <w:rPr>
          <w:rFonts w:ascii="Geomanist Light" w:hAnsi="Geomanist Light" w:cs="Arial"/>
          <w:sz w:val="16"/>
          <w:szCs w:val="16"/>
        </w:rPr>
      </w:pPr>
    </w:p>
    <w:p w14:paraId="519D6F81" w14:textId="77777777" w:rsidR="00ED3EB5" w:rsidRPr="0041256A" w:rsidRDefault="00ED3EB5" w:rsidP="00ED3EB5">
      <w:pPr>
        <w:pStyle w:val="Textonotapie"/>
        <w:ind w:firstLine="708"/>
        <w:jc w:val="both"/>
        <w:rPr>
          <w:rFonts w:ascii="Geomanist Light" w:hAnsi="Geomanist Light" w:cs="Arial"/>
          <w:sz w:val="16"/>
          <w:szCs w:val="16"/>
        </w:rPr>
      </w:pPr>
      <w:r w:rsidRPr="0041256A">
        <w:rPr>
          <w:rStyle w:val="Refdenotaalpie"/>
          <w:rFonts w:ascii="Geomanist Light" w:hAnsi="Geomanist Light" w:cs="Arial"/>
          <w:sz w:val="16"/>
          <w:szCs w:val="16"/>
        </w:rPr>
        <w:footnoteRef/>
      </w:r>
      <w:r w:rsidRPr="0041256A">
        <w:rPr>
          <w:rFonts w:ascii="Geomanist Light" w:hAnsi="Geomanist Light"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41256A">
        <w:rPr>
          <w:rFonts w:ascii="Geomanist Light" w:hAnsi="Geomanist Light" w:cs="Arial"/>
          <w:sz w:val="16"/>
          <w:szCs w:val="16"/>
        </w:rPr>
        <w:t>Exp</w:t>
      </w:r>
      <w:proofErr w:type="spellEnd"/>
      <w:r w:rsidRPr="0041256A">
        <w:rPr>
          <w:rFonts w:ascii="Geomanist Light" w:hAnsi="Geomanist Light" w:cs="Arial"/>
          <w:sz w:val="16"/>
          <w:szCs w:val="16"/>
        </w:rPr>
        <w:t xml:space="preserve">. 2.257. M.P. Álvaro </w:t>
      </w:r>
      <w:proofErr w:type="spellStart"/>
      <w:r w:rsidRPr="0041256A">
        <w:rPr>
          <w:rFonts w:ascii="Geomanist Light" w:hAnsi="Geomanist Light" w:cs="Arial"/>
          <w:sz w:val="16"/>
          <w:szCs w:val="16"/>
        </w:rPr>
        <w:t>Namén</w:t>
      </w:r>
      <w:proofErr w:type="spellEnd"/>
      <w:r w:rsidRPr="0041256A">
        <w:rPr>
          <w:rFonts w:ascii="Geomanist Light" w:hAnsi="Geomanist Light" w:cs="Arial"/>
          <w:sz w:val="16"/>
          <w:szCs w:val="16"/>
        </w:rPr>
        <w:t xml:space="preserve"> Vargas).</w:t>
      </w:r>
    </w:p>
    <w:p w14:paraId="1FCB8946" w14:textId="77777777" w:rsidR="00ED3EB5" w:rsidRPr="0041256A" w:rsidRDefault="00ED3EB5" w:rsidP="00ED3EB5">
      <w:pPr>
        <w:pStyle w:val="Textonotapie"/>
        <w:ind w:firstLine="708"/>
        <w:jc w:val="both"/>
        <w:rPr>
          <w:rFonts w:ascii="Geomanist Light" w:hAnsi="Geomanist Light" w:cs="Arial"/>
          <w:sz w:val="16"/>
          <w:szCs w:val="16"/>
        </w:rPr>
      </w:pPr>
    </w:p>
  </w:footnote>
  <w:footnote w:id="16">
    <w:p w14:paraId="5E5DFB00" w14:textId="77777777" w:rsidR="00ED3EB5" w:rsidRPr="00522A1C" w:rsidRDefault="00ED3EB5" w:rsidP="00ED3EB5">
      <w:pPr>
        <w:pStyle w:val="Textonotapie"/>
        <w:jc w:val="both"/>
        <w:rPr>
          <w:rFonts w:ascii="Verdana" w:hAnsi="Verdana"/>
          <w:color w:val="000000"/>
          <w:sz w:val="16"/>
          <w:szCs w:val="16"/>
        </w:rPr>
      </w:pPr>
      <w:r w:rsidRPr="00522A1C">
        <w:rPr>
          <w:rFonts w:ascii="Verdana" w:hAnsi="Verdana"/>
          <w:sz w:val="16"/>
          <w:szCs w:val="16"/>
          <w:vertAlign w:val="superscript"/>
        </w:rPr>
        <w:footnoteRef/>
      </w:r>
      <w:r w:rsidRPr="00522A1C">
        <w:rPr>
          <w:rFonts w:ascii="Verdana" w:hAnsi="Verdana"/>
          <w:sz w:val="16"/>
          <w:szCs w:val="16"/>
        </w:rPr>
        <w:t xml:space="preserve"> </w:t>
      </w:r>
      <w:r w:rsidRPr="00522A1C">
        <w:rPr>
          <w:rFonts w:ascii="Verdana" w:hAnsi="Verdana"/>
          <w:color w:val="000000"/>
          <w:sz w:val="16"/>
          <w:szCs w:val="16"/>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56730E28" w14:textId="77777777" w:rsidR="00ED3EB5" w:rsidRPr="001D4267" w:rsidRDefault="00ED3EB5" w:rsidP="00ED3EB5">
      <w:pPr>
        <w:pStyle w:val="Textonotapie"/>
        <w:ind w:firstLine="709"/>
        <w:jc w:val="both"/>
        <w:rPr>
          <w:rFonts w:ascii="Verdana" w:hAnsi="Verdana"/>
          <w:sz w:val="16"/>
          <w:szCs w:val="16"/>
        </w:rPr>
      </w:pPr>
    </w:p>
  </w:footnote>
  <w:footnote w:id="17">
    <w:p w14:paraId="16F30899" w14:textId="77777777" w:rsidR="00ED3EB5" w:rsidRPr="001D4267" w:rsidRDefault="00ED3EB5" w:rsidP="00ED3EB5">
      <w:pPr>
        <w:pStyle w:val="Textonotapie"/>
        <w:ind w:firstLine="709"/>
        <w:jc w:val="both"/>
        <w:rPr>
          <w:rFonts w:ascii="Verdana" w:hAnsi="Verdana" w:cs="Arial"/>
          <w:color w:val="000000"/>
          <w:sz w:val="16"/>
          <w:szCs w:val="16"/>
        </w:rPr>
      </w:pPr>
      <w:r w:rsidRPr="001D4267">
        <w:rPr>
          <w:rStyle w:val="Refdenotaalpie"/>
          <w:rFonts w:ascii="Verdana" w:hAnsi="Verdana" w:cs="Arial"/>
          <w:color w:val="000000"/>
          <w:sz w:val="16"/>
          <w:szCs w:val="16"/>
        </w:rPr>
        <w:footnoteRef/>
      </w:r>
      <w:r w:rsidRPr="001D4267">
        <w:rPr>
          <w:rFonts w:ascii="Verdana" w:hAnsi="Verdana" w:cs="Arial"/>
          <w:color w:val="000000"/>
          <w:sz w:val="16"/>
          <w:szCs w:val="16"/>
          <w:lang w:val="pt-BR"/>
        </w:rPr>
        <w:t xml:space="preserve"> Corte Constitucional. Sentencia C-119 de 2020. </w:t>
      </w:r>
      <w:r w:rsidRPr="001D4267">
        <w:rPr>
          <w:rFonts w:ascii="Verdana" w:hAnsi="Verdana" w:cs="Arial"/>
          <w:color w:val="000000"/>
          <w:sz w:val="16"/>
          <w:szCs w:val="16"/>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49D96EC" w14:textId="77777777" w:rsidR="00ED3EB5" w:rsidRPr="001D4267" w:rsidRDefault="00ED3EB5" w:rsidP="00ED3EB5">
      <w:pPr>
        <w:pStyle w:val="Textonotapie"/>
        <w:ind w:firstLine="709"/>
        <w:jc w:val="both"/>
        <w:rPr>
          <w:rFonts w:ascii="Verdana" w:hAnsi="Verdana" w:cs="Arial"/>
          <w:color w:val="000000"/>
          <w:sz w:val="16"/>
          <w:szCs w:val="16"/>
        </w:rPr>
      </w:pPr>
    </w:p>
  </w:footnote>
  <w:footnote w:id="18">
    <w:p w14:paraId="2CB39E33" w14:textId="77777777" w:rsidR="00ED3EB5" w:rsidRPr="00522A1C" w:rsidRDefault="00ED3EB5" w:rsidP="00ED3EB5">
      <w:pPr>
        <w:pStyle w:val="Textonotapie"/>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Estos Documentos Tipo pueden ser consultados en la página web de Colombia Compra Eficiente, a través del siguiente enlace: </w:t>
      </w:r>
      <w:hyperlink r:id="rId2" w:history="1">
        <w:r w:rsidRPr="00522A1C">
          <w:rPr>
            <w:rStyle w:val="Hipervnculo"/>
            <w:rFonts w:ascii="Verdana" w:hAnsi="Verdana"/>
            <w:sz w:val="16"/>
            <w:szCs w:val="16"/>
          </w:rPr>
          <w:t>https://www.colombiacompra.gov.co/documentos-tipo/documentos-tipo</w:t>
        </w:r>
      </w:hyperlink>
      <w:r w:rsidRPr="00522A1C">
        <w:rPr>
          <w:rFonts w:ascii="Verdana" w:hAnsi="Verdana"/>
          <w:sz w:val="16"/>
          <w:szCs w:val="16"/>
        </w:rPr>
        <w:t xml:space="preserve"> </w:t>
      </w:r>
    </w:p>
    <w:p w14:paraId="01C8C26E" w14:textId="77777777" w:rsidR="00ED3EB5" w:rsidRPr="00522A1C" w:rsidRDefault="00ED3EB5" w:rsidP="00ED3EB5">
      <w:pPr>
        <w:pStyle w:val="Textonotapie"/>
        <w:rPr>
          <w:rFonts w:ascii="Verdana" w:hAnsi="Verdana"/>
          <w:sz w:val="16"/>
          <w:szCs w:val="16"/>
        </w:rPr>
      </w:pPr>
    </w:p>
  </w:footnote>
  <w:footnote w:id="19">
    <w:p w14:paraId="0DD79669" w14:textId="77777777" w:rsidR="00ED3EB5" w:rsidRPr="001D4267" w:rsidRDefault="00ED3EB5" w:rsidP="00ED3EB5">
      <w:pPr>
        <w:pStyle w:val="Textonotapie"/>
        <w:ind w:firstLine="708"/>
        <w:jc w:val="both"/>
        <w:rPr>
          <w:rFonts w:ascii="Verdana" w:hAnsi="Verdana" w:cs="Arial"/>
          <w:sz w:val="16"/>
          <w:szCs w:val="16"/>
        </w:rPr>
      </w:pPr>
      <w:r w:rsidRPr="001D4267">
        <w:rPr>
          <w:rStyle w:val="Refdenotaalpie"/>
          <w:rFonts w:ascii="Verdana" w:hAnsi="Verdana" w:cs="Arial"/>
          <w:sz w:val="16"/>
          <w:szCs w:val="16"/>
        </w:rPr>
        <w:footnoteRef/>
      </w:r>
      <w:r w:rsidRPr="001D4267">
        <w:rPr>
          <w:rFonts w:ascii="Verdana" w:hAnsi="Verdana" w:cs="Arial"/>
          <w:sz w:val="16"/>
          <w:szCs w:val="16"/>
        </w:rPr>
        <w:t xml:space="preserve"> Ley 2022 de 2020. “Artículo 1o. Modifíquese el artículo 4o de la Ley 1882 de 2018, el cual quedará así:</w:t>
      </w:r>
    </w:p>
    <w:p w14:paraId="22B1E036" w14:textId="77777777" w:rsidR="00ED3EB5" w:rsidRPr="001D4267" w:rsidRDefault="00ED3EB5" w:rsidP="00ED3EB5">
      <w:pPr>
        <w:pStyle w:val="Textonotapie"/>
        <w:ind w:firstLine="708"/>
        <w:jc w:val="both"/>
        <w:rPr>
          <w:rFonts w:ascii="Verdana" w:hAnsi="Verdana" w:cs="Arial"/>
          <w:sz w:val="16"/>
          <w:szCs w:val="16"/>
        </w:rPr>
      </w:pPr>
      <w:r w:rsidRPr="001D4267">
        <w:rPr>
          <w:rFonts w:ascii="Verdana" w:hAnsi="Verdana" w:cs="Arial"/>
          <w:sz w:val="16"/>
          <w:szCs w:val="16"/>
        </w:rPr>
        <w:t>Artículo 4o. Adiciónese el siguiente parágrafo al artículo 2o de la Ley 1150 de 2007.</w:t>
      </w:r>
    </w:p>
    <w:p w14:paraId="1CF34C97" w14:textId="77777777" w:rsidR="00ED3EB5" w:rsidRPr="001D4267" w:rsidRDefault="00ED3EB5" w:rsidP="00ED3EB5">
      <w:pPr>
        <w:pStyle w:val="Textonotapie"/>
        <w:ind w:firstLine="708"/>
        <w:jc w:val="both"/>
        <w:rPr>
          <w:rFonts w:ascii="Verdana" w:hAnsi="Verdana" w:cs="Arial"/>
          <w:sz w:val="16"/>
          <w:szCs w:val="16"/>
        </w:rPr>
      </w:pPr>
      <w:r w:rsidRPr="001D4267">
        <w:rPr>
          <w:rFonts w:ascii="Verdana" w:hAnsi="Verdana" w:cs="Arial"/>
          <w:sz w:val="16"/>
          <w:szCs w:val="16"/>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CCDEF95" w14:textId="77777777" w:rsidR="00ED3EB5" w:rsidRPr="001D4267" w:rsidRDefault="00ED3EB5" w:rsidP="00ED3EB5">
      <w:pPr>
        <w:pStyle w:val="Textonotapie"/>
        <w:ind w:firstLine="708"/>
        <w:jc w:val="both"/>
        <w:rPr>
          <w:rFonts w:ascii="Verdana" w:hAnsi="Verdana" w:cs="Arial"/>
          <w:sz w:val="16"/>
          <w:szCs w:val="16"/>
        </w:rPr>
      </w:pPr>
      <w:r w:rsidRPr="001D4267">
        <w:rPr>
          <w:rFonts w:ascii="Verdana" w:hAnsi="Verdana"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36CFFD8" w14:textId="77777777" w:rsidR="00ED3EB5" w:rsidRPr="00FC2528" w:rsidRDefault="00ED3EB5" w:rsidP="00ED3EB5">
      <w:pPr>
        <w:pStyle w:val="Textonotapie"/>
        <w:ind w:firstLine="708"/>
        <w:jc w:val="both"/>
        <w:rPr>
          <w:rFonts w:ascii="Verdana" w:hAnsi="Verdana" w:cs="Arial"/>
          <w:sz w:val="12"/>
          <w:szCs w:val="12"/>
        </w:rPr>
      </w:pPr>
      <w:r w:rsidRPr="001D4267">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1725D7"/>
    <w:multiLevelType w:val="hybridMultilevel"/>
    <w:tmpl w:val="8DCE9626"/>
    <w:lvl w:ilvl="0" w:tplc="9C1EBEF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4153771">
    <w:abstractNumId w:val="7"/>
  </w:num>
  <w:num w:numId="2" w16cid:durableId="1963726166">
    <w:abstractNumId w:val="2"/>
  </w:num>
  <w:num w:numId="3" w16cid:durableId="1617055487">
    <w:abstractNumId w:val="5"/>
  </w:num>
  <w:num w:numId="4" w16cid:durableId="1965463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6958326">
    <w:abstractNumId w:val="2"/>
  </w:num>
  <w:num w:numId="6" w16cid:durableId="1277298123">
    <w:abstractNumId w:val="14"/>
  </w:num>
  <w:num w:numId="7" w16cid:durableId="1138183283">
    <w:abstractNumId w:val="6"/>
  </w:num>
  <w:num w:numId="8" w16cid:durableId="1774353433">
    <w:abstractNumId w:val="13"/>
  </w:num>
  <w:num w:numId="9" w16cid:durableId="1847014763">
    <w:abstractNumId w:val="8"/>
  </w:num>
  <w:num w:numId="10" w16cid:durableId="831067331">
    <w:abstractNumId w:val="12"/>
  </w:num>
  <w:num w:numId="11" w16cid:durableId="1785925252">
    <w:abstractNumId w:val="9"/>
  </w:num>
  <w:num w:numId="12" w16cid:durableId="318270274">
    <w:abstractNumId w:val="1"/>
  </w:num>
  <w:num w:numId="13" w16cid:durableId="237175386">
    <w:abstractNumId w:val="4"/>
  </w:num>
  <w:num w:numId="14" w16cid:durableId="501119855">
    <w:abstractNumId w:val="15"/>
  </w:num>
  <w:num w:numId="15" w16cid:durableId="59256057">
    <w:abstractNumId w:val="11"/>
  </w:num>
  <w:num w:numId="16" w16cid:durableId="1465583937">
    <w:abstractNumId w:val="0"/>
  </w:num>
  <w:num w:numId="17" w16cid:durableId="1030423004">
    <w:abstractNumId w:val="10"/>
  </w:num>
  <w:num w:numId="18" w16cid:durableId="1475527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EC4"/>
    <w:rsid w:val="00046945"/>
    <w:rsid w:val="00056790"/>
    <w:rsid w:val="00061B2A"/>
    <w:rsid w:val="00082362"/>
    <w:rsid w:val="000A683E"/>
    <w:rsid w:val="000B19B9"/>
    <w:rsid w:val="000C238F"/>
    <w:rsid w:val="000D0334"/>
    <w:rsid w:val="000D5778"/>
    <w:rsid w:val="000F6486"/>
    <w:rsid w:val="00112F63"/>
    <w:rsid w:val="00117F38"/>
    <w:rsid w:val="00125105"/>
    <w:rsid w:val="00127233"/>
    <w:rsid w:val="001511A0"/>
    <w:rsid w:val="001D34AC"/>
    <w:rsid w:val="001E2BC2"/>
    <w:rsid w:val="001E4177"/>
    <w:rsid w:val="001F7DC6"/>
    <w:rsid w:val="002421BB"/>
    <w:rsid w:val="0025796E"/>
    <w:rsid w:val="002707A2"/>
    <w:rsid w:val="002940BF"/>
    <w:rsid w:val="002951A0"/>
    <w:rsid w:val="002962BC"/>
    <w:rsid w:val="002A093D"/>
    <w:rsid w:val="002A0DD0"/>
    <w:rsid w:val="002A49AC"/>
    <w:rsid w:val="002A64FD"/>
    <w:rsid w:val="002C2565"/>
    <w:rsid w:val="002C7A84"/>
    <w:rsid w:val="002E4FD9"/>
    <w:rsid w:val="00322A85"/>
    <w:rsid w:val="00324168"/>
    <w:rsid w:val="003448F4"/>
    <w:rsid w:val="00373BAF"/>
    <w:rsid w:val="00374F5E"/>
    <w:rsid w:val="00377E3E"/>
    <w:rsid w:val="003A779E"/>
    <w:rsid w:val="003B0547"/>
    <w:rsid w:val="003D0F4D"/>
    <w:rsid w:val="003D3C6F"/>
    <w:rsid w:val="003D5B0D"/>
    <w:rsid w:val="003E0499"/>
    <w:rsid w:val="003F3941"/>
    <w:rsid w:val="0040166C"/>
    <w:rsid w:val="00406575"/>
    <w:rsid w:val="00414C74"/>
    <w:rsid w:val="0042722E"/>
    <w:rsid w:val="00434932"/>
    <w:rsid w:val="0044528D"/>
    <w:rsid w:val="004A1847"/>
    <w:rsid w:val="004A305D"/>
    <w:rsid w:val="004B118F"/>
    <w:rsid w:val="004B3833"/>
    <w:rsid w:val="004F21C4"/>
    <w:rsid w:val="004F685F"/>
    <w:rsid w:val="00516104"/>
    <w:rsid w:val="005566E8"/>
    <w:rsid w:val="00574867"/>
    <w:rsid w:val="00591460"/>
    <w:rsid w:val="005B335D"/>
    <w:rsid w:val="005B3816"/>
    <w:rsid w:val="005C3777"/>
    <w:rsid w:val="005C5CDC"/>
    <w:rsid w:val="005D476C"/>
    <w:rsid w:val="006219F8"/>
    <w:rsid w:val="00665D70"/>
    <w:rsid w:val="006900D9"/>
    <w:rsid w:val="006A0E31"/>
    <w:rsid w:val="006B04C0"/>
    <w:rsid w:val="006F2C26"/>
    <w:rsid w:val="00706C16"/>
    <w:rsid w:val="00756841"/>
    <w:rsid w:val="007649AB"/>
    <w:rsid w:val="00766FE5"/>
    <w:rsid w:val="00771D0C"/>
    <w:rsid w:val="007833AC"/>
    <w:rsid w:val="00784542"/>
    <w:rsid w:val="007B0DC7"/>
    <w:rsid w:val="007B268C"/>
    <w:rsid w:val="007B7171"/>
    <w:rsid w:val="007C0C0F"/>
    <w:rsid w:val="007C3DC2"/>
    <w:rsid w:val="007E5497"/>
    <w:rsid w:val="00806F5F"/>
    <w:rsid w:val="00812083"/>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53D4"/>
    <w:rsid w:val="00A17F13"/>
    <w:rsid w:val="00A20739"/>
    <w:rsid w:val="00A33C78"/>
    <w:rsid w:val="00A64F65"/>
    <w:rsid w:val="00AB0ADB"/>
    <w:rsid w:val="00B01B1A"/>
    <w:rsid w:val="00B37D77"/>
    <w:rsid w:val="00B64CF0"/>
    <w:rsid w:val="00B66319"/>
    <w:rsid w:val="00B72CD3"/>
    <w:rsid w:val="00B72FFF"/>
    <w:rsid w:val="00BC3D36"/>
    <w:rsid w:val="00BD1416"/>
    <w:rsid w:val="00BD7F72"/>
    <w:rsid w:val="00C04FB3"/>
    <w:rsid w:val="00C15818"/>
    <w:rsid w:val="00C1699F"/>
    <w:rsid w:val="00C213C6"/>
    <w:rsid w:val="00C330EB"/>
    <w:rsid w:val="00C34329"/>
    <w:rsid w:val="00C41061"/>
    <w:rsid w:val="00C754BE"/>
    <w:rsid w:val="00C76B1C"/>
    <w:rsid w:val="00C8347C"/>
    <w:rsid w:val="00CA1DDB"/>
    <w:rsid w:val="00CB6357"/>
    <w:rsid w:val="00CC1B26"/>
    <w:rsid w:val="00D423A2"/>
    <w:rsid w:val="00D520D8"/>
    <w:rsid w:val="00D63AC2"/>
    <w:rsid w:val="00D7383B"/>
    <w:rsid w:val="00D73989"/>
    <w:rsid w:val="00D8469E"/>
    <w:rsid w:val="00D94058"/>
    <w:rsid w:val="00DA231B"/>
    <w:rsid w:val="00DC39FC"/>
    <w:rsid w:val="00DF5254"/>
    <w:rsid w:val="00E16408"/>
    <w:rsid w:val="00E20894"/>
    <w:rsid w:val="00E245AB"/>
    <w:rsid w:val="00E2764C"/>
    <w:rsid w:val="00E27F2E"/>
    <w:rsid w:val="00E50AFE"/>
    <w:rsid w:val="00E75C92"/>
    <w:rsid w:val="00E771DC"/>
    <w:rsid w:val="00E8772A"/>
    <w:rsid w:val="00E90F6B"/>
    <w:rsid w:val="00E91202"/>
    <w:rsid w:val="00E92C27"/>
    <w:rsid w:val="00EA0E3D"/>
    <w:rsid w:val="00EA79E6"/>
    <w:rsid w:val="00EC38A7"/>
    <w:rsid w:val="00ED3EB5"/>
    <w:rsid w:val="00ED7384"/>
    <w:rsid w:val="00EE184E"/>
    <w:rsid w:val="00EE1AA8"/>
    <w:rsid w:val="00F31EDC"/>
    <w:rsid w:val="00F462B3"/>
    <w:rsid w:val="00F5664F"/>
    <w:rsid w:val="00F666C4"/>
    <w:rsid w:val="00F76AFC"/>
    <w:rsid w:val="00F8415D"/>
    <w:rsid w:val="00FA47C0"/>
    <w:rsid w:val="00FB5DD1"/>
    <w:rsid w:val="00FC2B5D"/>
    <w:rsid w:val="00FF1449"/>
    <w:rsid w:val="165E9519"/>
    <w:rsid w:val="1A87591F"/>
    <w:rsid w:val="1AC091BC"/>
    <w:rsid w:val="1D744372"/>
    <w:rsid w:val="382536D9"/>
    <w:rsid w:val="44411FBD"/>
    <w:rsid w:val="450E21E6"/>
    <w:rsid w:val="5E6B0862"/>
    <w:rsid w:val="600DD4A5"/>
    <w:rsid w:val="602BBE4F"/>
    <w:rsid w:val="6DC7967E"/>
    <w:rsid w:val="6EFDAB80"/>
    <w:rsid w:val="6F1D8223"/>
    <w:rsid w:val="7012F9A5"/>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EB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D3EB5"/>
    <w:pPr>
      <w:spacing w:line="240" w:lineRule="exact"/>
    </w:pPr>
    <w:rPr>
      <w:vertAlign w:val="superscript"/>
    </w:rPr>
  </w:style>
  <w:style w:type="character" w:styleId="Textoennegrita">
    <w:name w:val="Strong"/>
    <w:basedOn w:val="Fuentedeprrafopredeter"/>
    <w:uiPriority w:val="22"/>
    <w:qFormat/>
    <w:rsid w:val="00ED3EB5"/>
    <w:rPr>
      <w:b/>
      <w:bCs/>
    </w:rPr>
  </w:style>
  <w:style w:type="character" w:styleId="nfasis">
    <w:name w:val="Emphasis"/>
    <w:basedOn w:val="Fuentedeprrafopredeter"/>
    <w:uiPriority w:val="20"/>
    <w:qFormat/>
    <w:rsid w:val="00ED3EB5"/>
    <w:rPr>
      <w:i/>
      <w:iCs/>
    </w:rPr>
  </w:style>
  <w:style w:type="paragraph" w:styleId="Textoindependiente">
    <w:name w:val="Body Text"/>
    <w:basedOn w:val="Normal"/>
    <w:link w:val="TextoindependienteCar"/>
    <w:uiPriority w:val="1"/>
    <w:unhideWhenUsed/>
    <w:qFormat/>
    <w:rsid w:val="00ED3EB5"/>
    <w:pPr>
      <w:spacing w:after="120"/>
    </w:pPr>
  </w:style>
  <w:style w:type="character" w:customStyle="1" w:styleId="TextoindependienteCar">
    <w:name w:val="Texto independiente Car"/>
    <w:basedOn w:val="Fuentedeprrafopredeter"/>
    <w:link w:val="Textoindependiente"/>
    <w:uiPriority w:val="1"/>
    <w:rsid w:val="00ED3EB5"/>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D3EB5"/>
    <w:rPr>
      <w:rFonts w:ascii="Geomanist Light" w:hAnsi="Geomanist Light"/>
      <w:lang w:val="es-ES"/>
    </w:rPr>
  </w:style>
  <w:style w:type="character" w:customStyle="1" w:styleId="NormalWebCar">
    <w:name w:val="Normal (Web) Car"/>
    <w:link w:val="NormalWeb"/>
    <w:uiPriority w:val="99"/>
    <w:rsid w:val="00ED3EB5"/>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ED3EB5"/>
  </w:style>
  <w:style w:type="character" w:customStyle="1" w:styleId="baj">
    <w:name w:val="b_aj"/>
    <w:basedOn w:val="Fuentedeprrafopredeter"/>
    <w:rsid w:val="00ED3EB5"/>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constitucion_politica_1991_pr011.html"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secretariasenado.gov.co/senado/basedoc/constitucion_politica_1991_pr006.html"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www.secretariasenado.gov.co/senado/basedoc/ley_1150_2007.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bamanrique909@gmail.com" TargetMode="External"/><Relationship Id="rId5" Type="http://schemas.openxmlformats.org/officeDocument/2006/relationships/styles" Target="styles.xml"/><Relationship Id="rId15" Type="http://schemas.openxmlformats.org/officeDocument/2006/relationships/hyperlink" Target="http://www.secretariasenado.gov.co/senado/basedoc/ley_1882_2018.html" TargetMode="External"/><Relationship Id="rId10" Type="http://schemas.openxmlformats.org/officeDocument/2006/relationships/image" Target="media/image2.tmp"/><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ley_1882_2018.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E97712D-5186-4A3D-B28D-21797E567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19</Pages>
  <Words>5590</Words>
  <Characters>30748</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2</cp:revision>
  <cp:lastPrinted>2023-01-10T21:18:00Z</cp:lastPrinted>
  <dcterms:created xsi:type="dcterms:W3CDTF">2025-07-22T16:40:00Z</dcterms:created>
  <dcterms:modified xsi:type="dcterms:W3CDTF">2025-07-22T16:40:00Z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