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5A9ED" w14:textId="77777777" w:rsidR="00575A43" w:rsidRPr="00501703" w:rsidRDefault="00575A43" w:rsidP="00575A43">
      <w:pPr>
        <w:spacing w:after="0" w:line="240" w:lineRule="auto"/>
        <w:jc w:val="both"/>
        <w:rPr>
          <w:rFonts w:ascii="Verdana" w:eastAsia="Calibri" w:hAnsi="Verdana" w:cs="Arial"/>
          <w:b/>
          <w:lang w:val="es-ES" w:eastAsia="es-ES"/>
        </w:rPr>
      </w:pPr>
      <w:r w:rsidRPr="00501703">
        <w:rPr>
          <w:rFonts w:ascii="Verdana" w:eastAsia="Calibri" w:hAnsi="Verdana" w:cs="Arial"/>
          <w:b/>
          <w:lang w:val="es-ES" w:eastAsia="es-ES"/>
        </w:rPr>
        <w:t xml:space="preserve">CONTRATACIÓN PÚBLICA – Principio de publicidad – Principio de transparencia – Uso del SECOP </w:t>
      </w:r>
    </w:p>
    <w:p w14:paraId="52B4BBE5" w14:textId="77777777" w:rsidR="00575A43" w:rsidRPr="00501703" w:rsidRDefault="00575A43" w:rsidP="00575A43">
      <w:pPr>
        <w:spacing w:after="0" w:line="240" w:lineRule="auto"/>
        <w:jc w:val="both"/>
        <w:rPr>
          <w:rFonts w:ascii="Verdana" w:eastAsia="Calibri" w:hAnsi="Verdana" w:cs="Arial"/>
          <w:b/>
          <w:bCs/>
          <w:sz w:val="20"/>
          <w:szCs w:val="20"/>
          <w:highlight w:val="yellow"/>
          <w:lang w:val="es-ES_tradnl" w:eastAsia="es-ES_tradnl"/>
        </w:rPr>
      </w:pPr>
    </w:p>
    <w:p w14:paraId="7A990F03" w14:textId="77777777" w:rsidR="00575A43" w:rsidRPr="00501703" w:rsidRDefault="00575A43" w:rsidP="00575A43">
      <w:pPr>
        <w:spacing w:after="0" w:line="240" w:lineRule="auto"/>
        <w:jc w:val="both"/>
        <w:rPr>
          <w:rFonts w:ascii="Verdana" w:eastAsia="Aptos" w:hAnsi="Verdana" w:cs="Times New Roman"/>
          <w:sz w:val="20"/>
          <w:szCs w:val="20"/>
        </w:rPr>
      </w:pPr>
      <w:r w:rsidRPr="00501703">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5CE1E996" w14:textId="77777777" w:rsidR="00575A43" w:rsidRDefault="00575A43" w:rsidP="00575A43">
      <w:pPr>
        <w:spacing w:line="240" w:lineRule="auto"/>
        <w:jc w:val="both"/>
        <w:rPr>
          <w:rFonts w:ascii="Verdana" w:eastAsia="Calibri" w:hAnsi="Verdana" w:cs="Arial"/>
          <w:b/>
          <w:color w:val="EE0000"/>
        </w:rPr>
      </w:pPr>
    </w:p>
    <w:p w14:paraId="61CB174D" w14:textId="77777777" w:rsidR="00575A43" w:rsidRPr="00B12C77" w:rsidRDefault="00575A43" w:rsidP="00575A43">
      <w:pPr>
        <w:spacing w:after="0" w:line="240" w:lineRule="auto"/>
        <w:jc w:val="both"/>
        <w:rPr>
          <w:rFonts w:ascii="Verdana" w:hAnsi="Verdana"/>
          <w:b/>
          <w:bCs/>
          <w:lang w:val="es-ES"/>
        </w:rPr>
      </w:pPr>
      <w:r w:rsidRPr="00B12C77">
        <w:rPr>
          <w:rFonts w:ascii="Verdana" w:hAnsi="Verdana"/>
          <w:b/>
          <w:bCs/>
          <w:lang w:val="es-ES"/>
        </w:rPr>
        <w:t xml:space="preserve">PRINCIPIO DE TRANSPARENCIA – Ley 1712 de 2014 – Documentos públicos </w:t>
      </w:r>
    </w:p>
    <w:p w14:paraId="4749CFD2" w14:textId="77777777" w:rsidR="00575A43" w:rsidRDefault="00575A43" w:rsidP="00575A43">
      <w:pPr>
        <w:spacing w:after="0" w:line="240" w:lineRule="auto"/>
        <w:rPr>
          <w:rFonts w:ascii="Verdana" w:hAnsi="Verdana"/>
        </w:rPr>
      </w:pPr>
    </w:p>
    <w:p w14:paraId="75B685E0" w14:textId="77777777" w:rsidR="00575A43" w:rsidRPr="000D2F8D" w:rsidRDefault="00575A43" w:rsidP="00575A43">
      <w:pPr>
        <w:spacing w:after="0" w:line="240" w:lineRule="auto"/>
        <w:jc w:val="both"/>
        <w:rPr>
          <w:rFonts w:ascii="Verdana" w:eastAsia="Times New Roman" w:hAnsi="Verdana" w:cs="Arial"/>
          <w:sz w:val="20"/>
          <w:szCs w:val="20"/>
          <w:lang w:eastAsia="es-CO"/>
        </w:rPr>
      </w:pPr>
      <w:r w:rsidRPr="000D2F8D">
        <w:rPr>
          <w:rFonts w:ascii="Verdana" w:eastAsia="Arial" w:hAnsi="Verdana" w:cs="Arial"/>
          <w:sz w:val="20"/>
          <w:szCs w:val="20"/>
          <w:lang w:val="es-ES"/>
        </w:rPr>
        <w:t>La Ley 1712 de 2014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r w:rsidRPr="000D2F8D">
        <w:rPr>
          <w:rFonts w:ascii="Verdana" w:eastAsia="Times New Roman" w:hAnsi="Verdana" w:cs="Arial"/>
          <w:sz w:val="20"/>
          <w:szCs w:val="20"/>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p>
    <w:p w14:paraId="763AD35D" w14:textId="77777777" w:rsidR="00575A43" w:rsidRDefault="00575A43" w:rsidP="00575A43">
      <w:pPr>
        <w:spacing w:after="0" w:line="240" w:lineRule="auto"/>
        <w:jc w:val="both"/>
        <w:rPr>
          <w:rFonts w:ascii="Verdana" w:eastAsia="Times New Roman" w:hAnsi="Verdana" w:cs="Arial"/>
          <w:lang w:eastAsia="es-CO"/>
        </w:rPr>
      </w:pPr>
    </w:p>
    <w:p w14:paraId="49CB93B1" w14:textId="77777777" w:rsidR="00575A43" w:rsidRPr="002F6F4A" w:rsidRDefault="00575A43" w:rsidP="00575A43">
      <w:pPr>
        <w:spacing w:after="0" w:line="240" w:lineRule="auto"/>
        <w:jc w:val="both"/>
        <w:rPr>
          <w:rFonts w:ascii="Verdana" w:hAnsi="Verdana"/>
          <w:b/>
          <w:bCs/>
        </w:rPr>
      </w:pPr>
      <w:r w:rsidRPr="002F6F4A">
        <w:rPr>
          <w:rFonts w:ascii="Verdana" w:hAnsi="Verdana"/>
          <w:b/>
          <w:bCs/>
        </w:rPr>
        <w:t>CIRCULAR ÚNICA EXTERNA – Deber de publicar oportunamente la actividad contractual en SECOP</w:t>
      </w:r>
    </w:p>
    <w:p w14:paraId="21EDBF59" w14:textId="77777777" w:rsidR="00575A43" w:rsidRDefault="00575A43" w:rsidP="00575A43">
      <w:pPr>
        <w:spacing w:after="0" w:line="240" w:lineRule="auto"/>
        <w:jc w:val="both"/>
        <w:rPr>
          <w:rFonts w:ascii="Verdana" w:hAnsi="Verdana"/>
        </w:rPr>
      </w:pPr>
    </w:p>
    <w:p w14:paraId="38D28F33" w14:textId="77777777" w:rsidR="00575A43" w:rsidRPr="000D2F8D" w:rsidRDefault="00575A43" w:rsidP="00575A43">
      <w:pPr>
        <w:spacing w:after="0" w:line="240" w:lineRule="auto"/>
        <w:jc w:val="both"/>
        <w:rPr>
          <w:rFonts w:ascii="Verdana" w:hAnsi="Verdana"/>
          <w:sz w:val="20"/>
          <w:szCs w:val="20"/>
        </w:rPr>
      </w:pPr>
      <w:r w:rsidRPr="000D2F8D">
        <w:rPr>
          <w:rFonts w:ascii="Verdana" w:hAnsi="Verdana"/>
          <w:sz w:val="20"/>
          <w:szCs w:val="20"/>
        </w:rPr>
        <w:t>La Circular Externa Única, recordó a todas las entidades del Estado el deber de publicar oportunamente su actividad contractual en el SECOP, sin distinción de su régimen jurídico, naturaleza jurídica o la pertenencia a una u otra rama del poder público. Además, la Circular Externa Única, en el numeral 1.1., establece, de manera enunciativa, que deben publicar en el SECOP: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w:t>
      </w:r>
    </w:p>
    <w:p w14:paraId="00CC7784" w14:textId="77777777" w:rsidR="00575A43" w:rsidRPr="000D2F8D" w:rsidRDefault="00575A43" w:rsidP="00575A43">
      <w:pPr>
        <w:spacing w:after="0" w:line="240" w:lineRule="auto"/>
        <w:jc w:val="both"/>
        <w:rPr>
          <w:rFonts w:ascii="Verdana" w:hAnsi="Verdana"/>
          <w:sz w:val="20"/>
          <w:szCs w:val="20"/>
        </w:rPr>
      </w:pPr>
    </w:p>
    <w:p w14:paraId="3F11AA37" w14:textId="77777777" w:rsidR="00575A43" w:rsidRPr="000D2F8D" w:rsidRDefault="00575A43" w:rsidP="00575A43">
      <w:pPr>
        <w:spacing w:after="0" w:line="240" w:lineRule="auto"/>
        <w:jc w:val="both"/>
        <w:rPr>
          <w:rFonts w:ascii="Verdana" w:hAnsi="Verdana"/>
          <w:sz w:val="20"/>
          <w:szCs w:val="20"/>
        </w:rPr>
      </w:pPr>
      <w:r w:rsidRPr="000D2F8D">
        <w:rPr>
          <w:rFonts w:ascii="Verdana" w:hAnsi="Verdana"/>
          <w:sz w:val="20"/>
          <w:szCs w:val="20"/>
        </w:rPr>
        <w:t>Así mismo, en la Circular única Externa se indicó que “Las Entidades Estatales que contratan con cargo a recursos públicos están obligadas a publicar oportunamente su actividad contractual en el SECOP, sin que sea relevante, para la exigencia de esta obligación, su régimen jurídico, naturaleza de público o privada o la pertenencia a una u otra rama del poder público. Esta obligación deberá cumplirse, inclusive, si la ejecución del contrato no implica erogación presupuestal”.</w:t>
      </w:r>
    </w:p>
    <w:p w14:paraId="23BBE0B7" w14:textId="77777777" w:rsidR="00575A43" w:rsidRDefault="00575A43" w:rsidP="00575A43">
      <w:pPr>
        <w:spacing w:after="0" w:line="240" w:lineRule="auto"/>
        <w:jc w:val="both"/>
        <w:rPr>
          <w:rFonts w:ascii="Verdana" w:eastAsia="Times New Roman" w:hAnsi="Verdana" w:cs="Arial"/>
          <w:lang w:eastAsia="es-CO"/>
        </w:rPr>
      </w:pPr>
    </w:p>
    <w:p w14:paraId="79A89E86" w14:textId="77777777" w:rsidR="00575A43" w:rsidRPr="00465D87" w:rsidRDefault="00575A43" w:rsidP="00575A43">
      <w:pPr>
        <w:spacing w:after="0" w:line="240" w:lineRule="auto"/>
        <w:contextualSpacing/>
        <w:jc w:val="both"/>
        <w:rPr>
          <w:rFonts w:ascii="Verdana" w:eastAsia="Calibri" w:hAnsi="Verdana" w:cs="Arial"/>
          <w:b/>
          <w:bCs/>
        </w:rPr>
      </w:pPr>
      <w:r w:rsidRPr="00465D87">
        <w:rPr>
          <w:rFonts w:ascii="Verdana" w:eastAsia="Calibri" w:hAnsi="Verdana" w:cs="Arial"/>
          <w:b/>
          <w:bCs/>
        </w:rPr>
        <w:t>MÍNIMA CUANTÍA – Concepto – Regulación – Requisitos</w:t>
      </w:r>
    </w:p>
    <w:p w14:paraId="54D676E9" w14:textId="77777777" w:rsidR="00575A43" w:rsidRPr="00CB4B5F" w:rsidRDefault="00575A43" w:rsidP="00575A43">
      <w:pPr>
        <w:spacing w:after="0" w:line="240" w:lineRule="auto"/>
        <w:contextualSpacing/>
        <w:jc w:val="both"/>
        <w:rPr>
          <w:rFonts w:ascii="Verdana" w:eastAsia="Calibri" w:hAnsi="Verdana" w:cs="Arial"/>
          <w:b/>
          <w:bCs/>
          <w:color w:val="EE0000"/>
        </w:rPr>
      </w:pPr>
    </w:p>
    <w:p w14:paraId="429CA8C7" w14:textId="77777777" w:rsidR="00575A43" w:rsidRPr="000D2F8D" w:rsidRDefault="00575A43" w:rsidP="00575A43">
      <w:pPr>
        <w:spacing w:after="0" w:line="240" w:lineRule="auto"/>
        <w:contextualSpacing/>
        <w:jc w:val="both"/>
        <w:rPr>
          <w:rFonts w:ascii="Verdana" w:hAnsi="Verdana"/>
          <w:sz w:val="20"/>
          <w:szCs w:val="20"/>
        </w:rPr>
      </w:pPr>
      <w:r w:rsidRPr="000D2F8D">
        <w:rPr>
          <w:rFonts w:ascii="Verdana" w:hAnsi="Verdana"/>
          <w:sz w:val="20"/>
          <w:szCs w:val="20"/>
        </w:rPr>
        <w:t xml:space="preserve">[…] 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 </w:t>
      </w:r>
    </w:p>
    <w:p w14:paraId="0F03B5DC" w14:textId="77777777" w:rsidR="00575A43" w:rsidRPr="000D2F8D" w:rsidRDefault="00575A43" w:rsidP="00575A43">
      <w:pPr>
        <w:spacing w:after="0" w:line="240" w:lineRule="auto"/>
        <w:contextualSpacing/>
        <w:jc w:val="both"/>
        <w:rPr>
          <w:rFonts w:ascii="Verdana" w:hAnsi="Verdana"/>
          <w:sz w:val="20"/>
          <w:szCs w:val="20"/>
        </w:rPr>
      </w:pPr>
    </w:p>
    <w:p w14:paraId="1C646B0D" w14:textId="77777777" w:rsidR="00575A43" w:rsidRPr="000D2F8D" w:rsidRDefault="00575A43" w:rsidP="00575A43">
      <w:pPr>
        <w:spacing w:after="0" w:line="240" w:lineRule="auto"/>
        <w:contextualSpacing/>
        <w:jc w:val="both"/>
        <w:rPr>
          <w:rFonts w:ascii="Verdana" w:hAnsi="Verdana"/>
          <w:sz w:val="20"/>
          <w:szCs w:val="20"/>
        </w:rPr>
      </w:pPr>
      <w:r w:rsidRPr="000D2F8D">
        <w:rPr>
          <w:rFonts w:ascii="Verdana" w:hAnsi="Verdana"/>
          <w:sz w:val="20"/>
          <w:szCs w:val="20"/>
        </w:rPr>
        <w:t xml:space="preserve">Dicho de otro modo, la mínima cuantía es un procedimiento de selección excepcional,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 </w:t>
      </w:r>
    </w:p>
    <w:p w14:paraId="536B990E" w14:textId="77777777" w:rsidR="00575A43" w:rsidRPr="000D2F8D" w:rsidRDefault="00575A43" w:rsidP="00575A43">
      <w:pPr>
        <w:spacing w:after="0" w:line="240" w:lineRule="auto"/>
        <w:contextualSpacing/>
        <w:jc w:val="both"/>
        <w:rPr>
          <w:rFonts w:ascii="Verdana" w:hAnsi="Verdana"/>
          <w:sz w:val="20"/>
          <w:szCs w:val="20"/>
        </w:rPr>
      </w:pPr>
    </w:p>
    <w:p w14:paraId="61DB84ED" w14:textId="77777777" w:rsidR="00575A43" w:rsidRPr="000D2F8D" w:rsidRDefault="00575A43" w:rsidP="00575A43">
      <w:pPr>
        <w:spacing w:after="0" w:line="240" w:lineRule="auto"/>
        <w:contextualSpacing/>
        <w:jc w:val="both"/>
        <w:rPr>
          <w:rFonts w:ascii="Verdana" w:hAnsi="Verdana"/>
          <w:sz w:val="20"/>
          <w:szCs w:val="20"/>
        </w:rPr>
      </w:pPr>
      <w:r w:rsidRPr="000D2F8D">
        <w:rPr>
          <w:rFonts w:ascii="Verdana" w:hAnsi="Verdana"/>
          <w:sz w:val="20"/>
          <w:szCs w:val="20"/>
        </w:rPr>
        <w:t>Cabe precisar que la disposición indicada anteriormente, esto es el artículo 94 de la Ley 1474 de 2011 –que adicionó el numeral 5º al artículo 2 de la Ley 1150 de 2007– ha sido modificada en distintas ocasiones, siendo la norma vigente que fundamenta la modalidad de mínima cuantía actualmente el artículo 30 de la Ley 2069 de 2020, como se procederá a explicar.</w:t>
      </w:r>
    </w:p>
    <w:p w14:paraId="3D8765F1" w14:textId="77777777" w:rsidR="00575A43" w:rsidRDefault="00575A43" w:rsidP="00575A43">
      <w:pPr>
        <w:spacing w:after="0" w:line="240" w:lineRule="auto"/>
        <w:contextualSpacing/>
        <w:jc w:val="both"/>
        <w:rPr>
          <w:rFonts w:ascii="Verdana" w:eastAsia="Calibri" w:hAnsi="Verdana" w:cs="Arial"/>
          <w:b/>
          <w:bCs/>
          <w:color w:val="EE0000"/>
          <w:lang w:eastAsia="es-ES"/>
        </w:rPr>
      </w:pPr>
    </w:p>
    <w:p w14:paraId="0E5EB355" w14:textId="77777777" w:rsidR="00575A43" w:rsidRDefault="00575A43" w:rsidP="00575A43">
      <w:pPr>
        <w:spacing w:after="0" w:line="240" w:lineRule="auto"/>
        <w:contextualSpacing/>
        <w:jc w:val="both"/>
        <w:rPr>
          <w:rFonts w:ascii="Verdana" w:eastAsia="Calibri" w:hAnsi="Verdana" w:cs="Arial"/>
          <w:b/>
          <w:bCs/>
          <w:color w:val="EE0000"/>
          <w:lang w:eastAsia="es-ES"/>
        </w:rPr>
      </w:pPr>
    </w:p>
    <w:p w14:paraId="6212831E" w14:textId="77777777" w:rsidR="00575A43" w:rsidRDefault="00575A43" w:rsidP="00575A43">
      <w:pPr>
        <w:spacing w:after="0" w:line="240" w:lineRule="auto"/>
        <w:contextualSpacing/>
        <w:jc w:val="both"/>
        <w:rPr>
          <w:rFonts w:ascii="Verdana" w:eastAsia="Calibri" w:hAnsi="Verdana" w:cs="Arial"/>
          <w:b/>
          <w:bCs/>
          <w:color w:val="EE0000"/>
          <w:lang w:eastAsia="es-ES"/>
        </w:rPr>
      </w:pPr>
    </w:p>
    <w:p w14:paraId="7B3CFB6C" w14:textId="77777777" w:rsidR="00575A43" w:rsidRDefault="00575A43" w:rsidP="00575A43">
      <w:pPr>
        <w:spacing w:after="0" w:line="240" w:lineRule="auto"/>
        <w:contextualSpacing/>
        <w:jc w:val="both"/>
        <w:rPr>
          <w:rFonts w:ascii="Verdana" w:eastAsia="Calibri" w:hAnsi="Verdana" w:cs="Arial"/>
          <w:b/>
          <w:bCs/>
          <w:color w:val="EE0000"/>
          <w:lang w:eastAsia="es-ES"/>
        </w:rPr>
      </w:pPr>
    </w:p>
    <w:p w14:paraId="6D866328" w14:textId="77777777" w:rsidR="00575A43" w:rsidRDefault="00575A43" w:rsidP="00575A43">
      <w:pPr>
        <w:spacing w:after="0" w:line="240" w:lineRule="auto"/>
        <w:contextualSpacing/>
        <w:jc w:val="both"/>
        <w:rPr>
          <w:rFonts w:ascii="Verdana" w:eastAsia="Calibri" w:hAnsi="Verdana" w:cs="Arial"/>
          <w:b/>
          <w:bCs/>
          <w:color w:val="EE0000"/>
          <w:lang w:eastAsia="es-ES"/>
        </w:rPr>
      </w:pPr>
    </w:p>
    <w:p w14:paraId="5796D85C" w14:textId="77777777" w:rsidR="00575A43" w:rsidRPr="00384356" w:rsidRDefault="00575A43" w:rsidP="00575A43">
      <w:pPr>
        <w:spacing w:after="0" w:line="240" w:lineRule="auto"/>
        <w:contextualSpacing/>
        <w:jc w:val="both"/>
        <w:rPr>
          <w:rFonts w:ascii="Verdana" w:eastAsia="Calibri" w:hAnsi="Verdana" w:cs="Arial"/>
          <w:b/>
          <w:bCs/>
          <w:color w:val="EE0000"/>
          <w:sz w:val="20"/>
          <w:szCs w:val="20"/>
          <w:lang w:eastAsia="es-ES"/>
        </w:rPr>
      </w:pPr>
    </w:p>
    <w:p w14:paraId="50F731BD" w14:textId="77777777" w:rsidR="00575A43" w:rsidRPr="00384356" w:rsidRDefault="00575A43" w:rsidP="00575A43">
      <w:pPr>
        <w:spacing w:after="0" w:line="240" w:lineRule="auto"/>
        <w:contextualSpacing/>
        <w:jc w:val="both"/>
        <w:rPr>
          <w:rFonts w:ascii="Verdana" w:eastAsia="Calibri" w:hAnsi="Verdana" w:cs="Arial"/>
          <w:b/>
          <w:bCs/>
          <w:color w:val="EE0000"/>
          <w:sz w:val="20"/>
          <w:szCs w:val="20"/>
          <w:lang w:eastAsia="es-ES"/>
        </w:rPr>
      </w:pPr>
    </w:p>
    <w:p w14:paraId="363C0437" w14:textId="77777777" w:rsidR="00575A43" w:rsidRPr="00384356" w:rsidRDefault="00575A43" w:rsidP="00575A43">
      <w:pPr>
        <w:spacing w:after="0" w:line="240" w:lineRule="auto"/>
        <w:contextualSpacing/>
        <w:jc w:val="both"/>
        <w:rPr>
          <w:rFonts w:ascii="Verdana" w:eastAsia="Calibri" w:hAnsi="Verdana" w:cs="Arial"/>
          <w:b/>
          <w:bCs/>
          <w:color w:val="EE0000"/>
          <w:sz w:val="20"/>
          <w:szCs w:val="20"/>
          <w:lang w:eastAsia="es-ES"/>
        </w:rPr>
      </w:pPr>
    </w:p>
    <w:p w14:paraId="377A82AE" w14:textId="77777777" w:rsidR="00575A43" w:rsidRPr="00384356" w:rsidRDefault="00575A43" w:rsidP="00575A43">
      <w:pPr>
        <w:spacing w:after="0" w:line="240" w:lineRule="auto"/>
        <w:contextualSpacing/>
        <w:jc w:val="both"/>
        <w:rPr>
          <w:rFonts w:ascii="Verdana" w:eastAsia="Calibri" w:hAnsi="Verdana" w:cs="Arial"/>
          <w:b/>
          <w:bCs/>
          <w:color w:val="EE0000"/>
          <w:lang w:eastAsia="es-ES"/>
        </w:rPr>
      </w:pPr>
    </w:p>
    <w:p w14:paraId="71F418BC" w14:textId="77777777" w:rsidR="00575A43" w:rsidRPr="00384356" w:rsidRDefault="00575A43" w:rsidP="00575A43">
      <w:pPr>
        <w:spacing w:after="0" w:line="240" w:lineRule="auto"/>
        <w:contextualSpacing/>
        <w:jc w:val="both"/>
        <w:rPr>
          <w:rFonts w:ascii="Verdana" w:eastAsia="Calibri" w:hAnsi="Verdana" w:cs="Arial"/>
          <w:b/>
          <w:bCs/>
          <w:color w:val="EE0000"/>
          <w:lang w:eastAsia="es-ES"/>
        </w:rPr>
      </w:pPr>
    </w:p>
    <w:p w14:paraId="3C65E819" w14:textId="77777777" w:rsidR="00575A43" w:rsidRPr="00384356" w:rsidRDefault="00575A43" w:rsidP="00575A43">
      <w:pPr>
        <w:spacing w:after="0" w:line="240" w:lineRule="auto"/>
        <w:contextualSpacing/>
        <w:jc w:val="both"/>
        <w:rPr>
          <w:rFonts w:ascii="Verdana" w:eastAsia="Calibri" w:hAnsi="Verdana" w:cs="Arial"/>
          <w:b/>
          <w:bCs/>
          <w:color w:val="EE0000"/>
          <w:lang w:eastAsia="es-ES"/>
        </w:rPr>
      </w:pPr>
    </w:p>
    <w:p w14:paraId="7FE80D1C" w14:textId="77777777" w:rsidR="00575A43" w:rsidRPr="003C692C" w:rsidRDefault="00575A43" w:rsidP="00575A43">
      <w:pPr>
        <w:spacing w:after="0" w:line="240" w:lineRule="auto"/>
        <w:jc w:val="both"/>
        <w:rPr>
          <w:rFonts w:ascii="Verdana" w:eastAsia="Times New Roman" w:hAnsi="Verdana" w:cs="Arial"/>
          <w:noProof/>
          <w:lang w:val="es-ES_tradnl" w:eastAsia="es-ES_tradnl"/>
        </w:rPr>
      </w:pPr>
    </w:p>
    <w:p w14:paraId="34FADCF6" w14:textId="77777777" w:rsidR="007A4265" w:rsidRDefault="007A4265" w:rsidP="00575A43">
      <w:pPr>
        <w:spacing w:after="0" w:line="240" w:lineRule="auto"/>
        <w:jc w:val="both"/>
        <w:rPr>
          <w:rFonts w:ascii="Verdana" w:eastAsia="Times New Roman" w:hAnsi="Verdana" w:cs="Arial"/>
          <w:noProof/>
          <w:lang w:val="es-ES_tradnl" w:eastAsia="es-ES_tradnl"/>
        </w:rPr>
      </w:pPr>
    </w:p>
    <w:p w14:paraId="4A80CA2A" w14:textId="77777777" w:rsidR="007A4265" w:rsidRDefault="007A4265" w:rsidP="00575A43">
      <w:pPr>
        <w:spacing w:after="0" w:line="240" w:lineRule="auto"/>
        <w:jc w:val="both"/>
        <w:rPr>
          <w:rFonts w:ascii="Verdana" w:eastAsia="Times New Roman" w:hAnsi="Verdana" w:cs="Arial"/>
          <w:noProof/>
          <w:lang w:val="es-ES_tradnl" w:eastAsia="es-ES_tradnl"/>
        </w:rPr>
      </w:pPr>
    </w:p>
    <w:p w14:paraId="1316F802" w14:textId="77777777" w:rsidR="007A4265" w:rsidRDefault="007A4265" w:rsidP="00575A43">
      <w:pPr>
        <w:spacing w:after="0" w:line="240" w:lineRule="auto"/>
        <w:jc w:val="both"/>
        <w:rPr>
          <w:rFonts w:ascii="Verdana" w:eastAsia="Times New Roman" w:hAnsi="Verdana" w:cs="Arial"/>
          <w:noProof/>
          <w:lang w:val="es-ES_tradnl" w:eastAsia="es-ES_tradnl"/>
        </w:rPr>
      </w:pPr>
    </w:p>
    <w:p w14:paraId="56337CF8" w14:textId="77777777" w:rsidR="007A4265" w:rsidRDefault="007A4265" w:rsidP="00575A43">
      <w:pPr>
        <w:spacing w:after="0" w:line="240" w:lineRule="auto"/>
        <w:jc w:val="both"/>
        <w:rPr>
          <w:rFonts w:ascii="Verdana" w:eastAsia="Times New Roman" w:hAnsi="Verdana" w:cs="Arial"/>
          <w:noProof/>
          <w:lang w:val="es-ES_tradnl" w:eastAsia="es-ES_tradnl"/>
        </w:rPr>
      </w:pPr>
    </w:p>
    <w:p w14:paraId="1D9DD74F" w14:textId="77777777" w:rsidR="007A4265" w:rsidRDefault="007A4265" w:rsidP="00575A43">
      <w:pPr>
        <w:spacing w:after="0" w:line="240" w:lineRule="auto"/>
        <w:jc w:val="both"/>
        <w:rPr>
          <w:rFonts w:ascii="Verdana" w:eastAsia="Times New Roman" w:hAnsi="Verdana" w:cs="Arial"/>
          <w:noProof/>
          <w:lang w:val="es-ES_tradnl" w:eastAsia="es-ES_tradnl"/>
        </w:rPr>
      </w:pPr>
    </w:p>
    <w:p w14:paraId="4BF6E06E" w14:textId="77777777" w:rsidR="007A4265" w:rsidRDefault="007A4265" w:rsidP="00575A43">
      <w:pPr>
        <w:spacing w:after="0" w:line="240" w:lineRule="auto"/>
        <w:jc w:val="both"/>
        <w:rPr>
          <w:rFonts w:ascii="Verdana" w:eastAsia="Times New Roman" w:hAnsi="Verdana" w:cs="Arial"/>
          <w:noProof/>
          <w:lang w:val="es-ES_tradnl" w:eastAsia="es-ES_tradnl"/>
        </w:rPr>
      </w:pPr>
    </w:p>
    <w:p w14:paraId="572E9093" w14:textId="77777777" w:rsidR="007A4265" w:rsidRDefault="007A4265" w:rsidP="00575A43">
      <w:pPr>
        <w:spacing w:after="0" w:line="240" w:lineRule="auto"/>
        <w:jc w:val="both"/>
        <w:rPr>
          <w:rFonts w:ascii="Verdana" w:eastAsia="Times New Roman" w:hAnsi="Verdana" w:cs="Arial"/>
          <w:noProof/>
          <w:lang w:val="es-ES_tradnl" w:eastAsia="es-ES_tradnl"/>
        </w:rPr>
      </w:pPr>
    </w:p>
    <w:p w14:paraId="6AE6C816" w14:textId="77777777" w:rsidR="007A4265" w:rsidRDefault="007A4265" w:rsidP="00575A43">
      <w:pPr>
        <w:spacing w:after="0" w:line="240" w:lineRule="auto"/>
        <w:jc w:val="both"/>
        <w:rPr>
          <w:rFonts w:ascii="Verdana" w:eastAsia="Times New Roman" w:hAnsi="Verdana" w:cs="Arial"/>
          <w:noProof/>
          <w:lang w:val="es-ES_tradnl" w:eastAsia="es-ES_tradnl"/>
        </w:rPr>
      </w:pPr>
    </w:p>
    <w:p w14:paraId="044BE263" w14:textId="12B5E363" w:rsidR="00575A43" w:rsidRPr="003C692C" w:rsidRDefault="007A4265" w:rsidP="00575A43">
      <w:pPr>
        <w:spacing w:after="0" w:line="240" w:lineRule="auto"/>
        <w:jc w:val="both"/>
        <w:rPr>
          <w:rFonts w:ascii="Verdana" w:eastAsia="Times New Roman" w:hAnsi="Verdana" w:cs="Arial"/>
          <w:noProof/>
          <w:lang w:val="es-ES_tradnl" w:eastAsia="es-ES_tradnl"/>
        </w:rPr>
      </w:pPr>
      <w:r w:rsidRPr="005F7942">
        <w:rPr>
          <w:rFonts w:ascii="Verdana" w:eastAsia="Calibri" w:hAnsi="Verdana" w:cs="Arial"/>
          <w:noProof/>
          <w:lang w:val="es-ES" w:eastAsia="es-ES_tradnl"/>
        </w:rPr>
        <w:lastRenderedPageBreak/>
        <w:drawing>
          <wp:anchor distT="0" distB="0" distL="114300" distR="114300" simplePos="0" relativeHeight="251657216" behindDoc="1" locked="0" layoutInCell="1" allowOverlap="1" wp14:anchorId="0B491408" wp14:editId="6D0153DC">
            <wp:simplePos x="0" y="0"/>
            <wp:positionH relativeFrom="column">
              <wp:posOffset>3225165</wp:posOffset>
            </wp:positionH>
            <wp:positionV relativeFrom="paragraph">
              <wp:posOffset>0</wp:posOffset>
            </wp:positionV>
            <wp:extent cx="2588895" cy="1009650"/>
            <wp:effectExtent l="0" t="0" r="1905" b="0"/>
            <wp:wrapSquare wrapText="bothSides"/>
            <wp:docPr id="26468273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682733"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588895" cy="1009650"/>
                    </a:xfrm>
                    <a:prstGeom prst="rect">
                      <a:avLst/>
                    </a:prstGeom>
                  </pic:spPr>
                </pic:pic>
              </a:graphicData>
            </a:graphic>
            <wp14:sizeRelH relativeFrom="margin">
              <wp14:pctWidth>0</wp14:pctWidth>
            </wp14:sizeRelH>
            <wp14:sizeRelV relativeFrom="margin">
              <wp14:pctHeight>0</wp14:pctHeight>
            </wp14:sizeRelV>
          </wp:anchor>
        </w:drawing>
      </w:r>
      <w:r w:rsidR="00575A43" w:rsidRPr="003C692C">
        <w:rPr>
          <w:rFonts w:ascii="Verdana" w:eastAsia="Times New Roman" w:hAnsi="Verdana" w:cs="Arial"/>
          <w:noProof/>
          <w:lang w:val="es-ES_tradnl" w:eastAsia="es-ES_tradnl"/>
        </w:rPr>
        <w:t xml:space="preserve">Bogotá D.C., </w:t>
      </w:r>
      <w:r w:rsidR="00685677">
        <w:rPr>
          <w:rFonts w:ascii="Verdana" w:eastAsia="Times New Roman" w:hAnsi="Verdana" w:cs="Arial"/>
          <w:noProof/>
          <w:lang w:val="es-ES_tradnl" w:eastAsia="es-ES_tradnl"/>
        </w:rPr>
        <w:t>14</w:t>
      </w:r>
      <w:r w:rsidR="00575A43" w:rsidRPr="003C692C">
        <w:rPr>
          <w:rFonts w:ascii="Verdana" w:eastAsia="Times New Roman" w:hAnsi="Verdana" w:cs="Arial"/>
          <w:noProof/>
          <w:lang w:val="es-ES_tradnl" w:eastAsia="es-ES_tradnl"/>
        </w:rPr>
        <w:t xml:space="preserve"> de </w:t>
      </w:r>
      <w:r w:rsidR="00685677">
        <w:rPr>
          <w:rFonts w:ascii="Verdana" w:eastAsia="Times New Roman" w:hAnsi="Verdana" w:cs="Arial"/>
          <w:noProof/>
          <w:lang w:val="es-ES_tradnl" w:eastAsia="es-ES_tradnl"/>
        </w:rPr>
        <w:t>Julio</w:t>
      </w:r>
      <w:r w:rsidR="00575A43" w:rsidRPr="003C692C">
        <w:rPr>
          <w:rFonts w:ascii="Verdana" w:eastAsia="Times New Roman" w:hAnsi="Verdana" w:cs="Arial"/>
          <w:noProof/>
          <w:lang w:val="es-ES_tradnl" w:eastAsia="es-ES_tradnl"/>
        </w:rPr>
        <w:t xml:space="preserve"> de </w:t>
      </w:r>
      <w:r w:rsidR="00685677">
        <w:rPr>
          <w:rFonts w:ascii="Verdana" w:eastAsia="Times New Roman" w:hAnsi="Verdana" w:cs="Arial"/>
          <w:noProof/>
          <w:lang w:val="es-ES_tradnl" w:eastAsia="es-ES_tradnl"/>
        </w:rPr>
        <w:t>2025</w:t>
      </w:r>
    </w:p>
    <w:p w14:paraId="6E38AEAD" w14:textId="3E95C511" w:rsidR="00575A43" w:rsidRPr="00384356" w:rsidRDefault="00575A43" w:rsidP="00575A43">
      <w:pPr>
        <w:spacing w:after="0" w:line="240" w:lineRule="auto"/>
        <w:jc w:val="both"/>
        <w:rPr>
          <w:rFonts w:ascii="Verdana" w:eastAsia="Times New Roman" w:hAnsi="Verdana" w:cs="Arial"/>
          <w:noProof/>
          <w:color w:val="EE0000"/>
          <w:lang w:val="es-ES_tradnl" w:eastAsia="es-ES_tradnl"/>
        </w:rPr>
      </w:pPr>
    </w:p>
    <w:p w14:paraId="0F922454" w14:textId="1B34506C" w:rsidR="00575A43" w:rsidRPr="000D0D0A" w:rsidRDefault="00575A43" w:rsidP="00575A43">
      <w:pPr>
        <w:spacing w:after="0" w:line="240" w:lineRule="auto"/>
        <w:jc w:val="both"/>
        <w:rPr>
          <w:rFonts w:ascii="Verdana" w:eastAsia="Calibri" w:hAnsi="Verdana" w:cs="Arial"/>
          <w:lang w:val="es-ES" w:eastAsia="es-ES_tradnl"/>
        </w:rPr>
      </w:pPr>
      <w:r w:rsidRPr="000D0D0A">
        <w:rPr>
          <w:rFonts w:ascii="Verdana" w:eastAsia="Calibri" w:hAnsi="Verdana" w:cs="Arial"/>
          <w:lang w:val="es-ES" w:eastAsia="es-ES_tradnl"/>
        </w:rPr>
        <w:t>Señor</w:t>
      </w:r>
      <w:r w:rsidR="005F7942">
        <w:rPr>
          <w:rFonts w:ascii="Verdana" w:eastAsia="Calibri" w:hAnsi="Verdana" w:cs="Arial"/>
          <w:lang w:val="es-ES" w:eastAsia="es-ES_tradnl"/>
        </w:rPr>
        <w:t xml:space="preserve">   </w:t>
      </w:r>
    </w:p>
    <w:p w14:paraId="74885931" w14:textId="4B57A84C" w:rsidR="00575A43" w:rsidRPr="000D0D0A" w:rsidRDefault="00575A43" w:rsidP="00575A43">
      <w:pPr>
        <w:spacing w:after="0" w:line="240" w:lineRule="auto"/>
        <w:rPr>
          <w:rFonts w:ascii="Verdana" w:eastAsia="Calibri" w:hAnsi="Verdana" w:cs="Arial"/>
          <w:b/>
          <w:bCs/>
          <w:lang w:val="es-ES" w:eastAsia="es-ES_tradnl"/>
        </w:rPr>
      </w:pPr>
      <w:r w:rsidRPr="000D0D0A">
        <w:rPr>
          <w:rFonts w:ascii="Verdana" w:eastAsia="Calibri" w:hAnsi="Verdana" w:cs="Arial"/>
          <w:b/>
          <w:bCs/>
          <w:lang w:val="es-ES" w:eastAsia="es-ES_tradnl"/>
        </w:rPr>
        <w:t>Jorge Iván Atuesta Cortés</w:t>
      </w:r>
    </w:p>
    <w:p w14:paraId="2DD2B339" w14:textId="77777777" w:rsidR="00575A43" w:rsidRPr="00C329A9" w:rsidRDefault="00575A43" w:rsidP="00575A43">
      <w:pPr>
        <w:spacing w:after="0" w:line="240" w:lineRule="auto"/>
        <w:rPr>
          <w:rFonts w:ascii="Verdana" w:hAnsi="Verdana"/>
          <w:color w:val="EE0000"/>
        </w:rPr>
      </w:pPr>
      <w:hyperlink r:id="rId12" w:history="1">
        <w:r w:rsidRPr="00C329A9">
          <w:rPr>
            <w:rStyle w:val="Hipervnculo"/>
            <w:rFonts w:ascii="Verdana" w:hAnsi="Verdana"/>
          </w:rPr>
          <w:t>personeria@puertoparra-santander.gov.co</w:t>
        </w:r>
      </w:hyperlink>
    </w:p>
    <w:p w14:paraId="07326674" w14:textId="77777777" w:rsidR="00575A43" w:rsidRPr="00C329A9" w:rsidRDefault="00575A43" w:rsidP="00575A43">
      <w:pPr>
        <w:spacing w:after="0" w:line="240" w:lineRule="auto"/>
        <w:rPr>
          <w:rFonts w:ascii="Verdana" w:eastAsia="Calibri" w:hAnsi="Verdana" w:cs="Arial"/>
          <w:lang w:val="es-ES_tradnl" w:eastAsia="es-ES_tradnl"/>
        </w:rPr>
      </w:pPr>
      <w:r w:rsidRPr="00C329A9">
        <w:rPr>
          <w:rFonts w:ascii="Verdana" w:eastAsia="Calibri" w:hAnsi="Verdana" w:cs="Arial"/>
          <w:bCs/>
          <w:lang w:val="es-ES_tradnl" w:eastAsia="es-ES_tradnl"/>
        </w:rPr>
        <w:t>Ciudad</w:t>
      </w:r>
    </w:p>
    <w:p w14:paraId="33913454" w14:textId="77777777" w:rsidR="00575A43" w:rsidRPr="00384356" w:rsidRDefault="00575A43" w:rsidP="00575A43">
      <w:pPr>
        <w:spacing w:after="0" w:line="240" w:lineRule="auto"/>
        <w:rPr>
          <w:rFonts w:ascii="Verdana" w:eastAsia="Calibri" w:hAnsi="Verdana" w:cs="Arial"/>
          <w:color w:val="EE0000"/>
          <w:lang w:val="es-ES_tradnl" w:eastAsia="es-ES_tradnl"/>
        </w:rPr>
      </w:pPr>
    </w:p>
    <w:p w14:paraId="6491393B" w14:textId="77777777" w:rsidR="00575A43" w:rsidRPr="00384356" w:rsidRDefault="00575A43" w:rsidP="00575A43">
      <w:pPr>
        <w:spacing w:after="0" w:line="240" w:lineRule="auto"/>
        <w:rPr>
          <w:rFonts w:ascii="Verdana" w:eastAsia="Calibri" w:hAnsi="Verdana" w:cs="Arial"/>
          <w:color w:val="EE0000"/>
          <w:lang w:val="es-ES_tradnl" w:eastAsia="es-ES_tradnl"/>
        </w:rPr>
      </w:pPr>
    </w:p>
    <w:p w14:paraId="324D678C" w14:textId="77777777" w:rsidR="00575A43" w:rsidRPr="0033176A" w:rsidRDefault="00575A43" w:rsidP="00575A43">
      <w:pPr>
        <w:spacing w:after="0" w:line="240" w:lineRule="auto"/>
        <w:ind w:left="2694"/>
        <w:rPr>
          <w:rFonts w:ascii="Verdana" w:eastAsia="Calibri" w:hAnsi="Verdana" w:cs="Arial"/>
          <w:b/>
          <w:bCs/>
          <w:lang w:val="es-ES" w:eastAsia="es-ES_tradnl"/>
        </w:rPr>
      </w:pPr>
      <w:r w:rsidRPr="0033176A">
        <w:rPr>
          <w:rFonts w:ascii="Verdana" w:eastAsia="Calibri" w:hAnsi="Verdana" w:cs="Arial"/>
          <w:b/>
          <w:bCs/>
          <w:lang w:val="es-ES" w:eastAsia="es-ES_tradnl"/>
        </w:rPr>
        <w:t>Concepto C-707 de 2025</w:t>
      </w:r>
    </w:p>
    <w:p w14:paraId="5E8A3AE7" w14:textId="77777777" w:rsidR="00575A43" w:rsidRPr="00384356" w:rsidRDefault="00575A43" w:rsidP="00575A43">
      <w:pPr>
        <w:spacing w:after="0" w:line="240" w:lineRule="auto"/>
        <w:jc w:val="both"/>
        <w:rPr>
          <w:rFonts w:ascii="Verdana" w:eastAsia="Calibri" w:hAnsi="Verdana" w:cs="Arial"/>
          <w:color w:val="EE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575A43" w:rsidRPr="00384356" w14:paraId="42194532" w14:textId="77777777" w:rsidTr="00DC17CF">
        <w:tc>
          <w:tcPr>
            <w:tcW w:w="2694" w:type="dxa"/>
          </w:tcPr>
          <w:p w14:paraId="78028FF9" w14:textId="77777777" w:rsidR="00575A43" w:rsidRPr="00384356" w:rsidRDefault="00575A43" w:rsidP="00DC17CF">
            <w:pPr>
              <w:rPr>
                <w:rFonts w:ascii="Verdana" w:eastAsia="Calibri" w:hAnsi="Verdana" w:cs="Arial"/>
                <w:color w:val="EE0000"/>
                <w:lang w:val="es-ES_tradnl" w:eastAsia="es-ES_tradnl"/>
              </w:rPr>
            </w:pPr>
            <w:r w:rsidRPr="006A7763">
              <w:rPr>
                <w:rFonts w:ascii="Verdana" w:eastAsia="Calibri" w:hAnsi="Verdana" w:cs="Arial"/>
                <w:b/>
                <w:lang w:val="es-ES_tradnl" w:eastAsia="es-ES_tradnl"/>
              </w:rPr>
              <w:t>Temas:</w:t>
            </w:r>
          </w:p>
        </w:tc>
        <w:tc>
          <w:tcPr>
            <w:tcW w:w="6095" w:type="dxa"/>
          </w:tcPr>
          <w:p w14:paraId="155A3E6B" w14:textId="77777777" w:rsidR="00575A43" w:rsidRPr="00C75808" w:rsidRDefault="00575A43" w:rsidP="00DC17CF">
            <w:pPr>
              <w:contextualSpacing/>
              <w:jc w:val="both"/>
              <w:rPr>
                <w:rFonts w:ascii="Verdana" w:eastAsia="Calibri" w:hAnsi="Verdana" w:cs="Arial"/>
                <w:bCs/>
                <w:color w:val="EE0000"/>
                <w:lang w:val="es-ES_tradnl" w:eastAsia="es-ES"/>
              </w:rPr>
            </w:pPr>
            <w:r w:rsidRPr="00E25274">
              <w:rPr>
                <w:rFonts w:ascii="Verdana" w:eastAsia="Calibri" w:hAnsi="Verdana" w:cs="Arial"/>
                <w:bCs/>
                <w:lang w:val="es-ES_tradnl"/>
              </w:rPr>
              <w:t xml:space="preserve">CONTRATACIÓN PÚBLICA – Principio de publicidad – Principio de transparencia – Uso del SECOP </w:t>
            </w:r>
            <w:r w:rsidRPr="00E25274">
              <w:rPr>
                <w:rFonts w:ascii="Verdana" w:eastAsia="Times New Roman" w:hAnsi="Verdana" w:cs="Arial"/>
                <w:bCs/>
                <w:lang w:eastAsia="es-ES_tradnl"/>
              </w:rPr>
              <w:t xml:space="preserve">/ </w:t>
            </w:r>
            <w:r w:rsidRPr="00E25274">
              <w:rPr>
                <w:rFonts w:ascii="Verdana" w:eastAsia="Calibri" w:hAnsi="Verdana" w:cs="Arial"/>
                <w:bCs/>
                <w:lang w:val="es-ES_tradnl"/>
              </w:rPr>
              <w:t xml:space="preserve">PRINCIPIO DE TRANSPARENCIA – Ley 1712 de 2014 – Documentos públicos </w:t>
            </w:r>
            <w:r>
              <w:rPr>
                <w:rFonts w:ascii="Verdana" w:eastAsia="Calibri" w:hAnsi="Verdana" w:cs="Arial"/>
                <w:bCs/>
                <w:lang w:val="es-ES_tradnl"/>
              </w:rPr>
              <w:t xml:space="preserve">/ </w:t>
            </w:r>
            <w:r w:rsidRPr="00C75808">
              <w:rPr>
                <w:rFonts w:ascii="Verdana" w:eastAsia="Calibri" w:hAnsi="Verdana" w:cs="Arial"/>
                <w:bCs/>
                <w:lang w:val="es-ES_tradnl"/>
              </w:rPr>
              <w:t>CIRCULAR ÚNICA EXTERNA – Deber de publicar oportunamente la actividad contractual en SECOP</w:t>
            </w:r>
            <w:r>
              <w:rPr>
                <w:rFonts w:ascii="Verdana" w:eastAsia="Calibri" w:hAnsi="Verdana" w:cs="Arial"/>
                <w:bCs/>
                <w:lang w:val="es-ES_tradnl"/>
              </w:rPr>
              <w:t xml:space="preserve"> / </w:t>
            </w:r>
            <w:r w:rsidRPr="00130D9C">
              <w:rPr>
                <w:rFonts w:ascii="Verdana" w:eastAsia="Calibri" w:hAnsi="Verdana" w:cs="Arial"/>
                <w:bCs/>
                <w:lang w:val="es-ES_tradnl"/>
              </w:rPr>
              <w:t>MÍNIMA CUANTÍA – Concepto – Regulación – Requisitos</w:t>
            </w:r>
          </w:p>
        </w:tc>
      </w:tr>
      <w:tr w:rsidR="00575A43" w:rsidRPr="00384356" w14:paraId="352FF70B" w14:textId="77777777" w:rsidTr="00DC17CF">
        <w:tc>
          <w:tcPr>
            <w:tcW w:w="2694" w:type="dxa"/>
          </w:tcPr>
          <w:p w14:paraId="5E805D17" w14:textId="77777777" w:rsidR="00575A43" w:rsidRPr="00C329A9" w:rsidRDefault="00575A43" w:rsidP="00DC17CF">
            <w:pPr>
              <w:rPr>
                <w:rFonts w:ascii="Verdana" w:eastAsia="Calibri" w:hAnsi="Verdana" w:cs="Arial"/>
                <w:b/>
                <w:lang w:val="es-ES" w:eastAsia="es-ES_tradnl"/>
              </w:rPr>
            </w:pPr>
            <w:r w:rsidRPr="00C329A9">
              <w:rPr>
                <w:rFonts w:ascii="Verdana" w:eastAsia="Calibri" w:hAnsi="Verdana" w:cs="Arial"/>
                <w:b/>
                <w:lang w:val="es-ES" w:eastAsia="es-ES_tradnl"/>
              </w:rPr>
              <w:t>Radicación:</w:t>
            </w:r>
          </w:p>
        </w:tc>
        <w:tc>
          <w:tcPr>
            <w:tcW w:w="6095" w:type="dxa"/>
          </w:tcPr>
          <w:p w14:paraId="7D801198" w14:textId="77777777" w:rsidR="00575A43" w:rsidRPr="00C329A9" w:rsidRDefault="00575A43" w:rsidP="00DC17CF">
            <w:pPr>
              <w:jc w:val="both"/>
              <w:rPr>
                <w:rFonts w:ascii="Verdana" w:eastAsia="Calibri" w:hAnsi="Verdana" w:cs="Arial"/>
                <w:lang w:val="es-ES" w:eastAsia="es-ES_tradnl"/>
              </w:rPr>
            </w:pPr>
            <w:r w:rsidRPr="00C329A9">
              <w:rPr>
                <w:rFonts w:ascii="Verdana" w:eastAsia="Calibri" w:hAnsi="Verdana" w:cs="Arial"/>
                <w:lang w:val="es-ES" w:eastAsia="es-ES_tradnl"/>
              </w:rPr>
              <w:t>Respuesta a consulta radicado No.</w:t>
            </w:r>
            <w:r>
              <w:rPr>
                <w:rFonts w:ascii="Verdana" w:eastAsia="Calibri" w:hAnsi="Verdana" w:cs="Arial"/>
                <w:lang w:val="es-ES" w:eastAsia="es-ES_tradnl"/>
              </w:rPr>
              <w:t xml:space="preserve"> </w:t>
            </w:r>
            <w:r w:rsidRPr="006F4196">
              <w:rPr>
                <w:rFonts w:ascii="Verdana" w:eastAsia="Times New Roman" w:hAnsi="Verdana" w:cs="Arial"/>
                <w:lang w:eastAsia="es-ES_tradnl"/>
              </w:rPr>
              <w:t>1-2025-06-04-005429</w:t>
            </w:r>
          </w:p>
        </w:tc>
      </w:tr>
    </w:tbl>
    <w:p w14:paraId="0C254088" w14:textId="77777777" w:rsidR="00575A43" w:rsidRPr="00384356" w:rsidRDefault="00575A43" w:rsidP="00575A43">
      <w:pPr>
        <w:spacing w:after="0" w:line="240" w:lineRule="auto"/>
        <w:jc w:val="both"/>
        <w:rPr>
          <w:rFonts w:ascii="Verdana" w:eastAsia="Calibri" w:hAnsi="Verdana" w:cs="Arial"/>
          <w:color w:val="EE0000"/>
          <w:lang w:val="es-ES_tradnl" w:eastAsia="es-ES_tradnl"/>
        </w:rPr>
      </w:pPr>
    </w:p>
    <w:p w14:paraId="0C296B97" w14:textId="77777777" w:rsidR="00575A43" w:rsidRPr="00384356" w:rsidRDefault="00575A43" w:rsidP="00575A43">
      <w:pPr>
        <w:spacing w:after="0" w:line="240" w:lineRule="auto"/>
        <w:jc w:val="both"/>
        <w:rPr>
          <w:rFonts w:ascii="Verdana" w:eastAsia="Calibri" w:hAnsi="Verdana" w:cs="Arial"/>
          <w:color w:val="EE0000"/>
          <w:lang w:val="es-ES_tradnl" w:eastAsia="es-ES_tradnl"/>
        </w:rPr>
      </w:pPr>
    </w:p>
    <w:p w14:paraId="2C112C97" w14:textId="77777777" w:rsidR="00575A43" w:rsidRPr="006A7763" w:rsidRDefault="00575A43" w:rsidP="00575A43">
      <w:pPr>
        <w:spacing w:after="0" w:line="276" w:lineRule="auto"/>
        <w:contextualSpacing/>
        <w:jc w:val="both"/>
        <w:rPr>
          <w:rFonts w:ascii="Verdana" w:eastAsia="Calibri" w:hAnsi="Verdana" w:cs="Arial"/>
          <w:bCs/>
          <w:lang w:val="es-ES_tradnl" w:eastAsia="es-ES_tradnl"/>
        </w:rPr>
      </w:pPr>
      <w:r w:rsidRPr="006A7763">
        <w:rPr>
          <w:rFonts w:ascii="Verdana" w:eastAsia="Calibri" w:hAnsi="Verdana" w:cs="Arial"/>
          <w:lang w:val="es-ES_tradnl" w:eastAsia="es-ES_tradnl"/>
        </w:rPr>
        <w:t>Estimado Señor Atuesta:</w:t>
      </w:r>
    </w:p>
    <w:p w14:paraId="29E86131" w14:textId="77777777" w:rsidR="00575A43" w:rsidRPr="00384356" w:rsidRDefault="00575A43" w:rsidP="00575A43">
      <w:pPr>
        <w:spacing w:after="0" w:line="276" w:lineRule="auto"/>
        <w:contextualSpacing/>
        <w:jc w:val="both"/>
        <w:rPr>
          <w:rFonts w:ascii="Verdana" w:eastAsia="Calibri" w:hAnsi="Verdana" w:cs="Arial"/>
          <w:color w:val="EE0000"/>
          <w:lang w:val="es-ES_tradnl" w:eastAsia="es-ES_tradnl"/>
        </w:rPr>
      </w:pPr>
    </w:p>
    <w:p w14:paraId="52E56174" w14:textId="77777777" w:rsidR="00575A43" w:rsidRPr="00785048" w:rsidRDefault="00575A43" w:rsidP="00575A43">
      <w:pPr>
        <w:spacing w:after="0" w:line="276" w:lineRule="auto"/>
        <w:contextualSpacing/>
        <w:jc w:val="both"/>
        <w:rPr>
          <w:rFonts w:ascii="Verdana" w:eastAsia="Calibri" w:hAnsi="Verdana" w:cs="Arial"/>
          <w:lang w:val="es-ES" w:eastAsia="es-ES_tradnl"/>
        </w:rPr>
      </w:pPr>
      <w:r w:rsidRPr="0080424C">
        <w:rPr>
          <w:rFonts w:ascii="Verdana" w:eastAsia="Calibri" w:hAnsi="Verdana" w:cs="Arial"/>
          <w:lang w:val="es-ES" w:eastAsia="es-ES_tradnl"/>
        </w:rPr>
        <w:t xml:space="preserve">En ejercicio de la competencia otorgada por los artículos 3, numeral 5º, y 11, </w:t>
      </w:r>
      <w:r w:rsidRPr="00785048">
        <w:rPr>
          <w:rFonts w:ascii="Verdana" w:eastAsia="Calibri" w:hAnsi="Verdana" w:cs="Arial"/>
          <w:lang w:val="es-ES" w:eastAsia="es-ES_tradnl"/>
        </w:rPr>
        <w:t xml:space="preserve">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4</w:t>
      </w:r>
      <w:r w:rsidRPr="00785048">
        <w:rPr>
          <w:rFonts w:ascii="Verdana" w:eastAsia="Calibri" w:hAnsi="Verdana" w:cs="Arial"/>
          <w:lang w:val="es-ES" w:eastAsia="es-ES_tradnl"/>
        </w:rPr>
        <w:t xml:space="preserve"> de junio de 2025, en la cual manifiesta lo siguiente:</w:t>
      </w:r>
    </w:p>
    <w:p w14:paraId="44D87203" w14:textId="77777777" w:rsidR="00575A43" w:rsidRPr="00785048" w:rsidRDefault="00575A43" w:rsidP="00575A43">
      <w:pPr>
        <w:spacing w:after="0" w:line="276" w:lineRule="auto"/>
        <w:ind w:left="709" w:right="709"/>
        <w:contextualSpacing/>
        <w:jc w:val="both"/>
        <w:rPr>
          <w:rFonts w:ascii="Verdana" w:eastAsia="Calibri" w:hAnsi="Verdana" w:cs="Arial"/>
          <w:b/>
          <w:sz w:val="20"/>
          <w:szCs w:val="20"/>
          <w:lang w:val="es-ES_tradnl" w:eastAsia="es-ES_tradnl"/>
        </w:rPr>
      </w:pPr>
    </w:p>
    <w:p w14:paraId="3E9AB2E2" w14:textId="77777777" w:rsidR="00575A43" w:rsidRPr="00785048" w:rsidRDefault="00575A43" w:rsidP="00575A43">
      <w:pPr>
        <w:spacing w:after="0" w:line="240" w:lineRule="auto"/>
        <w:ind w:left="709" w:right="709"/>
        <w:contextualSpacing/>
        <w:jc w:val="both"/>
        <w:rPr>
          <w:rFonts w:ascii="Verdana" w:eastAsia="Times New Roman" w:hAnsi="Verdana" w:cs="Arial"/>
          <w:sz w:val="20"/>
          <w:szCs w:val="20"/>
          <w:lang w:eastAsia="es-ES_tradnl"/>
        </w:rPr>
      </w:pPr>
      <w:r w:rsidRPr="00785048">
        <w:rPr>
          <w:rFonts w:ascii="Verdana" w:eastAsia="Times New Roman" w:hAnsi="Verdana" w:cs="Arial"/>
          <w:sz w:val="20"/>
          <w:szCs w:val="20"/>
          <w:lang w:eastAsia="es-ES_tradnl"/>
        </w:rPr>
        <w:t>“En los procesos de contratación estatal de mínima cuantía, cual es el término legal para publicar cada una de las actuaciones ante la plataforma SECOP.”</w:t>
      </w:r>
    </w:p>
    <w:p w14:paraId="4FCD611E" w14:textId="77777777" w:rsidR="00575A43" w:rsidRPr="00384356" w:rsidRDefault="00575A43" w:rsidP="00575A43">
      <w:pPr>
        <w:spacing w:after="0" w:line="240" w:lineRule="auto"/>
        <w:ind w:left="709" w:right="709"/>
        <w:contextualSpacing/>
        <w:jc w:val="both"/>
        <w:rPr>
          <w:rFonts w:ascii="Verdana" w:eastAsia="Times New Roman" w:hAnsi="Verdana" w:cs="Arial"/>
          <w:color w:val="EE0000"/>
          <w:sz w:val="21"/>
          <w:szCs w:val="21"/>
          <w:lang w:eastAsia="es-ES_tradnl"/>
        </w:rPr>
      </w:pPr>
    </w:p>
    <w:p w14:paraId="15138DA6" w14:textId="77777777" w:rsidR="00575A43" w:rsidRPr="000676A8" w:rsidRDefault="00575A43" w:rsidP="00575A43">
      <w:pPr>
        <w:spacing w:after="120" w:line="276" w:lineRule="auto"/>
        <w:ind w:firstLine="709"/>
        <w:jc w:val="both"/>
        <w:rPr>
          <w:rFonts w:ascii="Verdana" w:eastAsia="Calibri" w:hAnsi="Verdana" w:cs="Arial"/>
          <w:lang w:val="es-ES" w:eastAsia="es-ES"/>
        </w:rPr>
      </w:pPr>
      <w:r w:rsidRPr="000676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0676A8">
        <w:rPr>
          <w:rFonts w:ascii="Verdana" w:eastAsia="Calibri" w:hAnsi="Verdana" w:cs="Arial"/>
          <w:lang w:val="es-ES"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676A8">
        <w:rPr>
          <w:rFonts w:ascii="Verdana" w:eastAsia="Calibri" w:hAnsi="Verdana" w:cs="Arial"/>
          <w:szCs w:val="24"/>
          <w:lang w:val="es-ES_tradnl" w:eastAsia="es-ES_tradnl"/>
        </w:rPr>
        <w:tab/>
      </w:r>
    </w:p>
    <w:p w14:paraId="2A2DD34D" w14:textId="77777777" w:rsidR="00575A43" w:rsidRPr="000676A8" w:rsidRDefault="00575A43" w:rsidP="00575A43">
      <w:pPr>
        <w:spacing w:after="0" w:line="276" w:lineRule="auto"/>
        <w:ind w:firstLine="709"/>
        <w:jc w:val="both"/>
        <w:rPr>
          <w:rFonts w:ascii="Verdana" w:eastAsia="Calibri" w:hAnsi="Verdana" w:cs="Arial"/>
          <w:lang w:val="es-ES" w:eastAsia="es-ES"/>
        </w:rPr>
      </w:pPr>
      <w:r w:rsidRPr="000676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B0FFB14" w14:textId="77777777" w:rsidR="00575A43" w:rsidRPr="000676A8" w:rsidRDefault="00575A43" w:rsidP="00575A43">
      <w:pPr>
        <w:spacing w:after="0" w:line="276" w:lineRule="auto"/>
        <w:contextualSpacing/>
        <w:jc w:val="both"/>
        <w:rPr>
          <w:rFonts w:ascii="Verdana" w:eastAsia="Times New Roman" w:hAnsi="Verdana" w:cs="Arial"/>
          <w:szCs w:val="24"/>
          <w:lang w:val="es-ES_tradnl" w:eastAsia="es-ES_tradnl"/>
        </w:rPr>
      </w:pPr>
    </w:p>
    <w:p w14:paraId="6F1FFA64" w14:textId="77777777" w:rsidR="00575A43" w:rsidRPr="000676A8" w:rsidRDefault="00575A43" w:rsidP="00575A43">
      <w:pPr>
        <w:tabs>
          <w:tab w:val="left" w:pos="0"/>
          <w:tab w:val="left" w:pos="284"/>
        </w:tabs>
        <w:spacing w:after="0" w:line="276" w:lineRule="auto"/>
        <w:contextualSpacing/>
        <w:jc w:val="both"/>
        <w:rPr>
          <w:rFonts w:ascii="Verdana" w:eastAsia="Calibri" w:hAnsi="Verdana" w:cs="Arial"/>
          <w:b/>
          <w:lang w:val="es-ES_tradnl"/>
        </w:rPr>
      </w:pPr>
      <w:r w:rsidRPr="000676A8">
        <w:rPr>
          <w:rFonts w:ascii="Verdana" w:eastAsia="Calibri" w:hAnsi="Verdana" w:cs="Arial"/>
          <w:b/>
          <w:lang w:val="es-ES_tradnl"/>
        </w:rPr>
        <w:t>1. Problema planteado:</w:t>
      </w:r>
    </w:p>
    <w:p w14:paraId="38D5BD26" w14:textId="77777777" w:rsidR="00575A43" w:rsidRPr="00384356" w:rsidRDefault="00575A43" w:rsidP="00575A43">
      <w:pPr>
        <w:tabs>
          <w:tab w:val="left" w:pos="0"/>
          <w:tab w:val="left" w:pos="284"/>
        </w:tabs>
        <w:spacing w:after="0" w:line="276" w:lineRule="auto"/>
        <w:contextualSpacing/>
        <w:jc w:val="both"/>
        <w:rPr>
          <w:rFonts w:ascii="Verdana" w:eastAsia="Calibri" w:hAnsi="Verdana" w:cs="Arial"/>
          <w:b/>
          <w:color w:val="EE0000"/>
          <w:lang w:val="es-ES_tradnl"/>
        </w:rPr>
      </w:pPr>
    </w:p>
    <w:p w14:paraId="7AC62727" w14:textId="77777777" w:rsidR="00575A43" w:rsidRPr="00B03821" w:rsidRDefault="00575A43" w:rsidP="00575A43">
      <w:pPr>
        <w:spacing w:after="0" w:line="276" w:lineRule="auto"/>
        <w:jc w:val="both"/>
        <w:rPr>
          <w:rFonts w:ascii="Verdana" w:eastAsia="Century Gothic" w:hAnsi="Verdana" w:cs="Century Gothic"/>
        </w:rPr>
      </w:pPr>
      <w:r w:rsidRPr="00B03821">
        <w:rPr>
          <w:rFonts w:ascii="Verdana" w:eastAsia="Century Gothic" w:hAnsi="Verdana" w:cs="Century Gothic"/>
        </w:rPr>
        <w:t xml:space="preserve">De acuerdo con el contenido de su solicitud, esta Agencia resolverá el siguiente problema jurídico: </w:t>
      </w:r>
      <w:bookmarkStart w:id="0" w:name="_Hlk199424158"/>
      <w:r w:rsidRPr="00B03821">
        <w:rPr>
          <w:rFonts w:ascii="Verdana" w:eastAsia="Century Gothic" w:hAnsi="Verdana" w:cs="Century Gothic"/>
        </w:rPr>
        <w:t>¿Cuál es el término legal para publicar en el SECOP</w:t>
      </w:r>
      <w:r>
        <w:rPr>
          <w:rFonts w:ascii="Verdana" w:eastAsia="Century Gothic" w:hAnsi="Verdana" w:cs="Century Gothic"/>
        </w:rPr>
        <w:t>,</w:t>
      </w:r>
      <w:r w:rsidRPr="00B03821">
        <w:rPr>
          <w:rFonts w:ascii="Verdana" w:eastAsia="Century Gothic" w:hAnsi="Verdana" w:cs="Century Gothic"/>
        </w:rPr>
        <w:t xml:space="preserve"> cada una de las actuaciones en los procesos de contratación estatal</w:t>
      </w:r>
      <w:r>
        <w:rPr>
          <w:rFonts w:ascii="Verdana" w:eastAsia="Century Gothic" w:hAnsi="Verdana" w:cs="Century Gothic"/>
        </w:rPr>
        <w:t xml:space="preserve"> de mínima cuantía</w:t>
      </w:r>
      <w:r w:rsidRPr="00B03821">
        <w:rPr>
          <w:rFonts w:ascii="Verdana" w:eastAsia="Century Gothic" w:hAnsi="Verdana" w:cs="Century Gothic"/>
        </w:rPr>
        <w:t>?</w:t>
      </w:r>
    </w:p>
    <w:bookmarkEnd w:id="0"/>
    <w:p w14:paraId="1ED906E5" w14:textId="77777777" w:rsidR="00575A43" w:rsidRPr="00384356" w:rsidRDefault="00575A43" w:rsidP="00575A43">
      <w:pPr>
        <w:spacing w:after="0" w:line="276" w:lineRule="auto"/>
        <w:ind w:firstLine="709"/>
        <w:jc w:val="both"/>
        <w:rPr>
          <w:rFonts w:ascii="Verdana" w:eastAsia="Calibri" w:hAnsi="Verdana" w:cs="Arial"/>
          <w:color w:val="EE0000"/>
          <w:lang w:val="es-ES" w:eastAsia="es-ES_tradnl"/>
        </w:rPr>
      </w:pPr>
    </w:p>
    <w:p w14:paraId="06EA3F42" w14:textId="77777777" w:rsidR="00575A43" w:rsidRPr="00164C14" w:rsidRDefault="00575A43" w:rsidP="00575A43">
      <w:pPr>
        <w:tabs>
          <w:tab w:val="left" w:pos="142"/>
          <w:tab w:val="left" w:pos="284"/>
        </w:tabs>
        <w:spacing w:after="0" w:line="276" w:lineRule="auto"/>
        <w:jc w:val="both"/>
        <w:rPr>
          <w:rFonts w:ascii="Verdana" w:eastAsia="Century Gothic" w:hAnsi="Verdana" w:cs="Century Gothic"/>
          <w:b/>
          <w:bCs/>
        </w:rPr>
      </w:pPr>
      <w:r w:rsidRPr="00164C14">
        <w:rPr>
          <w:rFonts w:ascii="Verdana" w:eastAsia="Century Gothic" w:hAnsi="Verdana" w:cs="Century Gothic"/>
          <w:b/>
          <w:bCs/>
        </w:rPr>
        <w:t>2. Respuesta:</w:t>
      </w:r>
    </w:p>
    <w:p w14:paraId="63898610" w14:textId="77777777" w:rsidR="00575A43" w:rsidRPr="00164C14" w:rsidRDefault="00575A43" w:rsidP="00575A4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75A43" w:rsidRPr="00384356" w14:paraId="1FB85999" w14:textId="77777777" w:rsidTr="00DC17CF">
        <w:tc>
          <w:tcPr>
            <w:tcW w:w="8828" w:type="dxa"/>
            <w:shd w:val="clear" w:color="auto" w:fill="auto"/>
          </w:tcPr>
          <w:p w14:paraId="2DE911C5" w14:textId="77777777" w:rsidR="00575A43" w:rsidRPr="009E2D71" w:rsidRDefault="00575A43" w:rsidP="00DC17CF">
            <w:pPr>
              <w:tabs>
                <w:tab w:val="left" w:pos="597"/>
              </w:tabs>
              <w:spacing w:after="120" w:line="276" w:lineRule="auto"/>
              <w:jc w:val="both"/>
              <w:rPr>
                <w:rFonts w:ascii="Verdana" w:eastAsia="Calibri" w:hAnsi="Verdana" w:cs="Arial"/>
              </w:rPr>
            </w:pPr>
            <w:r>
              <w:rPr>
                <w:rFonts w:ascii="Verdana" w:eastAsia="Calibri" w:hAnsi="Verdana" w:cs="Arial"/>
                <w:lang w:val="es-ES"/>
              </w:rPr>
              <w:t>La</w:t>
            </w:r>
            <w:r w:rsidRPr="00F07DD7">
              <w:rPr>
                <w:rFonts w:ascii="Verdana" w:eastAsia="Calibri" w:hAnsi="Verdana" w:cs="Arial"/>
                <w:lang w:val="es-ES"/>
              </w:rPr>
              <w:t xml:space="preserve"> Circular Externa Única emitida por esta </w:t>
            </w:r>
            <w:r>
              <w:rPr>
                <w:rFonts w:ascii="Verdana" w:eastAsia="Calibri" w:hAnsi="Verdana" w:cs="Arial"/>
                <w:lang w:val="es-ES"/>
              </w:rPr>
              <w:t>A</w:t>
            </w:r>
            <w:r w:rsidRPr="00F07DD7">
              <w:rPr>
                <w:rFonts w:ascii="Verdana" w:eastAsia="Calibri" w:hAnsi="Verdana" w:cs="Arial"/>
                <w:lang w:val="es-ES"/>
              </w:rPr>
              <w:t>gencia, recordó a todas las entidades del Estado el deber de publicar oportunamente su actividad contractual en el SECOP, sin distinción de su régimen jurídico, naturaleza jurídica o la pertenencia a una u otra rama del poder público</w:t>
            </w:r>
            <w:r>
              <w:rPr>
                <w:rFonts w:ascii="Verdana" w:eastAsia="Calibri" w:hAnsi="Verdana" w:cs="Arial"/>
                <w:lang w:val="es-ES"/>
              </w:rPr>
              <w:t xml:space="preserve">, lo anterior en razón a que, el </w:t>
            </w:r>
            <w:r w:rsidRPr="00012A93">
              <w:rPr>
                <w:rFonts w:ascii="Verdana" w:eastAsia="Calibri" w:hAnsi="Verdana" w:cs="Arial"/>
              </w:rPr>
              <w:t>SECOP es el medio de información oficial de toda la contratación realizada con cargo a recursos públicos</w:t>
            </w:r>
            <w:r>
              <w:rPr>
                <w:rFonts w:ascii="Verdana" w:eastAsia="Calibri" w:hAnsi="Verdana" w:cs="Arial"/>
              </w:rPr>
              <w:t xml:space="preserve"> y</w:t>
            </w:r>
            <w:r w:rsidRPr="00012A93">
              <w:rPr>
                <w:rFonts w:ascii="Verdana" w:eastAsia="Calibri" w:hAnsi="Verdana" w:cs="Arial"/>
              </w:rPr>
              <w:t xml:space="preserve"> es el único punto de ingreso de información y de generación de reportes para las Entidades Estatales, los entes de control y la ciudadanía en general, el cual garantiza que se cumplan los principios de publicidad y transparencia en la gestión contractual.</w:t>
            </w:r>
          </w:p>
          <w:p w14:paraId="615B7301" w14:textId="77777777" w:rsidR="00575A43" w:rsidRPr="00FC61C1" w:rsidRDefault="00575A43" w:rsidP="00DC17CF">
            <w:pPr>
              <w:spacing w:after="120" w:line="276" w:lineRule="auto"/>
              <w:ind w:firstLine="597"/>
              <w:jc w:val="both"/>
              <w:rPr>
                <w:rFonts w:ascii="Verdana" w:hAnsi="Verdana"/>
                <w:lang w:eastAsia="es-ES_tradnl"/>
              </w:rPr>
            </w:pPr>
            <w:r>
              <w:rPr>
                <w:rFonts w:ascii="Verdana" w:hAnsi="Verdana"/>
                <w:lang w:eastAsia="es-ES_tradnl"/>
              </w:rPr>
              <w:t>Ahora bien, para dar respuesta a su pregunta, d</w:t>
            </w:r>
            <w:r w:rsidRPr="00C9198F">
              <w:rPr>
                <w:rFonts w:ascii="Verdana" w:hAnsi="Verdana"/>
                <w:lang w:eastAsia="es-ES_tradnl"/>
              </w:rPr>
              <w:t>e conformidad con el artículo 2.2.1.1.1.7.1. del Decreto 1082 de 2015,</w:t>
            </w:r>
            <w:r>
              <w:rPr>
                <w:rFonts w:ascii="Verdana" w:hAnsi="Verdana"/>
                <w:lang w:eastAsia="es-ES_tradnl"/>
              </w:rPr>
              <w:t xml:space="preserve"> en la generalidad, </w:t>
            </w:r>
            <w:r w:rsidRPr="00C9198F">
              <w:rPr>
                <w:rFonts w:ascii="Verdana" w:hAnsi="Verdana"/>
                <w:lang w:eastAsia="es-ES_tradnl"/>
              </w:rPr>
              <w:t xml:space="preserve">la Entidad Estatal está obligada a publicar en el SECOP los Documentos del Proceso y los actos administrativos del Proceso de Contratación, dentro de los tres (3) días siguientes a su expedición. Sin embargo, en virtud de que el SECOP se compone de las plataformas SECOP I y SECOP II, resulta importante señalar que, para cada una de ellas, el procedimiento de publicación podría resultar </w:t>
            </w:r>
            <w:r w:rsidRPr="00C9198F">
              <w:rPr>
                <w:rFonts w:ascii="Verdana" w:hAnsi="Verdana"/>
                <w:lang w:eastAsia="es-ES_tradnl"/>
              </w:rPr>
              <w:lastRenderedPageBreak/>
              <w:t xml:space="preserve">distinto, habida cuenta que, en el caso de las entidades estatales que aún publiquen su actividad contractual en el SECOP I, esta plataforma funciona como medio de publicidad, sin que exija la publicación inmediata de los documentos precontractuales y contractuales. En ese sentido, la entidad estatal podrá publicar tales documentos dentro del término previsto por el artículo citado. No obstante, la plataforma SECOP II es una plataforma esencialmente transaccional, de contratación en línea, donde se gestionan todas las etapas del Proceso de Contratación, lo cual supone que los documentos que se expidan en el marco de cada una de las etapas, deberán publicarse al tiempo en que se realiza la gestión transaccional, lo que ameritaría una publicación inmediata, en la medida en que deben ser puestos en conocimiento de los partícipes del Sistema de Compra Pública, interesados </w:t>
            </w:r>
            <w:r w:rsidRPr="00FC61C1">
              <w:rPr>
                <w:rFonts w:ascii="Verdana" w:hAnsi="Verdana"/>
                <w:lang w:eastAsia="es-ES_tradnl"/>
              </w:rPr>
              <w:t>en consultarlos. </w:t>
            </w:r>
          </w:p>
          <w:p w14:paraId="0C57CF4C" w14:textId="77777777" w:rsidR="00575A43" w:rsidRPr="00ED4C26" w:rsidRDefault="00575A43" w:rsidP="00DC17CF">
            <w:pPr>
              <w:spacing w:after="120" w:line="276" w:lineRule="auto"/>
              <w:ind w:firstLine="585"/>
              <w:jc w:val="both"/>
              <w:rPr>
                <w:rFonts w:ascii="Verdana" w:eastAsia="Calibri" w:hAnsi="Verdana" w:cs="Arial"/>
                <w:szCs w:val="24"/>
                <w:lang w:eastAsia="es-ES_tradnl"/>
              </w:rPr>
            </w:pPr>
            <w:r w:rsidRPr="00FC61C1">
              <w:rPr>
                <w:rFonts w:ascii="Verdana" w:eastAsia="Calibri" w:hAnsi="Verdana" w:cs="Arial"/>
                <w:szCs w:val="24"/>
                <w:lang w:val="es-ES" w:eastAsia="es-ES_tradnl"/>
              </w:rPr>
              <w:t xml:space="preserve">Finalmente, </w:t>
            </w:r>
            <w:r>
              <w:rPr>
                <w:rFonts w:ascii="Verdana" w:eastAsia="Calibri" w:hAnsi="Verdana" w:cs="Arial"/>
                <w:szCs w:val="24"/>
                <w:lang w:val="es-ES" w:eastAsia="es-ES_tradnl"/>
              </w:rPr>
              <w:t xml:space="preserve">aunado a lo anterior para el caso en concreto, en los procesos de contratación de mínima cuantía esta Agencia puso a disposición el </w:t>
            </w:r>
            <w:r w:rsidRPr="00915124">
              <w:rPr>
                <w:rFonts w:ascii="Verdana" w:eastAsia="Calibri" w:hAnsi="Verdana" w:cs="Arial"/>
                <w:i/>
                <w:iCs/>
                <w:szCs w:val="24"/>
                <w:lang w:val="es-ES" w:eastAsia="es-ES_tradnl"/>
              </w:rPr>
              <w:t>Manual de la Modalidad de Selección de Mínima Cuantía</w:t>
            </w:r>
            <w:r>
              <w:rPr>
                <w:rFonts w:ascii="Verdana" w:eastAsia="Calibri" w:hAnsi="Verdana" w:cs="Arial"/>
                <w:szCs w:val="24"/>
                <w:lang w:val="es-ES" w:eastAsia="es-ES_tradnl"/>
              </w:rPr>
              <w:t xml:space="preserve">, en el cual, </w:t>
            </w:r>
            <w:r>
              <w:rPr>
                <w:rFonts w:ascii="Verdana" w:eastAsia="Calibri" w:hAnsi="Verdana" w:cs="Arial"/>
                <w:szCs w:val="24"/>
                <w:lang w:eastAsia="es-ES_tradnl"/>
              </w:rPr>
              <w:t>se abordan los</w:t>
            </w:r>
            <w:r w:rsidRPr="00BB6AB7">
              <w:rPr>
                <w:rFonts w:ascii="Verdana" w:eastAsia="Calibri" w:hAnsi="Verdana" w:cs="Arial"/>
                <w:szCs w:val="24"/>
                <w:lang w:eastAsia="es-ES_tradnl"/>
              </w:rPr>
              <w:t xml:space="preserve"> aspectos necesarios para conocer lo</w:t>
            </w:r>
            <w:r>
              <w:rPr>
                <w:rFonts w:ascii="Verdana" w:eastAsia="Calibri" w:hAnsi="Verdana" w:cs="Arial"/>
                <w:szCs w:val="24"/>
                <w:lang w:eastAsia="es-ES_tradnl"/>
              </w:rPr>
              <w:t>s D</w:t>
            </w:r>
            <w:r w:rsidRPr="00BB6AB7">
              <w:rPr>
                <w:rFonts w:ascii="Verdana" w:eastAsia="Calibri" w:hAnsi="Verdana" w:cs="Arial"/>
                <w:szCs w:val="24"/>
                <w:lang w:eastAsia="es-ES_tradnl"/>
              </w:rPr>
              <w:t xml:space="preserve">ocumentos del </w:t>
            </w:r>
            <w:r>
              <w:rPr>
                <w:rFonts w:ascii="Verdana" w:eastAsia="Calibri" w:hAnsi="Verdana" w:cs="Arial"/>
                <w:szCs w:val="24"/>
                <w:lang w:eastAsia="es-ES_tradnl"/>
              </w:rPr>
              <w:t>P</w:t>
            </w:r>
            <w:r w:rsidRPr="00BB6AB7">
              <w:rPr>
                <w:rFonts w:ascii="Verdana" w:eastAsia="Calibri" w:hAnsi="Verdana" w:cs="Arial"/>
                <w:szCs w:val="24"/>
                <w:lang w:eastAsia="es-ES_tradnl"/>
              </w:rPr>
              <w:t xml:space="preserve">roceso, la subsanación de estos, el informe de evaluación, </w:t>
            </w:r>
            <w:r>
              <w:rPr>
                <w:rFonts w:ascii="Verdana" w:eastAsia="Calibri" w:hAnsi="Verdana" w:cs="Arial"/>
                <w:szCs w:val="24"/>
                <w:lang w:eastAsia="es-ES_tradnl"/>
              </w:rPr>
              <w:t>y su ejecución, entre otros</w:t>
            </w:r>
            <w:r w:rsidRPr="00BB6AB7">
              <w:rPr>
                <w:rFonts w:ascii="Verdana" w:eastAsia="Calibri" w:hAnsi="Verdana" w:cs="Arial"/>
                <w:szCs w:val="24"/>
                <w:lang w:eastAsia="es-ES_tradnl"/>
              </w:rPr>
              <w:t>,</w:t>
            </w:r>
            <w:r>
              <w:rPr>
                <w:rFonts w:ascii="Verdana" w:eastAsia="Calibri" w:hAnsi="Verdana" w:cs="Arial"/>
                <w:szCs w:val="24"/>
                <w:lang w:eastAsia="es-ES_tradnl"/>
              </w:rPr>
              <w:t xml:space="preserve"> así como la información respecto a los tiempos establecidos en consonancia con la modalidad de contratación y con el Decreto 1082 de 2015, toda vez que, al ser un proceso más expedito, los tiempos de presentación y evaluación son más cortos, lo que impacta directamente en la publicación de los documentos ante el SECOP según la plataforma que corresponda. Algunos de estos términos son, por ejemplo, la</w:t>
            </w:r>
            <w:r w:rsidRPr="00444986">
              <w:rPr>
                <w:rFonts w:ascii="Verdana" w:eastAsia="Calibri" w:hAnsi="Verdana" w:cs="Arial"/>
                <w:szCs w:val="24"/>
                <w:lang w:eastAsia="es-ES_tradnl"/>
              </w:rPr>
              <w:t xml:space="preserve"> invitación</w:t>
            </w:r>
            <w:r>
              <w:rPr>
                <w:rFonts w:ascii="Verdana" w:eastAsia="Calibri" w:hAnsi="Verdana" w:cs="Arial"/>
                <w:szCs w:val="24"/>
                <w:lang w:eastAsia="es-ES_tradnl"/>
              </w:rPr>
              <w:t xml:space="preserve">, la cual </w:t>
            </w:r>
            <w:r w:rsidRPr="00444986">
              <w:rPr>
                <w:rFonts w:ascii="Verdana" w:eastAsia="Calibri" w:hAnsi="Verdana" w:cs="Arial"/>
                <w:szCs w:val="24"/>
                <w:lang w:eastAsia="es-ES_tradnl"/>
              </w:rPr>
              <w:t>se publicará por un término no inferior a un (1) día hábil para que los interesados se informen de su contenido y formulen observaciones o comentarios</w:t>
            </w:r>
            <w:r>
              <w:rPr>
                <w:rFonts w:ascii="Verdana" w:eastAsia="Calibri" w:hAnsi="Verdana" w:cs="Arial"/>
                <w:szCs w:val="24"/>
                <w:lang w:eastAsia="es-ES_tradnl"/>
              </w:rPr>
              <w:t>. También, l</w:t>
            </w:r>
            <w:r w:rsidRPr="00ED4C26">
              <w:rPr>
                <w:rFonts w:ascii="Verdana" w:eastAsia="Calibri" w:hAnsi="Verdana" w:cs="Arial"/>
                <w:szCs w:val="24"/>
                <w:lang w:eastAsia="es-ES_tradnl"/>
              </w:rPr>
              <w:t xml:space="preserve">a Entidad Estatal debe publicar el informe de evaluación durante mínimo un </w:t>
            </w:r>
            <w:r>
              <w:rPr>
                <w:rFonts w:ascii="Verdana" w:eastAsia="Calibri" w:hAnsi="Verdana" w:cs="Arial"/>
                <w:szCs w:val="24"/>
                <w:lang w:eastAsia="es-ES_tradnl"/>
              </w:rPr>
              <w:t>(</w:t>
            </w:r>
            <w:r w:rsidRPr="00ED4C26">
              <w:rPr>
                <w:rFonts w:ascii="Verdana" w:eastAsia="Calibri" w:hAnsi="Verdana" w:cs="Arial"/>
                <w:szCs w:val="24"/>
                <w:lang w:eastAsia="es-ES_tradnl"/>
              </w:rPr>
              <w:t>1</w:t>
            </w:r>
            <w:r>
              <w:rPr>
                <w:rFonts w:ascii="Verdana" w:eastAsia="Calibri" w:hAnsi="Verdana" w:cs="Arial"/>
                <w:szCs w:val="24"/>
                <w:lang w:eastAsia="es-ES_tradnl"/>
              </w:rPr>
              <w:t>)</w:t>
            </w:r>
            <w:r w:rsidRPr="00ED4C26">
              <w:rPr>
                <w:rFonts w:ascii="Verdana" w:eastAsia="Calibri" w:hAnsi="Verdana" w:cs="Arial"/>
                <w:szCs w:val="24"/>
                <w:lang w:eastAsia="es-ES_tradnl"/>
              </w:rPr>
              <w:t xml:space="preserve"> día hábil, para que durante este término los oferentes presenten las observaciones que deberán ser respondidas</w:t>
            </w:r>
            <w:r>
              <w:rPr>
                <w:rFonts w:ascii="Verdana" w:eastAsia="Calibri" w:hAnsi="Verdana" w:cs="Arial"/>
                <w:szCs w:val="24"/>
                <w:lang w:eastAsia="es-ES_tradnl"/>
              </w:rPr>
              <w:t>.</w:t>
            </w:r>
          </w:p>
        </w:tc>
      </w:tr>
    </w:tbl>
    <w:p w14:paraId="7E5204E4" w14:textId="77777777" w:rsidR="00575A43" w:rsidRPr="00384356" w:rsidRDefault="00575A43" w:rsidP="00575A43">
      <w:pPr>
        <w:spacing w:after="0" w:line="276" w:lineRule="auto"/>
        <w:contextualSpacing/>
        <w:jc w:val="both"/>
        <w:rPr>
          <w:rFonts w:ascii="Verdana" w:eastAsia="Times New Roman" w:hAnsi="Verdana" w:cs="Arial"/>
          <w:color w:val="EE0000"/>
          <w:lang w:eastAsia="es-ES_tradnl"/>
        </w:rPr>
      </w:pPr>
    </w:p>
    <w:p w14:paraId="2B929584" w14:textId="77777777" w:rsidR="00575A43" w:rsidRPr="006A54F0" w:rsidRDefault="00575A43" w:rsidP="00575A4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6A54F0">
        <w:rPr>
          <w:rFonts w:ascii="Verdana" w:eastAsia="Century Gothic" w:hAnsi="Verdana" w:cs="Century Gothic"/>
          <w:b/>
          <w:bCs/>
        </w:rPr>
        <w:t>3. Razones de la respuesta:</w:t>
      </w:r>
    </w:p>
    <w:p w14:paraId="317EB801" w14:textId="77777777" w:rsidR="00575A43" w:rsidRPr="006A54F0" w:rsidRDefault="00575A43" w:rsidP="00575A43">
      <w:pPr>
        <w:spacing w:after="120" w:line="276" w:lineRule="auto"/>
        <w:jc w:val="both"/>
        <w:rPr>
          <w:rFonts w:ascii="Verdana" w:eastAsia="Calibri" w:hAnsi="Verdana" w:cs="Arial"/>
          <w:lang w:val="es-ES"/>
        </w:rPr>
      </w:pPr>
    </w:p>
    <w:p w14:paraId="6565CA0A" w14:textId="77777777" w:rsidR="00575A43" w:rsidRPr="00F407B1" w:rsidRDefault="00575A43" w:rsidP="00575A43">
      <w:pPr>
        <w:spacing w:after="120" w:line="276" w:lineRule="auto"/>
        <w:jc w:val="both"/>
        <w:rPr>
          <w:rFonts w:ascii="Verdana" w:eastAsia="Calibri" w:hAnsi="Verdana" w:cs="Arial"/>
          <w:lang w:val="es-ES"/>
        </w:rPr>
      </w:pPr>
      <w:r w:rsidRPr="006A54F0">
        <w:rPr>
          <w:rFonts w:ascii="Verdana" w:eastAsia="Calibri" w:hAnsi="Verdana" w:cs="Arial"/>
          <w:lang w:val="es-ES"/>
        </w:rPr>
        <w:t xml:space="preserve">Lo anterior se sustenta en las siguientes consideraciones: </w:t>
      </w:r>
    </w:p>
    <w:p w14:paraId="0D04CD02" w14:textId="77777777" w:rsidR="00575A43" w:rsidRDefault="00575A43" w:rsidP="00575A43">
      <w:pPr>
        <w:spacing w:after="120" w:line="276" w:lineRule="auto"/>
        <w:jc w:val="both"/>
        <w:rPr>
          <w:rFonts w:ascii="Verdana" w:eastAsia="Arial" w:hAnsi="Verdana" w:cs="Arial"/>
          <w:lang w:val="es-ES"/>
        </w:rPr>
      </w:pPr>
      <w:r w:rsidRPr="006515D6">
        <w:rPr>
          <w:rFonts w:ascii="Verdana" w:eastAsia="Calibri" w:hAnsi="Verdana" w:cs="Arial"/>
          <w:lang w:val="es-ES_tradnl"/>
        </w:rPr>
        <w:t xml:space="preserve">La Constitución Política de 1991 consagra en varios artículos la </w:t>
      </w:r>
      <w:r w:rsidRPr="006515D6">
        <w:rPr>
          <w:rFonts w:ascii="Verdana" w:eastAsia="Calibri" w:hAnsi="Verdana" w:cs="Arial"/>
          <w:i/>
          <w:iCs/>
          <w:lang w:val="es-ES_tradnl"/>
        </w:rPr>
        <w:t>publicidad</w:t>
      </w:r>
      <w:r w:rsidRPr="006515D6">
        <w:rPr>
          <w:rFonts w:ascii="Verdana" w:eastAsia="Calibri" w:hAnsi="Verdana" w:cs="Arial"/>
          <w:lang w:val="es-ES_tradnl"/>
        </w:rPr>
        <w:t xml:space="preserve"> como un principio rector del Estado colombiano. Entre los más destacados, puede mencionarse el 209, que afirma que la publicidad es uno de los principios que </w:t>
      </w:r>
      <w:r w:rsidRPr="006515D6">
        <w:rPr>
          <w:rFonts w:ascii="Verdana" w:eastAsia="Calibri" w:hAnsi="Verdana" w:cs="Arial"/>
          <w:lang w:val="es-ES_tradnl"/>
        </w:rPr>
        <w:lastRenderedPageBreak/>
        <w:t xml:space="preserve">fundamentan el ejercicio de la función administrativa. Asimismo, </w:t>
      </w:r>
      <w:r w:rsidRPr="006515D6">
        <w:rPr>
          <w:rFonts w:ascii="Verdana" w:eastAsia="Arial" w:hAnsi="Verdana" w:cs="Arial"/>
          <w:lang w:val="es-ES"/>
        </w:rPr>
        <w:t xml:space="preserve">el artículo 74 de la Constitución Política establece que: “Todas las personas tienen derecho a acceder a los documentos públicos salvo los casos que establezca la ley”. Esta disposición constitucional consagra la garantía fundamental de acceso a la información y a la documentación pública, salvo causal de reserva expresamente prevista en la Constitución o en la Ley. </w:t>
      </w:r>
    </w:p>
    <w:p w14:paraId="0C39845F" w14:textId="77777777" w:rsidR="00575A43" w:rsidRPr="006515D6" w:rsidRDefault="00575A43" w:rsidP="00575A43">
      <w:pPr>
        <w:spacing w:after="120" w:line="276" w:lineRule="auto"/>
        <w:ind w:firstLine="709"/>
        <w:jc w:val="both"/>
        <w:rPr>
          <w:rFonts w:ascii="Verdana" w:eastAsia="Arial" w:hAnsi="Verdana" w:cs="Arial"/>
          <w:lang w:val="es-ES"/>
        </w:rPr>
      </w:pPr>
      <w:r w:rsidRPr="006515D6">
        <w:rPr>
          <w:rFonts w:ascii="Verdana" w:eastAsia="Arial" w:hAnsi="Verdana" w:cs="Arial"/>
          <w:lang w:val="es-ES"/>
        </w:rPr>
        <w:t>El principio de publicidad impone a las autoridades administrativas el deber de dar a conocer sus actos, contratos y decisiones, para que se divulguen y, eventualmente, se controlen las actuaciones</w:t>
      </w:r>
      <w:r w:rsidRPr="006515D6">
        <w:rPr>
          <w:rStyle w:val="Refdenotaalpie"/>
          <w:rFonts w:ascii="Verdana" w:eastAsia="Arial" w:hAnsi="Verdana" w:cs="Arial"/>
          <w:lang w:val="es-ES"/>
        </w:rPr>
        <w:footnoteReference w:id="1"/>
      </w:r>
      <w:r w:rsidRPr="006515D6">
        <w:rPr>
          <w:rFonts w:ascii="Verdana" w:eastAsia="Arial" w:hAnsi="Verdana" w:cs="Arial"/>
          <w:lang w:val="es-ES"/>
        </w:rPr>
        <w:t>.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p>
    <w:p w14:paraId="1597DE4C" w14:textId="77777777" w:rsidR="00575A43" w:rsidRPr="006515D6" w:rsidRDefault="00575A43" w:rsidP="00575A43">
      <w:pPr>
        <w:spacing w:after="120" w:line="276" w:lineRule="auto"/>
        <w:ind w:firstLine="709"/>
        <w:jc w:val="both"/>
        <w:rPr>
          <w:rFonts w:ascii="Verdana" w:eastAsia="Arial" w:hAnsi="Verdana" w:cs="Arial"/>
          <w:lang w:val="es-ES"/>
        </w:rPr>
      </w:pPr>
      <w:r w:rsidRPr="006515D6">
        <w:rPr>
          <w:rFonts w:ascii="Verdana" w:eastAsia="Arial" w:hAnsi="Verdana" w:cs="Arial"/>
          <w:lang w:val="es-ES"/>
        </w:rPr>
        <w:t>Del artículo 3 de la Ley 1150 de 2007 se desprende un deber de publicar las actuaciones contractuales, el cual implica que todas las entidades estatales, publiquen los documentos en los que se evidencia el desarrollo de sus procesos de contratación. Esto, como quiera que el objetivo del deber de dar publicidad a las actuaciones contractuales es materializar el derecho a conocer e intervenir de las decisiones de la Administración Pública.</w:t>
      </w:r>
    </w:p>
    <w:p w14:paraId="7E37BC68" w14:textId="77777777" w:rsidR="00575A43" w:rsidRPr="008B1A9D" w:rsidRDefault="00575A43" w:rsidP="00575A43">
      <w:pPr>
        <w:spacing w:after="120" w:line="276" w:lineRule="auto"/>
        <w:ind w:firstLine="708"/>
        <w:jc w:val="both"/>
        <w:rPr>
          <w:rFonts w:ascii="Verdana" w:eastAsia="Times New Roman" w:hAnsi="Verdana" w:cs="Arial"/>
          <w:lang w:eastAsia="es-CO"/>
        </w:rPr>
      </w:pPr>
      <w:r w:rsidRPr="006515D6">
        <w:rPr>
          <w:rFonts w:ascii="Verdana" w:eastAsia="Arial" w:hAnsi="Verdana" w:cs="Arial"/>
          <w:lang w:val="es-ES"/>
        </w:rPr>
        <w:t>De otra parte, la Ley 1712 de 2014</w:t>
      </w:r>
      <w:r w:rsidRPr="006515D6">
        <w:rPr>
          <w:rStyle w:val="Refdenotaalpie"/>
          <w:rFonts w:ascii="Verdana" w:eastAsia="Arial" w:hAnsi="Verdana" w:cs="Arial"/>
          <w:lang w:val="es-ES"/>
        </w:rPr>
        <w:footnoteReference w:id="2"/>
      </w:r>
      <w:r w:rsidRPr="006515D6">
        <w:rPr>
          <w:rFonts w:ascii="Verdana" w:eastAsia="Arial" w:hAnsi="Verdana" w:cs="Arial"/>
          <w:lang w:val="es-ES"/>
        </w:rPr>
        <w:t xml:space="preserve">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w:t>
      </w:r>
      <w:r w:rsidRPr="006515D6">
        <w:rPr>
          <w:rFonts w:ascii="Verdana" w:eastAsia="Arial" w:hAnsi="Verdana" w:cs="Arial"/>
          <w:lang w:val="es-ES"/>
        </w:rPr>
        <w:lastRenderedPageBreak/>
        <w:t>disposición constitucional o legal"</w:t>
      </w:r>
      <w:r w:rsidRPr="006515D6">
        <w:rPr>
          <w:rStyle w:val="Refdenotaalpie"/>
          <w:rFonts w:ascii="Verdana" w:eastAsia="Arial" w:hAnsi="Verdana" w:cs="Arial"/>
          <w:lang w:val="es-ES"/>
        </w:rPr>
        <w:footnoteReference w:id="3"/>
      </w:r>
      <w:r w:rsidRPr="006515D6">
        <w:rPr>
          <w:rFonts w:ascii="Verdana" w:eastAsia="Arial" w:hAnsi="Verdana" w:cs="Arial"/>
          <w:lang w:val="es-ES"/>
        </w:rPr>
        <w:t>. El principio de transparencia en la información alude al deber de los sujetos de proporcionar y facilitar el acceso a la misma en los términos más amplios posibles, y a través de los medios y procedimientos que establezca la ley</w:t>
      </w:r>
      <w:r w:rsidRPr="006515D6">
        <w:rPr>
          <w:rFonts w:ascii="Verdana" w:eastAsia="Times New Roman" w:hAnsi="Verdana" w:cs="Arial"/>
          <w:vertAlign w:val="superscript"/>
          <w:lang w:eastAsia="es-CO"/>
        </w:rPr>
        <w:footnoteReference w:id="4"/>
      </w:r>
      <w:r w:rsidRPr="006515D6">
        <w:rPr>
          <w:rFonts w:ascii="Verdana" w:eastAsia="Times New Roman" w:hAnsi="Verdana" w:cs="Arial"/>
          <w:lang w:eastAsia="es-CO"/>
        </w:rPr>
        <w:t xml:space="preserve">. Finalmente, el principio de buena fe hace </w:t>
      </w:r>
      <w:r w:rsidRPr="008B1A9D">
        <w:rPr>
          <w:rFonts w:ascii="Verdana" w:eastAsia="Times New Roman" w:hAnsi="Verdana" w:cs="Arial"/>
          <w:lang w:eastAsia="es-CO"/>
        </w:rPr>
        <w:t>referencia al deber de todo sujeto obligado de cumplir con las obligaciones derivadas del derecho de acceso a la información pública con motivación honesta, leal y desprovista de cualquier intención dolosa o culposa</w:t>
      </w:r>
      <w:r w:rsidRPr="008B1A9D">
        <w:rPr>
          <w:rFonts w:ascii="Verdana" w:eastAsia="Times New Roman" w:hAnsi="Verdana" w:cs="Arial"/>
          <w:vertAlign w:val="superscript"/>
          <w:lang w:eastAsia="es-CO"/>
        </w:rPr>
        <w:footnoteReference w:id="5"/>
      </w:r>
      <w:r w:rsidRPr="008B1A9D">
        <w:rPr>
          <w:rFonts w:ascii="Verdana" w:eastAsia="Times New Roman" w:hAnsi="Verdana" w:cs="Arial"/>
          <w:lang w:eastAsia="es-CO"/>
        </w:rPr>
        <w:t xml:space="preserve">. </w:t>
      </w:r>
    </w:p>
    <w:p w14:paraId="3B43E7D4" w14:textId="77777777" w:rsidR="00575A43" w:rsidRPr="008B1A9D" w:rsidRDefault="00575A43" w:rsidP="00575A43">
      <w:pPr>
        <w:spacing w:after="120" w:line="276" w:lineRule="auto"/>
        <w:ind w:firstLine="709"/>
        <w:jc w:val="both"/>
        <w:rPr>
          <w:rFonts w:ascii="Verdana" w:eastAsia="Arial" w:hAnsi="Verdana" w:cs="Arial"/>
          <w:lang w:val="es-ES"/>
        </w:rPr>
      </w:pPr>
      <w:r w:rsidRPr="008B1A9D">
        <w:rPr>
          <w:rFonts w:ascii="Verdana" w:eastAsia="Arial" w:hAnsi="Verdana" w:cs="Arial"/>
          <w:lang w:val="es-ES"/>
        </w:rPr>
        <w:t>La ley citada establece, en el literal e) del artículo 9, que los sujetos obligados, que son todas las entidades públicas, deben publicar la información relativa a su contratación</w:t>
      </w:r>
      <w:r w:rsidRPr="008B1A9D">
        <w:rPr>
          <w:rFonts w:ascii="Verdana" w:eastAsia="Times New Roman" w:hAnsi="Verdana" w:cs="Arial"/>
          <w:vertAlign w:val="superscript"/>
          <w:lang w:eastAsia="es-CO"/>
        </w:rPr>
        <w:footnoteReference w:id="6"/>
      </w:r>
      <w:r w:rsidRPr="008B1A9D">
        <w:rPr>
          <w:rFonts w:ascii="Verdana" w:eastAsia="Arial" w:hAnsi="Verdana" w:cs="Arial"/>
          <w:lang w:val="es-ES"/>
        </w:rPr>
        <w:t xml:space="preserve">. </w:t>
      </w:r>
      <w:r w:rsidRPr="008B1A9D">
        <w:rPr>
          <w:rFonts w:ascii="Verdana" w:eastAsia="Arial MT" w:hAnsi="Verdana" w:cs="Arial"/>
          <w:lang w:val="es-ES"/>
        </w:rPr>
        <w:t xml:space="preserve">El artículo 5 </w:t>
      </w:r>
      <w:r w:rsidRPr="008B1A9D">
        <w:rPr>
          <w:rFonts w:ascii="Verdana" w:eastAsia="Arial MT" w:hAnsi="Verdana" w:cs="Arial"/>
          <w:i/>
          <w:iCs/>
          <w:lang w:val="es-ES"/>
        </w:rPr>
        <w:t>ibidem</w:t>
      </w:r>
      <w:r w:rsidRPr="008B1A9D">
        <w:rPr>
          <w:rFonts w:ascii="Verdana" w:eastAsia="Arial MT" w:hAnsi="Verdana" w:cs="Arial"/>
          <w:lang w:val="es-ES"/>
        </w:rPr>
        <w:t>, al describir qué se entiende por sujetos obligados, consagra una lista cuyo propósito es incluir a cualquier entidad, órgano, organismo, o persona natural que desempeñe funciones públicas o administre recursos públicos</w:t>
      </w:r>
      <w:r w:rsidRPr="008B1A9D">
        <w:rPr>
          <w:rFonts w:ascii="Verdana" w:eastAsia="Times New Roman" w:hAnsi="Verdana" w:cs="Arial"/>
          <w:vertAlign w:val="superscript"/>
          <w:lang w:eastAsia="es-CO"/>
        </w:rPr>
        <w:footnoteReference w:id="7"/>
      </w:r>
      <w:r w:rsidRPr="008B1A9D">
        <w:rPr>
          <w:rFonts w:ascii="Verdana" w:eastAsia="Arial MT" w:hAnsi="Verdana" w:cs="Arial"/>
          <w:lang w:val="es-ES"/>
        </w:rPr>
        <w:t>.</w:t>
      </w:r>
      <w:r w:rsidRPr="008B1A9D">
        <w:rPr>
          <w:rFonts w:ascii="Verdana" w:eastAsia="Times New Roman" w:hAnsi="Verdana" w:cs="Arial"/>
          <w:lang w:eastAsia="es-CO"/>
        </w:rPr>
        <w:t xml:space="preserve"> </w:t>
      </w:r>
      <w:r w:rsidRPr="008B1A9D">
        <w:rPr>
          <w:rFonts w:ascii="Verdana" w:eastAsia="Arial" w:hAnsi="Verdana" w:cs="Arial"/>
          <w:lang w:val="es-ES"/>
        </w:rPr>
        <w:t xml:space="preserve">Asimismo, de acuerdo con el literal g) del artículo 11 de la misma Ley, todos los destinatarios de la Ley de Transparencia deben garantizar la publicidad de “sus procedimientos, lineamientos, políticas en materia de adquisiciones y compras, así como todos </w:t>
      </w:r>
      <w:r w:rsidRPr="008B1A9D">
        <w:rPr>
          <w:rFonts w:ascii="Verdana" w:eastAsia="Arial" w:hAnsi="Verdana" w:cs="Arial"/>
          <w:lang w:val="es-ES"/>
        </w:rPr>
        <w:lastRenderedPageBreak/>
        <w:t>los datos de adjudicación y ejecución de contratos, incluidos concursos y licitaciones”, y esta información también debe estar en el SECOP.</w:t>
      </w:r>
    </w:p>
    <w:p w14:paraId="37218835" w14:textId="77777777" w:rsidR="00575A43" w:rsidRPr="00522572" w:rsidRDefault="00575A43" w:rsidP="00575A43">
      <w:pPr>
        <w:pStyle w:val="Textoindependiente"/>
        <w:spacing w:line="278" w:lineRule="auto"/>
        <w:ind w:right="130" w:firstLine="709"/>
        <w:jc w:val="both"/>
        <w:rPr>
          <w:rFonts w:ascii="Verdana" w:eastAsia="Calibri" w:hAnsi="Verdana"/>
        </w:rPr>
      </w:pPr>
      <w:r w:rsidRPr="008B1A9D">
        <w:rPr>
          <w:rFonts w:ascii="Verdana" w:eastAsia="Calibri" w:hAnsi="Verdana"/>
        </w:rPr>
        <w:t>En el año 2013, la Agencia Nacional de Contratación Pública – Colombia Compra Eficiente, mediante la Circular Externa No 1 del 21 de junio de 2013</w:t>
      </w:r>
      <w:r w:rsidRPr="008B1A9D">
        <w:rPr>
          <w:rFonts w:ascii="Verdana" w:eastAsia="Calibri" w:hAnsi="Verdana"/>
          <w:vertAlign w:val="superscript"/>
        </w:rPr>
        <w:footnoteReference w:id="8"/>
      </w:r>
      <w:r w:rsidRPr="008B1A9D">
        <w:rPr>
          <w:rFonts w:ascii="Verdana" w:eastAsia="Calibri" w:hAnsi="Verdana"/>
        </w:rPr>
        <w:t xml:space="preserve">, recopilada en la Circular Externa Única, recordó a todas las entidades del Estado el deber de publicar oportunamente su actividad contractual en el SECOP, sin distinción de su régimen jurídico, naturaleza jurídica o la pertenencia a una u </w:t>
      </w:r>
      <w:r w:rsidRPr="00E44F37">
        <w:rPr>
          <w:rFonts w:ascii="Verdana" w:eastAsia="Calibri" w:hAnsi="Verdana"/>
        </w:rPr>
        <w:t>otra rama del poder público</w:t>
      </w:r>
      <w:r w:rsidRPr="00E44F37">
        <w:rPr>
          <w:rFonts w:ascii="Verdana" w:eastAsia="Calibri" w:hAnsi="Verdana"/>
          <w:vertAlign w:val="superscript"/>
        </w:rPr>
        <w:footnoteReference w:id="9"/>
      </w:r>
      <w:r w:rsidRPr="00E44F37">
        <w:rPr>
          <w:rFonts w:ascii="Verdana" w:eastAsia="Calibri" w:hAnsi="Verdana"/>
        </w:rPr>
        <w:t xml:space="preserve">. Además, la Circular Externa Única, en el numeral </w:t>
      </w:r>
      <w:r w:rsidRPr="00522572">
        <w:rPr>
          <w:rFonts w:ascii="Verdana" w:eastAsia="Calibri" w:hAnsi="Verdana"/>
        </w:rPr>
        <w:t xml:space="preserve">1.1., establece, de manera enunciativa, que deben publicar en el SECOP: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1C732B14" w14:textId="77777777" w:rsidR="00575A43" w:rsidRPr="00522572" w:rsidRDefault="00575A43" w:rsidP="00575A43">
      <w:pPr>
        <w:pStyle w:val="Textoindependiente"/>
        <w:spacing w:line="278" w:lineRule="auto"/>
        <w:ind w:right="130" w:firstLine="709"/>
        <w:jc w:val="both"/>
        <w:rPr>
          <w:rFonts w:ascii="Verdana" w:eastAsia="Calibri" w:hAnsi="Verdana"/>
        </w:rPr>
      </w:pPr>
      <w:r w:rsidRPr="00522572">
        <w:rPr>
          <w:rFonts w:ascii="Verdana" w:eastAsia="Calibri" w:hAnsi="Verdana"/>
        </w:rPr>
        <w:t>Así mismo, en la Circular única Externa se indicó que “Las Entidades Estatales que contratan con cargo a recursos públicos están obligadas a publicar oportunamente su actividad contractual en el SECOP, sin que sea relevante, para la exigencia de esta obligación, su régimen jurídico, naturaleza de público o privada o la pertenencia a una u otra rama del poder público. Esta obligación deberá cumplirse, inclusive, si la ejecución del contrato no implica erogación presupuestal”.</w:t>
      </w:r>
    </w:p>
    <w:p w14:paraId="09485F3B" w14:textId="77777777" w:rsidR="00575A43" w:rsidRPr="00F214F4" w:rsidRDefault="00575A43" w:rsidP="00575A43">
      <w:pPr>
        <w:spacing w:after="120" w:line="276" w:lineRule="auto"/>
        <w:ind w:firstLine="708"/>
        <w:jc w:val="both"/>
        <w:textAlignment w:val="baseline"/>
        <w:rPr>
          <w:rFonts w:ascii="Verdana" w:eastAsia="Aptos" w:hAnsi="Verdana" w:cs="Arial"/>
          <w:lang w:val="es-ES_tradnl" w:eastAsia="es-MX"/>
        </w:rPr>
      </w:pPr>
      <w:r w:rsidRPr="00F214F4">
        <w:rPr>
          <w:rFonts w:ascii="Verdana" w:eastAsia="Aptos" w:hAnsi="Verdana" w:cs="Arial"/>
          <w:lang w:val="es-ES_tradnl" w:eastAsia="es-MX"/>
        </w:rPr>
        <w:t xml:space="preserve">Resulta importante resaltar que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w:t>
      </w:r>
      <w:r w:rsidRPr="00F214F4">
        <w:rPr>
          <w:rFonts w:ascii="Verdana" w:eastAsia="Aptos" w:hAnsi="Verdana" w:cs="Arial"/>
          <w:lang w:val="es-ES_tradnl" w:eastAsia="es-MX"/>
        </w:rPr>
        <w:lastRenderedPageBreak/>
        <w:t>evaluación; (g) el contrato; y cualquier otro documento expedido por la Entidad Estatal durante el Proceso de Contratación”.</w:t>
      </w:r>
    </w:p>
    <w:p w14:paraId="387A206B" w14:textId="77777777" w:rsidR="00575A43" w:rsidRPr="00F214F4" w:rsidRDefault="00575A43" w:rsidP="00575A43">
      <w:pPr>
        <w:spacing w:after="120" w:line="276" w:lineRule="auto"/>
        <w:ind w:firstLine="709"/>
        <w:jc w:val="both"/>
        <w:textAlignment w:val="baseline"/>
        <w:rPr>
          <w:rFonts w:ascii="Verdana" w:eastAsia="Aptos" w:hAnsi="Verdana" w:cs="Arial"/>
          <w:lang w:val="es-ES_tradnl" w:eastAsia="es-MX"/>
        </w:rPr>
      </w:pPr>
      <w:r w:rsidRPr="00F214F4">
        <w:rPr>
          <w:rFonts w:ascii="Verdana" w:eastAsia="Aptos" w:hAnsi="Verdana" w:cs="Arial"/>
          <w:lang w:val="es-ES_tradnl" w:eastAsia="es-MX"/>
        </w:rPr>
        <w:t>En consecuencia,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403A7560" w14:textId="77777777" w:rsidR="00575A43" w:rsidRPr="00F214F4" w:rsidRDefault="00575A43" w:rsidP="00575A43">
      <w:pPr>
        <w:spacing w:after="120" w:line="276" w:lineRule="auto"/>
        <w:ind w:firstLine="709"/>
        <w:jc w:val="both"/>
        <w:rPr>
          <w:rFonts w:ascii="Verdana" w:eastAsia="Aptos" w:hAnsi="Verdana" w:cs="Arial"/>
          <w:lang w:val="es-ES" w:eastAsia="es-MX"/>
        </w:rPr>
      </w:pPr>
      <w:r w:rsidRPr="00F214F4">
        <w:rPr>
          <w:rFonts w:ascii="Verdana" w:eastAsia="Aptos" w:hAnsi="Verdana" w:cs="Arial"/>
          <w:lang w:val="es-ES" w:eastAsia="es-MX"/>
        </w:rPr>
        <w:t xml:space="preserve">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En ese sentido, </w:t>
      </w:r>
      <w:bookmarkStart w:id="2" w:name="_Hlk178832591"/>
      <w:r w:rsidRPr="00F214F4">
        <w:rPr>
          <w:rFonts w:ascii="Verdana" w:eastAsia="Aptos" w:hAnsi="Verdana" w:cs="Arial"/>
          <w:lang w:val="es-ES" w:eastAsia="es-MX"/>
        </w:rPr>
        <w:t>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ll.</w:t>
      </w:r>
      <w:bookmarkEnd w:id="2"/>
    </w:p>
    <w:p w14:paraId="1DB5A8D0" w14:textId="77777777" w:rsidR="00575A43" w:rsidRDefault="00575A43" w:rsidP="00575A43">
      <w:pPr>
        <w:spacing w:after="120" w:line="276" w:lineRule="auto"/>
        <w:ind w:right="62" w:firstLine="708"/>
        <w:jc w:val="both"/>
        <w:rPr>
          <w:rFonts w:ascii="Verdana" w:eastAsia="Aptos" w:hAnsi="Verdana" w:cs="Arial"/>
          <w:lang w:val="es-ES" w:eastAsia="es-MX"/>
        </w:rPr>
      </w:pPr>
      <w:r>
        <w:rPr>
          <w:rFonts w:ascii="Verdana" w:eastAsia="Aptos" w:hAnsi="Verdana" w:cs="Arial"/>
          <w:lang w:val="es-ES" w:eastAsia="es-MX"/>
        </w:rPr>
        <w:t>Por otra parte</w:t>
      </w:r>
      <w:r w:rsidRPr="00F9638C">
        <w:rPr>
          <w:rFonts w:ascii="Verdana" w:eastAsia="Aptos" w:hAnsi="Verdana" w:cs="Arial"/>
          <w:lang w:val="es-ES" w:eastAsia="es-MX"/>
        </w:rPr>
        <w:t xml:space="preserve">, </w:t>
      </w:r>
      <w:bookmarkStart w:id="3" w:name="_Hlk100313785"/>
      <w:bookmarkStart w:id="4" w:name="_Hlk146718925"/>
      <w:r w:rsidRPr="00F9638C">
        <w:rPr>
          <w:rFonts w:ascii="Verdana" w:eastAsia="Aptos" w:hAnsi="Verdana" w:cs="Arial"/>
          <w:lang w:val="es-ES" w:eastAsia="es-MX"/>
        </w:rPr>
        <w:t>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w:t>
      </w:r>
      <w:r w:rsidRPr="00B57578">
        <w:rPr>
          <w:rFonts w:ascii="Verdana" w:eastAsia="Aptos" w:hAnsi="Verdana" w:cs="Arial"/>
          <w:vertAlign w:val="superscript"/>
          <w:lang w:val="es-ES" w:eastAsia="es-MX"/>
        </w:rPr>
        <w:footnoteReference w:id="10"/>
      </w:r>
      <w:r w:rsidRPr="00F9638C">
        <w:rPr>
          <w:rFonts w:ascii="Verdana" w:eastAsia="Aptos" w:hAnsi="Verdana" w:cs="Arial"/>
          <w:lang w:val="es-ES" w:eastAsia="es-MX"/>
        </w:rPr>
        <w:t xml:space="preserve"> –que adicionó el </w:t>
      </w:r>
      <w:r w:rsidRPr="00F9638C">
        <w:rPr>
          <w:rFonts w:ascii="Verdana" w:eastAsia="Aptos" w:hAnsi="Verdana" w:cs="Arial"/>
          <w:lang w:val="es-ES" w:eastAsia="es-MX"/>
        </w:rPr>
        <w:lastRenderedPageBreak/>
        <w:t>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r w:rsidRPr="00B57578">
        <w:rPr>
          <w:rFonts w:ascii="Verdana" w:eastAsia="Aptos" w:hAnsi="Verdana" w:cs="Arial"/>
          <w:vertAlign w:val="superscript"/>
          <w:lang w:val="es-ES" w:eastAsia="es-MX"/>
        </w:rPr>
        <w:footnoteReference w:id="11"/>
      </w:r>
      <w:bookmarkEnd w:id="3"/>
    </w:p>
    <w:p w14:paraId="5D19EB3C" w14:textId="77777777" w:rsidR="00575A43" w:rsidRDefault="00575A43" w:rsidP="00575A43">
      <w:pPr>
        <w:spacing w:after="120" w:line="276" w:lineRule="auto"/>
        <w:ind w:right="62" w:firstLine="708"/>
        <w:jc w:val="both"/>
        <w:rPr>
          <w:rFonts w:ascii="Verdana" w:eastAsia="Aptos" w:hAnsi="Verdana" w:cs="Arial"/>
          <w:lang w:val="es-ES" w:eastAsia="es-MX"/>
        </w:rPr>
      </w:pPr>
      <w:r w:rsidRPr="00F9638C">
        <w:rPr>
          <w:rFonts w:ascii="Verdana" w:eastAsia="Aptos" w:hAnsi="Verdana" w:cs="Arial"/>
          <w:lang w:val="es-ES" w:eastAsia="es-MX"/>
        </w:rPr>
        <w:t>Dicho de otro modo, la mínima cuantía es un procedimiento de selección excepcional</w:t>
      </w:r>
      <w:r w:rsidRPr="00F407B1">
        <w:rPr>
          <w:rFonts w:ascii="Verdana" w:eastAsia="Aptos" w:hAnsi="Verdana" w:cs="Arial"/>
          <w:vertAlign w:val="superscript"/>
          <w:lang w:val="es-ES" w:eastAsia="es-MX"/>
        </w:rPr>
        <w:footnoteReference w:id="12"/>
      </w:r>
      <w:r w:rsidRPr="00F9638C">
        <w:rPr>
          <w:rFonts w:ascii="Verdana" w:eastAsia="Aptos" w:hAnsi="Verdana" w:cs="Arial"/>
          <w:lang w:val="es-ES" w:eastAsia="es-MX"/>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F407B1">
        <w:rPr>
          <w:rFonts w:ascii="Verdana" w:eastAsia="Aptos" w:hAnsi="Verdana" w:cs="Arial"/>
          <w:vertAlign w:val="superscript"/>
          <w:lang w:val="es-ES" w:eastAsia="es-MX"/>
        </w:rPr>
        <w:footnoteReference w:id="13"/>
      </w:r>
      <w:r w:rsidRPr="00F9638C">
        <w:rPr>
          <w:rFonts w:ascii="Verdana" w:eastAsia="Aptos" w:hAnsi="Verdana" w:cs="Arial"/>
          <w:lang w:val="es-ES" w:eastAsia="es-MX"/>
        </w:rPr>
        <w:t xml:space="preserve">, y lo segundo, porque sus requisitos, etapas y términos son peculiares. </w:t>
      </w:r>
      <w:bookmarkEnd w:id="4"/>
    </w:p>
    <w:p w14:paraId="46623510" w14:textId="77777777" w:rsidR="00575A43" w:rsidRPr="00ED4C26" w:rsidRDefault="00575A43" w:rsidP="00575A43">
      <w:pPr>
        <w:spacing w:after="120" w:line="276" w:lineRule="auto"/>
        <w:ind w:right="62" w:firstLine="708"/>
        <w:jc w:val="both"/>
        <w:rPr>
          <w:rFonts w:ascii="Verdana" w:eastAsia="Aptos" w:hAnsi="Verdana" w:cs="Arial"/>
          <w:lang w:val="es-ES" w:eastAsia="es-MX"/>
        </w:rPr>
      </w:pPr>
      <w:r w:rsidRPr="00ED4C26">
        <w:rPr>
          <w:rFonts w:ascii="Verdana" w:eastAsia="Calibri" w:hAnsi="Verdana" w:cs="Arial"/>
          <w:color w:val="000000"/>
          <w:lang w:val="es-ES_tradnl"/>
        </w:rPr>
        <w:t>Ahora bien, vistas las anteriores vicisitudes normativas que rodean la modalidad de selección de mínima cuantía, y con fundamento en los artículos 2.2.1.2.1.5.1. al 2.2.1.2.1.5.4 del Decreto 1082 de 2015 modificados, como se ha venido exponiendo, por el artículo 2 del Decreto 1860 de 2021, resulta imperante sintetizar los requisitos en el procedimiento de esta modalidad de selección de la siguiente forma:</w:t>
      </w:r>
    </w:p>
    <w:p w14:paraId="409A7F9A" w14:textId="77777777" w:rsidR="00575A43" w:rsidRPr="007C5C70" w:rsidRDefault="00575A43" w:rsidP="00575A43">
      <w:pPr>
        <w:spacing w:after="120" w:line="276" w:lineRule="auto"/>
        <w:ind w:firstLine="709"/>
        <w:jc w:val="both"/>
        <w:rPr>
          <w:rFonts w:ascii="Verdana" w:eastAsia="Calibri" w:hAnsi="Verdana" w:cs="Arial"/>
          <w:color w:val="000000"/>
          <w:lang w:val="es-ES_tradnl"/>
        </w:rPr>
      </w:pPr>
      <w:r w:rsidRPr="007C5C70">
        <w:rPr>
          <w:rFonts w:ascii="Verdana" w:eastAsia="Calibri" w:hAnsi="Verdana" w:cs="Arial"/>
          <w:color w:val="000000"/>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021E1A28" w14:textId="77777777" w:rsidR="00575A43" w:rsidRPr="007C5C70" w:rsidRDefault="00575A43" w:rsidP="00575A43">
      <w:pPr>
        <w:spacing w:after="120" w:line="276" w:lineRule="auto"/>
        <w:ind w:firstLine="709"/>
        <w:jc w:val="both"/>
        <w:rPr>
          <w:rFonts w:ascii="Verdana" w:eastAsia="Calibri" w:hAnsi="Verdana" w:cs="Arial"/>
          <w:color w:val="000000"/>
          <w:lang w:val="es-ES"/>
        </w:rPr>
      </w:pPr>
      <w:r w:rsidRPr="007C5C70">
        <w:rPr>
          <w:rFonts w:ascii="Verdana" w:eastAsia="Calibri" w:hAnsi="Verdana" w:cs="Arial"/>
          <w:color w:val="000000"/>
          <w:lang w:val="es-ES"/>
        </w:rPr>
        <w:lastRenderedPageBreak/>
        <w:t>ii) Luego de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7C5C70">
        <w:rPr>
          <w:rFonts w:ascii="Verdana" w:eastAsia="Calibri" w:hAnsi="Verdana" w:cs="Arial"/>
          <w:color w:val="000000"/>
          <w:vertAlign w:val="superscript"/>
          <w:lang w:val="es-ES"/>
        </w:rPr>
        <w:footnoteReference w:id="14"/>
      </w:r>
      <w:r w:rsidRPr="007C5C70">
        <w:rPr>
          <w:rFonts w:ascii="Verdana" w:eastAsia="Calibri" w:hAnsi="Verdana" w:cs="Arial"/>
          <w:color w:val="000000"/>
          <w:lang w:val="es-ES"/>
        </w:rPr>
        <w:t>.</w:t>
      </w:r>
    </w:p>
    <w:p w14:paraId="57DE1086" w14:textId="77777777" w:rsidR="00575A43" w:rsidRPr="007C5C70" w:rsidRDefault="00575A43" w:rsidP="00575A43">
      <w:pPr>
        <w:spacing w:after="120" w:line="276" w:lineRule="auto"/>
        <w:ind w:firstLine="709"/>
        <w:jc w:val="both"/>
        <w:rPr>
          <w:rFonts w:ascii="Verdana" w:eastAsia="Calibri" w:hAnsi="Verdana" w:cs="Arial"/>
          <w:color w:val="000000"/>
          <w:lang w:val="es-ES"/>
        </w:rPr>
      </w:pPr>
      <w:r w:rsidRPr="007C5C70">
        <w:rPr>
          <w:rFonts w:ascii="Verdana" w:eastAsia="Calibri" w:hAnsi="Verdana" w:cs="Arial"/>
          <w:color w:val="000000"/>
          <w:lang w:val="es-ES"/>
        </w:rPr>
        <w:t>iii) La invitación se debe hacer por un término no inferior a un (1) día hábil.</w:t>
      </w:r>
    </w:p>
    <w:p w14:paraId="7D2CD406" w14:textId="77777777" w:rsidR="00575A43" w:rsidRPr="007C5C70" w:rsidRDefault="00575A43" w:rsidP="00575A43">
      <w:pPr>
        <w:spacing w:after="120" w:line="276" w:lineRule="auto"/>
        <w:ind w:firstLine="709"/>
        <w:jc w:val="both"/>
        <w:rPr>
          <w:rFonts w:ascii="Verdana" w:eastAsia="Calibri" w:hAnsi="Verdana" w:cs="Arial"/>
          <w:color w:val="000000"/>
          <w:lang w:val="es-ES"/>
        </w:rPr>
      </w:pPr>
      <w:r w:rsidRPr="007C5C70">
        <w:rPr>
          <w:rFonts w:ascii="Verdana" w:eastAsia="Calibri" w:hAnsi="Verdana" w:cs="Arial"/>
          <w:color w:val="000000"/>
          <w:lang w:val="es-ES"/>
        </w:rPr>
        <w:t>iv) Las observaciones que presenten los interesados a la invitación deben responderse a más tardar antes del vencimiento del término para presentar las ofertas.</w:t>
      </w:r>
    </w:p>
    <w:p w14:paraId="3BCED7E0" w14:textId="77777777" w:rsidR="00575A43" w:rsidRPr="007C5C70" w:rsidRDefault="00575A43" w:rsidP="00575A43">
      <w:pPr>
        <w:spacing w:after="120" w:line="276" w:lineRule="auto"/>
        <w:ind w:firstLine="709"/>
        <w:jc w:val="both"/>
        <w:rPr>
          <w:rFonts w:ascii="Verdana" w:eastAsia="Calibri" w:hAnsi="Verdana" w:cs="Arial"/>
          <w:color w:val="000000"/>
          <w:lang w:val="es-ES_tradnl"/>
        </w:rPr>
      </w:pPr>
      <w:r w:rsidRPr="2D487932">
        <w:rPr>
          <w:rFonts w:ascii="Verdana" w:eastAsia="Calibri" w:hAnsi="Verdana" w:cs="Arial"/>
          <w:color w:val="000000"/>
          <w:lang w:val="es-ES"/>
        </w:rPr>
        <w:t>v) Presentadas las propuestas, la entidad estatal debe revisar las ofertas económicas y verificar que la del menor precio cumpla los requisitos de participación. Si no los satisface debe revisar la oferta económica inmediatamente inferior, y así sucesivamente. Esto significa que en la mínima cuantía el precio es el único factor de calificación</w:t>
      </w:r>
      <w:r w:rsidRPr="2D487932">
        <w:rPr>
          <w:rFonts w:ascii="Verdana" w:eastAsia="Calibri" w:hAnsi="Verdana" w:cs="Arial"/>
          <w:color w:val="000000"/>
          <w:vertAlign w:val="superscript"/>
          <w:lang w:val="es-ES"/>
        </w:rPr>
        <w:footnoteReference w:id="15"/>
      </w:r>
      <w:r w:rsidRPr="2D487932">
        <w:rPr>
          <w:rFonts w:ascii="Verdana" w:eastAsia="Calibri" w:hAnsi="Verdana" w:cs="Arial"/>
          <w:color w:val="000000"/>
          <w:lang w:val="es-ES"/>
        </w:rPr>
        <w:t>.</w:t>
      </w:r>
    </w:p>
    <w:p w14:paraId="093C8338" w14:textId="77777777" w:rsidR="00575A43" w:rsidRPr="007C5C70" w:rsidRDefault="00575A43" w:rsidP="00575A43">
      <w:pPr>
        <w:spacing w:after="120" w:line="276" w:lineRule="auto"/>
        <w:ind w:firstLine="709"/>
        <w:jc w:val="both"/>
        <w:rPr>
          <w:rFonts w:ascii="Verdana" w:eastAsia="Calibri" w:hAnsi="Verdana" w:cs="Arial"/>
          <w:color w:val="000000"/>
          <w:lang w:val="es-ES_tradnl"/>
        </w:rPr>
      </w:pPr>
      <w:r w:rsidRPr="007C5C70">
        <w:rPr>
          <w:rFonts w:ascii="Verdana" w:eastAsia="Calibri" w:hAnsi="Verdana" w:cs="Arial"/>
          <w:color w:val="000000"/>
          <w:lang w:val="es-ES_tradnl"/>
        </w:rPr>
        <w:t>vi) El informe de evaluación se debe publicar por lo menos un (1) día hábil.</w:t>
      </w:r>
    </w:p>
    <w:p w14:paraId="7182C2D3" w14:textId="77777777" w:rsidR="00575A43" w:rsidRDefault="00575A43" w:rsidP="00575A43">
      <w:pPr>
        <w:spacing w:after="120" w:line="276" w:lineRule="auto"/>
        <w:ind w:firstLine="709"/>
        <w:jc w:val="both"/>
        <w:rPr>
          <w:rFonts w:ascii="Verdana" w:eastAsia="Calibri" w:hAnsi="Verdana" w:cs="Arial"/>
          <w:color w:val="000000"/>
          <w:lang w:val="es-ES"/>
        </w:rPr>
      </w:pPr>
      <w:r w:rsidRPr="007C5C70">
        <w:rPr>
          <w:rFonts w:ascii="Verdana" w:eastAsia="Calibri" w:hAnsi="Verdana" w:cs="Arial"/>
          <w:color w:val="000000"/>
          <w:lang w:val="es-ES"/>
        </w:rPr>
        <w:t xml:space="preserve">vii) </w:t>
      </w:r>
      <w:bookmarkStart w:id="5" w:name="_Hlk134700391"/>
      <w:r w:rsidRPr="007C5C70">
        <w:rPr>
          <w:rFonts w:ascii="Verdana" w:eastAsia="Calibri" w:hAnsi="Verdana" w:cs="Arial"/>
          <w:color w:val="000000"/>
          <w:lang w:val="es-ES"/>
        </w:rPr>
        <w:t>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p w14:paraId="4078FD6E" w14:textId="77777777" w:rsidR="00575A43" w:rsidRPr="00D10E89" w:rsidRDefault="00575A43" w:rsidP="00575A43">
      <w:pPr>
        <w:spacing w:after="0" w:line="276" w:lineRule="auto"/>
        <w:ind w:firstLine="709"/>
        <w:jc w:val="both"/>
        <w:rPr>
          <w:rFonts w:ascii="Verdana" w:eastAsia="Calibri" w:hAnsi="Verdana" w:cs="Arial"/>
          <w:lang w:val="es-ES_tradnl" w:eastAsia="es-CO"/>
        </w:rPr>
      </w:pPr>
      <w:r w:rsidRPr="00ED4C26">
        <w:rPr>
          <w:rFonts w:ascii="Verdana" w:eastAsia="Calibri" w:hAnsi="Verdana" w:cs="Arial"/>
          <w:lang w:val="es-ES_tradnl"/>
        </w:rPr>
        <w:t xml:space="preserve">Sumado a lo anterior, el numeral 8 del artículo 2.2.1.2.1.5.2 del Decreto 1082 de 2015, modificado por el artículo 2 del Decreto 1860 de 2021, </w:t>
      </w:r>
      <w:r w:rsidRPr="00ED4C26">
        <w:rPr>
          <w:rFonts w:ascii="Verdana" w:eastAsia="Calibri" w:hAnsi="Verdana" w:cs="Arial"/>
          <w:lang w:val="es-ES_tradnl" w:eastAsia="es-CO"/>
        </w:rPr>
        <w:t xml:space="preserve">realiza una remisión expresa a los factores de desempate consagrados en el artículo 35 </w:t>
      </w:r>
      <w:r w:rsidRPr="00ED4C26">
        <w:rPr>
          <w:rFonts w:ascii="Verdana" w:eastAsia="Calibri" w:hAnsi="Verdana" w:cs="Arial"/>
          <w:lang w:val="es-ES_tradnl" w:eastAsia="es-CO"/>
        </w:rPr>
        <w:lastRenderedPageBreak/>
        <w:t xml:space="preserve">de la Ley </w:t>
      </w:r>
      <w:r w:rsidRPr="00ED4C26">
        <w:rPr>
          <w:rFonts w:ascii="Verdana" w:eastAsia="Calibri" w:hAnsi="Verdana" w:cs="Arial"/>
          <w:lang w:val="es-ES_tradnl"/>
        </w:rPr>
        <w:t>2069 de 2020 para los procedimientos de mínima cuantía, con lo cual se reafirma la conclusión según la cual que el régimen de los factores de desempate consagrado en el artículo 35 de la Ley de Emprendimiento es aplicable a la modalidad de mínima cuantía.</w:t>
      </w:r>
      <w:r w:rsidRPr="00D10E89">
        <w:rPr>
          <w:rFonts w:ascii="Verdana" w:eastAsia="Calibri" w:hAnsi="Verdana" w:cs="Arial"/>
          <w:lang w:val="es-ES_tradnl"/>
        </w:rPr>
        <w:t xml:space="preserve"> </w:t>
      </w:r>
    </w:p>
    <w:bookmarkEnd w:id="5"/>
    <w:p w14:paraId="7C9F4AA3" w14:textId="77777777" w:rsidR="00575A43" w:rsidRPr="003E2DC5" w:rsidRDefault="00575A43" w:rsidP="00575A43">
      <w:pPr>
        <w:spacing w:after="120" w:line="276" w:lineRule="auto"/>
        <w:jc w:val="both"/>
        <w:rPr>
          <w:rFonts w:ascii="Verdana" w:eastAsia="Aptos" w:hAnsi="Verdana" w:cs="Arial"/>
          <w:lang w:val="es-ES" w:eastAsia="es-MX"/>
        </w:rPr>
      </w:pPr>
    </w:p>
    <w:p w14:paraId="05FF3BB7" w14:textId="77777777" w:rsidR="00575A43" w:rsidRPr="00CF5AE5" w:rsidRDefault="00575A43" w:rsidP="00575A43">
      <w:pPr>
        <w:tabs>
          <w:tab w:val="left" w:pos="142"/>
          <w:tab w:val="left" w:pos="284"/>
        </w:tabs>
        <w:spacing w:after="0" w:line="276" w:lineRule="auto"/>
        <w:jc w:val="both"/>
        <w:rPr>
          <w:rFonts w:ascii="Verdana" w:eastAsia="Century Gothic" w:hAnsi="Verdana" w:cs="Century Gothic"/>
          <w:b/>
          <w:bCs/>
        </w:rPr>
      </w:pPr>
      <w:r w:rsidRPr="00CF5AE5">
        <w:rPr>
          <w:rFonts w:ascii="Verdana" w:eastAsia="Century Gothic" w:hAnsi="Verdana" w:cs="Century Gothic"/>
          <w:b/>
          <w:bCs/>
        </w:rPr>
        <w:t>4. Referencias normativas, jurisprudenciales y otras fuentes:</w:t>
      </w:r>
    </w:p>
    <w:p w14:paraId="2BA28F8F" w14:textId="77777777" w:rsidR="00575A43" w:rsidRPr="00384356" w:rsidRDefault="00575A43" w:rsidP="00575A43">
      <w:pPr>
        <w:tabs>
          <w:tab w:val="left" w:pos="142"/>
          <w:tab w:val="left" w:pos="284"/>
        </w:tabs>
        <w:spacing w:after="0" w:line="276" w:lineRule="auto"/>
        <w:jc w:val="both"/>
        <w:rPr>
          <w:rFonts w:ascii="Verdana" w:eastAsia="Century Gothic" w:hAnsi="Verdana" w:cs="Century Gothic"/>
          <w:b/>
          <w:bCs/>
          <w:color w:val="EE000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75A43" w:rsidRPr="00384356" w14:paraId="468E5113" w14:textId="77777777" w:rsidTr="00DC17CF">
        <w:trPr>
          <w:trHeight w:val="870"/>
        </w:trPr>
        <w:tc>
          <w:tcPr>
            <w:tcW w:w="8647" w:type="dxa"/>
          </w:tcPr>
          <w:p w14:paraId="166A1DA5" w14:textId="77777777" w:rsidR="00575A43" w:rsidRPr="00F407B1" w:rsidRDefault="00575A43" w:rsidP="00575A43">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Pr>
                <w:rFonts w:ascii="Verdana" w:hAnsi="Verdana" w:cs="Arial"/>
              </w:rPr>
              <w:t>Constitución Política de Colombia, artículo 209.</w:t>
            </w:r>
          </w:p>
          <w:p w14:paraId="7FFFFB5C" w14:textId="77777777" w:rsidR="00575A43" w:rsidRPr="009A653B" w:rsidRDefault="00575A43" w:rsidP="00575A43">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sidRPr="00A732BB">
              <w:rPr>
                <w:rFonts w:ascii="Verdana" w:hAnsi="Verdana" w:cs="Arial"/>
                <w:color w:val="000000" w:themeColor="text1"/>
              </w:rPr>
              <w:t>Decreto 1082 de 2015</w:t>
            </w:r>
            <w:r>
              <w:rPr>
                <w:rFonts w:ascii="Verdana" w:hAnsi="Verdana" w:cs="Arial"/>
                <w:color w:val="000000" w:themeColor="text1"/>
              </w:rPr>
              <w:t xml:space="preserve">, artículo </w:t>
            </w:r>
            <w:r w:rsidRPr="00C9198F">
              <w:rPr>
                <w:rFonts w:ascii="Verdana" w:hAnsi="Verdana"/>
                <w:lang w:eastAsia="es-ES_tradnl"/>
              </w:rPr>
              <w:t>2.2.1.1.1.7.1</w:t>
            </w:r>
            <w:r>
              <w:rPr>
                <w:rFonts w:ascii="Verdana" w:hAnsi="Verdana"/>
                <w:lang w:eastAsia="es-ES_tradnl"/>
              </w:rPr>
              <w:t>.</w:t>
            </w:r>
          </w:p>
          <w:p w14:paraId="1A5AF003" w14:textId="77777777" w:rsidR="00575A43" w:rsidRPr="00F5142A" w:rsidRDefault="00575A43" w:rsidP="00575A43">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sidRPr="009A653B">
              <w:rPr>
                <w:rFonts w:ascii="Verdana" w:hAnsi="Verdana" w:cs="Arial"/>
              </w:rPr>
              <w:t>Agencia Nacional de Contratación Pública - Colombia Compra Eficiente</w:t>
            </w:r>
            <w:r w:rsidRPr="00DE655A">
              <w:rPr>
                <w:rFonts w:ascii="Verdana" w:hAnsi="Verdana" w:cs="Arial"/>
              </w:rPr>
              <w:t>. Manual De La Modalidad De Selección De Mínima Cuantía.</w:t>
            </w:r>
            <w:r w:rsidRPr="00DE655A">
              <w:t xml:space="preserve"> </w:t>
            </w:r>
            <w:hyperlink r:id="rId13" w:history="1">
              <w:r w:rsidRPr="00375000">
                <w:rPr>
                  <w:rStyle w:val="Hipervnculo"/>
                  <w:rFonts w:ascii="Verdana" w:hAnsi="Verdana" w:cs="Arial"/>
                </w:rPr>
                <w:t>https://www.colombiacompra.gov.co/archivos/manual/manual-de-la-modalidad-de-seleccion-de-minima-cuantia</w:t>
              </w:r>
            </w:hyperlink>
          </w:p>
          <w:p w14:paraId="2DB652AC" w14:textId="77777777" w:rsidR="00575A43" w:rsidRPr="00F407B1" w:rsidRDefault="00575A43" w:rsidP="00575A43">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sidRPr="009A653B">
              <w:rPr>
                <w:rFonts w:ascii="Verdana" w:hAnsi="Verdana" w:cs="Arial"/>
              </w:rPr>
              <w:t>Agencia Nacional de Contratación Pública - Colombia Compra Eficiente</w:t>
            </w:r>
            <w:r w:rsidRPr="00DE655A">
              <w:rPr>
                <w:rFonts w:ascii="Verdana" w:hAnsi="Verdana" w:cs="Arial"/>
              </w:rPr>
              <w:t>.</w:t>
            </w:r>
            <w:r>
              <w:rPr>
                <w:rFonts w:ascii="Verdana" w:hAnsi="Verdana" w:cs="Arial"/>
              </w:rPr>
              <w:t xml:space="preserve"> Circular Externa Única. </w:t>
            </w:r>
            <w:hyperlink r:id="rId14" w:history="1">
              <w:r w:rsidRPr="00375000">
                <w:rPr>
                  <w:rStyle w:val="Hipervnculo"/>
                  <w:rFonts w:ascii="Verdana" w:hAnsi="Verdana" w:cs="Arial"/>
                </w:rPr>
                <w:t>https://www.colombiacompra.gov.co/normativa-y-relatoria/circular-unica-externa</w:t>
              </w:r>
            </w:hyperlink>
          </w:p>
        </w:tc>
      </w:tr>
    </w:tbl>
    <w:p w14:paraId="5CC90F68" w14:textId="77777777" w:rsidR="00575A43" w:rsidRPr="00384356" w:rsidRDefault="00575A43" w:rsidP="00575A43">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EE0000"/>
        </w:rPr>
      </w:pPr>
    </w:p>
    <w:p w14:paraId="2860E9E4" w14:textId="77777777" w:rsidR="00575A43" w:rsidRPr="00EB541A" w:rsidRDefault="00575A43" w:rsidP="00575A4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B541A">
        <w:rPr>
          <w:rFonts w:ascii="Verdana" w:eastAsia="Century Gothic" w:hAnsi="Verdana" w:cs="Century Gothic"/>
          <w:b/>
          <w:bCs/>
        </w:rPr>
        <w:t>5. Doctrina de la Agencia Nacional de Contratación Pública:</w:t>
      </w:r>
    </w:p>
    <w:p w14:paraId="28F992E4" w14:textId="77777777" w:rsidR="00575A43" w:rsidRPr="00384356" w:rsidRDefault="00575A43" w:rsidP="00575A43">
      <w:pPr>
        <w:spacing w:after="0" w:line="276" w:lineRule="auto"/>
        <w:ind w:firstLine="709"/>
        <w:jc w:val="both"/>
        <w:rPr>
          <w:rFonts w:ascii="Verdana" w:eastAsia="Times New Roman" w:hAnsi="Verdana" w:cs="Arial"/>
          <w:color w:val="EE0000"/>
          <w:szCs w:val="24"/>
          <w:lang w:val="es-ES" w:eastAsia="es-ES_tradnl"/>
        </w:rPr>
      </w:pPr>
    </w:p>
    <w:p w14:paraId="0984FE1D" w14:textId="77777777" w:rsidR="00575A43" w:rsidRPr="005252CA" w:rsidRDefault="00575A43" w:rsidP="00575A43">
      <w:pPr>
        <w:spacing w:after="0" w:line="276" w:lineRule="auto"/>
        <w:jc w:val="both"/>
        <w:rPr>
          <w:rFonts w:ascii="Verdana" w:hAnsi="Verdana" w:cs="Arial"/>
          <w:highlight w:val="yellow"/>
          <w:shd w:val="clear" w:color="auto" w:fill="FFFFFF"/>
          <w:lang w:val="es-ES"/>
        </w:rPr>
      </w:pPr>
      <w:r>
        <w:rPr>
          <w:rFonts w:ascii="Verdana" w:eastAsia="Calibri" w:hAnsi="Verdana" w:cs="Arial"/>
          <w:bCs/>
          <w:lang w:val="es-ES"/>
        </w:rPr>
        <w:t>L</w:t>
      </w:r>
      <w:r w:rsidRPr="00C621FD">
        <w:rPr>
          <w:rFonts w:ascii="Verdana" w:eastAsia="Calibri" w:hAnsi="Verdana" w:cs="Arial"/>
          <w:bCs/>
          <w:lang w:val="es-ES"/>
        </w:rPr>
        <w:t xml:space="preserve">a Agencia Nacional de Contratación Pública </w:t>
      </w:r>
      <w:r w:rsidRPr="00C621FD">
        <w:rPr>
          <w:rFonts w:ascii="Verdana" w:eastAsia="Calibri" w:hAnsi="Verdana" w:cs="Arial"/>
          <w:bCs/>
        </w:rPr>
        <w:t xml:space="preserve">estudió el deber de publicidad de las actuaciones contractuales, </w:t>
      </w:r>
      <w:r>
        <w:rPr>
          <w:rFonts w:ascii="Verdana" w:eastAsia="Calibri" w:hAnsi="Verdana" w:cs="Arial"/>
          <w:bCs/>
        </w:rPr>
        <w:t xml:space="preserve">en los conceptos </w:t>
      </w:r>
      <w:r w:rsidRPr="00C621FD">
        <w:rPr>
          <w:rFonts w:ascii="Verdana" w:eastAsia="Calibri" w:hAnsi="Verdana" w:cs="Arial"/>
          <w:bCs/>
        </w:rPr>
        <w:t xml:space="preserve">con radicado No. 4201913000005397 del 9 de agosto de 2019, 4201912000006611 del 25 de septiembre de 2019, </w:t>
      </w:r>
      <w:r w:rsidRPr="00C621FD">
        <w:rPr>
          <w:rFonts w:ascii="Verdana" w:eastAsia="Calibri" w:hAnsi="Verdana" w:cs="Arial"/>
        </w:rPr>
        <w:t xml:space="preserve">4201913000006847 del 4 de octubre de 2019, </w:t>
      </w:r>
      <w:r w:rsidRPr="00C621FD">
        <w:rPr>
          <w:rFonts w:ascii="Verdana" w:eastAsia="Calibri" w:hAnsi="Verdana" w:cs="Arial"/>
          <w:bCs/>
        </w:rPr>
        <w:t>4201912000007828 del 13 de noviembre de 2019,</w:t>
      </w:r>
      <w:r w:rsidRPr="00C621FD">
        <w:rPr>
          <w:rFonts w:ascii="Verdana" w:eastAsia="Calibri" w:hAnsi="Verdana" w:cs="Arial"/>
        </w:rPr>
        <w:t xml:space="preserve"> </w:t>
      </w:r>
      <w:r w:rsidRPr="00C621FD">
        <w:rPr>
          <w:rFonts w:ascii="Verdana" w:eastAsia="Calibri" w:hAnsi="Verdana" w:cs="Arial"/>
          <w:bCs/>
        </w:rPr>
        <w:t xml:space="preserve">4201912000007762 del 18 de noviembre de 2019. Las posturas expuestas por la Subdirección en relación con la materia, </w:t>
      </w:r>
      <w:r w:rsidRPr="00C621FD">
        <w:rPr>
          <w:rFonts w:ascii="Verdana" w:eastAsia="Calibri" w:hAnsi="Verdana" w:cs="Arial"/>
        </w:rPr>
        <w:t>fueron unificadas en el concepto CU–003 de 3 de enero de 2020, confirmado en los conceptos C–061 de 21 de enero de 2020, C–115 de 11 de febrero de 2020, C–149 de 14 de febrero de 2020, C–312 del 6 de mayo de 2020, C–346 del 26 de mayo de 2020, C-369 del 4 de junio de 2020, C-399 del 23 de junio de 2020, C-372 del 30 de junio de 2020, C-437 del 6 de julio de 2020, C-468 del 24 de julio de 2020, C-494 del 4 de agosto de 2020, C-449 del 5 de agosto de 2020, C-559  del 25 de agosto de 2020, C-562 del 25 de agosto de 2020</w:t>
      </w:r>
      <w:r>
        <w:rPr>
          <w:rFonts w:ascii="Verdana" w:eastAsia="Calibri" w:hAnsi="Verdana" w:cs="Arial"/>
        </w:rPr>
        <w:t xml:space="preserve">, </w:t>
      </w:r>
      <w:r w:rsidRPr="00C621FD">
        <w:rPr>
          <w:rFonts w:ascii="Verdana" w:eastAsia="Calibri" w:hAnsi="Verdana" w:cs="Arial"/>
        </w:rPr>
        <w:t>C-574 del 27 de agosto de 2020</w:t>
      </w:r>
      <w:r>
        <w:rPr>
          <w:rFonts w:ascii="Verdana" w:eastAsia="Calibri" w:hAnsi="Verdana" w:cs="Arial"/>
        </w:rPr>
        <w:t>, C-146 del 4 de marzo de 2025 y C-468 del 19 de mayo de 2025</w:t>
      </w:r>
      <w:r w:rsidRPr="005252CA">
        <w:rPr>
          <w:rFonts w:ascii="Verdana" w:eastAsia="Calibri" w:hAnsi="Verdana" w:cs="Arial"/>
        </w:rPr>
        <w:t xml:space="preserve">. </w:t>
      </w:r>
      <w:r w:rsidRPr="005252CA">
        <w:rPr>
          <w:rFonts w:ascii="Verdana" w:eastAsia="Calibri" w:hAnsi="Verdana" w:cs="Arial"/>
          <w:lang w:val="es-ES_tradnl" w:eastAsia="es-ES_tradnl"/>
        </w:rPr>
        <w:t xml:space="preserve">Estos y otros conceptos se encuentran disponibles </w:t>
      </w:r>
      <w:r w:rsidRPr="005252CA">
        <w:rPr>
          <w:rFonts w:ascii="Verdana" w:eastAsia="Calibri" w:hAnsi="Verdana" w:cs="Arial"/>
          <w:lang w:val="es-ES_tradnl" w:eastAsia="es-ES_tradnl"/>
        </w:rPr>
        <w:lastRenderedPageBreak/>
        <w:t xml:space="preserve">para consulta en el Sistema de relatoría de la Agencia, al cual se puede acceder a través del siguiente enlace: </w:t>
      </w:r>
      <w:hyperlink r:id="rId15" w:history="1">
        <w:r w:rsidRPr="00A93FAA">
          <w:rPr>
            <w:rStyle w:val="Hipervnculo"/>
            <w:rFonts w:ascii="Verdana" w:eastAsia="Calibri" w:hAnsi="Verdana" w:cs="Arial"/>
            <w:lang w:val="es-ES_tradnl" w:eastAsia="es-ES_tradnl"/>
          </w:rPr>
          <w:t>https://relatoria.colombiacompra.gov.co</w:t>
        </w:r>
      </w:hyperlink>
    </w:p>
    <w:p w14:paraId="4E154460" w14:textId="77777777" w:rsidR="00575A43" w:rsidRPr="00384356" w:rsidRDefault="00575A43" w:rsidP="00575A43">
      <w:pPr>
        <w:widowControl w:val="0"/>
        <w:autoSpaceDE w:val="0"/>
        <w:autoSpaceDN w:val="0"/>
        <w:spacing w:after="0" w:line="276" w:lineRule="auto"/>
        <w:jc w:val="both"/>
        <w:rPr>
          <w:rStyle w:val="normaltextrun"/>
          <w:rFonts w:ascii="Verdana" w:hAnsi="Verdana" w:cs="Arial"/>
          <w:color w:val="EE0000"/>
          <w:shd w:val="clear" w:color="auto" w:fill="FFFFFF"/>
          <w:lang w:val="es-ES"/>
        </w:rPr>
      </w:pPr>
    </w:p>
    <w:p w14:paraId="20ECE64D" w14:textId="77777777" w:rsidR="00575A43" w:rsidRPr="00384356" w:rsidRDefault="00575A43" w:rsidP="00575A43">
      <w:pPr>
        <w:spacing w:after="0" w:line="276" w:lineRule="auto"/>
        <w:jc w:val="both"/>
        <w:rPr>
          <w:rStyle w:val="Hipervnculo"/>
          <w:rFonts w:ascii="Verdana" w:eastAsia="Calibri" w:hAnsi="Verdana" w:cs="Arial"/>
          <w:color w:val="EE0000"/>
          <w:lang w:val="es-ES_tradnl" w:eastAsia="es-ES_tradnl"/>
        </w:rPr>
      </w:pPr>
      <w:r w:rsidRPr="00EB541A">
        <w:rPr>
          <w:rFonts w:ascii="Verdana" w:hAnsi="Verdana"/>
        </w:rPr>
        <w:t>La Agencia Nacional de Contratación Pública – Colombia Compra Eficiente invita a las Entidades Estatales, a los actores del Sistema de Compra Pública y a la ciudadanía en general a conocer y participar en la actualización de la </w:t>
      </w:r>
      <w:r w:rsidRPr="00EB541A">
        <w:rPr>
          <w:rFonts w:ascii="Verdana" w:hAnsi="Verdana"/>
          <w:b/>
          <w:bCs/>
          <w:i/>
          <w:iCs/>
        </w:rPr>
        <w:t>Guía para la Elaboración de Estudios del Sector</w:t>
      </w:r>
      <w:r w:rsidRPr="00EB541A">
        <w:rPr>
          <w:rFonts w:ascii="Verdana" w:hAnsi="Verdana"/>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w:t>
      </w:r>
      <w:r w:rsidRPr="003B2FA4">
        <w:rPr>
          <w:rStyle w:val="Hipervnculo"/>
          <w:rFonts w:eastAsia="Calibri" w:cs="Arial"/>
          <w:lang w:val="es-ES_tradnl" w:eastAsia="es-ES_tradnl"/>
        </w:rPr>
        <w:t> </w:t>
      </w:r>
      <w:hyperlink r:id="rId16" w:tgtFrame="_blank" w:tooltip="Dirección URL original: https://www.colombiacompra.gov.co/archivos/convocatoria/participacion-ciudadana-proyecto-de-la-guia-para-la-elaboracion-de-estudios-del-sector. Haga clic o pulse si confía en este vínculo." w:history="1">
        <w:r w:rsidRPr="003B2FA4">
          <w:rPr>
            <w:rStyle w:val="Hipervnculo"/>
            <w:rFonts w:ascii="Verdana" w:eastAsia="Calibri" w:hAnsi="Verdana" w:cs="Arial"/>
            <w:lang w:val="es-ES_tradnl" w:eastAsia="es-ES_tradnl"/>
          </w:rPr>
          <w:t>https://www.colombiacompra.gov.co/archivos/convocatoria/participacion-ciudadana-proyecto-de-la-guia-para-la-</w:t>
        </w:r>
      </w:hyperlink>
    </w:p>
    <w:p w14:paraId="3B4BE021" w14:textId="77777777" w:rsidR="00575A43" w:rsidRPr="00384356" w:rsidRDefault="00575A43" w:rsidP="00575A43">
      <w:pPr>
        <w:spacing w:after="0" w:line="276" w:lineRule="auto"/>
        <w:jc w:val="both"/>
        <w:rPr>
          <w:rFonts w:ascii="Verdana" w:hAnsi="Verdana"/>
          <w:color w:val="EE0000"/>
        </w:rPr>
      </w:pPr>
    </w:p>
    <w:p w14:paraId="68E228C1" w14:textId="77777777" w:rsidR="00575A43" w:rsidRPr="003B2FA4" w:rsidRDefault="00575A43" w:rsidP="00575A43">
      <w:pPr>
        <w:spacing w:after="0" w:line="276" w:lineRule="auto"/>
        <w:jc w:val="both"/>
        <w:rPr>
          <w:rStyle w:val="Hipervnculo"/>
          <w:rFonts w:ascii="Verdana" w:eastAsia="Calibri" w:hAnsi="Verdana" w:cs="Arial"/>
          <w:lang w:val="es-ES_tradnl" w:eastAsia="es-ES_tradnl"/>
        </w:rPr>
      </w:pPr>
      <w:r w:rsidRPr="00E5722E">
        <w:rPr>
          <w:rFonts w:ascii="Verdana" w:hAnsi="Verdana"/>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30 de mayo de 2025.  Puede consultar la información en el siguiente enlace: </w:t>
      </w:r>
      <w:hyperlink r:id="rId17" w:tgtFrame="_blank" w:tooltip="Dirección URL original: https://www.colombiacompra.gov.co/normativa-y-relatoria/documentos-tipo. Haga clic o pulse si confía en este vínculo." w:history="1">
        <w:r w:rsidRPr="003B2FA4">
          <w:rPr>
            <w:rStyle w:val="Hipervnculo"/>
            <w:rFonts w:ascii="Verdana" w:eastAsia="Calibri" w:hAnsi="Verdana" w:cs="Arial"/>
            <w:lang w:val="es-ES_tradnl" w:eastAsia="es-ES_tradnl"/>
          </w:rPr>
          <w:t>Documentos Tipo – ANCP Colombia Compra Eficiente</w:t>
        </w:r>
      </w:hyperlink>
      <w:r w:rsidRPr="003B2FA4">
        <w:rPr>
          <w:rStyle w:val="Hipervnculo"/>
          <w:rFonts w:ascii="Verdana" w:eastAsia="Calibri" w:hAnsi="Verdana" w:cs="Arial"/>
          <w:lang w:val="es-ES_tradnl" w:eastAsia="es-ES_tradnl"/>
        </w:rPr>
        <w:t>.</w:t>
      </w:r>
    </w:p>
    <w:p w14:paraId="47425AFD" w14:textId="77777777" w:rsidR="00575A43" w:rsidRPr="00384356" w:rsidRDefault="00575A43" w:rsidP="00575A43">
      <w:pPr>
        <w:spacing w:after="0" w:line="276" w:lineRule="auto"/>
        <w:jc w:val="both"/>
        <w:rPr>
          <w:rFonts w:ascii="Verdana" w:hAnsi="Verdana"/>
          <w:color w:val="EE0000"/>
        </w:rPr>
      </w:pPr>
    </w:p>
    <w:p w14:paraId="57A984CF" w14:textId="77777777" w:rsidR="00575A43" w:rsidRPr="00E5722E" w:rsidRDefault="00575A43" w:rsidP="00575A43">
      <w:pPr>
        <w:spacing w:after="0" w:line="276" w:lineRule="auto"/>
        <w:jc w:val="both"/>
        <w:rPr>
          <w:rFonts w:ascii="Verdana" w:hAnsi="Verdana"/>
          <w:color w:val="4472C4" w:themeColor="accent1"/>
        </w:rPr>
      </w:pPr>
      <w:r w:rsidRPr="00E5722E">
        <w:rPr>
          <w:rFonts w:ascii="Verdana" w:hAnsi="Verdana"/>
        </w:rPr>
        <w:t>También le contamos que ya se encuentra disponible la </w:t>
      </w:r>
      <w:r w:rsidRPr="00E5722E">
        <w:rPr>
          <w:rFonts w:ascii="Verdana" w:hAnsi="Verdana"/>
          <w:b/>
          <w:bCs/>
        </w:rPr>
        <w:t>Guía de lineamientos de transparencia y selección objetiva para el departamento de La Guajira – Objetivo sexto constitucional de la Sentencia T-302 del 2017. </w:t>
      </w:r>
      <w:r w:rsidRPr="00E5722E">
        <w:rPr>
          <w:rFonts w:ascii="Verdana" w:hAnsi="Verdana"/>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8" w:tgtFrame="_blank" w:tooltip="Dirección URL original: https://www.colombiacompra.gov.co/wp-content/uploads/2025/05/GUIA-DE-LINEAMIENTOS-DE-TRANSPARENCIA-Y-SELECCION-OBJETIVA-1.0.pdf. Haga clic o pulse si confía en este vínculo." w:history="1">
        <w:r w:rsidRPr="003B2FA4">
          <w:rPr>
            <w:rStyle w:val="Hipervnculo"/>
            <w:rFonts w:ascii="Verdana" w:eastAsia="Calibri" w:hAnsi="Verdana" w:cs="Arial"/>
            <w:lang w:val="es-ES_tradnl" w:eastAsia="es-ES_tradnl"/>
          </w:rPr>
          <w:t>Guía de lineamientos de transparencia y selección objetiva para el departamento de La Guajira – Objetivo sexto constitucional de la Sentencia T-302 del 2017</w:t>
        </w:r>
      </w:hyperlink>
      <w:r w:rsidRPr="003B2FA4">
        <w:rPr>
          <w:rStyle w:val="Hipervnculo"/>
          <w:rFonts w:ascii="Verdana" w:eastAsia="Calibri" w:hAnsi="Verdana" w:cs="Arial"/>
          <w:lang w:val="es-ES_tradnl" w:eastAsia="es-ES_tradnl"/>
        </w:rPr>
        <w:t>.</w:t>
      </w:r>
    </w:p>
    <w:p w14:paraId="1D58DE6E" w14:textId="77777777" w:rsidR="00575A43" w:rsidRPr="00D15677" w:rsidRDefault="00575A43" w:rsidP="00575A43">
      <w:pPr>
        <w:spacing w:after="0" w:line="240" w:lineRule="auto"/>
        <w:jc w:val="both"/>
        <w:rPr>
          <w:rFonts w:ascii="Verdana" w:hAnsi="Verdana"/>
        </w:rPr>
      </w:pPr>
    </w:p>
    <w:p w14:paraId="7559E4A5" w14:textId="77777777" w:rsidR="00575A43" w:rsidRPr="00D15677" w:rsidRDefault="00575A43" w:rsidP="00575A43">
      <w:pPr>
        <w:spacing w:after="0" w:line="240" w:lineRule="auto"/>
        <w:jc w:val="both"/>
        <w:rPr>
          <w:rFonts w:ascii="Verdana" w:hAnsi="Verdana"/>
        </w:rPr>
      </w:pPr>
      <w:r w:rsidRPr="00D15677">
        <w:rPr>
          <w:rFonts w:ascii="Verdana" w:hAnsi="Verdana"/>
        </w:rPr>
        <w:t xml:space="preserve">Por último, lo invitamos a seguirnos en las redes sociales en las cuales se difunde información institucional: </w:t>
      </w:r>
    </w:p>
    <w:p w14:paraId="14A5811C" w14:textId="77777777" w:rsidR="00575A43" w:rsidRPr="00D15677" w:rsidRDefault="00575A43" w:rsidP="00575A43">
      <w:pPr>
        <w:spacing w:after="0" w:line="240" w:lineRule="auto"/>
        <w:jc w:val="both"/>
        <w:rPr>
          <w:rFonts w:ascii="Verdana" w:hAnsi="Verdana"/>
        </w:rPr>
      </w:pPr>
    </w:p>
    <w:p w14:paraId="2C56C9B1" w14:textId="77777777" w:rsidR="00575A43" w:rsidRPr="00D15677" w:rsidRDefault="00575A43" w:rsidP="00575A43">
      <w:pPr>
        <w:spacing w:after="0" w:line="240" w:lineRule="auto"/>
        <w:jc w:val="both"/>
        <w:rPr>
          <w:rFonts w:ascii="Verdana" w:hAnsi="Verdana"/>
        </w:rPr>
      </w:pPr>
      <w:r w:rsidRPr="00D15677">
        <w:rPr>
          <w:rFonts w:ascii="Verdana" w:hAnsi="Verdana"/>
        </w:rPr>
        <w:t xml:space="preserve">Twitter: </w:t>
      </w:r>
      <w:r w:rsidRPr="00A676A0">
        <w:rPr>
          <w:rStyle w:val="Hipervnculo"/>
          <w:rFonts w:ascii="Verdana" w:eastAsia="Calibri" w:hAnsi="Verdana" w:cs="Arial"/>
          <w:lang w:val="es-ES_tradnl" w:eastAsia="es-ES_tradnl"/>
        </w:rPr>
        <w:t>@colombiacompra</w:t>
      </w:r>
      <w:r w:rsidRPr="00E5722E">
        <w:rPr>
          <w:rFonts w:ascii="Verdana" w:hAnsi="Verdana"/>
          <w:color w:val="4472C4" w:themeColor="accent1"/>
        </w:rPr>
        <w:t xml:space="preserve"> </w:t>
      </w:r>
    </w:p>
    <w:p w14:paraId="18845FD3" w14:textId="77777777" w:rsidR="00575A43" w:rsidRPr="00D15677" w:rsidRDefault="00575A43" w:rsidP="00575A43">
      <w:pPr>
        <w:spacing w:after="0" w:line="240" w:lineRule="auto"/>
        <w:jc w:val="both"/>
        <w:rPr>
          <w:rFonts w:ascii="Verdana" w:hAnsi="Verdana"/>
        </w:rPr>
      </w:pPr>
      <w:r w:rsidRPr="00D15677">
        <w:rPr>
          <w:rFonts w:ascii="Verdana" w:hAnsi="Verdana"/>
        </w:rPr>
        <w:lastRenderedPageBreak/>
        <w:t xml:space="preserve">Facebook: </w:t>
      </w:r>
      <w:r w:rsidRPr="00A676A0">
        <w:rPr>
          <w:rStyle w:val="Hipervnculo"/>
          <w:rFonts w:ascii="Verdana" w:eastAsia="Calibri" w:hAnsi="Verdana" w:cs="Arial"/>
          <w:lang w:val="es-ES_tradnl" w:eastAsia="es-ES_tradnl"/>
        </w:rPr>
        <w:t>ColombiaCompraEficiente</w:t>
      </w:r>
    </w:p>
    <w:p w14:paraId="295CD0EF" w14:textId="77777777" w:rsidR="00575A43" w:rsidRPr="00D15677" w:rsidRDefault="00575A43" w:rsidP="00575A43">
      <w:pPr>
        <w:spacing w:after="0" w:line="240" w:lineRule="auto"/>
        <w:jc w:val="both"/>
        <w:rPr>
          <w:rFonts w:ascii="Verdana" w:hAnsi="Verdana"/>
        </w:rPr>
      </w:pPr>
      <w:r w:rsidRPr="00D15677">
        <w:rPr>
          <w:rFonts w:ascii="Verdana" w:hAnsi="Verdana"/>
        </w:rPr>
        <w:t xml:space="preserve">LinkedIn: </w:t>
      </w:r>
      <w:r w:rsidRPr="00A676A0">
        <w:rPr>
          <w:rStyle w:val="Hipervnculo"/>
          <w:rFonts w:ascii="Verdana" w:eastAsia="Calibri" w:hAnsi="Verdana" w:cs="Arial"/>
          <w:lang w:val="es-ES_tradnl" w:eastAsia="es-ES_tradnl"/>
        </w:rPr>
        <w:t>Agencia Nacional de Contratación Pública - Colombia Compra Eficiente</w:t>
      </w:r>
      <w:r w:rsidRPr="00E5722E">
        <w:rPr>
          <w:rFonts w:ascii="Verdana" w:hAnsi="Verdana"/>
          <w:color w:val="4472C4" w:themeColor="accent1"/>
        </w:rPr>
        <w:t xml:space="preserve"> </w:t>
      </w:r>
      <w:r w:rsidRPr="00D15677">
        <w:rPr>
          <w:rFonts w:ascii="Verdana" w:hAnsi="Verdana"/>
        </w:rPr>
        <w:t xml:space="preserve">Instagram: </w:t>
      </w:r>
      <w:r w:rsidRPr="00A676A0">
        <w:rPr>
          <w:rStyle w:val="Hipervnculo"/>
          <w:rFonts w:ascii="Verdana" w:eastAsia="Calibri" w:hAnsi="Verdana" w:cs="Arial"/>
          <w:lang w:val="es-ES_tradnl" w:eastAsia="es-ES_tradnl"/>
        </w:rPr>
        <w:t>@colombiacompraeficiente_cce</w:t>
      </w:r>
    </w:p>
    <w:p w14:paraId="68C82BE6" w14:textId="77777777" w:rsidR="00575A43" w:rsidRPr="00D15677" w:rsidRDefault="00575A43" w:rsidP="00575A43">
      <w:pPr>
        <w:widowControl w:val="0"/>
        <w:autoSpaceDE w:val="0"/>
        <w:autoSpaceDN w:val="0"/>
        <w:spacing w:after="0" w:line="276" w:lineRule="auto"/>
        <w:jc w:val="both"/>
        <w:rPr>
          <w:rFonts w:ascii="Verdana" w:hAnsi="Verdana"/>
        </w:rPr>
      </w:pPr>
    </w:p>
    <w:p w14:paraId="624916E8" w14:textId="77777777" w:rsidR="00575A43" w:rsidRPr="00D15677" w:rsidRDefault="00575A43" w:rsidP="00575A43">
      <w:pPr>
        <w:widowControl w:val="0"/>
        <w:autoSpaceDE w:val="0"/>
        <w:autoSpaceDN w:val="0"/>
        <w:spacing w:after="0" w:line="276" w:lineRule="auto"/>
        <w:jc w:val="both"/>
        <w:rPr>
          <w:rFonts w:ascii="Verdana" w:hAnsi="Verdana" w:cs="Arial"/>
          <w:lang w:val="es-ES_tradnl"/>
        </w:rPr>
      </w:pPr>
      <w:r w:rsidRPr="00D15677">
        <w:rPr>
          <w:rFonts w:ascii="Verdana" w:hAnsi="Verdana" w:cs="Arial"/>
        </w:rPr>
        <w:t xml:space="preserve">Este concepto tiene el alcance previsto en el artículo 28 del Código de Procedimiento Administrativo y de lo Contencioso Administrativo </w:t>
      </w:r>
      <w:r w:rsidRPr="00D15677">
        <w:rPr>
          <w:rFonts w:ascii="Verdana" w:hAnsi="Verdana" w:cs="Arial"/>
          <w:lang w:val="es-ES_tradnl"/>
        </w:rPr>
        <w:t>y las expresiones aquí utilizadas con mayúscula inicial deben ser entendidas con el significado que les otorga el artículo 2.2.1.1.1.3.1. del Decreto 1082 de 2015.</w:t>
      </w:r>
    </w:p>
    <w:p w14:paraId="2900A1E4" w14:textId="77777777" w:rsidR="00575A43" w:rsidRPr="00D15677" w:rsidRDefault="00575A43" w:rsidP="00575A43">
      <w:pPr>
        <w:spacing w:after="0" w:line="276" w:lineRule="auto"/>
        <w:ind w:firstLine="709"/>
        <w:jc w:val="both"/>
        <w:rPr>
          <w:rFonts w:ascii="Verdana" w:eastAsia="Times New Roman" w:hAnsi="Verdana" w:cs="Arial"/>
          <w:szCs w:val="24"/>
          <w:lang w:val="es-ES_tradnl" w:eastAsia="es-ES_tradnl"/>
        </w:rPr>
      </w:pPr>
    </w:p>
    <w:p w14:paraId="184F78FA" w14:textId="77777777" w:rsidR="00575A43" w:rsidRPr="00D15677" w:rsidRDefault="00575A43" w:rsidP="00575A43">
      <w:pPr>
        <w:spacing w:after="0" w:line="276" w:lineRule="auto"/>
        <w:jc w:val="both"/>
        <w:rPr>
          <w:rFonts w:ascii="Verdana" w:eastAsia="Times New Roman" w:hAnsi="Verdana" w:cs="Arial"/>
          <w:lang w:val="es-ES_tradnl" w:eastAsia="es-CO"/>
        </w:rPr>
      </w:pPr>
      <w:bookmarkStart w:id="6" w:name="_Hlk117695077"/>
      <w:r w:rsidRPr="00D15677">
        <w:rPr>
          <w:rFonts w:ascii="Verdana" w:eastAsia="Times New Roman" w:hAnsi="Verdana" w:cs="Arial"/>
          <w:lang w:val="es-ES_tradnl" w:eastAsia="es-CO"/>
        </w:rPr>
        <w:t>Atentamente,</w:t>
      </w:r>
    </w:p>
    <w:bookmarkEnd w:id="6"/>
    <w:p w14:paraId="2F88D277" w14:textId="77777777" w:rsidR="00A900AF" w:rsidRDefault="00A900AF" w:rsidP="00575A43">
      <w:pPr>
        <w:spacing w:after="18" w:line="240" w:lineRule="auto"/>
        <w:jc w:val="center"/>
        <w:rPr>
          <w:rFonts w:ascii="Verdana" w:hAnsi="Verdana"/>
          <w:color w:val="EE0000"/>
          <w:sz w:val="24"/>
          <w:szCs w:val="24"/>
          <w14:ligatures w14:val="standardContextual"/>
        </w:rPr>
      </w:pPr>
    </w:p>
    <w:p w14:paraId="730AD4F5" w14:textId="0191EC36" w:rsidR="00A900AF" w:rsidRPr="00384356" w:rsidRDefault="00D26B0A" w:rsidP="00575A43">
      <w:pPr>
        <w:spacing w:after="18" w:line="240" w:lineRule="auto"/>
        <w:jc w:val="center"/>
        <w:rPr>
          <w:rFonts w:ascii="Verdana" w:eastAsia="Times New Roman" w:hAnsi="Verdana" w:cs="Arial"/>
          <w:color w:val="EE0000"/>
          <w:sz w:val="24"/>
          <w:szCs w:val="24"/>
          <w:lang w:eastAsia="es-CO"/>
        </w:rPr>
      </w:pPr>
      <w:r w:rsidRPr="003D7CBB">
        <w:rPr>
          <w:rFonts w:ascii="Verdana" w:eastAsia="Times New Roman" w:hAnsi="Verdana" w:cs="Arial"/>
          <w:noProof/>
          <w:color w:val="EE0000"/>
          <w:sz w:val="24"/>
          <w:szCs w:val="24"/>
          <w:lang w:eastAsia="es-CO"/>
        </w:rPr>
        <w:drawing>
          <wp:inline distT="0" distB="0" distL="0" distR="0" wp14:anchorId="561F7376" wp14:editId="0F9D5747">
            <wp:extent cx="3771900" cy="1400175"/>
            <wp:effectExtent l="0" t="0" r="0" b="9525"/>
            <wp:docPr id="1042262595" name="Imagen 2"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xto&#10;&#10;Descripción generada automáticamente, Image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575A43" w:rsidRPr="00384356" w14:paraId="16DF3A5B" w14:textId="77777777" w:rsidTr="00DC17CF">
        <w:trPr>
          <w:trHeight w:val="286"/>
        </w:trPr>
        <w:tc>
          <w:tcPr>
            <w:tcW w:w="893" w:type="dxa"/>
            <w:vAlign w:val="center"/>
            <w:hideMark/>
          </w:tcPr>
          <w:p w14:paraId="5265046B" w14:textId="77777777" w:rsidR="00575A43" w:rsidRPr="000B2226" w:rsidRDefault="00575A43"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Elaboró:</w:t>
            </w:r>
          </w:p>
        </w:tc>
        <w:tc>
          <w:tcPr>
            <w:tcW w:w="4777" w:type="dxa"/>
            <w:vAlign w:val="center"/>
            <w:hideMark/>
          </w:tcPr>
          <w:p w14:paraId="08676181" w14:textId="77777777" w:rsidR="00575A43" w:rsidRPr="000B2226" w:rsidRDefault="00575A43" w:rsidP="00DC17CF">
            <w:pPr>
              <w:rPr>
                <w:rFonts w:ascii="Verdana" w:eastAsia="Times New Roman" w:hAnsi="Verdana" w:cs="Arial"/>
                <w:sz w:val="16"/>
                <w:szCs w:val="16"/>
                <w:lang w:val="es-ES_tradnl" w:eastAsia="es-ES"/>
              </w:rPr>
            </w:pPr>
          </w:p>
          <w:p w14:paraId="0114432C" w14:textId="77777777" w:rsidR="00575A43" w:rsidRPr="000B2226" w:rsidRDefault="00575A43" w:rsidP="00DC17CF">
            <w:pPr>
              <w:rPr>
                <w:rFonts w:ascii="Verdana" w:eastAsia="Times New Roman" w:hAnsi="Verdana" w:cs="Arial"/>
                <w:sz w:val="16"/>
                <w:szCs w:val="16"/>
                <w:lang w:val="es-ES_tradnl" w:eastAsia="es-ES"/>
              </w:rPr>
            </w:pPr>
            <w:r w:rsidRPr="000B2226">
              <w:rPr>
                <w:rFonts w:ascii="Verdana" w:eastAsia="Times New Roman" w:hAnsi="Verdana" w:cs="Arial"/>
                <w:sz w:val="16"/>
                <w:szCs w:val="16"/>
                <w:lang w:val="es-ES_tradnl" w:eastAsia="es-ES"/>
              </w:rPr>
              <w:t>Camila Alejandra Naranjo Gómez</w:t>
            </w:r>
          </w:p>
          <w:p w14:paraId="01619008" w14:textId="77777777" w:rsidR="00575A43" w:rsidRPr="000B2226" w:rsidRDefault="00575A43"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Analista T2-1 de la Subdirección de Gestión Contractual</w:t>
            </w:r>
          </w:p>
        </w:tc>
      </w:tr>
      <w:tr w:rsidR="00575A43" w:rsidRPr="00384356" w14:paraId="23CED3EB" w14:textId="77777777" w:rsidTr="00DC17CF">
        <w:trPr>
          <w:trHeight w:val="299"/>
        </w:trPr>
        <w:tc>
          <w:tcPr>
            <w:tcW w:w="893" w:type="dxa"/>
            <w:vAlign w:val="center"/>
            <w:hideMark/>
          </w:tcPr>
          <w:p w14:paraId="0CCE83EC" w14:textId="77777777" w:rsidR="00575A43" w:rsidRPr="000B2226" w:rsidRDefault="00575A43"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Revisó:</w:t>
            </w:r>
          </w:p>
        </w:tc>
        <w:tc>
          <w:tcPr>
            <w:tcW w:w="4777" w:type="dxa"/>
            <w:vAlign w:val="center"/>
            <w:hideMark/>
          </w:tcPr>
          <w:p w14:paraId="69A7AB2B" w14:textId="77777777" w:rsidR="00575A43" w:rsidRPr="000B2226" w:rsidRDefault="00575A43" w:rsidP="00DC17CF">
            <w:pPr>
              <w:rPr>
                <w:rFonts w:ascii="Verdana" w:eastAsia="Times New Roman" w:hAnsi="Verdana" w:cs="Arial"/>
                <w:sz w:val="16"/>
                <w:szCs w:val="16"/>
                <w:lang w:val="es-ES_tradnl" w:eastAsia="es-ES"/>
              </w:rPr>
            </w:pPr>
            <w:r w:rsidRPr="000B2226">
              <w:rPr>
                <w:rFonts w:ascii="Verdana" w:eastAsia="Times New Roman" w:hAnsi="Verdana" w:cs="Arial"/>
                <w:sz w:val="16"/>
                <w:szCs w:val="16"/>
                <w:lang w:val="es-ES_tradnl" w:eastAsia="es-ES"/>
              </w:rPr>
              <w:t xml:space="preserve">Juan Carlos González </w:t>
            </w:r>
          </w:p>
          <w:p w14:paraId="605E7C2E" w14:textId="77777777" w:rsidR="00575A43" w:rsidRPr="000B2226" w:rsidRDefault="00575A43"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Contratista de la Subdirección de Gestión Contractual</w:t>
            </w:r>
          </w:p>
        </w:tc>
      </w:tr>
      <w:tr w:rsidR="00575A43" w:rsidRPr="00384356" w14:paraId="1C4F8FF0" w14:textId="77777777" w:rsidTr="00DC17CF">
        <w:trPr>
          <w:trHeight w:val="87"/>
        </w:trPr>
        <w:tc>
          <w:tcPr>
            <w:tcW w:w="893" w:type="dxa"/>
            <w:vAlign w:val="center"/>
            <w:hideMark/>
          </w:tcPr>
          <w:p w14:paraId="50A4A4BA" w14:textId="77777777" w:rsidR="00575A43" w:rsidRPr="000B2226" w:rsidRDefault="00575A43"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Aprobó:</w:t>
            </w:r>
          </w:p>
        </w:tc>
        <w:tc>
          <w:tcPr>
            <w:tcW w:w="4777" w:type="dxa"/>
            <w:vAlign w:val="center"/>
            <w:hideMark/>
          </w:tcPr>
          <w:p w14:paraId="575062EA" w14:textId="77777777" w:rsidR="00575A43" w:rsidRPr="000B2226" w:rsidRDefault="00575A43" w:rsidP="00DC17CF">
            <w:pPr>
              <w:rPr>
                <w:rFonts w:ascii="Verdana" w:eastAsia="Times New Roman" w:hAnsi="Verdana" w:cs="Arial"/>
                <w:sz w:val="16"/>
                <w:szCs w:val="16"/>
                <w:lang w:eastAsia="es-ES"/>
              </w:rPr>
            </w:pPr>
            <w:r w:rsidRPr="000B2226">
              <w:rPr>
                <w:rFonts w:ascii="Verdana" w:eastAsia="Times New Roman" w:hAnsi="Verdana" w:cs="Arial"/>
                <w:sz w:val="16"/>
                <w:szCs w:val="16"/>
                <w:lang w:eastAsia="es-ES"/>
              </w:rPr>
              <w:t>Carolina Quintero Gacharná</w:t>
            </w:r>
          </w:p>
          <w:p w14:paraId="41EF81B3" w14:textId="77777777" w:rsidR="00575A43" w:rsidRPr="000B2226" w:rsidRDefault="00575A43" w:rsidP="00DC17CF">
            <w:pPr>
              <w:rPr>
                <w:rFonts w:ascii="Verdana" w:eastAsia="Times New Roman" w:hAnsi="Verdana" w:cs="Arial"/>
                <w:sz w:val="14"/>
                <w:szCs w:val="14"/>
                <w:lang w:eastAsia="es-ES"/>
              </w:rPr>
            </w:pPr>
            <w:r w:rsidRPr="000B2226">
              <w:rPr>
                <w:rFonts w:ascii="Verdana" w:eastAsia="Times New Roman" w:hAnsi="Verdana" w:cs="Arial"/>
                <w:sz w:val="16"/>
                <w:szCs w:val="16"/>
                <w:lang w:eastAsia="es-ES"/>
              </w:rPr>
              <w:t>Subdirectora de Gestión Contractual ANCP – CCE</w:t>
            </w:r>
          </w:p>
        </w:tc>
      </w:tr>
      <w:tr w:rsidR="00575A43" w:rsidRPr="00384356" w14:paraId="1C8FBD5D" w14:textId="77777777" w:rsidTr="00DC17CF">
        <w:trPr>
          <w:trHeight w:val="272"/>
        </w:trPr>
        <w:tc>
          <w:tcPr>
            <w:tcW w:w="893" w:type="dxa"/>
            <w:vAlign w:val="center"/>
          </w:tcPr>
          <w:p w14:paraId="3351B0D9" w14:textId="77777777" w:rsidR="00575A43" w:rsidRPr="00384356" w:rsidRDefault="00575A43" w:rsidP="00DC17CF">
            <w:pPr>
              <w:rPr>
                <w:rFonts w:ascii="Verdana" w:eastAsia="Times New Roman" w:hAnsi="Verdana" w:cs="Arial"/>
                <w:color w:val="EE0000"/>
                <w:sz w:val="16"/>
                <w:szCs w:val="16"/>
                <w:lang w:eastAsia="es-ES"/>
              </w:rPr>
            </w:pPr>
          </w:p>
        </w:tc>
        <w:tc>
          <w:tcPr>
            <w:tcW w:w="4777" w:type="dxa"/>
            <w:vAlign w:val="center"/>
          </w:tcPr>
          <w:p w14:paraId="5FFA3352" w14:textId="77777777" w:rsidR="00575A43" w:rsidRPr="00384356" w:rsidRDefault="00575A43" w:rsidP="00DC17CF">
            <w:pPr>
              <w:rPr>
                <w:rFonts w:ascii="Verdana" w:eastAsia="Times New Roman" w:hAnsi="Verdana" w:cs="Arial"/>
                <w:color w:val="EE0000"/>
                <w:sz w:val="16"/>
                <w:szCs w:val="16"/>
                <w:lang w:eastAsia="es-ES"/>
              </w:rPr>
            </w:pPr>
          </w:p>
        </w:tc>
      </w:tr>
    </w:tbl>
    <w:p w14:paraId="516053D4" w14:textId="77777777" w:rsidR="00575A43" w:rsidRPr="00384356" w:rsidRDefault="00575A43" w:rsidP="00575A43">
      <w:pPr>
        <w:spacing w:after="0" w:line="276" w:lineRule="auto"/>
        <w:jc w:val="both"/>
        <w:rPr>
          <w:rFonts w:ascii="Verdana" w:eastAsia="Times New Roman" w:hAnsi="Verdana" w:cs="Arial"/>
          <w:color w:val="EE0000"/>
          <w:lang w:val="es-ES_tradnl"/>
        </w:rPr>
      </w:pPr>
    </w:p>
    <w:p w14:paraId="777CCAF2" w14:textId="77777777" w:rsidR="00575A43" w:rsidRPr="00384356" w:rsidRDefault="00575A43" w:rsidP="00575A43">
      <w:pPr>
        <w:spacing w:after="0" w:line="240" w:lineRule="auto"/>
        <w:rPr>
          <w:rFonts w:ascii="Verdana" w:eastAsia="Times New Roman" w:hAnsi="Verdana" w:cs="Arial"/>
          <w:color w:val="EE0000"/>
          <w:sz w:val="24"/>
          <w:szCs w:val="24"/>
          <w:lang w:eastAsia="es-ES_tradnl"/>
        </w:rPr>
      </w:pPr>
    </w:p>
    <w:p w14:paraId="0982AB71" w14:textId="77777777" w:rsidR="00575A43" w:rsidRPr="00384356" w:rsidRDefault="00575A43" w:rsidP="00575A43">
      <w:pPr>
        <w:rPr>
          <w:rFonts w:ascii="Verdana" w:hAnsi="Verdana"/>
          <w:color w:val="EE0000"/>
        </w:rPr>
      </w:pPr>
    </w:p>
    <w:p w14:paraId="3900974D" w14:textId="77777777" w:rsidR="003D5B0D" w:rsidRPr="00575A43" w:rsidRDefault="003D5B0D" w:rsidP="00575A43"/>
    <w:sectPr w:rsidR="003D5B0D" w:rsidRPr="00575A4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17CB9" w14:textId="77777777" w:rsidR="009F5896" w:rsidRDefault="009F5896" w:rsidP="004A1847">
      <w:pPr>
        <w:spacing w:after="0" w:line="240" w:lineRule="auto"/>
      </w:pPr>
      <w:r>
        <w:separator/>
      </w:r>
    </w:p>
  </w:endnote>
  <w:endnote w:type="continuationSeparator" w:id="0">
    <w:p w14:paraId="2643FB5C" w14:textId="77777777" w:rsidR="009F5896" w:rsidRDefault="009F589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F4D9F" w14:textId="77777777" w:rsidR="009F5896" w:rsidRDefault="009F5896" w:rsidP="004A1847">
      <w:pPr>
        <w:spacing w:after="0" w:line="240" w:lineRule="auto"/>
      </w:pPr>
      <w:r>
        <w:separator/>
      </w:r>
    </w:p>
  </w:footnote>
  <w:footnote w:type="continuationSeparator" w:id="0">
    <w:p w14:paraId="701DE7EB" w14:textId="77777777" w:rsidR="009F5896" w:rsidRDefault="009F5896" w:rsidP="004A1847">
      <w:pPr>
        <w:spacing w:after="0" w:line="240" w:lineRule="auto"/>
      </w:pPr>
      <w:r>
        <w:continuationSeparator/>
      </w:r>
    </w:p>
  </w:footnote>
  <w:footnote w:id="1">
    <w:p w14:paraId="30F2FC84" w14:textId="77777777" w:rsidR="00575A43" w:rsidRPr="00ED4C26" w:rsidRDefault="00575A43" w:rsidP="00575A43">
      <w:pPr>
        <w:pStyle w:val="Textonotapie"/>
        <w:ind w:firstLine="709"/>
        <w:jc w:val="both"/>
        <w:rPr>
          <w:rFonts w:ascii="Verdana" w:hAnsi="Verdana" w:cs="Arial"/>
          <w:sz w:val="16"/>
          <w:szCs w:val="16"/>
          <w:lang w:val="es-CO"/>
        </w:rPr>
      </w:pPr>
      <w:r w:rsidRPr="00ED4C26">
        <w:rPr>
          <w:rStyle w:val="Refdenotaalpie"/>
          <w:rFonts w:ascii="Verdana" w:hAnsi="Verdana"/>
          <w:sz w:val="16"/>
          <w:szCs w:val="16"/>
        </w:rPr>
        <w:footnoteRef/>
      </w:r>
      <w:r w:rsidRPr="00ED4C26">
        <w:rPr>
          <w:rFonts w:ascii="Verdana" w:hAnsi="Verdana"/>
          <w:sz w:val="16"/>
          <w:szCs w:val="16"/>
        </w:rPr>
        <w:t xml:space="preserve"> </w:t>
      </w:r>
      <w:r w:rsidRPr="00ED4C26">
        <w:rPr>
          <w:rFonts w:ascii="Verdana" w:hAnsi="Verdana" w:cs="Arial"/>
          <w:sz w:val="16"/>
          <w:szCs w:val="16"/>
        </w:rPr>
        <w:t>Para la Corte Constitucional, el principio de publicidad es la garantía que tienen las personas de conocer las actuaciones judiciales y administrativas y con base en ese conocimiento tener la posibilidad de exigir que se surtan conforme a la ley: «El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y, a través de ese conocimiento, a exigir que ellas se surtan conforme a la ley». Corte Constitucional. Sentencia C- 341 del 4 de junio de 2014. M. P. Mauricio González Cuervo.</w:t>
      </w:r>
    </w:p>
    <w:p w14:paraId="74CE1A88" w14:textId="77777777" w:rsidR="00575A43" w:rsidRPr="00ED4C26" w:rsidRDefault="00575A43" w:rsidP="00575A43">
      <w:pPr>
        <w:pStyle w:val="Textonotapie"/>
        <w:rPr>
          <w:rFonts w:ascii="Verdana" w:hAnsi="Verdana"/>
          <w:sz w:val="16"/>
          <w:szCs w:val="16"/>
          <w:lang w:val="es-CO"/>
        </w:rPr>
      </w:pPr>
    </w:p>
  </w:footnote>
  <w:footnote w:id="2">
    <w:p w14:paraId="21DCD7A8" w14:textId="77777777" w:rsidR="00575A43" w:rsidRPr="00ED4C26" w:rsidRDefault="00575A43" w:rsidP="00575A43">
      <w:pPr>
        <w:pStyle w:val="Textonotapie"/>
        <w:ind w:firstLine="709"/>
        <w:jc w:val="both"/>
        <w:rPr>
          <w:rFonts w:ascii="Verdana" w:hAnsi="Verdana"/>
          <w:sz w:val="16"/>
          <w:szCs w:val="16"/>
        </w:rPr>
      </w:pPr>
      <w:r w:rsidRPr="00ED4C26">
        <w:rPr>
          <w:rStyle w:val="Refdenotaalpie"/>
          <w:rFonts w:ascii="Verdana" w:hAnsi="Verdana"/>
          <w:sz w:val="16"/>
          <w:szCs w:val="16"/>
        </w:rPr>
        <w:footnoteRef/>
      </w:r>
      <w:r w:rsidRPr="00ED4C26">
        <w:rPr>
          <w:rFonts w:ascii="Verdana" w:hAnsi="Verdana"/>
          <w:sz w:val="16"/>
          <w:szCs w:val="16"/>
        </w:rPr>
        <w:t xml:space="preserve"> Por medio de la cual se crea la Ley de Transparencia y del Derecho de Acceso a la Información Pública Nacional y se dictan otras disposiciones.</w:t>
      </w:r>
    </w:p>
    <w:p w14:paraId="304A1270" w14:textId="77777777" w:rsidR="00575A43" w:rsidRPr="00ED4C26" w:rsidRDefault="00575A43" w:rsidP="00575A43">
      <w:pPr>
        <w:pStyle w:val="Textonotapie"/>
        <w:ind w:firstLine="709"/>
        <w:jc w:val="both"/>
        <w:rPr>
          <w:rFonts w:ascii="Verdana" w:hAnsi="Verdana"/>
          <w:sz w:val="16"/>
          <w:szCs w:val="16"/>
          <w:lang w:val="es-ES"/>
        </w:rPr>
      </w:pPr>
    </w:p>
  </w:footnote>
  <w:footnote w:id="3">
    <w:p w14:paraId="24B21454" w14:textId="77777777" w:rsidR="00575A43" w:rsidRPr="00ED4C26" w:rsidRDefault="00575A43" w:rsidP="00575A43">
      <w:pPr>
        <w:pStyle w:val="Textonotapie"/>
        <w:ind w:firstLine="709"/>
        <w:jc w:val="both"/>
        <w:rPr>
          <w:rFonts w:ascii="Verdana" w:hAnsi="Verdana" w:cs="Arial"/>
          <w:color w:val="000000" w:themeColor="text1"/>
          <w:sz w:val="16"/>
          <w:szCs w:val="16"/>
        </w:rPr>
      </w:pPr>
      <w:r w:rsidRPr="00ED4C26">
        <w:rPr>
          <w:rStyle w:val="Refdenotaalpie"/>
          <w:rFonts w:ascii="Verdana" w:hAnsi="Verdana"/>
          <w:sz w:val="16"/>
          <w:szCs w:val="16"/>
        </w:rPr>
        <w:footnoteRef/>
      </w:r>
      <w:r w:rsidRPr="00ED4C26">
        <w:rPr>
          <w:rFonts w:ascii="Verdana" w:hAnsi="Verdana"/>
          <w:sz w:val="16"/>
          <w:szCs w:val="16"/>
        </w:rPr>
        <w:t xml:space="preserve"> </w:t>
      </w:r>
      <w:r w:rsidRPr="00ED4C26">
        <w:rPr>
          <w:rFonts w:ascii="Verdana" w:hAnsi="Verdana" w:cs="Arial"/>
          <w:color w:val="000000" w:themeColor="text1"/>
          <w:sz w:val="16"/>
          <w:szCs w:val="16"/>
        </w:rPr>
        <w:t>Ley 1712 de 2014: Artículo 2. Toda información en posesión, bajo control o custodia de un sujeto obligado es pública y no podrá ser reservada o limitada sino por disposición constitucional o legal, de conformidad con la presente ley”.</w:t>
      </w:r>
    </w:p>
    <w:p w14:paraId="5EC2927C" w14:textId="77777777" w:rsidR="00575A43" w:rsidRPr="00ED4C26" w:rsidRDefault="00575A43" w:rsidP="00575A43">
      <w:pPr>
        <w:pStyle w:val="Textonotapie"/>
        <w:ind w:firstLine="709"/>
        <w:rPr>
          <w:rFonts w:ascii="Verdana" w:hAnsi="Verdana"/>
          <w:sz w:val="16"/>
          <w:szCs w:val="16"/>
        </w:rPr>
      </w:pPr>
    </w:p>
  </w:footnote>
  <w:footnote w:id="4">
    <w:p w14:paraId="697A932F" w14:textId="77777777" w:rsidR="00575A43" w:rsidRPr="006515D6" w:rsidRDefault="00575A43" w:rsidP="00575A43">
      <w:pPr>
        <w:pStyle w:val="Textonotapie"/>
        <w:ind w:firstLine="707"/>
        <w:contextualSpacing/>
        <w:jc w:val="both"/>
        <w:rPr>
          <w:rFonts w:ascii="Verdana" w:hAnsi="Verdana" w:cs="Arial"/>
          <w:sz w:val="16"/>
          <w:szCs w:val="16"/>
          <w:lang w:val="es-CO"/>
        </w:rPr>
      </w:pPr>
      <w:r w:rsidRPr="006515D6">
        <w:rPr>
          <w:rStyle w:val="Refdenotaalpie"/>
          <w:rFonts w:ascii="Verdana" w:hAnsi="Verdana" w:cs="Arial"/>
          <w:sz w:val="16"/>
          <w:szCs w:val="16"/>
        </w:rPr>
        <w:footnoteRef/>
      </w:r>
      <w:r w:rsidRPr="006515D6">
        <w:rPr>
          <w:rFonts w:ascii="Verdana" w:hAnsi="Verdana" w:cs="Arial"/>
          <w:sz w:val="16"/>
          <w:szCs w:val="16"/>
          <w:vertAlign w:val="superscript"/>
        </w:rPr>
        <w:t xml:space="preserve"> </w:t>
      </w:r>
      <w:r w:rsidRPr="006515D6">
        <w:rPr>
          <w:rFonts w:ascii="Verdana" w:hAnsi="Verdana" w:cs="Arial"/>
          <w:sz w:val="16"/>
          <w:szCs w:val="16"/>
        </w:rPr>
        <w:t xml:space="preserve">Ley 1712 de 2014: “Artículo 3. </w:t>
      </w:r>
      <w:bookmarkStart w:id="1" w:name="3"/>
      <w:r w:rsidRPr="006515D6">
        <w:rPr>
          <w:rFonts w:ascii="Verdana" w:hAnsi="Verdana" w:cs="Arial"/>
          <w:sz w:val="16"/>
          <w:szCs w:val="16"/>
          <w:lang w:val="es-CO"/>
        </w:rPr>
        <w:t>Otros principios de la transparencia y acceso a la información pública.</w:t>
      </w:r>
      <w:bookmarkEnd w:id="1"/>
      <w:r w:rsidRPr="006515D6">
        <w:rPr>
          <w:rFonts w:ascii="Verdana" w:hAnsi="Verdana" w:cs="Arial"/>
          <w:sz w:val="16"/>
          <w:szCs w:val="16"/>
          <w:lang w:val="es-CO"/>
        </w:rPr>
        <w:t> </w:t>
      </w:r>
    </w:p>
    <w:p w14:paraId="1E6D60BF" w14:textId="77777777" w:rsidR="00575A43" w:rsidRPr="00F0611A" w:rsidRDefault="00575A43" w:rsidP="00575A43">
      <w:pPr>
        <w:pStyle w:val="Textonotapie"/>
        <w:ind w:firstLine="707"/>
        <w:contextualSpacing/>
        <w:jc w:val="both"/>
        <w:rPr>
          <w:rFonts w:ascii="Verdana" w:hAnsi="Verdana" w:cs="Arial"/>
          <w:sz w:val="16"/>
          <w:szCs w:val="16"/>
          <w:lang w:val="es-CO"/>
        </w:rPr>
      </w:pPr>
      <w:r w:rsidRPr="006515D6">
        <w:rPr>
          <w:rFonts w:ascii="Verdana" w:hAnsi="Verdana" w:cs="Arial"/>
          <w:sz w:val="16"/>
          <w:szCs w:val="16"/>
          <w:lang w:val="es-CO"/>
        </w:rPr>
        <w:t>[…]</w:t>
      </w:r>
      <w:r>
        <w:rPr>
          <w:rFonts w:ascii="Verdana" w:hAnsi="Verdana" w:cs="Arial"/>
          <w:sz w:val="16"/>
          <w:szCs w:val="16"/>
          <w:lang w:val="es-CO"/>
        </w:rPr>
        <w:t xml:space="preserve"> </w:t>
      </w:r>
      <w:r w:rsidRPr="006515D6">
        <w:rPr>
          <w:rStyle w:val="baj"/>
          <w:rFonts w:ascii="Verdana" w:hAnsi="Verdana" w:cs="Arial"/>
          <w:sz w:val="16"/>
          <w:szCs w:val="16"/>
        </w:rPr>
        <w:t>Principio de transparencia</w:t>
      </w:r>
      <w:r w:rsidRPr="006515D6">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65253DBA" w14:textId="77777777" w:rsidR="00575A43" w:rsidRPr="006515D6" w:rsidRDefault="00575A43" w:rsidP="00575A43">
      <w:pPr>
        <w:pStyle w:val="Textonotapie"/>
        <w:contextualSpacing/>
        <w:jc w:val="both"/>
        <w:rPr>
          <w:rFonts w:ascii="Verdana" w:hAnsi="Verdana" w:cs="Arial"/>
          <w:sz w:val="16"/>
          <w:szCs w:val="16"/>
          <w:lang w:val="es-CO"/>
        </w:rPr>
      </w:pPr>
    </w:p>
  </w:footnote>
  <w:footnote w:id="5">
    <w:p w14:paraId="60BDE734" w14:textId="77777777" w:rsidR="00575A43" w:rsidRPr="006515D6" w:rsidRDefault="00575A43" w:rsidP="00575A43">
      <w:pPr>
        <w:pStyle w:val="Textonotapie"/>
        <w:ind w:firstLine="707"/>
        <w:contextualSpacing/>
        <w:jc w:val="both"/>
        <w:rPr>
          <w:rFonts w:ascii="Verdana" w:hAnsi="Verdana" w:cs="Arial"/>
          <w:sz w:val="16"/>
          <w:szCs w:val="16"/>
          <w:lang w:val="es-CO"/>
        </w:rPr>
      </w:pPr>
      <w:r w:rsidRPr="006515D6">
        <w:rPr>
          <w:rStyle w:val="Refdenotaalpie"/>
          <w:rFonts w:ascii="Verdana" w:hAnsi="Verdana" w:cs="Arial"/>
          <w:sz w:val="16"/>
          <w:szCs w:val="16"/>
        </w:rPr>
        <w:footnoteRef/>
      </w:r>
      <w:r w:rsidRPr="006515D6">
        <w:rPr>
          <w:rFonts w:ascii="Verdana" w:hAnsi="Verdana" w:cs="Arial"/>
          <w:sz w:val="16"/>
          <w:szCs w:val="16"/>
          <w:vertAlign w:val="superscript"/>
        </w:rPr>
        <w:t xml:space="preserve"> </w:t>
      </w:r>
      <w:r w:rsidRPr="006515D6">
        <w:rPr>
          <w:rFonts w:ascii="Verdana" w:hAnsi="Verdana" w:cs="Arial"/>
          <w:sz w:val="16"/>
          <w:szCs w:val="16"/>
        </w:rPr>
        <w:t xml:space="preserve">Ley 1712 de 2014: “Artículo 3. </w:t>
      </w:r>
      <w:r w:rsidRPr="006515D6">
        <w:rPr>
          <w:rFonts w:ascii="Verdana" w:hAnsi="Verdana" w:cs="Arial"/>
          <w:sz w:val="16"/>
          <w:szCs w:val="16"/>
          <w:lang w:val="es-CO"/>
        </w:rPr>
        <w:t>Otros principios de la transparencia y acceso a la información pública. </w:t>
      </w:r>
    </w:p>
    <w:p w14:paraId="705B9F89" w14:textId="77777777" w:rsidR="00575A43" w:rsidRPr="006515D6" w:rsidRDefault="00575A43" w:rsidP="00575A43">
      <w:pPr>
        <w:pStyle w:val="Textonotapie"/>
        <w:ind w:firstLine="707"/>
        <w:contextualSpacing/>
        <w:jc w:val="both"/>
        <w:rPr>
          <w:rFonts w:ascii="Verdana" w:hAnsi="Verdana" w:cs="Arial"/>
          <w:sz w:val="16"/>
          <w:szCs w:val="16"/>
          <w:lang w:val="es-ES"/>
        </w:rPr>
      </w:pPr>
      <w:r w:rsidRPr="006515D6">
        <w:rPr>
          <w:rFonts w:ascii="Verdana" w:hAnsi="Verdana" w:cs="Arial"/>
          <w:sz w:val="16"/>
          <w:szCs w:val="16"/>
          <w:lang w:val="es-ES"/>
        </w:rPr>
        <w:t>[…]</w:t>
      </w:r>
      <w:r>
        <w:rPr>
          <w:rFonts w:ascii="Verdana" w:hAnsi="Verdana" w:cs="Arial"/>
          <w:sz w:val="16"/>
          <w:szCs w:val="16"/>
          <w:lang w:val="es-ES"/>
        </w:rPr>
        <w:t xml:space="preserve"> </w:t>
      </w:r>
      <w:r w:rsidRPr="006515D6">
        <w:rPr>
          <w:rStyle w:val="baj"/>
          <w:rFonts w:ascii="Verdana" w:hAnsi="Verdana" w:cs="Arial"/>
          <w:sz w:val="16"/>
          <w:szCs w:val="16"/>
        </w:rPr>
        <w:t>Principio de buena fe</w:t>
      </w:r>
      <w:r w:rsidRPr="006515D6">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footnote>
  <w:footnote w:id="6">
    <w:p w14:paraId="06044F52" w14:textId="77777777" w:rsidR="00575A43" w:rsidRPr="006515D6" w:rsidRDefault="00575A43" w:rsidP="00575A43">
      <w:pPr>
        <w:pStyle w:val="Textonotapie"/>
        <w:ind w:firstLine="707"/>
        <w:contextualSpacing/>
        <w:jc w:val="both"/>
        <w:rPr>
          <w:rFonts w:ascii="Verdana" w:hAnsi="Verdana" w:cs="Arial"/>
          <w:sz w:val="16"/>
          <w:szCs w:val="16"/>
        </w:rPr>
      </w:pPr>
    </w:p>
    <w:p w14:paraId="6E63BCB3" w14:textId="77777777" w:rsidR="00575A43" w:rsidRPr="00522572" w:rsidRDefault="00575A43" w:rsidP="00575A43">
      <w:pPr>
        <w:pStyle w:val="Textonotapie"/>
        <w:ind w:firstLine="707"/>
        <w:contextualSpacing/>
        <w:jc w:val="both"/>
        <w:rPr>
          <w:rFonts w:ascii="Verdana" w:hAnsi="Verdana" w:cs="Arial"/>
          <w:sz w:val="16"/>
          <w:szCs w:val="16"/>
          <w:shd w:val="clear" w:color="auto" w:fill="FFFFFF"/>
        </w:rPr>
      </w:pPr>
      <w:r w:rsidRPr="006515D6">
        <w:rPr>
          <w:rStyle w:val="Refdenotaalpie"/>
          <w:rFonts w:ascii="Verdana" w:hAnsi="Verdana" w:cs="Arial"/>
          <w:sz w:val="16"/>
          <w:szCs w:val="16"/>
        </w:rPr>
        <w:footnoteRef/>
      </w:r>
      <w:r w:rsidRPr="006515D6">
        <w:rPr>
          <w:rFonts w:ascii="Verdana" w:hAnsi="Verdana" w:cs="Arial"/>
          <w:sz w:val="16"/>
          <w:szCs w:val="16"/>
        </w:rPr>
        <w:t xml:space="preserve"> Ley 1712 de 2014: “Artículo 9. </w:t>
      </w:r>
      <w:r w:rsidRPr="006515D6">
        <w:rPr>
          <w:rFonts w:ascii="Verdana" w:hAnsi="Verdana" w:cs="Arial"/>
          <w:sz w:val="16"/>
          <w:szCs w:val="16"/>
          <w:shd w:val="clear" w:color="auto" w:fill="FFFFFF"/>
        </w:rPr>
        <w:t> </w:t>
      </w:r>
      <w:r w:rsidRPr="006515D6">
        <w:rPr>
          <w:rStyle w:val="nfasis"/>
          <w:rFonts w:ascii="Verdana" w:hAnsi="Verdana" w:cs="Arial"/>
          <w:sz w:val="16"/>
          <w:szCs w:val="16"/>
          <w:shd w:val="clear" w:color="auto" w:fill="FFFFFF"/>
        </w:rPr>
        <w:t>Información mínima obligatoria respecto a la estructura del sujeto obligado. </w:t>
      </w:r>
      <w:r w:rsidRPr="006515D6">
        <w:rPr>
          <w:rFonts w:ascii="Verdana" w:hAnsi="Verdana" w:cs="Arial"/>
          <w:sz w:val="16"/>
          <w:szCs w:val="16"/>
          <w:shd w:val="clear" w:color="auto" w:fill="FFFFFF"/>
        </w:rPr>
        <w:t>Todo sujeto obligado deberá publicar la siguiente información mínima obligatoria de manera proactiva en los sistemas de información del Estado o herramientas que lo sustituyan</w:t>
      </w:r>
      <w:r>
        <w:rPr>
          <w:rFonts w:ascii="Verdana" w:hAnsi="Verdana" w:cs="Arial"/>
          <w:sz w:val="16"/>
          <w:szCs w:val="16"/>
          <w:shd w:val="clear" w:color="auto" w:fill="FFFFFF"/>
        </w:rPr>
        <w:t xml:space="preserve"> </w:t>
      </w:r>
      <w:r w:rsidRPr="006515D6">
        <w:rPr>
          <w:rFonts w:ascii="Verdana" w:hAnsi="Verdana" w:cs="Arial"/>
          <w:sz w:val="16"/>
          <w:szCs w:val="16"/>
          <w:shd w:val="clear" w:color="auto" w:fill="FFFFFF"/>
        </w:rPr>
        <w:t>[…]</w:t>
      </w:r>
      <w:r>
        <w:rPr>
          <w:rFonts w:ascii="Verdana" w:hAnsi="Verdana" w:cs="Arial"/>
          <w:sz w:val="16"/>
          <w:szCs w:val="16"/>
          <w:shd w:val="clear" w:color="auto" w:fill="FFFFFF"/>
        </w:rPr>
        <w:t xml:space="preserve"> </w:t>
      </w:r>
      <w:r w:rsidRPr="006515D6">
        <w:rPr>
          <w:rFonts w:ascii="Verdana" w:hAnsi="Verdana" w:cs="Arial"/>
          <w:sz w:val="16"/>
          <w:szCs w:val="16"/>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6515D6">
        <w:rPr>
          <w:rFonts w:ascii="Verdana" w:hAnsi="Verdana" w:cs="Arial"/>
          <w:sz w:val="16"/>
          <w:szCs w:val="16"/>
        </w:rPr>
        <w:t xml:space="preserve"> </w:t>
      </w:r>
      <w:r w:rsidRPr="006515D6">
        <w:rPr>
          <w:rFonts w:ascii="Verdana" w:hAnsi="Verdana" w:cs="Arial"/>
          <w:sz w:val="16"/>
          <w:szCs w:val="16"/>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6515D6">
        <w:rPr>
          <w:rFonts w:ascii="Verdana" w:hAnsi="Verdana" w:cs="Arial"/>
          <w:sz w:val="16"/>
          <w:szCs w:val="16"/>
        </w:rPr>
        <w:t>”.</w:t>
      </w:r>
    </w:p>
  </w:footnote>
  <w:footnote w:id="7">
    <w:p w14:paraId="034B1CE9" w14:textId="77777777" w:rsidR="00575A43" w:rsidRPr="006515D6" w:rsidRDefault="00575A43" w:rsidP="00575A43">
      <w:pPr>
        <w:spacing w:after="0" w:line="240" w:lineRule="auto"/>
        <w:ind w:firstLine="707"/>
        <w:contextualSpacing/>
        <w:jc w:val="both"/>
        <w:rPr>
          <w:rFonts w:ascii="Verdana" w:hAnsi="Verdana" w:cs="Arial"/>
          <w:sz w:val="16"/>
          <w:szCs w:val="16"/>
        </w:rPr>
      </w:pPr>
    </w:p>
    <w:p w14:paraId="73A0D01D" w14:textId="77777777" w:rsidR="00575A43" w:rsidRPr="006515D6" w:rsidRDefault="00575A43" w:rsidP="00575A43">
      <w:pPr>
        <w:spacing w:after="0" w:line="240" w:lineRule="auto"/>
        <w:ind w:firstLine="707"/>
        <w:contextualSpacing/>
        <w:jc w:val="both"/>
        <w:rPr>
          <w:rFonts w:ascii="Verdana" w:hAnsi="Verdana" w:cs="Arial"/>
          <w:sz w:val="16"/>
          <w:szCs w:val="16"/>
        </w:rPr>
      </w:pPr>
      <w:r w:rsidRPr="006515D6">
        <w:rPr>
          <w:rStyle w:val="Refdenotaalpie"/>
          <w:rFonts w:ascii="Verdana" w:hAnsi="Verdana" w:cs="Arial"/>
          <w:sz w:val="16"/>
          <w:szCs w:val="16"/>
        </w:rPr>
        <w:footnoteRef/>
      </w:r>
      <w:r w:rsidRPr="006515D6">
        <w:rPr>
          <w:rFonts w:ascii="Verdana" w:hAnsi="Verdana" w:cs="Arial"/>
          <w:sz w:val="16"/>
          <w:szCs w:val="16"/>
        </w:rPr>
        <w:t xml:space="preserve"> Ley 1712 de 2014: “Artículo 5. Ámbito de aplicación. Las disposiciones de esta ley serán aplicables a las siguientes personas en calidad de sujetos obligados:</w:t>
      </w:r>
      <w:r>
        <w:rPr>
          <w:rFonts w:ascii="Verdana" w:hAnsi="Verdana" w:cs="Arial"/>
          <w:sz w:val="16"/>
          <w:szCs w:val="16"/>
        </w:rPr>
        <w:t xml:space="preserve"> </w:t>
      </w:r>
      <w:r w:rsidRPr="006515D6">
        <w:rPr>
          <w:rFonts w:ascii="Verdana"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B5CCE96" w14:textId="77777777" w:rsidR="00575A43" w:rsidRPr="006515D6" w:rsidRDefault="00575A43" w:rsidP="00575A43">
      <w:pPr>
        <w:pStyle w:val="Textonotapie"/>
        <w:contextualSpacing/>
        <w:jc w:val="both"/>
        <w:rPr>
          <w:rFonts w:ascii="Verdana" w:hAnsi="Verdana" w:cs="Arial"/>
          <w:sz w:val="16"/>
          <w:szCs w:val="16"/>
        </w:rPr>
      </w:pPr>
    </w:p>
  </w:footnote>
  <w:footnote w:id="8">
    <w:p w14:paraId="326E508C" w14:textId="77777777" w:rsidR="00575A43" w:rsidRPr="006515D6" w:rsidRDefault="00575A43" w:rsidP="00575A43">
      <w:pPr>
        <w:pStyle w:val="Textonotapie"/>
        <w:ind w:firstLine="709"/>
        <w:jc w:val="both"/>
        <w:rPr>
          <w:rFonts w:ascii="Verdana" w:hAnsi="Verdana"/>
          <w:sz w:val="16"/>
          <w:szCs w:val="16"/>
          <w:lang w:val="es-ES"/>
        </w:rPr>
      </w:pPr>
      <w:r w:rsidRPr="006515D6">
        <w:rPr>
          <w:rStyle w:val="Refdenotaalpie"/>
          <w:rFonts w:ascii="Verdana" w:hAnsi="Verdana"/>
          <w:sz w:val="16"/>
          <w:szCs w:val="16"/>
        </w:rPr>
        <w:footnoteRef/>
      </w:r>
      <w:r w:rsidRPr="006515D6">
        <w:rPr>
          <w:rFonts w:ascii="Verdana" w:hAnsi="Verdana"/>
          <w:sz w:val="16"/>
          <w:szCs w:val="16"/>
        </w:rPr>
        <w:t xml:space="preserve"> </w:t>
      </w:r>
      <w:r w:rsidRPr="006515D6">
        <w:rPr>
          <w:rFonts w:ascii="Verdana" w:hAnsi="Verdana"/>
          <w:sz w:val="16"/>
          <w:szCs w:val="16"/>
          <w:lang w:val="es-ES"/>
        </w:rPr>
        <w:t xml:space="preserve">Actualizada por la Circular Externa Única del 27 de diciembre de 2023. En </w:t>
      </w:r>
      <w:hyperlink r:id="rId1" w:history="1">
        <w:r w:rsidRPr="0054318D">
          <w:rPr>
            <w:rStyle w:val="Hipervnculo"/>
            <w:rFonts w:ascii="Verdana" w:hAnsi="Verdana" w:cs="Arial"/>
            <w:sz w:val="16"/>
            <w:szCs w:val="16"/>
          </w:rPr>
          <w:t>https://www.colombiacompra.gov.co/normativa-y-relatoria/circular-unica-externa</w:t>
        </w:r>
      </w:hyperlink>
    </w:p>
  </w:footnote>
  <w:footnote w:id="9">
    <w:p w14:paraId="4D14CEAB" w14:textId="77777777" w:rsidR="00575A43" w:rsidRPr="006515D6" w:rsidRDefault="00575A43" w:rsidP="00575A43">
      <w:pPr>
        <w:pStyle w:val="Textonotapie"/>
        <w:ind w:firstLine="709"/>
        <w:jc w:val="both"/>
        <w:rPr>
          <w:rFonts w:ascii="Verdana" w:hAnsi="Verdana" w:cs="Arial"/>
          <w:color w:val="000000" w:themeColor="text1"/>
          <w:sz w:val="16"/>
          <w:szCs w:val="16"/>
          <w:lang w:val="es-CO"/>
        </w:rPr>
      </w:pPr>
      <w:r w:rsidRPr="006515D6">
        <w:rPr>
          <w:rStyle w:val="Refdenotaalpie"/>
          <w:rFonts w:ascii="Verdana" w:hAnsi="Verdana" w:cs="Arial"/>
          <w:color w:val="000000" w:themeColor="text1"/>
          <w:sz w:val="16"/>
          <w:szCs w:val="16"/>
        </w:rPr>
        <w:footnoteRef/>
      </w:r>
      <w:r w:rsidRPr="006515D6">
        <w:rPr>
          <w:rFonts w:ascii="Verdana" w:hAnsi="Verdana" w:cs="Arial"/>
          <w:color w:val="000000" w:themeColor="text1"/>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0">
    <w:p w14:paraId="32495EB9" w14:textId="77777777" w:rsidR="00575A43" w:rsidRPr="006515D6" w:rsidRDefault="00575A43" w:rsidP="00575A43">
      <w:pPr>
        <w:pStyle w:val="Textonotapie"/>
        <w:ind w:firstLine="709"/>
        <w:contextualSpacing/>
        <w:jc w:val="both"/>
        <w:rPr>
          <w:rFonts w:ascii="Verdana" w:hAnsi="Verdana" w:cs="Arial"/>
          <w:color w:val="000000"/>
          <w:sz w:val="16"/>
          <w:szCs w:val="16"/>
          <w:lang w:val="es-ES_tradnl"/>
        </w:rPr>
      </w:pPr>
      <w:r w:rsidRPr="006515D6">
        <w:rPr>
          <w:rStyle w:val="Refdenotaalpie"/>
          <w:rFonts w:ascii="Verdana" w:hAnsi="Verdana" w:cs="Arial"/>
          <w:color w:val="000000"/>
          <w:sz w:val="16"/>
          <w:szCs w:val="16"/>
          <w:lang w:val="es-ES_tradnl"/>
        </w:rPr>
        <w:footnoteRef/>
      </w:r>
      <w:r w:rsidRPr="006515D6">
        <w:rPr>
          <w:rFonts w:ascii="Verdana" w:hAnsi="Verdana" w:cs="Arial"/>
          <w:color w:val="000000"/>
          <w:sz w:val="16"/>
          <w:szCs w:val="16"/>
          <w:lang w:val="es-ES_tradnl"/>
        </w:rPr>
        <w:t xml:space="preserve"> En efecto, este artículo dispuso: “Adiciónese al artículo 2o de la Ley 1150 de 2007 el siguiente numeral.</w:t>
      </w:r>
      <w:r>
        <w:rPr>
          <w:rFonts w:ascii="Verdana" w:hAnsi="Verdana" w:cs="Arial"/>
          <w:color w:val="000000"/>
          <w:sz w:val="16"/>
          <w:szCs w:val="16"/>
          <w:lang w:val="es-ES_tradnl"/>
        </w:rPr>
        <w:t xml:space="preserve"> </w:t>
      </w:r>
      <w:r w:rsidRPr="006515D6">
        <w:rPr>
          <w:rFonts w:ascii="Verdana" w:hAnsi="Verdana" w:cs="Arial"/>
          <w:color w:val="000000"/>
          <w:sz w:val="16"/>
          <w:szCs w:val="16"/>
          <w:lang w:val="es-ES_tradnl"/>
        </w:rPr>
        <w:t>La contratación cuyo valor no excede del 10 por ciento de la menor cuantía de la entidad independientemente de su objeto, se efectuará de conformidad con las siguientes reglas:</w:t>
      </w:r>
    </w:p>
    <w:p w14:paraId="43C3A890" w14:textId="77777777" w:rsidR="00575A43" w:rsidRPr="006515D6" w:rsidRDefault="00575A43" w:rsidP="00575A43">
      <w:pPr>
        <w:pStyle w:val="Textonotapie"/>
        <w:ind w:firstLine="709"/>
        <w:contextualSpacing/>
        <w:jc w:val="both"/>
        <w:rPr>
          <w:rFonts w:ascii="Verdana" w:hAnsi="Verdana" w:cs="Arial"/>
          <w:color w:val="000000"/>
          <w:sz w:val="16"/>
          <w:szCs w:val="16"/>
          <w:lang w:val="es-ES_tradnl"/>
        </w:rPr>
      </w:pPr>
      <w:r w:rsidRPr="006515D6">
        <w:rPr>
          <w:rFonts w:ascii="Verdana" w:hAnsi="Verdana" w:cs="Arial"/>
          <w:color w:val="000000"/>
          <w:sz w:val="16"/>
          <w:szCs w:val="16"/>
          <w:lang w:val="es-ES_tradnl"/>
        </w:rPr>
        <w:t>a) Se publicará una invitación, por un término no inferior a un día hábil, en la cual se señalará el objeto a contratar, el presupuesto destinado para tal fin, así como las condiciones técnicas exigidas;</w:t>
      </w:r>
    </w:p>
    <w:p w14:paraId="44266F7C" w14:textId="77777777" w:rsidR="00575A43" w:rsidRPr="006515D6" w:rsidRDefault="00575A43" w:rsidP="00575A43">
      <w:pPr>
        <w:pStyle w:val="Textonotapie"/>
        <w:ind w:firstLine="709"/>
        <w:contextualSpacing/>
        <w:jc w:val="both"/>
        <w:rPr>
          <w:rFonts w:ascii="Verdana" w:hAnsi="Verdana" w:cs="Arial"/>
          <w:color w:val="000000"/>
          <w:sz w:val="16"/>
          <w:szCs w:val="16"/>
          <w:lang w:val="es-ES_tradnl"/>
        </w:rPr>
      </w:pPr>
      <w:r w:rsidRPr="006515D6">
        <w:rPr>
          <w:rFonts w:ascii="Verdana" w:hAnsi="Verdana" w:cs="Arial"/>
          <w:color w:val="000000"/>
          <w:sz w:val="16"/>
          <w:szCs w:val="16"/>
          <w:lang w:val="es-ES_tradnl"/>
        </w:rPr>
        <w:t>b) El término previsto en la invitación para presentar la oferta no podrá ser inferior a un día hábil;</w:t>
      </w:r>
    </w:p>
    <w:p w14:paraId="118FB35A" w14:textId="77777777" w:rsidR="00575A43" w:rsidRPr="006515D6" w:rsidRDefault="00575A43" w:rsidP="00575A43">
      <w:pPr>
        <w:pStyle w:val="Textonotapie"/>
        <w:ind w:firstLine="709"/>
        <w:contextualSpacing/>
        <w:jc w:val="both"/>
        <w:rPr>
          <w:rFonts w:ascii="Verdana" w:hAnsi="Verdana" w:cs="Arial"/>
          <w:color w:val="000000"/>
          <w:sz w:val="16"/>
          <w:szCs w:val="16"/>
          <w:lang w:val="es-ES_tradnl"/>
        </w:rPr>
      </w:pPr>
      <w:r w:rsidRPr="006515D6">
        <w:rPr>
          <w:rFonts w:ascii="Verdana" w:hAnsi="Verdana" w:cs="Arial"/>
          <w:color w:val="000000"/>
          <w:sz w:val="16"/>
          <w:szCs w:val="16"/>
          <w:lang w:val="es-ES_tradnl"/>
        </w:rPr>
        <w:t>c) La entidad seleccionará, mediante comunicación de aceptación de la oferta, la propuesta con el menor precio, siempre y cuando cumpla con las condiciones exigidas;</w:t>
      </w:r>
    </w:p>
    <w:p w14:paraId="50E04C3A" w14:textId="77777777" w:rsidR="00575A43" w:rsidRPr="006515D6" w:rsidRDefault="00575A43" w:rsidP="00575A43">
      <w:pPr>
        <w:pStyle w:val="Textonotapie"/>
        <w:ind w:firstLine="709"/>
        <w:contextualSpacing/>
        <w:jc w:val="both"/>
        <w:rPr>
          <w:rFonts w:ascii="Verdana" w:hAnsi="Verdana" w:cs="Arial"/>
          <w:color w:val="000000"/>
          <w:sz w:val="16"/>
          <w:szCs w:val="16"/>
          <w:lang w:val="es-ES_tradnl"/>
        </w:rPr>
      </w:pPr>
      <w:r w:rsidRPr="006515D6">
        <w:rPr>
          <w:rFonts w:ascii="Verdana" w:hAnsi="Verdana" w:cs="Arial"/>
          <w:color w:val="000000"/>
          <w:sz w:val="16"/>
          <w:szCs w:val="16"/>
          <w:lang w:val="es-ES_tradnl"/>
        </w:rPr>
        <w:t>d) La comunicación de aceptación junto con la oferta constituyen para todos los efectos el contrato celebrado, con base en lo cual se efectuará el respectivo registro presupuestal.</w:t>
      </w:r>
    </w:p>
    <w:p w14:paraId="47D92051" w14:textId="77777777" w:rsidR="00575A43" w:rsidRPr="006515D6" w:rsidRDefault="00575A43" w:rsidP="00575A43">
      <w:pPr>
        <w:pStyle w:val="Textonotapie"/>
        <w:ind w:firstLine="709"/>
        <w:contextualSpacing/>
        <w:jc w:val="both"/>
        <w:rPr>
          <w:rFonts w:ascii="Verdana" w:hAnsi="Verdana" w:cs="Arial"/>
          <w:color w:val="000000"/>
          <w:sz w:val="16"/>
          <w:szCs w:val="16"/>
          <w:lang w:val="es-ES_tradnl"/>
        </w:rPr>
      </w:pPr>
      <w:r w:rsidRPr="006515D6">
        <w:rPr>
          <w:rFonts w:ascii="Verdana" w:hAnsi="Verdana" w:cs="Arial"/>
          <w:color w:val="000000"/>
          <w:sz w:val="16"/>
          <w:szCs w:val="16"/>
          <w:lang w:val="es-ES_tradnl"/>
        </w:rPr>
        <w:t>PARÁGRAFO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6FB995B2" w14:textId="77777777" w:rsidR="00575A43" w:rsidRDefault="00575A43" w:rsidP="00575A43">
      <w:pPr>
        <w:pStyle w:val="Textonotapie"/>
        <w:ind w:firstLine="709"/>
        <w:contextualSpacing/>
        <w:jc w:val="both"/>
        <w:rPr>
          <w:rFonts w:ascii="Verdana" w:hAnsi="Verdana" w:cs="Arial"/>
          <w:color w:val="000000"/>
          <w:sz w:val="16"/>
          <w:szCs w:val="16"/>
          <w:lang w:val="es-ES_tradnl"/>
        </w:rPr>
      </w:pPr>
      <w:r w:rsidRPr="006515D6">
        <w:rPr>
          <w:rFonts w:ascii="Verdana" w:hAnsi="Verdana" w:cs="Arial"/>
          <w:color w:val="000000"/>
          <w:sz w:val="16"/>
          <w:szCs w:val="16"/>
          <w:lang w:val="es-ES_tradnl"/>
        </w:rPr>
        <w:t>PARÁGRAFO 2o. La contratación a que se refiere el presente artículo se realizará exclusivamente con las reglas en él contempladas y en su reglamentación. En particular no se aplicará lo previsto en la Ley 816 de 2003, ni en el artículo 12 de la Ley 1150 de 2007”.</w:t>
      </w:r>
    </w:p>
    <w:p w14:paraId="3DB0B870" w14:textId="77777777" w:rsidR="00575A43" w:rsidRPr="006515D6" w:rsidRDefault="00575A43" w:rsidP="00575A43">
      <w:pPr>
        <w:pStyle w:val="Textonotapie"/>
        <w:ind w:firstLine="709"/>
        <w:contextualSpacing/>
        <w:jc w:val="both"/>
        <w:rPr>
          <w:rFonts w:ascii="Verdana" w:hAnsi="Verdana" w:cs="Arial"/>
          <w:color w:val="000000"/>
          <w:sz w:val="16"/>
          <w:szCs w:val="16"/>
          <w:lang w:val="es-ES_tradnl"/>
        </w:rPr>
      </w:pPr>
    </w:p>
  </w:footnote>
  <w:footnote w:id="11">
    <w:p w14:paraId="3FA07462" w14:textId="77777777" w:rsidR="00575A43" w:rsidRDefault="00575A43" w:rsidP="00575A43">
      <w:pPr>
        <w:pStyle w:val="Textonotapie"/>
        <w:ind w:firstLine="709"/>
        <w:contextualSpacing/>
        <w:jc w:val="both"/>
        <w:rPr>
          <w:rFonts w:ascii="Verdana" w:hAnsi="Verdana" w:cs="Arial"/>
          <w:color w:val="000000"/>
          <w:sz w:val="16"/>
          <w:szCs w:val="16"/>
          <w:lang w:val="es-ES_tradnl"/>
        </w:rPr>
      </w:pPr>
      <w:r w:rsidRPr="00ED4C26">
        <w:rPr>
          <w:rStyle w:val="Refdenotaalpie"/>
          <w:rFonts w:ascii="Verdana" w:hAnsi="Verdana" w:cs="Arial"/>
          <w:color w:val="000000"/>
          <w:sz w:val="16"/>
          <w:szCs w:val="16"/>
          <w:lang w:val="es-ES_tradnl"/>
        </w:rPr>
        <w:footnoteRef/>
      </w:r>
      <w:r w:rsidRPr="00ED4C26">
        <w:rPr>
          <w:rFonts w:ascii="Verdana" w:hAnsi="Verdana" w:cs="Arial"/>
          <w:color w:val="000000"/>
          <w:sz w:val="16"/>
          <w:szCs w:val="16"/>
          <w:lang w:val="es-ES_tradnl"/>
        </w:rPr>
        <w:t xml:space="preserve"> Esto lo ratifica el artículo 2.2.1.2.1.5.2. del Decreto 1082 de 2015.</w:t>
      </w:r>
    </w:p>
    <w:p w14:paraId="099DA953" w14:textId="77777777" w:rsidR="00575A43" w:rsidRPr="00ED4C26" w:rsidRDefault="00575A43" w:rsidP="00575A43">
      <w:pPr>
        <w:pStyle w:val="Textonotapie"/>
        <w:ind w:firstLine="709"/>
        <w:contextualSpacing/>
        <w:jc w:val="both"/>
        <w:rPr>
          <w:rFonts w:ascii="Verdana" w:hAnsi="Verdana" w:cs="Arial"/>
          <w:color w:val="000000"/>
          <w:sz w:val="16"/>
          <w:szCs w:val="16"/>
          <w:lang w:val="es-ES_tradnl"/>
        </w:rPr>
      </w:pPr>
    </w:p>
  </w:footnote>
  <w:footnote w:id="12">
    <w:p w14:paraId="007580D7" w14:textId="77777777" w:rsidR="00575A43" w:rsidRPr="00ED4C26" w:rsidRDefault="00575A43" w:rsidP="00575A43">
      <w:pPr>
        <w:pStyle w:val="Textonotapie"/>
        <w:ind w:firstLine="709"/>
        <w:contextualSpacing/>
        <w:jc w:val="both"/>
        <w:rPr>
          <w:rFonts w:ascii="Verdana" w:hAnsi="Verdana" w:cs="Arial"/>
          <w:color w:val="000000"/>
          <w:sz w:val="16"/>
          <w:szCs w:val="16"/>
          <w:lang w:val="es-ES_tradnl"/>
        </w:rPr>
      </w:pPr>
      <w:r w:rsidRPr="00ED4C26">
        <w:rPr>
          <w:rStyle w:val="Refdenotaalpie"/>
          <w:rFonts w:ascii="Verdana" w:hAnsi="Verdana" w:cs="Arial"/>
          <w:color w:val="000000"/>
          <w:sz w:val="16"/>
          <w:szCs w:val="16"/>
          <w:lang w:val="es-ES_tradnl"/>
        </w:rPr>
        <w:footnoteRef/>
      </w:r>
      <w:r w:rsidRPr="00ED4C26">
        <w:rPr>
          <w:rFonts w:ascii="Verdana" w:hAnsi="Verdana" w:cs="Arial"/>
          <w:color w:val="000000"/>
          <w:sz w:val="16"/>
          <w:szCs w:val="16"/>
          <w:lang w:val="es-ES_tradnl"/>
        </w:rPr>
        <w:t xml:space="preserve"> DÁVILA VINUEZA, Luis Guillermo. Régimen jurídico de la contratación estatal. 3ª ed. Bogotá: Legis, 2016. p. 463.</w:t>
      </w:r>
    </w:p>
    <w:p w14:paraId="36DC679C" w14:textId="77777777" w:rsidR="00575A43" w:rsidRPr="00ED4C26" w:rsidRDefault="00575A43" w:rsidP="00575A43">
      <w:pPr>
        <w:pStyle w:val="Textonotapie"/>
        <w:ind w:firstLine="709"/>
        <w:contextualSpacing/>
        <w:jc w:val="both"/>
        <w:rPr>
          <w:rFonts w:ascii="Verdana" w:hAnsi="Verdana" w:cs="Arial"/>
          <w:color w:val="000000"/>
          <w:sz w:val="16"/>
          <w:szCs w:val="16"/>
          <w:lang w:val="es-ES_tradnl"/>
        </w:rPr>
      </w:pPr>
    </w:p>
  </w:footnote>
  <w:footnote w:id="13">
    <w:p w14:paraId="407FABA8" w14:textId="77777777" w:rsidR="00575A43" w:rsidRDefault="00575A43" w:rsidP="00575A43">
      <w:pPr>
        <w:pStyle w:val="Textonotapie"/>
        <w:ind w:firstLine="709"/>
        <w:contextualSpacing/>
        <w:jc w:val="both"/>
        <w:rPr>
          <w:rFonts w:ascii="Verdana" w:hAnsi="Verdana" w:cs="Arial"/>
          <w:color w:val="000000"/>
          <w:sz w:val="16"/>
          <w:szCs w:val="16"/>
          <w:lang w:val="es-ES_tradnl"/>
        </w:rPr>
      </w:pPr>
      <w:r w:rsidRPr="00ED4C26">
        <w:rPr>
          <w:rStyle w:val="Refdenotaalpie"/>
          <w:rFonts w:ascii="Verdana" w:hAnsi="Verdana" w:cs="Arial"/>
          <w:color w:val="000000"/>
          <w:sz w:val="16"/>
          <w:szCs w:val="16"/>
          <w:lang w:val="es-ES_tradnl"/>
        </w:rPr>
        <w:footnoteRef/>
      </w:r>
      <w:r w:rsidRPr="00ED4C26">
        <w:rPr>
          <w:rFonts w:ascii="Verdana" w:hAnsi="Verdana" w:cs="Arial"/>
          <w:color w:val="000000"/>
          <w:sz w:val="16"/>
          <w:szCs w:val="16"/>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7CE9251E" w14:textId="77777777" w:rsidR="00575A43" w:rsidRPr="00ED4C26" w:rsidRDefault="00575A43" w:rsidP="00575A43">
      <w:pPr>
        <w:pStyle w:val="Textonotapie"/>
        <w:ind w:firstLine="709"/>
        <w:contextualSpacing/>
        <w:jc w:val="both"/>
        <w:rPr>
          <w:rFonts w:ascii="Verdana" w:hAnsi="Verdana" w:cs="Arial"/>
          <w:color w:val="000000"/>
          <w:sz w:val="16"/>
          <w:szCs w:val="16"/>
          <w:lang w:val="es-ES_tradnl"/>
        </w:rPr>
      </w:pPr>
    </w:p>
  </w:footnote>
  <w:footnote w:id="14">
    <w:p w14:paraId="1741EEFB" w14:textId="77777777" w:rsidR="00575A43" w:rsidRPr="00ED4C26" w:rsidRDefault="00575A43" w:rsidP="00575A43">
      <w:pPr>
        <w:pStyle w:val="Textonotapie"/>
        <w:ind w:firstLine="709"/>
        <w:jc w:val="both"/>
        <w:rPr>
          <w:rFonts w:ascii="Verdana" w:hAnsi="Verdana" w:cs="Arial"/>
          <w:color w:val="000000"/>
          <w:sz w:val="16"/>
          <w:szCs w:val="16"/>
          <w:lang w:val="es-ES_tradnl"/>
        </w:rPr>
      </w:pPr>
      <w:r w:rsidRPr="00ED4C26">
        <w:rPr>
          <w:rStyle w:val="Refdenotaalpie"/>
          <w:rFonts w:ascii="Verdana" w:hAnsi="Verdana" w:cs="Arial"/>
          <w:color w:val="000000"/>
          <w:sz w:val="16"/>
          <w:szCs w:val="16"/>
          <w:lang w:val="es-ES_tradnl"/>
        </w:rPr>
        <w:footnoteRef/>
      </w:r>
      <w:r w:rsidRPr="00ED4C26">
        <w:rPr>
          <w:rFonts w:ascii="Verdana" w:hAnsi="Verdana" w:cs="Arial"/>
          <w:color w:val="000000"/>
          <w:sz w:val="16"/>
          <w:szCs w:val="16"/>
          <w:lang w:val="es-ES_tradnl"/>
        </w:rPr>
        <w:t xml:space="preserve"> Agencia Nacional de Contratación Pública – Colombia Compra Eficiente. Manual de la Modalidad de Selección de Mínima Cuantía En:</w:t>
      </w:r>
      <w:r w:rsidRPr="00ED4C26">
        <w:rPr>
          <w:rFonts w:ascii="Verdana" w:hAnsi="Verdana"/>
          <w:sz w:val="16"/>
          <w:szCs w:val="16"/>
        </w:rPr>
        <w:t xml:space="preserve"> </w:t>
      </w:r>
      <w:hyperlink r:id="rId2" w:history="1">
        <w:r w:rsidRPr="00ED4C26">
          <w:rPr>
            <w:rStyle w:val="Hipervnculo"/>
            <w:rFonts w:ascii="Verdana" w:hAnsi="Verdana" w:cs="Arial"/>
            <w:sz w:val="16"/>
            <w:szCs w:val="16"/>
            <w:lang w:val="es-ES_tradnl"/>
          </w:rPr>
          <w:t>https://www.colombiacompra.gov.co/manuales-guias-y-pliegos-tipo/manuales-y-guias</w:t>
        </w:r>
      </w:hyperlink>
      <w:r w:rsidRPr="00ED4C26">
        <w:rPr>
          <w:rFonts w:ascii="Verdana" w:hAnsi="Verdana" w:cs="Arial"/>
          <w:color w:val="000000"/>
          <w:sz w:val="16"/>
          <w:szCs w:val="16"/>
          <w:lang w:val="es-ES_tradnl"/>
        </w:rPr>
        <w:t xml:space="preserve"> </w:t>
      </w:r>
    </w:p>
    <w:p w14:paraId="5779C90E" w14:textId="77777777" w:rsidR="00575A43" w:rsidRPr="00ED4C26" w:rsidRDefault="00575A43" w:rsidP="00575A43">
      <w:pPr>
        <w:pStyle w:val="Textonotapie"/>
        <w:jc w:val="both"/>
        <w:rPr>
          <w:rFonts w:ascii="Verdana" w:hAnsi="Verdana" w:cs="Arial"/>
          <w:color w:val="000000"/>
          <w:sz w:val="16"/>
          <w:szCs w:val="16"/>
          <w:lang w:val="es-ES_tradnl"/>
        </w:rPr>
      </w:pPr>
    </w:p>
  </w:footnote>
  <w:footnote w:id="15">
    <w:p w14:paraId="76230EED" w14:textId="77777777" w:rsidR="00575A43" w:rsidRPr="00ED4C26" w:rsidRDefault="00575A43" w:rsidP="00575A43">
      <w:pPr>
        <w:pStyle w:val="Textonotapie"/>
        <w:ind w:firstLine="709"/>
        <w:jc w:val="both"/>
        <w:rPr>
          <w:rFonts w:ascii="Verdana" w:hAnsi="Verdana" w:cs="Arial"/>
          <w:color w:val="000000"/>
          <w:sz w:val="16"/>
          <w:szCs w:val="16"/>
          <w:lang w:val="es-ES"/>
        </w:rPr>
      </w:pPr>
      <w:r w:rsidRPr="00ED4C26">
        <w:rPr>
          <w:rStyle w:val="Refdenotaalpie"/>
          <w:rFonts w:ascii="Verdana" w:hAnsi="Verdana" w:cs="Arial"/>
          <w:color w:val="000000"/>
          <w:sz w:val="16"/>
          <w:szCs w:val="16"/>
          <w:lang w:val="es-ES"/>
        </w:rPr>
        <w:footnoteRef/>
      </w:r>
      <w:r w:rsidRPr="00ED4C26">
        <w:rPr>
          <w:rFonts w:ascii="Verdana" w:hAnsi="Verdana" w:cs="Arial"/>
          <w:color w:val="000000"/>
          <w:sz w:val="16"/>
          <w:szCs w:val="16"/>
          <w:lang w:val="es-ES"/>
        </w:rPr>
        <w:t xml:space="preserve"> </w:t>
      </w:r>
      <w:r w:rsidRPr="003850EF">
        <w:rPr>
          <w:rFonts w:ascii="Verdana" w:hAnsi="Verdana" w:cs="Arial"/>
          <w:color w:val="000000"/>
          <w:sz w:val="16"/>
          <w:szCs w:val="16"/>
          <w:lang w:val="es-ES"/>
        </w:rPr>
        <w:t>Como lo indica la doctrina, en la mínima cuantía “El precio es el factor de selección del proponente. Es decir, la entidad estatal debe adjudicar el proceso de contratación al oferente que cumpla con todas las condiciones exigidas por la entidad estatal en los documentos del proceso (estudios previos e invitación a participar), y que ofrezca el menor valor. No hay lugar a puntajes para evaluar las ofertas sobre las características del objeto a contratar, su calidad o condiciones” (DÁVILA, Op.cit., p. 515).</w:t>
      </w:r>
    </w:p>
    <w:p w14:paraId="3A008911" w14:textId="77777777" w:rsidR="00575A43" w:rsidRPr="00ED4C26" w:rsidRDefault="00575A43" w:rsidP="00575A43">
      <w:pPr>
        <w:pStyle w:val="Textonotapie"/>
        <w:ind w:firstLine="709"/>
        <w:jc w:val="both"/>
        <w:rPr>
          <w:rFonts w:ascii="Verdana" w:hAnsi="Verdana" w:cs="Arial"/>
          <w:color w:val="000000"/>
          <w:sz w:val="16"/>
          <w:szCs w:val="16"/>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visibility:visible;mso-wrap-style:square" o:bullet="t">
        <v:imagedata r:id="rId1" o:title=""/>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1AE0494A"/>
    <w:lvl w:ilvl="0" w:tplc="08FE3E8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2F8D"/>
    <w:rsid w:val="000F6486"/>
    <w:rsid w:val="00125105"/>
    <w:rsid w:val="00127233"/>
    <w:rsid w:val="001511A0"/>
    <w:rsid w:val="001E4177"/>
    <w:rsid w:val="001F7DC6"/>
    <w:rsid w:val="00200BB4"/>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850EF"/>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75A43"/>
    <w:rsid w:val="00591460"/>
    <w:rsid w:val="005B3816"/>
    <w:rsid w:val="005C3777"/>
    <w:rsid w:val="005C5CDC"/>
    <w:rsid w:val="005D476C"/>
    <w:rsid w:val="005F7942"/>
    <w:rsid w:val="006219F8"/>
    <w:rsid w:val="00665D70"/>
    <w:rsid w:val="00685677"/>
    <w:rsid w:val="006900D9"/>
    <w:rsid w:val="00706C16"/>
    <w:rsid w:val="00756841"/>
    <w:rsid w:val="007649AB"/>
    <w:rsid w:val="00771D0C"/>
    <w:rsid w:val="007833AC"/>
    <w:rsid w:val="0079516C"/>
    <w:rsid w:val="007A4265"/>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77C90"/>
    <w:rsid w:val="00986AC5"/>
    <w:rsid w:val="009A0DFA"/>
    <w:rsid w:val="009B2D26"/>
    <w:rsid w:val="009C71FA"/>
    <w:rsid w:val="009C72E7"/>
    <w:rsid w:val="009D3058"/>
    <w:rsid w:val="009F3A13"/>
    <w:rsid w:val="009F5896"/>
    <w:rsid w:val="00A122D3"/>
    <w:rsid w:val="00A17F13"/>
    <w:rsid w:val="00A20739"/>
    <w:rsid w:val="00A33C78"/>
    <w:rsid w:val="00A900AF"/>
    <w:rsid w:val="00AB0ADB"/>
    <w:rsid w:val="00B01B1A"/>
    <w:rsid w:val="00B66319"/>
    <w:rsid w:val="00B72CD3"/>
    <w:rsid w:val="00B72FFF"/>
    <w:rsid w:val="00BC3D36"/>
    <w:rsid w:val="00BD7F72"/>
    <w:rsid w:val="00C04FB3"/>
    <w:rsid w:val="00C330EB"/>
    <w:rsid w:val="00C41061"/>
    <w:rsid w:val="00C754BE"/>
    <w:rsid w:val="00C76B1C"/>
    <w:rsid w:val="00CA3AE8"/>
    <w:rsid w:val="00CB6357"/>
    <w:rsid w:val="00CC1B26"/>
    <w:rsid w:val="00D26B0A"/>
    <w:rsid w:val="00D423A2"/>
    <w:rsid w:val="00D520D8"/>
    <w:rsid w:val="00D63AC2"/>
    <w:rsid w:val="00D7383B"/>
    <w:rsid w:val="00D94E3D"/>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9090E"/>
    <w:rsid w:val="00FA47C0"/>
    <w:rsid w:val="00FB52EB"/>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575A4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75A4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75A43"/>
    <w:rPr>
      <w:rFonts w:ascii="Geomanist Light" w:hAnsi="Geomanist Light"/>
      <w:lang w:val="es-ES"/>
    </w:rPr>
  </w:style>
  <w:style w:type="character" w:styleId="nfasis">
    <w:name w:val="Emphasis"/>
    <w:basedOn w:val="Fuentedeprrafopredeter"/>
    <w:uiPriority w:val="20"/>
    <w:qFormat/>
    <w:rsid w:val="00575A43"/>
    <w:rPr>
      <w:i/>
      <w:iCs/>
    </w:rPr>
  </w:style>
  <w:style w:type="paragraph" w:styleId="Textoindependiente">
    <w:name w:val="Body Text"/>
    <w:basedOn w:val="Normal"/>
    <w:link w:val="TextoindependienteCar"/>
    <w:uiPriority w:val="1"/>
    <w:unhideWhenUsed/>
    <w:rsid w:val="00575A43"/>
    <w:pPr>
      <w:widowControl w:val="0"/>
      <w:autoSpaceDE w:val="0"/>
      <w:autoSpaceDN w:val="0"/>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575A43"/>
    <w:rPr>
      <w:rFonts w:ascii="Arial" w:eastAsia="Arial" w:hAnsi="Arial" w:cs="Arial"/>
      <w:lang w:val="es-ES"/>
    </w:rPr>
  </w:style>
  <w:style w:type="character" w:customStyle="1" w:styleId="baj">
    <w:name w:val="b_aj"/>
    <w:basedOn w:val="Fuentedeprrafopredeter"/>
    <w:rsid w:val="00575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manual-de-la-modalidad-de-seleccion-de-minima-cuantia" TargetMode="External"/><Relationship Id="rId18"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personeria@puertoparra-santander.gov.co" TargetMode="External"/><Relationship Id="rId17" Type="http://schemas.openxmlformats.org/officeDocument/2006/relationships/hyperlink" Target="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circular-unica-externa"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www.colombiacompra.gov.co/normativa-y-relatoria/circular-unica-exter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a6cb9e4b-f1d1-4245-83ec-6cad768d538a"/>
    <ds:schemaRef ds:uri="http://schemas.openxmlformats.org/package/2006/metadata/core-properties"/>
    <ds:schemaRef ds:uri="http://purl.org/dc/terms/"/>
    <ds:schemaRef ds:uri="http://purl.org/dc/dcmitype/"/>
    <ds:schemaRef ds:uri="http://www.w3.org/XML/1998/namespace"/>
    <ds:schemaRef ds:uri="http://schemas.microsoft.com/office/infopath/2007/PartnerControls"/>
    <ds:schemaRef ds:uri="http://purl.org/dc/elements/1.1/"/>
    <ds:schemaRef ds:uri="9d85dbaf-23eb-4e57-a637-93dcacc8b1a1"/>
    <ds:schemaRef ds:uri="http://schemas.microsoft.com/office/2006/metadata/propertie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591A8CA-04D6-452E-B15C-D7CDC7260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6288E4-8B05-43AD-8380-340AD5D96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4475</Words>
  <Characters>24618</Characters>
  <Application>Microsoft Office Word</Application>
  <DocSecurity>0</DocSecurity>
  <Lines>205</Lines>
  <Paragraphs>58</Paragraphs>
  <ScaleCrop>false</ScaleCrop>
  <Company/>
  <LinksUpToDate>false</LinksUpToDate>
  <CharactersWithSpaces>29035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Alejandra Naranjo Gómez</dc:creator>
  <cp:keywords/>
  <dc:description/>
  <cp:lastModifiedBy>Sergio Andrés Rivera Cano</cp:lastModifiedBy>
  <cp:revision>2</cp:revision>
  <cp:lastPrinted>2023-01-10T21:18:00Z</cp:lastPrinted>
  <dcterms:created xsi:type="dcterms:W3CDTF">2025-07-14T23:42:00Z</dcterms:created>
  <dcterms:modified xsi:type="dcterms:W3CDTF">2025-07-14T23:42:00Z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