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F7561" w14:textId="77777777" w:rsidR="00680A66" w:rsidRPr="0047640A" w:rsidRDefault="00680A66" w:rsidP="00680A66">
      <w:pPr>
        <w:spacing w:after="0" w:line="240" w:lineRule="auto"/>
        <w:jc w:val="both"/>
        <w:rPr>
          <w:rFonts w:ascii="Verdana" w:hAnsi="Verdana" w:cs="Arial"/>
          <w:b/>
          <w:lang w:val="es-ES_tradnl" w:eastAsia="es-ES"/>
        </w:rPr>
      </w:pPr>
      <w:r w:rsidRPr="0047640A">
        <w:rPr>
          <w:rFonts w:ascii="Verdana" w:hAnsi="Verdana" w:cs="Arial"/>
          <w:b/>
          <w:lang w:val="es-ES_tradnl" w:eastAsia="es-ES"/>
        </w:rPr>
        <w:t xml:space="preserve">LIQUIDACIÓN DEL CONTRATO – Definición – Objetivo </w:t>
      </w:r>
    </w:p>
    <w:p w14:paraId="5386DD8F" w14:textId="77777777" w:rsidR="00680A66" w:rsidRPr="0047640A" w:rsidRDefault="00680A66" w:rsidP="00680A66">
      <w:pPr>
        <w:spacing w:after="0" w:line="240" w:lineRule="auto"/>
        <w:jc w:val="both"/>
        <w:rPr>
          <w:rFonts w:ascii="Verdana" w:hAnsi="Verdana" w:cs="Arial"/>
          <w:b/>
          <w:sz w:val="16"/>
          <w:szCs w:val="16"/>
          <w:lang w:val="es-ES_tradnl" w:eastAsia="es-ES"/>
        </w:rPr>
      </w:pPr>
    </w:p>
    <w:p w14:paraId="77EE9030" w14:textId="77777777" w:rsidR="00680A66" w:rsidRPr="0047640A" w:rsidRDefault="00680A66" w:rsidP="00680A66">
      <w:pPr>
        <w:spacing w:after="0" w:line="240" w:lineRule="auto"/>
        <w:jc w:val="both"/>
        <w:rPr>
          <w:rFonts w:ascii="Verdana" w:hAnsi="Verdana" w:cs="Arial"/>
          <w:sz w:val="20"/>
          <w:szCs w:val="20"/>
          <w:lang w:val="es-ES"/>
        </w:rPr>
      </w:pPr>
      <w:r w:rsidRPr="0047640A">
        <w:rPr>
          <w:rFonts w:ascii="Verdana" w:hAnsi="Verdana" w:cs="Arial"/>
          <w:sz w:val="20"/>
          <w:szCs w:val="20"/>
          <w:lang w:val="es-ES"/>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47640A">
        <w:rPr>
          <w:rFonts w:ascii="Verdana" w:hAnsi="Verdana" w:cs="Arial"/>
          <w:i/>
          <w:iCs/>
          <w:sz w:val="20"/>
          <w:szCs w:val="20"/>
          <w:lang w:val="es-ES"/>
        </w:rPr>
        <w:t>liquidar</w:t>
      </w:r>
      <w:r w:rsidRPr="0047640A">
        <w:rPr>
          <w:rFonts w:ascii="Verdana" w:hAnsi="Verdana" w:cs="Arial"/>
          <w:sz w:val="20"/>
          <w:szCs w:val="20"/>
          <w:lang w:val="es-ES"/>
        </w:rPr>
        <w:t xml:space="preserve"> supone un ajuste en relación con las cuentas y el estado de cumplimiento del contrato estatal y, por otro, que la </w:t>
      </w:r>
      <w:r w:rsidRPr="0047640A">
        <w:rPr>
          <w:rFonts w:ascii="Verdana" w:hAnsi="Verdana" w:cs="Arial"/>
          <w:i/>
          <w:iCs/>
          <w:sz w:val="20"/>
          <w:szCs w:val="20"/>
          <w:lang w:val="es-ES"/>
        </w:rPr>
        <w:t>liquidación</w:t>
      </w:r>
      <w:r w:rsidRPr="0047640A">
        <w:rPr>
          <w:rFonts w:ascii="Verdana" w:hAnsi="Verdana" w:cs="Arial"/>
          <w:sz w:val="20"/>
          <w:szCs w:val="20"/>
          <w:lang w:val="es-ES"/>
        </w:rPr>
        <w:t xml:space="preserve"> debe incluir el análisis de las condiciones de calidad y oportunidad en la entrega de los bienes, obras o servicios, así como el balance económico y el comportamiento financiero del negocio.</w:t>
      </w:r>
    </w:p>
    <w:p w14:paraId="161E6818" w14:textId="77777777" w:rsidR="00680A66" w:rsidRPr="0047640A" w:rsidRDefault="00680A66" w:rsidP="00680A66">
      <w:pPr>
        <w:spacing w:after="0" w:line="240" w:lineRule="auto"/>
        <w:jc w:val="both"/>
        <w:rPr>
          <w:rFonts w:ascii="Verdana" w:hAnsi="Verdana" w:cs="Arial"/>
          <w:sz w:val="20"/>
          <w:szCs w:val="20"/>
          <w:lang w:val="es-ES_tradnl" w:eastAsia="es-ES"/>
        </w:rPr>
      </w:pPr>
    </w:p>
    <w:p w14:paraId="278C0E80" w14:textId="77777777" w:rsidR="00680A66" w:rsidRPr="0047640A" w:rsidRDefault="00680A66" w:rsidP="00680A66">
      <w:pPr>
        <w:spacing w:after="0" w:line="240" w:lineRule="auto"/>
        <w:jc w:val="both"/>
        <w:rPr>
          <w:rFonts w:ascii="Verdana" w:hAnsi="Verdana" w:cs="Arial"/>
          <w:b/>
          <w:lang w:val="es-ES_tradnl" w:eastAsia="es-ES"/>
        </w:rPr>
      </w:pPr>
      <w:r w:rsidRPr="0047640A">
        <w:rPr>
          <w:rFonts w:ascii="Verdana" w:hAnsi="Verdana" w:cs="Arial"/>
          <w:b/>
          <w:lang w:val="es-ES_tradnl" w:eastAsia="es-ES"/>
        </w:rPr>
        <w:t xml:space="preserve">LIQUIDACIÓN DEL CONTRATO – Normativa </w:t>
      </w:r>
    </w:p>
    <w:p w14:paraId="43151DAA" w14:textId="77777777" w:rsidR="00680A66" w:rsidRPr="0047640A" w:rsidRDefault="00680A66" w:rsidP="00680A66">
      <w:pPr>
        <w:spacing w:after="0" w:line="240" w:lineRule="auto"/>
        <w:jc w:val="both"/>
        <w:rPr>
          <w:rFonts w:ascii="Verdana" w:hAnsi="Verdana" w:cs="Arial"/>
          <w:sz w:val="20"/>
          <w:szCs w:val="20"/>
          <w:lang w:val="es-ES_tradnl" w:eastAsia="es-ES"/>
        </w:rPr>
      </w:pPr>
    </w:p>
    <w:p w14:paraId="1C1FE272" w14:textId="77777777" w:rsidR="00680A66" w:rsidRPr="0047640A" w:rsidRDefault="00680A66" w:rsidP="00680A66">
      <w:pPr>
        <w:spacing w:after="0" w:line="240" w:lineRule="auto"/>
        <w:jc w:val="both"/>
        <w:rPr>
          <w:rFonts w:ascii="Verdana" w:hAnsi="Verdana" w:cs="Arial"/>
          <w:sz w:val="20"/>
          <w:szCs w:val="20"/>
          <w:lang w:val="es-ES" w:eastAsia="es-ES"/>
        </w:rPr>
      </w:pPr>
      <w:r w:rsidRPr="0047640A">
        <w:rPr>
          <w:rFonts w:ascii="Verdana" w:hAnsi="Verdana" w:cs="Arial"/>
          <w:sz w:val="20"/>
          <w:szCs w:val="20"/>
          <w:lang w:val="es-ES"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 contiene las reglas de tipo procedimental para liquidar los contratos estatales, […].</w:t>
      </w:r>
    </w:p>
    <w:p w14:paraId="0E3EE12B" w14:textId="77777777" w:rsidR="00680A66" w:rsidRPr="0047640A" w:rsidRDefault="00680A66" w:rsidP="00680A66">
      <w:pPr>
        <w:spacing w:after="0" w:line="240" w:lineRule="auto"/>
        <w:jc w:val="both"/>
        <w:rPr>
          <w:rFonts w:ascii="Verdana" w:hAnsi="Verdana" w:cs="Arial"/>
          <w:b/>
          <w:lang w:val="es-ES_tradnl" w:eastAsia="es-ES"/>
        </w:rPr>
      </w:pPr>
    </w:p>
    <w:p w14:paraId="1D50F97A" w14:textId="77777777" w:rsidR="00680A66" w:rsidRPr="0047640A" w:rsidRDefault="00680A66" w:rsidP="00680A66">
      <w:pPr>
        <w:spacing w:after="0" w:line="240" w:lineRule="auto"/>
        <w:jc w:val="both"/>
        <w:rPr>
          <w:rFonts w:ascii="Verdana" w:hAnsi="Verdana" w:cs="Arial"/>
          <w:b/>
          <w:lang w:val="es-ES_tradnl" w:eastAsia="es-ES"/>
        </w:rPr>
      </w:pPr>
      <w:r w:rsidRPr="0047640A">
        <w:rPr>
          <w:rFonts w:ascii="Verdana" w:hAnsi="Verdana" w:cs="Arial"/>
          <w:b/>
          <w:lang w:val="es-ES_tradnl" w:eastAsia="es-ES"/>
        </w:rPr>
        <w:t>LIQUIDACIÓN DEL CONTRATO – Tipos – Bilateral – Unilateral – Judicial</w:t>
      </w:r>
    </w:p>
    <w:p w14:paraId="467F8267" w14:textId="77777777" w:rsidR="00680A66" w:rsidRPr="0047640A" w:rsidRDefault="00680A66" w:rsidP="00680A66">
      <w:pPr>
        <w:spacing w:after="0" w:line="240" w:lineRule="auto"/>
        <w:jc w:val="both"/>
        <w:rPr>
          <w:rFonts w:ascii="Verdana" w:hAnsi="Verdana" w:cs="Arial"/>
          <w:b/>
          <w:lang w:val="es-ES_tradnl" w:eastAsia="es-ES"/>
        </w:rPr>
      </w:pPr>
    </w:p>
    <w:p w14:paraId="24BA9564" w14:textId="77777777" w:rsidR="00680A66" w:rsidRDefault="00680A66" w:rsidP="00680A66">
      <w:pPr>
        <w:spacing w:after="0" w:line="240" w:lineRule="auto"/>
        <w:jc w:val="both"/>
        <w:rPr>
          <w:rFonts w:ascii="Verdana" w:hAnsi="Verdana" w:cs="Arial"/>
          <w:sz w:val="20"/>
          <w:szCs w:val="20"/>
          <w:lang w:val="es-ES" w:eastAsia="es-ES"/>
        </w:rPr>
      </w:pPr>
      <w:r w:rsidRPr="0047640A">
        <w:rPr>
          <w:rFonts w:ascii="Verdana" w:hAnsi="Verdana" w:cs="Arial"/>
          <w:sz w:val="20"/>
          <w:szCs w:val="20"/>
          <w:lang w:val="es-ES" w:eastAsia="es-ES"/>
        </w:rPr>
        <w:t>En suma, de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2 años contados a partir de los dos meses establecidos en la Ley para realizar la liquidación unilateral, de conformidad con el citado auto de unificación jurisprudencial del Consejo de Estado.</w:t>
      </w:r>
    </w:p>
    <w:p w14:paraId="2501ED5A" w14:textId="77777777" w:rsidR="00680A66" w:rsidRDefault="00680A66" w:rsidP="00680A66">
      <w:pPr>
        <w:spacing w:after="0" w:line="240" w:lineRule="auto"/>
        <w:jc w:val="both"/>
        <w:rPr>
          <w:rFonts w:ascii="Verdana" w:hAnsi="Verdana" w:cs="Arial"/>
          <w:sz w:val="20"/>
          <w:szCs w:val="20"/>
          <w:lang w:val="es-ES" w:eastAsia="es-ES"/>
        </w:rPr>
      </w:pPr>
    </w:p>
    <w:p w14:paraId="55FB6F3C" w14:textId="77777777" w:rsidR="00680A66" w:rsidRDefault="00680A66" w:rsidP="00680A66">
      <w:pPr>
        <w:spacing w:after="0" w:line="240" w:lineRule="auto"/>
        <w:jc w:val="both"/>
        <w:rPr>
          <w:rFonts w:ascii="Verdana" w:hAnsi="Verdana" w:cs="Arial"/>
          <w:b/>
          <w:lang w:val="es-ES_tradnl" w:eastAsia="es-ES"/>
        </w:rPr>
      </w:pPr>
      <w:r w:rsidRPr="002E6E2F">
        <w:rPr>
          <w:rFonts w:ascii="Verdana" w:hAnsi="Verdana" w:cs="Arial"/>
          <w:b/>
          <w:lang w:val="es-ES_tradnl" w:eastAsia="es-ES"/>
        </w:rPr>
        <w:t xml:space="preserve">CADUCIDAD DEL MEDIO DE CONTROL DE CONTROVERSIAS CONTRACTUALES </w:t>
      </w:r>
      <w:r w:rsidRPr="0047640A">
        <w:rPr>
          <w:rFonts w:ascii="Verdana" w:hAnsi="Verdana" w:cs="Arial"/>
          <w:b/>
          <w:lang w:val="es-ES_tradnl" w:eastAsia="es-ES"/>
        </w:rPr>
        <w:t>–</w:t>
      </w:r>
      <w:r>
        <w:rPr>
          <w:rFonts w:ascii="Verdana" w:hAnsi="Verdana" w:cs="Arial"/>
          <w:b/>
          <w:lang w:val="es-ES_tradnl" w:eastAsia="es-ES"/>
        </w:rPr>
        <w:t xml:space="preserve"> Pérdida de</w:t>
      </w:r>
      <w:r w:rsidRPr="002E6E2F">
        <w:rPr>
          <w:rFonts w:ascii="Verdana" w:hAnsi="Verdana" w:cs="Arial"/>
          <w:b/>
          <w:lang w:val="es-ES_tradnl" w:eastAsia="es-ES"/>
        </w:rPr>
        <w:t xml:space="preserve"> </w:t>
      </w:r>
      <w:r>
        <w:rPr>
          <w:rFonts w:ascii="Verdana" w:hAnsi="Verdana" w:cs="Arial"/>
          <w:b/>
          <w:lang w:val="es-ES_tradnl" w:eastAsia="es-ES"/>
        </w:rPr>
        <w:t>c</w:t>
      </w:r>
      <w:r w:rsidRPr="002E6E2F">
        <w:rPr>
          <w:rFonts w:ascii="Verdana" w:hAnsi="Verdana" w:cs="Arial"/>
          <w:b/>
          <w:lang w:val="es-ES_tradnl" w:eastAsia="es-ES"/>
        </w:rPr>
        <w:t>ompetencia para liquidar el contrato</w:t>
      </w:r>
    </w:p>
    <w:p w14:paraId="29E72CF6" w14:textId="77777777" w:rsidR="00680A66" w:rsidRDefault="00680A66" w:rsidP="00680A66">
      <w:pPr>
        <w:spacing w:after="0" w:line="240" w:lineRule="auto"/>
        <w:jc w:val="both"/>
        <w:rPr>
          <w:rFonts w:ascii="Verdana" w:hAnsi="Verdana" w:cs="Arial"/>
          <w:b/>
          <w:lang w:val="es-ES_tradnl" w:eastAsia="es-ES"/>
        </w:rPr>
      </w:pPr>
    </w:p>
    <w:p w14:paraId="24B49CE1" w14:textId="77777777" w:rsidR="00680A66" w:rsidRPr="007612D1" w:rsidRDefault="00680A66" w:rsidP="00680A66">
      <w:pPr>
        <w:spacing w:after="0" w:line="240" w:lineRule="auto"/>
        <w:jc w:val="both"/>
        <w:rPr>
          <w:rFonts w:ascii="Verdana" w:hAnsi="Verdana" w:cs="Arial"/>
          <w:sz w:val="20"/>
          <w:szCs w:val="20"/>
          <w:lang w:val="es-ES" w:eastAsia="es-ES"/>
        </w:rPr>
      </w:pPr>
      <w:r>
        <w:rPr>
          <w:rFonts w:ascii="Verdana" w:hAnsi="Verdana" w:cs="Arial"/>
          <w:sz w:val="20"/>
          <w:szCs w:val="20"/>
          <w:lang w:val="es-ES" w:eastAsia="es-ES"/>
        </w:rPr>
        <w:t xml:space="preserve">[…] </w:t>
      </w:r>
      <w:r w:rsidRPr="007612D1">
        <w:rPr>
          <w:rFonts w:ascii="Verdana" w:hAnsi="Verdana" w:cs="Arial"/>
          <w:sz w:val="20"/>
          <w:szCs w:val="20"/>
          <w:lang w:val="es-ES" w:eastAsia="es-ES"/>
        </w:rPr>
        <w:t>la caducidad del medio de control de controversias contractuales las entidades pierden la competencia para liquidar el contrato, ya que el fenómeno procesal constituía la preclusión de la oportunidad para reclamar las sumas de dinero adeudadas por las partes, y con ello, las obligaciones pendientes son de carácter natural, es decir, no son exigibles.</w:t>
      </w:r>
      <w:r>
        <w:rPr>
          <w:rFonts w:ascii="Verdana" w:hAnsi="Verdana" w:cs="Arial"/>
          <w:sz w:val="20"/>
          <w:szCs w:val="20"/>
          <w:lang w:val="es-ES" w:eastAsia="es-ES"/>
        </w:rPr>
        <w:t xml:space="preserve"> […]</w:t>
      </w:r>
    </w:p>
    <w:p w14:paraId="3FF33077" w14:textId="77777777" w:rsidR="00680A66" w:rsidRDefault="00680A66" w:rsidP="00680A66">
      <w:pPr>
        <w:spacing w:after="0" w:line="240" w:lineRule="auto"/>
        <w:jc w:val="both"/>
        <w:rPr>
          <w:rFonts w:ascii="Verdana" w:eastAsia="Calibri" w:hAnsi="Verdana" w:cs="Arial"/>
          <w:color w:val="000000"/>
          <w:kern w:val="2"/>
          <w:sz w:val="20"/>
          <w:szCs w:val="20"/>
          <w14:ligatures w14:val="standardContextual"/>
        </w:rPr>
      </w:pPr>
    </w:p>
    <w:p w14:paraId="6F971F11" w14:textId="77777777" w:rsidR="00680A66" w:rsidRDefault="00680A66" w:rsidP="00680A66">
      <w:pPr>
        <w:spacing w:after="0"/>
        <w:jc w:val="both"/>
        <w:rPr>
          <w:rFonts w:ascii="Verdana" w:hAnsi="Verdana" w:cs="Arial"/>
          <w:b/>
          <w:bCs/>
          <w:color w:val="000000" w:themeColor="text1"/>
        </w:rPr>
      </w:pPr>
      <w:r w:rsidRPr="002F4F21">
        <w:rPr>
          <w:rFonts w:ascii="Verdana" w:hAnsi="Verdana" w:cs="Arial"/>
          <w:b/>
          <w:bCs/>
          <w:color w:val="000000" w:themeColor="text1"/>
        </w:rPr>
        <w:lastRenderedPageBreak/>
        <w:t>DEGENERACIÓN DE OBLIGACIONES CIVILES EN NATURALES</w:t>
      </w:r>
      <w:r>
        <w:rPr>
          <w:rFonts w:ascii="Verdana" w:hAnsi="Verdana" w:cs="Arial"/>
          <w:b/>
          <w:bCs/>
          <w:color w:val="000000" w:themeColor="text1"/>
        </w:rPr>
        <w:t xml:space="preserve"> </w:t>
      </w:r>
      <w:r w:rsidRPr="00783017">
        <w:rPr>
          <w:rFonts w:ascii="Verdana" w:hAnsi="Verdana" w:cs="Arial"/>
          <w:b/>
          <w:bCs/>
          <w:color w:val="000000" w:themeColor="text1"/>
        </w:rPr>
        <w:t>–</w:t>
      </w:r>
      <w:r>
        <w:rPr>
          <w:rFonts w:ascii="Verdana" w:hAnsi="Verdana" w:cs="Arial"/>
          <w:b/>
          <w:bCs/>
          <w:color w:val="000000" w:themeColor="text1"/>
        </w:rPr>
        <w:t xml:space="preserve"> Imposibilidad de hacerlas exigibles</w:t>
      </w:r>
    </w:p>
    <w:p w14:paraId="138FC737" w14:textId="77777777" w:rsidR="00680A66" w:rsidRDefault="00680A66" w:rsidP="00680A66">
      <w:pPr>
        <w:spacing w:after="0"/>
        <w:jc w:val="both"/>
        <w:rPr>
          <w:rFonts w:ascii="Verdana" w:hAnsi="Verdana" w:cs="Arial"/>
          <w:b/>
          <w:bCs/>
          <w:color w:val="000000" w:themeColor="text1"/>
        </w:rPr>
      </w:pPr>
    </w:p>
    <w:p w14:paraId="0DDA3C29" w14:textId="77777777" w:rsidR="00680A66" w:rsidRDefault="00680A66" w:rsidP="00680A66">
      <w:pPr>
        <w:spacing w:after="0"/>
        <w:jc w:val="both"/>
        <w:rPr>
          <w:rFonts w:ascii="Verdana" w:hAnsi="Verdana" w:cs="Arial"/>
          <w:color w:val="000000"/>
          <w:sz w:val="20"/>
          <w:szCs w:val="20"/>
        </w:rPr>
      </w:pPr>
      <w:r w:rsidRPr="000E4F10">
        <w:rPr>
          <w:rFonts w:ascii="Verdana" w:hAnsi="Verdana" w:cs="Arial"/>
          <w:color w:val="000000"/>
          <w:sz w:val="20"/>
          <w:szCs w:val="20"/>
        </w:rPr>
        <w:t xml:space="preserve">En ese sentido, cuando la Entidad pierde competencia para liquidar el contrato, a su vez caduca el ejercicio de la acción contractual. En este caso, el contratista no podrá demandar a la Entidad Estatal y las obligaciones se vuelven naturales, lo cual implicaría que no existe un medio para hacerlas exigibles ni tampoco existe título valido para que la Entidad proceda a realizar algún pago a favor del contratista, por la existencia de un límite temporal en las normas de orden público que determinan la oportunidad para reclamar una situación u obligación que, en términos de la Sala de Consulta y Servicio Civil, se ha estabilizado jurídicamente en virtud de la configuración de la caducidad de la acción de controversias contractuales. </w:t>
      </w:r>
    </w:p>
    <w:p w14:paraId="0842A6B2" w14:textId="77777777" w:rsidR="00680A66" w:rsidRDefault="00680A66" w:rsidP="00680A66">
      <w:pPr>
        <w:spacing w:after="0"/>
        <w:jc w:val="both"/>
        <w:rPr>
          <w:rFonts w:ascii="Verdana" w:eastAsia="Calibri" w:hAnsi="Verdana" w:cs="Arial"/>
          <w:color w:val="000000"/>
          <w:kern w:val="2"/>
          <w:sz w:val="20"/>
          <w:szCs w:val="20"/>
          <w14:ligatures w14:val="standardContextual"/>
        </w:rPr>
      </w:pPr>
    </w:p>
    <w:p w14:paraId="0001BE2E" w14:textId="77777777" w:rsidR="00680A66" w:rsidRPr="00783017" w:rsidRDefault="00680A66" w:rsidP="00680A66">
      <w:pPr>
        <w:spacing w:after="0"/>
        <w:jc w:val="both"/>
        <w:rPr>
          <w:rFonts w:ascii="Verdana" w:hAnsi="Verdana" w:cs="Arial"/>
          <w:b/>
          <w:bCs/>
          <w:color w:val="000000" w:themeColor="text1"/>
        </w:rPr>
      </w:pPr>
      <w:r w:rsidRPr="00783017">
        <w:rPr>
          <w:rFonts w:ascii="Verdana" w:hAnsi="Verdana" w:cs="Arial"/>
          <w:b/>
          <w:bCs/>
          <w:color w:val="000000" w:themeColor="text1"/>
        </w:rPr>
        <w:t>CIERRE DEL EXPEDIENTE DEL PROCESO DE CONTRATACIÓN – Constancia administrativa que culmina las actuaciones contractuales</w:t>
      </w:r>
    </w:p>
    <w:p w14:paraId="5DE99113" w14:textId="77777777" w:rsidR="00680A66" w:rsidRPr="00DA2FB3" w:rsidRDefault="00680A66" w:rsidP="00680A66">
      <w:pPr>
        <w:spacing w:after="0"/>
        <w:jc w:val="both"/>
        <w:rPr>
          <w:rFonts w:ascii="Verdana" w:hAnsi="Verdana" w:cs="Arial"/>
          <w:b/>
          <w:bCs/>
          <w:color w:val="000000" w:themeColor="text1"/>
          <w:sz w:val="20"/>
          <w:szCs w:val="20"/>
        </w:rPr>
      </w:pPr>
    </w:p>
    <w:p w14:paraId="646F5FBE" w14:textId="77777777" w:rsidR="00680A66" w:rsidRPr="00DA2FB3" w:rsidRDefault="00680A66" w:rsidP="00680A66">
      <w:pPr>
        <w:jc w:val="both"/>
        <w:rPr>
          <w:rFonts w:ascii="Verdana" w:hAnsi="Verdana" w:cs="Arial"/>
          <w:sz w:val="20"/>
          <w:szCs w:val="20"/>
          <w:shd w:val="clear" w:color="auto" w:fill="FFFFFF"/>
          <w:lang w:val="es-ES_tradnl"/>
        </w:rPr>
      </w:pPr>
      <w:r w:rsidRPr="00DA2FB3">
        <w:rPr>
          <w:rFonts w:ascii="Verdana" w:hAnsi="Verdana" w:cs="Arial"/>
          <w:color w:val="000000"/>
          <w:sz w:val="20"/>
          <w:szCs w:val="20"/>
        </w:rPr>
        <w:t>En ese orden de ideas, esta Agencia comparte que el cierre del expediente contractual puede darse, incluso, si el contrato no ha sido liquidado, claro está, siempre que se hubiera configurado alguno de los supuestos del artículo 2.2.1.1.2.4.3. del Decreto 1082 de 2015, esto es: i) cuando la administración establece condiciones de disposición final o recuperación ambiental de las obras o bienes; o ii) una vez vencidos los términos de las garantías de calidad, estabilidad y mantenimiento ─solo estas─.</w:t>
      </w:r>
    </w:p>
    <w:p w14:paraId="1FB8DB8F" w14:textId="77777777" w:rsidR="00680A66" w:rsidRDefault="00680A66" w:rsidP="00680A66">
      <w:pPr>
        <w:spacing w:after="0" w:line="240" w:lineRule="auto"/>
        <w:jc w:val="both"/>
        <w:rPr>
          <w:rFonts w:ascii="Verdana" w:eastAsia="Calibri" w:hAnsi="Verdana" w:cs="Arial"/>
          <w:color w:val="000000"/>
          <w:kern w:val="2"/>
          <w:sz w:val="20"/>
          <w:szCs w:val="20"/>
          <w14:ligatures w14:val="standardContextual"/>
        </w:rPr>
      </w:pPr>
    </w:p>
    <w:p w14:paraId="11CBC722" w14:textId="77777777" w:rsidR="00680A66" w:rsidRDefault="00680A66" w:rsidP="00680A66">
      <w:pPr>
        <w:spacing w:after="0" w:line="240" w:lineRule="auto"/>
        <w:jc w:val="both"/>
        <w:rPr>
          <w:rFonts w:ascii="Verdana" w:eastAsia="Calibri" w:hAnsi="Verdana" w:cs="Arial"/>
          <w:color w:val="000000"/>
          <w:kern w:val="2"/>
          <w:sz w:val="20"/>
          <w:szCs w:val="20"/>
          <w14:ligatures w14:val="standardContextual"/>
        </w:rPr>
      </w:pPr>
    </w:p>
    <w:p w14:paraId="51A31015" w14:textId="77777777" w:rsidR="00680A66" w:rsidRDefault="00680A66" w:rsidP="00680A66">
      <w:pPr>
        <w:spacing w:after="0" w:line="240" w:lineRule="auto"/>
        <w:jc w:val="both"/>
        <w:rPr>
          <w:rFonts w:ascii="Verdana" w:eastAsia="Calibri" w:hAnsi="Verdana" w:cs="Arial"/>
          <w:color w:val="000000"/>
          <w:kern w:val="2"/>
          <w:sz w:val="20"/>
          <w:szCs w:val="20"/>
          <w14:ligatures w14:val="standardContextual"/>
        </w:rPr>
      </w:pPr>
    </w:p>
    <w:p w14:paraId="77ACE053" w14:textId="77777777" w:rsidR="00680A66" w:rsidRDefault="00680A66" w:rsidP="00680A66">
      <w:pPr>
        <w:spacing w:after="0" w:line="240" w:lineRule="auto"/>
        <w:jc w:val="both"/>
        <w:rPr>
          <w:rFonts w:ascii="Verdana" w:eastAsia="Calibri" w:hAnsi="Verdana" w:cs="Arial"/>
          <w:color w:val="000000"/>
          <w:kern w:val="2"/>
          <w:sz w:val="20"/>
          <w:szCs w:val="20"/>
          <w14:ligatures w14:val="standardContextual"/>
        </w:rPr>
      </w:pPr>
    </w:p>
    <w:p w14:paraId="3E26C32B" w14:textId="77777777" w:rsidR="00680A66" w:rsidRDefault="00680A66" w:rsidP="00680A66">
      <w:pPr>
        <w:spacing w:after="0" w:line="240" w:lineRule="auto"/>
        <w:jc w:val="both"/>
        <w:rPr>
          <w:rFonts w:ascii="Verdana" w:eastAsia="Calibri" w:hAnsi="Verdana" w:cs="Arial"/>
          <w:color w:val="000000"/>
          <w:kern w:val="2"/>
          <w:sz w:val="20"/>
          <w:szCs w:val="20"/>
          <w14:ligatures w14:val="standardContextual"/>
        </w:rPr>
      </w:pPr>
    </w:p>
    <w:p w14:paraId="701A1B90" w14:textId="77777777" w:rsidR="00680A66" w:rsidRDefault="00680A66" w:rsidP="00680A66">
      <w:pPr>
        <w:spacing w:after="0" w:line="240" w:lineRule="auto"/>
        <w:jc w:val="both"/>
        <w:rPr>
          <w:rFonts w:ascii="Verdana" w:hAnsi="Verdana" w:cs="Arial"/>
          <w:sz w:val="20"/>
          <w:szCs w:val="20"/>
          <w:lang w:eastAsia="es-ES"/>
        </w:rPr>
      </w:pPr>
    </w:p>
    <w:p w14:paraId="34A06670" w14:textId="77777777" w:rsidR="00680A66" w:rsidRDefault="00680A66" w:rsidP="00680A66">
      <w:pPr>
        <w:spacing w:after="0" w:line="240" w:lineRule="auto"/>
        <w:jc w:val="both"/>
        <w:rPr>
          <w:rFonts w:ascii="Verdana" w:hAnsi="Verdana" w:cs="Arial"/>
          <w:sz w:val="20"/>
          <w:szCs w:val="20"/>
          <w:lang w:eastAsia="es-ES"/>
        </w:rPr>
      </w:pPr>
    </w:p>
    <w:p w14:paraId="0886ABBC" w14:textId="77777777" w:rsidR="00680A66" w:rsidRDefault="00680A66" w:rsidP="00680A66">
      <w:pPr>
        <w:spacing w:after="0" w:line="240" w:lineRule="auto"/>
        <w:jc w:val="both"/>
        <w:rPr>
          <w:rFonts w:ascii="Verdana" w:hAnsi="Verdana" w:cs="Arial"/>
          <w:sz w:val="20"/>
          <w:szCs w:val="20"/>
          <w:lang w:eastAsia="es-ES"/>
        </w:rPr>
      </w:pPr>
    </w:p>
    <w:p w14:paraId="317704FE" w14:textId="77777777" w:rsidR="00680A66" w:rsidRDefault="00680A66" w:rsidP="00680A66">
      <w:pPr>
        <w:spacing w:after="0" w:line="240" w:lineRule="auto"/>
        <w:jc w:val="both"/>
        <w:rPr>
          <w:rFonts w:ascii="Verdana" w:hAnsi="Verdana" w:cs="Arial"/>
          <w:sz w:val="20"/>
          <w:szCs w:val="20"/>
          <w:lang w:eastAsia="es-ES"/>
        </w:rPr>
      </w:pPr>
    </w:p>
    <w:p w14:paraId="3E0758DE" w14:textId="77777777" w:rsidR="00680A66" w:rsidRDefault="00680A66" w:rsidP="00680A66">
      <w:pPr>
        <w:spacing w:after="0" w:line="240" w:lineRule="auto"/>
        <w:jc w:val="both"/>
        <w:rPr>
          <w:rFonts w:ascii="Verdana" w:hAnsi="Verdana" w:cs="Arial"/>
          <w:sz w:val="20"/>
          <w:szCs w:val="20"/>
          <w:lang w:eastAsia="es-ES"/>
        </w:rPr>
      </w:pPr>
    </w:p>
    <w:p w14:paraId="3AE91943" w14:textId="77777777" w:rsidR="00680A66" w:rsidRDefault="00680A66" w:rsidP="00680A66">
      <w:pPr>
        <w:spacing w:after="0" w:line="240" w:lineRule="auto"/>
        <w:rPr>
          <w:rFonts w:ascii="Verdana" w:eastAsia="Times New Roman" w:hAnsi="Verdana" w:cs="Arial"/>
          <w:lang w:eastAsia="es-ES_tradnl"/>
        </w:rPr>
      </w:pPr>
    </w:p>
    <w:p w14:paraId="1B7AE64D" w14:textId="77777777" w:rsidR="00680A66" w:rsidRDefault="00680A66" w:rsidP="00680A66">
      <w:pPr>
        <w:spacing w:after="0" w:line="240" w:lineRule="auto"/>
        <w:rPr>
          <w:rFonts w:ascii="Verdana" w:eastAsia="Times New Roman" w:hAnsi="Verdana" w:cs="Arial"/>
          <w:lang w:eastAsia="es-ES_tradnl"/>
        </w:rPr>
      </w:pPr>
    </w:p>
    <w:p w14:paraId="54E1CBF9" w14:textId="77777777" w:rsidR="00680A66" w:rsidRDefault="00680A66" w:rsidP="00680A66">
      <w:pPr>
        <w:spacing w:after="0" w:line="240" w:lineRule="auto"/>
        <w:rPr>
          <w:rFonts w:ascii="Verdana" w:eastAsia="Times New Roman" w:hAnsi="Verdana" w:cs="Arial"/>
          <w:lang w:eastAsia="es-ES_tradnl"/>
        </w:rPr>
      </w:pPr>
    </w:p>
    <w:p w14:paraId="755AEB8A" w14:textId="77777777" w:rsidR="00680A66" w:rsidRDefault="00680A66" w:rsidP="00680A66">
      <w:pPr>
        <w:spacing w:after="0" w:line="240" w:lineRule="auto"/>
        <w:rPr>
          <w:rFonts w:ascii="Verdana" w:eastAsia="Times New Roman" w:hAnsi="Verdana" w:cs="Arial"/>
          <w:lang w:eastAsia="es-ES_tradnl"/>
        </w:rPr>
      </w:pPr>
    </w:p>
    <w:p w14:paraId="3C0B1667" w14:textId="77777777" w:rsidR="00680A66" w:rsidRDefault="00680A66" w:rsidP="00680A66">
      <w:pPr>
        <w:spacing w:after="0" w:line="240" w:lineRule="auto"/>
        <w:rPr>
          <w:rFonts w:ascii="Verdana" w:eastAsia="Times New Roman" w:hAnsi="Verdana" w:cs="Arial"/>
          <w:lang w:eastAsia="es-ES_tradnl"/>
        </w:rPr>
      </w:pPr>
    </w:p>
    <w:p w14:paraId="10673E45" w14:textId="77777777" w:rsidR="00680A66" w:rsidRDefault="00680A66" w:rsidP="00680A66">
      <w:pPr>
        <w:spacing w:after="0" w:line="240" w:lineRule="auto"/>
        <w:rPr>
          <w:rFonts w:ascii="Verdana" w:eastAsia="Times New Roman" w:hAnsi="Verdana" w:cs="Arial"/>
          <w:lang w:eastAsia="es-ES_tradnl"/>
        </w:rPr>
      </w:pPr>
    </w:p>
    <w:p w14:paraId="63CC902A" w14:textId="77777777" w:rsidR="00680A66" w:rsidRDefault="00680A66" w:rsidP="00680A66">
      <w:pPr>
        <w:spacing w:after="0" w:line="240" w:lineRule="auto"/>
        <w:rPr>
          <w:rFonts w:ascii="Verdana" w:eastAsia="Times New Roman" w:hAnsi="Verdana" w:cs="Arial"/>
          <w:lang w:eastAsia="es-ES_tradnl"/>
        </w:rPr>
      </w:pPr>
    </w:p>
    <w:p w14:paraId="39C396D1" w14:textId="77777777" w:rsidR="00680A66" w:rsidRDefault="00680A66" w:rsidP="00680A66">
      <w:pPr>
        <w:spacing w:after="0" w:line="240" w:lineRule="auto"/>
        <w:rPr>
          <w:rFonts w:ascii="Verdana" w:eastAsia="Times New Roman" w:hAnsi="Verdana" w:cs="Arial"/>
          <w:lang w:eastAsia="es-ES_tradnl"/>
        </w:rPr>
      </w:pPr>
    </w:p>
    <w:p w14:paraId="1F7D978F" w14:textId="77777777" w:rsidR="00680A66" w:rsidRDefault="00680A66" w:rsidP="00680A66">
      <w:pPr>
        <w:spacing w:after="0" w:line="240" w:lineRule="auto"/>
        <w:rPr>
          <w:rFonts w:ascii="Verdana" w:eastAsia="Times New Roman" w:hAnsi="Verdana" w:cs="Arial"/>
          <w:lang w:eastAsia="es-ES_tradnl"/>
        </w:rPr>
      </w:pPr>
    </w:p>
    <w:p w14:paraId="302C154D" w14:textId="77777777" w:rsidR="00680A66" w:rsidRDefault="00680A66" w:rsidP="00680A66">
      <w:pPr>
        <w:spacing w:after="0" w:line="240" w:lineRule="auto"/>
        <w:rPr>
          <w:rFonts w:ascii="Verdana" w:eastAsia="Times New Roman" w:hAnsi="Verdana" w:cs="Arial"/>
          <w:lang w:eastAsia="es-ES_tradnl"/>
        </w:rPr>
      </w:pPr>
    </w:p>
    <w:p w14:paraId="263A0856" w14:textId="77777777" w:rsidR="00680A66" w:rsidRDefault="00680A66" w:rsidP="00680A66">
      <w:pPr>
        <w:spacing w:after="0" w:line="240" w:lineRule="auto"/>
        <w:rPr>
          <w:rFonts w:ascii="Verdana" w:eastAsia="Times New Roman" w:hAnsi="Verdana" w:cs="Arial"/>
          <w:lang w:eastAsia="es-ES_tradnl"/>
        </w:rPr>
      </w:pPr>
    </w:p>
    <w:p w14:paraId="1B5E8B29" w14:textId="77777777" w:rsidR="00680A66" w:rsidRDefault="00680A66" w:rsidP="00680A66">
      <w:pPr>
        <w:spacing w:after="0" w:line="240" w:lineRule="auto"/>
        <w:rPr>
          <w:rFonts w:ascii="Verdana" w:eastAsia="Times New Roman" w:hAnsi="Verdana" w:cs="Arial"/>
          <w:lang w:eastAsia="es-ES_tradnl"/>
        </w:rPr>
      </w:pPr>
    </w:p>
    <w:p w14:paraId="150D550D" w14:textId="77777777" w:rsidR="00680A66" w:rsidRDefault="00680A66" w:rsidP="00680A66">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[Mes.NombreCapitalizado] de [Año] </w:t>
      </w:r>
    </w:p>
    <w:p w14:paraId="2B236FFC" w14:textId="77777777" w:rsidR="0017257F" w:rsidRDefault="0017257F" w:rsidP="00680A66">
      <w:pPr>
        <w:spacing w:after="0" w:line="240" w:lineRule="auto"/>
        <w:rPr>
          <w:rFonts w:ascii="Verdana" w:eastAsia="Times New Roman" w:hAnsi="Verdana" w:cs="Arial"/>
          <w:lang w:eastAsia="es-ES_tradnl"/>
        </w:rPr>
      </w:pPr>
    </w:p>
    <w:p w14:paraId="3B848D31" w14:textId="2865B9BD" w:rsidR="00680A66" w:rsidRPr="00BE151B" w:rsidRDefault="0017257F" w:rsidP="0017257F">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619354E9" wp14:editId="0CCDF901">
            <wp:extent cx="3600043" cy="1080654"/>
            <wp:effectExtent l="0" t="0" r="635" b="5715"/>
            <wp:docPr id="44058721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87217" name="Imagen 1" descr="Interfaz de usuario gráfica, Texto, Aplicación&#10;&#10;Descripción generada automáticamente"/>
                    <pic:cNvPicPr/>
                  </pic:nvPicPr>
                  <pic:blipFill rotWithShape="1">
                    <a:blip r:embed="rId7"/>
                    <a:srcRect l="11745" t="28260" r="53343" b="36321"/>
                    <a:stretch/>
                  </pic:blipFill>
                  <pic:spPr bwMode="auto">
                    <a:xfrm>
                      <a:off x="0" y="0"/>
                      <a:ext cx="3617278" cy="1085827"/>
                    </a:xfrm>
                    <a:prstGeom prst="rect">
                      <a:avLst/>
                    </a:prstGeom>
                    <a:ln>
                      <a:noFill/>
                    </a:ln>
                    <a:extLst>
                      <a:ext uri="{53640926-AAD7-44D8-BBD7-CCE9431645EC}">
                        <a14:shadowObscured xmlns:a14="http://schemas.microsoft.com/office/drawing/2010/main"/>
                      </a:ext>
                    </a:extLst>
                  </pic:spPr>
                </pic:pic>
              </a:graphicData>
            </a:graphic>
          </wp:inline>
        </w:drawing>
      </w:r>
    </w:p>
    <w:p w14:paraId="672976DA" w14:textId="77777777" w:rsidR="00680A66" w:rsidRPr="00BE151B" w:rsidRDefault="00680A66" w:rsidP="00680A66">
      <w:pPr>
        <w:spacing w:after="0" w:line="240" w:lineRule="auto"/>
        <w:jc w:val="right"/>
        <w:rPr>
          <w:rFonts w:ascii="Verdana" w:eastAsia="Times New Roman" w:hAnsi="Verdana" w:cs="Arial"/>
          <w:lang w:eastAsia="es-ES_tradnl"/>
        </w:rPr>
      </w:pPr>
    </w:p>
    <w:p w14:paraId="3CC1722C" w14:textId="77777777" w:rsidR="00680A66" w:rsidRPr="00BE151B" w:rsidRDefault="00680A66" w:rsidP="00680A66">
      <w:pPr>
        <w:spacing w:after="0" w:line="240" w:lineRule="auto"/>
        <w:jc w:val="right"/>
        <w:rPr>
          <w:rFonts w:ascii="Verdana" w:eastAsia="Times New Roman" w:hAnsi="Verdana" w:cs="Arial"/>
          <w:lang w:eastAsia="es-ES_tradnl"/>
        </w:rPr>
      </w:pPr>
    </w:p>
    <w:p w14:paraId="6445C7D1" w14:textId="77777777" w:rsidR="00680A66" w:rsidRPr="00BE151B" w:rsidRDefault="00680A66" w:rsidP="00680A66">
      <w:pPr>
        <w:spacing w:after="0" w:line="240" w:lineRule="auto"/>
        <w:jc w:val="both"/>
        <w:rPr>
          <w:rFonts w:ascii="Verdana" w:eastAsia="Calibri" w:hAnsi="Verdana" w:cs="Arial"/>
          <w:lang w:eastAsia="es-ES_tradnl"/>
        </w:rPr>
      </w:pPr>
      <w:r>
        <w:rPr>
          <w:rFonts w:ascii="Verdana" w:eastAsia="Calibri" w:hAnsi="Verdana" w:cs="Arial"/>
          <w:lang w:eastAsia="es-ES_tradnl"/>
        </w:rPr>
        <w:t>Señora</w:t>
      </w:r>
    </w:p>
    <w:p w14:paraId="640F81DA" w14:textId="77777777" w:rsidR="00680A66" w:rsidRDefault="00680A66" w:rsidP="00680A66">
      <w:pPr>
        <w:spacing w:after="0" w:line="240" w:lineRule="auto"/>
        <w:rPr>
          <w:rFonts w:ascii="Verdana" w:eastAsia="Calibri" w:hAnsi="Verdana" w:cs="Arial"/>
          <w:b/>
          <w:bCs/>
          <w:lang w:eastAsia="es-ES_tradnl"/>
        </w:rPr>
      </w:pPr>
      <w:r w:rsidRPr="0025739F">
        <w:rPr>
          <w:rFonts w:ascii="Verdana" w:eastAsia="Calibri" w:hAnsi="Verdana" w:cs="Arial"/>
          <w:b/>
          <w:bCs/>
          <w:lang w:eastAsia="es-ES_tradnl"/>
        </w:rPr>
        <w:t>Gina Paola</w:t>
      </w:r>
      <w:r>
        <w:rPr>
          <w:rFonts w:ascii="Verdana" w:eastAsia="Calibri" w:hAnsi="Verdana" w:cs="Arial"/>
          <w:b/>
          <w:bCs/>
          <w:lang w:eastAsia="es-ES_tradnl"/>
        </w:rPr>
        <w:t xml:space="preserve"> </w:t>
      </w:r>
      <w:r w:rsidRPr="0025739F">
        <w:rPr>
          <w:rFonts w:ascii="Verdana" w:eastAsia="Calibri" w:hAnsi="Verdana" w:cs="Arial"/>
          <w:b/>
          <w:bCs/>
          <w:lang w:eastAsia="es-ES_tradnl"/>
        </w:rPr>
        <w:t>Rojas Mendoza</w:t>
      </w:r>
    </w:p>
    <w:p w14:paraId="41F57BBC" w14:textId="77777777" w:rsidR="00680A66" w:rsidRPr="00136E69" w:rsidRDefault="00680A66" w:rsidP="00680A66">
      <w:pPr>
        <w:spacing w:after="0" w:line="240" w:lineRule="auto"/>
        <w:rPr>
          <w:rFonts w:ascii="Verdana" w:eastAsia="Calibri" w:hAnsi="Verdana" w:cs="Arial"/>
          <w:lang w:eastAsia="es-ES_tradnl"/>
        </w:rPr>
      </w:pPr>
      <w:hyperlink r:id="rId8" w:history="1">
        <w:r w:rsidRPr="00136E69">
          <w:rPr>
            <w:rStyle w:val="Hipervnculo"/>
            <w:rFonts w:ascii="Verdana" w:eastAsia="Calibri" w:hAnsi="Verdana" w:cs="Arial"/>
            <w:lang w:eastAsia="es-ES_tradnl"/>
          </w:rPr>
          <w:t>juank6197@gmail.com</w:t>
        </w:r>
      </w:hyperlink>
      <w:r w:rsidRPr="00136E69">
        <w:rPr>
          <w:rFonts w:ascii="Verdana" w:eastAsia="Calibri" w:hAnsi="Verdana" w:cs="Arial"/>
          <w:lang w:eastAsia="es-ES_tradnl"/>
        </w:rPr>
        <w:t xml:space="preserve"> </w:t>
      </w:r>
    </w:p>
    <w:p w14:paraId="0198B896" w14:textId="77777777" w:rsidR="00680A66" w:rsidRPr="001B56F4" w:rsidRDefault="00680A66" w:rsidP="00680A66">
      <w:pPr>
        <w:spacing w:after="0" w:line="240" w:lineRule="auto"/>
        <w:rPr>
          <w:rFonts w:ascii="Verdana" w:eastAsia="Calibri" w:hAnsi="Verdana" w:cs="Arial"/>
          <w:lang w:eastAsia="es-ES_tradnl"/>
        </w:rPr>
      </w:pPr>
      <w:r>
        <w:rPr>
          <w:rFonts w:ascii="Verdana" w:eastAsia="Calibri" w:hAnsi="Verdana" w:cs="Arial"/>
          <w:lang w:eastAsia="es-ES_tradnl"/>
        </w:rPr>
        <w:t>Ibagué, Tolima</w:t>
      </w:r>
    </w:p>
    <w:p w14:paraId="5AEE0B70" w14:textId="77777777" w:rsidR="00680A66" w:rsidRPr="001B56F4" w:rsidRDefault="00680A66" w:rsidP="00680A66">
      <w:pPr>
        <w:spacing w:after="0" w:line="240" w:lineRule="auto"/>
        <w:rPr>
          <w:rFonts w:ascii="Verdana" w:eastAsia="Calibri" w:hAnsi="Verdana" w:cs="Arial"/>
          <w:lang w:eastAsia="es-ES_tradnl"/>
        </w:rPr>
      </w:pPr>
    </w:p>
    <w:p w14:paraId="7939A353" w14:textId="77777777" w:rsidR="00680A66" w:rsidRPr="00BE151B" w:rsidRDefault="00680A66" w:rsidP="00680A66">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708</w:t>
      </w:r>
      <w:r w:rsidRPr="00BE151B">
        <w:rPr>
          <w:rFonts w:ascii="Verdana" w:eastAsia="Calibri" w:hAnsi="Verdana" w:cs="Arial"/>
          <w:b/>
          <w:bCs/>
          <w:lang w:eastAsia="es-ES_tradnl"/>
        </w:rPr>
        <w:t xml:space="preserve"> de 2024</w:t>
      </w:r>
    </w:p>
    <w:p w14:paraId="333B9213" w14:textId="77777777" w:rsidR="00680A66" w:rsidRPr="00BE151B" w:rsidRDefault="00680A66" w:rsidP="00680A66">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680A66" w:rsidRPr="00BE151B" w14:paraId="6AB508AE" w14:textId="77777777" w:rsidTr="00F31FB3">
        <w:trPr>
          <w:jc w:val="right"/>
        </w:trPr>
        <w:tc>
          <w:tcPr>
            <w:tcW w:w="1838" w:type="dxa"/>
          </w:tcPr>
          <w:p w14:paraId="0F5FC48A" w14:textId="77777777" w:rsidR="00680A66" w:rsidRPr="00BE151B" w:rsidRDefault="00680A66" w:rsidP="00F31FB3">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6803893E" w14:textId="77777777" w:rsidR="00680A66" w:rsidRPr="00BE151B" w:rsidRDefault="00680A66" w:rsidP="00F31FB3">
            <w:pPr>
              <w:spacing w:line="276" w:lineRule="auto"/>
              <w:jc w:val="both"/>
              <w:textAlignment w:val="baseline"/>
              <w:rPr>
                <w:rFonts w:ascii="Verdana" w:eastAsia="Times New Roman" w:hAnsi="Verdana" w:cs="Arial"/>
                <w:lang w:eastAsia="es-ES_tradnl"/>
              </w:rPr>
            </w:pPr>
            <w:r w:rsidRPr="00224C86">
              <w:rPr>
                <w:rFonts w:ascii="Verdana" w:eastAsia="Times New Roman" w:hAnsi="Verdana" w:cs="Arial"/>
                <w:lang w:eastAsia="es-ES_tradnl"/>
              </w:rPr>
              <w:t>LIQUIDACIÓN DEL CONTRATO – Definición – Objetivo</w:t>
            </w:r>
            <w:r>
              <w:rPr>
                <w:rFonts w:ascii="Verdana" w:eastAsia="Times New Roman" w:hAnsi="Verdana" w:cs="Arial"/>
                <w:lang w:eastAsia="es-ES_tradnl"/>
              </w:rPr>
              <w:t xml:space="preserve"> /</w:t>
            </w:r>
            <w:r>
              <w:t xml:space="preserve"> </w:t>
            </w:r>
            <w:r w:rsidRPr="00224C86">
              <w:rPr>
                <w:rFonts w:ascii="Verdana" w:eastAsia="Times New Roman" w:hAnsi="Verdana" w:cs="Arial"/>
                <w:lang w:eastAsia="es-ES_tradnl"/>
              </w:rPr>
              <w:t xml:space="preserve">LIQUIDACIÓN DEL CONTRATO – Normativa </w:t>
            </w:r>
            <w:r>
              <w:rPr>
                <w:rFonts w:ascii="Verdana" w:eastAsia="Times New Roman" w:hAnsi="Verdana" w:cs="Arial"/>
                <w:lang w:eastAsia="es-ES_tradnl"/>
              </w:rPr>
              <w:t xml:space="preserve">/ </w:t>
            </w:r>
            <w:r w:rsidRPr="00224C86">
              <w:rPr>
                <w:rFonts w:ascii="Verdana" w:eastAsia="Times New Roman" w:hAnsi="Verdana" w:cs="Arial"/>
                <w:lang w:eastAsia="es-ES_tradnl"/>
              </w:rPr>
              <w:t>LIQUIDACIÓN DEL CONTRATO – Tipos – Bilateral – Unilateral – Judicial</w:t>
            </w:r>
            <w:r>
              <w:rPr>
                <w:rFonts w:ascii="Verdana" w:eastAsia="Times New Roman" w:hAnsi="Verdana" w:cs="Arial"/>
                <w:lang w:eastAsia="es-ES_tradnl"/>
              </w:rPr>
              <w:t xml:space="preserve"> / </w:t>
            </w:r>
            <w:r w:rsidRPr="00224C86">
              <w:rPr>
                <w:rFonts w:ascii="Verdana" w:eastAsia="Times New Roman" w:hAnsi="Verdana" w:cs="Arial"/>
                <w:lang w:eastAsia="es-ES_tradnl"/>
              </w:rPr>
              <w:t>CADUCIDAD DEL MEDIO DE CONTROL DE CONTROVERSIAS CONTRACTUALES – Pérdida de competencia para liquidar el contrato</w:t>
            </w:r>
            <w:r>
              <w:rPr>
                <w:rFonts w:ascii="Verdana" w:eastAsia="Times New Roman" w:hAnsi="Verdana" w:cs="Arial"/>
                <w:lang w:eastAsia="es-ES_tradnl"/>
              </w:rPr>
              <w:t xml:space="preserve"> / </w:t>
            </w:r>
            <w:r w:rsidRPr="00224C86">
              <w:rPr>
                <w:rFonts w:ascii="Verdana" w:eastAsia="Times New Roman" w:hAnsi="Verdana" w:cs="Arial"/>
                <w:lang w:eastAsia="es-ES_tradnl"/>
              </w:rPr>
              <w:t>DEGENERACIÓN DE OBLIGACIONES CIVILES EN NATURALES – Imposibilidad de hacerlas exigibles</w:t>
            </w:r>
            <w:r>
              <w:rPr>
                <w:rFonts w:ascii="Verdana" w:eastAsia="Times New Roman" w:hAnsi="Verdana" w:cs="Arial"/>
                <w:lang w:eastAsia="es-ES_tradnl"/>
              </w:rPr>
              <w:t xml:space="preserve"> / </w:t>
            </w:r>
            <w:r w:rsidRPr="00224C86">
              <w:rPr>
                <w:rFonts w:ascii="Verdana" w:eastAsia="Times New Roman" w:hAnsi="Verdana" w:cs="Arial"/>
                <w:lang w:eastAsia="es-ES_tradnl"/>
              </w:rPr>
              <w:t>CIERRE DEL EXPEDIENTE DEL PROCESO DE CONTRATACIÓN – Constancia administrativa que culmina las actuaciones contractuales</w:t>
            </w:r>
          </w:p>
        </w:tc>
      </w:tr>
      <w:tr w:rsidR="00680A66" w:rsidRPr="00BE151B" w14:paraId="5848672C" w14:textId="77777777" w:rsidTr="00F31FB3">
        <w:trPr>
          <w:jc w:val="right"/>
        </w:trPr>
        <w:tc>
          <w:tcPr>
            <w:tcW w:w="1838" w:type="dxa"/>
          </w:tcPr>
          <w:p w14:paraId="3E1AF066" w14:textId="77777777" w:rsidR="00680A66" w:rsidRPr="00BE151B" w:rsidRDefault="00680A66" w:rsidP="00F31FB3">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2A855631" w14:textId="77777777" w:rsidR="00680A66" w:rsidRPr="00BE151B" w:rsidRDefault="00680A66" w:rsidP="00F31FB3">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A5480D">
              <w:rPr>
                <w:rFonts w:ascii="Verdana" w:eastAsia="Times New Roman" w:hAnsi="Verdana" w:cs="Arial"/>
                <w:lang w:eastAsia="es-ES_tradnl"/>
              </w:rPr>
              <w:t>P20241007010191</w:t>
            </w:r>
          </w:p>
        </w:tc>
      </w:tr>
    </w:tbl>
    <w:p w14:paraId="6CAAE6DD" w14:textId="77777777" w:rsidR="00680A66" w:rsidRPr="00BE151B" w:rsidRDefault="00680A66" w:rsidP="00680A66">
      <w:pPr>
        <w:spacing w:after="0" w:line="240" w:lineRule="auto"/>
        <w:jc w:val="both"/>
        <w:rPr>
          <w:rFonts w:ascii="Verdana" w:eastAsia="Calibri" w:hAnsi="Verdana" w:cs="Arial"/>
          <w:lang w:eastAsia="es-ES_tradnl"/>
        </w:rPr>
      </w:pPr>
    </w:p>
    <w:p w14:paraId="73678AFE" w14:textId="77777777" w:rsidR="00680A66" w:rsidRPr="00BE151B" w:rsidRDefault="00680A66" w:rsidP="00680A66">
      <w:pPr>
        <w:spacing w:after="0" w:line="240" w:lineRule="auto"/>
        <w:jc w:val="both"/>
        <w:rPr>
          <w:rFonts w:ascii="Verdana" w:eastAsia="Calibri" w:hAnsi="Verdana" w:cs="Arial"/>
          <w:lang w:eastAsia="es-ES_tradnl"/>
        </w:rPr>
      </w:pPr>
    </w:p>
    <w:p w14:paraId="664C22E3" w14:textId="77777777" w:rsidR="00680A66" w:rsidRPr="00BE151B" w:rsidRDefault="00680A66" w:rsidP="00680A66">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a señora Rojas Mendoza</w:t>
      </w:r>
      <w:r>
        <w:rPr>
          <w:rFonts w:ascii="Verdana" w:eastAsia="Calibri" w:hAnsi="Verdana" w:cs="Arial"/>
          <w:bCs/>
          <w:lang w:eastAsia="es-ES_tradnl"/>
        </w:rPr>
        <w:t>,</w:t>
      </w:r>
    </w:p>
    <w:p w14:paraId="11E35EF8" w14:textId="77777777" w:rsidR="00680A66" w:rsidRPr="00BE151B" w:rsidRDefault="00680A66" w:rsidP="00680A66">
      <w:pPr>
        <w:spacing w:after="0" w:line="276" w:lineRule="auto"/>
        <w:contextualSpacing/>
        <w:jc w:val="both"/>
        <w:rPr>
          <w:rFonts w:ascii="Verdana" w:eastAsia="Calibri" w:hAnsi="Verdana" w:cs="Arial"/>
          <w:lang w:eastAsia="es-ES_tradnl"/>
        </w:rPr>
      </w:pPr>
    </w:p>
    <w:p w14:paraId="5ABF1746" w14:textId="77777777" w:rsidR="00680A66" w:rsidRDefault="00680A66" w:rsidP="00680A66">
      <w:pPr>
        <w:spacing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7</w:t>
      </w:r>
      <w:r w:rsidRPr="00BE151B">
        <w:rPr>
          <w:rFonts w:ascii="Verdana" w:eastAsia="Calibri" w:hAnsi="Verdana" w:cs="Arial"/>
          <w:lang w:eastAsia="es-ES_tradnl"/>
        </w:rPr>
        <w:t xml:space="preserve"> de </w:t>
      </w:r>
      <w:r>
        <w:rPr>
          <w:rFonts w:ascii="Verdana" w:eastAsia="Calibri" w:hAnsi="Verdana" w:cs="Arial"/>
          <w:lang w:eastAsia="es-ES_tradnl"/>
        </w:rPr>
        <w:t>octubre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6FECC7B2" w14:textId="77777777" w:rsidR="00680A66" w:rsidRPr="00BE151B" w:rsidRDefault="00680A66" w:rsidP="00680A66">
      <w:pPr>
        <w:spacing w:after="0" w:line="276" w:lineRule="auto"/>
        <w:jc w:val="both"/>
        <w:rPr>
          <w:rFonts w:ascii="Verdana" w:eastAsia="Calibri" w:hAnsi="Verdana" w:cs="Arial"/>
          <w:lang w:eastAsia="es-ES_tradnl"/>
        </w:rPr>
      </w:pPr>
    </w:p>
    <w:p w14:paraId="69B5EDC0" w14:textId="77777777" w:rsidR="00680A66" w:rsidRPr="00472C94" w:rsidRDefault="00680A66" w:rsidP="00680A66">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lastRenderedPageBreak/>
        <w:t>“</w:t>
      </w:r>
      <w:r w:rsidRPr="002578EF">
        <w:rPr>
          <w:rFonts w:ascii="Verdana" w:eastAsia="Times New Roman" w:hAnsi="Verdana" w:cs="Arial"/>
          <w:i/>
          <w:sz w:val="20"/>
          <w:szCs w:val="20"/>
          <w:lang w:eastAsia="es-ES_tradnl"/>
        </w:rPr>
        <w:t>SOLICITO UN CONCEPTO PARA EXTINGUIR LA RELACION CONTRACTUAL DE UNOS CONVENIOS INTERADMINISTRATIVOS QUE FUERON SUSCRITOS Y EJECUTADOS HACE MAS DE 8 AÑOS, Y A LA FECHA NO SE EFECTUARON LAS RESPECTIVAS ACTAS DE LIQUIDACION</w:t>
      </w:r>
      <w:r w:rsidRPr="00472C94">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[SIC]</w:t>
      </w:r>
      <w:r w:rsidRPr="00472C94">
        <w:rPr>
          <w:rFonts w:ascii="Verdana" w:eastAsia="Times New Roman" w:hAnsi="Verdana" w:cs="Arial"/>
          <w:i/>
          <w:sz w:val="20"/>
          <w:szCs w:val="20"/>
          <w:lang w:eastAsia="es-ES_tradnl"/>
        </w:rPr>
        <w:t>.</w:t>
      </w:r>
    </w:p>
    <w:p w14:paraId="036EC2C9" w14:textId="77777777" w:rsidR="00680A66" w:rsidRPr="00BE151B" w:rsidRDefault="00680A66" w:rsidP="00680A66">
      <w:pPr>
        <w:spacing w:after="120" w:line="240" w:lineRule="auto"/>
        <w:ind w:left="709" w:right="709"/>
        <w:jc w:val="both"/>
        <w:rPr>
          <w:rFonts w:ascii="Verdana" w:eastAsia="Times New Roman" w:hAnsi="Verdana" w:cs="Arial"/>
          <w:i/>
          <w:lang w:eastAsia="es-ES_tradnl"/>
        </w:rPr>
      </w:pPr>
    </w:p>
    <w:p w14:paraId="4B3338F0" w14:textId="77777777" w:rsidR="00680A66" w:rsidRPr="00BE151B" w:rsidRDefault="00680A66" w:rsidP="00680A66">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071C3791" w14:textId="77777777" w:rsidR="00680A66" w:rsidRPr="00BE151B" w:rsidRDefault="00680A66" w:rsidP="00680A66">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08C6A20" w14:textId="77777777" w:rsidR="00680A66" w:rsidRPr="00BE151B" w:rsidRDefault="00680A66" w:rsidP="00680A66">
      <w:pPr>
        <w:spacing w:after="0" w:line="276" w:lineRule="auto"/>
        <w:contextualSpacing/>
        <w:jc w:val="both"/>
        <w:rPr>
          <w:rFonts w:ascii="Verdana" w:eastAsia="Times New Roman" w:hAnsi="Verdana" w:cs="Arial"/>
          <w:szCs w:val="24"/>
          <w:lang w:eastAsia="es-ES_tradnl"/>
        </w:rPr>
      </w:pPr>
    </w:p>
    <w:p w14:paraId="05D02D2A" w14:textId="77777777" w:rsidR="00680A66" w:rsidRPr="00BE151B" w:rsidRDefault="00680A66" w:rsidP="00680A66">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1E614813" w14:textId="77777777" w:rsidR="00680A66" w:rsidRPr="00BE151B" w:rsidRDefault="00680A66" w:rsidP="00680A66">
      <w:pPr>
        <w:tabs>
          <w:tab w:val="left" w:pos="0"/>
          <w:tab w:val="left" w:pos="284"/>
        </w:tabs>
        <w:spacing w:after="0" w:line="276" w:lineRule="auto"/>
        <w:contextualSpacing/>
        <w:jc w:val="both"/>
        <w:rPr>
          <w:rFonts w:ascii="Verdana" w:eastAsia="Calibri" w:hAnsi="Verdana" w:cs="Arial"/>
          <w:b/>
        </w:rPr>
      </w:pPr>
    </w:p>
    <w:p w14:paraId="1516D400" w14:textId="77777777" w:rsidR="00680A66" w:rsidRDefault="00680A66" w:rsidP="00680A66">
      <w:pPr>
        <w:spacing w:after="0"/>
        <w:jc w:val="both"/>
        <w:rPr>
          <w:rFonts w:ascii="Verdana" w:hAnsi="Verdana"/>
        </w:rPr>
      </w:pPr>
      <w:r w:rsidRPr="0094756A">
        <w:rPr>
          <w:rFonts w:ascii="Verdana" w:hAnsi="Verdana"/>
        </w:rPr>
        <w:t>Una vez expirado el término para la liquidación del contrato</w:t>
      </w:r>
      <w:r>
        <w:rPr>
          <w:rFonts w:ascii="Verdana" w:hAnsi="Verdana"/>
        </w:rPr>
        <w:t>,</w:t>
      </w:r>
      <w:r w:rsidRPr="0094756A">
        <w:rPr>
          <w:rFonts w:ascii="Verdana" w:hAnsi="Verdana"/>
        </w:rPr>
        <w:t xml:space="preserve"> sin que la entidad </w:t>
      </w:r>
      <w:r>
        <w:rPr>
          <w:rFonts w:ascii="Verdana" w:hAnsi="Verdana"/>
        </w:rPr>
        <w:t xml:space="preserve">contratante </w:t>
      </w:r>
      <w:r w:rsidRPr="0094756A">
        <w:rPr>
          <w:rFonts w:ascii="Verdana" w:hAnsi="Verdana"/>
        </w:rPr>
        <w:t xml:space="preserve">haya procedido </w:t>
      </w:r>
      <w:r>
        <w:rPr>
          <w:rFonts w:ascii="Verdana" w:hAnsi="Verdana"/>
        </w:rPr>
        <w:t>a efectuarla por cualquiera de las modalidades o formas posibles (bilateral, unilateral o judicial)</w:t>
      </w:r>
      <w:r w:rsidRPr="0094756A">
        <w:rPr>
          <w:rFonts w:ascii="Verdana" w:hAnsi="Verdana"/>
        </w:rPr>
        <w:t xml:space="preserve">, </w:t>
      </w:r>
      <w:r>
        <w:rPr>
          <w:rFonts w:ascii="Verdana" w:hAnsi="Verdana"/>
        </w:rPr>
        <w:t>¿E</w:t>
      </w:r>
      <w:r w:rsidRPr="0094756A">
        <w:rPr>
          <w:rFonts w:ascii="Verdana" w:hAnsi="Verdana"/>
        </w:rPr>
        <w:t xml:space="preserve">xiste alguna forma </w:t>
      </w:r>
      <w:r>
        <w:rPr>
          <w:rFonts w:ascii="Verdana" w:hAnsi="Verdana"/>
        </w:rPr>
        <w:t>de liquidar un convenio interadministrativo</w:t>
      </w:r>
      <w:r w:rsidRPr="0094756A">
        <w:rPr>
          <w:rFonts w:ascii="Verdana" w:hAnsi="Verdana"/>
        </w:rPr>
        <w:t xml:space="preserve">, que </w:t>
      </w:r>
      <w:r>
        <w:rPr>
          <w:rFonts w:ascii="Verdana" w:hAnsi="Verdana"/>
        </w:rPr>
        <w:t>pruebe la extinción de las obligaciones contraídas en el texto contractual?</w:t>
      </w:r>
    </w:p>
    <w:p w14:paraId="27CFC856" w14:textId="77777777" w:rsidR="00680A66" w:rsidRDefault="00680A66" w:rsidP="00680A66">
      <w:pPr>
        <w:spacing w:after="0"/>
        <w:jc w:val="both"/>
        <w:rPr>
          <w:rFonts w:ascii="Verdana" w:hAnsi="Verdana"/>
        </w:rPr>
      </w:pPr>
    </w:p>
    <w:p w14:paraId="694557E4" w14:textId="77777777" w:rsidR="00680A66" w:rsidRPr="00694106" w:rsidRDefault="00680A66" w:rsidP="00680A66">
      <w:pPr>
        <w:tabs>
          <w:tab w:val="left" w:pos="0"/>
          <w:tab w:val="left" w:pos="284"/>
        </w:tabs>
        <w:spacing w:after="0" w:line="276" w:lineRule="auto"/>
        <w:contextualSpacing/>
        <w:jc w:val="both"/>
        <w:rPr>
          <w:rFonts w:ascii="Verdana" w:eastAsia="Calibri" w:hAnsi="Verdana" w:cs="Arial"/>
          <w:b/>
        </w:rPr>
      </w:pPr>
      <w:r w:rsidRPr="00694106">
        <w:rPr>
          <w:rFonts w:ascii="Verdana" w:eastAsia="Calibri" w:hAnsi="Verdana" w:cs="Arial"/>
          <w:b/>
        </w:rPr>
        <w:t>2. Respuesta:</w:t>
      </w:r>
    </w:p>
    <w:p w14:paraId="2449BF10" w14:textId="77777777" w:rsidR="00680A66" w:rsidRPr="00BE151B" w:rsidRDefault="00680A66" w:rsidP="00680A6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0A66" w:rsidRPr="00BE151B" w14:paraId="768F9441" w14:textId="77777777" w:rsidTr="00F31FB3">
        <w:tc>
          <w:tcPr>
            <w:tcW w:w="8828" w:type="dxa"/>
            <w:shd w:val="clear" w:color="auto" w:fill="auto"/>
          </w:tcPr>
          <w:p w14:paraId="3C339E9B" w14:textId="77777777" w:rsidR="00680A66" w:rsidRDefault="00680A66" w:rsidP="00F31FB3">
            <w:pPr>
              <w:spacing w:line="276" w:lineRule="auto"/>
              <w:jc w:val="both"/>
              <w:rPr>
                <w:rFonts w:ascii="Verdana" w:hAnsi="Verdana"/>
              </w:rPr>
            </w:pPr>
            <w:r>
              <w:rPr>
                <w:rFonts w:ascii="Verdana" w:eastAsia="Times New Roman" w:hAnsi="Verdana" w:cs="Calibri"/>
                <w:lang w:val="es-ES"/>
              </w:rPr>
              <w:t xml:space="preserve">Aun cuando la entidad contratante está investida de competencia para liquidar de forma bilateral o unilateral el contrato estatal, </w:t>
            </w:r>
            <w:r>
              <w:rPr>
                <w:rFonts w:ascii="Verdana" w:hAnsi="Verdana"/>
              </w:rPr>
              <w:t xml:space="preserve">aquella competencia se pierde en caso de que expire el término de caducidad para la presentación de la demanda en ejercicio del medio de control de controversias contractuales </w:t>
            </w:r>
            <w:r>
              <w:rPr>
                <w:rFonts w:ascii="Verdana" w:hAnsi="Verdana"/>
              </w:rPr>
              <w:lastRenderedPageBreak/>
              <w:t>o, cuando se notifique el auto admisorio de la demanda que tenga como propósito su liquidación.</w:t>
            </w:r>
          </w:p>
          <w:p w14:paraId="23587953" w14:textId="77777777" w:rsidR="00680A66" w:rsidRDefault="00680A66" w:rsidP="00F31FB3">
            <w:pPr>
              <w:spacing w:line="276" w:lineRule="auto"/>
              <w:jc w:val="both"/>
              <w:rPr>
                <w:rFonts w:ascii="Verdana" w:eastAsia="Times New Roman" w:hAnsi="Verdana" w:cs="Calibri"/>
                <w:lang w:val="es-ES"/>
              </w:rPr>
            </w:pPr>
          </w:p>
          <w:p w14:paraId="143336E7" w14:textId="77777777" w:rsidR="00680A66" w:rsidRDefault="00680A66" w:rsidP="00F31FB3">
            <w:pPr>
              <w:spacing w:line="276" w:lineRule="auto"/>
              <w:jc w:val="both"/>
              <w:rPr>
                <w:rFonts w:ascii="Verdana" w:eastAsia="Times New Roman" w:hAnsi="Verdana" w:cs="Calibri"/>
                <w:lang w:val="es-ES"/>
              </w:rPr>
            </w:pPr>
            <w:r>
              <w:rPr>
                <w:rFonts w:ascii="Verdana" w:eastAsia="Times New Roman" w:hAnsi="Verdana" w:cs="Calibri"/>
                <w:lang w:val="es-ES"/>
              </w:rPr>
              <w:t xml:space="preserve">De otro lado, en línea con lo dicho por el Consejo de Estado en diferentes pronunciamientos, y en observancia del principio de legalidad que exige que la Administración ejerza su competencia bajo el respeto de los límites temporales para su ejercicio, si la entidad contratante adelanta la liquidación bilateral o unilateral por fuera del plazo para la interposición del medio de </w:t>
            </w:r>
            <w:r w:rsidRPr="00146F1A">
              <w:rPr>
                <w:rFonts w:ascii="Verdana" w:eastAsia="Times New Roman" w:hAnsi="Verdana" w:cs="Calibri"/>
                <w:lang w:val="es-ES"/>
              </w:rPr>
              <w:t>control de controversias contractuales</w:t>
            </w:r>
            <w:r>
              <w:rPr>
                <w:rFonts w:ascii="Verdana" w:eastAsia="Times New Roman" w:hAnsi="Verdana" w:cs="Calibri"/>
                <w:lang w:val="es-ES"/>
              </w:rPr>
              <w:t xml:space="preserve">, los </w:t>
            </w:r>
            <w:r w:rsidRPr="00FF2CFF">
              <w:rPr>
                <w:rFonts w:ascii="Verdana" w:eastAsia="Times New Roman" w:hAnsi="Verdana" w:cs="Calibri"/>
                <w:lang w:val="es-ES"/>
              </w:rPr>
              <w:t xml:space="preserve">actos bilaterales o unilaterales </w:t>
            </w:r>
            <w:r>
              <w:rPr>
                <w:rFonts w:ascii="Verdana" w:eastAsia="Times New Roman" w:hAnsi="Verdana" w:cs="Calibri"/>
                <w:lang w:val="es-ES"/>
              </w:rPr>
              <w:t xml:space="preserve">expedidos para la </w:t>
            </w:r>
            <w:r w:rsidRPr="00FF2CFF">
              <w:rPr>
                <w:rFonts w:ascii="Verdana" w:eastAsia="Times New Roman" w:hAnsi="Verdana" w:cs="Calibri"/>
                <w:lang w:val="es-ES"/>
              </w:rPr>
              <w:t>liquid</w:t>
            </w:r>
            <w:r>
              <w:rPr>
                <w:rFonts w:ascii="Verdana" w:eastAsia="Times New Roman" w:hAnsi="Verdana" w:cs="Calibri"/>
                <w:lang w:val="es-ES"/>
              </w:rPr>
              <w:t>ación d</w:t>
            </w:r>
            <w:r w:rsidRPr="00FF2CFF">
              <w:rPr>
                <w:rFonts w:ascii="Verdana" w:eastAsia="Times New Roman" w:hAnsi="Verdana" w:cs="Calibri"/>
                <w:lang w:val="es-ES"/>
              </w:rPr>
              <w:t>el contrato</w:t>
            </w:r>
            <w:r>
              <w:rPr>
                <w:rFonts w:ascii="Verdana" w:eastAsia="Times New Roman" w:hAnsi="Verdana" w:cs="Calibri"/>
                <w:lang w:val="es-ES"/>
              </w:rPr>
              <w:t xml:space="preserve"> podrían llegar a declararse</w:t>
            </w:r>
            <w:r w:rsidRPr="00FF2CFF">
              <w:rPr>
                <w:rFonts w:ascii="Verdana" w:eastAsia="Times New Roman" w:hAnsi="Verdana" w:cs="Calibri"/>
                <w:lang w:val="es-ES"/>
              </w:rPr>
              <w:t xml:space="preserve"> viciados de ilegalidad y</w:t>
            </w:r>
            <w:r>
              <w:rPr>
                <w:rFonts w:ascii="Verdana" w:eastAsia="Times New Roman" w:hAnsi="Verdana" w:cs="Calibri"/>
                <w:lang w:val="es-ES"/>
              </w:rPr>
              <w:t xml:space="preserve">, eventualmente, podrían ser </w:t>
            </w:r>
            <w:r w:rsidRPr="00FF2CFF">
              <w:rPr>
                <w:rFonts w:ascii="Verdana" w:eastAsia="Times New Roman" w:hAnsi="Verdana" w:cs="Calibri"/>
                <w:lang w:val="es-ES"/>
              </w:rPr>
              <w:t>susceptibles de ser declarados nulos por el juez</w:t>
            </w:r>
            <w:r>
              <w:rPr>
                <w:rFonts w:ascii="Verdana" w:eastAsia="Times New Roman" w:hAnsi="Verdana" w:cs="Calibri"/>
                <w:lang w:val="es-ES"/>
              </w:rPr>
              <w:t xml:space="preserve"> del contrato</w:t>
            </w:r>
            <w:r w:rsidRPr="00FF2CFF">
              <w:rPr>
                <w:rFonts w:ascii="Verdana" w:eastAsia="Times New Roman" w:hAnsi="Verdana" w:cs="Calibri"/>
                <w:lang w:val="es-ES"/>
              </w:rPr>
              <w:t>. Por lo tanto, mientras no se haya vencido el término de caducidad del medio de control es viable proceder a la liquidación del contrato</w:t>
            </w:r>
            <w:r>
              <w:rPr>
                <w:rFonts w:ascii="Verdana" w:eastAsia="Times New Roman" w:hAnsi="Verdana" w:cs="Calibri"/>
                <w:lang w:val="es-ES"/>
              </w:rPr>
              <w:t>, pero si dicho término feneció, no resulta viable jurídicamente adelantarla de manera extemporánea, so pena de que aquellos actos se reputen ilegales por vía judicial.</w:t>
            </w:r>
          </w:p>
          <w:p w14:paraId="0BCDF5EA" w14:textId="77777777" w:rsidR="00680A66" w:rsidRDefault="00680A66" w:rsidP="00F31FB3">
            <w:pPr>
              <w:spacing w:line="276" w:lineRule="auto"/>
              <w:jc w:val="both"/>
              <w:rPr>
                <w:rFonts w:ascii="Verdana" w:eastAsia="Times New Roman" w:hAnsi="Verdana" w:cs="Calibri"/>
                <w:lang w:val="es-ES"/>
              </w:rPr>
            </w:pPr>
          </w:p>
          <w:p w14:paraId="775FDC1C" w14:textId="77777777" w:rsidR="00680A66" w:rsidRDefault="00680A66" w:rsidP="00F31FB3">
            <w:pPr>
              <w:spacing w:line="276" w:lineRule="auto"/>
              <w:jc w:val="both"/>
              <w:rPr>
                <w:rFonts w:ascii="Verdana" w:eastAsia="Times New Roman" w:hAnsi="Verdana" w:cs="Calibri"/>
                <w:lang w:val="es-ES"/>
              </w:rPr>
            </w:pPr>
            <w:r>
              <w:rPr>
                <w:rFonts w:ascii="Verdana" w:eastAsia="Times New Roman" w:hAnsi="Verdana" w:cs="Calibri"/>
                <w:lang w:val="es-ES"/>
              </w:rPr>
              <w:t xml:space="preserve">Sin embargo, vale la pena destacar que el deber que contempla el artículo </w:t>
            </w:r>
            <w:r w:rsidRPr="009B07D8">
              <w:rPr>
                <w:rFonts w:ascii="Verdana" w:eastAsia="Times New Roman" w:hAnsi="Verdana" w:cs="Calibri"/>
                <w:lang w:val="es-ES"/>
              </w:rPr>
              <w:t>2.2.1.1.2.4.3.</w:t>
            </w:r>
            <w:r>
              <w:rPr>
                <w:rFonts w:ascii="Arial" w:eastAsia="Calibri" w:hAnsi="Arial" w:cs="Arial"/>
                <w:bCs/>
              </w:rPr>
              <w:t xml:space="preserve"> </w:t>
            </w:r>
            <w:r w:rsidRPr="009B07D8">
              <w:rPr>
                <w:rFonts w:ascii="Verdana" w:eastAsia="Times New Roman" w:hAnsi="Verdana" w:cs="Calibri"/>
                <w:lang w:val="es-ES"/>
              </w:rPr>
              <w:t xml:space="preserve">del </w:t>
            </w:r>
            <w:r>
              <w:rPr>
                <w:rFonts w:ascii="Verdana" w:eastAsia="Times New Roman" w:hAnsi="Verdana" w:cs="Calibri"/>
                <w:lang w:val="es-ES"/>
              </w:rPr>
              <w:t xml:space="preserve">Decreto 1082 de 2015 de realizar el cierre del expediente del proceso de contratación, es una exigencia que opera, no solo cuando hubiese existido liquidación del contrato, sino que también se aplica para los procesos de contratación en los cuales no se efectuó la liquidación contractual, en cumplimiento de los principios y normas constitucionales consagrados en los artículos 2 y 209 de la Constitución Política de 1991, los artículos </w:t>
            </w:r>
            <w:r w:rsidRPr="003F7629">
              <w:rPr>
                <w:rFonts w:ascii="Verdana" w:eastAsia="Times New Roman" w:hAnsi="Verdana" w:cs="Calibri"/>
                <w:lang w:val="es-ES"/>
              </w:rPr>
              <w:t>23, 24, 25, 26, 27, 77 de la</w:t>
            </w:r>
            <w:r>
              <w:rPr>
                <w:rFonts w:ascii="Arial" w:eastAsia="Calibri" w:hAnsi="Arial" w:cs="Arial"/>
              </w:rPr>
              <w:t xml:space="preserve"> </w:t>
            </w:r>
            <w:r>
              <w:rPr>
                <w:rFonts w:ascii="Verdana" w:eastAsia="Times New Roman" w:hAnsi="Verdana" w:cs="Calibri"/>
                <w:lang w:val="es-ES"/>
              </w:rPr>
              <w:t xml:space="preserve"> Ley 80 de 1993 y aquellos estipulados en los artículos 2 y 3 del </w:t>
            </w:r>
            <w:r w:rsidRPr="00505004">
              <w:rPr>
                <w:rFonts w:ascii="Verdana" w:eastAsia="Times New Roman" w:hAnsi="Verdana" w:cs="Calibri"/>
                <w:lang w:val="es-ES"/>
              </w:rPr>
              <w:t>CPACA</w:t>
            </w:r>
            <w:r>
              <w:rPr>
                <w:rFonts w:ascii="Verdana" w:eastAsia="Times New Roman" w:hAnsi="Verdana" w:cs="Calibri"/>
                <w:lang w:val="es-ES"/>
              </w:rPr>
              <w:t xml:space="preserve">, y </w:t>
            </w:r>
            <w:r w:rsidRPr="00225D5B">
              <w:rPr>
                <w:rFonts w:ascii="Verdana" w:eastAsia="Times New Roman" w:hAnsi="Verdana" w:cs="Calibri"/>
                <w:lang w:val="es-ES"/>
              </w:rPr>
              <w:t>siempre que se hubiera configurado alguno de los supuestos del artículo 2.2.1.1.2.4.3.</w:t>
            </w:r>
            <w:r>
              <w:rPr>
                <w:rFonts w:ascii="Verdana" w:eastAsia="Times New Roman" w:hAnsi="Verdana" w:cs="Calibri"/>
                <w:lang w:val="es-ES"/>
              </w:rPr>
              <w:t xml:space="preserve">, </w:t>
            </w:r>
            <w:r w:rsidRPr="00225D5B">
              <w:rPr>
                <w:rFonts w:ascii="Verdana" w:eastAsia="Times New Roman" w:hAnsi="Verdana" w:cs="Calibri"/>
                <w:lang w:val="es-ES"/>
              </w:rPr>
              <w:t>esto es: i) cuando la administración establece condiciones de disposición final o recuperación ambiental de las obras o bienes; o ii) una vez vencidos los términos de las garantías de calidad, estabilidad y mantenimiento ─solo estas─.</w:t>
            </w:r>
          </w:p>
          <w:p w14:paraId="338C10AA" w14:textId="77777777" w:rsidR="00680A66" w:rsidRDefault="00680A66" w:rsidP="00F31FB3">
            <w:pPr>
              <w:spacing w:line="276" w:lineRule="auto"/>
              <w:jc w:val="both"/>
              <w:rPr>
                <w:rFonts w:ascii="Verdana" w:eastAsia="Arial MT" w:hAnsi="Verdana" w:cs="Arial"/>
                <w:lang w:eastAsia="es-ES" w:bidi="es-ES"/>
              </w:rPr>
            </w:pPr>
          </w:p>
          <w:p w14:paraId="1F681237" w14:textId="77777777" w:rsidR="00680A66" w:rsidRPr="001B2FD0" w:rsidRDefault="00680A66" w:rsidP="00F31FB3">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Por otro lado, se aclara que la liquidación contractual funge como el medio por el cual la entidad contratante procura un efecto declarativo en el que su contenido consigna la eventual extinción de las obligaciones contractuales establecidas en el texto contractual. No obstante, de conformidad con el artículo 1625 del Código Civil, la solución o el pago efectivo de las obligaciones contraídas son las que traen consigo el efecto principal de extinguirlas. En ese orden, la liquidación contractual es apenas la constancia y prueba de la </w:t>
            </w:r>
            <w:r>
              <w:rPr>
                <w:rFonts w:ascii="Verdana" w:eastAsia="Arial MT" w:hAnsi="Verdana" w:cs="Arial"/>
                <w:lang w:eastAsia="es-ES" w:bidi="es-ES"/>
              </w:rPr>
              <w:lastRenderedPageBreak/>
              <w:t xml:space="preserve">extinción del vinculo contractual y otorga certeza y seguridad jurídica de la situación resultante luego de finalizada la ejecución del contrato, pero será el cumplimiento del objeto contractual, por regla general, la manera de extinguir las obligaciones contraídas, que para el caso de aquellas obligaciones </w:t>
            </w:r>
            <w:r w:rsidRPr="00B775DD">
              <w:rPr>
                <w:rFonts w:ascii="Verdana" w:hAnsi="Verdana" w:cs="Arial"/>
                <w:lang w:eastAsia="es-MX"/>
              </w:rPr>
              <w:t xml:space="preserve">pendientes </w:t>
            </w:r>
            <w:r>
              <w:rPr>
                <w:rFonts w:ascii="Verdana" w:hAnsi="Verdana" w:cs="Arial"/>
                <w:lang w:eastAsia="es-MX"/>
              </w:rPr>
              <w:t xml:space="preserve">no consignadas en el acta de liquidación, adquieren un </w:t>
            </w:r>
            <w:r w:rsidRPr="00B775DD">
              <w:rPr>
                <w:rFonts w:ascii="Verdana" w:hAnsi="Verdana" w:cs="Arial"/>
                <w:lang w:eastAsia="es-MX"/>
              </w:rPr>
              <w:t>carácter natural, es decir, no son exigibles</w:t>
            </w:r>
            <w:r>
              <w:rPr>
                <w:rFonts w:ascii="Verdana" w:hAnsi="Verdana" w:cs="Arial"/>
                <w:lang w:eastAsia="es-MX"/>
              </w:rPr>
              <w:t>.</w:t>
            </w:r>
          </w:p>
        </w:tc>
      </w:tr>
    </w:tbl>
    <w:p w14:paraId="7D377E5E" w14:textId="77777777" w:rsidR="00680A66" w:rsidRPr="00BE151B" w:rsidRDefault="00680A66" w:rsidP="00680A66">
      <w:pPr>
        <w:spacing w:after="0" w:line="276" w:lineRule="auto"/>
        <w:contextualSpacing/>
        <w:jc w:val="both"/>
        <w:rPr>
          <w:rFonts w:ascii="Verdana" w:eastAsia="Times New Roman" w:hAnsi="Verdana" w:cs="Arial"/>
          <w:lang w:eastAsia="es-ES_tradnl"/>
        </w:rPr>
      </w:pPr>
    </w:p>
    <w:p w14:paraId="54F7C69F" w14:textId="77777777" w:rsidR="00680A66" w:rsidRPr="00BE151B" w:rsidRDefault="00680A66" w:rsidP="00680A6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408B9FF2" w14:textId="77777777" w:rsidR="00680A66" w:rsidRPr="00BE151B" w:rsidRDefault="00680A66" w:rsidP="00680A66">
      <w:pPr>
        <w:spacing w:after="0" w:line="276" w:lineRule="auto"/>
        <w:jc w:val="both"/>
        <w:rPr>
          <w:rFonts w:ascii="Verdana" w:eastAsia="Calibri" w:hAnsi="Verdana" w:cs="Arial"/>
          <w:color w:val="7030A0"/>
        </w:rPr>
      </w:pPr>
    </w:p>
    <w:p w14:paraId="4783ED1E" w14:textId="77777777" w:rsidR="00680A66" w:rsidRPr="00BE151B" w:rsidRDefault="00680A66" w:rsidP="00680A66">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2B2C6873" w14:textId="77777777" w:rsidR="00680A66" w:rsidRPr="00BE151B" w:rsidRDefault="00680A66" w:rsidP="00680A66">
      <w:pPr>
        <w:spacing w:after="0" w:line="276" w:lineRule="auto"/>
        <w:jc w:val="both"/>
        <w:rPr>
          <w:rFonts w:ascii="Verdana" w:eastAsia="Calibri" w:hAnsi="Verdana" w:cs="Arial"/>
        </w:rPr>
      </w:pPr>
    </w:p>
    <w:p w14:paraId="61AFC15E" w14:textId="77777777" w:rsidR="00680A66" w:rsidRDefault="00680A66" w:rsidP="00680A66">
      <w:pPr>
        <w:spacing w:after="0" w:line="276" w:lineRule="auto"/>
        <w:jc w:val="both"/>
        <w:rPr>
          <w:rFonts w:ascii="Verdana" w:hAnsi="Verdana" w:cs="Arial"/>
          <w:lang w:val="es-ES"/>
        </w:rPr>
      </w:pPr>
      <w:r w:rsidRPr="00463386">
        <w:rPr>
          <w:rFonts w:ascii="Verdana" w:hAnsi="Verdana" w:cs="Arial"/>
          <w:lang w:val="es-ES"/>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463386">
        <w:rPr>
          <w:rFonts w:ascii="Verdana" w:hAnsi="Verdana" w:cs="Arial"/>
          <w:i/>
          <w:iCs/>
          <w:lang w:val="es-ES"/>
        </w:rPr>
        <w:t>liquidar</w:t>
      </w:r>
      <w:r w:rsidRPr="00463386">
        <w:rPr>
          <w:rFonts w:ascii="Verdana" w:hAnsi="Verdana" w:cs="Arial"/>
          <w:lang w:val="es-ES"/>
        </w:rPr>
        <w:t xml:space="preserve"> supone un ajuste en relación con las cuentas y el estado de cumplimiento del contrato estatal y, por otro, que la </w:t>
      </w:r>
      <w:r w:rsidRPr="00463386">
        <w:rPr>
          <w:rFonts w:ascii="Verdana" w:hAnsi="Verdana" w:cs="Arial"/>
          <w:i/>
          <w:iCs/>
          <w:lang w:val="es-ES"/>
        </w:rPr>
        <w:t>liquidación</w:t>
      </w:r>
      <w:r w:rsidRPr="00463386">
        <w:rPr>
          <w:rFonts w:ascii="Verdana" w:hAnsi="Verdana" w:cs="Arial"/>
          <w:lang w:val="es-ES"/>
        </w:rPr>
        <w:t xml:space="preserve"> debe incluir el análisis de las condiciones de calidad y oportunidad en la entrega de los bienes, obras o servicios, así como el balance económico y el comportamiento financiero del negocio</w:t>
      </w:r>
      <w:r w:rsidRPr="00463386">
        <w:rPr>
          <w:rStyle w:val="Refdenotaalpie"/>
          <w:rFonts w:ascii="Verdana" w:hAnsi="Verdana" w:cs="Arial"/>
          <w:lang w:val="es-ES"/>
        </w:rPr>
        <w:footnoteReference w:id="1"/>
      </w:r>
      <w:r w:rsidRPr="00463386">
        <w:rPr>
          <w:rFonts w:ascii="Verdana" w:hAnsi="Verdana" w:cs="Arial"/>
          <w:lang w:val="es-ES"/>
        </w:rPr>
        <w:t>. En tal sentido, explica:</w:t>
      </w:r>
    </w:p>
    <w:p w14:paraId="2E9A18D4" w14:textId="77777777" w:rsidR="00680A66" w:rsidRPr="00463386" w:rsidRDefault="00680A66" w:rsidP="00680A66">
      <w:pPr>
        <w:spacing w:after="0" w:line="276" w:lineRule="auto"/>
        <w:jc w:val="both"/>
        <w:rPr>
          <w:rFonts w:ascii="Verdana" w:hAnsi="Verdana" w:cs="Arial"/>
          <w:lang w:val="es-ES_tradnl"/>
        </w:rPr>
      </w:pPr>
    </w:p>
    <w:p w14:paraId="68B74325" w14:textId="77777777" w:rsidR="00680A66" w:rsidRDefault="00680A66" w:rsidP="00680A66">
      <w:pPr>
        <w:spacing w:after="0"/>
        <w:ind w:left="709" w:right="709"/>
        <w:jc w:val="both"/>
        <w:rPr>
          <w:rFonts w:ascii="Verdana" w:hAnsi="Verdana" w:cs="Arial"/>
          <w:sz w:val="21"/>
          <w:szCs w:val="21"/>
          <w:lang w:val="es-ES_tradnl"/>
        </w:rPr>
      </w:pPr>
      <w:r w:rsidRPr="00463386">
        <w:rPr>
          <w:rFonts w:ascii="Verdana" w:hAnsi="Verdana" w:cs="Arial"/>
          <w:sz w:val="21"/>
          <w:szCs w:val="21"/>
          <w:lang w:val="es-ES_tradnl"/>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Pr="00463386">
        <w:rPr>
          <w:rStyle w:val="Refdenotaalpie"/>
          <w:rFonts w:ascii="Verdana" w:hAnsi="Verdana" w:cs="Arial"/>
          <w:sz w:val="21"/>
          <w:szCs w:val="21"/>
          <w:lang w:val="es-ES_tradnl"/>
        </w:rPr>
        <w:footnoteReference w:id="2"/>
      </w:r>
      <w:r w:rsidRPr="00463386">
        <w:rPr>
          <w:rFonts w:ascii="Verdana" w:hAnsi="Verdana" w:cs="Arial"/>
          <w:sz w:val="21"/>
          <w:szCs w:val="21"/>
          <w:lang w:val="es-ES_tradnl"/>
        </w:rPr>
        <w:t>.</w:t>
      </w:r>
    </w:p>
    <w:p w14:paraId="5997E33E" w14:textId="77777777" w:rsidR="00680A66" w:rsidRPr="00463386" w:rsidRDefault="00680A66" w:rsidP="00680A66">
      <w:pPr>
        <w:spacing w:after="0"/>
        <w:ind w:left="709" w:right="709"/>
        <w:jc w:val="both"/>
        <w:rPr>
          <w:rFonts w:ascii="Verdana" w:hAnsi="Verdana" w:cs="Arial"/>
          <w:lang w:val="es-ES_tradnl"/>
        </w:rPr>
      </w:pPr>
    </w:p>
    <w:p w14:paraId="32F5A494" w14:textId="77777777" w:rsidR="00680A66" w:rsidRPr="00463386" w:rsidRDefault="00680A66" w:rsidP="00680A66">
      <w:pPr>
        <w:pStyle w:val="Sinespaciado"/>
        <w:spacing w:after="120" w:line="276" w:lineRule="auto"/>
        <w:ind w:firstLine="708"/>
        <w:jc w:val="both"/>
        <w:rPr>
          <w:rFonts w:ascii="Verdana" w:hAnsi="Verdana" w:cs="Arial"/>
          <w:sz w:val="22"/>
          <w:lang w:val="es-ES_tradnl"/>
        </w:rPr>
      </w:pPr>
      <w:r w:rsidRPr="00463386">
        <w:rPr>
          <w:rFonts w:ascii="Verdana" w:hAnsi="Verdana" w:cs="Arial"/>
          <w:sz w:val="22"/>
          <w:lang w:val="es-ES_tradnl"/>
        </w:rPr>
        <w:lastRenderedPageBreak/>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w:t>
      </w:r>
      <w:r>
        <w:rPr>
          <w:rFonts w:ascii="Verdana" w:hAnsi="Verdana" w:cs="Arial"/>
          <w:sz w:val="22"/>
          <w:lang w:val="es-ES_tradnl"/>
        </w:rPr>
        <w:t>“</w:t>
      </w:r>
      <w:r w:rsidRPr="00463386">
        <w:rPr>
          <w:rFonts w:ascii="Verdana" w:hAnsi="Verdana" w:cs="Arial"/>
          <w:sz w:val="22"/>
          <w:lang w:val="es-ES_tradnl"/>
        </w:rPr>
        <w:t>serán objeto de liquidación</w:t>
      </w:r>
      <w:r>
        <w:rPr>
          <w:rFonts w:ascii="Verdana" w:hAnsi="Verdana" w:cs="Arial"/>
          <w:sz w:val="22"/>
          <w:lang w:val="es-ES_tradnl"/>
        </w:rPr>
        <w:t>”</w:t>
      </w:r>
      <w:r w:rsidRPr="00463386">
        <w:rPr>
          <w:rFonts w:ascii="Verdana" w:hAnsi="Verdana" w:cs="Arial"/>
          <w:sz w:val="22"/>
          <w:lang w:val="es-ES_tradnl"/>
        </w:rPr>
        <w:t>. El mismo artículo prescribe que no será obligatoria la liquidación en los contratos de prestación de servicios profesionales y de apoyo a la gestión. El artículo 11 de la Ley 1150 de 2007</w:t>
      </w:r>
      <w:r w:rsidRPr="00463386">
        <w:rPr>
          <w:rStyle w:val="Refdenotaalpie"/>
          <w:rFonts w:ascii="Verdana" w:hAnsi="Verdana" w:cs="Arial"/>
          <w:sz w:val="22"/>
          <w:lang w:val="es-ES_tradnl"/>
        </w:rPr>
        <w:footnoteReference w:id="3"/>
      </w:r>
      <w:r w:rsidRPr="00463386">
        <w:rPr>
          <w:rFonts w:ascii="Verdana" w:hAnsi="Verdana" w:cs="Arial"/>
          <w:sz w:val="22"/>
          <w:lang w:val="es-ES_tradnl"/>
        </w:rPr>
        <w:t xml:space="preserve"> contiene las reglas de tipo procedimental para liquidar los contratos estatales, que se pasan a explicar. </w:t>
      </w:r>
    </w:p>
    <w:p w14:paraId="14B7A08E" w14:textId="77777777" w:rsidR="00680A66" w:rsidRPr="00463386" w:rsidRDefault="00680A66" w:rsidP="00680A66">
      <w:pPr>
        <w:spacing w:after="120" w:line="276" w:lineRule="auto"/>
        <w:ind w:firstLine="709"/>
        <w:jc w:val="both"/>
        <w:rPr>
          <w:rFonts w:ascii="Verdana" w:hAnsi="Verdana" w:cs="Arial"/>
          <w:lang w:val="es-ES"/>
        </w:rPr>
      </w:pPr>
      <w:r w:rsidRPr="00463386">
        <w:rPr>
          <w:rFonts w:ascii="Verdana" w:hAnsi="Verdana" w:cs="Arial"/>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de mutuo acuerdo se deberá realizar dentro del plazo previsto en </w:t>
      </w:r>
      <w:r>
        <w:rPr>
          <w:rFonts w:ascii="Verdana" w:hAnsi="Verdana" w:cs="Arial"/>
          <w:lang w:val="es-ES"/>
        </w:rPr>
        <w:t>“</w:t>
      </w:r>
      <w:r w:rsidRPr="00463386">
        <w:rPr>
          <w:rFonts w:ascii="Verdana" w:hAnsi="Verdana" w:cs="Arial"/>
          <w:lang w:val="es-ES"/>
        </w:rPr>
        <w:t>los pliegos de condiciones o sus equivalentes, o dentro del que acuerden las partes para el efecto</w:t>
      </w:r>
      <w:r>
        <w:rPr>
          <w:rFonts w:ascii="Verdana" w:hAnsi="Verdana" w:cs="Arial"/>
          <w:lang w:val="es-ES"/>
        </w:rPr>
        <w:t>”</w:t>
      </w:r>
      <w:r w:rsidRPr="00463386">
        <w:rPr>
          <w:rFonts w:ascii="Verdana" w:hAnsi="Verdana" w:cs="Arial"/>
          <w:lang w:val="es-ES"/>
        </w:rPr>
        <w:t xml:space="preserve">. De otro lado, cuando el artículo 11 de la Ley 1150 de 2007 hace referencia al término que </w:t>
      </w:r>
      <w:r>
        <w:rPr>
          <w:rFonts w:ascii="Verdana" w:hAnsi="Verdana" w:cs="Arial"/>
          <w:lang w:val="es-ES"/>
        </w:rPr>
        <w:t>“</w:t>
      </w:r>
      <w:r w:rsidRPr="00463386">
        <w:rPr>
          <w:rFonts w:ascii="Verdana" w:hAnsi="Verdana" w:cs="Arial"/>
          <w:lang w:val="es-ES"/>
        </w:rPr>
        <w:t>acuerden las partes</w:t>
      </w:r>
      <w:r>
        <w:rPr>
          <w:rFonts w:ascii="Verdana" w:hAnsi="Verdana" w:cs="Arial"/>
          <w:lang w:val="es-ES"/>
        </w:rPr>
        <w:t>”</w:t>
      </w:r>
      <w:r w:rsidRPr="00463386">
        <w:rPr>
          <w:rFonts w:ascii="Verdana" w:hAnsi="Verdana" w:cs="Arial"/>
          <w:lang w:val="es-ES"/>
        </w:rPr>
        <w:t xml:space="preserve">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63971271" w14:textId="77777777" w:rsidR="00680A66" w:rsidRPr="00463386" w:rsidRDefault="00680A66" w:rsidP="00680A66">
      <w:pPr>
        <w:spacing w:after="120" w:line="276" w:lineRule="auto"/>
        <w:ind w:firstLine="709"/>
        <w:jc w:val="both"/>
        <w:rPr>
          <w:rFonts w:ascii="Verdana" w:hAnsi="Verdana" w:cs="Arial"/>
          <w:lang w:val="es-ES"/>
        </w:rPr>
      </w:pPr>
      <w:r w:rsidRPr="00463386">
        <w:rPr>
          <w:rFonts w:ascii="Verdana" w:hAnsi="Verdana" w:cs="Arial"/>
          <w:lang w:val="es-ES"/>
        </w:rPr>
        <w:t xml:space="preserve">En segundo lugar, en ausencia de pacto, el artículo 11 de la Ley 1150 de 2007 dispone un término supletivo de cuatro (4) meses contados desde: i) el vencimiento del plazo previsto para la ejecución del contrato, ii) la expedición del acto administrativo que ordene la terminación del contrato o iii) la fecha del </w:t>
      </w:r>
      <w:r w:rsidRPr="00463386">
        <w:rPr>
          <w:rFonts w:ascii="Verdana" w:hAnsi="Verdana" w:cs="Arial"/>
          <w:lang w:val="es-ES"/>
        </w:rPr>
        <w:lastRenderedPageBreak/>
        <w:t>acuerdo que disponga la terminación del contrato.  Ahora bien, el término de cuatro (4) meses previsto en el artículo 11 de la Ley 1150 de 2007, dado su carácter supletivo, solo resulta aplicable ante la ausencia de regulación del mismo en el pliego de condiciones –documento equivalente– y ante la falta de acuerdo entre las partes en torno al plazo de liquidación bilateral. Durante este término el contratista puede solicitar que se adelante el trámite de liquidación. Sin embargo, es responsabilidad de la entidad estatal convocarlo para adelantar la liquidación de común acuerdo o notificarlo para que se presente a la liquidación</w:t>
      </w:r>
      <w:r w:rsidRPr="00463386">
        <w:rPr>
          <w:rStyle w:val="Refdenotaalpie"/>
          <w:rFonts w:ascii="Verdana" w:hAnsi="Verdana" w:cs="Arial"/>
          <w:lang w:val="es-ES"/>
        </w:rPr>
        <w:footnoteReference w:id="4"/>
      </w:r>
      <w:r w:rsidRPr="00463386">
        <w:rPr>
          <w:rFonts w:ascii="Verdana" w:hAnsi="Verdana" w:cs="Arial"/>
          <w:lang w:val="es-ES"/>
        </w:rPr>
        <w:t>, de manera que el contrato pueda ser liquidado bilateralmente, bien sea en el plazo previsto en el pliego de condiciones, el acordado por las partes, o en los cuatro meses señalados en la Ley, según corresponda. Esta liquidación bilateral puede ser total o parcial</w:t>
      </w:r>
      <w:r w:rsidRPr="00463386">
        <w:rPr>
          <w:rStyle w:val="Refdenotaalpie"/>
          <w:rFonts w:ascii="Verdana" w:hAnsi="Verdana" w:cs="Arial"/>
          <w:lang w:val="es-ES"/>
        </w:rPr>
        <w:footnoteReference w:id="5"/>
      </w:r>
      <w:r w:rsidRPr="00463386">
        <w:rPr>
          <w:rFonts w:ascii="Verdana" w:hAnsi="Verdana" w:cs="Arial"/>
          <w:lang w:val="es-ES"/>
        </w:rPr>
        <w:t>. Si no es posible efectuar la liquidación de manera bilateral en los términos anteriormente explicados, el ordenamiento jurídico prevé una habilitación competencial, de carácter subsidiario, para que la entidad estatal realice la liquidación unilateralmente. Sobre el punto, el Consejo de Estado ha señalado:</w:t>
      </w:r>
    </w:p>
    <w:p w14:paraId="35AB755C" w14:textId="77777777" w:rsidR="00680A66" w:rsidRPr="00463386" w:rsidRDefault="00680A66" w:rsidP="00680A66">
      <w:pPr>
        <w:pStyle w:val="Sinespaciado"/>
        <w:spacing w:line="276" w:lineRule="auto"/>
        <w:ind w:left="709" w:right="760"/>
        <w:jc w:val="both"/>
        <w:rPr>
          <w:rFonts w:ascii="Verdana" w:hAnsi="Verdana" w:cs="Arial"/>
          <w:sz w:val="22"/>
          <w:lang w:val="es-ES_tradnl"/>
        </w:rPr>
      </w:pPr>
    </w:p>
    <w:p w14:paraId="0DC20B03" w14:textId="77777777" w:rsidR="00680A66" w:rsidRPr="00463386" w:rsidRDefault="00680A66" w:rsidP="00680A66">
      <w:pPr>
        <w:pStyle w:val="Sinespaciado"/>
        <w:ind w:left="709" w:right="760"/>
        <w:jc w:val="both"/>
        <w:rPr>
          <w:rFonts w:ascii="Verdana" w:hAnsi="Verdana" w:cs="Arial"/>
          <w:sz w:val="21"/>
          <w:szCs w:val="21"/>
          <w:lang w:val="es-ES_tradnl"/>
        </w:rPr>
      </w:pPr>
      <w:r w:rsidRPr="00463386">
        <w:rPr>
          <w:rFonts w:ascii="Verdana" w:hAnsi="Verdana" w:cs="Arial"/>
          <w:sz w:val="21"/>
          <w:szCs w:val="21"/>
          <w:lang w:val="es-ES_tradnl"/>
        </w:rPr>
        <w:t>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463386">
        <w:rPr>
          <w:rStyle w:val="Refdenotaalpie"/>
          <w:rFonts w:ascii="Verdana" w:hAnsi="Verdana" w:cs="Arial"/>
          <w:sz w:val="21"/>
          <w:szCs w:val="21"/>
          <w:lang w:val="es-ES_tradnl"/>
        </w:rPr>
        <w:footnoteReference w:id="6"/>
      </w:r>
      <w:r w:rsidRPr="00463386">
        <w:rPr>
          <w:rFonts w:ascii="Verdana" w:hAnsi="Verdana" w:cs="Arial"/>
          <w:sz w:val="21"/>
          <w:szCs w:val="21"/>
          <w:lang w:val="es-ES_tradnl"/>
        </w:rPr>
        <w:t xml:space="preserve">. </w:t>
      </w:r>
    </w:p>
    <w:p w14:paraId="682D3B98" w14:textId="77777777" w:rsidR="00680A66" w:rsidRPr="00463386" w:rsidRDefault="00680A66" w:rsidP="00680A66">
      <w:pPr>
        <w:pStyle w:val="Sinespaciado"/>
        <w:spacing w:line="276" w:lineRule="auto"/>
        <w:ind w:left="709" w:right="760"/>
        <w:jc w:val="both"/>
        <w:rPr>
          <w:rFonts w:ascii="Verdana" w:hAnsi="Verdana" w:cs="Arial"/>
          <w:sz w:val="22"/>
          <w:lang w:val="es-ES_tradnl"/>
        </w:rPr>
      </w:pPr>
    </w:p>
    <w:p w14:paraId="2A541754" w14:textId="77777777" w:rsidR="00680A66" w:rsidRPr="00463386" w:rsidRDefault="00680A66" w:rsidP="00680A66">
      <w:pPr>
        <w:pStyle w:val="Sinespaciado"/>
        <w:spacing w:line="276" w:lineRule="auto"/>
        <w:ind w:firstLine="709"/>
        <w:jc w:val="both"/>
        <w:rPr>
          <w:rFonts w:ascii="Verdana" w:hAnsi="Verdana" w:cs="Arial"/>
          <w:sz w:val="22"/>
          <w:lang w:val="es-ES"/>
        </w:rPr>
      </w:pPr>
      <w:r w:rsidRPr="00463386">
        <w:rPr>
          <w:rFonts w:ascii="Verdana" w:hAnsi="Verdana" w:cs="Arial"/>
          <w:sz w:val="22"/>
          <w:lang w:val="es-ES"/>
        </w:rPr>
        <w:t xml:space="preserve">Por lo tanto, si no se logra la liquidación bilateral del contrato en el término convencional o subsidiario, la entidad estatal tiene la facultad de liquidarlo unilateralmente durante el término de dos (2) meses contados a partir del </w:t>
      </w:r>
      <w:r w:rsidRPr="00463386">
        <w:rPr>
          <w:rFonts w:ascii="Verdana" w:hAnsi="Verdana" w:cs="Arial"/>
          <w:sz w:val="22"/>
          <w:lang w:val="es-ES"/>
        </w:rPr>
        <w:lastRenderedPageBreak/>
        <w:t>vencimiento del plazo que acuerden las partes para liquidar bilateralmente, o ante el silencio de estas, del vencimiento de los cuatro (4) meses establecidos por la ley</w:t>
      </w:r>
      <w:r w:rsidRPr="00463386">
        <w:rPr>
          <w:rStyle w:val="Refdenotaalpie"/>
          <w:rFonts w:ascii="Verdana" w:hAnsi="Verdana" w:cs="Arial"/>
          <w:sz w:val="22"/>
          <w:lang w:val="es-ES"/>
        </w:rPr>
        <w:footnoteReference w:id="7"/>
      </w:r>
      <w:r w:rsidRPr="00463386">
        <w:rPr>
          <w:rFonts w:ascii="Verdana" w:hAnsi="Verdana" w:cs="Arial"/>
          <w:sz w:val="22"/>
          <w:lang w:val="es-ES"/>
        </w:rPr>
        <w:t xml:space="preserve">.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770FB493" w14:textId="77777777" w:rsidR="00680A66" w:rsidRPr="00463386" w:rsidRDefault="00680A66" w:rsidP="00680A66">
      <w:pPr>
        <w:pStyle w:val="Sinespaciado"/>
        <w:spacing w:line="276" w:lineRule="auto"/>
        <w:ind w:left="709" w:right="760"/>
        <w:jc w:val="both"/>
        <w:rPr>
          <w:rFonts w:ascii="Verdana" w:hAnsi="Verdana" w:cs="Arial"/>
          <w:sz w:val="22"/>
          <w:lang w:val="es-ES_tradnl"/>
        </w:rPr>
      </w:pPr>
    </w:p>
    <w:p w14:paraId="308F5B0C" w14:textId="77777777" w:rsidR="00680A66" w:rsidRPr="00463386" w:rsidRDefault="00680A66" w:rsidP="00680A66">
      <w:pPr>
        <w:pStyle w:val="Sinespaciado"/>
        <w:ind w:left="709" w:right="709"/>
        <w:jc w:val="both"/>
        <w:rPr>
          <w:rFonts w:ascii="Verdana" w:hAnsi="Verdana" w:cs="Arial"/>
          <w:sz w:val="21"/>
          <w:szCs w:val="21"/>
          <w:lang w:val="es-ES"/>
        </w:rPr>
      </w:pPr>
      <w:r w:rsidRPr="00463386">
        <w:rPr>
          <w:rFonts w:ascii="Verdana" w:hAnsi="Verdana" w:cs="Arial"/>
          <w:sz w:val="21"/>
          <w:szCs w:val="21"/>
          <w:lang w:val="es-ES"/>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ese es el lapso que el ordenamiento ha fijado para el ejercicio oportuno de la acción</w:t>
      </w:r>
      <w:r w:rsidRPr="00463386">
        <w:rPr>
          <w:rStyle w:val="Refdenotaalpie"/>
          <w:rFonts w:ascii="Verdana" w:hAnsi="Verdana" w:cs="Arial"/>
          <w:sz w:val="21"/>
          <w:szCs w:val="21"/>
          <w:lang w:val="es-ES"/>
        </w:rPr>
        <w:footnoteReference w:id="8"/>
      </w:r>
      <w:r w:rsidRPr="00463386">
        <w:rPr>
          <w:rFonts w:ascii="Verdana" w:hAnsi="Verdana" w:cs="Arial"/>
          <w:sz w:val="21"/>
          <w:szCs w:val="21"/>
          <w:lang w:val="es-ES"/>
        </w:rPr>
        <w:t>.</w:t>
      </w:r>
    </w:p>
    <w:p w14:paraId="06A4A7B7" w14:textId="77777777" w:rsidR="00680A66" w:rsidRPr="00463386" w:rsidRDefault="00680A66" w:rsidP="00680A66">
      <w:pPr>
        <w:pStyle w:val="Sinespaciado"/>
        <w:spacing w:line="276" w:lineRule="auto"/>
        <w:ind w:left="709" w:right="760"/>
        <w:jc w:val="both"/>
        <w:rPr>
          <w:rFonts w:ascii="Verdana" w:hAnsi="Verdana" w:cs="Arial"/>
          <w:sz w:val="22"/>
          <w:lang w:val="es-ES_tradnl"/>
        </w:rPr>
      </w:pPr>
    </w:p>
    <w:p w14:paraId="75C2CE7A" w14:textId="77777777" w:rsidR="00680A66" w:rsidRDefault="00680A66" w:rsidP="00680A66">
      <w:pPr>
        <w:spacing w:after="120" w:line="276" w:lineRule="auto"/>
        <w:jc w:val="both"/>
        <w:rPr>
          <w:rFonts w:ascii="Verdana" w:hAnsi="Verdana" w:cs="Arial"/>
          <w:lang w:val="es-ES_tradnl"/>
        </w:rPr>
      </w:pPr>
      <w:r w:rsidRPr="00463386">
        <w:rPr>
          <w:rFonts w:ascii="Verdana" w:hAnsi="Verdana" w:cs="Arial"/>
          <w:lang w:val="es-ES_tradnl"/>
        </w:rPr>
        <w:tab/>
        <w:t>Así las cosas,</w:t>
      </w:r>
      <w:r>
        <w:rPr>
          <w:rFonts w:ascii="Verdana" w:hAnsi="Verdana" w:cs="Arial"/>
          <w:lang w:val="es-ES_tradnl"/>
        </w:rPr>
        <w:t xml:space="preserve"> </w:t>
      </w:r>
      <w:r w:rsidRPr="00463386">
        <w:rPr>
          <w:rFonts w:ascii="Verdana" w:hAnsi="Verdana" w:cs="Arial"/>
          <w:lang w:val="es-ES_tradnl"/>
        </w:rPr>
        <w:t xml:space="preserve">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w:t>
      </w:r>
      <w:r>
        <w:rPr>
          <w:rFonts w:ascii="Verdana" w:hAnsi="Verdana" w:cs="Arial"/>
          <w:lang w:val="es-ES_tradnl"/>
        </w:rPr>
        <w:t>“</w:t>
      </w:r>
      <w:r w:rsidRPr="00463386">
        <w:rPr>
          <w:rFonts w:ascii="Verdana" w:hAnsi="Verdana" w:cs="Arial"/>
          <w:lang w:val="es-ES_tradnl"/>
        </w:rPr>
        <w:t>a partir del vencimiento del término legalmente conocido para la liquidación unilateral, pues este es el lapso que el ordenamiento ha fijado para el ejercicio oportuno de la acción</w:t>
      </w:r>
      <w:r>
        <w:rPr>
          <w:rFonts w:ascii="Verdana" w:hAnsi="Verdana" w:cs="Arial"/>
          <w:lang w:val="es-ES_tradnl"/>
        </w:rPr>
        <w:t>”</w:t>
      </w:r>
      <w:r w:rsidRPr="00463386">
        <w:rPr>
          <w:rStyle w:val="Refdenotaalpie"/>
          <w:rFonts w:ascii="Verdana" w:hAnsi="Verdana" w:cs="Arial"/>
          <w:lang w:val="es-ES_tradnl"/>
        </w:rPr>
        <w:footnoteReference w:id="9"/>
      </w:r>
      <w:r w:rsidRPr="00463386">
        <w:rPr>
          <w:rFonts w:ascii="Verdana" w:hAnsi="Verdana" w:cs="Arial"/>
          <w:lang w:val="es-ES_tradnl"/>
        </w:rPr>
        <w:t>.</w:t>
      </w:r>
    </w:p>
    <w:p w14:paraId="4D780499" w14:textId="77777777" w:rsidR="00680A66" w:rsidRPr="00463386" w:rsidRDefault="00680A66" w:rsidP="00680A66">
      <w:pPr>
        <w:spacing w:after="120" w:line="276" w:lineRule="auto"/>
        <w:ind w:firstLine="708"/>
        <w:jc w:val="both"/>
        <w:rPr>
          <w:rFonts w:ascii="Verdana" w:hAnsi="Verdana" w:cs="Arial"/>
          <w:lang w:val="es-ES_tradnl"/>
        </w:rPr>
      </w:pPr>
      <w:r w:rsidRPr="00CB3380">
        <w:rPr>
          <w:rFonts w:ascii="Verdana" w:hAnsi="Verdana" w:cs="Arial"/>
          <w:color w:val="000000"/>
          <w:lang w:val="es-ES"/>
        </w:rPr>
        <w:t xml:space="preserve">En ese orden de ideas, si se trata de un contrato en el cual no existe pacto sobre el término para la liquidación bilateral, el término supletivo aplicaría, y se podría liquidar el contrato dentro de los 4 meses siguientes a su terminación de manera bilateral, dentro de los 2 meses siguientes a ellos de manera unilateral por la entidad, más un plazo de 2 años para la liquidación unilateral, bilateral o judicial: para un total de 2 años y 6 meses.  Estos términos pueden verse </w:t>
      </w:r>
      <w:r w:rsidRPr="00CB3380">
        <w:rPr>
          <w:rFonts w:ascii="Verdana" w:hAnsi="Verdana" w:cs="Arial"/>
          <w:color w:val="000000"/>
          <w:lang w:val="es-ES"/>
        </w:rPr>
        <w:lastRenderedPageBreak/>
        <w:t xml:space="preserve">modificados si las partes acuerdan un plazo mayor o menor para realizar la liquidación de mutuo acuerdo, con lo cual dejaría de estar incluido el término supletivo de la Ley 1150 de 2007. </w:t>
      </w:r>
      <w:r w:rsidRPr="00463386">
        <w:rPr>
          <w:rFonts w:ascii="Verdana" w:hAnsi="Verdana" w:cs="Arial"/>
          <w:lang w:val="es-ES_tradnl"/>
        </w:rPr>
        <w:t xml:space="preserve"> </w:t>
      </w:r>
    </w:p>
    <w:p w14:paraId="1055392D" w14:textId="77777777" w:rsidR="00680A66" w:rsidRDefault="00680A66" w:rsidP="00680A66">
      <w:pPr>
        <w:spacing w:line="276" w:lineRule="auto"/>
        <w:ind w:firstLine="709"/>
        <w:jc w:val="both"/>
        <w:rPr>
          <w:rFonts w:ascii="Verdana" w:hAnsi="Verdana" w:cs="Arial"/>
          <w:lang w:val="es-ES"/>
        </w:rPr>
      </w:pPr>
      <w:r w:rsidRPr="00463386">
        <w:rPr>
          <w:rFonts w:ascii="Verdana" w:hAnsi="Verdana" w:cs="Arial"/>
          <w:lang w:val="es-ES"/>
        </w:rPr>
        <w:t>En suma, de 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307F33CA" w14:textId="77777777" w:rsidR="00680A66" w:rsidRDefault="00680A66" w:rsidP="00680A66">
      <w:pPr>
        <w:spacing w:line="276" w:lineRule="auto"/>
        <w:ind w:firstLine="709"/>
        <w:jc w:val="both"/>
        <w:rPr>
          <w:rFonts w:ascii="Verdana" w:hAnsi="Verdana" w:cs="Arial"/>
          <w:lang w:val="es-ES_tradnl"/>
        </w:rPr>
      </w:pPr>
      <w:r>
        <w:rPr>
          <w:rFonts w:ascii="Verdana" w:eastAsia="Times New Roman" w:hAnsi="Verdana" w:cs="Calibri"/>
          <w:lang w:val="es-ES"/>
        </w:rPr>
        <w:t xml:space="preserve">Ahora bien, en atención a que en su interrogante hace referencia al convenio interadministrativo, de acuerdo con </w:t>
      </w:r>
      <w:r w:rsidRPr="00463386">
        <w:rPr>
          <w:rFonts w:ascii="Verdana" w:hAnsi="Verdana" w:cs="Arial"/>
          <w:lang w:val="es-ES_tradnl"/>
        </w:rPr>
        <w:t>el artículo 60 de la Ley 80 de 1993</w:t>
      </w:r>
      <w:r>
        <w:rPr>
          <w:rFonts w:ascii="Verdana" w:hAnsi="Verdana" w:cs="Arial"/>
          <w:lang w:val="es-ES_tradnl"/>
        </w:rPr>
        <w:t xml:space="preserve"> </w:t>
      </w:r>
      <w:r w:rsidRPr="00463386">
        <w:rPr>
          <w:rFonts w:ascii="Verdana" w:hAnsi="Verdana" w:cs="Arial"/>
          <w:lang w:val="es-ES_tradnl"/>
        </w:rPr>
        <w:t>y el artículo 11 de la Ley 1150 de 2007</w:t>
      </w:r>
      <w:r>
        <w:rPr>
          <w:rFonts w:ascii="Verdana" w:hAnsi="Verdana" w:cs="Arial"/>
          <w:lang w:val="es-ES_tradnl"/>
        </w:rPr>
        <w:t>, se itera que la liquidación es obligatoria en:</w:t>
      </w:r>
    </w:p>
    <w:p w14:paraId="1AF287F4" w14:textId="77777777" w:rsidR="00680A66" w:rsidRPr="00EC038F" w:rsidRDefault="00680A66" w:rsidP="00680A66">
      <w:pPr>
        <w:numPr>
          <w:ilvl w:val="0"/>
          <w:numId w:val="2"/>
        </w:numPr>
        <w:tabs>
          <w:tab w:val="left" w:pos="0"/>
        </w:tabs>
        <w:spacing w:line="276" w:lineRule="auto"/>
        <w:jc w:val="both"/>
        <w:rPr>
          <w:rFonts w:ascii="Verdana" w:eastAsia="Calibri" w:hAnsi="Verdana" w:cs="Arial"/>
        </w:rPr>
      </w:pPr>
      <w:r w:rsidRPr="00EC038F">
        <w:rPr>
          <w:rFonts w:ascii="Verdana" w:eastAsia="Calibri" w:hAnsi="Verdana" w:cs="Arial"/>
        </w:rPr>
        <w:t>Los contratos de tracto sucesivo, esto es, aquellos cuyas obligaciones se ejecutan de manera periódica o difieren en el tiempo o sucesivamente a medida que se van causando;</w:t>
      </w:r>
    </w:p>
    <w:p w14:paraId="65565EA0" w14:textId="77777777" w:rsidR="00680A66" w:rsidRPr="00EC038F" w:rsidRDefault="00680A66" w:rsidP="00680A66">
      <w:pPr>
        <w:numPr>
          <w:ilvl w:val="0"/>
          <w:numId w:val="2"/>
        </w:numPr>
        <w:tabs>
          <w:tab w:val="left" w:pos="0"/>
        </w:tabs>
        <w:spacing w:line="276" w:lineRule="auto"/>
        <w:jc w:val="both"/>
        <w:rPr>
          <w:rFonts w:ascii="Verdana" w:eastAsia="Calibri" w:hAnsi="Verdana" w:cs="Arial"/>
        </w:rPr>
      </w:pPr>
      <w:r w:rsidRPr="00EC038F">
        <w:rPr>
          <w:rFonts w:ascii="Verdana" w:eastAsia="Calibri" w:hAnsi="Verdana" w:cs="Arial"/>
        </w:rPr>
        <w:t>Aquellos cuya ejecución o cumplimiento se prolongue en el tiempo (sea por la naturaleza periódica de las prestaciones o por las vicisitudes que se presenten en su ejecución que lo dilaten o prorroguen) y</w:t>
      </w:r>
    </w:p>
    <w:p w14:paraId="3D7908CD" w14:textId="77777777" w:rsidR="00680A66" w:rsidRPr="00F37468" w:rsidRDefault="00680A66" w:rsidP="00680A66">
      <w:pPr>
        <w:numPr>
          <w:ilvl w:val="0"/>
          <w:numId w:val="2"/>
        </w:numPr>
        <w:tabs>
          <w:tab w:val="left" w:pos="0"/>
        </w:tabs>
        <w:spacing w:after="0" w:line="276" w:lineRule="auto"/>
        <w:jc w:val="both"/>
        <w:rPr>
          <w:rFonts w:ascii="Verdana" w:eastAsia="Times New Roman" w:hAnsi="Verdana" w:cs="Calibri"/>
          <w:lang w:val="es-ES"/>
        </w:rPr>
      </w:pPr>
      <w:r w:rsidRPr="00F37468">
        <w:rPr>
          <w:rFonts w:ascii="Verdana" w:eastAsia="Calibri" w:hAnsi="Verdana" w:cs="Arial"/>
        </w:rPr>
        <w:t>Los demás que lo requieran, con fundamento a su naturaleza, objeto y plazo, así como a su importancia o relevancia o por la eventualidad de discrepancias y controversias en torno a su ejecución.</w:t>
      </w:r>
      <w:r w:rsidRPr="00F37468">
        <w:rPr>
          <w:rStyle w:val="Refdenotaalpie"/>
          <w:rFonts w:ascii="Verdana" w:eastAsia="Calibri" w:hAnsi="Verdana"/>
        </w:rPr>
        <w:footnoteReference w:id="10"/>
      </w:r>
    </w:p>
    <w:p w14:paraId="675370CB" w14:textId="77777777" w:rsidR="00680A66" w:rsidRPr="00F37468" w:rsidRDefault="00680A66" w:rsidP="00680A66">
      <w:pPr>
        <w:tabs>
          <w:tab w:val="left" w:pos="0"/>
        </w:tabs>
        <w:spacing w:after="0" w:line="240" w:lineRule="auto"/>
        <w:ind w:left="720"/>
        <w:jc w:val="both"/>
        <w:rPr>
          <w:rFonts w:ascii="Verdana" w:eastAsia="Times New Roman" w:hAnsi="Verdana" w:cs="Calibri"/>
          <w:lang w:val="es-ES"/>
        </w:rPr>
      </w:pPr>
    </w:p>
    <w:p w14:paraId="071B112A" w14:textId="77777777" w:rsidR="00680A66" w:rsidRDefault="00680A66" w:rsidP="00680A66">
      <w:pPr>
        <w:spacing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 manera que, si un contrato o convenio interadministrativo se encuadra en alguna de las características enlistadas; es decir, contempla obligaciones de tracto sucesivo, su ejecución se prolongue en el tiempo o su objeto o naturaleza </w:t>
      </w:r>
      <w:r>
        <w:rPr>
          <w:rFonts w:ascii="Verdana" w:eastAsia="Calibri" w:hAnsi="Verdana" w:cs="Arial"/>
          <w:color w:val="000000" w:themeColor="text1"/>
          <w:lang w:val="es-ES"/>
        </w:rPr>
        <w:lastRenderedPageBreak/>
        <w:t xml:space="preserve">tiene un alcance conmutativo que pueda generar controversias futuras </w:t>
      </w:r>
      <w:r w:rsidRPr="00122AF2">
        <w:rPr>
          <w:rFonts w:ascii="Verdana" w:eastAsia="Calibri" w:hAnsi="Verdana" w:cs="Arial"/>
          <w:color w:val="000000" w:themeColor="text1"/>
          <w:lang w:val="es-ES"/>
        </w:rPr>
        <w:t>–como sucede con los celebrados al amparo del artículo 2, numeral 4, literal c), de la Ley 1150 de 2007–</w:t>
      </w:r>
      <w:r>
        <w:rPr>
          <w:rFonts w:ascii="Verdana" w:eastAsia="Calibri" w:hAnsi="Verdana" w:cs="Arial"/>
          <w:color w:val="000000" w:themeColor="text1"/>
          <w:lang w:val="es-ES"/>
        </w:rPr>
        <w:t xml:space="preserve">, deberán cumplir con el procedimiento de liquidación contractual en los términos del EGCAP. </w:t>
      </w:r>
    </w:p>
    <w:p w14:paraId="346E1D93" w14:textId="77777777" w:rsidR="00680A66" w:rsidRDefault="00680A66" w:rsidP="00680A66">
      <w:pPr>
        <w:spacing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Quizás la única excepción a las reglas aplicables a la liquidación de los contratos estatales es la concerniente a la liquidación unilateral, la cual fue estudiada por el Concepto C-168 del 19 de abril de 2021 donde esta Agencia expresó que, para aquellos convenios interadministrativos que emanen en forma de convenios de asociación </w:t>
      </w:r>
      <w:r w:rsidRPr="00950584">
        <w:rPr>
          <w:rFonts w:ascii="Verdana" w:eastAsia="Calibri" w:hAnsi="Verdana" w:cs="Arial"/>
          <w:i/>
          <w:iCs/>
          <w:color w:val="000000" w:themeColor="text1"/>
          <w:lang w:val="es-ES"/>
        </w:rPr>
        <w:t>entre</w:t>
      </w:r>
      <w:r>
        <w:rPr>
          <w:rFonts w:ascii="Verdana" w:eastAsia="Calibri" w:hAnsi="Verdana" w:cs="Arial"/>
          <w:color w:val="000000" w:themeColor="text1"/>
          <w:lang w:val="es-ES"/>
        </w:rPr>
        <w:t xml:space="preserve"> </w:t>
      </w:r>
      <w:r w:rsidRPr="00035856">
        <w:rPr>
          <w:rFonts w:ascii="Verdana" w:eastAsia="Calibri" w:hAnsi="Verdana" w:cs="Arial"/>
          <w:i/>
          <w:iCs/>
          <w:color w:val="000000" w:themeColor="text1"/>
          <w:lang w:val="es-ES"/>
        </w:rPr>
        <w:t>entidades públicas</w:t>
      </w:r>
      <w:r>
        <w:rPr>
          <w:rFonts w:ascii="Verdana" w:eastAsia="Calibri" w:hAnsi="Verdana" w:cs="Arial"/>
          <w:color w:val="000000" w:themeColor="text1"/>
          <w:lang w:val="es-ES"/>
        </w:rPr>
        <w:t xml:space="preserve">, la liquidación unilateral no resulta procedente </w:t>
      </w:r>
      <w:r w:rsidRPr="00166F22">
        <w:rPr>
          <w:rFonts w:ascii="Verdana" w:eastAsia="Calibri" w:hAnsi="Verdana" w:cs="Arial"/>
          <w:color w:val="000000" w:themeColor="text1"/>
          <w:lang w:val="es-ES"/>
        </w:rPr>
        <w:t xml:space="preserve">–pues en aquellos convenios las entidades estatales tienen una </w:t>
      </w:r>
      <w:r>
        <w:rPr>
          <w:rFonts w:ascii="Verdana" w:eastAsia="Calibri" w:hAnsi="Verdana" w:cs="Arial"/>
          <w:color w:val="000000" w:themeColor="text1"/>
          <w:lang w:val="es-ES"/>
        </w:rPr>
        <w:t>“</w:t>
      </w:r>
      <w:r w:rsidRPr="00166F22">
        <w:rPr>
          <w:rFonts w:ascii="Verdana" w:eastAsia="Calibri" w:hAnsi="Verdana" w:cs="Arial"/>
          <w:color w:val="000000" w:themeColor="text1"/>
          <w:lang w:val="es-ES"/>
        </w:rPr>
        <w:t>finalidad asociativa</w:t>
      </w:r>
      <w:r>
        <w:rPr>
          <w:rFonts w:ascii="Verdana" w:eastAsia="Calibri" w:hAnsi="Verdana" w:cs="Arial"/>
          <w:color w:val="000000" w:themeColor="text1"/>
          <w:lang w:val="es-ES"/>
        </w:rPr>
        <w:t xml:space="preserve">” </w:t>
      </w:r>
      <w:r w:rsidRPr="00166F22">
        <w:rPr>
          <w:rFonts w:ascii="Verdana" w:eastAsia="Calibri" w:hAnsi="Verdana" w:cs="Arial"/>
          <w:color w:val="000000" w:themeColor="text1"/>
          <w:lang w:val="es-ES"/>
        </w:rPr>
        <w:t>y actúan en pie de igualdad–</w:t>
      </w:r>
      <w:r>
        <w:rPr>
          <w:rFonts w:ascii="Verdana" w:eastAsia="Calibri" w:hAnsi="Verdana" w:cs="Arial"/>
          <w:color w:val="000000" w:themeColor="text1"/>
          <w:lang w:val="es-ES"/>
        </w:rPr>
        <w:t>, conclusión esta a la que llegó la Sección Tercera del Consejo de Estado, en</w:t>
      </w:r>
      <w:r w:rsidRPr="00982F4B">
        <w:rPr>
          <w:rFonts w:ascii="Verdana" w:eastAsia="Calibri" w:hAnsi="Verdana" w:cs="Arial"/>
          <w:color w:val="000000" w:themeColor="text1"/>
          <w:lang w:val="es-ES"/>
        </w:rPr>
        <w:t xml:space="preserve"> Sentencia del 5 de febrero de 2021</w:t>
      </w:r>
      <w:r>
        <w:rPr>
          <w:rStyle w:val="Refdenotaalpie"/>
          <w:rFonts w:ascii="Verdana" w:eastAsia="Calibri" w:hAnsi="Verdana" w:cs="Arial"/>
          <w:color w:val="000000" w:themeColor="text1"/>
          <w:lang w:val="es-ES"/>
        </w:rPr>
        <w:footnoteReference w:id="11"/>
      </w:r>
      <w:r>
        <w:rPr>
          <w:rFonts w:ascii="Verdana" w:eastAsia="Calibri" w:hAnsi="Verdana" w:cs="Arial"/>
          <w:color w:val="000000" w:themeColor="text1"/>
          <w:lang w:val="es-ES"/>
        </w:rPr>
        <w:t>. Sin embargo, posteriormente, el Concepto C-548 de 2021 estableció una salvedad según la cual, tal excepción no es</w:t>
      </w:r>
      <w:r w:rsidRPr="00166F22">
        <w:rPr>
          <w:rFonts w:ascii="Verdana" w:eastAsia="Calibri" w:hAnsi="Verdana" w:cs="Arial"/>
          <w:color w:val="000000" w:themeColor="text1"/>
          <w:lang w:val="es-ES"/>
        </w:rPr>
        <w:t xml:space="preserve"> predicable de los convenios de asociación entre entidades públicas y ESAL, a los que se refiere el artículo 5 del Decreto 092 de 2017 –que reglamenta el artículo 96 de la Ley 489 de 1998</w:t>
      </w:r>
      <w:r>
        <w:rPr>
          <w:rFonts w:ascii="Verdana" w:eastAsia="Calibri" w:hAnsi="Verdana" w:cs="Arial"/>
          <w:color w:val="000000" w:themeColor="text1"/>
          <w:lang w:val="es-ES"/>
        </w:rPr>
        <w:t xml:space="preserve">, en razón a que </w:t>
      </w:r>
      <w:r w:rsidRPr="00166F22">
        <w:rPr>
          <w:rFonts w:ascii="Verdana" w:eastAsia="Calibri" w:hAnsi="Verdana" w:cs="Arial"/>
          <w:color w:val="000000" w:themeColor="text1"/>
          <w:lang w:val="es-ES"/>
        </w:rPr>
        <w:t>el Decreto 092 de 2017 efectúa una remisión a las disposiciones del Estatuto General de Contratación de la Administración Pública para aquellas materias que no estén expresamente reguladas en dicho Decreto</w:t>
      </w:r>
      <w:r>
        <w:rPr>
          <w:rFonts w:ascii="Verdana" w:eastAsia="Calibri" w:hAnsi="Verdana" w:cs="Arial"/>
          <w:color w:val="000000" w:themeColor="text1"/>
          <w:lang w:val="es-ES"/>
        </w:rPr>
        <w:t xml:space="preserve"> y l</w:t>
      </w:r>
      <w:r w:rsidRPr="00166F22">
        <w:rPr>
          <w:rFonts w:ascii="Verdana" w:eastAsia="Calibri" w:hAnsi="Verdana" w:cs="Arial"/>
          <w:color w:val="000000" w:themeColor="text1"/>
          <w:lang w:val="es-ES"/>
        </w:rPr>
        <w:t>a liquidación es una de tales materias.</w:t>
      </w:r>
    </w:p>
    <w:p w14:paraId="7F715568" w14:textId="77777777" w:rsidR="00680A66" w:rsidRDefault="00680A66" w:rsidP="00680A66">
      <w:pPr>
        <w:spacing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Por lo demás, para todos los contratos y convenios interadministrativos, </w:t>
      </w:r>
      <w:r w:rsidRPr="00C80714">
        <w:rPr>
          <w:rFonts w:ascii="Verdana" w:eastAsia="Calibri" w:hAnsi="Verdana" w:cs="Arial"/>
          <w:color w:val="000000" w:themeColor="text1"/>
          <w:lang w:val="es-ES"/>
        </w:rPr>
        <w:t>en lo que respecta a la liquidación, son aplicables los artículos 60 de la Ley 80 de 1993 y 11 de la Ley 1150 de 2007</w:t>
      </w:r>
      <w:r>
        <w:rPr>
          <w:rFonts w:ascii="Verdana" w:eastAsia="Calibri" w:hAnsi="Verdana" w:cs="Arial"/>
          <w:color w:val="000000" w:themeColor="text1"/>
          <w:lang w:val="es-ES"/>
        </w:rPr>
        <w:t xml:space="preserve"> previamente estudiados, en la medida en que se les prediquen las características arriba enlistadas.</w:t>
      </w:r>
    </w:p>
    <w:p w14:paraId="39E68226" w14:textId="77777777" w:rsidR="00680A66" w:rsidRDefault="00680A66" w:rsidP="00680A66">
      <w:pPr>
        <w:spacing w:line="276" w:lineRule="auto"/>
        <w:ind w:firstLine="709"/>
        <w:jc w:val="both"/>
        <w:rPr>
          <w:rFonts w:ascii="Verdana" w:eastAsia="Times New Roman" w:hAnsi="Verdana" w:cs="Calibri"/>
          <w:lang w:val="es-ES"/>
        </w:rPr>
      </w:pPr>
      <w:r w:rsidRPr="000B3224">
        <w:rPr>
          <w:rFonts w:ascii="Verdana" w:eastAsia="Times New Roman" w:hAnsi="Verdana" w:cs="Calibri"/>
          <w:lang w:val="es-ES"/>
        </w:rPr>
        <w:t xml:space="preserve">Así las cosas, </w:t>
      </w:r>
      <w:r>
        <w:rPr>
          <w:rFonts w:ascii="Verdana" w:eastAsia="Times New Roman" w:hAnsi="Verdana" w:cs="Calibri"/>
          <w:lang w:val="es-ES"/>
        </w:rPr>
        <w:t xml:space="preserve">y en virtud del interrogante planteado, </w:t>
      </w:r>
      <w:r w:rsidRPr="000B3224">
        <w:rPr>
          <w:rFonts w:ascii="Verdana" w:eastAsia="Times New Roman" w:hAnsi="Verdana" w:cs="Calibri"/>
          <w:lang w:val="es-ES"/>
        </w:rPr>
        <w:t>posterior a los plazos o términos referenciados anteriormente</w:t>
      </w:r>
      <w:r>
        <w:rPr>
          <w:rFonts w:ascii="Verdana" w:eastAsia="Times New Roman" w:hAnsi="Verdana" w:cs="Calibri"/>
          <w:lang w:val="es-ES"/>
        </w:rPr>
        <w:t xml:space="preserve"> estudiados</w:t>
      </w:r>
      <w:r w:rsidRPr="000B3224">
        <w:rPr>
          <w:rFonts w:ascii="Verdana" w:eastAsia="Times New Roman" w:hAnsi="Verdana" w:cs="Calibri"/>
          <w:lang w:val="es-ES"/>
        </w:rPr>
        <w:t>, sin que se hubiese liquidado el contrato, éste ya no se podrá liquidar dado que el término referido es perentorio, lo que significa que su vencimiento implica el fenecimiento de la oportunidad y la pérdida de competencia de la entidad para realizar el balance final del acuerdo de voluntades pactado.</w:t>
      </w:r>
    </w:p>
    <w:p w14:paraId="5B1BBFF3" w14:textId="77777777" w:rsidR="00680A66" w:rsidRDefault="00680A66" w:rsidP="00680A66">
      <w:pPr>
        <w:spacing w:after="0"/>
        <w:ind w:firstLine="708"/>
        <w:jc w:val="both"/>
        <w:rPr>
          <w:rFonts w:ascii="Verdana" w:hAnsi="Verdana" w:cs="Arial"/>
          <w:lang w:eastAsia="es-MX"/>
        </w:rPr>
      </w:pPr>
      <w:r w:rsidRPr="00B775DD">
        <w:rPr>
          <w:rFonts w:ascii="Verdana" w:hAnsi="Verdana" w:cs="Arial"/>
          <w:lang w:eastAsia="es-MX"/>
        </w:rPr>
        <w:t xml:space="preserve">Esta Subdirección, en Concepto identificado con radicación de salida No. 4201913000006142 de 7 de octubre de 2019, señaló que con la caducidad del medio de control de controversias contractuales las entidades pierden la competencia para liquidar el contrato, ya que el fenómeno procesal constituía la </w:t>
      </w:r>
      <w:r w:rsidRPr="00B775DD">
        <w:rPr>
          <w:rFonts w:ascii="Verdana" w:hAnsi="Verdana" w:cs="Arial"/>
          <w:lang w:eastAsia="es-MX"/>
        </w:rPr>
        <w:lastRenderedPageBreak/>
        <w:t>preclusión de la oportunidad para reclamar las sumas de dinero adeudadas por las partes, y con ello, las obligaciones pendientes son de carácter natural, es decir, no son exigibles. Sobre este punto, esto es, sobre la degeneración de obligaciones civiles en naturales y la posibilidad de que las entidades estatales reconozcan y paguen las mismas, el Consejo de Estado</w:t>
      </w:r>
      <w:r w:rsidRPr="00B775DD">
        <w:rPr>
          <w:rStyle w:val="Refdenotaalpie"/>
          <w:rFonts w:ascii="Verdana" w:hAnsi="Verdana" w:cs="Arial"/>
          <w:lang w:eastAsia="es-MX"/>
        </w:rPr>
        <w:footnoteReference w:id="12"/>
      </w:r>
      <w:r w:rsidRPr="00B775DD">
        <w:rPr>
          <w:rFonts w:ascii="Verdana" w:hAnsi="Verdana" w:cs="Arial"/>
          <w:lang w:eastAsia="es-MX"/>
        </w:rPr>
        <w:t xml:space="preserve"> precisó lo siguiente: </w:t>
      </w:r>
    </w:p>
    <w:p w14:paraId="529FA671" w14:textId="77777777" w:rsidR="00680A66" w:rsidRPr="00B775DD" w:rsidRDefault="00680A66" w:rsidP="00680A66">
      <w:pPr>
        <w:spacing w:after="0"/>
        <w:ind w:firstLine="708"/>
        <w:jc w:val="both"/>
        <w:rPr>
          <w:rFonts w:ascii="Verdana" w:hAnsi="Verdana" w:cs="Arial"/>
          <w:lang w:eastAsia="es-MX"/>
        </w:rPr>
      </w:pPr>
    </w:p>
    <w:p w14:paraId="51C11CBC" w14:textId="77777777" w:rsidR="00680A66" w:rsidRDefault="00680A66" w:rsidP="00680A66">
      <w:pPr>
        <w:spacing w:after="0"/>
        <w:ind w:left="709" w:right="709"/>
        <w:jc w:val="both"/>
        <w:rPr>
          <w:rFonts w:ascii="Verdana" w:hAnsi="Verdana" w:cs="Arial"/>
          <w:sz w:val="20"/>
          <w:szCs w:val="20"/>
          <w:lang w:eastAsia="es-MX"/>
        </w:rPr>
      </w:pPr>
      <w:r>
        <w:rPr>
          <w:rFonts w:ascii="Verdana" w:hAnsi="Verdana" w:cs="Arial"/>
          <w:sz w:val="20"/>
          <w:szCs w:val="20"/>
          <w:lang w:eastAsia="es-MX"/>
        </w:rPr>
        <w:t>“</w:t>
      </w:r>
      <w:r w:rsidRPr="00B775DD">
        <w:rPr>
          <w:rFonts w:ascii="Verdana" w:hAnsi="Verdana" w:cs="Arial"/>
          <w:sz w:val="20"/>
          <w:szCs w:val="20"/>
          <w:lang w:eastAsia="es-MX"/>
        </w:rPr>
        <w:t>la protección al interés general y el patrimonio público confiado al manejo de los agentes del Estado, así como el principio de legalidad que gobierna las actuaciones de todas las autoridades públicas, permiten inferir la inviabilidad del pago de este tipo de obligaciones naturales, limitación con la cual se evita que a su amparo se puedan cubrir donaciones o pagos irregulares a particulares cuando ya ha operado la caducidad y se ha cerrado la posibilidad de juicio para demandar una situación u obligación que se ha estabilizado jurídicamente en virtud de este instituto procesal. Las autoridades no tienen plena libertad para disponer intereses del Estado, que son los mismos intereses generales y en los que se involucran recursos públicos, cuya disposición se encuentra seriamente limitada</w:t>
      </w:r>
      <w:r>
        <w:rPr>
          <w:rFonts w:ascii="Verdana" w:hAnsi="Verdana" w:cs="Arial"/>
          <w:sz w:val="20"/>
          <w:szCs w:val="20"/>
          <w:lang w:eastAsia="es-MX"/>
        </w:rPr>
        <w:t>”.</w:t>
      </w:r>
    </w:p>
    <w:p w14:paraId="78783069" w14:textId="77777777" w:rsidR="00680A66" w:rsidRPr="00B775DD" w:rsidRDefault="00680A66" w:rsidP="00680A66">
      <w:pPr>
        <w:spacing w:after="0"/>
        <w:ind w:left="709" w:right="709"/>
        <w:jc w:val="both"/>
        <w:rPr>
          <w:rFonts w:ascii="Verdana" w:hAnsi="Verdana" w:cs="Arial"/>
          <w:sz w:val="20"/>
          <w:szCs w:val="20"/>
          <w:lang w:eastAsia="es-MX"/>
        </w:rPr>
      </w:pPr>
    </w:p>
    <w:p w14:paraId="35E61D5D" w14:textId="77777777" w:rsidR="00680A66" w:rsidRPr="00B775DD" w:rsidRDefault="00680A66" w:rsidP="00680A66">
      <w:pPr>
        <w:ind w:firstLine="708"/>
        <w:jc w:val="both"/>
        <w:rPr>
          <w:rFonts w:ascii="Verdana" w:hAnsi="Verdana" w:cs="Arial"/>
          <w:lang w:eastAsia="es-MX"/>
        </w:rPr>
      </w:pPr>
      <w:r w:rsidRPr="00B775DD">
        <w:rPr>
          <w:rFonts w:ascii="Verdana" w:hAnsi="Verdana" w:cs="Arial"/>
          <w:lang w:eastAsia="es-MX"/>
        </w:rPr>
        <w:t xml:space="preserve">En ese sentido, cuando la Entidad pierde competencia para liquidar el contrato, a su vez caduca el ejercicio de la acción contractual. En este caso, el contratista no podrá demandar a la Entidad Estatal y las obligaciones se vuelven naturales, lo cual implicaría que no existe un medio para hacerlas exigibles ni tampoco existe título valido para que la Entidad proceda a realizar algún pago a favor del contratista, por la existencia de un límite temporal en las normas de orden público que determinan la oportunidad para reclamar una situación u obligación que, en términos de la Sala de Consulta y Servicio Civil, se ha estabilizado jurídicamente en virtud de la configuración de la caducidad de la acción de controversias contractuales.  </w:t>
      </w:r>
    </w:p>
    <w:p w14:paraId="58013DF1" w14:textId="77777777" w:rsidR="00680A66" w:rsidRPr="000D2FCD" w:rsidRDefault="00680A66" w:rsidP="00680A66">
      <w:pPr>
        <w:ind w:firstLine="708"/>
        <w:jc w:val="both"/>
        <w:rPr>
          <w:rFonts w:ascii="Verdana" w:hAnsi="Verdana" w:cs="Times New Roman"/>
          <w:color w:val="000000"/>
        </w:rPr>
      </w:pPr>
      <w:r>
        <w:rPr>
          <w:rFonts w:ascii="Verdana" w:hAnsi="Verdana" w:cs="Times New Roman"/>
          <w:color w:val="000000"/>
        </w:rPr>
        <w:t xml:space="preserve">No obstante, más allá de si hubo o no liquidación, se advierte que, de acuerdo con </w:t>
      </w:r>
      <w:r w:rsidRPr="000D2FCD">
        <w:rPr>
          <w:rFonts w:ascii="Verdana" w:hAnsi="Verdana" w:cs="Times New Roman"/>
          <w:color w:val="000000"/>
        </w:rPr>
        <w:t xml:space="preserve">el artículo 2.2.1.1.2.4.3 del Decreto 1082 de 2015, el </w:t>
      </w:r>
      <w:r>
        <w:rPr>
          <w:rFonts w:ascii="Verdana" w:hAnsi="Verdana" w:cs="Times New Roman"/>
          <w:color w:val="000000"/>
        </w:rPr>
        <w:t>“</w:t>
      </w:r>
      <w:r w:rsidRPr="000D2FCD">
        <w:rPr>
          <w:rFonts w:ascii="Verdana" w:hAnsi="Verdana" w:cs="Times New Roman"/>
          <w:i/>
          <w:iCs/>
          <w:color w:val="000000"/>
        </w:rPr>
        <w:t>cierre del expediente</w:t>
      </w:r>
      <w:r>
        <w:rPr>
          <w:rFonts w:ascii="Verdana" w:hAnsi="Verdana" w:cs="Times New Roman"/>
          <w:i/>
          <w:iCs/>
          <w:color w:val="000000"/>
        </w:rPr>
        <w:t>”</w:t>
      </w:r>
      <w:r w:rsidRPr="000D2FCD">
        <w:rPr>
          <w:rFonts w:ascii="Verdana" w:hAnsi="Verdana" w:cs="Times New Roman"/>
          <w:color w:val="00000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w:t>
      </w:r>
      <w:r w:rsidRPr="000D2FCD">
        <w:rPr>
          <w:rFonts w:ascii="Verdana" w:hAnsi="Verdana" w:cs="Times New Roman"/>
          <w:color w:val="000000"/>
          <w:u w:val="single"/>
        </w:rPr>
        <w:t xml:space="preserve">constancia administrativa </w:t>
      </w:r>
      <w:r w:rsidRPr="000D2FCD">
        <w:rPr>
          <w:rFonts w:ascii="Verdana" w:hAnsi="Verdana" w:cs="Times New Roman"/>
          <w:color w:val="000000"/>
        </w:rPr>
        <w:t>que culmina las actuaciones contractuales</w:t>
      </w:r>
      <w:r w:rsidRPr="000D2FCD">
        <w:rPr>
          <w:rFonts w:ascii="Verdana" w:hAnsi="Verdana" w:cs="Times New Roman"/>
          <w:color w:val="000000"/>
          <w:vertAlign w:val="superscript"/>
        </w:rPr>
        <w:footnoteReference w:id="13"/>
      </w:r>
      <w:r w:rsidRPr="000D2FCD">
        <w:rPr>
          <w:rFonts w:ascii="Verdana" w:hAnsi="Verdana" w:cs="Times New Roman"/>
          <w:color w:val="000000"/>
        </w:rPr>
        <w:t xml:space="preserve">. </w:t>
      </w:r>
    </w:p>
    <w:p w14:paraId="42B2397E" w14:textId="77777777" w:rsidR="00680A66" w:rsidRDefault="00680A66" w:rsidP="00680A66">
      <w:pPr>
        <w:spacing w:after="0"/>
        <w:ind w:firstLine="708"/>
        <w:jc w:val="both"/>
        <w:rPr>
          <w:rFonts w:ascii="Verdana" w:hAnsi="Verdana" w:cs="Times New Roman"/>
          <w:color w:val="000000"/>
        </w:rPr>
      </w:pPr>
      <w:r w:rsidRPr="000D2FCD">
        <w:rPr>
          <w:rFonts w:ascii="Verdana" w:hAnsi="Verdana" w:cs="Times New Roman"/>
          <w:color w:val="000000"/>
        </w:rPr>
        <w:lastRenderedPageBreak/>
        <w:t>La Sección Tercera del Consejo de Estado resaltó</w:t>
      </w:r>
      <w:r w:rsidRPr="000D2FCD">
        <w:rPr>
          <w:rFonts w:ascii="Verdana" w:hAnsi="Verdana" w:cs="Times New Roman"/>
          <w:color w:val="000000"/>
          <w:vertAlign w:val="superscript"/>
        </w:rPr>
        <w:footnoteReference w:id="14"/>
      </w:r>
      <w:r w:rsidRPr="000D2FCD">
        <w:rPr>
          <w:rFonts w:ascii="Verdana" w:hAnsi="Verdana" w:cs="Times New Roman"/>
          <w:color w:val="000000"/>
        </w:rPr>
        <w:t xml:space="preserve">, que </w:t>
      </w:r>
      <w:r>
        <w:rPr>
          <w:rFonts w:ascii="Verdana" w:hAnsi="Verdana" w:cs="Times New Roman"/>
          <w:color w:val="000000"/>
        </w:rPr>
        <w:t>“</w:t>
      </w:r>
      <w:r w:rsidRPr="000D2FCD">
        <w:rPr>
          <w:rFonts w:ascii="Verdana" w:hAnsi="Verdana" w:cs="Times New Roman"/>
          <w:i/>
          <w:iCs/>
          <w:color w:val="000000"/>
        </w:rPr>
        <w:t>una norma como la demandada, que impone el deber de dejar constancia del cierre de un expediente contractual, constituye una disposición de correcta y debida organización y administración de una carpeta de la Entidad pública en la esfera intraorgánica –pues opera al interior de la Administración, sin imponer obligaciones o cargas a particulares o contratistas–</w:t>
      </w:r>
      <w:r>
        <w:rPr>
          <w:rFonts w:ascii="Verdana" w:hAnsi="Verdana" w:cs="Times New Roman"/>
          <w:i/>
          <w:iCs/>
          <w:color w:val="000000"/>
        </w:rPr>
        <w:t>“</w:t>
      </w:r>
      <w:r w:rsidRPr="000D2FCD">
        <w:rPr>
          <w:rFonts w:ascii="Verdana" w:hAnsi="Verdana" w:cs="Times New Roman"/>
          <w:i/>
          <w:iCs/>
          <w:color w:val="000000"/>
          <w:vertAlign w:val="superscript"/>
        </w:rPr>
        <w:footnoteReference w:id="15"/>
      </w:r>
      <w:r w:rsidRPr="000D2FCD">
        <w:rPr>
          <w:rFonts w:ascii="Verdana" w:hAnsi="Verdana" w:cs="Times New Roman"/>
          <w:i/>
          <w:iCs/>
          <w:color w:val="000000"/>
        </w:rPr>
        <w:t>.</w:t>
      </w:r>
      <w:r w:rsidRPr="000D2FCD">
        <w:rPr>
          <w:rFonts w:ascii="Verdana" w:hAnsi="Verdana" w:cs="Times New Roman"/>
          <w:color w:val="000000"/>
        </w:rPr>
        <w:t xml:space="preserve"> La disposición normativa objeto de análisis establece:</w:t>
      </w:r>
    </w:p>
    <w:p w14:paraId="4A5462AD" w14:textId="77777777" w:rsidR="00680A66" w:rsidRPr="000D2FCD" w:rsidRDefault="00680A66" w:rsidP="00680A66">
      <w:pPr>
        <w:spacing w:after="0"/>
        <w:ind w:firstLine="708"/>
        <w:jc w:val="both"/>
        <w:rPr>
          <w:rFonts w:ascii="Verdana" w:hAnsi="Verdana" w:cs="Times New Roman"/>
          <w:color w:val="000000"/>
        </w:rPr>
      </w:pPr>
    </w:p>
    <w:p w14:paraId="225A60C4" w14:textId="77777777" w:rsidR="00680A66" w:rsidRDefault="00680A66" w:rsidP="00680A66">
      <w:pPr>
        <w:spacing w:after="0" w:line="240" w:lineRule="auto"/>
        <w:ind w:left="709" w:right="709"/>
        <w:jc w:val="both"/>
        <w:rPr>
          <w:rFonts w:ascii="Verdana" w:hAnsi="Verdana" w:cs="Times New Roman"/>
          <w:color w:val="000000"/>
          <w:sz w:val="20"/>
          <w:szCs w:val="20"/>
        </w:rPr>
      </w:pPr>
      <w:r>
        <w:rPr>
          <w:rFonts w:ascii="Verdana" w:hAnsi="Verdana" w:cs="Times New Roman"/>
          <w:color w:val="000000"/>
          <w:sz w:val="20"/>
          <w:szCs w:val="20"/>
        </w:rPr>
        <w:t>“</w:t>
      </w:r>
      <w:r w:rsidRPr="000D2FCD">
        <w:rPr>
          <w:rFonts w:ascii="Verdana" w:hAnsi="Verdana" w:cs="Times New Roman"/>
          <w:color w:val="000000"/>
          <w:sz w:val="20"/>
          <w:szCs w:val="20"/>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r>
        <w:rPr>
          <w:rFonts w:ascii="Verdana" w:hAnsi="Verdana" w:cs="Times New Roman"/>
          <w:color w:val="000000"/>
          <w:sz w:val="20"/>
          <w:szCs w:val="20"/>
        </w:rPr>
        <w:t>”.</w:t>
      </w:r>
    </w:p>
    <w:p w14:paraId="003EF17C" w14:textId="77777777" w:rsidR="00680A66" w:rsidRPr="000D2FCD" w:rsidRDefault="00680A66" w:rsidP="00680A66">
      <w:pPr>
        <w:spacing w:after="0" w:line="240" w:lineRule="auto"/>
        <w:ind w:left="709" w:right="709"/>
        <w:jc w:val="both"/>
        <w:rPr>
          <w:rFonts w:ascii="Verdana" w:hAnsi="Verdana" w:cs="Times New Roman"/>
          <w:color w:val="000000"/>
          <w:sz w:val="20"/>
          <w:szCs w:val="20"/>
        </w:rPr>
      </w:pPr>
    </w:p>
    <w:p w14:paraId="09C2D0F5" w14:textId="77777777" w:rsidR="00680A66" w:rsidRPr="000D2FCD" w:rsidRDefault="00680A66" w:rsidP="00680A66">
      <w:pPr>
        <w:spacing w:before="120"/>
        <w:ind w:firstLine="708"/>
        <w:jc w:val="both"/>
        <w:rPr>
          <w:rFonts w:ascii="Verdana" w:hAnsi="Verdana" w:cs="Times New Roman"/>
          <w:color w:val="000000"/>
        </w:rPr>
      </w:pPr>
      <w:r w:rsidRPr="000D2FCD">
        <w:rPr>
          <w:rFonts w:ascii="Verdana" w:hAnsi="Verdana" w:cs="Times New Roman"/>
          <w:color w:val="000000"/>
        </w:rPr>
        <w:t xml:space="preserve">Es cierto que la disposición se refiere genéricamente al </w:t>
      </w:r>
      <w:r>
        <w:rPr>
          <w:rFonts w:ascii="Verdana" w:hAnsi="Verdana" w:cs="Times New Roman"/>
          <w:i/>
          <w:iCs/>
          <w:color w:val="000000"/>
        </w:rPr>
        <w:t>“</w:t>
      </w:r>
      <w:r w:rsidRPr="000D2FCD">
        <w:rPr>
          <w:rFonts w:ascii="Verdana" w:hAnsi="Verdana" w:cs="Times New Roman"/>
          <w:i/>
          <w:iCs/>
          <w:color w:val="000000"/>
        </w:rPr>
        <w:t>debe dejar constancia del cierre del expediente del Proceso de Contratación</w:t>
      </w:r>
      <w:r>
        <w:rPr>
          <w:rFonts w:ascii="Verdana" w:hAnsi="Verdana" w:cs="Times New Roman"/>
          <w:i/>
          <w:iCs/>
          <w:color w:val="000000"/>
        </w:rPr>
        <w:t>”</w:t>
      </w:r>
      <w:r w:rsidRPr="000D2FCD">
        <w:rPr>
          <w:rFonts w:ascii="Verdana" w:hAnsi="Verdana" w:cs="Times New Roman"/>
          <w:color w:val="000000"/>
        </w:rPr>
        <w:t xml:space="preserve">. Sin embargo, también lo es que, según las definiciones contenidas en el artículo 2.2.1.1.1.3.1. del Decreto 1082 de 2015, el </w:t>
      </w:r>
      <w:r>
        <w:rPr>
          <w:rFonts w:ascii="Verdana" w:hAnsi="Verdana" w:cs="Times New Roman"/>
          <w:color w:val="000000"/>
        </w:rPr>
        <w:t>“</w:t>
      </w:r>
      <w:r w:rsidRPr="000D2FCD">
        <w:rPr>
          <w:rFonts w:ascii="Verdana" w:hAnsi="Verdana" w:cs="Times New Roman"/>
          <w:i/>
          <w:iCs/>
          <w:color w:val="000000"/>
        </w:rPr>
        <w:t>Proceso de Contratación</w:t>
      </w:r>
      <w:r>
        <w:rPr>
          <w:rFonts w:ascii="Verdana" w:hAnsi="Verdana" w:cs="Times New Roman"/>
          <w:i/>
          <w:iCs/>
          <w:color w:val="000000"/>
        </w:rPr>
        <w:t>”</w:t>
      </w:r>
      <w:r w:rsidRPr="000D2FCD">
        <w:rPr>
          <w:rFonts w:ascii="Verdana" w:hAnsi="Verdana" w:cs="Times New Roman"/>
          <w:color w:val="000000"/>
        </w:rPr>
        <w:t xml:space="preserve"> es el </w:t>
      </w:r>
      <w:r>
        <w:rPr>
          <w:rFonts w:ascii="Verdana" w:hAnsi="Verdana" w:cs="Times New Roman"/>
          <w:i/>
          <w:iCs/>
          <w:color w:val="000000"/>
        </w:rPr>
        <w:t>“</w:t>
      </w:r>
      <w:r w:rsidRPr="000D2FCD">
        <w:rPr>
          <w:rFonts w:ascii="Verdana" w:hAnsi="Verdana" w:cs="Times New Roman"/>
          <w:i/>
          <w:iCs/>
          <w:color w:val="000000"/>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Pr>
          <w:rFonts w:ascii="Verdana" w:hAnsi="Verdana" w:cs="Times New Roman"/>
          <w:i/>
          <w:iCs/>
          <w:color w:val="000000"/>
        </w:rPr>
        <w:t>”</w:t>
      </w:r>
      <w:r w:rsidRPr="000D2FCD">
        <w:rPr>
          <w:rFonts w:ascii="Verdana" w:hAnsi="Verdana" w:cs="Times New Roman"/>
          <w:color w:val="000000"/>
        </w:rPr>
        <w:t>. Nótese que en el enunciado no se hace referencia a que el deber de cerrar el expediente se circunscriba a alguna modalidad contractual concreta.</w:t>
      </w:r>
    </w:p>
    <w:p w14:paraId="11D6EF3F" w14:textId="77777777" w:rsidR="00680A66" w:rsidRDefault="00680A66" w:rsidP="00680A66">
      <w:pPr>
        <w:spacing w:after="0"/>
        <w:ind w:firstLine="709"/>
        <w:jc w:val="both"/>
        <w:rPr>
          <w:rFonts w:ascii="Verdana" w:hAnsi="Verdana" w:cs="Times New Roman"/>
          <w:color w:val="000000"/>
        </w:rPr>
      </w:pPr>
      <w:r w:rsidRPr="000D2FCD">
        <w:rPr>
          <w:rFonts w:ascii="Verdana" w:hAnsi="Verdana" w:cs="Times New Roman"/>
          <w:color w:val="000000"/>
        </w:rPr>
        <w:t>Sobre el cierre del expediente del contrato estatal que no fue objeto de liquidación, la Sala de Consulta y Servicio Civil del Consejo de Estado, en el concepto del 28 de junio de 2016, manifestó que la entidad debe proceder al cierre del expediente, incluso, si no se ha liquidado el contrato estatal. En efecto, en el referido concepto se manifestó lo siguiente:</w:t>
      </w:r>
    </w:p>
    <w:p w14:paraId="7DA4F421" w14:textId="77777777" w:rsidR="00680A66" w:rsidRPr="000D2FCD" w:rsidRDefault="00680A66" w:rsidP="00680A66">
      <w:pPr>
        <w:spacing w:after="0"/>
        <w:ind w:firstLine="709"/>
        <w:jc w:val="both"/>
        <w:rPr>
          <w:rFonts w:ascii="Verdana" w:hAnsi="Verdana" w:cs="Times New Roman"/>
          <w:color w:val="000000"/>
        </w:rPr>
      </w:pPr>
    </w:p>
    <w:p w14:paraId="3C36860B" w14:textId="77777777" w:rsidR="00680A66" w:rsidRDefault="00680A66" w:rsidP="00680A66">
      <w:pPr>
        <w:spacing w:after="0" w:line="240" w:lineRule="auto"/>
        <w:ind w:left="567" w:right="709"/>
        <w:jc w:val="both"/>
        <w:rPr>
          <w:rFonts w:ascii="Verdana" w:hAnsi="Verdana" w:cs="Times New Roman"/>
          <w:color w:val="000000"/>
          <w:sz w:val="20"/>
          <w:szCs w:val="20"/>
        </w:rPr>
      </w:pPr>
      <w:r>
        <w:rPr>
          <w:rFonts w:ascii="Verdana" w:hAnsi="Verdana" w:cs="Times New Roman"/>
          <w:color w:val="000000"/>
          <w:sz w:val="20"/>
          <w:szCs w:val="20"/>
        </w:rPr>
        <w:lastRenderedPageBreak/>
        <w:t>“</w:t>
      </w:r>
      <w:r w:rsidRPr="000D2FCD">
        <w:rPr>
          <w:rFonts w:ascii="Verdana" w:hAnsi="Verdana" w:cs="Times New Roman"/>
          <w:color w:val="000000"/>
          <w:sz w:val="20"/>
          <w:szCs w:val="20"/>
        </w:rPr>
        <w:t xml:space="preserve">De acuerdo con los principios y disposiciones constitucionales, legales y reglamentarias citadas, la Sala considera que </w:t>
      </w:r>
      <w:r w:rsidRPr="000D2FCD">
        <w:rPr>
          <w:rFonts w:ascii="Verdana" w:hAnsi="Verdana" w:cs="Times New Roman"/>
          <w:i/>
          <w:iCs/>
          <w:color w:val="000000"/>
          <w:sz w:val="20"/>
          <w:szCs w:val="20"/>
        </w:rPr>
        <w:t>las entidades deben proceder a hacer el cierre del expediente del proceso de contratación incluso en aquellos casos en los cuales no se haya efectuado la liquidación del contrato</w:t>
      </w:r>
      <w:r w:rsidRPr="000D2FCD">
        <w:rPr>
          <w:rFonts w:ascii="Verdana" w:hAnsi="Verdana" w:cs="Times New Roman"/>
          <w:color w:val="000000"/>
          <w:sz w:val="20"/>
          <w:szCs w:val="20"/>
        </w:rPr>
        <w:t>, para efectos de establecer dentro de la entidad estatal el estado final de los contratos celebrados. Se trata de un trámite interno en el que, al menos, se haga un recuento del contenido del proceso de contratación surtido y que consta en el expediente, se relacione y compare lo ejecutado con lo pagado y se verifique el cumplimiento de las obligaciones posteriores a la finalización de la ejecución del contrato (garantías de estabilidad de la obra, calidad del bien o servicio suministrado, provisión de repuestos y accesorios, pago de salarios, prestaciones e indemnizaciones, a la responsabilidad civil o las condiciones de disposición final o recuperación ambiental de las obras o bienes), con el fin de proceder con el cierre y archivo del expediente y otros trámites a que haya lugar. (Cursivas fuera de texto)</w:t>
      </w:r>
      <w:r>
        <w:rPr>
          <w:rFonts w:ascii="Verdana" w:hAnsi="Verdana" w:cs="Times New Roman"/>
          <w:color w:val="000000"/>
          <w:sz w:val="20"/>
          <w:szCs w:val="20"/>
        </w:rPr>
        <w:t>”</w:t>
      </w:r>
    </w:p>
    <w:p w14:paraId="12C13362" w14:textId="77777777" w:rsidR="00680A66" w:rsidRPr="000D2FCD" w:rsidRDefault="00680A66" w:rsidP="00680A66">
      <w:pPr>
        <w:spacing w:after="0" w:line="240" w:lineRule="auto"/>
        <w:ind w:left="567" w:right="709"/>
        <w:jc w:val="both"/>
        <w:rPr>
          <w:rFonts w:ascii="Verdana" w:hAnsi="Verdana" w:cs="Times New Roman"/>
          <w:color w:val="000000"/>
          <w:sz w:val="20"/>
          <w:szCs w:val="20"/>
        </w:rPr>
      </w:pPr>
    </w:p>
    <w:p w14:paraId="18DCF2D9" w14:textId="77777777" w:rsidR="00680A66" w:rsidRDefault="00680A66" w:rsidP="00680A66">
      <w:pPr>
        <w:spacing w:after="0"/>
        <w:ind w:firstLine="709"/>
        <w:jc w:val="both"/>
        <w:rPr>
          <w:rFonts w:ascii="Verdana" w:hAnsi="Verdana" w:cs="Times New Roman"/>
          <w:color w:val="000000"/>
        </w:rPr>
      </w:pPr>
      <w:r w:rsidRPr="000D2FCD">
        <w:rPr>
          <w:rFonts w:ascii="Verdana" w:hAnsi="Verdana" w:cs="Times New Roman"/>
          <w:color w:val="000000"/>
        </w:rPr>
        <w:t>Igualmente, en el Concepto No. 2298 del 8 de marzo de 2017</w:t>
      </w:r>
      <w:r w:rsidRPr="000D2FCD">
        <w:rPr>
          <w:rFonts w:ascii="Verdana" w:hAnsi="Verdana" w:cs="Times New Roman"/>
          <w:color w:val="000000"/>
          <w:vertAlign w:val="superscript"/>
        </w:rPr>
        <w:footnoteReference w:id="16"/>
      </w:r>
      <w:r w:rsidRPr="000D2FCD">
        <w:rPr>
          <w:rFonts w:ascii="Verdana" w:hAnsi="Verdana" w:cs="Times New Roman"/>
          <w:color w:val="000000"/>
        </w:rPr>
        <w:t xml:space="preserve">, la Sala de Consulta del Consejo de Estado reiteró que el deber cerrar el expediente contractual aplica, incluso, en los casos en los que no se ha liquidado el contrato estatal. Efectivamente, se dijo esto: </w:t>
      </w:r>
    </w:p>
    <w:p w14:paraId="6F5D23CE" w14:textId="77777777" w:rsidR="00680A66" w:rsidRPr="000D2FCD" w:rsidRDefault="00680A66" w:rsidP="00680A66">
      <w:pPr>
        <w:spacing w:after="0"/>
        <w:ind w:firstLine="709"/>
        <w:jc w:val="both"/>
        <w:rPr>
          <w:rFonts w:ascii="Verdana" w:hAnsi="Verdana" w:cs="Times New Roman"/>
          <w:color w:val="000000"/>
        </w:rPr>
      </w:pPr>
    </w:p>
    <w:p w14:paraId="63337FC8" w14:textId="77777777" w:rsidR="00680A66" w:rsidRPr="000D2FCD" w:rsidRDefault="00680A66" w:rsidP="00680A66">
      <w:pPr>
        <w:spacing w:line="240" w:lineRule="auto"/>
        <w:ind w:left="567" w:right="709"/>
        <w:jc w:val="both"/>
        <w:rPr>
          <w:rFonts w:ascii="Verdana" w:hAnsi="Verdana" w:cs="Times New Roman"/>
          <w:color w:val="000000"/>
          <w:sz w:val="20"/>
          <w:szCs w:val="20"/>
        </w:rPr>
      </w:pPr>
      <w:r>
        <w:rPr>
          <w:rFonts w:ascii="Verdana" w:hAnsi="Verdana" w:cs="Times New Roman"/>
          <w:color w:val="000000"/>
          <w:sz w:val="20"/>
          <w:szCs w:val="20"/>
        </w:rPr>
        <w:t>“</w:t>
      </w:r>
      <w:r w:rsidRPr="000D2FCD">
        <w:rPr>
          <w:rFonts w:ascii="Verdana" w:hAnsi="Verdana" w:cs="Times New Roman"/>
          <w:color w:val="000000"/>
          <w:sz w:val="20"/>
          <w:szCs w:val="20"/>
        </w:rPr>
        <w:t xml:space="preserve">Una interpretación sistemática y finalista de la norma, permite concluir que el trámite del </w:t>
      </w:r>
      <w:r w:rsidRPr="000D2FCD">
        <w:rPr>
          <w:rFonts w:ascii="Verdana" w:hAnsi="Verdana" w:cs="Times New Roman"/>
          <w:i/>
          <w:iCs/>
          <w:color w:val="000000"/>
          <w:sz w:val="20"/>
          <w:szCs w:val="20"/>
        </w:rPr>
        <w:t>cierre del expediente del proceso de contratación procede cuando se ha efectuado la liquidación del contrato</w:t>
      </w:r>
      <w:r w:rsidRPr="000D2FCD">
        <w:rPr>
          <w:rFonts w:ascii="Verdana" w:hAnsi="Verdana" w:cs="Times New Roman"/>
          <w:color w:val="000000"/>
          <w:sz w:val="20"/>
          <w:szCs w:val="20"/>
        </w:rPr>
        <w:t xml:space="preserve">, a efectos de dejar las constancias sobre el vencimiento de las garantías y la condición de los bienes y obras desde la perspectiva ambiental, </w:t>
      </w:r>
      <w:r w:rsidRPr="000D2FCD">
        <w:rPr>
          <w:rFonts w:ascii="Verdana" w:hAnsi="Verdana" w:cs="Times New Roman"/>
          <w:bCs/>
          <w:i/>
          <w:iCs/>
          <w:color w:val="000000"/>
          <w:sz w:val="20"/>
          <w:szCs w:val="20"/>
        </w:rPr>
        <w:t>y también en los casos en los cuales no se haya efectuado dicha liquidación, a efectos de dejar constancia sobre el punto final de la actuación contractual</w:t>
      </w:r>
      <w:r w:rsidRPr="000D2FCD">
        <w:rPr>
          <w:rFonts w:ascii="Verdana" w:hAnsi="Verdana" w:cs="Times New Roman"/>
          <w:color w:val="000000"/>
          <w:sz w:val="20"/>
          <w:szCs w:val="20"/>
        </w:rPr>
        <w:t>.</w:t>
      </w:r>
    </w:p>
    <w:p w14:paraId="49BA15DD" w14:textId="77777777" w:rsidR="00680A66" w:rsidRPr="000D2FCD" w:rsidRDefault="00680A66" w:rsidP="00680A66">
      <w:pPr>
        <w:spacing w:line="240" w:lineRule="auto"/>
        <w:ind w:left="567" w:right="709"/>
        <w:jc w:val="both"/>
        <w:rPr>
          <w:rFonts w:ascii="Verdana" w:hAnsi="Verdana" w:cs="Times New Roman"/>
          <w:color w:val="000000"/>
          <w:sz w:val="20"/>
          <w:szCs w:val="20"/>
        </w:rPr>
      </w:pPr>
      <w:r>
        <w:rPr>
          <w:rFonts w:ascii="Verdana" w:hAnsi="Verdana" w:cs="Times New Roman"/>
          <w:color w:val="000000"/>
          <w:sz w:val="20"/>
          <w:szCs w:val="20"/>
        </w:rPr>
        <w:t>[</w:t>
      </w:r>
      <w:r w:rsidRPr="000D2FCD">
        <w:rPr>
          <w:rFonts w:ascii="Verdana" w:hAnsi="Verdana" w:cs="Times New Roman"/>
          <w:color w:val="000000"/>
          <w:sz w:val="20"/>
          <w:szCs w:val="20"/>
        </w:rPr>
        <w:t>…</w:t>
      </w:r>
      <w:r>
        <w:rPr>
          <w:rFonts w:ascii="Verdana" w:hAnsi="Verdana" w:cs="Times New Roman"/>
          <w:color w:val="000000"/>
          <w:sz w:val="20"/>
          <w:szCs w:val="20"/>
        </w:rPr>
        <w:t>]</w:t>
      </w:r>
    </w:p>
    <w:p w14:paraId="02E5A2F2" w14:textId="77777777" w:rsidR="00680A66" w:rsidRPr="000D2FCD" w:rsidRDefault="00680A66" w:rsidP="00680A66">
      <w:pPr>
        <w:spacing w:line="240" w:lineRule="auto"/>
        <w:ind w:left="567" w:right="709"/>
        <w:jc w:val="both"/>
        <w:rPr>
          <w:rFonts w:ascii="Verdana" w:hAnsi="Verdana" w:cs="Times New Roman"/>
          <w:color w:val="000000"/>
          <w:sz w:val="20"/>
          <w:szCs w:val="20"/>
        </w:rPr>
      </w:pPr>
      <w:r w:rsidRPr="000D2FCD">
        <w:rPr>
          <w:rFonts w:ascii="Verdana" w:hAnsi="Verdana" w:cs="Times New Roman"/>
          <w:color w:val="000000"/>
          <w:sz w:val="20"/>
          <w:szCs w:val="20"/>
        </w:rPr>
        <w:t>[L]as entidades pueden y deben proceder al cierre y archivo del expediente del proceso de contratación, en los términos citados, incluso en aquellos casos en los cuales no se haya efectuado la liquidación del contrato, como un tipo de constancia, que en forma alguna puede constituirse en una liquidación extemporánea del contrato o revivir términos que ya precluyeron, pues cualquier acto en este sentido estaría afectado de nulidad.</w:t>
      </w:r>
    </w:p>
    <w:p w14:paraId="3EA8C15B" w14:textId="77777777" w:rsidR="00680A66" w:rsidRDefault="00680A66" w:rsidP="00680A66">
      <w:pPr>
        <w:spacing w:after="0" w:line="240" w:lineRule="auto"/>
        <w:ind w:left="567" w:right="709"/>
        <w:jc w:val="both"/>
        <w:rPr>
          <w:rFonts w:ascii="Verdana" w:hAnsi="Verdana" w:cs="Times New Roman"/>
          <w:color w:val="000000"/>
          <w:sz w:val="20"/>
          <w:szCs w:val="20"/>
        </w:rPr>
      </w:pPr>
      <w:r w:rsidRPr="000D2FCD">
        <w:rPr>
          <w:rFonts w:ascii="Verdana" w:hAnsi="Verdana" w:cs="Times New Roman"/>
          <w:color w:val="000000"/>
          <w:sz w:val="20"/>
          <w:szCs w:val="20"/>
        </w:rPr>
        <w:t>En efecto, el archivo del expediente debe entenderse como una actuación interna y de trámite, que no comporta la expedición de un acto administrativo de carácter contractual, en el que se puedan determinar las obligaciones a cargo de cada una de las partes; acto para cuya expedición no existiría competencia de la entidad dada su extemporaneidad (Cursivas fuera de texto)</w:t>
      </w:r>
      <w:r>
        <w:rPr>
          <w:rFonts w:ascii="Verdana" w:hAnsi="Verdana" w:cs="Times New Roman"/>
          <w:color w:val="000000"/>
          <w:sz w:val="20"/>
          <w:szCs w:val="20"/>
        </w:rPr>
        <w:t>”</w:t>
      </w:r>
    </w:p>
    <w:p w14:paraId="6B0E96AD" w14:textId="77777777" w:rsidR="00680A66" w:rsidRPr="000D2FCD" w:rsidRDefault="00680A66" w:rsidP="00680A66">
      <w:pPr>
        <w:spacing w:after="0" w:line="240" w:lineRule="auto"/>
        <w:ind w:left="567" w:right="709"/>
        <w:jc w:val="both"/>
        <w:rPr>
          <w:rFonts w:ascii="Verdana" w:hAnsi="Verdana" w:cs="Times New Roman"/>
          <w:color w:val="000000"/>
          <w:sz w:val="20"/>
          <w:szCs w:val="20"/>
        </w:rPr>
      </w:pPr>
    </w:p>
    <w:p w14:paraId="29B75ACB" w14:textId="77777777" w:rsidR="00680A66" w:rsidRPr="000D2FCD" w:rsidRDefault="00680A66" w:rsidP="00680A66">
      <w:pPr>
        <w:ind w:firstLine="567"/>
        <w:jc w:val="both"/>
        <w:rPr>
          <w:rFonts w:ascii="Verdana" w:hAnsi="Verdana" w:cs="Times New Roman"/>
          <w:color w:val="000000"/>
        </w:rPr>
      </w:pPr>
      <w:r w:rsidRPr="000D2FCD">
        <w:rPr>
          <w:rFonts w:ascii="Verdana" w:hAnsi="Verdana" w:cs="Times New Roman"/>
          <w:color w:val="000000"/>
        </w:rPr>
        <w:t xml:space="preserve">En ese orden de ideas, esta Agencia comparte que el cierre del expediente del Proceso de Contratación puede darse, incluso, si el contrato no ha sido liquidado, claro está, siempre que se hubiera configurado alguno de los supuestos del artículo 2.2.1.1.2.4.3. del Decreto 1082 de 2015, esto es: i) cuando la administración establece condiciones de disposición final o recuperación ambiental de las obras o bienes; o ii) una vez vencidos los términos de las garantías de calidad, estabilidad y mantenimiento ─solo estas─. </w:t>
      </w:r>
    </w:p>
    <w:p w14:paraId="7A22DF9B" w14:textId="77777777" w:rsidR="00680A66" w:rsidRPr="000D2FCD" w:rsidRDefault="00680A66" w:rsidP="00680A66">
      <w:pPr>
        <w:spacing w:before="120" w:after="0"/>
        <w:ind w:firstLine="567"/>
        <w:jc w:val="both"/>
        <w:rPr>
          <w:rFonts w:ascii="Verdana" w:hAnsi="Verdana" w:cs="Times New Roman"/>
          <w:color w:val="000000"/>
        </w:rPr>
      </w:pPr>
      <w:r w:rsidRPr="000D2FCD">
        <w:rPr>
          <w:rFonts w:ascii="Verdana" w:hAnsi="Verdana" w:cs="Times New Roman"/>
          <w:color w:val="000000"/>
        </w:rPr>
        <w:t>De igual forma, se reitera que si bien en el acta por el cual se da cierre del expediente del Proceso de Contratación se pueden realizar algunas precisiones sobre la no liquidación de un contrato, dicha acta es una actuación interna y de trámite, que no comporta la expedición de un acto administrativo de carácter contractual, en el que se puedan determinar las obligaciones a cargo de cada una de las partes, por lo tanto, no abre la posibilidad para que, configurada la caducidad del medio de control de controversias contractuales para solicitar la liquidación judicial del contrato estatal, se reconozcan o paguen al contratista obligaciones que se derivan del contrato no liquidado.</w:t>
      </w:r>
    </w:p>
    <w:p w14:paraId="26E9308D" w14:textId="77777777" w:rsidR="00680A66" w:rsidRPr="00BE151B" w:rsidRDefault="00680A66" w:rsidP="00680A66">
      <w:pPr>
        <w:spacing w:after="0" w:line="276" w:lineRule="auto"/>
        <w:ind w:firstLine="709"/>
        <w:jc w:val="both"/>
        <w:rPr>
          <w:rFonts w:ascii="Verdana" w:eastAsia="Calibri" w:hAnsi="Verdana" w:cs="Arial"/>
          <w:sz w:val="21"/>
          <w:szCs w:val="21"/>
        </w:rPr>
      </w:pPr>
    </w:p>
    <w:p w14:paraId="5AF852C9" w14:textId="77777777" w:rsidR="00680A66" w:rsidRPr="00BE151B" w:rsidRDefault="00680A66" w:rsidP="00680A66">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038CC064" w14:textId="77777777" w:rsidR="00680A66" w:rsidRPr="00BE151B" w:rsidRDefault="00680A66" w:rsidP="00680A6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80A66" w:rsidRPr="00C029DB" w14:paraId="18F71B3C" w14:textId="77777777" w:rsidTr="00F31FB3">
        <w:trPr>
          <w:trHeight w:val="870"/>
        </w:trPr>
        <w:tc>
          <w:tcPr>
            <w:tcW w:w="8647" w:type="dxa"/>
          </w:tcPr>
          <w:p w14:paraId="49BD67DC"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Ley 80 de 1993, artículo 60</w:t>
            </w:r>
          </w:p>
          <w:p w14:paraId="02465138" w14:textId="77777777" w:rsidR="00680A66" w:rsidRPr="00952761"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463386">
              <w:rPr>
                <w:rFonts w:ascii="Verdana" w:hAnsi="Verdana" w:cs="Arial"/>
                <w:lang w:val="es-ES_tradnl"/>
              </w:rPr>
              <w:t>Ley 1150 de 2007</w:t>
            </w:r>
            <w:r>
              <w:rPr>
                <w:rFonts w:ascii="Verdana" w:hAnsi="Verdana" w:cs="Arial"/>
                <w:lang w:val="es-ES_tradnl"/>
              </w:rPr>
              <w:t xml:space="preserve">, </w:t>
            </w:r>
            <w:r w:rsidRPr="00122AF2">
              <w:rPr>
                <w:rFonts w:ascii="Verdana" w:eastAsia="Calibri" w:hAnsi="Verdana" w:cs="Arial"/>
                <w:color w:val="000000" w:themeColor="text1"/>
              </w:rPr>
              <w:t>artículo 2, numeral 4, literal c)</w:t>
            </w:r>
            <w:r>
              <w:rPr>
                <w:rFonts w:ascii="Verdana" w:eastAsia="Calibri" w:hAnsi="Verdana" w:cs="Arial"/>
                <w:color w:val="000000" w:themeColor="text1"/>
              </w:rPr>
              <w:t>; artículo 11</w:t>
            </w:r>
          </w:p>
          <w:p w14:paraId="5EA69334" w14:textId="77777777" w:rsidR="00680A66" w:rsidRPr="003D5C4B"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Times New Roman"/>
                <w:color w:val="000000"/>
              </w:rPr>
            </w:pPr>
            <w:r w:rsidRPr="000D2FCD">
              <w:rPr>
                <w:rFonts w:ascii="Verdana" w:hAnsi="Verdana" w:cs="Times New Roman"/>
                <w:color w:val="000000"/>
              </w:rPr>
              <w:t>Decreto 1082 de 2015</w:t>
            </w:r>
            <w:r>
              <w:rPr>
                <w:rFonts w:ascii="Verdana" w:hAnsi="Verdana" w:cs="Times New Roman"/>
                <w:color w:val="000000"/>
              </w:rPr>
              <w:t xml:space="preserve">, </w:t>
            </w:r>
            <w:r w:rsidRPr="000D2FCD">
              <w:rPr>
                <w:rFonts w:ascii="Verdana" w:hAnsi="Verdana" w:cs="Times New Roman"/>
                <w:color w:val="000000"/>
              </w:rPr>
              <w:t>artículo 2.2.1.1.1.3.1</w:t>
            </w:r>
            <w:r>
              <w:rPr>
                <w:rFonts w:ascii="Verdana" w:hAnsi="Verdana" w:cs="Times New Roman"/>
                <w:color w:val="000000"/>
              </w:rPr>
              <w:t xml:space="preserve">.; </w:t>
            </w:r>
            <w:r w:rsidRPr="00CF1FD5">
              <w:rPr>
                <w:rFonts w:ascii="Verdana" w:hAnsi="Verdana" w:cs="Times New Roman"/>
                <w:color w:val="000000"/>
              </w:rPr>
              <w:t>artículo 2.2.1.1.2.4.3</w:t>
            </w:r>
            <w:r>
              <w:rPr>
                <w:rFonts w:ascii="Verdana" w:hAnsi="Verdana" w:cs="Times New Roman"/>
                <w:color w:val="000000"/>
              </w:rPr>
              <w:t>.</w:t>
            </w:r>
          </w:p>
          <w:p w14:paraId="376A2522"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9E62DA">
              <w:rPr>
                <w:rFonts w:ascii="Verdana" w:hAnsi="Verdana" w:cs="Arial"/>
              </w:rPr>
              <w:t>Consejo de Estado. Sección Tercera. Subsección “C”. Radicado No. 05001-23-31-000-1998-00038-01. Número Interno 27.777. M.P. Enrique Gil Botero</w:t>
            </w:r>
          </w:p>
          <w:p w14:paraId="7E1F61C3"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B53991">
              <w:rPr>
                <w:rFonts w:ascii="Verdana" w:hAnsi="Verdana" w:cs="Arial"/>
              </w:rPr>
              <w:t xml:space="preserve">Consejo </w:t>
            </w:r>
            <w:r>
              <w:rPr>
                <w:rFonts w:ascii="Verdana" w:hAnsi="Verdana" w:cs="Arial"/>
              </w:rPr>
              <w:t>d</w:t>
            </w:r>
            <w:r w:rsidRPr="00B53991">
              <w:rPr>
                <w:rFonts w:ascii="Verdana" w:hAnsi="Verdana" w:cs="Arial"/>
              </w:rPr>
              <w:t>e Estado. Sala de Consulta y Servicio Civil. Concepto de 28 de Junio de 2016. Radicación: 2253. C.P. Álvaro Namén Vargas.</w:t>
            </w:r>
          </w:p>
          <w:p w14:paraId="14F682EF"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66645">
              <w:rPr>
                <w:rFonts w:ascii="Verdana" w:hAnsi="Verdana" w:cs="Arial"/>
              </w:rPr>
              <w:t xml:space="preserve">Consejo </w:t>
            </w:r>
            <w:r>
              <w:rPr>
                <w:rFonts w:ascii="Verdana" w:hAnsi="Verdana" w:cs="Arial"/>
              </w:rPr>
              <w:t>d</w:t>
            </w:r>
            <w:r w:rsidRPr="00F66645">
              <w:rPr>
                <w:rFonts w:ascii="Verdana" w:hAnsi="Verdana" w:cs="Arial"/>
              </w:rPr>
              <w:t xml:space="preserve">e Estado. Sección Tercera. </w:t>
            </w:r>
            <w:r w:rsidRPr="00E63F97">
              <w:rPr>
                <w:rFonts w:ascii="Verdana" w:hAnsi="Verdana" w:cs="Arial"/>
                <w:lang w:val="pt-BR"/>
              </w:rPr>
              <w:t xml:space="preserve">Sala Plena. Auto de 1 de agosto de 2019. </w:t>
            </w:r>
            <w:r w:rsidRPr="00F66645">
              <w:rPr>
                <w:rFonts w:ascii="Verdana" w:hAnsi="Verdana" w:cs="Arial"/>
              </w:rPr>
              <w:t>Exp. 62009. C.P. Jaime Enrique Rodríguez Navas.</w:t>
            </w:r>
          </w:p>
          <w:p w14:paraId="5009BF80"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465C90">
              <w:rPr>
                <w:rFonts w:ascii="Verdana" w:hAnsi="Verdana" w:cs="Arial"/>
              </w:rPr>
              <w:t>Consejo de Estado. Sección Tercera. Subsección A. Sentencia del 5 de febrero de 2021. Magistrada Ponente: María Adriana Marín. Expediente: 49.792.</w:t>
            </w:r>
          </w:p>
          <w:p w14:paraId="21045F94"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26276">
              <w:rPr>
                <w:rFonts w:ascii="Verdana" w:hAnsi="Verdana" w:cs="Arial"/>
              </w:rPr>
              <w:t xml:space="preserve">Consejo de Estado, </w:t>
            </w:r>
            <w:r>
              <w:rPr>
                <w:rFonts w:ascii="Verdana" w:hAnsi="Verdana" w:cs="Arial"/>
              </w:rPr>
              <w:t xml:space="preserve">Sala </w:t>
            </w:r>
            <w:r w:rsidRPr="00036583">
              <w:rPr>
                <w:rFonts w:ascii="Verdana" w:hAnsi="Verdana" w:cs="Arial"/>
              </w:rPr>
              <w:t>de Consulta y Servicio Civil</w:t>
            </w:r>
            <w:r>
              <w:rPr>
                <w:rFonts w:ascii="Verdana" w:hAnsi="Verdana" w:cs="Arial"/>
              </w:rPr>
              <w:t>. C</w:t>
            </w:r>
            <w:r w:rsidRPr="00F26276">
              <w:rPr>
                <w:rFonts w:ascii="Verdana" w:hAnsi="Verdana" w:cs="Arial"/>
              </w:rPr>
              <w:t>oncepto del 8 de marzo de 2017, radicado No. 2298, y con ponencia del Consejero Édgar González</w:t>
            </w:r>
          </w:p>
          <w:p w14:paraId="3FD36E95"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6D4BCE">
              <w:rPr>
                <w:rFonts w:ascii="Verdana" w:hAnsi="Verdana" w:cs="Arial"/>
              </w:rPr>
              <w:t xml:space="preserve">Consejo de Estado. Sección Tercera. Subsección “C”. Radicado No. 11001-03-26-000-2015-00165-00. Número interno 55.813. M.P. Jaime Orlando Santofimio Gamboa. Sentencia del 10 de octubre de </w:t>
            </w:r>
            <w:r w:rsidRPr="006D4BCE">
              <w:rPr>
                <w:rFonts w:ascii="Verdana" w:hAnsi="Verdana" w:cs="Arial"/>
              </w:rPr>
              <w:lastRenderedPageBreak/>
              <w:t>2016</w:t>
            </w:r>
          </w:p>
          <w:p w14:paraId="2D461E5A"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 xml:space="preserve">Agencia Nacional de Contratación Pública – Colombia Compra Eficiente. </w:t>
            </w:r>
            <w:r w:rsidRPr="00CA794C">
              <w:rPr>
                <w:rFonts w:ascii="Verdana" w:hAnsi="Verdana" w:cs="Arial"/>
              </w:rPr>
              <w:t>Concepto C-548 de 2021</w:t>
            </w:r>
            <w:r>
              <w:rPr>
                <w:rFonts w:ascii="Verdana" w:hAnsi="Verdana" w:cs="Arial"/>
              </w:rPr>
              <w:t xml:space="preserve">: </w:t>
            </w:r>
            <w:hyperlink r:id="rId9" w:history="1">
              <w:r w:rsidRPr="008B27C8">
                <w:rPr>
                  <w:rStyle w:val="Hipervnculo"/>
                  <w:rFonts w:ascii="Verdana" w:hAnsi="Verdana" w:cs="Arial"/>
                </w:rPr>
                <w:t>https://relatoria.colombiacompra.gov.co/conceptos/c-548-de-2021/</w:t>
              </w:r>
            </w:hyperlink>
            <w:r>
              <w:rPr>
                <w:rFonts w:ascii="Verdana" w:hAnsi="Verdana" w:cs="Arial"/>
              </w:rPr>
              <w:t xml:space="preserve"> </w:t>
            </w:r>
          </w:p>
          <w:p w14:paraId="76071C76" w14:textId="77777777" w:rsidR="00680A66" w:rsidRDefault="00680A66" w:rsidP="00680A66">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 xml:space="preserve">Agencia Nacional de Contratación Pública – Colombia Compra Eficiente. </w:t>
            </w:r>
            <w:r w:rsidRPr="00CA794C">
              <w:rPr>
                <w:rFonts w:ascii="Verdana" w:hAnsi="Verdana" w:cs="Arial"/>
              </w:rPr>
              <w:t>Concepto C-</w:t>
            </w:r>
            <w:r>
              <w:rPr>
                <w:rFonts w:ascii="Verdana" w:hAnsi="Verdana" w:cs="Arial"/>
              </w:rPr>
              <w:t>168</w:t>
            </w:r>
            <w:r w:rsidRPr="00CA794C">
              <w:rPr>
                <w:rFonts w:ascii="Verdana" w:hAnsi="Verdana" w:cs="Arial"/>
              </w:rPr>
              <w:t xml:space="preserve"> de 2021</w:t>
            </w:r>
            <w:r>
              <w:rPr>
                <w:rFonts w:ascii="Verdana" w:hAnsi="Verdana" w:cs="Arial"/>
              </w:rPr>
              <w:t>:</w:t>
            </w:r>
            <w:r>
              <w:t xml:space="preserve"> </w:t>
            </w:r>
            <w:hyperlink r:id="rId10" w:history="1">
              <w:r w:rsidRPr="008B27C8">
                <w:rPr>
                  <w:rStyle w:val="Hipervnculo"/>
                  <w:rFonts w:ascii="Verdana" w:hAnsi="Verdana" w:cs="Arial"/>
                </w:rPr>
                <w:t>https://relatoria.colombiacompra.gov.co/conceptos/c-168-de-2021/</w:t>
              </w:r>
            </w:hyperlink>
            <w:r>
              <w:rPr>
                <w:rFonts w:ascii="Verdana" w:hAnsi="Verdana" w:cs="Arial"/>
              </w:rPr>
              <w:t xml:space="preserve"> </w:t>
            </w:r>
          </w:p>
          <w:p w14:paraId="09DBDCCC" w14:textId="77777777" w:rsidR="00680A66" w:rsidRPr="002B7FAD" w:rsidRDefault="00680A66" w:rsidP="00F31FB3">
            <w:pPr>
              <w:pStyle w:val="Prrafodelista"/>
              <w:widowControl w:val="0"/>
              <w:tabs>
                <w:tab w:val="left" w:pos="8419"/>
              </w:tabs>
              <w:autoSpaceDE w:val="0"/>
              <w:autoSpaceDN w:val="0"/>
              <w:spacing w:line="276" w:lineRule="auto"/>
              <w:jc w:val="both"/>
              <w:rPr>
                <w:rFonts w:ascii="Verdana" w:hAnsi="Verdana" w:cs="Arial"/>
              </w:rPr>
            </w:pPr>
            <w:r w:rsidRPr="002B7FAD">
              <w:rPr>
                <w:rFonts w:ascii="Verdana" w:hAnsi="Verdana" w:cs="Arial"/>
              </w:rPr>
              <w:t>COLOMBIA COMPRA EFICIENTE. Guía para la Liquidación de los Procesos de Contratación. Página 5, disponible en:</w:t>
            </w:r>
          </w:p>
          <w:p w14:paraId="52B23063" w14:textId="77777777" w:rsidR="00680A66" w:rsidRPr="006D4BCE" w:rsidRDefault="00680A66" w:rsidP="00F31FB3">
            <w:pPr>
              <w:pStyle w:val="Prrafodelista"/>
              <w:widowControl w:val="0"/>
              <w:tabs>
                <w:tab w:val="left" w:pos="8419"/>
              </w:tabs>
              <w:autoSpaceDE w:val="0"/>
              <w:autoSpaceDN w:val="0"/>
              <w:spacing w:line="276" w:lineRule="auto"/>
              <w:jc w:val="both"/>
              <w:rPr>
                <w:rFonts w:ascii="Verdana" w:hAnsi="Verdana" w:cs="Arial"/>
              </w:rPr>
            </w:pPr>
            <w:hyperlink r:id="rId11" w:history="1">
              <w:r w:rsidRPr="008B27C8">
                <w:rPr>
                  <w:rStyle w:val="Hipervnculo"/>
                  <w:rFonts w:ascii="Verdana" w:hAnsi="Verdana" w:cs="Arial"/>
                </w:rPr>
                <w:t>https://www.colombiacompra.gov.co/sites/cce_public/files/cce_documents/cce_guia_liquidacion_procesos.pdf</w:t>
              </w:r>
            </w:hyperlink>
            <w:r>
              <w:rPr>
                <w:rFonts w:ascii="Verdana" w:hAnsi="Verdana" w:cs="Arial"/>
              </w:rPr>
              <w:t xml:space="preserve"> </w:t>
            </w:r>
          </w:p>
        </w:tc>
      </w:tr>
    </w:tbl>
    <w:p w14:paraId="5ADC9B65" w14:textId="77777777" w:rsidR="00680A66" w:rsidRPr="00E63F97" w:rsidRDefault="00680A66" w:rsidP="00680A66">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ES"/>
        </w:rPr>
      </w:pPr>
    </w:p>
    <w:p w14:paraId="5C426049" w14:textId="77777777" w:rsidR="00680A66" w:rsidRPr="00BE151B" w:rsidRDefault="00680A66" w:rsidP="00680A6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7974AE40" w14:textId="77777777" w:rsidR="00680A66" w:rsidRPr="00BE151B" w:rsidRDefault="00680A66" w:rsidP="00680A66">
      <w:pPr>
        <w:spacing w:after="0" w:line="276" w:lineRule="auto"/>
        <w:ind w:firstLine="709"/>
        <w:jc w:val="both"/>
        <w:rPr>
          <w:rFonts w:ascii="Verdana" w:eastAsia="Times New Roman" w:hAnsi="Verdana" w:cs="Arial"/>
          <w:szCs w:val="24"/>
          <w:lang w:eastAsia="es-ES_tradnl"/>
        </w:rPr>
      </w:pPr>
    </w:p>
    <w:p w14:paraId="0C4DD65F" w14:textId="77777777" w:rsidR="00680A66" w:rsidRDefault="00680A66" w:rsidP="00680A66">
      <w:pPr>
        <w:widowControl w:val="0"/>
        <w:autoSpaceDE w:val="0"/>
        <w:autoSpaceDN w:val="0"/>
        <w:spacing w:after="0" w:line="276" w:lineRule="auto"/>
        <w:jc w:val="both"/>
        <w:rPr>
          <w:rStyle w:val="normaltextrun"/>
          <w:rFonts w:ascii="Verdana" w:hAnsi="Verdana"/>
          <w:color w:val="000000"/>
        </w:rPr>
      </w:pPr>
      <w:r>
        <w:rPr>
          <w:rStyle w:val="normaltextrun"/>
          <w:rFonts w:ascii="Verdana" w:hAnsi="Verdana"/>
          <w:color w:val="000000"/>
        </w:rPr>
        <w:t>Además de los conceptos citados en el texto de la presente respuesta, esta Subdirección se ha pronunciado sobre la liquidación en los Conceptos 4201912000004908 del 27 de septiembre de 2019, CU-028 de 25 de febrero de 2020, C-221 de 21 de abril de 2020, C-078 del 17 de marzo de 2021, C-220 del 18 de mayo de 2021, C-444 del 23 de julio de 2021, C-747 del 8 de noviembre de 2022, C-739 de del 29 de noviembre de 2022, C- 176 de 3 de mayo de 2023, C-158 del 6 de junio de 2023, C-326 del 15 de agosto de 2024 y C-568 del 18 de octubre de 2024. Estos y otros se encuentran disponibles para consulta en el Sistema de relatoría de la Agencia, al cual puede accederse a través del siguiente enlace:</w:t>
      </w:r>
    </w:p>
    <w:p w14:paraId="2125BD93" w14:textId="77777777" w:rsidR="00680A66" w:rsidRDefault="00680A66" w:rsidP="00680A66">
      <w:pPr>
        <w:widowControl w:val="0"/>
        <w:autoSpaceDE w:val="0"/>
        <w:autoSpaceDN w:val="0"/>
        <w:spacing w:after="0" w:line="276" w:lineRule="auto"/>
        <w:jc w:val="both"/>
        <w:rPr>
          <w:rStyle w:val="normaltextrun"/>
          <w:rFonts w:ascii="Verdana" w:hAnsi="Verdana"/>
          <w:color w:val="000000"/>
        </w:rPr>
      </w:pPr>
    </w:p>
    <w:p w14:paraId="3FE679AF" w14:textId="77777777" w:rsidR="00680A66" w:rsidRDefault="00680A66" w:rsidP="00680A66">
      <w:pPr>
        <w:widowControl w:val="0"/>
        <w:autoSpaceDE w:val="0"/>
        <w:autoSpaceDN w:val="0"/>
        <w:spacing w:after="0" w:line="276" w:lineRule="auto"/>
        <w:jc w:val="both"/>
        <w:rPr>
          <w:rFonts w:ascii="Verdana" w:eastAsia="Calibri" w:hAnsi="Verdana" w:cs="Arial"/>
          <w:lang w:eastAsia="es-ES_tradnl"/>
        </w:rPr>
      </w:pPr>
      <w:hyperlink r:id="rId12"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w:t>
      </w:r>
    </w:p>
    <w:p w14:paraId="07D6FAC8" w14:textId="77777777" w:rsidR="00680A66" w:rsidRDefault="00680A66" w:rsidP="00680A66">
      <w:pPr>
        <w:widowControl w:val="0"/>
        <w:autoSpaceDE w:val="0"/>
        <w:autoSpaceDN w:val="0"/>
        <w:spacing w:after="0" w:line="276" w:lineRule="auto"/>
        <w:jc w:val="both"/>
        <w:rPr>
          <w:rFonts w:ascii="Verdana" w:eastAsia="Calibri" w:hAnsi="Verdana" w:cs="Arial"/>
          <w:lang w:eastAsia="es-ES_tradnl"/>
        </w:rPr>
      </w:pPr>
    </w:p>
    <w:p w14:paraId="5D5F73B7" w14:textId="77777777" w:rsidR="00680A66" w:rsidRPr="00185AF7" w:rsidRDefault="00680A66" w:rsidP="00680A66">
      <w:pPr>
        <w:widowControl w:val="0"/>
        <w:autoSpaceDE w:val="0"/>
        <w:autoSpaceDN w:val="0"/>
        <w:spacing w:after="0" w:line="276" w:lineRule="auto"/>
        <w:jc w:val="both"/>
        <w:rPr>
          <w:rFonts w:ascii="Verdana" w:eastAsia="Calibri" w:hAnsi="Verdana" w:cs="Arial"/>
          <w:lang w:eastAsia="es-ES_tradnl"/>
        </w:rPr>
      </w:pPr>
      <w:r w:rsidRPr="00185AF7">
        <w:rPr>
          <w:rFonts w:ascii="Verdana" w:eastAsia="Calibri" w:hAnsi="Verdana" w:cs="Arial"/>
          <w:lang w:eastAsia="es-ES_tradn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185AF7">
          <w:rPr>
            <w:rStyle w:val="Hipervnculo"/>
            <w:rFonts w:ascii="Verdana" w:eastAsia="Calibri" w:hAnsi="Verdana" w:cs="Arial"/>
            <w:lang w:eastAsia="es-ES_tradnl"/>
          </w:rPr>
          <w:t>manual_para_el_manejo_de_acuerdos_comerciales_vf.pdf</w:t>
        </w:r>
      </w:hyperlink>
    </w:p>
    <w:p w14:paraId="31E72200" w14:textId="77777777" w:rsidR="00680A66" w:rsidRDefault="00680A66" w:rsidP="00680A66">
      <w:pPr>
        <w:widowControl w:val="0"/>
        <w:autoSpaceDE w:val="0"/>
        <w:autoSpaceDN w:val="0"/>
        <w:spacing w:after="0" w:line="276" w:lineRule="auto"/>
        <w:jc w:val="both"/>
        <w:rPr>
          <w:rFonts w:ascii="Verdana" w:eastAsia="Calibri" w:hAnsi="Verdana" w:cs="Arial"/>
          <w:lang w:eastAsia="es-ES_tradnl"/>
        </w:rPr>
      </w:pPr>
    </w:p>
    <w:p w14:paraId="0B1030C5" w14:textId="77777777" w:rsidR="00680A66" w:rsidRPr="00185AF7" w:rsidRDefault="00680A66" w:rsidP="00680A66">
      <w:pPr>
        <w:widowControl w:val="0"/>
        <w:autoSpaceDE w:val="0"/>
        <w:autoSpaceDN w:val="0"/>
        <w:spacing w:after="0" w:line="276" w:lineRule="auto"/>
        <w:jc w:val="both"/>
        <w:rPr>
          <w:rFonts w:ascii="Verdana" w:eastAsia="Calibri" w:hAnsi="Verdana" w:cs="Arial"/>
          <w:lang w:eastAsia="es-ES_tradnl"/>
        </w:rPr>
      </w:pPr>
      <w:r w:rsidRPr="00185AF7">
        <w:rPr>
          <w:rFonts w:ascii="Verdana" w:eastAsia="Calibri" w:hAnsi="Verdana" w:cs="Arial"/>
          <w:lang w:eastAsia="es-ES_tradnl"/>
        </w:rPr>
        <w:t>De otra parte, te contamos que ya publicamos el borrador de la nueva Guía para Incentivar la Participación de Mujeres en el Sistema de Compras y Contratación Pública. Conoce el documento y realiza tus comentarios hasta el 2 de diciembre de 2024</w:t>
      </w:r>
      <w:r w:rsidRPr="00185AF7">
        <w:rPr>
          <w:rFonts w:ascii="Verdana" w:eastAsia="Calibri" w:hAnsi="Verdana" w:cs="Arial"/>
          <w:b/>
          <w:bCs/>
          <w:lang w:eastAsia="es-ES_tradnl"/>
        </w:rPr>
        <w:t> </w:t>
      </w:r>
      <w:r w:rsidRPr="00185AF7">
        <w:rPr>
          <w:rFonts w:ascii="Verdana" w:eastAsia="Calibri" w:hAnsi="Verdana" w:cs="Arial"/>
          <w:lang w:eastAsia="es-ES_tradnl"/>
        </w:rPr>
        <w:t>a través de estos enlaces:</w:t>
      </w:r>
    </w:p>
    <w:p w14:paraId="072BB615" w14:textId="77777777" w:rsidR="00680A66" w:rsidRPr="00185AF7" w:rsidRDefault="00680A66" w:rsidP="00680A66">
      <w:pPr>
        <w:widowControl w:val="0"/>
        <w:numPr>
          <w:ilvl w:val="0"/>
          <w:numId w:val="3"/>
        </w:numPr>
        <w:autoSpaceDE w:val="0"/>
        <w:autoSpaceDN w:val="0"/>
        <w:spacing w:after="0" w:line="276" w:lineRule="auto"/>
        <w:jc w:val="both"/>
        <w:rPr>
          <w:rFonts w:ascii="Verdana" w:eastAsia="Calibri" w:hAnsi="Verdana" w:cs="Arial"/>
          <w:lang w:eastAsia="es-ES_tradnl"/>
        </w:rPr>
      </w:pPr>
      <w:r w:rsidRPr="00185AF7">
        <w:rPr>
          <w:rFonts w:ascii="Verdana" w:eastAsia="Calibri" w:hAnsi="Verdana" w:cs="Arial"/>
          <w:lang w:eastAsia="es-ES_tradnl"/>
        </w:rPr>
        <w:lastRenderedPageBreak/>
        <w:t>Enlace página ANCP-CCE: </w:t>
      </w:r>
      <w:hyperlink r:id="rId14" w:tgtFrame="_blank" w:tooltip="Dirección URL original: https://www.colombiacompra.gov.co/content/convocatorias. Haga clic o pulse si confía en este vínculo." w:history="1">
        <w:r w:rsidRPr="00185AF7">
          <w:rPr>
            <w:rStyle w:val="Hipervnculo"/>
            <w:rFonts w:ascii="Verdana" w:eastAsia="Calibri" w:hAnsi="Verdana" w:cs="Arial"/>
            <w:lang w:eastAsia="es-ES_tradnl"/>
          </w:rPr>
          <w:t>https://www.colombiacompra.gov.co/content/convocatorias</w:t>
        </w:r>
      </w:hyperlink>
    </w:p>
    <w:p w14:paraId="32F5062B" w14:textId="77777777" w:rsidR="00680A66" w:rsidRPr="00185AF7" w:rsidRDefault="00680A66" w:rsidP="00680A66">
      <w:pPr>
        <w:widowControl w:val="0"/>
        <w:numPr>
          <w:ilvl w:val="0"/>
          <w:numId w:val="3"/>
        </w:numPr>
        <w:autoSpaceDE w:val="0"/>
        <w:autoSpaceDN w:val="0"/>
        <w:spacing w:after="0" w:line="276" w:lineRule="auto"/>
        <w:jc w:val="both"/>
        <w:rPr>
          <w:rFonts w:ascii="Verdana" w:eastAsia="Calibri" w:hAnsi="Verdana" w:cs="Arial"/>
          <w:lang w:val="en-US" w:eastAsia="es-ES_tradnl"/>
        </w:rPr>
      </w:pPr>
      <w:r w:rsidRPr="00185AF7">
        <w:rPr>
          <w:rFonts w:ascii="Verdana" w:eastAsia="Calibri" w:hAnsi="Verdana" w:cs="Arial"/>
          <w:lang w:val="en-US" w:eastAsia="es-ES_tradnl"/>
        </w:rPr>
        <w:t>Enlace SUCOP:  </w:t>
      </w:r>
      <w:hyperlink r:id="rId15" w:tgtFrame="_blank" w:tooltip="Dirección URL original: https://www.sucop.gov.co/entidades/colombiacompra/Normativa?IDNorma=19201. Haga clic o pulse si confía en este vínculo." w:history="1">
        <w:r w:rsidRPr="00185AF7">
          <w:rPr>
            <w:rStyle w:val="Hipervnculo"/>
            <w:rFonts w:ascii="Verdana" w:eastAsia="Calibri" w:hAnsi="Verdana" w:cs="Arial"/>
            <w:lang w:val="en-US" w:eastAsia="es-ES_tradnl"/>
          </w:rPr>
          <w:t>https://www.sucop.gov.co/entidades/colombiacompra/Normativa?IDNorma=19201</w:t>
        </w:r>
      </w:hyperlink>
    </w:p>
    <w:p w14:paraId="7CFA5E7C" w14:textId="77777777" w:rsidR="00680A66" w:rsidRPr="00185AF7" w:rsidRDefault="00680A66" w:rsidP="00680A66">
      <w:pPr>
        <w:widowControl w:val="0"/>
        <w:autoSpaceDE w:val="0"/>
        <w:autoSpaceDN w:val="0"/>
        <w:spacing w:after="0" w:line="276" w:lineRule="auto"/>
        <w:jc w:val="both"/>
        <w:rPr>
          <w:rFonts w:ascii="Verdana" w:eastAsia="Calibri" w:hAnsi="Verdana" w:cs="Arial"/>
          <w:lang w:val="en-US" w:eastAsia="es-ES_tradnl"/>
        </w:rPr>
      </w:pPr>
      <w:r w:rsidRPr="00185AF7">
        <w:rPr>
          <w:rFonts w:ascii="Verdana" w:eastAsia="Calibri" w:hAnsi="Verdana" w:cs="Arial"/>
          <w:lang w:val="en-US" w:eastAsia="es-ES_tradnl"/>
        </w:rPr>
        <w:t> </w:t>
      </w:r>
    </w:p>
    <w:p w14:paraId="2C07A419" w14:textId="77777777" w:rsidR="00680A66" w:rsidRPr="00185AF7" w:rsidRDefault="00680A66" w:rsidP="00680A66">
      <w:pPr>
        <w:widowControl w:val="0"/>
        <w:autoSpaceDE w:val="0"/>
        <w:autoSpaceDN w:val="0"/>
        <w:spacing w:after="0" w:line="276" w:lineRule="auto"/>
        <w:jc w:val="both"/>
        <w:rPr>
          <w:rFonts w:ascii="Verdana" w:eastAsia="Calibri" w:hAnsi="Verdana" w:cs="Arial"/>
          <w:lang w:eastAsia="es-ES_tradnl"/>
        </w:rPr>
      </w:pPr>
      <w:r w:rsidRPr="00185AF7">
        <w:rPr>
          <w:rFonts w:ascii="Verdana" w:eastAsia="Calibri" w:hAnsi="Verdana" w:cs="Arial"/>
          <w:lang w:eastAsia="es-ES_tradnl"/>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185AF7">
          <w:rPr>
            <w:rStyle w:val="Hipervnculo"/>
            <w:rFonts w:ascii="Verdana" w:eastAsia="Calibri" w:hAnsi="Verdana" w:cs="Arial"/>
            <w:lang w:eastAsia="es-ES_tradnl"/>
          </w:rPr>
          <w:t>https://www.colombiacompra.gov.co/sala-de-prensa/boletin-digital</w:t>
        </w:r>
      </w:hyperlink>
    </w:p>
    <w:p w14:paraId="3C2F2009" w14:textId="77777777" w:rsidR="00680A66" w:rsidRPr="00BE151B" w:rsidRDefault="00680A66" w:rsidP="00680A66">
      <w:pPr>
        <w:spacing w:after="0" w:line="240" w:lineRule="auto"/>
        <w:jc w:val="both"/>
        <w:rPr>
          <w:rFonts w:ascii="Verdana" w:hAnsi="Verdana"/>
        </w:rPr>
      </w:pPr>
    </w:p>
    <w:p w14:paraId="76ECC1A6" w14:textId="77777777" w:rsidR="00680A66" w:rsidRPr="00BE151B" w:rsidRDefault="00680A66" w:rsidP="00680A66">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73CDE8F9" w14:textId="77777777" w:rsidR="00680A66" w:rsidRPr="00BE151B" w:rsidRDefault="00680A66" w:rsidP="00680A66">
      <w:pPr>
        <w:spacing w:after="0" w:line="240" w:lineRule="auto"/>
        <w:jc w:val="both"/>
        <w:rPr>
          <w:rFonts w:ascii="Verdana" w:hAnsi="Verdana"/>
        </w:rPr>
      </w:pPr>
    </w:p>
    <w:p w14:paraId="3D6F9969" w14:textId="77777777" w:rsidR="00680A66" w:rsidRPr="00BE151B" w:rsidRDefault="00680A66" w:rsidP="00680A66">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7D5D1BD8" w14:textId="77777777" w:rsidR="00680A66" w:rsidRPr="00BE151B" w:rsidRDefault="00680A66" w:rsidP="00680A66">
      <w:pPr>
        <w:spacing w:after="0" w:line="240" w:lineRule="auto"/>
        <w:jc w:val="both"/>
        <w:rPr>
          <w:rFonts w:ascii="Verdana" w:hAnsi="Verdana"/>
        </w:rPr>
      </w:pPr>
      <w:r w:rsidRPr="00BE151B">
        <w:rPr>
          <w:rFonts w:ascii="Verdana" w:hAnsi="Verdana"/>
        </w:rPr>
        <w:t xml:space="preserve">Facebook: </w:t>
      </w:r>
      <w:r w:rsidRPr="00BE151B">
        <w:rPr>
          <w:rStyle w:val="Hipervnculo"/>
          <w:rFonts w:ascii="Verdana" w:hAnsi="Verdana"/>
          <w:color w:val="4472C4" w:themeColor="accent1"/>
        </w:rPr>
        <w:t>ColombiaCompraEficiente</w:t>
      </w:r>
    </w:p>
    <w:p w14:paraId="78023157" w14:textId="77777777" w:rsidR="00680A66" w:rsidRPr="00BE151B" w:rsidRDefault="00680A66" w:rsidP="00680A66">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072BCAD3" w14:textId="77777777" w:rsidR="00680A66" w:rsidRPr="00BE151B" w:rsidRDefault="00680A66" w:rsidP="00680A66">
      <w:pPr>
        <w:widowControl w:val="0"/>
        <w:autoSpaceDE w:val="0"/>
        <w:autoSpaceDN w:val="0"/>
        <w:spacing w:after="0" w:line="276" w:lineRule="auto"/>
        <w:jc w:val="both"/>
        <w:rPr>
          <w:rFonts w:ascii="Verdana" w:hAnsi="Verdana"/>
        </w:rPr>
      </w:pPr>
    </w:p>
    <w:p w14:paraId="3610A9A4" w14:textId="77777777" w:rsidR="00680A66" w:rsidRPr="00BE151B" w:rsidRDefault="00680A66" w:rsidP="00680A66">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848B9C4" w14:textId="77777777" w:rsidR="00680A66" w:rsidRPr="00BE151B" w:rsidRDefault="00680A66" w:rsidP="00680A66">
      <w:pPr>
        <w:spacing w:after="0" w:line="276" w:lineRule="auto"/>
        <w:ind w:firstLine="709"/>
        <w:jc w:val="both"/>
        <w:rPr>
          <w:rFonts w:ascii="Verdana" w:eastAsia="Times New Roman" w:hAnsi="Verdana" w:cs="Arial"/>
          <w:szCs w:val="24"/>
          <w:lang w:eastAsia="es-ES_tradnl"/>
        </w:rPr>
      </w:pPr>
    </w:p>
    <w:p w14:paraId="590B6F17" w14:textId="77777777" w:rsidR="00680A66" w:rsidRPr="00BE151B" w:rsidRDefault="00680A66" w:rsidP="00680A66">
      <w:pPr>
        <w:spacing w:after="0" w:line="276" w:lineRule="auto"/>
        <w:jc w:val="both"/>
        <w:rPr>
          <w:rFonts w:ascii="Verdana" w:eastAsia="Times New Roman" w:hAnsi="Verdana" w:cs="Arial"/>
          <w:lang w:eastAsia="es-CO"/>
        </w:rPr>
      </w:pPr>
      <w:bookmarkStart w:id="0" w:name="_Hlk117695077"/>
      <w:r w:rsidRPr="00BE151B">
        <w:rPr>
          <w:rFonts w:ascii="Verdana" w:eastAsia="Times New Roman" w:hAnsi="Verdana" w:cs="Arial"/>
          <w:lang w:eastAsia="es-CO"/>
        </w:rPr>
        <w:t>Atentamente,</w:t>
      </w:r>
    </w:p>
    <w:bookmarkEnd w:id="0"/>
    <w:p w14:paraId="26B1ABDC" w14:textId="1FB067B5" w:rsidR="00680A66" w:rsidRPr="00BE151B" w:rsidRDefault="0017257F" w:rsidP="00680A66">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4D87481F" wp14:editId="59E69E0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680A66" w:rsidRPr="00BE151B" w14:paraId="3DD291E1" w14:textId="77777777" w:rsidTr="00F31FB3">
        <w:trPr>
          <w:trHeight w:val="286"/>
        </w:trPr>
        <w:tc>
          <w:tcPr>
            <w:tcW w:w="893" w:type="dxa"/>
            <w:vAlign w:val="center"/>
            <w:hideMark/>
          </w:tcPr>
          <w:p w14:paraId="091ADCFC" w14:textId="77777777" w:rsidR="00680A66" w:rsidRPr="00BE151B" w:rsidRDefault="00680A66"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669C5CA7" w14:textId="77777777" w:rsidR="00680A66" w:rsidRPr="00BE151B" w:rsidRDefault="00680A66" w:rsidP="00F31FB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179B59D9" w14:textId="77777777" w:rsidR="00680A66" w:rsidRPr="00BE151B" w:rsidRDefault="00680A66"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680A66" w:rsidRPr="00BE151B" w14:paraId="1DC7C6B4" w14:textId="77777777" w:rsidTr="00F31FB3">
        <w:trPr>
          <w:trHeight w:val="299"/>
        </w:trPr>
        <w:tc>
          <w:tcPr>
            <w:tcW w:w="893" w:type="dxa"/>
            <w:vAlign w:val="center"/>
            <w:hideMark/>
          </w:tcPr>
          <w:p w14:paraId="5233397B" w14:textId="77777777" w:rsidR="00680A66" w:rsidRPr="00BE151B" w:rsidRDefault="00680A66"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12310E3C" w14:textId="77777777" w:rsidR="00680A66" w:rsidRPr="00BE151B" w:rsidRDefault="00680A66" w:rsidP="00F31FB3">
            <w:pPr>
              <w:rPr>
                <w:rFonts w:ascii="Verdana" w:eastAsia="Times New Roman" w:hAnsi="Verdana" w:cs="Arial"/>
                <w:sz w:val="16"/>
                <w:szCs w:val="16"/>
                <w:lang w:eastAsia="es-ES"/>
              </w:rPr>
            </w:pPr>
            <w:r>
              <w:rPr>
                <w:rFonts w:ascii="Verdana" w:eastAsia="Times New Roman" w:hAnsi="Verdana" w:cs="Arial"/>
                <w:sz w:val="16"/>
                <w:szCs w:val="16"/>
                <w:lang w:eastAsia="es-ES"/>
              </w:rPr>
              <w:t>Ximena Ríos López</w:t>
            </w:r>
          </w:p>
          <w:p w14:paraId="7EFBD282" w14:textId="77777777" w:rsidR="00680A66" w:rsidRPr="00BE151B" w:rsidRDefault="00680A66" w:rsidP="00F31FB3">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Gestor T1 -11 </w:t>
            </w:r>
            <w:r w:rsidRPr="00BE151B">
              <w:rPr>
                <w:rFonts w:ascii="Verdana" w:eastAsia="Times New Roman" w:hAnsi="Verdana" w:cs="Arial"/>
                <w:sz w:val="16"/>
                <w:szCs w:val="16"/>
                <w:lang w:eastAsia="es-ES"/>
              </w:rPr>
              <w:t>de la Subdirección de Gestión Contractual</w:t>
            </w:r>
          </w:p>
        </w:tc>
      </w:tr>
      <w:tr w:rsidR="00680A66" w:rsidRPr="00BE151B" w14:paraId="764A0CD9" w14:textId="77777777" w:rsidTr="00F31FB3">
        <w:trPr>
          <w:trHeight w:val="272"/>
        </w:trPr>
        <w:tc>
          <w:tcPr>
            <w:tcW w:w="893" w:type="dxa"/>
            <w:vAlign w:val="center"/>
            <w:hideMark/>
          </w:tcPr>
          <w:p w14:paraId="141EBC70" w14:textId="77777777" w:rsidR="00680A66" w:rsidRPr="00BE151B" w:rsidRDefault="00680A66"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7A2FCE61" w14:textId="77777777" w:rsidR="00680A66" w:rsidRPr="00BE151B" w:rsidRDefault="00680A66" w:rsidP="00F31FB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170D5A33" w14:textId="77777777" w:rsidR="00680A66" w:rsidRPr="00BE151B" w:rsidRDefault="00680A66"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11DBD520" w14:textId="77777777" w:rsidR="00680A66" w:rsidRPr="00BE151B" w:rsidRDefault="00680A66" w:rsidP="00680A66">
      <w:pPr>
        <w:spacing w:after="0" w:line="276" w:lineRule="auto"/>
        <w:jc w:val="both"/>
        <w:rPr>
          <w:rFonts w:ascii="Verdana" w:eastAsia="Times New Roman" w:hAnsi="Verdana" w:cs="Arial"/>
        </w:rPr>
      </w:pPr>
    </w:p>
    <w:p w14:paraId="398BDC81" w14:textId="77777777" w:rsidR="00680A66" w:rsidRDefault="00680A66" w:rsidP="00680A66"/>
    <w:p w14:paraId="45971D53" w14:textId="77777777" w:rsidR="00680A66" w:rsidRPr="00906961" w:rsidRDefault="00680A66" w:rsidP="00680A66"/>
    <w:p w14:paraId="1D509843" w14:textId="77777777" w:rsidR="00C24FFE" w:rsidRDefault="00C24FFE"/>
    <w:sectPr w:rsidR="00C24FFE" w:rsidSect="00680A66">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D76D9" w14:textId="77777777" w:rsidR="00C42EF3" w:rsidRDefault="00C42EF3" w:rsidP="00680A66">
      <w:pPr>
        <w:spacing w:after="0" w:line="240" w:lineRule="auto"/>
      </w:pPr>
      <w:r>
        <w:separator/>
      </w:r>
    </w:p>
  </w:endnote>
  <w:endnote w:type="continuationSeparator" w:id="0">
    <w:p w14:paraId="68648034" w14:textId="77777777" w:rsidR="00C42EF3" w:rsidRDefault="00C42EF3" w:rsidP="00680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962BD" w14:textId="77777777" w:rsidR="00EC092C" w:rsidRDefault="00EC092C">
    <w:pPr>
      <w:pStyle w:val="Piedepgina"/>
    </w:pPr>
  </w:p>
  <w:p w14:paraId="2C8DE393" w14:textId="77777777" w:rsidR="00EC092C"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A603BFE" w14:textId="77777777" w:rsidR="00EC092C"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8EA64F4" w14:textId="77777777" w:rsidR="00EC092C"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132FAAC7" w14:textId="77777777" w:rsidR="00EC092C"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A1A45" w14:textId="77777777" w:rsidR="00C42EF3" w:rsidRDefault="00C42EF3" w:rsidP="00680A66">
      <w:pPr>
        <w:spacing w:after="0" w:line="240" w:lineRule="auto"/>
      </w:pPr>
      <w:r>
        <w:separator/>
      </w:r>
    </w:p>
  </w:footnote>
  <w:footnote w:type="continuationSeparator" w:id="0">
    <w:p w14:paraId="094467AE" w14:textId="77777777" w:rsidR="00C42EF3" w:rsidRDefault="00C42EF3" w:rsidP="00680A66">
      <w:pPr>
        <w:spacing w:after="0" w:line="240" w:lineRule="auto"/>
      </w:pPr>
      <w:r>
        <w:continuationSeparator/>
      </w:r>
    </w:p>
  </w:footnote>
  <w:footnote w:id="1">
    <w:p w14:paraId="24C85837" w14:textId="77777777" w:rsidR="00680A66" w:rsidRPr="000954A9" w:rsidRDefault="00680A66" w:rsidP="00680A66">
      <w:pPr>
        <w:spacing w:after="0"/>
        <w:ind w:firstLine="709"/>
        <w:jc w:val="both"/>
        <w:rPr>
          <w:rFonts w:ascii="Verdana" w:hAnsi="Verdana" w:cs="Arial"/>
          <w:color w:val="000000" w:themeColor="text1"/>
          <w:sz w:val="14"/>
          <w:szCs w:val="14"/>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34ECF991"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p>
  </w:footnote>
  <w:footnote w:id="2">
    <w:p w14:paraId="022F0360" w14:textId="77777777" w:rsidR="00680A66" w:rsidRPr="000954A9" w:rsidRDefault="00680A66" w:rsidP="00680A66">
      <w:pPr>
        <w:pStyle w:val="Textonotapie"/>
        <w:ind w:firstLine="709"/>
        <w:jc w:val="both"/>
        <w:rPr>
          <w:rFonts w:ascii="Verdana" w:hAnsi="Verdana" w:cs="Arial"/>
          <w:color w:val="000000" w:themeColor="text1"/>
          <w:sz w:val="14"/>
          <w:szCs w:val="14"/>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Ibíd.</w:t>
      </w:r>
    </w:p>
    <w:p w14:paraId="60A1293A" w14:textId="77777777" w:rsidR="00680A66" w:rsidRPr="000954A9" w:rsidRDefault="00680A66" w:rsidP="00680A66">
      <w:pPr>
        <w:pStyle w:val="Textonotapie"/>
        <w:ind w:firstLine="709"/>
        <w:jc w:val="both"/>
        <w:rPr>
          <w:rFonts w:ascii="Verdana" w:hAnsi="Verdana" w:cs="Arial"/>
          <w:color w:val="000000" w:themeColor="text1"/>
          <w:sz w:val="14"/>
          <w:szCs w:val="14"/>
        </w:rPr>
      </w:pPr>
    </w:p>
  </w:footnote>
  <w:footnote w:id="3">
    <w:p w14:paraId="21B78E7C"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w:t>
      </w:r>
      <w:r w:rsidRPr="000954A9">
        <w:rPr>
          <w:rFonts w:ascii="Verdana" w:hAnsi="Verdana" w:cs="Arial"/>
          <w:color w:val="000000" w:themeColor="text1"/>
          <w:sz w:val="14"/>
          <w:szCs w:val="14"/>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19E1F18F"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r w:rsidRPr="000954A9">
        <w:rPr>
          <w:rFonts w:ascii="Verdana" w:hAnsi="Verdana" w:cs="Arial"/>
          <w:color w:val="000000" w:themeColor="text1"/>
          <w:sz w:val="14"/>
          <w:szCs w:val="14"/>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0BFCAB82"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r w:rsidRPr="000954A9">
        <w:rPr>
          <w:rFonts w:ascii="Verdana" w:hAnsi="Verdana" w:cs="Arial"/>
          <w:color w:val="000000" w:themeColor="text1"/>
          <w:sz w:val="14"/>
          <w:szCs w:val="14"/>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774C424F"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r w:rsidRPr="000954A9">
        <w:rPr>
          <w:rFonts w:ascii="Verdana" w:hAnsi="Verdana" w:cs="Arial"/>
          <w:color w:val="000000" w:themeColor="text1"/>
          <w:sz w:val="14"/>
          <w:szCs w:val="14"/>
          <w:lang w:val="es-ES"/>
        </w:rPr>
        <w:t>Los contratistas tendrán derecho a efectuar salvedades a la liquidación por mutuo acuerdo, y en este evento la liquidación unilateral solo procederá en relación con los aspectos que no hayan sido objeto de acuerdo”.</w:t>
      </w:r>
    </w:p>
    <w:p w14:paraId="4398D7B8"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p>
  </w:footnote>
  <w:footnote w:id="4">
    <w:p w14:paraId="599893F8" w14:textId="77777777" w:rsidR="00680A66" w:rsidRPr="000954A9" w:rsidRDefault="00680A66" w:rsidP="00680A66">
      <w:pPr>
        <w:pStyle w:val="Textonotapie"/>
        <w:ind w:firstLine="709"/>
        <w:jc w:val="both"/>
        <w:rPr>
          <w:rFonts w:ascii="Verdana" w:hAnsi="Verdana" w:cs="Arial"/>
          <w:color w:val="000000" w:themeColor="text1"/>
          <w:sz w:val="14"/>
          <w:szCs w:val="14"/>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COLOMBIA COMPRA EFICIENTE. Guía para la Liquidación de los Procesos de Contratación. Página 5, disponible en:</w:t>
      </w:r>
    </w:p>
    <w:p w14:paraId="4D718109" w14:textId="77777777" w:rsidR="00680A66" w:rsidRPr="000954A9" w:rsidRDefault="00680A66" w:rsidP="00680A66">
      <w:pPr>
        <w:pStyle w:val="Textonotapie"/>
        <w:ind w:firstLine="709"/>
        <w:jc w:val="both"/>
        <w:rPr>
          <w:rFonts w:ascii="Verdana" w:hAnsi="Verdana" w:cs="Arial"/>
          <w:color w:val="000000" w:themeColor="text1"/>
          <w:sz w:val="14"/>
          <w:szCs w:val="14"/>
        </w:rPr>
      </w:pPr>
      <w:hyperlink r:id="rId1" w:history="1">
        <w:r w:rsidRPr="000954A9">
          <w:rPr>
            <w:rStyle w:val="Hipervnculo"/>
            <w:rFonts w:ascii="Verdana" w:hAnsi="Verdana" w:cs="Arial"/>
            <w:sz w:val="14"/>
            <w:szCs w:val="14"/>
          </w:rPr>
          <w:t>https://www.colombiacompra.gov.co/sites/cce_public/files/cce_documents/cce_guia_liquidacion_procesos.pdf</w:t>
        </w:r>
      </w:hyperlink>
      <w:r w:rsidRPr="000954A9">
        <w:rPr>
          <w:rFonts w:ascii="Verdana" w:hAnsi="Verdana" w:cs="Arial"/>
          <w:color w:val="000000" w:themeColor="text1"/>
          <w:sz w:val="14"/>
          <w:szCs w:val="14"/>
        </w:rPr>
        <w:t xml:space="preserve"> </w:t>
      </w:r>
    </w:p>
    <w:p w14:paraId="16701E59"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p>
  </w:footnote>
  <w:footnote w:id="5">
    <w:p w14:paraId="6648FB45" w14:textId="77777777" w:rsidR="00680A66" w:rsidRPr="000954A9" w:rsidRDefault="00680A66" w:rsidP="00680A66">
      <w:pPr>
        <w:pStyle w:val="Textonotapie"/>
        <w:ind w:firstLine="709"/>
        <w:jc w:val="both"/>
        <w:rPr>
          <w:rFonts w:ascii="Verdana" w:hAnsi="Verdana" w:cs="Arial"/>
          <w:color w:val="000000" w:themeColor="text1"/>
          <w:sz w:val="14"/>
          <w:szCs w:val="14"/>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18DC7616"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p>
  </w:footnote>
  <w:footnote w:id="6">
    <w:p w14:paraId="5CAAF2AC" w14:textId="77777777" w:rsidR="00680A66" w:rsidRPr="000954A9" w:rsidRDefault="00680A66" w:rsidP="00680A66">
      <w:pPr>
        <w:pStyle w:val="Textonotapie"/>
        <w:ind w:firstLine="709"/>
        <w:jc w:val="both"/>
        <w:rPr>
          <w:rFonts w:ascii="Verdana" w:hAnsi="Verdana" w:cs="Arial"/>
          <w:color w:val="000000" w:themeColor="text1"/>
          <w:sz w:val="14"/>
          <w:szCs w:val="14"/>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CONSEJO DE ESTADO. Sala de Consulta y Servicio Civil. Concepto de 28 de Junio de 2016. Radicación: 2253. C.P. Álvaro Namén Vargas. </w:t>
      </w:r>
    </w:p>
    <w:p w14:paraId="252C91AB"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p>
  </w:footnote>
  <w:footnote w:id="7">
    <w:p w14:paraId="39DD1727" w14:textId="77777777" w:rsidR="00680A66" w:rsidRPr="000954A9" w:rsidRDefault="00680A66" w:rsidP="00680A66">
      <w:pPr>
        <w:pStyle w:val="Textonotapie"/>
        <w:ind w:firstLine="709"/>
        <w:jc w:val="both"/>
        <w:rPr>
          <w:rFonts w:ascii="Verdana" w:hAnsi="Verdana" w:cs="Arial"/>
          <w:color w:val="000000" w:themeColor="text1"/>
          <w:sz w:val="14"/>
          <w:szCs w:val="14"/>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71CDF853" w14:textId="77777777" w:rsidR="00680A66" w:rsidRPr="000954A9" w:rsidRDefault="00680A66" w:rsidP="00680A66">
      <w:pPr>
        <w:pStyle w:val="Textonotapie"/>
        <w:ind w:firstLine="709"/>
        <w:jc w:val="both"/>
        <w:rPr>
          <w:rFonts w:ascii="Verdana" w:hAnsi="Verdana" w:cs="Arial"/>
          <w:color w:val="000000" w:themeColor="text1"/>
          <w:sz w:val="14"/>
          <w:szCs w:val="14"/>
          <w:lang w:val="es-ES"/>
        </w:rPr>
      </w:pPr>
    </w:p>
  </w:footnote>
  <w:footnote w:id="8">
    <w:p w14:paraId="05BC7B19" w14:textId="77777777" w:rsidR="00680A66" w:rsidRPr="00E63F97" w:rsidRDefault="00680A66" w:rsidP="00680A66">
      <w:pPr>
        <w:pStyle w:val="Textonotapie"/>
        <w:ind w:firstLine="709"/>
        <w:jc w:val="both"/>
        <w:rPr>
          <w:rFonts w:ascii="Verdana" w:hAnsi="Verdana" w:cs="Arial"/>
          <w:color w:val="000000" w:themeColor="text1"/>
          <w:sz w:val="14"/>
          <w:szCs w:val="14"/>
          <w:lang w:val="pt-BR"/>
        </w:rPr>
      </w:pPr>
      <w:r w:rsidRPr="000954A9">
        <w:rPr>
          <w:rStyle w:val="Refdenotaalpie"/>
          <w:rFonts w:ascii="Verdana" w:hAnsi="Verdana" w:cs="Arial"/>
          <w:color w:val="000000" w:themeColor="text1"/>
          <w:sz w:val="14"/>
          <w:szCs w:val="14"/>
        </w:rPr>
        <w:footnoteRef/>
      </w:r>
      <w:r w:rsidRPr="000954A9">
        <w:rPr>
          <w:rFonts w:ascii="Verdana" w:hAnsi="Verdana" w:cs="Arial"/>
          <w:color w:val="000000" w:themeColor="text1"/>
          <w:sz w:val="14"/>
          <w:szCs w:val="14"/>
        </w:rPr>
        <w:t xml:space="preserve"> CONSEJO DE ESTADO. Sección Tercera. </w:t>
      </w:r>
      <w:r w:rsidRPr="00E63F97">
        <w:rPr>
          <w:rFonts w:ascii="Verdana" w:hAnsi="Verdana" w:cs="Arial"/>
          <w:color w:val="000000" w:themeColor="text1"/>
          <w:sz w:val="14"/>
          <w:szCs w:val="14"/>
          <w:lang w:val="pt-BR"/>
        </w:rPr>
        <w:t xml:space="preserve">Sala Plena. Auto de 1 de agosto de 2019. Exp. 62009. C.P. Jaime Enrique Rodríguez Navas. </w:t>
      </w:r>
    </w:p>
  </w:footnote>
  <w:footnote w:id="9">
    <w:p w14:paraId="2ACB13C6" w14:textId="77777777" w:rsidR="00680A66" w:rsidRPr="00E63F97" w:rsidRDefault="00680A66" w:rsidP="00680A66">
      <w:pPr>
        <w:pStyle w:val="Textonotapie"/>
        <w:ind w:firstLine="709"/>
        <w:jc w:val="both"/>
        <w:rPr>
          <w:rFonts w:ascii="Verdana" w:hAnsi="Verdana" w:cs="Arial"/>
          <w:sz w:val="14"/>
          <w:szCs w:val="14"/>
          <w:lang w:val="pt-BR"/>
        </w:rPr>
      </w:pPr>
    </w:p>
    <w:p w14:paraId="4BC2546B" w14:textId="77777777" w:rsidR="00680A66" w:rsidRPr="00E63F97" w:rsidRDefault="00680A66" w:rsidP="00680A66">
      <w:pPr>
        <w:pStyle w:val="Textonotapie"/>
        <w:ind w:firstLine="709"/>
        <w:jc w:val="both"/>
        <w:rPr>
          <w:rFonts w:ascii="Verdana" w:hAnsi="Verdana" w:cs="Arial"/>
          <w:sz w:val="14"/>
          <w:szCs w:val="14"/>
          <w:lang w:val="pt-BR"/>
        </w:rPr>
      </w:pPr>
      <w:r w:rsidRPr="000954A9">
        <w:rPr>
          <w:rStyle w:val="Refdenotaalpie"/>
          <w:rFonts w:ascii="Verdana" w:hAnsi="Verdana" w:cs="Arial"/>
          <w:sz w:val="14"/>
          <w:szCs w:val="14"/>
        </w:rPr>
        <w:footnoteRef/>
      </w:r>
      <w:r w:rsidRPr="00E63F97">
        <w:rPr>
          <w:rFonts w:ascii="Verdana" w:hAnsi="Verdana" w:cs="Arial"/>
          <w:sz w:val="14"/>
          <w:szCs w:val="14"/>
          <w:lang w:val="pt-BR"/>
        </w:rPr>
        <w:t xml:space="preserve"> Ibíd.</w:t>
      </w:r>
    </w:p>
  </w:footnote>
  <w:footnote w:id="10">
    <w:p w14:paraId="792D5D44" w14:textId="77777777" w:rsidR="00680A66" w:rsidRPr="00E63F97" w:rsidRDefault="00680A66" w:rsidP="00680A66">
      <w:pPr>
        <w:pStyle w:val="Textonotapie"/>
        <w:ind w:firstLine="708"/>
        <w:jc w:val="both"/>
        <w:rPr>
          <w:rFonts w:ascii="Verdana" w:hAnsi="Verdana" w:cs="Arial"/>
          <w:sz w:val="14"/>
          <w:szCs w:val="14"/>
          <w:lang w:val="pt-BR"/>
        </w:rPr>
      </w:pPr>
      <w:r w:rsidRPr="000954A9">
        <w:rPr>
          <w:rStyle w:val="Refdenotaalpie"/>
          <w:rFonts w:ascii="Verdana" w:hAnsi="Verdana" w:cs="Arial"/>
          <w:sz w:val="14"/>
          <w:szCs w:val="14"/>
          <w:lang w:val="es-CO"/>
        </w:rPr>
        <w:footnoteRef/>
      </w:r>
      <w:r w:rsidRPr="00E63F97">
        <w:rPr>
          <w:rFonts w:ascii="Verdana" w:hAnsi="Verdana" w:cs="Arial"/>
          <w:sz w:val="14"/>
          <w:szCs w:val="14"/>
          <w:lang w:val="pt-BR"/>
        </w:rPr>
        <w:t xml:space="preserve"> Consejo de Estado, Sala de Consulta y Servicio Civil, Concepto de 6 de agosto de 2003, Radicación 1453.</w:t>
      </w:r>
    </w:p>
    <w:p w14:paraId="5C5FF615" w14:textId="77777777" w:rsidR="00680A66" w:rsidRPr="00E63F97" w:rsidRDefault="00680A66" w:rsidP="00680A66">
      <w:pPr>
        <w:pStyle w:val="Textonotapie"/>
        <w:ind w:firstLine="708"/>
        <w:jc w:val="both"/>
        <w:rPr>
          <w:rFonts w:ascii="Verdana" w:hAnsi="Verdana" w:cs="Arial"/>
          <w:sz w:val="14"/>
          <w:szCs w:val="14"/>
          <w:lang w:val="pt-BR"/>
        </w:rPr>
      </w:pPr>
    </w:p>
  </w:footnote>
  <w:footnote w:id="11">
    <w:p w14:paraId="6870718C" w14:textId="77777777" w:rsidR="00680A66" w:rsidRDefault="00680A66" w:rsidP="00680A66">
      <w:pPr>
        <w:pStyle w:val="Textonotapie"/>
        <w:ind w:firstLine="708"/>
        <w:jc w:val="both"/>
        <w:rPr>
          <w:rFonts w:ascii="Verdana" w:hAnsi="Verdana" w:cs="Arial"/>
          <w:sz w:val="14"/>
          <w:szCs w:val="14"/>
        </w:rPr>
      </w:pPr>
      <w:r w:rsidRPr="000954A9">
        <w:rPr>
          <w:rStyle w:val="Refdenotaalpie"/>
          <w:rFonts w:ascii="Verdana" w:hAnsi="Verdana"/>
          <w:sz w:val="14"/>
          <w:szCs w:val="14"/>
        </w:rPr>
        <w:footnoteRef/>
      </w:r>
      <w:r w:rsidRPr="000954A9">
        <w:rPr>
          <w:rFonts w:ascii="Verdana" w:hAnsi="Verdana"/>
          <w:sz w:val="14"/>
          <w:szCs w:val="14"/>
        </w:rPr>
        <w:t xml:space="preserve"> </w:t>
      </w:r>
      <w:r w:rsidRPr="000954A9">
        <w:rPr>
          <w:rFonts w:ascii="Verdana" w:hAnsi="Verdana" w:cs="Arial"/>
          <w:sz w:val="14"/>
          <w:szCs w:val="14"/>
        </w:rPr>
        <w:t>Consejo de Estado. Sección Tercera. Subsección A. Sentencia del 5 de febrero de 2021. Magistrada Ponente: María Adriana Marín. Expediente: 49.792.</w:t>
      </w:r>
    </w:p>
    <w:p w14:paraId="3CC0F39B" w14:textId="77777777" w:rsidR="00680A66" w:rsidRPr="000954A9" w:rsidRDefault="00680A66" w:rsidP="00680A66">
      <w:pPr>
        <w:pStyle w:val="Textonotapie"/>
        <w:ind w:firstLine="708"/>
        <w:jc w:val="both"/>
        <w:rPr>
          <w:rFonts w:ascii="Verdana" w:hAnsi="Verdana"/>
          <w:sz w:val="14"/>
          <w:szCs w:val="14"/>
          <w:lang w:val="es-CO"/>
        </w:rPr>
      </w:pPr>
    </w:p>
  </w:footnote>
  <w:footnote w:id="12">
    <w:p w14:paraId="514E62CA" w14:textId="77777777" w:rsidR="00680A66" w:rsidRPr="000954A9" w:rsidRDefault="00680A66" w:rsidP="00680A66">
      <w:pPr>
        <w:pStyle w:val="Textonotapie"/>
        <w:ind w:firstLine="708"/>
        <w:jc w:val="both"/>
        <w:rPr>
          <w:rFonts w:ascii="Verdana" w:hAnsi="Verdana"/>
          <w:sz w:val="14"/>
          <w:szCs w:val="14"/>
          <w:lang w:val="es-ES"/>
        </w:rPr>
      </w:pPr>
      <w:r w:rsidRPr="000954A9">
        <w:rPr>
          <w:rStyle w:val="Refdenotaalpie"/>
          <w:rFonts w:ascii="Verdana" w:hAnsi="Verdana"/>
          <w:sz w:val="14"/>
          <w:szCs w:val="14"/>
        </w:rPr>
        <w:footnoteRef/>
      </w:r>
      <w:r w:rsidRPr="000954A9">
        <w:rPr>
          <w:rFonts w:ascii="Verdana" w:hAnsi="Verdana"/>
          <w:sz w:val="14"/>
          <w:szCs w:val="14"/>
        </w:rPr>
        <w:t xml:space="preserve"> </w:t>
      </w:r>
      <w:r w:rsidRPr="000954A9">
        <w:rPr>
          <w:rFonts w:ascii="Verdana" w:hAnsi="Verdana" w:cs="Arial"/>
          <w:sz w:val="14"/>
          <w:szCs w:val="14"/>
          <w:lang w:val="es-ES"/>
        </w:rPr>
        <w:t xml:space="preserve">Consejo de Estado. Sala de Consulta y Servicio Civil. Concepto de 28 de junio de 2016. Rad: </w:t>
      </w:r>
      <w:r w:rsidRPr="000954A9">
        <w:rPr>
          <w:rFonts w:ascii="Verdana" w:hAnsi="Verdana" w:cs="Arial"/>
          <w:bCs/>
          <w:color w:val="333333"/>
          <w:sz w:val="14"/>
          <w:szCs w:val="14"/>
          <w:shd w:val="clear" w:color="auto" w:fill="FFFFFF"/>
        </w:rPr>
        <w:t>11001-03-06-000-2015-00067-00 (2253). C.P: Álvaro Namén Vargas.</w:t>
      </w:r>
    </w:p>
  </w:footnote>
  <w:footnote w:id="13">
    <w:p w14:paraId="4730C549" w14:textId="77777777" w:rsidR="00680A66" w:rsidRPr="000954A9" w:rsidRDefault="00680A66" w:rsidP="00680A66">
      <w:pPr>
        <w:ind w:firstLine="708"/>
        <w:jc w:val="both"/>
        <w:rPr>
          <w:rFonts w:ascii="Verdana" w:hAnsi="Verdana" w:cs="Arial"/>
          <w:color w:val="000000"/>
          <w:sz w:val="14"/>
          <w:szCs w:val="14"/>
          <w:lang w:val="es-ES"/>
        </w:rPr>
      </w:pPr>
      <w:r w:rsidRPr="000954A9">
        <w:rPr>
          <w:rFonts w:ascii="Verdana" w:hAnsi="Verdana" w:cs="Arial"/>
          <w:color w:val="000000"/>
          <w:sz w:val="14"/>
          <w:szCs w:val="14"/>
          <w:vertAlign w:val="superscript"/>
        </w:rPr>
        <w:footnoteRef/>
      </w:r>
      <w:r w:rsidRPr="000954A9">
        <w:rPr>
          <w:rFonts w:ascii="Verdana" w:hAnsi="Verdana" w:cs="Arial"/>
          <w:color w:val="000000"/>
          <w:sz w:val="14"/>
          <w:szCs w:val="14"/>
        </w:rPr>
        <w:t xml:space="preserve"> 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footnote>
  <w:footnote w:id="14">
    <w:p w14:paraId="350D5C8F" w14:textId="77777777" w:rsidR="00680A66" w:rsidRPr="000954A9" w:rsidRDefault="00680A66" w:rsidP="00680A66">
      <w:pPr>
        <w:pStyle w:val="Textonotapie"/>
        <w:ind w:firstLine="708"/>
        <w:jc w:val="both"/>
        <w:rPr>
          <w:rFonts w:ascii="Verdana" w:hAnsi="Verdana" w:cs="Arial"/>
          <w:color w:val="000000"/>
          <w:sz w:val="14"/>
          <w:szCs w:val="14"/>
        </w:rPr>
      </w:pPr>
      <w:r w:rsidRPr="000954A9">
        <w:rPr>
          <w:rStyle w:val="Refdenotaalpie"/>
          <w:rFonts w:ascii="Verdana" w:hAnsi="Verdana" w:cs="Arial"/>
          <w:color w:val="000000"/>
          <w:sz w:val="14"/>
          <w:szCs w:val="14"/>
        </w:rPr>
        <w:footnoteRef/>
      </w:r>
      <w:r w:rsidRPr="000954A9">
        <w:rPr>
          <w:rFonts w:ascii="Verdana" w:hAnsi="Verdana" w:cs="Arial"/>
          <w:color w:val="000000"/>
          <w:sz w:val="14"/>
          <w:szCs w:val="14"/>
        </w:rPr>
        <w:t xml:space="preserve"> En términos generales, se concluyó: “[…]8.4.-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o estado de cosas ocurrido en el iter posterior a la liquidación.</w:t>
      </w:r>
    </w:p>
    <w:p w14:paraId="5CA4A806" w14:textId="77777777" w:rsidR="00680A66" w:rsidRPr="000954A9" w:rsidRDefault="00680A66" w:rsidP="00680A66">
      <w:pPr>
        <w:pStyle w:val="Textonotapie"/>
        <w:ind w:firstLine="708"/>
        <w:jc w:val="both"/>
        <w:rPr>
          <w:rFonts w:ascii="Verdana" w:hAnsi="Verdana" w:cs="Arial"/>
          <w:color w:val="000000"/>
          <w:sz w:val="14"/>
          <w:szCs w:val="14"/>
        </w:rPr>
      </w:pPr>
      <w:r w:rsidRPr="000954A9">
        <w:rPr>
          <w:rFonts w:ascii="Verdana" w:hAnsi="Verdana" w:cs="Arial"/>
          <w:color w:val="000000"/>
          <w:sz w:val="14"/>
          <w:szCs w:val="14"/>
        </w:rPr>
        <w:t>[…]</w:t>
      </w:r>
    </w:p>
    <w:p w14:paraId="33CED25C" w14:textId="77777777" w:rsidR="00680A66" w:rsidRPr="000954A9" w:rsidRDefault="00680A66" w:rsidP="00680A66">
      <w:pPr>
        <w:pStyle w:val="Textonotapie"/>
        <w:ind w:firstLine="708"/>
        <w:jc w:val="both"/>
        <w:rPr>
          <w:rFonts w:ascii="Verdana" w:hAnsi="Verdana" w:cs="Arial"/>
          <w:color w:val="000000"/>
          <w:sz w:val="14"/>
          <w:szCs w:val="14"/>
        </w:rPr>
      </w:pPr>
      <w:r w:rsidRPr="000954A9">
        <w:rPr>
          <w:rFonts w:ascii="Verdana" w:hAnsi="Verdana" w:cs="Arial"/>
          <w:color w:val="000000"/>
          <w:sz w:val="14"/>
          <w:szCs w:val="14"/>
        </w:rPr>
        <w:t>8.5.- Concluyó la Sala que la norma enjuiciada comprendía una regulación propia de la esfera intraorgánica que, inclusive, no demandaba regulación expresa, y no afectaba, alteraba o modificaba ninguna cuestión propia de la etapa liquidatoria. En consecuencia, no se encontró probado un exceso de competencia del Gobierno Nacional en el sub judice”.</w:t>
      </w:r>
    </w:p>
    <w:p w14:paraId="2068E7A5" w14:textId="77777777" w:rsidR="00680A66" w:rsidRPr="000954A9" w:rsidRDefault="00680A66" w:rsidP="00680A66">
      <w:pPr>
        <w:pStyle w:val="Textonotapie"/>
        <w:ind w:firstLine="708"/>
        <w:jc w:val="both"/>
        <w:rPr>
          <w:rFonts w:ascii="Verdana" w:hAnsi="Verdana" w:cs="Arial"/>
          <w:color w:val="000000"/>
          <w:sz w:val="14"/>
          <w:szCs w:val="14"/>
          <w:lang w:val="es-ES"/>
        </w:rPr>
      </w:pPr>
    </w:p>
  </w:footnote>
  <w:footnote w:id="15">
    <w:p w14:paraId="738B5EB5" w14:textId="77777777" w:rsidR="00680A66" w:rsidRPr="000954A9" w:rsidRDefault="00680A66" w:rsidP="00680A66">
      <w:pPr>
        <w:pStyle w:val="Textonotapie"/>
        <w:ind w:firstLine="708"/>
        <w:jc w:val="both"/>
        <w:rPr>
          <w:rFonts w:ascii="Verdana" w:hAnsi="Verdana" w:cs="Arial"/>
          <w:color w:val="000000"/>
          <w:sz w:val="14"/>
          <w:szCs w:val="14"/>
        </w:rPr>
      </w:pPr>
      <w:r w:rsidRPr="000954A9">
        <w:rPr>
          <w:rStyle w:val="Refdenotaalpie"/>
          <w:rFonts w:ascii="Verdana" w:hAnsi="Verdana" w:cs="Arial"/>
          <w:color w:val="000000"/>
          <w:sz w:val="14"/>
          <w:szCs w:val="14"/>
        </w:rPr>
        <w:footnoteRef/>
      </w:r>
      <w:r w:rsidRPr="000954A9">
        <w:rPr>
          <w:rFonts w:ascii="Verdana" w:hAnsi="Verdana" w:cs="Arial"/>
          <w:color w:val="000000"/>
          <w:sz w:val="14"/>
          <w:szCs w:val="14"/>
        </w:rPr>
        <w:t xml:space="preserve"> Consejo de Estado. Sección Tercera. Subsección “C”. Radicado No. 11001-03-26-000-2015-00165-00. Número interno 55.813. M.P. Jaime Orlando Santofimio Gamboa. Sentencia del 10 de octubre de 2016.</w:t>
      </w:r>
    </w:p>
    <w:p w14:paraId="44BD47AE" w14:textId="77777777" w:rsidR="00680A66" w:rsidRPr="000954A9" w:rsidRDefault="00680A66" w:rsidP="00680A66">
      <w:pPr>
        <w:pStyle w:val="Textonotapie"/>
        <w:ind w:firstLine="708"/>
        <w:jc w:val="both"/>
        <w:rPr>
          <w:rFonts w:ascii="Verdana" w:hAnsi="Verdana" w:cs="Arial"/>
          <w:color w:val="000000"/>
          <w:sz w:val="14"/>
          <w:szCs w:val="14"/>
          <w:lang w:val="es-ES"/>
        </w:rPr>
      </w:pPr>
    </w:p>
  </w:footnote>
  <w:footnote w:id="16">
    <w:p w14:paraId="2C73B6DA" w14:textId="77777777" w:rsidR="00680A66" w:rsidRPr="000954A9" w:rsidRDefault="00680A66" w:rsidP="00680A66">
      <w:pPr>
        <w:pStyle w:val="Textonotapie"/>
        <w:ind w:firstLine="708"/>
        <w:jc w:val="both"/>
        <w:rPr>
          <w:rFonts w:ascii="Verdana" w:hAnsi="Verdana" w:cs="Arial"/>
          <w:color w:val="000000"/>
          <w:sz w:val="14"/>
          <w:szCs w:val="14"/>
          <w:lang w:val="es-ES"/>
        </w:rPr>
      </w:pPr>
      <w:r w:rsidRPr="000954A9">
        <w:rPr>
          <w:rStyle w:val="Refdenotaalpie"/>
          <w:rFonts w:ascii="Verdana" w:hAnsi="Verdana" w:cs="Arial"/>
          <w:color w:val="000000"/>
          <w:sz w:val="14"/>
          <w:szCs w:val="14"/>
        </w:rPr>
        <w:footnoteRef/>
      </w:r>
      <w:r w:rsidRPr="000954A9">
        <w:rPr>
          <w:rFonts w:ascii="Verdana" w:hAnsi="Verdana" w:cs="Arial"/>
          <w:color w:val="000000"/>
          <w:sz w:val="14"/>
          <w:szCs w:val="14"/>
        </w:rPr>
        <w:t xml:space="preserve"> </w:t>
      </w:r>
      <w:r w:rsidRPr="000954A9">
        <w:rPr>
          <w:rFonts w:ascii="Verdana" w:hAnsi="Verdana" w:cs="Arial"/>
          <w:color w:val="000000"/>
          <w:sz w:val="14"/>
          <w:szCs w:val="14"/>
          <w:lang w:val="es-ES"/>
        </w:rPr>
        <w:t>C.P. Consejo de Estado. Sala de Consulta y Servicio Civil. M.P.  Edgar González López.</w:t>
      </w:r>
    </w:p>
    <w:p w14:paraId="6E3A9E76" w14:textId="77777777" w:rsidR="00680A66" w:rsidRPr="000954A9" w:rsidRDefault="00680A66" w:rsidP="00680A66">
      <w:pPr>
        <w:pStyle w:val="Textonotapie"/>
        <w:jc w:val="both"/>
        <w:rPr>
          <w:rFonts w:ascii="Verdana" w:hAnsi="Verdana" w:cs="Arial"/>
          <w:color w:val="000000"/>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E09D4" w14:textId="77777777" w:rsidR="00EC092C"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0602134" wp14:editId="62E6A6AC">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5950C12" wp14:editId="01FCE47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62BF8B0" w14:textId="77777777" w:rsidR="00EC092C" w:rsidRDefault="00EC092C">
    <w:pPr>
      <w:pStyle w:val="Encabezado"/>
    </w:pPr>
  </w:p>
  <w:p w14:paraId="4FF03647" w14:textId="77777777" w:rsidR="00EC092C" w:rsidRDefault="00EC092C" w:rsidP="004A305D">
    <w:pPr>
      <w:spacing w:after="0"/>
      <w:rPr>
        <w:rFonts w:ascii="Verdana" w:hAnsi="Verdana"/>
        <w:b/>
        <w:bCs/>
      </w:rPr>
    </w:pPr>
  </w:p>
  <w:p w14:paraId="4D5F206D" w14:textId="77777777" w:rsidR="00EC092C" w:rsidRPr="004A305D" w:rsidRDefault="00EC092C" w:rsidP="00B01B1A">
    <w:pPr>
      <w:spacing w:after="0" w:line="120" w:lineRule="auto"/>
      <w:rPr>
        <w:rFonts w:ascii="Century Gothic" w:eastAsia="Geo" w:hAnsi="Century Gothic" w:cs="Geo"/>
        <w:sz w:val="16"/>
        <w:szCs w:val="16"/>
        <w:lang w:eastAsia="es-CO"/>
      </w:rPr>
    </w:pPr>
  </w:p>
  <w:p w14:paraId="556BDF3F" w14:textId="77777777" w:rsidR="00EC092C" w:rsidRDefault="00EC092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5A5A775D"/>
    <w:multiLevelType w:val="hybridMultilevel"/>
    <w:tmpl w:val="0C30D0D8"/>
    <w:lvl w:ilvl="0" w:tplc="EB6072C6">
      <w:start w:val="1"/>
      <w:numFmt w:val="lowerRoman"/>
      <w:lvlText w:val="%1."/>
      <w:lvlJc w:val="right"/>
      <w:pPr>
        <w:ind w:left="720" w:hanging="360"/>
      </w:pPr>
      <w:rPr>
        <w:rFonts w:hint="default"/>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12B5C77"/>
    <w:multiLevelType w:val="multilevel"/>
    <w:tmpl w:val="37E0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9089576">
    <w:abstractNumId w:val="0"/>
  </w:num>
  <w:num w:numId="2" w16cid:durableId="1786977">
    <w:abstractNumId w:val="1"/>
  </w:num>
  <w:num w:numId="3" w16cid:durableId="2126072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A66"/>
    <w:rsid w:val="0017257F"/>
    <w:rsid w:val="001E4077"/>
    <w:rsid w:val="002A18C5"/>
    <w:rsid w:val="00474DF4"/>
    <w:rsid w:val="004F471F"/>
    <w:rsid w:val="00680A66"/>
    <w:rsid w:val="007A4C22"/>
    <w:rsid w:val="00C24FFE"/>
    <w:rsid w:val="00C42EF3"/>
    <w:rsid w:val="00EC09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DE574"/>
  <w15:chartTrackingRefBased/>
  <w15:docId w15:val="{AA4E35B3-9BB9-4616-91BF-E9085B76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A66"/>
    <w:rPr>
      <w:kern w:val="0"/>
      <w14:ligatures w14:val="none"/>
    </w:rPr>
  </w:style>
  <w:style w:type="paragraph" w:styleId="Ttulo1">
    <w:name w:val="heading 1"/>
    <w:basedOn w:val="Normal"/>
    <w:next w:val="Normal"/>
    <w:link w:val="Ttulo1Car"/>
    <w:uiPriority w:val="9"/>
    <w:qFormat/>
    <w:rsid w:val="00680A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80A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80A6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80A6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80A6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80A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0A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0A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0A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0A6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80A6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80A6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80A6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80A6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80A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0A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0A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0A66"/>
    <w:rPr>
      <w:rFonts w:eastAsiaTheme="majorEastAsia" w:cstheme="majorBidi"/>
      <w:color w:val="272727" w:themeColor="text1" w:themeTint="D8"/>
    </w:rPr>
  </w:style>
  <w:style w:type="paragraph" w:styleId="Ttulo">
    <w:name w:val="Title"/>
    <w:basedOn w:val="Normal"/>
    <w:next w:val="Normal"/>
    <w:link w:val="TtuloCar"/>
    <w:uiPriority w:val="10"/>
    <w:qFormat/>
    <w:rsid w:val="00680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0A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80A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0A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0A66"/>
    <w:pPr>
      <w:spacing w:before="160"/>
      <w:jc w:val="center"/>
    </w:pPr>
    <w:rPr>
      <w:i/>
      <w:iCs/>
      <w:color w:val="404040" w:themeColor="text1" w:themeTint="BF"/>
    </w:rPr>
  </w:style>
  <w:style w:type="character" w:customStyle="1" w:styleId="CitaCar">
    <w:name w:val="Cita Car"/>
    <w:basedOn w:val="Fuentedeprrafopredeter"/>
    <w:link w:val="Cita"/>
    <w:uiPriority w:val="29"/>
    <w:rsid w:val="00680A66"/>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80A66"/>
    <w:pPr>
      <w:ind w:left="720"/>
      <w:contextualSpacing/>
    </w:pPr>
  </w:style>
  <w:style w:type="character" w:styleId="nfasisintenso">
    <w:name w:val="Intense Emphasis"/>
    <w:basedOn w:val="Fuentedeprrafopredeter"/>
    <w:uiPriority w:val="21"/>
    <w:qFormat/>
    <w:rsid w:val="00680A66"/>
    <w:rPr>
      <w:i/>
      <w:iCs/>
      <w:color w:val="2F5496" w:themeColor="accent1" w:themeShade="BF"/>
    </w:rPr>
  </w:style>
  <w:style w:type="paragraph" w:styleId="Citadestacada">
    <w:name w:val="Intense Quote"/>
    <w:basedOn w:val="Normal"/>
    <w:next w:val="Normal"/>
    <w:link w:val="CitadestacadaCar"/>
    <w:uiPriority w:val="30"/>
    <w:qFormat/>
    <w:rsid w:val="00680A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80A66"/>
    <w:rPr>
      <w:i/>
      <w:iCs/>
      <w:color w:val="2F5496" w:themeColor="accent1" w:themeShade="BF"/>
    </w:rPr>
  </w:style>
  <w:style w:type="character" w:styleId="Referenciaintensa">
    <w:name w:val="Intense Reference"/>
    <w:basedOn w:val="Fuentedeprrafopredeter"/>
    <w:uiPriority w:val="32"/>
    <w:qFormat/>
    <w:rsid w:val="00680A66"/>
    <w:rPr>
      <w:b/>
      <w:bCs/>
      <w:smallCaps/>
      <w:color w:val="2F5496" w:themeColor="accent1" w:themeShade="BF"/>
      <w:spacing w:val="5"/>
    </w:rPr>
  </w:style>
  <w:style w:type="paragraph" w:styleId="Encabezado">
    <w:name w:val="header"/>
    <w:basedOn w:val="Normal"/>
    <w:link w:val="EncabezadoCar"/>
    <w:uiPriority w:val="99"/>
    <w:unhideWhenUsed/>
    <w:rsid w:val="00680A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0A66"/>
    <w:rPr>
      <w:kern w:val="0"/>
      <w14:ligatures w14:val="none"/>
    </w:rPr>
  </w:style>
  <w:style w:type="paragraph" w:styleId="Piedepgina">
    <w:name w:val="footer"/>
    <w:basedOn w:val="Normal"/>
    <w:link w:val="PiedepginaCar"/>
    <w:uiPriority w:val="99"/>
    <w:unhideWhenUsed/>
    <w:rsid w:val="00680A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0A66"/>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80A6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80A6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80A6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80A66"/>
    <w:rPr>
      <w:vertAlign w:val="superscript"/>
    </w:rPr>
  </w:style>
  <w:style w:type="character" w:customStyle="1" w:styleId="normaltextrun">
    <w:name w:val="normaltextrun"/>
    <w:basedOn w:val="Fuentedeprrafopredeter"/>
    <w:rsid w:val="00680A66"/>
  </w:style>
  <w:style w:type="table" w:styleId="Tablaconcuadrcula">
    <w:name w:val="Table Grid"/>
    <w:basedOn w:val="Tablanormal"/>
    <w:uiPriority w:val="39"/>
    <w:qFormat/>
    <w:rsid w:val="00680A6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80A66"/>
    <w:rPr>
      <w:color w:val="0000FF"/>
      <w:u w:val="single"/>
    </w:rPr>
  </w:style>
  <w:style w:type="table" w:customStyle="1" w:styleId="Tablaconcuadrcula1">
    <w:name w:val="Tabla con cuadrícula1"/>
    <w:basedOn w:val="Tablanormal"/>
    <w:next w:val="Tablaconcuadrcula"/>
    <w:uiPriority w:val="59"/>
    <w:rsid w:val="00680A66"/>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680A66"/>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80A66"/>
  </w:style>
  <w:style w:type="paragraph" w:styleId="Sinespaciado">
    <w:name w:val="No Spacing"/>
    <w:aliases w:val="No Indent"/>
    <w:uiPriority w:val="3"/>
    <w:qFormat/>
    <w:rsid w:val="00680A66"/>
    <w:pPr>
      <w:spacing w:after="0" w:line="240" w:lineRule="auto"/>
    </w:pPr>
    <w:rPr>
      <w:kern w:val="0"/>
      <w:sz w:val="24"/>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ank6197@gmail.com" TargetMode="Externa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cce_documents/cce_guia_liquidacion_procesos.pdf"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23" Type="http://schemas.openxmlformats.org/officeDocument/2006/relationships/customXml" Target="../customXml/item2.xml"/><Relationship Id="rId10" Type="http://schemas.openxmlformats.org/officeDocument/2006/relationships/hyperlink" Target="https://relatoria.colombiacompra.gov.co/conceptos/c-168-de-202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latoria.colombiacompra.gov.co/conceptos/c-548-de-2021/" TargetMode="External"/><Relationship Id="rId14"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E7C7C3-ACEE-41E5-B264-D9E6DE5C1ED3}"/>
</file>

<file path=customXml/itemProps2.xml><?xml version="1.0" encoding="utf-8"?>
<ds:datastoreItem xmlns:ds="http://schemas.openxmlformats.org/officeDocument/2006/customXml" ds:itemID="{81D0C466-F5E0-4C1E-9BB9-CD225AF13A5B}"/>
</file>

<file path=customXml/itemProps3.xml><?xml version="1.0" encoding="utf-8"?>
<ds:datastoreItem xmlns:ds="http://schemas.openxmlformats.org/officeDocument/2006/customXml" ds:itemID="{DFB9A908-E9BB-468E-9F4E-D808F5648429}"/>
</file>

<file path=docProps/app.xml><?xml version="1.0" encoding="utf-8"?>
<Properties xmlns="http://schemas.openxmlformats.org/officeDocument/2006/extended-properties" xmlns:vt="http://schemas.openxmlformats.org/officeDocument/2006/docPropsVTypes">
  <Template>Normal</Template>
  <TotalTime>3</TotalTime>
  <Pages>17</Pages>
  <Words>6184</Words>
  <Characters>34014</Characters>
  <Application>Microsoft Office Word</Application>
  <DocSecurity>0</DocSecurity>
  <Lines>283</Lines>
  <Paragraphs>80</Paragraphs>
  <ScaleCrop>false</ScaleCrop>
  <Company/>
  <LinksUpToDate>false</LinksUpToDate>
  <CharactersWithSpaces>40118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2024-11-21T23:45:00Z</dcterms:created>
  <dcterms:modified xsi:type="dcterms:W3CDTF">2024-12-02T23:28:00Z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