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28E910D2" w:rsidR="00DD5B04" w:rsidRPr="008C036D" w:rsidRDefault="00B55C69" w:rsidP="00AA7A60">
      <w:pPr>
        <w:jc w:val="right"/>
        <w:rPr>
          <w:rFonts w:ascii="Arial" w:eastAsia="Calibri" w:hAnsi="Arial" w:cs="Arial"/>
          <w:b/>
          <w:color w:val="000000" w:themeColor="text1"/>
          <w:sz w:val="20"/>
          <w:szCs w:val="20"/>
          <w:lang w:val="es-ES_tradnl"/>
        </w:rPr>
      </w:pPr>
      <w:bookmarkStart w:id="0" w:name="_Hlk28946138"/>
      <w:bookmarkStart w:id="1" w:name="_Hlk29548183"/>
      <w:r w:rsidRPr="008C036D">
        <w:rPr>
          <w:rFonts w:ascii="Arial" w:hAnsi="Arial" w:cs="Arial"/>
          <w:b/>
          <w:color w:val="000000" w:themeColor="text1"/>
          <w:sz w:val="16"/>
          <w:szCs w:val="16"/>
          <w:lang w:val="es-ES_tradnl" w:eastAsia="es-ES"/>
        </w:rPr>
        <w:t>CCE-DES-FM-17</w:t>
      </w:r>
    </w:p>
    <w:bookmarkEnd w:id="0"/>
    <w:bookmarkEnd w:id="1"/>
    <w:p w14:paraId="1BED658F" w14:textId="77777777" w:rsidR="00F02D25" w:rsidRPr="00E23980" w:rsidRDefault="00F02D25" w:rsidP="00E548C3">
      <w:pPr>
        <w:jc w:val="both"/>
        <w:rPr>
          <w:rFonts w:ascii="Arial" w:eastAsia="Calibri" w:hAnsi="Arial" w:cs="Arial"/>
          <w:b/>
          <w:bCs/>
          <w:color w:val="000000" w:themeColor="text1"/>
          <w:sz w:val="22"/>
          <w:lang w:val="es-ES_tradnl"/>
        </w:rPr>
      </w:pPr>
    </w:p>
    <w:p w14:paraId="208B97B7" w14:textId="026A2940" w:rsidR="00B95C30" w:rsidRPr="00E23980" w:rsidRDefault="00C97106" w:rsidP="00B95C30">
      <w:pPr>
        <w:jc w:val="both"/>
        <w:rPr>
          <w:rFonts w:ascii="Arial" w:eastAsia="Calibri" w:hAnsi="Arial" w:cs="Arial"/>
          <w:b/>
          <w:sz w:val="22"/>
          <w:lang w:val="es-ES_tradnl"/>
        </w:rPr>
      </w:pPr>
      <w:r>
        <w:rPr>
          <w:rFonts w:ascii="Arial" w:eastAsia="Calibri" w:hAnsi="Arial" w:cs="Arial"/>
          <w:b/>
          <w:sz w:val="22"/>
          <w:lang w:val="es-ES_tradnl"/>
        </w:rPr>
        <w:t>REGISTRO NACIONAL DE OBRAS CIVILES INCONCLUSAS</w:t>
      </w:r>
      <w:r w:rsidR="00B95C30" w:rsidRPr="00E23980">
        <w:rPr>
          <w:rFonts w:ascii="Arial" w:eastAsia="Calibri" w:hAnsi="Arial" w:cs="Arial"/>
          <w:b/>
          <w:sz w:val="22"/>
          <w:lang w:val="es-ES_tradnl"/>
        </w:rPr>
        <w:t xml:space="preserve"> </w:t>
      </w:r>
      <w:bookmarkStart w:id="2" w:name="_Hlk39666823"/>
      <w:r w:rsidR="00B95C30" w:rsidRPr="00E23980">
        <w:rPr>
          <w:rFonts w:ascii="Arial" w:eastAsia="Calibri" w:hAnsi="Arial" w:cs="Arial"/>
          <w:b/>
          <w:color w:val="000000" w:themeColor="text1"/>
          <w:sz w:val="22"/>
          <w:lang w:val="es-ES_tradnl"/>
        </w:rPr>
        <w:t>–</w:t>
      </w:r>
      <w:bookmarkEnd w:id="2"/>
      <w:r w:rsidR="00B95C30" w:rsidRPr="00E23980">
        <w:rPr>
          <w:rFonts w:ascii="Arial" w:eastAsia="Calibri" w:hAnsi="Arial" w:cs="Arial"/>
          <w:b/>
          <w:sz w:val="22"/>
          <w:lang w:val="es-ES_tradnl"/>
        </w:rPr>
        <w:t xml:space="preserve"> </w:t>
      </w:r>
      <w:r w:rsidR="009B3163">
        <w:rPr>
          <w:rFonts w:ascii="Arial" w:eastAsia="Calibri" w:hAnsi="Arial" w:cs="Arial"/>
          <w:b/>
          <w:sz w:val="22"/>
          <w:lang w:val="es-ES_tradnl"/>
        </w:rPr>
        <w:t>Concepto</w:t>
      </w:r>
      <w:r w:rsidR="00A97C93" w:rsidRPr="00E23980">
        <w:rPr>
          <w:rFonts w:ascii="Arial" w:eastAsia="Calibri" w:hAnsi="Arial" w:cs="Arial"/>
          <w:b/>
          <w:sz w:val="22"/>
          <w:lang w:val="es-ES_tradnl"/>
        </w:rPr>
        <w:t xml:space="preserve"> </w:t>
      </w:r>
      <w:r w:rsidR="00A97C93" w:rsidRPr="00E23980">
        <w:rPr>
          <w:rFonts w:ascii="Arial" w:eastAsia="Calibri" w:hAnsi="Arial" w:cs="Arial"/>
          <w:b/>
          <w:color w:val="000000" w:themeColor="text1"/>
          <w:sz w:val="22"/>
          <w:lang w:val="es-ES_tradnl"/>
        </w:rPr>
        <w:t xml:space="preserve">– </w:t>
      </w:r>
      <w:r w:rsidR="009B3163">
        <w:rPr>
          <w:rFonts w:ascii="Arial" w:eastAsia="Calibri" w:hAnsi="Arial" w:cs="Arial"/>
          <w:b/>
          <w:color w:val="000000" w:themeColor="text1"/>
          <w:sz w:val="22"/>
          <w:lang w:val="es-ES_tradnl"/>
        </w:rPr>
        <w:t>Ley 2020 de 2020</w:t>
      </w:r>
    </w:p>
    <w:p w14:paraId="26480898" w14:textId="77777777" w:rsidR="00B95C30" w:rsidRPr="00E23980" w:rsidRDefault="00B95C30" w:rsidP="00B95C30">
      <w:pPr>
        <w:jc w:val="both"/>
        <w:rPr>
          <w:rFonts w:ascii="Arial" w:eastAsia="Calibri" w:hAnsi="Arial" w:cs="Arial"/>
          <w:sz w:val="20"/>
          <w:szCs w:val="20"/>
          <w:lang w:val="es-ES_tradnl"/>
        </w:rPr>
      </w:pPr>
    </w:p>
    <w:p w14:paraId="4338E869" w14:textId="1830276B" w:rsidR="009F7F32" w:rsidRPr="00E23980" w:rsidRDefault="00C97106" w:rsidP="00692245">
      <w:pPr>
        <w:jc w:val="both"/>
        <w:rPr>
          <w:rFonts w:ascii="Arial" w:hAnsi="Arial" w:cs="Arial"/>
          <w:noProof/>
          <w:color w:val="000000" w:themeColor="text1"/>
          <w:sz w:val="22"/>
          <w:lang w:val="es-ES_tradnl"/>
        </w:rPr>
      </w:pPr>
      <w:r>
        <w:rPr>
          <w:rFonts w:ascii="Arial" w:eastAsia="Calibri" w:hAnsi="Arial" w:cs="Arial"/>
          <w:sz w:val="20"/>
          <w:szCs w:val="20"/>
          <w:lang w:val="es-ES_tradnl"/>
        </w:rPr>
        <w:t xml:space="preserve">[…] </w:t>
      </w:r>
      <w:r w:rsidRPr="00C97106">
        <w:rPr>
          <w:rFonts w:ascii="Arial" w:eastAsia="Calibri" w:hAnsi="Arial" w:cs="Arial"/>
          <w:sz w:val="20"/>
          <w:szCs w:val="20"/>
          <w:lang w:val="es-ES_tradnl"/>
        </w:rPr>
        <w:t xml:space="preserve">el Registro Nacional de Obras Civiles Inconclusas es un </w:t>
      </w:r>
      <w:r w:rsidR="00D80860">
        <w:rPr>
          <w:rFonts w:ascii="Arial" w:eastAsia="Calibri" w:hAnsi="Arial" w:cs="Arial"/>
          <w:sz w:val="20"/>
          <w:szCs w:val="20"/>
          <w:lang w:val="es-ES_tradnl"/>
        </w:rPr>
        <w:t>sistema</w:t>
      </w:r>
      <w:r w:rsidRPr="00C97106">
        <w:rPr>
          <w:rFonts w:ascii="Arial" w:eastAsia="Calibri" w:hAnsi="Arial" w:cs="Arial"/>
          <w:sz w:val="20"/>
          <w:szCs w:val="20"/>
          <w:lang w:val="es-ES_tradnl"/>
        </w:rPr>
        <w:t xml:space="preserve"> administrado por la Contraloría General de la República,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Nacional de Obras Civiles Inconclusas «Es un sistema que contiene los datos sobre obras inconclusas en todo el territorio nacional. El inventario de obras civiles inconclusas reportado por las entidades estatales hará parte integral del banco de proyectos de la respectiva entidad».</w:t>
      </w:r>
    </w:p>
    <w:p w14:paraId="5F267DC8" w14:textId="34E17EB8" w:rsidR="007E0812" w:rsidRDefault="007E0812" w:rsidP="007E0812">
      <w:pPr>
        <w:jc w:val="both"/>
        <w:rPr>
          <w:rFonts w:ascii="Arial" w:eastAsia="Calibri" w:hAnsi="Arial" w:cs="Arial"/>
          <w:sz w:val="20"/>
          <w:szCs w:val="20"/>
          <w:lang w:val="es-ES_tradnl"/>
        </w:rPr>
      </w:pPr>
    </w:p>
    <w:p w14:paraId="7ACAAB6A" w14:textId="75375C0F" w:rsidR="00FE24F4" w:rsidRPr="00E23980" w:rsidRDefault="00FE24F4" w:rsidP="00FE24F4">
      <w:pPr>
        <w:jc w:val="both"/>
        <w:rPr>
          <w:rFonts w:ascii="Arial" w:eastAsia="Calibri" w:hAnsi="Arial" w:cs="Arial"/>
          <w:b/>
          <w:sz w:val="22"/>
          <w:lang w:val="es-ES_tradnl"/>
        </w:rPr>
      </w:pPr>
      <w:r>
        <w:rPr>
          <w:rFonts w:ascii="Arial" w:eastAsia="Calibri" w:hAnsi="Arial" w:cs="Arial"/>
          <w:b/>
          <w:sz w:val="22"/>
          <w:lang w:val="es-ES_tradnl"/>
        </w:rPr>
        <w:t xml:space="preserve">OBRA </w:t>
      </w:r>
      <w:r w:rsidR="00A77D21">
        <w:rPr>
          <w:rFonts w:ascii="Arial" w:eastAsia="Calibri" w:hAnsi="Arial" w:cs="Arial"/>
          <w:b/>
          <w:sz w:val="22"/>
          <w:lang w:val="es-ES_tradnl"/>
        </w:rPr>
        <w:t>INCONCLUSA</w:t>
      </w:r>
      <w:r w:rsidRPr="00E23980">
        <w:rPr>
          <w:rFonts w:ascii="Arial" w:eastAsia="Calibri" w:hAnsi="Arial" w:cs="Arial"/>
          <w:b/>
          <w:sz w:val="22"/>
          <w:lang w:val="es-ES_tradnl"/>
        </w:rPr>
        <w:t xml:space="preserve">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sidR="00A77D21">
        <w:rPr>
          <w:rFonts w:ascii="Arial" w:eastAsia="Calibri" w:hAnsi="Arial" w:cs="Arial"/>
          <w:b/>
          <w:sz w:val="22"/>
          <w:lang w:val="es-ES_tradnl"/>
        </w:rPr>
        <w:t>Definición</w:t>
      </w:r>
      <w:r w:rsidRPr="00E23980">
        <w:rPr>
          <w:rFonts w:ascii="Arial" w:eastAsia="Calibri" w:hAnsi="Arial" w:cs="Arial"/>
          <w:b/>
          <w:sz w:val="22"/>
          <w:lang w:val="es-ES_tradnl"/>
        </w:rPr>
        <w:t xml:space="preserve"> </w:t>
      </w:r>
    </w:p>
    <w:p w14:paraId="4C1EFAF7" w14:textId="77777777" w:rsidR="00FE24F4" w:rsidRPr="00E23980" w:rsidRDefault="00FE24F4" w:rsidP="00FE24F4">
      <w:pPr>
        <w:jc w:val="both"/>
        <w:rPr>
          <w:rFonts w:ascii="Arial" w:eastAsia="Calibri" w:hAnsi="Arial" w:cs="Arial"/>
          <w:sz w:val="20"/>
          <w:szCs w:val="20"/>
          <w:lang w:val="es-ES_tradnl"/>
        </w:rPr>
      </w:pPr>
    </w:p>
    <w:p w14:paraId="49C73861" w14:textId="3FC57E98" w:rsidR="00FE24F4" w:rsidRDefault="00A77D21" w:rsidP="007E0812">
      <w:pPr>
        <w:jc w:val="both"/>
        <w:rPr>
          <w:rFonts w:ascii="Arial" w:eastAsia="Calibri" w:hAnsi="Arial" w:cs="Arial"/>
          <w:sz w:val="20"/>
          <w:szCs w:val="20"/>
          <w:lang w:val="es-ES_tradnl"/>
        </w:rPr>
      </w:pPr>
      <w:r w:rsidRPr="00A77D21">
        <w:rPr>
          <w:rFonts w:ascii="Arial" w:eastAsia="Calibri" w:hAnsi="Arial" w:cs="Arial"/>
          <w:sz w:val="20"/>
          <w:szCs w:val="20"/>
          <w:lang w:val="es-ES_tradnl"/>
        </w:rPr>
        <w:t>Por obra inconclusa, según el artículo 2, literal a), de dicha Ley, se entiende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w:t>
      </w:r>
    </w:p>
    <w:p w14:paraId="16966869" w14:textId="5D449F96" w:rsidR="00A77D21" w:rsidRDefault="00A77D21" w:rsidP="007E0812">
      <w:pPr>
        <w:jc w:val="both"/>
        <w:rPr>
          <w:rFonts w:ascii="Arial" w:eastAsia="Calibri" w:hAnsi="Arial" w:cs="Arial"/>
          <w:sz w:val="20"/>
          <w:szCs w:val="20"/>
          <w:lang w:val="es-ES_tradnl"/>
        </w:rPr>
      </w:pPr>
    </w:p>
    <w:p w14:paraId="3A7FCB7E" w14:textId="22BD6B2C" w:rsidR="00A77D21" w:rsidRPr="00E23980" w:rsidRDefault="00A77D21" w:rsidP="00A77D21">
      <w:pPr>
        <w:jc w:val="both"/>
        <w:rPr>
          <w:rFonts w:ascii="Arial" w:eastAsia="Calibri" w:hAnsi="Arial" w:cs="Arial"/>
          <w:b/>
          <w:sz w:val="22"/>
          <w:lang w:val="es-ES_tradnl"/>
        </w:rPr>
      </w:pPr>
      <w:r>
        <w:rPr>
          <w:rFonts w:ascii="Arial" w:eastAsia="Calibri" w:hAnsi="Arial" w:cs="Arial"/>
          <w:b/>
          <w:sz w:val="22"/>
          <w:lang w:val="es-ES_tradnl"/>
        </w:rPr>
        <w:t xml:space="preserve">REGISTRO NACIONAL DE OBRAS CIVILES INCONCLUSAS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Pr>
          <w:rFonts w:ascii="Arial" w:eastAsia="Calibri" w:hAnsi="Arial" w:cs="Arial"/>
          <w:b/>
          <w:sz w:val="22"/>
          <w:lang w:val="es-ES_tradnl"/>
        </w:rPr>
        <w:t>Deber de verificación</w:t>
      </w:r>
      <w:r w:rsidRPr="00E23980">
        <w:rPr>
          <w:rFonts w:ascii="Arial" w:eastAsia="Calibri" w:hAnsi="Arial" w:cs="Arial"/>
          <w:b/>
          <w:sz w:val="22"/>
          <w:lang w:val="es-ES_tradnl"/>
        </w:rPr>
        <w:t xml:space="preserve"> </w:t>
      </w:r>
    </w:p>
    <w:p w14:paraId="53AE6B40" w14:textId="77777777" w:rsidR="00A77D21" w:rsidRPr="00E23980" w:rsidRDefault="00A77D21" w:rsidP="00A77D21">
      <w:pPr>
        <w:jc w:val="both"/>
        <w:rPr>
          <w:rFonts w:ascii="Arial" w:eastAsia="Calibri" w:hAnsi="Arial" w:cs="Arial"/>
          <w:sz w:val="20"/>
          <w:szCs w:val="20"/>
          <w:lang w:val="es-ES_tradnl"/>
        </w:rPr>
      </w:pPr>
    </w:p>
    <w:p w14:paraId="2CA01A9D" w14:textId="04D01D42" w:rsidR="00A77D21" w:rsidRPr="00A77D21" w:rsidRDefault="00A77D21" w:rsidP="008C036D">
      <w:pPr>
        <w:tabs>
          <w:tab w:val="left" w:pos="0"/>
        </w:tabs>
        <w:spacing w:after="120"/>
        <w:jc w:val="both"/>
        <w:rPr>
          <w:rFonts w:ascii="Arial" w:eastAsia="Calibri" w:hAnsi="Arial" w:cs="Arial"/>
          <w:color w:val="000000"/>
          <w:sz w:val="20"/>
          <w:szCs w:val="20"/>
          <w:lang w:val="es-ES_tradnl" w:eastAsia="en-GB"/>
        </w:rPr>
      </w:pPr>
      <w:r w:rsidRPr="00A77D21">
        <w:rPr>
          <w:rFonts w:ascii="Arial" w:eastAsia="Calibri" w:hAnsi="Arial" w:cs="Arial"/>
          <w:color w:val="000000"/>
          <w:sz w:val="20"/>
          <w:szCs w:val="20"/>
          <w:lang w:val="es-ES_tradnl" w:eastAsia="en-GB"/>
        </w:rPr>
        <w:t xml:space="preserve">El artículo 6 de la Ley 2020 de 2020 establece un deber a cargo de las entidades estatales dentro de los procedimientos que adelanten para la contratación de obras públicas. Consiste en la obligación de consultar y analizar la información contenida en el Registro Nacional de Obras Civiles Inconclusas. Además, prevé </w:t>
      </w:r>
      <w:proofErr w:type="gramStart"/>
      <w:r w:rsidRPr="00A77D21">
        <w:rPr>
          <w:rFonts w:ascii="Arial" w:eastAsia="Calibri" w:hAnsi="Arial" w:cs="Arial"/>
          <w:color w:val="000000"/>
          <w:sz w:val="20"/>
          <w:szCs w:val="20"/>
          <w:lang w:val="es-ES_tradnl" w:eastAsia="en-GB"/>
        </w:rPr>
        <w:t>que</w:t>
      </w:r>
      <w:proofErr w:type="gramEnd"/>
      <w:r w:rsidRPr="00A77D21">
        <w:rPr>
          <w:rFonts w:ascii="Arial" w:eastAsia="Calibri" w:hAnsi="Arial" w:cs="Arial"/>
          <w:color w:val="000000"/>
          <w:sz w:val="20"/>
          <w:szCs w:val="20"/>
          <w:lang w:val="es-ES_tradnl" w:eastAsia="en-GB"/>
        </w:rPr>
        <w:t xml:space="preserve"> tanto en los procesos de selección de contratistas de obra, como de interventores, han de considerarse las anotaciones de dicho registro en la evaluación de los factores de ponderación de calidad. </w:t>
      </w:r>
    </w:p>
    <w:p w14:paraId="0C2D418C" w14:textId="20F262D5" w:rsidR="00A77D21" w:rsidRPr="00A77D21" w:rsidRDefault="00A77D21" w:rsidP="008C036D">
      <w:pPr>
        <w:tabs>
          <w:tab w:val="left" w:pos="0"/>
        </w:tabs>
        <w:spacing w:after="120"/>
        <w:ind w:right="709"/>
        <w:jc w:val="both"/>
        <w:rPr>
          <w:rFonts w:ascii="Arial" w:eastAsia="Calibri" w:hAnsi="Arial" w:cs="Arial"/>
          <w:color w:val="000000"/>
          <w:sz w:val="20"/>
          <w:szCs w:val="20"/>
          <w:lang w:val="es-ES_tradnl" w:eastAsia="en-GB"/>
        </w:rPr>
      </w:pPr>
      <w:r w:rsidRPr="00A77D21">
        <w:rPr>
          <w:rFonts w:ascii="Arial" w:eastAsia="Calibri" w:hAnsi="Arial" w:cs="Arial"/>
          <w:color w:val="000000"/>
          <w:sz w:val="20"/>
          <w:szCs w:val="20"/>
          <w:lang w:val="es-ES_tradnl" w:eastAsia="en-GB"/>
        </w:rPr>
        <w:t>[…]</w:t>
      </w:r>
    </w:p>
    <w:p w14:paraId="2CAB1635" w14:textId="6E754AFD" w:rsidR="00A77D21" w:rsidRPr="00A77D21" w:rsidRDefault="00A77D21" w:rsidP="008C036D">
      <w:pPr>
        <w:jc w:val="both"/>
        <w:rPr>
          <w:rFonts w:ascii="Arial" w:eastAsia="Calibri" w:hAnsi="Arial" w:cs="Arial"/>
          <w:sz w:val="20"/>
          <w:szCs w:val="20"/>
          <w:lang w:val="es-ES_tradnl"/>
        </w:rPr>
      </w:pPr>
      <w:r w:rsidRPr="00A77D21">
        <w:rPr>
          <w:rFonts w:ascii="Arial" w:eastAsia="Calibri" w:hAnsi="Arial" w:cs="Arial"/>
          <w:color w:val="000000"/>
          <w:sz w:val="20"/>
          <w:szCs w:val="20"/>
          <w:lang w:val="es-ES_tradnl" w:eastAsia="en-GB"/>
        </w:rPr>
        <w:t xml:space="preserve">Como se observa, el referido artículo prescribe que las entidades estatales deben revisar «[…] las anotaciones vigentes en el Registro Nacional de Obras Civiles Inconclusas al momento de evaluar los factores de ponderación de calidad, establecidos en el literal a) del artículo 5o de la Ley 1150 de 2007 o la norma que la modifique». Sobre este aspecto, en la consulta se indaga acerca de cuáles son dichos factores de calidad que se pueden ponderar en relación con el Registro y cómo se efectúa la correspondiente ponderación. Teniendo en cuenta que el artículo 6 de la Ley 2020 de 2020 se remite al literal a) del artículo 5 de la Ley 1150 de 2007, conviene recordar lo señalado en dicho enunciado normativo. Este consagra los criterios para garantizar la </w:t>
      </w:r>
      <w:r w:rsidRPr="00A77D21">
        <w:rPr>
          <w:rFonts w:ascii="Arial" w:eastAsia="Calibri" w:hAnsi="Arial" w:cs="Arial"/>
          <w:i/>
          <w:iCs/>
          <w:color w:val="000000"/>
          <w:sz w:val="20"/>
          <w:szCs w:val="20"/>
          <w:lang w:val="es-ES_tradnl" w:eastAsia="en-GB"/>
        </w:rPr>
        <w:t>selección objetiva</w:t>
      </w:r>
      <w:r w:rsidRPr="00A77D21">
        <w:rPr>
          <w:rFonts w:ascii="Arial" w:eastAsia="Calibri" w:hAnsi="Arial" w:cs="Arial"/>
          <w:color w:val="000000"/>
          <w:sz w:val="20"/>
          <w:szCs w:val="20"/>
          <w:lang w:val="es-ES_tradnl" w:eastAsia="en-GB"/>
        </w:rPr>
        <w:t xml:space="preserve"> en los procedimientos contractuales, precisando la metodología con la cual pueden establecerse tanto los requisitos habilitantes como los criterios de evaluación.</w:t>
      </w:r>
    </w:p>
    <w:p w14:paraId="1069263E" w14:textId="7547FB3A" w:rsidR="00A77D21" w:rsidRDefault="00A77D21" w:rsidP="008C036D">
      <w:pPr>
        <w:spacing w:line="276" w:lineRule="auto"/>
        <w:jc w:val="both"/>
        <w:rPr>
          <w:rFonts w:ascii="Arial" w:hAnsi="Arial" w:cs="Arial"/>
          <w:noProof/>
          <w:color w:val="000000" w:themeColor="text1"/>
          <w:sz w:val="22"/>
          <w:lang w:val="es-ES_tradnl"/>
        </w:rPr>
      </w:pPr>
    </w:p>
    <w:p w14:paraId="26BBCA14" w14:textId="57C53CE4" w:rsidR="00A77D21" w:rsidRPr="00E23980" w:rsidRDefault="00CD592E" w:rsidP="008C036D">
      <w:pPr>
        <w:jc w:val="both"/>
        <w:rPr>
          <w:rFonts w:ascii="Arial" w:eastAsia="Calibri" w:hAnsi="Arial" w:cs="Arial"/>
          <w:b/>
          <w:sz w:val="22"/>
          <w:lang w:val="es-ES_tradnl"/>
        </w:rPr>
      </w:pPr>
      <w:r>
        <w:rPr>
          <w:rFonts w:ascii="Arial" w:eastAsia="Calibri" w:hAnsi="Arial" w:cs="Arial"/>
          <w:b/>
          <w:sz w:val="22"/>
          <w:lang w:val="es-ES_tradnl"/>
        </w:rPr>
        <w:t>DISCRECIONALIDAD ADMINISTRATIVA</w:t>
      </w:r>
      <w:r w:rsidR="00A77D21">
        <w:rPr>
          <w:rFonts w:ascii="Arial" w:eastAsia="Calibri" w:hAnsi="Arial" w:cs="Arial"/>
          <w:b/>
          <w:sz w:val="22"/>
          <w:lang w:val="es-ES_tradnl"/>
        </w:rPr>
        <w:t xml:space="preserve"> </w:t>
      </w:r>
      <w:r w:rsidR="00A77D21" w:rsidRPr="00E23980">
        <w:rPr>
          <w:rFonts w:ascii="Arial" w:eastAsia="Calibri" w:hAnsi="Arial" w:cs="Arial"/>
          <w:b/>
          <w:color w:val="000000" w:themeColor="text1"/>
          <w:sz w:val="22"/>
          <w:lang w:val="es-ES_tradnl"/>
        </w:rPr>
        <w:t>–</w:t>
      </w:r>
      <w:r w:rsidR="00A77D21" w:rsidRPr="00E23980">
        <w:rPr>
          <w:rFonts w:ascii="Arial" w:eastAsia="Calibri" w:hAnsi="Arial" w:cs="Arial"/>
          <w:b/>
          <w:sz w:val="22"/>
          <w:lang w:val="es-ES_tradnl"/>
        </w:rPr>
        <w:t xml:space="preserve"> </w:t>
      </w:r>
      <w:r>
        <w:rPr>
          <w:rFonts w:ascii="Arial" w:eastAsia="Calibri" w:hAnsi="Arial" w:cs="Arial"/>
          <w:b/>
          <w:sz w:val="22"/>
          <w:lang w:val="es-ES_tradnl"/>
        </w:rPr>
        <w:t>Criterios de calificación</w:t>
      </w:r>
      <w:r w:rsidR="00A77D21" w:rsidRPr="00E23980">
        <w:rPr>
          <w:rFonts w:ascii="Arial" w:eastAsia="Calibri" w:hAnsi="Arial" w:cs="Arial"/>
          <w:b/>
          <w:sz w:val="22"/>
          <w:lang w:val="es-ES_tradnl"/>
        </w:rPr>
        <w:t xml:space="preserve"> </w:t>
      </w:r>
      <w:r w:rsidRPr="00E23980">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Factores de ponderación de calidad</w:t>
      </w:r>
    </w:p>
    <w:p w14:paraId="657DD0B0" w14:textId="5FACF1E9" w:rsidR="00A77D21" w:rsidRDefault="00A77D21" w:rsidP="008C036D">
      <w:pPr>
        <w:spacing w:line="276" w:lineRule="auto"/>
        <w:jc w:val="both"/>
        <w:rPr>
          <w:rFonts w:ascii="Arial" w:hAnsi="Arial" w:cs="Arial"/>
          <w:noProof/>
          <w:color w:val="000000" w:themeColor="text1"/>
          <w:sz w:val="22"/>
          <w:lang w:val="es-ES_tradnl"/>
        </w:rPr>
      </w:pPr>
    </w:p>
    <w:p w14:paraId="53B97CAE" w14:textId="16E55160" w:rsidR="005670A5" w:rsidRDefault="00CD592E" w:rsidP="008C036D">
      <w:pPr>
        <w:spacing w:after="120"/>
        <w:jc w:val="both"/>
        <w:rPr>
          <w:rFonts w:ascii="Arial" w:hAnsi="Arial" w:cs="Arial"/>
          <w:color w:val="000000" w:themeColor="text1"/>
          <w:sz w:val="20"/>
          <w:szCs w:val="20"/>
        </w:rPr>
      </w:pPr>
      <w:r w:rsidRPr="00CD592E">
        <w:rPr>
          <w:rFonts w:ascii="Arial" w:hAnsi="Arial" w:cs="Arial"/>
          <w:color w:val="000000" w:themeColor="text1"/>
          <w:sz w:val="20"/>
          <w:szCs w:val="20"/>
        </w:rPr>
        <w:t xml:space="preserve">Por lo tanto, cuando el artículo 6 de la Ley 2020 de 2020 establece que «Durante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w:t>
      </w:r>
      <w:r w:rsidRPr="00CD592E">
        <w:rPr>
          <w:rFonts w:ascii="Arial" w:hAnsi="Arial" w:cs="Arial"/>
          <w:color w:val="000000" w:themeColor="text1"/>
          <w:sz w:val="20"/>
          <w:szCs w:val="20"/>
        </w:rPr>
        <w:lastRenderedPageBreak/>
        <w:t>norma que la modifique», significa que</w:t>
      </w:r>
      <w:r w:rsidR="005670A5">
        <w:rPr>
          <w:rFonts w:ascii="Arial" w:hAnsi="Arial" w:cs="Arial"/>
          <w:color w:val="000000" w:themeColor="text1"/>
          <w:sz w:val="20"/>
          <w:szCs w:val="20"/>
        </w:rPr>
        <w:t>,</w:t>
      </w:r>
      <w:r w:rsidRPr="00CD592E">
        <w:rPr>
          <w:rFonts w:ascii="Arial" w:hAnsi="Arial" w:cs="Arial"/>
          <w:color w:val="000000" w:themeColor="text1"/>
          <w:sz w:val="20"/>
          <w:szCs w:val="20"/>
        </w:rPr>
        <w:t xml:space="preserve"> al </w:t>
      </w:r>
      <w:r w:rsidR="005670A5">
        <w:rPr>
          <w:rFonts w:ascii="Arial" w:hAnsi="Arial" w:cs="Arial"/>
          <w:color w:val="000000" w:themeColor="text1"/>
          <w:sz w:val="20"/>
          <w:szCs w:val="20"/>
        </w:rPr>
        <w:t>aplicar</w:t>
      </w:r>
      <w:r w:rsidRPr="00CD592E">
        <w:rPr>
          <w:rFonts w:ascii="Arial" w:hAnsi="Arial" w:cs="Arial"/>
          <w:color w:val="000000" w:themeColor="text1"/>
          <w:sz w:val="20"/>
          <w:szCs w:val="20"/>
        </w:rPr>
        <w:t xml:space="preserve"> dichos criterios de calificación con puntos dentro del procedimiento contractual, las entidades estatales deben servirse de la información contenida en el Registro. Solo a título de ejemplo, si van a otorgar puntaje por la ejecución exitosa de obras públicas, deben consultar las anotaciones que, sobre esta circunstancia, reposen en dicho Registro. </w:t>
      </w:r>
    </w:p>
    <w:p w14:paraId="1DB7303C" w14:textId="60F6C669" w:rsidR="00CD592E" w:rsidRPr="00CD592E" w:rsidRDefault="004D31EE" w:rsidP="008C036D">
      <w:pPr>
        <w:jc w:val="both"/>
        <w:rPr>
          <w:rFonts w:ascii="Arial" w:hAnsi="Arial" w:cs="Arial"/>
          <w:color w:val="000000" w:themeColor="text1"/>
          <w:sz w:val="20"/>
          <w:szCs w:val="20"/>
        </w:rPr>
      </w:pPr>
      <w:r>
        <w:rPr>
          <w:rFonts w:ascii="Arial" w:hAnsi="Arial" w:cs="Arial"/>
          <w:color w:val="000000" w:themeColor="text1"/>
          <w:sz w:val="20"/>
          <w:szCs w:val="20"/>
        </w:rPr>
        <w:t xml:space="preserve">No </w:t>
      </w:r>
      <w:proofErr w:type="gramStart"/>
      <w:r>
        <w:rPr>
          <w:rFonts w:ascii="Arial" w:hAnsi="Arial" w:cs="Arial"/>
          <w:color w:val="000000" w:themeColor="text1"/>
          <w:sz w:val="20"/>
          <w:szCs w:val="20"/>
        </w:rPr>
        <w:t>obstante</w:t>
      </w:r>
      <w:proofErr w:type="gramEnd"/>
      <w:r>
        <w:rPr>
          <w:rFonts w:ascii="Arial" w:hAnsi="Arial" w:cs="Arial"/>
          <w:color w:val="000000" w:themeColor="text1"/>
          <w:sz w:val="20"/>
          <w:szCs w:val="20"/>
        </w:rPr>
        <w:t xml:space="preserve"> lo anterior</w:t>
      </w:r>
      <w:r w:rsidR="00CD592E" w:rsidRPr="00CD592E">
        <w:rPr>
          <w:rFonts w:ascii="Arial" w:hAnsi="Arial" w:cs="Arial"/>
          <w:color w:val="000000" w:themeColor="text1"/>
          <w:sz w:val="20"/>
          <w:szCs w:val="20"/>
        </w:rPr>
        <w:t>, como las entidades estatales cuentan con discrecionalidad para determinar los criterios de calificación, no le es dable a esta Subdirección definir un listado de factores de ponderación de calidad mediante el presente concepto. Situación distinta es la que se presenta en el ejercicio de la competencia de la Agencia Nacional de Contratación Pública – Colombia Compra Eficiente  para la confección de los pliegos de condiciones tipo, pues el artículo 1 de la Ley 2022 de 2020 le permite establecer dentro de tales documentos «[…]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Sin embargo, no es ese el supuesto que motiva la consulta.</w:t>
      </w:r>
    </w:p>
    <w:p w14:paraId="2AD1B276" w14:textId="4354A07A" w:rsidR="002415B8" w:rsidRDefault="002415B8" w:rsidP="008C036D">
      <w:pPr>
        <w:tabs>
          <w:tab w:val="left" w:pos="1073"/>
        </w:tabs>
        <w:spacing w:line="276" w:lineRule="auto"/>
        <w:jc w:val="both"/>
        <w:rPr>
          <w:rFonts w:ascii="Arial" w:hAnsi="Arial" w:cs="Arial"/>
          <w:noProof/>
          <w:color w:val="000000" w:themeColor="text1"/>
          <w:sz w:val="22"/>
          <w:lang w:val="es-ES_tradnl"/>
        </w:rPr>
      </w:pPr>
    </w:p>
    <w:p w14:paraId="363CAC71" w14:textId="77777777" w:rsidR="002415B8" w:rsidRDefault="002415B8" w:rsidP="008C036D">
      <w:pPr>
        <w:spacing w:line="276" w:lineRule="auto"/>
        <w:jc w:val="both"/>
        <w:rPr>
          <w:rFonts w:ascii="Arial" w:hAnsi="Arial" w:cs="Arial"/>
          <w:noProof/>
          <w:color w:val="000000" w:themeColor="text1"/>
          <w:sz w:val="22"/>
          <w:lang w:val="es-ES_tradnl"/>
        </w:rPr>
      </w:pPr>
    </w:p>
    <w:p w14:paraId="7DD48F49" w14:textId="2640A3B4" w:rsidR="00B95C30" w:rsidRPr="00C118DB" w:rsidRDefault="00B95C30" w:rsidP="00C118DB">
      <w:pPr>
        <w:spacing w:line="276" w:lineRule="auto"/>
        <w:jc w:val="both"/>
        <w:rPr>
          <w:rFonts w:ascii="Arial" w:eastAsia="Calibri" w:hAnsi="Arial" w:cs="Arial"/>
          <w:noProof/>
          <w:color w:val="000000" w:themeColor="text1"/>
          <w:sz w:val="20"/>
          <w:lang w:val="pt-BR"/>
        </w:rPr>
      </w:pPr>
      <w:r w:rsidRPr="00C118DB">
        <w:rPr>
          <w:rFonts w:ascii="Arial" w:hAnsi="Arial" w:cs="Arial"/>
          <w:noProof/>
          <w:color w:val="000000" w:themeColor="text1"/>
          <w:sz w:val="22"/>
          <w:lang w:val="pt-BR"/>
        </w:rPr>
        <w:t xml:space="preserve">Bogotá D.C., </w:t>
      </w:r>
      <w:r w:rsidR="00C118DB" w:rsidRPr="00C118DB">
        <w:rPr>
          <w:rFonts w:ascii="Arial" w:hAnsi="Arial" w:cs="Arial"/>
          <w:b/>
          <w:bCs/>
          <w:noProof/>
          <w:color w:val="000000" w:themeColor="text1"/>
          <w:sz w:val="22"/>
          <w:lang w:val="pt-BR"/>
        </w:rPr>
        <w:t>28</w:t>
      </w:r>
      <w:r w:rsidR="00C118DB">
        <w:rPr>
          <w:rFonts w:ascii="Arial" w:hAnsi="Arial" w:cs="Arial"/>
          <w:b/>
          <w:bCs/>
          <w:noProof/>
          <w:color w:val="000000" w:themeColor="text1"/>
          <w:sz w:val="22"/>
          <w:lang w:val="pt-BR"/>
        </w:rPr>
        <w:t xml:space="preserve">/12/2020 Hora </w:t>
      </w:r>
      <w:r w:rsidR="00F21A51">
        <w:rPr>
          <w:rFonts w:ascii="Arial" w:hAnsi="Arial" w:cs="Arial"/>
          <w:b/>
          <w:bCs/>
          <w:sz w:val="22"/>
          <w:szCs w:val="22"/>
          <w:lang w:val="pt-BR"/>
        </w:rPr>
        <w:t>14</w:t>
      </w:r>
      <w:r w:rsidR="00F21A51" w:rsidRPr="00B77FD9">
        <w:rPr>
          <w:rFonts w:ascii="Arial" w:hAnsi="Arial" w:cs="Arial"/>
          <w:b/>
          <w:bCs/>
          <w:sz w:val="22"/>
          <w:szCs w:val="22"/>
          <w:lang w:val="pt-BR"/>
        </w:rPr>
        <w:t>:0:17s</w:t>
      </w:r>
    </w:p>
    <w:p w14:paraId="5E89E106" w14:textId="0A5BBD20" w:rsidR="00B95C30" w:rsidRPr="00F21A51" w:rsidRDefault="00B95C30" w:rsidP="00B95C30">
      <w:pPr>
        <w:spacing w:line="276" w:lineRule="auto"/>
        <w:jc w:val="right"/>
        <w:rPr>
          <w:rFonts w:ascii="Arial" w:hAnsi="Arial" w:cs="Arial"/>
          <w:b/>
          <w:noProof/>
          <w:color w:val="000000" w:themeColor="text1"/>
          <w:sz w:val="22"/>
          <w:szCs w:val="22"/>
          <w:lang w:val="pt-BR"/>
        </w:rPr>
      </w:pPr>
      <w:r w:rsidRPr="00F21A51">
        <w:rPr>
          <w:rFonts w:ascii="Arial" w:hAnsi="Arial" w:cs="Arial"/>
          <w:b/>
          <w:noProof/>
          <w:color w:val="000000" w:themeColor="text1"/>
          <w:sz w:val="22"/>
          <w:szCs w:val="22"/>
          <w:lang w:val="pt-BR"/>
        </w:rPr>
        <w:t xml:space="preserve">N° Radicado: </w:t>
      </w:r>
      <w:r w:rsidR="00C118DB" w:rsidRPr="00F21A51">
        <w:rPr>
          <w:rFonts w:ascii="Arial" w:hAnsi="Arial" w:cs="Arial"/>
          <w:b/>
          <w:color w:val="000000"/>
          <w:sz w:val="22"/>
          <w:szCs w:val="22"/>
          <w:shd w:val="clear" w:color="auto" w:fill="FFFFFF"/>
          <w:lang w:val="pt-BR"/>
        </w:rPr>
        <w:t>2202012000012094</w:t>
      </w:r>
    </w:p>
    <w:p w14:paraId="6A8A869B" w14:textId="77777777" w:rsidR="00B95C30" w:rsidRPr="00C118DB" w:rsidRDefault="00B95C30" w:rsidP="00B95C30">
      <w:pPr>
        <w:jc w:val="both"/>
        <w:rPr>
          <w:rFonts w:ascii="Arial" w:hAnsi="Arial" w:cs="Arial"/>
          <w:b/>
          <w:color w:val="000000" w:themeColor="text1"/>
          <w:sz w:val="22"/>
          <w:lang w:val="pt-BR"/>
        </w:rPr>
      </w:pPr>
    </w:p>
    <w:p w14:paraId="5F5AE9EF" w14:textId="77777777" w:rsidR="00B95C30" w:rsidRPr="00E23980" w:rsidRDefault="00B95C30" w:rsidP="00B95C30">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p>
    <w:p w14:paraId="3DCD58CE" w14:textId="2068F034" w:rsidR="00B95C30" w:rsidRPr="00E23980" w:rsidRDefault="008E1C9A" w:rsidP="00B95C30">
      <w:pPr>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Jorge Andrés Benavides Machado</w:t>
      </w:r>
    </w:p>
    <w:p w14:paraId="09D4AEA8" w14:textId="77777777" w:rsidR="00B95C30" w:rsidRPr="00E23980" w:rsidRDefault="00B95C30" w:rsidP="00B95C30">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Ciudad</w:t>
      </w:r>
    </w:p>
    <w:p w14:paraId="3F3D1203" w14:textId="77777777" w:rsidR="00B95C30" w:rsidRPr="00E23980" w:rsidRDefault="00B95C30" w:rsidP="00B95C30">
      <w:pPr>
        <w:jc w:val="both"/>
        <w:rPr>
          <w:rFonts w:ascii="Arial" w:eastAsia="Calibri" w:hAnsi="Arial" w:cs="Arial"/>
          <w:color w:val="000000" w:themeColor="text1"/>
          <w:sz w:val="22"/>
          <w:lang w:val="es-ES_tradnl"/>
        </w:rPr>
      </w:pPr>
    </w:p>
    <w:p w14:paraId="24E8D2A9" w14:textId="77777777" w:rsidR="00B95C30" w:rsidRPr="00E23980" w:rsidRDefault="00B95C30" w:rsidP="00B95C30">
      <w:pPr>
        <w:jc w:val="both"/>
        <w:rPr>
          <w:rFonts w:ascii="Arial" w:eastAsia="Calibri" w:hAnsi="Arial" w:cs="Arial"/>
          <w:color w:val="000000" w:themeColor="text1"/>
          <w:sz w:val="22"/>
          <w:lang w:val="es-ES_tradnl"/>
        </w:rPr>
      </w:pPr>
    </w:p>
    <w:p w14:paraId="12E66182" w14:textId="162183E7" w:rsidR="00B95C30" w:rsidRPr="00E23980" w:rsidRDefault="00B95C30" w:rsidP="00B95C30">
      <w:pPr>
        <w:jc w:val="center"/>
        <w:rPr>
          <w:rFonts w:ascii="Arial" w:eastAsia="Calibri" w:hAnsi="Arial" w:cs="Arial"/>
          <w:b/>
          <w:bCs/>
          <w:color w:val="000000" w:themeColor="text1"/>
          <w:sz w:val="22"/>
          <w:lang w:val="es-ES_tradnl"/>
        </w:rPr>
      </w:pPr>
      <w:r w:rsidRPr="00E23980">
        <w:rPr>
          <w:rFonts w:ascii="Arial" w:eastAsia="Calibri" w:hAnsi="Arial" w:cs="Arial"/>
          <w:b/>
          <w:bCs/>
          <w:color w:val="000000" w:themeColor="text1"/>
          <w:sz w:val="22"/>
          <w:lang w:val="es-ES_tradnl"/>
        </w:rPr>
        <w:t>Concepto C ‒ 7</w:t>
      </w:r>
      <w:r w:rsidR="00784FC4" w:rsidRPr="00E23980">
        <w:rPr>
          <w:rFonts w:ascii="Arial" w:eastAsia="Calibri" w:hAnsi="Arial" w:cs="Arial"/>
          <w:b/>
          <w:bCs/>
          <w:color w:val="000000" w:themeColor="text1"/>
          <w:sz w:val="22"/>
          <w:lang w:val="es-ES_tradnl"/>
        </w:rPr>
        <w:t>12</w:t>
      </w:r>
      <w:r w:rsidRPr="00E23980">
        <w:rPr>
          <w:rFonts w:ascii="Arial" w:eastAsia="Calibri" w:hAnsi="Arial" w:cs="Arial"/>
          <w:b/>
          <w:bCs/>
          <w:color w:val="000000" w:themeColor="text1"/>
          <w:sz w:val="22"/>
          <w:lang w:val="es-ES_tradnl"/>
        </w:rPr>
        <w:t xml:space="preserve"> de 2020</w:t>
      </w:r>
    </w:p>
    <w:p w14:paraId="08CF82B2" w14:textId="77777777" w:rsidR="00B95C30" w:rsidRPr="00E23980" w:rsidRDefault="00B95C30" w:rsidP="00B95C30">
      <w:pPr>
        <w:jc w:val="both"/>
        <w:rPr>
          <w:rFonts w:ascii="Arial" w:eastAsia="Calibri" w:hAnsi="Arial" w:cs="Arial"/>
          <w:color w:val="000000" w:themeColor="text1"/>
          <w:sz w:val="22"/>
          <w:lang w:val="es-ES_tradnl"/>
        </w:rPr>
      </w:pP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2442D4">
        <w:tc>
          <w:tcPr>
            <w:tcW w:w="2689" w:type="dxa"/>
          </w:tcPr>
          <w:p w14:paraId="6BC0D1AC" w14:textId="77777777" w:rsidR="00B95C30" w:rsidRPr="00E23980" w:rsidRDefault="00B95C30" w:rsidP="002442D4">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34256FCF" w:rsidR="00B95C30" w:rsidRPr="00E23980" w:rsidRDefault="002415B8" w:rsidP="002442D4">
            <w:pPr>
              <w:jc w:val="both"/>
              <w:rPr>
                <w:rFonts w:ascii="Arial" w:eastAsia="Calibri" w:hAnsi="Arial" w:cs="Arial"/>
                <w:color w:val="000000" w:themeColor="text1"/>
                <w:sz w:val="22"/>
                <w:lang w:val="es-ES_tradnl"/>
              </w:rPr>
            </w:pPr>
            <w:r w:rsidRPr="002415B8">
              <w:rPr>
                <w:rFonts w:ascii="Arial" w:eastAsia="Calibri" w:hAnsi="Arial" w:cs="Arial"/>
                <w:bCs/>
                <w:sz w:val="22"/>
                <w:lang w:val="es-ES_tradnl"/>
              </w:rPr>
              <w:t>REGISTRO NACIONAL DE OBRAS CIVILES INCONCLUSAS – Concepto – Ley 2020 de 2020</w:t>
            </w:r>
            <w:r w:rsidR="00B95C30" w:rsidRPr="00E23980">
              <w:rPr>
                <w:rFonts w:ascii="Arial" w:eastAsia="Calibri" w:hAnsi="Arial" w:cs="Arial"/>
                <w:bCs/>
                <w:sz w:val="22"/>
                <w:lang w:val="es-ES_tradnl"/>
              </w:rPr>
              <w:t xml:space="preserve"> /</w:t>
            </w:r>
            <w:r>
              <w:rPr>
                <w:rFonts w:ascii="Arial" w:eastAsia="Calibri" w:hAnsi="Arial" w:cs="Arial"/>
                <w:bCs/>
                <w:sz w:val="22"/>
                <w:lang w:val="es-ES_tradnl"/>
              </w:rPr>
              <w:t xml:space="preserve"> </w:t>
            </w:r>
            <w:r w:rsidRPr="002415B8">
              <w:rPr>
                <w:rFonts w:ascii="Arial" w:eastAsia="Calibri" w:hAnsi="Arial" w:cs="Arial"/>
                <w:bCs/>
                <w:sz w:val="22"/>
                <w:lang w:val="es-ES_tradnl"/>
              </w:rPr>
              <w:t xml:space="preserve">OBRA </w:t>
            </w:r>
            <w:proofErr w:type="gramStart"/>
            <w:r w:rsidRPr="002415B8">
              <w:rPr>
                <w:rFonts w:ascii="Arial" w:eastAsia="Calibri" w:hAnsi="Arial" w:cs="Arial"/>
                <w:bCs/>
                <w:sz w:val="22"/>
                <w:lang w:val="es-ES_tradnl"/>
              </w:rPr>
              <w:t>INCONCLUSA  –</w:t>
            </w:r>
            <w:proofErr w:type="gramEnd"/>
            <w:r w:rsidRPr="002415B8">
              <w:rPr>
                <w:rFonts w:ascii="Arial" w:eastAsia="Calibri" w:hAnsi="Arial" w:cs="Arial"/>
                <w:bCs/>
                <w:sz w:val="22"/>
                <w:lang w:val="es-ES_tradnl"/>
              </w:rPr>
              <w:t xml:space="preserve"> Definición</w:t>
            </w:r>
            <w:r>
              <w:rPr>
                <w:rFonts w:ascii="Arial" w:eastAsia="Calibri" w:hAnsi="Arial" w:cs="Arial"/>
                <w:bCs/>
                <w:sz w:val="22"/>
                <w:lang w:val="es-ES_tradnl"/>
              </w:rPr>
              <w:t xml:space="preserve"> / </w:t>
            </w:r>
            <w:r w:rsidRPr="002415B8">
              <w:rPr>
                <w:rFonts w:ascii="Arial" w:eastAsia="Calibri" w:hAnsi="Arial" w:cs="Arial"/>
                <w:bCs/>
                <w:sz w:val="22"/>
                <w:lang w:val="es-ES_tradnl"/>
              </w:rPr>
              <w:t>REGISTRO NACIONAL DE OBRAS CIVILES INCONCLUSAS  – Deber de verificación</w:t>
            </w:r>
            <w:r>
              <w:rPr>
                <w:rFonts w:ascii="Arial" w:eastAsia="Calibri" w:hAnsi="Arial" w:cs="Arial"/>
                <w:bCs/>
                <w:sz w:val="22"/>
                <w:lang w:val="es-ES_tradnl"/>
              </w:rPr>
              <w:t xml:space="preserve"> / </w:t>
            </w:r>
            <w:r w:rsidRPr="002415B8">
              <w:rPr>
                <w:rFonts w:ascii="Arial" w:eastAsia="Calibri" w:hAnsi="Arial" w:cs="Arial"/>
                <w:bCs/>
                <w:sz w:val="22"/>
                <w:lang w:val="es-ES_tradnl"/>
              </w:rPr>
              <w:t>DISCRECIONALIDAD ADMINISTRATIVA  – Criterios de calificación – Factores de ponderación de calidad</w:t>
            </w:r>
            <w:r w:rsidR="00B95C30" w:rsidRPr="00E23980">
              <w:rPr>
                <w:rFonts w:ascii="Arial" w:eastAsia="Arial" w:hAnsi="Arial" w:cs="Arial"/>
                <w:sz w:val="22"/>
                <w:lang w:val="es-ES_tradnl"/>
              </w:rPr>
              <w:t>.</w:t>
            </w:r>
          </w:p>
        </w:tc>
      </w:tr>
      <w:tr w:rsidR="00B95C30" w:rsidRPr="00E23980" w14:paraId="27CD52AB" w14:textId="77777777" w:rsidTr="002442D4">
        <w:tc>
          <w:tcPr>
            <w:tcW w:w="2689" w:type="dxa"/>
          </w:tcPr>
          <w:p w14:paraId="37E195A1" w14:textId="41F0D25F" w:rsidR="00B95C30" w:rsidRPr="00E23980" w:rsidRDefault="001068EB" w:rsidP="002442D4">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 </w:t>
            </w:r>
            <w:r w:rsidR="00B95C30" w:rsidRPr="00E23980">
              <w:rPr>
                <w:rFonts w:ascii="Arial" w:eastAsia="Calibri" w:hAnsi="Arial" w:cs="Arial"/>
                <w:b/>
                <w:color w:val="000000" w:themeColor="text1"/>
                <w:sz w:val="22"/>
                <w:lang w:val="es-ES_tradnl"/>
              </w:rPr>
              <w:t>Radicación:</w:t>
            </w:r>
            <w:r w:rsidR="00B95C30" w:rsidRPr="00E23980">
              <w:rPr>
                <w:rFonts w:ascii="Arial" w:eastAsia="Calibri" w:hAnsi="Arial" w:cs="Arial"/>
                <w:color w:val="000000" w:themeColor="text1"/>
                <w:sz w:val="22"/>
                <w:lang w:val="es-ES_tradnl"/>
              </w:rPr>
              <w:t xml:space="preserve">                              </w:t>
            </w:r>
          </w:p>
        </w:tc>
        <w:tc>
          <w:tcPr>
            <w:tcW w:w="6237" w:type="dxa"/>
          </w:tcPr>
          <w:p w14:paraId="64360FC9" w14:textId="40B17383" w:rsidR="00B95C30" w:rsidRPr="00E23980" w:rsidRDefault="00B95C30" w:rsidP="002442D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 </w:t>
            </w:r>
            <w:r w:rsidR="0020697F" w:rsidRPr="00E23980">
              <w:rPr>
                <w:rFonts w:ascii="Arial" w:eastAsia="Calibri" w:hAnsi="Arial" w:cs="Arial"/>
                <w:color w:val="000000" w:themeColor="text1"/>
                <w:sz w:val="22"/>
                <w:lang w:val="es-ES_tradnl"/>
              </w:rPr>
              <w:t>4202012000010278</w:t>
            </w:r>
          </w:p>
          <w:p w14:paraId="09088B1B" w14:textId="77777777" w:rsidR="00B95C30" w:rsidRPr="00E23980" w:rsidRDefault="00B95C30" w:rsidP="002442D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 </w:t>
            </w:r>
          </w:p>
        </w:tc>
      </w:tr>
    </w:tbl>
    <w:p w14:paraId="1CF4AEA0" w14:textId="4F7CFE2B"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Estimado señor </w:t>
      </w:r>
      <w:r w:rsidR="0059429A" w:rsidRPr="00E23980">
        <w:rPr>
          <w:rFonts w:ascii="Arial" w:eastAsia="Calibri" w:hAnsi="Arial" w:cs="Arial"/>
          <w:color w:val="000000" w:themeColor="text1"/>
          <w:sz w:val="22"/>
          <w:lang w:val="es-ES_tradnl"/>
        </w:rPr>
        <w:t>Benavides</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762B790A"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E23980">
        <w:rPr>
          <w:rFonts w:ascii="Arial" w:eastAsia="Calibri" w:hAnsi="Arial" w:cs="Arial"/>
          <w:color w:val="000000" w:themeColor="text1"/>
          <w:sz w:val="22"/>
          <w:lang w:val="es-ES_tradnl"/>
        </w:rPr>
        <w:t>, a través de la Subdirección de Gestión Contractual,</w:t>
      </w:r>
      <w:r w:rsidRPr="00E23980">
        <w:rPr>
          <w:rFonts w:ascii="Arial" w:eastAsia="Calibri" w:hAnsi="Arial" w:cs="Arial"/>
          <w:color w:val="000000" w:themeColor="text1"/>
          <w:sz w:val="22"/>
          <w:lang w:val="es-ES_tradnl"/>
        </w:rPr>
        <w:t xml:space="preserve"> responde su consulta del </w:t>
      </w:r>
      <w:r w:rsidR="00D04B9F" w:rsidRPr="00E23980">
        <w:rPr>
          <w:rFonts w:ascii="Arial" w:eastAsia="Calibri" w:hAnsi="Arial" w:cs="Arial"/>
          <w:color w:val="000000" w:themeColor="text1"/>
          <w:sz w:val="22"/>
          <w:lang w:val="es-ES_tradnl"/>
        </w:rPr>
        <w:t>12</w:t>
      </w:r>
      <w:r w:rsidR="00FD4AF3" w:rsidRPr="00E23980">
        <w:rPr>
          <w:rFonts w:ascii="Arial" w:eastAsia="Calibri" w:hAnsi="Arial" w:cs="Arial"/>
          <w:color w:val="000000" w:themeColor="text1"/>
          <w:sz w:val="22"/>
          <w:lang w:val="es-ES_tradnl"/>
        </w:rPr>
        <w:t xml:space="preserve"> de </w:t>
      </w:r>
      <w:r w:rsidR="00551BFF" w:rsidRPr="00E23980">
        <w:rPr>
          <w:rFonts w:ascii="Arial" w:eastAsia="Calibri" w:hAnsi="Arial" w:cs="Arial"/>
          <w:color w:val="000000" w:themeColor="text1"/>
          <w:sz w:val="22"/>
          <w:lang w:val="es-ES_tradnl"/>
        </w:rPr>
        <w:t>noviembre</w:t>
      </w:r>
      <w:r w:rsidRPr="00E23980">
        <w:rPr>
          <w:rFonts w:ascii="Arial" w:eastAsia="Calibri" w:hAnsi="Arial" w:cs="Arial"/>
          <w:color w:val="000000" w:themeColor="text1"/>
          <w:sz w:val="22"/>
          <w:lang w:val="es-ES_tradnl"/>
        </w:rPr>
        <w:t xml:space="preserve"> del</w:t>
      </w:r>
      <w:r w:rsidR="007E74BF" w:rsidRPr="00E23980">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2020</w:t>
      </w:r>
      <w:r w:rsidR="007F736A" w:rsidRPr="00E23980">
        <w:rPr>
          <w:rFonts w:ascii="Arial" w:eastAsia="Calibri" w:hAnsi="Arial" w:cs="Arial"/>
          <w:color w:val="000000" w:themeColor="text1"/>
          <w:sz w:val="22"/>
          <w:lang w:val="es-ES_tradnl"/>
        </w:rPr>
        <w:t>,</w:t>
      </w:r>
      <w:r w:rsidR="00F72FB4" w:rsidRPr="00E23980">
        <w:rPr>
          <w:rFonts w:ascii="Arial" w:eastAsia="Calibri" w:hAnsi="Arial" w:cs="Arial"/>
          <w:color w:val="000000" w:themeColor="text1"/>
          <w:sz w:val="22"/>
          <w:lang w:val="es-ES_tradnl"/>
        </w:rPr>
        <w:t xml:space="preserve"> en lo </w:t>
      </w:r>
      <w:r w:rsidR="007F736A" w:rsidRPr="00E23980">
        <w:rPr>
          <w:rFonts w:ascii="Arial" w:eastAsia="Calibri" w:hAnsi="Arial" w:cs="Arial"/>
          <w:color w:val="000000" w:themeColor="text1"/>
          <w:sz w:val="22"/>
          <w:lang w:val="es-ES_tradnl"/>
        </w:rPr>
        <w:t>referido</w:t>
      </w:r>
      <w:r w:rsidR="00F72FB4" w:rsidRPr="00E23980">
        <w:rPr>
          <w:rFonts w:ascii="Arial" w:eastAsia="Calibri" w:hAnsi="Arial" w:cs="Arial"/>
          <w:color w:val="000000" w:themeColor="text1"/>
          <w:sz w:val="22"/>
          <w:lang w:val="es-ES_tradnl"/>
        </w:rPr>
        <w:t xml:space="preserve"> a la segunda pregunta</w:t>
      </w:r>
      <w:r w:rsidR="007F736A" w:rsidRPr="00E23980">
        <w:rPr>
          <w:rFonts w:ascii="Arial" w:eastAsia="Calibri" w:hAnsi="Arial" w:cs="Arial"/>
          <w:color w:val="000000" w:themeColor="text1"/>
          <w:sz w:val="22"/>
          <w:lang w:val="es-ES_tradnl"/>
        </w:rPr>
        <w:t xml:space="preserve">, ya que la primera </w:t>
      </w:r>
      <w:r w:rsidR="00CE69CC" w:rsidRPr="00E23980">
        <w:rPr>
          <w:rFonts w:ascii="Arial" w:eastAsia="Calibri" w:hAnsi="Arial" w:cs="Arial"/>
          <w:color w:val="000000" w:themeColor="text1"/>
          <w:sz w:val="22"/>
          <w:lang w:val="es-ES_tradnl"/>
        </w:rPr>
        <w:t xml:space="preserve">será resuelta por la Subdirección de </w:t>
      </w:r>
      <w:r w:rsidR="00541571" w:rsidRPr="00E23980">
        <w:rPr>
          <w:rFonts w:ascii="Arial" w:eastAsia="Calibri" w:hAnsi="Arial" w:cs="Arial"/>
          <w:color w:val="000000" w:themeColor="text1"/>
          <w:sz w:val="22"/>
          <w:lang w:val="es-ES_tradnl"/>
        </w:rPr>
        <w:t>Información y Desarrollo Tecnológico.</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669F172E" w:rsidR="00443B55" w:rsidRPr="00E23980" w:rsidRDefault="00DD5B04" w:rsidP="0099583D">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lastRenderedPageBreak/>
        <w:t xml:space="preserve">Usted </w:t>
      </w:r>
      <w:r w:rsidR="00B422C0" w:rsidRPr="00E23980">
        <w:rPr>
          <w:rFonts w:ascii="Arial" w:hAnsi="Arial" w:cs="Arial"/>
          <w:color w:val="000000" w:themeColor="text1"/>
          <w:sz w:val="22"/>
          <w:lang w:val="es-ES_tradnl"/>
        </w:rPr>
        <w:t>formula</w:t>
      </w:r>
      <w:r w:rsidR="006D46A3" w:rsidRPr="00E23980">
        <w:rPr>
          <w:rFonts w:ascii="Arial" w:hAnsi="Arial" w:cs="Arial"/>
          <w:color w:val="000000" w:themeColor="text1"/>
          <w:sz w:val="22"/>
          <w:lang w:val="es-ES_tradnl"/>
        </w:rPr>
        <w:t xml:space="preserve"> la siguiente pregunta</w:t>
      </w:r>
      <w:r w:rsidR="000406DB" w:rsidRPr="00E23980">
        <w:rPr>
          <w:rFonts w:ascii="Arial" w:hAnsi="Arial" w:cs="Arial"/>
          <w:color w:val="000000" w:themeColor="text1"/>
          <w:sz w:val="22"/>
          <w:lang w:val="es-ES_tradnl"/>
        </w:rPr>
        <w:t xml:space="preserve">, relacionada con </w:t>
      </w:r>
      <w:r w:rsidR="00DD5DAE" w:rsidRPr="00E23980">
        <w:rPr>
          <w:rFonts w:ascii="Arial" w:hAnsi="Arial" w:cs="Arial"/>
          <w:color w:val="000000" w:themeColor="text1"/>
          <w:sz w:val="22"/>
          <w:lang w:val="es-ES_tradnl"/>
        </w:rPr>
        <w:t>el artículo 6 de la Ley 2020 de 2020</w:t>
      </w:r>
      <w:r w:rsidR="00B422C0" w:rsidRPr="00E23980">
        <w:rPr>
          <w:rFonts w:ascii="Arial" w:hAnsi="Arial" w:cs="Arial"/>
          <w:color w:val="000000" w:themeColor="text1"/>
          <w:sz w:val="22"/>
          <w:lang w:val="es-ES_tradnl"/>
        </w:rPr>
        <w:t>:</w:t>
      </w:r>
      <w:r w:rsidR="007E18DF" w:rsidRPr="00E23980">
        <w:rPr>
          <w:rFonts w:ascii="Arial" w:hAnsi="Arial" w:cs="Arial"/>
          <w:color w:val="000000" w:themeColor="text1"/>
          <w:sz w:val="22"/>
          <w:lang w:val="es-ES_tradnl"/>
        </w:rPr>
        <w:t xml:space="preserve"> </w:t>
      </w:r>
    </w:p>
    <w:p w14:paraId="559EE20C" w14:textId="77777777" w:rsidR="00443B55" w:rsidRPr="00E23980" w:rsidRDefault="00443B55" w:rsidP="0099583D">
      <w:pPr>
        <w:spacing w:line="276" w:lineRule="auto"/>
        <w:jc w:val="both"/>
        <w:rPr>
          <w:rFonts w:ascii="Arial" w:hAnsi="Arial" w:cs="Arial"/>
          <w:color w:val="000000" w:themeColor="text1"/>
          <w:sz w:val="22"/>
          <w:lang w:val="es-ES_tradnl"/>
        </w:rPr>
      </w:pPr>
    </w:p>
    <w:p w14:paraId="7E8B8948" w14:textId="310A8C3D" w:rsidR="008D1A2A" w:rsidRPr="00E23980" w:rsidRDefault="00F0435D" w:rsidP="009512FA">
      <w:pPr>
        <w:ind w:left="709" w:right="709"/>
        <w:jc w:val="both"/>
        <w:rPr>
          <w:rFonts w:ascii="Arial" w:hAnsi="Arial" w:cs="Arial"/>
          <w:color w:val="000000" w:themeColor="text1"/>
          <w:sz w:val="21"/>
          <w:szCs w:val="21"/>
          <w:lang w:val="es-ES_tradnl"/>
        </w:rPr>
      </w:pPr>
      <w:r w:rsidRPr="00E23980">
        <w:rPr>
          <w:rFonts w:ascii="Arial" w:hAnsi="Arial" w:cs="Arial"/>
          <w:color w:val="000000" w:themeColor="text1"/>
          <w:sz w:val="21"/>
          <w:szCs w:val="21"/>
          <w:lang w:val="es-ES_tradnl"/>
        </w:rPr>
        <w:t>«</w:t>
      </w:r>
      <w:r w:rsidR="00A0447F" w:rsidRPr="00E23980">
        <w:rPr>
          <w:rFonts w:ascii="Arial" w:hAnsi="Arial" w:cs="Arial"/>
          <w:color w:val="000000" w:themeColor="text1"/>
          <w:sz w:val="21"/>
          <w:szCs w:val="21"/>
          <w:lang w:val="es-ES_tradnl"/>
        </w:rPr>
        <w:t xml:space="preserve">Así </w:t>
      </w:r>
      <w:r w:rsidR="009512FA" w:rsidRPr="00E23980">
        <w:rPr>
          <w:rFonts w:ascii="Arial" w:hAnsi="Arial" w:cs="Arial"/>
          <w:color w:val="000000" w:themeColor="text1"/>
          <w:sz w:val="21"/>
          <w:szCs w:val="21"/>
          <w:lang w:val="es-ES_tradnl"/>
        </w:rPr>
        <w:t xml:space="preserve">las cosas, teniendo en cuenta que la mencionada norma plantea un requisito de </w:t>
      </w:r>
      <w:r w:rsidR="00A0447F" w:rsidRPr="00E23980">
        <w:rPr>
          <w:rFonts w:ascii="Arial" w:hAnsi="Arial" w:cs="Arial"/>
          <w:color w:val="000000" w:themeColor="text1"/>
          <w:sz w:val="21"/>
          <w:szCs w:val="21"/>
          <w:lang w:val="es-ES_tradnl"/>
        </w:rPr>
        <w:t>verificación</w:t>
      </w:r>
      <w:r w:rsidR="009512FA" w:rsidRPr="00E23980">
        <w:rPr>
          <w:rFonts w:ascii="Arial" w:hAnsi="Arial" w:cs="Arial"/>
          <w:color w:val="000000" w:themeColor="text1"/>
          <w:sz w:val="21"/>
          <w:szCs w:val="21"/>
          <w:lang w:val="es-ES_tradnl"/>
        </w:rPr>
        <w:t xml:space="preserve"> </w:t>
      </w:r>
      <w:r w:rsidR="009512FA" w:rsidRPr="00E23980">
        <w:rPr>
          <w:rFonts w:ascii="Arial" w:hAnsi="Arial" w:cs="Arial"/>
          <w:i/>
          <w:iCs/>
          <w:color w:val="000000" w:themeColor="text1"/>
          <w:sz w:val="21"/>
          <w:szCs w:val="21"/>
          <w:lang w:val="es-ES_tradnl"/>
        </w:rPr>
        <w:t>sui generis</w:t>
      </w:r>
      <w:r w:rsidR="009512FA" w:rsidRPr="00E23980">
        <w:rPr>
          <w:rFonts w:ascii="Arial" w:hAnsi="Arial" w:cs="Arial"/>
          <w:color w:val="000000" w:themeColor="text1"/>
          <w:sz w:val="21"/>
          <w:szCs w:val="21"/>
          <w:lang w:val="es-ES_tradnl"/>
        </w:rPr>
        <w:t xml:space="preserve"> de cara a los procesos de </w:t>
      </w:r>
      <w:r w:rsidR="00A0447F" w:rsidRPr="00E23980">
        <w:rPr>
          <w:rFonts w:ascii="Arial" w:hAnsi="Arial" w:cs="Arial"/>
          <w:color w:val="000000" w:themeColor="text1"/>
          <w:sz w:val="21"/>
          <w:szCs w:val="21"/>
          <w:lang w:val="es-ES_tradnl"/>
        </w:rPr>
        <w:t>selección</w:t>
      </w:r>
      <w:r w:rsidR="009512FA" w:rsidRPr="00E23980">
        <w:rPr>
          <w:rFonts w:ascii="Arial" w:hAnsi="Arial" w:cs="Arial"/>
          <w:color w:val="000000" w:themeColor="text1"/>
          <w:sz w:val="21"/>
          <w:szCs w:val="21"/>
          <w:lang w:val="es-ES_tradnl"/>
        </w:rPr>
        <w:t xml:space="preserve"> que adelanten las entidades estatales, surge el siguiente interrogante: ¿</w:t>
      </w:r>
      <w:r w:rsidR="00A0447F" w:rsidRPr="00E23980">
        <w:rPr>
          <w:rFonts w:ascii="Arial" w:hAnsi="Arial" w:cs="Arial"/>
          <w:color w:val="000000" w:themeColor="text1"/>
          <w:sz w:val="21"/>
          <w:szCs w:val="21"/>
          <w:lang w:val="es-ES_tradnl"/>
        </w:rPr>
        <w:t>Cuáles</w:t>
      </w:r>
      <w:r w:rsidR="009512FA" w:rsidRPr="00E23980">
        <w:rPr>
          <w:rFonts w:ascii="Arial" w:hAnsi="Arial" w:cs="Arial"/>
          <w:color w:val="000000" w:themeColor="text1"/>
          <w:sz w:val="21"/>
          <w:szCs w:val="21"/>
          <w:lang w:val="es-ES_tradnl"/>
        </w:rPr>
        <w:t xml:space="preserve"> </w:t>
      </w:r>
      <w:r w:rsidR="00A0447F" w:rsidRPr="00E23980">
        <w:rPr>
          <w:rFonts w:ascii="Arial" w:hAnsi="Arial" w:cs="Arial"/>
          <w:color w:val="000000" w:themeColor="text1"/>
          <w:sz w:val="21"/>
          <w:szCs w:val="21"/>
          <w:lang w:val="es-ES_tradnl"/>
        </w:rPr>
        <w:t>serían</w:t>
      </w:r>
      <w:r w:rsidR="009512FA" w:rsidRPr="00E23980">
        <w:rPr>
          <w:rFonts w:ascii="Arial" w:hAnsi="Arial" w:cs="Arial"/>
          <w:color w:val="000000" w:themeColor="text1"/>
          <w:sz w:val="21"/>
          <w:szCs w:val="21"/>
          <w:lang w:val="es-ES_tradnl"/>
        </w:rPr>
        <w:t xml:space="preserve"> los requisitos de calidad ponderados como criterio de </w:t>
      </w:r>
      <w:r w:rsidR="00A0447F" w:rsidRPr="00E23980">
        <w:rPr>
          <w:rFonts w:ascii="Arial" w:hAnsi="Arial" w:cs="Arial"/>
          <w:color w:val="000000" w:themeColor="text1"/>
          <w:sz w:val="21"/>
          <w:szCs w:val="21"/>
          <w:lang w:val="es-ES_tradnl"/>
        </w:rPr>
        <w:t>calificación</w:t>
      </w:r>
      <w:r w:rsidR="009512FA" w:rsidRPr="00E23980">
        <w:rPr>
          <w:rFonts w:ascii="Arial" w:hAnsi="Arial" w:cs="Arial"/>
          <w:color w:val="000000" w:themeColor="text1"/>
          <w:sz w:val="21"/>
          <w:szCs w:val="21"/>
          <w:lang w:val="es-ES_tradnl"/>
        </w:rPr>
        <w:t xml:space="preserve"> frente al Registro Nacional de Obras Civiles Inconclusas? ¿</w:t>
      </w:r>
      <w:r w:rsidR="00A0447F" w:rsidRPr="00E23980">
        <w:rPr>
          <w:rFonts w:ascii="Arial" w:hAnsi="Arial" w:cs="Arial"/>
          <w:color w:val="000000" w:themeColor="text1"/>
          <w:sz w:val="21"/>
          <w:szCs w:val="21"/>
          <w:lang w:val="es-ES_tradnl"/>
        </w:rPr>
        <w:t>Cómo</w:t>
      </w:r>
      <w:r w:rsidR="009512FA" w:rsidRPr="00E23980">
        <w:rPr>
          <w:rFonts w:ascii="Arial" w:hAnsi="Arial" w:cs="Arial"/>
          <w:color w:val="000000" w:themeColor="text1"/>
          <w:sz w:val="21"/>
          <w:szCs w:val="21"/>
          <w:lang w:val="es-ES_tradnl"/>
        </w:rPr>
        <w:t xml:space="preserve"> se </w:t>
      </w:r>
      <w:r w:rsidR="00A0447F" w:rsidRPr="00E23980">
        <w:rPr>
          <w:rFonts w:ascii="Arial" w:hAnsi="Arial" w:cs="Arial"/>
          <w:color w:val="000000" w:themeColor="text1"/>
          <w:sz w:val="21"/>
          <w:szCs w:val="21"/>
          <w:lang w:val="es-ES_tradnl"/>
        </w:rPr>
        <w:t>podría</w:t>
      </w:r>
      <w:r w:rsidR="009512FA" w:rsidRPr="00E23980">
        <w:rPr>
          <w:rFonts w:ascii="Arial" w:hAnsi="Arial" w:cs="Arial"/>
          <w:color w:val="000000" w:themeColor="text1"/>
          <w:sz w:val="21"/>
          <w:szCs w:val="21"/>
          <w:lang w:val="es-ES_tradnl"/>
        </w:rPr>
        <w:t xml:space="preserve"> ponderar este requisito?</w:t>
      </w:r>
      <w:r w:rsidR="00F23759" w:rsidRPr="00E23980">
        <w:rPr>
          <w:rFonts w:ascii="Arial" w:hAnsi="Arial" w:cs="Arial"/>
          <w:color w:val="000000" w:themeColor="text1"/>
          <w:sz w:val="21"/>
          <w:szCs w:val="21"/>
          <w:lang w:val="es-ES_tradnl"/>
        </w:rPr>
        <w:t>»</w:t>
      </w:r>
      <w:r w:rsidR="00D32A27" w:rsidRPr="00E23980">
        <w:rPr>
          <w:rFonts w:ascii="Arial" w:hAnsi="Arial" w:cs="Arial"/>
          <w:color w:val="000000" w:themeColor="text1"/>
          <w:sz w:val="21"/>
          <w:szCs w:val="21"/>
          <w:lang w:val="es-ES_tradnl"/>
        </w:rPr>
        <w:t>.</w:t>
      </w:r>
    </w:p>
    <w:p w14:paraId="0959433F" w14:textId="77777777" w:rsidR="00BE1372" w:rsidRPr="00E23980" w:rsidRDefault="00BE1372" w:rsidP="006A457D">
      <w:pPr>
        <w:spacing w:line="276" w:lineRule="auto"/>
        <w:jc w:val="both"/>
        <w:rPr>
          <w:rFonts w:ascii="Arial" w:hAnsi="Arial" w:cs="Arial"/>
          <w:color w:val="000000" w:themeColor="text1"/>
          <w:sz w:val="22"/>
          <w:lang w:val="es-ES_tradnl"/>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35E25E39" w14:textId="28CA4E22" w:rsidR="00DD5B04" w:rsidRPr="00E23980" w:rsidRDefault="00DD5B04" w:rsidP="00DF76A2">
      <w:pPr>
        <w:spacing w:line="276" w:lineRule="auto"/>
        <w:jc w:val="both"/>
        <w:rPr>
          <w:rFonts w:ascii="Arial" w:eastAsia="Calibri" w:hAnsi="Arial" w:cs="Arial"/>
          <w:color w:val="000000" w:themeColor="text1"/>
          <w:sz w:val="20"/>
          <w:szCs w:val="20"/>
          <w:lang w:val="es-ES_tradnl"/>
        </w:rPr>
      </w:pPr>
    </w:p>
    <w:p w14:paraId="20753499" w14:textId="43423CAD" w:rsidR="005C529E" w:rsidRPr="00E23980" w:rsidRDefault="005C529E" w:rsidP="00B024ED">
      <w:pPr>
        <w:spacing w:line="276" w:lineRule="auto"/>
        <w:contextualSpacing/>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 xml:space="preserve">Para </w:t>
      </w:r>
      <w:r w:rsidR="00540C4C">
        <w:rPr>
          <w:rFonts w:ascii="Arial" w:eastAsia="Calibri" w:hAnsi="Arial" w:cs="Arial"/>
          <w:color w:val="000000"/>
          <w:sz w:val="22"/>
          <w:lang w:val="es-ES_tradnl" w:eastAsia="en-GB"/>
        </w:rPr>
        <w:t>resolver</w:t>
      </w:r>
      <w:r w:rsidRPr="00E23980">
        <w:rPr>
          <w:rFonts w:ascii="Arial" w:eastAsia="Calibri" w:hAnsi="Arial" w:cs="Arial"/>
          <w:color w:val="000000"/>
          <w:sz w:val="22"/>
          <w:lang w:val="es-ES_tradnl" w:eastAsia="en-GB"/>
        </w:rPr>
        <w:t xml:space="preserve"> </w:t>
      </w:r>
      <w:r w:rsidR="00540C4C">
        <w:rPr>
          <w:rFonts w:ascii="Arial" w:eastAsia="Calibri" w:hAnsi="Arial" w:cs="Arial"/>
          <w:color w:val="000000"/>
          <w:sz w:val="22"/>
          <w:lang w:val="es-ES_tradnl" w:eastAsia="en-GB"/>
        </w:rPr>
        <w:t>el</w:t>
      </w:r>
      <w:r w:rsidRPr="00E23980">
        <w:rPr>
          <w:rFonts w:ascii="Arial" w:eastAsia="Calibri" w:hAnsi="Arial" w:cs="Arial"/>
          <w:color w:val="000000"/>
          <w:sz w:val="22"/>
          <w:lang w:val="es-ES_tradnl" w:eastAsia="en-GB"/>
        </w:rPr>
        <w:t xml:space="preserve"> interrogante planteado</w:t>
      </w:r>
      <w:r w:rsidR="007B303E" w:rsidRPr="00E23980">
        <w:rPr>
          <w:rFonts w:ascii="Arial" w:eastAsia="Calibri" w:hAnsi="Arial" w:cs="Arial"/>
          <w:color w:val="000000"/>
          <w:sz w:val="22"/>
          <w:lang w:val="es-ES_tradnl" w:eastAsia="en-GB"/>
        </w:rPr>
        <w:t>,</w:t>
      </w:r>
      <w:r w:rsidRPr="00E23980">
        <w:rPr>
          <w:rFonts w:ascii="Arial" w:eastAsia="Calibri" w:hAnsi="Arial" w:cs="Arial"/>
          <w:color w:val="000000"/>
          <w:sz w:val="22"/>
          <w:lang w:val="es-ES_tradnl" w:eastAsia="en-GB"/>
        </w:rPr>
        <w:t xml:space="preserve"> se analizarán los siguientes temas:</w:t>
      </w:r>
      <w:r w:rsidR="00910683" w:rsidRPr="00E23980">
        <w:rPr>
          <w:rFonts w:ascii="Arial" w:eastAsia="Calibri" w:hAnsi="Arial" w:cs="Arial"/>
          <w:color w:val="000000"/>
          <w:sz w:val="22"/>
          <w:lang w:val="es-ES_tradnl" w:eastAsia="en-GB"/>
        </w:rPr>
        <w:t xml:space="preserve"> </w:t>
      </w:r>
      <w:r w:rsidR="00B024ED" w:rsidRPr="00C233CE">
        <w:rPr>
          <w:rFonts w:ascii="Arial" w:eastAsia="Calibri" w:hAnsi="Arial" w:cs="Arial"/>
          <w:color w:val="000000"/>
          <w:sz w:val="22"/>
          <w:lang w:val="es-ES_tradnl" w:eastAsia="en-GB"/>
        </w:rPr>
        <w:t>i</w:t>
      </w:r>
      <w:r w:rsidR="00D047E0" w:rsidRPr="00C233CE">
        <w:rPr>
          <w:rFonts w:ascii="Arial" w:eastAsia="Calibri" w:hAnsi="Arial" w:cs="Arial"/>
          <w:color w:val="000000"/>
          <w:sz w:val="22"/>
          <w:lang w:val="es-ES_tradnl" w:eastAsia="en-GB"/>
        </w:rPr>
        <w:t>)</w:t>
      </w:r>
      <w:r w:rsidR="00834128" w:rsidRPr="00E23980">
        <w:rPr>
          <w:rFonts w:ascii="Arial" w:eastAsia="Calibri" w:hAnsi="Arial" w:cs="Arial"/>
          <w:color w:val="000000"/>
          <w:sz w:val="22"/>
          <w:lang w:val="es-ES_tradnl" w:eastAsia="en-GB"/>
        </w:rPr>
        <w:t xml:space="preserve"> </w:t>
      </w:r>
      <w:r w:rsidR="008951D0">
        <w:rPr>
          <w:rFonts w:ascii="Arial" w:eastAsia="Calibri" w:hAnsi="Arial" w:cs="Arial"/>
          <w:color w:val="000000"/>
          <w:sz w:val="22"/>
          <w:lang w:val="es-ES_tradnl" w:eastAsia="en-GB"/>
        </w:rPr>
        <w:t xml:space="preserve">definición del </w:t>
      </w:r>
      <w:r w:rsidR="00834128" w:rsidRPr="00E23980">
        <w:rPr>
          <w:rFonts w:ascii="Arial" w:eastAsia="Calibri" w:hAnsi="Arial" w:cs="Arial"/>
          <w:color w:val="000000"/>
          <w:sz w:val="22"/>
          <w:lang w:val="es-ES_tradnl" w:eastAsia="en-GB"/>
        </w:rPr>
        <w:t>Registro</w:t>
      </w:r>
      <w:r w:rsidR="00505DCB" w:rsidRPr="00E23980">
        <w:rPr>
          <w:rFonts w:ascii="Arial" w:eastAsia="Calibri" w:hAnsi="Arial" w:cs="Arial"/>
          <w:color w:val="000000"/>
          <w:sz w:val="22"/>
          <w:lang w:val="es-ES_tradnl" w:eastAsia="en-GB"/>
        </w:rPr>
        <w:t xml:space="preserve"> Nacional de Obras Civiles Inconclusas</w:t>
      </w:r>
      <w:r w:rsidR="008951D0">
        <w:rPr>
          <w:rFonts w:ascii="Arial" w:eastAsia="Calibri" w:hAnsi="Arial" w:cs="Arial"/>
          <w:color w:val="000000"/>
          <w:sz w:val="22"/>
          <w:lang w:val="es-ES_tradnl" w:eastAsia="en-GB"/>
        </w:rPr>
        <w:t xml:space="preserve"> e </w:t>
      </w:r>
      <w:proofErr w:type="spellStart"/>
      <w:r w:rsidR="008951D0">
        <w:rPr>
          <w:rFonts w:ascii="Arial" w:eastAsia="Calibri" w:hAnsi="Arial" w:cs="Arial"/>
          <w:color w:val="000000"/>
          <w:sz w:val="22"/>
          <w:lang w:val="es-ES_tradnl" w:eastAsia="en-GB"/>
        </w:rPr>
        <w:t>ii</w:t>
      </w:r>
      <w:proofErr w:type="spellEnd"/>
      <w:r w:rsidR="008951D0">
        <w:rPr>
          <w:rFonts w:ascii="Arial" w:eastAsia="Calibri" w:hAnsi="Arial" w:cs="Arial"/>
          <w:color w:val="000000"/>
          <w:sz w:val="22"/>
          <w:lang w:val="es-ES_tradnl" w:eastAsia="en-GB"/>
        </w:rPr>
        <w:t>) interpretación del artículo 6 de la Ley 2020 de 2020</w:t>
      </w:r>
      <w:r w:rsidR="00540C4C">
        <w:rPr>
          <w:rFonts w:ascii="Arial" w:eastAsia="Calibri" w:hAnsi="Arial" w:cs="Arial"/>
          <w:color w:val="000000"/>
          <w:sz w:val="22"/>
          <w:lang w:val="es-ES_tradnl" w:eastAsia="en-GB"/>
        </w:rPr>
        <w:t>,</w:t>
      </w:r>
      <w:r w:rsidR="008951D0">
        <w:rPr>
          <w:rFonts w:ascii="Arial" w:eastAsia="Calibri" w:hAnsi="Arial" w:cs="Arial"/>
          <w:color w:val="000000"/>
          <w:sz w:val="22"/>
          <w:lang w:val="es-ES_tradnl" w:eastAsia="en-GB"/>
        </w:rPr>
        <w:t xml:space="preserve"> en relación con </w:t>
      </w:r>
      <w:r w:rsidR="00104F1C">
        <w:rPr>
          <w:rFonts w:ascii="Arial" w:eastAsia="Calibri" w:hAnsi="Arial" w:cs="Arial"/>
          <w:color w:val="000000"/>
          <w:sz w:val="22"/>
          <w:lang w:val="es-ES_tradnl" w:eastAsia="en-GB"/>
        </w:rPr>
        <w:t xml:space="preserve">la evaluación de </w:t>
      </w:r>
      <w:r w:rsidR="008951D0">
        <w:rPr>
          <w:rFonts w:ascii="Arial" w:eastAsia="Calibri" w:hAnsi="Arial" w:cs="Arial"/>
          <w:color w:val="000000"/>
          <w:sz w:val="22"/>
          <w:lang w:val="es-ES_tradnl" w:eastAsia="en-GB"/>
        </w:rPr>
        <w:t xml:space="preserve">los factores de </w:t>
      </w:r>
      <w:r w:rsidR="00104F1C">
        <w:rPr>
          <w:rFonts w:ascii="Arial" w:eastAsia="Calibri" w:hAnsi="Arial" w:cs="Arial"/>
          <w:color w:val="000000"/>
          <w:sz w:val="22"/>
          <w:lang w:val="es-ES_tradnl" w:eastAsia="en-GB"/>
        </w:rPr>
        <w:t>ponderación de calidad</w:t>
      </w:r>
      <w:r w:rsidR="00B37AFD">
        <w:rPr>
          <w:rFonts w:ascii="Arial" w:eastAsia="Calibri" w:hAnsi="Arial" w:cs="Arial"/>
          <w:color w:val="000000"/>
          <w:sz w:val="22"/>
          <w:lang w:val="es-ES_tradnl" w:eastAsia="en-GB"/>
        </w:rPr>
        <w:t xml:space="preserve"> efectuada con base en las anotaciones contenidas en dicho Registro.</w:t>
      </w:r>
      <w:r w:rsidR="008951D0">
        <w:rPr>
          <w:rFonts w:ascii="Arial" w:eastAsia="Calibri" w:hAnsi="Arial" w:cs="Arial"/>
          <w:color w:val="000000"/>
          <w:sz w:val="22"/>
          <w:lang w:val="es-ES_tradnl" w:eastAsia="en-GB"/>
        </w:rPr>
        <w:t xml:space="preserve"> </w:t>
      </w:r>
    </w:p>
    <w:p w14:paraId="2427DFC4" w14:textId="338F37A8" w:rsidR="004427AC" w:rsidRPr="00E23980" w:rsidRDefault="004427AC" w:rsidP="00510DE9">
      <w:pPr>
        <w:tabs>
          <w:tab w:val="left" w:pos="0"/>
        </w:tabs>
        <w:jc w:val="both"/>
        <w:rPr>
          <w:rFonts w:ascii="Arial" w:eastAsia="Calibri" w:hAnsi="Arial" w:cs="Arial"/>
          <w:b/>
          <w:color w:val="000000" w:themeColor="text1"/>
          <w:sz w:val="22"/>
          <w:lang w:val="es-ES_tradnl"/>
        </w:rPr>
      </w:pPr>
    </w:p>
    <w:p w14:paraId="18570445" w14:textId="6998F804" w:rsidR="00505DCB" w:rsidRPr="00E23980" w:rsidRDefault="00505DCB" w:rsidP="00510DE9">
      <w:pPr>
        <w:tabs>
          <w:tab w:val="left" w:pos="0"/>
        </w:tabs>
        <w:jc w:val="both"/>
        <w:rPr>
          <w:rFonts w:ascii="Arial" w:eastAsia="Calibri" w:hAnsi="Arial" w:cs="Arial"/>
          <w:b/>
          <w:bCs/>
          <w:color w:val="000000" w:themeColor="text1"/>
          <w:sz w:val="22"/>
          <w:lang w:val="es-ES_tradnl"/>
        </w:rPr>
      </w:pPr>
      <w:r w:rsidRPr="007A3967">
        <w:rPr>
          <w:rFonts w:ascii="Arial" w:eastAsia="Calibri" w:hAnsi="Arial" w:cs="Arial"/>
          <w:b/>
          <w:bCs/>
          <w:color w:val="000000"/>
          <w:sz w:val="22"/>
          <w:lang w:val="pt-BR" w:eastAsia="en-GB"/>
        </w:rPr>
        <w:t xml:space="preserve">2.1. Registro Nacional de Obras </w:t>
      </w:r>
      <w:proofErr w:type="spellStart"/>
      <w:r w:rsidRPr="007A3967">
        <w:rPr>
          <w:rFonts w:ascii="Arial" w:eastAsia="Calibri" w:hAnsi="Arial" w:cs="Arial"/>
          <w:b/>
          <w:bCs/>
          <w:color w:val="000000"/>
          <w:sz w:val="22"/>
          <w:lang w:val="pt-BR" w:eastAsia="en-GB"/>
        </w:rPr>
        <w:t>Civiles</w:t>
      </w:r>
      <w:proofErr w:type="spellEnd"/>
      <w:r w:rsidRPr="007A3967">
        <w:rPr>
          <w:rFonts w:ascii="Arial" w:eastAsia="Calibri" w:hAnsi="Arial" w:cs="Arial"/>
          <w:b/>
          <w:bCs/>
          <w:color w:val="000000"/>
          <w:sz w:val="22"/>
          <w:lang w:val="pt-BR" w:eastAsia="en-GB"/>
        </w:rPr>
        <w:t xml:space="preserve"> Inconclusas</w:t>
      </w:r>
      <w:r w:rsidR="003E210C" w:rsidRPr="007A3967">
        <w:rPr>
          <w:rFonts w:ascii="Arial" w:eastAsia="Calibri" w:hAnsi="Arial" w:cs="Arial"/>
          <w:b/>
          <w:bCs/>
          <w:color w:val="000000"/>
          <w:sz w:val="22"/>
          <w:lang w:val="pt-BR" w:eastAsia="en-GB"/>
        </w:rPr>
        <w:t xml:space="preserve">. </w:t>
      </w:r>
      <w:r w:rsidR="003E210C">
        <w:rPr>
          <w:rFonts w:ascii="Arial" w:eastAsia="Calibri" w:hAnsi="Arial" w:cs="Arial"/>
          <w:b/>
          <w:bCs/>
          <w:color w:val="000000"/>
          <w:sz w:val="22"/>
          <w:lang w:val="es-ES_tradnl" w:eastAsia="en-GB"/>
        </w:rPr>
        <w:t>Concepto.</w:t>
      </w:r>
    </w:p>
    <w:p w14:paraId="5716FC05" w14:textId="3B1CC33D" w:rsidR="00004556" w:rsidRPr="00E23980" w:rsidRDefault="00004556" w:rsidP="00510DE9">
      <w:pPr>
        <w:tabs>
          <w:tab w:val="left" w:pos="0"/>
        </w:tabs>
        <w:jc w:val="both"/>
        <w:rPr>
          <w:rFonts w:ascii="Arial" w:eastAsia="Calibri" w:hAnsi="Arial" w:cs="Arial"/>
          <w:b/>
          <w:color w:val="000000" w:themeColor="text1"/>
          <w:sz w:val="22"/>
          <w:lang w:val="es-ES_tradnl"/>
        </w:rPr>
      </w:pPr>
    </w:p>
    <w:p w14:paraId="64E59B3F" w14:textId="7EF5C134" w:rsidR="00204BF5" w:rsidRPr="00E23980" w:rsidRDefault="00505DCB" w:rsidP="00EC0B29">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bCs/>
          <w:color w:val="000000" w:themeColor="text1"/>
          <w:sz w:val="22"/>
          <w:lang w:val="es-ES_tradnl"/>
        </w:rPr>
        <w:t xml:space="preserve">La Ley </w:t>
      </w:r>
      <w:r w:rsidR="005F780B" w:rsidRPr="00E23980">
        <w:rPr>
          <w:rFonts w:ascii="Arial" w:eastAsia="Calibri" w:hAnsi="Arial" w:cs="Arial"/>
          <w:bCs/>
          <w:color w:val="000000" w:themeColor="text1"/>
          <w:sz w:val="22"/>
          <w:lang w:val="es-ES_tradnl"/>
        </w:rPr>
        <w:t xml:space="preserve">2020 de 2020 creó el </w:t>
      </w:r>
      <w:r w:rsidR="005F780B" w:rsidRPr="00E23980">
        <w:rPr>
          <w:rFonts w:ascii="Arial" w:eastAsia="Calibri" w:hAnsi="Arial" w:cs="Arial"/>
          <w:color w:val="000000"/>
          <w:sz w:val="22"/>
          <w:lang w:val="es-ES_tradnl" w:eastAsia="en-GB"/>
        </w:rPr>
        <w:t>Registro Nacional de Obras Civiles Inconclusas</w:t>
      </w:r>
      <w:r w:rsidR="008F7905" w:rsidRPr="00E23980">
        <w:rPr>
          <w:rFonts w:ascii="Arial" w:eastAsia="Calibri" w:hAnsi="Arial" w:cs="Arial"/>
          <w:color w:val="000000"/>
          <w:sz w:val="22"/>
          <w:lang w:val="es-ES_tradnl" w:eastAsia="en-GB"/>
        </w:rPr>
        <w:t xml:space="preserve">. Se trata de un sistema que permite identificar el estado de ejecución o terminación de las obras </w:t>
      </w:r>
      <w:r w:rsidR="00E7498A" w:rsidRPr="00E23980">
        <w:rPr>
          <w:rFonts w:ascii="Arial" w:eastAsia="Calibri" w:hAnsi="Arial" w:cs="Arial"/>
          <w:color w:val="000000"/>
          <w:sz w:val="22"/>
          <w:lang w:val="es-ES_tradnl" w:eastAsia="en-GB"/>
        </w:rPr>
        <w:t>realizadas con recursos públicos.</w:t>
      </w:r>
      <w:r w:rsidR="00FD7FB9">
        <w:rPr>
          <w:rFonts w:ascii="Arial" w:eastAsia="Calibri" w:hAnsi="Arial" w:cs="Arial"/>
          <w:color w:val="000000"/>
          <w:sz w:val="22"/>
          <w:lang w:val="es-ES_tradnl" w:eastAsia="en-GB"/>
        </w:rPr>
        <w:t xml:space="preserve"> </w:t>
      </w:r>
      <w:r w:rsidR="00BA665B" w:rsidRPr="00E23980">
        <w:rPr>
          <w:rFonts w:ascii="Arial" w:eastAsia="Calibri" w:hAnsi="Arial" w:cs="Arial"/>
          <w:color w:val="000000"/>
          <w:sz w:val="22"/>
          <w:lang w:val="es-ES_tradnl" w:eastAsia="en-GB"/>
        </w:rPr>
        <w:t xml:space="preserve">Por </w:t>
      </w:r>
      <w:r w:rsidR="00BA665B" w:rsidRPr="00E23980">
        <w:rPr>
          <w:rFonts w:ascii="Arial" w:eastAsia="Calibri" w:hAnsi="Arial" w:cs="Arial"/>
          <w:i/>
          <w:iCs/>
          <w:color w:val="000000"/>
          <w:sz w:val="22"/>
          <w:lang w:val="es-ES_tradnl" w:eastAsia="en-GB"/>
        </w:rPr>
        <w:t>obra inconclusa</w:t>
      </w:r>
      <w:r w:rsidR="00BA665B" w:rsidRPr="00E23980">
        <w:rPr>
          <w:rFonts w:ascii="Arial" w:eastAsia="Calibri" w:hAnsi="Arial" w:cs="Arial"/>
          <w:color w:val="000000"/>
          <w:sz w:val="22"/>
          <w:lang w:val="es-ES_tradnl" w:eastAsia="en-GB"/>
        </w:rPr>
        <w:t>, según el artículo 2, literal a)</w:t>
      </w:r>
      <w:r w:rsidR="00957ACB">
        <w:rPr>
          <w:rFonts w:ascii="Arial" w:eastAsia="Calibri" w:hAnsi="Arial" w:cs="Arial"/>
          <w:color w:val="000000"/>
          <w:sz w:val="22"/>
          <w:lang w:val="es-ES_tradnl" w:eastAsia="en-GB"/>
        </w:rPr>
        <w:t>,</w:t>
      </w:r>
      <w:r w:rsidR="00BA665B" w:rsidRPr="00E23980">
        <w:rPr>
          <w:rFonts w:ascii="Arial" w:eastAsia="Calibri" w:hAnsi="Arial" w:cs="Arial"/>
          <w:color w:val="000000"/>
          <w:sz w:val="22"/>
          <w:lang w:val="es-ES_tradnl" w:eastAsia="en-GB"/>
        </w:rPr>
        <w:t xml:space="preserve"> de dicha Ley</w:t>
      </w:r>
      <w:r w:rsidR="00524165" w:rsidRPr="00E23980">
        <w:rPr>
          <w:rFonts w:ascii="Arial" w:eastAsia="Calibri" w:hAnsi="Arial" w:cs="Arial"/>
          <w:color w:val="000000"/>
          <w:sz w:val="22"/>
          <w:lang w:val="es-ES_tradnl" w:eastAsia="en-GB"/>
        </w:rPr>
        <w:t>, se entiende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w:t>
      </w:r>
    </w:p>
    <w:p w14:paraId="00C9D677" w14:textId="3501D9EF" w:rsidR="00651B9C" w:rsidRDefault="00EB5694" w:rsidP="00651B9C">
      <w:pPr>
        <w:tabs>
          <w:tab w:val="left" w:pos="0"/>
        </w:tabs>
        <w:spacing w:before="120" w:line="276" w:lineRule="auto"/>
        <w:ind w:firstLine="709"/>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 xml:space="preserve">En otras palabras, el concepto de obra inconclusa </w:t>
      </w:r>
      <w:r w:rsidR="00CB19E3" w:rsidRPr="00E23980">
        <w:rPr>
          <w:rFonts w:ascii="Arial" w:eastAsia="Calibri" w:hAnsi="Arial" w:cs="Arial"/>
          <w:color w:val="000000"/>
          <w:sz w:val="22"/>
          <w:lang w:val="es-ES_tradnl" w:eastAsia="en-GB"/>
        </w:rPr>
        <w:t>guarda armonía con</w:t>
      </w:r>
      <w:r w:rsidRPr="00E23980">
        <w:rPr>
          <w:rFonts w:ascii="Arial" w:eastAsia="Calibri" w:hAnsi="Arial" w:cs="Arial"/>
          <w:color w:val="000000"/>
          <w:sz w:val="22"/>
          <w:lang w:val="es-ES_tradnl" w:eastAsia="en-GB"/>
        </w:rPr>
        <w:t xml:space="preserve"> la definición del contrato de obra</w:t>
      </w:r>
      <w:r w:rsidR="004F5970">
        <w:rPr>
          <w:rFonts w:ascii="Arial" w:eastAsia="Calibri" w:hAnsi="Arial" w:cs="Arial"/>
          <w:color w:val="000000"/>
          <w:sz w:val="22"/>
          <w:lang w:val="es-ES_tradnl" w:eastAsia="en-GB"/>
        </w:rPr>
        <w:t>,</w:t>
      </w:r>
      <w:r w:rsidRPr="00E23980">
        <w:rPr>
          <w:rFonts w:ascii="Arial" w:eastAsia="Calibri" w:hAnsi="Arial" w:cs="Arial"/>
          <w:color w:val="000000"/>
          <w:sz w:val="22"/>
          <w:lang w:val="es-ES_tradnl" w:eastAsia="en-GB"/>
        </w:rPr>
        <w:t xml:space="preserve"> previst</w:t>
      </w:r>
      <w:r w:rsidR="00CB19E3" w:rsidRPr="00E23980">
        <w:rPr>
          <w:rFonts w:ascii="Arial" w:eastAsia="Calibri" w:hAnsi="Arial" w:cs="Arial"/>
          <w:color w:val="000000"/>
          <w:sz w:val="22"/>
          <w:lang w:val="es-ES_tradnl" w:eastAsia="en-GB"/>
        </w:rPr>
        <w:t>a</w:t>
      </w:r>
      <w:r w:rsidRPr="00E23980">
        <w:rPr>
          <w:rFonts w:ascii="Arial" w:eastAsia="Calibri" w:hAnsi="Arial" w:cs="Arial"/>
          <w:color w:val="000000"/>
          <w:sz w:val="22"/>
          <w:lang w:val="es-ES_tradnl" w:eastAsia="en-GB"/>
        </w:rPr>
        <w:t xml:space="preserve"> en el artículo</w:t>
      </w:r>
      <w:r w:rsidR="00CB19E3" w:rsidRPr="00E23980">
        <w:rPr>
          <w:rFonts w:ascii="Arial" w:eastAsia="Calibri" w:hAnsi="Arial" w:cs="Arial"/>
          <w:color w:val="000000"/>
          <w:sz w:val="22"/>
          <w:lang w:val="es-ES_tradnl" w:eastAsia="en-GB"/>
        </w:rPr>
        <w:t xml:space="preserve"> 32</w:t>
      </w:r>
      <w:r w:rsidR="00204BF5" w:rsidRPr="00E23980">
        <w:rPr>
          <w:rFonts w:ascii="Arial" w:eastAsia="Calibri" w:hAnsi="Arial" w:cs="Arial"/>
          <w:color w:val="000000"/>
          <w:sz w:val="22"/>
          <w:lang w:val="es-ES_tradnl" w:eastAsia="en-GB"/>
        </w:rPr>
        <w:t xml:space="preserve">, a cuyo tenor «Son contratos de obra los que celebren las entidades estatales para la construcción, mantenimiento, instalación y, en general, para la realización de cualquier otro trabajo material sobre bienes inmuebles, cualquiera que sea la modalidad de ejecución y pago». Por tanto, </w:t>
      </w:r>
      <w:r w:rsidR="00127004" w:rsidRPr="00E23980">
        <w:rPr>
          <w:rFonts w:ascii="Arial" w:eastAsia="Calibri" w:hAnsi="Arial" w:cs="Arial"/>
          <w:color w:val="000000"/>
          <w:sz w:val="22"/>
          <w:lang w:val="es-ES_tradnl" w:eastAsia="en-GB"/>
        </w:rPr>
        <w:t>cuando el trabajo material sobre el bien inmueble no ha finalizado</w:t>
      </w:r>
      <w:r w:rsidR="000A0ED1" w:rsidRPr="00E23980">
        <w:rPr>
          <w:rFonts w:ascii="Arial" w:eastAsia="Calibri" w:hAnsi="Arial" w:cs="Arial"/>
          <w:color w:val="000000"/>
          <w:sz w:val="22"/>
          <w:lang w:val="es-ES_tradnl" w:eastAsia="en-GB"/>
        </w:rPr>
        <w:t xml:space="preserve"> satisfactoriamente o no se adecu</w:t>
      </w:r>
      <w:r w:rsidR="00692FFA" w:rsidRPr="00E23980">
        <w:rPr>
          <w:rFonts w:ascii="Arial" w:eastAsia="Calibri" w:hAnsi="Arial" w:cs="Arial"/>
          <w:color w:val="000000"/>
          <w:sz w:val="22"/>
          <w:lang w:val="es-ES_tradnl" w:eastAsia="en-GB"/>
        </w:rPr>
        <w:t>a</w:t>
      </w:r>
      <w:r w:rsidR="000A0ED1" w:rsidRPr="00E23980">
        <w:rPr>
          <w:rFonts w:ascii="Arial" w:eastAsia="Calibri" w:hAnsi="Arial" w:cs="Arial"/>
          <w:color w:val="000000"/>
          <w:sz w:val="22"/>
          <w:lang w:val="es-ES_tradnl" w:eastAsia="en-GB"/>
        </w:rPr>
        <w:t xml:space="preserve"> a la función para la cual fue contratada</w:t>
      </w:r>
      <w:r w:rsidR="00565952" w:rsidRPr="00E23980">
        <w:rPr>
          <w:rFonts w:ascii="Arial" w:eastAsia="Calibri" w:hAnsi="Arial" w:cs="Arial"/>
          <w:color w:val="000000"/>
          <w:sz w:val="22"/>
          <w:lang w:val="es-ES_tradnl" w:eastAsia="en-GB"/>
        </w:rPr>
        <w:t xml:space="preserve"> la obra</w:t>
      </w:r>
      <w:r w:rsidR="000A0ED1" w:rsidRPr="00E23980">
        <w:rPr>
          <w:rFonts w:ascii="Arial" w:eastAsia="Calibri" w:hAnsi="Arial" w:cs="Arial"/>
          <w:color w:val="000000"/>
          <w:sz w:val="22"/>
          <w:lang w:val="es-ES_tradnl" w:eastAsia="en-GB"/>
        </w:rPr>
        <w:t>, esto se puede constatar en el</w:t>
      </w:r>
      <w:r w:rsidR="00335D3F" w:rsidRPr="00E23980">
        <w:rPr>
          <w:rFonts w:ascii="Arial" w:eastAsia="Calibri" w:hAnsi="Arial" w:cs="Arial"/>
          <w:color w:val="000000"/>
          <w:sz w:val="22"/>
          <w:lang w:val="es-ES_tradnl" w:eastAsia="en-GB"/>
        </w:rPr>
        <w:t xml:space="preserve"> registro creado por </w:t>
      </w:r>
      <w:r w:rsidR="00F83CAE" w:rsidRPr="00E23980">
        <w:rPr>
          <w:rFonts w:ascii="Arial" w:eastAsia="Calibri" w:hAnsi="Arial" w:cs="Arial"/>
          <w:color w:val="000000"/>
          <w:sz w:val="22"/>
          <w:lang w:val="es-ES_tradnl" w:eastAsia="en-GB"/>
        </w:rPr>
        <w:t xml:space="preserve">el artículo 3 de </w:t>
      </w:r>
      <w:r w:rsidR="00335D3F" w:rsidRPr="00E23980">
        <w:rPr>
          <w:rFonts w:ascii="Arial" w:eastAsia="Calibri" w:hAnsi="Arial" w:cs="Arial"/>
          <w:color w:val="000000"/>
          <w:sz w:val="22"/>
          <w:lang w:val="es-ES_tradnl" w:eastAsia="en-GB"/>
        </w:rPr>
        <w:t>la Ley 2020 de 2020</w:t>
      </w:r>
      <w:r w:rsidR="00F83CAE" w:rsidRPr="00E23980">
        <w:rPr>
          <w:rStyle w:val="Refdenotaalpie"/>
          <w:rFonts w:ascii="Arial" w:eastAsia="Calibri" w:hAnsi="Arial" w:cs="Arial"/>
          <w:color w:val="000000"/>
          <w:sz w:val="22"/>
          <w:lang w:val="es-ES_tradnl" w:eastAsia="en-GB"/>
        </w:rPr>
        <w:footnoteReference w:id="2"/>
      </w:r>
      <w:r w:rsidR="00335D3F" w:rsidRPr="00E23980">
        <w:rPr>
          <w:rFonts w:ascii="Arial" w:eastAsia="Calibri" w:hAnsi="Arial" w:cs="Arial"/>
          <w:color w:val="000000"/>
          <w:sz w:val="22"/>
          <w:lang w:val="es-ES_tradnl" w:eastAsia="en-GB"/>
        </w:rPr>
        <w:t>.</w:t>
      </w:r>
      <w:r w:rsidR="00565952" w:rsidRPr="00E23980">
        <w:rPr>
          <w:rFonts w:ascii="Arial" w:eastAsia="Calibri" w:hAnsi="Arial" w:cs="Arial"/>
          <w:color w:val="000000"/>
          <w:sz w:val="22"/>
          <w:lang w:val="es-ES_tradnl" w:eastAsia="en-GB"/>
        </w:rPr>
        <w:t xml:space="preserve"> Según dicha disposición, el Registro Nacional de Obras Civiles </w:t>
      </w:r>
      <w:r w:rsidR="00184F27" w:rsidRPr="00E23980">
        <w:rPr>
          <w:rFonts w:ascii="Arial" w:eastAsia="Calibri" w:hAnsi="Arial" w:cs="Arial"/>
          <w:color w:val="000000"/>
          <w:sz w:val="22"/>
          <w:lang w:val="es-ES_tradnl" w:eastAsia="en-GB"/>
        </w:rPr>
        <w:lastRenderedPageBreak/>
        <w:t>I</w:t>
      </w:r>
      <w:r w:rsidR="00565952" w:rsidRPr="00E23980">
        <w:rPr>
          <w:rFonts w:ascii="Arial" w:eastAsia="Calibri" w:hAnsi="Arial" w:cs="Arial"/>
          <w:color w:val="000000"/>
          <w:sz w:val="22"/>
          <w:lang w:val="es-ES_tradnl" w:eastAsia="en-GB"/>
        </w:rPr>
        <w:t>nconclusas</w:t>
      </w:r>
      <w:r w:rsidR="00184F27" w:rsidRPr="00E23980">
        <w:rPr>
          <w:rFonts w:ascii="Arial" w:eastAsia="Calibri" w:hAnsi="Arial" w:cs="Arial"/>
          <w:color w:val="000000"/>
          <w:sz w:val="22"/>
          <w:lang w:val="es-ES_tradnl" w:eastAsia="en-GB"/>
        </w:rPr>
        <w:t xml:space="preserve"> es un </w:t>
      </w:r>
      <w:r w:rsidR="00D80860">
        <w:rPr>
          <w:rFonts w:ascii="Arial" w:eastAsia="Calibri" w:hAnsi="Arial" w:cs="Arial"/>
          <w:color w:val="000000"/>
          <w:sz w:val="22"/>
          <w:lang w:val="es-ES_tradnl" w:eastAsia="en-GB"/>
        </w:rPr>
        <w:t>sistema</w:t>
      </w:r>
      <w:r w:rsidR="00184F27" w:rsidRPr="00E23980">
        <w:rPr>
          <w:rFonts w:ascii="Arial" w:eastAsia="Calibri" w:hAnsi="Arial" w:cs="Arial"/>
          <w:color w:val="000000"/>
          <w:sz w:val="22"/>
          <w:lang w:val="es-ES_tradnl" w:eastAsia="en-GB"/>
        </w:rPr>
        <w:t xml:space="preserve"> administrado por la Contraloría General de la República</w:t>
      </w:r>
      <w:r w:rsidR="00AD7619">
        <w:rPr>
          <w:rStyle w:val="Refdenotaalpie"/>
          <w:rFonts w:ascii="Arial" w:eastAsia="Calibri" w:hAnsi="Arial" w:cs="Arial"/>
          <w:color w:val="000000"/>
          <w:sz w:val="22"/>
          <w:lang w:val="es-ES_tradnl" w:eastAsia="en-GB"/>
        </w:rPr>
        <w:footnoteReference w:id="3"/>
      </w:r>
      <w:r w:rsidR="00C02F35" w:rsidRPr="00E23980">
        <w:rPr>
          <w:rFonts w:ascii="Arial" w:eastAsia="Calibri" w:hAnsi="Arial" w:cs="Arial"/>
          <w:color w:val="000000"/>
          <w:sz w:val="22"/>
          <w:lang w:val="es-ES_tradnl" w:eastAsia="en-GB"/>
        </w:rPr>
        <w:t xml:space="preserve">, </w:t>
      </w:r>
      <w:r w:rsidR="00A949F0" w:rsidRPr="00E23980">
        <w:rPr>
          <w:rFonts w:ascii="Arial" w:eastAsia="Calibri" w:hAnsi="Arial" w:cs="Arial"/>
          <w:color w:val="000000"/>
          <w:sz w:val="22"/>
          <w:lang w:val="es-ES_tradnl" w:eastAsia="en-GB"/>
        </w:rPr>
        <w:t>construido a partir de la información remitida por las entidades estatales en los distintos niveles o l</w:t>
      </w:r>
      <w:r w:rsidR="00FB12E3" w:rsidRPr="00E23980">
        <w:rPr>
          <w:rFonts w:ascii="Arial" w:eastAsia="Calibri" w:hAnsi="Arial" w:cs="Arial"/>
          <w:color w:val="000000"/>
          <w:sz w:val="22"/>
          <w:lang w:val="es-ES_tradnl" w:eastAsia="en-GB"/>
        </w:rPr>
        <w:t>os datos obtenidos por dicho órgano de control fiscal, sobre las obras inconclusas del país.</w:t>
      </w:r>
      <w:r w:rsidR="00184F27" w:rsidRPr="00E23980">
        <w:rPr>
          <w:rFonts w:ascii="Arial" w:eastAsia="Calibri" w:hAnsi="Arial" w:cs="Arial"/>
          <w:color w:val="000000"/>
          <w:sz w:val="22"/>
          <w:lang w:val="es-ES_tradnl" w:eastAsia="en-GB"/>
        </w:rPr>
        <w:t xml:space="preserve"> </w:t>
      </w:r>
      <w:r w:rsidR="00590F1A" w:rsidRPr="00E23980">
        <w:rPr>
          <w:rFonts w:ascii="Arial" w:eastAsia="Calibri" w:hAnsi="Arial" w:cs="Arial"/>
          <w:color w:val="000000"/>
          <w:sz w:val="22"/>
          <w:lang w:val="es-ES_tradnl" w:eastAsia="en-GB"/>
        </w:rPr>
        <w:t>E</w:t>
      </w:r>
      <w:r w:rsidR="000A20D7" w:rsidRPr="00E23980">
        <w:rPr>
          <w:rFonts w:ascii="Arial" w:eastAsia="Calibri" w:hAnsi="Arial" w:cs="Arial"/>
          <w:color w:val="000000"/>
          <w:sz w:val="22"/>
          <w:lang w:val="es-ES_tradnl" w:eastAsia="en-GB"/>
        </w:rPr>
        <w:t xml:space="preserve">l artículo 2, literal b) de la Ley 2020 de 2020 complementa esta noción, </w:t>
      </w:r>
      <w:r w:rsidR="0046284F" w:rsidRPr="00E23980">
        <w:rPr>
          <w:rFonts w:ascii="Arial" w:eastAsia="Calibri" w:hAnsi="Arial" w:cs="Arial"/>
          <w:color w:val="000000"/>
          <w:sz w:val="22"/>
          <w:lang w:val="es-ES_tradnl" w:eastAsia="en-GB"/>
        </w:rPr>
        <w:t xml:space="preserve">indicando que </w:t>
      </w:r>
      <w:r w:rsidR="006D10F6" w:rsidRPr="00E23980">
        <w:rPr>
          <w:rFonts w:ascii="Arial" w:eastAsia="Calibri" w:hAnsi="Arial" w:cs="Arial"/>
          <w:color w:val="000000"/>
          <w:sz w:val="22"/>
          <w:lang w:val="es-ES_tradnl" w:eastAsia="en-GB"/>
        </w:rPr>
        <w:t xml:space="preserve">el Registro </w:t>
      </w:r>
      <w:r w:rsidR="00D379A5">
        <w:rPr>
          <w:rFonts w:ascii="Arial" w:eastAsia="Calibri" w:hAnsi="Arial" w:cs="Arial"/>
          <w:color w:val="000000"/>
          <w:sz w:val="22"/>
          <w:lang w:val="es-ES_tradnl" w:eastAsia="en-GB"/>
        </w:rPr>
        <w:t xml:space="preserve">Nacional </w:t>
      </w:r>
      <w:r w:rsidR="006D10F6" w:rsidRPr="00E23980">
        <w:rPr>
          <w:rFonts w:ascii="Arial" w:eastAsia="Calibri" w:hAnsi="Arial" w:cs="Arial"/>
          <w:color w:val="000000"/>
          <w:sz w:val="22"/>
          <w:lang w:val="es-ES_tradnl" w:eastAsia="en-GB"/>
        </w:rPr>
        <w:t>de Obras Civiles Inconclusas «Es un sistema que contiene los datos sobre obras inconclusas en todo el territorio nacional. El inventario de obras civiles inconclusas reportado por las entidades estatales hará parte integral del banco de proyectos de la respectiva entidad».</w:t>
      </w:r>
    </w:p>
    <w:p w14:paraId="2268D448" w14:textId="7520AC51" w:rsidR="00651B9C" w:rsidRDefault="00651B9C" w:rsidP="00651B9C">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Según la exposición de motivos del proyecto que se convirtió en la Ley 2020 de 2020, </w:t>
      </w:r>
      <w:r w:rsidR="00746E04">
        <w:rPr>
          <w:rFonts w:ascii="Arial" w:eastAsia="Calibri" w:hAnsi="Arial" w:cs="Arial"/>
          <w:color w:val="000000"/>
          <w:sz w:val="22"/>
          <w:lang w:val="es-ES_tradnl" w:eastAsia="en-GB"/>
        </w:rPr>
        <w:t xml:space="preserve">se </w:t>
      </w:r>
      <w:r>
        <w:rPr>
          <w:rFonts w:ascii="Arial" w:eastAsia="Calibri" w:hAnsi="Arial" w:cs="Arial"/>
          <w:color w:val="000000"/>
          <w:sz w:val="22"/>
          <w:lang w:val="es-ES_tradnl" w:eastAsia="en-GB"/>
        </w:rPr>
        <w:t>«</w:t>
      </w:r>
      <w:r w:rsidR="00436323">
        <w:rPr>
          <w:rFonts w:ascii="Arial" w:eastAsia="Calibri" w:hAnsi="Arial" w:cs="Arial"/>
          <w:color w:val="000000"/>
          <w:sz w:val="22"/>
          <w:lang w:val="es-ES_tradnl" w:eastAsia="en-GB"/>
        </w:rPr>
        <w:t>[…]</w:t>
      </w:r>
      <w:r w:rsidRPr="00651B9C">
        <w:rPr>
          <w:rFonts w:ascii="Arial" w:eastAsia="Calibri" w:hAnsi="Arial" w:cs="Arial"/>
          <w:color w:val="000000"/>
          <w:sz w:val="22"/>
          <w:lang w:val="es-ES_tradnl" w:eastAsia="en-GB"/>
        </w:rPr>
        <w:t xml:space="preserve"> pretende establecer medidas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para la detección y valoración de las obras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públicas que no se hayan concluido de acuerdo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con lo planeado por la entidad estatal a su cargo,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para someterlas a evaluación técnica y financiera,</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dirigida a establecer si se concluyen o se procede</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a su demolición. Como fin esencial del proyecto se</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 xml:space="preserve">señala el de </w:t>
      </w:r>
      <w:r w:rsidRPr="00651B9C">
        <w:rPr>
          <w:rFonts w:ascii="Arial" w:eastAsia="Calibri" w:hAnsi="Arial" w:cs="Arial"/>
          <w:color w:val="000000"/>
          <w:sz w:val="22"/>
          <w:lang w:val="es-ES_tradnl" w:eastAsia="en-GB"/>
        </w:rPr>
        <w:lastRenderedPageBreak/>
        <w:t>“salvaguardar las vidas como derecho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fundamental”, que se entienden amenazadas por los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efectos desfavorables de las obras inconclusas</w:t>
      </w:r>
      <w:r>
        <w:rPr>
          <w:rFonts w:ascii="Arial" w:eastAsia="Calibri" w:hAnsi="Arial" w:cs="Arial"/>
          <w:color w:val="000000"/>
          <w:sz w:val="22"/>
          <w:lang w:val="es-ES_tradnl" w:eastAsia="en-GB"/>
        </w:rPr>
        <w:t>»</w:t>
      </w:r>
      <w:r w:rsidR="0087646C">
        <w:rPr>
          <w:rStyle w:val="Refdenotaalpie"/>
          <w:rFonts w:ascii="Arial" w:eastAsia="Calibri" w:hAnsi="Arial" w:cs="Arial"/>
          <w:color w:val="000000"/>
          <w:sz w:val="22"/>
          <w:lang w:val="es-ES_tradnl" w:eastAsia="en-GB"/>
        </w:rPr>
        <w:footnoteReference w:id="4"/>
      </w:r>
      <w:r w:rsidRPr="00651B9C">
        <w:rPr>
          <w:rFonts w:ascii="Arial" w:eastAsia="Calibri" w:hAnsi="Arial" w:cs="Arial"/>
          <w:color w:val="000000"/>
          <w:sz w:val="22"/>
          <w:lang w:val="es-ES_tradnl" w:eastAsia="en-GB"/>
        </w:rPr>
        <w:t>.</w:t>
      </w:r>
    </w:p>
    <w:p w14:paraId="017FA28E" w14:textId="7C0C83E1" w:rsidR="00746E04" w:rsidRPr="00651B9C" w:rsidRDefault="00746E04" w:rsidP="00651B9C">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Teniendo en cuenta el anterior contexto, se analizará el sentido del artículo 6 de la Ley 2020 de 2020,</w:t>
      </w:r>
      <w:r w:rsidR="00887080">
        <w:rPr>
          <w:rFonts w:ascii="Arial" w:eastAsia="Calibri" w:hAnsi="Arial" w:cs="Arial"/>
          <w:color w:val="000000"/>
          <w:sz w:val="22"/>
          <w:lang w:val="es-ES_tradnl" w:eastAsia="en-GB"/>
        </w:rPr>
        <w:t xml:space="preserve"> para responder la consulta.</w:t>
      </w:r>
    </w:p>
    <w:p w14:paraId="01F8C13A" w14:textId="77777777" w:rsidR="00AB3BAD" w:rsidRDefault="00AB3BAD" w:rsidP="00BD67B2">
      <w:pPr>
        <w:tabs>
          <w:tab w:val="left" w:pos="0"/>
        </w:tabs>
        <w:spacing w:line="276" w:lineRule="auto"/>
        <w:jc w:val="both"/>
        <w:rPr>
          <w:rFonts w:ascii="Arial" w:eastAsia="Calibri" w:hAnsi="Arial" w:cs="Arial"/>
          <w:b/>
          <w:bCs/>
          <w:color w:val="000000"/>
          <w:sz w:val="22"/>
          <w:lang w:val="es-ES_tradnl" w:eastAsia="en-GB"/>
        </w:rPr>
      </w:pPr>
    </w:p>
    <w:p w14:paraId="557C39B2" w14:textId="30CB4A93" w:rsidR="00E5756C" w:rsidRPr="00E23980" w:rsidRDefault="00E5756C" w:rsidP="00BD67B2">
      <w:pPr>
        <w:tabs>
          <w:tab w:val="left" w:pos="0"/>
        </w:tabs>
        <w:spacing w:line="276" w:lineRule="auto"/>
        <w:jc w:val="both"/>
        <w:rPr>
          <w:rFonts w:ascii="Arial" w:eastAsia="Calibri" w:hAnsi="Arial" w:cs="Arial"/>
          <w:b/>
          <w:bCs/>
          <w:color w:val="000000"/>
          <w:sz w:val="22"/>
          <w:lang w:val="es-ES_tradnl" w:eastAsia="en-GB"/>
        </w:rPr>
      </w:pPr>
      <w:r w:rsidRPr="00E23980">
        <w:rPr>
          <w:rFonts w:ascii="Arial" w:eastAsia="Calibri" w:hAnsi="Arial" w:cs="Arial"/>
          <w:b/>
          <w:bCs/>
          <w:color w:val="000000"/>
          <w:sz w:val="22"/>
          <w:lang w:val="es-ES_tradnl" w:eastAsia="en-GB"/>
        </w:rPr>
        <w:t xml:space="preserve">2.2. </w:t>
      </w:r>
      <w:r w:rsidR="000278D2" w:rsidRPr="00E23980">
        <w:rPr>
          <w:rFonts w:ascii="Arial" w:eastAsia="Calibri" w:hAnsi="Arial" w:cs="Arial"/>
          <w:b/>
          <w:bCs/>
          <w:color w:val="000000"/>
          <w:sz w:val="22"/>
          <w:lang w:val="es-ES_tradnl" w:eastAsia="en-GB"/>
        </w:rPr>
        <w:t>Deber de verificación del Registro Nacional de Obras Civiles Inconclusas</w:t>
      </w:r>
      <w:r w:rsidR="00BD67B2" w:rsidRPr="00E23980">
        <w:rPr>
          <w:rFonts w:ascii="Arial" w:eastAsia="Calibri" w:hAnsi="Arial" w:cs="Arial"/>
          <w:b/>
          <w:bCs/>
          <w:color w:val="000000"/>
          <w:sz w:val="22"/>
          <w:lang w:val="es-ES_tradnl" w:eastAsia="en-GB"/>
        </w:rPr>
        <w:t xml:space="preserve"> por parte de las entidades estatales en los procesos de contratación</w:t>
      </w:r>
      <w:r w:rsidR="00D379A5">
        <w:rPr>
          <w:rFonts w:ascii="Arial" w:eastAsia="Calibri" w:hAnsi="Arial" w:cs="Arial"/>
          <w:b/>
          <w:bCs/>
          <w:color w:val="000000"/>
          <w:sz w:val="22"/>
          <w:lang w:val="es-ES_tradnl" w:eastAsia="en-GB"/>
        </w:rPr>
        <w:t xml:space="preserve"> y </w:t>
      </w:r>
      <w:r w:rsidR="0051334F">
        <w:rPr>
          <w:rFonts w:ascii="Arial" w:eastAsia="Calibri" w:hAnsi="Arial" w:cs="Arial"/>
          <w:b/>
          <w:bCs/>
          <w:color w:val="000000"/>
          <w:sz w:val="22"/>
          <w:lang w:val="es-ES_tradnl" w:eastAsia="en-GB"/>
        </w:rPr>
        <w:t>evaluación de factores de ponderación de calidad</w:t>
      </w:r>
      <w:r w:rsidR="00BD67B2" w:rsidRPr="00E23980">
        <w:rPr>
          <w:rFonts w:ascii="Arial" w:eastAsia="Calibri" w:hAnsi="Arial" w:cs="Arial"/>
          <w:b/>
          <w:bCs/>
          <w:color w:val="000000"/>
          <w:sz w:val="22"/>
          <w:lang w:val="es-ES_tradnl" w:eastAsia="en-GB"/>
        </w:rPr>
        <w:t xml:space="preserve"> </w:t>
      </w:r>
    </w:p>
    <w:p w14:paraId="47C4BBD9" w14:textId="252A38FB" w:rsidR="00BD67B2" w:rsidRPr="00E23980" w:rsidRDefault="00BD67B2" w:rsidP="00567723">
      <w:pPr>
        <w:tabs>
          <w:tab w:val="left" w:pos="0"/>
        </w:tabs>
        <w:spacing w:line="276" w:lineRule="auto"/>
        <w:jc w:val="both"/>
        <w:rPr>
          <w:rFonts w:ascii="Arial" w:eastAsia="Calibri" w:hAnsi="Arial" w:cs="Arial"/>
          <w:color w:val="000000"/>
          <w:sz w:val="22"/>
          <w:lang w:val="es-ES_tradnl" w:eastAsia="en-GB"/>
        </w:rPr>
      </w:pPr>
    </w:p>
    <w:p w14:paraId="29F40C00" w14:textId="149F1220" w:rsidR="00BB0DF1" w:rsidRPr="00E23980" w:rsidRDefault="00567723" w:rsidP="00567723">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 xml:space="preserve">El artículo 6 de la Ley 2020 de 2020 establece </w:t>
      </w:r>
      <w:r w:rsidR="00EB3416" w:rsidRPr="00E23980">
        <w:rPr>
          <w:rFonts w:ascii="Arial" w:eastAsia="Calibri" w:hAnsi="Arial" w:cs="Arial"/>
          <w:color w:val="000000"/>
          <w:sz w:val="22"/>
          <w:lang w:val="es-ES_tradnl" w:eastAsia="en-GB"/>
        </w:rPr>
        <w:t>un deber a cargo de las entidades estatales dentro de los procedimientos que adelanten para la contratación de obras</w:t>
      </w:r>
      <w:r w:rsidR="00FC7BE7" w:rsidRPr="00E23980">
        <w:rPr>
          <w:rFonts w:ascii="Arial" w:eastAsia="Calibri" w:hAnsi="Arial" w:cs="Arial"/>
          <w:color w:val="000000"/>
          <w:sz w:val="22"/>
          <w:lang w:val="es-ES_tradnl" w:eastAsia="en-GB"/>
        </w:rPr>
        <w:t xml:space="preserve"> públicas. Consiste en</w:t>
      </w:r>
      <w:r w:rsidR="0050160F" w:rsidRPr="00E23980">
        <w:rPr>
          <w:rFonts w:ascii="Arial" w:eastAsia="Calibri" w:hAnsi="Arial" w:cs="Arial"/>
          <w:color w:val="000000"/>
          <w:sz w:val="22"/>
          <w:lang w:val="es-ES_tradnl" w:eastAsia="en-GB"/>
        </w:rPr>
        <w:t xml:space="preserve"> la</w:t>
      </w:r>
      <w:r w:rsidR="00102745" w:rsidRPr="00E23980">
        <w:rPr>
          <w:rFonts w:ascii="Arial" w:eastAsia="Calibri" w:hAnsi="Arial" w:cs="Arial"/>
          <w:color w:val="000000"/>
          <w:sz w:val="22"/>
          <w:lang w:val="es-ES_tradnl" w:eastAsia="en-GB"/>
        </w:rPr>
        <w:t xml:space="preserve"> obligación de</w:t>
      </w:r>
      <w:r w:rsidR="0050160F" w:rsidRPr="00E23980">
        <w:rPr>
          <w:rFonts w:ascii="Arial" w:eastAsia="Calibri" w:hAnsi="Arial" w:cs="Arial"/>
          <w:color w:val="000000"/>
          <w:sz w:val="22"/>
          <w:lang w:val="es-ES_tradnl" w:eastAsia="en-GB"/>
        </w:rPr>
        <w:t xml:space="preserve"> consulta</w:t>
      </w:r>
      <w:r w:rsidR="00102745" w:rsidRPr="00E23980">
        <w:rPr>
          <w:rFonts w:ascii="Arial" w:eastAsia="Calibri" w:hAnsi="Arial" w:cs="Arial"/>
          <w:color w:val="000000"/>
          <w:sz w:val="22"/>
          <w:lang w:val="es-ES_tradnl" w:eastAsia="en-GB"/>
        </w:rPr>
        <w:t>r</w:t>
      </w:r>
      <w:r w:rsidR="0050160F" w:rsidRPr="00E23980">
        <w:rPr>
          <w:rFonts w:ascii="Arial" w:eastAsia="Calibri" w:hAnsi="Arial" w:cs="Arial"/>
          <w:color w:val="000000"/>
          <w:sz w:val="22"/>
          <w:lang w:val="es-ES_tradnl" w:eastAsia="en-GB"/>
        </w:rPr>
        <w:t xml:space="preserve"> y an</w:t>
      </w:r>
      <w:r w:rsidR="00102745" w:rsidRPr="00E23980">
        <w:rPr>
          <w:rFonts w:ascii="Arial" w:eastAsia="Calibri" w:hAnsi="Arial" w:cs="Arial"/>
          <w:color w:val="000000"/>
          <w:sz w:val="22"/>
          <w:lang w:val="es-ES_tradnl" w:eastAsia="en-GB"/>
        </w:rPr>
        <w:t xml:space="preserve">alizar </w:t>
      </w:r>
      <w:r w:rsidR="0050160F" w:rsidRPr="00E23980">
        <w:rPr>
          <w:rFonts w:ascii="Arial" w:eastAsia="Calibri" w:hAnsi="Arial" w:cs="Arial"/>
          <w:color w:val="000000"/>
          <w:sz w:val="22"/>
          <w:lang w:val="es-ES_tradnl" w:eastAsia="en-GB"/>
        </w:rPr>
        <w:t>la información contenida en el Registro Nacional de Obras Civiles Inconclusas.</w:t>
      </w:r>
      <w:r w:rsidR="00517F85" w:rsidRPr="00E23980">
        <w:rPr>
          <w:rFonts w:ascii="Arial" w:eastAsia="Calibri" w:hAnsi="Arial" w:cs="Arial"/>
          <w:color w:val="000000"/>
          <w:sz w:val="22"/>
          <w:lang w:val="es-ES_tradnl" w:eastAsia="en-GB"/>
        </w:rPr>
        <w:t xml:space="preserve"> Además, </w:t>
      </w:r>
      <w:r w:rsidR="000F3138">
        <w:rPr>
          <w:rFonts w:ascii="Arial" w:eastAsia="Calibri" w:hAnsi="Arial" w:cs="Arial"/>
          <w:color w:val="000000"/>
          <w:sz w:val="22"/>
          <w:lang w:val="es-ES_tradnl" w:eastAsia="en-GB"/>
        </w:rPr>
        <w:t>dicho artículo dispone</w:t>
      </w:r>
      <w:r w:rsidR="00742886" w:rsidRPr="00E23980">
        <w:rPr>
          <w:rFonts w:ascii="Arial" w:eastAsia="Calibri" w:hAnsi="Arial" w:cs="Arial"/>
          <w:color w:val="000000"/>
          <w:sz w:val="22"/>
          <w:lang w:val="es-ES_tradnl" w:eastAsia="en-GB"/>
        </w:rPr>
        <w:t xml:space="preserve"> </w:t>
      </w:r>
      <w:proofErr w:type="gramStart"/>
      <w:r w:rsidR="00742886" w:rsidRPr="00E23980">
        <w:rPr>
          <w:rFonts w:ascii="Arial" w:eastAsia="Calibri" w:hAnsi="Arial" w:cs="Arial"/>
          <w:color w:val="000000"/>
          <w:sz w:val="22"/>
          <w:lang w:val="es-ES_tradnl" w:eastAsia="en-GB"/>
        </w:rPr>
        <w:t>que</w:t>
      </w:r>
      <w:proofErr w:type="gramEnd"/>
      <w:r w:rsidR="00742886" w:rsidRPr="00E23980">
        <w:rPr>
          <w:rFonts w:ascii="Arial" w:eastAsia="Calibri" w:hAnsi="Arial" w:cs="Arial"/>
          <w:color w:val="000000"/>
          <w:sz w:val="22"/>
          <w:lang w:val="es-ES_tradnl" w:eastAsia="en-GB"/>
        </w:rPr>
        <w:t xml:space="preserve"> tanto en los procesos de selección </w:t>
      </w:r>
      <w:r w:rsidR="00E23980">
        <w:rPr>
          <w:rFonts w:ascii="Arial" w:eastAsia="Calibri" w:hAnsi="Arial" w:cs="Arial"/>
          <w:color w:val="000000"/>
          <w:sz w:val="22"/>
          <w:lang w:val="es-ES_tradnl" w:eastAsia="en-GB"/>
        </w:rPr>
        <w:t>d</w:t>
      </w:r>
      <w:r w:rsidR="00742886" w:rsidRPr="00E23980">
        <w:rPr>
          <w:rFonts w:ascii="Arial" w:eastAsia="Calibri" w:hAnsi="Arial" w:cs="Arial"/>
          <w:color w:val="000000"/>
          <w:sz w:val="22"/>
          <w:lang w:val="es-ES_tradnl" w:eastAsia="en-GB"/>
        </w:rPr>
        <w:t xml:space="preserve">e contratistas de obra, como de interventores, </w:t>
      </w:r>
      <w:r w:rsidR="00E966DA" w:rsidRPr="00E23980">
        <w:rPr>
          <w:rFonts w:ascii="Arial" w:eastAsia="Calibri" w:hAnsi="Arial" w:cs="Arial"/>
          <w:color w:val="000000"/>
          <w:sz w:val="22"/>
          <w:lang w:val="es-ES_tradnl" w:eastAsia="en-GB"/>
        </w:rPr>
        <w:t xml:space="preserve">han de considerarse las anotaciones de dicho registro </w:t>
      </w:r>
      <w:r w:rsidR="00FB1FBC" w:rsidRPr="00E23980">
        <w:rPr>
          <w:rFonts w:ascii="Arial" w:eastAsia="Calibri" w:hAnsi="Arial" w:cs="Arial"/>
          <w:color w:val="000000"/>
          <w:sz w:val="22"/>
          <w:lang w:val="es-ES_tradnl" w:eastAsia="en-GB"/>
        </w:rPr>
        <w:t>en la evaluación de los factores de ponderación de calidad.</w:t>
      </w:r>
      <w:r w:rsidR="00BB67A9" w:rsidRPr="00E23980">
        <w:rPr>
          <w:rFonts w:ascii="Arial" w:eastAsia="Calibri" w:hAnsi="Arial" w:cs="Arial"/>
          <w:color w:val="000000"/>
          <w:sz w:val="22"/>
          <w:lang w:val="es-ES_tradnl" w:eastAsia="en-GB"/>
        </w:rPr>
        <w:t xml:space="preserve"> </w:t>
      </w:r>
      <w:r w:rsidR="00AB3BAD">
        <w:rPr>
          <w:rFonts w:ascii="Arial" w:eastAsia="Calibri" w:hAnsi="Arial" w:cs="Arial"/>
          <w:color w:val="000000"/>
          <w:sz w:val="22"/>
          <w:lang w:val="es-ES_tradnl" w:eastAsia="en-GB"/>
        </w:rPr>
        <w:t>D</w:t>
      </w:r>
      <w:r w:rsidR="00BB67A9" w:rsidRPr="00E23980">
        <w:rPr>
          <w:rFonts w:ascii="Arial" w:eastAsia="Calibri" w:hAnsi="Arial" w:cs="Arial"/>
          <w:color w:val="000000"/>
          <w:sz w:val="22"/>
          <w:lang w:val="es-ES_tradnl" w:eastAsia="en-GB"/>
        </w:rPr>
        <w:t>icho</w:t>
      </w:r>
      <w:r w:rsidR="00102745" w:rsidRPr="00E23980">
        <w:rPr>
          <w:rFonts w:ascii="Arial" w:eastAsia="Calibri" w:hAnsi="Arial" w:cs="Arial"/>
          <w:color w:val="000000"/>
          <w:sz w:val="22"/>
          <w:lang w:val="es-ES_tradnl" w:eastAsia="en-GB"/>
        </w:rPr>
        <w:t xml:space="preserve"> precepto dispone:</w:t>
      </w:r>
    </w:p>
    <w:p w14:paraId="66B9999F" w14:textId="77777777" w:rsidR="00BB0DF1" w:rsidRPr="00E23980" w:rsidRDefault="00BB0DF1" w:rsidP="00BB0DF1">
      <w:pPr>
        <w:tabs>
          <w:tab w:val="left" w:pos="0"/>
        </w:tabs>
        <w:ind w:left="709" w:right="709"/>
        <w:jc w:val="both"/>
        <w:rPr>
          <w:rFonts w:ascii="Arial" w:eastAsia="Calibri" w:hAnsi="Arial" w:cs="Arial"/>
          <w:color w:val="000000"/>
          <w:sz w:val="21"/>
          <w:szCs w:val="21"/>
          <w:lang w:val="es-ES_tradnl" w:eastAsia="en-GB"/>
        </w:rPr>
      </w:pPr>
    </w:p>
    <w:p w14:paraId="12945D9B" w14:textId="0AFEA982" w:rsidR="00BB0DF1" w:rsidRPr="00E23980" w:rsidRDefault="00BB0DF1" w:rsidP="00BB0DF1">
      <w:pPr>
        <w:tabs>
          <w:tab w:val="left" w:pos="0"/>
        </w:tabs>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60D7C64B" w14:textId="77777777" w:rsidR="00BB0DF1" w:rsidRPr="00E23980" w:rsidRDefault="00BB0DF1" w:rsidP="00BB0DF1">
      <w:pPr>
        <w:tabs>
          <w:tab w:val="left" w:pos="0"/>
        </w:tabs>
        <w:ind w:left="709" w:right="709"/>
        <w:jc w:val="both"/>
        <w:rPr>
          <w:rFonts w:ascii="Arial" w:eastAsia="Calibri" w:hAnsi="Arial" w:cs="Arial"/>
          <w:color w:val="000000"/>
          <w:sz w:val="21"/>
          <w:szCs w:val="21"/>
          <w:lang w:val="es-ES_tradnl" w:eastAsia="en-GB"/>
        </w:rPr>
      </w:pPr>
    </w:p>
    <w:p w14:paraId="50DF13EC" w14:textId="77777777" w:rsidR="00BB0DF1" w:rsidRPr="00E23980" w:rsidRDefault="00BB0DF1" w:rsidP="00BB0DF1">
      <w:pPr>
        <w:tabs>
          <w:tab w:val="left" w:pos="0"/>
        </w:tabs>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190C150F" w14:textId="77777777" w:rsidR="00BB0DF1" w:rsidRPr="00E23980" w:rsidRDefault="00BB0DF1" w:rsidP="00BB0DF1">
      <w:pPr>
        <w:tabs>
          <w:tab w:val="left" w:pos="0"/>
        </w:tabs>
        <w:ind w:left="709" w:right="709"/>
        <w:jc w:val="both"/>
        <w:rPr>
          <w:rFonts w:ascii="Arial" w:eastAsia="Calibri" w:hAnsi="Arial" w:cs="Arial"/>
          <w:color w:val="000000"/>
          <w:sz w:val="21"/>
          <w:szCs w:val="21"/>
          <w:lang w:val="es-ES_tradnl" w:eastAsia="en-GB"/>
        </w:rPr>
      </w:pPr>
    </w:p>
    <w:p w14:paraId="64F533E7" w14:textId="7F90AF7F" w:rsidR="00BB0DF1" w:rsidRPr="00E23980" w:rsidRDefault="00BB0DF1" w:rsidP="00BB0DF1">
      <w:pPr>
        <w:tabs>
          <w:tab w:val="left" w:pos="0"/>
        </w:tabs>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Cualquier controversia o solicitud que surja en relación con los reportes eje información que suministre la entidad contratante, serán resueltos por esta, atendiendo los principios y disposiciones establecidos en la normatividad vigente.</w:t>
      </w:r>
    </w:p>
    <w:p w14:paraId="5005AB61" w14:textId="77777777" w:rsidR="00517F85" w:rsidRPr="00E23980" w:rsidRDefault="00517F85" w:rsidP="00517F85">
      <w:pPr>
        <w:tabs>
          <w:tab w:val="left" w:pos="0"/>
        </w:tabs>
        <w:spacing w:line="276" w:lineRule="auto"/>
        <w:jc w:val="both"/>
        <w:rPr>
          <w:rFonts w:ascii="Arial" w:eastAsia="Calibri" w:hAnsi="Arial" w:cs="Arial"/>
          <w:color w:val="000000"/>
          <w:sz w:val="22"/>
          <w:lang w:val="es-ES_tradnl" w:eastAsia="en-GB"/>
        </w:rPr>
      </w:pPr>
    </w:p>
    <w:p w14:paraId="7D4B486A" w14:textId="0B0BEBBC" w:rsidR="008F5A20" w:rsidRDefault="00E40AEB" w:rsidP="00E40AEB">
      <w:pPr>
        <w:tabs>
          <w:tab w:val="left" w:pos="0"/>
        </w:tabs>
        <w:spacing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Como se observa, el referido artículo</w:t>
      </w:r>
      <w:r w:rsidR="007D3C6D">
        <w:rPr>
          <w:rFonts w:ascii="Arial" w:eastAsia="Calibri" w:hAnsi="Arial" w:cs="Arial"/>
          <w:color w:val="000000"/>
          <w:sz w:val="22"/>
          <w:lang w:val="es-ES_tradnl" w:eastAsia="en-GB"/>
        </w:rPr>
        <w:t xml:space="preserve"> </w:t>
      </w:r>
      <w:r w:rsidR="00A73855">
        <w:rPr>
          <w:rFonts w:ascii="Arial" w:eastAsia="Calibri" w:hAnsi="Arial" w:cs="Arial"/>
          <w:color w:val="000000"/>
          <w:sz w:val="22"/>
          <w:lang w:val="es-ES_tradnl" w:eastAsia="en-GB"/>
        </w:rPr>
        <w:t xml:space="preserve">prescribe que las entidades estatales deben revisar </w:t>
      </w:r>
      <w:r w:rsidR="00414246">
        <w:rPr>
          <w:rFonts w:ascii="Arial" w:eastAsia="Calibri" w:hAnsi="Arial" w:cs="Arial"/>
          <w:color w:val="000000"/>
          <w:sz w:val="22"/>
          <w:lang w:val="es-ES_tradnl" w:eastAsia="en-GB"/>
        </w:rPr>
        <w:t>«</w:t>
      </w:r>
      <w:r w:rsidR="00C62BBB" w:rsidRPr="00C62BBB">
        <w:rPr>
          <w:rFonts w:ascii="Arial" w:eastAsia="Calibri" w:hAnsi="Arial" w:cs="Arial"/>
          <w:color w:val="000000"/>
          <w:sz w:val="22"/>
          <w:lang w:val="es-ES_tradnl" w:eastAsia="en-GB"/>
        </w:rPr>
        <w:t xml:space="preserve">[…] las </w:t>
      </w:r>
      <w:r w:rsidR="00414246" w:rsidRPr="00414246">
        <w:rPr>
          <w:rFonts w:ascii="Arial" w:eastAsia="Calibri" w:hAnsi="Arial" w:cs="Arial"/>
          <w:color w:val="000000"/>
          <w:sz w:val="22"/>
          <w:lang w:val="es-ES_tradnl" w:eastAsia="en-GB"/>
        </w:rPr>
        <w:t>anotaciones vigentes en el Registro Nacional de Obras Civiles Inconclusas al momento de evaluar los factores de ponderación de calidad, establecidos en el literal a) del artículo 5o de la Ley 1150 de 2007 o la norma que la modifique</w:t>
      </w:r>
      <w:r w:rsidR="00C62BBB">
        <w:rPr>
          <w:rFonts w:ascii="Arial" w:eastAsia="Calibri" w:hAnsi="Arial" w:cs="Arial"/>
          <w:color w:val="000000"/>
          <w:sz w:val="22"/>
          <w:lang w:val="es-ES_tradnl" w:eastAsia="en-GB"/>
        </w:rPr>
        <w:t>»</w:t>
      </w:r>
      <w:r w:rsidR="00414246" w:rsidRPr="00414246">
        <w:rPr>
          <w:rFonts w:ascii="Arial" w:eastAsia="Calibri" w:hAnsi="Arial" w:cs="Arial"/>
          <w:color w:val="000000"/>
          <w:sz w:val="22"/>
          <w:lang w:val="es-ES_tradnl" w:eastAsia="en-GB"/>
        </w:rPr>
        <w:t>.</w:t>
      </w:r>
      <w:r w:rsidR="00C62BBB">
        <w:rPr>
          <w:rFonts w:ascii="Arial" w:eastAsia="Calibri" w:hAnsi="Arial" w:cs="Arial"/>
          <w:color w:val="000000"/>
          <w:sz w:val="22"/>
          <w:lang w:val="es-ES_tradnl" w:eastAsia="en-GB"/>
        </w:rPr>
        <w:t xml:space="preserve"> Sobre este aspecto, </w:t>
      </w:r>
      <w:r w:rsidR="00A17769">
        <w:rPr>
          <w:rFonts w:ascii="Arial" w:eastAsia="Calibri" w:hAnsi="Arial" w:cs="Arial"/>
          <w:color w:val="000000"/>
          <w:sz w:val="22"/>
          <w:lang w:val="es-ES_tradnl" w:eastAsia="en-GB"/>
        </w:rPr>
        <w:t>en la consulta se indaga acerca de cuáles son dichos factores de calidad</w:t>
      </w:r>
      <w:r w:rsidR="00114A22">
        <w:rPr>
          <w:rFonts w:ascii="Arial" w:eastAsia="Calibri" w:hAnsi="Arial" w:cs="Arial"/>
          <w:color w:val="000000"/>
          <w:sz w:val="22"/>
          <w:lang w:val="es-ES_tradnl" w:eastAsia="en-GB"/>
        </w:rPr>
        <w:t xml:space="preserve"> que se pueden </w:t>
      </w:r>
      <w:r w:rsidR="00114A22">
        <w:rPr>
          <w:rFonts w:ascii="Arial" w:eastAsia="Calibri" w:hAnsi="Arial" w:cs="Arial"/>
          <w:color w:val="000000"/>
          <w:sz w:val="22"/>
          <w:lang w:val="es-ES_tradnl" w:eastAsia="en-GB"/>
        </w:rPr>
        <w:lastRenderedPageBreak/>
        <w:t>ponderar en relación con el Registro</w:t>
      </w:r>
      <w:r w:rsidR="00A17769">
        <w:rPr>
          <w:rFonts w:ascii="Arial" w:eastAsia="Calibri" w:hAnsi="Arial" w:cs="Arial"/>
          <w:color w:val="000000"/>
          <w:sz w:val="22"/>
          <w:lang w:val="es-ES_tradnl" w:eastAsia="en-GB"/>
        </w:rPr>
        <w:t xml:space="preserve"> y cómo se efectúa la correspondiente ponderación.</w:t>
      </w:r>
      <w:r w:rsidR="00894436">
        <w:rPr>
          <w:rFonts w:ascii="Arial" w:eastAsia="Calibri" w:hAnsi="Arial" w:cs="Arial"/>
          <w:color w:val="000000"/>
          <w:sz w:val="22"/>
          <w:lang w:val="es-ES_tradnl" w:eastAsia="en-GB"/>
        </w:rPr>
        <w:t xml:space="preserve"> Teniendo en cuenta que el artículo 6 de la Ley 2020 de 2020 </w:t>
      </w:r>
      <w:r w:rsidR="00C337F5">
        <w:rPr>
          <w:rFonts w:ascii="Arial" w:eastAsia="Calibri" w:hAnsi="Arial" w:cs="Arial"/>
          <w:color w:val="000000"/>
          <w:sz w:val="22"/>
          <w:lang w:val="es-ES_tradnl" w:eastAsia="en-GB"/>
        </w:rPr>
        <w:t>se remite al literal a) del artículo 5 de la Ley 1150 de 2007,</w:t>
      </w:r>
      <w:r w:rsidR="001D30F3">
        <w:rPr>
          <w:rFonts w:ascii="Arial" w:eastAsia="Calibri" w:hAnsi="Arial" w:cs="Arial"/>
          <w:color w:val="000000"/>
          <w:sz w:val="22"/>
          <w:lang w:val="es-ES_tradnl" w:eastAsia="en-GB"/>
        </w:rPr>
        <w:t xml:space="preserve"> conviene recordar lo señalado</w:t>
      </w:r>
      <w:r w:rsidR="008F5A20">
        <w:rPr>
          <w:rFonts w:ascii="Arial" w:eastAsia="Calibri" w:hAnsi="Arial" w:cs="Arial"/>
          <w:color w:val="000000"/>
          <w:sz w:val="22"/>
          <w:lang w:val="es-ES_tradnl" w:eastAsia="en-GB"/>
        </w:rPr>
        <w:t xml:space="preserve"> </w:t>
      </w:r>
      <w:r w:rsidR="00AF186E">
        <w:rPr>
          <w:rFonts w:ascii="Arial" w:eastAsia="Calibri" w:hAnsi="Arial" w:cs="Arial"/>
          <w:color w:val="000000"/>
          <w:sz w:val="22"/>
          <w:lang w:val="es-ES_tradnl" w:eastAsia="en-GB"/>
        </w:rPr>
        <w:t>en dicho enunciado normativo.</w:t>
      </w:r>
      <w:r w:rsidR="0078286B">
        <w:rPr>
          <w:rFonts w:ascii="Arial" w:eastAsia="Calibri" w:hAnsi="Arial" w:cs="Arial"/>
          <w:color w:val="000000"/>
          <w:sz w:val="22"/>
          <w:lang w:val="es-ES_tradnl" w:eastAsia="en-GB"/>
        </w:rPr>
        <w:t xml:space="preserve"> </w:t>
      </w:r>
      <w:r w:rsidR="00B1741D">
        <w:rPr>
          <w:rFonts w:ascii="Arial" w:eastAsia="Calibri" w:hAnsi="Arial" w:cs="Arial"/>
          <w:color w:val="000000"/>
          <w:sz w:val="22"/>
          <w:lang w:val="es-ES_tradnl" w:eastAsia="en-GB"/>
        </w:rPr>
        <w:t>Este consagra los</w:t>
      </w:r>
      <w:r w:rsidR="00EE58B8">
        <w:rPr>
          <w:rFonts w:ascii="Arial" w:eastAsia="Calibri" w:hAnsi="Arial" w:cs="Arial"/>
          <w:color w:val="000000"/>
          <w:sz w:val="22"/>
          <w:lang w:val="es-ES_tradnl" w:eastAsia="en-GB"/>
        </w:rPr>
        <w:t xml:space="preserve"> </w:t>
      </w:r>
      <w:r w:rsidR="00B1741D">
        <w:rPr>
          <w:rFonts w:ascii="Arial" w:eastAsia="Calibri" w:hAnsi="Arial" w:cs="Arial"/>
          <w:color w:val="000000"/>
          <w:sz w:val="22"/>
          <w:lang w:val="es-ES_tradnl" w:eastAsia="en-GB"/>
        </w:rPr>
        <w:t xml:space="preserve">criterios para garantizar la </w:t>
      </w:r>
      <w:r w:rsidR="00B1741D" w:rsidRPr="00B1741D">
        <w:rPr>
          <w:rFonts w:ascii="Arial" w:eastAsia="Calibri" w:hAnsi="Arial" w:cs="Arial"/>
          <w:i/>
          <w:iCs/>
          <w:color w:val="000000"/>
          <w:sz w:val="22"/>
          <w:lang w:val="es-ES_tradnl" w:eastAsia="en-GB"/>
        </w:rPr>
        <w:t>selección objetiva</w:t>
      </w:r>
      <w:r w:rsidR="00B1741D">
        <w:rPr>
          <w:rFonts w:ascii="Arial" w:eastAsia="Calibri" w:hAnsi="Arial" w:cs="Arial"/>
          <w:color w:val="000000"/>
          <w:sz w:val="22"/>
          <w:lang w:val="es-ES_tradnl" w:eastAsia="en-GB"/>
        </w:rPr>
        <w:t xml:space="preserve"> en los procedimientos contractuales, </w:t>
      </w:r>
      <w:r w:rsidR="00A30121">
        <w:rPr>
          <w:rFonts w:ascii="Arial" w:eastAsia="Calibri" w:hAnsi="Arial" w:cs="Arial"/>
          <w:color w:val="000000"/>
          <w:sz w:val="22"/>
          <w:lang w:val="es-ES_tradnl" w:eastAsia="en-GB"/>
        </w:rPr>
        <w:t xml:space="preserve">precisando la metodología </w:t>
      </w:r>
      <w:r w:rsidR="00F70A8F">
        <w:rPr>
          <w:rFonts w:ascii="Arial" w:eastAsia="Calibri" w:hAnsi="Arial" w:cs="Arial"/>
          <w:color w:val="000000"/>
          <w:sz w:val="22"/>
          <w:lang w:val="es-ES_tradnl" w:eastAsia="en-GB"/>
        </w:rPr>
        <w:t>con la cual</w:t>
      </w:r>
      <w:r w:rsidR="00A30121">
        <w:rPr>
          <w:rFonts w:ascii="Arial" w:eastAsia="Calibri" w:hAnsi="Arial" w:cs="Arial"/>
          <w:color w:val="000000"/>
          <w:sz w:val="22"/>
          <w:lang w:val="es-ES_tradnl" w:eastAsia="en-GB"/>
        </w:rPr>
        <w:t xml:space="preserve"> pueden establecerse tanto los requisitos habilitantes como los criterios de evaluación.</w:t>
      </w:r>
      <w:r w:rsidR="00F70A8F">
        <w:rPr>
          <w:rFonts w:ascii="Arial" w:eastAsia="Calibri" w:hAnsi="Arial" w:cs="Arial"/>
          <w:color w:val="000000"/>
          <w:sz w:val="22"/>
          <w:lang w:val="es-ES_tradnl" w:eastAsia="en-GB"/>
        </w:rPr>
        <w:t xml:space="preserve"> En lo pertinente, dicho artículo</w:t>
      </w:r>
      <w:r w:rsidR="009028E8">
        <w:rPr>
          <w:rFonts w:ascii="Arial" w:eastAsia="Calibri" w:hAnsi="Arial" w:cs="Arial"/>
          <w:color w:val="000000"/>
          <w:sz w:val="22"/>
          <w:lang w:val="es-ES_tradnl" w:eastAsia="en-GB"/>
        </w:rPr>
        <w:t xml:space="preserve"> está redactado en los siguientes términos:</w:t>
      </w:r>
    </w:p>
    <w:p w14:paraId="7939F351" w14:textId="77777777" w:rsidR="00D451E8" w:rsidRPr="00B92751" w:rsidRDefault="00D451E8" w:rsidP="0078286B">
      <w:pPr>
        <w:tabs>
          <w:tab w:val="left" w:pos="0"/>
        </w:tabs>
        <w:ind w:right="709"/>
        <w:jc w:val="both"/>
        <w:rPr>
          <w:rFonts w:ascii="Arial" w:eastAsia="Calibri" w:hAnsi="Arial" w:cs="Arial"/>
          <w:color w:val="000000"/>
          <w:sz w:val="21"/>
          <w:szCs w:val="21"/>
          <w:lang w:val="es-ES_tradnl" w:eastAsia="en-GB"/>
        </w:rPr>
      </w:pPr>
    </w:p>
    <w:p w14:paraId="0FBFC399" w14:textId="7D8317DB" w:rsidR="00D451E8" w:rsidRPr="00B92751" w:rsidRDefault="0078286B" w:rsidP="00B92751">
      <w:pPr>
        <w:tabs>
          <w:tab w:val="left" w:pos="0"/>
        </w:tabs>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 xml:space="preserve">[…] </w:t>
      </w:r>
      <w:r w:rsidR="00D451E8" w:rsidRPr="00B92751">
        <w:rPr>
          <w:rFonts w:ascii="Arial" w:eastAsia="Calibri" w:hAnsi="Arial" w:cs="Arial"/>
          <w:color w:val="000000"/>
          <w:sz w:val="21"/>
          <w:szCs w:val="21"/>
          <w:lang w:val="es-ES_tradnl" w:eastAsia="en-GB"/>
        </w:rPr>
        <w:t>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4ABF908F" w14:textId="77777777" w:rsidR="00D451E8" w:rsidRPr="00B92751" w:rsidRDefault="00D451E8" w:rsidP="00B92751">
      <w:pPr>
        <w:tabs>
          <w:tab w:val="left" w:pos="0"/>
        </w:tabs>
        <w:ind w:left="709" w:right="709"/>
        <w:jc w:val="both"/>
        <w:rPr>
          <w:rFonts w:ascii="Arial" w:eastAsia="Calibri" w:hAnsi="Arial" w:cs="Arial"/>
          <w:color w:val="000000"/>
          <w:sz w:val="21"/>
          <w:szCs w:val="21"/>
          <w:lang w:val="es-ES_tradnl" w:eastAsia="en-GB"/>
        </w:rPr>
      </w:pPr>
    </w:p>
    <w:p w14:paraId="32199ED5" w14:textId="77777777" w:rsidR="00D451E8" w:rsidRPr="00B92751" w:rsidRDefault="00D451E8" w:rsidP="00B92751">
      <w:pPr>
        <w:tabs>
          <w:tab w:val="left" w:pos="0"/>
        </w:tabs>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En los procesos de selección en los que se tenga en cuenta los factores técnicos y económicos, la oferta más ventajosa será la que resulte de aplicar alguna de las siguientes alternativas:</w:t>
      </w:r>
    </w:p>
    <w:p w14:paraId="1BEF25E7" w14:textId="77777777" w:rsidR="00D451E8" w:rsidRPr="00B92751" w:rsidRDefault="00D451E8" w:rsidP="00B92751">
      <w:pPr>
        <w:tabs>
          <w:tab w:val="left" w:pos="0"/>
        </w:tabs>
        <w:ind w:left="709" w:right="709"/>
        <w:jc w:val="both"/>
        <w:rPr>
          <w:rFonts w:ascii="Arial" w:eastAsia="Calibri" w:hAnsi="Arial" w:cs="Arial"/>
          <w:color w:val="000000"/>
          <w:sz w:val="21"/>
          <w:szCs w:val="21"/>
          <w:lang w:val="es-ES_tradnl" w:eastAsia="en-GB"/>
        </w:rPr>
      </w:pPr>
    </w:p>
    <w:p w14:paraId="408DBE33" w14:textId="77777777" w:rsidR="00D451E8" w:rsidRPr="0078286B" w:rsidRDefault="00D451E8" w:rsidP="00B92751">
      <w:pPr>
        <w:tabs>
          <w:tab w:val="left" w:pos="0"/>
        </w:tabs>
        <w:ind w:left="709" w:right="709"/>
        <w:jc w:val="both"/>
        <w:rPr>
          <w:rFonts w:ascii="Arial" w:eastAsia="Calibri" w:hAnsi="Arial" w:cs="Arial"/>
          <w:i/>
          <w:iCs/>
          <w:color w:val="000000"/>
          <w:sz w:val="21"/>
          <w:szCs w:val="21"/>
          <w:lang w:val="es-ES_tradnl" w:eastAsia="en-GB"/>
        </w:rPr>
      </w:pPr>
      <w:r w:rsidRPr="0078286B">
        <w:rPr>
          <w:rFonts w:ascii="Arial" w:eastAsia="Calibri" w:hAnsi="Arial" w:cs="Arial"/>
          <w:i/>
          <w:iCs/>
          <w:color w:val="000000"/>
          <w:sz w:val="21"/>
          <w:szCs w:val="21"/>
          <w:lang w:val="es-ES_tradnl" w:eastAsia="en-GB"/>
        </w:rPr>
        <w:t>a) La ponderación de los elementos de calidad y precio soportados en puntajes o fórmulas señaladas en el pliego de condiciones; o</w:t>
      </w:r>
    </w:p>
    <w:p w14:paraId="18C6759C" w14:textId="77777777" w:rsidR="00D451E8" w:rsidRPr="00B92751" w:rsidRDefault="00D451E8" w:rsidP="00B92751">
      <w:pPr>
        <w:tabs>
          <w:tab w:val="left" w:pos="0"/>
        </w:tabs>
        <w:ind w:left="709" w:right="709"/>
        <w:jc w:val="both"/>
        <w:rPr>
          <w:rFonts w:ascii="Arial" w:eastAsia="Calibri" w:hAnsi="Arial" w:cs="Arial"/>
          <w:color w:val="000000"/>
          <w:sz w:val="21"/>
          <w:szCs w:val="21"/>
          <w:lang w:val="es-ES_tradnl" w:eastAsia="en-GB"/>
        </w:rPr>
      </w:pPr>
    </w:p>
    <w:p w14:paraId="109A954D" w14:textId="4CF836C3" w:rsidR="00D451E8" w:rsidRPr="00B92751" w:rsidRDefault="00D451E8" w:rsidP="00B92751">
      <w:pPr>
        <w:tabs>
          <w:tab w:val="left" w:pos="0"/>
        </w:tabs>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b) La ponderación de los elementos de calidad y precio que representen la mejor relación de costo-beneficio para la entidad</w:t>
      </w:r>
      <w:r w:rsidR="0078286B">
        <w:rPr>
          <w:rFonts w:ascii="Arial" w:eastAsia="Calibri" w:hAnsi="Arial" w:cs="Arial"/>
          <w:color w:val="000000"/>
          <w:sz w:val="21"/>
          <w:szCs w:val="21"/>
          <w:lang w:val="es-ES_tradnl" w:eastAsia="en-GB"/>
        </w:rPr>
        <w:t xml:space="preserve"> [Cursiva fuera de texto]</w:t>
      </w:r>
      <w:r w:rsidRPr="00B92751">
        <w:rPr>
          <w:rFonts w:ascii="Arial" w:eastAsia="Calibri" w:hAnsi="Arial" w:cs="Arial"/>
          <w:color w:val="000000"/>
          <w:sz w:val="21"/>
          <w:szCs w:val="21"/>
          <w:lang w:val="es-ES_tradnl" w:eastAsia="en-GB"/>
        </w:rPr>
        <w:t>.</w:t>
      </w:r>
    </w:p>
    <w:p w14:paraId="67310C6B" w14:textId="70F34AAB" w:rsidR="00D451E8" w:rsidRDefault="00D451E8" w:rsidP="00B92751">
      <w:pPr>
        <w:tabs>
          <w:tab w:val="left" w:pos="0"/>
        </w:tabs>
        <w:ind w:left="709" w:right="709"/>
        <w:jc w:val="both"/>
        <w:rPr>
          <w:rFonts w:ascii="Arial" w:eastAsia="Calibri" w:hAnsi="Arial" w:cs="Arial"/>
          <w:color w:val="000000"/>
          <w:sz w:val="21"/>
          <w:szCs w:val="21"/>
          <w:lang w:val="es-ES_tradnl" w:eastAsia="en-GB"/>
        </w:rPr>
      </w:pPr>
    </w:p>
    <w:p w14:paraId="350E3E6E" w14:textId="635F3CBF" w:rsidR="006959A5" w:rsidRDefault="006959A5" w:rsidP="006959A5">
      <w:pPr>
        <w:tabs>
          <w:tab w:val="left" w:pos="0"/>
        </w:tabs>
        <w:spacing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Así </w:t>
      </w:r>
      <w:r w:rsidR="000075EA">
        <w:rPr>
          <w:rFonts w:ascii="Arial" w:eastAsia="Calibri" w:hAnsi="Arial" w:cs="Arial"/>
          <w:color w:val="000000"/>
          <w:sz w:val="22"/>
          <w:lang w:val="es-ES_tradnl" w:eastAsia="en-GB"/>
        </w:rPr>
        <w:t>las cosas</w:t>
      </w:r>
      <w:r>
        <w:rPr>
          <w:rFonts w:ascii="Arial" w:eastAsia="Calibri" w:hAnsi="Arial" w:cs="Arial"/>
          <w:color w:val="000000"/>
          <w:sz w:val="22"/>
          <w:lang w:val="es-ES_tradnl" w:eastAsia="en-GB"/>
        </w:rPr>
        <w:t>, p</w:t>
      </w:r>
      <w:r w:rsidR="00092DCA">
        <w:rPr>
          <w:rFonts w:ascii="Arial" w:eastAsia="Calibri" w:hAnsi="Arial" w:cs="Arial"/>
          <w:color w:val="000000"/>
          <w:sz w:val="22"/>
          <w:lang w:val="es-ES_tradnl" w:eastAsia="en-GB"/>
        </w:rPr>
        <w:t xml:space="preserve">ara </w:t>
      </w:r>
      <w:r>
        <w:rPr>
          <w:rFonts w:ascii="Arial" w:eastAsia="Calibri" w:hAnsi="Arial" w:cs="Arial"/>
          <w:color w:val="000000"/>
          <w:sz w:val="22"/>
          <w:lang w:val="es-ES_tradnl" w:eastAsia="en-GB"/>
        </w:rPr>
        <w:t>interpretar</w:t>
      </w:r>
      <w:r w:rsidR="001E5D6A">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 xml:space="preserve">el </w:t>
      </w:r>
      <w:r w:rsidR="001E5D6A">
        <w:rPr>
          <w:rFonts w:ascii="Arial" w:eastAsia="Calibri" w:hAnsi="Arial" w:cs="Arial"/>
          <w:color w:val="000000"/>
          <w:sz w:val="22"/>
          <w:lang w:val="es-ES_tradnl" w:eastAsia="en-GB"/>
        </w:rPr>
        <w:t>apartado</w:t>
      </w:r>
      <w:r w:rsidR="00092DCA">
        <w:rPr>
          <w:rFonts w:ascii="Arial" w:eastAsia="Calibri" w:hAnsi="Arial" w:cs="Arial"/>
          <w:color w:val="000000"/>
          <w:sz w:val="22"/>
          <w:lang w:val="es-ES_tradnl" w:eastAsia="en-GB"/>
        </w:rPr>
        <w:t xml:space="preserve"> </w:t>
      </w:r>
      <w:r w:rsidR="001E5D6A">
        <w:rPr>
          <w:rFonts w:ascii="Arial" w:eastAsia="Calibri" w:hAnsi="Arial" w:cs="Arial"/>
          <w:color w:val="000000"/>
          <w:sz w:val="22"/>
          <w:lang w:val="es-ES_tradnl" w:eastAsia="en-GB"/>
        </w:rPr>
        <w:t>d</w:t>
      </w:r>
      <w:r w:rsidR="00092DCA">
        <w:rPr>
          <w:rFonts w:ascii="Arial" w:eastAsia="Calibri" w:hAnsi="Arial" w:cs="Arial"/>
          <w:color w:val="000000"/>
          <w:sz w:val="22"/>
          <w:lang w:val="es-ES_tradnl" w:eastAsia="en-GB"/>
        </w:rPr>
        <w:t>el artículo 6 de la Ley 2020 de 2020</w:t>
      </w:r>
      <w:r w:rsidR="00944644">
        <w:rPr>
          <w:rFonts w:ascii="Arial" w:eastAsia="Calibri" w:hAnsi="Arial" w:cs="Arial"/>
          <w:color w:val="000000"/>
          <w:sz w:val="22"/>
          <w:lang w:val="es-ES_tradnl" w:eastAsia="en-GB"/>
        </w:rPr>
        <w:t xml:space="preserve"> –referido</w:t>
      </w:r>
      <w:r w:rsidR="00A7793C">
        <w:rPr>
          <w:rFonts w:ascii="Arial" w:eastAsia="Calibri" w:hAnsi="Arial" w:cs="Arial"/>
          <w:color w:val="000000"/>
          <w:sz w:val="22"/>
          <w:lang w:val="es-ES_tradnl" w:eastAsia="en-GB"/>
        </w:rPr>
        <w:t xml:space="preserve"> </w:t>
      </w:r>
      <w:r w:rsidR="001E5D6A">
        <w:rPr>
          <w:rFonts w:ascii="Arial" w:eastAsia="Calibri" w:hAnsi="Arial" w:cs="Arial"/>
          <w:color w:val="000000"/>
          <w:sz w:val="22"/>
          <w:lang w:val="es-ES_tradnl" w:eastAsia="en-GB"/>
        </w:rPr>
        <w:t xml:space="preserve">a la </w:t>
      </w:r>
      <w:r w:rsidR="00A7793C">
        <w:rPr>
          <w:rFonts w:ascii="Arial" w:eastAsia="Calibri" w:hAnsi="Arial" w:cs="Arial"/>
          <w:color w:val="000000"/>
          <w:sz w:val="22"/>
          <w:lang w:val="es-ES_tradnl" w:eastAsia="en-GB"/>
        </w:rPr>
        <w:t>evaluación de los factores de ponderación de calidad</w:t>
      </w:r>
      <w:r w:rsidR="00E70314">
        <w:rPr>
          <w:rFonts w:ascii="Arial" w:eastAsia="Calibri" w:hAnsi="Arial" w:cs="Arial"/>
          <w:color w:val="000000"/>
          <w:sz w:val="22"/>
          <w:lang w:val="es-ES_tradnl" w:eastAsia="en-GB"/>
        </w:rPr>
        <w:t>, previo análisis de las anotaciones del Registro Nacional de Obras Civiles Inconclusas</w:t>
      </w:r>
      <w:r w:rsidR="00944644">
        <w:rPr>
          <w:rFonts w:ascii="Arial" w:eastAsia="Calibri" w:hAnsi="Arial" w:cs="Arial"/>
          <w:color w:val="000000"/>
          <w:sz w:val="22"/>
          <w:lang w:val="es-ES_tradnl" w:eastAsia="en-GB"/>
        </w:rPr>
        <w:t>–,</w:t>
      </w:r>
      <w:r w:rsidR="00052B79">
        <w:rPr>
          <w:rFonts w:ascii="Arial" w:eastAsia="Calibri" w:hAnsi="Arial" w:cs="Arial"/>
          <w:color w:val="000000"/>
          <w:sz w:val="22"/>
          <w:lang w:val="es-ES_tradnl" w:eastAsia="en-GB"/>
        </w:rPr>
        <w:t xml:space="preserve"> debe resaltarse que el artículo 5 de la Ley 1150 de 2007 </w:t>
      </w:r>
      <w:r w:rsidR="00052B79" w:rsidRPr="00E70314">
        <w:rPr>
          <w:rFonts w:ascii="Arial" w:eastAsia="Calibri" w:hAnsi="Arial" w:cs="Arial"/>
          <w:i/>
          <w:iCs/>
          <w:color w:val="000000"/>
          <w:sz w:val="22"/>
          <w:lang w:val="es-ES_tradnl" w:eastAsia="en-GB"/>
        </w:rPr>
        <w:t>no</w:t>
      </w:r>
      <w:r w:rsidR="00052B79">
        <w:rPr>
          <w:rFonts w:ascii="Arial" w:eastAsia="Calibri" w:hAnsi="Arial" w:cs="Arial"/>
          <w:color w:val="000000"/>
          <w:sz w:val="22"/>
          <w:lang w:val="es-ES_tradnl" w:eastAsia="en-GB"/>
        </w:rPr>
        <w:t xml:space="preserve"> los define</w:t>
      </w:r>
      <w:r w:rsidR="00E5205B">
        <w:rPr>
          <w:rFonts w:ascii="Arial" w:eastAsia="Calibri" w:hAnsi="Arial" w:cs="Arial"/>
          <w:color w:val="000000"/>
          <w:sz w:val="22"/>
          <w:lang w:val="es-ES_tradnl" w:eastAsia="en-GB"/>
        </w:rPr>
        <w:t>, sino que se limita a mencionarlos de manera genérica.</w:t>
      </w:r>
      <w:r w:rsidR="00944644">
        <w:rPr>
          <w:rFonts w:ascii="Arial" w:eastAsia="Calibri" w:hAnsi="Arial" w:cs="Arial"/>
          <w:color w:val="000000"/>
          <w:sz w:val="22"/>
          <w:lang w:val="es-ES_tradnl" w:eastAsia="en-GB"/>
        </w:rPr>
        <w:t xml:space="preserve"> </w:t>
      </w:r>
      <w:r w:rsidR="00E5205B">
        <w:rPr>
          <w:rFonts w:ascii="Arial" w:eastAsia="Calibri" w:hAnsi="Arial" w:cs="Arial"/>
          <w:color w:val="000000"/>
          <w:sz w:val="22"/>
          <w:lang w:val="es-ES_tradnl" w:eastAsia="en-GB"/>
        </w:rPr>
        <w:t>En efecto, el literal a) de dicho artículo</w:t>
      </w:r>
      <w:r w:rsidR="00F93E41">
        <w:rPr>
          <w:rFonts w:ascii="Arial" w:eastAsia="Calibri" w:hAnsi="Arial" w:cs="Arial"/>
          <w:color w:val="000000"/>
          <w:sz w:val="22"/>
          <w:lang w:val="es-ES_tradnl" w:eastAsia="en-GB"/>
        </w:rPr>
        <w:t xml:space="preserve"> está precedido por un inciso que establece: «</w:t>
      </w:r>
      <w:r w:rsidR="00F93E41" w:rsidRPr="00F93E41">
        <w:rPr>
          <w:rFonts w:ascii="Arial" w:eastAsia="Calibri" w:hAnsi="Arial" w:cs="Arial"/>
          <w:color w:val="000000"/>
          <w:sz w:val="22"/>
          <w:lang w:val="es-ES_tradnl" w:eastAsia="en-GB"/>
        </w:rPr>
        <w:t>En los procesos de selección en los que se tenga en cuenta los factores técnicos y económicos, la oferta más ventajosa será la que resulte de aplicar alguna de las siguientes alternativas</w:t>
      </w:r>
      <w:r w:rsidR="00F93E41">
        <w:rPr>
          <w:rFonts w:ascii="Arial" w:eastAsia="Calibri" w:hAnsi="Arial" w:cs="Arial"/>
          <w:color w:val="000000"/>
          <w:sz w:val="22"/>
          <w:lang w:val="es-ES_tradnl" w:eastAsia="en-GB"/>
        </w:rPr>
        <w:t>»</w:t>
      </w:r>
      <w:r w:rsidR="00F01E67">
        <w:rPr>
          <w:rFonts w:ascii="Arial" w:eastAsia="Calibri" w:hAnsi="Arial" w:cs="Arial"/>
          <w:color w:val="000000"/>
          <w:sz w:val="22"/>
          <w:lang w:val="es-ES_tradnl" w:eastAsia="en-GB"/>
        </w:rPr>
        <w:t>; y, a renglón seguido, dentro de las «alternativas», el legislador incorpora</w:t>
      </w:r>
      <w:r>
        <w:rPr>
          <w:rFonts w:ascii="Arial" w:eastAsia="Calibri" w:hAnsi="Arial" w:cs="Arial"/>
          <w:color w:val="000000"/>
          <w:sz w:val="22"/>
          <w:lang w:val="es-ES_tradnl" w:eastAsia="en-GB"/>
        </w:rPr>
        <w:t xml:space="preserve"> la siguiente: «</w:t>
      </w:r>
      <w:r w:rsidRPr="006959A5">
        <w:rPr>
          <w:rFonts w:ascii="Arial" w:eastAsia="Calibri" w:hAnsi="Arial" w:cs="Arial"/>
          <w:color w:val="000000"/>
          <w:sz w:val="22"/>
          <w:lang w:val="es-ES_tradnl" w:eastAsia="en-GB"/>
        </w:rPr>
        <w:t>a) La ponderación de los elementos de calidad y precio soportados en puntajes o fórmulas señaladas en el pliego de condiciones</w:t>
      </w:r>
      <w:r w:rsidR="00621D0C">
        <w:rPr>
          <w:rFonts w:ascii="Arial" w:eastAsia="Calibri" w:hAnsi="Arial" w:cs="Arial"/>
          <w:color w:val="000000"/>
          <w:sz w:val="22"/>
          <w:lang w:val="es-ES_tradnl" w:eastAsia="en-GB"/>
        </w:rPr>
        <w:t>».</w:t>
      </w:r>
    </w:p>
    <w:p w14:paraId="67D46D94" w14:textId="57AA6718" w:rsidR="009D70C2" w:rsidRDefault="009B78ED" w:rsidP="009B78ED">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Como puede apreciarse, el Congreso de la República optó por conceder a las entidades estatales discrecionalidad administrativa</w:t>
      </w:r>
      <w:r w:rsidR="00EE1258">
        <w:rPr>
          <w:rFonts w:ascii="Arial" w:eastAsia="Calibri" w:hAnsi="Arial" w:cs="Arial"/>
          <w:color w:val="000000"/>
          <w:sz w:val="22"/>
          <w:lang w:val="es-ES_tradnl" w:eastAsia="en-GB"/>
        </w:rPr>
        <w:t xml:space="preserve"> para determinar en los procedimientos de selección que realicen</w:t>
      </w:r>
      <w:r w:rsidR="002F0073">
        <w:rPr>
          <w:rFonts w:ascii="Arial" w:eastAsia="Calibri" w:hAnsi="Arial" w:cs="Arial"/>
          <w:color w:val="000000"/>
          <w:sz w:val="22"/>
          <w:lang w:val="es-ES_tradnl" w:eastAsia="en-GB"/>
        </w:rPr>
        <w:t xml:space="preserve"> cuáles serán los elementos de calidad y precio que tendrán en cuenta en la calificación o ponderación. De</w:t>
      </w:r>
      <w:r w:rsidR="00F74A04">
        <w:rPr>
          <w:rFonts w:ascii="Arial" w:eastAsia="Calibri" w:hAnsi="Arial" w:cs="Arial"/>
          <w:color w:val="000000"/>
          <w:sz w:val="22"/>
          <w:lang w:val="es-ES_tradnl" w:eastAsia="en-GB"/>
        </w:rPr>
        <w:t xml:space="preserve"> igual forma</w:t>
      </w:r>
      <w:r w:rsidR="002F0073">
        <w:rPr>
          <w:rFonts w:ascii="Arial" w:eastAsia="Calibri" w:hAnsi="Arial" w:cs="Arial"/>
          <w:color w:val="000000"/>
          <w:sz w:val="22"/>
          <w:lang w:val="es-ES_tradnl" w:eastAsia="en-GB"/>
        </w:rPr>
        <w:t xml:space="preserve">, el legislador no </w:t>
      </w:r>
      <w:r w:rsidR="00CA5520">
        <w:rPr>
          <w:rFonts w:ascii="Arial" w:eastAsia="Calibri" w:hAnsi="Arial" w:cs="Arial"/>
          <w:color w:val="000000"/>
          <w:sz w:val="22"/>
          <w:lang w:val="es-ES_tradnl" w:eastAsia="en-GB"/>
        </w:rPr>
        <w:t xml:space="preserve">estableció una </w:t>
      </w:r>
      <w:r w:rsidR="00CA5520">
        <w:rPr>
          <w:rFonts w:ascii="Arial" w:eastAsia="Calibri" w:hAnsi="Arial" w:cs="Arial"/>
          <w:color w:val="000000"/>
          <w:sz w:val="22"/>
          <w:lang w:val="es-ES_tradnl" w:eastAsia="en-GB"/>
        </w:rPr>
        <w:lastRenderedPageBreak/>
        <w:t>fórmula o metodología específica para realizar dicha ponderación, sino que también dejó esto librado al margen de apreciación de las entidades públicas</w:t>
      </w:r>
      <w:r w:rsidR="00A95E4C">
        <w:rPr>
          <w:rFonts w:ascii="Arial" w:eastAsia="Calibri" w:hAnsi="Arial" w:cs="Arial"/>
          <w:color w:val="000000"/>
          <w:sz w:val="22"/>
          <w:lang w:val="es-ES_tradnl" w:eastAsia="en-GB"/>
        </w:rPr>
        <w:t xml:space="preserve"> interesadas en contratar.</w:t>
      </w:r>
    </w:p>
    <w:p w14:paraId="4E1425FD" w14:textId="2C6C4287" w:rsidR="00CF1226" w:rsidRDefault="009D70C2" w:rsidP="009B78ED">
      <w:pPr>
        <w:tabs>
          <w:tab w:val="left" w:pos="0"/>
        </w:tabs>
        <w:spacing w:before="120" w:line="276" w:lineRule="auto"/>
        <w:ind w:firstLine="709"/>
        <w:jc w:val="both"/>
        <w:rPr>
          <w:rFonts w:ascii="Arial" w:hAnsi="Arial" w:cs="Arial"/>
          <w:color w:val="000000" w:themeColor="text1"/>
          <w:sz w:val="22"/>
        </w:rPr>
      </w:pPr>
      <w:r>
        <w:rPr>
          <w:rFonts w:ascii="Arial" w:eastAsia="Calibri" w:hAnsi="Arial" w:cs="Arial"/>
          <w:color w:val="000000"/>
          <w:sz w:val="22"/>
          <w:lang w:val="es-ES_tradnl" w:eastAsia="en-GB"/>
        </w:rPr>
        <w:t xml:space="preserve">Esta Subdirección se ha pronunciado </w:t>
      </w:r>
      <w:r w:rsidR="004533D1">
        <w:rPr>
          <w:rFonts w:ascii="Arial" w:eastAsia="Calibri" w:hAnsi="Arial" w:cs="Arial"/>
          <w:color w:val="000000"/>
          <w:sz w:val="22"/>
          <w:lang w:val="es-ES_tradnl" w:eastAsia="en-GB"/>
        </w:rPr>
        <w:t xml:space="preserve">sobre el reconocimiento de la discrecionalidad administrativa </w:t>
      </w:r>
      <w:r w:rsidR="002D19BB">
        <w:rPr>
          <w:rFonts w:ascii="Arial" w:eastAsia="Calibri" w:hAnsi="Arial" w:cs="Arial"/>
          <w:color w:val="000000"/>
          <w:sz w:val="22"/>
          <w:lang w:val="es-ES_tradnl" w:eastAsia="en-GB"/>
        </w:rPr>
        <w:t>como</w:t>
      </w:r>
      <w:r w:rsidR="004533D1">
        <w:rPr>
          <w:rFonts w:ascii="Arial" w:eastAsia="Calibri" w:hAnsi="Arial" w:cs="Arial"/>
          <w:color w:val="000000"/>
          <w:sz w:val="22"/>
          <w:lang w:val="es-ES_tradnl" w:eastAsia="en-GB"/>
        </w:rPr>
        <w:t xml:space="preserve"> modelo de asignación de potestades en la contratación estatal.</w:t>
      </w:r>
      <w:r w:rsidR="00D728F5">
        <w:rPr>
          <w:rFonts w:ascii="Arial" w:eastAsia="Calibri" w:hAnsi="Arial" w:cs="Arial"/>
          <w:color w:val="000000"/>
          <w:sz w:val="22"/>
          <w:lang w:val="es-ES_tradnl" w:eastAsia="en-GB"/>
        </w:rPr>
        <w:t xml:space="preserve"> Así, por ejemplo, en el Concepto C-</w:t>
      </w:r>
      <w:r w:rsidR="00E7514E">
        <w:rPr>
          <w:rFonts w:ascii="Arial" w:eastAsia="Calibri" w:hAnsi="Arial" w:cs="Arial"/>
          <w:color w:val="000000"/>
          <w:sz w:val="22"/>
          <w:lang w:val="es-ES_tradnl" w:eastAsia="en-GB"/>
        </w:rPr>
        <w:t>120</w:t>
      </w:r>
      <w:r w:rsidR="00420D6E">
        <w:rPr>
          <w:rFonts w:ascii="Arial" w:eastAsia="Calibri" w:hAnsi="Arial" w:cs="Arial"/>
          <w:color w:val="000000"/>
          <w:sz w:val="22"/>
          <w:lang w:val="es-ES_tradnl" w:eastAsia="en-GB"/>
        </w:rPr>
        <w:t xml:space="preserve"> del 3 de marzo de 2020 recordó que si bien la discrecionalidad implica un </w:t>
      </w:r>
      <w:r w:rsidR="006802A7">
        <w:rPr>
          <w:rFonts w:ascii="Arial" w:eastAsia="Calibri" w:hAnsi="Arial" w:cs="Arial"/>
          <w:color w:val="000000"/>
          <w:sz w:val="22"/>
          <w:lang w:val="es-ES_tradnl" w:eastAsia="en-GB"/>
        </w:rPr>
        <w:t>espacio de libertad para las entidades estales, en todo caso</w:t>
      </w:r>
      <w:r w:rsidR="00545EA3">
        <w:rPr>
          <w:rFonts w:ascii="Arial" w:eastAsia="Calibri" w:hAnsi="Arial" w:cs="Arial"/>
          <w:color w:val="000000"/>
          <w:sz w:val="22"/>
          <w:lang w:val="es-ES_tradnl" w:eastAsia="en-GB"/>
        </w:rPr>
        <w:t>, al hacer u</w:t>
      </w:r>
      <w:r w:rsidR="00ED3954">
        <w:rPr>
          <w:rFonts w:ascii="Arial" w:eastAsia="Calibri" w:hAnsi="Arial" w:cs="Arial"/>
          <w:color w:val="000000"/>
          <w:sz w:val="22"/>
          <w:lang w:val="es-ES_tradnl" w:eastAsia="en-GB"/>
        </w:rPr>
        <w:t>s</w:t>
      </w:r>
      <w:r w:rsidR="00545EA3">
        <w:rPr>
          <w:rFonts w:ascii="Arial" w:eastAsia="Calibri" w:hAnsi="Arial" w:cs="Arial"/>
          <w:color w:val="000000"/>
          <w:sz w:val="22"/>
          <w:lang w:val="es-ES_tradnl" w:eastAsia="en-GB"/>
        </w:rPr>
        <w:t>o de ella,</w:t>
      </w:r>
      <w:r w:rsidR="006802A7">
        <w:rPr>
          <w:rFonts w:ascii="Arial" w:eastAsia="Calibri" w:hAnsi="Arial" w:cs="Arial"/>
          <w:color w:val="000000"/>
          <w:sz w:val="22"/>
          <w:lang w:val="es-ES_tradnl" w:eastAsia="en-GB"/>
        </w:rPr>
        <w:t xml:space="preserve"> debe</w:t>
      </w:r>
      <w:r w:rsidR="00545EA3">
        <w:rPr>
          <w:rFonts w:ascii="Arial" w:eastAsia="Calibri" w:hAnsi="Arial" w:cs="Arial"/>
          <w:color w:val="000000"/>
          <w:sz w:val="22"/>
          <w:lang w:val="es-ES_tradnl" w:eastAsia="en-GB"/>
        </w:rPr>
        <w:t>n</w:t>
      </w:r>
      <w:r w:rsidR="006802A7">
        <w:rPr>
          <w:rFonts w:ascii="Arial" w:eastAsia="Calibri" w:hAnsi="Arial" w:cs="Arial"/>
          <w:color w:val="000000"/>
          <w:sz w:val="22"/>
          <w:lang w:val="es-ES_tradnl" w:eastAsia="en-GB"/>
        </w:rPr>
        <w:t xml:space="preserve"> observar</w:t>
      </w:r>
      <w:r w:rsidR="00545EA3">
        <w:rPr>
          <w:rFonts w:ascii="Arial" w:eastAsia="Calibri" w:hAnsi="Arial" w:cs="Arial"/>
          <w:color w:val="000000"/>
          <w:sz w:val="22"/>
          <w:lang w:val="es-ES_tradnl" w:eastAsia="en-GB"/>
        </w:rPr>
        <w:t xml:space="preserve"> </w:t>
      </w:r>
      <w:r w:rsidR="006802A7">
        <w:rPr>
          <w:rFonts w:ascii="Arial" w:eastAsia="Calibri" w:hAnsi="Arial" w:cs="Arial"/>
          <w:color w:val="000000"/>
          <w:sz w:val="22"/>
          <w:lang w:val="es-ES_tradnl" w:eastAsia="en-GB"/>
        </w:rPr>
        <w:t>lo establecido en el artículo</w:t>
      </w:r>
      <w:r w:rsidR="00D1137B">
        <w:rPr>
          <w:rFonts w:ascii="Arial" w:eastAsia="Calibri" w:hAnsi="Arial" w:cs="Arial"/>
          <w:color w:val="000000"/>
          <w:sz w:val="22"/>
          <w:lang w:val="es-ES_tradnl" w:eastAsia="en-GB"/>
        </w:rPr>
        <w:t xml:space="preserve"> 44 de la Ley 1437 de 2011, según el cual </w:t>
      </w:r>
      <w:r w:rsidR="002A774A">
        <w:rPr>
          <w:rFonts w:ascii="Arial" w:hAnsi="Arial" w:cs="Arial"/>
          <w:color w:val="000000" w:themeColor="text1"/>
          <w:sz w:val="22"/>
        </w:rPr>
        <w:t>la decisión debe ser</w:t>
      </w:r>
      <w:r w:rsidR="00703279">
        <w:rPr>
          <w:rFonts w:ascii="Arial" w:hAnsi="Arial" w:cs="Arial"/>
          <w:color w:val="000000" w:themeColor="text1"/>
          <w:sz w:val="22"/>
        </w:rPr>
        <w:t xml:space="preserve"> </w:t>
      </w:r>
      <w:r w:rsidR="002A774A" w:rsidRPr="00ED3C26">
        <w:rPr>
          <w:rFonts w:ascii="Arial" w:hAnsi="Arial" w:cs="Arial"/>
          <w:color w:val="000000" w:themeColor="text1"/>
          <w:sz w:val="22"/>
        </w:rPr>
        <w:t>adecuada y proporcional al trámite y a los hechos que lo motivaron</w:t>
      </w:r>
      <w:r w:rsidR="008E7214">
        <w:rPr>
          <w:rStyle w:val="Refdenotaalpie"/>
          <w:rFonts w:ascii="Arial" w:hAnsi="Arial" w:cs="Arial"/>
          <w:color w:val="000000" w:themeColor="text1"/>
          <w:sz w:val="22"/>
        </w:rPr>
        <w:footnoteReference w:id="5"/>
      </w:r>
      <w:r w:rsidR="00703279">
        <w:rPr>
          <w:rFonts w:ascii="Arial" w:hAnsi="Arial" w:cs="Arial"/>
          <w:color w:val="000000" w:themeColor="text1"/>
          <w:sz w:val="22"/>
        </w:rPr>
        <w:t>.</w:t>
      </w:r>
      <w:r w:rsidR="006E6720">
        <w:rPr>
          <w:rFonts w:ascii="Arial" w:hAnsi="Arial" w:cs="Arial"/>
          <w:color w:val="000000" w:themeColor="text1"/>
          <w:sz w:val="22"/>
        </w:rPr>
        <w:t xml:space="preserve"> Este también ha sido el entendimiento de la doctrina</w:t>
      </w:r>
      <w:r w:rsidR="007F7AF6">
        <w:rPr>
          <w:rFonts w:ascii="Arial" w:hAnsi="Arial" w:cs="Arial"/>
          <w:color w:val="000000" w:themeColor="text1"/>
          <w:sz w:val="22"/>
        </w:rPr>
        <w:t xml:space="preserve">, </w:t>
      </w:r>
      <w:r w:rsidR="000C6C31">
        <w:rPr>
          <w:rFonts w:ascii="Arial" w:hAnsi="Arial" w:cs="Arial"/>
          <w:color w:val="000000" w:themeColor="text1"/>
          <w:sz w:val="22"/>
        </w:rPr>
        <w:t>que</w:t>
      </w:r>
      <w:r w:rsidR="007F7AF6">
        <w:rPr>
          <w:rFonts w:ascii="Arial" w:hAnsi="Arial" w:cs="Arial"/>
          <w:color w:val="000000" w:themeColor="text1"/>
          <w:sz w:val="22"/>
        </w:rPr>
        <w:t xml:space="preserve"> ha considerado que el ejercicio de la discrecionalidad administrativa</w:t>
      </w:r>
      <w:r w:rsidR="004403DD">
        <w:rPr>
          <w:rFonts w:ascii="Arial" w:hAnsi="Arial" w:cs="Arial"/>
          <w:color w:val="000000" w:themeColor="text1"/>
          <w:sz w:val="22"/>
        </w:rPr>
        <w:t xml:space="preserve"> debe respetar </w:t>
      </w:r>
      <w:r w:rsidR="004403DD" w:rsidRPr="00ED3C26">
        <w:rPr>
          <w:rFonts w:ascii="Arial" w:hAnsi="Arial" w:cs="Arial"/>
          <w:color w:val="000000" w:themeColor="text1"/>
          <w:sz w:val="22"/>
        </w:rPr>
        <w:t>el principio de proporcionalidad</w:t>
      </w:r>
      <w:r w:rsidR="004403DD" w:rsidRPr="00ED3C26">
        <w:rPr>
          <w:rStyle w:val="Refdenotaalpie"/>
          <w:rFonts w:ascii="Arial" w:hAnsi="Arial" w:cs="Arial"/>
          <w:color w:val="000000" w:themeColor="text1"/>
          <w:sz w:val="22"/>
        </w:rPr>
        <w:footnoteReference w:id="6"/>
      </w:r>
      <w:r w:rsidR="004403DD">
        <w:rPr>
          <w:rFonts w:ascii="Arial" w:hAnsi="Arial" w:cs="Arial"/>
          <w:color w:val="000000" w:themeColor="text1"/>
          <w:sz w:val="22"/>
        </w:rPr>
        <w:t>.</w:t>
      </w:r>
    </w:p>
    <w:p w14:paraId="48256240" w14:textId="15FE33B1" w:rsidR="00A63DF7" w:rsidRDefault="009D11F6" w:rsidP="00A63DF7">
      <w:pPr>
        <w:tabs>
          <w:tab w:val="left" w:pos="0"/>
        </w:tabs>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Pues bien, tal discrecionalidad se encuentra presente al momento de </w:t>
      </w:r>
      <w:r w:rsidR="00687A8C">
        <w:rPr>
          <w:rFonts w:ascii="Arial" w:hAnsi="Arial" w:cs="Arial"/>
          <w:color w:val="000000" w:themeColor="text1"/>
          <w:sz w:val="22"/>
        </w:rPr>
        <w:t xml:space="preserve">elaborar el pliego de condiciones y específicamente, al definir los criterios </w:t>
      </w:r>
      <w:r w:rsidR="007D5648">
        <w:rPr>
          <w:rFonts w:ascii="Arial" w:hAnsi="Arial" w:cs="Arial"/>
          <w:color w:val="000000" w:themeColor="text1"/>
          <w:sz w:val="22"/>
        </w:rPr>
        <w:t>de calificación con puntos. Dentro de estos criterios se encuentran los elementos de calidad y precio indicados en el</w:t>
      </w:r>
      <w:r w:rsidR="00A63DF7">
        <w:rPr>
          <w:rFonts w:ascii="Arial" w:hAnsi="Arial" w:cs="Arial"/>
          <w:color w:val="000000" w:themeColor="text1"/>
          <w:sz w:val="22"/>
        </w:rPr>
        <w:t xml:space="preserve"> artículo 5, numeral 2,</w:t>
      </w:r>
      <w:r w:rsidR="007D5648">
        <w:rPr>
          <w:rFonts w:ascii="Arial" w:hAnsi="Arial" w:cs="Arial"/>
          <w:color w:val="000000" w:themeColor="text1"/>
          <w:sz w:val="22"/>
        </w:rPr>
        <w:t xml:space="preserve"> literal a)</w:t>
      </w:r>
      <w:r w:rsidR="00A63DF7">
        <w:rPr>
          <w:rFonts w:ascii="Arial" w:hAnsi="Arial" w:cs="Arial"/>
          <w:color w:val="000000" w:themeColor="text1"/>
          <w:sz w:val="22"/>
        </w:rPr>
        <w:t xml:space="preserve">, de la Ley 1150 de 2007. Por ello la Sección Tercera del Consejo de Estado ha dicho: </w:t>
      </w:r>
    </w:p>
    <w:p w14:paraId="47348E71" w14:textId="77777777" w:rsidR="00A63DF7" w:rsidRDefault="00A63DF7" w:rsidP="00A63DF7">
      <w:pPr>
        <w:tabs>
          <w:tab w:val="left" w:pos="0"/>
        </w:tabs>
        <w:ind w:left="709" w:right="709"/>
        <w:jc w:val="both"/>
        <w:rPr>
          <w:rFonts w:ascii="Arial" w:eastAsia="Calibri" w:hAnsi="Arial" w:cs="Arial"/>
          <w:color w:val="000000"/>
          <w:sz w:val="21"/>
          <w:szCs w:val="21"/>
          <w:lang w:val="es-ES_tradnl" w:eastAsia="en-GB"/>
        </w:rPr>
      </w:pPr>
    </w:p>
    <w:p w14:paraId="24693AC1" w14:textId="6E639966" w:rsidR="00A63DF7" w:rsidRPr="00DB02D7" w:rsidRDefault="00A63DF7" w:rsidP="00DB02D7">
      <w:pPr>
        <w:tabs>
          <w:tab w:val="left" w:pos="0"/>
        </w:tabs>
        <w:ind w:left="709" w:right="709"/>
        <w:jc w:val="both"/>
        <w:rPr>
          <w:rFonts w:ascii="Arial" w:eastAsia="Calibri" w:hAnsi="Arial" w:cs="Arial"/>
          <w:color w:val="000000"/>
          <w:sz w:val="21"/>
          <w:szCs w:val="21"/>
          <w:lang w:val="es-ES_tradnl" w:eastAsia="en-GB"/>
        </w:rPr>
      </w:pPr>
      <w:r w:rsidRPr="00A63DF7">
        <w:rPr>
          <w:rFonts w:ascii="Arial" w:eastAsia="Calibri" w:hAnsi="Arial" w:cs="Arial"/>
          <w:color w:val="000000"/>
          <w:sz w:val="21"/>
          <w:szCs w:val="21"/>
          <w:lang w:val="es-ES_tradnl" w:eastAsia="en-GB"/>
        </w:rPr>
        <w:t xml:space="preserve">Bajo esta premisa debe entenderse el deber de selección objetiva consagrado en el artículo 5 de la Ley 1150 de 2007, disposición que otorga discrecionalidad a las diversas entidades estatales para que establezcan en los pliegos de condiciones los diferentes factores de escogencia y calificación. Por ende, es cierto, como se desprende del libelo de la demanda, que el legislador otorgó a la Administración una libertad de elección de los distintos criterios de </w:t>
      </w:r>
      <w:r w:rsidRPr="00A63DF7">
        <w:rPr>
          <w:rFonts w:ascii="Arial" w:eastAsia="Calibri" w:hAnsi="Arial" w:cs="Arial"/>
          <w:color w:val="000000"/>
          <w:sz w:val="21"/>
          <w:szCs w:val="21"/>
          <w:lang w:val="es-ES_tradnl" w:eastAsia="en-GB"/>
        </w:rPr>
        <w:lastRenderedPageBreak/>
        <w:t>ponderación para asegurar que se contratará con la mejor oferta, esto es, aquella que se ajuste mejor a las finalidades de interés general</w:t>
      </w:r>
      <w:r>
        <w:rPr>
          <w:rStyle w:val="Refdenotaalpie"/>
          <w:rFonts w:ascii="Arial" w:eastAsia="Calibri" w:hAnsi="Arial" w:cs="Arial"/>
          <w:color w:val="000000"/>
          <w:sz w:val="21"/>
          <w:szCs w:val="21"/>
          <w:lang w:val="es-ES_tradnl" w:eastAsia="en-GB"/>
        </w:rPr>
        <w:footnoteReference w:id="7"/>
      </w:r>
      <w:r w:rsidRPr="00A63DF7">
        <w:rPr>
          <w:rFonts w:ascii="Arial" w:eastAsia="Calibri" w:hAnsi="Arial" w:cs="Arial"/>
          <w:color w:val="000000"/>
          <w:sz w:val="21"/>
          <w:szCs w:val="21"/>
          <w:lang w:val="es-ES_tradnl" w:eastAsia="en-GB"/>
        </w:rPr>
        <w:t>.</w:t>
      </w:r>
    </w:p>
    <w:p w14:paraId="019DA443" w14:textId="77777777" w:rsidR="00DB02D7" w:rsidRDefault="00DB02D7" w:rsidP="00DB02D7">
      <w:pPr>
        <w:tabs>
          <w:tab w:val="left" w:pos="0"/>
        </w:tabs>
        <w:spacing w:line="276" w:lineRule="auto"/>
        <w:ind w:firstLine="709"/>
        <w:jc w:val="both"/>
        <w:rPr>
          <w:rFonts w:ascii="Arial" w:hAnsi="Arial" w:cs="Arial"/>
          <w:color w:val="000000" w:themeColor="text1"/>
          <w:sz w:val="22"/>
        </w:rPr>
      </w:pPr>
    </w:p>
    <w:p w14:paraId="253E6856" w14:textId="3F41D94A" w:rsidR="004C5212" w:rsidRDefault="00DB02D7" w:rsidP="00DB3165">
      <w:pPr>
        <w:spacing w:line="276" w:lineRule="auto"/>
        <w:ind w:firstLine="709"/>
        <w:jc w:val="both"/>
        <w:rPr>
          <w:rFonts w:ascii="Arial" w:hAnsi="Arial" w:cs="Arial"/>
          <w:color w:val="000000" w:themeColor="text1"/>
          <w:sz w:val="22"/>
        </w:rPr>
      </w:pPr>
      <w:r>
        <w:rPr>
          <w:rFonts w:ascii="Arial" w:hAnsi="Arial" w:cs="Arial"/>
          <w:color w:val="000000" w:themeColor="text1"/>
          <w:sz w:val="22"/>
        </w:rPr>
        <w:t xml:space="preserve">Por lo tanto, cuando el artículo </w:t>
      </w:r>
      <w:r w:rsidR="00DB3165">
        <w:rPr>
          <w:rFonts w:ascii="Arial" w:hAnsi="Arial" w:cs="Arial"/>
          <w:color w:val="000000" w:themeColor="text1"/>
          <w:sz w:val="22"/>
        </w:rPr>
        <w:t>6 de la Ley 2020 de 2020 establece que «</w:t>
      </w:r>
      <w:r w:rsidR="00DB3165" w:rsidRPr="00DB3165">
        <w:rPr>
          <w:rFonts w:ascii="Arial" w:hAnsi="Arial" w:cs="Arial"/>
          <w:color w:val="000000" w:themeColor="text1"/>
          <w:sz w:val="22"/>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r w:rsidR="0086289E">
        <w:rPr>
          <w:rFonts w:ascii="Arial" w:hAnsi="Arial" w:cs="Arial"/>
          <w:color w:val="000000" w:themeColor="text1"/>
          <w:sz w:val="22"/>
        </w:rPr>
        <w:t xml:space="preserve">», significa que al </w:t>
      </w:r>
      <w:r w:rsidR="005670A5">
        <w:rPr>
          <w:rFonts w:ascii="Arial" w:hAnsi="Arial" w:cs="Arial"/>
          <w:color w:val="000000" w:themeColor="text1"/>
          <w:sz w:val="22"/>
        </w:rPr>
        <w:t>aplicar</w:t>
      </w:r>
      <w:r w:rsidR="0086289E">
        <w:rPr>
          <w:rFonts w:ascii="Arial" w:hAnsi="Arial" w:cs="Arial"/>
          <w:color w:val="000000" w:themeColor="text1"/>
          <w:sz w:val="22"/>
        </w:rPr>
        <w:t xml:space="preserve"> dichos criterios de calificación con</w:t>
      </w:r>
      <w:r w:rsidR="007C312A">
        <w:rPr>
          <w:rFonts w:ascii="Arial" w:hAnsi="Arial" w:cs="Arial"/>
          <w:color w:val="000000" w:themeColor="text1"/>
          <w:sz w:val="22"/>
        </w:rPr>
        <w:t xml:space="preserve"> puntos </w:t>
      </w:r>
      <w:r w:rsidR="0086289E">
        <w:rPr>
          <w:rFonts w:ascii="Arial" w:hAnsi="Arial" w:cs="Arial"/>
          <w:color w:val="000000" w:themeColor="text1"/>
          <w:sz w:val="22"/>
        </w:rPr>
        <w:t xml:space="preserve">dentro del procedimiento contractual, las entidades estatales deben servirse de la información </w:t>
      </w:r>
      <w:r w:rsidR="009C5F64">
        <w:rPr>
          <w:rFonts w:ascii="Arial" w:hAnsi="Arial" w:cs="Arial"/>
          <w:color w:val="000000" w:themeColor="text1"/>
          <w:sz w:val="22"/>
        </w:rPr>
        <w:t xml:space="preserve">contenida en el Registro. </w:t>
      </w:r>
      <w:r w:rsidR="00F46692">
        <w:rPr>
          <w:rFonts w:ascii="Arial" w:hAnsi="Arial" w:cs="Arial"/>
          <w:color w:val="000000" w:themeColor="text1"/>
          <w:sz w:val="22"/>
        </w:rPr>
        <w:t>En efecto, s</w:t>
      </w:r>
      <w:r w:rsidR="009C5F64">
        <w:rPr>
          <w:rFonts w:ascii="Arial" w:hAnsi="Arial" w:cs="Arial"/>
          <w:color w:val="000000" w:themeColor="text1"/>
          <w:sz w:val="22"/>
        </w:rPr>
        <w:t xml:space="preserve">olo a título de ejemplo, si van a </w:t>
      </w:r>
      <w:r w:rsidR="007C312A">
        <w:rPr>
          <w:rFonts w:ascii="Arial" w:hAnsi="Arial" w:cs="Arial"/>
          <w:color w:val="000000" w:themeColor="text1"/>
          <w:sz w:val="22"/>
        </w:rPr>
        <w:t xml:space="preserve">otorgar puntaje por la ejecución exitosa de obras públicas, deben </w:t>
      </w:r>
      <w:r w:rsidR="004C5212">
        <w:rPr>
          <w:rFonts w:ascii="Arial" w:hAnsi="Arial" w:cs="Arial"/>
          <w:color w:val="000000" w:themeColor="text1"/>
          <w:sz w:val="22"/>
        </w:rPr>
        <w:t xml:space="preserve">consultar las anotaciones que, sobre esta circunstancia, reposen en dicho Registro. </w:t>
      </w:r>
    </w:p>
    <w:p w14:paraId="494FF29E" w14:textId="2CE9B8E5" w:rsidR="00DB3165" w:rsidRPr="00DB3165" w:rsidRDefault="004D31EE" w:rsidP="004C5212">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No obstante</w:t>
      </w:r>
      <w:r w:rsidR="004C5212">
        <w:rPr>
          <w:rFonts w:ascii="Arial" w:hAnsi="Arial" w:cs="Arial"/>
          <w:color w:val="000000" w:themeColor="text1"/>
          <w:sz w:val="22"/>
        </w:rPr>
        <w:t xml:space="preserve">, como las entidades estatales cuentan con discrecionalidad para </w:t>
      </w:r>
      <w:r w:rsidR="006A2BF1">
        <w:rPr>
          <w:rFonts w:ascii="Arial" w:hAnsi="Arial" w:cs="Arial"/>
          <w:color w:val="000000" w:themeColor="text1"/>
          <w:sz w:val="22"/>
        </w:rPr>
        <w:t xml:space="preserve">determinar los criterios de calificación, no le es dable a esta Subdirección definir un listado de </w:t>
      </w:r>
      <w:r w:rsidR="00E61FD7">
        <w:rPr>
          <w:rFonts w:ascii="Arial" w:hAnsi="Arial" w:cs="Arial"/>
          <w:color w:val="000000" w:themeColor="text1"/>
          <w:sz w:val="22"/>
        </w:rPr>
        <w:t>factores</w:t>
      </w:r>
      <w:r w:rsidR="006A2BF1">
        <w:rPr>
          <w:rFonts w:ascii="Arial" w:hAnsi="Arial" w:cs="Arial"/>
          <w:color w:val="000000" w:themeColor="text1"/>
          <w:sz w:val="22"/>
        </w:rPr>
        <w:t xml:space="preserve"> de </w:t>
      </w:r>
      <w:r w:rsidR="00E61FD7">
        <w:rPr>
          <w:rFonts w:ascii="Arial" w:hAnsi="Arial" w:cs="Arial"/>
          <w:color w:val="000000" w:themeColor="text1"/>
          <w:sz w:val="22"/>
        </w:rPr>
        <w:t xml:space="preserve">ponderación de </w:t>
      </w:r>
      <w:r w:rsidR="006A2BF1">
        <w:rPr>
          <w:rFonts w:ascii="Arial" w:hAnsi="Arial" w:cs="Arial"/>
          <w:color w:val="000000" w:themeColor="text1"/>
          <w:sz w:val="22"/>
        </w:rPr>
        <w:t>calidad</w:t>
      </w:r>
      <w:r w:rsidR="00E61FD7">
        <w:rPr>
          <w:rFonts w:ascii="Arial" w:hAnsi="Arial" w:cs="Arial"/>
          <w:color w:val="000000" w:themeColor="text1"/>
          <w:sz w:val="22"/>
        </w:rPr>
        <w:t xml:space="preserve"> </w:t>
      </w:r>
      <w:r w:rsidR="00426C69">
        <w:rPr>
          <w:rFonts w:ascii="Arial" w:hAnsi="Arial" w:cs="Arial"/>
          <w:color w:val="000000" w:themeColor="text1"/>
          <w:sz w:val="22"/>
        </w:rPr>
        <w:t>en este</w:t>
      </w:r>
      <w:r w:rsidR="00E61FD7">
        <w:rPr>
          <w:rFonts w:ascii="Arial" w:hAnsi="Arial" w:cs="Arial"/>
          <w:color w:val="000000" w:themeColor="text1"/>
          <w:sz w:val="22"/>
        </w:rPr>
        <w:t xml:space="preserve"> concepto. </w:t>
      </w:r>
      <w:r w:rsidR="00EF2436">
        <w:rPr>
          <w:rFonts w:ascii="Arial" w:hAnsi="Arial" w:cs="Arial"/>
          <w:color w:val="000000" w:themeColor="text1"/>
          <w:sz w:val="22"/>
        </w:rPr>
        <w:t>Situación distinta es</w:t>
      </w:r>
      <w:r w:rsidR="000E2977">
        <w:rPr>
          <w:rFonts w:ascii="Arial" w:hAnsi="Arial" w:cs="Arial"/>
          <w:color w:val="000000" w:themeColor="text1"/>
          <w:sz w:val="22"/>
        </w:rPr>
        <w:t xml:space="preserve"> la que se presenta en el ejercicio de la competencia de la Agencia Nacional de Contratación Pública – Colombia Compra Eficiente </w:t>
      </w:r>
      <w:r w:rsidR="00E7471C">
        <w:rPr>
          <w:rFonts w:ascii="Arial" w:hAnsi="Arial" w:cs="Arial"/>
          <w:color w:val="000000" w:themeColor="text1"/>
          <w:sz w:val="22"/>
        </w:rPr>
        <w:t xml:space="preserve">para la </w:t>
      </w:r>
      <w:r w:rsidR="00B67630">
        <w:rPr>
          <w:rFonts w:ascii="Arial" w:hAnsi="Arial" w:cs="Arial"/>
          <w:color w:val="000000" w:themeColor="text1"/>
          <w:sz w:val="22"/>
        </w:rPr>
        <w:t>elaboración</w:t>
      </w:r>
      <w:r w:rsidR="00E7471C">
        <w:rPr>
          <w:rFonts w:ascii="Arial" w:hAnsi="Arial" w:cs="Arial"/>
          <w:color w:val="000000" w:themeColor="text1"/>
          <w:sz w:val="22"/>
        </w:rPr>
        <w:t xml:space="preserve"> de </w:t>
      </w:r>
      <w:r w:rsidR="00EF2436">
        <w:rPr>
          <w:rFonts w:ascii="Arial" w:hAnsi="Arial" w:cs="Arial"/>
          <w:color w:val="000000" w:themeColor="text1"/>
          <w:sz w:val="22"/>
        </w:rPr>
        <w:t>los pliegos de condiciones tipo</w:t>
      </w:r>
      <w:r w:rsidR="00B02FCB">
        <w:rPr>
          <w:rFonts w:ascii="Arial" w:hAnsi="Arial" w:cs="Arial"/>
          <w:color w:val="000000" w:themeColor="text1"/>
          <w:sz w:val="22"/>
        </w:rPr>
        <w:t xml:space="preserve">, </w:t>
      </w:r>
      <w:r w:rsidR="00E7471C">
        <w:rPr>
          <w:rFonts w:ascii="Arial" w:hAnsi="Arial" w:cs="Arial"/>
          <w:color w:val="000000" w:themeColor="text1"/>
          <w:sz w:val="22"/>
        </w:rPr>
        <w:t xml:space="preserve">pues </w:t>
      </w:r>
      <w:r w:rsidR="00B02FCB">
        <w:rPr>
          <w:rFonts w:ascii="Arial" w:hAnsi="Arial" w:cs="Arial"/>
          <w:color w:val="000000" w:themeColor="text1"/>
          <w:sz w:val="22"/>
        </w:rPr>
        <w:t>el artículo 1</w:t>
      </w:r>
      <w:r w:rsidR="00E7471C">
        <w:rPr>
          <w:rFonts w:ascii="Arial" w:hAnsi="Arial" w:cs="Arial"/>
          <w:color w:val="000000" w:themeColor="text1"/>
          <w:sz w:val="22"/>
        </w:rPr>
        <w:t xml:space="preserve"> de la Ley 2022 de 2020 le permite</w:t>
      </w:r>
      <w:r w:rsidR="007A5947">
        <w:rPr>
          <w:rFonts w:ascii="Arial" w:hAnsi="Arial" w:cs="Arial"/>
          <w:color w:val="000000" w:themeColor="text1"/>
          <w:sz w:val="22"/>
        </w:rPr>
        <w:t xml:space="preserve"> establecer dentro de tales documentos «[…] </w:t>
      </w:r>
      <w:r w:rsidR="007A5947" w:rsidRPr="007A5947">
        <w:rPr>
          <w:rFonts w:ascii="Arial" w:hAnsi="Arial" w:cs="Arial"/>
          <w:color w:val="000000" w:themeColor="text1"/>
          <w:sz w:val="22"/>
        </w:rPr>
        <w:t>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r w:rsidR="007A5947">
        <w:rPr>
          <w:rFonts w:ascii="Arial" w:hAnsi="Arial" w:cs="Arial"/>
          <w:color w:val="000000" w:themeColor="text1"/>
          <w:sz w:val="22"/>
        </w:rPr>
        <w:t>»</w:t>
      </w:r>
      <w:r w:rsidR="00167A15">
        <w:rPr>
          <w:rStyle w:val="Refdenotaalpie"/>
          <w:rFonts w:ascii="Arial" w:hAnsi="Arial" w:cs="Arial"/>
          <w:color w:val="000000" w:themeColor="text1"/>
          <w:sz w:val="22"/>
        </w:rPr>
        <w:footnoteReference w:id="8"/>
      </w:r>
      <w:r w:rsidR="007A5947">
        <w:rPr>
          <w:rFonts w:ascii="Arial" w:hAnsi="Arial" w:cs="Arial"/>
          <w:color w:val="000000" w:themeColor="text1"/>
          <w:sz w:val="22"/>
        </w:rPr>
        <w:t xml:space="preserve">. Sin embargo, no es ese el </w:t>
      </w:r>
      <w:r w:rsidR="00662E58">
        <w:rPr>
          <w:rFonts w:ascii="Arial" w:hAnsi="Arial" w:cs="Arial"/>
          <w:color w:val="000000" w:themeColor="text1"/>
          <w:sz w:val="22"/>
        </w:rPr>
        <w:t>supuesto que motiva la consulta.</w:t>
      </w:r>
    </w:p>
    <w:p w14:paraId="37CA9805" w14:textId="5E12DF66" w:rsidR="00DD5B04" w:rsidRPr="00E23980"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lastRenderedPageBreak/>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r w:rsidR="00CC71D3" w:rsidRPr="00E23980">
        <w:rPr>
          <w:rFonts w:ascii="Arial" w:eastAsia="Calibri" w:hAnsi="Arial" w:cs="Arial"/>
          <w:b/>
          <w:color w:val="000000" w:themeColor="text1"/>
          <w:sz w:val="22"/>
          <w:lang w:val="es-ES_tradnl"/>
        </w:rPr>
        <w:t>s</w:t>
      </w:r>
    </w:p>
    <w:p w14:paraId="0B74D5B8" w14:textId="7F0A7F13" w:rsidR="00C4581D" w:rsidRPr="00E23980" w:rsidRDefault="00C4581D" w:rsidP="00510DE9">
      <w:pPr>
        <w:tabs>
          <w:tab w:val="left" w:pos="0"/>
        </w:tabs>
        <w:jc w:val="both"/>
        <w:rPr>
          <w:rFonts w:ascii="Arial" w:eastAsia="Calibri" w:hAnsi="Arial" w:cs="Arial"/>
          <w:color w:val="000000" w:themeColor="text1"/>
          <w:sz w:val="22"/>
          <w:lang w:val="es-ES_tradnl"/>
        </w:rPr>
      </w:pPr>
    </w:p>
    <w:p w14:paraId="3711CC9C" w14:textId="77777777" w:rsidR="00B02FCB" w:rsidRPr="00E23980" w:rsidRDefault="00B02FCB" w:rsidP="00B02FCB">
      <w:pPr>
        <w:ind w:left="709" w:right="709"/>
        <w:jc w:val="both"/>
        <w:rPr>
          <w:rFonts w:ascii="Arial" w:hAnsi="Arial" w:cs="Arial"/>
          <w:color w:val="000000" w:themeColor="text1"/>
          <w:sz w:val="21"/>
          <w:szCs w:val="21"/>
          <w:lang w:val="es-ES_tradnl"/>
        </w:rPr>
      </w:pPr>
      <w:r w:rsidRPr="00E23980">
        <w:rPr>
          <w:rFonts w:ascii="Arial" w:hAnsi="Arial" w:cs="Arial"/>
          <w:color w:val="000000" w:themeColor="text1"/>
          <w:sz w:val="21"/>
          <w:szCs w:val="21"/>
          <w:lang w:val="es-ES_tradnl"/>
        </w:rPr>
        <w:t xml:space="preserve">«Así las cosas, teniendo en cuenta que la mencionada norma plantea un requisito de verificación </w:t>
      </w:r>
      <w:r w:rsidRPr="00E23980">
        <w:rPr>
          <w:rFonts w:ascii="Arial" w:hAnsi="Arial" w:cs="Arial"/>
          <w:i/>
          <w:iCs/>
          <w:color w:val="000000" w:themeColor="text1"/>
          <w:sz w:val="21"/>
          <w:szCs w:val="21"/>
          <w:lang w:val="es-ES_tradnl"/>
        </w:rPr>
        <w:t>sui generis</w:t>
      </w:r>
      <w:r w:rsidRPr="00E23980">
        <w:rPr>
          <w:rFonts w:ascii="Arial" w:hAnsi="Arial" w:cs="Arial"/>
          <w:color w:val="000000" w:themeColor="text1"/>
          <w:sz w:val="21"/>
          <w:szCs w:val="21"/>
          <w:lang w:val="es-ES_tradnl"/>
        </w:rPr>
        <w:t xml:space="preserve"> de cara a los procesos de selección que adelanten las entidades estatales, surge el siguiente interrogante: ¿Cuáles serían los requisitos de calidad ponderados como criterio de calificación frente al Registro Nacional de Obras Civiles Inconclusas? ¿Cómo se podría ponderar este requisito?».</w:t>
      </w:r>
    </w:p>
    <w:p w14:paraId="00C262D2" w14:textId="713B31EB" w:rsidR="006837B2" w:rsidRDefault="006837B2" w:rsidP="006837B2">
      <w:pPr>
        <w:spacing w:line="276" w:lineRule="auto"/>
        <w:jc w:val="both"/>
        <w:rPr>
          <w:rFonts w:ascii="Arial" w:hAnsi="Arial" w:cs="Arial"/>
          <w:color w:val="000000" w:themeColor="text1"/>
          <w:sz w:val="22"/>
          <w:lang w:val="es-ES_tradnl"/>
        </w:rPr>
      </w:pPr>
    </w:p>
    <w:p w14:paraId="06F6E69B" w14:textId="650D1D23" w:rsidR="009C3D2C" w:rsidRPr="00E23980" w:rsidRDefault="009C3D2C" w:rsidP="006837B2">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Las entidades estatales tienen discrecionalidad</w:t>
      </w:r>
      <w:r w:rsidR="00FF2053">
        <w:rPr>
          <w:rFonts w:ascii="Arial" w:hAnsi="Arial" w:cs="Arial"/>
          <w:color w:val="000000" w:themeColor="text1"/>
          <w:sz w:val="22"/>
          <w:lang w:val="es-ES_tradnl"/>
        </w:rPr>
        <w:t xml:space="preserve"> administrativa</w:t>
      </w:r>
      <w:r>
        <w:rPr>
          <w:rFonts w:ascii="Arial" w:hAnsi="Arial" w:cs="Arial"/>
          <w:color w:val="000000" w:themeColor="text1"/>
          <w:sz w:val="22"/>
          <w:lang w:val="es-ES_tradnl"/>
        </w:rPr>
        <w:t xml:space="preserve"> para definir los </w:t>
      </w:r>
      <w:r w:rsidR="00D701F1">
        <w:rPr>
          <w:rFonts w:ascii="Arial" w:hAnsi="Arial" w:cs="Arial"/>
          <w:color w:val="000000" w:themeColor="text1"/>
          <w:sz w:val="22"/>
          <w:lang w:val="es-ES_tradnl"/>
        </w:rPr>
        <w:t>factores de ponderación de calidad</w:t>
      </w:r>
      <w:r w:rsidR="00982F84">
        <w:rPr>
          <w:rFonts w:ascii="Arial" w:hAnsi="Arial" w:cs="Arial"/>
          <w:color w:val="000000" w:themeColor="text1"/>
          <w:sz w:val="22"/>
          <w:lang w:val="es-ES_tradnl"/>
        </w:rPr>
        <w:t xml:space="preserve"> y en general para </w:t>
      </w:r>
      <w:r w:rsidR="00B72110">
        <w:rPr>
          <w:rFonts w:ascii="Arial" w:hAnsi="Arial" w:cs="Arial"/>
          <w:color w:val="000000" w:themeColor="text1"/>
          <w:sz w:val="22"/>
          <w:lang w:val="es-ES_tradnl"/>
        </w:rPr>
        <w:t>determinar</w:t>
      </w:r>
      <w:r w:rsidR="00982F84">
        <w:rPr>
          <w:rFonts w:ascii="Arial" w:hAnsi="Arial" w:cs="Arial"/>
          <w:color w:val="000000" w:themeColor="text1"/>
          <w:sz w:val="22"/>
          <w:lang w:val="es-ES_tradnl"/>
        </w:rPr>
        <w:t xml:space="preserve"> los </w:t>
      </w:r>
      <w:r w:rsidR="00FF2053">
        <w:rPr>
          <w:rFonts w:ascii="Arial" w:hAnsi="Arial" w:cs="Arial"/>
          <w:color w:val="000000" w:themeColor="text1"/>
          <w:sz w:val="22"/>
          <w:lang w:val="es-ES_tradnl"/>
        </w:rPr>
        <w:t>criterios de calificación con puntaje dentro de los procedimientos de selección contractual</w:t>
      </w:r>
      <w:r w:rsidR="00D701F1">
        <w:rPr>
          <w:rFonts w:ascii="Arial" w:hAnsi="Arial" w:cs="Arial"/>
          <w:color w:val="000000" w:themeColor="text1"/>
          <w:sz w:val="22"/>
          <w:lang w:val="es-ES_tradnl"/>
        </w:rPr>
        <w:t>, con los límites establecidos en el ordenamiento jurídico</w:t>
      </w:r>
      <w:r>
        <w:rPr>
          <w:rFonts w:ascii="Arial" w:hAnsi="Arial" w:cs="Arial"/>
          <w:color w:val="000000" w:themeColor="text1"/>
          <w:sz w:val="22"/>
          <w:lang w:val="es-ES_tradnl"/>
        </w:rPr>
        <w:t xml:space="preserve"> </w:t>
      </w:r>
      <w:r w:rsidR="00982F84">
        <w:rPr>
          <w:rFonts w:ascii="Arial" w:hAnsi="Arial" w:cs="Arial"/>
          <w:color w:val="000000" w:themeColor="text1"/>
          <w:sz w:val="22"/>
          <w:lang w:val="es-ES_tradnl"/>
        </w:rPr>
        <w:t>y el respeto por el principio de proporcionalidad.</w:t>
      </w:r>
      <w:r w:rsidR="001904E3">
        <w:rPr>
          <w:rFonts w:ascii="Arial" w:hAnsi="Arial" w:cs="Arial"/>
          <w:color w:val="000000" w:themeColor="text1"/>
          <w:sz w:val="22"/>
          <w:lang w:val="es-ES_tradnl"/>
        </w:rPr>
        <w:t xml:space="preserve"> Esta idea se mantiene</w:t>
      </w:r>
      <w:r w:rsidR="00B72110">
        <w:rPr>
          <w:rFonts w:ascii="Arial" w:hAnsi="Arial" w:cs="Arial"/>
          <w:color w:val="000000" w:themeColor="text1"/>
          <w:sz w:val="22"/>
          <w:lang w:val="es-ES_tradnl"/>
        </w:rPr>
        <w:t xml:space="preserve"> </w:t>
      </w:r>
      <w:r w:rsidR="001904E3">
        <w:rPr>
          <w:rFonts w:ascii="Arial" w:hAnsi="Arial" w:cs="Arial"/>
          <w:color w:val="000000" w:themeColor="text1"/>
          <w:sz w:val="22"/>
          <w:lang w:val="es-ES_tradnl"/>
        </w:rPr>
        <w:t xml:space="preserve">incluso con la </w:t>
      </w:r>
      <w:proofErr w:type="gramStart"/>
      <w:r w:rsidR="001904E3">
        <w:rPr>
          <w:rFonts w:ascii="Arial" w:hAnsi="Arial" w:cs="Arial"/>
          <w:color w:val="000000" w:themeColor="text1"/>
          <w:sz w:val="22"/>
          <w:lang w:val="es-ES_tradnl"/>
        </w:rPr>
        <w:t>entrada en vigencia</w:t>
      </w:r>
      <w:proofErr w:type="gramEnd"/>
      <w:r w:rsidR="001904E3">
        <w:rPr>
          <w:rFonts w:ascii="Arial" w:hAnsi="Arial" w:cs="Arial"/>
          <w:color w:val="000000" w:themeColor="text1"/>
          <w:sz w:val="22"/>
          <w:lang w:val="es-ES_tradnl"/>
        </w:rPr>
        <w:t xml:space="preserve"> de la Ley 2020 de 2020 y la creación del </w:t>
      </w:r>
      <w:r w:rsidR="00C15A85">
        <w:rPr>
          <w:rFonts w:ascii="Arial" w:hAnsi="Arial" w:cs="Arial"/>
          <w:color w:val="000000" w:themeColor="text1"/>
          <w:sz w:val="22"/>
          <w:lang w:val="es-ES_tradnl"/>
        </w:rPr>
        <w:t>Registro Nacional de Obras Civiles Inconclusas</w:t>
      </w:r>
      <w:r w:rsidR="00951E57">
        <w:rPr>
          <w:rFonts w:ascii="Arial" w:hAnsi="Arial" w:cs="Arial"/>
          <w:color w:val="000000" w:themeColor="text1"/>
          <w:sz w:val="22"/>
          <w:lang w:val="es-ES_tradnl"/>
        </w:rPr>
        <w:t>.</w:t>
      </w:r>
      <w:r w:rsidR="00C15A85">
        <w:rPr>
          <w:rFonts w:ascii="Arial" w:hAnsi="Arial" w:cs="Arial"/>
          <w:color w:val="000000" w:themeColor="text1"/>
          <w:sz w:val="22"/>
          <w:lang w:val="es-ES_tradnl"/>
        </w:rPr>
        <w:t xml:space="preserve"> </w:t>
      </w:r>
      <w:r w:rsidR="00951E57">
        <w:rPr>
          <w:rFonts w:ascii="Arial" w:hAnsi="Arial" w:cs="Arial"/>
          <w:color w:val="000000" w:themeColor="text1"/>
          <w:sz w:val="22"/>
          <w:lang w:val="es-ES_tradnl"/>
        </w:rPr>
        <w:t>En efecto,</w:t>
      </w:r>
      <w:r w:rsidR="00C15A85">
        <w:rPr>
          <w:rFonts w:ascii="Arial" w:hAnsi="Arial" w:cs="Arial"/>
          <w:color w:val="000000" w:themeColor="text1"/>
          <w:sz w:val="22"/>
          <w:lang w:val="es-ES_tradnl"/>
        </w:rPr>
        <w:t xml:space="preserve"> a pesar de que el artículo 6 de dicho cuerpo normativo obliga a las entidades públicas a consultar las anotaci</w:t>
      </w:r>
      <w:r w:rsidR="00951E57">
        <w:rPr>
          <w:rFonts w:ascii="Arial" w:hAnsi="Arial" w:cs="Arial"/>
          <w:color w:val="000000" w:themeColor="text1"/>
          <w:sz w:val="22"/>
          <w:lang w:val="es-ES_tradnl"/>
        </w:rPr>
        <w:t>ones</w:t>
      </w:r>
      <w:r w:rsidR="00C15A85">
        <w:rPr>
          <w:rFonts w:ascii="Arial" w:hAnsi="Arial" w:cs="Arial"/>
          <w:color w:val="000000" w:themeColor="text1"/>
          <w:sz w:val="22"/>
          <w:lang w:val="es-ES_tradnl"/>
        </w:rPr>
        <w:t xml:space="preserve"> de </w:t>
      </w:r>
      <w:r w:rsidR="00666473">
        <w:rPr>
          <w:rFonts w:ascii="Arial" w:hAnsi="Arial" w:cs="Arial"/>
          <w:color w:val="000000" w:themeColor="text1"/>
          <w:sz w:val="22"/>
          <w:lang w:val="es-ES_tradnl"/>
        </w:rPr>
        <w:t>tal Registro</w:t>
      </w:r>
      <w:r w:rsidR="00951E57">
        <w:rPr>
          <w:rFonts w:ascii="Arial" w:hAnsi="Arial" w:cs="Arial"/>
          <w:color w:val="000000" w:themeColor="text1"/>
          <w:sz w:val="22"/>
          <w:lang w:val="es-ES_tradnl"/>
        </w:rPr>
        <w:t>,</w:t>
      </w:r>
      <w:r w:rsidR="00666473">
        <w:rPr>
          <w:rFonts w:ascii="Arial" w:hAnsi="Arial" w:cs="Arial"/>
          <w:color w:val="000000" w:themeColor="text1"/>
          <w:sz w:val="22"/>
          <w:lang w:val="es-ES_tradnl"/>
        </w:rPr>
        <w:t xml:space="preserve"> para hacer la ponderación de los factores de calidad en los procedimientos de selección de obras o interventorías, no modifica la discrecionalidad conferida por el artículo 5 de la Ley 1150 de 2007, ni establece un método o fórmula de ponderació</w:t>
      </w:r>
      <w:r w:rsidR="0022032A">
        <w:rPr>
          <w:rFonts w:ascii="Arial" w:hAnsi="Arial" w:cs="Arial"/>
          <w:color w:val="000000" w:themeColor="text1"/>
          <w:sz w:val="22"/>
          <w:lang w:val="es-ES_tradnl"/>
        </w:rPr>
        <w:t>n</w:t>
      </w:r>
      <w:r w:rsidR="00193B9A">
        <w:rPr>
          <w:rFonts w:ascii="Arial" w:hAnsi="Arial" w:cs="Arial"/>
          <w:color w:val="000000" w:themeColor="text1"/>
          <w:sz w:val="22"/>
          <w:lang w:val="es-ES_tradnl"/>
        </w:rPr>
        <w:t xml:space="preserve"> en específico.</w:t>
      </w:r>
    </w:p>
    <w:p w14:paraId="6DF459BF" w14:textId="77777777" w:rsidR="009C3D2C" w:rsidRDefault="009C3D2C" w:rsidP="00DF76A2">
      <w:pPr>
        <w:spacing w:line="276" w:lineRule="auto"/>
        <w:jc w:val="both"/>
        <w:rPr>
          <w:rFonts w:ascii="Arial" w:hAnsi="Arial" w:cs="Arial"/>
          <w:color w:val="000000" w:themeColor="text1"/>
          <w:sz w:val="22"/>
          <w:lang w:val="es-ES_tradnl"/>
        </w:rPr>
      </w:pPr>
    </w:p>
    <w:p w14:paraId="7B2C921D" w14:textId="0383AF9A" w:rsidR="00DD5B04" w:rsidRPr="00E23980" w:rsidRDefault="00DD5B04" w:rsidP="00DF76A2">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E2398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E2398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23980">
        <w:rPr>
          <w:rFonts w:ascii="Arial" w:hAnsi="Arial" w:cs="Arial"/>
          <w:color w:val="000000" w:themeColor="text1"/>
          <w:sz w:val="22"/>
          <w:szCs w:val="22"/>
          <w:lang w:val="es-ES_tradnl"/>
        </w:rPr>
        <w:t>Atentamente,</w:t>
      </w:r>
    </w:p>
    <w:p w14:paraId="692FC307" w14:textId="210AA6B5" w:rsidR="00921304" w:rsidRPr="00E23980"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7CD3E0D2" w:rsidR="00921304" w:rsidRPr="00E23980" w:rsidRDefault="005012E2"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18"/>
          <w:szCs w:val="20"/>
        </w:rPr>
        <w:drawing>
          <wp:inline distT="0" distB="0" distL="0" distR="0" wp14:anchorId="6764E36E" wp14:editId="2475D8A4">
            <wp:extent cx="2047297" cy="905774"/>
            <wp:effectExtent l="0" t="0" r="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5CBAE239" w14:textId="77777777" w:rsidR="00425C43" w:rsidRPr="00E23980" w:rsidRDefault="00425C43" w:rsidP="00B37657">
      <w:pPr>
        <w:jc w:val="center"/>
        <w:rPr>
          <w:rFonts w:ascii="Arial" w:hAnsi="Arial" w:cs="Arial"/>
          <w:color w:val="000000" w:themeColor="text1"/>
          <w:sz w:val="18"/>
          <w:szCs w:val="20"/>
          <w:lang w:val="es-ES_tradnl" w:eastAsia="es-CO"/>
        </w:rPr>
      </w:pPr>
    </w:p>
    <w:p w14:paraId="49730030" w14:textId="217D35F3" w:rsidR="00DD5B04" w:rsidRPr="00E23980"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E23980" w14:paraId="0C7DC5F7" w14:textId="77777777" w:rsidTr="00083F1B">
        <w:trPr>
          <w:trHeight w:val="315"/>
        </w:trPr>
        <w:tc>
          <w:tcPr>
            <w:tcW w:w="812" w:type="dxa"/>
            <w:vAlign w:val="center"/>
            <w:hideMark/>
          </w:tcPr>
          <w:p w14:paraId="5BDB1AC9" w14:textId="77777777" w:rsidR="00DD5B04" w:rsidRPr="00E23980" w:rsidRDefault="00DD5B04" w:rsidP="00DF76A2">
            <w:pPr>
              <w:jc w:val="both"/>
              <w:rPr>
                <w:rFonts w:ascii="Arial" w:hAnsi="Arial" w:cs="Arial"/>
                <w:color w:val="000000" w:themeColor="text1"/>
                <w:sz w:val="16"/>
                <w:szCs w:val="16"/>
                <w:lang w:val="es-ES_tradnl" w:eastAsia="es-ES"/>
              </w:rPr>
            </w:pPr>
            <w:r w:rsidRPr="00E2398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E23980" w:rsidRDefault="00DD5B04" w:rsidP="00DF76A2">
            <w:pPr>
              <w:jc w:val="both"/>
              <w:rPr>
                <w:rFonts w:ascii="Arial" w:hAnsi="Arial" w:cs="Arial"/>
                <w:color w:val="000000" w:themeColor="text1"/>
                <w:sz w:val="16"/>
                <w:szCs w:val="16"/>
                <w:lang w:val="es-ES_tradnl" w:eastAsia="es-ES"/>
              </w:rPr>
            </w:pPr>
            <w:r w:rsidRPr="00E23980">
              <w:rPr>
                <w:rFonts w:ascii="Arial" w:hAnsi="Arial" w:cs="Arial"/>
                <w:color w:val="000000" w:themeColor="text1"/>
                <w:sz w:val="16"/>
                <w:szCs w:val="16"/>
                <w:lang w:val="es-ES_tradnl" w:eastAsia="es-ES"/>
              </w:rPr>
              <w:t>Cristian Andrés Díaz Díez</w:t>
            </w:r>
          </w:p>
          <w:p w14:paraId="240C71FD" w14:textId="31312C95" w:rsidR="00DD5B04" w:rsidRPr="00E23980" w:rsidRDefault="00DD5B04" w:rsidP="00DF76A2">
            <w:pPr>
              <w:jc w:val="both"/>
              <w:rPr>
                <w:rFonts w:ascii="Arial" w:hAnsi="Arial" w:cs="Arial"/>
                <w:color w:val="000000" w:themeColor="text1"/>
                <w:sz w:val="16"/>
                <w:szCs w:val="16"/>
                <w:lang w:val="es-ES_tradnl" w:eastAsia="es-ES"/>
              </w:rPr>
            </w:pPr>
            <w:r w:rsidRPr="00E23980">
              <w:rPr>
                <w:rFonts w:ascii="Arial" w:hAnsi="Arial" w:cs="Arial"/>
                <w:color w:val="000000" w:themeColor="text1"/>
                <w:sz w:val="16"/>
                <w:szCs w:val="16"/>
                <w:lang w:val="es-ES_tradnl" w:eastAsia="es-ES"/>
              </w:rPr>
              <w:t>Contratista</w:t>
            </w:r>
            <w:r w:rsidR="00FF0050" w:rsidRPr="00E23980">
              <w:rPr>
                <w:rFonts w:ascii="Arial" w:hAnsi="Arial" w:cs="Arial"/>
                <w:color w:val="000000" w:themeColor="text1"/>
                <w:sz w:val="16"/>
                <w:szCs w:val="16"/>
                <w:lang w:val="es-ES_tradnl" w:eastAsia="es-ES"/>
              </w:rPr>
              <w:t xml:space="preserve"> de la </w:t>
            </w:r>
            <w:r w:rsidRPr="00E23980">
              <w:rPr>
                <w:rFonts w:ascii="Arial" w:hAnsi="Arial" w:cs="Arial"/>
                <w:color w:val="000000" w:themeColor="text1"/>
                <w:sz w:val="16"/>
                <w:szCs w:val="16"/>
                <w:lang w:val="es-ES_tradnl" w:eastAsia="es-ES"/>
              </w:rPr>
              <w:t>Subdirección de Gestión Contractual</w:t>
            </w:r>
          </w:p>
        </w:tc>
      </w:tr>
      <w:tr w:rsidR="00DD5B04" w:rsidRPr="00E23980" w14:paraId="2F8FD650" w14:textId="77777777" w:rsidTr="00083F1B">
        <w:trPr>
          <w:trHeight w:val="330"/>
        </w:trPr>
        <w:tc>
          <w:tcPr>
            <w:tcW w:w="812" w:type="dxa"/>
            <w:vAlign w:val="center"/>
            <w:hideMark/>
          </w:tcPr>
          <w:p w14:paraId="50203A0B" w14:textId="77777777" w:rsidR="00DD5B04" w:rsidRPr="00E23980" w:rsidRDefault="00DD5B04" w:rsidP="00DF76A2">
            <w:pPr>
              <w:jc w:val="both"/>
              <w:rPr>
                <w:rFonts w:ascii="Arial" w:hAnsi="Arial" w:cs="Arial"/>
                <w:color w:val="000000" w:themeColor="text1"/>
                <w:sz w:val="16"/>
                <w:szCs w:val="16"/>
                <w:lang w:val="es-ES_tradnl" w:eastAsia="es-ES"/>
              </w:rPr>
            </w:pPr>
            <w:r w:rsidRPr="00E2398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F77323" w14:textId="0CB2F562" w:rsidR="00C05A61" w:rsidRPr="00E23980" w:rsidRDefault="00C05A61" w:rsidP="00C05A61">
            <w:pPr>
              <w:jc w:val="both"/>
              <w:rPr>
                <w:rFonts w:ascii="Arial" w:hAnsi="Arial" w:cs="Arial"/>
                <w:color w:val="000000" w:themeColor="text1"/>
                <w:sz w:val="16"/>
                <w:szCs w:val="16"/>
                <w:lang w:val="es-ES_tradnl" w:eastAsia="es-ES"/>
              </w:rPr>
            </w:pPr>
            <w:r w:rsidRPr="00E23980">
              <w:rPr>
                <w:rFonts w:ascii="Arial" w:hAnsi="Arial" w:cs="Arial"/>
                <w:color w:val="000000" w:themeColor="text1"/>
                <w:sz w:val="16"/>
                <w:szCs w:val="16"/>
                <w:lang w:val="es-ES_tradnl" w:eastAsia="es-ES"/>
              </w:rPr>
              <w:t xml:space="preserve">Jorge </w:t>
            </w:r>
            <w:r w:rsidR="00647A36" w:rsidRPr="00E23980">
              <w:rPr>
                <w:rFonts w:ascii="Arial" w:hAnsi="Arial" w:cs="Arial"/>
                <w:color w:val="000000" w:themeColor="text1"/>
                <w:sz w:val="16"/>
                <w:szCs w:val="16"/>
                <w:lang w:val="es-ES_tradnl" w:eastAsia="es-ES"/>
              </w:rPr>
              <w:t xml:space="preserve">Augusto </w:t>
            </w:r>
            <w:r w:rsidRPr="00E23980">
              <w:rPr>
                <w:rFonts w:ascii="Arial" w:hAnsi="Arial" w:cs="Arial"/>
                <w:color w:val="000000" w:themeColor="text1"/>
                <w:sz w:val="16"/>
                <w:szCs w:val="16"/>
                <w:lang w:val="es-ES_tradnl" w:eastAsia="es-ES"/>
              </w:rPr>
              <w:t>Tirado Navarro</w:t>
            </w:r>
          </w:p>
          <w:p w14:paraId="130B3228" w14:textId="7D08C1BB" w:rsidR="00DD5B04" w:rsidRPr="00E23980" w:rsidRDefault="00C05A61" w:rsidP="00C05A61">
            <w:pPr>
              <w:jc w:val="both"/>
              <w:rPr>
                <w:rFonts w:ascii="Arial" w:hAnsi="Arial" w:cs="Arial"/>
                <w:color w:val="000000" w:themeColor="text1"/>
                <w:sz w:val="16"/>
                <w:szCs w:val="16"/>
                <w:lang w:val="es-ES_tradnl" w:eastAsia="es-ES"/>
              </w:rPr>
            </w:pPr>
            <w:r w:rsidRPr="00E23980">
              <w:rPr>
                <w:rFonts w:ascii="Arial" w:hAnsi="Arial" w:cs="Arial"/>
                <w:color w:val="000000" w:themeColor="text1"/>
                <w:sz w:val="16"/>
                <w:szCs w:val="16"/>
                <w:lang w:val="es-ES_tradnl" w:eastAsia="es-ES"/>
              </w:rPr>
              <w:t>Subdirector de Gestión Contractual</w:t>
            </w:r>
          </w:p>
        </w:tc>
      </w:tr>
      <w:tr w:rsidR="00DD5B04" w:rsidRPr="00E23980" w14:paraId="0FCBCA4A" w14:textId="77777777" w:rsidTr="00083F1B">
        <w:trPr>
          <w:trHeight w:val="300"/>
        </w:trPr>
        <w:tc>
          <w:tcPr>
            <w:tcW w:w="812" w:type="dxa"/>
            <w:vAlign w:val="center"/>
            <w:hideMark/>
          </w:tcPr>
          <w:p w14:paraId="3C1D943A" w14:textId="77777777" w:rsidR="00DD5B04" w:rsidRPr="00E23980" w:rsidRDefault="00DD5B04" w:rsidP="00DF76A2">
            <w:pPr>
              <w:jc w:val="both"/>
              <w:rPr>
                <w:rFonts w:ascii="Arial" w:hAnsi="Arial" w:cs="Arial"/>
                <w:color w:val="000000" w:themeColor="text1"/>
                <w:sz w:val="16"/>
                <w:szCs w:val="16"/>
                <w:lang w:val="es-ES_tradnl" w:eastAsia="es-ES"/>
              </w:rPr>
            </w:pPr>
            <w:r w:rsidRPr="00E2398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E23980" w:rsidRDefault="00C05A61" w:rsidP="00DF76A2">
            <w:pPr>
              <w:jc w:val="both"/>
              <w:rPr>
                <w:rFonts w:ascii="Arial" w:hAnsi="Arial" w:cs="Arial"/>
                <w:color w:val="000000" w:themeColor="text1"/>
                <w:sz w:val="16"/>
                <w:szCs w:val="16"/>
                <w:lang w:val="es-ES_tradnl" w:eastAsia="es-ES"/>
              </w:rPr>
            </w:pPr>
            <w:r w:rsidRPr="00E23980">
              <w:rPr>
                <w:rFonts w:ascii="Arial" w:hAnsi="Arial" w:cs="Arial"/>
                <w:color w:val="000000" w:themeColor="text1"/>
                <w:sz w:val="16"/>
                <w:szCs w:val="16"/>
                <w:lang w:val="es-ES_tradnl" w:eastAsia="es-ES"/>
              </w:rPr>
              <w:t xml:space="preserve">Jorge </w:t>
            </w:r>
            <w:r w:rsidR="00647A36" w:rsidRPr="00E23980">
              <w:rPr>
                <w:rFonts w:ascii="Arial" w:hAnsi="Arial" w:cs="Arial"/>
                <w:color w:val="000000" w:themeColor="text1"/>
                <w:sz w:val="16"/>
                <w:szCs w:val="16"/>
                <w:lang w:val="es-ES_tradnl" w:eastAsia="es-ES"/>
              </w:rPr>
              <w:t xml:space="preserve">Augusto </w:t>
            </w:r>
            <w:r w:rsidRPr="00E23980">
              <w:rPr>
                <w:rFonts w:ascii="Arial" w:hAnsi="Arial" w:cs="Arial"/>
                <w:color w:val="000000" w:themeColor="text1"/>
                <w:sz w:val="16"/>
                <w:szCs w:val="16"/>
                <w:lang w:val="es-ES_tradnl" w:eastAsia="es-ES"/>
              </w:rPr>
              <w:t>Tirado Navarro</w:t>
            </w:r>
          </w:p>
          <w:p w14:paraId="1ADC483B" w14:textId="77CBA2AF" w:rsidR="00DD5B04" w:rsidRPr="00E23980" w:rsidRDefault="00DD5B04" w:rsidP="00DF76A2">
            <w:pPr>
              <w:jc w:val="both"/>
              <w:rPr>
                <w:rFonts w:ascii="Arial" w:hAnsi="Arial" w:cs="Arial"/>
                <w:color w:val="000000" w:themeColor="text1"/>
                <w:sz w:val="16"/>
                <w:szCs w:val="16"/>
                <w:lang w:val="es-ES_tradnl" w:eastAsia="es-ES"/>
              </w:rPr>
            </w:pPr>
            <w:r w:rsidRPr="00E23980">
              <w:rPr>
                <w:rFonts w:ascii="Arial" w:hAnsi="Arial" w:cs="Arial"/>
                <w:color w:val="000000" w:themeColor="text1"/>
                <w:sz w:val="16"/>
                <w:szCs w:val="16"/>
                <w:lang w:val="es-ES_tradnl" w:eastAsia="es-ES"/>
              </w:rPr>
              <w:t>Subdirector de Gestión Contractual</w:t>
            </w:r>
          </w:p>
        </w:tc>
      </w:tr>
    </w:tbl>
    <w:p w14:paraId="35B56F46" w14:textId="77777777" w:rsidR="00746E08" w:rsidRPr="00E23980" w:rsidRDefault="00746E08" w:rsidP="00215B8E">
      <w:pPr>
        <w:jc w:val="both"/>
        <w:rPr>
          <w:rFonts w:ascii="Arial" w:hAnsi="Arial" w:cs="Arial"/>
          <w:lang w:val="es-ES_tradnl"/>
        </w:rPr>
      </w:pPr>
    </w:p>
    <w:sectPr w:rsidR="00746E08" w:rsidRPr="00E23980"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73BCA9" w14:textId="77777777" w:rsidR="002D6D7E" w:rsidRDefault="002D6D7E">
      <w:r>
        <w:separator/>
      </w:r>
    </w:p>
  </w:endnote>
  <w:endnote w:type="continuationSeparator" w:id="0">
    <w:p w14:paraId="3D81302E" w14:textId="77777777" w:rsidR="002D6D7E" w:rsidRDefault="002D6D7E">
      <w:r>
        <w:continuationSeparator/>
      </w:r>
    </w:p>
  </w:endnote>
  <w:endnote w:type="continuationNotice" w:id="1">
    <w:p w14:paraId="5C15953C" w14:textId="77777777" w:rsidR="002D6D7E" w:rsidRDefault="002D6D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07CFA5" w14:textId="77777777" w:rsidR="002D6D7E" w:rsidRDefault="002D6D7E">
      <w:r>
        <w:separator/>
      </w:r>
    </w:p>
  </w:footnote>
  <w:footnote w:type="continuationSeparator" w:id="0">
    <w:p w14:paraId="4C1C4966" w14:textId="77777777" w:rsidR="002D6D7E" w:rsidRDefault="002D6D7E">
      <w:r>
        <w:continuationSeparator/>
      </w:r>
    </w:p>
  </w:footnote>
  <w:footnote w:type="continuationNotice" w:id="1">
    <w:p w14:paraId="3D8AC27C" w14:textId="77777777" w:rsidR="002D6D7E" w:rsidRDefault="002D6D7E"/>
  </w:footnote>
  <w:footnote w:id="2">
    <w:p w14:paraId="65E52BAA" w14:textId="287E9544" w:rsidR="00F83CAE" w:rsidRPr="00AB3BAD" w:rsidRDefault="00F83CAE" w:rsidP="00AB3BAD">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Dicho artículo establece: «Créese el Registro Nacional de Obras Civiles Inconclusas, bajo la dirección y coordinación de la Dirección de Información, Análisis y Reacción Inmediata de la Contraloría General de la República, el cual contendrá el inventario actualizado de obras civiles inconclusas y estará compuesto por la información reportada por las entidades estatales del orden nacional, departamental, municipal, distrital y demás órdenes institucionales, sobre las obras civiles inconclusas de su jurisdicción, o la información obtenida por la Contraloría General de la República sobre el particular.</w:t>
      </w:r>
    </w:p>
    <w:p w14:paraId="73E3B1A4" w14:textId="23D399E6" w:rsidR="00F83CAE" w:rsidRPr="00AB3BAD" w:rsidRDefault="00F21EF4" w:rsidP="00AB3BAD">
      <w:pPr>
        <w:pStyle w:val="Textonotapie"/>
        <w:ind w:firstLine="709"/>
        <w:jc w:val="both"/>
        <w:rPr>
          <w:rFonts w:ascii="Arial" w:hAnsi="Arial" w:cs="Arial"/>
          <w:sz w:val="19"/>
          <w:szCs w:val="19"/>
          <w:lang w:val="es-ES"/>
        </w:rPr>
      </w:pPr>
      <w:proofErr w:type="gramStart"/>
      <w:r w:rsidRPr="00AB3BAD">
        <w:rPr>
          <w:rFonts w:ascii="Arial" w:hAnsi="Arial" w:cs="Arial"/>
          <w:sz w:val="19"/>
          <w:szCs w:val="19"/>
          <w:lang w:val="es-ES"/>
        </w:rPr>
        <w:t>»</w:t>
      </w:r>
      <w:r w:rsidR="00F83CAE" w:rsidRPr="00AB3BAD">
        <w:rPr>
          <w:rFonts w:ascii="Arial" w:hAnsi="Arial" w:cs="Arial"/>
          <w:sz w:val="19"/>
          <w:szCs w:val="19"/>
          <w:lang w:val="es-ES"/>
        </w:rPr>
        <w:t>La</w:t>
      </w:r>
      <w:proofErr w:type="gramEnd"/>
      <w:r w:rsidR="00F83CAE" w:rsidRPr="00AB3BAD">
        <w:rPr>
          <w:rFonts w:ascii="Arial" w:hAnsi="Arial" w:cs="Arial"/>
          <w:sz w:val="19"/>
          <w:szCs w:val="19"/>
          <w:lang w:val="es-ES"/>
        </w:rPr>
        <w:t xml:space="preserve"> Contraloría General de la República y las entidades estatales deberán realizar el seguimiento y actualización del Registro Nacional de Obras Civiles Inconclusas con el fin de establecer la realidad respecto de la condición técnica, física y financiera de aquellas.</w:t>
      </w:r>
    </w:p>
    <w:p w14:paraId="30EB37DB" w14:textId="33F1434C" w:rsidR="00F83CAE" w:rsidRPr="00AB3BAD" w:rsidRDefault="00F21EF4" w:rsidP="00AB3BAD">
      <w:pPr>
        <w:pStyle w:val="Textonotapie"/>
        <w:ind w:firstLine="709"/>
        <w:jc w:val="both"/>
        <w:rPr>
          <w:rFonts w:ascii="Arial" w:hAnsi="Arial" w:cs="Arial"/>
          <w:sz w:val="19"/>
          <w:szCs w:val="19"/>
          <w:lang w:val="es-ES"/>
        </w:rPr>
      </w:pPr>
      <w:proofErr w:type="gramStart"/>
      <w:r w:rsidRPr="00AB3BAD">
        <w:rPr>
          <w:rFonts w:ascii="Arial" w:hAnsi="Arial" w:cs="Arial"/>
          <w:sz w:val="19"/>
          <w:szCs w:val="19"/>
          <w:lang w:val="es-ES"/>
        </w:rPr>
        <w:t>»</w:t>
      </w:r>
      <w:r w:rsidR="00F83CAE" w:rsidRPr="00AB3BAD">
        <w:rPr>
          <w:rFonts w:ascii="Arial" w:hAnsi="Arial" w:cs="Arial"/>
          <w:sz w:val="19"/>
          <w:szCs w:val="19"/>
          <w:lang w:val="es-ES"/>
        </w:rPr>
        <w:t>PARÁGRAFO</w:t>
      </w:r>
      <w:proofErr w:type="gramEnd"/>
      <w:r w:rsidR="00F83CAE" w:rsidRPr="00AB3BAD">
        <w:rPr>
          <w:rFonts w:ascii="Arial" w:hAnsi="Arial" w:cs="Arial"/>
          <w:sz w:val="19"/>
          <w:szCs w:val="19"/>
          <w:lang w:val="es-ES"/>
        </w:rPr>
        <w:t xml:space="preserve"> 1o. En desarrollo del principio de colaboración armónica, la Agencia Nacional de Contratación Pública - Colombia Compra Eficiente, en el marco de sus competencias, como entidad rectora de la política pública de eficiencia, transparencia y optimización de los recursos del Estado en los procesos de contratación, deberá apoyar a la Dirección de Información, Análisis y Reacción Inmediata de la Contraloría General de la República, en la elaboración y actualización del Registro Nacional de Obras Civiles Inconclusas, aportando la información de los contratos de obra pública que se encuentren registrados en el Sistema de Contratación Pública.</w:t>
      </w:r>
    </w:p>
    <w:p w14:paraId="5795BFCF" w14:textId="2FE188A8" w:rsidR="00F83CAE" w:rsidRPr="00AB3BAD" w:rsidRDefault="00F21EF4" w:rsidP="00AB3BAD">
      <w:pPr>
        <w:pStyle w:val="Textonotapie"/>
        <w:ind w:firstLine="709"/>
        <w:jc w:val="both"/>
        <w:rPr>
          <w:rFonts w:ascii="Arial" w:hAnsi="Arial" w:cs="Arial"/>
          <w:sz w:val="19"/>
          <w:szCs w:val="19"/>
          <w:lang w:val="es-ES"/>
        </w:rPr>
      </w:pPr>
      <w:proofErr w:type="gramStart"/>
      <w:r w:rsidRPr="00AB3BAD">
        <w:rPr>
          <w:rFonts w:ascii="Arial" w:hAnsi="Arial" w:cs="Arial"/>
          <w:sz w:val="19"/>
          <w:szCs w:val="19"/>
          <w:lang w:val="es-ES"/>
        </w:rPr>
        <w:t>»</w:t>
      </w:r>
      <w:r w:rsidR="00F83CAE" w:rsidRPr="00AB3BAD">
        <w:rPr>
          <w:rFonts w:ascii="Arial" w:hAnsi="Arial" w:cs="Arial"/>
          <w:sz w:val="19"/>
          <w:szCs w:val="19"/>
          <w:lang w:val="es-ES"/>
        </w:rPr>
        <w:t>La</w:t>
      </w:r>
      <w:proofErr w:type="gramEnd"/>
      <w:r w:rsidR="00F83CAE" w:rsidRPr="00AB3BAD">
        <w:rPr>
          <w:rFonts w:ascii="Arial" w:hAnsi="Arial" w:cs="Arial"/>
          <w:sz w:val="19"/>
          <w:szCs w:val="19"/>
          <w:lang w:val="es-ES"/>
        </w:rPr>
        <w:t xml:space="preserve"> Contraloría General de la República podrá articular, con las entidades que estime pertinentes, la participación en el marco de sus competencias en la elaboración y actualización del Registro, para lo cual tendrá acceso irrestricto a la información directamente relacionada con el objeto del registro.</w:t>
      </w:r>
    </w:p>
    <w:p w14:paraId="53F88569" w14:textId="7A445F82" w:rsidR="00F83CAE" w:rsidRPr="00AB3BAD" w:rsidRDefault="00F21EF4" w:rsidP="00AB3BAD">
      <w:pPr>
        <w:pStyle w:val="Textonotapie"/>
        <w:ind w:firstLine="709"/>
        <w:jc w:val="both"/>
        <w:rPr>
          <w:rFonts w:ascii="Arial" w:hAnsi="Arial" w:cs="Arial"/>
          <w:sz w:val="19"/>
          <w:szCs w:val="19"/>
          <w:lang w:val="es-ES"/>
        </w:rPr>
      </w:pPr>
      <w:proofErr w:type="gramStart"/>
      <w:r w:rsidRPr="00AB3BAD">
        <w:rPr>
          <w:rFonts w:ascii="Arial" w:hAnsi="Arial" w:cs="Arial"/>
          <w:sz w:val="19"/>
          <w:szCs w:val="19"/>
          <w:lang w:val="es-ES"/>
        </w:rPr>
        <w:t>»</w:t>
      </w:r>
      <w:r w:rsidR="00F83CAE" w:rsidRPr="00AB3BAD">
        <w:rPr>
          <w:rFonts w:ascii="Arial" w:hAnsi="Arial" w:cs="Arial"/>
          <w:sz w:val="19"/>
          <w:szCs w:val="19"/>
          <w:lang w:val="es-ES"/>
        </w:rPr>
        <w:t>PARÁGRAFO</w:t>
      </w:r>
      <w:proofErr w:type="gramEnd"/>
      <w:r w:rsidR="00F83CAE" w:rsidRPr="00AB3BAD">
        <w:rPr>
          <w:rFonts w:ascii="Arial" w:hAnsi="Arial" w:cs="Arial"/>
          <w:sz w:val="19"/>
          <w:szCs w:val="19"/>
          <w:lang w:val="es-ES"/>
        </w:rPr>
        <w:t xml:space="preserve"> 2o. Las entidades estatales del orden nacional, departamental, municipal, distrital y demás órdenes institucionales contarán con un término perentorio de tres meses, contado a partir de la </w:t>
      </w:r>
      <w:proofErr w:type="gramStart"/>
      <w:r w:rsidR="00F83CAE" w:rsidRPr="00AB3BAD">
        <w:rPr>
          <w:rFonts w:ascii="Arial" w:hAnsi="Arial" w:cs="Arial"/>
          <w:sz w:val="19"/>
          <w:szCs w:val="19"/>
          <w:lang w:val="es-ES"/>
        </w:rPr>
        <w:t>entrada en vigencia</w:t>
      </w:r>
      <w:proofErr w:type="gramEnd"/>
      <w:r w:rsidR="00F83CAE" w:rsidRPr="00AB3BAD">
        <w:rPr>
          <w:rFonts w:ascii="Arial" w:hAnsi="Arial" w:cs="Arial"/>
          <w:sz w:val="19"/>
          <w:szCs w:val="19"/>
          <w:lang w:val="es-ES"/>
        </w:rPr>
        <w:t xml:space="preserve"> de la presente ley, para realizar el reporte inicial al Registro Nacional de Obras Civiles Inconclusas de su jurisdicción. Dicho término será prorrogable hasta por 3 meses adicionales, previa aprobación de la Contraloría General de la República.</w:t>
      </w:r>
    </w:p>
    <w:p w14:paraId="58F82134" w14:textId="2C10ED32" w:rsidR="00F83CAE" w:rsidRPr="00AB3BAD" w:rsidRDefault="00F21EF4" w:rsidP="00AB3BAD">
      <w:pPr>
        <w:pStyle w:val="Textonotapie"/>
        <w:ind w:firstLine="709"/>
        <w:jc w:val="both"/>
        <w:rPr>
          <w:rFonts w:ascii="Arial" w:hAnsi="Arial" w:cs="Arial"/>
          <w:sz w:val="19"/>
          <w:szCs w:val="19"/>
          <w:lang w:val="es-ES"/>
        </w:rPr>
      </w:pPr>
      <w:proofErr w:type="gramStart"/>
      <w:r w:rsidRPr="00AB3BAD">
        <w:rPr>
          <w:rFonts w:ascii="Arial" w:hAnsi="Arial" w:cs="Arial"/>
          <w:sz w:val="19"/>
          <w:szCs w:val="19"/>
          <w:lang w:val="es-ES"/>
        </w:rPr>
        <w:t>»</w:t>
      </w:r>
      <w:r w:rsidR="00F83CAE" w:rsidRPr="00AB3BAD">
        <w:rPr>
          <w:rFonts w:ascii="Arial" w:hAnsi="Arial" w:cs="Arial"/>
          <w:sz w:val="19"/>
          <w:szCs w:val="19"/>
          <w:lang w:val="es-ES"/>
        </w:rPr>
        <w:t>PARÁGRAFO</w:t>
      </w:r>
      <w:proofErr w:type="gramEnd"/>
      <w:r w:rsidR="00F83CAE" w:rsidRPr="00AB3BAD">
        <w:rPr>
          <w:rFonts w:ascii="Arial" w:hAnsi="Arial" w:cs="Arial"/>
          <w:sz w:val="19"/>
          <w:szCs w:val="19"/>
          <w:lang w:val="es-ES"/>
        </w:rPr>
        <w:t xml:space="preserve"> 3o. Las entidades estatales deberán garantizar la actualización permanente del Registro Nacional de Obras Civiles Inconclusas, en los términos y condiciones que al respecto establezca la Contraloría General de la República, a través de la Dirección de Información, Análisis y Reacción Inmediata.</w:t>
      </w:r>
    </w:p>
    <w:p w14:paraId="6580F8BF" w14:textId="61D54442" w:rsidR="00F83CAE" w:rsidRPr="00AB3BAD" w:rsidRDefault="00F21EF4" w:rsidP="00AB3BAD">
      <w:pPr>
        <w:pStyle w:val="Textonotapie"/>
        <w:ind w:firstLine="709"/>
        <w:jc w:val="both"/>
        <w:rPr>
          <w:rFonts w:ascii="Arial" w:hAnsi="Arial" w:cs="Arial"/>
          <w:sz w:val="19"/>
          <w:szCs w:val="19"/>
          <w:lang w:val="es-CO"/>
        </w:rPr>
      </w:pPr>
      <w:proofErr w:type="gramStart"/>
      <w:r w:rsidRPr="00AB3BAD">
        <w:rPr>
          <w:rFonts w:ascii="Arial" w:hAnsi="Arial" w:cs="Arial"/>
          <w:sz w:val="19"/>
          <w:szCs w:val="19"/>
          <w:lang w:val="es-ES"/>
        </w:rPr>
        <w:t>»</w:t>
      </w:r>
      <w:r w:rsidR="00F83CAE" w:rsidRPr="00AB3BAD">
        <w:rPr>
          <w:rFonts w:ascii="Arial" w:hAnsi="Arial" w:cs="Arial"/>
          <w:sz w:val="19"/>
          <w:szCs w:val="19"/>
          <w:lang w:val="es-ES"/>
        </w:rPr>
        <w:t>Así</w:t>
      </w:r>
      <w:proofErr w:type="gramEnd"/>
      <w:r w:rsidR="00F83CAE" w:rsidRPr="00AB3BAD">
        <w:rPr>
          <w:rFonts w:ascii="Arial" w:hAnsi="Arial" w:cs="Arial"/>
          <w:sz w:val="19"/>
          <w:szCs w:val="19"/>
          <w:lang w:val="es-ES"/>
        </w:rPr>
        <w:t xml:space="preserve"> mismo, las entidades estatales deben garantizar el acceso y suministro de la información en tiempo real, sobre la ejecución de los proyectos o contratos de obras civiles. Para tales efectos, podrán exigir las condiciones necesarias a sus futuros contratistas</w:t>
      </w:r>
      <w:r w:rsidRPr="00AB3BAD">
        <w:rPr>
          <w:rFonts w:ascii="Arial" w:hAnsi="Arial" w:cs="Arial"/>
          <w:sz w:val="19"/>
          <w:szCs w:val="19"/>
          <w:lang w:val="es-ES"/>
        </w:rPr>
        <w:t>»</w:t>
      </w:r>
      <w:r w:rsidR="00F83CAE" w:rsidRPr="00AB3BAD">
        <w:rPr>
          <w:rFonts w:ascii="Arial" w:hAnsi="Arial" w:cs="Arial"/>
          <w:sz w:val="19"/>
          <w:szCs w:val="19"/>
          <w:lang w:val="es-ES"/>
        </w:rPr>
        <w:t>.</w:t>
      </w:r>
    </w:p>
  </w:footnote>
  <w:footnote w:id="3">
    <w:p w14:paraId="075A540B" w14:textId="77777777" w:rsidR="00C657F4" w:rsidRPr="00AB3BAD" w:rsidRDefault="00C657F4" w:rsidP="00AB3BAD">
      <w:pPr>
        <w:pStyle w:val="Textonotapie"/>
        <w:ind w:firstLine="709"/>
        <w:jc w:val="both"/>
        <w:rPr>
          <w:rFonts w:ascii="Arial" w:hAnsi="Arial" w:cs="Arial"/>
          <w:sz w:val="19"/>
          <w:szCs w:val="19"/>
        </w:rPr>
      </w:pPr>
    </w:p>
    <w:p w14:paraId="00FC3BCC" w14:textId="15383F9D" w:rsidR="00AD7619" w:rsidRPr="00AB3BAD" w:rsidRDefault="00AD7619" w:rsidP="00AB3BAD">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Sobre la competencia de la Contraloría General de la República</w:t>
      </w:r>
      <w:r w:rsidR="00D2522A" w:rsidRPr="00AB3BAD">
        <w:rPr>
          <w:rFonts w:ascii="Arial" w:hAnsi="Arial" w:cs="Arial"/>
          <w:sz w:val="19"/>
          <w:szCs w:val="19"/>
          <w:lang w:val="es-ES"/>
        </w:rPr>
        <w:t xml:space="preserve"> respecto de la administración del Registro Nacional de Obras Civiles Inconclusas</w:t>
      </w:r>
      <w:r w:rsidRPr="00AB3BAD">
        <w:rPr>
          <w:rFonts w:ascii="Arial" w:hAnsi="Arial" w:cs="Arial"/>
          <w:sz w:val="19"/>
          <w:szCs w:val="19"/>
          <w:lang w:val="es-ES"/>
        </w:rPr>
        <w:t>, puede consultarse la circular</w:t>
      </w:r>
      <w:r w:rsidR="00C657F4" w:rsidRPr="00AB3BAD">
        <w:rPr>
          <w:rFonts w:ascii="Arial" w:hAnsi="Arial" w:cs="Arial"/>
          <w:sz w:val="19"/>
          <w:szCs w:val="19"/>
          <w:lang w:val="es-ES"/>
        </w:rPr>
        <w:t xml:space="preserve"> con radicado No. 2020EE0096013 del 28 de agosto de 2020</w:t>
      </w:r>
      <w:r w:rsidRPr="00AB3BAD">
        <w:rPr>
          <w:rFonts w:ascii="Arial" w:hAnsi="Arial" w:cs="Arial"/>
          <w:sz w:val="19"/>
          <w:szCs w:val="19"/>
          <w:lang w:val="es-ES"/>
        </w:rPr>
        <w:t>, en el siguiente enlace: https://www.contraloria.gov.co/documents/20181/1776254/CIRCULAR_2020EE0096013_REGISTRO_NACIONAL_OBRAS_INCONCLUSAS.PDF/785952d4-4b41-48cb-916b-4881c3b4a095</w:t>
      </w:r>
    </w:p>
  </w:footnote>
  <w:footnote w:id="4">
    <w:p w14:paraId="5AC374E3" w14:textId="77777777" w:rsidR="00AB3BAD" w:rsidRDefault="00AB3BAD" w:rsidP="00AB3BAD">
      <w:pPr>
        <w:pStyle w:val="Textonotapie"/>
        <w:ind w:firstLine="709"/>
        <w:jc w:val="both"/>
        <w:rPr>
          <w:rFonts w:ascii="Arial" w:hAnsi="Arial" w:cs="Arial"/>
          <w:sz w:val="19"/>
          <w:szCs w:val="19"/>
        </w:rPr>
      </w:pPr>
    </w:p>
    <w:p w14:paraId="1E3B5F7D" w14:textId="3A0B337F" w:rsidR="0087646C" w:rsidRPr="00AB3BAD" w:rsidRDefault="0087646C" w:rsidP="00AB3BAD">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 xml:space="preserve">Exposición de motivos del </w:t>
      </w:r>
      <w:r w:rsidR="006A6BF9" w:rsidRPr="00AB3BAD">
        <w:rPr>
          <w:rFonts w:ascii="Arial" w:hAnsi="Arial" w:cs="Arial"/>
          <w:sz w:val="19"/>
          <w:szCs w:val="19"/>
          <w:lang w:val="es-ES"/>
        </w:rPr>
        <w:t>P</w:t>
      </w:r>
      <w:r w:rsidRPr="00AB3BAD">
        <w:rPr>
          <w:rFonts w:ascii="Arial" w:hAnsi="Arial" w:cs="Arial"/>
          <w:sz w:val="19"/>
          <w:szCs w:val="19"/>
          <w:lang w:val="es-ES"/>
        </w:rPr>
        <w:t xml:space="preserve">royecto de </w:t>
      </w:r>
      <w:r w:rsidR="006A6BF9" w:rsidRPr="00AB3BAD">
        <w:rPr>
          <w:rFonts w:ascii="Arial" w:hAnsi="Arial" w:cs="Arial"/>
          <w:sz w:val="19"/>
          <w:szCs w:val="19"/>
          <w:lang w:val="es-ES"/>
        </w:rPr>
        <w:t>L</w:t>
      </w:r>
      <w:r w:rsidRPr="00AB3BAD">
        <w:rPr>
          <w:rFonts w:ascii="Arial" w:hAnsi="Arial" w:cs="Arial"/>
          <w:sz w:val="19"/>
          <w:szCs w:val="19"/>
          <w:lang w:val="es-ES"/>
        </w:rPr>
        <w:t>ey</w:t>
      </w:r>
      <w:r w:rsidR="006A6BF9" w:rsidRPr="00AB3BAD">
        <w:rPr>
          <w:rFonts w:ascii="Arial" w:hAnsi="Arial" w:cs="Arial"/>
          <w:sz w:val="19"/>
          <w:szCs w:val="19"/>
          <w:lang w:val="es-ES"/>
        </w:rPr>
        <w:t xml:space="preserve"> No. 02</w:t>
      </w:r>
      <w:r w:rsidR="009876F2" w:rsidRPr="00AB3BAD">
        <w:rPr>
          <w:rFonts w:ascii="Arial" w:hAnsi="Arial" w:cs="Arial"/>
          <w:sz w:val="19"/>
          <w:szCs w:val="19"/>
          <w:lang w:val="es-ES"/>
        </w:rPr>
        <w:t>5</w:t>
      </w:r>
      <w:r w:rsidR="006A6BF9" w:rsidRPr="00AB3BAD">
        <w:rPr>
          <w:rFonts w:ascii="Arial" w:hAnsi="Arial" w:cs="Arial"/>
          <w:sz w:val="19"/>
          <w:szCs w:val="19"/>
          <w:lang w:val="es-ES"/>
        </w:rPr>
        <w:t xml:space="preserve"> de 2018 Cámara. Disponible en: http://leyes.senado.gov.co/proyectos/images/documentos/Textos%20Radicados/Ponencias/2018/gaceta_563.pdf</w:t>
      </w:r>
    </w:p>
  </w:footnote>
  <w:footnote w:id="5">
    <w:p w14:paraId="7AA16C82" w14:textId="50410750" w:rsidR="008E7214" w:rsidRDefault="008E7214" w:rsidP="00AB3BAD">
      <w:pPr>
        <w:pStyle w:val="Textonotapie"/>
        <w:ind w:firstLine="709"/>
        <w:jc w:val="both"/>
        <w:rPr>
          <w:rFonts w:ascii="Arial" w:hAnsi="Arial" w:cs="Arial"/>
          <w:color w:val="000000" w:themeColor="text1"/>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color w:val="000000" w:themeColor="text1"/>
          <w:sz w:val="19"/>
          <w:szCs w:val="19"/>
          <w:lang w:eastAsia="es-CO"/>
        </w:rPr>
        <w:t>Ley 1437 de 2011:</w:t>
      </w:r>
      <w:r w:rsidRPr="00AB3BAD">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AB3BAD">
        <w:rPr>
          <w:rFonts w:ascii="Arial" w:hAnsi="Arial" w:cs="Arial"/>
          <w:color w:val="000000" w:themeColor="text1"/>
          <w:sz w:val="19"/>
          <w:szCs w:val="19"/>
          <w:lang w:eastAsia="es-CO"/>
        </w:rPr>
        <w:t>»</w:t>
      </w:r>
      <w:r w:rsidRPr="00AB3BAD">
        <w:rPr>
          <w:rFonts w:ascii="Arial" w:hAnsi="Arial" w:cs="Arial"/>
          <w:color w:val="000000" w:themeColor="text1"/>
          <w:sz w:val="19"/>
          <w:szCs w:val="19"/>
        </w:rPr>
        <w:t>.</w:t>
      </w:r>
    </w:p>
    <w:p w14:paraId="69C272D5" w14:textId="77777777" w:rsidR="000C6C31" w:rsidRPr="00AB3BAD" w:rsidRDefault="000C6C31" w:rsidP="00AB3BAD">
      <w:pPr>
        <w:pStyle w:val="Textonotapie"/>
        <w:ind w:firstLine="709"/>
        <w:jc w:val="both"/>
        <w:rPr>
          <w:rFonts w:ascii="Arial" w:hAnsi="Arial" w:cs="Arial"/>
          <w:sz w:val="19"/>
          <w:szCs w:val="19"/>
          <w:lang w:val="es-ES"/>
        </w:rPr>
      </w:pPr>
    </w:p>
  </w:footnote>
  <w:footnote w:id="6">
    <w:p w14:paraId="514480F7" w14:textId="77777777" w:rsidR="004403DD" w:rsidRPr="00AB3BAD" w:rsidRDefault="004403DD" w:rsidP="00AB3BAD">
      <w:pPr>
        <w:pStyle w:val="Textonotapie"/>
        <w:ind w:firstLine="709"/>
        <w:jc w:val="both"/>
        <w:rPr>
          <w:rFonts w:ascii="Arial" w:hAnsi="Arial" w:cs="Arial"/>
          <w:color w:val="000000" w:themeColor="text1"/>
          <w:sz w:val="19"/>
          <w:szCs w:val="19"/>
          <w:lang w:val="es-ES"/>
        </w:rPr>
      </w:pPr>
      <w:r w:rsidRPr="00AB3BAD">
        <w:rPr>
          <w:rStyle w:val="Refdenotaalpie"/>
          <w:rFonts w:ascii="Arial" w:hAnsi="Arial" w:cs="Arial"/>
          <w:color w:val="000000" w:themeColor="text1"/>
          <w:sz w:val="19"/>
          <w:szCs w:val="19"/>
        </w:rPr>
        <w:footnoteRef/>
      </w:r>
      <w:r w:rsidRPr="00AB3BAD">
        <w:rPr>
          <w:rFonts w:ascii="Arial" w:hAnsi="Arial" w:cs="Arial"/>
          <w:color w:val="000000" w:themeColor="text1"/>
          <w:sz w:val="19"/>
          <w:szCs w:val="19"/>
        </w:rPr>
        <w:t xml:space="preserve"> </w:t>
      </w:r>
      <w:r w:rsidRPr="00AB3BAD">
        <w:rPr>
          <w:rFonts w:ascii="Arial" w:hAnsi="Arial" w:cs="Arial"/>
          <w:color w:val="000000" w:themeColor="text1"/>
          <w:sz w:val="19"/>
          <w:szCs w:val="19"/>
          <w:lang w:val="es-ES"/>
        </w:rPr>
        <w:t xml:space="preserve">Principio que se compone a su vez de «tres subprincipios, etapas o mandatos parciales: el </w:t>
      </w:r>
      <w:r w:rsidRPr="00AB3BAD">
        <w:rPr>
          <w:rFonts w:ascii="Arial" w:hAnsi="Arial" w:cs="Arial"/>
          <w:i/>
          <w:iCs/>
          <w:color w:val="000000" w:themeColor="text1"/>
          <w:sz w:val="19"/>
          <w:szCs w:val="19"/>
          <w:lang w:val="es-ES"/>
        </w:rPr>
        <w:t>subprincipio o mandato de adecuación, de idoneidad o de congruencia</w:t>
      </w:r>
      <w:r w:rsidRPr="00AB3BAD">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AB3BAD">
        <w:rPr>
          <w:rFonts w:ascii="Arial" w:hAnsi="Arial" w:cs="Arial"/>
          <w:i/>
          <w:iCs/>
          <w:color w:val="000000" w:themeColor="text1"/>
          <w:sz w:val="19"/>
          <w:szCs w:val="19"/>
          <w:lang w:val="es-ES"/>
        </w:rPr>
        <w:t>subprincipio o mandato de necesidad, intervención mínima o menor lesividad</w:t>
      </w:r>
      <w:r w:rsidRPr="00AB3BAD">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AB3BAD">
        <w:rPr>
          <w:rFonts w:ascii="Arial" w:hAnsi="Arial" w:cs="Arial"/>
          <w:i/>
          <w:iCs/>
          <w:color w:val="000000" w:themeColor="text1"/>
          <w:sz w:val="19"/>
          <w:szCs w:val="19"/>
          <w:lang w:val="es-ES"/>
        </w:rPr>
        <w:t>el subprincipio o mandato de proporcionalidad en sentido estricto</w:t>
      </w:r>
      <w:r w:rsidRPr="00AB3BAD">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4C14533B" w14:textId="77777777" w:rsidR="004403DD" w:rsidRPr="00AB3BAD" w:rsidRDefault="004403DD" w:rsidP="00AB3BAD">
      <w:pPr>
        <w:pStyle w:val="Textonotapie"/>
        <w:ind w:firstLine="709"/>
        <w:jc w:val="both"/>
        <w:rPr>
          <w:rFonts w:ascii="Arial" w:hAnsi="Arial" w:cs="Arial"/>
          <w:color w:val="000000" w:themeColor="text1"/>
          <w:sz w:val="19"/>
          <w:szCs w:val="19"/>
          <w:lang w:val="es-ES"/>
        </w:rPr>
      </w:pPr>
    </w:p>
  </w:footnote>
  <w:footnote w:id="7">
    <w:p w14:paraId="6B370335" w14:textId="27154EBC" w:rsidR="00AF554B" w:rsidRPr="00AB3BAD" w:rsidRDefault="00A63DF7" w:rsidP="00AB3BAD">
      <w:pPr>
        <w:ind w:firstLine="709"/>
        <w:jc w:val="both"/>
        <w:rPr>
          <w:rFonts w:ascii="Arial" w:eastAsiaTheme="minorHAnsi" w:hAnsi="Arial" w:cs="Arial"/>
          <w:sz w:val="19"/>
          <w:szCs w:val="19"/>
          <w:lang w:val="es-ES" w:eastAsia="en-U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000351F2" w:rsidRPr="00AB3BAD">
        <w:rPr>
          <w:rFonts w:ascii="Arial" w:hAnsi="Arial" w:cs="Arial"/>
          <w:sz w:val="19"/>
          <w:szCs w:val="19"/>
          <w:lang w:val="es-ES"/>
        </w:rPr>
        <w:t xml:space="preserve">Consejo de Estado. </w:t>
      </w:r>
      <w:r w:rsidR="005357F1" w:rsidRPr="00AB3BAD">
        <w:rPr>
          <w:rFonts w:ascii="Arial" w:hAnsi="Arial" w:cs="Arial"/>
          <w:sz w:val="19"/>
          <w:szCs w:val="19"/>
          <w:lang w:val="es-ES"/>
        </w:rPr>
        <w:t>Sección Tercera. Sentencia del 14 de abril de 2010.</w:t>
      </w:r>
      <w:r w:rsidR="00DB02D7" w:rsidRPr="00AB3BAD">
        <w:rPr>
          <w:rFonts w:ascii="Arial" w:hAnsi="Arial" w:cs="Arial"/>
          <w:sz w:val="19"/>
          <w:szCs w:val="19"/>
          <w:lang w:val="es-ES"/>
        </w:rPr>
        <w:t xml:space="preserve"> </w:t>
      </w:r>
      <w:r w:rsidR="005357F1" w:rsidRPr="00AB3BAD">
        <w:rPr>
          <w:rFonts w:ascii="Arial" w:hAnsi="Arial" w:cs="Arial"/>
          <w:sz w:val="19"/>
          <w:szCs w:val="19"/>
          <w:lang w:val="es-ES"/>
        </w:rPr>
        <w:t>Consejero</w:t>
      </w:r>
      <w:r w:rsidR="00DB02D7" w:rsidRPr="00AB3BAD">
        <w:rPr>
          <w:rFonts w:ascii="Arial" w:hAnsi="Arial" w:cs="Arial"/>
          <w:sz w:val="19"/>
          <w:szCs w:val="19"/>
          <w:lang w:val="es-ES"/>
        </w:rPr>
        <w:t xml:space="preserve"> </w:t>
      </w:r>
      <w:r w:rsidR="005357F1" w:rsidRPr="00AB3BAD">
        <w:rPr>
          <w:rFonts w:ascii="Arial" w:hAnsi="Arial" w:cs="Arial"/>
          <w:sz w:val="19"/>
          <w:szCs w:val="19"/>
          <w:lang w:val="es-ES"/>
        </w:rPr>
        <w:t>Ponente: Enrique Gil Botero.</w:t>
      </w:r>
      <w:r w:rsidR="00AF554B" w:rsidRPr="00AB3BAD">
        <w:rPr>
          <w:rFonts w:ascii="Arial" w:hAnsi="Arial" w:cs="Arial"/>
          <w:sz w:val="19"/>
          <w:szCs w:val="19"/>
          <w:lang w:val="es-ES"/>
        </w:rPr>
        <w:t xml:space="preserve"> </w:t>
      </w:r>
      <w:r w:rsidR="00AF554B" w:rsidRPr="00AB3BAD">
        <w:rPr>
          <w:rFonts w:ascii="Arial" w:eastAsiaTheme="minorHAnsi" w:hAnsi="Arial" w:cs="Arial"/>
          <w:sz w:val="19"/>
          <w:szCs w:val="19"/>
          <w:lang w:val="es-ES" w:eastAsia="en-US"/>
        </w:rPr>
        <w:t>Radicación número: 11001-03-26-000-2008-00101-00(</w:t>
      </w:r>
      <w:proofErr w:type="gramStart"/>
      <w:r w:rsidR="00AF554B" w:rsidRPr="00AB3BAD">
        <w:rPr>
          <w:rFonts w:ascii="Arial" w:eastAsiaTheme="minorHAnsi" w:hAnsi="Arial" w:cs="Arial"/>
          <w:sz w:val="19"/>
          <w:szCs w:val="19"/>
          <w:lang w:val="es-ES" w:eastAsia="en-US"/>
        </w:rPr>
        <w:t>36054)B</w:t>
      </w:r>
      <w:r w:rsidR="00DB02D7" w:rsidRPr="00AB3BAD">
        <w:rPr>
          <w:rFonts w:ascii="Arial" w:eastAsiaTheme="minorHAnsi" w:hAnsi="Arial" w:cs="Arial"/>
          <w:sz w:val="19"/>
          <w:szCs w:val="19"/>
          <w:lang w:val="es-ES" w:eastAsia="en-US"/>
        </w:rPr>
        <w:t>.</w:t>
      </w:r>
      <w:proofErr w:type="gramEnd"/>
    </w:p>
    <w:p w14:paraId="4B5E1A88" w14:textId="3882F0A1" w:rsidR="00A63DF7" w:rsidRPr="00AB3BAD" w:rsidRDefault="00A63DF7" w:rsidP="00AB3BAD">
      <w:pPr>
        <w:pStyle w:val="Textonotapie"/>
        <w:ind w:firstLine="709"/>
        <w:jc w:val="both"/>
        <w:rPr>
          <w:rFonts w:ascii="Arial" w:hAnsi="Arial" w:cs="Arial"/>
          <w:sz w:val="19"/>
          <w:szCs w:val="19"/>
          <w:lang w:val="es-ES"/>
        </w:rPr>
      </w:pPr>
    </w:p>
  </w:footnote>
  <w:footnote w:id="8">
    <w:p w14:paraId="4A5F6A7D" w14:textId="5F558179" w:rsidR="00167A15" w:rsidRPr="00AB3BAD" w:rsidRDefault="00167A15" w:rsidP="00AB3BAD">
      <w:pPr>
        <w:pStyle w:val="Textonotapie"/>
        <w:ind w:firstLine="709"/>
        <w:jc w:val="both"/>
        <w:rPr>
          <w:rFonts w:ascii="Arial" w:hAnsi="Arial" w:cs="Arial"/>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w:t>
      </w:r>
      <w:r w:rsidR="00AE586F" w:rsidRPr="00AB3BAD">
        <w:rPr>
          <w:rFonts w:ascii="Arial" w:hAnsi="Arial" w:cs="Arial"/>
          <w:sz w:val="19"/>
          <w:szCs w:val="19"/>
        </w:rPr>
        <w:t>«</w:t>
      </w:r>
      <w:r w:rsidRPr="00AB3BAD">
        <w:rPr>
          <w:rFonts w:ascii="Arial" w:hAnsi="Arial" w:cs="Arial"/>
          <w:sz w:val="19"/>
          <w:szCs w:val="19"/>
        </w:rPr>
        <w:t>ARTÍCULO 1o. Modifíquese el artículo 4o de la Ley 1882 de 2018, el cual quedará así:</w:t>
      </w:r>
    </w:p>
    <w:p w14:paraId="12BCD9B5" w14:textId="6011BB9A" w:rsidR="00167A15" w:rsidRPr="00AB3BAD" w:rsidRDefault="00AE586F" w:rsidP="00AB3BAD">
      <w:pPr>
        <w:pStyle w:val="Textonotapie"/>
        <w:ind w:firstLine="709"/>
        <w:jc w:val="both"/>
        <w:rPr>
          <w:rFonts w:ascii="Arial" w:hAnsi="Arial" w:cs="Arial"/>
          <w:sz w:val="19"/>
          <w:szCs w:val="19"/>
        </w:rPr>
      </w:pPr>
      <w:proofErr w:type="gramStart"/>
      <w:r w:rsidRPr="00AB3BAD">
        <w:rPr>
          <w:rFonts w:ascii="Arial" w:hAnsi="Arial" w:cs="Arial"/>
          <w:sz w:val="19"/>
          <w:szCs w:val="19"/>
        </w:rPr>
        <w:t>»</w:t>
      </w:r>
      <w:r w:rsidR="00167A15" w:rsidRPr="00AB3BAD">
        <w:rPr>
          <w:rFonts w:ascii="Arial" w:hAnsi="Arial" w:cs="Arial"/>
          <w:sz w:val="19"/>
          <w:szCs w:val="19"/>
        </w:rPr>
        <w:t>Artículo</w:t>
      </w:r>
      <w:proofErr w:type="gramEnd"/>
      <w:r w:rsidR="00167A15" w:rsidRPr="00AB3BAD">
        <w:rPr>
          <w:rFonts w:ascii="Arial" w:hAnsi="Arial" w:cs="Arial"/>
          <w:sz w:val="19"/>
          <w:szCs w:val="19"/>
        </w:rPr>
        <w:t xml:space="preserve"> 4o. Adiciónese el siguiente parágrafo al artículo 2o de la Ley 1150 de 2007.</w:t>
      </w:r>
    </w:p>
    <w:p w14:paraId="6E3D6FDE" w14:textId="1E9C8023" w:rsidR="00167A15" w:rsidRPr="00AB3BAD" w:rsidRDefault="00AE586F" w:rsidP="00AB3BAD">
      <w:pPr>
        <w:pStyle w:val="Textonotapie"/>
        <w:ind w:firstLine="709"/>
        <w:jc w:val="both"/>
        <w:rPr>
          <w:rFonts w:ascii="Arial" w:hAnsi="Arial" w:cs="Arial"/>
          <w:sz w:val="19"/>
          <w:szCs w:val="19"/>
        </w:rPr>
      </w:pPr>
      <w:proofErr w:type="gramStart"/>
      <w:r w:rsidRPr="00AB3BAD">
        <w:rPr>
          <w:rFonts w:ascii="Arial" w:hAnsi="Arial" w:cs="Arial"/>
          <w:sz w:val="19"/>
          <w:szCs w:val="19"/>
        </w:rPr>
        <w:t>»</w:t>
      </w:r>
      <w:r w:rsidR="00167A15" w:rsidRPr="00AB3BAD">
        <w:rPr>
          <w:rFonts w:ascii="Arial" w:hAnsi="Arial" w:cs="Arial"/>
          <w:sz w:val="19"/>
          <w:szCs w:val="19"/>
        </w:rPr>
        <w:t>PARÁGRAFO</w:t>
      </w:r>
      <w:proofErr w:type="gramEnd"/>
      <w:r w:rsidR="00167A15" w:rsidRPr="00AB3BAD">
        <w:rPr>
          <w:rFonts w:ascii="Arial" w:hAnsi="Arial" w:cs="Arial"/>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FB700D0" w14:textId="2530ABB8" w:rsidR="00167A15" w:rsidRPr="00AB3BAD" w:rsidRDefault="00AE586F" w:rsidP="00AB3BAD">
      <w:pPr>
        <w:pStyle w:val="Textonotapie"/>
        <w:ind w:firstLine="709"/>
        <w:jc w:val="both"/>
        <w:rPr>
          <w:rFonts w:ascii="Arial" w:hAnsi="Arial" w:cs="Arial"/>
          <w:sz w:val="19"/>
          <w:szCs w:val="19"/>
        </w:rPr>
      </w:pPr>
      <w:proofErr w:type="gramStart"/>
      <w:r w:rsidRPr="00AB3BAD">
        <w:rPr>
          <w:rFonts w:ascii="Arial" w:hAnsi="Arial" w:cs="Arial"/>
          <w:sz w:val="19"/>
          <w:szCs w:val="19"/>
        </w:rPr>
        <w:t>»</w:t>
      </w:r>
      <w:r w:rsidR="00167A15" w:rsidRPr="00AB3BAD">
        <w:rPr>
          <w:rFonts w:ascii="Arial" w:hAnsi="Arial" w:cs="Arial"/>
          <w:sz w:val="19"/>
          <w:szCs w:val="19"/>
        </w:rPr>
        <w:t>Dentro</w:t>
      </w:r>
      <w:proofErr w:type="gramEnd"/>
      <w:r w:rsidR="00167A15" w:rsidRPr="00AB3BAD">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F70ECAC" w14:textId="18967F04" w:rsidR="00167A15" w:rsidRPr="00AB3BAD" w:rsidRDefault="00AE586F" w:rsidP="00AB3BAD">
      <w:pPr>
        <w:pStyle w:val="Textonotapie"/>
        <w:ind w:firstLine="709"/>
        <w:jc w:val="both"/>
        <w:rPr>
          <w:rFonts w:ascii="Arial" w:hAnsi="Arial" w:cs="Arial"/>
          <w:sz w:val="19"/>
          <w:szCs w:val="19"/>
        </w:rPr>
      </w:pPr>
      <w:proofErr w:type="gramStart"/>
      <w:r w:rsidRPr="00AB3BAD">
        <w:rPr>
          <w:rFonts w:ascii="Arial" w:hAnsi="Arial" w:cs="Arial"/>
          <w:sz w:val="19"/>
          <w:szCs w:val="19"/>
        </w:rPr>
        <w:t>»</w:t>
      </w:r>
      <w:r w:rsidR="00167A15" w:rsidRPr="00AB3BAD">
        <w:rPr>
          <w:rFonts w:ascii="Arial" w:hAnsi="Arial" w:cs="Arial"/>
          <w:sz w:val="19"/>
          <w:szCs w:val="19"/>
        </w:rPr>
        <w:t>Con</w:t>
      </w:r>
      <w:proofErr w:type="gramEnd"/>
      <w:r w:rsidR="00167A15" w:rsidRPr="00AB3BAD">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986C2B5" w14:textId="20A6A774" w:rsidR="00167A15" w:rsidRPr="00AB3BAD" w:rsidRDefault="00AE586F" w:rsidP="00AB3BAD">
      <w:pPr>
        <w:pStyle w:val="Textonotapie"/>
        <w:ind w:firstLine="709"/>
        <w:jc w:val="both"/>
        <w:rPr>
          <w:rFonts w:ascii="Arial" w:hAnsi="Arial" w:cs="Arial"/>
          <w:sz w:val="19"/>
          <w:szCs w:val="19"/>
        </w:rPr>
      </w:pPr>
      <w:r w:rsidRPr="00AB3BAD">
        <w:rPr>
          <w:rFonts w:ascii="Arial" w:hAnsi="Arial" w:cs="Arial"/>
          <w:sz w:val="19"/>
          <w:szCs w:val="19"/>
        </w:rPr>
        <w:t>»</w:t>
      </w:r>
      <w:r w:rsidR="00167A15" w:rsidRPr="00AB3BAD">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8489129" w14:textId="34E655F2" w:rsidR="00167A15" w:rsidRPr="00AB3BAD" w:rsidRDefault="00AE586F" w:rsidP="00AB3BAD">
      <w:pPr>
        <w:pStyle w:val="Textonotapie"/>
        <w:ind w:firstLine="709"/>
        <w:jc w:val="both"/>
        <w:rPr>
          <w:rFonts w:ascii="Arial" w:hAnsi="Arial" w:cs="Arial"/>
          <w:sz w:val="19"/>
          <w:szCs w:val="19"/>
          <w:lang w:val="es-CO"/>
        </w:rPr>
      </w:pPr>
      <w:proofErr w:type="gramStart"/>
      <w:r w:rsidRPr="00AB3BAD">
        <w:rPr>
          <w:rFonts w:ascii="Arial" w:hAnsi="Arial" w:cs="Arial"/>
          <w:sz w:val="19"/>
          <w:szCs w:val="19"/>
        </w:rPr>
        <w:t>»</w:t>
      </w:r>
      <w:r w:rsidR="00167A15" w:rsidRPr="00AB3BAD">
        <w:rPr>
          <w:rFonts w:ascii="Arial" w:hAnsi="Arial" w:cs="Arial"/>
          <w:sz w:val="19"/>
          <w:szCs w:val="19"/>
        </w:rPr>
        <w:t>En</w:t>
      </w:r>
      <w:proofErr w:type="gramEnd"/>
      <w:r w:rsidR="00167A15" w:rsidRPr="00AB3BAD">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sidRPr="00AB3BAD">
        <w:rPr>
          <w:rFonts w:ascii="Arial" w:hAnsi="Arial" w:cs="Arial"/>
          <w:sz w:val="19"/>
          <w:szCs w:val="19"/>
        </w:rPr>
        <w:t>»</w:t>
      </w:r>
      <w:r w:rsidR="00167A15" w:rsidRPr="00AB3BAD">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3"/>
  </w:num>
  <w:num w:numId="19">
    <w:abstractNumId w:val="2"/>
  </w:num>
  <w:num w:numId="20">
    <w:abstractNumId w:val="20"/>
  </w:num>
  <w:num w:numId="21">
    <w:abstractNumId w:val="14"/>
  </w:num>
  <w:num w:numId="22">
    <w:abstractNumId w:val="5"/>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D7"/>
    <w:rsid w:val="00004556"/>
    <w:rsid w:val="000051AF"/>
    <w:rsid w:val="000059D3"/>
    <w:rsid w:val="0000600A"/>
    <w:rsid w:val="00006081"/>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71A2"/>
    <w:rsid w:val="00017B65"/>
    <w:rsid w:val="00020158"/>
    <w:rsid w:val="000207E0"/>
    <w:rsid w:val="00020F8F"/>
    <w:rsid w:val="00021A95"/>
    <w:rsid w:val="0002256F"/>
    <w:rsid w:val="00023DAE"/>
    <w:rsid w:val="00024896"/>
    <w:rsid w:val="000263F0"/>
    <w:rsid w:val="00026407"/>
    <w:rsid w:val="00026608"/>
    <w:rsid w:val="00027787"/>
    <w:rsid w:val="000278D2"/>
    <w:rsid w:val="000315E1"/>
    <w:rsid w:val="0003236E"/>
    <w:rsid w:val="0003339A"/>
    <w:rsid w:val="000341F2"/>
    <w:rsid w:val="000351F2"/>
    <w:rsid w:val="00036E03"/>
    <w:rsid w:val="000406DB"/>
    <w:rsid w:val="0004094D"/>
    <w:rsid w:val="00041029"/>
    <w:rsid w:val="0004149B"/>
    <w:rsid w:val="00042961"/>
    <w:rsid w:val="00042C25"/>
    <w:rsid w:val="00042D03"/>
    <w:rsid w:val="00043086"/>
    <w:rsid w:val="000430A0"/>
    <w:rsid w:val="00043D3B"/>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74D"/>
    <w:rsid w:val="00055CB9"/>
    <w:rsid w:val="00056F66"/>
    <w:rsid w:val="0005702F"/>
    <w:rsid w:val="00061D06"/>
    <w:rsid w:val="00062CDD"/>
    <w:rsid w:val="000640AF"/>
    <w:rsid w:val="00064940"/>
    <w:rsid w:val="00064CAE"/>
    <w:rsid w:val="00064DB7"/>
    <w:rsid w:val="00064FA7"/>
    <w:rsid w:val="00065195"/>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86B"/>
    <w:rsid w:val="00086B2A"/>
    <w:rsid w:val="00086ED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5AAF"/>
    <w:rsid w:val="000A5F97"/>
    <w:rsid w:val="000A648E"/>
    <w:rsid w:val="000A73BB"/>
    <w:rsid w:val="000A7EF4"/>
    <w:rsid w:val="000B0A15"/>
    <w:rsid w:val="000B103F"/>
    <w:rsid w:val="000B1437"/>
    <w:rsid w:val="000B1470"/>
    <w:rsid w:val="000B2B86"/>
    <w:rsid w:val="000B3051"/>
    <w:rsid w:val="000B419B"/>
    <w:rsid w:val="000B5781"/>
    <w:rsid w:val="000C0185"/>
    <w:rsid w:val="000C0F81"/>
    <w:rsid w:val="000C128D"/>
    <w:rsid w:val="000C17A3"/>
    <w:rsid w:val="000C1D4B"/>
    <w:rsid w:val="000C3260"/>
    <w:rsid w:val="000C3B77"/>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E38"/>
    <w:rsid w:val="000D50DB"/>
    <w:rsid w:val="000D6288"/>
    <w:rsid w:val="000D7541"/>
    <w:rsid w:val="000D75E1"/>
    <w:rsid w:val="000E22CF"/>
    <w:rsid w:val="000E2977"/>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3138"/>
    <w:rsid w:val="000F4403"/>
    <w:rsid w:val="000F4E17"/>
    <w:rsid w:val="000F6578"/>
    <w:rsid w:val="000F7E8F"/>
    <w:rsid w:val="000F7FBB"/>
    <w:rsid w:val="001000FB"/>
    <w:rsid w:val="00102605"/>
    <w:rsid w:val="00102686"/>
    <w:rsid w:val="00102745"/>
    <w:rsid w:val="00103915"/>
    <w:rsid w:val="00103EA0"/>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1103"/>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695C"/>
    <w:rsid w:val="00136BF7"/>
    <w:rsid w:val="001378B9"/>
    <w:rsid w:val="00137FFA"/>
    <w:rsid w:val="00140109"/>
    <w:rsid w:val="0014029B"/>
    <w:rsid w:val="00140A4F"/>
    <w:rsid w:val="001413AB"/>
    <w:rsid w:val="00144335"/>
    <w:rsid w:val="0014502F"/>
    <w:rsid w:val="00145282"/>
    <w:rsid w:val="001453B0"/>
    <w:rsid w:val="001454D9"/>
    <w:rsid w:val="00145D8E"/>
    <w:rsid w:val="00146083"/>
    <w:rsid w:val="001462F7"/>
    <w:rsid w:val="00150005"/>
    <w:rsid w:val="00151B99"/>
    <w:rsid w:val="001521B2"/>
    <w:rsid w:val="00152EDD"/>
    <w:rsid w:val="00153491"/>
    <w:rsid w:val="0015361C"/>
    <w:rsid w:val="0015372F"/>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34E3"/>
    <w:rsid w:val="001742BF"/>
    <w:rsid w:val="00175E49"/>
    <w:rsid w:val="001805C1"/>
    <w:rsid w:val="00180A2E"/>
    <w:rsid w:val="001813AF"/>
    <w:rsid w:val="001829CD"/>
    <w:rsid w:val="00182F01"/>
    <w:rsid w:val="00184F27"/>
    <w:rsid w:val="0018519B"/>
    <w:rsid w:val="00185AFE"/>
    <w:rsid w:val="00185E78"/>
    <w:rsid w:val="00187177"/>
    <w:rsid w:val="00187ABD"/>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EF8"/>
    <w:rsid w:val="001C07C6"/>
    <w:rsid w:val="001C19CD"/>
    <w:rsid w:val="001C22D5"/>
    <w:rsid w:val="001C2515"/>
    <w:rsid w:val="001C26FB"/>
    <w:rsid w:val="001C33C1"/>
    <w:rsid w:val="001C3E30"/>
    <w:rsid w:val="001C3E5C"/>
    <w:rsid w:val="001C5072"/>
    <w:rsid w:val="001C5B2A"/>
    <w:rsid w:val="001C600B"/>
    <w:rsid w:val="001C6898"/>
    <w:rsid w:val="001C6DD8"/>
    <w:rsid w:val="001C7C7B"/>
    <w:rsid w:val="001D068D"/>
    <w:rsid w:val="001D12D1"/>
    <w:rsid w:val="001D15DF"/>
    <w:rsid w:val="001D30F3"/>
    <w:rsid w:val="001D31A0"/>
    <w:rsid w:val="001D338E"/>
    <w:rsid w:val="001D56E9"/>
    <w:rsid w:val="001D796A"/>
    <w:rsid w:val="001D7A84"/>
    <w:rsid w:val="001D7C79"/>
    <w:rsid w:val="001E1CC4"/>
    <w:rsid w:val="001E1D38"/>
    <w:rsid w:val="001E4258"/>
    <w:rsid w:val="001E5D6A"/>
    <w:rsid w:val="001E70FB"/>
    <w:rsid w:val="001E780A"/>
    <w:rsid w:val="001F0FA0"/>
    <w:rsid w:val="001F1349"/>
    <w:rsid w:val="001F1863"/>
    <w:rsid w:val="001F2356"/>
    <w:rsid w:val="001F2A68"/>
    <w:rsid w:val="001F4773"/>
    <w:rsid w:val="001F5008"/>
    <w:rsid w:val="001F56AA"/>
    <w:rsid w:val="001F58AA"/>
    <w:rsid w:val="001F5EF6"/>
    <w:rsid w:val="001F657F"/>
    <w:rsid w:val="001F6FB6"/>
    <w:rsid w:val="001F7978"/>
    <w:rsid w:val="001F7A0E"/>
    <w:rsid w:val="0020022E"/>
    <w:rsid w:val="0020054E"/>
    <w:rsid w:val="00201F1E"/>
    <w:rsid w:val="0020299B"/>
    <w:rsid w:val="00202E44"/>
    <w:rsid w:val="002037AA"/>
    <w:rsid w:val="00203FE3"/>
    <w:rsid w:val="002042D8"/>
    <w:rsid w:val="00204515"/>
    <w:rsid w:val="00204BF5"/>
    <w:rsid w:val="00204E6B"/>
    <w:rsid w:val="002058D4"/>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032A"/>
    <w:rsid w:val="002221CE"/>
    <w:rsid w:val="00222BE8"/>
    <w:rsid w:val="00223102"/>
    <w:rsid w:val="002232CB"/>
    <w:rsid w:val="00224022"/>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31D"/>
    <w:rsid w:val="002415B8"/>
    <w:rsid w:val="00242D62"/>
    <w:rsid w:val="002431D7"/>
    <w:rsid w:val="00244058"/>
    <w:rsid w:val="00245718"/>
    <w:rsid w:val="00245E07"/>
    <w:rsid w:val="00247712"/>
    <w:rsid w:val="00250EC6"/>
    <w:rsid w:val="00251866"/>
    <w:rsid w:val="00251A9F"/>
    <w:rsid w:val="00252492"/>
    <w:rsid w:val="00252B35"/>
    <w:rsid w:val="0025316D"/>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1F1"/>
    <w:rsid w:val="002711A4"/>
    <w:rsid w:val="00271F13"/>
    <w:rsid w:val="00274DB5"/>
    <w:rsid w:val="00275BB1"/>
    <w:rsid w:val="00277933"/>
    <w:rsid w:val="00277F8D"/>
    <w:rsid w:val="00277FA7"/>
    <w:rsid w:val="00280F3D"/>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1784"/>
    <w:rsid w:val="002929BB"/>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9BB"/>
    <w:rsid w:val="002D1A9B"/>
    <w:rsid w:val="002D22C5"/>
    <w:rsid w:val="002D302A"/>
    <w:rsid w:val="002D36C6"/>
    <w:rsid w:val="002D37C1"/>
    <w:rsid w:val="002D444B"/>
    <w:rsid w:val="002D4A45"/>
    <w:rsid w:val="002D4B42"/>
    <w:rsid w:val="002D5A1B"/>
    <w:rsid w:val="002D65BC"/>
    <w:rsid w:val="002D6D7E"/>
    <w:rsid w:val="002E055C"/>
    <w:rsid w:val="002E1050"/>
    <w:rsid w:val="002E18E5"/>
    <w:rsid w:val="002E1953"/>
    <w:rsid w:val="002E2D7D"/>
    <w:rsid w:val="002E3D76"/>
    <w:rsid w:val="002E40A1"/>
    <w:rsid w:val="002E48EC"/>
    <w:rsid w:val="002E4B44"/>
    <w:rsid w:val="002E4ECB"/>
    <w:rsid w:val="002E4F23"/>
    <w:rsid w:val="002E7847"/>
    <w:rsid w:val="002F0073"/>
    <w:rsid w:val="002F240B"/>
    <w:rsid w:val="002F2F50"/>
    <w:rsid w:val="002F3601"/>
    <w:rsid w:val="002F45F6"/>
    <w:rsid w:val="002F692F"/>
    <w:rsid w:val="002F7B66"/>
    <w:rsid w:val="00300CB4"/>
    <w:rsid w:val="00300E24"/>
    <w:rsid w:val="003033BA"/>
    <w:rsid w:val="003043A3"/>
    <w:rsid w:val="00304BD4"/>
    <w:rsid w:val="0030500A"/>
    <w:rsid w:val="003052EB"/>
    <w:rsid w:val="00305FCB"/>
    <w:rsid w:val="003063C3"/>
    <w:rsid w:val="00306B44"/>
    <w:rsid w:val="00307C44"/>
    <w:rsid w:val="0031088E"/>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7D3"/>
    <w:rsid w:val="00322937"/>
    <w:rsid w:val="00323881"/>
    <w:rsid w:val="00323B73"/>
    <w:rsid w:val="00325D98"/>
    <w:rsid w:val="0032682A"/>
    <w:rsid w:val="00327A5C"/>
    <w:rsid w:val="0033092C"/>
    <w:rsid w:val="0033122A"/>
    <w:rsid w:val="003315AC"/>
    <w:rsid w:val="00331932"/>
    <w:rsid w:val="00333A88"/>
    <w:rsid w:val="00335B15"/>
    <w:rsid w:val="00335B21"/>
    <w:rsid w:val="00335D3F"/>
    <w:rsid w:val="00336104"/>
    <w:rsid w:val="00336729"/>
    <w:rsid w:val="0033726D"/>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1E10"/>
    <w:rsid w:val="003533F4"/>
    <w:rsid w:val="003536F6"/>
    <w:rsid w:val="00353DD5"/>
    <w:rsid w:val="00355131"/>
    <w:rsid w:val="00361A59"/>
    <w:rsid w:val="00363348"/>
    <w:rsid w:val="00363857"/>
    <w:rsid w:val="00363D59"/>
    <w:rsid w:val="003640F7"/>
    <w:rsid w:val="00365D3A"/>
    <w:rsid w:val="003664FF"/>
    <w:rsid w:val="00366BD2"/>
    <w:rsid w:val="003670B8"/>
    <w:rsid w:val="003704A3"/>
    <w:rsid w:val="003706F2"/>
    <w:rsid w:val="0037124F"/>
    <w:rsid w:val="00373827"/>
    <w:rsid w:val="0037401C"/>
    <w:rsid w:val="0037507B"/>
    <w:rsid w:val="00375C7C"/>
    <w:rsid w:val="00377027"/>
    <w:rsid w:val="00377135"/>
    <w:rsid w:val="00380272"/>
    <w:rsid w:val="003805DB"/>
    <w:rsid w:val="0038152A"/>
    <w:rsid w:val="00382BAD"/>
    <w:rsid w:val="00384DF1"/>
    <w:rsid w:val="00384FF3"/>
    <w:rsid w:val="00386456"/>
    <w:rsid w:val="003865A9"/>
    <w:rsid w:val="00390F32"/>
    <w:rsid w:val="0039135E"/>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E57"/>
    <w:rsid w:val="003B2EF3"/>
    <w:rsid w:val="003B534F"/>
    <w:rsid w:val="003B5391"/>
    <w:rsid w:val="003B65D7"/>
    <w:rsid w:val="003B65E0"/>
    <w:rsid w:val="003B6BD4"/>
    <w:rsid w:val="003B6F4D"/>
    <w:rsid w:val="003B6FE7"/>
    <w:rsid w:val="003C0D1F"/>
    <w:rsid w:val="003C116A"/>
    <w:rsid w:val="003C1AF4"/>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3B15"/>
    <w:rsid w:val="003D3B2E"/>
    <w:rsid w:val="003D484D"/>
    <w:rsid w:val="003D49CB"/>
    <w:rsid w:val="003D6B8F"/>
    <w:rsid w:val="003D7566"/>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CD"/>
    <w:rsid w:val="003E78DA"/>
    <w:rsid w:val="003E7A8B"/>
    <w:rsid w:val="003F0F7F"/>
    <w:rsid w:val="003F300D"/>
    <w:rsid w:val="003F391F"/>
    <w:rsid w:val="003F4599"/>
    <w:rsid w:val="003F45E1"/>
    <w:rsid w:val="003F4F6C"/>
    <w:rsid w:val="003F559E"/>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2DCA"/>
    <w:rsid w:val="00423F9F"/>
    <w:rsid w:val="00425C43"/>
    <w:rsid w:val="00426C69"/>
    <w:rsid w:val="004273FA"/>
    <w:rsid w:val="00430186"/>
    <w:rsid w:val="0043269A"/>
    <w:rsid w:val="004333C2"/>
    <w:rsid w:val="00434787"/>
    <w:rsid w:val="00434C13"/>
    <w:rsid w:val="00436323"/>
    <w:rsid w:val="0043683F"/>
    <w:rsid w:val="00436F40"/>
    <w:rsid w:val="004370FA"/>
    <w:rsid w:val="00440096"/>
    <w:rsid w:val="004403DD"/>
    <w:rsid w:val="00440DB0"/>
    <w:rsid w:val="00440FAD"/>
    <w:rsid w:val="00441291"/>
    <w:rsid w:val="004420AB"/>
    <w:rsid w:val="004422D6"/>
    <w:rsid w:val="004427AC"/>
    <w:rsid w:val="00442D4D"/>
    <w:rsid w:val="0044374D"/>
    <w:rsid w:val="00443B55"/>
    <w:rsid w:val="00443D27"/>
    <w:rsid w:val="00446037"/>
    <w:rsid w:val="0044642F"/>
    <w:rsid w:val="0044772C"/>
    <w:rsid w:val="00450846"/>
    <w:rsid w:val="00451A52"/>
    <w:rsid w:val="0045271D"/>
    <w:rsid w:val="00452755"/>
    <w:rsid w:val="00452803"/>
    <w:rsid w:val="004529C6"/>
    <w:rsid w:val="00452EAD"/>
    <w:rsid w:val="004533D1"/>
    <w:rsid w:val="004534D1"/>
    <w:rsid w:val="00454548"/>
    <w:rsid w:val="00454717"/>
    <w:rsid w:val="00455047"/>
    <w:rsid w:val="00455354"/>
    <w:rsid w:val="0045558D"/>
    <w:rsid w:val="00456970"/>
    <w:rsid w:val="00456BB1"/>
    <w:rsid w:val="00456DDB"/>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6616"/>
    <w:rsid w:val="00466A0C"/>
    <w:rsid w:val="00470A6A"/>
    <w:rsid w:val="00470D92"/>
    <w:rsid w:val="00471DF7"/>
    <w:rsid w:val="004734CF"/>
    <w:rsid w:val="00475C5A"/>
    <w:rsid w:val="00475C9C"/>
    <w:rsid w:val="0047676B"/>
    <w:rsid w:val="0047773C"/>
    <w:rsid w:val="00477C5F"/>
    <w:rsid w:val="00480050"/>
    <w:rsid w:val="004808DE"/>
    <w:rsid w:val="00481AC4"/>
    <w:rsid w:val="00481DC1"/>
    <w:rsid w:val="00482507"/>
    <w:rsid w:val="0048268A"/>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58EE"/>
    <w:rsid w:val="004A59B7"/>
    <w:rsid w:val="004A623B"/>
    <w:rsid w:val="004A6A04"/>
    <w:rsid w:val="004A6A52"/>
    <w:rsid w:val="004B0F0B"/>
    <w:rsid w:val="004B2197"/>
    <w:rsid w:val="004B298A"/>
    <w:rsid w:val="004B578D"/>
    <w:rsid w:val="004B5BE7"/>
    <w:rsid w:val="004B5E2D"/>
    <w:rsid w:val="004B6C07"/>
    <w:rsid w:val="004B74D3"/>
    <w:rsid w:val="004B788E"/>
    <w:rsid w:val="004B7E5D"/>
    <w:rsid w:val="004C22F7"/>
    <w:rsid w:val="004C2B27"/>
    <w:rsid w:val="004C3929"/>
    <w:rsid w:val="004C5212"/>
    <w:rsid w:val="004C5EF0"/>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E023F"/>
    <w:rsid w:val="004E0742"/>
    <w:rsid w:val="004E0C64"/>
    <w:rsid w:val="004E0F6B"/>
    <w:rsid w:val="004E1545"/>
    <w:rsid w:val="004E1F1C"/>
    <w:rsid w:val="004E2A35"/>
    <w:rsid w:val="004E40CE"/>
    <w:rsid w:val="004E5736"/>
    <w:rsid w:val="004E5B36"/>
    <w:rsid w:val="004E6045"/>
    <w:rsid w:val="004E6F43"/>
    <w:rsid w:val="004E7200"/>
    <w:rsid w:val="004F0960"/>
    <w:rsid w:val="004F0A5C"/>
    <w:rsid w:val="004F163F"/>
    <w:rsid w:val="004F18A0"/>
    <w:rsid w:val="004F1A08"/>
    <w:rsid w:val="004F2B64"/>
    <w:rsid w:val="004F3764"/>
    <w:rsid w:val="004F3EEF"/>
    <w:rsid w:val="004F5930"/>
    <w:rsid w:val="004F5970"/>
    <w:rsid w:val="004F5F0C"/>
    <w:rsid w:val="004F6121"/>
    <w:rsid w:val="004F6161"/>
    <w:rsid w:val="004F66BC"/>
    <w:rsid w:val="004F6C26"/>
    <w:rsid w:val="004F7AC9"/>
    <w:rsid w:val="0050062F"/>
    <w:rsid w:val="005012E2"/>
    <w:rsid w:val="0050160F"/>
    <w:rsid w:val="0050284E"/>
    <w:rsid w:val="00505DCB"/>
    <w:rsid w:val="005075CA"/>
    <w:rsid w:val="0051074C"/>
    <w:rsid w:val="00510DE9"/>
    <w:rsid w:val="005111E2"/>
    <w:rsid w:val="00511231"/>
    <w:rsid w:val="00512C4F"/>
    <w:rsid w:val="00513042"/>
    <w:rsid w:val="0051334F"/>
    <w:rsid w:val="00513399"/>
    <w:rsid w:val="00513AF2"/>
    <w:rsid w:val="00514575"/>
    <w:rsid w:val="00514C03"/>
    <w:rsid w:val="00514D67"/>
    <w:rsid w:val="00515515"/>
    <w:rsid w:val="0051635C"/>
    <w:rsid w:val="00516C5B"/>
    <w:rsid w:val="00517612"/>
    <w:rsid w:val="00517CFB"/>
    <w:rsid w:val="00517F85"/>
    <w:rsid w:val="00520899"/>
    <w:rsid w:val="00520922"/>
    <w:rsid w:val="005209FC"/>
    <w:rsid w:val="005224E5"/>
    <w:rsid w:val="00523903"/>
    <w:rsid w:val="005239B6"/>
    <w:rsid w:val="00523C45"/>
    <w:rsid w:val="00524165"/>
    <w:rsid w:val="005246E7"/>
    <w:rsid w:val="00524FD2"/>
    <w:rsid w:val="00525621"/>
    <w:rsid w:val="00526431"/>
    <w:rsid w:val="00527E57"/>
    <w:rsid w:val="00530405"/>
    <w:rsid w:val="00530522"/>
    <w:rsid w:val="005305E5"/>
    <w:rsid w:val="00530F38"/>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C4C"/>
    <w:rsid w:val="00541571"/>
    <w:rsid w:val="0054275A"/>
    <w:rsid w:val="005428B8"/>
    <w:rsid w:val="00542BD7"/>
    <w:rsid w:val="00543084"/>
    <w:rsid w:val="0054413A"/>
    <w:rsid w:val="00544288"/>
    <w:rsid w:val="005446BB"/>
    <w:rsid w:val="00545E30"/>
    <w:rsid w:val="00545EA3"/>
    <w:rsid w:val="00546C9B"/>
    <w:rsid w:val="00547BF6"/>
    <w:rsid w:val="00551098"/>
    <w:rsid w:val="00551598"/>
    <w:rsid w:val="0055162B"/>
    <w:rsid w:val="00551BFF"/>
    <w:rsid w:val="00551D68"/>
    <w:rsid w:val="00552B3E"/>
    <w:rsid w:val="005551AA"/>
    <w:rsid w:val="005564CA"/>
    <w:rsid w:val="005568EA"/>
    <w:rsid w:val="00557140"/>
    <w:rsid w:val="00560C87"/>
    <w:rsid w:val="00560F51"/>
    <w:rsid w:val="00561249"/>
    <w:rsid w:val="0056182B"/>
    <w:rsid w:val="00561AF3"/>
    <w:rsid w:val="00561E0B"/>
    <w:rsid w:val="00562141"/>
    <w:rsid w:val="00562D86"/>
    <w:rsid w:val="00564704"/>
    <w:rsid w:val="00564712"/>
    <w:rsid w:val="005657A8"/>
    <w:rsid w:val="00565952"/>
    <w:rsid w:val="00566866"/>
    <w:rsid w:val="005670A5"/>
    <w:rsid w:val="00567723"/>
    <w:rsid w:val="00567AB8"/>
    <w:rsid w:val="00570A26"/>
    <w:rsid w:val="0057221F"/>
    <w:rsid w:val="00572539"/>
    <w:rsid w:val="0057337D"/>
    <w:rsid w:val="00573504"/>
    <w:rsid w:val="00574708"/>
    <w:rsid w:val="00574D81"/>
    <w:rsid w:val="005756AA"/>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90F1A"/>
    <w:rsid w:val="00591C03"/>
    <w:rsid w:val="00591E2A"/>
    <w:rsid w:val="005923C4"/>
    <w:rsid w:val="00593F75"/>
    <w:rsid w:val="005940A0"/>
    <w:rsid w:val="0059429A"/>
    <w:rsid w:val="00596AF7"/>
    <w:rsid w:val="00596CCE"/>
    <w:rsid w:val="005A1976"/>
    <w:rsid w:val="005A2120"/>
    <w:rsid w:val="005A2501"/>
    <w:rsid w:val="005A2C80"/>
    <w:rsid w:val="005A3066"/>
    <w:rsid w:val="005A3B35"/>
    <w:rsid w:val="005A3C4B"/>
    <w:rsid w:val="005A3E5A"/>
    <w:rsid w:val="005A43F3"/>
    <w:rsid w:val="005A496F"/>
    <w:rsid w:val="005A4A56"/>
    <w:rsid w:val="005A5A3D"/>
    <w:rsid w:val="005A6035"/>
    <w:rsid w:val="005A6B75"/>
    <w:rsid w:val="005A6E00"/>
    <w:rsid w:val="005A718A"/>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2011"/>
    <w:rsid w:val="005C3EA3"/>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791B"/>
    <w:rsid w:val="005D7CF2"/>
    <w:rsid w:val="005D7F92"/>
    <w:rsid w:val="005E0D7B"/>
    <w:rsid w:val="005E1595"/>
    <w:rsid w:val="005E1F1D"/>
    <w:rsid w:val="005E273D"/>
    <w:rsid w:val="005E3278"/>
    <w:rsid w:val="005E363B"/>
    <w:rsid w:val="005F305B"/>
    <w:rsid w:val="005F3361"/>
    <w:rsid w:val="005F3B47"/>
    <w:rsid w:val="005F4481"/>
    <w:rsid w:val="005F49AF"/>
    <w:rsid w:val="005F4A58"/>
    <w:rsid w:val="005F54DF"/>
    <w:rsid w:val="005F5888"/>
    <w:rsid w:val="005F5984"/>
    <w:rsid w:val="005F6CE2"/>
    <w:rsid w:val="005F72E9"/>
    <w:rsid w:val="005F780B"/>
    <w:rsid w:val="00600473"/>
    <w:rsid w:val="006013C9"/>
    <w:rsid w:val="00602B45"/>
    <w:rsid w:val="00603499"/>
    <w:rsid w:val="006035F5"/>
    <w:rsid w:val="00603CC2"/>
    <w:rsid w:val="006047D1"/>
    <w:rsid w:val="00604A55"/>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78D1"/>
    <w:rsid w:val="00620719"/>
    <w:rsid w:val="006212C9"/>
    <w:rsid w:val="00621D0C"/>
    <w:rsid w:val="00622470"/>
    <w:rsid w:val="00622725"/>
    <w:rsid w:val="006231AA"/>
    <w:rsid w:val="00623482"/>
    <w:rsid w:val="00623AC2"/>
    <w:rsid w:val="006266D7"/>
    <w:rsid w:val="00626D42"/>
    <w:rsid w:val="00626EE3"/>
    <w:rsid w:val="006274AD"/>
    <w:rsid w:val="00627532"/>
    <w:rsid w:val="006302AA"/>
    <w:rsid w:val="006310C3"/>
    <w:rsid w:val="0063161E"/>
    <w:rsid w:val="00631BB5"/>
    <w:rsid w:val="00631DD0"/>
    <w:rsid w:val="00633DBF"/>
    <w:rsid w:val="00634122"/>
    <w:rsid w:val="00635E32"/>
    <w:rsid w:val="006365DE"/>
    <w:rsid w:val="00636BE4"/>
    <w:rsid w:val="00637802"/>
    <w:rsid w:val="00637836"/>
    <w:rsid w:val="00637C26"/>
    <w:rsid w:val="00637F44"/>
    <w:rsid w:val="00641078"/>
    <w:rsid w:val="00641242"/>
    <w:rsid w:val="00642A32"/>
    <w:rsid w:val="006433D5"/>
    <w:rsid w:val="00646B20"/>
    <w:rsid w:val="00646D0F"/>
    <w:rsid w:val="00647A36"/>
    <w:rsid w:val="00647DCC"/>
    <w:rsid w:val="00647EFA"/>
    <w:rsid w:val="00647F14"/>
    <w:rsid w:val="00650027"/>
    <w:rsid w:val="00651B9C"/>
    <w:rsid w:val="00651C47"/>
    <w:rsid w:val="00652E70"/>
    <w:rsid w:val="0065339A"/>
    <w:rsid w:val="00653469"/>
    <w:rsid w:val="00654A38"/>
    <w:rsid w:val="00655301"/>
    <w:rsid w:val="00655371"/>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F26"/>
    <w:rsid w:val="006802A7"/>
    <w:rsid w:val="006811C9"/>
    <w:rsid w:val="006812CE"/>
    <w:rsid w:val="00682C89"/>
    <w:rsid w:val="006832B8"/>
    <w:rsid w:val="006837B2"/>
    <w:rsid w:val="00683800"/>
    <w:rsid w:val="00684C8A"/>
    <w:rsid w:val="00684CF5"/>
    <w:rsid w:val="0068553E"/>
    <w:rsid w:val="00685E7B"/>
    <w:rsid w:val="00686551"/>
    <w:rsid w:val="0068730C"/>
    <w:rsid w:val="00687504"/>
    <w:rsid w:val="00687A14"/>
    <w:rsid w:val="00687A8C"/>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F9"/>
    <w:rsid w:val="006A7CB5"/>
    <w:rsid w:val="006A7FD0"/>
    <w:rsid w:val="006B025C"/>
    <w:rsid w:val="006B2534"/>
    <w:rsid w:val="006B2CB2"/>
    <w:rsid w:val="006B347D"/>
    <w:rsid w:val="006B3E19"/>
    <w:rsid w:val="006B4488"/>
    <w:rsid w:val="006B67AC"/>
    <w:rsid w:val="006B786A"/>
    <w:rsid w:val="006B7E4E"/>
    <w:rsid w:val="006C003A"/>
    <w:rsid w:val="006C2454"/>
    <w:rsid w:val="006C2551"/>
    <w:rsid w:val="006C37CA"/>
    <w:rsid w:val="006C40D2"/>
    <w:rsid w:val="006C5B15"/>
    <w:rsid w:val="006C5D32"/>
    <w:rsid w:val="006C5DCB"/>
    <w:rsid w:val="006C70C4"/>
    <w:rsid w:val="006D04DA"/>
    <w:rsid w:val="006D10F6"/>
    <w:rsid w:val="006D1544"/>
    <w:rsid w:val="006D1688"/>
    <w:rsid w:val="006D1FF3"/>
    <w:rsid w:val="006D2C65"/>
    <w:rsid w:val="006D32C6"/>
    <w:rsid w:val="006D360E"/>
    <w:rsid w:val="006D3697"/>
    <w:rsid w:val="006D39D2"/>
    <w:rsid w:val="006D3F2A"/>
    <w:rsid w:val="006D4370"/>
    <w:rsid w:val="006D46A3"/>
    <w:rsid w:val="006D658F"/>
    <w:rsid w:val="006D6A12"/>
    <w:rsid w:val="006D712D"/>
    <w:rsid w:val="006D7687"/>
    <w:rsid w:val="006D7D1F"/>
    <w:rsid w:val="006D7D8A"/>
    <w:rsid w:val="006E0572"/>
    <w:rsid w:val="006E05D8"/>
    <w:rsid w:val="006E08EE"/>
    <w:rsid w:val="006E155A"/>
    <w:rsid w:val="006E39D1"/>
    <w:rsid w:val="006E437F"/>
    <w:rsid w:val="006E4D5B"/>
    <w:rsid w:val="006E602F"/>
    <w:rsid w:val="006E6720"/>
    <w:rsid w:val="006E7275"/>
    <w:rsid w:val="006E77B8"/>
    <w:rsid w:val="006F15CC"/>
    <w:rsid w:val="006F4147"/>
    <w:rsid w:val="006F4315"/>
    <w:rsid w:val="006F4CB0"/>
    <w:rsid w:val="006F4F78"/>
    <w:rsid w:val="006F547E"/>
    <w:rsid w:val="006F5CCF"/>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9AB"/>
    <w:rsid w:val="00712B63"/>
    <w:rsid w:val="00713526"/>
    <w:rsid w:val="00713FC5"/>
    <w:rsid w:val="00715BBF"/>
    <w:rsid w:val="00715C29"/>
    <w:rsid w:val="00715CBD"/>
    <w:rsid w:val="00715EAA"/>
    <w:rsid w:val="00716CAD"/>
    <w:rsid w:val="00716F18"/>
    <w:rsid w:val="00717363"/>
    <w:rsid w:val="00717786"/>
    <w:rsid w:val="00717ACB"/>
    <w:rsid w:val="00721BFF"/>
    <w:rsid w:val="007236C4"/>
    <w:rsid w:val="00724635"/>
    <w:rsid w:val="0072554B"/>
    <w:rsid w:val="00725AFD"/>
    <w:rsid w:val="00726603"/>
    <w:rsid w:val="00727DDC"/>
    <w:rsid w:val="00730CD6"/>
    <w:rsid w:val="00730F74"/>
    <w:rsid w:val="0073114B"/>
    <w:rsid w:val="00734952"/>
    <w:rsid w:val="00734990"/>
    <w:rsid w:val="00734FF5"/>
    <w:rsid w:val="00735B78"/>
    <w:rsid w:val="00735DA7"/>
    <w:rsid w:val="007368B4"/>
    <w:rsid w:val="007378E0"/>
    <w:rsid w:val="00740529"/>
    <w:rsid w:val="00741358"/>
    <w:rsid w:val="00741626"/>
    <w:rsid w:val="00742332"/>
    <w:rsid w:val="00742886"/>
    <w:rsid w:val="00742DD2"/>
    <w:rsid w:val="007437C6"/>
    <w:rsid w:val="007441A2"/>
    <w:rsid w:val="00744E80"/>
    <w:rsid w:val="00745035"/>
    <w:rsid w:val="0074531C"/>
    <w:rsid w:val="00745547"/>
    <w:rsid w:val="007459D0"/>
    <w:rsid w:val="0074623A"/>
    <w:rsid w:val="00746420"/>
    <w:rsid w:val="00746E04"/>
    <w:rsid w:val="00746E08"/>
    <w:rsid w:val="00746E3D"/>
    <w:rsid w:val="007473B9"/>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FC4"/>
    <w:rsid w:val="00785BBB"/>
    <w:rsid w:val="00786FAD"/>
    <w:rsid w:val="00787D90"/>
    <w:rsid w:val="00787F5E"/>
    <w:rsid w:val="00790164"/>
    <w:rsid w:val="00790A24"/>
    <w:rsid w:val="00790A37"/>
    <w:rsid w:val="00790A60"/>
    <w:rsid w:val="0079146D"/>
    <w:rsid w:val="00791C32"/>
    <w:rsid w:val="00791FF0"/>
    <w:rsid w:val="007923D0"/>
    <w:rsid w:val="0079302C"/>
    <w:rsid w:val="007930D3"/>
    <w:rsid w:val="0079381F"/>
    <w:rsid w:val="00793B2E"/>
    <w:rsid w:val="007948F5"/>
    <w:rsid w:val="00795647"/>
    <w:rsid w:val="007963F6"/>
    <w:rsid w:val="00796E80"/>
    <w:rsid w:val="007979AD"/>
    <w:rsid w:val="00797A9C"/>
    <w:rsid w:val="007A0EAB"/>
    <w:rsid w:val="007A2341"/>
    <w:rsid w:val="007A38A1"/>
    <w:rsid w:val="007A3967"/>
    <w:rsid w:val="007A3BBE"/>
    <w:rsid w:val="007A4766"/>
    <w:rsid w:val="007A5947"/>
    <w:rsid w:val="007B0313"/>
    <w:rsid w:val="007B0854"/>
    <w:rsid w:val="007B0E48"/>
    <w:rsid w:val="007B1D1B"/>
    <w:rsid w:val="007B303E"/>
    <w:rsid w:val="007B32C0"/>
    <w:rsid w:val="007B32F7"/>
    <w:rsid w:val="007B3659"/>
    <w:rsid w:val="007B4558"/>
    <w:rsid w:val="007B4632"/>
    <w:rsid w:val="007B46A2"/>
    <w:rsid w:val="007B4828"/>
    <w:rsid w:val="007B4B2D"/>
    <w:rsid w:val="007B4D4A"/>
    <w:rsid w:val="007B5428"/>
    <w:rsid w:val="007B6C64"/>
    <w:rsid w:val="007B6EC8"/>
    <w:rsid w:val="007B6F81"/>
    <w:rsid w:val="007B7EA2"/>
    <w:rsid w:val="007C097D"/>
    <w:rsid w:val="007C1672"/>
    <w:rsid w:val="007C312A"/>
    <w:rsid w:val="007C3570"/>
    <w:rsid w:val="007C3F3B"/>
    <w:rsid w:val="007C4241"/>
    <w:rsid w:val="007C55FF"/>
    <w:rsid w:val="007C6339"/>
    <w:rsid w:val="007C7C43"/>
    <w:rsid w:val="007C7F0D"/>
    <w:rsid w:val="007D1134"/>
    <w:rsid w:val="007D23F7"/>
    <w:rsid w:val="007D2566"/>
    <w:rsid w:val="007D2C18"/>
    <w:rsid w:val="007D2D74"/>
    <w:rsid w:val="007D3693"/>
    <w:rsid w:val="007D3C6D"/>
    <w:rsid w:val="007D481A"/>
    <w:rsid w:val="007D5648"/>
    <w:rsid w:val="007D58C5"/>
    <w:rsid w:val="007D5DE8"/>
    <w:rsid w:val="007D7CFC"/>
    <w:rsid w:val="007E0812"/>
    <w:rsid w:val="007E18DF"/>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AC1"/>
    <w:rsid w:val="007F4976"/>
    <w:rsid w:val="007F5A56"/>
    <w:rsid w:val="007F616E"/>
    <w:rsid w:val="007F6B46"/>
    <w:rsid w:val="007F72CB"/>
    <w:rsid w:val="007F736A"/>
    <w:rsid w:val="007F7635"/>
    <w:rsid w:val="007F785F"/>
    <w:rsid w:val="007F7AF6"/>
    <w:rsid w:val="007F7E36"/>
    <w:rsid w:val="00800E6D"/>
    <w:rsid w:val="008014D9"/>
    <w:rsid w:val="0080150F"/>
    <w:rsid w:val="0080153A"/>
    <w:rsid w:val="00801A2A"/>
    <w:rsid w:val="00802041"/>
    <w:rsid w:val="008022C9"/>
    <w:rsid w:val="00802F9E"/>
    <w:rsid w:val="00803700"/>
    <w:rsid w:val="00803D9D"/>
    <w:rsid w:val="008059C6"/>
    <w:rsid w:val="00805AD7"/>
    <w:rsid w:val="00805BD6"/>
    <w:rsid w:val="00805DE3"/>
    <w:rsid w:val="00807C35"/>
    <w:rsid w:val="00807F69"/>
    <w:rsid w:val="008100F7"/>
    <w:rsid w:val="00810206"/>
    <w:rsid w:val="00811898"/>
    <w:rsid w:val="008124D8"/>
    <w:rsid w:val="00813A7B"/>
    <w:rsid w:val="00813F04"/>
    <w:rsid w:val="00815DA5"/>
    <w:rsid w:val="00816221"/>
    <w:rsid w:val="0081766B"/>
    <w:rsid w:val="00820705"/>
    <w:rsid w:val="00820CBF"/>
    <w:rsid w:val="00820FA8"/>
    <w:rsid w:val="008212FD"/>
    <w:rsid w:val="00821489"/>
    <w:rsid w:val="008217B7"/>
    <w:rsid w:val="0082239B"/>
    <w:rsid w:val="0082292E"/>
    <w:rsid w:val="00822D06"/>
    <w:rsid w:val="0082348D"/>
    <w:rsid w:val="008236BE"/>
    <w:rsid w:val="008241CE"/>
    <w:rsid w:val="00825240"/>
    <w:rsid w:val="00825B43"/>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23EC"/>
    <w:rsid w:val="00843615"/>
    <w:rsid w:val="00843698"/>
    <w:rsid w:val="00843A4B"/>
    <w:rsid w:val="00843B57"/>
    <w:rsid w:val="00843B60"/>
    <w:rsid w:val="00843D33"/>
    <w:rsid w:val="00844D4F"/>
    <w:rsid w:val="00845AE3"/>
    <w:rsid w:val="008466A0"/>
    <w:rsid w:val="00847535"/>
    <w:rsid w:val="00847B6D"/>
    <w:rsid w:val="0085092D"/>
    <w:rsid w:val="00850D82"/>
    <w:rsid w:val="00850F79"/>
    <w:rsid w:val="0085100B"/>
    <w:rsid w:val="0085304C"/>
    <w:rsid w:val="008548CA"/>
    <w:rsid w:val="00856C06"/>
    <w:rsid w:val="0085790B"/>
    <w:rsid w:val="00857C95"/>
    <w:rsid w:val="00857E78"/>
    <w:rsid w:val="00860AEF"/>
    <w:rsid w:val="0086122C"/>
    <w:rsid w:val="00861310"/>
    <w:rsid w:val="00861F53"/>
    <w:rsid w:val="0086289E"/>
    <w:rsid w:val="0086394E"/>
    <w:rsid w:val="00863F8A"/>
    <w:rsid w:val="00863FE3"/>
    <w:rsid w:val="00864241"/>
    <w:rsid w:val="0086468A"/>
    <w:rsid w:val="008650BE"/>
    <w:rsid w:val="0086633B"/>
    <w:rsid w:val="00866495"/>
    <w:rsid w:val="00866931"/>
    <w:rsid w:val="00867512"/>
    <w:rsid w:val="0087033C"/>
    <w:rsid w:val="008715ED"/>
    <w:rsid w:val="008717D8"/>
    <w:rsid w:val="00871E3C"/>
    <w:rsid w:val="00872F97"/>
    <w:rsid w:val="00874607"/>
    <w:rsid w:val="00874915"/>
    <w:rsid w:val="00874B89"/>
    <w:rsid w:val="00875403"/>
    <w:rsid w:val="00875434"/>
    <w:rsid w:val="00876215"/>
    <w:rsid w:val="0087646C"/>
    <w:rsid w:val="00876815"/>
    <w:rsid w:val="00877932"/>
    <w:rsid w:val="008808C7"/>
    <w:rsid w:val="0088106B"/>
    <w:rsid w:val="0088107D"/>
    <w:rsid w:val="00881E64"/>
    <w:rsid w:val="00882E39"/>
    <w:rsid w:val="008850EB"/>
    <w:rsid w:val="00886DF2"/>
    <w:rsid w:val="00886FB9"/>
    <w:rsid w:val="00887080"/>
    <w:rsid w:val="00887C79"/>
    <w:rsid w:val="0089107B"/>
    <w:rsid w:val="008913CC"/>
    <w:rsid w:val="008914AE"/>
    <w:rsid w:val="008919CF"/>
    <w:rsid w:val="00891F84"/>
    <w:rsid w:val="008928EC"/>
    <w:rsid w:val="00892E5D"/>
    <w:rsid w:val="008935CF"/>
    <w:rsid w:val="00894436"/>
    <w:rsid w:val="00894BB1"/>
    <w:rsid w:val="008951D0"/>
    <w:rsid w:val="0089582D"/>
    <w:rsid w:val="008959C6"/>
    <w:rsid w:val="0089606D"/>
    <w:rsid w:val="00896129"/>
    <w:rsid w:val="0089774F"/>
    <w:rsid w:val="00897875"/>
    <w:rsid w:val="00897B8F"/>
    <w:rsid w:val="008A00D8"/>
    <w:rsid w:val="008A00D9"/>
    <w:rsid w:val="008A07D5"/>
    <w:rsid w:val="008A2A23"/>
    <w:rsid w:val="008A2AF5"/>
    <w:rsid w:val="008A2B5A"/>
    <w:rsid w:val="008A3F9D"/>
    <w:rsid w:val="008A5474"/>
    <w:rsid w:val="008A5C9A"/>
    <w:rsid w:val="008A6A55"/>
    <w:rsid w:val="008A6DF0"/>
    <w:rsid w:val="008A6F6E"/>
    <w:rsid w:val="008A7888"/>
    <w:rsid w:val="008A796E"/>
    <w:rsid w:val="008B0862"/>
    <w:rsid w:val="008B088C"/>
    <w:rsid w:val="008B1BF5"/>
    <w:rsid w:val="008B263F"/>
    <w:rsid w:val="008B47A6"/>
    <w:rsid w:val="008B672C"/>
    <w:rsid w:val="008C036D"/>
    <w:rsid w:val="008C0743"/>
    <w:rsid w:val="008C0B4C"/>
    <w:rsid w:val="008C11F0"/>
    <w:rsid w:val="008C1DBA"/>
    <w:rsid w:val="008C24E7"/>
    <w:rsid w:val="008C2500"/>
    <w:rsid w:val="008C2CAC"/>
    <w:rsid w:val="008C3E2A"/>
    <w:rsid w:val="008C45BD"/>
    <w:rsid w:val="008C4B19"/>
    <w:rsid w:val="008C62D4"/>
    <w:rsid w:val="008C6B89"/>
    <w:rsid w:val="008D18AA"/>
    <w:rsid w:val="008D1A2A"/>
    <w:rsid w:val="008D35D9"/>
    <w:rsid w:val="008D3B85"/>
    <w:rsid w:val="008D462D"/>
    <w:rsid w:val="008D66CA"/>
    <w:rsid w:val="008D69B1"/>
    <w:rsid w:val="008D7338"/>
    <w:rsid w:val="008E0012"/>
    <w:rsid w:val="008E0DF7"/>
    <w:rsid w:val="008E0FAD"/>
    <w:rsid w:val="008E1347"/>
    <w:rsid w:val="008E16E0"/>
    <w:rsid w:val="008E1C15"/>
    <w:rsid w:val="008E1C9A"/>
    <w:rsid w:val="008E28BD"/>
    <w:rsid w:val="008E38B4"/>
    <w:rsid w:val="008E3BA4"/>
    <w:rsid w:val="008E44AB"/>
    <w:rsid w:val="008E5179"/>
    <w:rsid w:val="008E6598"/>
    <w:rsid w:val="008E7214"/>
    <w:rsid w:val="008E7884"/>
    <w:rsid w:val="008E7D6E"/>
    <w:rsid w:val="008F1056"/>
    <w:rsid w:val="008F2E8D"/>
    <w:rsid w:val="008F387B"/>
    <w:rsid w:val="008F3DD9"/>
    <w:rsid w:val="008F4814"/>
    <w:rsid w:val="008F4DA6"/>
    <w:rsid w:val="008F538E"/>
    <w:rsid w:val="008F5A20"/>
    <w:rsid w:val="008F5ABA"/>
    <w:rsid w:val="008F7905"/>
    <w:rsid w:val="008F7989"/>
    <w:rsid w:val="009028E8"/>
    <w:rsid w:val="00902E5C"/>
    <w:rsid w:val="009046E5"/>
    <w:rsid w:val="009047C5"/>
    <w:rsid w:val="00910683"/>
    <w:rsid w:val="00910E00"/>
    <w:rsid w:val="009116CE"/>
    <w:rsid w:val="00911714"/>
    <w:rsid w:val="009136D4"/>
    <w:rsid w:val="00914B9A"/>
    <w:rsid w:val="00914C3F"/>
    <w:rsid w:val="00914F33"/>
    <w:rsid w:val="00915FCE"/>
    <w:rsid w:val="00916AFE"/>
    <w:rsid w:val="00916FC8"/>
    <w:rsid w:val="009170D3"/>
    <w:rsid w:val="0091759C"/>
    <w:rsid w:val="00920026"/>
    <w:rsid w:val="009203E2"/>
    <w:rsid w:val="00921304"/>
    <w:rsid w:val="00921805"/>
    <w:rsid w:val="00923396"/>
    <w:rsid w:val="00923F56"/>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7401"/>
    <w:rsid w:val="009376FB"/>
    <w:rsid w:val="00937D6B"/>
    <w:rsid w:val="00940477"/>
    <w:rsid w:val="00940876"/>
    <w:rsid w:val="00940A53"/>
    <w:rsid w:val="00940F3C"/>
    <w:rsid w:val="009410E0"/>
    <w:rsid w:val="009444B4"/>
    <w:rsid w:val="00944644"/>
    <w:rsid w:val="00946A24"/>
    <w:rsid w:val="009470D4"/>
    <w:rsid w:val="00947337"/>
    <w:rsid w:val="009512FA"/>
    <w:rsid w:val="00951E57"/>
    <w:rsid w:val="00953018"/>
    <w:rsid w:val="009533E2"/>
    <w:rsid w:val="00953554"/>
    <w:rsid w:val="0095385A"/>
    <w:rsid w:val="0095780A"/>
    <w:rsid w:val="009579E4"/>
    <w:rsid w:val="00957AA4"/>
    <w:rsid w:val="00957ACB"/>
    <w:rsid w:val="00957F27"/>
    <w:rsid w:val="00960BDB"/>
    <w:rsid w:val="0096147D"/>
    <w:rsid w:val="00961E5F"/>
    <w:rsid w:val="009625C6"/>
    <w:rsid w:val="009629B5"/>
    <w:rsid w:val="00962A50"/>
    <w:rsid w:val="00964138"/>
    <w:rsid w:val="00964B3F"/>
    <w:rsid w:val="00964C98"/>
    <w:rsid w:val="00971441"/>
    <w:rsid w:val="009715D4"/>
    <w:rsid w:val="0097494E"/>
    <w:rsid w:val="00974B58"/>
    <w:rsid w:val="009761ED"/>
    <w:rsid w:val="0098022F"/>
    <w:rsid w:val="009810DE"/>
    <w:rsid w:val="009822D7"/>
    <w:rsid w:val="009827E6"/>
    <w:rsid w:val="00982F84"/>
    <w:rsid w:val="0098427D"/>
    <w:rsid w:val="00984567"/>
    <w:rsid w:val="00985102"/>
    <w:rsid w:val="009865D5"/>
    <w:rsid w:val="009876F2"/>
    <w:rsid w:val="00987C77"/>
    <w:rsid w:val="00990345"/>
    <w:rsid w:val="00990701"/>
    <w:rsid w:val="0099119C"/>
    <w:rsid w:val="0099137A"/>
    <w:rsid w:val="0099211C"/>
    <w:rsid w:val="00993B78"/>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FDF"/>
    <w:rsid w:val="009A76D6"/>
    <w:rsid w:val="009B2E29"/>
    <w:rsid w:val="009B3163"/>
    <w:rsid w:val="009B422F"/>
    <w:rsid w:val="009B46BC"/>
    <w:rsid w:val="009B4D1A"/>
    <w:rsid w:val="009B558B"/>
    <w:rsid w:val="009B6D21"/>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A14"/>
    <w:rsid w:val="009D1E2A"/>
    <w:rsid w:val="009D1FA0"/>
    <w:rsid w:val="009D2BDF"/>
    <w:rsid w:val="009D3736"/>
    <w:rsid w:val="009D4529"/>
    <w:rsid w:val="009D604F"/>
    <w:rsid w:val="009D61BB"/>
    <w:rsid w:val="009D6410"/>
    <w:rsid w:val="009D65FF"/>
    <w:rsid w:val="009D68BB"/>
    <w:rsid w:val="009D70C2"/>
    <w:rsid w:val="009D7ADB"/>
    <w:rsid w:val="009D7B33"/>
    <w:rsid w:val="009E0703"/>
    <w:rsid w:val="009E16DA"/>
    <w:rsid w:val="009E1CD4"/>
    <w:rsid w:val="009E2391"/>
    <w:rsid w:val="009E476A"/>
    <w:rsid w:val="009E4E05"/>
    <w:rsid w:val="009E56FF"/>
    <w:rsid w:val="009E5CB1"/>
    <w:rsid w:val="009E5E56"/>
    <w:rsid w:val="009E61EA"/>
    <w:rsid w:val="009E6990"/>
    <w:rsid w:val="009E6FEE"/>
    <w:rsid w:val="009F060F"/>
    <w:rsid w:val="009F0781"/>
    <w:rsid w:val="009F0850"/>
    <w:rsid w:val="009F1BDF"/>
    <w:rsid w:val="009F1EAE"/>
    <w:rsid w:val="009F369D"/>
    <w:rsid w:val="009F36FE"/>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E0"/>
    <w:rsid w:val="00A06E4A"/>
    <w:rsid w:val="00A078FB"/>
    <w:rsid w:val="00A1036D"/>
    <w:rsid w:val="00A1069F"/>
    <w:rsid w:val="00A10ACA"/>
    <w:rsid w:val="00A10D08"/>
    <w:rsid w:val="00A12355"/>
    <w:rsid w:val="00A127D2"/>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5B0F"/>
    <w:rsid w:val="00A25BBB"/>
    <w:rsid w:val="00A27FB6"/>
    <w:rsid w:val="00A30121"/>
    <w:rsid w:val="00A30368"/>
    <w:rsid w:val="00A3043A"/>
    <w:rsid w:val="00A30E02"/>
    <w:rsid w:val="00A30F6A"/>
    <w:rsid w:val="00A31C3E"/>
    <w:rsid w:val="00A34538"/>
    <w:rsid w:val="00A34677"/>
    <w:rsid w:val="00A3540F"/>
    <w:rsid w:val="00A35630"/>
    <w:rsid w:val="00A35914"/>
    <w:rsid w:val="00A36189"/>
    <w:rsid w:val="00A37E73"/>
    <w:rsid w:val="00A37FB6"/>
    <w:rsid w:val="00A4104A"/>
    <w:rsid w:val="00A41081"/>
    <w:rsid w:val="00A411CA"/>
    <w:rsid w:val="00A42096"/>
    <w:rsid w:val="00A426F3"/>
    <w:rsid w:val="00A42FDF"/>
    <w:rsid w:val="00A430A9"/>
    <w:rsid w:val="00A431FE"/>
    <w:rsid w:val="00A439E5"/>
    <w:rsid w:val="00A4497A"/>
    <w:rsid w:val="00A44BE8"/>
    <w:rsid w:val="00A44C96"/>
    <w:rsid w:val="00A44F54"/>
    <w:rsid w:val="00A45F9B"/>
    <w:rsid w:val="00A46574"/>
    <w:rsid w:val="00A500B1"/>
    <w:rsid w:val="00A52EE5"/>
    <w:rsid w:val="00A53037"/>
    <w:rsid w:val="00A532B9"/>
    <w:rsid w:val="00A5351D"/>
    <w:rsid w:val="00A53E79"/>
    <w:rsid w:val="00A54031"/>
    <w:rsid w:val="00A5426D"/>
    <w:rsid w:val="00A54FC2"/>
    <w:rsid w:val="00A55122"/>
    <w:rsid w:val="00A56DE7"/>
    <w:rsid w:val="00A57EB2"/>
    <w:rsid w:val="00A6009E"/>
    <w:rsid w:val="00A60B1F"/>
    <w:rsid w:val="00A61C60"/>
    <w:rsid w:val="00A62589"/>
    <w:rsid w:val="00A62C3A"/>
    <w:rsid w:val="00A63812"/>
    <w:rsid w:val="00A63DF7"/>
    <w:rsid w:val="00A668BA"/>
    <w:rsid w:val="00A66FA7"/>
    <w:rsid w:val="00A67E16"/>
    <w:rsid w:val="00A703CC"/>
    <w:rsid w:val="00A70C5C"/>
    <w:rsid w:val="00A71EA7"/>
    <w:rsid w:val="00A730AD"/>
    <w:rsid w:val="00A73855"/>
    <w:rsid w:val="00A73D64"/>
    <w:rsid w:val="00A74216"/>
    <w:rsid w:val="00A744B4"/>
    <w:rsid w:val="00A751E3"/>
    <w:rsid w:val="00A75504"/>
    <w:rsid w:val="00A77168"/>
    <w:rsid w:val="00A7723B"/>
    <w:rsid w:val="00A7793C"/>
    <w:rsid w:val="00A77D21"/>
    <w:rsid w:val="00A80085"/>
    <w:rsid w:val="00A8043B"/>
    <w:rsid w:val="00A81323"/>
    <w:rsid w:val="00A820CB"/>
    <w:rsid w:val="00A82342"/>
    <w:rsid w:val="00A83BEF"/>
    <w:rsid w:val="00A84443"/>
    <w:rsid w:val="00A8487F"/>
    <w:rsid w:val="00A849A3"/>
    <w:rsid w:val="00A84A0E"/>
    <w:rsid w:val="00A86E0B"/>
    <w:rsid w:val="00A90F12"/>
    <w:rsid w:val="00A93101"/>
    <w:rsid w:val="00A94293"/>
    <w:rsid w:val="00A9496E"/>
    <w:rsid w:val="00A949F0"/>
    <w:rsid w:val="00A94BDE"/>
    <w:rsid w:val="00A94FCA"/>
    <w:rsid w:val="00A95E4C"/>
    <w:rsid w:val="00A96C60"/>
    <w:rsid w:val="00A9740B"/>
    <w:rsid w:val="00A9766C"/>
    <w:rsid w:val="00A977F8"/>
    <w:rsid w:val="00A97C93"/>
    <w:rsid w:val="00AA08E7"/>
    <w:rsid w:val="00AA0A06"/>
    <w:rsid w:val="00AA1351"/>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724B"/>
    <w:rsid w:val="00AB726C"/>
    <w:rsid w:val="00AB72B4"/>
    <w:rsid w:val="00AC02AA"/>
    <w:rsid w:val="00AC0537"/>
    <w:rsid w:val="00AC0A84"/>
    <w:rsid w:val="00AC2A0B"/>
    <w:rsid w:val="00AC2BEE"/>
    <w:rsid w:val="00AC2E53"/>
    <w:rsid w:val="00AC484F"/>
    <w:rsid w:val="00AC4B20"/>
    <w:rsid w:val="00AC56F2"/>
    <w:rsid w:val="00AC71C3"/>
    <w:rsid w:val="00AD1EFA"/>
    <w:rsid w:val="00AD2072"/>
    <w:rsid w:val="00AD2DBD"/>
    <w:rsid w:val="00AD2FBF"/>
    <w:rsid w:val="00AD455D"/>
    <w:rsid w:val="00AD463C"/>
    <w:rsid w:val="00AD4F60"/>
    <w:rsid w:val="00AD5044"/>
    <w:rsid w:val="00AD5114"/>
    <w:rsid w:val="00AD6236"/>
    <w:rsid w:val="00AD7619"/>
    <w:rsid w:val="00AD7770"/>
    <w:rsid w:val="00AE1772"/>
    <w:rsid w:val="00AE1990"/>
    <w:rsid w:val="00AE25E8"/>
    <w:rsid w:val="00AE2AD4"/>
    <w:rsid w:val="00AE2CA7"/>
    <w:rsid w:val="00AE2F1D"/>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3C48"/>
    <w:rsid w:val="00B13E35"/>
    <w:rsid w:val="00B13EC0"/>
    <w:rsid w:val="00B14102"/>
    <w:rsid w:val="00B14D32"/>
    <w:rsid w:val="00B1557C"/>
    <w:rsid w:val="00B155DC"/>
    <w:rsid w:val="00B15766"/>
    <w:rsid w:val="00B1666A"/>
    <w:rsid w:val="00B1686D"/>
    <w:rsid w:val="00B1741D"/>
    <w:rsid w:val="00B17447"/>
    <w:rsid w:val="00B1771D"/>
    <w:rsid w:val="00B17B91"/>
    <w:rsid w:val="00B20209"/>
    <w:rsid w:val="00B203C9"/>
    <w:rsid w:val="00B2088D"/>
    <w:rsid w:val="00B208FF"/>
    <w:rsid w:val="00B22E22"/>
    <w:rsid w:val="00B22F5F"/>
    <w:rsid w:val="00B23813"/>
    <w:rsid w:val="00B23FD9"/>
    <w:rsid w:val="00B24591"/>
    <w:rsid w:val="00B245D5"/>
    <w:rsid w:val="00B24C36"/>
    <w:rsid w:val="00B24F94"/>
    <w:rsid w:val="00B25126"/>
    <w:rsid w:val="00B25A52"/>
    <w:rsid w:val="00B25FC3"/>
    <w:rsid w:val="00B27875"/>
    <w:rsid w:val="00B3008D"/>
    <w:rsid w:val="00B30E11"/>
    <w:rsid w:val="00B30EEB"/>
    <w:rsid w:val="00B31423"/>
    <w:rsid w:val="00B323E0"/>
    <w:rsid w:val="00B32DC0"/>
    <w:rsid w:val="00B3346C"/>
    <w:rsid w:val="00B335E4"/>
    <w:rsid w:val="00B33C23"/>
    <w:rsid w:val="00B345B4"/>
    <w:rsid w:val="00B348B1"/>
    <w:rsid w:val="00B34A28"/>
    <w:rsid w:val="00B35046"/>
    <w:rsid w:val="00B35B6A"/>
    <w:rsid w:val="00B37657"/>
    <w:rsid w:val="00B37AFD"/>
    <w:rsid w:val="00B37B07"/>
    <w:rsid w:val="00B4046F"/>
    <w:rsid w:val="00B41D39"/>
    <w:rsid w:val="00B422C0"/>
    <w:rsid w:val="00B426CA"/>
    <w:rsid w:val="00B426E1"/>
    <w:rsid w:val="00B4387A"/>
    <w:rsid w:val="00B44260"/>
    <w:rsid w:val="00B44746"/>
    <w:rsid w:val="00B44854"/>
    <w:rsid w:val="00B458D0"/>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7630"/>
    <w:rsid w:val="00B67FBF"/>
    <w:rsid w:val="00B72110"/>
    <w:rsid w:val="00B72B91"/>
    <w:rsid w:val="00B73019"/>
    <w:rsid w:val="00B7315F"/>
    <w:rsid w:val="00B7323A"/>
    <w:rsid w:val="00B7353B"/>
    <w:rsid w:val="00B737FB"/>
    <w:rsid w:val="00B7423D"/>
    <w:rsid w:val="00B74D05"/>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60D"/>
    <w:rsid w:val="00B87706"/>
    <w:rsid w:val="00B90A49"/>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7CC"/>
    <w:rsid w:val="00BC2898"/>
    <w:rsid w:val="00BC2928"/>
    <w:rsid w:val="00BC2BB1"/>
    <w:rsid w:val="00BC34A3"/>
    <w:rsid w:val="00BC3FF9"/>
    <w:rsid w:val="00BC4834"/>
    <w:rsid w:val="00BC4A97"/>
    <w:rsid w:val="00BC5A25"/>
    <w:rsid w:val="00BC5FDD"/>
    <w:rsid w:val="00BC68B4"/>
    <w:rsid w:val="00BD0140"/>
    <w:rsid w:val="00BD02CC"/>
    <w:rsid w:val="00BD2063"/>
    <w:rsid w:val="00BD33D9"/>
    <w:rsid w:val="00BD38C5"/>
    <w:rsid w:val="00BD3DEA"/>
    <w:rsid w:val="00BD3E97"/>
    <w:rsid w:val="00BD40E4"/>
    <w:rsid w:val="00BD52FE"/>
    <w:rsid w:val="00BD62CF"/>
    <w:rsid w:val="00BD67B2"/>
    <w:rsid w:val="00BD78FE"/>
    <w:rsid w:val="00BE0149"/>
    <w:rsid w:val="00BE0767"/>
    <w:rsid w:val="00BE12D7"/>
    <w:rsid w:val="00BE1372"/>
    <w:rsid w:val="00BE1775"/>
    <w:rsid w:val="00BE18DA"/>
    <w:rsid w:val="00BE26C0"/>
    <w:rsid w:val="00BE3442"/>
    <w:rsid w:val="00BE47B2"/>
    <w:rsid w:val="00BE48C7"/>
    <w:rsid w:val="00BE4F66"/>
    <w:rsid w:val="00BE5238"/>
    <w:rsid w:val="00BE6074"/>
    <w:rsid w:val="00BE7257"/>
    <w:rsid w:val="00BF020D"/>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BDB"/>
    <w:rsid w:val="00C052C6"/>
    <w:rsid w:val="00C05A61"/>
    <w:rsid w:val="00C06CCF"/>
    <w:rsid w:val="00C1159D"/>
    <w:rsid w:val="00C118DB"/>
    <w:rsid w:val="00C1233E"/>
    <w:rsid w:val="00C12FB3"/>
    <w:rsid w:val="00C138BC"/>
    <w:rsid w:val="00C13D85"/>
    <w:rsid w:val="00C14639"/>
    <w:rsid w:val="00C14E82"/>
    <w:rsid w:val="00C14FF6"/>
    <w:rsid w:val="00C15A85"/>
    <w:rsid w:val="00C1641B"/>
    <w:rsid w:val="00C165FC"/>
    <w:rsid w:val="00C176D5"/>
    <w:rsid w:val="00C2082C"/>
    <w:rsid w:val="00C20EB0"/>
    <w:rsid w:val="00C21005"/>
    <w:rsid w:val="00C220B6"/>
    <w:rsid w:val="00C22D7C"/>
    <w:rsid w:val="00C22DDE"/>
    <w:rsid w:val="00C2338B"/>
    <w:rsid w:val="00C233CE"/>
    <w:rsid w:val="00C237DD"/>
    <w:rsid w:val="00C238F4"/>
    <w:rsid w:val="00C23A99"/>
    <w:rsid w:val="00C245EE"/>
    <w:rsid w:val="00C24AE1"/>
    <w:rsid w:val="00C24B8D"/>
    <w:rsid w:val="00C24BD7"/>
    <w:rsid w:val="00C25813"/>
    <w:rsid w:val="00C27143"/>
    <w:rsid w:val="00C27490"/>
    <w:rsid w:val="00C27D37"/>
    <w:rsid w:val="00C309E8"/>
    <w:rsid w:val="00C32017"/>
    <w:rsid w:val="00C325CD"/>
    <w:rsid w:val="00C3322E"/>
    <w:rsid w:val="00C337F5"/>
    <w:rsid w:val="00C33B90"/>
    <w:rsid w:val="00C34B5F"/>
    <w:rsid w:val="00C358D4"/>
    <w:rsid w:val="00C36785"/>
    <w:rsid w:val="00C3711C"/>
    <w:rsid w:val="00C37256"/>
    <w:rsid w:val="00C37A7B"/>
    <w:rsid w:val="00C37FFE"/>
    <w:rsid w:val="00C40B50"/>
    <w:rsid w:val="00C419E3"/>
    <w:rsid w:val="00C419F4"/>
    <w:rsid w:val="00C41E6A"/>
    <w:rsid w:val="00C42247"/>
    <w:rsid w:val="00C439BE"/>
    <w:rsid w:val="00C4539B"/>
    <w:rsid w:val="00C45466"/>
    <w:rsid w:val="00C455C1"/>
    <w:rsid w:val="00C4581D"/>
    <w:rsid w:val="00C47472"/>
    <w:rsid w:val="00C500F0"/>
    <w:rsid w:val="00C504A7"/>
    <w:rsid w:val="00C506C9"/>
    <w:rsid w:val="00C50A16"/>
    <w:rsid w:val="00C51C9A"/>
    <w:rsid w:val="00C52C68"/>
    <w:rsid w:val="00C52D98"/>
    <w:rsid w:val="00C53D24"/>
    <w:rsid w:val="00C54640"/>
    <w:rsid w:val="00C547A6"/>
    <w:rsid w:val="00C54A3A"/>
    <w:rsid w:val="00C55C32"/>
    <w:rsid w:val="00C56A67"/>
    <w:rsid w:val="00C56CC2"/>
    <w:rsid w:val="00C57498"/>
    <w:rsid w:val="00C5763C"/>
    <w:rsid w:val="00C5780C"/>
    <w:rsid w:val="00C5796B"/>
    <w:rsid w:val="00C619A1"/>
    <w:rsid w:val="00C62370"/>
    <w:rsid w:val="00C62BBB"/>
    <w:rsid w:val="00C6305F"/>
    <w:rsid w:val="00C6325B"/>
    <w:rsid w:val="00C63E99"/>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D46"/>
    <w:rsid w:val="00C82298"/>
    <w:rsid w:val="00C833B4"/>
    <w:rsid w:val="00C84284"/>
    <w:rsid w:val="00C84E33"/>
    <w:rsid w:val="00C85FFC"/>
    <w:rsid w:val="00C861FC"/>
    <w:rsid w:val="00C86C87"/>
    <w:rsid w:val="00C9005E"/>
    <w:rsid w:val="00C90111"/>
    <w:rsid w:val="00C90CA9"/>
    <w:rsid w:val="00C915F2"/>
    <w:rsid w:val="00C917B1"/>
    <w:rsid w:val="00C9193C"/>
    <w:rsid w:val="00C91B77"/>
    <w:rsid w:val="00C920E2"/>
    <w:rsid w:val="00C93765"/>
    <w:rsid w:val="00C93877"/>
    <w:rsid w:val="00C93D8C"/>
    <w:rsid w:val="00C946CC"/>
    <w:rsid w:val="00C959BD"/>
    <w:rsid w:val="00C95F44"/>
    <w:rsid w:val="00C96D1B"/>
    <w:rsid w:val="00C97106"/>
    <w:rsid w:val="00CA0031"/>
    <w:rsid w:val="00CA0413"/>
    <w:rsid w:val="00CA043A"/>
    <w:rsid w:val="00CA1691"/>
    <w:rsid w:val="00CA41E7"/>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C00CD"/>
    <w:rsid w:val="00CC0579"/>
    <w:rsid w:val="00CC0AF3"/>
    <w:rsid w:val="00CC0BC6"/>
    <w:rsid w:val="00CC0E68"/>
    <w:rsid w:val="00CC21AC"/>
    <w:rsid w:val="00CC2514"/>
    <w:rsid w:val="00CC2F69"/>
    <w:rsid w:val="00CC315F"/>
    <w:rsid w:val="00CC3D38"/>
    <w:rsid w:val="00CC40C3"/>
    <w:rsid w:val="00CC4E5D"/>
    <w:rsid w:val="00CC50AE"/>
    <w:rsid w:val="00CC61B7"/>
    <w:rsid w:val="00CC61CA"/>
    <w:rsid w:val="00CC69EC"/>
    <w:rsid w:val="00CC71D3"/>
    <w:rsid w:val="00CC743D"/>
    <w:rsid w:val="00CD050A"/>
    <w:rsid w:val="00CD205D"/>
    <w:rsid w:val="00CD2A22"/>
    <w:rsid w:val="00CD2B50"/>
    <w:rsid w:val="00CD4506"/>
    <w:rsid w:val="00CD520B"/>
    <w:rsid w:val="00CD592E"/>
    <w:rsid w:val="00CD5982"/>
    <w:rsid w:val="00CD5A1A"/>
    <w:rsid w:val="00CD7EFA"/>
    <w:rsid w:val="00CE020E"/>
    <w:rsid w:val="00CE0566"/>
    <w:rsid w:val="00CE1CD4"/>
    <w:rsid w:val="00CE2761"/>
    <w:rsid w:val="00CE314E"/>
    <w:rsid w:val="00CE3D5C"/>
    <w:rsid w:val="00CE3E14"/>
    <w:rsid w:val="00CE44C7"/>
    <w:rsid w:val="00CE53CC"/>
    <w:rsid w:val="00CE65A7"/>
    <w:rsid w:val="00CE68FE"/>
    <w:rsid w:val="00CE69CC"/>
    <w:rsid w:val="00CE6EC4"/>
    <w:rsid w:val="00CE7F26"/>
    <w:rsid w:val="00CF1226"/>
    <w:rsid w:val="00CF1ABB"/>
    <w:rsid w:val="00CF1E1D"/>
    <w:rsid w:val="00CF24FE"/>
    <w:rsid w:val="00CF35D0"/>
    <w:rsid w:val="00CF3D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8E9"/>
    <w:rsid w:val="00D0612A"/>
    <w:rsid w:val="00D1060D"/>
    <w:rsid w:val="00D10E7C"/>
    <w:rsid w:val="00D11182"/>
    <w:rsid w:val="00D1137B"/>
    <w:rsid w:val="00D11807"/>
    <w:rsid w:val="00D11DB3"/>
    <w:rsid w:val="00D12D82"/>
    <w:rsid w:val="00D1306E"/>
    <w:rsid w:val="00D134CD"/>
    <w:rsid w:val="00D14B5F"/>
    <w:rsid w:val="00D14E13"/>
    <w:rsid w:val="00D14F23"/>
    <w:rsid w:val="00D16740"/>
    <w:rsid w:val="00D16A8B"/>
    <w:rsid w:val="00D16E39"/>
    <w:rsid w:val="00D17951"/>
    <w:rsid w:val="00D17AD8"/>
    <w:rsid w:val="00D2104A"/>
    <w:rsid w:val="00D21BB5"/>
    <w:rsid w:val="00D21FFC"/>
    <w:rsid w:val="00D223B6"/>
    <w:rsid w:val="00D223E8"/>
    <w:rsid w:val="00D22DC8"/>
    <w:rsid w:val="00D2522A"/>
    <w:rsid w:val="00D2531C"/>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9A5"/>
    <w:rsid w:val="00D401BE"/>
    <w:rsid w:val="00D4043A"/>
    <w:rsid w:val="00D40DB0"/>
    <w:rsid w:val="00D41858"/>
    <w:rsid w:val="00D422DB"/>
    <w:rsid w:val="00D42AC2"/>
    <w:rsid w:val="00D4498E"/>
    <w:rsid w:val="00D4515F"/>
    <w:rsid w:val="00D451E8"/>
    <w:rsid w:val="00D466C9"/>
    <w:rsid w:val="00D47275"/>
    <w:rsid w:val="00D51E15"/>
    <w:rsid w:val="00D52B7E"/>
    <w:rsid w:val="00D52E2F"/>
    <w:rsid w:val="00D52F59"/>
    <w:rsid w:val="00D53E3E"/>
    <w:rsid w:val="00D55904"/>
    <w:rsid w:val="00D5616F"/>
    <w:rsid w:val="00D57940"/>
    <w:rsid w:val="00D60327"/>
    <w:rsid w:val="00D61526"/>
    <w:rsid w:val="00D61F81"/>
    <w:rsid w:val="00D62BE6"/>
    <w:rsid w:val="00D63766"/>
    <w:rsid w:val="00D63912"/>
    <w:rsid w:val="00D63923"/>
    <w:rsid w:val="00D6451B"/>
    <w:rsid w:val="00D64B57"/>
    <w:rsid w:val="00D65DEA"/>
    <w:rsid w:val="00D67BC7"/>
    <w:rsid w:val="00D701F1"/>
    <w:rsid w:val="00D705D3"/>
    <w:rsid w:val="00D70E00"/>
    <w:rsid w:val="00D715AC"/>
    <w:rsid w:val="00D71851"/>
    <w:rsid w:val="00D718CF"/>
    <w:rsid w:val="00D728F5"/>
    <w:rsid w:val="00D72E9D"/>
    <w:rsid w:val="00D73249"/>
    <w:rsid w:val="00D73419"/>
    <w:rsid w:val="00D73CA9"/>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310B"/>
    <w:rsid w:val="00D93726"/>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7462"/>
    <w:rsid w:val="00DA7AD0"/>
    <w:rsid w:val="00DB02D7"/>
    <w:rsid w:val="00DB03CC"/>
    <w:rsid w:val="00DB12D4"/>
    <w:rsid w:val="00DB14F0"/>
    <w:rsid w:val="00DB1745"/>
    <w:rsid w:val="00DB1AFF"/>
    <w:rsid w:val="00DB219A"/>
    <w:rsid w:val="00DB3165"/>
    <w:rsid w:val="00DB4292"/>
    <w:rsid w:val="00DB6E46"/>
    <w:rsid w:val="00DB7117"/>
    <w:rsid w:val="00DB7760"/>
    <w:rsid w:val="00DB7DD4"/>
    <w:rsid w:val="00DC00B4"/>
    <w:rsid w:val="00DC0954"/>
    <w:rsid w:val="00DC15BA"/>
    <w:rsid w:val="00DC18CD"/>
    <w:rsid w:val="00DC1A68"/>
    <w:rsid w:val="00DC30B8"/>
    <w:rsid w:val="00DC478F"/>
    <w:rsid w:val="00DC62E5"/>
    <w:rsid w:val="00DC6F33"/>
    <w:rsid w:val="00DC7349"/>
    <w:rsid w:val="00DD14D8"/>
    <w:rsid w:val="00DD1599"/>
    <w:rsid w:val="00DD1B03"/>
    <w:rsid w:val="00DD2A62"/>
    <w:rsid w:val="00DD2F2F"/>
    <w:rsid w:val="00DD2F7A"/>
    <w:rsid w:val="00DD3885"/>
    <w:rsid w:val="00DD5808"/>
    <w:rsid w:val="00DD5946"/>
    <w:rsid w:val="00DD5B04"/>
    <w:rsid w:val="00DD5DAE"/>
    <w:rsid w:val="00DD5EC6"/>
    <w:rsid w:val="00DD605F"/>
    <w:rsid w:val="00DD72A0"/>
    <w:rsid w:val="00DD735D"/>
    <w:rsid w:val="00DE0159"/>
    <w:rsid w:val="00DE064A"/>
    <w:rsid w:val="00DE082D"/>
    <w:rsid w:val="00DE1410"/>
    <w:rsid w:val="00DE3119"/>
    <w:rsid w:val="00DE3FF0"/>
    <w:rsid w:val="00DE4105"/>
    <w:rsid w:val="00DE5189"/>
    <w:rsid w:val="00DE7108"/>
    <w:rsid w:val="00DE78D1"/>
    <w:rsid w:val="00DF0263"/>
    <w:rsid w:val="00DF0EB4"/>
    <w:rsid w:val="00DF1E36"/>
    <w:rsid w:val="00DF236B"/>
    <w:rsid w:val="00DF2A91"/>
    <w:rsid w:val="00DF3889"/>
    <w:rsid w:val="00DF3CC9"/>
    <w:rsid w:val="00DF4451"/>
    <w:rsid w:val="00DF49FF"/>
    <w:rsid w:val="00DF4FFB"/>
    <w:rsid w:val="00DF5236"/>
    <w:rsid w:val="00DF651F"/>
    <w:rsid w:val="00DF6E10"/>
    <w:rsid w:val="00DF6F43"/>
    <w:rsid w:val="00DF752F"/>
    <w:rsid w:val="00DF76A2"/>
    <w:rsid w:val="00E00B7A"/>
    <w:rsid w:val="00E02186"/>
    <w:rsid w:val="00E026BB"/>
    <w:rsid w:val="00E027C5"/>
    <w:rsid w:val="00E03124"/>
    <w:rsid w:val="00E03951"/>
    <w:rsid w:val="00E03DB8"/>
    <w:rsid w:val="00E05E70"/>
    <w:rsid w:val="00E064BC"/>
    <w:rsid w:val="00E07225"/>
    <w:rsid w:val="00E109DD"/>
    <w:rsid w:val="00E11229"/>
    <w:rsid w:val="00E114CA"/>
    <w:rsid w:val="00E1397F"/>
    <w:rsid w:val="00E13AB8"/>
    <w:rsid w:val="00E1482E"/>
    <w:rsid w:val="00E16382"/>
    <w:rsid w:val="00E1699C"/>
    <w:rsid w:val="00E16E75"/>
    <w:rsid w:val="00E1746D"/>
    <w:rsid w:val="00E2012A"/>
    <w:rsid w:val="00E205A2"/>
    <w:rsid w:val="00E20BA4"/>
    <w:rsid w:val="00E23137"/>
    <w:rsid w:val="00E23980"/>
    <w:rsid w:val="00E241E9"/>
    <w:rsid w:val="00E257C3"/>
    <w:rsid w:val="00E25CB3"/>
    <w:rsid w:val="00E25DA4"/>
    <w:rsid w:val="00E26CB8"/>
    <w:rsid w:val="00E26FCF"/>
    <w:rsid w:val="00E27165"/>
    <w:rsid w:val="00E3044A"/>
    <w:rsid w:val="00E31A4A"/>
    <w:rsid w:val="00E3344A"/>
    <w:rsid w:val="00E33B29"/>
    <w:rsid w:val="00E33B62"/>
    <w:rsid w:val="00E3403D"/>
    <w:rsid w:val="00E34E6C"/>
    <w:rsid w:val="00E353E2"/>
    <w:rsid w:val="00E36345"/>
    <w:rsid w:val="00E36C86"/>
    <w:rsid w:val="00E36CEB"/>
    <w:rsid w:val="00E37A28"/>
    <w:rsid w:val="00E40430"/>
    <w:rsid w:val="00E40690"/>
    <w:rsid w:val="00E40AEB"/>
    <w:rsid w:val="00E4143A"/>
    <w:rsid w:val="00E424C8"/>
    <w:rsid w:val="00E4251D"/>
    <w:rsid w:val="00E43D00"/>
    <w:rsid w:val="00E445E4"/>
    <w:rsid w:val="00E457CB"/>
    <w:rsid w:val="00E45D47"/>
    <w:rsid w:val="00E45DE4"/>
    <w:rsid w:val="00E45E63"/>
    <w:rsid w:val="00E50A7B"/>
    <w:rsid w:val="00E50B0B"/>
    <w:rsid w:val="00E510FE"/>
    <w:rsid w:val="00E51E25"/>
    <w:rsid w:val="00E5205B"/>
    <w:rsid w:val="00E521AE"/>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24E7"/>
    <w:rsid w:val="00E72B41"/>
    <w:rsid w:val="00E7347B"/>
    <w:rsid w:val="00E73D03"/>
    <w:rsid w:val="00E7471C"/>
    <w:rsid w:val="00E7498A"/>
    <w:rsid w:val="00E7514E"/>
    <w:rsid w:val="00E77AF5"/>
    <w:rsid w:val="00E823F9"/>
    <w:rsid w:val="00E82C1F"/>
    <w:rsid w:val="00E83671"/>
    <w:rsid w:val="00E84A71"/>
    <w:rsid w:val="00E86556"/>
    <w:rsid w:val="00E86D35"/>
    <w:rsid w:val="00E86DC2"/>
    <w:rsid w:val="00E86E32"/>
    <w:rsid w:val="00E8732E"/>
    <w:rsid w:val="00E9011F"/>
    <w:rsid w:val="00E906EB"/>
    <w:rsid w:val="00E9241E"/>
    <w:rsid w:val="00E92460"/>
    <w:rsid w:val="00E92E62"/>
    <w:rsid w:val="00E93804"/>
    <w:rsid w:val="00E95434"/>
    <w:rsid w:val="00E96467"/>
    <w:rsid w:val="00E966DA"/>
    <w:rsid w:val="00E96948"/>
    <w:rsid w:val="00E9737B"/>
    <w:rsid w:val="00E97A3F"/>
    <w:rsid w:val="00E97F0A"/>
    <w:rsid w:val="00EA0100"/>
    <w:rsid w:val="00EA0BCE"/>
    <w:rsid w:val="00EA2744"/>
    <w:rsid w:val="00EA37B9"/>
    <w:rsid w:val="00EA39F7"/>
    <w:rsid w:val="00EA3DC2"/>
    <w:rsid w:val="00EA434E"/>
    <w:rsid w:val="00EA4757"/>
    <w:rsid w:val="00EA560B"/>
    <w:rsid w:val="00EA5669"/>
    <w:rsid w:val="00EA63EF"/>
    <w:rsid w:val="00EA6750"/>
    <w:rsid w:val="00EB0A89"/>
    <w:rsid w:val="00EB1573"/>
    <w:rsid w:val="00EB1910"/>
    <w:rsid w:val="00EB2E97"/>
    <w:rsid w:val="00EB3416"/>
    <w:rsid w:val="00EB4AE1"/>
    <w:rsid w:val="00EB52F4"/>
    <w:rsid w:val="00EB5694"/>
    <w:rsid w:val="00EB5779"/>
    <w:rsid w:val="00EB67F1"/>
    <w:rsid w:val="00EB72CD"/>
    <w:rsid w:val="00EB749A"/>
    <w:rsid w:val="00EB76B6"/>
    <w:rsid w:val="00EB7D8A"/>
    <w:rsid w:val="00EC05E2"/>
    <w:rsid w:val="00EC0B29"/>
    <w:rsid w:val="00EC0E84"/>
    <w:rsid w:val="00EC16E2"/>
    <w:rsid w:val="00EC1CE7"/>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F03"/>
    <w:rsid w:val="00ED2D27"/>
    <w:rsid w:val="00ED3347"/>
    <w:rsid w:val="00ED3954"/>
    <w:rsid w:val="00ED43A2"/>
    <w:rsid w:val="00ED4967"/>
    <w:rsid w:val="00ED5140"/>
    <w:rsid w:val="00ED538C"/>
    <w:rsid w:val="00ED5771"/>
    <w:rsid w:val="00ED587F"/>
    <w:rsid w:val="00ED5964"/>
    <w:rsid w:val="00ED623F"/>
    <w:rsid w:val="00ED69BA"/>
    <w:rsid w:val="00ED72E9"/>
    <w:rsid w:val="00ED732E"/>
    <w:rsid w:val="00ED77F0"/>
    <w:rsid w:val="00ED7FBC"/>
    <w:rsid w:val="00EE0253"/>
    <w:rsid w:val="00EE0297"/>
    <w:rsid w:val="00EE1258"/>
    <w:rsid w:val="00EE13DA"/>
    <w:rsid w:val="00EE1668"/>
    <w:rsid w:val="00EE366D"/>
    <w:rsid w:val="00EE5454"/>
    <w:rsid w:val="00EE58B8"/>
    <w:rsid w:val="00EE59B5"/>
    <w:rsid w:val="00EE5FB7"/>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213A0"/>
    <w:rsid w:val="00F21A51"/>
    <w:rsid w:val="00F21D54"/>
    <w:rsid w:val="00F21EF4"/>
    <w:rsid w:val="00F23113"/>
    <w:rsid w:val="00F23255"/>
    <w:rsid w:val="00F23393"/>
    <w:rsid w:val="00F23759"/>
    <w:rsid w:val="00F24644"/>
    <w:rsid w:val="00F26F33"/>
    <w:rsid w:val="00F300A8"/>
    <w:rsid w:val="00F30400"/>
    <w:rsid w:val="00F3079E"/>
    <w:rsid w:val="00F3399B"/>
    <w:rsid w:val="00F346ED"/>
    <w:rsid w:val="00F34945"/>
    <w:rsid w:val="00F34E1E"/>
    <w:rsid w:val="00F3570C"/>
    <w:rsid w:val="00F368FF"/>
    <w:rsid w:val="00F37068"/>
    <w:rsid w:val="00F37F3F"/>
    <w:rsid w:val="00F40992"/>
    <w:rsid w:val="00F41596"/>
    <w:rsid w:val="00F41D8B"/>
    <w:rsid w:val="00F42121"/>
    <w:rsid w:val="00F424B3"/>
    <w:rsid w:val="00F428B1"/>
    <w:rsid w:val="00F428B4"/>
    <w:rsid w:val="00F4345D"/>
    <w:rsid w:val="00F4387B"/>
    <w:rsid w:val="00F45B91"/>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24A7"/>
    <w:rsid w:val="00F62AB6"/>
    <w:rsid w:val="00F65A3C"/>
    <w:rsid w:val="00F66282"/>
    <w:rsid w:val="00F67D8B"/>
    <w:rsid w:val="00F70961"/>
    <w:rsid w:val="00F70A8F"/>
    <w:rsid w:val="00F71397"/>
    <w:rsid w:val="00F72389"/>
    <w:rsid w:val="00F72516"/>
    <w:rsid w:val="00F72FB4"/>
    <w:rsid w:val="00F735E5"/>
    <w:rsid w:val="00F73E80"/>
    <w:rsid w:val="00F7469C"/>
    <w:rsid w:val="00F7492E"/>
    <w:rsid w:val="00F74945"/>
    <w:rsid w:val="00F749A3"/>
    <w:rsid w:val="00F74A04"/>
    <w:rsid w:val="00F74AE8"/>
    <w:rsid w:val="00F76C11"/>
    <w:rsid w:val="00F77021"/>
    <w:rsid w:val="00F77E61"/>
    <w:rsid w:val="00F815AC"/>
    <w:rsid w:val="00F83B33"/>
    <w:rsid w:val="00F83CAE"/>
    <w:rsid w:val="00F840BF"/>
    <w:rsid w:val="00F8427A"/>
    <w:rsid w:val="00F843DF"/>
    <w:rsid w:val="00F84899"/>
    <w:rsid w:val="00F85585"/>
    <w:rsid w:val="00F859F0"/>
    <w:rsid w:val="00F85CC1"/>
    <w:rsid w:val="00F86B5D"/>
    <w:rsid w:val="00F87634"/>
    <w:rsid w:val="00F87C13"/>
    <w:rsid w:val="00F87C5A"/>
    <w:rsid w:val="00F87E29"/>
    <w:rsid w:val="00F87F18"/>
    <w:rsid w:val="00F87F68"/>
    <w:rsid w:val="00F90C4D"/>
    <w:rsid w:val="00F9167D"/>
    <w:rsid w:val="00F91CB2"/>
    <w:rsid w:val="00F9289C"/>
    <w:rsid w:val="00F93DBC"/>
    <w:rsid w:val="00F93E41"/>
    <w:rsid w:val="00F94644"/>
    <w:rsid w:val="00F9537B"/>
    <w:rsid w:val="00F963FC"/>
    <w:rsid w:val="00FA015F"/>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35E3"/>
    <w:rsid w:val="00FB583C"/>
    <w:rsid w:val="00FB630E"/>
    <w:rsid w:val="00FB6738"/>
    <w:rsid w:val="00FB691B"/>
    <w:rsid w:val="00FB731C"/>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D04AE"/>
    <w:rsid w:val="00FD1890"/>
    <w:rsid w:val="00FD1994"/>
    <w:rsid w:val="00FD3508"/>
    <w:rsid w:val="00FD393C"/>
    <w:rsid w:val="00FD43BB"/>
    <w:rsid w:val="00FD4AF3"/>
    <w:rsid w:val="00FD798D"/>
    <w:rsid w:val="00FD7FB9"/>
    <w:rsid w:val="00FE141E"/>
    <w:rsid w:val="00FE144E"/>
    <w:rsid w:val="00FE1768"/>
    <w:rsid w:val="00FE24F4"/>
    <w:rsid w:val="00FE2560"/>
    <w:rsid w:val="00FE35D0"/>
    <w:rsid w:val="00FE41AC"/>
    <w:rsid w:val="00FE42ED"/>
    <w:rsid w:val="00FE55A7"/>
    <w:rsid w:val="00FE56D5"/>
    <w:rsid w:val="00FE5C5A"/>
    <w:rsid w:val="00FE6432"/>
    <w:rsid w:val="00FE72A0"/>
    <w:rsid w:val="00FF0050"/>
    <w:rsid w:val="00FF045F"/>
    <w:rsid w:val="00FF13D4"/>
    <w:rsid w:val="00FF2053"/>
    <w:rsid w:val="00FF3B3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50</TotalTime>
  <Pages>9</Pages>
  <Words>3043</Words>
  <Characters>16741</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55</cp:revision>
  <cp:lastPrinted>2020-01-30T15:05:00Z</cp:lastPrinted>
  <dcterms:created xsi:type="dcterms:W3CDTF">2020-12-26T13:03:00Z</dcterms:created>
  <dcterms:modified xsi:type="dcterms:W3CDTF">2021-01-12T17:01:00Z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