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68D92B" w14:textId="592DDD30" w:rsidR="001E58EB" w:rsidRPr="00350C4A" w:rsidRDefault="007A3A6E" w:rsidP="001E58EB">
      <w:pPr>
        <w:jc w:val="both"/>
        <w:rPr>
          <w:rFonts w:ascii="Verdana" w:eastAsia="Calibri" w:hAnsi="Verdana" w:cs="Arial"/>
          <w:b/>
          <w:bCs/>
          <w:lang w:val="es-ES" w:eastAsia="es-ES"/>
        </w:rPr>
      </w:pPr>
      <w:bookmarkStart w:id="0" w:name="_Hlk186494164"/>
      <w:r w:rsidRPr="00350C4A">
        <w:rPr>
          <w:rFonts w:ascii="Verdana" w:eastAsia="Calibri" w:hAnsi="Verdana" w:cs="Arial"/>
          <w:b/>
          <w:bCs/>
          <w:lang w:val="es-ES" w:eastAsia="es-ES"/>
        </w:rPr>
        <w:t xml:space="preserve">PRINCIPIO DE SELECCIÓN OBJETIVA – Noción – Normativa </w:t>
      </w:r>
    </w:p>
    <w:p w14:paraId="02EDC242" w14:textId="46135EDD" w:rsidR="007A3A6E" w:rsidRDefault="007A3A6E" w:rsidP="001E58EB">
      <w:pPr>
        <w:tabs>
          <w:tab w:val="left" w:pos="0"/>
        </w:tabs>
        <w:spacing w:after="0" w:line="240" w:lineRule="auto"/>
        <w:jc w:val="both"/>
        <w:rPr>
          <w:rFonts w:ascii="Verdana" w:eastAsia="Calibri" w:hAnsi="Verdana" w:cs="Arial"/>
          <w:bCs/>
          <w:sz w:val="20"/>
          <w:szCs w:val="20"/>
        </w:rPr>
      </w:pPr>
      <w:r w:rsidRPr="001E58EB">
        <w:rPr>
          <w:rFonts w:ascii="Verdana" w:eastAsia="Calibri" w:hAnsi="Verdana" w:cs="Arial"/>
          <w:bCs/>
          <w:sz w:val="20"/>
          <w:szCs w:val="20"/>
        </w:rPr>
        <w:t xml:space="preserve">De acuerdo con el artículo 5 de la Ley 1150 de 2007, el deber de selección objetiva supone que las entidades escojan en los procesos de selección el “[…] ofrecimiento más favorable a la entidad y a los fines que ella busca </w:t>
      </w:r>
      <w:r w:rsidRPr="001E58EB">
        <w:rPr>
          <w:rFonts w:ascii="Verdana" w:hAnsi="Verdana" w:cs="Arial"/>
          <w:sz w:val="20"/>
          <w:szCs w:val="20"/>
        </w:rPr>
        <w:t>[…]</w:t>
      </w:r>
      <w:r w:rsidRPr="001E58EB">
        <w:rPr>
          <w:rFonts w:ascii="Verdana" w:eastAsia="Calibri" w:hAnsi="Verdana" w:cs="Arial"/>
          <w:bCs/>
          <w:sz w:val="20"/>
          <w:szCs w:val="20"/>
        </w:rPr>
        <w:t xml:space="preserve">”. Tal favorabilidad debe determinarse a partir de criterios que pueden variar </w:t>
      </w:r>
      <w:proofErr w:type="gramStart"/>
      <w:r w:rsidRPr="001E58EB">
        <w:rPr>
          <w:rFonts w:ascii="Verdana" w:eastAsia="Calibri" w:hAnsi="Verdana" w:cs="Arial"/>
          <w:bCs/>
          <w:sz w:val="20"/>
          <w:szCs w:val="20"/>
        </w:rPr>
        <w:t>de acuerdo al</w:t>
      </w:r>
      <w:proofErr w:type="gramEnd"/>
      <w:r w:rsidRPr="001E58EB">
        <w:rPr>
          <w:rFonts w:ascii="Verdana" w:eastAsia="Calibri" w:hAnsi="Verdana" w:cs="Arial"/>
          <w:bCs/>
          <w:sz w:val="20"/>
          <w:szCs w:val="20"/>
        </w:rPr>
        <w:t xml:space="preserve"> objeto contractual o la modalidad de selección aplicable, los cuales, en todo caso, para que la selección sea objetiva, deben estar señalados en el pliego de condiciones o documento equivalente. </w:t>
      </w:r>
    </w:p>
    <w:p w14:paraId="24A7C23D" w14:textId="77777777" w:rsidR="001E58EB" w:rsidRPr="001E58EB" w:rsidRDefault="001E58EB" w:rsidP="001E58EB">
      <w:pPr>
        <w:tabs>
          <w:tab w:val="left" w:pos="0"/>
        </w:tabs>
        <w:spacing w:after="0" w:line="240" w:lineRule="auto"/>
        <w:jc w:val="both"/>
        <w:rPr>
          <w:rFonts w:ascii="Verdana" w:eastAsia="Calibri" w:hAnsi="Verdana" w:cs="Arial"/>
          <w:bCs/>
          <w:sz w:val="20"/>
          <w:szCs w:val="20"/>
        </w:rPr>
      </w:pPr>
    </w:p>
    <w:p w14:paraId="3043CCEC" w14:textId="2F0D39AC" w:rsidR="001E58EB" w:rsidRPr="00350C4A" w:rsidRDefault="007A3A6E" w:rsidP="001E58EB">
      <w:pPr>
        <w:jc w:val="both"/>
        <w:rPr>
          <w:rFonts w:ascii="Verdana" w:eastAsia="Calibri" w:hAnsi="Verdana" w:cs="Arial"/>
          <w:b/>
          <w:bCs/>
          <w:lang w:val="es-ES" w:eastAsia="es-ES"/>
        </w:rPr>
      </w:pPr>
      <w:r w:rsidRPr="00350C4A">
        <w:rPr>
          <w:rFonts w:ascii="Verdana" w:eastAsia="Calibri" w:hAnsi="Verdana" w:cs="Arial"/>
          <w:b/>
          <w:bCs/>
          <w:lang w:val="es-ES" w:eastAsia="es-ES"/>
        </w:rPr>
        <w:t xml:space="preserve">REQUISITOS HABILITANTES Y DE CALIFICACIÓN – </w:t>
      </w:r>
      <w:r w:rsidR="0080434C">
        <w:rPr>
          <w:rFonts w:ascii="Verdana" w:eastAsia="Calibri" w:hAnsi="Verdana" w:cs="Arial"/>
          <w:b/>
          <w:bCs/>
          <w:lang w:val="es-ES" w:eastAsia="es-ES"/>
        </w:rPr>
        <w:t>D</w:t>
      </w:r>
      <w:r w:rsidRPr="00350C4A">
        <w:rPr>
          <w:rFonts w:ascii="Verdana" w:eastAsia="Calibri" w:hAnsi="Verdana" w:cs="Arial"/>
          <w:b/>
          <w:bCs/>
          <w:lang w:val="es-ES" w:eastAsia="es-ES"/>
        </w:rPr>
        <w:t xml:space="preserve">iferencias </w:t>
      </w:r>
    </w:p>
    <w:p w14:paraId="01E3E7AE" w14:textId="4B6CF44C" w:rsidR="007A3A6E" w:rsidRDefault="007A3A6E" w:rsidP="001E58EB">
      <w:pPr>
        <w:tabs>
          <w:tab w:val="left" w:pos="0"/>
        </w:tabs>
        <w:spacing w:after="0" w:line="240" w:lineRule="auto"/>
        <w:jc w:val="both"/>
        <w:rPr>
          <w:rFonts w:ascii="Verdana" w:eastAsia="Calibri" w:hAnsi="Verdana" w:cs="Arial"/>
          <w:bCs/>
          <w:sz w:val="20"/>
          <w:szCs w:val="20"/>
        </w:rPr>
      </w:pPr>
      <w:r w:rsidRPr="001E58EB">
        <w:rPr>
          <w:rFonts w:ascii="Verdana" w:eastAsia="Calibri" w:hAnsi="Verdana" w:cs="Arial"/>
          <w:bCs/>
          <w:sz w:val="20"/>
          <w:szCs w:val="20"/>
        </w:rPr>
        <w:t>Los requisitos habilitantes son aquellos que deben cumplir en igualdad de condiciones los proponentes, haciendo que estos se habiliten en el procedimiento de selección y sean susceptibles de ser seleccionados como futuros contratistas.</w:t>
      </w:r>
    </w:p>
    <w:p w14:paraId="12EF295C" w14:textId="77777777" w:rsidR="001E58EB" w:rsidRPr="001E58EB" w:rsidRDefault="001E58EB" w:rsidP="001E58EB">
      <w:pPr>
        <w:tabs>
          <w:tab w:val="left" w:pos="0"/>
        </w:tabs>
        <w:spacing w:after="0" w:line="240" w:lineRule="auto"/>
        <w:jc w:val="both"/>
        <w:rPr>
          <w:rFonts w:ascii="Verdana" w:eastAsia="Calibri" w:hAnsi="Verdana" w:cs="Arial"/>
          <w:bCs/>
          <w:sz w:val="20"/>
          <w:szCs w:val="20"/>
        </w:rPr>
      </w:pPr>
    </w:p>
    <w:p w14:paraId="1D66E4CD" w14:textId="64C2AA89" w:rsidR="001E58EB" w:rsidRPr="001E58EB" w:rsidRDefault="007A3A6E" w:rsidP="001E58EB">
      <w:pPr>
        <w:jc w:val="both"/>
        <w:rPr>
          <w:rFonts w:ascii="Verdana" w:eastAsia="Calibri" w:hAnsi="Verdana" w:cs="Arial"/>
          <w:bCs/>
          <w:sz w:val="20"/>
          <w:szCs w:val="20"/>
        </w:rPr>
      </w:pPr>
      <w:r w:rsidRPr="001E58EB">
        <w:rPr>
          <w:rFonts w:ascii="Verdana" w:eastAsia="Calibri" w:hAnsi="Verdana" w:cs="Arial"/>
          <w:bCs/>
          <w:sz w:val="20"/>
          <w:szCs w:val="20"/>
        </w:rPr>
        <w:t>En contraposición a los requisitos habilitantes, el artículo 5 de la Ley 1150 de 2007 regula los factores dirigidos a determinar cuál es la propuesta más favorable. En ese sentido, el inciso primero dispone los factores de escogencia y calificación que deben indicarse en los pliegos de condiciones.</w:t>
      </w:r>
    </w:p>
    <w:p w14:paraId="6A05D1EC" w14:textId="703EC2DA" w:rsidR="001E58EB" w:rsidRPr="00350C4A" w:rsidRDefault="007A3A6E" w:rsidP="001E58EB">
      <w:pPr>
        <w:jc w:val="both"/>
        <w:rPr>
          <w:rFonts w:ascii="Verdana" w:eastAsia="Calibri" w:hAnsi="Verdana" w:cs="Arial"/>
          <w:b/>
          <w:bCs/>
          <w:lang w:val="es-ES" w:eastAsia="es-ES"/>
        </w:rPr>
      </w:pPr>
      <w:r w:rsidRPr="00350C4A">
        <w:rPr>
          <w:rFonts w:ascii="Verdana" w:eastAsia="Calibri" w:hAnsi="Verdana" w:cs="Arial"/>
          <w:b/>
          <w:bCs/>
          <w:lang w:val="es-ES" w:eastAsia="es-ES"/>
        </w:rPr>
        <w:t xml:space="preserve">CONCURSO DE ARQUITECTURA – Aplicación </w:t>
      </w:r>
    </w:p>
    <w:p w14:paraId="2F91CF2F" w14:textId="588E4D4A" w:rsidR="001E58EB" w:rsidRDefault="001E58EB" w:rsidP="001E58EB">
      <w:pPr>
        <w:spacing w:after="0" w:line="240" w:lineRule="auto"/>
        <w:jc w:val="both"/>
        <w:rPr>
          <w:rFonts w:ascii="Verdana" w:eastAsia="Calibri" w:hAnsi="Verdana" w:cs="Arial"/>
          <w:sz w:val="20"/>
          <w:szCs w:val="20"/>
        </w:rPr>
      </w:pPr>
      <w:r w:rsidRPr="001E58EB">
        <w:rPr>
          <w:rFonts w:ascii="Verdana" w:eastAsia="Calibri" w:hAnsi="Verdana" w:cs="Arial"/>
          <w:sz w:val="20"/>
          <w:szCs w:val="20"/>
        </w:rPr>
        <w:t>Este procedimiento se desarrolla en nuestro ordenamiento jurídico conforme a lo dispuesto en el Decreto 2326 de 1995, que en su artículo 1 lo definió como “el procedimiento mediante el cual la entidad estatal, previa invitación pública y en igualdad de oportunidades, selecciona un consultor entre los proponentes interesados en elaborar diseños, planos, anteproyectos y proyectos arquitectónicos”. Esta norma fue compilada en el Decreto 1082 de 2015 en los artículos 2.2.1.2.1.3.8 y siguientes, manteniendo su literalidad.</w:t>
      </w:r>
    </w:p>
    <w:p w14:paraId="15C7608D" w14:textId="77777777" w:rsidR="001E58EB" w:rsidRPr="001E58EB" w:rsidRDefault="001E58EB" w:rsidP="001E58EB">
      <w:pPr>
        <w:spacing w:after="0" w:line="240" w:lineRule="auto"/>
        <w:jc w:val="both"/>
        <w:rPr>
          <w:rFonts w:ascii="Verdana" w:eastAsia="Calibri" w:hAnsi="Verdana" w:cs="Arial"/>
          <w:sz w:val="20"/>
          <w:szCs w:val="20"/>
        </w:rPr>
      </w:pPr>
    </w:p>
    <w:p w14:paraId="6B421B6F" w14:textId="6E836C64" w:rsidR="001E58EB" w:rsidRPr="00350C4A" w:rsidRDefault="007A3A6E" w:rsidP="001E58EB">
      <w:pPr>
        <w:jc w:val="both"/>
        <w:rPr>
          <w:rFonts w:ascii="Verdana" w:eastAsia="Calibri" w:hAnsi="Verdana" w:cs="Arial"/>
          <w:b/>
          <w:bCs/>
          <w:lang w:val="es-ES" w:eastAsia="es-ES"/>
        </w:rPr>
      </w:pPr>
      <w:r w:rsidRPr="00350C4A">
        <w:rPr>
          <w:rFonts w:ascii="Verdana" w:eastAsia="Calibri" w:hAnsi="Verdana" w:cs="Arial"/>
          <w:b/>
          <w:bCs/>
          <w:lang w:val="es-ES" w:eastAsia="es-ES"/>
        </w:rPr>
        <w:t xml:space="preserve">CONCURSO DE ARQUITECTURA – Procedimiento – Condiciones mínimas del proponente – </w:t>
      </w:r>
      <w:r w:rsidR="0080434C">
        <w:rPr>
          <w:rFonts w:ascii="Verdana" w:eastAsia="Calibri" w:hAnsi="Verdana" w:cs="Arial"/>
          <w:b/>
          <w:bCs/>
          <w:lang w:val="es-ES" w:eastAsia="es-ES"/>
        </w:rPr>
        <w:t>R</w:t>
      </w:r>
      <w:r w:rsidRPr="00350C4A">
        <w:rPr>
          <w:rFonts w:ascii="Verdana" w:eastAsia="Calibri" w:hAnsi="Verdana" w:cs="Arial"/>
          <w:b/>
          <w:bCs/>
          <w:lang w:val="es-ES" w:eastAsia="es-ES"/>
        </w:rPr>
        <w:t>equisitos habilitantes y de calificación</w:t>
      </w:r>
    </w:p>
    <w:p w14:paraId="6CDF0133" w14:textId="284648DD" w:rsidR="001E58EB" w:rsidRDefault="001E58EB" w:rsidP="001E58EB">
      <w:pPr>
        <w:spacing w:after="0" w:line="240" w:lineRule="auto"/>
        <w:jc w:val="both"/>
        <w:rPr>
          <w:rFonts w:ascii="Verdana" w:eastAsia="Calibri" w:hAnsi="Verdana" w:cs="Arial"/>
          <w:sz w:val="20"/>
          <w:szCs w:val="20"/>
        </w:rPr>
      </w:pPr>
      <w:r w:rsidRPr="001E58EB">
        <w:rPr>
          <w:rFonts w:ascii="Verdana" w:eastAsia="Calibri" w:hAnsi="Verdana" w:cs="Arial"/>
          <w:sz w:val="20"/>
          <w:szCs w:val="20"/>
        </w:rPr>
        <w:t>Sobre las bases del concurso, se debe destacar también que estas se encuentran reguladas en el artículo 2.2.1.2.1.3.22, indicando que los pliegos de condiciones del procedimiento de selección deben contener como mínimo, entre otros aspectos, “</w:t>
      </w:r>
      <w:r w:rsidRPr="001E58EB">
        <w:rPr>
          <w:rFonts w:ascii="Verdana" w:eastAsia="Calibri" w:hAnsi="Verdana" w:cs="Arial"/>
          <w:i/>
          <w:iCs/>
          <w:sz w:val="20"/>
          <w:szCs w:val="20"/>
        </w:rPr>
        <w:t>Los requisitos objetivos</w:t>
      </w:r>
      <w:r w:rsidRPr="001E58EB">
        <w:rPr>
          <w:rFonts w:ascii="Verdana" w:eastAsia="Calibri" w:hAnsi="Verdana" w:cs="Arial"/>
          <w:sz w:val="20"/>
          <w:szCs w:val="20"/>
        </w:rPr>
        <w:t xml:space="preserve"> que se deben reunir para participar en el concurso de arquitectura […] </w:t>
      </w:r>
      <w:r w:rsidRPr="001E58EB">
        <w:rPr>
          <w:rFonts w:ascii="Verdana" w:eastAsia="Calibri" w:hAnsi="Verdana" w:cs="Arial"/>
          <w:i/>
          <w:iCs/>
          <w:sz w:val="20"/>
          <w:szCs w:val="20"/>
        </w:rPr>
        <w:t>Las condiciones que deben reunir los Proponentes</w:t>
      </w:r>
      <w:r w:rsidRPr="001E58EB">
        <w:rPr>
          <w:rFonts w:ascii="Verdana" w:eastAsia="Calibri" w:hAnsi="Verdana" w:cs="Arial"/>
          <w:sz w:val="20"/>
          <w:szCs w:val="20"/>
        </w:rPr>
        <w:t xml:space="preserve"> […] Los premios y sus valores, de acuerdo con el reglamento de honorarios de la Sociedad Colombiana de Arquitectos […]”, entre otros.</w:t>
      </w:r>
      <w:r w:rsidRPr="001E58EB">
        <w:rPr>
          <w:rFonts w:ascii="Verdana" w:hAnsi="Verdana" w:cs="Arial"/>
          <w:b/>
          <w:sz w:val="20"/>
          <w:szCs w:val="20"/>
        </w:rPr>
        <w:t xml:space="preserve"> </w:t>
      </w:r>
      <w:r w:rsidRPr="001E58EB">
        <w:rPr>
          <w:rFonts w:ascii="Verdana" w:hAnsi="Verdana" w:cs="Arial"/>
          <w:bCs/>
          <w:sz w:val="20"/>
          <w:szCs w:val="20"/>
        </w:rPr>
        <w:t xml:space="preserve">Igualmente, es importante señalar que para participar en este proceso de selección resulta ser obligatorio la </w:t>
      </w:r>
      <w:r w:rsidRPr="001E58EB">
        <w:rPr>
          <w:rFonts w:ascii="Verdana" w:eastAsia="Calibri" w:hAnsi="Verdana" w:cs="Arial"/>
          <w:sz w:val="20"/>
          <w:szCs w:val="20"/>
        </w:rPr>
        <w:t>presentación del Registro Único de Proponentes- RUP, ya que la norma que define las excepciones a la inscripción en el RUP, es decir, el artículo 6 de la Ley 1150 de 2007, no excluyó al concurso de arquitectura.</w:t>
      </w:r>
    </w:p>
    <w:p w14:paraId="5C727F3F" w14:textId="77777777" w:rsidR="001E58EB" w:rsidRDefault="001E58EB" w:rsidP="001E58EB">
      <w:pPr>
        <w:spacing w:after="0" w:line="240" w:lineRule="auto"/>
        <w:jc w:val="both"/>
        <w:rPr>
          <w:rFonts w:ascii="Verdana" w:eastAsia="Calibri" w:hAnsi="Verdana" w:cs="Arial"/>
          <w:sz w:val="20"/>
          <w:szCs w:val="20"/>
        </w:rPr>
      </w:pPr>
    </w:p>
    <w:p w14:paraId="423DEC60" w14:textId="252A224C" w:rsidR="001E58EB" w:rsidRPr="001E58EB" w:rsidRDefault="001E58EB" w:rsidP="001E58EB">
      <w:pPr>
        <w:spacing w:after="0" w:line="240" w:lineRule="auto"/>
        <w:jc w:val="both"/>
        <w:rPr>
          <w:rFonts w:ascii="Verdana" w:eastAsia="Calibri" w:hAnsi="Verdana" w:cs="Arial"/>
          <w:sz w:val="20"/>
          <w:szCs w:val="20"/>
        </w:rPr>
      </w:pPr>
      <w:r w:rsidRPr="001E58EB">
        <w:rPr>
          <w:rFonts w:ascii="Verdana" w:eastAsia="Calibri" w:hAnsi="Verdana" w:cs="Arial"/>
          <w:sz w:val="20"/>
          <w:szCs w:val="20"/>
        </w:rPr>
        <w:t xml:space="preserve">Según se evidencia, en los pliegos de condiciones del procedimiento de concurso de arquitectura se deben establecer, entre otros aspectos, tanto requisitos objetivos para </w:t>
      </w:r>
      <w:r w:rsidRPr="001E58EB">
        <w:rPr>
          <w:rFonts w:ascii="Verdana" w:eastAsia="Calibri" w:hAnsi="Verdana" w:cs="Arial"/>
          <w:sz w:val="20"/>
          <w:szCs w:val="20"/>
        </w:rPr>
        <w:lastRenderedPageBreak/>
        <w:t xml:space="preserve">participar en este como las condiciones que deben reunir los proponentes. Esta norma debe ser interpretada de manera armónica con el artículo 5 de la ley 1150 de 2007 que establece los criterios habilitantes para la participación en los procesos de selección y los factores de calificación que deben definirse en los pliegos de condiciones o sus equivalentes de conformidad con cada modalidad de selección. De esta forma, si bien el procedimiento señalado tiene unas particularidades determinadas en el reglamento, ello no implica la exclusión de los criterios habilitantes determinados en el numeral 1 </w:t>
      </w:r>
      <w:r w:rsidRPr="001E58EB">
        <w:rPr>
          <w:rFonts w:ascii="Verdana" w:eastAsia="Calibri" w:hAnsi="Verdana" w:cs="Arial"/>
          <w:i/>
          <w:iCs/>
          <w:sz w:val="20"/>
          <w:szCs w:val="20"/>
        </w:rPr>
        <w:t>ibidem</w:t>
      </w:r>
      <w:r w:rsidRPr="001E58EB">
        <w:rPr>
          <w:rFonts w:ascii="Verdana" w:eastAsia="Calibri" w:hAnsi="Verdana" w:cs="Arial"/>
          <w:sz w:val="20"/>
          <w:szCs w:val="20"/>
        </w:rPr>
        <w:t xml:space="preserve">, ya que la norma no estableció excepciones al respecto. </w:t>
      </w:r>
    </w:p>
    <w:p w14:paraId="51E32CFB" w14:textId="77777777" w:rsidR="007A3A6E" w:rsidRPr="001E58EB" w:rsidRDefault="007A3A6E" w:rsidP="001E58EB">
      <w:pPr>
        <w:spacing w:after="0" w:line="240" w:lineRule="auto"/>
        <w:rPr>
          <w:rFonts w:ascii="Verdana" w:eastAsia="Geomanist Light" w:hAnsi="Verdana" w:cs="Arial"/>
          <w:color w:val="000000" w:themeColor="text1"/>
          <w:sz w:val="20"/>
          <w:szCs w:val="20"/>
        </w:rPr>
      </w:pPr>
    </w:p>
    <w:p w14:paraId="4F7F2F04" w14:textId="77777777" w:rsidR="007A3A6E" w:rsidRDefault="007A3A6E" w:rsidP="002E1D70">
      <w:pPr>
        <w:spacing w:after="0" w:line="240" w:lineRule="auto"/>
        <w:rPr>
          <w:rFonts w:ascii="Verdana" w:eastAsia="Geomanist Light" w:hAnsi="Verdana" w:cs="Arial"/>
          <w:color w:val="000000" w:themeColor="text1"/>
        </w:rPr>
      </w:pPr>
    </w:p>
    <w:p w14:paraId="2092C27C" w14:textId="77777777" w:rsidR="001E58EB" w:rsidRDefault="001E58EB" w:rsidP="002E1D70">
      <w:pPr>
        <w:spacing w:after="0" w:line="240" w:lineRule="auto"/>
        <w:rPr>
          <w:rFonts w:ascii="Verdana" w:eastAsia="Geomanist Light" w:hAnsi="Verdana" w:cs="Arial"/>
          <w:color w:val="000000" w:themeColor="text1"/>
        </w:rPr>
      </w:pPr>
    </w:p>
    <w:p w14:paraId="47C17C66" w14:textId="77777777" w:rsidR="001E58EB" w:rsidRDefault="001E58EB" w:rsidP="002E1D70">
      <w:pPr>
        <w:spacing w:after="0" w:line="240" w:lineRule="auto"/>
        <w:rPr>
          <w:rFonts w:ascii="Verdana" w:eastAsia="Geomanist Light" w:hAnsi="Verdana" w:cs="Arial"/>
          <w:color w:val="000000" w:themeColor="text1"/>
        </w:rPr>
      </w:pPr>
    </w:p>
    <w:p w14:paraId="55A1D096" w14:textId="77777777" w:rsidR="001E58EB" w:rsidRDefault="001E58EB" w:rsidP="002E1D70">
      <w:pPr>
        <w:spacing w:after="0" w:line="240" w:lineRule="auto"/>
        <w:rPr>
          <w:rFonts w:ascii="Verdana" w:eastAsia="Geomanist Light" w:hAnsi="Verdana" w:cs="Arial"/>
          <w:color w:val="000000" w:themeColor="text1"/>
        </w:rPr>
      </w:pPr>
    </w:p>
    <w:p w14:paraId="18AA1B0D" w14:textId="77777777" w:rsidR="001E58EB" w:rsidRDefault="001E58EB" w:rsidP="002E1D70">
      <w:pPr>
        <w:spacing w:after="0" w:line="240" w:lineRule="auto"/>
        <w:rPr>
          <w:rFonts w:ascii="Verdana" w:eastAsia="Geomanist Light" w:hAnsi="Verdana" w:cs="Arial"/>
          <w:color w:val="000000" w:themeColor="text1"/>
        </w:rPr>
      </w:pPr>
    </w:p>
    <w:p w14:paraId="38E44506" w14:textId="77777777" w:rsidR="001E58EB" w:rsidRDefault="001E58EB" w:rsidP="002E1D70">
      <w:pPr>
        <w:spacing w:after="0" w:line="240" w:lineRule="auto"/>
        <w:rPr>
          <w:rFonts w:ascii="Verdana" w:eastAsia="Geomanist Light" w:hAnsi="Verdana" w:cs="Arial"/>
          <w:color w:val="000000" w:themeColor="text1"/>
        </w:rPr>
      </w:pPr>
    </w:p>
    <w:p w14:paraId="22BDEC46" w14:textId="77777777" w:rsidR="001E58EB" w:rsidRDefault="001E58EB" w:rsidP="002E1D70">
      <w:pPr>
        <w:spacing w:after="0" w:line="240" w:lineRule="auto"/>
        <w:rPr>
          <w:rFonts w:ascii="Verdana" w:eastAsia="Geomanist Light" w:hAnsi="Verdana" w:cs="Arial"/>
          <w:color w:val="000000" w:themeColor="text1"/>
        </w:rPr>
      </w:pPr>
    </w:p>
    <w:p w14:paraId="762D50EA" w14:textId="77777777" w:rsidR="001E58EB" w:rsidRDefault="001E58EB" w:rsidP="002E1D70">
      <w:pPr>
        <w:spacing w:after="0" w:line="240" w:lineRule="auto"/>
        <w:rPr>
          <w:rFonts w:ascii="Verdana" w:eastAsia="Geomanist Light" w:hAnsi="Verdana" w:cs="Arial"/>
          <w:color w:val="000000" w:themeColor="text1"/>
        </w:rPr>
      </w:pPr>
    </w:p>
    <w:p w14:paraId="0C785D93" w14:textId="77777777" w:rsidR="001E58EB" w:rsidRDefault="001E58EB" w:rsidP="002E1D70">
      <w:pPr>
        <w:spacing w:after="0" w:line="240" w:lineRule="auto"/>
        <w:rPr>
          <w:rFonts w:ascii="Verdana" w:eastAsia="Geomanist Light" w:hAnsi="Verdana" w:cs="Arial"/>
          <w:color w:val="000000" w:themeColor="text1"/>
        </w:rPr>
      </w:pPr>
    </w:p>
    <w:p w14:paraId="27CBC956" w14:textId="77777777" w:rsidR="001E58EB" w:rsidRDefault="001E58EB" w:rsidP="002E1D70">
      <w:pPr>
        <w:spacing w:after="0" w:line="240" w:lineRule="auto"/>
        <w:rPr>
          <w:rFonts w:ascii="Verdana" w:eastAsia="Geomanist Light" w:hAnsi="Verdana" w:cs="Arial"/>
          <w:color w:val="000000" w:themeColor="text1"/>
        </w:rPr>
      </w:pPr>
    </w:p>
    <w:p w14:paraId="6B6B0481" w14:textId="77777777" w:rsidR="001E58EB" w:rsidRDefault="001E58EB" w:rsidP="002E1D70">
      <w:pPr>
        <w:spacing w:after="0" w:line="240" w:lineRule="auto"/>
        <w:rPr>
          <w:rFonts w:ascii="Verdana" w:eastAsia="Geomanist Light" w:hAnsi="Verdana" w:cs="Arial"/>
          <w:color w:val="000000" w:themeColor="text1"/>
        </w:rPr>
      </w:pPr>
    </w:p>
    <w:p w14:paraId="13A92E11" w14:textId="77777777" w:rsidR="001E58EB" w:rsidRDefault="001E58EB" w:rsidP="002E1D70">
      <w:pPr>
        <w:spacing w:after="0" w:line="240" w:lineRule="auto"/>
        <w:rPr>
          <w:rFonts w:ascii="Verdana" w:eastAsia="Geomanist Light" w:hAnsi="Verdana" w:cs="Arial"/>
          <w:color w:val="000000" w:themeColor="text1"/>
        </w:rPr>
      </w:pPr>
    </w:p>
    <w:p w14:paraId="5C89F131" w14:textId="77777777" w:rsidR="001E58EB" w:rsidRDefault="001E58EB" w:rsidP="002E1D70">
      <w:pPr>
        <w:spacing w:after="0" w:line="240" w:lineRule="auto"/>
        <w:rPr>
          <w:rFonts w:ascii="Verdana" w:eastAsia="Geomanist Light" w:hAnsi="Verdana" w:cs="Arial"/>
          <w:color w:val="000000" w:themeColor="text1"/>
        </w:rPr>
      </w:pPr>
    </w:p>
    <w:p w14:paraId="40413CA3" w14:textId="77777777" w:rsidR="001E58EB" w:rsidRDefault="001E58EB" w:rsidP="002E1D70">
      <w:pPr>
        <w:spacing w:after="0" w:line="240" w:lineRule="auto"/>
        <w:rPr>
          <w:rFonts w:ascii="Verdana" w:eastAsia="Geomanist Light" w:hAnsi="Verdana" w:cs="Arial"/>
          <w:color w:val="000000" w:themeColor="text1"/>
        </w:rPr>
      </w:pPr>
    </w:p>
    <w:p w14:paraId="5FCA7BB7" w14:textId="77777777" w:rsidR="001E58EB" w:rsidRDefault="001E58EB" w:rsidP="002E1D70">
      <w:pPr>
        <w:spacing w:after="0" w:line="240" w:lineRule="auto"/>
        <w:rPr>
          <w:rFonts w:ascii="Verdana" w:eastAsia="Geomanist Light" w:hAnsi="Verdana" w:cs="Arial"/>
          <w:color w:val="000000" w:themeColor="text1"/>
        </w:rPr>
      </w:pPr>
    </w:p>
    <w:p w14:paraId="6C666B42" w14:textId="77777777" w:rsidR="001E58EB" w:rsidRDefault="001E58EB" w:rsidP="002E1D70">
      <w:pPr>
        <w:spacing w:after="0" w:line="240" w:lineRule="auto"/>
        <w:rPr>
          <w:rFonts w:ascii="Verdana" w:eastAsia="Geomanist Light" w:hAnsi="Verdana" w:cs="Arial"/>
          <w:color w:val="000000" w:themeColor="text1"/>
        </w:rPr>
      </w:pPr>
    </w:p>
    <w:p w14:paraId="64F0A11D" w14:textId="77777777" w:rsidR="001E58EB" w:rsidRDefault="001E58EB" w:rsidP="002E1D70">
      <w:pPr>
        <w:spacing w:after="0" w:line="240" w:lineRule="auto"/>
        <w:rPr>
          <w:rFonts w:ascii="Verdana" w:eastAsia="Geomanist Light" w:hAnsi="Verdana" w:cs="Arial"/>
          <w:color w:val="000000" w:themeColor="text1"/>
        </w:rPr>
      </w:pPr>
    </w:p>
    <w:p w14:paraId="076EC693" w14:textId="77777777" w:rsidR="001E58EB" w:rsidRDefault="001E58EB" w:rsidP="002E1D70">
      <w:pPr>
        <w:spacing w:after="0" w:line="240" w:lineRule="auto"/>
        <w:rPr>
          <w:rFonts w:ascii="Verdana" w:eastAsia="Geomanist Light" w:hAnsi="Verdana" w:cs="Arial"/>
          <w:color w:val="000000" w:themeColor="text1"/>
        </w:rPr>
      </w:pPr>
    </w:p>
    <w:p w14:paraId="743F6C0C" w14:textId="77777777" w:rsidR="001E58EB" w:rsidRDefault="001E58EB" w:rsidP="002E1D70">
      <w:pPr>
        <w:spacing w:after="0" w:line="240" w:lineRule="auto"/>
        <w:rPr>
          <w:rFonts w:ascii="Verdana" w:eastAsia="Geomanist Light" w:hAnsi="Verdana" w:cs="Arial"/>
          <w:color w:val="000000" w:themeColor="text1"/>
        </w:rPr>
      </w:pPr>
    </w:p>
    <w:p w14:paraId="4EFEC64D" w14:textId="77777777" w:rsidR="001E58EB" w:rsidRDefault="001E58EB" w:rsidP="002E1D70">
      <w:pPr>
        <w:spacing w:after="0" w:line="240" w:lineRule="auto"/>
        <w:rPr>
          <w:rFonts w:ascii="Verdana" w:eastAsia="Geomanist Light" w:hAnsi="Verdana" w:cs="Arial"/>
          <w:color w:val="000000" w:themeColor="text1"/>
        </w:rPr>
      </w:pPr>
    </w:p>
    <w:p w14:paraId="685C1C78" w14:textId="77777777" w:rsidR="001E58EB" w:rsidRDefault="001E58EB" w:rsidP="002E1D70">
      <w:pPr>
        <w:spacing w:after="0" w:line="240" w:lineRule="auto"/>
        <w:rPr>
          <w:rFonts w:ascii="Verdana" w:eastAsia="Geomanist Light" w:hAnsi="Verdana" w:cs="Arial"/>
          <w:color w:val="000000" w:themeColor="text1"/>
        </w:rPr>
      </w:pPr>
    </w:p>
    <w:p w14:paraId="5EB32812" w14:textId="77777777" w:rsidR="001E58EB" w:rsidRDefault="001E58EB" w:rsidP="002E1D70">
      <w:pPr>
        <w:spacing w:after="0" w:line="240" w:lineRule="auto"/>
        <w:rPr>
          <w:rFonts w:ascii="Verdana" w:eastAsia="Geomanist Light" w:hAnsi="Verdana" w:cs="Arial"/>
          <w:color w:val="000000" w:themeColor="text1"/>
        </w:rPr>
      </w:pPr>
    </w:p>
    <w:p w14:paraId="390B98C2" w14:textId="77777777" w:rsidR="001E58EB" w:rsidRDefault="001E58EB" w:rsidP="002E1D70">
      <w:pPr>
        <w:spacing w:after="0" w:line="240" w:lineRule="auto"/>
        <w:rPr>
          <w:rFonts w:ascii="Verdana" w:eastAsia="Geomanist Light" w:hAnsi="Verdana" w:cs="Arial"/>
          <w:color w:val="000000" w:themeColor="text1"/>
        </w:rPr>
      </w:pPr>
    </w:p>
    <w:p w14:paraId="7565D54F" w14:textId="77777777" w:rsidR="001E58EB" w:rsidRDefault="001E58EB" w:rsidP="002E1D70">
      <w:pPr>
        <w:spacing w:after="0" w:line="240" w:lineRule="auto"/>
        <w:rPr>
          <w:rFonts w:ascii="Verdana" w:eastAsia="Geomanist Light" w:hAnsi="Verdana" w:cs="Arial"/>
          <w:color w:val="000000" w:themeColor="text1"/>
        </w:rPr>
      </w:pPr>
    </w:p>
    <w:p w14:paraId="669C285A" w14:textId="77777777" w:rsidR="001E58EB" w:rsidRDefault="001E58EB" w:rsidP="002E1D70">
      <w:pPr>
        <w:spacing w:after="0" w:line="240" w:lineRule="auto"/>
        <w:rPr>
          <w:rFonts w:ascii="Verdana" w:eastAsia="Geomanist Light" w:hAnsi="Verdana" w:cs="Arial"/>
          <w:color w:val="000000" w:themeColor="text1"/>
        </w:rPr>
      </w:pPr>
    </w:p>
    <w:p w14:paraId="1411E076" w14:textId="77777777" w:rsidR="001E58EB" w:rsidRDefault="001E58EB" w:rsidP="002E1D70">
      <w:pPr>
        <w:spacing w:after="0" w:line="240" w:lineRule="auto"/>
        <w:rPr>
          <w:rFonts w:ascii="Verdana" w:eastAsia="Geomanist Light" w:hAnsi="Verdana" w:cs="Arial"/>
          <w:color w:val="000000" w:themeColor="text1"/>
        </w:rPr>
      </w:pPr>
    </w:p>
    <w:p w14:paraId="0FF82F07" w14:textId="77777777" w:rsidR="001E58EB" w:rsidRDefault="001E58EB" w:rsidP="002E1D70">
      <w:pPr>
        <w:spacing w:after="0" w:line="240" w:lineRule="auto"/>
        <w:rPr>
          <w:rFonts w:ascii="Verdana" w:eastAsia="Geomanist Light" w:hAnsi="Verdana" w:cs="Arial"/>
          <w:color w:val="000000" w:themeColor="text1"/>
        </w:rPr>
      </w:pPr>
    </w:p>
    <w:p w14:paraId="4EB1DD46" w14:textId="77777777" w:rsidR="001E58EB" w:rsidRDefault="001E58EB" w:rsidP="002E1D70">
      <w:pPr>
        <w:spacing w:after="0" w:line="240" w:lineRule="auto"/>
        <w:rPr>
          <w:rFonts w:ascii="Verdana" w:eastAsia="Geomanist Light" w:hAnsi="Verdana" w:cs="Arial"/>
          <w:color w:val="000000" w:themeColor="text1"/>
        </w:rPr>
      </w:pPr>
    </w:p>
    <w:p w14:paraId="6614AB32" w14:textId="77777777" w:rsidR="001E58EB" w:rsidRDefault="001E58EB" w:rsidP="002E1D70">
      <w:pPr>
        <w:spacing w:after="0" w:line="240" w:lineRule="auto"/>
        <w:rPr>
          <w:rFonts w:ascii="Verdana" w:eastAsia="Geomanist Light" w:hAnsi="Verdana" w:cs="Arial"/>
          <w:color w:val="000000" w:themeColor="text1"/>
        </w:rPr>
      </w:pPr>
    </w:p>
    <w:p w14:paraId="74255118" w14:textId="77777777" w:rsidR="001E58EB" w:rsidRDefault="001E58EB" w:rsidP="002E1D70">
      <w:pPr>
        <w:spacing w:after="0" w:line="240" w:lineRule="auto"/>
        <w:rPr>
          <w:rFonts w:ascii="Verdana" w:eastAsia="Geomanist Light" w:hAnsi="Verdana" w:cs="Arial"/>
          <w:color w:val="000000" w:themeColor="text1"/>
        </w:rPr>
      </w:pPr>
    </w:p>
    <w:p w14:paraId="104C09AA" w14:textId="77777777" w:rsidR="001E58EB" w:rsidRDefault="001E58EB" w:rsidP="002E1D70">
      <w:pPr>
        <w:spacing w:after="0" w:line="240" w:lineRule="auto"/>
        <w:rPr>
          <w:rFonts w:ascii="Verdana" w:eastAsia="Geomanist Light" w:hAnsi="Verdana" w:cs="Arial"/>
          <w:color w:val="000000" w:themeColor="text1"/>
        </w:rPr>
      </w:pPr>
    </w:p>
    <w:p w14:paraId="4972C887" w14:textId="77777777" w:rsidR="001E58EB" w:rsidRDefault="001E58EB" w:rsidP="002E1D70">
      <w:pPr>
        <w:spacing w:after="0" w:line="240" w:lineRule="auto"/>
        <w:rPr>
          <w:rFonts w:ascii="Verdana" w:eastAsia="Geomanist Light" w:hAnsi="Verdana" w:cs="Arial"/>
          <w:color w:val="000000" w:themeColor="text1"/>
        </w:rPr>
      </w:pPr>
    </w:p>
    <w:p w14:paraId="7F766155" w14:textId="77777777" w:rsidR="001E58EB" w:rsidRDefault="001E58EB" w:rsidP="002E1D70">
      <w:pPr>
        <w:spacing w:after="0" w:line="240" w:lineRule="auto"/>
        <w:rPr>
          <w:rFonts w:ascii="Verdana" w:eastAsia="Geomanist Light" w:hAnsi="Verdana" w:cs="Arial"/>
          <w:color w:val="000000" w:themeColor="text1"/>
        </w:rPr>
      </w:pPr>
    </w:p>
    <w:p w14:paraId="1BC50373" w14:textId="77777777" w:rsidR="001E58EB" w:rsidRDefault="001E58EB" w:rsidP="002E1D70">
      <w:pPr>
        <w:spacing w:after="0" w:line="240" w:lineRule="auto"/>
        <w:rPr>
          <w:rFonts w:ascii="Verdana" w:eastAsia="Geomanist Light" w:hAnsi="Verdana" w:cs="Arial"/>
          <w:color w:val="000000" w:themeColor="text1"/>
        </w:rPr>
      </w:pPr>
    </w:p>
    <w:p w14:paraId="7BC30254" w14:textId="07D4C170" w:rsidR="002E1D70" w:rsidRPr="00514267" w:rsidRDefault="002E1D70" w:rsidP="00514267">
      <w:pPr>
        <w:spacing w:after="0" w:line="240" w:lineRule="auto"/>
        <w:rPr>
          <w:rFonts w:ascii="Verdana" w:eastAsia="Geomanist Light" w:hAnsi="Verdana" w:cs="Arial"/>
          <w:color w:val="201F1E"/>
        </w:rPr>
      </w:pPr>
      <w:r w:rsidRPr="002E1D70">
        <w:rPr>
          <w:rFonts w:ascii="Verdana" w:eastAsia="Geomanist Light" w:hAnsi="Verdana" w:cs="Arial"/>
          <w:color w:val="000000" w:themeColor="text1"/>
        </w:rPr>
        <w:t>Bogotá D.C., </w:t>
      </w:r>
      <w:r w:rsidR="005D0237">
        <w:rPr>
          <w:rFonts w:ascii="Verdana" w:eastAsia="Geomanist Light" w:hAnsi="Verdana" w:cs="Arial"/>
          <w:color w:val="201F1E"/>
        </w:rPr>
        <w:t>15 de julio de 2025</w:t>
      </w:r>
    </w:p>
    <w:p w14:paraId="033D3AD8" w14:textId="080DA1DC" w:rsidR="002E1D70" w:rsidRDefault="00350C4A" w:rsidP="005D0237">
      <w:pPr>
        <w:spacing w:after="0" w:line="240" w:lineRule="auto"/>
        <w:jc w:val="right"/>
        <w:rPr>
          <w:rFonts w:ascii="Verdana" w:eastAsia="Calibri" w:hAnsi="Verdana" w:cs="Arial"/>
          <w:color w:val="000000"/>
        </w:rPr>
      </w:pPr>
      <w:r w:rsidRPr="005D0237">
        <w:rPr>
          <w:rFonts w:ascii="Verdana" w:eastAsia="Calibri" w:hAnsi="Verdana" w:cs="Arial"/>
          <w:noProof/>
          <w:color w:val="000000"/>
        </w:rPr>
        <w:drawing>
          <wp:anchor distT="0" distB="0" distL="114300" distR="114300" simplePos="0" relativeHeight="251659264" behindDoc="0" locked="0" layoutInCell="1" allowOverlap="1" wp14:anchorId="0F467995" wp14:editId="221738B7">
            <wp:simplePos x="0" y="0"/>
            <wp:positionH relativeFrom="margin">
              <wp:posOffset>3292475</wp:posOffset>
            </wp:positionH>
            <wp:positionV relativeFrom="paragraph">
              <wp:posOffset>4142</wp:posOffset>
            </wp:positionV>
            <wp:extent cx="3251835" cy="1074420"/>
            <wp:effectExtent l="0" t="0" r="5715" b="0"/>
            <wp:wrapSquare wrapText="bothSides"/>
            <wp:docPr id="166136047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51835" cy="1074420"/>
                    </a:xfrm>
                    <a:prstGeom prst="rect">
                      <a:avLst/>
                    </a:prstGeom>
                    <a:noFill/>
                    <a:ln>
                      <a:noFill/>
                    </a:ln>
                  </pic:spPr>
                </pic:pic>
              </a:graphicData>
            </a:graphic>
            <wp14:sizeRelH relativeFrom="margin">
              <wp14:pctWidth>0</wp14:pctWidth>
            </wp14:sizeRelH>
          </wp:anchor>
        </w:drawing>
      </w:r>
    </w:p>
    <w:p w14:paraId="37CD88A4" w14:textId="77777777" w:rsidR="005D0237" w:rsidRPr="002E1D70" w:rsidRDefault="005D0237" w:rsidP="002E1D70">
      <w:pPr>
        <w:spacing w:after="0" w:line="240" w:lineRule="auto"/>
        <w:jc w:val="both"/>
        <w:rPr>
          <w:rFonts w:ascii="Verdana" w:eastAsia="Calibri" w:hAnsi="Verdana" w:cs="Arial"/>
          <w:color w:val="000000"/>
        </w:rPr>
      </w:pPr>
    </w:p>
    <w:p w14:paraId="5F071A5A" w14:textId="77777777" w:rsidR="002E1D70" w:rsidRPr="002E1D70" w:rsidRDefault="002E1D70" w:rsidP="002E1D70">
      <w:pPr>
        <w:spacing w:after="0" w:line="240" w:lineRule="auto"/>
        <w:jc w:val="both"/>
        <w:rPr>
          <w:rFonts w:ascii="Verdana" w:eastAsia="Calibri" w:hAnsi="Verdana" w:cs="Arial"/>
          <w:lang w:eastAsia="es-ES"/>
        </w:rPr>
      </w:pPr>
      <w:r w:rsidRPr="002E1D70">
        <w:rPr>
          <w:rFonts w:ascii="Verdana" w:eastAsia="Calibri" w:hAnsi="Verdana" w:cs="Arial"/>
          <w:lang w:eastAsia="es-ES"/>
        </w:rPr>
        <w:t>Señora</w:t>
      </w:r>
    </w:p>
    <w:p w14:paraId="2E8ADD25" w14:textId="77777777" w:rsidR="002E1D70" w:rsidRPr="002E1D70" w:rsidRDefault="002E1D70" w:rsidP="002E1D70">
      <w:pPr>
        <w:spacing w:after="0" w:line="240" w:lineRule="auto"/>
        <w:jc w:val="both"/>
        <w:rPr>
          <w:rFonts w:ascii="Verdana" w:eastAsia="Calibri" w:hAnsi="Verdana" w:cs="Arial"/>
          <w:b/>
          <w:bCs/>
          <w:lang w:eastAsia="es-ES"/>
        </w:rPr>
      </w:pPr>
      <w:r w:rsidRPr="002E1D70">
        <w:rPr>
          <w:rFonts w:ascii="Verdana" w:eastAsia="Calibri" w:hAnsi="Verdana" w:cs="Arial"/>
          <w:b/>
          <w:bCs/>
          <w:lang w:eastAsia="es-ES"/>
        </w:rPr>
        <w:t xml:space="preserve">Silvia María Mendoza </w:t>
      </w:r>
      <w:proofErr w:type="spellStart"/>
      <w:r w:rsidRPr="002E1D70">
        <w:rPr>
          <w:rFonts w:ascii="Verdana" w:eastAsia="Calibri" w:hAnsi="Verdana" w:cs="Arial"/>
          <w:b/>
          <w:bCs/>
          <w:lang w:eastAsia="es-ES"/>
        </w:rPr>
        <w:t>Marzola</w:t>
      </w:r>
      <w:proofErr w:type="spellEnd"/>
    </w:p>
    <w:p w14:paraId="205294E2" w14:textId="77777777" w:rsidR="002E1D70" w:rsidRPr="002E1D70" w:rsidRDefault="002E1D70" w:rsidP="002E1D70">
      <w:pPr>
        <w:spacing w:after="0" w:line="240" w:lineRule="auto"/>
        <w:rPr>
          <w:rFonts w:ascii="Verdana" w:hAnsi="Verdana"/>
          <w:b/>
          <w:bCs/>
        </w:rPr>
      </w:pPr>
      <w:r w:rsidRPr="002E1D70">
        <w:rPr>
          <w:rFonts w:ascii="Verdana" w:hAnsi="Verdana"/>
          <w:b/>
          <w:bCs/>
        </w:rPr>
        <w:t>Presidente Nacional</w:t>
      </w:r>
    </w:p>
    <w:p w14:paraId="1B265DAC" w14:textId="77777777" w:rsidR="002E1D70" w:rsidRPr="002E1D70" w:rsidRDefault="002E1D70" w:rsidP="002E1D70">
      <w:pPr>
        <w:spacing w:after="0" w:line="240" w:lineRule="auto"/>
        <w:rPr>
          <w:rFonts w:ascii="Verdana" w:hAnsi="Verdana"/>
          <w:b/>
          <w:bCs/>
        </w:rPr>
      </w:pPr>
      <w:r w:rsidRPr="002E1D70">
        <w:rPr>
          <w:rFonts w:ascii="Verdana" w:hAnsi="Verdana"/>
          <w:b/>
          <w:bCs/>
        </w:rPr>
        <w:t>Sociedad Colombiana de Arquitectos</w:t>
      </w:r>
    </w:p>
    <w:p w14:paraId="29E45279" w14:textId="77777777" w:rsidR="002E1D70" w:rsidRPr="002E1D70" w:rsidRDefault="002E1D70" w:rsidP="002E1D70">
      <w:pPr>
        <w:spacing w:after="0" w:line="240" w:lineRule="auto"/>
        <w:rPr>
          <w:rFonts w:ascii="Verdana" w:hAnsi="Verdana"/>
        </w:rPr>
      </w:pPr>
      <w:hyperlink r:id="rId12" w:history="1">
        <w:r w:rsidRPr="002E1D70">
          <w:rPr>
            <w:rFonts w:ascii="Verdana" w:hAnsi="Verdana"/>
            <w:color w:val="0563C1" w:themeColor="hyperlink"/>
            <w:u w:val="single"/>
          </w:rPr>
          <w:t>carlosgacha@legalglass.co</w:t>
        </w:r>
      </w:hyperlink>
      <w:r w:rsidRPr="002E1D70">
        <w:rPr>
          <w:rFonts w:ascii="Verdana" w:hAnsi="Verdana"/>
        </w:rPr>
        <w:t xml:space="preserve"> </w:t>
      </w:r>
    </w:p>
    <w:p w14:paraId="373CAE45" w14:textId="77777777" w:rsidR="002E1D70" w:rsidRPr="002E1D70" w:rsidRDefault="002E1D70" w:rsidP="002E1D70">
      <w:pPr>
        <w:spacing w:after="0" w:line="240" w:lineRule="auto"/>
        <w:rPr>
          <w:rFonts w:ascii="Verdana" w:hAnsi="Verdana"/>
          <w:lang w:val="pt-BR"/>
        </w:rPr>
      </w:pPr>
      <w:r w:rsidRPr="002E1D70">
        <w:rPr>
          <w:rFonts w:ascii="Verdana" w:hAnsi="Verdana"/>
          <w:lang w:val="pt-BR"/>
        </w:rPr>
        <w:t xml:space="preserve">Bogotá </w:t>
      </w:r>
    </w:p>
    <w:p w14:paraId="2DF65D64" w14:textId="77777777" w:rsidR="002E1D70" w:rsidRPr="002E1D70" w:rsidRDefault="002E1D70" w:rsidP="002E1D70">
      <w:pPr>
        <w:spacing w:after="0" w:line="240" w:lineRule="auto"/>
        <w:rPr>
          <w:rFonts w:ascii="Verdana" w:eastAsia="Calibri" w:hAnsi="Verdana" w:cs="Arial"/>
          <w:lang w:val="pt-BR" w:eastAsia="es-ES"/>
        </w:rPr>
      </w:pPr>
    </w:p>
    <w:p w14:paraId="5F699460" w14:textId="77777777" w:rsidR="002E1D70" w:rsidRPr="002E1D70" w:rsidRDefault="002E1D70" w:rsidP="002E1D70">
      <w:pPr>
        <w:spacing w:after="0" w:line="240" w:lineRule="auto"/>
        <w:rPr>
          <w:rFonts w:ascii="Verdana" w:eastAsia="Calibri" w:hAnsi="Verdana" w:cs="Arial"/>
          <w:b/>
          <w:color w:val="000000"/>
          <w:lang w:val="pt-BR" w:eastAsia="es-ES_tradnl"/>
        </w:rPr>
      </w:pPr>
    </w:p>
    <w:p w14:paraId="706E18EA" w14:textId="77777777" w:rsidR="002E1D70" w:rsidRPr="002E1D70" w:rsidRDefault="002E1D70" w:rsidP="002E1D70">
      <w:pPr>
        <w:spacing w:after="0" w:line="240" w:lineRule="auto"/>
        <w:jc w:val="center"/>
        <w:rPr>
          <w:rFonts w:ascii="Verdana" w:eastAsia="Calibri" w:hAnsi="Verdana" w:cs="Arial"/>
          <w:b/>
          <w:lang w:val="pt-BR" w:eastAsia="es-ES"/>
        </w:rPr>
      </w:pPr>
      <w:r w:rsidRPr="002E1D70">
        <w:rPr>
          <w:rFonts w:ascii="Verdana" w:eastAsia="Calibri" w:hAnsi="Verdana" w:cs="Arial"/>
          <w:b/>
          <w:lang w:val="pt-BR" w:eastAsia="es-ES"/>
        </w:rPr>
        <w:t>Concepto C – 719 de 2025</w:t>
      </w:r>
    </w:p>
    <w:p w14:paraId="4ABEB461" w14:textId="77777777" w:rsidR="002E1D70" w:rsidRPr="002E1D70" w:rsidRDefault="002E1D70" w:rsidP="002E1D70">
      <w:pPr>
        <w:spacing w:after="0" w:line="240" w:lineRule="auto"/>
        <w:rPr>
          <w:rFonts w:ascii="Verdana" w:eastAsia="Calibri" w:hAnsi="Verdana" w:cs="Arial"/>
          <w:b/>
          <w:color w:val="000000"/>
          <w:lang w:val="pt-BR" w:eastAsia="es-ES_tradnl"/>
        </w:rPr>
      </w:pPr>
    </w:p>
    <w:tbl>
      <w:tblPr>
        <w:tblStyle w:val="Tablaconcuadrcula"/>
        <w:tblW w:w="8789"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2E1D70" w:rsidRPr="002E1D70" w14:paraId="0B6DBD69" w14:textId="77777777" w:rsidTr="001460C9">
        <w:trPr>
          <w:trHeight w:val="884"/>
        </w:trPr>
        <w:tc>
          <w:tcPr>
            <w:tcW w:w="2689" w:type="dxa"/>
          </w:tcPr>
          <w:p w14:paraId="111AD252" w14:textId="77777777" w:rsidR="002E1D70" w:rsidRPr="002E1D70" w:rsidRDefault="002E1D70" w:rsidP="002E1D70">
            <w:pPr>
              <w:jc w:val="both"/>
              <w:rPr>
                <w:rFonts w:ascii="Verdana" w:eastAsia="Calibri" w:hAnsi="Verdana" w:cs="Arial"/>
                <w:color w:val="000000"/>
                <w:lang w:eastAsia="es-ES_tradnl"/>
              </w:rPr>
            </w:pPr>
            <w:r w:rsidRPr="002E1D70">
              <w:rPr>
                <w:rFonts w:ascii="Verdana" w:eastAsia="Calibri" w:hAnsi="Verdana" w:cs="Arial"/>
                <w:b/>
                <w:color w:val="000000"/>
                <w:lang w:eastAsia="es-ES_tradnl"/>
              </w:rPr>
              <w:t>Temas:</w:t>
            </w:r>
            <w:r w:rsidRPr="002E1D70">
              <w:rPr>
                <w:rFonts w:ascii="Verdana" w:eastAsia="Calibri" w:hAnsi="Verdana" w:cs="Arial"/>
                <w:color w:val="000000"/>
                <w:lang w:eastAsia="es-ES_tradnl"/>
              </w:rPr>
              <w:t xml:space="preserve">                   </w:t>
            </w:r>
          </w:p>
        </w:tc>
        <w:tc>
          <w:tcPr>
            <w:tcW w:w="6100" w:type="dxa"/>
          </w:tcPr>
          <w:p w14:paraId="4D03488A" w14:textId="43CBC65E" w:rsidR="002E1D70" w:rsidRPr="002E1D70" w:rsidRDefault="002E1D70" w:rsidP="002E1D70">
            <w:pPr>
              <w:spacing w:line="276" w:lineRule="auto"/>
              <w:jc w:val="both"/>
              <w:rPr>
                <w:rFonts w:ascii="Verdana" w:eastAsia="Calibri" w:hAnsi="Verdana" w:cs="Arial"/>
                <w:lang w:val="es-ES" w:eastAsia="es-ES"/>
              </w:rPr>
            </w:pPr>
            <w:r w:rsidRPr="002E1D70">
              <w:rPr>
                <w:rFonts w:ascii="Verdana" w:eastAsia="Calibri" w:hAnsi="Verdana" w:cs="Arial"/>
                <w:lang w:val="es-ES" w:eastAsia="es-ES"/>
              </w:rPr>
              <w:t>PRINCIPIO DE SELECCIÓN OBJETIVA – Noción – Normativa / REQUISITOS HABILITANTES Y DE CALIFICACIÓN – diferencias / CONCURSO DE ARQUITECTURA – Aplicación / CONCURSO DE ARQUITECTURA – Procedimiento – Condiciones mínimas del proponente – requisitos habilitantes y de calificación</w:t>
            </w:r>
          </w:p>
          <w:p w14:paraId="1202AB2E" w14:textId="77777777" w:rsidR="002E1D70" w:rsidRPr="002E1D70" w:rsidRDefault="002E1D70" w:rsidP="002E1D70">
            <w:pPr>
              <w:jc w:val="both"/>
              <w:rPr>
                <w:rFonts w:ascii="Verdana" w:eastAsia="Calibri" w:hAnsi="Verdana" w:cs="Arial"/>
                <w:lang w:eastAsia="es-ES"/>
              </w:rPr>
            </w:pPr>
          </w:p>
        </w:tc>
      </w:tr>
      <w:tr w:rsidR="002E1D70" w:rsidRPr="002E1D70" w14:paraId="14BD505F" w14:textId="77777777" w:rsidTr="001460C9">
        <w:tc>
          <w:tcPr>
            <w:tcW w:w="2689" w:type="dxa"/>
          </w:tcPr>
          <w:p w14:paraId="0C081361" w14:textId="77777777" w:rsidR="002E1D70" w:rsidRPr="002E1D70" w:rsidRDefault="002E1D70" w:rsidP="002E1D70">
            <w:pPr>
              <w:jc w:val="both"/>
              <w:rPr>
                <w:rFonts w:ascii="Verdana" w:eastAsia="Calibri" w:hAnsi="Verdana" w:cs="Arial"/>
                <w:b/>
                <w:lang w:eastAsia="es-ES_tradnl"/>
              </w:rPr>
            </w:pPr>
            <w:r w:rsidRPr="002E1D70">
              <w:rPr>
                <w:rFonts w:ascii="Verdana" w:eastAsia="Calibri" w:hAnsi="Verdana" w:cs="Arial"/>
                <w:b/>
                <w:lang w:eastAsia="es-ES_tradnl"/>
              </w:rPr>
              <w:t>Radicación:</w:t>
            </w:r>
            <w:r w:rsidRPr="002E1D70">
              <w:rPr>
                <w:rFonts w:ascii="Verdana" w:eastAsia="Calibri" w:hAnsi="Verdana" w:cs="Arial"/>
                <w:lang w:eastAsia="es-ES_tradnl"/>
              </w:rPr>
              <w:t xml:space="preserve">               </w:t>
            </w:r>
          </w:p>
        </w:tc>
        <w:tc>
          <w:tcPr>
            <w:tcW w:w="6100" w:type="dxa"/>
          </w:tcPr>
          <w:p w14:paraId="2CDC267D" w14:textId="77777777" w:rsidR="002E1D70" w:rsidRPr="002E1D70" w:rsidRDefault="002E1D70" w:rsidP="002E1D70">
            <w:pPr>
              <w:jc w:val="both"/>
              <w:rPr>
                <w:rFonts w:ascii="Verdana" w:eastAsia="Calibri" w:hAnsi="Verdana" w:cs="Arial"/>
                <w:lang w:eastAsia="es-ES_tradnl"/>
              </w:rPr>
            </w:pPr>
            <w:r w:rsidRPr="002E1D70">
              <w:rPr>
                <w:rFonts w:ascii="Verdana" w:eastAsia="Calibri" w:hAnsi="Verdana" w:cs="Arial"/>
                <w:lang w:eastAsia="es-ES_tradnl"/>
              </w:rPr>
              <w:t>Respuesta a la consulta con radicado No.</w:t>
            </w:r>
            <w:r w:rsidRPr="002E1D70">
              <w:rPr>
                <w:rFonts w:ascii="Verdana" w:hAnsi="Verdana"/>
              </w:rPr>
              <w:t xml:space="preserve"> 1-2025-06-05-005489</w:t>
            </w:r>
          </w:p>
        </w:tc>
      </w:tr>
    </w:tbl>
    <w:p w14:paraId="3DC10083" w14:textId="77777777" w:rsidR="002E1D70" w:rsidRPr="002E1D70" w:rsidRDefault="002E1D70" w:rsidP="002E1D70">
      <w:pPr>
        <w:spacing w:after="0" w:line="240" w:lineRule="auto"/>
        <w:jc w:val="both"/>
        <w:rPr>
          <w:rFonts w:ascii="Verdana" w:eastAsia="Calibri" w:hAnsi="Verdana" w:cs="Arial"/>
          <w:color w:val="000000"/>
          <w:lang w:eastAsia="es-ES_tradnl"/>
        </w:rPr>
      </w:pPr>
    </w:p>
    <w:p w14:paraId="303D7DAE" w14:textId="77777777" w:rsidR="002E1D70" w:rsidRPr="002E1D70" w:rsidRDefault="002E1D70" w:rsidP="002E1D70">
      <w:pPr>
        <w:spacing w:after="0" w:line="240" w:lineRule="auto"/>
        <w:jc w:val="both"/>
        <w:rPr>
          <w:rFonts w:ascii="Verdana" w:eastAsia="Calibri" w:hAnsi="Verdana" w:cs="Arial"/>
          <w:color w:val="000000"/>
          <w:lang w:eastAsia="es-ES_tradnl"/>
        </w:rPr>
      </w:pPr>
    </w:p>
    <w:p w14:paraId="420B38C1" w14:textId="77777777" w:rsidR="002E1D70" w:rsidRPr="002E1D70" w:rsidRDefault="002E1D70" w:rsidP="002E1D70">
      <w:pPr>
        <w:spacing w:after="0" w:line="276" w:lineRule="auto"/>
        <w:jc w:val="both"/>
        <w:rPr>
          <w:rFonts w:ascii="Verdana" w:eastAsia="Calibri" w:hAnsi="Verdana" w:cs="Arial"/>
          <w:lang w:eastAsia="es-ES"/>
        </w:rPr>
      </w:pPr>
      <w:r w:rsidRPr="002E1D70">
        <w:rPr>
          <w:rFonts w:ascii="Verdana" w:eastAsia="Calibri" w:hAnsi="Verdana" w:cs="Arial"/>
          <w:lang w:eastAsia="es-ES"/>
        </w:rPr>
        <w:t xml:space="preserve">Estimada señora Mendoza </w:t>
      </w:r>
      <w:proofErr w:type="spellStart"/>
      <w:r w:rsidRPr="002E1D70">
        <w:rPr>
          <w:rFonts w:ascii="Verdana" w:eastAsia="Calibri" w:hAnsi="Verdana" w:cs="Arial"/>
          <w:lang w:eastAsia="es-ES"/>
        </w:rPr>
        <w:t>Marzola</w:t>
      </w:r>
      <w:proofErr w:type="spellEnd"/>
      <w:r w:rsidRPr="002E1D70">
        <w:rPr>
          <w:rFonts w:ascii="Verdana" w:eastAsia="Calibri" w:hAnsi="Verdana" w:cs="Arial"/>
          <w:lang w:eastAsia="es-ES"/>
        </w:rPr>
        <w:t xml:space="preserve">: </w:t>
      </w:r>
    </w:p>
    <w:p w14:paraId="438D14F6" w14:textId="77777777" w:rsidR="002E1D70" w:rsidRPr="002E1D70" w:rsidRDefault="002E1D70" w:rsidP="002E1D70">
      <w:pPr>
        <w:tabs>
          <w:tab w:val="left" w:pos="3768"/>
        </w:tabs>
        <w:spacing w:after="0" w:line="276" w:lineRule="auto"/>
        <w:jc w:val="both"/>
        <w:rPr>
          <w:rFonts w:ascii="Verdana" w:eastAsia="Calibri" w:hAnsi="Verdana" w:cs="Arial"/>
          <w:color w:val="000000" w:themeColor="text1"/>
          <w:lang w:eastAsia="es-ES"/>
        </w:rPr>
      </w:pPr>
      <w:r w:rsidRPr="002E1D70">
        <w:rPr>
          <w:rFonts w:ascii="Verdana" w:eastAsia="Calibri" w:hAnsi="Verdana" w:cs="Arial"/>
          <w:color w:val="000000" w:themeColor="text1"/>
          <w:lang w:eastAsia="es-ES"/>
        </w:rPr>
        <w:tab/>
      </w:r>
    </w:p>
    <w:p w14:paraId="1669FAD6" w14:textId="77777777" w:rsidR="002E1D70" w:rsidRPr="002E1D70" w:rsidRDefault="002E1D70" w:rsidP="002E1D70">
      <w:pPr>
        <w:spacing w:after="120" w:line="276" w:lineRule="auto"/>
        <w:jc w:val="both"/>
        <w:rPr>
          <w:rFonts w:ascii="Verdana" w:eastAsia="Calibri" w:hAnsi="Verdana" w:cs="Arial"/>
          <w:i/>
          <w:iCs/>
          <w:lang w:eastAsia="es-ES"/>
        </w:rPr>
      </w:pPr>
      <w:r w:rsidRPr="002E1D70">
        <w:rPr>
          <w:rFonts w:ascii="Verdana" w:eastAsia="Calibri" w:hAnsi="Verdana" w:cs="Arial"/>
          <w:color w:val="000000" w:themeColor="text1"/>
          <w:lang w:eastAsia="es-ES"/>
        </w:rPr>
        <w:t>En ejercicio de la competencia otorgada por los artículos 3, numeral 5º, y 11, numeral 8º, del Decreto Ley 4170 de 2011,</w:t>
      </w:r>
      <w:r w:rsidRPr="002E1D70">
        <w:rPr>
          <w:rFonts w:ascii="Verdana" w:eastAsia="Arial MT" w:hAnsi="Verdana" w:cs="Arial MT"/>
          <w:lang w:eastAsia="es-ES"/>
        </w:rPr>
        <w:t xml:space="preserve"> </w:t>
      </w:r>
      <w:r w:rsidRPr="002E1D70">
        <w:rPr>
          <w:rFonts w:ascii="Verdana" w:hAnsi="Verdana" w:cs="Arial"/>
        </w:rPr>
        <w:t xml:space="preserve">así como lo establecido en el artículo 4 de la Resolución 1707 de 2018 expedida por esta Entidad, </w:t>
      </w:r>
      <w:r w:rsidRPr="002E1D70">
        <w:rPr>
          <w:rFonts w:ascii="Verdana" w:eastAsia="Calibri" w:hAnsi="Verdana" w:cs="Arial"/>
          <w:color w:val="000000" w:themeColor="text1"/>
          <w:lang w:eastAsia="es-ES"/>
        </w:rPr>
        <w:t>la Agencia Nacional de Contratación Pública – Colombia Compra Eficiente responde su solicitud de concepto del 4 de junio de 2025,</w:t>
      </w:r>
      <w:r w:rsidRPr="002E1D70">
        <w:rPr>
          <w:rFonts w:ascii="Verdana" w:eastAsia="Calibri" w:hAnsi="Verdana" w:cs="Arial"/>
          <w:lang w:eastAsia="es-ES"/>
        </w:rPr>
        <w:t xml:space="preserve"> en la cual consulta sobre lo siguiente:</w:t>
      </w:r>
      <w:r w:rsidRPr="002E1D70">
        <w:rPr>
          <w:rFonts w:ascii="Verdana" w:eastAsia="Calibri" w:hAnsi="Verdana" w:cs="Arial"/>
          <w:i/>
          <w:iCs/>
          <w:lang w:eastAsia="es-ES"/>
        </w:rPr>
        <w:t xml:space="preserve"> </w:t>
      </w:r>
      <w:bookmarkStart w:id="1" w:name="_Hlk95313578"/>
    </w:p>
    <w:p w14:paraId="7AC89292" w14:textId="77777777" w:rsidR="002E1D70" w:rsidRPr="002E1D70" w:rsidRDefault="002E1D70" w:rsidP="002E1D70">
      <w:pPr>
        <w:spacing w:after="0" w:line="276" w:lineRule="auto"/>
        <w:jc w:val="both"/>
        <w:rPr>
          <w:rFonts w:ascii="Verdana" w:eastAsia="Calibri" w:hAnsi="Verdana" w:cs="Arial"/>
          <w:i/>
          <w:iCs/>
          <w:lang w:eastAsia="es-ES"/>
        </w:rPr>
      </w:pPr>
    </w:p>
    <w:p w14:paraId="7BABD908" w14:textId="77777777" w:rsidR="002E1D70" w:rsidRPr="002E1D70" w:rsidRDefault="002E1D70" w:rsidP="002E1D70">
      <w:pPr>
        <w:spacing w:after="0" w:line="240" w:lineRule="auto"/>
        <w:ind w:left="709" w:right="618"/>
        <w:jc w:val="both"/>
        <w:rPr>
          <w:rFonts w:ascii="Verdana" w:hAnsi="Verdana"/>
          <w:sz w:val="20"/>
          <w:szCs w:val="20"/>
        </w:rPr>
      </w:pPr>
      <w:r w:rsidRPr="002E1D70">
        <w:rPr>
          <w:rFonts w:ascii="Verdana" w:eastAsia="Arial" w:hAnsi="Verdana" w:cs="Arial"/>
          <w:i/>
          <w:color w:val="000000"/>
          <w:sz w:val="20"/>
          <w:szCs w:val="20"/>
        </w:rPr>
        <w:t>“</w:t>
      </w:r>
      <w:bookmarkEnd w:id="1"/>
      <w:r w:rsidRPr="002E1D70">
        <w:rPr>
          <w:rFonts w:ascii="Verdana" w:hAnsi="Verdana"/>
          <w:sz w:val="20"/>
          <w:szCs w:val="20"/>
        </w:rPr>
        <w:t xml:space="preserve">1. ¿En el concurso de méritos de arquitectura regulado en los artículos 2.2.1.2.1.3.8 al 2.2.1.2.1.3.25 del Decreto 1082 de 2015 es factible no tener que verificar y evaluar las condiciones de capacidad financiera y de organización de los proponentes? En caso negativo: </w:t>
      </w:r>
    </w:p>
    <w:p w14:paraId="0AB1FAA0" w14:textId="77777777" w:rsidR="002E1D70" w:rsidRPr="002E1D70" w:rsidRDefault="002E1D70" w:rsidP="002E1D70">
      <w:pPr>
        <w:spacing w:after="0" w:line="240" w:lineRule="auto"/>
        <w:ind w:left="709" w:right="618"/>
        <w:jc w:val="both"/>
        <w:rPr>
          <w:rFonts w:ascii="Verdana" w:hAnsi="Verdana"/>
          <w:sz w:val="20"/>
          <w:szCs w:val="20"/>
        </w:rPr>
      </w:pPr>
    </w:p>
    <w:p w14:paraId="68E88332" w14:textId="77777777" w:rsidR="002E1D70" w:rsidRPr="002E1D70" w:rsidRDefault="002E1D70" w:rsidP="002E1D70">
      <w:pPr>
        <w:spacing w:after="0" w:line="240" w:lineRule="auto"/>
        <w:ind w:left="709" w:right="618"/>
        <w:jc w:val="both"/>
        <w:rPr>
          <w:rFonts w:ascii="Verdana" w:hAnsi="Verdana"/>
          <w:sz w:val="20"/>
          <w:szCs w:val="20"/>
        </w:rPr>
      </w:pPr>
      <w:r w:rsidRPr="002E1D70">
        <w:rPr>
          <w:rFonts w:ascii="Verdana" w:hAnsi="Verdana"/>
          <w:sz w:val="20"/>
          <w:szCs w:val="20"/>
        </w:rPr>
        <w:lastRenderedPageBreak/>
        <w:t xml:space="preserve">2. ¿Para el concurso de méritos de arquitectura, atendiendo a su naturaleza y finalidad, es posible establecer una media más sencilla para la verificación de capacidad financiera y de organización? </w:t>
      </w:r>
    </w:p>
    <w:p w14:paraId="3AFE0269" w14:textId="77777777" w:rsidR="002E1D70" w:rsidRPr="002E1D70" w:rsidRDefault="002E1D70" w:rsidP="002E1D70">
      <w:pPr>
        <w:spacing w:after="0" w:line="240" w:lineRule="auto"/>
        <w:ind w:left="709" w:right="618"/>
        <w:jc w:val="both"/>
        <w:rPr>
          <w:rFonts w:ascii="Verdana" w:hAnsi="Verdana"/>
          <w:sz w:val="20"/>
          <w:szCs w:val="20"/>
        </w:rPr>
      </w:pPr>
    </w:p>
    <w:p w14:paraId="3DAF498A" w14:textId="77777777" w:rsidR="002E1D70" w:rsidRPr="002E1D70" w:rsidRDefault="002E1D70" w:rsidP="002E1D70">
      <w:pPr>
        <w:spacing w:after="0" w:line="240" w:lineRule="auto"/>
        <w:ind w:left="709" w:right="618"/>
        <w:jc w:val="both"/>
        <w:rPr>
          <w:rFonts w:ascii="Verdana" w:hAnsi="Verdana"/>
          <w:sz w:val="20"/>
          <w:szCs w:val="20"/>
        </w:rPr>
      </w:pPr>
      <w:r w:rsidRPr="002E1D70">
        <w:rPr>
          <w:rFonts w:ascii="Verdana" w:hAnsi="Verdana"/>
          <w:sz w:val="20"/>
          <w:szCs w:val="20"/>
        </w:rPr>
        <w:t>3. ¿Para el concurso de méritos de arquitectura, atendiendo a su naturaleza y finalidad, es posible establecer una media para el capital de trabajo y patrimonio cuya verificación se realizaría como parte de la verificación de capacidad financiera y de organización?”.</w:t>
      </w:r>
    </w:p>
    <w:p w14:paraId="08A51358" w14:textId="77777777" w:rsidR="002E1D70" w:rsidRPr="002E1D70" w:rsidRDefault="002E1D70" w:rsidP="002E1D70">
      <w:pPr>
        <w:spacing w:after="0" w:line="276" w:lineRule="auto"/>
        <w:ind w:left="709" w:right="618"/>
        <w:jc w:val="both"/>
        <w:rPr>
          <w:rFonts w:ascii="Verdana" w:eastAsia="Calibri" w:hAnsi="Verdana" w:cs="Arial"/>
          <w:i/>
          <w:iCs/>
          <w:lang w:eastAsia="es-ES"/>
        </w:rPr>
      </w:pPr>
    </w:p>
    <w:p w14:paraId="3FE3D323" w14:textId="77777777" w:rsidR="002E1D70" w:rsidRPr="002E1D70" w:rsidRDefault="002E1D70" w:rsidP="002E1D70">
      <w:pPr>
        <w:spacing w:after="120" w:line="276" w:lineRule="auto"/>
        <w:ind w:firstLine="709"/>
        <w:jc w:val="both"/>
        <w:rPr>
          <w:rFonts w:ascii="Verdana" w:eastAsia="Calibri" w:hAnsi="Verdana" w:cs="Arial"/>
          <w:color w:val="000000"/>
          <w:lang w:eastAsia="es-ES"/>
        </w:rPr>
      </w:pPr>
      <w:r w:rsidRPr="002E1D70">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2E1D70">
        <w:rPr>
          <w:rFonts w:ascii="Verdana" w:eastAsia="Calibri" w:hAnsi="Verdana" w:cs="Arial"/>
          <w:color w:val="000000"/>
          <w:szCs w:val="24"/>
          <w:lang w:eastAsia="es-ES_tradnl"/>
        </w:rPr>
        <w:tab/>
      </w:r>
    </w:p>
    <w:p w14:paraId="2227BA16" w14:textId="77777777" w:rsidR="002E1D70" w:rsidRPr="002E1D70" w:rsidRDefault="002E1D70" w:rsidP="002E1D70">
      <w:pPr>
        <w:spacing w:after="0" w:line="276" w:lineRule="auto"/>
        <w:ind w:firstLine="709"/>
        <w:jc w:val="both"/>
        <w:rPr>
          <w:rFonts w:ascii="Verdana" w:eastAsia="Calibri" w:hAnsi="Verdana" w:cs="Arial"/>
          <w:color w:val="000000"/>
          <w:lang w:eastAsia="es-ES"/>
        </w:rPr>
      </w:pPr>
      <w:r w:rsidRPr="002E1D70">
        <w:rPr>
          <w:rFonts w:ascii="Verdana" w:eastAsia="Calibri" w:hAnsi="Verdana" w:cs="Arial"/>
          <w:color w:val="000000"/>
          <w:lang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las preguntas de la petición, pero haciendo unas consideraciones sobre las normas generales relacionadas con los</w:t>
      </w:r>
      <w:r w:rsidRPr="002E1D70">
        <w:rPr>
          <w:rFonts w:ascii="Verdana" w:eastAsia="Calibri" w:hAnsi="Verdana" w:cs="Arial"/>
          <w:color w:val="7030A0"/>
          <w:lang w:eastAsia="es-ES"/>
        </w:rPr>
        <w:t xml:space="preserve"> </w:t>
      </w:r>
      <w:r w:rsidRPr="002E1D70">
        <w:rPr>
          <w:rFonts w:ascii="Verdana" w:eastAsia="Calibri" w:hAnsi="Verdana" w:cs="Arial"/>
          <w:color w:val="000000"/>
          <w:lang w:eastAsia="es-ES"/>
        </w:rPr>
        <w:t>problemas</w:t>
      </w:r>
      <w:r w:rsidRPr="002E1D70">
        <w:rPr>
          <w:rFonts w:ascii="Verdana" w:eastAsia="Calibri" w:hAnsi="Verdana" w:cs="Arial"/>
          <w:color w:val="7030A0"/>
          <w:lang w:eastAsia="es-ES"/>
        </w:rPr>
        <w:t xml:space="preserve"> </w:t>
      </w:r>
      <w:r w:rsidRPr="002E1D70">
        <w:rPr>
          <w:rFonts w:ascii="Verdana" w:eastAsia="Calibri" w:hAnsi="Verdana" w:cs="Arial"/>
          <w:color w:val="000000"/>
          <w:lang w:eastAsia="es-ES"/>
        </w:rPr>
        <w:t>jurídicos</w:t>
      </w:r>
      <w:r w:rsidRPr="002E1D70">
        <w:rPr>
          <w:rFonts w:ascii="Verdana" w:eastAsia="Calibri" w:hAnsi="Verdana" w:cs="Arial"/>
          <w:color w:val="7030A0"/>
          <w:lang w:eastAsia="es-ES"/>
        </w:rPr>
        <w:t xml:space="preserve"> </w:t>
      </w:r>
      <w:r w:rsidRPr="002E1D70">
        <w:rPr>
          <w:rFonts w:ascii="Verdana" w:eastAsia="Calibri" w:hAnsi="Verdana" w:cs="Arial"/>
          <w:color w:val="000000"/>
          <w:lang w:eastAsia="es-ES"/>
        </w:rPr>
        <w:t xml:space="preserve">de su consulta. </w:t>
      </w:r>
    </w:p>
    <w:p w14:paraId="691AA5B2" w14:textId="77777777" w:rsidR="002E1D70" w:rsidRPr="002E1D70" w:rsidRDefault="002E1D70" w:rsidP="002E1D70">
      <w:pPr>
        <w:spacing w:after="0" w:line="276" w:lineRule="auto"/>
        <w:ind w:firstLine="709"/>
        <w:jc w:val="both"/>
        <w:rPr>
          <w:rFonts w:ascii="Verdana" w:eastAsia="Calibri" w:hAnsi="Verdana" w:cs="Arial"/>
          <w:color w:val="000000"/>
          <w:lang w:eastAsia="es-ES"/>
        </w:rPr>
      </w:pPr>
    </w:p>
    <w:p w14:paraId="3E539759" w14:textId="77777777" w:rsidR="002E1D70" w:rsidRPr="002E1D70" w:rsidRDefault="002E1D70" w:rsidP="002E1D70">
      <w:pPr>
        <w:numPr>
          <w:ilvl w:val="0"/>
          <w:numId w:val="1"/>
        </w:numPr>
        <w:tabs>
          <w:tab w:val="left" w:pos="142"/>
          <w:tab w:val="left" w:pos="284"/>
        </w:tabs>
        <w:spacing w:after="0" w:line="276" w:lineRule="auto"/>
        <w:jc w:val="both"/>
        <w:rPr>
          <w:rFonts w:ascii="Verdana" w:eastAsia="Century Gothic" w:hAnsi="Verdana" w:cs="Century Gothic"/>
          <w:b/>
          <w:bCs/>
        </w:rPr>
      </w:pPr>
      <w:r w:rsidRPr="002E1D70">
        <w:rPr>
          <w:rFonts w:ascii="Verdana" w:eastAsia="Century Gothic" w:hAnsi="Verdana" w:cs="Century Gothic"/>
          <w:b/>
          <w:bCs/>
        </w:rPr>
        <w:t>Problemas planteados:</w:t>
      </w:r>
    </w:p>
    <w:p w14:paraId="27E20A93" w14:textId="77777777" w:rsidR="002E1D70" w:rsidRPr="002E1D70" w:rsidRDefault="002E1D70" w:rsidP="002E1D70">
      <w:pPr>
        <w:tabs>
          <w:tab w:val="left" w:pos="426"/>
        </w:tabs>
        <w:spacing w:after="0" w:line="276" w:lineRule="auto"/>
        <w:jc w:val="both"/>
        <w:rPr>
          <w:rFonts w:ascii="Verdana" w:eastAsia="Century Gothic" w:hAnsi="Verdana" w:cs="Century Gothic"/>
        </w:rPr>
      </w:pPr>
    </w:p>
    <w:p w14:paraId="25BC69B1" w14:textId="77777777" w:rsidR="002E1D70" w:rsidRPr="002E1D70" w:rsidRDefault="002E1D70" w:rsidP="002E1D70">
      <w:pPr>
        <w:spacing w:after="0" w:line="276" w:lineRule="auto"/>
        <w:jc w:val="both"/>
        <w:rPr>
          <w:rFonts w:ascii="Verdana" w:eastAsia="Century Gothic" w:hAnsi="Verdana" w:cs="Century Gothic"/>
        </w:rPr>
      </w:pPr>
      <w:r w:rsidRPr="002E1D70">
        <w:rPr>
          <w:rFonts w:ascii="Verdana" w:eastAsia="Century Gothic" w:hAnsi="Verdana" w:cs="Century Gothic"/>
        </w:rPr>
        <w:t xml:space="preserve">De acuerdo con el contenido de su solicitud, esta Agencia resolverá el siguiente problema jurídico: “¿Se deben definir requisitos habilitantes de capacidad financiera y de organización del proponente en el concurso de arquitectura? </w:t>
      </w:r>
    </w:p>
    <w:p w14:paraId="482F7F4C" w14:textId="77777777" w:rsidR="002E1D70" w:rsidRPr="002E1D70" w:rsidRDefault="002E1D70" w:rsidP="002E1D70">
      <w:pPr>
        <w:spacing w:after="0" w:line="276" w:lineRule="auto"/>
        <w:jc w:val="both"/>
        <w:rPr>
          <w:rFonts w:ascii="Verdana" w:eastAsia="Century Gothic" w:hAnsi="Verdana" w:cs="Century Gothic"/>
        </w:rPr>
      </w:pPr>
    </w:p>
    <w:p w14:paraId="613351D6" w14:textId="77777777" w:rsidR="002E1D70" w:rsidRPr="002E1D70" w:rsidRDefault="002E1D70" w:rsidP="002E1D70">
      <w:pPr>
        <w:numPr>
          <w:ilvl w:val="0"/>
          <w:numId w:val="1"/>
        </w:numPr>
        <w:tabs>
          <w:tab w:val="left" w:pos="142"/>
          <w:tab w:val="left" w:pos="284"/>
        </w:tabs>
        <w:spacing w:after="0" w:line="276" w:lineRule="auto"/>
        <w:jc w:val="both"/>
        <w:rPr>
          <w:rFonts w:ascii="Verdana" w:eastAsia="Century Gothic" w:hAnsi="Verdana" w:cs="Century Gothic"/>
          <w:b/>
          <w:bCs/>
        </w:rPr>
      </w:pPr>
      <w:r w:rsidRPr="002E1D70">
        <w:rPr>
          <w:rFonts w:ascii="Verdana" w:eastAsia="Century Gothic" w:hAnsi="Verdana" w:cs="Century Gothic"/>
          <w:b/>
          <w:bCs/>
        </w:rPr>
        <w:t>Respuestas:</w:t>
      </w:r>
    </w:p>
    <w:p w14:paraId="08D766AC" w14:textId="77777777" w:rsidR="002E1D70" w:rsidRPr="002E1D70" w:rsidRDefault="002E1D70" w:rsidP="002E1D70">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2E1D70" w:rsidRPr="002E1D70" w14:paraId="6725855B" w14:textId="77777777" w:rsidTr="001460C9">
        <w:trPr>
          <w:trHeight w:val="693"/>
          <w:jc w:val="center"/>
        </w:trPr>
        <w:tc>
          <w:tcPr>
            <w:tcW w:w="8828" w:type="dxa"/>
          </w:tcPr>
          <w:p w14:paraId="4A8A857D" w14:textId="77777777" w:rsidR="002E1D70" w:rsidRPr="002E1D70" w:rsidRDefault="002E1D70" w:rsidP="002E1D70">
            <w:pPr>
              <w:spacing w:after="120" w:line="276" w:lineRule="auto"/>
              <w:jc w:val="both"/>
              <w:rPr>
                <w:rFonts w:ascii="Verdana" w:eastAsia="Calibri" w:hAnsi="Verdana" w:cs="Arial"/>
                <w:bCs/>
              </w:rPr>
            </w:pPr>
            <w:bookmarkStart w:id="2" w:name="_Hlk171694685"/>
            <w:r w:rsidRPr="002E1D70">
              <w:rPr>
                <w:rFonts w:ascii="Verdana" w:eastAsia="Calibri" w:hAnsi="Verdana" w:cs="Arial"/>
              </w:rPr>
              <w:lastRenderedPageBreak/>
              <w:t>Para la selección de los proponentes en los procesos que se adelanten bajo la modalidad de concurso de méritos, además de ser exigibles los requisitos habilitantes establecidos en el numeral 1 del artículo 5 de la Ley 1150 de 2007</w:t>
            </w:r>
            <w:r w:rsidRPr="002E1D70">
              <w:rPr>
                <w:rFonts w:ascii="Verdana" w:eastAsia="Calibri" w:hAnsi="Verdana" w:cs="Arial"/>
                <w:bCs/>
              </w:rPr>
              <w:t xml:space="preserve"> de capacidad jurídica, condiciones de experiencia, capacidad financiera y de organización para verificar la idoneidad del proponente, se aplicará lo dispuesto en el numeral 4 </w:t>
            </w:r>
            <w:r w:rsidRPr="002E1D70">
              <w:rPr>
                <w:rFonts w:ascii="Verdana" w:eastAsia="Calibri" w:hAnsi="Verdana" w:cs="Arial"/>
                <w:bCs/>
                <w:i/>
                <w:iCs/>
              </w:rPr>
              <w:t xml:space="preserve">ibidem </w:t>
            </w:r>
            <w:r w:rsidRPr="002E1D70">
              <w:rPr>
                <w:rFonts w:ascii="Verdana" w:eastAsia="Calibri" w:hAnsi="Verdana" w:cs="Arial"/>
                <w:bCs/>
              </w:rPr>
              <w:t xml:space="preserve">para la calificación de las ofertas, de tal forma que la entidad deberá evaluar las condiciones técnicas, la experiencia del proponente y del equipo de trabajo, de acuerdo con las disposiciones reglamentarias que regulen la materia. </w:t>
            </w:r>
          </w:p>
          <w:p w14:paraId="3F2FDE4F" w14:textId="77777777" w:rsidR="002E1D70" w:rsidRPr="002E1D70" w:rsidRDefault="002E1D70" w:rsidP="002E1D70">
            <w:pPr>
              <w:spacing w:after="120" w:line="276" w:lineRule="auto"/>
              <w:ind w:firstLine="708"/>
              <w:jc w:val="both"/>
              <w:rPr>
                <w:rFonts w:ascii="Verdana" w:eastAsia="Calibri" w:hAnsi="Verdana" w:cs="Arial"/>
                <w:color w:val="000000" w:themeColor="text1"/>
              </w:rPr>
            </w:pPr>
            <w:r w:rsidRPr="002E1D70">
              <w:rPr>
                <w:rFonts w:ascii="Verdana" w:eastAsia="Calibri" w:hAnsi="Verdana" w:cs="Arial"/>
                <w:bCs/>
              </w:rPr>
              <w:t>Lo anterior resulta aplicable en los diferentes procedimientos que se desarrollan mediante la modalidad de selección de concurso de méritos, incluyendo el concurso de arquitectura. En efecto,</w:t>
            </w:r>
            <w:r w:rsidRPr="002E1D70">
              <w:rPr>
                <w:rFonts w:ascii="Verdana" w:eastAsia="Calibri" w:hAnsi="Verdana" w:cs="Arial"/>
                <w:color w:val="000000"/>
                <w:lang w:val="es-ES" w:eastAsia="es-ES"/>
              </w:rPr>
              <w:t xml:space="preserve"> s</w:t>
            </w:r>
            <w:r w:rsidRPr="002E1D70">
              <w:rPr>
                <w:rFonts w:ascii="Verdana" w:eastAsia="Calibri" w:hAnsi="Verdana" w:cs="Arial"/>
              </w:rPr>
              <w:t xml:space="preserve">i bien en los procesos de concurso de arquitectura la forma de calificación difiere de la prevista en otros procedimientos del concurso de méritos, en la medida en que la evaluación recae sobre los trabajos presentados por los proponentes y está a cargo de un jurado calificador, ello no exime a la entidad contratante de verificar la idoneidad del proponente para la ejecución del contrato de consultoría. Por ello, tanto la Ley 1150 de 2007 como el Decreto 1082 de 2015 exigen determinar unas </w:t>
            </w:r>
            <w:r w:rsidRPr="002E1D70">
              <w:rPr>
                <w:rFonts w:ascii="Verdana" w:eastAsia="Calibri" w:hAnsi="Verdana" w:cs="Arial"/>
                <w:color w:val="000000" w:themeColor="text1"/>
                <w:lang w:val="es-ES_tradnl"/>
              </w:rPr>
              <w:t xml:space="preserve">condiciones mínimas </w:t>
            </w:r>
            <w:r w:rsidRPr="002E1D70">
              <w:rPr>
                <w:rFonts w:ascii="Verdana" w:eastAsia="Calibri" w:hAnsi="Verdana" w:cs="Arial"/>
                <w:color w:val="000000" w:themeColor="text1"/>
              </w:rPr>
              <w:t>de los proponentes, con el fin de asegurar que el contratista tenga las aptitudes necesarias para que la ejecución del objeto contractual se efectué de manera eficiente y eficaz, respondiendo adecuadamente a la necesidad identificada.</w:t>
            </w:r>
          </w:p>
          <w:p w14:paraId="2A7044A2" w14:textId="77777777" w:rsidR="002E1D70" w:rsidRPr="002E1D70" w:rsidRDefault="002E1D70" w:rsidP="002E1D70">
            <w:pPr>
              <w:spacing w:after="120" w:line="276" w:lineRule="auto"/>
              <w:ind w:firstLine="709"/>
              <w:jc w:val="both"/>
              <w:rPr>
                <w:rFonts w:ascii="Verdana" w:eastAsia="Calibri" w:hAnsi="Verdana" w:cs="Arial"/>
              </w:rPr>
            </w:pPr>
            <w:r w:rsidRPr="002E1D70">
              <w:rPr>
                <w:rFonts w:ascii="Verdana" w:eastAsia="Calibri" w:hAnsi="Verdana" w:cs="Arial"/>
              </w:rPr>
              <w:t xml:space="preserve">De hecho, el artículo 2.2.1.2.1.3.22 del Decreto 1082 de 2015 reafirma la obligatoriedad de incluir tanto los requisitos habilitantes como los factores de calificación en los pliegos de condiciones, al disponer que estos deben contener requisitos objetivos que deben cumplirse para participar en el proceso, así como las condiciones que deben reunir los proponentes. En este contexto, realizando una interpretación armónica del reglamento con la Ley 1150 de 2007, se colige que los primeros hacen referencia a los factores de calificación mencionados en el numeral 4 del artículo 5 de la Ley 1150 de 2007, mientras que los segundos corresponden a los requisitos habilitantes a los que alude el numeral 1 del mismo artículo, esto son la capacidad jurídica, </w:t>
            </w:r>
            <w:r w:rsidRPr="002E1D70">
              <w:rPr>
                <w:rFonts w:ascii="Verdana" w:eastAsia="Calibri" w:hAnsi="Verdana" w:cs="Arial"/>
                <w:bCs/>
              </w:rPr>
              <w:t xml:space="preserve">las condiciones de experiencia, la capacidad financiera y de organización. </w:t>
            </w:r>
          </w:p>
          <w:p w14:paraId="3005BCB7" w14:textId="4B8CD86C" w:rsidR="002E1D70" w:rsidRPr="005D219E" w:rsidRDefault="002E1D70" w:rsidP="005D219E">
            <w:pPr>
              <w:spacing w:line="276" w:lineRule="auto"/>
              <w:ind w:firstLine="708"/>
              <w:jc w:val="both"/>
              <w:rPr>
                <w:rFonts w:ascii="Verdana" w:eastAsia="Calibri" w:hAnsi="Verdana" w:cs="Arial"/>
                <w:color w:val="000000" w:themeColor="text1"/>
              </w:rPr>
            </w:pPr>
            <w:r w:rsidRPr="002E1D70">
              <w:rPr>
                <w:rFonts w:ascii="Verdana" w:eastAsia="Calibri" w:hAnsi="Verdana" w:cs="Arial"/>
              </w:rPr>
              <w:t xml:space="preserve">En consecuencia, debido a que la capacidad financiera y de organización constituye un requisito habilitante, en estos procesos debe exigirse esta </w:t>
            </w:r>
            <w:r w:rsidRPr="002E1D70">
              <w:rPr>
                <w:rFonts w:ascii="Verdana" w:eastAsia="Calibri" w:hAnsi="Verdana" w:cs="Arial"/>
              </w:rPr>
              <w:lastRenderedPageBreak/>
              <w:t xml:space="preserve">condición, máxime que la norma tampoco estableció ninguna excepción a la exigencia de dicho requisito. En este contexto, la determinación de la </w:t>
            </w:r>
            <w:r w:rsidRPr="002E1D70">
              <w:rPr>
                <w:rFonts w:ascii="Verdana" w:eastAsia="Calibri" w:hAnsi="Verdana" w:cs="Arial"/>
                <w:color w:val="000000" w:themeColor="text1"/>
              </w:rPr>
              <w:t xml:space="preserve">capacidad financiera y de organización en los concursos de arquitectura debe responder a criterios de razonabilidad, adecuación y proporcionalidad, de tal manera que este requisito debe establecerse en función del alcance y la naturaleza específica del objeto a contratar. </w:t>
            </w:r>
            <w:r w:rsidR="005D219E">
              <w:rPr>
                <w:rFonts w:ascii="Verdana" w:eastAsia="Calibri" w:hAnsi="Verdana" w:cs="Arial"/>
                <w:color w:val="000000" w:themeColor="text1"/>
              </w:rPr>
              <w:t>Por tanto</w:t>
            </w:r>
            <w:r w:rsidRPr="002E1D70">
              <w:rPr>
                <w:rFonts w:ascii="Verdana" w:eastAsia="Calibri" w:hAnsi="Verdana" w:cs="Arial"/>
                <w:color w:val="000000" w:themeColor="text1"/>
              </w:rPr>
              <w:t>, los indicadores requeridos en estos concursos podrían definirse con criterios más flexibles, siempre que se sustenten en un análisis específico del sector.</w:t>
            </w:r>
          </w:p>
        </w:tc>
      </w:tr>
    </w:tbl>
    <w:p w14:paraId="2579DBD6" w14:textId="77777777" w:rsidR="002E1D70" w:rsidRPr="002E1D70" w:rsidRDefault="002E1D70" w:rsidP="002E1D70">
      <w:pPr>
        <w:tabs>
          <w:tab w:val="left" w:pos="142"/>
          <w:tab w:val="left" w:pos="284"/>
        </w:tabs>
        <w:spacing w:after="0" w:line="276" w:lineRule="auto"/>
        <w:jc w:val="both"/>
        <w:rPr>
          <w:rFonts w:ascii="Verdana" w:eastAsia="Century Gothic" w:hAnsi="Verdana" w:cs="Century Gothic"/>
          <w:b/>
          <w:bCs/>
        </w:rPr>
      </w:pPr>
    </w:p>
    <w:bookmarkEnd w:id="2"/>
    <w:p w14:paraId="4EF36A2C" w14:textId="77777777" w:rsidR="002E1D70" w:rsidRPr="002E1D70" w:rsidRDefault="002E1D70" w:rsidP="002E1D70">
      <w:pPr>
        <w:numPr>
          <w:ilvl w:val="0"/>
          <w:numId w:val="1"/>
        </w:numPr>
        <w:tabs>
          <w:tab w:val="left" w:pos="142"/>
          <w:tab w:val="left" w:pos="284"/>
        </w:tabs>
        <w:spacing w:after="0" w:line="276" w:lineRule="auto"/>
        <w:jc w:val="both"/>
        <w:rPr>
          <w:rFonts w:ascii="Verdana" w:eastAsia="Century Gothic" w:hAnsi="Verdana" w:cs="Century Gothic"/>
          <w:b/>
          <w:bCs/>
        </w:rPr>
      </w:pPr>
      <w:r w:rsidRPr="002E1D70">
        <w:rPr>
          <w:rFonts w:ascii="Verdana" w:eastAsia="Century Gothic" w:hAnsi="Verdana" w:cs="Century Gothic"/>
          <w:b/>
          <w:bCs/>
        </w:rPr>
        <w:t>Razones de las respuestas:</w:t>
      </w:r>
    </w:p>
    <w:p w14:paraId="6B3CF41F" w14:textId="77777777" w:rsidR="002E1D70" w:rsidRPr="002E1D70" w:rsidRDefault="002E1D70" w:rsidP="002E1D70">
      <w:pPr>
        <w:spacing w:after="0" w:line="276" w:lineRule="auto"/>
        <w:jc w:val="both"/>
        <w:rPr>
          <w:rFonts w:ascii="Verdana" w:eastAsia="Calibri" w:hAnsi="Verdana" w:cs="Arial"/>
          <w:color w:val="7030A0"/>
        </w:rPr>
      </w:pPr>
    </w:p>
    <w:p w14:paraId="1C6E36CF" w14:textId="77777777" w:rsidR="002E1D70" w:rsidRPr="002E1D70" w:rsidRDefault="002E1D70" w:rsidP="002E1D70">
      <w:pPr>
        <w:spacing w:after="0" w:line="276" w:lineRule="auto"/>
        <w:jc w:val="both"/>
        <w:rPr>
          <w:rFonts w:ascii="Verdana" w:eastAsia="Calibri" w:hAnsi="Verdana" w:cs="Arial"/>
        </w:rPr>
      </w:pPr>
      <w:r w:rsidRPr="002E1D70">
        <w:rPr>
          <w:rFonts w:ascii="Verdana" w:eastAsia="Calibri" w:hAnsi="Verdana" w:cs="Arial"/>
        </w:rPr>
        <w:t>Lo anterior se sustenta en las siguientes consideraciones:</w:t>
      </w:r>
    </w:p>
    <w:p w14:paraId="4B396C41" w14:textId="77777777" w:rsidR="002E1D70" w:rsidRPr="002E1D70" w:rsidRDefault="002E1D70" w:rsidP="002E1D70">
      <w:pPr>
        <w:spacing w:after="0" w:line="276" w:lineRule="auto"/>
        <w:jc w:val="both"/>
        <w:rPr>
          <w:rFonts w:ascii="Verdana" w:eastAsia="Calibri" w:hAnsi="Verdana" w:cs="Arial"/>
        </w:rPr>
      </w:pPr>
    </w:p>
    <w:p w14:paraId="74FAD745" w14:textId="77777777" w:rsidR="002E1D70" w:rsidRPr="002E1D70" w:rsidRDefault="002E1D70" w:rsidP="002E1D70">
      <w:pPr>
        <w:tabs>
          <w:tab w:val="left" w:pos="0"/>
        </w:tabs>
        <w:spacing w:after="120" w:line="276" w:lineRule="auto"/>
        <w:jc w:val="both"/>
        <w:rPr>
          <w:rFonts w:ascii="Verdana" w:eastAsia="Calibri" w:hAnsi="Verdana" w:cs="Arial"/>
          <w:bCs/>
        </w:rPr>
      </w:pPr>
      <w:r w:rsidRPr="002E1D70">
        <w:rPr>
          <w:rFonts w:ascii="Verdana" w:eastAsia="Calibri" w:hAnsi="Verdana" w:cs="Arial"/>
          <w:bCs/>
        </w:rPr>
        <w:t xml:space="preserve">i. De acuerdo con el artículo 5 de la Ley 1150 de 2007, el deber de selección objetiva supone que las entidades escojan en los procesos de selección el “[…] ofrecimiento más favorable a la entidad y a los fines que ella busca </w:t>
      </w:r>
      <w:r w:rsidRPr="002E1D70">
        <w:rPr>
          <w:rFonts w:ascii="Verdana" w:hAnsi="Verdana" w:cs="Arial"/>
        </w:rPr>
        <w:t>[…]</w:t>
      </w:r>
      <w:r w:rsidRPr="002E1D70">
        <w:rPr>
          <w:rFonts w:ascii="Verdana" w:eastAsia="Calibri" w:hAnsi="Verdana" w:cs="Arial"/>
          <w:bCs/>
        </w:rPr>
        <w:t>”</w:t>
      </w:r>
      <w:r w:rsidRPr="002E1D70">
        <w:rPr>
          <w:rFonts w:ascii="Verdana" w:eastAsia="Calibri" w:hAnsi="Verdana" w:cs="Arial"/>
          <w:bCs/>
          <w:vertAlign w:val="superscript"/>
        </w:rPr>
        <w:footnoteReference w:id="2"/>
      </w:r>
      <w:r w:rsidRPr="002E1D70">
        <w:rPr>
          <w:rFonts w:ascii="Verdana" w:eastAsia="Calibri" w:hAnsi="Verdana" w:cs="Arial"/>
          <w:bCs/>
        </w:rPr>
        <w:t xml:space="preserve">. Tal </w:t>
      </w:r>
      <w:r w:rsidRPr="002E1D70">
        <w:rPr>
          <w:rFonts w:ascii="Verdana" w:eastAsia="Calibri" w:hAnsi="Verdana" w:cs="Arial"/>
          <w:bCs/>
        </w:rPr>
        <w:lastRenderedPageBreak/>
        <w:t xml:space="preserve">favorabilidad debe determinarse a partir de criterios que pueden variar </w:t>
      </w:r>
      <w:proofErr w:type="gramStart"/>
      <w:r w:rsidRPr="002E1D70">
        <w:rPr>
          <w:rFonts w:ascii="Verdana" w:eastAsia="Calibri" w:hAnsi="Verdana" w:cs="Arial"/>
          <w:bCs/>
        </w:rPr>
        <w:t>de acuerdo al</w:t>
      </w:r>
      <w:proofErr w:type="gramEnd"/>
      <w:r w:rsidRPr="002E1D70">
        <w:rPr>
          <w:rFonts w:ascii="Verdana" w:eastAsia="Calibri" w:hAnsi="Verdana" w:cs="Arial"/>
          <w:bCs/>
        </w:rPr>
        <w:t xml:space="preserve"> objeto contractual o la modalidad de selección aplicable, los cuales, en todo caso, para que la selección sea objetiva, deben estar señalados en el pliego de condiciones o documento equivalente. </w:t>
      </w:r>
    </w:p>
    <w:p w14:paraId="56217437" w14:textId="77777777" w:rsidR="002E1D70" w:rsidRPr="002E1D70" w:rsidRDefault="002E1D70" w:rsidP="002E1D70">
      <w:pPr>
        <w:tabs>
          <w:tab w:val="left" w:pos="0"/>
        </w:tabs>
        <w:spacing w:after="120" w:line="276" w:lineRule="auto"/>
        <w:jc w:val="both"/>
        <w:rPr>
          <w:rFonts w:ascii="Verdana" w:eastAsia="Calibri" w:hAnsi="Verdana" w:cs="Arial"/>
          <w:bCs/>
        </w:rPr>
      </w:pPr>
      <w:r w:rsidRPr="002E1D70">
        <w:rPr>
          <w:rFonts w:ascii="Verdana" w:eastAsia="Calibri" w:hAnsi="Verdana" w:cs="Arial"/>
          <w:bCs/>
        </w:rPr>
        <w:tab/>
        <w:t>Al respecto, el numeral 1 del artículo 5 de la Ley 1150 de 2007 se refiere a los requisitos exigibles en la generalidad de procesos de selección adelantados conforme al EGCAP, tales como la capacidad jurídica, las condiciones de experiencia, la capacidad financiera y de organización, denominados requisitos habilitantes, los cuales –por expresa disposición legal– no otorgan puntaje. Lo anterior comoquiera que tales requisitos, no se refieren a la oferta misma sino la idoneidad del oferente para asumir adecuadamente la ejecución del contrato</w:t>
      </w:r>
      <w:r w:rsidRPr="002E1D70">
        <w:rPr>
          <w:rFonts w:ascii="Verdana" w:eastAsia="Calibri" w:hAnsi="Verdana" w:cs="Arial"/>
          <w:bCs/>
          <w:vertAlign w:val="superscript"/>
        </w:rPr>
        <w:footnoteReference w:id="3"/>
      </w:r>
      <w:r w:rsidRPr="002E1D70">
        <w:rPr>
          <w:rFonts w:ascii="Verdana" w:eastAsia="Calibri" w:hAnsi="Verdana" w:cs="Arial"/>
          <w:bCs/>
        </w:rPr>
        <w:t>. Los oferentes que cumplan estos requisitos habilitantes son considerados idóneos para ejecutar el objeto contractual, de manera que sus ofertas pueden ser consideradas en la evaluación dirigida a determinar cuál es la más favorable para la entidad y los fines de la contratación.</w:t>
      </w:r>
      <w:r w:rsidRPr="002E1D70">
        <w:t xml:space="preserve"> </w:t>
      </w:r>
      <w:r w:rsidRPr="002E1D70">
        <w:rPr>
          <w:rFonts w:ascii="Verdana" w:eastAsia="Calibri" w:hAnsi="Verdana" w:cs="Arial"/>
          <w:bCs/>
        </w:rPr>
        <w:t xml:space="preserve">En este sentido, los requisitos habilitantes son aquellos que deben cumplir en igualdad de condiciones los </w:t>
      </w:r>
      <w:r w:rsidRPr="002E1D70">
        <w:rPr>
          <w:rFonts w:ascii="Verdana" w:eastAsia="Calibri" w:hAnsi="Verdana" w:cs="Arial"/>
          <w:bCs/>
        </w:rPr>
        <w:lastRenderedPageBreak/>
        <w:t>proponentes, haciendo que estos se habiliten en el procedimiento de selección y sean susceptibles de ser seleccionados como futuros contratistas.</w:t>
      </w:r>
    </w:p>
    <w:p w14:paraId="5C744F73" w14:textId="77777777" w:rsidR="002E1D70" w:rsidRPr="002E1D70" w:rsidRDefault="002E1D70" w:rsidP="002E1D70">
      <w:pPr>
        <w:tabs>
          <w:tab w:val="left" w:pos="0"/>
        </w:tabs>
        <w:spacing w:after="120" w:line="276" w:lineRule="auto"/>
        <w:jc w:val="both"/>
        <w:rPr>
          <w:rFonts w:ascii="Verdana" w:eastAsia="Times New Roman" w:hAnsi="Verdana" w:cs="Arial"/>
        </w:rPr>
      </w:pPr>
      <w:r w:rsidRPr="002E1D70">
        <w:rPr>
          <w:rFonts w:ascii="Verdana" w:eastAsia="Calibri" w:hAnsi="Verdana" w:cs="Arial"/>
          <w:bCs/>
        </w:rPr>
        <w:tab/>
        <w:t xml:space="preserve">En contraposición a los requisitos habilitantes, el artículo 5 de la Ley 1150 de 2007 regula los factores dirigidos a determinar cuál es la propuesta más favorable. En ese sentido, el inciso primero dispone los factores de escogencia y calificación que deben indicarse en los pliegos de condiciones. El numeral 2 de esta norma establece que la oferta más favorable es aquella que resulte ser la más ventajosa para la entidad, una vez se realice la ponderación precisa y detallada de </w:t>
      </w:r>
      <w:r w:rsidRPr="002E1D70">
        <w:rPr>
          <w:rFonts w:ascii="Verdana" w:hAnsi="Verdana" w:cs="Arial"/>
        </w:rPr>
        <w:t xml:space="preserve">los factores técnicos y económicos de escogencia, de acuerdo con los parámetros establecidos en los pliegos de condiciones o equivalentes que permiten la comparación de ofertas.  Este numeral 2 se divide en dos literales, cada uno de los cuales hace referencia a los mecanismos por los que pueden optar las entidades para ponderar los elementos de calidad y precio de las ofertas. El literal a) alude a la ponderación de los referidos elementos mediante puntajes o fórmulas, mientras que el literal b) se refiere la elección de la oferta que represente la mejor relación costo – beneficio para la entidad. </w:t>
      </w:r>
    </w:p>
    <w:p w14:paraId="7518D713" w14:textId="77777777" w:rsidR="002E1D70" w:rsidRPr="002E1D70" w:rsidRDefault="002E1D70" w:rsidP="002E1D70">
      <w:pPr>
        <w:tabs>
          <w:tab w:val="left" w:pos="0"/>
        </w:tabs>
        <w:spacing w:after="120" w:line="276" w:lineRule="auto"/>
        <w:jc w:val="both"/>
        <w:rPr>
          <w:rFonts w:ascii="Verdana" w:hAnsi="Verdana" w:cs="Arial"/>
        </w:rPr>
      </w:pPr>
      <w:r w:rsidRPr="002E1D70">
        <w:rPr>
          <w:rFonts w:ascii="Verdana" w:hAnsi="Verdana" w:cs="Arial"/>
        </w:rPr>
        <w:tab/>
        <w:t>Por su parte, el numeral 3 establece que en los procesos de selección de bienes y servicios de características técnicas uniformes y de común utilización el único factor de evaluación consiste en el menor precio. Por último, el numeral 4, referente a procedimientos para selección de consultores, señala que debe hacerse uso de factores de calificación, para valorar los aspectos técnicos de la oferta, permitiendo que entre ellos se pondere la experiencia.</w:t>
      </w:r>
    </w:p>
    <w:p w14:paraId="54FFEE1C" w14:textId="77777777" w:rsidR="002E1D70" w:rsidRPr="002E1D70" w:rsidRDefault="002E1D70" w:rsidP="002E1D70">
      <w:pPr>
        <w:tabs>
          <w:tab w:val="left" w:pos="0"/>
        </w:tabs>
        <w:spacing w:line="276" w:lineRule="auto"/>
        <w:jc w:val="both"/>
        <w:rPr>
          <w:rFonts w:ascii="Verdana" w:hAnsi="Verdana" w:cs="Arial"/>
        </w:rPr>
      </w:pPr>
      <w:r w:rsidRPr="002E1D70">
        <w:rPr>
          <w:rFonts w:ascii="Verdana" w:hAnsi="Verdana" w:cs="Arial"/>
        </w:rPr>
        <w:tab/>
        <w:t xml:space="preserve">Conforme a lo anterior, el artículo 5 de la Ley 1150 de 2007, alude a diferentes conceptos como factores de escogencia, de calificación, técnicos y económicos de escogencia, de evaluación y calificación. Además, el artículo alude a unos factores que no otorgan puntaje y de otros que inciden en la comparación de ofertas. En línea con esto último, la doctrina define los requisitos o factores ponderables como </w:t>
      </w:r>
      <w:r w:rsidRPr="002E1D70">
        <w:rPr>
          <w:rFonts w:ascii="Verdana" w:hAnsi="Verdana" w:cs="Arial"/>
          <w:lang w:val="es-ES_tradnl"/>
        </w:rPr>
        <w:t xml:space="preserve">“[…] </w:t>
      </w:r>
      <w:r w:rsidRPr="002E1D70">
        <w:rPr>
          <w:rFonts w:ascii="Verdana" w:hAnsi="Verdana" w:cs="Arial"/>
        </w:rPr>
        <w:t>aquellas condiciones de la oferta y no de quien la presenta, que sí entrarán a ser evaluadas por la Administración y que en consecuencia, darán lugar a la escogencia objetiva de la mejor propuesta para la entidad”</w:t>
      </w:r>
      <w:r w:rsidRPr="002E1D70">
        <w:rPr>
          <w:rFonts w:ascii="Verdana" w:hAnsi="Verdana" w:cs="Arial"/>
          <w:vertAlign w:val="superscript"/>
        </w:rPr>
        <w:footnoteReference w:id="4"/>
      </w:r>
      <w:r w:rsidRPr="002E1D70">
        <w:rPr>
          <w:rFonts w:ascii="Verdana" w:hAnsi="Verdana" w:cs="Arial"/>
        </w:rPr>
        <w:t xml:space="preserve">. Todas estas categorías designan los </w:t>
      </w:r>
      <w:r w:rsidRPr="002E1D70">
        <w:rPr>
          <w:rFonts w:ascii="Verdana" w:hAnsi="Verdana" w:cs="Arial"/>
          <w:lang w:val="es-ES_tradnl"/>
        </w:rPr>
        <w:t xml:space="preserve">“[…] </w:t>
      </w:r>
      <w:r w:rsidRPr="002E1D70">
        <w:rPr>
          <w:rFonts w:ascii="Verdana" w:hAnsi="Verdana" w:cs="Arial"/>
        </w:rPr>
        <w:t xml:space="preserve">factores a los cuales cabe otorgarles puntajes o que pueden ser ponderados, precisamente, pues estos son </w:t>
      </w:r>
      <w:r w:rsidRPr="002E1D70">
        <w:rPr>
          <w:rFonts w:ascii="Verdana" w:hAnsi="Verdana" w:cs="Arial"/>
        </w:rPr>
        <w:lastRenderedPageBreak/>
        <w:t>los factores que en últimas permiten una comparación de ofertas y una diferenciación entre ellas”</w:t>
      </w:r>
      <w:r w:rsidRPr="002E1D70">
        <w:rPr>
          <w:rFonts w:ascii="Verdana" w:hAnsi="Verdana" w:cs="Arial"/>
          <w:vertAlign w:val="superscript"/>
        </w:rPr>
        <w:footnoteReference w:id="5"/>
      </w:r>
      <w:r w:rsidRPr="002E1D70">
        <w:rPr>
          <w:rFonts w:ascii="Verdana" w:hAnsi="Verdana" w:cs="Arial"/>
        </w:rPr>
        <w:t>. Conforme a esto, la doctrina explica que:</w:t>
      </w:r>
    </w:p>
    <w:p w14:paraId="795E8BE6" w14:textId="77777777" w:rsidR="002E1D70" w:rsidRPr="002E1D70" w:rsidRDefault="002E1D70" w:rsidP="002E1D70">
      <w:pPr>
        <w:tabs>
          <w:tab w:val="left" w:pos="0"/>
        </w:tabs>
        <w:spacing w:after="0" w:line="240" w:lineRule="auto"/>
        <w:ind w:left="709" w:right="709"/>
        <w:jc w:val="both"/>
        <w:rPr>
          <w:rFonts w:ascii="Verdana" w:eastAsia="Calibri" w:hAnsi="Verdana" w:cs="Arial"/>
          <w:bCs/>
          <w:sz w:val="20"/>
          <w:szCs w:val="20"/>
        </w:rPr>
      </w:pPr>
      <w:r w:rsidRPr="002E1D70">
        <w:rPr>
          <w:rFonts w:ascii="Verdana" w:eastAsia="Calibri" w:hAnsi="Verdana" w:cs="Arial"/>
          <w:bCs/>
          <w:sz w:val="20"/>
          <w:szCs w:val="20"/>
        </w:rPr>
        <w:t xml:space="preserve">“De acuerdo con ese entendimiento, el numeral 2 del artículo 5.° de la Ley  1150 de 2007, modificado por el artículo 88 de la Ley 1474 de 2011, comienza por señalar que "la oferta más favorable será aquella que, teniendo en cuenta los factores técnicos y económicos de escogencia y la ponderación precisa y detallada de los mismos, contenida en los pliegos de condiciones o sus equivalentes, resulte ser la más ventajosa para la entidad, sin que la favorabilidad la constituyan factores diferentes a los contenidos en dichos documentos". Es decir que los factores de ponderación o de evaluación son los que en realidad determinan la propuesta que mejor satisface las necesidades de la Administración y no simplemente cuál de los proponentes es el más idóneo en la ejecución del contrato, pues, se insiste, todo oferente que supere los requisitos mínimos habilitantes se entiende que es suficientemente idóneo para la ejecución del objeto contractual.  </w:t>
      </w:r>
    </w:p>
    <w:p w14:paraId="3B29EDB1" w14:textId="77777777" w:rsidR="002E1D70" w:rsidRPr="002E1D70" w:rsidRDefault="002E1D70" w:rsidP="002E1D70">
      <w:pPr>
        <w:tabs>
          <w:tab w:val="left" w:pos="0"/>
        </w:tabs>
        <w:spacing w:after="0" w:line="240" w:lineRule="auto"/>
        <w:ind w:left="709" w:right="709"/>
        <w:jc w:val="both"/>
        <w:rPr>
          <w:rFonts w:ascii="Verdana" w:eastAsia="Calibri" w:hAnsi="Verdana" w:cs="Arial"/>
          <w:bCs/>
          <w:sz w:val="20"/>
          <w:szCs w:val="20"/>
        </w:rPr>
      </w:pPr>
    </w:p>
    <w:p w14:paraId="529071F2" w14:textId="77777777" w:rsidR="002E1D70" w:rsidRPr="002E1D70" w:rsidRDefault="002E1D70" w:rsidP="002E1D70">
      <w:pPr>
        <w:tabs>
          <w:tab w:val="left" w:pos="0"/>
        </w:tabs>
        <w:spacing w:after="0" w:line="240" w:lineRule="auto"/>
        <w:ind w:left="709" w:right="709"/>
        <w:jc w:val="both"/>
        <w:rPr>
          <w:rFonts w:ascii="Verdana" w:eastAsia="Calibri" w:hAnsi="Verdana" w:cs="Arial"/>
          <w:bCs/>
          <w:sz w:val="20"/>
          <w:szCs w:val="20"/>
        </w:rPr>
      </w:pPr>
      <w:r w:rsidRPr="002E1D70">
        <w:rPr>
          <w:rFonts w:ascii="Verdana" w:eastAsia="Calibri" w:hAnsi="Verdana" w:cs="Arial"/>
          <w:bCs/>
          <w:sz w:val="20"/>
          <w:szCs w:val="20"/>
        </w:rPr>
        <w:t xml:space="preserve">De nuevo, aquí es preciso señalar que es el pliego de condiciones el que debe determinar cuáles son esos factores que en cada caso concreto permiten hacer una comparación entre las ofertas presentadas y, con base en ello, determinar cuál es la más favorable para la Administración Pública. </w:t>
      </w:r>
    </w:p>
    <w:p w14:paraId="0A70382B" w14:textId="77777777" w:rsidR="002E1D70" w:rsidRPr="002E1D70" w:rsidRDefault="002E1D70" w:rsidP="002E1D70">
      <w:pPr>
        <w:tabs>
          <w:tab w:val="left" w:pos="0"/>
        </w:tabs>
        <w:spacing w:after="0" w:line="240" w:lineRule="auto"/>
        <w:ind w:left="709" w:right="709"/>
        <w:jc w:val="both"/>
        <w:rPr>
          <w:rFonts w:ascii="Verdana" w:eastAsia="Calibri" w:hAnsi="Verdana" w:cs="Arial"/>
          <w:bCs/>
          <w:sz w:val="20"/>
          <w:szCs w:val="20"/>
        </w:rPr>
      </w:pPr>
      <w:r w:rsidRPr="002E1D70">
        <w:rPr>
          <w:rFonts w:ascii="Verdana" w:eastAsia="Calibri" w:hAnsi="Verdana" w:cs="Arial"/>
          <w:bCs/>
          <w:sz w:val="20"/>
          <w:szCs w:val="20"/>
        </w:rPr>
        <w:t>[…]</w:t>
      </w:r>
    </w:p>
    <w:p w14:paraId="0E2788A4" w14:textId="77777777" w:rsidR="002E1D70" w:rsidRPr="002E1D70" w:rsidRDefault="002E1D70" w:rsidP="002E1D70">
      <w:pPr>
        <w:tabs>
          <w:tab w:val="left" w:pos="0"/>
        </w:tabs>
        <w:spacing w:after="0" w:line="240" w:lineRule="auto"/>
        <w:ind w:left="709" w:right="709"/>
        <w:jc w:val="both"/>
        <w:rPr>
          <w:rFonts w:ascii="Verdana" w:eastAsia="Calibri" w:hAnsi="Verdana" w:cs="Arial"/>
          <w:bCs/>
          <w:sz w:val="20"/>
          <w:szCs w:val="20"/>
        </w:rPr>
      </w:pPr>
    </w:p>
    <w:p w14:paraId="1DB1A5D7" w14:textId="77777777" w:rsidR="002E1D70" w:rsidRPr="002E1D70" w:rsidRDefault="002E1D70" w:rsidP="002E1D70">
      <w:pPr>
        <w:tabs>
          <w:tab w:val="left" w:pos="0"/>
        </w:tabs>
        <w:spacing w:after="0" w:line="240" w:lineRule="auto"/>
        <w:ind w:left="709" w:right="709"/>
        <w:jc w:val="both"/>
        <w:rPr>
          <w:rFonts w:ascii="Verdana" w:eastAsia="Calibri" w:hAnsi="Verdana" w:cs="Arial"/>
          <w:bCs/>
          <w:sz w:val="20"/>
          <w:szCs w:val="20"/>
        </w:rPr>
      </w:pPr>
      <w:r w:rsidRPr="002E1D70">
        <w:rPr>
          <w:rFonts w:ascii="Verdana" w:eastAsia="Calibri" w:hAnsi="Verdana" w:cs="Arial"/>
          <w:bCs/>
          <w:sz w:val="20"/>
          <w:szCs w:val="20"/>
        </w:rPr>
        <w:t>Una siguiente conclusión que se deriva de la norma parcialmente transcrita consiste en que los pliegos de condiciones deben determinar dos situaciones por separado: 1. cuáles serán los factores o requisitos que serán evaluados por la Administración y 2. cuáles son los criterios para asignar puntaje a cada uno de los factores de evaluación y, con base en ello, poder hacer la comparación entre las ofertas y concluir cuál de ellas es la más ventajosa para la entidad estatal”</w:t>
      </w:r>
      <w:r w:rsidRPr="002E1D70">
        <w:rPr>
          <w:rFonts w:ascii="Verdana" w:eastAsia="Calibri" w:hAnsi="Verdana" w:cs="Arial"/>
          <w:bCs/>
          <w:sz w:val="20"/>
          <w:szCs w:val="20"/>
          <w:vertAlign w:val="superscript"/>
        </w:rPr>
        <w:footnoteReference w:id="6"/>
      </w:r>
      <w:r w:rsidRPr="002E1D70">
        <w:rPr>
          <w:rFonts w:ascii="Verdana" w:eastAsia="Calibri" w:hAnsi="Verdana" w:cs="Arial"/>
          <w:bCs/>
          <w:sz w:val="20"/>
          <w:szCs w:val="20"/>
        </w:rPr>
        <w:t>.</w:t>
      </w:r>
    </w:p>
    <w:p w14:paraId="4333EDAA" w14:textId="77777777" w:rsidR="002E1D70" w:rsidRPr="002E1D70" w:rsidRDefault="002E1D70" w:rsidP="002E1D70">
      <w:pPr>
        <w:tabs>
          <w:tab w:val="left" w:pos="0"/>
        </w:tabs>
        <w:spacing w:after="0" w:line="276" w:lineRule="auto"/>
        <w:ind w:left="709" w:right="709"/>
        <w:jc w:val="both"/>
        <w:rPr>
          <w:rFonts w:ascii="Verdana" w:eastAsia="Calibri" w:hAnsi="Verdana" w:cs="Arial"/>
          <w:bCs/>
          <w:sz w:val="21"/>
          <w:szCs w:val="21"/>
        </w:rPr>
      </w:pPr>
    </w:p>
    <w:p w14:paraId="3A317451" w14:textId="77777777" w:rsidR="002E1D70" w:rsidRPr="002E1D70" w:rsidRDefault="002E1D70" w:rsidP="002E1D70">
      <w:pPr>
        <w:tabs>
          <w:tab w:val="left" w:pos="0"/>
        </w:tabs>
        <w:spacing w:after="120" w:line="276" w:lineRule="auto"/>
        <w:jc w:val="both"/>
        <w:rPr>
          <w:rFonts w:ascii="Verdana" w:eastAsia="Calibri" w:hAnsi="Verdana" w:cs="Arial"/>
          <w:bCs/>
        </w:rPr>
      </w:pPr>
      <w:r w:rsidRPr="002E1D70">
        <w:rPr>
          <w:rFonts w:ascii="Verdana" w:eastAsia="Calibri" w:hAnsi="Verdana" w:cs="Arial"/>
          <w:bCs/>
        </w:rPr>
        <w:tab/>
        <w:t xml:space="preserve">De acuerdo con lo expuesto, es posible asimilar las diferentes categorías a las que hace referencia el artículo 5 de la Ley 1150 de 2007, cuando alude a los factores que, a diferencia de los requisitos habilitantes, determinan la oferta más favorable para la entidad, y que por lo tanto debe hacer adjudicatario a quien la presentó en debida forma. Es frente a estos factores que la entidad concibe el otorgamiento de puntajes, como mecanismos para ponderar y </w:t>
      </w:r>
      <w:r w:rsidRPr="002E1D70">
        <w:rPr>
          <w:rFonts w:ascii="Verdana" w:eastAsia="Calibri" w:hAnsi="Verdana" w:cs="Arial"/>
          <w:bCs/>
        </w:rPr>
        <w:lastRenderedPageBreak/>
        <w:t xml:space="preserve">comparar los ofrecimientos, con el fin de determinar objetivamente la oferta más favorable, aplicando para ello las reglas establecidas en el pliego o documento equivalente para la ponderación de las ofertas. </w:t>
      </w:r>
    </w:p>
    <w:p w14:paraId="16480DF0" w14:textId="77777777" w:rsidR="002E1D70" w:rsidRPr="002E1D70" w:rsidRDefault="002E1D70" w:rsidP="002E1D70">
      <w:pPr>
        <w:spacing w:after="120" w:line="276" w:lineRule="auto"/>
        <w:jc w:val="both"/>
        <w:rPr>
          <w:rFonts w:ascii="Verdana" w:hAnsi="Verdana" w:cs="Arial"/>
          <w:lang w:eastAsia="es-CO"/>
        </w:rPr>
      </w:pPr>
      <w:r w:rsidRPr="002E1D70">
        <w:rPr>
          <w:rFonts w:ascii="Verdana" w:hAnsi="Verdana" w:cs="Arial"/>
          <w:lang w:eastAsia="es-CO"/>
        </w:rPr>
        <w:tab/>
        <w:t xml:space="preserve">Así las cosas, el deber de selección objetiva está ligado a la determinación del ofrecimiento más favorable, cuyo contenido debe ser precisado a partir de las diferentes alternativas del artículo 5 de la Ley 1150 de 2007, reglamentado por el artículo 2.2.1.1.2.2.2 del Decreto 1082 de 2015, que en todo caso deben reflejarse en el pliego de condiciones o documento equivalente para el respectivo proceso de selección. Estas disposiciones establecen que en los procesos de selección deben evaluarse, fuera de los requisitos habilitantes, los factores de calificación, valoración o evaluación. Estos pueden ponderarse mediante la asignación de puntaje, por lo que la norma se refiere a factores que no otorgan puntaje para diferenciar los requisitos habilitantes de los mencionados factores de calificación. Lo anterior, bajo el entendido que son estos últimos los que determinan la oferta más favorable para la entidad y la que en consecuencia debe elegirse. </w:t>
      </w:r>
    </w:p>
    <w:p w14:paraId="654B60BD" w14:textId="77777777" w:rsidR="002E1D70" w:rsidRPr="002E1D70" w:rsidRDefault="002E1D70" w:rsidP="002E1D70">
      <w:pPr>
        <w:spacing w:after="120" w:line="276" w:lineRule="auto"/>
        <w:jc w:val="both"/>
        <w:rPr>
          <w:rFonts w:ascii="Verdana" w:eastAsia="Calibri" w:hAnsi="Verdana" w:cs="Arial"/>
        </w:rPr>
      </w:pPr>
      <w:proofErr w:type="spellStart"/>
      <w:r w:rsidRPr="002E1D70">
        <w:rPr>
          <w:rFonts w:ascii="Verdana" w:eastAsia="Calibri" w:hAnsi="Verdana" w:cs="Arial"/>
        </w:rPr>
        <w:t>ii</w:t>
      </w:r>
      <w:proofErr w:type="spellEnd"/>
      <w:r w:rsidRPr="002E1D70">
        <w:rPr>
          <w:rFonts w:ascii="Verdana" w:eastAsia="Calibri" w:hAnsi="Verdana" w:cs="Arial"/>
        </w:rPr>
        <w:t xml:space="preserve">. Frente a la modalidad de selección de concurso de mérito establecida en el artículo 2 de la Ley 1150 de 2007, es importante señalar que esta se estructura a partir de un factor puramente objetivo en atención a la naturaleza del contrato, esto es, para la prestación de servicios de consultorías expuestos en el numeral 2 del artículo 32 de la Ley 80 de 1993, interventorías y para proyectos de arquitectura. </w:t>
      </w:r>
    </w:p>
    <w:p w14:paraId="17CB277A" w14:textId="77777777" w:rsidR="002E1D70" w:rsidRPr="002E1D70" w:rsidRDefault="002E1D70" w:rsidP="002E1D70">
      <w:pPr>
        <w:spacing w:after="120" w:line="276" w:lineRule="auto"/>
        <w:ind w:firstLine="709"/>
        <w:jc w:val="both"/>
        <w:rPr>
          <w:rFonts w:ascii="Verdana" w:eastAsia="Calibri" w:hAnsi="Verdana" w:cs="Arial"/>
        </w:rPr>
      </w:pPr>
      <w:r w:rsidRPr="002E1D70">
        <w:rPr>
          <w:rFonts w:ascii="Verdana" w:eastAsia="Calibri" w:hAnsi="Verdana" w:cs="Arial"/>
        </w:rPr>
        <w:t>La Entidad Estatal en el marco de esta modalidad de selección hace uso de factores de calificación que privilegian aspectos técnicos de la propuesta, experiencia y formación del proponente, excluyendo el precio como factor de escogencia. De igual forma, es importante destacar que en esta modalidad existen tres procedimientos para seleccionar el contratista, a saber: el concurso de arquitectura, el concurso de méritos abierto y el concurso de méritos con precalificación. Dada a la especialidad de los contratos que se adelantan bajo esta modalidad de selección, que tienen la característica de estar relacionados con el intelecto, el saber académico o altos niveles de conocimiento</w:t>
      </w:r>
      <w:r w:rsidRPr="002E1D70">
        <w:rPr>
          <w:rFonts w:ascii="Aptos" w:eastAsia="Aptos" w:hAnsi="Aptos" w:cs="Times New Roman"/>
          <w:kern w:val="2"/>
          <w:sz w:val="24"/>
          <w:szCs w:val="24"/>
          <w:vertAlign w:val="superscript"/>
          <w14:ligatures w14:val="standardContextual"/>
        </w:rPr>
        <w:footnoteReference w:id="7"/>
      </w:r>
      <w:r w:rsidRPr="002E1D70">
        <w:rPr>
          <w:rFonts w:ascii="Verdana" w:eastAsia="Calibri" w:hAnsi="Verdana" w:cs="Arial"/>
        </w:rPr>
        <w:t xml:space="preserve">, las </w:t>
      </w:r>
      <w:r w:rsidRPr="002E1D70">
        <w:rPr>
          <w:rFonts w:ascii="Verdana" w:eastAsia="Calibri" w:hAnsi="Verdana" w:cs="Arial"/>
        </w:rPr>
        <w:lastRenderedPageBreak/>
        <w:t xml:space="preserve">entidades fijan en los pliegos de condiciones factores puntuables técnicos, y califican la experiencia específica del proponente y de su equipo de trabajo, o incluso utilizan un sistema de concurso abierto por medio de jurados calificados y organismos asesores. </w:t>
      </w:r>
    </w:p>
    <w:p w14:paraId="67B62D9D" w14:textId="77777777" w:rsidR="002E1D70" w:rsidRPr="002E1D70" w:rsidRDefault="002E1D70" w:rsidP="002E1D70">
      <w:pPr>
        <w:tabs>
          <w:tab w:val="left" w:pos="0"/>
        </w:tabs>
        <w:spacing w:after="120" w:line="276" w:lineRule="auto"/>
        <w:ind w:firstLine="709"/>
        <w:jc w:val="both"/>
        <w:rPr>
          <w:rFonts w:ascii="Verdana" w:eastAsia="Calibri" w:hAnsi="Verdana" w:cs="Arial"/>
          <w:bCs/>
        </w:rPr>
      </w:pPr>
      <w:r w:rsidRPr="002E1D70">
        <w:rPr>
          <w:rFonts w:ascii="Verdana" w:eastAsia="Calibri" w:hAnsi="Verdana" w:cs="Arial"/>
        </w:rPr>
        <w:t xml:space="preserve">Esta forma de seleccionar la oferta más favorable se fundamenta en el numeral 4 del artículo 5 de la Ley 1150 de 2011 el cual establece que “en los procesos para la selección de consultores se hará uso de factores de calificación destinados a valorar los aspectos técnicos de la oferta o proyecto. De conformidad con las condiciones que señale el reglamento, se podrán utilizar criterios de </w:t>
      </w:r>
      <w:r w:rsidRPr="002E1D70">
        <w:rPr>
          <w:rFonts w:ascii="Verdana" w:eastAsia="Calibri" w:hAnsi="Verdana" w:cs="Arial"/>
          <w:bCs/>
        </w:rPr>
        <w:t>experiencia específica del oferente y del equipo de trabajo, en el campo de que se trate. En ningún caso se podrá incluir el precio, como factor de escogencia para la selección de consultores”.</w:t>
      </w:r>
    </w:p>
    <w:p w14:paraId="5300C603" w14:textId="77777777" w:rsidR="002E1D70" w:rsidRPr="002E1D70" w:rsidRDefault="002E1D70" w:rsidP="002E1D70">
      <w:pPr>
        <w:tabs>
          <w:tab w:val="left" w:pos="0"/>
        </w:tabs>
        <w:spacing w:after="120" w:line="276" w:lineRule="auto"/>
        <w:ind w:firstLine="709"/>
        <w:jc w:val="both"/>
        <w:rPr>
          <w:rFonts w:ascii="Verdana" w:eastAsia="Calibri" w:hAnsi="Verdana" w:cs="Arial"/>
          <w:bCs/>
        </w:rPr>
      </w:pPr>
      <w:r w:rsidRPr="002E1D70">
        <w:rPr>
          <w:rFonts w:ascii="Verdana" w:eastAsia="Calibri" w:hAnsi="Verdana" w:cs="Arial"/>
          <w:bCs/>
        </w:rPr>
        <w:t>Sobre este aspecto, el Consejo de Estado ha indicado que los procedimientos de selección bajo la modalidad de concurso de méritos deben destacar las cualidades técnico-subjetivas de los proponentes, las cuales servirán de mérito para su selección, de la siguiente forma:</w:t>
      </w:r>
    </w:p>
    <w:p w14:paraId="5FB94318" w14:textId="77777777" w:rsidR="002E1D70" w:rsidRPr="002E1D70" w:rsidRDefault="002E1D70" w:rsidP="002E1D70">
      <w:pPr>
        <w:spacing w:after="0" w:line="276" w:lineRule="auto"/>
        <w:ind w:firstLine="709"/>
        <w:contextualSpacing/>
        <w:jc w:val="both"/>
        <w:rPr>
          <w:rFonts w:ascii="Verdana" w:eastAsia="Calibri" w:hAnsi="Verdana" w:cs="Arial"/>
        </w:rPr>
      </w:pPr>
    </w:p>
    <w:p w14:paraId="614FE009" w14:textId="77777777" w:rsidR="002E1D70" w:rsidRPr="002E1D70" w:rsidRDefault="002E1D70" w:rsidP="002E1D70">
      <w:pPr>
        <w:spacing w:after="0" w:line="240" w:lineRule="auto"/>
        <w:ind w:left="709" w:right="709"/>
        <w:jc w:val="both"/>
        <w:rPr>
          <w:rFonts w:ascii="Verdana" w:eastAsia="Calibri" w:hAnsi="Verdana" w:cs="Arial"/>
          <w:sz w:val="20"/>
          <w:szCs w:val="20"/>
        </w:rPr>
      </w:pPr>
      <w:r w:rsidRPr="002E1D70">
        <w:rPr>
          <w:rFonts w:ascii="Verdana" w:eastAsia="Calibri" w:hAnsi="Verdana" w:cs="Arial"/>
          <w:sz w:val="20"/>
          <w:szCs w:val="20"/>
        </w:rPr>
        <w:t xml:space="preserve">“En otros términos, es un medio de selección de la persona más idónea para ejecutar una prestación pública, de allí que se tenga en cuenta preferentemente las condiciones personales del candidato, v.gr., para proveer un cargo de profesor universitario, para realizar una maqueta de un monumento, proyecto o esbozo o bosquejo de obra, etc., y su aplicación primordial </w:t>
      </w:r>
      <w:bookmarkStart w:id="3" w:name="_Hlk133216965"/>
      <w:r w:rsidRPr="002E1D70">
        <w:rPr>
          <w:rFonts w:ascii="Verdana" w:eastAsia="Calibri" w:hAnsi="Verdana" w:cs="Arial"/>
          <w:sz w:val="20"/>
          <w:szCs w:val="20"/>
        </w:rPr>
        <w:t xml:space="preserve">sea a los contratos </w:t>
      </w:r>
      <w:proofErr w:type="spellStart"/>
      <w:r w:rsidRPr="002E1D70">
        <w:rPr>
          <w:rFonts w:ascii="Verdana" w:eastAsia="Calibri" w:hAnsi="Verdana" w:cs="Arial"/>
          <w:sz w:val="20"/>
          <w:szCs w:val="20"/>
        </w:rPr>
        <w:t>intuitu</w:t>
      </w:r>
      <w:proofErr w:type="spellEnd"/>
      <w:r w:rsidRPr="002E1D70">
        <w:rPr>
          <w:rFonts w:ascii="Verdana" w:eastAsia="Calibri" w:hAnsi="Verdana" w:cs="Arial"/>
          <w:sz w:val="20"/>
          <w:szCs w:val="20"/>
        </w:rPr>
        <w:t xml:space="preserve"> </w:t>
      </w:r>
      <w:proofErr w:type="spellStart"/>
      <w:r w:rsidRPr="002E1D70">
        <w:rPr>
          <w:rFonts w:ascii="Verdana" w:eastAsia="Calibri" w:hAnsi="Verdana" w:cs="Arial"/>
          <w:sz w:val="20"/>
          <w:szCs w:val="20"/>
        </w:rPr>
        <w:t>personae</w:t>
      </w:r>
      <w:proofErr w:type="spellEnd"/>
      <w:r w:rsidRPr="002E1D70">
        <w:rPr>
          <w:rFonts w:ascii="Verdana" w:eastAsia="Calibri" w:hAnsi="Verdana" w:cs="Arial"/>
          <w:sz w:val="20"/>
          <w:szCs w:val="20"/>
        </w:rPr>
        <w:t xml:space="preserve"> en que las cualidades técnico-subjetivas sirven de mérito para la selección</w:t>
      </w:r>
      <w:bookmarkEnd w:id="3"/>
      <w:r w:rsidRPr="002E1D70">
        <w:rPr>
          <w:rFonts w:ascii="Verdana" w:eastAsia="Calibri" w:hAnsi="Verdana" w:cs="Arial"/>
          <w:sz w:val="20"/>
          <w:szCs w:val="20"/>
        </w:rPr>
        <w:t>.</w:t>
      </w:r>
    </w:p>
    <w:p w14:paraId="50529DD3" w14:textId="77777777" w:rsidR="002E1D70" w:rsidRPr="002E1D70" w:rsidRDefault="002E1D70" w:rsidP="002E1D70">
      <w:pPr>
        <w:spacing w:after="0" w:line="240" w:lineRule="auto"/>
        <w:ind w:left="709" w:right="709"/>
        <w:jc w:val="both"/>
        <w:rPr>
          <w:rFonts w:ascii="Verdana" w:eastAsia="Calibri" w:hAnsi="Verdana" w:cs="Arial"/>
          <w:sz w:val="20"/>
          <w:szCs w:val="20"/>
        </w:rPr>
      </w:pPr>
    </w:p>
    <w:p w14:paraId="0C7D785B" w14:textId="77777777" w:rsidR="002E1D70" w:rsidRPr="002E1D70" w:rsidRDefault="002E1D70" w:rsidP="002E1D70">
      <w:pPr>
        <w:spacing w:after="0" w:line="240" w:lineRule="auto"/>
        <w:ind w:left="708" w:right="709"/>
        <w:jc w:val="both"/>
        <w:rPr>
          <w:rFonts w:ascii="Verdana" w:eastAsia="Calibri" w:hAnsi="Verdana" w:cs="Arial"/>
          <w:sz w:val="20"/>
          <w:szCs w:val="20"/>
        </w:rPr>
      </w:pPr>
      <w:r w:rsidRPr="002E1D70">
        <w:rPr>
          <w:rFonts w:ascii="Verdana" w:eastAsia="Calibri" w:hAnsi="Verdana" w:cs="Arial"/>
          <w:sz w:val="20"/>
          <w:szCs w:val="20"/>
        </w:rPr>
        <w:t xml:space="preserve">Como se observa, en este tipo de procedimiento el criterio para adjudicar difiere con respecto al de la licitación, porque a pesar de compartir muchos elementos con ésta, en el concurso de méritos las condiciones económicas de la propuesta no resultan tan decisivas al momento de la adjudicación, toda vez que al evaluar las mismas se atiende a factores tales como la idoneidad que pueda tener el contratista desde el punto de vista intelectual o técnico para ejecutar la labor materia del contrato y la propuesta económica pueda negociarse y modificarse, circunstancia que no sólo es </w:t>
      </w:r>
      <w:r w:rsidRPr="002E1D70">
        <w:rPr>
          <w:rFonts w:ascii="Verdana" w:eastAsia="Calibri" w:hAnsi="Verdana" w:cs="Arial"/>
          <w:sz w:val="20"/>
          <w:szCs w:val="20"/>
        </w:rPr>
        <w:lastRenderedPageBreak/>
        <w:t>extraña en un procedimiento licitatorio sino que está prohibida, ya que en principio el valor de la propuesta es inmodificable.”</w:t>
      </w:r>
      <w:r w:rsidRPr="002E1D70">
        <w:rPr>
          <w:rFonts w:ascii="Verdana" w:eastAsia="Calibri" w:hAnsi="Verdana" w:cs="Arial"/>
          <w:sz w:val="20"/>
          <w:szCs w:val="20"/>
          <w:vertAlign w:val="superscript"/>
        </w:rPr>
        <w:footnoteReference w:id="8"/>
      </w:r>
    </w:p>
    <w:p w14:paraId="447EE039" w14:textId="77777777" w:rsidR="002E1D70" w:rsidRPr="002E1D70" w:rsidRDefault="002E1D70" w:rsidP="002E1D70">
      <w:pPr>
        <w:spacing w:after="0" w:line="276" w:lineRule="auto"/>
        <w:ind w:left="709" w:right="709"/>
        <w:jc w:val="both"/>
        <w:rPr>
          <w:rFonts w:ascii="Verdana" w:eastAsia="Calibri" w:hAnsi="Verdana" w:cs="Arial"/>
          <w:sz w:val="21"/>
          <w:szCs w:val="21"/>
        </w:rPr>
      </w:pPr>
    </w:p>
    <w:p w14:paraId="526CC824" w14:textId="77777777" w:rsidR="002E1D70" w:rsidRPr="002E1D70" w:rsidRDefault="002E1D70" w:rsidP="002E1D70">
      <w:pPr>
        <w:spacing w:line="276" w:lineRule="auto"/>
        <w:ind w:firstLine="708"/>
        <w:jc w:val="both"/>
        <w:rPr>
          <w:rFonts w:ascii="Verdana" w:eastAsia="Calibri" w:hAnsi="Verdana" w:cs="Arial"/>
        </w:rPr>
      </w:pPr>
      <w:r w:rsidRPr="002E1D70">
        <w:rPr>
          <w:rFonts w:ascii="Verdana" w:eastAsia="Calibri" w:hAnsi="Verdana" w:cs="Arial"/>
        </w:rPr>
        <w:t xml:space="preserve">Conforme a lo anterior, estos procesos contienen una regulación especial del deber de selección objetiva, en virtud del cual la escogencia se hará con base en factores de calificación destinados a valorar los aspectos técnicos de la oferta, permitiéndose determinar la experiencia específica del oferente y su equipo de trabajo, proscribiéndose además el precio como factor de evaluación. De este modo, la Ley 1150 de 2007 busco favorecer la competencia fundada en la calidad, sin tener en cuenta el precio o el valor de la oferta como factor o criterio de evaluación con puntaje. </w:t>
      </w:r>
    </w:p>
    <w:p w14:paraId="3246FA53" w14:textId="77777777" w:rsidR="002E1D70" w:rsidRPr="002E1D70" w:rsidRDefault="002E1D70" w:rsidP="002E1D70">
      <w:pPr>
        <w:spacing w:line="276" w:lineRule="auto"/>
        <w:ind w:firstLine="708"/>
        <w:jc w:val="both"/>
        <w:rPr>
          <w:rFonts w:ascii="Verdana" w:eastAsia="Calibri" w:hAnsi="Verdana" w:cs="Arial"/>
          <w:bCs/>
        </w:rPr>
      </w:pPr>
      <w:r w:rsidRPr="002E1D70">
        <w:rPr>
          <w:rFonts w:ascii="Verdana" w:eastAsia="Calibri" w:hAnsi="Verdana" w:cs="Arial"/>
        </w:rPr>
        <w:t>En consecuencia, para la selección de los proponentes en los procesos que se adelanten bajo la modalidad de concurso de méritos, además de ser exigibles los requisitos habilitantes establecidos en el numeral 1 del artículo 5 de la Ley 1150 de 2007</w:t>
      </w:r>
      <w:r w:rsidRPr="002E1D70">
        <w:rPr>
          <w:rFonts w:ascii="Verdana" w:eastAsia="Calibri" w:hAnsi="Verdana" w:cs="Arial"/>
          <w:bCs/>
        </w:rPr>
        <w:t xml:space="preserve"> de capacidad jurídica, condiciones de experiencia, capacidad financiera y de organización para verificar la idoneidad del proponente, se aplicará lo dispuesto en el numeral 4 </w:t>
      </w:r>
      <w:r w:rsidRPr="002E1D70">
        <w:rPr>
          <w:rFonts w:ascii="Verdana" w:eastAsia="Calibri" w:hAnsi="Verdana" w:cs="Arial"/>
          <w:bCs/>
          <w:i/>
          <w:iCs/>
        </w:rPr>
        <w:t xml:space="preserve">ibidem </w:t>
      </w:r>
      <w:r w:rsidRPr="002E1D70">
        <w:rPr>
          <w:rFonts w:ascii="Verdana" w:eastAsia="Calibri" w:hAnsi="Verdana" w:cs="Arial"/>
          <w:bCs/>
        </w:rPr>
        <w:t xml:space="preserve">para la calificación de las ofertas, de tal forma que la entidad deberá evaluar las condiciones técnicas, la experiencia del proponente y del equipo de trabajo, de acuerdo con las disposiciones reglamentarias que regulen la materia. </w:t>
      </w:r>
    </w:p>
    <w:p w14:paraId="67FE158C" w14:textId="77777777" w:rsidR="002E1D70" w:rsidRPr="002E1D70" w:rsidRDefault="002E1D70" w:rsidP="002E1D70">
      <w:pPr>
        <w:spacing w:line="276" w:lineRule="auto"/>
        <w:ind w:firstLine="708"/>
        <w:jc w:val="both"/>
        <w:rPr>
          <w:rFonts w:ascii="Verdana" w:eastAsia="Calibri" w:hAnsi="Verdana" w:cs="Arial"/>
        </w:rPr>
      </w:pPr>
      <w:r w:rsidRPr="002E1D70">
        <w:rPr>
          <w:rFonts w:ascii="Verdana" w:eastAsia="Calibri" w:hAnsi="Verdana" w:cs="Arial"/>
          <w:bCs/>
        </w:rPr>
        <w:t xml:space="preserve">Lo anterior resulta aplicable en los diferentes procedimientos que se desarrollan mediante la modalidad de selección de concurso de méritos, incluyendo el concurso de arquitectura. </w:t>
      </w:r>
      <w:r w:rsidRPr="002E1D70">
        <w:rPr>
          <w:rFonts w:ascii="Verdana" w:eastAsia="Calibri" w:hAnsi="Verdana" w:cs="Arial"/>
        </w:rPr>
        <w:t>Este procedimiento se desarrolla en nuestro ordenamiento jurídico conforme a lo dispuesto en el Decreto 2326 de 1995, que en su artículo 1 lo definió como “el procedimiento mediante el cual la entidad estatal, previa invitación pública y en igualdad de oportunidades, selecciona un consultor entre los proponentes interesados en elaborar diseños, planos, anteproyectos y proyectos arquitectónicos”. Esta norma fue compilada en el Decreto 1082 de 2015 en los artículos 2.2.1.2.1.3.8 y siguientes, manteniendo su literalidad.</w:t>
      </w:r>
    </w:p>
    <w:p w14:paraId="198D7C12" w14:textId="77777777" w:rsidR="002E1D70" w:rsidRPr="002E1D70" w:rsidRDefault="002E1D70" w:rsidP="002E1D70">
      <w:pPr>
        <w:spacing w:line="276" w:lineRule="auto"/>
        <w:ind w:firstLine="708"/>
        <w:jc w:val="both"/>
        <w:rPr>
          <w:rFonts w:ascii="Verdana" w:eastAsia="Calibri" w:hAnsi="Verdana" w:cs="Arial"/>
        </w:rPr>
      </w:pPr>
      <w:r w:rsidRPr="002E1D70">
        <w:rPr>
          <w:rFonts w:ascii="Verdana" w:eastAsia="Calibri" w:hAnsi="Verdana" w:cs="Arial"/>
        </w:rPr>
        <w:t xml:space="preserve">Es importante destacar que los decretos reglamentarios anteriormente citados disponen que el concurso de arquitectura puede conllevar labores </w:t>
      </w:r>
      <w:r w:rsidRPr="002E1D70">
        <w:rPr>
          <w:rFonts w:ascii="Verdana" w:eastAsia="Calibri" w:hAnsi="Verdana" w:cs="Arial"/>
        </w:rPr>
        <w:lastRenderedPageBreak/>
        <w:t>técnicas y/o profesionales complementarias de la propuesta, pero siempre su objeto principal será el diseño integral, de tal forma que, en estos eventos, los proponentes definirán las labores fundamentales que complementan la propuesta, las cuales no podrán separarse de la misma.</w:t>
      </w:r>
    </w:p>
    <w:p w14:paraId="63DD7AB4" w14:textId="77777777" w:rsidR="002E1D70" w:rsidRPr="002E1D70" w:rsidRDefault="002E1D70" w:rsidP="002E1D70">
      <w:pPr>
        <w:spacing w:before="120" w:after="120" w:line="276" w:lineRule="auto"/>
        <w:ind w:firstLine="708"/>
        <w:jc w:val="both"/>
        <w:rPr>
          <w:rFonts w:ascii="Verdana" w:eastAsia="Calibri" w:hAnsi="Verdana" w:cs="Arial"/>
        </w:rPr>
      </w:pPr>
      <w:r w:rsidRPr="002E1D70">
        <w:rPr>
          <w:rFonts w:ascii="Verdana" w:eastAsia="Calibri" w:hAnsi="Verdana" w:cs="Arial"/>
        </w:rPr>
        <w:t xml:space="preserve">El artículo 2.2.1.2.1.3.9 del reglamento prescribe que en este procedimiento de selección intervienen cuatro (4) partes: i) Entidad Estatal promotora, </w:t>
      </w:r>
      <w:proofErr w:type="spellStart"/>
      <w:r w:rsidRPr="002E1D70">
        <w:rPr>
          <w:rFonts w:ascii="Verdana" w:eastAsia="Calibri" w:hAnsi="Verdana" w:cs="Arial"/>
        </w:rPr>
        <w:t>ii</w:t>
      </w:r>
      <w:proofErr w:type="spellEnd"/>
      <w:r w:rsidRPr="002E1D70">
        <w:rPr>
          <w:rFonts w:ascii="Verdana" w:eastAsia="Calibri" w:hAnsi="Verdana" w:cs="Arial"/>
        </w:rPr>
        <w:t xml:space="preserve">) organismo asesor, </w:t>
      </w:r>
      <w:proofErr w:type="spellStart"/>
      <w:r w:rsidRPr="002E1D70">
        <w:rPr>
          <w:rFonts w:ascii="Verdana" w:eastAsia="Calibri" w:hAnsi="Verdana" w:cs="Arial"/>
        </w:rPr>
        <w:t>iii</w:t>
      </w:r>
      <w:proofErr w:type="spellEnd"/>
      <w:r w:rsidRPr="002E1D70">
        <w:rPr>
          <w:rFonts w:ascii="Verdana" w:eastAsia="Calibri" w:hAnsi="Verdana" w:cs="Arial"/>
        </w:rPr>
        <w:t xml:space="preserve">) jurado calificador y </w:t>
      </w:r>
      <w:proofErr w:type="spellStart"/>
      <w:r w:rsidRPr="002E1D70">
        <w:rPr>
          <w:rFonts w:ascii="Verdana" w:eastAsia="Calibri" w:hAnsi="Verdana" w:cs="Arial"/>
        </w:rPr>
        <w:t>iv</w:t>
      </w:r>
      <w:proofErr w:type="spellEnd"/>
      <w:r w:rsidRPr="002E1D70">
        <w:rPr>
          <w:rFonts w:ascii="Verdana" w:eastAsia="Calibri" w:hAnsi="Verdana" w:cs="Arial"/>
        </w:rPr>
        <w:t xml:space="preserve">) proponentes. Después, el artículo 2.2.1.2.1.3.10 </w:t>
      </w:r>
      <w:r w:rsidRPr="002E1D70">
        <w:rPr>
          <w:rFonts w:ascii="Verdana" w:eastAsia="Calibri" w:hAnsi="Verdana" w:cs="Arial"/>
          <w:i/>
          <w:iCs/>
        </w:rPr>
        <w:t>ibidem</w:t>
      </w:r>
      <w:r w:rsidRPr="002E1D70">
        <w:rPr>
          <w:rFonts w:ascii="Verdana" w:eastAsia="Calibri" w:hAnsi="Verdana" w:cs="Arial"/>
        </w:rPr>
        <w:t xml:space="preserve"> dispone que existen dos (2) modalidades de “concurso de arquitectura”: i) de ideas y </w:t>
      </w:r>
      <w:proofErr w:type="spellStart"/>
      <w:r w:rsidRPr="002E1D70">
        <w:rPr>
          <w:rFonts w:ascii="Verdana" w:eastAsia="Calibri" w:hAnsi="Verdana" w:cs="Arial"/>
        </w:rPr>
        <w:t>ii</w:t>
      </w:r>
      <w:proofErr w:type="spellEnd"/>
      <w:r w:rsidRPr="002E1D70">
        <w:rPr>
          <w:rFonts w:ascii="Verdana" w:eastAsia="Calibri" w:hAnsi="Verdana" w:cs="Arial"/>
        </w:rPr>
        <w:t>) de anteproyecto. Las diferencias se enfocan en las características y nivel de desarrollo del concurso, ya que mientras el primero requiere un esquema básico de diseño, el segundo exige la formulación de un anteproyecto</w:t>
      </w:r>
      <w:r w:rsidRPr="002E1D70">
        <w:rPr>
          <w:rFonts w:ascii="Verdana" w:eastAsia="Calibri" w:hAnsi="Verdana" w:cs="Arial"/>
          <w:vertAlign w:val="superscript"/>
        </w:rPr>
        <w:footnoteReference w:id="9"/>
      </w:r>
      <w:r w:rsidRPr="002E1D70">
        <w:rPr>
          <w:rFonts w:ascii="Verdana" w:eastAsia="Calibri" w:hAnsi="Verdana" w:cs="Arial"/>
        </w:rPr>
        <w:t xml:space="preserve">. Seguido de esto, el Decreto 1082 de 2015 establece las obligaciones de las partes del “concurso de arquitectura”, las consecuencias del incumplimiento, las características de cada parte como su vinculación, composición, requisitos, selección, funciones, entre otros. </w:t>
      </w:r>
    </w:p>
    <w:p w14:paraId="42B94620" w14:textId="77777777" w:rsidR="002E1D70" w:rsidRPr="002E1D70" w:rsidRDefault="002E1D70" w:rsidP="002E1D70">
      <w:pPr>
        <w:spacing w:before="120" w:after="120" w:line="276" w:lineRule="auto"/>
        <w:ind w:firstLine="708"/>
        <w:jc w:val="both"/>
        <w:rPr>
          <w:rFonts w:ascii="Verdana" w:eastAsia="Calibri" w:hAnsi="Verdana" w:cs="Arial"/>
        </w:rPr>
      </w:pPr>
      <w:r w:rsidRPr="002E1D70">
        <w:rPr>
          <w:rFonts w:ascii="Verdana" w:eastAsia="Calibri" w:hAnsi="Verdana" w:cs="Arial"/>
        </w:rPr>
        <w:t>Es importante destacar que en este proceso de selección el organismo asesor es el encargado de organizar y diseñar los aspectos técnicos del concurso de arquitectura y actúa como coordinador entre la entidad estatal promotora, el jurado calificador y los proponentes. Por su parte, el jurado es un cuerpo independiente que estudia, califica y recomienda a la entidad estatal la propuesta más idónea que se ajusta a las bases del concurso, las cuales fueron diseñadas por el organismo asesor y en todo caso, determinadas y aceptadas por la Entidad Estatal promotora del concurso.</w:t>
      </w:r>
    </w:p>
    <w:p w14:paraId="58C40155" w14:textId="77777777" w:rsidR="002E1D70" w:rsidRPr="002E1D70" w:rsidRDefault="002E1D70" w:rsidP="002E1D70">
      <w:pPr>
        <w:spacing w:before="120" w:after="120" w:line="276" w:lineRule="auto"/>
        <w:ind w:firstLine="708"/>
        <w:jc w:val="both"/>
        <w:rPr>
          <w:rFonts w:ascii="Verdana" w:eastAsia="Calibri" w:hAnsi="Verdana" w:cs="Arial"/>
        </w:rPr>
      </w:pPr>
      <w:r w:rsidRPr="002E1D70">
        <w:rPr>
          <w:rFonts w:ascii="Verdana" w:eastAsia="Calibri" w:hAnsi="Verdana" w:cs="Arial"/>
        </w:rPr>
        <w:t xml:space="preserve">El artículo 2.2.1.2.1.3.15. del reglamento señala los requisitos y obligaciones de los proponentes indicando que “podrán ser personas naturales o jurídicas, uniones temporales o consorcios. Cuando sean personas naturales nacionales o extranjeros, deberán ser arquitectos debidamente matriculados </w:t>
      </w:r>
      <w:r w:rsidRPr="002E1D70">
        <w:rPr>
          <w:rFonts w:ascii="Verdana" w:eastAsia="Calibri" w:hAnsi="Verdana" w:cs="Arial"/>
        </w:rPr>
        <w:lastRenderedPageBreak/>
        <w:t>para ejercer la profesión en el país, y si son personas jurídicas, además del requisito para personas naturales que intervienen en el trabajo objeto del concurso y relacionado con el tema de la arquitectura, deberá la empresa tener dentro de sus estatutos el ejercicio de la labor que se solicita en el proceso de selección y tener dentro de su nómina de personal a arquitectos que cumplan con dicha función”.</w:t>
      </w:r>
    </w:p>
    <w:p w14:paraId="7273ED32" w14:textId="77777777" w:rsidR="002E1D70" w:rsidRPr="002E1D70" w:rsidRDefault="002E1D70" w:rsidP="002E1D70">
      <w:pPr>
        <w:spacing w:after="120" w:line="276" w:lineRule="auto"/>
        <w:ind w:firstLine="709"/>
        <w:jc w:val="both"/>
        <w:rPr>
          <w:rFonts w:ascii="Verdana" w:eastAsia="Calibri" w:hAnsi="Verdana" w:cs="Arial"/>
        </w:rPr>
      </w:pPr>
      <w:r w:rsidRPr="002E1D70">
        <w:rPr>
          <w:rFonts w:ascii="Verdana" w:eastAsia="Calibri" w:hAnsi="Verdana" w:cs="Arial"/>
        </w:rPr>
        <w:t>Sobre las bases del concurso, se debe destacar también que estas se encuentran reguladas en el artículo 2.2.1.2.1.3.22, indicando que los pliegos de condiciones del procedimiento de selección deben contener como mínimo, entre otros aspectos, “</w:t>
      </w:r>
      <w:r w:rsidRPr="002E1D70">
        <w:rPr>
          <w:rFonts w:ascii="Verdana" w:eastAsia="Calibri" w:hAnsi="Verdana" w:cs="Arial"/>
          <w:i/>
          <w:iCs/>
        </w:rPr>
        <w:t>Los requisitos objetivos</w:t>
      </w:r>
      <w:r w:rsidRPr="002E1D70">
        <w:rPr>
          <w:rFonts w:ascii="Verdana" w:eastAsia="Calibri" w:hAnsi="Verdana" w:cs="Arial"/>
        </w:rPr>
        <w:t xml:space="preserve"> que se deben reunir para participar en el concurso de arquitectura […] </w:t>
      </w:r>
      <w:r w:rsidRPr="002E1D70">
        <w:rPr>
          <w:rFonts w:ascii="Verdana" w:eastAsia="Calibri" w:hAnsi="Verdana" w:cs="Arial"/>
          <w:i/>
          <w:iCs/>
        </w:rPr>
        <w:t>Las condiciones que deben reunir los Proponentes</w:t>
      </w:r>
      <w:r w:rsidRPr="002E1D70">
        <w:rPr>
          <w:rFonts w:ascii="Verdana" w:eastAsia="Calibri" w:hAnsi="Verdana" w:cs="Arial"/>
        </w:rPr>
        <w:t xml:space="preserve"> […] Los premios y sus valores, de acuerdo con el reglamento de honorarios de la Sociedad Colombiana de Arquitectos […]”, entre otros.</w:t>
      </w:r>
      <w:r w:rsidRPr="002E1D70">
        <w:rPr>
          <w:rFonts w:ascii="Verdana" w:hAnsi="Verdana" w:cs="Arial"/>
          <w:b/>
        </w:rPr>
        <w:t xml:space="preserve"> </w:t>
      </w:r>
      <w:r w:rsidRPr="002E1D70">
        <w:rPr>
          <w:rFonts w:ascii="Verdana" w:hAnsi="Verdana" w:cs="Arial"/>
          <w:bCs/>
        </w:rPr>
        <w:t xml:space="preserve">Igualmente, es importante señalar que para participar en este proceso de selección resulta ser obligatorio la </w:t>
      </w:r>
      <w:r w:rsidRPr="002E1D70">
        <w:rPr>
          <w:rFonts w:ascii="Verdana" w:eastAsia="Calibri" w:hAnsi="Verdana" w:cs="Arial"/>
        </w:rPr>
        <w:t>presentación del Registro Único de Proponentes- RUP, ya que la norma que define las excepciones a la inscripción en el RUP, es decir, el artículo 6 de la Ley 1150 de 2007, no excluyó al concurso de arquitectura</w:t>
      </w:r>
      <w:r w:rsidRPr="002E1D70">
        <w:rPr>
          <w:rFonts w:ascii="Verdana" w:eastAsia="Calibri" w:hAnsi="Verdana" w:cs="Arial"/>
          <w:vertAlign w:val="superscript"/>
        </w:rPr>
        <w:footnoteReference w:id="10"/>
      </w:r>
      <w:r w:rsidRPr="002E1D70">
        <w:rPr>
          <w:rFonts w:ascii="Verdana" w:eastAsia="Calibri" w:hAnsi="Verdana" w:cs="Arial"/>
        </w:rPr>
        <w:t>.</w:t>
      </w:r>
    </w:p>
    <w:p w14:paraId="645F96C4" w14:textId="77777777" w:rsidR="002E1D70" w:rsidRPr="002E1D70" w:rsidRDefault="002E1D70" w:rsidP="002E1D70">
      <w:pPr>
        <w:spacing w:after="120" w:line="276" w:lineRule="auto"/>
        <w:ind w:firstLine="709"/>
        <w:jc w:val="both"/>
        <w:rPr>
          <w:rFonts w:ascii="Verdana" w:eastAsia="Calibri" w:hAnsi="Verdana" w:cs="Arial"/>
        </w:rPr>
      </w:pPr>
      <w:r w:rsidRPr="002E1D70">
        <w:rPr>
          <w:rFonts w:ascii="Verdana" w:eastAsia="Calibri" w:hAnsi="Verdana" w:cs="Arial"/>
        </w:rPr>
        <w:t xml:space="preserve">Según se evidencia, en los pliegos de condiciones del procedimiento de concurso de arquitectura se deben establecer, entre otros aspectos, tanto requisitos objetivos para participar en este como las condiciones que deben reunir los proponentes. Esta norma debe ser interpretada de manera armónica con el artículo 5 de la ley 1150 de 2007 que establece los criterios habilitantes para la participación en los procesos de selección y los factores de calificación que deben definirse en los pliegos de condiciones o sus equivalentes de conformidad con cada modalidad de selección. De esta forma, si bien el procedimiento señalado tiene unas particularidades determinadas en el reglamento, ello no implica la exclusión de los criterios habilitantes determinados en el numeral 1 </w:t>
      </w:r>
      <w:r w:rsidRPr="002E1D70">
        <w:rPr>
          <w:rFonts w:ascii="Verdana" w:eastAsia="Calibri" w:hAnsi="Verdana" w:cs="Arial"/>
          <w:i/>
          <w:iCs/>
        </w:rPr>
        <w:t>ibidem</w:t>
      </w:r>
      <w:r w:rsidRPr="002E1D70">
        <w:rPr>
          <w:rFonts w:ascii="Verdana" w:eastAsia="Calibri" w:hAnsi="Verdana" w:cs="Arial"/>
        </w:rPr>
        <w:t xml:space="preserve">, ya que la norma no estableció excepciones al respecto. </w:t>
      </w:r>
    </w:p>
    <w:p w14:paraId="4227C3EE" w14:textId="77777777" w:rsidR="002E1D70" w:rsidRPr="002E1D70" w:rsidRDefault="002E1D70" w:rsidP="002E1D70">
      <w:pPr>
        <w:spacing w:after="120" w:line="276" w:lineRule="auto"/>
        <w:ind w:firstLine="709"/>
        <w:jc w:val="both"/>
        <w:rPr>
          <w:rFonts w:ascii="Verdana" w:eastAsia="Calibri" w:hAnsi="Verdana" w:cs="Arial"/>
        </w:rPr>
      </w:pPr>
      <w:r w:rsidRPr="002E1D70">
        <w:rPr>
          <w:rFonts w:ascii="Verdana" w:eastAsia="Calibri" w:hAnsi="Verdana" w:cs="Arial"/>
        </w:rPr>
        <w:t xml:space="preserve">De hecho, el artículo 2.2.1.2.1.3.22 del Decreto 1082 de 2015 reafirma la obligatoriedad de incluir tanto los requisitos habilitantes como los factores de calificación en los pliegos de condiciones, al disponer que estos deben contener requisitos objetivos que deben cumplirse para participar en el proceso, así como </w:t>
      </w:r>
      <w:r w:rsidRPr="002E1D70">
        <w:rPr>
          <w:rFonts w:ascii="Verdana" w:eastAsia="Calibri" w:hAnsi="Verdana" w:cs="Arial"/>
        </w:rPr>
        <w:lastRenderedPageBreak/>
        <w:t xml:space="preserve">las condiciones que deben reunir los proponentes. En este contexto, realizando una interpretación armónica del reglamento con la Ley 1150 de 2007, se colige que los primeros hacen referencia a los factores de calificación mencionados en el numeral 4 del artículo 5 de la Ley 1150 de 2007, mientras que los segundos corresponden a los requisitos habilitantes a los que alude el numeral 1 del mismo artículo, esto son la capacidad jurídica, </w:t>
      </w:r>
      <w:r w:rsidRPr="002E1D70">
        <w:rPr>
          <w:rFonts w:ascii="Verdana" w:eastAsia="Calibri" w:hAnsi="Verdana" w:cs="Arial"/>
          <w:bCs/>
        </w:rPr>
        <w:t xml:space="preserve">las condiciones de experiencia, la capacidad financiera y de organización. </w:t>
      </w:r>
    </w:p>
    <w:p w14:paraId="0A945C6D" w14:textId="77777777" w:rsidR="002E1D70" w:rsidRPr="002E1D70" w:rsidRDefault="002E1D70" w:rsidP="002E1D70">
      <w:pPr>
        <w:spacing w:line="276" w:lineRule="auto"/>
        <w:ind w:firstLine="708"/>
        <w:jc w:val="both"/>
        <w:rPr>
          <w:rFonts w:ascii="Verdana" w:eastAsia="Calibri" w:hAnsi="Verdana" w:cs="Arial"/>
        </w:rPr>
      </w:pPr>
      <w:r w:rsidRPr="002E1D70">
        <w:rPr>
          <w:rFonts w:ascii="Verdana" w:eastAsia="Calibri" w:hAnsi="Verdana" w:cs="Arial"/>
        </w:rPr>
        <w:t xml:space="preserve">En relación con este punto, se precisa que el numeral 4 del artículo 5 de la Ley 1150 de 2007 hace referencia únicamente a los factores de calificación aplicables a los procesos de selección de consultores, es decir, a los requisitos que otorgan puntaje. De esta manera, cuando dicha norma establece que en los procesos para la selección de consultores se deberán emplear </w:t>
      </w:r>
      <w:r w:rsidRPr="002E1D70">
        <w:rPr>
          <w:rFonts w:ascii="Verdana" w:eastAsia="Calibri" w:hAnsi="Verdana" w:cs="Arial"/>
          <w:i/>
          <w:iCs/>
        </w:rPr>
        <w:t>factores de calificación</w:t>
      </w:r>
      <w:r w:rsidRPr="002E1D70">
        <w:rPr>
          <w:rFonts w:ascii="Verdana" w:eastAsia="Calibri" w:hAnsi="Verdana" w:cs="Arial"/>
        </w:rPr>
        <w:t xml:space="preserve"> destinados a valorar los </w:t>
      </w:r>
      <w:r w:rsidRPr="002E1D70">
        <w:rPr>
          <w:rFonts w:ascii="Verdana" w:eastAsia="Calibri" w:hAnsi="Verdana" w:cs="Arial"/>
          <w:i/>
          <w:iCs/>
        </w:rPr>
        <w:t xml:space="preserve">aspectos técnicos de la oferta </w:t>
      </w:r>
      <w:r w:rsidRPr="002E1D70">
        <w:rPr>
          <w:rFonts w:ascii="Verdana" w:eastAsia="Calibri" w:hAnsi="Verdana" w:cs="Arial"/>
        </w:rPr>
        <w:t xml:space="preserve">o proyecto, no está excluyendo a los requisitos habilitantes, pues esta disposición alude únicamente a los criterios de evaluación que se deben aplicar en estos procesos. </w:t>
      </w:r>
    </w:p>
    <w:p w14:paraId="78AA88B4" w14:textId="77777777" w:rsidR="002E1D70" w:rsidRPr="002E1D70" w:rsidRDefault="002E1D70" w:rsidP="002E1D70">
      <w:pPr>
        <w:spacing w:line="276" w:lineRule="auto"/>
        <w:ind w:firstLine="708"/>
        <w:jc w:val="both"/>
      </w:pPr>
      <w:r w:rsidRPr="002E1D70">
        <w:rPr>
          <w:rFonts w:ascii="Verdana" w:eastAsia="Calibri" w:hAnsi="Verdana" w:cs="Arial"/>
        </w:rPr>
        <w:t>Esta precisión resulta fundamental para efectos de la consulta planteada, en la medida en que aclara un aspecto sustancial de la interpretación que se realiza en este caso. En efecto, no resulta procedente concluir, como se plantea en la consulta, que debido a que el numeral 4 del artículo 5 de la Ley 1150 de 2007 establece que los factores de calificación en los procesos para la selección de consultores deben estar dirigidos a valorar los aspectos técnicos de la oferta, ello excluye la posibilidad de exigir condiciones relacionadas con la capacidad financiera y de organización del proponente como factores de escogencia y calificación, dada la naturaleza de este tipo de proceso.</w:t>
      </w:r>
      <w:r w:rsidRPr="002E1D70">
        <w:t xml:space="preserve"> </w:t>
      </w:r>
    </w:p>
    <w:p w14:paraId="414B49B1" w14:textId="77777777" w:rsidR="002E1D70" w:rsidRPr="002E1D70" w:rsidRDefault="002E1D70" w:rsidP="002E1D70">
      <w:pPr>
        <w:spacing w:line="276" w:lineRule="auto"/>
        <w:ind w:firstLine="708"/>
        <w:jc w:val="both"/>
        <w:rPr>
          <w:rFonts w:ascii="Verdana" w:eastAsia="Calibri" w:hAnsi="Verdana" w:cs="Arial"/>
        </w:rPr>
      </w:pPr>
      <w:r w:rsidRPr="002E1D70">
        <w:rPr>
          <w:rFonts w:ascii="Verdana" w:eastAsia="Calibri" w:hAnsi="Verdana" w:cs="Arial"/>
        </w:rPr>
        <w:t xml:space="preserve">Como se explicó, existe una distinción entre los requisitos habilitantes y los factores de calificación: los primeros referentes a las condiciones que debe cumplir el proponente mientras que los segundos se orientan a la evaluación comparativa de la oferta y estos no son excluyente entre sí. La capacidad financiera y de organización constituye un requisito habilitante, por lo que no es factible establecer su exclusión en un proceso de contratación, so pretexto de que en este solo se pueden evaluar las condiciones técnicas de la oferta. Aunado a lo anterior, la norma tampoco estableció ninguna excepción a la exigencia de dicho requisito habilitante, en consecuencia, en estos procesos es necesario exigir tanto los requisitos habilitantes de capacidad jurídica, experiencia, financiera y de organización del proponente como los factores de calificación que </w:t>
      </w:r>
      <w:r w:rsidRPr="002E1D70">
        <w:rPr>
          <w:rFonts w:ascii="Verdana" w:eastAsia="Calibri" w:hAnsi="Verdana" w:cs="Arial"/>
        </w:rPr>
        <w:lastRenderedPageBreak/>
        <w:t>permitan valorar objetivamente los aspectos técnicos de la oferta, de acuerdo con lo establecido en el reglamento.</w:t>
      </w:r>
    </w:p>
    <w:p w14:paraId="0056DF26" w14:textId="77777777" w:rsidR="002E1D70" w:rsidRPr="002E1D70" w:rsidRDefault="002E1D70" w:rsidP="002E1D70">
      <w:pPr>
        <w:spacing w:after="120" w:line="276" w:lineRule="auto"/>
        <w:ind w:firstLine="708"/>
        <w:jc w:val="both"/>
        <w:rPr>
          <w:rFonts w:ascii="Verdana" w:eastAsia="Calibri" w:hAnsi="Verdana" w:cs="Arial"/>
          <w:color w:val="000000" w:themeColor="text1"/>
        </w:rPr>
      </w:pPr>
      <w:r w:rsidRPr="002E1D70">
        <w:rPr>
          <w:rFonts w:ascii="Verdana" w:eastAsia="Calibri" w:hAnsi="Verdana" w:cs="Arial"/>
        </w:rPr>
        <w:t xml:space="preserve">Así las cosas, si bien en los procesos de concurso de arquitectura la forma de calificación difiere de la prevista en otros procedimientos del concurso de méritos, en la medida en que la evaluación recae sobre los trabajos presentados por los proponentes y está a cargo de un jurado calificador, ello no exime a la entidad contratante de verificar la idoneidad del proponente para la ejecución del contrato de consultoría. Por ello, tanto la ley 1150 de 2007 como el Decreto 1082 de 2015 exigen determinar unas </w:t>
      </w:r>
      <w:r w:rsidRPr="002E1D70">
        <w:rPr>
          <w:rFonts w:ascii="Verdana" w:eastAsia="Calibri" w:hAnsi="Verdana" w:cs="Arial"/>
          <w:color w:val="000000" w:themeColor="text1"/>
          <w:lang w:val="es-ES_tradnl"/>
        </w:rPr>
        <w:t xml:space="preserve">condiciones mínimas </w:t>
      </w:r>
      <w:r w:rsidRPr="002E1D70">
        <w:rPr>
          <w:rFonts w:ascii="Verdana" w:eastAsia="Calibri" w:hAnsi="Verdana" w:cs="Arial"/>
          <w:color w:val="000000" w:themeColor="text1"/>
        </w:rPr>
        <w:t>de los proponentes, con el fin de asegurar que el contratista tenga las aptitudes necesarias para que la realización del objeto contractual se efectué de manera eficiente y eficaz, respondiendo adecuadamente a la necesidad identificada.</w:t>
      </w:r>
    </w:p>
    <w:p w14:paraId="1FBB7219" w14:textId="77777777" w:rsidR="002E1D70" w:rsidRPr="002E1D70" w:rsidRDefault="002E1D70" w:rsidP="002E1D70">
      <w:pPr>
        <w:widowControl w:val="0"/>
        <w:autoSpaceDE w:val="0"/>
        <w:autoSpaceDN w:val="0"/>
        <w:spacing w:after="120" w:line="276" w:lineRule="auto"/>
        <w:ind w:firstLine="709"/>
        <w:jc w:val="both"/>
        <w:rPr>
          <w:rFonts w:ascii="Verdana" w:eastAsia="Calibri" w:hAnsi="Verdana" w:cs="Arial"/>
          <w:color w:val="000000" w:themeColor="text1"/>
        </w:rPr>
      </w:pPr>
      <w:r w:rsidRPr="002E1D70">
        <w:rPr>
          <w:rFonts w:ascii="Verdana" w:eastAsia="Calibri" w:hAnsi="Verdana" w:cs="Arial"/>
          <w:color w:val="000000" w:themeColor="text1"/>
        </w:rPr>
        <w:t>Frente a lo anterior, es importante resaltar que estos requisitos habilitantes, se deben establecer de forma adecuada y proporcional a la naturaleza y valor del contrato. Esta adecuación y proporcionalidad no implica que no se deben exigir ciertos requisitos habilitantes sino que estos deben tener una relación directa con el objeto del contrato, de suerte que su acreditación sea efectiva para demostrar que el proponente es idóneo para ejecutar el contrato y que los mismos no establezcan condiciones más allá de las necesarias para verificar la idoneidad requerida de los proponentes respecto del objeto ofertado, ya que lo contrario limita la libre concurrencia.</w:t>
      </w:r>
    </w:p>
    <w:p w14:paraId="7514F2E3" w14:textId="77777777" w:rsidR="002E1D70" w:rsidRPr="002E1D70" w:rsidRDefault="002E1D70" w:rsidP="002E1D70">
      <w:pPr>
        <w:widowControl w:val="0"/>
        <w:autoSpaceDE w:val="0"/>
        <w:autoSpaceDN w:val="0"/>
        <w:spacing w:after="120" w:line="276" w:lineRule="auto"/>
        <w:ind w:firstLine="709"/>
        <w:jc w:val="both"/>
        <w:rPr>
          <w:rFonts w:ascii="Verdana" w:eastAsia="Calibri" w:hAnsi="Verdana" w:cs="Arial"/>
          <w:color w:val="000000" w:themeColor="text1"/>
        </w:rPr>
      </w:pPr>
      <w:r w:rsidRPr="002E1D70">
        <w:rPr>
          <w:rFonts w:ascii="Verdana" w:eastAsia="Calibri" w:hAnsi="Verdana" w:cs="Arial"/>
          <w:color w:val="000000" w:themeColor="text1"/>
        </w:rPr>
        <w:t xml:space="preserve">Particularmente, en relación con las condiciones financieras y de organización de los proponentes el </w:t>
      </w:r>
      <w:r w:rsidRPr="002E1D70">
        <w:rPr>
          <w:rFonts w:ascii="Verdana" w:eastAsia="Calibri" w:hAnsi="Verdana" w:cs="Arial"/>
          <w:color w:val="000000" w:themeColor="text1"/>
          <w:lang w:val="es-ES_tradnl"/>
        </w:rPr>
        <w:t>“Manual para determinar y verificar los requisitos habilitantes en los Procesos de Contratación” expedido por esta Agencia</w:t>
      </w:r>
      <w:r w:rsidRPr="002E1D70">
        <w:rPr>
          <w:rFonts w:ascii="Verdana" w:eastAsia="Calibri" w:hAnsi="Verdana" w:cs="Arial"/>
          <w:color w:val="000000" w:themeColor="text1"/>
        </w:rPr>
        <w:t xml:space="preserve">, indica que la capacidad financiera que la entidad requiera para un proceso de contratación “debe ser adecuada y proporcional a la naturaleza, forma de pago, plazo, complejidad, riesgo y al valor del contrato. Además, los requisitos de capacidad financiera deben ser establecidos con fundamento en los estudios del sector, para cuya elaboración se recomienda la aplicación de lo dispuesto en la «Guía para la Elaboración de Estudios de Sector», expedida por esta Agencia”. Así, en atención a la naturaleza del contrato a suscribir y su valor, plazo y forma de pago, la entidad debe hacer uso de los indicadores que considere adecuados respecto del objeto del proceso de contratación. </w:t>
      </w:r>
    </w:p>
    <w:p w14:paraId="3FB6D378" w14:textId="77777777" w:rsidR="002E1D70" w:rsidRPr="002E1D70" w:rsidRDefault="002E1D70" w:rsidP="002E1D70">
      <w:pPr>
        <w:widowControl w:val="0"/>
        <w:autoSpaceDE w:val="0"/>
        <w:autoSpaceDN w:val="0"/>
        <w:spacing w:after="120" w:line="276" w:lineRule="auto"/>
        <w:ind w:firstLine="709"/>
        <w:jc w:val="both"/>
        <w:rPr>
          <w:rFonts w:ascii="Verdana" w:eastAsia="Calibri" w:hAnsi="Verdana" w:cs="Arial"/>
          <w:color w:val="000000" w:themeColor="text1"/>
        </w:rPr>
      </w:pPr>
      <w:r w:rsidRPr="002E1D70">
        <w:rPr>
          <w:rFonts w:ascii="Verdana" w:eastAsia="Calibri" w:hAnsi="Verdana" w:cs="Arial"/>
          <w:color w:val="000000" w:themeColor="text1"/>
        </w:rPr>
        <w:t xml:space="preserve">En este sentido, resulta claro que la exigencia de la capacidad financiera y de organización en los concursos de arquitectura debe responder a criterios de </w:t>
      </w:r>
      <w:r w:rsidRPr="002E1D70">
        <w:rPr>
          <w:rFonts w:ascii="Verdana" w:eastAsia="Calibri" w:hAnsi="Verdana" w:cs="Arial"/>
          <w:color w:val="000000" w:themeColor="text1"/>
        </w:rPr>
        <w:lastRenderedPageBreak/>
        <w:t>razonabilidad, adecuación y proporcionalidad, de tal manera que dichos requisitos deben establecerse en función del alcance y la naturaleza específica del objeto a contratar. En consecuencia, los indicadores requeridos en estos concursos podrían definirse con criterios más flexibles, siempre que se sustenten en un análisis específico del sector.</w:t>
      </w:r>
    </w:p>
    <w:p w14:paraId="63DB76BD" w14:textId="77777777" w:rsidR="002E1D70" w:rsidRPr="002E1D70" w:rsidRDefault="002E1D70" w:rsidP="002E1D70">
      <w:pPr>
        <w:widowControl w:val="0"/>
        <w:autoSpaceDE w:val="0"/>
        <w:autoSpaceDN w:val="0"/>
        <w:spacing w:after="120" w:line="276" w:lineRule="auto"/>
        <w:ind w:firstLine="709"/>
        <w:jc w:val="both"/>
        <w:rPr>
          <w:rFonts w:ascii="Verdana" w:eastAsia="Calibri" w:hAnsi="Verdana" w:cs="Arial"/>
          <w:color w:val="000000" w:themeColor="text1"/>
        </w:rPr>
      </w:pPr>
      <w:r w:rsidRPr="002E1D70">
        <w:rPr>
          <w:rFonts w:ascii="Verdana" w:eastAsia="Calibri" w:hAnsi="Verdana" w:cs="Arial"/>
          <w:color w:val="000000" w:themeColor="text1"/>
        </w:rPr>
        <w:t xml:space="preserve">Para tales efectos, el </w:t>
      </w:r>
      <w:r w:rsidRPr="002E1D70">
        <w:rPr>
          <w:rFonts w:ascii="Verdana" w:eastAsia="Calibri" w:hAnsi="Verdana" w:cs="Arial"/>
          <w:color w:val="000000" w:themeColor="text1"/>
          <w:lang w:val="es-ES_tradnl"/>
        </w:rPr>
        <w:t>“Manual para determinar y verificar los requisitos habilitantes en los Procesos de Contratación”, señala que “</w:t>
      </w:r>
      <w:r w:rsidRPr="002E1D70">
        <w:rPr>
          <w:rFonts w:ascii="Verdana" w:eastAsia="Calibri" w:hAnsi="Verdana" w:cs="Arial"/>
          <w:color w:val="000000" w:themeColor="text1"/>
        </w:rPr>
        <w:t xml:space="preserve">La Entidad Estatal debe determinar los indicadores de capacidad financiera y organizacional, así como la relación de dependencia entre cada indicador y la ejecución del contrato. Entre más fuerte sea esta relación, más rigurosos deben ser los análisis de datos para establecer los límites de los requisitos habilitantes y los indicadores previstos deben ser más exigentes. </w:t>
      </w:r>
      <w:r w:rsidRPr="002E1D70">
        <w:rPr>
          <w:rFonts w:ascii="Verdana" w:eastAsia="Calibri" w:hAnsi="Verdana" w:cs="Arial"/>
        </w:rPr>
        <w:t xml:space="preserve">[…] </w:t>
      </w:r>
      <w:r w:rsidRPr="002E1D70">
        <w:rPr>
          <w:rFonts w:ascii="Verdana" w:eastAsia="Calibri" w:hAnsi="Verdana" w:cs="Arial"/>
          <w:color w:val="000000" w:themeColor="text1"/>
        </w:rPr>
        <w:t xml:space="preserve">Para ello, la Entidad Estatal puede fijar límites más </w:t>
      </w:r>
      <w:r w:rsidRPr="002E1D70">
        <w:rPr>
          <w:rFonts w:ascii="Verdana" w:eastAsia="Calibri" w:hAnsi="Verdana" w:cs="Arial"/>
          <w:i/>
          <w:iCs/>
          <w:color w:val="000000" w:themeColor="text1"/>
        </w:rPr>
        <w:t>flexibles</w:t>
      </w:r>
      <w:r w:rsidRPr="002E1D70">
        <w:rPr>
          <w:rFonts w:ascii="Verdana" w:eastAsia="Calibri" w:hAnsi="Verdana" w:cs="Arial"/>
          <w:color w:val="000000" w:themeColor="text1"/>
        </w:rPr>
        <w:t xml:space="preserve"> dados por el comportamiento del sector económico estudiando, por ejemplo, los valores máximos y mínimos del indicador para las empresas objeto de análisis”. </w:t>
      </w:r>
    </w:p>
    <w:p w14:paraId="756709D2" w14:textId="77777777" w:rsidR="002E1D70" w:rsidRPr="002E1D70" w:rsidRDefault="002E1D70" w:rsidP="002E1D70">
      <w:pPr>
        <w:widowControl w:val="0"/>
        <w:autoSpaceDE w:val="0"/>
        <w:autoSpaceDN w:val="0"/>
        <w:spacing w:after="120" w:line="276" w:lineRule="auto"/>
        <w:ind w:firstLine="709"/>
        <w:jc w:val="both"/>
        <w:rPr>
          <w:rFonts w:ascii="Verdana" w:eastAsia="Calibri" w:hAnsi="Verdana" w:cs="Arial"/>
          <w:color w:val="000000" w:themeColor="text1"/>
        </w:rPr>
      </w:pPr>
      <w:r w:rsidRPr="002E1D70">
        <w:rPr>
          <w:rFonts w:ascii="Verdana" w:eastAsia="Calibri" w:hAnsi="Verdana" w:cs="Arial"/>
          <w:color w:val="000000" w:themeColor="text1"/>
        </w:rPr>
        <w:t>Bajo este contexto, en los concursos de arquitectura los indicadores de capacidad financiera y de organización se podrán determinar con límites más flexibles teniendo en cuenta la naturaleza del proceso y el comportamiento del sector analizado, de manera que sean adecuados y proporcionales al alcance del objeto contractual.</w:t>
      </w:r>
      <w:r w:rsidRPr="002E1D70">
        <w:rPr>
          <w:rFonts w:ascii="Verdana" w:eastAsia="Calibri" w:hAnsi="Verdana" w:cs="Arial"/>
          <w:vanish/>
          <w:color w:val="000000" w:themeColor="text1"/>
        </w:rPr>
        <w:t>Principio del formulario</w:t>
      </w:r>
    </w:p>
    <w:p w14:paraId="0CF0C357" w14:textId="77777777" w:rsidR="002E1D70" w:rsidRPr="002E1D70" w:rsidRDefault="002E1D70" w:rsidP="002E1D70">
      <w:pPr>
        <w:widowControl w:val="0"/>
        <w:autoSpaceDE w:val="0"/>
        <w:autoSpaceDN w:val="0"/>
        <w:spacing w:after="120" w:line="276" w:lineRule="auto"/>
        <w:ind w:firstLine="709"/>
        <w:jc w:val="both"/>
        <w:rPr>
          <w:rFonts w:ascii="Verdana" w:eastAsia="Calibri" w:hAnsi="Verdana" w:cs="Arial"/>
          <w:vanish/>
          <w:color w:val="000000" w:themeColor="text1"/>
        </w:rPr>
      </w:pPr>
      <w:r w:rsidRPr="002E1D70">
        <w:rPr>
          <w:rFonts w:ascii="Verdana" w:eastAsia="Calibri" w:hAnsi="Verdana" w:cs="Arial"/>
          <w:vanish/>
          <w:color w:val="000000" w:themeColor="text1"/>
        </w:rPr>
        <w:t>Final del formulario</w:t>
      </w:r>
    </w:p>
    <w:p w14:paraId="0B829270" w14:textId="77777777" w:rsidR="002E1D70" w:rsidRPr="002E1D70" w:rsidRDefault="002E1D70" w:rsidP="002E1D70">
      <w:pPr>
        <w:widowControl w:val="0"/>
        <w:autoSpaceDE w:val="0"/>
        <w:autoSpaceDN w:val="0"/>
        <w:spacing w:after="0" w:line="276" w:lineRule="auto"/>
        <w:jc w:val="both"/>
        <w:rPr>
          <w:rFonts w:ascii="Verdana" w:eastAsia="Arial" w:hAnsi="Verdana" w:cs="Arial"/>
          <w:lang w:val="es-ES"/>
        </w:rPr>
      </w:pPr>
    </w:p>
    <w:p w14:paraId="2B387E26" w14:textId="77777777" w:rsidR="002E1D70" w:rsidRPr="002E1D70" w:rsidRDefault="002E1D70" w:rsidP="002E1D70">
      <w:pPr>
        <w:numPr>
          <w:ilvl w:val="0"/>
          <w:numId w:val="1"/>
        </w:numPr>
        <w:tabs>
          <w:tab w:val="left" w:pos="142"/>
          <w:tab w:val="left" w:pos="284"/>
        </w:tabs>
        <w:spacing w:after="0" w:line="276" w:lineRule="auto"/>
        <w:jc w:val="both"/>
        <w:rPr>
          <w:rFonts w:ascii="Verdana" w:eastAsia="Century Gothic" w:hAnsi="Verdana" w:cs="Century Gothic"/>
          <w:b/>
          <w:bCs/>
        </w:rPr>
      </w:pPr>
      <w:r w:rsidRPr="002E1D70">
        <w:rPr>
          <w:rFonts w:ascii="Verdana" w:eastAsia="Century Gothic" w:hAnsi="Verdana" w:cs="Century Gothic"/>
          <w:b/>
          <w:bCs/>
        </w:rPr>
        <w:t>Referencias normativas y jurisprudenciales:</w:t>
      </w:r>
    </w:p>
    <w:p w14:paraId="314C38C5" w14:textId="77777777" w:rsidR="002E1D70" w:rsidRPr="002E1D70" w:rsidRDefault="002E1D70" w:rsidP="002E1D70">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2E1D70" w:rsidRPr="002E1D70" w14:paraId="0B8008D4" w14:textId="77777777" w:rsidTr="001460C9">
        <w:trPr>
          <w:trHeight w:val="410"/>
          <w:jc w:val="center"/>
        </w:trPr>
        <w:tc>
          <w:tcPr>
            <w:tcW w:w="8647" w:type="dxa"/>
          </w:tcPr>
          <w:p w14:paraId="542AA38C" w14:textId="77777777" w:rsidR="002E1D70" w:rsidRPr="002E1D70" w:rsidRDefault="002E1D70" w:rsidP="002E1D70">
            <w:pPr>
              <w:widowControl w:val="0"/>
              <w:numPr>
                <w:ilvl w:val="0"/>
                <w:numId w:val="3"/>
              </w:numPr>
              <w:autoSpaceDE w:val="0"/>
              <w:autoSpaceDN w:val="0"/>
              <w:spacing w:after="120" w:line="276" w:lineRule="auto"/>
              <w:ind w:left="318" w:hanging="284"/>
              <w:contextualSpacing/>
              <w:jc w:val="both"/>
              <w:rPr>
                <w:rFonts w:ascii="Verdana" w:eastAsia="Aptos" w:hAnsi="Verdana" w:cs="Arial"/>
              </w:rPr>
            </w:pPr>
            <w:r w:rsidRPr="002E1D70">
              <w:rPr>
                <w:rFonts w:ascii="Verdana" w:eastAsia="Aptos" w:hAnsi="Verdana" w:cs="Arial"/>
              </w:rPr>
              <w:t>Ley 80 de 1993, artículo 32.</w:t>
            </w:r>
          </w:p>
          <w:p w14:paraId="02D124BA" w14:textId="77777777" w:rsidR="002E1D70" w:rsidRPr="002E1D70" w:rsidRDefault="002E1D70" w:rsidP="002E1D70">
            <w:pPr>
              <w:widowControl w:val="0"/>
              <w:numPr>
                <w:ilvl w:val="0"/>
                <w:numId w:val="3"/>
              </w:numPr>
              <w:autoSpaceDE w:val="0"/>
              <w:autoSpaceDN w:val="0"/>
              <w:spacing w:after="120" w:line="276" w:lineRule="auto"/>
              <w:ind w:left="318" w:hanging="284"/>
              <w:contextualSpacing/>
              <w:jc w:val="both"/>
              <w:rPr>
                <w:rFonts w:ascii="Verdana" w:eastAsia="Aptos" w:hAnsi="Verdana" w:cs="Arial"/>
              </w:rPr>
            </w:pPr>
            <w:r w:rsidRPr="002E1D70">
              <w:rPr>
                <w:rFonts w:ascii="Verdana" w:eastAsia="Aptos" w:hAnsi="Verdana" w:cs="Arial"/>
              </w:rPr>
              <w:t>Ley 1150 de 2007, artículo 5.</w:t>
            </w:r>
          </w:p>
          <w:p w14:paraId="2C7AB882" w14:textId="77777777" w:rsidR="002E1D70" w:rsidRPr="002E1D70" w:rsidRDefault="002E1D70" w:rsidP="002E1D70">
            <w:pPr>
              <w:widowControl w:val="0"/>
              <w:numPr>
                <w:ilvl w:val="0"/>
                <w:numId w:val="3"/>
              </w:numPr>
              <w:autoSpaceDE w:val="0"/>
              <w:autoSpaceDN w:val="0"/>
              <w:spacing w:after="120" w:line="276" w:lineRule="auto"/>
              <w:ind w:left="318" w:hanging="284"/>
              <w:contextualSpacing/>
              <w:jc w:val="both"/>
              <w:rPr>
                <w:rFonts w:ascii="Verdana" w:eastAsia="Aptos" w:hAnsi="Verdana" w:cs="Arial"/>
              </w:rPr>
            </w:pPr>
            <w:r w:rsidRPr="002E1D70">
              <w:rPr>
                <w:rFonts w:ascii="Verdana" w:eastAsia="Aptos" w:hAnsi="Verdana" w:cs="Arial"/>
              </w:rPr>
              <w:t xml:space="preserve">Decreto 1082 de 2015, artículos 2.2.1.2.1.3.8 </w:t>
            </w:r>
            <w:r w:rsidRPr="002E1D70">
              <w:rPr>
                <w:rFonts w:ascii="Verdana" w:hAnsi="Verdana"/>
              </w:rPr>
              <w:t>al 2.2.1.2.1.3.25</w:t>
            </w:r>
          </w:p>
          <w:p w14:paraId="7B050AE6" w14:textId="77777777" w:rsidR="002E1D70" w:rsidRPr="002E1D70" w:rsidRDefault="002E1D70" w:rsidP="002E1D70">
            <w:pPr>
              <w:widowControl w:val="0"/>
              <w:numPr>
                <w:ilvl w:val="0"/>
                <w:numId w:val="3"/>
              </w:numPr>
              <w:autoSpaceDE w:val="0"/>
              <w:autoSpaceDN w:val="0"/>
              <w:spacing w:after="120" w:line="276" w:lineRule="auto"/>
              <w:ind w:left="318" w:hanging="284"/>
              <w:contextualSpacing/>
              <w:jc w:val="both"/>
              <w:rPr>
                <w:rFonts w:ascii="Verdana" w:eastAsia="Aptos" w:hAnsi="Verdana" w:cs="Arial"/>
              </w:rPr>
            </w:pPr>
            <w:r w:rsidRPr="002E1D70">
              <w:rPr>
                <w:rFonts w:ascii="Verdana" w:hAnsi="Verdana" w:cs="Arial"/>
              </w:rPr>
              <w:t xml:space="preserve">Consejo de Estado. Sección Tercera. Sentencia del 15 de junio de 2000. </w:t>
            </w:r>
            <w:proofErr w:type="spellStart"/>
            <w:r w:rsidRPr="002E1D70">
              <w:rPr>
                <w:rFonts w:ascii="Verdana" w:hAnsi="Verdana" w:cs="Arial"/>
              </w:rPr>
              <w:t>Exp</w:t>
            </w:r>
            <w:proofErr w:type="spellEnd"/>
            <w:r w:rsidRPr="002E1D70">
              <w:rPr>
                <w:rFonts w:ascii="Verdana" w:hAnsi="Verdana" w:cs="Arial"/>
              </w:rPr>
              <w:t>. 10.963. C. P. Ricardo Hoyos Duque</w:t>
            </w:r>
          </w:p>
        </w:tc>
      </w:tr>
    </w:tbl>
    <w:p w14:paraId="49DF5673" w14:textId="77777777" w:rsidR="002E1D70" w:rsidRPr="002E1D70" w:rsidRDefault="002E1D70" w:rsidP="002E1D70">
      <w:pPr>
        <w:widowControl w:val="0"/>
        <w:autoSpaceDE w:val="0"/>
        <w:autoSpaceDN w:val="0"/>
        <w:spacing w:after="0" w:line="276" w:lineRule="auto"/>
        <w:jc w:val="both"/>
        <w:rPr>
          <w:rFonts w:ascii="Verdana" w:hAnsi="Verdana" w:cs="Arial"/>
        </w:rPr>
      </w:pPr>
    </w:p>
    <w:p w14:paraId="180464C7" w14:textId="77777777" w:rsidR="002E1D70" w:rsidRPr="002E1D70" w:rsidRDefault="002E1D70" w:rsidP="002E1D70">
      <w:pPr>
        <w:numPr>
          <w:ilvl w:val="0"/>
          <w:numId w:val="1"/>
        </w:numPr>
        <w:tabs>
          <w:tab w:val="left" w:pos="142"/>
          <w:tab w:val="left" w:pos="284"/>
        </w:tabs>
        <w:spacing w:after="0" w:line="276" w:lineRule="auto"/>
        <w:jc w:val="both"/>
        <w:rPr>
          <w:rFonts w:ascii="Verdana" w:eastAsia="Century Gothic" w:hAnsi="Verdana" w:cs="Century Gothic"/>
          <w:b/>
          <w:bCs/>
        </w:rPr>
      </w:pPr>
      <w:r w:rsidRPr="002E1D70">
        <w:rPr>
          <w:rFonts w:ascii="Verdana" w:eastAsia="Century Gothic" w:hAnsi="Verdana" w:cs="Century Gothic"/>
          <w:b/>
          <w:bCs/>
        </w:rPr>
        <w:t>Doctrina de la Agencia Nacional de Contratación Pública:</w:t>
      </w:r>
    </w:p>
    <w:p w14:paraId="7B9AE874" w14:textId="77777777" w:rsidR="002E1D70" w:rsidRPr="002E1D70" w:rsidRDefault="002E1D70" w:rsidP="002E1D70">
      <w:pPr>
        <w:widowControl w:val="0"/>
        <w:autoSpaceDE w:val="0"/>
        <w:autoSpaceDN w:val="0"/>
        <w:spacing w:after="0" w:line="276" w:lineRule="auto"/>
        <w:jc w:val="both"/>
        <w:rPr>
          <w:rFonts w:ascii="Verdana" w:hAnsi="Verdana" w:cs="Arial"/>
        </w:rPr>
      </w:pPr>
    </w:p>
    <w:p w14:paraId="00D492E5" w14:textId="77777777" w:rsidR="002E1D70" w:rsidRPr="002E1D70" w:rsidRDefault="002E1D70" w:rsidP="002E1D70">
      <w:pPr>
        <w:widowControl w:val="0"/>
        <w:autoSpaceDE w:val="0"/>
        <w:autoSpaceDN w:val="0"/>
        <w:spacing w:after="120" w:line="276" w:lineRule="auto"/>
        <w:jc w:val="both"/>
        <w:rPr>
          <w:rFonts w:ascii="Verdana" w:hAnsi="Verdana" w:cs="Arial"/>
          <w:shd w:val="clear" w:color="auto" w:fill="FFFFFF"/>
        </w:rPr>
      </w:pPr>
      <w:r w:rsidRPr="002E1D70">
        <w:rPr>
          <w:rFonts w:ascii="Verdana" w:eastAsia="Calibri" w:hAnsi="Verdana" w:cs="Arial"/>
          <w:lang w:val="es-ES" w:eastAsia="es-ES"/>
        </w:rPr>
        <w:t xml:space="preserve">La Agencia Nacional de Contratación Pública – Colombia Compra Eficiente </w:t>
      </w:r>
      <w:r w:rsidRPr="002E1D70">
        <w:rPr>
          <w:rFonts w:ascii="Verdana" w:hAnsi="Verdana" w:cs="Arial"/>
          <w:shd w:val="clear" w:color="auto" w:fill="FFFFFF"/>
          <w:lang w:val="es-ES"/>
        </w:rPr>
        <w:t xml:space="preserve">se ha pronunciado sobre </w:t>
      </w:r>
      <w:r w:rsidRPr="002E1D70">
        <w:rPr>
          <w:rFonts w:ascii="Verdana" w:eastAsia="Calibri" w:hAnsi="Verdana" w:cs="Arial"/>
          <w:lang w:val="es-ES" w:eastAsia="es-ES"/>
        </w:rPr>
        <w:t xml:space="preserve">la naturaleza de los requisitos habilitantes </w:t>
      </w:r>
      <w:r w:rsidRPr="002E1D70">
        <w:rPr>
          <w:rFonts w:ascii="Verdana" w:hAnsi="Verdana" w:cs="Arial"/>
          <w:shd w:val="clear" w:color="auto" w:fill="FFFFFF"/>
          <w:lang w:val="es-ES"/>
        </w:rPr>
        <w:t>en los Conceptos C</w:t>
      </w:r>
      <w:r w:rsidRPr="002E1D70">
        <w:rPr>
          <w:rFonts w:ascii="Verdana" w:eastAsia="Calibri" w:hAnsi="Verdana" w:cs="Arial"/>
          <w:lang w:val="es-ES" w:eastAsia="es-ES"/>
        </w:rPr>
        <w:t>-120 del 3 de marzo de 2020, C-204 del 31 de marzo de 2020, C-099 del 6 de abril de 2020, C-195 del 13 de abril de 2020, C-013 del 17 de abril de 2020, C-</w:t>
      </w:r>
      <w:r w:rsidRPr="002E1D70">
        <w:rPr>
          <w:rFonts w:ascii="Verdana" w:eastAsia="Calibri" w:hAnsi="Verdana" w:cs="Arial"/>
          <w:lang w:val="es-ES" w:eastAsia="es-ES"/>
        </w:rPr>
        <w:lastRenderedPageBreak/>
        <w:t>330 del 27 de mayo de 2020, C-396 de 16 de julio de 2020, C-387 de 3 de agosto de 2021, C-669 de 3 de diciembre de 2021, C-573 de 13 de septiembre de 2022, C- 831 de 28 de noviembre de 2022 y C-868 del 19 de diciembre de 2022, C-124 de 25 de mayo de 2023, C-165 de 2 de junio de 2023, C-167 de 5 de junio de 2023, C-215 de 10 de agosto de 2023, C-277 de 14 de julio de 2023, C-337 de 18 de agosto de 2023, entre otros.</w:t>
      </w:r>
      <w:r w:rsidRPr="002E1D70">
        <w:rPr>
          <w:rFonts w:ascii="Verdana" w:eastAsia="Calibri" w:hAnsi="Verdana" w:cs="Arial"/>
          <w:b/>
          <w:bCs/>
          <w:lang w:val="es-ES" w:eastAsia="es-ES"/>
        </w:rPr>
        <w:t xml:space="preserve"> </w:t>
      </w:r>
      <w:r w:rsidRPr="002E1D70">
        <w:rPr>
          <w:rFonts w:ascii="Verdana" w:eastAsia="Calibri" w:hAnsi="Verdana" w:cs="Arial"/>
          <w:lang w:val="es-ES" w:eastAsia="es-ES"/>
        </w:rPr>
        <w:t>Sobre el concurso de arquitectura</w:t>
      </w:r>
      <w:r w:rsidRPr="002E1D70">
        <w:rPr>
          <w:rFonts w:ascii="Verdana" w:eastAsia="Calibri" w:hAnsi="Verdana" w:cs="Arial"/>
          <w:b/>
          <w:bCs/>
          <w:lang w:val="es-ES" w:eastAsia="es-ES"/>
        </w:rPr>
        <w:t xml:space="preserve"> </w:t>
      </w:r>
      <w:r w:rsidRPr="002E1D70">
        <w:rPr>
          <w:rFonts w:ascii="Verdana" w:hAnsi="Verdana" w:cs="Arial"/>
          <w:shd w:val="clear" w:color="auto" w:fill="FFFFFF"/>
        </w:rPr>
        <w:t xml:space="preserve">Esta Subdirección se ha pronunciado en los conceptos </w:t>
      </w:r>
      <w:r w:rsidRPr="002E1D70">
        <w:rPr>
          <w:rFonts w:ascii="Verdana" w:hAnsi="Verdana" w:cs="Arial"/>
        </w:rPr>
        <w:t>C-689 del 10 de junio de 2025, C-699 del 10 de junio de 2025 y C-788 del 25 de junio de 2025</w:t>
      </w:r>
      <w:r w:rsidRPr="002E1D70">
        <w:rPr>
          <w:rFonts w:ascii="Verdana" w:eastAsia="Calibri" w:hAnsi="Verdana" w:cs="Times New Roman"/>
        </w:rPr>
        <w:t xml:space="preserve">. </w:t>
      </w:r>
      <w:r w:rsidRPr="002E1D70">
        <w:rPr>
          <w:rFonts w:ascii="Verdana" w:hAnsi="Verdana" w:cs="Arial"/>
          <w:shd w:val="clear" w:color="auto" w:fill="FFFFFF"/>
        </w:rPr>
        <w:t>Es</w:t>
      </w:r>
      <w:r w:rsidRPr="002E1D70">
        <w:rPr>
          <w:rFonts w:ascii="Verdana" w:hAnsi="Verdana"/>
        </w:rPr>
        <w:t>tos conceptos se encuentran disponibles para consulta en el Sistema de relatoría de la Agencia, al cual se puede acceder a través del siguiente enlace:</w:t>
      </w:r>
      <w:r w:rsidRPr="002E1D70">
        <w:rPr>
          <w:rFonts w:ascii="Verdana" w:hAnsi="Verdana" w:cs="Arial"/>
          <w:shd w:val="clear" w:color="auto" w:fill="FFFFFF"/>
        </w:rPr>
        <w:t xml:space="preserve"> </w:t>
      </w:r>
      <w:hyperlink r:id="rId13" w:history="1">
        <w:r w:rsidRPr="002E1D70">
          <w:rPr>
            <w:rFonts w:ascii="Verdana" w:hAnsi="Verdana" w:cs="Arial"/>
            <w:color w:val="0563C1" w:themeColor="hyperlink"/>
            <w:u w:val="single"/>
            <w:shd w:val="clear" w:color="auto" w:fill="FFFFFF"/>
          </w:rPr>
          <w:t>https://relatoria.colombiacompra.gov.co/busqueda/conceptos</w:t>
        </w:r>
      </w:hyperlink>
      <w:r w:rsidRPr="002E1D70">
        <w:rPr>
          <w:rFonts w:ascii="Verdana" w:hAnsi="Verdana" w:cs="Arial"/>
          <w:shd w:val="clear" w:color="auto" w:fill="FFFFFF"/>
        </w:rPr>
        <w:t>.</w:t>
      </w:r>
      <w:r w:rsidRPr="002E1D70">
        <w:rPr>
          <w:rFonts w:ascii="Verdana" w:hAnsi="Verdana" w:cs="Arial"/>
          <w:color w:val="FF0000"/>
          <w:shd w:val="clear" w:color="auto" w:fill="FFFFFF"/>
        </w:rPr>
        <w:t xml:space="preserve"> </w:t>
      </w:r>
      <w:r w:rsidRPr="002E1D70">
        <w:rPr>
          <w:rFonts w:ascii="Verdana" w:hAnsi="Verdana" w:cs="Arial"/>
          <w:color w:val="000000" w:themeColor="text1"/>
          <w:shd w:val="clear" w:color="auto" w:fill="FFFFFF"/>
        </w:rPr>
        <w:t>  </w:t>
      </w:r>
    </w:p>
    <w:p w14:paraId="76140C44" w14:textId="77777777" w:rsidR="002E1D70" w:rsidRPr="002E1D70" w:rsidRDefault="002E1D70" w:rsidP="002E1D70">
      <w:pPr>
        <w:shd w:val="clear" w:color="auto" w:fill="FFFFFF"/>
        <w:spacing w:after="120" w:line="276" w:lineRule="auto"/>
        <w:jc w:val="both"/>
        <w:textAlignment w:val="baseline"/>
        <w:rPr>
          <w:rFonts w:ascii="Verdana" w:eastAsia="Times New Roman" w:hAnsi="Verdana" w:cs="Times New Roman"/>
          <w:color w:val="242424"/>
          <w:lang w:eastAsia="es-CO"/>
        </w:rPr>
      </w:pPr>
      <w:r w:rsidRPr="002E1D70">
        <w:rPr>
          <w:rFonts w:ascii="Verdana" w:eastAsia="Times New Roman" w:hAnsi="Verdana" w:cs="Times New Roman"/>
          <w:color w:val="000000"/>
          <w:bdr w:val="none" w:sz="0" w:space="0" w:color="auto" w:frame="1"/>
          <w:lang w:eastAsia="es-CO"/>
        </w:rPr>
        <w:t>También le contamos que ya se encuentra disponible la </w:t>
      </w:r>
      <w:r w:rsidRPr="002E1D70">
        <w:rPr>
          <w:rFonts w:ascii="Verdana" w:eastAsia="Times New Roman" w:hAnsi="Verdana" w:cs="Times New Roman"/>
          <w:b/>
          <w:bCs/>
          <w:color w:val="000000"/>
          <w:bdr w:val="none" w:sz="0" w:space="0" w:color="auto" w:frame="1"/>
          <w:lang w:eastAsia="es-CO"/>
        </w:rPr>
        <w:t>Guía de lineamientos de transparencia y selección objetiva para el departamento de La Guajira – Objetivo sexto constitucional de la Sentencia T-302 del 2017. </w:t>
      </w:r>
      <w:r w:rsidRPr="002E1D70">
        <w:rPr>
          <w:rFonts w:ascii="Verdana" w:eastAsia="Times New Roman" w:hAnsi="Verdana" w:cs="Times New Roman"/>
          <w:color w:val="000000"/>
          <w:bdr w:val="none" w:sz="0" w:space="0" w:color="auto" w:frame="1"/>
          <w:lang w:eastAsia="es-CO"/>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2E1D70">
        <w:rPr>
          <w:rFonts w:ascii="Verdana" w:eastAsia="Times New Roman" w:hAnsi="Verdana" w:cs="Times New Roman"/>
          <w:color w:val="000000"/>
          <w:bdr w:val="none" w:sz="0" w:space="0" w:color="auto" w:frame="1"/>
          <w:lang w:eastAsia="es-CO"/>
        </w:rPr>
        <w:t>Wayúu</w:t>
      </w:r>
      <w:proofErr w:type="spellEnd"/>
      <w:r w:rsidRPr="002E1D70">
        <w:rPr>
          <w:rFonts w:ascii="Verdana" w:eastAsia="Times New Roman" w:hAnsi="Verdana" w:cs="Times New Roman"/>
          <w:color w:val="000000"/>
          <w:bdr w:val="none" w:sz="0" w:space="0" w:color="auto" w:frame="1"/>
          <w:lang w:eastAsia="es-CO"/>
        </w:rPr>
        <w:t>. Puede consultar la guía en el siguiente enlace: </w:t>
      </w:r>
      <w:hyperlink r:id="rId14" w:tgtFrame="_blank" w:tooltip="Dirección URL original: https://www.colombiacompra.gov.co/wp-content/uploads/2025/05/GUIA-DE-LINEAMIENTOS-DE-TRANSPARENCIA-Y-SELECCION-OBJETIVA-1.0.pdf. Haga clic o pulse si confía en este vínculo." w:history="1">
        <w:r w:rsidRPr="002E1D70">
          <w:rPr>
            <w:rFonts w:ascii="Verdana" w:eastAsia="Times New Roman" w:hAnsi="Verdana" w:cs="Times New Roman"/>
            <w:color w:val="467886"/>
            <w:u w:val="single"/>
            <w:bdr w:val="none" w:sz="0" w:space="0" w:color="auto" w:frame="1"/>
            <w:lang w:eastAsia="es-CO"/>
          </w:rPr>
          <w:t>Guía de lineamientos de transparencia y selección objetiva para el departamento de La Guajira – Objetivo sexto constitucional de la Sentencia T-302 del 2017</w:t>
        </w:r>
      </w:hyperlink>
      <w:r w:rsidRPr="002E1D70">
        <w:rPr>
          <w:rFonts w:ascii="Verdana" w:eastAsia="Times New Roman" w:hAnsi="Verdana" w:cs="Times New Roman"/>
          <w:color w:val="467886"/>
          <w:u w:val="single"/>
          <w:bdr w:val="none" w:sz="0" w:space="0" w:color="auto" w:frame="1"/>
          <w:lang w:eastAsia="es-CO"/>
        </w:rPr>
        <w:t>"</w:t>
      </w:r>
    </w:p>
    <w:p w14:paraId="7A278BEE" w14:textId="77777777" w:rsidR="002E1D70" w:rsidRPr="002E1D70" w:rsidRDefault="002E1D70" w:rsidP="002E1D70">
      <w:pPr>
        <w:widowControl w:val="0"/>
        <w:autoSpaceDE w:val="0"/>
        <w:autoSpaceDN w:val="0"/>
        <w:spacing w:after="0" w:line="276" w:lineRule="auto"/>
        <w:jc w:val="both"/>
        <w:rPr>
          <w:rFonts w:ascii="Verdana" w:hAnsi="Verdana" w:cs="Arial"/>
        </w:rPr>
      </w:pPr>
      <w:r w:rsidRPr="002E1D70">
        <w:rPr>
          <w:rFonts w:ascii="Verdana" w:hAnsi="Verdana" w:cs="Ari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5A301F2C" w14:textId="77777777" w:rsidR="002E1D70" w:rsidRPr="002E1D70" w:rsidRDefault="002E1D70" w:rsidP="002E1D70">
      <w:pPr>
        <w:widowControl w:val="0"/>
        <w:autoSpaceDE w:val="0"/>
        <w:autoSpaceDN w:val="0"/>
        <w:spacing w:after="0" w:line="276" w:lineRule="auto"/>
        <w:jc w:val="both"/>
        <w:rPr>
          <w:rFonts w:ascii="Verdana" w:hAnsi="Verdana" w:cs="Arial"/>
        </w:rPr>
      </w:pPr>
    </w:p>
    <w:p w14:paraId="0328C29D" w14:textId="77777777" w:rsidR="002E1D70" w:rsidRPr="002E1D70" w:rsidRDefault="002E1D70" w:rsidP="002E1D70">
      <w:pPr>
        <w:spacing w:after="0" w:line="276" w:lineRule="auto"/>
        <w:rPr>
          <w:rFonts w:ascii="Verdana" w:hAnsi="Verdana" w:cs="Arial"/>
          <w:lang w:eastAsia="es-CO"/>
        </w:rPr>
      </w:pPr>
      <w:r w:rsidRPr="002E1D70">
        <w:rPr>
          <w:rFonts w:ascii="Verdana" w:eastAsia="Times New Roman" w:hAnsi="Verdana" w:cs="Arial"/>
          <w:lang w:eastAsia="es-CO"/>
        </w:rPr>
        <w:t>Atentamente,</w:t>
      </w:r>
      <w:r w:rsidRPr="002E1D70">
        <w:rPr>
          <w:rFonts w:ascii="Verdana" w:hAnsi="Verdana" w:cs="Arial"/>
          <w:lang w:eastAsia="es-CO"/>
        </w:rPr>
        <w:t xml:space="preserve"> </w:t>
      </w:r>
    </w:p>
    <w:p w14:paraId="4DBEBC87" w14:textId="210818B2" w:rsidR="002E1D70" w:rsidRPr="002E1D70" w:rsidRDefault="0041059A" w:rsidP="002E1D70">
      <w:pPr>
        <w:spacing w:line="276" w:lineRule="auto"/>
        <w:jc w:val="center"/>
        <w:rPr>
          <w:rFonts w:ascii="Verdana" w:hAnsi="Verdana" w:cs="Arial"/>
          <w:color w:val="000000"/>
          <w:lang w:eastAsia="es-CO"/>
        </w:rPr>
      </w:pPr>
      <w:r w:rsidRPr="002C3AD6">
        <w:rPr>
          <w:rFonts w:ascii="Century Gothic" w:hAnsi="Century Gothic"/>
          <w:noProof/>
        </w:rPr>
        <w:drawing>
          <wp:inline distT="0" distB="0" distL="0" distR="0" wp14:anchorId="4EA8343D" wp14:editId="25E8DE41">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5"/>
                    <a:stretch>
                      <a:fillRect/>
                    </a:stretch>
                  </pic:blipFill>
                  <pic:spPr>
                    <a:xfrm>
                      <a:off x="0" y="0"/>
                      <a:ext cx="3772426" cy="140037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2E1D70" w:rsidRPr="002E1D70" w14:paraId="71316390" w14:textId="77777777" w:rsidTr="001460C9">
        <w:trPr>
          <w:trHeight w:val="315"/>
        </w:trPr>
        <w:tc>
          <w:tcPr>
            <w:tcW w:w="893" w:type="dxa"/>
            <w:vAlign w:val="center"/>
            <w:hideMark/>
          </w:tcPr>
          <w:p w14:paraId="2953696E" w14:textId="77777777" w:rsidR="002E1D70" w:rsidRPr="002E1D70" w:rsidRDefault="002E1D70" w:rsidP="002E1D70">
            <w:pPr>
              <w:contextualSpacing/>
              <w:rPr>
                <w:rFonts w:ascii="Verdana" w:hAnsi="Verdana" w:cs="Arial"/>
                <w:sz w:val="16"/>
                <w:szCs w:val="16"/>
                <w:lang w:eastAsia="es-ES"/>
              </w:rPr>
            </w:pPr>
            <w:r w:rsidRPr="002E1D70">
              <w:rPr>
                <w:rFonts w:ascii="Verdana" w:hAnsi="Verdana" w:cs="Arial"/>
                <w:sz w:val="16"/>
                <w:szCs w:val="16"/>
                <w:lang w:eastAsia="es-ES"/>
              </w:rPr>
              <w:lastRenderedPageBreak/>
              <w:t>Elaboró:</w:t>
            </w:r>
          </w:p>
        </w:tc>
        <w:tc>
          <w:tcPr>
            <w:tcW w:w="5628" w:type="dxa"/>
            <w:tcBorders>
              <w:top w:val="nil"/>
              <w:left w:val="nil"/>
              <w:bottom w:val="dotted" w:sz="4" w:space="0" w:color="7F7F7F" w:themeColor="text1" w:themeTint="80"/>
              <w:right w:val="nil"/>
            </w:tcBorders>
            <w:vAlign w:val="center"/>
            <w:hideMark/>
          </w:tcPr>
          <w:p w14:paraId="0000580A" w14:textId="77777777" w:rsidR="002E1D70" w:rsidRPr="002E1D70" w:rsidRDefault="002E1D70" w:rsidP="002E1D70">
            <w:pPr>
              <w:contextualSpacing/>
              <w:rPr>
                <w:rFonts w:ascii="Verdana" w:hAnsi="Verdana"/>
                <w:sz w:val="16"/>
                <w:szCs w:val="16"/>
              </w:rPr>
            </w:pPr>
            <w:r w:rsidRPr="002E1D70">
              <w:rPr>
                <w:rFonts w:ascii="Verdana" w:hAnsi="Verdana"/>
                <w:sz w:val="16"/>
                <w:szCs w:val="16"/>
              </w:rPr>
              <w:t>Tatiana Baquero Iguarán</w:t>
            </w:r>
          </w:p>
          <w:p w14:paraId="283E1827" w14:textId="77777777" w:rsidR="002E1D70" w:rsidRPr="002E1D70" w:rsidRDefault="002E1D70" w:rsidP="002E1D70">
            <w:pPr>
              <w:contextualSpacing/>
              <w:rPr>
                <w:rFonts w:ascii="Verdana" w:eastAsia="Arial" w:hAnsi="Verdana" w:cs="Arial"/>
                <w:sz w:val="16"/>
                <w:szCs w:val="16"/>
              </w:rPr>
            </w:pPr>
            <w:r w:rsidRPr="002E1D70">
              <w:rPr>
                <w:rFonts w:ascii="Verdana" w:hAnsi="Verdana"/>
                <w:sz w:val="16"/>
                <w:szCs w:val="16"/>
              </w:rPr>
              <w:t>Contratista de la Subdirección de Gestión Contractual</w:t>
            </w:r>
          </w:p>
        </w:tc>
      </w:tr>
      <w:tr w:rsidR="002E1D70" w:rsidRPr="002E1D70" w14:paraId="0163F3E9" w14:textId="77777777" w:rsidTr="001460C9">
        <w:trPr>
          <w:trHeight w:val="330"/>
        </w:trPr>
        <w:tc>
          <w:tcPr>
            <w:tcW w:w="893" w:type="dxa"/>
            <w:vAlign w:val="center"/>
            <w:hideMark/>
          </w:tcPr>
          <w:p w14:paraId="0EC57950" w14:textId="77777777" w:rsidR="002E1D70" w:rsidRPr="002E1D70" w:rsidRDefault="002E1D70" w:rsidP="002E1D70">
            <w:pPr>
              <w:contextualSpacing/>
              <w:rPr>
                <w:rFonts w:ascii="Verdana" w:hAnsi="Verdana" w:cs="Arial"/>
                <w:sz w:val="16"/>
                <w:szCs w:val="16"/>
                <w:lang w:eastAsia="es-ES"/>
              </w:rPr>
            </w:pPr>
            <w:r w:rsidRPr="002E1D70">
              <w:rPr>
                <w:rFonts w:ascii="Verdana" w:hAnsi="Verdana" w:cs="Arial"/>
                <w:sz w:val="16"/>
                <w:szCs w:val="16"/>
                <w:lang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48CB980D" w14:textId="77777777" w:rsidR="002E1D70" w:rsidRPr="002E1D70" w:rsidRDefault="002E1D70" w:rsidP="002E1D70">
            <w:pPr>
              <w:textAlignment w:val="baseline"/>
              <w:rPr>
                <w:rFonts w:ascii="Verdana" w:eastAsia="Times New Roman" w:hAnsi="Verdana" w:cs="Arial"/>
                <w:sz w:val="16"/>
                <w:szCs w:val="16"/>
                <w:lang w:val="es-MX" w:eastAsia="es-CO"/>
              </w:rPr>
            </w:pPr>
            <w:r w:rsidRPr="002E1D70">
              <w:rPr>
                <w:rFonts w:ascii="Verdana" w:eastAsia="Times New Roman" w:hAnsi="Verdana" w:cs="Arial"/>
                <w:sz w:val="16"/>
                <w:szCs w:val="16"/>
                <w:lang w:val="es-MX" w:eastAsia="es-CO"/>
              </w:rPr>
              <w:t>Alejandro Raúl Sarmiento Cantillo</w:t>
            </w:r>
          </w:p>
          <w:p w14:paraId="45950815" w14:textId="77777777" w:rsidR="002E1D70" w:rsidRPr="002E1D70" w:rsidRDefault="002E1D70" w:rsidP="002E1D70">
            <w:pPr>
              <w:spacing w:before="100" w:beforeAutospacing="1" w:after="100" w:afterAutospacing="1"/>
              <w:contextualSpacing/>
              <w:textAlignment w:val="baseline"/>
              <w:rPr>
                <w:rFonts w:ascii="Verdana" w:eastAsia="Times New Roman" w:hAnsi="Verdana" w:cs="Segoe UI"/>
                <w:sz w:val="16"/>
                <w:szCs w:val="16"/>
                <w:lang w:eastAsia="es-ES_tradnl"/>
              </w:rPr>
            </w:pPr>
            <w:r w:rsidRPr="002E1D70">
              <w:rPr>
                <w:rFonts w:ascii="Verdana" w:eastAsia="Times New Roman" w:hAnsi="Verdana" w:cs="Arial"/>
                <w:sz w:val="16"/>
                <w:szCs w:val="16"/>
                <w:lang w:val="es-MX" w:eastAsia="es-CO"/>
              </w:rPr>
              <w:t>Gestor T1-15 de la Subdirección de Gestión Contractual</w:t>
            </w:r>
          </w:p>
        </w:tc>
      </w:tr>
      <w:tr w:rsidR="002E1D70" w:rsidRPr="002E1D70" w14:paraId="2E0EC2E0" w14:textId="77777777" w:rsidTr="001460C9">
        <w:trPr>
          <w:trHeight w:val="300"/>
        </w:trPr>
        <w:tc>
          <w:tcPr>
            <w:tcW w:w="893" w:type="dxa"/>
            <w:vAlign w:val="center"/>
          </w:tcPr>
          <w:p w14:paraId="7290E2CB" w14:textId="77777777" w:rsidR="002E1D70" w:rsidRPr="002E1D70" w:rsidRDefault="002E1D70" w:rsidP="002E1D70">
            <w:pPr>
              <w:contextualSpacing/>
              <w:rPr>
                <w:rFonts w:ascii="Verdana" w:hAnsi="Verdana" w:cs="Arial"/>
                <w:sz w:val="16"/>
                <w:szCs w:val="16"/>
                <w:lang w:eastAsia="es-ES"/>
              </w:rPr>
            </w:pPr>
            <w:r w:rsidRPr="002E1D70">
              <w:rPr>
                <w:rFonts w:ascii="Verdana" w:hAnsi="Verdana" w:cs="Arial"/>
                <w:sz w:val="16"/>
                <w:szCs w:val="16"/>
                <w:lang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3B598BF2" w14:textId="77777777" w:rsidR="002E1D70" w:rsidRPr="002E1D70" w:rsidRDefault="002E1D70" w:rsidP="002E1D70">
            <w:pPr>
              <w:contextualSpacing/>
              <w:rPr>
                <w:rFonts w:ascii="Verdana" w:eastAsia="Calibri" w:hAnsi="Verdana" w:cs="Arial"/>
                <w:sz w:val="16"/>
                <w:szCs w:val="16"/>
                <w:lang w:eastAsia="es-ES"/>
              </w:rPr>
            </w:pPr>
            <w:r w:rsidRPr="002E1D70">
              <w:rPr>
                <w:rFonts w:ascii="Verdana" w:eastAsia="Calibri" w:hAnsi="Verdana" w:cs="Arial"/>
                <w:sz w:val="16"/>
                <w:szCs w:val="16"/>
                <w:lang w:eastAsia="es-ES"/>
              </w:rPr>
              <w:t xml:space="preserve">Carolina Quintero </w:t>
            </w:r>
            <w:proofErr w:type="spellStart"/>
            <w:r w:rsidRPr="002E1D70">
              <w:rPr>
                <w:rFonts w:ascii="Verdana" w:eastAsia="Calibri" w:hAnsi="Verdana" w:cs="Arial"/>
                <w:sz w:val="16"/>
                <w:szCs w:val="16"/>
                <w:lang w:eastAsia="es-ES"/>
              </w:rPr>
              <w:t>Gacharná</w:t>
            </w:r>
            <w:proofErr w:type="spellEnd"/>
          </w:p>
          <w:p w14:paraId="755A8E37" w14:textId="77777777" w:rsidR="002E1D70" w:rsidRPr="002E1D70" w:rsidRDefault="002E1D70" w:rsidP="002E1D70">
            <w:pPr>
              <w:contextualSpacing/>
              <w:rPr>
                <w:rFonts w:ascii="Verdana" w:eastAsia="Calibri" w:hAnsi="Verdana" w:cs="Arial"/>
                <w:sz w:val="16"/>
                <w:szCs w:val="16"/>
                <w:lang w:eastAsia="es-ES"/>
              </w:rPr>
            </w:pPr>
            <w:r w:rsidRPr="002E1D70">
              <w:rPr>
                <w:rFonts w:ascii="Verdana" w:eastAsia="Calibri" w:hAnsi="Verdana" w:cs="Arial"/>
                <w:sz w:val="16"/>
                <w:szCs w:val="16"/>
                <w:lang w:eastAsia="es-ES"/>
              </w:rPr>
              <w:t>Subdirectora de Gestión Contractual ANCP – CCE</w:t>
            </w:r>
          </w:p>
        </w:tc>
      </w:tr>
    </w:tbl>
    <w:p w14:paraId="0756DEA0" w14:textId="77777777" w:rsidR="002E1D70" w:rsidRPr="002E1D70" w:rsidRDefault="002E1D70" w:rsidP="002E1D70">
      <w:pPr>
        <w:spacing w:after="0" w:line="240" w:lineRule="auto"/>
        <w:rPr>
          <w:rFonts w:ascii="Verdana" w:eastAsia="Aptos" w:hAnsi="Verdana" w:cs="Times New Roman"/>
          <w:sz w:val="20"/>
          <w:szCs w:val="20"/>
        </w:rPr>
      </w:pPr>
    </w:p>
    <w:p w14:paraId="2AA74C09" w14:textId="77777777" w:rsidR="002E1D70" w:rsidRPr="002E1D70" w:rsidRDefault="002E1D70" w:rsidP="002E1D70">
      <w:pPr>
        <w:spacing w:after="0" w:line="240" w:lineRule="auto"/>
        <w:rPr>
          <w:rFonts w:ascii="Verdana" w:eastAsia="Geomanist Light" w:hAnsi="Verdana" w:cs="Arial"/>
          <w:color w:val="000000" w:themeColor="text1"/>
        </w:rPr>
      </w:pPr>
    </w:p>
    <w:bookmarkEnd w:id="0"/>
    <w:p w14:paraId="6F1CB9AD" w14:textId="77777777" w:rsidR="002E1D70" w:rsidRPr="002E1D70" w:rsidRDefault="002E1D70" w:rsidP="002E1D70"/>
    <w:p w14:paraId="3C0C1BD5" w14:textId="77777777" w:rsidR="002E1D70" w:rsidRPr="002E1D70" w:rsidRDefault="002E1D70" w:rsidP="002E1D70"/>
    <w:p w14:paraId="37948921" w14:textId="77777777" w:rsidR="002E1D70" w:rsidRPr="002E1D70" w:rsidRDefault="002E1D70" w:rsidP="002E1D70"/>
    <w:p w14:paraId="2E980930" w14:textId="77777777" w:rsidR="001F2DB5" w:rsidRPr="002E1D70" w:rsidRDefault="001F2DB5" w:rsidP="002E1D70"/>
    <w:sectPr w:rsidR="001F2DB5" w:rsidRPr="002E1D70" w:rsidSect="00C44B4C">
      <w:headerReference w:type="default" r:id="rId16"/>
      <w:footerReference w:type="default" r:id="rId17"/>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21A153" w14:textId="77777777" w:rsidR="0020557A" w:rsidRPr="009B7987" w:rsidRDefault="0020557A" w:rsidP="00B30448">
      <w:pPr>
        <w:spacing w:after="0" w:line="240" w:lineRule="auto"/>
      </w:pPr>
      <w:r w:rsidRPr="009B7987">
        <w:separator/>
      </w:r>
    </w:p>
  </w:endnote>
  <w:endnote w:type="continuationSeparator" w:id="0">
    <w:p w14:paraId="7C0672CA" w14:textId="77777777" w:rsidR="0020557A" w:rsidRPr="009B7987" w:rsidRDefault="0020557A" w:rsidP="00B30448">
      <w:pPr>
        <w:spacing w:after="0" w:line="240" w:lineRule="auto"/>
      </w:pPr>
      <w:r w:rsidRPr="009B7987">
        <w:continuationSeparator/>
      </w:r>
    </w:p>
  </w:endnote>
  <w:endnote w:type="continuationNotice" w:id="1">
    <w:p w14:paraId="16B4C648" w14:textId="77777777" w:rsidR="0020557A" w:rsidRPr="009B7987" w:rsidRDefault="0020557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9C0E4" w14:textId="77777777" w:rsidR="00A81E50" w:rsidRPr="009B7987" w:rsidRDefault="00A81E50" w:rsidP="00A81E50">
    <w:pPr>
      <w:pBdr>
        <w:top w:val="single" w:sz="4" w:space="1" w:color="auto"/>
      </w:pBdr>
      <w:spacing w:after="0"/>
      <w:rPr>
        <w:rFonts w:ascii="Verdana" w:hAnsi="Verdana"/>
        <w:b/>
        <w:bCs/>
        <w:sz w:val="20"/>
        <w:szCs w:val="20"/>
      </w:rPr>
    </w:pPr>
    <w:r w:rsidRPr="009B7987">
      <w:rPr>
        <w:rFonts w:ascii="Verdana" w:hAnsi="Verdana"/>
        <w:b/>
        <w:bCs/>
        <w:sz w:val="20"/>
        <w:szCs w:val="20"/>
      </w:rPr>
      <w:t xml:space="preserve">Agencia Nacional de Contratación Pública                                              </w:t>
    </w:r>
    <w:r w:rsidRPr="009B7987">
      <w:rPr>
        <w:rFonts w:ascii="Verdana" w:eastAsiaTheme="majorEastAsia" w:hAnsi="Verdana" w:cstheme="majorBidi"/>
        <w:b/>
        <w:bCs/>
        <w:sz w:val="16"/>
        <w:szCs w:val="16"/>
      </w:rPr>
      <w:t xml:space="preserve">pág. </w:t>
    </w:r>
    <w:r w:rsidRPr="009B7987">
      <w:rPr>
        <w:rFonts w:ascii="Verdana" w:eastAsiaTheme="minorEastAsia" w:hAnsi="Verdana"/>
        <w:b/>
        <w:bCs/>
        <w:sz w:val="16"/>
        <w:szCs w:val="16"/>
      </w:rPr>
      <w:fldChar w:fldCharType="begin"/>
    </w:r>
    <w:r w:rsidRPr="009B7987">
      <w:rPr>
        <w:rFonts w:ascii="Verdana" w:hAnsi="Verdana"/>
        <w:b/>
        <w:bCs/>
        <w:sz w:val="16"/>
        <w:szCs w:val="16"/>
      </w:rPr>
      <w:instrText>PAGE    \* MERGEFORMAT</w:instrText>
    </w:r>
    <w:r w:rsidRPr="009B7987">
      <w:rPr>
        <w:rFonts w:ascii="Verdana" w:eastAsiaTheme="minorEastAsia" w:hAnsi="Verdana"/>
        <w:b/>
        <w:bCs/>
        <w:sz w:val="16"/>
        <w:szCs w:val="16"/>
      </w:rPr>
      <w:fldChar w:fldCharType="separate"/>
    </w:r>
    <w:r w:rsidRPr="009B7987">
      <w:rPr>
        <w:rFonts w:ascii="Verdana" w:eastAsiaTheme="minorEastAsia" w:hAnsi="Verdana"/>
        <w:b/>
        <w:bCs/>
        <w:sz w:val="16"/>
        <w:szCs w:val="16"/>
      </w:rPr>
      <w:t>1</w:t>
    </w:r>
    <w:r w:rsidRPr="009B7987">
      <w:rPr>
        <w:rFonts w:ascii="Verdana" w:eastAsiaTheme="majorEastAsia" w:hAnsi="Verdana" w:cstheme="majorBidi"/>
        <w:b/>
        <w:bCs/>
        <w:sz w:val="16"/>
        <w:szCs w:val="16"/>
      </w:rPr>
      <w:fldChar w:fldCharType="end"/>
    </w:r>
    <w:r w:rsidRPr="009B7987">
      <w:rPr>
        <w:rFonts w:ascii="Verdana" w:hAnsi="Verdana"/>
        <w:b/>
        <w:bCs/>
        <w:sz w:val="20"/>
        <w:szCs w:val="20"/>
      </w:rPr>
      <w:t xml:space="preserve">              Colombia Compra Eficiente                                                            </w:t>
    </w:r>
  </w:p>
  <w:p w14:paraId="4FC9CAA9" w14:textId="77777777" w:rsidR="00A81E50" w:rsidRPr="009B7987" w:rsidRDefault="00A81E50" w:rsidP="00A81E50">
    <w:pPr>
      <w:spacing w:after="0"/>
      <w:jc w:val="both"/>
      <w:rPr>
        <w:rFonts w:ascii="Verdana" w:hAnsi="Verdana"/>
        <w:sz w:val="18"/>
        <w:szCs w:val="18"/>
      </w:rPr>
    </w:pPr>
    <w:r w:rsidRPr="009B7987">
      <w:rPr>
        <w:rFonts w:ascii="Verdana" w:hAnsi="Verdana"/>
        <w:sz w:val="18"/>
        <w:szCs w:val="18"/>
      </w:rPr>
      <w:t>Dirección: Carrera 7 # 26 – 20 - Bogotá, Colombia</w:t>
    </w:r>
  </w:p>
  <w:p w14:paraId="0B709B73" w14:textId="77777777" w:rsidR="00A81E50" w:rsidRPr="009B7987" w:rsidRDefault="00A81E50" w:rsidP="00A81E50">
    <w:pPr>
      <w:spacing w:after="0"/>
      <w:jc w:val="both"/>
      <w:rPr>
        <w:rFonts w:ascii="Verdana" w:hAnsi="Verdana"/>
        <w:sz w:val="18"/>
        <w:szCs w:val="18"/>
      </w:rPr>
    </w:pPr>
    <w:r w:rsidRPr="009B7987">
      <w:rPr>
        <w:rFonts w:ascii="Verdana" w:hAnsi="Verdana"/>
        <w:sz w:val="18"/>
        <w:szCs w:val="18"/>
      </w:rPr>
      <w:t>Mesa de servicio: (+57) 601 7456788</w:t>
    </w:r>
  </w:p>
  <w:p w14:paraId="224AB27F" w14:textId="77777777" w:rsidR="00DD7A2C" w:rsidRPr="009B7987" w:rsidRDefault="00A81E50" w:rsidP="00C00976">
    <w:pPr>
      <w:pBdr>
        <w:top w:val="nil"/>
        <w:left w:val="nil"/>
        <w:bottom w:val="nil"/>
        <w:right w:val="nil"/>
        <w:between w:val="nil"/>
      </w:pBdr>
      <w:tabs>
        <w:tab w:val="center" w:pos="4419"/>
        <w:tab w:val="right" w:pos="8838"/>
        <w:tab w:val="center" w:pos="5400"/>
      </w:tabs>
      <w:spacing w:after="0"/>
      <w:rPr>
        <w:rFonts w:ascii="Verdana" w:hAnsi="Verdana"/>
        <w:sz w:val="20"/>
        <w:szCs w:val="20"/>
      </w:rPr>
    </w:pPr>
    <w:r w:rsidRPr="009B7987">
      <w:rPr>
        <w:rFonts w:ascii="Verdana" w:hAnsi="Verdana"/>
        <w:sz w:val="18"/>
        <w:szCs w:val="18"/>
      </w:rPr>
      <w:t>Atención al ciudadano: (+57) 601 7956600</w:t>
    </w:r>
    <w:r w:rsidRPr="009B7987">
      <w:rPr>
        <w:rFonts w:ascii="Verdana" w:hAnsi="Verdana"/>
        <w:sz w:val="20"/>
        <w:szCs w:val="20"/>
      </w:rPr>
      <w:t xml:space="preserve">         </w:t>
    </w:r>
  </w:p>
  <w:p w14:paraId="2B8DBB2A" w14:textId="26AE77D2" w:rsidR="00A81E50" w:rsidRPr="009B7987" w:rsidRDefault="00A81E50" w:rsidP="00DD7A2C">
    <w:pPr>
      <w:pBdr>
        <w:top w:val="nil"/>
        <w:left w:val="nil"/>
        <w:bottom w:val="nil"/>
        <w:right w:val="nil"/>
        <w:between w:val="nil"/>
      </w:pBdr>
      <w:tabs>
        <w:tab w:val="center" w:pos="4419"/>
        <w:tab w:val="right" w:pos="8838"/>
        <w:tab w:val="center" w:pos="5400"/>
      </w:tabs>
      <w:spacing w:after="0"/>
      <w:jc w:val="right"/>
    </w:pPr>
    <w:r w:rsidRPr="009B7987">
      <w:rPr>
        <w:rFonts w:ascii="Verdana" w:hAnsi="Verdana"/>
        <w:sz w:val="20"/>
        <w:szCs w:val="20"/>
      </w:rPr>
      <w:t xml:space="preserve"> </w:t>
    </w:r>
    <w:r w:rsidRPr="009B7987">
      <w:rPr>
        <w:rFonts w:ascii="Verdana" w:eastAsia="Geo" w:hAnsi="Verdana" w:cs="Geo"/>
        <w:bCs/>
        <w:color w:val="000000"/>
        <w:sz w:val="16"/>
        <w:szCs w:val="16"/>
        <w:lang w:eastAsia="es-CO"/>
      </w:rPr>
      <w:t>Código: CCE-REC-FM-13 Versión</w:t>
    </w:r>
    <w:r w:rsidRPr="009B7987">
      <w:rPr>
        <w:rFonts w:ascii="Verdana" w:eastAsia="Arial Nova" w:hAnsi="Verdana" w:cs="Arial Nova"/>
        <w:bCs/>
        <w:color w:val="000000"/>
        <w:sz w:val="16"/>
        <w:szCs w:val="16"/>
        <w:lang w:eastAsia="es-CO"/>
      </w:rPr>
      <w:t>:</w:t>
    </w:r>
    <w:r w:rsidRPr="009B7987">
      <w:rPr>
        <w:rFonts w:ascii="Verdana" w:eastAsia="Arial Nova" w:hAnsi="Verdana" w:cs="Arial Nova"/>
        <w:b/>
        <w:color w:val="000000"/>
        <w:sz w:val="16"/>
        <w:szCs w:val="16"/>
        <w:lang w:eastAsia="es-CO"/>
      </w:rPr>
      <w:t xml:space="preserve"> </w:t>
    </w:r>
    <w:r w:rsidRPr="009B7987">
      <w:rPr>
        <w:rFonts w:ascii="Verdana" w:eastAsia="Geo" w:hAnsi="Verdana" w:cs="Geo"/>
        <w:sz w:val="16"/>
        <w:szCs w:val="16"/>
        <w:lang w:eastAsia="es-CO"/>
      </w:rPr>
      <w:t>01 Fecha:15-06-2023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324430" w14:textId="77777777" w:rsidR="0020557A" w:rsidRPr="009B7987" w:rsidRDefault="0020557A" w:rsidP="00B30448">
      <w:pPr>
        <w:spacing w:after="0" w:line="240" w:lineRule="auto"/>
      </w:pPr>
      <w:r w:rsidRPr="009B7987">
        <w:separator/>
      </w:r>
    </w:p>
  </w:footnote>
  <w:footnote w:type="continuationSeparator" w:id="0">
    <w:p w14:paraId="5EDA7F60" w14:textId="77777777" w:rsidR="0020557A" w:rsidRPr="009B7987" w:rsidRDefault="0020557A" w:rsidP="00B30448">
      <w:pPr>
        <w:spacing w:after="0" w:line="240" w:lineRule="auto"/>
      </w:pPr>
      <w:r w:rsidRPr="009B7987">
        <w:continuationSeparator/>
      </w:r>
    </w:p>
  </w:footnote>
  <w:footnote w:type="continuationNotice" w:id="1">
    <w:p w14:paraId="0A203754" w14:textId="77777777" w:rsidR="0020557A" w:rsidRPr="009B7987" w:rsidRDefault="0020557A">
      <w:pPr>
        <w:spacing w:after="0" w:line="240" w:lineRule="auto"/>
      </w:pPr>
    </w:p>
  </w:footnote>
  <w:footnote w:id="2">
    <w:p w14:paraId="61E982AF" w14:textId="77777777" w:rsidR="002E1D70" w:rsidRPr="00887F00" w:rsidRDefault="002E1D70" w:rsidP="002E1D70">
      <w:pPr>
        <w:pStyle w:val="NormalWeb"/>
        <w:spacing w:after="0"/>
        <w:ind w:firstLine="708"/>
        <w:jc w:val="both"/>
        <w:rPr>
          <w:rFonts w:ascii="Verdana" w:hAnsi="Verdana" w:cs="Arial"/>
          <w:sz w:val="16"/>
          <w:szCs w:val="16"/>
        </w:rPr>
      </w:pPr>
      <w:r w:rsidRPr="00887F00">
        <w:rPr>
          <w:rStyle w:val="Refdenotaalpie"/>
          <w:rFonts w:ascii="Verdana" w:hAnsi="Verdana" w:cs="Arial"/>
          <w:sz w:val="16"/>
          <w:szCs w:val="16"/>
        </w:rPr>
        <w:footnoteRef/>
      </w:r>
      <w:r w:rsidRPr="00887F00">
        <w:rPr>
          <w:rFonts w:ascii="Verdana" w:hAnsi="Verdana" w:cs="Arial"/>
          <w:sz w:val="16"/>
          <w:szCs w:val="16"/>
        </w:rPr>
        <w:t xml:space="preserve"> Ley 1150 de 2007: </w:t>
      </w:r>
      <w:r w:rsidRPr="00887F00">
        <w:rPr>
          <w:rFonts w:ascii="Verdana" w:eastAsia="Calibri" w:hAnsi="Verdana" w:cs="Arial"/>
          <w:bCs/>
          <w:sz w:val="16"/>
          <w:szCs w:val="16"/>
        </w:rPr>
        <w:t>“</w:t>
      </w:r>
      <w:r w:rsidRPr="00887F00">
        <w:rPr>
          <w:rFonts w:ascii="Verdana" w:hAnsi="Verdana" w:cs="Arial"/>
          <w:sz w:val="16"/>
          <w:szCs w:val="16"/>
        </w:rPr>
        <w:t>Artículo 5°.</w:t>
      </w:r>
      <w:r w:rsidRPr="00887F00">
        <w:rPr>
          <w:rFonts w:ascii="Verdana" w:hAnsi="Verdana" w:cs="Arial"/>
          <w:i/>
          <w:iCs/>
          <w:sz w:val="16"/>
          <w:szCs w:val="16"/>
        </w:rPr>
        <w:t xml:space="preserve"> </w:t>
      </w:r>
      <w:r w:rsidRPr="00887F00">
        <w:rPr>
          <w:rFonts w:ascii="Verdana" w:hAnsi="Verdana" w:cs="Arial"/>
          <w:sz w:val="16"/>
          <w:szCs w:val="16"/>
        </w:rPr>
        <w:t>De la selección objetiva.</w:t>
      </w:r>
      <w:r w:rsidRPr="00887F00">
        <w:rPr>
          <w:rFonts w:ascii="Verdana" w:hAnsi="Verdana" w:cs="Arial"/>
          <w:i/>
          <w:iCs/>
          <w:sz w:val="16"/>
          <w:szCs w:val="16"/>
        </w:rPr>
        <w:t> </w:t>
      </w:r>
      <w:r w:rsidRPr="00887F00">
        <w:rPr>
          <w:rFonts w:ascii="Verdana" w:hAnsi="Verdana" w:cs="Arial"/>
          <w:sz w:val="16"/>
          <w:szCs w:val="16"/>
        </w:rPr>
        <w:t>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equivalentes, tendrán en cuenta los siguientes criterios: </w:t>
      </w:r>
    </w:p>
    <w:p w14:paraId="564755CE" w14:textId="77777777" w:rsidR="002E1D70" w:rsidRPr="00887F00" w:rsidRDefault="002E1D70" w:rsidP="002E1D70">
      <w:pPr>
        <w:spacing w:after="0" w:line="240" w:lineRule="auto"/>
        <w:jc w:val="both"/>
        <w:rPr>
          <w:rFonts w:ascii="Verdana" w:hAnsi="Verdana" w:cs="Arial"/>
          <w:sz w:val="16"/>
          <w:szCs w:val="16"/>
          <w:lang w:eastAsia="es-CO"/>
        </w:rPr>
      </w:pPr>
      <w:r w:rsidRPr="00887F00">
        <w:rPr>
          <w:rFonts w:ascii="Verdana" w:hAnsi="Verdana" w:cs="Arial"/>
          <w:sz w:val="16"/>
          <w:szCs w:val="16"/>
          <w:lang w:eastAsia="es-CO"/>
        </w:rPr>
        <w:t>  </w:t>
      </w:r>
      <w:r w:rsidRPr="00887F00">
        <w:rPr>
          <w:rFonts w:ascii="Verdana" w:hAnsi="Verdana" w:cs="Arial"/>
          <w:sz w:val="16"/>
          <w:szCs w:val="16"/>
          <w:lang w:eastAsia="es-CO"/>
        </w:rPr>
        <w:tab/>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 de la presente ley, de acuerdo con lo cual se expedirá la respectiva certificación. </w:t>
      </w:r>
    </w:p>
    <w:p w14:paraId="09B39EB3" w14:textId="77777777" w:rsidR="002E1D70" w:rsidRPr="00887F00" w:rsidRDefault="002E1D70" w:rsidP="002E1D70">
      <w:pPr>
        <w:spacing w:after="0" w:line="240" w:lineRule="auto"/>
        <w:jc w:val="both"/>
        <w:rPr>
          <w:rFonts w:ascii="Verdana" w:hAnsi="Verdana" w:cs="Arial"/>
          <w:sz w:val="16"/>
          <w:szCs w:val="16"/>
          <w:lang w:eastAsia="es-CO"/>
        </w:rPr>
      </w:pPr>
      <w:r w:rsidRPr="00887F00">
        <w:rPr>
          <w:rFonts w:ascii="Verdana" w:hAnsi="Verdana" w:cs="Arial"/>
          <w:sz w:val="16"/>
          <w:szCs w:val="16"/>
          <w:lang w:eastAsia="es-CO"/>
        </w:rPr>
        <w:t>  </w:t>
      </w:r>
      <w:r w:rsidRPr="00887F00">
        <w:rPr>
          <w:rFonts w:ascii="Verdana" w:hAnsi="Verdana" w:cs="Arial"/>
          <w:sz w:val="16"/>
          <w:szCs w:val="16"/>
          <w:lang w:eastAsia="es-CO"/>
        </w:rPr>
        <w:tab/>
        <w:t>2. La oferta más favorable será aquella que, teniendo en cuenta los factores técnicos y económicos de escogencia y la ponderación precisa y detallada de los mismos contenida en los pliegos de condiciones o sus equivalentes, resulte ser la más ventajosa para la entidad, sin que la favorabilidad la constituyan factores diferentes a los contenidos en dichos documentos. En los contratos de obra pública, el menor plazo ofrecido no será objeto de evaluación. La entidad efectuará las comparaciones del caso mediante el cotejo de los ofrecimientos recibidos y la consulta de precios o condiciones del mercado y los estudios y deducciones de la entidad o de los organismos consultores o asesores designados para ello.  </w:t>
      </w:r>
    </w:p>
    <w:p w14:paraId="4ADBEADB" w14:textId="77777777" w:rsidR="002E1D70" w:rsidRPr="00887F00" w:rsidRDefault="002E1D70" w:rsidP="002E1D70">
      <w:pPr>
        <w:spacing w:after="0" w:line="240" w:lineRule="auto"/>
        <w:jc w:val="both"/>
        <w:rPr>
          <w:rFonts w:ascii="Verdana" w:hAnsi="Verdana" w:cs="Arial"/>
          <w:sz w:val="16"/>
          <w:szCs w:val="16"/>
          <w:lang w:eastAsia="es-CO"/>
        </w:rPr>
      </w:pPr>
      <w:r w:rsidRPr="00887F00">
        <w:rPr>
          <w:rFonts w:ascii="Verdana" w:hAnsi="Verdana" w:cs="Arial"/>
          <w:sz w:val="16"/>
          <w:szCs w:val="16"/>
          <w:lang w:eastAsia="es-CO"/>
        </w:rPr>
        <w:t> </w:t>
      </w:r>
      <w:r w:rsidRPr="00887F00">
        <w:rPr>
          <w:rFonts w:ascii="Verdana" w:hAnsi="Verdana" w:cs="Arial"/>
          <w:sz w:val="16"/>
          <w:szCs w:val="16"/>
          <w:lang w:eastAsia="es-CO"/>
        </w:rPr>
        <w:tab/>
        <w:t>En los procesos de selección en los que se tenga en cuenta los factores técnicos y económicos, la oferta más ventajosa será la que resulte de aplicar alguna de las siguientes alternativas:  </w:t>
      </w:r>
    </w:p>
    <w:p w14:paraId="71CDA561" w14:textId="77777777" w:rsidR="002E1D70" w:rsidRPr="00887F00" w:rsidRDefault="002E1D70" w:rsidP="002E1D70">
      <w:pPr>
        <w:spacing w:after="0" w:line="240" w:lineRule="auto"/>
        <w:jc w:val="both"/>
        <w:rPr>
          <w:rFonts w:ascii="Verdana" w:hAnsi="Verdana" w:cs="Arial"/>
          <w:sz w:val="16"/>
          <w:szCs w:val="16"/>
          <w:lang w:eastAsia="es-CO"/>
        </w:rPr>
      </w:pPr>
      <w:r w:rsidRPr="00887F00">
        <w:rPr>
          <w:rFonts w:ascii="Verdana" w:hAnsi="Verdana" w:cs="Arial"/>
          <w:sz w:val="16"/>
          <w:szCs w:val="16"/>
          <w:lang w:eastAsia="es-CO"/>
        </w:rPr>
        <w:t> </w:t>
      </w:r>
      <w:r w:rsidRPr="00887F00">
        <w:rPr>
          <w:rFonts w:ascii="Verdana" w:hAnsi="Verdana" w:cs="Arial"/>
          <w:sz w:val="16"/>
          <w:szCs w:val="16"/>
          <w:lang w:eastAsia="es-CO"/>
        </w:rPr>
        <w:tab/>
        <w:t>a) La ponderación de los elementos de calidad y precio soportados en puntajes o fórmulas señaladas en el pliego de condiciones; o  </w:t>
      </w:r>
    </w:p>
    <w:p w14:paraId="794E6190" w14:textId="77777777" w:rsidR="002E1D70" w:rsidRPr="00887F00" w:rsidRDefault="002E1D70" w:rsidP="002E1D70">
      <w:pPr>
        <w:spacing w:after="0" w:line="240" w:lineRule="auto"/>
        <w:jc w:val="both"/>
        <w:rPr>
          <w:rFonts w:ascii="Verdana" w:hAnsi="Verdana" w:cs="Arial"/>
          <w:sz w:val="16"/>
          <w:szCs w:val="16"/>
          <w:lang w:eastAsia="es-CO"/>
        </w:rPr>
      </w:pPr>
      <w:r w:rsidRPr="00887F00">
        <w:rPr>
          <w:rFonts w:ascii="Verdana" w:hAnsi="Verdana" w:cs="Arial"/>
          <w:sz w:val="16"/>
          <w:szCs w:val="16"/>
          <w:lang w:eastAsia="es-CO"/>
        </w:rPr>
        <w:t>  </w:t>
      </w:r>
      <w:r w:rsidRPr="00887F00">
        <w:rPr>
          <w:rFonts w:ascii="Verdana" w:hAnsi="Verdana" w:cs="Arial"/>
          <w:sz w:val="16"/>
          <w:szCs w:val="16"/>
          <w:lang w:eastAsia="es-CO"/>
        </w:rPr>
        <w:tab/>
        <w:t>b) La ponderación de los elementos de calidad y precio que representen la mejor relación de costo-beneficio para la entidad.  </w:t>
      </w:r>
    </w:p>
    <w:p w14:paraId="4F01BDBC" w14:textId="77777777" w:rsidR="002E1D70" w:rsidRPr="00887F00" w:rsidRDefault="002E1D70" w:rsidP="002E1D70">
      <w:pPr>
        <w:spacing w:after="0" w:line="240" w:lineRule="auto"/>
        <w:jc w:val="both"/>
        <w:rPr>
          <w:rFonts w:ascii="Verdana" w:hAnsi="Verdana" w:cs="Arial"/>
          <w:sz w:val="16"/>
          <w:szCs w:val="16"/>
          <w:lang w:eastAsia="es-CO"/>
        </w:rPr>
      </w:pPr>
      <w:r w:rsidRPr="00887F00">
        <w:rPr>
          <w:rFonts w:ascii="Verdana" w:hAnsi="Verdana" w:cs="Arial"/>
          <w:sz w:val="16"/>
          <w:szCs w:val="16"/>
          <w:lang w:eastAsia="es-CO"/>
        </w:rPr>
        <w:t>  </w:t>
      </w:r>
      <w:r w:rsidRPr="00887F00">
        <w:rPr>
          <w:rFonts w:ascii="Verdana" w:hAnsi="Verdana" w:cs="Arial"/>
          <w:sz w:val="16"/>
          <w:szCs w:val="16"/>
          <w:lang w:eastAsia="es-CO"/>
        </w:rPr>
        <w:tab/>
        <w:t>3. Sin perjuicio de lo previsto en el numeral 1 del presente artículo, en los pliegos de condiciones para las contrataciones cuyo objeto sea la adquisición o suministro de bienes y servicios de características técnicas uniformes y común utilización, las entidades estatales incluirán como único factor de evaluación el menor precio ofrecido. </w:t>
      </w:r>
    </w:p>
    <w:p w14:paraId="10D8A8D8" w14:textId="77777777" w:rsidR="002E1D70" w:rsidRPr="00887F00" w:rsidRDefault="002E1D70" w:rsidP="002E1D70">
      <w:pPr>
        <w:spacing w:after="0" w:line="240" w:lineRule="auto"/>
        <w:jc w:val="both"/>
        <w:rPr>
          <w:rFonts w:ascii="Verdana" w:hAnsi="Verdana" w:cs="Arial"/>
          <w:sz w:val="16"/>
          <w:szCs w:val="16"/>
          <w:lang w:eastAsia="es-CO"/>
        </w:rPr>
      </w:pPr>
      <w:r w:rsidRPr="00887F00">
        <w:rPr>
          <w:rFonts w:ascii="Verdana" w:hAnsi="Verdana" w:cs="Arial"/>
          <w:sz w:val="16"/>
          <w:szCs w:val="16"/>
          <w:lang w:eastAsia="es-CO"/>
        </w:rPr>
        <w:t>  </w:t>
      </w:r>
      <w:r w:rsidRPr="00887F00">
        <w:rPr>
          <w:rFonts w:ascii="Verdana" w:hAnsi="Verdana" w:cs="Arial"/>
          <w:sz w:val="16"/>
          <w:szCs w:val="16"/>
          <w:lang w:eastAsia="es-CO"/>
        </w:rPr>
        <w:tab/>
        <w:t>4. En los procesos para la selección de consultores se hará uso de factores de calificación destinados a valorar los aspectos técnicos de la oferta o proyecto. De conformidad con las condiciones que señale el reglamento, se podrán utilizar criterios de experiencia específica del oferente y del equipo de trabajo, en el campo de que se trate. </w:t>
      </w:r>
    </w:p>
    <w:p w14:paraId="62D22E40" w14:textId="77777777" w:rsidR="002E1D70" w:rsidRPr="00887F00" w:rsidRDefault="002E1D70" w:rsidP="002E1D70">
      <w:pPr>
        <w:spacing w:after="0" w:line="240" w:lineRule="auto"/>
        <w:jc w:val="both"/>
        <w:rPr>
          <w:rFonts w:ascii="Verdana" w:hAnsi="Verdana" w:cs="Arial"/>
          <w:sz w:val="16"/>
          <w:szCs w:val="16"/>
          <w:lang w:eastAsia="es-CO"/>
        </w:rPr>
      </w:pPr>
      <w:r w:rsidRPr="00887F00">
        <w:rPr>
          <w:rFonts w:ascii="Verdana" w:hAnsi="Verdana" w:cs="Arial"/>
          <w:sz w:val="16"/>
          <w:szCs w:val="16"/>
          <w:lang w:eastAsia="es-CO"/>
        </w:rPr>
        <w:t>  </w:t>
      </w:r>
      <w:r w:rsidRPr="00887F00">
        <w:rPr>
          <w:rFonts w:ascii="Verdana" w:hAnsi="Verdana" w:cs="Arial"/>
          <w:sz w:val="16"/>
          <w:szCs w:val="16"/>
          <w:lang w:eastAsia="es-CO"/>
        </w:rPr>
        <w:tab/>
        <w:t>En ningún caso se podrá incluir el precio, como factor de escogencia para la selección de consultores. </w:t>
      </w:r>
    </w:p>
    <w:p w14:paraId="3445278A" w14:textId="77777777" w:rsidR="002E1D70" w:rsidRPr="00887F00" w:rsidRDefault="002E1D70" w:rsidP="002E1D70">
      <w:pPr>
        <w:spacing w:after="0" w:line="240" w:lineRule="auto"/>
        <w:jc w:val="both"/>
        <w:rPr>
          <w:rFonts w:ascii="Verdana" w:hAnsi="Verdana" w:cs="Arial"/>
          <w:sz w:val="16"/>
          <w:szCs w:val="16"/>
          <w:lang w:eastAsia="es-CO"/>
        </w:rPr>
      </w:pPr>
      <w:r w:rsidRPr="00887F00">
        <w:rPr>
          <w:rFonts w:ascii="Verdana" w:hAnsi="Verdana" w:cs="Arial"/>
          <w:sz w:val="16"/>
          <w:szCs w:val="16"/>
          <w:lang w:eastAsia="es-CO"/>
        </w:rPr>
        <w:t>  </w:t>
      </w:r>
      <w:r w:rsidRPr="00887F00">
        <w:rPr>
          <w:rFonts w:ascii="Verdana" w:hAnsi="Verdana" w:cs="Arial"/>
          <w:sz w:val="16"/>
          <w:szCs w:val="16"/>
          <w:lang w:eastAsia="es-CO"/>
        </w:rPr>
        <w:tab/>
      </w:r>
      <w:r w:rsidRPr="00887F00">
        <w:rPr>
          <w:rFonts w:ascii="Verdana" w:eastAsia="Calibri" w:hAnsi="Verdana" w:cs="Arial"/>
          <w:bCs/>
          <w:sz w:val="16"/>
          <w:szCs w:val="16"/>
        </w:rPr>
        <w:t>»</w:t>
      </w:r>
      <w:r w:rsidRPr="00887F00">
        <w:rPr>
          <w:rFonts w:ascii="Verdana" w:hAnsi="Verdana" w:cs="Arial"/>
          <w:sz w:val="16"/>
          <w:szCs w:val="16"/>
          <w:lang w:eastAsia="es-CO"/>
        </w:rPr>
        <w:t>Parágrafo 1°.</w:t>
      </w:r>
      <w:r w:rsidRPr="00887F00">
        <w:rPr>
          <w:rFonts w:ascii="Verdana" w:hAnsi="Verdana" w:cs="Arial"/>
          <w:b/>
          <w:bCs/>
          <w:sz w:val="16"/>
          <w:szCs w:val="16"/>
          <w:lang w:eastAsia="es-CO"/>
        </w:rPr>
        <w:t> </w:t>
      </w:r>
      <w:r w:rsidRPr="00887F00">
        <w:rPr>
          <w:rFonts w:ascii="Verdana" w:hAnsi="Verdana" w:cs="Arial"/>
          <w:sz w:val="16"/>
          <w:szCs w:val="16"/>
          <w:lang w:eastAsia="es-CO"/>
        </w:rPr>
        <w:t>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puntaje,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 </w:t>
      </w:r>
    </w:p>
    <w:p w14:paraId="5C0AAE40" w14:textId="77777777" w:rsidR="002E1D70" w:rsidRPr="00887F00" w:rsidRDefault="002E1D70" w:rsidP="002E1D70">
      <w:pPr>
        <w:spacing w:after="0" w:line="240" w:lineRule="auto"/>
        <w:ind w:firstLine="708"/>
        <w:jc w:val="both"/>
        <w:rPr>
          <w:rFonts w:ascii="Verdana" w:hAnsi="Verdana" w:cs="Arial"/>
          <w:sz w:val="16"/>
          <w:szCs w:val="16"/>
          <w:lang w:eastAsia="es-CO"/>
        </w:rPr>
      </w:pPr>
      <w:r w:rsidRPr="00887F00">
        <w:rPr>
          <w:rFonts w:ascii="Verdana" w:hAnsi="Verdana" w:cs="Arial"/>
          <w:sz w:val="16"/>
          <w:szCs w:val="16"/>
          <w:lang w:eastAsia="es-CO"/>
        </w:rPr>
        <w:t>Durante el término otorgado para subsanar las ofertas, los proponentes no podrán acreditar circunstancias ocurridas con posterioridad al cierre del proceso. </w:t>
      </w:r>
    </w:p>
    <w:p w14:paraId="20CBB447" w14:textId="77777777" w:rsidR="002E1D70" w:rsidRPr="00887F00" w:rsidRDefault="002E1D70" w:rsidP="002E1D70">
      <w:pPr>
        <w:spacing w:after="0" w:line="240" w:lineRule="auto"/>
        <w:jc w:val="both"/>
        <w:rPr>
          <w:rFonts w:ascii="Verdana" w:hAnsi="Verdana" w:cs="Arial"/>
          <w:sz w:val="16"/>
          <w:szCs w:val="16"/>
          <w:lang w:eastAsia="es-CO"/>
        </w:rPr>
      </w:pPr>
      <w:r w:rsidRPr="00887F00">
        <w:rPr>
          <w:rFonts w:ascii="Verdana" w:hAnsi="Verdana" w:cs="Arial"/>
          <w:sz w:val="16"/>
          <w:szCs w:val="16"/>
          <w:lang w:eastAsia="es-CO"/>
        </w:rPr>
        <w:t>  </w:t>
      </w:r>
      <w:r w:rsidRPr="00887F00">
        <w:rPr>
          <w:rFonts w:ascii="Verdana" w:hAnsi="Verdana" w:cs="Arial"/>
          <w:sz w:val="16"/>
          <w:szCs w:val="16"/>
          <w:lang w:eastAsia="es-CO"/>
        </w:rPr>
        <w:tab/>
        <w:t>Parágrafo 2°. Las certificaciones de sistemas de gestión de calidad no serán objeto de calificación, ni podrán establecerse como documento habilitante para participar en licitaciones o concursos. </w:t>
      </w:r>
    </w:p>
    <w:p w14:paraId="41CFD844" w14:textId="77777777" w:rsidR="002E1D70" w:rsidRPr="00887F00" w:rsidRDefault="002E1D70" w:rsidP="002E1D70">
      <w:pPr>
        <w:spacing w:after="0" w:line="240" w:lineRule="auto"/>
        <w:ind w:firstLine="708"/>
        <w:jc w:val="both"/>
        <w:rPr>
          <w:rFonts w:ascii="Verdana" w:hAnsi="Verdana" w:cs="Arial"/>
          <w:sz w:val="16"/>
          <w:szCs w:val="16"/>
          <w:lang w:eastAsia="es-CO"/>
        </w:rPr>
      </w:pPr>
      <w:r w:rsidRPr="00887F00">
        <w:rPr>
          <w:rFonts w:ascii="Verdana" w:hAnsi="Verdana" w:cs="Arial"/>
          <w:sz w:val="16"/>
          <w:szCs w:val="16"/>
          <w:lang w:eastAsia="es-CO"/>
        </w:rPr>
        <w:t>Parágrafo 3°. La no entrega de la garantía de seriedad junto con la propuesta no será subsanable y será causal de rechazo de la misma. </w:t>
      </w:r>
    </w:p>
    <w:p w14:paraId="5DA885B0" w14:textId="77777777" w:rsidR="002E1D70" w:rsidRPr="00887F00" w:rsidRDefault="002E1D70" w:rsidP="002E1D70">
      <w:pPr>
        <w:spacing w:after="0" w:line="240" w:lineRule="auto"/>
        <w:ind w:firstLine="708"/>
        <w:jc w:val="both"/>
        <w:rPr>
          <w:rFonts w:ascii="Verdana" w:hAnsi="Verdana" w:cs="Arial"/>
          <w:sz w:val="16"/>
          <w:szCs w:val="16"/>
          <w:lang w:eastAsia="es-CO"/>
        </w:rPr>
      </w:pPr>
      <w:r w:rsidRPr="00887F00">
        <w:rPr>
          <w:rFonts w:ascii="Verdana" w:hAnsi="Verdana" w:cs="Arial"/>
          <w:sz w:val="16"/>
          <w:szCs w:val="16"/>
          <w:lang w:eastAsia="es-CO"/>
        </w:rPr>
        <w:t>Parágrafo 4°.</w:t>
      </w:r>
      <w:r w:rsidRPr="00887F00">
        <w:rPr>
          <w:rFonts w:ascii="Verdana" w:hAnsi="Verdana" w:cs="Arial"/>
          <w:b/>
          <w:bCs/>
          <w:sz w:val="16"/>
          <w:szCs w:val="16"/>
          <w:lang w:eastAsia="es-CO"/>
        </w:rPr>
        <w:t> </w:t>
      </w:r>
      <w:r w:rsidRPr="00887F00">
        <w:rPr>
          <w:rFonts w:ascii="Verdana" w:hAnsi="Verdana" w:cs="Arial"/>
          <w:sz w:val="16"/>
          <w:szCs w:val="16"/>
          <w:lang w:eastAsia="es-CO"/>
        </w:rPr>
        <w:t>En aquellos procesos de selección en los que se utilice el mecanismo de subasta, los documentos referentes a la futura contratación o al proponente, no necesarios para la comparación de las propuestas, deberán ser solicitados hasta el momento previo a su realización. </w:t>
      </w:r>
    </w:p>
    <w:p w14:paraId="251D9ABD" w14:textId="77777777" w:rsidR="002E1D70" w:rsidRPr="00887F00" w:rsidRDefault="002E1D70" w:rsidP="002E1D70">
      <w:pPr>
        <w:spacing w:after="0" w:line="240" w:lineRule="auto"/>
        <w:jc w:val="both"/>
        <w:rPr>
          <w:rFonts w:ascii="Verdana" w:hAnsi="Verdana" w:cs="Arial"/>
          <w:sz w:val="16"/>
          <w:szCs w:val="16"/>
          <w:lang w:eastAsia="es-CO"/>
        </w:rPr>
      </w:pPr>
      <w:r w:rsidRPr="00887F00">
        <w:rPr>
          <w:rFonts w:ascii="Verdana" w:hAnsi="Verdana" w:cs="Arial"/>
          <w:sz w:val="16"/>
          <w:szCs w:val="16"/>
          <w:lang w:eastAsia="es-CO"/>
        </w:rPr>
        <w:t>  </w:t>
      </w:r>
      <w:r w:rsidRPr="00887F00">
        <w:rPr>
          <w:rFonts w:ascii="Verdana" w:hAnsi="Verdana" w:cs="Arial"/>
          <w:sz w:val="16"/>
          <w:szCs w:val="16"/>
          <w:lang w:eastAsia="es-CO"/>
        </w:rPr>
        <w:tab/>
        <w:t>Parágrafo 5°. En los procesos de contratación, las entidades estatales deberán aceptar la experiencia adquirida por los proponentes a través de la ejecución de contratos con particulares</w:t>
      </w:r>
      <w:r w:rsidRPr="00887F00">
        <w:rPr>
          <w:rFonts w:ascii="Verdana" w:eastAsia="Calibri" w:hAnsi="Verdana" w:cs="Arial"/>
          <w:bCs/>
          <w:sz w:val="16"/>
          <w:szCs w:val="16"/>
        </w:rPr>
        <w:t>».</w:t>
      </w:r>
    </w:p>
    <w:p w14:paraId="7BC60A6A" w14:textId="77777777" w:rsidR="002E1D70" w:rsidRPr="00887F00" w:rsidRDefault="002E1D70" w:rsidP="002E1D70">
      <w:pPr>
        <w:pStyle w:val="Textonotapie"/>
        <w:ind w:firstLine="708"/>
        <w:rPr>
          <w:rFonts w:ascii="Verdana" w:hAnsi="Verdana"/>
          <w:sz w:val="16"/>
          <w:szCs w:val="16"/>
          <w:lang w:val="es-CO"/>
        </w:rPr>
      </w:pPr>
      <w:r w:rsidRPr="00887F00">
        <w:rPr>
          <w:rFonts w:ascii="Verdana" w:hAnsi="Verdana"/>
          <w:sz w:val="16"/>
          <w:szCs w:val="16"/>
        </w:rPr>
        <w:t xml:space="preserve"> </w:t>
      </w:r>
    </w:p>
  </w:footnote>
  <w:footnote w:id="3">
    <w:p w14:paraId="778A88D4" w14:textId="77777777" w:rsidR="002E1D70" w:rsidRPr="00887F00" w:rsidRDefault="002E1D70" w:rsidP="002E1D70">
      <w:pPr>
        <w:pStyle w:val="Textonotapie"/>
        <w:ind w:firstLine="708"/>
        <w:jc w:val="both"/>
        <w:rPr>
          <w:rFonts w:ascii="Verdana" w:hAnsi="Verdana" w:cs="Arial"/>
          <w:sz w:val="16"/>
          <w:szCs w:val="16"/>
          <w:lang w:val="es-CO"/>
        </w:rPr>
      </w:pPr>
      <w:r w:rsidRPr="00887F00">
        <w:rPr>
          <w:rStyle w:val="Refdenotaalpie"/>
          <w:rFonts w:ascii="Verdana" w:hAnsi="Verdana" w:cs="Arial"/>
          <w:sz w:val="16"/>
          <w:szCs w:val="16"/>
        </w:rPr>
        <w:footnoteRef/>
      </w:r>
      <w:r w:rsidRPr="00887F00">
        <w:rPr>
          <w:rFonts w:ascii="Verdana" w:hAnsi="Verdana" w:cs="Arial"/>
          <w:sz w:val="16"/>
          <w:szCs w:val="16"/>
        </w:rPr>
        <w:t xml:space="preserve"> </w:t>
      </w:r>
      <w:r w:rsidRPr="00887F00">
        <w:rPr>
          <w:rFonts w:ascii="Verdana" w:hAnsi="Verdana" w:cs="Arial"/>
          <w:sz w:val="16"/>
          <w:szCs w:val="16"/>
          <w:lang w:val="es-CO"/>
        </w:rPr>
        <w:t>DÁVILA VINUEZA, Luis Guillermo. Régimen jurídico de la contratación estatal, Tercera edición, Legis Editores, 2016, Bogotá, pág. 355.</w:t>
      </w:r>
    </w:p>
    <w:p w14:paraId="18B024D4" w14:textId="77777777" w:rsidR="002E1D70" w:rsidRPr="00887F00" w:rsidRDefault="002E1D70" w:rsidP="002E1D70">
      <w:pPr>
        <w:pStyle w:val="Textonotapie"/>
        <w:ind w:firstLine="708"/>
        <w:jc w:val="both"/>
        <w:rPr>
          <w:rFonts w:ascii="Verdana" w:hAnsi="Verdana" w:cs="Arial"/>
          <w:sz w:val="16"/>
          <w:szCs w:val="16"/>
          <w:lang w:val="es-CO"/>
        </w:rPr>
      </w:pPr>
    </w:p>
  </w:footnote>
  <w:footnote w:id="4">
    <w:p w14:paraId="38819D93" w14:textId="77777777" w:rsidR="002E1D70" w:rsidRPr="00887F00" w:rsidRDefault="002E1D70" w:rsidP="002E1D70">
      <w:pPr>
        <w:pStyle w:val="Textonotapie"/>
        <w:ind w:firstLine="708"/>
        <w:jc w:val="both"/>
        <w:rPr>
          <w:rFonts w:ascii="Verdana" w:eastAsia="Calibri" w:hAnsi="Verdana" w:cs="Arial"/>
          <w:sz w:val="16"/>
          <w:szCs w:val="16"/>
          <w:lang w:val="es-ES_tradnl"/>
        </w:rPr>
      </w:pPr>
      <w:r w:rsidRPr="00887F00">
        <w:rPr>
          <w:rStyle w:val="Refdenotaalpie"/>
          <w:rFonts w:ascii="Verdana" w:hAnsi="Verdana" w:cs="Arial"/>
          <w:sz w:val="16"/>
          <w:szCs w:val="16"/>
        </w:rPr>
        <w:footnoteRef/>
      </w:r>
      <w:r w:rsidRPr="00887F00">
        <w:rPr>
          <w:rFonts w:ascii="Verdana" w:hAnsi="Verdana" w:cs="Arial"/>
          <w:sz w:val="16"/>
          <w:szCs w:val="16"/>
        </w:rPr>
        <w:t xml:space="preserve"> </w:t>
      </w:r>
      <w:r w:rsidRPr="00887F00">
        <w:rPr>
          <w:rFonts w:ascii="Verdana" w:eastAsia="Calibri" w:hAnsi="Verdana" w:cs="Arial"/>
          <w:sz w:val="16"/>
          <w:szCs w:val="16"/>
          <w:lang w:val="es-ES_tradnl"/>
        </w:rPr>
        <w:t>RODRÍGUEZ TAMAYO, Mauricio F. Evaluación y rechazo de ofertas en la Ley 80 de 1993. Primera edición, Editorial Librería Jurídica Sánchez, Medellín, 2016, págs. 110-111.</w:t>
      </w:r>
    </w:p>
    <w:p w14:paraId="5F86F1F5" w14:textId="77777777" w:rsidR="002E1D70" w:rsidRPr="00887F00" w:rsidRDefault="002E1D70" w:rsidP="002E1D70">
      <w:pPr>
        <w:pStyle w:val="Textonotapie"/>
        <w:ind w:firstLine="708"/>
        <w:jc w:val="both"/>
        <w:rPr>
          <w:rFonts w:ascii="Verdana" w:hAnsi="Verdana" w:cs="Arial"/>
          <w:sz w:val="16"/>
          <w:szCs w:val="16"/>
          <w:lang w:val="es-CO"/>
        </w:rPr>
      </w:pPr>
    </w:p>
  </w:footnote>
  <w:footnote w:id="5">
    <w:p w14:paraId="56FD30E0" w14:textId="77777777" w:rsidR="002E1D70" w:rsidRPr="00887F00" w:rsidRDefault="002E1D70" w:rsidP="002E1D70">
      <w:pPr>
        <w:pStyle w:val="Textonotapie"/>
        <w:ind w:firstLine="708"/>
        <w:jc w:val="both"/>
        <w:rPr>
          <w:rFonts w:ascii="Verdana" w:hAnsi="Verdana" w:cs="Arial"/>
          <w:sz w:val="16"/>
          <w:szCs w:val="16"/>
        </w:rPr>
      </w:pPr>
      <w:r w:rsidRPr="00887F00">
        <w:rPr>
          <w:rStyle w:val="Refdenotaalpie"/>
          <w:rFonts w:ascii="Verdana" w:hAnsi="Verdana" w:cs="Arial"/>
          <w:sz w:val="16"/>
          <w:szCs w:val="16"/>
        </w:rPr>
        <w:footnoteRef/>
      </w:r>
      <w:r w:rsidRPr="00887F00">
        <w:rPr>
          <w:rFonts w:ascii="Verdana" w:hAnsi="Verdana" w:cs="Arial"/>
          <w:sz w:val="16"/>
          <w:szCs w:val="16"/>
        </w:rPr>
        <w:t xml:space="preserve"> EXPÓSITO VELEZ, Juan C., El deber de selección objetiva, en: Del contrato estatal a los sistemas de compras públicas, por COVILLA MARTINEZ Juan C. y LOZANO VILLEGAS Germán (Eds.). Universidad Externado de Colombia, Bogotá, 2019, págs. 118-184.</w:t>
      </w:r>
    </w:p>
    <w:p w14:paraId="4A48D84B" w14:textId="77777777" w:rsidR="002E1D70" w:rsidRPr="00887F00" w:rsidRDefault="002E1D70" w:rsidP="002E1D70">
      <w:pPr>
        <w:pStyle w:val="Textonotapie"/>
        <w:ind w:firstLine="708"/>
        <w:jc w:val="both"/>
        <w:rPr>
          <w:rFonts w:ascii="Verdana" w:hAnsi="Verdana" w:cs="Arial"/>
          <w:sz w:val="16"/>
          <w:szCs w:val="16"/>
          <w:lang w:val="es-CO"/>
        </w:rPr>
      </w:pPr>
    </w:p>
  </w:footnote>
  <w:footnote w:id="6">
    <w:p w14:paraId="679E83B2" w14:textId="77777777" w:rsidR="002E1D70" w:rsidRPr="00887F00" w:rsidRDefault="002E1D70" w:rsidP="002E1D70">
      <w:pPr>
        <w:pStyle w:val="Textonotapie"/>
        <w:ind w:firstLine="708"/>
        <w:rPr>
          <w:rFonts w:ascii="Verdana" w:hAnsi="Verdana" w:cs="Arial"/>
          <w:sz w:val="16"/>
          <w:szCs w:val="16"/>
          <w:lang w:val="es-CO"/>
        </w:rPr>
      </w:pPr>
      <w:r w:rsidRPr="00887F00">
        <w:rPr>
          <w:rStyle w:val="Refdenotaalpie"/>
          <w:rFonts w:ascii="Verdana" w:hAnsi="Verdana" w:cs="Arial"/>
          <w:sz w:val="16"/>
          <w:szCs w:val="16"/>
        </w:rPr>
        <w:footnoteRef/>
      </w:r>
      <w:r w:rsidRPr="00887F00">
        <w:rPr>
          <w:rFonts w:ascii="Verdana" w:hAnsi="Verdana" w:cs="Arial"/>
          <w:i/>
          <w:iCs/>
          <w:sz w:val="16"/>
          <w:szCs w:val="16"/>
        </w:rPr>
        <w:t xml:space="preserve"> </w:t>
      </w:r>
      <w:r w:rsidRPr="00887F00">
        <w:rPr>
          <w:rFonts w:ascii="Verdana" w:hAnsi="Verdana" w:cs="Arial"/>
          <w:i/>
          <w:iCs/>
          <w:sz w:val="16"/>
          <w:szCs w:val="16"/>
          <w:lang w:val="es-CO"/>
        </w:rPr>
        <w:t>Ibídem.</w:t>
      </w:r>
    </w:p>
  </w:footnote>
  <w:footnote w:id="7">
    <w:p w14:paraId="472F2452" w14:textId="77777777" w:rsidR="002E1D70" w:rsidRPr="00887F00" w:rsidRDefault="002E1D70" w:rsidP="002E1D70">
      <w:pPr>
        <w:pStyle w:val="Textonotapie"/>
        <w:ind w:firstLine="709"/>
        <w:jc w:val="both"/>
        <w:rPr>
          <w:rFonts w:ascii="Verdana" w:hAnsi="Verdana" w:cs="Arial"/>
          <w:sz w:val="16"/>
          <w:szCs w:val="16"/>
        </w:rPr>
      </w:pPr>
      <w:r w:rsidRPr="00887F00">
        <w:rPr>
          <w:rStyle w:val="Refdenotaalpie"/>
          <w:rFonts w:ascii="Verdana" w:hAnsi="Verdana" w:cs="Arial"/>
          <w:sz w:val="16"/>
          <w:szCs w:val="16"/>
        </w:rPr>
        <w:footnoteRef/>
      </w:r>
      <w:r w:rsidRPr="00887F00">
        <w:rPr>
          <w:rFonts w:ascii="Verdana" w:hAnsi="Verdana" w:cs="Arial"/>
          <w:sz w:val="16"/>
          <w:szCs w:val="16"/>
        </w:rPr>
        <w:t xml:space="preserve"> Congreso de la República. Gaceta 458 de 2005. Exposición de motivos de la Ley 1150 de 2007: “[...] se crea una nueva modalidad de selección denominada “Selección de Consultores” [concurso de méritos], pensada para aquellos casos en que la entidad requiere de la contratación de servicios especializados con alto contenido de trabajo intelectual y en la que se busca crear las bases para que las entidades contraten las mejores ofertas privilegiando las condiciones técnicas de la propuesta y de experiencia y formación del oferente. Con este enfoque se pretende superar la tendencia que tanto daño ha hecho a la industria de la consultoría nacional, de evaluar las ofertas de “materia gris” con base en el precio, situación </w:t>
      </w:r>
      <w:r w:rsidRPr="00887F00">
        <w:rPr>
          <w:rFonts w:ascii="Verdana" w:hAnsi="Verdana" w:cs="Arial"/>
          <w:sz w:val="16"/>
          <w:szCs w:val="16"/>
        </w:rPr>
        <w:t>esta que lleva a pauperizar el ejercicio de las disciplinas intelectuales y a deteriorar la calidad del servicio que reciben las entidades estatales a este respecto, dentro de los cuales la labor de interventoría de obra sería un buen ejemplo”. [Corchetes fuera del texto].</w:t>
      </w:r>
    </w:p>
    <w:p w14:paraId="769143C3" w14:textId="77777777" w:rsidR="002E1D70" w:rsidRPr="00887F00" w:rsidRDefault="002E1D70" w:rsidP="002E1D70">
      <w:pPr>
        <w:pStyle w:val="Textonotapie"/>
        <w:ind w:firstLine="709"/>
        <w:jc w:val="both"/>
        <w:rPr>
          <w:rFonts w:ascii="Verdana" w:hAnsi="Verdana" w:cs="Arial"/>
          <w:sz w:val="16"/>
          <w:szCs w:val="16"/>
        </w:rPr>
      </w:pPr>
    </w:p>
  </w:footnote>
  <w:footnote w:id="8">
    <w:p w14:paraId="3DE19836" w14:textId="77777777" w:rsidR="002E1D70" w:rsidRPr="00887F00" w:rsidRDefault="002E1D70" w:rsidP="002E1D70">
      <w:pPr>
        <w:pStyle w:val="Textonotapie"/>
        <w:ind w:firstLine="709"/>
        <w:jc w:val="both"/>
        <w:rPr>
          <w:rFonts w:ascii="Verdana" w:hAnsi="Verdana" w:cs="Arial"/>
          <w:sz w:val="16"/>
          <w:szCs w:val="16"/>
        </w:rPr>
      </w:pPr>
      <w:r w:rsidRPr="00887F00">
        <w:rPr>
          <w:rStyle w:val="Refdenotaalpie"/>
          <w:rFonts w:ascii="Verdana" w:hAnsi="Verdana" w:cs="Arial"/>
          <w:sz w:val="16"/>
          <w:szCs w:val="16"/>
        </w:rPr>
        <w:footnoteRef/>
      </w:r>
      <w:r w:rsidRPr="00887F00">
        <w:rPr>
          <w:rFonts w:ascii="Verdana" w:hAnsi="Verdana" w:cs="Arial"/>
          <w:sz w:val="16"/>
          <w:szCs w:val="16"/>
        </w:rPr>
        <w:t xml:space="preserve"> Consejo de Estado. Sección Tercera. Sentencia del 15 de junio de 2000. </w:t>
      </w:r>
      <w:r w:rsidRPr="00887F00">
        <w:rPr>
          <w:rFonts w:ascii="Verdana" w:hAnsi="Verdana" w:cs="Arial"/>
          <w:sz w:val="16"/>
          <w:szCs w:val="16"/>
        </w:rPr>
        <w:t>Exp. 10.963. C. P. Ricardo Hoyos Duque.</w:t>
      </w:r>
    </w:p>
    <w:p w14:paraId="12991993" w14:textId="77777777" w:rsidR="002E1D70" w:rsidRPr="00887F00" w:rsidRDefault="002E1D70" w:rsidP="002E1D70">
      <w:pPr>
        <w:pStyle w:val="Textonotapie"/>
        <w:ind w:firstLine="709"/>
        <w:jc w:val="both"/>
        <w:rPr>
          <w:rFonts w:ascii="Verdana" w:hAnsi="Verdana" w:cs="Arial"/>
          <w:sz w:val="16"/>
          <w:szCs w:val="16"/>
        </w:rPr>
      </w:pPr>
    </w:p>
  </w:footnote>
  <w:footnote w:id="9">
    <w:p w14:paraId="1676DA98" w14:textId="77777777" w:rsidR="002E1D70" w:rsidRPr="00CD2222" w:rsidRDefault="002E1D70" w:rsidP="002E1D70">
      <w:pPr>
        <w:pStyle w:val="Textonotapie"/>
        <w:ind w:firstLine="708"/>
        <w:jc w:val="both"/>
        <w:rPr>
          <w:rFonts w:ascii="Verdana" w:hAnsi="Verdana" w:cs="Arial"/>
          <w:sz w:val="16"/>
          <w:szCs w:val="16"/>
        </w:rPr>
      </w:pPr>
      <w:r w:rsidRPr="00CD2222">
        <w:rPr>
          <w:rStyle w:val="Refdenotaalpie"/>
          <w:rFonts w:ascii="Verdana" w:hAnsi="Verdana" w:cs="Arial"/>
          <w:sz w:val="16"/>
          <w:szCs w:val="16"/>
        </w:rPr>
        <w:footnoteRef/>
      </w:r>
      <w:r w:rsidRPr="00CD2222">
        <w:rPr>
          <w:rFonts w:ascii="Verdana" w:hAnsi="Verdana" w:cs="Arial"/>
          <w:sz w:val="16"/>
          <w:szCs w:val="16"/>
        </w:rPr>
        <w:t xml:space="preserve"> Decreto 1082 de 2015: “Artículo 2.2.1.2.1.3.10. Modalidades de Concurso de Arquitectura. Según las características y nivel de desarrollo del concurso de arquitectura, se establecen las siguientes modalidades:</w:t>
      </w:r>
    </w:p>
    <w:p w14:paraId="68ACC9EA" w14:textId="77777777" w:rsidR="002E1D70" w:rsidRPr="00CD2222" w:rsidRDefault="002E1D70" w:rsidP="002E1D70">
      <w:pPr>
        <w:pStyle w:val="Textonotapie"/>
        <w:ind w:firstLine="708"/>
        <w:jc w:val="both"/>
        <w:rPr>
          <w:rFonts w:ascii="Verdana" w:hAnsi="Verdana" w:cs="Arial"/>
          <w:sz w:val="16"/>
          <w:szCs w:val="16"/>
        </w:rPr>
      </w:pPr>
      <w:r w:rsidRPr="00CD2222">
        <w:rPr>
          <w:rFonts w:ascii="Verdana" w:hAnsi="Verdana" w:cs="Arial"/>
          <w:sz w:val="16"/>
          <w:szCs w:val="16"/>
        </w:rPr>
        <w:t>“1. De ideas. Es el acto mediante el cual la Entidad Estatal promotora solicita al organismo asesor elaborar las bases del concurso con el fin de obtener soluciones a nivel de esquema básico de diseño o conceptos generales de un tema urbanístico y/o arquitectónico.</w:t>
      </w:r>
    </w:p>
    <w:p w14:paraId="47CB07E6" w14:textId="77777777" w:rsidR="002E1D70" w:rsidRPr="00CD2222" w:rsidRDefault="002E1D70" w:rsidP="002E1D70">
      <w:pPr>
        <w:pStyle w:val="Textonotapie"/>
        <w:ind w:firstLine="708"/>
        <w:jc w:val="both"/>
        <w:rPr>
          <w:rFonts w:ascii="Verdana" w:hAnsi="Verdana" w:cs="Arial"/>
          <w:sz w:val="16"/>
          <w:szCs w:val="16"/>
          <w:lang w:val="es-CO"/>
        </w:rPr>
      </w:pPr>
      <w:r w:rsidRPr="00CD2222">
        <w:rPr>
          <w:rFonts w:ascii="Verdana" w:hAnsi="Verdana" w:cs="Arial"/>
          <w:sz w:val="16"/>
          <w:szCs w:val="16"/>
        </w:rPr>
        <w:t>“2. De anteproyecto. Es el acto mediante el cual la Entidad Estatal promotora solicita al organismo asesor elaborar las bases del concurso con el fin de obtener soluciones a nivel de anteproyecto de un tema arquitectónico y/o de diseño urbano, tales como edificación nueva, restauración, remodelación, proyectos urbanos, elementos del espacio público”.</w:t>
      </w:r>
    </w:p>
  </w:footnote>
  <w:footnote w:id="10">
    <w:p w14:paraId="52FADFFD" w14:textId="77777777" w:rsidR="002E1D70" w:rsidRPr="00CD2222" w:rsidRDefault="002E1D70" w:rsidP="002E1D70">
      <w:pPr>
        <w:pStyle w:val="Textonotapie"/>
        <w:ind w:firstLine="708"/>
        <w:jc w:val="both"/>
        <w:rPr>
          <w:rFonts w:ascii="Verdana" w:hAnsi="Verdana" w:cs="Arial"/>
          <w:sz w:val="16"/>
          <w:szCs w:val="16"/>
        </w:rPr>
      </w:pPr>
      <w:r w:rsidRPr="00CD2222">
        <w:rPr>
          <w:rStyle w:val="Refdenotaalpie"/>
          <w:rFonts w:ascii="Verdana" w:hAnsi="Verdana" w:cs="Arial"/>
          <w:sz w:val="16"/>
          <w:szCs w:val="16"/>
        </w:rPr>
        <w:footnoteRef/>
      </w:r>
      <w:r w:rsidRPr="00CD2222">
        <w:rPr>
          <w:rFonts w:ascii="Verdana" w:hAnsi="Verdana" w:cs="Arial"/>
          <w:sz w:val="16"/>
          <w:szCs w:val="16"/>
        </w:rPr>
        <w:t xml:space="preserve"> Concepto No. 4201714000001163 con radicado de salida No. 2201713000001460 del 27 de marzo de 2017.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49BFF" w14:textId="77777777" w:rsidR="00006F59" w:rsidRPr="009B7987" w:rsidRDefault="00006F59" w:rsidP="00006F59">
    <w:pPr>
      <w:pStyle w:val="Encabezado"/>
    </w:pPr>
    <w:r w:rsidRPr="009B7987">
      <w:rPr>
        <w:rFonts w:ascii="Geomanist Bold" w:hAnsi="Geomanist Bold"/>
        <w:b/>
        <w:bCs/>
        <w:noProof/>
        <w:color w:val="002060"/>
        <w:sz w:val="24"/>
        <w:szCs w:val="24"/>
      </w:rPr>
      <w:drawing>
        <wp:anchor distT="0" distB="0" distL="114300" distR="114300" simplePos="0" relativeHeight="251658241" behindDoc="1" locked="0" layoutInCell="1" allowOverlap="1" wp14:anchorId="4812B632" wp14:editId="2E35C64A">
          <wp:simplePos x="0" y="0"/>
          <wp:positionH relativeFrom="margin">
            <wp:align>center</wp:align>
          </wp:positionH>
          <wp:positionV relativeFrom="paragraph">
            <wp:posOffset>-250190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Pr="009B7987">
      <w:rPr>
        <w:rFonts w:ascii="Geomanist Bold" w:hAnsi="Geomanist Bold"/>
        <w:b/>
        <w:bCs/>
        <w:noProof/>
        <w:color w:val="002060"/>
        <w:sz w:val="24"/>
        <w:szCs w:val="24"/>
      </w:rPr>
      <w:drawing>
        <wp:anchor distT="0" distB="0" distL="114300" distR="114300" simplePos="0" relativeHeight="251658240" behindDoc="0" locked="0" layoutInCell="1" allowOverlap="1" wp14:anchorId="292DC36A" wp14:editId="6004C65E">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49914" name="Imagen 962149914"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34B171C2" w14:textId="77777777" w:rsidR="00006F59" w:rsidRPr="009B7987" w:rsidRDefault="00006F59" w:rsidP="00006F59">
    <w:pPr>
      <w:pStyle w:val="Encabezado"/>
      <w:jc w:val="center"/>
    </w:pPr>
  </w:p>
  <w:p w14:paraId="1665FD71" w14:textId="77777777" w:rsidR="00006F59" w:rsidRPr="009B7987" w:rsidRDefault="00006F59" w:rsidP="00006F59">
    <w:pPr>
      <w:pStyle w:val="Encabezado"/>
    </w:pPr>
  </w:p>
  <w:p w14:paraId="61B882FC" w14:textId="77777777" w:rsidR="00006F59" w:rsidRPr="009B7987" w:rsidRDefault="00006F59" w:rsidP="00006F59">
    <w:pPr>
      <w:spacing w:after="0"/>
      <w:rPr>
        <w:rFonts w:ascii="Verdana" w:hAnsi="Verdana"/>
        <w:b/>
        <w:bCs/>
        <w:sz w:val="24"/>
        <w:szCs w:val="24"/>
      </w:rPr>
    </w:pPr>
  </w:p>
  <w:p w14:paraId="701A9D55" w14:textId="29EB49FC" w:rsidR="00006F59" w:rsidRPr="009B7987" w:rsidRDefault="00006F59" w:rsidP="001918F1">
    <w:pPr>
      <w:tabs>
        <w:tab w:val="left" w:pos="6217"/>
      </w:tabs>
      <w:spacing w:after="0"/>
      <w:rPr>
        <w:rFonts w:ascii="Verdana" w:hAnsi="Verdana"/>
        <w:b/>
        <w:bCs/>
        <w:sz w:val="24"/>
        <w:szCs w:val="24"/>
      </w:rPr>
    </w:pPr>
    <w:r w:rsidRPr="009B7987">
      <w:rPr>
        <w:rFonts w:ascii="Verdana" w:hAnsi="Verdana"/>
        <w:b/>
        <w:bCs/>
        <w:sz w:val="24"/>
        <w:szCs w:val="24"/>
      </w:rPr>
      <w:t>FORMATO PQRSD</w:t>
    </w:r>
  </w:p>
  <w:p w14:paraId="68E0C024" w14:textId="62811F13" w:rsidR="00B30448" w:rsidRPr="009B7987" w:rsidRDefault="00B30448" w:rsidP="00006F59">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520020"/>
    <w:multiLevelType w:val="hybridMultilevel"/>
    <w:tmpl w:val="D6F4F646"/>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 w15:restartNumberingAfterBreak="0">
    <w:nsid w:val="05E83FFA"/>
    <w:multiLevelType w:val="hybridMultilevel"/>
    <w:tmpl w:val="8EF612C4"/>
    <w:lvl w:ilvl="0" w:tplc="DCA0A690">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 w15:restartNumberingAfterBreak="0">
    <w:nsid w:val="0769791B"/>
    <w:multiLevelType w:val="hybridMultilevel"/>
    <w:tmpl w:val="6BF65156"/>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4" w15:restartNumberingAfterBreak="0">
    <w:nsid w:val="0801457A"/>
    <w:multiLevelType w:val="hybridMultilevel"/>
    <w:tmpl w:val="38A20F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764EF3"/>
    <w:multiLevelType w:val="hybridMultilevel"/>
    <w:tmpl w:val="1F80E53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0E3D744E"/>
    <w:multiLevelType w:val="hybridMultilevel"/>
    <w:tmpl w:val="4A727204"/>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7" w15:restartNumberingAfterBreak="0">
    <w:nsid w:val="0F555BB5"/>
    <w:multiLevelType w:val="multilevel"/>
    <w:tmpl w:val="5868EEA8"/>
    <w:lvl w:ilvl="0">
      <w:start w:val="1"/>
      <w:numFmt w:val="decimal"/>
      <w:lvlText w:val="%1."/>
      <w:lvlJc w:val="left"/>
      <w:pPr>
        <w:ind w:left="46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820" w:hanging="720"/>
      </w:pPr>
      <w:rPr>
        <w:rFonts w:ascii="Arial" w:eastAsia="Arial" w:hAnsi="Arial" w:cs="Arial" w:hint="default"/>
        <w:b/>
        <w:bCs/>
        <w:color w:val="4E4D4D"/>
        <w:spacing w:val="-4"/>
        <w:w w:val="100"/>
        <w:sz w:val="22"/>
        <w:szCs w:val="22"/>
        <w:lang w:val="es-ES" w:eastAsia="en-US" w:bidi="ar-SA"/>
      </w:rPr>
    </w:lvl>
    <w:lvl w:ilvl="2">
      <w:start w:val="1"/>
      <w:numFmt w:val="decimal"/>
      <w:lvlText w:val="%3."/>
      <w:lvlJc w:val="left"/>
      <w:pPr>
        <w:ind w:left="1192" w:hanging="243"/>
      </w:pPr>
      <w:rPr>
        <w:rFonts w:ascii="Verdana" w:eastAsia="Arial" w:hAnsi="Verdana" w:cs="Arial" w:hint="default"/>
        <w:color w:val="auto"/>
        <w:spacing w:val="-1"/>
        <w:w w:val="100"/>
        <w:sz w:val="20"/>
        <w:szCs w:val="20"/>
        <w:lang w:val="es-ES" w:eastAsia="en-US" w:bidi="ar-SA"/>
      </w:rPr>
    </w:lvl>
    <w:lvl w:ilvl="3">
      <w:numFmt w:val="bullet"/>
      <w:lvlText w:val="•"/>
      <w:lvlJc w:val="left"/>
      <w:pPr>
        <w:ind w:left="2192" w:hanging="243"/>
      </w:pPr>
      <w:rPr>
        <w:rFonts w:hint="default"/>
        <w:lang w:val="es-ES" w:eastAsia="en-US" w:bidi="ar-SA"/>
      </w:rPr>
    </w:lvl>
    <w:lvl w:ilvl="4">
      <w:numFmt w:val="bullet"/>
      <w:lvlText w:val="•"/>
      <w:lvlJc w:val="left"/>
      <w:pPr>
        <w:ind w:left="3185" w:hanging="243"/>
      </w:pPr>
      <w:rPr>
        <w:rFonts w:hint="default"/>
        <w:lang w:val="es-ES" w:eastAsia="en-US" w:bidi="ar-SA"/>
      </w:rPr>
    </w:lvl>
    <w:lvl w:ilvl="5">
      <w:numFmt w:val="bullet"/>
      <w:lvlText w:val="•"/>
      <w:lvlJc w:val="left"/>
      <w:pPr>
        <w:ind w:left="4177" w:hanging="243"/>
      </w:pPr>
      <w:rPr>
        <w:rFonts w:hint="default"/>
        <w:lang w:val="es-ES" w:eastAsia="en-US" w:bidi="ar-SA"/>
      </w:rPr>
    </w:lvl>
    <w:lvl w:ilvl="6">
      <w:numFmt w:val="bullet"/>
      <w:lvlText w:val="•"/>
      <w:lvlJc w:val="left"/>
      <w:pPr>
        <w:ind w:left="5170" w:hanging="243"/>
      </w:pPr>
      <w:rPr>
        <w:rFonts w:hint="default"/>
        <w:lang w:val="es-ES" w:eastAsia="en-US" w:bidi="ar-SA"/>
      </w:rPr>
    </w:lvl>
    <w:lvl w:ilvl="7">
      <w:numFmt w:val="bullet"/>
      <w:lvlText w:val="•"/>
      <w:lvlJc w:val="left"/>
      <w:pPr>
        <w:ind w:left="6162" w:hanging="243"/>
      </w:pPr>
      <w:rPr>
        <w:rFonts w:hint="default"/>
        <w:lang w:val="es-ES" w:eastAsia="en-US" w:bidi="ar-SA"/>
      </w:rPr>
    </w:lvl>
    <w:lvl w:ilvl="8">
      <w:numFmt w:val="bullet"/>
      <w:lvlText w:val="•"/>
      <w:lvlJc w:val="left"/>
      <w:pPr>
        <w:ind w:left="7155" w:hanging="243"/>
      </w:pPr>
      <w:rPr>
        <w:rFonts w:hint="default"/>
        <w:lang w:val="es-ES" w:eastAsia="en-US" w:bidi="ar-SA"/>
      </w:rPr>
    </w:lvl>
  </w:abstractNum>
  <w:abstractNum w:abstractNumId="8" w15:restartNumberingAfterBreak="0">
    <w:nsid w:val="17AF3BD1"/>
    <w:multiLevelType w:val="hybridMultilevel"/>
    <w:tmpl w:val="13F4E45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1C23291E"/>
    <w:multiLevelType w:val="hybridMultilevel"/>
    <w:tmpl w:val="352C3E06"/>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10" w15:restartNumberingAfterBreak="0">
    <w:nsid w:val="239D63F5"/>
    <w:multiLevelType w:val="hybridMultilevel"/>
    <w:tmpl w:val="F538EEB4"/>
    <w:lvl w:ilvl="0" w:tplc="DB68C6FA">
      <w:numFmt w:val="bullet"/>
      <w:lvlText w:val="-"/>
      <w:lvlJc w:val="left"/>
      <w:pPr>
        <w:ind w:left="1069" w:hanging="360"/>
      </w:pPr>
      <w:rPr>
        <w:rFonts w:ascii="Verdana" w:eastAsia="Calibri" w:hAnsi="Verdana" w:cs="Arial" w:hint="default"/>
      </w:rPr>
    </w:lvl>
    <w:lvl w:ilvl="1" w:tplc="240A0003" w:tentative="1">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11" w15:restartNumberingAfterBreak="0">
    <w:nsid w:val="2F2143A1"/>
    <w:multiLevelType w:val="hybridMultilevel"/>
    <w:tmpl w:val="4EB84EEC"/>
    <w:lvl w:ilvl="0" w:tplc="5E185100">
      <w:start w:val="1"/>
      <w:numFmt w:val="lowerRoman"/>
      <w:lvlText w:val="%1)"/>
      <w:lvlJc w:val="left"/>
      <w:pPr>
        <w:ind w:left="2136" w:hanging="720"/>
      </w:pPr>
      <w:rPr>
        <w:rFonts w:hint="default"/>
      </w:rPr>
    </w:lvl>
    <w:lvl w:ilvl="1" w:tplc="240A0019" w:tentative="1">
      <w:start w:val="1"/>
      <w:numFmt w:val="lowerLetter"/>
      <w:lvlText w:val="%2."/>
      <w:lvlJc w:val="left"/>
      <w:pPr>
        <w:ind w:left="2496" w:hanging="360"/>
      </w:pPr>
    </w:lvl>
    <w:lvl w:ilvl="2" w:tplc="240A001B" w:tentative="1">
      <w:start w:val="1"/>
      <w:numFmt w:val="lowerRoman"/>
      <w:lvlText w:val="%3."/>
      <w:lvlJc w:val="right"/>
      <w:pPr>
        <w:ind w:left="3216" w:hanging="180"/>
      </w:pPr>
    </w:lvl>
    <w:lvl w:ilvl="3" w:tplc="240A000F" w:tentative="1">
      <w:start w:val="1"/>
      <w:numFmt w:val="decimal"/>
      <w:lvlText w:val="%4."/>
      <w:lvlJc w:val="left"/>
      <w:pPr>
        <w:ind w:left="3936" w:hanging="360"/>
      </w:pPr>
    </w:lvl>
    <w:lvl w:ilvl="4" w:tplc="240A0019" w:tentative="1">
      <w:start w:val="1"/>
      <w:numFmt w:val="lowerLetter"/>
      <w:lvlText w:val="%5."/>
      <w:lvlJc w:val="left"/>
      <w:pPr>
        <w:ind w:left="4656" w:hanging="360"/>
      </w:pPr>
    </w:lvl>
    <w:lvl w:ilvl="5" w:tplc="240A001B" w:tentative="1">
      <w:start w:val="1"/>
      <w:numFmt w:val="lowerRoman"/>
      <w:lvlText w:val="%6."/>
      <w:lvlJc w:val="right"/>
      <w:pPr>
        <w:ind w:left="5376" w:hanging="180"/>
      </w:pPr>
    </w:lvl>
    <w:lvl w:ilvl="6" w:tplc="240A000F" w:tentative="1">
      <w:start w:val="1"/>
      <w:numFmt w:val="decimal"/>
      <w:lvlText w:val="%7."/>
      <w:lvlJc w:val="left"/>
      <w:pPr>
        <w:ind w:left="6096" w:hanging="360"/>
      </w:pPr>
    </w:lvl>
    <w:lvl w:ilvl="7" w:tplc="240A0019" w:tentative="1">
      <w:start w:val="1"/>
      <w:numFmt w:val="lowerLetter"/>
      <w:lvlText w:val="%8."/>
      <w:lvlJc w:val="left"/>
      <w:pPr>
        <w:ind w:left="6816" w:hanging="360"/>
      </w:pPr>
    </w:lvl>
    <w:lvl w:ilvl="8" w:tplc="240A001B" w:tentative="1">
      <w:start w:val="1"/>
      <w:numFmt w:val="lowerRoman"/>
      <w:lvlText w:val="%9."/>
      <w:lvlJc w:val="right"/>
      <w:pPr>
        <w:ind w:left="7536" w:hanging="180"/>
      </w:pPr>
    </w:lvl>
  </w:abstractNum>
  <w:abstractNum w:abstractNumId="12" w15:restartNumberingAfterBreak="0">
    <w:nsid w:val="2F2F4AAF"/>
    <w:multiLevelType w:val="hybridMultilevel"/>
    <w:tmpl w:val="8780C6F4"/>
    <w:lvl w:ilvl="0" w:tplc="55946782">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5" w15:restartNumberingAfterBreak="0">
    <w:nsid w:val="3835108C"/>
    <w:multiLevelType w:val="hybridMultilevel"/>
    <w:tmpl w:val="46D6164A"/>
    <w:lvl w:ilvl="0" w:tplc="9ADA0392">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6" w15:restartNumberingAfterBreak="0">
    <w:nsid w:val="388E5AE1"/>
    <w:multiLevelType w:val="hybridMultilevel"/>
    <w:tmpl w:val="1B62FAF4"/>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39CD3660"/>
    <w:multiLevelType w:val="hybridMultilevel"/>
    <w:tmpl w:val="DCEE24D0"/>
    <w:lvl w:ilvl="0" w:tplc="7D9E7E62">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9" w15:restartNumberingAfterBreak="0">
    <w:nsid w:val="3D5D596E"/>
    <w:multiLevelType w:val="hybridMultilevel"/>
    <w:tmpl w:val="88DE2ABC"/>
    <w:lvl w:ilvl="0" w:tplc="ECF04718">
      <w:start w:val="1"/>
      <w:numFmt w:val="lowerRoman"/>
      <w:lvlText w:val="%1)"/>
      <w:lvlJc w:val="left"/>
      <w:pPr>
        <w:ind w:left="1429" w:hanging="720"/>
      </w:pPr>
      <w:rPr>
        <w:rFonts w:ascii="Verdana" w:eastAsia="Calibri" w:hAnsi="Verdana" w:cs="Arial"/>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0" w15:restartNumberingAfterBreak="0">
    <w:nsid w:val="418679D0"/>
    <w:multiLevelType w:val="hybridMultilevel"/>
    <w:tmpl w:val="F2F430A2"/>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1" w15:restartNumberingAfterBreak="0">
    <w:nsid w:val="475C5A77"/>
    <w:multiLevelType w:val="hybridMultilevel"/>
    <w:tmpl w:val="F5321E28"/>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2" w15:restartNumberingAfterBreak="0">
    <w:nsid w:val="4D0E478B"/>
    <w:multiLevelType w:val="hybridMultilevel"/>
    <w:tmpl w:val="869EF6D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3" w15:restartNumberingAfterBreak="0">
    <w:nsid w:val="4D933C37"/>
    <w:multiLevelType w:val="hybridMultilevel"/>
    <w:tmpl w:val="5CF2349C"/>
    <w:lvl w:ilvl="0" w:tplc="3B2A2734">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 w15:restartNumberingAfterBreak="0">
    <w:nsid w:val="522C350D"/>
    <w:multiLevelType w:val="hybridMultilevel"/>
    <w:tmpl w:val="89B6917E"/>
    <w:lvl w:ilvl="0" w:tplc="A7B2FCBE">
      <w:start w:val="1"/>
      <w:numFmt w:val="decimal"/>
      <w:lvlText w:val="%1."/>
      <w:lvlJc w:val="left"/>
      <w:pPr>
        <w:ind w:left="1494" w:hanging="360"/>
      </w:pPr>
      <w:rPr>
        <w:rFonts w:hint="default"/>
      </w:rPr>
    </w:lvl>
    <w:lvl w:ilvl="1" w:tplc="240A0019" w:tentative="1">
      <w:start w:val="1"/>
      <w:numFmt w:val="lowerLetter"/>
      <w:lvlText w:val="%2."/>
      <w:lvlJc w:val="left"/>
      <w:pPr>
        <w:ind w:left="2214" w:hanging="360"/>
      </w:pPr>
    </w:lvl>
    <w:lvl w:ilvl="2" w:tplc="240A001B" w:tentative="1">
      <w:start w:val="1"/>
      <w:numFmt w:val="lowerRoman"/>
      <w:lvlText w:val="%3."/>
      <w:lvlJc w:val="right"/>
      <w:pPr>
        <w:ind w:left="2934" w:hanging="180"/>
      </w:pPr>
    </w:lvl>
    <w:lvl w:ilvl="3" w:tplc="240A000F" w:tentative="1">
      <w:start w:val="1"/>
      <w:numFmt w:val="decimal"/>
      <w:lvlText w:val="%4."/>
      <w:lvlJc w:val="left"/>
      <w:pPr>
        <w:ind w:left="3654" w:hanging="360"/>
      </w:pPr>
    </w:lvl>
    <w:lvl w:ilvl="4" w:tplc="240A0019" w:tentative="1">
      <w:start w:val="1"/>
      <w:numFmt w:val="lowerLetter"/>
      <w:lvlText w:val="%5."/>
      <w:lvlJc w:val="left"/>
      <w:pPr>
        <w:ind w:left="4374" w:hanging="360"/>
      </w:pPr>
    </w:lvl>
    <w:lvl w:ilvl="5" w:tplc="240A001B" w:tentative="1">
      <w:start w:val="1"/>
      <w:numFmt w:val="lowerRoman"/>
      <w:lvlText w:val="%6."/>
      <w:lvlJc w:val="right"/>
      <w:pPr>
        <w:ind w:left="5094" w:hanging="180"/>
      </w:pPr>
    </w:lvl>
    <w:lvl w:ilvl="6" w:tplc="240A000F" w:tentative="1">
      <w:start w:val="1"/>
      <w:numFmt w:val="decimal"/>
      <w:lvlText w:val="%7."/>
      <w:lvlJc w:val="left"/>
      <w:pPr>
        <w:ind w:left="5814" w:hanging="360"/>
      </w:pPr>
    </w:lvl>
    <w:lvl w:ilvl="7" w:tplc="240A0019" w:tentative="1">
      <w:start w:val="1"/>
      <w:numFmt w:val="lowerLetter"/>
      <w:lvlText w:val="%8."/>
      <w:lvlJc w:val="left"/>
      <w:pPr>
        <w:ind w:left="6534" w:hanging="360"/>
      </w:pPr>
    </w:lvl>
    <w:lvl w:ilvl="8" w:tplc="240A001B" w:tentative="1">
      <w:start w:val="1"/>
      <w:numFmt w:val="lowerRoman"/>
      <w:lvlText w:val="%9."/>
      <w:lvlJc w:val="right"/>
      <w:pPr>
        <w:ind w:left="7254" w:hanging="180"/>
      </w:pPr>
    </w:lvl>
  </w:abstractNum>
  <w:abstractNum w:abstractNumId="25" w15:restartNumberingAfterBreak="0">
    <w:nsid w:val="540506B6"/>
    <w:multiLevelType w:val="hybridMultilevel"/>
    <w:tmpl w:val="974E041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6" w15:restartNumberingAfterBreak="0">
    <w:nsid w:val="603F1D1B"/>
    <w:multiLevelType w:val="hybridMultilevel"/>
    <w:tmpl w:val="D012F2B4"/>
    <w:lvl w:ilvl="0" w:tplc="88466D34">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7" w15:restartNumberingAfterBreak="0">
    <w:nsid w:val="604178A9"/>
    <w:multiLevelType w:val="hybridMultilevel"/>
    <w:tmpl w:val="7486A3C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8" w15:restartNumberingAfterBreak="0">
    <w:nsid w:val="620101A4"/>
    <w:multiLevelType w:val="hybridMultilevel"/>
    <w:tmpl w:val="717C38BE"/>
    <w:lvl w:ilvl="0" w:tplc="FFFFFFFF">
      <w:start w:val="1"/>
      <w:numFmt w:val="lowerRoman"/>
      <w:lvlText w:val="%1)"/>
      <w:lvlJc w:val="left"/>
      <w:pPr>
        <w:ind w:left="1429" w:hanging="720"/>
      </w:pPr>
      <w:rPr>
        <w:rFonts w:ascii="Verdana" w:eastAsia="Calibri" w:hAnsi="Verdana" w:cs="Arial"/>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29" w15:restartNumberingAfterBreak="0">
    <w:nsid w:val="661C105F"/>
    <w:multiLevelType w:val="hybridMultilevel"/>
    <w:tmpl w:val="FF7611B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0" w15:restartNumberingAfterBreak="0">
    <w:nsid w:val="66F63B99"/>
    <w:multiLevelType w:val="hybridMultilevel"/>
    <w:tmpl w:val="70F8476A"/>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31" w15:restartNumberingAfterBreak="0">
    <w:nsid w:val="6D471CDA"/>
    <w:multiLevelType w:val="hybridMultilevel"/>
    <w:tmpl w:val="FF68D47A"/>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32" w15:restartNumberingAfterBreak="0">
    <w:nsid w:val="700542C4"/>
    <w:multiLevelType w:val="hybridMultilevel"/>
    <w:tmpl w:val="232828B0"/>
    <w:lvl w:ilvl="0" w:tplc="FFFFFFFF">
      <w:start w:val="1"/>
      <w:numFmt w:val="decimal"/>
      <w:lvlText w:val="%1."/>
      <w:lvlJc w:val="left"/>
      <w:pPr>
        <w:ind w:left="2061" w:hanging="360"/>
      </w:p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3" w15:restartNumberingAfterBreak="0">
    <w:nsid w:val="70D60AF4"/>
    <w:multiLevelType w:val="hybridMultilevel"/>
    <w:tmpl w:val="623869D6"/>
    <w:lvl w:ilvl="0" w:tplc="1E18C336">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4" w15:restartNumberingAfterBreak="0">
    <w:nsid w:val="77681820"/>
    <w:multiLevelType w:val="hybridMultilevel"/>
    <w:tmpl w:val="978A042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5" w15:restartNumberingAfterBreak="0">
    <w:nsid w:val="78226FF1"/>
    <w:multiLevelType w:val="hybridMultilevel"/>
    <w:tmpl w:val="18F0F084"/>
    <w:lvl w:ilvl="0" w:tplc="6A3AC74A">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6" w15:restartNumberingAfterBreak="0">
    <w:nsid w:val="7B7F0FB5"/>
    <w:multiLevelType w:val="hybridMultilevel"/>
    <w:tmpl w:val="3586D1F0"/>
    <w:lvl w:ilvl="0" w:tplc="15C0C8AE">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7" w15:restartNumberingAfterBreak="0">
    <w:nsid w:val="7C190BA4"/>
    <w:multiLevelType w:val="hybridMultilevel"/>
    <w:tmpl w:val="D1FEAF26"/>
    <w:lvl w:ilvl="0" w:tplc="D5B89D1A">
      <w:start w:val="1"/>
      <w:numFmt w:val="decimal"/>
      <w:lvlText w:val="%1."/>
      <w:lvlJc w:val="left"/>
      <w:pPr>
        <w:ind w:left="1028" w:hanging="221"/>
      </w:pPr>
      <w:rPr>
        <w:rFonts w:ascii="Arial" w:eastAsia="Arial" w:hAnsi="Arial" w:cs="Arial" w:hint="default"/>
        <w:color w:val="auto"/>
        <w:spacing w:val="-2"/>
        <w:w w:val="100"/>
        <w:sz w:val="20"/>
        <w:szCs w:val="20"/>
        <w:lang w:val="es-ES" w:eastAsia="es-ES" w:bidi="es-ES"/>
      </w:rPr>
    </w:lvl>
    <w:lvl w:ilvl="1" w:tplc="053E5822">
      <w:numFmt w:val="bullet"/>
      <w:lvlText w:val="•"/>
      <w:lvlJc w:val="left"/>
      <w:pPr>
        <w:ind w:left="1846" w:hanging="221"/>
      </w:pPr>
      <w:rPr>
        <w:rFonts w:hint="default"/>
        <w:lang w:val="es-ES" w:eastAsia="es-ES" w:bidi="es-ES"/>
      </w:rPr>
    </w:lvl>
    <w:lvl w:ilvl="2" w:tplc="90242A8E">
      <w:numFmt w:val="bullet"/>
      <w:lvlText w:val="•"/>
      <w:lvlJc w:val="left"/>
      <w:pPr>
        <w:ind w:left="2672" w:hanging="221"/>
      </w:pPr>
      <w:rPr>
        <w:rFonts w:hint="default"/>
        <w:lang w:val="es-ES" w:eastAsia="es-ES" w:bidi="es-ES"/>
      </w:rPr>
    </w:lvl>
    <w:lvl w:ilvl="3" w:tplc="E160CF42">
      <w:numFmt w:val="bullet"/>
      <w:lvlText w:val="•"/>
      <w:lvlJc w:val="left"/>
      <w:pPr>
        <w:ind w:left="3498" w:hanging="221"/>
      </w:pPr>
      <w:rPr>
        <w:rFonts w:hint="default"/>
        <w:lang w:val="es-ES" w:eastAsia="es-ES" w:bidi="es-ES"/>
      </w:rPr>
    </w:lvl>
    <w:lvl w:ilvl="4" w:tplc="9B26973A">
      <w:numFmt w:val="bullet"/>
      <w:lvlText w:val="•"/>
      <w:lvlJc w:val="left"/>
      <w:pPr>
        <w:ind w:left="4324" w:hanging="221"/>
      </w:pPr>
      <w:rPr>
        <w:rFonts w:hint="default"/>
        <w:lang w:val="es-ES" w:eastAsia="es-ES" w:bidi="es-ES"/>
      </w:rPr>
    </w:lvl>
    <w:lvl w:ilvl="5" w:tplc="017409CE">
      <w:numFmt w:val="bullet"/>
      <w:lvlText w:val="•"/>
      <w:lvlJc w:val="left"/>
      <w:pPr>
        <w:ind w:left="5150" w:hanging="221"/>
      </w:pPr>
      <w:rPr>
        <w:rFonts w:hint="default"/>
        <w:lang w:val="es-ES" w:eastAsia="es-ES" w:bidi="es-ES"/>
      </w:rPr>
    </w:lvl>
    <w:lvl w:ilvl="6" w:tplc="870EC5D4">
      <w:numFmt w:val="bullet"/>
      <w:lvlText w:val="•"/>
      <w:lvlJc w:val="left"/>
      <w:pPr>
        <w:ind w:left="5976" w:hanging="221"/>
      </w:pPr>
      <w:rPr>
        <w:rFonts w:hint="default"/>
        <w:lang w:val="es-ES" w:eastAsia="es-ES" w:bidi="es-ES"/>
      </w:rPr>
    </w:lvl>
    <w:lvl w:ilvl="7" w:tplc="F4B4208E">
      <w:numFmt w:val="bullet"/>
      <w:lvlText w:val="•"/>
      <w:lvlJc w:val="left"/>
      <w:pPr>
        <w:ind w:left="6802" w:hanging="221"/>
      </w:pPr>
      <w:rPr>
        <w:rFonts w:hint="default"/>
        <w:lang w:val="es-ES" w:eastAsia="es-ES" w:bidi="es-ES"/>
      </w:rPr>
    </w:lvl>
    <w:lvl w:ilvl="8" w:tplc="55B09E2E">
      <w:numFmt w:val="bullet"/>
      <w:lvlText w:val="•"/>
      <w:lvlJc w:val="left"/>
      <w:pPr>
        <w:ind w:left="7628" w:hanging="221"/>
      </w:pPr>
      <w:rPr>
        <w:rFonts w:hint="default"/>
        <w:lang w:val="es-ES" w:eastAsia="es-ES" w:bidi="es-ES"/>
      </w:rPr>
    </w:lvl>
  </w:abstractNum>
  <w:abstractNum w:abstractNumId="38" w15:restartNumberingAfterBreak="0">
    <w:nsid w:val="7DD23916"/>
    <w:multiLevelType w:val="multilevel"/>
    <w:tmpl w:val="89F2A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330140246">
    <w:abstractNumId w:val="0"/>
  </w:num>
  <w:num w:numId="2" w16cid:durableId="1492209491">
    <w:abstractNumId w:val="14"/>
  </w:num>
  <w:num w:numId="3" w16cid:durableId="679089576">
    <w:abstractNumId w:val="18"/>
  </w:num>
  <w:num w:numId="4" w16cid:durableId="893472101">
    <w:abstractNumId w:val="10"/>
  </w:num>
  <w:num w:numId="5" w16cid:durableId="1982299905">
    <w:abstractNumId w:val="38"/>
  </w:num>
  <w:num w:numId="6" w16cid:durableId="130758360">
    <w:abstractNumId w:val="21"/>
  </w:num>
  <w:num w:numId="7" w16cid:durableId="262541512">
    <w:abstractNumId w:val="34"/>
  </w:num>
  <w:num w:numId="8" w16cid:durableId="1947226218">
    <w:abstractNumId w:val="17"/>
  </w:num>
  <w:num w:numId="9" w16cid:durableId="1180706126">
    <w:abstractNumId w:val="20"/>
  </w:num>
  <w:num w:numId="10" w16cid:durableId="2097506960">
    <w:abstractNumId w:val="27"/>
  </w:num>
  <w:num w:numId="11" w16cid:durableId="1977490869">
    <w:abstractNumId w:val="25"/>
  </w:num>
  <w:num w:numId="12" w16cid:durableId="158663248">
    <w:abstractNumId w:val="24"/>
  </w:num>
  <w:num w:numId="13" w16cid:durableId="2024085788">
    <w:abstractNumId w:val="2"/>
  </w:num>
  <w:num w:numId="14" w16cid:durableId="1885099950">
    <w:abstractNumId w:val="16"/>
  </w:num>
  <w:num w:numId="15" w16cid:durableId="32047459">
    <w:abstractNumId w:val="11"/>
  </w:num>
  <w:num w:numId="16" w16cid:durableId="1192261824">
    <w:abstractNumId w:val="12"/>
  </w:num>
  <w:num w:numId="17" w16cid:durableId="375933272">
    <w:abstractNumId w:val="19"/>
  </w:num>
  <w:num w:numId="18" w16cid:durableId="610939998">
    <w:abstractNumId w:val="28"/>
  </w:num>
  <w:num w:numId="19" w16cid:durableId="1910656144">
    <w:abstractNumId w:val="4"/>
  </w:num>
  <w:num w:numId="20" w16cid:durableId="947545103">
    <w:abstractNumId w:val="15"/>
  </w:num>
  <w:num w:numId="21" w16cid:durableId="1851335222">
    <w:abstractNumId w:val="37"/>
  </w:num>
  <w:num w:numId="22" w16cid:durableId="578707994">
    <w:abstractNumId w:val="7"/>
  </w:num>
  <w:num w:numId="23" w16cid:durableId="876742304">
    <w:abstractNumId w:val="13"/>
  </w:num>
  <w:num w:numId="24" w16cid:durableId="1994095851">
    <w:abstractNumId w:val="8"/>
  </w:num>
  <w:num w:numId="25" w16cid:durableId="1567109325">
    <w:abstractNumId w:val="29"/>
  </w:num>
  <w:num w:numId="26" w16cid:durableId="1116487847">
    <w:abstractNumId w:val="22"/>
  </w:num>
  <w:num w:numId="27" w16cid:durableId="611326471">
    <w:abstractNumId w:val="32"/>
    <w:lvlOverride w:ilvl="0">
      <w:startOverride w:val="1"/>
    </w:lvlOverride>
    <w:lvlOverride w:ilvl="1"/>
    <w:lvlOverride w:ilvl="2"/>
    <w:lvlOverride w:ilvl="3"/>
    <w:lvlOverride w:ilvl="4"/>
    <w:lvlOverride w:ilvl="5"/>
    <w:lvlOverride w:ilvl="6"/>
    <w:lvlOverride w:ilvl="7"/>
    <w:lvlOverride w:ilvl="8"/>
  </w:num>
  <w:num w:numId="28" w16cid:durableId="883785195">
    <w:abstractNumId w:val="1"/>
  </w:num>
  <w:num w:numId="29" w16cid:durableId="2116288898">
    <w:abstractNumId w:val="36"/>
  </w:num>
  <w:num w:numId="30" w16cid:durableId="363991975">
    <w:abstractNumId w:val="33"/>
  </w:num>
  <w:num w:numId="31" w16cid:durableId="1509440290">
    <w:abstractNumId w:val="26"/>
  </w:num>
  <w:num w:numId="32" w16cid:durableId="1601723362">
    <w:abstractNumId w:val="9"/>
  </w:num>
  <w:num w:numId="33" w16cid:durableId="1484539021">
    <w:abstractNumId w:val="5"/>
  </w:num>
  <w:num w:numId="34" w16cid:durableId="1387339555">
    <w:abstractNumId w:val="3"/>
  </w:num>
  <w:num w:numId="35" w16cid:durableId="591087840">
    <w:abstractNumId w:val="31"/>
  </w:num>
  <w:num w:numId="36" w16cid:durableId="1632059173">
    <w:abstractNumId w:val="35"/>
  </w:num>
  <w:num w:numId="37" w16cid:durableId="742992957">
    <w:abstractNumId w:val="18"/>
  </w:num>
  <w:num w:numId="38" w16cid:durableId="1077095550">
    <w:abstractNumId w:val="23"/>
  </w:num>
  <w:num w:numId="39" w16cid:durableId="921372921">
    <w:abstractNumId w:val="30"/>
  </w:num>
  <w:num w:numId="40" w16cid:durableId="1244670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448"/>
    <w:rsid w:val="00001B12"/>
    <w:rsid w:val="00001B99"/>
    <w:rsid w:val="00001E08"/>
    <w:rsid w:val="00001E39"/>
    <w:rsid w:val="00002920"/>
    <w:rsid w:val="00002D55"/>
    <w:rsid w:val="0000399A"/>
    <w:rsid w:val="00005225"/>
    <w:rsid w:val="000054DB"/>
    <w:rsid w:val="0000587D"/>
    <w:rsid w:val="000059AE"/>
    <w:rsid w:val="00005BB0"/>
    <w:rsid w:val="00006F59"/>
    <w:rsid w:val="00007086"/>
    <w:rsid w:val="00007382"/>
    <w:rsid w:val="00007576"/>
    <w:rsid w:val="0001025F"/>
    <w:rsid w:val="0001155E"/>
    <w:rsid w:val="00011613"/>
    <w:rsid w:val="00011D3C"/>
    <w:rsid w:val="0001222D"/>
    <w:rsid w:val="00012550"/>
    <w:rsid w:val="00012679"/>
    <w:rsid w:val="00012C27"/>
    <w:rsid w:val="00012EDA"/>
    <w:rsid w:val="00013B3F"/>
    <w:rsid w:val="00014981"/>
    <w:rsid w:val="00014B0D"/>
    <w:rsid w:val="00014E7B"/>
    <w:rsid w:val="0001573E"/>
    <w:rsid w:val="00016280"/>
    <w:rsid w:val="0001672C"/>
    <w:rsid w:val="00016F04"/>
    <w:rsid w:val="00017870"/>
    <w:rsid w:val="00021068"/>
    <w:rsid w:val="00021595"/>
    <w:rsid w:val="000219D1"/>
    <w:rsid w:val="00021C3A"/>
    <w:rsid w:val="0002202D"/>
    <w:rsid w:val="00022C23"/>
    <w:rsid w:val="00023DF7"/>
    <w:rsid w:val="000267DD"/>
    <w:rsid w:val="000273EA"/>
    <w:rsid w:val="00027B63"/>
    <w:rsid w:val="00027CA9"/>
    <w:rsid w:val="00030B3D"/>
    <w:rsid w:val="00030BC5"/>
    <w:rsid w:val="00030BFB"/>
    <w:rsid w:val="00031DA1"/>
    <w:rsid w:val="00031EAF"/>
    <w:rsid w:val="0003287A"/>
    <w:rsid w:val="00033390"/>
    <w:rsid w:val="00034FA8"/>
    <w:rsid w:val="0003598F"/>
    <w:rsid w:val="000361EA"/>
    <w:rsid w:val="0003699E"/>
    <w:rsid w:val="000369C0"/>
    <w:rsid w:val="0003731A"/>
    <w:rsid w:val="00037A8B"/>
    <w:rsid w:val="00040372"/>
    <w:rsid w:val="0004055F"/>
    <w:rsid w:val="000408AD"/>
    <w:rsid w:val="00041469"/>
    <w:rsid w:val="0004180C"/>
    <w:rsid w:val="000419D7"/>
    <w:rsid w:val="00042DD7"/>
    <w:rsid w:val="00043EE5"/>
    <w:rsid w:val="000442CC"/>
    <w:rsid w:val="000442DE"/>
    <w:rsid w:val="0004491F"/>
    <w:rsid w:val="00044B24"/>
    <w:rsid w:val="0004508D"/>
    <w:rsid w:val="0004526E"/>
    <w:rsid w:val="00045B37"/>
    <w:rsid w:val="0004709D"/>
    <w:rsid w:val="00047522"/>
    <w:rsid w:val="000504AA"/>
    <w:rsid w:val="0005086B"/>
    <w:rsid w:val="0005098A"/>
    <w:rsid w:val="00050BC2"/>
    <w:rsid w:val="00050C95"/>
    <w:rsid w:val="00050CAD"/>
    <w:rsid w:val="0005142D"/>
    <w:rsid w:val="00051A3C"/>
    <w:rsid w:val="00051BE4"/>
    <w:rsid w:val="00051E96"/>
    <w:rsid w:val="000526A8"/>
    <w:rsid w:val="00052EF1"/>
    <w:rsid w:val="00053995"/>
    <w:rsid w:val="000539F2"/>
    <w:rsid w:val="0005420B"/>
    <w:rsid w:val="00054A97"/>
    <w:rsid w:val="00054DFE"/>
    <w:rsid w:val="000551CB"/>
    <w:rsid w:val="00055ED8"/>
    <w:rsid w:val="0005620B"/>
    <w:rsid w:val="00057392"/>
    <w:rsid w:val="00057740"/>
    <w:rsid w:val="000577A2"/>
    <w:rsid w:val="000577D3"/>
    <w:rsid w:val="00057963"/>
    <w:rsid w:val="00057979"/>
    <w:rsid w:val="000579AB"/>
    <w:rsid w:val="00060AE4"/>
    <w:rsid w:val="000618E5"/>
    <w:rsid w:val="000622B9"/>
    <w:rsid w:val="000631E9"/>
    <w:rsid w:val="00063B4B"/>
    <w:rsid w:val="00064431"/>
    <w:rsid w:val="00064721"/>
    <w:rsid w:val="00064A8C"/>
    <w:rsid w:val="00064D60"/>
    <w:rsid w:val="0006565C"/>
    <w:rsid w:val="00065973"/>
    <w:rsid w:val="00065C6D"/>
    <w:rsid w:val="000665D3"/>
    <w:rsid w:val="00066646"/>
    <w:rsid w:val="00066C7A"/>
    <w:rsid w:val="00066CF1"/>
    <w:rsid w:val="000678BB"/>
    <w:rsid w:val="00070D9B"/>
    <w:rsid w:val="0007144A"/>
    <w:rsid w:val="000716AB"/>
    <w:rsid w:val="00071AB8"/>
    <w:rsid w:val="0007243A"/>
    <w:rsid w:val="00072AF5"/>
    <w:rsid w:val="000734CB"/>
    <w:rsid w:val="00074660"/>
    <w:rsid w:val="000752FA"/>
    <w:rsid w:val="00075377"/>
    <w:rsid w:val="00076211"/>
    <w:rsid w:val="000762C0"/>
    <w:rsid w:val="0007655A"/>
    <w:rsid w:val="00076737"/>
    <w:rsid w:val="00076769"/>
    <w:rsid w:val="00076C2B"/>
    <w:rsid w:val="00076C73"/>
    <w:rsid w:val="00076F81"/>
    <w:rsid w:val="000772B1"/>
    <w:rsid w:val="000779DE"/>
    <w:rsid w:val="000800B6"/>
    <w:rsid w:val="00080D15"/>
    <w:rsid w:val="00081B03"/>
    <w:rsid w:val="00081BAA"/>
    <w:rsid w:val="00082497"/>
    <w:rsid w:val="000847A0"/>
    <w:rsid w:val="00084BFD"/>
    <w:rsid w:val="00085BD2"/>
    <w:rsid w:val="00085DD5"/>
    <w:rsid w:val="0008651B"/>
    <w:rsid w:val="00087073"/>
    <w:rsid w:val="0008734C"/>
    <w:rsid w:val="0008739A"/>
    <w:rsid w:val="000875BD"/>
    <w:rsid w:val="000878E7"/>
    <w:rsid w:val="00087A3B"/>
    <w:rsid w:val="00087C01"/>
    <w:rsid w:val="000903E4"/>
    <w:rsid w:val="000906D3"/>
    <w:rsid w:val="000906E3"/>
    <w:rsid w:val="00091D73"/>
    <w:rsid w:val="00091DCD"/>
    <w:rsid w:val="000933B5"/>
    <w:rsid w:val="000933BC"/>
    <w:rsid w:val="00093544"/>
    <w:rsid w:val="00093D95"/>
    <w:rsid w:val="00093F87"/>
    <w:rsid w:val="00094663"/>
    <w:rsid w:val="00094F0E"/>
    <w:rsid w:val="00095410"/>
    <w:rsid w:val="00095BAD"/>
    <w:rsid w:val="00095CF4"/>
    <w:rsid w:val="00095E48"/>
    <w:rsid w:val="00096637"/>
    <w:rsid w:val="0009726B"/>
    <w:rsid w:val="00097285"/>
    <w:rsid w:val="0009740F"/>
    <w:rsid w:val="000975EA"/>
    <w:rsid w:val="000A021A"/>
    <w:rsid w:val="000A1828"/>
    <w:rsid w:val="000A1C31"/>
    <w:rsid w:val="000A1D06"/>
    <w:rsid w:val="000A1F38"/>
    <w:rsid w:val="000A2030"/>
    <w:rsid w:val="000A249A"/>
    <w:rsid w:val="000A37F5"/>
    <w:rsid w:val="000A3E1F"/>
    <w:rsid w:val="000A40FE"/>
    <w:rsid w:val="000A413A"/>
    <w:rsid w:val="000A4F1E"/>
    <w:rsid w:val="000A5881"/>
    <w:rsid w:val="000A66A1"/>
    <w:rsid w:val="000A69FB"/>
    <w:rsid w:val="000A71B6"/>
    <w:rsid w:val="000A776F"/>
    <w:rsid w:val="000A77D4"/>
    <w:rsid w:val="000B0B16"/>
    <w:rsid w:val="000B0C95"/>
    <w:rsid w:val="000B1087"/>
    <w:rsid w:val="000B146F"/>
    <w:rsid w:val="000B199A"/>
    <w:rsid w:val="000B1FF7"/>
    <w:rsid w:val="000B209F"/>
    <w:rsid w:val="000B2529"/>
    <w:rsid w:val="000B2685"/>
    <w:rsid w:val="000B2B7C"/>
    <w:rsid w:val="000B377E"/>
    <w:rsid w:val="000B381D"/>
    <w:rsid w:val="000B3DD4"/>
    <w:rsid w:val="000B4024"/>
    <w:rsid w:val="000B44BA"/>
    <w:rsid w:val="000B4C9C"/>
    <w:rsid w:val="000B5311"/>
    <w:rsid w:val="000B5313"/>
    <w:rsid w:val="000B5C05"/>
    <w:rsid w:val="000B5C65"/>
    <w:rsid w:val="000B5F1D"/>
    <w:rsid w:val="000B5FB9"/>
    <w:rsid w:val="000B6BE9"/>
    <w:rsid w:val="000B71D8"/>
    <w:rsid w:val="000C02AD"/>
    <w:rsid w:val="000C060A"/>
    <w:rsid w:val="000C07B0"/>
    <w:rsid w:val="000C092B"/>
    <w:rsid w:val="000C09DF"/>
    <w:rsid w:val="000C0AA8"/>
    <w:rsid w:val="000C18BD"/>
    <w:rsid w:val="000C1FC8"/>
    <w:rsid w:val="000C36E1"/>
    <w:rsid w:val="000C42A9"/>
    <w:rsid w:val="000C42C6"/>
    <w:rsid w:val="000C4F25"/>
    <w:rsid w:val="000C50D6"/>
    <w:rsid w:val="000C557B"/>
    <w:rsid w:val="000C5A85"/>
    <w:rsid w:val="000C5F29"/>
    <w:rsid w:val="000C5F48"/>
    <w:rsid w:val="000C66BF"/>
    <w:rsid w:val="000C6FC1"/>
    <w:rsid w:val="000C7FF8"/>
    <w:rsid w:val="000D0372"/>
    <w:rsid w:val="000D0ADE"/>
    <w:rsid w:val="000D1A8F"/>
    <w:rsid w:val="000D2914"/>
    <w:rsid w:val="000D2E60"/>
    <w:rsid w:val="000D2F50"/>
    <w:rsid w:val="000D3275"/>
    <w:rsid w:val="000D3A1B"/>
    <w:rsid w:val="000D3B86"/>
    <w:rsid w:val="000D4E64"/>
    <w:rsid w:val="000D5008"/>
    <w:rsid w:val="000D570C"/>
    <w:rsid w:val="000D5A0F"/>
    <w:rsid w:val="000D5B1E"/>
    <w:rsid w:val="000D5D9B"/>
    <w:rsid w:val="000D5E3F"/>
    <w:rsid w:val="000D6532"/>
    <w:rsid w:val="000D6E33"/>
    <w:rsid w:val="000D7A6B"/>
    <w:rsid w:val="000E0622"/>
    <w:rsid w:val="000E07AA"/>
    <w:rsid w:val="000E161A"/>
    <w:rsid w:val="000E1D6F"/>
    <w:rsid w:val="000E2D0D"/>
    <w:rsid w:val="000E3381"/>
    <w:rsid w:val="000E3744"/>
    <w:rsid w:val="000E3CD9"/>
    <w:rsid w:val="000E481D"/>
    <w:rsid w:val="000E496B"/>
    <w:rsid w:val="000E4DBF"/>
    <w:rsid w:val="000E4DF2"/>
    <w:rsid w:val="000E5844"/>
    <w:rsid w:val="000E634B"/>
    <w:rsid w:val="000E7349"/>
    <w:rsid w:val="000E762D"/>
    <w:rsid w:val="000E77CC"/>
    <w:rsid w:val="000F0144"/>
    <w:rsid w:val="000F0783"/>
    <w:rsid w:val="000F0807"/>
    <w:rsid w:val="000F080D"/>
    <w:rsid w:val="000F0B3C"/>
    <w:rsid w:val="000F13D5"/>
    <w:rsid w:val="000F14E5"/>
    <w:rsid w:val="000F175F"/>
    <w:rsid w:val="000F1AD8"/>
    <w:rsid w:val="000F2F4C"/>
    <w:rsid w:val="000F306E"/>
    <w:rsid w:val="000F38D9"/>
    <w:rsid w:val="000F3CED"/>
    <w:rsid w:val="000F414C"/>
    <w:rsid w:val="000F59C1"/>
    <w:rsid w:val="000F6320"/>
    <w:rsid w:val="000F64FC"/>
    <w:rsid w:val="000F696E"/>
    <w:rsid w:val="000F6C10"/>
    <w:rsid w:val="000F718E"/>
    <w:rsid w:val="001001F2"/>
    <w:rsid w:val="00100207"/>
    <w:rsid w:val="001003C6"/>
    <w:rsid w:val="00100682"/>
    <w:rsid w:val="00100F25"/>
    <w:rsid w:val="001010D3"/>
    <w:rsid w:val="0010144A"/>
    <w:rsid w:val="00101C11"/>
    <w:rsid w:val="00102F4F"/>
    <w:rsid w:val="001034DD"/>
    <w:rsid w:val="00104425"/>
    <w:rsid w:val="00104B4C"/>
    <w:rsid w:val="00105135"/>
    <w:rsid w:val="001055A2"/>
    <w:rsid w:val="00105DC2"/>
    <w:rsid w:val="0010682A"/>
    <w:rsid w:val="00106C4C"/>
    <w:rsid w:val="0010763D"/>
    <w:rsid w:val="001079AE"/>
    <w:rsid w:val="00107DEF"/>
    <w:rsid w:val="00110145"/>
    <w:rsid w:val="0011031D"/>
    <w:rsid w:val="0011037E"/>
    <w:rsid w:val="00110404"/>
    <w:rsid w:val="001109E8"/>
    <w:rsid w:val="00110F73"/>
    <w:rsid w:val="00111E35"/>
    <w:rsid w:val="001128B4"/>
    <w:rsid w:val="00112EBD"/>
    <w:rsid w:val="001132C2"/>
    <w:rsid w:val="00113335"/>
    <w:rsid w:val="0011382D"/>
    <w:rsid w:val="00113AF2"/>
    <w:rsid w:val="00113C17"/>
    <w:rsid w:val="00113FDD"/>
    <w:rsid w:val="00114051"/>
    <w:rsid w:val="00114973"/>
    <w:rsid w:val="00114A8C"/>
    <w:rsid w:val="00114CFB"/>
    <w:rsid w:val="00114CFF"/>
    <w:rsid w:val="00114FDF"/>
    <w:rsid w:val="0011650B"/>
    <w:rsid w:val="00116616"/>
    <w:rsid w:val="00116FC5"/>
    <w:rsid w:val="00117163"/>
    <w:rsid w:val="00117BBD"/>
    <w:rsid w:val="00117E26"/>
    <w:rsid w:val="001202DF"/>
    <w:rsid w:val="00120F1B"/>
    <w:rsid w:val="001213E7"/>
    <w:rsid w:val="00122208"/>
    <w:rsid w:val="001224BA"/>
    <w:rsid w:val="001238BC"/>
    <w:rsid w:val="00124518"/>
    <w:rsid w:val="001248AB"/>
    <w:rsid w:val="00124981"/>
    <w:rsid w:val="00124B10"/>
    <w:rsid w:val="00124B2E"/>
    <w:rsid w:val="001256A1"/>
    <w:rsid w:val="001257BF"/>
    <w:rsid w:val="00125D81"/>
    <w:rsid w:val="00126301"/>
    <w:rsid w:val="0012661F"/>
    <w:rsid w:val="00126966"/>
    <w:rsid w:val="001269B0"/>
    <w:rsid w:val="00126B24"/>
    <w:rsid w:val="00127234"/>
    <w:rsid w:val="001276C4"/>
    <w:rsid w:val="00127C68"/>
    <w:rsid w:val="00127D5B"/>
    <w:rsid w:val="001300B0"/>
    <w:rsid w:val="001309FD"/>
    <w:rsid w:val="00131373"/>
    <w:rsid w:val="001314A0"/>
    <w:rsid w:val="00131A1F"/>
    <w:rsid w:val="00131A66"/>
    <w:rsid w:val="00131F9C"/>
    <w:rsid w:val="00132336"/>
    <w:rsid w:val="00132425"/>
    <w:rsid w:val="0013280A"/>
    <w:rsid w:val="00132875"/>
    <w:rsid w:val="0013315A"/>
    <w:rsid w:val="001332B3"/>
    <w:rsid w:val="0013343F"/>
    <w:rsid w:val="001344F9"/>
    <w:rsid w:val="00134F37"/>
    <w:rsid w:val="00135F76"/>
    <w:rsid w:val="001360E9"/>
    <w:rsid w:val="001360F4"/>
    <w:rsid w:val="001363C7"/>
    <w:rsid w:val="00136E87"/>
    <w:rsid w:val="00140793"/>
    <w:rsid w:val="0014203B"/>
    <w:rsid w:val="001422BD"/>
    <w:rsid w:val="0014286D"/>
    <w:rsid w:val="00143B8E"/>
    <w:rsid w:val="00143F21"/>
    <w:rsid w:val="0014420C"/>
    <w:rsid w:val="001445C9"/>
    <w:rsid w:val="001446C3"/>
    <w:rsid w:val="001456F7"/>
    <w:rsid w:val="001459C8"/>
    <w:rsid w:val="00145EA8"/>
    <w:rsid w:val="001461A7"/>
    <w:rsid w:val="00146946"/>
    <w:rsid w:val="00146E7C"/>
    <w:rsid w:val="00147F8C"/>
    <w:rsid w:val="001503AE"/>
    <w:rsid w:val="00150492"/>
    <w:rsid w:val="00150F0C"/>
    <w:rsid w:val="00151200"/>
    <w:rsid w:val="001513CE"/>
    <w:rsid w:val="00151465"/>
    <w:rsid w:val="00151AD8"/>
    <w:rsid w:val="00151E77"/>
    <w:rsid w:val="00153287"/>
    <w:rsid w:val="001533E6"/>
    <w:rsid w:val="001538BE"/>
    <w:rsid w:val="00153BA7"/>
    <w:rsid w:val="00153C33"/>
    <w:rsid w:val="00155198"/>
    <w:rsid w:val="0015538F"/>
    <w:rsid w:val="001556D7"/>
    <w:rsid w:val="00155A26"/>
    <w:rsid w:val="00155EF1"/>
    <w:rsid w:val="00156192"/>
    <w:rsid w:val="00156E57"/>
    <w:rsid w:val="0015710D"/>
    <w:rsid w:val="00157338"/>
    <w:rsid w:val="00157CE5"/>
    <w:rsid w:val="00157DEB"/>
    <w:rsid w:val="001609CF"/>
    <w:rsid w:val="001610BC"/>
    <w:rsid w:val="00161847"/>
    <w:rsid w:val="00161E13"/>
    <w:rsid w:val="001629D8"/>
    <w:rsid w:val="00162B2A"/>
    <w:rsid w:val="00162B8D"/>
    <w:rsid w:val="00162F9F"/>
    <w:rsid w:val="00163EB1"/>
    <w:rsid w:val="00164803"/>
    <w:rsid w:val="00164AE0"/>
    <w:rsid w:val="001656F6"/>
    <w:rsid w:val="00165BF5"/>
    <w:rsid w:val="00165F2E"/>
    <w:rsid w:val="0016646A"/>
    <w:rsid w:val="001673EE"/>
    <w:rsid w:val="0016793B"/>
    <w:rsid w:val="00167C43"/>
    <w:rsid w:val="001706C9"/>
    <w:rsid w:val="0017120C"/>
    <w:rsid w:val="0017150D"/>
    <w:rsid w:val="001719EC"/>
    <w:rsid w:val="00171D3A"/>
    <w:rsid w:val="001727D7"/>
    <w:rsid w:val="00172C96"/>
    <w:rsid w:val="00172DDC"/>
    <w:rsid w:val="00172F3A"/>
    <w:rsid w:val="0017303B"/>
    <w:rsid w:val="00173477"/>
    <w:rsid w:val="0017414F"/>
    <w:rsid w:val="0017432C"/>
    <w:rsid w:val="00174636"/>
    <w:rsid w:val="00174735"/>
    <w:rsid w:val="0017481D"/>
    <w:rsid w:val="00174B1B"/>
    <w:rsid w:val="00174BD8"/>
    <w:rsid w:val="00174D51"/>
    <w:rsid w:val="00174D93"/>
    <w:rsid w:val="001750BC"/>
    <w:rsid w:val="00175716"/>
    <w:rsid w:val="001757B3"/>
    <w:rsid w:val="001765BB"/>
    <w:rsid w:val="0017667E"/>
    <w:rsid w:val="001766D3"/>
    <w:rsid w:val="00176AE8"/>
    <w:rsid w:val="00176E76"/>
    <w:rsid w:val="00177433"/>
    <w:rsid w:val="00177570"/>
    <w:rsid w:val="00177E95"/>
    <w:rsid w:val="0018007F"/>
    <w:rsid w:val="001811FC"/>
    <w:rsid w:val="00182338"/>
    <w:rsid w:val="00182348"/>
    <w:rsid w:val="001831FE"/>
    <w:rsid w:val="00183F50"/>
    <w:rsid w:val="00184A26"/>
    <w:rsid w:val="00184BB2"/>
    <w:rsid w:val="00184BD9"/>
    <w:rsid w:val="00184ED6"/>
    <w:rsid w:val="00184F13"/>
    <w:rsid w:val="00184FAC"/>
    <w:rsid w:val="00184FD9"/>
    <w:rsid w:val="00185361"/>
    <w:rsid w:val="00186037"/>
    <w:rsid w:val="00186AE4"/>
    <w:rsid w:val="00186D14"/>
    <w:rsid w:val="001876D8"/>
    <w:rsid w:val="00187F6A"/>
    <w:rsid w:val="00190325"/>
    <w:rsid w:val="00190391"/>
    <w:rsid w:val="0019151E"/>
    <w:rsid w:val="00191593"/>
    <w:rsid w:val="0019185D"/>
    <w:rsid w:val="001918F1"/>
    <w:rsid w:val="0019196E"/>
    <w:rsid w:val="00191FF5"/>
    <w:rsid w:val="001926D7"/>
    <w:rsid w:val="00192CCE"/>
    <w:rsid w:val="0019385B"/>
    <w:rsid w:val="00193F1C"/>
    <w:rsid w:val="00194428"/>
    <w:rsid w:val="001947C0"/>
    <w:rsid w:val="001948F5"/>
    <w:rsid w:val="00194958"/>
    <w:rsid w:val="0019566E"/>
    <w:rsid w:val="00196359"/>
    <w:rsid w:val="0019710C"/>
    <w:rsid w:val="00197205"/>
    <w:rsid w:val="00197632"/>
    <w:rsid w:val="0019793F"/>
    <w:rsid w:val="00197A9D"/>
    <w:rsid w:val="001A08E7"/>
    <w:rsid w:val="001A17D7"/>
    <w:rsid w:val="001A1A67"/>
    <w:rsid w:val="001A1FDD"/>
    <w:rsid w:val="001A2D8F"/>
    <w:rsid w:val="001A3D89"/>
    <w:rsid w:val="001A3E0A"/>
    <w:rsid w:val="001A5458"/>
    <w:rsid w:val="001A545B"/>
    <w:rsid w:val="001A54DA"/>
    <w:rsid w:val="001A5E69"/>
    <w:rsid w:val="001A6861"/>
    <w:rsid w:val="001A6FEC"/>
    <w:rsid w:val="001A78AA"/>
    <w:rsid w:val="001A7B5A"/>
    <w:rsid w:val="001B08B5"/>
    <w:rsid w:val="001B143B"/>
    <w:rsid w:val="001B1532"/>
    <w:rsid w:val="001B1777"/>
    <w:rsid w:val="001B19C5"/>
    <w:rsid w:val="001B1B6D"/>
    <w:rsid w:val="001B1C93"/>
    <w:rsid w:val="001B21CA"/>
    <w:rsid w:val="001B28D5"/>
    <w:rsid w:val="001B28E4"/>
    <w:rsid w:val="001B30A0"/>
    <w:rsid w:val="001B35D4"/>
    <w:rsid w:val="001B4446"/>
    <w:rsid w:val="001B52D3"/>
    <w:rsid w:val="001B53DD"/>
    <w:rsid w:val="001B5565"/>
    <w:rsid w:val="001B5A00"/>
    <w:rsid w:val="001B5F59"/>
    <w:rsid w:val="001B63A7"/>
    <w:rsid w:val="001B6810"/>
    <w:rsid w:val="001B6E89"/>
    <w:rsid w:val="001B7358"/>
    <w:rsid w:val="001B791C"/>
    <w:rsid w:val="001B7B9B"/>
    <w:rsid w:val="001B7D70"/>
    <w:rsid w:val="001B7E1A"/>
    <w:rsid w:val="001C0125"/>
    <w:rsid w:val="001C1074"/>
    <w:rsid w:val="001C21C8"/>
    <w:rsid w:val="001C25F5"/>
    <w:rsid w:val="001C265A"/>
    <w:rsid w:val="001C2DFD"/>
    <w:rsid w:val="001C34D0"/>
    <w:rsid w:val="001C4249"/>
    <w:rsid w:val="001C46E3"/>
    <w:rsid w:val="001C496A"/>
    <w:rsid w:val="001C4AC1"/>
    <w:rsid w:val="001C4F27"/>
    <w:rsid w:val="001C51FE"/>
    <w:rsid w:val="001C5825"/>
    <w:rsid w:val="001C582B"/>
    <w:rsid w:val="001C6573"/>
    <w:rsid w:val="001C7B08"/>
    <w:rsid w:val="001C7D03"/>
    <w:rsid w:val="001D00BE"/>
    <w:rsid w:val="001D079B"/>
    <w:rsid w:val="001D0D32"/>
    <w:rsid w:val="001D1363"/>
    <w:rsid w:val="001D17C9"/>
    <w:rsid w:val="001D18D9"/>
    <w:rsid w:val="001D1A37"/>
    <w:rsid w:val="001D1AB9"/>
    <w:rsid w:val="001D1EEB"/>
    <w:rsid w:val="001D1F20"/>
    <w:rsid w:val="001D22D5"/>
    <w:rsid w:val="001D3795"/>
    <w:rsid w:val="001D4006"/>
    <w:rsid w:val="001D54BD"/>
    <w:rsid w:val="001D5C72"/>
    <w:rsid w:val="001D616F"/>
    <w:rsid w:val="001D626E"/>
    <w:rsid w:val="001D733B"/>
    <w:rsid w:val="001D73CF"/>
    <w:rsid w:val="001D7536"/>
    <w:rsid w:val="001D7E8C"/>
    <w:rsid w:val="001E04CD"/>
    <w:rsid w:val="001E0902"/>
    <w:rsid w:val="001E1801"/>
    <w:rsid w:val="001E1C73"/>
    <w:rsid w:val="001E1E05"/>
    <w:rsid w:val="001E20B7"/>
    <w:rsid w:val="001E20E9"/>
    <w:rsid w:val="001E2254"/>
    <w:rsid w:val="001E2275"/>
    <w:rsid w:val="001E22D2"/>
    <w:rsid w:val="001E2343"/>
    <w:rsid w:val="001E3A17"/>
    <w:rsid w:val="001E3FCB"/>
    <w:rsid w:val="001E52DF"/>
    <w:rsid w:val="001E5500"/>
    <w:rsid w:val="001E58EB"/>
    <w:rsid w:val="001E6BCB"/>
    <w:rsid w:val="001E761F"/>
    <w:rsid w:val="001E774A"/>
    <w:rsid w:val="001E783B"/>
    <w:rsid w:val="001E7CA3"/>
    <w:rsid w:val="001E7FBC"/>
    <w:rsid w:val="001F0822"/>
    <w:rsid w:val="001F08CB"/>
    <w:rsid w:val="001F105B"/>
    <w:rsid w:val="001F15F6"/>
    <w:rsid w:val="001F179C"/>
    <w:rsid w:val="001F24B7"/>
    <w:rsid w:val="001F2649"/>
    <w:rsid w:val="001F2DB5"/>
    <w:rsid w:val="001F3496"/>
    <w:rsid w:val="001F41CA"/>
    <w:rsid w:val="001F4355"/>
    <w:rsid w:val="001F478E"/>
    <w:rsid w:val="001F4819"/>
    <w:rsid w:val="001F485F"/>
    <w:rsid w:val="001F48BD"/>
    <w:rsid w:val="001F4D8E"/>
    <w:rsid w:val="001F4FAB"/>
    <w:rsid w:val="001F5034"/>
    <w:rsid w:val="001F61DE"/>
    <w:rsid w:val="001F63AA"/>
    <w:rsid w:val="001F69C8"/>
    <w:rsid w:val="001F7054"/>
    <w:rsid w:val="001F77E5"/>
    <w:rsid w:val="001F7DB7"/>
    <w:rsid w:val="002000AA"/>
    <w:rsid w:val="0020128F"/>
    <w:rsid w:val="00201502"/>
    <w:rsid w:val="00201DBD"/>
    <w:rsid w:val="0020302A"/>
    <w:rsid w:val="0020324C"/>
    <w:rsid w:val="002032A0"/>
    <w:rsid w:val="00203532"/>
    <w:rsid w:val="00203AE0"/>
    <w:rsid w:val="00204106"/>
    <w:rsid w:val="00204109"/>
    <w:rsid w:val="0020503A"/>
    <w:rsid w:val="00205041"/>
    <w:rsid w:val="0020524C"/>
    <w:rsid w:val="0020557A"/>
    <w:rsid w:val="002059E3"/>
    <w:rsid w:val="00206258"/>
    <w:rsid w:val="00207438"/>
    <w:rsid w:val="002100FF"/>
    <w:rsid w:val="00210543"/>
    <w:rsid w:val="002109BB"/>
    <w:rsid w:val="00210B9B"/>
    <w:rsid w:val="0021102F"/>
    <w:rsid w:val="002118D1"/>
    <w:rsid w:val="00211DCE"/>
    <w:rsid w:val="0021229D"/>
    <w:rsid w:val="00212390"/>
    <w:rsid w:val="00212897"/>
    <w:rsid w:val="00213612"/>
    <w:rsid w:val="0021386A"/>
    <w:rsid w:val="00213C44"/>
    <w:rsid w:val="002147EE"/>
    <w:rsid w:val="00214A95"/>
    <w:rsid w:val="00215516"/>
    <w:rsid w:val="002158DC"/>
    <w:rsid w:val="002159D5"/>
    <w:rsid w:val="00215B64"/>
    <w:rsid w:val="00215C05"/>
    <w:rsid w:val="00215F9F"/>
    <w:rsid w:val="002161E3"/>
    <w:rsid w:val="00216DF5"/>
    <w:rsid w:val="00216EFA"/>
    <w:rsid w:val="0021798E"/>
    <w:rsid w:val="00217CA1"/>
    <w:rsid w:val="00217DEE"/>
    <w:rsid w:val="002203BF"/>
    <w:rsid w:val="00220C4C"/>
    <w:rsid w:val="00220E95"/>
    <w:rsid w:val="002217FE"/>
    <w:rsid w:val="0022180C"/>
    <w:rsid w:val="00221935"/>
    <w:rsid w:val="00221C72"/>
    <w:rsid w:val="00221DCA"/>
    <w:rsid w:val="002223E1"/>
    <w:rsid w:val="002225AB"/>
    <w:rsid w:val="00222955"/>
    <w:rsid w:val="002231B0"/>
    <w:rsid w:val="002239B8"/>
    <w:rsid w:val="0022491B"/>
    <w:rsid w:val="002250D1"/>
    <w:rsid w:val="00225AAD"/>
    <w:rsid w:val="002267D2"/>
    <w:rsid w:val="00230839"/>
    <w:rsid w:val="00230EE8"/>
    <w:rsid w:val="00231ADB"/>
    <w:rsid w:val="00232178"/>
    <w:rsid w:val="00232248"/>
    <w:rsid w:val="00232D12"/>
    <w:rsid w:val="0023353F"/>
    <w:rsid w:val="00233616"/>
    <w:rsid w:val="00233975"/>
    <w:rsid w:val="00233B8C"/>
    <w:rsid w:val="002353E3"/>
    <w:rsid w:val="00235CC0"/>
    <w:rsid w:val="00235F30"/>
    <w:rsid w:val="00236287"/>
    <w:rsid w:val="002363FF"/>
    <w:rsid w:val="00236D10"/>
    <w:rsid w:val="0023777E"/>
    <w:rsid w:val="002400BB"/>
    <w:rsid w:val="002407CE"/>
    <w:rsid w:val="002410D2"/>
    <w:rsid w:val="0024174C"/>
    <w:rsid w:val="00241A6E"/>
    <w:rsid w:val="00242325"/>
    <w:rsid w:val="002430FE"/>
    <w:rsid w:val="00243A38"/>
    <w:rsid w:val="0024474F"/>
    <w:rsid w:val="00244761"/>
    <w:rsid w:val="002450F2"/>
    <w:rsid w:val="00245B7F"/>
    <w:rsid w:val="00246383"/>
    <w:rsid w:val="002469C2"/>
    <w:rsid w:val="00247BDE"/>
    <w:rsid w:val="00247DE2"/>
    <w:rsid w:val="002505DE"/>
    <w:rsid w:val="002514FA"/>
    <w:rsid w:val="00251DAF"/>
    <w:rsid w:val="00252503"/>
    <w:rsid w:val="0025265C"/>
    <w:rsid w:val="00252ED7"/>
    <w:rsid w:val="0025393C"/>
    <w:rsid w:val="002549E7"/>
    <w:rsid w:val="00254A7A"/>
    <w:rsid w:val="00254EA4"/>
    <w:rsid w:val="0025509C"/>
    <w:rsid w:val="002552F8"/>
    <w:rsid w:val="00255666"/>
    <w:rsid w:val="0025575F"/>
    <w:rsid w:val="002560FB"/>
    <w:rsid w:val="00256F06"/>
    <w:rsid w:val="002571E3"/>
    <w:rsid w:val="002573DA"/>
    <w:rsid w:val="00260496"/>
    <w:rsid w:val="00260542"/>
    <w:rsid w:val="00260BAD"/>
    <w:rsid w:val="002612EA"/>
    <w:rsid w:val="0026224C"/>
    <w:rsid w:val="00264022"/>
    <w:rsid w:val="00264C7C"/>
    <w:rsid w:val="0026650F"/>
    <w:rsid w:val="00266DC3"/>
    <w:rsid w:val="0027029D"/>
    <w:rsid w:val="00270443"/>
    <w:rsid w:val="00270EE2"/>
    <w:rsid w:val="00270EEB"/>
    <w:rsid w:val="0027138C"/>
    <w:rsid w:val="0027165A"/>
    <w:rsid w:val="00272787"/>
    <w:rsid w:val="00272826"/>
    <w:rsid w:val="00272A7B"/>
    <w:rsid w:val="00272C44"/>
    <w:rsid w:val="00272F05"/>
    <w:rsid w:val="00273527"/>
    <w:rsid w:val="00273F6B"/>
    <w:rsid w:val="002747EF"/>
    <w:rsid w:val="00274B06"/>
    <w:rsid w:val="002751D6"/>
    <w:rsid w:val="002754D3"/>
    <w:rsid w:val="00276261"/>
    <w:rsid w:val="00276944"/>
    <w:rsid w:val="00276964"/>
    <w:rsid w:val="002769AE"/>
    <w:rsid w:val="00276CA7"/>
    <w:rsid w:val="0027737B"/>
    <w:rsid w:val="002816DD"/>
    <w:rsid w:val="002817A6"/>
    <w:rsid w:val="002821E8"/>
    <w:rsid w:val="00282F1D"/>
    <w:rsid w:val="00283215"/>
    <w:rsid w:val="00283369"/>
    <w:rsid w:val="002833F3"/>
    <w:rsid w:val="00284203"/>
    <w:rsid w:val="00285237"/>
    <w:rsid w:val="00285E3F"/>
    <w:rsid w:val="0028610D"/>
    <w:rsid w:val="002862CC"/>
    <w:rsid w:val="002866DB"/>
    <w:rsid w:val="00286BFE"/>
    <w:rsid w:val="00286C81"/>
    <w:rsid w:val="0028703E"/>
    <w:rsid w:val="0028709F"/>
    <w:rsid w:val="0028717B"/>
    <w:rsid w:val="00287524"/>
    <w:rsid w:val="00290119"/>
    <w:rsid w:val="0029040D"/>
    <w:rsid w:val="002908F8"/>
    <w:rsid w:val="00290A53"/>
    <w:rsid w:val="00290B64"/>
    <w:rsid w:val="00291CB7"/>
    <w:rsid w:val="00292A5E"/>
    <w:rsid w:val="00292E91"/>
    <w:rsid w:val="002930AD"/>
    <w:rsid w:val="00293254"/>
    <w:rsid w:val="00295002"/>
    <w:rsid w:val="0029568E"/>
    <w:rsid w:val="00295E8C"/>
    <w:rsid w:val="00296BF8"/>
    <w:rsid w:val="002971C7"/>
    <w:rsid w:val="002971F2"/>
    <w:rsid w:val="00297785"/>
    <w:rsid w:val="00297E05"/>
    <w:rsid w:val="002A0444"/>
    <w:rsid w:val="002A0BEB"/>
    <w:rsid w:val="002A0F8D"/>
    <w:rsid w:val="002A1311"/>
    <w:rsid w:val="002A1377"/>
    <w:rsid w:val="002A1F89"/>
    <w:rsid w:val="002A211A"/>
    <w:rsid w:val="002A264B"/>
    <w:rsid w:val="002A37F7"/>
    <w:rsid w:val="002A4A82"/>
    <w:rsid w:val="002A4B33"/>
    <w:rsid w:val="002A4C00"/>
    <w:rsid w:val="002A5311"/>
    <w:rsid w:val="002A5863"/>
    <w:rsid w:val="002A6E9B"/>
    <w:rsid w:val="002A6FBB"/>
    <w:rsid w:val="002B03E1"/>
    <w:rsid w:val="002B05D1"/>
    <w:rsid w:val="002B09F5"/>
    <w:rsid w:val="002B0DE1"/>
    <w:rsid w:val="002B18C7"/>
    <w:rsid w:val="002B1933"/>
    <w:rsid w:val="002B20BD"/>
    <w:rsid w:val="002B22DB"/>
    <w:rsid w:val="002B2611"/>
    <w:rsid w:val="002B27D8"/>
    <w:rsid w:val="002B35B9"/>
    <w:rsid w:val="002B38D2"/>
    <w:rsid w:val="002B3A46"/>
    <w:rsid w:val="002B3F1C"/>
    <w:rsid w:val="002B3F60"/>
    <w:rsid w:val="002B401B"/>
    <w:rsid w:val="002B48C5"/>
    <w:rsid w:val="002B4ED9"/>
    <w:rsid w:val="002B4EF4"/>
    <w:rsid w:val="002B5007"/>
    <w:rsid w:val="002B51BB"/>
    <w:rsid w:val="002B58C5"/>
    <w:rsid w:val="002B654E"/>
    <w:rsid w:val="002B6C1F"/>
    <w:rsid w:val="002B6CA2"/>
    <w:rsid w:val="002B6E44"/>
    <w:rsid w:val="002B6E8A"/>
    <w:rsid w:val="002B726F"/>
    <w:rsid w:val="002B744E"/>
    <w:rsid w:val="002B7909"/>
    <w:rsid w:val="002B7BE1"/>
    <w:rsid w:val="002C000B"/>
    <w:rsid w:val="002C016F"/>
    <w:rsid w:val="002C09A8"/>
    <w:rsid w:val="002C103C"/>
    <w:rsid w:val="002C1109"/>
    <w:rsid w:val="002C12C7"/>
    <w:rsid w:val="002C1E93"/>
    <w:rsid w:val="002C1F74"/>
    <w:rsid w:val="002C29EB"/>
    <w:rsid w:val="002C30F0"/>
    <w:rsid w:val="002C3799"/>
    <w:rsid w:val="002C3C94"/>
    <w:rsid w:val="002C3D23"/>
    <w:rsid w:val="002C401A"/>
    <w:rsid w:val="002C479B"/>
    <w:rsid w:val="002C4EC8"/>
    <w:rsid w:val="002C50ED"/>
    <w:rsid w:val="002C532B"/>
    <w:rsid w:val="002C6AF5"/>
    <w:rsid w:val="002C6D15"/>
    <w:rsid w:val="002C72F4"/>
    <w:rsid w:val="002C7E5B"/>
    <w:rsid w:val="002D0907"/>
    <w:rsid w:val="002D0BB4"/>
    <w:rsid w:val="002D0E9E"/>
    <w:rsid w:val="002D1381"/>
    <w:rsid w:val="002D2D68"/>
    <w:rsid w:val="002D2F69"/>
    <w:rsid w:val="002D3016"/>
    <w:rsid w:val="002D3067"/>
    <w:rsid w:val="002D38D9"/>
    <w:rsid w:val="002D3CE3"/>
    <w:rsid w:val="002D4298"/>
    <w:rsid w:val="002D47E8"/>
    <w:rsid w:val="002D4FCC"/>
    <w:rsid w:val="002D52A8"/>
    <w:rsid w:val="002D5FD5"/>
    <w:rsid w:val="002D680B"/>
    <w:rsid w:val="002D68F4"/>
    <w:rsid w:val="002D7395"/>
    <w:rsid w:val="002D7417"/>
    <w:rsid w:val="002D782B"/>
    <w:rsid w:val="002E0D9C"/>
    <w:rsid w:val="002E1247"/>
    <w:rsid w:val="002E1D70"/>
    <w:rsid w:val="002E26E8"/>
    <w:rsid w:val="002E33A6"/>
    <w:rsid w:val="002E3DD8"/>
    <w:rsid w:val="002E3ED8"/>
    <w:rsid w:val="002E5A01"/>
    <w:rsid w:val="002E5AF4"/>
    <w:rsid w:val="002E5EA3"/>
    <w:rsid w:val="002E717C"/>
    <w:rsid w:val="002E7533"/>
    <w:rsid w:val="002E7A61"/>
    <w:rsid w:val="002F00B8"/>
    <w:rsid w:val="002F0106"/>
    <w:rsid w:val="002F02C2"/>
    <w:rsid w:val="002F03C8"/>
    <w:rsid w:val="002F188D"/>
    <w:rsid w:val="002F18A5"/>
    <w:rsid w:val="002F26F3"/>
    <w:rsid w:val="002F2CBF"/>
    <w:rsid w:val="002F317F"/>
    <w:rsid w:val="002F4E85"/>
    <w:rsid w:val="002F51A2"/>
    <w:rsid w:val="002F5BA8"/>
    <w:rsid w:val="002F5E95"/>
    <w:rsid w:val="002F5F68"/>
    <w:rsid w:val="002F6367"/>
    <w:rsid w:val="002F63CA"/>
    <w:rsid w:val="002F67B4"/>
    <w:rsid w:val="002F6C80"/>
    <w:rsid w:val="002F6F73"/>
    <w:rsid w:val="002F7AA9"/>
    <w:rsid w:val="00300414"/>
    <w:rsid w:val="003004E3"/>
    <w:rsid w:val="00300FF1"/>
    <w:rsid w:val="003010FF"/>
    <w:rsid w:val="00301C0D"/>
    <w:rsid w:val="00301D7B"/>
    <w:rsid w:val="00301E19"/>
    <w:rsid w:val="003023DE"/>
    <w:rsid w:val="00302998"/>
    <w:rsid w:val="00303DC4"/>
    <w:rsid w:val="00304676"/>
    <w:rsid w:val="00305C4B"/>
    <w:rsid w:val="00306BE7"/>
    <w:rsid w:val="00306D4A"/>
    <w:rsid w:val="003073B2"/>
    <w:rsid w:val="00307F1A"/>
    <w:rsid w:val="00307F40"/>
    <w:rsid w:val="003110A2"/>
    <w:rsid w:val="00311655"/>
    <w:rsid w:val="00311B66"/>
    <w:rsid w:val="00311F29"/>
    <w:rsid w:val="00312518"/>
    <w:rsid w:val="00313432"/>
    <w:rsid w:val="00314036"/>
    <w:rsid w:val="003142CC"/>
    <w:rsid w:val="00314347"/>
    <w:rsid w:val="00314C4F"/>
    <w:rsid w:val="00314FAF"/>
    <w:rsid w:val="003162A5"/>
    <w:rsid w:val="00316591"/>
    <w:rsid w:val="00317C91"/>
    <w:rsid w:val="00320553"/>
    <w:rsid w:val="00320C6D"/>
    <w:rsid w:val="003213A8"/>
    <w:rsid w:val="00321FA8"/>
    <w:rsid w:val="00321FE5"/>
    <w:rsid w:val="00321FFD"/>
    <w:rsid w:val="003225AD"/>
    <w:rsid w:val="00322E18"/>
    <w:rsid w:val="00323C3D"/>
    <w:rsid w:val="00323D1D"/>
    <w:rsid w:val="00323F8A"/>
    <w:rsid w:val="00324752"/>
    <w:rsid w:val="00324D73"/>
    <w:rsid w:val="00326011"/>
    <w:rsid w:val="0032643D"/>
    <w:rsid w:val="00326D02"/>
    <w:rsid w:val="00327069"/>
    <w:rsid w:val="00327812"/>
    <w:rsid w:val="00327AFB"/>
    <w:rsid w:val="00327BAF"/>
    <w:rsid w:val="00327D10"/>
    <w:rsid w:val="00331894"/>
    <w:rsid w:val="00331FA5"/>
    <w:rsid w:val="00332124"/>
    <w:rsid w:val="00332CB8"/>
    <w:rsid w:val="00333428"/>
    <w:rsid w:val="003339D9"/>
    <w:rsid w:val="00333CAE"/>
    <w:rsid w:val="00334784"/>
    <w:rsid w:val="003350B6"/>
    <w:rsid w:val="0033595E"/>
    <w:rsid w:val="0033601B"/>
    <w:rsid w:val="003364B6"/>
    <w:rsid w:val="0033764C"/>
    <w:rsid w:val="00337DF3"/>
    <w:rsid w:val="00337F8E"/>
    <w:rsid w:val="00340039"/>
    <w:rsid w:val="003400D3"/>
    <w:rsid w:val="0034024F"/>
    <w:rsid w:val="00340A77"/>
    <w:rsid w:val="00340D39"/>
    <w:rsid w:val="00340DFB"/>
    <w:rsid w:val="00341787"/>
    <w:rsid w:val="00341941"/>
    <w:rsid w:val="0034207A"/>
    <w:rsid w:val="0034278F"/>
    <w:rsid w:val="0034281F"/>
    <w:rsid w:val="00343B47"/>
    <w:rsid w:val="00343F24"/>
    <w:rsid w:val="0034404F"/>
    <w:rsid w:val="00344ACC"/>
    <w:rsid w:val="00345F01"/>
    <w:rsid w:val="0034654F"/>
    <w:rsid w:val="003466C9"/>
    <w:rsid w:val="00346762"/>
    <w:rsid w:val="00346B28"/>
    <w:rsid w:val="003475E1"/>
    <w:rsid w:val="00347685"/>
    <w:rsid w:val="003509A5"/>
    <w:rsid w:val="00350C4A"/>
    <w:rsid w:val="00351305"/>
    <w:rsid w:val="003515FD"/>
    <w:rsid w:val="003518A4"/>
    <w:rsid w:val="00351E21"/>
    <w:rsid w:val="00352327"/>
    <w:rsid w:val="003526A9"/>
    <w:rsid w:val="00354062"/>
    <w:rsid w:val="00354405"/>
    <w:rsid w:val="00354752"/>
    <w:rsid w:val="00355779"/>
    <w:rsid w:val="00355A76"/>
    <w:rsid w:val="00355DEC"/>
    <w:rsid w:val="0035635F"/>
    <w:rsid w:val="00356E0F"/>
    <w:rsid w:val="0035700C"/>
    <w:rsid w:val="003607EE"/>
    <w:rsid w:val="00360BC8"/>
    <w:rsid w:val="00360E35"/>
    <w:rsid w:val="00361106"/>
    <w:rsid w:val="003617AE"/>
    <w:rsid w:val="00361F64"/>
    <w:rsid w:val="0036215C"/>
    <w:rsid w:val="003630F7"/>
    <w:rsid w:val="0036332B"/>
    <w:rsid w:val="00363589"/>
    <w:rsid w:val="00363636"/>
    <w:rsid w:val="0036498F"/>
    <w:rsid w:val="003651AC"/>
    <w:rsid w:val="003653AA"/>
    <w:rsid w:val="00366120"/>
    <w:rsid w:val="003661FF"/>
    <w:rsid w:val="003665A5"/>
    <w:rsid w:val="00366A0C"/>
    <w:rsid w:val="00367238"/>
    <w:rsid w:val="00367462"/>
    <w:rsid w:val="003677D5"/>
    <w:rsid w:val="0037034B"/>
    <w:rsid w:val="00370507"/>
    <w:rsid w:val="00370682"/>
    <w:rsid w:val="00370F0B"/>
    <w:rsid w:val="003718D8"/>
    <w:rsid w:val="0037252E"/>
    <w:rsid w:val="00372A01"/>
    <w:rsid w:val="00372ADC"/>
    <w:rsid w:val="00372B87"/>
    <w:rsid w:val="00372C82"/>
    <w:rsid w:val="00372CFC"/>
    <w:rsid w:val="003733DF"/>
    <w:rsid w:val="00373865"/>
    <w:rsid w:val="003739DA"/>
    <w:rsid w:val="00373CE8"/>
    <w:rsid w:val="00374AFA"/>
    <w:rsid w:val="00374DB0"/>
    <w:rsid w:val="003751C7"/>
    <w:rsid w:val="00375C84"/>
    <w:rsid w:val="00376524"/>
    <w:rsid w:val="00376E3B"/>
    <w:rsid w:val="003770C7"/>
    <w:rsid w:val="003776FE"/>
    <w:rsid w:val="00380424"/>
    <w:rsid w:val="00380868"/>
    <w:rsid w:val="00380B9B"/>
    <w:rsid w:val="003818B3"/>
    <w:rsid w:val="003819F5"/>
    <w:rsid w:val="00381A52"/>
    <w:rsid w:val="00381B57"/>
    <w:rsid w:val="00381D47"/>
    <w:rsid w:val="00382162"/>
    <w:rsid w:val="003821CC"/>
    <w:rsid w:val="0038323B"/>
    <w:rsid w:val="003835F0"/>
    <w:rsid w:val="00383B68"/>
    <w:rsid w:val="00384296"/>
    <w:rsid w:val="003853B1"/>
    <w:rsid w:val="003853ED"/>
    <w:rsid w:val="00385E48"/>
    <w:rsid w:val="0038628F"/>
    <w:rsid w:val="00386421"/>
    <w:rsid w:val="0038704C"/>
    <w:rsid w:val="00387AA1"/>
    <w:rsid w:val="0039082A"/>
    <w:rsid w:val="0039101F"/>
    <w:rsid w:val="00392EDB"/>
    <w:rsid w:val="00392FAE"/>
    <w:rsid w:val="003931AA"/>
    <w:rsid w:val="00393EEE"/>
    <w:rsid w:val="003941C0"/>
    <w:rsid w:val="00394D45"/>
    <w:rsid w:val="00395132"/>
    <w:rsid w:val="00395D99"/>
    <w:rsid w:val="00396210"/>
    <w:rsid w:val="00396682"/>
    <w:rsid w:val="003968DF"/>
    <w:rsid w:val="003976C3"/>
    <w:rsid w:val="00397A03"/>
    <w:rsid w:val="00397A64"/>
    <w:rsid w:val="003A099A"/>
    <w:rsid w:val="003A1372"/>
    <w:rsid w:val="003A15DE"/>
    <w:rsid w:val="003A1D46"/>
    <w:rsid w:val="003A2447"/>
    <w:rsid w:val="003A2B82"/>
    <w:rsid w:val="003A36D3"/>
    <w:rsid w:val="003A3927"/>
    <w:rsid w:val="003A3D2E"/>
    <w:rsid w:val="003A3F75"/>
    <w:rsid w:val="003A3FF7"/>
    <w:rsid w:val="003A43D1"/>
    <w:rsid w:val="003A478A"/>
    <w:rsid w:val="003A6A2B"/>
    <w:rsid w:val="003A6A51"/>
    <w:rsid w:val="003A6E29"/>
    <w:rsid w:val="003A7FEA"/>
    <w:rsid w:val="003B0214"/>
    <w:rsid w:val="003B0464"/>
    <w:rsid w:val="003B0BDB"/>
    <w:rsid w:val="003B0E88"/>
    <w:rsid w:val="003B106E"/>
    <w:rsid w:val="003B153F"/>
    <w:rsid w:val="003B17B0"/>
    <w:rsid w:val="003B1844"/>
    <w:rsid w:val="003B1A5C"/>
    <w:rsid w:val="003B211E"/>
    <w:rsid w:val="003B24EA"/>
    <w:rsid w:val="003B2DA7"/>
    <w:rsid w:val="003B348A"/>
    <w:rsid w:val="003B3993"/>
    <w:rsid w:val="003B3AB7"/>
    <w:rsid w:val="003B3ABC"/>
    <w:rsid w:val="003B3CDD"/>
    <w:rsid w:val="003B3D8E"/>
    <w:rsid w:val="003B3FED"/>
    <w:rsid w:val="003B3FF1"/>
    <w:rsid w:val="003B4217"/>
    <w:rsid w:val="003B59A1"/>
    <w:rsid w:val="003B6D11"/>
    <w:rsid w:val="003B74F1"/>
    <w:rsid w:val="003B7541"/>
    <w:rsid w:val="003B7966"/>
    <w:rsid w:val="003B7F07"/>
    <w:rsid w:val="003B7FCE"/>
    <w:rsid w:val="003C0053"/>
    <w:rsid w:val="003C067C"/>
    <w:rsid w:val="003C0F87"/>
    <w:rsid w:val="003C1113"/>
    <w:rsid w:val="003C141E"/>
    <w:rsid w:val="003C1B83"/>
    <w:rsid w:val="003C210E"/>
    <w:rsid w:val="003C2186"/>
    <w:rsid w:val="003C21B3"/>
    <w:rsid w:val="003C30AD"/>
    <w:rsid w:val="003C3503"/>
    <w:rsid w:val="003C40DE"/>
    <w:rsid w:val="003C4851"/>
    <w:rsid w:val="003C4C96"/>
    <w:rsid w:val="003C55E0"/>
    <w:rsid w:val="003C5D5D"/>
    <w:rsid w:val="003C5E39"/>
    <w:rsid w:val="003C683A"/>
    <w:rsid w:val="003D0079"/>
    <w:rsid w:val="003D017D"/>
    <w:rsid w:val="003D04D6"/>
    <w:rsid w:val="003D10EC"/>
    <w:rsid w:val="003D1901"/>
    <w:rsid w:val="003D28DE"/>
    <w:rsid w:val="003D29B9"/>
    <w:rsid w:val="003D3500"/>
    <w:rsid w:val="003D37B6"/>
    <w:rsid w:val="003D3C68"/>
    <w:rsid w:val="003D450D"/>
    <w:rsid w:val="003D4BA9"/>
    <w:rsid w:val="003D4F8F"/>
    <w:rsid w:val="003D503A"/>
    <w:rsid w:val="003D6505"/>
    <w:rsid w:val="003D71A6"/>
    <w:rsid w:val="003D7709"/>
    <w:rsid w:val="003E004C"/>
    <w:rsid w:val="003E0BAF"/>
    <w:rsid w:val="003E0C97"/>
    <w:rsid w:val="003E0E25"/>
    <w:rsid w:val="003E1409"/>
    <w:rsid w:val="003E14AC"/>
    <w:rsid w:val="003E16F2"/>
    <w:rsid w:val="003E2195"/>
    <w:rsid w:val="003E36A5"/>
    <w:rsid w:val="003E42BC"/>
    <w:rsid w:val="003E4A52"/>
    <w:rsid w:val="003E5CBA"/>
    <w:rsid w:val="003E782F"/>
    <w:rsid w:val="003E78A9"/>
    <w:rsid w:val="003E7912"/>
    <w:rsid w:val="003F04A3"/>
    <w:rsid w:val="003F04E6"/>
    <w:rsid w:val="003F097C"/>
    <w:rsid w:val="003F163F"/>
    <w:rsid w:val="003F1B87"/>
    <w:rsid w:val="003F2164"/>
    <w:rsid w:val="003F2777"/>
    <w:rsid w:val="003F2CDD"/>
    <w:rsid w:val="003F3FB3"/>
    <w:rsid w:val="003F45D7"/>
    <w:rsid w:val="003F4C1B"/>
    <w:rsid w:val="003F5660"/>
    <w:rsid w:val="003F5717"/>
    <w:rsid w:val="003F5A39"/>
    <w:rsid w:val="003F5B56"/>
    <w:rsid w:val="003F5B9F"/>
    <w:rsid w:val="003F5C1A"/>
    <w:rsid w:val="003F6A6A"/>
    <w:rsid w:val="003F6F29"/>
    <w:rsid w:val="003F7196"/>
    <w:rsid w:val="003F738D"/>
    <w:rsid w:val="003F7554"/>
    <w:rsid w:val="003F7845"/>
    <w:rsid w:val="003F7B8E"/>
    <w:rsid w:val="003F7FA1"/>
    <w:rsid w:val="003F7FA4"/>
    <w:rsid w:val="004006EA"/>
    <w:rsid w:val="004008DE"/>
    <w:rsid w:val="00400B4E"/>
    <w:rsid w:val="0040130D"/>
    <w:rsid w:val="004019F3"/>
    <w:rsid w:val="00402E56"/>
    <w:rsid w:val="00403540"/>
    <w:rsid w:val="00403634"/>
    <w:rsid w:val="00403A99"/>
    <w:rsid w:val="00404592"/>
    <w:rsid w:val="0040496E"/>
    <w:rsid w:val="00404B58"/>
    <w:rsid w:val="0040544F"/>
    <w:rsid w:val="00405537"/>
    <w:rsid w:val="0040597C"/>
    <w:rsid w:val="0040625C"/>
    <w:rsid w:val="004069D2"/>
    <w:rsid w:val="004076FF"/>
    <w:rsid w:val="0041059A"/>
    <w:rsid w:val="00410E93"/>
    <w:rsid w:val="00411B17"/>
    <w:rsid w:val="00411B3A"/>
    <w:rsid w:val="00411FFF"/>
    <w:rsid w:val="0041222D"/>
    <w:rsid w:val="004124F2"/>
    <w:rsid w:val="00412C2A"/>
    <w:rsid w:val="00412E6F"/>
    <w:rsid w:val="00413C5C"/>
    <w:rsid w:val="00413DB2"/>
    <w:rsid w:val="0041413F"/>
    <w:rsid w:val="0041455D"/>
    <w:rsid w:val="0041567A"/>
    <w:rsid w:val="00415BAB"/>
    <w:rsid w:val="00415BCF"/>
    <w:rsid w:val="00416297"/>
    <w:rsid w:val="00417083"/>
    <w:rsid w:val="0041736F"/>
    <w:rsid w:val="00417ADB"/>
    <w:rsid w:val="00417E36"/>
    <w:rsid w:val="0042057C"/>
    <w:rsid w:val="00420BDF"/>
    <w:rsid w:val="00421608"/>
    <w:rsid w:val="00421849"/>
    <w:rsid w:val="00421C23"/>
    <w:rsid w:val="0042261E"/>
    <w:rsid w:val="00422749"/>
    <w:rsid w:val="004228F2"/>
    <w:rsid w:val="004233DC"/>
    <w:rsid w:val="00424888"/>
    <w:rsid w:val="004255D9"/>
    <w:rsid w:val="00425763"/>
    <w:rsid w:val="00425C3C"/>
    <w:rsid w:val="00425F29"/>
    <w:rsid w:val="0042605B"/>
    <w:rsid w:val="004261FD"/>
    <w:rsid w:val="00426B69"/>
    <w:rsid w:val="00426F8D"/>
    <w:rsid w:val="00427D1B"/>
    <w:rsid w:val="00427E40"/>
    <w:rsid w:val="004306AB"/>
    <w:rsid w:val="0043159D"/>
    <w:rsid w:val="0043171D"/>
    <w:rsid w:val="0043263C"/>
    <w:rsid w:val="00432AC3"/>
    <w:rsid w:val="00432F78"/>
    <w:rsid w:val="004334A2"/>
    <w:rsid w:val="004335BC"/>
    <w:rsid w:val="00433972"/>
    <w:rsid w:val="004339E6"/>
    <w:rsid w:val="00433DA5"/>
    <w:rsid w:val="00434723"/>
    <w:rsid w:val="00434729"/>
    <w:rsid w:val="00434FEA"/>
    <w:rsid w:val="0043617B"/>
    <w:rsid w:val="00437D17"/>
    <w:rsid w:val="00437D2F"/>
    <w:rsid w:val="0044046D"/>
    <w:rsid w:val="00440DEC"/>
    <w:rsid w:val="004410D3"/>
    <w:rsid w:val="00441A5B"/>
    <w:rsid w:val="00441DAF"/>
    <w:rsid w:val="0044270D"/>
    <w:rsid w:val="00442E8C"/>
    <w:rsid w:val="0044312A"/>
    <w:rsid w:val="00443310"/>
    <w:rsid w:val="004435D5"/>
    <w:rsid w:val="00443A34"/>
    <w:rsid w:val="00443D38"/>
    <w:rsid w:val="00444140"/>
    <w:rsid w:val="00444BF5"/>
    <w:rsid w:val="00444F43"/>
    <w:rsid w:val="0044509B"/>
    <w:rsid w:val="00447213"/>
    <w:rsid w:val="0044731F"/>
    <w:rsid w:val="0044765A"/>
    <w:rsid w:val="00447C23"/>
    <w:rsid w:val="00450744"/>
    <w:rsid w:val="00450BE7"/>
    <w:rsid w:val="00450FE8"/>
    <w:rsid w:val="004518D0"/>
    <w:rsid w:val="0045213A"/>
    <w:rsid w:val="0045227C"/>
    <w:rsid w:val="0045230E"/>
    <w:rsid w:val="00452553"/>
    <w:rsid w:val="004528FA"/>
    <w:rsid w:val="00452D67"/>
    <w:rsid w:val="00452E53"/>
    <w:rsid w:val="0045418C"/>
    <w:rsid w:val="004542C6"/>
    <w:rsid w:val="0045435F"/>
    <w:rsid w:val="00454EDC"/>
    <w:rsid w:val="00455B00"/>
    <w:rsid w:val="00455B97"/>
    <w:rsid w:val="00456635"/>
    <w:rsid w:val="00456BFD"/>
    <w:rsid w:val="004575D5"/>
    <w:rsid w:val="00457657"/>
    <w:rsid w:val="004600BF"/>
    <w:rsid w:val="004607D0"/>
    <w:rsid w:val="00460CE3"/>
    <w:rsid w:val="00460F25"/>
    <w:rsid w:val="0046116D"/>
    <w:rsid w:val="004612A4"/>
    <w:rsid w:val="0046153C"/>
    <w:rsid w:val="004624D2"/>
    <w:rsid w:val="004625C8"/>
    <w:rsid w:val="00462DCE"/>
    <w:rsid w:val="00464194"/>
    <w:rsid w:val="0046442A"/>
    <w:rsid w:val="00464BF1"/>
    <w:rsid w:val="00465D73"/>
    <w:rsid w:val="00466078"/>
    <w:rsid w:val="0046626B"/>
    <w:rsid w:val="004676E4"/>
    <w:rsid w:val="00467AFF"/>
    <w:rsid w:val="00470183"/>
    <w:rsid w:val="004708C9"/>
    <w:rsid w:val="00470C48"/>
    <w:rsid w:val="0047139F"/>
    <w:rsid w:val="004713E9"/>
    <w:rsid w:val="00471429"/>
    <w:rsid w:val="0047153B"/>
    <w:rsid w:val="004722B1"/>
    <w:rsid w:val="00472312"/>
    <w:rsid w:val="00472D53"/>
    <w:rsid w:val="00473A2B"/>
    <w:rsid w:val="00473A47"/>
    <w:rsid w:val="00473A4F"/>
    <w:rsid w:val="00473C0A"/>
    <w:rsid w:val="00473EEF"/>
    <w:rsid w:val="00474415"/>
    <w:rsid w:val="00474BC1"/>
    <w:rsid w:val="00475A46"/>
    <w:rsid w:val="004761BA"/>
    <w:rsid w:val="004763EC"/>
    <w:rsid w:val="0047722F"/>
    <w:rsid w:val="00477459"/>
    <w:rsid w:val="00477CC9"/>
    <w:rsid w:val="0048026E"/>
    <w:rsid w:val="00480303"/>
    <w:rsid w:val="004804C3"/>
    <w:rsid w:val="004807A9"/>
    <w:rsid w:val="00480A8A"/>
    <w:rsid w:val="00480F76"/>
    <w:rsid w:val="004810A5"/>
    <w:rsid w:val="004810E0"/>
    <w:rsid w:val="00481318"/>
    <w:rsid w:val="00481363"/>
    <w:rsid w:val="004813EE"/>
    <w:rsid w:val="00481835"/>
    <w:rsid w:val="0048237F"/>
    <w:rsid w:val="00482CDC"/>
    <w:rsid w:val="00482FB0"/>
    <w:rsid w:val="00483B03"/>
    <w:rsid w:val="0048444C"/>
    <w:rsid w:val="00485058"/>
    <w:rsid w:val="00485702"/>
    <w:rsid w:val="00485C2D"/>
    <w:rsid w:val="004860F7"/>
    <w:rsid w:val="004862C2"/>
    <w:rsid w:val="004867EC"/>
    <w:rsid w:val="00486A37"/>
    <w:rsid w:val="00487662"/>
    <w:rsid w:val="004876C6"/>
    <w:rsid w:val="00487D7B"/>
    <w:rsid w:val="00490F7A"/>
    <w:rsid w:val="00490FD5"/>
    <w:rsid w:val="00491092"/>
    <w:rsid w:val="00491241"/>
    <w:rsid w:val="00491813"/>
    <w:rsid w:val="00492B82"/>
    <w:rsid w:val="00493278"/>
    <w:rsid w:val="00493855"/>
    <w:rsid w:val="004951D8"/>
    <w:rsid w:val="004952C1"/>
    <w:rsid w:val="00497575"/>
    <w:rsid w:val="004A078B"/>
    <w:rsid w:val="004A12C0"/>
    <w:rsid w:val="004A169A"/>
    <w:rsid w:val="004A18C9"/>
    <w:rsid w:val="004A191A"/>
    <w:rsid w:val="004A1A70"/>
    <w:rsid w:val="004A2BCE"/>
    <w:rsid w:val="004A2D5A"/>
    <w:rsid w:val="004A3988"/>
    <w:rsid w:val="004A4027"/>
    <w:rsid w:val="004A419E"/>
    <w:rsid w:val="004A43F0"/>
    <w:rsid w:val="004A4688"/>
    <w:rsid w:val="004A4776"/>
    <w:rsid w:val="004A5741"/>
    <w:rsid w:val="004A6463"/>
    <w:rsid w:val="004A65C3"/>
    <w:rsid w:val="004A6B58"/>
    <w:rsid w:val="004A6BA2"/>
    <w:rsid w:val="004A74CD"/>
    <w:rsid w:val="004A7D74"/>
    <w:rsid w:val="004B01D7"/>
    <w:rsid w:val="004B06C3"/>
    <w:rsid w:val="004B0917"/>
    <w:rsid w:val="004B0B09"/>
    <w:rsid w:val="004B1264"/>
    <w:rsid w:val="004B140F"/>
    <w:rsid w:val="004B14EB"/>
    <w:rsid w:val="004B21CF"/>
    <w:rsid w:val="004B2DE3"/>
    <w:rsid w:val="004B34DF"/>
    <w:rsid w:val="004B3FEA"/>
    <w:rsid w:val="004B4496"/>
    <w:rsid w:val="004B44A9"/>
    <w:rsid w:val="004B4E68"/>
    <w:rsid w:val="004B53F1"/>
    <w:rsid w:val="004B5800"/>
    <w:rsid w:val="004B5D6E"/>
    <w:rsid w:val="004B60BA"/>
    <w:rsid w:val="004B66C5"/>
    <w:rsid w:val="004B6946"/>
    <w:rsid w:val="004B6D89"/>
    <w:rsid w:val="004B6E81"/>
    <w:rsid w:val="004B7DE4"/>
    <w:rsid w:val="004C0FFE"/>
    <w:rsid w:val="004C136D"/>
    <w:rsid w:val="004C1619"/>
    <w:rsid w:val="004C177F"/>
    <w:rsid w:val="004C19E4"/>
    <w:rsid w:val="004C1B59"/>
    <w:rsid w:val="004C3C25"/>
    <w:rsid w:val="004C3CFC"/>
    <w:rsid w:val="004C3EEA"/>
    <w:rsid w:val="004C4D02"/>
    <w:rsid w:val="004C4EA2"/>
    <w:rsid w:val="004C596B"/>
    <w:rsid w:val="004C5E41"/>
    <w:rsid w:val="004C60E7"/>
    <w:rsid w:val="004C648A"/>
    <w:rsid w:val="004C664D"/>
    <w:rsid w:val="004C7BDE"/>
    <w:rsid w:val="004D0090"/>
    <w:rsid w:val="004D020F"/>
    <w:rsid w:val="004D03D1"/>
    <w:rsid w:val="004D0598"/>
    <w:rsid w:val="004D10B0"/>
    <w:rsid w:val="004D11AF"/>
    <w:rsid w:val="004D2337"/>
    <w:rsid w:val="004D2E58"/>
    <w:rsid w:val="004D37D9"/>
    <w:rsid w:val="004D41A2"/>
    <w:rsid w:val="004D47F2"/>
    <w:rsid w:val="004D502C"/>
    <w:rsid w:val="004D5CEE"/>
    <w:rsid w:val="004D5FB2"/>
    <w:rsid w:val="004D60A3"/>
    <w:rsid w:val="004D6DC3"/>
    <w:rsid w:val="004D71CA"/>
    <w:rsid w:val="004D77B4"/>
    <w:rsid w:val="004D78B9"/>
    <w:rsid w:val="004D7CCF"/>
    <w:rsid w:val="004E016A"/>
    <w:rsid w:val="004E0461"/>
    <w:rsid w:val="004E1CC8"/>
    <w:rsid w:val="004E2052"/>
    <w:rsid w:val="004E29B1"/>
    <w:rsid w:val="004E3C10"/>
    <w:rsid w:val="004E3F87"/>
    <w:rsid w:val="004E4179"/>
    <w:rsid w:val="004E461B"/>
    <w:rsid w:val="004E477D"/>
    <w:rsid w:val="004E5890"/>
    <w:rsid w:val="004E79EF"/>
    <w:rsid w:val="004E7B33"/>
    <w:rsid w:val="004F0368"/>
    <w:rsid w:val="004F0D19"/>
    <w:rsid w:val="004F121B"/>
    <w:rsid w:val="004F140F"/>
    <w:rsid w:val="004F185F"/>
    <w:rsid w:val="004F2811"/>
    <w:rsid w:val="004F2F69"/>
    <w:rsid w:val="004F3326"/>
    <w:rsid w:val="004F391A"/>
    <w:rsid w:val="004F4D22"/>
    <w:rsid w:val="004F590E"/>
    <w:rsid w:val="004F5966"/>
    <w:rsid w:val="004F6026"/>
    <w:rsid w:val="004F60F4"/>
    <w:rsid w:val="004F62E8"/>
    <w:rsid w:val="004F67C3"/>
    <w:rsid w:val="004F6C17"/>
    <w:rsid w:val="004F7390"/>
    <w:rsid w:val="004F78F8"/>
    <w:rsid w:val="005001A5"/>
    <w:rsid w:val="00500201"/>
    <w:rsid w:val="00500CCD"/>
    <w:rsid w:val="005019AA"/>
    <w:rsid w:val="00502008"/>
    <w:rsid w:val="005022D8"/>
    <w:rsid w:val="005026B8"/>
    <w:rsid w:val="005028AF"/>
    <w:rsid w:val="005032E9"/>
    <w:rsid w:val="00503C3B"/>
    <w:rsid w:val="00503CE7"/>
    <w:rsid w:val="005040C9"/>
    <w:rsid w:val="005042DB"/>
    <w:rsid w:val="0050458E"/>
    <w:rsid w:val="00505928"/>
    <w:rsid w:val="00505CD6"/>
    <w:rsid w:val="005069B2"/>
    <w:rsid w:val="0050741A"/>
    <w:rsid w:val="00510452"/>
    <w:rsid w:val="005107BD"/>
    <w:rsid w:val="005108EC"/>
    <w:rsid w:val="00511035"/>
    <w:rsid w:val="0051192E"/>
    <w:rsid w:val="00511F8F"/>
    <w:rsid w:val="00512A7E"/>
    <w:rsid w:val="00513291"/>
    <w:rsid w:val="00513EA4"/>
    <w:rsid w:val="00514267"/>
    <w:rsid w:val="005147DA"/>
    <w:rsid w:val="00514FBF"/>
    <w:rsid w:val="00514FCB"/>
    <w:rsid w:val="005153AC"/>
    <w:rsid w:val="005153C3"/>
    <w:rsid w:val="00515745"/>
    <w:rsid w:val="00515862"/>
    <w:rsid w:val="005165FE"/>
    <w:rsid w:val="0051690E"/>
    <w:rsid w:val="00516942"/>
    <w:rsid w:val="00516DC0"/>
    <w:rsid w:val="00516DC5"/>
    <w:rsid w:val="00517667"/>
    <w:rsid w:val="00520482"/>
    <w:rsid w:val="00520BBA"/>
    <w:rsid w:val="00522185"/>
    <w:rsid w:val="005225AC"/>
    <w:rsid w:val="005226FA"/>
    <w:rsid w:val="005233F3"/>
    <w:rsid w:val="0052365C"/>
    <w:rsid w:val="005245D2"/>
    <w:rsid w:val="0052488B"/>
    <w:rsid w:val="00524C98"/>
    <w:rsid w:val="00524C9C"/>
    <w:rsid w:val="00524EDD"/>
    <w:rsid w:val="00524FEB"/>
    <w:rsid w:val="00525B59"/>
    <w:rsid w:val="005269C4"/>
    <w:rsid w:val="00526A20"/>
    <w:rsid w:val="00526B76"/>
    <w:rsid w:val="00531966"/>
    <w:rsid w:val="00532472"/>
    <w:rsid w:val="005325C9"/>
    <w:rsid w:val="005329DA"/>
    <w:rsid w:val="0053322F"/>
    <w:rsid w:val="00533BC1"/>
    <w:rsid w:val="00533DBF"/>
    <w:rsid w:val="00534940"/>
    <w:rsid w:val="00535673"/>
    <w:rsid w:val="00535784"/>
    <w:rsid w:val="00535D6B"/>
    <w:rsid w:val="00536442"/>
    <w:rsid w:val="005374FE"/>
    <w:rsid w:val="0054039C"/>
    <w:rsid w:val="0054053D"/>
    <w:rsid w:val="0054126C"/>
    <w:rsid w:val="00541368"/>
    <w:rsid w:val="005415DD"/>
    <w:rsid w:val="00541D12"/>
    <w:rsid w:val="005423F3"/>
    <w:rsid w:val="005426DB"/>
    <w:rsid w:val="005442F1"/>
    <w:rsid w:val="00544A24"/>
    <w:rsid w:val="00545052"/>
    <w:rsid w:val="0054583C"/>
    <w:rsid w:val="0054616D"/>
    <w:rsid w:val="00546227"/>
    <w:rsid w:val="005468E2"/>
    <w:rsid w:val="00546D83"/>
    <w:rsid w:val="00547BA8"/>
    <w:rsid w:val="00550113"/>
    <w:rsid w:val="0055019B"/>
    <w:rsid w:val="005504BE"/>
    <w:rsid w:val="0055082B"/>
    <w:rsid w:val="0055093A"/>
    <w:rsid w:val="00550F00"/>
    <w:rsid w:val="00551964"/>
    <w:rsid w:val="00551BDF"/>
    <w:rsid w:val="00551ED7"/>
    <w:rsid w:val="0055211C"/>
    <w:rsid w:val="0055263A"/>
    <w:rsid w:val="005526EE"/>
    <w:rsid w:val="00552B57"/>
    <w:rsid w:val="00552E53"/>
    <w:rsid w:val="00553E34"/>
    <w:rsid w:val="005547B7"/>
    <w:rsid w:val="00554D6D"/>
    <w:rsid w:val="005551E9"/>
    <w:rsid w:val="0055680D"/>
    <w:rsid w:val="00557670"/>
    <w:rsid w:val="00557C2D"/>
    <w:rsid w:val="00560094"/>
    <w:rsid w:val="00560C62"/>
    <w:rsid w:val="005617B1"/>
    <w:rsid w:val="00562A61"/>
    <w:rsid w:val="00562E78"/>
    <w:rsid w:val="005638A2"/>
    <w:rsid w:val="00564344"/>
    <w:rsid w:val="00564E45"/>
    <w:rsid w:val="005652D5"/>
    <w:rsid w:val="00565E52"/>
    <w:rsid w:val="005669D9"/>
    <w:rsid w:val="00567227"/>
    <w:rsid w:val="00567CD0"/>
    <w:rsid w:val="00570C7B"/>
    <w:rsid w:val="0057139A"/>
    <w:rsid w:val="00571C77"/>
    <w:rsid w:val="00572BCD"/>
    <w:rsid w:val="00572D5B"/>
    <w:rsid w:val="00574614"/>
    <w:rsid w:val="00574A70"/>
    <w:rsid w:val="00574D35"/>
    <w:rsid w:val="00575C75"/>
    <w:rsid w:val="00575CEA"/>
    <w:rsid w:val="005762CA"/>
    <w:rsid w:val="005770CF"/>
    <w:rsid w:val="00577904"/>
    <w:rsid w:val="00577922"/>
    <w:rsid w:val="00577AC3"/>
    <w:rsid w:val="00580577"/>
    <w:rsid w:val="005815A8"/>
    <w:rsid w:val="00581915"/>
    <w:rsid w:val="0058284A"/>
    <w:rsid w:val="00583431"/>
    <w:rsid w:val="005835B0"/>
    <w:rsid w:val="005846C0"/>
    <w:rsid w:val="00584D04"/>
    <w:rsid w:val="005853F5"/>
    <w:rsid w:val="0058567E"/>
    <w:rsid w:val="00585DE1"/>
    <w:rsid w:val="0058659E"/>
    <w:rsid w:val="005869EE"/>
    <w:rsid w:val="005872DD"/>
    <w:rsid w:val="00587CF2"/>
    <w:rsid w:val="00587D3A"/>
    <w:rsid w:val="00590197"/>
    <w:rsid w:val="00590346"/>
    <w:rsid w:val="0059093F"/>
    <w:rsid w:val="00590BA2"/>
    <w:rsid w:val="00590CA7"/>
    <w:rsid w:val="00590E93"/>
    <w:rsid w:val="005915E1"/>
    <w:rsid w:val="0059177A"/>
    <w:rsid w:val="00591C75"/>
    <w:rsid w:val="00592359"/>
    <w:rsid w:val="00592D10"/>
    <w:rsid w:val="0059388B"/>
    <w:rsid w:val="00593A5F"/>
    <w:rsid w:val="0059404E"/>
    <w:rsid w:val="00594269"/>
    <w:rsid w:val="00595539"/>
    <w:rsid w:val="00596C4A"/>
    <w:rsid w:val="00596CCD"/>
    <w:rsid w:val="00597108"/>
    <w:rsid w:val="005976DB"/>
    <w:rsid w:val="005A1A84"/>
    <w:rsid w:val="005A3E82"/>
    <w:rsid w:val="005A4287"/>
    <w:rsid w:val="005A482E"/>
    <w:rsid w:val="005A4DB0"/>
    <w:rsid w:val="005A5095"/>
    <w:rsid w:val="005A5597"/>
    <w:rsid w:val="005A57BF"/>
    <w:rsid w:val="005A6AC2"/>
    <w:rsid w:val="005A7A65"/>
    <w:rsid w:val="005A7B26"/>
    <w:rsid w:val="005A7B8E"/>
    <w:rsid w:val="005A7C10"/>
    <w:rsid w:val="005B012B"/>
    <w:rsid w:val="005B0C87"/>
    <w:rsid w:val="005B0FE9"/>
    <w:rsid w:val="005B158D"/>
    <w:rsid w:val="005B1CC1"/>
    <w:rsid w:val="005B2195"/>
    <w:rsid w:val="005B26C7"/>
    <w:rsid w:val="005B2D65"/>
    <w:rsid w:val="005B3877"/>
    <w:rsid w:val="005B3AC8"/>
    <w:rsid w:val="005B3CC1"/>
    <w:rsid w:val="005B4002"/>
    <w:rsid w:val="005B45AB"/>
    <w:rsid w:val="005B4D8F"/>
    <w:rsid w:val="005B526C"/>
    <w:rsid w:val="005B541E"/>
    <w:rsid w:val="005B5608"/>
    <w:rsid w:val="005B6551"/>
    <w:rsid w:val="005B6BC0"/>
    <w:rsid w:val="005B71A8"/>
    <w:rsid w:val="005B744B"/>
    <w:rsid w:val="005C0225"/>
    <w:rsid w:val="005C0A6F"/>
    <w:rsid w:val="005C0FA7"/>
    <w:rsid w:val="005C155F"/>
    <w:rsid w:val="005C1C0E"/>
    <w:rsid w:val="005C1FF5"/>
    <w:rsid w:val="005C259E"/>
    <w:rsid w:val="005C3159"/>
    <w:rsid w:val="005C36E2"/>
    <w:rsid w:val="005C3E9E"/>
    <w:rsid w:val="005C400C"/>
    <w:rsid w:val="005C410C"/>
    <w:rsid w:val="005C4BF1"/>
    <w:rsid w:val="005C4BF2"/>
    <w:rsid w:val="005C52D4"/>
    <w:rsid w:val="005C5624"/>
    <w:rsid w:val="005C5967"/>
    <w:rsid w:val="005C5BED"/>
    <w:rsid w:val="005C5D86"/>
    <w:rsid w:val="005C6167"/>
    <w:rsid w:val="005C6ADB"/>
    <w:rsid w:val="005C6EE2"/>
    <w:rsid w:val="005C7A07"/>
    <w:rsid w:val="005C7DDC"/>
    <w:rsid w:val="005C7F7C"/>
    <w:rsid w:val="005D0237"/>
    <w:rsid w:val="005D0BAD"/>
    <w:rsid w:val="005D0C0A"/>
    <w:rsid w:val="005D107D"/>
    <w:rsid w:val="005D123A"/>
    <w:rsid w:val="005D219E"/>
    <w:rsid w:val="005D2506"/>
    <w:rsid w:val="005D2BB5"/>
    <w:rsid w:val="005D3677"/>
    <w:rsid w:val="005D3A10"/>
    <w:rsid w:val="005D4E4C"/>
    <w:rsid w:val="005D5B5E"/>
    <w:rsid w:val="005D5C85"/>
    <w:rsid w:val="005D5CA0"/>
    <w:rsid w:val="005D5F27"/>
    <w:rsid w:val="005D69AB"/>
    <w:rsid w:val="005D72FC"/>
    <w:rsid w:val="005D7DFC"/>
    <w:rsid w:val="005D7ECD"/>
    <w:rsid w:val="005E035A"/>
    <w:rsid w:val="005E0464"/>
    <w:rsid w:val="005E0681"/>
    <w:rsid w:val="005E1218"/>
    <w:rsid w:val="005E16FD"/>
    <w:rsid w:val="005E18EC"/>
    <w:rsid w:val="005E1A55"/>
    <w:rsid w:val="005E1B6B"/>
    <w:rsid w:val="005E1F61"/>
    <w:rsid w:val="005E2127"/>
    <w:rsid w:val="005E2281"/>
    <w:rsid w:val="005E236C"/>
    <w:rsid w:val="005E25AB"/>
    <w:rsid w:val="005E2FAE"/>
    <w:rsid w:val="005E32C9"/>
    <w:rsid w:val="005E351B"/>
    <w:rsid w:val="005E38A8"/>
    <w:rsid w:val="005E39C0"/>
    <w:rsid w:val="005E39F9"/>
    <w:rsid w:val="005E3D9B"/>
    <w:rsid w:val="005E44B6"/>
    <w:rsid w:val="005E4828"/>
    <w:rsid w:val="005E4887"/>
    <w:rsid w:val="005E5016"/>
    <w:rsid w:val="005E5231"/>
    <w:rsid w:val="005E55BB"/>
    <w:rsid w:val="005E5D11"/>
    <w:rsid w:val="005E6373"/>
    <w:rsid w:val="005E667C"/>
    <w:rsid w:val="005E6A1D"/>
    <w:rsid w:val="005E6F12"/>
    <w:rsid w:val="005E733E"/>
    <w:rsid w:val="005E7428"/>
    <w:rsid w:val="005F0694"/>
    <w:rsid w:val="005F06E1"/>
    <w:rsid w:val="005F077C"/>
    <w:rsid w:val="005F0B88"/>
    <w:rsid w:val="005F1735"/>
    <w:rsid w:val="005F187E"/>
    <w:rsid w:val="005F252A"/>
    <w:rsid w:val="005F367B"/>
    <w:rsid w:val="005F3CC3"/>
    <w:rsid w:val="005F3CE8"/>
    <w:rsid w:val="005F4F41"/>
    <w:rsid w:val="005F4F70"/>
    <w:rsid w:val="005F566D"/>
    <w:rsid w:val="005F648F"/>
    <w:rsid w:val="005F68C3"/>
    <w:rsid w:val="005F7D87"/>
    <w:rsid w:val="00601794"/>
    <w:rsid w:val="00601E94"/>
    <w:rsid w:val="006021B1"/>
    <w:rsid w:val="006029A7"/>
    <w:rsid w:val="00602F40"/>
    <w:rsid w:val="00603384"/>
    <w:rsid w:val="006037C5"/>
    <w:rsid w:val="00603CC8"/>
    <w:rsid w:val="006040CE"/>
    <w:rsid w:val="0060467D"/>
    <w:rsid w:val="00604DF3"/>
    <w:rsid w:val="0060585E"/>
    <w:rsid w:val="00605B4D"/>
    <w:rsid w:val="00605B9D"/>
    <w:rsid w:val="00605BC8"/>
    <w:rsid w:val="00606213"/>
    <w:rsid w:val="00606B57"/>
    <w:rsid w:val="00606B85"/>
    <w:rsid w:val="00607390"/>
    <w:rsid w:val="006076D8"/>
    <w:rsid w:val="00607C43"/>
    <w:rsid w:val="00607E6D"/>
    <w:rsid w:val="0061061D"/>
    <w:rsid w:val="00611708"/>
    <w:rsid w:val="00611816"/>
    <w:rsid w:val="00611A3B"/>
    <w:rsid w:val="006120CA"/>
    <w:rsid w:val="00612389"/>
    <w:rsid w:val="00612570"/>
    <w:rsid w:val="006127BD"/>
    <w:rsid w:val="00612871"/>
    <w:rsid w:val="00612929"/>
    <w:rsid w:val="00612A44"/>
    <w:rsid w:val="00612A8E"/>
    <w:rsid w:val="00613098"/>
    <w:rsid w:val="0061348F"/>
    <w:rsid w:val="006134D9"/>
    <w:rsid w:val="006135DA"/>
    <w:rsid w:val="006139FA"/>
    <w:rsid w:val="00613BDC"/>
    <w:rsid w:val="00613F64"/>
    <w:rsid w:val="00614921"/>
    <w:rsid w:val="00615564"/>
    <w:rsid w:val="006155E2"/>
    <w:rsid w:val="006158C1"/>
    <w:rsid w:val="00615ECA"/>
    <w:rsid w:val="00615F26"/>
    <w:rsid w:val="00616974"/>
    <w:rsid w:val="00616CCC"/>
    <w:rsid w:val="00617A81"/>
    <w:rsid w:val="00617C11"/>
    <w:rsid w:val="00617DEC"/>
    <w:rsid w:val="00617EEC"/>
    <w:rsid w:val="00620542"/>
    <w:rsid w:val="00620573"/>
    <w:rsid w:val="00620579"/>
    <w:rsid w:val="006206D7"/>
    <w:rsid w:val="006208AA"/>
    <w:rsid w:val="0062128D"/>
    <w:rsid w:val="00621C96"/>
    <w:rsid w:val="00622161"/>
    <w:rsid w:val="0062228D"/>
    <w:rsid w:val="006224D1"/>
    <w:rsid w:val="0062258F"/>
    <w:rsid w:val="00622732"/>
    <w:rsid w:val="00622E6D"/>
    <w:rsid w:val="00623BC7"/>
    <w:rsid w:val="00623E70"/>
    <w:rsid w:val="006241D0"/>
    <w:rsid w:val="00624425"/>
    <w:rsid w:val="00624665"/>
    <w:rsid w:val="00624B06"/>
    <w:rsid w:val="00625434"/>
    <w:rsid w:val="0062576B"/>
    <w:rsid w:val="00625C5F"/>
    <w:rsid w:val="00625FF2"/>
    <w:rsid w:val="00626032"/>
    <w:rsid w:val="00626E04"/>
    <w:rsid w:val="0062719D"/>
    <w:rsid w:val="00627643"/>
    <w:rsid w:val="00627788"/>
    <w:rsid w:val="006300CD"/>
    <w:rsid w:val="0063017E"/>
    <w:rsid w:val="00630206"/>
    <w:rsid w:val="00630723"/>
    <w:rsid w:val="00630EAE"/>
    <w:rsid w:val="006312D0"/>
    <w:rsid w:val="00631866"/>
    <w:rsid w:val="006318A4"/>
    <w:rsid w:val="00631A11"/>
    <w:rsid w:val="00631D4F"/>
    <w:rsid w:val="006321B6"/>
    <w:rsid w:val="006327C6"/>
    <w:rsid w:val="00633496"/>
    <w:rsid w:val="006338D2"/>
    <w:rsid w:val="00633F92"/>
    <w:rsid w:val="0063435E"/>
    <w:rsid w:val="00634CB2"/>
    <w:rsid w:val="0063571A"/>
    <w:rsid w:val="006357E2"/>
    <w:rsid w:val="00635923"/>
    <w:rsid w:val="00635FD8"/>
    <w:rsid w:val="00636651"/>
    <w:rsid w:val="006368E4"/>
    <w:rsid w:val="00636F7B"/>
    <w:rsid w:val="00637784"/>
    <w:rsid w:val="00640140"/>
    <w:rsid w:val="0064019C"/>
    <w:rsid w:val="00640288"/>
    <w:rsid w:val="006405AC"/>
    <w:rsid w:val="0064099D"/>
    <w:rsid w:val="00640E9A"/>
    <w:rsid w:val="006412CD"/>
    <w:rsid w:val="006413D8"/>
    <w:rsid w:val="00641610"/>
    <w:rsid w:val="00641B7B"/>
    <w:rsid w:val="00641C55"/>
    <w:rsid w:val="00642405"/>
    <w:rsid w:val="00642645"/>
    <w:rsid w:val="006437E8"/>
    <w:rsid w:val="006438E0"/>
    <w:rsid w:val="006443D6"/>
    <w:rsid w:val="00644BED"/>
    <w:rsid w:val="00644F27"/>
    <w:rsid w:val="006453C4"/>
    <w:rsid w:val="006455CB"/>
    <w:rsid w:val="00646FD5"/>
    <w:rsid w:val="00647040"/>
    <w:rsid w:val="006472F8"/>
    <w:rsid w:val="006474A2"/>
    <w:rsid w:val="00647680"/>
    <w:rsid w:val="00647743"/>
    <w:rsid w:val="00647CE0"/>
    <w:rsid w:val="0065069B"/>
    <w:rsid w:val="006510C0"/>
    <w:rsid w:val="00651DC7"/>
    <w:rsid w:val="00652092"/>
    <w:rsid w:val="00652472"/>
    <w:rsid w:val="00652A5F"/>
    <w:rsid w:val="00652F31"/>
    <w:rsid w:val="006535E5"/>
    <w:rsid w:val="0065394E"/>
    <w:rsid w:val="00653B2B"/>
    <w:rsid w:val="00653B38"/>
    <w:rsid w:val="00653C6B"/>
    <w:rsid w:val="00654D37"/>
    <w:rsid w:val="00654F06"/>
    <w:rsid w:val="00656385"/>
    <w:rsid w:val="00656F19"/>
    <w:rsid w:val="00657274"/>
    <w:rsid w:val="0065798B"/>
    <w:rsid w:val="00657BB7"/>
    <w:rsid w:val="00660299"/>
    <w:rsid w:val="00660552"/>
    <w:rsid w:val="00660DBE"/>
    <w:rsid w:val="00661113"/>
    <w:rsid w:val="0066127D"/>
    <w:rsid w:val="00661AB0"/>
    <w:rsid w:val="006623A4"/>
    <w:rsid w:val="006627B5"/>
    <w:rsid w:val="0066351C"/>
    <w:rsid w:val="006635BF"/>
    <w:rsid w:val="00663CBA"/>
    <w:rsid w:val="00663DBD"/>
    <w:rsid w:val="00663EEE"/>
    <w:rsid w:val="00664498"/>
    <w:rsid w:val="00664693"/>
    <w:rsid w:val="00664C4B"/>
    <w:rsid w:val="00664DC0"/>
    <w:rsid w:val="006651CC"/>
    <w:rsid w:val="0066582B"/>
    <w:rsid w:val="006658DA"/>
    <w:rsid w:val="00665B9B"/>
    <w:rsid w:val="00665CA1"/>
    <w:rsid w:val="00666676"/>
    <w:rsid w:val="00666F2F"/>
    <w:rsid w:val="00667421"/>
    <w:rsid w:val="0066780E"/>
    <w:rsid w:val="00667A31"/>
    <w:rsid w:val="00670702"/>
    <w:rsid w:val="006708EB"/>
    <w:rsid w:val="0067147C"/>
    <w:rsid w:val="00671EB0"/>
    <w:rsid w:val="00672895"/>
    <w:rsid w:val="00672A8A"/>
    <w:rsid w:val="00673524"/>
    <w:rsid w:val="0067376D"/>
    <w:rsid w:val="00673F50"/>
    <w:rsid w:val="00674323"/>
    <w:rsid w:val="00674EEA"/>
    <w:rsid w:val="0067549D"/>
    <w:rsid w:val="006759B0"/>
    <w:rsid w:val="0067636E"/>
    <w:rsid w:val="00677012"/>
    <w:rsid w:val="0067705C"/>
    <w:rsid w:val="006771EA"/>
    <w:rsid w:val="006772F9"/>
    <w:rsid w:val="00677C53"/>
    <w:rsid w:val="00680D0E"/>
    <w:rsid w:val="00680F00"/>
    <w:rsid w:val="006825A6"/>
    <w:rsid w:val="006825B4"/>
    <w:rsid w:val="006829BA"/>
    <w:rsid w:val="00682AF2"/>
    <w:rsid w:val="00682C1D"/>
    <w:rsid w:val="00682E8A"/>
    <w:rsid w:val="00682FB7"/>
    <w:rsid w:val="006837DE"/>
    <w:rsid w:val="00683CE0"/>
    <w:rsid w:val="006848CB"/>
    <w:rsid w:val="00684E31"/>
    <w:rsid w:val="00684FA5"/>
    <w:rsid w:val="00685026"/>
    <w:rsid w:val="0068537F"/>
    <w:rsid w:val="00685E0D"/>
    <w:rsid w:val="00686104"/>
    <w:rsid w:val="00686334"/>
    <w:rsid w:val="006864C6"/>
    <w:rsid w:val="00686C3A"/>
    <w:rsid w:val="00686EEB"/>
    <w:rsid w:val="00687628"/>
    <w:rsid w:val="00687CFE"/>
    <w:rsid w:val="0069035A"/>
    <w:rsid w:val="006906FD"/>
    <w:rsid w:val="00690EB8"/>
    <w:rsid w:val="0069109D"/>
    <w:rsid w:val="006915E5"/>
    <w:rsid w:val="00692401"/>
    <w:rsid w:val="0069296B"/>
    <w:rsid w:val="00693B7A"/>
    <w:rsid w:val="006940BE"/>
    <w:rsid w:val="006941CC"/>
    <w:rsid w:val="006942BA"/>
    <w:rsid w:val="006945D4"/>
    <w:rsid w:val="0069494B"/>
    <w:rsid w:val="00694EC0"/>
    <w:rsid w:val="00695852"/>
    <w:rsid w:val="00695F56"/>
    <w:rsid w:val="0069690E"/>
    <w:rsid w:val="0069758B"/>
    <w:rsid w:val="00697F88"/>
    <w:rsid w:val="006A050B"/>
    <w:rsid w:val="006A07FF"/>
    <w:rsid w:val="006A0A70"/>
    <w:rsid w:val="006A0B6C"/>
    <w:rsid w:val="006A1692"/>
    <w:rsid w:val="006A16E1"/>
    <w:rsid w:val="006A179F"/>
    <w:rsid w:val="006A188D"/>
    <w:rsid w:val="006A3293"/>
    <w:rsid w:val="006A36DF"/>
    <w:rsid w:val="006A3C8A"/>
    <w:rsid w:val="006A3E61"/>
    <w:rsid w:val="006A4AC5"/>
    <w:rsid w:val="006A5213"/>
    <w:rsid w:val="006A6003"/>
    <w:rsid w:val="006A6013"/>
    <w:rsid w:val="006A6737"/>
    <w:rsid w:val="006B0AE6"/>
    <w:rsid w:val="006B1E08"/>
    <w:rsid w:val="006B2099"/>
    <w:rsid w:val="006B26B1"/>
    <w:rsid w:val="006B2741"/>
    <w:rsid w:val="006B275D"/>
    <w:rsid w:val="006B2E45"/>
    <w:rsid w:val="006B341B"/>
    <w:rsid w:val="006B3875"/>
    <w:rsid w:val="006B3937"/>
    <w:rsid w:val="006B425B"/>
    <w:rsid w:val="006B4526"/>
    <w:rsid w:val="006B545C"/>
    <w:rsid w:val="006B5AC8"/>
    <w:rsid w:val="006B5D32"/>
    <w:rsid w:val="006B61CD"/>
    <w:rsid w:val="006B6EDF"/>
    <w:rsid w:val="006B6F31"/>
    <w:rsid w:val="006B758B"/>
    <w:rsid w:val="006B78A5"/>
    <w:rsid w:val="006B7BF8"/>
    <w:rsid w:val="006C00A0"/>
    <w:rsid w:val="006C0E54"/>
    <w:rsid w:val="006C0F11"/>
    <w:rsid w:val="006C1DE0"/>
    <w:rsid w:val="006C23E1"/>
    <w:rsid w:val="006C24B8"/>
    <w:rsid w:val="006C25D5"/>
    <w:rsid w:val="006C25F9"/>
    <w:rsid w:val="006C262B"/>
    <w:rsid w:val="006C27DC"/>
    <w:rsid w:val="006C2866"/>
    <w:rsid w:val="006C31C6"/>
    <w:rsid w:val="006C32BE"/>
    <w:rsid w:val="006C3A2D"/>
    <w:rsid w:val="006C4360"/>
    <w:rsid w:val="006C4666"/>
    <w:rsid w:val="006C486A"/>
    <w:rsid w:val="006C49BF"/>
    <w:rsid w:val="006C4BB3"/>
    <w:rsid w:val="006C4D59"/>
    <w:rsid w:val="006C63D7"/>
    <w:rsid w:val="006C6624"/>
    <w:rsid w:val="006C6894"/>
    <w:rsid w:val="006C69D9"/>
    <w:rsid w:val="006C6C2D"/>
    <w:rsid w:val="006C7535"/>
    <w:rsid w:val="006C76A6"/>
    <w:rsid w:val="006C796D"/>
    <w:rsid w:val="006D0525"/>
    <w:rsid w:val="006D08DC"/>
    <w:rsid w:val="006D09D1"/>
    <w:rsid w:val="006D10C4"/>
    <w:rsid w:val="006D23FF"/>
    <w:rsid w:val="006D298B"/>
    <w:rsid w:val="006D2D51"/>
    <w:rsid w:val="006D2F09"/>
    <w:rsid w:val="006D2FD2"/>
    <w:rsid w:val="006D33E6"/>
    <w:rsid w:val="006D3416"/>
    <w:rsid w:val="006D3783"/>
    <w:rsid w:val="006D3DC0"/>
    <w:rsid w:val="006D40C4"/>
    <w:rsid w:val="006D4162"/>
    <w:rsid w:val="006D453E"/>
    <w:rsid w:val="006D5303"/>
    <w:rsid w:val="006D5E84"/>
    <w:rsid w:val="006D70BC"/>
    <w:rsid w:val="006D7A4C"/>
    <w:rsid w:val="006D7C99"/>
    <w:rsid w:val="006E0369"/>
    <w:rsid w:val="006E0443"/>
    <w:rsid w:val="006E0C50"/>
    <w:rsid w:val="006E0DCF"/>
    <w:rsid w:val="006E14D6"/>
    <w:rsid w:val="006E1647"/>
    <w:rsid w:val="006E1BA2"/>
    <w:rsid w:val="006E2298"/>
    <w:rsid w:val="006E2C5A"/>
    <w:rsid w:val="006E2F3A"/>
    <w:rsid w:val="006E310A"/>
    <w:rsid w:val="006E3C3E"/>
    <w:rsid w:val="006E3FBD"/>
    <w:rsid w:val="006E40C7"/>
    <w:rsid w:val="006E429F"/>
    <w:rsid w:val="006E47E0"/>
    <w:rsid w:val="006E480A"/>
    <w:rsid w:val="006E50E4"/>
    <w:rsid w:val="006E5449"/>
    <w:rsid w:val="006E6F30"/>
    <w:rsid w:val="006E6FE9"/>
    <w:rsid w:val="006E7082"/>
    <w:rsid w:val="006E709F"/>
    <w:rsid w:val="006E7F73"/>
    <w:rsid w:val="006F030F"/>
    <w:rsid w:val="006F03AF"/>
    <w:rsid w:val="006F193C"/>
    <w:rsid w:val="006F1B58"/>
    <w:rsid w:val="006F27DC"/>
    <w:rsid w:val="006F2B89"/>
    <w:rsid w:val="006F36F1"/>
    <w:rsid w:val="006F3B81"/>
    <w:rsid w:val="006F467D"/>
    <w:rsid w:val="006F4860"/>
    <w:rsid w:val="006F4D59"/>
    <w:rsid w:val="006F4F79"/>
    <w:rsid w:val="006F4F80"/>
    <w:rsid w:val="006F5532"/>
    <w:rsid w:val="006F5ADA"/>
    <w:rsid w:val="006F62CC"/>
    <w:rsid w:val="006F644B"/>
    <w:rsid w:val="006F66C1"/>
    <w:rsid w:val="006F681D"/>
    <w:rsid w:val="006F6FA1"/>
    <w:rsid w:val="006F731E"/>
    <w:rsid w:val="006F78E9"/>
    <w:rsid w:val="00700C23"/>
    <w:rsid w:val="0070235F"/>
    <w:rsid w:val="00702BC3"/>
    <w:rsid w:val="00702FF3"/>
    <w:rsid w:val="007032AC"/>
    <w:rsid w:val="00703496"/>
    <w:rsid w:val="007036FE"/>
    <w:rsid w:val="00703AB1"/>
    <w:rsid w:val="00704614"/>
    <w:rsid w:val="00704C5F"/>
    <w:rsid w:val="00704DEB"/>
    <w:rsid w:val="00705623"/>
    <w:rsid w:val="00705B37"/>
    <w:rsid w:val="0070658A"/>
    <w:rsid w:val="00706B65"/>
    <w:rsid w:val="007070DA"/>
    <w:rsid w:val="007071AF"/>
    <w:rsid w:val="00707C1A"/>
    <w:rsid w:val="00707F90"/>
    <w:rsid w:val="00710023"/>
    <w:rsid w:val="00710207"/>
    <w:rsid w:val="0071023D"/>
    <w:rsid w:val="007103CD"/>
    <w:rsid w:val="007104CB"/>
    <w:rsid w:val="00710530"/>
    <w:rsid w:val="007107BD"/>
    <w:rsid w:val="00710A79"/>
    <w:rsid w:val="00711E77"/>
    <w:rsid w:val="00712912"/>
    <w:rsid w:val="00713AAC"/>
    <w:rsid w:val="00713C1D"/>
    <w:rsid w:val="00714045"/>
    <w:rsid w:val="007141DC"/>
    <w:rsid w:val="00714456"/>
    <w:rsid w:val="00714B04"/>
    <w:rsid w:val="00714F75"/>
    <w:rsid w:val="007155CE"/>
    <w:rsid w:val="007168A0"/>
    <w:rsid w:val="00716BC6"/>
    <w:rsid w:val="00716C95"/>
    <w:rsid w:val="00717762"/>
    <w:rsid w:val="00717F1A"/>
    <w:rsid w:val="007204DA"/>
    <w:rsid w:val="00721A63"/>
    <w:rsid w:val="00721DED"/>
    <w:rsid w:val="00721FF9"/>
    <w:rsid w:val="0072229E"/>
    <w:rsid w:val="00722F53"/>
    <w:rsid w:val="0072337E"/>
    <w:rsid w:val="00723696"/>
    <w:rsid w:val="00723E16"/>
    <w:rsid w:val="00723FAF"/>
    <w:rsid w:val="0072442F"/>
    <w:rsid w:val="00725189"/>
    <w:rsid w:val="0072541E"/>
    <w:rsid w:val="00725735"/>
    <w:rsid w:val="00725BB8"/>
    <w:rsid w:val="007260A3"/>
    <w:rsid w:val="0072630D"/>
    <w:rsid w:val="00726A2A"/>
    <w:rsid w:val="007271E9"/>
    <w:rsid w:val="007273BC"/>
    <w:rsid w:val="007275FD"/>
    <w:rsid w:val="007276E5"/>
    <w:rsid w:val="00730943"/>
    <w:rsid w:val="007310EF"/>
    <w:rsid w:val="00731D5E"/>
    <w:rsid w:val="00732492"/>
    <w:rsid w:val="00733549"/>
    <w:rsid w:val="00733E5A"/>
    <w:rsid w:val="00733F25"/>
    <w:rsid w:val="00736395"/>
    <w:rsid w:val="00736459"/>
    <w:rsid w:val="0073685F"/>
    <w:rsid w:val="00737821"/>
    <w:rsid w:val="0074058F"/>
    <w:rsid w:val="00740E86"/>
    <w:rsid w:val="00741175"/>
    <w:rsid w:val="007419FB"/>
    <w:rsid w:val="0074218C"/>
    <w:rsid w:val="00742606"/>
    <w:rsid w:val="007441FF"/>
    <w:rsid w:val="007448A7"/>
    <w:rsid w:val="00744EE8"/>
    <w:rsid w:val="00744F42"/>
    <w:rsid w:val="00745451"/>
    <w:rsid w:val="007459F5"/>
    <w:rsid w:val="00745D9E"/>
    <w:rsid w:val="00746713"/>
    <w:rsid w:val="007467E4"/>
    <w:rsid w:val="00746B08"/>
    <w:rsid w:val="00747569"/>
    <w:rsid w:val="007479F4"/>
    <w:rsid w:val="00750238"/>
    <w:rsid w:val="0075023C"/>
    <w:rsid w:val="007518E3"/>
    <w:rsid w:val="007518E9"/>
    <w:rsid w:val="00752247"/>
    <w:rsid w:val="007523E7"/>
    <w:rsid w:val="007524C4"/>
    <w:rsid w:val="00752AE5"/>
    <w:rsid w:val="007531CA"/>
    <w:rsid w:val="00754252"/>
    <w:rsid w:val="00755894"/>
    <w:rsid w:val="007560D3"/>
    <w:rsid w:val="00756258"/>
    <w:rsid w:val="007569B0"/>
    <w:rsid w:val="007577B1"/>
    <w:rsid w:val="00757CB3"/>
    <w:rsid w:val="00757D87"/>
    <w:rsid w:val="00757DB4"/>
    <w:rsid w:val="00757E79"/>
    <w:rsid w:val="007609CD"/>
    <w:rsid w:val="00760E7F"/>
    <w:rsid w:val="00760EED"/>
    <w:rsid w:val="0076109F"/>
    <w:rsid w:val="00761399"/>
    <w:rsid w:val="00761615"/>
    <w:rsid w:val="007616DA"/>
    <w:rsid w:val="007619CE"/>
    <w:rsid w:val="00761F4F"/>
    <w:rsid w:val="007620DC"/>
    <w:rsid w:val="00762102"/>
    <w:rsid w:val="0076255D"/>
    <w:rsid w:val="007625F6"/>
    <w:rsid w:val="00762B8B"/>
    <w:rsid w:val="0076325B"/>
    <w:rsid w:val="00763A04"/>
    <w:rsid w:val="00764AF9"/>
    <w:rsid w:val="007650AD"/>
    <w:rsid w:val="00765D18"/>
    <w:rsid w:val="0076640B"/>
    <w:rsid w:val="007673DE"/>
    <w:rsid w:val="00770C54"/>
    <w:rsid w:val="00771344"/>
    <w:rsid w:val="0077213A"/>
    <w:rsid w:val="00772613"/>
    <w:rsid w:val="00772B41"/>
    <w:rsid w:val="00772CED"/>
    <w:rsid w:val="00773EA1"/>
    <w:rsid w:val="00774F92"/>
    <w:rsid w:val="00775215"/>
    <w:rsid w:val="00775748"/>
    <w:rsid w:val="00776ACC"/>
    <w:rsid w:val="00776AD5"/>
    <w:rsid w:val="00777AE2"/>
    <w:rsid w:val="00777C71"/>
    <w:rsid w:val="00777D6B"/>
    <w:rsid w:val="00777F20"/>
    <w:rsid w:val="00780080"/>
    <w:rsid w:val="0078080B"/>
    <w:rsid w:val="00781148"/>
    <w:rsid w:val="0078120F"/>
    <w:rsid w:val="00781F98"/>
    <w:rsid w:val="0078265B"/>
    <w:rsid w:val="00782AFE"/>
    <w:rsid w:val="00782E10"/>
    <w:rsid w:val="00784926"/>
    <w:rsid w:val="00784DB8"/>
    <w:rsid w:val="00784FDD"/>
    <w:rsid w:val="0078508F"/>
    <w:rsid w:val="00786448"/>
    <w:rsid w:val="007875D7"/>
    <w:rsid w:val="007906B2"/>
    <w:rsid w:val="00790CC5"/>
    <w:rsid w:val="0079134E"/>
    <w:rsid w:val="007925F0"/>
    <w:rsid w:val="0079278E"/>
    <w:rsid w:val="00792DCA"/>
    <w:rsid w:val="00792E3C"/>
    <w:rsid w:val="00792FDF"/>
    <w:rsid w:val="00793040"/>
    <w:rsid w:val="007930C1"/>
    <w:rsid w:val="0079315D"/>
    <w:rsid w:val="0079368F"/>
    <w:rsid w:val="00793B45"/>
    <w:rsid w:val="007946EE"/>
    <w:rsid w:val="0079477A"/>
    <w:rsid w:val="007956CD"/>
    <w:rsid w:val="00795706"/>
    <w:rsid w:val="007960E3"/>
    <w:rsid w:val="00796F7C"/>
    <w:rsid w:val="00797131"/>
    <w:rsid w:val="00797254"/>
    <w:rsid w:val="00797430"/>
    <w:rsid w:val="00797AF4"/>
    <w:rsid w:val="007A0F8D"/>
    <w:rsid w:val="007A1078"/>
    <w:rsid w:val="007A180A"/>
    <w:rsid w:val="007A21E4"/>
    <w:rsid w:val="007A2304"/>
    <w:rsid w:val="007A257D"/>
    <w:rsid w:val="007A2CB0"/>
    <w:rsid w:val="007A343D"/>
    <w:rsid w:val="007A38CE"/>
    <w:rsid w:val="007A3A6E"/>
    <w:rsid w:val="007A3F1C"/>
    <w:rsid w:val="007A46E6"/>
    <w:rsid w:val="007A48D8"/>
    <w:rsid w:val="007A545E"/>
    <w:rsid w:val="007A5ACE"/>
    <w:rsid w:val="007A5C5C"/>
    <w:rsid w:val="007A6528"/>
    <w:rsid w:val="007A6A64"/>
    <w:rsid w:val="007A7B48"/>
    <w:rsid w:val="007A7FD7"/>
    <w:rsid w:val="007B08FD"/>
    <w:rsid w:val="007B18C6"/>
    <w:rsid w:val="007B20C2"/>
    <w:rsid w:val="007B25D5"/>
    <w:rsid w:val="007B27E4"/>
    <w:rsid w:val="007B2818"/>
    <w:rsid w:val="007B2910"/>
    <w:rsid w:val="007B301D"/>
    <w:rsid w:val="007B3264"/>
    <w:rsid w:val="007B35F6"/>
    <w:rsid w:val="007B3F87"/>
    <w:rsid w:val="007B404F"/>
    <w:rsid w:val="007B44A6"/>
    <w:rsid w:val="007B494E"/>
    <w:rsid w:val="007B4C5E"/>
    <w:rsid w:val="007B7462"/>
    <w:rsid w:val="007B7B52"/>
    <w:rsid w:val="007B7EEE"/>
    <w:rsid w:val="007C02A3"/>
    <w:rsid w:val="007C0C55"/>
    <w:rsid w:val="007C1507"/>
    <w:rsid w:val="007C1857"/>
    <w:rsid w:val="007C207E"/>
    <w:rsid w:val="007C2F60"/>
    <w:rsid w:val="007C3639"/>
    <w:rsid w:val="007C3757"/>
    <w:rsid w:val="007C4D8D"/>
    <w:rsid w:val="007C5144"/>
    <w:rsid w:val="007C5613"/>
    <w:rsid w:val="007C6138"/>
    <w:rsid w:val="007C6153"/>
    <w:rsid w:val="007C6849"/>
    <w:rsid w:val="007C6BC6"/>
    <w:rsid w:val="007C6C12"/>
    <w:rsid w:val="007C6D56"/>
    <w:rsid w:val="007C73B2"/>
    <w:rsid w:val="007D0435"/>
    <w:rsid w:val="007D0D3E"/>
    <w:rsid w:val="007D116E"/>
    <w:rsid w:val="007D1B24"/>
    <w:rsid w:val="007D267F"/>
    <w:rsid w:val="007D3341"/>
    <w:rsid w:val="007D399C"/>
    <w:rsid w:val="007D3A3E"/>
    <w:rsid w:val="007D400A"/>
    <w:rsid w:val="007D44C1"/>
    <w:rsid w:val="007D4B0E"/>
    <w:rsid w:val="007D4DD2"/>
    <w:rsid w:val="007D558F"/>
    <w:rsid w:val="007D5D0F"/>
    <w:rsid w:val="007D6EA8"/>
    <w:rsid w:val="007D7739"/>
    <w:rsid w:val="007D7B3C"/>
    <w:rsid w:val="007E010B"/>
    <w:rsid w:val="007E042B"/>
    <w:rsid w:val="007E05DB"/>
    <w:rsid w:val="007E1247"/>
    <w:rsid w:val="007E1A44"/>
    <w:rsid w:val="007E2419"/>
    <w:rsid w:val="007E2E7D"/>
    <w:rsid w:val="007E3E73"/>
    <w:rsid w:val="007E3FF5"/>
    <w:rsid w:val="007E4219"/>
    <w:rsid w:val="007E577E"/>
    <w:rsid w:val="007E5ACA"/>
    <w:rsid w:val="007E635E"/>
    <w:rsid w:val="007E6794"/>
    <w:rsid w:val="007E6A9C"/>
    <w:rsid w:val="007E6C0C"/>
    <w:rsid w:val="007E7300"/>
    <w:rsid w:val="007E767B"/>
    <w:rsid w:val="007E7B54"/>
    <w:rsid w:val="007F038C"/>
    <w:rsid w:val="007F0428"/>
    <w:rsid w:val="007F0C82"/>
    <w:rsid w:val="007F0F24"/>
    <w:rsid w:val="007F1755"/>
    <w:rsid w:val="007F1C20"/>
    <w:rsid w:val="007F222B"/>
    <w:rsid w:val="007F2443"/>
    <w:rsid w:val="007F2CBC"/>
    <w:rsid w:val="007F2D0D"/>
    <w:rsid w:val="007F3092"/>
    <w:rsid w:val="007F30F9"/>
    <w:rsid w:val="007F39B8"/>
    <w:rsid w:val="007F3C03"/>
    <w:rsid w:val="007F3E3F"/>
    <w:rsid w:val="007F3FA1"/>
    <w:rsid w:val="007F45DF"/>
    <w:rsid w:val="007F4A6F"/>
    <w:rsid w:val="007F4FBC"/>
    <w:rsid w:val="007F5975"/>
    <w:rsid w:val="007F5AB9"/>
    <w:rsid w:val="007F6497"/>
    <w:rsid w:val="007F6836"/>
    <w:rsid w:val="007F7DF2"/>
    <w:rsid w:val="008005E6"/>
    <w:rsid w:val="00800A35"/>
    <w:rsid w:val="00800D91"/>
    <w:rsid w:val="008015F2"/>
    <w:rsid w:val="00801875"/>
    <w:rsid w:val="00801A0E"/>
    <w:rsid w:val="00803362"/>
    <w:rsid w:val="00803C65"/>
    <w:rsid w:val="0080434C"/>
    <w:rsid w:val="00804BC0"/>
    <w:rsid w:val="00804E3C"/>
    <w:rsid w:val="00804E4C"/>
    <w:rsid w:val="00806272"/>
    <w:rsid w:val="0080662C"/>
    <w:rsid w:val="008070B2"/>
    <w:rsid w:val="008078AE"/>
    <w:rsid w:val="00807D79"/>
    <w:rsid w:val="00810102"/>
    <w:rsid w:val="008102BC"/>
    <w:rsid w:val="008116F3"/>
    <w:rsid w:val="008117C4"/>
    <w:rsid w:val="0081222E"/>
    <w:rsid w:val="00812461"/>
    <w:rsid w:val="008127E0"/>
    <w:rsid w:val="00812810"/>
    <w:rsid w:val="0081398E"/>
    <w:rsid w:val="00813F02"/>
    <w:rsid w:val="008149D8"/>
    <w:rsid w:val="00815714"/>
    <w:rsid w:val="00815A2A"/>
    <w:rsid w:val="00816559"/>
    <w:rsid w:val="0081724D"/>
    <w:rsid w:val="0081788A"/>
    <w:rsid w:val="00817927"/>
    <w:rsid w:val="00817A03"/>
    <w:rsid w:val="00817CFC"/>
    <w:rsid w:val="00817E82"/>
    <w:rsid w:val="008200A0"/>
    <w:rsid w:val="00820A3F"/>
    <w:rsid w:val="008218E7"/>
    <w:rsid w:val="00821D81"/>
    <w:rsid w:val="00822A52"/>
    <w:rsid w:val="00822F31"/>
    <w:rsid w:val="00823654"/>
    <w:rsid w:val="0082374A"/>
    <w:rsid w:val="008237F3"/>
    <w:rsid w:val="00823A90"/>
    <w:rsid w:val="00823D01"/>
    <w:rsid w:val="00825C68"/>
    <w:rsid w:val="00826883"/>
    <w:rsid w:val="008272D1"/>
    <w:rsid w:val="0082757E"/>
    <w:rsid w:val="0082769C"/>
    <w:rsid w:val="008277D4"/>
    <w:rsid w:val="008279D2"/>
    <w:rsid w:val="00827B6C"/>
    <w:rsid w:val="00827D77"/>
    <w:rsid w:val="00830259"/>
    <w:rsid w:val="00830561"/>
    <w:rsid w:val="00831115"/>
    <w:rsid w:val="008317E3"/>
    <w:rsid w:val="00832092"/>
    <w:rsid w:val="0083249C"/>
    <w:rsid w:val="00832D42"/>
    <w:rsid w:val="008333A9"/>
    <w:rsid w:val="00833419"/>
    <w:rsid w:val="008342A5"/>
    <w:rsid w:val="00834B7C"/>
    <w:rsid w:val="00834BE2"/>
    <w:rsid w:val="00834EA4"/>
    <w:rsid w:val="00835049"/>
    <w:rsid w:val="008354B9"/>
    <w:rsid w:val="00835DCB"/>
    <w:rsid w:val="00836090"/>
    <w:rsid w:val="00836921"/>
    <w:rsid w:val="00836B81"/>
    <w:rsid w:val="00837237"/>
    <w:rsid w:val="008376C0"/>
    <w:rsid w:val="0084035D"/>
    <w:rsid w:val="008405F9"/>
    <w:rsid w:val="0084060B"/>
    <w:rsid w:val="0084139B"/>
    <w:rsid w:val="0084143B"/>
    <w:rsid w:val="008417D4"/>
    <w:rsid w:val="00841CF9"/>
    <w:rsid w:val="00842547"/>
    <w:rsid w:val="008427D3"/>
    <w:rsid w:val="008429CF"/>
    <w:rsid w:val="008431CD"/>
    <w:rsid w:val="0084324C"/>
    <w:rsid w:val="00843910"/>
    <w:rsid w:val="00843B9B"/>
    <w:rsid w:val="008451F8"/>
    <w:rsid w:val="008456C8"/>
    <w:rsid w:val="008457D2"/>
    <w:rsid w:val="00846212"/>
    <w:rsid w:val="00846285"/>
    <w:rsid w:val="008468E0"/>
    <w:rsid w:val="0084767E"/>
    <w:rsid w:val="0084790F"/>
    <w:rsid w:val="00847BE7"/>
    <w:rsid w:val="00850EAB"/>
    <w:rsid w:val="00851C80"/>
    <w:rsid w:val="00851D70"/>
    <w:rsid w:val="00852760"/>
    <w:rsid w:val="00852952"/>
    <w:rsid w:val="008529B3"/>
    <w:rsid w:val="008529BB"/>
    <w:rsid w:val="00852ADD"/>
    <w:rsid w:val="00853883"/>
    <w:rsid w:val="00853EB9"/>
    <w:rsid w:val="00854CF7"/>
    <w:rsid w:val="00854DA7"/>
    <w:rsid w:val="008557A0"/>
    <w:rsid w:val="00855FA6"/>
    <w:rsid w:val="00856607"/>
    <w:rsid w:val="008602F1"/>
    <w:rsid w:val="008604A8"/>
    <w:rsid w:val="00860ADD"/>
    <w:rsid w:val="00860CA2"/>
    <w:rsid w:val="00861369"/>
    <w:rsid w:val="008616A2"/>
    <w:rsid w:val="00861C6C"/>
    <w:rsid w:val="008636AC"/>
    <w:rsid w:val="00863862"/>
    <w:rsid w:val="00863AAD"/>
    <w:rsid w:val="00863AB5"/>
    <w:rsid w:val="00864644"/>
    <w:rsid w:val="00864F4D"/>
    <w:rsid w:val="008658DE"/>
    <w:rsid w:val="00865F5C"/>
    <w:rsid w:val="00866296"/>
    <w:rsid w:val="008665C7"/>
    <w:rsid w:val="00866DC1"/>
    <w:rsid w:val="00867BBF"/>
    <w:rsid w:val="008707A3"/>
    <w:rsid w:val="00870A36"/>
    <w:rsid w:val="008711AE"/>
    <w:rsid w:val="0087143E"/>
    <w:rsid w:val="00871A36"/>
    <w:rsid w:val="00871E97"/>
    <w:rsid w:val="00872545"/>
    <w:rsid w:val="00872F21"/>
    <w:rsid w:val="00873736"/>
    <w:rsid w:val="0087378E"/>
    <w:rsid w:val="008737DF"/>
    <w:rsid w:val="008755E7"/>
    <w:rsid w:val="00875A46"/>
    <w:rsid w:val="00875E16"/>
    <w:rsid w:val="00877D03"/>
    <w:rsid w:val="00877E96"/>
    <w:rsid w:val="0088023D"/>
    <w:rsid w:val="008803CE"/>
    <w:rsid w:val="00880D8F"/>
    <w:rsid w:val="00881B5B"/>
    <w:rsid w:val="00882077"/>
    <w:rsid w:val="008820D9"/>
    <w:rsid w:val="00883613"/>
    <w:rsid w:val="00884663"/>
    <w:rsid w:val="008853A4"/>
    <w:rsid w:val="0088557F"/>
    <w:rsid w:val="00886393"/>
    <w:rsid w:val="00886579"/>
    <w:rsid w:val="00886F19"/>
    <w:rsid w:val="00887090"/>
    <w:rsid w:val="00887317"/>
    <w:rsid w:val="00887865"/>
    <w:rsid w:val="00887B37"/>
    <w:rsid w:val="00887F00"/>
    <w:rsid w:val="00890598"/>
    <w:rsid w:val="0089065A"/>
    <w:rsid w:val="00890DEB"/>
    <w:rsid w:val="0089162A"/>
    <w:rsid w:val="0089177A"/>
    <w:rsid w:val="00891AA9"/>
    <w:rsid w:val="00891D7A"/>
    <w:rsid w:val="00891DFC"/>
    <w:rsid w:val="00892791"/>
    <w:rsid w:val="00892B98"/>
    <w:rsid w:val="00893B27"/>
    <w:rsid w:val="008945D2"/>
    <w:rsid w:val="008949A3"/>
    <w:rsid w:val="00894CB5"/>
    <w:rsid w:val="008959FC"/>
    <w:rsid w:val="0089605E"/>
    <w:rsid w:val="00896668"/>
    <w:rsid w:val="00896E9A"/>
    <w:rsid w:val="008978D6"/>
    <w:rsid w:val="00897DA4"/>
    <w:rsid w:val="008A0CCC"/>
    <w:rsid w:val="008A1A87"/>
    <w:rsid w:val="008A1AC4"/>
    <w:rsid w:val="008A1D0E"/>
    <w:rsid w:val="008A25EA"/>
    <w:rsid w:val="008A276E"/>
    <w:rsid w:val="008A31C7"/>
    <w:rsid w:val="008A3215"/>
    <w:rsid w:val="008A3630"/>
    <w:rsid w:val="008A3E8B"/>
    <w:rsid w:val="008A47BE"/>
    <w:rsid w:val="008A4AEC"/>
    <w:rsid w:val="008A5609"/>
    <w:rsid w:val="008A5697"/>
    <w:rsid w:val="008A6DD5"/>
    <w:rsid w:val="008A6DF0"/>
    <w:rsid w:val="008A6FA0"/>
    <w:rsid w:val="008B0385"/>
    <w:rsid w:val="008B04B3"/>
    <w:rsid w:val="008B05E6"/>
    <w:rsid w:val="008B0E76"/>
    <w:rsid w:val="008B105C"/>
    <w:rsid w:val="008B15CE"/>
    <w:rsid w:val="008B1C8F"/>
    <w:rsid w:val="008B21F8"/>
    <w:rsid w:val="008B2570"/>
    <w:rsid w:val="008B2B19"/>
    <w:rsid w:val="008B2F40"/>
    <w:rsid w:val="008B2FCD"/>
    <w:rsid w:val="008B3627"/>
    <w:rsid w:val="008B3EAD"/>
    <w:rsid w:val="008B4208"/>
    <w:rsid w:val="008B49B6"/>
    <w:rsid w:val="008B534B"/>
    <w:rsid w:val="008B55A6"/>
    <w:rsid w:val="008B56A0"/>
    <w:rsid w:val="008B5AA1"/>
    <w:rsid w:val="008B5C51"/>
    <w:rsid w:val="008B5E49"/>
    <w:rsid w:val="008B5E61"/>
    <w:rsid w:val="008B64CE"/>
    <w:rsid w:val="008B68B4"/>
    <w:rsid w:val="008B756F"/>
    <w:rsid w:val="008B7633"/>
    <w:rsid w:val="008B7914"/>
    <w:rsid w:val="008C0D0C"/>
    <w:rsid w:val="008C127A"/>
    <w:rsid w:val="008C179E"/>
    <w:rsid w:val="008C18BD"/>
    <w:rsid w:val="008C1932"/>
    <w:rsid w:val="008C1CC8"/>
    <w:rsid w:val="008C1ECC"/>
    <w:rsid w:val="008C2C41"/>
    <w:rsid w:val="008C2C7F"/>
    <w:rsid w:val="008C2F0D"/>
    <w:rsid w:val="008C346A"/>
    <w:rsid w:val="008C364D"/>
    <w:rsid w:val="008C500C"/>
    <w:rsid w:val="008C5BC0"/>
    <w:rsid w:val="008C5D2A"/>
    <w:rsid w:val="008C62E8"/>
    <w:rsid w:val="008C6754"/>
    <w:rsid w:val="008C6C16"/>
    <w:rsid w:val="008C6F7D"/>
    <w:rsid w:val="008C7061"/>
    <w:rsid w:val="008C74FB"/>
    <w:rsid w:val="008C7AF4"/>
    <w:rsid w:val="008C7B0F"/>
    <w:rsid w:val="008C7DA4"/>
    <w:rsid w:val="008C7F6E"/>
    <w:rsid w:val="008C7FAE"/>
    <w:rsid w:val="008D0210"/>
    <w:rsid w:val="008D033E"/>
    <w:rsid w:val="008D0851"/>
    <w:rsid w:val="008D0AF5"/>
    <w:rsid w:val="008D0DEF"/>
    <w:rsid w:val="008D0FCD"/>
    <w:rsid w:val="008D1074"/>
    <w:rsid w:val="008D1079"/>
    <w:rsid w:val="008D2643"/>
    <w:rsid w:val="008D280F"/>
    <w:rsid w:val="008D2F60"/>
    <w:rsid w:val="008D318B"/>
    <w:rsid w:val="008D3994"/>
    <w:rsid w:val="008D3C3D"/>
    <w:rsid w:val="008D478E"/>
    <w:rsid w:val="008D4DB6"/>
    <w:rsid w:val="008D534E"/>
    <w:rsid w:val="008D619B"/>
    <w:rsid w:val="008D6E81"/>
    <w:rsid w:val="008D7739"/>
    <w:rsid w:val="008D7A64"/>
    <w:rsid w:val="008D7A92"/>
    <w:rsid w:val="008E0302"/>
    <w:rsid w:val="008E03F3"/>
    <w:rsid w:val="008E1267"/>
    <w:rsid w:val="008E19FD"/>
    <w:rsid w:val="008E22F8"/>
    <w:rsid w:val="008E23EE"/>
    <w:rsid w:val="008E25D0"/>
    <w:rsid w:val="008E25EC"/>
    <w:rsid w:val="008E39D8"/>
    <w:rsid w:val="008E5313"/>
    <w:rsid w:val="008E5D73"/>
    <w:rsid w:val="008E606F"/>
    <w:rsid w:val="008E6300"/>
    <w:rsid w:val="008E6AD9"/>
    <w:rsid w:val="008E6E25"/>
    <w:rsid w:val="008F022A"/>
    <w:rsid w:val="008F06FD"/>
    <w:rsid w:val="008F1172"/>
    <w:rsid w:val="008F27E3"/>
    <w:rsid w:val="008F3485"/>
    <w:rsid w:val="008F3AC3"/>
    <w:rsid w:val="008F42C1"/>
    <w:rsid w:val="008F4EF6"/>
    <w:rsid w:val="008F51FF"/>
    <w:rsid w:val="008F52FC"/>
    <w:rsid w:val="008F5DEF"/>
    <w:rsid w:val="008F6031"/>
    <w:rsid w:val="008F61F2"/>
    <w:rsid w:val="008F636D"/>
    <w:rsid w:val="008F7C0A"/>
    <w:rsid w:val="00901140"/>
    <w:rsid w:val="00901613"/>
    <w:rsid w:val="00901967"/>
    <w:rsid w:val="00901D2C"/>
    <w:rsid w:val="00901DBB"/>
    <w:rsid w:val="009026CB"/>
    <w:rsid w:val="00902876"/>
    <w:rsid w:val="009030FF"/>
    <w:rsid w:val="009036E9"/>
    <w:rsid w:val="009038F6"/>
    <w:rsid w:val="00903FB2"/>
    <w:rsid w:val="00904038"/>
    <w:rsid w:val="009041AF"/>
    <w:rsid w:val="009042AA"/>
    <w:rsid w:val="009049AB"/>
    <w:rsid w:val="00904C8C"/>
    <w:rsid w:val="009050B7"/>
    <w:rsid w:val="0090510D"/>
    <w:rsid w:val="00905130"/>
    <w:rsid w:val="009053BD"/>
    <w:rsid w:val="00905728"/>
    <w:rsid w:val="009061B8"/>
    <w:rsid w:val="009064BF"/>
    <w:rsid w:val="009069B8"/>
    <w:rsid w:val="0091015D"/>
    <w:rsid w:val="00910FE5"/>
    <w:rsid w:val="009130CC"/>
    <w:rsid w:val="009133EC"/>
    <w:rsid w:val="00913AF7"/>
    <w:rsid w:val="00913B37"/>
    <w:rsid w:val="00914683"/>
    <w:rsid w:val="00914861"/>
    <w:rsid w:val="009148D8"/>
    <w:rsid w:val="00914B5F"/>
    <w:rsid w:val="00914E71"/>
    <w:rsid w:val="0091504C"/>
    <w:rsid w:val="0091573F"/>
    <w:rsid w:val="00915897"/>
    <w:rsid w:val="00915B44"/>
    <w:rsid w:val="00915CD5"/>
    <w:rsid w:val="00916093"/>
    <w:rsid w:val="009160E3"/>
    <w:rsid w:val="0091639C"/>
    <w:rsid w:val="00916A8C"/>
    <w:rsid w:val="00916E99"/>
    <w:rsid w:val="0092002E"/>
    <w:rsid w:val="0092008D"/>
    <w:rsid w:val="0092050A"/>
    <w:rsid w:val="009209A1"/>
    <w:rsid w:val="00920EC6"/>
    <w:rsid w:val="0092101E"/>
    <w:rsid w:val="009225D6"/>
    <w:rsid w:val="0092383B"/>
    <w:rsid w:val="00923DCE"/>
    <w:rsid w:val="00924119"/>
    <w:rsid w:val="0092492A"/>
    <w:rsid w:val="00925120"/>
    <w:rsid w:val="009251B3"/>
    <w:rsid w:val="009255FA"/>
    <w:rsid w:val="009262E4"/>
    <w:rsid w:val="009266D2"/>
    <w:rsid w:val="00927361"/>
    <w:rsid w:val="00927D4E"/>
    <w:rsid w:val="00927F89"/>
    <w:rsid w:val="0093019B"/>
    <w:rsid w:val="00930AC2"/>
    <w:rsid w:val="00930D2A"/>
    <w:rsid w:val="00931243"/>
    <w:rsid w:val="009312BF"/>
    <w:rsid w:val="00931680"/>
    <w:rsid w:val="00931B84"/>
    <w:rsid w:val="00931DA9"/>
    <w:rsid w:val="0093220A"/>
    <w:rsid w:val="009322B2"/>
    <w:rsid w:val="009328DA"/>
    <w:rsid w:val="00932E7E"/>
    <w:rsid w:val="00933846"/>
    <w:rsid w:val="00933A80"/>
    <w:rsid w:val="0093442D"/>
    <w:rsid w:val="00934CD2"/>
    <w:rsid w:val="00935A35"/>
    <w:rsid w:val="00935D0C"/>
    <w:rsid w:val="009375E5"/>
    <w:rsid w:val="0093785F"/>
    <w:rsid w:val="00937BC5"/>
    <w:rsid w:val="00937D30"/>
    <w:rsid w:val="00941692"/>
    <w:rsid w:val="00941848"/>
    <w:rsid w:val="0094337A"/>
    <w:rsid w:val="009437F2"/>
    <w:rsid w:val="009442E8"/>
    <w:rsid w:val="00944BA7"/>
    <w:rsid w:val="0094519B"/>
    <w:rsid w:val="0094636D"/>
    <w:rsid w:val="009463F4"/>
    <w:rsid w:val="00947222"/>
    <w:rsid w:val="0094759C"/>
    <w:rsid w:val="009503FE"/>
    <w:rsid w:val="00950448"/>
    <w:rsid w:val="009504AA"/>
    <w:rsid w:val="009507D4"/>
    <w:rsid w:val="00950ACD"/>
    <w:rsid w:val="00950E37"/>
    <w:rsid w:val="00951666"/>
    <w:rsid w:val="0095182F"/>
    <w:rsid w:val="00952524"/>
    <w:rsid w:val="0095278F"/>
    <w:rsid w:val="0095299B"/>
    <w:rsid w:val="00953D2D"/>
    <w:rsid w:val="00953EAF"/>
    <w:rsid w:val="0095426C"/>
    <w:rsid w:val="00955EE9"/>
    <w:rsid w:val="00955FFF"/>
    <w:rsid w:val="009562AE"/>
    <w:rsid w:val="0095654A"/>
    <w:rsid w:val="00956A72"/>
    <w:rsid w:val="00956BF5"/>
    <w:rsid w:val="009570CF"/>
    <w:rsid w:val="009571C2"/>
    <w:rsid w:val="009575C3"/>
    <w:rsid w:val="0095770C"/>
    <w:rsid w:val="009579AF"/>
    <w:rsid w:val="00957CC8"/>
    <w:rsid w:val="00957EE7"/>
    <w:rsid w:val="0096086A"/>
    <w:rsid w:val="009612A9"/>
    <w:rsid w:val="00961453"/>
    <w:rsid w:val="009616D4"/>
    <w:rsid w:val="0096182D"/>
    <w:rsid w:val="0096203D"/>
    <w:rsid w:val="00962150"/>
    <w:rsid w:val="00962CCD"/>
    <w:rsid w:val="00963847"/>
    <w:rsid w:val="00964036"/>
    <w:rsid w:val="00964166"/>
    <w:rsid w:val="009645AD"/>
    <w:rsid w:val="0096475C"/>
    <w:rsid w:val="00964BC1"/>
    <w:rsid w:val="0096546E"/>
    <w:rsid w:val="0096562A"/>
    <w:rsid w:val="009656E8"/>
    <w:rsid w:val="00965865"/>
    <w:rsid w:val="00966096"/>
    <w:rsid w:val="00966A13"/>
    <w:rsid w:val="00966BAF"/>
    <w:rsid w:val="00967473"/>
    <w:rsid w:val="00967730"/>
    <w:rsid w:val="00970D56"/>
    <w:rsid w:val="00970E50"/>
    <w:rsid w:val="00971074"/>
    <w:rsid w:val="009725B2"/>
    <w:rsid w:val="00972969"/>
    <w:rsid w:val="009747AA"/>
    <w:rsid w:val="00974B99"/>
    <w:rsid w:val="00974BCB"/>
    <w:rsid w:val="0097529C"/>
    <w:rsid w:val="00975361"/>
    <w:rsid w:val="009758CD"/>
    <w:rsid w:val="009759A6"/>
    <w:rsid w:val="00975AEF"/>
    <w:rsid w:val="00975BF2"/>
    <w:rsid w:val="0097616C"/>
    <w:rsid w:val="009763E4"/>
    <w:rsid w:val="0097649D"/>
    <w:rsid w:val="0097654D"/>
    <w:rsid w:val="009766B7"/>
    <w:rsid w:val="00976D58"/>
    <w:rsid w:val="00977A66"/>
    <w:rsid w:val="00977C23"/>
    <w:rsid w:val="00980A22"/>
    <w:rsid w:val="00980D85"/>
    <w:rsid w:val="00981E09"/>
    <w:rsid w:val="00982149"/>
    <w:rsid w:val="00983094"/>
    <w:rsid w:val="00983599"/>
    <w:rsid w:val="009843DE"/>
    <w:rsid w:val="0098536A"/>
    <w:rsid w:val="0098544F"/>
    <w:rsid w:val="00985B04"/>
    <w:rsid w:val="0098661B"/>
    <w:rsid w:val="00986A6D"/>
    <w:rsid w:val="00986BEF"/>
    <w:rsid w:val="00987298"/>
    <w:rsid w:val="00987B34"/>
    <w:rsid w:val="00990282"/>
    <w:rsid w:val="00990769"/>
    <w:rsid w:val="00991167"/>
    <w:rsid w:val="00991DF8"/>
    <w:rsid w:val="00992499"/>
    <w:rsid w:val="009928A3"/>
    <w:rsid w:val="00992986"/>
    <w:rsid w:val="00992CDF"/>
    <w:rsid w:val="009936E2"/>
    <w:rsid w:val="00994B55"/>
    <w:rsid w:val="00995D86"/>
    <w:rsid w:val="00995E7D"/>
    <w:rsid w:val="00995FB2"/>
    <w:rsid w:val="00996A5A"/>
    <w:rsid w:val="00997623"/>
    <w:rsid w:val="0099781E"/>
    <w:rsid w:val="00997A68"/>
    <w:rsid w:val="009A0071"/>
    <w:rsid w:val="009A00EA"/>
    <w:rsid w:val="009A0328"/>
    <w:rsid w:val="009A0403"/>
    <w:rsid w:val="009A0587"/>
    <w:rsid w:val="009A0DA2"/>
    <w:rsid w:val="009A114E"/>
    <w:rsid w:val="009A1F6B"/>
    <w:rsid w:val="009A2616"/>
    <w:rsid w:val="009A2C4C"/>
    <w:rsid w:val="009A2DD8"/>
    <w:rsid w:val="009A30DE"/>
    <w:rsid w:val="009A39D5"/>
    <w:rsid w:val="009A3D29"/>
    <w:rsid w:val="009A509F"/>
    <w:rsid w:val="009A5453"/>
    <w:rsid w:val="009A6309"/>
    <w:rsid w:val="009A661F"/>
    <w:rsid w:val="009A6A7B"/>
    <w:rsid w:val="009A7532"/>
    <w:rsid w:val="009A7883"/>
    <w:rsid w:val="009B04B7"/>
    <w:rsid w:val="009B0596"/>
    <w:rsid w:val="009B1BAD"/>
    <w:rsid w:val="009B1D50"/>
    <w:rsid w:val="009B237F"/>
    <w:rsid w:val="009B2760"/>
    <w:rsid w:val="009B308D"/>
    <w:rsid w:val="009B31D6"/>
    <w:rsid w:val="009B3707"/>
    <w:rsid w:val="009B38D5"/>
    <w:rsid w:val="009B3B62"/>
    <w:rsid w:val="009B3C8D"/>
    <w:rsid w:val="009B3DE3"/>
    <w:rsid w:val="009B4FFB"/>
    <w:rsid w:val="009B502D"/>
    <w:rsid w:val="009B53C7"/>
    <w:rsid w:val="009B54FD"/>
    <w:rsid w:val="009B7489"/>
    <w:rsid w:val="009B7526"/>
    <w:rsid w:val="009B77A4"/>
    <w:rsid w:val="009B7987"/>
    <w:rsid w:val="009B7B0A"/>
    <w:rsid w:val="009C0519"/>
    <w:rsid w:val="009C07C9"/>
    <w:rsid w:val="009C08D7"/>
    <w:rsid w:val="009C0B63"/>
    <w:rsid w:val="009C0DC5"/>
    <w:rsid w:val="009C1866"/>
    <w:rsid w:val="009C1FDE"/>
    <w:rsid w:val="009C23FE"/>
    <w:rsid w:val="009C24C8"/>
    <w:rsid w:val="009C274A"/>
    <w:rsid w:val="009C375C"/>
    <w:rsid w:val="009C3A95"/>
    <w:rsid w:val="009C4E0D"/>
    <w:rsid w:val="009C4F1B"/>
    <w:rsid w:val="009C503B"/>
    <w:rsid w:val="009C542B"/>
    <w:rsid w:val="009C5793"/>
    <w:rsid w:val="009C5816"/>
    <w:rsid w:val="009C61EA"/>
    <w:rsid w:val="009C63EC"/>
    <w:rsid w:val="009C7DAC"/>
    <w:rsid w:val="009C7F93"/>
    <w:rsid w:val="009D077D"/>
    <w:rsid w:val="009D08A6"/>
    <w:rsid w:val="009D0EC0"/>
    <w:rsid w:val="009D1915"/>
    <w:rsid w:val="009D1B69"/>
    <w:rsid w:val="009D1EB3"/>
    <w:rsid w:val="009D25DE"/>
    <w:rsid w:val="009D2ABF"/>
    <w:rsid w:val="009D3AD2"/>
    <w:rsid w:val="009D3E06"/>
    <w:rsid w:val="009D5843"/>
    <w:rsid w:val="009D638D"/>
    <w:rsid w:val="009D6393"/>
    <w:rsid w:val="009D6B6C"/>
    <w:rsid w:val="009D766F"/>
    <w:rsid w:val="009E0885"/>
    <w:rsid w:val="009E1CC8"/>
    <w:rsid w:val="009E20F7"/>
    <w:rsid w:val="009E2827"/>
    <w:rsid w:val="009E2863"/>
    <w:rsid w:val="009E30D2"/>
    <w:rsid w:val="009E4885"/>
    <w:rsid w:val="009E48AB"/>
    <w:rsid w:val="009E4E65"/>
    <w:rsid w:val="009E508B"/>
    <w:rsid w:val="009E5EDF"/>
    <w:rsid w:val="009E5FBE"/>
    <w:rsid w:val="009E6068"/>
    <w:rsid w:val="009E6A00"/>
    <w:rsid w:val="009E6DB4"/>
    <w:rsid w:val="009E7510"/>
    <w:rsid w:val="009F0086"/>
    <w:rsid w:val="009F03AB"/>
    <w:rsid w:val="009F0619"/>
    <w:rsid w:val="009F068A"/>
    <w:rsid w:val="009F08C5"/>
    <w:rsid w:val="009F0A85"/>
    <w:rsid w:val="009F1260"/>
    <w:rsid w:val="009F15CA"/>
    <w:rsid w:val="009F1B71"/>
    <w:rsid w:val="009F220A"/>
    <w:rsid w:val="009F3171"/>
    <w:rsid w:val="009F36D6"/>
    <w:rsid w:val="009F3860"/>
    <w:rsid w:val="009F4F02"/>
    <w:rsid w:val="009F6575"/>
    <w:rsid w:val="009F7831"/>
    <w:rsid w:val="009F7ADC"/>
    <w:rsid w:val="00A0002A"/>
    <w:rsid w:val="00A00C9A"/>
    <w:rsid w:val="00A01F3A"/>
    <w:rsid w:val="00A0236D"/>
    <w:rsid w:val="00A02985"/>
    <w:rsid w:val="00A02B2B"/>
    <w:rsid w:val="00A02FA8"/>
    <w:rsid w:val="00A030FA"/>
    <w:rsid w:val="00A03F1A"/>
    <w:rsid w:val="00A03F74"/>
    <w:rsid w:val="00A03F88"/>
    <w:rsid w:val="00A044B9"/>
    <w:rsid w:val="00A046BF"/>
    <w:rsid w:val="00A04709"/>
    <w:rsid w:val="00A0585E"/>
    <w:rsid w:val="00A05A37"/>
    <w:rsid w:val="00A05B25"/>
    <w:rsid w:val="00A05C04"/>
    <w:rsid w:val="00A05EC0"/>
    <w:rsid w:val="00A06254"/>
    <w:rsid w:val="00A06842"/>
    <w:rsid w:val="00A07459"/>
    <w:rsid w:val="00A07D78"/>
    <w:rsid w:val="00A07DB6"/>
    <w:rsid w:val="00A10573"/>
    <w:rsid w:val="00A10972"/>
    <w:rsid w:val="00A11406"/>
    <w:rsid w:val="00A13205"/>
    <w:rsid w:val="00A132A1"/>
    <w:rsid w:val="00A13422"/>
    <w:rsid w:val="00A13577"/>
    <w:rsid w:val="00A148F0"/>
    <w:rsid w:val="00A15132"/>
    <w:rsid w:val="00A15320"/>
    <w:rsid w:val="00A15331"/>
    <w:rsid w:val="00A1554D"/>
    <w:rsid w:val="00A15792"/>
    <w:rsid w:val="00A158E3"/>
    <w:rsid w:val="00A1591A"/>
    <w:rsid w:val="00A172E0"/>
    <w:rsid w:val="00A17527"/>
    <w:rsid w:val="00A20C20"/>
    <w:rsid w:val="00A211C5"/>
    <w:rsid w:val="00A221A3"/>
    <w:rsid w:val="00A223D5"/>
    <w:rsid w:val="00A22EDA"/>
    <w:rsid w:val="00A235E4"/>
    <w:rsid w:val="00A23856"/>
    <w:rsid w:val="00A23F41"/>
    <w:rsid w:val="00A254D5"/>
    <w:rsid w:val="00A25547"/>
    <w:rsid w:val="00A25F76"/>
    <w:rsid w:val="00A3003E"/>
    <w:rsid w:val="00A31E14"/>
    <w:rsid w:val="00A331DC"/>
    <w:rsid w:val="00A3325E"/>
    <w:rsid w:val="00A34276"/>
    <w:rsid w:val="00A34524"/>
    <w:rsid w:val="00A345B6"/>
    <w:rsid w:val="00A3502D"/>
    <w:rsid w:val="00A354D1"/>
    <w:rsid w:val="00A357A4"/>
    <w:rsid w:val="00A35AF5"/>
    <w:rsid w:val="00A35CDF"/>
    <w:rsid w:val="00A36453"/>
    <w:rsid w:val="00A37970"/>
    <w:rsid w:val="00A37A68"/>
    <w:rsid w:val="00A37B0C"/>
    <w:rsid w:val="00A37CE6"/>
    <w:rsid w:val="00A37D1C"/>
    <w:rsid w:val="00A37FFE"/>
    <w:rsid w:val="00A404BE"/>
    <w:rsid w:val="00A40C08"/>
    <w:rsid w:val="00A40ECF"/>
    <w:rsid w:val="00A411C9"/>
    <w:rsid w:val="00A41B47"/>
    <w:rsid w:val="00A41FEF"/>
    <w:rsid w:val="00A42476"/>
    <w:rsid w:val="00A433CA"/>
    <w:rsid w:val="00A43A1A"/>
    <w:rsid w:val="00A43D48"/>
    <w:rsid w:val="00A43F3C"/>
    <w:rsid w:val="00A447A5"/>
    <w:rsid w:val="00A44D18"/>
    <w:rsid w:val="00A45B83"/>
    <w:rsid w:val="00A4646E"/>
    <w:rsid w:val="00A468FD"/>
    <w:rsid w:val="00A46921"/>
    <w:rsid w:val="00A47249"/>
    <w:rsid w:val="00A47B09"/>
    <w:rsid w:val="00A47E3B"/>
    <w:rsid w:val="00A501C7"/>
    <w:rsid w:val="00A5058A"/>
    <w:rsid w:val="00A50905"/>
    <w:rsid w:val="00A513FD"/>
    <w:rsid w:val="00A51796"/>
    <w:rsid w:val="00A517D0"/>
    <w:rsid w:val="00A5254B"/>
    <w:rsid w:val="00A52BC1"/>
    <w:rsid w:val="00A52D47"/>
    <w:rsid w:val="00A5347F"/>
    <w:rsid w:val="00A534A0"/>
    <w:rsid w:val="00A537EA"/>
    <w:rsid w:val="00A539AD"/>
    <w:rsid w:val="00A53D1B"/>
    <w:rsid w:val="00A53E3E"/>
    <w:rsid w:val="00A540B2"/>
    <w:rsid w:val="00A5414D"/>
    <w:rsid w:val="00A54A3E"/>
    <w:rsid w:val="00A553AD"/>
    <w:rsid w:val="00A5553C"/>
    <w:rsid w:val="00A556B7"/>
    <w:rsid w:val="00A564A6"/>
    <w:rsid w:val="00A567AE"/>
    <w:rsid w:val="00A56819"/>
    <w:rsid w:val="00A568AC"/>
    <w:rsid w:val="00A57B07"/>
    <w:rsid w:val="00A6025F"/>
    <w:rsid w:val="00A60E9C"/>
    <w:rsid w:val="00A61196"/>
    <w:rsid w:val="00A6131E"/>
    <w:rsid w:val="00A616AF"/>
    <w:rsid w:val="00A61879"/>
    <w:rsid w:val="00A624E0"/>
    <w:rsid w:val="00A628B4"/>
    <w:rsid w:val="00A62E6A"/>
    <w:rsid w:val="00A63E32"/>
    <w:rsid w:val="00A63E4E"/>
    <w:rsid w:val="00A6444F"/>
    <w:rsid w:val="00A652FF"/>
    <w:rsid w:val="00A6598D"/>
    <w:rsid w:val="00A65A0D"/>
    <w:rsid w:val="00A65C27"/>
    <w:rsid w:val="00A65F3C"/>
    <w:rsid w:val="00A661FD"/>
    <w:rsid w:val="00A66FB3"/>
    <w:rsid w:val="00A67DF5"/>
    <w:rsid w:val="00A709A3"/>
    <w:rsid w:val="00A71216"/>
    <w:rsid w:val="00A714A3"/>
    <w:rsid w:val="00A71B8B"/>
    <w:rsid w:val="00A742FB"/>
    <w:rsid w:val="00A74456"/>
    <w:rsid w:val="00A75089"/>
    <w:rsid w:val="00A754D1"/>
    <w:rsid w:val="00A75832"/>
    <w:rsid w:val="00A75EDC"/>
    <w:rsid w:val="00A76706"/>
    <w:rsid w:val="00A76D9E"/>
    <w:rsid w:val="00A80404"/>
    <w:rsid w:val="00A80548"/>
    <w:rsid w:val="00A8085F"/>
    <w:rsid w:val="00A80A3D"/>
    <w:rsid w:val="00A817A8"/>
    <w:rsid w:val="00A81E50"/>
    <w:rsid w:val="00A81F1C"/>
    <w:rsid w:val="00A82241"/>
    <w:rsid w:val="00A82602"/>
    <w:rsid w:val="00A82DA0"/>
    <w:rsid w:val="00A83E49"/>
    <w:rsid w:val="00A8401C"/>
    <w:rsid w:val="00A8415A"/>
    <w:rsid w:val="00A841A6"/>
    <w:rsid w:val="00A84221"/>
    <w:rsid w:val="00A84307"/>
    <w:rsid w:val="00A843CA"/>
    <w:rsid w:val="00A84B7A"/>
    <w:rsid w:val="00A85063"/>
    <w:rsid w:val="00A85367"/>
    <w:rsid w:val="00A86359"/>
    <w:rsid w:val="00A865DC"/>
    <w:rsid w:val="00A86FBC"/>
    <w:rsid w:val="00A879C5"/>
    <w:rsid w:val="00A87FA2"/>
    <w:rsid w:val="00A902AD"/>
    <w:rsid w:val="00A90302"/>
    <w:rsid w:val="00A9099E"/>
    <w:rsid w:val="00A9099F"/>
    <w:rsid w:val="00A91FB7"/>
    <w:rsid w:val="00A921CE"/>
    <w:rsid w:val="00A92967"/>
    <w:rsid w:val="00A9298F"/>
    <w:rsid w:val="00A9301E"/>
    <w:rsid w:val="00A93E3A"/>
    <w:rsid w:val="00A94BFF"/>
    <w:rsid w:val="00A95186"/>
    <w:rsid w:val="00A951AD"/>
    <w:rsid w:val="00A952F8"/>
    <w:rsid w:val="00A9561B"/>
    <w:rsid w:val="00A961BD"/>
    <w:rsid w:val="00A9652F"/>
    <w:rsid w:val="00A973B1"/>
    <w:rsid w:val="00AA027E"/>
    <w:rsid w:val="00AA1224"/>
    <w:rsid w:val="00AA14F2"/>
    <w:rsid w:val="00AA17D9"/>
    <w:rsid w:val="00AA180B"/>
    <w:rsid w:val="00AA1D43"/>
    <w:rsid w:val="00AA2358"/>
    <w:rsid w:val="00AA2469"/>
    <w:rsid w:val="00AA2CD7"/>
    <w:rsid w:val="00AA2FA4"/>
    <w:rsid w:val="00AA3301"/>
    <w:rsid w:val="00AA3360"/>
    <w:rsid w:val="00AA386B"/>
    <w:rsid w:val="00AA4C2E"/>
    <w:rsid w:val="00AA5B16"/>
    <w:rsid w:val="00AA637F"/>
    <w:rsid w:val="00AA6384"/>
    <w:rsid w:val="00AA6B93"/>
    <w:rsid w:val="00AA7A06"/>
    <w:rsid w:val="00AA7A7F"/>
    <w:rsid w:val="00AA7F56"/>
    <w:rsid w:val="00AB0A37"/>
    <w:rsid w:val="00AB1984"/>
    <w:rsid w:val="00AB1CBB"/>
    <w:rsid w:val="00AB215B"/>
    <w:rsid w:val="00AB266D"/>
    <w:rsid w:val="00AB2E7D"/>
    <w:rsid w:val="00AB3146"/>
    <w:rsid w:val="00AB333E"/>
    <w:rsid w:val="00AB37DB"/>
    <w:rsid w:val="00AB3ECC"/>
    <w:rsid w:val="00AB54B5"/>
    <w:rsid w:val="00AB573A"/>
    <w:rsid w:val="00AB5A73"/>
    <w:rsid w:val="00AB5F48"/>
    <w:rsid w:val="00AB7156"/>
    <w:rsid w:val="00AB716D"/>
    <w:rsid w:val="00AB72BB"/>
    <w:rsid w:val="00AB7472"/>
    <w:rsid w:val="00AB7BF3"/>
    <w:rsid w:val="00AC039D"/>
    <w:rsid w:val="00AC09D5"/>
    <w:rsid w:val="00AC0D8E"/>
    <w:rsid w:val="00AC1098"/>
    <w:rsid w:val="00AC175B"/>
    <w:rsid w:val="00AC198F"/>
    <w:rsid w:val="00AC1AA3"/>
    <w:rsid w:val="00AC1F8E"/>
    <w:rsid w:val="00AC22C1"/>
    <w:rsid w:val="00AC2BA0"/>
    <w:rsid w:val="00AC2E16"/>
    <w:rsid w:val="00AC318A"/>
    <w:rsid w:val="00AC374B"/>
    <w:rsid w:val="00AC3798"/>
    <w:rsid w:val="00AC3ED5"/>
    <w:rsid w:val="00AC4CB3"/>
    <w:rsid w:val="00AC4D7C"/>
    <w:rsid w:val="00AC53B0"/>
    <w:rsid w:val="00AC6473"/>
    <w:rsid w:val="00AC6655"/>
    <w:rsid w:val="00AC6965"/>
    <w:rsid w:val="00AC6EF2"/>
    <w:rsid w:val="00AC71A6"/>
    <w:rsid w:val="00AC742F"/>
    <w:rsid w:val="00AC7664"/>
    <w:rsid w:val="00AC7702"/>
    <w:rsid w:val="00AC774F"/>
    <w:rsid w:val="00AC780D"/>
    <w:rsid w:val="00AC787B"/>
    <w:rsid w:val="00AC78A0"/>
    <w:rsid w:val="00AC7956"/>
    <w:rsid w:val="00AC7E18"/>
    <w:rsid w:val="00AD1B79"/>
    <w:rsid w:val="00AD3208"/>
    <w:rsid w:val="00AD3C00"/>
    <w:rsid w:val="00AD4A3C"/>
    <w:rsid w:val="00AD4F6A"/>
    <w:rsid w:val="00AD50F8"/>
    <w:rsid w:val="00AD5D55"/>
    <w:rsid w:val="00AD719F"/>
    <w:rsid w:val="00AD738C"/>
    <w:rsid w:val="00AD7447"/>
    <w:rsid w:val="00AD752A"/>
    <w:rsid w:val="00AD7D36"/>
    <w:rsid w:val="00AE0A0E"/>
    <w:rsid w:val="00AE0DED"/>
    <w:rsid w:val="00AE1D05"/>
    <w:rsid w:val="00AE2780"/>
    <w:rsid w:val="00AE284A"/>
    <w:rsid w:val="00AE307E"/>
    <w:rsid w:val="00AE3450"/>
    <w:rsid w:val="00AE392E"/>
    <w:rsid w:val="00AE3E11"/>
    <w:rsid w:val="00AE40B3"/>
    <w:rsid w:val="00AE4BAB"/>
    <w:rsid w:val="00AE4BDC"/>
    <w:rsid w:val="00AE4CFD"/>
    <w:rsid w:val="00AE4EA6"/>
    <w:rsid w:val="00AE51FF"/>
    <w:rsid w:val="00AE55AD"/>
    <w:rsid w:val="00AE5D8F"/>
    <w:rsid w:val="00AE67D5"/>
    <w:rsid w:val="00AE67FA"/>
    <w:rsid w:val="00AE78ED"/>
    <w:rsid w:val="00AE7AC2"/>
    <w:rsid w:val="00AE7EC9"/>
    <w:rsid w:val="00AF0117"/>
    <w:rsid w:val="00AF1117"/>
    <w:rsid w:val="00AF1555"/>
    <w:rsid w:val="00AF174E"/>
    <w:rsid w:val="00AF18BA"/>
    <w:rsid w:val="00AF1CA5"/>
    <w:rsid w:val="00AF228C"/>
    <w:rsid w:val="00AF2DB9"/>
    <w:rsid w:val="00AF3928"/>
    <w:rsid w:val="00AF3B55"/>
    <w:rsid w:val="00AF3D62"/>
    <w:rsid w:val="00AF4146"/>
    <w:rsid w:val="00AF56FE"/>
    <w:rsid w:val="00AF5C45"/>
    <w:rsid w:val="00AF62A7"/>
    <w:rsid w:val="00AF6AC5"/>
    <w:rsid w:val="00AF7809"/>
    <w:rsid w:val="00AF7CA7"/>
    <w:rsid w:val="00AF7F7B"/>
    <w:rsid w:val="00B00BDE"/>
    <w:rsid w:val="00B00C95"/>
    <w:rsid w:val="00B0104B"/>
    <w:rsid w:val="00B021E0"/>
    <w:rsid w:val="00B035F2"/>
    <w:rsid w:val="00B03A30"/>
    <w:rsid w:val="00B03A35"/>
    <w:rsid w:val="00B0430C"/>
    <w:rsid w:val="00B04F99"/>
    <w:rsid w:val="00B057B6"/>
    <w:rsid w:val="00B05A7C"/>
    <w:rsid w:val="00B06361"/>
    <w:rsid w:val="00B0651D"/>
    <w:rsid w:val="00B06955"/>
    <w:rsid w:val="00B0758A"/>
    <w:rsid w:val="00B07BEA"/>
    <w:rsid w:val="00B07F41"/>
    <w:rsid w:val="00B102F9"/>
    <w:rsid w:val="00B11C80"/>
    <w:rsid w:val="00B11F33"/>
    <w:rsid w:val="00B12152"/>
    <w:rsid w:val="00B12763"/>
    <w:rsid w:val="00B12DCA"/>
    <w:rsid w:val="00B133CF"/>
    <w:rsid w:val="00B13ECB"/>
    <w:rsid w:val="00B144E0"/>
    <w:rsid w:val="00B1524F"/>
    <w:rsid w:val="00B15A54"/>
    <w:rsid w:val="00B15ECF"/>
    <w:rsid w:val="00B169CD"/>
    <w:rsid w:val="00B16C0A"/>
    <w:rsid w:val="00B1785C"/>
    <w:rsid w:val="00B17F60"/>
    <w:rsid w:val="00B2039A"/>
    <w:rsid w:val="00B20AC8"/>
    <w:rsid w:val="00B21063"/>
    <w:rsid w:val="00B215D5"/>
    <w:rsid w:val="00B21D55"/>
    <w:rsid w:val="00B225CB"/>
    <w:rsid w:val="00B22870"/>
    <w:rsid w:val="00B22A22"/>
    <w:rsid w:val="00B22AA6"/>
    <w:rsid w:val="00B23D1A"/>
    <w:rsid w:val="00B23E47"/>
    <w:rsid w:val="00B23F4C"/>
    <w:rsid w:val="00B23FC4"/>
    <w:rsid w:val="00B24233"/>
    <w:rsid w:val="00B24607"/>
    <w:rsid w:val="00B246DD"/>
    <w:rsid w:val="00B248D8"/>
    <w:rsid w:val="00B24BA7"/>
    <w:rsid w:val="00B2548F"/>
    <w:rsid w:val="00B25A6F"/>
    <w:rsid w:val="00B25CD9"/>
    <w:rsid w:val="00B268D0"/>
    <w:rsid w:val="00B269D3"/>
    <w:rsid w:val="00B27886"/>
    <w:rsid w:val="00B27F44"/>
    <w:rsid w:val="00B301ED"/>
    <w:rsid w:val="00B30448"/>
    <w:rsid w:val="00B3048B"/>
    <w:rsid w:val="00B30C49"/>
    <w:rsid w:val="00B30D75"/>
    <w:rsid w:val="00B30DAD"/>
    <w:rsid w:val="00B31315"/>
    <w:rsid w:val="00B3260E"/>
    <w:rsid w:val="00B32C4B"/>
    <w:rsid w:val="00B3407E"/>
    <w:rsid w:val="00B34C84"/>
    <w:rsid w:val="00B34D6A"/>
    <w:rsid w:val="00B35021"/>
    <w:rsid w:val="00B35749"/>
    <w:rsid w:val="00B35EF5"/>
    <w:rsid w:val="00B3677F"/>
    <w:rsid w:val="00B36872"/>
    <w:rsid w:val="00B3704D"/>
    <w:rsid w:val="00B37071"/>
    <w:rsid w:val="00B40162"/>
    <w:rsid w:val="00B401B6"/>
    <w:rsid w:val="00B4054D"/>
    <w:rsid w:val="00B405CD"/>
    <w:rsid w:val="00B40903"/>
    <w:rsid w:val="00B40FDB"/>
    <w:rsid w:val="00B41C6D"/>
    <w:rsid w:val="00B420B2"/>
    <w:rsid w:val="00B42800"/>
    <w:rsid w:val="00B42832"/>
    <w:rsid w:val="00B42863"/>
    <w:rsid w:val="00B430F6"/>
    <w:rsid w:val="00B43511"/>
    <w:rsid w:val="00B43CE6"/>
    <w:rsid w:val="00B4468B"/>
    <w:rsid w:val="00B45528"/>
    <w:rsid w:val="00B468B0"/>
    <w:rsid w:val="00B46B6E"/>
    <w:rsid w:val="00B478FA"/>
    <w:rsid w:val="00B50156"/>
    <w:rsid w:val="00B501E8"/>
    <w:rsid w:val="00B502A3"/>
    <w:rsid w:val="00B506D4"/>
    <w:rsid w:val="00B506ED"/>
    <w:rsid w:val="00B507AA"/>
    <w:rsid w:val="00B50953"/>
    <w:rsid w:val="00B509AE"/>
    <w:rsid w:val="00B50E13"/>
    <w:rsid w:val="00B51581"/>
    <w:rsid w:val="00B518AD"/>
    <w:rsid w:val="00B51BB6"/>
    <w:rsid w:val="00B52056"/>
    <w:rsid w:val="00B52B0E"/>
    <w:rsid w:val="00B52D81"/>
    <w:rsid w:val="00B5355B"/>
    <w:rsid w:val="00B5402E"/>
    <w:rsid w:val="00B540E8"/>
    <w:rsid w:val="00B54681"/>
    <w:rsid w:val="00B54F28"/>
    <w:rsid w:val="00B55852"/>
    <w:rsid w:val="00B560A9"/>
    <w:rsid w:val="00B56866"/>
    <w:rsid w:val="00B56CC4"/>
    <w:rsid w:val="00B604BB"/>
    <w:rsid w:val="00B6062A"/>
    <w:rsid w:val="00B60A96"/>
    <w:rsid w:val="00B60DD7"/>
    <w:rsid w:val="00B60EB6"/>
    <w:rsid w:val="00B60EE5"/>
    <w:rsid w:val="00B616A5"/>
    <w:rsid w:val="00B61861"/>
    <w:rsid w:val="00B628BE"/>
    <w:rsid w:val="00B62B67"/>
    <w:rsid w:val="00B637FB"/>
    <w:rsid w:val="00B6386F"/>
    <w:rsid w:val="00B65295"/>
    <w:rsid w:val="00B65D9B"/>
    <w:rsid w:val="00B667E1"/>
    <w:rsid w:val="00B66E51"/>
    <w:rsid w:val="00B66E68"/>
    <w:rsid w:val="00B672CB"/>
    <w:rsid w:val="00B67346"/>
    <w:rsid w:val="00B6793A"/>
    <w:rsid w:val="00B67AC3"/>
    <w:rsid w:val="00B70785"/>
    <w:rsid w:val="00B70880"/>
    <w:rsid w:val="00B71422"/>
    <w:rsid w:val="00B71486"/>
    <w:rsid w:val="00B71607"/>
    <w:rsid w:val="00B71EF7"/>
    <w:rsid w:val="00B720BE"/>
    <w:rsid w:val="00B72361"/>
    <w:rsid w:val="00B74AB0"/>
    <w:rsid w:val="00B75345"/>
    <w:rsid w:val="00B7584B"/>
    <w:rsid w:val="00B76327"/>
    <w:rsid w:val="00B76400"/>
    <w:rsid w:val="00B76C94"/>
    <w:rsid w:val="00B76D4E"/>
    <w:rsid w:val="00B76D6E"/>
    <w:rsid w:val="00B771A8"/>
    <w:rsid w:val="00B771AA"/>
    <w:rsid w:val="00B772D0"/>
    <w:rsid w:val="00B80A99"/>
    <w:rsid w:val="00B80F4E"/>
    <w:rsid w:val="00B814CF"/>
    <w:rsid w:val="00B81A33"/>
    <w:rsid w:val="00B8256C"/>
    <w:rsid w:val="00B82B22"/>
    <w:rsid w:val="00B82B2D"/>
    <w:rsid w:val="00B83117"/>
    <w:rsid w:val="00B8319C"/>
    <w:rsid w:val="00B86876"/>
    <w:rsid w:val="00B86BD5"/>
    <w:rsid w:val="00B90351"/>
    <w:rsid w:val="00B90532"/>
    <w:rsid w:val="00B906F2"/>
    <w:rsid w:val="00B90D9B"/>
    <w:rsid w:val="00B91259"/>
    <w:rsid w:val="00B91AD5"/>
    <w:rsid w:val="00B91B81"/>
    <w:rsid w:val="00B91D18"/>
    <w:rsid w:val="00B91FF0"/>
    <w:rsid w:val="00B92164"/>
    <w:rsid w:val="00B926A8"/>
    <w:rsid w:val="00B92D2C"/>
    <w:rsid w:val="00B92FFF"/>
    <w:rsid w:val="00B93538"/>
    <w:rsid w:val="00B936F8"/>
    <w:rsid w:val="00B9492E"/>
    <w:rsid w:val="00B94AFC"/>
    <w:rsid w:val="00B95C7C"/>
    <w:rsid w:val="00B960DB"/>
    <w:rsid w:val="00B962AC"/>
    <w:rsid w:val="00B96799"/>
    <w:rsid w:val="00B96DE5"/>
    <w:rsid w:val="00B97A76"/>
    <w:rsid w:val="00BA0109"/>
    <w:rsid w:val="00BA0166"/>
    <w:rsid w:val="00BA0584"/>
    <w:rsid w:val="00BA0755"/>
    <w:rsid w:val="00BA1E9D"/>
    <w:rsid w:val="00BA249D"/>
    <w:rsid w:val="00BA2F9B"/>
    <w:rsid w:val="00BA38D5"/>
    <w:rsid w:val="00BA3C66"/>
    <w:rsid w:val="00BA4D00"/>
    <w:rsid w:val="00BA4D30"/>
    <w:rsid w:val="00BA4F9B"/>
    <w:rsid w:val="00BA51C0"/>
    <w:rsid w:val="00BA5665"/>
    <w:rsid w:val="00BA6825"/>
    <w:rsid w:val="00BA72D9"/>
    <w:rsid w:val="00BA741A"/>
    <w:rsid w:val="00BA74E8"/>
    <w:rsid w:val="00BA75BA"/>
    <w:rsid w:val="00BB0082"/>
    <w:rsid w:val="00BB02DB"/>
    <w:rsid w:val="00BB0AB5"/>
    <w:rsid w:val="00BB195B"/>
    <w:rsid w:val="00BB1BBA"/>
    <w:rsid w:val="00BB1DB7"/>
    <w:rsid w:val="00BB204A"/>
    <w:rsid w:val="00BB2BD1"/>
    <w:rsid w:val="00BB31DF"/>
    <w:rsid w:val="00BB33E9"/>
    <w:rsid w:val="00BB34B7"/>
    <w:rsid w:val="00BB37AF"/>
    <w:rsid w:val="00BB3BE4"/>
    <w:rsid w:val="00BB44DB"/>
    <w:rsid w:val="00BB510B"/>
    <w:rsid w:val="00BB57D3"/>
    <w:rsid w:val="00BB58EE"/>
    <w:rsid w:val="00BB64EC"/>
    <w:rsid w:val="00BB7589"/>
    <w:rsid w:val="00BB7668"/>
    <w:rsid w:val="00BB767D"/>
    <w:rsid w:val="00BB7D3C"/>
    <w:rsid w:val="00BB7E42"/>
    <w:rsid w:val="00BC0445"/>
    <w:rsid w:val="00BC06ED"/>
    <w:rsid w:val="00BC077E"/>
    <w:rsid w:val="00BC0DE5"/>
    <w:rsid w:val="00BC0E57"/>
    <w:rsid w:val="00BC1F5F"/>
    <w:rsid w:val="00BC21BE"/>
    <w:rsid w:val="00BC2465"/>
    <w:rsid w:val="00BC2A8A"/>
    <w:rsid w:val="00BC3E36"/>
    <w:rsid w:val="00BC4B2D"/>
    <w:rsid w:val="00BC4CE8"/>
    <w:rsid w:val="00BC4D54"/>
    <w:rsid w:val="00BC5645"/>
    <w:rsid w:val="00BC5D00"/>
    <w:rsid w:val="00BC6E2F"/>
    <w:rsid w:val="00BC728A"/>
    <w:rsid w:val="00BC7632"/>
    <w:rsid w:val="00BC77A4"/>
    <w:rsid w:val="00BC7C9E"/>
    <w:rsid w:val="00BD1E79"/>
    <w:rsid w:val="00BD23A5"/>
    <w:rsid w:val="00BD2937"/>
    <w:rsid w:val="00BD2AFC"/>
    <w:rsid w:val="00BD2CD4"/>
    <w:rsid w:val="00BD3143"/>
    <w:rsid w:val="00BD330C"/>
    <w:rsid w:val="00BD359B"/>
    <w:rsid w:val="00BD3663"/>
    <w:rsid w:val="00BD367F"/>
    <w:rsid w:val="00BD46DF"/>
    <w:rsid w:val="00BD4871"/>
    <w:rsid w:val="00BD48A9"/>
    <w:rsid w:val="00BD4B47"/>
    <w:rsid w:val="00BD5712"/>
    <w:rsid w:val="00BD581A"/>
    <w:rsid w:val="00BD5C02"/>
    <w:rsid w:val="00BD658C"/>
    <w:rsid w:val="00BD678A"/>
    <w:rsid w:val="00BD6819"/>
    <w:rsid w:val="00BD7098"/>
    <w:rsid w:val="00BD76B0"/>
    <w:rsid w:val="00BD7EC6"/>
    <w:rsid w:val="00BE063A"/>
    <w:rsid w:val="00BE0FF2"/>
    <w:rsid w:val="00BE1345"/>
    <w:rsid w:val="00BE18BC"/>
    <w:rsid w:val="00BE2147"/>
    <w:rsid w:val="00BE239E"/>
    <w:rsid w:val="00BE3B83"/>
    <w:rsid w:val="00BE3C67"/>
    <w:rsid w:val="00BE3CF7"/>
    <w:rsid w:val="00BE42FC"/>
    <w:rsid w:val="00BE53CB"/>
    <w:rsid w:val="00BE5888"/>
    <w:rsid w:val="00BE6085"/>
    <w:rsid w:val="00BE66FC"/>
    <w:rsid w:val="00BE73FA"/>
    <w:rsid w:val="00BF00D1"/>
    <w:rsid w:val="00BF0353"/>
    <w:rsid w:val="00BF0579"/>
    <w:rsid w:val="00BF090A"/>
    <w:rsid w:val="00BF0918"/>
    <w:rsid w:val="00BF2001"/>
    <w:rsid w:val="00BF208E"/>
    <w:rsid w:val="00BF2575"/>
    <w:rsid w:val="00BF31A0"/>
    <w:rsid w:val="00BF323A"/>
    <w:rsid w:val="00BF36C0"/>
    <w:rsid w:val="00BF3CC3"/>
    <w:rsid w:val="00BF3F0A"/>
    <w:rsid w:val="00BF4331"/>
    <w:rsid w:val="00BF4C22"/>
    <w:rsid w:val="00BF4E35"/>
    <w:rsid w:val="00BF5098"/>
    <w:rsid w:val="00BF5FB3"/>
    <w:rsid w:val="00BF6948"/>
    <w:rsid w:val="00BF6F82"/>
    <w:rsid w:val="00BF7B9B"/>
    <w:rsid w:val="00C0083F"/>
    <w:rsid w:val="00C00976"/>
    <w:rsid w:val="00C020CD"/>
    <w:rsid w:val="00C02DDE"/>
    <w:rsid w:val="00C02EF9"/>
    <w:rsid w:val="00C0362D"/>
    <w:rsid w:val="00C0367B"/>
    <w:rsid w:val="00C04D48"/>
    <w:rsid w:val="00C04E51"/>
    <w:rsid w:val="00C05074"/>
    <w:rsid w:val="00C05AF9"/>
    <w:rsid w:val="00C0606E"/>
    <w:rsid w:val="00C060A3"/>
    <w:rsid w:val="00C060B0"/>
    <w:rsid w:val="00C06D2C"/>
    <w:rsid w:val="00C072F0"/>
    <w:rsid w:val="00C07344"/>
    <w:rsid w:val="00C0764A"/>
    <w:rsid w:val="00C079A3"/>
    <w:rsid w:val="00C07C1F"/>
    <w:rsid w:val="00C07C79"/>
    <w:rsid w:val="00C1079E"/>
    <w:rsid w:val="00C11A79"/>
    <w:rsid w:val="00C1211E"/>
    <w:rsid w:val="00C13607"/>
    <w:rsid w:val="00C137B1"/>
    <w:rsid w:val="00C13811"/>
    <w:rsid w:val="00C13B43"/>
    <w:rsid w:val="00C14152"/>
    <w:rsid w:val="00C147CC"/>
    <w:rsid w:val="00C1590B"/>
    <w:rsid w:val="00C15E81"/>
    <w:rsid w:val="00C174C9"/>
    <w:rsid w:val="00C17A25"/>
    <w:rsid w:val="00C17B6E"/>
    <w:rsid w:val="00C200BA"/>
    <w:rsid w:val="00C20748"/>
    <w:rsid w:val="00C20754"/>
    <w:rsid w:val="00C21378"/>
    <w:rsid w:val="00C220A5"/>
    <w:rsid w:val="00C22307"/>
    <w:rsid w:val="00C22BB2"/>
    <w:rsid w:val="00C22EAF"/>
    <w:rsid w:val="00C23150"/>
    <w:rsid w:val="00C23F7D"/>
    <w:rsid w:val="00C24580"/>
    <w:rsid w:val="00C24908"/>
    <w:rsid w:val="00C250E8"/>
    <w:rsid w:val="00C25150"/>
    <w:rsid w:val="00C2515F"/>
    <w:rsid w:val="00C25B30"/>
    <w:rsid w:val="00C25DCF"/>
    <w:rsid w:val="00C26408"/>
    <w:rsid w:val="00C26AEA"/>
    <w:rsid w:val="00C276EC"/>
    <w:rsid w:val="00C27C0A"/>
    <w:rsid w:val="00C30530"/>
    <w:rsid w:val="00C305D9"/>
    <w:rsid w:val="00C31184"/>
    <w:rsid w:val="00C31197"/>
    <w:rsid w:val="00C31AD4"/>
    <w:rsid w:val="00C31C63"/>
    <w:rsid w:val="00C31C8C"/>
    <w:rsid w:val="00C31CD9"/>
    <w:rsid w:val="00C32481"/>
    <w:rsid w:val="00C3394C"/>
    <w:rsid w:val="00C34278"/>
    <w:rsid w:val="00C34581"/>
    <w:rsid w:val="00C34A4C"/>
    <w:rsid w:val="00C34AD7"/>
    <w:rsid w:val="00C3516D"/>
    <w:rsid w:val="00C351E4"/>
    <w:rsid w:val="00C353A0"/>
    <w:rsid w:val="00C353D8"/>
    <w:rsid w:val="00C35B43"/>
    <w:rsid w:val="00C361A6"/>
    <w:rsid w:val="00C365C5"/>
    <w:rsid w:val="00C3670F"/>
    <w:rsid w:val="00C36E1A"/>
    <w:rsid w:val="00C36E26"/>
    <w:rsid w:val="00C371DF"/>
    <w:rsid w:val="00C37818"/>
    <w:rsid w:val="00C37EFC"/>
    <w:rsid w:val="00C37FF9"/>
    <w:rsid w:val="00C40126"/>
    <w:rsid w:val="00C40A5D"/>
    <w:rsid w:val="00C41099"/>
    <w:rsid w:val="00C41425"/>
    <w:rsid w:val="00C41B4A"/>
    <w:rsid w:val="00C4213A"/>
    <w:rsid w:val="00C42393"/>
    <w:rsid w:val="00C42C11"/>
    <w:rsid w:val="00C43344"/>
    <w:rsid w:val="00C43ADB"/>
    <w:rsid w:val="00C44065"/>
    <w:rsid w:val="00C44949"/>
    <w:rsid w:val="00C44B4C"/>
    <w:rsid w:val="00C450E3"/>
    <w:rsid w:val="00C456CC"/>
    <w:rsid w:val="00C45830"/>
    <w:rsid w:val="00C4588E"/>
    <w:rsid w:val="00C45C56"/>
    <w:rsid w:val="00C45CCD"/>
    <w:rsid w:val="00C46734"/>
    <w:rsid w:val="00C46C24"/>
    <w:rsid w:val="00C50112"/>
    <w:rsid w:val="00C5105D"/>
    <w:rsid w:val="00C511F0"/>
    <w:rsid w:val="00C513C7"/>
    <w:rsid w:val="00C51639"/>
    <w:rsid w:val="00C51871"/>
    <w:rsid w:val="00C53220"/>
    <w:rsid w:val="00C533A0"/>
    <w:rsid w:val="00C537E7"/>
    <w:rsid w:val="00C53AFE"/>
    <w:rsid w:val="00C53CBF"/>
    <w:rsid w:val="00C53E9D"/>
    <w:rsid w:val="00C5426B"/>
    <w:rsid w:val="00C54C18"/>
    <w:rsid w:val="00C573DA"/>
    <w:rsid w:val="00C5772E"/>
    <w:rsid w:val="00C5781B"/>
    <w:rsid w:val="00C57D99"/>
    <w:rsid w:val="00C609E1"/>
    <w:rsid w:val="00C61117"/>
    <w:rsid w:val="00C616B4"/>
    <w:rsid w:val="00C61FE2"/>
    <w:rsid w:val="00C621A7"/>
    <w:rsid w:val="00C62AA0"/>
    <w:rsid w:val="00C62AEC"/>
    <w:rsid w:val="00C62BF2"/>
    <w:rsid w:val="00C62D1B"/>
    <w:rsid w:val="00C62D43"/>
    <w:rsid w:val="00C638A6"/>
    <w:rsid w:val="00C63FB9"/>
    <w:rsid w:val="00C64266"/>
    <w:rsid w:val="00C647DF"/>
    <w:rsid w:val="00C64F8E"/>
    <w:rsid w:val="00C66306"/>
    <w:rsid w:val="00C6646D"/>
    <w:rsid w:val="00C666D6"/>
    <w:rsid w:val="00C66CE8"/>
    <w:rsid w:val="00C66E4C"/>
    <w:rsid w:val="00C70074"/>
    <w:rsid w:val="00C70D51"/>
    <w:rsid w:val="00C70DF4"/>
    <w:rsid w:val="00C71252"/>
    <w:rsid w:val="00C72593"/>
    <w:rsid w:val="00C7277F"/>
    <w:rsid w:val="00C732DC"/>
    <w:rsid w:val="00C73C07"/>
    <w:rsid w:val="00C73EB7"/>
    <w:rsid w:val="00C74930"/>
    <w:rsid w:val="00C74B47"/>
    <w:rsid w:val="00C74D80"/>
    <w:rsid w:val="00C754BD"/>
    <w:rsid w:val="00C75D3A"/>
    <w:rsid w:val="00C769A9"/>
    <w:rsid w:val="00C774C9"/>
    <w:rsid w:val="00C77F1B"/>
    <w:rsid w:val="00C80987"/>
    <w:rsid w:val="00C80A3F"/>
    <w:rsid w:val="00C8180E"/>
    <w:rsid w:val="00C818A9"/>
    <w:rsid w:val="00C82436"/>
    <w:rsid w:val="00C82933"/>
    <w:rsid w:val="00C82BE2"/>
    <w:rsid w:val="00C835D3"/>
    <w:rsid w:val="00C84BBF"/>
    <w:rsid w:val="00C84BE9"/>
    <w:rsid w:val="00C854B7"/>
    <w:rsid w:val="00C85DEF"/>
    <w:rsid w:val="00C85E1C"/>
    <w:rsid w:val="00C85E40"/>
    <w:rsid w:val="00C86D76"/>
    <w:rsid w:val="00C86DA6"/>
    <w:rsid w:val="00C87A64"/>
    <w:rsid w:val="00C910F8"/>
    <w:rsid w:val="00C91106"/>
    <w:rsid w:val="00C9117B"/>
    <w:rsid w:val="00C91D19"/>
    <w:rsid w:val="00C926D1"/>
    <w:rsid w:val="00C9373A"/>
    <w:rsid w:val="00C938CD"/>
    <w:rsid w:val="00C93B58"/>
    <w:rsid w:val="00C93C2F"/>
    <w:rsid w:val="00C9437C"/>
    <w:rsid w:val="00C946E4"/>
    <w:rsid w:val="00C946FF"/>
    <w:rsid w:val="00C94A14"/>
    <w:rsid w:val="00C94CDA"/>
    <w:rsid w:val="00C94F0E"/>
    <w:rsid w:val="00C9593F"/>
    <w:rsid w:val="00C95BED"/>
    <w:rsid w:val="00C95EB3"/>
    <w:rsid w:val="00C96725"/>
    <w:rsid w:val="00C97A66"/>
    <w:rsid w:val="00CA007B"/>
    <w:rsid w:val="00CA01BB"/>
    <w:rsid w:val="00CA0AA4"/>
    <w:rsid w:val="00CA0C1E"/>
    <w:rsid w:val="00CA15B0"/>
    <w:rsid w:val="00CA1C71"/>
    <w:rsid w:val="00CA1D4C"/>
    <w:rsid w:val="00CA1D50"/>
    <w:rsid w:val="00CA1DAB"/>
    <w:rsid w:val="00CA20E0"/>
    <w:rsid w:val="00CA2598"/>
    <w:rsid w:val="00CA3347"/>
    <w:rsid w:val="00CA523D"/>
    <w:rsid w:val="00CA5EE2"/>
    <w:rsid w:val="00CA6FDA"/>
    <w:rsid w:val="00CA77CF"/>
    <w:rsid w:val="00CA7B58"/>
    <w:rsid w:val="00CB0836"/>
    <w:rsid w:val="00CB0CB9"/>
    <w:rsid w:val="00CB1413"/>
    <w:rsid w:val="00CB18D4"/>
    <w:rsid w:val="00CB24D9"/>
    <w:rsid w:val="00CB2518"/>
    <w:rsid w:val="00CB3156"/>
    <w:rsid w:val="00CB3920"/>
    <w:rsid w:val="00CB454F"/>
    <w:rsid w:val="00CB469E"/>
    <w:rsid w:val="00CB4C4C"/>
    <w:rsid w:val="00CB6413"/>
    <w:rsid w:val="00CB696F"/>
    <w:rsid w:val="00CB6A00"/>
    <w:rsid w:val="00CB7059"/>
    <w:rsid w:val="00CB7097"/>
    <w:rsid w:val="00CB73EE"/>
    <w:rsid w:val="00CB77F4"/>
    <w:rsid w:val="00CB780D"/>
    <w:rsid w:val="00CC00E9"/>
    <w:rsid w:val="00CC0F1C"/>
    <w:rsid w:val="00CC109F"/>
    <w:rsid w:val="00CC1983"/>
    <w:rsid w:val="00CC1BBB"/>
    <w:rsid w:val="00CC259D"/>
    <w:rsid w:val="00CC2808"/>
    <w:rsid w:val="00CC299A"/>
    <w:rsid w:val="00CC3039"/>
    <w:rsid w:val="00CC32B7"/>
    <w:rsid w:val="00CC36DE"/>
    <w:rsid w:val="00CC4498"/>
    <w:rsid w:val="00CC4849"/>
    <w:rsid w:val="00CC4F99"/>
    <w:rsid w:val="00CC5CDC"/>
    <w:rsid w:val="00CC5E94"/>
    <w:rsid w:val="00CC5FC3"/>
    <w:rsid w:val="00CC6369"/>
    <w:rsid w:val="00CC6576"/>
    <w:rsid w:val="00CC65D6"/>
    <w:rsid w:val="00CC73F3"/>
    <w:rsid w:val="00CC7B85"/>
    <w:rsid w:val="00CD081C"/>
    <w:rsid w:val="00CD14DA"/>
    <w:rsid w:val="00CD1B5A"/>
    <w:rsid w:val="00CD1E9C"/>
    <w:rsid w:val="00CD27DB"/>
    <w:rsid w:val="00CD2E70"/>
    <w:rsid w:val="00CD386B"/>
    <w:rsid w:val="00CD3D06"/>
    <w:rsid w:val="00CD4A09"/>
    <w:rsid w:val="00CD4C67"/>
    <w:rsid w:val="00CD4C7B"/>
    <w:rsid w:val="00CD5125"/>
    <w:rsid w:val="00CD5397"/>
    <w:rsid w:val="00CD5E93"/>
    <w:rsid w:val="00CD6AE1"/>
    <w:rsid w:val="00CD6D2E"/>
    <w:rsid w:val="00CE1344"/>
    <w:rsid w:val="00CE15AE"/>
    <w:rsid w:val="00CE1CFC"/>
    <w:rsid w:val="00CE235A"/>
    <w:rsid w:val="00CE2494"/>
    <w:rsid w:val="00CE37A3"/>
    <w:rsid w:val="00CE3814"/>
    <w:rsid w:val="00CE3FC0"/>
    <w:rsid w:val="00CE4AC7"/>
    <w:rsid w:val="00CE56B7"/>
    <w:rsid w:val="00CE6543"/>
    <w:rsid w:val="00CE6660"/>
    <w:rsid w:val="00CE6855"/>
    <w:rsid w:val="00CE6B6F"/>
    <w:rsid w:val="00CE7033"/>
    <w:rsid w:val="00CE7075"/>
    <w:rsid w:val="00CE770A"/>
    <w:rsid w:val="00CF02A6"/>
    <w:rsid w:val="00CF05A6"/>
    <w:rsid w:val="00CF060D"/>
    <w:rsid w:val="00CF06CF"/>
    <w:rsid w:val="00CF101C"/>
    <w:rsid w:val="00CF15C5"/>
    <w:rsid w:val="00CF1E77"/>
    <w:rsid w:val="00CF1EFE"/>
    <w:rsid w:val="00CF2DC1"/>
    <w:rsid w:val="00CF2EE2"/>
    <w:rsid w:val="00CF37AD"/>
    <w:rsid w:val="00CF3948"/>
    <w:rsid w:val="00CF3ACF"/>
    <w:rsid w:val="00CF441D"/>
    <w:rsid w:val="00CF4FCF"/>
    <w:rsid w:val="00CF4FDC"/>
    <w:rsid w:val="00CF53F2"/>
    <w:rsid w:val="00CF56AF"/>
    <w:rsid w:val="00CF58F1"/>
    <w:rsid w:val="00CF5BE0"/>
    <w:rsid w:val="00CF5BF1"/>
    <w:rsid w:val="00CF5D64"/>
    <w:rsid w:val="00CF6001"/>
    <w:rsid w:val="00CF61CB"/>
    <w:rsid w:val="00CF666F"/>
    <w:rsid w:val="00CF686F"/>
    <w:rsid w:val="00CF6CA7"/>
    <w:rsid w:val="00CF6E7D"/>
    <w:rsid w:val="00CF76FB"/>
    <w:rsid w:val="00CF7705"/>
    <w:rsid w:val="00D00175"/>
    <w:rsid w:val="00D00223"/>
    <w:rsid w:val="00D00312"/>
    <w:rsid w:val="00D0045E"/>
    <w:rsid w:val="00D008D8"/>
    <w:rsid w:val="00D00DBF"/>
    <w:rsid w:val="00D0149B"/>
    <w:rsid w:val="00D0164F"/>
    <w:rsid w:val="00D018E5"/>
    <w:rsid w:val="00D01AAA"/>
    <w:rsid w:val="00D01F5D"/>
    <w:rsid w:val="00D01FA9"/>
    <w:rsid w:val="00D02D17"/>
    <w:rsid w:val="00D03755"/>
    <w:rsid w:val="00D03DBE"/>
    <w:rsid w:val="00D03EED"/>
    <w:rsid w:val="00D0597D"/>
    <w:rsid w:val="00D06274"/>
    <w:rsid w:val="00D066D8"/>
    <w:rsid w:val="00D07432"/>
    <w:rsid w:val="00D07FB9"/>
    <w:rsid w:val="00D10C27"/>
    <w:rsid w:val="00D118AC"/>
    <w:rsid w:val="00D11949"/>
    <w:rsid w:val="00D11A69"/>
    <w:rsid w:val="00D11CB2"/>
    <w:rsid w:val="00D12C98"/>
    <w:rsid w:val="00D12FFC"/>
    <w:rsid w:val="00D13CA3"/>
    <w:rsid w:val="00D1484F"/>
    <w:rsid w:val="00D14BA0"/>
    <w:rsid w:val="00D14D7B"/>
    <w:rsid w:val="00D1516D"/>
    <w:rsid w:val="00D158B0"/>
    <w:rsid w:val="00D15BBB"/>
    <w:rsid w:val="00D1707A"/>
    <w:rsid w:val="00D17CC2"/>
    <w:rsid w:val="00D20EED"/>
    <w:rsid w:val="00D21435"/>
    <w:rsid w:val="00D2242C"/>
    <w:rsid w:val="00D224FA"/>
    <w:rsid w:val="00D23033"/>
    <w:rsid w:val="00D23D60"/>
    <w:rsid w:val="00D2402F"/>
    <w:rsid w:val="00D245C2"/>
    <w:rsid w:val="00D250B7"/>
    <w:rsid w:val="00D25660"/>
    <w:rsid w:val="00D2569B"/>
    <w:rsid w:val="00D258EB"/>
    <w:rsid w:val="00D25AEB"/>
    <w:rsid w:val="00D26C14"/>
    <w:rsid w:val="00D271CD"/>
    <w:rsid w:val="00D27BD2"/>
    <w:rsid w:val="00D30480"/>
    <w:rsid w:val="00D3064E"/>
    <w:rsid w:val="00D315CC"/>
    <w:rsid w:val="00D31DDA"/>
    <w:rsid w:val="00D31F05"/>
    <w:rsid w:val="00D32067"/>
    <w:rsid w:val="00D327A3"/>
    <w:rsid w:val="00D33893"/>
    <w:rsid w:val="00D33AE9"/>
    <w:rsid w:val="00D34927"/>
    <w:rsid w:val="00D34C82"/>
    <w:rsid w:val="00D36550"/>
    <w:rsid w:val="00D379EC"/>
    <w:rsid w:val="00D37C94"/>
    <w:rsid w:val="00D37E9F"/>
    <w:rsid w:val="00D40D88"/>
    <w:rsid w:val="00D41E42"/>
    <w:rsid w:val="00D41F6B"/>
    <w:rsid w:val="00D42380"/>
    <w:rsid w:val="00D42C9B"/>
    <w:rsid w:val="00D4304F"/>
    <w:rsid w:val="00D4348D"/>
    <w:rsid w:val="00D436D7"/>
    <w:rsid w:val="00D43ADD"/>
    <w:rsid w:val="00D44E42"/>
    <w:rsid w:val="00D44FC3"/>
    <w:rsid w:val="00D45072"/>
    <w:rsid w:val="00D450E2"/>
    <w:rsid w:val="00D453D7"/>
    <w:rsid w:val="00D4552D"/>
    <w:rsid w:val="00D462D6"/>
    <w:rsid w:val="00D46898"/>
    <w:rsid w:val="00D4714D"/>
    <w:rsid w:val="00D474AB"/>
    <w:rsid w:val="00D4754E"/>
    <w:rsid w:val="00D50460"/>
    <w:rsid w:val="00D50961"/>
    <w:rsid w:val="00D50A02"/>
    <w:rsid w:val="00D512A1"/>
    <w:rsid w:val="00D518D6"/>
    <w:rsid w:val="00D51FDC"/>
    <w:rsid w:val="00D52AB4"/>
    <w:rsid w:val="00D52F26"/>
    <w:rsid w:val="00D531F5"/>
    <w:rsid w:val="00D538C1"/>
    <w:rsid w:val="00D538D5"/>
    <w:rsid w:val="00D53B5C"/>
    <w:rsid w:val="00D54640"/>
    <w:rsid w:val="00D54916"/>
    <w:rsid w:val="00D55455"/>
    <w:rsid w:val="00D559B5"/>
    <w:rsid w:val="00D56420"/>
    <w:rsid w:val="00D5658A"/>
    <w:rsid w:val="00D56A94"/>
    <w:rsid w:val="00D56C0C"/>
    <w:rsid w:val="00D56F9E"/>
    <w:rsid w:val="00D570B4"/>
    <w:rsid w:val="00D5798B"/>
    <w:rsid w:val="00D60736"/>
    <w:rsid w:val="00D6130D"/>
    <w:rsid w:val="00D6170E"/>
    <w:rsid w:val="00D61972"/>
    <w:rsid w:val="00D61B58"/>
    <w:rsid w:val="00D62890"/>
    <w:rsid w:val="00D6307D"/>
    <w:rsid w:val="00D63632"/>
    <w:rsid w:val="00D63732"/>
    <w:rsid w:val="00D637F5"/>
    <w:rsid w:val="00D63925"/>
    <w:rsid w:val="00D63D9C"/>
    <w:rsid w:val="00D6400B"/>
    <w:rsid w:val="00D6405D"/>
    <w:rsid w:val="00D6568E"/>
    <w:rsid w:val="00D65893"/>
    <w:rsid w:val="00D658EC"/>
    <w:rsid w:val="00D66816"/>
    <w:rsid w:val="00D6684E"/>
    <w:rsid w:val="00D6742A"/>
    <w:rsid w:val="00D67B9B"/>
    <w:rsid w:val="00D71733"/>
    <w:rsid w:val="00D718AC"/>
    <w:rsid w:val="00D719A3"/>
    <w:rsid w:val="00D71E7A"/>
    <w:rsid w:val="00D72DE7"/>
    <w:rsid w:val="00D7302F"/>
    <w:rsid w:val="00D7329E"/>
    <w:rsid w:val="00D7340B"/>
    <w:rsid w:val="00D73870"/>
    <w:rsid w:val="00D73BB2"/>
    <w:rsid w:val="00D74575"/>
    <w:rsid w:val="00D74D14"/>
    <w:rsid w:val="00D74F3B"/>
    <w:rsid w:val="00D75132"/>
    <w:rsid w:val="00D752E7"/>
    <w:rsid w:val="00D7574B"/>
    <w:rsid w:val="00D75913"/>
    <w:rsid w:val="00D75E82"/>
    <w:rsid w:val="00D76270"/>
    <w:rsid w:val="00D767C6"/>
    <w:rsid w:val="00D769C5"/>
    <w:rsid w:val="00D76E76"/>
    <w:rsid w:val="00D77FE0"/>
    <w:rsid w:val="00D80631"/>
    <w:rsid w:val="00D818EC"/>
    <w:rsid w:val="00D81A20"/>
    <w:rsid w:val="00D81F55"/>
    <w:rsid w:val="00D82354"/>
    <w:rsid w:val="00D8321A"/>
    <w:rsid w:val="00D83F57"/>
    <w:rsid w:val="00D84A86"/>
    <w:rsid w:val="00D84F58"/>
    <w:rsid w:val="00D85152"/>
    <w:rsid w:val="00D85F2C"/>
    <w:rsid w:val="00D86030"/>
    <w:rsid w:val="00D861BD"/>
    <w:rsid w:val="00D867EE"/>
    <w:rsid w:val="00D86D55"/>
    <w:rsid w:val="00D8789C"/>
    <w:rsid w:val="00D8789D"/>
    <w:rsid w:val="00D87B3F"/>
    <w:rsid w:val="00D9003D"/>
    <w:rsid w:val="00D90558"/>
    <w:rsid w:val="00D9082F"/>
    <w:rsid w:val="00D90C79"/>
    <w:rsid w:val="00D914EB"/>
    <w:rsid w:val="00D91B36"/>
    <w:rsid w:val="00D9305B"/>
    <w:rsid w:val="00D94085"/>
    <w:rsid w:val="00D9445B"/>
    <w:rsid w:val="00D944D2"/>
    <w:rsid w:val="00D95ECE"/>
    <w:rsid w:val="00D96D4F"/>
    <w:rsid w:val="00D97601"/>
    <w:rsid w:val="00DA1806"/>
    <w:rsid w:val="00DA180C"/>
    <w:rsid w:val="00DA1BD1"/>
    <w:rsid w:val="00DA212B"/>
    <w:rsid w:val="00DA2FC6"/>
    <w:rsid w:val="00DA3155"/>
    <w:rsid w:val="00DA3A76"/>
    <w:rsid w:val="00DA5713"/>
    <w:rsid w:val="00DA5B51"/>
    <w:rsid w:val="00DA5F95"/>
    <w:rsid w:val="00DA6856"/>
    <w:rsid w:val="00DA6D6D"/>
    <w:rsid w:val="00DA73C1"/>
    <w:rsid w:val="00DA7457"/>
    <w:rsid w:val="00DA770D"/>
    <w:rsid w:val="00DA77A8"/>
    <w:rsid w:val="00DA7851"/>
    <w:rsid w:val="00DA7DC1"/>
    <w:rsid w:val="00DB00EE"/>
    <w:rsid w:val="00DB0132"/>
    <w:rsid w:val="00DB0351"/>
    <w:rsid w:val="00DB0857"/>
    <w:rsid w:val="00DB2754"/>
    <w:rsid w:val="00DB2D88"/>
    <w:rsid w:val="00DB3687"/>
    <w:rsid w:val="00DB38D1"/>
    <w:rsid w:val="00DB3DC3"/>
    <w:rsid w:val="00DB41CB"/>
    <w:rsid w:val="00DB5114"/>
    <w:rsid w:val="00DB563F"/>
    <w:rsid w:val="00DB681B"/>
    <w:rsid w:val="00DB6D37"/>
    <w:rsid w:val="00DB73C2"/>
    <w:rsid w:val="00DB7E24"/>
    <w:rsid w:val="00DC0445"/>
    <w:rsid w:val="00DC115F"/>
    <w:rsid w:val="00DC1635"/>
    <w:rsid w:val="00DC17A9"/>
    <w:rsid w:val="00DC2082"/>
    <w:rsid w:val="00DC225F"/>
    <w:rsid w:val="00DC254E"/>
    <w:rsid w:val="00DC2883"/>
    <w:rsid w:val="00DC2C48"/>
    <w:rsid w:val="00DC46B5"/>
    <w:rsid w:val="00DC4B28"/>
    <w:rsid w:val="00DC4B5D"/>
    <w:rsid w:val="00DC525E"/>
    <w:rsid w:val="00DC535C"/>
    <w:rsid w:val="00DC5DCB"/>
    <w:rsid w:val="00DC6C0D"/>
    <w:rsid w:val="00DC75E7"/>
    <w:rsid w:val="00DD074A"/>
    <w:rsid w:val="00DD0D70"/>
    <w:rsid w:val="00DD1941"/>
    <w:rsid w:val="00DD26A5"/>
    <w:rsid w:val="00DD2812"/>
    <w:rsid w:val="00DD2CE3"/>
    <w:rsid w:val="00DD34F2"/>
    <w:rsid w:val="00DD3C6B"/>
    <w:rsid w:val="00DD4A56"/>
    <w:rsid w:val="00DD54ED"/>
    <w:rsid w:val="00DD6861"/>
    <w:rsid w:val="00DD697F"/>
    <w:rsid w:val="00DD699C"/>
    <w:rsid w:val="00DD739F"/>
    <w:rsid w:val="00DD7631"/>
    <w:rsid w:val="00DD7762"/>
    <w:rsid w:val="00DD781E"/>
    <w:rsid w:val="00DD7A2C"/>
    <w:rsid w:val="00DD7F63"/>
    <w:rsid w:val="00DE0A1B"/>
    <w:rsid w:val="00DE1238"/>
    <w:rsid w:val="00DE1966"/>
    <w:rsid w:val="00DE1FFE"/>
    <w:rsid w:val="00DE2F9E"/>
    <w:rsid w:val="00DE31B1"/>
    <w:rsid w:val="00DE32E7"/>
    <w:rsid w:val="00DE3703"/>
    <w:rsid w:val="00DE3A89"/>
    <w:rsid w:val="00DE3BB8"/>
    <w:rsid w:val="00DE40EB"/>
    <w:rsid w:val="00DE5117"/>
    <w:rsid w:val="00DE51F6"/>
    <w:rsid w:val="00DE5648"/>
    <w:rsid w:val="00DE568A"/>
    <w:rsid w:val="00DE56B7"/>
    <w:rsid w:val="00DE595E"/>
    <w:rsid w:val="00DE5CD9"/>
    <w:rsid w:val="00DE6531"/>
    <w:rsid w:val="00DE6A70"/>
    <w:rsid w:val="00DE70B5"/>
    <w:rsid w:val="00DE7113"/>
    <w:rsid w:val="00DF00F9"/>
    <w:rsid w:val="00DF0576"/>
    <w:rsid w:val="00DF1981"/>
    <w:rsid w:val="00DF1D07"/>
    <w:rsid w:val="00DF1E89"/>
    <w:rsid w:val="00DF1EC8"/>
    <w:rsid w:val="00DF2144"/>
    <w:rsid w:val="00DF24D9"/>
    <w:rsid w:val="00DF2EA5"/>
    <w:rsid w:val="00DF310B"/>
    <w:rsid w:val="00DF3E47"/>
    <w:rsid w:val="00DF5362"/>
    <w:rsid w:val="00DF56E8"/>
    <w:rsid w:val="00DF5C01"/>
    <w:rsid w:val="00DF5FF5"/>
    <w:rsid w:val="00DF6655"/>
    <w:rsid w:val="00DF6EB6"/>
    <w:rsid w:val="00DF7133"/>
    <w:rsid w:val="00DF722A"/>
    <w:rsid w:val="00DF764C"/>
    <w:rsid w:val="00DF7FBF"/>
    <w:rsid w:val="00E00108"/>
    <w:rsid w:val="00E00BB4"/>
    <w:rsid w:val="00E00CAA"/>
    <w:rsid w:val="00E01441"/>
    <w:rsid w:val="00E01682"/>
    <w:rsid w:val="00E01D4A"/>
    <w:rsid w:val="00E02F4B"/>
    <w:rsid w:val="00E03D04"/>
    <w:rsid w:val="00E04332"/>
    <w:rsid w:val="00E043BB"/>
    <w:rsid w:val="00E047A0"/>
    <w:rsid w:val="00E04ECF"/>
    <w:rsid w:val="00E0502A"/>
    <w:rsid w:val="00E0584C"/>
    <w:rsid w:val="00E05902"/>
    <w:rsid w:val="00E067C4"/>
    <w:rsid w:val="00E06A36"/>
    <w:rsid w:val="00E074C9"/>
    <w:rsid w:val="00E1198B"/>
    <w:rsid w:val="00E11C0C"/>
    <w:rsid w:val="00E126B2"/>
    <w:rsid w:val="00E127E3"/>
    <w:rsid w:val="00E136F2"/>
    <w:rsid w:val="00E13AFB"/>
    <w:rsid w:val="00E13E8F"/>
    <w:rsid w:val="00E14818"/>
    <w:rsid w:val="00E148E8"/>
    <w:rsid w:val="00E1610C"/>
    <w:rsid w:val="00E162BD"/>
    <w:rsid w:val="00E16660"/>
    <w:rsid w:val="00E16C78"/>
    <w:rsid w:val="00E16D73"/>
    <w:rsid w:val="00E17296"/>
    <w:rsid w:val="00E17833"/>
    <w:rsid w:val="00E17981"/>
    <w:rsid w:val="00E17CD2"/>
    <w:rsid w:val="00E17E36"/>
    <w:rsid w:val="00E201F2"/>
    <w:rsid w:val="00E206D8"/>
    <w:rsid w:val="00E20A87"/>
    <w:rsid w:val="00E2113A"/>
    <w:rsid w:val="00E21C65"/>
    <w:rsid w:val="00E2307E"/>
    <w:rsid w:val="00E2352B"/>
    <w:rsid w:val="00E23C63"/>
    <w:rsid w:val="00E23E84"/>
    <w:rsid w:val="00E23F9B"/>
    <w:rsid w:val="00E24D23"/>
    <w:rsid w:val="00E250D7"/>
    <w:rsid w:val="00E2546F"/>
    <w:rsid w:val="00E26285"/>
    <w:rsid w:val="00E26649"/>
    <w:rsid w:val="00E2703D"/>
    <w:rsid w:val="00E271F9"/>
    <w:rsid w:val="00E27F0A"/>
    <w:rsid w:val="00E304DF"/>
    <w:rsid w:val="00E30712"/>
    <w:rsid w:val="00E309B0"/>
    <w:rsid w:val="00E30A3E"/>
    <w:rsid w:val="00E30E67"/>
    <w:rsid w:val="00E32143"/>
    <w:rsid w:val="00E325F3"/>
    <w:rsid w:val="00E326E9"/>
    <w:rsid w:val="00E32AB7"/>
    <w:rsid w:val="00E32B61"/>
    <w:rsid w:val="00E33106"/>
    <w:rsid w:val="00E33585"/>
    <w:rsid w:val="00E33FB4"/>
    <w:rsid w:val="00E3418E"/>
    <w:rsid w:val="00E34463"/>
    <w:rsid w:val="00E345C2"/>
    <w:rsid w:val="00E34D99"/>
    <w:rsid w:val="00E352C3"/>
    <w:rsid w:val="00E35476"/>
    <w:rsid w:val="00E355C0"/>
    <w:rsid w:val="00E359A5"/>
    <w:rsid w:val="00E35C28"/>
    <w:rsid w:val="00E372F7"/>
    <w:rsid w:val="00E3732C"/>
    <w:rsid w:val="00E37431"/>
    <w:rsid w:val="00E37DC0"/>
    <w:rsid w:val="00E37E0A"/>
    <w:rsid w:val="00E37EC6"/>
    <w:rsid w:val="00E40432"/>
    <w:rsid w:val="00E40850"/>
    <w:rsid w:val="00E40D52"/>
    <w:rsid w:val="00E41187"/>
    <w:rsid w:val="00E411B3"/>
    <w:rsid w:val="00E41585"/>
    <w:rsid w:val="00E41F94"/>
    <w:rsid w:val="00E421ED"/>
    <w:rsid w:val="00E4220D"/>
    <w:rsid w:val="00E4231E"/>
    <w:rsid w:val="00E4279A"/>
    <w:rsid w:val="00E429ED"/>
    <w:rsid w:val="00E4319C"/>
    <w:rsid w:val="00E43894"/>
    <w:rsid w:val="00E4391E"/>
    <w:rsid w:val="00E44AC7"/>
    <w:rsid w:val="00E44E08"/>
    <w:rsid w:val="00E456E4"/>
    <w:rsid w:val="00E45B2D"/>
    <w:rsid w:val="00E45BEA"/>
    <w:rsid w:val="00E45DF9"/>
    <w:rsid w:val="00E468F2"/>
    <w:rsid w:val="00E46BCD"/>
    <w:rsid w:val="00E477C4"/>
    <w:rsid w:val="00E478EF"/>
    <w:rsid w:val="00E47A20"/>
    <w:rsid w:val="00E47BBA"/>
    <w:rsid w:val="00E5065D"/>
    <w:rsid w:val="00E5084C"/>
    <w:rsid w:val="00E50871"/>
    <w:rsid w:val="00E50AD9"/>
    <w:rsid w:val="00E50B4C"/>
    <w:rsid w:val="00E512FE"/>
    <w:rsid w:val="00E5198D"/>
    <w:rsid w:val="00E52063"/>
    <w:rsid w:val="00E52C66"/>
    <w:rsid w:val="00E53533"/>
    <w:rsid w:val="00E537ED"/>
    <w:rsid w:val="00E5384D"/>
    <w:rsid w:val="00E53F2E"/>
    <w:rsid w:val="00E54004"/>
    <w:rsid w:val="00E546C9"/>
    <w:rsid w:val="00E54BB9"/>
    <w:rsid w:val="00E54D3F"/>
    <w:rsid w:val="00E55F1F"/>
    <w:rsid w:val="00E56735"/>
    <w:rsid w:val="00E56866"/>
    <w:rsid w:val="00E56904"/>
    <w:rsid w:val="00E56FA9"/>
    <w:rsid w:val="00E57DFD"/>
    <w:rsid w:val="00E60423"/>
    <w:rsid w:val="00E60545"/>
    <w:rsid w:val="00E606F4"/>
    <w:rsid w:val="00E607E5"/>
    <w:rsid w:val="00E60A16"/>
    <w:rsid w:val="00E610CB"/>
    <w:rsid w:val="00E6125B"/>
    <w:rsid w:val="00E615AF"/>
    <w:rsid w:val="00E6170A"/>
    <w:rsid w:val="00E62816"/>
    <w:rsid w:val="00E629EF"/>
    <w:rsid w:val="00E62ADF"/>
    <w:rsid w:val="00E62FA7"/>
    <w:rsid w:val="00E637A3"/>
    <w:rsid w:val="00E659FD"/>
    <w:rsid w:val="00E65B0C"/>
    <w:rsid w:val="00E66458"/>
    <w:rsid w:val="00E66783"/>
    <w:rsid w:val="00E66B16"/>
    <w:rsid w:val="00E66BA2"/>
    <w:rsid w:val="00E677DB"/>
    <w:rsid w:val="00E700F8"/>
    <w:rsid w:val="00E71C2D"/>
    <w:rsid w:val="00E72187"/>
    <w:rsid w:val="00E7266C"/>
    <w:rsid w:val="00E72BB6"/>
    <w:rsid w:val="00E72CD0"/>
    <w:rsid w:val="00E72E5D"/>
    <w:rsid w:val="00E730AC"/>
    <w:rsid w:val="00E7310C"/>
    <w:rsid w:val="00E733ED"/>
    <w:rsid w:val="00E734CE"/>
    <w:rsid w:val="00E73D33"/>
    <w:rsid w:val="00E743E3"/>
    <w:rsid w:val="00E74DAE"/>
    <w:rsid w:val="00E750CB"/>
    <w:rsid w:val="00E769EC"/>
    <w:rsid w:val="00E778DC"/>
    <w:rsid w:val="00E77FD3"/>
    <w:rsid w:val="00E80336"/>
    <w:rsid w:val="00E80C37"/>
    <w:rsid w:val="00E80D00"/>
    <w:rsid w:val="00E815CE"/>
    <w:rsid w:val="00E81611"/>
    <w:rsid w:val="00E81800"/>
    <w:rsid w:val="00E81863"/>
    <w:rsid w:val="00E81C42"/>
    <w:rsid w:val="00E81C5C"/>
    <w:rsid w:val="00E81FDB"/>
    <w:rsid w:val="00E82064"/>
    <w:rsid w:val="00E82B6E"/>
    <w:rsid w:val="00E82DC6"/>
    <w:rsid w:val="00E8347E"/>
    <w:rsid w:val="00E835C5"/>
    <w:rsid w:val="00E83ACD"/>
    <w:rsid w:val="00E83D4B"/>
    <w:rsid w:val="00E848F0"/>
    <w:rsid w:val="00E84D1C"/>
    <w:rsid w:val="00E84D9C"/>
    <w:rsid w:val="00E85069"/>
    <w:rsid w:val="00E8628F"/>
    <w:rsid w:val="00E86888"/>
    <w:rsid w:val="00E8695C"/>
    <w:rsid w:val="00E90DE0"/>
    <w:rsid w:val="00E91191"/>
    <w:rsid w:val="00E92C96"/>
    <w:rsid w:val="00E942B8"/>
    <w:rsid w:val="00E944ED"/>
    <w:rsid w:val="00E945AF"/>
    <w:rsid w:val="00E94A0B"/>
    <w:rsid w:val="00E94A2C"/>
    <w:rsid w:val="00E9544C"/>
    <w:rsid w:val="00E95799"/>
    <w:rsid w:val="00E95A53"/>
    <w:rsid w:val="00E95D93"/>
    <w:rsid w:val="00E9683D"/>
    <w:rsid w:val="00E970B7"/>
    <w:rsid w:val="00E97D95"/>
    <w:rsid w:val="00EA0035"/>
    <w:rsid w:val="00EA010D"/>
    <w:rsid w:val="00EA04C5"/>
    <w:rsid w:val="00EA0507"/>
    <w:rsid w:val="00EA09B6"/>
    <w:rsid w:val="00EA0BB5"/>
    <w:rsid w:val="00EA17F2"/>
    <w:rsid w:val="00EA1A8A"/>
    <w:rsid w:val="00EA21FA"/>
    <w:rsid w:val="00EA25EB"/>
    <w:rsid w:val="00EA26D5"/>
    <w:rsid w:val="00EA2775"/>
    <w:rsid w:val="00EA305D"/>
    <w:rsid w:val="00EA3106"/>
    <w:rsid w:val="00EA3874"/>
    <w:rsid w:val="00EA5697"/>
    <w:rsid w:val="00EA5AB6"/>
    <w:rsid w:val="00EA5F02"/>
    <w:rsid w:val="00EA5FB0"/>
    <w:rsid w:val="00EA612E"/>
    <w:rsid w:val="00EA6F91"/>
    <w:rsid w:val="00EA7618"/>
    <w:rsid w:val="00EA761C"/>
    <w:rsid w:val="00EA7D7F"/>
    <w:rsid w:val="00EB0810"/>
    <w:rsid w:val="00EB0B5F"/>
    <w:rsid w:val="00EB1770"/>
    <w:rsid w:val="00EB1CF7"/>
    <w:rsid w:val="00EB25C2"/>
    <w:rsid w:val="00EB2B6F"/>
    <w:rsid w:val="00EB2CAD"/>
    <w:rsid w:val="00EB2FA2"/>
    <w:rsid w:val="00EB3272"/>
    <w:rsid w:val="00EB37B2"/>
    <w:rsid w:val="00EB3FF9"/>
    <w:rsid w:val="00EB5047"/>
    <w:rsid w:val="00EB5F0B"/>
    <w:rsid w:val="00EB7352"/>
    <w:rsid w:val="00EB769A"/>
    <w:rsid w:val="00EC0EDD"/>
    <w:rsid w:val="00EC11E4"/>
    <w:rsid w:val="00EC14E1"/>
    <w:rsid w:val="00EC183C"/>
    <w:rsid w:val="00EC1AB4"/>
    <w:rsid w:val="00EC1CDD"/>
    <w:rsid w:val="00EC2A3F"/>
    <w:rsid w:val="00EC2E64"/>
    <w:rsid w:val="00EC3A35"/>
    <w:rsid w:val="00EC3C52"/>
    <w:rsid w:val="00EC3E5B"/>
    <w:rsid w:val="00EC3E69"/>
    <w:rsid w:val="00EC41A7"/>
    <w:rsid w:val="00EC4257"/>
    <w:rsid w:val="00EC46CE"/>
    <w:rsid w:val="00EC4F94"/>
    <w:rsid w:val="00EC5162"/>
    <w:rsid w:val="00EC5554"/>
    <w:rsid w:val="00EC572B"/>
    <w:rsid w:val="00EC5B8E"/>
    <w:rsid w:val="00EC7356"/>
    <w:rsid w:val="00EC75F6"/>
    <w:rsid w:val="00EC75FC"/>
    <w:rsid w:val="00ED0065"/>
    <w:rsid w:val="00ED0078"/>
    <w:rsid w:val="00ED17B5"/>
    <w:rsid w:val="00ED1BA0"/>
    <w:rsid w:val="00ED1D2D"/>
    <w:rsid w:val="00ED353D"/>
    <w:rsid w:val="00ED3B56"/>
    <w:rsid w:val="00ED4C59"/>
    <w:rsid w:val="00ED4FF4"/>
    <w:rsid w:val="00ED588C"/>
    <w:rsid w:val="00ED5B71"/>
    <w:rsid w:val="00ED6E7A"/>
    <w:rsid w:val="00ED6EA1"/>
    <w:rsid w:val="00ED7A7F"/>
    <w:rsid w:val="00ED7B85"/>
    <w:rsid w:val="00EE060B"/>
    <w:rsid w:val="00EE07AC"/>
    <w:rsid w:val="00EE0891"/>
    <w:rsid w:val="00EE0C94"/>
    <w:rsid w:val="00EE0F24"/>
    <w:rsid w:val="00EE1062"/>
    <w:rsid w:val="00EE17F2"/>
    <w:rsid w:val="00EE188A"/>
    <w:rsid w:val="00EE1B01"/>
    <w:rsid w:val="00EE1C62"/>
    <w:rsid w:val="00EE1DB8"/>
    <w:rsid w:val="00EE210D"/>
    <w:rsid w:val="00EE2746"/>
    <w:rsid w:val="00EE2FD8"/>
    <w:rsid w:val="00EE3256"/>
    <w:rsid w:val="00EE4759"/>
    <w:rsid w:val="00EE4C20"/>
    <w:rsid w:val="00EE4F2D"/>
    <w:rsid w:val="00EE524C"/>
    <w:rsid w:val="00EE589E"/>
    <w:rsid w:val="00EE6755"/>
    <w:rsid w:val="00EE78D6"/>
    <w:rsid w:val="00EE7A64"/>
    <w:rsid w:val="00EF0397"/>
    <w:rsid w:val="00EF03DC"/>
    <w:rsid w:val="00EF0437"/>
    <w:rsid w:val="00EF0568"/>
    <w:rsid w:val="00EF0BFE"/>
    <w:rsid w:val="00EF1878"/>
    <w:rsid w:val="00EF1DE8"/>
    <w:rsid w:val="00EF2AC7"/>
    <w:rsid w:val="00EF3397"/>
    <w:rsid w:val="00EF40BF"/>
    <w:rsid w:val="00EF429A"/>
    <w:rsid w:val="00EF4557"/>
    <w:rsid w:val="00EF493F"/>
    <w:rsid w:val="00EF495A"/>
    <w:rsid w:val="00EF5947"/>
    <w:rsid w:val="00EF5E22"/>
    <w:rsid w:val="00EF60CA"/>
    <w:rsid w:val="00EF63C1"/>
    <w:rsid w:val="00EF6557"/>
    <w:rsid w:val="00EF69B7"/>
    <w:rsid w:val="00EF6C2B"/>
    <w:rsid w:val="00EF77C0"/>
    <w:rsid w:val="00F00059"/>
    <w:rsid w:val="00F00084"/>
    <w:rsid w:val="00F008BD"/>
    <w:rsid w:val="00F021A9"/>
    <w:rsid w:val="00F02B50"/>
    <w:rsid w:val="00F02C54"/>
    <w:rsid w:val="00F02CD0"/>
    <w:rsid w:val="00F02D03"/>
    <w:rsid w:val="00F035DB"/>
    <w:rsid w:val="00F03B30"/>
    <w:rsid w:val="00F0448C"/>
    <w:rsid w:val="00F04BAF"/>
    <w:rsid w:val="00F0553C"/>
    <w:rsid w:val="00F0571E"/>
    <w:rsid w:val="00F06BA7"/>
    <w:rsid w:val="00F06C50"/>
    <w:rsid w:val="00F071BA"/>
    <w:rsid w:val="00F11A39"/>
    <w:rsid w:val="00F11D2E"/>
    <w:rsid w:val="00F1284F"/>
    <w:rsid w:val="00F13228"/>
    <w:rsid w:val="00F136A4"/>
    <w:rsid w:val="00F1377B"/>
    <w:rsid w:val="00F13C5E"/>
    <w:rsid w:val="00F14108"/>
    <w:rsid w:val="00F148D5"/>
    <w:rsid w:val="00F1601A"/>
    <w:rsid w:val="00F160BF"/>
    <w:rsid w:val="00F16173"/>
    <w:rsid w:val="00F1675C"/>
    <w:rsid w:val="00F16A3C"/>
    <w:rsid w:val="00F17428"/>
    <w:rsid w:val="00F17EAC"/>
    <w:rsid w:val="00F20046"/>
    <w:rsid w:val="00F20CC1"/>
    <w:rsid w:val="00F20D22"/>
    <w:rsid w:val="00F21A58"/>
    <w:rsid w:val="00F2302A"/>
    <w:rsid w:val="00F23048"/>
    <w:rsid w:val="00F239CD"/>
    <w:rsid w:val="00F23DCC"/>
    <w:rsid w:val="00F24158"/>
    <w:rsid w:val="00F24294"/>
    <w:rsid w:val="00F2477C"/>
    <w:rsid w:val="00F24E5D"/>
    <w:rsid w:val="00F24EBB"/>
    <w:rsid w:val="00F26FCF"/>
    <w:rsid w:val="00F27696"/>
    <w:rsid w:val="00F2777F"/>
    <w:rsid w:val="00F27F06"/>
    <w:rsid w:val="00F30C26"/>
    <w:rsid w:val="00F314E8"/>
    <w:rsid w:val="00F316A2"/>
    <w:rsid w:val="00F323A2"/>
    <w:rsid w:val="00F32850"/>
    <w:rsid w:val="00F332D4"/>
    <w:rsid w:val="00F33B57"/>
    <w:rsid w:val="00F33CA8"/>
    <w:rsid w:val="00F33D5C"/>
    <w:rsid w:val="00F35392"/>
    <w:rsid w:val="00F356D6"/>
    <w:rsid w:val="00F372DB"/>
    <w:rsid w:val="00F375FD"/>
    <w:rsid w:val="00F3785D"/>
    <w:rsid w:val="00F378BE"/>
    <w:rsid w:val="00F37D37"/>
    <w:rsid w:val="00F400E3"/>
    <w:rsid w:val="00F4021A"/>
    <w:rsid w:val="00F40876"/>
    <w:rsid w:val="00F42FED"/>
    <w:rsid w:val="00F4363B"/>
    <w:rsid w:val="00F44642"/>
    <w:rsid w:val="00F454A2"/>
    <w:rsid w:val="00F45E89"/>
    <w:rsid w:val="00F45FE3"/>
    <w:rsid w:val="00F47845"/>
    <w:rsid w:val="00F47B6C"/>
    <w:rsid w:val="00F50039"/>
    <w:rsid w:val="00F50675"/>
    <w:rsid w:val="00F5071D"/>
    <w:rsid w:val="00F50BD6"/>
    <w:rsid w:val="00F50E16"/>
    <w:rsid w:val="00F513B2"/>
    <w:rsid w:val="00F51520"/>
    <w:rsid w:val="00F52140"/>
    <w:rsid w:val="00F521E4"/>
    <w:rsid w:val="00F52CCE"/>
    <w:rsid w:val="00F53151"/>
    <w:rsid w:val="00F535A9"/>
    <w:rsid w:val="00F53F3D"/>
    <w:rsid w:val="00F53F92"/>
    <w:rsid w:val="00F5480F"/>
    <w:rsid w:val="00F54AA5"/>
    <w:rsid w:val="00F552F7"/>
    <w:rsid w:val="00F553A7"/>
    <w:rsid w:val="00F554EB"/>
    <w:rsid w:val="00F5562D"/>
    <w:rsid w:val="00F55710"/>
    <w:rsid w:val="00F55BC7"/>
    <w:rsid w:val="00F566EA"/>
    <w:rsid w:val="00F56781"/>
    <w:rsid w:val="00F567A4"/>
    <w:rsid w:val="00F57661"/>
    <w:rsid w:val="00F578EB"/>
    <w:rsid w:val="00F605BE"/>
    <w:rsid w:val="00F60778"/>
    <w:rsid w:val="00F60AF6"/>
    <w:rsid w:val="00F60DDC"/>
    <w:rsid w:val="00F610A9"/>
    <w:rsid w:val="00F617BE"/>
    <w:rsid w:val="00F6185D"/>
    <w:rsid w:val="00F61C7A"/>
    <w:rsid w:val="00F625F7"/>
    <w:rsid w:val="00F632C2"/>
    <w:rsid w:val="00F64702"/>
    <w:rsid w:val="00F648BE"/>
    <w:rsid w:val="00F64D5A"/>
    <w:rsid w:val="00F65399"/>
    <w:rsid w:val="00F65B68"/>
    <w:rsid w:val="00F65C22"/>
    <w:rsid w:val="00F65EC9"/>
    <w:rsid w:val="00F664C8"/>
    <w:rsid w:val="00F66CB1"/>
    <w:rsid w:val="00F66E22"/>
    <w:rsid w:val="00F672BD"/>
    <w:rsid w:val="00F677CB"/>
    <w:rsid w:val="00F67E15"/>
    <w:rsid w:val="00F67FCA"/>
    <w:rsid w:val="00F70815"/>
    <w:rsid w:val="00F709F4"/>
    <w:rsid w:val="00F71019"/>
    <w:rsid w:val="00F710A9"/>
    <w:rsid w:val="00F72823"/>
    <w:rsid w:val="00F7284D"/>
    <w:rsid w:val="00F72CFE"/>
    <w:rsid w:val="00F72FB0"/>
    <w:rsid w:val="00F73336"/>
    <w:rsid w:val="00F73423"/>
    <w:rsid w:val="00F7365E"/>
    <w:rsid w:val="00F737A4"/>
    <w:rsid w:val="00F73950"/>
    <w:rsid w:val="00F75481"/>
    <w:rsid w:val="00F76664"/>
    <w:rsid w:val="00F76A4C"/>
    <w:rsid w:val="00F76AB3"/>
    <w:rsid w:val="00F80B27"/>
    <w:rsid w:val="00F816A4"/>
    <w:rsid w:val="00F8194C"/>
    <w:rsid w:val="00F81AE9"/>
    <w:rsid w:val="00F827D0"/>
    <w:rsid w:val="00F82C78"/>
    <w:rsid w:val="00F82E2E"/>
    <w:rsid w:val="00F83186"/>
    <w:rsid w:val="00F83601"/>
    <w:rsid w:val="00F837E6"/>
    <w:rsid w:val="00F8389A"/>
    <w:rsid w:val="00F83AE9"/>
    <w:rsid w:val="00F83EC8"/>
    <w:rsid w:val="00F843D4"/>
    <w:rsid w:val="00F84A40"/>
    <w:rsid w:val="00F84B50"/>
    <w:rsid w:val="00F84DBD"/>
    <w:rsid w:val="00F8516E"/>
    <w:rsid w:val="00F852E5"/>
    <w:rsid w:val="00F85C0D"/>
    <w:rsid w:val="00F86741"/>
    <w:rsid w:val="00F86796"/>
    <w:rsid w:val="00F87138"/>
    <w:rsid w:val="00F87C3F"/>
    <w:rsid w:val="00F87C5B"/>
    <w:rsid w:val="00F87FEA"/>
    <w:rsid w:val="00F90613"/>
    <w:rsid w:val="00F906F4"/>
    <w:rsid w:val="00F915F3"/>
    <w:rsid w:val="00F91800"/>
    <w:rsid w:val="00F91853"/>
    <w:rsid w:val="00F918B6"/>
    <w:rsid w:val="00F91987"/>
    <w:rsid w:val="00F91CCD"/>
    <w:rsid w:val="00F9208E"/>
    <w:rsid w:val="00F92571"/>
    <w:rsid w:val="00F93837"/>
    <w:rsid w:val="00F93B2F"/>
    <w:rsid w:val="00F93CAE"/>
    <w:rsid w:val="00F9453D"/>
    <w:rsid w:val="00F954E4"/>
    <w:rsid w:val="00F95BFB"/>
    <w:rsid w:val="00F95CCE"/>
    <w:rsid w:val="00F966D3"/>
    <w:rsid w:val="00F9692D"/>
    <w:rsid w:val="00F978BE"/>
    <w:rsid w:val="00F97D7B"/>
    <w:rsid w:val="00FA0013"/>
    <w:rsid w:val="00FA0154"/>
    <w:rsid w:val="00FA0288"/>
    <w:rsid w:val="00FA0C62"/>
    <w:rsid w:val="00FA0F71"/>
    <w:rsid w:val="00FA23E2"/>
    <w:rsid w:val="00FA26BC"/>
    <w:rsid w:val="00FA2D8E"/>
    <w:rsid w:val="00FA3872"/>
    <w:rsid w:val="00FA3A97"/>
    <w:rsid w:val="00FA3AEA"/>
    <w:rsid w:val="00FA4219"/>
    <w:rsid w:val="00FA48C7"/>
    <w:rsid w:val="00FA54FF"/>
    <w:rsid w:val="00FA5570"/>
    <w:rsid w:val="00FA59E0"/>
    <w:rsid w:val="00FA5C0B"/>
    <w:rsid w:val="00FA70F5"/>
    <w:rsid w:val="00FA7902"/>
    <w:rsid w:val="00FB005D"/>
    <w:rsid w:val="00FB183E"/>
    <w:rsid w:val="00FB1CD3"/>
    <w:rsid w:val="00FB1D54"/>
    <w:rsid w:val="00FB2EE5"/>
    <w:rsid w:val="00FB3363"/>
    <w:rsid w:val="00FB4048"/>
    <w:rsid w:val="00FB446E"/>
    <w:rsid w:val="00FB4629"/>
    <w:rsid w:val="00FB577F"/>
    <w:rsid w:val="00FB5E5D"/>
    <w:rsid w:val="00FB5FC4"/>
    <w:rsid w:val="00FB6A07"/>
    <w:rsid w:val="00FB6FB1"/>
    <w:rsid w:val="00FB7460"/>
    <w:rsid w:val="00FB7747"/>
    <w:rsid w:val="00FB7A10"/>
    <w:rsid w:val="00FC0F81"/>
    <w:rsid w:val="00FC3798"/>
    <w:rsid w:val="00FC4A05"/>
    <w:rsid w:val="00FC577C"/>
    <w:rsid w:val="00FC59AF"/>
    <w:rsid w:val="00FC5BDD"/>
    <w:rsid w:val="00FC5C43"/>
    <w:rsid w:val="00FC5F72"/>
    <w:rsid w:val="00FC62B5"/>
    <w:rsid w:val="00FC6D4E"/>
    <w:rsid w:val="00FC7073"/>
    <w:rsid w:val="00FC736F"/>
    <w:rsid w:val="00FD0CDB"/>
    <w:rsid w:val="00FD1FA7"/>
    <w:rsid w:val="00FD2282"/>
    <w:rsid w:val="00FD2D42"/>
    <w:rsid w:val="00FD30B5"/>
    <w:rsid w:val="00FD3453"/>
    <w:rsid w:val="00FD39CF"/>
    <w:rsid w:val="00FD3DF6"/>
    <w:rsid w:val="00FD4B7B"/>
    <w:rsid w:val="00FD4D84"/>
    <w:rsid w:val="00FD5468"/>
    <w:rsid w:val="00FD58F5"/>
    <w:rsid w:val="00FD6287"/>
    <w:rsid w:val="00FD754C"/>
    <w:rsid w:val="00FD7696"/>
    <w:rsid w:val="00FE0669"/>
    <w:rsid w:val="00FE0DAE"/>
    <w:rsid w:val="00FE0E6B"/>
    <w:rsid w:val="00FE1370"/>
    <w:rsid w:val="00FE1510"/>
    <w:rsid w:val="00FE2121"/>
    <w:rsid w:val="00FE2387"/>
    <w:rsid w:val="00FE254A"/>
    <w:rsid w:val="00FE321B"/>
    <w:rsid w:val="00FE3A80"/>
    <w:rsid w:val="00FE3D07"/>
    <w:rsid w:val="00FE4411"/>
    <w:rsid w:val="00FE46BC"/>
    <w:rsid w:val="00FE4B6F"/>
    <w:rsid w:val="00FE6788"/>
    <w:rsid w:val="00FE6818"/>
    <w:rsid w:val="00FE6A9E"/>
    <w:rsid w:val="00FE6BFB"/>
    <w:rsid w:val="00FF00BE"/>
    <w:rsid w:val="00FF0CF5"/>
    <w:rsid w:val="00FF0D6F"/>
    <w:rsid w:val="00FF0E9E"/>
    <w:rsid w:val="00FF1103"/>
    <w:rsid w:val="00FF1712"/>
    <w:rsid w:val="00FF213D"/>
    <w:rsid w:val="00FF251D"/>
    <w:rsid w:val="00FF37DC"/>
    <w:rsid w:val="00FF37F2"/>
    <w:rsid w:val="00FF4243"/>
    <w:rsid w:val="00FF43D9"/>
    <w:rsid w:val="00FF44E9"/>
    <w:rsid w:val="00FF5B3C"/>
    <w:rsid w:val="00FF69C8"/>
    <w:rsid w:val="00FF6D3D"/>
    <w:rsid w:val="00FF7528"/>
    <w:rsid w:val="00FF7866"/>
    <w:rsid w:val="024D7E2C"/>
    <w:rsid w:val="0D2EB883"/>
    <w:rsid w:val="0D8163B6"/>
    <w:rsid w:val="1BB32F19"/>
    <w:rsid w:val="1F2C3AF5"/>
    <w:rsid w:val="1FF4886A"/>
    <w:rsid w:val="22D2584A"/>
    <w:rsid w:val="28751A95"/>
    <w:rsid w:val="29FA8189"/>
    <w:rsid w:val="2C00A012"/>
    <w:rsid w:val="389994B3"/>
    <w:rsid w:val="3B30A011"/>
    <w:rsid w:val="3B93C128"/>
    <w:rsid w:val="3CFBE104"/>
    <w:rsid w:val="467F9A7B"/>
    <w:rsid w:val="510454D8"/>
    <w:rsid w:val="5395A1E2"/>
    <w:rsid w:val="5D8505AD"/>
    <w:rsid w:val="6F81B597"/>
    <w:rsid w:val="71443FBB"/>
    <w:rsid w:val="7563E76A"/>
    <w:rsid w:val="79A6159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127A6B"/>
  <w15:docId w15:val="{9003D52C-EAFF-4023-919F-C462EC874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07E5"/>
  </w:style>
  <w:style w:type="paragraph" w:styleId="Ttulo1">
    <w:name w:val="heading 1"/>
    <w:basedOn w:val="Normal"/>
    <w:link w:val="Ttulo1Car"/>
    <w:uiPriority w:val="9"/>
    <w:qFormat/>
    <w:rsid w:val="00CD2E7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B3044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B30448"/>
    <w:pPr>
      <w:spacing w:after="0" w:line="240" w:lineRule="auto"/>
    </w:pPr>
    <w:rPr>
      <w:sz w:val="20"/>
      <w:szCs w:val="20"/>
      <w:lang w:val="es-MX"/>
    </w:rPr>
  </w:style>
  <w:style w:type="character" w:customStyle="1" w:styleId="TextonotapieCar1">
    <w:name w:val="Texto nota pie Car1"/>
    <w:basedOn w:val="Fuentedeprrafopredeter"/>
    <w:uiPriority w:val="99"/>
    <w:semiHidden/>
    <w:rsid w:val="00B3044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B30448"/>
    <w:rPr>
      <w:vertAlign w:val="superscript"/>
    </w:rPr>
  </w:style>
  <w:style w:type="paragraph" w:customStyle="1" w:styleId="Appelnotedebasde">
    <w:name w:val="Appel note de bas de..."/>
    <w:basedOn w:val="Normal"/>
    <w:link w:val="Refdenotaalpie"/>
    <w:uiPriority w:val="99"/>
    <w:rsid w:val="00B30448"/>
    <w:pPr>
      <w:spacing w:line="240" w:lineRule="exact"/>
    </w:pPr>
    <w:rPr>
      <w:vertAlign w:val="superscript"/>
    </w:rPr>
  </w:style>
  <w:style w:type="paragraph" w:styleId="Encabezado">
    <w:name w:val="header"/>
    <w:basedOn w:val="Normal"/>
    <w:link w:val="EncabezadoCar"/>
    <w:uiPriority w:val="99"/>
    <w:unhideWhenUsed/>
    <w:rsid w:val="00B3044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30448"/>
  </w:style>
  <w:style w:type="paragraph" w:styleId="Piedepgina">
    <w:name w:val="footer"/>
    <w:basedOn w:val="Normal"/>
    <w:link w:val="PiedepginaCar"/>
    <w:uiPriority w:val="99"/>
    <w:unhideWhenUsed/>
    <w:rsid w:val="00B3044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30448"/>
  </w:style>
  <w:style w:type="table" w:styleId="Tablaconcuadrcula">
    <w:name w:val="Table Grid"/>
    <w:basedOn w:val="Tablanormal"/>
    <w:uiPriority w:val="39"/>
    <w:qFormat/>
    <w:rsid w:val="00B304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C22307"/>
    <w:rPr>
      <w:color w:val="0563C1" w:themeColor="hyperlink"/>
      <w:u w:val="single"/>
    </w:rPr>
  </w:style>
  <w:style w:type="character" w:styleId="Mencinsinresolver">
    <w:name w:val="Unresolved Mention"/>
    <w:basedOn w:val="Fuentedeprrafopredeter"/>
    <w:uiPriority w:val="99"/>
    <w:semiHidden/>
    <w:unhideWhenUsed/>
    <w:rsid w:val="00C22307"/>
    <w:rPr>
      <w:color w:val="605E5C"/>
      <w:shd w:val="clear" w:color="auto" w:fill="E1DFDD"/>
    </w:rPr>
  </w:style>
  <w:style w:type="character" w:styleId="Hipervnculovisitado">
    <w:name w:val="FollowedHyperlink"/>
    <w:basedOn w:val="Fuentedeprrafopredeter"/>
    <w:uiPriority w:val="99"/>
    <w:semiHidden/>
    <w:unhideWhenUsed/>
    <w:rsid w:val="00C22307"/>
    <w:rPr>
      <w:color w:val="954F72" w:themeColor="followedHyperlink"/>
      <w:u w:val="single"/>
    </w:rPr>
  </w:style>
  <w:style w:type="character" w:styleId="Refdecomentario">
    <w:name w:val="annotation reference"/>
    <w:basedOn w:val="Fuentedeprrafopredeter"/>
    <w:uiPriority w:val="99"/>
    <w:semiHidden/>
    <w:unhideWhenUsed/>
    <w:rsid w:val="00A37D1C"/>
    <w:rPr>
      <w:sz w:val="16"/>
      <w:szCs w:val="16"/>
    </w:rPr>
  </w:style>
  <w:style w:type="paragraph" w:styleId="Textocomentario">
    <w:name w:val="annotation text"/>
    <w:basedOn w:val="Normal"/>
    <w:link w:val="TextocomentarioCar"/>
    <w:uiPriority w:val="99"/>
    <w:unhideWhenUsed/>
    <w:rsid w:val="00A37D1C"/>
    <w:pPr>
      <w:spacing w:line="240" w:lineRule="auto"/>
    </w:pPr>
    <w:rPr>
      <w:sz w:val="20"/>
      <w:szCs w:val="20"/>
    </w:rPr>
  </w:style>
  <w:style w:type="character" w:customStyle="1" w:styleId="TextocomentarioCar">
    <w:name w:val="Texto comentario Car"/>
    <w:basedOn w:val="Fuentedeprrafopredeter"/>
    <w:link w:val="Textocomentario"/>
    <w:uiPriority w:val="99"/>
    <w:rsid w:val="00A37D1C"/>
    <w:rPr>
      <w:sz w:val="20"/>
      <w:szCs w:val="20"/>
    </w:rPr>
  </w:style>
  <w:style w:type="paragraph" w:styleId="Asuntodelcomentario">
    <w:name w:val="annotation subject"/>
    <w:basedOn w:val="Textocomentario"/>
    <w:next w:val="Textocomentario"/>
    <w:link w:val="AsuntodelcomentarioCar"/>
    <w:uiPriority w:val="99"/>
    <w:semiHidden/>
    <w:unhideWhenUsed/>
    <w:rsid w:val="00A37D1C"/>
    <w:rPr>
      <w:b/>
      <w:bCs/>
    </w:rPr>
  </w:style>
  <w:style w:type="character" w:customStyle="1" w:styleId="AsuntodelcomentarioCar">
    <w:name w:val="Asunto del comentario Car"/>
    <w:basedOn w:val="TextocomentarioCar"/>
    <w:link w:val="Asuntodelcomentario"/>
    <w:uiPriority w:val="99"/>
    <w:semiHidden/>
    <w:rsid w:val="00A37D1C"/>
    <w:rPr>
      <w:b/>
      <w:bCs/>
      <w:sz w:val="20"/>
      <w:szCs w:val="20"/>
    </w:rPr>
  </w:style>
  <w:style w:type="paragraph" w:customStyle="1" w:styleId="Normal11pt">
    <w:name w:val="Normal + 11 pt"/>
    <w:aliases w:val="Negro,Justificado,Izquierda:  -0,95 cm,Derecha:  0,04 cm"/>
    <w:basedOn w:val="Normal"/>
    <w:uiPriority w:val="99"/>
    <w:rsid w:val="00B76C94"/>
    <w:pPr>
      <w:spacing w:after="0" w:line="240" w:lineRule="auto"/>
      <w:ind w:left="-540"/>
      <w:jc w:val="both"/>
    </w:pPr>
    <w:rPr>
      <w:rFonts w:ascii="Arial" w:eastAsia="Times New Roman" w:hAnsi="Arial" w:cs="Arial"/>
      <w:color w:val="000000"/>
      <w:lang w:val="es-ES_tradnl" w:eastAsia="es-ES"/>
    </w:rPr>
  </w:style>
  <w:style w:type="paragraph" w:styleId="Revisin">
    <w:name w:val="Revision"/>
    <w:hidden/>
    <w:uiPriority w:val="99"/>
    <w:semiHidden/>
    <w:rsid w:val="00F64D5A"/>
    <w:pPr>
      <w:spacing w:after="0" w:line="240" w:lineRule="auto"/>
    </w:pPr>
  </w:style>
  <w:style w:type="character" w:customStyle="1" w:styleId="cf01">
    <w:name w:val="cf01"/>
    <w:basedOn w:val="Fuentedeprrafopredeter"/>
    <w:rsid w:val="005019AA"/>
    <w:rPr>
      <w:rFonts w:ascii="Segoe UI" w:hAnsi="Segoe UI" w:cs="Segoe UI" w:hint="default"/>
      <w:i/>
      <w:iCs/>
      <w:sz w:val="18"/>
      <w:szCs w:val="18"/>
    </w:rPr>
  </w:style>
  <w:style w:type="character" w:customStyle="1" w:styleId="normaltextrun">
    <w:name w:val="normaltextrun"/>
    <w:basedOn w:val="Fuentedeprrafopredeter"/>
    <w:rsid w:val="5D8505AD"/>
  </w:style>
  <w:style w:type="character" w:customStyle="1" w:styleId="eop">
    <w:name w:val="eop"/>
    <w:basedOn w:val="Fuentedeprrafopredeter"/>
    <w:rsid w:val="5D8505AD"/>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E84D1C"/>
    <w:pPr>
      <w:spacing w:after="0" w:line="240" w:lineRule="auto"/>
      <w:ind w:left="720"/>
      <w:contextualSpacing/>
    </w:pPr>
    <w:rPr>
      <w:sz w:val="24"/>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E84D1C"/>
    <w:rPr>
      <w:sz w:val="24"/>
      <w:lang w:val="es-MX"/>
    </w:rPr>
  </w:style>
  <w:style w:type="character" w:customStyle="1" w:styleId="Ttulo1Car">
    <w:name w:val="Título 1 Car"/>
    <w:basedOn w:val="Fuentedeprrafopredeter"/>
    <w:link w:val="Ttulo1"/>
    <w:uiPriority w:val="9"/>
    <w:rsid w:val="00CD2E70"/>
    <w:rPr>
      <w:rFonts w:ascii="Times New Roman" w:eastAsia="Times New Roman" w:hAnsi="Times New Roman" w:cs="Times New Roman"/>
      <w:b/>
      <w:bCs/>
      <w:kern w:val="36"/>
      <w:sz w:val="48"/>
      <w:szCs w:val="48"/>
      <w:lang w:eastAsia="es-ES_tradnl"/>
    </w:rPr>
  </w:style>
  <w:style w:type="paragraph" w:customStyle="1" w:styleId="paragraph">
    <w:name w:val="paragraph"/>
    <w:basedOn w:val="Normal"/>
    <w:rsid w:val="00CD2E70"/>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superscript">
    <w:name w:val="superscript"/>
    <w:basedOn w:val="Fuentedeprrafopredeter"/>
    <w:rsid w:val="003651AC"/>
  </w:style>
  <w:style w:type="paragraph" w:styleId="NormalWeb">
    <w:name w:val="Normal (Web)"/>
    <w:basedOn w:val="Normal"/>
    <w:link w:val="NormalWebCar"/>
    <w:uiPriority w:val="99"/>
    <w:unhideWhenUsed/>
    <w:rsid w:val="00FB5FC4"/>
    <w:rPr>
      <w:rFonts w:ascii="Times New Roman" w:hAnsi="Times New Roman" w:cs="Times New Roman"/>
      <w:sz w:val="24"/>
      <w:szCs w:val="24"/>
    </w:rPr>
  </w:style>
  <w:style w:type="character" w:customStyle="1" w:styleId="Hipervnculo1">
    <w:name w:val="Hipervínculo1"/>
    <w:basedOn w:val="Fuentedeprrafopredeter"/>
    <w:uiPriority w:val="99"/>
    <w:unhideWhenUsed/>
    <w:rsid w:val="00FB5FC4"/>
    <w:rPr>
      <w:color w:val="F2F2F2"/>
      <w:u w:val="single"/>
    </w:rPr>
  </w:style>
  <w:style w:type="character" w:styleId="Textoennegrita">
    <w:name w:val="Strong"/>
    <w:basedOn w:val="Fuentedeprrafopredeter"/>
    <w:uiPriority w:val="22"/>
    <w:qFormat/>
    <w:rsid w:val="00FB5FC4"/>
    <w:rPr>
      <w:b/>
      <w:bCs/>
    </w:rPr>
  </w:style>
  <w:style w:type="character" w:styleId="nfasis">
    <w:name w:val="Emphasis"/>
    <w:basedOn w:val="Fuentedeprrafopredeter"/>
    <w:uiPriority w:val="20"/>
    <w:qFormat/>
    <w:rsid w:val="00FB5FC4"/>
    <w:rPr>
      <w:i/>
      <w:iCs/>
    </w:rPr>
  </w:style>
  <w:style w:type="paragraph" w:customStyle="1" w:styleId="Textoindependiente21">
    <w:name w:val="Texto independiente 21"/>
    <w:basedOn w:val="Normal"/>
    <w:rsid w:val="007A6528"/>
    <w:pPr>
      <w:overflowPunct w:val="0"/>
      <w:autoSpaceDE w:val="0"/>
      <w:autoSpaceDN w:val="0"/>
      <w:adjustRightInd w:val="0"/>
      <w:spacing w:after="0" w:line="360" w:lineRule="auto"/>
      <w:ind w:firstLine="710"/>
      <w:jc w:val="both"/>
      <w:textAlignment w:val="baseline"/>
    </w:pPr>
    <w:rPr>
      <w:rFonts w:ascii="Arial" w:eastAsia="Times New Roman" w:hAnsi="Arial" w:cs="Times New Roman"/>
      <w:sz w:val="24"/>
      <w:szCs w:val="20"/>
      <w:lang w:eastAsia="es-ES"/>
    </w:rPr>
  </w:style>
  <w:style w:type="paragraph" w:styleId="Textoindependiente">
    <w:name w:val="Body Text"/>
    <w:basedOn w:val="Normal"/>
    <w:link w:val="TextoindependienteCar"/>
    <w:uiPriority w:val="99"/>
    <w:unhideWhenUsed/>
    <w:rsid w:val="00002D5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extoindependienteCar">
    <w:name w:val="Texto independiente Car"/>
    <w:basedOn w:val="Fuentedeprrafopredeter"/>
    <w:link w:val="Textoindependiente"/>
    <w:uiPriority w:val="99"/>
    <w:rsid w:val="00002D55"/>
    <w:rPr>
      <w:rFonts w:ascii="Times New Roman" w:eastAsia="Times New Roman" w:hAnsi="Times New Roman" w:cs="Times New Roman"/>
      <w:sz w:val="24"/>
      <w:szCs w:val="24"/>
      <w:lang w:eastAsia="es-CO"/>
    </w:rPr>
  </w:style>
  <w:style w:type="character" w:customStyle="1" w:styleId="FontStyle23">
    <w:name w:val="Font Style23"/>
    <w:basedOn w:val="Fuentedeprrafopredeter"/>
    <w:rsid w:val="0081788A"/>
    <w:rPr>
      <w:rFonts w:ascii="Times New Roman" w:hAnsi="Times New Roman" w:cs="Times New Roman" w:hint="default"/>
      <w:sz w:val="20"/>
      <w:szCs w:val="20"/>
    </w:rPr>
  </w:style>
  <w:style w:type="character" w:customStyle="1" w:styleId="baj">
    <w:name w:val="b_aj"/>
    <w:basedOn w:val="Fuentedeprrafopredeter"/>
    <w:rsid w:val="00B43CE6"/>
  </w:style>
  <w:style w:type="character" w:customStyle="1" w:styleId="author-name">
    <w:name w:val="author-name"/>
    <w:basedOn w:val="Fuentedeprrafopredeter"/>
    <w:rsid w:val="00CA01BB"/>
  </w:style>
  <w:style w:type="character" w:customStyle="1" w:styleId="s15">
    <w:name w:val="s15"/>
    <w:basedOn w:val="Fuentedeprrafopredeter"/>
    <w:rsid w:val="00F11A39"/>
  </w:style>
  <w:style w:type="character" w:customStyle="1" w:styleId="apple-converted-space">
    <w:name w:val="apple-converted-space"/>
    <w:basedOn w:val="Fuentedeprrafopredeter"/>
    <w:rsid w:val="00F11A39"/>
  </w:style>
  <w:style w:type="character" w:customStyle="1" w:styleId="NormalWebCar">
    <w:name w:val="Normal (Web) Car"/>
    <w:link w:val="NormalWeb"/>
    <w:uiPriority w:val="99"/>
    <w:locked/>
    <w:rsid w:val="0003598F"/>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134882">
      <w:bodyDiv w:val="1"/>
      <w:marLeft w:val="0"/>
      <w:marRight w:val="0"/>
      <w:marTop w:val="0"/>
      <w:marBottom w:val="0"/>
      <w:divBdr>
        <w:top w:val="none" w:sz="0" w:space="0" w:color="auto"/>
        <w:left w:val="none" w:sz="0" w:space="0" w:color="auto"/>
        <w:bottom w:val="none" w:sz="0" w:space="0" w:color="auto"/>
        <w:right w:val="none" w:sz="0" w:space="0" w:color="auto"/>
      </w:divBdr>
    </w:div>
    <w:div w:id="31460425">
      <w:bodyDiv w:val="1"/>
      <w:marLeft w:val="0"/>
      <w:marRight w:val="0"/>
      <w:marTop w:val="0"/>
      <w:marBottom w:val="0"/>
      <w:divBdr>
        <w:top w:val="none" w:sz="0" w:space="0" w:color="auto"/>
        <w:left w:val="none" w:sz="0" w:space="0" w:color="auto"/>
        <w:bottom w:val="none" w:sz="0" w:space="0" w:color="auto"/>
        <w:right w:val="none" w:sz="0" w:space="0" w:color="auto"/>
      </w:divBdr>
    </w:div>
    <w:div w:id="46149373">
      <w:bodyDiv w:val="1"/>
      <w:marLeft w:val="0"/>
      <w:marRight w:val="0"/>
      <w:marTop w:val="0"/>
      <w:marBottom w:val="0"/>
      <w:divBdr>
        <w:top w:val="none" w:sz="0" w:space="0" w:color="auto"/>
        <w:left w:val="none" w:sz="0" w:space="0" w:color="auto"/>
        <w:bottom w:val="none" w:sz="0" w:space="0" w:color="auto"/>
        <w:right w:val="none" w:sz="0" w:space="0" w:color="auto"/>
      </w:divBdr>
    </w:div>
    <w:div w:id="65763639">
      <w:bodyDiv w:val="1"/>
      <w:marLeft w:val="0"/>
      <w:marRight w:val="0"/>
      <w:marTop w:val="0"/>
      <w:marBottom w:val="0"/>
      <w:divBdr>
        <w:top w:val="none" w:sz="0" w:space="0" w:color="auto"/>
        <w:left w:val="none" w:sz="0" w:space="0" w:color="auto"/>
        <w:bottom w:val="none" w:sz="0" w:space="0" w:color="auto"/>
        <w:right w:val="none" w:sz="0" w:space="0" w:color="auto"/>
      </w:divBdr>
    </w:div>
    <w:div w:id="107549441">
      <w:bodyDiv w:val="1"/>
      <w:marLeft w:val="0"/>
      <w:marRight w:val="0"/>
      <w:marTop w:val="0"/>
      <w:marBottom w:val="0"/>
      <w:divBdr>
        <w:top w:val="none" w:sz="0" w:space="0" w:color="auto"/>
        <w:left w:val="none" w:sz="0" w:space="0" w:color="auto"/>
        <w:bottom w:val="none" w:sz="0" w:space="0" w:color="auto"/>
        <w:right w:val="none" w:sz="0" w:space="0" w:color="auto"/>
      </w:divBdr>
    </w:div>
    <w:div w:id="112671991">
      <w:bodyDiv w:val="1"/>
      <w:marLeft w:val="0"/>
      <w:marRight w:val="0"/>
      <w:marTop w:val="0"/>
      <w:marBottom w:val="0"/>
      <w:divBdr>
        <w:top w:val="none" w:sz="0" w:space="0" w:color="auto"/>
        <w:left w:val="none" w:sz="0" w:space="0" w:color="auto"/>
        <w:bottom w:val="none" w:sz="0" w:space="0" w:color="auto"/>
        <w:right w:val="none" w:sz="0" w:space="0" w:color="auto"/>
      </w:divBdr>
    </w:div>
    <w:div w:id="125584597">
      <w:bodyDiv w:val="1"/>
      <w:marLeft w:val="0"/>
      <w:marRight w:val="0"/>
      <w:marTop w:val="0"/>
      <w:marBottom w:val="0"/>
      <w:divBdr>
        <w:top w:val="none" w:sz="0" w:space="0" w:color="auto"/>
        <w:left w:val="none" w:sz="0" w:space="0" w:color="auto"/>
        <w:bottom w:val="none" w:sz="0" w:space="0" w:color="auto"/>
        <w:right w:val="none" w:sz="0" w:space="0" w:color="auto"/>
      </w:divBdr>
    </w:div>
    <w:div w:id="139424028">
      <w:bodyDiv w:val="1"/>
      <w:marLeft w:val="0"/>
      <w:marRight w:val="0"/>
      <w:marTop w:val="0"/>
      <w:marBottom w:val="0"/>
      <w:divBdr>
        <w:top w:val="none" w:sz="0" w:space="0" w:color="auto"/>
        <w:left w:val="none" w:sz="0" w:space="0" w:color="auto"/>
        <w:bottom w:val="none" w:sz="0" w:space="0" w:color="auto"/>
        <w:right w:val="none" w:sz="0" w:space="0" w:color="auto"/>
      </w:divBdr>
      <w:divsChild>
        <w:div w:id="1821341347">
          <w:marLeft w:val="0"/>
          <w:marRight w:val="0"/>
          <w:marTop w:val="0"/>
          <w:marBottom w:val="0"/>
          <w:divBdr>
            <w:top w:val="none" w:sz="0" w:space="0" w:color="auto"/>
            <w:left w:val="none" w:sz="0" w:space="0" w:color="auto"/>
            <w:bottom w:val="none" w:sz="0" w:space="0" w:color="auto"/>
            <w:right w:val="none" w:sz="0" w:space="0" w:color="auto"/>
          </w:divBdr>
          <w:divsChild>
            <w:div w:id="91904659">
              <w:marLeft w:val="0"/>
              <w:marRight w:val="0"/>
              <w:marTop w:val="0"/>
              <w:marBottom w:val="0"/>
              <w:divBdr>
                <w:top w:val="none" w:sz="0" w:space="0" w:color="auto"/>
                <w:left w:val="none" w:sz="0" w:space="0" w:color="auto"/>
                <w:bottom w:val="none" w:sz="0" w:space="0" w:color="auto"/>
                <w:right w:val="none" w:sz="0" w:space="0" w:color="auto"/>
              </w:divBdr>
              <w:divsChild>
                <w:div w:id="205610424">
                  <w:marLeft w:val="0"/>
                  <w:marRight w:val="0"/>
                  <w:marTop w:val="0"/>
                  <w:marBottom w:val="0"/>
                  <w:divBdr>
                    <w:top w:val="none" w:sz="0" w:space="0" w:color="auto"/>
                    <w:left w:val="none" w:sz="0" w:space="0" w:color="auto"/>
                    <w:bottom w:val="none" w:sz="0" w:space="0" w:color="auto"/>
                    <w:right w:val="none" w:sz="0" w:space="0" w:color="auto"/>
                  </w:divBdr>
                  <w:divsChild>
                    <w:div w:id="744687126">
                      <w:marLeft w:val="0"/>
                      <w:marRight w:val="0"/>
                      <w:marTop w:val="0"/>
                      <w:marBottom w:val="0"/>
                      <w:divBdr>
                        <w:top w:val="none" w:sz="0" w:space="0" w:color="auto"/>
                        <w:left w:val="none" w:sz="0" w:space="0" w:color="auto"/>
                        <w:bottom w:val="none" w:sz="0" w:space="0" w:color="auto"/>
                        <w:right w:val="none" w:sz="0" w:space="0" w:color="auto"/>
                      </w:divBdr>
                      <w:divsChild>
                        <w:div w:id="658389621">
                          <w:marLeft w:val="0"/>
                          <w:marRight w:val="0"/>
                          <w:marTop w:val="0"/>
                          <w:marBottom w:val="0"/>
                          <w:divBdr>
                            <w:top w:val="none" w:sz="0" w:space="0" w:color="auto"/>
                            <w:left w:val="none" w:sz="0" w:space="0" w:color="auto"/>
                            <w:bottom w:val="none" w:sz="0" w:space="0" w:color="auto"/>
                            <w:right w:val="none" w:sz="0" w:space="0" w:color="auto"/>
                          </w:divBdr>
                          <w:divsChild>
                            <w:div w:id="49117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047657">
      <w:bodyDiv w:val="1"/>
      <w:marLeft w:val="0"/>
      <w:marRight w:val="0"/>
      <w:marTop w:val="0"/>
      <w:marBottom w:val="0"/>
      <w:divBdr>
        <w:top w:val="none" w:sz="0" w:space="0" w:color="auto"/>
        <w:left w:val="none" w:sz="0" w:space="0" w:color="auto"/>
        <w:bottom w:val="none" w:sz="0" w:space="0" w:color="auto"/>
        <w:right w:val="none" w:sz="0" w:space="0" w:color="auto"/>
      </w:divBdr>
    </w:div>
    <w:div w:id="182283863">
      <w:bodyDiv w:val="1"/>
      <w:marLeft w:val="0"/>
      <w:marRight w:val="0"/>
      <w:marTop w:val="0"/>
      <w:marBottom w:val="0"/>
      <w:divBdr>
        <w:top w:val="none" w:sz="0" w:space="0" w:color="auto"/>
        <w:left w:val="none" w:sz="0" w:space="0" w:color="auto"/>
        <w:bottom w:val="none" w:sz="0" w:space="0" w:color="auto"/>
        <w:right w:val="none" w:sz="0" w:space="0" w:color="auto"/>
      </w:divBdr>
    </w:div>
    <w:div w:id="188226555">
      <w:bodyDiv w:val="1"/>
      <w:marLeft w:val="0"/>
      <w:marRight w:val="0"/>
      <w:marTop w:val="0"/>
      <w:marBottom w:val="0"/>
      <w:divBdr>
        <w:top w:val="none" w:sz="0" w:space="0" w:color="auto"/>
        <w:left w:val="none" w:sz="0" w:space="0" w:color="auto"/>
        <w:bottom w:val="none" w:sz="0" w:space="0" w:color="auto"/>
        <w:right w:val="none" w:sz="0" w:space="0" w:color="auto"/>
      </w:divBdr>
    </w:div>
    <w:div w:id="192960455">
      <w:bodyDiv w:val="1"/>
      <w:marLeft w:val="0"/>
      <w:marRight w:val="0"/>
      <w:marTop w:val="0"/>
      <w:marBottom w:val="0"/>
      <w:divBdr>
        <w:top w:val="none" w:sz="0" w:space="0" w:color="auto"/>
        <w:left w:val="none" w:sz="0" w:space="0" w:color="auto"/>
        <w:bottom w:val="none" w:sz="0" w:space="0" w:color="auto"/>
        <w:right w:val="none" w:sz="0" w:space="0" w:color="auto"/>
      </w:divBdr>
    </w:div>
    <w:div w:id="199785941">
      <w:bodyDiv w:val="1"/>
      <w:marLeft w:val="0"/>
      <w:marRight w:val="0"/>
      <w:marTop w:val="0"/>
      <w:marBottom w:val="0"/>
      <w:divBdr>
        <w:top w:val="none" w:sz="0" w:space="0" w:color="auto"/>
        <w:left w:val="none" w:sz="0" w:space="0" w:color="auto"/>
        <w:bottom w:val="none" w:sz="0" w:space="0" w:color="auto"/>
        <w:right w:val="none" w:sz="0" w:space="0" w:color="auto"/>
      </w:divBdr>
    </w:div>
    <w:div w:id="271516540">
      <w:bodyDiv w:val="1"/>
      <w:marLeft w:val="0"/>
      <w:marRight w:val="0"/>
      <w:marTop w:val="0"/>
      <w:marBottom w:val="0"/>
      <w:divBdr>
        <w:top w:val="none" w:sz="0" w:space="0" w:color="auto"/>
        <w:left w:val="none" w:sz="0" w:space="0" w:color="auto"/>
        <w:bottom w:val="none" w:sz="0" w:space="0" w:color="auto"/>
        <w:right w:val="none" w:sz="0" w:space="0" w:color="auto"/>
      </w:divBdr>
    </w:div>
    <w:div w:id="277950301">
      <w:bodyDiv w:val="1"/>
      <w:marLeft w:val="0"/>
      <w:marRight w:val="0"/>
      <w:marTop w:val="0"/>
      <w:marBottom w:val="0"/>
      <w:divBdr>
        <w:top w:val="none" w:sz="0" w:space="0" w:color="auto"/>
        <w:left w:val="none" w:sz="0" w:space="0" w:color="auto"/>
        <w:bottom w:val="none" w:sz="0" w:space="0" w:color="auto"/>
        <w:right w:val="none" w:sz="0" w:space="0" w:color="auto"/>
      </w:divBdr>
    </w:div>
    <w:div w:id="283849664">
      <w:bodyDiv w:val="1"/>
      <w:marLeft w:val="0"/>
      <w:marRight w:val="0"/>
      <w:marTop w:val="0"/>
      <w:marBottom w:val="0"/>
      <w:divBdr>
        <w:top w:val="none" w:sz="0" w:space="0" w:color="auto"/>
        <w:left w:val="none" w:sz="0" w:space="0" w:color="auto"/>
        <w:bottom w:val="none" w:sz="0" w:space="0" w:color="auto"/>
        <w:right w:val="none" w:sz="0" w:space="0" w:color="auto"/>
      </w:divBdr>
    </w:div>
    <w:div w:id="291177364">
      <w:bodyDiv w:val="1"/>
      <w:marLeft w:val="0"/>
      <w:marRight w:val="0"/>
      <w:marTop w:val="0"/>
      <w:marBottom w:val="0"/>
      <w:divBdr>
        <w:top w:val="none" w:sz="0" w:space="0" w:color="auto"/>
        <w:left w:val="none" w:sz="0" w:space="0" w:color="auto"/>
        <w:bottom w:val="none" w:sz="0" w:space="0" w:color="auto"/>
        <w:right w:val="none" w:sz="0" w:space="0" w:color="auto"/>
      </w:divBdr>
    </w:div>
    <w:div w:id="302009774">
      <w:bodyDiv w:val="1"/>
      <w:marLeft w:val="0"/>
      <w:marRight w:val="0"/>
      <w:marTop w:val="0"/>
      <w:marBottom w:val="0"/>
      <w:divBdr>
        <w:top w:val="none" w:sz="0" w:space="0" w:color="auto"/>
        <w:left w:val="none" w:sz="0" w:space="0" w:color="auto"/>
        <w:bottom w:val="none" w:sz="0" w:space="0" w:color="auto"/>
        <w:right w:val="none" w:sz="0" w:space="0" w:color="auto"/>
      </w:divBdr>
    </w:div>
    <w:div w:id="311446626">
      <w:bodyDiv w:val="1"/>
      <w:marLeft w:val="0"/>
      <w:marRight w:val="0"/>
      <w:marTop w:val="0"/>
      <w:marBottom w:val="0"/>
      <w:divBdr>
        <w:top w:val="none" w:sz="0" w:space="0" w:color="auto"/>
        <w:left w:val="none" w:sz="0" w:space="0" w:color="auto"/>
        <w:bottom w:val="none" w:sz="0" w:space="0" w:color="auto"/>
        <w:right w:val="none" w:sz="0" w:space="0" w:color="auto"/>
      </w:divBdr>
    </w:div>
    <w:div w:id="329917147">
      <w:bodyDiv w:val="1"/>
      <w:marLeft w:val="0"/>
      <w:marRight w:val="0"/>
      <w:marTop w:val="0"/>
      <w:marBottom w:val="0"/>
      <w:divBdr>
        <w:top w:val="none" w:sz="0" w:space="0" w:color="auto"/>
        <w:left w:val="none" w:sz="0" w:space="0" w:color="auto"/>
        <w:bottom w:val="none" w:sz="0" w:space="0" w:color="auto"/>
        <w:right w:val="none" w:sz="0" w:space="0" w:color="auto"/>
      </w:divBdr>
    </w:div>
    <w:div w:id="334461891">
      <w:bodyDiv w:val="1"/>
      <w:marLeft w:val="0"/>
      <w:marRight w:val="0"/>
      <w:marTop w:val="0"/>
      <w:marBottom w:val="0"/>
      <w:divBdr>
        <w:top w:val="none" w:sz="0" w:space="0" w:color="auto"/>
        <w:left w:val="none" w:sz="0" w:space="0" w:color="auto"/>
        <w:bottom w:val="none" w:sz="0" w:space="0" w:color="auto"/>
        <w:right w:val="none" w:sz="0" w:space="0" w:color="auto"/>
      </w:divBdr>
    </w:div>
    <w:div w:id="337804836">
      <w:bodyDiv w:val="1"/>
      <w:marLeft w:val="0"/>
      <w:marRight w:val="0"/>
      <w:marTop w:val="0"/>
      <w:marBottom w:val="0"/>
      <w:divBdr>
        <w:top w:val="none" w:sz="0" w:space="0" w:color="auto"/>
        <w:left w:val="none" w:sz="0" w:space="0" w:color="auto"/>
        <w:bottom w:val="none" w:sz="0" w:space="0" w:color="auto"/>
        <w:right w:val="none" w:sz="0" w:space="0" w:color="auto"/>
      </w:divBdr>
    </w:div>
    <w:div w:id="341471648">
      <w:bodyDiv w:val="1"/>
      <w:marLeft w:val="0"/>
      <w:marRight w:val="0"/>
      <w:marTop w:val="0"/>
      <w:marBottom w:val="0"/>
      <w:divBdr>
        <w:top w:val="none" w:sz="0" w:space="0" w:color="auto"/>
        <w:left w:val="none" w:sz="0" w:space="0" w:color="auto"/>
        <w:bottom w:val="none" w:sz="0" w:space="0" w:color="auto"/>
        <w:right w:val="none" w:sz="0" w:space="0" w:color="auto"/>
      </w:divBdr>
    </w:div>
    <w:div w:id="374045247">
      <w:bodyDiv w:val="1"/>
      <w:marLeft w:val="0"/>
      <w:marRight w:val="0"/>
      <w:marTop w:val="0"/>
      <w:marBottom w:val="0"/>
      <w:divBdr>
        <w:top w:val="none" w:sz="0" w:space="0" w:color="auto"/>
        <w:left w:val="none" w:sz="0" w:space="0" w:color="auto"/>
        <w:bottom w:val="none" w:sz="0" w:space="0" w:color="auto"/>
        <w:right w:val="none" w:sz="0" w:space="0" w:color="auto"/>
      </w:divBdr>
      <w:divsChild>
        <w:div w:id="506864930">
          <w:marLeft w:val="0"/>
          <w:marRight w:val="0"/>
          <w:marTop w:val="0"/>
          <w:marBottom w:val="160"/>
          <w:divBdr>
            <w:top w:val="none" w:sz="0" w:space="0" w:color="auto"/>
            <w:left w:val="none" w:sz="0" w:space="0" w:color="auto"/>
            <w:bottom w:val="none" w:sz="0" w:space="0" w:color="auto"/>
            <w:right w:val="none" w:sz="0" w:space="0" w:color="auto"/>
          </w:divBdr>
        </w:div>
        <w:div w:id="563570546">
          <w:marLeft w:val="0"/>
          <w:marRight w:val="0"/>
          <w:marTop w:val="0"/>
          <w:marBottom w:val="160"/>
          <w:divBdr>
            <w:top w:val="none" w:sz="0" w:space="0" w:color="auto"/>
            <w:left w:val="none" w:sz="0" w:space="0" w:color="auto"/>
            <w:bottom w:val="none" w:sz="0" w:space="0" w:color="auto"/>
            <w:right w:val="none" w:sz="0" w:space="0" w:color="auto"/>
          </w:divBdr>
        </w:div>
        <w:div w:id="773287731">
          <w:marLeft w:val="0"/>
          <w:marRight w:val="0"/>
          <w:marTop w:val="0"/>
          <w:marBottom w:val="160"/>
          <w:divBdr>
            <w:top w:val="none" w:sz="0" w:space="0" w:color="auto"/>
            <w:left w:val="none" w:sz="0" w:space="0" w:color="auto"/>
            <w:bottom w:val="none" w:sz="0" w:space="0" w:color="auto"/>
            <w:right w:val="none" w:sz="0" w:space="0" w:color="auto"/>
          </w:divBdr>
        </w:div>
      </w:divsChild>
    </w:div>
    <w:div w:id="428160872">
      <w:bodyDiv w:val="1"/>
      <w:marLeft w:val="0"/>
      <w:marRight w:val="0"/>
      <w:marTop w:val="0"/>
      <w:marBottom w:val="0"/>
      <w:divBdr>
        <w:top w:val="none" w:sz="0" w:space="0" w:color="auto"/>
        <w:left w:val="none" w:sz="0" w:space="0" w:color="auto"/>
        <w:bottom w:val="none" w:sz="0" w:space="0" w:color="auto"/>
        <w:right w:val="none" w:sz="0" w:space="0" w:color="auto"/>
      </w:divBdr>
    </w:div>
    <w:div w:id="432018390">
      <w:bodyDiv w:val="1"/>
      <w:marLeft w:val="0"/>
      <w:marRight w:val="0"/>
      <w:marTop w:val="0"/>
      <w:marBottom w:val="0"/>
      <w:divBdr>
        <w:top w:val="none" w:sz="0" w:space="0" w:color="auto"/>
        <w:left w:val="none" w:sz="0" w:space="0" w:color="auto"/>
        <w:bottom w:val="none" w:sz="0" w:space="0" w:color="auto"/>
        <w:right w:val="none" w:sz="0" w:space="0" w:color="auto"/>
      </w:divBdr>
    </w:div>
    <w:div w:id="438305584">
      <w:bodyDiv w:val="1"/>
      <w:marLeft w:val="0"/>
      <w:marRight w:val="0"/>
      <w:marTop w:val="0"/>
      <w:marBottom w:val="0"/>
      <w:divBdr>
        <w:top w:val="none" w:sz="0" w:space="0" w:color="auto"/>
        <w:left w:val="none" w:sz="0" w:space="0" w:color="auto"/>
        <w:bottom w:val="none" w:sz="0" w:space="0" w:color="auto"/>
        <w:right w:val="none" w:sz="0" w:space="0" w:color="auto"/>
      </w:divBdr>
    </w:div>
    <w:div w:id="463276898">
      <w:bodyDiv w:val="1"/>
      <w:marLeft w:val="0"/>
      <w:marRight w:val="0"/>
      <w:marTop w:val="0"/>
      <w:marBottom w:val="0"/>
      <w:divBdr>
        <w:top w:val="none" w:sz="0" w:space="0" w:color="auto"/>
        <w:left w:val="none" w:sz="0" w:space="0" w:color="auto"/>
        <w:bottom w:val="none" w:sz="0" w:space="0" w:color="auto"/>
        <w:right w:val="none" w:sz="0" w:space="0" w:color="auto"/>
      </w:divBdr>
    </w:div>
    <w:div w:id="493691612">
      <w:bodyDiv w:val="1"/>
      <w:marLeft w:val="0"/>
      <w:marRight w:val="0"/>
      <w:marTop w:val="0"/>
      <w:marBottom w:val="0"/>
      <w:divBdr>
        <w:top w:val="none" w:sz="0" w:space="0" w:color="auto"/>
        <w:left w:val="none" w:sz="0" w:space="0" w:color="auto"/>
        <w:bottom w:val="none" w:sz="0" w:space="0" w:color="auto"/>
        <w:right w:val="none" w:sz="0" w:space="0" w:color="auto"/>
      </w:divBdr>
    </w:div>
    <w:div w:id="497113796">
      <w:bodyDiv w:val="1"/>
      <w:marLeft w:val="0"/>
      <w:marRight w:val="0"/>
      <w:marTop w:val="0"/>
      <w:marBottom w:val="0"/>
      <w:divBdr>
        <w:top w:val="none" w:sz="0" w:space="0" w:color="auto"/>
        <w:left w:val="none" w:sz="0" w:space="0" w:color="auto"/>
        <w:bottom w:val="none" w:sz="0" w:space="0" w:color="auto"/>
        <w:right w:val="none" w:sz="0" w:space="0" w:color="auto"/>
      </w:divBdr>
      <w:divsChild>
        <w:div w:id="932205885">
          <w:marLeft w:val="0"/>
          <w:marRight w:val="0"/>
          <w:marTop w:val="0"/>
          <w:marBottom w:val="0"/>
          <w:divBdr>
            <w:top w:val="none" w:sz="0" w:space="0" w:color="auto"/>
            <w:left w:val="none" w:sz="0" w:space="0" w:color="auto"/>
            <w:bottom w:val="none" w:sz="0" w:space="0" w:color="auto"/>
            <w:right w:val="none" w:sz="0" w:space="0" w:color="auto"/>
          </w:divBdr>
          <w:divsChild>
            <w:div w:id="396978682">
              <w:marLeft w:val="0"/>
              <w:marRight w:val="0"/>
              <w:marTop w:val="0"/>
              <w:marBottom w:val="0"/>
              <w:divBdr>
                <w:top w:val="none" w:sz="0" w:space="0" w:color="auto"/>
                <w:left w:val="none" w:sz="0" w:space="0" w:color="auto"/>
                <w:bottom w:val="none" w:sz="0" w:space="0" w:color="auto"/>
                <w:right w:val="none" w:sz="0" w:space="0" w:color="auto"/>
              </w:divBdr>
              <w:divsChild>
                <w:div w:id="1886520651">
                  <w:marLeft w:val="0"/>
                  <w:marRight w:val="0"/>
                  <w:marTop w:val="0"/>
                  <w:marBottom w:val="0"/>
                  <w:divBdr>
                    <w:top w:val="none" w:sz="0" w:space="0" w:color="auto"/>
                    <w:left w:val="none" w:sz="0" w:space="0" w:color="auto"/>
                    <w:bottom w:val="none" w:sz="0" w:space="0" w:color="auto"/>
                    <w:right w:val="none" w:sz="0" w:space="0" w:color="auto"/>
                  </w:divBdr>
                  <w:divsChild>
                    <w:div w:id="1561600205">
                      <w:marLeft w:val="0"/>
                      <w:marRight w:val="0"/>
                      <w:marTop w:val="0"/>
                      <w:marBottom w:val="0"/>
                      <w:divBdr>
                        <w:top w:val="none" w:sz="0" w:space="0" w:color="auto"/>
                        <w:left w:val="none" w:sz="0" w:space="0" w:color="auto"/>
                        <w:bottom w:val="none" w:sz="0" w:space="0" w:color="auto"/>
                        <w:right w:val="none" w:sz="0" w:space="0" w:color="auto"/>
                      </w:divBdr>
                      <w:divsChild>
                        <w:div w:id="312949149">
                          <w:marLeft w:val="0"/>
                          <w:marRight w:val="0"/>
                          <w:marTop w:val="0"/>
                          <w:marBottom w:val="0"/>
                          <w:divBdr>
                            <w:top w:val="none" w:sz="0" w:space="0" w:color="auto"/>
                            <w:left w:val="none" w:sz="0" w:space="0" w:color="auto"/>
                            <w:bottom w:val="none" w:sz="0" w:space="0" w:color="auto"/>
                            <w:right w:val="none" w:sz="0" w:space="0" w:color="auto"/>
                          </w:divBdr>
                          <w:divsChild>
                            <w:div w:id="1128743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12574583">
      <w:bodyDiv w:val="1"/>
      <w:marLeft w:val="0"/>
      <w:marRight w:val="0"/>
      <w:marTop w:val="0"/>
      <w:marBottom w:val="0"/>
      <w:divBdr>
        <w:top w:val="none" w:sz="0" w:space="0" w:color="auto"/>
        <w:left w:val="none" w:sz="0" w:space="0" w:color="auto"/>
        <w:bottom w:val="none" w:sz="0" w:space="0" w:color="auto"/>
        <w:right w:val="none" w:sz="0" w:space="0" w:color="auto"/>
      </w:divBdr>
    </w:div>
    <w:div w:id="569076646">
      <w:bodyDiv w:val="1"/>
      <w:marLeft w:val="0"/>
      <w:marRight w:val="0"/>
      <w:marTop w:val="0"/>
      <w:marBottom w:val="0"/>
      <w:divBdr>
        <w:top w:val="none" w:sz="0" w:space="0" w:color="auto"/>
        <w:left w:val="none" w:sz="0" w:space="0" w:color="auto"/>
        <w:bottom w:val="none" w:sz="0" w:space="0" w:color="auto"/>
        <w:right w:val="none" w:sz="0" w:space="0" w:color="auto"/>
      </w:divBdr>
    </w:div>
    <w:div w:id="582882439">
      <w:bodyDiv w:val="1"/>
      <w:marLeft w:val="0"/>
      <w:marRight w:val="0"/>
      <w:marTop w:val="0"/>
      <w:marBottom w:val="0"/>
      <w:divBdr>
        <w:top w:val="none" w:sz="0" w:space="0" w:color="auto"/>
        <w:left w:val="none" w:sz="0" w:space="0" w:color="auto"/>
        <w:bottom w:val="none" w:sz="0" w:space="0" w:color="auto"/>
        <w:right w:val="none" w:sz="0" w:space="0" w:color="auto"/>
      </w:divBdr>
    </w:div>
    <w:div w:id="588775434">
      <w:bodyDiv w:val="1"/>
      <w:marLeft w:val="0"/>
      <w:marRight w:val="0"/>
      <w:marTop w:val="0"/>
      <w:marBottom w:val="0"/>
      <w:divBdr>
        <w:top w:val="none" w:sz="0" w:space="0" w:color="auto"/>
        <w:left w:val="none" w:sz="0" w:space="0" w:color="auto"/>
        <w:bottom w:val="none" w:sz="0" w:space="0" w:color="auto"/>
        <w:right w:val="none" w:sz="0" w:space="0" w:color="auto"/>
      </w:divBdr>
      <w:divsChild>
        <w:div w:id="686953851">
          <w:marLeft w:val="0"/>
          <w:marRight w:val="0"/>
          <w:marTop w:val="0"/>
          <w:marBottom w:val="0"/>
          <w:divBdr>
            <w:top w:val="none" w:sz="0" w:space="0" w:color="auto"/>
            <w:left w:val="none" w:sz="0" w:space="0" w:color="auto"/>
            <w:bottom w:val="none" w:sz="0" w:space="0" w:color="auto"/>
            <w:right w:val="none" w:sz="0" w:space="0" w:color="auto"/>
          </w:divBdr>
          <w:divsChild>
            <w:div w:id="172259401">
              <w:marLeft w:val="0"/>
              <w:marRight w:val="0"/>
              <w:marTop w:val="0"/>
              <w:marBottom w:val="0"/>
              <w:divBdr>
                <w:top w:val="none" w:sz="0" w:space="0" w:color="auto"/>
                <w:left w:val="none" w:sz="0" w:space="0" w:color="auto"/>
                <w:bottom w:val="none" w:sz="0" w:space="0" w:color="auto"/>
                <w:right w:val="none" w:sz="0" w:space="0" w:color="auto"/>
              </w:divBdr>
              <w:divsChild>
                <w:div w:id="2105608189">
                  <w:marLeft w:val="0"/>
                  <w:marRight w:val="0"/>
                  <w:marTop w:val="0"/>
                  <w:marBottom w:val="0"/>
                  <w:divBdr>
                    <w:top w:val="none" w:sz="0" w:space="0" w:color="auto"/>
                    <w:left w:val="none" w:sz="0" w:space="0" w:color="auto"/>
                    <w:bottom w:val="none" w:sz="0" w:space="0" w:color="auto"/>
                    <w:right w:val="none" w:sz="0" w:space="0" w:color="auto"/>
                  </w:divBdr>
                  <w:divsChild>
                    <w:div w:id="1691952384">
                      <w:marLeft w:val="0"/>
                      <w:marRight w:val="0"/>
                      <w:marTop w:val="0"/>
                      <w:marBottom w:val="0"/>
                      <w:divBdr>
                        <w:top w:val="none" w:sz="0" w:space="0" w:color="auto"/>
                        <w:left w:val="none" w:sz="0" w:space="0" w:color="auto"/>
                        <w:bottom w:val="none" w:sz="0" w:space="0" w:color="auto"/>
                        <w:right w:val="none" w:sz="0" w:space="0" w:color="auto"/>
                      </w:divBdr>
                      <w:divsChild>
                        <w:div w:id="1490360998">
                          <w:marLeft w:val="0"/>
                          <w:marRight w:val="0"/>
                          <w:marTop w:val="0"/>
                          <w:marBottom w:val="0"/>
                          <w:divBdr>
                            <w:top w:val="none" w:sz="0" w:space="0" w:color="auto"/>
                            <w:left w:val="none" w:sz="0" w:space="0" w:color="auto"/>
                            <w:bottom w:val="none" w:sz="0" w:space="0" w:color="auto"/>
                            <w:right w:val="none" w:sz="0" w:space="0" w:color="auto"/>
                          </w:divBdr>
                          <w:divsChild>
                            <w:div w:id="626544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3080197">
      <w:bodyDiv w:val="1"/>
      <w:marLeft w:val="0"/>
      <w:marRight w:val="0"/>
      <w:marTop w:val="0"/>
      <w:marBottom w:val="0"/>
      <w:divBdr>
        <w:top w:val="none" w:sz="0" w:space="0" w:color="auto"/>
        <w:left w:val="none" w:sz="0" w:space="0" w:color="auto"/>
        <w:bottom w:val="none" w:sz="0" w:space="0" w:color="auto"/>
        <w:right w:val="none" w:sz="0" w:space="0" w:color="auto"/>
      </w:divBdr>
    </w:div>
    <w:div w:id="639845968">
      <w:bodyDiv w:val="1"/>
      <w:marLeft w:val="0"/>
      <w:marRight w:val="0"/>
      <w:marTop w:val="0"/>
      <w:marBottom w:val="0"/>
      <w:divBdr>
        <w:top w:val="none" w:sz="0" w:space="0" w:color="auto"/>
        <w:left w:val="none" w:sz="0" w:space="0" w:color="auto"/>
        <w:bottom w:val="none" w:sz="0" w:space="0" w:color="auto"/>
        <w:right w:val="none" w:sz="0" w:space="0" w:color="auto"/>
      </w:divBdr>
    </w:div>
    <w:div w:id="696200587">
      <w:bodyDiv w:val="1"/>
      <w:marLeft w:val="0"/>
      <w:marRight w:val="0"/>
      <w:marTop w:val="0"/>
      <w:marBottom w:val="0"/>
      <w:divBdr>
        <w:top w:val="none" w:sz="0" w:space="0" w:color="auto"/>
        <w:left w:val="none" w:sz="0" w:space="0" w:color="auto"/>
        <w:bottom w:val="none" w:sz="0" w:space="0" w:color="auto"/>
        <w:right w:val="none" w:sz="0" w:space="0" w:color="auto"/>
      </w:divBdr>
    </w:div>
    <w:div w:id="719481719">
      <w:bodyDiv w:val="1"/>
      <w:marLeft w:val="0"/>
      <w:marRight w:val="0"/>
      <w:marTop w:val="0"/>
      <w:marBottom w:val="0"/>
      <w:divBdr>
        <w:top w:val="none" w:sz="0" w:space="0" w:color="auto"/>
        <w:left w:val="none" w:sz="0" w:space="0" w:color="auto"/>
        <w:bottom w:val="none" w:sz="0" w:space="0" w:color="auto"/>
        <w:right w:val="none" w:sz="0" w:space="0" w:color="auto"/>
      </w:divBdr>
    </w:div>
    <w:div w:id="723599209">
      <w:bodyDiv w:val="1"/>
      <w:marLeft w:val="0"/>
      <w:marRight w:val="0"/>
      <w:marTop w:val="0"/>
      <w:marBottom w:val="0"/>
      <w:divBdr>
        <w:top w:val="none" w:sz="0" w:space="0" w:color="auto"/>
        <w:left w:val="none" w:sz="0" w:space="0" w:color="auto"/>
        <w:bottom w:val="none" w:sz="0" w:space="0" w:color="auto"/>
        <w:right w:val="none" w:sz="0" w:space="0" w:color="auto"/>
      </w:divBdr>
    </w:div>
    <w:div w:id="745341291">
      <w:bodyDiv w:val="1"/>
      <w:marLeft w:val="0"/>
      <w:marRight w:val="0"/>
      <w:marTop w:val="0"/>
      <w:marBottom w:val="0"/>
      <w:divBdr>
        <w:top w:val="none" w:sz="0" w:space="0" w:color="auto"/>
        <w:left w:val="none" w:sz="0" w:space="0" w:color="auto"/>
        <w:bottom w:val="none" w:sz="0" w:space="0" w:color="auto"/>
        <w:right w:val="none" w:sz="0" w:space="0" w:color="auto"/>
      </w:divBdr>
    </w:div>
    <w:div w:id="784926870">
      <w:bodyDiv w:val="1"/>
      <w:marLeft w:val="0"/>
      <w:marRight w:val="0"/>
      <w:marTop w:val="0"/>
      <w:marBottom w:val="0"/>
      <w:divBdr>
        <w:top w:val="none" w:sz="0" w:space="0" w:color="auto"/>
        <w:left w:val="none" w:sz="0" w:space="0" w:color="auto"/>
        <w:bottom w:val="none" w:sz="0" w:space="0" w:color="auto"/>
        <w:right w:val="none" w:sz="0" w:space="0" w:color="auto"/>
      </w:divBdr>
    </w:div>
    <w:div w:id="850341528">
      <w:bodyDiv w:val="1"/>
      <w:marLeft w:val="0"/>
      <w:marRight w:val="0"/>
      <w:marTop w:val="0"/>
      <w:marBottom w:val="0"/>
      <w:divBdr>
        <w:top w:val="none" w:sz="0" w:space="0" w:color="auto"/>
        <w:left w:val="none" w:sz="0" w:space="0" w:color="auto"/>
        <w:bottom w:val="none" w:sz="0" w:space="0" w:color="auto"/>
        <w:right w:val="none" w:sz="0" w:space="0" w:color="auto"/>
      </w:divBdr>
    </w:div>
    <w:div w:id="867597207">
      <w:bodyDiv w:val="1"/>
      <w:marLeft w:val="0"/>
      <w:marRight w:val="0"/>
      <w:marTop w:val="0"/>
      <w:marBottom w:val="0"/>
      <w:divBdr>
        <w:top w:val="none" w:sz="0" w:space="0" w:color="auto"/>
        <w:left w:val="none" w:sz="0" w:space="0" w:color="auto"/>
        <w:bottom w:val="none" w:sz="0" w:space="0" w:color="auto"/>
        <w:right w:val="none" w:sz="0" w:space="0" w:color="auto"/>
      </w:divBdr>
      <w:divsChild>
        <w:div w:id="845946384">
          <w:marLeft w:val="0"/>
          <w:marRight w:val="0"/>
          <w:marTop w:val="0"/>
          <w:marBottom w:val="0"/>
          <w:divBdr>
            <w:top w:val="none" w:sz="0" w:space="0" w:color="auto"/>
            <w:left w:val="none" w:sz="0" w:space="0" w:color="auto"/>
            <w:bottom w:val="none" w:sz="0" w:space="0" w:color="auto"/>
            <w:right w:val="none" w:sz="0" w:space="0" w:color="auto"/>
          </w:divBdr>
          <w:divsChild>
            <w:div w:id="71003585">
              <w:marLeft w:val="0"/>
              <w:marRight w:val="0"/>
              <w:marTop w:val="0"/>
              <w:marBottom w:val="0"/>
              <w:divBdr>
                <w:top w:val="none" w:sz="0" w:space="0" w:color="auto"/>
                <w:left w:val="none" w:sz="0" w:space="0" w:color="auto"/>
                <w:bottom w:val="none" w:sz="0" w:space="0" w:color="auto"/>
                <w:right w:val="none" w:sz="0" w:space="0" w:color="auto"/>
              </w:divBdr>
              <w:divsChild>
                <w:div w:id="1081291429">
                  <w:marLeft w:val="0"/>
                  <w:marRight w:val="0"/>
                  <w:marTop w:val="0"/>
                  <w:marBottom w:val="0"/>
                  <w:divBdr>
                    <w:top w:val="none" w:sz="0" w:space="0" w:color="auto"/>
                    <w:left w:val="none" w:sz="0" w:space="0" w:color="auto"/>
                    <w:bottom w:val="none" w:sz="0" w:space="0" w:color="auto"/>
                    <w:right w:val="none" w:sz="0" w:space="0" w:color="auto"/>
                  </w:divBdr>
                  <w:divsChild>
                    <w:div w:id="2061441027">
                      <w:marLeft w:val="0"/>
                      <w:marRight w:val="0"/>
                      <w:marTop w:val="0"/>
                      <w:marBottom w:val="0"/>
                      <w:divBdr>
                        <w:top w:val="none" w:sz="0" w:space="0" w:color="auto"/>
                        <w:left w:val="none" w:sz="0" w:space="0" w:color="auto"/>
                        <w:bottom w:val="none" w:sz="0" w:space="0" w:color="auto"/>
                        <w:right w:val="none" w:sz="0" w:space="0" w:color="auto"/>
                      </w:divBdr>
                      <w:divsChild>
                        <w:div w:id="1137718869">
                          <w:marLeft w:val="0"/>
                          <w:marRight w:val="0"/>
                          <w:marTop w:val="0"/>
                          <w:marBottom w:val="0"/>
                          <w:divBdr>
                            <w:top w:val="none" w:sz="0" w:space="0" w:color="auto"/>
                            <w:left w:val="none" w:sz="0" w:space="0" w:color="auto"/>
                            <w:bottom w:val="none" w:sz="0" w:space="0" w:color="auto"/>
                            <w:right w:val="none" w:sz="0" w:space="0" w:color="auto"/>
                          </w:divBdr>
                          <w:divsChild>
                            <w:div w:id="267272345">
                              <w:marLeft w:val="0"/>
                              <w:marRight w:val="0"/>
                              <w:marTop w:val="0"/>
                              <w:marBottom w:val="0"/>
                              <w:divBdr>
                                <w:top w:val="none" w:sz="0" w:space="0" w:color="auto"/>
                                <w:left w:val="none" w:sz="0" w:space="0" w:color="auto"/>
                                <w:bottom w:val="none" w:sz="0" w:space="0" w:color="auto"/>
                                <w:right w:val="none" w:sz="0" w:space="0" w:color="auto"/>
                              </w:divBdr>
                              <w:divsChild>
                                <w:div w:id="840974608">
                                  <w:marLeft w:val="0"/>
                                  <w:marRight w:val="0"/>
                                  <w:marTop w:val="0"/>
                                  <w:marBottom w:val="0"/>
                                  <w:divBdr>
                                    <w:top w:val="none" w:sz="0" w:space="0" w:color="auto"/>
                                    <w:left w:val="none" w:sz="0" w:space="0" w:color="auto"/>
                                    <w:bottom w:val="none" w:sz="0" w:space="0" w:color="auto"/>
                                    <w:right w:val="none" w:sz="0" w:space="0" w:color="auto"/>
                                  </w:divBdr>
                                  <w:divsChild>
                                    <w:div w:id="929705489">
                                      <w:marLeft w:val="0"/>
                                      <w:marRight w:val="0"/>
                                      <w:marTop w:val="0"/>
                                      <w:marBottom w:val="0"/>
                                      <w:divBdr>
                                        <w:top w:val="none" w:sz="0" w:space="0" w:color="auto"/>
                                        <w:left w:val="none" w:sz="0" w:space="0" w:color="auto"/>
                                        <w:bottom w:val="none" w:sz="0" w:space="0" w:color="auto"/>
                                        <w:right w:val="none" w:sz="0" w:space="0" w:color="auto"/>
                                      </w:divBdr>
                                      <w:divsChild>
                                        <w:div w:id="1806654382">
                                          <w:marLeft w:val="0"/>
                                          <w:marRight w:val="0"/>
                                          <w:marTop w:val="0"/>
                                          <w:marBottom w:val="0"/>
                                          <w:divBdr>
                                            <w:top w:val="none" w:sz="0" w:space="0" w:color="auto"/>
                                            <w:left w:val="none" w:sz="0" w:space="0" w:color="auto"/>
                                            <w:bottom w:val="none" w:sz="0" w:space="0" w:color="auto"/>
                                            <w:right w:val="none" w:sz="0" w:space="0" w:color="auto"/>
                                          </w:divBdr>
                                          <w:divsChild>
                                            <w:div w:id="1350444841">
                                              <w:marLeft w:val="0"/>
                                              <w:marRight w:val="0"/>
                                              <w:marTop w:val="0"/>
                                              <w:marBottom w:val="0"/>
                                              <w:divBdr>
                                                <w:top w:val="none" w:sz="0" w:space="0" w:color="auto"/>
                                                <w:left w:val="none" w:sz="0" w:space="0" w:color="auto"/>
                                                <w:bottom w:val="none" w:sz="0" w:space="0" w:color="auto"/>
                                                <w:right w:val="none" w:sz="0" w:space="0" w:color="auto"/>
                                              </w:divBdr>
                                              <w:divsChild>
                                                <w:div w:id="1987005050">
                                                  <w:marLeft w:val="0"/>
                                                  <w:marRight w:val="0"/>
                                                  <w:marTop w:val="0"/>
                                                  <w:marBottom w:val="0"/>
                                                  <w:divBdr>
                                                    <w:top w:val="none" w:sz="0" w:space="0" w:color="auto"/>
                                                    <w:left w:val="none" w:sz="0" w:space="0" w:color="auto"/>
                                                    <w:bottom w:val="none" w:sz="0" w:space="0" w:color="auto"/>
                                                    <w:right w:val="none" w:sz="0" w:space="0" w:color="auto"/>
                                                  </w:divBdr>
                                                  <w:divsChild>
                                                    <w:div w:id="2098867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4392739">
                                      <w:marLeft w:val="0"/>
                                      <w:marRight w:val="0"/>
                                      <w:marTop w:val="0"/>
                                      <w:marBottom w:val="0"/>
                                      <w:divBdr>
                                        <w:top w:val="none" w:sz="0" w:space="0" w:color="auto"/>
                                        <w:left w:val="none" w:sz="0" w:space="0" w:color="auto"/>
                                        <w:bottom w:val="none" w:sz="0" w:space="0" w:color="auto"/>
                                        <w:right w:val="none" w:sz="0" w:space="0" w:color="auto"/>
                                      </w:divBdr>
                                      <w:divsChild>
                                        <w:div w:id="1577207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57145516">
          <w:marLeft w:val="0"/>
          <w:marRight w:val="0"/>
          <w:marTop w:val="0"/>
          <w:marBottom w:val="0"/>
          <w:divBdr>
            <w:top w:val="none" w:sz="0" w:space="0" w:color="auto"/>
            <w:left w:val="none" w:sz="0" w:space="0" w:color="auto"/>
            <w:bottom w:val="none" w:sz="0" w:space="0" w:color="auto"/>
            <w:right w:val="none" w:sz="0" w:space="0" w:color="auto"/>
          </w:divBdr>
          <w:divsChild>
            <w:div w:id="294722614">
              <w:marLeft w:val="0"/>
              <w:marRight w:val="0"/>
              <w:marTop w:val="0"/>
              <w:marBottom w:val="0"/>
              <w:divBdr>
                <w:top w:val="none" w:sz="0" w:space="0" w:color="auto"/>
                <w:left w:val="none" w:sz="0" w:space="0" w:color="auto"/>
                <w:bottom w:val="none" w:sz="0" w:space="0" w:color="auto"/>
                <w:right w:val="none" w:sz="0" w:space="0" w:color="auto"/>
              </w:divBdr>
              <w:divsChild>
                <w:div w:id="1681345325">
                  <w:marLeft w:val="0"/>
                  <w:marRight w:val="0"/>
                  <w:marTop w:val="0"/>
                  <w:marBottom w:val="0"/>
                  <w:divBdr>
                    <w:top w:val="none" w:sz="0" w:space="0" w:color="auto"/>
                    <w:left w:val="none" w:sz="0" w:space="0" w:color="auto"/>
                    <w:bottom w:val="none" w:sz="0" w:space="0" w:color="auto"/>
                    <w:right w:val="none" w:sz="0" w:space="0" w:color="auto"/>
                  </w:divBdr>
                  <w:divsChild>
                    <w:div w:id="994646737">
                      <w:marLeft w:val="0"/>
                      <w:marRight w:val="0"/>
                      <w:marTop w:val="0"/>
                      <w:marBottom w:val="0"/>
                      <w:divBdr>
                        <w:top w:val="none" w:sz="0" w:space="0" w:color="auto"/>
                        <w:left w:val="none" w:sz="0" w:space="0" w:color="auto"/>
                        <w:bottom w:val="none" w:sz="0" w:space="0" w:color="auto"/>
                        <w:right w:val="none" w:sz="0" w:space="0" w:color="auto"/>
                      </w:divBdr>
                      <w:divsChild>
                        <w:div w:id="1681618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6546314">
      <w:bodyDiv w:val="1"/>
      <w:marLeft w:val="0"/>
      <w:marRight w:val="0"/>
      <w:marTop w:val="0"/>
      <w:marBottom w:val="0"/>
      <w:divBdr>
        <w:top w:val="none" w:sz="0" w:space="0" w:color="auto"/>
        <w:left w:val="none" w:sz="0" w:space="0" w:color="auto"/>
        <w:bottom w:val="none" w:sz="0" w:space="0" w:color="auto"/>
        <w:right w:val="none" w:sz="0" w:space="0" w:color="auto"/>
      </w:divBdr>
    </w:div>
    <w:div w:id="905454849">
      <w:bodyDiv w:val="1"/>
      <w:marLeft w:val="0"/>
      <w:marRight w:val="0"/>
      <w:marTop w:val="0"/>
      <w:marBottom w:val="0"/>
      <w:divBdr>
        <w:top w:val="none" w:sz="0" w:space="0" w:color="auto"/>
        <w:left w:val="none" w:sz="0" w:space="0" w:color="auto"/>
        <w:bottom w:val="none" w:sz="0" w:space="0" w:color="auto"/>
        <w:right w:val="none" w:sz="0" w:space="0" w:color="auto"/>
      </w:divBdr>
      <w:divsChild>
        <w:div w:id="591283175">
          <w:marLeft w:val="0"/>
          <w:marRight w:val="0"/>
          <w:marTop w:val="0"/>
          <w:marBottom w:val="160"/>
          <w:divBdr>
            <w:top w:val="none" w:sz="0" w:space="0" w:color="auto"/>
            <w:left w:val="none" w:sz="0" w:space="0" w:color="auto"/>
            <w:bottom w:val="none" w:sz="0" w:space="0" w:color="auto"/>
            <w:right w:val="none" w:sz="0" w:space="0" w:color="auto"/>
          </w:divBdr>
        </w:div>
        <w:div w:id="2145074026">
          <w:marLeft w:val="0"/>
          <w:marRight w:val="0"/>
          <w:marTop w:val="0"/>
          <w:marBottom w:val="160"/>
          <w:divBdr>
            <w:top w:val="none" w:sz="0" w:space="0" w:color="auto"/>
            <w:left w:val="none" w:sz="0" w:space="0" w:color="auto"/>
            <w:bottom w:val="none" w:sz="0" w:space="0" w:color="auto"/>
            <w:right w:val="none" w:sz="0" w:space="0" w:color="auto"/>
          </w:divBdr>
        </w:div>
        <w:div w:id="1578511561">
          <w:marLeft w:val="0"/>
          <w:marRight w:val="0"/>
          <w:marTop w:val="0"/>
          <w:marBottom w:val="160"/>
          <w:divBdr>
            <w:top w:val="none" w:sz="0" w:space="0" w:color="auto"/>
            <w:left w:val="none" w:sz="0" w:space="0" w:color="auto"/>
            <w:bottom w:val="none" w:sz="0" w:space="0" w:color="auto"/>
            <w:right w:val="none" w:sz="0" w:space="0" w:color="auto"/>
          </w:divBdr>
        </w:div>
      </w:divsChild>
    </w:div>
    <w:div w:id="935362018">
      <w:bodyDiv w:val="1"/>
      <w:marLeft w:val="0"/>
      <w:marRight w:val="0"/>
      <w:marTop w:val="0"/>
      <w:marBottom w:val="0"/>
      <w:divBdr>
        <w:top w:val="none" w:sz="0" w:space="0" w:color="auto"/>
        <w:left w:val="none" w:sz="0" w:space="0" w:color="auto"/>
        <w:bottom w:val="none" w:sz="0" w:space="0" w:color="auto"/>
        <w:right w:val="none" w:sz="0" w:space="0" w:color="auto"/>
      </w:divBdr>
    </w:div>
    <w:div w:id="951672208">
      <w:bodyDiv w:val="1"/>
      <w:marLeft w:val="0"/>
      <w:marRight w:val="0"/>
      <w:marTop w:val="0"/>
      <w:marBottom w:val="0"/>
      <w:divBdr>
        <w:top w:val="none" w:sz="0" w:space="0" w:color="auto"/>
        <w:left w:val="none" w:sz="0" w:space="0" w:color="auto"/>
        <w:bottom w:val="none" w:sz="0" w:space="0" w:color="auto"/>
        <w:right w:val="none" w:sz="0" w:space="0" w:color="auto"/>
      </w:divBdr>
    </w:div>
    <w:div w:id="1015158801">
      <w:bodyDiv w:val="1"/>
      <w:marLeft w:val="0"/>
      <w:marRight w:val="0"/>
      <w:marTop w:val="0"/>
      <w:marBottom w:val="0"/>
      <w:divBdr>
        <w:top w:val="none" w:sz="0" w:space="0" w:color="auto"/>
        <w:left w:val="none" w:sz="0" w:space="0" w:color="auto"/>
        <w:bottom w:val="none" w:sz="0" w:space="0" w:color="auto"/>
        <w:right w:val="none" w:sz="0" w:space="0" w:color="auto"/>
      </w:divBdr>
    </w:div>
    <w:div w:id="1017657566">
      <w:bodyDiv w:val="1"/>
      <w:marLeft w:val="0"/>
      <w:marRight w:val="0"/>
      <w:marTop w:val="0"/>
      <w:marBottom w:val="0"/>
      <w:divBdr>
        <w:top w:val="none" w:sz="0" w:space="0" w:color="auto"/>
        <w:left w:val="none" w:sz="0" w:space="0" w:color="auto"/>
        <w:bottom w:val="none" w:sz="0" w:space="0" w:color="auto"/>
        <w:right w:val="none" w:sz="0" w:space="0" w:color="auto"/>
      </w:divBdr>
    </w:div>
    <w:div w:id="1022704690">
      <w:bodyDiv w:val="1"/>
      <w:marLeft w:val="0"/>
      <w:marRight w:val="0"/>
      <w:marTop w:val="0"/>
      <w:marBottom w:val="0"/>
      <w:divBdr>
        <w:top w:val="none" w:sz="0" w:space="0" w:color="auto"/>
        <w:left w:val="none" w:sz="0" w:space="0" w:color="auto"/>
        <w:bottom w:val="none" w:sz="0" w:space="0" w:color="auto"/>
        <w:right w:val="none" w:sz="0" w:space="0" w:color="auto"/>
      </w:divBdr>
    </w:div>
    <w:div w:id="1067846211">
      <w:bodyDiv w:val="1"/>
      <w:marLeft w:val="0"/>
      <w:marRight w:val="0"/>
      <w:marTop w:val="0"/>
      <w:marBottom w:val="0"/>
      <w:divBdr>
        <w:top w:val="none" w:sz="0" w:space="0" w:color="auto"/>
        <w:left w:val="none" w:sz="0" w:space="0" w:color="auto"/>
        <w:bottom w:val="none" w:sz="0" w:space="0" w:color="auto"/>
        <w:right w:val="none" w:sz="0" w:space="0" w:color="auto"/>
      </w:divBdr>
    </w:div>
    <w:div w:id="1072897937">
      <w:bodyDiv w:val="1"/>
      <w:marLeft w:val="0"/>
      <w:marRight w:val="0"/>
      <w:marTop w:val="0"/>
      <w:marBottom w:val="0"/>
      <w:divBdr>
        <w:top w:val="none" w:sz="0" w:space="0" w:color="auto"/>
        <w:left w:val="none" w:sz="0" w:space="0" w:color="auto"/>
        <w:bottom w:val="none" w:sz="0" w:space="0" w:color="auto"/>
        <w:right w:val="none" w:sz="0" w:space="0" w:color="auto"/>
      </w:divBdr>
    </w:div>
    <w:div w:id="1082802533">
      <w:bodyDiv w:val="1"/>
      <w:marLeft w:val="0"/>
      <w:marRight w:val="0"/>
      <w:marTop w:val="0"/>
      <w:marBottom w:val="0"/>
      <w:divBdr>
        <w:top w:val="none" w:sz="0" w:space="0" w:color="auto"/>
        <w:left w:val="none" w:sz="0" w:space="0" w:color="auto"/>
        <w:bottom w:val="none" w:sz="0" w:space="0" w:color="auto"/>
        <w:right w:val="none" w:sz="0" w:space="0" w:color="auto"/>
      </w:divBdr>
    </w:div>
    <w:div w:id="1090585167">
      <w:bodyDiv w:val="1"/>
      <w:marLeft w:val="0"/>
      <w:marRight w:val="0"/>
      <w:marTop w:val="0"/>
      <w:marBottom w:val="0"/>
      <w:divBdr>
        <w:top w:val="none" w:sz="0" w:space="0" w:color="auto"/>
        <w:left w:val="none" w:sz="0" w:space="0" w:color="auto"/>
        <w:bottom w:val="none" w:sz="0" w:space="0" w:color="auto"/>
        <w:right w:val="none" w:sz="0" w:space="0" w:color="auto"/>
      </w:divBdr>
    </w:div>
    <w:div w:id="1107236897">
      <w:bodyDiv w:val="1"/>
      <w:marLeft w:val="0"/>
      <w:marRight w:val="0"/>
      <w:marTop w:val="0"/>
      <w:marBottom w:val="0"/>
      <w:divBdr>
        <w:top w:val="none" w:sz="0" w:space="0" w:color="auto"/>
        <w:left w:val="none" w:sz="0" w:space="0" w:color="auto"/>
        <w:bottom w:val="none" w:sz="0" w:space="0" w:color="auto"/>
        <w:right w:val="none" w:sz="0" w:space="0" w:color="auto"/>
      </w:divBdr>
      <w:divsChild>
        <w:div w:id="477647396">
          <w:marLeft w:val="0"/>
          <w:marRight w:val="0"/>
          <w:marTop w:val="0"/>
          <w:marBottom w:val="0"/>
          <w:divBdr>
            <w:top w:val="none" w:sz="0" w:space="0" w:color="auto"/>
            <w:left w:val="none" w:sz="0" w:space="0" w:color="auto"/>
            <w:bottom w:val="none" w:sz="0" w:space="0" w:color="auto"/>
            <w:right w:val="none" w:sz="0" w:space="0" w:color="auto"/>
          </w:divBdr>
          <w:divsChild>
            <w:div w:id="796800405">
              <w:marLeft w:val="0"/>
              <w:marRight w:val="0"/>
              <w:marTop w:val="0"/>
              <w:marBottom w:val="0"/>
              <w:divBdr>
                <w:top w:val="none" w:sz="0" w:space="0" w:color="auto"/>
                <w:left w:val="none" w:sz="0" w:space="0" w:color="auto"/>
                <w:bottom w:val="none" w:sz="0" w:space="0" w:color="auto"/>
                <w:right w:val="none" w:sz="0" w:space="0" w:color="auto"/>
              </w:divBdr>
              <w:divsChild>
                <w:div w:id="969165727">
                  <w:marLeft w:val="0"/>
                  <w:marRight w:val="0"/>
                  <w:marTop w:val="0"/>
                  <w:marBottom w:val="0"/>
                  <w:divBdr>
                    <w:top w:val="none" w:sz="0" w:space="0" w:color="auto"/>
                    <w:left w:val="none" w:sz="0" w:space="0" w:color="auto"/>
                    <w:bottom w:val="none" w:sz="0" w:space="0" w:color="auto"/>
                    <w:right w:val="none" w:sz="0" w:space="0" w:color="auto"/>
                  </w:divBdr>
                  <w:divsChild>
                    <w:div w:id="324626554">
                      <w:marLeft w:val="0"/>
                      <w:marRight w:val="0"/>
                      <w:marTop w:val="0"/>
                      <w:marBottom w:val="0"/>
                      <w:divBdr>
                        <w:top w:val="none" w:sz="0" w:space="0" w:color="auto"/>
                        <w:left w:val="none" w:sz="0" w:space="0" w:color="auto"/>
                        <w:bottom w:val="none" w:sz="0" w:space="0" w:color="auto"/>
                        <w:right w:val="none" w:sz="0" w:space="0" w:color="auto"/>
                      </w:divBdr>
                      <w:divsChild>
                        <w:div w:id="1435707499">
                          <w:marLeft w:val="0"/>
                          <w:marRight w:val="0"/>
                          <w:marTop w:val="0"/>
                          <w:marBottom w:val="0"/>
                          <w:divBdr>
                            <w:top w:val="none" w:sz="0" w:space="0" w:color="auto"/>
                            <w:left w:val="none" w:sz="0" w:space="0" w:color="auto"/>
                            <w:bottom w:val="none" w:sz="0" w:space="0" w:color="auto"/>
                            <w:right w:val="none" w:sz="0" w:space="0" w:color="auto"/>
                          </w:divBdr>
                          <w:divsChild>
                            <w:div w:id="330301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10246720">
      <w:bodyDiv w:val="1"/>
      <w:marLeft w:val="0"/>
      <w:marRight w:val="0"/>
      <w:marTop w:val="0"/>
      <w:marBottom w:val="0"/>
      <w:divBdr>
        <w:top w:val="none" w:sz="0" w:space="0" w:color="auto"/>
        <w:left w:val="none" w:sz="0" w:space="0" w:color="auto"/>
        <w:bottom w:val="none" w:sz="0" w:space="0" w:color="auto"/>
        <w:right w:val="none" w:sz="0" w:space="0" w:color="auto"/>
      </w:divBdr>
    </w:div>
    <w:div w:id="1153371148">
      <w:bodyDiv w:val="1"/>
      <w:marLeft w:val="0"/>
      <w:marRight w:val="0"/>
      <w:marTop w:val="0"/>
      <w:marBottom w:val="0"/>
      <w:divBdr>
        <w:top w:val="none" w:sz="0" w:space="0" w:color="auto"/>
        <w:left w:val="none" w:sz="0" w:space="0" w:color="auto"/>
        <w:bottom w:val="none" w:sz="0" w:space="0" w:color="auto"/>
        <w:right w:val="none" w:sz="0" w:space="0" w:color="auto"/>
      </w:divBdr>
      <w:divsChild>
        <w:div w:id="578834935">
          <w:marLeft w:val="0"/>
          <w:marRight w:val="0"/>
          <w:marTop w:val="0"/>
          <w:marBottom w:val="160"/>
          <w:divBdr>
            <w:top w:val="none" w:sz="0" w:space="0" w:color="auto"/>
            <w:left w:val="none" w:sz="0" w:space="0" w:color="auto"/>
            <w:bottom w:val="none" w:sz="0" w:space="0" w:color="auto"/>
            <w:right w:val="none" w:sz="0" w:space="0" w:color="auto"/>
          </w:divBdr>
        </w:div>
        <w:div w:id="86193346">
          <w:marLeft w:val="0"/>
          <w:marRight w:val="0"/>
          <w:marTop w:val="0"/>
          <w:marBottom w:val="160"/>
          <w:divBdr>
            <w:top w:val="none" w:sz="0" w:space="0" w:color="auto"/>
            <w:left w:val="none" w:sz="0" w:space="0" w:color="auto"/>
            <w:bottom w:val="none" w:sz="0" w:space="0" w:color="auto"/>
            <w:right w:val="none" w:sz="0" w:space="0" w:color="auto"/>
          </w:divBdr>
        </w:div>
        <w:div w:id="185557124">
          <w:marLeft w:val="0"/>
          <w:marRight w:val="0"/>
          <w:marTop w:val="0"/>
          <w:marBottom w:val="160"/>
          <w:divBdr>
            <w:top w:val="none" w:sz="0" w:space="0" w:color="auto"/>
            <w:left w:val="none" w:sz="0" w:space="0" w:color="auto"/>
            <w:bottom w:val="none" w:sz="0" w:space="0" w:color="auto"/>
            <w:right w:val="none" w:sz="0" w:space="0" w:color="auto"/>
          </w:divBdr>
        </w:div>
      </w:divsChild>
    </w:div>
    <w:div w:id="1165128992">
      <w:bodyDiv w:val="1"/>
      <w:marLeft w:val="0"/>
      <w:marRight w:val="0"/>
      <w:marTop w:val="0"/>
      <w:marBottom w:val="0"/>
      <w:divBdr>
        <w:top w:val="none" w:sz="0" w:space="0" w:color="auto"/>
        <w:left w:val="none" w:sz="0" w:space="0" w:color="auto"/>
        <w:bottom w:val="none" w:sz="0" w:space="0" w:color="auto"/>
        <w:right w:val="none" w:sz="0" w:space="0" w:color="auto"/>
      </w:divBdr>
    </w:div>
    <w:div w:id="1189367032">
      <w:bodyDiv w:val="1"/>
      <w:marLeft w:val="0"/>
      <w:marRight w:val="0"/>
      <w:marTop w:val="0"/>
      <w:marBottom w:val="0"/>
      <w:divBdr>
        <w:top w:val="none" w:sz="0" w:space="0" w:color="auto"/>
        <w:left w:val="none" w:sz="0" w:space="0" w:color="auto"/>
        <w:bottom w:val="none" w:sz="0" w:space="0" w:color="auto"/>
        <w:right w:val="none" w:sz="0" w:space="0" w:color="auto"/>
      </w:divBdr>
    </w:div>
    <w:div w:id="1200049807">
      <w:bodyDiv w:val="1"/>
      <w:marLeft w:val="0"/>
      <w:marRight w:val="0"/>
      <w:marTop w:val="0"/>
      <w:marBottom w:val="0"/>
      <w:divBdr>
        <w:top w:val="none" w:sz="0" w:space="0" w:color="auto"/>
        <w:left w:val="none" w:sz="0" w:space="0" w:color="auto"/>
        <w:bottom w:val="none" w:sz="0" w:space="0" w:color="auto"/>
        <w:right w:val="none" w:sz="0" w:space="0" w:color="auto"/>
      </w:divBdr>
    </w:div>
    <w:div w:id="1243177627">
      <w:bodyDiv w:val="1"/>
      <w:marLeft w:val="0"/>
      <w:marRight w:val="0"/>
      <w:marTop w:val="0"/>
      <w:marBottom w:val="0"/>
      <w:divBdr>
        <w:top w:val="none" w:sz="0" w:space="0" w:color="auto"/>
        <w:left w:val="none" w:sz="0" w:space="0" w:color="auto"/>
        <w:bottom w:val="none" w:sz="0" w:space="0" w:color="auto"/>
        <w:right w:val="none" w:sz="0" w:space="0" w:color="auto"/>
      </w:divBdr>
    </w:div>
    <w:div w:id="1320504720">
      <w:bodyDiv w:val="1"/>
      <w:marLeft w:val="0"/>
      <w:marRight w:val="0"/>
      <w:marTop w:val="0"/>
      <w:marBottom w:val="0"/>
      <w:divBdr>
        <w:top w:val="none" w:sz="0" w:space="0" w:color="auto"/>
        <w:left w:val="none" w:sz="0" w:space="0" w:color="auto"/>
        <w:bottom w:val="none" w:sz="0" w:space="0" w:color="auto"/>
        <w:right w:val="none" w:sz="0" w:space="0" w:color="auto"/>
      </w:divBdr>
    </w:div>
    <w:div w:id="1336492937">
      <w:bodyDiv w:val="1"/>
      <w:marLeft w:val="0"/>
      <w:marRight w:val="0"/>
      <w:marTop w:val="0"/>
      <w:marBottom w:val="0"/>
      <w:divBdr>
        <w:top w:val="none" w:sz="0" w:space="0" w:color="auto"/>
        <w:left w:val="none" w:sz="0" w:space="0" w:color="auto"/>
        <w:bottom w:val="none" w:sz="0" w:space="0" w:color="auto"/>
        <w:right w:val="none" w:sz="0" w:space="0" w:color="auto"/>
      </w:divBdr>
    </w:div>
    <w:div w:id="1347245505">
      <w:bodyDiv w:val="1"/>
      <w:marLeft w:val="0"/>
      <w:marRight w:val="0"/>
      <w:marTop w:val="0"/>
      <w:marBottom w:val="0"/>
      <w:divBdr>
        <w:top w:val="none" w:sz="0" w:space="0" w:color="auto"/>
        <w:left w:val="none" w:sz="0" w:space="0" w:color="auto"/>
        <w:bottom w:val="none" w:sz="0" w:space="0" w:color="auto"/>
        <w:right w:val="none" w:sz="0" w:space="0" w:color="auto"/>
      </w:divBdr>
    </w:div>
    <w:div w:id="1350988023">
      <w:bodyDiv w:val="1"/>
      <w:marLeft w:val="0"/>
      <w:marRight w:val="0"/>
      <w:marTop w:val="0"/>
      <w:marBottom w:val="0"/>
      <w:divBdr>
        <w:top w:val="none" w:sz="0" w:space="0" w:color="auto"/>
        <w:left w:val="none" w:sz="0" w:space="0" w:color="auto"/>
        <w:bottom w:val="none" w:sz="0" w:space="0" w:color="auto"/>
        <w:right w:val="none" w:sz="0" w:space="0" w:color="auto"/>
      </w:divBdr>
    </w:div>
    <w:div w:id="1373269260">
      <w:bodyDiv w:val="1"/>
      <w:marLeft w:val="0"/>
      <w:marRight w:val="0"/>
      <w:marTop w:val="0"/>
      <w:marBottom w:val="0"/>
      <w:divBdr>
        <w:top w:val="none" w:sz="0" w:space="0" w:color="auto"/>
        <w:left w:val="none" w:sz="0" w:space="0" w:color="auto"/>
        <w:bottom w:val="none" w:sz="0" w:space="0" w:color="auto"/>
        <w:right w:val="none" w:sz="0" w:space="0" w:color="auto"/>
      </w:divBdr>
    </w:div>
    <w:div w:id="1383409235">
      <w:bodyDiv w:val="1"/>
      <w:marLeft w:val="0"/>
      <w:marRight w:val="0"/>
      <w:marTop w:val="0"/>
      <w:marBottom w:val="0"/>
      <w:divBdr>
        <w:top w:val="none" w:sz="0" w:space="0" w:color="auto"/>
        <w:left w:val="none" w:sz="0" w:space="0" w:color="auto"/>
        <w:bottom w:val="none" w:sz="0" w:space="0" w:color="auto"/>
        <w:right w:val="none" w:sz="0" w:space="0" w:color="auto"/>
      </w:divBdr>
    </w:div>
    <w:div w:id="1391033297">
      <w:bodyDiv w:val="1"/>
      <w:marLeft w:val="0"/>
      <w:marRight w:val="0"/>
      <w:marTop w:val="0"/>
      <w:marBottom w:val="0"/>
      <w:divBdr>
        <w:top w:val="none" w:sz="0" w:space="0" w:color="auto"/>
        <w:left w:val="none" w:sz="0" w:space="0" w:color="auto"/>
        <w:bottom w:val="none" w:sz="0" w:space="0" w:color="auto"/>
        <w:right w:val="none" w:sz="0" w:space="0" w:color="auto"/>
      </w:divBdr>
      <w:divsChild>
        <w:div w:id="1302231751">
          <w:marLeft w:val="0"/>
          <w:marRight w:val="0"/>
          <w:marTop w:val="0"/>
          <w:marBottom w:val="0"/>
          <w:divBdr>
            <w:top w:val="none" w:sz="0" w:space="0" w:color="auto"/>
            <w:left w:val="none" w:sz="0" w:space="0" w:color="auto"/>
            <w:bottom w:val="none" w:sz="0" w:space="0" w:color="auto"/>
            <w:right w:val="none" w:sz="0" w:space="0" w:color="auto"/>
          </w:divBdr>
          <w:divsChild>
            <w:div w:id="1910311305">
              <w:marLeft w:val="0"/>
              <w:marRight w:val="0"/>
              <w:marTop w:val="0"/>
              <w:marBottom w:val="0"/>
              <w:divBdr>
                <w:top w:val="none" w:sz="0" w:space="0" w:color="auto"/>
                <w:left w:val="none" w:sz="0" w:space="0" w:color="auto"/>
                <w:bottom w:val="none" w:sz="0" w:space="0" w:color="auto"/>
                <w:right w:val="none" w:sz="0" w:space="0" w:color="auto"/>
              </w:divBdr>
              <w:divsChild>
                <w:div w:id="245462431">
                  <w:marLeft w:val="0"/>
                  <w:marRight w:val="0"/>
                  <w:marTop w:val="0"/>
                  <w:marBottom w:val="0"/>
                  <w:divBdr>
                    <w:top w:val="none" w:sz="0" w:space="0" w:color="auto"/>
                    <w:left w:val="none" w:sz="0" w:space="0" w:color="auto"/>
                    <w:bottom w:val="none" w:sz="0" w:space="0" w:color="auto"/>
                    <w:right w:val="none" w:sz="0" w:space="0" w:color="auto"/>
                  </w:divBdr>
                  <w:divsChild>
                    <w:div w:id="1029255869">
                      <w:marLeft w:val="0"/>
                      <w:marRight w:val="0"/>
                      <w:marTop w:val="0"/>
                      <w:marBottom w:val="0"/>
                      <w:divBdr>
                        <w:top w:val="none" w:sz="0" w:space="0" w:color="auto"/>
                        <w:left w:val="none" w:sz="0" w:space="0" w:color="auto"/>
                        <w:bottom w:val="none" w:sz="0" w:space="0" w:color="auto"/>
                        <w:right w:val="none" w:sz="0" w:space="0" w:color="auto"/>
                      </w:divBdr>
                      <w:divsChild>
                        <w:div w:id="613244225">
                          <w:marLeft w:val="0"/>
                          <w:marRight w:val="0"/>
                          <w:marTop w:val="0"/>
                          <w:marBottom w:val="0"/>
                          <w:divBdr>
                            <w:top w:val="none" w:sz="0" w:space="0" w:color="auto"/>
                            <w:left w:val="none" w:sz="0" w:space="0" w:color="auto"/>
                            <w:bottom w:val="none" w:sz="0" w:space="0" w:color="auto"/>
                            <w:right w:val="none" w:sz="0" w:space="0" w:color="auto"/>
                          </w:divBdr>
                          <w:divsChild>
                            <w:div w:id="582883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6247560">
      <w:bodyDiv w:val="1"/>
      <w:marLeft w:val="0"/>
      <w:marRight w:val="0"/>
      <w:marTop w:val="0"/>
      <w:marBottom w:val="0"/>
      <w:divBdr>
        <w:top w:val="none" w:sz="0" w:space="0" w:color="auto"/>
        <w:left w:val="none" w:sz="0" w:space="0" w:color="auto"/>
        <w:bottom w:val="none" w:sz="0" w:space="0" w:color="auto"/>
        <w:right w:val="none" w:sz="0" w:space="0" w:color="auto"/>
      </w:divBdr>
    </w:div>
    <w:div w:id="1448115632">
      <w:bodyDiv w:val="1"/>
      <w:marLeft w:val="0"/>
      <w:marRight w:val="0"/>
      <w:marTop w:val="0"/>
      <w:marBottom w:val="0"/>
      <w:divBdr>
        <w:top w:val="none" w:sz="0" w:space="0" w:color="auto"/>
        <w:left w:val="none" w:sz="0" w:space="0" w:color="auto"/>
        <w:bottom w:val="none" w:sz="0" w:space="0" w:color="auto"/>
        <w:right w:val="none" w:sz="0" w:space="0" w:color="auto"/>
      </w:divBdr>
    </w:div>
    <w:div w:id="1475366781">
      <w:bodyDiv w:val="1"/>
      <w:marLeft w:val="0"/>
      <w:marRight w:val="0"/>
      <w:marTop w:val="0"/>
      <w:marBottom w:val="0"/>
      <w:divBdr>
        <w:top w:val="none" w:sz="0" w:space="0" w:color="auto"/>
        <w:left w:val="none" w:sz="0" w:space="0" w:color="auto"/>
        <w:bottom w:val="none" w:sz="0" w:space="0" w:color="auto"/>
        <w:right w:val="none" w:sz="0" w:space="0" w:color="auto"/>
      </w:divBdr>
    </w:div>
    <w:div w:id="1496920400">
      <w:bodyDiv w:val="1"/>
      <w:marLeft w:val="0"/>
      <w:marRight w:val="0"/>
      <w:marTop w:val="0"/>
      <w:marBottom w:val="0"/>
      <w:divBdr>
        <w:top w:val="none" w:sz="0" w:space="0" w:color="auto"/>
        <w:left w:val="none" w:sz="0" w:space="0" w:color="auto"/>
        <w:bottom w:val="none" w:sz="0" w:space="0" w:color="auto"/>
        <w:right w:val="none" w:sz="0" w:space="0" w:color="auto"/>
      </w:divBdr>
    </w:div>
    <w:div w:id="1498619727">
      <w:bodyDiv w:val="1"/>
      <w:marLeft w:val="0"/>
      <w:marRight w:val="0"/>
      <w:marTop w:val="0"/>
      <w:marBottom w:val="0"/>
      <w:divBdr>
        <w:top w:val="none" w:sz="0" w:space="0" w:color="auto"/>
        <w:left w:val="none" w:sz="0" w:space="0" w:color="auto"/>
        <w:bottom w:val="none" w:sz="0" w:space="0" w:color="auto"/>
        <w:right w:val="none" w:sz="0" w:space="0" w:color="auto"/>
      </w:divBdr>
      <w:divsChild>
        <w:div w:id="797839195">
          <w:marLeft w:val="0"/>
          <w:marRight w:val="0"/>
          <w:marTop w:val="0"/>
          <w:marBottom w:val="160"/>
          <w:divBdr>
            <w:top w:val="none" w:sz="0" w:space="0" w:color="auto"/>
            <w:left w:val="none" w:sz="0" w:space="0" w:color="auto"/>
            <w:bottom w:val="none" w:sz="0" w:space="0" w:color="auto"/>
            <w:right w:val="none" w:sz="0" w:space="0" w:color="auto"/>
          </w:divBdr>
        </w:div>
        <w:div w:id="560681091">
          <w:marLeft w:val="0"/>
          <w:marRight w:val="0"/>
          <w:marTop w:val="0"/>
          <w:marBottom w:val="160"/>
          <w:divBdr>
            <w:top w:val="none" w:sz="0" w:space="0" w:color="auto"/>
            <w:left w:val="none" w:sz="0" w:space="0" w:color="auto"/>
            <w:bottom w:val="none" w:sz="0" w:space="0" w:color="auto"/>
            <w:right w:val="none" w:sz="0" w:space="0" w:color="auto"/>
          </w:divBdr>
        </w:div>
        <w:div w:id="1153833297">
          <w:marLeft w:val="0"/>
          <w:marRight w:val="0"/>
          <w:marTop w:val="0"/>
          <w:marBottom w:val="160"/>
          <w:divBdr>
            <w:top w:val="none" w:sz="0" w:space="0" w:color="auto"/>
            <w:left w:val="none" w:sz="0" w:space="0" w:color="auto"/>
            <w:bottom w:val="none" w:sz="0" w:space="0" w:color="auto"/>
            <w:right w:val="none" w:sz="0" w:space="0" w:color="auto"/>
          </w:divBdr>
        </w:div>
      </w:divsChild>
    </w:div>
    <w:div w:id="1505320125">
      <w:bodyDiv w:val="1"/>
      <w:marLeft w:val="0"/>
      <w:marRight w:val="0"/>
      <w:marTop w:val="0"/>
      <w:marBottom w:val="0"/>
      <w:divBdr>
        <w:top w:val="none" w:sz="0" w:space="0" w:color="auto"/>
        <w:left w:val="none" w:sz="0" w:space="0" w:color="auto"/>
        <w:bottom w:val="none" w:sz="0" w:space="0" w:color="auto"/>
        <w:right w:val="none" w:sz="0" w:space="0" w:color="auto"/>
      </w:divBdr>
    </w:div>
    <w:div w:id="1541283808">
      <w:bodyDiv w:val="1"/>
      <w:marLeft w:val="0"/>
      <w:marRight w:val="0"/>
      <w:marTop w:val="0"/>
      <w:marBottom w:val="0"/>
      <w:divBdr>
        <w:top w:val="none" w:sz="0" w:space="0" w:color="auto"/>
        <w:left w:val="none" w:sz="0" w:space="0" w:color="auto"/>
        <w:bottom w:val="none" w:sz="0" w:space="0" w:color="auto"/>
        <w:right w:val="none" w:sz="0" w:space="0" w:color="auto"/>
      </w:divBdr>
    </w:div>
    <w:div w:id="1547184175">
      <w:bodyDiv w:val="1"/>
      <w:marLeft w:val="0"/>
      <w:marRight w:val="0"/>
      <w:marTop w:val="0"/>
      <w:marBottom w:val="0"/>
      <w:divBdr>
        <w:top w:val="none" w:sz="0" w:space="0" w:color="auto"/>
        <w:left w:val="none" w:sz="0" w:space="0" w:color="auto"/>
        <w:bottom w:val="none" w:sz="0" w:space="0" w:color="auto"/>
        <w:right w:val="none" w:sz="0" w:space="0" w:color="auto"/>
      </w:divBdr>
    </w:div>
    <w:div w:id="1548563183">
      <w:bodyDiv w:val="1"/>
      <w:marLeft w:val="0"/>
      <w:marRight w:val="0"/>
      <w:marTop w:val="0"/>
      <w:marBottom w:val="0"/>
      <w:divBdr>
        <w:top w:val="none" w:sz="0" w:space="0" w:color="auto"/>
        <w:left w:val="none" w:sz="0" w:space="0" w:color="auto"/>
        <w:bottom w:val="none" w:sz="0" w:space="0" w:color="auto"/>
        <w:right w:val="none" w:sz="0" w:space="0" w:color="auto"/>
      </w:divBdr>
    </w:div>
    <w:div w:id="1555891875">
      <w:bodyDiv w:val="1"/>
      <w:marLeft w:val="0"/>
      <w:marRight w:val="0"/>
      <w:marTop w:val="0"/>
      <w:marBottom w:val="0"/>
      <w:divBdr>
        <w:top w:val="none" w:sz="0" w:space="0" w:color="auto"/>
        <w:left w:val="none" w:sz="0" w:space="0" w:color="auto"/>
        <w:bottom w:val="none" w:sz="0" w:space="0" w:color="auto"/>
        <w:right w:val="none" w:sz="0" w:space="0" w:color="auto"/>
      </w:divBdr>
    </w:div>
    <w:div w:id="1562521597">
      <w:bodyDiv w:val="1"/>
      <w:marLeft w:val="0"/>
      <w:marRight w:val="0"/>
      <w:marTop w:val="0"/>
      <w:marBottom w:val="0"/>
      <w:divBdr>
        <w:top w:val="none" w:sz="0" w:space="0" w:color="auto"/>
        <w:left w:val="none" w:sz="0" w:space="0" w:color="auto"/>
        <w:bottom w:val="none" w:sz="0" w:space="0" w:color="auto"/>
        <w:right w:val="none" w:sz="0" w:space="0" w:color="auto"/>
      </w:divBdr>
    </w:div>
    <w:div w:id="1568610026">
      <w:bodyDiv w:val="1"/>
      <w:marLeft w:val="0"/>
      <w:marRight w:val="0"/>
      <w:marTop w:val="0"/>
      <w:marBottom w:val="0"/>
      <w:divBdr>
        <w:top w:val="none" w:sz="0" w:space="0" w:color="auto"/>
        <w:left w:val="none" w:sz="0" w:space="0" w:color="auto"/>
        <w:bottom w:val="none" w:sz="0" w:space="0" w:color="auto"/>
        <w:right w:val="none" w:sz="0" w:space="0" w:color="auto"/>
      </w:divBdr>
    </w:div>
    <w:div w:id="1606376211">
      <w:bodyDiv w:val="1"/>
      <w:marLeft w:val="0"/>
      <w:marRight w:val="0"/>
      <w:marTop w:val="0"/>
      <w:marBottom w:val="0"/>
      <w:divBdr>
        <w:top w:val="none" w:sz="0" w:space="0" w:color="auto"/>
        <w:left w:val="none" w:sz="0" w:space="0" w:color="auto"/>
        <w:bottom w:val="none" w:sz="0" w:space="0" w:color="auto"/>
        <w:right w:val="none" w:sz="0" w:space="0" w:color="auto"/>
      </w:divBdr>
      <w:divsChild>
        <w:div w:id="729840230">
          <w:marLeft w:val="0"/>
          <w:marRight w:val="0"/>
          <w:marTop w:val="0"/>
          <w:marBottom w:val="160"/>
          <w:divBdr>
            <w:top w:val="none" w:sz="0" w:space="0" w:color="auto"/>
            <w:left w:val="none" w:sz="0" w:space="0" w:color="auto"/>
            <w:bottom w:val="none" w:sz="0" w:space="0" w:color="auto"/>
            <w:right w:val="none" w:sz="0" w:space="0" w:color="auto"/>
          </w:divBdr>
        </w:div>
        <w:div w:id="1459761652">
          <w:marLeft w:val="0"/>
          <w:marRight w:val="0"/>
          <w:marTop w:val="0"/>
          <w:marBottom w:val="160"/>
          <w:divBdr>
            <w:top w:val="none" w:sz="0" w:space="0" w:color="auto"/>
            <w:left w:val="none" w:sz="0" w:space="0" w:color="auto"/>
            <w:bottom w:val="none" w:sz="0" w:space="0" w:color="auto"/>
            <w:right w:val="none" w:sz="0" w:space="0" w:color="auto"/>
          </w:divBdr>
        </w:div>
        <w:div w:id="2021463511">
          <w:marLeft w:val="0"/>
          <w:marRight w:val="0"/>
          <w:marTop w:val="0"/>
          <w:marBottom w:val="160"/>
          <w:divBdr>
            <w:top w:val="none" w:sz="0" w:space="0" w:color="auto"/>
            <w:left w:val="none" w:sz="0" w:space="0" w:color="auto"/>
            <w:bottom w:val="none" w:sz="0" w:space="0" w:color="auto"/>
            <w:right w:val="none" w:sz="0" w:space="0" w:color="auto"/>
          </w:divBdr>
        </w:div>
      </w:divsChild>
    </w:div>
    <w:div w:id="1607687474">
      <w:bodyDiv w:val="1"/>
      <w:marLeft w:val="0"/>
      <w:marRight w:val="0"/>
      <w:marTop w:val="0"/>
      <w:marBottom w:val="0"/>
      <w:divBdr>
        <w:top w:val="none" w:sz="0" w:space="0" w:color="auto"/>
        <w:left w:val="none" w:sz="0" w:space="0" w:color="auto"/>
        <w:bottom w:val="none" w:sz="0" w:space="0" w:color="auto"/>
        <w:right w:val="none" w:sz="0" w:space="0" w:color="auto"/>
      </w:divBdr>
    </w:div>
    <w:div w:id="1607956335">
      <w:bodyDiv w:val="1"/>
      <w:marLeft w:val="0"/>
      <w:marRight w:val="0"/>
      <w:marTop w:val="0"/>
      <w:marBottom w:val="0"/>
      <w:divBdr>
        <w:top w:val="none" w:sz="0" w:space="0" w:color="auto"/>
        <w:left w:val="none" w:sz="0" w:space="0" w:color="auto"/>
        <w:bottom w:val="none" w:sz="0" w:space="0" w:color="auto"/>
        <w:right w:val="none" w:sz="0" w:space="0" w:color="auto"/>
      </w:divBdr>
    </w:div>
    <w:div w:id="1612129035">
      <w:bodyDiv w:val="1"/>
      <w:marLeft w:val="0"/>
      <w:marRight w:val="0"/>
      <w:marTop w:val="0"/>
      <w:marBottom w:val="0"/>
      <w:divBdr>
        <w:top w:val="none" w:sz="0" w:space="0" w:color="auto"/>
        <w:left w:val="none" w:sz="0" w:space="0" w:color="auto"/>
        <w:bottom w:val="none" w:sz="0" w:space="0" w:color="auto"/>
        <w:right w:val="none" w:sz="0" w:space="0" w:color="auto"/>
      </w:divBdr>
    </w:div>
    <w:div w:id="1626696393">
      <w:bodyDiv w:val="1"/>
      <w:marLeft w:val="0"/>
      <w:marRight w:val="0"/>
      <w:marTop w:val="0"/>
      <w:marBottom w:val="0"/>
      <w:divBdr>
        <w:top w:val="none" w:sz="0" w:space="0" w:color="auto"/>
        <w:left w:val="none" w:sz="0" w:space="0" w:color="auto"/>
        <w:bottom w:val="none" w:sz="0" w:space="0" w:color="auto"/>
        <w:right w:val="none" w:sz="0" w:space="0" w:color="auto"/>
      </w:divBdr>
    </w:div>
    <w:div w:id="1641811474">
      <w:bodyDiv w:val="1"/>
      <w:marLeft w:val="0"/>
      <w:marRight w:val="0"/>
      <w:marTop w:val="0"/>
      <w:marBottom w:val="0"/>
      <w:divBdr>
        <w:top w:val="none" w:sz="0" w:space="0" w:color="auto"/>
        <w:left w:val="none" w:sz="0" w:space="0" w:color="auto"/>
        <w:bottom w:val="none" w:sz="0" w:space="0" w:color="auto"/>
        <w:right w:val="none" w:sz="0" w:space="0" w:color="auto"/>
      </w:divBdr>
    </w:div>
    <w:div w:id="1647588101">
      <w:bodyDiv w:val="1"/>
      <w:marLeft w:val="0"/>
      <w:marRight w:val="0"/>
      <w:marTop w:val="0"/>
      <w:marBottom w:val="0"/>
      <w:divBdr>
        <w:top w:val="none" w:sz="0" w:space="0" w:color="auto"/>
        <w:left w:val="none" w:sz="0" w:space="0" w:color="auto"/>
        <w:bottom w:val="none" w:sz="0" w:space="0" w:color="auto"/>
        <w:right w:val="none" w:sz="0" w:space="0" w:color="auto"/>
      </w:divBdr>
    </w:div>
    <w:div w:id="1669096844">
      <w:bodyDiv w:val="1"/>
      <w:marLeft w:val="0"/>
      <w:marRight w:val="0"/>
      <w:marTop w:val="0"/>
      <w:marBottom w:val="0"/>
      <w:divBdr>
        <w:top w:val="none" w:sz="0" w:space="0" w:color="auto"/>
        <w:left w:val="none" w:sz="0" w:space="0" w:color="auto"/>
        <w:bottom w:val="none" w:sz="0" w:space="0" w:color="auto"/>
        <w:right w:val="none" w:sz="0" w:space="0" w:color="auto"/>
      </w:divBdr>
      <w:divsChild>
        <w:div w:id="518936356">
          <w:marLeft w:val="0"/>
          <w:marRight w:val="0"/>
          <w:marTop w:val="0"/>
          <w:marBottom w:val="160"/>
          <w:divBdr>
            <w:top w:val="none" w:sz="0" w:space="0" w:color="auto"/>
            <w:left w:val="none" w:sz="0" w:space="0" w:color="auto"/>
            <w:bottom w:val="none" w:sz="0" w:space="0" w:color="auto"/>
            <w:right w:val="none" w:sz="0" w:space="0" w:color="auto"/>
          </w:divBdr>
        </w:div>
        <w:div w:id="528104072">
          <w:marLeft w:val="0"/>
          <w:marRight w:val="0"/>
          <w:marTop w:val="0"/>
          <w:marBottom w:val="160"/>
          <w:divBdr>
            <w:top w:val="none" w:sz="0" w:space="0" w:color="auto"/>
            <w:left w:val="none" w:sz="0" w:space="0" w:color="auto"/>
            <w:bottom w:val="none" w:sz="0" w:space="0" w:color="auto"/>
            <w:right w:val="none" w:sz="0" w:space="0" w:color="auto"/>
          </w:divBdr>
        </w:div>
        <w:div w:id="273513336">
          <w:marLeft w:val="0"/>
          <w:marRight w:val="0"/>
          <w:marTop w:val="0"/>
          <w:marBottom w:val="160"/>
          <w:divBdr>
            <w:top w:val="none" w:sz="0" w:space="0" w:color="auto"/>
            <w:left w:val="none" w:sz="0" w:space="0" w:color="auto"/>
            <w:bottom w:val="none" w:sz="0" w:space="0" w:color="auto"/>
            <w:right w:val="none" w:sz="0" w:space="0" w:color="auto"/>
          </w:divBdr>
        </w:div>
      </w:divsChild>
    </w:div>
    <w:div w:id="1695689083">
      <w:bodyDiv w:val="1"/>
      <w:marLeft w:val="0"/>
      <w:marRight w:val="0"/>
      <w:marTop w:val="0"/>
      <w:marBottom w:val="0"/>
      <w:divBdr>
        <w:top w:val="none" w:sz="0" w:space="0" w:color="auto"/>
        <w:left w:val="none" w:sz="0" w:space="0" w:color="auto"/>
        <w:bottom w:val="none" w:sz="0" w:space="0" w:color="auto"/>
        <w:right w:val="none" w:sz="0" w:space="0" w:color="auto"/>
      </w:divBdr>
    </w:div>
    <w:div w:id="1759254668">
      <w:bodyDiv w:val="1"/>
      <w:marLeft w:val="0"/>
      <w:marRight w:val="0"/>
      <w:marTop w:val="0"/>
      <w:marBottom w:val="0"/>
      <w:divBdr>
        <w:top w:val="none" w:sz="0" w:space="0" w:color="auto"/>
        <w:left w:val="none" w:sz="0" w:space="0" w:color="auto"/>
        <w:bottom w:val="none" w:sz="0" w:space="0" w:color="auto"/>
        <w:right w:val="none" w:sz="0" w:space="0" w:color="auto"/>
      </w:divBdr>
    </w:div>
    <w:div w:id="1761637096">
      <w:bodyDiv w:val="1"/>
      <w:marLeft w:val="0"/>
      <w:marRight w:val="0"/>
      <w:marTop w:val="0"/>
      <w:marBottom w:val="0"/>
      <w:divBdr>
        <w:top w:val="none" w:sz="0" w:space="0" w:color="auto"/>
        <w:left w:val="none" w:sz="0" w:space="0" w:color="auto"/>
        <w:bottom w:val="none" w:sz="0" w:space="0" w:color="auto"/>
        <w:right w:val="none" w:sz="0" w:space="0" w:color="auto"/>
      </w:divBdr>
      <w:divsChild>
        <w:div w:id="423385161">
          <w:marLeft w:val="0"/>
          <w:marRight w:val="0"/>
          <w:marTop w:val="0"/>
          <w:marBottom w:val="160"/>
          <w:divBdr>
            <w:top w:val="none" w:sz="0" w:space="0" w:color="auto"/>
            <w:left w:val="none" w:sz="0" w:space="0" w:color="auto"/>
            <w:bottom w:val="none" w:sz="0" w:space="0" w:color="auto"/>
            <w:right w:val="none" w:sz="0" w:space="0" w:color="auto"/>
          </w:divBdr>
        </w:div>
        <w:div w:id="2126801678">
          <w:marLeft w:val="0"/>
          <w:marRight w:val="0"/>
          <w:marTop w:val="0"/>
          <w:marBottom w:val="160"/>
          <w:divBdr>
            <w:top w:val="none" w:sz="0" w:space="0" w:color="auto"/>
            <w:left w:val="none" w:sz="0" w:space="0" w:color="auto"/>
            <w:bottom w:val="none" w:sz="0" w:space="0" w:color="auto"/>
            <w:right w:val="none" w:sz="0" w:space="0" w:color="auto"/>
          </w:divBdr>
        </w:div>
        <w:div w:id="827133892">
          <w:marLeft w:val="0"/>
          <w:marRight w:val="0"/>
          <w:marTop w:val="0"/>
          <w:marBottom w:val="160"/>
          <w:divBdr>
            <w:top w:val="none" w:sz="0" w:space="0" w:color="auto"/>
            <w:left w:val="none" w:sz="0" w:space="0" w:color="auto"/>
            <w:bottom w:val="none" w:sz="0" w:space="0" w:color="auto"/>
            <w:right w:val="none" w:sz="0" w:space="0" w:color="auto"/>
          </w:divBdr>
        </w:div>
      </w:divsChild>
    </w:div>
    <w:div w:id="1799494866">
      <w:bodyDiv w:val="1"/>
      <w:marLeft w:val="0"/>
      <w:marRight w:val="0"/>
      <w:marTop w:val="0"/>
      <w:marBottom w:val="0"/>
      <w:divBdr>
        <w:top w:val="none" w:sz="0" w:space="0" w:color="auto"/>
        <w:left w:val="none" w:sz="0" w:space="0" w:color="auto"/>
        <w:bottom w:val="none" w:sz="0" w:space="0" w:color="auto"/>
        <w:right w:val="none" w:sz="0" w:space="0" w:color="auto"/>
      </w:divBdr>
    </w:div>
    <w:div w:id="1806041921">
      <w:bodyDiv w:val="1"/>
      <w:marLeft w:val="0"/>
      <w:marRight w:val="0"/>
      <w:marTop w:val="0"/>
      <w:marBottom w:val="0"/>
      <w:divBdr>
        <w:top w:val="none" w:sz="0" w:space="0" w:color="auto"/>
        <w:left w:val="none" w:sz="0" w:space="0" w:color="auto"/>
        <w:bottom w:val="none" w:sz="0" w:space="0" w:color="auto"/>
        <w:right w:val="none" w:sz="0" w:space="0" w:color="auto"/>
      </w:divBdr>
    </w:div>
    <w:div w:id="1806653743">
      <w:bodyDiv w:val="1"/>
      <w:marLeft w:val="0"/>
      <w:marRight w:val="0"/>
      <w:marTop w:val="0"/>
      <w:marBottom w:val="0"/>
      <w:divBdr>
        <w:top w:val="none" w:sz="0" w:space="0" w:color="auto"/>
        <w:left w:val="none" w:sz="0" w:space="0" w:color="auto"/>
        <w:bottom w:val="none" w:sz="0" w:space="0" w:color="auto"/>
        <w:right w:val="none" w:sz="0" w:space="0" w:color="auto"/>
      </w:divBdr>
    </w:div>
    <w:div w:id="1828548076">
      <w:bodyDiv w:val="1"/>
      <w:marLeft w:val="0"/>
      <w:marRight w:val="0"/>
      <w:marTop w:val="0"/>
      <w:marBottom w:val="0"/>
      <w:divBdr>
        <w:top w:val="none" w:sz="0" w:space="0" w:color="auto"/>
        <w:left w:val="none" w:sz="0" w:space="0" w:color="auto"/>
        <w:bottom w:val="none" w:sz="0" w:space="0" w:color="auto"/>
        <w:right w:val="none" w:sz="0" w:space="0" w:color="auto"/>
      </w:divBdr>
      <w:divsChild>
        <w:div w:id="1731230618">
          <w:marLeft w:val="0"/>
          <w:marRight w:val="0"/>
          <w:marTop w:val="0"/>
          <w:marBottom w:val="0"/>
          <w:divBdr>
            <w:top w:val="none" w:sz="0" w:space="0" w:color="auto"/>
            <w:left w:val="none" w:sz="0" w:space="0" w:color="auto"/>
            <w:bottom w:val="none" w:sz="0" w:space="0" w:color="auto"/>
            <w:right w:val="none" w:sz="0" w:space="0" w:color="auto"/>
          </w:divBdr>
          <w:divsChild>
            <w:div w:id="2009016979">
              <w:marLeft w:val="0"/>
              <w:marRight w:val="0"/>
              <w:marTop w:val="0"/>
              <w:marBottom w:val="0"/>
              <w:divBdr>
                <w:top w:val="none" w:sz="0" w:space="0" w:color="auto"/>
                <w:left w:val="none" w:sz="0" w:space="0" w:color="auto"/>
                <w:bottom w:val="none" w:sz="0" w:space="0" w:color="auto"/>
                <w:right w:val="none" w:sz="0" w:space="0" w:color="auto"/>
              </w:divBdr>
              <w:divsChild>
                <w:div w:id="518469949">
                  <w:marLeft w:val="0"/>
                  <w:marRight w:val="0"/>
                  <w:marTop w:val="0"/>
                  <w:marBottom w:val="0"/>
                  <w:divBdr>
                    <w:top w:val="none" w:sz="0" w:space="0" w:color="auto"/>
                    <w:left w:val="none" w:sz="0" w:space="0" w:color="auto"/>
                    <w:bottom w:val="none" w:sz="0" w:space="0" w:color="auto"/>
                    <w:right w:val="none" w:sz="0" w:space="0" w:color="auto"/>
                  </w:divBdr>
                  <w:divsChild>
                    <w:div w:id="1718819849">
                      <w:marLeft w:val="0"/>
                      <w:marRight w:val="0"/>
                      <w:marTop w:val="0"/>
                      <w:marBottom w:val="0"/>
                      <w:divBdr>
                        <w:top w:val="none" w:sz="0" w:space="0" w:color="auto"/>
                        <w:left w:val="none" w:sz="0" w:space="0" w:color="auto"/>
                        <w:bottom w:val="none" w:sz="0" w:space="0" w:color="auto"/>
                        <w:right w:val="none" w:sz="0" w:space="0" w:color="auto"/>
                      </w:divBdr>
                      <w:divsChild>
                        <w:div w:id="1766924963">
                          <w:marLeft w:val="0"/>
                          <w:marRight w:val="0"/>
                          <w:marTop w:val="0"/>
                          <w:marBottom w:val="0"/>
                          <w:divBdr>
                            <w:top w:val="none" w:sz="0" w:space="0" w:color="auto"/>
                            <w:left w:val="none" w:sz="0" w:space="0" w:color="auto"/>
                            <w:bottom w:val="none" w:sz="0" w:space="0" w:color="auto"/>
                            <w:right w:val="none" w:sz="0" w:space="0" w:color="auto"/>
                          </w:divBdr>
                          <w:divsChild>
                            <w:div w:id="20054993">
                              <w:marLeft w:val="0"/>
                              <w:marRight w:val="0"/>
                              <w:marTop w:val="0"/>
                              <w:marBottom w:val="0"/>
                              <w:divBdr>
                                <w:top w:val="none" w:sz="0" w:space="0" w:color="auto"/>
                                <w:left w:val="none" w:sz="0" w:space="0" w:color="auto"/>
                                <w:bottom w:val="none" w:sz="0" w:space="0" w:color="auto"/>
                                <w:right w:val="none" w:sz="0" w:space="0" w:color="auto"/>
                              </w:divBdr>
                              <w:divsChild>
                                <w:div w:id="1272938014">
                                  <w:marLeft w:val="0"/>
                                  <w:marRight w:val="0"/>
                                  <w:marTop w:val="0"/>
                                  <w:marBottom w:val="0"/>
                                  <w:divBdr>
                                    <w:top w:val="none" w:sz="0" w:space="0" w:color="auto"/>
                                    <w:left w:val="none" w:sz="0" w:space="0" w:color="auto"/>
                                    <w:bottom w:val="none" w:sz="0" w:space="0" w:color="auto"/>
                                    <w:right w:val="none" w:sz="0" w:space="0" w:color="auto"/>
                                  </w:divBdr>
                                  <w:divsChild>
                                    <w:div w:id="1543514722">
                                      <w:marLeft w:val="0"/>
                                      <w:marRight w:val="0"/>
                                      <w:marTop w:val="0"/>
                                      <w:marBottom w:val="0"/>
                                      <w:divBdr>
                                        <w:top w:val="none" w:sz="0" w:space="0" w:color="auto"/>
                                        <w:left w:val="none" w:sz="0" w:space="0" w:color="auto"/>
                                        <w:bottom w:val="none" w:sz="0" w:space="0" w:color="auto"/>
                                        <w:right w:val="none" w:sz="0" w:space="0" w:color="auto"/>
                                      </w:divBdr>
                                      <w:divsChild>
                                        <w:div w:id="1878469107">
                                          <w:marLeft w:val="0"/>
                                          <w:marRight w:val="0"/>
                                          <w:marTop w:val="0"/>
                                          <w:marBottom w:val="0"/>
                                          <w:divBdr>
                                            <w:top w:val="none" w:sz="0" w:space="0" w:color="auto"/>
                                            <w:left w:val="none" w:sz="0" w:space="0" w:color="auto"/>
                                            <w:bottom w:val="none" w:sz="0" w:space="0" w:color="auto"/>
                                            <w:right w:val="none" w:sz="0" w:space="0" w:color="auto"/>
                                          </w:divBdr>
                                          <w:divsChild>
                                            <w:div w:id="1637878334">
                                              <w:marLeft w:val="0"/>
                                              <w:marRight w:val="0"/>
                                              <w:marTop w:val="0"/>
                                              <w:marBottom w:val="0"/>
                                              <w:divBdr>
                                                <w:top w:val="none" w:sz="0" w:space="0" w:color="auto"/>
                                                <w:left w:val="none" w:sz="0" w:space="0" w:color="auto"/>
                                                <w:bottom w:val="none" w:sz="0" w:space="0" w:color="auto"/>
                                                <w:right w:val="none" w:sz="0" w:space="0" w:color="auto"/>
                                              </w:divBdr>
                                              <w:divsChild>
                                                <w:div w:id="1150052115">
                                                  <w:marLeft w:val="0"/>
                                                  <w:marRight w:val="0"/>
                                                  <w:marTop w:val="0"/>
                                                  <w:marBottom w:val="0"/>
                                                  <w:divBdr>
                                                    <w:top w:val="none" w:sz="0" w:space="0" w:color="auto"/>
                                                    <w:left w:val="none" w:sz="0" w:space="0" w:color="auto"/>
                                                    <w:bottom w:val="none" w:sz="0" w:space="0" w:color="auto"/>
                                                    <w:right w:val="none" w:sz="0" w:space="0" w:color="auto"/>
                                                  </w:divBdr>
                                                  <w:divsChild>
                                                    <w:div w:id="948123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9160513">
                                      <w:marLeft w:val="0"/>
                                      <w:marRight w:val="0"/>
                                      <w:marTop w:val="0"/>
                                      <w:marBottom w:val="0"/>
                                      <w:divBdr>
                                        <w:top w:val="none" w:sz="0" w:space="0" w:color="auto"/>
                                        <w:left w:val="none" w:sz="0" w:space="0" w:color="auto"/>
                                        <w:bottom w:val="none" w:sz="0" w:space="0" w:color="auto"/>
                                        <w:right w:val="none" w:sz="0" w:space="0" w:color="auto"/>
                                      </w:divBdr>
                                      <w:divsChild>
                                        <w:div w:id="356466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3332867">
          <w:marLeft w:val="0"/>
          <w:marRight w:val="0"/>
          <w:marTop w:val="0"/>
          <w:marBottom w:val="0"/>
          <w:divBdr>
            <w:top w:val="none" w:sz="0" w:space="0" w:color="auto"/>
            <w:left w:val="none" w:sz="0" w:space="0" w:color="auto"/>
            <w:bottom w:val="none" w:sz="0" w:space="0" w:color="auto"/>
            <w:right w:val="none" w:sz="0" w:space="0" w:color="auto"/>
          </w:divBdr>
          <w:divsChild>
            <w:div w:id="1128888375">
              <w:marLeft w:val="0"/>
              <w:marRight w:val="0"/>
              <w:marTop w:val="0"/>
              <w:marBottom w:val="0"/>
              <w:divBdr>
                <w:top w:val="none" w:sz="0" w:space="0" w:color="auto"/>
                <w:left w:val="none" w:sz="0" w:space="0" w:color="auto"/>
                <w:bottom w:val="none" w:sz="0" w:space="0" w:color="auto"/>
                <w:right w:val="none" w:sz="0" w:space="0" w:color="auto"/>
              </w:divBdr>
              <w:divsChild>
                <w:div w:id="555046723">
                  <w:marLeft w:val="0"/>
                  <w:marRight w:val="0"/>
                  <w:marTop w:val="0"/>
                  <w:marBottom w:val="0"/>
                  <w:divBdr>
                    <w:top w:val="none" w:sz="0" w:space="0" w:color="auto"/>
                    <w:left w:val="none" w:sz="0" w:space="0" w:color="auto"/>
                    <w:bottom w:val="none" w:sz="0" w:space="0" w:color="auto"/>
                    <w:right w:val="none" w:sz="0" w:space="0" w:color="auto"/>
                  </w:divBdr>
                  <w:divsChild>
                    <w:div w:id="126894482">
                      <w:marLeft w:val="0"/>
                      <w:marRight w:val="0"/>
                      <w:marTop w:val="0"/>
                      <w:marBottom w:val="0"/>
                      <w:divBdr>
                        <w:top w:val="none" w:sz="0" w:space="0" w:color="auto"/>
                        <w:left w:val="none" w:sz="0" w:space="0" w:color="auto"/>
                        <w:bottom w:val="none" w:sz="0" w:space="0" w:color="auto"/>
                        <w:right w:val="none" w:sz="0" w:space="0" w:color="auto"/>
                      </w:divBdr>
                      <w:divsChild>
                        <w:div w:id="2125028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1869620">
      <w:bodyDiv w:val="1"/>
      <w:marLeft w:val="0"/>
      <w:marRight w:val="0"/>
      <w:marTop w:val="0"/>
      <w:marBottom w:val="0"/>
      <w:divBdr>
        <w:top w:val="none" w:sz="0" w:space="0" w:color="auto"/>
        <w:left w:val="none" w:sz="0" w:space="0" w:color="auto"/>
        <w:bottom w:val="none" w:sz="0" w:space="0" w:color="auto"/>
        <w:right w:val="none" w:sz="0" w:space="0" w:color="auto"/>
      </w:divBdr>
    </w:div>
    <w:div w:id="1834879058">
      <w:bodyDiv w:val="1"/>
      <w:marLeft w:val="0"/>
      <w:marRight w:val="0"/>
      <w:marTop w:val="0"/>
      <w:marBottom w:val="0"/>
      <w:divBdr>
        <w:top w:val="none" w:sz="0" w:space="0" w:color="auto"/>
        <w:left w:val="none" w:sz="0" w:space="0" w:color="auto"/>
        <w:bottom w:val="none" w:sz="0" w:space="0" w:color="auto"/>
        <w:right w:val="none" w:sz="0" w:space="0" w:color="auto"/>
      </w:divBdr>
    </w:div>
    <w:div w:id="1838374371">
      <w:bodyDiv w:val="1"/>
      <w:marLeft w:val="0"/>
      <w:marRight w:val="0"/>
      <w:marTop w:val="0"/>
      <w:marBottom w:val="0"/>
      <w:divBdr>
        <w:top w:val="none" w:sz="0" w:space="0" w:color="auto"/>
        <w:left w:val="none" w:sz="0" w:space="0" w:color="auto"/>
        <w:bottom w:val="none" w:sz="0" w:space="0" w:color="auto"/>
        <w:right w:val="none" w:sz="0" w:space="0" w:color="auto"/>
      </w:divBdr>
    </w:div>
    <w:div w:id="1843085015">
      <w:bodyDiv w:val="1"/>
      <w:marLeft w:val="0"/>
      <w:marRight w:val="0"/>
      <w:marTop w:val="0"/>
      <w:marBottom w:val="0"/>
      <w:divBdr>
        <w:top w:val="none" w:sz="0" w:space="0" w:color="auto"/>
        <w:left w:val="none" w:sz="0" w:space="0" w:color="auto"/>
        <w:bottom w:val="none" w:sz="0" w:space="0" w:color="auto"/>
        <w:right w:val="none" w:sz="0" w:space="0" w:color="auto"/>
      </w:divBdr>
    </w:div>
    <w:div w:id="1902983792">
      <w:bodyDiv w:val="1"/>
      <w:marLeft w:val="0"/>
      <w:marRight w:val="0"/>
      <w:marTop w:val="0"/>
      <w:marBottom w:val="0"/>
      <w:divBdr>
        <w:top w:val="none" w:sz="0" w:space="0" w:color="auto"/>
        <w:left w:val="none" w:sz="0" w:space="0" w:color="auto"/>
        <w:bottom w:val="none" w:sz="0" w:space="0" w:color="auto"/>
        <w:right w:val="none" w:sz="0" w:space="0" w:color="auto"/>
      </w:divBdr>
    </w:div>
    <w:div w:id="1924797585">
      <w:bodyDiv w:val="1"/>
      <w:marLeft w:val="0"/>
      <w:marRight w:val="0"/>
      <w:marTop w:val="0"/>
      <w:marBottom w:val="0"/>
      <w:divBdr>
        <w:top w:val="none" w:sz="0" w:space="0" w:color="auto"/>
        <w:left w:val="none" w:sz="0" w:space="0" w:color="auto"/>
        <w:bottom w:val="none" w:sz="0" w:space="0" w:color="auto"/>
        <w:right w:val="none" w:sz="0" w:space="0" w:color="auto"/>
      </w:divBdr>
    </w:div>
    <w:div w:id="1951625272">
      <w:bodyDiv w:val="1"/>
      <w:marLeft w:val="0"/>
      <w:marRight w:val="0"/>
      <w:marTop w:val="0"/>
      <w:marBottom w:val="0"/>
      <w:divBdr>
        <w:top w:val="none" w:sz="0" w:space="0" w:color="auto"/>
        <w:left w:val="none" w:sz="0" w:space="0" w:color="auto"/>
        <w:bottom w:val="none" w:sz="0" w:space="0" w:color="auto"/>
        <w:right w:val="none" w:sz="0" w:space="0" w:color="auto"/>
      </w:divBdr>
    </w:div>
    <w:div w:id="1958440709">
      <w:bodyDiv w:val="1"/>
      <w:marLeft w:val="0"/>
      <w:marRight w:val="0"/>
      <w:marTop w:val="0"/>
      <w:marBottom w:val="0"/>
      <w:divBdr>
        <w:top w:val="none" w:sz="0" w:space="0" w:color="auto"/>
        <w:left w:val="none" w:sz="0" w:space="0" w:color="auto"/>
        <w:bottom w:val="none" w:sz="0" w:space="0" w:color="auto"/>
        <w:right w:val="none" w:sz="0" w:space="0" w:color="auto"/>
      </w:divBdr>
    </w:div>
    <w:div w:id="2011717450">
      <w:bodyDiv w:val="1"/>
      <w:marLeft w:val="0"/>
      <w:marRight w:val="0"/>
      <w:marTop w:val="0"/>
      <w:marBottom w:val="0"/>
      <w:divBdr>
        <w:top w:val="none" w:sz="0" w:space="0" w:color="auto"/>
        <w:left w:val="none" w:sz="0" w:space="0" w:color="auto"/>
        <w:bottom w:val="none" w:sz="0" w:space="0" w:color="auto"/>
        <w:right w:val="none" w:sz="0" w:space="0" w:color="auto"/>
      </w:divBdr>
    </w:div>
    <w:div w:id="2021278799">
      <w:bodyDiv w:val="1"/>
      <w:marLeft w:val="0"/>
      <w:marRight w:val="0"/>
      <w:marTop w:val="0"/>
      <w:marBottom w:val="0"/>
      <w:divBdr>
        <w:top w:val="none" w:sz="0" w:space="0" w:color="auto"/>
        <w:left w:val="none" w:sz="0" w:space="0" w:color="auto"/>
        <w:bottom w:val="none" w:sz="0" w:space="0" w:color="auto"/>
        <w:right w:val="none" w:sz="0" w:space="0" w:color="auto"/>
      </w:divBdr>
    </w:div>
    <w:div w:id="2024549190">
      <w:bodyDiv w:val="1"/>
      <w:marLeft w:val="0"/>
      <w:marRight w:val="0"/>
      <w:marTop w:val="0"/>
      <w:marBottom w:val="0"/>
      <w:divBdr>
        <w:top w:val="none" w:sz="0" w:space="0" w:color="auto"/>
        <w:left w:val="none" w:sz="0" w:space="0" w:color="auto"/>
        <w:bottom w:val="none" w:sz="0" w:space="0" w:color="auto"/>
        <w:right w:val="none" w:sz="0" w:space="0" w:color="auto"/>
      </w:divBdr>
    </w:div>
    <w:div w:id="2077781944">
      <w:bodyDiv w:val="1"/>
      <w:marLeft w:val="0"/>
      <w:marRight w:val="0"/>
      <w:marTop w:val="0"/>
      <w:marBottom w:val="0"/>
      <w:divBdr>
        <w:top w:val="none" w:sz="0" w:space="0" w:color="auto"/>
        <w:left w:val="none" w:sz="0" w:space="0" w:color="auto"/>
        <w:bottom w:val="none" w:sz="0" w:space="0" w:color="auto"/>
        <w:right w:val="none" w:sz="0" w:space="0" w:color="auto"/>
      </w:divBdr>
    </w:div>
    <w:div w:id="2110271813">
      <w:bodyDiv w:val="1"/>
      <w:marLeft w:val="0"/>
      <w:marRight w:val="0"/>
      <w:marTop w:val="0"/>
      <w:marBottom w:val="0"/>
      <w:divBdr>
        <w:top w:val="none" w:sz="0" w:space="0" w:color="auto"/>
        <w:left w:val="none" w:sz="0" w:space="0" w:color="auto"/>
        <w:bottom w:val="none" w:sz="0" w:space="0" w:color="auto"/>
        <w:right w:val="none" w:sz="0" w:space="0" w:color="auto"/>
      </w:divBdr>
    </w:div>
    <w:div w:id="2115590451">
      <w:bodyDiv w:val="1"/>
      <w:marLeft w:val="0"/>
      <w:marRight w:val="0"/>
      <w:marTop w:val="0"/>
      <w:marBottom w:val="0"/>
      <w:divBdr>
        <w:top w:val="none" w:sz="0" w:space="0" w:color="auto"/>
        <w:left w:val="none" w:sz="0" w:space="0" w:color="auto"/>
        <w:bottom w:val="none" w:sz="0" w:space="0" w:color="auto"/>
        <w:right w:val="none" w:sz="0" w:space="0" w:color="auto"/>
      </w:divBdr>
      <w:divsChild>
        <w:div w:id="428045146">
          <w:marLeft w:val="0"/>
          <w:marRight w:val="0"/>
          <w:marTop w:val="0"/>
          <w:marBottom w:val="0"/>
          <w:divBdr>
            <w:top w:val="none" w:sz="0" w:space="0" w:color="auto"/>
            <w:left w:val="none" w:sz="0" w:space="0" w:color="auto"/>
            <w:bottom w:val="none" w:sz="0" w:space="0" w:color="auto"/>
            <w:right w:val="none" w:sz="0" w:space="0" w:color="auto"/>
          </w:divBdr>
          <w:divsChild>
            <w:div w:id="1917788406">
              <w:marLeft w:val="0"/>
              <w:marRight w:val="0"/>
              <w:marTop w:val="0"/>
              <w:marBottom w:val="0"/>
              <w:divBdr>
                <w:top w:val="none" w:sz="0" w:space="0" w:color="auto"/>
                <w:left w:val="none" w:sz="0" w:space="0" w:color="auto"/>
                <w:bottom w:val="none" w:sz="0" w:space="0" w:color="auto"/>
                <w:right w:val="none" w:sz="0" w:space="0" w:color="auto"/>
              </w:divBdr>
              <w:divsChild>
                <w:div w:id="109321855">
                  <w:marLeft w:val="0"/>
                  <w:marRight w:val="0"/>
                  <w:marTop w:val="0"/>
                  <w:marBottom w:val="0"/>
                  <w:divBdr>
                    <w:top w:val="none" w:sz="0" w:space="0" w:color="auto"/>
                    <w:left w:val="none" w:sz="0" w:space="0" w:color="auto"/>
                    <w:bottom w:val="none" w:sz="0" w:space="0" w:color="auto"/>
                    <w:right w:val="none" w:sz="0" w:space="0" w:color="auto"/>
                  </w:divBdr>
                  <w:divsChild>
                    <w:div w:id="824205549">
                      <w:marLeft w:val="0"/>
                      <w:marRight w:val="0"/>
                      <w:marTop w:val="0"/>
                      <w:marBottom w:val="0"/>
                      <w:divBdr>
                        <w:top w:val="none" w:sz="0" w:space="0" w:color="auto"/>
                        <w:left w:val="none" w:sz="0" w:space="0" w:color="auto"/>
                        <w:bottom w:val="none" w:sz="0" w:space="0" w:color="auto"/>
                        <w:right w:val="none" w:sz="0" w:space="0" w:color="auto"/>
                      </w:divBdr>
                      <w:divsChild>
                        <w:div w:id="1492217882">
                          <w:marLeft w:val="0"/>
                          <w:marRight w:val="0"/>
                          <w:marTop w:val="0"/>
                          <w:marBottom w:val="0"/>
                          <w:divBdr>
                            <w:top w:val="none" w:sz="0" w:space="0" w:color="auto"/>
                            <w:left w:val="none" w:sz="0" w:space="0" w:color="auto"/>
                            <w:bottom w:val="none" w:sz="0" w:space="0" w:color="auto"/>
                            <w:right w:val="none" w:sz="0" w:space="0" w:color="auto"/>
                          </w:divBdr>
                          <w:divsChild>
                            <w:div w:id="1675567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8236239">
      <w:bodyDiv w:val="1"/>
      <w:marLeft w:val="0"/>
      <w:marRight w:val="0"/>
      <w:marTop w:val="0"/>
      <w:marBottom w:val="0"/>
      <w:divBdr>
        <w:top w:val="none" w:sz="0" w:space="0" w:color="auto"/>
        <w:left w:val="none" w:sz="0" w:space="0" w:color="auto"/>
        <w:bottom w:val="none" w:sz="0" w:space="0" w:color="auto"/>
        <w:right w:val="none" w:sz="0" w:space="0" w:color="auto"/>
      </w:divBdr>
    </w:div>
    <w:div w:id="213386748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carlosgacha@legalglass.co"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image" Target="media/image2.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02.safelinks.protection.outlook.com/?url=https%3A%2F%2Fwww.colombiacompra.gov.co%2Fwp-content%2Fuploads%2F2025%2F05%2FGUIA-DE-LINEAMIENTOS-DE-TRANSPARENCIA-Y-SELECCION-OBJETIVA-1.0.pdf&amp;data=05%7C02%7Ctatiana.baquero%40colombiacompra.gov.co%7C7cfff6dece924643582c08dd97bfed90%7C7b09041e245149d08cb179d5e3d8c1be%7C0%7C0%7C638833572792347448%7CUnknown%7CTWFpbGZsb3d8eyJFbXB0eU1hcGkiOnRydWUsIlYiOiIwLjAuMDAwMCIsIlAiOiJXaW4zMiIsIkFOIjoiTWFpbCIsIldUIjoyfQ%3D%3D%7C0%7C%7C%7C&amp;sdata=K03nwa35iwf9ehvktYrXqXUKICQPG9uZh4Vu1Re28IU%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_Flow_SignoffStatus xmlns="9d85dbaf-23eb-4e57-a637-93dcacc8b1a1" xsi:nil="true"/>
    <SharedWithUsers xmlns="a6cb9e4b-f1d1-4245-83ec-6cad768d538a">
      <UserInfo>
        <DisplayName>Alejandro Sarmiento</DisplayName>
        <AccountId>129</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06954CD-A18B-4BC8-BDFD-948A7B8E2372}">
  <ds:schemaRefs>
    <ds:schemaRef ds:uri="http://schemas.openxmlformats.org/officeDocument/2006/bibliography"/>
  </ds:schemaRefs>
</ds:datastoreItem>
</file>

<file path=customXml/itemProps2.xml><?xml version="1.0" encoding="utf-8"?>
<ds:datastoreItem xmlns:ds="http://schemas.openxmlformats.org/officeDocument/2006/customXml" ds:itemID="{B3B8AE37-E1F3-4B08-98E9-52F0B3FA79CF}">
  <ds:schemaRefs>
    <ds:schemaRef ds:uri="http://purl.org/dc/elements/1.1/"/>
    <ds:schemaRef ds:uri="http://schemas.openxmlformats.org/package/2006/metadata/core-properties"/>
    <ds:schemaRef ds:uri="http://www.w3.org/XML/1998/namespace"/>
    <ds:schemaRef ds:uri="http://schemas.microsoft.com/office/infopath/2007/PartnerControls"/>
    <ds:schemaRef ds:uri="http://purl.org/dc/terms/"/>
    <ds:schemaRef ds:uri="http://schemas.microsoft.com/office/2006/metadata/properties"/>
    <ds:schemaRef ds:uri="http://schemas.microsoft.com/office/2006/documentManagement/types"/>
    <ds:schemaRef ds:uri="a6cb9e4b-f1d1-4245-83ec-6cad768d538a"/>
    <ds:schemaRef ds:uri="9d85dbaf-23eb-4e57-a637-93dcacc8b1a1"/>
    <ds:schemaRef ds:uri="http://purl.org/dc/dcmitype/"/>
  </ds:schemaRefs>
</ds:datastoreItem>
</file>

<file path=customXml/itemProps3.xml><?xml version="1.0" encoding="utf-8"?>
<ds:datastoreItem xmlns:ds="http://schemas.openxmlformats.org/officeDocument/2006/customXml" ds:itemID="{06F8AB61-4B8C-4292-AD00-5B9AA853CC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524EFD2-6506-4654-A0AC-DEF36450FF5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5849</Words>
  <Characters>32173</Characters>
  <Application>Microsoft Office Word</Application>
  <DocSecurity>0</DocSecurity>
  <Lines>268</Lines>
  <Paragraphs>75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37947</CharactersWithSpaces>
  <SharedDoc>false</SharedDoc>
  <HLinks>
    <vt:vector size="48" baseType="variant">
      <vt:variant>
        <vt:i4>5439494</vt:i4>
      </vt:variant>
      <vt:variant>
        <vt:i4>15</vt:i4>
      </vt:variant>
      <vt:variant>
        <vt:i4>0</vt:i4>
      </vt:variant>
      <vt:variant>
        <vt:i4>5</vt:i4>
      </vt:variant>
      <vt:variant>
        <vt:lpwstr>https://www.colombiacompra.gov.co/sala-de-prensa/boletin-digital</vt:lpwstr>
      </vt:variant>
      <vt:variant>
        <vt:lpwstr/>
      </vt:variant>
      <vt:variant>
        <vt:i4>7471218</vt:i4>
      </vt:variant>
      <vt:variant>
        <vt:i4>12</vt:i4>
      </vt:variant>
      <vt:variant>
        <vt:i4>0</vt:i4>
      </vt:variant>
      <vt:variant>
        <vt:i4>5</vt:i4>
      </vt:variant>
      <vt:variant>
        <vt:lpwstr>https://relatoria.colombiacompra.gov.co/busqueda/conceptos</vt:lpwstr>
      </vt:variant>
      <vt:variant>
        <vt:lpwstr/>
      </vt:variant>
      <vt:variant>
        <vt:i4>5111895</vt:i4>
      </vt:variant>
      <vt:variant>
        <vt:i4>9</vt:i4>
      </vt:variant>
      <vt:variant>
        <vt:i4>0</vt:i4>
      </vt:variant>
      <vt:variant>
        <vt:i4>5</vt:i4>
      </vt:variant>
      <vt:variant>
        <vt:lpwstr>https://www.colombiacompra.gov.co/manuales-guias-y-pliegos-tipo/manuales-y-guias</vt:lpwstr>
      </vt:variant>
      <vt:variant>
        <vt:lpwstr/>
      </vt:variant>
      <vt:variant>
        <vt:i4>3801145</vt:i4>
      </vt:variant>
      <vt:variant>
        <vt:i4>6</vt:i4>
      </vt:variant>
      <vt:variant>
        <vt:i4>0</vt:i4>
      </vt:variant>
      <vt:variant>
        <vt:i4>5</vt:i4>
      </vt:variant>
      <vt:variant>
        <vt:lpwstr>https://relatoria.colombiacompra.gov.co/providencias-consejo-de-estado/</vt:lpwstr>
      </vt:variant>
      <vt:variant>
        <vt:lpwstr/>
      </vt:variant>
      <vt:variant>
        <vt:i4>3145787</vt:i4>
      </vt:variant>
      <vt:variant>
        <vt:i4>3</vt:i4>
      </vt:variant>
      <vt:variant>
        <vt:i4>0</vt:i4>
      </vt:variant>
      <vt:variant>
        <vt:i4>5</vt:i4>
      </vt:variant>
      <vt:variant>
        <vt:lpwstr>https://www.colombiacompra.gov.co/content/04-documentos-tipo-de-licitacion-de-obra-publica-para-proyectos-de-infraestructura-social</vt:lpwstr>
      </vt:variant>
      <vt:variant>
        <vt:lpwstr/>
      </vt:variant>
      <vt:variant>
        <vt:i4>7208987</vt:i4>
      </vt:variant>
      <vt:variant>
        <vt:i4>0</vt:i4>
      </vt:variant>
      <vt:variant>
        <vt:i4>0</vt:i4>
      </vt:variant>
      <vt:variant>
        <vt:i4>5</vt:i4>
      </vt:variant>
      <vt:variant>
        <vt:lpwstr>https://www.colombiacompra.gov.co/sites/cce_public/files/cce_circulares/circular_externa_unica_version_3_vf49.pdf</vt:lpwstr>
      </vt:variant>
      <vt:variant>
        <vt:lpwstr/>
      </vt:variant>
      <vt:variant>
        <vt:i4>6619182</vt:i4>
      </vt:variant>
      <vt:variant>
        <vt:i4>3</vt:i4>
      </vt:variant>
      <vt:variant>
        <vt:i4>0</vt:i4>
      </vt:variant>
      <vt:variant>
        <vt:i4>5</vt:i4>
      </vt:variant>
      <vt:variant>
        <vt:lpwstr>https://www.culturarecreacionydeporte.gov.co/es/bogotanitos/bogodatos/las-plazas-de-mercado-de-bogota</vt:lpwstr>
      </vt:variant>
      <vt:variant>
        <vt:lpwstr>:~:text=Muchos%20tienen%20diferentes%20conceptos%20sobre,en%20un%20sitio%20abierto%20o</vt:lpwstr>
      </vt:variant>
      <vt:variant>
        <vt:i4>2883621</vt:i4>
      </vt:variant>
      <vt:variant>
        <vt:i4>0</vt:i4>
      </vt:variant>
      <vt:variant>
        <vt:i4>0</vt:i4>
      </vt:variant>
      <vt:variant>
        <vt:i4>5</vt:i4>
      </vt:variant>
      <vt:variant>
        <vt:lpwstr>https://www.colombiacompra.gov.co/content/03-documentos-tipo-transversales-de-licitacion-de-obra-publica-de-infraestructura-social-con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ANCP-SGC</dc:creator>
  <cp:keywords/>
  <dc:description/>
  <cp:lastModifiedBy>Sergio Andrés Rivera Cano</cp:lastModifiedBy>
  <cp:revision>2</cp:revision>
  <dcterms:created xsi:type="dcterms:W3CDTF">2025-07-17T13:53:00Z</dcterms:created>
  <dcterms:modified xsi:type="dcterms:W3CDTF">2025-07-17T13:53:00Z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